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E312A6" w:rsidRPr="003F1A75" w14:paraId="080E842B" w14:textId="77777777" w:rsidTr="00306229">
        <w:trPr>
          <w:trHeight w:val="850"/>
        </w:trPr>
        <w:tc>
          <w:tcPr>
            <w:tcW w:w="975" w:type="dxa"/>
            <w:vAlign w:val="bottom"/>
          </w:tcPr>
          <w:p w14:paraId="1E37A1F0" w14:textId="77777777" w:rsidR="00E312A6" w:rsidRPr="003F1A75" w:rsidRDefault="00E312A6" w:rsidP="00306229">
            <w:pPr>
              <w:pStyle w:val="AASmallLogo"/>
            </w:pPr>
            <w:r w:rsidRPr="003F1A75">
              <w:rPr>
                <w:noProof/>
              </w:rPr>
              <w:drawing>
                <wp:inline distT="0" distB="0" distL="0" distR="0" wp14:anchorId="778C7E3C" wp14:editId="63D3B4B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F1A75">
              <w:t xml:space="preserve"> </w:t>
            </w:r>
          </w:p>
          <w:p w14:paraId="574C26FD" w14:textId="77777777" w:rsidR="00E312A6" w:rsidRPr="003F1A75" w:rsidRDefault="00E312A6" w:rsidP="00306229">
            <w:pPr>
              <w:pStyle w:val="AASmallLogo"/>
            </w:pPr>
          </w:p>
        </w:tc>
        <w:tc>
          <w:tcPr>
            <w:tcW w:w="1434" w:type="dxa"/>
            <w:noWrap/>
            <w:vAlign w:val="bottom"/>
          </w:tcPr>
          <w:p w14:paraId="1F809799" w14:textId="77777777" w:rsidR="00E312A6" w:rsidRPr="003F1A75" w:rsidRDefault="00E312A6" w:rsidP="00306229">
            <w:pPr>
              <w:pStyle w:val="AASmallLogo"/>
            </w:pPr>
            <w:r w:rsidRPr="003F1A75">
              <w:rPr>
                <w:noProof/>
              </w:rPr>
              <w:drawing>
                <wp:inline distT="0" distB="0" distL="0" distR="0" wp14:anchorId="4BC8A021" wp14:editId="6AB3EF0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3F1A75">
              <w:t xml:space="preserve"> </w:t>
            </w:r>
          </w:p>
          <w:p w14:paraId="23447A56" w14:textId="77777777" w:rsidR="00E312A6" w:rsidRPr="003F1A75" w:rsidRDefault="00E312A6" w:rsidP="00306229">
            <w:pPr>
              <w:pStyle w:val="AASmallLogo"/>
            </w:pPr>
          </w:p>
        </w:tc>
        <w:tc>
          <w:tcPr>
            <w:tcW w:w="8073" w:type="dxa"/>
            <w:vAlign w:val="bottom"/>
          </w:tcPr>
          <w:p w14:paraId="15160019" w14:textId="5676B0D9" w:rsidR="00E312A6" w:rsidRPr="003F1A75" w:rsidRDefault="00E312A6" w:rsidP="00306229">
            <w:pPr>
              <w:pStyle w:val="ABSymbol"/>
            </w:pPr>
            <w:r w:rsidRPr="003F1A75">
              <w:rPr>
                <w:sz w:val="40"/>
              </w:rPr>
              <w:t>CBD</w:t>
            </w:r>
            <w:r w:rsidRPr="003F1A75">
              <w:t>/</w:t>
            </w:r>
            <w:r>
              <w:t>SBSTTA</w:t>
            </w:r>
            <w:r w:rsidRPr="003F1A75">
              <w:t>/</w:t>
            </w:r>
            <w:r>
              <w:t>28/INF/</w:t>
            </w:r>
            <w:r w:rsidR="00E35F21">
              <w:t>4</w:t>
            </w:r>
          </w:p>
        </w:tc>
      </w:tr>
    </w:tbl>
    <w:p w14:paraId="2FF12B3B" w14:textId="77777777" w:rsidR="00E312A6" w:rsidRPr="003F1A75" w:rsidRDefault="00E312A6" w:rsidP="00E312A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312A6" w:rsidRPr="003F1A75" w14:paraId="38600B41" w14:textId="77777777" w:rsidTr="00306229">
        <w:trPr>
          <w:trHeight w:val="1814"/>
        </w:trPr>
        <w:tc>
          <w:tcPr>
            <w:tcW w:w="7370" w:type="dxa"/>
          </w:tcPr>
          <w:p w14:paraId="52144675" w14:textId="77777777" w:rsidR="00E312A6" w:rsidRPr="003F1A75" w:rsidRDefault="00E312A6" w:rsidP="00306229">
            <w:pPr>
              <w:pStyle w:val="ACLargeLogo"/>
            </w:pPr>
            <w:r w:rsidRPr="003F1A75">
              <w:rPr>
                <w:noProof/>
              </w:rPr>
              <w:drawing>
                <wp:inline distT="0" distB="0" distL="0" distR="0" wp14:anchorId="13E69021" wp14:editId="0F3403A1">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3F1A75">
              <w:t xml:space="preserve"> </w:t>
            </w:r>
          </w:p>
          <w:p w14:paraId="6EDFD00A" w14:textId="77777777" w:rsidR="00E312A6" w:rsidRPr="003F1A75" w:rsidRDefault="00E312A6" w:rsidP="00306229">
            <w:pPr>
              <w:pStyle w:val="ACLargeLogo"/>
            </w:pPr>
          </w:p>
        </w:tc>
        <w:tc>
          <w:tcPr>
            <w:tcW w:w="3112" w:type="dxa"/>
          </w:tcPr>
          <w:p w14:paraId="1B3D1229" w14:textId="77777777" w:rsidR="00E312A6" w:rsidRPr="003F1A75" w:rsidRDefault="00E312A6" w:rsidP="00306229">
            <w:pPr>
              <w:pStyle w:val="AEDistrNormal"/>
            </w:pPr>
            <w:r w:rsidRPr="003F1A75">
              <w:t xml:space="preserve">Distr.: General </w:t>
            </w:r>
          </w:p>
          <w:p w14:paraId="10EE728F" w14:textId="1441BB6E" w:rsidR="00E312A6" w:rsidRPr="003F1A75" w:rsidRDefault="000A3ABD" w:rsidP="00306229">
            <w:pPr>
              <w:pStyle w:val="AEDistrNormal"/>
            </w:pPr>
            <w:r>
              <w:t>3 July 2026</w:t>
            </w:r>
          </w:p>
          <w:p w14:paraId="26AD8C40" w14:textId="7C47F178" w:rsidR="00E312A6" w:rsidRPr="003F1A75" w:rsidRDefault="00E312A6" w:rsidP="00306229">
            <w:pPr>
              <w:pStyle w:val="AEDistrNormal6pt"/>
            </w:pPr>
            <w:r w:rsidRPr="003F1A75">
              <w:t xml:space="preserve">English </w:t>
            </w:r>
            <w:r w:rsidR="005028E7">
              <w:t>only</w:t>
            </w:r>
          </w:p>
          <w:p w14:paraId="6AEA44D8" w14:textId="77777777" w:rsidR="00E312A6" w:rsidRPr="003F1A75" w:rsidRDefault="00E312A6" w:rsidP="00306229">
            <w:pPr>
              <w:pStyle w:val="AEDistrNormal6pt"/>
            </w:pPr>
          </w:p>
        </w:tc>
      </w:tr>
    </w:tbl>
    <w:p w14:paraId="579C8EF5" w14:textId="77777777" w:rsidR="00E312A6" w:rsidRPr="003F1A75" w:rsidRDefault="00E312A6" w:rsidP="00E312A6">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312A6" w:rsidRPr="003F1A75" w14:paraId="581C845A" w14:textId="77777777" w:rsidTr="00306229">
        <w:trPr>
          <w:trHeight w:val="57"/>
        </w:trPr>
        <w:tc>
          <w:tcPr>
            <w:tcW w:w="6094" w:type="dxa"/>
          </w:tcPr>
          <w:p w14:paraId="2C253EBF" w14:textId="77777777" w:rsidR="00E312A6" w:rsidRPr="003F1A75" w:rsidRDefault="00E312A6" w:rsidP="00306229">
            <w:pPr>
              <w:pStyle w:val="AFCorN12Bold"/>
            </w:pPr>
            <w:r w:rsidRPr="005A1DE2">
              <w:t xml:space="preserve">Subsidiary Body on Scientific, </w:t>
            </w:r>
            <w:r w:rsidRPr="005A1DE2">
              <w:br/>
              <w:t>Technical and Technological Advice</w:t>
            </w:r>
          </w:p>
          <w:p w14:paraId="2BE4F4E3" w14:textId="77777777" w:rsidR="00E312A6" w:rsidRPr="003F1A75" w:rsidRDefault="00E312A6" w:rsidP="00306229">
            <w:pPr>
              <w:pStyle w:val="AFCorNBold"/>
            </w:pPr>
            <w:r w:rsidRPr="005A1DE2">
              <w:t xml:space="preserve">Twenty-eighth </w:t>
            </w:r>
            <w:r w:rsidRPr="003F1A75">
              <w:t xml:space="preserve">meeting </w:t>
            </w:r>
          </w:p>
          <w:p w14:paraId="09937798" w14:textId="77777777" w:rsidR="00E312A6" w:rsidRPr="003F1A75" w:rsidRDefault="00E312A6" w:rsidP="00306229">
            <w:pPr>
              <w:pStyle w:val="AFCorNNormal"/>
            </w:pPr>
            <w:r>
              <w:rPr>
                <w:lang w:val="en-CA"/>
              </w:rPr>
              <w:t xml:space="preserve">Nairobi, 27 July–1 </w:t>
            </w:r>
            <w:r w:rsidRPr="005A1DE2">
              <w:rPr>
                <w:lang w:val="en-CA"/>
              </w:rPr>
              <w:t>August 2026</w:t>
            </w:r>
          </w:p>
          <w:p w14:paraId="795FAE80" w14:textId="43400171" w:rsidR="00E312A6" w:rsidRPr="003F1A75" w:rsidRDefault="00E312A6" w:rsidP="00306229">
            <w:pPr>
              <w:pStyle w:val="AFCorNNormal"/>
            </w:pPr>
            <w:r w:rsidRPr="003F1A75">
              <w:t xml:space="preserve">Item </w:t>
            </w:r>
            <w:r>
              <w:t>3</w:t>
            </w:r>
            <w:r w:rsidR="00653C50">
              <w:t> </w:t>
            </w:r>
            <w:r>
              <w:t>(b)</w:t>
            </w:r>
            <w:r w:rsidRPr="003F1A75">
              <w:t xml:space="preserve"> of the provisional agenda</w:t>
            </w:r>
            <w:r w:rsidRPr="003F1A75">
              <w:rPr>
                <w:rStyle w:val="FootnoteReference"/>
              </w:rPr>
              <w:footnoteReference w:customMarkFollows="1" w:id="2"/>
              <w:t>*</w:t>
            </w:r>
            <w:r w:rsidRPr="003F1A75">
              <w:t xml:space="preserve"> </w:t>
            </w:r>
          </w:p>
          <w:p w14:paraId="66B64BC0" w14:textId="6F078A4B" w:rsidR="00E312A6" w:rsidRPr="003F1A75" w:rsidRDefault="00E312A6" w:rsidP="00306229">
            <w:pPr>
              <w:pStyle w:val="AFCorNBold"/>
            </w:pPr>
            <w:r w:rsidRPr="00B50B5F">
              <w:t>Planning, monitoring, reporting and review:</w:t>
            </w:r>
            <w:r w:rsidRPr="00B50B5F">
              <w:rPr>
                <w:b w:val="0"/>
              </w:rPr>
              <w:t xml:space="preserve"> </w:t>
            </w:r>
            <w:r w:rsidR="00F03FB4">
              <w:rPr>
                <w:b w:val="0"/>
              </w:rPr>
              <w:br/>
            </w:r>
            <w:r w:rsidR="005028E7">
              <w:t>m</w:t>
            </w:r>
            <w:r w:rsidRPr="00B50B5F">
              <w:t xml:space="preserve">onitoring framework for the Kunming-Montreal </w:t>
            </w:r>
            <w:r w:rsidR="00F03FB4">
              <w:br/>
            </w:r>
            <w:r w:rsidRPr="00B50B5F">
              <w:t>Global Biodiversity Framework</w:t>
            </w:r>
          </w:p>
        </w:tc>
        <w:tc>
          <w:tcPr>
            <w:tcW w:w="4388" w:type="dxa"/>
          </w:tcPr>
          <w:p w14:paraId="7A84EA46" w14:textId="77777777" w:rsidR="00E312A6" w:rsidRPr="003F1A75" w:rsidRDefault="00E312A6" w:rsidP="00306229">
            <w:pPr>
              <w:pStyle w:val="CBDNormal"/>
              <w:jc w:val="left"/>
            </w:pPr>
          </w:p>
        </w:tc>
      </w:tr>
    </w:tbl>
    <w:p w14:paraId="590E5386" w14:textId="0F514946" w:rsidR="00E312A6" w:rsidRPr="003F1A75" w:rsidRDefault="00000000" w:rsidP="00E312A6">
      <w:pPr>
        <w:pStyle w:val="CBDTitle"/>
        <w:rPr>
          <w:caps/>
        </w:rPr>
      </w:pPr>
      <w:sdt>
        <w:sdtPr>
          <w:alias w:val="Title"/>
          <w:tag w:val=""/>
          <w:id w:val="772832786"/>
          <w:placeholder>
            <w:docPart w:val="95CD4246541B450FAFD88C872C2C8171"/>
          </w:placeholder>
          <w:dataBinding w:prefixMappings="xmlns:ns0='http://purl.org/dc/elements/1.1/' xmlns:ns1='http://schemas.openxmlformats.org/package/2006/metadata/core-properties' " w:xpath="/ns1:coreProperties[1]/ns0:title[1]" w:storeItemID="{6C3C8BC8-F283-45AE-878A-BAB7291924A1}"/>
          <w:text/>
        </w:sdtPr>
        <w:sdtContent>
          <w:r w:rsidR="00E312A6">
            <w:t>Updated metadata for the headline indicators for the Kunming-Montreal Global Biodiversity Framework</w:t>
          </w:r>
        </w:sdtContent>
      </w:sdt>
      <w:r w:rsidR="00AD5C48">
        <w:rPr>
          <w:rStyle w:val="FootnoteReference"/>
        </w:rPr>
        <w:footnoteReference w:customMarkFollows="1" w:id="3"/>
        <w:t>**</w:t>
      </w:r>
    </w:p>
    <w:p w14:paraId="15A72BED" w14:textId="77777777" w:rsidR="00E312A6" w:rsidRPr="003F1A75" w:rsidRDefault="00E312A6" w:rsidP="00E312A6">
      <w:pPr>
        <w:pStyle w:val="CBDSubTitle"/>
      </w:pPr>
      <w:r w:rsidRPr="003F1A75">
        <w:t>Note by the Secretariat</w:t>
      </w:r>
    </w:p>
    <w:p w14:paraId="494CDA52" w14:textId="77777777" w:rsidR="00E312A6" w:rsidRPr="00B50B5F" w:rsidRDefault="00E312A6" w:rsidP="00E822AE">
      <w:pPr>
        <w:pStyle w:val="CBDH1"/>
        <w:numPr>
          <w:ilvl w:val="0"/>
          <w:numId w:val="543"/>
        </w:numPr>
        <w:ind w:left="1134" w:hanging="567"/>
        <w:rPr>
          <w:bCs/>
          <w:lang w:val="en-US"/>
        </w:rPr>
      </w:pPr>
      <w:r w:rsidRPr="00B50B5F">
        <w:rPr>
          <w:bCs/>
          <w:lang w:val="en-US"/>
        </w:rPr>
        <w:t>Background</w:t>
      </w:r>
    </w:p>
    <w:p w14:paraId="2460509C" w14:textId="77777777" w:rsidR="00E312A6" w:rsidRDefault="00E312A6" w:rsidP="00E312A6">
      <w:pPr>
        <w:pStyle w:val="CBDNormalNumber"/>
        <w:numPr>
          <w:ilvl w:val="0"/>
          <w:numId w:val="542"/>
        </w:numPr>
      </w:pPr>
      <w:r>
        <w:t xml:space="preserve">The </w:t>
      </w:r>
      <w:proofErr w:type="spellStart"/>
      <w:r>
        <w:t>metatdata</w:t>
      </w:r>
      <w:proofErr w:type="spellEnd"/>
      <w:r>
        <w:t xml:space="preserve"> for the headline and binary of the monitoring framework for the Kunming-Montreal Global Biodiversity Framework was developed by the Ad Hoc Technical Expert Group on Indicators for the Kunming-Montreal Global Biodiversity Framework and was made available in document CBD/COP/16/INF/3/Rev.1. In decision 16/31 the Conference of the Parties welcomed the metadata for the headline and binary indicators and requested the Executive Secretary, in collaboration with relevant organizations, to update and further develop it, </w:t>
      </w:r>
      <w:proofErr w:type="gramStart"/>
      <w:r>
        <w:t>in particular for</w:t>
      </w:r>
      <w:proofErr w:type="gramEnd"/>
      <w:r>
        <w:t xml:space="preserve"> those indicators at a lower level of development, including indicators 1.1, 7.2 and 9.1. The Executive Secretary was also asked to compile inputs and relevant information to support the development of a methodology for headline indicator 22.1.</w:t>
      </w:r>
      <w:r>
        <w:rPr>
          <w:vertAlign w:val="superscript"/>
        </w:rPr>
        <w:footnoteReference w:id="4"/>
      </w:r>
    </w:p>
    <w:p w14:paraId="1E013BD4" w14:textId="77777777" w:rsidR="00E312A6" w:rsidRDefault="00E312A6" w:rsidP="00E312A6">
      <w:pPr>
        <w:pStyle w:val="CBDNormalNumber"/>
        <w:numPr>
          <w:ilvl w:val="0"/>
          <w:numId w:val="542"/>
        </w:numPr>
      </w:pPr>
      <w:r>
        <w:t>In response to decision 16/31, the Secretariat has, in this document, updated the metadata for the headline indicators. It has done so in collaboration with relevant organisations and taking into account the submissions received in response to other invitations issued in response to decision 16/31.</w:t>
      </w:r>
      <w:r>
        <w:rPr>
          <w:vertAlign w:val="superscript"/>
        </w:rPr>
        <w:footnoteReference w:id="5"/>
      </w:r>
      <w:r>
        <w:t xml:space="preserve"> It also takes into account the results of the study on how to strengthen the tracking and reporting of the various sources of biodiversity finance prepared in response to the request in paragraph 25(b) of decision 16/34 and available as an information document.  Section II of this document provides a summary of the changes to the metadata for each indicator. The annex to this document provides the metadata for each headline indicator reflecting the updates that have been made. The Subsidiary Body has been requested by the Conference of the Parties to review this updated metadata.</w:t>
      </w:r>
    </w:p>
    <w:p w14:paraId="3060EE9C" w14:textId="77777777" w:rsidR="00E312A6" w:rsidRPr="00B50B5F" w:rsidRDefault="00E312A6" w:rsidP="00E312A6">
      <w:pPr>
        <w:pStyle w:val="CBDH1"/>
        <w:numPr>
          <w:ilvl w:val="0"/>
          <w:numId w:val="543"/>
        </w:numPr>
        <w:rPr>
          <w:bCs/>
          <w:lang w:val="en-US"/>
        </w:rPr>
      </w:pPr>
      <w:r w:rsidRPr="00B50B5F">
        <w:rPr>
          <w:bCs/>
          <w:lang w:val="en-US"/>
        </w:rPr>
        <w:lastRenderedPageBreak/>
        <w:t xml:space="preserve">Summary of changes made to the metadata </w:t>
      </w:r>
    </w:p>
    <w:p w14:paraId="11AEB22A" w14:textId="77777777" w:rsidR="00E312A6" w:rsidRDefault="00E312A6" w:rsidP="00E312A6">
      <w:pPr>
        <w:pStyle w:val="CBDNormalNumber"/>
        <w:numPr>
          <w:ilvl w:val="0"/>
          <w:numId w:val="542"/>
        </w:numPr>
      </w:pPr>
      <w:r>
        <w:t xml:space="preserve">Updates to the metadata for the headline indicators were prepared </w:t>
      </w:r>
      <w:proofErr w:type="gramStart"/>
      <w:r>
        <w:t>on the basis of</w:t>
      </w:r>
      <w:proofErr w:type="gramEnd"/>
      <w:r>
        <w:t xml:space="preserve"> document CBD/COP/16/INF/3/Rev.1. The updates that were made can be divided into three categories:</w:t>
      </w:r>
    </w:p>
    <w:p w14:paraId="75F5A06A" w14:textId="77777777" w:rsidR="00E312A6" w:rsidRDefault="00E312A6" w:rsidP="00E312A6">
      <w:pPr>
        <w:pStyle w:val="CBDNormalNumber"/>
        <w:numPr>
          <w:ilvl w:val="1"/>
          <w:numId w:val="542"/>
        </w:numPr>
      </w:pPr>
      <w:r>
        <w:t>Headline indicators where the metadata is unchanged. The indicators in this category are:</w:t>
      </w:r>
    </w:p>
    <w:p w14:paraId="6B17F452" w14:textId="77777777" w:rsidR="00E312A6" w:rsidRDefault="00E312A6" w:rsidP="00E312A6">
      <w:pPr>
        <w:pStyle w:val="CBDNormalNumber"/>
        <w:numPr>
          <w:ilvl w:val="2"/>
          <w:numId w:val="542"/>
        </w:numPr>
      </w:pPr>
      <w:r>
        <w:t>D.2 Domestic public funding on conservation and sustainable use of biodiversity and ecosystems;</w:t>
      </w:r>
    </w:p>
    <w:p w14:paraId="1104EAB3" w14:textId="77777777" w:rsidR="00E312A6" w:rsidRDefault="00E312A6" w:rsidP="00E312A6">
      <w:pPr>
        <w:pStyle w:val="CBDNormalNumber"/>
        <w:numPr>
          <w:ilvl w:val="2"/>
          <w:numId w:val="542"/>
        </w:numPr>
      </w:pPr>
      <w:r>
        <w:t>D.3 Private funding (domestic and international) on conservation and sustainable use of biodiversity and ecosystems;</w:t>
      </w:r>
    </w:p>
    <w:p w14:paraId="04AC80B7" w14:textId="77777777" w:rsidR="00E312A6" w:rsidRDefault="00E312A6" w:rsidP="00E312A6">
      <w:pPr>
        <w:pStyle w:val="CBDNormalNumber"/>
        <w:numPr>
          <w:ilvl w:val="2"/>
          <w:numId w:val="542"/>
        </w:numPr>
      </w:pPr>
      <w:r>
        <w:t xml:space="preserve">1.1. Percent of land and seas covered by biodiversity-inclusive spatial plans, </w:t>
      </w:r>
    </w:p>
    <w:p w14:paraId="68D29BFC" w14:textId="77777777" w:rsidR="00E312A6" w:rsidRDefault="00E312A6" w:rsidP="00E312A6">
      <w:pPr>
        <w:pStyle w:val="CBDNormalNumber"/>
        <w:numPr>
          <w:ilvl w:val="2"/>
          <w:numId w:val="542"/>
        </w:numPr>
      </w:pPr>
      <w:r>
        <w:t xml:space="preserve">9.1 Benefits from the sustainable use of wild species; </w:t>
      </w:r>
    </w:p>
    <w:p w14:paraId="72B6F287" w14:textId="77777777" w:rsidR="00E312A6" w:rsidRDefault="00E312A6" w:rsidP="00E312A6">
      <w:pPr>
        <w:pStyle w:val="CBDNormalNumber"/>
        <w:numPr>
          <w:ilvl w:val="2"/>
          <w:numId w:val="542"/>
        </w:numPr>
      </w:pPr>
      <w:r>
        <w:t>12.1 Average share of the built-up area of cities that is green/blue space for public use for all; and</w:t>
      </w:r>
    </w:p>
    <w:p w14:paraId="6F831908" w14:textId="77777777" w:rsidR="00E312A6" w:rsidRDefault="00E312A6" w:rsidP="00E312A6">
      <w:pPr>
        <w:pStyle w:val="CBDNormalNumber"/>
        <w:numPr>
          <w:ilvl w:val="2"/>
          <w:numId w:val="542"/>
        </w:numPr>
      </w:pPr>
      <w:r>
        <w:t>21.1 Indicator on biodiversity information for monitoring the global biodiversity framework.</w:t>
      </w:r>
    </w:p>
    <w:p w14:paraId="136428A4" w14:textId="77777777" w:rsidR="00E312A6" w:rsidRDefault="00E312A6" w:rsidP="00E312A6">
      <w:pPr>
        <w:pStyle w:val="CBDNormalNumber"/>
        <w:numPr>
          <w:ilvl w:val="1"/>
          <w:numId w:val="542"/>
        </w:numPr>
      </w:pPr>
      <w:r>
        <w:t xml:space="preserve">Headline indicators where there have been changes to improve the clarity and presentation of the metadata and to update the list of data sources and references available to support the use of the indicator. The changes made for the indicators in this category do not change the overall scope or methodology of the indicator. The indicators in this category are: </w:t>
      </w:r>
    </w:p>
    <w:p w14:paraId="0477E23D" w14:textId="77777777" w:rsidR="00E312A6" w:rsidRDefault="00E312A6" w:rsidP="00E312A6">
      <w:pPr>
        <w:pStyle w:val="CBDNormalNumber"/>
        <w:numPr>
          <w:ilvl w:val="2"/>
          <w:numId w:val="542"/>
        </w:numPr>
      </w:pPr>
      <w:r>
        <w:t>A.1. Red List of Ecosystems;</w:t>
      </w:r>
    </w:p>
    <w:p w14:paraId="062EFCA7" w14:textId="77777777" w:rsidR="00E312A6" w:rsidRDefault="00E312A6" w:rsidP="00E312A6">
      <w:pPr>
        <w:pStyle w:val="CBDNormalNumber"/>
        <w:numPr>
          <w:ilvl w:val="2"/>
          <w:numId w:val="542"/>
        </w:numPr>
      </w:pPr>
      <w:r>
        <w:t>A.2. Extent of natural ecosystems;</w:t>
      </w:r>
    </w:p>
    <w:p w14:paraId="539F58E0" w14:textId="77777777" w:rsidR="00E312A6" w:rsidRDefault="00E312A6" w:rsidP="00E312A6">
      <w:pPr>
        <w:pStyle w:val="CBDNormalNumber"/>
        <w:numPr>
          <w:ilvl w:val="2"/>
          <w:numId w:val="542"/>
        </w:numPr>
      </w:pPr>
      <w:r>
        <w:t>A.3. Red List Index;</w:t>
      </w:r>
    </w:p>
    <w:p w14:paraId="23216AC9" w14:textId="77777777" w:rsidR="00E312A6" w:rsidRDefault="00E312A6" w:rsidP="00E312A6">
      <w:pPr>
        <w:pStyle w:val="CBDNormalNumber"/>
        <w:numPr>
          <w:ilvl w:val="2"/>
          <w:numId w:val="542"/>
        </w:numPr>
      </w:pPr>
      <w:r>
        <w:t>A.4. The proportion of populations within species with an effective population size (Ne) &gt; 500;</w:t>
      </w:r>
    </w:p>
    <w:p w14:paraId="540A5997" w14:textId="77777777" w:rsidR="00E312A6" w:rsidRDefault="00E312A6" w:rsidP="00E312A6">
      <w:pPr>
        <w:pStyle w:val="CBDNormalNumber"/>
        <w:numPr>
          <w:ilvl w:val="2"/>
          <w:numId w:val="542"/>
        </w:numPr>
      </w:pPr>
      <w:r>
        <w:t>B.1. Services provided by ecosystems;</w:t>
      </w:r>
    </w:p>
    <w:p w14:paraId="2C1BD504" w14:textId="77777777" w:rsidR="00E312A6" w:rsidRDefault="00E312A6" w:rsidP="00E312A6">
      <w:pPr>
        <w:pStyle w:val="CBDNormalNumber"/>
        <w:numPr>
          <w:ilvl w:val="2"/>
          <w:numId w:val="542"/>
        </w:numPr>
      </w:pPr>
      <w:r>
        <w:t>C.1 Monetary benefits received in accordance with applicable internationally agreed ABS instrument;</w:t>
      </w:r>
    </w:p>
    <w:p w14:paraId="42C7C827" w14:textId="77777777" w:rsidR="00E312A6" w:rsidRDefault="00E312A6" w:rsidP="00E312A6">
      <w:pPr>
        <w:pStyle w:val="CBDNormalNumber"/>
        <w:numPr>
          <w:ilvl w:val="2"/>
          <w:numId w:val="542"/>
        </w:numPr>
      </w:pPr>
      <w:r>
        <w:t>C.2 Non-monetary benefits arising from applicable internationally agreed ABS instruments;</w:t>
      </w:r>
    </w:p>
    <w:p w14:paraId="055667DF" w14:textId="77777777" w:rsidR="00E312A6" w:rsidRDefault="00E312A6" w:rsidP="00E312A6">
      <w:pPr>
        <w:pStyle w:val="CBDNormalNumber"/>
        <w:numPr>
          <w:ilvl w:val="2"/>
          <w:numId w:val="542"/>
        </w:numPr>
      </w:pPr>
      <w:r>
        <w:t>D.1 International public funding, including official development assistance (ODA), for conservation and sustainable use of biodiversity, and ecosystems;</w:t>
      </w:r>
    </w:p>
    <w:p w14:paraId="5EDB9879" w14:textId="77777777" w:rsidR="00E312A6" w:rsidRDefault="00E312A6" w:rsidP="00E312A6">
      <w:pPr>
        <w:pStyle w:val="CBDNormalNumber"/>
        <w:numPr>
          <w:ilvl w:val="2"/>
          <w:numId w:val="542"/>
        </w:numPr>
      </w:pPr>
      <w:r>
        <w:t>3.1 Coverage of protected areas and other effective area-based conservation measures;</w:t>
      </w:r>
    </w:p>
    <w:p w14:paraId="29753838" w14:textId="77777777" w:rsidR="00E312A6" w:rsidRDefault="00E312A6" w:rsidP="00E312A6">
      <w:pPr>
        <w:pStyle w:val="CBDNormalNumber"/>
        <w:numPr>
          <w:ilvl w:val="2"/>
          <w:numId w:val="542"/>
        </w:numPr>
      </w:pPr>
      <w:r>
        <w:t>5.1. Proportion of fish stocks within biologically sustainable levels;</w:t>
      </w:r>
    </w:p>
    <w:p w14:paraId="10FA8327" w14:textId="77777777" w:rsidR="00E312A6" w:rsidRDefault="00E312A6" w:rsidP="00E312A6">
      <w:pPr>
        <w:pStyle w:val="CBDNormalNumber"/>
        <w:numPr>
          <w:ilvl w:val="2"/>
          <w:numId w:val="542"/>
        </w:numPr>
      </w:pPr>
      <w:r>
        <w:t>6.1. Rate of invasive alien species establishment;</w:t>
      </w:r>
    </w:p>
    <w:p w14:paraId="75863B98" w14:textId="77777777" w:rsidR="00E312A6" w:rsidRDefault="00E312A6" w:rsidP="00E312A6">
      <w:pPr>
        <w:pStyle w:val="CBDNormalNumber"/>
        <w:numPr>
          <w:ilvl w:val="2"/>
          <w:numId w:val="542"/>
        </w:numPr>
      </w:pPr>
      <w:r>
        <w:t>7.1 Index of coastal eutrophication potential;</w:t>
      </w:r>
    </w:p>
    <w:p w14:paraId="39A91A8C" w14:textId="77777777" w:rsidR="00E312A6" w:rsidRDefault="00E312A6" w:rsidP="00E312A6">
      <w:pPr>
        <w:pStyle w:val="CBDNormalNumber"/>
        <w:numPr>
          <w:ilvl w:val="2"/>
          <w:numId w:val="542"/>
        </w:numPr>
      </w:pPr>
      <w:r>
        <w:t xml:space="preserve">9.2 Percentage of the population in traditional occupations; </w:t>
      </w:r>
    </w:p>
    <w:p w14:paraId="276C4F18" w14:textId="77777777" w:rsidR="00E312A6" w:rsidRDefault="00E312A6" w:rsidP="00E312A6">
      <w:pPr>
        <w:pStyle w:val="CBDNormalNumber"/>
        <w:numPr>
          <w:ilvl w:val="2"/>
          <w:numId w:val="542"/>
        </w:numPr>
      </w:pPr>
      <w:r>
        <w:t>10.1 Proportion of agricultural area under productive and sustainable agriculture;</w:t>
      </w:r>
    </w:p>
    <w:p w14:paraId="01230438" w14:textId="77777777" w:rsidR="00E312A6" w:rsidRDefault="00E312A6" w:rsidP="00E312A6">
      <w:pPr>
        <w:pStyle w:val="CBDNormalNumber"/>
        <w:numPr>
          <w:ilvl w:val="2"/>
          <w:numId w:val="542"/>
        </w:numPr>
      </w:pPr>
      <w:r>
        <w:t>10.2 Progress towards sustainable forest management;</w:t>
      </w:r>
    </w:p>
    <w:p w14:paraId="37658A2C" w14:textId="77777777" w:rsidR="00E312A6" w:rsidRDefault="00E312A6" w:rsidP="00E312A6">
      <w:pPr>
        <w:pStyle w:val="CBDNormalNumber"/>
        <w:numPr>
          <w:ilvl w:val="2"/>
          <w:numId w:val="542"/>
        </w:numPr>
      </w:pPr>
      <w:r>
        <w:t>15.1 Number of companies disclosing their biodiversity-related risks, dependencies, and impacts;</w:t>
      </w:r>
    </w:p>
    <w:p w14:paraId="4D728BCF" w14:textId="77777777" w:rsidR="00E312A6" w:rsidRDefault="00E312A6" w:rsidP="00E312A6">
      <w:pPr>
        <w:pStyle w:val="CBDNormalNumber"/>
        <w:numPr>
          <w:ilvl w:val="2"/>
          <w:numId w:val="542"/>
        </w:numPr>
      </w:pPr>
      <w:r>
        <w:lastRenderedPageBreak/>
        <w:t>18.1 Positive incentives in place to promote biodiversity conservation and sustainable use; and</w:t>
      </w:r>
    </w:p>
    <w:p w14:paraId="3E6A50A0" w14:textId="77777777" w:rsidR="00E312A6" w:rsidRDefault="00E312A6" w:rsidP="00E312A6">
      <w:pPr>
        <w:pStyle w:val="CBDNormalNumber"/>
        <w:numPr>
          <w:ilvl w:val="2"/>
          <w:numId w:val="542"/>
        </w:numPr>
      </w:pPr>
      <w:r>
        <w:t>18.2 Value of subsidies and other incentives harmful to biodiversity.</w:t>
      </w:r>
    </w:p>
    <w:p w14:paraId="0FA3EE75" w14:textId="77777777" w:rsidR="00E312A6" w:rsidRDefault="00E312A6" w:rsidP="00E312A6">
      <w:pPr>
        <w:pStyle w:val="CBDNormalNumber"/>
        <w:numPr>
          <w:ilvl w:val="1"/>
          <w:numId w:val="542"/>
        </w:numPr>
      </w:pPr>
      <w:r>
        <w:t>Headline indicators where there have been changes to the metadata to improve and further develop the methodology for the indicator and enhance its operationalization in addition to changes to improve the clarity of the methodology. The indicators in this category are:</w:t>
      </w:r>
    </w:p>
    <w:p w14:paraId="1EFFBA4D" w14:textId="77777777" w:rsidR="00E312A6" w:rsidRPr="00B50B5F" w:rsidRDefault="00E312A6" w:rsidP="00E312A6">
      <w:pPr>
        <w:pStyle w:val="CBDNormalNumber"/>
        <w:numPr>
          <w:ilvl w:val="2"/>
          <w:numId w:val="542"/>
        </w:numPr>
      </w:pPr>
      <w:r>
        <w:t>Area under restoration;</w:t>
      </w:r>
    </w:p>
    <w:p w14:paraId="539ACD80" w14:textId="77777777" w:rsidR="00E312A6" w:rsidRDefault="00E312A6" w:rsidP="00E312A6">
      <w:pPr>
        <w:pStyle w:val="CBDNormalNumber"/>
        <w:numPr>
          <w:ilvl w:val="2"/>
          <w:numId w:val="542"/>
        </w:numPr>
      </w:pPr>
      <w:r>
        <w:t>7.2 Aggregated Total Applied Toxicity; and</w:t>
      </w:r>
    </w:p>
    <w:p w14:paraId="74CA83CF" w14:textId="77777777" w:rsidR="00E312A6" w:rsidRDefault="00E312A6" w:rsidP="00E312A6">
      <w:pPr>
        <w:pStyle w:val="CBDNormalNumber"/>
        <w:numPr>
          <w:ilvl w:val="2"/>
          <w:numId w:val="542"/>
        </w:numPr>
      </w:pPr>
      <w:r>
        <w:sym w:font="Symbol" w:char="F032"/>
      </w:r>
      <w:r>
        <w:sym w:font="Symbol" w:char="F032"/>
      </w:r>
      <w:r>
        <w:sym w:font="Symbol" w:char="F02E"/>
      </w:r>
      <w:r>
        <w:sym w:font="Symbol" w:char="F031"/>
      </w:r>
      <w:r>
        <w:t xml:space="preserve"> Land-use change and land tenure in the traditional territories of indigenous peoples and local communities</w:t>
      </w:r>
    </w:p>
    <w:p w14:paraId="182F9403" w14:textId="77777777" w:rsidR="00E312A6" w:rsidRPr="00B50B5F" w:rsidRDefault="00E312A6" w:rsidP="00E312A6">
      <w:pPr>
        <w:pStyle w:val="CBDNormalNumber"/>
        <w:numPr>
          <w:ilvl w:val="0"/>
          <w:numId w:val="542"/>
        </w:numPr>
      </w:pPr>
      <w:r w:rsidRPr="00B50B5F">
        <w:t xml:space="preserve">The table below provides an overview of the current methodological status of the headline indicators in the monitoring framework following the updates that have been made and how this compares to the analysis conducted by the Ad Hoc Technical Expert Group on Indicators for the Kunming-Montreal Global Biodiversity Framework and made available to the twenty sixth meeting of the Subsidiary Body on Scientific, Technical and Technological Advice in document CBD/SBSTTA/26/2. </w:t>
      </w:r>
    </w:p>
    <w:p w14:paraId="744DFBA5" w14:textId="77777777" w:rsidR="00E312A6" w:rsidRDefault="00E312A6" w:rsidP="00E312A6">
      <w:pPr>
        <w:pStyle w:val="CBDNormalNumber"/>
        <w:numPr>
          <w:ilvl w:val="0"/>
          <w:numId w:val="542"/>
        </w:numPr>
      </w:pPr>
      <w:r w:rsidRPr="00B50B5F">
        <w:t xml:space="preserve">The metadata for the binary indicators have been updated to reflect the wording agreed by the Conference of the Parties in decision 16/31. No other changes were made to the binary indicators. </w:t>
      </w:r>
    </w:p>
    <w:p w14:paraId="6EBBF0DC" w14:textId="77777777" w:rsidR="00E312A6" w:rsidRDefault="00E312A6" w:rsidP="00E312A6">
      <w:pPr>
        <w:pStyle w:val="CBDNormalNumber"/>
        <w:ind w:left="567"/>
      </w:pPr>
      <w:r w:rsidRPr="00B50B5F">
        <w:t>Table</w:t>
      </w:r>
    </w:p>
    <w:p w14:paraId="3B1414F1" w14:textId="77777777" w:rsidR="00E312A6" w:rsidRPr="00B50B5F" w:rsidRDefault="00E312A6" w:rsidP="00E822AE">
      <w:pPr>
        <w:pStyle w:val="CBDNormalNumber"/>
        <w:ind w:left="567"/>
        <w:jc w:val="left"/>
      </w:pPr>
      <w:r w:rsidRPr="00B50B5F">
        <w:rPr>
          <w:b/>
          <w:bCs/>
        </w:rPr>
        <w:t>Methodological status of the headline indicators for the Kunming-Montreal Global Biodiversity Framework</w:t>
      </w:r>
    </w:p>
    <w:tbl>
      <w:tblPr>
        <w:tblStyle w:val="TableGrid"/>
        <w:tblpPr w:leftFromText="180" w:rightFromText="180" w:vertAnchor="text" w:tblpXSpec="center" w:tblpY="1"/>
        <w:tblOverlap w:val="never"/>
        <w:tblW w:w="4697" w:type="pct"/>
        <w:shd w:val="clear" w:color="auto" w:fill="FFFFFF" w:themeFill="background1"/>
        <w:tblLayout w:type="fixed"/>
        <w:tblLook w:val="04A0" w:firstRow="1" w:lastRow="0" w:firstColumn="1" w:lastColumn="0" w:noHBand="0" w:noVBand="1"/>
      </w:tblPr>
      <w:tblGrid>
        <w:gridCol w:w="3242"/>
        <w:gridCol w:w="2556"/>
        <w:gridCol w:w="2985"/>
      </w:tblGrid>
      <w:tr w:rsidR="00E312A6" w14:paraId="6E62E28F" w14:textId="77777777" w:rsidTr="00306229">
        <w:trPr>
          <w:trHeight w:val="300"/>
          <w:tblHeader/>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74467C" w14:textId="77777777" w:rsidR="00E312A6" w:rsidRDefault="00E312A6" w:rsidP="00306229">
            <w:pPr>
              <w:ind w:left="29"/>
              <w:rPr>
                <w:rFonts w:asciiTheme="majorBidi" w:hAnsiTheme="majorBidi" w:cstheme="majorBidi"/>
                <w:i/>
                <w:iCs/>
                <w:sz w:val="20"/>
                <w:szCs w:val="20"/>
              </w:rPr>
            </w:pPr>
            <w:r>
              <w:rPr>
                <w:rFonts w:asciiTheme="majorBidi" w:hAnsiTheme="majorBidi" w:cstheme="majorBidi"/>
                <w:i/>
                <w:iCs/>
                <w:sz w:val="20"/>
                <w:szCs w:val="20"/>
              </w:rPr>
              <w:t>Headline/binary indicator</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C0A9DC" w14:textId="77777777" w:rsidR="00E312A6" w:rsidRDefault="00E312A6" w:rsidP="00306229">
            <w:pPr>
              <w:tabs>
                <w:tab w:val="left" w:pos="1333"/>
              </w:tabs>
              <w:ind w:left="-28"/>
              <w:rPr>
                <w:rFonts w:asciiTheme="majorBidi" w:hAnsiTheme="majorBidi" w:cstheme="majorBidi"/>
                <w:i/>
                <w:iCs/>
                <w:sz w:val="20"/>
                <w:szCs w:val="20"/>
                <w:vertAlign w:val="superscript"/>
              </w:rPr>
            </w:pPr>
            <w:r>
              <w:rPr>
                <w:rFonts w:asciiTheme="majorBidi" w:hAnsiTheme="majorBidi" w:cstheme="majorBidi"/>
                <w:i/>
                <w:iCs/>
                <w:sz w:val="20"/>
                <w:szCs w:val="20"/>
              </w:rPr>
              <w:t>Methodological status of the indicator as at the twenty-sixth meeting of the Subsidiary Body on Scientific, Technical and Technological Advice</w:t>
            </w:r>
            <w:r>
              <w:rPr>
                <w:rStyle w:val="FootnoteReference"/>
                <w:rFonts w:asciiTheme="majorBidi" w:hAnsiTheme="majorBidi" w:cstheme="majorBidi"/>
                <w:i/>
                <w:iCs/>
                <w:sz w:val="20"/>
                <w:szCs w:val="20"/>
              </w:rPr>
              <w:footnoteReference w:id="6"/>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413A34" w14:textId="77777777" w:rsidR="00E312A6" w:rsidRDefault="00E312A6" w:rsidP="00306229">
            <w:pPr>
              <w:tabs>
                <w:tab w:val="left" w:pos="1333"/>
              </w:tabs>
              <w:ind w:left="-28"/>
              <w:rPr>
                <w:rFonts w:asciiTheme="majorBidi" w:hAnsiTheme="majorBidi" w:cstheme="majorBidi"/>
                <w:i/>
                <w:iCs/>
                <w:sz w:val="20"/>
                <w:szCs w:val="20"/>
              </w:rPr>
            </w:pPr>
            <w:r>
              <w:rPr>
                <w:rFonts w:asciiTheme="majorBidi" w:hAnsiTheme="majorBidi" w:cstheme="majorBidi"/>
                <w:i/>
                <w:iCs/>
                <w:sz w:val="20"/>
                <w:szCs w:val="20"/>
              </w:rPr>
              <w:t>Current methodological status of the headline indicator</w:t>
            </w:r>
          </w:p>
        </w:tc>
      </w:tr>
      <w:tr w:rsidR="00E312A6" w14:paraId="47234B1E" w14:textId="77777777" w:rsidTr="00306229">
        <w:trPr>
          <w:trHeight w:val="404"/>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9A89F3"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A.1 Red List of Ecosystems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AB0ECF"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4</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640BBF"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77AE57E9" w14:textId="77777777" w:rsidTr="00306229">
        <w:trPr>
          <w:trHeight w:val="548"/>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05A899" w14:textId="77777777" w:rsidR="00E312A6" w:rsidRDefault="00E312A6" w:rsidP="00306229">
            <w:pPr>
              <w:tabs>
                <w:tab w:val="left" w:pos="4813"/>
              </w:tabs>
              <w:ind w:left="29"/>
              <w:rPr>
                <w:rFonts w:asciiTheme="majorBidi" w:hAnsiTheme="majorBidi" w:cstheme="majorBidi"/>
                <w:sz w:val="20"/>
                <w:szCs w:val="20"/>
              </w:rPr>
            </w:pPr>
            <w:r>
              <w:rPr>
                <w:rFonts w:asciiTheme="majorBidi" w:hAnsiTheme="majorBidi" w:cstheme="majorBidi"/>
                <w:sz w:val="20"/>
                <w:szCs w:val="20"/>
              </w:rPr>
              <w:t xml:space="preserve">A.2 Extent of natural ecosystems </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21C23B"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4</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254AAA"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12158893" w14:textId="77777777" w:rsidTr="00306229">
        <w:trPr>
          <w:trHeight w:val="404"/>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6F8518"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A.3 Red List Index</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51E8E0" w14:textId="77777777" w:rsidR="00E312A6" w:rsidRDefault="00E312A6" w:rsidP="00306229">
            <w:pPr>
              <w:tabs>
                <w:tab w:val="left" w:pos="1333"/>
              </w:tabs>
              <w:rPr>
                <w:rFonts w:asciiTheme="majorBidi" w:hAnsiTheme="majorBidi" w:cstheme="majorBidi"/>
                <w:sz w:val="20"/>
                <w:szCs w:val="20"/>
              </w:rPr>
            </w:pPr>
            <w:r>
              <w:rPr>
                <w:rFonts w:asciiTheme="majorBidi" w:hAnsiTheme="majorBidi" w:cstheme="majorBidi"/>
                <w:sz w:val="20"/>
                <w:szCs w:val="20"/>
              </w:rPr>
              <w:t>5</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5F964A" w14:textId="77777777" w:rsidR="00E312A6" w:rsidRDefault="00E312A6" w:rsidP="00306229">
            <w:pPr>
              <w:tabs>
                <w:tab w:val="left" w:pos="1333"/>
              </w:tabs>
              <w:rPr>
                <w:rFonts w:asciiTheme="majorBidi" w:hAnsiTheme="majorBidi" w:cstheme="majorBidi"/>
                <w:sz w:val="20"/>
                <w:szCs w:val="20"/>
              </w:rPr>
            </w:pPr>
            <w:r>
              <w:rPr>
                <w:rFonts w:asciiTheme="majorBidi" w:hAnsiTheme="majorBidi" w:cstheme="majorBidi"/>
                <w:sz w:val="20"/>
                <w:szCs w:val="20"/>
              </w:rPr>
              <w:t>Unchanged</w:t>
            </w:r>
          </w:p>
        </w:tc>
      </w:tr>
      <w:tr w:rsidR="00E312A6" w14:paraId="7DC26108" w14:textId="77777777" w:rsidTr="00306229">
        <w:trPr>
          <w:trHeight w:val="955"/>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253443"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A.4 The proportion of populations within species with an effective population size &gt; 500</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52C568"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4</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6C032B"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0BBA98EB"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117D00"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B.1 Services provided by ecosystems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F51DAD"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3</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8043ED"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3993F2C8" w14:textId="77777777" w:rsidTr="00306229">
        <w:trPr>
          <w:trHeight w:val="476"/>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891D3B"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C.1 Monetary benefits received in accordance with applicable internationally agreed Access and Benefit-sharing instruments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331A33" w14:textId="77777777" w:rsidR="00E312A6" w:rsidRDefault="00E312A6" w:rsidP="00306229">
            <w:pPr>
              <w:tabs>
                <w:tab w:val="left" w:pos="1333"/>
              </w:tabs>
              <w:ind w:left="-28"/>
              <w:rPr>
                <w:rFonts w:asciiTheme="majorBidi" w:hAnsiTheme="majorBidi" w:cstheme="majorBidi"/>
                <w:sz w:val="20"/>
                <w:szCs w:val="20"/>
                <w:shd w:val="clear" w:color="auto" w:fill="FFFFFF" w:themeFill="background1"/>
              </w:rPr>
            </w:pPr>
            <w:r>
              <w:rPr>
                <w:rFonts w:asciiTheme="majorBidi" w:hAnsiTheme="majorBidi" w:cstheme="majorBidi"/>
                <w:sz w:val="20"/>
                <w:szCs w:val="20"/>
              </w:rPr>
              <w:t>2</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811873"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3EE4A506" w14:textId="77777777" w:rsidTr="00306229">
        <w:trPr>
          <w:trHeight w:val="53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tcPr>
          <w:p w14:paraId="7BD5B7FF"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lastRenderedPageBreak/>
              <w:t xml:space="preserve">C.2 </w:t>
            </w:r>
            <w:proofErr w:type="gramStart"/>
            <w:r>
              <w:rPr>
                <w:rFonts w:asciiTheme="majorBidi" w:hAnsiTheme="majorBidi" w:cstheme="majorBidi"/>
                <w:sz w:val="20"/>
                <w:szCs w:val="20"/>
              </w:rPr>
              <w:t>Non-monetary</w:t>
            </w:r>
            <w:proofErr w:type="gramEnd"/>
            <w:r>
              <w:rPr>
                <w:rFonts w:asciiTheme="majorBidi" w:hAnsiTheme="majorBidi" w:cstheme="majorBidi"/>
                <w:sz w:val="20"/>
                <w:szCs w:val="20"/>
              </w:rPr>
              <w:t xml:space="preserve"> benefits </w:t>
            </w:r>
            <w:r>
              <w:rPr>
                <w:rFonts w:asciiTheme="majorBidi" w:eastAsia="Arial" w:hAnsiTheme="majorBidi" w:cstheme="majorBidi"/>
                <w:sz w:val="20"/>
                <w:szCs w:val="20"/>
                <w:lang w:val="en-US"/>
              </w:rPr>
              <w:t>arising from applicable international Access and Benefit-sharing instruments</w:t>
            </w:r>
          </w:p>
          <w:p w14:paraId="5100AD91" w14:textId="77777777" w:rsidR="00E312A6" w:rsidRDefault="00E312A6" w:rsidP="00306229">
            <w:pPr>
              <w:ind w:left="29"/>
              <w:rPr>
                <w:rFonts w:asciiTheme="majorBidi" w:hAnsiTheme="majorBidi" w:cstheme="majorBidi"/>
                <w:sz w:val="20"/>
                <w:szCs w:val="20"/>
              </w:rPr>
            </w:pP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0F7E4D"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2</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6D15A8"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500C1CBC" w14:textId="77777777" w:rsidTr="00306229">
        <w:trPr>
          <w:trHeight w:val="53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9BAC99" w14:textId="77777777" w:rsidR="00E312A6" w:rsidRDefault="00E312A6" w:rsidP="00306229">
            <w:pPr>
              <w:ind w:left="29"/>
              <w:rPr>
                <w:rFonts w:asciiTheme="majorBidi" w:hAnsiTheme="majorBidi" w:cstheme="majorBidi"/>
                <w:sz w:val="20"/>
                <w:szCs w:val="20"/>
                <w:lang w:val="en-US"/>
              </w:rPr>
            </w:pPr>
            <w:r>
              <w:rPr>
                <w:rFonts w:asciiTheme="majorBidi" w:hAnsiTheme="majorBidi" w:cstheme="majorBidi"/>
                <w:sz w:val="20"/>
                <w:szCs w:val="20"/>
              </w:rPr>
              <w:t>D.1 International public funding, including official development assistance for conservation and sustainable use of biodiversity and ecosystems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39461E" w14:textId="77777777" w:rsidR="00E312A6" w:rsidRDefault="00E312A6" w:rsidP="00306229">
            <w:pPr>
              <w:tabs>
                <w:tab w:val="left" w:pos="1333"/>
              </w:tabs>
              <w:ind w:left="-28"/>
              <w:rPr>
                <w:rFonts w:asciiTheme="majorBidi" w:hAnsiTheme="majorBidi" w:cstheme="majorBidi"/>
                <w:sz w:val="20"/>
                <w:szCs w:val="20"/>
                <w:lang w:val="en-US"/>
              </w:rPr>
            </w:pPr>
            <w:r>
              <w:rPr>
                <w:rFonts w:asciiTheme="majorBidi" w:hAnsiTheme="majorBidi" w:cstheme="majorBidi"/>
                <w:sz w:val="20"/>
                <w:szCs w:val="20"/>
              </w:rPr>
              <w:t>5</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3D341"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293C433A" w14:textId="77777777" w:rsidTr="00306229">
        <w:trPr>
          <w:trHeight w:val="53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B73401"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D.2 Domestic public funding on conservation and sustainable use of biodiversity and ecosystems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531727"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4</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AC18B3"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51DE3D56" w14:textId="77777777" w:rsidTr="00306229">
        <w:trPr>
          <w:trHeight w:val="53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EBC464"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D.3 Private funding (domestic and international) on conservation and sustainable use of biodiversity and ecosystems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D9EC44"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2</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49F8E6"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11015030" w14:textId="77777777" w:rsidTr="00306229">
        <w:trPr>
          <w:trHeight w:val="53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E3E568"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1.1 Percent of land and seas covered by biodiversity-inclusive spatial plans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E4A677"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1</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D2FB59"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57CF8557"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6E0685"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 xml:space="preserve">2.1 Area under restoration </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tcPr>
          <w:p w14:paraId="69FD0849"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4</w:t>
            </w:r>
          </w:p>
          <w:p w14:paraId="2B33CEFC" w14:textId="77777777" w:rsidR="00E312A6" w:rsidRDefault="00E312A6" w:rsidP="00306229">
            <w:pPr>
              <w:tabs>
                <w:tab w:val="left" w:pos="1333"/>
              </w:tabs>
              <w:ind w:left="-28"/>
              <w:rPr>
                <w:rFonts w:asciiTheme="majorBidi" w:hAnsiTheme="majorBidi" w:cstheme="majorBidi"/>
                <w:sz w:val="20"/>
                <w:szCs w:val="20"/>
              </w:rPr>
            </w:pP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9853B0"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18"/>
                <w:szCs w:val="18"/>
              </w:rPr>
              <w:t xml:space="preserve">5 - </w:t>
            </w:r>
            <w:r>
              <w:rPr>
                <w:rFonts w:asciiTheme="majorBidi" w:hAnsiTheme="majorBidi" w:cstheme="majorBidi"/>
                <w:sz w:val="20"/>
                <w:szCs w:val="20"/>
              </w:rPr>
              <w:t>The Framework for Ecosystem Restoration Monitoring database is operational, guidance on the use of the indicator has been refined and the Food and Agriculture Organization of the United Nations is supporting Parties in the use of the indicator.</w:t>
            </w:r>
          </w:p>
        </w:tc>
      </w:tr>
      <w:tr w:rsidR="00E312A6" w14:paraId="0AD93E70"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3B44EE"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 xml:space="preserve">3.1 Coverage of protected areas and other effective area-based conservation measures </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D02EA3"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5</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99E453"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2FFE771B"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3D12F2"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5.1 Proportion of fish stocks within biologically sustainable levels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tcPr>
          <w:p w14:paraId="010CB9F7"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5</w:t>
            </w:r>
          </w:p>
          <w:p w14:paraId="6046E95B" w14:textId="77777777" w:rsidR="00E312A6" w:rsidRDefault="00E312A6" w:rsidP="00306229">
            <w:pPr>
              <w:tabs>
                <w:tab w:val="left" w:pos="1333"/>
              </w:tabs>
              <w:ind w:left="-28"/>
              <w:rPr>
                <w:rFonts w:asciiTheme="majorBidi" w:hAnsiTheme="majorBidi" w:cstheme="majorBidi"/>
                <w:sz w:val="20"/>
                <w:szCs w:val="20"/>
              </w:rPr>
            </w:pP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7343D8"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57405B02"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2C2525"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6.1 Rate of invasive alien species establishment</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99CA37" w14:textId="77777777" w:rsidR="00E312A6" w:rsidRDefault="00E312A6" w:rsidP="00306229">
            <w:pPr>
              <w:tabs>
                <w:tab w:val="left" w:pos="1333"/>
              </w:tabs>
              <w:rPr>
                <w:rFonts w:asciiTheme="majorBidi" w:hAnsiTheme="majorBidi" w:cstheme="majorBidi"/>
                <w:sz w:val="20"/>
                <w:szCs w:val="20"/>
              </w:rPr>
            </w:pPr>
            <w:r>
              <w:rPr>
                <w:rFonts w:asciiTheme="majorBidi" w:hAnsiTheme="majorBidi" w:cstheme="majorBidi"/>
                <w:sz w:val="20"/>
                <w:szCs w:val="20"/>
              </w:rPr>
              <w:t>4</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EF8EA6" w14:textId="77777777" w:rsidR="00E312A6" w:rsidRDefault="00E312A6" w:rsidP="00306229">
            <w:pPr>
              <w:tabs>
                <w:tab w:val="left" w:pos="1333"/>
              </w:tabs>
              <w:rPr>
                <w:rFonts w:asciiTheme="majorBidi" w:hAnsiTheme="majorBidi" w:cstheme="majorBidi"/>
                <w:sz w:val="20"/>
                <w:szCs w:val="20"/>
              </w:rPr>
            </w:pPr>
            <w:r>
              <w:rPr>
                <w:rFonts w:asciiTheme="majorBidi" w:hAnsiTheme="majorBidi" w:cstheme="majorBidi"/>
                <w:sz w:val="20"/>
                <w:szCs w:val="20"/>
              </w:rPr>
              <w:t>Unchanged</w:t>
            </w:r>
          </w:p>
        </w:tc>
      </w:tr>
      <w:tr w:rsidR="00E312A6" w14:paraId="0C4E9C6A" w14:textId="77777777" w:rsidTr="00306229">
        <w:trPr>
          <w:trHeight w:val="56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F03A5C"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7.1 Index of coastal eutrophication potential</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FBC512"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4</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C421B9"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6F3F2C86" w14:textId="77777777" w:rsidTr="00306229">
        <w:trPr>
          <w:trHeight w:val="56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D338B1" w14:textId="77777777" w:rsidR="00E312A6" w:rsidRDefault="00E312A6" w:rsidP="00306229">
            <w:pPr>
              <w:ind w:left="29"/>
              <w:rPr>
                <w:rFonts w:asciiTheme="majorBidi" w:hAnsiTheme="majorBidi" w:cstheme="majorBidi"/>
                <w:sz w:val="20"/>
                <w:szCs w:val="20"/>
                <w:highlight w:val="yellow"/>
                <w:u w:val="single"/>
              </w:rPr>
            </w:pPr>
            <w:proofErr w:type="gramStart"/>
            <w:r>
              <w:rPr>
                <w:rFonts w:asciiTheme="majorBidi" w:hAnsiTheme="majorBidi" w:cstheme="majorBidi"/>
                <w:sz w:val="20"/>
                <w:szCs w:val="20"/>
              </w:rPr>
              <w:t>7.2  Pesticide</w:t>
            </w:r>
            <w:proofErr w:type="gramEnd"/>
            <w:r>
              <w:rPr>
                <w:rFonts w:asciiTheme="majorBidi" w:hAnsiTheme="majorBidi" w:cstheme="majorBidi"/>
                <w:sz w:val="20"/>
                <w:szCs w:val="20"/>
              </w:rPr>
              <w:t xml:space="preserve"> environment concentration and/or Aggregated Total Applied Toxicity</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tcPr>
          <w:p w14:paraId="4832C241"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The methodological readiness of the pesticide environment concentration indicator was not assessed by the Ad Hoc Technical Expert Group on Indicators for the Kunming-Montreal Global Biodiversity Framework as the group recommended the use of the indicator Aggregated Total Applied Toxicity</w:t>
            </w:r>
          </w:p>
          <w:p w14:paraId="5E531D4A" w14:textId="77777777" w:rsidR="00E312A6" w:rsidRDefault="00E312A6" w:rsidP="00306229">
            <w:pPr>
              <w:tabs>
                <w:tab w:val="left" w:pos="1333"/>
              </w:tabs>
              <w:ind w:left="-28"/>
              <w:rPr>
                <w:rFonts w:asciiTheme="majorBidi" w:hAnsiTheme="majorBidi" w:cstheme="majorBidi"/>
                <w:sz w:val="20"/>
                <w:szCs w:val="20"/>
              </w:rPr>
            </w:pPr>
          </w:p>
          <w:p w14:paraId="35978C61"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3 for the indicator aggregated total applied toxicity</w:t>
            </w:r>
          </w:p>
          <w:p w14:paraId="11F13FAE" w14:textId="77777777" w:rsidR="00E312A6" w:rsidRDefault="00E312A6" w:rsidP="00306229">
            <w:pPr>
              <w:tabs>
                <w:tab w:val="left" w:pos="1333"/>
              </w:tabs>
              <w:ind w:left="-28"/>
              <w:rPr>
                <w:rFonts w:asciiTheme="majorBidi" w:hAnsiTheme="majorBidi" w:cstheme="majorBidi"/>
                <w:sz w:val="20"/>
                <w:szCs w:val="20"/>
              </w:rPr>
            </w:pPr>
          </w:p>
          <w:p w14:paraId="6F24B2E6" w14:textId="77777777" w:rsidR="00E312A6" w:rsidRDefault="00E312A6" w:rsidP="00306229">
            <w:pPr>
              <w:tabs>
                <w:tab w:val="left" w:pos="1333"/>
              </w:tabs>
              <w:ind w:left="-28"/>
              <w:rPr>
                <w:rFonts w:asciiTheme="majorBidi" w:hAnsiTheme="majorBidi" w:cstheme="majorBidi"/>
                <w:sz w:val="20"/>
                <w:szCs w:val="20"/>
              </w:rPr>
            </w:pP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tcPr>
          <w:p w14:paraId="6DF026B3"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lastRenderedPageBreak/>
              <w:t>1 for the indicator pesticide environment concentration</w:t>
            </w:r>
          </w:p>
          <w:p w14:paraId="310998B0" w14:textId="77777777" w:rsidR="00E312A6" w:rsidRDefault="00E312A6" w:rsidP="00306229">
            <w:pPr>
              <w:tabs>
                <w:tab w:val="left" w:pos="1333"/>
              </w:tabs>
              <w:ind w:left="-28"/>
              <w:rPr>
                <w:rFonts w:asciiTheme="majorBidi" w:hAnsiTheme="majorBidi" w:cstheme="majorBidi"/>
                <w:sz w:val="20"/>
                <w:szCs w:val="20"/>
              </w:rPr>
            </w:pPr>
          </w:p>
          <w:p w14:paraId="583374EC"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4 for the indicator aggregated total applied toxicity</w:t>
            </w:r>
          </w:p>
          <w:p w14:paraId="49196B88" w14:textId="77777777" w:rsidR="00E312A6" w:rsidRDefault="00E312A6" w:rsidP="00306229">
            <w:pPr>
              <w:tabs>
                <w:tab w:val="left" w:pos="1333"/>
              </w:tabs>
              <w:ind w:left="-28"/>
              <w:rPr>
                <w:rFonts w:asciiTheme="majorBidi" w:hAnsiTheme="majorBidi" w:cstheme="majorBidi"/>
                <w:sz w:val="20"/>
                <w:szCs w:val="20"/>
                <w:highlight w:val="yellow"/>
              </w:rPr>
            </w:pPr>
          </w:p>
        </w:tc>
      </w:tr>
      <w:tr w:rsidR="00E312A6" w14:paraId="53A22EF2" w14:textId="77777777" w:rsidTr="00306229">
        <w:trPr>
          <w:trHeight w:val="56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9C1500"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9.1 Benefits from the sustainable use of wild species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DE98D0"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1</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99280D"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127AF508"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EFEAE9"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9.2 Percentage of the population in traditional occupations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139CD4"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3</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741CA0"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02E502BB" w14:textId="77777777" w:rsidTr="00306229">
        <w:trPr>
          <w:trHeight w:val="905"/>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16E24A"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10.1 Proportion of agricultural area under productive and sustainable agriculture</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F3F512"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5</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0D7241"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5D80EFF8" w14:textId="77777777" w:rsidTr="00306229">
        <w:trPr>
          <w:trHeight w:val="905"/>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A66E9E"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10.2 Progress towards sustainable forest management</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EE5D18"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5</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764D51"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776C0D37" w14:textId="77777777" w:rsidTr="00306229">
        <w:trPr>
          <w:trHeight w:val="1061"/>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2EB3D" w14:textId="77777777" w:rsidR="00E312A6" w:rsidRDefault="00E312A6" w:rsidP="00306229">
            <w:pPr>
              <w:ind w:left="29" w:right="-20"/>
              <w:rPr>
                <w:rFonts w:asciiTheme="majorBidi" w:hAnsiTheme="majorBidi" w:cstheme="majorBidi"/>
                <w:sz w:val="20"/>
                <w:szCs w:val="20"/>
              </w:rPr>
            </w:pPr>
            <w:r>
              <w:rPr>
                <w:rFonts w:asciiTheme="majorBidi" w:hAnsiTheme="majorBidi" w:cstheme="majorBidi"/>
                <w:sz w:val="20"/>
                <w:szCs w:val="20"/>
              </w:rPr>
              <w:br w:type="page"/>
              <w:t>12.1 Average share of the built-up area of cities that is green/blue space for public use for all</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875D73"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5</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18D9E4"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1A090385"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3EDE5"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br w:type="page"/>
              <w:t>15.1 Number of companies disclosing</w:t>
            </w:r>
            <w:r>
              <w:rPr>
                <w:rFonts w:asciiTheme="majorBidi" w:hAnsiTheme="majorBidi" w:cstheme="majorBidi"/>
                <w:strike/>
                <w:sz w:val="20"/>
                <w:szCs w:val="20"/>
              </w:rPr>
              <w:t xml:space="preserve"> </w:t>
            </w:r>
            <w:r>
              <w:rPr>
                <w:rFonts w:asciiTheme="majorBidi" w:hAnsiTheme="majorBidi" w:cstheme="majorBidi"/>
                <w:sz w:val="20"/>
                <w:szCs w:val="20"/>
              </w:rPr>
              <w:t xml:space="preserve">their biodiversity-related risks, dependencies and impacts </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tcPr>
          <w:p w14:paraId="540A27DB"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2</w:t>
            </w:r>
          </w:p>
          <w:p w14:paraId="24A7E935" w14:textId="77777777" w:rsidR="00E312A6" w:rsidRDefault="00E312A6" w:rsidP="00306229">
            <w:pPr>
              <w:tabs>
                <w:tab w:val="left" w:pos="1333"/>
              </w:tabs>
              <w:ind w:left="-28"/>
              <w:rPr>
                <w:rFonts w:asciiTheme="majorBidi" w:hAnsiTheme="majorBidi" w:cstheme="majorBidi"/>
                <w:sz w:val="20"/>
                <w:szCs w:val="20"/>
              </w:rPr>
            </w:pP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AA5844" w14:textId="77777777" w:rsidR="00E312A6" w:rsidRDefault="00E312A6" w:rsidP="00306229">
            <w:pPr>
              <w:tabs>
                <w:tab w:val="left" w:pos="1333"/>
              </w:tabs>
              <w:ind w:left="-28"/>
              <w:rPr>
                <w:rFonts w:asciiTheme="majorBidi" w:hAnsiTheme="majorBidi" w:cstheme="majorBidi"/>
                <w:sz w:val="20"/>
                <w:szCs w:val="20"/>
              </w:rPr>
            </w:pPr>
            <w:r>
              <w:rPr>
                <w:rFonts w:asciiTheme="majorBidi" w:hAnsiTheme="majorBidi" w:cstheme="majorBidi"/>
                <w:sz w:val="20"/>
                <w:szCs w:val="20"/>
              </w:rPr>
              <w:t>Unchanged</w:t>
            </w:r>
          </w:p>
        </w:tc>
      </w:tr>
      <w:tr w:rsidR="00E312A6" w14:paraId="76C03EF9"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D8BE7C"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18.1 Positive incentives in place to promote biodiversity conservation and sustainable use</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108B97" w14:textId="77777777" w:rsidR="00E312A6" w:rsidRDefault="00E312A6" w:rsidP="00306229">
            <w:pPr>
              <w:tabs>
                <w:tab w:val="left" w:pos="1333"/>
              </w:tabs>
              <w:ind w:left="-28" w:right="-20"/>
              <w:rPr>
                <w:rFonts w:asciiTheme="majorBidi" w:hAnsiTheme="majorBidi" w:cstheme="majorBidi"/>
                <w:sz w:val="20"/>
                <w:szCs w:val="20"/>
              </w:rPr>
            </w:pPr>
            <w:r>
              <w:rPr>
                <w:rFonts w:asciiTheme="majorBidi" w:hAnsiTheme="majorBidi" w:cstheme="majorBidi"/>
                <w:sz w:val="20"/>
                <w:szCs w:val="20"/>
              </w:rPr>
              <w:t>4</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C7F2F4" w14:textId="77777777" w:rsidR="00E312A6" w:rsidRDefault="00E312A6" w:rsidP="00306229">
            <w:pPr>
              <w:tabs>
                <w:tab w:val="left" w:pos="1333"/>
              </w:tabs>
              <w:ind w:left="-28" w:right="-20"/>
              <w:rPr>
                <w:rFonts w:asciiTheme="majorBidi" w:hAnsiTheme="majorBidi" w:cstheme="majorBidi"/>
                <w:sz w:val="20"/>
                <w:szCs w:val="20"/>
              </w:rPr>
            </w:pPr>
            <w:r>
              <w:rPr>
                <w:rFonts w:asciiTheme="majorBidi" w:hAnsiTheme="majorBidi" w:cstheme="majorBidi"/>
                <w:sz w:val="20"/>
                <w:szCs w:val="20"/>
              </w:rPr>
              <w:t>Unchanged</w:t>
            </w:r>
          </w:p>
        </w:tc>
      </w:tr>
      <w:tr w:rsidR="00E312A6" w14:paraId="4A2BBB1B"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3CC979"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18.2 Value of subsidies and other incentives harmful to biodiversity</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09F9E7" w14:textId="77777777" w:rsidR="00E312A6" w:rsidRDefault="00E312A6" w:rsidP="00306229">
            <w:pPr>
              <w:tabs>
                <w:tab w:val="left" w:pos="1333"/>
              </w:tabs>
              <w:ind w:left="-28" w:right="-20"/>
              <w:rPr>
                <w:rFonts w:asciiTheme="majorBidi" w:hAnsiTheme="majorBidi" w:cstheme="majorBidi"/>
                <w:sz w:val="20"/>
                <w:szCs w:val="20"/>
              </w:rPr>
            </w:pPr>
            <w:r>
              <w:rPr>
                <w:rFonts w:asciiTheme="majorBidi" w:hAnsiTheme="majorBidi" w:cstheme="majorBidi"/>
                <w:sz w:val="20"/>
                <w:szCs w:val="20"/>
              </w:rPr>
              <w:t>3</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C4EFAF" w14:textId="77777777" w:rsidR="00E312A6" w:rsidRDefault="00E312A6" w:rsidP="00306229">
            <w:pPr>
              <w:tabs>
                <w:tab w:val="left" w:pos="1333"/>
              </w:tabs>
              <w:ind w:left="-28" w:right="-20"/>
              <w:rPr>
                <w:rFonts w:asciiTheme="majorBidi" w:hAnsiTheme="majorBidi" w:cstheme="majorBidi"/>
                <w:sz w:val="20"/>
                <w:szCs w:val="20"/>
              </w:rPr>
            </w:pPr>
            <w:r>
              <w:rPr>
                <w:rFonts w:asciiTheme="majorBidi" w:hAnsiTheme="majorBidi" w:cstheme="majorBidi"/>
                <w:sz w:val="20"/>
                <w:szCs w:val="20"/>
              </w:rPr>
              <w:t>Unchanged</w:t>
            </w:r>
          </w:p>
        </w:tc>
      </w:tr>
      <w:tr w:rsidR="00E312A6" w14:paraId="52F9CE1B"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B5CCEF"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21.1 Indicator on biodiversity information for monitoring the global biodiversity framework</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83A34B" w14:textId="77777777" w:rsidR="00E312A6" w:rsidRDefault="00E312A6" w:rsidP="00306229">
            <w:pPr>
              <w:tabs>
                <w:tab w:val="left" w:pos="1333"/>
              </w:tabs>
              <w:ind w:left="-28" w:right="-20"/>
              <w:rPr>
                <w:rFonts w:asciiTheme="majorBidi" w:hAnsiTheme="majorBidi" w:cstheme="majorBidi"/>
                <w:sz w:val="20"/>
                <w:szCs w:val="20"/>
              </w:rPr>
            </w:pPr>
            <w:r>
              <w:rPr>
                <w:rFonts w:asciiTheme="majorBidi" w:hAnsiTheme="majorBidi" w:cstheme="majorBidi"/>
                <w:sz w:val="20"/>
                <w:szCs w:val="20"/>
              </w:rPr>
              <w:t>2</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1C767A" w14:textId="77777777" w:rsidR="00E312A6" w:rsidRDefault="00E312A6" w:rsidP="00306229">
            <w:pPr>
              <w:tabs>
                <w:tab w:val="left" w:pos="1333"/>
              </w:tabs>
              <w:ind w:left="-28" w:right="-20"/>
              <w:rPr>
                <w:rFonts w:asciiTheme="majorBidi" w:hAnsiTheme="majorBidi" w:cstheme="majorBidi"/>
                <w:sz w:val="20"/>
                <w:szCs w:val="20"/>
              </w:rPr>
            </w:pPr>
            <w:r>
              <w:rPr>
                <w:rFonts w:asciiTheme="majorBidi" w:hAnsiTheme="majorBidi" w:cstheme="majorBidi"/>
                <w:sz w:val="20"/>
                <w:szCs w:val="20"/>
              </w:rPr>
              <w:t>Unchanged</w:t>
            </w:r>
          </w:p>
        </w:tc>
      </w:tr>
      <w:tr w:rsidR="00E312A6" w14:paraId="1A6CF4AF" w14:textId="77777777" w:rsidTr="00306229">
        <w:trPr>
          <w:trHeight w:val="300"/>
        </w:trPr>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64CCF5" w14:textId="77777777" w:rsidR="00E312A6" w:rsidRDefault="00E312A6" w:rsidP="00306229">
            <w:pPr>
              <w:ind w:left="29"/>
              <w:rPr>
                <w:rFonts w:asciiTheme="majorBidi" w:hAnsiTheme="majorBidi" w:cstheme="majorBidi"/>
                <w:sz w:val="20"/>
                <w:szCs w:val="20"/>
              </w:rPr>
            </w:pPr>
            <w:r>
              <w:rPr>
                <w:rFonts w:asciiTheme="majorBidi" w:hAnsiTheme="majorBidi" w:cstheme="majorBidi"/>
                <w:sz w:val="20"/>
                <w:szCs w:val="20"/>
              </w:rPr>
              <w:t>22.1 Land-use change and land tenure in the traditional territories of indigenous peoples and local communities</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17A31A" w14:textId="77777777" w:rsidR="00E312A6" w:rsidRDefault="00E312A6" w:rsidP="00306229">
            <w:pPr>
              <w:tabs>
                <w:tab w:val="left" w:pos="1333"/>
              </w:tabs>
              <w:ind w:left="-28" w:right="-20"/>
              <w:rPr>
                <w:rFonts w:asciiTheme="majorBidi" w:hAnsiTheme="majorBidi" w:cstheme="majorBidi"/>
                <w:sz w:val="20"/>
                <w:szCs w:val="20"/>
              </w:rPr>
            </w:pPr>
            <w:r>
              <w:rPr>
                <w:rFonts w:asciiTheme="majorBidi" w:hAnsiTheme="majorBidi" w:cstheme="majorBidi"/>
                <w:sz w:val="20"/>
                <w:szCs w:val="20"/>
              </w:rPr>
              <w:t>Metadata for this indicator was not reviewed by the Ad Hoc Technical Expert Group on Indicators for the Kunming-Montreal Global Biodiversity Framework as the indicator was added to the monitoring during the sixteenth meeting of the Conference of the Parties.</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D8FCF4" w14:textId="77777777" w:rsidR="00E312A6" w:rsidRDefault="00E312A6" w:rsidP="00306229">
            <w:pPr>
              <w:tabs>
                <w:tab w:val="left" w:pos="1333"/>
              </w:tabs>
              <w:ind w:left="-28" w:right="-20"/>
              <w:rPr>
                <w:rFonts w:asciiTheme="majorBidi" w:hAnsiTheme="majorBidi" w:cstheme="majorBidi"/>
                <w:sz w:val="20"/>
                <w:szCs w:val="20"/>
              </w:rPr>
            </w:pPr>
            <w:r>
              <w:rPr>
                <w:rFonts w:asciiTheme="majorBidi" w:hAnsiTheme="majorBidi" w:cstheme="majorBidi"/>
                <w:sz w:val="20"/>
                <w:szCs w:val="20"/>
              </w:rPr>
              <w:t>3</w:t>
            </w:r>
          </w:p>
        </w:tc>
      </w:tr>
    </w:tbl>
    <w:p w14:paraId="60F3A175" w14:textId="77777777" w:rsidR="00E312A6" w:rsidRPr="00B50B5F" w:rsidRDefault="00E312A6" w:rsidP="00E312A6">
      <w:pPr>
        <w:pStyle w:val="CBDNormalNumber"/>
        <w:numPr>
          <w:ilvl w:val="0"/>
          <w:numId w:val="542"/>
        </w:numPr>
      </w:pPr>
      <w:r w:rsidRPr="00B50B5F">
        <w:t xml:space="preserve">A summary of the main changes made to the metadata for each headline indicator is: </w:t>
      </w:r>
    </w:p>
    <w:p w14:paraId="7D85F512" w14:textId="77777777" w:rsidR="00E312A6" w:rsidRPr="00B50B5F" w:rsidRDefault="00E312A6" w:rsidP="00E312A6">
      <w:pPr>
        <w:pStyle w:val="CBDNormalNumber"/>
        <w:numPr>
          <w:ilvl w:val="1"/>
          <w:numId w:val="542"/>
        </w:numPr>
      </w:pPr>
      <w:r w:rsidRPr="00B50B5F">
        <w:t>A.1. Red List of Ecosystems: Updates have been made to improve clarity and include additional supporting references. Information on the available data has also been updated.  The updates made do not imply any changes to the overall methodology for the indicator or its overall scope and applicability.</w:t>
      </w:r>
    </w:p>
    <w:p w14:paraId="17179F24" w14:textId="77777777" w:rsidR="00E312A6" w:rsidRPr="00B50B5F" w:rsidRDefault="00E312A6" w:rsidP="00E312A6">
      <w:pPr>
        <w:pStyle w:val="CBDNormalNumber"/>
        <w:numPr>
          <w:ilvl w:val="1"/>
          <w:numId w:val="542"/>
        </w:numPr>
      </w:pPr>
      <w:r w:rsidRPr="00B50B5F">
        <w:t xml:space="preserve">A.2. Extent of natural ecosystems: Updates have been made to improve clarity, including for issues related natural and anthropogenic ecosystem types, and the consideration of inland and marine areas. Updates have also been made to include additional supporting references. </w:t>
      </w:r>
      <w:r w:rsidRPr="00B50B5F">
        <w:lastRenderedPageBreak/>
        <w:t>The updates made do not imply any changes to the overall methodology for the indicator or its overall scope and applicability.</w:t>
      </w:r>
    </w:p>
    <w:p w14:paraId="0040D544" w14:textId="77777777" w:rsidR="00E312A6" w:rsidRPr="00B50B5F" w:rsidRDefault="00E312A6" w:rsidP="00E312A6">
      <w:pPr>
        <w:pStyle w:val="CBDNormalNumber"/>
        <w:numPr>
          <w:ilvl w:val="1"/>
          <w:numId w:val="542"/>
        </w:numPr>
      </w:pPr>
      <w:r w:rsidRPr="00B50B5F">
        <w:t xml:space="preserve">A.3. Red List Index: Changes have been made to provide updated information on which other processes are using the indicator, the data available, the references and resources which are available to support the use of indicator and the partners involved with the indicator. The updates made do not imply any changes to the methodology for the indicator or its overall scope and applicability. </w:t>
      </w:r>
    </w:p>
    <w:p w14:paraId="5242331F" w14:textId="77777777" w:rsidR="00E312A6" w:rsidRPr="00B50B5F" w:rsidRDefault="00E312A6" w:rsidP="00E312A6">
      <w:pPr>
        <w:pStyle w:val="CBDNormalNumber"/>
        <w:numPr>
          <w:ilvl w:val="1"/>
          <w:numId w:val="542"/>
        </w:numPr>
      </w:pPr>
      <w:r w:rsidRPr="00B50B5F">
        <w:t>A.4. The proportion of populations within species with an effective population size (Ne) &gt; 500: Updates have been made to improve clarity and include additional supporting references. Information on how to account for transboundary species populations has been included as has information on the implication of using proxy census data to calculate the indicator. The updates made do not imply any changes to the overall methodology for the indicator or its overall scope and applicability.</w:t>
      </w:r>
    </w:p>
    <w:p w14:paraId="50B0068D" w14:textId="77777777" w:rsidR="00E312A6" w:rsidRPr="00B50B5F" w:rsidRDefault="00E312A6" w:rsidP="00E312A6">
      <w:pPr>
        <w:pStyle w:val="CBDNormalNumber"/>
        <w:numPr>
          <w:ilvl w:val="1"/>
          <w:numId w:val="542"/>
        </w:numPr>
      </w:pPr>
      <w:r w:rsidRPr="00B50B5F">
        <w:t>B.1. Services provided by ecosystems: Changes have been made to improve clarity, including on the use of the geometric mean as the aggregation method for the indicator, and the basis for selecting ecosystem services for inclusion in the indicator.  The changes made do not imply any changes to the overall methodology for the indicator or its overall scope and applicability.</w:t>
      </w:r>
    </w:p>
    <w:p w14:paraId="0BF832BB" w14:textId="77777777" w:rsidR="00E312A6" w:rsidRPr="00B50B5F" w:rsidRDefault="00E312A6" w:rsidP="00E312A6">
      <w:pPr>
        <w:pStyle w:val="CBDNormalNumber"/>
        <w:numPr>
          <w:ilvl w:val="1"/>
          <w:numId w:val="542"/>
        </w:numPr>
      </w:pPr>
      <w:r w:rsidRPr="00B50B5F">
        <w:t>C.1 Monetary benefits received in accordance with applicable internationally agreed ABS instrument: Updates have been made to improve its clarity, to provide updated information on the use of the indicator and data availability and to update the references and resources that are available to support the use of the indicator. The updates made do not imply any changes to the methodology for the indicator or its overall scope and applicability.</w:t>
      </w:r>
    </w:p>
    <w:p w14:paraId="4BBEEBCD" w14:textId="77777777" w:rsidR="00E312A6" w:rsidRPr="00B50B5F" w:rsidRDefault="00E312A6" w:rsidP="00E312A6">
      <w:pPr>
        <w:pStyle w:val="CBDNormalNumber"/>
        <w:numPr>
          <w:ilvl w:val="1"/>
          <w:numId w:val="542"/>
        </w:numPr>
      </w:pPr>
      <w:r w:rsidRPr="00B50B5F">
        <w:t>C.2 Non-monetary benefits arising from applicable internationally agreed ABS instruments: Updates have been made to improve clarity, to provide updated information on the use of the indicator and on data availability and to update the references and resources that are available to support the use of the indicator. The changes made do not imply any changes to the methodology for the indicator or its overall scope and applicability.</w:t>
      </w:r>
    </w:p>
    <w:p w14:paraId="7668F654" w14:textId="77777777" w:rsidR="00E312A6" w:rsidRPr="00B50B5F" w:rsidRDefault="00E312A6" w:rsidP="00E312A6">
      <w:pPr>
        <w:pStyle w:val="CBDNormalNumber"/>
        <w:numPr>
          <w:ilvl w:val="1"/>
          <w:numId w:val="542"/>
        </w:numPr>
      </w:pPr>
      <w:r w:rsidRPr="00B50B5F">
        <w:t>D.1 International public funding, including official development assistance (ODA), for conservation and sustainable use of biodiversity, and ecosystems: Updates have been made to refer to private sector instruments, to provide updates on the data available, and to update the references and resources which are available to support the use of indicator. The changes made do not imply any changes to the methodology for the indicator or its overall scope and applicability.</w:t>
      </w:r>
    </w:p>
    <w:p w14:paraId="33BEF312" w14:textId="77777777" w:rsidR="00E312A6" w:rsidRPr="00B50B5F" w:rsidRDefault="00E312A6" w:rsidP="00E312A6">
      <w:pPr>
        <w:pStyle w:val="CBDNormalNumber"/>
        <w:numPr>
          <w:ilvl w:val="1"/>
          <w:numId w:val="542"/>
        </w:numPr>
      </w:pPr>
      <w:r w:rsidRPr="00B50B5F">
        <w:t>D.2 Domestic public funding on conservation and sustainable use of biodiversity and ecosystems: No updates to the metadata for this indicator have been made</w:t>
      </w:r>
    </w:p>
    <w:p w14:paraId="3F7FCB70" w14:textId="77777777" w:rsidR="00E312A6" w:rsidRPr="00B50B5F" w:rsidRDefault="00E312A6" w:rsidP="00E312A6">
      <w:pPr>
        <w:pStyle w:val="CBDNormalNumber"/>
        <w:numPr>
          <w:ilvl w:val="1"/>
          <w:numId w:val="542"/>
        </w:numPr>
      </w:pPr>
      <w:r w:rsidRPr="00B50B5F">
        <w:t xml:space="preserve">D.3 Private funding (domestic and international) on conservation and sustainable use of biodiversity and ecosystems: No updates to the metadata for this indicator have been made. There is no organisation currently supporting the further development and operationalisation of the indicator. </w:t>
      </w:r>
    </w:p>
    <w:p w14:paraId="24AC4F9F" w14:textId="77777777" w:rsidR="00E312A6" w:rsidRPr="00B50B5F" w:rsidRDefault="00E312A6" w:rsidP="00E312A6">
      <w:pPr>
        <w:pStyle w:val="CBDNormalNumber"/>
        <w:numPr>
          <w:ilvl w:val="1"/>
          <w:numId w:val="542"/>
        </w:numPr>
      </w:pPr>
      <w:r w:rsidRPr="00B50B5F">
        <w:t xml:space="preserve">1.1. Percent of land and seas covered by biodiversity-inclusive spatial plans: No updates to the metadata for this indicator have been made. There is no organisation currently supporting the further development and operationalisation of the indicator. </w:t>
      </w:r>
    </w:p>
    <w:p w14:paraId="017748A1" w14:textId="77777777" w:rsidR="00E312A6" w:rsidRPr="00B50B5F" w:rsidRDefault="00E312A6" w:rsidP="00E312A6">
      <w:pPr>
        <w:pStyle w:val="CBDNormalNumber"/>
        <w:numPr>
          <w:ilvl w:val="1"/>
          <w:numId w:val="542"/>
        </w:numPr>
      </w:pPr>
      <w:r w:rsidRPr="00B50B5F">
        <w:t xml:space="preserve">2.1 Area under restoration: Updates have been made to streamline and clarify elements of the indicator and to provide more operational guidance for Parties. Updates for clarity and consistency have also been made, including for the rationale for the indicator, the definitions used, and the method of computation. Additional guidance has been provided on compiling restoration information. Further, additional information has been included on FAO’s default data compilation process through the Framework for Ecosystem Restoration Monitoring. Guidance has also been provided on how restoration data can be submitted through the template on Convention’s online reporting tool. The updates to the metadata do not imply any changes to the methodology for the </w:t>
      </w:r>
      <w:r w:rsidRPr="00B50B5F">
        <w:lastRenderedPageBreak/>
        <w:t>indicator or its overall scope and applicability. An information document has been prepared outlining the support provided by FAO and its partners to the further development and operationalization of the indicator.</w:t>
      </w:r>
    </w:p>
    <w:p w14:paraId="5829EF00" w14:textId="77777777" w:rsidR="00E312A6" w:rsidRPr="00B50B5F" w:rsidRDefault="00E312A6" w:rsidP="00E312A6">
      <w:pPr>
        <w:pStyle w:val="CBDNormalNumber"/>
        <w:numPr>
          <w:ilvl w:val="1"/>
          <w:numId w:val="542"/>
        </w:numPr>
      </w:pPr>
      <w:r w:rsidRPr="00B50B5F">
        <w:t xml:space="preserve">3.1 Coverage of protected areas and other effective area-based conservation measures: Updates have been made to bring the metadata in line with decision 16/31. Changes have also been made to provide updates on available data sources and references and to make other editorial changes for clarity. The methodology for the disaggregation ‘by effectiveness’ has been expanded to more adequately track the ‘effectively conserved and managed’ and ‘equitable governed’ elements of Target 3. The updates to the metadata do not imply any changes to the methodology for the indicator or its overall scope and applicability. </w:t>
      </w:r>
    </w:p>
    <w:p w14:paraId="5BC2BAC7" w14:textId="77777777" w:rsidR="00E312A6" w:rsidRPr="00B50B5F" w:rsidRDefault="00E312A6" w:rsidP="00E312A6">
      <w:pPr>
        <w:pStyle w:val="CBDNormalNumber"/>
        <w:numPr>
          <w:ilvl w:val="1"/>
          <w:numId w:val="542"/>
        </w:numPr>
      </w:pPr>
      <w:r w:rsidRPr="00B50B5F">
        <w:t>5.1. Proportion of fish stocks within biologically sustainable levels: Updates have been made to include additional supporting references, provide updates on the data available, and on how data is collected and refinements to the calculation of the indicator. The updates made do not imply any changes to the methodology for the indicator or its overall scope and applicability.</w:t>
      </w:r>
    </w:p>
    <w:p w14:paraId="58843930" w14:textId="77777777" w:rsidR="00E312A6" w:rsidRPr="00B50B5F" w:rsidRDefault="00E312A6" w:rsidP="00E312A6">
      <w:pPr>
        <w:pStyle w:val="CBDNormalNumber"/>
        <w:numPr>
          <w:ilvl w:val="1"/>
          <w:numId w:val="542"/>
        </w:numPr>
      </w:pPr>
      <w:r w:rsidRPr="00B50B5F">
        <w:t>6.1. Rate of invasive alien species establishment: Updates have been made to provide updated information on the use of the indicator, data availability, the references and resources that are available to support the use of the indicator and the partners involved. The updates made do not imply any changes to the methodology for the indicator or its overall scope and applicability.</w:t>
      </w:r>
    </w:p>
    <w:p w14:paraId="6392B88F" w14:textId="77777777" w:rsidR="00E312A6" w:rsidRPr="00B50B5F" w:rsidRDefault="00E312A6" w:rsidP="00E312A6">
      <w:pPr>
        <w:pStyle w:val="CBDNormalNumber"/>
        <w:numPr>
          <w:ilvl w:val="1"/>
          <w:numId w:val="542"/>
        </w:numPr>
      </w:pPr>
      <w:r w:rsidRPr="00B50B5F">
        <w:t>7.1 Index of coastal eutrophication potential: Changes to the metadata have been made to provide updated information on the use of the indicator, data availability and the references and resources that are available to support the use of the indicator. The updates made do not imply any changes to the methodology for the indicator or its overall scope and applicability.</w:t>
      </w:r>
    </w:p>
    <w:p w14:paraId="0EBF22CA" w14:textId="77777777" w:rsidR="00E312A6" w:rsidRPr="00B50B5F" w:rsidRDefault="00E312A6" w:rsidP="00E312A6">
      <w:pPr>
        <w:pStyle w:val="CBDNormalNumber"/>
        <w:numPr>
          <w:ilvl w:val="1"/>
          <w:numId w:val="542"/>
        </w:numPr>
      </w:pPr>
      <w:r w:rsidRPr="00B50B5F">
        <w:t xml:space="preserve">7.2 Pesticide environment concentration and/or Aggregated Total Applied Toxicity: For Target 7 two possible headline indicators have been agreed by the Conference of the Parties. The indicator pesticide environment concentration does not currently have metadata; the Ad Hoc Technical Expert Group on Indicators for Framework recommended the use of the aggregated total applied toxicity indicator and had only developed metadata for the latter indicator. With regards to the indicator aggregated total applied toxicity, the Food and Agriculture Organization of the United Nations has been facilitating the further development of this indicator by a group of experts in environmental toxicity, pesticides and pesticide risk assessment, and national and global pollution indicators. Based on this </w:t>
      </w:r>
      <w:proofErr w:type="gramStart"/>
      <w:r w:rsidRPr="00B50B5F">
        <w:t>work, and</w:t>
      </w:r>
      <w:proofErr w:type="gramEnd"/>
      <w:r w:rsidRPr="00B50B5F">
        <w:t xml:space="preserve"> considering the submissions from Parties and the views expressed during the sixteenth meeting of the Conference of the Parties, the metadata for the indicator has been updated. The metadata has been updated to remove species’ weighting factors due to the limited availability of toxicity data and the underlying laboratory methods used to estimate toxicities; the equations for the indicator are no longer normalized by area because pesticide usage at national levels inherently incorporates area, a mechanism has been included to balance across all species groups the calibration of estimated annual changes in total applied toxicities relative to the baseline years, and relative to the targeted 50% reduction; further details on the handling of missing data have been included, including a hierarchy of suitable data to estimate annual pesticide mass; and new details regarding the preferred sources of toxicity data and relative toxicity limits have been included. Editing of the metadata has also been carried out to simplify the text, focus on national activities, and to better support reporting authorities. The updates do not alter the overall purpose and functioning of the indicator. An information document has been prepared outlining the support provided by FAO and its partners to the further development and operationalization of the indicator.</w:t>
      </w:r>
      <w:r w:rsidRPr="00B50B5F">
        <w:tab/>
      </w:r>
    </w:p>
    <w:p w14:paraId="55A654E1" w14:textId="77777777" w:rsidR="00E312A6" w:rsidRPr="00B50B5F" w:rsidRDefault="00E312A6" w:rsidP="00E312A6">
      <w:pPr>
        <w:pStyle w:val="CBDNormalNumber"/>
        <w:numPr>
          <w:ilvl w:val="1"/>
          <w:numId w:val="542"/>
        </w:numPr>
      </w:pPr>
      <w:r w:rsidRPr="00B50B5F">
        <w:t xml:space="preserve">9.1 Benefits from the sustainable use of wild species: No updates to the metadata for this indicator have been made. There is no organisation currently supporting the further development and operationalisation of the indicator. </w:t>
      </w:r>
    </w:p>
    <w:p w14:paraId="6913301A" w14:textId="77777777" w:rsidR="00E312A6" w:rsidRPr="00B50B5F" w:rsidRDefault="00E312A6" w:rsidP="00E312A6">
      <w:pPr>
        <w:pStyle w:val="CBDNormalNumber"/>
        <w:numPr>
          <w:ilvl w:val="1"/>
          <w:numId w:val="542"/>
        </w:numPr>
      </w:pPr>
      <w:r w:rsidRPr="00B50B5F">
        <w:t xml:space="preserve">9.2 Percentage of the population in traditional occupations: The metadata for the indicator has been updated to include information on ongoing activities to further develop the methodology for the indicator. These activities are particularly important as this indicator is not </w:t>
      </w:r>
      <w:r w:rsidRPr="00B50B5F">
        <w:lastRenderedPageBreak/>
        <w:t>presently computable in most national contexts, given the lack of indigenous identifiers in official labour statistics. Since the metadata was initially prepared the Indigenous Navigator has developed and released a high-level analysis of the methodology and data relevant to the indicator which can further inform the development of the indicator. This includes information on the possible the role of complementary community</w:t>
      </w:r>
      <w:r w:rsidRPr="00B50B5F">
        <w:noBreakHyphen/>
        <w:t>based evidence, including Indigenous Navigator data, on status and trends, gender</w:t>
      </w:r>
      <w:r w:rsidRPr="00B50B5F">
        <w:noBreakHyphen/>
        <w:t>disaggregated insights, and barriers and enablers for traditional occupations, which can inform national reporting and contextual understanding. Changes have also been made to improve clarity and include additional supporting references and update the data available. The changes made do not imply any changes to the overall methodology for the indicator or its overall scope and applicability.</w:t>
      </w:r>
    </w:p>
    <w:p w14:paraId="202932A9" w14:textId="77777777" w:rsidR="00E312A6" w:rsidRPr="00B50B5F" w:rsidRDefault="00E312A6" w:rsidP="00E312A6">
      <w:pPr>
        <w:pStyle w:val="CBDNormalNumber"/>
        <w:numPr>
          <w:ilvl w:val="1"/>
          <w:numId w:val="542"/>
        </w:numPr>
      </w:pPr>
      <w:r w:rsidRPr="00B50B5F">
        <w:t>10.1 Proportion of agricultural area under productive and sustainable agriculture: No changes have been made to the metadata for this indicator.</w:t>
      </w:r>
    </w:p>
    <w:p w14:paraId="67892F5F" w14:textId="77777777" w:rsidR="00E312A6" w:rsidRPr="00B50B5F" w:rsidRDefault="00E312A6" w:rsidP="00E312A6">
      <w:pPr>
        <w:pStyle w:val="CBDNormalNumber"/>
        <w:numPr>
          <w:ilvl w:val="1"/>
          <w:numId w:val="542"/>
        </w:numPr>
      </w:pPr>
      <w:r w:rsidRPr="00B50B5F">
        <w:t>10.2 Progress towards sustainable forest management: Updates have been made to improve clarity, provide updated information on the use of the indicator, data availability and the references and resources that are available to support the use of the indicator. The updates do not imply any changes to the methodology for the indicator or its overall scope and applicability.</w:t>
      </w:r>
    </w:p>
    <w:p w14:paraId="14EB2F46" w14:textId="77777777" w:rsidR="00E312A6" w:rsidRPr="00B50B5F" w:rsidRDefault="00E312A6" w:rsidP="00E312A6">
      <w:pPr>
        <w:pStyle w:val="CBDNormalNumber"/>
        <w:numPr>
          <w:ilvl w:val="1"/>
          <w:numId w:val="542"/>
        </w:numPr>
      </w:pPr>
      <w:r w:rsidRPr="00B50B5F">
        <w:t>12.1 Average share of the built-up area of cities that is green/blue space for public use for all: No changes have been made to the metadata for this indicator.</w:t>
      </w:r>
    </w:p>
    <w:p w14:paraId="1D814927" w14:textId="77777777" w:rsidR="00E312A6" w:rsidRPr="00B50B5F" w:rsidRDefault="00E312A6" w:rsidP="00E312A6">
      <w:pPr>
        <w:pStyle w:val="CBDNormalNumber"/>
        <w:numPr>
          <w:ilvl w:val="1"/>
          <w:numId w:val="542"/>
        </w:numPr>
      </w:pPr>
      <w:r w:rsidRPr="00B50B5F">
        <w:t>15.1 Number of companies disclosing their biodiversity-related risks, dependencies, and impacts: Changes have been made to provide updated information on the data available and the references and resources that are available to support the use of the indicator. The updates do not imply any changes to the methodology for the indicator or its overall scope and applicability.</w:t>
      </w:r>
    </w:p>
    <w:p w14:paraId="03E023E7" w14:textId="77777777" w:rsidR="00E312A6" w:rsidRPr="00B50B5F" w:rsidRDefault="00E312A6" w:rsidP="00E312A6">
      <w:pPr>
        <w:pStyle w:val="CBDNormalNumber"/>
        <w:numPr>
          <w:ilvl w:val="1"/>
          <w:numId w:val="542"/>
        </w:numPr>
      </w:pPr>
      <w:r w:rsidRPr="00B50B5F">
        <w:t>18.1 Positive incentives in place to promote biodiversity conservation and sustainable use: Changes to the metadata have been made to provide updates on the data available, the references and resources which are available to support the use of indicator. The changes made do not imply any changes to the methodology for the indicator or its overall scope and applicability.</w:t>
      </w:r>
    </w:p>
    <w:p w14:paraId="48CE1A60" w14:textId="77777777" w:rsidR="00E312A6" w:rsidRPr="00B50B5F" w:rsidRDefault="00E312A6" w:rsidP="00E312A6">
      <w:pPr>
        <w:pStyle w:val="CBDNormalNumber"/>
        <w:numPr>
          <w:ilvl w:val="1"/>
          <w:numId w:val="542"/>
        </w:numPr>
      </w:pPr>
      <w:r w:rsidRPr="00B50B5F">
        <w:t>18.2 Value of subsidies and other incentives harmful to biodiversity: Changes to the metadata have been made to provide updates on the data available, the references and resources which are available to support the use of indicator. The changes made do not imply any changes to the methodology for the indicator or its overall scope and applicability.</w:t>
      </w:r>
      <w:r w:rsidRPr="00B50B5F">
        <w:tab/>
      </w:r>
    </w:p>
    <w:p w14:paraId="25D6BD54" w14:textId="77777777" w:rsidR="00E312A6" w:rsidRPr="00B50B5F" w:rsidRDefault="00E312A6" w:rsidP="00E312A6">
      <w:pPr>
        <w:pStyle w:val="CBDNormalNumber"/>
        <w:numPr>
          <w:ilvl w:val="1"/>
          <w:numId w:val="542"/>
        </w:numPr>
      </w:pPr>
      <w:r w:rsidRPr="00B50B5F">
        <w:t>21.1 Indicator on biodiversity information for monitoring the global biodiversity framework: No changes have been made to the metadata for this indicator.</w:t>
      </w:r>
    </w:p>
    <w:p w14:paraId="3A29FAEF" w14:textId="77777777" w:rsidR="00E312A6" w:rsidRPr="00B50B5F" w:rsidRDefault="00E312A6" w:rsidP="00E312A6">
      <w:pPr>
        <w:pStyle w:val="CBDNormalNumber"/>
        <w:numPr>
          <w:ilvl w:val="1"/>
          <w:numId w:val="542"/>
        </w:numPr>
      </w:pPr>
      <w:r w:rsidRPr="00B50B5F">
        <w:sym w:font="Symbol" w:char="F032"/>
      </w:r>
      <w:r w:rsidRPr="00B50B5F">
        <w:sym w:font="Symbol" w:char="F032"/>
      </w:r>
      <w:r w:rsidRPr="00B50B5F">
        <w:sym w:font="Symbol" w:char="F02E"/>
      </w:r>
      <w:r w:rsidRPr="00B50B5F">
        <w:sym w:font="Symbol" w:char="F031"/>
      </w:r>
      <w:r w:rsidRPr="00B50B5F">
        <w:t xml:space="preserve"> Land-use change and land tenure in the traditional territories of indigenous peoples and local communities:  Metadata for headline indicator 22.1 was originally made available in document CBD/SBSTTA/26/INF/11. Updates to the metadata have been made based on the submissions made on this indicator in response to the request in decision 16/31 and additional work carried out by Food and Agriculture Organization of the United Nations, the International Land Coalition, and World Resources Institute. The indicator methodology has been consolidated into three substantive components which can be aggregated. This has been done to simplify the formulation of the indicator, reduce duplication and to present the indicator in a more coherent manner. Further, descriptions of key terms and concepts have been updated for clarity. Similarly, the structure of the indicator and its treatment of data sources have been further clarified. These updates improve the methodological clarity of the indicator, strengthen its operational feasibility at national level, and better reflect the diversity of tenure systems, data sources, and monitoring realities across countries. They also provide a more coherent structure for the indicator, a clearer articulation of its concepts, and provide more explicit information on its calculation methods and data architecture. It is anticipated that continued technical learning, country testing, and dialogue with Parties, and indigenous peoples and local communities will result in further improvements to the metadata </w:t>
      </w:r>
      <w:r w:rsidRPr="00B50B5F">
        <w:lastRenderedPageBreak/>
        <w:t>overtime. An information document has been prepared outlining the support provided by FAO and its partners to the further development and operationalization of the indicator.</w:t>
      </w:r>
    </w:p>
    <w:p w14:paraId="4F11D8F1" w14:textId="77777777" w:rsidR="00E312A6" w:rsidRDefault="00E312A6">
      <w:pPr>
        <w:rPr>
          <w:rFonts w:asciiTheme="majorBidi" w:eastAsiaTheme="majorEastAsia" w:hAnsiTheme="majorBidi" w:cstheme="majorBidi"/>
          <w:b/>
          <w:bCs/>
          <w:sz w:val="32"/>
          <w:szCs w:val="32"/>
          <w:lang w:val="en-US"/>
        </w:rPr>
      </w:pPr>
      <w:r>
        <w:rPr>
          <w:rFonts w:asciiTheme="majorBidi" w:eastAsiaTheme="majorEastAsia" w:hAnsiTheme="majorBidi" w:cstheme="majorBidi"/>
          <w:b/>
          <w:bCs/>
          <w:sz w:val="32"/>
          <w:szCs w:val="32"/>
          <w:lang w:val="en-US"/>
        </w:rPr>
        <w:br w:type="page"/>
      </w:r>
    </w:p>
    <w:p w14:paraId="0789BFD3" w14:textId="469EA44C" w:rsidR="003F39A4" w:rsidRDefault="003F39A4" w:rsidP="00812871">
      <w:pPr>
        <w:rPr>
          <w:rFonts w:asciiTheme="majorBidi" w:eastAsiaTheme="majorEastAsia" w:hAnsiTheme="majorBidi" w:cstheme="majorBidi"/>
          <w:b/>
          <w:bCs/>
          <w:sz w:val="32"/>
          <w:szCs w:val="32"/>
          <w:lang w:val="en-US"/>
        </w:rPr>
      </w:pPr>
      <w:r>
        <w:rPr>
          <w:rFonts w:asciiTheme="majorBidi" w:eastAsiaTheme="majorEastAsia" w:hAnsiTheme="majorBidi" w:cstheme="majorBidi"/>
          <w:b/>
          <w:bCs/>
          <w:sz w:val="32"/>
          <w:szCs w:val="32"/>
          <w:lang w:val="en-US"/>
        </w:rPr>
        <w:lastRenderedPageBreak/>
        <w:t>Annex</w:t>
      </w:r>
    </w:p>
    <w:p w14:paraId="5487E06D" w14:textId="1FA9DF2B" w:rsidR="00166BEC" w:rsidRPr="003F39A4" w:rsidRDefault="00C0213F" w:rsidP="003F39A4">
      <w:pPr>
        <w:tabs>
          <w:tab w:val="left" w:pos="567"/>
        </w:tabs>
        <w:spacing w:before="120" w:after="120"/>
        <w:ind w:left="567"/>
        <w:jc w:val="both"/>
        <w:rPr>
          <w:rFonts w:asciiTheme="majorBidi" w:eastAsiaTheme="majorEastAsia" w:hAnsiTheme="majorBidi" w:cstheme="majorBidi"/>
          <w:b/>
          <w:bCs/>
          <w:sz w:val="32"/>
          <w:szCs w:val="32"/>
          <w:lang w:val="en-US"/>
        </w:rPr>
      </w:pPr>
      <w:r w:rsidRPr="003F39A4">
        <w:rPr>
          <w:rFonts w:asciiTheme="majorBidi" w:eastAsiaTheme="majorEastAsia" w:hAnsiTheme="majorBidi" w:cstheme="majorBidi"/>
          <w:b/>
          <w:bCs/>
          <w:sz w:val="32"/>
          <w:szCs w:val="32"/>
          <w:lang w:val="en-US"/>
        </w:rPr>
        <w:t xml:space="preserve">Updated </w:t>
      </w:r>
      <w:r w:rsidR="008F4B28" w:rsidRPr="003F39A4">
        <w:rPr>
          <w:rFonts w:asciiTheme="majorBidi" w:eastAsiaTheme="majorEastAsia" w:hAnsiTheme="majorBidi" w:cstheme="majorBidi"/>
          <w:b/>
          <w:bCs/>
          <w:sz w:val="32"/>
          <w:szCs w:val="32"/>
          <w:lang w:val="en-US"/>
        </w:rPr>
        <w:t>metadata</w:t>
      </w:r>
      <w:r w:rsidR="003F39A4">
        <w:rPr>
          <w:rFonts w:asciiTheme="majorBidi" w:eastAsiaTheme="majorEastAsia" w:hAnsiTheme="majorBidi" w:cstheme="majorBidi"/>
          <w:b/>
          <w:bCs/>
          <w:sz w:val="32"/>
          <w:szCs w:val="32"/>
          <w:lang w:val="en-US"/>
        </w:rPr>
        <w:t xml:space="preserve"> for the headline indicators in the monitoring framework for the Kunming-Montreal Global Biodiversity Framework</w:t>
      </w:r>
    </w:p>
    <w:sdt>
      <w:sdtPr>
        <w:id w:val="-445077869"/>
        <w:docPartObj>
          <w:docPartGallery w:val="Table of Contents"/>
          <w:docPartUnique/>
        </w:docPartObj>
      </w:sdtPr>
      <w:sdtEndPr>
        <w:rPr>
          <w:b/>
          <w:bCs/>
          <w:noProof/>
        </w:rPr>
      </w:sdtEndPr>
      <w:sdtContent>
        <w:p w14:paraId="4CC5F8F9" w14:textId="3C74B6CE" w:rsidR="0049633C" w:rsidRDefault="00E70E5C">
          <w:pPr>
            <w:pStyle w:val="TOC3"/>
            <w:rPr>
              <w:rFonts w:asciiTheme="minorHAnsi" w:eastAsiaTheme="minorEastAsia" w:hAnsiTheme="minorHAnsi" w:cstheme="minorBidi"/>
              <w:noProof/>
              <w:kern w:val="2"/>
              <w:lang w:eastAsia="zh-CN"/>
              <w14:ligatures w14:val="standardContextual"/>
            </w:rPr>
          </w:pPr>
          <w:r w:rsidRPr="00ED7E61">
            <w:fldChar w:fldCharType="begin"/>
          </w:r>
          <w:r w:rsidRPr="00ED7E61">
            <w:instrText xml:space="preserve"> TOC \o "1-3" \h \z \u </w:instrText>
          </w:r>
          <w:r w:rsidRPr="00ED7E61">
            <w:fldChar w:fldCharType="separate"/>
          </w:r>
          <w:hyperlink w:anchor="_Toc233278553" w:history="1">
            <w:r w:rsidR="0049633C" w:rsidRPr="0074256E">
              <w:rPr>
                <w:rStyle w:val="Hyperlink"/>
                <w:noProof/>
              </w:rPr>
              <w:t>A.1 Red List of Ecosystems</w:t>
            </w:r>
            <w:r w:rsidR="0049633C">
              <w:rPr>
                <w:noProof/>
                <w:webHidden/>
              </w:rPr>
              <w:tab/>
            </w:r>
            <w:r w:rsidR="0049633C">
              <w:rPr>
                <w:noProof/>
                <w:webHidden/>
              </w:rPr>
              <w:fldChar w:fldCharType="begin"/>
            </w:r>
            <w:r w:rsidR="0049633C">
              <w:rPr>
                <w:noProof/>
                <w:webHidden/>
              </w:rPr>
              <w:instrText xml:space="preserve"> PAGEREF _Toc233278553 \h </w:instrText>
            </w:r>
            <w:r w:rsidR="0049633C">
              <w:rPr>
                <w:noProof/>
                <w:webHidden/>
              </w:rPr>
            </w:r>
            <w:r w:rsidR="0049633C">
              <w:rPr>
                <w:noProof/>
                <w:webHidden/>
              </w:rPr>
              <w:fldChar w:fldCharType="separate"/>
            </w:r>
            <w:r w:rsidR="00E822AE">
              <w:rPr>
                <w:noProof/>
                <w:webHidden/>
              </w:rPr>
              <w:t>12</w:t>
            </w:r>
            <w:r w:rsidR="0049633C">
              <w:rPr>
                <w:noProof/>
                <w:webHidden/>
              </w:rPr>
              <w:fldChar w:fldCharType="end"/>
            </w:r>
          </w:hyperlink>
        </w:p>
        <w:p w14:paraId="61ED5314" w14:textId="6495D566"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54" w:history="1">
            <w:r w:rsidRPr="0074256E">
              <w:rPr>
                <w:rStyle w:val="Hyperlink"/>
                <w:noProof/>
              </w:rPr>
              <w:t>A.2 Extent of natural ecosystems</w:t>
            </w:r>
            <w:r>
              <w:rPr>
                <w:noProof/>
                <w:webHidden/>
              </w:rPr>
              <w:tab/>
            </w:r>
            <w:r>
              <w:rPr>
                <w:noProof/>
                <w:webHidden/>
              </w:rPr>
              <w:fldChar w:fldCharType="begin"/>
            </w:r>
            <w:r>
              <w:rPr>
                <w:noProof/>
                <w:webHidden/>
              </w:rPr>
              <w:instrText xml:space="preserve"> PAGEREF _Toc233278554 \h </w:instrText>
            </w:r>
            <w:r>
              <w:rPr>
                <w:noProof/>
                <w:webHidden/>
              </w:rPr>
            </w:r>
            <w:r>
              <w:rPr>
                <w:noProof/>
                <w:webHidden/>
              </w:rPr>
              <w:fldChar w:fldCharType="separate"/>
            </w:r>
            <w:r w:rsidR="00E822AE">
              <w:rPr>
                <w:noProof/>
                <w:webHidden/>
              </w:rPr>
              <w:t>27</w:t>
            </w:r>
            <w:r>
              <w:rPr>
                <w:noProof/>
                <w:webHidden/>
              </w:rPr>
              <w:fldChar w:fldCharType="end"/>
            </w:r>
          </w:hyperlink>
        </w:p>
        <w:p w14:paraId="6899124F" w14:textId="63289EB7"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55" w:history="1">
            <w:r w:rsidRPr="0074256E">
              <w:rPr>
                <w:rStyle w:val="Hyperlink"/>
                <w:noProof/>
              </w:rPr>
              <w:t>A.3 Red List Index</w:t>
            </w:r>
            <w:r>
              <w:rPr>
                <w:noProof/>
                <w:webHidden/>
              </w:rPr>
              <w:tab/>
            </w:r>
            <w:r>
              <w:rPr>
                <w:noProof/>
                <w:webHidden/>
              </w:rPr>
              <w:fldChar w:fldCharType="begin"/>
            </w:r>
            <w:r>
              <w:rPr>
                <w:noProof/>
                <w:webHidden/>
              </w:rPr>
              <w:instrText xml:space="preserve"> PAGEREF _Toc233278555 \h </w:instrText>
            </w:r>
            <w:r>
              <w:rPr>
                <w:noProof/>
                <w:webHidden/>
              </w:rPr>
            </w:r>
            <w:r>
              <w:rPr>
                <w:noProof/>
                <w:webHidden/>
              </w:rPr>
              <w:fldChar w:fldCharType="separate"/>
            </w:r>
            <w:r w:rsidR="00E822AE">
              <w:rPr>
                <w:noProof/>
                <w:webHidden/>
              </w:rPr>
              <w:t>40</w:t>
            </w:r>
            <w:r>
              <w:rPr>
                <w:noProof/>
                <w:webHidden/>
              </w:rPr>
              <w:fldChar w:fldCharType="end"/>
            </w:r>
          </w:hyperlink>
        </w:p>
        <w:p w14:paraId="53605E0E" w14:textId="285DCB91"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56" w:history="1">
            <w:r w:rsidRPr="0074256E">
              <w:rPr>
                <w:rStyle w:val="Hyperlink"/>
                <w:noProof/>
              </w:rPr>
              <w:t>A.4 The proportion of populations within species with an effective population size (Ne) &gt; 500</w:t>
            </w:r>
            <w:r>
              <w:rPr>
                <w:noProof/>
                <w:webHidden/>
              </w:rPr>
              <w:tab/>
            </w:r>
            <w:r>
              <w:rPr>
                <w:noProof/>
                <w:webHidden/>
              </w:rPr>
              <w:fldChar w:fldCharType="begin"/>
            </w:r>
            <w:r>
              <w:rPr>
                <w:noProof/>
                <w:webHidden/>
              </w:rPr>
              <w:instrText xml:space="preserve"> PAGEREF _Toc233278556 \h </w:instrText>
            </w:r>
            <w:r>
              <w:rPr>
                <w:noProof/>
                <w:webHidden/>
              </w:rPr>
            </w:r>
            <w:r>
              <w:rPr>
                <w:noProof/>
                <w:webHidden/>
              </w:rPr>
              <w:fldChar w:fldCharType="separate"/>
            </w:r>
            <w:r w:rsidR="00E822AE">
              <w:rPr>
                <w:noProof/>
                <w:webHidden/>
              </w:rPr>
              <w:t>54</w:t>
            </w:r>
            <w:r>
              <w:rPr>
                <w:noProof/>
                <w:webHidden/>
              </w:rPr>
              <w:fldChar w:fldCharType="end"/>
            </w:r>
          </w:hyperlink>
        </w:p>
        <w:p w14:paraId="33051481" w14:textId="31574189"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57" w:history="1">
            <w:r w:rsidRPr="0074256E">
              <w:rPr>
                <w:rStyle w:val="Hyperlink"/>
                <w:noProof/>
              </w:rPr>
              <w:t>B.1 Services provided by ecosystems</w:t>
            </w:r>
            <w:r>
              <w:rPr>
                <w:noProof/>
                <w:webHidden/>
              </w:rPr>
              <w:tab/>
            </w:r>
            <w:r>
              <w:rPr>
                <w:noProof/>
                <w:webHidden/>
              </w:rPr>
              <w:fldChar w:fldCharType="begin"/>
            </w:r>
            <w:r>
              <w:rPr>
                <w:noProof/>
                <w:webHidden/>
              </w:rPr>
              <w:instrText xml:space="preserve"> PAGEREF _Toc233278557 \h </w:instrText>
            </w:r>
            <w:r>
              <w:rPr>
                <w:noProof/>
                <w:webHidden/>
              </w:rPr>
            </w:r>
            <w:r>
              <w:rPr>
                <w:noProof/>
                <w:webHidden/>
              </w:rPr>
              <w:fldChar w:fldCharType="separate"/>
            </w:r>
            <w:r w:rsidR="00E822AE">
              <w:rPr>
                <w:noProof/>
                <w:webHidden/>
              </w:rPr>
              <w:t>71</w:t>
            </w:r>
            <w:r>
              <w:rPr>
                <w:noProof/>
                <w:webHidden/>
              </w:rPr>
              <w:fldChar w:fldCharType="end"/>
            </w:r>
          </w:hyperlink>
        </w:p>
        <w:p w14:paraId="64F07566" w14:textId="7B79DFA9"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58" w:history="1">
            <w:r w:rsidRPr="0074256E">
              <w:rPr>
                <w:rStyle w:val="Hyperlink"/>
                <w:noProof/>
              </w:rPr>
              <w:t>Binary indicator B.b</w:t>
            </w:r>
            <w:r>
              <w:rPr>
                <w:noProof/>
                <w:webHidden/>
              </w:rPr>
              <w:tab/>
            </w:r>
            <w:r>
              <w:rPr>
                <w:noProof/>
                <w:webHidden/>
              </w:rPr>
              <w:fldChar w:fldCharType="begin"/>
            </w:r>
            <w:r>
              <w:rPr>
                <w:noProof/>
                <w:webHidden/>
              </w:rPr>
              <w:instrText xml:space="preserve"> PAGEREF _Toc233278558 \h </w:instrText>
            </w:r>
            <w:r>
              <w:rPr>
                <w:noProof/>
                <w:webHidden/>
              </w:rPr>
            </w:r>
            <w:r>
              <w:rPr>
                <w:noProof/>
                <w:webHidden/>
              </w:rPr>
              <w:fldChar w:fldCharType="separate"/>
            </w:r>
            <w:r w:rsidR="00E822AE">
              <w:rPr>
                <w:noProof/>
                <w:webHidden/>
              </w:rPr>
              <w:t>81</w:t>
            </w:r>
            <w:r>
              <w:rPr>
                <w:noProof/>
                <w:webHidden/>
              </w:rPr>
              <w:fldChar w:fldCharType="end"/>
            </w:r>
          </w:hyperlink>
        </w:p>
        <w:p w14:paraId="77D4B067" w14:textId="0D864DC2"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59" w:history="1">
            <w:r w:rsidRPr="0074256E">
              <w:rPr>
                <w:rStyle w:val="Hyperlink"/>
                <w:noProof/>
              </w:rPr>
              <w:t>C.1 Monetary benefits received in accordance with applicable internationally agreed ABS instruments</w:t>
            </w:r>
            <w:r>
              <w:rPr>
                <w:noProof/>
                <w:webHidden/>
              </w:rPr>
              <w:tab/>
            </w:r>
            <w:r>
              <w:rPr>
                <w:noProof/>
                <w:webHidden/>
              </w:rPr>
              <w:fldChar w:fldCharType="begin"/>
            </w:r>
            <w:r>
              <w:rPr>
                <w:noProof/>
                <w:webHidden/>
              </w:rPr>
              <w:instrText xml:space="preserve"> PAGEREF _Toc233278559 \h </w:instrText>
            </w:r>
            <w:r>
              <w:rPr>
                <w:noProof/>
                <w:webHidden/>
              </w:rPr>
            </w:r>
            <w:r>
              <w:rPr>
                <w:noProof/>
                <w:webHidden/>
              </w:rPr>
              <w:fldChar w:fldCharType="separate"/>
            </w:r>
            <w:r w:rsidR="00E822AE">
              <w:rPr>
                <w:noProof/>
                <w:webHidden/>
              </w:rPr>
              <w:t>84</w:t>
            </w:r>
            <w:r>
              <w:rPr>
                <w:noProof/>
                <w:webHidden/>
              </w:rPr>
              <w:fldChar w:fldCharType="end"/>
            </w:r>
          </w:hyperlink>
        </w:p>
        <w:p w14:paraId="35806444" w14:textId="7461CC96"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0" w:history="1">
            <w:r w:rsidRPr="0074256E">
              <w:rPr>
                <w:rStyle w:val="Hyperlink"/>
                <w:noProof/>
              </w:rPr>
              <w:t>C.2 Non-monetary benefits arising from applicable internationally agreed ABS instruments</w:t>
            </w:r>
            <w:r>
              <w:rPr>
                <w:noProof/>
                <w:webHidden/>
              </w:rPr>
              <w:tab/>
            </w:r>
            <w:r>
              <w:rPr>
                <w:noProof/>
                <w:webHidden/>
              </w:rPr>
              <w:fldChar w:fldCharType="begin"/>
            </w:r>
            <w:r>
              <w:rPr>
                <w:noProof/>
                <w:webHidden/>
              </w:rPr>
              <w:instrText xml:space="preserve"> PAGEREF _Toc233278560 \h </w:instrText>
            </w:r>
            <w:r>
              <w:rPr>
                <w:noProof/>
                <w:webHidden/>
              </w:rPr>
            </w:r>
            <w:r>
              <w:rPr>
                <w:noProof/>
                <w:webHidden/>
              </w:rPr>
              <w:fldChar w:fldCharType="separate"/>
            </w:r>
            <w:r w:rsidR="00E822AE">
              <w:rPr>
                <w:noProof/>
                <w:webHidden/>
              </w:rPr>
              <w:t>92</w:t>
            </w:r>
            <w:r>
              <w:rPr>
                <w:noProof/>
                <w:webHidden/>
              </w:rPr>
              <w:fldChar w:fldCharType="end"/>
            </w:r>
          </w:hyperlink>
        </w:p>
        <w:p w14:paraId="1993607E" w14:textId="66F290C6"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1" w:history="1">
            <w:r w:rsidRPr="0074256E">
              <w:rPr>
                <w:rStyle w:val="Hyperlink"/>
                <w:noProof/>
              </w:rPr>
              <w:t>D.1 International public funding, including official development assistance (ODA), for conservation and sustainable use of biodiversity, and ecosystems</w:t>
            </w:r>
            <w:r>
              <w:rPr>
                <w:noProof/>
                <w:webHidden/>
              </w:rPr>
              <w:tab/>
            </w:r>
            <w:r>
              <w:rPr>
                <w:noProof/>
                <w:webHidden/>
              </w:rPr>
              <w:fldChar w:fldCharType="begin"/>
            </w:r>
            <w:r>
              <w:rPr>
                <w:noProof/>
                <w:webHidden/>
              </w:rPr>
              <w:instrText xml:space="preserve"> PAGEREF _Toc233278561 \h </w:instrText>
            </w:r>
            <w:r>
              <w:rPr>
                <w:noProof/>
                <w:webHidden/>
              </w:rPr>
            </w:r>
            <w:r>
              <w:rPr>
                <w:noProof/>
                <w:webHidden/>
              </w:rPr>
              <w:fldChar w:fldCharType="separate"/>
            </w:r>
            <w:r w:rsidR="00E822AE">
              <w:rPr>
                <w:noProof/>
                <w:webHidden/>
              </w:rPr>
              <w:t>104</w:t>
            </w:r>
            <w:r>
              <w:rPr>
                <w:noProof/>
                <w:webHidden/>
              </w:rPr>
              <w:fldChar w:fldCharType="end"/>
            </w:r>
          </w:hyperlink>
        </w:p>
        <w:p w14:paraId="45E988CE" w14:textId="02A8E68F"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2" w:history="1">
            <w:r w:rsidRPr="0074256E">
              <w:rPr>
                <w:rStyle w:val="Hyperlink"/>
                <w:noProof/>
              </w:rPr>
              <w:t>D.2 Domestic public funding on conservation and sustainable use of biodiversity and ecosystems</w:t>
            </w:r>
            <w:r>
              <w:rPr>
                <w:noProof/>
                <w:webHidden/>
              </w:rPr>
              <w:tab/>
            </w:r>
            <w:r>
              <w:rPr>
                <w:noProof/>
                <w:webHidden/>
              </w:rPr>
              <w:fldChar w:fldCharType="begin"/>
            </w:r>
            <w:r>
              <w:rPr>
                <w:noProof/>
                <w:webHidden/>
              </w:rPr>
              <w:instrText xml:space="preserve"> PAGEREF _Toc233278562 \h </w:instrText>
            </w:r>
            <w:r>
              <w:rPr>
                <w:noProof/>
                <w:webHidden/>
              </w:rPr>
            </w:r>
            <w:r>
              <w:rPr>
                <w:noProof/>
                <w:webHidden/>
              </w:rPr>
              <w:fldChar w:fldCharType="separate"/>
            </w:r>
            <w:r w:rsidR="00E822AE">
              <w:rPr>
                <w:noProof/>
                <w:webHidden/>
              </w:rPr>
              <w:t>112</w:t>
            </w:r>
            <w:r>
              <w:rPr>
                <w:noProof/>
                <w:webHidden/>
              </w:rPr>
              <w:fldChar w:fldCharType="end"/>
            </w:r>
          </w:hyperlink>
        </w:p>
        <w:p w14:paraId="2B32282B" w14:textId="24A19B45"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3" w:history="1">
            <w:r w:rsidRPr="0074256E">
              <w:rPr>
                <w:rStyle w:val="Hyperlink"/>
                <w:noProof/>
              </w:rPr>
              <w:t>D.3 Private funding (domestic and international) on conservation and sustainable use of biodiversity and ecosystems</w:t>
            </w:r>
            <w:r>
              <w:rPr>
                <w:noProof/>
                <w:webHidden/>
              </w:rPr>
              <w:tab/>
            </w:r>
            <w:r>
              <w:rPr>
                <w:noProof/>
                <w:webHidden/>
              </w:rPr>
              <w:fldChar w:fldCharType="begin"/>
            </w:r>
            <w:r>
              <w:rPr>
                <w:noProof/>
                <w:webHidden/>
              </w:rPr>
              <w:instrText xml:space="preserve"> PAGEREF _Toc233278563 \h </w:instrText>
            </w:r>
            <w:r>
              <w:rPr>
                <w:noProof/>
                <w:webHidden/>
              </w:rPr>
            </w:r>
            <w:r>
              <w:rPr>
                <w:noProof/>
                <w:webHidden/>
              </w:rPr>
              <w:fldChar w:fldCharType="separate"/>
            </w:r>
            <w:r w:rsidR="00E822AE">
              <w:rPr>
                <w:noProof/>
                <w:webHidden/>
              </w:rPr>
              <w:t>118</w:t>
            </w:r>
            <w:r>
              <w:rPr>
                <w:noProof/>
                <w:webHidden/>
              </w:rPr>
              <w:fldChar w:fldCharType="end"/>
            </w:r>
          </w:hyperlink>
        </w:p>
        <w:p w14:paraId="3E3BD196" w14:textId="66CE7D0F"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4" w:history="1">
            <w:r w:rsidRPr="0074256E">
              <w:rPr>
                <w:rStyle w:val="Hyperlink"/>
                <w:noProof/>
              </w:rPr>
              <w:t>1.1. Percent of land and seas covered by biodiversity-inclusive spatial plans</w:t>
            </w:r>
            <w:r>
              <w:rPr>
                <w:noProof/>
                <w:webHidden/>
              </w:rPr>
              <w:tab/>
            </w:r>
            <w:r>
              <w:rPr>
                <w:noProof/>
                <w:webHidden/>
              </w:rPr>
              <w:fldChar w:fldCharType="begin"/>
            </w:r>
            <w:r>
              <w:rPr>
                <w:noProof/>
                <w:webHidden/>
              </w:rPr>
              <w:instrText xml:space="preserve"> PAGEREF _Toc233278564 \h </w:instrText>
            </w:r>
            <w:r>
              <w:rPr>
                <w:noProof/>
                <w:webHidden/>
              </w:rPr>
            </w:r>
            <w:r>
              <w:rPr>
                <w:noProof/>
                <w:webHidden/>
              </w:rPr>
              <w:fldChar w:fldCharType="separate"/>
            </w:r>
            <w:r w:rsidR="00E822AE">
              <w:rPr>
                <w:noProof/>
                <w:webHidden/>
              </w:rPr>
              <w:t>125</w:t>
            </w:r>
            <w:r>
              <w:rPr>
                <w:noProof/>
                <w:webHidden/>
              </w:rPr>
              <w:fldChar w:fldCharType="end"/>
            </w:r>
          </w:hyperlink>
        </w:p>
        <w:p w14:paraId="17E44AC6" w14:textId="1AA094E0"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5" w:history="1">
            <w:r w:rsidRPr="0074256E">
              <w:rPr>
                <w:rStyle w:val="Hyperlink"/>
                <w:noProof/>
              </w:rPr>
              <w:t>Binary indicator 1.b</w:t>
            </w:r>
            <w:r>
              <w:rPr>
                <w:noProof/>
                <w:webHidden/>
              </w:rPr>
              <w:tab/>
            </w:r>
            <w:r>
              <w:rPr>
                <w:noProof/>
                <w:webHidden/>
              </w:rPr>
              <w:fldChar w:fldCharType="begin"/>
            </w:r>
            <w:r>
              <w:rPr>
                <w:noProof/>
                <w:webHidden/>
              </w:rPr>
              <w:instrText xml:space="preserve"> PAGEREF _Toc233278565 \h </w:instrText>
            </w:r>
            <w:r>
              <w:rPr>
                <w:noProof/>
                <w:webHidden/>
              </w:rPr>
            </w:r>
            <w:r>
              <w:rPr>
                <w:noProof/>
                <w:webHidden/>
              </w:rPr>
              <w:fldChar w:fldCharType="separate"/>
            </w:r>
            <w:r w:rsidR="00E822AE">
              <w:rPr>
                <w:noProof/>
                <w:webHidden/>
              </w:rPr>
              <w:t>134</w:t>
            </w:r>
            <w:r>
              <w:rPr>
                <w:noProof/>
                <w:webHidden/>
              </w:rPr>
              <w:fldChar w:fldCharType="end"/>
            </w:r>
          </w:hyperlink>
        </w:p>
        <w:p w14:paraId="2C155B42" w14:textId="1D7C027C"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6" w:history="1">
            <w:r w:rsidRPr="0074256E">
              <w:rPr>
                <w:rStyle w:val="Hyperlink"/>
                <w:noProof/>
              </w:rPr>
              <w:t>2.1 Area under restoration</w:t>
            </w:r>
            <w:r>
              <w:rPr>
                <w:noProof/>
                <w:webHidden/>
              </w:rPr>
              <w:tab/>
            </w:r>
            <w:r>
              <w:rPr>
                <w:noProof/>
                <w:webHidden/>
              </w:rPr>
              <w:fldChar w:fldCharType="begin"/>
            </w:r>
            <w:r>
              <w:rPr>
                <w:noProof/>
                <w:webHidden/>
              </w:rPr>
              <w:instrText xml:space="preserve"> PAGEREF _Toc233278566 \h </w:instrText>
            </w:r>
            <w:r>
              <w:rPr>
                <w:noProof/>
                <w:webHidden/>
              </w:rPr>
            </w:r>
            <w:r>
              <w:rPr>
                <w:noProof/>
                <w:webHidden/>
              </w:rPr>
              <w:fldChar w:fldCharType="separate"/>
            </w:r>
            <w:r w:rsidR="00E822AE">
              <w:rPr>
                <w:noProof/>
                <w:webHidden/>
              </w:rPr>
              <w:t>137</w:t>
            </w:r>
            <w:r>
              <w:rPr>
                <w:noProof/>
                <w:webHidden/>
              </w:rPr>
              <w:fldChar w:fldCharType="end"/>
            </w:r>
          </w:hyperlink>
        </w:p>
        <w:p w14:paraId="4A5AB7D6" w14:textId="39780FDC"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7" w:history="1">
            <w:r w:rsidRPr="0074256E">
              <w:rPr>
                <w:rStyle w:val="Hyperlink"/>
                <w:noProof/>
              </w:rPr>
              <w:t>3.1 Coverage of protected areas and other effective area-based conservation measures</w:t>
            </w:r>
            <w:r>
              <w:rPr>
                <w:noProof/>
                <w:webHidden/>
              </w:rPr>
              <w:tab/>
            </w:r>
            <w:r>
              <w:rPr>
                <w:noProof/>
                <w:webHidden/>
              </w:rPr>
              <w:fldChar w:fldCharType="begin"/>
            </w:r>
            <w:r>
              <w:rPr>
                <w:noProof/>
                <w:webHidden/>
              </w:rPr>
              <w:instrText xml:space="preserve"> PAGEREF _Toc233278567 \h </w:instrText>
            </w:r>
            <w:r>
              <w:rPr>
                <w:noProof/>
                <w:webHidden/>
              </w:rPr>
            </w:r>
            <w:r>
              <w:rPr>
                <w:noProof/>
                <w:webHidden/>
              </w:rPr>
              <w:fldChar w:fldCharType="separate"/>
            </w:r>
            <w:r w:rsidR="00E822AE">
              <w:rPr>
                <w:noProof/>
                <w:webHidden/>
              </w:rPr>
              <w:t>150</w:t>
            </w:r>
            <w:r>
              <w:rPr>
                <w:noProof/>
                <w:webHidden/>
              </w:rPr>
              <w:fldChar w:fldCharType="end"/>
            </w:r>
          </w:hyperlink>
        </w:p>
        <w:p w14:paraId="154B63D0" w14:textId="4E054955"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8" w:history="1">
            <w:r w:rsidRPr="0074256E">
              <w:rPr>
                <w:rStyle w:val="Hyperlink"/>
                <w:noProof/>
              </w:rPr>
              <w:t>5.1 Proportion of fish stocks within biologically sustainable levels</w:t>
            </w:r>
            <w:r>
              <w:rPr>
                <w:noProof/>
                <w:webHidden/>
              </w:rPr>
              <w:tab/>
            </w:r>
            <w:r>
              <w:rPr>
                <w:noProof/>
                <w:webHidden/>
              </w:rPr>
              <w:fldChar w:fldCharType="begin"/>
            </w:r>
            <w:r>
              <w:rPr>
                <w:noProof/>
                <w:webHidden/>
              </w:rPr>
              <w:instrText xml:space="preserve"> PAGEREF _Toc233278568 \h </w:instrText>
            </w:r>
            <w:r>
              <w:rPr>
                <w:noProof/>
                <w:webHidden/>
              </w:rPr>
            </w:r>
            <w:r>
              <w:rPr>
                <w:noProof/>
                <w:webHidden/>
              </w:rPr>
              <w:fldChar w:fldCharType="separate"/>
            </w:r>
            <w:r w:rsidR="00E822AE">
              <w:rPr>
                <w:noProof/>
                <w:webHidden/>
              </w:rPr>
              <w:t>166</w:t>
            </w:r>
            <w:r>
              <w:rPr>
                <w:noProof/>
                <w:webHidden/>
              </w:rPr>
              <w:fldChar w:fldCharType="end"/>
            </w:r>
          </w:hyperlink>
        </w:p>
        <w:p w14:paraId="0840D897" w14:textId="3BDB16A0"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69" w:history="1">
            <w:r w:rsidRPr="0074256E">
              <w:rPr>
                <w:rStyle w:val="Hyperlink"/>
                <w:noProof/>
              </w:rPr>
              <w:t>6.1 Rate of invasive alien species establishment</w:t>
            </w:r>
            <w:r>
              <w:rPr>
                <w:noProof/>
                <w:webHidden/>
              </w:rPr>
              <w:tab/>
            </w:r>
            <w:r>
              <w:rPr>
                <w:noProof/>
                <w:webHidden/>
              </w:rPr>
              <w:fldChar w:fldCharType="begin"/>
            </w:r>
            <w:r>
              <w:rPr>
                <w:noProof/>
                <w:webHidden/>
              </w:rPr>
              <w:instrText xml:space="preserve"> PAGEREF _Toc233278569 \h </w:instrText>
            </w:r>
            <w:r>
              <w:rPr>
                <w:noProof/>
                <w:webHidden/>
              </w:rPr>
            </w:r>
            <w:r>
              <w:rPr>
                <w:noProof/>
                <w:webHidden/>
              </w:rPr>
              <w:fldChar w:fldCharType="separate"/>
            </w:r>
            <w:r w:rsidR="00E822AE">
              <w:rPr>
                <w:noProof/>
                <w:webHidden/>
              </w:rPr>
              <w:t>175</w:t>
            </w:r>
            <w:r>
              <w:rPr>
                <w:noProof/>
                <w:webHidden/>
              </w:rPr>
              <w:fldChar w:fldCharType="end"/>
            </w:r>
          </w:hyperlink>
        </w:p>
        <w:p w14:paraId="3AC1CAE9" w14:textId="5EFFBC4F"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0" w:history="1">
            <w:r w:rsidRPr="0074256E">
              <w:rPr>
                <w:rStyle w:val="Hyperlink"/>
                <w:noProof/>
              </w:rPr>
              <w:t>Binary indicator 6.b</w:t>
            </w:r>
            <w:r>
              <w:rPr>
                <w:noProof/>
                <w:webHidden/>
              </w:rPr>
              <w:tab/>
            </w:r>
            <w:r>
              <w:rPr>
                <w:noProof/>
                <w:webHidden/>
              </w:rPr>
              <w:fldChar w:fldCharType="begin"/>
            </w:r>
            <w:r>
              <w:rPr>
                <w:noProof/>
                <w:webHidden/>
              </w:rPr>
              <w:instrText xml:space="preserve"> PAGEREF _Toc233278570 \h </w:instrText>
            </w:r>
            <w:r>
              <w:rPr>
                <w:noProof/>
                <w:webHidden/>
              </w:rPr>
            </w:r>
            <w:r>
              <w:rPr>
                <w:noProof/>
                <w:webHidden/>
              </w:rPr>
              <w:fldChar w:fldCharType="separate"/>
            </w:r>
            <w:r w:rsidR="00E822AE">
              <w:rPr>
                <w:noProof/>
                <w:webHidden/>
              </w:rPr>
              <w:t>183</w:t>
            </w:r>
            <w:r>
              <w:rPr>
                <w:noProof/>
                <w:webHidden/>
              </w:rPr>
              <w:fldChar w:fldCharType="end"/>
            </w:r>
          </w:hyperlink>
        </w:p>
        <w:p w14:paraId="37920D02" w14:textId="13E807C8"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1" w:history="1">
            <w:r w:rsidRPr="0074256E">
              <w:rPr>
                <w:rStyle w:val="Hyperlink"/>
                <w:noProof/>
              </w:rPr>
              <w:t>7.1 Index of coastal eutrophication potential</w:t>
            </w:r>
            <w:r>
              <w:rPr>
                <w:noProof/>
                <w:webHidden/>
              </w:rPr>
              <w:tab/>
            </w:r>
            <w:r>
              <w:rPr>
                <w:noProof/>
                <w:webHidden/>
              </w:rPr>
              <w:fldChar w:fldCharType="begin"/>
            </w:r>
            <w:r>
              <w:rPr>
                <w:noProof/>
                <w:webHidden/>
              </w:rPr>
              <w:instrText xml:space="preserve"> PAGEREF _Toc233278571 \h </w:instrText>
            </w:r>
            <w:r>
              <w:rPr>
                <w:noProof/>
                <w:webHidden/>
              </w:rPr>
            </w:r>
            <w:r>
              <w:rPr>
                <w:noProof/>
                <w:webHidden/>
              </w:rPr>
              <w:fldChar w:fldCharType="separate"/>
            </w:r>
            <w:r w:rsidR="00E822AE">
              <w:rPr>
                <w:noProof/>
                <w:webHidden/>
              </w:rPr>
              <w:t>186</w:t>
            </w:r>
            <w:r>
              <w:rPr>
                <w:noProof/>
                <w:webHidden/>
              </w:rPr>
              <w:fldChar w:fldCharType="end"/>
            </w:r>
          </w:hyperlink>
        </w:p>
        <w:p w14:paraId="7909E0B0" w14:textId="477F3868"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2" w:history="1">
            <w:r w:rsidRPr="0074256E">
              <w:rPr>
                <w:rStyle w:val="Hyperlink"/>
                <w:noProof/>
              </w:rPr>
              <w:t>7.2 Pesticide environment concentration and/or aggregated total applied toxicity</w:t>
            </w:r>
            <w:r>
              <w:rPr>
                <w:noProof/>
                <w:webHidden/>
              </w:rPr>
              <w:tab/>
            </w:r>
            <w:r>
              <w:rPr>
                <w:noProof/>
                <w:webHidden/>
              </w:rPr>
              <w:fldChar w:fldCharType="begin"/>
            </w:r>
            <w:r>
              <w:rPr>
                <w:noProof/>
                <w:webHidden/>
              </w:rPr>
              <w:instrText xml:space="preserve"> PAGEREF _Toc233278572 \h </w:instrText>
            </w:r>
            <w:r>
              <w:rPr>
                <w:noProof/>
                <w:webHidden/>
              </w:rPr>
            </w:r>
            <w:r>
              <w:rPr>
                <w:noProof/>
                <w:webHidden/>
              </w:rPr>
              <w:fldChar w:fldCharType="separate"/>
            </w:r>
            <w:r w:rsidR="00E822AE">
              <w:rPr>
                <w:noProof/>
                <w:webHidden/>
              </w:rPr>
              <w:t>192</w:t>
            </w:r>
            <w:r>
              <w:rPr>
                <w:noProof/>
                <w:webHidden/>
              </w:rPr>
              <w:fldChar w:fldCharType="end"/>
            </w:r>
          </w:hyperlink>
        </w:p>
        <w:p w14:paraId="0AFDAD69" w14:textId="76A3C2D2"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3" w:history="1">
            <w:r w:rsidRPr="0074256E">
              <w:rPr>
                <w:rStyle w:val="Hyperlink"/>
                <w:noProof/>
              </w:rPr>
              <w:t>Binary indicator 8.b</w:t>
            </w:r>
            <w:r>
              <w:rPr>
                <w:noProof/>
                <w:webHidden/>
              </w:rPr>
              <w:tab/>
            </w:r>
            <w:r>
              <w:rPr>
                <w:noProof/>
                <w:webHidden/>
              </w:rPr>
              <w:fldChar w:fldCharType="begin"/>
            </w:r>
            <w:r>
              <w:rPr>
                <w:noProof/>
                <w:webHidden/>
              </w:rPr>
              <w:instrText xml:space="preserve"> PAGEREF _Toc233278573 \h </w:instrText>
            </w:r>
            <w:r>
              <w:rPr>
                <w:noProof/>
                <w:webHidden/>
              </w:rPr>
            </w:r>
            <w:r>
              <w:rPr>
                <w:noProof/>
                <w:webHidden/>
              </w:rPr>
              <w:fldChar w:fldCharType="separate"/>
            </w:r>
            <w:r w:rsidR="00E822AE">
              <w:rPr>
                <w:noProof/>
                <w:webHidden/>
              </w:rPr>
              <w:t>203</w:t>
            </w:r>
            <w:r>
              <w:rPr>
                <w:noProof/>
                <w:webHidden/>
              </w:rPr>
              <w:fldChar w:fldCharType="end"/>
            </w:r>
          </w:hyperlink>
        </w:p>
        <w:p w14:paraId="40F25728" w14:textId="0375F8B7"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4" w:history="1">
            <w:r w:rsidRPr="0074256E">
              <w:rPr>
                <w:rStyle w:val="Hyperlink"/>
                <w:noProof/>
              </w:rPr>
              <w:t>9.1 Benefits from the sustainable use of wild species</w:t>
            </w:r>
            <w:r>
              <w:rPr>
                <w:noProof/>
                <w:webHidden/>
              </w:rPr>
              <w:tab/>
            </w:r>
            <w:r>
              <w:rPr>
                <w:noProof/>
                <w:webHidden/>
              </w:rPr>
              <w:fldChar w:fldCharType="begin"/>
            </w:r>
            <w:r>
              <w:rPr>
                <w:noProof/>
                <w:webHidden/>
              </w:rPr>
              <w:instrText xml:space="preserve"> PAGEREF _Toc233278574 \h </w:instrText>
            </w:r>
            <w:r>
              <w:rPr>
                <w:noProof/>
                <w:webHidden/>
              </w:rPr>
            </w:r>
            <w:r>
              <w:rPr>
                <w:noProof/>
                <w:webHidden/>
              </w:rPr>
              <w:fldChar w:fldCharType="separate"/>
            </w:r>
            <w:r w:rsidR="00E822AE">
              <w:rPr>
                <w:noProof/>
                <w:webHidden/>
              </w:rPr>
              <w:t>207</w:t>
            </w:r>
            <w:r>
              <w:rPr>
                <w:noProof/>
                <w:webHidden/>
              </w:rPr>
              <w:fldChar w:fldCharType="end"/>
            </w:r>
          </w:hyperlink>
        </w:p>
        <w:p w14:paraId="2C067459" w14:textId="5FD332DC"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5" w:history="1">
            <w:r w:rsidRPr="0074256E">
              <w:rPr>
                <w:rStyle w:val="Hyperlink"/>
                <w:noProof/>
              </w:rPr>
              <w:t>9.2 Percentage of the population in traditional occupations</w:t>
            </w:r>
            <w:r>
              <w:rPr>
                <w:noProof/>
                <w:webHidden/>
              </w:rPr>
              <w:tab/>
            </w:r>
            <w:r>
              <w:rPr>
                <w:noProof/>
                <w:webHidden/>
              </w:rPr>
              <w:fldChar w:fldCharType="begin"/>
            </w:r>
            <w:r>
              <w:rPr>
                <w:noProof/>
                <w:webHidden/>
              </w:rPr>
              <w:instrText xml:space="preserve"> PAGEREF _Toc233278575 \h </w:instrText>
            </w:r>
            <w:r>
              <w:rPr>
                <w:noProof/>
                <w:webHidden/>
              </w:rPr>
            </w:r>
            <w:r>
              <w:rPr>
                <w:noProof/>
                <w:webHidden/>
              </w:rPr>
              <w:fldChar w:fldCharType="separate"/>
            </w:r>
            <w:r w:rsidR="00E822AE">
              <w:rPr>
                <w:noProof/>
                <w:webHidden/>
              </w:rPr>
              <w:t>208</w:t>
            </w:r>
            <w:r>
              <w:rPr>
                <w:noProof/>
                <w:webHidden/>
              </w:rPr>
              <w:fldChar w:fldCharType="end"/>
            </w:r>
          </w:hyperlink>
        </w:p>
        <w:p w14:paraId="0EAA3381" w14:textId="44530C78"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6" w:history="1">
            <w:r w:rsidRPr="0074256E">
              <w:rPr>
                <w:rStyle w:val="Hyperlink"/>
                <w:noProof/>
              </w:rPr>
              <w:t>Binary indicator 9.b</w:t>
            </w:r>
            <w:r>
              <w:rPr>
                <w:noProof/>
                <w:webHidden/>
              </w:rPr>
              <w:tab/>
            </w:r>
            <w:r>
              <w:rPr>
                <w:noProof/>
                <w:webHidden/>
              </w:rPr>
              <w:fldChar w:fldCharType="begin"/>
            </w:r>
            <w:r>
              <w:rPr>
                <w:noProof/>
                <w:webHidden/>
              </w:rPr>
              <w:instrText xml:space="preserve"> PAGEREF _Toc233278576 \h </w:instrText>
            </w:r>
            <w:r>
              <w:rPr>
                <w:noProof/>
                <w:webHidden/>
              </w:rPr>
            </w:r>
            <w:r>
              <w:rPr>
                <w:noProof/>
                <w:webHidden/>
              </w:rPr>
              <w:fldChar w:fldCharType="separate"/>
            </w:r>
            <w:r w:rsidR="00E822AE">
              <w:rPr>
                <w:noProof/>
                <w:webHidden/>
              </w:rPr>
              <w:t>218</w:t>
            </w:r>
            <w:r>
              <w:rPr>
                <w:noProof/>
                <w:webHidden/>
              </w:rPr>
              <w:fldChar w:fldCharType="end"/>
            </w:r>
          </w:hyperlink>
        </w:p>
        <w:p w14:paraId="3286A60B" w14:textId="41123CAC"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7" w:history="1">
            <w:r w:rsidRPr="0074256E">
              <w:rPr>
                <w:rStyle w:val="Hyperlink"/>
                <w:noProof/>
              </w:rPr>
              <w:t>10.1 Proportion of agricultural area under productive and sustainable agriculture</w:t>
            </w:r>
            <w:r>
              <w:rPr>
                <w:noProof/>
                <w:webHidden/>
              </w:rPr>
              <w:tab/>
            </w:r>
            <w:r>
              <w:rPr>
                <w:noProof/>
                <w:webHidden/>
              </w:rPr>
              <w:fldChar w:fldCharType="begin"/>
            </w:r>
            <w:r>
              <w:rPr>
                <w:noProof/>
                <w:webHidden/>
              </w:rPr>
              <w:instrText xml:space="preserve"> PAGEREF _Toc233278577 \h </w:instrText>
            </w:r>
            <w:r>
              <w:rPr>
                <w:noProof/>
                <w:webHidden/>
              </w:rPr>
            </w:r>
            <w:r>
              <w:rPr>
                <w:noProof/>
                <w:webHidden/>
              </w:rPr>
              <w:fldChar w:fldCharType="separate"/>
            </w:r>
            <w:r w:rsidR="00E822AE">
              <w:rPr>
                <w:noProof/>
                <w:webHidden/>
              </w:rPr>
              <w:t>222</w:t>
            </w:r>
            <w:r>
              <w:rPr>
                <w:noProof/>
                <w:webHidden/>
              </w:rPr>
              <w:fldChar w:fldCharType="end"/>
            </w:r>
          </w:hyperlink>
        </w:p>
        <w:p w14:paraId="729CC717" w14:textId="73AE6D98"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8" w:history="1">
            <w:r w:rsidRPr="0074256E">
              <w:rPr>
                <w:rStyle w:val="Hyperlink"/>
                <w:noProof/>
              </w:rPr>
              <w:t>10.2 Progress towards sustainable forest management</w:t>
            </w:r>
            <w:r>
              <w:rPr>
                <w:noProof/>
                <w:webHidden/>
              </w:rPr>
              <w:tab/>
            </w:r>
            <w:r>
              <w:rPr>
                <w:noProof/>
                <w:webHidden/>
              </w:rPr>
              <w:fldChar w:fldCharType="begin"/>
            </w:r>
            <w:r>
              <w:rPr>
                <w:noProof/>
                <w:webHidden/>
              </w:rPr>
              <w:instrText xml:space="preserve"> PAGEREF _Toc233278578 \h </w:instrText>
            </w:r>
            <w:r>
              <w:rPr>
                <w:noProof/>
                <w:webHidden/>
              </w:rPr>
            </w:r>
            <w:r>
              <w:rPr>
                <w:noProof/>
                <w:webHidden/>
              </w:rPr>
              <w:fldChar w:fldCharType="separate"/>
            </w:r>
            <w:r w:rsidR="00E822AE">
              <w:rPr>
                <w:noProof/>
                <w:webHidden/>
              </w:rPr>
              <w:t>229</w:t>
            </w:r>
            <w:r>
              <w:rPr>
                <w:noProof/>
                <w:webHidden/>
              </w:rPr>
              <w:fldChar w:fldCharType="end"/>
            </w:r>
          </w:hyperlink>
        </w:p>
        <w:p w14:paraId="038EA80F" w14:textId="05AF5BA1"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79" w:history="1">
            <w:r w:rsidRPr="0074256E">
              <w:rPr>
                <w:rStyle w:val="Hyperlink"/>
                <w:noProof/>
              </w:rPr>
              <w:t>12.1 Average share of the built-up area of cities that is green/blue space for public use for all</w:t>
            </w:r>
            <w:r>
              <w:rPr>
                <w:noProof/>
                <w:webHidden/>
              </w:rPr>
              <w:tab/>
            </w:r>
            <w:r>
              <w:rPr>
                <w:noProof/>
                <w:webHidden/>
              </w:rPr>
              <w:fldChar w:fldCharType="begin"/>
            </w:r>
            <w:r>
              <w:rPr>
                <w:noProof/>
                <w:webHidden/>
              </w:rPr>
              <w:instrText xml:space="preserve"> PAGEREF _Toc233278579 \h </w:instrText>
            </w:r>
            <w:r>
              <w:rPr>
                <w:noProof/>
                <w:webHidden/>
              </w:rPr>
            </w:r>
            <w:r>
              <w:rPr>
                <w:noProof/>
                <w:webHidden/>
              </w:rPr>
              <w:fldChar w:fldCharType="separate"/>
            </w:r>
            <w:r w:rsidR="00E822AE">
              <w:rPr>
                <w:noProof/>
                <w:webHidden/>
              </w:rPr>
              <w:t>240</w:t>
            </w:r>
            <w:r>
              <w:rPr>
                <w:noProof/>
                <w:webHidden/>
              </w:rPr>
              <w:fldChar w:fldCharType="end"/>
            </w:r>
          </w:hyperlink>
        </w:p>
        <w:p w14:paraId="12D1EDBE" w14:textId="335AE942"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0" w:history="1">
            <w:r w:rsidRPr="0074256E">
              <w:rPr>
                <w:rStyle w:val="Hyperlink"/>
                <w:noProof/>
              </w:rPr>
              <w:t>Binary indicator 12.b</w:t>
            </w:r>
            <w:r>
              <w:rPr>
                <w:noProof/>
                <w:webHidden/>
              </w:rPr>
              <w:tab/>
            </w:r>
            <w:r>
              <w:rPr>
                <w:noProof/>
                <w:webHidden/>
              </w:rPr>
              <w:fldChar w:fldCharType="begin"/>
            </w:r>
            <w:r>
              <w:rPr>
                <w:noProof/>
                <w:webHidden/>
              </w:rPr>
              <w:instrText xml:space="preserve"> PAGEREF _Toc233278580 \h </w:instrText>
            </w:r>
            <w:r>
              <w:rPr>
                <w:noProof/>
                <w:webHidden/>
              </w:rPr>
            </w:r>
            <w:r>
              <w:rPr>
                <w:noProof/>
                <w:webHidden/>
              </w:rPr>
              <w:fldChar w:fldCharType="separate"/>
            </w:r>
            <w:r w:rsidR="00E822AE">
              <w:rPr>
                <w:noProof/>
                <w:webHidden/>
              </w:rPr>
              <w:t>250</w:t>
            </w:r>
            <w:r>
              <w:rPr>
                <w:noProof/>
                <w:webHidden/>
              </w:rPr>
              <w:fldChar w:fldCharType="end"/>
            </w:r>
          </w:hyperlink>
        </w:p>
        <w:p w14:paraId="1A9A3E89" w14:textId="41B3648A"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1" w:history="1">
            <w:r w:rsidRPr="0074256E">
              <w:rPr>
                <w:rStyle w:val="Hyperlink"/>
                <w:noProof/>
              </w:rPr>
              <w:t>Binary indicator 13.b</w:t>
            </w:r>
            <w:r>
              <w:rPr>
                <w:noProof/>
                <w:webHidden/>
              </w:rPr>
              <w:tab/>
            </w:r>
            <w:r>
              <w:rPr>
                <w:noProof/>
                <w:webHidden/>
              </w:rPr>
              <w:fldChar w:fldCharType="begin"/>
            </w:r>
            <w:r>
              <w:rPr>
                <w:noProof/>
                <w:webHidden/>
              </w:rPr>
              <w:instrText xml:space="preserve"> PAGEREF _Toc233278581 \h </w:instrText>
            </w:r>
            <w:r>
              <w:rPr>
                <w:noProof/>
                <w:webHidden/>
              </w:rPr>
            </w:r>
            <w:r>
              <w:rPr>
                <w:noProof/>
                <w:webHidden/>
              </w:rPr>
              <w:fldChar w:fldCharType="separate"/>
            </w:r>
            <w:r w:rsidR="00E822AE">
              <w:rPr>
                <w:noProof/>
                <w:webHidden/>
              </w:rPr>
              <w:t>253</w:t>
            </w:r>
            <w:r>
              <w:rPr>
                <w:noProof/>
                <w:webHidden/>
              </w:rPr>
              <w:fldChar w:fldCharType="end"/>
            </w:r>
          </w:hyperlink>
        </w:p>
        <w:p w14:paraId="2A5DBD33" w14:textId="1A24DAA0"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2" w:history="1">
            <w:r w:rsidRPr="0074256E">
              <w:rPr>
                <w:rStyle w:val="Hyperlink"/>
                <w:noProof/>
              </w:rPr>
              <w:t>Binary indicator: 14.b</w:t>
            </w:r>
            <w:r>
              <w:rPr>
                <w:noProof/>
                <w:webHidden/>
              </w:rPr>
              <w:tab/>
            </w:r>
            <w:r>
              <w:rPr>
                <w:noProof/>
                <w:webHidden/>
              </w:rPr>
              <w:fldChar w:fldCharType="begin"/>
            </w:r>
            <w:r>
              <w:rPr>
                <w:noProof/>
                <w:webHidden/>
              </w:rPr>
              <w:instrText xml:space="preserve"> PAGEREF _Toc233278582 \h </w:instrText>
            </w:r>
            <w:r>
              <w:rPr>
                <w:noProof/>
                <w:webHidden/>
              </w:rPr>
            </w:r>
            <w:r>
              <w:rPr>
                <w:noProof/>
                <w:webHidden/>
              </w:rPr>
              <w:fldChar w:fldCharType="separate"/>
            </w:r>
            <w:r w:rsidR="00E822AE">
              <w:rPr>
                <w:noProof/>
                <w:webHidden/>
              </w:rPr>
              <w:t>258</w:t>
            </w:r>
            <w:r>
              <w:rPr>
                <w:noProof/>
                <w:webHidden/>
              </w:rPr>
              <w:fldChar w:fldCharType="end"/>
            </w:r>
          </w:hyperlink>
        </w:p>
        <w:p w14:paraId="6930268A" w14:textId="12E3F376"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3" w:history="1">
            <w:r w:rsidRPr="0074256E">
              <w:rPr>
                <w:rStyle w:val="Hyperlink"/>
                <w:noProof/>
              </w:rPr>
              <w:t>15.1 Number of companies disclosing their biodiversity-related risks, dependencies, and impacts</w:t>
            </w:r>
            <w:r>
              <w:rPr>
                <w:noProof/>
                <w:webHidden/>
              </w:rPr>
              <w:tab/>
            </w:r>
            <w:r>
              <w:rPr>
                <w:noProof/>
                <w:webHidden/>
              </w:rPr>
              <w:fldChar w:fldCharType="begin"/>
            </w:r>
            <w:r>
              <w:rPr>
                <w:noProof/>
                <w:webHidden/>
              </w:rPr>
              <w:instrText xml:space="preserve"> PAGEREF _Toc233278583 \h </w:instrText>
            </w:r>
            <w:r>
              <w:rPr>
                <w:noProof/>
                <w:webHidden/>
              </w:rPr>
            </w:r>
            <w:r>
              <w:rPr>
                <w:noProof/>
                <w:webHidden/>
              </w:rPr>
              <w:fldChar w:fldCharType="separate"/>
            </w:r>
            <w:r w:rsidR="00E822AE">
              <w:rPr>
                <w:noProof/>
                <w:webHidden/>
              </w:rPr>
              <w:t>262</w:t>
            </w:r>
            <w:r>
              <w:rPr>
                <w:noProof/>
                <w:webHidden/>
              </w:rPr>
              <w:fldChar w:fldCharType="end"/>
            </w:r>
          </w:hyperlink>
        </w:p>
        <w:p w14:paraId="7743743D" w14:textId="4DFFA658"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4" w:history="1">
            <w:r w:rsidRPr="0074256E">
              <w:rPr>
                <w:rStyle w:val="Hyperlink"/>
                <w:noProof/>
              </w:rPr>
              <w:t>Binary indicator 15.b</w:t>
            </w:r>
            <w:r>
              <w:rPr>
                <w:noProof/>
                <w:webHidden/>
              </w:rPr>
              <w:tab/>
            </w:r>
            <w:r>
              <w:rPr>
                <w:noProof/>
                <w:webHidden/>
              </w:rPr>
              <w:fldChar w:fldCharType="begin"/>
            </w:r>
            <w:r>
              <w:rPr>
                <w:noProof/>
                <w:webHidden/>
              </w:rPr>
              <w:instrText xml:space="preserve"> PAGEREF _Toc233278584 \h </w:instrText>
            </w:r>
            <w:r>
              <w:rPr>
                <w:noProof/>
                <w:webHidden/>
              </w:rPr>
            </w:r>
            <w:r>
              <w:rPr>
                <w:noProof/>
                <w:webHidden/>
              </w:rPr>
              <w:fldChar w:fldCharType="separate"/>
            </w:r>
            <w:r w:rsidR="00E822AE">
              <w:rPr>
                <w:noProof/>
                <w:webHidden/>
              </w:rPr>
              <w:t>268</w:t>
            </w:r>
            <w:r>
              <w:rPr>
                <w:noProof/>
                <w:webHidden/>
              </w:rPr>
              <w:fldChar w:fldCharType="end"/>
            </w:r>
          </w:hyperlink>
        </w:p>
        <w:p w14:paraId="71CF4EE1" w14:textId="639D6BD0"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5" w:history="1">
            <w:r w:rsidRPr="0074256E">
              <w:rPr>
                <w:rStyle w:val="Hyperlink"/>
                <w:noProof/>
              </w:rPr>
              <w:t>Binary indicator: 16.b</w:t>
            </w:r>
            <w:r>
              <w:rPr>
                <w:noProof/>
                <w:webHidden/>
              </w:rPr>
              <w:tab/>
            </w:r>
            <w:r>
              <w:rPr>
                <w:noProof/>
                <w:webHidden/>
              </w:rPr>
              <w:fldChar w:fldCharType="begin"/>
            </w:r>
            <w:r>
              <w:rPr>
                <w:noProof/>
                <w:webHidden/>
              </w:rPr>
              <w:instrText xml:space="preserve"> PAGEREF _Toc233278585 \h </w:instrText>
            </w:r>
            <w:r>
              <w:rPr>
                <w:noProof/>
                <w:webHidden/>
              </w:rPr>
            </w:r>
            <w:r>
              <w:rPr>
                <w:noProof/>
                <w:webHidden/>
              </w:rPr>
              <w:fldChar w:fldCharType="separate"/>
            </w:r>
            <w:r w:rsidR="00E822AE">
              <w:rPr>
                <w:noProof/>
                <w:webHidden/>
              </w:rPr>
              <w:t>272</w:t>
            </w:r>
            <w:r>
              <w:rPr>
                <w:noProof/>
                <w:webHidden/>
              </w:rPr>
              <w:fldChar w:fldCharType="end"/>
            </w:r>
          </w:hyperlink>
        </w:p>
        <w:p w14:paraId="3911FE5B" w14:textId="293DEF58"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6" w:history="1">
            <w:r w:rsidRPr="0074256E">
              <w:rPr>
                <w:rStyle w:val="Hyperlink"/>
                <w:noProof/>
              </w:rPr>
              <w:t>Binary indicator 17.b</w:t>
            </w:r>
            <w:r>
              <w:rPr>
                <w:noProof/>
                <w:webHidden/>
              </w:rPr>
              <w:tab/>
            </w:r>
            <w:r>
              <w:rPr>
                <w:noProof/>
                <w:webHidden/>
              </w:rPr>
              <w:fldChar w:fldCharType="begin"/>
            </w:r>
            <w:r>
              <w:rPr>
                <w:noProof/>
                <w:webHidden/>
              </w:rPr>
              <w:instrText xml:space="preserve"> PAGEREF _Toc233278586 \h </w:instrText>
            </w:r>
            <w:r>
              <w:rPr>
                <w:noProof/>
                <w:webHidden/>
              </w:rPr>
            </w:r>
            <w:r>
              <w:rPr>
                <w:noProof/>
                <w:webHidden/>
              </w:rPr>
              <w:fldChar w:fldCharType="separate"/>
            </w:r>
            <w:r w:rsidR="00E822AE">
              <w:rPr>
                <w:noProof/>
                <w:webHidden/>
              </w:rPr>
              <w:t>275</w:t>
            </w:r>
            <w:r>
              <w:rPr>
                <w:noProof/>
                <w:webHidden/>
              </w:rPr>
              <w:fldChar w:fldCharType="end"/>
            </w:r>
          </w:hyperlink>
        </w:p>
        <w:p w14:paraId="0257C334" w14:textId="4813C235"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7" w:history="1">
            <w:r w:rsidRPr="0074256E">
              <w:rPr>
                <w:rStyle w:val="Hyperlink"/>
                <w:noProof/>
              </w:rPr>
              <w:t>18.1 Positive incentives in place to promote biodiversity conservation and sustainable use</w:t>
            </w:r>
            <w:r>
              <w:rPr>
                <w:noProof/>
                <w:webHidden/>
              </w:rPr>
              <w:tab/>
            </w:r>
            <w:r>
              <w:rPr>
                <w:noProof/>
                <w:webHidden/>
              </w:rPr>
              <w:fldChar w:fldCharType="begin"/>
            </w:r>
            <w:r>
              <w:rPr>
                <w:noProof/>
                <w:webHidden/>
              </w:rPr>
              <w:instrText xml:space="preserve"> PAGEREF _Toc233278587 \h </w:instrText>
            </w:r>
            <w:r>
              <w:rPr>
                <w:noProof/>
                <w:webHidden/>
              </w:rPr>
            </w:r>
            <w:r>
              <w:rPr>
                <w:noProof/>
                <w:webHidden/>
              </w:rPr>
              <w:fldChar w:fldCharType="separate"/>
            </w:r>
            <w:r w:rsidR="00E822AE">
              <w:rPr>
                <w:noProof/>
                <w:webHidden/>
              </w:rPr>
              <w:t>279</w:t>
            </w:r>
            <w:r>
              <w:rPr>
                <w:noProof/>
                <w:webHidden/>
              </w:rPr>
              <w:fldChar w:fldCharType="end"/>
            </w:r>
          </w:hyperlink>
        </w:p>
        <w:p w14:paraId="7BE842B5" w14:textId="390E50C8"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8" w:history="1">
            <w:r w:rsidRPr="0074256E">
              <w:rPr>
                <w:rStyle w:val="Hyperlink"/>
                <w:noProof/>
              </w:rPr>
              <w:t>18.2 Value of subsidies and other incentives harmful to biodiversity</w:t>
            </w:r>
            <w:r>
              <w:rPr>
                <w:noProof/>
                <w:webHidden/>
              </w:rPr>
              <w:tab/>
            </w:r>
            <w:r>
              <w:rPr>
                <w:noProof/>
                <w:webHidden/>
              </w:rPr>
              <w:fldChar w:fldCharType="begin"/>
            </w:r>
            <w:r>
              <w:rPr>
                <w:noProof/>
                <w:webHidden/>
              </w:rPr>
              <w:instrText xml:space="preserve"> PAGEREF _Toc233278588 \h </w:instrText>
            </w:r>
            <w:r>
              <w:rPr>
                <w:noProof/>
                <w:webHidden/>
              </w:rPr>
            </w:r>
            <w:r>
              <w:rPr>
                <w:noProof/>
                <w:webHidden/>
              </w:rPr>
              <w:fldChar w:fldCharType="separate"/>
            </w:r>
            <w:r w:rsidR="00E822AE">
              <w:rPr>
                <w:noProof/>
                <w:webHidden/>
              </w:rPr>
              <w:t>286</w:t>
            </w:r>
            <w:r>
              <w:rPr>
                <w:noProof/>
                <w:webHidden/>
              </w:rPr>
              <w:fldChar w:fldCharType="end"/>
            </w:r>
          </w:hyperlink>
        </w:p>
        <w:p w14:paraId="18540907" w14:textId="753DE736"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89" w:history="1">
            <w:r w:rsidRPr="0074256E">
              <w:rPr>
                <w:rStyle w:val="Hyperlink"/>
                <w:noProof/>
              </w:rPr>
              <w:t>Target 19</w:t>
            </w:r>
            <w:r>
              <w:rPr>
                <w:noProof/>
                <w:webHidden/>
              </w:rPr>
              <w:tab/>
            </w:r>
            <w:r>
              <w:rPr>
                <w:noProof/>
                <w:webHidden/>
              </w:rPr>
              <w:fldChar w:fldCharType="begin"/>
            </w:r>
            <w:r>
              <w:rPr>
                <w:noProof/>
                <w:webHidden/>
              </w:rPr>
              <w:instrText xml:space="preserve"> PAGEREF _Toc233278589 \h </w:instrText>
            </w:r>
            <w:r>
              <w:rPr>
                <w:noProof/>
                <w:webHidden/>
              </w:rPr>
            </w:r>
            <w:r>
              <w:rPr>
                <w:noProof/>
                <w:webHidden/>
              </w:rPr>
              <w:fldChar w:fldCharType="separate"/>
            </w:r>
            <w:r w:rsidR="00E822AE">
              <w:rPr>
                <w:noProof/>
                <w:webHidden/>
              </w:rPr>
              <w:t>297</w:t>
            </w:r>
            <w:r>
              <w:rPr>
                <w:noProof/>
                <w:webHidden/>
              </w:rPr>
              <w:fldChar w:fldCharType="end"/>
            </w:r>
          </w:hyperlink>
        </w:p>
        <w:p w14:paraId="6AEB11E7" w14:textId="62DC0BA9"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90" w:history="1">
            <w:r w:rsidRPr="0074256E">
              <w:rPr>
                <w:rStyle w:val="Hyperlink"/>
                <w:noProof/>
              </w:rPr>
              <w:t>Binary indicator 20.b</w:t>
            </w:r>
            <w:r>
              <w:rPr>
                <w:noProof/>
                <w:webHidden/>
              </w:rPr>
              <w:tab/>
            </w:r>
            <w:r>
              <w:rPr>
                <w:noProof/>
                <w:webHidden/>
              </w:rPr>
              <w:fldChar w:fldCharType="begin"/>
            </w:r>
            <w:r>
              <w:rPr>
                <w:noProof/>
                <w:webHidden/>
              </w:rPr>
              <w:instrText xml:space="preserve"> PAGEREF _Toc233278590 \h </w:instrText>
            </w:r>
            <w:r>
              <w:rPr>
                <w:noProof/>
                <w:webHidden/>
              </w:rPr>
            </w:r>
            <w:r>
              <w:rPr>
                <w:noProof/>
                <w:webHidden/>
              </w:rPr>
              <w:fldChar w:fldCharType="separate"/>
            </w:r>
            <w:r w:rsidR="00E822AE">
              <w:rPr>
                <w:noProof/>
                <w:webHidden/>
              </w:rPr>
              <w:t>298</w:t>
            </w:r>
            <w:r>
              <w:rPr>
                <w:noProof/>
                <w:webHidden/>
              </w:rPr>
              <w:fldChar w:fldCharType="end"/>
            </w:r>
          </w:hyperlink>
        </w:p>
        <w:p w14:paraId="571ACC3E" w14:textId="2EB834C7"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91" w:history="1">
            <w:r w:rsidRPr="0074256E">
              <w:rPr>
                <w:rStyle w:val="Hyperlink"/>
                <w:noProof/>
              </w:rPr>
              <w:t>21.1 Indicator on biodiversity information for monitoring the global biodiversity framework</w:t>
            </w:r>
            <w:r>
              <w:rPr>
                <w:noProof/>
                <w:webHidden/>
              </w:rPr>
              <w:tab/>
            </w:r>
            <w:r>
              <w:rPr>
                <w:noProof/>
                <w:webHidden/>
              </w:rPr>
              <w:fldChar w:fldCharType="begin"/>
            </w:r>
            <w:r>
              <w:rPr>
                <w:noProof/>
                <w:webHidden/>
              </w:rPr>
              <w:instrText xml:space="preserve"> PAGEREF _Toc233278591 \h </w:instrText>
            </w:r>
            <w:r>
              <w:rPr>
                <w:noProof/>
                <w:webHidden/>
              </w:rPr>
            </w:r>
            <w:r>
              <w:rPr>
                <w:noProof/>
                <w:webHidden/>
              </w:rPr>
              <w:fldChar w:fldCharType="separate"/>
            </w:r>
            <w:r w:rsidR="00E822AE">
              <w:rPr>
                <w:noProof/>
                <w:webHidden/>
              </w:rPr>
              <w:t>302</w:t>
            </w:r>
            <w:r>
              <w:rPr>
                <w:noProof/>
                <w:webHidden/>
              </w:rPr>
              <w:fldChar w:fldCharType="end"/>
            </w:r>
          </w:hyperlink>
        </w:p>
        <w:p w14:paraId="3A1A5425" w14:textId="6BCD7CB9"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92" w:history="1">
            <w:r w:rsidRPr="0074256E">
              <w:rPr>
                <w:rStyle w:val="Hyperlink"/>
                <w:noProof/>
              </w:rPr>
              <w:t>22.1 Land-use change and land tenure in the traditional territories of indigenous peoples and local communities</w:t>
            </w:r>
            <w:r>
              <w:rPr>
                <w:noProof/>
                <w:webHidden/>
              </w:rPr>
              <w:tab/>
            </w:r>
            <w:r>
              <w:rPr>
                <w:noProof/>
                <w:webHidden/>
              </w:rPr>
              <w:fldChar w:fldCharType="begin"/>
            </w:r>
            <w:r>
              <w:rPr>
                <w:noProof/>
                <w:webHidden/>
              </w:rPr>
              <w:instrText xml:space="preserve"> PAGEREF _Toc233278592 \h </w:instrText>
            </w:r>
            <w:r>
              <w:rPr>
                <w:noProof/>
                <w:webHidden/>
              </w:rPr>
            </w:r>
            <w:r>
              <w:rPr>
                <w:noProof/>
                <w:webHidden/>
              </w:rPr>
              <w:fldChar w:fldCharType="separate"/>
            </w:r>
            <w:r w:rsidR="00E822AE">
              <w:rPr>
                <w:noProof/>
                <w:webHidden/>
              </w:rPr>
              <w:t>309</w:t>
            </w:r>
            <w:r>
              <w:rPr>
                <w:noProof/>
                <w:webHidden/>
              </w:rPr>
              <w:fldChar w:fldCharType="end"/>
            </w:r>
          </w:hyperlink>
        </w:p>
        <w:p w14:paraId="1F1ADF51" w14:textId="4536BB85"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93" w:history="1">
            <w:r w:rsidRPr="0074256E">
              <w:rPr>
                <w:rStyle w:val="Hyperlink"/>
                <w:noProof/>
              </w:rPr>
              <w:t>Binary indicator 22.b</w:t>
            </w:r>
            <w:r>
              <w:rPr>
                <w:noProof/>
                <w:webHidden/>
              </w:rPr>
              <w:tab/>
            </w:r>
            <w:r>
              <w:rPr>
                <w:noProof/>
                <w:webHidden/>
              </w:rPr>
              <w:fldChar w:fldCharType="begin"/>
            </w:r>
            <w:r>
              <w:rPr>
                <w:noProof/>
                <w:webHidden/>
              </w:rPr>
              <w:instrText xml:space="preserve"> PAGEREF _Toc233278593 \h </w:instrText>
            </w:r>
            <w:r>
              <w:rPr>
                <w:noProof/>
                <w:webHidden/>
              </w:rPr>
            </w:r>
            <w:r>
              <w:rPr>
                <w:noProof/>
                <w:webHidden/>
              </w:rPr>
              <w:fldChar w:fldCharType="separate"/>
            </w:r>
            <w:r w:rsidR="00E822AE">
              <w:rPr>
                <w:noProof/>
                <w:webHidden/>
              </w:rPr>
              <w:t>326</w:t>
            </w:r>
            <w:r>
              <w:rPr>
                <w:noProof/>
                <w:webHidden/>
              </w:rPr>
              <w:fldChar w:fldCharType="end"/>
            </w:r>
          </w:hyperlink>
        </w:p>
        <w:p w14:paraId="64F5F207" w14:textId="5FC4AFF6"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94" w:history="1">
            <w:r w:rsidRPr="0074256E">
              <w:rPr>
                <w:rStyle w:val="Hyperlink"/>
                <w:noProof/>
              </w:rPr>
              <w:t>Binary indicator 23.b</w:t>
            </w:r>
            <w:r>
              <w:rPr>
                <w:noProof/>
                <w:webHidden/>
              </w:rPr>
              <w:tab/>
            </w:r>
            <w:r>
              <w:rPr>
                <w:noProof/>
                <w:webHidden/>
              </w:rPr>
              <w:fldChar w:fldCharType="begin"/>
            </w:r>
            <w:r>
              <w:rPr>
                <w:noProof/>
                <w:webHidden/>
              </w:rPr>
              <w:instrText xml:space="preserve"> PAGEREF _Toc233278594 \h </w:instrText>
            </w:r>
            <w:r>
              <w:rPr>
                <w:noProof/>
                <w:webHidden/>
              </w:rPr>
            </w:r>
            <w:r>
              <w:rPr>
                <w:noProof/>
                <w:webHidden/>
              </w:rPr>
              <w:fldChar w:fldCharType="separate"/>
            </w:r>
            <w:r w:rsidR="00E822AE">
              <w:rPr>
                <w:noProof/>
                <w:webHidden/>
              </w:rPr>
              <w:t>331</w:t>
            </w:r>
            <w:r>
              <w:rPr>
                <w:noProof/>
                <w:webHidden/>
              </w:rPr>
              <w:fldChar w:fldCharType="end"/>
            </w:r>
          </w:hyperlink>
        </w:p>
        <w:p w14:paraId="4A52DAF2" w14:textId="179F579F" w:rsidR="0049633C" w:rsidRDefault="0049633C">
          <w:pPr>
            <w:pStyle w:val="TOC3"/>
            <w:rPr>
              <w:rFonts w:asciiTheme="minorHAnsi" w:eastAsiaTheme="minorEastAsia" w:hAnsiTheme="minorHAnsi" w:cstheme="minorBidi"/>
              <w:noProof/>
              <w:kern w:val="2"/>
              <w:lang w:eastAsia="zh-CN"/>
              <w14:ligatures w14:val="standardContextual"/>
            </w:rPr>
          </w:pPr>
          <w:hyperlink w:anchor="_Toc233278595" w:history="1">
            <w:r w:rsidRPr="0074256E">
              <w:rPr>
                <w:rStyle w:val="Hyperlink"/>
                <w:noProof/>
              </w:rPr>
              <w:t>Annex  Glossary of key terms in the monitoring framework</w:t>
            </w:r>
            <w:r>
              <w:rPr>
                <w:noProof/>
                <w:webHidden/>
              </w:rPr>
              <w:tab/>
            </w:r>
            <w:r>
              <w:rPr>
                <w:noProof/>
                <w:webHidden/>
              </w:rPr>
              <w:fldChar w:fldCharType="begin"/>
            </w:r>
            <w:r>
              <w:rPr>
                <w:noProof/>
                <w:webHidden/>
              </w:rPr>
              <w:instrText xml:space="preserve"> PAGEREF _Toc233278595 \h </w:instrText>
            </w:r>
            <w:r>
              <w:rPr>
                <w:noProof/>
                <w:webHidden/>
              </w:rPr>
            </w:r>
            <w:r>
              <w:rPr>
                <w:noProof/>
                <w:webHidden/>
              </w:rPr>
              <w:fldChar w:fldCharType="separate"/>
            </w:r>
            <w:r w:rsidR="00E822AE">
              <w:rPr>
                <w:noProof/>
                <w:webHidden/>
              </w:rPr>
              <w:t>335</w:t>
            </w:r>
            <w:r>
              <w:rPr>
                <w:noProof/>
                <w:webHidden/>
              </w:rPr>
              <w:fldChar w:fldCharType="end"/>
            </w:r>
          </w:hyperlink>
        </w:p>
        <w:p w14:paraId="5D89E0D6" w14:textId="67A65F09" w:rsidR="003F39A4" w:rsidRDefault="00E70E5C" w:rsidP="003F39A4">
          <w:pPr>
            <w:rPr>
              <w:b/>
              <w:bCs/>
              <w:noProof/>
            </w:rPr>
          </w:pPr>
          <w:r w:rsidRPr="00ED7E61">
            <w:rPr>
              <w:b/>
              <w:bCs/>
              <w:noProof/>
            </w:rPr>
            <w:fldChar w:fldCharType="end"/>
          </w:r>
        </w:p>
      </w:sdtContent>
    </w:sdt>
    <w:p w14:paraId="0A2E348D" w14:textId="1C906076" w:rsidR="00166BEC" w:rsidRPr="00812871" w:rsidRDefault="00984EB3" w:rsidP="00984EB3">
      <w:pPr>
        <w:rPr>
          <w:rFonts w:asciiTheme="majorBidi" w:hAnsiTheme="majorBidi" w:cstheme="majorBidi"/>
          <w:b/>
          <w:bCs/>
          <w:sz w:val="22"/>
          <w:szCs w:val="22"/>
        </w:rPr>
      </w:pPr>
      <w:r>
        <w:rPr>
          <w:rFonts w:asciiTheme="majorBidi" w:hAnsiTheme="majorBidi" w:cstheme="majorBidi"/>
          <w:b/>
          <w:bCs/>
          <w:sz w:val="22"/>
          <w:szCs w:val="22"/>
        </w:rPr>
        <w:br w:type="page"/>
      </w:r>
    </w:p>
    <w:p w14:paraId="309990D1" w14:textId="258CA6F8" w:rsidR="003D6BBD" w:rsidRPr="00ED7E61" w:rsidRDefault="003D6BBD" w:rsidP="003D6BBD">
      <w:pPr>
        <w:pStyle w:val="Heading3"/>
      </w:pPr>
      <w:bookmarkStart w:id="0" w:name="_Background"/>
      <w:bookmarkStart w:id="1" w:name="_Introduction_to_the"/>
      <w:bookmarkStart w:id="2" w:name="_Justification_for_reporting"/>
      <w:bookmarkStart w:id="3" w:name="_Implications_of_the"/>
      <w:bookmarkStart w:id="4" w:name="_Implications_for_reporting"/>
      <w:bookmarkStart w:id="5" w:name="_Future_work_to"/>
      <w:bookmarkStart w:id="6" w:name="_Toc233278553"/>
      <w:bookmarkStart w:id="7" w:name="_Hlk175229651"/>
      <w:bookmarkStart w:id="8" w:name="_Hlk163041350"/>
      <w:bookmarkEnd w:id="0"/>
      <w:bookmarkEnd w:id="1"/>
      <w:bookmarkEnd w:id="2"/>
      <w:bookmarkEnd w:id="3"/>
      <w:bookmarkEnd w:id="4"/>
      <w:bookmarkEnd w:id="5"/>
      <w:r w:rsidRPr="00ED7E61">
        <w:rPr>
          <w:rStyle w:val="normaltextrun"/>
        </w:rPr>
        <w:lastRenderedPageBreak/>
        <w:t>A.1 Red List of Ecosystems</w:t>
      </w:r>
      <w:bookmarkEnd w:id="6"/>
    </w:p>
    <w:p w14:paraId="0E557626" w14:textId="77777777" w:rsidR="003D6BBD" w:rsidRPr="00ED7E61" w:rsidRDefault="003D6BBD" w:rsidP="003D6BBD">
      <w:pPr>
        <w:pStyle w:val="paragraph"/>
        <w:spacing w:before="0" w:beforeAutospacing="0" w:after="0" w:afterAutospacing="0"/>
        <w:jc w:val="center"/>
        <w:textAlignment w:val="baseline"/>
        <w:rPr>
          <w:rFonts w:asciiTheme="majorBidi" w:hAnsiTheme="majorBidi" w:cstheme="majorBidi"/>
          <w:b/>
          <w:bCs/>
          <w:sz w:val="22"/>
          <w:szCs w:val="22"/>
        </w:rPr>
      </w:pPr>
    </w:p>
    <w:p w14:paraId="200EE9EB"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b/>
          <w:bCs/>
          <w:sz w:val="22"/>
          <w:szCs w:val="22"/>
        </w:rPr>
        <w:t> </w:t>
      </w:r>
    </w:p>
    <w:p w14:paraId="7730A247" w14:textId="77777777" w:rsidR="00B23E1C" w:rsidRPr="00ED7E61" w:rsidRDefault="00B23E1C" w:rsidP="00B23E1C">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AU"/>
        </w:rPr>
        <w:t>A.1 Red List of Ecosystems</w:t>
      </w:r>
      <w:r w:rsidRPr="00ED7E61">
        <w:rPr>
          <w:rStyle w:val="eop"/>
          <w:rFonts w:asciiTheme="majorBidi" w:eastAsiaTheme="majorEastAsia" w:hAnsiTheme="majorBidi" w:cstheme="majorBidi"/>
          <w:color w:val="000000"/>
          <w:sz w:val="22"/>
          <w:szCs w:val="22"/>
        </w:rPr>
        <w:t> </w:t>
      </w:r>
    </w:p>
    <w:p w14:paraId="1FCE69B1" w14:textId="77777777" w:rsidR="00B23E1C" w:rsidRPr="00ED7E61" w:rsidRDefault="00B23E1C" w:rsidP="00B23E1C">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b/>
          <w:bCs/>
          <w:sz w:val="22"/>
          <w:szCs w:val="22"/>
        </w:rPr>
        <w:t> </w:t>
      </w:r>
    </w:p>
    <w:p w14:paraId="4CB9745B" w14:textId="16E4D055" w:rsidR="00B23E1C" w:rsidRPr="00ED7E61" w:rsidRDefault="00B23E1C" w:rsidP="00B23E1C">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March</w:t>
      </w:r>
      <w:r w:rsidRPr="00ED7E61">
        <w:rPr>
          <w:rStyle w:val="normaltextrun"/>
          <w:rFonts w:asciiTheme="majorBidi" w:eastAsiaTheme="majorEastAsia" w:hAnsiTheme="majorBidi" w:cstheme="majorBidi"/>
          <w:sz w:val="22"/>
          <w:szCs w:val="22"/>
        </w:rPr>
        <w:t xml:space="preserve"> 202</w:t>
      </w:r>
      <w:r>
        <w:rPr>
          <w:rStyle w:val="normaltextrun"/>
          <w:rFonts w:asciiTheme="majorBidi" w:eastAsiaTheme="majorEastAsia" w:hAnsiTheme="majorBidi" w:cstheme="majorBidi"/>
          <w:sz w:val="22"/>
          <w:szCs w:val="22"/>
        </w:rPr>
        <w:t>6</w:t>
      </w:r>
      <w:r w:rsidRPr="00ED7E61">
        <w:rPr>
          <w:rStyle w:val="eop"/>
          <w:rFonts w:asciiTheme="majorBidi" w:eastAsiaTheme="majorEastAsia" w:hAnsiTheme="majorBidi" w:cstheme="majorBidi"/>
          <w:sz w:val="22"/>
          <w:szCs w:val="22"/>
        </w:rPr>
        <w:t> </w:t>
      </w:r>
    </w:p>
    <w:p w14:paraId="01B1A4B9" w14:textId="77777777" w:rsidR="00B23E1C" w:rsidRPr="00ED7E61" w:rsidRDefault="00B23E1C" w:rsidP="00B23E1C">
      <w:pPr>
        <w:pStyle w:val="paragraph"/>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b/>
          <w:bCs/>
          <w:sz w:val="22"/>
          <w:szCs w:val="22"/>
        </w:rPr>
        <w:t> </w:t>
      </w:r>
    </w:p>
    <w:p w14:paraId="170902A2" w14:textId="77777777" w:rsidR="00B23E1C" w:rsidRPr="00ED7E61" w:rsidRDefault="00B23E1C" w:rsidP="00B23E1C">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b/>
          <w:bCs/>
          <w:sz w:val="22"/>
          <w:szCs w:val="22"/>
        </w:rPr>
        <w:t> </w:t>
      </w:r>
    </w:p>
    <w:p w14:paraId="4FB6C7E3" w14:textId="2C030DDE" w:rsidR="00B23E1C" w:rsidRPr="00ED7E61" w:rsidRDefault="00B23E1C" w:rsidP="00B23E1C">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Goal A: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r w:rsidRPr="00ED7E61">
        <w:rPr>
          <w:rStyle w:val="eop"/>
          <w:rFonts w:asciiTheme="majorBidi" w:eastAsiaTheme="majorEastAsia" w:hAnsiTheme="majorBidi" w:cstheme="majorBidi"/>
          <w:sz w:val="22"/>
          <w:szCs w:val="22"/>
        </w:rPr>
        <w:t> </w:t>
      </w:r>
    </w:p>
    <w:p w14:paraId="321F2170" w14:textId="77777777" w:rsidR="00B23E1C" w:rsidRPr="00ED7E61" w:rsidRDefault="00B23E1C" w:rsidP="00B23E1C">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b/>
          <w:bCs/>
          <w:sz w:val="22"/>
          <w:szCs w:val="22"/>
        </w:rPr>
        <w:t> </w:t>
      </w:r>
    </w:p>
    <w:p w14:paraId="6F529496" w14:textId="0C37B7B9" w:rsidR="00B23E1C" w:rsidRPr="00ED7E61" w:rsidRDefault="00B23E1C" w:rsidP="00B23E1C">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Target 1</w:t>
      </w:r>
      <w:r w:rsidRPr="00ED7E61">
        <w:rPr>
          <w:rStyle w:val="normaltextrun"/>
          <w:rFonts w:asciiTheme="majorBidi" w:eastAsiaTheme="majorEastAsia" w:hAnsiTheme="majorBidi" w:cstheme="majorBidi"/>
          <w:b/>
          <w:bCs/>
          <w:sz w:val="22"/>
          <w:szCs w:val="22"/>
        </w:rPr>
        <w:t>:</w:t>
      </w:r>
      <w:r w:rsidRPr="00ED7E61">
        <w:rPr>
          <w:rStyle w:val="normaltextrun"/>
          <w:rFonts w:asciiTheme="majorBidi" w:eastAsiaTheme="majorEastAsia" w:hAnsiTheme="majorBidi" w:cstheme="majorBidi"/>
          <w:sz w:val="22"/>
          <w:szCs w:val="22"/>
        </w:rPr>
        <w:t xml:space="preserve"> Ensure that all areas are under participatory, integrated and biodiversity 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w:t>
      </w:r>
      <w:r w:rsidRPr="00ED7E61">
        <w:rPr>
          <w:rStyle w:val="eop"/>
          <w:rFonts w:asciiTheme="majorBidi" w:eastAsiaTheme="majorEastAsia" w:hAnsiTheme="majorBidi" w:cstheme="majorBidi"/>
          <w:sz w:val="22"/>
          <w:szCs w:val="22"/>
        </w:rPr>
        <w:t> </w:t>
      </w:r>
    </w:p>
    <w:p w14:paraId="4E1B2299" w14:textId="77777777" w:rsidR="00B23E1C" w:rsidRPr="00ED7E61" w:rsidRDefault="00B23E1C" w:rsidP="00B23E1C">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This is also relevant for Target 2, 3 and 7.</w:t>
      </w:r>
    </w:p>
    <w:p w14:paraId="020B14D6" w14:textId="77777777" w:rsidR="00B23E1C" w:rsidRPr="00ED7E61" w:rsidRDefault="00B23E1C" w:rsidP="00B23E1C">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4. Rationale </w:t>
      </w:r>
      <w:r w:rsidRPr="00ED7E61">
        <w:rPr>
          <w:rStyle w:val="eop"/>
          <w:rFonts w:asciiTheme="majorBidi" w:eastAsiaTheme="majorEastAsia" w:hAnsiTheme="majorBidi" w:cstheme="majorBidi"/>
          <w:b/>
          <w:bCs/>
          <w:sz w:val="22"/>
          <w:szCs w:val="22"/>
        </w:rPr>
        <w:t> </w:t>
      </w:r>
    </w:p>
    <w:p w14:paraId="7290AC2C" w14:textId="77777777" w:rsidR="004262AE" w:rsidRDefault="00B23E1C" w:rsidP="004262AE">
      <w:pPr>
        <w:pStyle w:val="CBDNormalNumber"/>
        <w:numPr>
          <w:ilvl w:val="0"/>
          <w:numId w:val="40"/>
        </w:numPr>
      </w:pPr>
      <w:r w:rsidRPr="00933B63">
        <w:t>This</w:t>
      </w:r>
      <w:r w:rsidRPr="00933B63">
        <w:rPr>
          <w:rStyle w:val="normaltextrun"/>
          <w:rFonts w:asciiTheme="majorBidi" w:eastAsiaTheme="majorEastAsia" w:hAnsiTheme="majorBidi" w:cstheme="majorBidi"/>
          <w:color w:val="000000"/>
          <w:lang w:val="en-AU"/>
        </w:rPr>
        <w:t xml:space="preserve"> indicator addresses the elements of Goal A highlighted in bold: </w:t>
      </w:r>
      <w:r w:rsidRPr="00933B63">
        <w:rPr>
          <w:rStyle w:val="normaltextrun"/>
          <w:rFonts w:asciiTheme="majorBidi" w:eastAsiaTheme="majorEastAsia" w:hAnsiTheme="majorBidi" w:cstheme="majorBidi"/>
        </w:rPr>
        <w:t xml:space="preserve">The </w:t>
      </w:r>
      <w:r w:rsidRPr="00933B63">
        <w:rPr>
          <w:rStyle w:val="normaltextrun"/>
          <w:rFonts w:asciiTheme="majorBidi" w:eastAsiaTheme="majorEastAsia" w:hAnsiTheme="majorBidi" w:cstheme="majorBidi"/>
          <w:b/>
          <w:bCs/>
        </w:rPr>
        <w:t>integrity, connectivity and resilience of all ecosystems are maintained, enhanced, or restored</w:t>
      </w:r>
      <w:r w:rsidRPr="00933B63">
        <w:rPr>
          <w:rStyle w:val="normaltextrun"/>
          <w:rFonts w:asciiTheme="majorBidi" w:eastAsiaTheme="majorEastAsia" w:hAnsiTheme="majorBidi" w:cstheme="majorBidi"/>
        </w:rPr>
        <w:t xml:space="preserve">, substantially </w:t>
      </w:r>
      <w:r w:rsidRPr="00933B63">
        <w:rPr>
          <w:rStyle w:val="normaltextrun"/>
          <w:rFonts w:asciiTheme="majorBidi" w:eastAsiaTheme="majorEastAsia" w:hAnsiTheme="majorBidi" w:cstheme="majorBidi"/>
          <w:b/>
          <w:bCs/>
        </w:rPr>
        <w:t>increasing the area of natural ecosystems</w:t>
      </w:r>
      <w:r w:rsidRPr="00933B63">
        <w:rPr>
          <w:rStyle w:val="normaltextrun"/>
          <w:rFonts w:asciiTheme="majorBidi" w:eastAsiaTheme="majorEastAsia" w:hAnsiTheme="majorBidi" w:cstheme="majorBidi"/>
        </w:rPr>
        <w:t xml:space="preserve"> by 2050. </w:t>
      </w:r>
      <w:r w:rsidRPr="00933B63">
        <w:rPr>
          <w:rStyle w:val="eop"/>
          <w:rFonts w:asciiTheme="majorBidi" w:eastAsiaTheme="majorEastAsia" w:hAnsiTheme="majorBidi" w:cstheme="majorBidi"/>
        </w:rPr>
        <w:t> </w:t>
      </w:r>
    </w:p>
    <w:p w14:paraId="5BCD84EF" w14:textId="77777777" w:rsidR="004262AE" w:rsidRDefault="00B23E1C" w:rsidP="004262AE">
      <w:pPr>
        <w:pStyle w:val="CBDNormalNumber"/>
        <w:numPr>
          <w:ilvl w:val="0"/>
          <w:numId w:val="40"/>
        </w:numPr>
      </w:pPr>
      <w:r w:rsidRPr="00933B63">
        <w:t>Sustaining</w:t>
      </w:r>
      <w:r w:rsidRPr="00ED7E61">
        <w:t xml:space="preserve"> ecosystems is essential to halting biodiversity decline and species extinctions, and to maintaining ecosystem services that underpin human well-being and the economy (Nicholson et al. 2021). The World Economic Forum ranks biodiversity loss and ecosystem collapse in the top five global risks in terms of likelihood and impact this decade (WEF 2020). </w:t>
      </w:r>
    </w:p>
    <w:p w14:paraId="0A596251" w14:textId="77777777" w:rsidR="004262AE" w:rsidRDefault="00B23E1C" w:rsidP="004262AE">
      <w:pPr>
        <w:pStyle w:val="CBDNormalNumber"/>
        <w:numPr>
          <w:ilvl w:val="0"/>
          <w:numId w:val="40"/>
        </w:numPr>
        <w:rPr>
          <w:rStyle w:val="eop"/>
        </w:rPr>
      </w:pPr>
      <w:r w:rsidRPr="004262AE">
        <w:rPr>
          <w:rStyle w:val="normaltextrun"/>
          <w:rFonts w:asciiTheme="majorBidi" w:eastAsiaTheme="majorEastAsia" w:hAnsiTheme="majorBidi" w:cstheme="majorBidi"/>
          <w:color w:val="000000"/>
          <w:lang w:val="en-US"/>
        </w:rPr>
        <w:t xml:space="preserve">The </w:t>
      </w:r>
      <w:r w:rsidRPr="00B3383B">
        <w:t>Red</w:t>
      </w:r>
      <w:r w:rsidRPr="004262AE">
        <w:rPr>
          <w:rStyle w:val="normaltextrun"/>
          <w:rFonts w:asciiTheme="majorBidi" w:eastAsiaTheme="majorEastAsia" w:hAnsiTheme="majorBidi" w:cstheme="majorBidi"/>
          <w:lang w:val="en-US"/>
        </w:rPr>
        <w:t xml:space="preserve"> List of Ecosystems</w:t>
      </w:r>
      <w:r w:rsidRPr="004262AE">
        <w:rPr>
          <w:rStyle w:val="normaltextrun"/>
          <w:rFonts w:asciiTheme="majorBidi" w:eastAsiaTheme="majorEastAsia" w:hAnsiTheme="majorBidi" w:cstheme="majorBidi"/>
          <w:color w:val="000000"/>
          <w:lang w:val="en-US"/>
        </w:rPr>
        <w:t xml:space="preserve"> was adopted by IUCN in 2014 as the global standard for assessing risk of ecosystem collapse for </w:t>
      </w:r>
      <w:r w:rsidRPr="004262AE">
        <w:rPr>
          <w:rStyle w:val="normaltextrun"/>
          <w:rFonts w:asciiTheme="majorBidi" w:eastAsiaTheme="majorEastAsia" w:hAnsiTheme="majorBidi" w:cstheme="majorBidi"/>
          <w:color w:val="000000"/>
          <w:lang w:val="en-AU"/>
        </w:rPr>
        <w:t>terrestrial, freshwater and marine ecosystems</w:t>
      </w:r>
      <w:r w:rsidRPr="004262AE">
        <w:rPr>
          <w:rStyle w:val="normaltextrun"/>
          <w:rFonts w:asciiTheme="majorBidi" w:eastAsiaTheme="majorEastAsia" w:hAnsiTheme="majorBidi" w:cstheme="majorBidi"/>
          <w:color w:val="000000"/>
          <w:lang w:val="en-US"/>
        </w:rPr>
        <w:t>.</w:t>
      </w:r>
      <w:r w:rsidRPr="004262AE">
        <w:rPr>
          <w:rStyle w:val="normaltextrun"/>
          <w:rFonts w:asciiTheme="majorBidi" w:eastAsiaTheme="majorEastAsia" w:hAnsiTheme="majorBidi" w:cstheme="majorBidi"/>
          <w:color w:val="000000"/>
          <w:lang w:val="en-AU"/>
        </w:rPr>
        <w:t xml:space="preserve"> The Red List of Ecosystems provides a systematic framework for compiling information on </w:t>
      </w:r>
      <w:proofErr w:type="gramStart"/>
      <w:r w:rsidRPr="004262AE">
        <w:rPr>
          <w:rStyle w:val="normaltextrun"/>
          <w:rFonts w:asciiTheme="majorBidi" w:eastAsiaTheme="majorEastAsia" w:hAnsiTheme="majorBidi" w:cstheme="majorBidi"/>
          <w:color w:val="000000"/>
          <w:lang w:val="en-AU"/>
        </w:rPr>
        <w:t>ecosystems, and</w:t>
      </w:r>
      <w:proofErr w:type="gramEnd"/>
      <w:r w:rsidRPr="004262AE">
        <w:rPr>
          <w:rStyle w:val="normaltextrun"/>
          <w:rFonts w:asciiTheme="majorBidi" w:eastAsiaTheme="majorEastAsia" w:hAnsiTheme="majorBidi" w:cstheme="majorBidi"/>
          <w:color w:val="000000"/>
          <w:lang w:val="en-AU"/>
        </w:rPr>
        <w:t xml:space="preserve"> assessing their relative risks of collapse based on change in ecosystem area and integrity. </w:t>
      </w:r>
      <w:proofErr w:type="gramStart"/>
      <w:r w:rsidRPr="004262AE">
        <w:rPr>
          <w:rStyle w:val="normaltextrun"/>
          <w:rFonts w:asciiTheme="majorBidi" w:eastAsiaTheme="majorEastAsia" w:hAnsiTheme="majorBidi" w:cstheme="majorBidi"/>
          <w:color w:val="000000"/>
          <w:lang w:val="en-AU"/>
        </w:rPr>
        <w:t>Similar to</w:t>
      </w:r>
      <w:proofErr w:type="gramEnd"/>
      <w:r w:rsidRPr="004262AE">
        <w:rPr>
          <w:rStyle w:val="normaltextrun"/>
          <w:rFonts w:asciiTheme="majorBidi" w:eastAsiaTheme="majorEastAsia" w:hAnsiTheme="majorBidi" w:cstheme="majorBidi"/>
          <w:color w:val="000000"/>
          <w:lang w:val="en-AU"/>
        </w:rPr>
        <w:t xml:space="preserve"> the IUCN Red List of Threatened species, </w:t>
      </w:r>
      <w:r w:rsidRPr="004262AE">
        <w:rPr>
          <w:rStyle w:val="normaltextrun"/>
          <w:rFonts w:asciiTheme="majorBidi" w:eastAsiaTheme="majorEastAsia" w:hAnsiTheme="majorBidi" w:cstheme="majorBidi"/>
          <w:lang w:val="en-US"/>
        </w:rPr>
        <w:t>assessment criteria</w:t>
      </w:r>
      <w:r w:rsidRPr="004262AE">
        <w:rPr>
          <w:rStyle w:val="normaltextrun"/>
          <w:rFonts w:asciiTheme="majorBidi" w:eastAsiaTheme="majorEastAsia" w:hAnsiTheme="majorBidi" w:cstheme="majorBidi"/>
          <w:color w:val="000000"/>
          <w:lang w:val="en-US"/>
        </w:rPr>
        <w:t xml:space="preserve"> are used to assign ecosystems to Red List risk categories (e.g. </w:t>
      </w:r>
      <w:r w:rsidRPr="004262AE">
        <w:rPr>
          <w:rStyle w:val="normaltextrun"/>
          <w:rFonts w:asciiTheme="majorBidi" w:eastAsiaTheme="majorEastAsia" w:hAnsiTheme="majorBidi" w:cstheme="majorBidi"/>
          <w:i/>
          <w:iCs/>
          <w:color w:val="000000"/>
          <w:lang w:val="en-US"/>
        </w:rPr>
        <w:t>Critically Endangered</w:t>
      </w:r>
      <w:r w:rsidRPr="004262AE">
        <w:rPr>
          <w:rStyle w:val="normaltextrun"/>
          <w:rFonts w:asciiTheme="majorBidi" w:eastAsiaTheme="majorEastAsia" w:hAnsiTheme="majorBidi" w:cstheme="majorBidi"/>
          <w:color w:val="000000"/>
          <w:lang w:val="en-US"/>
        </w:rPr>
        <w:t xml:space="preserve">, </w:t>
      </w:r>
      <w:r w:rsidRPr="004262AE">
        <w:rPr>
          <w:rStyle w:val="normaltextrun"/>
          <w:rFonts w:asciiTheme="majorBidi" w:eastAsiaTheme="majorEastAsia" w:hAnsiTheme="majorBidi" w:cstheme="majorBidi"/>
          <w:i/>
          <w:iCs/>
          <w:color w:val="000000"/>
          <w:lang w:val="en-US"/>
        </w:rPr>
        <w:t>Endangered</w:t>
      </w:r>
      <w:r w:rsidRPr="004262AE">
        <w:rPr>
          <w:rStyle w:val="normaltextrun"/>
          <w:rFonts w:asciiTheme="majorBidi" w:eastAsiaTheme="majorEastAsia" w:hAnsiTheme="majorBidi" w:cstheme="majorBidi"/>
          <w:color w:val="000000"/>
          <w:lang w:val="en-US"/>
        </w:rPr>
        <w:t xml:space="preserve">, </w:t>
      </w:r>
      <w:r w:rsidRPr="004262AE">
        <w:rPr>
          <w:rStyle w:val="normaltextrun"/>
          <w:rFonts w:asciiTheme="majorBidi" w:eastAsiaTheme="majorEastAsia" w:hAnsiTheme="majorBidi" w:cstheme="majorBidi"/>
          <w:i/>
          <w:iCs/>
          <w:color w:val="000000"/>
          <w:lang w:val="en-US"/>
        </w:rPr>
        <w:t>Vulnerable</w:t>
      </w:r>
      <w:r w:rsidRPr="004262AE">
        <w:rPr>
          <w:rStyle w:val="normaltextrun"/>
          <w:rFonts w:asciiTheme="majorBidi" w:eastAsiaTheme="majorEastAsia" w:hAnsiTheme="majorBidi" w:cstheme="majorBidi"/>
          <w:color w:val="000000"/>
          <w:lang w:val="en-US"/>
        </w:rPr>
        <w:t xml:space="preserve">), with </w:t>
      </w:r>
      <w:r w:rsidRPr="004262AE">
        <w:rPr>
          <w:rStyle w:val="normaltextrun"/>
          <w:rFonts w:asciiTheme="majorBidi" w:eastAsiaTheme="majorEastAsia" w:hAnsiTheme="majorBidi" w:cstheme="majorBidi"/>
          <w:i/>
          <w:iCs/>
          <w:color w:val="000000"/>
          <w:lang w:val="en-US"/>
        </w:rPr>
        <w:t>Collapsed</w:t>
      </w:r>
      <w:r w:rsidRPr="004262AE">
        <w:rPr>
          <w:rStyle w:val="normaltextrun"/>
          <w:rFonts w:asciiTheme="majorBidi" w:eastAsiaTheme="majorEastAsia" w:hAnsiTheme="majorBidi" w:cstheme="majorBidi"/>
          <w:color w:val="000000"/>
          <w:lang w:val="en-US"/>
        </w:rPr>
        <w:t xml:space="preserve"> replacing the </w:t>
      </w:r>
      <w:r w:rsidRPr="004262AE">
        <w:rPr>
          <w:rStyle w:val="normaltextrun"/>
          <w:rFonts w:asciiTheme="majorBidi" w:eastAsiaTheme="majorEastAsia" w:hAnsiTheme="majorBidi" w:cstheme="majorBidi"/>
          <w:i/>
          <w:iCs/>
          <w:color w:val="000000"/>
          <w:lang w:val="en-US"/>
        </w:rPr>
        <w:t>Extinct</w:t>
      </w:r>
      <w:r w:rsidRPr="004262AE">
        <w:rPr>
          <w:rStyle w:val="normaltextrun"/>
          <w:rFonts w:asciiTheme="majorBidi" w:eastAsiaTheme="majorEastAsia" w:hAnsiTheme="majorBidi" w:cstheme="majorBidi"/>
          <w:color w:val="000000"/>
          <w:lang w:val="en-US"/>
        </w:rPr>
        <w:t xml:space="preserve"> category used for species (see section 5b for further details). </w:t>
      </w:r>
      <w:r w:rsidRPr="004262AE">
        <w:rPr>
          <w:rStyle w:val="normaltextrun"/>
          <w:rFonts w:asciiTheme="majorBidi" w:eastAsiaTheme="majorEastAsia" w:hAnsiTheme="majorBidi" w:cstheme="majorBidi"/>
          <w:color w:val="000000"/>
          <w:lang w:val="en-AU"/>
        </w:rPr>
        <w:t>Red List of Ecosystems assessments identify which ecosystems are most at risk, and the drivers of ecosystem loss and degradation. The Red List of Ecosystems therefore addresses multiple aspects of Goal A, by assessing how change in integrity, connectivity and area affect ecosystem risk status, which is related to ecosystem resilience. It typically focusses on natural and some semi-natural ecosystem types (e.g. derived grasslands).</w:t>
      </w:r>
      <w:r w:rsidRPr="004262AE">
        <w:rPr>
          <w:rStyle w:val="eop"/>
          <w:rFonts w:asciiTheme="majorBidi" w:eastAsiaTheme="majorEastAsia" w:hAnsiTheme="majorBidi" w:cstheme="majorBidi"/>
          <w:color w:val="000000"/>
        </w:rPr>
        <w:t> </w:t>
      </w:r>
    </w:p>
    <w:p w14:paraId="7620CC94" w14:textId="77777777" w:rsidR="004262AE" w:rsidRDefault="00B23E1C" w:rsidP="004262AE">
      <w:pPr>
        <w:pStyle w:val="CBDNormalNumber"/>
        <w:numPr>
          <w:ilvl w:val="0"/>
          <w:numId w:val="40"/>
        </w:numPr>
      </w:pPr>
      <w:r w:rsidRPr="004262AE">
        <w:rPr>
          <w:rFonts w:asciiTheme="majorBidi" w:eastAsiaTheme="majorEastAsia" w:hAnsiTheme="majorBidi" w:cstheme="majorBidi"/>
          <w:color w:val="000000"/>
          <w:lang w:val="en-CA"/>
        </w:rPr>
        <w:t xml:space="preserve">The input data for Headline Indicator A.1 </w:t>
      </w:r>
      <w:r w:rsidRPr="004262AE">
        <w:rPr>
          <w:rStyle w:val="normaltextrun"/>
          <w:rFonts w:asciiTheme="majorBidi" w:eastAsiaTheme="majorEastAsia" w:hAnsiTheme="majorBidi" w:cstheme="majorBidi"/>
          <w:color w:val="000000"/>
          <w:lang w:val="en-AU"/>
        </w:rPr>
        <w:t xml:space="preserve">Red List of Ecosystems, come from Red List of Ecosystems assessments. Ideally, these should be national Red List of Ecosystem assessments. However but data from sub-national (e.g. states or provinces within a country, (e.g. in China, Tan et al. 2017) or above-national assessments (e.g. regional assessment such as the Western India Ocean coral reef assessment, Obura et al. 2021, or the forests of the Americas, Ferrer-Paris et al. 2019, Figure II)) could also be used. </w:t>
      </w:r>
      <w:r w:rsidRPr="004262AE">
        <w:rPr>
          <w:rFonts w:asciiTheme="majorBidi" w:eastAsiaTheme="majorEastAsia" w:hAnsiTheme="majorBidi" w:cstheme="majorBidi"/>
          <w:color w:val="000000"/>
          <w:lang w:val="en-CA"/>
        </w:rPr>
        <w:t>The same data can be used to calculate indicator at national levels or globally. </w:t>
      </w:r>
    </w:p>
    <w:p w14:paraId="263B7052" w14:textId="77777777" w:rsidR="004262AE" w:rsidRDefault="00B23E1C" w:rsidP="004262AE">
      <w:pPr>
        <w:pStyle w:val="CBDNormalNumber"/>
        <w:numPr>
          <w:ilvl w:val="0"/>
          <w:numId w:val="40"/>
        </w:numPr>
        <w:rPr>
          <w:rStyle w:val="normaltextrun"/>
        </w:rPr>
      </w:pPr>
      <w:r w:rsidRPr="004262AE">
        <w:rPr>
          <w:rStyle w:val="normaltextrun"/>
          <w:rFonts w:asciiTheme="majorBidi" w:eastAsiaTheme="majorEastAsia" w:hAnsiTheme="majorBidi" w:cstheme="majorBidi"/>
          <w:color w:val="000000"/>
          <w:lang w:val="en-AU"/>
        </w:rPr>
        <w:lastRenderedPageBreak/>
        <w:t xml:space="preserve">The </w:t>
      </w:r>
      <w:r w:rsidRPr="00B3383B">
        <w:t>headline</w:t>
      </w:r>
      <w:r w:rsidRPr="004262AE">
        <w:rPr>
          <w:rStyle w:val="normaltextrun"/>
          <w:rFonts w:asciiTheme="majorBidi" w:eastAsiaTheme="majorEastAsia" w:hAnsiTheme="majorBidi" w:cstheme="majorBidi"/>
          <w:color w:val="000000"/>
          <w:lang w:val="en-AU"/>
        </w:rPr>
        <w:t xml:space="preserve"> indicator to be reported is the </w:t>
      </w:r>
      <w:r w:rsidRPr="004262AE">
        <w:rPr>
          <w:rStyle w:val="normaltextrun"/>
          <w:rFonts w:asciiTheme="majorBidi" w:eastAsiaTheme="majorEastAsia" w:hAnsiTheme="majorBidi" w:cstheme="majorBidi"/>
          <w:i/>
          <w:iCs/>
          <w:color w:val="000000"/>
          <w:lang w:val="en-AU"/>
        </w:rPr>
        <w:t>Red List Index of ecosystems</w:t>
      </w:r>
      <w:r w:rsidRPr="004262AE">
        <w:rPr>
          <w:rStyle w:val="normaltextrun"/>
          <w:rFonts w:asciiTheme="majorBidi" w:eastAsiaTheme="majorEastAsia" w:hAnsiTheme="majorBidi" w:cstheme="majorBidi"/>
          <w:color w:val="000000"/>
          <w:lang w:val="en-AU"/>
        </w:rPr>
        <w:t xml:space="preserve">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which summarises risk status across sets of ecosystem types (Rowland et al. 2020). It is a function of </w:t>
      </w:r>
      <w:r w:rsidRPr="004262AE">
        <w:rPr>
          <w:rFonts w:asciiTheme="majorBidi" w:eastAsiaTheme="majorEastAsia" w:hAnsiTheme="majorBidi" w:cstheme="majorBidi"/>
          <w:color w:val="000000"/>
          <w:lang w:val="en-CA"/>
        </w:rPr>
        <w:t xml:space="preserve">ecosystem types per risk category. </w:t>
      </w:r>
      <w:r w:rsidRPr="004262AE">
        <w:rPr>
          <w:rStyle w:val="normaltextrun"/>
          <w:rFonts w:asciiTheme="majorBidi" w:eastAsiaTheme="majorEastAsia" w:hAnsiTheme="majorBidi" w:cstheme="majorBidi"/>
          <w:color w:val="000000"/>
          <w:lang w:val="en-US"/>
        </w:rPr>
        <w:t xml:space="preserve">A decrease in the </w:t>
      </w:r>
      <w:proofErr w:type="spellStart"/>
      <w:r w:rsidRPr="004262AE">
        <w:rPr>
          <w:rStyle w:val="normaltextrun"/>
          <w:rFonts w:asciiTheme="majorBidi" w:eastAsiaTheme="majorEastAsia" w:hAnsiTheme="majorBidi" w:cstheme="majorBidi"/>
          <w:color w:val="000000"/>
          <w:lang w:val="en-US"/>
        </w:rPr>
        <w:t>RLIe</w:t>
      </w:r>
      <w:proofErr w:type="spellEnd"/>
      <w:r w:rsidRPr="004262AE">
        <w:rPr>
          <w:rStyle w:val="normaltextrun"/>
          <w:rFonts w:asciiTheme="majorBidi" w:eastAsiaTheme="majorEastAsia" w:hAnsiTheme="majorBidi" w:cstheme="majorBidi"/>
          <w:color w:val="000000"/>
          <w:lang w:val="en-US"/>
        </w:rPr>
        <w:t xml:space="preserve"> (towards 0) means more ecosystems are threatened (higher risk of collapse). An increase in the </w:t>
      </w:r>
      <w:proofErr w:type="spellStart"/>
      <w:r w:rsidRPr="004262AE">
        <w:rPr>
          <w:rStyle w:val="normaltextrun"/>
          <w:rFonts w:asciiTheme="majorBidi" w:eastAsiaTheme="majorEastAsia" w:hAnsiTheme="majorBidi" w:cstheme="majorBidi"/>
          <w:color w:val="000000"/>
          <w:lang w:val="en-US"/>
        </w:rPr>
        <w:t>RLIe</w:t>
      </w:r>
      <w:proofErr w:type="spellEnd"/>
      <w:r w:rsidRPr="004262AE">
        <w:rPr>
          <w:rStyle w:val="normaltextrun"/>
          <w:rFonts w:asciiTheme="majorBidi" w:eastAsiaTheme="majorEastAsia" w:hAnsiTheme="majorBidi" w:cstheme="majorBidi"/>
          <w:color w:val="000000"/>
          <w:lang w:val="en-US"/>
        </w:rPr>
        <w:t xml:space="preserve"> (towards 1) means that ecosystems are becoming less threatened. </w:t>
      </w:r>
      <w:r w:rsidRPr="004262AE">
        <w:rPr>
          <w:rStyle w:val="normaltextrun"/>
          <w:rFonts w:asciiTheme="majorBidi" w:eastAsiaTheme="majorEastAsia" w:hAnsiTheme="majorBidi" w:cstheme="majorBidi"/>
          <w:color w:val="000000"/>
          <w:lang w:val="en-AU"/>
        </w:rPr>
        <w:t xml:space="preserve">The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uses the same method as the widely used indicator of species extinction risk, the Red List Index of species survival (RLI, Headline indicator A.3), which is based on the </w:t>
      </w:r>
      <w:r w:rsidRPr="004262AE">
        <w:rPr>
          <w:rStyle w:val="normaltextrun"/>
          <w:rFonts w:asciiTheme="majorBidi" w:eastAsiaTheme="majorEastAsia" w:hAnsiTheme="majorBidi" w:cstheme="majorBidi"/>
          <w:i/>
          <w:iCs/>
          <w:color w:val="000000"/>
          <w:lang w:val="en-US"/>
        </w:rPr>
        <w:t>IUCN Red List of Threatened Species</w:t>
      </w:r>
      <w:r w:rsidRPr="004262AE">
        <w:rPr>
          <w:rStyle w:val="normaltextrun"/>
          <w:rFonts w:asciiTheme="majorBidi" w:eastAsiaTheme="majorEastAsia" w:hAnsiTheme="majorBidi" w:cstheme="majorBidi"/>
          <w:color w:val="000000"/>
          <w:lang w:val="en-US"/>
        </w:rPr>
        <w:t xml:space="preserve"> and provides a complementary assessment of the state and trajectory of biodiversity.</w:t>
      </w:r>
    </w:p>
    <w:p w14:paraId="53D022FA" w14:textId="77777777" w:rsidR="004262AE" w:rsidRDefault="00B23E1C" w:rsidP="004262AE">
      <w:pPr>
        <w:pStyle w:val="CBDNormalNumber"/>
        <w:numPr>
          <w:ilvl w:val="0"/>
          <w:numId w:val="40"/>
        </w:numPr>
        <w:rPr>
          <w:rStyle w:val="normaltextrun"/>
        </w:rPr>
      </w:pPr>
      <w:r w:rsidRPr="004262AE">
        <w:rPr>
          <w:rStyle w:val="normaltextrun"/>
          <w:rFonts w:asciiTheme="majorBidi" w:eastAsiaTheme="majorEastAsia" w:hAnsiTheme="majorBidi" w:cstheme="majorBidi"/>
          <w:color w:val="000000"/>
          <w:lang w:val="en-AU"/>
        </w:rPr>
        <w:t xml:space="preserve">The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can be used to report on the overall risk status of all ecosystems within the country, as well as summarized by </w:t>
      </w:r>
      <w:r w:rsidRPr="00B3383B">
        <w:t>ecosystem</w:t>
      </w:r>
      <w:r w:rsidRPr="004262AE">
        <w:rPr>
          <w:rStyle w:val="normaltextrun"/>
          <w:rFonts w:asciiTheme="majorBidi" w:eastAsiaTheme="majorEastAsia" w:hAnsiTheme="majorBidi" w:cstheme="majorBidi"/>
          <w:color w:val="000000"/>
          <w:lang w:val="en-AU"/>
        </w:rPr>
        <w:t xml:space="preserve"> functional group (using the Global Ecosystem Typology, Keith et al. 2022) as </w:t>
      </w:r>
      <w:proofErr w:type="spellStart"/>
      <w:r w:rsidRPr="004262AE">
        <w:rPr>
          <w:rStyle w:val="normaltextrun"/>
          <w:rFonts w:asciiTheme="majorBidi" w:eastAsiaTheme="majorEastAsia" w:hAnsiTheme="majorBidi" w:cstheme="majorBidi"/>
          <w:color w:val="000000"/>
          <w:lang w:val="en-AU"/>
        </w:rPr>
        <w:t>arecommended</w:t>
      </w:r>
      <w:proofErr w:type="spellEnd"/>
      <w:r w:rsidRPr="004262AE">
        <w:rPr>
          <w:rStyle w:val="normaltextrun"/>
          <w:rFonts w:asciiTheme="majorBidi" w:eastAsiaTheme="majorEastAsia" w:hAnsiTheme="majorBidi" w:cstheme="majorBidi"/>
          <w:color w:val="000000"/>
          <w:lang w:val="en-AU"/>
        </w:rPr>
        <w:t xml:space="preserve"> disaggregation of the indicator.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values can be compared between countries. For those countries with repeat assessments, it can be shown as a time-series (e.g. for South Africa, Figure 1). </w:t>
      </w:r>
      <w:r w:rsidRPr="004262AE">
        <w:rPr>
          <w:rStyle w:val="normaltextrun"/>
          <w:lang w:val="en-AU"/>
        </w:rPr>
        <w:t> </w:t>
      </w:r>
    </w:p>
    <w:p w14:paraId="4CA5CFB2" w14:textId="77777777" w:rsidR="004262AE" w:rsidRDefault="00B23E1C" w:rsidP="004262AE">
      <w:pPr>
        <w:pStyle w:val="CBDNormalNumber"/>
        <w:numPr>
          <w:ilvl w:val="0"/>
          <w:numId w:val="40"/>
        </w:numPr>
        <w:rPr>
          <w:rStyle w:val="eop"/>
        </w:rPr>
      </w:pPr>
      <w:r w:rsidRPr="004262AE">
        <w:rPr>
          <w:rStyle w:val="normaltextrun"/>
          <w:rFonts w:asciiTheme="majorBidi" w:eastAsiaTheme="majorEastAsia" w:hAnsiTheme="majorBidi" w:cstheme="majorBidi"/>
          <w:color w:val="000000"/>
          <w:lang w:val="en-US"/>
        </w:rPr>
        <w:t xml:space="preserve">For </w:t>
      </w:r>
      <w:r w:rsidRPr="00B3383B">
        <w:t>countries</w:t>
      </w:r>
      <w:r w:rsidRPr="004262AE">
        <w:rPr>
          <w:rStyle w:val="normaltextrun"/>
          <w:rFonts w:asciiTheme="majorBidi" w:eastAsiaTheme="majorEastAsia" w:hAnsiTheme="majorBidi" w:cstheme="majorBidi"/>
          <w:color w:val="000000"/>
          <w:lang w:val="en-US"/>
        </w:rPr>
        <w:t xml:space="preserve"> undertaking their first assessment, the recommended indicator is the current </w:t>
      </w:r>
      <w:proofErr w:type="spellStart"/>
      <w:r w:rsidRPr="004262AE">
        <w:rPr>
          <w:rStyle w:val="normaltextrun"/>
          <w:rFonts w:asciiTheme="majorBidi" w:eastAsiaTheme="majorEastAsia" w:hAnsiTheme="majorBidi" w:cstheme="majorBidi"/>
          <w:color w:val="000000"/>
          <w:lang w:val="en-US"/>
        </w:rPr>
        <w:t>RLIe</w:t>
      </w:r>
      <w:proofErr w:type="spellEnd"/>
      <w:r w:rsidRPr="004262AE">
        <w:rPr>
          <w:rStyle w:val="normaltextrun"/>
          <w:rFonts w:asciiTheme="majorBidi" w:eastAsiaTheme="majorEastAsia" w:hAnsiTheme="majorBidi" w:cstheme="majorBidi"/>
          <w:color w:val="000000"/>
          <w:lang w:val="en-US"/>
        </w:rPr>
        <w:t xml:space="preserve"> value, along with </w:t>
      </w:r>
      <w:proofErr w:type="spellStart"/>
      <w:r w:rsidRPr="004262AE">
        <w:rPr>
          <w:rStyle w:val="normaltextrun"/>
          <w:rFonts w:asciiTheme="majorBidi" w:eastAsiaTheme="majorEastAsia" w:hAnsiTheme="majorBidi" w:cstheme="majorBidi"/>
          <w:color w:val="000000"/>
          <w:lang w:val="en-US"/>
        </w:rPr>
        <w:t>disaggregations</w:t>
      </w:r>
      <w:proofErr w:type="spellEnd"/>
      <w:r w:rsidRPr="004262AE">
        <w:rPr>
          <w:rStyle w:val="normaltextrun"/>
          <w:rFonts w:asciiTheme="majorBidi" w:eastAsiaTheme="majorEastAsia" w:hAnsiTheme="majorBidi" w:cstheme="majorBidi"/>
          <w:color w:val="000000"/>
          <w:lang w:val="en-US"/>
        </w:rPr>
        <w:t xml:space="preserve"> by ecosystem functional group. The indicator can be reported alongside summary statistics (e.g. number of ecosystem types in each risk category) and where possible ecosystem maps showing the distribution of threatened ecosystems. For those countries with repeat assessments, the indicator would be the </w:t>
      </w:r>
      <w:proofErr w:type="spellStart"/>
      <w:r w:rsidRPr="004262AE">
        <w:rPr>
          <w:rStyle w:val="normaltextrun"/>
          <w:rFonts w:asciiTheme="majorBidi" w:eastAsiaTheme="majorEastAsia" w:hAnsiTheme="majorBidi" w:cstheme="majorBidi"/>
          <w:color w:val="000000"/>
          <w:lang w:val="en-US"/>
        </w:rPr>
        <w:t>RLIe</w:t>
      </w:r>
      <w:proofErr w:type="spellEnd"/>
      <w:r w:rsidRPr="004262AE">
        <w:rPr>
          <w:rStyle w:val="normaltextrun"/>
          <w:rFonts w:asciiTheme="majorBidi" w:eastAsiaTheme="majorEastAsia" w:hAnsiTheme="majorBidi" w:cstheme="majorBidi"/>
          <w:color w:val="000000"/>
          <w:lang w:val="en-US"/>
        </w:rPr>
        <w:t xml:space="preserve"> time-series with </w:t>
      </w:r>
      <w:proofErr w:type="spellStart"/>
      <w:r w:rsidRPr="004262AE">
        <w:rPr>
          <w:rStyle w:val="normaltextrun"/>
          <w:rFonts w:asciiTheme="majorBidi" w:eastAsiaTheme="majorEastAsia" w:hAnsiTheme="majorBidi" w:cstheme="majorBidi"/>
          <w:color w:val="000000"/>
          <w:lang w:val="en-US"/>
        </w:rPr>
        <w:t>disaggregations</w:t>
      </w:r>
      <w:proofErr w:type="spellEnd"/>
      <w:r w:rsidRPr="004262AE">
        <w:rPr>
          <w:rStyle w:val="normaltextrun"/>
          <w:rFonts w:asciiTheme="majorBidi" w:eastAsiaTheme="majorEastAsia" w:hAnsiTheme="majorBidi" w:cstheme="majorBidi"/>
          <w:color w:val="000000"/>
          <w:lang w:val="en-US"/>
        </w:rPr>
        <w:t xml:space="preserve"> by ecosystem functional group, complemented by summary statistics (see figure I).</w:t>
      </w:r>
      <w:r w:rsidRPr="004262AE">
        <w:rPr>
          <w:rStyle w:val="eop"/>
          <w:rFonts w:asciiTheme="majorBidi" w:eastAsiaTheme="majorEastAsia" w:hAnsiTheme="majorBidi" w:cstheme="majorBidi"/>
          <w:color w:val="000000"/>
        </w:rPr>
        <w:t> </w:t>
      </w:r>
    </w:p>
    <w:p w14:paraId="18708241" w14:textId="77777777" w:rsidR="004262AE" w:rsidRPr="004262AE" w:rsidRDefault="00B23E1C" w:rsidP="004262AE">
      <w:pPr>
        <w:pStyle w:val="CBDNormalNumber"/>
        <w:numPr>
          <w:ilvl w:val="0"/>
          <w:numId w:val="40"/>
        </w:numPr>
        <w:rPr>
          <w:rStyle w:val="normaltextrun"/>
        </w:rPr>
      </w:pPr>
      <w:r w:rsidRPr="004262AE">
        <w:rPr>
          <w:rStyle w:val="normaltextrun"/>
          <w:color w:val="000000"/>
          <w:lang w:val="en-AU"/>
        </w:rPr>
        <w:t xml:space="preserve">The </w:t>
      </w:r>
      <w:proofErr w:type="spellStart"/>
      <w:r w:rsidRPr="004262AE">
        <w:rPr>
          <w:rStyle w:val="normaltextrun"/>
          <w:color w:val="000000"/>
          <w:lang w:val="en-AU"/>
        </w:rPr>
        <w:t>RLIe</w:t>
      </w:r>
      <w:proofErr w:type="spellEnd"/>
      <w:r w:rsidRPr="004262AE">
        <w:rPr>
          <w:rStyle w:val="normaltextrun"/>
          <w:color w:val="000000"/>
          <w:lang w:val="en-AU"/>
        </w:rPr>
        <w:t xml:space="preserve"> and summary statistics from Red List of Ecosystems assessments can be represented in graphs or maps to aid </w:t>
      </w:r>
      <w:r>
        <w:t>communication</w:t>
      </w:r>
      <w:r w:rsidRPr="004262AE">
        <w:rPr>
          <w:rStyle w:val="normaltextrun"/>
          <w:color w:val="000000"/>
          <w:lang w:val="en-AU"/>
        </w:rPr>
        <w:t xml:space="preserve"> and inform spatial planning, including biodiversity-inclusive planning (Target 1), restoration planning (Target 2) and protected area planning (Target 3). </w:t>
      </w:r>
    </w:p>
    <w:p w14:paraId="1CFC8491" w14:textId="77777777" w:rsidR="004262AE" w:rsidRDefault="00B23E1C" w:rsidP="004262AE">
      <w:pPr>
        <w:pStyle w:val="CBDNormalNumber"/>
        <w:numPr>
          <w:ilvl w:val="0"/>
          <w:numId w:val="40"/>
        </w:numPr>
      </w:pPr>
      <w:r>
        <w:t>Indicator A.1 is intended to be used and interpreted in the context of other ecosystem-related indicators of the GBF. The five headline indicators that deal most directly with ecosystems are A.1 Red List of Ecosystems, A.2 Extent of natural ecosystems, B.1 Services provided by ecosystems, 2.1 Area under restoration, and 3.1 Coverage of protected areas and other effective area-based conservation measures. This set of indicators can together provide a well-rounded picture of the state of ecosystems, their benefits to society, and interventions to protect and restore ecosystems. They should be interpreted collectively rather than individually, with each providing different but complementary information.</w:t>
      </w:r>
    </w:p>
    <w:p w14:paraId="20C851DE" w14:textId="73A506A3" w:rsidR="00B23E1C" w:rsidRDefault="00B23E1C" w:rsidP="004262AE">
      <w:pPr>
        <w:pStyle w:val="CBDNormalNumber"/>
        <w:numPr>
          <w:ilvl w:val="0"/>
          <w:numId w:val="40"/>
        </w:numPr>
      </w:pPr>
      <w:r>
        <w:t>At the national level, using a common national classification system for ecosystem types across these five headline indicators will greatly facilitate bringing information from this set of indicators together to provide a coherent narrative and to be most useful for policy and implementation. For coherence in global reporting and analysis, it is useful for countries to cross-reference their national ecosystem classification to the Global Ecosystem Typology, as discussed in section 5.</w:t>
      </w:r>
    </w:p>
    <w:p w14:paraId="3FF96593" w14:textId="77777777" w:rsidR="00B23E1C" w:rsidRPr="00ED7E61" w:rsidRDefault="00B23E1C" w:rsidP="00B23E1C">
      <w:pPr>
        <w:pStyle w:val="CBDNormalNumber"/>
        <w:rPr>
          <w:rStyle w:val="eop"/>
          <w:rFonts w:asciiTheme="majorBidi" w:eastAsiaTheme="majorEastAsia" w:hAnsiTheme="majorBidi" w:cstheme="majorBidi"/>
          <w:color w:val="000000"/>
        </w:rPr>
      </w:pPr>
    </w:p>
    <w:p w14:paraId="5DBA8D85" w14:textId="77777777" w:rsidR="00B23E1C" w:rsidRDefault="00B23E1C" w:rsidP="00B23E1C">
      <w:pPr>
        <w:pStyle w:val="CBDNormalNumber"/>
        <w:ind w:left="567"/>
        <w:jc w:val="left"/>
        <w:rPr>
          <w:rFonts w:asciiTheme="majorBidi" w:hAnsiTheme="majorBidi" w:cstheme="majorBidi"/>
          <w:color w:val="000000"/>
          <w:lang w:val="en-AU"/>
        </w:rPr>
      </w:pPr>
      <w:r w:rsidRPr="00ED7E61">
        <w:rPr>
          <w:noProof/>
          <w:lang w:val="fr-FR" w:eastAsia="fr-FR"/>
          <w14:ligatures w14:val="standardContextual"/>
        </w:rPr>
        <w:lastRenderedPageBreak/>
        <w:drawing>
          <wp:inline distT="0" distB="0" distL="0" distR="0" wp14:anchorId="5B373782" wp14:editId="70596B43">
            <wp:extent cx="4457700" cy="2526030"/>
            <wp:effectExtent l="0" t="0" r="0" b="7620"/>
            <wp:docPr id="10329209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30929" name="Picture 3"/>
                    <pic:cNvPicPr>
                      <a:picLocks noChangeAspect="1"/>
                    </pic:cNvPicPr>
                  </pic:nvPicPr>
                  <pic:blipFill rotWithShape="1">
                    <a:blip r:embed="rId14"/>
                    <a:srcRect l="4808" t="16480" r="39209" b="38615"/>
                    <a:stretch/>
                  </pic:blipFill>
                  <pic:spPr bwMode="auto">
                    <a:xfrm>
                      <a:off x="0" y="0"/>
                      <a:ext cx="4457700" cy="2526030"/>
                    </a:xfrm>
                    <a:prstGeom prst="rect">
                      <a:avLst/>
                    </a:prstGeom>
                    <a:ln>
                      <a:noFill/>
                    </a:ln>
                    <a:extLst>
                      <a:ext uri="{53640926-AAD7-44D8-BBD7-CCE9431645EC}">
                        <a14:shadowObscured xmlns:a14="http://schemas.microsoft.com/office/drawing/2010/main"/>
                      </a:ext>
                    </a:extLst>
                  </pic:spPr>
                </pic:pic>
              </a:graphicData>
            </a:graphic>
          </wp:inline>
        </w:drawing>
      </w:r>
    </w:p>
    <w:p w14:paraId="58D40E57" w14:textId="054EF1BB" w:rsidR="00B23E1C" w:rsidRPr="003618C3" w:rsidRDefault="00B23E1C" w:rsidP="00B23E1C">
      <w:pPr>
        <w:pStyle w:val="CBDNormalNumber"/>
        <w:ind w:left="567"/>
        <w:jc w:val="left"/>
        <w:rPr>
          <w:rFonts w:asciiTheme="majorBidi" w:eastAsiaTheme="majorEastAsia" w:hAnsiTheme="majorBidi" w:cstheme="majorBidi"/>
          <w:i/>
          <w:iCs/>
          <w:color w:val="000000"/>
          <w:lang w:val="en-AU"/>
        </w:rPr>
      </w:pPr>
      <w:r w:rsidRPr="00B3383B">
        <w:rPr>
          <w:rFonts w:asciiTheme="majorBidi" w:hAnsiTheme="majorBidi" w:cstheme="majorBidi"/>
          <w:color w:val="000000"/>
          <w:lang w:val="en-AU"/>
        </w:rPr>
        <w:t>Figure I.</w:t>
      </w:r>
      <w:r w:rsidRPr="00ED7E61">
        <w:rPr>
          <w:rFonts w:asciiTheme="majorBidi" w:hAnsiTheme="majorBidi" w:cstheme="majorBidi"/>
          <w:i/>
          <w:iCs/>
          <w:color w:val="000000"/>
          <w:lang w:val="en-AU"/>
        </w:rPr>
        <w:t xml:space="preserve"> </w:t>
      </w:r>
      <w:r>
        <w:rPr>
          <w:rFonts w:asciiTheme="majorBidi" w:hAnsiTheme="majorBidi" w:cstheme="majorBidi"/>
          <w:i/>
          <w:iCs/>
          <w:color w:val="000000"/>
          <w:lang w:val="en-AU"/>
        </w:rPr>
        <w:br/>
      </w:r>
      <w:r w:rsidRPr="00B3383B">
        <w:rPr>
          <w:rFonts w:asciiTheme="majorBidi" w:hAnsiTheme="majorBidi" w:cstheme="majorBidi"/>
          <w:b/>
          <w:bCs/>
          <w:color w:val="000000"/>
          <w:lang w:val="en-AU"/>
        </w:rPr>
        <w:t>A preliminary Red List Index of ecosystems (</w:t>
      </w:r>
      <w:proofErr w:type="spellStart"/>
      <w:r w:rsidRPr="00B3383B">
        <w:rPr>
          <w:rFonts w:asciiTheme="majorBidi" w:hAnsiTheme="majorBidi" w:cstheme="majorBidi"/>
          <w:b/>
          <w:bCs/>
          <w:color w:val="000000"/>
          <w:lang w:val="en-AU"/>
        </w:rPr>
        <w:t>RLIe</w:t>
      </w:r>
      <w:proofErr w:type="spellEnd"/>
      <w:r w:rsidRPr="00B3383B">
        <w:rPr>
          <w:rFonts w:asciiTheme="majorBidi" w:hAnsiTheme="majorBidi" w:cstheme="majorBidi"/>
          <w:b/>
          <w:bCs/>
          <w:color w:val="000000"/>
          <w:lang w:val="en-AU"/>
        </w:rPr>
        <w:t xml:space="preserve">) time-series for South Africa for 2018 and 2022, for all terrestrial ecosystem types (black) and for each terrestrial ecosystem functional group </w:t>
      </w:r>
      <w:r>
        <w:rPr>
          <w:rFonts w:asciiTheme="majorBidi" w:hAnsiTheme="majorBidi" w:cstheme="majorBidi"/>
          <w:b/>
          <w:bCs/>
          <w:color w:val="000000"/>
          <w:lang w:val="en-AU"/>
        </w:rPr>
        <w:br/>
      </w:r>
      <w:r>
        <w:rPr>
          <w:rFonts w:asciiTheme="majorBidi" w:hAnsiTheme="majorBidi" w:cstheme="majorBidi"/>
          <w:i/>
          <w:iCs/>
          <w:color w:val="000000"/>
          <w:lang w:val="en-AU"/>
        </w:rPr>
        <w:t>D</w:t>
      </w:r>
      <w:r w:rsidRPr="003618C3">
        <w:rPr>
          <w:rFonts w:asciiTheme="majorBidi" w:hAnsiTheme="majorBidi" w:cstheme="majorBidi"/>
          <w:i/>
          <w:iCs/>
          <w:color w:val="000000"/>
          <w:lang w:val="en-AU"/>
        </w:rPr>
        <w:t xml:space="preserve">ata provided by SANBI, based on National Biodiversity </w:t>
      </w:r>
      <w:r>
        <w:rPr>
          <w:rFonts w:asciiTheme="majorBidi" w:hAnsiTheme="majorBidi" w:cstheme="majorBidi"/>
          <w:i/>
          <w:iCs/>
          <w:color w:val="000000"/>
          <w:lang w:val="en-AU"/>
        </w:rPr>
        <w:t>A</w:t>
      </w:r>
      <w:r w:rsidRPr="003618C3">
        <w:rPr>
          <w:rFonts w:asciiTheme="majorBidi" w:hAnsiTheme="majorBidi" w:cstheme="majorBidi"/>
          <w:i/>
          <w:iCs/>
          <w:color w:val="000000"/>
          <w:lang w:val="en-AU"/>
        </w:rPr>
        <w:t xml:space="preserve">ssessments (Botts et al. 2020; </w:t>
      </w:r>
      <w:proofErr w:type="spellStart"/>
      <w:r w:rsidRPr="003618C3">
        <w:rPr>
          <w:rFonts w:asciiTheme="majorBidi" w:hAnsiTheme="majorBidi" w:cstheme="majorBidi"/>
          <w:i/>
          <w:iCs/>
          <w:color w:val="000000"/>
          <w:lang w:val="en-AU"/>
        </w:rPr>
        <w:t>Skowno</w:t>
      </w:r>
      <w:proofErr w:type="spellEnd"/>
      <w:r w:rsidRPr="003618C3">
        <w:rPr>
          <w:rFonts w:asciiTheme="majorBidi" w:hAnsiTheme="majorBidi" w:cstheme="majorBidi"/>
          <w:i/>
          <w:iCs/>
          <w:color w:val="000000"/>
          <w:lang w:val="en-AU"/>
        </w:rPr>
        <w:t xml:space="preserve"> and </w:t>
      </w:r>
      <w:proofErr w:type="spellStart"/>
      <w:r w:rsidRPr="003618C3">
        <w:rPr>
          <w:rFonts w:asciiTheme="majorBidi" w:hAnsiTheme="majorBidi" w:cstheme="majorBidi"/>
          <w:i/>
          <w:iCs/>
          <w:color w:val="000000"/>
        </w:rPr>
        <w:t>Monyeki</w:t>
      </w:r>
      <w:proofErr w:type="spellEnd"/>
      <w:r w:rsidRPr="003618C3">
        <w:rPr>
          <w:rFonts w:asciiTheme="majorBidi" w:hAnsiTheme="majorBidi" w:cstheme="majorBidi"/>
          <w:i/>
          <w:iCs/>
          <w:color w:val="000000"/>
        </w:rPr>
        <w:t xml:space="preserve"> </w:t>
      </w:r>
      <w:r w:rsidRPr="003618C3">
        <w:rPr>
          <w:rFonts w:asciiTheme="majorBidi" w:hAnsiTheme="majorBidi" w:cstheme="majorBidi"/>
          <w:i/>
          <w:iCs/>
          <w:color w:val="000000"/>
          <w:lang w:val="en-AU"/>
        </w:rPr>
        <w:t>2021)</w:t>
      </w:r>
    </w:p>
    <w:p w14:paraId="0E64CA0A" w14:textId="77777777" w:rsidR="00B23E1C" w:rsidRPr="00ED7E61" w:rsidRDefault="00B23E1C" w:rsidP="00B23E1C">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 Definitions, concepts and classifications</w:t>
      </w:r>
      <w:r w:rsidRPr="00ED7E61">
        <w:rPr>
          <w:rStyle w:val="eop"/>
          <w:rFonts w:asciiTheme="majorBidi" w:eastAsiaTheme="majorEastAsia" w:hAnsiTheme="majorBidi" w:cstheme="majorBidi"/>
          <w:b/>
          <w:bCs/>
          <w:sz w:val="22"/>
          <w:szCs w:val="22"/>
        </w:rPr>
        <w:t> </w:t>
      </w:r>
    </w:p>
    <w:p w14:paraId="4BA7A511" w14:textId="77777777" w:rsidR="00B23E1C" w:rsidRPr="00ED7E61" w:rsidRDefault="00B23E1C" w:rsidP="00B23E1C">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5a. Definition: </w:t>
      </w:r>
      <w:r w:rsidRPr="00ED7E61">
        <w:rPr>
          <w:rStyle w:val="eop"/>
          <w:rFonts w:asciiTheme="majorBidi" w:eastAsiaTheme="majorEastAsia" w:hAnsiTheme="majorBidi" w:cstheme="majorBidi"/>
          <w:b/>
          <w:bCs/>
          <w:sz w:val="22"/>
          <w:szCs w:val="22"/>
        </w:rPr>
        <w:t> </w:t>
      </w:r>
    </w:p>
    <w:p w14:paraId="7974694B" w14:textId="77777777" w:rsidR="00B23E1C" w:rsidRPr="00ED7E61" w:rsidRDefault="00B23E1C" w:rsidP="00B23E1C">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Indicator definition</w:t>
      </w:r>
      <w:r w:rsidRPr="00ED7E61">
        <w:rPr>
          <w:rStyle w:val="normaltextrun"/>
          <w:rFonts w:asciiTheme="majorBidi" w:eastAsiaTheme="majorEastAsia" w:hAnsiTheme="majorBidi" w:cstheme="majorBidi"/>
          <w:color w:val="000000"/>
          <w:sz w:val="22"/>
          <w:szCs w:val="22"/>
          <w:lang w:val="en-AU"/>
        </w:rPr>
        <w:t>: </w:t>
      </w:r>
      <w:r w:rsidRPr="00ED7E61">
        <w:rPr>
          <w:rStyle w:val="eop"/>
          <w:rFonts w:asciiTheme="majorBidi" w:eastAsiaTheme="majorEastAsia" w:hAnsiTheme="majorBidi" w:cstheme="majorBidi"/>
          <w:color w:val="000000"/>
          <w:sz w:val="22"/>
          <w:szCs w:val="22"/>
        </w:rPr>
        <w:t> </w:t>
      </w:r>
    </w:p>
    <w:p w14:paraId="3A637881" w14:textId="77777777" w:rsidR="004262AE" w:rsidRDefault="00B23E1C" w:rsidP="004262AE">
      <w:pPr>
        <w:pStyle w:val="CBDNormalNumber"/>
        <w:numPr>
          <w:ilvl w:val="0"/>
          <w:numId w:val="40"/>
        </w:numPr>
      </w:pPr>
      <w:r w:rsidRPr="004262AE">
        <w:t>The Red List of Ecosystems framework assesses the relative risk of ecosystem collapse of an ecosystem type. The indicator ‘Red List Index of Ecosystems (</w:t>
      </w:r>
      <w:proofErr w:type="spellStart"/>
      <w:r w:rsidRPr="004262AE">
        <w:t>RLIe</w:t>
      </w:r>
      <w:proofErr w:type="spellEnd"/>
      <w:r w:rsidRPr="004262AE">
        <w:t xml:space="preserve">)’ measures the average risk of ecosystem collapse of a group of ecosystems, and tracks change in this over time based on genuine change in the risk </w:t>
      </w:r>
      <w:r w:rsidRPr="00B3383B">
        <w:t>category</w:t>
      </w:r>
      <w:r w:rsidRPr="004262AE">
        <w:t xml:space="preserve"> of each ecosystem (i.e. excluding changes in categories owing to improved knowledge or better data). The Index is expressed as changes in an index ranging from 0 to 1, with decreases (towards 0) resulting from more threatened ecosystems or heighted risk, and increases (towards 1) showing improvements in risk status. A value of 0 means that all ecosystems have collapsed. A value of 1 means that all ecosystems are listed as Least Concern. </w:t>
      </w:r>
    </w:p>
    <w:p w14:paraId="3183C07D" w14:textId="6873B7EA" w:rsidR="00B23E1C" w:rsidRPr="004262AE" w:rsidRDefault="00B23E1C" w:rsidP="004262AE">
      <w:pPr>
        <w:pStyle w:val="CBDNormalNumber"/>
        <w:numPr>
          <w:ilvl w:val="0"/>
          <w:numId w:val="40"/>
        </w:numPr>
      </w:pPr>
      <w:r w:rsidRPr="004262AE">
        <w:rPr>
          <w:rStyle w:val="normaltextrun"/>
          <w:rFonts w:asciiTheme="majorBidi" w:eastAsiaTheme="majorEastAsia" w:hAnsiTheme="majorBidi" w:cstheme="majorBidi"/>
          <w:lang w:val="en-AU"/>
        </w:rPr>
        <w:t xml:space="preserve">The </w:t>
      </w:r>
      <w:proofErr w:type="spellStart"/>
      <w:r w:rsidRPr="004262AE">
        <w:rPr>
          <w:rStyle w:val="normaltextrun"/>
          <w:rFonts w:asciiTheme="majorBidi" w:eastAsiaTheme="majorEastAsia" w:hAnsiTheme="majorBidi" w:cstheme="majorBidi"/>
          <w:lang w:val="en-AU"/>
        </w:rPr>
        <w:t>RLIe</w:t>
      </w:r>
      <w:proofErr w:type="spellEnd"/>
      <w:r w:rsidRPr="004262AE">
        <w:rPr>
          <w:rStyle w:val="normaltextrun"/>
          <w:rFonts w:asciiTheme="majorBidi" w:eastAsiaTheme="majorEastAsia" w:hAnsiTheme="majorBidi" w:cstheme="majorBidi"/>
          <w:lang w:val="en-AU"/>
        </w:rPr>
        <w:t xml:space="preserve"> can be </w:t>
      </w:r>
      <w:r w:rsidRPr="00B3383B">
        <w:t>calculated</w:t>
      </w:r>
      <w:r w:rsidRPr="004262AE">
        <w:rPr>
          <w:rStyle w:val="normaltextrun"/>
          <w:rFonts w:asciiTheme="majorBidi" w:eastAsiaTheme="majorEastAsia" w:hAnsiTheme="majorBidi" w:cstheme="majorBidi"/>
          <w:lang w:val="en-AU"/>
        </w:rPr>
        <w:t xml:space="preserve"> for any set of ecosystem types for which there are </w:t>
      </w:r>
      <w:r w:rsidRPr="004262AE">
        <w:rPr>
          <w:rStyle w:val="normaltextrun"/>
          <w:rFonts w:asciiTheme="majorBidi" w:eastAsiaTheme="majorEastAsia" w:hAnsiTheme="majorBidi" w:cstheme="majorBidi"/>
          <w:i/>
          <w:iCs/>
          <w:lang w:val="en-AU"/>
        </w:rPr>
        <w:t>Red List of Ecosystems</w:t>
      </w:r>
      <w:r w:rsidRPr="004262AE">
        <w:rPr>
          <w:rStyle w:val="normaltextrun"/>
          <w:rFonts w:asciiTheme="majorBidi" w:eastAsiaTheme="majorEastAsia" w:hAnsiTheme="majorBidi" w:cstheme="majorBidi"/>
          <w:lang w:val="en-AU"/>
        </w:rPr>
        <w:t xml:space="preserve"> assessments. It can thus be calculated at the subnational, national, regional or global level, or for broad ecosystem groups (e.g. ecosystem functional groups). </w:t>
      </w:r>
      <w:r w:rsidRPr="004262AE">
        <w:rPr>
          <w:rStyle w:val="eop"/>
          <w:rFonts w:asciiTheme="majorBidi" w:eastAsiaTheme="majorEastAsia" w:hAnsiTheme="majorBidi" w:cstheme="majorBidi"/>
        </w:rPr>
        <w:t> </w:t>
      </w:r>
    </w:p>
    <w:p w14:paraId="267C3FE6" w14:textId="77777777" w:rsidR="00B23E1C" w:rsidRPr="00ED7E61" w:rsidRDefault="00B23E1C" w:rsidP="00B23E1C">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Other key concepts and definitions</w:t>
      </w:r>
    </w:p>
    <w:p w14:paraId="699ED3B8" w14:textId="77777777" w:rsidR="004262AE" w:rsidRDefault="00B23E1C" w:rsidP="004262AE">
      <w:pPr>
        <w:pStyle w:val="CBDNormalNumber"/>
        <w:numPr>
          <w:ilvl w:val="0"/>
          <w:numId w:val="40"/>
        </w:numPr>
      </w:pPr>
      <w:r w:rsidRPr="004262AE">
        <w:t xml:space="preserve">Ecosystems: a dynamic complex of plant, animal and micro-organism communities and their non-living environment interacting as a functional unit (Convention on Biological Diversity, 1992). Specifically, ecosystems are made up of living components (biotic complexes and assemblages of </w:t>
      </w:r>
      <w:r w:rsidRPr="00B3383B">
        <w:t>species</w:t>
      </w:r>
      <w:r w:rsidRPr="004262AE">
        <w:t xml:space="preserve">), the abiotic environment, the processes and interactions within and between the biotic and abiotic components, and the physical space in which these operate (Keith et al. 2013).  </w:t>
      </w:r>
    </w:p>
    <w:p w14:paraId="66A8AF3D" w14:textId="77777777" w:rsidR="004262AE" w:rsidRDefault="00B23E1C" w:rsidP="004262AE">
      <w:pPr>
        <w:pStyle w:val="CBDNormalNumber"/>
        <w:numPr>
          <w:ilvl w:val="0"/>
          <w:numId w:val="40"/>
        </w:numPr>
      </w:pPr>
      <w:r w:rsidRPr="004262AE">
        <w:rPr>
          <w:rStyle w:val="normaltextrun"/>
          <w:rFonts w:asciiTheme="majorBidi" w:eastAsiaTheme="majorEastAsia" w:hAnsiTheme="majorBidi" w:cstheme="majorBidi"/>
          <w:i/>
          <w:iCs/>
          <w:color w:val="000000"/>
          <w:lang w:val="en-AU"/>
        </w:rPr>
        <w:t>Ecosystem types</w:t>
      </w:r>
      <w:r w:rsidRPr="004262AE">
        <w:rPr>
          <w:rStyle w:val="normaltextrun"/>
          <w:rFonts w:asciiTheme="majorBidi" w:eastAsiaTheme="majorEastAsia" w:hAnsiTheme="majorBidi" w:cstheme="majorBidi"/>
          <w:color w:val="000000"/>
          <w:lang w:val="en-AU"/>
        </w:rPr>
        <w:t xml:space="preserve"> are differentiated from one another by a degree of uniqueness in composition, structure, and </w:t>
      </w:r>
      <w:r w:rsidRPr="00B3383B">
        <w:t>ecological</w:t>
      </w:r>
      <w:r w:rsidRPr="004262AE">
        <w:rPr>
          <w:rStyle w:val="normaltextrun"/>
          <w:rFonts w:asciiTheme="majorBidi" w:eastAsiaTheme="majorEastAsia" w:hAnsiTheme="majorBidi" w:cstheme="majorBidi"/>
          <w:color w:val="000000"/>
          <w:lang w:val="en-AU"/>
        </w:rPr>
        <w:t xml:space="preserve"> processes and function. Ecosystem types present a useful model or abstraction of the complexities of the natural world. Similar definitions are used for other, often synonymous, terms such as ecological communities, habitats, biotopes, and vegetation types (Keith et al. 2013, Nicholson et al. 2021). Ecosystem types can be described, classified, and identified using the IUCN Global Ecosystem Typology (Keith et al. 2022). </w:t>
      </w:r>
      <w:r w:rsidRPr="004262AE">
        <w:rPr>
          <w:rStyle w:val="eop"/>
          <w:rFonts w:asciiTheme="majorBidi" w:eastAsiaTheme="majorEastAsia" w:hAnsiTheme="majorBidi" w:cstheme="majorBidi"/>
          <w:color w:val="000000"/>
        </w:rPr>
        <w:t> </w:t>
      </w:r>
    </w:p>
    <w:p w14:paraId="14ADD897" w14:textId="77777777" w:rsidR="004262AE" w:rsidRDefault="00B23E1C" w:rsidP="004262AE">
      <w:pPr>
        <w:pStyle w:val="CBDNormalNumber"/>
        <w:numPr>
          <w:ilvl w:val="0"/>
          <w:numId w:val="40"/>
        </w:numPr>
      </w:pPr>
      <w:r w:rsidRPr="004262AE">
        <w:rPr>
          <w:rStyle w:val="normaltextrun"/>
          <w:rFonts w:asciiTheme="majorBidi" w:eastAsiaTheme="majorEastAsia" w:hAnsiTheme="majorBidi" w:cstheme="majorBidi"/>
          <w:i/>
          <w:iCs/>
          <w:color w:val="000000"/>
          <w:lang w:val="en-AU"/>
        </w:rPr>
        <w:lastRenderedPageBreak/>
        <w:t>Ecosystem collapse</w:t>
      </w:r>
      <w:r w:rsidRPr="004262AE">
        <w:rPr>
          <w:rStyle w:val="normaltextrun"/>
          <w:rFonts w:asciiTheme="majorBidi" w:eastAsiaTheme="majorEastAsia" w:hAnsiTheme="majorBidi" w:cstheme="majorBidi"/>
          <w:color w:val="000000"/>
          <w:lang w:val="en-AU"/>
        </w:rPr>
        <w:t xml:space="preserve"> (as defined in the Red List of Ecosystems standard, IUCN 2024), is the endpoint of </w:t>
      </w:r>
      <w:r w:rsidRPr="00B3383B">
        <w:t>ecosystem</w:t>
      </w:r>
      <w:r w:rsidRPr="004262AE">
        <w:rPr>
          <w:rStyle w:val="normaltextrun"/>
          <w:rFonts w:asciiTheme="majorBidi" w:eastAsiaTheme="majorEastAsia" w:hAnsiTheme="majorBidi" w:cstheme="majorBidi"/>
          <w:color w:val="000000"/>
          <w:lang w:val="en-AU"/>
        </w:rPr>
        <w:t xml:space="preserve"> decline, when an ecosystem loses its defining features (i.e. species, assemblages, structure, and functions) and is replaced by a different, often depauperate, ecosystem type. Collapse can be irreversible, but some ecosystems may recover, over long timeframes or with restoration. The risk of ecosystem collapse is the likelihood that an ecosystem will collapse over a specified timeframe (Keith et al. 2013).</w:t>
      </w:r>
      <w:r w:rsidRPr="004262AE">
        <w:rPr>
          <w:rStyle w:val="eop"/>
          <w:rFonts w:asciiTheme="majorBidi" w:eastAsiaTheme="majorEastAsia" w:hAnsiTheme="majorBidi" w:cstheme="majorBidi"/>
          <w:color w:val="000000"/>
        </w:rPr>
        <w:t> </w:t>
      </w:r>
    </w:p>
    <w:p w14:paraId="433FA3C0" w14:textId="77777777" w:rsidR="004262AE" w:rsidRDefault="00B23E1C" w:rsidP="004262AE">
      <w:pPr>
        <w:pStyle w:val="CBDNormalNumber"/>
        <w:numPr>
          <w:ilvl w:val="0"/>
          <w:numId w:val="40"/>
        </w:numPr>
      </w:pPr>
      <w:r w:rsidRPr="004262AE">
        <w:rPr>
          <w:rStyle w:val="normaltextrun"/>
          <w:rFonts w:asciiTheme="majorBidi" w:eastAsiaTheme="majorEastAsia" w:hAnsiTheme="majorBidi" w:cstheme="majorBidi"/>
          <w:i/>
          <w:iCs/>
          <w:color w:val="000000"/>
          <w:lang w:val="en-AU"/>
        </w:rPr>
        <w:t>Risk categories</w:t>
      </w:r>
      <w:r w:rsidRPr="004262AE">
        <w:rPr>
          <w:rStyle w:val="normaltextrun"/>
          <w:rFonts w:asciiTheme="majorBidi" w:eastAsiaTheme="majorEastAsia" w:hAnsiTheme="majorBidi" w:cstheme="majorBidi"/>
          <w:color w:val="000000"/>
          <w:lang w:val="en-AU"/>
        </w:rPr>
        <w:t xml:space="preserve">: The risk of ecosystem collapse is based on the risk categories each ecosystem is assigned through assessment under the Red List of Ecosystems framework. The risk categories include, in order of increasing risk of collapse: Least Concern, Near Threatened, Vulnerable, Endangered, </w:t>
      </w:r>
      <w:r w:rsidRPr="00B3383B">
        <w:t>Critically</w:t>
      </w:r>
      <w:r w:rsidRPr="004262AE">
        <w:rPr>
          <w:rStyle w:val="normaltextrun"/>
          <w:rFonts w:asciiTheme="majorBidi" w:eastAsiaTheme="majorEastAsia" w:hAnsiTheme="majorBidi" w:cstheme="majorBidi"/>
          <w:color w:val="000000"/>
          <w:lang w:val="en-AU"/>
        </w:rPr>
        <w:t xml:space="preserve"> Endangered, and Collapsed. If there are insufficient data to assign a risk category, a criterion or ecosystem type it is considered Data Deficient, or Not Evaluated if not assessed.</w:t>
      </w:r>
      <w:r w:rsidRPr="004262AE">
        <w:rPr>
          <w:rStyle w:val="eop"/>
          <w:rFonts w:asciiTheme="majorBidi" w:eastAsiaTheme="majorEastAsia" w:hAnsiTheme="majorBidi" w:cstheme="majorBidi"/>
          <w:color w:val="000000"/>
        </w:rPr>
        <w:t> </w:t>
      </w:r>
      <w:r w:rsidRPr="004262AE">
        <w:rPr>
          <w:rFonts w:asciiTheme="majorBidi" w:eastAsiaTheme="majorEastAsia" w:hAnsiTheme="majorBidi" w:cstheme="majorBidi"/>
          <w:color w:val="000000"/>
          <w:lang w:val="en-CA"/>
        </w:rPr>
        <w:t xml:space="preserve">Guidelines for the application of the Red List of Ecosystems can be found on the IUCN website (Keith et al. 2013; IUCN, 2024).  </w:t>
      </w:r>
    </w:p>
    <w:p w14:paraId="57A16AF1" w14:textId="26206140" w:rsidR="00B23E1C" w:rsidRPr="004262AE" w:rsidRDefault="00B23E1C" w:rsidP="004262AE">
      <w:pPr>
        <w:pStyle w:val="CBDNormalNumber"/>
        <w:numPr>
          <w:ilvl w:val="0"/>
          <w:numId w:val="40"/>
        </w:numPr>
      </w:pPr>
      <w:r w:rsidRPr="004262AE">
        <w:rPr>
          <w:rStyle w:val="normaltextrun"/>
          <w:rFonts w:asciiTheme="majorBidi" w:eastAsiaTheme="majorEastAsia" w:hAnsiTheme="majorBidi" w:cstheme="majorBidi"/>
          <w:i/>
          <w:iCs/>
          <w:color w:val="000000"/>
          <w:lang w:val="en-AU"/>
        </w:rPr>
        <w:t xml:space="preserve">Ecosystem functional groups: </w:t>
      </w:r>
      <w:r w:rsidRPr="004262AE">
        <w:rPr>
          <w:rStyle w:val="normaltextrun"/>
          <w:rFonts w:asciiTheme="majorBidi" w:eastAsiaTheme="majorEastAsia" w:hAnsiTheme="majorBidi" w:cstheme="majorBidi"/>
          <w:color w:val="000000"/>
          <w:lang w:val="en-AU"/>
        </w:rPr>
        <w:t>Ecosystem functional groups comprise “</w:t>
      </w:r>
      <w:r w:rsidRPr="004262AE">
        <w:rPr>
          <w:rStyle w:val="normaltextrun"/>
          <w:rFonts w:asciiTheme="majorBidi" w:eastAsiaTheme="majorEastAsia" w:hAnsiTheme="majorBidi" w:cstheme="majorBidi"/>
          <w:i/>
          <w:iCs/>
          <w:color w:val="000000"/>
          <w:lang w:val="en-AU"/>
        </w:rPr>
        <w:t>a group of related ecosystems within a biome that share common ecological drivers, which in turn promote similar biotic traits that characterise the group. Derived from the top-down by subdivision of biomes</w:t>
      </w:r>
      <w:r w:rsidRPr="004262AE">
        <w:rPr>
          <w:rStyle w:val="normaltextrun"/>
          <w:rFonts w:asciiTheme="majorBidi" w:eastAsiaTheme="majorEastAsia" w:hAnsiTheme="majorBidi" w:cstheme="majorBidi"/>
          <w:color w:val="000000"/>
          <w:lang w:val="en-AU"/>
        </w:rPr>
        <w:t xml:space="preserve">” (Keith et al. 2022, https://global-ecosystems.org/). Examples include: M1.1 seagrass meadows, M1.2 kelp forests and M1.3 </w:t>
      </w:r>
      <w:r w:rsidRPr="00B3383B">
        <w:t>photic</w:t>
      </w:r>
      <w:r w:rsidRPr="004262AE">
        <w:rPr>
          <w:rStyle w:val="normaltextrun"/>
          <w:rFonts w:asciiTheme="majorBidi" w:eastAsiaTheme="majorEastAsia" w:hAnsiTheme="majorBidi" w:cstheme="majorBidi"/>
          <w:color w:val="000000"/>
          <w:lang w:val="en-AU"/>
        </w:rPr>
        <w:t xml:space="preserve"> coral reefs in the marine realm, T1.1 tropical/subtropics lowland rainforests and T4.2 pyric tussock savannas in the terrestrial realm, F1.6 episodic arid rivers and F2.8 artesian springs and oasis in the freshwater realm, and MFT1.3 coastal saltmarshes and reedbeds in the transitional realm between freshwater, marine and terrestrial realms. </w:t>
      </w:r>
      <w:r w:rsidRPr="004262AE">
        <w:rPr>
          <w:lang w:val="en-AU"/>
        </w:rPr>
        <w:t>National ecosystem types can be cross-referenced with the ecosystem functional groups (see guidelines in IUCN. 2025) to support consistent reporting across countries, and across ecosystem-related indicators (e.g. A.2 extent of natural ecosystems, and 2.1 area under restoration). Guidelines for cross-referencing national ecosystem classification with the Global Ecosystem Typology can be found on the IUCN website (IUCN, 2025).</w:t>
      </w:r>
    </w:p>
    <w:p w14:paraId="66907FAF" w14:textId="77777777" w:rsidR="00B23E1C" w:rsidRPr="00ED7E61" w:rsidRDefault="00B23E1C" w:rsidP="00812871">
      <w:pPr>
        <w:pStyle w:val="CBDNormalNumber"/>
        <w:ind w:left="567"/>
        <w:rPr>
          <w:rStyle w:val="normaltextrun"/>
          <w:rFonts w:asciiTheme="majorBidi" w:eastAsiaTheme="majorEastAsia" w:hAnsiTheme="majorBidi" w:cstheme="majorBidi"/>
          <w:i/>
          <w:iCs/>
          <w:color w:val="000000"/>
          <w:lang w:val="en-AU"/>
        </w:rPr>
      </w:pPr>
    </w:p>
    <w:p w14:paraId="3B996F35"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5b. Method of computation</w:t>
      </w:r>
    </w:p>
    <w:p w14:paraId="084C0B97" w14:textId="77777777" w:rsidR="00B23E1C" w:rsidRPr="00ED7E61" w:rsidRDefault="00B23E1C" w:rsidP="00B23E1C">
      <w:pPr>
        <w:pStyle w:val="paragraph"/>
        <w:spacing w:before="0" w:beforeAutospacing="0" w:after="0" w:afterAutospacing="0"/>
        <w:ind w:right="255"/>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i/>
          <w:iCs/>
          <w:color w:val="000000"/>
          <w:sz w:val="22"/>
          <w:szCs w:val="22"/>
          <w:lang w:val="en-AU"/>
        </w:rPr>
        <w:t>Reported data:</w:t>
      </w:r>
    </w:p>
    <w:p w14:paraId="68655055" w14:textId="0C7EEF7B"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 xml:space="preserve">The reported data will come from Red List of Ecosystems assessments. The data reported will be the number of ecosystems in each risk category, per ecosystem functional group, as a table (see example in Table 1). Only the categories of risk (Least Concern, Near Threatened, Vulnerable, Endangered, Critically Endangered, and Collapsed) will be used for calculation of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but additional columns for categories Not Evaluated or Data Deficient can be added to the table to indicate existing data gaps in national assessments (see section 5j on data gaps and 5k on missing data). Further guidance in this topic will be finalised in 2026. This advice will also address how to report on ecosystem functional groups in which no or only some ecosystem types have been assessed, differentiating ‘Not Evaluated’ ecosystem types within an otherwise assessed group (i.e. identified but not assessed, which may be included in the reporting table), and whole ecosystem functional groups or biomes that have not been evaluated (where the number of ecosystem types may be unknown, as the classification process may not have begun within the country). The advice will also deal with treatment of EFGs, biomes or even realms that are not applicable in the country (e.g. no marine ecosystem types in a land-locked country).  </w:t>
      </w:r>
    </w:p>
    <w:p w14:paraId="11C7BABA" w14:textId="5C9E8CC2" w:rsidR="00B23E1C" w:rsidRDefault="00B23E1C" w:rsidP="00B23E1C">
      <w:pPr>
        <w:pStyle w:val="paragraph"/>
        <w:rPr>
          <w:rFonts w:asciiTheme="majorBidi" w:eastAsiaTheme="majorEastAsia" w:hAnsiTheme="majorBidi" w:cstheme="majorBidi"/>
          <w:b/>
          <w:bCs/>
          <w:color w:val="000000"/>
          <w:sz w:val="22"/>
          <w:szCs w:val="22"/>
          <w:lang w:val="en-GB"/>
        </w:rPr>
      </w:pPr>
      <w:r w:rsidRPr="00B3383B">
        <w:rPr>
          <w:rFonts w:asciiTheme="majorBidi" w:eastAsiaTheme="majorEastAsia" w:hAnsiTheme="majorBidi" w:cstheme="majorBidi"/>
          <w:color w:val="000000"/>
          <w:sz w:val="22"/>
          <w:szCs w:val="22"/>
          <w:lang w:val="en-GB"/>
        </w:rPr>
        <w:t>Table 1</w:t>
      </w:r>
      <w:r w:rsidRPr="00ED7E61">
        <w:rPr>
          <w:rFonts w:asciiTheme="majorBidi" w:eastAsiaTheme="majorEastAsia" w:hAnsiTheme="majorBidi" w:cstheme="majorBidi"/>
          <w:color w:val="000000"/>
          <w:sz w:val="22"/>
          <w:szCs w:val="22"/>
          <w:lang w:val="en-GB"/>
        </w:rPr>
        <w:t xml:space="preserve"> </w:t>
      </w:r>
      <w:r>
        <w:rPr>
          <w:rFonts w:asciiTheme="majorBidi" w:eastAsiaTheme="majorEastAsia" w:hAnsiTheme="majorBidi" w:cstheme="majorBidi"/>
          <w:color w:val="000000"/>
          <w:sz w:val="22"/>
          <w:szCs w:val="22"/>
          <w:lang w:val="en-GB"/>
        </w:rPr>
        <w:br/>
      </w:r>
      <w:r>
        <w:rPr>
          <w:rFonts w:asciiTheme="majorBidi" w:eastAsiaTheme="majorEastAsia" w:hAnsiTheme="majorBidi" w:cstheme="majorBidi"/>
          <w:b/>
          <w:bCs/>
          <w:color w:val="000000"/>
          <w:sz w:val="22"/>
          <w:szCs w:val="22"/>
          <w:lang w:val="en-GB"/>
        </w:rPr>
        <w:t>E</w:t>
      </w:r>
      <w:r w:rsidRPr="00B3383B">
        <w:rPr>
          <w:rFonts w:asciiTheme="majorBidi" w:eastAsiaTheme="majorEastAsia" w:hAnsiTheme="majorBidi" w:cstheme="majorBidi"/>
          <w:b/>
          <w:bCs/>
          <w:color w:val="000000"/>
          <w:sz w:val="22"/>
          <w:szCs w:val="22"/>
          <w:lang w:val="en-GB"/>
        </w:rPr>
        <w:t>xample of the type of data required for reporting A</w:t>
      </w:r>
      <w:r>
        <w:rPr>
          <w:rFonts w:asciiTheme="majorBidi" w:eastAsiaTheme="majorEastAsia" w:hAnsiTheme="majorBidi" w:cstheme="majorBidi"/>
          <w:b/>
          <w:bCs/>
          <w:color w:val="000000"/>
          <w:sz w:val="22"/>
          <w:szCs w:val="22"/>
          <w:lang w:val="en-GB"/>
        </w:rPr>
        <w:t>1</w:t>
      </w:r>
      <w:r w:rsidRPr="00B3383B">
        <w:rPr>
          <w:rFonts w:asciiTheme="majorBidi" w:eastAsiaTheme="majorEastAsia" w:hAnsiTheme="majorBidi" w:cstheme="majorBidi"/>
          <w:b/>
          <w:bCs/>
          <w:color w:val="000000"/>
          <w:sz w:val="22"/>
          <w:szCs w:val="22"/>
          <w:lang w:val="en-GB"/>
        </w:rPr>
        <w:t xml:space="preserve"> </w:t>
      </w:r>
      <w:r>
        <w:rPr>
          <w:rFonts w:asciiTheme="majorBidi" w:eastAsiaTheme="majorEastAsia" w:hAnsiTheme="majorBidi" w:cstheme="majorBidi"/>
          <w:b/>
          <w:bCs/>
          <w:color w:val="000000"/>
          <w:sz w:val="22"/>
          <w:szCs w:val="22"/>
          <w:lang w:val="en-GB"/>
        </w:rPr>
        <w:t>Red List of Ecosystems</w:t>
      </w:r>
      <w:r w:rsidRPr="00B3383B">
        <w:rPr>
          <w:rFonts w:asciiTheme="majorBidi" w:eastAsiaTheme="majorEastAsia" w:hAnsiTheme="majorBidi" w:cstheme="majorBidi"/>
          <w:b/>
          <w:bCs/>
          <w:color w:val="000000"/>
          <w:sz w:val="22"/>
          <w:szCs w:val="22"/>
          <w:lang w:val="en-GB"/>
        </w:rPr>
        <w:t xml:space="preserve">, shown for South Africa’s terrestrial </w:t>
      </w:r>
      <w:r w:rsidRPr="008B22EA">
        <w:rPr>
          <w:rFonts w:asciiTheme="majorBidi" w:eastAsiaTheme="majorEastAsia" w:hAnsiTheme="majorBidi" w:cstheme="majorBidi"/>
          <w:b/>
          <w:bCs/>
          <w:color w:val="000000"/>
          <w:sz w:val="22"/>
          <w:szCs w:val="22"/>
          <w:lang w:val="en-GB"/>
        </w:rPr>
        <w:t>T), marine (M) and transitional (MT, MFT and TF and FM)</w:t>
      </w:r>
      <w:r>
        <w:rPr>
          <w:rFonts w:asciiTheme="majorBidi" w:eastAsiaTheme="majorEastAsia" w:hAnsiTheme="majorBidi" w:cstheme="majorBidi"/>
          <w:b/>
          <w:bCs/>
          <w:color w:val="000000"/>
          <w:sz w:val="22"/>
          <w:szCs w:val="22"/>
          <w:lang w:val="en-GB"/>
        </w:rPr>
        <w:t xml:space="preserve"> </w:t>
      </w:r>
      <w:r w:rsidRPr="00B3383B">
        <w:rPr>
          <w:rFonts w:asciiTheme="majorBidi" w:eastAsiaTheme="majorEastAsia" w:hAnsiTheme="majorBidi" w:cstheme="majorBidi"/>
          <w:b/>
          <w:bCs/>
          <w:color w:val="000000"/>
          <w:sz w:val="22"/>
          <w:szCs w:val="22"/>
          <w:lang w:val="en-GB"/>
        </w:rPr>
        <w:t>ecosystem</w:t>
      </w:r>
      <w:r>
        <w:rPr>
          <w:rFonts w:asciiTheme="majorBidi" w:eastAsiaTheme="majorEastAsia" w:hAnsiTheme="majorBidi" w:cstheme="majorBidi"/>
          <w:b/>
          <w:bCs/>
          <w:color w:val="000000"/>
          <w:sz w:val="22"/>
          <w:szCs w:val="22"/>
          <w:lang w:val="en-GB"/>
        </w:rPr>
        <w:t xml:space="preserve"> </w:t>
      </w:r>
      <w:r w:rsidRPr="00466029">
        <w:rPr>
          <w:rFonts w:asciiTheme="majorBidi" w:eastAsiaTheme="majorEastAsia" w:hAnsiTheme="majorBidi" w:cstheme="majorBidi"/>
          <w:b/>
          <w:bCs/>
          <w:color w:val="000000"/>
          <w:sz w:val="22"/>
          <w:szCs w:val="22"/>
          <w:lang w:val="en-GB"/>
        </w:rPr>
        <w:t xml:space="preserve">types for 2020; data in bold show the values to be reported for 2020, with recommended </w:t>
      </w:r>
      <w:proofErr w:type="spellStart"/>
      <w:r w:rsidRPr="00466029">
        <w:rPr>
          <w:rFonts w:asciiTheme="majorBidi" w:eastAsiaTheme="majorEastAsia" w:hAnsiTheme="majorBidi" w:cstheme="majorBidi"/>
          <w:b/>
          <w:bCs/>
          <w:color w:val="000000"/>
          <w:sz w:val="22"/>
          <w:szCs w:val="22"/>
          <w:lang w:val="en-GB"/>
        </w:rPr>
        <w:t>disaggregations</w:t>
      </w:r>
      <w:proofErr w:type="spellEnd"/>
      <w:r w:rsidRPr="00466029">
        <w:rPr>
          <w:rFonts w:asciiTheme="majorBidi" w:eastAsiaTheme="majorEastAsia" w:hAnsiTheme="majorBidi" w:cstheme="majorBidi"/>
          <w:b/>
          <w:bCs/>
          <w:color w:val="000000"/>
          <w:sz w:val="22"/>
          <w:szCs w:val="22"/>
          <w:lang w:val="en-GB"/>
        </w:rPr>
        <w:t>; in italics are the data and summary statistics that are used to calculate the index value (</w:t>
      </w:r>
      <w:r w:rsidRPr="00812871">
        <w:rPr>
          <w:rFonts w:asciiTheme="majorBidi" w:eastAsiaTheme="majorEastAsia" w:hAnsiTheme="majorBidi" w:cstheme="majorBidi"/>
          <w:i/>
          <w:iCs/>
          <w:color w:val="000000"/>
          <w:sz w:val="22"/>
          <w:szCs w:val="22"/>
          <w:lang w:val="en-AU"/>
        </w:rPr>
        <w:t xml:space="preserve">Data provided by SANBI, based on National Biodiversity Assessments (Botts et al. 2020; </w:t>
      </w:r>
      <w:proofErr w:type="spellStart"/>
      <w:r w:rsidRPr="00812871">
        <w:rPr>
          <w:rFonts w:asciiTheme="majorBidi" w:eastAsiaTheme="majorEastAsia" w:hAnsiTheme="majorBidi" w:cstheme="majorBidi"/>
          <w:i/>
          <w:iCs/>
          <w:color w:val="000000"/>
          <w:sz w:val="22"/>
          <w:szCs w:val="22"/>
          <w:lang w:val="en-AU"/>
        </w:rPr>
        <w:t>Skowno</w:t>
      </w:r>
      <w:proofErr w:type="spellEnd"/>
      <w:r w:rsidRPr="00812871">
        <w:rPr>
          <w:rFonts w:asciiTheme="majorBidi" w:eastAsiaTheme="majorEastAsia" w:hAnsiTheme="majorBidi" w:cstheme="majorBidi"/>
          <w:i/>
          <w:iCs/>
          <w:color w:val="000000"/>
          <w:sz w:val="22"/>
          <w:szCs w:val="22"/>
          <w:lang w:val="en-AU"/>
        </w:rPr>
        <w:t xml:space="preserve"> and </w:t>
      </w:r>
      <w:proofErr w:type="spellStart"/>
      <w:r w:rsidRPr="00812871">
        <w:rPr>
          <w:rFonts w:asciiTheme="majorBidi" w:eastAsiaTheme="majorEastAsia" w:hAnsiTheme="majorBidi" w:cstheme="majorBidi"/>
          <w:i/>
          <w:iCs/>
          <w:color w:val="000000"/>
          <w:sz w:val="22"/>
          <w:szCs w:val="22"/>
        </w:rPr>
        <w:t>Monyeki</w:t>
      </w:r>
      <w:proofErr w:type="spellEnd"/>
      <w:r w:rsidRPr="00812871">
        <w:rPr>
          <w:rFonts w:asciiTheme="majorBidi" w:eastAsiaTheme="majorEastAsia" w:hAnsiTheme="majorBidi" w:cstheme="majorBidi"/>
          <w:i/>
          <w:iCs/>
          <w:color w:val="000000"/>
          <w:sz w:val="22"/>
          <w:szCs w:val="22"/>
        </w:rPr>
        <w:t xml:space="preserve"> </w:t>
      </w:r>
      <w:r w:rsidRPr="00812871">
        <w:rPr>
          <w:rFonts w:asciiTheme="majorBidi" w:eastAsiaTheme="majorEastAsia" w:hAnsiTheme="majorBidi" w:cstheme="majorBidi"/>
          <w:i/>
          <w:iCs/>
          <w:color w:val="000000"/>
          <w:sz w:val="22"/>
          <w:szCs w:val="22"/>
          <w:lang w:val="en-AU"/>
        </w:rPr>
        <w:t>2021)</w:t>
      </w:r>
    </w:p>
    <w:tbl>
      <w:tblPr>
        <w:tblW w:w="9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69"/>
        <w:gridCol w:w="1559"/>
        <w:gridCol w:w="534"/>
        <w:gridCol w:w="534"/>
        <w:gridCol w:w="535"/>
        <w:gridCol w:w="534"/>
        <w:gridCol w:w="534"/>
        <w:gridCol w:w="629"/>
        <w:gridCol w:w="534"/>
        <w:gridCol w:w="535"/>
      </w:tblGrid>
      <w:tr w:rsidR="00B23E1C" w:rsidRPr="00D302BD" w14:paraId="53A33268"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36532FFD"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lastRenderedPageBreak/>
              <w:t>Ecosystem functional group (EFG)</w:t>
            </w:r>
          </w:p>
        </w:tc>
        <w:tc>
          <w:tcPr>
            <w:tcW w:w="669" w:type="dxa"/>
            <w:tcBorders>
              <w:top w:val="single" w:sz="4" w:space="0" w:color="auto"/>
              <w:left w:val="single" w:sz="4" w:space="0" w:color="auto"/>
              <w:bottom w:val="single" w:sz="4" w:space="0" w:color="auto"/>
              <w:right w:val="single" w:sz="4" w:space="0" w:color="auto"/>
            </w:tcBorders>
            <w:vAlign w:val="bottom"/>
            <w:hideMark/>
          </w:tcPr>
          <w:p w14:paraId="3064BC27"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proofErr w:type="spellStart"/>
            <w:r w:rsidRPr="00812871">
              <w:rPr>
                <w:rFonts w:asciiTheme="majorBidi" w:eastAsiaTheme="majorEastAsia" w:hAnsiTheme="majorBidi" w:cstheme="majorBidi"/>
                <w:color w:val="000000"/>
                <w:sz w:val="22"/>
                <w:szCs w:val="22"/>
                <w:lang w:val="en-AU"/>
              </w:rPr>
              <w:t>RLIe</w:t>
            </w:r>
            <w:proofErr w:type="spellEnd"/>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392E35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Total assessed ecosystem types</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528127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CO</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D58355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CR</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3C04397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EN</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91CFCF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VU</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8218A2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NT</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79BE3F7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LC</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29528F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DD</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7F50A3A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NE</w:t>
            </w:r>
          </w:p>
        </w:tc>
      </w:tr>
      <w:tr w:rsidR="00B23E1C" w:rsidRPr="00D302BD" w14:paraId="0B20E456"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36D1999F"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All ecosystem types</w:t>
            </w:r>
          </w:p>
        </w:tc>
        <w:tc>
          <w:tcPr>
            <w:tcW w:w="669" w:type="dxa"/>
            <w:tcBorders>
              <w:top w:val="single" w:sz="4" w:space="0" w:color="auto"/>
              <w:left w:val="single" w:sz="4" w:space="0" w:color="auto"/>
              <w:bottom w:val="single" w:sz="4" w:space="0" w:color="auto"/>
              <w:right w:val="single" w:sz="4" w:space="0" w:color="auto"/>
            </w:tcBorders>
            <w:vAlign w:val="bottom"/>
            <w:hideMark/>
          </w:tcPr>
          <w:p w14:paraId="21FF3A70"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0.80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57718DB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644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A5673B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1A1B28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52</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5349F13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86</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6B738C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74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E09D87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17</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6AC1896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414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DC1BF5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CD53A0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511514F4"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7E46208"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M1.2 Kelp forests</w:t>
            </w:r>
          </w:p>
        </w:tc>
        <w:tc>
          <w:tcPr>
            <w:tcW w:w="669" w:type="dxa"/>
            <w:tcBorders>
              <w:top w:val="single" w:sz="4" w:space="0" w:color="auto"/>
              <w:left w:val="single" w:sz="4" w:space="0" w:color="auto"/>
              <w:bottom w:val="single" w:sz="4" w:space="0" w:color="auto"/>
              <w:right w:val="single" w:sz="4" w:space="0" w:color="auto"/>
            </w:tcBorders>
            <w:vAlign w:val="bottom"/>
            <w:hideMark/>
          </w:tcPr>
          <w:p w14:paraId="5F917584"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0.60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A56340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816B9A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ADDE01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5CEB903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407E27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D871B2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5329D56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6EBA9C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19DD125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3CEDABA2"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30D1B8D2"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M1.3 Photic coral reefs</w:t>
            </w:r>
          </w:p>
        </w:tc>
        <w:tc>
          <w:tcPr>
            <w:tcW w:w="669" w:type="dxa"/>
            <w:tcBorders>
              <w:top w:val="single" w:sz="4" w:space="0" w:color="auto"/>
              <w:left w:val="single" w:sz="4" w:space="0" w:color="auto"/>
              <w:bottom w:val="single" w:sz="4" w:space="0" w:color="auto"/>
              <w:right w:val="single" w:sz="4" w:space="0" w:color="auto"/>
            </w:tcBorders>
            <w:vAlign w:val="bottom"/>
            <w:hideMark/>
          </w:tcPr>
          <w:p w14:paraId="78AC2481"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1.00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7F016F5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519F80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04E36F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53A02BC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2BD318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F2249B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1173798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60A0DC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1ABF6E0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73DF9091"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4DE4790"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MT1.3 Sandy Shorelines</w:t>
            </w:r>
          </w:p>
        </w:tc>
        <w:tc>
          <w:tcPr>
            <w:tcW w:w="669" w:type="dxa"/>
            <w:tcBorders>
              <w:top w:val="single" w:sz="4" w:space="0" w:color="auto"/>
              <w:left w:val="single" w:sz="4" w:space="0" w:color="auto"/>
              <w:bottom w:val="single" w:sz="4" w:space="0" w:color="auto"/>
              <w:right w:val="single" w:sz="4" w:space="0" w:color="auto"/>
            </w:tcBorders>
            <w:vAlign w:val="bottom"/>
            <w:hideMark/>
          </w:tcPr>
          <w:p w14:paraId="5E6C0D64"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0.82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724AAA5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576A75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3FEDB0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032538E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6054AA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40D430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4</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1BD259E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5</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FCF1F3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77EDABA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4A572BC6"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62B9F599"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M1.5 Photo-limited marine animal forests</w:t>
            </w:r>
          </w:p>
        </w:tc>
        <w:tc>
          <w:tcPr>
            <w:tcW w:w="669" w:type="dxa"/>
            <w:tcBorders>
              <w:top w:val="single" w:sz="4" w:space="0" w:color="auto"/>
              <w:left w:val="single" w:sz="4" w:space="0" w:color="auto"/>
              <w:bottom w:val="single" w:sz="4" w:space="0" w:color="auto"/>
              <w:right w:val="single" w:sz="4" w:space="0" w:color="auto"/>
            </w:tcBorders>
            <w:vAlign w:val="bottom"/>
            <w:hideMark/>
          </w:tcPr>
          <w:p w14:paraId="130FD037"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0.72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0B39B7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29</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55FAA4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2151AC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1EB1E13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5</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91AFF4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9</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BBF6AD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4973324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35C4B5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66C262D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14DB61B9"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D3717F6"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M1.6 Subtidal rocky reefs</w:t>
            </w:r>
          </w:p>
        </w:tc>
        <w:tc>
          <w:tcPr>
            <w:tcW w:w="669" w:type="dxa"/>
            <w:tcBorders>
              <w:top w:val="single" w:sz="4" w:space="0" w:color="auto"/>
              <w:left w:val="single" w:sz="4" w:space="0" w:color="auto"/>
              <w:bottom w:val="single" w:sz="4" w:space="0" w:color="auto"/>
              <w:right w:val="single" w:sz="4" w:space="0" w:color="auto"/>
            </w:tcBorders>
            <w:vAlign w:val="bottom"/>
            <w:hideMark/>
          </w:tcPr>
          <w:p w14:paraId="159EE15B"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0.56</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0B38214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36048C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FD4BA6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3F00FA6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392551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5</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FD67AB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222E9CE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145AB9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18D3EA9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0796E509"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3F40B8E5"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M1.7 Subtidal sand beds</w:t>
            </w:r>
          </w:p>
        </w:tc>
        <w:tc>
          <w:tcPr>
            <w:tcW w:w="669" w:type="dxa"/>
            <w:tcBorders>
              <w:top w:val="single" w:sz="4" w:space="0" w:color="auto"/>
              <w:left w:val="single" w:sz="4" w:space="0" w:color="auto"/>
              <w:bottom w:val="single" w:sz="4" w:space="0" w:color="auto"/>
              <w:right w:val="single" w:sz="4" w:space="0" w:color="auto"/>
            </w:tcBorders>
            <w:vAlign w:val="bottom"/>
            <w:hideMark/>
          </w:tcPr>
          <w:p w14:paraId="3101F5FF"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0.80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3346F21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3C1DD2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F4F077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15DE9E0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86129C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6</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28C190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33A8C65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CCD8BD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47A6C3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604CCA8C"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42DD3654"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M1.8 Subtidal mud plains</w:t>
            </w:r>
          </w:p>
        </w:tc>
        <w:tc>
          <w:tcPr>
            <w:tcW w:w="669" w:type="dxa"/>
            <w:tcBorders>
              <w:top w:val="single" w:sz="4" w:space="0" w:color="auto"/>
              <w:left w:val="single" w:sz="4" w:space="0" w:color="auto"/>
              <w:bottom w:val="single" w:sz="4" w:space="0" w:color="auto"/>
              <w:right w:val="single" w:sz="4" w:space="0" w:color="auto"/>
            </w:tcBorders>
            <w:vAlign w:val="bottom"/>
            <w:hideMark/>
          </w:tcPr>
          <w:p w14:paraId="3B7A06DD"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0.63</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536617A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EA6A44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9F8471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34CC831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4CDF09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6</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B944FB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53C1E38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043CFD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548A7F9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614C74D6"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7D0333C6"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M3.1 Continental and island slopes</w:t>
            </w:r>
          </w:p>
        </w:tc>
        <w:tc>
          <w:tcPr>
            <w:tcW w:w="669" w:type="dxa"/>
            <w:tcBorders>
              <w:top w:val="single" w:sz="4" w:space="0" w:color="auto"/>
              <w:left w:val="single" w:sz="4" w:space="0" w:color="auto"/>
              <w:bottom w:val="single" w:sz="4" w:space="0" w:color="auto"/>
              <w:right w:val="single" w:sz="4" w:space="0" w:color="auto"/>
            </w:tcBorders>
            <w:vAlign w:val="bottom"/>
            <w:hideMark/>
          </w:tcPr>
          <w:p w14:paraId="7EE627BD"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0.93</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5E8F84C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2E4CD2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E9E763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0029957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657B14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D38A95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01C6425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9</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DEB7FE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3E97D17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2B4922AD"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4D2B1A12"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M3.2 Submarine canyons</w:t>
            </w:r>
          </w:p>
        </w:tc>
        <w:tc>
          <w:tcPr>
            <w:tcW w:w="669" w:type="dxa"/>
            <w:tcBorders>
              <w:top w:val="single" w:sz="4" w:space="0" w:color="auto"/>
              <w:left w:val="single" w:sz="4" w:space="0" w:color="auto"/>
              <w:bottom w:val="single" w:sz="4" w:space="0" w:color="auto"/>
              <w:right w:val="single" w:sz="4" w:space="0" w:color="auto"/>
            </w:tcBorders>
            <w:vAlign w:val="bottom"/>
            <w:hideMark/>
          </w:tcPr>
          <w:p w14:paraId="099406B3"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0.85</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0ED1B28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DBBCDE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8D6C20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71DD64D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572B36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C5A00F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13E2D4B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7</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006A4E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19F01B0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4D1B030F"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2FC40D27"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M3.3 Abyssal plains</w:t>
            </w:r>
          </w:p>
        </w:tc>
        <w:tc>
          <w:tcPr>
            <w:tcW w:w="669" w:type="dxa"/>
            <w:tcBorders>
              <w:top w:val="single" w:sz="4" w:space="0" w:color="auto"/>
              <w:left w:val="single" w:sz="4" w:space="0" w:color="auto"/>
              <w:bottom w:val="single" w:sz="4" w:space="0" w:color="auto"/>
              <w:right w:val="single" w:sz="4" w:space="0" w:color="auto"/>
            </w:tcBorders>
            <w:vAlign w:val="bottom"/>
            <w:hideMark/>
          </w:tcPr>
          <w:p w14:paraId="0F394B51"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1.00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40B141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9</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80F13B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5735CD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45BE9C3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C7CF06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0209A1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1DC4D81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9</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3A30C3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4117E78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6A958ED5"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20513370"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M3.4 Seamounts, ridges and plateaus</w:t>
            </w:r>
          </w:p>
        </w:tc>
        <w:tc>
          <w:tcPr>
            <w:tcW w:w="669" w:type="dxa"/>
            <w:tcBorders>
              <w:top w:val="single" w:sz="4" w:space="0" w:color="auto"/>
              <w:left w:val="single" w:sz="4" w:space="0" w:color="auto"/>
              <w:bottom w:val="single" w:sz="4" w:space="0" w:color="auto"/>
              <w:right w:val="single" w:sz="4" w:space="0" w:color="auto"/>
            </w:tcBorders>
            <w:vAlign w:val="bottom"/>
            <w:hideMark/>
          </w:tcPr>
          <w:p w14:paraId="662F131F"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0.89</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36FD786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18</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500259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1ADD69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650EFB9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AD665F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E12583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00D0467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12C64C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F22F17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4F19DD6E"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6957B37"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M3.5 Deepwater biogenic beds</w:t>
            </w:r>
          </w:p>
        </w:tc>
        <w:tc>
          <w:tcPr>
            <w:tcW w:w="669" w:type="dxa"/>
            <w:tcBorders>
              <w:top w:val="single" w:sz="4" w:space="0" w:color="auto"/>
              <w:left w:val="single" w:sz="4" w:space="0" w:color="auto"/>
              <w:bottom w:val="single" w:sz="4" w:space="0" w:color="auto"/>
              <w:right w:val="single" w:sz="4" w:space="0" w:color="auto"/>
            </w:tcBorders>
            <w:vAlign w:val="bottom"/>
            <w:hideMark/>
          </w:tcPr>
          <w:p w14:paraId="2FA4ADCB"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0.73</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5BAC232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5CD8A4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93E89F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1F40210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A40B26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F0932F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3EF44EC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D7FBCA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6874422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7BE427FB"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2E509EF4"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MT1.1 Rocky Shorelines</w:t>
            </w:r>
          </w:p>
        </w:tc>
        <w:tc>
          <w:tcPr>
            <w:tcW w:w="669" w:type="dxa"/>
            <w:tcBorders>
              <w:top w:val="single" w:sz="4" w:space="0" w:color="auto"/>
              <w:left w:val="single" w:sz="4" w:space="0" w:color="auto"/>
              <w:bottom w:val="single" w:sz="4" w:space="0" w:color="auto"/>
              <w:right w:val="single" w:sz="4" w:space="0" w:color="auto"/>
            </w:tcBorders>
            <w:vAlign w:val="bottom"/>
            <w:hideMark/>
          </w:tcPr>
          <w:p w14:paraId="65EEAFE2"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0.72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10DE689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27</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F601E0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56C1DC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7FC00A9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5639A9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92DD12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5</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4DBD46D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7</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152999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08DC062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463DEF5F"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7ADEBC05"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MT1.4 Boulder and cobble shores</w:t>
            </w:r>
          </w:p>
        </w:tc>
        <w:tc>
          <w:tcPr>
            <w:tcW w:w="669" w:type="dxa"/>
            <w:tcBorders>
              <w:top w:val="single" w:sz="4" w:space="0" w:color="auto"/>
              <w:left w:val="single" w:sz="4" w:space="0" w:color="auto"/>
              <w:bottom w:val="single" w:sz="4" w:space="0" w:color="auto"/>
              <w:right w:val="single" w:sz="4" w:space="0" w:color="auto"/>
            </w:tcBorders>
            <w:vAlign w:val="bottom"/>
            <w:hideMark/>
          </w:tcPr>
          <w:p w14:paraId="4DE00520"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0.67</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631797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30D7FB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7E9F6E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75B30C0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0E18D9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802798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31FC2FF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2C9ECD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07904F4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48AA84A4"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5114D92A"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MFT1.2 Intertidal forests and shrublands</w:t>
            </w:r>
          </w:p>
        </w:tc>
        <w:tc>
          <w:tcPr>
            <w:tcW w:w="669" w:type="dxa"/>
            <w:tcBorders>
              <w:top w:val="single" w:sz="4" w:space="0" w:color="auto"/>
              <w:left w:val="single" w:sz="4" w:space="0" w:color="auto"/>
              <w:bottom w:val="single" w:sz="4" w:space="0" w:color="auto"/>
              <w:right w:val="single" w:sz="4" w:space="0" w:color="auto"/>
            </w:tcBorders>
            <w:vAlign w:val="bottom"/>
            <w:hideMark/>
          </w:tcPr>
          <w:p w14:paraId="27DC0F4E"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0.40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4043DE2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6AE6E9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CD44F7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7F9A18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EB6D0D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675F02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658A657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963CF5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5516042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315504EC"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50AF690F"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T5.2 Succulent or Thorny deserts and semi-deserts</w:t>
            </w:r>
          </w:p>
        </w:tc>
        <w:tc>
          <w:tcPr>
            <w:tcW w:w="669" w:type="dxa"/>
            <w:tcBorders>
              <w:top w:val="single" w:sz="4" w:space="0" w:color="auto"/>
              <w:left w:val="single" w:sz="4" w:space="0" w:color="auto"/>
              <w:bottom w:val="single" w:sz="4" w:space="0" w:color="auto"/>
              <w:right w:val="single" w:sz="4" w:space="0" w:color="auto"/>
            </w:tcBorders>
            <w:vAlign w:val="bottom"/>
            <w:hideMark/>
          </w:tcPr>
          <w:p w14:paraId="745E4A59"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0.94</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05739B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63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D4EAF7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EAD939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0402CB6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A425BA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EC2EDB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7726231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58</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D1C867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1A5E5E5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78D393E5"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25AA8DC1"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T3.2 Seasonally dry temperate heath and shrublands</w:t>
            </w:r>
          </w:p>
        </w:tc>
        <w:tc>
          <w:tcPr>
            <w:tcW w:w="669" w:type="dxa"/>
            <w:tcBorders>
              <w:top w:val="single" w:sz="4" w:space="0" w:color="auto"/>
              <w:left w:val="single" w:sz="4" w:space="0" w:color="auto"/>
              <w:bottom w:val="single" w:sz="4" w:space="0" w:color="auto"/>
              <w:right w:val="single" w:sz="4" w:space="0" w:color="auto"/>
            </w:tcBorders>
            <w:vAlign w:val="bottom"/>
            <w:hideMark/>
          </w:tcPr>
          <w:p w14:paraId="1B0CEB8C"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0.67</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59B529C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128</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611BCC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183B1D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33</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744ABB5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25</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2017C2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E03C62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31D5504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68</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F75C80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44868CC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12FEED29"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67DD9DB8"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T4.1 Trophic savannas</w:t>
            </w:r>
          </w:p>
        </w:tc>
        <w:tc>
          <w:tcPr>
            <w:tcW w:w="669" w:type="dxa"/>
            <w:tcBorders>
              <w:top w:val="single" w:sz="4" w:space="0" w:color="auto"/>
              <w:left w:val="single" w:sz="4" w:space="0" w:color="auto"/>
              <w:bottom w:val="single" w:sz="4" w:space="0" w:color="auto"/>
              <w:right w:val="single" w:sz="4" w:space="0" w:color="auto"/>
            </w:tcBorders>
            <w:vAlign w:val="bottom"/>
            <w:hideMark/>
          </w:tcPr>
          <w:p w14:paraId="3BF87A7B"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0.94</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467F83F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36</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4F69F4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4494CF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B1BA33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E50260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3CFC03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140E10D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AA8E28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3C07D18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53EB80C9"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58DCF6B0"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T1.2 Tropical/Subtropical dry forests and thickets</w:t>
            </w:r>
          </w:p>
        </w:tc>
        <w:tc>
          <w:tcPr>
            <w:tcW w:w="669" w:type="dxa"/>
            <w:tcBorders>
              <w:top w:val="single" w:sz="4" w:space="0" w:color="auto"/>
              <w:left w:val="single" w:sz="4" w:space="0" w:color="auto"/>
              <w:bottom w:val="single" w:sz="4" w:space="0" w:color="auto"/>
              <w:right w:val="single" w:sz="4" w:space="0" w:color="auto"/>
            </w:tcBorders>
            <w:vAlign w:val="bottom"/>
            <w:hideMark/>
          </w:tcPr>
          <w:p w14:paraId="2FF0B201"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0.91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3FE991B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44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E8768D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BCE517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4</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517BC7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AA5D53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6F2148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700A153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38</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DDCFC8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31D1AD2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51BE590B"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CB888E6"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T5.1 Semi-desert steppe</w:t>
            </w:r>
          </w:p>
        </w:tc>
        <w:tc>
          <w:tcPr>
            <w:tcW w:w="669" w:type="dxa"/>
            <w:tcBorders>
              <w:top w:val="single" w:sz="4" w:space="0" w:color="auto"/>
              <w:left w:val="single" w:sz="4" w:space="0" w:color="auto"/>
              <w:bottom w:val="single" w:sz="4" w:space="0" w:color="auto"/>
              <w:right w:val="single" w:sz="4" w:space="0" w:color="auto"/>
            </w:tcBorders>
            <w:vAlign w:val="bottom"/>
            <w:hideMark/>
          </w:tcPr>
          <w:p w14:paraId="1E6885EC"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1.00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AE6623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15</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352834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F83874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3E956A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9AE36C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B7888F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1A2C7F8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15</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824E5D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7A92186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09B21D4B"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E6AD523"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T4.5 Temperate subhumid grasslands</w:t>
            </w:r>
          </w:p>
        </w:tc>
        <w:tc>
          <w:tcPr>
            <w:tcW w:w="669" w:type="dxa"/>
            <w:tcBorders>
              <w:top w:val="single" w:sz="4" w:space="0" w:color="auto"/>
              <w:left w:val="single" w:sz="4" w:space="0" w:color="auto"/>
              <w:bottom w:val="single" w:sz="4" w:space="0" w:color="auto"/>
              <w:right w:val="single" w:sz="4" w:space="0" w:color="auto"/>
            </w:tcBorders>
            <w:vAlign w:val="bottom"/>
            <w:hideMark/>
          </w:tcPr>
          <w:p w14:paraId="337F66E6"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0.81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399B4E7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75</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61DD49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17188E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4</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4B9D32B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8B0B1C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6</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DA060A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6CA8C63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51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1C8831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4591CC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1BF7DFCB"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111A8AA9"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T4.2 Pyric tussock savannas</w:t>
            </w:r>
          </w:p>
        </w:tc>
        <w:tc>
          <w:tcPr>
            <w:tcW w:w="669" w:type="dxa"/>
            <w:tcBorders>
              <w:top w:val="single" w:sz="4" w:space="0" w:color="auto"/>
              <w:left w:val="single" w:sz="4" w:space="0" w:color="auto"/>
              <w:bottom w:val="single" w:sz="4" w:space="0" w:color="auto"/>
              <w:right w:val="single" w:sz="4" w:space="0" w:color="auto"/>
            </w:tcBorders>
            <w:vAlign w:val="bottom"/>
            <w:hideMark/>
          </w:tcPr>
          <w:p w14:paraId="424622A7"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0.85</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17AC2F6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66</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3A3F20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3893F2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4347922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BBDDE3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E02E93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40B9481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50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F0F1F7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236661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545108A1"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F513B40"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T5.5 Hyper-arid deserts</w:t>
            </w:r>
          </w:p>
        </w:tc>
        <w:tc>
          <w:tcPr>
            <w:tcW w:w="669" w:type="dxa"/>
            <w:tcBorders>
              <w:top w:val="single" w:sz="4" w:space="0" w:color="auto"/>
              <w:left w:val="single" w:sz="4" w:space="0" w:color="auto"/>
              <w:bottom w:val="single" w:sz="4" w:space="0" w:color="auto"/>
              <w:right w:val="single" w:sz="4" w:space="0" w:color="auto"/>
            </w:tcBorders>
            <w:vAlign w:val="bottom"/>
            <w:hideMark/>
          </w:tcPr>
          <w:p w14:paraId="3A5ACB2F"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0.94</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4831A81C"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40B127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7CF2B7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51C3CA8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F3D636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11B2F6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1AF632C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205A94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5E3C8F4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5CDC3950"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43C4FC07"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 xml:space="preserve">T2.4 Warm temperate </w:t>
            </w:r>
            <w:proofErr w:type="spellStart"/>
            <w:r w:rsidRPr="00812871">
              <w:rPr>
                <w:rFonts w:asciiTheme="majorBidi" w:eastAsiaTheme="majorEastAsia" w:hAnsiTheme="majorBidi" w:cstheme="majorBidi"/>
                <w:color w:val="000000"/>
                <w:sz w:val="22"/>
                <w:szCs w:val="22"/>
                <w:lang w:val="en-AU"/>
              </w:rPr>
              <w:t>laurophyll</w:t>
            </w:r>
            <w:proofErr w:type="spellEnd"/>
            <w:r w:rsidRPr="00812871">
              <w:rPr>
                <w:rFonts w:asciiTheme="majorBidi" w:eastAsiaTheme="majorEastAsia" w:hAnsiTheme="majorBidi" w:cstheme="majorBidi"/>
                <w:color w:val="000000"/>
                <w:sz w:val="22"/>
                <w:szCs w:val="22"/>
                <w:lang w:val="en-AU"/>
              </w:rPr>
              <w:t xml:space="preserve"> forests</w:t>
            </w:r>
          </w:p>
        </w:tc>
        <w:tc>
          <w:tcPr>
            <w:tcW w:w="669" w:type="dxa"/>
            <w:tcBorders>
              <w:top w:val="single" w:sz="4" w:space="0" w:color="auto"/>
              <w:left w:val="single" w:sz="4" w:space="0" w:color="auto"/>
              <w:bottom w:val="single" w:sz="4" w:space="0" w:color="auto"/>
              <w:right w:val="single" w:sz="4" w:space="0" w:color="auto"/>
            </w:tcBorders>
            <w:vAlign w:val="bottom"/>
            <w:hideMark/>
          </w:tcPr>
          <w:p w14:paraId="770575D3"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1.00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786255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052BCC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12170D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5AF2D1A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062D76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AEF5AE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2B7FDFE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4</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3BDAEC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7EE61C6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2A76C7F7"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78F9E30"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T3.1 Seasonally dry tropical shrublands</w:t>
            </w:r>
          </w:p>
        </w:tc>
        <w:tc>
          <w:tcPr>
            <w:tcW w:w="669" w:type="dxa"/>
            <w:tcBorders>
              <w:top w:val="single" w:sz="4" w:space="0" w:color="auto"/>
              <w:left w:val="single" w:sz="4" w:space="0" w:color="auto"/>
              <w:bottom w:val="single" w:sz="4" w:space="0" w:color="auto"/>
              <w:right w:val="single" w:sz="4" w:space="0" w:color="auto"/>
            </w:tcBorders>
            <w:vAlign w:val="bottom"/>
            <w:hideMark/>
          </w:tcPr>
          <w:p w14:paraId="2BB44F09"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1.00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3F48DD9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968E09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77CBD5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0777E30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D4D87A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259815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7EC3832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D8B50E0"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54AA75D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1241CB67"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29E21DEE"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TF1.1 Tropical flooded forests and peat forests</w:t>
            </w:r>
          </w:p>
        </w:tc>
        <w:tc>
          <w:tcPr>
            <w:tcW w:w="669" w:type="dxa"/>
            <w:tcBorders>
              <w:top w:val="single" w:sz="4" w:space="0" w:color="auto"/>
              <w:left w:val="single" w:sz="4" w:space="0" w:color="auto"/>
              <w:bottom w:val="single" w:sz="4" w:space="0" w:color="auto"/>
              <w:right w:val="single" w:sz="4" w:space="0" w:color="auto"/>
            </w:tcBorders>
            <w:vAlign w:val="bottom"/>
            <w:hideMark/>
          </w:tcPr>
          <w:p w14:paraId="62A30D13"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1.00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439750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4B4B99A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E52B57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36099F7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A370892"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1C50A44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5CBC00F4"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37D687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6D1D25D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706E4DD4"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124F2AF"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FM1.2 Permanently open riverine estuaries and bays</w:t>
            </w:r>
          </w:p>
        </w:tc>
        <w:tc>
          <w:tcPr>
            <w:tcW w:w="669" w:type="dxa"/>
            <w:tcBorders>
              <w:top w:val="single" w:sz="4" w:space="0" w:color="auto"/>
              <w:left w:val="single" w:sz="4" w:space="0" w:color="auto"/>
              <w:bottom w:val="single" w:sz="4" w:space="0" w:color="auto"/>
              <w:right w:val="single" w:sz="4" w:space="0" w:color="auto"/>
            </w:tcBorders>
            <w:vAlign w:val="bottom"/>
            <w:hideMark/>
          </w:tcPr>
          <w:p w14:paraId="017EC2E6"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1.00</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7707A22E"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15</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7AE5C5F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BE97591"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265022DB"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7</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B55E39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5</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5909860D"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5D688B5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EB69B05"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0E65BF7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r w:rsidR="00B23E1C" w:rsidRPr="00D302BD" w14:paraId="4F3A709C" w14:textId="77777777" w:rsidTr="007E1F72">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52ACC0EA"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FM1.3 Intermittently closed and open lakes and lagoons</w:t>
            </w:r>
          </w:p>
        </w:tc>
        <w:tc>
          <w:tcPr>
            <w:tcW w:w="669" w:type="dxa"/>
            <w:tcBorders>
              <w:top w:val="single" w:sz="4" w:space="0" w:color="auto"/>
              <w:left w:val="single" w:sz="4" w:space="0" w:color="auto"/>
              <w:bottom w:val="single" w:sz="4" w:space="0" w:color="auto"/>
              <w:right w:val="single" w:sz="4" w:space="0" w:color="auto"/>
            </w:tcBorders>
            <w:vAlign w:val="bottom"/>
            <w:hideMark/>
          </w:tcPr>
          <w:p w14:paraId="4871B76F" w14:textId="77777777" w:rsidR="00B23E1C" w:rsidRPr="00812871" w:rsidRDefault="00B23E1C" w:rsidP="007E1F72">
            <w:pPr>
              <w:pStyle w:val="paragraph"/>
              <w:rPr>
                <w:rFonts w:asciiTheme="majorBidi" w:eastAsiaTheme="majorEastAsia" w:hAnsiTheme="majorBidi" w:cstheme="majorBidi"/>
                <w:color w:val="000000"/>
                <w:sz w:val="22"/>
                <w:szCs w:val="22"/>
                <w:lang w:val="en-AU"/>
              </w:rPr>
            </w:pPr>
            <w:r w:rsidRPr="00812871">
              <w:rPr>
                <w:rFonts w:asciiTheme="majorBidi" w:eastAsiaTheme="majorEastAsia" w:hAnsiTheme="majorBidi" w:cstheme="majorBidi"/>
                <w:color w:val="000000"/>
                <w:sz w:val="22"/>
                <w:szCs w:val="22"/>
                <w:lang w:val="en-AU"/>
              </w:rPr>
              <w:t>0.51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4D9702C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7</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55263E3"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34CEBBE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7A0B6ED9"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3</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23A8642F"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2</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0E18218A"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4ECB6307"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1</w:t>
            </w:r>
          </w:p>
        </w:tc>
        <w:tc>
          <w:tcPr>
            <w:tcW w:w="534" w:type="dxa"/>
            <w:tcBorders>
              <w:top w:val="single" w:sz="4" w:space="0" w:color="auto"/>
              <w:left w:val="single" w:sz="4" w:space="0" w:color="auto"/>
              <w:bottom w:val="single" w:sz="4" w:space="0" w:color="auto"/>
              <w:right w:val="single" w:sz="4" w:space="0" w:color="auto"/>
            </w:tcBorders>
            <w:noWrap/>
            <w:vAlign w:val="bottom"/>
            <w:hideMark/>
          </w:tcPr>
          <w:p w14:paraId="6BA2F0B6"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c>
          <w:tcPr>
            <w:tcW w:w="535" w:type="dxa"/>
            <w:tcBorders>
              <w:top w:val="single" w:sz="4" w:space="0" w:color="auto"/>
              <w:left w:val="single" w:sz="4" w:space="0" w:color="auto"/>
              <w:bottom w:val="single" w:sz="4" w:space="0" w:color="auto"/>
              <w:right w:val="single" w:sz="4" w:space="0" w:color="auto"/>
            </w:tcBorders>
            <w:noWrap/>
            <w:vAlign w:val="bottom"/>
            <w:hideMark/>
          </w:tcPr>
          <w:p w14:paraId="64F968E8" w14:textId="77777777" w:rsidR="00B23E1C" w:rsidRPr="00812871" w:rsidRDefault="00B23E1C" w:rsidP="007E1F72">
            <w:pPr>
              <w:pStyle w:val="paragraph"/>
              <w:rPr>
                <w:rFonts w:asciiTheme="majorBidi" w:eastAsiaTheme="majorEastAsia" w:hAnsiTheme="majorBidi" w:cstheme="majorBidi"/>
                <w:i/>
                <w:iCs/>
                <w:color w:val="000000"/>
                <w:sz w:val="22"/>
                <w:szCs w:val="22"/>
                <w:lang w:val="en-AU"/>
              </w:rPr>
            </w:pPr>
            <w:r w:rsidRPr="00812871">
              <w:rPr>
                <w:rFonts w:asciiTheme="majorBidi" w:eastAsiaTheme="majorEastAsia" w:hAnsiTheme="majorBidi" w:cstheme="majorBidi"/>
                <w:i/>
                <w:iCs/>
                <w:color w:val="000000"/>
                <w:sz w:val="22"/>
                <w:szCs w:val="22"/>
                <w:lang w:val="en-AU"/>
              </w:rPr>
              <w:t>0</w:t>
            </w:r>
          </w:p>
        </w:tc>
      </w:tr>
    </w:tbl>
    <w:p w14:paraId="4A92142B" w14:textId="77777777" w:rsidR="00B23E1C" w:rsidRPr="00ED7E61" w:rsidRDefault="00B23E1C" w:rsidP="00B23E1C">
      <w:pPr>
        <w:pStyle w:val="paragraph"/>
        <w:spacing w:before="0" w:beforeAutospacing="0" w:after="0" w:afterAutospacing="0"/>
        <w:ind w:right="255"/>
        <w:textAlignment w:val="baseline"/>
        <w:rPr>
          <w:rFonts w:asciiTheme="majorBidi" w:hAnsiTheme="majorBidi" w:cstheme="majorBidi"/>
          <w:sz w:val="22"/>
          <w:szCs w:val="22"/>
          <w:lang w:val="en-GB"/>
        </w:rPr>
      </w:pPr>
      <w:r w:rsidRPr="00ED7E61">
        <w:rPr>
          <w:rStyle w:val="eop"/>
          <w:rFonts w:asciiTheme="majorBidi" w:eastAsiaTheme="majorEastAsia" w:hAnsiTheme="majorBidi" w:cstheme="majorBidi"/>
          <w:color w:val="000000"/>
          <w:sz w:val="22"/>
          <w:szCs w:val="22"/>
          <w:lang w:val="en-GB"/>
        </w:rPr>
        <w:t> </w:t>
      </w:r>
    </w:p>
    <w:p w14:paraId="611C9108" w14:textId="77777777" w:rsidR="00B23E1C" w:rsidRPr="00ED7E61" w:rsidRDefault="00B23E1C" w:rsidP="00B23E1C">
      <w:pPr>
        <w:pStyle w:val="paragraph"/>
        <w:spacing w:before="0" w:beforeAutospacing="0" w:after="0" w:afterAutospacing="0"/>
        <w:ind w:right="255"/>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i/>
          <w:iCs/>
          <w:color w:val="000000"/>
          <w:sz w:val="22"/>
          <w:szCs w:val="22"/>
          <w:lang w:val="en-AU"/>
        </w:rPr>
        <w:t>Red List Index of Ecosystems (</w:t>
      </w:r>
      <w:proofErr w:type="spellStart"/>
      <w:r w:rsidRPr="00ED7E61">
        <w:rPr>
          <w:rStyle w:val="normaltextrun"/>
          <w:rFonts w:asciiTheme="majorBidi" w:eastAsiaTheme="majorEastAsia" w:hAnsiTheme="majorBidi" w:cstheme="majorBidi"/>
          <w:b/>
          <w:bCs/>
          <w:i/>
          <w:iCs/>
          <w:color w:val="000000"/>
          <w:sz w:val="22"/>
          <w:szCs w:val="22"/>
          <w:lang w:val="en-AU"/>
        </w:rPr>
        <w:t>RLIe</w:t>
      </w:r>
      <w:proofErr w:type="spellEnd"/>
      <w:r w:rsidRPr="00ED7E61">
        <w:rPr>
          <w:rStyle w:val="normaltextrun"/>
          <w:rFonts w:asciiTheme="majorBidi" w:eastAsiaTheme="majorEastAsia" w:hAnsiTheme="majorBidi" w:cstheme="majorBidi"/>
          <w:b/>
          <w:bCs/>
          <w:i/>
          <w:iCs/>
          <w:color w:val="000000"/>
          <w:sz w:val="22"/>
          <w:szCs w:val="22"/>
          <w:lang w:val="en-AU"/>
        </w:rPr>
        <w:t>):</w:t>
      </w:r>
    </w:p>
    <w:p w14:paraId="1FF4D0D3"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lastRenderedPageBreak/>
        <w:t xml:space="preserve">The </w:t>
      </w:r>
      <w:proofErr w:type="spellStart"/>
      <w:r w:rsidRPr="00ED7E61">
        <w:rPr>
          <w:rStyle w:val="normaltextrun"/>
          <w:rFonts w:asciiTheme="majorBidi" w:eastAsiaTheme="majorEastAsia" w:hAnsiTheme="majorBidi" w:cstheme="majorBidi"/>
          <w:color w:val="000000"/>
          <w:lang w:val="en-AU"/>
        </w:rPr>
        <w:t>RLIe</w:t>
      </w:r>
      <w:proofErr w:type="spellEnd"/>
      <w:r w:rsidRPr="00ED7E61">
        <w:rPr>
          <w:rStyle w:val="normaltextrun"/>
          <w:rFonts w:asciiTheme="majorBidi" w:eastAsiaTheme="majorEastAsia" w:hAnsiTheme="majorBidi" w:cstheme="majorBidi"/>
          <w:color w:val="000000"/>
          <w:lang w:val="en-AU"/>
        </w:rPr>
        <w:t xml:space="preserve"> measures trends in ecosystem collapse risk based on the proportion of ecosystem types in each risk </w:t>
      </w:r>
      <w:r w:rsidRPr="004262AE">
        <w:rPr>
          <w:rStyle w:val="normaltextrun"/>
          <w:rFonts w:asciiTheme="majorBidi" w:eastAsiaTheme="majorEastAsia" w:hAnsiTheme="majorBidi" w:cstheme="majorBidi"/>
          <w:color w:val="000000"/>
          <w:lang w:val="en-AU"/>
        </w:rPr>
        <w:t>category</w:t>
      </w:r>
      <w:r w:rsidRPr="00ED7E61">
        <w:rPr>
          <w:rStyle w:val="normaltextrun"/>
          <w:rFonts w:asciiTheme="majorBidi" w:eastAsiaTheme="majorEastAsia" w:hAnsiTheme="majorBidi" w:cstheme="majorBidi"/>
          <w:color w:val="000000"/>
          <w:lang w:val="en-AU"/>
        </w:rPr>
        <w:t xml:space="preserve"> (for details see Rowland et al. 2020). The </w:t>
      </w:r>
      <w:proofErr w:type="spellStart"/>
      <w:r w:rsidRPr="00ED7E61">
        <w:rPr>
          <w:rStyle w:val="normaltextrun"/>
          <w:rFonts w:asciiTheme="majorBidi" w:eastAsiaTheme="majorEastAsia" w:hAnsiTheme="majorBidi" w:cstheme="majorBidi"/>
          <w:color w:val="000000"/>
          <w:lang w:val="en-AU"/>
        </w:rPr>
        <w:t>RLIe</w:t>
      </w:r>
      <w:proofErr w:type="spellEnd"/>
      <w:r w:rsidRPr="00ED7E61">
        <w:rPr>
          <w:rStyle w:val="normaltextrun"/>
          <w:rFonts w:asciiTheme="majorBidi" w:eastAsiaTheme="majorEastAsia" w:hAnsiTheme="majorBidi" w:cstheme="majorBidi"/>
          <w:color w:val="000000"/>
          <w:lang w:val="en-AU"/>
        </w:rPr>
        <w:t xml:space="preserve"> is the weighted mean of ordinal ranks assigned to each risk category:</w:t>
      </w:r>
      <w:r w:rsidRPr="004262AE">
        <w:rPr>
          <w:rStyle w:val="normaltextrun"/>
          <w:rFonts w:asciiTheme="majorBidi" w:eastAsiaTheme="majorEastAsia" w:hAnsiTheme="majorBidi" w:cstheme="majorBidi"/>
          <w:color w:val="000000"/>
          <w:lang w:val="en-AU"/>
        </w:rPr>
        <w:t> </w:t>
      </w:r>
    </w:p>
    <w:p w14:paraId="0DFBFE3B" w14:textId="77777777" w:rsidR="00B23E1C" w:rsidRPr="00ED7E61" w:rsidRDefault="00B23E1C" w:rsidP="00B23E1C">
      <w:pPr>
        <w:pStyle w:val="paragraph"/>
        <w:spacing w:before="0" w:beforeAutospacing="0" w:after="0" w:afterAutospacing="0"/>
        <w:ind w:left="567" w:right="255"/>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AU"/>
        </w:rPr>
        <w:t> </w:t>
      </w:r>
      <w:r w:rsidRPr="00ED7E61">
        <w:rPr>
          <w:rStyle w:val="wacimagecontainer"/>
          <w:rFonts w:asciiTheme="majorBidi" w:eastAsiaTheme="majorEastAsia" w:hAnsiTheme="majorBidi" w:cstheme="majorBidi"/>
          <w:noProof/>
          <w:sz w:val="22"/>
          <w:szCs w:val="22"/>
          <w:lang w:val="fr-FR" w:eastAsia="fr-FR"/>
        </w:rPr>
        <w:drawing>
          <wp:inline distT="0" distB="0" distL="0" distR="0" wp14:anchorId="3174DEE7" wp14:editId="6B981D9B">
            <wp:extent cx="1619250" cy="562788"/>
            <wp:effectExtent l="0" t="0" r="0" b="0"/>
            <wp:docPr id="361868061" name="Picture 1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picture containing diagra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2237" cy="584680"/>
                    </a:xfrm>
                    <a:prstGeom prst="rect">
                      <a:avLst/>
                    </a:prstGeom>
                    <a:noFill/>
                    <a:ln>
                      <a:noFill/>
                    </a:ln>
                  </pic:spPr>
                </pic:pic>
              </a:graphicData>
            </a:graphic>
          </wp:inline>
        </w:drawing>
      </w:r>
      <w:r w:rsidRPr="00ED7E61">
        <w:rPr>
          <w:rStyle w:val="eop"/>
          <w:rFonts w:asciiTheme="majorBidi" w:eastAsiaTheme="majorEastAsia" w:hAnsiTheme="majorBidi" w:cstheme="majorBidi"/>
          <w:color w:val="000000"/>
          <w:sz w:val="22"/>
          <w:szCs w:val="22"/>
        </w:rPr>
        <w:t> </w:t>
      </w:r>
    </w:p>
    <w:p w14:paraId="1754CD2A" w14:textId="77777777" w:rsidR="00B23E1C" w:rsidRPr="00ED7E61" w:rsidRDefault="00B23E1C" w:rsidP="00B23E1C">
      <w:pPr>
        <w:pStyle w:val="CBDNormalNumber"/>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where </w:t>
      </w:r>
      <w:proofErr w:type="spellStart"/>
      <w:r w:rsidRPr="00ED7E61">
        <w:rPr>
          <w:rStyle w:val="normaltextrun"/>
          <w:rFonts w:asciiTheme="majorBidi" w:eastAsiaTheme="majorEastAsia" w:hAnsiTheme="majorBidi" w:cstheme="majorBidi"/>
          <w:color w:val="000000"/>
          <w:lang w:val="en-AU"/>
        </w:rPr>
        <w:t>Wc</w:t>
      </w:r>
      <w:proofErr w:type="spellEnd"/>
      <w:r w:rsidRPr="00ED7E61">
        <w:rPr>
          <w:rStyle w:val="normaltextrun"/>
          <w:rFonts w:asciiTheme="majorBidi" w:eastAsiaTheme="majorEastAsia" w:hAnsiTheme="majorBidi" w:cstheme="majorBidi"/>
          <w:color w:val="000000"/>
          <w:lang w:val="en-AU"/>
        </w:rPr>
        <w:t>(</w:t>
      </w:r>
      <w:proofErr w:type="spellStart"/>
      <w:r w:rsidRPr="00ED7E61">
        <w:rPr>
          <w:rStyle w:val="normaltextrun"/>
          <w:rFonts w:asciiTheme="majorBidi" w:eastAsiaTheme="majorEastAsia" w:hAnsiTheme="majorBidi" w:cstheme="majorBidi"/>
          <w:color w:val="000000"/>
          <w:lang w:val="en-AU"/>
        </w:rPr>
        <w:t>i,t</w:t>
      </w:r>
      <w:proofErr w:type="spellEnd"/>
      <w:r w:rsidRPr="00ED7E61">
        <w:rPr>
          <w:rStyle w:val="normaltextrun"/>
          <w:rFonts w:asciiTheme="majorBidi" w:eastAsiaTheme="majorEastAsia" w:hAnsiTheme="majorBidi" w:cstheme="majorBidi"/>
          <w:color w:val="000000"/>
          <w:lang w:val="en-AU"/>
        </w:rPr>
        <w:t xml:space="preserve">) is the risk category rank for ecosystem </w:t>
      </w:r>
      <w:proofErr w:type="spellStart"/>
      <w:r w:rsidRPr="00ED7E61">
        <w:rPr>
          <w:rStyle w:val="normaltextrun"/>
          <w:rFonts w:asciiTheme="majorBidi" w:eastAsiaTheme="majorEastAsia" w:hAnsiTheme="majorBidi" w:cstheme="majorBidi"/>
          <w:color w:val="000000"/>
          <w:lang w:val="en-AU"/>
        </w:rPr>
        <w:t>i</w:t>
      </w:r>
      <w:proofErr w:type="spellEnd"/>
      <w:r w:rsidRPr="00ED7E61">
        <w:rPr>
          <w:rStyle w:val="normaltextrun"/>
          <w:rFonts w:asciiTheme="majorBidi" w:eastAsiaTheme="majorEastAsia" w:hAnsiTheme="majorBidi" w:cstheme="majorBidi"/>
          <w:color w:val="000000"/>
          <w:lang w:val="en-AU"/>
        </w:rPr>
        <w:t xml:space="preserve"> in year t (Collapsed=5, Critically Endangered=4, Endangered=3, Vulnerable=2, Near Threatened=1, Least Concern=0; following the approach taken for the Red List Index of species survival, Headline indicator A.3; Butchart et al. 2004; 2007), </w:t>
      </w:r>
      <w:bookmarkStart w:id="9" w:name="_Hlk162966736"/>
      <w:r w:rsidRPr="00ED7E61">
        <w:rPr>
          <w:rStyle w:val="normaltextrun"/>
          <w:rFonts w:asciiTheme="majorBidi" w:eastAsiaTheme="majorEastAsia" w:hAnsiTheme="majorBidi" w:cstheme="majorBidi"/>
          <w:color w:val="000000"/>
          <w:lang w:val="en-AU"/>
        </w:rPr>
        <w:t xml:space="preserve">WCO is the </w:t>
      </w:r>
      <w:r w:rsidRPr="00B3383B">
        <w:t>maximum</w:t>
      </w:r>
      <w:r w:rsidRPr="00ED7E61">
        <w:rPr>
          <w:rStyle w:val="normaltextrun"/>
          <w:rFonts w:asciiTheme="majorBidi" w:eastAsiaTheme="majorEastAsia" w:hAnsiTheme="majorBidi" w:cstheme="majorBidi"/>
          <w:color w:val="000000"/>
          <w:lang w:val="en-AU"/>
        </w:rPr>
        <w:t xml:space="preserve"> category rank (CO = Collapsed=5), and n is the total number of ecosystem excluding Data Deficient or Not Evaluated ecosystem. </w:t>
      </w:r>
      <w:bookmarkEnd w:id="9"/>
      <w:r w:rsidRPr="00ED7E61">
        <w:rPr>
          <w:rStyle w:val="normaltextrun"/>
          <w:rFonts w:asciiTheme="majorBidi" w:eastAsiaTheme="majorEastAsia" w:hAnsiTheme="majorBidi" w:cstheme="majorBidi"/>
          <w:color w:val="000000"/>
          <w:lang w:val="en-AU"/>
        </w:rPr>
        <w:t xml:space="preserve">The </w:t>
      </w:r>
      <w:proofErr w:type="spellStart"/>
      <w:r w:rsidRPr="00ED7E61">
        <w:rPr>
          <w:rStyle w:val="normaltextrun"/>
          <w:rFonts w:asciiTheme="majorBidi" w:eastAsiaTheme="majorEastAsia" w:hAnsiTheme="majorBidi" w:cstheme="majorBidi"/>
          <w:color w:val="000000"/>
          <w:lang w:val="en-AU"/>
        </w:rPr>
        <w:t>RLIe</w:t>
      </w:r>
      <w:proofErr w:type="spellEnd"/>
      <w:r w:rsidRPr="00ED7E61">
        <w:rPr>
          <w:rStyle w:val="normaltextrun"/>
          <w:rFonts w:asciiTheme="majorBidi" w:eastAsiaTheme="majorEastAsia" w:hAnsiTheme="majorBidi" w:cstheme="majorBidi"/>
          <w:color w:val="000000"/>
          <w:lang w:val="en-AU"/>
        </w:rPr>
        <w:t xml:space="preserve"> ranges from 0 (all ecosystems Collapsed) to 1 (all Least Concern). Data Deficient ecosystem types may be included by </w:t>
      </w:r>
      <w:proofErr w:type="spellStart"/>
      <w:r w:rsidRPr="00ED7E61">
        <w:rPr>
          <w:rStyle w:val="normaltextrun"/>
          <w:rFonts w:asciiTheme="majorBidi" w:eastAsiaTheme="majorEastAsia" w:hAnsiTheme="majorBidi" w:cstheme="majorBidi"/>
          <w:color w:val="000000"/>
          <w:lang w:val="en-AU"/>
        </w:rPr>
        <w:t>by</w:t>
      </w:r>
      <w:proofErr w:type="spellEnd"/>
      <w:r w:rsidRPr="00ED7E61">
        <w:rPr>
          <w:rStyle w:val="normaltextrun"/>
          <w:rFonts w:asciiTheme="majorBidi" w:eastAsiaTheme="majorEastAsia" w:hAnsiTheme="majorBidi" w:cstheme="majorBidi"/>
          <w:color w:val="000000"/>
          <w:lang w:val="en-AU"/>
        </w:rPr>
        <w:t xml:space="preserve"> allocating them to risk categories in proportion with data sufficient ecosystem types (see section 5k on missing data). </w:t>
      </w:r>
      <w:r w:rsidRPr="00ED7E61">
        <w:rPr>
          <w:rStyle w:val="normaltextrun"/>
          <w:color w:val="000000"/>
          <w:lang w:val="en-AU"/>
        </w:rPr>
        <w:t xml:space="preserve"> The </w:t>
      </w:r>
      <w:proofErr w:type="spellStart"/>
      <w:r w:rsidRPr="00ED7E61">
        <w:rPr>
          <w:rStyle w:val="normaltextrun"/>
          <w:color w:val="000000"/>
          <w:lang w:val="en-AU"/>
        </w:rPr>
        <w:t>RLIe</w:t>
      </w:r>
      <w:proofErr w:type="spellEnd"/>
      <w:r w:rsidRPr="00ED7E61">
        <w:rPr>
          <w:rStyle w:val="normaltextrun"/>
          <w:color w:val="000000"/>
          <w:lang w:val="en-AU"/>
        </w:rPr>
        <w:t xml:space="preserve"> should be calculated for each ecosystem type.</w:t>
      </w:r>
    </w:p>
    <w:p w14:paraId="3A8C3FE1" w14:textId="77777777" w:rsid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Genuine change</w:t>
      </w:r>
      <w:r w:rsidRPr="00ED7E61">
        <w:rPr>
          <w:rStyle w:val="normaltextrun"/>
          <w:rFonts w:asciiTheme="majorBidi" w:eastAsiaTheme="majorEastAsia" w:hAnsiTheme="majorBidi" w:cstheme="majorBidi"/>
          <w:color w:val="000000"/>
          <w:lang w:val="en-AU"/>
        </w:rPr>
        <w:t>: The indicator should only report on genuine changes in risk category. The IUCN Red List of Ecosystems group will publish guidance on this topic in 202</w:t>
      </w:r>
      <w:r>
        <w:rPr>
          <w:rStyle w:val="normaltextrun"/>
          <w:rFonts w:asciiTheme="majorBidi" w:eastAsiaTheme="majorEastAsia" w:hAnsiTheme="majorBidi" w:cstheme="majorBidi"/>
          <w:color w:val="000000"/>
          <w:lang w:val="en-AU"/>
        </w:rPr>
        <w:t>6</w:t>
      </w:r>
      <w:r w:rsidRPr="00ED7E61">
        <w:rPr>
          <w:rStyle w:val="normaltextrun"/>
          <w:rFonts w:asciiTheme="majorBidi" w:eastAsiaTheme="majorEastAsia" w:hAnsiTheme="majorBidi" w:cstheme="majorBidi"/>
          <w:color w:val="000000"/>
          <w:lang w:val="en-AU"/>
        </w:rPr>
        <w:t xml:space="preserve"> </w:t>
      </w:r>
      <w:r>
        <w:rPr>
          <w:rStyle w:val="normaltextrun"/>
          <w:rFonts w:asciiTheme="majorBidi" w:eastAsiaTheme="majorEastAsia" w:hAnsiTheme="majorBidi" w:cstheme="majorBidi"/>
          <w:color w:val="000000"/>
          <w:lang w:val="en-AU"/>
        </w:rPr>
        <w:t>and</w:t>
      </w:r>
      <w:r w:rsidRPr="00ED7E61">
        <w:rPr>
          <w:rStyle w:val="normaltextrun"/>
          <w:rFonts w:asciiTheme="majorBidi" w:eastAsiaTheme="majorEastAsia" w:hAnsiTheme="majorBidi" w:cstheme="majorBidi"/>
          <w:color w:val="000000"/>
          <w:lang w:val="en-AU"/>
        </w:rPr>
        <w:t xml:space="preserve"> draw on guidelines from the Red List of Threatened Species and associate indicators (see headline indicator A.3), and experience from countries that have undertaken repeat Red List of Ecosystems assessments (e.g. Finland, Norway and South Africa). </w:t>
      </w:r>
      <w:r w:rsidRPr="004262AE">
        <w:rPr>
          <w:rStyle w:val="normaltextrun"/>
          <w:rFonts w:asciiTheme="majorBidi" w:eastAsiaTheme="majorEastAsia" w:hAnsiTheme="majorBidi" w:cstheme="majorBidi"/>
          <w:color w:val="000000"/>
          <w:lang w:val="en-AU"/>
        </w:rPr>
        <w:t> </w:t>
      </w:r>
    </w:p>
    <w:p w14:paraId="26BEEA49" w14:textId="02DB850F" w:rsidR="00B23E1C" w:rsidRPr="004262AE" w:rsidRDefault="00B23E1C" w:rsidP="004262AE">
      <w:pPr>
        <w:pStyle w:val="CBDNormalNumber"/>
        <w:numPr>
          <w:ilvl w:val="0"/>
          <w:numId w:val="40"/>
        </w:numPr>
        <w:rPr>
          <w:rStyle w:val="eop"/>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Indicator testing</w:t>
      </w:r>
      <w:r w:rsidRPr="004262AE">
        <w:rPr>
          <w:rStyle w:val="normaltextrun"/>
          <w:rFonts w:asciiTheme="majorBidi" w:eastAsiaTheme="majorEastAsia" w:hAnsiTheme="majorBidi" w:cstheme="majorBidi"/>
          <w:i/>
          <w:iCs/>
          <w:color w:val="000000"/>
          <w:lang w:val="en-AU"/>
        </w:rPr>
        <w:t>:</w:t>
      </w:r>
      <w:r w:rsidRPr="004262AE">
        <w:rPr>
          <w:rStyle w:val="normaltextrun"/>
          <w:rFonts w:asciiTheme="majorBidi" w:eastAsiaTheme="majorEastAsia" w:hAnsiTheme="majorBidi" w:cstheme="majorBidi"/>
          <w:b/>
          <w:bCs/>
          <w:i/>
          <w:iCs/>
          <w:color w:val="000000"/>
          <w:lang w:val="en-AU"/>
        </w:rPr>
        <w:t> </w:t>
      </w:r>
      <w:r w:rsidRPr="004262AE">
        <w:rPr>
          <w:rStyle w:val="eop"/>
          <w:rFonts w:asciiTheme="majorBidi" w:eastAsiaTheme="majorEastAsia" w:hAnsiTheme="majorBidi" w:cstheme="majorBidi"/>
          <w:color w:val="000000"/>
        </w:rPr>
        <w:t> </w:t>
      </w:r>
      <w:r w:rsidRPr="004262AE">
        <w:rPr>
          <w:rStyle w:val="normaltextrun"/>
          <w:rFonts w:asciiTheme="majorBidi" w:eastAsiaTheme="majorEastAsia" w:hAnsiTheme="majorBidi" w:cstheme="majorBidi"/>
          <w:color w:val="000000"/>
          <w:lang w:val="en-AU"/>
        </w:rPr>
        <w:t xml:space="preserve">A key question for indicators is how sensitive they are to biodiversity change. Several studies have tested aspects of the Red List of Ecosystems framework in its capacity to detect meaningful change in ecosystems. For example, Murray et al. (2017) tested metrics for restricted range size (Criterion B – restricted geographic distribution) for their capacity as predictors of ecosystem collapse in landscapes subject to stochastic threats. They found that the methods currently used in Red List of Ecosystems assessments for measuring range size are the best spatial metrics for estimating risks from stochastic threats. Analyses from Norway found that the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could provide time-series to reliably compare alternative policy scenarios (</w:t>
      </w:r>
      <w:proofErr w:type="spellStart"/>
      <w:r w:rsidRPr="004262AE">
        <w:rPr>
          <w:rStyle w:val="normaltextrun"/>
          <w:rFonts w:asciiTheme="majorBidi" w:eastAsiaTheme="majorEastAsia" w:hAnsiTheme="majorBidi" w:cstheme="majorBidi"/>
          <w:color w:val="000000"/>
          <w:lang w:val="en-AU"/>
        </w:rPr>
        <w:t>Kyrkjeeide</w:t>
      </w:r>
      <w:proofErr w:type="spellEnd"/>
      <w:r w:rsidRPr="004262AE">
        <w:rPr>
          <w:rStyle w:val="normaltextrun"/>
          <w:rFonts w:asciiTheme="majorBidi" w:eastAsiaTheme="majorEastAsia" w:hAnsiTheme="majorBidi" w:cstheme="majorBidi"/>
          <w:color w:val="000000"/>
          <w:lang w:val="en-AU"/>
        </w:rPr>
        <w:t xml:space="preserve"> et al. 2021). The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has been tested for sensitivity and responsiveness using an ecosystem simulation model of a coral reef (Rowland et al. 2020b), showing that the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can differentiate between low and high threat levels, responds to both increases in threats (e.g. climate change) and decreases (e.g. effective conservation policy), and detects change in area and integrity.</w:t>
      </w:r>
      <w:r w:rsidRPr="004262AE">
        <w:rPr>
          <w:rStyle w:val="eop"/>
          <w:rFonts w:asciiTheme="majorBidi" w:eastAsiaTheme="majorEastAsia" w:hAnsiTheme="majorBidi" w:cstheme="majorBidi"/>
          <w:color w:val="000000"/>
        </w:rPr>
        <w:t> </w:t>
      </w:r>
    </w:p>
    <w:p w14:paraId="052EAE04"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5c. Data collection method</w:t>
      </w:r>
    </w:p>
    <w:p w14:paraId="79AE2450" w14:textId="77777777" w:rsid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 xml:space="preserve">The reported data will ideally stem from national Red List of Ecosystems assessments. However, data can also come from regional, global and sub-national assessments, subject to national validation (see section 5e). Ideally, data should come from comprehensive assessments of all </w:t>
      </w:r>
      <w:proofErr w:type="gramStart"/>
      <w:r w:rsidRPr="004262AE">
        <w:rPr>
          <w:rStyle w:val="normaltextrun"/>
          <w:rFonts w:asciiTheme="majorBidi" w:eastAsiaTheme="majorEastAsia" w:hAnsiTheme="majorBidi" w:cstheme="majorBidi"/>
          <w:color w:val="000000"/>
          <w:lang w:val="en-AU"/>
        </w:rPr>
        <w:t>ecosystems</w:t>
      </w:r>
      <w:proofErr w:type="gramEnd"/>
      <w:r w:rsidRPr="004262AE">
        <w:rPr>
          <w:rStyle w:val="normaltextrun"/>
          <w:rFonts w:asciiTheme="majorBidi" w:eastAsiaTheme="majorEastAsia" w:hAnsiTheme="majorBidi" w:cstheme="majorBidi"/>
          <w:color w:val="000000"/>
          <w:lang w:val="en-AU"/>
        </w:rPr>
        <w:t xml:space="preserve"> types in all </w:t>
      </w:r>
      <w:proofErr w:type="gramStart"/>
      <w:r w:rsidRPr="004262AE">
        <w:rPr>
          <w:rStyle w:val="normaltextrun"/>
          <w:rFonts w:asciiTheme="majorBidi" w:eastAsiaTheme="majorEastAsia" w:hAnsiTheme="majorBidi" w:cstheme="majorBidi"/>
          <w:color w:val="000000"/>
          <w:lang w:val="en-AU"/>
        </w:rPr>
        <w:t>ecosystem</w:t>
      </w:r>
      <w:proofErr w:type="gramEnd"/>
      <w:r w:rsidRPr="004262AE">
        <w:rPr>
          <w:rStyle w:val="normaltextrun"/>
          <w:rFonts w:asciiTheme="majorBidi" w:eastAsiaTheme="majorEastAsia" w:hAnsiTheme="majorBidi" w:cstheme="majorBidi"/>
          <w:color w:val="000000"/>
          <w:lang w:val="en-AU"/>
        </w:rPr>
        <w:t xml:space="preserve"> functional groups within a country. If this is not possible, data can be used from assessments of all ecosystem types within an ecosystem functional group (nationally or globally), or in a sub-national area such as a province.  </w:t>
      </w:r>
    </w:p>
    <w:p w14:paraId="1A75A140" w14:textId="2DB7D9EF" w:rsidR="004262AE" w:rsidRDefault="00B23E1C" w:rsidP="004262AE">
      <w:pPr>
        <w:pStyle w:val="CBDNormalNumber"/>
        <w:numPr>
          <w:ilvl w:val="0"/>
          <w:numId w:val="40"/>
        </w:numPr>
        <w:rPr>
          <w:rStyle w:val="eop"/>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rPr>
        <w:t xml:space="preserve">The Red List of Ecosystems is the global standard for assessing risk of ecosystem collapse and biodiversity loss to all marine, freshwater, and terrestrial ecosystems. Red List of Ecosystems assessments </w:t>
      </w:r>
      <w:r w:rsidRPr="00B3383B">
        <w:t>collate</w:t>
      </w:r>
      <w:r w:rsidRPr="004262AE">
        <w:rPr>
          <w:rStyle w:val="normaltextrun"/>
          <w:rFonts w:asciiTheme="majorBidi" w:eastAsiaTheme="majorEastAsia" w:hAnsiTheme="majorBidi" w:cstheme="majorBidi"/>
          <w:color w:val="000000"/>
        </w:rPr>
        <w:t xml:space="preserve"> standardised knowledge, maps and data about ecosystems, and apply quantitative criteria to estimate relative risks of ecosystem collapse to identify threatened ecosystem types. The five criteria are: (A) change in ecosystem area; (B) restricted ecosystem distribution; (C) change in the abiotic environment (e.g. hydrological processes); (D) change in biotic processes and components (e.g. species interactions); and (E) the probability of collapse estimated using dynamic ecosystem models (where such models are available). Change in area and integrity (Criteria A, C and D) is assessed over a 50-year timeframe (past and/or future), and/or since the onset of industrialised change (1750 at the earliest). Change in integrity (Criteria C and D) is measured using ecosystem-specific metrics, to capture different ways in which ecosystems respond to drivers of biodiversity loss. For </w:t>
      </w:r>
      <w:r w:rsidRPr="004262AE">
        <w:rPr>
          <w:rStyle w:val="normaltextrun"/>
          <w:rFonts w:asciiTheme="majorBidi" w:eastAsiaTheme="majorEastAsia" w:hAnsiTheme="majorBidi" w:cstheme="majorBidi"/>
          <w:color w:val="000000"/>
        </w:rPr>
        <w:lastRenderedPageBreak/>
        <w:t xml:space="preserve">example, integrity can be tracked in forests using the proportion of </w:t>
      </w:r>
      <w:proofErr w:type="gramStart"/>
      <w:r w:rsidRPr="004262AE">
        <w:rPr>
          <w:rStyle w:val="normaltextrun"/>
          <w:rFonts w:asciiTheme="majorBidi" w:eastAsiaTheme="majorEastAsia" w:hAnsiTheme="majorBidi" w:cstheme="majorBidi"/>
          <w:color w:val="000000"/>
        </w:rPr>
        <w:t>old-growth</w:t>
      </w:r>
      <w:proofErr w:type="gramEnd"/>
      <w:r w:rsidRPr="004262AE">
        <w:rPr>
          <w:rStyle w:val="normaltextrun"/>
          <w:rFonts w:asciiTheme="majorBidi" w:eastAsiaTheme="majorEastAsia" w:hAnsiTheme="majorBidi" w:cstheme="majorBidi"/>
          <w:color w:val="000000"/>
        </w:rPr>
        <w:t xml:space="preserve"> (Burns et al. 2015), in coral reefs using coral cover and fish abundance (Obura et al. 2022), and in rivers using</w:t>
      </w:r>
      <w:r w:rsidR="004262AE">
        <w:rPr>
          <w:rStyle w:val="normaltextrun"/>
          <w:rFonts w:asciiTheme="majorBidi" w:eastAsiaTheme="majorEastAsia" w:hAnsiTheme="majorBidi" w:cstheme="majorBidi"/>
          <w:color w:val="000000"/>
        </w:rPr>
        <w:t xml:space="preserve"> </w:t>
      </w:r>
      <w:r w:rsidRPr="004262AE">
        <w:rPr>
          <w:rStyle w:val="normaltextrun"/>
          <w:rFonts w:asciiTheme="majorBidi" w:eastAsiaTheme="majorEastAsia" w:hAnsiTheme="majorBidi" w:cstheme="majorBidi"/>
          <w:color w:val="000000"/>
        </w:rPr>
        <w:t>hydrological flow (</w:t>
      </w:r>
      <w:proofErr w:type="spellStart"/>
      <w:r w:rsidRPr="004262AE">
        <w:rPr>
          <w:rStyle w:val="normaltextrun"/>
          <w:rFonts w:asciiTheme="majorBidi" w:eastAsiaTheme="majorEastAsia" w:hAnsiTheme="majorBidi" w:cstheme="majorBidi"/>
          <w:color w:val="000000"/>
        </w:rPr>
        <w:t>Ghoraba</w:t>
      </w:r>
      <w:proofErr w:type="spellEnd"/>
      <w:r w:rsidRPr="004262AE">
        <w:rPr>
          <w:rStyle w:val="normaltextrun"/>
          <w:rFonts w:asciiTheme="majorBidi" w:eastAsiaTheme="majorEastAsia" w:hAnsiTheme="majorBidi" w:cstheme="majorBidi"/>
          <w:color w:val="000000"/>
        </w:rPr>
        <w:t xml:space="preserve"> et al. 2019). </w:t>
      </w:r>
      <w:r w:rsidRPr="004262AE">
        <w:rPr>
          <w:rStyle w:val="eop"/>
          <w:rFonts w:asciiTheme="majorBidi" w:eastAsiaTheme="majorEastAsia" w:hAnsiTheme="majorBidi" w:cstheme="majorBidi"/>
          <w:color w:val="000000"/>
        </w:rPr>
        <w:t> </w:t>
      </w:r>
      <w:bookmarkStart w:id="10" w:name="_Hlk162967754"/>
    </w:p>
    <w:p w14:paraId="08666F29" w14:textId="77777777" w:rsidR="004262AE" w:rsidRDefault="00B23E1C" w:rsidP="004262AE">
      <w:pPr>
        <w:pStyle w:val="CBDNormalNumber"/>
        <w:numPr>
          <w:ilvl w:val="0"/>
          <w:numId w:val="40"/>
        </w:numPr>
        <w:rPr>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rPr>
        <w:t xml:space="preserve">Through </w:t>
      </w:r>
      <w:r w:rsidRPr="00B3383B">
        <w:t>assessment</w:t>
      </w:r>
      <w:r w:rsidRPr="004262AE">
        <w:rPr>
          <w:rStyle w:val="normaltextrun"/>
          <w:rFonts w:asciiTheme="majorBidi" w:eastAsiaTheme="majorEastAsia" w:hAnsiTheme="majorBidi" w:cstheme="majorBidi"/>
          <w:color w:val="000000"/>
        </w:rPr>
        <w:t xml:space="preserve"> against one or more criteria, ecosystem </w:t>
      </w:r>
      <w:proofErr w:type="spellStart"/>
      <w:r w:rsidRPr="004262AE">
        <w:rPr>
          <w:rStyle w:val="normaltextrun"/>
          <w:rFonts w:asciiTheme="majorBidi" w:eastAsiaTheme="majorEastAsia" w:hAnsiTheme="majorBidi" w:cstheme="majorBidi"/>
          <w:color w:val="000000"/>
        </w:rPr>
        <w:t>typess</w:t>
      </w:r>
      <w:proofErr w:type="spellEnd"/>
      <w:r w:rsidRPr="004262AE">
        <w:rPr>
          <w:rStyle w:val="normaltextrun"/>
          <w:rFonts w:asciiTheme="majorBidi" w:eastAsiaTheme="majorEastAsia" w:hAnsiTheme="majorBidi" w:cstheme="majorBidi"/>
          <w:color w:val="000000"/>
        </w:rPr>
        <w:t xml:space="preserve"> are assigned to ordinal risk categories: </w:t>
      </w:r>
      <w:r w:rsidRPr="004262AE">
        <w:rPr>
          <w:rStyle w:val="normaltextrun"/>
          <w:rFonts w:asciiTheme="majorBidi" w:eastAsiaTheme="majorEastAsia" w:hAnsiTheme="majorBidi" w:cstheme="majorBidi"/>
          <w:i/>
          <w:iCs/>
          <w:color w:val="000000"/>
        </w:rPr>
        <w:t>Collapsed</w:t>
      </w:r>
      <w:r w:rsidRPr="004262AE">
        <w:rPr>
          <w:rStyle w:val="normaltextrun"/>
          <w:rFonts w:asciiTheme="majorBidi" w:eastAsiaTheme="majorEastAsia" w:hAnsiTheme="majorBidi" w:cstheme="majorBidi"/>
          <w:color w:val="000000"/>
        </w:rPr>
        <w:t xml:space="preserve">, </w:t>
      </w:r>
      <w:r w:rsidRPr="004262AE">
        <w:rPr>
          <w:rStyle w:val="normaltextrun"/>
          <w:rFonts w:asciiTheme="majorBidi" w:eastAsiaTheme="majorEastAsia" w:hAnsiTheme="majorBidi" w:cstheme="majorBidi"/>
          <w:i/>
          <w:iCs/>
          <w:color w:val="000000"/>
        </w:rPr>
        <w:t>Critically Endangered</w:t>
      </w:r>
      <w:r w:rsidRPr="004262AE">
        <w:rPr>
          <w:rStyle w:val="normaltextrun"/>
          <w:rFonts w:asciiTheme="majorBidi" w:eastAsiaTheme="majorEastAsia" w:hAnsiTheme="majorBidi" w:cstheme="majorBidi"/>
          <w:color w:val="000000"/>
        </w:rPr>
        <w:t xml:space="preserve">, </w:t>
      </w:r>
      <w:r w:rsidRPr="004262AE">
        <w:rPr>
          <w:rStyle w:val="normaltextrun"/>
          <w:rFonts w:asciiTheme="majorBidi" w:eastAsiaTheme="majorEastAsia" w:hAnsiTheme="majorBidi" w:cstheme="majorBidi"/>
          <w:i/>
          <w:iCs/>
          <w:color w:val="000000"/>
        </w:rPr>
        <w:t>Endangered</w:t>
      </w:r>
      <w:r w:rsidRPr="004262AE">
        <w:rPr>
          <w:rStyle w:val="normaltextrun"/>
          <w:rFonts w:asciiTheme="majorBidi" w:eastAsiaTheme="majorEastAsia" w:hAnsiTheme="majorBidi" w:cstheme="majorBidi"/>
          <w:color w:val="000000"/>
        </w:rPr>
        <w:t xml:space="preserve">, </w:t>
      </w:r>
      <w:r w:rsidRPr="004262AE">
        <w:rPr>
          <w:rStyle w:val="normaltextrun"/>
          <w:rFonts w:asciiTheme="majorBidi" w:eastAsiaTheme="majorEastAsia" w:hAnsiTheme="majorBidi" w:cstheme="majorBidi"/>
          <w:i/>
          <w:iCs/>
          <w:color w:val="000000"/>
        </w:rPr>
        <w:t>Vulnerable</w:t>
      </w:r>
      <w:r w:rsidRPr="004262AE">
        <w:rPr>
          <w:rStyle w:val="normaltextrun"/>
          <w:rFonts w:asciiTheme="majorBidi" w:eastAsiaTheme="majorEastAsia" w:hAnsiTheme="majorBidi" w:cstheme="majorBidi"/>
          <w:color w:val="000000"/>
        </w:rPr>
        <w:t xml:space="preserve">, </w:t>
      </w:r>
      <w:r w:rsidRPr="004262AE">
        <w:rPr>
          <w:rStyle w:val="normaltextrun"/>
          <w:rFonts w:asciiTheme="majorBidi" w:eastAsiaTheme="majorEastAsia" w:hAnsiTheme="majorBidi" w:cstheme="majorBidi"/>
          <w:i/>
          <w:iCs/>
          <w:color w:val="000000"/>
        </w:rPr>
        <w:t>Near Threatened</w:t>
      </w:r>
      <w:r w:rsidRPr="004262AE">
        <w:rPr>
          <w:rStyle w:val="normaltextrun"/>
          <w:rFonts w:asciiTheme="majorBidi" w:eastAsiaTheme="majorEastAsia" w:hAnsiTheme="majorBidi" w:cstheme="majorBidi"/>
          <w:color w:val="000000"/>
        </w:rPr>
        <w:t xml:space="preserve">, </w:t>
      </w:r>
      <w:r w:rsidRPr="004262AE">
        <w:rPr>
          <w:rStyle w:val="normaltextrun"/>
          <w:rFonts w:asciiTheme="majorBidi" w:eastAsiaTheme="majorEastAsia" w:hAnsiTheme="majorBidi" w:cstheme="majorBidi"/>
          <w:i/>
          <w:iCs/>
          <w:color w:val="000000"/>
        </w:rPr>
        <w:t>Least</w:t>
      </w:r>
      <w:r w:rsidRPr="004262AE">
        <w:rPr>
          <w:rStyle w:val="normaltextrun"/>
          <w:rFonts w:asciiTheme="majorBidi" w:eastAsiaTheme="majorEastAsia" w:hAnsiTheme="majorBidi" w:cstheme="majorBidi"/>
          <w:color w:val="000000"/>
        </w:rPr>
        <w:t xml:space="preserve"> </w:t>
      </w:r>
      <w:r w:rsidRPr="004262AE">
        <w:rPr>
          <w:rStyle w:val="normaltextrun"/>
          <w:rFonts w:asciiTheme="majorBidi" w:eastAsiaTheme="majorEastAsia" w:hAnsiTheme="majorBidi" w:cstheme="majorBidi"/>
          <w:i/>
          <w:iCs/>
          <w:color w:val="000000"/>
        </w:rPr>
        <w:t>Concern</w:t>
      </w:r>
      <w:r w:rsidRPr="004262AE">
        <w:rPr>
          <w:rStyle w:val="normaltextrun"/>
          <w:rFonts w:asciiTheme="majorBidi" w:eastAsiaTheme="majorEastAsia" w:hAnsiTheme="majorBidi" w:cstheme="majorBidi"/>
          <w:color w:val="000000"/>
        </w:rPr>
        <w:t xml:space="preserve">; if there are insufficient data to assign a risk category, a criterion or ecosystem is considered </w:t>
      </w:r>
      <w:r w:rsidRPr="004262AE">
        <w:rPr>
          <w:rStyle w:val="normaltextrun"/>
          <w:rFonts w:asciiTheme="majorBidi" w:eastAsiaTheme="majorEastAsia" w:hAnsiTheme="majorBidi" w:cstheme="majorBidi"/>
          <w:i/>
          <w:iCs/>
          <w:color w:val="000000"/>
        </w:rPr>
        <w:t>Data Deficient</w:t>
      </w:r>
      <w:r w:rsidRPr="004262AE">
        <w:rPr>
          <w:rStyle w:val="normaltextrun"/>
          <w:rFonts w:asciiTheme="majorBidi" w:eastAsiaTheme="majorEastAsia" w:hAnsiTheme="majorBidi" w:cstheme="majorBidi"/>
          <w:color w:val="000000"/>
        </w:rPr>
        <w:t xml:space="preserve">, or </w:t>
      </w:r>
      <w:r w:rsidRPr="004262AE">
        <w:rPr>
          <w:rStyle w:val="normaltextrun"/>
          <w:rFonts w:asciiTheme="majorBidi" w:eastAsiaTheme="majorEastAsia" w:hAnsiTheme="majorBidi" w:cstheme="majorBidi"/>
          <w:i/>
          <w:iCs/>
          <w:color w:val="000000"/>
        </w:rPr>
        <w:t>Not Evaluated</w:t>
      </w:r>
      <w:r w:rsidRPr="004262AE">
        <w:rPr>
          <w:rStyle w:val="normaltextrun"/>
          <w:rFonts w:asciiTheme="majorBidi" w:eastAsiaTheme="majorEastAsia" w:hAnsiTheme="majorBidi" w:cstheme="majorBidi"/>
          <w:color w:val="000000"/>
        </w:rPr>
        <w:t xml:space="preserve"> if not assessed. Ecosystem types listed as </w:t>
      </w:r>
      <w:r w:rsidRPr="004262AE">
        <w:rPr>
          <w:rStyle w:val="normaltextrun"/>
          <w:rFonts w:asciiTheme="majorBidi" w:eastAsiaTheme="majorEastAsia" w:hAnsiTheme="majorBidi" w:cstheme="majorBidi"/>
          <w:i/>
          <w:iCs/>
          <w:color w:val="000000"/>
        </w:rPr>
        <w:t>Critically Endangered</w:t>
      </w:r>
      <w:r w:rsidRPr="004262AE">
        <w:rPr>
          <w:rStyle w:val="normaltextrun"/>
          <w:rFonts w:asciiTheme="majorBidi" w:eastAsiaTheme="majorEastAsia" w:hAnsiTheme="majorBidi" w:cstheme="majorBidi"/>
          <w:color w:val="000000"/>
        </w:rPr>
        <w:t xml:space="preserve">, </w:t>
      </w:r>
      <w:r w:rsidRPr="004262AE">
        <w:rPr>
          <w:rStyle w:val="normaltextrun"/>
          <w:rFonts w:asciiTheme="majorBidi" w:eastAsiaTheme="majorEastAsia" w:hAnsiTheme="majorBidi" w:cstheme="majorBidi"/>
          <w:i/>
          <w:iCs/>
          <w:color w:val="000000"/>
        </w:rPr>
        <w:t>Endangered</w:t>
      </w:r>
      <w:r w:rsidRPr="004262AE">
        <w:rPr>
          <w:rStyle w:val="normaltextrun"/>
          <w:rFonts w:asciiTheme="majorBidi" w:eastAsiaTheme="majorEastAsia" w:hAnsiTheme="majorBidi" w:cstheme="majorBidi"/>
          <w:color w:val="000000"/>
        </w:rPr>
        <w:t xml:space="preserve">, </w:t>
      </w:r>
      <w:r w:rsidRPr="004262AE">
        <w:rPr>
          <w:rStyle w:val="normaltextrun"/>
          <w:rFonts w:asciiTheme="majorBidi" w:eastAsiaTheme="majorEastAsia" w:hAnsiTheme="majorBidi" w:cstheme="majorBidi"/>
          <w:i/>
          <w:iCs/>
          <w:color w:val="000000"/>
        </w:rPr>
        <w:t>Vulnerable</w:t>
      </w:r>
      <w:r w:rsidRPr="004262AE">
        <w:rPr>
          <w:rStyle w:val="normaltextrun"/>
          <w:rFonts w:asciiTheme="majorBidi" w:eastAsiaTheme="majorEastAsia" w:hAnsiTheme="majorBidi" w:cstheme="majorBidi"/>
          <w:color w:val="000000"/>
        </w:rPr>
        <w:t xml:space="preserve"> are considered threatened, and ecosystem types in those categories can collectively be referred to as “</w:t>
      </w:r>
      <w:r w:rsidRPr="004262AE">
        <w:rPr>
          <w:rStyle w:val="normaltextrun"/>
          <w:rFonts w:asciiTheme="majorBidi" w:eastAsiaTheme="majorEastAsia" w:hAnsiTheme="majorBidi" w:cstheme="majorBidi"/>
          <w:i/>
          <w:iCs/>
          <w:color w:val="000000"/>
        </w:rPr>
        <w:t>threatened</w:t>
      </w:r>
      <w:r w:rsidRPr="004262AE">
        <w:rPr>
          <w:rStyle w:val="normaltextrun"/>
          <w:rFonts w:asciiTheme="majorBidi" w:eastAsiaTheme="majorEastAsia" w:hAnsiTheme="majorBidi" w:cstheme="majorBidi"/>
          <w:color w:val="000000"/>
        </w:rPr>
        <w:t>”. </w:t>
      </w:r>
      <w:r w:rsidRPr="004262AE">
        <w:rPr>
          <w:rStyle w:val="eop"/>
          <w:rFonts w:asciiTheme="majorBidi" w:eastAsiaTheme="majorEastAsia" w:hAnsiTheme="majorBidi" w:cstheme="majorBidi"/>
          <w:color w:val="000000"/>
        </w:rPr>
        <w:t> </w:t>
      </w:r>
      <w:bookmarkEnd w:id="10"/>
    </w:p>
    <w:p w14:paraId="7A6C380D" w14:textId="77777777" w:rsidR="004262AE" w:rsidRDefault="00B23E1C" w:rsidP="004262AE">
      <w:pPr>
        <w:pStyle w:val="CBDNormalNumber"/>
        <w:numPr>
          <w:ilvl w:val="0"/>
          <w:numId w:val="40"/>
        </w:numPr>
        <w:rPr>
          <w:rStyle w:val="eop"/>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rPr>
        <w:t>Detailed guidelines are available to support the assessment of each criterion (</w:t>
      </w:r>
      <w:r w:rsidRPr="004262AE">
        <w:rPr>
          <w:rStyle w:val="normaltextrun"/>
          <w:rFonts w:asciiTheme="majorBidi" w:eastAsiaTheme="majorEastAsia" w:hAnsiTheme="majorBidi" w:cstheme="majorBidi"/>
          <w:color w:val="000000"/>
          <w:lang w:val="en-AU"/>
        </w:rPr>
        <w:t>IUCN, 2024</w:t>
      </w:r>
      <w:r w:rsidRPr="004262AE">
        <w:rPr>
          <w:rStyle w:val="normaltextrun"/>
          <w:rFonts w:asciiTheme="majorBidi" w:eastAsiaTheme="majorEastAsia" w:hAnsiTheme="majorBidi" w:cstheme="majorBidi"/>
          <w:color w:val="000000"/>
        </w:rPr>
        <w:t xml:space="preserve">; Keith et al. </w:t>
      </w:r>
      <w:r w:rsidRPr="00B3383B">
        <w:t>2013</w:t>
      </w:r>
      <w:r w:rsidRPr="004262AE">
        <w:rPr>
          <w:rStyle w:val="normaltextrun"/>
          <w:rFonts w:asciiTheme="majorBidi" w:eastAsiaTheme="majorEastAsia" w:hAnsiTheme="majorBidi" w:cstheme="majorBidi"/>
          <w:color w:val="000000"/>
        </w:rPr>
        <w:t>). Ideally, as many criteria as possible should be assessed, but the scope can be tailored to the resources and data available. Guidelines to support rapid assessments using one or a few criteria have been developed (e.g. Holness &amp; Botts 2022) and used in national assessments across Africa (e.g. NEMA 2020).</w:t>
      </w:r>
      <w:r w:rsidRPr="004262AE">
        <w:rPr>
          <w:rStyle w:val="eop"/>
          <w:rFonts w:asciiTheme="majorBidi" w:eastAsiaTheme="majorEastAsia" w:hAnsiTheme="majorBidi" w:cstheme="majorBidi"/>
          <w:color w:val="000000"/>
        </w:rPr>
        <w:t> </w:t>
      </w:r>
    </w:p>
    <w:p w14:paraId="4D0D8B5E" w14:textId="77777777" w:rsidR="004262AE" w:rsidRDefault="00B23E1C" w:rsidP="004262AE">
      <w:pPr>
        <w:pStyle w:val="CBDNormalNumber"/>
        <w:numPr>
          <w:ilvl w:val="0"/>
          <w:numId w:val="40"/>
        </w:numPr>
        <w:rPr>
          <w:rStyle w:val="eop"/>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 xml:space="preserve">Data used in Red List of Ecosystems assessments can come from a diverse range of sources (see reviews in Rowland et al. 2018, Murray et al. 2018). Ecosystem classifications and maps used in these assessments typically come from national ecosystem </w:t>
      </w:r>
      <w:r w:rsidRPr="004262AE">
        <w:rPr>
          <w:rFonts w:asciiTheme="majorBidi" w:eastAsiaTheme="majorEastAsia" w:hAnsiTheme="majorBidi" w:cstheme="majorBidi"/>
          <w:color w:val="000000"/>
          <w:lang w:val="en-CA"/>
        </w:rPr>
        <w:t xml:space="preserve">classifications and maps. These typically synthesise information from a range of sources, including inventories of </w:t>
      </w:r>
      <w:proofErr w:type="gramStart"/>
      <w:r w:rsidRPr="004262AE">
        <w:rPr>
          <w:rFonts w:asciiTheme="majorBidi" w:eastAsiaTheme="majorEastAsia" w:hAnsiTheme="majorBidi" w:cstheme="majorBidi"/>
          <w:color w:val="000000"/>
          <w:lang w:val="en-CA"/>
        </w:rPr>
        <w:t>particular ecosystem</w:t>
      </w:r>
      <w:proofErr w:type="gramEnd"/>
      <w:r w:rsidRPr="004262AE">
        <w:rPr>
          <w:rFonts w:asciiTheme="majorBidi" w:eastAsiaTheme="majorEastAsia" w:hAnsiTheme="majorBidi" w:cstheme="majorBidi"/>
          <w:color w:val="000000"/>
          <w:lang w:val="en-CA"/>
        </w:rPr>
        <w:t xml:space="preserve"> groups </w:t>
      </w:r>
      <w:r w:rsidRPr="004262AE">
        <w:rPr>
          <w:rStyle w:val="normaltextrun"/>
          <w:rFonts w:asciiTheme="majorBidi" w:eastAsiaTheme="majorEastAsia" w:hAnsiTheme="majorBidi" w:cstheme="majorBidi"/>
          <w:color w:val="000000"/>
          <w:lang w:val="en-AU"/>
        </w:rPr>
        <w:t xml:space="preserve">(e.g. forest types), local experts (e.g. within universities or environment institutes), government agencies, or when these are not available, from global classifications and maps of ecosystem types (e.g. the Global Ecosystem Typology, </w:t>
      </w:r>
      <w:hyperlink r:id="rId16" w:tgtFrame="_blank" w:history="1">
        <w:r w:rsidRPr="004262AE">
          <w:rPr>
            <w:rStyle w:val="normaltextrun"/>
            <w:rFonts w:asciiTheme="majorBidi" w:eastAsiaTheme="majorEastAsia" w:hAnsiTheme="majorBidi" w:cstheme="majorBidi"/>
            <w:color w:val="467886"/>
            <w:u w:val="single"/>
            <w:lang w:val="en-AU"/>
          </w:rPr>
          <w:t>https://global-ecosystems.org/</w:t>
        </w:r>
      </w:hyperlink>
      <w:r w:rsidRPr="004262AE">
        <w:rPr>
          <w:rStyle w:val="normaltextrun"/>
          <w:rFonts w:asciiTheme="majorBidi" w:eastAsiaTheme="majorEastAsia" w:hAnsiTheme="majorBidi" w:cstheme="majorBidi"/>
          <w:color w:val="000000"/>
          <w:lang w:val="en-AU"/>
        </w:rPr>
        <w:t>). Data on change in ecosystem area (for Criterion A) typically comes from similar data and may be shared with Headline Indicator A.2 (extent of natural ecosystems) which is underlined by similar data, and as complementary indicators in the Global Biodiversity Framework monitoring framework (e.g. tree cover loss, wetland extent trends index, and trends in mangrove extent). Assessing Criteria C and D requires ecosystem-specific variables, which may come from a range of data sources, including scientific literature, reports, experts, historical accounts, and existing indicators (including some listed as complementary indicators in the monitoring framework, e.g. live coral cover). These data may be field-based empirical data, remotely sensed (e.g. satellite imagery, see Murray et al. 2018), modelled (extrapolating from field and/or remotely sensed data) or a combination. The Red List of Ecosystems guidelines (IUCN, 2024)</w:t>
      </w:r>
      <w:r w:rsidRPr="004262AE" w:rsidDel="00933D28">
        <w:rPr>
          <w:rStyle w:val="normaltextrun"/>
          <w:rFonts w:asciiTheme="majorBidi" w:eastAsiaTheme="majorEastAsia" w:hAnsiTheme="majorBidi" w:cstheme="majorBidi"/>
          <w:color w:val="000000"/>
          <w:lang w:val="en-AU"/>
        </w:rPr>
        <w:t xml:space="preserve"> </w:t>
      </w:r>
      <w:r w:rsidRPr="004262AE">
        <w:rPr>
          <w:rStyle w:val="normaltextrun"/>
          <w:rFonts w:asciiTheme="majorBidi" w:eastAsiaTheme="majorEastAsia" w:hAnsiTheme="majorBidi" w:cstheme="majorBidi"/>
          <w:color w:val="000000"/>
          <w:lang w:val="en-AU"/>
        </w:rPr>
        <w:t>provide advice on the types of data needed, and how it should be analysed. Further guidance and reviews are currently being developed to provide further support for assessors.</w:t>
      </w:r>
      <w:r w:rsidRPr="004262AE">
        <w:rPr>
          <w:rStyle w:val="eop"/>
          <w:rFonts w:asciiTheme="majorBidi" w:eastAsiaTheme="majorEastAsia" w:hAnsiTheme="majorBidi" w:cstheme="majorBidi"/>
          <w:color w:val="000000"/>
        </w:rPr>
        <w:t> </w:t>
      </w:r>
    </w:p>
    <w:p w14:paraId="7767BEAC" w14:textId="3516F6F9" w:rsidR="00B23E1C" w:rsidRPr="004262AE" w:rsidRDefault="00B23E1C" w:rsidP="004262AE">
      <w:pPr>
        <w:pStyle w:val="CBDNormalNumber"/>
        <w:numPr>
          <w:ilvl w:val="0"/>
          <w:numId w:val="40"/>
        </w:numPr>
        <w:rPr>
          <w:rStyle w:val="eop"/>
          <w:rFonts w:asciiTheme="majorBidi" w:eastAsiaTheme="majorEastAsia" w:hAnsiTheme="majorBidi" w:cstheme="majorBidi"/>
          <w:color w:val="000000"/>
          <w:lang w:val="en-AU"/>
        </w:rPr>
      </w:pPr>
      <w:r w:rsidRPr="004262AE">
        <w:rPr>
          <w:rStyle w:val="eop"/>
          <w:color w:val="000000"/>
        </w:rPr>
        <w:t>National or regional ecosystem classifications and maps used in the Red List of ecosystems assessments can be cross-referenced to ecosystem functional groups of the Global Ecosystem Typology (Keith et al 2022) – guidance published in 2025 can support local ecosystem experts in this process (IUCN, 2025). The same cross-referenced ecosystem classification and maps can be used in reporting on headline indicators A.2 Extent of natural ecosystems, B.1 Services provided by ecosystems, and 2.1 Area under restoration. It can also support disaggregation of 3.1 Coverage of protected areas and OECMs.</w:t>
      </w:r>
    </w:p>
    <w:p w14:paraId="620AC318" w14:textId="77777777" w:rsidR="00B23E1C" w:rsidRPr="00ED7E61" w:rsidRDefault="00B23E1C" w:rsidP="00B23E1C">
      <w:pPr>
        <w:pStyle w:val="CBDNormalNumber"/>
        <w:rPr>
          <w:rStyle w:val="eop"/>
          <w:rFonts w:asciiTheme="majorBidi" w:eastAsiaTheme="majorEastAsia" w:hAnsiTheme="majorBidi" w:cstheme="majorBidi"/>
          <w:color w:val="000000"/>
        </w:rPr>
      </w:pPr>
    </w:p>
    <w:p w14:paraId="51EB5E3D"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5d. Accessibility of methodology</w:t>
      </w:r>
    </w:p>
    <w:p w14:paraId="4D8B20ED" w14:textId="77777777" w:rsidR="00B23E1C" w:rsidRPr="004262AE" w:rsidRDefault="00B23E1C" w:rsidP="004262AE">
      <w:pPr>
        <w:pStyle w:val="CBDNormalNumber"/>
        <w:numPr>
          <w:ilvl w:val="0"/>
          <w:numId w:val="40"/>
        </w:numPr>
        <w:rPr>
          <w:rStyle w:val="eop"/>
        </w:rPr>
      </w:pPr>
      <w:r w:rsidRPr="004262AE">
        <w:rPr>
          <w:rStyle w:val="eop"/>
        </w:rPr>
        <w:t>Application of the Red List of Ecosystems framework for undertaking Red List of Ecosystems assessments is supported by a range of resources, all accessible via the Red List of Ecosystems website (iucnrle.org):</w:t>
      </w:r>
      <w:r w:rsidRPr="004262AE">
        <w:rPr>
          <w:rStyle w:val="eop"/>
          <w:color w:val="000000"/>
        </w:rPr>
        <w:t> </w:t>
      </w:r>
    </w:p>
    <w:p w14:paraId="6D7B0AF9" w14:textId="77777777" w:rsidR="00B23E1C" w:rsidRPr="00ED7E61" w:rsidRDefault="00B23E1C" w:rsidP="00B23E1C">
      <w:pPr>
        <w:pStyle w:val="CBDNormalNumber"/>
        <w:numPr>
          <w:ilvl w:val="1"/>
          <w:numId w:val="66"/>
        </w:numPr>
        <w:tabs>
          <w:tab w:val="clear" w:pos="567"/>
          <w:tab w:val="clear" w:pos="1134"/>
          <w:tab w:val="clear" w:pos="2268"/>
          <w:tab w:val="left" w:pos="1985"/>
        </w:tabs>
        <w:ind w:left="567" w:firstLine="567"/>
      </w:pPr>
      <w:r w:rsidRPr="00ED7E61">
        <w:t xml:space="preserve">Formal guidelines published by IUCN (IUCN, 2024): </w:t>
      </w:r>
      <w:hyperlink r:id="rId17" w:history="1">
        <w:r w:rsidRPr="00ED7E61">
          <w:rPr>
            <w:rStyle w:val="normaltextrun"/>
            <w:color w:val="467886"/>
          </w:rPr>
          <w:t>https://portals.iucn.org/library/node/51533</w:t>
        </w:r>
      </w:hyperlink>
      <w:r w:rsidRPr="00B3383B">
        <w:rPr>
          <w:rStyle w:val="normaltextrun"/>
          <w:rFonts w:asciiTheme="majorBidi" w:eastAsiaTheme="majorEastAsia" w:hAnsiTheme="majorBidi" w:cstheme="majorBidi"/>
          <w:lang w:val="en-AU"/>
        </w:rPr>
        <w:t>;</w:t>
      </w:r>
    </w:p>
    <w:p w14:paraId="2460DB5C" w14:textId="77777777" w:rsidR="00B23E1C" w:rsidRPr="00ED7E61" w:rsidRDefault="00B23E1C" w:rsidP="00B23E1C">
      <w:pPr>
        <w:pStyle w:val="CBDNormalNumber"/>
        <w:numPr>
          <w:ilvl w:val="1"/>
          <w:numId w:val="66"/>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000000"/>
          <w:lang w:val="en-AU"/>
        </w:rPr>
        <w:t>Multiple peer-reviewed scientific papers have been published to describe the assessment methods in detail (e.g. Keith et al</w:t>
      </w:r>
      <w:r>
        <w:rPr>
          <w:rStyle w:val="normaltextrun"/>
          <w:rFonts w:asciiTheme="majorBidi" w:eastAsiaTheme="majorEastAsia" w:hAnsiTheme="majorBidi" w:cstheme="majorBidi"/>
          <w:color w:val="000000"/>
          <w:lang w:val="en-AU"/>
        </w:rPr>
        <w:t>.</w:t>
      </w:r>
      <w:r w:rsidRPr="00ED7E61">
        <w:rPr>
          <w:rStyle w:val="normaltextrun"/>
          <w:rFonts w:asciiTheme="majorBidi" w:eastAsiaTheme="majorEastAsia" w:hAnsiTheme="majorBidi" w:cstheme="majorBidi"/>
          <w:color w:val="000000"/>
          <w:lang w:val="en-AU"/>
        </w:rPr>
        <w:t xml:space="preserve"> 2013, and others – see reference list below)</w:t>
      </w:r>
      <w:r>
        <w:rPr>
          <w:rStyle w:val="eop"/>
          <w:rFonts w:asciiTheme="majorBidi" w:eastAsiaTheme="majorEastAsia" w:hAnsiTheme="majorBidi" w:cstheme="majorBidi"/>
          <w:color w:val="000000"/>
        </w:rPr>
        <w:t>;</w:t>
      </w:r>
    </w:p>
    <w:p w14:paraId="32CC174A" w14:textId="77777777" w:rsidR="00B23E1C" w:rsidRPr="00ED7E61" w:rsidRDefault="00B23E1C" w:rsidP="00B23E1C">
      <w:pPr>
        <w:pStyle w:val="CBDNormalNumber"/>
        <w:numPr>
          <w:ilvl w:val="1"/>
          <w:numId w:val="66"/>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000000"/>
          <w:lang w:val="en-AU"/>
        </w:rPr>
        <w:lastRenderedPageBreak/>
        <w:t xml:space="preserve">Free online training material via </w:t>
      </w:r>
      <w:hyperlink r:id="rId18" w:tgtFrame="_blank" w:history="1">
        <w:proofErr w:type="spellStart"/>
        <w:r w:rsidRPr="00ED7E61">
          <w:rPr>
            <w:rStyle w:val="normaltextrun"/>
            <w:rFonts w:asciiTheme="majorBidi" w:eastAsiaTheme="majorEastAsia" w:hAnsiTheme="majorBidi" w:cstheme="majorBidi"/>
            <w:color w:val="467886"/>
            <w:u w:val="single"/>
            <w:lang w:val="en-AU"/>
          </w:rPr>
          <w:t>FutureLearn</w:t>
        </w:r>
        <w:proofErr w:type="spellEnd"/>
      </w:hyperlink>
      <w:r w:rsidRPr="00ED7E61">
        <w:rPr>
          <w:rStyle w:val="normaltextrun"/>
          <w:rFonts w:asciiTheme="majorBidi" w:eastAsiaTheme="majorEastAsia" w:hAnsiTheme="majorBidi" w:cstheme="majorBidi"/>
          <w:color w:val="000000"/>
          <w:lang w:val="en-AU"/>
        </w:rPr>
        <w:t xml:space="preserve"> (in partnership with Deakin University and IUCN) and </w:t>
      </w:r>
      <w:hyperlink r:id="rId19" w:tgtFrame="_blank" w:history="1">
        <w:r w:rsidRPr="00ED7E61">
          <w:rPr>
            <w:rStyle w:val="normaltextrun"/>
            <w:rFonts w:asciiTheme="majorBidi" w:eastAsiaTheme="majorEastAsia" w:hAnsiTheme="majorBidi" w:cstheme="majorBidi"/>
            <w:color w:val="467886"/>
            <w:u w:val="single"/>
            <w:lang w:val="en-AU"/>
          </w:rPr>
          <w:t>IUCN Academy</w:t>
        </w:r>
      </w:hyperlink>
      <w:r>
        <w:rPr>
          <w:rStyle w:val="eop"/>
          <w:rFonts w:asciiTheme="majorBidi" w:eastAsiaTheme="majorEastAsia" w:hAnsiTheme="majorBidi" w:cstheme="majorBidi"/>
          <w:color w:val="000000"/>
        </w:rPr>
        <w:t>;</w:t>
      </w:r>
    </w:p>
    <w:p w14:paraId="5AA63491" w14:textId="77777777" w:rsidR="00B23E1C" w:rsidRPr="00ED7E61" w:rsidRDefault="00B23E1C" w:rsidP="00B23E1C">
      <w:pPr>
        <w:pStyle w:val="CBDNormalNumber"/>
        <w:numPr>
          <w:ilvl w:val="1"/>
          <w:numId w:val="66"/>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000000"/>
          <w:lang w:val="en-AU"/>
        </w:rPr>
        <w:t xml:space="preserve">Tools to support assessment (available at </w:t>
      </w:r>
      <w:hyperlink r:id="rId20" w:tgtFrame="_blank" w:history="1">
        <w:r w:rsidRPr="00ED7E61">
          <w:rPr>
            <w:rStyle w:val="normaltextrun"/>
            <w:rFonts w:asciiTheme="majorBidi" w:eastAsiaTheme="majorEastAsia" w:hAnsiTheme="majorBidi" w:cstheme="majorBidi"/>
            <w:color w:val="467886"/>
            <w:u w:val="single"/>
            <w:lang w:val="en-AU"/>
          </w:rPr>
          <w:t>https://iucnrle.org/rle-material-and-tools</w:t>
        </w:r>
      </w:hyperlink>
      <w:r w:rsidRPr="00ED7E61">
        <w:rPr>
          <w:rStyle w:val="normaltextrun"/>
          <w:rFonts w:asciiTheme="majorBidi" w:eastAsiaTheme="majorEastAsia" w:hAnsiTheme="majorBidi" w:cstheme="majorBidi"/>
          <w:color w:val="000000"/>
          <w:lang w:val="en-AU"/>
        </w:rPr>
        <w:t>)</w:t>
      </w:r>
      <w:r>
        <w:rPr>
          <w:rStyle w:val="eop"/>
          <w:rFonts w:asciiTheme="majorBidi" w:eastAsiaTheme="majorEastAsia" w:hAnsiTheme="majorBidi" w:cstheme="majorBidi"/>
          <w:color w:val="000000"/>
        </w:rPr>
        <w:t>;</w:t>
      </w:r>
    </w:p>
    <w:p w14:paraId="353B91D7" w14:textId="77777777" w:rsidR="00B23E1C" w:rsidRPr="00ED7E61" w:rsidRDefault="00B23E1C" w:rsidP="00B23E1C">
      <w:pPr>
        <w:pStyle w:val="CBDNormalNumber"/>
        <w:numPr>
          <w:ilvl w:val="1"/>
          <w:numId w:val="66"/>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000000"/>
          <w:lang w:val="en-AU"/>
        </w:rPr>
        <w:t xml:space="preserve">A growing database of assessments </w:t>
      </w:r>
      <w:hyperlink r:id="rId21" w:tgtFrame="_blank" w:history="1">
        <w:r w:rsidRPr="00ED7E61">
          <w:rPr>
            <w:rStyle w:val="normaltextrun"/>
            <w:rFonts w:asciiTheme="majorBidi" w:eastAsiaTheme="majorEastAsia" w:hAnsiTheme="majorBidi" w:cstheme="majorBidi"/>
            <w:color w:val="467886"/>
            <w:u w:val="single"/>
            <w:lang w:val="en-AU"/>
          </w:rPr>
          <w:t>https://iucnrle.org/rle-database</w:t>
        </w:r>
      </w:hyperlink>
      <w:r>
        <w:rPr>
          <w:rStyle w:val="eop"/>
          <w:rFonts w:asciiTheme="majorBidi" w:eastAsiaTheme="majorEastAsia" w:hAnsiTheme="majorBidi" w:cstheme="majorBidi"/>
          <w:color w:val="000000"/>
        </w:rPr>
        <w:t>.</w:t>
      </w:r>
    </w:p>
    <w:p w14:paraId="4C777493" w14:textId="77777777" w:rsidR="004262AE" w:rsidRDefault="00B23E1C" w:rsidP="004262AE">
      <w:pPr>
        <w:pStyle w:val="CBDNormalNumber"/>
        <w:numPr>
          <w:ilvl w:val="0"/>
          <w:numId w:val="40"/>
        </w:numPr>
        <w:rPr>
          <w:rStyle w:val="eop"/>
        </w:rPr>
      </w:pPr>
      <w:r w:rsidRPr="004262AE">
        <w:rPr>
          <w:rStyle w:val="eop"/>
        </w:rPr>
        <w:t xml:space="preserve">The Red List Index of Ecosystems can be calculated for any set of ecosystem types for which Red List of Ecosystems assessments have been undertaken. The method for calculating the </w:t>
      </w:r>
      <w:proofErr w:type="spellStart"/>
      <w:r w:rsidRPr="004262AE">
        <w:rPr>
          <w:rStyle w:val="eop"/>
        </w:rPr>
        <w:t>RLIe</w:t>
      </w:r>
      <w:proofErr w:type="spellEnd"/>
      <w:r w:rsidRPr="004262AE">
        <w:rPr>
          <w:rStyle w:val="eop"/>
        </w:rPr>
        <w:t xml:space="preserve"> was published in an open-access peer-reviewed paper (Rowland et al. 2020).</w:t>
      </w:r>
    </w:p>
    <w:p w14:paraId="20F36F90" w14:textId="787570DB" w:rsidR="00B23E1C" w:rsidRPr="004262AE" w:rsidRDefault="00B23E1C" w:rsidP="004262AE">
      <w:pPr>
        <w:pStyle w:val="CBDNormalNumber"/>
        <w:numPr>
          <w:ilvl w:val="0"/>
          <w:numId w:val="40"/>
        </w:numPr>
        <w:rPr>
          <w:rStyle w:val="normaltextrun"/>
        </w:rPr>
      </w:pPr>
      <w:r w:rsidRPr="004262AE">
        <w:rPr>
          <w:rStyle w:val="normaltextrun"/>
          <w:rFonts w:asciiTheme="majorBidi" w:eastAsiaTheme="majorEastAsia" w:hAnsiTheme="majorBidi" w:cstheme="majorBidi"/>
        </w:rPr>
        <w:t xml:space="preserve">Scripts to calculate the indicator using the program </w:t>
      </w:r>
      <w:r w:rsidRPr="004262AE">
        <w:rPr>
          <w:rStyle w:val="normaltextrun"/>
          <w:rFonts w:asciiTheme="majorBidi" w:eastAsiaTheme="majorEastAsia" w:hAnsiTheme="majorBidi" w:cstheme="majorBidi"/>
          <w:i/>
          <w:iCs/>
        </w:rPr>
        <w:t>RStudio</w:t>
      </w:r>
      <w:r w:rsidRPr="004262AE">
        <w:rPr>
          <w:rStyle w:val="normaltextrun"/>
          <w:rFonts w:asciiTheme="majorBidi" w:eastAsiaTheme="majorEastAsia" w:hAnsiTheme="majorBidi" w:cstheme="majorBidi"/>
        </w:rPr>
        <w:t xml:space="preserve"> are publicly available via the Red List of </w:t>
      </w:r>
      <w:r w:rsidRPr="00B3383B">
        <w:t>Ecosystems</w:t>
      </w:r>
      <w:r w:rsidRPr="004262AE">
        <w:rPr>
          <w:rStyle w:val="normaltextrun"/>
          <w:rFonts w:asciiTheme="majorBidi" w:eastAsiaTheme="majorEastAsia" w:hAnsiTheme="majorBidi" w:cstheme="majorBidi"/>
        </w:rPr>
        <w:t xml:space="preserve"> GitHub site (</w:t>
      </w:r>
      <w:hyperlink r:id="rId22" w:tgtFrame="_blank" w:history="1">
        <w:r w:rsidRPr="004262AE">
          <w:rPr>
            <w:rStyle w:val="normaltextrun"/>
            <w:rFonts w:asciiTheme="majorBidi" w:eastAsiaTheme="majorEastAsia" w:hAnsiTheme="majorBidi" w:cstheme="majorBidi"/>
            <w:color w:val="467886"/>
            <w:u w:val="single"/>
          </w:rPr>
          <w:t>https://github.com/red-list-ecosystem/rle_indices</w:t>
        </w:r>
      </w:hyperlink>
      <w:r w:rsidRPr="004262AE">
        <w:rPr>
          <w:rStyle w:val="normaltextrun"/>
          <w:rFonts w:asciiTheme="majorBidi" w:eastAsiaTheme="majorEastAsia" w:hAnsiTheme="majorBidi" w:cstheme="majorBidi"/>
        </w:rPr>
        <w:t xml:space="preserve">). </w:t>
      </w:r>
      <w:r w:rsidRPr="004262AE">
        <w:rPr>
          <w:rStyle w:val="normaltextrun"/>
          <w:rFonts w:asciiTheme="majorBidi" w:eastAsiaTheme="majorEastAsia" w:hAnsiTheme="majorBidi" w:cstheme="majorBidi"/>
          <w:color w:val="000000"/>
        </w:rPr>
        <w:t xml:space="preserve">The script provides the code to calculate the indicator and includes examples of the indicator outputs using sample data from the continental assessment of 136 temperate and tropical forests across 51 countries/territories in the Caribbean and Americas (Ferrer-Paris et al. 2019). The sample data are provided to demonstrate the structure of the data required to calculate the indicator. The </w:t>
      </w:r>
      <w:proofErr w:type="spellStart"/>
      <w:r w:rsidRPr="004262AE">
        <w:rPr>
          <w:rStyle w:val="normaltextrun"/>
          <w:rFonts w:asciiTheme="majorBidi" w:eastAsiaTheme="majorEastAsia" w:hAnsiTheme="majorBidi" w:cstheme="majorBidi"/>
          <w:color w:val="000000"/>
        </w:rPr>
        <w:t>RLIe</w:t>
      </w:r>
      <w:proofErr w:type="spellEnd"/>
      <w:r w:rsidRPr="004262AE">
        <w:rPr>
          <w:rStyle w:val="normaltextrun"/>
          <w:rFonts w:asciiTheme="majorBidi" w:eastAsiaTheme="majorEastAsia" w:hAnsiTheme="majorBidi" w:cstheme="majorBidi"/>
          <w:color w:val="000000"/>
        </w:rPr>
        <w:t xml:space="preserve"> can also be calculated in a spreadsheet, using the formula and weightings in 5b; a reporting template with such a calculation will be developed as part of the reporting advice.</w:t>
      </w:r>
    </w:p>
    <w:p w14:paraId="360B9AB7" w14:textId="77777777" w:rsidR="00B23E1C" w:rsidRPr="00ED7E61" w:rsidRDefault="00B23E1C" w:rsidP="00B23E1C">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5e. Data sources</w:t>
      </w:r>
    </w:p>
    <w:p w14:paraId="15EC4CA8" w14:textId="77777777" w:rsidR="004262AE" w:rsidRDefault="00B23E1C" w:rsidP="004262AE">
      <w:pPr>
        <w:pStyle w:val="CBDNormalNumber"/>
        <w:numPr>
          <w:ilvl w:val="0"/>
          <w:numId w:val="40"/>
        </w:numPr>
        <w:rPr>
          <w:rStyle w:val="eop"/>
        </w:rPr>
      </w:pPr>
      <w:r w:rsidRPr="004262AE">
        <w:rPr>
          <w:rStyle w:val="eop"/>
        </w:rPr>
        <w:t xml:space="preserve">The ideal data for reporting on headline indicator A.1 are national Red List of Ecosystems assessments, typically done by governments or in partnership with government (e.g. with partners in universities or NGOs). </w:t>
      </w:r>
      <w:proofErr w:type="gramStart"/>
      <w:r w:rsidRPr="004262AE">
        <w:rPr>
          <w:rStyle w:val="eop"/>
        </w:rPr>
        <w:t>Thus</w:t>
      </w:r>
      <w:proofErr w:type="gramEnd"/>
      <w:r w:rsidRPr="004262AE">
        <w:rPr>
          <w:rStyle w:val="eop"/>
        </w:rPr>
        <w:t xml:space="preserve"> the data should ideally come from national databases.  </w:t>
      </w:r>
    </w:p>
    <w:p w14:paraId="3589CBAF" w14:textId="77777777" w:rsidR="004262AE" w:rsidRDefault="00B23E1C" w:rsidP="004262AE">
      <w:pPr>
        <w:pStyle w:val="CBDNormalNumber"/>
        <w:numPr>
          <w:ilvl w:val="0"/>
          <w:numId w:val="40"/>
        </w:numPr>
        <w:rPr>
          <w:rStyle w:val="eop"/>
        </w:rPr>
      </w:pPr>
      <w:r w:rsidRPr="004262AE">
        <w:rPr>
          <w:rStyle w:val="normaltextrun"/>
          <w:rFonts w:asciiTheme="majorBidi" w:eastAsiaTheme="majorEastAsia" w:hAnsiTheme="majorBidi" w:cstheme="majorBidi"/>
          <w:color w:val="000000"/>
          <w:lang w:val="en-AU"/>
        </w:rPr>
        <w:t>Where national data do not exist, there are several other sources of assessment data that can be used for national reporting, including from regional and sub-national assessments. A review published in 2024 estimates that Red List of Ecosystems assessments are available for 63 countries for all terrestrial ecosystem types, 41 countries for all freshwater ecosystems (including freshwater-transitional ecosystem types such as wetlands), and 32 countries for all marine ecosystems (including marine transitional ecosystem types such as mangroves). A further 30 countries have assessments for subsets or groups of terrestrial ecosystems, for example, temperate and tropical forest ecosystem types in the Americas, while 49 have subsets of marine and marine-transitional ecosystem types, e.g. all coral reefs (Obura et al. 2021) or mangroves (Etter et al. 2020a), and 47 have subsets of freshwater ecosystems (see figure IV and Nicholson et al. 2024). </w:t>
      </w:r>
      <w:r w:rsidRPr="004262AE">
        <w:rPr>
          <w:rStyle w:val="eop"/>
          <w:rFonts w:asciiTheme="majorBidi" w:eastAsiaTheme="majorEastAsia" w:hAnsiTheme="majorBidi" w:cstheme="majorBidi"/>
          <w:color w:val="000000"/>
        </w:rPr>
        <w:t> </w:t>
      </w:r>
    </w:p>
    <w:p w14:paraId="78A36FB3" w14:textId="77777777" w:rsidR="004262AE" w:rsidRDefault="00B23E1C" w:rsidP="004262AE">
      <w:pPr>
        <w:pStyle w:val="CBDNormalNumber"/>
        <w:numPr>
          <w:ilvl w:val="0"/>
          <w:numId w:val="40"/>
        </w:numPr>
        <w:rPr>
          <w:rStyle w:val="eop"/>
        </w:rPr>
      </w:pPr>
      <w:r w:rsidRPr="004262AE">
        <w:rPr>
          <w:rStyle w:val="normaltextrun"/>
          <w:rFonts w:asciiTheme="majorBidi" w:eastAsiaTheme="majorEastAsia" w:hAnsiTheme="majorBidi" w:cstheme="majorBidi"/>
          <w:color w:val="000000"/>
          <w:lang w:val="en-AU"/>
        </w:rPr>
        <w:t xml:space="preserve">Data used </w:t>
      </w:r>
      <w:r w:rsidRPr="00B3383B">
        <w:t>from</w:t>
      </w:r>
      <w:r w:rsidRPr="004262AE">
        <w:rPr>
          <w:rStyle w:val="normaltextrun"/>
          <w:rFonts w:asciiTheme="majorBidi" w:eastAsiaTheme="majorEastAsia" w:hAnsiTheme="majorBidi" w:cstheme="majorBidi"/>
          <w:color w:val="000000"/>
          <w:lang w:val="en-AU"/>
        </w:rPr>
        <w:t xml:space="preserve"> sources other than national Red List of Ecosystems assessments will require validation to be used in national reporting, e.g. from national biodiversity experts. Guidelines and tools are being developed by IUCN, partners and the CBD in 2026 to support countries in this validation process.</w:t>
      </w:r>
      <w:r w:rsidRPr="004262AE">
        <w:rPr>
          <w:rStyle w:val="eop"/>
          <w:rFonts w:asciiTheme="majorBidi" w:eastAsiaTheme="majorEastAsia" w:hAnsiTheme="majorBidi" w:cstheme="majorBidi"/>
          <w:color w:val="000000"/>
        </w:rPr>
        <w:t> </w:t>
      </w:r>
    </w:p>
    <w:p w14:paraId="12B41C3F" w14:textId="104315AE" w:rsidR="00B23E1C" w:rsidRPr="004262AE" w:rsidRDefault="00B23E1C" w:rsidP="004262AE">
      <w:pPr>
        <w:pStyle w:val="CBDNormalNumber"/>
        <w:numPr>
          <w:ilvl w:val="0"/>
          <w:numId w:val="40"/>
        </w:numPr>
        <w:rPr>
          <w:rStyle w:val="eop"/>
        </w:rPr>
      </w:pPr>
      <w:r w:rsidRPr="004262AE">
        <w:rPr>
          <w:rStyle w:val="normaltextrun"/>
          <w:rFonts w:asciiTheme="majorBidi" w:eastAsiaTheme="majorEastAsia" w:hAnsiTheme="majorBidi" w:cstheme="majorBidi"/>
          <w:color w:val="000000"/>
          <w:lang w:val="en-AU"/>
        </w:rPr>
        <w:t xml:space="preserve">Red List of Ecosystems assessments are typically published in technical reports, and/or peer-reviewed </w:t>
      </w:r>
      <w:r w:rsidRPr="00B3383B">
        <w:t>publications</w:t>
      </w:r>
      <w:r w:rsidRPr="004262AE">
        <w:rPr>
          <w:rStyle w:val="normaltextrun"/>
          <w:rFonts w:asciiTheme="majorBidi" w:eastAsiaTheme="majorEastAsia" w:hAnsiTheme="majorBidi" w:cstheme="majorBidi"/>
          <w:color w:val="000000"/>
          <w:lang w:val="en-AU"/>
        </w:rPr>
        <w:t>. An increasing number of assessments are available in a publicly-available, centralised database of assessments, including some national assessments (e.g. Colombia – the database is available via the Red List of Ecosystems website: iucnrle.org). This database will become a key source of data at national, regional and global scales in the medium term. In the short-term, Red List of Ecosystems assessments may be accessed from relevant national agencies, NGOs, or other data holders/providers.</w:t>
      </w:r>
    </w:p>
    <w:p w14:paraId="22AC5742"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5f. Availability and release calendar</w:t>
      </w:r>
    </w:p>
    <w:p w14:paraId="5DFFFB47" w14:textId="77777777" w:rsid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To date, over 4</w:t>
      </w:r>
      <w:r>
        <w:rPr>
          <w:rStyle w:val="normaltextrun"/>
          <w:rFonts w:asciiTheme="majorBidi" w:eastAsiaTheme="majorEastAsia" w:hAnsiTheme="majorBidi" w:cstheme="majorBidi"/>
          <w:color w:val="000000"/>
          <w:lang w:val="en-AU"/>
        </w:rPr>
        <w:t>,</w:t>
      </w:r>
      <w:r w:rsidRPr="00ED7E61">
        <w:rPr>
          <w:rStyle w:val="normaltextrun"/>
          <w:rFonts w:asciiTheme="majorBidi" w:eastAsiaTheme="majorEastAsia" w:hAnsiTheme="majorBidi" w:cstheme="majorBidi"/>
          <w:color w:val="000000"/>
          <w:lang w:val="en-AU"/>
        </w:rPr>
        <w:t xml:space="preserve">000 ecosystems have been assessed using the Red List of Ecosystems framework in over 110 countries (Nicholson et al. 2024). For countries where assessments are not available, global assessments for </w:t>
      </w:r>
      <w:r>
        <w:rPr>
          <w:rStyle w:val="normaltextrun"/>
          <w:rFonts w:asciiTheme="majorBidi" w:eastAsiaTheme="majorEastAsia" w:hAnsiTheme="majorBidi" w:cstheme="majorBidi"/>
          <w:color w:val="000000"/>
          <w:lang w:val="en-AU"/>
        </w:rPr>
        <w:t>some</w:t>
      </w:r>
      <w:r w:rsidRPr="00ED7E61">
        <w:rPr>
          <w:rStyle w:val="normaltextrun"/>
          <w:rFonts w:asciiTheme="majorBidi" w:eastAsiaTheme="majorEastAsia" w:hAnsiTheme="majorBidi" w:cstheme="majorBidi"/>
          <w:color w:val="000000"/>
          <w:lang w:val="en-AU"/>
        </w:rPr>
        <w:t xml:space="preserve"> ecosystem</w:t>
      </w:r>
      <w:r>
        <w:rPr>
          <w:rStyle w:val="normaltextrun"/>
          <w:rFonts w:asciiTheme="majorBidi" w:eastAsiaTheme="majorEastAsia" w:hAnsiTheme="majorBidi" w:cstheme="majorBidi"/>
          <w:color w:val="000000"/>
          <w:lang w:val="en-AU"/>
        </w:rPr>
        <w:t xml:space="preserve"> groups</w:t>
      </w:r>
      <w:r w:rsidRPr="00ED7E61">
        <w:rPr>
          <w:rStyle w:val="normaltextrun"/>
          <w:rFonts w:asciiTheme="majorBidi" w:eastAsiaTheme="majorEastAsia" w:hAnsiTheme="majorBidi" w:cstheme="majorBidi"/>
          <w:color w:val="000000"/>
          <w:lang w:val="en-AU"/>
        </w:rPr>
        <w:t xml:space="preserve"> </w:t>
      </w:r>
      <w:r>
        <w:rPr>
          <w:rStyle w:val="normaltextrun"/>
          <w:rFonts w:asciiTheme="majorBidi" w:eastAsiaTheme="majorEastAsia" w:hAnsiTheme="majorBidi" w:cstheme="majorBidi"/>
          <w:color w:val="000000"/>
          <w:lang w:val="en-AU"/>
        </w:rPr>
        <w:t>are underway (for example coral reefs)</w:t>
      </w:r>
      <w:r w:rsidRPr="00ED7E61">
        <w:rPr>
          <w:rStyle w:val="normaltextrun"/>
          <w:rFonts w:asciiTheme="majorBidi" w:eastAsiaTheme="majorEastAsia" w:hAnsiTheme="majorBidi" w:cstheme="majorBidi"/>
          <w:color w:val="000000"/>
          <w:lang w:val="en-AU"/>
        </w:rPr>
        <w:t>. Some countries have already undertaken repeat assessments (e.g. South Africa, Norway, and Finland) providing time-series. At a national level, the release will vary by country. </w:t>
      </w:r>
      <w:r w:rsidRPr="004262AE">
        <w:rPr>
          <w:rStyle w:val="normaltextrun"/>
          <w:rFonts w:asciiTheme="majorBidi" w:eastAsiaTheme="majorEastAsia" w:hAnsiTheme="majorBidi" w:cstheme="majorBidi"/>
          <w:color w:val="000000"/>
          <w:lang w:val="en-AU"/>
        </w:rPr>
        <w:t> </w:t>
      </w:r>
    </w:p>
    <w:p w14:paraId="2E255CD6" w14:textId="0EDD61DC" w:rsidR="00B23E1C" w:rsidRPr="004262AE" w:rsidRDefault="00B23E1C" w:rsidP="004262AE">
      <w:pPr>
        <w:pStyle w:val="CBDNormalNumber"/>
        <w:numPr>
          <w:ilvl w:val="0"/>
          <w:numId w:val="40"/>
        </w:numPr>
        <w:rPr>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lastRenderedPageBreak/>
        <w:t xml:space="preserve">The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can already be calculated for all countries that have completed Red List of Ecosystems assessments </w:t>
      </w:r>
      <w:r w:rsidRPr="00B3383B">
        <w:t>and</w:t>
      </w:r>
      <w:r w:rsidRPr="004262AE">
        <w:rPr>
          <w:rStyle w:val="normaltextrun"/>
          <w:rFonts w:asciiTheme="majorBidi" w:eastAsiaTheme="majorEastAsia" w:hAnsiTheme="majorBidi" w:cstheme="majorBidi"/>
          <w:color w:val="000000"/>
          <w:lang w:val="en-AU"/>
        </w:rPr>
        <w:t xml:space="preserve"> a time-series for those countries with repeat assessments. Countries can use available code </w:t>
      </w:r>
      <w:r w:rsidRPr="004262AE">
        <w:rPr>
          <w:rFonts w:asciiTheme="majorBidi" w:eastAsiaTheme="majorEastAsia" w:hAnsiTheme="majorBidi" w:cstheme="majorBidi"/>
          <w:color w:val="000000"/>
          <w:lang w:val="en-CA"/>
        </w:rPr>
        <w:t xml:space="preserve">(Rowland et al. 2020), the Red List of Ecosystems inventory held by IUCN (which has national index values estimated for validation, </w:t>
      </w:r>
      <w:hyperlink r:id="rId23" w:history="1">
        <w:r w:rsidRPr="004262AE">
          <w:rPr>
            <w:rStyle w:val="Hyperlink"/>
            <w:rFonts w:asciiTheme="majorBidi" w:eastAsiaTheme="majorEastAsia" w:hAnsiTheme="majorBidi" w:cstheme="majorBidi"/>
            <w:lang w:val="en-CA"/>
          </w:rPr>
          <w:t>https://iucn.org/red-list-ecosystems-inventory</w:t>
        </w:r>
      </w:hyperlink>
      <w:proofErr w:type="gramStart"/>
      <w:r w:rsidRPr="004262AE">
        <w:rPr>
          <w:rFonts w:asciiTheme="majorBidi" w:eastAsiaTheme="majorEastAsia" w:hAnsiTheme="majorBidi" w:cstheme="majorBidi"/>
          <w:color w:val="000000"/>
          <w:lang w:val="en-CA"/>
        </w:rPr>
        <w:t xml:space="preserve">),  </w:t>
      </w:r>
      <w:r w:rsidRPr="004262AE">
        <w:rPr>
          <w:rStyle w:val="normaltextrun"/>
          <w:rFonts w:asciiTheme="majorBidi" w:eastAsiaTheme="majorEastAsia" w:hAnsiTheme="majorBidi" w:cstheme="majorBidi"/>
          <w:color w:val="000000"/>
          <w:lang w:val="en-AU"/>
        </w:rPr>
        <w:t>or</w:t>
      </w:r>
      <w:proofErr w:type="gramEnd"/>
      <w:r w:rsidRPr="004262AE">
        <w:rPr>
          <w:rStyle w:val="normaltextrun"/>
          <w:rFonts w:asciiTheme="majorBidi" w:eastAsiaTheme="majorEastAsia" w:hAnsiTheme="majorBidi" w:cstheme="majorBidi"/>
          <w:color w:val="000000"/>
          <w:lang w:val="en-AU"/>
        </w:rPr>
        <w:t xml:space="preserve"> seek assistance to calculate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values from their National Red List of Ecosystems assessments. </w:t>
      </w:r>
      <w:r w:rsidRPr="004262AE">
        <w:rPr>
          <w:rStyle w:val="eop"/>
          <w:rFonts w:asciiTheme="majorBidi" w:eastAsiaTheme="majorEastAsia" w:hAnsiTheme="majorBidi" w:cstheme="majorBidi"/>
          <w:color w:val="000000"/>
        </w:rPr>
        <w:t> </w:t>
      </w:r>
    </w:p>
    <w:p w14:paraId="6A674812"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5g. Time series</w:t>
      </w:r>
    </w:p>
    <w:p w14:paraId="1744BB93"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 xml:space="preserve">The Red List of Ecosystems uses data on ecosystem trends to assess risk of collapse (Criteria A, C and D), and is </w:t>
      </w:r>
      <w:r w:rsidRPr="004262AE">
        <w:rPr>
          <w:rStyle w:val="normaltextrun"/>
          <w:rFonts w:asciiTheme="majorBidi" w:eastAsiaTheme="majorEastAsia" w:hAnsiTheme="majorBidi" w:cstheme="majorBidi"/>
          <w:color w:val="000000"/>
          <w:lang w:val="en-AU"/>
        </w:rPr>
        <w:t>therefore</w:t>
      </w:r>
      <w:r w:rsidRPr="00ED7E61">
        <w:rPr>
          <w:rStyle w:val="normaltextrun"/>
          <w:rFonts w:asciiTheme="majorBidi" w:eastAsiaTheme="majorEastAsia" w:hAnsiTheme="majorBidi" w:cstheme="majorBidi"/>
          <w:color w:val="000000"/>
          <w:lang w:val="en-AU"/>
        </w:rPr>
        <w:t xml:space="preserve"> inherently trend-based, even when presented as a snapshot or single time point (e.g. in </w:t>
      </w:r>
      <w:r>
        <w:rPr>
          <w:rStyle w:val="normaltextrun"/>
          <w:rFonts w:asciiTheme="majorBidi" w:eastAsiaTheme="majorEastAsia" w:hAnsiTheme="majorBidi" w:cstheme="majorBidi"/>
          <w:color w:val="000000"/>
          <w:lang w:val="en-AU"/>
        </w:rPr>
        <w:t>f</w:t>
      </w:r>
      <w:r w:rsidRPr="00ED7E61">
        <w:rPr>
          <w:rStyle w:val="normaltextrun"/>
          <w:rFonts w:asciiTheme="majorBidi" w:eastAsiaTheme="majorEastAsia" w:hAnsiTheme="majorBidi" w:cstheme="majorBidi"/>
          <w:color w:val="000000"/>
          <w:lang w:val="en-AU"/>
        </w:rPr>
        <w:t xml:space="preserve">igure </w:t>
      </w:r>
      <w:r>
        <w:rPr>
          <w:rStyle w:val="normaltextrun"/>
          <w:rFonts w:asciiTheme="majorBidi" w:eastAsiaTheme="majorEastAsia" w:hAnsiTheme="majorBidi" w:cstheme="majorBidi"/>
          <w:color w:val="000000"/>
          <w:lang w:val="en-AU"/>
        </w:rPr>
        <w:t>I</w:t>
      </w:r>
      <w:r w:rsidRPr="00ED7E61">
        <w:rPr>
          <w:rStyle w:val="normaltextrun"/>
          <w:rFonts w:asciiTheme="majorBidi" w:eastAsiaTheme="majorEastAsia" w:hAnsiTheme="majorBidi" w:cstheme="majorBidi"/>
          <w:color w:val="000000"/>
          <w:lang w:val="en-AU"/>
        </w:rPr>
        <w:t>). Subject to national validation, up to 90 countries could submit national reports, based on regional and national assessments. As noted, some countries have already undertaken repeat assessments (e.g. South Africa, Norway, and Finland) providing time-series of change in risk. The IUCN has committed to support the ongoing development and application of the Red List of Ecosystems, with a goal of assessing key ecosystem groups globally in 2026-2027.</w:t>
      </w:r>
      <w:r w:rsidRPr="004262AE">
        <w:rPr>
          <w:rStyle w:val="normaltextrun"/>
          <w:rFonts w:asciiTheme="majorBidi" w:eastAsiaTheme="majorEastAsia" w:hAnsiTheme="majorBidi" w:cstheme="majorBidi"/>
          <w:color w:val="000000"/>
          <w:lang w:val="en-AU"/>
        </w:rPr>
        <w:t> </w:t>
      </w:r>
    </w:p>
    <w:p w14:paraId="42DCB27F"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5h. Data providers</w:t>
      </w:r>
    </w:p>
    <w:p w14:paraId="51AC75BE" w14:textId="77777777" w:rsid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 xml:space="preserve">The preferred primary source will be national Red List of Ecosystems assessments (see section 5e), typically undertaken by government environmental agencies, often in partnership with universities, NGOs and </w:t>
      </w:r>
      <w:r w:rsidRPr="004262AE">
        <w:rPr>
          <w:rStyle w:val="normaltextrun"/>
          <w:rFonts w:asciiTheme="majorBidi" w:eastAsiaTheme="majorEastAsia" w:hAnsiTheme="majorBidi" w:cstheme="majorBidi"/>
          <w:color w:val="000000"/>
          <w:lang w:val="en-AU"/>
        </w:rPr>
        <w:t>other</w:t>
      </w:r>
      <w:r w:rsidRPr="00ED7E61">
        <w:rPr>
          <w:rStyle w:val="normaltextrun"/>
          <w:rFonts w:asciiTheme="majorBidi" w:eastAsiaTheme="majorEastAsia" w:hAnsiTheme="majorBidi" w:cstheme="majorBidi"/>
          <w:color w:val="000000"/>
          <w:lang w:val="en-AU"/>
        </w:rPr>
        <w:t xml:space="preserve"> partners. These assessments will typically be available via government databases and/or reports, and/or in the scientific literature. They may also be available in the Red List of Ecosystems Database. </w:t>
      </w:r>
      <w:r w:rsidRPr="004262AE">
        <w:rPr>
          <w:rStyle w:val="normaltextrun"/>
          <w:rFonts w:asciiTheme="majorBidi" w:eastAsiaTheme="majorEastAsia" w:hAnsiTheme="majorBidi" w:cstheme="majorBidi"/>
          <w:color w:val="000000"/>
          <w:lang w:val="en-AU"/>
        </w:rPr>
        <w:t> </w:t>
      </w:r>
    </w:p>
    <w:p w14:paraId="6C019CF5" w14:textId="2CD06481"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 xml:space="preserve">Where </w:t>
      </w:r>
      <w:r w:rsidRPr="00B3383B">
        <w:t>national</w:t>
      </w:r>
      <w:r w:rsidRPr="004262AE">
        <w:rPr>
          <w:rStyle w:val="normaltextrun"/>
          <w:rFonts w:asciiTheme="majorBidi" w:eastAsiaTheme="majorEastAsia" w:hAnsiTheme="majorBidi" w:cstheme="majorBidi"/>
          <w:color w:val="000000"/>
          <w:lang w:val="en-AU"/>
        </w:rPr>
        <w:t xml:space="preserve"> assessments are not available, data can come from sub-national, regional or global assessments, as outlined in section 5e, subject to national validation. Some of these are available in the Red List of Ecosystems database (</w:t>
      </w:r>
      <w:hyperlink r:id="rId24" w:history="1">
        <w:r w:rsidRPr="004262AE">
          <w:rPr>
            <w:rStyle w:val="Hyperlink"/>
            <w:rFonts w:asciiTheme="majorBidi" w:eastAsiaTheme="majorEastAsia" w:hAnsiTheme="majorBidi" w:cstheme="majorBidi"/>
            <w:lang w:val="en-AU"/>
          </w:rPr>
          <w:t>https://assessments.iucnrle.org</w:t>
        </w:r>
      </w:hyperlink>
      <w:r w:rsidRPr="004262AE">
        <w:rPr>
          <w:rStyle w:val="normaltextrun"/>
          <w:rFonts w:asciiTheme="majorBidi" w:eastAsiaTheme="majorEastAsia" w:hAnsiTheme="majorBidi" w:cstheme="majorBidi"/>
          <w:color w:val="000000"/>
          <w:lang w:val="en-AU"/>
        </w:rPr>
        <w:t>), or may be available via reports, scientific publications or partner organisations (e.g. NGOs). See section 5e.</w:t>
      </w:r>
      <w:r w:rsidRPr="004262AE">
        <w:rPr>
          <w:rStyle w:val="normaltextrun"/>
          <w:lang w:val="en-AU"/>
        </w:rPr>
        <w:t> </w:t>
      </w:r>
    </w:p>
    <w:p w14:paraId="14EF5C51"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5i. Data compilers</w:t>
      </w:r>
    </w:p>
    <w:p w14:paraId="3DB545E6"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Data to calculate the indicator are currently compiled independently by the assessment teams for available national or global assessments. It is anticipated that in the medium term, tools hosted by IUCN and the IUCN Commission on Ecosystem Management, including the Red List of Ecosystems database, may provide national and global-level indicators, but these are not yet available.</w:t>
      </w:r>
    </w:p>
    <w:p w14:paraId="6E47646A"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5j. Gaps in data coverage</w:t>
      </w:r>
    </w:p>
    <w:p w14:paraId="3AE2BB61" w14:textId="77777777" w:rsid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To date, over 4</w:t>
      </w:r>
      <w:r>
        <w:rPr>
          <w:rStyle w:val="normaltextrun"/>
          <w:rFonts w:asciiTheme="majorBidi" w:eastAsiaTheme="majorEastAsia" w:hAnsiTheme="majorBidi" w:cstheme="majorBidi"/>
          <w:color w:val="000000"/>
          <w:lang w:val="en-AU"/>
        </w:rPr>
        <w:t>,</w:t>
      </w:r>
      <w:r w:rsidRPr="00ED7E61">
        <w:rPr>
          <w:rStyle w:val="normaltextrun"/>
          <w:rFonts w:asciiTheme="majorBidi" w:eastAsiaTheme="majorEastAsia" w:hAnsiTheme="majorBidi" w:cstheme="majorBidi"/>
          <w:color w:val="000000"/>
          <w:lang w:val="en-AU"/>
        </w:rPr>
        <w:t xml:space="preserve">000 </w:t>
      </w:r>
      <w:r w:rsidRPr="004262AE">
        <w:rPr>
          <w:rStyle w:val="normaltextrun"/>
          <w:rFonts w:asciiTheme="majorBidi" w:eastAsiaTheme="majorEastAsia" w:hAnsiTheme="majorBidi" w:cstheme="majorBidi"/>
          <w:color w:val="000000"/>
          <w:lang w:val="en-AU"/>
        </w:rPr>
        <w:t>ecosystems</w:t>
      </w:r>
      <w:r w:rsidRPr="00ED7E61">
        <w:rPr>
          <w:rStyle w:val="normaltextrun"/>
          <w:rFonts w:asciiTheme="majorBidi" w:eastAsiaTheme="majorEastAsia" w:hAnsiTheme="majorBidi" w:cstheme="majorBidi"/>
          <w:color w:val="000000"/>
          <w:lang w:val="en-AU"/>
        </w:rPr>
        <w:t xml:space="preserve"> have been assessed in over 100 countries (Nicholson et al. 2024; iucnrle.org/</w:t>
      </w:r>
      <w:proofErr w:type="spellStart"/>
      <w:r w:rsidRPr="00ED7E61">
        <w:rPr>
          <w:rStyle w:val="normaltextrun"/>
          <w:rFonts w:asciiTheme="majorBidi" w:eastAsiaTheme="majorEastAsia" w:hAnsiTheme="majorBidi" w:cstheme="majorBidi"/>
          <w:color w:val="000000"/>
          <w:lang w:val="en-AU"/>
        </w:rPr>
        <w:t>rle</w:t>
      </w:r>
      <w:proofErr w:type="spellEnd"/>
      <w:r w:rsidRPr="00ED7E61">
        <w:rPr>
          <w:rStyle w:val="normaltextrun"/>
          <w:rFonts w:asciiTheme="majorBidi" w:eastAsiaTheme="majorEastAsia" w:hAnsiTheme="majorBidi" w:cstheme="majorBidi"/>
          <w:color w:val="000000"/>
          <w:lang w:val="en-AU"/>
        </w:rPr>
        <w:t>-in-progress)</w:t>
      </w:r>
      <w:proofErr w:type="gramStart"/>
      <w:r w:rsidRPr="00ED7E61">
        <w:rPr>
          <w:rStyle w:val="normaltextrun"/>
          <w:rFonts w:asciiTheme="majorBidi" w:eastAsiaTheme="majorEastAsia" w:hAnsiTheme="majorBidi" w:cstheme="majorBidi"/>
          <w:color w:val="000000"/>
          <w:lang w:val="en-AU"/>
        </w:rPr>
        <w:t>. .</w:t>
      </w:r>
      <w:proofErr w:type="gramEnd"/>
      <w:r w:rsidRPr="00ED7E61">
        <w:rPr>
          <w:rStyle w:val="normaltextrun"/>
          <w:rFonts w:asciiTheme="majorBidi" w:eastAsiaTheme="majorEastAsia" w:hAnsiTheme="majorBidi" w:cstheme="majorBidi"/>
          <w:color w:val="000000"/>
          <w:lang w:val="en-AU"/>
        </w:rPr>
        <w:t xml:space="preserve"> Subject to national validation, up to 90 countries may be able to report based on these data. </w:t>
      </w:r>
      <w:r w:rsidRPr="004262AE">
        <w:rPr>
          <w:rStyle w:val="normaltextrun"/>
          <w:rFonts w:asciiTheme="majorBidi" w:eastAsiaTheme="majorEastAsia" w:hAnsiTheme="majorBidi" w:cstheme="majorBidi"/>
          <w:color w:val="000000"/>
          <w:lang w:val="en-AU"/>
        </w:rPr>
        <w:t> </w:t>
      </w:r>
    </w:p>
    <w:p w14:paraId="234D8A4D" w14:textId="4BBA0871"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 xml:space="preserve">Assessment </w:t>
      </w:r>
      <w:proofErr w:type="gramStart"/>
      <w:r w:rsidRPr="004262AE">
        <w:rPr>
          <w:rStyle w:val="normaltextrun"/>
          <w:rFonts w:asciiTheme="majorBidi" w:eastAsiaTheme="majorEastAsia" w:hAnsiTheme="majorBidi" w:cstheme="majorBidi"/>
          <w:color w:val="000000"/>
          <w:lang w:val="en-AU"/>
        </w:rPr>
        <w:t>effort</w:t>
      </w:r>
      <w:proofErr w:type="gramEnd"/>
      <w:r w:rsidRPr="004262AE">
        <w:rPr>
          <w:rStyle w:val="normaltextrun"/>
          <w:rFonts w:asciiTheme="majorBidi" w:eastAsiaTheme="majorEastAsia" w:hAnsiTheme="majorBidi" w:cstheme="majorBidi"/>
          <w:color w:val="000000"/>
          <w:lang w:val="en-AU"/>
        </w:rPr>
        <w:t xml:space="preserve"> are biased towards terrestrial ecosystem types, with more countries having assessments of all terrestrial ecosystems than freshwater or marine, while South America has much greater spatial coverage than Northern Africa, South Asia or Eastern Europe. Spatial gaps will be closed </w:t>
      </w:r>
      <w:r w:rsidRPr="00B3383B">
        <w:t>through</w:t>
      </w:r>
      <w:r w:rsidRPr="004262AE">
        <w:rPr>
          <w:rStyle w:val="normaltextrun"/>
          <w:rFonts w:asciiTheme="majorBidi" w:eastAsiaTheme="majorEastAsia" w:hAnsiTheme="majorBidi" w:cstheme="majorBidi"/>
          <w:color w:val="000000"/>
          <w:lang w:val="en-AU"/>
        </w:rPr>
        <w:t xml:space="preserve"> a combination of targeted global-level projects across broad thematic ecosystem groups (e.g. forests, mangroves, coral reefs), and national assessments. National reporting of Not Evaluated and Data Deficient categories could provide further evidence on existing data gaps and help guide future efforts.</w:t>
      </w:r>
      <w:r w:rsidRPr="004262AE">
        <w:rPr>
          <w:rStyle w:val="normaltextrun"/>
          <w:lang w:val="en-AU"/>
        </w:rPr>
        <w:t> </w:t>
      </w:r>
    </w:p>
    <w:p w14:paraId="70BF64EA"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5k. Treatment of missing values</w:t>
      </w:r>
      <w:r w:rsidRPr="00ED7E61">
        <w:rPr>
          <w:rStyle w:val="eop"/>
          <w:rFonts w:asciiTheme="majorBidi" w:eastAsiaTheme="majorEastAsia" w:hAnsiTheme="majorBidi" w:cstheme="majorBidi"/>
          <w:b/>
          <w:bCs/>
          <w:sz w:val="22"/>
          <w:szCs w:val="22"/>
        </w:rPr>
        <w:t> </w:t>
      </w:r>
    </w:p>
    <w:p w14:paraId="34000BC0" w14:textId="77777777" w:rsid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 xml:space="preserve">There are multiple forms of missing data that need to be addressed for headline indicator A.1, including lack of assessments, and uncertain assessments. Explicitly reporting on ecosystems that are Not </w:t>
      </w:r>
      <w:r w:rsidRPr="004262AE">
        <w:rPr>
          <w:rStyle w:val="normaltextrun"/>
          <w:rFonts w:asciiTheme="majorBidi" w:eastAsiaTheme="majorEastAsia" w:hAnsiTheme="majorBidi" w:cstheme="majorBidi"/>
          <w:color w:val="000000"/>
          <w:lang w:val="en-AU"/>
        </w:rPr>
        <w:t>Evaluated</w:t>
      </w:r>
      <w:r w:rsidRPr="00ED7E61">
        <w:rPr>
          <w:rStyle w:val="normaltextrun"/>
          <w:rFonts w:asciiTheme="majorBidi" w:eastAsiaTheme="majorEastAsia" w:hAnsiTheme="majorBidi" w:cstheme="majorBidi"/>
          <w:color w:val="000000"/>
          <w:lang w:val="en-AU"/>
        </w:rPr>
        <w:t xml:space="preserve">, Data Deficient or Not Applicable (i.e. marine ecosystems in a landlocked country, or polar ecosystem functional groups in a tropical country), at ecosystem type, ecosystem functional group or biome level, will help identify data and knowledge gaps for targeted work. In some cases, </w:t>
      </w:r>
      <w:r w:rsidRPr="00ED7E61">
        <w:rPr>
          <w:rStyle w:val="normaltextrun"/>
          <w:rFonts w:asciiTheme="majorBidi" w:eastAsiaTheme="majorEastAsia" w:hAnsiTheme="majorBidi" w:cstheme="majorBidi"/>
          <w:color w:val="000000"/>
          <w:lang w:val="en-AU"/>
        </w:rPr>
        <w:lastRenderedPageBreak/>
        <w:t xml:space="preserve">it will be appropriate to report these in the national reporting tables (see Table </w:t>
      </w:r>
      <w:r>
        <w:rPr>
          <w:rStyle w:val="normaltextrun"/>
          <w:rFonts w:asciiTheme="majorBidi" w:eastAsiaTheme="majorEastAsia" w:hAnsiTheme="majorBidi" w:cstheme="majorBidi"/>
          <w:color w:val="000000"/>
          <w:lang w:val="en-AU"/>
        </w:rPr>
        <w:t>1)</w:t>
      </w:r>
      <w:r w:rsidRPr="00ED7E61">
        <w:rPr>
          <w:rStyle w:val="normaltextrun"/>
          <w:rFonts w:asciiTheme="majorBidi" w:eastAsiaTheme="majorEastAsia" w:hAnsiTheme="majorBidi" w:cstheme="majorBidi"/>
          <w:color w:val="000000"/>
          <w:lang w:val="en-AU"/>
        </w:rPr>
        <w:t xml:space="preserve"> </w:t>
      </w:r>
      <w:r>
        <w:rPr>
          <w:rStyle w:val="normaltextrun"/>
          <w:rFonts w:asciiTheme="majorBidi" w:eastAsiaTheme="majorEastAsia" w:hAnsiTheme="majorBidi" w:cstheme="majorBidi"/>
          <w:color w:val="000000"/>
          <w:lang w:val="en-AU"/>
        </w:rPr>
        <w:t>further</w:t>
      </w:r>
      <w:r w:rsidRPr="00ED7E61">
        <w:rPr>
          <w:rStyle w:val="normaltextrun"/>
          <w:rFonts w:asciiTheme="majorBidi" w:eastAsiaTheme="majorEastAsia" w:hAnsiTheme="majorBidi" w:cstheme="majorBidi"/>
          <w:color w:val="000000"/>
          <w:lang w:val="en-AU"/>
        </w:rPr>
        <w:t xml:space="preserve"> reporting guidance will be developed in </w:t>
      </w:r>
      <w:r>
        <w:rPr>
          <w:rStyle w:val="normaltextrun"/>
          <w:rFonts w:asciiTheme="majorBidi" w:eastAsiaTheme="majorEastAsia" w:hAnsiTheme="majorBidi" w:cstheme="majorBidi"/>
          <w:color w:val="000000"/>
          <w:lang w:val="en-AU"/>
        </w:rPr>
        <w:t>2026</w:t>
      </w:r>
      <w:r w:rsidRPr="00ED7E61">
        <w:rPr>
          <w:rStyle w:val="normaltextrun"/>
          <w:rFonts w:asciiTheme="majorBidi" w:eastAsiaTheme="majorEastAsia" w:hAnsiTheme="majorBidi" w:cstheme="majorBidi"/>
          <w:color w:val="000000"/>
          <w:lang w:val="en-AU"/>
        </w:rPr>
        <w:t>.</w:t>
      </w:r>
      <w:r w:rsidRPr="004262AE">
        <w:rPr>
          <w:rStyle w:val="normaltextrun"/>
          <w:rFonts w:asciiTheme="majorBidi" w:eastAsiaTheme="majorEastAsia" w:hAnsiTheme="majorBidi" w:cstheme="majorBidi"/>
          <w:color w:val="000000"/>
          <w:lang w:val="en-AU"/>
        </w:rPr>
        <w:t> </w:t>
      </w:r>
    </w:p>
    <w:p w14:paraId="5DD2530D" w14:textId="77777777" w:rsidR="004262AE" w:rsidRDefault="00B23E1C" w:rsidP="004262AE">
      <w:pPr>
        <w:pStyle w:val="CBDNormalNumber"/>
        <w:numPr>
          <w:ilvl w:val="0"/>
          <w:numId w:val="40"/>
        </w:numPr>
        <w:rPr>
          <w:rFonts w:asciiTheme="majorBidi" w:eastAsiaTheme="majorEastAsia" w:hAnsiTheme="majorBidi" w:cstheme="majorBidi"/>
          <w:color w:val="000000"/>
          <w:lang w:val="en-AU"/>
        </w:rPr>
      </w:pPr>
      <w:r w:rsidRPr="00B3383B">
        <w:t>Guidelines</w:t>
      </w:r>
      <w:r w:rsidRPr="004262AE">
        <w:rPr>
          <w:rStyle w:val="normaltextrun"/>
          <w:rFonts w:asciiTheme="majorBidi" w:eastAsiaTheme="majorEastAsia" w:hAnsiTheme="majorBidi" w:cstheme="majorBidi"/>
          <w:color w:val="000000"/>
          <w:lang w:val="en-AU"/>
        </w:rPr>
        <w:t xml:space="preserve"> will be developed to support countries in reporting in the face of missing data on Red List status of their ecosystems. These will range from countries with near-complete national assessments (e.g. most ecosystem functional groups are comprehensively assessed, i.e. all ecosystem types assessed), to those with comprehensive assessments for only some ecosystem functional groups, to those with no or very little data. </w:t>
      </w:r>
      <w:r w:rsidRPr="004262AE">
        <w:rPr>
          <w:rStyle w:val="eop"/>
          <w:rFonts w:asciiTheme="majorBidi" w:eastAsiaTheme="majorEastAsia" w:hAnsiTheme="majorBidi" w:cstheme="majorBidi"/>
          <w:color w:val="000000"/>
        </w:rPr>
        <w:t> </w:t>
      </w:r>
    </w:p>
    <w:p w14:paraId="74D1A961" w14:textId="77777777" w:rsidR="004262AE" w:rsidRPr="004262AE" w:rsidRDefault="00B23E1C" w:rsidP="004262AE">
      <w:pPr>
        <w:pStyle w:val="CBDNormalNumber"/>
        <w:numPr>
          <w:ilvl w:val="0"/>
          <w:numId w:val="40"/>
        </w:numPr>
        <w:rPr>
          <w:rStyle w:val="eop"/>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Countries may also have available Red List of Ecosystems assessments (e.g. regional assessments), that require validation for use in national reporting. Guidelines for validation and data-quality assessment will also be developed, with the aim of developing consistent validation protocols for headline indicators A.2 Extent of natural ecosystems and B1 Services provided by ecosystems, which may also rely on non-government data sources.</w:t>
      </w:r>
      <w:r w:rsidRPr="004262AE">
        <w:rPr>
          <w:rStyle w:val="eop"/>
          <w:rFonts w:asciiTheme="majorBidi" w:eastAsiaTheme="majorEastAsia" w:hAnsiTheme="majorBidi" w:cstheme="majorBidi"/>
          <w:color w:val="000000"/>
        </w:rPr>
        <w:t> </w:t>
      </w:r>
    </w:p>
    <w:p w14:paraId="3F68BB00" w14:textId="77777777" w:rsid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 xml:space="preserve">National Red List of Ecosystem assessments can also be incomplete where there are insufficient resources to evaluate all criteria or ecosystem types – such ecosystems are reported as Not Evaluated. Category Not Evaluated is always excluded from calculation of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Missing data may stem from incomplete assessments, or coarse scale assessments that exclude finer scale variation in ecosystems.  </w:t>
      </w:r>
      <w:r w:rsidRPr="004262AE">
        <w:rPr>
          <w:rStyle w:val="normaltextrun"/>
          <w:lang w:val="en-AU"/>
        </w:rPr>
        <w:t> </w:t>
      </w:r>
    </w:p>
    <w:p w14:paraId="5458D7D2" w14:textId="77777777" w:rsidR="004262AE" w:rsidRDefault="00B23E1C" w:rsidP="004262AE">
      <w:pPr>
        <w:pStyle w:val="CBDNormalNumber"/>
        <w:numPr>
          <w:ilvl w:val="0"/>
          <w:numId w:val="40"/>
        </w:numPr>
        <w:rPr>
          <w:rStyle w:val="eop"/>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The results of Red List of Ecosystem assessments can also be uncertain, where insufficient data exist to assign an ecosystem type to a risk category. This can result in some poorly known ecosystem types being listed Data Deficient. Uncertainty in Red List of Ecosystems assessment can be dealt with through a range of methods, including bounds in estimates of risk category – please see the Red List of Ecosystems Guidelines for more information (IUCN, 2024). </w:t>
      </w:r>
      <w:r w:rsidRPr="004262AE">
        <w:rPr>
          <w:rStyle w:val="eop"/>
          <w:rFonts w:asciiTheme="majorBidi" w:eastAsiaTheme="majorEastAsia" w:hAnsiTheme="majorBidi" w:cstheme="majorBidi"/>
          <w:color w:val="000000"/>
        </w:rPr>
        <w:t> </w:t>
      </w:r>
    </w:p>
    <w:p w14:paraId="4F21863D" w14:textId="508D35E1" w:rsidR="00B23E1C" w:rsidRPr="004262AE" w:rsidRDefault="00B23E1C" w:rsidP="004262AE">
      <w:pPr>
        <w:pStyle w:val="CBDNormalNumber"/>
        <w:numPr>
          <w:ilvl w:val="0"/>
          <w:numId w:val="40"/>
        </w:numPr>
        <w:rPr>
          <w:rStyle w:val="eop"/>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Data deficient ecosystem types can be included in the Red List Index of ecosystem (</w:t>
      </w:r>
      <w:proofErr w:type="spellStart"/>
      <w:r w:rsidRPr="004262AE">
        <w:rPr>
          <w:rStyle w:val="normaltextrun"/>
          <w:rFonts w:asciiTheme="majorBidi" w:eastAsiaTheme="majorEastAsia" w:hAnsiTheme="majorBidi" w:cstheme="majorBidi"/>
          <w:color w:val="000000"/>
          <w:lang w:val="en-AU"/>
        </w:rPr>
        <w:t>RLIe</w:t>
      </w:r>
      <w:proofErr w:type="spellEnd"/>
      <w:r w:rsidRPr="004262AE">
        <w:rPr>
          <w:rStyle w:val="normaltextrun"/>
          <w:rFonts w:asciiTheme="majorBidi" w:eastAsiaTheme="majorEastAsia" w:hAnsiTheme="majorBidi" w:cstheme="majorBidi"/>
          <w:color w:val="000000"/>
          <w:lang w:val="en-AU"/>
        </w:rPr>
        <w:t xml:space="preserve">) through similar </w:t>
      </w:r>
      <w:r w:rsidRPr="00B3383B">
        <w:t>means</w:t>
      </w:r>
      <w:r w:rsidRPr="004262AE">
        <w:rPr>
          <w:rStyle w:val="normaltextrun"/>
          <w:rFonts w:asciiTheme="majorBidi" w:eastAsiaTheme="majorEastAsia" w:hAnsiTheme="majorBidi" w:cstheme="majorBidi"/>
          <w:color w:val="000000"/>
          <w:lang w:val="en-AU"/>
        </w:rPr>
        <w:t xml:space="preserve"> to headline indicator A.3 Red List Index for species, (i.e. by randomly allocating Data Deficient (DD) ecosystem types to risk categories with a probability proportional to the number of non-DD ecosystem types in each risk category, repeating this 1,000 times through a bootstrapping procedure, and reporting the mean).</w:t>
      </w:r>
      <w:r w:rsidRPr="004262AE">
        <w:rPr>
          <w:rStyle w:val="eop"/>
          <w:rFonts w:asciiTheme="majorBidi" w:eastAsiaTheme="majorEastAsia" w:hAnsiTheme="majorBidi" w:cstheme="majorBidi"/>
          <w:color w:val="000000"/>
        </w:rPr>
        <w:t> </w:t>
      </w:r>
    </w:p>
    <w:p w14:paraId="5427A5B4" w14:textId="77777777" w:rsidR="00B23E1C" w:rsidRPr="00ED7E61" w:rsidRDefault="00B23E1C" w:rsidP="00B23E1C">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 Scale </w:t>
      </w:r>
      <w:r w:rsidRPr="00ED7E61">
        <w:rPr>
          <w:rStyle w:val="eop"/>
          <w:rFonts w:asciiTheme="majorBidi" w:eastAsiaTheme="majorEastAsia" w:hAnsiTheme="majorBidi" w:cstheme="majorBidi"/>
          <w:b/>
          <w:bCs/>
          <w:sz w:val="22"/>
          <w:szCs w:val="22"/>
        </w:rPr>
        <w:t> </w:t>
      </w:r>
    </w:p>
    <w:p w14:paraId="100CD88A"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b/>
          <w:bCs/>
          <w:sz w:val="22"/>
          <w:szCs w:val="22"/>
        </w:rPr>
        <w:t> </w:t>
      </w:r>
    </w:p>
    <w:p w14:paraId="57DBDA0F" w14:textId="77777777" w:rsidR="00B23E1C" w:rsidRPr="00ED7E61" w:rsidRDefault="00B23E1C" w:rsidP="00B23E1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28494692" w14:textId="77777777" w:rsidR="00B23E1C" w:rsidRPr="00ED7E61" w:rsidRDefault="00B23E1C" w:rsidP="00B23E1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National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1E250FB4" w14:textId="77777777" w:rsidR="00B23E1C" w:rsidRPr="00ED7E61" w:rsidRDefault="00B23E1C" w:rsidP="004262AE">
      <w:pPr>
        <w:pStyle w:val="CBDNormalNumber"/>
        <w:numPr>
          <w:ilvl w:val="0"/>
          <w:numId w:val="40"/>
        </w:numPr>
        <w:rPr>
          <w:rFonts w:asciiTheme="majorBidi" w:hAnsiTheme="majorBidi" w:cstheme="majorBidi"/>
        </w:rPr>
      </w:pPr>
      <w:r w:rsidRPr="004262AE">
        <w:rPr>
          <w:rStyle w:val="normaltextrun"/>
          <w:rFonts w:asciiTheme="majorBidi" w:eastAsiaTheme="majorEastAsia" w:hAnsiTheme="majorBidi" w:cstheme="majorBidi"/>
          <w:color w:val="000000"/>
          <w:lang w:val="en-AU"/>
        </w:rPr>
        <w:t>Scale</w:t>
      </w:r>
      <w:r w:rsidRPr="00ED7E61">
        <w:rPr>
          <w:rStyle w:val="normaltextrun"/>
          <w:rFonts w:asciiTheme="majorBidi" w:eastAsiaTheme="majorEastAsia" w:hAnsiTheme="majorBidi" w:cstheme="majorBidi"/>
          <w:color w:val="000000"/>
          <w:lang w:val="en-AU"/>
        </w:rPr>
        <w:t xml:space="preserve"> of data disaggregation/aggregation: </w:t>
      </w:r>
      <w:r w:rsidRPr="004262AE">
        <w:rPr>
          <w:rStyle w:val="normaltextrun"/>
          <w:rFonts w:asciiTheme="majorBidi" w:eastAsiaTheme="majorEastAsia" w:hAnsiTheme="majorBidi" w:cstheme="majorBidi"/>
          <w:color w:val="000000"/>
          <w:lang w:val="en-AU"/>
        </w:rPr>
        <w:t> </w:t>
      </w:r>
    </w:p>
    <w:p w14:paraId="0ED83CDE" w14:textId="77777777" w:rsidR="00B23E1C" w:rsidRPr="00ED7E61" w:rsidRDefault="00B23E1C" w:rsidP="00B23E1C">
      <w:pPr>
        <w:pStyle w:val="CBDNormalNumber"/>
        <w:numPr>
          <w:ilvl w:val="0"/>
          <w:numId w:val="41"/>
        </w:numPr>
        <w:tabs>
          <w:tab w:val="clear" w:pos="567"/>
          <w:tab w:val="clear" w:pos="1134"/>
          <w:tab w:val="clear" w:pos="2268"/>
          <w:tab w:val="left" w:pos="1985"/>
        </w:tabs>
        <w:ind w:left="567" w:firstLine="531"/>
      </w:pPr>
      <w:r w:rsidRPr="00ED7E61">
        <w:t>Global/ regional scale indicator can be disaggregated to national level: ​</w:t>
      </w:r>
      <w:r w:rsidRPr="00ED7E61">
        <w:rPr>
          <w:rFonts w:ascii="Segoe UI Symbol" w:hAnsi="Segoe UI Symbol" w:cs="Segoe UI Symbol"/>
        </w:rPr>
        <w:t>☒</w:t>
      </w:r>
      <w:r w:rsidRPr="00ED7E61">
        <w:t>​ </w:t>
      </w:r>
    </w:p>
    <w:p w14:paraId="18A3C746" w14:textId="77777777" w:rsidR="00B23E1C" w:rsidRPr="00ED7E61" w:rsidRDefault="00B23E1C" w:rsidP="00B23E1C">
      <w:pPr>
        <w:pStyle w:val="CBDNormalNumber"/>
        <w:numPr>
          <w:ilvl w:val="0"/>
          <w:numId w:val="41"/>
        </w:numPr>
        <w:tabs>
          <w:tab w:val="clear" w:pos="567"/>
          <w:tab w:val="clear" w:pos="1134"/>
          <w:tab w:val="clear" w:pos="2268"/>
          <w:tab w:val="left" w:pos="1985"/>
        </w:tabs>
        <w:ind w:left="567" w:firstLine="531"/>
      </w:pPr>
      <w:r w:rsidRPr="00ED7E61">
        <w:t>National data is collated to form global indicator: ​</w:t>
      </w:r>
      <w:r w:rsidRPr="00ED7E61">
        <w:rPr>
          <w:rFonts w:ascii="Segoe UI Symbol" w:hAnsi="Segoe UI Symbol" w:cs="Segoe UI Symbol"/>
        </w:rPr>
        <w:t>☒</w:t>
      </w:r>
      <w:r w:rsidRPr="00ED7E61">
        <w:t>​ </w:t>
      </w:r>
    </w:p>
    <w:p w14:paraId="5E208BDD"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 xml:space="preserve">The indicator can be used at national, regional, and global levels, depending on data </w:t>
      </w:r>
      <w:r w:rsidRPr="004262AE">
        <w:rPr>
          <w:rStyle w:val="normaltextrun"/>
          <w:rFonts w:asciiTheme="majorBidi" w:eastAsiaTheme="majorEastAsia" w:hAnsiTheme="majorBidi" w:cstheme="majorBidi"/>
          <w:color w:val="000000"/>
          <w:lang w:val="en-AU"/>
        </w:rPr>
        <w:t>availability</w:t>
      </w:r>
      <w:r w:rsidRPr="00ED7E61">
        <w:rPr>
          <w:rStyle w:val="normaltextrun"/>
          <w:rFonts w:asciiTheme="majorBidi" w:eastAsiaTheme="majorEastAsia" w:hAnsiTheme="majorBidi" w:cstheme="majorBidi"/>
          <w:color w:val="000000"/>
          <w:lang w:val="en-AU"/>
        </w:rPr>
        <w:t>. Global/regional values can be disaggregated to national scales (e.g. Ferrer-Paris et al. 2019, Obura et al. 2022). In principle, national data can be aggregated to form regional/global assessments, though this is yet to be applied and will require more testing.  </w:t>
      </w:r>
      <w:r w:rsidRPr="004262AE">
        <w:rPr>
          <w:rStyle w:val="normaltextrun"/>
          <w:rFonts w:asciiTheme="majorBidi" w:eastAsiaTheme="majorEastAsia" w:hAnsiTheme="majorBidi" w:cstheme="majorBidi"/>
          <w:color w:val="000000"/>
          <w:lang w:val="en-AU"/>
        </w:rPr>
        <w:t> </w:t>
      </w:r>
    </w:p>
    <w:p w14:paraId="21A28969"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b/>
          <w:bCs/>
          <w:sz w:val="22"/>
          <w:szCs w:val="22"/>
        </w:rPr>
        <w:t> </w:t>
      </w:r>
    </w:p>
    <w:p w14:paraId="737E38BD" w14:textId="77777777" w:rsidR="00B23E1C" w:rsidRPr="00ED7E61" w:rsidRDefault="00B23E1C" w:rsidP="00B23E1C">
      <w:pPr>
        <w:pStyle w:val="paragraph"/>
        <w:spacing w:before="12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4C53A252" w14:textId="77777777" w:rsidR="00B23E1C" w:rsidRPr="00ED7E61" w:rsidRDefault="00B23E1C" w:rsidP="00B23E1C">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3F8700C7"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6c. Sources of differences between global and national figures</w:t>
      </w:r>
      <w:r w:rsidRPr="00ED7E61">
        <w:rPr>
          <w:rStyle w:val="eop"/>
          <w:rFonts w:asciiTheme="majorBidi" w:eastAsiaTheme="majorEastAsia" w:hAnsiTheme="majorBidi" w:cstheme="majorBidi"/>
          <w:b/>
          <w:bCs/>
          <w:sz w:val="22"/>
          <w:szCs w:val="22"/>
        </w:rPr>
        <w:t> </w:t>
      </w:r>
    </w:p>
    <w:p w14:paraId="393595BB"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 xml:space="preserve">The </w:t>
      </w:r>
      <w:r w:rsidRPr="004262AE">
        <w:rPr>
          <w:rStyle w:val="normaltextrun"/>
          <w:rFonts w:asciiTheme="majorBidi" w:eastAsiaTheme="majorEastAsia" w:hAnsiTheme="majorBidi" w:cstheme="majorBidi"/>
          <w:color w:val="000000"/>
          <w:lang w:val="en-AU"/>
        </w:rPr>
        <w:t>procedure</w:t>
      </w:r>
      <w:r w:rsidRPr="00ED7E61">
        <w:rPr>
          <w:rStyle w:val="normaltextrun"/>
          <w:rFonts w:asciiTheme="majorBidi" w:eastAsiaTheme="majorEastAsia" w:hAnsiTheme="majorBidi" w:cstheme="majorBidi"/>
          <w:color w:val="000000"/>
          <w:lang w:val="en-AU"/>
        </w:rPr>
        <w:t xml:space="preserve"> for applying the Red List of Ecosystems framework is the same across national to global scales. The outcomes may vary between national and global levels where:</w:t>
      </w:r>
      <w:r w:rsidRPr="004262AE">
        <w:rPr>
          <w:rStyle w:val="normaltextrun"/>
          <w:rFonts w:asciiTheme="majorBidi" w:eastAsiaTheme="majorEastAsia" w:hAnsiTheme="majorBidi" w:cstheme="majorBidi"/>
          <w:color w:val="000000"/>
          <w:lang w:val="en-AU"/>
        </w:rPr>
        <w:t> </w:t>
      </w:r>
    </w:p>
    <w:p w14:paraId="57BDECB1" w14:textId="77777777" w:rsidR="00B23E1C" w:rsidRPr="00ED7E61" w:rsidRDefault="00B23E1C" w:rsidP="00B23E1C">
      <w:pPr>
        <w:pStyle w:val="CBDNormalNumber"/>
        <w:numPr>
          <w:ilvl w:val="0"/>
          <w:numId w:val="42"/>
        </w:numPr>
        <w:tabs>
          <w:tab w:val="clear" w:pos="567"/>
          <w:tab w:val="clear" w:pos="1134"/>
          <w:tab w:val="clear" w:pos="2268"/>
          <w:tab w:val="left" w:pos="1985"/>
        </w:tabs>
        <w:ind w:left="567" w:firstLine="531"/>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lastRenderedPageBreak/>
        <w:t>National assessments have more detailed ecosystem units than global assessments; for example, a comparison of ecosystem classifications in South Africa found that more ecosystems were listed as threatened when using more finely defined units (Payet et al. 2013)</w:t>
      </w:r>
      <w:r>
        <w:rPr>
          <w:rStyle w:val="normaltextrun"/>
          <w:lang w:val="en-AU"/>
        </w:rPr>
        <w:t>;</w:t>
      </w:r>
    </w:p>
    <w:p w14:paraId="2C2E2043" w14:textId="77777777" w:rsidR="00B23E1C" w:rsidRPr="00ED7E61" w:rsidRDefault="00B23E1C" w:rsidP="00B23E1C">
      <w:pPr>
        <w:pStyle w:val="CBDNormalNumber"/>
        <w:numPr>
          <w:ilvl w:val="0"/>
          <w:numId w:val="42"/>
        </w:numPr>
        <w:tabs>
          <w:tab w:val="clear" w:pos="567"/>
          <w:tab w:val="clear" w:pos="1134"/>
          <w:tab w:val="clear" w:pos="2268"/>
          <w:tab w:val="left" w:pos="1985"/>
        </w:tabs>
        <w:ind w:left="567" w:firstLine="531"/>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Ecosystems extend beyond national boundary, particularly for smaller countries. This can also be dealt with to some degree by aligning and aggregating similar ecosystems with the Global Ecosystem Typology, and considering how this issue is addressed in species red listing (e.g. national assessment guidelines that account for rescue effects)</w:t>
      </w:r>
      <w:r>
        <w:rPr>
          <w:rStyle w:val="normaltextrun"/>
          <w:lang w:val="en-AU"/>
        </w:rPr>
        <w:t>;</w:t>
      </w:r>
    </w:p>
    <w:p w14:paraId="00987BA4" w14:textId="77777777" w:rsidR="00B23E1C" w:rsidRPr="00ED7E61" w:rsidRDefault="00B23E1C" w:rsidP="00B23E1C">
      <w:pPr>
        <w:pStyle w:val="CBDNormalNumber"/>
        <w:numPr>
          <w:ilvl w:val="0"/>
          <w:numId w:val="42"/>
        </w:numPr>
        <w:tabs>
          <w:tab w:val="clear" w:pos="567"/>
          <w:tab w:val="clear" w:pos="1134"/>
          <w:tab w:val="clear" w:pos="2268"/>
          <w:tab w:val="left" w:pos="1985"/>
        </w:tabs>
        <w:ind w:left="567" w:firstLine="531"/>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There are inconsistencies among nations in data and indicators used in assessments, and in the criteria assessed. These inconsistencies may be resolved by learning from experiences in economics where the methods have been developed to account for ways in which national accounts, GDP and other economic indicators vary per country.</w:t>
      </w:r>
    </w:p>
    <w:p w14:paraId="74CBF91F" w14:textId="77777777" w:rsidR="00B23E1C" w:rsidRPr="00ED7E61" w:rsidRDefault="00B23E1C" w:rsidP="00B23E1C">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b/>
          <w:bCs/>
          <w:sz w:val="22"/>
          <w:szCs w:val="22"/>
        </w:rPr>
        <w:t> </w:t>
      </w:r>
    </w:p>
    <w:p w14:paraId="50212375" w14:textId="77777777" w:rsidR="00B23E1C" w:rsidRPr="00ED7E61" w:rsidRDefault="00B23E1C" w:rsidP="00B23E1C">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225A1500"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 xml:space="preserve">The </w:t>
      </w:r>
      <w:r w:rsidRPr="004262AE">
        <w:rPr>
          <w:rStyle w:val="normaltextrun"/>
          <w:rFonts w:asciiTheme="majorBidi" w:eastAsiaTheme="majorEastAsia" w:hAnsiTheme="majorBidi" w:cstheme="majorBidi"/>
          <w:color w:val="000000"/>
          <w:lang w:val="en-AU"/>
        </w:rPr>
        <w:t>methods</w:t>
      </w:r>
      <w:r w:rsidRPr="00ED7E61">
        <w:rPr>
          <w:rStyle w:val="normaltextrun"/>
          <w:rFonts w:asciiTheme="majorBidi" w:eastAsiaTheme="majorEastAsia" w:hAnsiTheme="majorBidi" w:cstheme="majorBidi"/>
          <w:color w:val="000000"/>
          <w:lang w:val="en-AU"/>
        </w:rPr>
        <w:t xml:space="preserve"> of conducting Red List of Ecosystems assessments are well established, and the same across national, regional and global scales. The methods of calculating the </w:t>
      </w:r>
      <w:proofErr w:type="spellStart"/>
      <w:r w:rsidRPr="00ED7E61">
        <w:rPr>
          <w:rStyle w:val="normaltextrun"/>
          <w:rFonts w:asciiTheme="majorBidi" w:eastAsiaTheme="majorEastAsia" w:hAnsiTheme="majorBidi" w:cstheme="majorBidi"/>
          <w:color w:val="000000"/>
          <w:lang w:val="en-AU"/>
        </w:rPr>
        <w:t>RLIe</w:t>
      </w:r>
      <w:proofErr w:type="spellEnd"/>
      <w:r w:rsidRPr="00ED7E61">
        <w:rPr>
          <w:rStyle w:val="normaltextrun"/>
          <w:rFonts w:asciiTheme="majorBidi" w:eastAsiaTheme="majorEastAsia" w:hAnsiTheme="majorBidi" w:cstheme="majorBidi"/>
          <w:color w:val="000000"/>
          <w:lang w:val="en-AU"/>
        </w:rPr>
        <w:t xml:space="preserve"> are also the same across national, regional and global scales. At present, indicators at these different scales are calculated based on assessments at the corresponding scales; country values are not yet aggregated to calculate regional or global assessments. Where ecosystem types extend beyond national boundaries, there is the possibility of aggregating data using the IUCN Global Ecosystem Typology – approaches for doing so are currently being trialled. </w:t>
      </w:r>
      <w:r w:rsidRPr="004262AE">
        <w:rPr>
          <w:rStyle w:val="normaltextrun"/>
          <w:rFonts w:asciiTheme="majorBidi" w:eastAsiaTheme="majorEastAsia" w:hAnsiTheme="majorBidi" w:cstheme="majorBidi"/>
          <w:color w:val="000000"/>
          <w:lang w:val="en-AU"/>
        </w:rPr>
        <w:t> </w:t>
      </w:r>
    </w:p>
    <w:p w14:paraId="74E45E23" w14:textId="77777777" w:rsidR="00B23E1C" w:rsidRPr="00ED7E61" w:rsidRDefault="00B23E1C" w:rsidP="00B23E1C">
      <w:pPr>
        <w:pStyle w:val="paragraph"/>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77FC6D4E" w14:textId="77777777" w:rsidR="00B23E1C" w:rsidRPr="00951A92" w:rsidRDefault="00B23E1C" w:rsidP="00951A92">
      <w:pPr>
        <w:pStyle w:val="CBDNormalNumber"/>
        <w:rPr>
          <w:rStyle w:val="normaltextrun"/>
          <w:rFonts w:eastAsiaTheme="majorEastAsia"/>
          <w:color w:val="000000"/>
          <w:lang w:val="en-AU"/>
        </w:rPr>
      </w:pPr>
      <w:r w:rsidRPr="00951A92">
        <w:rPr>
          <w:rStyle w:val="normaltextrun"/>
          <w:rFonts w:asciiTheme="majorBidi" w:eastAsiaTheme="majorEastAsia" w:hAnsiTheme="majorBidi" w:cstheme="majorBidi"/>
          <w:color w:val="000000"/>
          <w:lang w:val="en-AU"/>
        </w:rPr>
        <w:t>N/A</w:t>
      </w:r>
      <w:r w:rsidRPr="00951A92">
        <w:rPr>
          <w:rStyle w:val="normaltextrun"/>
          <w:color w:val="000000"/>
          <w:lang w:val="en-AU"/>
        </w:rPr>
        <w:t> </w:t>
      </w:r>
    </w:p>
    <w:p w14:paraId="29FA4EA3" w14:textId="77777777" w:rsidR="00B23E1C" w:rsidRPr="00ED7E61" w:rsidRDefault="00B23E1C" w:rsidP="00B23E1C">
      <w:pPr>
        <w:pStyle w:val="paragraph"/>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02A77C17" w14:textId="77777777" w:rsidR="00B23E1C" w:rsidRPr="00951A92" w:rsidRDefault="00B23E1C" w:rsidP="00951A92">
      <w:pPr>
        <w:pStyle w:val="CBDNormalNumber"/>
        <w:rPr>
          <w:rStyle w:val="normaltextrun"/>
          <w:rFonts w:eastAsiaTheme="majorEastAsia"/>
          <w:color w:val="000000"/>
          <w:lang w:val="en-AU"/>
        </w:rPr>
      </w:pPr>
      <w:r w:rsidRPr="00951A92">
        <w:rPr>
          <w:rStyle w:val="normaltextrun"/>
          <w:rFonts w:asciiTheme="majorBidi" w:eastAsiaTheme="majorEastAsia" w:hAnsiTheme="majorBidi" w:cstheme="majorBidi"/>
          <w:color w:val="000000"/>
          <w:lang w:val="en-AU"/>
        </w:rPr>
        <w:t>N/A</w:t>
      </w:r>
      <w:r w:rsidRPr="00951A92">
        <w:rPr>
          <w:rStyle w:val="normaltextrun"/>
          <w:color w:val="000000"/>
          <w:lang w:val="en-AU"/>
        </w:rPr>
        <w:t> </w:t>
      </w:r>
    </w:p>
    <w:p w14:paraId="6E502CA9" w14:textId="77777777" w:rsidR="00B23E1C" w:rsidRPr="00ED7E61" w:rsidRDefault="00B23E1C" w:rsidP="00951A92">
      <w:pPr>
        <w:pStyle w:val="paragraph"/>
        <w:pBdr>
          <w:bottom w:val="single" w:sz="4" w:space="1" w:color="000000"/>
        </w:pBdr>
        <w:spacing w:before="120" w:beforeAutospacing="0" w:after="12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7. Other MEAs, processes and organi</w:t>
      </w:r>
      <w:r>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ations</w:t>
      </w:r>
      <w:r w:rsidRPr="00ED7E61">
        <w:rPr>
          <w:rStyle w:val="eop"/>
          <w:rFonts w:asciiTheme="majorBidi" w:eastAsiaTheme="majorEastAsia" w:hAnsiTheme="majorBidi" w:cstheme="majorBidi"/>
          <w:b/>
          <w:bCs/>
          <w:sz w:val="22"/>
          <w:szCs w:val="22"/>
        </w:rPr>
        <w:t> </w:t>
      </w:r>
    </w:p>
    <w:p w14:paraId="45867AA9" w14:textId="77777777" w:rsidR="00B23E1C" w:rsidRPr="00951A92" w:rsidRDefault="00B23E1C" w:rsidP="00951A92">
      <w:pPr>
        <w:pStyle w:val="CBDNormalNumber"/>
        <w:rPr>
          <w:rStyle w:val="normaltextrun"/>
          <w:rFonts w:eastAsiaTheme="majorEastAsia"/>
          <w:color w:val="000000"/>
          <w:lang w:val="en-AU"/>
        </w:rPr>
      </w:pPr>
      <w:r w:rsidRPr="00951A92">
        <w:rPr>
          <w:rStyle w:val="normaltextrun"/>
          <w:rFonts w:asciiTheme="majorBidi" w:eastAsiaTheme="majorEastAsia" w:hAnsiTheme="majorBidi" w:cstheme="majorBidi"/>
          <w:color w:val="000000"/>
          <w:lang w:val="en-AU"/>
        </w:rPr>
        <w:t>N/A</w:t>
      </w:r>
      <w:r w:rsidRPr="00951A92">
        <w:rPr>
          <w:rStyle w:val="normaltextrun"/>
          <w:color w:val="000000"/>
          <w:lang w:val="en-AU"/>
        </w:rPr>
        <w:t> </w:t>
      </w:r>
    </w:p>
    <w:p w14:paraId="001871AD" w14:textId="77777777" w:rsidR="00B23E1C" w:rsidRPr="00ED7E61" w:rsidRDefault="00B23E1C" w:rsidP="00B23E1C">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 xml:space="preserve">8. Possible </w:t>
      </w:r>
      <w:proofErr w:type="spellStart"/>
      <w:r w:rsidRPr="00ED7E61">
        <w:rPr>
          <w:rStyle w:val="normaltextrun"/>
          <w:rFonts w:asciiTheme="majorBidi" w:eastAsiaTheme="majorEastAsia" w:hAnsiTheme="majorBidi" w:cstheme="majorBidi"/>
          <w:b/>
          <w:bCs/>
          <w:sz w:val="22"/>
          <w:szCs w:val="22"/>
          <w:lang w:val="en-GB"/>
        </w:rPr>
        <w:t>Disaggregations</w:t>
      </w:r>
      <w:proofErr w:type="spellEnd"/>
      <w:r w:rsidRPr="00ED7E61">
        <w:rPr>
          <w:rStyle w:val="eop"/>
          <w:rFonts w:asciiTheme="majorBidi" w:eastAsiaTheme="majorEastAsia" w:hAnsiTheme="majorBidi" w:cstheme="majorBidi"/>
          <w:b/>
          <w:bCs/>
          <w:sz w:val="22"/>
          <w:szCs w:val="22"/>
        </w:rPr>
        <w:t> </w:t>
      </w:r>
    </w:p>
    <w:p w14:paraId="44CD9F76" w14:textId="77777777" w:rsidR="00B23E1C" w:rsidRPr="00ED7E61" w:rsidRDefault="00B23E1C" w:rsidP="004262AE">
      <w:pPr>
        <w:pStyle w:val="CBDNormalNumber"/>
        <w:numPr>
          <w:ilvl w:val="0"/>
          <w:numId w:val="40"/>
        </w:numPr>
        <w:rPr>
          <w:rStyle w:val="normaltextrun"/>
          <w:rFonts w:eastAsiaTheme="majorEastAsia"/>
          <w:color w:val="000000"/>
          <w:sz w:val="24"/>
          <w:szCs w:val="24"/>
          <w:lang w:val="en-AU"/>
        </w:rPr>
      </w:pPr>
      <w:r w:rsidRPr="00ED7E61">
        <w:rPr>
          <w:rStyle w:val="normaltextrun"/>
          <w:rFonts w:asciiTheme="majorBidi" w:eastAsiaTheme="majorEastAsia" w:hAnsiTheme="majorBidi" w:cstheme="majorBidi"/>
          <w:color w:val="000000"/>
          <w:lang w:val="en-AU"/>
        </w:rPr>
        <w:t xml:space="preserve">The primary </w:t>
      </w:r>
      <w:r w:rsidRPr="004262AE">
        <w:rPr>
          <w:rStyle w:val="normaltextrun"/>
          <w:rFonts w:asciiTheme="majorBidi" w:eastAsiaTheme="majorEastAsia" w:hAnsiTheme="majorBidi" w:cstheme="majorBidi"/>
          <w:color w:val="000000"/>
          <w:lang w:val="en-AU"/>
        </w:rPr>
        <w:t>recommended</w:t>
      </w:r>
      <w:r w:rsidRPr="00ED7E61">
        <w:rPr>
          <w:rStyle w:val="normaltextrun"/>
          <w:rFonts w:asciiTheme="majorBidi" w:eastAsiaTheme="majorEastAsia" w:hAnsiTheme="majorBidi" w:cstheme="majorBidi"/>
          <w:color w:val="000000"/>
          <w:lang w:val="en-AU"/>
        </w:rPr>
        <w:t xml:space="preserve"> disaggregation for the Red List of Ecosystems is:</w:t>
      </w:r>
      <w:r w:rsidRPr="004262AE">
        <w:rPr>
          <w:rStyle w:val="normaltextrun"/>
          <w:rFonts w:asciiTheme="majorBidi" w:eastAsiaTheme="majorEastAsia" w:hAnsiTheme="majorBidi" w:cstheme="majorBidi"/>
          <w:color w:val="000000"/>
          <w:lang w:val="en-AU"/>
        </w:rPr>
        <w:t> </w:t>
      </w:r>
    </w:p>
    <w:p w14:paraId="1F6B52C1" w14:textId="77777777" w:rsidR="00B23E1C" w:rsidRPr="00ED7E61" w:rsidRDefault="00B23E1C" w:rsidP="00B23E1C">
      <w:pPr>
        <w:pStyle w:val="CBDNormalNumber"/>
        <w:tabs>
          <w:tab w:val="clear" w:pos="567"/>
          <w:tab w:val="clear" w:pos="1134"/>
          <w:tab w:val="clear" w:pos="1701"/>
          <w:tab w:val="clear" w:pos="2268"/>
          <w:tab w:val="left" w:pos="1985"/>
        </w:tabs>
        <w:ind w:left="1134"/>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By Ecosystem Functional Group (based on the IUCN Global Ecosystem Typology level 3). Because the Global Ecosystem Typology is hierarchical, results can also be disaggregated to biome, which is a higher level in the hierarchy, and therefore with fewer categories (and thus potentially less informative, but more digestible for non-specialists). </w:t>
      </w:r>
      <w:r w:rsidRPr="00ED7E61">
        <w:rPr>
          <w:rStyle w:val="normaltextrun"/>
          <w:lang w:val="en-AU"/>
        </w:rPr>
        <w:t> </w:t>
      </w:r>
    </w:p>
    <w:p w14:paraId="735271E7"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Potential</w:t>
      </w:r>
      <w:r w:rsidRPr="00ED7E61">
        <w:rPr>
          <w:rStyle w:val="normaltextrun"/>
          <w:rFonts w:asciiTheme="majorBidi" w:eastAsiaTheme="majorEastAsia" w:hAnsiTheme="majorBidi" w:cstheme="majorBidi"/>
          <w:color w:val="000000"/>
          <w:lang w:val="en-AU"/>
        </w:rPr>
        <w:t xml:space="preserve"> further </w:t>
      </w:r>
      <w:proofErr w:type="spellStart"/>
      <w:r w:rsidRPr="00ED7E61">
        <w:rPr>
          <w:rStyle w:val="normaltextrun"/>
          <w:rFonts w:asciiTheme="majorBidi" w:eastAsiaTheme="majorEastAsia" w:hAnsiTheme="majorBidi" w:cstheme="majorBidi"/>
          <w:color w:val="000000"/>
          <w:lang w:val="en-AU"/>
        </w:rPr>
        <w:t>disaggregations</w:t>
      </w:r>
      <w:proofErr w:type="spellEnd"/>
      <w:r w:rsidRPr="00ED7E61">
        <w:rPr>
          <w:rStyle w:val="normaltextrun"/>
          <w:rFonts w:asciiTheme="majorBidi" w:eastAsiaTheme="majorEastAsia" w:hAnsiTheme="majorBidi" w:cstheme="majorBidi"/>
          <w:color w:val="000000"/>
          <w:lang w:val="en-AU"/>
        </w:rPr>
        <w:t xml:space="preserve"> that are informative for this headline indicator include:</w:t>
      </w:r>
      <w:r w:rsidRPr="004262AE">
        <w:rPr>
          <w:rStyle w:val="normaltextrun"/>
          <w:rFonts w:asciiTheme="majorBidi" w:eastAsiaTheme="majorEastAsia" w:hAnsiTheme="majorBidi" w:cstheme="majorBidi"/>
          <w:color w:val="000000"/>
          <w:lang w:val="en-AU"/>
        </w:rPr>
        <w:t> </w:t>
      </w:r>
    </w:p>
    <w:p w14:paraId="3CE8A92C" w14:textId="77777777" w:rsidR="00B23E1C" w:rsidRPr="00ED7E61" w:rsidRDefault="00B23E1C" w:rsidP="00B23E1C">
      <w:pPr>
        <w:pStyle w:val="CBDNormalNumber"/>
        <w:numPr>
          <w:ilvl w:val="0"/>
          <w:numId w:val="43"/>
        </w:numPr>
        <w:tabs>
          <w:tab w:val="clear" w:pos="567"/>
          <w:tab w:val="clear" w:pos="1134"/>
          <w:tab w:val="clear" w:pos="1701"/>
        </w:tabs>
        <w:ind w:left="1134" w:firstLine="531"/>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By Lands of indigenous peoples and local communities or Indigenous Territories, where spatial data are available, for example, intersecting national ecosystem maps with national maps of Indigenous Territories or equivalent</w:t>
      </w:r>
      <w:r>
        <w:rPr>
          <w:rStyle w:val="normaltextrun"/>
          <w:lang w:val="en-AU"/>
        </w:rPr>
        <w:t>;</w:t>
      </w:r>
    </w:p>
    <w:p w14:paraId="44AED95F" w14:textId="77777777" w:rsidR="00B23E1C" w:rsidRPr="00ED7E61" w:rsidRDefault="00B23E1C" w:rsidP="00B23E1C">
      <w:pPr>
        <w:pStyle w:val="CBDNormalNumber"/>
        <w:numPr>
          <w:ilvl w:val="0"/>
          <w:numId w:val="43"/>
        </w:numPr>
        <w:tabs>
          <w:tab w:val="clear" w:pos="567"/>
          <w:tab w:val="clear" w:pos="1134"/>
          <w:tab w:val="clear" w:pos="1701"/>
        </w:tabs>
        <w:ind w:left="1134" w:firstLine="531"/>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By protected status, by intersecting spatial data on Protected Areas and/or OECMs (see Headline Indicator 3.1)</w:t>
      </w:r>
      <w:r>
        <w:rPr>
          <w:rStyle w:val="normaltextrun"/>
          <w:lang w:val="en-AU"/>
        </w:rPr>
        <w:t>;</w:t>
      </w:r>
    </w:p>
    <w:p w14:paraId="02D5E9EE" w14:textId="77777777" w:rsidR="00B23E1C" w:rsidRPr="00ED7E61" w:rsidRDefault="00B23E1C" w:rsidP="00B23E1C">
      <w:pPr>
        <w:pStyle w:val="CBDNormalNumber"/>
        <w:numPr>
          <w:ilvl w:val="0"/>
          <w:numId w:val="43"/>
        </w:numPr>
        <w:tabs>
          <w:tab w:val="clear" w:pos="567"/>
          <w:tab w:val="clear" w:pos="1134"/>
          <w:tab w:val="clear" w:pos="1701"/>
        </w:tabs>
        <w:ind w:left="1134" w:firstLine="531"/>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By threatening process to support reporting on targets or drivers of biodiversity loss, for example:</w:t>
      </w:r>
      <w:r w:rsidRPr="00ED7E61">
        <w:rPr>
          <w:rStyle w:val="normaltextrun"/>
          <w:lang w:val="en-AU"/>
        </w:rPr>
        <w:t> </w:t>
      </w:r>
    </w:p>
    <w:p w14:paraId="637C0FD3" w14:textId="77777777" w:rsidR="00B23E1C" w:rsidRPr="00ED7E61" w:rsidRDefault="00B23E1C" w:rsidP="00B23E1C">
      <w:pPr>
        <w:pStyle w:val="CBDNormalNumber"/>
        <w:tabs>
          <w:tab w:val="clear" w:pos="567"/>
          <w:tab w:val="clear" w:pos="1134"/>
          <w:tab w:val="clear" w:pos="1701"/>
        </w:tabs>
        <w:ind w:left="2268" w:hanging="567"/>
        <w:rPr>
          <w:rFonts w:asciiTheme="majorBidi" w:hAnsiTheme="majorBidi" w:cstheme="majorBidi"/>
        </w:rPr>
      </w:pPr>
      <w:r w:rsidRPr="00ED7E61">
        <w:rPr>
          <w:rStyle w:val="normaltextrun"/>
          <w:rFonts w:asciiTheme="majorBidi" w:eastAsiaTheme="majorEastAsia" w:hAnsiTheme="majorBidi" w:cstheme="majorBidi"/>
          <w:color w:val="000000"/>
          <w:lang w:val="en-AU"/>
        </w:rPr>
        <w:t xml:space="preserve">Target 8: where climate change is identified as a threat in the Red list of Ecosystems assessment, or using risk status under sub-criterion C2 (projected future change in an ecosystem’s abiotic environment, e.g. warming that leads to increased </w:t>
      </w:r>
      <w:r w:rsidRPr="00ED7E61">
        <w:rPr>
          <w:rStyle w:val="normaltextrun"/>
          <w:rFonts w:asciiTheme="majorBidi" w:eastAsiaTheme="majorEastAsia" w:hAnsiTheme="majorBidi" w:cstheme="majorBidi"/>
          <w:color w:val="000000"/>
          <w:lang w:val="en-AU"/>
        </w:rPr>
        <w:lastRenderedPageBreak/>
        <w:t>bleaching in coral reefs, Obura et al. 2021; or changes in temperature and precipitation in forest ecosystems, Ferrer-Paris et al. 2019) </w:t>
      </w:r>
      <w:r w:rsidRPr="00ED7E61">
        <w:rPr>
          <w:rStyle w:val="eop"/>
          <w:rFonts w:asciiTheme="majorBidi" w:eastAsiaTheme="majorEastAsia" w:hAnsiTheme="majorBidi" w:cstheme="majorBidi"/>
          <w:color w:val="000000"/>
        </w:rPr>
        <w:t> </w:t>
      </w:r>
    </w:p>
    <w:p w14:paraId="2977EC9F" w14:textId="77777777" w:rsidR="00B23E1C" w:rsidRPr="00ED7E61" w:rsidRDefault="00B23E1C" w:rsidP="00B23E1C">
      <w:pPr>
        <w:pStyle w:val="CBDNormalNumber"/>
        <w:tabs>
          <w:tab w:val="clear" w:pos="567"/>
          <w:tab w:val="clear" w:pos="1134"/>
          <w:tab w:val="clear" w:pos="1701"/>
        </w:tabs>
        <w:ind w:left="2268" w:hanging="567"/>
        <w:rPr>
          <w:rFonts w:asciiTheme="majorBidi" w:hAnsiTheme="majorBidi" w:cstheme="majorBidi"/>
        </w:rPr>
      </w:pPr>
      <w:r w:rsidRPr="00ED7E61">
        <w:rPr>
          <w:rStyle w:val="normaltextrun"/>
          <w:rFonts w:asciiTheme="majorBidi" w:eastAsiaTheme="majorEastAsia" w:hAnsiTheme="majorBidi" w:cstheme="majorBidi"/>
          <w:color w:val="000000"/>
          <w:lang w:val="en-AU"/>
        </w:rPr>
        <w:t>Target 6: ecosystems that are threatened by invasive species</w:t>
      </w:r>
      <w:r w:rsidRPr="00ED7E61">
        <w:rPr>
          <w:rStyle w:val="eop"/>
          <w:rFonts w:asciiTheme="majorBidi" w:eastAsiaTheme="majorEastAsia" w:hAnsiTheme="majorBidi" w:cstheme="majorBidi"/>
          <w:color w:val="000000"/>
        </w:rPr>
        <w:t> </w:t>
      </w:r>
    </w:p>
    <w:p w14:paraId="78BD4781" w14:textId="77777777" w:rsidR="00B23E1C" w:rsidRPr="00E66985" w:rsidRDefault="00B23E1C" w:rsidP="00B23E1C">
      <w:pPr>
        <w:pStyle w:val="CBDNormalNumber"/>
        <w:tabs>
          <w:tab w:val="clear" w:pos="567"/>
          <w:tab w:val="clear" w:pos="1134"/>
          <w:tab w:val="clear" w:pos="1701"/>
        </w:tabs>
        <w:ind w:left="2268" w:hanging="567"/>
        <w:rPr>
          <w:rStyle w:val="normaltextrun"/>
          <w:rFonts w:asciiTheme="majorBidi" w:eastAsiaTheme="majorEastAsia" w:hAnsiTheme="majorBidi" w:cstheme="majorBidi"/>
          <w:b/>
          <w:bCs/>
        </w:rPr>
      </w:pPr>
      <w:r w:rsidRPr="00ED7E61">
        <w:rPr>
          <w:rStyle w:val="normaltextrun"/>
          <w:rFonts w:asciiTheme="majorBidi" w:eastAsiaTheme="majorEastAsia" w:hAnsiTheme="majorBidi" w:cstheme="majorBidi"/>
          <w:color w:val="000000"/>
          <w:lang w:val="en-AU"/>
        </w:rPr>
        <w:t>Target 7: ecosystems that are threatened by pollution </w:t>
      </w:r>
    </w:p>
    <w:p w14:paraId="106D2577" w14:textId="77777777" w:rsidR="00B23E1C" w:rsidRPr="00ED7E61" w:rsidRDefault="00B23E1C" w:rsidP="00B23E1C">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b/>
          <w:bCs/>
          <w:sz w:val="22"/>
          <w:szCs w:val="22"/>
        </w:rPr>
        <w:t> </w:t>
      </w:r>
    </w:p>
    <w:p w14:paraId="4642F49C" w14:textId="44305FE5" w:rsidR="00B23E1C" w:rsidRPr="00ED7E61" w:rsidRDefault="00B23E1C" w:rsidP="004262AE">
      <w:pPr>
        <w:pStyle w:val="CBDNormalNumber"/>
        <w:numPr>
          <w:ilvl w:val="0"/>
          <w:numId w:val="40"/>
        </w:numPr>
        <w:rPr>
          <w:rStyle w:val="normaltextrun"/>
          <w:rFonts w:eastAsiaTheme="majorEastAsia"/>
          <w:color w:val="000000"/>
          <w:sz w:val="24"/>
          <w:szCs w:val="24"/>
          <w:lang w:val="en-AU"/>
        </w:rPr>
      </w:pPr>
      <w:r w:rsidRPr="00ED7E61">
        <w:rPr>
          <w:rStyle w:val="normaltextrun"/>
          <w:rFonts w:asciiTheme="majorBidi" w:eastAsiaTheme="majorEastAsia" w:hAnsiTheme="majorBidi" w:cstheme="majorBidi"/>
          <w:color w:val="000000"/>
          <w:lang w:val="en-AU"/>
        </w:rPr>
        <w:t xml:space="preserve">The </w:t>
      </w:r>
      <w:r w:rsidRPr="004262AE">
        <w:rPr>
          <w:rStyle w:val="normaltextrun"/>
          <w:rFonts w:asciiTheme="majorBidi" w:eastAsiaTheme="majorEastAsia" w:hAnsiTheme="majorBidi" w:cstheme="majorBidi"/>
          <w:color w:val="000000"/>
          <w:lang w:val="en-AU"/>
        </w:rPr>
        <w:t>Red</w:t>
      </w:r>
      <w:r w:rsidRPr="00ED7E61">
        <w:rPr>
          <w:rStyle w:val="normaltextrun"/>
          <w:rFonts w:asciiTheme="majorBidi" w:eastAsiaTheme="majorEastAsia" w:hAnsiTheme="majorBidi" w:cstheme="majorBidi"/>
          <w:color w:val="000000"/>
          <w:lang w:val="en-AU"/>
        </w:rPr>
        <w:t xml:space="preserve"> List of Ecosystems and </w:t>
      </w:r>
      <w:proofErr w:type="spellStart"/>
      <w:r w:rsidRPr="00ED7E61">
        <w:rPr>
          <w:rStyle w:val="normaltextrun"/>
          <w:rFonts w:asciiTheme="majorBidi" w:eastAsiaTheme="majorEastAsia" w:hAnsiTheme="majorBidi" w:cstheme="majorBidi"/>
          <w:color w:val="000000"/>
          <w:lang w:val="en-AU"/>
        </w:rPr>
        <w:t>RLIe</w:t>
      </w:r>
      <w:proofErr w:type="spellEnd"/>
      <w:r w:rsidRPr="00ED7E61">
        <w:rPr>
          <w:rStyle w:val="normaltextrun"/>
          <w:rFonts w:asciiTheme="majorBidi" w:eastAsiaTheme="majorEastAsia" w:hAnsiTheme="majorBidi" w:cstheme="majorBidi"/>
          <w:color w:val="000000"/>
          <w:lang w:val="en-AU"/>
        </w:rPr>
        <w:t xml:space="preserve"> complements other headline indicators</w:t>
      </w:r>
      <w:r>
        <w:rPr>
          <w:rStyle w:val="normaltextrun"/>
          <w:rFonts w:asciiTheme="majorBidi" w:eastAsiaTheme="majorEastAsia" w:hAnsiTheme="majorBidi" w:cstheme="majorBidi"/>
          <w:color w:val="000000"/>
          <w:lang w:val="en-AU"/>
        </w:rPr>
        <w:t xml:space="preserve"> for Goals A and B</w:t>
      </w:r>
      <w:r w:rsidRPr="00ED7E61">
        <w:rPr>
          <w:rStyle w:val="normaltextrun"/>
          <w:rFonts w:asciiTheme="majorBidi" w:eastAsiaTheme="majorEastAsia" w:hAnsiTheme="majorBidi" w:cstheme="majorBidi"/>
          <w:color w:val="000000"/>
          <w:lang w:val="en-AU"/>
        </w:rPr>
        <w:t>:</w:t>
      </w:r>
      <w:r w:rsidRPr="004262AE">
        <w:rPr>
          <w:rStyle w:val="normaltextrun"/>
          <w:rFonts w:asciiTheme="majorBidi" w:eastAsiaTheme="majorEastAsia" w:hAnsiTheme="majorBidi" w:cstheme="majorBidi"/>
          <w:color w:val="000000"/>
          <w:lang w:val="en-AU"/>
        </w:rPr>
        <w:t> </w:t>
      </w:r>
    </w:p>
    <w:p w14:paraId="11AEEF39" w14:textId="04963F94" w:rsidR="00B23E1C" w:rsidRPr="00812871" w:rsidRDefault="00B23E1C" w:rsidP="00812871">
      <w:pPr>
        <w:pStyle w:val="CBDNormalNumber"/>
        <w:numPr>
          <w:ilvl w:val="1"/>
          <w:numId w:val="34"/>
        </w:numPr>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Indicator A.2 </w:t>
      </w:r>
      <w:r w:rsidRPr="002E211C">
        <w:rPr>
          <w:rStyle w:val="normaltextrun"/>
          <w:rFonts w:asciiTheme="majorBidi" w:eastAsiaTheme="majorEastAsia" w:hAnsiTheme="majorBidi" w:cstheme="majorBidi"/>
          <w:i/>
          <w:iCs/>
          <w:color w:val="000000"/>
          <w:lang w:val="en-AU"/>
        </w:rPr>
        <w:t>Extent of natural ecosystems</w:t>
      </w:r>
      <w:r w:rsidRPr="00ED7E61">
        <w:rPr>
          <w:rStyle w:val="normaltextrun"/>
          <w:rFonts w:asciiTheme="majorBidi" w:eastAsiaTheme="majorEastAsia" w:hAnsiTheme="majorBidi" w:cstheme="majorBidi"/>
          <w:color w:val="000000"/>
          <w:lang w:val="en-AU"/>
        </w:rPr>
        <w:t>, based on the System of Environmental Economic Accounting (SEEA) ecosystem extent accounts at national levels and global datasets at global levels, provides information about the relative abundance of different natural ecosystem types; in contrast the Red List of Ecosystems provides information about the risk of collapse of these ecosystem</w:t>
      </w:r>
      <w:r>
        <w:rPr>
          <w:rStyle w:val="normaltextrun"/>
          <w:rFonts w:asciiTheme="majorBidi" w:eastAsiaTheme="majorEastAsia" w:hAnsiTheme="majorBidi" w:cstheme="majorBidi"/>
          <w:color w:val="000000"/>
          <w:lang w:val="en-AU"/>
        </w:rPr>
        <w:t xml:space="preserve"> types</w:t>
      </w:r>
      <w:r w:rsidRPr="00ED7E61">
        <w:rPr>
          <w:rStyle w:val="normaltextrun"/>
          <w:rFonts w:asciiTheme="majorBidi" w:eastAsiaTheme="majorEastAsia" w:hAnsiTheme="majorBidi" w:cstheme="majorBidi"/>
          <w:color w:val="000000"/>
          <w:lang w:val="en-AU"/>
        </w:rPr>
        <w:t>. Note that change in extent</w:t>
      </w:r>
      <w:r>
        <w:rPr>
          <w:rStyle w:val="normaltextrun"/>
          <w:rFonts w:asciiTheme="majorBidi" w:eastAsiaTheme="majorEastAsia" w:hAnsiTheme="majorBidi" w:cstheme="majorBidi"/>
          <w:color w:val="000000"/>
          <w:lang w:val="en-AU"/>
        </w:rPr>
        <w:t>, required for Headline Indicator A.2</w:t>
      </w:r>
      <w:r w:rsidRPr="00ED7E61">
        <w:rPr>
          <w:rStyle w:val="normaltextrun"/>
          <w:rFonts w:asciiTheme="majorBidi" w:eastAsiaTheme="majorEastAsia" w:hAnsiTheme="majorBidi" w:cstheme="majorBidi"/>
          <w:color w:val="000000"/>
          <w:lang w:val="en-AU"/>
        </w:rPr>
        <w:t xml:space="preserve"> is an input variable to Criterion A of the Red List of Ecosystems, and </w:t>
      </w:r>
      <w:r>
        <w:rPr>
          <w:rStyle w:val="normaltextrun"/>
          <w:rFonts w:asciiTheme="majorBidi" w:eastAsiaTheme="majorEastAsia" w:hAnsiTheme="majorBidi" w:cstheme="majorBidi"/>
          <w:color w:val="000000"/>
          <w:lang w:val="en-AU"/>
        </w:rPr>
        <w:t xml:space="preserve">the indicators </w:t>
      </w:r>
      <w:r w:rsidRPr="00ED7E61">
        <w:rPr>
          <w:rStyle w:val="normaltextrun"/>
          <w:rFonts w:asciiTheme="majorBidi" w:eastAsiaTheme="majorEastAsia" w:hAnsiTheme="majorBidi" w:cstheme="majorBidi"/>
          <w:color w:val="000000"/>
          <w:lang w:val="en-AU"/>
        </w:rPr>
        <w:t>may share many of the same data sources. </w:t>
      </w:r>
      <w:r w:rsidRPr="00812871">
        <w:rPr>
          <w:rStyle w:val="normaltextrun"/>
          <w:lang w:val="en-AU"/>
        </w:rPr>
        <w:t> </w:t>
      </w:r>
    </w:p>
    <w:p w14:paraId="7F1C1C6B" w14:textId="77777777" w:rsidR="00B23E1C" w:rsidRPr="00812871" w:rsidRDefault="00B23E1C" w:rsidP="00812871">
      <w:pPr>
        <w:pStyle w:val="CBDNormalNumber"/>
        <w:numPr>
          <w:ilvl w:val="1"/>
          <w:numId w:val="34"/>
        </w:numPr>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Indicator A.3 </w:t>
      </w:r>
      <w:r w:rsidRPr="002E211C">
        <w:rPr>
          <w:rStyle w:val="normaltextrun"/>
          <w:rFonts w:asciiTheme="majorBidi" w:eastAsiaTheme="majorEastAsia" w:hAnsiTheme="majorBidi" w:cstheme="majorBidi"/>
          <w:i/>
          <w:iCs/>
          <w:color w:val="000000"/>
          <w:lang w:val="en-AU"/>
        </w:rPr>
        <w:t>Red List Index</w:t>
      </w:r>
      <w:r w:rsidRPr="00ED7E61">
        <w:rPr>
          <w:rStyle w:val="normaltextrun"/>
          <w:rFonts w:asciiTheme="majorBidi" w:eastAsiaTheme="majorEastAsia" w:hAnsiTheme="majorBidi" w:cstheme="majorBidi"/>
          <w:color w:val="000000"/>
          <w:lang w:val="en-AU"/>
        </w:rPr>
        <w:t>, based on data from the IUCN Red List of Threatened Species, addresses species extinction risk; the Red List of Ecosystems focusses</w:t>
      </w:r>
      <w:r w:rsidRPr="00812871">
        <w:rPr>
          <w:rStyle w:val="normaltextrun"/>
          <w:rFonts w:asciiTheme="majorBidi" w:eastAsiaTheme="majorEastAsia" w:hAnsiTheme="majorBidi" w:cstheme="majorBidi"/>
          <w:color w:val="000000"/>
          <w:lang w:val="en-AU"/>
        </w:rPr>
        <w:t xml:space="preserve"> on a different level of biodiversity, deepening understanding of biodiversity loss and priorities for action to reverse it.</w:t>
      </w:r>
      <w:r w:rsidRPr="00812871">
        <w:rPr>
          <w:rStyle w:val="normaltextrun"/>
          <w:lang w:val="en-AU"/>
        </w:rPr>
        <w:t> </w:t>
      </w:r>
    </w:p>
    <w:p w14:paraId="747B3658" w14:textId="7D37D29D" w:rsidR="00B23E1C" w:rsidRPr="00812871" w:rsidRDefault="00B23E1C" w:rsidP="00812871">
      <w:pPr>
        <w:pStyle w:val="CBDNormalNumber"/>
        <w:numPr>
          <w:ilvl w:val="1"/>
          <w:numId w:val="34"/>
        </w:numPr>
        <w:rPr>
          <w:rStyle w:val="normaltextrun"/>
          <w:lang w:val="en-AU"/>
        </w:rPr>
      </w:pPr>
      <w:r w:rsidRPr="00812871">
        <w:rPr>
          <w:rStyle w:val="normaltextrun"/>
          <w:rFonts w:asciiTheme="majorBidi" w:eastAsiaTheme="majorEastAsia" w:hAnsiTheme="majorBidi" w:cstheme="majorBidi"/>
          <w:color w:val="000000"/>
          <w:lang w:val="en-AU"/>
        </w:rPr>
        <w:t xml:space="preserve">Indicator B.1 </w:t>
      </w:r>
      <w:r w:rsidRPr="00812871">
        <w:rPr>
          <w:rStyle w:val="normaltextrun"/>
          <w:rFonts w:asciiTheme="majorBidi" w:eastAsiaTheme="majorEastAsia" w:hAnsiTheme="majorBidi" w:cstheme="majorBidi"/>
          <w:i/>
          <w:iCs/>
          <w:color w:val="000000"/>
          <w:lang w:val="en-AU"/>
        </w:rPr>
        <w:t>Services provided by ecosystems</w:t>
      </w:r>
      <w:r w:rsidRPr="00812871">
        <w:rPr>
          <w:rStyle w:val="normaltextrun"/>
          <w:rFonts w:asciiTheme="majorBidi" w:eastAsiaTheme="majorEastAsia" w:hAnsiTheme="majorBidi" w:cstheme="majorBidi"/>
          <w:color w:val="000000"/>
          <w:lang w:val="en-AU"/>
        </w:rPr>
        <w:t xml:space="preserve">, </w:t>
      </w:r>
      <w:r w:rsidRPr="00ED7E61">
        <w:rPr>
          <w:rStyle w:val="normaltextrun"/>
          <w:rFonts w:asciiTheme="majorBidi" w:eastAsiaTheme="majorEastAsia" w:hAnsiTheme="majorBidi" w:cstheme="majorBidi"/>
          <w:color w:val="000000"/>
          <w:lang w:val="en-AU"/>
        </w:rPr>
        <w:t>based on SEEA ecosystem services accounts, provides information on</w:t>
      </w:r>
      <w:r>
        <w:rPr>
          <w:rStyle w:val="normaltextrun"/>
          <w:rFonts w:asciiTheme="majorBidi" w:eastAsiaTheme="majorEastAsia" w:hAnsiTheme="majorBidi" w:cstheme="majorBidi"/>
          <w:color w:val="000000"/>
          <w:lang w:val="en-AU"/>
        </w:rPr>
        <w:t xml:space="preserve"> trends in ecosystem service flows</w:t>
      </w:r>
      <w:r w:rsidRPr="00ED7E61">
        <w:rPr>
          <w:rStyle w:val="normaltextrun"/>
          <w:rFonts w:asciiTheme="majorBidi" w:eastAsiaTheme="majorEastAsia" w:hAnsiTheme="majorBidi" w:cstheme="majorBidi"/>
          <w:color w:val="000000"/>
          <w:lang w:val="en-AU"/>
        </w:rPr>
        <w:t xml:space="preserve"> whereas the Red List of Ecosystems assesses impacts of ecosystem change on risks to ecosystem-level biodiversity, and emphasises a risk-reduction strategies for ecosystem management.</w:t>
      </w:r>
      <w:r w:rsidRPr="00812871">
        <w:rPr>
          <w:rStyle w:val="normaltextrun"/>
          <w:lang w:val="en-AU"/>
        </w:rPr>
        <w:t> </w:t>
      </w:r>
    </w:p>
    <w:p w14:paraId="35E0C960" w14:textId="77777777" w:rsidR="00B23E1C" w:rsidRPr="00812871" w:rsidRDefault="00B23E1C" w:rsidP="00812871">
      <w:pPr>
        <w:pStyle w:val="CBDNormalNumber"/>
        <w:numPr>
          <w:ilvl w:val="1"/>
          <w:numId w:val="34"/>
        </w:numPr>
        <w:rPr>
          <w:rStyle w:val="normaltextrun"/>
          <w:lang w:val="en-AU"/>
        </w:rPr>
      </w:pPr>
      <w:r w:rsidRPr="00812871">
        <w:rPr>
          <w:rStyle w:val="normaltextrun"/>
          <w:rFonts w:eastAsiaTheme="majorEastAsia"/>
          <w:color w:val="000000"/>
          <w:lang w:val="en-AU"/>
        </w:rPr>
        <w:t xml:space="preserve">Headline indicators 2.1 </w:t>
      </w:r>
      <w:r w:rsidRPr="00812871">
        <w:rPr>
          <w:rStyle w:val="normaltextrun"/>
          <w:rFonts w:eastAsiaTheme="majorEastAsia"/>
          <w:i/>
          <w:iCs/>
          <w:color w:val="000000"/>
          <w:lang w:val="en-AU"/>
        </w:rPr>
        <w:t>Area under restoration</w:t>
      </w:r>
      <w:r w:rsidRPr="00812871">
        <w:rPr>
          <w:rStyle w:val="normaltextrun"/>
          <w:rFonts w:eastAsiaTheme="majorEastAsia"/>
          <w:color w:val="000000"/>
          <w:lang w:val="en-AU"/>
        </w:rPr>
        <w:t xml:space="preserve">, and 3.1 </w:t>
      </w:r>
      <w:r w:rsidRPr="00812871">
        <w:rPr>
          <w:rStyle w:val="normaltextrun"/>
          <w:rFonts w:eastAsiaTheme="majorEastAsia"/>
          <w:i/>
          <w:iCs/>
          <w:color w:val="000000"/>
          <w:lang w:val="en-AU"/>
        </w:rPr>
        <w:t>Coverage of protected areas and other effective area-based conservation measures</w:t>
      </w:r>
      <w:r w:rsidRPr="00812871">
        <w:rPr>
          <w:rStyle w:val="normaltextrun"/>
          <w:rFonts w:eastAsiaTheme="majorEastAsia"/>
          <w:color w:val="000000"/>
          <w:lang w:val="en-AU"/>
        </w:rPr>
        <w:t xml:space="preserve"> provide information about interventions to protect and restore ecosystems, respectively.</w:t>
      </w:r>
    </w:p>
    <w:p w14:paraId="53EE11C2" w14:textId="77777777" w:rsid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Many of the complementary and component indicators for Goal A, such as Live Coral Cover, trends in mangrove forest fragmentation, and Forest Landscape Integrity Index, can provide input data for Red List of Ecosystems assessments (</w:t>
      </w:r>
      <w:proofErr w:type="spellStart"/>
      <w:r w:rsidRPr="00ED7E61">
        <w:rPr>
          <w:rStyle w:val="normaltextrun"/>
          <w:rFonts w:asciiTheme="majorBidi" w:eastAsiaTheme="majorEastAsia" w:hAnsiTheme="majorBidi" w:cstheme="majorBidi"/>
          <w:color w:val="000000"/>
          <w:lang w:val="en-AU"/>
        </w:rPr>
        <w:t>eg</w:t>
      </w:r>
      <w:proofErr w:type="spellEnd"/>
      <w:r w:rsidRPr="00ED7E61">
        <w:rPr>
          <w:rStyle w:val="normaltextrun"/>
          <w:rFonts w:asciiTheme="majorBidi" w:eastAsiaTheme="majorEastAsia" w:hAnsiTheme="majorBidi" w:cstheme="majorBidi"/>
          <w:color w:val="000000"/>
          <w:lang w:val="en-AU"/>
        </w:rPr>
        <w:t xml:space="preserve"> Obura et al</w:t>
      </w:r>
      <w:r>
        <w:rPr>
          <w:rStyle w:val="normaltextrun"/>
          <w:rFonts w:asciiTheme="majorBidi" w:eastAsiaTheme="majorEastAsia" w:hAnsiTheme="majorBidi" w:cstheme="majorBidi"/>
          <w:color w:val="000000"/>
          <w:lang w:val="en-AU"/>
        </w:rPr>
        <w:t>.</w:t>
      </w:r>
      <w:r w:rsidRPr="00ED7E61">
        <w:rPr>
          <w:rStyle w:val="normaltextrun"/>
          <w:rFonts w:asciiTheme="majorBidi" w:eastAsiaTheme="majorEastAsia" w:hAnsiTheme="majorBidi" w:cstheme="majorBidi"/>
          <w:color w:val="000000"/>
          <w:lang w:val="en-AU"/>
        </w:rPr>
        <w:t xml:space="preserve"> 2022, Murray et al. 2020).</w:t>
      </w:r>
      <w:r w:rsidRPr="004262AE">
        <w:rPr>
          <w:rStyle w:val="normaltextrun"/>
          <w:rFonts w:asciiTheme="majorBidi" w:eastAsiaTheme="majorEastAsia" w:hAnsiTheme="majorBidi" w:cstheme="majorBidi"/>
          <w:color w:val="000000"/>
          <w:lang w:val="en-AU"/>
        </w:rPr>
        <w:t> </w:t>
      </w:r>
    </w:p>
    <w:p w14:paraId="1E19FF60" w14:textId="563F42AF"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 xml:space="preserve">Red </w:t>
      </w:r>
      <w:r w:rsidRPr="00B3383B">
        <w:t>List</w:t>
      </w:r>
      <w:r w:rsidRPr="004262AE">
        <w:rPr>
          <w:rStyle w:val="normaltextrun"/>
          <w:rFonts w:asciiTheme="majorBidi" w:eastAsiaTheme="majorEastAsia" w:hAnsiTheme="majorBidi" w:cstheme="majorBidi"/>
          <w:color w:val="000000"/>
          <w:lang w:val="en-AU"/>
        </w:rPr>
        <w:t xml:space="preserve"> of Ecosystems assessments can also support production of other indices, including: the Ecosystem Area Index, which aggregates data on change in ecosystem extent (criterion A); and the Ecosystem Health Index, which summarises data on changes in ecosystem integrity (Criteria C and/or D, based on ecosystem-specific indicators (see Rowland et al. 2020).</w:t>
      </w:r>
      <w:r w:rsidRPr="004262AE">
        <w:rPr>
          <w:rStyle w:val="normaltextrun"/>
          <w:lang w:val="en-AU"/>
        </w:rPr>
        <w:t> </w:t>
      </w:r>
    </w:p>
    <w:p w14:paraId="6666CD34" w14:textId="77777777" w:rsidR="00B23E1C" w:rsidRPr="00ED7E61" w:rsidRDefault="00B23E1C" w:rsidP="00B23E1C">
      <w:pPr>
        <w:pStyle w:val="paragraph"/>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 Data reporter</w:t>
      </w:r>
    </w:p>
    <w:p w14:paraId="10DB4119" w14:textId="77777777" w:rsidR="00B23E1C" w:rsidRPr="00ED7E61" w:rsidRDefault="00B23E1C" w:rsidP="00B23E1C">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10a. Organi</w:t>
      </w:r>
      <w:r>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w:t>
      </w:r>
    </w:p>
    <w:p w14:paraId="465D2390"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International</w:t>
      </w:r>
      <w:r w:rsidRPr="00ED7E61">
        <w:rPr>
          <w:rStyle w:val="normaltextrun"/>
          <w:rFonts w:asciiTheme="majorBidi" w:eastAsiaTheme="majorEastAsia" w:hAnsiTheme="majorBidi" w:cstheme="majorBidi"/>
          <w:color w:val="000000"/>
          <w:lang w:val="en-AU"/>
        </w:rPr>
        <w:t xml:space="preserve"> Union for Conservation of Nature (IUCN) </w:t>
      </w:r>
      <w:r w:rsidRPr="004262AE">
        <w:rPr>
          <w:rStyle w:val="normaltextrun"/>
          <w:rFonts w:asciiTheme="majorBidi" w:eastAsiaTheme="majorEastAsia" w:hAnsiTheme="majorBidi" w:cstheme="majorBidi"/>
          <w:color w:val="000000"/>
          <w:lang w:val="en-AU"/>
        </w:rPr>
        <w:t> </w:t>
      </w:r>
    </w:p>
    <w:p w14:paraId="7E2A3016"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4262AE">
        <w:rPr>
          <w:rStyle w:val="normaltextrun"/>
          <w:rFonts w:asciiTheme="majorBidi" w:eastAsiaTheme="majorEastAsia" w:hAnsiTheme="majorBidi" w:cstheme="majorBidi"/>
          <w:color w:val="000000"/>
          <w:lang w:val="en-AU"/>
        </w:rPr>
        <w:t>Commission</w:t>
      </w:r>
      <w:r w:rsidRPr="00ED7E61">
        <w:rPr>
          <w:rStyle w:val="normaltextrun"/>
          <w:rFonts w:asciiTheme="majorBidi" w:eastAsiaTheme="majorEastAsia" w:hAnsiTheme="majorBidi" w:cstheme="majorBidi"/>
          <w:color w:val="000000"/>
          <w:lang w:val="en-AU"/>
        </w:rPr>
        <w:t xml:space="preserve"> on Ecosystem Management (CEM)</w:t>
      </w:r>
      <w:r w:rsidRPr="004262AE">
        <w:rPr>
          <w:rStyle w:val="normaltextrun"/>
          <w:rFonts w:asciiTheme="majorBidi" w:eastAsiaTheme="majorEastAsia" w:hAnsiTheme="majorBidi" w:cstheme="majorBidi"/>
          <w:color w:val="000000"/>
          <w:lang w:val="en-AU"/>
        </w:rPr>
        <w:t> </w:t>
      </w:r>
    </w:p>
    <w:p w14:paraId="3383C7F6"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b/>
          <w:bCs/>
          <w:sz w:val="22"/>
          <w:szCs w:val="22"/>
        </w:rPr>
        <w:t> </w:t>
      </w:r>
    </w:p>
    <w:p w14:paraId="619AE788"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 xml:space="preserve">This meta-data sheet was prepared by Emily Nicholson (University of Melbourne, Australia; AHTEG), with contributions from: Brett Painter (Environment and Climate Change Canada, AHTEG), Jess Rowland (Monash University, Australia), Arild Lindgaard (Norwegian government); Tytti </w:t>
      </w:r>
      <w:proofErr w:type="spellStart"/>
      <w:r w:rsidRPr="00ED7E61">
        <w:rPr>
          <w:rStyle w:val="normaltextrun"/>
          <w:rFonts w:asciiTheme="majorBidi" w:eastAsiaTheme="majorEastAsia" w:hAnsiTheme="majorBidi" w:cstheme="majorBidi"/>
          <w:color w:val="000000"/>
          <w:lang w:val="en-AU"/>
        </w:rPr>
        <w:t>Kontula</w:t>
      </w:r>
      <w:proofErr w:type="spellEnd"/>
      <w:r w:rsidRPr="00ED7E61">
        <w:rPr>
          <w:rStyle w:val="normaltextrun"/>
          <w:rFonts w:asciiTheme="majorBidi" w:eastAsiaTheme="majorEastAsia" w:hAnsiTheme="majorBidi" w:cstheme="majorBidi"/>
          <w:color w:val="000000"/>
          <w:lang w:val="en-AU"/>
        </w:rPr>
        <w:t xml:space="preserve"> and Anne Raunio (SYKE, Finland); Mandy Driver (independent consultant, South Africa) Andrew Skowno (SANBI, South Africa), Jose Ferrer-Paris (University of NSW, Australia), David Keith (University of NSW, Australia), Marcos Valderrabano (IUCN), Tom Brooks (IUCN), David Obura (CORDIO East Africa), Mishal </w:t>
      </w:r>
      <w:proofErr w:type="spellStart"/>
      <w:r w:rsidRPr="00ED7E61">
        <w:rPr>
          <w:rStyle w:val="normaltextrun"/>
          <w:rFonts w:asciiTheme="majorBidi" w:eastAsiaTheme="majorEastAsia" w:hAnsiTheme="majorBidi" w:cstheme="majorBidi"/>
          <w:color w:val="000000"/>
          <w:lang w:val="en-AU"/>
        </w:rPr>
        <w:t>Gudka</w:t>
      </w:r>
      <w:proofErr w:type="spellEnd"/>
      <w:r w:rsidRPr="00ED7E61">
        <w:rPr>
          <w:rStyle w:val="normaltextrun"/>
          <w:rFonts w:asciiTheme="majorBidi" w:eastAsiaTheme="majorEastAsia" w:hAnsiTheme="majorBidi" w:cstheme="majorBidi"/>
          <w:color w:val="000000"/>
          <w:lang w:val="en-AU"/>
        </w:rPr>
        <w:t xml:space="preserve"> (University of Melbourne, CORDIO East Africa), Julianna Santos (University of Melbourne) and the Ad Hoc Technical Expert Group (AHTEG).</w:t>
      </w:r>
      <w:r w:rsidRPr="004262AE">
        <w:rPr>
          <w:rStyle w:val="normaltextrun"/>
          <w:rFonts w:asciiTheme="majorBidi" w:eastAsiaTheme="majorEastAsia" w:hAnsiTheme="majorBidi" w:cstheme="majorBidi"/>
          <w:color w:val="000000"/>
          <w:lang w:val="en-AU"/>
        </w:rPr>
        <w:t> </w:t>
      </w:r>
    </w:p>
    <w:p w14:paraId="0EB12AF8" w14:textId="77777777" w:rsidR="00B23E1C" w:rsidRPr="004262AE" w:rsidRDefault="00B23E1C" w:rsidP="004262AE">
      <w:pPr>
        <w:pStyle w:val="CBDNormalNumber"/>
        <w:numPr>
          <w:ilvl w:val="0"/>
          <w:numId w:val="40"/>
        </w:numPr>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lastRenderedPageBreak/>
        <w:t xml:space="preserve">Emily </w:t>
      </w:r>
      <w:r w:rsidRPr="004262AE">
        <w:rPr>
          <w:rStyle w:val="normaltextrun"/>
          <w:rFonts w:asciiTheme="majorBidi" w:eastAsiaTheme="majorEastAsia" w:hAnsiTheme="majorBidi" w:cstheme="majorBidi"/>
          <w:color w:val="000000"/>
          <w:lang w:val="en-AU"/>
        </w:rPr>
        <w:t>Nicholson</w:t>
      </w:r>
      <w:r w:rsidRPr="00ED7E61">
        <w:rPr>
          <w:rStyle w:val="normaltextrun"/>
          <w:rFonts w:asciiTheme="majorBidi" w:eastAsiaTheme="majorEastAsia" w:hAnsiTheme="majorBidi" w:cstheme="majorBidi"/>
          <w:color w:val="000000"/>
          <w:lang w:val="en-AU"/>
        </w:rPr>
        <w:t xml:space="preserve"> (emily.nicholson@unimelb.edu.au)</w:t>
      </w:r>
      <w:r w:rsidRPr="004262AE">
        <w:rPr>
          <w:rStyle w:val="normaltextrun"/>
          <w:rFonts w:asciiTheme="majorBidi" w:eastAsiaTheme="majorEastAsia" w:hAnsiTheme="majorBidi" w:cstheme="majorBidi"/>
          <w:color w:val="000000"/>
          <w:lang w:val="en-AU"/>
        </w:rPr>
        <w:t> </w:t>
      </w:r>
    </w:p>
    <w:p w14:paraId="3DCA2869" w14:textId="77777777" w:rsidR="00B23E1C" w:rsidRPr="00F53E05" w:rsidRDefault="00B23E1C" w:rsidP="004262AE">
      <w:pPr>
        <w:pStyle w:val="CBDNormalNumber"/>
        <w:numPr>
          <w:ilvl w:val="0"/>
          <w:numId w:val="40"/>
        </w:numPr>
        <w:rPr>
          <w:rStyle w:val="normaltextrun"/>
          <w:rFonts w:asciiTheme="majorBidi" w:eastAsiaTheme="majorEastAsia" w:hAnsiTheme="majorBidi" w:cstheme="majorBidi"/>
          <w:color w:val="000000"/>
          <w:lang w:val="es-ES"/>
        </w:rPr>
      </w:pPr>
      <w:r w:rsidRPr="00F53E05">
        <w:rPr>
          <w:rStyle w:val="normaltextrun"/>
          <w:rFonts w:asciiTheme="majorBidi" w:eastAsiaTheme="majorEastAsia" w:hAnsiTheme="majorBidi" w:cstheme="majorBidi"/>
          <w:color w:val="000000"/>
          <w:lang w:val="es-ES"/>
        </w:rPr>
        <w:t>Marcos Valderrabano (marcos.valderrabano@iucn.org)  </w:t>
      </w:r>
    </w:p>
    <w:p w14:paraId="0F7D2674" w14:textId="77777777" w:rsidR="00B23E1C" w:rsidRPr="00ED7E61" w:rsidRDefault="00B23E1C" w:rsidP="00B23E1C">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s-CO"/>
        </w:rPr>
      </w:pPr>
    </w:p>
    <w:p w14:paraId="4F38EF9B" w14:textId="77777777" w:rsidR="00B23E1C" w:rsidRPr="00ED7E61" w:rsidRDefault="00B23E1C" w:rsidP="00B23E1C">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lang w:val="es-ES"/>
        </w:rPr>
      </w:pPr>
      <w:r w:rsidRPr="00ED7E61">
        <w:rPr>
          <w:rStyle w:val="normaltextrun"/>
          <w:rFonts w:asciiTheme="majorBidi" w:eastAsiaTheme="majorEastAsia" w:hAnsiTheme="majorBidi" w:cstheme="majorBidi"/>
          <w:b/>
          <w:bCs/>
          <w:sz w:val="22"/>
          <w:szCs w:val="22"/>
          <w:lang w:val="es-CO"/>
        </w:rPr>
        <w:t xml:space="preserve">11. </w:t>
      </w:r>
      <w:proofErr w:type="spellStart"/>
      <w:r w:rsidRPr="00ED7E61">
        <w:rPr>
          <w:rStyle w:val="normaltextrun"/>
          <w:rFonts w:asciiTheme="majorBidi" w:eastAsiaTheme="majorEastAsia" w:hAnsiTheme="majorBidi" w:cstheme="majorBidi"/>
          <w:b/>
          <w:bCs/>
          <w:sz w:val="22"/>
          <w:szCs w:val="22"/>
          <w:lang w:val="es-CO"/>
        </w:rPr>
        <w:t>References</w:t>
      </w:r>
      <w:proofErr w:type="spellEnd"/>
      <w:r w:rsidRPr="00ED7E61">
        <w:rPr>
          <w:rStyle w:val="eop"/>
          <w:rFonts w:asciiTheme="majorBidi" w:eastAsiaTheme="majorEastAsia" w:hAnsiTheme="majorBidi" w:cstheme="majorBidi"/>
          <w:b/>
          <w:bCs/>
          <w:sz w:val="22"/>
          <w:szCs w:val="22"/>
          <w:lang w:val="es-ES"/>
        </w:rPr>
        <w:t> </w:t>
      </w:r>
    </w:p>
    <w:p w14:paraId="564CE161" w14:textId="77777777" w:rsidR="00B23E1C" w:rsidRPr="00ED7E61" w:rsidRDefault="00B23E1C" w:rsidP="00B23E1C">
      <w:pPr>
        <w:pStyle w:val="paragraph"/>
        <w:spacing w:before="120" w:beforeAutospacing="0" w:after="120" w:afterAutospacing="0"/>
        <w:textAlignment w:val="baseline"/>
        <w:rPr>
          <w:rFonts w:asciiTheme="majorBidi" w:hAnsiTheme="majorBidi" w:cstheme="majorBidi"/>
          <w:sz w:val="22"/>
          <w:szCs w:val="22"/>
          <w:lang w:val="es-ES"/>
        </w:rPr>
      </w:pPr>
      <w:proofErr w:type="spellStart"/>
      <w:r w:rsidRPr="00ED7E61">
        <w:rPr>
          <w:rStyle w:val="normaltextrun"/>
          <w:rFonts w:asciiTheme="majorBidi" w:eastAsiaTheme="majorEastAsia" w:hAnsiTheme="majorBidi" w:cstheme="majorBidi"/>
          <w:b/>
          <w:bCs/>
          <w:color w:val="000000"/>
          <w:sz w:val="22"/>
          <w:szCs w:val="22"/>
          <w:lang w:val="es-CO"/>
        </w:rPr>
        <w:t>Website</w:t>
      </w:r>
      <w:proofErr w:type="spellEnd"/>
      <w:r w:rsidRPr="00ED7E61">
        <w:rPr>
          <w:rStyle w:val="eop"/>
          <w:rFonts w:asciiTheme="majorBidi" w:eastAsiaTheme="majorEastAsia" w:hAnsiTheme="majorBidi" w:cstheme="majorBidi"/>
          <w:color w:val="000000"/>
          <w:sz w:val="22"/>
          <w:szCs w:val="22"/>
          <w:lang w:val="es-ES"/>
        </w:rPr>
        <w:t> </w:t>
      </w:r>
    </w:p>
    <w:p w14:paraId="5E6F186F" w14:textId="77777777" w:rsidR="00B23E1C" w:rsidRPr="00ED7E61" w:rsidRDefault="00B23E1C" w:rsidP="00B23E1C">
      <w:pPr>
        <w:pStyle w:val="paragraph"/>
        <w:spacing w:before="0" w:beforeAutospacing="0" w:after="0" w:afterAutospacing="0"/>
        <w:textAlignment w:val="baseline"/>
        <w:rPr>
          <w:rStyle w:val="normaltextrun"/>
          <w:rFonts w:asciiTheme="majorBidi" w:eastAsiaTheme="majorEastAsia" w:hAnsiTheme="majorBidi" w:cstheme="majorBidi"/>
          <w:b/>
          <w:bCs/>
          <w:color w:val="000000"/>
          <w:sz w:val="22"/>
          <w:szCs w:val="22"/>
          <w:lang w:val="es-CO"/>
        </w:rPr>
      </w:pPr>
      <w:r w:rsidRPr="00ED7E61">
        <w:rPr>
          <w:rStyle w:val="normaltextrun"/>
          <w:rFonts w:asciiTheme="majorBidi" w:eastAsiaTheme="majorEastAsia" w:hAnsiTheme="majorBidi" w:cstheme="majorBidi"/>
          <w:color w:val="467886"/>
          <w:sz w:val="22"/>
          <w:szCs w:val="22"/>
          <w:u w:val="single"/>
          <w:lang w:val="es-CO"/>
        </w:rPr>
        <w:t>https://iucnrle.org/</w:t>
      </w:r>
      <w:r w:rsidRPr="00ED7E61">
        <w:rPr>
          <w:rStyle w:val="normaltextrun"/>
          <w:rFonts w:asciiTheme="majorBidi" w:eastAsiaTheme="majorEastAsia" w:hAnsiTheme="majorBidi" w:cstheme="majorBidi"/>
          <w:color w:val="000000"/>
          <w:sz w:val="22"/>
          <w:szCs w:val="22"/>
          <w:lang w:val="es-CO"/>
        </w:rPr>
        <w:t xml:space="preserve"> </w:t>
      </w:r>
      <w:proofErr w:type="gramStart"/>
      <w:r w:rsidRPr="00ED7E61">
        <w:rPr>
          <w:rStyle w:val="normaltextrun"/>
          <w:rFonts w:asciiTheme="majorBidi" w:eastAsiaTheme="majorEastAsia" w:hAnsiTheme="majorBidi" w:cstheme="majorBidi"/>
          <w:color w:val="467886"/>
          <w:sz w:val="22"/>
          <w:szCs w:val="22"/>
          <w:u w:val="single"/>
          <w:lang w:val="es-CO"/>
        </w:rPr>
        <w:t>https://assessments.iucnrle.org/</w:t>
      </w:r>
      <w:r w:rsidRPr="00ED7E61">
        <w:rPr>
          <w:rStyle w:val="normaltextrun"/>
          <w:rFonts w:asciiTheme="majorBidi" w:eastAsiaTheme="majorEastAsia" w:hAnsiTheme="majorBidi" w:cstheme="majorBidi"/>
          <w:color w:val="000000"/>
          <w:sz w:val="22"/>
          <w:szCs w:val="22"/>
          <w:lang w:val="es-CO"/>
        </w:rPr>
        <w:t> ;</w:t>
      </w:r>
      <w:proofErr w:type="gramEnd"/>
      <w:r w:rsidRPr="00ED7E61">
        <w:rPr>
          <w:rStyle w:val="normaltextrun"/>
          <w:rFonts w:asciiTheme="majorBidi" w:eastAsiaTheme="majorEastAsia" w:hAnsiTheme="majorBidi" w:cstheme="majorBidi"/>
          <w:color w:val="000000"/>
          <w:sz w:val="22"/>
          <w:szCs w:val="22"/>
          <w:lang w:val="es-CO"/>
        </w:rPr>
        <w:t xml:space="preserve"> </w:t>
      </w:r>
      <w:r w:rsidRPr="00ED7E61">
        <w:rPr>
          <w:rStyle w:val="normaltextrun"/>
          <w:rFonts w:asciiTheme="majorBidi" w:eastAsiaTheme="majorEastAsia" w:hAnsiTheme="majorBidi" w:cstheme="majorBidi"/>
          <w:color w:val="467886"/>
          <w:sz w:val="22"/>
          <w:szCs w:val="22"/>
          <w:u w:val="single"/>
          <w:lang w:val="es-CO"/>
        </w:rPr>
        <w:t>https://global-ecosystems.org/</w:t>
      </w:r>
      <w:r w:rsidRPr="00ED7E61">
        <w:rPr>
          <w:rStyle w:val="normaltextrun"/>
          <w:rFonts w:asciiTheme="majorBidi" w:eastAsiaTheme="majorEastAsia" w:hAnsiTheme="majorBidi" w:cstheme="majorBidi"/>
          <w:color w:val="000000"/>
          <w:sz w:val="22"/>
          <w:szCs w:val="22"/>
          <w:lang w:val="es-CO"/>
        </w:rPr>
        <w:t> </w:t>
      </w:r>
      <w:r w:rsidRPr="00ED7E61">
        <w:rPr>
          <w:rStyle w:val="eop"/>
          <w:rFonts w:asciiTheme="majorBidi" w:eastAsiaTheme="majorEastAsia" w:hAnsiTheme="majorBidi" w:cstheme="majorBidi"/>
          <w:color w:val="000000"/>
          <w:sz w:val="22"/>
          <w:szCs w:val="22"/>
          <w:lang w:val="es-ES"/>
        </w:rPr>
        <w:t> </w:t>
      </w:r>
    </w:p>
    <w:p w14:paraId="67093E20" w14:textId="77777777" w:rsidR="00B23E1C" w:rsidRPr="000A3ABD" w:rsidRDefault="00B23E1C" w:rsidP="00B23E1C">
      <w:pPr>
        <w:pStyle w:val="paragraph"/>
        <w:spacing w:before="120" w:beforeAutospacing="0" w:after="0" w:afterAutospacing="0"/>
        <w:textAlignment w:val="baseline"/>
        <w:rPr>
          <w:rFonts w:asciiTheme="majorBidi" w:hAnsiTheme="majorBidi" w:cstheme="majorBidi"/>
          <w:sz w:val="22"/>
          <w:szCs w:val="22"/>
        </w:rPr>
      </w:pPr>
      <w:r w:rsidRPr="000A3ABD">
        <w:rPr>
          <w:rStyle w:val="normaltextrun"/>
          <w:rFonts w:asciiTheme="majorBidi" w:eastAsiaTheme="majorEastAsia" w:hAnsiTheme="majorBidi" w:cstheme="majorBidi"/>
          <w:b/>
          <w:bCs/>
          <w:color w:val="000000"/>
          <w:sz w:val="22"/>
          <w:szCs w:val="22"/>
        </w:rPr>
        <w:t>References</w:t>
      </w:r>
      <w:r w:rsidRPr="000A3ABD">
        <w:rPr>
          <w:rStyle w:val="eop"/>
          <w:rFonts w:asciiTheme="majorBidi" w:eastAsiaTheme="majorEastAsia" w:hAnsiTheme="majorBidi" w:cstheme="majorBidi"/>
          <w:color w:val="000000"/>
          <w:sz w:val="22"/>
          <w:szCs w:val="22"/>
        </w:rPr>
        <w:t> </w:t>
      </w:r>
    </w:p>
    <w:p w14:paraId="68A14FBA" w14:textId="77777777" w:rsidR="00B23E1C" w:rsidRPr="00ED7E61" w:rsidRDefault="00B23E1C" w:rsidP="00B23E1C">
      <w:pPr>
        <w:pStyle w:val="CBDNormalNumber"/>
        <w:ind w:left="567"/>
        <w:rPr>
          <w:rStyle w:val="normaltextrun"/>
          <w:rFonts w:eastAsiaTheme="majorEastAsia"/>
          <w:color w:val="000000"/>
          <w:sz w:val="24"/>
          <w:szCs w:val="24"/>
          <w:lang w:val="en-AU"/>
        </w:rPr>
      </w:pPr>
      <w:r w:rsidRPr="000A3ABD">
        <w:rPr>
          <w:rStyle w:val="normaltextrun"/>
          <w:rFonts w:asciiTheme="majorBidi" w:eastAsiaTheme="majorEastAsia" w:hAnsiTheme="majorBidi" w:cstheme="majorBidi"/>
          <w:color w:val="000000"/>
          <w:lang w:val="en-CA"/>
        </w:rPr>
        <w:t xml:space="preserve">Bland LM et al. </w:t>
      </w:r>
      <w:r w:rsidRPr="00ED7E61">
        <w:rPr>
          <w:rStyle w:val="normaltextrun"/>
          <w:rFonts w:asciiTheme="majorBidi" w:eastAsiaTheme="majorEastAsia" w:hAnsiTheme="majorBidi" w:cstheme="majorBidi"/>
          <w:color w:val="000000"/>
          <w:lang w:val="en-AU"/>
        </w:rPr>
        <w:t>(2019) Impacts of the IUCN Red List of Ecosystems on conservation policy and practice. Conservation Letters 12 (5): e12666. doi.org/10.1111/conl.12666 </w:t>
      </w:r>
      <w:r w:rsidRPr="00ED7E61">
        <w:rPr>
          <w:rStyle w:val="normaltextrun"/>
          <w:lang w:val="en-AU"/>
        </w:rPr>
        <w:t> </w:t>
      </w:r>
    </w:p>
    <w:p w14:paraId="0F7C8750"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Botts E.A., Skowno A., Driver A. et al. (2020) More than just a (red) list: Over a decade of using South Africa's threatened ecosystems in policy and practice. Biological Conservation 246, 108559.</w:t>
      </w:r>
      <w:r w:rsidRPr="00ED7E61">
        <w:rPr>
          <w:rStyle w:val="normaltextrun"/>
          <w:lang w:val="en-AU"/>
        </w:rPr>
        <w:t> </w:t>
      </w:r>
    </w:p>
    <w:p w14:paraId="375FBB64"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Burns EL, Lindenmayer DB, Stein J, Blanchard W, McBurney L, Blair D, Banks SC (2015) Ecosystem assessment of mountain ash forest in the Central Highlands of Victoria, south-eastern Australia. Austral Ecology 40:386–399. </w:t>
      </w:r>
      <w:r w:rsidRPr="00ED7E61">
        <w:rPr>
          <w:rStyle w:val="normaltextrun"/>
          <w:lang w:val="en-AU"/>
        </w:rPr>
        <w:t> </w:t>
      </w:r>
    </w:p>
    <w:p w14:paraId="6EA4AF10" w14:textId="77777777" w:rsidR="00B23E1C" w:rsidRPr="00ED7E61" w:rsidRDefault="00B23E1C" w:rsidP="00B23E1C">
      <w:pPr>
        <w:pStyle w:val="CBDNormalNumber"/>
        <w:ind w:left="567"/>
        <w:jc w:val="left"/>
        <w:rPr>
          <w:rStyle w:val="normaltextrun"/>
          <w:rFonts w:eastAsiaTheme="majorEastAsia"/>
          <w:color w:val="000000"/>
          <w:lang w:val="es-ES"/>
        </w:rPr>
      </w:pPr>
      <w:r w:rsidRPr="00ED7E61">
        <w:rPr>
          <w:rStyle w:val="normaltextrun"/>
          <w:rFonts w:asciiTheme="majorBidi" w:eastAsiaTheme="majorEastAsia" w:hAnsiTheme="majorBidi" w:cstheme="majorBidi"/>
          <w:color w:val="000000"/>
          <w:lang w:val="en-AU"/>
        </w:rPr>
        <w:t xml:space="preserve">Butchart SHM et al. (2004). Measuring global trends in the status of biodiversity: Red List Indices for birds. </w:t>
      </w:r>
      <w:proofErr w:type="spellStart"/>
      <w:r w:rsidRPr="00ED7E61">
        <w:rPr>
          <w:rStyle w:val="normaltextrun"/>
          <w:rFonts w:asciiTheme="majorBidi" w:eastAsiaTheme="majorEastAsia" w:hAnsiTheme="majorBidi" w:cstheme="majorBidi"/>
          <w:color w:val="000000"/>
          <w:lang w:val="es-ES"/>
        </w:rPr>
        <w:t>PLoS</w:t>
      </w:r>
      <w:proofErr w:type="spellEnd"/>
      <w:r w:rsidRPr="00ED7E61">
        <w:rPr>
          <w:rStyle w:val="normaltextrun"/>
          <w:rFonts w:asciiTheme="majorBidi" w:eastAsiaTheme="majorEastAsia" w:hAnsiTheme="majorBidi" w:cstheme="majorBidi"/>
          <w:color w:val="000000"/>
          <w:lang w:val="es-ES"/>
        </w:rPr>
        <w:t xml:space="preserve"> </w:t>
      </w:r>
      <w:proofErr w:type="spellStart"/>
      <w:r w:rsidRPr="00ED7E61">
        <w:rPr>
          <w:rStyle w:val="normaltextrun"/>
          <w:rFonts w:asciiTheme="majorBidi" w:eastAsiaTheme="majorEastAsia" w:hAnsiTheme="majorBidi" w:cstheme="majorBidi"/>
          <w:color w:val="000000"/>
          <w:lang w:val="es-ES"/>
        </w:rPr>
        <w:t>Biology</w:t>
      </w:r>
      <w:proofErr w:type="spellEnd"/>
      <w:r w:rsidRPr="00ED7E61">
        <w:rPr>
          <w:rStyle w:val="normaltextrun"/>
          <w:rFonts w:asciiTheme="majorBidi" w:eastAsiaTheme="majorEastAsia" w:hAnsiTheme="majorBidi" w:cstheme="majorBidi"/>
          <w:color w:val="000000"/>
          <w:lang w:val="es-ES"/>
        </w:rPr>
        <w:t xml:space="preserve"> 2: e383. </w:t>
      </w:r>
      <w:hyperlink r:id="rId25" w:tgtFrame="_blank" w:history="1">
        <w:r w:rsidRPr="00ED7E61">
          <w:rPr>
            <w:rStyle w:val="normaltextrun"/>
            <w:rFonts w:asciiTheme="majorBidi" w:eastAsiaTheme="majorEastAsia" w:hAnsiTheme="majorBidi" w:cstheme="majorBidi"/>
            <w:color w:val="000000"/>
            <w:lang w:val="es-ES"/>
          </w:rPr>
          <w:t>http://www.plosbiology.org/article/info:doi/10.1371/journal.pbio.0020383</w:t>
        </w:r>
      </w:hyperlink>
      <w:r w:rsidRPr="00ED7E61">
        <w:rPr>
          <w:rStyle w:val="normaltextrun"/>
          <w:rFonts w:asciiTheme="majorBidi" w:eastAsiaTheme="majorEastAsia" w:hAnsiTheme="majorBidi" w:cstheme="majorBidi"/>
          <w:color w:val="000000"/>
          <w:lang w:val="es-ES"/>
        </w:rPr>
        <w:t>.</w:t>
      </w:r>
      <w:r w:rsidRPr="00ED7E61">
        <w:rPr>
          <w:rStyle w:val="normaltextrun"/>
          <w:color w:val="000000"/>
          <w:lang w:val="es-ES"/>
        </w:rPr>
        <w:t> </w:t>
      </w:r>
    </w:p>
    <w:p w14:paraId="3EDCDA72"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Butchart SHM et al. (2007) Improvements to the Red List Index. </w:t>
      </w:r>
      <w:proofErr w:type="spellStart"/>
      <w:r w:rsidRPr="00ED7E61">
        <w:rPr>
          <w:rStyle w:val="normaltextrun"/>
          <w:rFonts w:asciiTheme="majorBidi" w:eastAsiaTheme="majorEastAsia" w:hAnsiTheme="majorBidi" w:cstheme="majorBidi"/>
          <w:color w:val="000000"/>
          <w:lang w:val="en-AU"/>
        </w:rPr>
        <w:t>PLoS</w:t>
      </w:r>
      <w:proofErr w:type="spellEnd"/>
      <w:r w:rsidRPr="00ED7E61">
        <w:rPr>
          <w:rStyle w:val="normaltextrun"/>
          <w:rFonts w:asciiTheme="majorBidi" w:eastAsiaTheme="majorEastAsia" w:hAnsiTheme="majorBidi" w:cstheme="majorBidi"/>
          <w:color w:val="000000"/>
          <w:lang w:val="en-AU"/>
        </w:rPr>
        <w:t xml:space="preserve"> ONE </w:t>
      </w:r>
      <w:proofErr w:type="gramStart"/>
      <w:r w:rsidRPr="00ED7E61">
        <w:rPr>
          <w:rStyle w:val="normaltextrun"/>
          <w:rFonts w:asciiTheme="majorBidi" w:eastAsiaTheme="majorEastAsia" w:hAnsiTheme="majorBidi" w:cstheme="majorBidi"/>
          <w:color w:val="000000"/>
          <w:lang w:val="en-AU"/>
        </w:rPr>
        <w:t>2:e</w:t>
      </w:r>
      <w:proofErr w:type="gramEnd"/>
      <w:r w:rsidRPr="00ED7E61">
        <w:rPr>
          <w:rStyle w:val="normaltextrun"/>
          <w:rFonts w:asciiTheme="majorBidi" w:eastAsiaTheme="majorEastAsia" w:hAnsiTheme="majorBidi" w:cstheme="majorBidi"/>
          <w:color w:val="000000"/>
          <w:lang w:val="en-AU"/>
        </w:rPr>
        <w:t>140.</w:t>
      </w:r>
      <w:r w:rsidRPr="00ED7E61">
        <w:rPr>
          <w:rStyle w:val="normaltextrun"/>
          <w:lang w:val="en-AU"/>
        </w:rPr>
        <w:t> </w:t>
      </w:r>
    </w:p>
    <w:p w14:paraId="39B514F7"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Etter A., Andrade A., Kelly Saavedra, Amaya P., Cortés J., Arévalo P. (2020a) Colombian Ecosystems, Threats and Risks. An application of the Red List of Ecosystems to the continental terrestrial ecosystems. Pontificia Universidad Javeriana and </w:t>
      </w:r>
      <w:proofErr w:type="spellStart"/>
      <w:r w:rsidRPr="00ED7E61">
        <w:rPr>
          <w:rStyle w:val="normaltextrun"/>
          <w:rFonts w:asciiTheme="majorBidi" w:eastAsiaTheme="majorEastAsia" w:hAnsiTheme="majorBidi" w:cstheme="majorBidi"/>
          <w:color w:val="000000"/>
          <w:lang w:val="en-AU"/>
        </w:rPr>
        <w:t>Conservación</w:t>
      </w:r>
      <w:proofErr w:type="spellEnd"/>
      <w:r w:rsidRPr="00ED7E61">
        <w:rPr>
          <w:rStyle w:val="normaltextrun"/>
          <w:rFonts w:asciiTheme="majorBidi" w:eastAsiaTheme="majorEastAsia" w:hAnsiTheme="majorBidi" w:cstheme="majorBidi"/>
          <w:color w:val="000000"/>
          <w:lang w:val="en-AU"/>
        </w:rPr>
        <w:t xml:space="preserve"> Internacional-Colombia, Bogotá.</w:t>
      </w:r>
      <w:r w:rsidRPr="00ED7E61">
        <w:rPr>
          <w:rStyle w:val="normaltextrun"/>
          <w:lang w:val="en-AU"/>
        </w:rPr>
        <w:t> </w:t>
      </w:r>
    </w:p>
    <w:p w14:paraId="72F2217E" w14:textId="77777777" w:rsidR="00B23E1C" w:rsidRPr="00812871" w:rsidRDefault="00B23E1C" w:rsidP="00B23E1C">
      <w:pPr>
        <w:pStyle w:val="CBDNormalNumber"/>
        <w:ind w:left="567"/>
        <w:rPr>
          <w:rStyle w:val="normaltextrun"/>
          <w:rFonts w:eastAsiaTheme="majorEastAsia"/>
          <w:color w:val="000000"/>
          <w:lang w:val="es-ES"/>
        </w:rPr>
      </w:pPr>
      <w:r w:rsidRPr="00ED7E61">
        <w:rPr>
          <w:rStyle w:val="normaltextrun"/>
          <w:rFonts w:asciiTheme="majorBidi" w:eastAsiaTheme="majorEastAsia" w:hAnsiTheme="majorBidi" w:cstheme="majorBidi"/>
          <w:color w:val="000000"/>
          <w:lang w:val="en-AU"/>
        </w:rPr>
        <w:t xml:space="preserve">Etter A., Andrade A., Nelson C.R., Cortés J., Saavedra K. (2020b) Assessing restoration priorities for high-risk ecosystems: An application of the IUCN Red List of Ecosystems. </w:t>
      </w:r>
      <w:r w:rsidRPr="00812871">
        <w:rPr>
          <w:rStyle w:val="normaltextrun"/>
          <w:rFonts w:asciiTheme="majorBidi" w:eastAsiaTheme="majorEastAsia" w:hAnsiTheme="majorBidi" w:cstheme="majorBidi"/>
          <w:color w:val="000000"/>
          <w:lang w:val="es-ES"/>
        </w:rPr>
        <w:t>Land Use Policy 99, 104874.</w:t>
      </w:r>
      <w:r w:rsidRPr="00812871">
        <w:rPr>
          <w:rStyle w:val="normaltextrun"/>
          <w:lang w:val="es-ES"/>
        </w:rPr>
        <w:t> </w:t>
      </w:r>
    </w:p>
    <w:p w14:paraId="4DFBCFD7"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s-ES"/>
        </w:rPr>
        <w:t>Ferrer-Paris JR, Zager I, Keith DA, Oliveira-Miranda MA, Rodríguez JP, Josse C, González-Gil M, Miller RM, Zambrana-</w:t>
      </w:r>
      <w:proofErr w:type="spellStart"/>
      <w:r w:rsidRPr="00ED7E61">
        <w:rPr>
          <w:rStyle w:val="normaltextrun"/>
          <w:rFonts w:asciiTheme="majorBidi" w:eastAsiaTheme="majorEastAsia" w:hAnsiTheme="majorBidi" w:cstheme="majorBidi"/>
          <w:color w:val="000000"/>
          <w:lang w:val="es-ES"/>
        </w:rPr>
        <w:t>Torrelio</w:t>
      </w:r>
      <w:proofErr w:type="spellEnd"/>
      <w:r w:rsidRPr="00ED7E61">
        <w:rPr>
          <w:rStyle w:val="normaltextrun"/>
          <w:rFonts w:asciiTheme="majorBidi" w:eastAsiaTheme="majorEastAsia" w:hAnsiTheme="majorBidi" w:cstheme="majorBidi"/>
          <w:color w:val="000000"/>
          <w:lang w:val="es-ES"/>
        </w:rPr>
        <w:t xml:space="preserve"> C, Barrow E. (</w:t>
      </w:r>
      <w:proofErr w:type="gramStart"/>
      <w:r w:rsidRPr="00ED7E61">
        <w:rPr>
          <w:rStyle w:val="normaltextrun"/>
          <w:rFonts w:asciiTheme="majorBidi" w:eastAsiaTheme="majorEastAsia" w:hAnsiTheme="majorBidi" w:cstheme="majorBidi"/>
          <w:color w:val="000000"/>
          <w:lang w:val="es-ES"/>
        </w:rPr>
        <w:t>2019..</w:t>
      </w:r>
      <w:proofErr w:type="gramEnd"/>
      <w:r w:rsidRPr="00ED7E61">
        <w:rPr>
          <w:rStyle w:val="normaltextrun"/>
          <w:rFonts w:asciiTheme="majorBidi" w:eastAsiaTheme="majorEastAsia" w:hAnsiTheme="majorBidi" w:cstheme="majorBidi"/>
          <w:color w:val="000000"/>
          <w:lang w:val="es-ES"/>
        </w:rPr>
        <w:t xml:space="preserve"> </w:t>
      </w:r>
      <w:r w:rsidRPr="00ED7E61">
        <w:rPr>
          <w:rStyle w:val="normaltextrun"/>
          <w:rFonts w:asciiTheme="majorBidi" w:eastAsiaTheme="majorEastAsia" w:hAnsiTheme="majorBidi" w:cstheme="majorBidi"/>
          <w:color w:val="000000"/>
          <w:lang w:val="en-AU"/>
        </w:rPr>
        <w:t>An ecosystem risk assessment of temperate and tropical forests of the Americas with an outlook on future conservation strategies. Conservation Letters. </w:t>
      </w:r>
      <w:r w:rsidRPr="00ED7E61">
        <w:rPr>
          <w:rStyle w:val="normaltextrun"/>
          <w:lang w:val="en-AU"/>
        </w:rPr>
        <w:t> </w:t>
      </w:r>
    </w:p>
    <w:p w14:paraId="506148B1" w14:textId="77777777" w:rsidR="00B23E1C" w:rsidRPr="00ED7E61" w:rsidRDefault="00B23E1C" w:rsidP="00B23E1C">
      <w:pPr>
        <w:pStyle w:val="CBDNormalNumber"/>
        <w:ind w:left="567"/>
        <w:rPr>
          <w:rStyle w:val="normaltextrun"/>
          <w:rFonts w:eastAsiaTheme="majorEastAsia"/>
          <w:color w:val="000000"/>
          <w:lang w:val="en-AU"/>
        </w:rPr>
      </w:pPr>
      <w:proofErr w:type="spellStart"/>
      <w:r w:rsidRPr="00ED7E61">
        <w:rPr>
          <w:rStyle w:val="normaltextrun"/>
          <w:rFonts w:asciiTheme="majorBidi" w:eastAsiaTheme="majorEastAsia" w:hAnsiTheme="majorBidi" w:cstheme="majorBidi"/>
          <w:color w:val="000000"/>
          <w:lang w:val="en-AU"/>
        </w:rPr>
        <w:t>Ghoraba</w:t>
      </w:r>
      <w:proofErr w:type="spellEnd"/>
      <w:r w:rsidRPr="00ED7E61">
        <w:rPr>
          <w:rStyle w:val="normaltextrun"/>
          <w:rFonts w:asciiTheme="majorBidi" w:eastAsiaTheme="majorEastAsia" w:hAnsiTheme="majorBidi" w:cstheme="majorBidi"/>
          <w:color w:val="000000"/>
          <w:lang w:val="en-AU"/>
        </w:rPr>
        <w:t xml:space="preserve"> SMM, </w:t>
      </w:r>
      <w:proofErr w:type="spellStart"/>
      <w:r w:rsidRPr="00ED7E61">
        <w:rPr>
          <w:rStyle w:val="normaltextrun"/>
          <w:rFonts w:asciiTheme="majorBidi" w:eastAsiaTheme="majorEastAsia" w:hAnsiTheme="majorBidi" w:cstheme="majorBidi"/>
          <w:color w:val="000000"/>
          <w:lang w:val="en-AU"/>
        </w:rPr>
        <w:t>Halmy</w:t>
      </w:r>
      <w:proofErr w:type="spellEnd"/>
      <w:r w:rsidRPr="00ED7E61">
        <w:rPr>
          <w:rStyle w:val="normaltextrun"/>
          <w:rFonts w:asciiTheme="majorBidi" w:eastAsiaTheme="majorEastAsia" w:hAnsiTheme="majorBidi" w:cstheme="majorBidi"/>
          <w:color w:val="000000"/>
          <w:lang w:val="en-AU"/>
        </w:rPr>
        <w:t xml:space="preserve"> MWA, Salem BB&amp; Badr NBE (2019) Assessing risk of collapse of Lake 417Burullus Ramsar site in Egypt using IUCN Red List of Ecosystems. Ecological Indicators 104, 172–183</w:t>
      </w:r>
      <w:r w:rsidRPr="00ED7E61">
        <w:rPr>
          <w:rStyle w:val="normaltextrun"/>
          <w:lang w:val="en-AU"/>
        </w:rPr>
        <w:t> </w:t>
      </w:r>
    </w:p>
    <w:p w14:paraId="3F2E831F"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Holness S &amp; Botts E (2022) Spatial Biodiversity Assessment and Prioritisation Technical Guide Series 2022. CBD, UNEP-WCMC, SANBI, Japan Biodiversity Fund.</w:t>
      </w:r>
      <w:r w:rsidRPr="00ED7E61">
        <w:rPr>
          <w:rStyle w:val="normaltextrun"/>
          <w:lang w:val="en-AU"/>
        </w:rPr>
        <w:t> </w:t>
      </w:r>
    </w:p>
    <w:p w14:paraId="76690769" w14:textId="77777777" w:rsidR="00B23E1C" w:rsidRPr="00ED7E61" w:rsidRDefault="00B23E1C" w:rsidP="00B23E1C">
      <w:pPr>
        <w:pStyle w:val="CBDNormalNumber"/>
        <w:ind w:left="567"/>
        <w:rPr>
          <w:rStyle w:val="normaltextrun"/>
          <w:rFonts w:asciiTheme="majorBidi" w:eastAsiaTheme="majorEastAsia" w:hAnsiTheme="majorBidi" w:cstheme="majorBidi"/>
          <w:color w:val="000000"/>
          <w:lang w:val="en-AU"/>
        </w:rPr>
      </w:pPr>
      <w:r w:rsidRPr="00ED7E61">
        <w:rPr>
          <w:rStyle w:val="normaltextrun"/>
          <w:lang w:val="en-AU"/>
        </w:rPr>
        <w:t xml:space="preserve">IUCN (2024). Guidelines for the Application of IUCN Red List of Ecosystems Categories and Criteria, Version 2.0. Gland, Switzerland, International Union for Conservation of Nature. </w:t>
      </w:r>
      <w:hyperlink r:id="rId26" w:history="1">
        <w:r w:rsidRPr="00ED7E61">
          <w:rPr>
            <w:rStyle w:val="normaltextrun"/>
            <w:color w:val="000000"/>
            <w:lang w:val="en-AU"/>
          </w:rPr>
          <w:t>https://portals.iucn.org/library/node/51533</w:t>
        </w:r>
      </w:hyperlink>
      <w:r w:rsidRPr="00ED7E61">
        <w:rPr>
          <w:rStyle w:val="normaltextrun"/>
          <w:lang w:val="en-AU"/>
        </w:rPr>
        <w:t xml:space="preserve"> </w:t>
      </w:r>
    </w:p>
    <w:p w14:paraId="364E4E77" w14:textId="77777777" w:rsidR="00B23E1C" w:rsidRPr="00B32D03" w:rsidRDefault="00B23E1C" w:rsidP="00812871">
      <w:pPr>
        <w:pStyle w:val="CBDNormalNumber"/>
        <w:ind w:left="567"/>
        <w:rPr>
          <w:rFonts w:asciiTheme="majorBidi" w:eastAsiaTheme="majorEastAsia" w:hAnsiTheme="majorBidi" w:cstheme="majorBidi"/>
          <w:color w:val="000000"/>
        </w:rPr>
      </w:pPr>
      <w:r w:rsidRPr="00B32D03">
        <w:rPr>
          <w:rFonts w:asciiTheme="majorBidi" w:hAnsiTheme="majorBidi" w:cstheme="majorBidi"/>
          <w:color w:val="000000"/>
        </w:rPr>
        <w:t xml:space="preserve">IUCN (2025). </w:t>
      </w:r>
      <w:r w:rsidRPr="00B32D03">
        <w:rPr>
          <w:rFonts w:asciiTheme="majorBidi" w:hAnsiTheme="majorBidi" w:cstheme="majorBidi"/>
          <w:i/>
          <w:iCs/>
          <w:color w:val="000000"/>
        </w:rPr>
        <w:t>Standards, methods and guidelines for cross-referencing ecosystem classifications and maps to the IUCN Global Ecosystem Typology.</w:t>
      </w:r>
      <w:r w:rsidRPr="00B32D03">
        <w:rPr>
          <w:rFonts w:asciiTheme="majorBidi" w:hAnsiTheme="majorBidi" w:cstheme="majorBidi"/>
          <w:color w:val="000000"/>
        </w:rPr>
        <w:t xml:space="preserve"> Version 1.0. Keith, D. A., Dayaram, A., Driver, A., Ferrer-Paris, J. R., Francis, R., Hay, S., Murray, N. J., Nicholson, E., Santos, J., Skowno, A. L. &amp; Tozer, M. G. (Eds.). IUCN. </w:t>
      </w:r>
      <w:r w:rsidRPr="00B32D03">
        <w:rPr>
          <w:rFonts w:asciiTheme="majorBidi" w:hAnsiTheme="majorBidi" w:cstheme="majorBidi"/>
          <w:color w:val="000000"/>
          <w:lang w:val="en-CA"/>
        </w:rPr>
        <w:t>https://doi.org/10.2305/CPPC6126</w:t>
      </w:r>
    </w:p>
    <w:p w14:paraId="752506DD"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Keith DA et al. (2013) Scientific Foundations for an IUCN Red List of Ecosystems. </w:t>
      </w:r>
      <w:proofErr w:type="spellStart"/>
      <w:r w:rsidRPr="00ED7E61">
        <w:rPr>
          <w:rStyle w:val="normaltextrun"/>
          <w:rFonts w:asciiTheme="majorBidi" w:eastAsiaTheme="majorEastAsia" w:hAnsiTheme="majorBidi" w:cstheme="majorBidi"/>
          <w:color w:val="000000"/>
          <w:lang w:val="en-AU"/>
        </w:rPr>
        <w:t>PLoS</w:t>
      </w:r>
      <w:proofErr w:type="spellEnd"/>
      <w:r w:rsidRPr="00ED7E61">
        <w:rPr>
          <w:rStyle w:val="normaltextrun"/>
          <w:rFonts w:asciiTheme="majorBidi" w:eastAsiaTheme="majorEastAsia" w:hAnsiTheme="majorBidi" w:cstheme="majorBidi"/>
          <w:color w:val="000000"/>
          <w:lang w:val="en-AU"/>
        </w:rPr>
        <w:t xml:space="preserve"> ONE </w:t>
      </w:r>
      <w:proofErr w:type="gramStart"/>
      <w:r w:rsidRPr="00ED7E61">
        <w:rPr>
          <w:rStyle w:val="normaltextrun"/>
          <w:rFonts w:asciiTheme="majorBidi" w:eastAsiaTheme="majorEastAsia" w:hAnsiTheme="majorBidi" w:cstheme="majorBidi"/>
          <w:color w:val="000000"/>
          <w:lang w:val="en-AU"/>
        </w:rPr>
        <w:t>8:e</w:t>
      </w:r>
      <w:proofErr w:type="gramEnd"/>
      <w:r w:rsidRPr="00ED7E61">
        <w:rPr>
          <w:rStyle w:val="normaltextrun"/>
          <w:rFonts w:asciiTheme="majorBidi" w:eastAsiaTheme="majorEastAsia" w:hAnsiTheme="majorBidi" w:cstheme="majorBidi"/>
          <w:color w:val="000000"/>
          <w:lang w:val="en-AU"/>
        </w:rPr>
        <w:t>62111. </w:t>
      </w:r>
      <w:r w:rsidRPr="00ED7E61">
        <w:rPr>
          <w:rStyle w:val="normaltextrun"/>
          <w:lang w:val="en-AU"/>
        </w:rPr>
        <w:t> </w:t>
      </w:r>
    </w:p>
    <w:p w14:paraId="2885521C"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lastRenderedPageBreak/>
        <w:t>Keith DA et al. (2022). A function-based typology for Earth’s ecosystems. Nature 610 (7932): 513-518. https://global-ecosystems.org/ </w:t>
      </w:r>
      <w:r w:rsidRPr="00ED7E61">
        <w:rPr>
          <w:rStyle w:val="normaltextrun"/>
          <w:lang w:val="en-AU"/>
        </w:rPr>
        <w:t> </w:t>
      </w:r>
    </w:p>
    <w:p w14:paraId="1DABBF89" w14:textId="77777777" w:rsidR="00B23E1C" w:rsidRPr="00ED7E61" w:rsidRDefault="00B23E1C" w:rsidP="00B23E1C">
      <w:pPr>
        <w:pStyle w:val="CBDNormalNumber"/>
        <w:ind w:left="567"/>
        <w:rPr>
          <w:rStyle w:val="normaltextrun"/>
          <w:rFonts w:eastAsiaTheme="majorEastAsia"/>
          <w:color w:val="000000"/>
          <w:lang w:val="en-AU"/>
        </w:rPr>
      </w:pPr>
      <w:proofErr w:type="spellStart"/>
      <w:r w:rsidRPr="00ED7E61">
        <w:rPr>
          <w:rStyle w:val="normaltextrun"/>
          <w:rFonts w:asciiTheme="majorBidi" w:eastAsiaTheme="majorEastAsia" w:hAnsiTheme="majorBidi" w:cstheme="majorBidi"/>
          <w:color w:val="000000"/>
          <w:lang w:val="en-AU"/>
        </w:rPr>
        <w:t>Kyrkjeeide</w:t>
      </w:r>
      <w:proofErr w:type="spellEnd"/>
      <w:r w:rsidRPr="00ED7E61">
        <w:rPr>
          <w:rStyle w:val="normaltextrun"/>
          <w:rFonts w:asciiTheme="majorBidi" w:eastAsiaTheme="majorEastAsia" w:hAnsiTheme="majorBidi" w:cstheme="majorBidi"/>
          <w:color w:val="000000"/>
          <w:lang w:val="en-AU"/>
        </w:rPr>
        <w:t xml:space="preserve"> MO, Pedersen B, Evju M, Magnussen K, Mair L, Bolam FC, </w:t>
      </w:r>
      <w:proofErr w:type="spellStart"/>
      <w:r w:rsidRPr="00ED7E61">
        <w:rPr>
          <w:rStyle w:val="normaltextrun"/>
          <w:rFonts w:asciiTheme="majorBidi" w:eastAsiaTheme="majorEastAsia" w:hAnsiTheme="majorBidi" w:cstheme="majorBidi"/>
          <w:color w:val="000000"/>
          <w:lang w:val="en-AU"/>
        </w:rPr>
        <w:t>Mcgowan</w:t>
      </w:r>
      <w:proofErr w:type="spellEnd"/>
      <w:r w:rsidRPr="00ED7E61">
        <w:rPr>
          <w:rStyle w:val="normaltextrun"/>
          <w:rFonts w:asciiTheme="majorBidi" w:eastAsiaTheme="majorEastAsia" w:hAnsiTheme="majorBidi" w:cstheme="majorBidi"/>
          <w:color w:val="000000"/>
          <w:lang w:val="en-AU"/>
        </w:rPr>
        <w:t xml:space="preserve"> PJK, Vestergaard KM, Braa J, Rusch G. 2021. Bending the curve: Operationalizing national Red Lists to customize conservation actions to reduce extinction risk. Biological Conservation 261 </w:t>
      </w:r>
      <w:r w:rsidRPr="00ED7E61">
        <w:rPr>
          <w:rStyle w:val="normaltextrun"/>
          <w:lang w:val="en-AU"/>
        </w:rPr>
        <w:t> </w:t>
      </w:r>
    </w:p>
    <w:p w14:paraId="60DFA98F"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Marshall A, Schulte to Bühne H, Bland L, </w:t>
      </w:r>
      <w:proofErr w:type="spellStart"/>
      <w:r w:rsidRPr="00ED7E61">
        <w:rPr>
          <w:rStyle w:val="normaltextrun"/>
          <w:rFonts w:asciiTheme="majorBidi" w:eastAsiaTheme="majorEastAsia" w:hAnsiTheme="majorBidi" w:cstheme="majorBidi"/>
          <w:color w:val="000000"/>
          <w:lang w:val="en-AU"/>
        </w:rPr>
        <w:t>Pettorelli</w:t>
      </w:r>
      <w:proofErr w:type="spellEnd"/>
      <w:r w:rsidRPr="00ED7E61">
        <w:rPr>
          <w:rStyle w:val="normaltextrun"/>
          <w:rFonts w:asciiTheme="majorBidi" w:eastAsiaTheme="majorEastAsia" w:hAnsiTheme="majorBidi" w:cstheme="majorBidi"/>
          <w:color w:val="000000"/>
          <w:lang w:val="en-AU"/>
        </w:rPr>
        <w:t xml:space="preserve"> N. 2018. Assessing ecosystem collapse risk in ecosystems dominated by foundation species: The case of fringe mangroves. Ecological Indicators 91:128–137. Elsevier. Available from https://doi.org/10.1016/j.ecolind.2018.03.076. </w:t>
      </w:r>
      <w:r w:rsidRPr="00ED7E61">
        <w:rPr>
          <w:rStyle w:val="normaltextrun"/>
          <w:lang w:val="en-AU"/>
        </w:rPr>
        <w:t> </w:t>
      </w:r>
    </w:p>
    <w:p w14:paraId="7F78B507"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Murray NJ et al</w:t>
      </w:r>
      <w:r>
        <w:rPr>
          <w:rStyle w:val="normaltextrun"/>
          <w:rFonts w:asciiTheme="majorBidi" w:eastAsiaTheme="majorEastAsia" w:hAnsiTheme="majorBidi" w:cstheme="majorBidi"/>
          <w:color w:val="000000"/>
          <w:lang w:val="en-AU"/>
        </w:rPr>
        <w:t>.</w:t>
      </w:r>
      <w:r w:rsidRPr="00ED7E61">
        <w:rPr>
          <w:rStyle w:val="normaltextrun"/>
          <w:rFonts w:asciiTheme="majorBidi" w:eastAsiaTheme="majorEastAsia" w:hAnsiTheme="majorBidi" w:cstheme="majorBidi"/>
          <w:color w:val="000000"/>
          <w:lang w:val="en-AU"/>
        </w:rPr>
        <w:t xml:space="preserve"> (2017) The use of range size to assess risks to biodiversity from stochastic threats. Diversity and Distributions, 1–10. DOI: 10.1111/ddi.12533</w:t>
      </w:r>
      <w:r w:rsidRPr="00ED7E61">
        <w:rPr>
          <w:rStyle w:val="normaltextrun"/>
          <w:lang w:val="en-AU"/>
        </w:rPr>
        <w:t> </w:t>
      </w:r>
    </w:p>
    <w:p w14:paraId="54C5C4D4" w14:textId="77777777" w:rsidR="00B23E1C" w:rsidRPr="00ED7E61" w:rsidRDefault="00B23E1C" w:rsidP="00B23E1C">
      <w:pPr>
        <w:pStyle w:val="CBDNormalNumber"/>
        <w:ind w:left="567"/>
        <w:rPr>
          <w:rStyle w:val="normaltextrun"/>
          <w:rFonts w:eastAsiaTheme="majorEastAsia"/>
          <w:color w:val="000000"/>
          <w:lang w:val="en-AU"/>
        </w:rPr>
      </w:pPr>
      <w:r w:rsidRPr="00BA02AB">
        <w:rPr>
          <w:rStyle w:val="normaltextrun"/>
          <w:rFonts w:asciiTheme="majorBidi" w:eastAsiaTheme="majorEastAsia" w:hAnsiTheme="majorBidi" w:cstheme="majorBidi"/>
          <w:color w:val="000000"/>
          <w:lang w:val="en-CA"/>
        </w:rPr>
        <w:t xml:space="preserve">Murray, N.J., et al. </w:t>
      </w:r>
      <w:r w:rsidRPr="00ED7E61">
        <w:rPr>
          <w:rStyle w:val="normaltextrun"/>
          <w:rFonts w:asciiTheme="majorBidi" w:eastAsiaTheme="majorEastAsia" w:hAnsiTheme="majorBidi" w:cstheme="majorBidi"/>
          <w:color w:val="000000"/>
          <w:lang w:val="en-AU"/>
        </w:rPr>
        <w:t>(2018). The role of satellite remote sensing in structured ecosystem risk assessments. Science of The Total Environment 619–620: 249-257.</w:t>
      </w:r>
      <w:r w:rsidRPr="00ED7E61">
        <w:rPr>
          <w:rStyle w:val="normaltextrun"/>
          <w:lang w:val="en-AU"/>
        </w:rPr>
        <w:t> </w:t>
      </w:r>
    </w:p>
    <w:p w14:paraId="421CD973"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Murray N.J., Keith D.A., Duncan A. et al. (2020) Myanmar's terrestrial ecosystems: Status, threats and conservation opportunities. Biological Conservation, 252, 108834.</w:t>
      </w:r>
      <w:r w:rsidRPr="00ED7E61">
        <w:rPr>
          <w:rStyle w:val="normaltextrun"/>
          <w:lang w:val="en-AU"/>
        </w:rPr>
        <w:t> </w:t>
      </w:r>
    </w:p>
    <w:p w14:paraId="67CEE1D9"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National Environment Management Authority (NEMA), 2020. Uganda Spatial Biodiversity Assessment v1, CONNECT Project, Kampala, Uganda</w:t>
      </w:r>
      <w:r w:rsidRPr="00ED7E61">
        <w:rPr>
          <w:rStyle w:val="normaltextrun"/>
          <w:lang w:val="en-AU"/>
        </w:rPr>
        <w:t> </w:t>
      </w:r>
    </w:p>
    <w:p w14:paraId="06BB3035"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Nicholson E et al. (2021) Scientific foundations for an ecosystem goal, milestones and indicators for the post-2020 Global Biodiversity Framework. Nature Ecology and Evolution:1–26. </w:t>
      </w:r>
      <w:r w:rsidRPr="00ED7E61">
        <w:rPr>
          <w:rStyle w:val="normaltextrun"/>
          <w:lang w:val="en-AU"/>
        </w:rPr>
        <w:t> </w:t>
      </w:r>
    </w:p>
    <w:p w14:paraId="563503B8" w14:textId="77777777" w:rsidR="00B23E1C" w:rsidRPr="00ED7E61" w:rsidRDefault="00B23E1C" w:rsidP="00B23E1C">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Nicholson E., Andrade A., Brooks T.M. et al. (2024) Roles of the Red List of Ecosystems in the Kunming-Montreal Global Biodiversity Framework. Nature Ecology &amp; Evolution. https://doi.org/10.1038/s41559-023-02320-5  </w:t>
      </w:r>
      <w:r w:rsidRPr="00ED7E61">
        <w:rPr>
          <w:rStyle w:val="normaltextrun"/>
          <w:lang w:val="en-AU"/>
        </w:rPr>
        <w:t> </w:t>
      </w:r>
    </w:p>
    <w:p w14:paraId="4ADC98F6" w14:textId="77777777" w:rsidR="00B23E1C" w:rsidRPr="00ED7E61" w:rsidRDefault="00B23E1C" w:rsidP="00B23E1C">
      <w:pPr>
        <w:pStyle w:val="CBDNormalNumber"/>
        <w:ind w:left="567"/>
        <w:jc w:val="left"/>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Obura D et al. (2022) Vulnerability to collapse of coral reef ecosystems in the Western Indian Ocean. Nature Sustainability 5 (2): 104-113.</w:t>
      </w:r>
      <w:r w:rsidRPr="00ED7E61">
        <w:rPr>
          <w:rStyle w:val="normaltextrun"/>
          <w:lang w:val="en-AU"/>
        </w:rPr>
        <w:t> </w:t>
      </w:r>
    </w:p>
    <w:p w14:paraId="0BE4FD85" w14:textId="77777777" w:rsidR="00B23E1C" w:rsidRPr="00ED7E61" w:rsidRDefault="00B23E1C" w:rsidP="00B23E1C">
      <w:pPr>
        <w:pStyle w:val="CBDNormalNumber"/>
        <w:ind w:left="567"/>
        <w:jc w:val="left"/>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Payet, K. et al. (2013) The effect of land cover and ecosystem mapping on ecosystem risk assessment in the Little Karoo, South Africa. Conservation Biology. https://conbio.onlinelibrary.wiley.com/doi/abs/10.1111/cobi.12065 </w:t>
      </w:r>
      <w:r w:rsidRPr="00ED7E61">
        <w:rPr>
          <w:rStyle w:val="normaltextrun"/>
          <w:lang w:val="en-AU"/>
        </w:rPr>
        <w:t> </w:t>
      </w:r>
    </w:p>
    <w:p w14:paraId="6ADE9D39" w14:textId="77777777" w:rsidR="00B23E1C" w:rsidRPr="00ED7E61" w:rsidRDefault="00B23E1C" w:rsidP="00B23E1C">
      <w:pPr>
        <w:pStyle w:val="CBDNormalNumber"/>
        <w:ind w:left="567"/>
        <w:jc w:val="left"/>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Rodríguez JP et al. 2015. A practical guide to the application of the IUCN Red List of Ecosystems criteria. Philosophical Transactions of the Royal Society B: Biological Sciences 370:1–9. Royal Society of London. </w:t>
      </w:r>
      <w:r w:rsidRPr="00ED7E61">
        <w:rPr>
          <w:rStyle w:val="normaltextrun"/>
          <w:lang w:val="en-AU"/>
        </w:rPr>
        <w:t> </w:t>
      </w:r>
    </w:p>
    <w:p w14:paraId="79427F9A" w14:textId="77777777" w:rsidR="00B23E1C" w:rsidRPr="00ED7E61" w:rsidRDefault="00B23E1C" w:rsidP="00B23E1C">
      <w:pPr>
        <w:pStyle w:val="CBDNormalNumber"/>
        <w:ind w:left="567"/>
        <w:jc w:val="left"/>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Rowland JA, Bland LM, Keith DA, Juffe-</w:t>
      </w:r>
      <w:proofErr w:type="spellStart"/>
      <w:r w:rsidRPr="00ED7E61">
        <w:rPr>
          <w:rStyle w:val="normaltextrun"/>
          <w:rFonts w:asciiTheme="majorBidi" w:eastAsiaTheme="majorEastAsia" w:hAnsiTheme="majorBidi" w:cstheme="majorBidi"/>
          <w:color w:val="000000"/>
          <w:lang w:val="en-AU"/>
        </w:rPr>
        <w:t>Bignoli</w:t>
      </w:r>
      <w:proofErr w:type="spellEnd"/>
      <w:r w:rsidRPr="00ED7E61">
        <w:rPr>
          <w:rStyle w:val="normaltextrun"/>
          <w:rFonts w:asciiTheme="majorBidi" w:eastAsiaTheme="majorEastAsia" w:hAnsiTheme="majorBidi" w:cstheme="majorBidi"/>
          <w:color w:val="000000"/>
          <w:lang w:val="en-AU"/>
        </w:rPr>
        <w:t xml:space="preserve"> D, Burgman MA, Etter A, Ferrer-Paris JRJR, Miller RM, Skowno AL, Nicholson E. 2020a. Ecosystem indices to support global biodiversity conservation. Conservation Letters e12680:11. Wiley-Blackwell. </w:t>
      </w:r>
      <w:r w:rsidRPr="00ED7E61">
        <w:rPr>
          <w:rStyle w:val="normaltextrun"/>
          <w:lang w:val="en-AU"/>
        </w:rPr>
        <w:t> </w:t>
      </w:r>
    </w:p>
    <w:p w14:paraId="0726265E" w14:textId="77777777" w:rsidR="00B23E1C" w:rsidRPr="00ED7E61" w:rsidRDefault="00B23E1C" w:rsidP="00B23E1C">
      <w:pPr>
        <w:pStyle w:val="CBDNormalNumber"/>
        <w:ind w:left="567"/>
        <w:jc w:val="left"/>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Rowland JA, Lee CKF, Bland LM, Nicholson E. 2020b. Testing the performance of ecosystem indices for biodiversity monitoring. Ecological Indicators 116:106453. Elsevier. Available from https://doi.org/10.1016/j.ecolind.2020.106453. </w:t>
      </w:r>
      <w:r w:rsidRPr="00ED7E61">
        <w:rPr>
          <w:rStyle w:val="normaltextrun"/>
          <w:lang w:val="en-AU"/>
        </w:rPr>
        <w:t> </w:t>
      </w:r>
    </w:p>
    <w:p w14:paraId="5D9A9B85" w14:textId="77777777" w:rsidR="00B23E1C" w:rsidRPr="00ED7E61" w:rsidRDefault="00B23E1C" w:rsidP="00B23E1C">
      <w:pPr>
        <w:pStyle w:val="CBDNormalNumber"/>
        <w:ind w:left="567"/>
        <w:jc w:val="left"/>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Rowland JA, Nicholson E, Murray NJ, Keith DA, Lester RE, Bland LM. 2018. Selecting and applying indicators of ecosystem collapse for risk assessments. Conservation Biology 32:1233–1245. Available from http://doi.wiley.com/10.1111/cobi.13107. </w:t>
      </w:r>
      <w:r w:rsidRPr="00ED7E61">
        <w:rPr>
          <w:rStyle w:val="normaltextrun"/>
          <w:lang w:val="en-AU"/>
        </w:rPr>
        <w:t> </w:t>
      </w:r>
    </w:p>
    <w:p w14:paraId="0F4D2013" w14:textId="77777777" w:rsidR="00B23E1C" w:rsidRPr="000A3ABD" w:rsidRDefault="00B23E1C" w:rsidP="00B23E1C">
      <w:pPr>
        <w:pStyle w:val="CBDNormalNumber"/>
        <w:ind w:left="567"/>
        <w:jc w:val="left"/>
        <w:rPr>
          <w:rStyle w:val="normaltextrun"/>
          <w:rFonts w:eastAsiaTheme="majorEastAsia"/>
          <w:color w:val="000000"/>
          <w:lang w:val="fr-FR"/>
        </w:rPr>
      </w:pPr>
      <w:proofErr w:type="spellStart"/>
      <w:r w:rsidRPr="00ED7E61">
        <w:rPr>
          <w:rStyle w:val="normaltextrun"/>
          <w:rFonts w:asciiTheme="majorBidi" w:eastAsiaTheme="majorEastAsia" w:hAnsiTheme="majorBidi" w:cstheme="majorBidi"/>
          <w:color w:val="000000"/>
          <w:lang w:val="en-AU"/>
        </w:rPr>
        <w:t>Skowno</w:t>
      </w:r>
      <w:proofErr w:type="spellEnd"/>
      <w:r w:rsidRPr="00ED7E61">
        <w:rPr>
          <w:rStyle w:val="normaltextrun"/>
          <w:rFonts w:asciiTheme="majorBidi" w:eastAsiaTheme="majorEastAsia" w:hAnsiTheme="majorBidi" w:cstheme="majorBidi"/>
          <w:color w:val="000000"/>
          <w:lang w:val="en-AU"/>
        </w:rPr>
        <w:t xml:space="preserve"> A.L., </w:t>
      </w:r>
      <w:proofErr w:type="spellStart"/>
      <w:r w:rsidRPr="00ED7E61">
        <w:rPr>
          <w:rStyle w:val="normaltextrun"/>
          <w:rFonts w:asciiTheme="majorBidi" w:eastAsiaTheme="majorEastAsia" w:hAnsiTheme="majorBidi" w:cstheme="majorBidi"/>
          <w:color w:val="000000"/>
          <w:lang w:val="en-AU"/>
        </w:rPr>
        <w:t>Monyeki</w:t>
      </w:r>
      <w:proofErr w:type="spellEnd"/>
      <w:r w:rsidRPr="00ED7E61">
        <w:rPr>
          <w:rStyle w:val="normaltextrun"/>
          <w:rFonts w:asciiTheme="majorBidi" w:eastAsiaTheme="majorEastAsia" w:hAnsiTheme="majorBidi" w:cstheme="majorBidi"/>
          <w:color w:val="000000"/>
          <w:lang w:val="en-AU"/>
        </w:rPr>
        <w:t xml:space="preserve"> M.S. (2021) South Africa’s Red List of Terrestrial Ecosystems (RLEs). </w:t>
      </w:r>
      <w:r w:rsidRPr="000A3ABD">
        <w:rPr>
          <w:rStyle w:val="normaltextrun"/>
          <w:rFonts w:asciiTheme="majorBidi" w:eastAsiaTheme="majorEastAsia" w:hAnsiTheme="majorBidi" w:cstheme="majorBidi"/>
          <w:color w:val="000000"/>
          <w:lang w:val="fr-FR"/>
        </w:rPr>
        <w:t>Land 10, 1048.</w:t>
      </w:r>
      <w:r w:rsidRPr="000A3ABD">
        <w:rPr>
          <w:rStyle w:val="normaltextrun"/>
          <w:lang w:val="fr-FR"/>
        </w:rPr>
        <w:t> </w:t>
      </w:r>
    </w:p>
    <w:p w14:paraId="1CD43BD1" w14:textId="77777777" w:rsidR="00B23E1C" w:rsidRPr="00ED7E61" w:rsidRDefault="00B23E1C" w:rsidP="00B23E1C">
      <w:pPr>
        <w:pStyle w:val="CBDNormalNumber"/>
        <w:ind w:left="567"/>
        <w:jc w:val="left"/>
        <w:rPr>
          <w:rStyle w:val="normaltextrun"/>
          <w:rFonts w:eastAsiaTheme="majorEastAsia"/>
          <w:color w:val="000000"/>
          <w:lang w:val="en-AU"/>
        </w:rPr>
      </w:pPr>
      <w:r w:rsidRPr="000A3ABD">
        <w:rPr>
          <w:rStyle w:val="normaltextrun"/>
          <w:rFonts w:asciiTheme="majorBidi" w:eastAsiaTheme="majorEastAsia" w:hAnsiTheme="majorBidi" w:cstheme="majorBidi"/>
          <w:color w:val="000000"/>
          <w:lang w:val="fr-FR"/>
        </w:rPr>
        <w:t xml:space="preserve">Tan, J., Li, A., Lei, G., Bian, J., Chen, G., &amp; Ma, K. (2017). </w:t>
      </w:r>
      <w:r w:rsidRPr="00ED7E61">
        <w:rPr>
          <w:rStyle w:val="normaltextrun"/>
          <w:rFonts w:asciiTheme="majorBidi" w:eastAsiaTheme="majorEastAsia" w:hAnsiTheme="majorBidi" w:cstheme="majorBidi"/>
          <w:color w:val="000000"/>
          <w:lang w:val="en-AU"/>
        </w:rPr>
        <w:t>Preliminary assessment of ecosystem risk based on IUCN criteria in a hierarchy of spatial domains: A case study in Southwestern China. Biological Conservation, 215, 152–161. https://doi.org/10.1016/j.biocon.2017.09.011 </w:t>
      </w:r>
      <w:r w:rsidRPr="00ED7E61">
        <w:rPr>
          <w:rStyle w:val="normaltextrun"/>
          <w:lang w:val="en-AU"/>
        </w:rPr>
        <w:t> </w:t>
      </w:r>
    </w:p>
    <w:p w14:paraId="15077C46" w14:textId="77777777" w:rsidR="00B23E1C" w:rsidRPr="00ED7E61" w:rsidRDefault="00B23E1C" w:rsidP="00B23E1C">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color w:val="000000"/>
          <w:lang w:val="en-AU"/>
        </w:rPr>
        <w:t>WEF (2020). Nature Risk Rising: Why the Crisis Engulfing Nature Matters for Business and the Economy. (World Economic Forum, in collaboration with PwC)</w:t>
      </w:r>
      <w:r w:rsidRPr="00ED7E61">
        <w:rPr>
          <w:rStyle w:val="eop"/>
          <w:rFonts w:asciiTheme="majorBidi" w:eastAsiaTheme="majorEastAsia" w:hAnsiTheme="majorBidi" w:cstheme="majorBidi"/>
          <w:color w:val="000000"/>
        </w:rPr>
        <w:t> </w:t>
      </w:r>
    </w:p>
    <w:p w14:paraId="7F366EFB" w14:textId="77777777" w:rsidR="003D6BBD" w:rsidRPr="00ED7E61" w:rsidRDefault="003D6BBD" w:rsidP="003D6BBD">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lastRenderedPageBreak/>
        <w:t> </w:t>
      </w:r>
    </w:p>
    <w:p w14:paraId="664C8645" w14:textId="77777777" w:rsidR="003D6BBD" w:rsidRPr="00ED7E61" w:rsidRDefault="003D6BBD" w:rsidP="003D6BBD">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20C80545" w14:textId="6197BB22" w:rsidR="003D6BBD" w:rsidRPr="00ED7E61" w:rsidRDefault="003D6BBD" w:rsidP="003D6BBD">
      <w:pPr>
        <w:pStyle w:val="Heading3"/>
      </w:pPr>
      <w:bookmarkStart w:id="11" w:name="_Toc233278554"/>
      <w:r w:rsidRPr="00ED7E61">
        <w:rPr>
          <w:rStyle w:val="normaltextrun"/>
        </w:rPr>
        <w:lastRenderedPageBreak/>
        <w:t>A.2 Extent of natural ecosystems</w:t>
      </w:r>
      <w:bookmarkEnd w:id="11"/>
      <w:r w:rsidRPr="00ED7E61">
        <w:rPr>
          <w:rStyle w:val="normaltextrun"/>
        </w:rPr>
        <w:t xml:space="preserve">  </w:t>
      </w:r>
      <w:r w:rsidRPr="00ED7E61">
        <w:rPr>
          <w:rStyle w:val="eop"/>
        </w:rPr>
        <w:t> </w:t>
      </w:r>
    </w:p>
    <w:p w14:paraId="347EF9BD" w14:textId="77777777" w:rsidR="003D6BBD" w:rsidRPr="00ED7E61" w:rsidRDefault="003D6BBD" w:rsidP="003D6BBD">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6EEC144" w14:textId="77777777" w:rsidR="00874D55" w:rsidRPr="00ED7E61" w:rsidRDefault="00874D55" w:rsidP="00874D5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20793CF9" w14:textId="77777777" w:rsidR="00874D55" w:rsidRPr="00ED7E61" w:rsidRDefault="00874D55" w:rsidP="00874D55">
      <w:pPr>
        <w:pStyle w:val="paragraph"/>
        <w:spacing w:before="0" w:beforeAutospacing="0" w:after="0" w:afterAutospacing="0"/>
        <w:ind w:right="-210"/>
        <w:textAlignment w:val="baseline"/>
        <w:rPr>
          <w:rStyle w:val="normaltextrun"/>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sz w:val="22"/>
          <w:szCs w:val="22"/>
          <w:lang w:val="en-GB"/>
        </w:rPr>
        <w:t>A.2 Extent of natural ecosystems</w:t>
      </w:r>
    </w:p>
    <w:p w14:paraId="6624EC2E" w14:textId="77777777" w:rsidR="00874D55" w:rsidRPr="00ED7E61" w:rsidRDefault="00874D55" w:rsidP="00874D5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318584BE" w14:textId="5DF28DF9" w:rsidR="00874D55" w:rsidRPr="00ED7E61" w:rsidRDefault="00874D55" w:rsidP="00874D55">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rPr>
      </w:pPr>
      <w:r>
        <w:rPr>
          <w:rStyle w:val="normaltextrun"/>
          <w:rFonts w:asciiTheme="majorBidi" w:eastAsiaTheme="majorEastAsia" w:hAnsiTheme="majorBidi" w:cstheme="majorBidi"/>
          <w:sz w:val="22"/>
          <w:szCs w:val="22"/>
        </w:rPr>
        <w:t>March</w:t>
      </w:r>
      <w:r w:rsidRPr="00ED7E61">
        <w:rPr>
          <w:rStyle w:val="normaltextrun"/>
          <w:rFonts w:asciiTheme="majorBidi" w:eastAsiaTheme="majorEastAsia" w:hAnsiTheme="majorBidi" w:cstheme="majorBidi"/>
          <w:sz w:val="22"/>
          <w:szCs w:val="22"/>
        </w:rPr>
        <w:t xml:space="preserve"> 2024</w:t>
      </w:r>
      <w:r>
        <w:rPr>
          <w:rStyle w:val="eop"/>
          <w:rFonts w:asciiTheme="majorBidi" w:eastAsiaTheme="majorEastAsia" w:hAnsiTheme="majorBidi" w:cstheme="majorBidi"/>
          <w:sz w:val="22"/>
          <w:szCs w:val="22"/>
        </w:rPr>
        <w:t>6</w:t>
      </w:r>
    </w:p>
    <w:p w14:paraId="6A42334E" w14:textId="77777777" w:rsidR="00874D55" w:rsidRPr="00ED7E61" w:rsidRDefault="00874D55" w:rsidP="00874D55">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08B71FB7" w14:textId="77777777" w:rsidR="00874D55" w:rsidRPr="00ED7E61" w:rsidRDefault="00874D55" w:rsidP="00874D5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744863ED" w14:textId="77777777" w:rsidR="00874D55" w:rsidRPr="00ED7E61" w:rsidRDefault="00874D55" w:rsidP="00874D55">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sz w:val="22"/>
          <w:szCs w:val="22"/>
          <w:lang w:val="en-GB"/>
        </w:rPr>
        <w:t>Headline Indicator for Goal A:</w:t>
      </w:r>
      <w:r w:rsidRPr="00ED7E61">
        <w:rPr>
          <w:rStyle w:val="normaltextrun"/>
          <w:rFonts w:asciiTheme="majorBidi" w:eastAsiaTheme="majorEastAsia" w:hAnsiTheme="majorBidi" w:cstheme="majorBidi"/>
          <w:b/>
          <w:bCs/>
          <w:sz w:val="22"/>
          <w:szCs w:val="22"/>
          <w:lang w:val="en-GB"/>
        </w:rPr>
        <w:t xml:space="preserve"> </w:t>
      </w:r>
      <w:r w:rsidRPr="00ED7E61">
        <w:rPr>
          <w:rStyle w:val="normaltextrun"/>
          <w:rFonts w:asciiTheme="majorBidi" w:eastAsiaTheme="majorEastAsia" w:hAnsiTheme="majorBidi" w:cstheme="majorBidi"/>
          <w:sz w:val="22"/>
          <w:szCs w:val="22"/>
          <w:lang w:val="en-GB"/>
        </w:rPr>
        <w:t>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r w:rsidRPr="00ED7E61">
        <w:rPr>
          <w:rStyle w:val="eop"/>
          <w:rFonts w:asciiTheme="majorBidi" w:eastAsiaTheme="majorEastAsia" w:hAnsiTheme="majorBidi" w:cstheme="majorBidi"/>
          <w:sz w:val="22"/>
          <w:szCs w:val="22"/>
        </w:rPr>
        <w:t> </w:t>
      </w:r>
    </w:p>
    <w:p w14:paraId="182E80FF" w14:textId="77777777" w:rsidR="00874D55" w:rsidRPr="00ED7E61" w:rsidRDefault="00874D55" w:rsidP="00874D5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4B1780E4" w14:textId="77777777" w:rsidR="00874D55" w:rsidRPr="00ED7E61" w:rsidRDefault="00874D55" w:rsidP="00874D55">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sz w:val="22"/>
          <w:szCs w:val="22"/>
          <w:lang w:val="en-GB"/>
        </w:rPr>
        <w:t xml:space="preserve">Headline Indicator for </w:t>
      </w:r>
      <w:r w:rsidRPr="00ED7E61">
        <w:rPr>
          <w:rStyle w:val="normaltextrun"/>
          <w:rFonts w:asciiTheme="majorBidi" w:eastAsiaTheme="majorEastAsia" w:hAnsiTheme="majorBidi" w:cstheme="majorBidi"/>
          <w:sz w:val="22"/>
          <w:szCs w:val="22"/>
        </w:rPr>
        <w:t>Target 1: Ensure that all areas are under participatory integrated biodiversity inclusive spatial planning and/or effective management processes addressing land and sea use change, to bring the loss of areas of high biodiversity importance, including ecosystems of high ecological integrity, close to zero by 2030, while respecting the rights of indigenous peoples and local communities.</w:t>
      </w:r>
    </w:p>
    <w:p w14:paraId="5FB884E4" w14:textId="77777777" w:rsidR="00874D55" w:rsidRPr="00ED7E61" w:rsidRDefault="00874D55" w:rsidP="00874D5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44CF0568" w14:textId="3D3D7EA5" w:rsidR="00874D55" w:rsidRPr="00C61E49" w:rsidRDefault="00874D55" w:rsidP="00874D55">
      <w:pPr>
        <w:pStyle w:val="CBDNormalNumber"/>
        <w:numPr>
          <w:ilvl w:val="0"/>
          <w:numId w:val="45"/>
        </w:numPr>
        <w:rPr>
          <w:rStyle w:val="normaltextrun"/>
          <w:color w:val="000000"/>
          <w:sz w:val="24"/>
          <w:szCs w:val="24"/>
          <w:lang w:val="en-AU"/>
        </w:rPr>
      </w:pPr>
      <w:r w:rsidRPr="00B3383B">
        <w:rPr>
          <w:rStyle w:val="normaltextrun"/>
        </w:rPr>
        <w:t>Natural</w:t>
      </w:r>
      <w:r w:rsidRPr="00C61E49">
        <w:rPr>
          <w:rStyle w:val="normaltextrun"/>
          <w:rFonts w:asciiTheme="majorBidi" w:eastAsiaTheme="majorEastAsia" w:hAnsiTheme="majorBidi" w:cstheme="majorBidi"/>
          <w:color w:val="000000"/>
          <w:lang w:val="en-AU"/>
        </w:rPr>
        <w:t xml:space="preserve"> ecosystems are the foundation of biodiversity, providing the conditions necessary for a wide array of life forms to coexist and thrive. The conversion of natural ecosystems to intensively modified or anthropogenic ecosystems, driven by human </w:t>
      </w:r>
      <w:r>
        <w:rPr>
          <w:rStyle w:val="normaltextrun"/>
          <w:rFonts w:asciiTheme="majorBidi" w:eastAsiaTheme="majorEastAsia" w:hAnsiTheme="majorBidi" w:cstheme="majorBidi"/>
          <w:color w:val="000000"/>
          <w:lang w:val="en-AU"/>
        </w:rPr>
        <w:t>interventions</w:t>
      </w:r>
      <w:r w:rsidRPr="00C61E49">
        <w:rPr>
          <w:rStyle w:val="normaltextrun"/>
          <w:rFonts w:asciiTheme="majorBidi" w:eastAsiaTheme="majorEastAsia" w:hAnsiTheme="majorBidi" w:cstheme="majorBidi"/>
          <w:color w:val="000000"/>
          <w:lang w:val="en-AU"/>
        </w:rPr>
        <w:t xml:space="preserve"> such as urban development, </w:t>
      </w:r>
      <w:r>
        <w:rPr>
          <w:rStyle w:val="normaltextrun"/>
          <w:rFonts w:asciiTheme="majorBidi" w:eastAsiaTheme="majorEastAsia" w:hAnsiTheme="majorBidi" w:cstheme="majorBidi"/>
          <w:color w:val="000000"/>
          <w:lang w:val="en-AU"/>
        </w:rPr>
        <w:t>the intensification and expansion of</w:t>
      </w:r>
      <w:r w:rsidRPr="00C61E49">
        <w:rPr>
          <w:rStyle w:val="normaltextrun"/>
          <w:rFonts w:asciiTheme="majorBidi" w:eastAsiaTheme="majorEastAsia" w:hAnsiTheme="majorBidi" w:cstheme="majorBidi"/>
          <w:color w:val="000000"/>
          <w:lang w:val="en-AU"/>
        </w:rPr>
        <w:t xml:space="preserve"> agriculture, and infrastructure development, is one of the main drivers of biodiversity loss and is reflected in the reduction of the area of natural ecosystems. Conversely, ecological restoration efforts can result in increases </w:t>
      </w:r>
      <w:proofErr w:type="gramStart"/>
      <w:r w:rsidRPr="00C61E49">
        <w:rPr>
          <w:rStyle w:val="normaltextrun"/>
          <w:rFonts w:asciiTheme="majorBidi" w:eastAsiaTheme="majorEastAsia" w:hAnsiTheme="majorBidi" w:cstheme="majorBidi"/>
          <w:color w:val="000000"/>
          <w:lang w:val="en-AU"/>
        </w:rPr>
        <w:t>in the area of</w:t>
      </w:r>
      <w:proofErr w:type="gramEnd"/>
      <w:r w:rsidRPr="00C61E49">
        <w:rPr>
          <w:rStyle w:val="normaltextrun"/>
          <w:rFonts w:asciiTheme="majorBidi" w:eastAsiaTheme="majorEastAsia" w:hAnsiTheme="majorBidi" w:cstheme="majorBidi"/>
          <w:color w:val="000000"/>
          <w:lang w:val="en-AU"/>
        </w:rPr>
        <w:t xml:space="preserve"> natural ecosystems. </w:t>
      </w:r>
      <w:r w:rsidRPr="00C61E49">
        <w:rPr>
          <w:rStyle w:val="normaltextrun"/>
          <w:color w:val="000000"/>
          <w:lang w:val="en-AU"/>
        </w:rPr>
        <w:t> </w:t>
      </w:r>
    </w:p>
    <w:p w14:paraId="550F33CE" w14:textId="7B305D13" w:rsidR="00874D55" w:rsidRPr="00ED7E61" w:rsidRDefault="00874D55" w:rsidP="00874D55">
      <w:pPr>
        <w:pStyle w:val="CBDNormalNumber"/>
        <w:numPr>
          <w:ilvl w:val="0"/>
          <w:numId w:val="45"/>
        </w:numPr>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This </w:t>
      </w:r>
      <w:r w:rsidRPr="00B3383B">
        <w:rPr>
          <w:rStyle w:val="normaltextrun"/>
        </w:rPr>
        <w:t>indicator</w:t>
      </w:r>
      <w:r w:rsidRPr="00ED7E61">
        <w:rPr>
          <w:rStyle w:val="normaltextrun"/>
          <w:rFonts w:asciiTheme="majorBidi" w:eastAsiaTheme="majorEastAsia" w:hAnsiTheme="majorBidi" w:cstheme="majorBidi"/>
          <w:color w:val="000000"/>
          <w:lang w:val="en-AU"/>
        </w:rPr>
        <w:t xml:space="preserve"> aims to show the extent of natural ecosystems as a proportion of overall area, and to track changes in this proportion over time. This responds to the element of Goal A that refers to “</w:t>
      </w:r>
      <w:r w:rsidRPr="00FB1598">
        <w:rPr>
          <w:rStyle w:val="normaltextrun"/>
          <w:rFonts w:asciiTheme="majorBidi" w:eastAsiaTheme="majorEastAsia" w:hAnsiTheme="majorBidi" w:cstheme="majorBidi"/>
          <w:i/>
          <w:iCs/>
          <w:color w:val="000000"/>
          <w:lang w:val="en-AU"/>
        </w:rPr>
        <w:t>substantially increasing the area of natural ecosystems by 2050</w:t>
      </w:r>
      <w:r w:rsidRPr="00ED7E61">
        <w:rPr>
          <w:rStyle w:val="normaltextrun"/>
          <w:rFonts w:asciiTheme="majorBidi" w:eastAsiaTheme="majorEastAsia" w:hAnsiTheme="majorBidi" w:cstheme="majorBidi"/>
          <w:color w:val="000000"/>
          <w:lang w:val="en-AU"/>
        </w:rPr>
        <w:t>”. The indicator also responds to the elements of Target 1 that refer to “</w:t>
      </w:r>
      <w:r w:rsidRPr="00FB1598">
        <w:rPr>
          <w:rStyle w:val="normaltextrun"/>
          <w:rFonts w:asciiTheme="majorBidi" w:eastAsiaTheme="majorEastAsia" w:hAnsiTheme="majorBidi" w:cstheme="majorBidi"/>
          <w:i/>
          <w:iCs/>
          <w:color w:val="000000"/>
          <w:lang w:val="en-AU"/>
        </w:rPr>
        <w:t>addressing land and sea use change</w:t>
      </w:r>
      <w:r w:rsidRPr="00ED7E61">
        <w:rPr>
          <w:rStyle w:val="normaltextrun"/>
          <w:rFonts w:asciiTheme="majorBidi" w:eastAsiaTheme="majorEastAsia" w:hAnsiTheme="majorBidi" w:cstheme="majorBidi"/>
          <w:color w:val="000000"/>
          <w:lang w:val="en-AU"/>
        </w:rPr>
        <w:t>”, “</w:t>
      </w:r>
      <w:r w:rsidRPr="00FB1598">
        <w:rPr>
          <w:rStyle w:val="normaltextrun"/>
          <w:rFonts w:asciiTheme="majorBidi" w:eastAsiaTheme="majorEastAsia" w:hAnsiTheme="majorBidi" w:cstheme="majorBidi"/>
          <w:i/>
          <w:iCs/>
          <w:color w:val="000000"/>
          <w:lang w:val="en-AU"/>
        </w:rPr>
        <w:t>to bring the loss of areas of high biodiversity importance, including ecosystems of high ecological integrity, close to zero by 2030</w:t>
      </w:r>
      <w:r w:rsidRPr="00ED7E61">
        <w:rPr>
          <w:rStyle w:val="normaltextrun"/>
          <w:rFonts w:asciiTheme="majorBidi" w:eastAsiaTheme="majorEastAsia" w:hAnsiTheme="majorBidi" w:cstheme="majorBidi"/>
          <w:color w:val="000000"/>
          <w:lang w:val="en-AU"/>
        </w:rPr>
        <w:t xml:space="preserve">”. The indicator </w:t>
      </w:r>
      <w:r>
        <w:rPr>
          <w:rStyle w:val="normaltextrun"/>
          <w:rFonts w:asciiTheme="majorBidi" w:eastAsiaTheme="majorEastAsia" w:hAnsiTheme="majorBidi" w:cstheme="majorBidi"/>
          <w:color w:val="000000"/>
          <w:lang w:val="en-AU"/>
        </w:rPr>
        <w:t xml:space="preserve">is recommended to </w:t>
      </w:r>
      <w:r w:rsidRPr="00ED7E61">
        <w:rPr>
          <w:rStyle w:val="normaltextrun"/>
          <w:rFonts w:asciiTheme="majorBidi" w:eastAsiaTheme="majorEastAsia" w:hAnsiTheme="majorBidi" w:cstheme="majorBidi"/>
          <w:color w:val="000000"/>
          <w:lang w:val="en-AU"/>
        </w:rPr>
        <w:t>be disaggregated into different natural ecosystem types, providing insights into the relative abundance or scarcity of different natural ecosystem types as well as their relative rates of loss or gain over time. </w:t>
      </w:r>
      <w:r w:rsidRPr="00ED7E61">
        <w:rPr>
          <w:rStyle w:val="normaltextrun"/>
          <w:color w:val="000000"/>
          <w:lang w:val="en-AU"/>
        </w:rPr>
        <w:t> </w:t>
      </w:r>
    </w:p>
    <w:p w14:paraId="43435B8C" w14:textId="1965E63F" w:rsidR="00874D55" w:rsidRPr="00395BC7" w:rsidRDefault="00874D55" w:rsidP="00874D55">
      <w:pPr>
        <w:numPr>
          <w:ilvl w:val="0"/>
          <w:numId w:val="45"/>
        </w:numPr>
        <w:rPr>
          <w:rFonts w:asciiTheme="majorBidi" w:eastAsiaTheme="majorEastAsia" w:hAnsiTheme="majorBidi" w:cstheme="majorBidi"/>
          <w:color w:val="000000"/>
          <w:lang w:val="en-AU"/>
        </w:rPr>
      </w:pPr>
      <w:r w:rsidRPr="00B3383B">
        <w:t>The</w:t>
      </w:r>
      <w:r w:rsidRPr="00ED7E61">
        <w:rPr>
          <w:rFonts w:asciiTheme="majorBidi" w:eastAsiaTheme="majorEastAsia" w:hAnsiTheme="majorBidi" w:cstheme="majorBidi"/>
          <w:color w:val="000000"/>
          <w:lang w:val="en-AU"/>
        </w:rPr>
        <w:t xml:space="preserve"> term </w:t>
      </w:r>
      <w:r>
        <w:rPr>
          <w:rFonts w:asciiTheme="majorBidi" w:eastAsiaTheme="majorEastAsia" w:hAnsiTheme="majorBidi" w:cstheme="majorBidi"/>
          <w:color w:val="000000"/>
          <w:lang w:val="en-AU"/>
        </w:rPr>
        <w:t>“</w:t>
      </w:r>
      <w:r w:rsidRPr="00FB1598">
        <w:rPr>
          <w:rFonts w:asciiTheme="majorBidi" w:eastAsiaTheme="majorEastAsia" w:hAnsiTheme="majorBidi" w:cstheme="majorBidi"/>
          <w:i/>
          <w:iCs/>
          <w:color w:val="000000"/>
          <w:lang w:val="en-AU"/>
        </w:rPr>
        <w:t>natural ecosystem</w:t>
      </w:r>
      <w:r>
        <w:rPr>
          <w:rFonts w:asciiTheme="majorBidi" w:eastAsiaTheme="majorEastAsia" w:hAnsiTheme="majorBidi" w:cstheme="majorBidi"/>
          <w:color w:val="000000"/>
          <w:lang w:val="en-AU"/>
        </w:rPr>
        <w:t>”</w:t>
      </w:r>
      <w:r w:rsidRPr="00ED7E61">
        <w:rPr>
          <w:rFonts w:asciiTheme="majorBidi" w:eastAsiaTheme="majorEastAsia" w:hAnsiTheme="majorBidi" w:cstheme="majorBidi"/>
          <w:color w:val="000000"/>
          <w:lang w:val="en-AU"/>
        </w:rPr>
        <w:t xml:space="preserve"> refers broadly to ecosystems where the impact of humans on ecosystem composition, structure and function </w:t>
      </w:r>
      <w:proofErr w:type="gramStart"/>
      <w:r w:rsidRPr="00ED7E61">
        <w:rPr>
          <w:rFonts w:asciiTheme="majorBidi" w:eastAsiaTheme="majorEastAsia" w:hAnsiTheme="majorBidi" w:cstheme="majorBidi"/>
          <w:color w:val="000000"/>
          <w:lang w:val="en-AU"/>
        </w:rPr>
        <w:t>are</w:t>
      </w:r>
      <w:proofErr w:type="gramEnd"/>
      <w:r w:rsidRPr="00ED7E61">
        <w:rPr>
          <w:rFonts w:asciiTheme="majorBidi" w:eastAsiaTheme="majorEastAsia" w:hAnsiTheme="majorBidi" w:cstheme="majorBidi"/>
          <w:color w:val="000000"/>
          <w:lang w:val="en-AU"/>
        </w:rPr>
        <w:t xml:space="preserve"> low compared to natural factors</w:t>
      </w:r>
      <w:r>
        <w:rPr>
          <w:rFonts w:asciiTheme="majorBidi" w:eastAsiaTheme="majorEastAsia" w:hAnsiTheme="majorBidi" w:cstheme="majorBidi"/>
          <w:color w:val="000000"/>
          <w:lang w:val="en-AU"/>
        </w:rPr>
        <w:t xml:space="preserve"> (Secretariat of the CBD, 2022)</w:t>
      </w:r>
      <w:r w:rsidRPr="00ED7E61">
        <w:rPr>
          <w:rFonts w:asciiTheme="majorBidi" w:eastAsiaTheme="majorEastAsia" w:hAnsiTheme="majorBidi" w:cstheme="majorBidi"/>
          <w:color w:val="000000"/>
          <w:lang w:val="en-AU"/>
        </w:rPr>
        <w:t xml:space="preserve">. </w:t>
      </w:r>
      <w:r w:rsidRPr="00395BC7">
        <w:rPr>
          <w:rFonts w:asciiTheme="majorBidi" w:eastAsiaTheme="majorEastAsia" w:hAnsiTheme="majorBidi" w:cstheme="majorBidi"/>
          <w:color w:val="000000"/>
          <w:lang w:val="en-AU"/>
        </w:rPr>
        <w:t>Natural ecosystem types in this broad sense</w:t>
      </w:r>
      <w:r>
        <w:rPr>
          <w:rFonts w:asciiTheme="majorBidi" w:eastAsiaTheme="majorEastAsia" w:hAnsiTheme="majorBidi" w:cstheme="majorBidi"/>
          <w:color w:val="000000"/>
          <w:lang w:val="en-AU"/>
        </w:rPr>
        <w:t xml:space="preserve"> can </w:t>
      </w:r>
      <w:r w:rsidRPr="00395BC7">
        <w:rPr>
          <w:rFonts w:asciiTheme="majorBidi" w:eastAsiaTheme="majorEastAsia" w:hAnsiTheme="majorBidi" w:cstheme="majorBidi"/>
          <w:color w:val="000000"/>
          <w:lang w:val="en-AU"/>
        </w:rPr>
        <w:t xml:space="preserve">include ecosystems </w:t>
      </w:r>
      <w:r w:rsidRPr="0083472F">
        <w:rPr>
          <w:rFonts w:asciiTheme="majorBidi" w:eastAsiaTheme="majorEastAsia" w:hAnsiTheme="majorBidi" w:cstheme="majorBidi"/>
          <w:i/>
          <w:iCs/>
          <w:color w:val="000000"/>
          <w:lang w:val="en-AU"/>
        </w:rPr>
        <w:t>modified</w:t>
      </w:r>
      <w:r w:rsidRPr="00395BC7">
        <w:rPr>
          <w:rFonts w:asciiTheme="majorBidi" w:eastAsiaTheme="majorEastAsia" w:hAnsiTheme="majorBidi" w:cstheme="majorBidi"/>
          <w:color w:val="000000"/>
          <w:lang w:val="en-AU"/>
        </w:rPr>
        <w:t xml:space="preserve"> by human interventions</w:t>
      </w:r>
      <w:r>
        <w:rPr>
          <w:rFonts w:asciiTheme="majorBidi" w:eastAsiaTheme="majorEastAsia" w:hAnsiTheme="majorBidi" w:cstheme="majorBidi"/>
          <w:color w:val="000000"/>
          <w:lang w:val="en-AU"/>
        </w:rPr>
        <w:t xml:space="preserve"> but with natural compositional, structural and functional characteristics still at least partially present and recognisable. These are</w:t>
      </w:r>
      <w:r w:rsidRPr="00395BC7">
        <w:rPr>
          <w:rFonts w:asciiTheme="majorBidi" w:eastAsiaTheme="majorEastAsia" w:hAnsiTheme="majorBidi" w:cstheme="majorBidi"/>
          <w:color w:val="000000"/>
          <w:lang w:val="en-AU"/>
        </w:rPr>
        <w:t xml:space="preserve"> referred to as semi-natural ecosystems in some contexts. </w:t>
      </w:r>
      <w:r>
        <w:rPr>
          <w:rFonts w:asciiTheme="majorBidi" w:eastAsiaTheme="majorEastAsia" w:hAnsiTheme="majorBidi" w:cstheme="majorBidi"/>
          <w:color w:val="000000"/>
          <w:lang w:val="en-AU"/>
        </w:rPr>
        <w:t>I</w:t>
      </w:r>
      <w:r w:rsidRPr="00395BC7">
        <w:rPr>
          <w:rFonts w:asciiTheme="majorBidi" w:eastAsiaTheme="majorEastAsia" w:hAnsiTheme="majorBidi" w:cstheme="majorBidi"/>
          <w:color w:val="000000"/>
          <w:lang w:val="en-AU"/>
        </w:rPr>
        <w:t xml:space="preserve">n contrast, anthropogenic ecosystem types are those </w:t>
      </w:r>
      <w:r w:rsidRPr="0083472F">
        <w:rPr>
          <w:rFonts w:asciiTheme="majorBidi" w:eastAsiaTheme="majorEastAsia" w:hAnsiTheme="majorBidi" w:cstheme="majorBidi"/>
          <w:i/>
          <w:iCs/>
          <w:color w:val="000000"/>
          <w:lang w:val="en-AU"/>
        </w:rPr>
        <w:t>created and maintained</w:t>
      </w:r>
      <w:r w:rsidRPr="00395BC7">
        <w:rPr>
          <w:rFonts w:asciiTheme="majorBidi" w:eastAsiaTheme="majorEastAsia" w:hAnsiTheme="majorBidi" w:cstheme="majorBidi"/>
          <w:color w:val="000000"/>
          <w:lang w:val="en-AU"/>
        </w:rPr>
        <w:t xml:space="preserve"> through human interventions, i.e. human interventions are the </w:t>
      </w:r>
      <w:r w:rsidRPr="0083472F">
        <w:rPr>
          <w:rFonts w:asciiTheme="majorBidi" w:eastAsiaTheme="majorEastAsia" w:hAnsiTheme="majorBidi" w:cstheme="majorBidi"/>
          <w:i/>
          <w:iCs/>
          <w:color w:val="000000"/>
          <w:lang w:val="en-AU"/>
        </w:rPr>
        <w:t>primary determinant</w:t>
      </w:r>
      <w:r w:rsidRPr="00395BC7">
        <w:rPr>
          <w:rFonts w:asciiTheme="majorBidi" w:eastAsiaTheme="majorEastAsia" w:hAnsiTheme="majorBidi" w:cstheme="majorBidi"/>
          <w:color w:val="000000"/>
          <w:lang w:val="en-AU"/>
        </w:rPr>
        <w:t xml:space="preserve"> of the composition, structure and functioning of the ecosystem.</w:t>
      </w:r>
      <w:r>
        <w:rPr>
          <w:rFonts w:asciiTheme="majorBidi" w:eastAsiaTheme="majorEastAsia" w:hAnsiTheme="majorBidi" w:cstheme="majorBidi"/>
          <w:color w:val="000000"/>
          <w:lang w:val="en-AU"/>
        </w:rPr>
        <w:t xml:space="preserve"> These definitions of natural and anthropogenic ecosystem types are discussed in more detail in Section 5a.</w:t>
      </w:r>
    </w:p>
    <w:p w14:paraId="0A1BF16A" w14:textId="312A1387" w:rsidR="00874D55" w:rsidRPr="00ED7E61" w:rsidRDefault="00874D55" w:rsidP="00874D55">
      <w:pPr>
        <w:pStyle w:val="CBDNormalNumber"/>
        <w:numPr>
          <w:ilvl w:val="0"/>
          <w:numId w:val="45"/>
        </w:numPr>
        <w:rPr>
          <w:rStyle w:val="normaltextrun"/>
          <w:rFonts w:eastAsiaTheme="majorEastAsia"/>
          <w:color w:val="000000"/>
          <w:lang w:val="en-AU"/>
        </w:rPr>
      </w:pPr>
      <w:r>
        <w:rPr>
          <w:rStyle w:val="normaltextrun"/>
          <w:rFonts w:asciiTheme="majorBidi" w:eastAsiaTheme="majorEastAsia" w:hAnsiTheme="majorBidi" w:cstheme="majorBidi"/>
          <w:color w:val="000000"/>
          <w:lang w:val="en-AU"/>
        </w:rPr>
        <w:t xml:space="preserve">The term natural </w:t>
      </w:r>
      <w:proofErr w:type="gramStart"/>
      <w:r>
        <w:rPr>
          <w:rStyle w:val="normaltextrun"/>
          <w:rFonts w:asciiTheme="majorBidi" w:eastAsiaTheme="majorEastAsia" w:hAnsiTheme="majorBidi" w:cstheme="majorBidi"/>
          <w:color w:val="000000"/>
          <w:lang w:val="en-AU"/>
        </w:rPr>
        <w:t xml:space="preserve">ecosystem </w:t>
      </w:r>
      <w:r w:rsidRPr="00ED7E61">
        <w:rPr>
          <w:rStyle w:val="normaltextrun"/>
          <w:rFonts w:asciiTheme="majorBidi" w:eastAsiaTheme="majorEastAsia" w:hAnsiTheme="majorBidi" w:cstheme="majorBidi"/>
          <w:color w:val="000000"/>
          <w:lang w:val="en-AU"/>
        </w:rPr>
        <w:t xml:space="preserve"> is</w:t>
      </w:r>
      <w:proofErr w:type="gramEnd"/>
      <w:r w:rsidRPr="00ED7E61">
        <w:rPr>
          <w:rStyle w:val="normaltextrun"/>
          <w:rFonts w:asciiTheme="majorBidi" w:eastAsiaTheme="majorEastAsia" w:hAnsiTheme="majorBidi" w:cstheme="majorBidi"/>
          <w:color w:val="000000"/>
          <w:lang w:val="en-AU"/>
        </w:rPr>
        <w:t xml:space="preserve"> used in the indicator in a broad sense for several reasons: </w:t>
      </w:r>
      <w:r w:rsidRPr="00ED7E61">
        <w:rPr>
          <w:rStyle w:val="normaltextrun"/>
          <w:color w:val="000000"/>
          <w:lang w:val="en-AU"/>
        </w:rPr>
        <w:t> </w:t>
      </w:r>
    </w:p>
    <w:p w14:paraId="6D092408" w14:textId="34767853" w:rsidR="00874D55" w:rsidRPr="00ED7E61" w:rsidRDefault="00874D55" w:rsidP="00874D55">
      <w:pPr>
        <w:pStyle w:val="CBDNormalNumber"/>
        <w:numPr>
          <w:ilvl w:val="1"/>
          <w:numId w:val="44"/>
        </w:numPr>
        <w:tabs>
          <w:tab w:val="clear" w:pos="567"/>
          <w:tab w:val="clear" w:pos="1134"/>
          <w:tab w:val="clear" w:pos="2268"/>
          <w:tab w:val="left" w:pos="1985"/>
        </w:tabs>
        <w:ind w:left="567" w:firstLine="567"/>
        <w:rPr>
          <w:rStyle w:val="normaltextrun"/>
          <w:rFonts w:eastAsiaTheme="majorEastAsia"/>
          <w:color w:val="000000"/>
          <w:lang w:val="en-AU"/>
        </w:rPr>
      </w:pPr>
      <w:r>
        <w:rPr>
          <w:rFonts w:asciiTheme="majorBidi" w:eastAsiaTheme="majorEastAsia" w:hAnsiTheme="majorBidi" w:cstheme="majorBidi"/>
          <w:color w:val="000000"/>
          <w:lang w:val="en-AU"/>
        </w:rPr>
        <w:lastRenderedPageBreak/>
        <w:t xml:space="preserve">Natural ecosystems that have been modified </w:t>
      </w:r>
      <w:r w:rsidRPr="00ED7E61">
        <w:rPr>
          <w:rStyle w:val="normaltextrun"/>
          <w:rFonts w:asciiTheme="majorBidi" w:eastAsiaTheme="majorEastAsia" w:hAnsiTheme="majorBidi" w:cstheme="majorBidi"/>
          <w:color w:val="000000"/>
          <w:lang w:val="en-AU"/>
        </w:rPr>
        <w:t xml:space="preserve">often retain substantial biodiversity and are thus important from a biodiversity </w:t>
      </w:r>
      <w:proofErr w:type="gramStart"/>
      <w:r w:rsidRPr="00ED7E61">
        <w:rPr>
          <w:rStyle w:val="normaltextrun"/>
          <w:rFonts w:asciiTheme="majorBidi" w:eastAsiaTheme="majorEastAsia" w:hAnsiTheme="majorBidi" w:cstheme="majorBidi"/>
          <w:color w:val="000000"/>
          <w:lang w:val="en-AU"/>
        </w:rPr>
        <w:t>perspective,.</w:t>
      </w:r>
      <w:proofErr w:type="gramEnd"/>
      <w:r w:rsidRPr="00ED7E61">
        <w:rPr>
          <w:rStyle w:val="normaltextrun"/>
          <w:rFonts w:asciiTheme="majorBidi" w:eastAsiaTheme="majorEastAsia" w:hAnsiTheme="majorBidi" w:cstheme="majorBidi"/>
          <w:color w:val="000000"/>
          <w:lang w:val="en-AU"/>
        </w:rPr>
        <w:t xml:space="preserve"> This contrasts with anthropogenic (</w:t>
      </w:r>
      <w:r>
        <w:rPr>
          <w:rStyle w:val="normaltextrun"/>
          <w:rFonts w:asciiTheme="majorBidi" w:eastAsiaTheme="majorEastAsia" w:hAnsiTheme="majorBidi" w:cstheme="majorBidi"/>
          <w:color w:val="000000"/>
          <w:lang w:val="en-AU"/>
        </w:rPr>
        <w:t xml:space="preserve">including artificial and </w:t>
      </w:r>
      <w:r w:rsidRPr="00ED7E61">
        <w:rPr>
          <w:rStyle w:val="normaltextrun"/>
          <w:rFonts w:asciiTheme="majorBidi" w:eastAsiaTheme="majorEastAsia" w:hAnsiTheme="majorBidi" w:cstheme="majorBidi"/>
          <w:color w:val="000000"/>
          <w:lang w:val="en-AU"/>
        </w:rPr>
        <w:t xml:space="preserve">intensively modified) ecosystems which </w:t>
      </w:r>
      <w:r>
        <w:rPr>
          <w:rStyle w:val="normaltextrun"/>
          <w:rFonts w:asciiTheme="majorBidi" w:eastAsiaTheme="majorEastAsia" w:hAnsiTheme="majorBidi" w:cstheme="majorBidi"/>
          <w:color w:val="000000"/>
          <w:lang w:val="en-AU"/>
        </w:rPr>
        <w:t>support much less biodiversity</w:t>
      </w:r>
      <w:r w:rsidRPr="00ED7E61">
        <w:rPr>
          <w:rStyle w:val="normaltextrun"/>
          <w:rFonts w:asciiTheme="majorBidi" w:eastAsiaTheme="majorEastAsia" w:hAnsiTheme="majorBidi" w:cstheme="majorBidi"/>
          <w:color w:val="000000"/>
          <w:lang w:val="en-AU"/>
        </w:rPr>
        <w:t>. Thus, the key distinction from a biodiversity perspective is between natural ecosystem</w:t>
      </w:r>
      <w:r>
        <w:rPr>
          <w:rStyle w:val="normaltextrun"/>
          <w:rFonts w:asciiTheme="majorBidi" w:eastAsiaTheme="majorEastAsia" w:hAnsiTheme="majorBidi" w:cstheme="majorBidi"/>
          <w:color w:val="000000"/>
          <w:lang w:val="en-AU"/>
        </w:rPr>
        <w:t xml:space="preserve"> types</w:t>
      </w:r>
      <w:r w:rsidRPr="00ED7E61">
        <w:rPr>
          <w:rStyle w:val="normaltextrun"/>
          <w:rFonts w:asciiTheme="majorBidi" w:eastAsiaTheme="majorEastAsia" w:hAnsiTheme="majorBidi" w:cstheme="majorBidi"/>
          <w:color w:val="000000"/>
          <w:lang w:val="en-AU"/>
        </w:rPr>
        <w:t xml:space="preserve"> on the one hand</w:t>
      </w:r>
      <w:r>
        <w:rPr>
          <w:rStyle w:val="normaltextrun"/>
          <w:rFonts w:asciiTheme="majorBidi" w:eastAsiaTheme="majorEastAsia" w:hAnsiTheme="majorBidi" w:cstheme="majorBidi"/>
          <w:color w:val="000000"/>
          <w:lang w:val="en-AU"/>
        </w:rPr>
        <w:t xml:space="preserve"> (which include modified natural ecosystems)</w:t>
      </w:r>
      <w:r w:rsidRPr="00ED7E61">
        <w:rPr>
          <w:rStyle w:val="normaltextrun"/>
          <w:rFonts w:asciiTheme="majorBidi" w:eastAsiaTheme="majorEastAsia" w:hAnsiTheme="majorBidi" w:cstheme="majorBidi"/>
          <w:color w:val="000000"/>
          <w:lang w:val="en-AU"/>
        </w:rPr>
        <w:t xml:space="preserve"> and anthropogenic </w:t>
      </w:r>
      <w:proofErr w:type="gramStart"/>
      <w:r w:rsidRPr="00ED7E61">
        <w:rPr>
          <w:rStyle w:val="normaltextrun"/>
          <w:rFonts w:asciiTheme="majorBidi" w:eastAsiaTheme="majorEastAsia" w:hAnsiTheme="majorBidi" w:cstheme="majorBidi"/>
          <w:color w:val="000000"/>
          <w:lang w:val="en-AU"/>
        </w:rPr>
        <w:t>ecosystems</w:t>
      </w:r>
      <w:proofErr w:type="gramEnd"/>
      <w:r w:rsidRPr="00ED7E61">
        <w:rPr>
          <w:rStyle w:val="normaltextrun"/>
          <w:rFonts w:asciiTheme="majorBidi" w:eastAsiaTheme="majorEastAsia" w:hAnsiTheme="majorBidi" w:cstheme="majorBidi"/>
          <w:color w:val="000000"/>
          <w:lang w:val="en-AU"/>
        </w:rPr>
        <w:t xml:space="preserve"> </w:t>
      </w:r>
      <w:r>
        <w:rPr>
          <w:rStyle w:val="normaltextrun"/>
          <w:rFonts w:asciiTheme="majorBidi" w:eastAsiaTheme="majorEastAsia" w:hAnsiTheme="majorBidi" w:cstheme="majorBidi"/>
          <w:color w:val="000000"/>
          <w:lang w:val="en-AU"/>
        </w:rPr>
        <w:t xml:space="preserve">types </w:t>
      </w:r>
      <w:r w:rsidRPr="00ED7E61">
        <w:rPr>
          <w:rStyle w:val="normaltextrun"/>
          <w:rFonts w:asciiTheme="majorBidi" w:eastAsiaTheme="majorEastAsia" w:hAnsiTheme="majorBidi" w:cstheme="majorBidi"/>
          <w:color w:val="000000"/>
          <w:lang w:val="en-AU"/>
        </w:rPr>
        <w:t>on the other.</w:t>
      </w:r>
      <w:r w:rsidRPr="00ED7E61">
        <w:rPr>
          <w:rStyle w:val="normaltextrun"/>
          <w:color w:val="000000"/>
          <w:lang w:val="en-AU"/>
        </w:rPr>
        <w:t> </w:t>
      </w:r>
    </w:p>
    <w:p w14:paraId="12B82D69" w14:textId="3FF2CC56" w:rsidR="00874D55" w:rsidRPr="00ED7E61" w:rsidRDefault="00874D55" w:rsidP="00874D55">
      <w:pPr>
        <w:pStyle w:val="CBDNormalNumber"/>
        <w:numPr>
          <w:ilvl w:val="1"/>
          <w:numId w:val="44"/>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 xml:space="preserve">If </w:t>
      </w:r>
      <w:r>
        <w:rPr>
          <w:rStyle w:val="normaltextrun"/>
          <w:rFonts w:asciiTheme="majorBidi" w:eastAsiaTheme="majorEastAsia" w:hAnsiTheme="majorBidi" w:cstheme="majorBidi"/>
        </w:rPr>
        <w:t xml:space="preserve">modified </w:t>
      </w:r>
      <w:r w:rsidRPr="00ED7E61">
        <w:rPr>
          <w:rStyle w:val="normaltextrun"/>
          <w:rFonts w:asciiTheme="majorBidi" w:eastAsiaTheme="majorEastAsia" w:hAnsiTheme="majorBidi" w:cstheme="majorBidi"/>
        </w:rPr>
        <w:t>natural ecosystems were excluded from the indicator, this may have the unintended consequence of reducing attention to their management, conservation and in some cases restoration.</w:t>
      </w:r>
      <w:r w:rsidRPr="00ED7E61">
        <w:rPr>
          <w:rStyle w:val="eop"/>
          <w:rFonts w:asciiTheme="majorBidi" w:eastAsiaTheme="majorEastAsia" w:hAnsiTheme="majorBidi" w:cstheme="majorBidi"/>
        </w:rPr>
        <w:t> </w:t>
      </w:r>
    </w:p>
    <w:p w14:paraId="3EB2DB34" w14:textId="7164F8E6" w:rsidR="00874D55" w:rsidRPr="00ED7E61" w:rsidRDefault="00874D55" w:rsidP="00874D55">
      <w:pPr>
        <w:pStyle w:val="CBDNormalNumber"/>
        <w:numPr>
          <w:ilvl w:val="1"/>
          <w:numId w:val="44"/>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 xml:space="preserve">In practice there are virtually no ecosystems that are completely </w:t>
      </w:r>
      <w:r>
        <w:rPr>
          <w:rStyle w:val="normaltextrun"/>
          <w:rFonts w:asciiTheme="majorBidi" w:eastAsiaTheme="majorEastAsia" w:hAnsiTheme="majorBidi" w:cstheme="majorBidi"/>
        </w:rPr>
        <w:t xml:space="preserve">unimpacted by people </w:t>
      </w:r>
      <w:r w:rsidRPr="00ED7E61">
        <w:rPr>
          <w:rStyle w:val="normaltextrun"/>
          <w:rFonts w:asciiTheme="majorBidi" w:eastAsiaTheme="majorEastAsia" w:hAnsiTheme="majorBidi" w:cstheme="majorBidi"/>
        </w:rPr>
        <w:t>and there is no agreed scientific basis for making firm distinctions between natural, near-natural and semi-natural ecosystems, which exist on a continuum, so a narrow definition of natural ecosystems</w:t>
      </w:r>
      <w:r>
        <w:rPr>
          <w:rStyle w:val="normaltextrun"/>
          <w:rFonts w:asciiTheme="majorBidi" w:eastAsiaTheme="majorEastAsia" w:hAnsiTheme="majorBidi" w:cstheme="majorBidi"/>
        </w:rPr>
        <w:t xml:space="preserve"> (i.e. as “pristine” or having high integrity)</w:t>
      </w:r>
      <w:r w:rsidRPr="00ED7E61">
        <w:rPr>
          <w:rStyle w:val="normaltextrun"/>
          <w:rFonts w:asciiTheme="majorBidi" w:eastAsiaTheme="majorEastAsia" w:hAnsiTheme="majorBidi" w:cstheme="majorBidi"/>
        </w:rPr>
        <w:t xml:space="preserve"> would make the indicator difficult to operationalise. </w:t>
      </w:r>
      <w:r>
        <w:rPr>
          <w:rFonts w:asciiTheme="majorBidi" w:eastAsiaTheme="majorEastAsia" w:hAnsiTheme="majorBidi" w:cstheme="majorBidi"/>
        </w:rPr>
        <w:t>In contrast, classification systems exist to distinguish between natural ecosystem types and anthropogenic ecosystem types (as discussed in Section 5a).</w:t>
      </w:r>
    </w:p>
    <w:p w14:paraId="6E902D5C" w14:textId="0EF8F74E" w:rsidR="00874D55" w:rsidRPr="00ED7E61" w:rsidRDefault="00874D55" w:rsidP="00874D55">
      <w:pPr>
        <w:pStyle w:val="CBDNormalNumber"/>
        <w:numPr>
          <w:ilvl w:val="0"/>
          <w:numId w:val="45"/>
        </w:numPr>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The indicator focuses </w:t>
      </w:r>
      <w:r>
        <w:rPr>
          <w:rStyle w:val="normaltextrun"/>
          <w:rFonts w:asciiTheme="majorBidi" w:eastAsiaTheme="majorEastAsia" w:hAnsiTheme="majorBidi" w:cstheme="majorBidi"/>
          <w:color w:val="000000"/>
          <w:lang w:val="en-AU"/>
        </w:rPr>
        <w:t xml:space="preserve">predominantly </w:t>
      </w:r>
      <w:r w:rsidRPr="00ED7E61">
        <w:rPr>
          <w:rStyle w:val="normaltextrun"/>
          <w:rFonts w:asciiTheme="majorBidi" w:eastAsiaTheme="majorEastAsia" w:hAnsiTheme="majorBidi" w:cstheme="majorBidi"/>
          <w:color w:val="000000"/>
          <w:lang w:val="en-AU"/>
        </w:rPr>
        <w:t>on conversions from natural to anthropogenic ecosystems and vice versa.</w:t>
      </w:r>
      <w:r w:rsidRPr="00ED7E61">
        <w:rPr>
          <w:rStyle w:val="normaltextrun"/>
          <w:color w:val="000000"/>
          <w:lang w:val="en-AU"/>
        </w:rPr>
        <w:t> </w:t>
      </w:r>
      <w:r>
        <w:rPr>
          <w:rStyle w:val="normaltextrun"/>
          <w:color w:val="000000"/>
          <w:lang w:val="en-AU"/>
        </w:rPr>
        <w:t xml:space="preserve">As noted, </w:t>
      </w:r>
      <w:r w:rsidRPr="00ED7E61">
        <w:rPr>
          <w:rStyle w:val="normaltextrun"/>
          <w:color w:val="000000"/>
          <w:lang w:val="en-AU"/>
        </w:rPr>
        <w:t>the term “</w:t>
      </w:r>
      <w:r w:rsidRPr="00FB1598">
        <w:rPr>
          <w:rStyle w:val="normaltextrun"/>
          <w:i/>
          <w:iCs/>
          <w:color w:val="000000"/>
          <w:lang w:val="en-AU"/>
        </w:rPr>
        <w:t>natural ecosystems</w:t>
      </w:r>
      <w:r w:rsidRPr="00ED7E61">
        <w:rPr>
          <w:rStyle w:val="normaltextrun"/>
          <w:color w:val="000000"/>
          <w:lang w:val="en-AU"/>
        </w:rPr>
        <w:t xml:space="preserve">” is used in </w:t>
      </w:r>
      <w:r>
        <w:rPr>
          <w:rStyle w:val="normaltextrun"/>
          <w:color w:val="000000"/>
          <w:lang w:val="en-AU"/>
        </w:rPr>
        <w:t xml:space="preserve">this context in a broad sense, including ecosystems modified to varying degrees by human intervention (sometimes referred to as semi-natural ecosystems). </w:t>
      </w:r>
    </w:p>
    <w:p w14:paraId="2C29099A" w14:textId="63EDFE76" w:rsidR="00874D55" w:rsidRPr="00ED7E61" w:rsidRDefault="00874D55" w:rsidP="00874D55">
      <w:pPr>
        <w:pStyle w:val="CBDNormalNumber"/>
        <w:numPr>
          <w:ilvl w:val="0"/>
          <w:numId w:val="45"/>
        </w:numPr>
        <w:rPr>
          <w:rStyle w:val="eop"/>
          <w:rFonts w:asciiTheme="majorBidi" w:eastAsiaTheme="majorEastAsia" w:hAnsiTheme="majorBidi" w:cstheme="majorBidi"/>
        </w:rPr>
      </w:pPr>
      <w:r>
        <w:rPr>
          <w:rFonts w:asciiTheme="majorBidi" w:eastAsiaTheme="majorEastAsia" w:hAnsiTheme="majorBidi" w:cstheme="majorBidi"/>
          <w:color w:val="000000"/>
          <w:lang w:val="en-AU"/>
        </w:rPr>
        <w:t>This indicator tracks extent of natural ecosystem types, rather than tracking the degree of naturalness, integrity or condition of ecosystems</w:t>
      </w:r>
      <w:proofErr w:type="gramStart"/>
      <w:r>
        <w:rPr>
          <w:rFonts w:asciiTheme="majorBidi" w:eastAsiaTheme="majorEastAsia" w:hAnsiTheme="majorBidi" w:cstheme="majorBidi"/>
          <w:color w:val="000000"/>
          <w:lang w:val="en-AU"/>
        </w:rPr>
        <w:t xml:space="preserve">, </w:t>
      </w:r>
      <w:r w:rsidRPr="00ED7E61">
        <w:rPr>
          <w:rStyle w:val="normaltextrun"/>
          <w:rFonts w:asciiTheme="majorBidi" w:eastAsiaTheme="majorEastAsia" w:hAnsiTheme="majorBidi" w:cstheme="majorBidi"/>
        </w:rPr>
        <w:t>,</w:t>
      </w:r>
      <w:proofErr w:type="gramEnd"/>
      <w:r w:rsidRPr="00ED7E61">
        <w:rPr>
          <w:rStyle w:val="normaltextrun"/>
          <w:rFonts w:asciiTheme="majorBidi" w:eastAsiaTheme="majorEastAsia" w:hAnsiTheme="majorBidi" w:cstheme="majorBidi"/>
        </w:rPr>
        <w:t xml:space="preserve"> which is captured in other indicators such as the Red List of Ecosystems (indicator A1). This means that ecosystems do not have to be in good ecological condition to be included in the indicator as natural. Where </w:t>
      </w:r>
      <w:r>
        <w:rPr>
          <w:rStyle w:val="normaltextrun"/>
          <w:rFonts w:asciiTheme="majorBidi" w:eastAsiaTheme="majorEastAsia" w:hAnsiTheme="majorBidi" w:cstheme="majorBidi"/>
        </w:rPr>
        <w:t xml:space="preserve">human </w:t>
      </w:r>
      <w:proofErr w:type="gramStart"/>
      <w:r>
        <w:rPr>
          <w:rStyle w:val="normaltextrun"/>
          <w:rFonts w:asciiTheme="majorBidi" w:eastAsiaTheme="majorEastAsia" w:hAnsiTheme="majorBidi" w:cstheme="majorBidi"/>
        </w:rPr>
        <w:t xml:space="preserve">interventions </w:t>
      </w:r>
      <w:r w:rsidRPr="00ED7E61">
        <w:rPr>
          <w:rStyle w:val="normaltextrun"/>
          <w:rFonts w:asciiTheme="majorBidi" w:eastAsiaTheme="majorEastAsia" w:hAnsiTheme="majorBidi" w:cstheme="majorBidi"/>
        </w:rPr>
        <w:t xml:space="preserve"> uses</w:t>
      </w:r>
      <w:proofErr w:type="gramEnd"/>
      <w:r w:rsidRPr="00ED7E61">
        <w:rPr>
          <w:rStyle w:val="normaltextrun"/>
          <w:rFonts w:asciiTheme="majorBidi" w:eastAsiaTheme="majorEastAsia" w:hAnsiTheme="majorBidi" w:cstheme="majorBidi"/>
        </w:rPr>
        <w:t xml:space="preserve"> in natural ecosystems result in some biodiversity loss and a transition to a </w:t>
      </w:r>
      <w:r>
        <w:rPr>
          <w:rStyle w:val="normaltextrun"/>
          <w:rFonts w:asciiTheme="majorBidi" w:eastAsiaTheme="majorEastAsia" w:hAnsiTheme="majorBidi" w:cstheme="majorBidi"/>
        </w:rPr>
        <w:t>modified</w:t>
      </w:r>
      <w:r w:rsidRPr="00ED7E61">
        <w:rPr>
          <w:rStyle w:val="normaltextrun"/>
          <w:rFonts w:asciiTheme="majorBidi" w:eastAsiaTheme="majorEastAsia" w:hAnsiTheme="majorBidi" w:cstheme="majorBidi"/>
        </w:rPr>
        <w:t xml:space="preserve"> state (such as in managed native forests or grazed shrublands, grasslands or savannas), this decline in </w:t>
      </w:r>
      <w:r>
        <w:rPr>
          <w:rStyle w:val="normaltextrun"/>
          <w:rFonts w:asciiTheme="majorBidi" w:eastAsiaTheme="majorEastAsia" w:hAnsiTheme="majorBidi" w:cstheme="majorBidi"/>
        </w:rPr>
        <w:t xml:space="preserve">integrity or </w:t>
      </w:r>
      <w:r w:rsidRPr="00ED7E61">
        <w:rPr>
          <w:rStyle w:val="normaltextrun"/>
          <w:rFonts w:asciiTheme="majorBidi" w:eastAsiaTheme="majorEastAsia" w:hAnsiTheme="majorBidi" w:cstheme="majorBidi"/>
        </w:rPr>
        <w:t>condition and accompanying biodiversity loss would be picked up in a Red List of Ecosystem assessment.</w:t>
      </w:r>
      <w:r w:rsidRPr="00ED7E61">
        <w:rPr>
          <w:rStyle w:val="eop"/>
          <w:rFonts w:asciiTheme="majorBidi" w:eastAsiaTheme="majorEastAsia" w:hAnsiTheme="majorBidi" w:cstheme="majorBidi"/>
        </w:rPr>
        <w:t> </w:t>
      </w:r>
    </w:p>
    <w:p w14:paraId="3D621111" w14:textId="77777777" w:rsidR="00874D55" w:rsidRPr="00ED7E61" w:rsidRDefault="00874D55" w:rsidP="00874D55">
      <w:pPr>
        <w:pStyle w:val="CBDNormalNumber"/>
        <w:numPr>
          <w:ilvl w:val="0"/>
          <w:numId w:val="45"/>
        </w:numPr>
        <w:rPr>
          <w:rStyle w:val="eop"/>
          <w:rFonts w:asciiTheme="majorBidi" w:eastAsiaTheme="majorEastAsia" w:hAnsiTheme="majorBidi" w:cstheme="majorBidi"/>
        </w:rPr>
      </w:pPr>
      <w:r w:rsidRPr="00ED7E61">
        <w:rPr>
          <w:rStyle w:val="normaltextrun"/>
          <w:rFonts w:asciiTheme="majorBidi" w:eastAsiaTheme="majorEastAsia" w:hAnsiTheme="majorBidi" w:cstheme="majorBidi"/>
        </w:rPr>
        <w:t xml:space="preserve">The </w:t>
      </w:r>
      <w:hyperlink r:id="rId27" w:tgtFrame="_blank" w:history="1">
        <w:r w:rsidRPr="00ED7E61">
          <w:rPr>
            <w:rStyle w:val="normaltextrun"/>
            <w:rFonts w:asciiTheme="majorBidi" w:eastAsiaTheme="majorEastAsia" w:hAnsiTheme="majorBidi" w:cstheme="majorBidi"/>
            <w:color w:val="467886"/>
            <w:u w:val="single"/>
          </w:rPr>
          <w:t>System of Environmental-Economic Accounting (SEEA) Ecosystem Accounting</w:t>
        </w:r>
      </w:hyperlink>
      <w:r w:rsidRPr="00ED7E61">
        <w:rPr>
          <w:rStyle w:val="normaltextrun"/>
          <w:rFonts w:asciiTheme="majorBidi" w:eastAsiaTheme="majorEastAsia" w:hAnsiTheme="majorBidi" w:cstheme="majorBidi"/>
        </w:rPr>
        <w:t xml:space="preserve">, as the adopted international statistical standard for organizing data about ecosystems, measuring ecosystem services, tracking changes in ecosystem assets, and linking this information to economic and other human activity, provides the conceptual framework and methodology for the compilation of this </w:t>
      </w:r>
      <w:r w:rsidRPr="00B3383B">
        <w:rPr>
          <w:rStyle w:val="normaltextrun"/>
        </w:rPr>
        <w:t>indicator</w:t>
      </w:r>
      <w:r w:rsidRPr="00ED7E61">
        <w:rPr>
          <w:rStyle w:val="normaltextrun"/>
          <w:rFonts w:asciiTheme="majorBidi" w:eastAsiaTheme="majorEastAsia" w:hAnsiTheme="majorBidi" w:cstheme="majorBidi"/>
        </w:rPr>
        <w:t xml:space="preserve">. SEEA Ecosystem Accounting requires accounting for ecosystem extent in biophysical terms as one of five core ecosystem accounts, with the extent account providing the foundation for the other four core accounts. Because accounting tables have a standard structure and are based on standard definitions and classifications, they allow for comparison across time periods and between countries. This makes an accounting approach a powerful basis for the development of national and global indicators. An additional strength of the </w:t>
      </w:r>
      <w:r>
        <w:rPr>
          <w:rStyle w:val="normaltextrun"/>
          <w:rFonts w:asciiTheme="majorBidi" w:eastAsiaTheme="majorEastAsia" w:hAnsiTheme="majorBidi" w:cstheme="majorBidi"/>
        </w:rPr>
        <w:t xml:space="preserve">ecosystem </w:t>
      </w:r>
      <w:r w:rsidRPr="00ED7E61">
        <w:rPr>
          <w:rStyle w:val="normaltextrun"/>
          <w:rFonts w:asciiTheme="majorBidi" w:eastAsiaTheme="majorEastAsia" w:hAnsiTheme="majorBidi" w:cstheme="majorBidi"/>
        </w:rPr>
        <w:t>accounting approach is that accounts provide granular information that can be used for local application and fine-grained policy decisions as well as aggregate information for national and global reporting.</w:t>
      </w:r>
      <w:r w:rsidRPr="00ED7E61">
        <w:rPr>
          <w:rStyle w:val="eop"/>
          <w:rFonts w:asciiTheme="majorBidi" w:eastAsiaTheme="majorEastAsia" w:hAnsiTheme="majorBidi" w:cstheme="majorBidi"/>
        </w:rPr>
        <w:t> </w:t>
      </w:r>
    </w:p>
    <w:p w14:paraId="763594E3" w14:textId="77777777" w:rsidR="00874D55" w:rsidRPr="00ED7E61" w:rsidRDefault="00874D55" w:rsidP="00874D55">
      <w:pPr>
        <w:pStyle w:val="CBDNormalNumber"/>
        <w:numPr>
          <w:ilvl w:val="0"/>
          <w:numId w:val="45"/>
        </w:numPr>
        <w:rPr>
          <w:rStyle w:val="eop"/>
          <w:rFonts w:asciiTheme="majorBidi" w:eastAsiaTheme="majorEastAsia" w:hAnsiTheme="majorBidi" w:cstheme="majorBidi"/>
        </w:rPr>
      </w:pPr>
      <w:r w:rsidRPr="00B3383B">
        <w:rPr>
          <w:rStyle w:val="normaltextrun"/>
        </w:rPr>
        <w:t>An</w:t>
      </w:r>
      <w:r w:rsidRPr="00ED7E61">
        <w:rPr>
          <w:rStyle w:val="normaltextrun"/>
          <w:rFonts w:asciiTheme="majorBidi" w:eastAsiaTheme="majorEastAsia" w:hAnsiTheme="majorBidi" w:cstheme="majorBidi"/>
        </w:rPr>
        <w:t xml:space="preserve"> ecosystem extent account tracks the extent of different ecosystem types within an area (such as a country) for successive accounting periods, providing an opening extent and closing extent for each ecosystem type in each accounting period. The information on opening and closing stocks in the account tables can be used to derive a range of indicators and presented in a range of forms (e.g. summary tables, maps, graphs). </w:t>
      </w:r>
      <w:r w:rsidRPr="00ED7E61">
        <w:rPr>
          <w:rStyle w:val="eop"/>
          <w:rFonts w:asciiTheme="majorBidi" w:eastAsiaTheme="majorEastAsia" w:hAnsiTheme="majorBidi" w:cstheme="majorBidi"/>
        </w:rPr>
        <w:t> </w:t>
      </w:r>
    </w:p>
    <w:p w14:paraId="009DAEE5" w14:textId="73FDB3B2" w:rsidR="00874D55" w:rsidRPr="00ED7E61" w:rsidRDefault="00874D55" w:rsidP="00874D55">
      <w:pPr>
        <w:pStyle w:val="CBDNormalNumber"/>
        <w:numPr>
          <w:ilvl w:val="0"/>
          <w:numId w:val="45"/>
        </w:numPr>
      </w:pPr>
      <w:r w:rsidRPr="00ED7E61">
        <w:rPr>
          <w:rStyle w:val="normaltextrun"/>
          <w:rFonts w:asciiTheme="majorBidi" w:eastAsiaTheme="majorEastAsia" w:hAnsiTheme="majorBidi" w:cstheme="majorBidi"/>
        </w:rPr>
        <w:t>In its simplest form, the indicator “</w:t>
      </w:r>
      <w:r w:rsidRPr="00FB1598">
        <w:rPr>
          <w:rStyle w:val="normaltextrun"/>
          <w:rFonts w:asciiTheme="majorBidi" w:eastAsiaTheme="majorEastAsia" w:hAnsiTheme="majorBidi" w:cstheme="majorBidi"/>
          <w:i/>
          <w:iCs/>
        </w:rPr>
        <w:t>Extent of natural ecosystems</w:t>
      </w:r>
      <w:r w:rsidRPr="00ED7E61">
        <w:rPr>
          <w:rStyle w:val="normaltextrun"/>
          <w:rFonts w:asciiTheme="majorBidi" w:eastAsiaTheme="majorEastAsia" w:hAnsiTheme="majorBidi" w:cstheme="majorBidi"/>
        </w:rPr>
        <w:t xml:space="preserve">” can be shown as natural and ecosystems as a proportion of total area, at the national level and globally, based on the closing extent </w:t>
      </w:r>
      <w:r w:rsidRPr="00B3383B">
        <w:rPr>
          <w:rStyle w:val="normaltextrun"/>
        </w:rPr>
        <w:t>for</w:t>
      </w:r>
      <w:r w:rsidRPr="00ED7E61">
        <w:rPr>
          <w:rStyle w:val="normaltextrun"/>
          <w:rFonts w:asciiTheme="majorBidi" w:eastAsiaTheme="majorEastAsia" w:hAnsiTheme="majorBidi" w:cstheme="majorBidi"/>
        </w:rPr>
        <w:t xml:space="preserve"> a particular accounting period. This </w:t>
      </w:r>
      <w:r>
        <w:rPr>
          <w:rStyle w:val="normaltextrun"/>
          <w:rFonts w:asciiTheme="majorBidi" w:eastAsiaTheme="majorEastAsia" w:hAnsiTheme="majorBidi" w:cstheme="majorBidi"/>
        </w:rPr>
        <w:t xml:space="preserve">basic form of the indicator </w:t>
      </w:r>
      <w:r w:rsidRPr="00ED7E61">
        <w:rPr>
          <w:rStyle w:val="normaltextrun"/>
          <w:rFonts w:asciiTheme="majorBidi" w:eastAsiaTheme="majorEastAsia" w:hAnsiTheme="majorBidi" w:cstheme="majorBidi"/>
        </w:rPr>
        <w:t xml:space="preserve">provides information about the abundance of all natural ecosystem </w:t>
      </w:r>
      <w:r>
        <w:rPr>
          <w:rStyle w:val="normaltextrun"/>
          <w:rFonts w:asciiTheme="majorBidi" w:eastAsiaTheme="majorEastAsia" w:hAnsiTheme="majorBidi" w:cstheme="majorBidi"/>
        </w:rPr>
        <w:t xml:space="preserve">types </w:t>
      </w:r>
      <w:r w:rsidRPr="00ED7E61">
        <w:rPr>
          <w:rStyle w:val="normaltextrun"/>
          <w:rFonts w:asciiTheme="majorBidi" w:eastAsiaTheme="majorEastAsia" w:hAnsiTheme="majorBidi" w:cstheme="majorBidi"/>
        </w:rPr>
        <w:t>relative to anthropogenic ecosystem</w:t>
      </w:r>
      <w:r>
        <w:rPr>
          <w:rStyle w:val="normaltextrun"/>
          <w:rFonts w:asciiTheme="majorBidi" w:eastAsiaTheme="majorEastAsia" w:hAnsiTheme="majorBidi" w:cstheme="majorBidi"/>
        </w:rPr>
        <w:t xml:space="preserve"> types</w:t>
      </w:r>
      <w:r w:rsidRPr="00ED7E61">
        <w:rPr>
          <w:rStyle w:val="normaltextrun"/>
          <w:rFonts w:asciiTheme="majorBidi" w:eastAsiaTheme="majorEastAsia" w:hAnsiTheme="majorBidi" w:cstheme="majorBidi"/>
        </w:rPr>
        <w:t xml:space="preserve">. A mock-up (with a hypothetical global average) is provided in </w:t>
      </w:r>
      <w:r>
        <w:rPr>
          <w:rStyle w:val="normaltextrun"/>
          <w:rFonts w:asciiTheme="majorBidi" w:eastAsiaTheme="majorEastAsia" w:hAnsiTheme="majorBidi" w:cstheme="majorBidi"/>
        </w:rPr>
        <w:t>f</w:t>
      </w:r>
      <w:r w:rsidRPr="00ED7E61">
        <w:rPr>
          <w:rStyle w:val="normaltextrun"/>
          <w:rFonts w:asciiTheme="majorBidi" w:eastAsiaTheme="majorEastAsia" w:hAnsiTheme="majorBidi" w:cstheme="majorBidi"/>
        </w:rPr>
        <w:t xml:space="preserve">igure </w:t>
      </w:r>
      <w:r>
        <w:rPr>
          <w:rStyle w:val="normaltextrun"/>
          <w:rFonts w:asciiTheme="majorBidi" w:eastAsiaTheme="majorEastAsia" w:hAnsiTheme="majorBidi" w:cstheme="majorBidi"/>
        </w:rPr>
        <w:t>I</w:t>
      </w:r>
      <w:r w:rsidRPr="00ED7E61">
        <w:rPr>
          <w:rStyle w:val="normaltextrun"/>
          <w:rFonts w:asciiTheme="majorBidi" w:eastAsiaTheme="majorEastAsia" w:hAnsiTheme="majorBidi" w:cstheme="majorBidi"/>
        </w:rPr>
        <w:t>. An average per region could also be included.</w:t>
      </w:r>
      <w:r w:rsidRPr="00ED7E61">
        <w:rPr>
          <w:rStyle w:val="eop"/>
          <w:rFonts w:asciiTheme="majorBidi" w:eastAsiaTheme="majorEastAsia" w:hAnsiTheme="majorBidi" w:cstheme="majorBidi"/>
        </w:rPr>
        <w:t> </w:t>
      </w:r>
    </w:p>
    <w:p w14:paraId="3C4B465B" w14:textId="77777777" w:rsidR="00874D55" w:rsidRPr="00ED7E61" w:rsidRDefault="00874D55" w:rsidP="00874D55">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lastRenderedPageBreak/>
        <w:t> </w:t>
      </w:r>
    </w:p>
    <w:p w14:paraId="2ED6EF9F" w14:textId="77777777" w:rsidR="00874D55" w:rsidRPr="00ED7E61" w:rsidRDefault="00874D55" w:rsidP="00874D55">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wacimagecontainer"/>
          <w:rFonts w:asciiTheme="majorBidi" w:eastAsiaTheme="majorEastAsia" w:hAnsiTheme="majorBidi" w:cstheme="majorBidi"/>
          <w:noProof/>
          <w:sz w:val="22"/>
          <w:szCs w:val="22"/>
          <w:lang w:val="fr-FR" w:eastAsia="fr-FR"/>
        </w:rPr>
        <w:drawing>
          <wp:inline distT="0" distB="0" distL="0" distR="0" wp14:anchorId="480E24F1" wp14:editId="61ABFEE0">
            <wp:extent cx="4597400" cy="2783981"/>
            <wp:effectExtent l="0" t="0" r="0" b="0"/>
            <wp:docPr id="1104416313" name="Picture 13" descr="A graph of green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16313" name="Picture 13" descr="A graph of green bars&#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06176" cy="2789295"/>
                    </a:xfrm>
                    <a:prstGeom prst="rect">
                      <a:avLst/>
                    </a:prstGeom>
                    <a:noFill/>
                    <a:ln>
                      <a:noFill/>
                    </a:ln>
                  </pic:spPr>
                </pic:pic>
              </a:graphicData>
            </a:graphic>
          </wp:inline>
        </w:drawing>
      </w:r>
      <w:r w:rsidRPr="00ED7E61">
        <w:rPr>
          <w:rStyle w:val="eop"/>
          <w:rFonts w:asciiTheme="majorBidi" w:eastAsiaTheme="majorEastAsia" w:hAnsiTheme="majorBidi" w:cstheme="majorBidi"/>
          <w:sz w:val="22"/>
          <w:szCs w:val="22"/>
        </w:rPr>
        <w:t> </w:t>
      </w:r>
    </w:p>
    <w:p w14:paraId="06B36E8C" w14:textId="46AC3216" w:rsidR="00874D55" w:rsidRPr="00B3383B" w:rsidRDefault="00874D55" w:rsidP="00874D55">
      <w:pPr>
        <w:pStyle w:val="paragraph"/>
        <w:spacing w:before="0" w:beforeAutospacing="0" w:after="0" w:afterAutospacing="0"/>
        <w:textAlignment w:val="baseline"/>
        <w:rPr>
          <w:rFonts w:asciiTheme="majorBidi" w:hAnsiTheme="majorBidi" w:cstheme="majorBidi"/>
          <w:b/>
          <w:bCs/>
          <w:color w:val="0E2841"/>
          <w:sz w:val="22"/>
          <w:szCs w:val="22"/>
        </w:rPr>
      </w:pPr>
      <w:r w:rsidRPr="00B3383B">
        <w:rPr>
          <w:rStyle w:val="normaltextrun"/>
          <w:rFonts w:asciiTheme="majorBidi" w:eastAsiaTheme="majorEastAsia" w:hAnsiTheme="majorBidi" w:cstheme="majorBidi"/>
          <w:sz w:val="22"/>
          <w:szCs w:val="22"/>
          <w:lang w:val="en-GB"/>
        </w:rPr>
        <w:t xml:space="preserve">Figure </w:t>
      </w:r>
      <w:r w:rsidRPr="00B3383B">
        <w:rPr>
          <w:rStyle w:val="normaltextrun"/>
          <w:rFonts w:asciiTheme="majorBidi" w:eastAsiaTheme="majorEastAsia" w:hAnsiTheme="majorBidi" w:cstheme="majorBidi"/>
          <w:sz w:val="22"/>
          <w:szCs w:val="22"/>
          <w:shd w:val="clear" w:color="auto" w:fill="E1E3E6"/>
          <w:lang w:val="en-GB"/>
        </w:rPr>
        <w:t>I</w:t>
      </w:r>
      <w:r w:rsidRPr="00B3383B">
        <w:rPr>
          <w:rStyle w:val="normaltextrun"/>
          <w:rFonts w:asciiTheme="majorBidi" w:eastAsiaTheme="majorEastAsia" w:hAnsiTheme="majorBidi" w:cstheme="majorBidi"/>
          <w:sz w:val="22"/>
          <w:szCs w:val="22"/>
          <w:lang w:val="en-GB"/>
        </w:rPr>
        <w:t>.</w:t>
      </w:r>
      <w:r w:rsidRPr="00ED7E61">
        <w:rPr>
          <w:rStyle w:val="normaltextrun"/>
          <w:rFonts w:asciiTheme="majorBidi" w:eastAsiaTheme="majorEastAsia" w:hAnsiTheme="majorBidi" w:cstheme="majorBidi"/>
          <w:i/>
          <w:iCs/>
          <w:sz w:val="22"/>
          <w:szCs w:val="22"/>
          <w:lang w:val="en-GB"/>
        </w:rPr>
        <w:t xml:space="preserve"> </w:t>
      </w:r>
      <w:r>
        <w:rPr>
          <w:rStyle w:val="normaltextrun"/>
          <w:rFonts w:asciiTheme="majorBidi" w:eastAsiaTheme="majorEastAsia" w:hAnsiTheme="majorBidi" w:cstheme="majorBidi"/>
          <w:i/>
          <w:iCs/>
          <w:sz w:val="22"/>
          <w:szCs w:val="22"/>
          <w:lang w:val="en-GB"/>
        </w:rPr>
        <w:br/>
      </w:r>
      <w:r w:rsidRPr="00B3383B">
        <w:rPr>
          <w:rStyle w:val="normaltextrun"/>
          <w:rFonts w:asciiTheme="majorBidi" w:eastAsiaTheme="majorEastAsia" w:hAnsiTheme="majorBidi" w:cstheme="majorBidi"/>
          <w:b/>
          <w:bCs/>
          <w:sz w:val="22"/>
          <w:szCs w:val="22"/>
          <w:lang w:val="en-GB"/>
        </w:rPr>
        <w:t xml:space="preserve">Mock-up of indicator Proportion of natural ecosystems </w:t>
      </w:r>
      <w:r>
        <w:rPr>
          <w:rStyle w:val="normaltextrun"/>
          <w:rFonts w:asciiTheme="majorBidi" w:eastAsiaTheme="majorEastAsia" w:hAnsiTheme="majorBidi" w:cstheme="majorBidi"/>
          <w:b/>
          <w:bCs/>
          <w:sz w:val="22"/>
          <w:szCs w:val="22"/>
          <w:lang w:val="en-GB"/>
        </w:rPr>
        <w:t>in year X</w:t>
      </w:r>
      <w:r w:rsidRPr="00B3383B">
        <w:rPr>
          <w:rStyle w:val="eop"/>
          <w:rFonts w:asciiTheme="majorBidi" w:eastAsiaTheme="majorEastAsia" w:hAnsiTheme="majorBidi" w:cstheme="majorBidi"/>
          <w:b/>
          <w:bCs/>
          <w:sz w:val="22"/>
          <w:szCs w:val="22"/>
        </w:rPr>
        <w:t> </w:t>
      </w:r>
    </w:p>
    <w:p w14:paraId="2CA4A4C9" w14:textId="3BDB87DE" w:rsidR="00874D55" w:rsidRPr="00ED7E61"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rPr>
        <w:t xml:space="preserve">The natural ecosystems </w:t>
      </w:r>
      <w:r>
        <w:rPr>
          <w:rStyle w:val="normaltextrun"/>
          <w:rFonts w:asciiTheme="majorBidi" w:eastAsiaTheme="majorEastAsia" w:hAnsiTheme="majorBidi" w:cstheme="majorBidi"/>
        </w:rPr>
        <w:t xml:space="preserve">are recommended to </w:t>
      </w:r>
      <w:r w:rsidRPr="00ED7E61">
        <w:rPr>
          <w:rStyle w:val="normaltextrun"/>
          <w:rFonts w:asciiTheme="majorBidi" w:eastAsiaTheme="majorEastAsia" w:hAnsiTheme="majorBidi" w:cstheme="majorBidi"/>
        </w:rPr>
        <w:t>be by realm, biome</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w:t>
      </w:r>
      <w:r w:rsidRPr="00B3383B">
        <w:rPr>
          <w:rStyle w:val="normaltextrun"/>
        </w:rPr>
        <w:t>ecosystem</w:t>
      </w:r>
      <w:r w:rsidRPr="00ED7E61">
        <w:rPr>
          <w:rStyle w:val="normaltextrun"/>
          <w:rFonts w:asciiTheme="majorBidi" w:eastAsiaTheme="majorEastAsia" w:hAnsiTheme="majorBidi" w:cstheme="majorBidi"/>
        </w:rPr>
        <w:t xml:space="preserve"> functional group</w:t>
      </w:r>
      <w:r>
        <w:rPr>
          <w:rStyle w:val="normaltextrun"/>
          <w:rFonts w:asciiTheme="majorBidi" w:eastAsiaTheme="majorEastAsia" w:hAnsiTheme="majorBidi" w:cstheme="majorBidi"/>
        </w:rPr>
        <w:t xml:space="preserve"> or ecosystem type</w:t>
      </w:r>
      <w:r w:rsidRPr="00ED7E61">
        <w:rPr>
          <w:rStyle w:val="normaltextrun"/>
          <w:rFonts w:asciiTheme="majorBidi" w:eastAsiaTheme="majorEastAsia" w:hAnsiTheme="majorBidi" w:cstheme="majorBidi"/>
        </w:rPr>
        <w:t>, to show the</w:t>
      </w:r>
      <w:r>
        <w:rPr>
          <w:rStyle w:val="normaltextrun"/>
          <w:rFonts w:asciiTheme="majorBidi" w:eastAsiaTheme="majorEastAsia" w:hAnsiTheme="majorBidi" w:cstheme="majorBidi"/>
        </w:rPr>
        <w:t>ir</w:t>
      </w:r>
      <w:r w:rsidRPr="00ED7E61">
        <w:rPr>
          <w:rStyle w:val="normaltextrun"/>
          <w:rFonts w:asciiTheme="majorBidi" w:eastAsiaTheme="majorEastAsia" w:hAnsiTheme="majorBidi" w:cstheme="majorBidi"/>
        </w:rPr>
        <w:t xml:space="preserve"> relative abundance or scarcity within the broad “</w:t>
      </w:r>
      <w:r w:rsidRPr="00FB1598">
        <w:rPr>
          <w:rStyle w:val="normaltextrun"/>
          <w:rFonts w:asciiTheme="majorBidi" w:eastAsiaTheme="majorEastAsia" w:hAnsiTheme="majorBidi" w:cstheme="majorBidi"/>
          <w:i/>
          <w:iCs/>
        </w:rPr>
        <w:t>natural</w:t>
      </w:r>
      <w:r w:rsidRPr="00ED7E61">
        <w:rPr>
          <w:rStyle w:val="normaltextrun"/>
          <w:rFonts w:asciiTheme="majorBidi" w:eastAsiaTheme="majorEastAsia" w:hAnsiTheme="majorBidi" w:cstheme="majorBidi"/>
        </w:rPr>
        <w:t>” category.</w:t>
      </w:r>
      <w:r w:rsidRPr="00ED7E61">
        <w:rPr>
          <w:rStyle w:val="eop"/>
          <w:rFonts w:asciiTheme="majorBidi" w:eastAsiaTheme="majorEastAsia" w:hAnsiTheme="majorBidi" w:cstheme="majorBidi"/>
        </w:rPr>
        <w:t> </w:t>
      </w:r>
      <w:r>
        <w:rPr>
          <w:rFonts w:asciiTheme="majorBidi" w:eastAsiaTheme="majorEastAsia" w:hAnsiTheme="majorBidi" w:cstheme="majorBidi"/>
        </w:rPr>
        <w:t>This provides greater insight into ecosystem change and enables a more meaningful indicator, as discussed further in Section 8.</w:t>
      </w:r>
    </w:p>
    <w:p w14:paraId="43528823" w14:textId="77777777" w:rsidR="00874D55" w:rsidRPr="00812871" w:rsidRDefault="00874D55" w:rsidP="00874D55">
      <w:pPr>
        <w:pStyle w:val="CBDNormalNumber"/>
        <w:numPr>
          <w:ilvl w:val="0"/>
          <w:numId w:val="45"/>
        </w:numPr>
        <w:rPr>
          <w:rStyle w:val="eop"/>
          <w:rFonts w:asciiTheme="majorBidi" w:hAnsiTheme="majorBidi" w:cstheme="majorBidi"/>
        </w:rPr>
      </w:pPr>
      <w:r w:rsidRPr="00ED7E61">
        <w:rPr>
          <w:rStyle w:val="normaltextrun"/>
          <w:rFonts w:asciiTheme="majorBidi" w:eastAsiaTheme="majorEastAsia" w:hAnsiTheme="majorBidi" w:cstheme="majorBidi"/>
        </w:rPr>
        <w:t>The focus on natural ecosystems in Indicator A2 means that it aligns with the scope of Indicator A1, the Red List of Ecosystems, as Red List assessments focus primarily on natural ecosystems. Indicator A2 complements Indicator A1, each providing a different perspective. Indicator A1 focuses on which ecosystem types are most threatened and face the greatest risk of collapse, while indicator A2 focuses on the abundance of natural ecosystems relative to anthropogenic ecosystems and the relative abundance or scarcity of different natural ecosystem types. </w:t>
      </w:r>
      <w:r w:rsidRPr="00ED7E61">
        <w:rPr>
          <w:rStyle w:val="eop"/>
          <w:rFonts w:asciiTheme="majorBidi" w:eastAsiaTheme="majorEastAsia" w:hAnsiTheme="majorBidi" w:cstheme="majorBidi"/>
        </w:rPr>
        <w:t> </w:t>
      </w:r>
    </w:p>
    <w:p w14:paraId="503D8DBE" w14:textId="77777777" w:rsidR="00874D55" w:rsidRPr="00346CD4" w:rsidRDefault="00874D55" w:rsidP="00874D55">
      <w:pPr>
        <w:pStyle w:val="CBDNormalNumber"/>
        <w:numPr>
          <w:ilvl w:val="0"/>
          <w:numId w:val="45"/>
        </w:numPr>
        <w:rPr>
          <w:rFonts w:asciiTheme="majorBidi" w:hAnsiTheme="majorBidi" w:cstheme="majorBidi"/>
        </w:rPr>
      </w:pPr>
      <w:r w:rsidRPr="00346CD4">
        <w:rPr>
          <w:rFonts w:asciiTheme="majorBidi" w:hAnsiTheme="majorBidi" w:cstheme="majorBidi"/>
        </w:rPr>
        <w:t xml:space="preserve">Indicator </w:t>
      </w:r>
      <w:r>
        <w:rPr>
          <w:rFonts w:asciiTheme="majorBidi" w:hAnsiTheme="majorBidi" w:cstheme="majorBidi"/>
        </w:rPr>
        <w:t>A.2</w:t>
      </w:r>
      <w:r w:rsidRPr="00346CD4">
        <w:rPr>
          <w:rFonts w:asciiTheme="majorBidi" w:hAnsiTheme="majorBidi" w:cstheme="majorBidi"/>
        </w:rPr>
        <w:t xml:space="preserve"> is intended to be used and interpreted in the context of other ecosystem-related indicators of the GBF. The five headline indicators that deal most directly with ecosystems are A.1 Red List of Ecosystems, A.2 Extent of natural ecosystems, B.1 Services provided by ecosystems, 2.1 Area under restoration, and 3.1 Coverage of protected areas and other effective area-based conservation measures. This set of indicators can together provide a well-rounded picture of the state of ecosystems, their benefits to society, and interventions to protect and restore ecosystems. They should be interpreted collectively rather than individually, with each providing different but complementary information.</w:t>
      </w:r>
    </w:p>
    <w:p w14:paraId="6473827F" w14:textId="77777777" w:rsidR="00874D55" w:rsidRPr="00AC3964" w:rsidRDefault="00874D55" w:rsidP="00874D55">
      <w:pPr>
        <w:pStyle w:val="CBDNormalNumber"/>
        <w:numPr>
          <w:ilvl w:val="0"/>
          <w:numId w:val="45"/>
        </w:numPr>
        <w:rPr>
          <w:rFonts w:asciiTheme="majorBidi" w:hAnsiTheme="majorBidi" w:cstheme="majorBidi"/>
        </w:rPr>
      </w:pPr>
      <w:r w:rsidRPr="00346CD4">
        <w:rPr>
          <w:rFonts w:asciiTheme="majorBidi" w:hAnsiTheme="majorBidi" w:cstheme="majorBidi"/>
        </w:rPr>
        <w:t xml:space="preserve">At the national level, using a common national classification system for ecosystem types across these five headline indicators will greatly facilitate bringing information from this set of indicators together to provide a coherent narrative and to be most useful for policy and implementation. For coherence in global reporting and analysis, it is useful for countries to cross-reference their national ecosystem classification to the Global Ecosystem Typology, as discussed in </w:t>
      </w:r>
      <w:r>
        <w:rPr>
          <w:rFonts w:asciiTheme="majorBidi" w:hAnsiTheme="majorBidi" w:cstheme="majorBidi"/>
        </w:rPr>
        <w:t>Section 5a.</w:t>
      </w:r>
    </w:p>
    <w:p w14:paraId="3E621F20" w14:textId="77777777" w:rsidR="00874D55" w:rsidRPr="00ED7E61" w:rsidRDefault="00874D55" w:rsidP="00812871">
      <w:pPr>
        <w:pStyle w:val="CBDNormalNumber"/>
        <w:ind w:left="567"/>
        <w:rPr>
          <w:rFonts w:asciiTheme="majorBidi" w:hAnsiTheme="majorBidi" w:cstheme="majorBidi"/>
        </w:rPr>
      </w:pPr>
    </w:p>
    <w:p w14:paraId="5550D20F" w14:textId="77777777" w:rsidR="00874D55" w:rsidRPr="00ED7E61" w:rsidRDefault="00874D55" w:rsidP="00874D55">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18977593" w14:textId="77777777" w:rsidR="00874D55" w:rsidRPr="00ED7E61" w:rsidRDefault="00874D55" w:rsidP="00874D5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05864001" w14:textId="77777777" w:rsidR="00874D55" w:rsidRPr="00ED7E61" w:rsidRDefault="00874D55" w:rsidP="00874D55">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Indicator definition</w:t>
      </w:r>
      <w:r w:rsidRPr="00ED7E61">
        <w:rPr>
          <w:rStyle w:val="normaltextrun"/>
          <w:rFonts w:asciiTheme="majorBidi" w:eastAsiaTheme="majorEastAsia" w:hAnsiTheme="majorBidi" w:cstheme="majorBidi"/>
          <w:color w:val="000000"/>
          <w:sz w:val="22"/>
          <w:szCs w:val="22"/>
          <w:lang w:val="en-AU"/>
        </w:rPr>
        <w:t>: </w:t>
      </w:r>
      <w:r w:rsidRPr="00ED7E61">
        <w:rPr>
          <w:rStyle w:val="eop"/>
          <w:rFonts w:asciiTheme="majorBidi" w:eastAsiaTheme="majorEastAsia" w:hAnsiTheme="majorBidi" w:cstheme="majorBidi"/>
          <w:color w:val="000000"/>
          <w:sz w:val="22"/>
          <w:szCs w:val="22"/>
        </w:rPr>
        <w:t> </w:t>
      </w:r>
    </w:p>
    <w:p w14:paraId="0A52114D" w14:textId="77777777"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lastRenderedPageBreak/>
        <w:t xml:space="preserve">The indicator, at the national level, is defined as the extent of natural and semi-natural ecosystems as a proportion of total area of the country at a particular point in time, expressed as a percentage. The </w:t>
      </w:r>
      <w:r w:rsidRPr="00B3383B">
        <w:rPr>
          <w:rStyle w:val="normaltextrun"/>
        </w:rPr>
        <w:t>point</w:t>
      </w:r>
      <w:r w:rsidRPr="00ED7E61">
        <w:rPr>
          <w:rStyle w:val="normaltextrun"/>
          <w:rFonts w:asciiTheme="majorBidi" w:eastAsiaTheme="majorEastAsia" w:hAnsiTheme="majorBidi" w:cstheme="majorBidi"/>
        </w:rPr>
        <w:t xml:space="preserve"> in time is the closing date of the accounting period for which the ecosystem accounts were compiled. Trends over time will be evident from changes in the proportion of total area over successive accounting periods. </w:t>
      </w:r>
      <w:r w:rsidRPr="00ED7E61">
        <w:rPr>
          <w:rStyle w:val="normaltextrun"/>
        </w:rPr>
        <w:t> </w:t>
      </w:r>
    </w:p>
    <w:p w14:paraId="096E6D86" w14:textId="0F72AFB2" w:rsidR="00874D55" w:rsidRPr="00ED7E61"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rPr>
        <w:t xml:space="preserve">The total </w:t>
      </w:r>
      <w:r w:rsidRPr="00B3383B">
        <w:rPr>
          <w:rStyle w:val="normaltextrun"/>
        </w:rPr>
        <w:t>surface</w:t>
      </w:r>
      <w:r w:rsidRPr="00ED7E61">
        <w:rPr>
          <w:rStyle w:val="normaltextrun"/>
          <w:rFonts w:asciiTheme="majorBidi" w:eastAsiaTheme="majorEastAsia" w:hAnsiTheme="majorBidi" w:cstheme="majorBidi"/>
        </w:rPr>
        <w:t xml:space="preserve"> area of a country includes land, inland water and, if applicable, </w:t>
      </w:r>
      <w:r>
        <w:rPr>
          <w:rStyle w:val="normaltextrun"/>
          <w:rFonts w:asciiTheme="majorBidi" w:eastAsiaTheme="majorEastAsia" w:hAnsiTheme="majorBidi" w:cstheme="majorBidi"/>
        </w:rPr>
        <w:t>marine area to</w:t>
      </w:r>
      <w:r w:rsidRPr="00ED7E61">
        <w:rPr>
          <w:rStyle w:val="normaltextrun"/>
          <w:rFonts w:asciiTheme="majorBidi" w:eastAsiaTheme="majorEastAsia" w:hAnsiTheme="majorBidi" w:cstheme="majorBidi"/>
        </w:rPr>
        <w:t xml:space="preserve"> the end of the exclusive economic zone. For countries with marine territory, the indicator should </w:t>
      </w:r>
      <w:r>
        <w:rPr>
          <w:rStyle w:val="normaltextrun"/>
          <w:rFonts w:asciiTheme="majorBidi" w:eastAsiaTheme="majorEastAsia" w:hAnsiTheme="majorBidi" w:cstheme="majorBidi"/>
        </w:rPr>
        <w:t xml:space="preserve">ideally </w:t>
      </w:r>
      <w:r w:rsidRPr="00ED7E61">
        <w:rPr>
          <w:rStyle w:val="normaltextrun"/>
          <w:rFonts w:asciiTheme="majorBidi" w:eastAsiaTheme="majorEastAsia" w:hAnsiTheme="majorBidi" w:cstheme="majorBidi"/>
        </w:rPr>
        <w:t xml:space="preserve">be compiled </w:t>
      </w:r>
      <w:r>
        <w:rPr>
          <w:rStyle w:val="normaltextrun"/>
          <w:rFonts w:asciiTheme="majorBidi" w:eastAsiaTheme="majorEastAsia" w:hAnsiTheme="majorBidi" w:cstheme="majorBidi"/>
        </w:rPr>
        <w:t>for both inland and marine area</w:t>
      </w:r>
      <w:r w:rsidRPr="00ED7E61">
        <w:rPr>
          <w:rStyle w:val="normaltextrun"/>
          <w:rFonts w:asciiTheme="majorBidi" w:eastAsiaTheme="majorEastAsia" w:hAnsiTheme="majorBidi" w:cstheme="majorBidi"/>
        </w:rPr>
        <w:t xml:space="preserve">. However, it could be compiled only for </w:t>
      </w:r>
      <w:r>
        <w:rPr>
          <w:rStyle w:val="normaltextrun"/>
          <w:rFonts w:asciiTheme="majorBidi" w:eastAsiaTheme="majorEastAsia" w:hAnsiTheme="majorBidi" w:cstheme="majorBidi"/>
        </w:rPr>
        <w:t>the</w:t>
      </w:r>
      <w:r w:rsidRPr="00ED7E61">
        <w:rPr>
          <w:rStyle w:val="normaltextrun"/>
          <w:rFonts w:asciiTheme="majorBidi" w:eastAsiaTheme="majorEastAsia" w:hAnsiTheme="majorBidi" w:cstheme="majorBidi"/>
        </w:rPr>
        <w:t xml:space="preserve"> inland area if data on the distribution of marine ecosystems are not yet available. </w:t>
      </w:r>
      <w:r w:rsidRPr="00ED7E61">
        <w:rPr>
          <w:rStyle w:val="eop"/>
          <w:rFonts w:asciiTheme="majorBidi" w:eastAsiaTheme="majorEastAsia" w:hAnsiTheme="majorBidi" w:cstheme="majorBidi"/>
        </w:rPr>
        <w:t> </w:t>
      </w:r>
      <w:r>
        <w:rPr>
          <w:rFonts w:asciiTheme="majorBidi" w:eastAsiaTheme="majorEastAsia" w:hAnsiTheme="majorBidi" w:cstheme="majorBidi"/>
        </w:rPr>
        <w:t>Subterranean areas are currently out of scope of the indicator.</w:t>
      </w:r>
    </w:p>
    <w:p w14:paraId="6C6C6A25" w14:textId="77777777" w:rsidR="00874D55" w:rsidRPr="00C61E49" w:rsidRDefault="00874D55" w:rsidP="00874D55">
      <w:pPr>
        <w:pStyle w:val="CBDNormalNumber"/>
        <w:numPr>
          <w:ilvl w:val="0"/>
          <w:numId w:val="45"/>
        </w:numPr>
        <w:rPr>
          <w:rStyle w:val="normaltextrun"/>
          <w:rFonts w:asciiTheme="majorBidi" w:eastAsiaTheme="majorEastAsia" w:hAnsiTheme="majorBidi" w:cstheme="majorBidi"/>
          <w:b/>
          <w:bCs/>
          <w:color w:val="000000"/>
          <w:lang w:val="en-AU"/>
        </w:rPr>
      </w:pPr>
      <w:r w:rsidRPr="00ED7E61">
        <w:rPr>
          <w:rStyle w:val="normaltextrun"/>
          <w:rFonts w:asciiTheme="majorBidi" w:eastAsiaTheme="majorEastAsia" w:hAnsiTheme="majorBidi" w:cstheme="majorBidi"/>
        </w:rPr>
        <w:t xml:space="preserve">It is </w:t>
      </w:r>
      <w:r w:rsidRPr="00B3383B">
        <w:rPr>
          <w:rStyle w:val="normaltextrun"/>
        </w:rPr>
        <w:t>recognised</w:t>
      </w:r>
      <w:r w:rsidRPr="00ED7E61">
        <w:rPr>
          <w:rStyle w:val="normaltextrun"/>
          <w:rFonts w:asciiTheme="majorBidi" w:eastAsiaTheme="majorEastAsia" w:hAnsiTheme="majorBidi" w:cstheme="majorBidi"/>
        </w:rPr>
        <w:t xml:space="preserve"> that the indicator does not capture information about ecosystems in the high seas (i.e. areas beyond national jurisdiction).</w:t>
      </w:r>
      <w:r w:rsidRPr="00ED7E61">
        <w:rPr>
          <w:rStyle w:val="eop"/>
          <w:rFonts w:asciiTheme="majorBidi" w:eastAsiaTheme="majorEastAsia" w:hAnsiTheme="majorBidi" w:cstheme="majorBidi"/>
        </w:rPr>
        <w:t> </w:t>
      </w:r>
    </w:p>
    <w:p w14:paraId="1630FDB0" w14:textId="77777777" w:rsidR="00874D55" w:rsidRPr="00ED7E61" w:rsidRDefault="00874D55" w:rsidP="00874D55">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Other key concepts and definitions:</w:t>
      </w:r>
      <w:r w:rsidRPr="00ED7E61">
        <w:rPr>
          <w:rStyle w:val="eop"/>
          <w:rFonts w:asciiTheme="majorBidi" w:eastAsiaTheme="majorEastAsia" w:hAnsiTheme="majorBidi" w:cstheme="majorBidi"/>
          <w:color w:val="000000"/>
          <w:sz w:val="22"/>
          <w:szCs w:val="22"/>
        </w:rPr>
        <w:t> </w:t>
      </w:r>
    </w:p>
    <w:p w14:paraId="7081004F" w14:textId="51209739" w:rsidR="00874D55" w:rsidRPr="00E033A7" w:rsidRDefault="00874D55" w:rsidP="00812871">
      <w:pPr>
        <w:pStyle w:val="CBDNormalNumber"/>
        <w:numPr>
          <w:ilvl w:val="0"/>
          <w:numId w:val="45"/>
        </w:numPr>
        <w:rPr>
          <w:rFonts w:eastAsiaTheme="majorEastAsia"/>
        </w:rPr>
      </w:pPr>
      <w:r w:rsidRPr="00E033A7">
        <w:rPr>
          <w:rStyle w:val="normaltextrun"/>
          <w:rFonts w:asciiTheme="majorBidi" w:eastAsiaTheme="majorEastAsia" w:hAnsiTheme="majorBidi" w:cstheme="majorBidi"/>
        </w:rPr>
        <w:t xml:space="preserve">The </w:t>
      </w:r>
      <w:r w:rsidRPr="00B3383B">
        <w:rPr>
          <w:rStyle w:val="normaltextrun"/>
        </w:rPr>
        <w:t>concepts</w:t>
      </w:r>
      <w:r w:rsidRPr="00E033A7">
        <w:rPr>
          <w:rStyle w:val="normaltextrun"/>
          <w:rFonts w:asciiTheme="majorBidi" w:eastAsiaTheme="majorEastAsia" w:hAnsiTheme="majorBidi" w:cstheme="majorBidi"/>
        </w:rPr>
        <w:t>, definitions and classification used are based on the SEEA Ecosystem Accounting</w:t>
      </w:r>
      <w:r w:rsidR="003B0E6C">
        <w:rPr>
          <w:rStyle w:val="normaltextrun"/>
          <w:rFonts w:asciiTheme="majorBidi" w:eastAsiaTheme="majorEastAsia" w:hAnsiTheme="majorBidi" w:cstheme="majorBidi"/>
        </w:rPr>
        <w:t xml:space="preserve"> (United Nations et al. 2021)</w:t>
      </w:r>
      <w:r w:rsidRPr="00E033A7">
        <w:rPr>
          <w:rStyle w:val="normaltextrun"/>
          <w:rFonts w:asciiTheme="majorBidi" w:eastAsiaTheme="majorEastAsia" w:hAnsiTheme="majorBidi" w:cstheme="majorBidi"/>
        </w:rPr>
        <w:t xml:space="preserve"> and the International Union for the Conservation of Nature’s Global Ecosystem Typology (IUCN GET). </w:t>
      </w:r>
      <w:r w:rsidRPr="00ED7E61">
        <w:rPr>
          <w:rStyle w:val="normaltextrun"/>
        </w:rPr>
        <w:t> </w:t>
      </w:r>
      <w:r w:rsidRPr="00E033A7">
        <w:rPr>
          <w:rFonts w:asciiTheme="majorBidi" w:eastAsiaTheme="majorEastAsia" w:hAnsiTheme="majorBidi" w:cstheme="majorBidi"/>
        </w:rPr>
        <w:t>These can be complemented by national ecosystem classifications used in ecosystem accounting.</w:t>
      </w:r>
      <w:r w:rsidRPr="00E033A7">
        <w:t> </w:t>
      </w:r>
    </w:p>
    <w:p w14:paraId="1FF5B975" w14:textId="6FE7B900" w:rsidR="00874D55" w:rsidRDefault="00874D55" w:rsidP="00874D55">
      <w:pPr>
        <w:numPr>
          <w:ilvl w:val="0"/>
          <w:numId w:val="45"/>
        </w:numPr>
        <w:tabs>
          <w:tab w:val="left" w:pos="567"/>
          <w:tab w:val="left" w:pos="1134"/>
          <w:tab w:val="left" w:pos="1701"/>
          <w:tab w:val="left" w:pos="2268"/>
          <w:tab w:val="left" w:pos="2835"/>
          <w:tab w:val="left" w:pos="3402"/>
          <w:tab w:val="left" w:pos="3969"/>
        </w:tabs>
        <w:spacing w:before="120" w:after="120"/>
        <w:jc w:val="both"/>
        <w:rPr>
          <w:rFonts w:eastAsiaTheme="majorEastAsia"/>
        </w:rPr>
      </w:pPr>
      <w:r>
        <w:rPr>
          <w:rFonts w:asciiTheme="majorBidi" w:eastAsiaTheme="majorEastAsia" w:hAnsiTheme="majorBidi" w:cstheme="majorBidi"/>
        </w:rPr>
        <w:t xml:space="preserve">An </w:t>
      </w:r>
      <w:r w:rsidRPr="0083472F">
        <w:rPr>
          <w:rFonts w:asciiTheme="majorBidi" w:eastAsiaTheme="majorEastAsia" w:hAnsiTheme="majorBidi" w:cstheme="majorBidi"/>
          <w:i/>
          <w:iCs/>
        </w:rPr>
        <w:t>ecosystem</w:t>
      </w:r>
      <w:r>
        <w:rPr>
          <w:rFonts w:asciiTheme="majorBidi" w:eastAsiaTheme="majorEastAsia" w:hAnsiTheme="majorBidi" w:cstheme="majorBidi"/>
        </w:rPr>
        <w:t xml:space="preserve"> </w:t>
      </w:r>
      <w:r w:rsidRPr="00525B4A">
        <w:rPr>
          <w:rFonts w:asciiTheme="majorBidi" w:eastAsiaTheme="majorEastAsia" w:hAnsiTheme="majorBidi" w:cstheme="majorBidi"/>
        </w:rPr>
        <w:t xml:space="preserve">is defined by the CBD as a dynamic complex of plant, animal and micro-organism communities and their non-living environment interacting as a functional unit (CBD, 1992, Article 2). </w:t>
      </w:r>
      <w:r w:rsidR="00E2165B" w:rsidRPr="00307888">
        <w:rPr>
          <w:rFonts w:asciiTheme="majorBidi" w:eastAsiaTheme="majorEastAsia" w:hAnsiTheme="majorBidi" w:cstheme="majorBidi"/>
          <w:sz w:val="22"/>
          <w:szCs w:val="22"/>
        </w:rPr>
        <w:t xml:space="preserve">The SEEA EA </w:t>
      </w:r>
      <w:r w:rsidR="00E2165B">
        <w:rPr>
          <w:rFonts w:asciiTheme="majorBidi" w:eastAsiaTheme="majorEastAsia" w:hAnsiTheme="majorBidi" w:cstheme="majorBidi"/>
          <w:sz w:val="22"/>
          <w:szCs w:val="22"/>
        </w:rPr>
        <w:t>uses</w:t>
      </w:r>
      <w:r w:rsidR="00E2165B" w:rsidRPr="00307888">
        <w:rPr>
          <w:rFonts w:asciiTheme="majorBidi" w:eastAsiaTheme="majorEastAsia" w:hAnsiTheme="majorBidi" w:cstheme="majorBidi"/>
          <w:sz w:val="22"/>
          <w:szCs w:val="22"/>
        </w:rPr>
        <w:t xml:space="preserve"> the CBD definition of ecosystems</w:t>
      </w:r>
      <w:r w:rsidR="00E2165B">
        <w:rPr>
          <w:rFonts w:asciiTheme="majorBidi" w:eastAsiaTheme="majorEastAsia" w:hAnsiTheme="majorBidi" w:cstheme="majorBidi"/>
          <w:sz w:val="22"/>
          <w:szCs w:val="22"/>
        </w:rPr>
        <w:t>.</w:t>
      </w:r>
      <w:r w:rsidR="00E2165B" w:rsidRPr="00525B4A">
        <w:rPr>
          <w:rFonts w:asciiTheme="majorBidi" w:eastAsiaTheme="majorEastAsia" w:hAnsiTheme="majorBidi" w:cstheme="majorBidi"/>
        </w:rPr>
        <w:t xml:space="preserve"> </w:t>
      </w:r>
      <w:r w:rsidRPr="00525B4A">
        <w:rPr>
          <w:rFonts w:asciiTheme="majorBidi" w:eastAsiaTheme="majorEastAsia" w:hAnsiTheme="majorBidi" w:cstheme="majorBidi"/>
        </w:rPr>
        <w:t>Important elements of this definition are the biotic (living) component, the abiotic (non-living) component and the interactions among the biota and between the biotic and abiotic components. Alongside this definition, three attributes of ecosystems are often identified: composition, structure and function. Composition relates to the suite of species that occur within the ecosystem, structure to the physical structure and patterns of the ecosystem, and function to ecological processes.</w:t>
      </w:r>
      <w:r>
        <w:rPr>
          <w:rFonts w:asciiTheme="majorBidi" w:eastAsiaTheme="majorEastAsia" w:hAnsiTheme="majorBidi" w:cstheme="majorBidi"/>
        </w:rPr>
        <w:t xml:space="preserve"> </w:t>
      </w:r>
      <w:r w:rsidRPr="00CD1E2F">
        <w:rPr>
          <w:rFonts w:asciiTheme="majorBidi" w:eastAsiaTheme="majorEastAsia" w:hAnsiTheme="majorBidi" w:cstheme="majorBidi"/>
        </w:rPr>
        <w:t>(Global Ecosystems Atlas, 2025)</w:t>
      </w:r>
    </w:p>
    <w:p w14:paraId="30D88091" w14:textId="77777777" w:rsidR="00874D55" w:rsidRPr="00064A99" w:rsidRDefault="00874D55" w:rsidP="00874D55">
      <w:pPr>
        <w:pStyle w:val="CBDNormalNumber"/>
        <w:numPr>
          <w:ilvl w:val="0"/>
          <w:numId w:val="45"/>
        </w:numPr>
        <w:rPr>
          <w:rFonts w:eastAsiaTheme="majorEastAsia"/>
          <w:lang w:val="en-CA"/>
        </w:rPr>
      </w:pPr>
      <w:r w:rsidRPr="00064A99">
        <w:rPr>
          <w:rFonts w:eastAsiaTheme="majorEastAsia"/>
          <w:lang w:val="en-CA"/>
        </w:rPr>
        <w:t xml:space="preserve">For many real-world applications, it is useful to divide the ecosystems that occur in a continuous landscape or seascape into different </w:t>
      </w:r>
      <w:r w:rsidRPr="0083472F">
        <w:rPr>
          <w:rFonts w:eastAsiaTheme="majorEastAsia"/>
          <w:i/>
          <w:iCs/>
          <w:lang w:val="en-CA"/>
        </w:rPr>
        <w:t>ecosystem types</w:t>
      </w:r>
      <w:r w:rsidRPr="00064A99">
        <w:rPr>
          <w:rFonts w:eastAsiaTheme="majorEastAsia"/>
          <w:lang w:val="en-CA"/>
        </w:rPr>
        <w:t xml:space="preserve"> that can be used for planning, decision making, management and monitoring (Keith et al., 2015). An ecosystem type is defined as a type of ecosystem distinguished from other types by its characteristic functional, structural and compositional properties (IUCN, 2025). An ecosystem type is identified and delineated as part of a classification system for ecosystems, often hierarchical, based on biotic and abiotic factors. </w:t>
      </w:r>
    </w:p>
    <w:p w14:paraId="7CC903F4" w14:textId="77777777" w:rsidR="00874D55" w:rsidRPr="00064A99" w:rsidRDefault="00874D55" w:rsidP="00874D55">
      <w:pPr>
        <w:pStyle w:val="CBDNormalNumber"/>
        <w:numPr>
          <w:ilvl w:val="0"/>
          <w:numId w:val="45"/>
        </w:numPr>
        <w:rPr>
          <w:rFonts w:eastAsiaTheme="majorEastAsia"/>
          <w:lang w:val="en-CA"/>
        </w:rPr>
      </w:pPr>
      <w:r w:rsidRPr="00064A99">
        <w:rPr>
          <w:rFonts w:eastAsiaTheme="majorEastAsia"/>
          <w:lang w:val="en-CA"/>
        </w:rPr>
        <w:t>In classifying and mapping ecosystem types, it is important that compositional, structural and functional attributes are all considered in identifying and distinguishing between ecosystem types. This allows ecosystem types to be identified as ecologically meaningful units that are consistent with the concept of an ecosystem as defined by the CBD.</w:t>
      </w:r>
    </w:p>
    <w:p w14:paraId="738DB2C0" w14:textId="48EBE17B" w:rsidR="00874D55" w:rsidRPr="00ED7E61" w:rsidRDefault="00874D55" w:rsidP="00874D55">
      <w:pPr>
        <w:pStyle w:val="CBDNormalNumber"/>
        <w:numPr>
          <w:ilvl w:val="0"/>
          <w:numId w:val="45"/>
        </w:numPr>
        <w:rPr>
          <w:rStyle w:val="normaltextrun"/>
          <w:rFonts w:eastAsiaTheme="majorEastAsia"/>
        </w:rPr>
      </w:pPr>
      <w:r w:rsidRPr="00ED7E61">
        <w:rPr>
          <w:rStyle w:val="normaltextrun"/>
          <w:rFonts w:asciiTheme="majorBidi" w:eastAsiaTheme="majorEastAsia" w:hAnsiTheme="majorBidi" w:cstheme="majorBidi"/>
          <w:i/>
          <w:iCs/>
        </w:rPr>
        <w:t>Ecosystem extent</w:t>
      </w:r>
      <w:r w:rsidRPr="00ED7E61">
        <w:rPr>
          <w:rStyle w:val="normaltextrun"/>
          <w:rFonts w:asciiTheme="majorBidi" w:eastAsiaTheme="majorEastAsia" w:hAnsiTheme="majorBidi" w:cstheme="majorBidi"/>
        </w:rPr>
        <w:t xml:space="preserve"> is the size of an ecosystem asset, where ecosystem assets are defined as contiguous spaces of a specific ecosystem type characterized by a distinct set of biotic and abiotic components and their interactions</w:t>
      </w:r>
      <w:r>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color w:val="000000"/>
          <w:lang w:val="en-AU"/>
        </w:rPr>
        <w:t>United Nations 2021).</w:t>
      </w:r>
      <w:r w:rsidRPr="00ED7E61">
        <w:rPr>
          <w:rStyle w:val="normaltextrun"/>
          <w:rFonts w:asciiTheme="majorBidi" w:eastAsiaTheme="majorEastAsia" w:hAnsiTheme="majorBidi" w:cstheme="majorBidi"/>
        </w:rPr>
        <w:t xml:space="preserve"> An ecosystem type may have several occurrences (i.e. be made up of several ecosystem assets)</w:t>
      </w:r>
      <w:r>
        <w:rPr>
          <w:rStyle w:val="normaltextrun"/>
          <w:rFonts w:asciiTheme="majorBidi" w:eastAsiaTheme="majorEastAsia" w:hAnsiTheme="majorBidi" w:cstheme="majorBidi"/>
        </w:rPr>
        <w:t xml:space="preserve"> interspersed with occurrence of other ecosystem types in the landscape or seascape.</w:t>
      </w:r>
      <w:r w:rsidRPr="00ED7E61">
        <w:rPr>
          <w:rStyle w:val="normaltextrun"/>
          <w:rFonts w:asciiTheme="majorBidi" w:eastAsiaTheme="majorEastAsia" w:hAnsiTheme="majorBidi" w:cstheme="majorBidi"/>
        </w:rPr>
        <w:t xml:space="preserve"> The </w:t>
      </w:r>
      <w:r>
        <w:rPr>
          <w:rStyle w:val="normaltextrun"/>
          <w:rFonts w:asciiTheme="majorBidi" w:eastAsiaTheme="majorEastAsia" w:hAnsiTheme="majorBidi" w:cstheme="majorBidi"/>
        </w:rPr>
        <w:t xml:space="preserve">combined </w:t>
      </w:r>
      <w:r w:rsidRPr="00ED7E61">
        <w:rPr>
          <w:rStyle w:val="normaltextrun"/>
          <w:rFonts w:asciiTheme="majorBidi" w:eastAsiaTheme="majorEastAsia" w:hAnsiTheme="majorBidi" w:cstheme="majorBidi"/>
        </w:rPr>
        <w:t xml:space="preserve">extent of all the ecosystem assets make up the extent of </w:t>
      </w:r>
      <w:proofErr w:type="gramStart"/>
      <w:r>
        <w:rPr>
          <w:rStyle w:val="normaltextrun"/>
          <w:rFonts w:asciiTheme="majorBidi" w:eastAsiaTheme="majorEastAsia" w:hAnsiTheme="majorBidi" w:cstheme="majorBidi"/>
        </w:rPr>
        <w:t xml:space="preserve">that </w:t>
      </w:r>
      <w:r w:rsidRPr="00ED7E61">
        <w:rPr>
          <w:rStyle w:val="normaltextrun"/>
          <w:rFonts w:asciiTheme="majorBidi" w:eastAsiaTheme="majorEastAsia" w:hAnsiTheme="majorBidi" w:cstheme="majorBidi"/>
        </w:rPr>
        <w:t xml:space="preserve"> ecosystem</w:t>
      </w:r>
      <w:proofErr w:type="gramEnd"/>
      <w:r w:rsidRPr="00ED7E61">
        <w:rPr>
          <w:rStyle w:val="normaltextrun"/>
          <w:rFonts w:asciiTheme="majorBidi" w:eastAsiaTheme="majorEastAsia" w:hAnsiTheme="majorBidi" w:cstheme="majorBidi"/>
        </w:rPr>
        <w:t xml:space="preserve"> type. </w:t>
      </w:r>
      <w:r w:rsidRPr="00ED7E61">
        <w:rPr>
          <w:rStyle w:val="normaltextrun"/>
        </w:rPr>
        <w:t> </w:t>
      </w:r>
    </w:p>
    <w:p w14:paraId="1E0F653D" w14:textId="5F337643" w:rsidR="00874D55" w:rsidRPr="00AC3964" w:rsidRDefault="00874D55" w:rsidP="00874D55">
      <w:pPr>
        <w:numPr>
          <w:ilvl w:val="0"/>
          <w:numId w:val="45"/>
        </w:numPr>
        <w:tabs>
          <w:tab w:val="left" w:pos="567"/>
          <w:tab w:val="left" w:pos="1134"/>
          <w:tab w:val="left" w:pos="1701"/>
          <w:tab w:val="left" w:pos="2268"/>
          <w:tab w:val="left" w:pos="2835"/>
          <w:tab w:val="left" w:pos="3402"/>
          <w:tab w:val="left" w:pos="3969"/>
        </w:tabs>
        <w:spacing w:before="120" w:after="120"/>
        <w:jc w:val="both"/>
        <w:rPr>
          <w:rFonts w:asciiTheme="majorBidi" w:eastAsia="SimSun" w:hAnsiTheme="majorBidi" w:cstheme="majorBidi"/>
        </w:rPr>
      </w:pPr>
      <w:r w:rsidRPr="00ED7E61">
        <w:rPr>
          <w:rFonts w:asciiTheme="majorBidi" w:eastAsiaTheme="majorEastAsia" w:hAnsiTheme="majorBidi" w:cstheme="majorBidi"/>
        </w:rPr>
        <w:t xml:space="preserve">The total area for which ecosystem accounts are compiled is called the </w:t>
      </w:r>
      <w:r w:rsidRPr="00ED7E61">
        <w:rPr>
          <w:rFonts w:asciiTheme="majorBidi" w:eastAsiaTheme="majorEastAsia" w:hAnsiTheme="majorBidi" w:cstheme="majorBidi"/>
          <w:i/>
          <w:iCs/>
        </w:rPr>
        <w:t>ecosystem accounting area</w:t>
      </w:r>
      <w:r w:rsidRPr="00ED7E61">
        <w:rPr>
          <w:rFonts w:asciiTheme="majorBidi" w:eastAsiaTheme="majorEastAsia" w:hAnsiTheme="majorBidi" w:cstheme="majorBidi"/>
        </w:rPr>
        <w:t xml:space="preserve">. For the purposes of accounting, ecosystem types must be delineated to be spatially mutually exclusive and </w:t>
      </w:r>
      <w:r w:rsidRPr="00B3383B">
        <w:t>comprehensive</w:t>
      </w:r>
      <w:r w:rsidRPr="00ED7E61">
        <w:rPr>
          <w:rFonts w:asciiTheme="majorBidi" w:eastAsiaTheme="majorEastAsia" w:hAnsiTheme="majorBidi" w:cstheme="majorBidi"/>
        </w:rPr>
        <w:t xml:space="preserve"> across the ecosystem accounting area (i.e. no overlaps</w:t>
      </w:r>
      <w:r>
        <w:rPr>
          <w:rFonts w:asciiTheme="majorBidi" w:eastAsiaTheme="majorEastAsia" w:hAnsiTheme="majorBidi" w:cstheme="majorBidi"/>
        </w:rPr>
        <w:t xml:space="preserve"> </w:t>
      </w:r>
      <w:r w:rsidRPr="00ED7E61">
        <w:rPr>
          <w:rFonts w:asciiTheme="majorBidi" w:eastAsiaTheme="majorEastAsia" w:hAnsiTheme="majorBidi" w:cstheme="majorBidi"/>
        </w:rPr>
        <w:t xml:space="preserve">or gaps between ecosystem types and wall-to-wall coverage of the whole ecosystem accounting area). The total area is the sum of the areas of all </w:t>
      </w:r>
      <w:r w:rsidRPr="00ED7E61">
        <w:rPr>
          <w:rFonts w:asciiTheme="majorBidi" w:eastAsiaTheme="majorEastAsia" w:hAnsiTheme="majorBidi" w:cstheme="majorBidi"/>
          <w:lang w:val="en-AU"/>
        </w:rPr>
        <w:t xml:space="preserve">ecosystem types in that area including natural and anthropogenic ecosystem types. For the purposes of this </w:t>
      </w:r>
      <w:r w:rsidRPr="00ED7E61">
        <w:rPr>
          <w:rFonts w:asciiTheme="majorBidi" w:eastAsiaTheme="majorEastAsia" w:hAnsiTheme="majorBidi" w:cstheme="majorBidi"/>
          <w:lang w:val="en-AU"/>
        </w:rPr>
        <w:lastRenderedPageBreak/>
        <w:t xml:space="preserve">indicator, the ecosystem accounting area should be the total area of the country. For countries that have marine territory, the total surface area of the country could be divided into separate ecosystem accounting areas, for example one for the </w:t>
      </w:r>
      <w:r>
        <w:rPr>
          <w:rFonts w:asciiTheme="majorBidi" w:eastAsiaTheme="majorEastAsia" w:hAnsiTheme="majorBidi" w:cstheme="majorBidi"/>
          <w:lang w:val="en-AU"/>
        </w:rPr>
        <w:t xml:space="preserve">inland area (including </w:t>
      </w:r>
      <w:r w:rsidRPr="00ED7E61">
        <w:rPr>
          <w:rFonts w:asciiTheme="majorBidi" w:eastAsiaTheme="majorEastAsia" w:hAnsiTheme="majorBidi" w:cstheme="majorBidi"/>
          <w:lang w:val="en-AU"/>
        </w:rPr>
        <w:t xml:space="preserve">land and inland </w:t>
      </w:r>
      <w:proofErr w:type="gramStart"/>
      <w:r w:rsidRPr="00ED7E61">
        <w:rPr>
          <w:rFonts w:asciiTheme="majorBidi" w:eastAsiaTheme="majorEastAsia" w:hAnsiTheme="majorBidi" w:cstheme="majorBidi"/>
          <w:lang w:val="en-AU"/>
        </w:rPr>
        <w:t>water</w:t>
      </w:r>
      <w:r>
        <w:rPr>
          <w:rFonts w:asciiTheme="majorBidi" w:eastAsiaTheme="majorEastAsia" w:hAnsiTheme="majorBidi" w:cstheme="majorBidi"/>
          <w:lang w:val="en-AU"/>
        </w:rPr>
        <w:t>s)</w:t>
      </w:r>
      <w:r w:rsidRPr="00ED7E61">
        <w:rPr>
          <w:rFonts w:asciiTheme="majorBidi" w:eastAsiaTheme="majorEastAsia" w:hAnsiTheme="majorBidi" w:cstheme="majorBidi"/>
          <w:lang w:val="en-AU"/>
        </w:rPr>
        <w:t>and</w:t>
      </w:r>
      <w:proofErr w:type="gramEnd"/>
      <w:r w:rsidRPr="00ED7E61">
        <w:rPr>
          <w:rFonts w:asciiTheme="majorBidi" w:eastAsiaTheme="majorEastAsia" w:hAnsiTheme="majorBidi" w:cstheme="majorBidi"/>
          <w:lang w:val="en-AU"/>
        </w:rPr>
        <w:t xml:space="preserve"> another for the </w:t>
      </w:r>
      <w:r>
        <w:rPr>
          <w:rFonts w:asciiTheme="majorBidi" w:eastAsiaTheme="majorEastAsia" w:hAnsiTheme="majorBidi" w:cstheme="majorBidi"/>
          <w:lang w:val="en-AU"/>
        </w:rPr>
        <w:t>marine area</w:t>
      </w:r>
      <w:r w:rsidRPr="00ED7E61">
        <w:rPr>
          <w:rFonts w:asciiTheme="majorBidi" w:eastAsiaTheme="majorEastAsia" w:hAnsiTheme="majorBidi" w:cstheme="majorBidi"/>
          <w:lang w:val="en-AU"/>
        </w:rPr>
        <w:t>.</w:t>
      </w:r>
      <w:r w:rsidRPr="00ED7E61">
        <w:rPr>
          <w:rStyle w:val="eop"/>
          <w:rFonts w:asciiTheme="majorBidi" w:eastAsiaTheme="majorEastAsia" w:hAnsiTheme="majorBidi" w:cstheme="majorBidi"/>
        </w:rPr>
        <w:t> </w:t>
      </w:r>
      <w:r>
        <w:rPr>
          <w:rStyle w:val="eop"/>
          <w:rFonts w:asciiTheme="majorBidi" w:eastAsiaTheme="majorEastAsia" w:hAnsiTheme="majorBidi" w:cstheme="majorBidi"/>
        </w:rPr>
        <w:t xml:space="preserve"> </w:t>
      </w:r>
      <w:r>
        <w:rPr>
          <w:rFonts w:asciiTheme="majorBidi" w:eastAsiaTheme="majorEastAsia" w:hAnsiTheme="majorBidi" w:cstheme="majorBidi"/>
          <w:lang w:val="en-AU"/>
        </w:rPr>
        <w:t xml:space="preserve">Regardless of whether ecosystem accounts are developed for the inland and marine area as a single ecosystem accounting area or as two separate ecosystem accounting areas, the indicator should be reported in two components: an inland component and a marine component, as </w:t>
      </w:r>
      <w:r w:rsidRPr="00E2165B">
        <w:rPr>
          <w:rFonts w:asciiTheme="majorBidi" w:eastAsiaTheme="majorEastAsia" w:hAnsiTheme="majorBidi" w:cstheme="majorBidi"/>
          <w:lang w:val="en-AU"/>
        </w:rPr>
        <w:t>explained in paragraph 3</w:t>
      </w:r>
      <w:r w:rsidR="00E2165B" w:rsidRPr="00E2165B">
        <w:rPr>
          <w:rFonts w:asciiTheme="majorBidi" w:eastAsiaTheme="majorEastAsia" w:hAnsiTheme="majorBidi" w:cstheme="majorBidi"/>
          <w:lang w:val="en-AU"/>
        </w:rPr>
        <w:t>9</w:t>
      </w:r>
      <w:r w:rsidRPr="00E2165B">
        <w:rPr>
          <w:rFonts w:asciiTheme="majorBidi" w:eastAsiaTheme="majorEastAsia" w:hAnsiTheme="majorBidi" w:cstheme="majorBidi"/>
          <w:lang w:val="en-AU"/>
        </w:rPr>
        <w:t>.</w:t>
      </w:r>
      <w:r w:rsidRPr="00E2165B">
        <w:rPr>
          <w:rFonts w:asciiTheme="majorBidi" w:eastAsiaTheme="majorEastAsia" w:hAnsiTheme="majorBidi" w:cstheme="majorBidi"/>
        </w:rPr>
        <w:t> For</w:t>
      </w:r>
      <w:r w:rsidRPr="003F04EB">
        <w:rPr>
          <w:rFonts w:asciiTheme="majorBidi" w:eastAsiaTheme="majorEastAsia" w:hAnsiTheme="majorBidi" w:cstheme="majorBidi"/>
        </w:rPr>
        <w:t xml:space="preserve"> </w:t>
      </w:r>
      <w:r>
        <w:rPr>
          <w:rFonts w:asciiTheme="majorBidi" w:eastAsiaTheme="majorEastAsia" w:hAnsiTheme="majorBidi" w:cstheme="majorBidi"/>
        </w:rPr>
        <w:t xml:space="preserve">both </w:t>
      </w:r>
      <w:r w:rsidRPr="003F04EB">
        <w:rPr>
          <w:rFonts w:asciiTheme="majorBidi" w:eastAsiaTheme="majorEastAsia" w:hAnsiTheme="majorBidi" w:cstheme="majorBidi"/>
        </w:rPr>
        <w:t>the inland and marine components, countries should report the total area in absolute terms, not only the area of natural ecosystems</w:t>
      </w:r>
      <w:r>
        <w:rPr>
          <w:rFonts w:asciiTheme="majorBidi" w:eastAsiaTheme="majorEastAsia" w:hAnsiTheme="majorBidi" w:cstheme="majorBidi"/>
        </w:rPr>
        <w:t>, as this provides the denominator for the indicator.</w:t>
      </w:r>
    </w:p>
    <w:p w14:paraId="07517117" w14:textId="77777777" w:rsidR="00874D55" w:rsidRPr="00ED7E61"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i/>
          <w:iCs/>
          <w:lang w:val="en-AU"/>
        </w:rPr>
        <w:t>Changes in extent</w:t>
      </w:r>
      <w:r w:rsidRPr="00ED7E61">
        <w:rPr>
          <w:rStyle w:val="normaltextrun"/>
          <w:rFonts w:asciiTheme="majorBidi" w:eastAsiaTheme="majorEastAsia" w:hAnsiTheme="majorBidi" w:cstheme="majorBidi"/>
          <w:lang w:val="en-AU"/>
        </w:rPr>
        <w:t xml:space="preserve"> of natural ecosystems occur primarily through </w:t>
      </w:r>
      <w:r w:rsidRPr="00ED7E61">
        <w:rPr>
          <w:rStyle w:val="normaltextrun"/>
          <w:rFonts w:asciiTheme="majorBidi" w:eastAsiaTheme="majorEastAsia" w:hAnsiTheme="majorBidi" w:cstheme="majorBidi"/>
          <w:i/>
          <w:iCs/>
          <w:lang w:val="en-AU"/>
        </w:rPr>
        <w:t>ecosystem conversion</w:t>
      </w:r>
      <w:r w:rsidRPr="00ED7E61">
        <w:rPr>
          <w:rStyle w:val="normaltextrun"/>
          <w:rFonts w:asciiTheme="majorBidi" w:eastAsiaTheme="majorEastAsia" w:hAnsiTheme="majorBidi" w:cstheme="majorBidi"/>
          <w:lang w:val="en-AU"/>
        </w:rPr>
        <w:t xml:space="preserve">. In the SEEA Ecosystem Accounting, ecosystem conversions refer to situations in which, for a given location, there is a change in ecosystem type involving a distinct and persistent change in the ecological </w:t>
      </w:r>
      <w:r w:rsidRPr="00B3383B">
        <w:rPr>
          <w:rStyle w:val="normaltextrun"/>
        </w:rPr>
        <w:t>structure</w:t>
      </w:r>
      <w:r w:rsidRPr="00ED7E61">
        <w:rPr>
          <w:rStyle w:val="normaltextrun"/>
          <w:rFonts w:asciiTheme="majorBidi" w:eastAsiaTheme="majorEastAsia" w:hAnsiTheme="majorBidi" w:cstheme="majorBidi"/>
          <w:lang w:val="en-AU"/>
        </w:rPr>
        <w:t>, composition and function which, in turn, is reflected in the supply of a different set of ecosystem services. This definition aligns well with the approach to loss of ecosystem area (leading eventually to ecosystem collapse) in the Red List of Ecosystems. </w:t>
      </w:r>
      <w:r w:rsidRPr="00ED7E61">
        <w:rPr>
          <w:rStyle w:val="eop"/>
          <w:rFonts w:asciiTheme="majorBidi" w:eastAsiaTheme="majorEastAsia" w:hAnsiTheme="majorBidi" w:cstheme="majorBidi"/>
        </w:rPr>
        <w:t> </w:t>
      </w:r>
    </w:p>
    <w:p w14:paraId="5A6C3E5E" w14:textId="0B2938F4" w:rsidR="00874D55" w:rsidRPr="00ED7E61"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lang w:val="en-AU"/>
        </w:rPr>
        <w:t xml:space="preserve">Reduction in the extent of natural ecosystems will be tracked primarily through measuring conversion of area within natural </w:t>
      </w:r>
      <w:proofErr w:type="gramStart"/>
      <w:r w:rsidRPr="00ED7E61">
        <w:rPr>
          <w:rStyle w:val="normaltextrun"/>
          <w:rFonts w:asciiTheme="majorBidi" w:eastAsiaTheme="majorEastAsia" w:hAnsiTheme="majorBidi" w:cstheme="majorBidi"/>
          <w:lang w:val="en-AU"/>
        </w:rPr>
        <w:t>ecosystems</w:t>
      </w:r>
      <w:proofErr w:type="gramEnd"/>
      <w:r w:rsidRPr="00ED7E61">
        <w:rPr>
          <w:rStyle w:val="normaltextrun"/>
          <w:rFonts w:asciiTheme="majorBidi" w:eastAsiaTheme="majorEastAsia" w:hAnsiTheme="majorBidi" w:cstheme="majorBidi"/>
          <w:lang w:val="en-AU"/>
        </w:rPr>
        <w:t xml:space="preserve"> </w:t>
      </w:r>
      <w:r>
        <w:rPr>
          <w:rStyle w:val="normaltextrun"/>
          <w:rFonts w:asciiTheme="majorBidi" w:eastAsiaTheme="majorEastAsia" w:hAnsiTheme="majorBidi" w:cstheme="majorBidi"/>
          <w:lang w:val="en-AU"/>
        </w:rPr>
        <w:t xml:space="preserve">types </w:t>
      </w:r>
      <w:r w:rsidRPr="00ED7E61">
        <w:rPr>
          <w:rStyle w:val="normaltextrun"/>
          <w:rFonts w:asciiTheme="majorBidi" w:eastAsiaTheme="majorEastAsia" w:hAnsiTheme="majorBidi" w:cstheme="majorBidi"/>
          <w:lang w:val="en-AU"/>
        </w:rPr>
        <w:t xml:space="preserve">to anthropogenic </w:t>
      </w:r>
      <w:proofErr w:type="gramStart"/>
      <w:r w:rsidRPr="00ED7E61">
        <w:rPr>
          <w:rStyle w:val="normaltextrun"/>
          <w:rFonts w:asciiTheme="majorBidi" w:eastAsiaTheme="majorEastAsia" w:hAnsiTheme="majorBidi" w:cstheme="majorBidi"/>
          <w:lang w:val="en-AU"/>
        </w:rPr>
        <w:t>ecosystems</w:t>
      </w:r>
      <w:proofErr w:type="gramEnd"/>
      <w:r>
        <w:rPr>
          <w:rStyle w:val="normaltextrun"/>
          <w:rFonts w:asciiTheme="majorBidi" w:eastAsiaTheme="majorEastAsia" w:hAnsiTheme="majorBidi" w:cstheme="majorBidi"/>
          <w:lang w:val="en-AU"/>
        </w:rPr>
        <w:t xml:space="preserve"> types</w:t>
      </w:r>
      <w:r w:rsidRPr="00ED7E61">
        <w:rPr>
          <w:rStyle w:val="normaltextrun"/>
          <w:rFonts w:asciiTheme="majorBidi" w:eastAsiaTheme="majorEastAsia" w:hAnsiTheme="majorBidi" w:cstheme="majorBidi"/>
          <w:lang w:val="en-AU"/>
        </w:rPr>
        <w:t>. There are also instances in which the extent of natural ecosystems may increase, for example through restoration of anthropogenic ecosystems to</w:t>
      </w:r>
      <w:r>
        <w:rPr>
          <w:rStyle w:val="normaltextrun"/>
          <w:rFonts w:asciiTheme="majorBidi" w:eastAsiaTheme="majorEastAsia" w:hAnsiTheme="majorBidi" w:cstheme="majorBidi"/>
          <w:lang w:val="en-AU"/>
        </w:rPr>
        <w:t>wards a natural state</w:t>
      </w:r>
      <w:r w:rsidRPr="00ED7E61">
        <w:rPr>
          <w:rStyle w:val="normaltextrun"/>
          <w:rFonts w:asciiTheme="majorBidi" w:eastAsiaTheme="majorEastAsia" w:hAnsiTheme="majorBidi" w:cstheme="majorBidi"/>
          <w:lang w:val="en-AU"/>
        </w:rPr>
        <w:t>.</w:t>
      </w:r>
      <w:r w:rsidRPr="00ED7E61">
        <w:rPr>
          <w:rStyle w:val="eop"/>
          <w:rFonts w:asciiTheme="majorBidi" w:eastAsiaTheme="majorEastAsia" w:hAnsiTheme="majorBidi" w:cstheme="majorBidi"/>
        </w:rPr>
        <w:t> </w:t>
      </w:r>
    </w:p>
    <w:p w14:paraId="05A19323" w14:textId="1C444530" w:rsidR="00874D55" w:rsidRPr="00ED7E61" w:rsidRDefault="00874D55" w:rsidP="00874D55">
      <w:pPr>
        <w:pStyle w:val="CBDNormalNumber"/>
        <w:numPr>
          <w:ilvl w:val="0"/>
          <w:numId w:val="45"/>
        </w:numPr>
        <w:rPr>
          <w:rFonts w:asciiTheme="majorBidi" w:hAnsiTheme="majorBidi" w:cstheme="majorBidi"/>
        </w:rPr>
      </w:pPr>
      <w:r w:rsidRPr="00340A13">
        <w:t xml:space="preserve">Ecosystem types are </w:t>
      </w:r>
      <w:r>
        <w:t xml:space="preserve">ideally </w:t>
      </w:r>
      <w:r w:rsidRPr="00340A13">
        <w:t>classified at the national level as part of a national ecosystem classification system</w:t>
      </w:r>
      <w:r>
        <w:t xml:space="preserve">. </w:t>
      </w:r>
      <w:r w:rsidRPr="00B3383B">
        <w:t xml:space="preserve"> </w:t>
      </w:r>
      <w:r>
        <w:rPr>
          <w:rStyle w:val="normaltextrun"/>
          <w:rFonts w:asciiTheme="majorBidi" w:eastAsiaTheme="majorEastAsia" w:hAnsiTheme="majorBidi" w:cstheme="majorBidi"/>
        </w:rPr>
        <w:t xml:space="preserve">The </w:t>
      </w:r>
      <w:r w:rsidRPr="00ED7E61">
        <w:rPr>
          <w:rStyle w:val="normaltextrun"/>
          <w:rFonts w:asciiTheme="majorBidi" w:eastAsiaTheme="majorEastAsia" w:hAnsiTheme="majorBidi" w:cstheme="majorBidi"/>
        </w:rPr>
        <w:t>IUCN GET</w:t>
      </w:r>
      <w:r>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color w:val="000000"/>
          <w:lang w:val="en-AU"/>
        </w:rPr>
        <w:t>Keith</w:t>
      </w:r>
      <w:r>
        <w:rPr>
          <w:rStyle w:val="normaltextrun"/>
          <w:rFonts w:asciiTheme="majorBidi" w:eastAsiaTheme="majorEastAsia" w:hAnsiTheme="majorBidi" w:cstheme="majorBidi"/>
          <w:color w:val="000000"/>
          <w:lang w:val="en-AU"/>
        </w:rPr>
        <w:t xml:space="preserve"> et al. 2020)</w:t>
      </w:r>
      <w:r w:rsidRPr="00ED7E61">
        <w:rPr>
          <w:rStyle w:val="normaltextrun"/>
          <w:rFonts w:asciiTheme="majorBidi" w:eastAsiaTheme="majorEastAsia" w:hAnsiTheme="majorBidi" w:cstheme="majorBidi"/>
        </w:rPr>
        <w:t xml:space="preserve">, is the </w:t>
      </w:r>
      <w:r w:rsidRPr="00ED7E61">
        <w:rPr>
          <w:rStyle w:val="normaltextrun"/>
          <w:rFonts w:asciiTheme="majorBidi" w:eastAsiaTheme="majorEastAsia" w:hAnsiTheme="majorBidi" w:cstheme="majorBidi"/>
          <w:i/>
          <w:iCs/>
        </w:rPr>
        <w:t>reference classification for ecosystem types</w:t>
      </w:r>
      <w:r w:rsidRPr="00ED7E61">
        <w:rPr>
          <w:rStyle w:val="normaltextrun"/>
          <w:rFonts w:asciiTheme="majorBidi" w:eastAsiaTheme="majorEastAsia" w:hAnsiTheme="majorBidi" w:cstheme="majorBidi"/>
        </w:rPr>
        <w:t xml:space="preserve"> in the SEEA Ecosystem Accounting and was endorsed by the United Nations Statistical Commission at its 55th session in March 2024 as an international statistical</w:t>
      </w:r>
      <w:r w:rsidR="002A0D06">
        <w:rPr>
          <w:rStyle w:val="normaltextrun"/>
          <w:rFonts w:asciiTheme="majorBidi" w:eastAsiaTheme="majorEastAsia" w:hAnsiTheme="majorBidi" w:cstheme="majorBidi"/>
        </w:rPr>
        <w:t xml:space="preserve"> classification system</w:t>
      </w:r>
      <w:proofErr w:type="gramStart"/>
      <w:r w:rsidR="002A0D06">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w:t>
      </w:r>
      <w:r>
        <w:rPr>
          <w:rStyle w:val="normaltextrun"/>
          <w:rFonts w:asciiTheme="majorBidi" w:eastAsiaTheme="majorEastAsia" w:hAnsiTheme="majorBidi" w:cstheme="majorBidi"/>
          <w:color w:val="000000"/>
          <w:lang w:val="en-AU"/>
        </w:rPr>
        <w:t>.</w:t>
      </w:r>
      <w:proofErr w:type="gramEnd"/>
      <w:r w:rsidRPr="00ED7E61">
        <w:rPr>
          <w:rStyle w:val="normaltextrun"/>
          <w:rFonts w:asciiTheme="majorBidi" w:eastAsiaTheme="majorEastAsia" w:hAnsiTheme="majorBidi" w:cstheme="majorBidi"/>
        </w:rPr>
        <w:t xml:space="preserve"> </w:t>
      </w:r>
      <w:r w:rsidRPr="00532CD5">
        <w:rPr>
          <w:rFonts w:asciiTheme="majorBidi" w:eastAsiaTheme="majorEastAsia" w:hAnsiTheme="majorBidi" w:cstheme="majorBidi"/>
        </w:rPr>
        <w:t xml:space="preserve">The GET is a hierarchical classification, enabling global consistency at the </w:t>
      </w:r>
      <w:r>
        <w:rPr>
          <w:rFonts w:asciiTheme="majorBidi" w:eastAsiaTheme="majorEastAsia" w:hAnsiTheme="majorBidi" w:cstheme="majorBidi"/>
        </w:rPr>
        <w:t xml:space="preserve">aggregate </w:t>
      </w:r>
      <w:r w:rsidRPr="00532CD5">
        <w:rPr>
          <w:rFonts w:asciiTheme="majorBidi" w:eastAsiaTheme="majorEastAsia" w:hAnsiTheme="majorBidi" w:cstheme="majorBidi"/>
        </w:rPr>
        <w:t xml:space="preserve">levels while encouraging detailed national ecosystem classifications at the </w:t>
      </w:r>
      <w:r>
        <w:rPr>
          <w:rFonts w:asciiTheme="majorBidi" w:eastAsiaTheme="majorEastAsia" w:hAnsiTheme="majorBidi" w:cstheme="majorBidi"/>
        </w:rPr>
        <w:t>more detailed</w:t>
      </w:r>
      <w:r w:rsidRPr="00532CD5">
        <w:rPr>
          <w:rFonts w:asciiTheme="majorBidi" w:eastAsiaTheme="majorEastAsia" w:hAnsiTheme="majorBidi" w:cstheme="majorBidi"/>
        </w:rPr>
        <w:t xml:space="preserve"> levels.</w:t>
      </w:r>
      <w:r>
        <w:rPr>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The three upper levels of IUCN GET – realms, biomes and ecosystem functional groups – classify ecosystems based on their functional characteristics (such as structural roles of foundation species, water regime, climatic regime or food web structure). </w:t>
      </w:r>
      <w:r w:rsidRPr="00532CD5">
        <w:rPr>
          <w:rFonts w:asciiTheme="majorBidi" w:eastAsiaTheme="majorEastAsia" w:hAnsiTheme="majorBidi" w:cstheme="majorBidi"/>
        </w:rPr>
        <w:t>National ecosystem types would typically be identified at level 5 or 6</w:t>
      </w:r>
      <w:r>
        <w:rPr>
          <w:rFonts w:asciiTheme="majorBidi" w:eastAsiaTheme="majorEastAsia" w:hAnsiTheme="majorBidi" w:cstheme="majorBidi"/>
        </w:rPr>
        <w:t xml:space="preserve">, which include emphasis on compositional characteristics and are </w:t>
      </w:r>
      <w:r w:rsidRPr="00112F29">
        <w:rPr>
          <w:rFonts w:asciiTheme="majorBidi" w:eastAsiaTheme="majorEastAsia" w:hAnsiTheme="majorBidi" w:cstheme="majorBidi"/>
        </w:rPr>
        <w:t>intended to be developed bottom-up</w:t>
      </w:r>
      <w:r>
        <w:rPr>
          <w:rFonts w:asciiTheme="majorBidi" w:eastAsiaTheme="majorEastAsia" w:hAnsiTheme="majorBidi" w:cstheme="majorBidi"/>
        </w:rPr>
        <w:t xml:space="preserve"> by countries. </w:t>
      </w:r>
      <w:r w:rsidRPr="00ED7E61">
        <w:rPr>
          <w:rStyle w:val="normaltextrun"/>
          <w:rFonts w:asciiTheme="majorBidi" w:eastAsiaTheme="majorEastAsia" w:hAnsiTheme="majorBidi" w:cstheme="majorBidi"/>
        </w:rPr>
        <w:t>Level 3 – ecosystem functional groups (EFGs) – of the IUCN GET</w:t>
      </w:r>
      <w:r w:rsidRPr="001C4E8D">
        <w:rPr>
          <w:rFonts w:asciiTheme="majorBidi" w:eastAsiaTheme="majorEastAsia" w:hAnsiTheme="majorBidi" w:cstheme="majorBidi"/>
        </w:rPr>
        <w:t xml:space="preserve"> </w:t>
      </w:r>
      <w:r w:rsidRPr="00532CD5">
        <w:rPr>
          <w:rFonts w:asciiTheme="majorBidi" w:eastAsiaTheme="majorEastAsia" w:hAnsiTheme="majorBidi" w:cstheme="majorBidi"/>
        </w:rPr>
        <w:t xml:space="preserve">an important level for comparing information across countries </w:t>
      </w:r>
      <w:r>
        <w:rPr>
          <w:rFonts w:asciiTheme="majorBidi" w:eastAsiaTheme="majorEastAsia" w:hAnsiTheme="majorBidi" w:cstheme="majorBidi"/>
        </w:rPr>
        <w:t>and syn</w:t>
      </w:r>
      <w:r w:rsidRPr="00532CD5">
        <w:rPr>
          <w:rFonts w:asciiTheme="majorBidi" w:eastAsiaTheme="majorEastAsia" w:hAnsiTheme="majorBidi" w:cstheme="majorBidi"/>
        </w:rPr>
        <w:t>thesising ecosystem-related information. </w:t>
      </w:r>
      <w:r>
        <w:rPr>
          <w:rFonts w:asciiTheme="majorBidi" w:eastAsiaTheme="majorEastAsia" w:hAnsiTheme="majorBidi" w:cstheme="majorBidi"/>
        </w:rPr>
        <w:t xml:space="preserve">As discussed in paragraph 27, countries are encouraged to cross-reference their national ecosystem classifications to EFGs for the purposes of global comparison and reporting. </w:t>
      </w:r>
      <w:r w:rsidRPr="00532CD5">
        <w:rPr>
          <w:rFonts w:asciiTheme="majorBidi" w:eastAsiaTheme="majorEastAsia" w:hAnsiTheme="majorBidi" w:cstheme="majorBidi"/>
        </w:rPr>
        <w:t xml:space="preserve"> </w:t>
      </w:r>
      <w:r w:rsidRPr="00ED7E61">
        <w:rPr>
          <w:rStyle w:val="eop"/>
          <w:rFonts w:asciiTheme="majorBidi" w:eastAsiaTheme="majorEastAsia" w:hAnsiTheme="majorBidi" w:cstheme="majorBidi"/>
        </w:rPr>
        <w:t> </w:t>
      </w:r>
    </w:p>
    <w:p w14:paraId="22966A47" w14:textId="14F15B10" w:rsidR="00874D55" w:rsidRDefault="00874D55" w:rsidP="00874D55">
      <w:pPr>
        <w:pStyle w:val="CBDNormalNumber"/>
        <w:numPr>
          <w:ilvl w:val="0"/>
          <w:numId w:val="45"/>
        </w:numPr>
        <w:rPr>
          <w:rFonts w:asciiTheme="majorBidi" w:eastAsiaTheme="majorEastAsia" w:hAnsiTheme="majorBidi" w:cstheme="majorBidi"/>
        </w:rPr>
      </w:pPr>
      <w:r w:rsidRPr="00ED7E61">
        <w:rPr>
          <w:rStyle w:val="normaltextrun"/>
          <w:rFonts w:asciiTheme="majorBidi" w:eastAsiaTheme="majorEastAsia" w:hAnsiTheme="majorBidi" w:cstheme="majorBidi"/>
          <w:i/>
          <w:iCs/>
        </w:rPr>
        <w:t>Natural ecosystems</w:t>
      </w:r>
      <w:r w:rsidRPr="00ED7E61">
        <w:rPr>
          <w:rStyle w:val="normaltextrun"/>
          <w:rFonts w:asciiTheme="majorBidi" w:eastAsiaTheme="majorEastAsia" w:hAnsiTheme="majorBidi" w:cstheme="majorBidi"/>
        </w:rPr>
        <w:t xml:space="preserve"> are ecosystems in which the impacts of humans on ecosystem composition, structure and function are low compared to natural factors.</w:t>
      </w:r>
      <w:r w:rsidRPr="00A14768">
        <w:rPr>
          <w:rFonts w:asciiTheme="majorBidi" w:eastAsiaTheme="majorEastAsia" w:hAnsiTheme="majorBidi" w:cstheme="majorBidi"/>
        </w:rPr>
        <w:t xml:space="preserve"> </w:t>
      </w:r>
      <w:r>
        <w:rPr>
          <w:rFonts w:asciiTheme="majorBidi" w:eastAsiaTheme="majorEastAsia" w:hAnsiTheme="majorBidi" w:cstheme="majorBidi"/>
        </w:rPr>
        <w:t>In this broad sense, n</w:t>
      </w:r>
      <w:r w:rsidRPr="00156EFF">
        <w:rPr>
          <w:rFonts w:asciiTheme="majorBidi" w:eastAsiaTheme="majorEastAsia" w:hAnsiTheme="majorBidi" w:cstheme="majorBidi"/>
        </w:rPr>
        <w:t>atural ecosystem types include:</w:t>
      </w:r>
    </w:p>
    <w:p w14:paraId="7F77E0FC" w14:textId="77777777" w:rsidR="00874D55" w:rsidRDefault="00874D55" w:rsidP="00874D55">
      <w:pPr>
        <w:pStyle w:val="ListParagraph"/>
        <w:numPr>
          <w:ilvl w:val="1"/>
          <w:numId w:val="45"/>
        </w:numPr>
        <w:rPr>
          <w:rFonts w:asciiTheme="majorBidi" w:eastAsiaTheme="majorEastAsia" w:hAnsiTheme="majorBidi" w:cstheme="majorBidi"/>
        </w:rPr>
      </w:pPr>
      <w:r w:rsidRPr="0083472F">
        <w:rPr>
          <w:rFonts w:asciiTheme="majorBidi" w:eastAsiaTheme="majorEastAsia" w:hAnsiTheme="majorBidi" w:cstheme="majorBidi"/>
        </w:rPr>
        <w:t>Ecosystems</w:t>
      </w:r>
      <w:r>
        <w:rPr>
          <w:rFonts w:asciiTheme="majorBidi" w:eastAsiaTheme="majorEastAsia" w:hAnsiTheme="majorBidi" w:cstheme="majorBidi"/>
        </w:rPr>
        <w:t xml:space="preserve"> influenced or</w:t>
      </w:r>
      <w:r w:rsidRPr="0083472F">
        <w:rPr>
          <w:rFonts w:asciiTheme="majorBidi" w:eastAsiaTheme="majorEastAsia" w:hAnsiTheme="majorBidi" w:cstheme="majorBidi"/>
        </w:rPr>
        <w:t xml:space="preserve"> modified to varying degrees by human intervention</w:t>
      </w:r>
      <w:r>
        <w:rPr>
          <w:rFonts w:asciiTheme="majorBidi" w:eastAsiaTheme="majorEastAsia" w:hAnsiTheme="majorBidi" w:cstheme="majorBidi"/>
        </w:rPr>
        <w:t>s</w:t>
      </w:r>
      <w:r w:rsidRPr="0083472F">
        <w:rPr>
          <w:rFonts w:asciiTheme="majorBidi" w:eastAsiaTheme="majorEastAsia" w:hAnsiTheme="majorBidi" w:cstheme="majorBidi"/>
        </w:rPr>
        <w:t xml:space="preserve">, </w:t>
      </w:r>
      <w:r w:rsidRPr="007D7474">
        <w:rPr>
          <w:rFonts w:asciiTheme="majorBidi" w:eastAsiaTheme="majorEastAsia" w:hAnsiTheme="majorBidi" w:cstheme="majorBidi"/>
        </w:rPr>
        <w:t>but with natural compositional, structural and functional characteristics still at least partially present and recognisable</w:t>
      </w:r>
      <w:r>
        <w:rPr>
          <w:rFonts w:asciiTheme="majorBidi" w:eastAsiaTheme="majorEastAsia" w:hAnsiTheme="majorBidi" w:cstheme="majorBidi"/>
        </w:rPr>
        <w:t>. The human interventions</w:t>
      </w:r>
      <w:r w:rsidRPr="0083472F">
        <w:rPr>
          <w:rFonts w:asciiTheme="majorBidi" w:eastAsiaTheme="majorEastAsia" w:hAnsiTheme="majorBidi" w:cstheme="majorBidi"/>
        </w:rPr>
        <w:t xml:space="preserve"> could be </w:t>
      </w:r>
      <w:r>
        <w:rPr>
          <w:rFonts w:asciiTheme="majorBidi" w:eastAsiaTheme="majorEastAsia" w:hAnsiTheme="majorBidi" w:cstheme="majorBidi"/>
        </w:rPr>
        <w:t>beneficial,</w:t>
      </w:r>
      <w:r w:rsidRPr="0083472F">
        <w:rPr>
          <w:rFonts w:asciiTheme="majorBidi" w:eastAsiaTheme="majorEastAsia" w:hAnsiTheme="majorBidi" w:cstheme="majorBidi"/>
        </w:rPr>
        <w:t xml:space="preserve"> neutral or </w:t>
      </w:r>
      <w:r>
        <w:rPr>
          <w:rFonts w:asciiTheme="majorBidi" w:eastAsiaTheme="majorEastAsia" w:hAnsiTheme="majorBidi" w:cstheme="majorBidi"/>
        </w:rPr>
        <w:t>negative f</w:t>
      </w:r>
      <w:r w:rsidRPr="0083472F">
        <w:rPr>
          <w:rFonts w:asciiTheme="majorBidi" w:eastAsiaTheme="majorEastAsia" w:hAnsiTheme="majorBidi" w:cstheme="majorBidi"/>
        </w:rPr>
        <w:t>rom a biodiversity perspective. In some cases, the human intervention may mimic processes that would have taken place as part of the natural functioning of the ecosystem prior to human modification (e.g. grazing by wild herbivores or natural fire cycles).</w:t>
      </w:r>
      <w:r>
        <w:rPr>
          <w:rFonts w:asciiTheme="majorBidi" w:eastAsiaTheme="majorEastAsia" w:hAnsiTheme="majorBidi" w:cstheme="majorBidi"/>
        </w:rPr>
        <w:t xml:space="preserve"> It may include th</w:t>
      </w:r>
      <w:r w:rsidRPr="00D80321">
        <w:rPr>
          <w:rFonts w:asciiTheme="majorBidi" w:eastAsiaTheme="majorEastAsia" w:hAnsiTheme="majorBidi" w:cstheme="majorBidi"/>
        </w:rPr>
        <w:t xml:space="preserve">e use of </w:t>
      </w:r>
      <w:r>
        <w:rPr>
          <w:rFonts w:asciiTheme="majorBidi" w:eastAsiaTheme="majorEastAsia" w:hAnsiTheme="majorBidi" w:cstheme="majorBidi"/>
        </w:rPr>
        <w:t>ec</w:t>
      </w:r>
      <w:r w:rsidRPr="00D80321">
        <w:rPr>
          <w:rFonts w:asciiTheme="majorBidi" w:eastAsiaTheme="majorEastAsia" w:hAnsiTheme="majorBidi" w:cstheme="majorBidi"/>
        </w:rPr>
        <w:t xml:space="preserve">osystems by traditional and/or </w:t>
      </w:r>
      <w:r>
        <w:rPr>
          <w:rFonts w:asciiTheme="majorBidi" w:eastAsiaTheme="majorEastAsia" w:hAnsiTheme="majorBidi" w:cstheme="majorBidi"/>
        </w:rPr>
        <w:t>I</w:t>
      </w:r>
      <w:r w:rsidRPr="00D80321">
        <w:rPr>
          <w:rFonts w:asciiTheme="majorBidi" w:eastAsiaTheme="majorEastAsia" w:hAnsiTheme="majorBidi" w:cstheme="majorBidi"/>
        </w:rPr>
        <w:t xml:space="preserve">ndigenous societies, </w:t>
      </w:r>
      <w:r>
        <w:rPr>
          <w:rFonts w:asciiTheme="majorBidi" w:eastAsiaTheme="majorEastAsia" w:hAnsiTheme="majorBidi" w:cstheme="majorBidi"/>
        </w:rPr>
        <w:t xml:space="preserve">including </w:t>
      </w:r>
      <w:r w:rsidRPr="00D80321">
        <w:rPr>
          <w:rFonts w:asciiTheme="majorBidi" w:eastAsiaTheme="majorEastAsia" w:hAnsiTheme="majorBidi" w:cstheme="majorBidi"/>
        </w:rPr>
        <w:t>practices such as fire management, nomadic grazing and other pastoral practices</w:t>
      </w:r>
      <w:r>
        <w:rPr>
          <w:rFonts w:asciiTheme="majorBidi" w:eastAsiaTheme="majorEastAsia" w:hAnsiTheme="majorBidi" w:cstheme="majorBidi"/>
        </w:rPr>
        <w:t>.</w:t>
      </w:r>
      <w:r w:rsidRPr="0083472F">
        <w:rPr>
          <w:rFonts w:asciiTheme="majorBidi" w:eastAsiaTheme="majorEastAsia" w:hAnsiTheme="majorBidi" w:cstheme="majorBidi"/>
        </w:rPr>
        <w:t xml:space="preserve"> In some </w:t>
      </w:r>
      <w:r>
        <w:rPr>
          <w:rFonts w:asciiTheme="majorBidi" w:eastAsiaTheme="majorEastAsia" w:hAnsiTheme="majorBidi" w:cstheme="majorBidi"/>
        </w:rPr>
        <w:t xml:space="preserve">contexts, </w:t>
      </w:r>
      <w:r w:rsidRPr="0083472F">
        <w:rPr>
          <w:rFonts w:asciiTheme="majorBidi" w:eastAsiaTheme="majorEastAsia" w:hAnsiTheme="majorBidi" w:cstheme="majorBidi"/>
        </w:rPr>
        <w:t xml:space="preserve">these </w:t>
      </w:r>
      <w:r>
        <w:rPr>
          <w:rFonts w:asciiTheme="majorBidi" w:eastAsiaTheme="majorEastAsia" w:hAnsiTheme="majorBidi" w:cstheme="majorBidi"/>
        </w:rPr>
        <w:t xml:space="preserve">modified </w:t>
      </w:r>
      <w:r w:rsidRPr="0083472F">
        <w:rPr>
          <w:rFonts w:asciiTheme="majorBidi" w:eastAsiaTheme="majorEastAsia" w:hAnsiTheme="majorBidi" w:cstheme="majorBidi"/>
        </w:rPr>
        <w:t>ecosystems are termed semi-natural.</w:t>
      </w:r>
    </w:p>
    <w:p w14:paraId="34FF106B" w14:textId="77777777" w:rsidR="00874D55" w:rsidRDefault="00874D55" w:rsidP="00874D55">
      <w:pPr>
        <w:pStyle w:val="ListParagraph"/>
        <w:numPr>
          <w:ilvl w:val="1"/>
          <w:numId w:val="45"/>
        </w:numPr>
        <w:rPr>
          <w:rFonts w:asciiTheme="majorBidi" w:eastAsiaTheme="majorEastAsia" w:hAnsiTheme="majorBidi" w:cstheme="majorBidi"/>
        </w:rPr>
      </w:pPr>
      <w:r w:rsidRPr="0083472F">
        <w:rPr>
          <w:rFonts w:asciiTheme="majorBidi" w:eastAsiaTheme="majorEastAsia" w:hAnsiTheme="majorBidi" w:cstheme="majorBidi"/>
        </w:rPr>
        <w:t xml:space="preserve">Instances of natural ecosystem types that are in </w:t>
      </w:r>
      <w:r>
        <w:rPr>
          <w:rFonts w:asciiTheme="majorBidi" w:eastAsiaTheme="majorEastAsia" w:hAnsiTheme="majorBidi" w:cstheme="majorBidi"/>
        </w:rPr>
        <w:t>a range of c</w:t>
      </w:r>
      <w:r w:rsidRPr="0083472F">
        <w:rPr>
          <w:rFonts w:asciiTheme="majorBidi" w:eastAsiaTheme="majorEastAsia" w:hAnsiTheme="majorBidi" w:cstheme="majorBidi"/>
        </w:rPr>
        <w:t xml:space="preserve">ondition states, from pristine ecosystems </w:t>
      </w:r>
      <w:r>
        <w:rPr>
          <w:rFonts w:asciiTheme="majorBidi" w:eastAsiaTheme="majorEastAsia" w:hAnsiTheme="majorBidi" w:cstheme="majorBidi"/>
        </w:rPr>
        <w:t xml:space="preserve">in excellent condition or with high integrity, </w:t>
      </w:r>
      <w:r w:rsidRPr="0083472F">
        <w:rPr>
          <w:rFonts w:asciiTheme="majorBidi" w:eastAsiaTheme="majorEastAsia" w:hAnsiTheme="majorBidi" w:cstheme="majorBidi"/>
        </w:rPr>
        <w:t xml:space="preserve">through to </w:t>
      </w:r>
      <w:r>
        <w:rPr>
          <w:rFonts w:asciiTheme="majorBidi" w:eastAsiaTheme="majorEastAsia" w:hAnsiTheme="majorBidi" w:cstheme="majorBidi"/>
        </w:rPr>
        <w:t>t</w:t>
      </w:r>
      <w:r w:rsidRPr="00A1446D">
        <w:rPr>
          <w:rFonts w:asciiTheme="majorBidi" w:eastAsiaTheme="majorEastAsia" w:hAnsiTheme="majorBidi" w:cstheme="majorBidi"/>
        </w:rPr>
        <w:t>hose in poor condition, degraded, or with low integrity</w:t>
      </w:r>
      <w:r>
        <w:rPr>
          <w:rFonts w:asciiTheme="majorBidi" w:eastAsiaTheme="majorEastAsia" w:hAnsiTheme="majorBidi" w:cstheme="majorBidi"/>
        </w:rPr>
        <w:t>.</w:t>
      </w:r>
    </w:p>
    <w:p w14:paraId="3825AFDD" w14:textId="77777777" w:rsidR="00874D55" w:rsidRPr="00ED7E61" w:rsidRDefault="00874D55" w:rsidP="00874D55">
      <w:pPr>
        <w:pStyle w:val="CBDNormalNumber"/>
        <w:numPr>
          <w:ilvl w:val="0"/>
          <w:numId w:val="45"/>
        </w:numPr>
        <w:rPr>
          <w:rStyle w:val="normaltextrun"/>
          <w:rFonts w:asciiTheme="majorBidi" w:eastAsiaTheme="majorEastAsia" w:hAnsiTheme="majorBidi" w:cstheme="majorBidi"/>
        </w:rPr>
      </w:pPr>
    </w:p>
    <w:p w14:paraId="18D886B5" w14:textId="62F50F70" w:rsidR="00874D55" w:rsidRPr="0083472F" w:rsidRDefault="00874D55" w:rsidP="00812871">
      <w:pPr>
        <w:pStyle w:val="CBDNormalNumber"/>
        <w:numPr>
          <w:ilvl w:val="0"/>
          <w:numId w:val="45"/>
        </w:numPr>
        <w:tabs>
          <w:tab w:val="clear" w:pos="1134"/>
        </w:tabs>
        <w:rPr>
          <w:rFonts w:asciiTheme="majorBidi" w:eastAsiaTheme="majorEastAsia" w:hAnsiTheme="majorBidi" w:cstheme="majorBidi"/>
          <w:color w:val="000000"/>
          <w:lang w:val="en-AU"/>
        </w:rPr>
      </w:pPr>
      <w:r w:rsidRPr="005620E3">
        <w:rPr>
          <w:rFonts w:asciiTheme="majorBidi" w:eastAsiaTheme="majorEastAsia" w:hAnsiTheme="majorBidi" w:cstheme="majorBidi"/>
          <w:color w:val="000000"/>
          <w:lang w:val="en-AU"/>
        </w:rPr>
        <w:t xml:space="preserve">In contrast, anthropogenic ecosystem types are those </w:t>
      </w:r>
      <w:r w:rsidRPr="005620E3">
        <w:rPr>
          <w:rFonts w:asciiTheme="majorBidi" w:eastAsiaTheme="majorEastAsia" w:hAnsiTheme="majorBidi" w:cstheme="majorBidi"/>
          <w:i/>
          <w:iCs/>
          <w:color w:val="000000"/>
          <w:lang w:val="en-AU"/>
        </w:rPr>
        <w:t>created and maintained</w:t>
      </w:r>
      <w:r w:rsidRPr="005620E3">
        <w:rPr>
          <w:rFonts w:asciiTheme="majorBidi" w:eastAsiaTheme="majorEastAsia" w:hAnsiTheme="majorBidi" w:cstheme="majorBidi"/>
          <w:color w:val="000000"/>
          <w:lang w:val="en-AU"/>
        </w:rPr>
        <w:t xml:space="preserve"> through human interventions, i.e. human interventions are the </w:t>
      </w:r>
      <w:r w:rsidRPr="005620E3">
        <w:rPr>
          <w:rFonts w:asciiTheme="majorBidi" w:eastAsiaTheme="majorEastAsia" w:hAnsiTheme="majorBidi" w:cstheme="majorBidi"/>
          <w:i/>
          <w:iCs/>
          <w:color w:val="000000"/>
          <w:lang w:val="en-AU"/>
        </w:rPr>
        <w:t>primary determinant</w:t>
      </w:r>
      <w:r w:rsidRPr="005620E3">
        <w:rPr>
          <w:rFonts w:asciiTheme="majorBidi" w:eastAsiaTheme="majorEastAsia" w:hAnsiTheme="majorBidi" w:cstheme="majorBidi"/>
          <w:color w:val="000000"/>
          <w:lang w:val="en-AU"/>
        </w:rPr>
        <w:t xml:space="preserve"> of the composition, structure and functioning of the ecosystem. An anthropogenic ecosystem type has typically </w:t>
      </w:r>
      <w:r w:rsidRPr="0083472F">
        <w:rPr>
          <w:rFonts w:asciiTheme="majorBidi" w:eastAsiaTheme="majorEastAsia" w:hAnsiTheme="majorBidi" w:cstheme="majorBidi"/>
          <w:i/>
          <w:iCs/>
          <w:color w:val="000000"/>
          <w:lang w:val="en-AU"/>
        </w:rPr>
        <w:t>replaced</w:t>
      </w:r>
      <w:r w:rsidRPr="005620E3">
        <w:rPr>
          <w:rFonts w:asciiTheme="majorBidi" w:eastAsiaTheme="majorEastAsia" w:hAnsiTheme="majorBidi" w:cstheme="majorBidi"/>
          <w:color w:val="000000"/>
          <w:lang w:val="en-AU"/>
        </w:rPr>
        <w:t xml:space="preserve"> an antecedent or pre-existing natural ecosystem type, which is no longer recognisably present</w:t>
      </w:r>
      <w:r>
        <w:rPr>
          <w:rFonts w:asciiTheme="majorBidi" w:eastAsiaTheme="majorEastAsia" w:hAnsiTheme="majorBidi" w:cstheme="majorBidi"/>
          <w:color w:val="000000"/>
          <w:lang w:val="en-AU"/>
        </w:rPr>
        <w:t xml:space="preserve"> (</w:t>
      </w:r>
      <w:r w:rsidRPr="00C1248C">
        <w:rPr>
          <w:rFonts w:asciiTheme="majorBidi" w:eastAsiaTheme="majorEastAsia" w:hAnsiTheme="majorBidi" w:cstheme="majorBidi"/>
          <w:color w:val="000000"/>
          <w:lang w:val="en-AU"/>
        </w:rPr>
        <w:t>although small patches/fragments and some native species may persist</w:t>
      </w:r>
      <w:r>
        <w:rPr>
          <w:rFonts w:asciiTheme="majorBidi" w:eastAsiaTheme="majorEastAsia" w:hAnsiTheme="majorBidi" w:cstheme="majorBidi"/>
          <w:color w:val="000000"/>
          <w:lang w:val="en-AU"/>
        </w:rPr>
        <w:t>)</w:t>
      </w:r>
      <w:r w:rsidRPr="005620E3">
        <w:rPr>
          <w:rFonts w:asciiTheme="majorBidi" w:eastAsiaTheme="majorEastAsia" w:hAnsiTheme="majorBidi" w:cstheme="majorBidi"/>
          <w:color w:val="000000"/>
          <w:lang w:val="en-AU"/>
        </w:rPr>
        <w:t>. Human intervention does much more than influence or modify the ecosystem, even substantially. It determines the compositional, structural and functional characteristics of the ecosystem, and is typically essential for maintaining those characteristics.</w:t>
      </w:r>
      <w:r>
        <w:rPr>
          <w:rFonts w:asciiTheme="majorBidi" w:eastAsiaTheme="majorEastAsia" w:hAnsiTheme="majorBidi" w:cstheme="majorBidi"/>
          <w:color w:val="000000"/>
          <w:lang w:val="en-AU"/>
        </w:rPr>
        <w:t xml:space="preserve"> </w:t>
      </w:r>
      <w:r w:rsidRPr="00A32260">
        <w:rPr>
          <w:rFonts w:asciiTheme="majorBidi" w:eastAsiaTheme="majorEastAsia" w:hAnsiTheme="majorBidi" w:cstheme="majorBidi"/>
          <w:color w:val="000000"/>
          <w:lang w:val="en-AU"/>
        </w:rPr>
        <w:t xml:space="preserve">The human interventions that create anthropogenic ecosystems are </w:t>
      </w:r>
      <w:r>
        <w:rPr>
          <w:rFonts w:asciiTheme="majorBidi" w:eastAsiaTheme="majorEastAsia" w:hAnsiTheme="majorBidi" w:cstheme="majorBidi"/>
          <w:color w:val="000000"/>
          <w:lang w:val="en-AU"/>
        </w:rPr>
        <w:t>frequently c</w:t>
      </w:r>
      <w:r w:rsidRPr="00A32260">
        <w:rPr>
          <w:rFonts w:asciiTheme="majorBidi" w:eastAsiaTheme="majorEastAsia" w:hAnsiTheme="majorBidi" w:cstheme="majorBidi"/>
          <w:color w:val="000000"/>
          <w:lang w:val="en-AU"/>
        </w:rPr>
        <w:t>onnected to land- and sea-use systems that maintain modern</w:t>
      </w:r>
      <w:r>
        <w:rPr>
          <w:rFonts w:asciiTheme="majorBidi" w:eastAsiaTheme="majorEastAsia" w:hAnsiTheme="majorBidi" w:cstheme="majorBidi"/>
          <w:color w:val="000000"/>
          <w:lang w:val="en-AU"/>
        </w:rPr>
        <w:t>-day</w:t>
      </w:r>
      <w:r w:rsidRPr="00A32260">
        <w:rPr>
          <w:rFonts w:asciiTheme="majorBidi" w:eastAsiaTheme="majorEastAsia" w:hAnsiTheme="majorBidi" w:cstheme="majorBidi"/>
          <w:color w:val="000000"/>
          <w:lang w:val="en-AU"/>
        </w:rPr>
        <w:t xml:space="preserve"> industrial societies</w:t>
      </w:r>
      <w:r>
        <w:rPr>
          <w:rFonts w:asciiTheme="majorBidi" w:eastAsiaTheme="majorEastAsia" w:hAnsiTheme="majorBidi" w:cstheme="majorBidi"/>
          <w:color w:val="000000"/>
          <w:lang w:val="en-AU"/>
        </w:rPr>
        <w:t>.</w:t>
      </w:r>
    </w:p>
    <w:p w14:paraId="39360173" w14:textId="48CD6970" w:rsidR="00874D55" w:rsidRPr="00ED7E61"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rPr>
        <w:t xml:space="preserve">For the purposes of this indicator, </w:t>
      </w:r>
      <w:r w:rsidRPr="00ED7E61">
        <w:rPr>
          <w:rStyle w:val="normaltextrun"/>
          <w:rFonts w:asciiTheme="majorBidi" w:eastAsiaTheme="majorEastAsia" w:hAnsiTheme="majorBidi" w:cstheme="majorBidi"/>
          <w:i/>
          <w:iCs/>
        </w:rPr>
        <w:t>natural and anthropogenic ecosystems are identified based on the EFGs of the IUCN GET</w:t>
      </w:r>
      <w:r w:rsidRPr="00ED7E61">
        <w:rPr>
          <w:rStyle w:val="normaltextrun"/>
          <w:rFonts w:asciiTheme="majorBidi" w:eastAsiaTheme="majorEastAsia" w:hAnsiTheme="majorBidi" w:cstheme="majorBidi"/>
        </w:rPr>
        <w:t xml:space="preserve">. </w:t>
      </w:r>
      <w:r w:rsidRPr="00C20D62">
        <w:rPr>
          <w:rFonts w:asciiTheme="majorBidi" w:eastAsiaTheme="majorEastAsia" w:hAnsiTheme="majorBidi" w:cstheme="majorBidi"/>
        </w:rPr>
        <w:t xml:space="preserve">Of the 25 biomes in the </w:t>
      </w:r>
      <w:r>
        <w:rPr>
          <w:rFonts w:asciiTheme="majorBidi" w:eastAsiaTheme="majorEastAsia" w:hAnsiTheme="majorBidi" w:cstheme="majorBidi"/>
        </w:rPr>
        <w:t>GET</w:t>
      </w:r>
      <w:r w:rsidRPr="00C20D62">
        <w:rPr>
          <w:rFonts w:asciiTheme="majorBidi" w:eastAsiaTheme="majorEastAsia" w:hAnsiTheme="majorBidi" w:cstheme="majorBidi"/>
        </w:rPr>
        <w:t xml:space="preserve">, six are considered anthropogenic, containing 16 </w:t>
      </w:r>
      <w:r>
        <w:rPr>
          <w:rFonts w:asciiTheme="majorBidi" w:eastAsiaTheme="majorEastAsia" w:hAnsiTheme="majorBidi" w:cstheme="majorBidi"/>
        </w:rPr>
        <w:t>EFGs</w:t>
      </w:r>
      <w:r w:rsidRPr="00C20D62">
        <w:rPr>
          <w:rFonts w:asciiTheme="majorBidi" w:eastAsiaTheme="majorEastAsia" w:hAnsiTheme="majorBidi" w:cstheme="majorBidi"/>
        </w:rPr>
        <w:t xml:space="preserve">. Setting aside the subterranean biomes, which are out of scope of Indicator A.2, leaves 20 biomes of which four are anthropogenic, containing 13 </w:t>
      </w:r>
      <w:r>
        <w:rPr>
          <w:rFonts w:asciiTheme="majorBidi" w:eastAsiaTheme="majorEastAsia" w:hAnsiTheme="majorBidi" w:cstheme="majorBidi"/>
        </w:rPr>
        <w:t xml:space="preserve">EFGs. </w:t>
      </w:r>
      <w:r w:rsidRPr="00ED7E61">
        <w:rPr>
          <w:rStyle w:val="normaltextrun"/>
          <w:rFonts w:asciiTheme="majorBidi" w:eastAsiaTheme="majorEastAsia" w:hAnsiTheme="majorBidi" w:cstheme="majorBidi"/>
        </w:rPr>
        <w:t xml:space="preserve"> The anthropogenic EFGs are listed in Table 1. </w:t>
      </w:r>
    </w:p>
    <w:p w14:paraId="67E27743" w14:textId="0B52D34B" w:rsidR="00874D55" w:rsidRPr="00ED7E61" w:rsidRDefault="00874D55" w:rsidP="00874D55">
      <w:pPr>
        <w:pStyle w:val="paragraph"/>
        <w:spacing w:before="0" w:beforeAutospacing="0" w:after="120" w:afterAutospacing="0"/>
        <w:ind w:right="-120"/>
        <w:textAlignment w:val="baseline"/>
        <w:rPr>
          <w:rFonts w:asciiTheme="majorBidi" w:hAnsiTheme="majorBidi" w:cstheme="majorBidi"/>
          <w:sz w:val="22"/>
          <w:szCs w:val="22"/>
        </w:rPr>
      </w:pPr>
      <w:r w:rsidRPr="00B3383B">
        <w:rPr>
          <w:rStyle w:val="normaltextrun"/>
          <w:rFonts w:asciiTheme="majorBidi" w:eastAsiaTheme="majorEastAsia" w:hAnsiTheme="majorBidi" w:cstheme="majorBidi"/>
          <w:sz w:val="22"/>
          <w:szCs w:val="22"/>
          <w:lang w:val="en-GB"/>
        </w:rPr>
        <w:t>Table 1</w:t>
      </w:r>
      <w:r w:rsidRPr="00ED7E61">
        <w:rPr>
          <w:rStyle w:val="normaltextrun"/>
          <w:rFonts w:asciiTheme="majorBidi" w:eastAsiaTheme="majorEastAsia" w:hAnsiTheme="majorBidi" w:cstheme="majorBidi"/>
          <w:i/>
          <w:iCs/>
          <w:sz w:val="22"/>
          <w:szCs w:val="22"/>
          <w:lang w:val="en-GB"/>
        </w:rPr>
        <w:t xml:space="preserve"> </w:t>
      </w:r>
      <w:r>
        <w:rPr>
          <w:rStyle w:val="normaltextrun"/>
          <w:rFonts w:asciiTheme="majorBidi" w:eastAsiaTheme="majorEastAsia" w:hAnsiTheme="majorBidi" w:cstheme="majorBidi"/>
          <w:i/>
          <w:iCs/>
          <w:sz w:val="22"/>
          <w:szCs w:val="22"/>
          <w:lang w:val="en-GB"/>
        </w:rPr>
        <w:br/>
      </w:r>
      <w:r w:rsidRPr="00B3383B">
        <w:rPr>
          <w:rStyle w:val="normaltextrun"/>
          <w:rFonts w:asciiTheme="majorBidi" w:eastAsiaTheme="majorEastAsia" w:hAnsiTheme="majorBidi" w:cstheme="majorBidi"/>
          <w:b/>
          <w:bCs/>
          <w:sz w:val="22"/>
          <w:szCs w:val="22"/>
          <w:lang w:val="en-GB"/>
        </w:rPr>
        <w:t>List of ecosystem functional groups (EFGs) in the IUCN GET that are considered anthropogenic and thus excluded from “natural ecosystems” for Indicator A</w:t>
      </w:r>
      <w:r>
        <w:rPr>
          <w:rStyle w:val="normaltextrun"/>
          <w:rFonts w:asciiTheme="majorBidi" w:eastAsiaTheme="majorEastAsia" w:hAnsiTheme="majorBidi" w:cstheme="majorBidi"/>
          <w:b/>
          <w:bCs/>
          <w:sz w:val="22"/>
          <w:szCs w:val="22"/>
          <w:lang w:val="en-GB"/>
        </w:rPr>
        <w:t>.</w:t>
      </w:r>
      <w:r w:rsidRPr="00B3383B">
        <w:rPr>
          <w:rStyle w:val="normaltextrun"/>
          <w:rFonts w:asciiTheme="majorBidi" w:eastAsiaTheme="majorEastAsia" w:hAnsiTheme="majorBidi" w:cstheme="majorBidi"/>
          <w:b/>
          <w:bCs/>
          <w:sz w:val="22"/>
          <w:szCs w:val="22"/>
          <w:lang w:val="en-GB"/>
        </w:rPr>
        <w:t>2 </w:t>
      </w:r>
      <w:r w:rsidRPr="00B3383B">
        <w:rPr>
          <w:rStyle w:val="eop"/>
          <w:rFonts w:asciiTheme="majorBidi" w:eastAsiaTheme="majorEastAsia" w:hAnsiTheme="majorBidi" w:cstheme="majorBidi"/>
          <w:b/>
          <w:bCs/>
          <w:sz w:val="22"/>
          <w:szCs w:val="22"/>
        </w:rPr>
        <w:t> </w:t>
      </w:r>
    </w:p>
    <w:tbl>
      <w:tblPr>
        <w:tblW w:w="82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5"/>
        <w:gridCol w:w="2490"/>
        <w:gridCol w:w="4770"/>
      </w:tblGrid>
      <w:tr w:rsidR="00874D55" w:rsidRPr="00C61E49" w14:paraId="1A087C71" w14:textId="77777777" w:rsidTr="007E1F72">
        <w:trPr>
          <w:trHeight w:val="300"/>
        </w:trPr>
        <w:tc>
          <w:tcPr>
            <w:tcW w:w="945" w:type="dxa"/>
            <w:tcBorders>
              <w:top w:val="single" w:sz="12" w:space="0" w:color="auto"/>
              <w:left w:val="nil"/>
              <w:bottom w:val="single" w:sz="12" w:space="0" w:color="auto"/>
              <w:right w:val="nil"/>
            </w:tcBorders>
            <w:shd w:val="clear" w:color="auto" w:fill="FFFFFF"/>
            <w:vAlign w:val="center"/>
            <w:hideMark/>
          </w:tcPr>
          <w:p w14:paraId="7606210D"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i/>
                <w:iCs/>
                <w:sz w:val="20"/>
                <w:szCs w:val="20"/>
              </w:rPr>
            </w:pPr>
            <w:r w:rsidRPr="00B3383B">
              <w:rPr>
                <w:rStyle w:val="normaltextrun"/>
                <w:rFonts w:asciiTheme="majorBidi" w:eastAsiaTheme="majorEastAsia" w:hAnsiTheme="majorBidi" w:cstheme="majorBidi"/>
                <w:i/>
                <w:iCs/>
                <w:color w:val="000000"/>
                <w:sz w:val="20"/>
                <w:szCs w:val="20"/>
                <w:lang w:val="en-US"/>
              </w:rPr>
              <w:t>Realm</w:t>
            </w:r>
            <w:r w:rsidRPr="00B3383B">
              <w:rPr>
                <w:rStyle w:val="eop"/>
                <w:rFonts w:asciiTheme="majorBidi" w:eastAsiaTheme="majorEastAsia" w:hAnsiTheme="majorBidi" w:cstheme="majorBidi"/>
                <w:i/>
                <w:iCs/>
                <w:color w:val="000000"/>
                <w:sz w:val="20"/>
                <w:szCs w:val="20"/>
              </w:rPr>
              <w:t> </w:t>
            </w:r>
          </w:p>
        </w:tc>
        <w:tc>
          <w:tcPr>
            <w:tcW w:w="2490" w:type="dxa"/>
            <w:tcBorders>
              <w:top w:val="single" w:sz="12" w:space="0" w:color="auto"/>
              <w:left w:val="nil"/>
              <w:bottom w:val="single" w:sz="12" w:space="0" w:color="auto"/>
              <w:right w:val="nil"/>
            </w:tcBorders>
            <w:shd w:val="clear" w:color="auto" w:fill="FFFFFF"/>
            <w:vAlign w:val="center"/>
            <w:hideMark/>
          </w:tcPr>
          <w:p w14:paraId="642ED626"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i/>
                <w:iCs/>
                <w:sz w:val="20"/>
                <w:szCs w:val="20"/>
              </w:rPr>
            </w:pPr>
            <w:r w:rsidRPr="00B3383B">
              <w:rPr>
                <w:rStyle w:val="normaltextrun"/>
                <w:rFonts w:asciiTheme="majorBidi" w:eastAsiaTheme="majorEastAsia" w:hAnsiTheme="majorBidi" w:cstheme="majorBidi"/>
                <w:i/>
                <w:iCs/>
                <w:color w:val="000000"/>
                <w:sz w:val="20"/>
                <w:szCs w:val="20"/>
                <w:lang w:val="en-US"/>
              </w:rPr>
              <w:t>Biome</w:t>
            </w:r>
            <w:r w:rsidRPr="00B3383B">
              <w:rPr>
                <w:rStyle w:val="eop"/>
                <w:rFonts w:asciiTheme="majorBidi" w:eastAsiaTheme="majorEastAsia" w:hAnsiTheme="majorBidi" w:cstheme="majorBidi"/>
                <w:i/>
                <w:iCs/>
                <w:color w:val="000000"/>
                <w:sz w:val="20"/>
                <w:szCs w:val="20"/>
              </w:rPr>
              <w:t> </w:t>
            </w:r>
          </w:p>
        </w:tc>
        <w:tc>
          <w:tcPr>
            <w:tcW w:w="4770" w:type="dxa"/>
            <w:tcBorders>
              <w:top w:val="single" w:sz="12" w:space="0" w:color="auto"/>
              <w:left w:val="nil"/>
              <w:bottom w:val="single" w:sz="12" w:space="0" w:color="auto"/>
              <w:right w:val="nil"/>
            </w:tcBorders>
            <w:shd w:val="clear" w:color="auto" w:fill="FFFFFF"/>
            <w:vAlign w:val="center"/>
            <w:hideMark/>
          </w:tcPr>
          <w:p w14:paraId="73DA5554"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i/>
                <w:iCs/>
                <w:sz w:val="20"/>
                <w:szCs w:val="20"/>
              </w:rPr>
            </w:pPr>
            <w:r w:rsidRPr="00B3383B">
              <w:rPr>
                <w:rStyle w:val="normaltextrun"/>
                <w:rFonts w:asciiTheme="majorBidi" w:eastAsiaTheme="majorEastAsia" w:hAnsiTheme="majorBidi" w:cstheme="majorBidi"/>
                <w:i/>
                <w:iCs/>
                <w:color w:val="000000"/>
                <w:sz w:val="20"/>
                <w:szCs w:val="20"/>
                <w:lang w:val="en-US"/>
              </w:rPr>
              <w:t>Ecosystem functional group</w:t>
            </w:r>
            <w:r w:rsidRPr="00B3383B">
              <w:rPr>
                <w:rStyle w:val="eop"/>
                <w:rFonts w:asciiTheme="majorBidi" w:eastAsiaTheme="majorEastAsia" w:hAnsiTheme="majorBidi" w:cstheme="majorBidi"/>
                <w:i/>
                <w:iCs/>
                <w:color w:val="000000"/>
                <w:sz w:val="20"/>
                <w:szCs w:val="20"/>
              </w:rPr>
              <w:t> </w:t>
            </w:r>
          </w:p>
        </w:tc>
      </w:tr>
      <w:tr w:rsidR="00874D55" w:rsidRPr="00C61E49" w14:paraId="0496B493" w14:textId="77777777" w:rsidTr="007E1F72">
        <w:trPr>
          <w:trHeight w:val="300"/>
        </w:trPr>
        <w:tc>
          <w:tcPr>
            <w:tcW w:w="945" w:type="dxa"/>
            <w:vMerge w:val="restart"/>
            <w:tcBorders>
              <w:top w:val="nil"/>
              <w:left w:val="nil"/>
              <w:bottom w:val="single" w:sz="12" w:space="0" w:color="000000"/>
              <w:right w:val="nil"/>
            </w:tcBorders>
            <w:shd w:val="clear" w:color="auto" w:fill="FFFFFF"/>
            <w:vAlign w:val="center"/>
            <w:hideMark/>
          </w:tcPr>
          <w:p w14:paraId="529AB784" w14:textId="77777777" w:rsidR="00874D55" w:rsidRPr="00B3383B" w:rsidRDefault="00874D55" w:rsidP="007E1F72">
            <w:pPr>
              <w:pStyle w:val="paragraph"/>
              <w:spacing w:before="0" w:beforeAutospacing="0" w:after="0" w:afterAutospacing="0"/>
              <w:jc w:val="center"/>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Terrestrial</w:t>
            </w:r>
            <w:r w:rsidRPr="00B3383B">
              <w:rPr>
                <w:rStyle w:val="eop"/>
                <w:rFonts w:asciiTheme="majorBidi" w:eastAsiaTheme="majorEastAsia" w:hAnsiTheme="majorBidi" w:cstheme="majorBidi"/>
                <w:color w:val="000000"/>
                <w:sz w:val="20"/>
                <w:szCs w:val="20"/>
              </w:rPr>
              <w:t> </w:t>
            </w:r>
          </w:p>
        </w:tc>
        <w:tc>
          <w:tcPr>
            <w:tcW w:w="2490" w:type="dxa"/>
            <w:vMerge w:val="restart"/>
            <w:tcBorders>
              <w:top w:val="nil"/>
              <w:left w:val="nil"/>
              <w:bottom w:val="single" w:sz="12" w:space="0" w:color="000000"/>
              <w:right w:val="nil"/>
            </w:tcBorders>
            <w:shd w:val="clear" w:color="auto" w:fill="FFFFFF"/>
            <w:vAlign w:val="center"/>
            <w:hideMark/>
          </w:tcPr>
          <w:p w14:paraId="147F3333"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T7 Intensive land-use systems</w:t>
            </w:r>
            <w:r w:rsidRPr="00B3383B">
              <w:rPr>
                <w:rStyle w:val="superscript"/>
                <w:rFonts w:asciiTheme="majorBidi" w:hAnsiTheme="majorBidi" w:cstheme="majorBidi"/>
                <w:color w:val="000000"/>
                <w:sz w:val="20"/>
                <w:szCs w:val="20"/>
                <w:vertAlign w:val="superscript"/>
                <w:lang w:val="en-US"/>
              </w:rPr>
              <w:t>7</w:t>
            </w:r>
            <w:r w:rsidRPr="00B3383B">
              <w:rPr>
                <w:rStyle w:val="eop"/>
                <w:rFonts w:asciiTheme="majorBidi" w:eastAsiaTheme="majorEastAsia" w:hAnsiTheme="majorBidi" w:cstheme="majorBidi"/>
                <w:color w:val="000000"/>
                <w:sz w:val="20"/>
                <w:szCs w:val="20"/>
              </w:rPr>
              <w:t> </w:t>
            </w:r>
          </w:p>
        </w:tc>
        <w:tc>
          <w:tcPr>
            <w:tcW w:w="4770" w:type="dxa"/>
            <w:tcBorders>
              <w:top w:val="nil"/>
              <w:left w:val="nil"/>
              <w:bottom w:val="nil"/>
              <w:right w:val="nil"/>
            </w:tcBorders>
            <w:shd w:val="clear" w:color="auto" w:fill="FFFFFF"/>
            <w:vAlign w:val="center"/>
            <w:hideMark/>
          </w:tcPr>
          <w:p w14:paraId="6EDBE2BF"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T7.1 Annual croplands</w:t>
            </w:r>
            <w:r w:rsidRPr="00B3383B">
              <w:rPr>
                <w:rStyle w:val="eop"/>
                <w:rFonts w:asciiTheme="majorBidi" w:eastAsiaTheme="majorEastAsia" w:hAnsiTheme="majorBidi" w:cstheme="majorBidi"/>
                <w:color w:val="000000"/>
                <w:sz w:val="20"/>
                <w:szCs w:val="20"/>
              </w:rPr>
              <w:t> </w:t>
            </w:r>
          </w:p>
        </w:tc>
      </w:tr>
      <w:tr w:rsidR="00874D55" w:rsidRPr="00C61E49" w14:paraId="6E553640" w14:textId="77777777" w:rsidTr="007E1F72">
        <w:trPr>
          <w:trHeight w:val="285"/>
        </w:trPr>
        <w:tc>
          <w:tcPr>
            <w:tcW w:w="0" w:type="auto"/>
            <w:vMerge/>
            <w:tcBorders>
              <w:top w:val="nil"/>
              <w:left w:val="nil"/>
              <w:bottom w:val="single" w:sz="12" w:space="0" w:color="000000"/>
              <w:right w:val="nil"/>
            </w:tcBorders>
            <w:vAlign w:val="center"/>
            <w:hideMark/>
          </w:tcPr>
          <w:p w14:paraId="249A1032" w14:textId="77777777" w:rsidR="00874D55" w:rsidRPr="00B3383B" w:rsidRDefault="00874D55" w:rsidP="007E1F72">
            <w:pPr>
              <w:rPr>
                <w:rFonts w:asciiTheme="majorBidi" w:hAnsiTheme="majorBidi" w:cstheme="majorBidi"/>
                <w:sz w:val="20"/>
                <w:szCs w:val="20"/>
              </w:rPr>
            </w:pPr>
          </w:p>
        </w:tc>
        <w:tc>
          <w:tcPr>
            <w:tcW w:w="0" w:type="auto"/>
            <w:vMerge/>
            <w:tcBorders>
              <w:top w:val="nil"/>
              <w:left w:val="nil"/>
              <w:bottom w:val="single" w:sz="12" w:space="0" w:color="000000"/>
              <w:right w:val="nil"/>
            </w:tcBorders>
            <w:vAlign w:val="center"/>
            <w:hideMark/>
          </w:tcPr>
          <w:p w14:paraId="456C08C2" w14:textId="77777777" w:rsidR="00874D55" w:rsidRPr="00B3383B" w:rsidRDefault="00874D55" w:rsidP="007E1F72">
            <w:pPr>
              <w:rPr>
                <w:rFonts w:asciiTheme="majorBidi" w:hAnsiTheme="majorBidi" w:cstheme="majorBidi"/>
                <w:sz w:val="20"/>
                <w:szCs w:val="20"/>
              </w:rPr>
            </w:pPr>
          </w:p>
        </w:tc>
        <w:tc>
          <w:tcPr>
            <w:tcW w:w="4770" w:type="dxa"/>
            <w:tcBorders>
              <w:top w:val="nil"/>
              <w:left w:val="nil"/>
              <w:bottom w:val="nil"/>
              <w:right w:val="nil"/>
            </w:tcBorders>
            <w:shd w:val="clear" w:color="auto" w:fill="FFFFFF"/>
            <w:vAlign w:val="center"/>
            <w:hideMark/>
          </w:tcPr>
          <w:p w14:paraId="5C98D5F6"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T7.2 Sown pastures and fields</w:t>
            </w:r>
            <w:r w:rsidRPr="00B3383B">
              <w:rPr>
                <w:rStyle w:val="eop"/>
                <w:rFonts w:asciiTheme="majorBidi" w:eastAsiaTheme="majorEastAsia" w:hAnsiTheme="majorBidi" w:cstheme="majorBidi"/>
                <w:color w:val="000000"/>
                <w:sz w:val="20"/>
                <w:szCs w:val="20"/>
              </w:rPr>
              <w:t> </w:t>
            </w:r>
          </w:p>
        </w:tc>
      </w:tr>
      <w:tr w:rsidR="00874D55" w:rsidRPr="00C61E49" w14:paraId="59E229D3" w14:textId="77777777" w:rsidTr="007E1F72">
        <w:trPr>
          <w:trHeight w:val="285"/>
        </w:trPr>
        <w:tc>
          <w:tcPr>
            <w:tcW w:w="0" w:type="auto"/>
            <w:vMerge/>
            <w:tcBorders>
              <w:top w:val="nil"/>
              <w:left w:val="nil"/>
              <w:bottom w:val="single" w:sz="12" w:space="0" w:color="000000"/>
              <w:right w:val="nil"/>
            </w:tcBorders>
            <w:vAlign w:val="center"/>
            <w:hideMark/>
          </w:tcPr>
          <w:p w14:paraId="560F2711" w14:textId="77777777" w:rsidR="00874D55" w:rsidRPr="00B3383B" w:rsidRDefault="00874D55" w:rsidP="007E1F72">
            <w:pPr>
              <w:rPr>
                <w:rFonts w:asciiTheme="majorBidi" w:hAnsiTheme="majorBidi" w:cstheme="majorBidi"/>
                <w:sz w:val="20"/>
                <w:szCs w:val="20"/>
              </w:rPr>
            </w:pPr>
          </w:p>
        </w:tc>
        <w:tc>
          <w:tcPr>
            <w:tcW w:w="0" w:type="auto"/>
            <w:vMerge/>
            <w:tcBorders>
              <w:top w:val="nil"/>
              <w:left w:val="nil"/>
              <w:bottom w:val="single" w:sz="12" w:space="0" w:color="000000"/>
              <w:right w:val="nil"/>
            </w:tcBorders>
            <w:vAlign w:val="center"/>
            <w:hideMark/>
          </w:tcPr>
          <w:p w14:paraId="1E5A8DB8" w14:textId="77777777" w:rsidR="00874D55" w:rsidRPr="00B3383B" w:rsidRDefault="00874D55" w:rsidP="007E1F72">
            <w:pPr>
              <w:rPr>
                <w:rFonts w:asciiTheme="majorBidi" w:hAnsiTheme="majorBidi" w:cstheme="majorBidi"/>
                <w:sz w:val="20"/>
                <w:szCs w:val="20"/>
              </w:rPr>
            </w:pPr>
          </w:p>
        </w:tc>
        <w:tc>
          <w:tcPr>
            <w:tcW w:w="4770" w:type="dxa"/>
            <w:tcBorders>
              <w:top w:val="nil"/>
              <w:left w:val="nil"/>
              <w:bottom w:val="nil"/>
              <w:right w:val="nil"/>
            </w:tcBorders>
            <w:shd w:val="clear" w:color="auto" w:fill="FFFFFF"/>
            <w:vAlign w:val="center"/>
            <w:hideMark/>
          </w:tcPr>
          <w:p w14:paraId="12FB9DD2"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T7.3 Plantations</w:t>
            </w:r>
            <w:r w:rsidRPr="00B3383B">
              <w:rPr>
                <w:rStyle w:val="eop"/>
                <w:rFonts w:asciiTheme="majorBidi" w:eastAsiaTheme="majorEastAsia" w:hAnsiTheme="majorBidi" w:cstheme="majorBidi"/>
                <w:color w:val="000000"/>
                <w:sz w:val="20"/>
                <w:szCs w:val="20"/>
              </w:rPr>
              <w:t> </w:t>
            </w:r>
          </w:p>
        </w:tc>
      </w:tr>
      <w:tr w:rsidR="00874D55" w:rsidRPr="00C61E49" w14:paraId="096C961F" w14:textId="77777777" w:rsidTr="007E1F72">
        <w:trPr>
          <w:trHeight w:val="285"/>
        </w:trPr>
        <w:tc>
          <w:tcPr>
            <w:tcW w:w="0" w:type="auto"/>
            <w:vMerge/>
            <w:tcBorders>
              <w:top w:val="nil"/>
              <w:left w:val="nil"/>
              <w:bottom w:val="single" w:sz="12" w:space="0" w:color="000000"/>
              <w:right w:val="nil"/>
            </w:tcBorders>
            <w:vAlign w:val="center"/>
            <w:hideMark/>
          </w:tcPr>
          <w:p w14:paraId="546B67C1" w14:textId="77777777" w:rsidR="00874D55" w:rsidRPr="00B3383B" w:rsidRDefault="00874D55" w:rsidP="007E1F72">
            <w:pPr>
              <w:rPr>
                <w:rFonts w:asciiTheme="majorBidi" w:hAnsiTheme="majorBidi" w:cstheme="majorBidi"/>
                <w:sz w:val="20"/>
                <w:szCs w:val="20"/>
              </w:rPr>
            </w:pPr>
          </w:p>
        </w:tc>
        <w:tc>
          <w:tcPr>
            <w:tcW w:w="0" w:type="auto"/>
            <w:vMerge/>
            <w:tcBorders>
              <w:top w:val="nil"/>
              <w:left w:val="nil"/>
              <w:bottom w:val="single" w:sz="12" w:space="0" w:color="000000"/>
              <w:right w:val="nil"/>
            </w:tcBorders>
            <w:vAlign w:val="center"/>
            <w:hideMark/>
          </w:tcPr>
          <w:p w14:paraId="37784ABA" w14:textId="77777777" w:rsidR="00874D55" w:rsidRPr="00B3383B" w:rsidRDefault="00874D55" w:rsidP="007E1F72">
            <w:pPr>
              <w:rPr>
                <w:rFonts w:asciiTheme="majorBidi" w:hAnsiTheme="majorBidi" w:cstheme="majorBidi"/>
                <w:sz w:val="20"/>
                <w:szCs w:val="20"/>
              </w:rPr>
            </w:pPr>
          </w:p>
        </w:tc>
        <w:tc>
          <w:tcPr>
            <w:tcW w:w="4770" w:type="dxa"/>
            <w:tcBorders>
              <w:top w:val="nil"/>
              <w:left w:val="nil"/>
              <w:bottom w:val="single" w:sz="6" w:space="0" w:color="auto"/>
              <w:right w:val="nil"/>
            </w:tcBorders>
            <w:shd w:val="clear" w:color="auto" w:fill="FFFFFF"/>
            <w:vAlign w:val="center"/>
            <w:hideMark/>
          </w:tcPr>
          <w:p w14:paraId="1CD7A5D4" w14:textId="77777777" w:rsidR="00874D55" w:rsidRDefault="00874D55" w:rsidP="007E1F72">
            <w:pPr>
              <w:pStyle w:val="paragraph"/>
              <w:spacing w:before="0" w:beforeAutospacing="0" w:after="0" w:afterAutospacing="0"/>
              <w:textAlignment w:val="baseline"/>
              <w:rPr>
                <w:rStyle w:val="eop"/>
                <w:rFonts w:asciiTheme="majorBidi" w:eastAsiaTheme="majorEastAsia" w:hAnsiTheme="majorBidi" w:cstheme="majorBidi"/>
                <w:color w:val="000000"/>
                <w:sz w:val="20"/>
                <w:szCs w:val="20"/>
              </w:rPr>
            </w:pPr>
            <w:r w:rsidRPr="00B3383B">
              <w:rPr>
                <w:rStyle w:val="normaltextrun"/>
                <w:rFonts w:asciiTheme="majorBidi" w:eastAsiaTheme="majorEastAsia" w:hAnsiTheme="majorBidi" w:cstheme="majorBidi"/>
                <w:color w:val="000000"/>
                <w:sz w:val="20"/>
                <w:szCs w:val="20"/>
                <w:lang w:val="en-US"/>
              </w:rPr>
              <w:t>T7.4 Urban and industrial ecosystems</w:t>
            </w:r>
            <w:r w:rsidRPr="00B3383B">
              <w:rPr>
                <w:rStyle w:val="eop"/>
                <w:rFonts w:asciiTheme="majorBidi" w:eastAsiaTheme="majorEastAsia" w:hAnsiTheme="majorBidi" w:cstheme="majorBidi"/>
                <w:color w:val="000000"/>
                <w:sz w:val="20"/>
                <w:szCs w:val="20"/>
              </w:rPr>
              <w:t> </w:t>
            </w:r>
          </w:p>
          <w:p w14:paraId="18016AD8" w14:textId="0CC6C5BB"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Pr>
                <w:rStyle w:val="eop"/>
                <w:color w:val="000000"/>
                <w:sz w:val="20"/>
                <w:szCs w:val="20"/>
              </w:rPr>
              <w:t xml:space="preserve">T7.5 </w:t>
            </w:r>
            <w:r w:rsidR="00027E11">
              <w:rPr>
                <w:rStyle w:val="eop"/>
                <w:color w:val="000000"/>
                <w:sz w:val="20"/>
                <w:szCs w:val="20"/>
              </w:rPr>
              <w:t>D</w:t>
            </w:r>
            <w:r>
              <w:rPr>
                <w:rStyle w:val="eop"/>
                <w:color w:val="000000"/>
                <w:sz w:val="20"/>
                <w:szCs w:val="20"/>
              </w:rPr>
              <w:t>erived semi-natural pastures and old fields**</w:t>
            </w:r>
          </w:p>
        </w:tc>
      </w:tr>
      <w:tr w:rsidR="00874D55" w:rsidRPr="00C61E49" w14:paraId="68F7DB0B" w14:textId="77777777" w:rsidTr="007E1F72">
        <w:trPr>
          <w:trHeight w:val="300"/>
        </w:trPr>
        <w:tc>
          <w:tcPr>
            <w:tcW w:w="945" w:type="dxa"/>
            <w:vMerge w:val="restart"/>
            <w:tcBorders>
              <w:top w:val="single" w:sz="6" w:space="0" w:color="auto"/>
              <w:left w:val="nil"/>
              <w:bottom w:val="single" w:sz="6" w:space="0" w:color="auto"/>
              <w:right w:val="nil"/>
            </w:tcBorders>
            <w:shd w:val="clear" w:color="auto" w:fill="FFFFFF"/>
            <w:vAlign w:val="center"/>
            <w:hideMark/>
          </w:tcPr>
          <w:p w14:paraId="25C7D8D6" w14:textId="77777777" w:rsidR="00874D55" w:rsidRPr="00B3383B" w:rsidRDefault="00874D55" w:rsidP="007E1F72">
            <w:pPr>
              <w:pStyle w:val="paragraph"/>
              <w:spacing w:before="0" w:beforeAutospacing="0" w:after="0" w:afterAutospacing="0"/>
              <w:jc w:val="center"/>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Freshwater</w:t>
            </w:r>
            <w:r w:rsidRPr="00B3383B">
              <w:rPr>
                <w:rStyle w:val="eop"/>
                <w:rFonts w:asciiTheme="majorBidi" w:eastAsiaTheme="majorEastAsia" w:hAnsiTheme="majorBidi" w:cstheme="majorBidi"/>
                <w:color w:val="000000"/>
                <w:sz w:val="20"/>
                <w:szCs w:val="20"/>
              </w:rPr>
              <w:t> </w:t>
            </w:r>
          </w:p>
        </w:tc>
        <w:tc>
          <w:tcPr>
            <w:tcW w:w="2490" w:type="dxa"/>
            <w:vMerge w:val="restart"/>
            <w:tcBorders>
              <w:top w:val="single" w:sz="6" w:space="0" w:color="auto"/>
              <w:left w:val="nil"/>
              <w:bottom w:val="single" w:sz="6" w:space="0" w:color="auto"/>
              <w:right w:val="nil"/>
            </w:tcBorders>
            <w:shd w:val="clear" w:color="auto" w:fill="FFFFFF"/>
            <w:vAlign w:val="center"/>
            <w:hideMark/>
          </w:tcPr>
          <w:p w14:paraId="7ED65EB5"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F3 Artificial fresh waters</w:t>
            </w:r>
            <w:r w:rsidRPr="00B3383B">
              <w:rPr>
                <w:rStyle w:val="eop"/>
                <w:rFonts w:asciiTheme="majorBidi" w:eastAsiaTheme="majorEastAsia" w:hAnsiTheme="majorBidi" w:cstheme="majorBidi"/>
                <w:color w:val="000000"/>
                <w:sz w:val="20"/>
                <w:szCs w:val="20"/>
              </w:rPr>
              <w:t> </w:t>
            </w:r>
          </w:p>
        </w:tc>
        <w:tc>
          <w:tcPr>
            <w:tcW w:w="4770" w:type="dxa"/>
            <w:tcBorders>
              <w:top w:val="single" w:sz="6" w:space="0" w:color="auto"/>
              <w:left w:val="nil"/>
              <w:bottom w:val="nil"/>
              <w:right w:val="nil"/>
            </w:tcBorders>
            <w:shd w:val="clear" w:color="auto" w:fill="FFFFFF"/>
            <w:vAlign w:val="center"/>
            <w:hideMark/>
          </w:tcPr>
          <w:p w14:paraId="00FC4536"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F3.1 Large reservoirs</w:t>
            </w:r>
            <w:r w:rsidRPr="00B3383B">
              <w:rPr>
                <w:rStyle w:val="eop"/>
                <w:rFonts w:asciiTheme="majorBidi" w:eastAsiaTheme="majorEastAsia" w:hAnsiTheme="majorBidi" w:cstheme="majorBidi"/>
                <w:color w:val="000000"/>
                <w:sz w:val="20"/>
                <w:szCs w:val="20"/>
              </w:rPr>
              <w:t> </w:t>
            </w:r>
          </w:p>
        </w:tc>
      </w:tr>
      <w:tr w:rsidR="00874D55" w:rsidRPr="00C61E49" w14:paraId="66862865" w14:textId="77777777" w:rsidTr="007E1F72">
        <w:trPr>
          <w:trHeight w:val="285"/>
        </w:trPr>
        <w:tc>
          <w:tcPr>
            <w:tcW w:w="0" w:type="auto"/>
            <w:vMerge/>
            <w:tcBorders>
              <w:top w:val="single" w:sz="6" w:space="0" w:color="auto"/>
              <w:left w:val="nil"/>
              <w:bottom w:val="single" w:sz="6" w:space="0" w:color="auto"/>
              <w:right w:val="nil"/>
            </w:tcBorders>
            <w:vAlign w:val="center"/>
            <w:hideMark/>
          </w:tcPr>
          <w:p w14:paraId="079B1835" w14:textId="77777777" w:rsidR="00874D55" w:rsidRPr="00B3383B" w:rsidRDefault="00874D55" w:rsidP="007E1F72">
            <w:pPr>
              <w:rPr>
                <w:rFonts w:asciiTheme="majorBidi" w:hAnsiTheme="majorBidi" w:cstheme="majorBidi"/>
                <w:sz w:val="20"/>
                <w:szCs w:val="20"/>
              </w:rPr>
            </w:pPr>
          </w:p>
        </w:tc>
        <w:tc>
          <w:tcPr>
            <w:tcW w:w="0" w:type="auto"/>
            <w:vMerge/>
            <w:tcBorders>
              <w:top w:val="single" w:sz="6" w:space="0" w:color="auto"/>
              <w:left w:val="nil"/>
              <w:bottom w:val="single" w:sz="6" w:space="0" w:color="auto"/>
              <w:right w:val="nil"/>
            </w:tcBorders>
            <w:vAlign w:val="center"/>
            <w:hideMark/>
          </w:tcPr>
          <w:p w14:paraId="63FC54B6" w14:textId="77777777" w:rsidR="00874D55" w:rsidRPr="00B3383B" w:rsidRDefault="00874D55" w:rsidP="007E1F72">
            <w:pPr>
              <w:rPr>
                <w:rFonts w:asciiTheme="majorBidi" w:hAnsiTheme="majorBidi" w:cstheme="majorBidi"/>
                <w:sz w:val="20"/>
                <w:szCs w:val="20"/>
              </w:rPr>
            </w:pPr>
          </w:p>
        </w:tc>
        <w:tc>
          <w:tcPr>
            <w:tcW w:w="4770" w:type="dxa"/>
            <w:tcBorders>
              <w:top w:val="nil"/>
              <w:left w:val="nil"/>
              <w:bottom w:val="nil"/>
              <w:right w:val="nil"/>
            </w:tcBorders>
            <w:shd w:val="clear" w:color="auto" w:fill="FFFFFF"/>
            <w:vAlign w:val="center"/>
            <w:hideMark/>
          </w:tcPr>
          <w:p w14:paraId="624AB171"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F3.2 Constructed lacustrine wetlands</w:t>
            </w:r>
            <w:r w:rsidRPr="00B3383B">
              <w:rPr>
                <w:rStyle w:val="eop"/>
                <w:rFonts w:asciiTheme="majorBidi" w:eastAsiaTheme="majorEastAsia" w:hAnsiTheme="majorBidi" w:cstheme="majorBidi"/>
                <w:color w:val="000000"/>
                <w:sz w:val="20"/>
                <w:szCs w:val="20"/>
              </w:rPr>
              <w:t> </w:t>
            </w:r>
          </w:p>
        </w:tc>
      </w:tr>
      <w:tr w:rsidR="00874D55" w:rsidRPr="00C61E49" w14:paraId="3A4AB5FC" w14:textId="77777777" w:rsidTr="007E1F72">
        <w:trPr>
          <w:trHeight w:val="285"/>
        </w:trPr>
        <w:tc>
          <w:tcPr>
            <w:tcW w:w="0" w:type="auto"/>
            <w:vMerge/>
            <w:tcBorders>
              <w:top w:val="single" w:sz="6" w:space="0" w:color="auto"/>
              <w:left w:val="nil"/>
              <w:bottom w:val="single" w:sz="6" w:space="0" w:color="auto"/>
              <w:right w:val="nil"/>
            </w:tcBorders>
            <w:vAlign w:val="center"/>
            <w:hideMark/>
          </w:tcPr>
          <w:p w14:paraId="43C89D8E" w14:textId="77777777" w:rsidR="00874D55" w:rsidRPr="00B3383B" w:rsidRDefault="00874D55" w:rsidP="007E1F72">
            <w:pPr>
              <w:rPr>
                <w:rFonts w:asciiTheme="majorBidi" w:hAnsiTheme="majorBidi" w:cstheme="majorBidi"/>
                <w:sz w:val="20"/>
                <w:szCs w:val="20"/>
              </w:rPr>
            </w:pPr>
          </w:p>
        </w:tc>
        <w:tc>
          <w:tcPr>
            <w:tcW w:w="0" w:type="auto"/>
            <w:vMerge/>
            <w:tcBorders>
              <w:top w:val="single" w:sz="6" w:space="0" w:color="auto"/>
              <w:left w:val="nil"/>
              <w:bottom w:val="single" w:sz="6" w:space="0" w:color="auto"/>
              <w:right w:val="nil"/>
            </w:tcBorders>
            <w:vAlign w:val="center"/>
            <w:hideMark/>
          </w:tcPr>
          <w:p w14:paraId="02513BE3" w14:textId="77777777" w:rsidR="00874D55" w:rsidRPr="00B3383B" w:rsidRDefault="00874D55" w:rsidP="007E1F72">
            <w:pPr>
              <w:rPr>
                <w:rFonts w:asciiTheme="majorBidi" w:hAnsiTheme="majorBidi" w:cstheme="majorBidi"/>
                <w:sz w:val="20"/>
                <w:szCs w:val="20"/>
              </w:rPr>
            </w:pPr>
          </w:p>
        </w:tc>
        <w:tc>
          <w:tcPr>
            <w:tcW w:w="4770" w:type="dxa"/>
            <w:tcBorders>
              <w:top w:val="nil"/>
              <w:left w:val="nil"/>
              <w:bottom w:val="nil"/>
              <w:right w:val="nil"/>
            </w:tcBorders>
            <w:shd w:val="clear" w:color="auto" w:fill="FFFFFF"/>
            <w:vAlign w:val="center"/>
            <w:hideMark/>
          </w:tcPr>
          <w:p w14:paraId="01732B24"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F3.3 Rice paddies</w:t>
            </w:r>
            <w:r w:rsidRPr="00B3383B">
              <w:rPr>
                <w:rStyle w:val="eop"/>
                <w:rFonts w:asciiTheme="majorBidi" w:eastAsiaTheme="majorEastAsia" w:hAnsiTheme="majorBidi" w:cstheme="majorBidi"/>
                <w:color w:val="000000"/>
                <w:sz w:val="20"/>
                <w:szCs w:val="20"/>
              </w:rPr>
              <w:t> </w:t>
            </w:r>
          </w:p>
        </w:tc>
      </w:tr>
      <w:tr w:rsidR="00874D55" w:rsidRPr="00C61E49" w14:paraId="54498D10" w14:textId="77777777" w:rsidTr="007E1F72">
        <w:trPr>
          <w:trHeight w:val="285"/>
        </w:trPr>
        <w:tc>
          <w:tcPr>
            <w:tcW w:w="0" w:type="auto"/>
            <w:vMerge/>
            <w:tcBorders>
              <w:top w:val="single" w:sz="6" w:space="0" w:color="auto"/>
              <w:left w:val="nil"/>
              <w:bottom w:val="single" w:sz="6" w:space="0" w:color="auto"/>
              <w:right w:val="nil"/>
            </w:tcBorders>
            <w:vAlign w:val="center"/>
            <w:hideMark/>
          </w:tcPr>
          <w:p w14:paraId="5F344DF8" w14:textId="77777777" w:rsidR="00874D55" w:rsidRPr="00B3383B" w:rsidRDefault="00874D55" w:rsidP="007E1F72">
            <w:pPr>
              <w:rPr>
                <w:rFonts w:asciiTheme="majorBidi" w:hAnsiTheme="majorBidi" w:cstheme="majorBidi"/>
                <w:sz w:val="20"/>
                <w:szCs w:val="20"/>
              </w:rPr>
            </w:pPr>
          </w:p>
        </w:tc>
        <w:tc>
          <w:tcPr>
            <w:tcW w:w="0" w:type="auto"/>
            <w:vMerge/>
            <w:tcBorders>
              <w:top w:val="single" w:sz="6" w:space="0" w:color="auto"/>
              <w:left w:val="nil"/>
              <w:bottom w:val="single" w:sz="6" w:space="0" w:color="auto"/>
              <w:right w:val="nil"/>
            </w:tcBorders>
            <w:vAlign w:val="center"/>
            <w:hideMark/>
          </w:tcPr>
          <w:p w14:paraId="74A0107C" w14:textId="77777777" w:rsidR="00874D55" w:rsidRPr="00B3383B" w:rsidRDefault="00874D55" w:rsidP="007E1F72">
            <w:pPr>
              <w:rPr>
                <w:rFonts w:asciiTheme="majorBidi" w:hAnsiTheme="majorBidi" w:cstheme="majorBidi"/>
                <w:sz w:val="20"/>
                <w:szCs w:val="20"/>
              </w:rPr>
            </w:pPr>
          </w:p>
        </w:tc>
        <w:tc>
          <w:tcPr>
            <w:tcW w:w="4770" w:type="dxa"/>
            <w:tcBorders>
              <w:top w:val="nil"/>
              <w:left w:val="nil"/>
              <w:bottom w:val="nil"/>
              <w:right w:val="nil"/>
            </w:tcBorders>
            <w:shd w:val="clear" w:color="auto" w:fill="FFFFFF"/>
            <w:vAlign w:val="center"/>
            <w:hideMark/>
          </w:tcPr>
          <w:p w14:paraId="3BA56CBE"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F3.4 Freshwater aquafarms</w:t>
            </w:r>
            <w:r w:rsidRPr="00B3383B">
              <w:rPr>
                <w:rStyle w:val="eop"/>
                <w:rFonts w:asciiTheme="majorBidi" w:eastAsiaTheme="majorEastAsia" w:hAnsiTheme="majorBidi" w:cstheme="majorBidi"/>
                <w:color w:val="000000"/>
                <w:sz w:val="20"/>
                <w:szCs w:val="20"/>
              </w:rPr>
              <w:t> </w:t>
            </w:r>
          </w:p>
        </w:tc>
      </w:tr>
      <w:tr w:rsidR="00874D55" w:rsidRPr="00C61E49" w14:paraId="6BE8AB44" w14:textId="77777777" w:rsidTr="007E1F72">
        <w:trPr>
          <w:trHeight w:val="300"/>
        </w:trPr>
        <w:tc>
          <w:tcPr>
            <w:tcW w:w="0" w:type="auto"/>
            <w:vMerge/>
            <w:tcBorders>
              <w:top w:val="single" w:sz="6" w:space="0" w:color="auto"/>
              <w:left w:val="nil"/>
              <w:bottom w:val="single" w:sz="6" w:space="0" w:color="auto"/>
              <w:right w:val="nil"/>
            </w:tcBorders>
            <w:vAlign w:val="center"/>
            <w:hideMark/>
          </w:tcPr>
          <w:p w14:paraId="24B58910" w14:textId="77777777" w:rsidR="00874D55" w:rsidRPr="00B3383B" w:rsidRDefault="00874D55" w:rsidP="007E1F72">
            <w:pPr>
              <w:rPr>
                <w:rFonts w:asciiTheme="majorBidi" w:hAnsiTheme="majorBidi" w:cstheme="majorBidi"/>
                <w:sz w:val="20"/>
                <w:szCs w:val="20"/>
              </w:rPr>
            </w:pPr>
          </w:p>
        </w:tc>
        <w:tc>
          <w:tcPr>
            <w:tcW w:w="0" w:type="auto"/>
            <w:vMerge/>
            <w:tcBorders>
              <w:top w:val="single" w:sz="6" w:space="0" w:color="auto"/>
              <w:left w:val="nil"/>
              <w:bottom w:val="single" w:sz="6" w:space="0" w:color="auto"/>
              <w:right w:val="nil"/>
            </w:tcBorders>
            <w:vAlign w:val="center"/>
            <w:hideMark/>
          </w:tcPr>
          <w:p w14:paraId="6357F404" w14:textId="77777777" w:rsidR="00874D55" w:rsidRPr="00B3383B" w:rsidRDefault="00874D55" w:rsidP="007E1F72">
            <w:pPr>
              <w:rPr>
                <w:rFonts w:asciiTheme="majorBidi" w:hAnsiTheme="majorBidi" w:cstheme="majorBidi"/>
                <w:sz w:val="20"/>
                <w:szCs w:val="20"/>
              </w:rPr>
            </w:pPr>
          </w:p>
        </w:tc>
        <w:tc>
          <w:tcPr>
            <w:tcW w:w="4770" w:type="dxa"/>
            <w:tcBorders>
              <w:top w:val="nil"/>
              <w:left w:val="nil"/>
              <w:bottom w:val="single" w:sz="6" w:space="0" w:color="auto"/>
              <w:right w:val="nil"/>
            </w:tcBorders>
            <w:shd w:val="clear" w:color="auto" w:fill="FFFFFF"/>
            <w:vAlign w:val="center"/>
            <w:hideMark/>
          </w:tcPr>
          <w:p w14:paraId="4039290D"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F3.5 Canals, ditches and drains</w:t>
            </w:r>
            <w:r w:rsidRPr="00B3383B">
              <w:rPr>
                <w:rStyle w:val="eop"/>
                <w:rFonts w:asciiTheme="majorBidi" w:eastAsiaTheme="majorEastAsia" w:hAnsiTheme="majorBidi" w:cstheme="majorBidi"/>
                <w:color w:val="000000"/>
                <w:sz w:val="20"/>
                <w:szCs w:val="20"/>
              </w:rPr>
              <w:t> </w:t>
            </w:r>
          </w:p>
        </w:tc>
      </w:tr>
      <w:tr w:rsidR="00874D55" w:rsidRPr="00C61E49" w14:paraId="02845E33" w14:textId="77777777" w:rsidTr="007E1F72">
        <w:trPr>
          <w:trHeight w:val="390"/>
        </w:trPr>
        <w:tc>
          <w:tcPr>
            <w:tcW w:w="945" w:type="dxa"/>
            <w:vMerge w:val="restart"/>
            <w:tcBorders>
              <w:top w:val="single" w:sz="6" w:space="0" w:color="auto"/>
              <w:left w:val="nil"/>
              <w:bottom w:val="single" w:sz="6" w:space="0" w:color="000000"/>
              <w:right w:val="nil"/>
            </w:tcBorders>
            <w:shd w:val="clear" w:color="auto" w:fill="FFFFFF"/>
            <w:vAlign w:val="center"/>
            <w:hideMark/>
          </w:tcPr>
          <w:p w14:paraId="57FF3DD9" w14:textId="77777777" w:rsidR="00874D55" w:rsidRPr="00B3383B" w:rsidRDefault="00874D55" w:rsidP="007E1F72">
            <w:pPr>
              <w:pStyle w:val="paragraph"/>
              <w:spacing w:before="0" w:beforeAutospacing="0" w:after="0" w:afterAutospacing="0"/>
              <w:jc w:val="center"/>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Marine</w:t>
            </w:r>
            <w:r w:rsidRPr="00B3383B">
              <w:rPr>
                <w:rStyle w:val="eop"/>
                <w:rFonts w:asciiTheme="majorBidi" w:eastAsiaTheme="majorEastAsia" w:hAnsiTheme="majorBidi" w:cstheme="majorBidi"/>
                <w:color w:val="000000"/>
                <w:sz w:val="20"/>
                <w:szCs w:val="20"/>
              </w:rPr>
              <w:t> </w:t>
            </w:r>
          </w:p>
        </w:tc>
        <w:tc>
          <w:tcPr>
            <w:tcW w:w="2490" w:type="dxa"/>
            <w:vMerge w:val="restart"/>
            <w:tcBorders>
              <w:top w:val="single" w:sz="6" w:space="0" w:color="auto"/>
              <w:left w:val="nil"/>
              <w:bottom w:val="single" w:sz="6" w:space="0" w:color="000000"/>
              <w:right w:val="nil"/>
            </w:tcBorders>
            <w:shd w:val="clear" w:color="auto" w:fill="FFFFFF"/>
            <w:vAlign w:val="center"/>
            <w:hideMark/>
          </w:tcPr>
          <w:p w14:paraId="75F48844"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M4 Anthropogenic marine systems</w:t>
            </w:r>
            <w:r w:rsidRPr="00B3383B">
              <w:rPr>
                <w:rStyle w:val="eop"/>
                <w:rFonts w:asciiTheme="majorBidi" w:eastAsiaTheme="majorEastAsia" w:hAnsiTheme="majorBidi" w:cstheme="majorBidi"/>
                <w:color w:val="000000"/>
                <w:sz w:val="20"/>
                <w:szCs w:val="20"/>
              </w:rPr>
              <w:t> </w:t>
            </w:r>
          </w:p>
        </w:tc>
        <w:tc>
          <w:tcPr>
            <w:tcW w:w="4770" w:type="dxa"/>
            <w:tcBorders>
              <w:top w:val="nil"/>
              <w:left w:val="nil"/>
              <w:bottom w:val="nil"/>
              <w:right w:val="nil"/>
            </w:tcBorders>
            <w:shd w:val="clear" w:color="auto" w:fill="FFFFFF"/>
            <w:vAlign w:val="center"/>
            <w:hideMark/>
          </w:tcPr>
          <w:p w14:paraId="411CA21F"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M4.1 Submerged artificial structures</w:t>
            </w:r>
            <w:r w:rsidRPr="00B3383B">
              <w:rPr>
                <w:rStyle w:val="eop"/>
                <w:rFonts w:asciiTheme="majorBidi" w:eastAsiaTheme="majorEastAsia" w:hAnsiTheme="majorBidi" w:cstheme="majorBidi"/>
                <w:color w:val="000000"/>
                <w:sz w:val="20"/>
                <w:szCs w:val="20"/>
              </w:rPr>
              <w:t> </w:t>
            </w:r>
          </w:p>
        </w:tc>
      </w:tr>
      <w:tr w:rsidR="00874D55" w:rsidRPr="00C61E49" w14:paraId="54A63050" w14:textId="77777777" w:rsidTr="007E1F72">
        <w:trPr>
          <w:trHeight w:val="390"/>
        </w:trPr>
        <w:tc>
          <w:tcPr>
            <w:tcW w:w="0" w:type="auto"/>
            <w:vMerge/>
            <w:tcBorders>
              <w:top w:val="single" w:sz="6" w:space="0" w:color="auto"/>
              <w:left w:val="nil"/>
              <w:bottom w:val="single" w:sz="6" w:space="0" w:color="000000"/>
              <w:right w:val="nil"/>
            </w:tcBorders>
            <w:vAlign w:val="center"/>
            <w:hideMark/>
          </w:tcPr>
          <w:p w14:paraId="2B1E8353" w14:textId="77777777" w:rsidR="00874D55" w:rsidRPr="00B3383B" w:rsidRDefault="00874D55" w:rsidP="007E1F72">
            <w:pPr>
              <w:rPr>
                <w:rFonts w:asciiTheme="majorBidi" w:hAnsiTheme="majorBidi" w:cstheme="majorBidi"/>
                <w:sz w:val="20"/>
                <w:szCs w:val="20"/>
              </w:rPr>
            </w:pPr>
          </w:p>
        </w:tc>
        <w:tc>
          <w:tcPr>
            <w:tcW w:w="0" w:type="auto"/>
            <w:vMerge/>
            <w:tcBorders>
              <w:top w:val="single" w:sz="6" w:space="0" w:color="auto"/>
              <w:left w:val="nil"/>
              <w:bottom w:val="single" w:sz="6" w:space="0" w:color="000000"/>
              <w:right w:val="nil"/>
            </w:tcBorders>
            <w:vAlign w:val="center"/>
            <w:hideMark/>
          </w:tcPr>
          <w:p w14:paraId="4CA0D4DB" w14:textId="77777777" w:rsidR="00874D55" w:rsidRPr="00B3383B" w:rsidRDefault="00874D55" w:rsidP="007E1F72">
            <w:pPr>
              <w:rPr>
                <w:rFonts w:asciiTheme="majorBidi" w:hAnsiTheme="majorBidi" w:cstheme="majorBidi"/>
                <w:sz w:val="20"/>
                <w:szCs w:val="20"/>
              </w:rPr>
            </w:pPr>
          </w:p>
        </w:tc>
        <w:tc>
          <w:tcPr>
            <w:tcW w:w="4770" w:type="dxa"/>
            <w:tcBorders>
              <w:top w:val="nil"/>
              <w:left w:val="nil"/>
              <w:bottom w:val="single" w:sz="6" w:space="0" w:color="auto"/>
              <w:right w:val="nil"/>
            </w:tcBorders>
            <w:shd w:val="clear" w:color="auto" w:fill="FFFFFF"/>
            <w:vAlign w:val="center"/>
            <w:hideMark/>
          </w:tcPr>
          <w:p w14:paraId="5112ADE6"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M4.2 Marine aquafarms</w:t>
            </w:r>
            <w:r w:rsidRPr="00B3383B">
              <w:rPr>
                <w:rStyle w:val="eop"/>
                <w:rFonts w:asciiTheme="majorBidi" w:eastAsiaTheme="majorEastAsia" w:hAnsiTheme="majorBidi" w:cstheme="majorBidi"/>
                <w:color w:val="000000"/>
                <w:sz w:val="20"/>
                <w:szCs w:val="20"/>
              </w:rPr>
              <w:t> </w:t>
            </w:r>
          </w:p>
        </w:tc>
      </w:tr>
      <w:tr w:rsidR="00874D55" w:rsidRPr="00C61E49" w14:paraId="19CE044F" w14:textId="77777777" w:rsidTr="007E1F72">
        <w:trPr>
          <w:trHeight w:val="945"/>
        </w:trPr>
        <w:tc>
          <w:tcPr>
            <w:tcW w:w="945" w:type="dxa"/>
            <w:tcBorders>
              <w:top w:val="nil"/>
              <w:left w:val="nil"/>
              <w:bottom w:val="single" w:sz="6" w:space="0" w:color="auto"/>
              <w:right w:val="nil"/>
            </w:tcBorders>
            <w:shd w:val="clear" w:color="auto" w:fill="FFFFFF"/>
            <w:vAlign w:val="center"/>
            <w:hideMark/>
          </w:tcPr>
          <w:p w14:paraId="06984C26" w14:textId="77777777" w:rsidR="00874D55" w:rsidRPr="00B3383B" w:rsidRDefault="00874D55" w:rsidP="007E1F72">
            <w:pPr>
              <w:pStyle w:val="paragraph"/>
              <w:spacing w:before="0" w:beforeAutospacing="0" w:after="0" w:afterAutospacing="0"/>
              <w:jc w:val="center"/>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Marine-terrestrial</w:t>
            </w:r>
            <w:r w:rsidRPr="00B3383B">
              <w:rPr>
                <w:rStyle w:val="eop"/>
                <w:rFonts w:asciiTheme="majorBidi" w:eastAsiaTheme="majorEastAsia" w:hAnsiTheme="majorBidi" w:cstheme="majorBidi"/>
                <w:color w:val="000000"/>
                <w:sz w:val="20"/>
                <w:szCs w:val="20"/>
              </w:rPr>
              <w:t> </w:t>
            </w:r>
          </w:p>
        </w:tc>
        <w:tc>
          <w:tcPr>
            <w:tcW w:w="2490" w:type="dxa"/>
            <w:tcBorders>
              <w:top w:val="nil"/>
              <w:left w:val="nil"/>
              <w:bottom w:val="single" w:sz="6" w:space="0" w:color="auto"/>
              <w:right w:val="nil"/>
            </w:tcBorders>
            <w:shd w:val="clear" w:color="auto" w:fill="FFFFFF"/>
            <w:vAlign w:val="center"/>
            <w:hideMark/>
          </w:tcPr>
          <w:p w14:paraId="1BAE148A"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MT3 Anthropogenic shorelines</w:t>
            </w:r>
            <w:r w:rsidRPr="00B3383B">
              <w:rPr>
                <w:rStyle w:val="eop"/>
                <w:rFonts w:asciiTheme="majorBidi" w:eastAsiaTheme="majorEastAsia" w:hAnsiTheme="majorBidi" w:cstheme="majorBidi"/>
                <w:color w:val="000000"/>
                <w:sz w:val="20"/>
                <w:szCs w:val="20"/>
              </w:rPr>
              <w:t> </w:t>
            </w:r>
          </w:p>
        </w:tc>
        <w:tc>
          <w:tcPr>
            <w:tcW w:w="4770" w:type="dxa"/>
            <w:tcBorders>
              <w:top w:val="nil"/>
              <w:left w:val="nil"/>
              <w:bottom w:val="single" w:sz="6" w:space="0" w:color="auto"/>
              <w:right w:val="nil"/>
            </w:tcBorders>
            <w:shd w:val="clear" w:color="auto" w:fill="FFFFFF"/>
            <w:vAlign w:val="center"/>
            <w:hideMark/>
          </w:tcPr>
          <w:p w14:paraId="0056B798"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color w:val="000000"/>
                <w:sz w:val="20"/>
                <w:szCs w:val="20"/>
                <w:lang w:val="en-US"/>
              </w:rPr>
              <w:t>MT 3.1 Artificial shorelines</w:t>
            </w:r>
            <w:r w:rsidRPr="00B3383B">
              <w:rPr>
                <w:rStyle w:val="eop"/>
                <w:rFonts w:asciiTheme="majorBidi" w:eastAsiaTheme="majorEastAsia" w:hAnsiTheme="majorBidi" w:cstheme="majorBidi"/>
                <w:color w:val="000000"/>
                <w:sz w:val="20"/>
                <w:szCs w:val="20"/>
              </w:rPr>
              <w:t> </w:t>
            </w:r>
          </w:p>
        </w:tc>
      </w:tr>
    </w:tbl>
    <w:p w14:paraId="0F88061F" w14:textId="77777777" w:rsidR="00874D55" w:rsidRPr="0083472F" w:rsidRDefault="00874D55" w:rsidP="00874D55">
      <w:pPr>
        <w:tabs>
          <w:tab w:val="left" w:pos="567"/>
          <w:tab w:val="left" w:pos="1134"/>
          <w:tab w:val="left" w:pos="1701"/>
          <w:tab w:val="left" w:pos="2268"/>
          <w:tab w:val="left" w:pos="2835"/>
          <w:tab w:val="left" w:pos="3402"/>
          <w:tab w:val="left" w:pos="3969"/>
        </w:tabs>
        <w:spacing w:before="120" w:after="120"/>
        <w:ind w:left="567"/>
        <w:jc w:val="both"/>
        <w:rPr>
          <w:rFonts w:asciiTheme="majorBidi" w:eastAsiaTheme="majorEastAsia" w:hAnsiTheme="majorBidi" w:cstheme="majorBidi"/>
          <w:sz w:val="18"/>
          <w:szCs w:val="18"/>
        </w:rPr>
      </w:pPr>
      <w:r w:rsidRPr="0083472F">
        <w:rPr>
          <w:rFonts w:asciiTheme="majorBidi" w:eastAsiaTheme="majorEastAsia" w:hAnsiTheme="majorBidi" w:cstheme="majorBidi"/>
          <w:sz w:val="18"/>
          <w:szCs w:val="18"/>
        </w:rPr>
        <w:t>** The derived semi-natural pastures in EFG T7.5 were created and are maintained through human interventions,</w:t>
      </w:r>
      <w:r>
        <w:rPr>
          <w:rFonts w:asciiTheme="majorBidi" w:eastAsiaTheme="majorEastAsia" w:hAnsiTheme="majorBidi" w:cstheme="majorBidi"/>
          <w:sz w:val="18"/>
          <w:szCs w:val="18"/>
        </w:rPr>
        <w:t xml:space="preserve"> in some case over centuries or longer,</w:t>
      </w:r>
      <w:r w:rsidRPr="0083472F">
        <w:rPr>
          <w:rFonts w:asciiTheme="majorBidi" w:eastAsiaTheme="majorEastAsia" w:hAnsiTheme="majorBidi" w:cstheme="majorBidi"/>
          <w:sz w:val="18"/>
          <w:szCs w:val="18"/>
        </w:rPr>
        <w:t xml:space="preserve"> replacing other pre-existing natural ecosystem types. They are thus conceptually anthropogenic ecosystems. However, </w:t>
      </w:r>
      <w:r>
        <w:rPr>
          <w:rFonts w:asciiTheme="majorBidi" w:eastAsiaTheme="majorEastAsia" w:hAnsiTheme="majorBidi" w:cstheme="majorBidi"/>
          <w:sz w:val="18"/>
          <w:szCs w:val="18"/>
        </w:rPr>
        <w:t xml:space="preserve">in the case of these ecosystem types, </w:t>
      </w:r>
      <w:r w:rsidRPr="00BF17A5">
        <w:rPr>
          <w:rFonts w:asciiTheme="majorBidi" w:eastAsiaTheme="majorEastAsia" w:hAnsiTheme="majorBidi" w:cstheme="majorBidi"/>
          <w:sz w:val="18"/>
          <w:szCs w:val="18"/>
        </w:rPr>
        <w:t>human intervention</w:t>
      </w:r>
      <w:r>
        <w:rPr>
          <w:rFonts w:asciiTheme="majorBidi" w:eastAsiaTheme="majorEastAsia" w:hAnsiTheme="majorBidi" w:cstheme="majorBidi"/>
          <w:sz w:val="18"/>
          <w:szCs w:val="18"/>
        </w:rPr>
        <w:t xml:space="preserve"> typically </w:t>
      </w:r>
      <w:r w:rsidRPr="00BF17A5">
        <w:rPr>
          <w:rFonts w:asciiTheme="majorBidi" w:eastAsiaTheme="majorEastAsia" w:hAnsiTheme="majorBidi" w:cstheme="majorBidi"/>
          <w:sz w:val="18"/>
          <w:szCs w:val="18"/>
        </w:rPr>
        <w:t>affects only part of the vegetation structure</w:t>
      </w:r>
      <w:r>
        <w:rPr>
          <w:rFonts w:asciiTheme="majorBidi" w:eastAsiaTheme="majorEastAsia" w:hAnsiTheme="majorBidi" w:cstheme="majorBidi"/>
          <w:sz w:val="18"/>
          <w:szCs w:val="18"/>
        </w:rPr>
        <w:t xml:space="preserve"> </w:t>
      </w:r>
      <w:r w:rsidRPr="00BF17A5">
        <w:rPr>
          <w:rFonts w:asciiTheme="majorBidi" w:eastAsiaTheme="majorEastAsia" w:hAnsiTheme="majorBidi" w:cstheme="majorBidi"/>
          <w:sz w:val="18"/>
          <w:szCs w:val="18"/>
        </w:rPr>
        <w:t>and leaves basic ecosystem functions (such as soil profile, nutrient status, hydrological cycle) intact</w:t>
      </w:r>
      <w:r>
        <w:rPr>
          <w:rFonts w:asciiTheme="majorBidi" w:eastAsiaTheme="majorEastAsia" w:hAnsiTheme="majorBidi" w:cstheme="majorBidi"/>
          <w:sz w:val="18"/>
          <w:szCs w:val="18"/>
        </w:rPr>
        <w:t>. F</w:t>
      </w:r>
      <w:r w:rsidRPr="0083472F">
        <w:rPr>
          <w:rFonts w:asciiTheme="majorBidi" w:eastAsiaTheme="majorEastAsia" w:hAnsiTheme="majorBidi" w:cstheme="majorBidi"/>
          <w:sz w:val="18"/>
          <w:szCs w:val="18"/>
        </w:rPr>
        <w:t>or the purposes of Indicator A.2, national ecosystem types that fall within EFG T7.5 may be grouped with the broad category “natural” if the ecosystem type existed pre-industrially and</w:t>
      </w:r>
      <w:r>
        <w:rPr>
          <w:rFonts w:asciiTheme="majorBidi" w:eastAsiaTheme="majorEastAsia" w:hAnsiTheme="majorBidi" w:cstheme="majorBidi"/>
          <w:sz w:val="18"/>
          <w:szCs w:val="18"/>
        </w:rPr>
        <w:t>/or</w:t>
      </w:r>
      <w:r w:rsidRPr="0083472F">
        <w:rPr>
          <w:rFonts w:asciiTheme="majorBidi" w:eastAsiaTheme="majorEastAsia" w:hAnsiTheme="majorBidi" w:cstheme="majorBidi"/>
          <w:sz w:val="18"/>
          <w:szCs w:val="18"/>
        </w:rPr>
        <w:t xml:space="preserve"> has substantial importance for biodiversity.</w:t>
      </w:r>
      <w:r>
        <w:rPr>
          <w:rFonts w:asciiTheme="majorBidi" w:eastAsiaTheme="majorEastAsia" w:hAnsiTheme="majorBidi" w:cstheme="majorBidi"/>
          <w:sz w:val="18"/>
          <w:szCs w:val="18"/>
        </w:rPr>
        <w:t xml:space="preserve"> Th</w:t>
      </w:r>
      <w:r w:rsidRPr="00C475DF">
        <w:rPr>
          <w:rFonts w:asciiTheme="majorBidi" w:eastAsiaTheme="majorEastAsia" w:hAnsiTheme="majorBidi" w:cstheme="majorBidi"/>
          <w:sz w:val="18"/>
          <w:szCs w:val="18"/>
        </w:rPr>
        <w:t xml:space="preserve">is consideration applies at the level of </w:t>
      </w:r>
      <w:r w:rsidRPr="0083472F">
        <w:rPr>
          <w:rFonts w:asciiTheme="majorBidi" w:eastAsiaTheme="majorEastAsia" w:hAnsiTheme="majorBidi" w:cstheme="majorBidi"/>
          <w:i/>
          <w:iCs/>
          <w:sz w:val="18"/>
          <w:szCs w:val="18"/>
        </w:rPr>
        <w:t>specific national ecosystem types within EFG T7.5</w:t>
      </w:r>
      <w:r w:rsidRPr="00C475DF">
        <w:rPr>
          <w:rFonts w:asciiTheme="majorBidi" w:eastAsiaTheme="majorEastAsia" w:hAnsiTheme="majorBidi" w:cstheme="majorBidi"/>
          <w:sz w:val="18"/>
          <w:szCs w:val="18"/>
        </w:rPr>
        <w:t xml:space="preserve">, rather than implying that the entire EFG </w:t>
      </w:r>
      <w:r>
        <w:rPr>
          <w:rFonts w:asciiTheme="majorBidi" w:eastAsiaTheme="majorEastAsia" w:hAnsiTheme="majorBidi" w:cstheme="majorBidi"/>
          <w:sz w:val="18"/>
          <w:szCs w:val="18"/>
        </w:rPr>
        <w:t xml:space="preserve">could necessarily </w:t>
      </w:r>
      <w:r w:rsidRPr="00C475DF">
        <w:rPr>
          <w:rFonts w:asciiTheme="majorBidi" w:eastAsiaTheme="majorEastAsia" w:hAnsiTheme="majorBidi" w:cstheme="majorBidi"/>
          <w:sz w:val="18"/>
          <w:szCs w:val="18"/>
        </w:rPr>
        <w:t>be treated as “natural” for the purposes of Indicator A.2.</w:t>
      </w:r>
    </w:p>
    <w:p w14:paraId="705F96AD" w14:textId="77777777" w:rsidR="00874D55" w:rsidRDefault="00874D55" w:rsidP="00874D55">
      <w:pPr>
        <w:pStyle w:val="CBDNormalNumber"/>
        <w:ind w:left="567"/>
        <w:rPr>
          <w:rStyle w:val="normaltextrun"/>
          <w:rFonts w:asciiTheme="majorBidi" w:eastAsiaTheme="majorEastAsia" w:hAnsiTheme="majorBidi" w:cstheme="majorBidi"/>
        </w:rPr>
      </w:pPr>
    </w:p>
    <w:p w14:paraId="1E245ED2" w14:textId="77777777" w:rsidR="00874D55" w:rsidRPr="00ED7E61" w:rsidRDefault="00874D55" w:rsidP="00874D55">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Please refer to the IUCN GET (Keith et.al 2020) for detailed descriptive profiles for each EFG, which can also be found at </w:t>
      </w:r>
      <w:hyperlink r:id="rId29" w:tgtFrame="_blank" w:history="1">
        <w:r w:rsidRPr="00ED7E61">
          <w:rPr>
            <w:rStyle w:val="normaltextrun"/>
            <w:rFonts w:asciiTheme="majorBidi" w:eastAsiaTheme="majorEastAsia" w:hAnsiTheme="majorBidi" w:cstheme="majorBidi"/>
          </w:rPr>
          <w:t>https://global-ecosystems.org/</w:t>
        </w:r>
      </w:hyperlink>
      <w:r w:rsidRPr="00ED7E61">
        <w:rPr>
          <w:rStyle w:val="normaltextrun"/>
          <w:rFonts w:asciiTheme="majorBidi" w:eastAsiaTheme="majorEastAsia" w:hAnsiTheme="majorBidi" w:cstheme="majorBidi"/>
        </w:rPr>
        <w:t>. </w:t>
      </w:r>
      <w:r w:rsidRPr="00ED7E61">
        <w:rPr>
          <w:rStyle w:val="normaltextrun"/>
        </w:rPr>
        <w:t> </w:t>
      </w:r>
    </w:p>
    <w:p w14:paraId="74566099" w14:textId="0380A36A" w:rsidR="00874D55" w:rsidRPr="00C61E49" w:rsidRDefault="00874D55" w:rsidP="00874D55">
      <w:pPr>
        <w:pStyle w:val="CBDNormalNumber"/>
        <w:ind w:left="567"/>
        <w:rPr>
          <w:rStyle w:val="normaltextrun"/>
          <w:rFonts w:asciiTheme="majorBidi" w:eastAsiaTheme="majorEastAsia" w:hAnsiTheme="majorBidi" w:cstheme="majorBidi"/>
          <w:b/>
          <w:bCs/>
        </w:rPr>
      </w:pPr>
      <w:r w:rsidRPr="00ED7E61">
        <w:rPr>
          <w:rStyle w:val="normaltextrun"/>
          <w:rFonts w:asciiTheme="majorBidi" w:eastAsiaTheme="majorEastAsia" w:hAnsiTheme="majorBidi" w:cstheme="majorBidi"/>
        </w:rPr>
        <w:t xml:space="preserve">The </w:t>
      </w:r>
      <w:r w:rsidRPr="00B3383B">
        <w:rPr>
          <w:rStyle w:val="normaltextrun"/>
        </w:rPr>
        <w:t>IUCN</w:t>
      </w:r>
      <w:r w:rsidRPr="00ED7E61">
        <w:rPr>
          <w:rStyle w:val="normaltextrun"/>
          <w:rFonts w:asciiTheme="majorBidi" w:eastAsiaTheme="majorEastAsia" w:hAnsiTheme="majorBidi" w:cstheme="majorBidi"/>
        </w:rPr>
        <w:t xml:space="preserve"> GET is also </w:t>
      </w:r>
      <w:r>
        <w:rPr>
          <w:rStyle w:val="normaltextrun"/>
          <w:rFonts w:asciiTheme="majorBidi" w:eastAsiaTheme="majorEastAsia" w:hAnsiTheme="majorBidi" w:cstheme="majorBidi"/>
        </w:rPr>
        <w:t xml:space="preserve">recommended </w:t>
      </w:r>
      <w:r w:rsidRPr="00ED7E61">
        <w:rPr>
          <w:rStyle w:val="normaltextrun"/>
          <w:rFonts w:asciiTheme="majorBidi" w:eastAsiaTheme="majorEastAsia" w:hAnsiTheme="majorBidi" w:cstheme="majorBidi"/>
        </w:rPr>
        <w:t>for summarising and disaggregation in Headline Indicator A1, the Red List of Ecosystems, which focuses on the risk of collapse of natural ecosystems.</w:t>
      </w:r>
      <w:r w:rsidRPr="00ED7E61">
        <w:rPr>
          <w:rStyle w:val="normaltextrun"/>
        </w:rPr>
        <w:t> </w:t>
      </w:r>
    </w:p>
    <w:p w14:paraId="30C4C445" w14:textId="77777777" w:rsidR="00874D55" w:rsidRPr="00ED7E61" w:rsidRDefault="00874D55" w:rsidP="00874D5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lastRenderedPageBreak/>
        <w:t>5b. Method of computation</w:t>
      </w:r>
      <w:r w:rsidRPr="00ED7E61">
        <w:rPr>
          <w:rStyle w:val="eop"/>
          <w:rFonts w:asciiTheme="majorBidi" w:eastAsiaTheme="majorEastAsia" w:hAnsiTheme="majorBidi" w:cstheme="majorBidi"/>
          <w:sz w:val="22"/>
          <w:szCs w:val="22"/>
        </w:rPr>
        <w:t> </w:t>
      </w:r>
    </w:p>
    <w:p w14:paraId="07AA5A1F" w14:textId="1A3499EC"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indicator is drawn directly from ecosystem extent accounts compiled based on the SEEA Ecosystem Accounting framework, which organize data on the extent of different ecosystem types. An ecosystem </w:t>
      </w:r>
      <w:r w:rsidRPr="00B3383B">
        <w:rPr>
          <w:rStyle w:val="normaltextrun"/>
        </w:rPr>
        <w:t>extent</w:t>
      </w:r>
      <w:r w:rsidRPr="00ED7E61">
        <w:rPr>
          <w:rStyle w:val="normaltextrun"/>
          <w:rFonts w:asciiTheme="majorBidi" w:eastAsiaTheme="majorEastAsia" w:hAnsiTheme="majorBidi" w:cstheme="majorBidi"/>
        </w:rPr>
        <w:t xml:space="preserve"> account records the extent (area) and changes in extent, for all ecosystem types within an ecosystem accounting area (in this case a country), including natural, and anthropogenic ecosystem types.</w:t>
      </w:r>
      <w:r w:rsidRPr="00ED7E61">
        <w:rPr>
          <w:rStyle w:val="normaltextrun"/>
          <w:rFonts w:eastAsiaTheme="majorEastAsia"/>
        </w:rPr>
        <w:t>8</w:t>
      </w:r>
      <w:r w:rsidRPr="00ED7E61">
        <w:rPr>
          <w:rStyle w:val="normaltextrun"/>
          <w:rFonts w:asciiTheme="majorBidi" w:eastAsiaTheme="majorEastAsia" w:hAnsiTheme="majorBidi" w:cstheme="majorBidi"/>
        </w:rPr>
        <w:t xml:space="preserve"> A stylized example of an ecosystem extent account is shown in Table 2, where the opening extent, closing extent, and additions and reductions in extent</w:t>
      </w:r>
      <w:r>
        <w:rPr>
          <w:rStyle w:val="normaltextrun"/>
          <w:rFonts w:asciiTheme="majorBidi" w:eastAsiaTheme="majorEastAsia" w:hAnsiTheme="majorBidi" w:cstheme="majorBidi"/>
        </w:rPr>
        <w:t xml:space="preserve"> and net change in extent</w:t>
      </w:r>
      <w:r w:rsidRPr="00ED7E61">
        <w:rPr>
          <w:rStyle w:val="normaltextrun"/>
          <w:rFonts w:asciiTheme="majorBidi" w:eastAsiaTheme="majorEastAsia" w:hAnsiTheme="majorBidi" w:cstheme="majorBidi"/>
        </w:rPr>
        <w:t xml:space="preserve"> for each ecosystem type are recorded for a particular accounting period.</w:t>
      </w:r>
      <w:r w:rsidRPr="00ED7E61">
        <w:rPr>
          <w:rStyle w:val="normaltextrun"/>
          <w:rFonts w:asciiTheme="majorBidi" w:eastAsiaTheme="majorEastAsia" w:hAnsiTheme="majorBidi" w:cstheme="majorBidi"/>
          <w:vertAlign w:val="superscript"/>
        </w:rPr>
        <w:t xml:space="preserve"> </w:t>
      </w:r>
      <w:r>
        <w:rPr>
          <w:rStyle w:val="normaltextrun"/>
          <w:rFonts w:asciiTheme="majorBidi" w:eastAsiaTheme="majorEastAsia" w:hAnsiTheme="majorBidi" w:cstheme="majorBidi"/>
        </w:rPr>
        <w:t>The “total” column must reflect the extent of the whole Ecosystem Accounting Area (in this case the total inland area or total marine area of the country). E</w:t>
      </w:r>
      <w:r w:rsidRPr="00ED7E61">
        <w:rPr>
          <w:rStyle w:val="normaltextrun"/>
          <w:rFonts w:asciiTheme="majorBidi" w:eastAsiaTheme="majorEastAsia" w:hAnsiTheme="majorBidi" w:cstheme="majorBidi"/>
        </w:rPr>
        <w:t>ntries are in measurement units such as hectares or square kilometres. Ideally accounts are compiled for successive accounting periods, with the closing extent for one accounting period becoming the opening extent for the next accounting period. The critical elements of the account table for reporting on the indicator are the opening extent of the first accounting period</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the closing extent of the first and each subsequent accounting period </w:t>
      </w:r>
      <w:r>
        <w:rPr>
          <w:rStyle w:val="normaltextrun"/>
          <w:rFonts w:asciiTheme="majorBidi" w:eastAsiaTheme="majorEastAsia" w:hAnsiTheme="majorBidi" w:cstheme="majorBidi"/>
        </w:rPr>
        <w:t xml:space="preserve">and the total extent of the country </w:t>
      </w:r>
      <w:r w:rsidRPr="00ED7E61">
        <w:rPr>
          <w:rStyle w:val="normaltextrun"/>
          <w:rFonts w:asciiTheme="majorBidi" w:eastAsiaTheme="majorEastAsia" w:hAnsiTheme="majorBidi" w:cstheme="majorBidi"/>
        </w:rPr>
        <w:t>(see Section 6d.3). </w:t>
      </w:r>
      <w:r w:rsidRPr="00ED7E61">
        <w:rPr>
          <w:rStyle w:val="normaltextrun"/>
        </w:rPr>
        <w:t> </w:t>
      </w:r>
    </w:p>
    <w:p w14:paraId="2D4FFC94" w14:textId="77777777" w:rsidR="00874D55" w:rsidRPr="00ED7E61" w:rsidRDefault="00874D55" w:rsidP="00874D55">
      <w:pPr>
        <w:pStyle w:val="CBDNormalNumber"/>
        <w:numPr>
          <w:ilvl w:val="0"/>
          <w:numId w:val="45"/>
        </w:numPr>
        <w:rPr>
          <w:rStyle w:val="normaltextrun"/>
          <w:rFonts w:eastAsiaTheme="majorEastAsia"/>
        </w:rPr>
      </w:pPr>
      <w:r w:rsidRPr="00ED7E61">
        <w:rPr>
          <w:rStyle w:val="normaltextrun"/>
          <w:rFonts w:asciiTheme="majorBidi" w:eastAsiaTheme="majorEastAsia" w:hAnsiTheme="majorBidi" w:cstheme="majorBidi"/>
        </w:rPr>
        <w:t>More comprehensive versions of the ecosystem extent account table than the one shown in Table 2 are also possible (e.g. see Table 4.1 in SEEA EA), and a change matrix can be compiled alongside the extent account (described in SEEA EA), providing additional information about conversions between different ecosystem types.</w:t>
      </w:r>
      <w:r w:rsidRPr="00ED7E61">
        <w:rPr>
          <w:rStyle w:val="normaltextrun"/>
        </w:rPr>
        <w:t> </w:t>
      </w:r>
    </w:p>
    <w:p w14:paraId="70997EC6" w14:textId="77777777" w:rsidR="00874D55" w:rsidRPr="00B3383B" w:rsidRDefault="00874D55" w:rsidP="00874D55">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p>
    <w:p w14:paraId="4BA156EF" w14:textId="77777777" w:rsidR="00874D55" w:rsidRPr="00B3383B" w:rsidRDefault="00874D55" w:rsidP="00874D55">
      <w:pPr>
        <w:pStyle w:val="paragraph"/>
        <w:keepNext/>
        <w:keepLines/>
        <w:spacing w:before="0" w:beforeAutospacing="0" w:after="120" w:afterAutospacing="0"/>
        <w:textAlignment w:val="baseline"/>
        <w:rPr>
          <w:rFonts w:asciiTheme="majorBidi" w:hAnsiTheme="majorBidi" w:cstheme="majorBidi"/>
          <w:b/>
          <w:bCs/>
          <w:sz w:val="22"/>
          <w:szCs w:val="22"/>
        </w:rPr>
      </w:pPr>
      <w:r w:rsidRPr="00B3383B">
        <w:rPr>
          <w:rStyle w:val="normaltextrun"/>
          <w:rFonts w:asciiTheme="majorBidi" w:eastAsiaTheme="majorEastAsia" w:hAnsiTheme="majorBidi" w:cstheme="majorBidi"/>
          <w:sz w:val="22"/>
          <w:szCs w:val="22"/>
        </w:rPr>
        <w:t>Table 2</w:t>
      </w:r>
      <w:r w:rsidRPr="00ED7E61">
        <w:rPr>
          <w:rStyle w:val="normaltextrun"/>
          <w:rFonts w:asciiTheme="majorBidi" w:eastAsiaTheme="majorEastAsia" w:hAnsiTheme="majorBidi" w:cstheme="majorBidi"/>
          <w:i/>
          <w:iCs/>
          <w:sz w:val="22"/>
          <w:szCs w:val="22"/>
        </w:rPr>
        <w:t xml:space="preserve"> </w:t>
      </w:r>
      <w:r>
        <w:rPr>
          <w:rStyle w:val="normaltextrun"/>
          <w:rFonts w:asciiTheme="majorBidi" w:eastAsiaTheme="majorEastAsia" w:hAnsiTheme="majorBidi" w:cstheme="majorBidi"/>
          <w:i/>
          <w:iCs/>
          <w:sz w:val="22"/>
          <w:szCs w:val="22"/>
        </w:rPr>
        <w:br/>
      </w:r>
      <w:r w:rsidRPr="00B3383B">
        <w:rPr>
          <w:rStyle w:val="normaltextrun"/>
          <w:rFonts w:asciiTheme="majorBidi" w:eastAsiaTheme="majorEastAsia" w:hAnsiTheme="majorBidi" w:cstheme="majorBidi"/>
          <w:b/>
          <w:bCs/>
          <w:sz w:val="22"/>
          <w:szCs w:val="22"/>
        </w:rPr>
        <w:t>Stylized ecosystem extent account (units of area)</w:t>
      </w:r>
      <w:r w:rsidRPr="00B3383B">
        <w:rPr>
          <w:rStyle w:val="eop"/>
          <w:rFonts w:asciiTheme="majorBidi" w:eastAsiaTheme="majorEastAsia" w:hAnsiTheme="majorBidi" w:cstheme="majorBidi"/>
          <w:b/>
          <w:bCs/>
          <w:sz w:val="22"/>
          <w:szCs w:val="22"/>
        </w:rPr>
        <w:t> </w:t>
      </w:r>
    </w:p>
    <w:tbl>
      <w:tblPr>
        <w:tblW w:w="8577"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26"/>
        <w:gridCol w:w="932"/>
        <w:gridCol w:w="899"/>
        <w:gridCol w:w="1065"/>
        <w:gridCol w:w="1215"/>
        <w:gridCol w:w="1125"/>
        <w:gridCol w:w="1035"/>
        <w:gridCol w:w="780"/>
      </w:tblGrid>
      <w:tr w:rsidR="00874D55" w:rsidRPr="00C61E49" w14:paraId="733CC782" w14:textId="77777777" w:rsidTr="007E1F72">
        <w:trPr>
          <w:trHeight w:val="300"/>
        </w:trPr>
        <w:tc>
          <w:tcPr>
            <w:tcW w:w="1526" w:type="dxa"/>
            <w:vMerge w:val="restart"/>
            <w:tcBorders>
              <w:top w:val="single" w:sz="6" w:space="0" w:color="auto"/>
              <w:left w:val="single" w:sz="6" w:space="0" w:color="auto"/>
              <w:bottom w:val="single" w:sz="6" w:space="0" w:color="auto"/>
              <w:right w:val="single" w:sz="6" w:space="0" w:color="auto"/>
            </w:tcBorders>
            <w:vAlign w:val="bottom"/>
            <w:hideMark/>
          </w:tcPr>
          <w:p w14:paraId="0790E2F9" w14:textId="77777777" w:rsidR="00874D55" w:rsidRPr="00B3383B" w:rsidRDefault="00874D55" w:rsidP="007E1F72">
            <w:pPr>
              <w:pStyle w:val="paragraph"/>
              <w:keepNext/>
              <w:keepLines/>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b/>
                <w:bCs/>
                <w:sz w:val="20"/>
                <w:szCs w:val="20"/>
                <w:lang w:val="en-GB"/>
              </w:rPr>
              <w:t>Accounting entries</w:t>
            </w:r>
            <w:r w:rsidRPr="00B3383B">
              <w:rPr>
                <w:rStyle w:val="eop"/>
                <w:rFonts w:asciiTheme="majorBidi" w:eastAsiaTheme="majorEastAsia" w:hAnsiTheme="majorBidi" w:cstheme="majorBidi"/>
                <w:sz w:val="20"/>
                <w:szCs w:val="20"/>
              </w:rPr>
              <w:t> </w:t>
            </w:r>
          </w:p>
        </w:tc>
        <w:tc>
          <w:tcPr>
            <w:tcW w:w="6271" w:type="dxa"/>
            <w:gridSpan w:val="6"/>
            <w:tcBorders>
              <w:top w:val="single" w:sz="6" w:space="0" w:color="auto"/>
              <w:left w:val="single" w:sz="6" w:space="0" w:color="auto"/>
              <w:bottom w:val="single" w:sz="6" w:space="0" w:color="auto"/>
              <w:right w:val="single" w:sz="6" w:space="0" w:color="auto"/>
            </w:tcBorders>
            <w:hideMark/>
          </w:tcPr>
          <w:p w14:paraId="5C601D42" w14:textId="77777777" w:rsidR="00874D55" w:rsidRPr="00B3383B" w:rsidRDefault="00874D55" w:rsidP="007E1F72">
            <w:pPr>
              <w:pStyle w:val="paragraph"/>
              <w:keepNext/>
              <w:keepLines/>
              <w:spacing w:before="0" w:beforeAutospacing="0" w:after="0" w:afterAutospacing="0"/>
              <w:jc w:val="center"/>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b/>
                <w:bCs/>
                <w:sz w:val="20"/>
                <w:szCs w:val="20"/>
                <w:lang w:val="en-GB"/>
              </w:rPr>
              <w:t>Ecosystem functional groups (examples)</w:t>
            </w:r>
            <w:r w:rsidRPr="00B3383B">
              <w:rPr>
                <w:rStyle w:val="eop"/>
                <w:rFonts w:asciiTheme="majorBidi" w:eastAsiaTheme="majorEastAsia" w:hAnsiTheme="majorBidi" w:cstheme="majorBidi"/>
                <w:sz w:val="20"/>
                <w:szCs w:val="20"/>
              </w:rPr>
              <w:t> </w:t>
            </w:r>
          </w:p>
        </w:tc>
        <w:tc>
          <w:tcPr>
            <w:tcW w:w="780" w:type="dxa"/>
            <w:vMerge w:val="restart"/>
            <w:tcBorders>
              <w:top w:val="single" w:sz="6" w:space="0" w:color="auto"/>
              <w:left w:val="single" w:sz="6" w:space="0" w:color="auto"/>
              <w:bottom w:val="single" w:sz="6" w:space="0" w:color="auto"/>
              <w:right w:val="single" w:sz="6" w:space="0" w:color="auto"/>
            </w:tcBorders>
            <w:vAlign w:val="bottom"/>
            <w:hideMark/>
          </w:tcPr>
          <w:p w14:paraId="6E4F4CA8" w14:textId="77777777" w:rsidR="00874D55" w:rsidRPr="00B3383B" w:rsidRDefault="00874D55" w:rsidP="007E1F72">
            <w:pPr>
              <w:pStyle w:val="paragraph"/>
              <w:keepNext/>
              <w:keepLines/>
              <w:spacing w:before="0" w:beforeAutospacing="0" w:after="0" w:afterAutospacing="0"/>
              <w:jc w:val="center"/>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b/>
                <w:bCs/>
                <w:sz w:val="20"/>
                <w:szCs w:val="20"/>
                <w:lang w:val="en-GB"/>
              </w:rPr>
              <w:t>Total</w:t>
            </w:r>
            <w:r w:rsidRPr="00B3383B">
              <w:rPr>
                <w:rStyle w:val="eop"/>
                <w:rFonts w:asciiTheme="majorBidi" w:eastAsiaTheme="majorEastAsia" w:hAnsiTheme="majorBidi" w:cstheme="majorBidi"/>
                <w:sz w:val="20"/>
                <w:szCs w:val="20"/>
              </w:rPr>
              <w:t> </w:t>
            </w:r>
          </w:p>
        </w:tc>
      </w:tr>
      <w:tr w:rsidR="00874D55" w:rsidRPr="00C61E49" w14:paraId="1382F3DB" w14:textId="77777777" w:rsidTr="007E1F72">
        <w:trPr>
          <w:trHeight w:val="300"/>
        </w:trPr>
        <w:tc>
          <w:tcPr>
            <w:tcW w:w="1526" w:type="dxa"/>
            <w:vMerge/>
            <w:tcBorders>
              <w:top w:val="single" w:sz="6" w:space="0" w:color="auto"/>
              <w:left w:val="single" w:sz="6" w:space="0" w:color="auto"/>
              <w:bottom w:val="single" w:sz="6" w:space="0" w:color="auto"/>
              <w:right w:val="single" w:sz="6" w:space="0" w:color="auto"/>
            </w:tcBorders>
            <w:vAlign w:val="center"/>
            <w:hideMark/>
          </w:tcPr>
          <w:p w14:paraId="7DBEB771" w14:textId="77777777" w:rsidR="00874D55" w:rsidRPr="00B3383B" w:rsidRDefault="00874D55" w:rsidP="007E1F72">
            <w:pPr>
              <w:rPr>
                <w:rFonts w:asciiTheme="majorBidi" w:hAnsiTheme="majorBidi" w:cstheme="majorBidi"/>
                <w:sz w:val="20"/>
                <w:szCs w:val="20"/>
              </w:rPr>
            </w:pPr>
          </w:p>
        </w:tc>
        <w:tc>
          <w:tcPr>
            <w:tcW w:w="932" w:type="dxa"/>
            <w:tcBorders>
              <w:top w:val="single" w:sz="6" w:space="0" w:color="auto"/>
              <w:left w:val="single" w:sz="6" w:space="0" w:color="auto"/>
              <w:bottom w:val="single" w:sz="6" w:space="0" w:color="auto"/>
              <w:right w:val="single" w:sz="6" w:space="0" w:color="auto"/>
            </w:tcBorders>
            <w:hideMark/>
          </w:tcPr>
          <w:p w14:paraId="18905593"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T2.6 Temperate forests and woodlands</w:t>
            </w:r>
            <w:r w:rsidRPr="00B3383B">
              <w:rPr>
                <w:rStyle w:val="eop"/>
                <w:rFonts w:asciiTheme="majorBidi" w:eastAsiaTheme="majorEastAsia" w:hAnsiTheme="majorBidi" w:cstheme="majorBidi"/>
                <w:sz w:val="20"/>
                <w:szCs w:val="20"/>
              </w:rPr>
              <w:t> </w:t>
            </w:r>
          </w:p>
        </w:tc>
        <w:tc>
          <w:tcPr>
            <w:tcW w:w="899" w:type="dxa"/>
            <w:tcBorders>
              <w:top w:val="single" w:sz="6" w:space="0" w:color="auto"/>
              <w:left w:val="single" w:sz="6" w:space="0" w:color="auto"/>
              <w:bottom w:val="single" w:sz="6" w:space="0" w:color="auto"/>
              <w:right w:val="single" w:sz="6" w:space="0" w:color="auto"/>
            </w:tcBorders>
            <w:hideMark/>
          </w:tcPr>
          <w:p w14:paraId="742FB50D"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T4.5 Temperate subhumid grasslands</w:t>
            </w:r>
            <w:r w:rsidRPr="00B3383B">
              <w:rPr>
                <w:rStyle w:val="eop"/>
                <w:rFonts w:asciiTheme="majorBidi" w:eastAsiaTheme="majorEastAsia" w:hAnsiTheme="majorBidi" w:cstheme="majorBidi"/>
                <w:sz w:val="20"/>
                <w:szCs w:val="20"/>
              </w:rPr>
              <w:t> </w:t>
            </w:r>
          </w:p>
        </w:tc>
        <w:tc>
          <w:tcPr>
            <w:tcW w:w="1065" w:type="dxa"/>
            <w:tcBorders>
              <w:top w:val="single" w:sz="6" w:space="0" w:color="auto"/>
              <w:left w:val="single" w:sz="6" w:space="0" w:color="auto"/>
              <w:bottom w:val="single" w:sz="6" w:space="0" w:color="auto"/>
              <w:right w:val="single" w:sz="6" w:space="0" w:color="auto"/>
            </w:tcBorders>
            <w:hideMark/>
          </w:tcPr>
          <w:p w14:paraId="6541ACF4"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F2.3 Seasonal freshwater lakes</w:t>
            </w:r>
            <w:r w:rsidRPr="00B3383B">
              <w:rPr>
                <w:rStyle w:val="eop"/>
                <w:rFonts w:asciiTheme="majorBidi" w:eastAsiaTheme="majorEastAsia" w:hAnsiTheme="majorBidi" w:cstheme="majorBidi"/>
                <w:sz w:val="20"/>
                <w:szCs w:val="20"/>
              </w:rPr>
              <w:t> </w:t>
            </w:r>
          </w:p>
        </w:tc>
        <w:tc>
          <w:tcPr>
            <w:tcW w:w="1215" w:type="dxa"/>
            <w:tcBorders>
              <w:top w:val="single" w:sz="6" w:space="0" w:color="auto"/>
              <w:left w:val="single" w:sz="6" w:space="0" w:color="auto"/>
              <w:bottom w:val="single" w:sz="6" w:space="0" w:color="auto"/>
              <w:right w:val="single" w:sz="6" w:space="0" w:color="auto"/>
            </w:tcBorders>
            <w:hideMark/>
          </w:tcPr>
          <w:p w14:paraId="239508F3"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T7.1 Annual croplands</w:t>
            </w:r>
            <w:r w:rsidRPr="00B3383B">
              <w:rPr>
                <w:rStyle w:val="eop"/>
                <w:rFonts w:asciiTheme="majorBidi" w:eastAsiaTheme="majorEastAsia" w:hAnsiTheme="majorBidi" w:cstheme="majorBidi"/>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278512DE"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T7.4 Urban and industrial ecosystems</w:t>
            </w:r>
            <w:r w:rsidRPr="00B3383B">
              <w:rPr>
                <w:rStyle w:val="eop"/>
                <w:rFonts w:asciiTheme="majorBidi" w:eastAsiaTheme="majorEastAsia" w:hAnsiTheme="majorBidi" w:cstheme="majorBidi"/>
                <w:sz w:val="20"/>
                <w:szCs w:val="20"/>
              </w:rPr>
              <w:t> </w:t>
            </w:r>
          </w:p>
        </w:tc>
        <w:tc>
          <w:tcPr>
            <w:tcW w:w="1035" w:type="dxa"/>
            <w:tcBorders>
              <w:top w:val="single" w:sz="6" w:space="0" w:color="auto"/>
              <w:left w:val="single" w:sz="6" w:space="0" w:color="auto"/>
              <w:bottom w:val="single" w:sz="6" w:space="0" w:color="auto"/>
              <w:right w:val="single" w:sz="6" w:space="0" w:color="auto"/>
            </w:tcBorders>
            <w:hideMark/>
          </w:tcPr>
          <w:p w14:paraId="37319827"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w:t>
            </w:r>
            <w:r w:rsidRPr="00B3383B">
              <w:rPr>
                <w:rStyle w:val="eop"/>
                <w:rFonts w:asciiTheme="majorBidi" w:eastAsiaTheme="majorEastAsia" w:hAnsiTheme="majorBidi" w:cstheme="majorBidi"/>
                <w:sz w:val="20"/>
                <w:szCs w:val="20"/>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4A6F147" w14:textId="77777777" w:rsidR="00874D55" w:rsidRPr="00B3383B" w:rsidRDefault="00874D55" w:rsidP="007E1F72">
            <w:pPr>
              <w:rPr>
                <w:rFonts w:asciiTheme="majorBidi" w:hAnsiTheme="majorBidi" w:cstheme="majorBidi"/>
                <w:sz w:val="20"/>
                <w:szCs w:val="20"/>
              </w:rPr>
            </w:pPr>
          </w:p>
        </w:tc>
      </w:tr>
      <w:tr w:rsidR="00874D55" w:rsidRPr="00C61E49" w14:paraId="6EDDFC3E" w14:textId="77777777" w:rsidTr="007E1F72">
        <w:trPr>
          <w:trHeight w:val="300"/>
        </w:trPr>
        <w:tc>
          <w:tcPr>
            <w:tcW w:w="1526" w:type="dxa"/>
            <w:tcBorders>
              <w:top w:val="single" w:sz="6" w:space="0" w:color="auto"/>
              <w:left w:val="single" w:sz="6" w:space="0" w:color="auto"/>
              <w:bottom w:val="single" w:sz="6" w:space="0" w:color="auto"/>
              <w:right w:val="single" w:sz="6" w:space="0" w:color="auto"/>
            </w:tcBorders>
            <w:hideMark/>
          </w:tcPr>
          <w:p w14:paraId="21D1E1D7"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Opening extent</w:t>
            </w:r>
            <w:r w:rsidRPr="00B3383B">
              <w:rPr>
                <w:rStyle w:val="eop"/>
                <w:rFonts w:asciiTheme="majorBidi" w:eastAsiaTheme="majorEastAsia" w:hAnsiTheme="majorBidi" w:cstheme="majorBidi"/>
                <w:sz w:val="20"/>
                <w:szCs w:val="20"/>
              </w:rPr>
              <w:t> </w:t>
            </w:r>
          </w:p>
        </w:tc>
        <w:tc>
          <w:tcPr>
            <w:tcW w:w="932" w:type="dxa"/>
            <w:tcBorders>
              <w:top w:val="single" w:sz="6" w:space="0" w:color="auto"/>
              <w:left w:val="single" w:sz="6" w:space="0" w:color="auto"/>
              <w:bottom w:val="single" w:sz="6" w:space="0" w:color="auto"/>
              <w:right w:val="single" w:sz="6" w:space="0" w:color="auto"/>
            </w:tcBorders>
            <w:hideMark/>
          </w:tcPr>
          <w:p w14:paraId="0BD1C150"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899" w:type="dxa"/>
            <w:tcBorders>
              <w:top w:val="single" w:sz="6" w:space="0" w:color="auto"/>
              <w:left w:val="single" w:sz="6" w:space="0" w:color="auto"/>
              <w:bottom w:val="single" w:sz="6" w:space="0" w:color="auto"/>
              <w:right w:val="single" w:sz="6" w:space="0" w:color="auto"/>
            </w:tcBorders>
            <w:hideMark/>
          </w:tcPr>
          <w:p w14:paraId="08F1C320"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065" w:type="dxa"/>
            <w:tcBorders>
              <w:top w:val="single" w:sz="6" w:space="0" w:color="auto"/>
              <w:left w:val="single" w:sz="6" w:space="0" w:color="auto"/>
              <w:bottom w:val="single" w:sz="6" w:space="0" w:color="auto"/>
              <w:right w:val="single" w:sz="6" w:space="0" w:color="auto"/>
            </w:tcBorders>
            <w:hideMark/>
          </w:tcPr>
          <w:p w14:paraId="3DD76AC8"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215" w:type="dxa"/>
            <w:tcBorders>
              <w:top w:val="single" w:sz="6" w:space="0" w:color="auto"/>
              <w:left w:val="single" w:sz="6" w:space="0" w:color="auto"/>
              <w:bottom w:val="single" w:sz="6" w:space="0" w:color="auto"/>
              <w:right w:val="single" w:sz="6" w:space="0" w:color="auto"/>
            </w:tcBorders>
            <w:hideMark/>
          </w:tcPr>
          <w:p w14:paraId="0C28516D"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01C8831D"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035" w:type="dxa"/>
            <w:tcBorders>
              <w:top w:val="single" w:sz="6" w:space="0" w:color="auto"/>
              <w:left w:val="single" w:sz="6" w:space="0" w:color="auto"/>
              <w:bottom w:val="single" w:sz="6" w:space="0" w:color="auto"/>
              <w:right w:val="single" w:sz="6" w:space="0" w:color="auto"/>
            </w:tcBorders>
            <w:hideMark/>
          </w:tcPr>
          <w:p w14:paraId="045AB213"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780" w:type="dxa"/>
            <w:tcBorders>
              <w:top w:val="single" w:sz="6" w:space="0" w:color="auto"/>
              <w:left w:val="single" w:sz="6" w:space="0" w:color="auto"/>
              <w:bottom w:val="single" w:sz="6" w:space="0" w:color="auto"/>
              <w:right w:val="single" w:sz="6" w:space="0" w:color="auto"/>
            </w:tcBorders>
            <w:hideMark/>
          </w:tcPr>
          <w:p w14:paraId="266E41C5"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r>
      <w:tr w:rsidR="00874D55" w:rsidRPr="00C61E49" w14:paraId="04486123" w14:textId="77777777" w:rsidTr="007E1F72">
        <w:trPr>
          <w:trHeight w:val="300"/>
        </w:trPr>
        <w:tc>
          <w:tcPr>
            <w:tcW w:w="1526" w:type="dxa"/>
            <w:tcBorders>
              <w:top w:val="single" w:sz="6" w:space="0" w:color="auto"/>
              <w:left w:val="single" w:sz="6" w:space="0" w:color="auto"/>
              <w:bottom w:val="single" w:sz="6" w:space="0" w:color="auto"/>
              <w:right w:val="single" w:sz="6" w:space="0" w:color="auto"/>
            </w:tcBorders>
            <w:hideMark/>
          </w:tcPr>
          <w:p w14:paraId="5522D7BC"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   Additions to extent</w:t>
            </w:r>
            <w:r w:rsidRPr="00B3383B">
              <w:rPr>
                <w:rStyle w:val="eop"/>
                <w:rFonts w:asciiTheme="majorBidi" w:eastAsiaTheme="majorEastAsia" w:hAnsiTheme="majorBidi" w:cstheme="majorBidi"/>
                <w:sz w:val="20"/>
                <w:szCs w:val="20"/>
              </w:rPr>
              <w:t> </w:t>
            </w:r>
          </w:p>
        </w:tc>
        <w:tc>
          <w:tcPr>
            <w:tcW w:w="932" w:type="dxa"/>
            <w:tcBorders>
              <w:top w:val="single" w:sz="6" w:space="0" w:color="auto"/>
              <w:left w:val="single" w:sz="6" w:space="0" w:color="auto"/>
              <w:bottom w:val="single" w:sz="6" w:space="0" w:color="auto"/>
              <w:right w:val="single" w:sz="6" w:space="0" w:color="auto"/>
            </w:tcBorders>
            <w:hideMark/>
          </w:tcPr>
          <w:p w14:paraId="34BB3D9C"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899" w:type="dxa"/>
            <w:tcBorders>
              <w:top w:val="single" w:sz="6" w:space="0" w:color="auto"/>
              <w:left w:val="single" w:sz="6" w:space="0" w:color="auto"/>
              <w:bottom w:val="single" w:sz="6" w:space="0" w:color="auto"/>
              <w:right w:val="single" w:sz="6" w:space="0" w:color="auto"/>
            </w:tcBorders>
            <w:hideMark/>
          </w:tcPr>
          <w:p w14:paraId="0E375C3F"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065" w:type="dxa"/>
            <w:tcBorders>
              <w:top w:val="single" w:sz="6" w:space="0" w:color="auto"/>
              <w:left w:val="single" w:sz="6" w:space="0" w:color="auto"/>
              <w:bottom w:val="single" w:sz="6" w:space="0" w:color="auto"/>
              <w:right w:val="single" w:sz="6" w:space="0" w:color="auto"/>
            </w:tcBorders>
            <w:hideMark/>
          </w:tcPr>
          <w:p w14:paraId="7CDA96CE"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215" w:type="dxa"/>
            <w:tcBorders>
              <w:top w:val="single" w:sz="6" w:space="0" w:color="auto"/>
              <w:left w:val="single" w:sz="6" w:space="0" w:color="auto"/>
              <w:bottom w:val="single" w:sz="6" w:space="0" w:color="auto"/>
              <w:right w:val="single" w:sz="6" w:space="0" w:color="auto"/>
            </w:tcBorders>
            <w:hideMark/>
          </w:tcPr>
          <w:p w14:paraId="68D84655"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4C0F217D"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035" w:type="dxa"/>
            <w:tcBorders>
              <w:top w:val="single" w:sz="6" w:space="0" w:color="auto"/>
              <w:left w:val="single" w:sz="6" w:space="0" w:color="auto"/>
              <w:bottom w:val="single" w:sz="6" w:space="0" w:color="auto"/>
              <w:right w:val="single" w:sz="6" w:space="0" w:color="auto"/>
            </w:tcBorders>
            <w:hideMark/>
          </w:tcPr>
          <w:p w14:paraId="7B84A6DA"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780" w:type="dxa"/>
            <w:tcBorders>
              <w:top w:val="single" w:sz="6" w:space="0" w:color="auto"/>
              <w:left w:val="single" w:sz="6" w:space="0" w:color="auto"/>
              <w:bottom w:val="single" w:sz="6" w:space="0" w:color="auto"/>
              <w:right w:val="single" w:sz="6" w:space="0" w:color="auto"/>
            </w:tcBorders>
            <w:hideMark/>
          </w:tcPr>
          <w:p w14:paraId="2B01EF5C"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r>
      <w:tr w:rsidR="00874D55" w:rsidRPr="00C61E49" w14:paraId="723DCB92" w14:textId="77777777" w:rsidTr="007E1F72">
        <w:trPr>
          <w:trHeight w:val="300"/>
        </w:trPr>
        <w:tc>
          <w:tcPr>
            <w:tcW w:w="1526" w:type="dxa"/>
            <w:tcBorders>
              <w:top w:val="single" w:sz="6" w:space="0" w:color="auto"/>
              <w:left w:val="single" w:sz="6" w:space="0" w:color="auto"/>
              <w:bottom w:val="single" w:sz="6" w:space="0" w:color="auto"/>
              <w:right w:val="single" w:sz="6" w:space="0" w:color="auto"/>
            </w:tcBorders>
            <w:hideMark/>
          </w:tcPr>
          <w:p w14:paraId="67C31E7B"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   Reduction to extent</w:t>
            </w:r>
            <w:r w:rsidRPr="00B3383B">
              <w:rPr>
                <w:rStyle w:val="eop"/>
                <w:rFonts w:asciiTheme="majorBidi" w:eastAsiaTheme="majorEastAsia" w:hAnsiTheme="majorBidi" w:cstheme="majorBidi"/>
                <w:sz w:val="20"/>
                <w:szCs w:val="20"/>
              </w:rPr>
              <w:t> </w:t>
            </w:r>
          </w:p>
        </w:tc>
        <w:tc>
          <w:tcPr>
            <w:tcW w:w="932" w:type="dxa"/>
            <w:tcBorders>
              <w:top w:val="single" w:sz="6" w:space="0" w:color="auto"/>
              <w:left w:val="single" w:sz="6" w:space="0" w:color="auto"/>
              <w:bottom w:val="single" w:sz="6" w:space="0" w:color="auto"/>
              <w:right w:val="single" w:sz="6" w:space="0" w:color="auto"/>
            </w:tcBorders>
            <w:hideMark/>
          </w:tcPr>
          <w:p w14:paraId="43753950"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899" w:type="dxa"/>
            <w:tcBorders>
              <w:top w:val="single" w:sz="6" w:space="0" w:color="auto"/>
              <w:left w:val="single" w:sz="6" w:space="0" w:color="auto"/>
              <w:bottom w:val="single" w:sz="6" w:space="0" w:color="auto"/>
              <w:right w:val="single" w:sz="6" w:space="0" w:color="auto"/>
            </w:tcBorders>
            <w:hideMark/>
          </w:tcPr>
          <w:p w14:paraId="032489BC"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065" w:type="dxa"/>
            <w:tcBorders>
              <w:top w:val="single" w:sz="6" w:space="0" w:color="auto"/>
              <w:left w:val="single" w:sz="6" w:space="0" w:color="auto"/>
              <w:bottom w:val="single" w:sz="6" w:space="0" w:color="auto"/>
              <w:right w:val="single" w:sz="6" w:space="0" w:color="auto"/>
            </w:tcBorders>
            <w:hideMark/>
          </w:tcPr>
          <w:p w14:paraId="2BC49258"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215" w:type="dxa"/>
            <w:tcBorders>
              <w:top w:val="single" w:sz="6" w:space="0" w:color="auto"/>
              <w:left w:val="single" w:sz="6" w:space="0" w:color="auto"/>
              <w:bottom w:val="single" w:sz="6" w:space="0" w:color="auto"/>
              <w:right w:val="single" w:sz="6" w:space="0" w:color="auto"/>
            </w:tcBorders>
            <w:hideMark/>
          </w:tcPr>
          <w:p w14:paraId="2F2EF16B"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36F0703C"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035" w:type="dxa"/>
            <w:tcBorders>
              <w:top w:val="single" w:sz="6" w:space="0" w:color="auto"/>
              <w:left w:val="single" w:sz="6" w:space="0" w:color="auto"/>
              <w:bottom w:val="single" w:sz="6" w:space="0" w:color="auto"/>
              <w:right w:val="single" w:sz="6" w:space="0" w:color="auto"/>
            </w:tcBorders>
            <w:hideMark/>
          </w:tcPr>
          <w:p w14:paraId="410E89E2"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780" w:type="dxa"/>
            <w:tcBorders>
              <w:top w:val="single" w:sz="6" w:space="0" w:color="auto"/>
              <w:left w:val="single" w:sz="6" w:space="0" w:color="auto"/>
              <w:bottom w:val="single" w:sz="6" w:space="0" w:color="auto"/>
              <w:right w:val="single" w:sz="6" w:space="0" w:color="auto"/>
            </w:tcBorders>
            <w:hideMark/>
          </w:tcPr>
          <w:p w14:paraId="65CC8601"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r>
      <w:tr w:rsidR="00874D55" w:rsidRPr="00C61E49" w14:paraId="39DE222A" w14:textId="77777777" w:rsidTr="007E1F72">
        <w:trPr>
          <w:trHeight w:val="300"/>
        </w:trPr>
        <w:tc>
          <w:tcPr>
            <w:tcW w:w="1526" w:type="dxa"/>
            <w:tcBorders>
              <w:top w:val="single" w:sz="6" w:space="0" w:color="auto"/>
              <w:left w:val="single" w:sz="6" w:space="0" w:color="auto"/>
              <w:bottom w:val="single" w:sz="6" w:space="0" w:color="auto"/>
              <w:right w:val="single" w:sz="6" w:space="0" w:color="auto"/>
            </w:tcBorders>
          </w:tcPr>
          <w:p w14:paraId="47B79FDE" w14:textId="77777777" w:rsidR="00874D55" w:rsidRPr="00B3383B" w:rsidRDefault="00874D55" w:rsidP="007E1F72">
            <w:pPr>
              <w:pStyle w:val="paragraph"/>
              <w:spacing w:before="0" w:beforeAutospacing="0" w:after="0" w:afterAutospacing="0"/>
              <w:textAlignment w:val="baseline"/>
              <w:rPr>
                <w:rStyle w:val="normaltextrun"/>
                <w:rFonts w:asciiTheme="majorBidi" w:eastAsiaTheme="majorEastAsia" w:hAnsiTheme="majorBidi" w:cstheme="majorBidi"/>
                <w:sz w:val="20"/>
                <w:szCs w:val="20"/>
                <w:lang w:val="en-GB"/>
              </w:rPr>
            </w:pPr>
            <w:r>
              <w:rPr>
                <w:rStyle w:val="normaltextrun"/>
                <w:rFonts w:asciiTheme="majorBidi" w:eastAsiaTheme="majorEastAsia" w:hAnsiTheme="majorBidi" w:cstheme="majorBidi"/>
                <w:sz w:val="20"/>
                <w:szCs w:val="20"/>
                <w:lang w:val="en-GB"/>
              </w:rPr>
              <w:t>Net change in extent</w:t>
            </w:r>
          </w:p>
        </w:tc>
        <w:tc>
          <w:tcPr>
            <w:tcW w:w="932" w:type="dxa"/>
            <w:tcBorders>
              <w:top w:val="single" w:sz="6" w:space="0" w:color="auto"/>
              <w:left w:val="single" w:sz="6" w:space="0" w:color="auto"/>
              <w:bottom w:val="single" w:sz="6" w:space="0" w:color="auto"/>
              <w:right w:val="single" w:sz="6" w:space="0" w:color="auto"/>
            </w:tcBorders>
          </w:tcPr>
          <w:p w14:paraId="6A7CDCFD" w14:textId="77777777" w:rsidR="00874D55" w:rsidRPr="00B3383B" w:rsidRDefault="00874D55" w:rsidP="007E1F72">
            <w:pPr>
              <w:pStyle w:val="paragraph"/>
              <w:spacing w:before="0" w:beforeAutospacing="0" w:after="0" w:afterAutospacing="0"/>
              <w:textAlignment w:val="baseline"/>
              <w:rPr>
                <w:rStyle w:val="eop"/>
                <w:rFonts w:asciiTheme="majorBidi" w:eastAsiaTheme="majorEastAsia" w:hAnsiTheme="majorBidi" w:cstheme="majorBidi"/>
                <w:sz w:val="20"/>
                <w:szCs w:val="20"/>
              </w:rPr>
            </w:pPr>
          </w:p>
        </w:tc>
        <w:tc>
          <w:tcPr>
            <w:tcW w:w="899" w:type="dxa"/>
            <w:tcBorders>
              <w:top w:val="single" w:sz="6" w:space="0" w:color="auto"/>
              <w:left w:val="single" w:sz="6" w:space="0" w:color="auto"/>
              <w:bottom w:val="single" w:sz="6" w:space="0" w:color="auto"/>
              <w:right w:val="single" w:sz="6" w:space="0" w:color="auto"/>
            </w:tcBorders>
          </w:tcPr>
          <w:p w14:paraId="5336D1D7" w14:textId="77777777" w:rsidR="00874D55" w:rsidRPr="00B3383B" w:rsidRDefault="00874D55" w:rsidP="007E1F72">
            <w:pPr>
              <w:pStyle w:val="paragraph"/>
              <w:spacing w:before="0" w:beforeAutospacing="0" w:after="0" w:afterAutospacing="0"/>
              <w:textAlignment w:val="baseline"/>
              <w:rPr>
                <w:rStyle w:val="eop"/>
                <w:rFonts w:asciiTheme="majorBidi" w:eastAsiaTheme="majorEastAsia" w:hAnsiTheme="majorBidi" w:cstheme="majorBidi"/>
                <w:sz w:val="20"/>
                <w:szCs w:val="20"/>
              </w:rPr>
            </w:pPr>
          </w:p>
        </w:tc>
        <w:tc>
          <w:tcPr>
            <w:tcW w:w="1065" w:type="dxa"/>
            <w:tcBorders>
              <w:top w:val="single" w:sz="6" w:space="0" w:color="auto"/>
              <w:left w:val="single" w:sz="6" w:space="0" w:color="auto"/>
              <w:bottom w:val="single" w:sz="6" w:space="0" w:color="auto"/>
              <w:right w:val="single" w:sz="6" w:space="0" w:color="auto"/>
            </w:tcBorders>
          </w:tcPr>
          <w:p w14:paraId="791D0F93" w14:textId="77777777" w:rsidR="00874D55" w:rsidRPr="00B3383B" w:rsidRDefault="00874D55" w:rsidP="007E1F72">
            <w:pPr>
              <w:pStyle w:val="paragraph"/>
              <w:spacing w:before="0" w:beforeAutospacing="0" w:after="0" w:afterAutospacing="0"/>
              <w:textAlignment w:val="baseline"/>
              <w:rPr>
                <w:rStyle w:val="eop"/>
                <w:rFonts w:asciiTheme="majorBidi" w:eastAsiaTheme="majorEastAsia" w:hAnsiTheme="majorBidi" w:cstheme="majorBidi"/>
                <w:sz w:val="20"/>
                <w:szCs w:val="20"/>
              </w:rPr>
            </w:pPr>
          </w:p>
        </w:tc>
        <w:tc>
          <w:tcPr>
            <w:tcW w:w="1215" w:type="dxa"/>
            <w:tcBorders>
              <w:top w:val="single" w:sz="6" w:space="0" w:color="auto"/>
              <w:left w:val="single" w:sz="6" w:space="0" w:color="auto"/>
              <w:bottom w:val="single" w:sz="6" w:space="0" w:color="auto"/>
              <w:right w:val="single" w:sz="6" w:space="0" w:color="auto"/>
            </w:tcBorders>
          </w:tcPr>
          <w:p w14:paraId="6AEB7EE0" w14:textId="77777777" w:rsidR="00874D55" w:rsidRPr="00B3383B" w:rsidRDefault="00874D55" w:rsidP="007E1F72">
            <w:pPr>
              <w:pStyle w:val="paragraph"/>
              <w:spacing w:before="0" w:beforeAutospacing="0" w:after="0" w:afterAutospacing="0"/>
              <w:textAlignment w:val="baseline"/>
              <w:rPr>
                <w:rStyle w:val="eop"/>
                <w:rFonts w:asciiTheme="majorBidi" w:eastAsiaTheme="majorEastAsia" w:hAnsiTheme="majorBidi" w:cstheme="majorBidi"/>
                <w:sz w:val="20"/>
                <w:szCs w:val="20"/>
              </w:rPr>
            </w:pPr>
          </w:p>
        </w:tc>
        <w:tc>
          <w:tcPr>
            <w:tcW w:w="1125" w:type="dxa"/>
            <w:tcBorders>
              <w:top w:val="single" w:sz="6" w:space="0" w:color="auto"/>
              <w:left w:val="single" w:sz="6" w:space="0" w:color="auto"/>
              <w:bottom w:val="single" w:sz="6" w:space="0" w:color="auto"/>
              <w:right w:val="single" w:sz="6" w:space="0" w:color="auto"/>
            </w:tcBorders>
          </w:tcPr>
          <w:p w14:paraId="676F369B" w14:textId="77777777" w:rsidR="00874D55" w:rsidRPr="00B3383B" w:rsidRDefault="00874D55" w:rsidP="007E1F72">
            <w:pPr>
              <w:pStyle w:val="paragraph"/>
              <w:spacing w:before="0" w:beforeAutospacing="0" w:after="0" w:afterAutospacing="0"/>
              <w:textAlignment w:val="baseline"/>
              <w:rPr>
                <w:rStyle w:val="eop"/>
                <w:rFonts w:asciiTheme="majorBidi" w:eastAsiaTheme="majorEastAsia" w:hAnsiTheme="majorBidi" w:cstheme="majorBidi"/>
                <w:sz w:val="20"/>
                <w:szCs w:val="20"/>
              </w:rPr>
            </w:pPr>
          </w:p>
        </w:tc>
        <w:tc>
          <w:tcPr>
            <w:tcW w:w="1035" w:type="dxa"/>
            <w:tcBorders>
              <w:top w:val="single" w:sz="6" w:space="0" w:color="auto"/>
              <w:left w:val="single" w:sz="6" w:space="0" w:color="auto"/>
              <w:bottom w:val="single" w:sz="6" w:space="0" w:color="auto"/>
              <w:right w:val="single" w:sz="6" w:space="0" w:color="auto"/>
            </w:tcBorders>
          </w:tcPr>
          <w:p w14:paraId="308ED36B" w14:textId="77777777" w:rsidR="00874D55" w:rsidRPr="00B3383B" w:rsidRDefault="00874D55" w:rsidP="007E1F72">
            <w:pPr>
              <w:pStyle w:val="paragraph"/>
              <w:spacing w:before="0" w:beforeAutospacing="0" w:after="0" w:afterAutospacing="0"/>
              <w:textAlignment w:val="baseline"/>
              <w:rPr>
                <w:rStyle w:val="eop"/>
                <w:rFonts w:asciiTheme="majorBidi" w:eastAsiaTheme="majorEastAsia" w:hAnsiTheme="majorBidi" w:cstheme="majorBidi"/>
                <w:sz w:val="20"/>
                <w:szCs w:val="20"/>
              </w:rPr>
            </w:pPr>
          </w:p>
        </w:tc>
        <w:tc>
          <w:tcPr>
            <w:tcW w:w="780" w:type="dxa"/>
            <w:tcBorders>
              <w:top w:val="single" w:sz="6" w:space="0" w:color="auto"/>
              <w:left w:val="single" w:sz="6" w:space="0" w:color="auto"/>
              <w:bottom w:val="single" w:sz="6" w:space="0" w:color="auto"/>
              <w:right w:val="single" w:sz="6" w:space="0" w:color="auto"/>
            </w:tcBorders>
          </w:tcPr>
          <w:p w14:paraId="7251740E" w14:textId="77777777" w:rsidR="00874D55" w:rsidRPr="00B3383B" w:rsidRDefault="00874D55" w:rsidP="007E1F72">
            <w:pPr>
              <w:pStyle w:val="paragraph"/>
              <w:spacing w:before="0" w:beforeAutospacing="0" w:after="0" w:afterAutospacing="0"/>
              <w:textAlignment w:val="baseline"/>
              <w:rPr>
                <w:rStyle w:val="eop"/>
                <w:rFonts w:asciiTheme="majorBidi" w:eastAsiaTheme="majorEastAsia" w:hAnsiTheme="majorBidi" w:cstheme="majorBidi"/>
                <w:sz w:val="20"/>
                <w:szCs w:val="20"/>
              </w:rPr>
            </w:pPr>
          </w:p>
        </w:tc>
      </w:tr>
      <w:tr w:rsidR="00874D55" w:rsidRPr="00C61E49" w14:paraId="5B44D361" w14:textId="77777777" w:rsidTr="007E1F72">
        <w:trPr>
          <w:trHeight w:val="300"/>
        </w:trPr>
        <w:tc>
          <w:tcPr>
            <w:tcW w:w="1526" w:type="dxa"/>
            <w:tcBorders>
              <w:top w:val="single" w:sz="6" w:space="0" w:color="auto"/>
              <w:left w:val="single" w:sz="6" w:space="0" w:color="auto"/>
              <w:bottom w:val="single" w:sz="6" w:space="0" w:color="auto"/>
              <w:right w:val="single" w:sz="6" w:space="0" w:color="auto"/>
            </w:tcBorders>
            <w:hideMark/>
          </w:tcPr>
          <w:p w14:paraId="19D18073"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normaltextrun"/>
                <w:rFonts w:asciiTheme="majorBidi" w:eastAsiaTheme="majorEastAsia" w:hAnsiTheme="majorBidi" w:cstheme="majorBidi"/>
                <w:sz w:val="20"/>
                <w:szCs w:val="20"/>
                <w:lang w:val="en-GB"/>
              </w:rPr>
              <w:t>Closing extent</w:t>
            </w:r>
            <w:r w:rsidRPr="00B3383B">
              <w:rPr>
                <w:rStyle w:val="eop"/>
                <w:rFonts w:asciiTheme="majorBidi" w:eastAsiaTheme="majorEastAsia" w:hAnsiTheme="majorBidi" w:cstheme="majorBidi"/>
                <w:sz w:val="20"/>
                <w:szCs w:val="20"/>
              </w:rPr>
              <w:t> </w:t>
            </w:r>
          </w:p>
        </w:tc>
        <w:tc>
          <w:tcPr>
            <w:tcW w:w="932" w:type="dxa"/>
            <w:tcBorders>
              <w:top w:val="single" w:sz="6" w:space="0" w:color="auto"/>
              <w:left w:val="single" w:sz="6" w:space="0" w:color="auto"/>
              <w:bottom w:val="single" w:sz="6" w:space="0" w:color="auto"/>
              <w:right w:val="single" w:sz="6" w:space="0" w:color="auto"/>
            </w:tcBorders>
            <w:hideMark/>
          </w:tcPr>
          <w:p w14:paraId="1539716E"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899" w:type="dxa"/>
            <w:tcBorders>
              <w:top w:val="single" w:sz="6" w:space="0" w:color="auto"/>
              <w:left w:val="single" w:sz="6" w:space="0" w:color="auto"/>
              <w:bottom w:val="single" w:sz="6" w:space="0" w:color="auto"/>
              <w:right w:val="single" w:sz="6" w:space="0" w:color="auto"/>
            </w:tcBorders>
            <w:hideMark/>
          </w:tcPr>
          <w:p w14:paraId="57C13E89"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065" w:type="dxa"/>
            <w:tcBorders>
              <w:top w:val="single" w:sz="6" w:space="0" w:color="auto"/>
              <w:left w:val="single" w:sz="6" w:space="0" w:color="auto"/>
              <w:bottom w:val="single" w:sz="6" w:space="0" w:color="auto"/>
              <w:right w:val="single" w:sz="6" w:space="0" w:color="auto"/>
            </w:tcBorders>
            <w:hideMark/>
          </w:tcPr>
          <w:p w14:paraId="2B88E2BD"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215" w:type="dxa"/>
            <w:tcBorders>
              <w:top w:val="single" w:sz="6" w:space="0" w:color="auto"/>
              <w:left w:val="single" w:sz="6" w:space="0" w:color="auto"/>
              <w:bottom w:val="single" w:sz="6" w:space="0" w:color="auto"/>
              <w:right w:val="single" w:sz="6" w:space="0" w:color="auto"/>
            </w:tcBorders>
            <w:hideMark/>
          </w:tcPr>
          <w:p w14:paraId="3D6F45C0"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70D3AF76"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1035" w:type="dxa"/>
            <w:tcBorders>
              <w:top w:val="single" w:sz="6" w:space="0" w:color="auto"/>
              <w:left w:val="single" w:sz="6" w:space="0" w:color="auto"/>
              <w:bottom w:val="single" w:sz="6" w:space="0" w:color="auto"/>
              <w:right w:val="single" w:sz="6" w:space="0" w:color="auto"/>
            </w:tcBorders>
            <w:hideMark/>
          </w:tcPr>
          <w:p w14:paraId="03FF4479"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c>
          <w:tcPr>
            <w:tcW w:w="780" w:type="dxa"/>
            <w:tcBorders>
              <w:top w:val="single" w:sz="6" w:space="0" w:color="auto"/>
              <w:left w:val="single" w:sz="6" w:space="0" w:color="auto"/>
              <w:bottom w:val="single" w:sz="6" w:space="0" w:color="auto"/>
              <w:right w:val="single" w:sz="6" w:space="0" w:color="auto"/>
            </w:tcBorders>
            <w:hideMark/>
          </w:tcPr>
          <w:p w14:paraId="72F27A25" w14:textId="77777777" w:rsidR="00874D55" w:rsidRPr="00B3383B" w:rsidRDefault="00874D55" w:rsidP="007E1F72">
            <w:pPr>
              <w:pStyle w:val="paragraph"/>
              <w:spacing w:before="0" w:beforeAutospacing="0" w:after="0" w:afterAutospacing="0"/>
              <w:textAlignment w:val="baseline"/>
              <w:rPr>
                <w:rFonts w:asciiTheme="majorBidi" w:hAnsiTheme="majorBidi" w:cstheme="majorBidi"/>
                <w:sz w:val="20"/>
                <w:szCs w:val="20"/>
              </w:rPr>
            </w:pPr>
            <w:r w:rsidRPr="00B3383B">
              <w:rPr>
                <w:rStyle w:val="eop"/>
                <w:rFonts w:asciiTheme="majorBidi" w:eastAsiaTheme="majorEastAsia" w:hAnsiTheme="majorBidi" w:cstheme="majorBidi"/>
                <w:sz w:val="20"/>
                <w:szCs w:val="20"/>
              </w:rPr>
              <w:t> </w:t>
            </w:r>
          </w:p>
        </w:tc>
      </w:tr>
    </w:tbl>
    <w:p w14:paraId="7A6E067A" w14:textId="77777777" w:rsidR="00874D55" w:rsidRPr="00ED7E61" w:rsidRDefault="00874D55" w:rsidP="00874D55">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Source: Adapted from SEEA Ecosystem Accounting, Table 2.2.</w:t>
      </w:r>
      <w:r w:rsidRPr="00ED7E61">
        <w:rPr>
          <w:rStyle w:val="eop"/>
          <w:rFonts w:asciiTheme="majorBidi" w:eastAsiaTheme="majorEastAsia" w:hAnsiTheme="majorBidi" w:cstheme="majorBidi"/>
          <w:sz w:val="22"/>
          <w:szCs w:val="22"/>
        </w:rPr>
        <w:t> </w:t>
      </w:r>
    </w:p>
    <w:p w14:paraId="69FB7925" w14:textId="77777777"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that have their own national classification system and maps for ecosystems should use that classification and spatial data for the compilation of extent accounts. The accounts can be compiled in as much detail as needed at the national level, for example at a level equivalent to Levels 5 or 6 of the GET (</w:t>
      </w:r>
      <w:r w:rsidRPr="00B3383B">
        <w:rPr>
          <w:rStyle w:val="normaltextrun"/>
        </w:rPr>
        <w:t>these</w:t>
      </w:r>
      <w:r w:rsidRPr="00ED7E61">
        <w:rPr>
          <w:rStyle w:val="normaltextrun"/>
          <w:rFonts w:asciiTheme="majorBidi" w:eastAsiaTheme="majorEastAsia" w:hAnsiTheme="majorBidi" w:cstheme="majorBidi"/>
        </w:rPr>
        <w:t xml:space="preserve"> levels are intended to be developed bottom-up, from the national or local level). </w:t>
      </w:r>
      <w:r w:rsidRPr="00ED7E61">
        <w:rPr>
          <w:rStyle w:val="normaltextrun"/>
        </w:rPr>
        <w:t> </w:t>
      </w:r>
    </w:p>
    <w:p w14:paraId="6F635FF9" w14:textId="13FFCDD4" w:rsidR="00874D55" w:rsidRPr="00812871" w:rsidRDefault="00874D55" w:rsidP="00812871">
      <w:pPr>
        <w:pStyle w:val="CBDNormalNumber"/>
        <w:numPr>
          <w:ilvl w:val="0"/>
          <w:numId w:val="45"/>
        </w:numPr>
        <w:rPr>
          <w:rStyle w:val="normaltextrun"/>
          <w:rFonts w:eastAsiaTheme="majorEastAsia"/>
        </w:rPr>
      </w:pPr>
      <w:r w:rsidRPr="00812871">
        <w:rPr>
          <w:rStyle w:val="normaltextrun"/>
          <w:rFonts w:asciiTheme="majorBidi" w:eastAsiaTheme="majorEastAsia" w:hAnsiTheme="majorBidi" w:cstheme="majorBidi"/>
        </w:rPr>
        <w:t xml:space="preserve">In such cases, cross reference of this national classification system with IUCN GET Level 3 (EFGs) should be developed to facilitate consistency and comparison across countries. Each national ecosystem type should be cross-referenced to one or more EFGs with similar characteristics based on the descriptions of the </w:t>
      </w:r>
      <w:proofErr w:type="gramStart"/>
      <w:r w:rsidRPr="00812871">
        <w:rPr>
          <w:rStyle w:val="normaltextrun"/>
          <w:rFonts w:asciiTheme="majorBidi" w:eastAsiaTheme="majorEastAsia" w:hAnsiTheme="majorBidi" w:cstheme="majorBidi"/>
        </w:rPr>
        <w:t xml:space="preserve">EFGs  </w:t>
      </w:r>
      <w:r w:rsidRPr="00812871">
        <w:rPr>
          <w:rStyle w:val="normaltextrun"/>
        </w:rPr>
        <w:t>and</w:t>
      </w:r>
      <w:proofErr w:type="gramEnd"/>
      <w:r w:rsidRPr="00812871">
        <w:rPr>
          <w:rStyle w:val="normaltextrun"/>
        </w:rPr>
        <w:t xml:space="preserve"> other relevant information. See the IUCN’s standards, methods and guidelines for cross-referencing ecosystem classifications and maps to the IUCN Global Ecosystem Typology (IUCN, 2025).  </w:t>
      </w:r>
    </w:p>
    <w:p w14:paraId="5265C400" w14:textId="100AE4E7" w:rsidR="00874D55" w:rsidRPr="00C03541" w:rsidRDefault="00874D55" w:rsidP="00874D55">
      <w:pPr>
        <w:pStyle w:val="CBDNormalNumber"/>
        <w:numPr>
          <w:ilvl w:val="0"/>
          <w:numId w:val="45"/>
        </w:numPr>
        <w:rPr>
          <w:rStyle w:val="eop"/>
          <w:rFonts w:asciiTheme="majorBidi" w:eastAsiaTheme="majorEastAsia" w:hAnsiTheme="majorBidi" w:cstheme="majorBidi"/>
        </w:rPr>
      </w:pPr>
      <w:r w:rsidRPr="00812871">
        <w:rPr>
          <w:rStyle w:val="normaltextrun"/>
          <w:rFonts w:asciiTheme="majorBidi" w:eastAsiaTheme="majorEastAsia" w:hAnsiTheme="majorBidi" w:cstheme="majorBidi"/>
        </w:rPr>
        <w:t> </w:t>
      </w:r>
      <w:r w:rsidRPr="00812871">
        <w:rPr>
          <w:rStyle w:val="normaltextrun"/>
        </w:rPr>
        <w:t> </w:t>
      </w:r>
      <w:r w:rsidRPr="00C03541">
        <w:rPr>
          <w:rStyle w:val="normaltextrun"/>
          <w:rFonts w:asciiTheme="majorBidi" w:eastAsiaTheme="majorEastAsia" w:hAnsiTheme="majorBidi" w:cstheme="majorBidi"/>
          <w:lang w:val="en-NZ"/>
        </w:rPr>
        <w:t xml:space="preserve"> It is important to note that the cross-referencing from national ecosystem types to EFGs is a conceptual cross-reference not a spatial </w:t>
      </w:r>
      <w:proofErr w:type="gramStart"/>
      <w:r w:rsidRPr="00C03541">
        <w:rPr>
          <w:rStyle w:val="normaltextrun"/>
          <w:rFonts w:asciiTheme="majorBidi" w:eastAsiaTheme="majorEastAsia" w:hAnsiTheme="majorBidi" w:cstheme="majorBidi"/>
          <w:lang w:val="en-NZ"/>
        </w:rPr>
        <w:t>cross-walk</w:t>
      </w:r>
      <w:proofErr w:type="gramEnd"/>
      <w:r w:rsidRPr="00C03541">
        <w:rPr>
          <w:rStyle w:val="normaltextrun"/>
          <w:rFonts w:asciiTheme="majorBidi" w:eastAsiaTheme="majorEastAsia" w:hAnsiTheme="majorBidi" w:cstheme="majorBidi"/>
          <w:lang w:val="en-NZ"/>
        </w:rPr>
        <w:t xml:space="preserve">. Countries should use their own spatial data on </w:t>
      </w:r>
      <w:r w:rsidRPr="00C03541">
        <w:rPr>
          <w:rStyle w:val="normaltextrun"/>
          <w:rFonts w:asciiTheme="majorBidi" w:eastAsiaTheme="majorEastAsia" w:hAnsiTheme="majorBidi" w:cstheme="majorBidi"/>
          <w:lang w:val="en-NZ"/>
        </w:rPr>
        <w:lastRenderedPageBreak/>
        <w:t>the distribution of ecosystem types (cross-walked to EFGs) for compiling the extent account, not, for example, the indicative spatial data on distribution of EFGs that is available on the GET website.</w:t>
      </w:r>
      <w:r w:rsidRPr="00C03541">
        <w:rPr>
          <w:rStyle w:val="eop"/>
          <w:rFonts w:asciiTheme="majorBidi" w:eastAsiaTheme="majorEastAsia" w:hAnsiTheme="majorBidi" w:cstheme="majorBidi"/>
        </w:rPr>
        <w:t> </w:t>
      </w:r>
    </w:p>
    <w:p w14:paraId="251D073F" w14:textId="77777777" w:rsidR="00874D55" w:rsidRPr="00392B1D" w:rsidRDefault="00874D55" w:rsidP="00874D55">
      <w:pPr>
        <w:numPr>
          <w:ilvl w:val="0"/>
          <w:numId w:val="45"/>
        </w:numPr>
        <w:tabs>
          <w:tab w:val="left" w:pos="567"/>
          <w:tab w:val="left" w:pos="1134"/>
          <w:tab w:val="left" w:pos="1701"/>
          <w:tab w:val="left" w:pos="2268"/>
          <w:tab w:val="left" w:pos="2835"/>
          <w:tab w:val="left" w:pos="3402"/>
          <w:tab w:val="left" w:pos="3969"/>
        </w:tabs>
        <w:spacing w:before="120" w:after="120"/>
        <w:jc w:val="both"/>
        <w:rPr>
          <w:rFonts w:asciiTheme="majorBidi" w:eastAsiaTheme="majorEastAsia" w:hAnsiTheme="majorBidi" w:cstheme="majorBidi"/>
        </w:rPr>
      </w:pPr>
      <w:r>
        <w:rPr>
          <w:rFonts w:asciiTheme="majorBidi" w:eastAsiaTheme="majorEastAsia" w:hAnsiTheme="majorBidi" w:cstheme="majorBidi"/>
        </w:rPr>
        <w:t xml:space="preserve">If no national ecosystem extent accounts exist yet, other sources of information on ecosystem extent may support reporting on Indicator A.2. These include using extent estimates from national ecosystem maps directly, or from Red List of Ecosystem assessments used in Indicator A.1 (which are typically underpinned by data on ecosystem extent and changes in extent). However, ecosystem accounts provide a consistent structure for estimating </w:t>
      </w:r>
      <w:proofErr w:type="gramStart"/>
      <w:r>
        <w:rPr>
          <w:rFonts w:asciiTheme="majorBidi" w:eastAsiaTheme="majorEastAsia" w:hAnsiTheme="majorBidi" w:cstheme="majorBidi"/>
        </w:rPr>
        <w:t>extent, and</w:t>
      </w:r>
      <w:proofErr w:type="gramEnd"/>
      <w:r>
        <w:rPr>
          <w:rFonts w:asciiTheme="majorBidi" w:eastAsiaTheme="majorEastAsia" w:hAnsiTheme="majorBidi" w:cstheme="majorBidi"/>
        </w:rPr>
        <w:t xml:space="preserve"> thus are recommended for calculating Indicator A.2. </w:t>
      </w:r>
    </w:p>
    <w:p w14:paraId="65ABCE28" w14:textId="77777777" w:rsidR="00874D55" w:rsidRPr="00AC3964" w:rsidRDefault="00874D55" w:rsidP="00874D55">
      <w:pPr>
        <w:numPr>
          <w:ilvl w:val="0"/>
          <w:numId w:val="45"/>
        </w:numPr>
        <w:tabs>
          <w:tab w:val="left" w:pos="567"/>
          <w:tab w:val="left" w:pos="1134"/>
          <w:tab w:val="left" w:pos="1701"/>
          <w:tab w:val="left" w:pos="2268"/>
          <w:tab w:val="left" w:pos="2835"/>
          <w:tab w:val="left" w:pos="3402"/>
          <w:tab w:val="left" w:pos="3969"/>
        </w:tabs>
        <w:spacing w:before="120" w:after="120"/>
        <w:jc w:val="both"/>
        <w:rPr>
          <w:rFonts w:asciiTheme="majorBidi" w:eastAsiaTheme="majorEastAsia" w:hAnsiTheme="majorBidi" w:cstheme="majorBidi"/>
        </w:rPr>
      </w:pPr>
      <w:r w:rsidRPr="00ED7E61">
        <w:rPr>
          <w:rStyle w:val="normaltextrun"/>
          <w:rFonts w:asciiTheme="majorBidi" w:eastAsiaTheme="majorEastAsia" w:hAnsiTheme="majorBidi" w:cstheme="majorBidi"/>
          <w:lang w:val="en-NZ"/>
        </w:rPr>
        <w:t xml:space="preserve">When no </w:t>
      </w:r>
      <w:r w:rsidRPr="00B3383B">
        <w:rPr>
          <w:rStyle w:val="normaltextrun"/>
        </w:rPr>
        <w:t>existing</w:t>
      </w:r>
      <w:r w:rsidRPr="00ED7E61">
        <w:rPr>
          <w:rStyle w:val="normaltextrun"/>
          <w:rFonts w:asciiTheme="majorBidi" w:eastAsiaTheme="majorEastAsia" w:hAnsiTheme="majorBidi" w:cstheme="majorBidi"/>
          <w:lang w:val="en-NZ"/>
        </w:rPr>
        <w:t xml:space="preserve"> national classification and/or map of ecosystem types is available, or deemed suitable for reporting, a country could opt to use global data or tools to compile extent accounts.</w:t>
      </w:r>
      <w:r w:rsidRPr="00ED7E61">
        <w:rPr>
          <w:rStyle w:val="eop"/>
          <w:rFonts w:asciiTheme="majorBidi" w:eastAsiaTheme="majorEastAsia" w:hAnsiTheme="majorBidi" w:cstheme="majorBidi"/>
        </w:rPr>
        <w:t> </w:t>
      </w:r>
      <w:r>
        <w:rPr>
          <w:rFonts w:asciiTheme="majorBidi" w:eastAsiaTheme="majorEastAsia" w:hAnsiTheme="majorBidi" w:cstheme="majorBidi"/>
        </w:rPr>
        <w:t>The compilation guidelines for Indicator A.2 provide further guidance on key national datasets required for the indicator as well as using global datasets as an interim option if national datasets are absent or only partially developed.</w:t>
      </w:r>
    </w:p>
    <w:p w14:paraId="0B10BF4F" w14:textId="4205106A" w:rsidR="00874D55" w:rsidRPr="00AC3964" w:rsidRDefault="00874D55" w:rsidP="00874D55">
      <w:pPr>
        <w:numPr>
          <w:ilvl w:val="0"/>
          <w:numId w:val="45"/>
        </w:numPr>
        <w:tabs>
          <w:tab w:val="left" w:pos="567"/>
          <w:tab w:val="left" w:pos="1134"/>
          <w:tab w:val="left" w:pos="1701"/>
          <w:tab w:val="left" w:pos="2268"/>
          <w:tab w:val="left" w:pos="2835"/>
          <w:tab w:val="left" w:pos="3402"/>
          <w:tab w:val="left" w:pos="3969"/>
        </w:tabs>
        <w:spacing w:before="120" w:after="120"/>
        <w:jc w:val="both"/>
        <w:rPr>
          <w:rFonts w:asciiTheme="majorBidi" w:eastAsia="SimSun" w:hAnsiTheme="majorBidi" w:cstheme="majorBidi"/>
        </w:rPr>
      </w:pPr>
      <w:r w:rsidRPr="00ED7E61">
        <w:rPr>
          <w:rStyle w:val="normaltextrun"/>
          <w:rFonts w:asciiTheme="majorBidi" w:eastAsiaTheme="majorEastAsia" w:hAnsiTheme="majorBidi" w:cstheme="majorBidi"/>
        </w:rPr>
        <w:t xml:space="preserve">Once </w:t>
      </w:r>
      <w:r w:rsidRPr="00B3383B">
        <w:rPr>
          <w:rStyle w:val="normaltextrun"/>
        </w:rPr>
        <w:t>national</w:t>
      </w:r>
      <w:r w:rsidRPr="00ED7E61">
        <w:rPr>
          <w:rStyle w:val="normaltextrun"/>
          <w:rFonts w:asciiTheme="majorBidi" w:eastAsiaTheme="majorEastAsia" w:hAnsiTheme="majorBidi" w:cstheme="majorBidi"/>
        </w:rPr>
        <w:t xml:space="preserve"> ecosystem types have been cross-</w:t>
      </w:r>
      <w:r>
        <w:rPr>
          <w:rStyle w:val="normaltextrun"/>
          <w:rFonts w:asciiTheme="majorBidi" w:eastAsiaTheme="majorEastAsia" w:hAnsiTheme="majorBidi" w:cstheme="majorBidi"/>
        </w:rPr>
        <w:t>referenced</w:t>
      </w:r>
      <w:r w:rsidRPr="00ED7E61">
        <w:rPr>
          <w:rStyle w:val="normaltextrun"/>
          <w:rFonts w:asciiTheme="majorBidi" w:eastAsiaTheme="majorEastAsia" w:hAnsiTheme="majorBidi" w:cstheme="majorBidi"/>
        </w:rPr>
        <w:t xml:space="preserve"> to the EFGs in the GET, the extent account table based on national ecosystem types should be </w:t>
      </w:r>
      <w:r>
        <w:rPr>
          <w:rStyle w:val="normaltextrun"/>
          <w:rFonts w:asciiTheme="majorBidi" w:eastAsiaTheme="majorEastAsia" w:hAnsiTheme="majorBidi" w:cstheme="majorBidi"/>
        </w:rPr>
        <w:t>translated</w:t>
      </w:r>
      <w:r w:rsidRPr="00ED7E61">
        <w:rPr>
          <w:rStyle w:val="normaltextrun"/>
          <w:rFonts w:asciiTheme="majorBidi" w:eastAsiaTheme="majorEastAsia" w:hAnsiTheme="majorBidi" w:cstheme="majorBidi"/>
        </w:rPr>
        <w:t xml:space="preserve"> to an extent account based on GET EFGs. In some </w:t>
      </w:r>
      <w:proofErr w:type="gramStart"/>
      <w:r w:rsidRPr="00ED7E61">
        <w:rPr>
          <w:rStyle w:val="normaltextrun"/>
          <w:rFonts w:asciiTheme="majorBidi" w:eastAsiaTheme="majorEastAsia" w:hAnsiTheme="majorBidi" w:cstheme="majorBidi"/>
        </w:rPr>
        <w:t>cases</w:t>
      </w:r>
      <w:proofErr w:type="gramEnd"/>
      <w:r w:rsidRPr="00ED7E61">
        <w:rPr>
          <w:rStyle w:val="normaltextrun"/>
          <w:rFonts w:asciiTheme="majorBidi" w:eastAsiaTheme="majorEastAsia" w:hAnsiTheme="majorBidi" w:cstheme="majorBidi"/>
        </w:rPr>
        <w:t xml:space="preserve"> this will involve aggregating values for several national ecosystem types that fall within one EFG.</w:t>
      </w:r>
      <w:r w:rsidRPr="00ED7E61">
        <w:rPr>
          <w:rStyle w:val="eop"/>
          <w:rFonts w:asciiTheme="majorBidi" w:eastAsiaTheme="majorEastAsia" w:hAnsiTheme="majorBidi" w:cstheme="majorBidi"/>
        </w:rPr>
        <w:t> </w:t>
      </w:r>
      <w:r>
        <w:rPr>
          <w:rFonts w:asciiTheme="majorBidi" w:eastAsiaTheme="majorEastAsia" w:hAnsiTheme="majorBidi" w:cstheme="majorBidi"/>
        </w:rPr>
        <w:t>The compilation guidelines for Indicator A.2 provide further guidance on translating an extent account based on national ecosystem types to EFGs.</w:t>
      </w:r>
    </w:p>
    <w:p w14:paraId="24B413C1" w14:textId="38DA9F6C" w:rsidR="00874D55" w:rsidRPr="00ED7E61"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rPr>
        <w:t xml:space="preserve">The </w:t>
      </w:r>
      <w:r w:rsidRPr="00B3383B">
        <w:rPr>
          <w:rStyle w:val="normaltextrun"/>
        </w:rPr>
        <w:t>indicator</w:t>
      </w:r>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i/>
          <w:iCs/>
        </w:rPr>
        <w:t>extent of natural ecosystems as a proportion of total area”</w:t>
      </w:r>
      <w:r w:rsidRPr="00ED7E61">
        <w:rPr>
          <w:rStyle w:val="normaltextrun"/>
          <w:rFonts w:asciiTheme="majorBidi" w:eastAsiaTheme="majorEastAsia" w:hAnsiTheme="majorBidi" w:cstheme="majorBidi"/>
        </w:rPr>
        <w:t xml:space="preserve">, is then obtained by summing the extent of the EFGs pertaining to natural ecosystems (in </w:t>
      </w:r>
      <w:r w:rsidRPr="00ED7E61">
        <w:rPr>
          <w:rStyle w:val="normaltextrun"/>
          <w:rFonts w:asciiTheme="majorBidi" w:eastAsiaTheme="majorEastAsia" w:hAnsiTheme="majorBidi" w:cstheme="majorBidi"/>
          <w:lang w:val="en-NZ"/>
        </w:rPr>
        <w:t>hectares or square kilometres</w:t>
      </w:r>
      <w:r w:rsidRPr="00ED7E61">
        <w:rPr>
          <w:rStyle w:val="normaltextrun"/>
          <w:rFonts w:asciiTheme="majorBidi" w:eastAsiaTheme="majorEastAsia" w:hAnsiTheme="majorBidi" w:cstheme="majorBidi"/>
        </w:rPr>
        <w:t xml:space="preserve">) and dividing by total area of the country (in the same units). </w:t>
      </w:r>
      <w:r>
        <w:rPr>
          <w:rFonts w:asciiTheme="majorBidi" w:eastAsiaTheme="majorEastAsia" w:hAnsiTheme="majorBidi" w:cstheme="majorBidi"/>
        </w:rPr>
        <w:t>T</w:t>
      </w:r>
      <w:r w:rsidRPr="00A92406">
        <w:rPr>
          <w:rFonts w:asciiTheme="majorBidi" w:eastAsiaTheme="majorEastAsia" w:hAnsiTheme="majorBidi" w:cstheme="majorBidi"/>
        </w:rPr>
        <w:t xml:space="preserve">he denominator for the indicator must be the total area of the country (either total inland area or total marine area, as applicable), not only part of the area. </w:t>
      </w:r>
      <w:r w:rsidRPr="00ED7E61">
        <w:rPr>
          <w:rStyle w:val="normaltextrun"/>
          <w:rFonts w:asciiTheme="majorBidi" w:eastAsiaTheme="majorEastAsia" w:hAnsiTheme="majorBidi" w:cstheme="majorBidi"/>
        </w:rPr>
        <w:t>The final indicator is expressed in percentage terms. </w:t>
      </w:r>
      <w:r w:rsidRPr="00ED7E61">
        <w:rPr>
          <w:rStyle w:val="eop"/>
          <w:rFonts w:asciiTheme="majorBidi" w:eastAsiaTheme="majorEastAsia" w:hAnsiTheme="majorBidi" w:cstheme="majorBidi"/>
        </w:rPr>
        <w:t> </w:t>
      </w:r>
    </w:p>
    <w:p w14:paraId="2B66A948" w14:textId="2A404A34" w:rsidR="00874D55" w:rsidRPr="00ED7E61"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rPr>
        <w:t xml:space="preserve">As noted in Section 4, total area of the country includes land area, inland water area and, where applicable, </w:t>
      </w:r>
      <w:r>
        <w:rPr>
          <w:rStyle w:val="normaltextrun"/>
          <w:rFonts w:asciiTheme="majorBidi" w:eastAsiaTheme="majorEastAsia" w:hAnsiTheme="majorBidi" w:cstheme="majorBidi"/>
        </w:rPr>
        <w:t xml:space="preserve">marine area </w:t>
      </w:r>
      <w:r w:rsidRPr="00ED7E61">
        <w:rPr>
          <w:rStyle w:val="normaltextrun"/>
          <w:rFonts w:asciiTheme="majorBidi" w:eastAsiaTheme="majorEastAsia" w:hAnsiTheme="majorBidi" w:cstheme="majorBidi"/>
        </w:rPr>
        <w:t xml:space="preserve">(to the end of the exclusive economic zone). For countries with marine territory that do not yet have data on the distribution of marine ecosystem types, the indicator can be compiled only for total </w:t>
      </w:r>
      <w:r>
        <w:rPr>
          <w:rStyle w:val="normaltextrun"/>
          <w:rFonts w:asciiTheme="majorBidi" w:eastAsiaTheme="majorEastAsia" w:hAnsiTheme="majorBidi" w:cstheme="majorBidi"/>
        </w:rPr>
        <w:t xml:space="preserve">inland </w:t>
      </w:r>
      <w:r w:rsidRPr="00ED7E61">
        <w:rPr>
          <w:rStyle w:val="normaltextrun"/>
          <w:rFonts w:asciiTheme="majorBidi" w:eastAsiaTheme="majorEastAsia" w:hAnsiTheme="majorBidi" w:cstheme="majorBidi"/>
        </w:rPr>
        <w:t>area and the associated EFGs. Further, because most marine ecosystems are natural or semi-natural, there is a risk that reporting</w:t>
      </w:r>
      <w:r>
        <w:rPr>
          <w:rStyle w:val="normaltextrun"/>
          <w:rFonts w:asciiTheme="majorBidi" w:eastAsiaTheme="majorEastAsia" w:hAnsiTheme="majorBidi" w:cstheme="majorBidi"/>
        </w:rPr>
        <w:t xml:space="preserve"> a single combined</w:t>
      </w:r>
      <w:r w:rsidRPr="00ED7E61">
        <w:rPr>
          <w:rStyle w:val="normaltextrun"/>
          <w:rFonts w:asciiTheme="majorBidi" w:eastAsiaTheme="majorEastAsia" w:hAnsiTheme="majorBidi" w:cstheme="majorBidi"/>
        </w:rPr>
        <w:t xml:space="preserve"> indicator for </w:t>
      </w:r>
      <w:r>
        <w:rPr>
          <w:rStyle w:val="normaltextrun"/>
          <w:rFonts w:asciiTheme="majorBidi" w:eastAsiaTheme="majorEastAsia" w:hAnsiTheme="majorBidi" w:cstheme="majorBidi"/>
        </w:rPr>
        <w:t>in</w:t>
      </w:r>
      <w:r w:rsidRPr="00ED7E61">
        <w:rPr>
          <w:rStyle w:val="normaltextrun"/>
          <w:rFonts w:asciiTheme="majorBidi" w:eastAsiaTheme="majorEastAsia" w:hAnsiTheme="majorBidi" w:cstheme="majorBidi"/>
        </w:rPr>
        <w:t xml:space="preserve">land and marine area </w:t>
      </w:r>
      <w:r>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 xml:space="preserve">ould mask the extent of anthropogenic ecosystems in </w:t>
      </w:r>
      <w:r>
        <w:rPr>
          <w:rStyle w:val="normaltextrun"/>
          <w:rFonts w:asciiTheme="majorBidi" w:eastAsiaTheme="majorEastAsia" w:hAnsiTheme="majorBidi" w:cstheme="majorBidi"/>
        </w:rPr>
        <w:t xml:space="preserve">inland </w:t>
      </w:r>
      <w:r w:rsidRPr="00ED7E61">
        <w:rPr>
          <w:rStyle w:val="normaltextrun"/>
          <w:rFonts w:asciiTheme="majorBidi" w:eastAsiaTheme="majorEastAsia" w:hAnsiTheme="majorBidi" w:cstheme="majorBidi"/>
        </w:rPr>
        <w:t>realm</w:t>
      </w:r>
      <w:r>
        <w:rPr>
          <w:rStyle w:val="normaltextrun"/>
          <w:rFonts w:asciiTheme="majorBidi" w:eastAsiaTheme="majorEastAsia" w:hAnsiTheme="majorBidi" w:cstheme="majorBidi"/>
        </w:rPr>
        <w:t>s</w:t>
      </w:r>
      <w:r w:rsidRPr="00ED7E61">
        <w:rPr>
          <w:rStyle w:val="normaltextrun"/>
          <w:rFonts w:asciiTheme="majorBidi" w:eastAsiaTheme="majorEastAsia" w:hAnsiTheme="majorBidi" w:cstheme="majorBidi"/>
        </w:rPr>
        <w:t xml:space="preserve">. </w:t>
      </w:r>
      <w:r>
        <w:rPr>
          <w:rFonts w:asciiTheme="majorBidi" w:eastAsiaTheme="majorEastAsia" w:hAnsiTheme="majorBidi" w:cstheme="majorBidi"/>
        </w:rPr>
        <w:t xml:space="preserve">Especially in </w:t>
      </w:r>
      <w:r w:rsidRPr="009B4D61">
        <w:rPr>
          <w:rFonts w:asciiTheme="majorBidi" w:eastAsiaTheme="majorEastAsia" w:hAnsiTheme="majorBidi" w:cstheme="majorBidi"/>
        </w:rPr>
        <w:t xml:space="preserve">countries with large marine territories, </w:t>
      </w:r>
      <w:r>
        <w:rPr>
          <w:rFonts w:asciiTheme="majorBidi" w:eastAsiaTheme="majorEastAsia" w:hAnsiTheme="majorBidi" w:cstheme="majorBidi"/>
        </w:rPr>
        <w:t xml:space="preserve">this </w:t>
      </w:r>
      <w:r w:rsidRPr="009B4D61">
        <w:rPr>
          <w:rFonts w:asciiTheme="majorBidi" w:eastAsiaTheme="majorEastAsia" w:hAnsiTheme="majorBidi" w:cstheme="majorBidi"/>
        </w:rPr>
        <w:t xml:space="preserve">could mask significant changes occurring in terrestrial </w:t>
      </w:r>
      <w:r>
        <w:rPr>
          <w:rFonts w:asciiTheme="majorBidi" w:eastAsiaTheme="majorEastAsia" w:hAnsiTheme="majorBidi" w:cstheme="majorBidi"/>
        </w:rPr>
        <w:t xml:space="preserve">and freshwater </w:t>
      </w:r>
      <w:r w:rsidRPr="009B4D61">
        <w:rPr>
          <w:rFonts w:asciiTheme="majorBidi" w:eastAsiaTheme="majorEastAsia" w:hAnsiTheme="majorBidi" w:cstheme="majorBidi"/>
        </w:rPr>
        <w:t>ecosystems.</w:t>
      </w:r>
      <w:r>
        <w:rPr>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This means that the indicator should be reported separately for </w:t>
      </w:r>
      <w:r>
        <w:rPr>
          <w:rStyle w:val="normaltextrun"/>
          <w:rFonts w:asciiTheme="majorBidi" w:eastAsiaTheme="majorEastAsia" w:hAnsiTheme="majorBidi" w:cstheme="majorBidi"/>
        </w:rPr>
        <w:t xml:space="preserve">inland </w:t>
      </w:r>
      <w:r w:rsidRPr="00ED7E61">
        <w:rPr>
          <w:rStyle w:val="normaltextrun"/>
          <w:rFonts w:asciiTheme="majorBidi" w:eastAsiaTheme="majorEastAsia" w:hAnsiTheme="majorBidi" w:cstheme="majorBidi"/>
        </w:rPr>
        <w:t xml:space="preserve">and marine </w:t>
      </w:r>
      <w:r>
        <w:rPr>
          <w:rStyle w:val="normaltextrun"/>
          <w:rFonts w:asciiTheme="majorBidi" w:eastAsiaTheme="majorEastAsia" w:hAnsiTheme="majorBidi" w:cstheme="majorBidi"/>
        </w:rPr>
        <w:t xml:space="preserve">areas </w:t>
      </w:r>
      <w:r w:rsidRPr="00ED7E61">
        <w:rPr>
          <w:rStyle w:val="normaltextrun"/>
          <w:rFonts w:asciiTheme="majorBidi" w:eastAsiaTheme="majorEastAsia" w:hAnsiTheme="majorBidi" w:cstheme="majorBidi"/>
        </w:rPr>
        <w:t xml:space="preserve">(at the national and global level). </w:t>
      </w:r>
      <w:r>
        <w:rPr>
          <w:rFonts w:asciiTheme="majorBidi" w:eastAsiaTheme="majorEastAsia" w:hAnsiTheme="majorBidi" w:cstheme="majorBidi"/>
        </w:rPr>
        <w:t>The compilation guidelines for Indicator A.2 provide guidance on dealing with transitional realms (which include coastal ecosystems), including how they should be allocated to a country’s inland or marine area.</w:t>
      </w:r>
      <w:r w:rsidRPr="00AC3964">
        <w:rPr>
          <w:rFonts w:asciiTheme="majorBidi" w:eastAsiaTheme="majorEastAsia" w:hAnsiTheme="majorBidi" w:cstheme="majorBidi"/>
        </w:rPr>
        <w:t>  </w:t>
      </w:r>
    </w:p>
    <w:p w14:paraId="1C7904A7" w14:textId="77777777" w:rsidR="00874D55" w:rsidRPr="00ED7E61"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rPr>
        <w:t xml:space="preserve">For reporting the indicator, countries will not be expected to submit the ecosystem extent account table. Rather, they will submit data on the extent of each EFG and the total country area in absolute terms </w:t>
      </w:r>
      <w:r w:rsidRPr="00ED7E61">
        <w:rPr>
          <w:rStyle w:val="normaltextrun"/>
          <w:rFonts w:asciiTheme="majorBidi" w:eastAsiaTheme="majorEastAsia" w:hAnsiTheme="majorBidi" w:cstheme="majorBidi"/>
          <w:lang w:val="en-NZ"/>
        </w:rPr>
        <w:t>(e.g. ha/km</w:t>
      </w:r>
      <w:r w:rsidRPr="00ED7E61">
        <w:rPr>
          <w:rStyle w:val="normaltextrun"/>
          <w:rFonts w:asciiTheme="majorBidi" w:eastAsiaTheme="majorEastAsia" w:hAnsiTheme="majorBidi" w:cstheme="majorBidi"/>
          <w:vertAlign w:val="superscript"/>
          <w:lang w:val="en-NZ"/>
        </w:rPr>
        <w:t>2</w:t>
      </w:r>
      <w:r w:rsidRPr="00ED7E61">
        <w:rPr>
          <w:rStyle w:val="normaltextrun"/>
          <w:rFonts w:asciiTheme="majorBidi" w:eastAsiaTheme="majorEastAsia" w:hAnsiTheme="majorBidi" w:cstheme="majorBidi"/>
          <w:lang w:val="en-NZ"/>
        </w:rPr>
        <w:t>)</w:t>
      </w:r>
      <w:r w:rsidRPr="00ED7E61">
        <w:rPr>
          <w:rStyle w:val="normaltextrun"/>
          <w:rFonts w:asciiTheme="majorBidi" w:eastAsiaTheme="majorEastAsia" w:hAnsiTheme="majorBidi" w:cstheme="majorBidi"/>
        </w:rPr>
        <w:t xml:space="preserve">. A globally aggregated indicator can then be obtained by summing the national values in </w:t>
      </w:r>
      <w:r w:rsidRPr="00B3383B">
        <w:rPr>
          <w:rStyle w:val="normaltextrun"/>
        </w:rPr>
        <w:t>absolute</w:t>
      </w:r>
      <w:r w:rsidRPr="00ED7E61">
        <w:rPr>
          <w:rStyle w:val="normaltextrun"/>
          <w:rFonts w:asciiTheme="majorBidi" w:eastAsiaTheme="majorEastAsia" w:hAnsiTheme="majorBidi" w:cstheme="majorBidi"/>
        </w:rPr>
        <w:t xml:space="preserve"> terms </w:t>
      </w:r>
      <w:r w:rsidRPr="00ED7E61">
        <w:rPr>
          <w:rStyle w:val="normaltextrun"/>
          <w:rFonts w:asciiTheme="majorBidi" w:eastAsiaTheme="majorEastAsia" w:hAnsiTheme="majorBidi" w:cstheme="majorBidi"/>
          <w:lang w:val="en-NZ"/>
        </w:rPr>
        <w:t>and converting them to proportions expressed in percentage terms. (See further discussion in Section 6d.)</w:t>
      </w:r>
      <w:r w:rsidRPr="00ED7E61">
        <w:rPr>
          <w:rStyle w:val="eop"/>
          <w:rFonts w:asciiTheme="majorBidi" w:eastAsiaTheme="majorEastAsia" w:hAnsiTheme="majorBidi" w:cstheme="majorBidi"/>
        </w:rPr>
        <w:t> </w:t>
      </w:r>
    </w:p>
    <w:p w14:paraId="69B437CF" w14:textId="77777777" w:rsidR="00874D55" w:rsidRPr="00ED7E61" w:rsidRDefault="00874D55" w:rsidP="00874D55">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41CDE26E" w14:textId="57E94A76"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Also see </w:t>
      </w:r>
      <w:r w:rsidRPr="00B3383B">
        <w:rPr>
          <w:rStyle w:val="normaltextrun"/>
        </w:rPr>
        <w:t>Section</w:t>
      </w:r>
      <w:r w:rsidRPr="00ED7E61">
        <w:rPr>
          <w:rStyle w:val="normaltextrun"/>
          <w:rFonts w:asciiTheme="majorBidi" w:eastAsiaTheme="majorEastAsia" w:hAnsiTheme="majorBidi" w:cstheme="majorBidi"/>
        </w:rPr>
        <w:t xml:space="preserve"> 5e Data sources. The national </w:t>
      </w:r>
      <w:r>
        <w:rPr>
          <w:rStyle w:val="normaltextrun"/>
          <w:rFonts w:asciiTheme="majorBidi" w:eastAsiaTheme="majorEastAsia" w:hAnsiTheme="majorBidi" w:cstheme="majorBidi"/>
        </w:rPr>
        <w:t xml:space="preserve">ecosystem </w:t>
      </w:r>
      <w:r w:rsidRPr="00ED7E61">
        <w:rPr>
          <w:rStyle w:val="normaltextrun"/>
          <w:rFonts w:asciiTheme="majorBidi" w:eastAsiaTheme="majorEastAsia" w:hAnsiTheme="majorBidi" w:cstheme="majorBidi"/>
        </w:rPr>
        <w:t>maps that underpin ecosystem extent accounts</w:t>
      </w:r>
      <w:r>
        <w:rPr>
          <w:rStyle w:val="normaltextrun"/>
          <w:rFonts w:asciiTheme="majorBidi" w:eastAsiaTheme="majorEastAsia" w:hAnsiTheme="majorBidi" w:cstheme="majorBidi"/>
        </w:rPr>
        <w:t xml:space="preserve"> (which include ecosystem classification and spatial datasets representing the distribution of all ecosystem types in a country)</w:t>
      </w:r>
      <w:r w:rsidRPr="00ED7E61">
        <w:rPr>
          <w:rStyle w:val="normaltextrun"/>
          <w:rFonts w:asciiTheme="majorBidi" w:eastAsiaTheme="majorEastAsia" w:hAnsiTheme="majorBidi" w:cstheme="majorBidi"/>
        </w:rPr>
        <w:t xml:space="preserve">, and time series </w:t>
      </w:r>
      <w:r>
        <w:rPr>
          <w:rStyle w:val="normaltextrun"/>
          <w:rFonts w:asciiTheme="majorBidi" w:eastAsiaTheme="majorEastAsia" w:hAnsiTheme="majorBidi" w:cstheme="majorBidi"/>
        </w:rPr>
        <w:t xml:space="preserve">spatial datasets </w:t>
      </w:r>
      <w:r w:rsidRPr="00ED7E61">
        <w:rPr>
          <w:rStyle w:val="normaltextrun"/>
          <w:rFonts w:asciiTheme="majorBidi" w:eastAsiaTheme="majorEastAsia" w:hAnsiTheme="majorBidi" w:cstheme="majorBidi"/>
        </w:rPr>
        <w:t>that show changes in extent of ecosystems, are developed based on a wide range of data sources which differ for different realms and have different collection methods. Remote sensing and earth observation data often play an important role, along with field data and expert knowledge.</w:t>
      </w:r>
      <w:r w:rsidRPr="00ED7E61">
        <w:rPr>
          <w:rStyle w:val="normaltextrun"/>
        </w:rPr>
        <w:t> </w:t>
      </w:r>
    </w:p>
    <w:p w14:paraId="127474D3" w14:textId="77777777" w:rsidR="00874D55" w:rsidRPr="00ED7E61" w:rsidRDefault="00874D55" w:rsidP="00874D55">
      <w:pPr>
        <w:pStyle w:val="CBDNormalNumber"/>
        <w:numPr>
          <w:ilvl w:val="0"/>
          <w:numId w:val="45"/>
        </w:numPr>
        <w:rPr>
          <w:rStyle w:val="normaltextrun"/>
          <w:rFonts w:eastAsiaTheme="majorEastAsia"/>
        </w:rPr>
      </w:pPr>
      <w:r w:rsidRPr="00ED7E61">
        <w:rPr>
          <w:rStyle w:val="normaltextrun"/>
          <w:rFonts w:asciiTheme="majorBidi" w:eastAsiaTheme="majorEastAsia" w:hAnsiTheme="majorBidi" w:cstheme="majorBidi"/>
        </w:rPr>
        <w:lastRenderedPageBreak/>
        <w:t xml:space="preserve">When </w:t>
      </w:r>
      <w:r w:rsidRPr="00B3383B">
        <w:rPr>
          <w:rStyle w:val="normaltextrun"/>
        </w:rPr>
        <w:t>national</w:t>
      </w:r>
      <w:r w:rsidRPr="00ED7E61">
        <w:rPr>
          <w:rStyle w:val="normaltextrun"/>
          <w:rFonts w:asciiTheme="majorBidi" w:eastAsiaTheme="majorEastAsia" w:hAnsiTheme="majorBidi" w:cstheme="majorBidi"/>
        </w:rPr>
        <w:t xml:space="preserve"> data is not available, global data layers may be used where they are considered suitable. </w:t>
      </w:r>
      <w:r w:rsidRPr="00ED7E61">
        <w:rPr>
          <w:rStyle w:val="normaltextrun"/>
        </w:rPr>
        <w:t> </w:t>
      </w:r>
    </w:p>
    <w:p w14:paraId="18B2747B" w14:textId="77777777" w:rsidR="00874D55" w:rsidRPr="00ED7E61" w:rsidRDefault="00874D55" w:rsidP="00874D55">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112B6482" w14:textId="34693018"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The United Nations Statistical Commission at its 52nd session in 2021 adopted the SEEA Ecosystem Accounting chapters 1-7 describing the accounting framework and the biophysical accounts, including chapters on ecosystem extent, as an international statistical standard. Existing SEEA EA resources can be drawn on in compiling accounts, including freely available e-learning resources (</w:t>
      </w:r>
      <w:hyperlink r:id="rId30" w:history="1">
        <w:r w:rsidR="0049540E" w:rsidRPr="004B1877">
          <w:rPr>
            <w:rStyle w:val="Hyperlink"/>
            <w:rFonts w:asciiTheme="majorBidi" w:eastAsiaTheme="majorEastAsia" w:hAnsiTheme="majorBidi" w:cstheme="majorBidi"/>
          </w:rPr>
          <w:t>https://seea.un.org/content/seea-e-learning-resources</w:t>
        </w:r>
      </w:hyperlink>
      <w:r w:rsidRPr="00ED7E61">
        <w:rPr>
          <w:rStyle w:val="normaltextrun"/>
          <w:rFonts w:asciiTheme="majorBidi" w:eastAsiaTheme="majorEastAsia" w:hAnsiTheme="majorBidi" w:cstheme="majorBidi"/>
        </w:rPr>
        <w:t>. In addition, the Technical Committee on the SEEA Ecosystem Accounting is working on technical guidance notes on the compilation of ecosystem extent accounts (among others), which will assist countries in producing these accounts. Capacity development for Parties, especially for developing countries, should be provided to support the compilation of this indicator.</w:t>
      </w:r>
      <w:r w:rsidRPr="00ED7E61">
        <w:rPr>
          <w:rStyle w:val="normaltextrun"/>
        </w:rPr>
        <w:t> </w:t>
      </w:r>
    </w:p>
    <w:p w14:paraId="48BB9030" w14:textId="77777777" w:rsidR="00874D55" w:rsidRPr="00812871" w:rsidRDefault="00874D55" w:rsidP="00874D55">
      <w:pPr>
        <w:pStyle w:val="CBDNormalNumber"/>
        <w:numPr>
          <w:ilvl w:val="0"/>
          <w:numId w:val="45"/>
        </w:numPr>
        <w:rPr>
          <w:rStyle w:val="normaltextrun"/>
          <w:rFonts w:eastAsiaTheme="majorEastAsia"/>
        </w:rPr>
      </w:pPr>
      <w:r w:rsidRPr="00ED7E61">
        <w:rPr>
          <w:rStyle w:val="normaltextrun"/>
          <w:rFonts w:asciiTheme="majorBidi" w:eastAsiaTheme="majorEastAsia" w:hAnsiTheme="majorBidi" w:cstheme="majorBidi"/>
        </w:rPr>
        <w:t xml:space="preserve">IUCN GET is a </w:t>
      </w:r>
      <w:r w:rsidRPr="00B3383B">
        <w:rPr>
          <w:rStyle w:val="normaltextrun"/>
        </w:rPr>
        <w:t>published</w:t>
      </w:r>
      <w:r w:rsidRPr="00ED7E61">
        <w:rPr>
          <w:rStyle w:val="normaltextrun"/>
          <w:rFonts w:asciiTheme="majorBidi" w:eastAsiaTheme="majorEastAsia" w:hAnsiTheme="majorBidi" w:cstheme="majorBidi"/>
        </w:rPr>
        <w:t xml:space="preserve"> and peer reviewed classification of global ecosystems which can be accessed at </w:t>
      </w:r>
      <w:hyperlink r:id="rId31" w:tgtFrame="_blank" w:history="1">
        <w:r w:rsidRPr="00ED7E61">
          <w:rPr>
            <w:rStyle w:val="normaltextrun"/>
            <w:rFonts w:asciiTheme="majorBidi" w:eastAsiaTheme="majorEastAsia" w:hAnsiTheme="majorBidi" w:cstheme="majorBidi"/>
          </w:rPr>
          <w:t>https://global-ecosystems.org/</w:t>
        </w:r>
      </w:hyperlink>
      <w:r w:rsidRPr="00ED7E61">
        <w:rPr>
          <w:rStyle w:val="normaltextrun"/>
          <w:rFonts w:asciiTheme="majorBidi" w:eastAsiaTheme="majorEastAsia" w:hAnsiTheme="majorBidi" w:cstheme="majorBidi"/>
        </w:rPr>
        <w:t>. </w:t>
      </w:r>
      <w:r w:rsidRPr="00ED7E61">
        <w:rPr>
          <w:rStyle w:val="normaltextrun"/>
        </w:rPr>
        <w:t> </w:t>
      </w:r>
    </w:p>
    <w:p w14:paraId="3E6CB870" w14:textId="77777777" w:rsidR="00FD4FF2" w:rsidRPr="00ED7E61" w:rsidRDefault="00FD4FF2" w:rsidP="00FD4FF2">
      <w:pPr>
        <w:pStyle w:val="CBDNormalNumber"/>
        <w:numPr>
          <w:ilvl w:val="0"/>
          <w:numId w:val="45"/>
        </w:numPr>
        <w:rPr>
          <w:rStyle w:val="normaltextrun"/>
          <w:rFonts w:eastAsiaTheme="majorEastAsia"/>
        </w:rPr>
      </w:pPr>
      <w:r w:rsidRPr="0099660E">
        <w:rPr>
          <w:rFonts w:eastAsiaTheme="majorEastAsia"/>
          <w:sz w:val="24"/>
          <w:szCs w:val="24"/>
          <w:lang w:val="en-CA"/>
        </w:rPr>
        <w:t>Additional compilation guidance for this indicator is being prepared through an expert process led by the UN Statistics Division. A draft is available on the meeting webpage for SBSTTA-28. The guidelines will be finalised by January 2027</w:t>
      </w:r>
      <w:r>
        <w:rPr>
          <w:rFonts w:eastAsiaTheme="majorEastAsia"/>
          <w:sz w:val="24"/>
          <w:szCs w:val="24"/>
          <w:lang w:val="en-CA"/>
        </w:rPr>
        <w:t>.</w:t>
      </w:r>
      <w:r w:rsidRPr="00ED7E61">
        <w:rPr>
          <w:rStyle w:val="normaltextrun"/>
          <w:rFonts w:asciiTheme="majorBidi" w:eastAsiaTheme="majorEastAsia" w:hAnsiTheme="majorBidi" w:cstheme="majorBidi"/>
        </w:rPr>
        <w:t> </w:t>
      </w:r>
      <w:r w:rsidRPr="00ED7E61">
        <w:rPr>
          <w:rStyle w:val="normaltextrun"/>
        </w:rPr>
        <w:t> </w:t>
      </w:r>
    </w:p>
    <w:p w14:paraId="42C1C531" w14:textId="77777777" w:rsidR="00FD4FF2" w:rsidRPr="00ED7E61" w:rsidRDefault="00FD4FF2" w:rsidP="00874D55">
      <w:pPr>
        <w:pStyle w:val="CBDNormalNumber"/>
        <w:numPr>
          <w:ilvl w:val="0"/>
          <w:numId w:val="45"/>
        </w:numPr>
        <w:rPr>
          <w:rStyle w:val="normaltextrun"/>
          <w:rFonts w:eastAsiaTheme="majorEastAsia"/>
        </w:rPr>
      </w:pPr>
    </w:p>
    <w:p w14:paraId="5E976DC8" w14:textId="77777777" w:rsidR="00874D55" w:rsidRPr="00ED7E61" w:rsidRDefault="00874D55" w:rsidP="00874D55">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ED7E61">
        <w:rPr>
          <w:rStyle w:val="normaltextrun"/>
          <w:rFonts w:asciiTheme="majorBidi" w:eastAsiaTheme="majorEastAsia" w:hAnsiTheme="majorBidi" w:cstheme="majorBidi"/>
          <w:b/>
          <w:bCs/>
          <w:sz w:val="22"/>
          <w:szCs w:val="22"/>
          <w:lang w:val="en-GB"/>
        </w:rPr>
        <w:t>5e. Data sources</w:t>
      </w:r>
      <w:r w:rsidRPr="00ED7E61">
        <w:rPr>
          <w:rStyle w:val="normaltextrun"/>
          <w:rFonts w:eastAsiaTheme="majorEastAsia"/>
          <w:b/>
          <w:bCs/>
          <w:lang w:val="en-GB"/>
        </w:rPr>
        <w:t> </w:t>
      </w:r>
    </w:p>
    <w:p w14:paraId="725B8485" w14:textId="1CE7E6BC"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main data requirements for this indicator are national </w:t>
      </w:r>
      <w:r>
        <w:rPr>
          <w:rStyle w:val="normaltextrun"/>
          <w:rFonts w:asciiTheme="majorBidi" w:eastAsiaTheme="majorEastAsia" w:hAnsiTheme="majorBidi" w:cstheme="majorBidi"/>
        </w:rPr>
        <w:t xml:space="preserve">ecosystem </w:t>
      </w:r>
      <w:r w:rsidRPr="00ED7E61">
        <w:rPr>
          <w:rStyle w:val="normaltextrun"/>
          <w:rFonts w:asciiTheme="majorBidi" w:eastAsiaTheme="majorEastAsia" w:hAnsiTheme="majorBidi" w:cstheme="majorBidi"/>
        </w:rPr>
        <w:t>maps</w:t>
      </w:r>
      <w:r>
        <w:rPr>
          <w:rStyle w:val="normaltextrun"/>
          <w:rFonts w:asciiTheme="majorBidi" w:eastAsiaTheme="majorEastAsia" w:hAnsiTheme="majorBidi" w:cstheme="majorBidi"/>
        </w:rPr>
        <w:t xml:space="preserve"> (including classification</w:t>
      </w:r>
      <w:r w:rsidRPr="00ED7E61">
        <w:rPr>
          <w:rStyle w:val="normaltextrun"/>
          <w:rFonts w:asciiTheme="majorBidi" w:eastAsiaTheme="majorEastAsia" w:hAnsiTheme="majorBidi" w:cstheme="majorBidi"/>
        </w:rPr>
        <w:t xml:space="preserve"> of ecosystem types </w:t>
      </w:r>
      <w:r>
        <w:rPr>
          <w:rStyle w:val="normaltextrun"/>
          <w:rFonts w:asciiTheme="majorBidi" w:eastAsiaTheme="majorEastAsia" w:hAnsiTheme="majorBidi" w:cstheme="majorBidi"/>
        </w:rPr>
        <w:t xml:space="preserve">and spatial datasets representing the distribution) </w:t>
      </w:r>
      <w:r w:rsidRPr="00ED7E61">
        <w:rPr>
          <w:rStyle w:val="normaltextrun"/>
          <w:rFonts w:asciiTheme="majorBidi" w:eastAsiaTheme="majorEastAsia" w:hAnsiTheme="majorBidi" w:cstheme="majorBidi"/>
        </w:rPr>
        <w:t xml:space="preserve">and time series </w:t>
      </w:r>
      <w:r>
        <w:rPr>
          <w:rStyle w:val="normaltextrun"/>
          <w:rFonts w:asciiTheme="majorBidi" w:eastAsiaTheme="majorEastAsia" w:hAnsiTheme="majorBidi" w:cstheme="majorBidi"/>
        </w:rPr>
        <w:t xml:space="preserve">spatial data sets </w:t>
      </w:r>
      <w:r w:rsidRPr="00ED7E61">
        <w:rPr>
          <w:rStyle w:val="normaltextrun"/>
          <w:rFonts w:asciiTheme="majorBidi" w:eastAsiaTheme="majorEastAsia" w:hAnsiTheme="majorBidi" w:cstheme="majorBidi"/>
        </w:rPr>
        <w:t xml:space="preserve">that show changes in extent of ecosystems. </w:t>
      </w:r>
      <w:r>
        <w:rPr>
          <w:rStyle w:val="normaltextrun"/>
          <w:rFonts w:asciiTheme="majorBidi" w:eastAsiaTheme="majorEastAsia" w:hAnsiTheme="majorBidi" w:cstheme="majorBidi"/>
        </w:rPr>
        <w:t xml:space="preserve">The compilation guidelines for headline indicator A.2 provide further guidance in this regard. </w:t>
      </w:r>
      <w:r w:rsidRPr="00ED7E61">
        <w:rPr>
          <w:rStyle w:val="normaltextrun"/>
          <w:rFonts w:asciiTheme="majorBidi" w:eastAsiaTheme="majorEastAsia" w:hAnsiTheme="majorBidi" w:cstheme="majorBidi"/>
        </w:rPr>
        <w:t xml:space="preserve"> Data sources could include research institutions, various government ministries and national mapping agencies.   </w:t>
      </w:r>
      <w:r w:rsidRPr="00ED7E61">
        <w:rPr>
          <w:rStyle w:val="normaltextrun"/>
        </w:rPr>
        <w:t> </w:t>
      </w:r>
    </w:p>
    <w:p w14:paraId="3BF7CD9D" w14:textId="505F8943" w:rsidR="00874D55" w:rsidRPr="00812871" w:rsidRDefault="00874D55" w:rsidP="00874D55">
      <w:pPr>
        <w:pStyle w:val="CBDNormalNumber"/>
        <w:numPr>
          <w:ilvl w:val="0"/>
          <w:numId w:val="45"/>
        </w:numPr>
        <w:rPr>
          <w:rFonts w:eastAsiaTheme="majorEastAsia"/>
        </w:rPr>
      </w:pPr>
      <w:r w:rsidRPr="00FD517D">
        <w:rPr>
          <w:rStyle w:val="normaltextrun"/>
          <w:rFonts w:asciiTheme="majorBidi" w:eastAsiaTheme="majorEastAsia" w:hAnsiTheme="majorBidi" w:cstheme="majorBidi"/>
        </w:rPr>
        <w:t xml:space="preserve">In the absence of national data sources, regional and global datasets can be used, subject to criteria, standards and quality assurance, including validation at the national level through appropriate institutional processes involving relevant national experts. For example, ARIES for SEEA allows </w:t>
      </w:r>
      <w:r w:rsidRPr="00B0517A">
        <w:rPr>
          <w:rStyle w:val="normaltextrun"/>
          <w:rFonts w:asciiTheme="majorBidi" w:eastAsiaTheme="majorEastAsia" w:hAnsiTheme="majorBidi" w:cstheme="majorBidi"/>
        </w:rPr>
        <w:t>users to derive a basic ecosystem extent account (for the period from 1992) in the terrestrial, freshwater and coastal realms using a multilayer look-up table approach which combines global data sources on land cover and other metrics to approximate EFGs (</w:t>
      </w:r>
      <w:hyperlink r:id="rId32" w:history="1">
        <w:r w:rsidRPr="00B0517A">
          <w:rPr>
            <w:rStyle w:val="Hyperlink"/>
            <w:rFonts w:asciiTheme="majorBidi" w:eastAsiaTheme="majorEastAsia" w:hAnsiTheme="majorBidi" w:cstheme="majorBidi"/>
          </w:rPr>
          <w:t>https://seea.un.org/content/aries-for-seea</w:t>
        </w:r>
      </w:hyperlink>
      <w:r w:rsidRPr="00B0517A">
        <w:rPr>
          <w:rStyle w:val="normaltextrun"/>
          <w:rFonts w:asciiTheme="majorBidi" w:eastAsiaTheme="majorEastAsia" w:hAnsiTheme="majorBidi" w:cstheme="majorBidi"/>
        </w:rPr>
        <w:t xml:space="preserve">). </w:t>
      </w:r>
      <w:r w:rsidRPr="00812871">
        <w:rPr>
          <w:rFonts w:asciiTheme="majorBidi" w:eastAsiaTheme="majorEastAsia" w:hAnsiTheme="majorBidi" w:cstheme="majorBidi"/>
        </w:rPr>
        <w:t>The Global Ecosystems Atlas (</w:t>
      </w:r>
      <w:hyperlink r:id="rId33" w:history="1">
        <w:r w:rsidRPr="00812871">
          <w:rPr>
            <w:rStyle w:val="Hyperlink"/>
            <w:rFonts w:asciiTheme="majorBidi" w:eastAsiaTheme="majorEastAsia" w:hAnsiTheme="majorBidi" w:cstheme="majorBidi"/>
          </w:rPr>
          <w:t>https://globalecosystemsatlas.org/</w:t>
        </w:r>
      </w:hyperlink>
      <w:r w:rsidRPr="00812871">
        <w:rPr>
          <w:rFonts w:asciiTheme="majorBidi" w:eastAsiaTheme="majorEastAsia" w:hAnsiTheme="majorBidi" w:cstheme="majorBidi"/>
        </w:rPr>
        <w:t xml:space="preserve">), an initiative convened by the Group on Earth Observations (GEO), is compiling a standardised global map of EFGs at a 100m resolution from national or other peer-reviewed data sources, filling gaps using ecosystem classification geospatial models. </w:t>
      </w:r>
      <w:r w:rsidRPr="00812871">
        <w:rPr>
          <w:rFonts w:asciiTheme="majorBidi" w:eastAsiaTheme="majorEastAsia" w:hAnsiTheme="majorBidi" w:cstheme="majorBidi"/>
          <w:lang w:val="en-ZA"/>
        </w:rPr>
        <w:t xml:space="preserve">Prior to being included in the Global Ecosystems Atlas, contributed data are screened according to quality criteria for recency, spatial resolution, and open re-use licenses. </w:t>
      </w:r>
      <w:r w:rsidRPr="00812871">
        <w:rPr>
          <w:rFonts w:asciiTheme="majorBidi" w:eastAsiaTheme="majorEastAsia" w:hAnsiTheme="majorBidi" w:cstheme="majorBidi"/>
        </w:rPr>
        <w:t>Where ecosystems are mapped using national classifications, the Global Ecosystems Atlas cross-references the data to the GET using IUCN standards, methods, and guidelines (</w:t>
      </w:r>
      <w:r w:rsidRPr="00812871">
        <w:rPr>
          <w:rFonts w:asciiTheme="majorBidi" w:eastAsiaTheme="majorEastAsia" w:hAnsiTheme="majorBidi" w:cstheme="majorBidi"/>
          <w:lang w:val="en-ZA"/>
        </w:rPr>
        <w:t xml:space="preserve">IUCN, 2025). The distributions of ecosystems in otherwise unmapped territories are modelled using ecosystem classification geospatial models trained using </w:t>
      </w:r>
      <w:proofErr w:type="spellStart"/>
      <w:r w:rsidRPr="00812871">
        <w:rPr>
          <w:rFonts w:asciiTheme="majorBidi" w:eastAsiaTheme="majorEastAsia" w:hAnsiTheme="majorBidi" w:cstheme="majorBidi"/>
          <w:lang w:val="en-ZA"/>
        </w:rPr>
        <w:t>EcoTrain</w:t>
      </w:r>
      <w:proofErr w:type="spellEnd"/>
      <w:r w:rsidRPr="00812871">
        <w:rPr>
          <w:rFonts w:asciiTheme="majorBidi" w:eastAsiaTheme="majorEastAsia" w:hAnsiTheme="majorBidi" w:cstheme="majorBidi"/>
          <w:lang w:val="en-ZA"/>
        </w:rPr>
        <w:t xml:space="preserve"> (Murray et al. 2026), an expert-annotated training and validation dataset of more than 80,000 points globally. </w:t>
      </w:r>
      <w:r w:rsidRPr="00812871">
        <w:rPr>
          <w:rFonts w:asciiTheme="majorBidi" w:eastAsiaTheme="majorEastAsia" w:hAnsiTheme="majorBidi" w:cstheme="majorBidi"/>
        </w:rPr>
        <w:t xml:space="preserve">Once global coverage is complete, ecosystem extent information from the Global Ecosystems Atlas will be available to support the compilation </w:t>
      </w:r>
      <w:proofErr w:type="gramStart"/>
      <w:r w:rsidRPr="00812871">
        <w:rPr>
          <w:rFonts w:asciiTheme="majorBidi" w:eastAsiaTheme="majorEastAsia" w:hAnsiTheme="majorBidi" w:cstheme="majorBidi"/>
        </w:rPr>
        <w:t>of  indicator</w:t>
      </w:r>
      <w:proofErr w:type="gramEnd"/>
      <w:r w:rsidRPr="00812871">
        <w:rPr>
          <w:rFonts w:asciiTheme="majorBidi" w:eastAsiaTheme="majorEastAsia" w:hAnsiTheme="majorBidi" w:cstheme="majorBidi"/>
        </w:rPr>
        <w:t xml:space="preserve"> A.2. </w:t>
      </w:r>
    </w:p>
    <w:p w14:paraId="592F30CE" w14:textId="63EC34ED" w:rsidR="00874D55" w:rsidRPr="00FD517D" w:rsidRDefault="00874D55" w:rsidP="00874D55">
      <w:pPr>
        <w:pStyle w:val="CBDNormalNumber"/>
        <w:numPr>
          <w:ilvl w:val="0"/>
          <w:numId w:val="45"/>
        </w:numPr>
        <w:rPr>
          <w:rStyle w:val="normaltextrun"/>
          <w:rFonts w:eastAsiaTheme="majorEastAsia"/>
        </w:rPr>
      </w:pPr>
      <w:r w:rsidRPr="00812871">
        <w:rPr>
          <w:rFonts w:asciiTheme="majorBidi" w:eastAsiaTheme="majorEastAsia" w:hAnsiTheme="majorBidi" w:cstheme="majorBidi"/>
        </w:rPr>
        <w:t>The compilation guidelines for Indicator A.2 provide further guidance on the use of global datasets as an interim measure.</w:t>
      </w:r>
      <w:r>
        <w:rPr>
          <w:rStyle w:val="normaltextrun"/>
          <w:rFonts w:asciiTheme="majorBidi" w:eastAsiaTheme="majorEastAsia" w:hAnsiTheme="majorBidi" w:cstheme="majorBidi"/>
        </w:rPr>
        <w:t xml:space="preserve"> </w:t>
      </w:r>
      <w:r w:rsidRPr="00FD517D">
        <w:rPr>
          <w:rStyle w:val="normaltextrun"/>
          <w:rFonts w:asciiTheme="majorBidi" w:eastAsiaTheme="majorEastAsia" w:hAnsiTheme="majorBidi" w:cstheme="majorBidi"/>
        </w:rPr>
        <w:t>High-level guidance on data quality and validation is addressed in the compilation guidelines for headline indicator A.2.</w:t>
      </w:r>
      <w:r w:rsidRPr="00ED7E61">
        <w:rPr>
          <w:rStyle w:val="normaltextrun"/>
        </w:rPr>
        <w:t> </w:t>
      </w:r>
    </w:p>
    <w:p w14:paraId="027027A1" w14:textId="77777777" w:rsidR="00874D55" w:rsidRPr="00ED7E61" w:rsidRDefault="00874D55" w:rsidP="00874D55">
      <w:pPr>
        <w:pStyle w:val="paragraph"/>
        <w:keepNext/>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lastRenderedPageBreak/>
        <w:t>5f. Availability and release calendar</w:t>
      </w:r>
      <w:r w:rsidRPr="00ED7E61">
        <w:rPr>
          <w:rStyle w:val="eop"/>
          <w:rFonts w:asciiTheme="majorBidi" w:eastAsiaTheme="majorEastAsia" w:hAnsiTheme="majorBidi" w:cstheme="majorBidi"/>
          <w:sz w:val="22"/>
          <w:szCs w:val="22"/>
        </w:rPr>
        <w:t> </w:t>
      </w:r>
    </w:p>
    <w:p w14:paraId="23AD0855" w14:textId="77777777"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indicator methodology is based on SEEA Ecosystem Accounting, which is well developed and accepted by the </w:t>
      </w:r>
      <w:r w:rsidRPr="00B3383B">
        <w:rPr>
          <w:rStyle w:val="normaltextrun"/>
        </w:rPr>
        <w:t>international</w:t>
      </w:r>
      <w:r w:rsidRPr="00ED7E61">
        <w:rPr>
          <w:rStyle w:val="normaltextrun"/>
          <w:rFonts w:asciiTheme="majorBidi" w:eastAsiaTheme="majorEastAsia" w:hAnsiTheme="majorBidi" w:cstheme="majorBidi"/>
        </w:rPr>
        <w:t xml:space="preserve"> statistical community and other communities working on ecosystem accounting. </w:t>
      </w:r>
      <w:r w:rsidRPr="00ED7E61">
        <w:rPr>
          <w:rStyle w:val="normaltextrun"/>
        </w:rPr>
        <w:t> </w:t>
      </w:r>
    </w:p>
    <w:p w14:paraId="40256B3D" w14:textId="5FCC03B3" w:rsidR="00874D55" w:rsidRPr="00ED7E61" w:rsidRDefault="00874D55" w:rsidP="00874D55">
      <w:pPr>
        <w:pStyle w:val="CBDNormalNumber"/>
        <w:numPr>
          <w:ilvl w:val="0"/>
          <w:numId w:val="45"/>
        </w:numPr>
        <w:rPr>
          <w:rFonts w:asciiTheme="majorBidi" w:hAnsiTheme="majorBidi" w:cstheme="majorBidi"/>
        </w:rPr>
      </w:pPr>
      <w:r w:rsidRPr="00B3383B">
        <w:rPr>
          <w:rStyle w:val="normaltextrun"/>
        </w:rPr>
        <w:t>Since</w:t>
      </w:r>
      <w:r w:rsidRPr="00ED7E61">
        <w:rPr>
          <w:rStyle w:val="normaltextrun"/>
          <w:rFonts w:asciiTheme="majorBidi" w:eastAsiaTheme="majorEastAsia" w:hAnsiTheme="majorBidi" w:cstheme="majorBidi"/>
        </w:rPr>
        <w:t xml:space="preserve"> the adoption of the SEEA Ecosystem Accounting as an international statistical standard, an increasing number of countries have started the implementation of ecosystem extent accounts.  According to the 202</w:t>
      </w:r>
      <w:r w:rsidR="003B123C">
        <w:rPr>
          <w:rStyle w:val="normaltextrun"/>
          <w:rFonts w:asciiTheme="majorBidi" w:eastAsiaTheme="majorEastAsia" w:hAnsiTheme="majorBidi" w:cstheme="majorBidi"/>
        </w:rPr>
        <w:t>5</w:t>
      </w:r>
      <w:r w:rsidRPr="00ED7E61">
        <w:rPr>
          <w:rStyle w:val="normaltextrun"/>
          <w:rFonts w:asciiTheme="majorBidi" w:eastAsiaTheme="majorEastAsia" w:hAnsiTheme="majorBidi" w:cstheme="majorBidi"/>
        </w:rPr>
        <w:t xml:space="preserve"> Global Assessment of Environmental-Economic Accounting and Supporting Statistics, </w:t>
      </w:r>
      <w:r w:rsidR="003B123C">
        <w:rPr>
          <w:rStyle w:val="normaltextrun"/>
          <w:rFonts w:asciiTheme="majorBidi" w:eastAsiaTheme="majorEastAsia" w:hAnsiTheme="majorBidi" w:cstheme="majorBidi"/>
        </w:rPr>
        <w:t>47</w:t>
      </w:r>
      <w:r w:rsidR="003B123C"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countries compiled ecosystem extent accounts at least once during the period </w:t>
      </w:r>
      <w:r w:rsidR="008441E5">
        <w:rPr>
          <w:rStyle w:val="normaltextrun"/>
          <w:rFonts w:asciiTheme="majorBidi" w:eastAsiaTheme="majorEastAsia" w:hAnsiTheme="majorBidi" w:cstheme="majorBidi"/>
        </w:rPr>
        <w:t>2021</w:t>
      </w:r>
      <w:r w:rsidR="008441E5"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to 202</w:t>
      </w:r>
      <w:r w:rsidR="008441E5">
        <w:rPr>
          <w:rStyle w:val="normaltextrun"/>
          <w:rFonts w:asciiTheme="majorBidi" w:eastAsiaTheme="majorEastAsia" w:hAnsiTheme="majorBidi" w:cstheme="majorBidi"/>
        </w:rPr>
        <w:t>5</w:t>
      </w:r>
      <w:r w:rsidR="00351925">
        <w:rPr>
          <w:rStyle w:val="normaltextrun"/>
          <w:rFonts w:asciiTheme="majorBidi" w:eastAsiaTheme="majorEastAsia" w:hAnsiTheme="majorBidi" w:cstheme="majorBidi"/>
        </w:rPr>
        <w:t xml:space="preserve"> (United Nations, 2025)</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768FE324" w14:textId="30B6E4FC" w:rsidR="00874D55" w:rsidRPr="00ED7E61" w:rsidRDefault="00874D55" w:rsidP="00874D55">
      <w:pPr>
        <w:pStyle w:val="CBDNormalNumber"/>
        <w:numPr>
          <w:ilvl w:val="0"/>
          <w:numId w:val="45"/>
        </w:numPr>
        <w:rPr>
          <w:rFonts w:asciiTheme="majorBidi" w:hAnsiTheme="majorBidi" w:cstheme="majorBidi"/>
        </w:rPr>
      </w:pPr>
      <w:r w:rsidRPr="00B3383B">
        <w:rPr>
          <w:rStyle w:val="normaltextrun"/>
        </w:rPr>
        <w:t>For</w:t>
      </w:r>
      <w:r w:rsidRPr="00ED7E61">
        <w:rPr>
          <w:rStyle w:val="normaltextrun"/>
          <w:rFonts w:asciiTheme="majorBidi" w:eastAsiaTheme="majorEastAsia" w:hAnsiTheme="majorBidi" w:cstheme="majorBidi"/>
        </w:rPr>
        <w:t xml:space="preserve"> countries with no national data on ecosystem extent, global tools and databases could be drawn on</w:t>
      </w:r>
      <w:r>
        <w:rPr>
          <w:rStyle w:val="normaltextrun"/>
          <w:rFonts w:asciiTheme="majorBidi" w:eastAsiaTheme="majorEastAsia" w:hAnsiTheme="majorBidi" w:cstheme="majorBidi"/>
        </w:rPr>
        <w:t>, as discussed in Section 5e on data sources</w:t>
      </w:r>
      <w:r w:rsidRPr="00ED7E61">
        <w:rPr>
          <w:rStyle w:val="normaltextrun"/>
          <w:rFonts w:asciiTheme="majorBidi" w:eastAsiaTheme="majorEastAsia" w:hAnsiTheme="majorBidi" w:cstheme="majorBidi"/>
        </w:rPr>
        <w:t>. These would require validation at the national level through appropriate institutional processes involving relevant national experts. </w:t>
      </w:r>
      <w:r w:rsidRPr="00ED7E61">
        <w:rPr>
          <w:rStyle w:val="eop"/>
          <w:rFonts w:asciiTheme="majorBidi" w:eastAsiaTheme="majorEastAsia" w:hAnsiTheme="majorBidi" w:cstheme="majorBidi"/>
        </w:rPr>
        <w:t> </w:t>
      </w:r>
    </w:p>
    <w:p w14:paraId="0909D012" w14:textId="77777777" w:rsidR="00874D55" w:rsidRPr="00ED7E61" w:rsidRDefault="00874D55" w:rsidP="00874D55">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587FFCE8" w14:textId="77777777" w:rsidR="00874D55" w:rsidRPr="00ED7E61" w:rsidRDefault="00874D55" w:rsidP="00874D55">
      <w:pPr>
        <w:pStyle w:val="CBDNormalNumber"/>
        <w:numPr>
          <w:ilvl w:val="0"/>
          <w:numId w:val="45"/>
        </w:numPr>
        <w:rPr>
          <w:rStyle w:val="normaltextrun"/>
          <w:rFonts w:eastAsiaTheme="majorEastAsia"/>
          <w:sz w:val="24"/>
          <w:szCs w:val="24"/>
          <w:lang w:val="en-CA"/>
        </w:rPr>
      </w:pPr>
      <w:r w:rsidRPr="00B3383B">
        <w:rPr>
          <w:rStyle w:val="normaltextrun"/>
        </w:rPr>
        <w:t>Although</w:t>
      </w:r>
      <w:r w:rsidRPr="00ED7E61">
        <w:rPr>
          <w:rStyle w:val="normaltextrun"/>
          <w:rFonts w:asciiTheme="majorBidi" w:eastAsiaTheme="majorEastAsia" w:hAnsiTheme="majorBidi" w:cstheme="majorBidi"/>
        </w:rPr>
        <w:t xml:space="preserve"> it is ideal to compile ecosystem accounts on an annual basis, in practice this is seldom possible and may not be meaningful. For the ecosystem extent account, an update every three to five years may be sufficient and is likely to indicate actual changes in extent.</w:t>
      </w:r>
      <w:r w:rsidRPr="00ED7E61">
        <w:rPr>
          <w:rStyle w:val="normaltextrun"/>
        </w:rPr>
        <w:t> </w:t>
      </w:r>
    </w:p>
    <w:p w14:paraId="41163D3A" w14:textId="77777777" w:rsidR="00874D55" w:rsidRPr="00ED7E61" w:rsidRDefault="00874D55" w:rsidP="00874D55">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0D37B7F5" w14:textId="62240FDA"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For those countries that have national ecosystem extent accounts, the relevant national authorities, in particular national statistical offices, ministries of environment or related agencies, will provide data </w:t>
      </w:r>
      <w:r w:rsidRPr="00B3383B">
        <w:rPr>
          <w:rStyle w:val="normaltextrun"/>
        </w:rPr>
        <w:t>for</w:t>
      </w:r>
      <w:r w:rsidRPr="00ED7E61">
        <w:rPr>
          <w:rStyle w:val="normaltextrun"/>
          <w:rFonts w:asciiTheme="majorBidi" w:eastAsiaTheme="majorEastAsia" w:hAnsiTheme="majorBidi" w:cstheme="majorBidi"/>
        </w:rPr>
        <w:t xml:space="preserve"> this indicator. In the absence of </w:t>
      </w:r>
      <w:r>
        <w:rPr>
          <w:rStyle w:val="normaltextrun"/>
          <w:rFonts w:asciiTheme="majorBidi" w:eastAsiaTheme="majorEastAsia" w:hAnsiTheme="majorBidi" w:cstheme="majorBidi"/>
        </w:rPr>
        <w:t xml:space="preserve">published </w:t>
      </w:r>
      <w:r w:rsidRPr="00ED7E61">
        <w:rPr>
          <w:rStyle w:val="normaltextrun"/>
          <w:rFonts w:asciiTheme="majorBidi" w:eastAsiaTheme="majorEastAsia" w:hAnsiTheme="majorBidi" w:cstheme="majorBidi"/>
        </w:rPr>
        <w:t>national ecosystem extent accounts,</w:t>
      </w:r>
      <w:r>
        <w:rPr>
          <w:rStyle w:val="normaltextrun"/>
          <w:rFonts w:asciiTheme="majorBidi" w:eastAsiaTheme="majorEastAsia" w:hAnsiTheme="majorBidi" w:cstheme="majorBidi"/>
        </w:rPr>
        <w:t xml:space="preserve"> a preliminary ecosystem extent account may be compiled using available national and/or global data sources</w:t>
      </w:r>
      <w:r w:rsidRPr="00ED7E61">
        <w:rPr>
          <w:rStyle w:val="normaltextrun"/>
          <w:rFonts w:asciiTheme="majorBidi" w:eastAsiaTheme="majorEastAsia" w:hAnsiTheme="majorBidi" w:cstheme="majorBidi"/>
        </w:rPr>
        <w:t xml:space="preserve"> Such </w:t>
      </w:r>
      <w:r>
        <w:rPr>
          <w:rStyle w:val="normaltextrun"/>
          <w:rFonts w:asciiTheme="majorBidi" w:eastAsiaTheme="majorEastAsia" w:hAnsiTheme="majorBidi" w:cstheme="majorBidi"/>
        </w:rPr>
        <w:t xml:space="preserve">a preliminary account </w:t>
      </w:r>
      <w:r w:rsidRPr="00ED7E61">
        <w:rPr>
          <w:rStyle w:val="normaltextrun"/>
          <w:rFonts w:asciiTheme="majorBidi" w:eastAsiaTheme="majorEastAsia" w:hAnsiTheme="majorBidi" w:cstheme="majorBidi"/>
        </w:rPr>
        <w:t>would require national validation through appropriate institutional processes involving relevant national experts.</w:t>
      </w:r>
      <w:r w:rsidRPr="00ED7E61">
        <w:rPr>
          <w:rStyle w:val="normaltextrun"/>
        </w:rPr>
        <w:t> </w:t>
      </w:r>
    </w:p>
    <w:p w14:paraId="2D98FC56" w14:textId="77777777" w:rsidR="00874D55" w:rsidRPr="00ED7E61" w:rsidRDefault="00874D55" w:rsidP="00874D55">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11529E9" w14:textId="1ACF41E9" w:rsidR="00874D55" w:rsidRPr="00B3383B"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rPr>
        <w:t xml:space="preserve">For those countries that have national ecosystem extent accounts, the relevant national authorities, in </w:t>
      </w:r>
      <w:r w:rsidRPr="00B3383B">
        <w:rPr>
          <w:rStyle w:val="normaltextrun"/>
        </w:rPr>
        <w:t>particular</w:t>
      </w:r>
      <w:r w:rsidRPr="00ED7E61">
        <w:rPr>
          <w:rStyle w:val="normaltextrun"/>
          <w:rFonts w:asciiTheme="majorBidi" w:eastAsiaTheme="majorEastAsia" w:hAnsiTheme="majorBidi" w:cstheme="majorBidi"/>
        </w:rPr>
        <w:t xml:space="preserve"> the national statistical offices, ministries of environment or related agencies, will compile this indicator. In the absence of </w:t>
      </w:r>
      <w:r>
        <w:rPr>
          <w:rStyle w:val="normaltextrun"/>
          <w:rFonts w:asciiTheme="majorBidi" w:eastAsiaTheme="majorEastAsia" w:hAnsiTheme="majorBidi" w:cstheme="majorBidi"/>
        </w:rPr>
        <w:t xml:space="preserve">published </w:t>
      </w:r>
      <w:r w:rsidRPr="00ED7E61">
        <w:rPr>
          <w:rStyle w:val="normaltextrun"/>
          <w:rFonts w:asciiTheme="majorBidi" w:eastAsiaTheme="majorEastAsia" w:hAnsiTheme="majorBidi" w:cstheme="majorBidi"/>
        </w:rPr>
        <w:t>national ecosystem extent accounts,</w:t>
      </w:r>
      <w:r>
        <w:rPr>
          <w:rStyle w:val="normaltextrun"/>
          <w:rFonts w:asciiTheme="majorBidi" w:eastAsiaTheme="majorEastAsia" w:hAnsiTheme="majorBidi" w:cstheme="majorBidi"/>
        </w:rPr>
        <w:t xml:space="preserve"> a preliminary ecosystem account may be compiled using available national and/or</w:t>
      </w:r>
      <w:r w:rsidRPr="00ED7E61">
        <w:rPr>
          <w:rStyle w:val="normaltextrun"/>
          <w:rFonts w:asciiTheme="majorBidi" w:eastAsiaTheme="majorEastAsia" w:hAnsiTheme="majorBidi" w:cstheme="majorBidi"/>
        </w:rPr>
        <w:t xml:space="preserve"> global data sources. Such </w:t>
      </w:r>
      <w:r>
        <w:rPr>
          <w:rStyle w:val="normaltextrun"/>
          <w:rFonts w:asciiTheme="majorBidi" w:eastAsiaTheme="majorEastAsia" w:hAnsiTheme="majorBidi" w:cstheme="majorBidi"/>
        </w:rPr>
        <w:t xml:space="preserve">a preliminary account </w:t>
      </w:r>
      <w:r w:rsidRPr="00ED7E61">
        <w:rPr>
          <w:rStyle w:val="normaltextrun"/>
          <w:rFonts w:asciiTheme="majorBidi" w:eastAsiaTheme="majorEastAsia" w:hAnsiTheme="majorBidi" w:cstheme="majorBidi"/>
        </w:rPr>
        <w:t>would require national validation through appropriate institutional processes involving relevant national experts.</w:t>
      </w:r>
      <w:r w:rsidRPr="00ED7E61">
        <w:rPr>
          <w:rStyle w:val="normaltextrun"/>
        </w:rPr>
        <w:t> </w:t>
      </w:r>
    </w:p>
    <w:p w14:paraId="03F5B21B" w14:textId="77777777" w:rsidR="00874D55" w:rsidRPr="00ED7E61" w:rsidRDefault="00874D55" w:rsidP="00874D55">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03BE5CDA" w14:textId="77777777" w:rsidR="00874D55" w:rsidRPr="00ED7E61" w:rsidRDefault="00874D55" w:rsidP="00874D55">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38FCBCA9" w14:textId="77777777" w:rsidR="00874D55" w:rsidRPr="00ED7E61" w:rsidRDefault="00874D55" w:rsidP="00874D55">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52DE7257" w14:textId="77777777"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Missing values for individual countries may be estimated using global data platforms using existing global </w:t>
      </w:r>
      <w:r w:rsidRPr="00B3383B">
        <w:rPr>
          <w:rStyle w:val="normaltextrun"/>
        </w:rPr>
        <w:t>data</w:t>
      </w:r>
      <w:r w:rsidRPr="00ED7E61">
        <w:rPr>
          <w:rStyle w:val="normaltextrun"/>
          <w:rFonts w:asciiTheme="majorBidi" w:eastAsiaTheme="majorEastAsia" w:hAnsiTheme="majorBidi" w:cstheme="majorBidi"/>
        </w:rPr>
        <w:t>. Such estimates would require national validation through appropriate institutional processes involving relevant national experts.</w:t>
      </w:r>
      <w:r w:rsidRPr="00ED7E61">
        <w:rPr>
          <w:rStyle w:val="normaltextrun"/>
        </w:rPr>
        <w:t> </w:t>
      </w:r>
    </w:p>
    <w:p w14:paraId="3AD5505E" w14:textId="77777777" w:rsidR="00874D55" w:rsidRPr="00ED7E61" w:rsidRDefault="00874D55" w:rsidP="00874D55">
      <w:pPr>
        <w:pStyle w:val="paragraph"/>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p>
    <w:p w14:paraId="2478FB0B" w14:textId="77777777" w:rsidR="00874D55" w:rsidRPr="00ED7E61" w:rsidRDefault="00874D55" w:rsidP="00874D55">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w:t>
      </w:r>
    </w:p>
    <w:p w14:paraId="5043A71E" w14:textId="77777777" w:rsidR="00874D55" w:rsidRPr="00ED7E61" w:rsidRDefault="00874D55" w:rsidP="00874D55">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4E6F06BC" w14:textId="77777777" w:rsidR="00874D55" w:rsidRPr="00ED7E61" w:rsidRDefault="00874D55" w:rsidP="00874D55">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14623629" w14:textId="77777777" w:rsidR="00874D55" w:rsidRPr="00ED7E61" w:rsidRDefault="00874D55" w:rsidP="00874D55">
      <w:pPr>
        <w:pStyle w:val="CBDNormalNumber"/>
        <w:numPr>
          <w:ilvl w:val="0"/>
          <w:numId w:val="45"/>
        </w:numPr>
        <w:rPr>
          <w:rFonts w:asciiTheme="majorBidi" w:hAnsiTheme="majorBidi" w:cstheme="majorBidi"/>
        </w:rPr>
      </w:pPr>
      <w:r w:rsidRPr="00B3383B">
        <w:rPr>
          <w:rStyle w:val="normaltextrun"/>
        </w:rPr>
        <w:t>Scale</w:t>
      </w:r>
      <w:r w:rsidRPr="00ED7E61">
        <w:rPr>
          <w:rStyle w:val="normaltextrun"/>
          <w:rFonts w:asciiTheme="majorBidi" w:eastAsiaTheme="majorEastAsia" w:hAnsiTheme="majorBidi" w:cstheme="majorBidi"/>
        </w:rPr>
        <w:t xml:space="preserve"> of data disaggregation/aggregation: </w:t>
      </w:r>
      <w:r w:rsidRPr="00ED7E61">
        <w:rPr>
          <w:rStyle w:val="eop"/>
          <w:rFonts w:asciiTheme="majorBidi" w:eastAsiaTheme="majorEastAsia" w:hAnsiTheme="majorBidi" w:cstheme="majorBidi"/>
        </w:rPr>
        <w:t> </w:t>
      </w:r>
    </w:p>
    <w:p w14:paraId="16C490E6" w14:textId="77777777" w:rsidR="00874D55" w:rsidRPr="00ED7E61" w:rsidRDefault="00874D55" w:rsidP="00874D55">
      <w:pPr>
        <w:pStyle w:val="CBDNormalNumber"/>
        <w:numPr>
          <w:ilvl w:val="0"/>
          <w:numId w:val="46"/>
        </w:numPr>
        <w:tabs>
          <w:tab w:val="clear" w:pos="567"/>
          <w:tab w:val="clear" w:pos="1134"/>
          <w:tab w:val="clear" w:pos="1701"/>
          <w:tab w:val="clear" w:pos="2268"/>
          <w:tab w:val="left" w:pos="1985"/>
        </w:tabs>
        <w:ind w:left="1418"/>
        <w:rPr>
          <w:rStyle w:val="normaltextrun"/>
          <w:rFonts w:eastAsiaTheme="majorEastAsia"/>
        </w:rPr>
      </w:pPr>
      <w:r w:rsidRPr="00ED7E61">
        <w:rPr>
          <w:rStyle w:val="normaltextrun"/>
          <w:rFonts w:asciiTheme="majorBidi" w:eastAsiaTheme="majorEastAsia" w:hAnsiTheme="majorBidi" w:cstheme="majorBidi"/>
        </w:rPr>
        <w:t xml:space="preserve">Global/ regional scale indicator can be disaggregated to national level: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0DF77E68" w14:textId="77777777" w:rsidR="00874D55" w:rsidRPr="00ED7E61" w:rsidRDefault="00874D55" w:rsidP="00874D55">
      <w:pPr>
        <w:pStyle w:val="CBDNormalNumber"/>
        <w:numPr>
          <w:ilvl w:val="0"/>
          <w:numId w:val="46"/>
        </w:numPr>
        <w:tabs>
          <w:tab w:val="clear" w:pos="567"/>
          <w:tab w:val="clear" w:pos="1134"/>
          <w:tab w:val="clear" w:pos="1701"/>
          <w:tab w:val="clear" w:pos="2268"/>
          <w:tab w:val="left" w:pos="1985"/>
        </w:tabs>
        <w:ind w:left="1560"/>
        <w:rPr>
          <w:rStyle w:val="normaltextrun"/>
          <w:rFonts w:eastAsiaTheme="majorEastAsia"/>
        </w:rPr>
      </w:pPr>
      <w:r w:rsidRPr="00ED7E61">
        <w:rPr>
          <w:rStyle w:val="normaltextrun"/>
          <w:rFonts w:asciiTheme="majorBidi" w:eastAsiaTheme="majorEastAsia" w:hAnsiTheme="majorBidi" w:cstheme="majorBidi"/>
        </w:rPr>
        <w:t xml:space="preserve">National data is collated to form global indicator: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6AB90DC2" w14:textId="1C204011" w:rsidR="00874D55" w:rsidRPr="00ED7E61" w:rsidRDefault="00874D55" w:rsidP="00874D55">
      <w:pPr>
        <w:pStyle w:val="CBDNormalNumber"/>
        <w:numPr>
          <w:ilvl w:val="0"/>
          <w:numId w:val="45"/>
        </w:numPr>
        <w:rPr>
          <w:rStyle w:val="normaltextrun"/>
          <w:rFonts w:eastAsiaTheme="majorEastAsia"/>
        </w:rPr>
      </w:pPr>
      <w:r w:rsidRPr="00ED7E61">
        <w:rPr>
          <w:rStyle w:val="normaltextrun"/>
          <w:rFonts w:asciiTheme="majorBidi" w:eastAsiaTheme="majorEastAsia" w:hAnsiTheme="majorBidi" w:cstheme="majorBidi"/>
        </w:rPr>
        <w:lastRenderedPageBreak/>
        <w:t xml:space="preserve">The indicator is applicable at the global, national and regional scale. National data can be aggregated to form the global indicator provided that the underlying ecosystem classifications can be linked to IUCN GET, </w:t>
      </w:r>
      <w:r>
        <w:rPr>
          <w:rStyle w:val="normaltextrun"/>
          <w:rFonts w:asciiTheme="majorBidi" w:eastAsiaTheme="majorEastAsia" w:hAnsiTheme="majorBidi" w:cstheme="majorBidi"/>
        </w:rPr>
        <w:t>using the IUCN guidelines for such cross-</w:t>
      </w:r>
      <w:r w:rsidR="005836FE">
        <w:rPr>
          <w:rStyle w:val="normaltextrun"/>
          <w:rFonts w:asciiTheme="majorBidi" w:eastAsiaTheme="majorEastAsia" w:hAnsiTheme="majorBidi" w:cstheme="majorBidi"/>
        </w:rPr>
        <w:t>referencing</w:t>
      </w:r>
      <w:r>
        <w:rPr>
          <w:rStyle w:val="normaltextrun"/>
          <w:rFonts w:asciiTheme="majorBidi" w:eastAsiaTheme="majorEastAsia" w:hAnsiTheme="majorBidi" w:cstheme="majorBidi"/>
        </w:rPr>
        <w:t xml:space="preserve"> (IU</w:t>
      </w:r>
      <w:r w:rsidR="005836FE">
        <w:rPr>
          <w:rStyle w:val="normaltextrun"/>
          <w:rFonts w:asciiTheme="majorBidi" w:eastAsiaTheme="majorEastAsia" w:hAnsiTheme="majorBidi" w:cstheme="majorBidi"/>
        </w:rPr>
        <w:t>C</w:t>
      </w:r>
      <w:r>
        <w:rPr>
          <w:rStyle w:val="normaltextrun"/>
          <w:rFonts w:asciiTheme="majorBidi" w:eastAsiaTheme="majorEastAsia" w:hAnsiTheme="majorBidi" w:cstheme="majorBidi"/>
        </w:rPr>
        <w:t>N, 2025)</w:t>
      </w:r>
      <w:r w:rsidRPr="00ED7E61">
        <w:rPr>
          <w:rStyle w:val="normaltextrun"/>
          <w:rFonts w:asciiTheme="majorBidi" w:eastAsiaTheme="majorEastAsia" w:hAnsiTheme="majorBidi" w:cstheme="majorBidi"/>
        </w:rPr>
        <w:t>. </w:t>
      </w:r>
      <w:r w:rsidRPr="00ED7E61">
        <w:rPr>
          <w:rStyle w:val="normaltextrun"/>
        </w:rPr>
        <w:t> </w:t>
      </w:r>
    </w:p>
    <w:p w14:paraId="5851AB3C" w14:textId="77777777" w:rsidR="00874D55" w:rsidRPr="00ED7E61" w:rsidRDefault="00874D55" w:rsidP="00874D55">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5022FBE1" w14:textId="77777777"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SEEA Ecosystem Accounting and IUCN GET are scalable at any level, including national and regional </w:t>
      </w:r>
      <w:r w:rsidRPr="00B3383B">
        <w:rPr>
          <w:rStyle w:val="normaltextrun"/>
        </w:rPr>
        <w:t>levels</w:t>
      </w:r>
      <w:r w:rsidRPr="00ED7E61">
        <w:rPr>
          <w:rStyle w:val="normaltextrun"/>
          <w:rFonts w:asciiTheme="majorBidi" w:eastAsiaTheme="majorEastAsia" w:hAnsiTheme="majorBidi" w:cstheme="majorBidi"/>
        </w:rPr>
        <w:t>.</w:t>
      </w:r>
      <w:r w:rsidRPr="00ED7E61">
        <w:rPr>
          <w:rStyle w:val="normaltextrun"/>
        </w:rPr>
        <w:t> </w:t>
      </w:r>
    </w:p>
    <w:p w14:paraId="6925D3D5" w14:textId="77777777" w:rsidR="00874D55" w:rsidRPr="00ED7E61" w:rsidRDefault="00874D55" w:rsidP="00874D55">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6B3C7E33" w14:textId="77777777" w:rsidR="00874D55" w:rsidRPr="00ED7E61" w:rsidRDefault="00874D55" w:rsidP="00874D55">
      <w:pPr>
        <w:pStyle w:val="CBDNormalNumber"/>
        <w:numPr>
          <w:ilvl w:val="0"/>
          <w:numId w:val="45"/>
        </w:numPr>
        <w:rPr>
          <w:rStyle w:val="normaltextrun"/>
          <w:rFonts w:eastAsiaTheme="majorEastAsia"/>
          <w:sz w:val="24"/>
          <w:szCs w:val="24"/>
          <w:lang w:val="en-CA"/>
        </w:rPr>
      </w:pPr>
      <w:r w:rsidRPr="00B3383B">
        <w:rPr>
          <w:rStyle w:val="normaltextrun"/>
        </w:rPr>
        <w:t>Differences</w:t>
      </w:r>
      <w:r w:rsidRPr="00ED7E61">
        <w:rPr>
          <w:rStyle w:val="normaltextrun"/>
          <w:rFonts w:asciiTheme="majorBidi" w:eastAsiaTheme="majorEastAsia" w:hAnsiTheme="majorBidi" w:cstheme="majorBidi"/>
        </w:rPr>
        <w:t xml:space="preserve"> between country produced and internationally estimated data may arise due to differences in spatial resolution of datasets, classification and mapping approaches, cross-walking approaches, projection, and definition of ecosystem conversion.</w:t>
      </w:r>
      <w:r w:rsidRPr="00ED7E61">
        <w:rPr>
          <w:rStyle w:val="normaltextrun"/>
        </w:rPr>
        <w:t> </w:t>
      </w:r>
    </w:p>
    <w:p w14:paraId="0AC252FB" w14:textId="77777777" w:rsidR="00874D55" w:rsidRPr="00ED7E61" w:rsidRDefault="00874D55" w:rsidP="00874D55">
      <w:pPr>
        <w:pStyle w:val="CBDNormalNumber"/>
        <w:numPr>
          <w:ilvl w:val="0"/>
          <w:numId w:val="45"/>
        </w:numPr>
        <w:rPr>
          <w:rStyle w:val="normaltextrun"/>
          <w:rFonts w:eastAsiaTheme="majorEastAsia"/>
        </w:rPr>
      </w:pPr>
      <w:r w:rsidRPr="00B3383B">
        <w:rPr>
          <w:rStyle w:val="normaltextrun"/>
        </w:rPr>
        <w:t>Differences</w:t>
      </w:r>
      <w:r w:rsidRPr="00ED7E61">
        <w:rPr>
          <w:rStyle w:val="normaltextrun"/>
          <w:rFonts w:asciiTheme="majorBidi" w:eastAsiaTheme="majorEastAsia" w:hAnsiTheme="majorBidi" w:cstheme="majorBidi"/>
        </w:rPr>
        <w:t xml:space="preserve"> may also arise due to territorial disputes between countries or in the case condominiums. These differences will be dealt with on a case-by-case basis. </w:t>
      </w:r>
      <w:r w:rsidRPr="00ED7E61">
        <w:rPr>
          <w:rStyle w:val="normaltextrun"/>
        </w:rPr>
        <w:t> </w:t>
      </w:r>
    </w:p>
    <w:p w14:paraId="5BF622C0" w14:textId="77777777" w:rsidR="00874D55" w:rsidRPr="00ED7E61" w:rsidRDefault="00874D55" w:rsidP="00874D55">
      <w:pPr>
        <w:pStyle w:val="paragraph"/>
        <w:spacing w:before="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0CA0091A" w14:textId="77777777" w:rsidR="00874D55" w:rsidRPr="00ED7E61" w:rsidRDefault="00874D55" w:rsidP="00874D55">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7289ECC1" w14:textId="77777777"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Regional and global estimates are produced by aggregating country-level data. </w:t>
      </w:r>
      <w:r w:rsidRPr="00ED7E61">
        <w:rPr>
          <w:rStyle w:val="normaltextrun"/>
        </w:rPr>
        <w:t> </w:t>
      </w:r>
    </w:p>
    <w:p w14:paraId="304C9ECD" w14:textId="77777777" w:rsidR="00874D55" w:rsidRPr="00ED7E61" w:rsidRDefault="00874D55" w:rsidP="00874D55">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0674ED87" w14:textId="77777777"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will provide data (using a spreadsheet template or through an online data collection system) that will request them to provide values in absolute terms (e.g. ha) for all EFGs in their country (see Section 6d.3 below). These values can then be aggregated globally and converted to percentages. </w:t>
      </w:r>
      <w:r w:rsidRPr="00ED7E61">
        <w:rPr>
          <w:rStyle w:val="normaltextrun"/>
        </w:rPr>
        <w:t> </w:t>
      </w:r>
    </w:p>
    <w:p w14:paraId="4EC8F95B" w14:textId="77777777" w:rsidR="00874D55" w:rsidRPr="00ED7E61" w:rsidRDefault="00874D55" w:rsidP="00874D55">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0F13036F" w14:textId="5C1127FF" w:rsidR="00874D55" w:rsidRPr="00ED7E61" w:rsidRDefault="00874D55" w:rsidP="00874D55">
      <w:pPr>
        <w:pStyle w:val="CBDNormalNumber"/>
        <w:numPr>
          <w:ilvl w:val="0"/>
          <w:numId w:val="45"/>
        </w:numPr>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Data will be </w:t>
      </w:r>
      <w:r w:rsidRPr="00B3383B">
        <w:rPr>
          <w:rStyle w:val="normaltextrun"/>
        </w:rPr>
        <w:t>collected</w:t>
      </w:r>
      <w:r w:rsidRPr="00ED7E61">
        <w:rPr>
          <w:rStyle w:val="normaltextrun"/>
          <w:rFonts w:asciiTheme="majorBidi" w:eastAsiaTheme="majorEastAsia" w:hAnsiTheme="majorBidi" w:cstheme="majorBidi"/>
        </w:rPr>
        <w:t xml:space="preserve"> from countries (using a spreadsheet template or an online data collection system). As noted earlier, countries will not be required to submit their ecosystem extent account tables but rather to submit data extracted from the tables. Data on actual area in absolute terms is very useful, so the reporting template will require countries to report not only on proportions in percentage terms but also on the actual areas (e.g. in ha or km2). Countries will be requested to submit data on the extent of each EFG present in the country (natural</w:t>
      </w:r>
      <w:r>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and anthropogenic EFGs) at the end of each accounting period</w:t>
      </w:r>
      <w:r w:rsidRPr="00ED7E61">
        <w:rPr>
          <w:rStyle w:val="normaltextrun"/>
          <w:rFonts w:eastAsiaTheme="majorEastAsia"/>
        </w:rPr>
        <w:t>10</w:t>
      </w:r>
      <w:r w:rsidRPr="00ED7E61">
        <w:rPr>
          <w:rStyle w:val="normaltextrun"/>
          <w:rFonts w:asciiTheme="majorBidi" w:eastAsiaTheme="majorEastAsia" w:hAnsiTheme="majorBidi" w:cstheme="majorBidi"/>
        </w:rPr>
        <w:t xml:space="preserve"> as well as the total area of the country. The sum of the area of all EFGs for each accounting period should equal the total area of the country (noting that </w:t>
      </w:r>
      <w:r>
        <w:rPr>
          <w:rStyle w:val="normaltextrun"/>
          <w:rFonts w:asciiTheme="majorBidi" w:eastAsiaTheme="majorEastAsia" w:hAnsiTheme="majorBidi" w:cstheme="majorBidi"/>
        </w:rPr>
        <w:t>inland and marine areas should be reported separately</w:t>
      </w:r>
      <w:r w:rsidRPr="00ED7E61">
        <w:rPr>
          <w:rStyle w:val="normaltextrun"/>
          <w:rFonts w:asciiTheme="majorBidi" w:eastAsiaTheme="majorEastAsia" w:hAnsiTheme="majorBidi" w:cstheme="majorBidi"/>
        </w:rPr>
        <w:t>, if applicable, as discussed in Section 5a).</w:t>
      </w:r>
      <w:r w:rsidRPr="00ED7E61">
        <w:rPr>
          <w:rStyle w:val="normaltextrun"/>
          <w:rFonts w:eastAsiaTheme="majorEastAsia"/>
        </w:rPr>
        <w:t>11</w:t>
      </w:r>
      <w:r w:rsidRPr="00ED7E61">
        <w:rPr>
          <w:rStyle w:val="normaltextrun"/>
          <w:rFonts w:asciiTheme="majorBidi" w:eastAsiaTheme="majorEastAsia" w:hAnsiTheme="majorBidi" w:cstheme="majorBidi"/>
        </w:rPr>
        <w:t xml:space="preserve"> Countries should identify the EFGs  using the EFG codes and names from the GET Collecting data from countries disaggregated to EFGs allows for global aggregation to biomes or realms as needed.</w:t>
      </w:r>
      <w:r w:rsidRPr="00ED7E61">
        <w:rPr>
          <w:rStyle w:val="normaltextrun"/>
        </w:rPr>
        <w:t> </w:t>
      </w:r>
    </w:p>
    <w:p w14:paraId="677777F6" w14:textId="77777777" w:rsidR="00874D55" w:rsidRPr="00ED7E61" w:rsidRDefault="00874D55" w:rsidP="00874D55">
      <w:pPr>
        <w:pStyle w:val="CBDNormalNumber"/>
        <w:numPr>
          <w:ilvl w:val="0"/>
          <w:numId w:val="45"/>
        </w:numPr>
        <w:rPr>
          <w:rStyle w:val="normaltextrun"/>
          <w:rFonts w:eastAsiaTheme="majorEastAsia"/>
        </w:rPr>
      </w:pPr>
      <w:r w:rsidRPr="00ED7E61">
        <w:rPr>
          <w:rStyle w:val="normaltextrun"/>
          <w:rFonts w:asciiTheme="majorBidi" w:eastAsiaTheme="majorEastAsia" w:hAnsiTheme="majorBidi" w:cstheme="majorBidi"/>
        </w:rPr>
        <w:t xml:space="preserve">The reporting template will allow countries to submit data for all the accounting periods for which they have compiled accounts. The first data point will be the opening extent of the first account compiled, followed by the closing extent for the first account and for each subsequent account, The opening extent of </w:t>
      </w:r>
      <w:r w:rsidRPr="00B3383B">
        <w:rPr>
          <w:rStyle w:val="normaltextrun"/>
        </w:rPr>
        <w:t>the</w:t>
      </w:r>
      <w:r w:rsidRPr="00ED7E61">
        <w:rPr>
          <w:rStyle w:val="normaltextrun"/>
          <w:rFonts w:asciiTheme="majorBidi" w:eastAsiaTheme="majorEastAsia" w:hAnsiTheme="majorBidi" w:cstheme="majorBidi"/>
        </w:rPr>
        <w:t xml:space="preserve"> first account provides a baseline for the country. Depending on the data available nationally, this could be the historical extent of the EFG, prior to major human modification of the landscape, or a more recent baseline. </w:t>
      </w:r>
      <w:r w:rsidRPr="00ED7E61">
        <w:rPr>
          <w:rStyle w:val="normaltextrun"/>
        </w:rPr>
        <w:t> </w:t>
      </w:r>
    </w:p>
    <w:p w14:paraId="6D4212DF" w14:textId="77777777" w:rsidR="00874D55" w:rsidRPr="00ED7E61" w:rsidRDefault="00874D55" w:rsidP="00874D55">
      <w:pPr>
        <w:pStyle w:val="CBDNormalNumber"/>
        <w:numPr>
          <w:ilvl w:val="0"/>
          <w:numId w:val="45"/>
        </w:numPr>
        <w:rPr>
          <w:rFonts w:asciiTheme="majorBidi" w:hAnsiTheme="majorBidi" w:cstheme="majorBidi"/>
        </w:rPr>
      </w:pPr>
      <w:r w:rsidRPr="00ED7E61">
        <w:rPr>
          <w:rStyle w:val="normaltextrun"/>
          <w:rFonts w:asciiTheme="majorBidi" w:eastAsiaTheme="majorEastAsia" w:hAnsiTheme="majorBidi" w:cstheme="majorBidi"/>
        </w:rPr>
        <w:t xml:space="preserve">Country </w:t>
      </w:r>
      <w:r w:rsidRPr="00B3383B">
        <w:rPr>
          <w:rStyle w:val="normaltextrun"/>
        </w:rPr>
        <w:t>baseline</w:t>
      </w:r>
      <w:r w:rsidRPr="00ED7E61">
        <w:rPr>
          <w:rStyle w:val="normaltextrun"/>
          <w:rFonts w:asciiTheme="majorBidi" w:eastAsiaTheme="majorEastAsia" w:hAnsiTheme="majorBidi" w:cstheme="majorBidi"/>
        </w:rPr>
        <w:t xml:space="preserve"> dates are distinct from the global baseline date. The proposed baseline year for global reporting under the GBF is likely to be 2020, or alternatively an average of the values between 2010 and 2020. Collecting data for years prior to the global baseline from countries that have such data could enable additional analyses that may be useful.</w:t>
      </w:r>
      <w:r w:rsidRPr="00ED7E61">
        <w:rPr>
          <w:rStyle w:val="eop"/>
          <w:rFonts w:asciiTheme="majorBidi" w:eastAsiaTheme="majorEastAsia" w:hAnsiTheme="majorBidi" w:cstheme="majorBidi"/>
        </w:rPr>
        <w:t> </w:t>
      </w:r>
    </w:p>
    <w:p w14:paraId="1ADAF48B" w14:textId="77777777" w:rsidR="00874D55" w:rsidRPr="00874D55" w:rsidRDefault="00874D55" w:rsidP="00874D55">
      <w:pPr>
        <w:pStyle w:val="paragraph"/>
        <w:pBdr>
          <w:bottom w:val="single" w:sz="4" w:space="1" w:color="000000"/>
        </w:pBdr>
        <w:spacing w:before="120" w:beforeAutospacing="0" w:after="120" w:afterAutospacing="0"/>
        <w:textAlignment w:val="baseline"/>
        <w:rPr>
          <w:rStyle w:val="normaltextrun"/>
          <w:rFonts w:eastAsiaTheme="majorEastAsia"/>
          <w:b/>
          <w:bCs/>
        </w:rPr>
      </w:pPr>
      <w:r w:rsidRPr="00874D55">
        <w:rPr>
          <w:rStyle w:val="normaltextrun"/>
          <w:rFonts w:asciiTheme="majorBidi" w:eastAsiaTheme="majorEastAsia" w:hAnsiTheme="majorBidi" w:cstheme="majorBidi"/>
          <w:b/>
          <w:bCs/>
          <w:sz w:val="22"/>
          <w:szCs w:val="22"/>
          <w:lang w:val="en-GB"/>
        </w:rPr>
        <w:t>7. Other MEAs, processes and organisations</w:t>
      </w:r>
      <w:r w:rsidRPr="00874D55">
        <w:rPr>
          <w:rStyle w:val="normaltextrun"/>
          <w:rFonts w:eastAsiaTheme="majorEastAsia"/>
          <w:b/>
          <w:bCs/>
        </w:rPr>
        <w:t> </w:t>
      </w:r>
    </w:p>
    <w:p w14:paraId="395DB6C9" w14:textId="77777777" w:rsidR="00874D55" w:rsidRPr="00874D55" w:rsidRDefault="00874D55" w:rsidP="00874D55">
      <w:pPr>
        <w:pStyle w:val="CBDNormalNumber"/>
        <w:numPr>
          <w:ilvl w:val="0"/>
          <w:numId w:val="45"/>
        </w:numPr>
        <w:rPr>
          <w:rStyle w:val="normaltextrun"/>
          <w:rFonts w:eastAsiaTheme="majorEastAsia"/>
        </w:rPr>
      </w:pPr>
      <w:r w:rsidRPr="00874D55">
        <w:rPr>
          <w:rStyle w:val="normaltextrun"/>
          <w:rFonts w:asciiTheme="majorBidi" w:eastAsiaTheme="majorEastAsia" w:hAnsiTheme="majorBidi" w:cstheme="majorBidi"/>
        </w:rPr>
        <w:t>N/A</w:t>
      </w:r>
      <w:r w:rsidRPr="00874D55">
        <w:rPr>
          <w:rStyle w:val="normaltextrun"/>
        </w:rPr>
        <w:t> </w:t>
      </w:r>
    </w:p>
    <w:p w14:paraId="2A30B181" w14:textId="77777777" w:rsidR="00874D55" w:rsidRPr="00ED7E61" w:rsidRDefault="00874D55" w:rsidP="00874D55">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Possible </w:t>
      </w:r>
      <w:proofErr w:type="spellStart"/>
      <w:r w:rsidRPr="00ED7E61">
        <w:rPr>
          <w:rStyle w:val="normaltextrun"/>
          <w:rFonts w:asciiTheme="majorBidi" w:eastAsiaTheme="majorEastAsia" w:hAnsiTheme="majorBidi" w:cstheme="majorBidi"/>
          <w:b/>
          <w:bCs/>
          <w:sz w:val="22"/>
          <w:szCs w:val="22"/>
        </w:rPr>
        <w:t>Disaggregations</w:t>
      </w:r>
      <w:proofErr w:type="spellEnd"/>
      <w:r w:rsidRPr="00ED7E61">
        <w:rPr>
          <w:rStyle w:val="eop"/>
          <w:rFonts w:asciiTheme="majorBidi" w:eastAsiaTheme="majorEastAsia" w:hAnsiTheme="majorBidi" w:cstheme="majorBidi"/>
          <w:sz w:val="22"/>
          <w:szCs w:val="22"/>
        </w:rPr>
        <w:t> </w:t>
      </w:r>
    </w:p>
    <w:p w14:paraId="29166F0B" w14:textId="77777777" w:rsidR="00874D55" w:rsidRPr="00ED7E61" w:rsidRDefault="00874D55" w:rsidP="00874D55">
      <w:pPr>
        <w:pStyle w:val="CBDNormalNumber"/>
        <w:numPr>
          <w:ilvl w:val="0"/>
          <w:numId w:val="45"/>
        </w:numPr>
        <w:rPr>
          <w:rStyle w:val="normaltextrun"/>
          <w:sz w:val="24"/>
          <w:szCs w:val="24"/>
          <w:lang w:val="en-CA"/>
        </w:rPr>
      </w:pPr>
      <w:r w:rsidRPr="00ED7E61">
        <w:rPr>
          <w:rStyle w:val="normaltextrun"/>
          <w:rFonts w:asciiTheme="majorBidi" w:eastAsiaTheme="majorEastAsia" w:hAnsiTheme="majorBidi" w:cstheme="majorBidi"/>
        </w:rPr>
        <w:lastRenderedPageBreak/>
        <w:t xml:space="preserve">This </w:t>
      </w:r>
      <w:r w:rsidRPr="00B3383B">
        <w:rPr>
          <w:rStyle w:val="normaltextrun"/>
        </w:rPr>
        <w:t>indicator</w:t>
      </w:r>
      <w:r w:rsidRPr="00ED7E61">
        <w:rPr>
          <w:rStyle w:val="normaltextrun"/>
          <w:rFonts w:asciiTheme="majorBidi" w:eastAsiaTheme="majorEastAsia" w:hAnsiTheme="majorBidi" w:cstheme="majorBidi"/>
        </w:rPr>
        <w:t xml:space="preserve"> can be disaggregated by realm, biome, EFG and geographical location, all of which provide useful information. </w:t>
      </w:r>
      <w:r w:rsidRPr="00ED7E61">
        <w:rPr>
          <w:rStyle w:val="normaltextrun"/>
        </w:rPr>
        <w:t> </w:t>
      </w:r>
    </w:p>
    <w:p w14:paraId="5CAEAFEB" w14:textId="77777777" w:rsidR="00874D55" w:rsidRPr="00ED7E61" w:rsidRDefault="00874D55" w:rsidP="00874D55">
      <w:pPr>
        <w:pStyle w:val="CBDNormalNumber"/>
        <w:numPr>
          <w:ilvl w:val="0"/>
          <w:numId w:val="45"/>
        </w:numPr>
        <w:rPr>
          <w:rStyle w:val="eop"/>
        </w:rPr>
      </w:pPr>
      <w:r w:rsidRPr="00ED7E61">
        <w:rPr>
          <w:rStyle w:val="normaltextrun"/>
          <w:rFonts w:asciiTheme="majorBidi" w:eastAsiaTheme="majorEastAsia" w:hAnsiTheme="majorBidi" w:cstheme="majorBidi"/>
          <w:color w:val="000000"/>
          <w:lang w:val="en-AU"/>
        </w:rPr>
        <w:t xml:space="preserve">The </w:t>
      </w:r>
      <w:r w:rsidRPr="00B3383B">
        <w:rPr>
          <w:rStyle w:val="normaltextrun"/>
        </w:rPr>
        <w:t>primary</w:t>
      </w:r>
      <w:r w:rsidRPr="00ED7E61">
        <w:rPr>
          <w:rStyle w:val="normaltextrun"/>
          <w:rFonts w:asciiTheme="majorBidi" w:eastAsiaTheme="majorEastAsia" w:hAnsiTheme="majorBidi" w:cstheme="majorBidi"/>
          <w:color w:val="000000"/>
          <w:lang w:val="en-AU"/>
        </w:rPr>
        <w:t xml:space="preserve"> recommended disaggregation for A.2 Extent of natural ecosystems is:</w:t>
      </w:r>
      <w:r w:rsidRPr="00ED7E61">
        <w:rPr>
          <w:rStyle w:val="eop"/>
          <w:rFonts w:asciiTheme="majorBidi" w:eastAsiaTheme="majorEastAsia" w:hAnsiTheme="majorBidi" w:cstheme="majorBidi"/>
          <w:color w:val="000000"/>
        </w:rPr>
        <w:t> </w:t>
      </w:r>
    </w:p>
    <w:p w14:paraId="349FA9AE" w14:textId="77777777" w:rsidR="00874D55" w:rsidRPr="00ED7E61" w:rsidRDefault="00874D55" w:rsidP="00874D55">
      <w:pPr>
        <w:pStyle w:val="CBDNormalNumber"/>
        <w:tabs>
          <w:tab w:val="clear" w:pos="567"/>
          <w:tab w:val="clear" w:pos="1134"/>
          <w:tab w:val="clear" w:pos="1701"/>
          <w:tab w:val="clear" w:pos="2268"/>
          <w:tab w:val="left" w:pos="1985"/>
        </w:tabs>
        <w:ind w:left="1134"/>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By Ecosystem Functional Group (based on the IUCN Global Ecosystem Typology level 3); this will be the expected disaggregation for national reporting. Because the Global Ecosystem Typology is hierarchical, results can also be shown by biome and realm, which are a higher level in the hierarchy, and therefore with fewer categories (and thus potentially less informative, but more digestible for non-specialists). </w:t>
      </w:r>
      <w:r w:rsidRPr="00ED7E61">
        <w:rPr>
          <w:rStyle w:val="normaltextrun"/>
          <w:lang w:val="en-AU"/>
        </w:rPr>
        <w:t> </w:t>
      </w:r>
    </w:p>
    <w:p w14:paraId="6C3D53D9" w14:textId="77777777" w:rsidR="00874D55" w:rsidRPr="00ED7E61" w:rsidRDefault="00874D55" w:rsidP="00874D55">
      <w:pPr>
        <w:pStyle w:val="CBDNormalNumber"/>
        <w:numPr>
          <w:ilvl w:val="0"/>
          <w:numId w:val="45"/>
        </w:numPr>
        <w:rPr>
          <w:rStyle w:val="normaltextrun"/>
          <w:rFonts w:eastAsiaTheme="majorEastAsia"/>
          <w:color w:val="000000"/>
          <w:lang w:val="en-AU"/>
        </w:rPr>
      </w:pPr>
      <w:r w:rsidRPr="00B3383B">
        <w:rPr>
          <w:rStyle w:val="normaltextrun"/>
        </w:rPr>
        <w:t>Potential</w:t>
      </w:r>
      <w:r w:rsidRPr="00ED7E61">
        <w:rPr>
          <w:rStyle w:val="normaltextrun"/>
          <w:rFonts w:asciiTheme="majorBidi" w:eastAsiaTheme="majorEastAsia" w:hAnsiTheme="majorBidi" w:cstheme="majorBidi"/>
          <w:color w:val="000000"/>
          <w:lang w:val="en-AU"/>
        </w:rPr>
        <w:t xml:space="preserve"> further </w:t>
      </w:r>
      <w:proofErr w:type="spellStart"/>
      <w:r w:rsidRPr="00ED7E61">
        <w:rPr>
          <w:rStyle w:val="normaltextrun"/>
          <w:rFonts w:asciiTheme="majorBidi" w:eastAsiaTheme="majorEastAsia" w:hAnsiTheme="majorBidi" w:cstheme="majorBidi"/>
          <w:color w:val="000000"/>
          <w:lang w:val="en-AU"/>
        </w:rPr>
        <w:t>disaggregations</w:t>
      </w:r>
      <w:proofErr w:type="spellEnd"/>
      <w:r w:rsidRPr="00ED7E61">
        <w:rPr>
          <w:rStyle w:val="normaltextrun"/>
          <w:rFonts w:asciiTheme="majorBidi" w:eastAsiaTheme="majorEastAsia" w:hAnsiTheme="majorBidi" w:cstheme="majorBidi"/>
          <w:color w:val="000000"/>
          <w:lang w:val="en-AU"/>
        </w:rPr>
        <w:t xml:space="preserve"> that are informative for this headline indicator include:</w:t>
      </w:r>
      <w:r w:rsidRPr="00ED7E61">
        <w:rPr>
          <w:rStyle w:val="normaltextrun"/>
          <w:lang w:val="en-AU"/>
        </w:rPr>
        <w:t> </w:t>
      </w:r>
    </w:p>
    <w:p w14:paraId="07C68B4B" w14:textId="77777777" w:rsidR="00874D55" w:rsidRPr="00ED7E61" w:rsidRDefault="00874D55" w:rsidP="00874D55">
      <w:pPr>
        <w:pStyle w:val="CBDNormalNumber"/>
        <w:numPr>
          <w:ilvl w:val="0"/>
          <w:numId w:val="47"/>
        </w:numPr>
        <w:tabs>
          <w:tab w:val="clear" w:pos="567"/>
          <w:tab w:val="clear" w:pos="1134"/>
          <w:tab w:val="clear" w:pos="1701"/>
        </w:tabs>
        <w:ind w:left="1134" w:firstLine="567"/>
        <w:rPr>
          <w:rStyle w:val="normaltextrun"/>
          <w:rFonts w:asciiTheme="majorBidi" w:eastAsiaTheme="majorEastAsia" w:hAnsiTheme="majorBidi" w:cstheme="majorBidi"/>
          <w:color w:val="000000"/>
          <w:lang w:val="en-AU"/>
        </w:rPr>
      </w:pPr>
      <w:r w:rsidRPr="00ED7E61">
        <w:rPr>
          <w:rStyle w:val="normaltextrun"/>
          <w:rFonts w:asciiTheme="majorBidi" w:eastAsiaTheme="majorEastAsia" w:hAnsiTheme="majorBidi" w:cstheme="majorBidi"/>
          <w:color w:val="000000"/>
          <w:lang w:val="en-AU"/>
        </w:rPr>
        <w:t>Disaggregation by geographical location</w:t>
      </w:r>
      <w:r>
        <w:rPr>
          <w:rStyle w:val="normaltextrun"/>
          <w:rFonts w:asciiTheme="majorBidi" w:eastAsiaTheme="majorEastAsia" w:hAnsiTheme="majorBidi" w:cstheme="majorBidi"/>
          <w:color w:val="000000"/>
          <w:lang w:val="en-AU"/>
        </w:rPr>
        <w:t>;</w:t>
      </w:r>
    </w:p>
    <w:p w14:paraId="66DA7F9B" w14:textId="77777777" w:rsidR="00874D55" w:rsidRPr="00ED7E61" w:rsidRDefault="00874D55" w:rsidP="00874D55">
      <w:pPr>
        <w:pStyle w:val="CBDNormalNumber"/>
        <w:numPr>
          <w:ilvl w:val="0"/>
          <w:numId w:val="47"/>
        </w:numPr>
        <w:tabs>
          <w:tab w:val="clear" w:pos="567"/>
          <w:tab w:val="clear" w:pos="1134"/>
          <w:tab w:val="clear" w:pos="1701"/>
        </w:tabs>
        <w:ind w:left="1134" w:firstLine="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Disaggregation by natural and semi-natural ecosystems, but this would need further discussion as the distinction between natural and semi-natural ecosystems can be difficult to make in practice (as discussed earlier). Those countries that </w:t>
      </w:r>
      <w:proofErr w:type="gramStart"/>
      <w:r w:rsidRPr="00ED7E61">
        <w:rPr>
          <w:rStyle w:val="normaltextrun"/>
          <w:rFonts w:asciiTheme="majorBidi" w:eastAsiaTheme="majorEastAsia" w:hAnsiTheme="majorBidi" w:cstheme="majorBidi"/>
          <w:color w:val="000000"/>
          <w:lang w:val="en-AU"/>
        </w:rPr>
        <w:t>are able to</w:t>
      </w:r>
      <w:proofErr w:type="gramEnd"/>
      <w:r w:rsidRPr="00ED7E61">
        <w:rPr>
          <w:rStyle w:val="normaltextrun"/>
          <w:rFonts w:asciiTheme="majorBidi" w:eastAsiaTheme="majorEastAsia" w:hAnsiTheme="majorBidi" w:cstheme="majorBidi"/>
          <w:color w:val="000000"/>
          <w:lang w:val="en-AU"/>
        </w:rPr>
        <w:t xml:space="preserve"> distinguish systematically between natural and semi-natural ecosystems could use this information on the relative share of natural and semi-natural area for analytical purposes, as it can provide additional relevant information about the interactions between people and ecosystems</w:t>
      </w:r>
      <w:r>
        <w:rPr>
          <w:rStyle w:val="normaltextrun"/>
          <w:color w:val="000000"/>
          <w:lang w:val="en-AU"/>
        </w:rPr>
        <w:t>;</w:t>
      </w:r>
    </w:p>
    <w:p w14:paraId="675E4276" w14:textId="77777777" w:rsidR="00874D55" w:rsidRPr="00ED7E61" w:rsidRDefault="00874D55" w:rsidP="00874D55">
      <w:pPr>
        <w:pStyle w:val="CBDNormalNumber"/>
        <w:numPr>
          <w:ilvl w:val="0"/>
          <w:numId w:val="47"/>
        </w:numPr>
        <w:tabs>
          <w:tab w:val="clear" w:pos="567"/>
          <w:tab w:val="clear" w:pos="1134"/>
          <w:tab w:val="clear" w:pos="1701"/>
        </w:tabs>
        <w:ind w:left="1134" w:firstLine="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Subnational disaggregation may be important and useful at the country level (for example, disaggregation to provinces and municipalities). However, this would not be required for global data collection</w:t>
      </w:r>
      <w:r>
        <w:rPr>
          <w:rStyle w:val="normaltextrun"/>
          <w:color w:val="000000"/>
          <w:lang w:val="en-AU"/>
        </w:rPr>
        <w:t>;</w:t>
      </w:r>
    </w:p>
    <w:p w14:paraId="26288AF3" w14:textId="77777777" w:rsidR="00874D55" w:rsidRPr="00ED7E61" w:rsidRDefault="00874D55" w:rsidP="00874D55">
      <w:pPr>
        <w:pStyle w:val="CBDNormalNumber"/>
        <w:numPr>
          <w:ilvl w:val="0"/>
          <w:numId w:val="47"/>
        </w:numPr>
        <w:tabs>
          <w:tab w:val="clear" w:pos="567"/>
          <w:tab w:val="clear" w:pos="1134"/>
          <w:tab w:val="clear" w:pos="1701"/>
        </w:tabs>
        <w:ind w:left="1134" w:firstLine="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Disaggregation related to </w:t>
      </w:r>
      <w:r>
        <w:rPr>
          <w:rStyle w:val="normaltextrun"/>
          <w:rFonts w:asciiTheme="majorBidi" w:eastAsiaTheme="majorEastAsia" w:hAnsiTheme="majorBidi" w:cstheme="majorBidi"/>
          <w:color w:val="000000"/>
          <w:lang w:val="en-AU"/>
        </w:rPr>
        <w:t>i</w:t>
      </w:r>
      <w:r w:rsidRPr="00ED7E61">
        <w:rPr>
          <w:rStyle w:val="normaltextrun"/>
          <w:rFonts w:asciiTheme="majorBidi" w:eastAsiaTheme="majorEastAsia" w:hAnsiTheme="majorBidi" w:cstheme="majorBidi"/>
          <w:color w:val="000000"/>
          <w:lang w:val="en-AU"/>
        </w:rPr>
        <w:t xml:space="preserve">ndigenous </w:t>
      </w:r>
      <w:r>
        <w:rPr>
          <w:rStyle w:val="normaltextrun"/>
          <w:rFonts w:asciiTheme="majorBidi" w:eastAsiaTheme="majorEastAsia" w:hAnsiTheme="majorBidi" w:cstheme="majorBidi"/>
          <w:color w:val="000000"/>
          <w:lang w:val="en-AU"/>
        </w:rPr>
        <w:t>p</w:t>
      </w:r>
      <w:r w:rsidRPr="00ED7E61">
        <w:rPr>
          <w:rStyle w:val="normaltextrun"/>
          <w:rFonts w:asciiTheme="majorBidi" w:eastAsiaTheme="majorEastAsia" w:hAnsiTheme="majorBidi" w:cstheme="majorBidi"/>
          <w:color w:val="000000"/>
          <w:lang w:val="en-AU"/>
        </w:rPr>
        <w:t xml:space="preserve">eoples and </w:t>
      </w:r>
      <w:r>
        <w:rPr>
          <w:rStyle w:val="normaltextrun"/>
          <w:rFonts w:asciiTheme="majorBidi" w:eastAsiaTheme="majorEastAsia" w:hAnsiTheme="majorBidi" w:cstheme="majorBidi"/>
          <w:color w:val="000000"/>
          <w:lang w:val="en-AU"/>
        </w:rPr>
        <w:t>l</w:t>
      </w:r>
      <w:r w:rsidRPr="00ED7E61">
        <w:rPr>
          <w:rStyle w:val="normaltextrun"/>
          <w:rFonts w:asciiTheme="majorBidi" w:eastAsiaTheme="majorEastAsia" w:hAnsiTheme="majorBidi" w:cstheme="majorBidi"/>
          <w:color w:val="000000"/>
          <w:lang w:val="en-AU"/>
        </w:rPr>
        <w:t xml:space="preserve">ocal </w:t>
      </w:r>
      <w:proofErr w:type="gramStart"/>
      <w:r>
        <w:rPr>
          <w:rStyle w:val="normaltextrun"/>
          <w:rFonts w:asciiTheme="majorBidi" w:eastAsiaTheme="majorEastAsia" w:hAnsiTheme="majorBidi" w:cstheme="majorBidi"/>
          <w:color w:val="000000"/>
          <w:lang w:val="en-AU"/>
        </w:rPr>
        <w:t>c</w:t>
      </w:r>
      <w:r w:rsidRPr="00ED7E61">
        <w:rPr>
          <w:rStyle w:val="normaltextrun"/>
          <w:rFonts w:asciiTheme="majorBidi" w:eastAsiaTheme="majorEastAsia" w:hAnsiTheme="majorBidi" w:cstheme="majorBidi"/>
          <w:color w:val="000000"/>
          <w:lang w:val="en-AU"/>
        </w:rPr>
        <w:t>ommunities  may</w:t>
      </w:r>
      <w:proofErr w:type="gramEnd"/>
      <w:r w:rsidRPr="00ED7E61">
        <w:rPr>
          <w:rStyle w:val="normaltextrun"/>
          <w:rFonts w:asciiTheme="majorBidi" w:eastAsiaTheme="majorEastAsia" w:hAnsiTheme="majorBidi" w:cstheme="majorBidi"/>
          <w:color w:val="000000"/>
          <w:lang w:val="en-AU"/>
        </w:rPr>
        <w:t xml:space="preserve"> be relevant for this indicator. Where spatial data on </w:t>
      </w:r>
      <w:r>
        <w:rPr>
          <w:rStyle w:val="normaltextrun"/>
          <w:rFonts w:asciiTheme="majorBidi" w:eastAsiaTheme="majorEastAsia" w:hAnsiTheme="majorBidi" w:cstheme="majorBidi"/>
          <w:color w:val="000000"/>
          <w:lang w:val="en-AU"/>
        </w:rPr>
        <w:t>i</w:t>
      </w:r>
      <w:r w:rsidRPr="00ED7E61">
        <w:rPr>
          <w:rStyle w:val="normaltextrun"/>
          <w:rFonts w:asciiTheme="majorBidi" w:eastAsiaTheme="majorEastAsia" w:hAnsiTheme="majorBidi" w:cstheme="majorBidi"/>
          <w:color w:val="000000"/>
          <w:lang w:val="en-AU"/>
        </w:rPr>
        <w:t xml:space="preserve">ndigenous </w:t>
      </w:r>
      <w:r>
        <w:rPr>
          <w:rStyle w:val="normaltextrun"/>
          <w:rFonts w:asciiTheme="majorBidi" w:eastAsiaTheme="majorEastAsia" w:hAnsiTheme="majorBidi" w:cstheme="majorBidi"/>
          <w:color w:val="000000"/>
          <w:lang w:val="en-AU"/>
        </w:rPr>
        <w:t>p</w:t>
      </w:r>
      <w:r w:rsidRPr="00ED7E61">
        <w:rPr>
          <w:rStyle w:val="normaltextrun"/>
          <w:rFonts w:asciiTheme="majorBidi" w:eastAsiaTheme="majorEastAsia" w:hAnsiTheme="majorBidi" w:cstheme="majorBidi"/>
          <w:color w:val="000000"/>
          <w:lang w:val="en-AU"/>
        </w:rPr>
        <w:t xml:space="preserve">eoples and </w:t>
      </w:r>
      <w:r>
        <w:rPr>
          <w:rStyle w:val="normaltextrun"/>
          <w:rFonts w:asciiTheme="majorBidi" w:eastAsiaTheme="majorEastAsia" w:hAnsiTheme="majorBidi" w:cstheme="majorBidi"/>
          <w:color w:val="000000"/>
          <w:lang w:val="en-AU"/>
        </w:rPr>
        <w:t>l</w:t>
      </w:r>
      <w:r w:rsidRPr="00ED7E61">
        <w:rPr>
          <w:rStyle w:val="normaltextrun"/>
          <w:rFonts w:asciiTheme="majorBidi" w:eastAsiaTheme="majorEastAsia" w:hAnsiTheme="majorBidi" w:cstheme="majorBidi"/>
          <w:color w:val="000000"/>
          <w:lang w:val="en-AU"/>
        </w:rPr>
        <w:t xml:space="preserve">ocal </w:t>
      </w:r>
      <w:r>
        <w:rPr>
          <w:rStyle w:val="normaltextrun"/>
          <w:rFonts w:asciiTheme="majorBidi" w:eastAsiaTheme="majorEastAsia" w:hAnsiTheme="majorBidi" w:cstheme="majorBidi"/>
          <w:color w:val="000000"/>
          <w:lang w:val="en-AU"/>
        </w:rPr>
        <w:t>c</w:t>
      </w:r>
      <w:r w:rsidRPr="00ED7E61">
        <w:rPr>
          <w:rStyle w:val="normaltextrun"/>
          <w:rFonts w:asciiTheme="majorBidi" w:eastAsiaTheme="majorEastAsia" w:hAnsiTheme="majorBidi" w:cstheme="majorBidi"/>
          <w:color w:val="000000"/>
          <w:lang w:val="en-AU"/>
        </w:rPr>
        <w:t>ommunities</w:t>
      </w:r>
      <w:r>
        <w:rPr>
          <w:rStyle w:val="normaltextrun"/>
          <w:rFonts w:asciiTheme="majorBidi" w:eastAsiaTheme="majorEastAsia" w:hAnsiTheme="majorBidi" w:cstheme="majorBidi"/>
          <w:color w:val="000000"/>
          <w:lang w:val="en-AU"/>
        </w:rPr>
        <w:t>’</w:t>
      </w:r>
      <w:r w:rsidRPr="00ED7E61">
        <w:rPr>
          <w:rStyle w:val="normaltextrun"/>
          <w:rFonts w:asciiTheme="majorBidi" w:eastAsiaTheme="majorEastAsia" w:hAnsiTheme="majorBidi" w:cstheme="majorBidi"/>
          <w:color w:val="000000"/>
          <w:lang w:val="en-AU"/>
        </w:rPr>
        <w:t xml:space="preserve"> lands exists, it may in principle be possible to disaggregate the indicator on this basis. However, this is a complex </w:t>
      </w:r>
      <w:proofErr w:type="gramStart"/>
      <w:r w:rsidRPr="00ED7E61">
        <w:rPr>
          <w:rStyle w:val="normaltextrun"/>
          <w:rFonts w:asciiTheme="majorBidi" w:eastAsiaTheme="majorEastAsia" w:hAnsiTheme="majorBidi" w:cstheme="majorBidi"/>
          <w:color w:val="000000"/>
          <w:lang w:val="en-AU"/>
        </w:rPr>
        <w:t>issue</w:t>
      </w:r>
      <w:proofErr w:type="gramEnd"/>
      <w:r w:rsidRPr="00ED7E61">
        <w:rPr>
          <w:rStyle w:val="normaltextrun"/>
          <w:rFonts w:asciiTheme="majorBidi" w:eastAsiaTheme="majorEastAsia" w:hAnsiTheme="majorBidi" w:cstheme="majorBidi"/>
          <w:color w:val="000000"/>
          <w:lang w:val="en-AU"/>
        </w:rPr>
        <w:t xml:space="preserve"> and guidance would need to be sought from the CBD’s Working Group on Article 8(j) which addresses with </w:t>
      </w:r>
      <w:r>
        <w:rPr>
          <w:rStyle w:val="normaltextrun"/>
          <w:rFonts w:asciiTheme="majorBidi" w:eastAsiaTheme="majorEastAsia" w:hAnsiTheme="majorBidi" w:cstheme="majorBidi"/>
          <w:color w:val="000000"/>
          <w:lang w:val="en-AU"/>
        </w:rPr>
        <w:t>i</w:t>
      </w:r>
      <w:r w:rsidRPr="00ED7E61">
        <w:rPr>
          <w:rStyle w:val="normaltextrun"/>
          <w:rFonts w:asciiTheme="majorBidi" w:eastAsiaTheme="majorEastAsia" w:hAnsiTheme="majorBidi" w:cstheme="majorBidi"/>
          <w:color w:val="000000"/>
          <w:lang w:val="en-AU"/>
        </w:rPr>
        <w:t xml:space="preserve">ndigenous </w:t>
      </w:r>
      <w:r>
        <w:rPr>
          <w:rStyle w:val="normaltextrun"/>
          <w:rFonts w:asciiTheme="majorBidi" w:eastAsiaTheme="majorEastAsia" w:hAnsiTheme="majorBidi" w:cstheme="majorBidi"/>
          <w:color w:val="000000"/>
          <w:lang w:val="en-AU"/>
        </w:rPr>
        <w:t>p</w:t>
      </w:r>
      <w:r w:rsidRPr="00ED7E61">
        <w:rPr>
          <w:rStyle w:val="normaltextrun"/>
          <w:rFonts w:asciiTheme="majorBidi" w:eastAsiaTheme="majorEastAsia" w:hAnsiTheme="majorBidi" w:cstheme="majorBidi"/>
          <w:color w:val="000000"/>
          <w:lang w:val="en-AU"/>
        </w:rPr>
        <w:t xml:space="preserve">eoples and </w:t>
      </w:r>
      <w:r>
        <w:rPr>
          <w:rStyle w:val="normaltextrun"/>
          <w:rFonts w:asciiTheme="majorBidi" w:eastAsiaTheme="majorEastAsia" w:hAnsiTheme="majorBidi" w:cstheme="majorBidi"/>
          <w:color w:val="000000"/>
          <w:lang w:val="en-AU"/>
        </w:rPr>
        <w:t>l</w:t>
      </w:r>
      <w:r w:rsidRPr="00ED7E61">
        <w:rPr>
          <w:rStyle w:val="normaltextrun"/>
          <w:rFonts w:asciiTheme="majorBidi" w:eastAsiaTheme="majorEastAsia" w:hAnsiTheme="majorBidi" w:cstheme="majorBidi"/>
          <w:color w:val="000000"/>
          <w:lang w:val="en-AU"/>
        </w:rPr>
        <w:t xml:space="preserve">ocal </w:t>
      </w:r>
      <w:r>
        <w:rPr>
          <w:rStyle w:val="normaltextrun"/>
          <w:rFonts w:asciiTheme="majorBidi" w:eastAsiaTheme="majorEastAsia" w:hAnsiTheme="majorBidi" w:cstheme="majorBidi"/>
          <w:color w:val="000000"/>
          <w:lang w:val="en-AU"/>
        </w:rPr>
        <w:t>c</w:t>
      </w:r>
      <w:r w:rsidRPr="00ED7E61">
        <w:rPr>
          <w:rStyle w:val="normaltextrun"/>
          <w:rFonts w:asciiTheme="majorBidi" w:eastAsiaTheme="majorEastAsia" w:hAnsiTheme="majorBidi" w:cstheme="majorBidi"/>
          <w:color w:val="000000"/>
          <w:lang w:val="en-AU"/>
        </w:rPr>
        <w:t>ommunities.</w:t>
      </w:r>
      <w:r w:rsidRPr="00ED7E61">
        <w:rPr>
          <w:rStyle w:val="normaltextrun"/>
          <w:color w:val="000000"/>
          <w:lang w:val="en-AU"/>
        </w:rPr>
        <w:t> </w:t>
      </w:r>
    </w:p>
    <w:p w14:paraId="7C675D32" w14:textId="77777777" w:rsidR="00874D55" w:rsidRPr="00ED7E61" w:rsidRDefault="00874D55" w:rsidP="00874D55">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246F4DF6" w14:textId="77777777" w:rsidR="00874D55" w:rsidRPr="00ED7E61" w:rsidRDefault="00874D55" w:rsidP="00874D55">
      <w:pPr>
        <w:pStyle w:val="CBDNormalNumber"/>
        <w:ind w:left="567"/>
        <w:rPr>
          <w:rStyle w:val="normaltextrun"/>
          <w:rFonts w:eastAsiaTheme="majorEastAsia"/>
          <w:color w:val="000000"/>
          <w:sz w:val="24"/>
          <w:szCs w:val="24"/>
          <w:lang w:val="en-AU"/>
        </w:rPr>
      </w:pPr>
      <w:r w:rsidRPr="00ED7E61">
        <w:rPr>
          <w:rStyle w:val="normaltextrun"/>
          <w:rFonts w:asciiTheme="majorBidi" w:eastAsiaTheme="majorEastAsia" w:hAnsiTheme="majorBidi" w:cstheme="majorBidi"/>
          <w:color w:val="000000"/>
          <w:lang w:val="en-AU"/>
        </w:rPr>
        <w:t>Target 2: Restore 30% of all Degraded Ecosystems </w:t>
      </w:r>
      <w:r w:rsidRPr="00ED7E61">
        <w:rPr>
          <w:rStyle w:val="normaltextrun"/>
          <w:color w:val="000000"/>
          <w:lang w:val="en-AU"/>
        </w:rPr>
        <w:t> </w:t>
      </w:r>
    </w:p>
    <w:p w14:paraId="5D0EA783" w14:textId="77777777" w:rsidR="00874D55" w:rsidRPr="00ED7E61" w:rsidRDefault="00874D55" w:rsidP="00874D55">
      <w:pPr>
        <w:pStyle w:val="CBDNormalNumber"/>
        <w:ind w:left="567"/>
        <w:rPr>
          <w:rFonts w:asciiTheme="majorBidi" w:hAnsiTheme="majorBidi" w:cstheme="majorBidi"/>
        </w:rPr>
      </w:pPr>
      <w:r w:rsidRPr="00ED7E61">
        <w:rPr>
          <w:rStyle w:val="normaltextrun"/>
          <w:rFonts w:asciiTheme="majorBidi" w:eastAsiaTheme="majorEastAsia" w:hAnsiTheme="majorBidi" w:cstheme="majorBidi"/>
          <w:color w:val="000000"/>
          <w:lang w:val="en-AU"/>
        </w:rPr>
        <w:t>Target 3: Conserve 30% of Land, Waters and Seas</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163D41EE" w14:textId="77777777" w:rsidR="00874D55" w:rsidRPr="00ED7E61" w:rsidRDefault="00874D55" w:rsidP="00874D55">
      <w:pPr>
        <w:pStyle w:val="paragraph"/>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47170C2C" w14:textId="77777777" w:rsidR="00874D55" w:rsidRPr="00ED7E61" w:rsidRDefault="00874D55" w:rsidP="00874D55">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5A3ABD1D" w14:textId="77777777" w:rsidR="00874D55" w:rsidRPr="00ED7E61" w:rsidRDefault="00874D55" w:rsidP="00874D55">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United Nations Statistics Division (UNSD)</w:t>
      </w:r>
      <w:r w:rsidRPr="00ED7E61">
        <w:rPr>
          <w:rStyle w:val="eop"/>
          <w:rFonts w:asciiTheme="majorBidi" w:eastAsiaTheme="majorEastAsia" w:hAnsiTheme="majorBidi" w:cstheme="majorBidi"/>
          <w:sz w:val="22"/>
          <w:szCs w:val="22"/>
        </w:rPr>
        <w:t> </w:t>
      </w:r>
    </w:p>
    <w:p w14:paraId="1A75E62B" w14:textId="77777777" w:rsidR="00874D55" w:rsidRPr="00ED7E61" w:rsidRDefault="00874D55" w:rsidP="00874D55">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380BB0ED" w14:textId="77777777" w:rsidR="00874D55" w:rsidRPr="00ED7E61" w:rsidRDefault="00874D55" w:rsidP="00874D55">
      <w:pPr>
        <w:pStyle w:val="CBDNormalNumber"/>
        <w:ind w:left="567"/>
        <w:rPr>
          <w:rStyle w:val="normaltextrun"/>
          <w:rFonts w:asciiTheme="majorBidi" w:eastAsiaTheme="majorEastAsia" w:hAnsiTheme="majorBidi" w:cstheme="majorBidi"/>
          <w:color w:val="000000"/>
          <w:sz w:val="24"/>
          <w:szCs w:val="24"/>
          <w:lang w:val="en-AU"/>
        </w:rPr>
      </w:pPr>
      <w:r w:rsidRPr="00ED7E61">
        <w:rPr>
          <w:rStyle w:val="normaltextrun"/>
          <w:rFonts w:asciiTheme="majorBidi" w:eastAsiaTheme="majorEastAsia" w:hAnsiTheme="majorBidi" w:cstheme="majorBidi"/>
          <w:color w:val="000000"/>
          <w:lang w:val="en-AU"/>
        </w:rPr>
        <w:t>This meta-data sheet was prepared by UNSD, with contributions from members of the AHTEG and of the Task team of the UNCEEA Technical Committee on SEEA Ecosystem Accounting.</w:t>
      </w:r>
    </w:p>
    <w:p w14:paraId="338F3B81" w14:textId="77777777" w:rsidR="00874D55" w:rsidRPr="00ED7E61" w:rsidRDefault="00874D55" w:rsidP="00874D55">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Ilaria Di Matteo (</w:t>
      </w:r>
      <w:hyperlink r:id="rId34" w:history="1">
        <w:r w:rsidRPr="0083108F">
          <w:rPr>
            <w:rStyle w:val="Hyperlink"/>
            <w:rFonts w:asciiTheme="majorBidi" w:hAnsiTheme="majorBidi" w:cstheme="majorBidi"/>
            <w:lang w:val="en-AU"/>
          </w:rPr>
          <w:t>dimatteo@un.org</w:t>
        </w:r>
      </w:hyperlink>
      <w:r w:rsidRPr="00ED7E61">
        <w:rPr>
          <w:rStyle w:val="normaltextrun"/>
          <w:rFonts w:asciiTheme="majorBidi" w:hAnsiTheme="majorBidi" w:cstheme="majorBidi"/>
          <w:color w:val="000000"/>
          <w:lang w:val="en-AU"/>
        </w:rPr>
        <w:t>, seea@un.org</w:t>
      </w:r>
      <w:proofErr w:type="gramStart"/>
      <w:r w:rsidRPr="00ED7E61">
        <w:rPr>
          <w:rStyle w:val="normaltextrun"/>
          <w:rFonts w:asciiTheme="majorBidi" w:eastAsiaTheme="majorEastAsia" w:hAnsiTheme="majorBidi" w:cstheme="majorBidi"/>
          <w:color w:val="000000"/>
          <w:lang w:val="en-AU"/>
        </w:rPr>
        <w:t>),Environmental</w:t>
      </w:r>
      <w:proofErr w:type="gramEnd"/>
      <w:r w:rsidRPr="00ED7E61">
        <w:rPr>
          <w:rStyle w:val="normaltextrun"/>
          <w:rFonts w:asciiTheme="majorBidi" w:eastAsiaTheme="majorEastAsia" w:hAnsiTheme="majorBidi" w:cstheme="majorBidi"/>
          <w:color w:val="000000"/>
          <w:lang w:val="en-AU"/>
        </w:rPr>
        <w:t xml:space="preserve"> Economic Accounts Section of the UN Statistics Division </w:t>
      </w:r>
    </w:p>
    <w:p w14:paraId="18EAA1AD" w14:textId="77777777" w:rsidR="00874D55" w:rsidRPr="00ED7E61" w:rsidRDefault="00874D55" w:rsidP="00874D55">
      <w:pPr>
        <w:pStyle w:val="paragraph"/>
        <w:spacing w:before="0" w:beforeAutospacing="0" w:after="0" w:afterAutospacing="0"/>
        <w:textAlignment w:val="baseline"/>
        <w:rPr>
          <w:rFonts w:asciiTheme="majorBidi" w:hAnsiTheme="majorBidi" w:cstheme="majorBidi"/>
          <w:sz w:val="22"/>
          <w:szCs w:val="22"/>
        </w:rPr>
      </w:pPr>
    </w:p>
    <w:p w14:paraId="7C492D34" w14:textId="77777777" w:rsidR="00874D55" w:rsidRPr="00ED7E61" w:rsidRDefault="00874D55" w:rsidP="00874D55">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US"/>
        </w:rPr>
        <w:t>11. References</w:t>
      </w:r>
      <w:r w:rsidRPr="00ED7E61">
        <w:rPr>
          <w:rStyle w:val="eop"/>
          <w:rFonts w:asciiTheme="majorBidi" w:eastAsiaTheme="majorEastAsia" w:hAnsiTheme="majorBidi" w:cstheme="majorBidi"/>
          <w:sz w:val="22"/>
          <w:szCs w:val="22"/>
        </w:rPr>
        <w:t> </w:t>
      </w:r>
    </w:p>
    <w:p w14:paraId="1E582F69" w14:textId="77777777" w:rsidR="00874D55" w:rsidRPr="00AC3964" w:rsidRDefault="00874D55" w:rsidP="00874D55">
      <w:pPr>
        <w:tabs>
          <w:tab w:val="left" w:pos="567"/>
          <w:tab w:val="left" w:pos="1134"/>
          <w:tab w:val="left" w:pos="1701"/>
          <w:tab w:val="left" w:pos="2268"/>
          <w:tab w:val="left" w:pos="2835"/>
          <w:tab w:val="left" w:pos="3402"/>
          <w:tab w:val="left" w:pos="3969"/>
        </w:tabs>
        <w:spacing w:before="120" w:after="120"/>
        <w:ind w:left="567"/>
        <w:jc w:val="both"/>
        <w:rPr>
          <w:rFonts w:eastAsiaTheme="majorEastAsia"/>
          <w:color w:val="000000"/>
          <w:lang w:val="en-AU"/>
        </w:rPr>
      </w:pPr>
      <w:bookmarkStart w:id="12" w:name="_Hlk178271016"/>
      <w:r w:rsidRPr="00AC3964">
        <w:rPr>
          <w:rFonts w:asciiTheme="majorBidi" w:eastAsiaTheme="majorEastAsia" w:hAnsiTheme="majorBidi" w:cstheme="majorBidi"/>
          <w:color w:val="000000"/>
          <w:lang w:val="en-AU"/>
        </w:rPr>
        <w:t xml:space="preserve">ARIES for SEEA: </w:t>
      </w:r>
      <w:hyperlink r:id="rId35" w:history="1">
        <w:r w:rsidRPr="00AC3964">
          <w:rPr>
            <w:rFonts w:asciiTheme="majorBidi" w:eastAsiaTheme="majorEastAsia" w:hAnsiTheme="majorBidi" w:cstheme="majorBidi"/>
            <w:color w:val="0000FF"/>
            <w:u w:val="single"/>
            <w:lang w:val="en-AU"/>
          </w:rPr>
          <w:t>https://seea.un.org/content/aries-for-seea</w:t>
        </w:r>
      </w:hyperlink>
      <w:r w:rsidRPr="00AC3964">
        <w:rPr>
          <w:rFonts w:asciiTheme="majorBidi" w:eastAsiaTheme="majorEastAsia" w:hAnsiTheme="majorBidi" w:cstheme="majorBidi"/>
          <w:color w:val="000000"/>
          <w:lang w:val="en-AU"/>
        </w:rPr>
        <w:t xml:space="preserve"> </w:t>
      </w:r>
      <w:r w:rsidRPr="00AC3964">
        <w:rPr>
          <w:rFonts w:eastAsia="SimSun"/>
          <w:color w:val="000000"/>
          <w:lang w:val="en-AU"/>
        </w:rPr>
        <w:t> </w:t>
      </w:r>
    </w:p>
    <w:p w14:paraId="381F8B03" w14:textId="77777777" w:rsidR="00874D55" w:rsidRDefault="00874D55" w:rsidP="00874D55">
      <w:pPr>
        <w:tabs>
          <w:tab w:val="left" w:pos="567"/>
          <w:tab w:val="left" w:pos="1134"/>
          <w:tab w:val="left" w:pos="1701"/>
          <w:tab w:val="left" w:pos="2268"/>
          <w:tab w:val="left" w:pos="2835"/>
          <w:tab w:val="left" w:pos="3402"/>
          <w:tab w:val="left" w:pos="3969"/>
        </w:tabs>
        <w:spacing w:before="120" w:after="120"/>
        <w:ind w:left="567"/>
        <w:jc w:val="both"/>
        <w:rPr>
          <w:rFonts w:asciiTheme="majorBidi" w:eastAsiaTheme="majorEastAsia" w:hAnsiTheme="majorBidi" w:cstheme="majorBidi"/>
          <w:color w:val="000000"/>
          <w:lang w:val="en-AU"/>
        </w:rPr>
      </w:pPr>
      <w:r w:rsidRPr="00666EA2">
        <w:rPr>
          <w:rFonts w:asciiTheme="majorBidi" w:eastAsiaTheme="majorEastAsia" w:hAnsiTheme="majorBidi" w:cstheme="majorBidi"/>
          <w:color w:val="000000"/>
          <w:lang w:val="en-AU"/>
        </w:rPr>
        <w:t>Global Ecosystems Atlas</w:t>
      </w:r>
      <w:r>
        <w:rPr>
          <w:rFonts w:asciiTheme="majorBidi" w:eastAsiaTheme="majorEastAsia" w:hAnsiTheme="majorBidi" w:cstheme="majorBidi"/>
          <w:color w:val="000000"/>
          <w:lang w:val="en-AU"/>
        </w:rPr>
        <w:t xml:space="preserve"> (</w:t>
      </w:r>
      <w:r w:rsidRPr="00666EA2">
        <w:rPr>
          <w:rFonts w:asciiTheme="majorBidi" w:eastAsiaTheme="majorEastAsia" w:hAnsiTheme="majorBidi" w:cstheme="majorBidi"/>
          <w:color w:val="000000"/>
          <w:lang w:val="en-AU"/>
        </w:rPr>
        <w:t>2025</w:t>
      </w:r>
      <w:r>
        <w:rPr>
          <w:rFonts w:asciiTheme="majorBidi" w:eastAsiaTheme="majorEastAsia" w:hAnsiTheme="majorBidi" w:cstheme="majorBidi"/>
          <w:color w:val="000000"/>
          <w:lang w:val="en-AU"/>
        </w:rPr>
        <w:t>)</w:t>
      </w:r>
      <w:r w:rsidRPr="00666EA2">
        <w:rPr>
          <w:rFonts w:asciiTheme="majorBidi" w:eastAsiaTheme="majorEastAsia" w:hAnsiTheme="majorBidi" w:cstheme="majorBidi"/>
          <w:color w:val="000000"/>
          <w:lang w:val="en-AU"/>
        </w:rPr>
        <w:t>. Guidelines for developing national ecosystem maps. Group on Earth Observations, Geneva. Version 0.2 for comment, October 2025.</w:t>
      </w:r>
    </w:p>
    <w:p w14:paraId="2D24D0F3" w14:textId="77777777" w:rsidR="00874D55" w:rsidRDefault="00874D55" w:rsidP="00874D55">
      <w:pPr>
        <w:tabs>
          <w:tab w:val="left" w:pos="567"/>
          <w:tab w:val="left" w:pos="1134"/>
          <w:tab w:val="left" w:pos="1701"/>
          <w:tab w:val="left" w:pos="2268"/>
          <w:tab w:val="left" w:pos="2835"/>
          <w:tab w:val="left" w:pos="3402"/>
          <w:tab w:val="left" w:pos="3969"/>
        </w:tabs>
        <w:spacing w:before="120" w:after="120"/>
        <w:ind w:left="567"/>
        <w:jc w:val="both"/>
        <w:rPr>
          <w:rFonts w:asciiTheme="majorBidi" w:eastAsiaTheme="majorEastAsia" w:hAnsiTheme="majorBidi" w:cstheme="majorBidi"/>
          <w:color w:val="000000"/>
          <w:lang w:val="en-AU"/>
        </w:rPr>
      </w:pPr>
      <w:r w:rsidRPr="00ED1A02">
        <w:rPr>
          <w:rFonts w:asciiTheme="majorBidi" w:eastAsiaTheme="majorEastAsia" w:hAnsiTheme="majorBidi" w:cstheme="majorBidi"/>
          <w:color w:val="000000"/>
          <w:lang w:val="en-AU"/>
        </w:rPr>
        <w:t xml:space="preserve">IUCN </w:t>
      </w:r>
      <w:r>
        <w:rPr>
          <w:rFonts w:asciiTheme="majorBidi" w:eastAsiaTheme="majorEastAsia" w:hAnsiTheme="majorBidi" w:cstheme="majorBidi"/>
          <w:color w:val="000000"/>
          <w:lang w:val="en-AU"/>
        </w:rPr>
        <w:t>(</w:t>
      </w:r>
      <w:r w:rsidRPr="00ED1A02">
        <w:rPr>
          <w:rFonts w:asciiTheme="majorBidi" w:eastAsiaTheme="majorEastAsia" w:hAnsiTheme="majorBidi" w:cstheme="majorBidi"/>
          <w:color w:val="000000"/>
          <w:lang w:val="en-AU"/>
        </w:rPr>
        <w:t>2025</w:t>
      </w:r>
      <w:r>
        <w:rPr>
          <w:rFonts w:asciiTheme="majorBidi" w:eastAsiaTheme="majorEastAsia" w:hAnsiTheme="majorBidi" w:cstheme="majorBidi"/>
          <w:color w:val="000000"/>
          <w:lang w:val="en-AU"/>
        </w:rPr>
        <w:t>)</w:t>
      </w:r>
      <w:r w:rsidRPr="00ED1A02">
        <w:rPr>
          <w:rFonts w:asciiTheme="majorBidi" w:eastAsiaTheme="majorEastAsia" w:hAnsiTheme="majorBidi" w:cstheme="majorBidi"/>
          <w:color w:val="000000"/>
          <w:lang w:val="en-AU"/>
        </w:rPr>
        <w:t xml:space="preserve">. </w:t>
      </w:r>
      <w:r w:rsidRPr="0083472F">
        <w:rPr>
          <w:rFonts w:asciiTheme="majorBidi" w:eastAsiaTheme="majorEastAsia" w:hAnsiTheme="majorBidi" w:cstheme="majorBidi"/>
          <w:i/>
          <w:iCs/>
          <w:color w:val="000000"/>
          <w:lang w:val="en-AU"/>
        </w:rPr>
        <w:t>Standards, methods and guidelines for cross-referencing ecosystem classifications and maps to the IUCN Global Ecosystem Typology.</w:t>
      </w:r>
      <w:r w:rsidRPr="00ED1A02">
        <w:rPr>
          <w:rFonts w:asciiTheme="majorBidi" w:eastAsiaTheme="majorEastAsia" w:hAnsiTheme="majorBidi" w:cstheme="majorBidi"/>
          <w:color w:val="000000"/>
          <w:lang w:val="en-AU"/>
        </w:rPr>
        <w:t xml:space="preserve"> Version 1.0. Keith, D. </w:t>
      </w:r>
      <w:r w:rsidRPr="00ED1A02">
        <w:rPr>
          <w:rFonts w:asciiTheme="majorBidi" w:eastAsiaTheme="majorEastAsia" w:hAnsiTheme="majorBidi" w:cstheme="majorBidi"/>
          <w:color w:val="000000"/>
          <w:lang w:val="en-AU"/>
        </w:rPr>
        <w:lastRenderedPageBreak/>
        <w:t>A., Dayaram, A., Driver, A., Ferrer-Paris, J. R., Francis, R., Hay, S., Murray, N. J., Nicholson, E., Santos, J., Skowno, A. L. &amp; Tozer, M. G. (Eds.). IUCN, Gland, Switzerland.</w:t>
      </w:r>
    </w:p>
    <w:p w14:paraId="7870D277" w14:textId="77777777" w:rsidR="00874D55" w:rsidRDefault="00874D55" w:rsidP="00874D55">
      <w:pPr>
        <w:tabs>
          <w:tab w:val="left" w:pos="567"/>
          <w:tab w:val="left" w:pos="1134"/>
          <w:tab w:val="left" w:pos="1701"/>
          <w:tab w:val="left" w:pos="2268"/>
          <w:tab w:val="left" w:pos="2835"/>
          <w:tab w:val="left" w:pos="3402"/>
          <w:tab w:val="left" w:pos="3969"/>
        </w:tabs>
        <w:spacing w:before="120" w:after="120"/>
        <w:ind w:left="567"/>
        <w:jc w:val="both"/>
        <w:rPr>
          <w:rFonts w:asciiTheme="majorBidi" w:eastAsiaTheme="majorEastAsia" w:hAnsiTheme="majorBidi" w:cstheme="majorBidi"/>
          <w:color w:val="000000"/>
          <w:lang w:val="en-AU"/>
        </w:rPr>
      </w:pPr>
      <w:r w:rsidRPr="00C131A1">
        <w:rPr>
          <w:rFonts w:asciiTheme="majorBidi" w:eastAsiaTheme="majorEastAsia" w:hAnsiTheme="majorBidi" w:cstheme="majorBidi"/>
          <w:color w:val="000000"/>
          <w:lang w:val="en-AU"/>
        </w:rPr>
        <w:t xml:space="preserve">Keith, D.A., Rodríguez, J.P., Brooks, T.M., Burgman, M.A., Barrow, E.G., Bland, L., … &amp; Spalding, M.D. </w:t>
      </w:r>
      <w:r>
        <w:rPr>
          <w:rFonts w:asciiTheme="majorBidi" w:eastAsiaTheme="majorEastAsia" w:hAnsiTheme="majorBidi" w:cstheme="majorBidi"/>
          <w:color w:val="000000"/>
          <w:lang w:val="en-AU"/>
        </w:rPr>
        <w:t>(</w:t>
      </w:r>
      <w:r w:rsidRPr="00C131A1">
        <w:rPr>
          <w:rFonts w:asciiTheme="majorBidi" w:eastAsiaTheme="majorEastAsia" w:hAnsiTheme="majorBidi" w:cstheme="majorBidi"/>
          <w:color w:val="000000"/>
          <w:lang w:val="en-AU"/>
        </w:rPr>
        <w:t>2015</w:t>
      </w:r>
      <w:r>
        <w:rPr>
          <w:rFonts w:asciiTheme="majorBidi" w:eastAsiaTheme="majorEastAsia" w:hAnsiTheme="majorBidi" w:cstheme="majorBidi"/>
          <w:color w:val="000000"/>
          <w:lang w:val="en-AU"/>
        </w:rPr>
        <w:t>)</w:t>
      </w:r>
      <w:r w:rsidRPr="00C131A1">
        <w:rPr>
          <w:rFonts w:asciiTheme="majorBidi" w:eastAsiaTheme="majorEastAsia" w:hAnsiTheme="majorBidi" w:cstheme="majorBidi"/>
          <w:color w:val="000000"/>
          <w:lang w:val="en-AU"/>
        </w:rPr>
        <w:t xml:space="preserve">. The IUCN Red List of Ecosystems: motivations, challenges, and applications. Conservation Letters 8(3), 214–226. </w:t>
      </w:r>
      <w:hyperlink r:id="rId36" w:history="1">
        <w:r w:rsidRPr="006442ED">
          <w:rPr>
            <w:rStyle w:val="Hyperlink"/>
            <w:rFonts w:asciiTheme="majorBidi" w:eastAsiaTheme="majorEastAsia" w:hAnsiTheme="majorBidi" w:cstheme="majorBidi"/>
            <w:lang w:val="en-AU"/>
          </w:rPr>
          <w:t>https://doi.org/10.1111/conl.12167</w:t>
        </w:r>
      </w:hyperlink>
      <w:r w:rsidRPr="00C131A1">
        <w:rPr>
          <w:rFonts w:asciiTheme="majorBidi" w:eastAsiaTheme="majorEastAsia" w:hAnsiTheme="majorBidi" w:cstheme="majorBidi"/>
          <w:color w:val="000000"/>
          <w:lang w:val="en-AU"/>
        </w:rPr>
        <w:t xml:space="preserve"> </w:t>
      </w:r>
    </w:p>
    <w:p w14:paraId="1B47176B" w14:textId="77777777" w:rsidR="00874D55" w:rsidRDefault="00874D55" w:rsidP="00874D55">
      <w:pPr>
        <w:tabs>
          <w:tab w:val="left" w:pos="567"/>
          <w:tab w:val="left" w:pos="1134"/>
          <w:tab w:val="left" w:pos="1701"/>
          <w:tab w:val="left" w:pos="2268"/>
          <w:tab w:val="left" w:pos="2835"/>
          <w:tab w:val="left" w:pos="3402"/>
          <w:tab w:val="left" w:pos="3969"/>
        </w:tabs>
        <w:spacing w:before="120" w:after="120"/>
        <w:ind w:left="567"/>
        <w:jc w:val="both"/>
        <w:rPr>
          <w:rFonts w:eastAsia="SimSun"/>
          <w:color w:val="000000"/>
          <w:lang w:val="en-AU"/>
        </w:rPr>
      </w:pPr>
      <w:r w:rsidRPr="00AC3964">
        <w:rPr>
          <w:rFonts w:asciiTheme="majorBidi" w:eastAsiaTheme="majorEastAsia" w:hAnsiTheme="majorBidi" w:cstheme="majorBidi"/>
          <w:color w:val="000000"/>
          <w:lang w:val="en-AU"/>
        </w:rPr>
        <w:t>Keith, D.A., Ferrer-Paris, J.R., Nicholson, E. and Kingsford, R.T. (eds.) (2020). The IUCN Global Ecosystem Typology 2.0: Descriptive profiles for biomes and ecosystem functional groups. Gland, Switzerland: IUCN</w:t>
      </w:r>
      <w:r w:rsidRPr="00AC3964">
        <w:rPr>
          <w:rFonts w:eastAsia="SimSun"/>
          <w:color w:val="000000"/>
          <w:lang w:val="en-AU"/>
        </w:rPr>
        <w:t> </w:t>
      </w:r>
    </w:p>
    <w:p w14:paraId="115A24D6" w14:textId="77777777" w:rsidR="00874D55" w:rsidRDefault="00874D55" w:rsidP="00874D55">
      <w:pPr>
        <w:tabs>
          <w:tab w:val="left" w:pos="567"/>
          <w:tab w:val="left" w:pos="1134"/>
          <w:tab w:val="left" w:pos="1701"/>
          <w:tab w:val="left" w:pos="2268"/>
          <w:tab w:val="left" w:pos="2835"/>
          <w:tab w:val="left" w:pos="3402"/>
          <w:tab w:val="left" w:pos="3969"/>
        </w:tabs>
        <w:spacing w:before="120" w:after="120"/>
        <w:ind w:left="567"/>
        <w:jc w:val="both"/>
        <w:rPr>
          <w:rFonts w:eastAsia="SimSun"/>
          <w:color w:val="000000"/>
          <w:lang w:val="en-AU"/>
        </w:rPr>
      </w:pPr>
      <w:r w:rsidRPr="00FD517D">
        <w:rPr>
          <w:rFonts w:eastAsia="SimSun"/>
          <w:color w:val="000000"/>
          <w:lang w:val="en-AU"/>
        </w:rPr>
        <w:t xml:space="preserve">Murray, N.J., Corradi, T., Canto, R., Harmer, T., Lynn, A., Lucas, G., Masson, W., Narayan, D., Saunders, R., Steer, B., Gros-Dubois, N. (2025) </w:t>
      </w:r>
      <w:proofErr w:type="spellStart"/>
      <w:r w:rsidRPr="00FD517D">
        <w:rPr>
          <w:rFonts w:eastAsia="SimSun"/>
          <w:color w:val="000000"/>
          <w:lang w:val="en-AU"/>
        </w:rPr>
        <w:t>EcoTrain</w:t>
      </w:r>
      <w:proofErr w:type="spellEnd"/>
      <w:r w:rsidRPr="00FD517D">
        <w:rPr>
          <w:rFonts w:eastAsia="SimSun"/>
          <w:color w:val="000000"/>
          <w:lang w:val="en-AU"/>
        </w:rPr>
        <w:t>: Design and specification of a global training dataset for supporting spatial modelling of ecosystems. Global Ecosystem Atlas and Group on Earth Observations, Geneva, Switzerland.</w:t>
      </w:r>
    </w:p>
    <w:p w14:paraId="4A43EBBA" w14:textId="77777777" w:rsidR="00874D55" w:rsidRPr="00ED7E61" w:rsidRDefault="00874D55" w:rsidP="00874D55">
      <w:pPr>
        <w:pStyle w:val="CBDNormalNumber"/>
        <w:ind w:left="567"/>
        <w:rPr>
          <w:rStyle w:val="normaltextrun"/>
          <w:rFonts w:eastAsiaTheme="majorEastAsia"/>
          <w:color w:val="000000"/>
          <w:sz w:val="24"/>
          <w:szCs w:val="24"/>
          <w:lang w:val="en-AU"/>
        </w:rPr>
      </w:pPr>
      <w:r w:rsidRPr="00765348">
        <w:rPr>
          <w:color w:val="000000"/>
          <w:lang w:val="en-AU"/>
        </w:rPr>
        <w:t xml:space="preserve">Secretariat of the </w:t>
      </w:r>
      <w:r>
        <w:rPr>
          <w:color w:val="000000"/>
          <w:lang w:val="en-AU"/>
        </w:rPr>
        <w:t>CBD</w:t>
      </w:r>
      <w:r w:rsidRPr="00765348">
        <w:rPr>
          <w:color w:val="000000"/>
          <w:lang w:val="en-AU"/>
        </w:rPr>
        <w:t>. Science briefs on targets, goals and monitoring in support of the post-2020 global biodiversity framework negotiations. 2022. CBD/WG2020/4/INF/2/Rev.2.</w:t>
      </w:r>
      <w:r w:rsidRPr="00AC3964">
        <w:rPr>
          <w:color w:val="000000"/>
          <w:lang w:val="en-AU"/>
        </w:rPr>
        <w:t> </w:t>
      </w:r>
      <w:r w:rsidRPr="00ED7E61">
        <w:rPr>
          <w:rStyle w:val="normaltextrun"/>
          <w:rFonts w:asciiTheme="majorBidi" w:eastAsiaTheme="majorEastAsia" w:hAnsiTheme="majorBidi" w:cstheme="majorBidi"/>
          <w:color w:val="000000"/>
          <w:lang w:val="en-AU"/>
        </w:rPr>
        <w:t>UN System of Environmental-Economic Accounting: https://seea.un.org/ecosystemaccounting</w:t>
      </w:r>
      <w:r w:rsidRPr="00ED7E61">
        <w:rPr>
          <w:rStyle w:val="normaltextrun"/>
          <w:color w:val="000000"/>
          <w:lang w:val="en-AU"/>
        </w:rPr>
        <w:t> </w:t>
      </w:r>
    </w:p>
    <w:p w14:paraId="2AB70B13" w14:textId="77777777" w:rsidR="00874D55" w:rsidRPr="00ED7E61" w:rsidRDefault="00874D55" w:rsidP="00874D55">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United Nations et al. (2021). System of Environmental-Economic Accounting—Ecosystem Accounting (SEEA EA). White cover publication, pre-edited text subject to official editing. Available at: </w:t>
      </w:r>
      <w:hyperlink r:id="rId37" w:history="1">
        <w:r w:rsidRPr="00934982">
          <w:rPr>
            <w:rStyle w:val="Hyperlink"/>
            <w:rFonts w:asciiTheme="majorBidi" w:eastAsiaTheme="majorEastAsia" w:hAnsiTheme="majorBidi" w:cstheme="majorBidi"/>
            <w:lang w:val="en-AU"/>
          </w:rPr>
          <w:t>https://seea.un.org/ecosystem-accounting</w:t>
        </w:r>
      </w:hyperlink>
      <w:r w:rsidRPr="00ED7E61">
        <w:rPr>
          <w:rStyle w:val="normaltextrun"/>
          <w:rFonts w:asciiTheme="majorBidi" w:eastAsiaTheme="majorEastAsia" w:hAnsiTheme="majorBidi" w:cstheme="majorBidi"/>
          <w:color w:val="000000"/>
          <w:lang w:val="en-AU"/>
        </w:rPr>
        <w:t>.</w:t>
      </w:r>
      <w:r>
        <w:rPr>
          <w:rStyle w:val="normaltextrun"/>
          <w:rFonts w:asciiTheme="majorBidi" w:eastAsiaTheme="majorEastAsia" w:hAnsiTheme="majorBidi" w:cstheme="majorBidi"/>
          <w:color w:val="000000"/>
          <w:lang w:val="en-AU"/>
        </w:rPr>
        <w:t xml:space="preserve"> </w:t>
      </w:r>
      <w:r w:rsidRPr="00ED7E61">
        <w:rPr>
          <w:rStyle w:val="normaltextrun"/>
          <w:color w:val="000000"/>
          <w:lang w:val="en-AU"/>
        </w:rPr>
        <w:t> </w:t>
      </w:r>
    </w:p>
    <w:p w14:paraId="4B309CD6" w14:textId="77777777" w:rsidR="00874D55" w:rsidRPr="00ED7E61" w:rsidRDefault="00874D55" w:rsidP="00874D55">
      <w:pPr>
        <w:pStyle w:val="CBDNormalNumber"/>
        <w:ind w:left="567"/>
        <w:rPr>
          <w:rStyle w:val="normaltextrun"/>
          <w:rFonts w:eastAsiaTheme="majorEastAsia"/>
          <w:color w:val="000000"/>
          <w:lang w:val="en-AU"/>
        </w:rPr>
      </w:pPr>
      <w:r w:rsidRPr="00ED7E61">
        <w:rPr>
          <w:rStyle w:val="normaltextrun"/>
          <w:rFonts w:asciiTheme="majorBidi" w:eastAsiaTheme="majorEastAsia" w:hAnsiTheme="majorBidi" w:cstheme="majorBidi"/>
          <w:color w:val="000000"/>
          <w:lang w:val="en-AU"/>
        </w:rPr>
        <w:t xml:space="preserve">United Nations (2021). Guidelines on Biophysical Modelling for Ecosystem Accounting Available at: </w:t>
      </w:r>
      <w:hyperlink r:id="rId38" w:tgtFrame="_blank" w:history="1">
        <w:r w:rsidRPr="00ED7E61">
          <w:rPr>
            <w:rStyle w:val="normaltextrun"/>
            <w:rFonts w:asciiTheme="majorBidi" w:eastAsiaTheme="majorEastAsia" w:hAnsiTheme="majorBidi" w:cstheme="majorBidi"/>
            <w:color w:val="000000"/>
            <w:lang w:val="en-AU"/>
          </w:rPr>
          <w:t>https://seea.un.org/ecosystem-accounting/biophysical-modelling</w:t>
        </w:r>
      </w:hyperlink>
      <w:r w:rsidRPr="00ED7E61">
        <w:rPr>
          <w:rStyle w:val="normaltextrun"/>
          <w:rFonts w:asciiTheme="majorBidi" w:eastAsiaTheme="majorEastAsia" w:hAnsiTheme="majorBidi" w:cstheme="majorBidi"/>
          <w:color w:val="000000"/>
          <w:lang w:val="en-AU"/>
        </w:rPr>
        <w:t>  </w:t>
      </w:r>
      <w:r w:rsidRPr="00ED7E61">
        <w:rPr>
          <w:rStyle w:val="normaltextrun"/>
          <w:color w:val="000000"/>
          <w:lang w:val="en-AU"/>
        </w:rPr>
        <w:t> </w:t>
      </w:r>
    </w:p>
    <w:p w14:paraId="448B2AB1" w14:textId="3C2EE6A5" w:rsidR="003D6BBD" w:rsidRPr="00ED7E61" w:rsidRDefault="00B311AB" w:rsidP="003D6BBD">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color w:val="000000"/>
          <w:lang w:val="en-AU"/>
        </w:rPr>
        <w:t xml:space="preserve">United Nations (2025) Global </w:t>
      </w:r>
      <w:r>
        <w:rPr>
          <w:rFonts w:asciiTheme="majorBidi" w:eastAsiaTheme="majorEastAsia" w:hAnsiTheme="majorBidi" w:cstheme="majorBidi"/>
          <w:color w:val="000000"/>
        </w:rPr>
        <w:t>A</w:t>
      </w:r>
      <w:r w:rsidRPr="000E509A">
        <w:rPr>
          <w:rFonts w:asciiTheme="majorBidi" w:eastAsiaTheme="majorEastAsia" w:hAnsiTheme="majorBidi" w:cstheme="majorBidi"/>
          <w:color w:val="000000"/>
        </w:rPr>
        <w:t xml:space="preserve">ssessment of Environmental-Economic Accounting and Supporting Statistics 2025. Available at </w:t>
      </w:r>
      <w:hyperlink r:id="rId39" w:history="1">
        <w:r w:rsidRPr="000E509A">
          <w:rPr>
            <w:rStyle w:val="Hyperlink"/>
            <w:rFonts w:asciiTheme="majorBidi" w:eastAsiaTheme="majorEastAsia" w:hAnsiTheme="majorBidi" w:cstheme="majorBidi"/>
          </w:rPr>
          <w:t>https://seea.un.org/content/global-assessment-environmental-economic-accounting</w:t>
        </w:r>
      </w:hyperlink>
      <w:r w:rsidRPr="000E509A">
        <w:rPr>
          <w:rFonts w:asciiTheme="majorBidi" w:eastAsiaTheme="majorEastAsia" w:hAnsiTheme="majorBidi" w:cstheme="majorBidi"/>
          <w:color w:val="000000"/>
        </w:rPr>
        <w:t> </w:t>
      </w:r>
      <w:bookmarkEnd w:id="12"/>
    </w:p>
    <w:p w14:paraId="7F1EA09E" w14:textId="77777777" w:rsidR="008344AF" w:rsidRPr="00ED7E61" w:rsidRDefault="008344AF">
      <w:pPr>
        <w:rPr>
          <w:rStyle w:val="normaltextrun"/>
          <w:rFonts w:asciiTheme="majorBidi" w:eastAsiaTheme="majorEastAsia" w:hAnsiTheme="majorBidi" w:cstheme="majorBidi"/>
          <w:b/>
          <w:sz w:val="28"/>
          <w:szCs w:val="28"/>
        </w:rPr>
      </w:pPr>
      <w:r w:rsidRPr="00ED7E61">
        <w:rPr>
          <w:rStyle w:val="normaltextrun"/>
        </w:rPr>
        <w:br w:type="page"/>
      </w:r>
    </w:p>
    <w:p w14:paraId="57257A8E" w14:textId="07FE736A" w:rsidR="00756F0F" w:rsidRPr="00ED7E61" w:rsidRDefault="00956C65" w:rsidP="00215AED">
      <w:pPr>
        <w:pStyle w:val="Heading3"/>
      </w:pPr>
      <w:bookmarkStart w:id="13" w:name="_Toc233278555"/>
      <w:r w:rsidRPr="00ED7E61">
        <w:rPr>
          <w:rStyle w:val="normaltextrun"/>
        </w:rPr>
        <w:lastRenderedPageBreak/>
        <w:t>A.3 Red List Index</w:t>
      </w:r>
      <w:r w:rsidR="00F9458B" w:rsidRPr="00ED7E61">
        <w:rPr>
          <w:rStyle w:val="FootnoteReference"/>
        </w:rPr>
        <w:footnoteReference w:id="7"/>
      </w:r>
      <w:bookmarkEnd w:id="13"/>
      <w:r w:rsidR="00756F0F" w:rsidRPr="00ED7E61">
        <w:rPr>
          <w:rStyle w:val="eop"/>
        </w:rPr>
        <w:t> </w:t>
      </w:r>
    </w:p>
    <w:bookmarkEnd w:id="7"/>
    <w:p w14:paraId="39478018" w14:textId="77777777" w:rsidR="00C5314E" w:rsidRPr="00ED7E61" w:rsidRDefault="00C5314E" w:rsidP="00C5314E">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0709E932" w14:textId="77777777" w:rsidR="00C5314E" w:rsidRPr="00ED7E61" w:rsidRDefault="00C5314E" w:rsidP="00C5314E">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2243D9CA" w14:textId="135ED76F"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A.3 Red List Index</w:t>
      </w:r>
      <w:r w:rsidRPr="00ED7E61">
        <w:rPr>
          <w:rStyle w:val="eop"/>
          <w:rFonts w:asciiTheme="majorBidi" w:eastAsiaTheme="majorEastAsia" w:hAnsiTheme="majorBidi" w:cstheme="majorBidi"/>
          <w:sz w:val="22"/>
          <w:szCs w:val="22"/>
        </w:rPr>
        <w:t> </w:t>
      </w:r>
    </w:p>
    <w:p w14:paraId="2006DDD2" w14:textId="77777777" w:rsidR="00C5314E" w:rsidRPr="00ED7E61" w:rsidRDefault="00C5314E" w:rsidP="00C5314E">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4278870C" w14:textId="7E8BE9CD"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February</w:t>
      </w:r>
      <w:r w:rsidRPr="00ED7E61">
        <w:rPr>
          <w:rStyle w:val="normaltextrun"/>
          <w:rFonts w:asciiTheme="majorBidi" w:eastAsiaTheme="majorEastAsia" w:hAnsiTheme="majorBidi" w:cstheme="majorBidi"/>
          <w:sz w:val="22"/>
          <w:szCs w:val="22"/>
        </w:rPr>
        <w:t xml:space="preserve"> 202</w:t>
      </w:r>
      <w:r>
        <w:rPr>
          <w:rStyle w:val="normaltextrun"/>
          <w:rFonts w:asciiTheme="majorBidi" w:eastAsiaTheme="majorEastAsia" w:hAnsiTheme="majorBidi" w:cstheme="majorBidi"/>
          <w:sz w:val="22"/>
          <w:szCs w:val="22"/>
        </w:rPr>
        <w:t>6</w:t>
      </w:r>
      <w:r w:rsidRPr="00ED7E61">
        <w:rPr>
          <w:rStyle w:val="eop"/>
          <w:rFonts w:asciiTheme="majorBidi" w:eastAsiaTheme="majorEastAsia" w:hAnsiTheme="majorBidi" w:cstheme="majorBidi"/>
          <w:sz w:val="22"/>
          <w:szCs w:val="22"/>
        </w:rPr>
        <w:t> </w:t>
      </w:r>
    </w:p>
    <w:p w14:paraId="24E1B552" w14:textId="77777777" w:rsidR="00C5314E" w:rsidRPr="00ED7E61" w:rsidRDefault="00C5314E" w:rsidP="00C5314E">
      <w:pPr>
        <w:pStyle w:val="paragraph"/>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01F5DC17"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500914E7" w14:textId="2AF2CE2B"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Goal A: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r w:rsidRPr="00ED7E61">
        <w:rPr>
          <w:rStyle w:val="eop"/>
          <w:rFonts w:asciiTheme="majorBidi" w:eastAsiaTheme="majorEastAsia" w:hAnsiTheme="majorBidi" w:cstheme="majorBidi"/>
          <w:sz w:val="22"/>
          <w:szCs w:val="22"/>
        </w:rPr>
        <w:t> </w:t>
      </w:r>
    </w:p>
    <w:p w14:paraId="0773C4C1" w14:textId="77777777" w:rsidR="00C5314E" w:rsidRPr="00ED7E61" w:rsidRDefault="00C5314E" w:rsidP="00C5314E">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7F4FDAA1" w14:textId="3FDC0BA8" w:rsidR="00C5314E" w:rsidRPr="00ED7E61" w:rsidRDefault="00C5314E" w:rsidP="00C5314E">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Target 4:  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r w:rsidRPr="00ED7E61">
        <w:rPr>
          <w:rStyle w:val="eop"/>
          <w:rFonts w:asciiTheme="majorBidi" w:eastAsiaTheme="majorEastAsia" w:hAnsiTheme="majorBidi" w:cstheme="majorBidi"/>
          <w:color w:val="000000"/>
          <w:sz w:val="22"/>
          <w:szCs w:val="22"/>
        </w:rPr>
        <w:t> </w:t>
      </w:r>
    </w:p>
    <w:p w14:paraId="35834D5F"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As noted in CBD/ID/OM/2022/1/2 “</w:t>
      </w:r>
      <w:r w:rsidRPr="00FB1598">
        <w:rPr>
          <w:rStyle w:val="normaltextrun"/>
          <w:rFonts w:asciiTheme="majorBidi" w:eastAsiaTheme="majorEastAsia" w:hAnsiTheme="majorBidi" w:cstheme="majorBidi"/>
          <w:i/>
          <w:iCs/>
          <w:sz w:val="22"/>
          <w:szCs w:val="22"/>
        </w:rPr>
        <w:t>Report of the Expert Workshop on the Monitoring Framework for the Post-2020 Global Biodiversity Framework</w:t>
      </w:r>
      <w:r w:rsidRPr="00ED7E61">
        <w:rPr>
          <w:rStyle w:val="normaltextrun"/>
          <w:rFonts w:asciiTheme="majorBidi" w:eastAsiaTheme="majorEastAsia" w:hAnsiTheme="majorBidi" w:cstheme="majorBidi"/>
          <w:sz w:val="22"/>
          <w:szCs w:val="22"/>
        </w:rPr>
        <w:t xml:space="preserve">”, Annex III, specific </w:t>
      </w:r>
      <w:proofErr w:type="spellStart"/>
      <w:r w:rsidRPr="00ED7E61">
        <w:rPr>
          <w:rStyle w:val="normaltextrun"/>
          <w:rFonts w:asciiTheme="majorBidi" w:eastAsiaTheme="majorEastAsia" w:hAnsiTheme="majorBidi" w:cstheme="majorBidi"/>
          <w:sz w:val="22"/>
          <w:szCs w:val="22"/>
        </w:rPr>
        <w:t>disaggregations</w:t>
      </w:r>
      <w:proofErr w:type="spellEnd"/>
      <w:r w:rsidRPr="00ED7E61">
        <w:rPr>
          <w:rStyle w:val="normaltextrun"/>
          <w:rFonts w:asciiTheme="majorBidi" w:eastAsiaTheme="majorEastAsia" w:hAnsiTheme="majorBidi" w:cstheme="majorBidi"/>
          <w:sz w:val="22"/>
          <w:szCs w:val="22"/>
        </w:rPr>
        <w:t xml:space="preserve"> of the Red List Index are relevant to </w:t>
      </w:r>
      <w:proofErr w:type="gramStart"/>
      <w:r w:rsidRPr="00ED7E61">
        <w:rPr>
          <w:rStyle w:val="normaltextrun"/>
          <w:rFonts w:asciiTheme="majorBidi" w:eastAsiaTheme="majorEastAsia" w:hAnsiTheme="majorBidi" w:cstheme="majorBidi"/>
          <w:sz w:val="22"/>
          <w:szCs w:val="22"/>
        </w:rPr>
        <w:t>a number of</w:t>
      </w:r>
      <w:proofErr w:type="gramEnd"/>
      <w:r w:rsidRPr="00ED7E61">
        <w:rPr>
          <w:rStyle w:val="normaltextrun"/>
          <w:rFonts w:asciiTheme="majorBidi" w:eastAsiaTheme="majorEastAsia" w:hAnsiTheme="majorBidi" w:cstheme="majorBidi"/>
          <w:sz w:val="22"/>
          <w:szCs w:val="22"/>
        </w:rPr>
        <w:t xml:space="preserve"> other targets described in section 9.</w:t>
      </w:r>
      <w:r w:rsidRPr="00ED7E61">
        <w:rPr>
          <w:rStyle w:val="eop"/>
          <w:rFonts w:asciiTheme="majorBidi" w:eastAsiaTheme="majorEastAsia" w:hAnsiTheme="majorBidi" w:cstheme="majorBidi"/>
          <w:sz w:val="22"/>
          <w:szCs w:val="22"/>
        </w:rPr>
        <w:t> </w:t>
      </w:r>
    </w:p>
    <w:p w14:paraId="093C0B29" w14:textId="77777777" w:rsidR="00C5314E" w:rsidRPr="00ED7E61" w:rsidRDefault="00C5314E" w:rsidP="00C5314E">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31B034F0" w14:textId="77777777" w:rsidR="004262AE" w:rsidRDefault="00C5314E" w:rsidP="004262AE">
      <w:pPr>
        <w:pStyle w:val="CBDNormalNumber"/>
        <w:numPr>
          <w:ilvl w:val="0"/>
          <w:numId w:val="49"/>
        </w:numPr>
        <w:rPr>
          <w:rStyle w:val="normaltextrun"/>
          <w:rFonts w:eastAsiaTheme="majorEastAsia"/>
          <w:color w:val="000000"/>
          <w:sz w:val="24"/>
          <w:szCs w:val="24"/>
          <w:lang w:val="en-AU"/>
        </w:rPr>
      </w:pPr>
      <w:r w:rsidRPr="00B3383B">
        <w:rPr>
          <w:rStyle w:val="normaltextrun"/>
        </w:rPr>
        <w:t>The</w:t>
      </w:r>
      <w:r w:rsidRPr="00BD15B8">
        <w:rPr>
          <w:rStyle w:val="normaltextrun"/>
          <w:rFonts w:asciiTheme="majorBidi" w:eastAsiaTheme="majorEastAsia" w:hAnsiTheme="majorBidi" w:cstheme="majorBidi"/>
          <w:color w:val="000000"/>
          <w:lang w:val="en-AU"/>
        </w:rPr>
        <w:t xml:space="preserve"> world’s species are impacted by </w:t>
      </w:r>
      <w:proofErr w:type="gramStart"/>
      <w:r w:rsidRPr="00BD15B8">
        <w:rPr>
          <w:rStyle w:val="normaltextrun"/>
          <w:rFonts w:asciiTheme="majorBidi" w:eastAsiaTheme="majorEastAsia" w:hAnsiTheme="majorBidi" w:cstheme="majorBidi"/>
          <w:color w:val="000000"/>
          <w:lang w:val="en-AU"/>
        </w:rPr>
        <w:t>a number of</w:t>
      </w:r>
      <w:proofErr w:type="gramEnd"/>
      <w:r w:rsidRPr="00BD15B8">
        <w:rPr>
          <w:rStyle w:val="normaltextrun"/>
          <w:rFonts w:asciiTheme="majorBidi" w:eastAsiaTheme="majorEastAsia" w:hAnsiTheme="majorBidi" w:cstheme="majorBidi"/>
          <w:color w:val="000000"/>
          <w:lang w:val="en-AU"/>
        </w:rPr>
        <w:t xml:space="preserve"> threatening processes, including habitat destruction and degradation, overexploitation, invasive alien species, human disturbance, pollution and climate change. This indicator can be used to assess overall changes in the extinction risk of groups of species </w:t>
      </w:r>
      <w:proofErr w:type="gramStart"/>
      <w:r w:rsidRPr="00BD15B8">
        <w:rPr>
          <w:rStyle w:val="normaltextrun"/>
          <w:rFonts w:asciiTheme="majorBidi" w:eastAsiaTheme="majorEastAsia" w:hAnsiTheme="majorBidi" w:cstheme="majorBidi"/>
          <w:color w:val="000000"/>
          <w:lang w:val="en-AU"/>
        </w:rPr>
        <w:t>as a result of</w:t>
      </w:r>
      <w:proofErr w:type="gramEnd"/>
      <w:r w:rsidRPr="00BD15B8">
        <w:rPr>
          <w:rStyle w:val="normaltextrun"/>
          <w:rFonts w:asciiTheme="majorBidi" w:eastAsiaTheme="majorEastAsia" w:hAnsiTheme="majorBidi" w:cstheme="majorBidi"/>
          <w:color w:val="000000"/>
          <w:lang w:val="en-AU"/>
        </w:rPr>
        <w:t xml:space="preserve"> these threats and the extent to which threats are being mitigated.</w:t>
      </w:r>
      <w:r w:rsidRPr="00BD15B8">
        <w:rPr>
          <w:rStyle w:val="normaltextrun"/>
          <w:color w:val="000000"/>
          <w:lang w:val="en-AU"/>
        </w:rPr>
        <w:t> </w:t>
      </w:r>
    </w:p>
    <w:p w14:paraId="41B68164" w14:textId="77777777" w:rsidR="004262AE" w:rsidRDefault="00C5314E" w:rsidP="004262AE">
      <w:pPr>
        <w:pStyle w:val="CBDNormalNumber"/>
        <w:numPr>
          <w:ilvl w:val="0"/>
          <w:numId w:val="49"/>
        </w:numPr>
        <w:rPr>
          <w:rFonts w:eastAsiaTheme="majorEastAsia"/>
          <w:color w:val="000000"/>
          <w:sz w:val="24"/>
          <w:szCs w:val="24"/>
          <w:lang w:val="en-AU"/>
        </w:rPr>
      </w:pPr>
      <w:r w:rsidRPr="004262AE">
        <w:rPr>
          <w:rStyle w:val="normaltextrun"/>
          <w:rFonts w:asciiTheme="majorBidi" w:eastAsiaTheme="majorEastAsia" w:hAnsiTheme="majorBidi" w:cstheme="majorBidi"/>
        </w:rPr>
        <w:t>The Red List Index value ranges from 1 (all species are categorized as ‘Least Concern’) to 0 (all species are categorized as ‘Extinct’</w:t>
      </w:r>
      <w:proofErr w:type="gramStart"/>
      <w:r w:rsidRPr="004262AE">
        <w:rPr>
          <w:rStyle w:val="normaltextrun"/>
          <w:rFonts w:asciiTheme="majorBidi" w:eastAsiaTheme="majorEastAsia" w:hAnsiTheme="majorBidi" w:cstheme="majorBidi"/>
        </w:rPr>
        <w:t>), and</w:t>
      </w:r>
      <w:proofErr w:type="gramEnd"/>
      <w:r w:rsidRPr="004262AE">
        <w:rPr>
          <w:rStyle w:val="normaltextrun"/>
          <w:rFonts w:asciiTheme="majorBidi" w:eastAsiaTheme="majorEastAsia" w:hAnsiTheme="majorBidi" w:cstheme="majorBidi"/>
        </w:rPr>
        <w:t xml:space="preserve"> so indicates how far the set of species has moved overall towards extinction. Thus, the global Red List Index allows comparisons between sets of species in both their overall level of extinction risk (i.e. how threatened they are on average), and in the rate at which this risk changes over time. A downward trend in the global Red List Index over time means that the expected rate of future species extinctions is worsening (i.e. the rate of biodiversity loss is increasing). An upward trend means that the expected rate of species extinctions is abating (i.e. the rate of biodiversity loss is decreasing), and a horizontal line means that the expected rate of species extinctions is remaining the same, although in each of these cases it does not mean that biodiversity loss has stopped. An upward global Red List Index trend would indicate that the SDG Target 15.5 of reducing the degradation of natural habitats and protecting threatened species is on track. A global Red List Index value of 1 would indicate that biodiversity loss has been halted.</w:t>
      </w:r>
      <w:r w:rsidRPr="004262AE">
        <w:rPr>
          <w:rStyle w:val="eop"/>
          <w:rFonts w:asciiTheme="majorBidi" w:eastAsiaTheme="majorEastAsia" w:hAnsiTheme="majorBidi" w:cstheme="majorBidi"/>
        </w:rPr>
        <w:t> </w:t>
      </w:r>
    </w:p>
    <w:p w14:paraId="075F5C1E" w14:textId="77777777" w:rsidR="004262AE" w:rsidRDefault="00C5314E" w:rsidP="004262AE">
      <w:pPr>
        <w:pStyle w:val="CBDNormalNumber"/>
        <w:numPr>
          <w:ilvl w:val="0"/>
          <w:numId w:val="49"/>
        </w:numPr>
        <w:rPr>
          <w:rFonts w:eastAsiaTheme="majorEastAsia"/>
          <w:color w:val="000000"/>
          <w:sz w:val="24"/>
          <w:szCs w:val="24"/>
          <w:lang w:val="en-AU"/>
        </w:rPr>
      </w:pPr>
      <w:r w:rsidRPr="004262AE">
        <w:rPr>
          <w:rStyle w:val="normaltextrun"/>
          <w:rFonts w:asciiTheme="majorBidi" w:eastAsiaTheme="majorEastAsia" w:hAnsiTheme="majorBidi" w:cstheme="majorBidi"/>
        </w:rPr>
        <w:t>The name “</w:t>
      </w:r>
      <w:r w:rsidRPr="004262AE">
        <w:rPr>
          <w:rStyle w:val="normaltextrun"/>
          <w:rFonts w:asciiTheme="majorBidi" w:eastAsiaTheme="majorEastAsia" w:hAnsiTheme="majorBidi" w:cstheme="majorBidi"/>
          <w:i/>
          <w:iCs/>
        </w:rPr>
        <w:t>Red List Index</w:t>
      </w:r>
      <w:r w:rsidRPr="004262AE">
        <w:rPr>
          <w:rStyle w:val="normaltextrun"/>
          <w:rFonts w:asciiTheme="majorBidi" w:eastAsiaTheme="majorEastAsia" w:hAnsiTheme="majorBidi" w:cstheme="majorBidi"/>
        </w:rPr>
        <w:t xml:space="preserve">” should not be taken to imply that the indicator is produced as a composite </w:t>
      </w:r>
      <w:r w:rsidRPr="00B3383B">
        <w:rPr>
          <w:rStyle w:val="normaltextrun"/>
        </w:rPr>
        <w:t>indicator</w:t>
      </w:r>
      <w:r w:rsidRPr="004262AE">
        <w:rPr>
          <w:rStyle w:val="normaltextrun"/>
          <w:rFonts w:asciiTheme="majorBidi" w:eastAsiaTheme="majorEastAsia" w:hAnsiTheme="majorBidi" w:cstheme="majorBidi"/>
        </w:rPr>
        <w:t xml:space="preserve"> of </w:t>
      </w:r>
      <w:proofErr w:type="gramStart"/>
      <w:r w:rsidRPr="004262AE">
        <w:rPr>
          <w:rStyle w:val="normaltextrun"/>
          <w:rFonts w:asciiTheme="majorBidi" w:eastAsiaTheme="majorEastAsia" w:hAnsiTheme="majorBidi" w:cstheme="majorBidi"/>
        </w:rPr>
        <w:t>a number of</w:t>
      </w:r>
      <w:proofErr w:type="gramEnd"/>
      <w:r w:rsidRPr="004262AE">
        <w:rPr>
          <w:rStyle w:val="normaltextrun"/>
          <w:rFonts w:asciiTheme="majorBidi" w:eastAsiaTheme="majorEastAsia" w:hAnsiTheme="majorBidi" w:cstheme="majorBidi"/>
        </w:rPr>
        <w:t xml:space="preserve"> disparate metrics (in the same way that, e.g. the Multidimensional Poverty Index is compiled). The Red List Index provides an indicator of trends in species’ extinction risk, as measured using the IUCN Red List Categories and Criteria (Mace et al. 2008, IUCN 2012a), </w:t>
      </w:r>
      <w:r w:rsidRPr="004262AE">
        <w:rPr>
          <w:rStyle w:val="normaltextrun"/>
          <w:rFonts w:asciiTheme="majorBidi" w:eastAsiaTheme="majorEastAsia" w:hAnsiTheme="majorBidi" w:cstheme="majorBidi"/>
        </w:rPr>
        <w:lastRenderedPageBreak/>
        <w:t>and is compiled from data on changes over time in the Red List Category for each species, excluding any changes driven by improved knowledge or revised taxonomy.</w:t>
      </w:r>
      <w:r w:rsidRPr="004262AE">
        <w:rPr>
          <w:rStyle w:val="eop"/>
          <w:rFonts w:asciiTheme="majorBidi" w:eastAsiaTheme="majorEastAsia" w:hAnsiTheme="majorBidi" w:cstheme="majorBidi"/>
        </w:rPr>
        <w:t> </w:t>
      </w:r>
    </w:p>
    <w:p w14:paraId="699AF082" w14:textId="35DD5700" w:rsidR="00C5314E" w:rsidRPr="004262AE" w:rsidRDefault="00C5314E" w:rsidP="004262AE">
      <w:pPr>
        <w:pStyle w:val="CBDNormalNumber"/>
        <w:numPr>
          <w:ilvl w:val="0"/>
          <w:numId w:val="49"/>
        </w:numPr>
        <w:rPr>
          <w:rFonts w:eastAsiaTheme="majorEastAsia"/>
          <w:color w:val="000000"/>
          <w:sz w:val="24"/>
          <w:szCs w:val="24"/>
          <w:lang w:val="en-AU"/>
        </w:rPr>
      </w:pPr>
      <w:r w:rsidRPr="004262AE">
        <w:rPr>
          <w:rStyle w:val="normaltextrun"/>
          <w:rFonts w:asciiTheme="majorBidi" w:eastAsiaTheme="majorEastAsia" w:hAnsiTheme="majorBidi" w:cstheme="majorBidi"/>
        </w:rPr>
        <w:t>The Red List Index was used as an indicator towards the 2011–2020 Strategic Plan for Biodiversity (CBD 2014, Tittensor et al. 2014, CBD 2020a), the Convention on Biological Diversity’s 2010 Target (Butchart et al. 2010), Millennium Development Goal 7, Sustainable Development Goal 15.1 and is also used by Parties to the CMS (and its subsidiary agreements and memoranda of understanding), CITES and UNCCD (Butchart et al. 2024). It is a Headline Indicator in the Kunming-Montreal Global Biodiversity Framework (CBD 2022).</w:t>
      </w:r>
      <w:r w:rsidRPr="004262AE">
        <w:rPr>
          <w:rStyle w:val="eop"/>
          <w:rFonts w:asciiTheme="majorBidi" w:eastAsiaTheme="majorEastAsia" w:hAnsiTheme="majorBidi" w:cstheme="majorBidi"/>
        </w:rPr>
        <w:t> </w:t>
      </w:r>
    </w:p>
    <w:p w14:paraId="7809A090"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24619F63" w14:textId="77777777" w:rsidR="00C5314E" w:rsidRPr="00ED7E61" w:rsidRDefault="00C5314E" w:rsidP="00C5314E">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502C622B"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Indicator definition: </w:t>
      </w:r>
      <w:r w:rsidRPr="00ED7E61">
        <w:rPr>
          <w:rStyle w:val="eop"/>
          <w:rFonts w:asciiTheme="majorBidi" w:eastAsiaTheme="majorEastAsia" w:hAnsiTheme="majorBidi" w:cstheme="majorBidi"/>
          <w:sz w:val="22"/>
          <w:szCs w:val="22"/>
        </w:rPr>
        <w:t> </w:t>
      </w:r>
    </w:p>
    <w:p w14:paraId="51BEF738"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 indicator “</w:t>
      </w:r>
      <w:r w:rsidRPr="004262AE">
        <w:rPr>
          <w:rStyle w:val="normaltextrun"/>
          <w:rFonts w:asciiTheme="majorBidi" w:eastAsiaTheme="majorEastAsia" w:hAnsiTheme="majorBidi" w:cstheme="majorBidi"/>
        </w:rPr>
        <w:t>Red List Index</w:t>
      </w:r>
      <w:r w:rsidRPr="00ED7E61">
        <w:rPr>
          <w:rStyle w:val="normaltextrun"/>
          <w:rFonts w:asciiTheme="majorBidi" w:eastAsiaTheme="majorEastAsia" w:hAnsiTheme="majorBidi" w:cstheme="majorBidi"/>
        </w:rPr>
        <w:t>” measures change in aggregate extinction risk across groups of species. It is based on genuine changes in the number of species in each category of extinction risk on The IUCN Red List of Threatened Species (www.iucnredlist.org) and is expressed as changes in an index ranging from 0 to 1.</w:t>
      </w:r>
      <w:r w:rsidRPr="004262AE">
        <w:rPr>
          <w:rStyle w:val="normaltextrun"/>
          <w:rFonts w:asciiTheme="majorBidi" w:eastAsiaTheme="majorEastAsia" w:hAnsiTheme="majorBidi" w:cstheme="majorBidi"/>
        </w:rPr>
        <w:t> </w:t>
      </w:r>
    </w:p>
    <w:p w14:paraId="261EF2E4"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Other key concepts and definitions:</w:t>
      </w:r>
      <w:r w:rsidRPr="00ED7E61">
        <w:rPr>
          <w:rStyle w:val="eop"/>
          <w:rFonts w:asciiTheme="majorBidi" w:eastAsiaTheme="majorEastAsia" w:hAnsiTheme="majorBidi" w:cstheme="majorBidi"/>
          <w:color w:val="000000"/>
          <w:sz w:val="22"/>
          <w:szCs w:val="22"/>
        </w:rPr>
        <w:t> </w:t>
      </w:r>
    </w:p>
    <w:p w14:paraId="0C58DC9D"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Threatened species are those listed on The IUCN Red List of Threatened Species in the categories Vulnerable, Endangered, or Critically Endangered (i.e. species that are facing a high, very high, or extremely high risk of extinction in the wild in the medium-term future). Changes over time in the proportion of species threatened with extinction are largely driven by improvements in knowledge and changing taxonomy. The indicator excludes such changes to yield a more informative indicator than the simple proportion of threatened species. It therefore measures change in aggregate extinction risk across groups of species over time, resulting from genuine improvements or deteriorations in the status of individual species. It can be calculated for any representative set of species that have been assessed for The IUCN Red List of Threatened Species at least twice (Butchart et al. 2004, 2005, 2007). To calculate the Red List Index for individual countries and regions, each species contributing to the index is weighted by the proportion of its global range within the </w:t>
      </w:r>
      <w:proofErr w:type="gramStart"/>
      <w:r w:rsidRPr="00ED7E61">
        <w:rPr>
          <w:rStyle w:val="normaltextrun"/>
          <w:rFonts w:asciiTheme="majorBidi" w:eastAsiaTheme="majorEastAsia" w:hAnsiTheme="majorBidi" w:cstheme="majorBidi"/>
        </w:rPr>
        <w:t>particular country</w:t>
      </w:r>
      <w:proofErr w:type="gramEnd"/>
      <w:r w:rsidRPr="00ED7E61">
        <w:rPr>
          <w:rStyle w:val="normaltextrun"/>
          <w:rFonts w:asciiTheme="majorBidi" w:eastAsiaTheme="majorEastAsia" w:hAnsiTheme="majorBidi" w:cstheme="majorBidi"/>
        </w:rPr>
        <w:t xml:space="preserve"> or region. The resulting index therefore shows the aggregate extinction risk for species within the country or region relative to its potential contribution to global species extinction risk (within the taxonomic groups included) (Butchart et al. 2024). Complementing such national </w:t>
      </w: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of the global index, national RLIs can be generated from repeated assessments of national extinction risk (e.g. national Red Lists). Guidance for assessing national extinction risk of species has been developed by IUCN (IUCN 2012b), and most countries have developed national red lists for at least one taxonomic group. National RLIs may be more sensitive than disaggregated global RLIs to factors influencing biodiversity loss within each country (including national policies</w:t>
      </w:r>
      <w:proofErr w:type="gramStart"/>
      <w:r w:rsidRPr="00ED7E61">
        <w:rPr>
          <w:rStyle w:val="normaltextrun"/>
          <w:rFonts w:asciiTheme="majorBidi" w:eastAsiaTheme="majorEastAsia" w:hAnsiTheme="majorBidi" w:cstheme="majorBidi"/>
        </w:rPr>
        <w:t>), but</w:t>
      </w:r>
      <w:proofErr w:type="gramEnd"/>
      <w:r w:rsidRPr="00ED7E61">
        <w:rPr>
          <w:rStyle w:val="normaltextrun"/>
          <w:rFonts w:asciiTheme="majorBidi" w:eastAsiaTheme="majorEastAsia" w:hAnsiTheme="majorBidi" w:cstheme="majorBidi"/>
        </w:rPr>
        <w:t xml:space="preserve"> require repeated assessments of national extinction risk for multiple groups in each country (with associated costs), and cannot be directly compared between countries (Raimondo et al</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2022, Butchart et al. 2024).</w:t>
      </w:r>
      <w:r w:rsidRPr="004262AE">
        <w:rPr>
          <w:rStyle w:val="normaltextrun"/>
          <w:rFonts w:asciiTheme="majorBidi" w:eastAsiaTheme="majorEastAsia" w:hAnsiTheme="majorBidi" w:cstheme="majorBidi"/>
        </w:rPr>
        <w:t> </w:t>
      </w:r>
    </w:p>
    <w:p w14:paraId="481426F6"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Unit of measure: </w:t>
      </w:r>
      <w:r w:rsidRPr="00ED7E61">
        <w:rPr>
          <w:rStyle w:val="eop"/>
          <w:rFonts w:asciiTheme="majorBidi" w:eastAsiaTheme="majorEastAsia" w:hAnsiTheme="majorBidi" w:cstheme="majorBidi"/>
          <w:sz w:val="22"/>
          <w:szCs w:val="22"/>
        </w:rPr>
        <w:t> </w:t>
      </w:r>
    </w:p>
    <w:p w14:paraId="4827807C"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 disaggregated global Red List Index for a particular country or region is an index of the aggregate extinction risk for species within the country or region relative to its potential contribution to global species extinction risk (within the taxonomic groups included), measured on a scale of 0 to 1, where 1 is the maximum  contribution that the country or region can make to global species survival, equating to all species being classified as Least Concern on the IUCN Red List, and 0 is the minimum  contribution that the country or region can make to global species survival, equating to all species in the country or region having gone extinct.</w:t>
      </w:r>
      <w:r w:rsidRPr="004262AE">
        <w:rPr>
          <w:rStyle w:val="normaltextrun"/>
          <w:rFonts w:asciiTheme="majorBidi" w:eastAsiaTheme="majorEastAsia" w:hAnsiTheme="majorBidi" w:cstheme="majorBidi"/>
        </w:rPr>
        <w:t> </w:t>
      </w:r>
    </w:p>
    <w:p w14:paraId="2E78FC13" w14:textId="77777777" w:rsidR="00C5314E" w:rsidRPr="00ED7E61" w:rsidRDefault="00C5314E" w:rsidP="00C5314E">
      <w:pPr>
        <w:pStyle w:val="paragraph"/>
        <w:keepNext/>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726B355F"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The Red List Index is calculated at a point in time by first multiplying the number of species in each Red List Category by a weight (ranging from 1 for ‘Near Threatened’ to 5 for ‘Extinct’ and </w:t>
      </w:r>
      <w:r w:rsidRPr="00ED7E61">
        <w:rPr>
          <w:rStyle w:val="normaltextrun"/>
          <w:rFonts w:asciiTheme="majorBidi" w:eastAsiaTheme="majorEastAsia" w:hAnsiTheme="majorBidi" w:cstheme="majorBidi"/>
        </w:rPr>
        <w:lastRenderedPageBreak/>
        <w:t>‘Extinct in the Wild’) and summing these values. This is then divided by a maximum threat score which is the total number of species multiplied by the weight assigned to the ‘Extinct’ category. This final value is subtracted from 1 to give the Red List Index value.</w:t>
      </w:r>
      <w:r w:rsidRPr="004262AE">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rPr>
        <w:t>Mathematically this calculation is expressed as: </w:t>
      </w:r>
      <w:r w:rsidRPr="004262AE">
        <w:rPr>
          <w:rStyle w:val="normaltextrun"/>
          <w:rFonts w:asciiTheme="majorBidi" w:eastAsiaTheme="majorEastAsia" w:hAnsiTheme="majorBidi" w:cstheme="majorBidi"/>
        </w:rPr>
        <w:t> </w:t>
      </w:r>
    </w:p>
    <w:p w14:paraId="15EB80DD" w14:textId="77777777" w:rsidR="00C5314E" w:rsidRPr="00ED7E61" w:rsidRDefault="00C5314E" w:rsidP="00C5314E">
      <w:pPr>
        <w:pStyle w:val="paragraph"/>
        <w:spacing w:before="120" w:beforeAutospacing="0" w:after="120" w:afterAutospacing="0"/>
        <w:ind w:left="709"/>
        <w:textAlignment w:val="baseline"/>
        <w:rPr>
          <w:rFonts w:asciiTheme="majorBidi" w:hAnsiTheme="majorBidi" w:cstheme="majorBidi"/>
          <w:sz w:val="22"/>
          <w:szCs w:val="22"/>
        </w:rPr>
      </w:pPr>
      <w:proofErr w:type="spellStart"/>
      <w:r w:rsidRPr="00ED7E61">
        <w:rPr>
          <w:rStyle w:val="normaltextrun"/>
          <w:rFonts w:asciiTheme="majorBidi" w:eastAsiaTheme="majorEastAsia" w:hAnsiTheme="majorBidi" w:cstheme="majorBidi"/>
          <w:sz w:val="22"/>
          <w:szCs w:val="22"/>
          <w:lang w:val="en-GB"/>
        </w:rPr>
        <w:t>RLIt</w:t>
      </w:r>
      <w:proofErr w:type="spellEnd"/>
      <w:r w:rsidRPr="00ED7E61">
        <w:rPr>
          <w:rStyle w:val="normaltextrun"/>
          <w:rFonts w:asciiTheme="majorBidi" w:eastAsiaTheme="majorEastAsia" w:hAnsiTheme="majorBidi" w:cstheme="majorBidi"/>
          <w:sz w:val="22"/>
          <w:szCs w:val="22"/>
          <w:lang w:val="en-GB"/>
        </w:rPr>
        <w:t xml:space="preserve"> = 1 – [(Ss </w:t>
      </w:r>
      <w:proofErr w:type="spellStart"/>
      <w:r w:rsidRPr="00ED7E61">
        <w:rPr>
          <w:rStyle w:val="normaltextrun"/>
          <w:rFonts w:asciiTheme="majorBidi" w:eastAsiaTheme="majorEastAsia" w:hAnsiTheme="majorBidi" w:cstheme="majorBidi"/>
          <w:sz w:val="22"/>
          <w:szCs w:val="22"/>
          <w:lang w:val="en-GB"/>
        </w:rPr>
        <w:t>Wc</w:t>
      </w:r>
      <w:proofErr w:type="spellEnd"/>
      <w:r w:rsidRPr="00ED7E61">
        <w:rPr>
          <w:rStyle w:val="normaltextrun"/>
          <w:rFonts w:asciiTheme="majorBidi" w:eastAsiaTheme="majorEastAsia" w:hAnsiTheme="majorBidi" w:cstheme="majorBidi"/>
          <w:sz w:val="22"/>
          <w:szCs w:val="22"/>
          <w:lang w:val="en-GB"/>
        </w:rPr>
        <w:t>(</w:t>
      </w:r>
      <w:proofErr w:type="spellStart"/>
      <w:proofErr w:type="gramStart"/>
      <w:r w:rsidRPr="00ED7E61">
        <w:rPr>
          <w:rStyle w:val="normaltextrun"/>
          <w:rFonts w:asciiTheme="majorBidi" w:eastAsiaTheme="majorEastAsia" w:hAnsiTheme="majorBidi" w:cstheme="majorBidi"/>
          <w:sz w:val="22"/>
          <w:szCs w:val="22"/>
          <w:lang w:val="en-GB"/>
        </w:rPr>
        <w:t>t,s</w:t>
      </w:r>
      <w:proofErr w:type="spellEnd"/>
      <w:proofErr w:type="gramEnd"/>
      <w:r w:rsidRPr="00ED7E61">
        <w:rPr>
          <w:rStyle w:val="normaltextrun"/>
          <w:rFonts w:asciiTheme="majorBidi" w:eastAsiaTheme="majorEastAsia" w:hAnsiTheme="majorBidi" w:cstheme="majorBidi"/>
          <w:sz w:val="22"/>
          <w:szCs w:val="22"/>
          <w:lang w:val="en-GB"/>
        </w:rPr>
        <w:t>) / (WEX * N)]</w:t>
      </w:r>
      <w:r w:rsidRPr="00ED7E61">
        <w:rPr>
          <w:rStyle w:val="eop"/>
          <w:rFonts w:asciiTheme="majorBidi" w:eastAsiaTheme="majorEastAsia" w:hAnsiTheme="majorBidi" w:cstheme="majorBidi"/>
          <w:sz w:val="22"/>
          <w:szCs w:val="22"/>
        </w:rPr>
        <w:t> </w:t>
      </w:r>
    </w:p>
    <w:p w14:paraId="06BB61CD" w14:textId="77777777" w:rsidR="00C5314E" w:rsidRPr="00ED7E61" w:rsidRDefault="00C5314E" w:rsidP="00C5314E">
      <w:pPr>
        <w:pStyle w:val="paragraph"/>
        <w:spacing w:before="0" w:beforeAutospacing="0" w:after="0" w:afterAutospacing="0"/>
        <w:ind w:left="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Where </w:t>
      </w:r>
      <w:proofErr w:type="spellStart"/>
      <w:r w:rsidRPr="00ED7E61">
        <w:rPr>
          <w:rStyle w:val="normaltextrun"/>
          <w:rFonts w:asciiTheme="majorBidi" w:eastAsiaTheme="majorEastAsia" w:hAnsiTheme="majorBidi" w:cstheme="majorBidi"/>
          <w:sz w:val="22"/>
          <w:szCs w:val="22"/>
          <w:lang w:val="en-GB"/>
        </w:rPr>
        <w:t>Wc</w:t>
      </w:r>
      <w:proofErr w:type="spellEnd"/>
      <w:r w:rsidRPr="00ED7E61">
        <w:rPr>
          <w:rStyle w:val="normaltextrun"/>
          <w:rFonts w:asciiTheme="majorBidi" w:eastAsiaTheme="majorEastAsia" w:hAnsiTheme="majorBidi" w:cstheme="majorBidi"/>
          <w:sz w:val="22"/>
          <w:szCs w:val="22"/>
          <w:lang w:val="en-GB"/>
        </w:rPr>
        <w:t>(</w:t>
      </w:r>
      <w:proofErr w:type="spellStart"/>
      <w:proofErr w:type="gramStart"/>
      <w:r w:rsidRPr="00ED7E61">
        <w:rPr>
          <w:rStyle w:val="normaltextrun"/>
          <w:rFonts w:asciiTheme="majorBidi" w:eastAsiaTheme="majorEastAsia" w:hAnsiTheme="majorBidi" w:cstheme="majorBidi"/>
          <w:sz w:val="22"/>
          <w:szCs w:val="22"/>
          <w:lang w:val="en-GB"/>
        </w:rPr>
        <w:t>t,s</w:t>
      </w:r>
      <w:proofErr w:type="spellEnd"/>
      <w:proofErr w:type="gramEnd"/>
      <w:r w:rsidRPr="00ED7E61">
        <w:rPr>
          <w:rStyle w:val="normaltextrun"/>
          <w:rFonts w:asciiTheme="majorBidi" w:eastAsiaTheme="majorEastAsia" w:hAnsiTheme="majorBidi" w:cstheme="majorBidi"/>
          <w:sz w:val="22"/>
          <w:szCs w:val="22"/>
          <w:lang w:val="en-GB"/>
        </w:rPr>
        <w:t>) is the weight for category (c) at time (t) for species (s) (the weight for ‘Critically Endangered’ = 4, ‘Endangered’ = 3, ‘Vulnerable’ = 2, ‘Near Threatened’ = 1, ‘Least Concern’ = 0. ‘Critically Endangered’ species tagged as ‘Possibly Extinct’ or ‘Possibly Extinct in the Wild’ are assigned a weight of 5); WEX = 5, the weight assigned to ‘Extinct’ or ‘Extinct in the Wild’ species; and N is the total number of assessed species, excluding those assessed as Data Deficient in the current time period, and those considered to be ‘Extinct’ in the year the set of species was first assessed.</w:t>
      </w:r>
      <w:r w:rsidRPr="00ED7E61">
        <w:rPr>
          <w:rStyle w:val="eop"/>
          <w:rFonts w:asciiTheme="majorBidi" w:eastAsiaTheme="majorEastAsia" w:hAnsiTheme="majorBidi" w:cstheme="majorBidi"/>
          <w:sz w:val="22"/>
          <w:szCs w:val="22"/>
        </w:rPr>
        <w:t> </w:t>
      </w:r>
    </w:p>
    <w:p w14:paraId="5DA39BD6"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 formula requires that:</w:t>
      </w:r>
      <w:r w:rsidRPr="004262AE">
        <w:rPr>
          <w:rStyle w:val="normaltextrun"/>
          <w:rFonts w:asciiTheme="majorBidi" w:eastAsiaTheme="majorEastAsia" w:hAnsiTheme="majorBidi" w:cstheme="majorBidi"/>
        </w:rPr>
        <w:t> </w:t>
      </w:r>
    </w:p>
    <w:p w14:paraId="689E3A94" w14:textId="77777777" w:rsidR="00C5314E" w:rsidRPr="00ED7E61" w:rsidRDefault="00C5314E" w:rsidP="00C5314E">
      <w:pPr>
        <w:pStyle w:val="CBDNormalNumber"/>
        <w:numPr>
          <w:ilvl w:val="1"/>
          <w:numId w:val="48"/>
        </w:numPr>
        <w:tabs>
          <w:tab w:val="clear" w:pos="567"/>
          <w:tab w:val="clear" w:pos="1134"/>
          <w:tab w:val="clear" w:pos="1701"/>
          <w:tab w:val="clear" w:pos="2268"/>
          <w:tab w:val="left" w:pos="1985"/>
        </w:tabs>
        <w:ind w:left="1276" w:firstLine="56"/>
        <w:rPr>
          <w:rStyle w:val="normaltextrun"/>
          <w:rFonts w:eastAsiaTheme="majorEastAsia"/>
        </w:rPr>
      </w:pPr>
      <w:proofErr w:type="gramStart"/>
      <w:r w:rsidRPr="00ED7E61">
        <w:rPr>
          <w:rStyle w:val="normaltextrun"/>
          <w:rFonts w:asciiTheme="majorBidi" w:eastAsiaTheme="majorEastAsia" w:hAnsiTheme="majorBidi" w:cstheme="majorBidi"/>
        </w:rPr>
        <w:t>Exactly the same</w:t>
      </w:r>
      <w:proofErr w:type="gramEnd"/>
      <w:r w:rsidRPr="00ED7E61">
        <w:rPr>
          <w:rStyle w:val="normaltextrun"/>
          <w:rFonts w:asciiTheme="majorBidi" w:eastAsiaTheme="majorEastAsia" w:hAnsiTheme="majorBidi" w:cstheme="majorBidi"/>
        </w:rPr>
        <w:t xml:space="preserve"> set of species is included in all time periods, and</w:t>
      </w:r>
      <w:r w:rsidRPr="00ED7E61">
        <w:rPr>
          <w:rStyle w:val="normaltextrun"/>
        </w:rPr>
        <w:t> </w:t>
      </w:r>
    </w:p>
    <w:p w14:paraId="193A37CE" w14:textId="77777777" w:rsidR="00C5314E" w:rsidRPr="00ED7E61" w:rsidRDefault="00C5314E" w:rsidP="00C5314E">
      <w:pPr>
        <w:pStyle w:val="CBDNormalNumber"/>
        <w:numPr>
          <w:ilvl w:val="1"/>
          <w:numId w:val="4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The only Red List Category changes are those resulting from genuine improvement or deterioration in status (i.e. excluding changes resulting from improved knowledge or taxonomic revisions), and</w:t>
      </w:r>
      <w:r w:rsidRPr="00ED7E61">
        <w:rPr>
          <w:rStyle w:val="normaltextrun"/>
        </w:rPr>
        <w:t> </w:t>
      </w:r>
    </w:p>
    <w:p w14:paraId="697B8CDC" w14:textId="77777777" w:rsidR="00C5314E" w:rsidRPr="00ED7E61" w:rsidRDefault="00C5314E" w:rsidP="00C5314E">
      <w:pPr>
        <w:pStyle w:val="CBDNormalNumber"/>
        <w:numPr>
          <w:ilvl w:val="1"/>
          <w:numId w:val="4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Data Deficient species are excluded (or treated according to the procedure described above).</w:t>
      </w:r>
      <w:r w:rsidRPr="00ED7E61">
        <w:rPr>
          <w:rStyle w:val="normaltextrun"/>
        </w:rPr>
        <w:t> </w:t>
      </w:r>
    </w:p>
    <w:p w14:paraId="43D7C883"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In many cases, species lists will change slightly from one assessment to the next (e.g. owing to taxonomic revisions). The conditions can therefore be met by retrospectively adjusting earlier Red List categorizations using current information and taxonomy. This is achieved by assuming that the current Red List Categories for the taxa have applied since the set of species was first assessed for the Red List, unless there is information to the contrary that genuine status changes have occurred. Such information is often contextual (e.g. relating to the known history of habitat loss within the range of the species). </w:t>
      </w:r>
      <w:r w:rsidRPr="004262AE">
        <w:rPr>
          <w:rStyle w:val="normaltextrun"/>
          <w:rFonts w:asciiTheme="majorBidi" w:eastAsiaTheme="majorEastAsia" w:hAnsiTheme="majorBidi" w:cstheme="majorBidi"/>
        </w:rPr>
        <w:t> </w:t>
      </w:r>
    </w:p>
    <w:p w14:paraId="48341558"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To avoid spurious results from a biased selection of species, Red List Indices are typically calculated only for taxonomic groups in which all species worldwide have been assessed for the Red List, or for samples of species that have been systematically or randomly selected. National RLIs based on national extinction risk should similarly be compiled only for taxonomic groups in which all species in the country (or a systematic or random sample) have been assessed. The methods and scientific basis for the Red List Index were described by Butchart et al. (2004, 2005, 2007, 2010, 2024). </w:t>
      </w:r>
      <w:r w:rsidRPr="004262AE">
        <w:rPr>
          <w:rStyle w:val="normaltextrun"/>
          <w:rFonts w:asciiTheme="majorBidi" w:eastAsiaTheme="majorEastAsia" w:hAnsiTheme="majorBidi" w:cstheme="majorBidi"/>
        </w:rPr>
        <w:t> </w:t>
      </w:r>
    </w:p>
    <w:p w14:paraId="11239CF3" w14:textId="77777777" w:rsidR="00C5314E" w:rsidRPr="004262AE" w:rsidRDefault="00C5314E" w:rsidP="004262AE">
      <w:pPr>
        <w:pStyle w:val="CBDNormalNumber"/>
        <w:numPr>
          <w:ilvl w:val="0"/>
          <w:numId w:val="49"/>
        </w:numPr>
        <w:rPr>
          <w:rStyle w:val="normaltextrun"/>
          <w:rFonts w:eastAsiaTheme="majorEastAsia"/>
        </w:rPr>
      </w:pPr>
      <w:r w:rsidRPr="00ED7E61">
        <w:rPr>
          <w:rStyle w:val="normaltextrun"/>
          <w:rFonts w:asciiTheme="majorBidi" w:eastAsiaTheme="majorEastAsia" w:hAnsiTheme="majorBidi" w:cstheme="majorBidi"/>
        </w:rPr>
        <w:t xml:space="preserve">Butchart et al. (2010) also described the methods by which Red List Indices for different taxonomic groups are aggregated to produce a single multi-taxon Red List Index. Specifically, aggregated Red List Indices are calculated as the arithmetic mean of modelled Red List Indices. Red List Indices for each taxonomic group are interpolated linearly for years between data points and extrapolated linearly (with a slope equal to that between the two closest assessed points) to align them with years for which Red List Indices for other taxa are available. The Red List Indices for each taxonomic group for each year are modelled to </w:t>
      </w:r>
      <w:proofErr w:type="gramStart"/>
      <w:r w:rsidRPr="00ED7E61">
        <w:rPr>
          <w:rStyle w:val="normaltextrun"/>
          <w:rFonts w:asciiTheme="majorBidi" w:eastAsiaTheme="majorEastAsia" w:hAnsiTheme="majorBidi" w:cstheme="majorBidi"/>
        </w:rPr>
        <w:t>take into account</w:t>
      </w:r>
      <w:proofErr w:type="gramEnd"/>
      <w:r w:rsidRPr="00ED7E61">
        <w:rPr>
          <w:rStyle w:val="normaltextrun"/>
          <w:rFonts w:asciiTheme="majorBidi" w:eastAsiaTheme="majorEastAsia" w:hAnsiTheme="majorBidi" w:cstheme="majorBidi"/>
        </w:rPr>
        <w:t xml:space="preserve"> various sources of uncertainty: </w:t>
      </w:r>
      <w:r w:rsidRPr="004262AE">
        <w:rPr>
          <w:rStyle w:val="normaltextrun"/>
        </w:rPr>
        <w:t> </w:t>
      </w:r>
    </w:p>
    <w:p w14:paraId="1E48D0CC" w14:textId="77777777" w:rsidR="00C5314E" w:rsidRPr="00ED7E61" w:rsidRDefault="00C5314E" w:rsidP="00C5314E">
      <w:pPr>
        <w:pStyle w:val="CBDNormalNumber"/>
        <w:numPr>
          <w:ilvl w:val="0"/>
          <w:numId w:val="50"/>
        </w:numPr>
        <w:tabs>
          <w:tab w:val="clear" w:pos="567"/>
          <w:tab w:val="clear" w:pos="1134"/>
          <w:tab w:val="clear" w:pos="1701"/>
          <w:tab w:val="clear" w:pos="2268"/>
          <w:tab w:val="left" w:pos="1985"/>
        </w:tabs>
        <w:ind w:left="567" w:firstLine="567"/>
        <w:rPr>
          <w:rStyle w:val="normaltextrun"/>
          <w:rFonts w:eastAsiaTheme="majorEastAsia"/>
        </w:rPr>
      </w:pPr>
      <w:r w:rsidRPr="00ED7E61">
        <w:rPr>
          <w:rStyle w:val="normaltextrun"/>
          <w:rFonts w:asciiTheme="majorBidi" w:eastAsiaTheme="majorEastAsia" w:hAnsiTheme="majorBidi" w:cstheme="majorBidi"/>
        </w:rPr>
        <w:t>Data Deficiency: Red List categories (from Least Concern to Extinct) are assigned to all Data Deficient species, with a probability proportional to the number of species in non-Data Deficient categories for that taxonomic group; </w:t>
      </w:r>
      <w:r w:rsidRPr="00ED7E61">
        <w:rPr>
          <w:rStyle w:val="normaltextrun"/>
        </w:rPr>
        <w:t> </w:t>
      </w:r>
    </w:p>
    <w:p w14:paraId="6A7EF6A0" w14:textId="77777777" w:rsidR="00C5314E" w:rsidRPr="00ED7E61" w:rsidRDefault="00C5314E" w:rsidP="00C5314E">
      <w:pPr>
        <w:pStyle w:val="CBDNormalNumber"/>
        <w:numPr>
          <w:ilvl w:val="0"/>
          <w:numId w:val="50"/>
        </w:numPr>
        <w:tabs>
          <w:tab w:val="clear" w:pos="567"/>
          <w:tab w:val="clear" w:pos="1134"/>
          <w:tab w:val="clear" w:pos="1701"/>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Extrapolation uncertainty: although RLIs were extrapolated linearly based on the slope of the closest two assessed point, there is uncertainty about how accurate this slope may be. To incorporate this uncertainty, rather than extrapolating deterministically, the slope used for extrapolation is selected from a normal distribution with a probability equal to the slope of the closest two assessed points, and standard deviation equal to 60% of this slope (i.e. the CV is 60%); </w:t>
      </w:r>
      <w:r w:rsidRPr="00ED7E61">
        <w:rPr>
          <w:rStyle w:val="eop"/>
          <w:rFonts w:asciiTheme="majorBidi" w:eastAsiaTheme="majorEastAsia" w:hAnsiTheme="majorBidi" w:cstheme="majorBidi"/>
        </w:rPr>
        <w:t> </w:t>
      </w:r>
    </w:p>
    <w:p w14:paraId="23C85422" w14:textId="77777777" w:rsidR="00C5314E" w:rsidRPr="00ED7E61" w:rsidRDefault="00C5314E" w:rsidP="00C5314E">
      <w:pPr>
        <w:pStyle w:val="CBDNormalNumber"/>
        <w:numPr>
          <w:ilvl w:val="0"/>
          <w:numId w:val="50"/>
        </w:numPr>
        <w:tabs>
          <w:tab w:val="clear" w:pos="567"/>
          <w:tab w:val="clear" w:pos="1134"/>
          <w:tab w:val="clear" w:pos="1701"/>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lastRenderedPageBreak/>
        <w:t>Temporal variability: the ‘true’ Red List Index likely changes from year to year, but because assessments are repeated only at multi-year intervals, the precise value for any particular year is uncertain. </w:t>
      </w:r>
      <w:r w:rsidRPr="00ED7E61">
        <w:rPr>
          <w:rStyle w:val="eop"/>
          <w:rFonts w:asciiTheme="majorBidi" w:eastAsiaTheme="majorEastAsia" w:hAnsiTheme="majorBidi" w:cstheme="majorBidi"/>
        </w:rPr>
        <w:t> </w:t>
      </w:r>
    </w:p>
    <w:p w14:paraId="5750676E"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To make this uncertainty explicit, the Red List Index value for a given taxonomic group </w:t>
      </w:r>
      <w:proofErr w:type="gramStart"/>
      <w:r w:rsidRPr="00ED7E61">
        <w:rPr>
          <w:rStyle w:val="normaltextrun"/>
          <w:rFonts w:asciiTheme="majorBidi" w:eastAsiaTheme="majorEastAsia" w:hAnsiTheme="majorBidi" w:cstheme="majorBidi"/>
        </w:rPr>
        <w:t>in a given year</w:t>
      </w:r>
      <w:proofErr w:type="gramEnd"/>
      <w:r w:rsidRPr="00ED7E61">
        <w:rPr>
          <w:rStyle w:val="normaltextrun"/>
          <w:rFonts w:asciiTheme="majorBidi" w:eastAsiaTheme="majorEastAsia" w:hAnsiTheme="majorBidi" w:cstheme="majorBidi"/>
        </w:rPr>
        <w:t xml:space="preserve"> is assigned from a moving window of five years, centred on the focal year (with the window set as 3-4 years for the first two and last two years in the series). Note that assessment uncertainty cannot yet be incorporated into the index. Practically, these uncertainties are incorporated into the aggregated Red List Indices as follows: Data Deficient species are allotted a category as described above, and a Red List Index for each taxonomic group is calculated interpolating and extrapolating as described above. A final Red List Index value is assigned to each taxonomic group for each year from a window of years as described above. Each such ‘run’ produces a Red List Index for the complete </w:t>
      </w:r>
      <w:proofErr w:type="gramStart"/>
      <w:r w:rsidRPr="00ED7E61">
        <w:rPr>
          <w:rStyle w:val="normaltextrun"/>
          <w:rFonts w:asciiTheme="majorBidi" w:eastAsiaTheme="majorEastAsia" w:hAnsiTheme="majorBidi" w:cstheme="majorBidi"/>
        </w:rPr>
        <w:t>time period</w:t>
      </w:r>
      <w:proofErr w:type="gramEnd"/>
      <w:r w:rsidRPr="00ED7E61">
        <w:rPr>
          <w:rStyle w:val="normaltextrun"/>
          <w:rFonts w:asciiTheme="majorBidi" w:eastAsiaTheme="majorEastAsia" w:hAnsiTheme="majorBidi" w:cstheme="majorBidi"/>
        </w:rPr>
        <w:t xml:space="preserve"> for each taxonomic group, incorporating the various sources of uncertainty. Ten thousand such runs are generated for each taxonomic group, and the mean is calculated.</w:t>
      </w:r>
      <w:r w:rsidRPr="004262AE">
        <w:rPr>
          <w:rStyle w:val="normaltextrun"/>
          <w:rFonts w:asciiTheme="majorBidi" w:eastAsiaTheme="majorEastAsia" w:hAnsiTheme="majorBidi" w:cstheme="majorBidi"/>
        </w:rPr>
        <w:t> </w:t>
      </w:r>
    </w:p>
    <w:p w14:paraId="429CC0F3" w14:textId="77777777" w:rsidR="00C5314E" w:rsidRPr="00ED7E61" w:rsidRDefault="00C5314E" w:rsidP="004262AE">
      <w:pPr>
        <w:pStyle w:val="CBDNormalNumber"/>
        <w:numPr>
          <w:ilvl w:val="0"/>
          <w:numId w:val="49"/>
        </w:numPr>
        <w:rPr>
          <w:rStyle w:val="eop"/>
          <w:rFonts w:asciiTheme="majorBidi" w:eastAsiaTheme="majorEastAsia" w:hAnsiTheme="majorBidi" w:cstheme="majorBidi"/>
        </w:rPr>
      </w:pPr>
      <w:r w:rsidRPr="004262AE">
        <w:rPr>
          <w:rStyle w:val="normaltextrun"/>
        </w:rPr>
        <w:t xml:space="preserve">If Red List assessments are produced by individual Parties, assessment objectives, scoring methods, and </w:t>
      </w:r>
      <w:r w:rsidRPr="004262AE">
        <w:rPr>
          <w:rStyle w:val="normaltextrun"/>
          <w:rFonts w:asciiTheme="majorBidi" w:eastAsiaTheme="majorEastAsia" w:hAnsiTheme="majorBidi" w:cstheme="majorBidi"/>
        </w:rPr>
        <w:t>calculation</w:t>
      </w:r>
      <w:r w:rsidRPr="004262AE">
        <w:rPr>
          <w:rStyle w:val="normaltextrun"/>
        </w:rPr>
        <w:t xml:space="preserve"> methods may need to be adjusted to </w:t>
      </w:r>
      <w:proofErr w:type="gramStart"/>
      <w:r w:rsidRPr="004262AE">
        <w:rPr>
          <w:rStyle w:val="normaltextrun"/>
        </w:rPr>
        <w:t>take into account</w:t>
      </w:r>
      <w:proofErr w:type="gramEnd"/>
      <w:r w:rsidRPr="004262AE">
        <w:rPr>
          <w:rStyle w:val="normaltextrun"/>
        </w:rPr>
        <w:t xml:space="preserve"> specific national circumstances, and differences in national assessment systems </w:t>
      </w:r>
      <w:proofErr w:type="gramStart"/>
      <w:r w:rsidRPr="004262AE">
        <w:rPr>
          <w:rStyle w:val="normaltextrun"/>
        </w:rPr>
        <w:t>in order to</w:t>
      </w:r>
      <w:proofErr w:type="gramEnd"/>
      <w:r w:rsidRPr="004262AE">
        <w:rPr>
          <w:rStyle w:val="normaltextrun"/>
        </w:rPr>
        <w:t xml:space="preserve"> avoid over or </w:t>
      </w:r>
      <w:proofErr w:type="gramStart"/>
      <w:r w:rsidRPr="004262AE">
        <w:rPr>
          <w:rStyle w:val="normaltextrun"/>
        </w:rPr>
        <w:t>under estimating</w:t>
      </w:r>
      <w:proofErr w:type="gramEnd"/>
      <w:r w:rsidRPr="004262AE">
        <w:rPr>
          <w:rStyle w:val="normaltextrun"/>
        </w:rPr>
        <w:t xml:space="preserve"> the risk of extinction</w:t>
      </w:r>
      <w:r w:rsidRPr="00ED7E61">
        <w:rPr>
          <w:rStyle w:val="eop"/>
          <w:rFonts w:asciiTheme="majorBidi" w:eastAsiaTheme="majorEastAsia" w:hAnsiTheme="majorBidi" w:cstheme="majorBidi"/>
        </w:rPr>
        <w:t>.</w:t>
      </w:r>
    </w:p>
    <w:p w14:paraId="12A309E4"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13BF1A9D" w14:textId="77777777" w:rsidR="00C5314E" w:rsidRPr="00ED7E61" w:rsidRDefault="00C5314E" w:rsidP="00C5314E">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A detailed description of the Red List Assessment process is provided at </w:t>
      </w:r>
      <w:hyperlink r:id="rId40" w:tgtFrame="_blank" w:history="1">
        <w:r w:rsidRPr="00ED7E61">
          <w:rPr>
            <w:rStyle w:val="normaltextrun"/>
            <w:rFonts w:asciiTheme="majorBidi" w:eastAsiaTheme="majorEastAsia" w:hAnsiTheme="majorBidi" w:cstheme="majorBidi"/>
          </w:rPr>
          <w:t>https://www.iucnredlist.org/assessment/process</w:t>
        </w:r>
      </w:hyperlink>
      <w:r w:rsidRPr="00ED7E61">
        <w:rPr>
          <w:rStyle w:val="normaltextrun"/>
          <w:rFonts w:asciiTheme="majorBidi" w:eastAsiaTheme="majorEastAsia" w:hAnsiTheme="majorBidi" w:cstheme="majorBidi"/>
        </w:rPr>
        <w:t>. </w:t>
      </w:r>
      <w:r w:rsidRPr="00ED7E61">
        <w:rPr>
          <w:rStyle w:val="normaltextrun"/>
        </w:rPr>
        <w:t> </w:t>
      </w:r>
    </w:p>
    <w:p w14:paraId="256CC803"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5941DFCC" w14:textId="77777777" w:rsidR="00C5314E" w:rsidRPr="00ED7E61" w:rsidRDefault="00C5314E" w:rsidP="00C5314E">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See references in section 11, and </w:t>
      </w:r>
      <w:hyperlink r:id="rId41" w:tgtFrame="_blank" w:history="1">
        <w:r w:rsidRPr="00ED7E61">
          <w:rPr>
            <w:rStyle w:val="normaltextrun"/>
            <w:rFonts w:asciiTheme="majorBidi" w:eastAsiaTheme="majorEastAsia" w:hAnsiTheme="majorBidi" w:cstheme="majorBidi"/>
          </w:rPr>
          <w:t>https://www.iucnredlist.org</w:t>
        </w:r>
      </w:hyperlink>
      <w:r w:rsidRPr="00ED7E61">
        <w:rPr>
          <w:rStyle w:val="normaltextrun"/>
        </w:rPr>
        <w:t> </w:t>
      </w:r>
    </w:p>
    <w:p w14:paraId="4F33849A"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0B5C34B6" w14:textId="77777777" w:rsid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 Red List Index is based on data from The IUCN Red List of Threatened Species (</w:t>
      </w:r>
      <w:hyperlink r:id="rId42" w:tgtFrame="_blank" w:history="1">
        <w:r w:rsidRPr="00ED7E61">
          <w:rPr>
            <w:rStyle w:val="normaltextrun"/>
            <w:rFonts w:asciiTheme="majorBidi" w:eastAsiaTheme="majorEastAsia" w:hAnsiTheme="majorBidi" w:cstheme="majorBidi"/>
          </w:rPr>
          <w:t>www.iucnredlist.org</w:t>
        </w:r>
      </w:hyperlink>
      <w:r w:rsidRPr="00ED7E61">
        <w:rPr>
          <w:rStyle w:val="normaltextrun"/>
          <w:rFonts w:asciiTheme="majorBidi" w:eastAsiaTheme="majorEastAsia" w:hAnsiTheme="majorBidi" w:cstheme="majorBidi"/>
        </w:rPr>
        <w:t xml:space="preserve">), </w:t>
      </w:r>
      <w:proofErr w:type="gramStart"/>
      <w:r w:rsidRPr="00ED7E61">
        <w:rPr>
          <w:rStyle w:val="normaltextrun"/>
          <w:rFonts w:asciiTheme="majorBidi" w:eastAsiaTheme="majorEastAsia" w:hAnsiTheme="majorBidi" w:cstheme="majorBidi"/>
        </w:rPr>
        <w:t>in particular the</w:t>
      </w:r>
      <w:proofErr w:type="gramEnd"/>
      <w:r w:rsidRPr="00ED7E61">
        <w:rPr>
          <w:rStyle w:val="normaltextrun"/>
          <w:rFonts w:asciiTheme="majorBidi" w:eastAsiaTheme="majorEastAsia" w:hAnsiTheme="majorBidi" w:cstheme="majorBidi"/>
        </w:rPr>
        <w:t xml:space="preserve"> numbers of species in each Red List category of extinction risk, and changes in these numbers over time resulting from genuine improvements or deteriorations in the status of species. Data on species’ distribution, population size, trends and other parameters that underpin Red List assessments are gathered from published and unpublished sources, species experts, scientists, and conservationists through correspondence, workshops, and electronic fora.</w:t>
      </w:r>
      <w:r w:rsidRPr="004262AE">
        <w:rPr>
          <w:rStyle w:val="normaltextrun"/>
          <w:rFonts w:asciiTheme="majorBidi" w:eastAsiaTheme="majorEastAsia" w:hAnsiTheme="majorBidi" w:cstheme="majorBidi"/>
        </w:rPr>
        <w:t> </w:t>
      </w:r>
    </w:p>
    <w:p w14:paraId="6E3BE301" w14:textId="77777777" w:rsidR="004262AE" w:rsidRDefault="00C5314E" w:rsidP="004262AE">
      <w:pPr>
        <w:pStyle w:val="CBDNormalNumber"/>
        <w:numPr>
          <w:ilvl w:val="0"/>
          <w:numId w:val="49"/>
        </w:numPr>
        <w:rPr>
          <w:rFonts w:asciiTheme="majorBidi" w:eastAsiaTheme="majorEastAsia" w:hAnsiTheme="majorBidi" w:cstheme="majorBidi"/>
        </w:rPr>
      </w:pPr>
      <w:r w:rsidRPr="004262AE">
        <w:rPr>
          <w:rStyle w:val="normaltextrun"/>
          <w:rFonts w:asciiTheme="majorBidi" w:eastAsiaTheme="majorEastAsia" w:hAnsiTheme="majorBidi" w:cstheme="majorBidi"/>
        </w:rPr>
        <w:t>Red List Assessments are checked before submission to IUCN by Assessors and Red List Authority Coordinators, to ensure that all of the required supporting information is provided in the appropriate format, distribution maps follow the required mapping standards (</w:t>
      </w:r>
      <w:hyperlink r:id="rId43" w:tgtFrame="_blank" w:history="1">
        <w:r w:rsidRPr="004262AE">
          <w:rPr>
            <w:rStyle w:val="normaltextrun"/>
            <w:rFonts w:asciiTheme="majorBidi" w:eastAsiaTheme="majorEastAsia" w:hAnsiTheme="majorBidi" w:cstheme="majorBidi"/>
          </w:rPr>
          <w:t>https://www.iucnredlist.org/resources/mappingstandards</w:t>
        </w:r>
      </w:hyperlink>
      <w:r w:rsidRPr="004262AE">
        <w:rPr>
          <w:rStyle w:val="normaltextrun"/>
          <w:rFonts w:asciiTheme="majorBidi" w:eastAsiaTheme="majorEastAsia" w:hAnsiTheme="majorBidi" w:cstheme="majorBidi"/>
        </w:rPr>
        <w:t xml:space="preserve">, and the IUCN Red List Criteria have been applied appropriately and consistently following IUCN Guidelines (IUCN SPSC 2024). For further details, see </w:t>
      </w:r>
      <w:hyperlink r:id="rId44" w:tgtFrame="_blank" w:history="1">
        <w:r w:rsidRPr="004262AE">
          <w:rPr>
            <w:rStyle w:val="normaltextrun"/>
            <w:rFonts w:asciiTheme="majorBidi" w:eastAsiaTheme="majorEastAsia" w:hAnsiTheme="majorBidi" w:cstheme="majorBidi"/>
          </w:rPr>
          <w:t>https://www.iucnredlist.org/assessment/process</w:t>
        </w:r>
      </w:hyperlink>
      <w:r w:rsidRPr="004262AE">
        <w:rPr>
          <w:rStyle w:val="normaltextrun"/>
          <w:rFonts w:asciiTheme="majorBidi" w:eastAsiaTheme="majorEastAsia" w:hAnsiTheme="majorBidi" w:cstheme="majorBidi"/>
        </w:rPr>
        <w:t>. All submitted assessments must be reviewed by at least one Reviewer designated by the Red List Authority. For more details on the review process, see the Rules of Procedure (</w:t>
      </w:r>
      <w:hyperlink r:id="rId45" w:history="1">
        <w:r w:rsidRPr="004262AE">
          <w:rPr>
            <w:rStyle w:val="Hyperlink"/>
            <w:lang w:val="en-CA"/>
          </w:rPr>
          <w:t>https://www.iucnredlist.org/resources/rules-of-procedure</w:t>
        </w:r>
      </w:hyperlink>
      <w:proofErr w:type="gramStart"/>
      <w:r w:rsidRPr="004262AE">
        <w:rPr>
          <w:lang w:val="en-CA"/>
        </w:rPr>
        <w:t xml:space="preserve">) </w:t>
      </w:r>
      <w:r w:rsidRPr="004262AE">
        <w:rPr>
          <w:rStyle w:val="normaltextrun"/>
          <w:rFonts w:asciiTheme="majorBidi" w:eastAsiaTheme="majorEastAsia" w:hAnsiTheme="majorBidi" w:cstheme="majorBidi"/>
        </w:rPr>
        <w:t>.</w:t>
      </w:r>
      <w:proofErr w:type="gramEnd"/>
      <w:r w:rsidRPr="004262AE">
        <w:rPr>
          <w:rStyle w:val="normaltextrun"/>
          <w:rFonts w:asciiTheme="majorBidi" w:eastAsiaTheme="majorEastAsia" w:hAnsiTheme="majorBidi" w:cstheme="majorBidi"/>
        </w:rPr>
        <w:t> </w:t>
      </w:r>
      <w:r w:rsidRPr="004262AE">
        <w:rPr>
          <w:rStyle w:val="eop"/>
          <w:rFonts w:asciiTheme="majorBidi" w:eastAsiaTheme="majorEastAsia" w:hAnsiTheme="majorBidi" w:cstheme="majorBidi"/>
        </w:rPr>
        <w:t> </w:t>
      </w:r>
    </w:p>
    <w:p w14:paraId="260F4DA5" w14:textId="77777777" w:rsidR="004262AE" w:rsidRDefault="00C5314E" w:rsidP="004262AE">
      <w:pPr>
        <w:pStyle w:val="CBDNormalNumber"/>
        <w:numPr>
          <w:ilvl w:val="0"/>
          <w:numId w:val="49"/>
        </w:numPr>
        <w:rPr>
          <w:rFonts w:asciiTheme="majorBidi" w:eastAsiaTheme="majorEastAsia" w:hAnsiTheme="majorBidi" w:cstheme="majorBidi"/>
        </w:rPr>
      </w:pPr>
      <w:r w:rsidRPr="004262AE">
        <w:rPr>
          <w:rStyle w:val="normaltextrun"/>
          <w:rFonts w:asciiTheme="majorBidi" w:eastAsiaTheme="majorEastAsia" w:hAnsiTheme="majorBidi" w:cstheme="majorBidi"/>
        </w:rPr>
        <w:t>When Red List Indices are updated each year, the updated index (and underlying numbers of species in each Red List Category) are made available for review by countries prior to submission to the SDG Indicators Database. This is achieved through updating the country profiles in the Integrated Biodiversity Assessment Tool (</w:t>
      </w:r>
      <w:r w:rsidRPr="004262AE">
        <w:rPr>
          <w:lang w:val="en-CA"/>
        </w:rPr>
        <w:t>https://www.ibat-alliance.org)</w:t>
      </w:r>
      <w:r w:rsidRPr="004262AE">
        <w:rPr>
          <w:rStyle w:val="normaltextrun"/>
          <w:rFonts w:asciiTheme="majorBidi" w:eastAsiaTheme="majorEastAsia" w:hAnsiTheme="majorBidi" w:cstheme="majorBidi"/>
        </w:rPr>
        <w:t xml:space="preserve"> and circulating these for consultation and review to CBD National Focal Points, SDG National Statistical Office Focal Points, and IUCN State Members.</w:t>
      </w:r>
      <w:r w:rsidRPr="004262AE">
        <w:rPr>
          <w:rStyle w:val="eop"/>
          <w:rFonts w:asciiTheme="majorBidi" w:eastAsiaTheme="majorEastAsia" w:hAnsiTheme="majorBidi" w:cstheme="majorBidi"/>
        </w:rPr>
        <w:t> </w:t>
      </w:r>
    </w:p>
    <w:p w14:paraId="1668C9BB" w14:textId="6BE75E08" w:rsidR="00C5314E" w:rsidRPr="004262AE" w:rsidRDefault="00C5314E" w:rsidP="004262AE">
      <w:pPr>
        <w:pStyle w:val="CBDNormalNumber"/>
        <w:numPr>
          <w:ilvl w:val="0"/>
          <w:numId w:val="49"/>
        </w:numPr>
        <w:rPr>
          <w:rFonts w:asciiTheme="majorBidi" w:eastAsiaTheme="majorEastAsia" w:hAnsiTheme="majorBidi" w:cstheme="majorBidi"/>
        </w:rPr>
      </w:pPr>
      <w:r w:rsidRPr="004262AE">
        <w:rPr>
          <w:rStyle w:val="normaltextrun"/>
          <w:rFonts w:asciiTheme="majorBidi" w:eastAsiaTheme="majorEastAsia" w:hAnsiTheme="majorBidi" w:cstheme="majorBidi"/>
        </w:rPr>
        <w:t xml:space="preserve">In sum: all global Red List assessments are peer reviewed through the relevant Red List Authority for the species or species group in question; and all Red List assessments undergo consistency checks (to ensure consistency with assessments submitted for other taxonomic groups, </w:t>
      </w:r>
      <w:r w:rsidRPr="004262AE">
        <w:rPr>
          <w:rStyle w:val="normaltextrun"/>
          <w:rFonts w:asciiTheme="majorBidi" w:eastAsiaTheme="majorEastAsia" w:hAnsiTheme="majorBidi" w:cstheme="majorBidi"/>
        </w:rPr>
        <w:lastRenderedPageBreak/>
        <w:t>regions, processes, etc.) by the Red List Unit before publication on the Red List website (</w:t>
      </w:r>
      <w:hyperlink r:id="rId46" w:tgtFrame="_blank" w:history="1">
        <w:r w:rsidRPr="004262AE">
          <w:rPr>
            <w:rStyle w:val="normaltextrun"/>
            <w:rFonts w:asciiTheme="majorBidi" w:eastAsiaTheme="majorEastAsia" w:hAnsiTheme="majorBidi" w:cstheme="majorBidi"/>
            <w:color w:val="467886"/>
            <w:u w:val="single"/>
          </w:rPr>
          <w:t>http://www.iucnredlist.org/</w:t>
        </w:r>
      </w:hyperlink>
      <w:r w:rsidRPr="004262AE">
        <w:rPr>
          <w:rStyle w:val="normaltextrun"/>
          <w:rFonts w:asciiTheme="majorBidi" w:eastAsiaTheme="majorEastAsia" w:hAnsiTheme="majorBidi" w:cstheme="majorBidi"/>
        </w:rPr>
        <w:t>). Finally, IUCN through the Chair of the IUCN Species Survival Commission (elected each four years by the government and non-governmental Members of IUCN) appoints a Chair for the IUCN Red List Standards and Petitions Committee (</w:t>
      </w:r>
      <w:r w:rsidRPr="004262AE">
        <w:rPr>
          <w:lang w:val="en-CA"/>
        </w:rPr>
        <w:t>see section E of the Red List Partnership Agreement: https://nc.iucnredlist.org/redlist/content/attachment_files/Red_List_Partnership_Agreement_May_2023.pdf</w:t>
      </w:r>
      <w:hyperlink r:id="rId47" w:history="1">
        <w:r w:rsidRPr="004262AE">
          <w:rPr>
            <w:rStyle w:val="Hyperlink"/>
            <w:lang w:val="en-CA"/>
          </w:rPr>
          <w:t>see</w:t>
        </w:r>
      </w:hyperlink>
      <w:r w:rsidRPr="004262AE">
        <w:rPr>
          <w:rStyle w:val="normaltextrun"/>
          <w:rFonts w:asciiTheme="majorBidi" w:eastAsiaTheme="majorEastAsia" w:hAnsiTheme="majorBidi" w:cstheme="majorBidi"/>
        </w:rPr>
        <w:t>), which is responsible for ensuring the quality and standards of the IUCN Red List and for ruling on petitions against the listings of species on the IUCN Red List.</w:t>
      </w:r>
      <w:r w:rsidRPr="004262AE">
        <w:rPr>
          <w:rStyle w:val="eop"/>
          <w:rFonts w:asciiTheme="majorBidi" w:eastAsiaTheme="majorEastAsia" w:hAnsiTheme="majorBidi" w:cstheme="majorBidi"/>
        </w:rPr>
        <w:t> </w:t>
      </w:r>
    </w:p>
    <w:p w14:paraId="4D0FBEEF"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701CB2E9"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 Red List Index is updated annually in November-December using the latest data from reassessments on the IUCN Red List.</w:t>
      </w:r>
      <w:r w:rsidRPr="004262AE">
        <w:rPr>
          <w:rStyle w:val="normaltextrun"/>
          <w:rFonts w:asciiTheme="majorBidi" w:eastAsiaTheme="majorEastAsia" w:hAnsiTheme="majorBidi" w:cstheme="majorBidi"/>
        </w:rPr>
        <w:t> </w:t>
      </w:r>
    </w:p>
    <w:p w14:paraId="1808778D"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The IUCN Red List of Threatened Species is updated at least </w:t>
      </w:r>
      <w:r>
        <w:rPr>
          <w:rStyle w:val="normaltextrun"/>
          <w:rFonts w:asciiTheme="majorBidi" w:eastAsiaTheme="majorEastAsia" w:hAnsiTheme="majorBidi" w:cstheme="majorBidi"/>
        </w:rPr>
        <w:t xml:space="preserve">two to </w:t>
      </w:r>
      <w:r w:rsidRPr="00ED7E61">
        <w:rPr>
          <w:rStyle w:val="normaltextrun"/>
          <w:rFonts w:asciiTheme="majorBidi" w:eastAsiaTheme="majorEastAsia" w:hAnsiTheme="majorBidi" w:cstheme="majorBidi"/>
        </w:rPr>
        <w:t xml:space="preserve">three times per year. Red List Indices for sets of species that have been comprehensively reassessed are usually released alongside the relevant update of the IUCN Red List. Data are stored and managed in the Species Information Service </w:t>
      </w:r>
      <w:proofErr w:type="gramStart"/>
      <w:r w:rsidRPr="00ED7E61">
        <w:rPr>
          <w:rStyle w:val="normaltextrun"/>
          <w:rFonts w:asciiTheme="majorBidi" w:eastAsiaTheme="majorEastAsia" w:hAnsiTheme="majorBidi" w:cstheme="majorBidi"/>
        </w:rPr>
        <w:t>database, and</w:t>
      </w:r>
      <w:proofErr w:type="gramEnd"/>
      <w:r w:rsidRPr="00ED7E61">
        <w:rPr>
          <w:rStyle w:val="normaltextrun"/>
          <w:rFonts w:asciiTheme="majorBidi" w:eastAsiaTheme="majorEastAsia" w:hAnsiTheme="majorBidi" w:cstheme="majorBidi"/>
        </w:rPr>
        <w:t xml:space="preserve"> are made freely available for non-commercial use through the IUCN Red List website and can be found under the Advanced Search functionality (</w:t>
      </w:r>
      <w:hyperlink r:id="rId48" w:tgtFrame="_blank" w:history="1">
        <w:r w:rsidRPr="00ED7E61">
          <w:rPr>
            <w:rStyle w:val="normaltextrun"/>
            <w:rFonts w:asciiTheme="majorBidi" w:eastAsiaTheme="majorEastAsia" w:hAnsiTheme="majorBidi" w:cstheme="majorBidi"/>
          </w:rPr>
          <w:t>www.iucnredlist.org</w:t>
        </w:r>
      </w:hyperlink>
      <w:r w:rsidRPr="00ED7E61">
        <w:rPr>
          <w:rStyle w:val="normaltextrun"/>
          <w:rFonts w:asciiTheme="majorBidi" w:eastAsiaTheme="majorEastAsia" w:hAnsiTheme="majorBidi" w:cstheme="majorBidi"/>
        </w:rPr>
        <w:t xml:space="preserve">). Re-assessments of extinction risk are required for every species assessed on The IUCN Red List of Threatened Species once every ten </w:t>
      </w:r>
      <w:proofErr w:type="gramStart"/>
      <w:r w:rsidRPr="00ED7E61">
        <w:rPr>
          <w:rStyle w:val="normaltextrun"/>
          <w:rFonts w:asciiTheme="majorBidi" w:eastAsiaTheme="majorEastAsia" w:hAnsiTheme="majorBidi" w:cstheme="majorBidi"/>
        </w:rPr>
        <w:t>years, and</w:t>
      </w:r>
      <w:proofErr w:type="gramEnd"/>
      <w:r w:rsidRPr="00ED7E61">
        <w:rPr>
          <w:rStyle w:val="normaltextrun"/>
          <w:rFonts w:asciiTheme="majorBidi" w:eastAsiaTheme="majorEastAsia" w:hAnsiTheme="majorBidi" w:cstheme="majorBidi"/>
        </w:rPr>
        <w:t xml:space="preserve"> ideally undertaken once every five years. A Red List Strategic Plan details a calendar of upcoming re-assessments for each taxonomic group.</w:t>
      </w:r>
      <w:r w:rsidRPr="004262AE">
        <w:rPr>
          <w:rStyle w:val="normaltextrun"/>
          <w:rFonts w:asciiTheme="majorBidi" w:eastAsiaTheme="majorEastAsia" w:hAnsiTheme="majorBidi" w:cstheme="majorBidi"/>
        </w:rPr>
        <w:t> </w:t>
      </w:r>
    </w:p>
    <w:p w14:paraId="17DF2D13"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7D0E500" w14:textId="09CF2A00"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 xml:space="preserve">Time series available: </w:t>
      </w:r>
      <w:r w:rsidRPr="00ED7E61">
        <w:rPr>
          <w:rStyle w:val="normaltextrun"/>
          <w:rFonts w:asciiTheme="majorBidi" w:eastAsiaTheme="majorEastAsia" w:hAnsiTheme="majorBidi" w:cstheme="majorBidi"/>
          <w:sz w:val="22"/>
          <w:szCs w:val="22"/>
          <w:lang w:val="en-GB"/>
        </w:rPr>
        <w:t>19</w:t>
      </w:r>
      <w:r>
        <w:rPr>
          <w:rStyle w:val="normaltextrun"/>
          <w:rFonts w:asciiTheme="majorBidi" w:eastAsiaTheme="majorEastAsia" w:hAnsiTheme="majorBidi" w:cstheme="majorBidi"/>
          <w:sz w:val="22"/>
          <w:szCs w:val="22"/>
          <w:lang w:val="en-GB"/>
        </w:rPr>
        <w:t>93</w:t>
      </w:r>
      <w:r w:rsidRPr="00ED7E61">
        <w:rPr>
          <w:rStyle w:val="normaltextrun"/>
          <w:rFonts w:asciiTheme="majorBidi" w:eastAsiaTheme="majorEastAsia" w:hAnsiTheme="majorBidi" w:cstheme="majorBidi"/>
          <w:sz w:val="22"/>
          <w:szCs w:val="22"/>
          <w:lang w:val="en-GB"/>
        </w:rPr>
        <w:t xml:space="preserve"> –202</w:t>
      </w:r>
      <w:r>
        <w:rPr>
          <w:rStyle w:val="normaltextrun"/>
          <w:rFonts w:asciiTheme="majorBidi" w:eastAsiaTheme="majorEastAsia" w:hAnsiTheme="majorBidi" w:cstheme="majorBidi"/>
          <w:sz w:val="22"/>
          <w:szCs w:val="22"/>
          <w:lang w:val="en-GB"/>
        </w:rPr>
        <w:t>6</w:t>
      </w:r>
      <w:r w:rsidRPr="00ED7E61">
        <w:rPr>
          <w:rStyle w:val="normaltextrun"/>
          <w:rFonts w:asciiTheme="majorBidi" w:eastAsiaTheme="majorEastAsia" w:hAnsiTheme="majorBidi" w:cstheme="majorBidi"/>
          <w:sz w:val="22"/>
          <w:szCs w:val="22"/>
          <w:lang w:val="en-GB"/>
        </w:rPr>
        <w:t>. Updates are released annually</w:t>
      </w:r>
      <w:r w:rsidRPr="00ED7E61">
        <w:rPr>
          <w:rStyle w:val="eop"/>
          <w:rFonts w:asciiTheme="majorBidi" w:eastAsiaTheme="majorEastAsia" w:hAnsiTheme="majorBidi" w:cstheme="majorBidi"/>
          <w:sz w:val="22"/>
          <w:szCs w:val="22"/>
        </w:rPr>
        <w:t> </w:t>
      </w:r>
    </w:p>
    <w:p w14:paraId="53EE2C8E" w14:textId="77777777" w:rsidR="00C5314E" w:rsidRPr="00ED7E61" w:rsidRDefault="00C5314E" w:rsidP="00C5314E">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73303194" w14:textId="6B8B03C9"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National agencies producing relevant data include government, non-governmental organisations (NGOs), and academic institutions working jointly and separately. Data are gathered from published and unpublished sources, species experts, scientists, and conservationists through correspondence, workshops, and electronic fora. Data are submitted by national agencies to </w:t>
      </w:r>
      <w:proofErr w:type="gramStart"/>
      <w:r w:rsidRPr="00ED7E61">
        <w:rPr>
          <w:rStyle w:val="normaltextrun"/>
          <w:rFonts w:asciiTheme="majorBidi" w:eastAsiaTheme="majorEastAsia" w:hAnsiTheme="majorBidi" w:cstheme="majorBidi"/>
        </w:rPr>
        <w:t>IUCN, or</w:t>
      </w:r>
      <w:proofErr w:type="gramEnd"/>
      <w:r w:rsidRPr="00ED7E61">
        <w:rPr>
          <w:rStyle w:val="normaltextrun"/>
          <w:rFonts w:asciiTheme="majorBidi" w:eastAsiaTheme="majorEastAsia" w:hAnsiTheme="majorBidi" w:cstheme="majorBidi"/>
        </w:rPr>
        <w:t xml:space="preserve"> are gathered through initiatives of the Red List Partnership. The members of the Red List Partnership are listed at </w:t>
      </w:r>
      <w:hyperlink r:id="rId49" w:tgtFrame="_blank" w:history="1">
        <w:r w:rsidRPr="00ED7E61">
          <w:rPr>
            <w:rStyle w:val="normaltextrun"/>
            <w:rFonts w:asciiTheme="majorBidi" w:eastAsiaTheme="majorEastAsia" w:hAnsiTheme="majorBidi" w:cstheme="majorBidi"/>
          </w:rPr>
          <w:t>https://www.iucnredlist.org/about/partners</w:t>
        </w:r>
      </w:hyperlink>
      <w:r w:rsidRPr="00ED7E61">
        <w:rPr>
          <w:rStyle w:val="normaltextrun"/>
          <w:rFonts w:asciiTheme="majorBidi" w:eastAsiaTheme="majorEastAsia" w:hAnsiTheme="majorBidi" w:cstheme="majorBidi"/>
        </w:rPr>
        <w:t xml:space="preserve">, and currently include: ABQ </w:t>
      </w:r>
      <w:proofErr w:type="spellStart"/>
      <w:r w:rsidRPr="00ED7E61">
        <w:rPr>
          <w:rStyle w:val="normaltextrun"/>
          <w:rFonts w:asciiTheme="majorBidi" w:eastAsiaTheme="majorEastAsia" w:hAnsiTheme="majorBidi" w:cstheme="majorBidi"/>
        </w:rPr>
        <w:t>BioPark</w:t>
      </w:r>
      <w:proofErr w:type="spellEnd"/>
      <w:r w:rsidRPr="00ED7E61">
        <w:rPr>
          <w:rStyle w:val="normaltextrun"/>
          <w:rFonts w:asciiTheme="majorBidi" w:eastAsiaTheme="majorEastAsia" w:hAnsiTheme="majorBidi" w:cstheme="majorBidi"/>
        </w:rPr>
        <w:t xml:space="preserve">; Arizona State University Centre for Biodiversity Outcomes; </w:t>
      </w:r>
      <w:proofErr w:type="spellStart"/>
      <w:r w:rsidRPr="00ED7E61">
        <w:rPr>
          <w:rStyle w:val="normaltextrun"/>
          <w:rFonts w:asciiTheme="majorBidi" w:eastAsiaTheme="majorEastAsia" w:hAnsiTheme="majorBidi" w:cstheme="majorBidi"/>
        </w:rPr>
        <w:t>BirdLife</w:t>
      </w:r>
      <w:proofErr w:type="spellEnd"/>
      <w:r w:rsidRPr="00ED7E61">
        <w:rPr>
          <w:rStyle w:val="normaltextrun"/>
          <w:rFonts w:asciiTheme="majorBidi" w:eastAsiaTheme="majorEastAsia" w:hAnsiTheme="majorBidi" w:cstheme="majorBidi"/>
        </w:rPr>
        <w:t xml:space="preserve"> International; Botanic Gardens Conservation International; Conservation International;; Missouri Botanical Garden;  </w:t>
      </w:r>
      <w:proofErr w:type="spellStart"/>
      <w:r w:rsidRPr="00ED7E61">
        <w:rPr>
          <w:rStyle w:val="normaltextrun"/>
          <w:rFonts w:asciiTheme="majorBidi" w:eastAsiaTheme="majorEastAsia" w:hAnsiTheme="majorBidi" w:cstheme="majorBidi"/>
        </w:rPr>
        <w:t>NatureServe</w:t>
      </w:r>
      <w:proofErr w:type="spellEnd"/>
      <w:r w:rsidRPr="00ED7E61">
        <w:rPr>
          <w:rStyle w:val="normaltextrun"/>
          <w:rFonts w:asciiTheme="majorBidi" w:eastAsiaTheme="majorEastAsia" w:hAnsiTheme="majorBidi" w:cstheme="majorBidi"/>
        </w:rPr>
        <w:t xml:space="preserve">; </w:t>
      </w:r>
      <w:proofErr w:type="spellStart"/>
      <w:r>
        <w:rPr>
          <w:rStyle w:val="normaltextrun"/>
          <w:rFonts w:asciiTheme="majorBidi" w:eastAsiaTheme="majorEastAsia" w:hAnsiTheme="majorBidi" w:cstheme="majorBidi"/>
        </w:rPr>
        <w:t>Re:wild</w:t>
      </w:r>
      <w:proofErr w:type="spellEnd"/>
      <w:r>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Royal Botanic Gardens, Kew; Sapienza University of Rome; </w:t>
      </w:r>
      <w:proofErr w:type="spellStart"/>
      <w:r w:rsidRPr="004262AE">
        <w:rPr>
          <w:rStyle w:val="normaltextrun"/>
        </w:rPr>
        <w:t>Senckenberg</w:t>
      </w:r>
      <w:proofErr w:type="spellEnd"/>
      <w:r w:rsidRPr="004262AE">
        <w:rPr>
          <w:rStyle w:val="normaltextrun"/>
        </w:rPr>
        <w:t xml:space="preserve"> Society for Nature Research; </w:t>
      </w:r>
      <w:r w:rsidRPr="00ED7E61">
        <w:rPr>
          <w:rStyle w:val="normaltextrun"/>
          <w:rFonts w:asciiTheme="majorBidi" w:eastAsiaTheme="majorEastAsia" w:hAnsiTheme="majorBidi" w:cstheme="majorBidi"/>
        </w:rPr>
        <w:t>Texas A&amp;M University; and Zoological Society of London.</w:t>
      </w:r>
      <w:r w:rsidRPr="004262AE">
        <w:rPr>
          <w:rStyle w:val="normaltextrun"/>
          <w:rFonts w:asciiTheme="majorBidi" w:eastAsiaTheme="majorEastAsia" w:hAnsiTheme="majorBidi" w:cstheme="majorBidi"/>
        </w:rPr>
        <w:t> </w:t>
      </w:r>
    </w:p>
    <w:p w14:paraId="1AEAED7C"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301F93D0" w14:textId="77777777" w:rsid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Compilation and reporting of the Red List Index at the global level is conducted by the International Union for Conservation of Nature (IUCN), on behalf of the Red List Partnership. </w:t>
      </w:r>
      <w:r w:rsidRPr="004262AE">
        <w:rPr>
          <w:rStyle w:val="normaltextrun"/>
          <w:rFonts w:asciiTheme="majorBidi" w:eastAsiaTheme="majorEastAsia" w:hAnsiTheme="majorBidi" w:cstheme="majorBidi"/>
        </w:rPr>
        <w:t> </w:t>
      </w:r>
    </w:p>
    <w:p w14:paraId="01251D26" w14:textId="574C95E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4262AE">
        <w:rPr>
          <w:rStyle w:val="normaltextrun"/>
          <w:rFonts w:asciiTheme="majorBidi" w:eastAsiaTheme="majorEastAsia" w:hAnsiTheme="majorBidi" w:cstheme="majorBidi"/>
        </w:rPr>
        <w:t>Responsibility for overseeing Red List assessments, which underpin the Red List Index, is assigned to Red List Authorities according to the IUCN Red List Rules of Procedure (</w:t>
      </w:r>
      <w:r w:rsidRPr="004262AE">
        <w:rPr>
          <w:lang w:val="en-CA"/>
        </w:rPr>
        <w:t>https://www.iucnredlist.org/resources/rules-of-procedure</w:t>
      </w:r>
      <w:r w:rsidRPr="004262AE">
        <w:rPr>
          <w:rStyle w:val="normaltextrun"/>
          <w:rFonts w:asciiTheme="majorBidi" w:eastAsiaTheme="majorEastAsia" w:hAnsiTheme="majorBidi" w:cstheme="majorBidi"/>
        </w:rPr>
        <w:t xml:space="preserve">). The role of Red List Authorities is to ensure that all species within their remit are correctly assessed against the IUCN Red List Categories and Criteria at least once every ten years and, if possible, every five years. Further details of the roles and responsibilities of Red List Authorities are provided at </w:t>
      </w:r>
      <w:hyperlink r:id="rId50" w:tgtFrame="_blank" w:history="1">
        <w:r w:rsidRPr="004262AE">
          <w:rPr>
            <w:rStyle w:val="normaltextrun"/>
            <w:rFonts w:asciiTheme="majorBidi" w:eastAsiaTheme="majorEastAsia" w:hAnsiTheme="majorBidi" w:cstheme="majorBidi"/>
          </w:rPr>
          <w:t>https://www.iucnredlist.org/assessment/authorities</w:t>
        </w:r>
      </w:hyperlink>
      <w:r w:rsidRPr="004262AE">
        <w:rPr>
          <w:rStyle w:val="normaltextrun"/>
          <w:rFonts w:asciiTheme="majorBidi" w:eastAsiaTheme="majorEastAsia" w:hAnsiTheme="majorBidi" w:cstheme="majorBidi"/>
        </w:rPr>
        <w:t xml:space="preserve">, and the full list and contact details for all appointed Red List Authorities are available at </w:t>
      </w:r>
      <w:hyperlink r:id="rId51" w:tgtFrame="_blank" w:history="1">
        <w:r w:rsidRPr="004262AE">
          <w:rPr>
            <w:rStyle w:val="normaltextrun"/>
            <w:rFonts w:asciiTheme="majorBidi" w:eastAsiaTheme="majorEastAsia" w:hAnsiTheme="majorBidi" w:cstheme="majorBidi"/>
          </w:rPr>
          <w:t>https://www.iucn.org/commissions/ssc-groups</w:t>
        </w:r>
      </w:hyperlink>
      <w:r w:rsidRPr="004262AE">
        <w:rPr>
          <w:rStyle w:val="normaltextrun"/>
          <w:rFonts w:asciiTheme="majorBidi" w:eastAsiaTheme="majorEastAsia" w:hAnsiTheme="majorBidi" w:cstheme="majorBidi"/>
        </w:rPr>
        <w:t>.</w:t>
      </w:r>
      <w:r w:rsidRPr="00ED7E61">
        <w:rPr>
          <w:rStyle w:val="normaltextrun"/>
        </w:rPr>
        <w:t> </w:t>
      </w:r>
    </w:p>
    <w:p w14:paraId="07DBE7D7"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lang w:val="en-GB"/>
        </w:rPr>
      </w:pPr>
      <w:r w:rsidRPr="00ED7E61">
        <w:rPr>
          <w:rStyle w:val="eop"/>
          <w:rFonts w:asciiTheme="majorBidi" w:eastAsiaTheme="majorEastAsia" w:hAnsiTheme="majorBidi" w:cstheme="majorBidi"/>
          <w:sz w:val="22"/>
          <w:szCs w:val="22"/>
          <w:lang w:val="en-GB"/>
        </w:rPr>
        <w:t> </w:t>
      </w:r>
    </w:p>
    <w:p w14:paraId="1A59DCF4"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047E4450"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lastRenderedPageBreak/>
        <w:t xml:space="preserve">The global Red List Index is currently based on data on mammals, birds, amphibians, corals and cycads, so has biased taxonomic representation. However, these gaps in data coverage will be addressed in the next few years, with reptiles, freshwater fish, sharks and rays, dragonflies, freshwater decapods, and some plant groups scheduled to be integrated into the index by 2030. </w:t>
      </w:r>
    </w:p>
    <w:p w14:paraId="7B0F6DB7"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There are four main sources of uncertainty associated with Red List Index values and trends:</w:t>
      </w:r>
      <w:r w:rsidRPr="004262AE">
        <w:rPr>
          <w:rStyle w:val="normaltextrun"/>
          <w:rFonts w:asciiTheme="majorBidi" w:eastAsiaTheme="majorEastAsia" w:hAnsiTheme="majorBidi" w:cstheme="majorBidi"/>
        </w:rPr>
        <w:t> </w:t>
      </w:r>
    </w:p>
    <w:p w14:paraId="19F0F3F7" w14:textId="77777777" w:rsidR="00C5314E" w:rsidRPr="00ED7E61" w:rsidRDefault="00C5314E" w:rsidP="00C5314E">
      <w:pPr>
        <w:pStyle w:val="CBDNormalNumber"/>
        <w:numPr>
          <w:ilvl w:val="0"/>
          <w:numId w:val="51"/>
        </w:numPr>
        <w:tabs>
          <w:tab w:val="clear" w:pos="567"/>
          <w:tab w:val="clear" w:pos="1134"/>
          <w:tab w:val="clear" w:pos="2268"/>
          <w:tab w:val="left" w:pos="1985"/>
        </w:tabs>
        <w:ind w:left="567" w:firstLine="545"/>
        <w:rPr>
          <w:rStyle w:val="normaltextrun"/>
          <w:rFonts w:eastAsiaTheme="majorEastAsia"/>
        </w:rPr>
      </w:pPr>
      <w:r w:rsidRPr="00ED7E61">
        <w:rPr>
          <w:rStyle w:val="normaltextrun"/>
          <w:rFonts w:asciiTheme="majorBidi" w:eastAsiaTheme="majorEastAsia" w:hAnsiTheme="majorBidi" w:cstheme="majorBidi"/>
        </w:rPr>
        <w:t>Inadequate, incomplete or inaccurate knowledge of a species’ status. This uncertainty is minimized by assigning estimates of extinction risk to categories that are broad in magnitude and timing.</w:t>
      </w:r>
      <w:r w:rsidRPr="00ED7E61">
        <w:rPr>
          <w:rStyle w:val="normaltextrun"/>
        </w:rPr>
        <w:t> </w:t>
      </w:r>
    </w:p>
    <w:p w14:paraId="4BCC0AF2" w14:textId="77777777" w:rsidR="00C5314E" w:rsidRPr="00ED7E61" w:rsidRDefault="00C5314E" w:rsidP="00C5314E">
      <w:pPr>
        <w:pStyle w:val="CBDNormalNumber"/>
        <w:numPr>
          <w:ilvl w:val="0"/>
          <w:numId w:val="51"/>
        </w:numPr>
        <w:tabs>
          <w:tab w:val="clear" w:pos="567"/>
          <w:tab w:val="clear" w:pos="1134"/>
          <w:tab w:val="clear" w:pos="2268"/>
          <w:tab w:val="left" w:pos="1985"/>
        </w:tabs>
        <w:ind w:left="567" w:firstLine="545"/>
        <w:rPr>
          <w:rStyle w:val="normaltextrun"/>
          <w:rFonts w:eastAsiaTheme="majorEastAsia"/>
        </w:rPr>
      </w:pPr>
      <w:r w:rsidRPr="00ED7E61">
        <w:rPr>
          <w:rStyle w:val="normaltextrun"/>
          <w:rFonts w:asciiTheme="majorBidi" w:eastAsiaTheme="majorEastAsia" w:hAnsiTheme="majorBidi" w:cstheme="majorBidi"/>
        </w:rPr>
        <w:t xml:space="preserve">Delays in knowledge about a species becoming available for assessment. Such delays apply to a small (and diminishing) proportion of status </w:t>
      </w:r>
      <w:proofErr w:type="gramStart"/>
      <w:r w:rsidRPr="00ED7E61">
        <w:rPr>
          <w:rStyle w:val="normaltextrun"/>
          <w:rFonts w:asciiTheme="majorBidi" w:eastAsiaTheme="majorEastAsia" w:hAnsiTheme="majorBidi" w:cstheme="majorBidi"/>
        </w:rPr>
        <w:t>changes, and</w:t>
      </w:r>
      <w:proofErr w:type="gramEnd"/>
      <w:r w:rsidRPr="00ED7E61">
        <w:rPr>
          <w:rStyle w:val="normaltextrun"/>
          <w:rFonts w:asciiTheme="majorBidi" w:eastAsiaTheme="majorEastAsia" w:hAnsiTheme="majorBidi" w:cstheme="majorBidi"/>
        </w:rPr>
        <w:t xml:space="preserve"> can be overcome in the Red List Index through back-casting (Butchart et al. 2007).</w:t>
      </w:r>
      <w:r w:rsidRPr="00ED7E61">
        <w:rPr>
          <w:rStyle w:val="normaltextrun"/>
        </w:rPr>
        <w:t> </w:t>
      </w:r>
    </w:p>
    <w:p w14:paraId="6DCCB2F0" w14:textId="53CB0A48" w:rsidR="00C5314E" w:rsidRPr="00ED7E61" w:rsidRDefault="00C5314E" w:rsidP="00C5314E">
      <w:pPr>
        <w:pStyle w:val="CBDNormalNumber"/>
        <w:numPr>
          <w:ilvl w:val="0"/>
          <w:numId w:val="51"/>
        </w:numPr>
        <w:tabs>
          <w:tab w:val="clear" w:pos="567"/>
          <w:tab w:val="clear" w:pos="1134"/>
          <w:tab w:val="clear" w:pos="2268"/>
          <w:tab w:val="left" w:pos="1985"/>
        </w:tabs>
        <w:ind w:left="567" w:firstLine="545"/>
        <w:rPr>
          <w:rStyle w:val="normaltextrun"/>
          <w:rFonts w:eastAsiaTheme="majorEastAsia"/>
        </w:rPr>
      </w:pPr>
      <w:r w:rsidRPr="00ED7E61">
        <w:rPr>
          <w:rStyle w:val="normaltextrun"/>
          <w:rFonts w:asciiTheme="majorBidi" w:eastAsiaTheme="majorEastAsia" w:hAnsiTheme="majorBidi" w:cstheme="majorBidi"/>
        </w:rPr>
        <w:t xml:space="preserve">Inconsistency between species assessments. These can be minimized by the requirement to provide supporting documentation detailing the best available data, with justifications, sources, and estimates of uncertainty and data quality, which are checked and standardized by IUCN through Red List Authorities, a Red List Technical Working Group and an independent </w:t>
      </w:r>
      <w:r>
        <w:rPr>
          <w:rStyle w:val="normaltextrun"/>
          <w:rFonts w:asciiTheme="majorBidi" w:eastAsiaTheme="majorEastAsia" w:hAnsiTheme="majorBidi" w:cstheme="majorBidi"/>
        </w:rPr>
        <w:t xml:space="preserve">IUCN Red List </w:t>
      </w:r>
      <w:r w:rsidRPr="00ED7E61">
        <w:rPr>
          <w:rStyle w:val="normaltextrun"/>
          <w:rFonts w:asciiTheme="majorBidi" w:eastAsiaTheme="majorEastAsia" w:hAnsiTheme="majorBidi" w:cstheme="majorBidi"/>
        </w:rPr>
        <w:t xml:space="preserve">Standards and Petitions </w:t>
      </w:r>
      <w:r>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 xml:space="preserve">ommittee. Further, detailed Guidelines on the Application of the Categories and Criteria are maintained (IUCN SPC </w:t>
      </w:r>
      <w:r>
        <w:rPr>
          <w:rStyle w:val="normaltextrun"/>
          <w:rFonts w:asciiTheme="majorBidi" w:eastAsiaTheme="majorEastAsia" w:hAnsiTheme="majorBidi" w:cstheme="majorBidi"/>
        </w:rPr>
        <w:t>2024</w:t>
      </w:r>
      <w:r w:rsidRPr="00ED7E61">
        <w:rPr>
          <w:rStyle w:val="normaltextrun"/>
          <w:rFonts w:asciiTheme="majorBidi" w:eastAsiaTheme="majorEastAsia" w:hAnsiTheme="majorBidi" w:cstheme="majorBidi"/>
        </w:rPr>
        <w:t>), as is an online training course (in English, Spanish and French).</w:t>
      </w:r>
      <w:r w:rsidRPr="00ED7E61">
        <w:rPr>
          <w:rStyle w:val="normaltextrun"/>
        </w:rPr>
        <w:t> </w:t>
      </w:r>
    </w:p>
    <w:p w14:paraId="60F996E6" w14:textId="2F566188" w:rsidR="00C5314E" w:rsidRPr="00ED7E61" w:rsidRDefault="00C5314E" w:rsidP="00C5314E">
      <w:pPr>
        <w:pStyle w:val="CBDNormalNumber"/>
        <w:numPr>
          <w:ilvl w:val="0"/>
          <w:numId w:val="51"/>
        </w:numPr>
        <w:tabs>
          <w:tab w:val="clear" w:pos="567"/>
          <w:tab w:val="clear" w:pos="1134"/>
          <w:tab w:val="clear" w:pos="2268"/>
          <w:tab w:val="left" w:pos="1985"/>
        </w:tabs>
        <w:ind w:left="567" w:firstLine="545"/>
        <w:rPr>
          <w:rStyle w:val="normaltextrun"/>
          <w:rFonts w:eastAsiaTheme="majorEastAsia"/>
        </w:rPr>
      </w:pPr>
      <w:r w:rsidRPr="00ED7E61">
        <w:rPr>
          <w:rStyle w:val="normaltextrun"/>
          <w:rFonts w:asciiTheme="majorBidi" w:eastAsiaTheme="majorEastAsia" w:hAnsiTheme="majorBidi" w:cstheme="majorBidi"/>
        </w:rPr>
        <w:t xml:space="preserve">Species that are too poorly known for the Red List Criteria to be applied are assigned to the Data Deficient category. For birds, only 0.8% of extant species are evaluated as Data Deficient, compared with </w:t>
      </w:r>
      <w:r>
        <w:rPr>
          <w:rStyle w:val="normaltextrun"/>
          <w:rFonts w:asciiTheme="majorBidi" w:eastAsiaTheme="majorEastAsia" w:hAnsiTheme="majorBidi" w:cstheme="majorBidi"/>
        </w:rPr>
        <w:t>11</w:t>
      </w:r>
      <w:r w:rsidRPr="00ED7E61">
        <w:rPr>
          <w:rStyle w:val="normaltextrun"/>
          <w:rFonts w:asciiTheme="majorBidi" w:eastAsiaTheme="majorEastAsia" w:hAnsiTheme="majorBidi" w:cstheme="majorBidi"/>
        </w:rPr>
        <w:t xml:space="preserve">% of amphibians. </w:t>
      </w:r>
      <w:r w:rsidRPr="00A31920">
        <w:rPr>
          <w:rFonts w:asciiTheme="majorBidi" w:eastAsiaTheme="majorEastAsia" w:hAnsiTheme="majorBidi" w:cstheme="majorBidi"/>
          <w:lang w:val="en-CA"/>
        </w:rPr>
        <w:t xml:space="preserve">The overall proportion of species on the Red List that are classified as Data Deficient is declining. </w:t>
      </w:r>
      <w:r w:rsidRPr="00ED7E61">
        <w:rPr>
          <w:rStyle w:val="normaltextrun"/>
          <w:rFonts w:asciiTheme="majorBidi" w:eastAsiaTheme="majorEastAsia" w:hAnsiTheme="majorBidi" w:cstheme="majorBidi"/>
        </w:rPr>
        <w:t>If Data Deficient species differ in the rate at which their extinction risk is changing, the Red List Index may give a biased picture of the changing extinction risk of the overall set of species. The degree of uncertainty this introduces is estimated through a bootstrapping procedure that randomly assigns each Data Deficient species a category based on the numbers of non-Data Deficient species in each Red List category for the set of species under consideration, and repeats this for 1,000 iterations, plotting the 2.5 and 97.5 percentiles as lower and upper confidence intervals for the median.</w:t>
      </w:r>
      <w:r w:rsidRPr="00ED7E61">
        <w:rPr>
          <w:rStyle w:val="normaltextrun"/>
        </w:rPr>
        <w:t> </w:t>
      </w:r>
    </w:p>
    <w:p w14:paraId="621EDD2E" w14:textId="1FE879D2" w:rsidR="00C5314E" w:rsidRPr="004262AE" w:rsidRDefault="00C5314E" w:rsidP="004262AE">
      <w:pPr>
        <w:pStyle w:val="CBDNormalNumber"/>
        <w:numPr>
          <w:ilvl w:val="0"/>
          <w:numId w:val="49"/>
        </w:numPr>
        <w:rPr>
          <w:rStyle w:val="normaltextrun"/>
        </w:rPr>
      </w:pPr>
      <w:r w:rsidRPr="00ED7E61">
        <w:rPr>
          <w:rStyle w:val="normaltextrun"/>
          <w:rFonts w:asciiTheme="majorBidi" w:eastAsiaTheme="majorEastAsia" w:hAnsiTheme="majorBidi" w:cstheme="majorBidi"/>
        </w:rPr>
        <w:t xml:space="preserve">The main limitation of the Red List Index is related to the fact that the Red List </w:t>
      </w:r>
      <w:r>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ategories are relatively broad measures of status, and thus the Red List Index for any individual taxonomic group can practically only be updated at intervals of at least four years. However, as the overall index is aggregated across multiple taxonomic groups, with groups reassessed asynchronously, it can be updated annually. A further limitation is that the Red List Index does not reflect particularly well the deteriorating status of more common species that remain abundant and widespread but are declining slowly in terms of their range and population. Hence the Red List Index is complemented by indicators of population abundance, such as the Wild Bird Index or Living Planet Index</w:t>
      </w:r>
      <w:r>
        <w:rPr>
          <w:rStyle w:val="normaltextrun"/>
          <w:rFonts w:asciiTheme="majorBidi" w:eastAsiaTheme="majorEastAsia" w:hAnsiTheme="majorBidi" w:cstheme="majorBidi"/>
        </w:rPr>
        <w:t xml:space="preserve">, </w:t>
      </w:r>
      <w:r w:rsidRPr="004262AE">
        <w:rPr>
          <w:rStyle w:val="normaltextrun"/>
          <w:rFonts w:eastAsiaTheme="majorEastAsia"/>
        </w:rPr>
        <w:t>and by the Green Status Index of Species Recovery (</w:t>
      </w:r>
      <w:proofErr w:type="spellStart"/>
      <w:r w:rsidRPr="004262AE">
        <w:rPr>
          <w:rStyle w:val="normaltextrun"/>
          <w:rFonts w:eastAsiaTheme="majorEastAsia"/>
        </w:rPr>
        <w:t>Akçakaya</w:t>
      </w:r>
      <w:proofErr w:type="spellEnd"/>
      <w:r w:rsidRPr="004262AE">
        <w:rPr>
          <w:rStyle w:val="normaltextrun"/>
          <w:rFonts w:eastAsiaTheme="majorEastAsia"/>
        </w:rPr>
        <w:t xml:space="preserve"> et al. 2025) to track changes in the degree to which species’ populations are recovering. </w:t>
      </w:r>
    </w:p>
    <w:p w14:paraId="55180F91" w14:textId="349637D8" w:rsidR="00C5314E" w:rsidRPr="00ED7E61" w:rsidRDefault="00C5314E" w:rsidP="00C5314E">
      <w:pPr>
        <w:pStyle w:val="CBDNormalNumber"/>
        <w:rPr>
          <w:rStyle w:val="normaltextrun"/>
          <w:rFonts w:eastAsiaTheme="majorEastAsia"/>
        </w:rPr>
      </w:pPr>
      <w:r w:rsidRPr="00ED7E61">
        <w:rPr>
          <w:rStyle w:val="normaltextrun"/>
        </w:rPr>
        <w:t> </w:t>
      </w:r>
    </w:p>
    <w:p w14:paraId="171A100F"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5DE6D5E1" w14:textId="77777777" w:rsidR="00C5314E" w:rsidRPr="00ED7E61" w:rsidRDefault="00C5314E" w:rsidP="004262AE">
      <w:pPr>
        <w:pStyle w:val="CBDNormalNumber"/>
        <w:numPr>
          <w:ilvl w:val="0"/>
          <w:numId w:val="49"/>
        </w:numPr>
        <w:rPr>
          <w:rStyle w:val="normaltextrun"/>
          <w:rFonts w:eastAsiaTheme="majorEastAsia"/>
          <w:sz w:val="24"/>
          <w:szCs w:val="24"/>
          <w:lang w:val="en-CA"/>
        </w:rPr>
      </w:pPr>
      <w:r w:rsidRPr="00ED7E61">
        <w:rPr>
          <w:rStyle w:val="normaltextrun"/>
          <w:rFonts w:asciiTheme="majorBidi" w:eastAsiaTheme="majorEastAsia" w:hAnsiTheme="majorBidi" w:cstheme="majorBidi"/>
        </w:rPr>
        <w:t>At country level:</w:t>
      </w:r>
      <w:r w:rsidRPr="004262AE">
        <w:rPr>
          <w:rStyle w:val="normaltextrun"/>
          <w:rFonts w:asciiTheme="majorBidi" w:eastAsiaTheme="majorEastAsia" w:hAnsiTheme="majorBidi" w:cstheme="majorBidi"/>
        </w:rPr>
        <w:t> </w:t>
      </w:r>
    </w:p>
    <w:p w14:paraId="7BA80F0C" w14:textId="77777777" w:rsidR="00C5314E" w:rsidRPr="00ED7E61" w:rsidRDefault="00C5314E" w:rsidP="00C5314E">
      <w:pPr>
        <w:pStyle w:val="CBDNormalNumber"/>
        <w:tabs>
          <w:tab w:val="clear" w:pos="567"/>
          <w:tab w:val="clear" w:pos="1134"/>
          <w:tab w:val="clear" w:pos="2268"/>
          <w:tab w:val="left" w:pos="1985"/>
        </w:tabs>
        <w:ind w:left="1134"/>
        <w:rPr>
          <w:rStyle w:val="normaltextrun"/>
          <w:rFonts w:eastAsiaTheme="majorEastAsia"/>
        </w:rPr>
      </w:pPr>
      <w:r w:rsidRPr="00ED7E61">
        <w:rPr>
          <w:rStyle w:val="normaltextrun"/>
          <w:rFonts w:asciiTheme="majorBidi" w:eastAsiaTheme="majorEastAsia" w:hAnsiTheme="majorBidi" w:cstheme="majorBidi"/>
        </w:rPr>
        <w:t xml:space="preserve">Red List Indices for each taxonomic group are interpolated linearly for years between data points and extrapolated linearly (with a slope equal to that between the two closest assessed points, except for corals) back to the earliest time point and forwards to the present for years for which estimates are not available. The start year of the aggregated index is set as ten years before the first assessment year for the taxonomic group with the latest starting point. Corals are not extrapolated linearly because declines are known to have been much steeper </w:t>
      </w:r>
      <w:proofErr w:type="gramStart"/>
      <w:r w:rsidRPr="00ED7E61">
        <w:rPr>
          <w:rStyle w:val="normaltextrun"/>
          <w:rFonts w:asciiTheme="majorBidi" w:eastAsiaTheme="majorEastAsia" w:hAnsiTheme="majorBidi" w:cstheme="majorBidi"/>
        </w:rPr>
        <w:t xml:space="preserve">subsequent </w:t>
      </w:r>
      <w:r w:rsidRPr="00ED7E61">
        <w:rPr>
          <w:rStyle w:val="normaltextrun"/>
          <w:rFonts w:asciiTheme="majorBidi" w:eastAsiaTheme="majorEastAsia" w:hAnsiTheme="majorBidi" w:cstheme="majorBidi"/>
        </w:rPr>
        <w:lastRenderedPageBreak/>
        <w:t>to</w:t>
      </w:r>
      <w:proofErr w:type="gramEnd"/>
      <w:r w:rsidRPr="00ED7E61">
        <w:rPr>
          <w:rStyle w:val="normaltextrun"/>
          <w:rFonts w:asciiTheme="majorBidi" w:eastAsiaTheme="majorEastAsia" w:hAnsiTheme="majorBidi" w:cstheme="majorBidi"/>
        </w:rPr>
        <w:t xml:space="preserve"> 1996 (owing to extreme bleaching events) than before. Therefore, the rate of decline prior to 1996 is set as the average of the rates for the other taxonomic groups.</w:t>
      </w:r>
      <w:r w:rsidRPr="00ED7E61">
        <w:rPr>
          <w:rStyle w:val="normaltextrun"/>
        </w:rPr>
        <w:t> </w:t>
      </w:r>
    </w:p>
    <w:p w14:paraId="7956384A" w14:textId="77777777" w:rsidR="00C5314E" w:rsidRPr="004262AE" w:rsidRDefault="00C5314E" w:rsidP="004262AE">
      <w:pPr>
        <w:pStyle w:val="CBDNormalNumber"/>
        <w:numPr>
          <w:ilvl w:val="0"/>
          <w:numId w:val="49"/>
        </w:numPr>
        <w:rPr>
          <w:rStyle w:val="normaltextrun"/>
          <w:rFonts w:asciiTheme="majorBidi" w:eastAsiaTheme="majorEastAsia" w:hAnsiTheme="majorBidi" w:cstheme="majorBidi"/>
        </w:rPr>
      </w:pPr>
      <w:r w:rsidRPr="004262AE">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rPr>
        <w:t>At regional and global levels:</w:t>
      </w:r>
      <w:r w:rsidRPr="004262AE">
        <w:rPr>
          <w:rStyle w:val="normaltextrun"/>
          <w:rFonts w:asciiTheme="majorBidi" w:eastAsiaTheme="majorEastAsia" w:hAnsiTheme="majorBidi" w:cstheme="majorBidi"/>
        </w:rPr>
        <w:t> </w:t>
      </w:r>
    </w:p>
    <w:p w14:paraId="7BBA75AD" w14:textId="77777777" w:rsidR="00C5314E" w:rsidRPr="00ED7E61" w:rsidRDefault="00C5314E" w:rsidP="00C5314E">
      <w:pPr>
        <w:pStyle w:val="CBDNormalNumber"/>
        <w:tabs>
          <w:tab w:val="clear" w:pos="567"/>
          <w:tab w:val="clear" w:pos="1134"/>
          <w:tab w:val="clear" w:pos="2268"/>
          <w:tab w:val="left" w:pos="1985"/>
        </w:tabs>
        <w:ind w:left="1134"/>
        <w:rPr>
          <w:rStyle w:val="normaltextrun"/>
          <w:rFonts w:eastAsiaTheme="majorEastAsia"/>
        </w:rPr>
      </w:pPr>
      <w:r w:rsidRPr="00ED7E61">
        <w:rPr>
          <w:rStyle w:val="normaltextrun"/>
          <w:rFonts w:asciiTheme="majorBidi" w:eastAsiaTheme="majorEastAsia" w:hAnsiTheme="majorBidi" w:cstheme="majorBidi"/>
        </w:rPr>
        <w:t>The Red List Index is calculated globally based on assessments of extinction risk of each species included, because many species have distributions that span many countries. Thus, while there is certainly uncertainty around the Red List Index, there are no missing values as such, and so no imputation is necessary.</w:t>
      </w:r>
      <w:r w:rsidRPr="00ED7E61">
        <w:rPr>
          <w:rStyle w:val="normaltextrun"/>
        </w:rPr>
        <w:t> </w:t>
      </w:r>
    </w:p>
    <w:p w14:paraId="3B41655C" w14:textId="77777777" w:rsidR="00C5314E" w:rsidRPr="00ED7E61" w:rsidRDefault="00C5314E" w:rsidP="00C5314E">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rPr>
      </w:pPr>
    </w:p>
    <w:p w14:paraId="56DA4978"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0F4172A3"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5CD79C39"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56911BB6"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17E0E944" w14:textId="77777777" w:rsidR="00C5314E" w:rsidRPr="00ED7E61" w:rsidRDefault="00C5314E" w:rsidP="004262AE">
      <w:pPr>
        <w:pStyle w:val="CBDNormalNumber"/>
        <w:numPr>
          <w:ilvl w:val="0"/>
          <w:numId w:val="49"/>
        </w:numPr>
        <w:rPr>
          <w:rStyle w:val="normaltextrun"/>
          <w:sz w:val="24"/>
          <w:szCs w:val="24"/>
          <w:lang w:val="en-CA"/>
        </w:rPr>
      </w:pPr>
      <w:r w:rsidRPr="004262AE">
        <w:rPr>
          <w:rStyle w:val="normaltextrun"/>
          <w:rFonts w:asciiTheme="majorBidi" w:eastAsiaTheme="majorEastAsia" w:hAnsiTheme="majorBidi" w:cstheme="majorBidi"/>
        </w:rPr>
        <w:t>Scale of data disaggregation/aggregation:  </w:t>
      </w:r>
    </w:p>
    <w:p w14:paraId="2A618882" w14:textId="77777777" w:rsidR="00C5314E" w:rsidRPr="00ED7E61" w:rsidRDefault="00C5314E" w:rsidP="00C5314E">
      <w:pPr>
        <w:pStyle w:val="CBDNormalNumber"/>
        <w:numPr>
          <w:ilvl w:val="0"/>
          <w:numId w:val="52"/>
        </w:numPr>
        <w:tabs>
          <w:tab w:val="clear" w:pos="567"/>
          <w:tab w:val="clear" w:pos="1134"/>
          <w:tab w:val="clear" w:pos="1701"/>
          <w:tab w:val="clear" w:pos="2268"/>
          <w:tab w:val="left" w:pos="1985"/>
        </w:tabs>
        <w:rPr>
          <w:rStyle w:val="normaltextrun"/>
          <w:rFonts w:eastAsiaTheme="majorEastAsia"/>
        </w:rPr>
      </w:pPr>
      <w:r w:rsidRPr="00ED7E61">
        <w:rPr>
          <w:rStyle w:val="normaltextrun"/>
          <w:rFonts w:asciiTheme="majorBidi" w:eastAsiaTheme="majorEastAsia" w:hAnsiTheme="majorBidi" w:cstheme="majorBidi"/>
        </w:rPr>
        <w:t xml:space="preserve">Global/ regional scale indicator can be disaggregated to national level: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7ABE9C8B" w14:textId="77777777" w:rsidR="00C5314E" w:rsidRPr="00ED7E61" w:rsidRDefault="00C5314E" w:rsidP="00C5314E">
      <w:pPr>
        <w:pStyle w:val="CBDNormalNumber"/>
        <w:numPr>
          <w:ilvl w:val="0"/>
          <w:numId w:val="52"/>
        </w:numPr>
        <w:tabs>
          <w:tab w:val="clear" w:pos="567"/>
          <w:tab w:val="clear" w:pos="1134"/>
          <w:tab w:val="clear" w:pos="1701"/>
          <w:tab w:val="clear" w:pos="2268"/>
          <w:tab w:val="left" w:pos="1985"/>
        </w:tabs>
        <w:rPr>
          <w:rStyle w:val="normaltextrun"/>
          <w:rFonts w:eastAsiaTheme="majorEastAsia"/>
        </w:rPr>
      </w:pPr>
      <w:r w:rsidRPr="00ED7E61">
        <w:rPr>
          <w:rStyle w:val="normaltextrun"/>
          <w:rFonts w:asciiTheme="majorBidi" w:eastAsiaTheme="majorEastAsia" w:hAnsiTheme="majorBidi" w:cstheme="majorBidi"/>
        </w:rPr>
        <w:t xml:space="preserve">National data is collated to form global indicator: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7D887EF9"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787C07AC" w14:textId="77777777" w:rsidR="00C5314E" w:rsidRPr="00ED7E61" w:rsidRDefault="00C5314E" w:rsidP="00C5314E">
      <w:pPr>
        <w:pStyle w:val="CBDNormalNumber"/>
        <w:rPr>
          <w:rStyle w:val="normaltextrun"/>
          <w:sz w:val="24"/>
          <w:szCs w:val="24"/>
          <w:lang w:val="en-CA"/>
        </w:rPr>
      </w:pPr>
      <w:r w:rsidRPr="00ED7E61">
        <w:rPr>
          <w:rStyle w:val="normaltextrun"/>
        </w:rPr>
        <w:t>Red List Indices for individual countries and regions can be calculated in two ways:</w:t>
      </w:r>
    </w:p>
    <w:p w14:paraId="493F3D02" w14:textId="77777777" w:rsidR="00C5314E" w:rsidRPr="00ED7E61" w:rsidRDefault="00C5314E" w:rsidP="00C5314E">
      <w:pPr>
        <w:pStyle w:val="CBDNormalNumber"/>
        <w:numPr>
          <w:ilvl w:val="0"/>
          <w:numId w:val="53"/>
        </w:numPr>
        <w:tabs>
          <w:tab w:val="clear" w:pos="567"/>
          <w:tab w:val="clear" w:pos="1134"/>
          <w:tab w:val="clear" w:pos="1701"/>
          <w:tab w:val="clear" w:pos="2268"/>
          <w:tab w:val="left" w:pos="1985"/>
        </w:tabs>
        <w:rPr>
          <w:rStyle w:val="normaltextrun"/>
          <w:rFonts w:eastAsiaTheme="majorEastAsia"/>
        </w:rPr>
      </w:pPr>
      <w:r w:rsidRPr="00ED7E61">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rPr>
        <w:t xml:space="preserve">By disaggregating the global index to the national or regional scale, in which each species contributing to the national or regional index is weighted by the proportion of its global range within the </w:t>
      </w:r>
      <w:proofErr w:type="gramStart"/>
      <w:r w:rsidRPr="00ED7E61">
        <w:rPr>
          <w:rStyle w:val="normaltextrun"/>
          <w:rFonts w:asciiTheme="majorBidi" w:eastAsiaTheme="majorEastAsia" w:hAnsiTheme="majorBidi" w:cstheme="majorBidi"/>
        </w:rPr>
        <w:t>particular country</w:t>
      </w:r>
      <w:proofErr w:type="gramEnd"/>
      <w:r w:rsidRPr="00ED7E61">
        <w:rPr>
          <w:rStyle w:val="normaltextrun"/>
          <w:rFonts w:asciiTheme="majorBidi" w:eastAsiaTheme="majorEastAsia" w:hAnsiTheme="majorBidi" w:cstheme="majorBidi"/>
        </w:rPr>
        <w:t xml:space="preserve"> or region. The resulting index therefore shows the aggregate extinction risk for species within the country or region relative to its potential contribution to global species extinction risk (within the taxonomic groups included). </w:t>
      </w:r>
      <w:r w:rsidRPr="00ED7E61">
        <w:rPr>
          <w:rStyle w:val="normaltextrun"/>
        </w:rPr>
        <w:t> </w:t>
      </w:r>
    </w:p>
    <w:p w14:paraId="1A144261" w14:textId="77777777" w:rsidR="00C5314E" w:rsidRPr="00ED7E61" w:rsidRDefault="00C5314E" w:rsidP="00C5314E">
      <w:pPr>
        <w:pStyle w:val="CBDNormalNumber"/>
        <w:numPr>
          <w:ilvl w:val="0"/>
          <w:numId w:val="53"/>
        </w:numPr>
        <w:tabs>
          <w:tab w:val="clear" w:pos="567"/>
          <w:tab w:val="clear" w:pos="1134"/>
          <w:tab w:val="clear" w:pos="1701"/>
          <w:tab w:val="clear" w:pos="2268"/>
          <w:tab w:val="left" w:pos="1985"/>
        </w:tabs>
        <w:rPr>
          <w:rStyle w:val="normaltextrun"/>
          <w:rFonts w:eastAsiaTheme="majorEastAsia"/>
        </w:rPr>
      </w:pPr>
      <w:r w:rsidRPr="00ED7E61">
        <w:rPr>
          <w:rStyle w:val="normaltextrun"/>
          <w:rFonts w:asciiTheme="majorBidi" w:eastAsiaTheme="majorEastAsia" w:hAnsiTheme="majorBidi" w:cstheme="majorBidi"/>
        </w:rPr>
        <w:t>By using national RLIs generated from repeated assessments of national extinction risk (e.g. national Red Lists). Guidance for assessing national extinction risk of species has been developed by IUCN (IUCN 2012), and most countries have developed national red lists for at least one taxonomic group. National RLIs may be more sensitive than disaggregated global RLIs to factors influencing biodiversity loss within each country (including national policies</w:t>
      </w:r>
      <w:proofErr w:type="gramStart"/>
      <w:r w:rsidRPr="00ED7E61">
        <w:rPr>
          <w:rStyle w:val="normaltextrun"/>
          <w:rFonts w:asciiTheme="majorBidi" w:eastAsiaTheme="majorEastAsia" w:hAnsiTheme="majorBidi" w:cstheme="majorBidi"/>
        </w:rPr>
        <w:t>), but</w:t>
      </w:r>
      <w:proofErr w:type="gramEnd"/>
      <w:r w:rsidRPr="00ED7E61">
        <w:rPr>
          <w:rStyle w:val="normaltextrun"/>
          <w:rFonts w:asciiTheme="majorBidi" w:eastAsiaTheme="majorEastAsia" w:hAnsiTheme="majorBidi" w:cstheme="majorBidi"/>
        </w:rPr>
        <w:t xml:space="preserve"> require repeated assessments of national extinction risk for multiple groups in each country (with associated costs), and cannot be compared between countries.</w:t>
      </w:r>
      <w:r w:rsidRPr="00ED7E61">
        <w:rPr>
          <w:rStyle w:val="normaltextrun"/>
        </w:rPr>
        <w:t> </w:t>
      </w:r>
    </w:p>
    <w:p w14:paraId="03F7B657" w14:textId="77777777" w:rsidR="00AE4B3F" w:rsidRDefault="00C5314E" w:rsidP="00AE4B3F">
      <w:pPr>
        <w:pStyle w:val="CBDNormalNumber"/>
        <w:numPr>
          <w:ilvl w:val="0"/>
          <w:numId w:val="49"/>
        </w:numPr>
        <w:rPr>
          <w:rStyle w:val="normaltextrun"/>
          <w:rFonts w:asciiTheme="majorBidi" w:eastAsiaTheme="majorEastAsia" w:hAnsiTheme="majorBidi" w:cstheme="majorBidi"/>
        </w:rPr>
      </w:pPr>
      <w:r w:rsidRPr="00AE4B3F">
        <w:rPr>
          <w:rStyle w:val="normaltextrun"/>
          <w:rFonts w:asciiTheme="majorBidi" w:eastAsiaTheme="majorEastAsia" w:hAnsiTheme="majorBidi" w:cstheme="majorBidi"/>
        </w:rPr>
        <w:t xml:space="preserve">The </w:t>
      </w:r>
      <w:r w:rsidRPr="00B3383B">
        <w:rPr>
          <w:rStyle w:val="normaltextrun"/>
          <w:rFonts w:asciiTheme="majorBidi" w:eastAsiaTheme="majorEastAsia" w:hAnsiTheme="majorBidi" w:cstheme="majorBidi"/>
        </w:rPr>
        <w:t>decision</w:t>
      </w:r>
      <w:r w:rsidRPr="00AE4B3F">
        <w:rPr>
          <w:rStyle w:val="normaltextrun"/>
          <w:rFonts w:asciiTheme="majorBidi" w:eastAsiaTheme="majorEastAsia" w:hAnsiTheme="majorBidi" w:cstheme="majorBidi"/>
        </w:rPr>
        <w:t xml:space="preserve"> on whether to use a disaggregation of the global index or to use a national red list assessment would need to </w:t>
      </w:r>
      <w:proofErr w:type="gramStart"/>
      <w:r w:rsidRPr="00AE4B3F">
        <w:rPr>
          <w:rStyle w:val="normaltextrun"/>
          <w:rFonts w:asciiTheme="majorBidi" w:eastAsiaTheme="majorEastAsia" w:hAnsiTheme="majorBidi" w:cstheme="majorBidi"/>
        </w:rPr>
        <w:t>take into account</w:t>
      </w:r>
      <w:proofErr w:type="gramEnd"/>
      <w:r w:rsidRPr="00AE4B3F">
        <w:rPr>
          <w:rStyle w:val="normaltextrun"/>
          <w:rFonts w:asciiTheme="majorBidi" w:eastAsiaTheme="majorEastAsia" w:hAnsiTheme="majorBidi" w:cstheme="majorBidi"/>
        </w:rPr>
        <w:t>, among other things, a country’s national capacity and the level of development of their national assessment processes. Further Parties could use a disaggregation of the global index in conjunction with their own national assessments.</w:t>
      </w:r>
    </w:p>
    <w:p w14:paraId="4FDE79BE" w14:textId="77777777" w:rsidR="00AE4B3F" w:rsidRDefault="00C5314E" w:rsidP="00AE4B3F">
      <w:pPr>
        <w:pStyle w:val="CBDNormalNumber"/>
        <w:numPr>
          <w:ilvl w:val="0"/>
          <w:numId w:val="49"/>
        </w:numPr>
        <w:rPr>
          <w:rFonts w:asciiTheme="majorBidi" w:eastAsiaTheme="majorEastAsia" w:hAnsiTheme="majorBidi" w:cstheme="majorBidi"/>
        </w:rPr>
      </w:pPr>
      <w:r w:rsidRPr="00AE4B3F">
        <w:rPr>
          <w:rStyle w:val="normaltextrun"/>
          <w:rFonts w:asciiTheme="majorBidi" w:eastAsiaTheme="majorEastAsia" w:hAnsiTheme="majorBidi" w:cstheme="majorBidi"/>
        </w:rPr>
        <w:t>The data underlying the global Red List Index are compiled under the authority of the IUCN Red List Committee, through application of the IUCN Red List Categories &amp; Criteria (</w:t>
      </w:r>
      <w:hyperlink r:id="rId52" w:tgtFrame="_blank" w:history="1">
        <w:r w:rsidRPr="00AE4B3F">
          <w:rPr>
            <w:rStyle w:val="normaltextrun"/>
            <w:rFonts w:asciiTheme="majorBidi" w:eastAsiaTheme="majorEastAsia" w:hAnsiTheme="majorBidi" w:cstheme="majorBidi"/>
            <w:color w:val="467886"/>
            <w:u w:val="single"/>
          </w:rPr>
          <w:t>https://portals.iucn.org/library/node/10315</w:t>
        </w:r>
      </w:hyperlink>
      <w:r w:rsidRPr="00AE4B3F">
        <w:rPr>
          <w:rStyle w:val="normaltextrun"/>
          <w:rFonts w:asciiTheme="majorBidi" w:eastAsiaTheme="majorEastAsia" w:hAnsiTheme="majorBidi" w:cstheme="majorBidi"/>
        </w:rPr>
        <w:t>). This includes submissions of endemics from national red list processes, where these have been conducted following the “</w:t>
      </w:r>
      <w:r w:rsidRPr="00AE4B3F">
        <w:rPr>
          <w:rStyle w:val="normaltextrun"/>
          <w:rFonts w:asciiTheme="majorBidi" w:eastAsiaTheme="majorEastAsia" w:hAnsiTheme="majorBidi" w:cstheme="majorBidi"/>
          <w:i/>
          <w:iCs/>
        </w:rPr>
        <w:t>Guidelines for application of IUCN Red List Criteria at Regional and National Levels</w:t>
      </w:r>
      <w:r w:rsidRPr="00AE4B3F">
        <w:rPr>
          <w:rStyle w:val="normaltextrun"/>
          <w:rFonts w:asciiTheme="majorBidi" w:eastAsiaTheme="majorEastAsia" w:hAnsiTheme="majorBidi" w:cstheme="majorBidi"/>
        </w:rPr>
        <w:t>” (</w:t>
      </w:r>
      <w:hyperlink r:id="rId53" w:tgtFrame="_blank" w:history="1">
        <w:r w:rsidRPr="00AE4B3F">
          <w:rPr>
            <w:rStyle w:val="normaltextrun"/>
            <w:rFonts w:asciiTheme="majorBidi" w:eastAsiaTheme="majorEastAsia" w:hAnsiTheme="majorBidi" w:cstheme="majorBidi"/>
            <w:color w:val="467886"/>
            <w:u w:val="single"/>
          </w:rPr>
          <w:t>https://portals.iucn.org/library/node/10336</w:t>
        </w:r>
      </w:hyperlink>
      <w:r w:rsidRPr="00AE4B3F">
        <w:rPr>
          <w:rStyle w:val="normaltextrun"/>
          <w:rFonts w:asciiTheme="majorBidi" w:eastAsiaTheme="majorEastAsia" w:hAnsiTheme="majorBidi" w:cstheme="majorBidi"/>
        </w:rPr>
        <w:t>) and following the “</w:t>
      </w:r>
      <w:r w:rsidRPr="00AE4B3F">
        <w:rPr>
          <w:rStyle w:val="normaltextrun"/>
          <w:rFonts w:asciiTheme="majorBidi" w:eastAsiaTheme="majorEastAsia" w:hAnsiTheme="majorBidi" w:cstheme="majorBidi"/>
          <w:i/>
          <w:iCs/>
        </w:rPr>
        <w:t>Required and Recommended Supporting Information for IUCN Red List Assessments</w:t>
      </w:r>
      <w:r w:rsidRPr="00AE4B3F">
        <w:rPr>
          <w:rStyle w:val="normaltextrun"/>
          <w:rFonts w:asciiTheme="majorBidi" w:eastAsiaTheme="majorEastAsia" w:hAnsiTheme="majorBidi" w:cstheme="majorBidi"/>
        </w:rPr>
        <w:t>” (</w:t>
      </w:r>
      <w:r w:rsidRPr="00AE4B3F">
        <w:rPr>
          <w:lang w:val="en-CA"/>
        </w:rPr>
        <w:t>https://www.iucnredlist.org/resources/supporting-information-guidelines</w:t>
      </w:r>
      <w:r w:rsidRPr="00AE4B3F">
        <w:rPr>
          <w:rStyle w:val="normaltextrun"/>
          <w:rFonts w:asciiTheme="majorBidi" w:eastAsiaTheme="majorEastAsia" w:hAnsiTheme="majorBidi" w:cstheme="majorBidi"/>
        </w:rPr>
        <w:t>). Assessments may be submitted in any of the three IUCN languages (English, French and Spanish) or in Portuguese. All assessments are peer reviewed through the relevant Red List Authority for the species or species group in question, as documented in the Red List Rules of Procedure (</w:t>
      </w:r>
      <w:hyperlink r:id="rId54" w:tgtFrame="_blank" w:history="1">
        <w:r w:rsidRPr="00AE4B3F">
          <w:rPr>
            <w:rStyle w:val="Hyperlink"/>
            <w:rFonts w:asciiTheme="majorBidi" w:eastAsiaTheme="majorEastAsia" w:hAnsiTheme="majorBidi" w:cstheme="majorBidi"/>
            <w:lang w:val="en-CA"/>
          </w:rPr>
          <w:t>https://www.iucnredlist.org/resources/rules-of-procedure</w:t>
        </w:r>
      </w:hyperlink>
      <w:r w:rsidRPr="00AE4B3F">
        <w:rPr>
          <w:rStyle w:val="normaltextrun"/>
          <w:rFonts w:asciiTheme="majorBidi" w:eastAsiaTheme="majorEastAsia" w:hAnsiTheme="majorBidi" w:cstheme="majorBidi"/>
        </w:rPr>
        <w:t>); see in particular Annex 3, the “</w:t>
      </w:r>
      <w:r w:rsidRPr="00AE4B3F">
        <w:rPr>
          <w:rStyle w:val="normaltextrun"/>
          <w:rFonts w:asciiTheme="majorBidi" w:eastAsiaTheme="majorEastAsia" w:hAnsiTheme="majorBidi" w:cstheme="majorBidi"/>
          <w:i/>
          <w:iCs/>
        </w:rPr>
        <w:t xml:space="preserve">Details </w:t>
      </w:r>
      <w:r w:rsidRPr="00AE4B3F">
        <w:rPr>
          <w:rStyle w:val="normaltextrun"/>
          <w:rFonts w:asciiTheme="majorBidi" w:eastAsiaTheme="majorEastAsia" w:hAnsiTheme="majorBidi" w:cstheme="majorBidi"/>
          <w:i/>
          <w:iCs/>
        </w:rPr>
        <w:lastRenderedPageBreak/>
        <w:t>of the Steps Involved in the IUCN Red List Process</w:t>
      </w:r>
      <w:r w:rsidRPr="00AE4B3F">
        <w:rPr>
          <w:rStyle w:val="normaltextrun"/>
          <w:rFonts w:asciiTheme="majorBidi" w:eastAsiaTheme="majorEastAsia" w:hAnsiTheme="majorBidi" w:cstheme="majorBidi"/>
        </w:rPr>
        <w:t xml:space="preserve">” </w:t>
      </w:r>
      <w:r w:rsidRPr="00AE4B3F">
        <w:rPr>
          <w:rFonts w:asciiTheme="majorBidi" w:eastAsiaTheme="majorEastAsia" w:hAnsiTheme="majorBidi" w:cstheme="majorBidi"/>
          <w:lang w:val="en-CA"/>
        </w:rPr>
        <w:t>from this page: https://www.iucnredlist.org/resources/rules-of-procedure</w:t>
      </w:r>
      <w:hyperlink r:id="rId55" w:history="1">
        <w:r w:rsidRPr="00AE4B3F">
          <w:rPr>
            <w:rStyle w:val="Hyperlink"/>
            <w:rFonts w:asciiTheme="majorBidi" w:eastAsiaTheme="majorEastAsia" w:hAnsiTheme="majorBidi" w:cstheme="majorBidi"/>
            <w:lang w:val="en-CA"/>
          </w:rPr>
          <w:t>available</w:t>
        </w:r>
      </w:hyperlink>
      <w:r w:rsidRPr="00AE4B3F">
        <w:rPr>
          <w:rFonts w:asciiTheme="majorBidi" w:eastAsiaTheme="majorEastAsia" w:hAnsiTheme="majorBidi" w:cstheme="majorBidi"/>
          <w:lang w:val="en-CA"/>
        </w:rPr>
        <w:t xml:space="preserve"> ). </w:t>
      </w:r>
    </w:p>
    <w:p w14:paraId="52C7EDBF" w14:textId="54F18093" w:rsidR="00C5314E" w:rsidRPr="00AE4B3F" w:rsidRDefault="00C5314E" w:rsidP="00AE4B3F">
      <w:pPr>
        <w:pStyle w:val="CBDNormalNumber"/>
        <w:numPr>
          <w:ilvl w:val="0"/>
          <w:numId w:val="49"/>
        </w:numPr>
        <w:rPr>
          <w:rFonts w:asciiTheme="majorBidi" w:eastAsiaTheme="majorEastAsia" w:hAnsiTheme="majorBidi" w:cstheme="majorBidi"/>
        </w:rPr>
      </w:pPr>
      <w:r w:rsidRPr="00AE4B3F">
        <w:rPr>
          <w:rStyle w:val="normaltextrun"/>
          <w:rFonts w:asciiTheme="majorBidi" w:eastAsiaTheme="majorEastAsia" w:hAnsiTheme="majorBidi" w:cstheme="majorBidi"/>
        </w:rPr>
        <w:t>The key document providing international recommendations and guidelines to countries and all involved in application of the IUCN Red List Categories &amp; Criteria (</w:t>
      </w:r>
      <w:hyperlink r:id="rId56" w:tgtFrame="_blank" w:history="1">
        <w:r w:rsidRPr="00AE4B3F">
          <w:rPr>
            <w:rStyle w:val="normaltextrun"/>
            <w:rFonts w:asciiTheme="majorBidi" w:eastAsiaTheme="majorEastAsia" w:hAnsiTheme="majorBidi" w:cstheme="majorBidi"/>
            <w:color w:val="467886"/>
            <w:u w:val="single"/>
          </w:rPr>
          <w:t>https://portals.iucn.org/library/node/10315</w:t>
        </w:r>
      </w:hyperlink>
      <w:r w:rsidRPr="00AE4B3F">
        <w:rPr>
          <w:rStyle w:val="normaltextrun"/>
          <w:rFonts w:asciiTheme="majorBidi" w:eastAsiaTheme="majorEastAsia" w:hAnsiTheme="majorBidi" w:cstheme="majorBidi"/>
        </w:rPr>
        <w:t>) is the “</w:t>
      </w:r>
      <w:r w:rsidRPr="00AE4B3F">
        <w:rPr>
          <w:rStyle w:val="normaltextrun"/>
          <w:rFonts w:asciiTheme="majorBidi" w:eastAsiaTheme="majorEastAsia" w:hAnsiTheme="majorBidi" w:cstheme="majorBidi"/>
          <w:i/>
          <w:iCs/>
        </w:rPr>
        <w:t>Guidelines for Using the IUCN Red List Categories and Criteria</w:t>
      </w:r>
      <w:r w:rsidRPr="00AE4B3F">
        <w:rPr>
          <w:rStyle w:val="normaltextrun"/>
          <w:rFonts w:asciiTheme="majorBidi" w:eastAsiaTheme="majorEastAsia" w:hAnsiTheme="majorBidi" w:cstheme="majorBidi"/>
        </w:rPr>
        <w:t xml:space="preserve">” (in English </w:t>
      </w:r>
      <w:r w:rsidRPr="00AE4B3F">
        <w:rPr>
          <w:rFonts w:asciiTheme="majorBidi" w:eastAsiaTheme="majorEastAsia" w:hAnsiTheme="majorBidi" w:cstheme="majorBidi"/>
          <w:lang w:val="en-CA"/>
        </w:rPr>
        <w:t>French, Portuguese and Spanish; see: - https://www.iucnredlist.org/resources/redlistguidelines)</w:t>
      </w:r>
      <w:r w:rsidRPr="00AE4B3F">
        <w:rPr>
          <w:rStyle w:val="normaltextrun"/>
          <w:rFonts w:asciiTheme="majorBidi" w:eastAsiaTheme="majorEastAsia" w:hAnsiTheme="majorBidi" w:cstheme="majorBidi"/>
        </w:rPr>
        <w:t>) accompanied by the “</w:t>
      </w:r>
      <w:r w:rsidRPr="00AE4B3F">
        <w:rPr>
          <w:rStyle w:val="normaltextrun"/>
          <w:rFonts w:asciiTheme="majorBidi" w:eastAsiaTheme="majorEastAsia" w:hAnsiTheme="majorBidi" w:cstheme="majorBidi"/>
          <w:i/>
          <w:iCs/>
        </w:rPr>
        <w:t>Required and Recommended Supporting Information for IUCN Red List Assessments</w:t>
      </w:r>
      <w:r w:rsidRPr="00AE4B3F">
        <w:rPr>
          <w:rStyle w:val="normaltextrun"/>
          <w:rFonts w:asciiTheme="majorBidi" w:eastAsiaTheme="majorEastAsia" w:hAnsiTheme="majorBidi" w:cstheme="majorBidi"/>
        </w:rPr>
        <w:t>”. For countries (and regions), this is supplemented by the “</w:t>
      </w:r>
      <w:r w:rsidRPr="00AE4B3F">
        <w:rPr>
          <w:rStyle w:val="normaltextrun"/>
          <w:rFonts w:asciiTheme="majorBidi" w:eastAsiaTheme="majorEastAsia" w:hAnsiTheme="majorBidi" w:cstheme="majorBidi"/>
          <w:i/>
          <w:iCs/>
        </w:rPr>
        <w:t>Guidelines for application of IUCN Red List Criteria at Regional and National Levels</w:t>
      </w:r>
      <w:r w:rsidRPr="00AE4B3F">
        <w:rPr>
          <w:rStyle w:val="normaltextrun"/>
          <w:rFonts w:asciiTheme="majorBidi" w:eastAsiaTheme="majorEastAsia" w:hAnsiTheme="majorBidi" w:cstheme="majorBidi"/>
        </w:rPr>
        <w:t>” (</w:t>
      </w:r>
      <w:hyperlink r:id="rId57" w:tgtFrame="_blank" w:history="1">
        <w:r w:rsidRPr="00AE4B3F">
          <w:rPr>
            <w:rStyle w:val="normaltextrun"/>
            <w:rFonts w:asciiTheme="majorBidi" w:eastAsiaTheme="majorEastAsia" w:hAnsiTheme="majorBidi" w:cstheme="majorBidi"/>
            <w:color w:val="467886"/>
            <w:u w:val="single"/>
          </w:rPr>
          <w:t>https://portals.iucn.org/library/node/10336</w:t>
        </w:r>
      </w:hyperlink>
      <w:r w:rsidRPr="00AE4B3F">
        <w:rPr>
          <w:rStyle w:val="normaltextrun"/>
          <w:rFonts w:asciiTheme="majorBidi" w:eastAsiaTheme="majorEastAsia" w:hAnsiTheme="majorBidi" w:cstheme="majorBidi"/>
        </w:rPr>
        <w:t xml:space="preserve">) </w:t>
      </w:r>
      <w:r w:rsidRPr="00AE4B3F">
        <w:rPr>
          <w:rFonts w:asciiTheme="majorBidi" w:eastAsiaTheme="majorEastAsia" w:hAnsiTheme="majorBidi" w:cstheme="majorBidi"/>
          <w:lang w:val="en-CA"/>
        </w:rPr>
        <w:t>and by the “</w:t>
      </w:r>
      <w:r w:rsidRPr="00AE4B3F">
        <w:rPr>
          <w:rFonts w:asciiTheme="majorBidi" w:eastAsiaTheme="majorEastAsia" w:hAnsiTheme="majorBidi" w:cstheme="majorBidi"/>
          <w:i/>
          <w:iCs/>
          <w:lang w:val="en-CA"/>
        </w:rPr>
        <w:t>Guidelines for Establishing a National; Red List Programme</w:t>
      </w:r>
      <w:r w:rsidRPr="00AE4B3F">
        <w:rPr>
          <w:rFonts w:asciiTheme="majorBidi" w:eastAsiaTheme="majorEastAsia" w:hAnsiTheme="majorBidi" w:cstheme="majorBidi"/>
          <w:lang w:val="en-CA"/>
        </w:rPr>
        <w:t>” (https://www.iucnredlist.org/resources/national-guidelines-step-by-step)</w:t>
      </w:r>
      <w:r w:rsidRPr="00AE4B3F">
        <w:rPr>
          <w:rStyle w:val="normaltextrun"/>
          <w:rFonts w:asciiTheme="majorBidi" w:eastAsiaTheme="majorEastAsia" w:hAnsiTheme="majorBidi" w:cstheme="majorBidi"/>
        </w:rPr>
        <w:t>. To support the calculation of Red List Indices for any given country (or region), “</w:t>
      </w:r>
      <w:r w:rsidRPr="00AE4B3F">
        <w:rPr>
          <w:rStyle w:val="normaltextrun"/>
          <w:rFonts w:asciiTheme="majorBidi" w:eastAsiaTheme="majorEastAsia" w:hAnsiTheme="majorBidi" w:cstheme="majorBidi"/>
          <w:i/>
          <w:iCs/>
        </w:rPr>
        <w:t>Code (and documentation) for calculating and plotting national RLIs weighted by the proportion of each species’ distribution within a country or region</w:t>
      </w:r>
      <w:r w:rsidRPr="00AE4B3F">
        <w:rPr>
          <w:rStyle w:val="normaltextrun"/>
          <w:rFonts w:asciiTheme="majorBidi" w:eastAsiaTheme="majorEastAsia" w:hAnsiTheme="majorBidi" w:cstheme="majorBidi"/>
        </w:rPr>
        <w:t xml:space="preserve">” is posted online (Dias et al. 2020; </w:t>
      </w:r>
      <w:hyperlink r:id="rId58" w:tgtFrame="_blank" w:history="1">
        <w:r w:rsidRPr="00AE4B3F">
          <w:rPr>
            <w:rStyle w:val="normaltextrun"/>
            <w:rFonts w:asciiTheme="majorBidi" w:eastAsiaTheme="majorEastAsia" w:hAnsiTheme="majorBidi" w:cstheme="majorBidi"/>
            <w:color w:val="467886"/>
            <w:u w:val="single"/>
          </w:rPr>
          <w:t>https://github.com/BirdLifeInternational/rli-codes</w:t>
        </w:r>
      </w:hyperlink>
      <w:r w:rsidRPr="00AE4B3F">
        <w:rPr>
          <w:rStyle w:val="normaltextrun"/>
          <w:rFonts w:asciiTheme="majorBidi" w:eastAsiaTheme="majorEastAsia" w:hAnsiTheme="majorBidi" w:cstheme="majorBidi"/>
        </w:rPr>
        <w:t>).</w:t>
      </w:r>
      <w:r w:rsidRPr="00AE4B3F">
        <w:rPr>
          <w:rStyle w:val="eop"/>
          <w:rFonts w:asciiTheme="majorBidi" w:eastAsiaTheme="majorEastAsia" w:hAnsiTheme="majorBidi" w:cstheme="majorBidi"/>
        </w:rPr>
        <w:t> </w:t>
      </w:r>
    </w:p>
    <w:p w14:paraId="5AF88A22"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0BD81AB6"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AE4B3F">
        <w:rPr>
          <w:rStyle w:val="normaltextrun"/>
          <w:rFonts w:asciiTheme="majorBidi" w:eastAsiaTheme="majorEastAsia" w:hAnsiTheme="majorBidi" w:cstheme="majorBidi"/>
        </w:rPr>
        <w:t>The national Red List Index for a country may differ from the relevant national disaggregation of the global Red List index because: (a) it considers national rather than global extinction risk, (b) because it takes no account of the national responsibility for the conservation of each species, treating as equal both those species that occur nowhere outside the country (i.e. national endemics) and those with large ranges that occur in many other countries, and (c) the taxonomic groups considered may differ. Any such differences will be smaller for countries within which a high proportion of species are endemic (i.e. only found in that country), as in many island nations and mountainous countries, especially in the tropics. The differences will be larger for countries within which a high proportion of species have widespread distributions across many nations. </w:t>
      </w:r>
    </w:p>
    <w:p w14:paraId="7C858238"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28E190D6"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707E2A32"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 Red List Index can be downscaled</w:t>
      </w:r>
      <w:r>
        <w:rPr>
          <w:rStyle w:val="normaltextrun"/>
          <w:rFonts w:asciiTheme="majorBidi" w:eastAsiaTheme="majorEastAsia" w:hAnsiTheme="majorBidi" w:cstheme="majorBidi"/>
        </w:rPr>
        <w:t xml:space="preserve"> (disaggregated)</w:t>
      </w:r>
      <w:r w:rsidRPr="00ED7E61">
        <w:rPr>
          <w:rStyle w:val="normaltextrun"/>
          <w:rFonts w:asciiTheme="majorBidi" w:eastAsiaTheme="majorEastAsia" w:hAnsiTheme="majorBidi" w:cstheme="majorBidi"/>
        </w:rPr>
        <w:t xml:space="preserve"> to generate national and regional Red List Indices, weighted by the fraction of each species’ distribution occurring within the country or region, building on the method published by Rodrigues et al. (2014). These show an index of how well species are conserved in a country or region to its potential contribution to global species conservation (for the taxonomic groups of species included). </w:t>
      </w:r>
      <w:r w:rsidRPr="00AE4B3F">
        <w:rPr>
          <w:rStyle w:val="normaltextrun"/>
          <w:rFonts w:asciiTheme="majorBidi" w:eastAsiaTheme="majorEastAsia" w:hAnsiTheme="majorBidi" w:cstheme="majorBidi"/>
        </w:rPr>
        <w:t>  </w:t>
      </w:r>
    </w:p>
    <w:p w14:paraId="3325B2CE"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 index is calculated as: </w:t>
      </w:r>
      <w:r w:rsidRPr="00AE4B3F">
        <w:rPr>
          <w:rStyle w:val="normaltextrun"/>
          <w:rFonts w:asciiTheme="majorBidi" w:eastAsiaTheme="majorEastAsia" w:hAnsiTheme="majorBidi" w:cstheme="majorBidi"/>
        </w:rPr>
        <w:t> </w:t>
      </w:r>
    </w:p>
    <w:p w14:paraId="48495F61" w14:textId="77777777" w:rsidR="00C5314E" w:rsidRPr="00ED7E61" w:rsidRDefault="00C5314E" w:rsidP="00C5314E">
      <w:pPr>
        <w:pStyle w:val="paragraph"/>
        <w:spacing w:before="0" w:beforeAutospacing="0" w:after="120" w:afterAutospacing="0"/>
        <w:jc w:val="center"/>
        <w:textAlignment w:val="baseline"/>
        <w:rPr>
          <w:rFonts w:asciiTheme="majorBidi" w:hAnsiTheme="majorBidi" w:cstheme="majorBidi"/>
          <w:sz w:val="22"/>
          <w:szCs w:val="22"/>
          <w:lang w:val="fr-FR"/>
        </w:rPr>
      </w:pPr>
      <w:r w:rsidRPr="00ED7E61">
        <w:rPr>
          <w:rStyle w:val="normaltextrun"/>
          <w:rFonts w:asciiTheme="majorBidi" w:eastAsiaTheme="majorEastAsia" w:hAnsiTheme="majorBidi" w:cstheme="majorBidi"/>
          <w:sz w:val="22"/>
          <w:szCs w:val="22"/>
          <w:lang w:val="fr-FR"/>
        </w:rPr>
        <w:t>RLI(</w:t>
      </w:r>
      <w:proofErr w:type="spellStart"/>
      <w:proofErr w:type="gramStart"/>
      <w:r w:rsidRPr="00ED7E61">
        <w:rPr>
          <w:rStyle w:val="normaltextrun"/>
          <w:rFonts w:asciiTheme="majorBidi" w:eastAsiaTheme="majorEastAsia" w:hAnsiTheme="majorBidi" w:cstheme="majorBidi"/>
          <w:sz w:val="22"/>
          <w:szCs w:val="22"/>
          <w:lang w:val="fr-FR"/>
        </w:rPr>
        <w:t>t,u</w:t>
      </w:r>
      <w:proofErr w:type="spellEnd"/>
      <w:proofErr w:type="gramEnd"/>
      <w:r w:rsidRPr="00ED7E61">
        <w:rPr>
          <w:rStyle w:val="normaltextrun"/>
          <w:rFonts w:asciiTheme="majorBidi" w:eastAsiaTheme="majorEastAsia" w:hAnsiTheme="majorBidi" w:cstheme="majorBidi"/>
          <w:sz w:val="22"/>
          <w:szCs w:val="22"/>
          <w:lang w:val="fr-FR"/>
        </w:rPr>
        <w:t>) = 1 – [(Ss(W(</w:t>
      </w:r>
      <w:proofErr w:type="spellStart"/>
      <w:proofErr w:type="gramStart"/>
      <w:r w:rsidRPr="00ED7E61">
        <w:rPr>
          <w:rStyle w:val="normaltextrun"/>
          <w:rFonts w:asciiTheme="majorBidi" w:eastAsiaTheme="majorEastAsia" w:hAnsiTheme="majorBidi" w:cstheme="majorBidi"/>
          <w:sz w:val="22"/>
          <w:szCs w:val="22"/>
          <w:lang w:val="fr-FR"/>
        </w:rPr>
        <w:t>t,s</w:t>
      </w:r>
      <w:proofErr w:type="spellEnd"/>
      <w:proofErr w:type="gramEnd"/>
      <w:r w:rsidRPr="00ED7E61">
        <w:rPr>
          <w:rStyle w:val="normaltextrun"/>
          <w:rFonts w:asciiTheme="majorBidi" w:eastAsiaTheme="majorEastAsia" w:hAnsiTheme="majorBidi" w:cstheme="majorBidi"/>
          <w:sz w:val="22"/>
          <w:szCs w:val="22"/>
          <w:lang w:val="fr-FR"/>
        </w:rPr>
        <w:t>) * (</w:t>
      </w:r>
      <w:proofErr w:type="spellStart"/>
      <w:r w:rsidRPr="00ED7E61">
        <w:rPr>
          <w:rStyle w:val="normaltextrun"/>
          <w:rFonts w:asciiTheme="majorBidi" w:eastAsiaTheme="majorEastAsia" w:hAnsiTheme="majorBidi" w:cstheme="majorBidi"/>
          <w:sz w:val="22"/>
          <w:szCs w:val="22"/>
          <w:lang w:val="fr-FR"/>
        </w:rPr>
        <w:t>rsu</w:t>
      </w:r>
      <w:proofErr w:type="spellEnd"/>
      <w:r w:rsidRPr="00ED7E61">
        <w:rPr>
          <w:rStyle w:val="normaltextrun"/>
          <w:rFonts w:asciiTheme="majorBidi" w:eastAsiaTheme="majorEastAsia" w:hAnsiTheme="majorBidi" w:cstheme="majorBidi"/>
          <w:sz w:val="22"/>
          <w:szCs w:val="22"/>
          <w:lang w:val="fr-FR"/>
        </w:rPr>
        <w:t>/</w:t>
      </w:r>
      <w:proofErr w:type="spellStart"/>
      <w:r w:rsidRPr="00ED7E61">
        <w:rPr>
          <w:rStyle w:val="normaltextrun"/>
          <w:rFonts w:asciiTheme="majorBidi" w:eastAsiaTheme="majorEastAsia" w:hAnsiTheme="majorBidi" w:cstheme="majorBidi"/>
          <w:sz w:val="22"/>
          <w:szCs w:val="22"/>
          <w:lang w:val="fr-FR"/>
        </w:rPr>
        <w:t>Rs</w:t>
      </w:r>
      <w:proofErr w:type="spellEnd"/>
      <w:r w:rsidRPr="00ED7E61">
        <w:rPr>
          <w:rStyle w:val="normaltextrun"/>
          <w:rFonts w:asciiTheme="majorBidi" w:eastAsiaTheme="majorEastAsia" w:hAnsiTheme="majorBidi" w:cstheme="majorBidi"/>
          <w:sz w:val="22"/>
          <w:szCs w:val="22"/>
          <w:lang w:val="fr-FR"/>
        </w:rPr>
        <w:t>)) / (WEX * Ss (</w:t>
      </w:r>
      <w:proofErr w:type="spellStart"/>
      <w:r w:rsidRPr="00ED7E61">
        <w:rPr>
          <w:rStyle w:val="normaltextrun"/>
          <w:rFonts w:asciiTheme="majorBidi" w:eastAsiaTheme="majorEastAsia" w:hAnsiTheme="majorBidi" w:cstheme="majorBidi"/>
          <w:sz w:val="22"/>
          <w:szCs w:val="22"/>
          <w:lang w:val="fr-FR"/>
        </w:rPr>
        <w:t>rsu</w:t>
      </w:r>
      <w:proofErr w:type="spellEnd"/>
      <w:r w:rsidRPr="00ED7E61">
        <w:rPr>
          <w:rStyle w:val="normaltextrun"/>
          <w:rFonts w:asciiTheme="majorBidi" w:eastAsiaTheme="majorEastAsia" w:hAnsiTheme="majorBidi" w:cstheme="majorBidi"/>
          <w:sz w:val="22"/>
          <w:szCs w:val="22"/>
          <w:lang w:val="fr-FR"/>
        </w:rPr>
        <w:t>/</w:t>
      </w:r>
      <w:proofErr w:type="spellStart"/>
      <w:r w:rsidRPr="00ED7E61">
        <w:rPr>
          <w:rStyle w:val="normaltextrun"/>
          <w:rFonts w:asciiTheme="majorBidi" w:eastAsiaTheme="majorEastAsia" w:hAnsiTheme="majorBidi" w:cstheme="majorBidi"/>
          <w:sz w:val="22"/>
          <w:szCs w:val="22"/>
          <w:lang w:val="fr-FR"/>
        </w:rPr>
        <w:t>Rs</w:t>
      </w:r>
      <w:proofErr w:type="spellEnd"/>
      <w:r w:rsidRPr="00ED7E61">
        <w:rPr>
          <w:rStyle w:val="normaltextrun"/>
          <w:rFonts w:asciiTheme="majorBidi" w:eastAsiaTheme="majorEastAsia" w:hAnsiTheme="majorBidi" w:cstheme="majorBidi"/>
          <w:sz w:val="22"/>
          <w:szCs w:val="22"/>
          <w:lang w:val="fr-FR"/>
        </w:rPr>
        <w:t>))</w:t>
      </w:r>
    </w:p>
    <w:p w14:paraId="41DCDE36" w14:textId="77777777" w:rsidR="00C5314E" w:rsidRPr="00ED7E61" w:rsidRDefault="00C5314E" w:rsidP="00C5314E">
      <w:pPr>
        <w:pStyle w:val="paragraph"/>
        <w:spacing w:before="0" w:beforeAutospacing="0" w:after="0" w:afterAutospacing="0"/>
        <w:ind w:left="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where t is the year of comprehensive reassessment, u is the spatial unit (i.e. country), W_((</w:t>
      </w:r>
      <w:proofErr w:type="spellStart"/>
      <w:r w:rsidRPr="00ED7E61">
        <w:rPr>
          <w:rStyle w:val="normaltextrun"/>
          <w:rFonts w:asciiTheme="majorBidi" w:eastAsiaTheme="majorEastAsia" w:hAnsiTheme="majorBidi" w:cstheme="majorBidi"/>
          <w:sz w:val="22"/>
          <w:szCs w:val="22"/>
          <w:lang w:val="en-GB"/>
        </w:rPr>
        <w:t>t,s</w:t>
      </w:r>
      <w:proofErr w:type="spellEnd"/>
      <w:r w:rsidRPr="00ED7E61">
        <w:rPr>
          <w:rStyle w:val="normaltextrun"/>
          <w:rFonts w:asciiTheme="majorBidi" w:eastAsiaTheme="majorEastAsia" w:hAnsiTheme="majorBidi" w:cstheme="majorBidi"/>
          <w:sz w:val="22"/>
          <w:szCs w:val="22"/>
          <w:lang w:val="en-GB"/>
        </w:rPr>
        <w:t>)) is the weight of the global Red List category for species s at time t (Least Concern =0, Near Threatened =1, </w:t>
      </w: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sz w:val="22"/>
          <w:szCs w:val="22"/>
          <w:lang w:val="en-GB"/>
        </w:rPr>
        <w:t xml:space="preserve">Vulnerable =2, Endangered =3, Critically Endangered =4, Critically Endangered (Possibly Extinct) =5, Critically Endangered (Possibly Extinct in the Wild) =5, Extinct in the Wild =5 and Extinct =5), WEX = 5 is the weight for Extinct species, </w:t>
      </w:r>
      <w:proofErr w:type="spellStart"/>
      <w:r w:rsidRPr="00ED7E61">
        <w:rPr>
          <w:rStyle w:val="normaltextrun"/>
          <w:rFonts w:asciiTheme="majorBidi" w:eastAsiaTheme="majorEastAsia" w:hAnsiTheme="majorBidi" w:cstheme="majorBidi"/>
          <w:sz w:val="22"/>
          <w:szCs w:val="22"/>
          <w:lang w:val="en-GB"/>
        </w:rPr>
        <w:t>r_su</w:t>
      </w:r>
      <w:proofErr w:type="spellEnd"/>
      <w:r w:rsidRPr="00ED7E61">
        <w:rPr>
          <w:rStyle w:val="normaltextrun"/>
          <w:rFonts w:asciiTheme="majorBidi" w:eastAsiaTheme="majorEastAsia" w:hAnsiTheme="majorBidi" w:cstheme="majorBidi"/>
          <w:sz w:val="22"/>
          <w:szCs w:val="22"/>
          <w:lang w:val="en-GB"/>
        </w:rPr>
        <w:t xml:space="preserve"> is the fraction of the total range of species s in unit u, and R_s is the total range size of species s.</w:t>
      </w:r>
      <w:r w:rsidRPr="00ED7E61">
        <w:rPr>
          <w:rStyle w:val="eop"/>
          <w:rFonts w:asciiTheme="majorBidi" w:eastAsiaTheme="majorEastAsia" w:hAnsiTheme="majorBidi" w:cstheme="majorBidi"/>
          <w:sz w:val="22"/>
          <w:szCs w:val="22"/>
        </w:rPr>
        <w:t> </w:t>
      </w:r>
    </w:p>
    <w:p w14:paraId="3A71053C" w14:textId="77777777" w:rsid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 index varies from 1 if the country has contributed the minimum it can to the global RLI (i.e. if the numerator is 0 because all species in the country are Least Concern) to 0 if the country has contributed the maximum it can to the global RLI (i.e. if the numerator equals the denominator because all species in the country are Extinct or Possibly Extinct). </w:t>
      </w:r>
      <w:r w:rsidRPr="00AE4B3F">
        <w:rPr>
          <w:rStyle w:val="normaltextrun"/>
          <w:rFonts w:asciiTheme="majorBidi" w:eastAsiaTheme="majorEastAsia" w:hAnsiTheme="majorBidi" w:cstheme="majorBidi"/>
        </w:rPr>
        <w:t> </w:t>
      </w:r>
    </w:p>
    <w:p w14:paraId="742C880E" w14:textId="5E6A98B3"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AE4B3F">
        <w:rPr>
          <w:rStyle w:val="normaltextrun"/>
          <w:rFonts w:asciiTheme="majorBidi" w:eastAsiaTheme="majorEastAsia" w:hAnsiTheme="majorBidi" w:cstheme="majorBidi"/>
        </w:rPr>
        <w:t xml:space="preserve">The taxonomic groups included are those in which all species have been assessed for the IUCN Red List more than once. Red List categories for years in which comprehensive assessments (i.e. those in which all species in the taxonomic group have been assessed) were carried out are determined following the approach of Butchart et al. 2007, i.e. they match the current categories </w:t>
      </w:r>
      <w:r w:rsidRPr="00AE4B3F">
        <w:rPr>
          <w:rStyle w:val="normaltextrun"/>
          <w:rFonts w:asciiTheme="majorBidi" w:eastAsiaTheme="majorEastAsia" w:hAnsiTheme="majorBidi" w:cstheme="majorBidi"/>
        </w:rPr>
        <w:lastRenderedPageBreak/>
        <w:t>except for those taxa that have undergone genuine improvement or deterioration in extinction risk of sufficient magnitude to qualify for a higher or lower Red List category.</w:t>
      </w:r>
      <w:r w:rsidRPr="00ED7E61">
        <w:rPr>
          <w:rStyle w:val="normaltextrun"/>
        </w:rPr>
        <w:t> </w:t>
      </w:r>
    </w:p>
    <w:p w14:paraId="6B6C74B3"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382A36F8" w14:textId="77777777" w:rsid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The Red List Categories and Criteria are applied for each species on The IUCN Red List of Threatened Species and are determined globally and provided principally by the Specialist Groups and stand-alone Red List Authorities of the IUCN Species Survival Commission, IUCN Secretariat-led initiatives, and Red List partner organizations. The staff of the IUCN </w:t>
      </w:r>
      <w:r w:rsidRPr="00AE4B3F">
        <w:rPr>
          <w:rStyle w:val="normaltextrun"/>
        </w:rPr>
        <w:t xml:space="preserve">Red List Unit in the Biodiversity Assessment and Knowledge Team </w:t>
      </w:r>
      <w:r w:rsidRPr="00ED7E61">
        <w:rPr>
          <w:rStyle w:val="normaltextrun"/>
          <w:rFonts w:asciiTheme="majorBidi" w:eastAsiaTheme="majorEastAsia" w:hAnsiTheme="majorBidi" w:cstheme="majorBidi"/>
        </w:rPr>
        <w:t>compile, validate, and curate these data, and are responsible for publishing and communicating the results. Each individual species assessment is supported by the application of metadata and documentation standards (IUCN 2013), including classifications of, for example, threats and conservation actions (</w:t>
      </w:r>
      <w:proofErr w:type="spellStart"/>
      <w:r w:rsidRPr="00ED7E61">
        <w:rPr>
          <w:rStyle w:val="normaltextrun"/>
          <w:rFonts w:asciiTheme="majorBidi" w:eastAsiaTheme="majorEastAsia" w:hAnsiTheme="majorBidi" w:cstheme="majorBidi"/>
        </w:rPr>
        <w:t>Salafsky</w:t>
      </w:r>
      <w:proofErr w:type="spellEnd"/>
      <w:r w:rsidRPr="00ED7E61">
        <w:rPr>
          <w:rStyle w:val="normaltextrun"/>
          <w:rFonts w:asciiTheme="majorBidi" w:eastAsiaTheme="majorEastAsia" w:hAnsiTheme="majorBidi" w:cstheme="majorBidi"/>
        </w:rPr>
        <w:t xml:space="preserve"> et al. 2008). </w:t>
      </w:r>
      <w:r w:rsidRPr="00AE4B3F">
        <w:rPr>
          <w:rStyle w:val="normaltextrun"/>
          <w:rFonts w:asciiTheme="majorBidi" w:eastAsiaTheme="majorEastAsia" w:hAnsiTheme="majorBidi" w:cstheme="majorBidi"/>
        </w:rPr>
        <w:t> </w:t>
      </w:r>
    </w:p>
    <w:p w14:paraId="54B29D01" w14:textId="77777777" w:rsidR="00AE4B3F" w:rsidRDefault="00C5314E" w:rsidP="00AE4B3F">
      <w:pPr>
        <w:pStyle w:val="CBDNormalNumber"/>
        <w:numPr>
          <w:ilvl w:val="0"/>
          <w:numId w:val="49"/>
        </w:numPr>
        <w:rPr>
          <w:rStyle w:val="normaltextrun"/>
          <w:rFonts w:asciiTheme="majorBidi" w:eastAsiaTheme="majorEastAsia" w:hAnsiTheme="majorBidi" w:cstheme="majorBidi"/>
        </w:rPr>
      </w:pPr>
      <w:r w:rsidRPr="00AE4B3F">
        <w:rPr>
          <w:rStyle w:val="normaltextrun"/>
          <w:rFonts w:asciiTheme="majorBidi" w:eastAsiaTheme="majorEastAsia" w:hAnsiTheme="majorBidi" w:cstheme="majorBidi"/>
        </w:rPr>
        <w:t>Red List assessments are undertaken through either open workshops or through open-access web-based discussion fora. Assessments are reviewed by the appropriate Red List Authority (a group of experts or an organization appointed by the IUCN Species Survival Commission to review assessments for specific species or groups of species) to ensure standardisation and consistency in the interpretation of information and application of the criteria. A Red List Technical Working Group and the IUCN Red List Unit work to ensure consistent categorization between species, groups and assessments. Finally, a Standards and Petitions Committee monitors the process and resolves challenges and disputes over Red List assessments.</w:t>
      </w:r>
      <w:r w:rsidRPr="00ED7E61">
        <w:rPr>
          <w:rStyle w:val="normaltextrun"/>
        </w:rPr>
        <w:t> </w:t>
      </w:r>
    </w:p>
    <w:p w14:paraId="008039BF" w14:textId="1EA5AB8A" w:rsidR="00C5314E" w:rsidRPr="00AE4B3F" w:rsidRDefault="00C5314E" w:rsidP="00AE4B3F">
      <w:pPr>
        <w:pStyle w:val="CBDNormalNumber"/>
        <w:numPr>
          <w:ilvl w:val="0"/>
          <w:numId w:val="49"/>
        </w:numPr>
        <w:rPr>
          <w:rFonts w:asciiTheme="majorBidi" w:eastAsiaTheme="majorEastAsia" w:hAnsiTheme="majorBidi" w:cstheme="majorBidi"/>
        </w:rPr>
      </w:pPr>
      <w:r w:rsidRPr="00AE4B3F">
        <w:rPr>
          <w:rStyle w:val="normaltextrun"/>
          <w:rFonts w:asciiTheme="majorBidi" w:eastAsiaTheme="majorEastAsia" w:hAnsiTheme="majorBidi" w:cstheme="majorBidi"/>
        </w:rPr>
        <w:t xml:space="preserve">While global Red List Indices can be disaggregated to show trends for species at smaller spatial scales, the reverse is not true. National or regional Red List Indices cannot be aggregated to produce Red List Indices showing global trends. This is because a taxon’s global extinction risk </w:t>
      </w:r>
      <w:proofErr w:type="gramStart"/>
      <w:r w:rsidRPr="00AE4B3F">
        <w:rPr>
          <w:rStyle w:val="normaltextrun"/>
          <w:rFonts w:asciiTheme="majorBidi" w:eastAsiaTheme="majorEastAsia" w:hAnsiTheme="majorBidi" w:cstheme="majorBidi"/>
        </w:rPr>
        <w:t>has to</w:t>
      </w:r>
      <w:proofErr w:type="gramEnd"/>
      <w:r w:rsidRPr="00AE4B3F">
        <w:rPr>
          <w:rStyle w:val="normaltextrun"/>
          <w:rFonts w:asciiTheme="majorBidi" w:eastAsiaTheme="majorEastAsia" w:hAnsiTheme="majorBidi" w:cstheme="majorBidi"/>
        </w:rPr>
        <w:t xml:space="preserve"> be evaluated at the global scale and cannot be directly determined from multiple national scale assessments across its range (although the data from such assessments can be aggregated for inclusion in the global assessment).</w:t>
      </w:r>
      <w:r w:rsidRPr="00AE4B3F">
        <w:rPr>
          <w:rStyle w:val="eop"/>
          <w:rFonts w:asciiTheme="majorBidi" w:eastAsiaTheme="majorEastAsia" w:hAnsiTheme="majorBidi" w:cstheme="majorBidi"/>
        </w:rPr>
        <w:t> </w:t>
      </w:r>
    </w:p>
    <w:p w14:paraId="52340637"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30DF3DCE" w14:textId="77777777" w:rsidR="00C5314E" w:rsidRPr="00951A92" w:rsidRDefault="00C5314E" w:rsidP="00951A92">
      <w:pPr>
        <w:pStyle w:val="CBDNormalNumbe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N/A</w:t>
      </w:r>
      <w:r w:rsidRPr="00951A92">
        <w:rPr>
          <w:rStyle w:val="normaltextrun"/>
          <w:rFonts w:asciiTheme="majorBidi" w:eastAsiaTheme="majorEastAsia" w:hAnsiTheme="majorBidi" w:cstheme="majorBidi"/>
        </w:rPr>
        <w:t> </w:t>
      </w:r>
    </w:p>
    <w:p w14:paraId="7F52D442" w14:textId="77777777" w:rsidR="00C5314E" w:rsidRPr="00951A92" w:rsidRDefault="00C5314E" w:rsidP="00951A92">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951A92">
        <w:rPr>
          <w:rStyle w:val="normaltextrun"/>
          <w:rFonts w:asciiTheme="majorBidi" w:eastAsiaTheme="majorEastAsia" w:hAnsiTheme="majorBidi" w:cstheme="majorBidi"/>
          <w:b/>
          <w:bCs/>
          <w:sz w:val="22"/>
          <w:szCs w:val="22"/>
          <w:lang w:val="en-GB"/>
        </w:rPr>
        <w:t>7. Other MEAs, processes and organisations</w:t>
      </w:r>
      <w:r w:rsidRPr="00951A92">
        <w:rPr>
          <w:rStyle w:val="normaltextrun"/>
          <w:rFonts w:eastAsiaTheme="majorEastAsia"/>
          <w:b/>
          <w:bCs/>
          <w:lang w:val="en-GB"/>
        </w:rPr>
        <w:t> </w:t>
      </w:r>
    </w:p>
    <w:p w14:paraId="0E430F64" w14:textId="77777777" w:rsid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Intergovernmental Science-Policy Platform on Biodiversity and Ecosystem Services (IPBES): global assessment, regional assessments, thematic assessments on sustainable use, IAS etc</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w:t>
      </w:r>
      <w:r w:rsidRPr="00AE4B3F">
        <w:rPr>
          <w:rStyle w:val="normaltextrun"/>
          <w:rFonts w:asciiTheme="majorBidi" w:eastAsiaTheme="majorEastAsia" w:hAnsiTheme="majorBidi" w:cstheme="majorBidi"/>
        </w:rPr>
        <w:t> </w:t>
      </w:r>
    </w:p>
    <w:p w14:paraId="5C69E69E" w14:textId="77777777" w:rsidR="00AE4B3F" w:rsidRDefault="00C5314E" w:rsidP="00AE4B3F">
      <w:pPr>
        <w:pStyle w:val="CBDNormalNumber"/>
        <w:numPr>
          <w:ilvl w:val="0"/>
          <w:numId w:val="49"/>
        </w:numPr>
        <w:rPr>
          <w:rStyle w:val="normaltextrun"/>
          <w:rFonts w:asciiTheme="majorBidi" w:eastAsiaTheme="majorEastAsia" w:hAnsiTheme="majorBidi" w:cstheme="majorBidi"/>
        </w:rPr>
      </w:pPr>
      <w:r w:rsidRPr="00AE4B3F">
        <w:rPr>
          <w:rStyle w:val="normaltextrun"/>
          <w:rFonts w:asciiTheme="majorBidi" w:eastAsiaTheme="majorEastAsia" w:hAnsiTheme="majorBidi" w:cstheme="majorBidi"/>
        </w:rPr>
        <w:t xml:space="preserve">Sustainable Development Goal (SDG) indicator 15.5.1. The Red List Index has been classified by the IAEG-SDGs as Tier 1. Current data are available for all countries in the world, and these are updated annually. Index values for each country are available in the UN SDG Indicators Database </w:t>
      </w:r>
      <w:hyperlink r:id="rId59" w:tgtFrame="_blank" w:history="1">
        <w:r w:rsidRPr="00AE4B3F">
          <w:rPr>
            <w:rStyle w:val="normaltextrun"/>
            <w:rFonts w:asciiTheme="majorBidi" w:eastAsiaTheme="majorEastAsia" w:hAnsiTheme="majorBidi" w:cstheme="majorBidi"/>
          </w:rPr>
          <w:t>https://unstats.un.org/sdgs/indicators/database/</w:t>
        </w:r>
      </w:hyperlink>
      <w:r w:rsidRPr="00AE4B3F">
        <w:rPr>
          <w:rStyle w:val="normaltextrun"/>
          <w:rFonts w:asciiTheme="majorBidi" w:eastAsiaTheme="majorEastAsia" w:hAnsiTheme="majorBidi" w:cstheme="majorBidi"/>
        </w:rPr>
        <w:t>.</w:t>
      </w:r>
      <w:r w:rsidRPr="00ED7E61">
        <w:rPr>
          <w:rStyle w:val="normaltextrun"/>
        </w:rPr>
        <w:t> </w:t>
      </w:r>
    </w:p>
    <w:p w14:paraId="2361E523" w14:textId="77777777" w:rsidR="00AE4B3F" w:rsidRDefault="00C5314E" w:rsidP="00AE4B3F">
      <w:pPr>
        <w:pStyle w:val="CBDNormalNumber"/>
        <w:numPr>
          <w:ilvl w:val="0"/>
          <w:numId w:val="49"/>
        </w:numPr>
        <w:rPr>
          <w:rStyle w:val="normaltextrun"/>
          <w:rFonts w:asciiTheme="majorBidi" w:eastAsiaTheme="majorEastAsia" w:hAnsiTheme="majorBidi" w:cstheme="majorBidi"/>
        </w:rPr>
      </w:pPr>
      <w:r w:rsidRPr="00AE4B3F">
        <w:rPr>
          <w:rStyle w:val="normaltextrun"/>
          <w:rFonts w:asciiTheme="majorBidi" w:eastAsiaTheme="majorEastAsia" w:hAnsiTheme="majorBidi" w:cstheme="majorBidi"/>
        </w:rPr>
        <w:t>Strategic Plan for Migratory Species (SPMS) indicator: 5.1, 6.2 &amp; 8.1</w:t>
      </w:r>
      <w:r w:rsidRPr="00ED7E61">
        <w:rPr>
          <w:rStyle w:val="normaltextrun"/>
        </w:rPr>
        <w:t> </w:t>
      </w:r>
    </w:p>
    <w:p w14:paraId="4F33761D" w14:textId="5323E701"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AE4B3F">
        <w:rPr>
          <w:rStyle w:val="normaltextrun"/>
          <w:rFonts w:asciiTheme="majorBidi" w:eastAsiaTheme="majorEastAsia" w:hAnsiTheme="majorBidi" w:cstheme="majorBidi"/>
        </w:rPr>
        <w:t>Used by:</w:t>
      </w:r>
      <w:r w:rsidRPr="00ED7E61">
        <w:rPr>
          <w:rStyle w:val="normaltextrun"/>
        </w:rPr>
        <w:t> </w:t>
      </w:r>
    </w:p>
    <w:p w14:paraId="04471DDE" w14:textId="77777777" w:rsidR="00C5314E" w:rsidRPr="00ED7E61" w:rsidRDefault="00C5314E" w:rsidP="00C5314E">
      <w:pPr>
        <w:pStyle w:val="CBDNormalNumber"/>
        <w:numPr>
          <w:ilvl w:val="0"/>
          <w:numId w:val="54"/>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Convention on the Conservation of Migratory Species of Wild Animals (CMS)</w:t>
      </w:r>
      <w:r w:rsidRPr="00ED7E61">
        <w:rPr>
          <w:rStyle w:val="normaltextrun"/>
        </w:rPr>
        <w:t> </w:t>
      </w:r>
    </w:p>
    <w:p w14:paraId="37516D45" w14:textId="77777777" w:rsidR="00C5314E" w:rsidRPr="00ED7E61" w:rsidRDefault="00C5314E" w:rsidP="00C5314E">
      <w:pPr>
        <w:pStyle w:val="CBDNormalNumber"/>
        <w:numPr>
          <w:ilvl w:val="0"/>
          <w:numId w:val="54"/>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African-Eurasian Migratory Waterbird Agreement (AEWA), </w:t>
      </w:r>
      <w:r w:rsidRPr="00ED7E61">
        <w:rPr>
          <w:rStyle w:val="normaltextrun"/>
        </w:rPr>
        <w:t> </w:t>
      </w:r>
    </w:p>
    <w:p w14:paraId="49D9BC91" w14:textId="77777777" w:rsidR="00C5314E" w:rsidRPr="00ED7E61" w:rsidRDefault="00C5314E" w:rsidP="00C5314E">
      <w:pPr>
        <w:pStyle w:val="CBDNormalNumber"/>
        <w:numPr>
          <w:ilvl w:val="0"/>
          <w:numId w:val="54"/>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Agreement on the Conservation of Albatrosses and Petrels (ACAP) </w:t>
      </w:r>
      <w:r w:rsidRPr="00ED7E61">
        <w:rPr>
          <w:rStyle w:val="normaltextrun"/>
        </w:rPr>
        <w:t> </w:t>
      </w:r>
    </w:p>
    <w:p w14:paraId="4123F1F9" w14:textId="77777777" w:rsidR="00C5314E" w:rsidRPr="00ED7E61" w:rsidRDefault="00C5314E" w:rsidP="00C5314E">
      <w:pPr>
        <w:pStyle w:val="CBDNormalNumber"/>
        <w:numPr>
          <w:ilvl w:val="0"/>
          <w:numId w:val="54"/>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Raptors MOU </w:t>
      </w:r>
      <w:r w:rsidRPr="00ED7E61">
        <w:rPr>
          <w:rStyle w:val="normaltextrun"/>
        </w:rPr>
        <w:t> </w:t>
      </w:r>
    </w:p>
    <w:p w14:paraId="1B06BB7F" w14:textId="77777777" w:rsidR="00C5314E" w:rsidRPr="00ED7E61" w:rsidRDefault="00C5314E" w:rsidP="00C5314E">
      <w:pPr>
        <w:pStyle w:val="CBDNormalNumber"/>
        <w:numPr>
          <w:ilvl w:val="0"/>
          <w:numId w:val="54"/>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Convention on International Trade in Endangered Species of Wild Fauna and Flora (CITES) </w:t>
      </w:r>
      <w:r w:rsidRPr="00ED7E61">
        <w:rPr>
          <w:rStyle w:val="normaltextrun"/>
        </w:rPr>
        <w:t> </w:t>
      </w:r>
    </w:p>
    <w:p w14:paraId="6C53A909" w14:textId="77777777" w:rsidR="00C5314E" w:rsidRPr="00812871" w:rsidRDefault="00C5314E" w:rsidP="00C5314E">
      <w:pPr>
        <w:pStyle w:val="CBDNormalNumber"/>
        <w:numPr>
          <w:ilvl w:val="0"/>
          <w:numId w:val="54"/>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United Nations Convention to Combat Desertification (UNCCD)</w:t>
      </w:r>
      <w:r w:rsidRPr="00ED7E61">
        <w:rPr>
          <w:rStyle w:val="normaltextrun"/>
        </w:rPr>
        <w:t> </w:t>
      </w:r>
    </w:p>
    <w:p w14:paraId="6088BD6C" w14:textId="77777777" w:rsidR="00C5314E" w:rsidRDefault="00C5314E" w:rsidP="00812871">
      <w:pPr>
        <w:pStyle w:val="CBDNormalNumber"/>
        <w:numPr>
          <w:ilvl w:val="0"/>
          <w:numId w:val="54"/>
        </w:numPr>
        <w:tabs>
          <w:tab w:val="clear" w:pos="567"/>
          <w:tab w:val="clear" w:pos="1134"/>
          <w:tab w:val="clear" w:pos="2268"/>
          <w:tab w:val="left" w:pos="1985"/>
        </w:tabs>
        <w:ind w:firstLine="558"/>
        <w:rPr>
          <w:rStyle w:val="normaltextrun"/>
          <w:rFonts w:eastAsiaTheme="majorEastAsia"/>
        </w:rPr>
      </w:pPr>
      <w:r>
        <w:rPr>
          <w:rStyle w:val="normaltextrun"/>
        </w:rPr>
        <w:t>United Nations Framework Convention on Climate Change (UNFCCC)</w:t>
      </w:r>
    </w:p>
    <w:p w14:paraId="78D7BB83" w14:textId="77777777" w:rsidR="00C5314E" w:rsidRPr="00ED7E61" w:rsidRDefault="00C5314E" w:rsidP="00812871">
      <w:pPr>
        <w:pStyle w:val="CBDNormalNumber"/>
        <w:tabs>
          <w:tab w:val="clear" w:pos="567"/>
          <w:tab w:val="clear" w:pos="1134"/>
          <w:tab w:val="clear" w:pos="2268"/>
          <w:tab w:val="left" w:pos="1985"/>
        </w:tabs>
        <w:ind w:left="1134"/>
        <w:rPr>
          <w:rStyle w:val="normaltextrun"/>
          <w:rFonts w:eastAsiaTheme="majorEastAsia"/>
        </w:rPr>
      </w:pPr>
    </w:p>
    <w:p w14:paraId="04E44B7E" w14:textId="77777777" w:rsidR="00AE4B3F" w:rsidRDefault="00C5314E" w:rsidP="00AE4B3F">
      <w:pPr>
        <w:pStyle w:val="CBDNormalNumber"/>
        <w:numPr>
          <w:ilvl w:val="0"/>
          <w:numId w:val="49"/>
        </w:numPr>
        <w:rPr>
          <w:rStyle w:val="normaltextrun"/>
          <w:rFonts w:asciiTheme="majorBidi" w:eastAsiaTheme="majorEastAsia" w:hAnsiTheme="majorBidi" w:cstheme="majorBidi"/>
        </w:rPr>
      </w:pP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of the Red List Index are also of particular relevance as indicators towards the following SDG targets (Brooks et al. 2015): SDG 2.4 Red List Index (species used for food and medicine); SDG 2.5 Red List Index (wild relatives and local breeds); SDG 12.2 Red List Index (impacts of utilisation) (Butchart 2008); SDG 12.4 Red List Index (impacts of pollution); SDG 13.1 Red List Index (impacts of climate change); SDG 14.1 Red List Index (impacts of pollution on marine species); SDG 14.2 Red List Index (marine species); SDG 14.3 Red List Index (reef-building coral species) (Carpenter et al. 2008); SDG 14.4 Red List Index (impacts of utilisation on marine species); SDG 15.1 Red List Index (terrestrial &amp; freshwater species); SDG 15.2 Red List Index (forest-specialist species); SDG 15.4 Red List Index (mountain species); SDG 15.7 Red List Index (impacts of utilisation) (Butchart 2008); and SDG 15.8 Red List Index (impacts of invasive alien species) (Butchart 2008, McGeoch et al. 2010).</w:t>
      </w:r>
      <w:r w:rsidRPr="00AE4B3F">
        <w:rPr>
          <w:rStyle w:val="normaltextrun"/>
          <w:rFonts w:asciiTheme="majorBidi" w:eastAsiaTheme="majorEastAsia" w:hAnsiTheme="majorBidi" w:cstheme="majorBidi"/>
        </w:rPr>
        <w:t> </w:t>
      </w:r>
    </w:p>
    <w:p w14:paraId="777C8303" w14:textId="19664EA8"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AE4B3F">
        <w:rPr>
          <w:rStyle w:val="normaltextrun"/>
          <w:rFonts w:asciiTheme="majorBidi" w:eastAsiaTheme="majorEastAsia" w:hAnsiTheme="majorBidi" w:cstheme="majorBidi"/>
        </w:rPr>
        <w:t xml:space="preserve">Red List Index graphs and underlying index data are available for each country, SDG regions, IPBES region, CMS region and various thematic </w:t>
      </w:r>
      <w:proofErr w:type="spellStart"/>
      <w:r w:rsidRPr="00AE4B3F">
        <w:rPr>
          <w:rStyle w:val="normaltextrun"/>
          <w:rFonts w:asciiTheme="majorBidi" w:eastAsiaTheme="majorEastAsia" w:hAnsiTheme="majorBidi" w:cstheme="majorBidi"/>
        </w:rPr>
        <w:t>disaggregations</w:t>
      </w:r>
      <w:proofErr w:type="spellEnd"/>
      <w:r w:rsidRPr="00AE4B3F">
        <w:rPr>
          <w:rStyle w:val="normaltextrun"/>
          <w:rFonts w:asciiTheme="majorBidi" w:eastAsiaTheme="majorEastAsia" w:hAnsiTheme="majorBidi" w:cstheme="majorBidi"/>
        </w:rPr>
        <w:t xml:space="preserve"> at </w:t>
      </w:r>
      <w:hyperlink r:id="rId60" w:tgtFrame="_blank" w:history="1">
        <w:r w:rsidRPr="00AE4B3F">
          <w:rPr>
            <w:rStyle w:val="normaltextrun"/>
            <w:rFonts w:asciiTheme="majorBidi" w:eastAsiaTheme="majorEastAsia" w:hAnsiTheme="majorBidi" w:cstheme="majorBidi"/>
          </w:rPr>
          <w:t>https://www.iucnredlist.org/search</w:t>
        </w:r>
      </w:hyperlink>
      <w:r w:rsidRPr="00AE4B3F">
        <w:rPr>
          <w:rStyle w:val="normaltextrun"/>
          <w:rFonts w:asciiTheme="majorBidi" w:eastAsiaTheme="majorEastAsia" w:hAnsiTheme="majorBidi" w:cstheme="majorBidi"/>
        </w:rPr>
        <w:t xml:space="preserve">. Red List Index graphs are also available for each country </w:t>
      </w:r>
      <w:proofErr w:type="spellStart"/>
      <w:r w:rsidRPr="00AE4B3F">
        <w:rPr>
          <w:rStyle w:val="normaltextrun"/>
          <w:rFonts w:asciiTheme="majorBidi" w:eastAsiaTheme="majorEastAsia" w:hAnsiTheme="majorBidi" w:cstheme="majorBidi"/>
        </w:rPr>
        <w:t>onthe</w:t>
      </w:r>
      <w:proofErr w:type="spellEnd"/>
      <w:r w:rsidRPr="00AE4B3F">
        <w:rPr>
          <w:rStyle w:val="normaltextrun"/>
          <w:rFonts w:asciiTheme="majorBidi" w:eastAsiaTheme="majorEastAsia" w:hAnsiTheme="majorBidi" w:cstheme="majorBidi"/>
        </w:rPr>
        <w:t xml:space="preserve"> Target Tracker platform (</w:t>
      </w:r>
      <w:r w:rsidRPr="00AE4B3F">
        <w:rPr>
          <w:rFonts w:asciiTheme="majorBidi" w:eastAsiaTheme="majorEastAsia" w:hAnsiTheme="majorBidi" w:cstheme="majorBidi"/>
          <w:lang w:val="en-CA"/>
        </w:rPr>
        <w:t>https://target-tracker.org/)</w:t>
      </w:r>
      <w:r w:rsidRPr="00AE4B3F">
        <w:rPr>
          <w:rStyle w:val="normaltextrun"/>
          <w:rFonts w:asciiTheme="majorBidi" w:eastAsiaTheme="majorEastAsia" w:hAnsiTheme="majorBidi" w:cstheme="majorBidi"/>
        </w:rPr>
        <w:t xml:space="preserve"> \, the Integrated Biodiversity Assessment Tool Country Profiles (</w:t>
      </w:r>
      <w:hyperlink r:id="rId61" w:tgtFrame="_blank" w:history="1">
        <w:r w:rsidRPr="00AE4B3F">
          <w:rPr>
            <w:rStyle w:val="normaltextrun"/>
            <w:rFonts w:asciiTheme="majorBidi" w:eastAsiaTheme="majorEastAsia" w:hAnsiTheme="majorBidi" w:cstheme="majorBidi"/>
          </w:rPr>
          <w:t>https://ibat-alliance.org/country_profiles</w:t>
        </w:r>
      </w:hyperlink>
      <w:r w:rsidRPr="00AE4B3F">
        <w:rPr>
          <w:rStyle w:val="normaltextrun"/>
          <w:rFonts w:asciiTheme="majorBidi" w:eastAsiaTheme="majorEastAsia" w:hAnsiTheme="majorBidi" w:cstheme="majorBidi"/>
        </w:rPr>
        <w:t xml:space="preserve">), and (for birds) on the </w:t>
      </w:r>
      <w:proofErr w:type="spellStart"/>
      <w:r w:rsidRPr="00AE4B3F">
        <w:rPr>
          <w:rStyle w:val="normaltextrun"/>
          <w:rFonts w:asciiTheme="majorBidi" w:eastAsiaTheme="majorEastAsia" w:hAnsiTheme="majorBidi" w:cstheme="majorBidi"/>
        </w:rPr>
        <w:t>BirdLife</w:t>
      </w:r>
      <w:proofErr w:type="spellEnd"/>
      <w:r w:rsidRPr="00AE4B3F">
        <w:rPr>
          <w:rStyle w:val="normaltextrun"/>
          <w:rFonts w:asciiTheme="majorBidi" w:eastAsiaTheme="majorEastAsia" w:hAnsiTheme="majorBidi" w:cstheme="majorBidi"/>
        </w:rPr>
        <w:t xml:space="preserve"> International Data Zone (</w:t>
      </w:r>
      <w:hyperlink r:id="rId62" w:history="1">
        <w:r w:rsidRPr="00AE4B3F">
          <w:rPr>
            <w:rStyle w:val="Hyperlink"/>
            <w:rFonts w:asciiTheme="majorBidi" w:eastAsiaTheme="majorEastAsia" w:hAnsiTheme="majorBidi" w:cstheme="majorBidi"/>
          </w:rPr>
          <w:t>http://datazone.birdlife.org</w:t>
        </w:r>
      </w:hyperlink>
      <w:r w:rsidRPr="00AE4B3F">
        <w:rPr>
          <w:rStyle w:val="normaltextrun"/>
          <w:rFonts w:asciiTheme="majorBidi" w:eastAsiaTheme="majorEastAsia" w:hAnsiTheme="majorBidi" w:cstheme="majorBidi"/>
        </w:rPr>
        <w:t>).</w:t>
      </w:r>
      <w:r w:rsidRPr="00ED7E61">
        <w:rPr>
          <w:rStyle w:val="normaltextrun"/>
        </w:rPr>
        <w:t> </w:t>
      </w:r>
    </w:p>
    <w:p w14:paraId="7EBB0784" w14:textId="77777777" w:rsidR="00C5314E" w:rsidRPr="00ED7E61" w:rsidRDefault="00C5314E" w:rsidP="00C5314E">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7b.</w:t>
      </w:r>
      <w:r w:rsidRPr="00ED7E61">
        <w:rPr>
          <w:rStyle w:val="normaltextrun"/>
          <w:rFonts w:asciiTheme="majorBidi" w:eastAsiaTheme="majorEastAsia" w:hAnsiTheme="majorBidi" w:cstheme="majorBidi"/>
          <w:sz w:val="22"/>
          <w:szCs w:val="22"/>
          <w:lang w:val="en-GB"/>
        </w:rPr>
        <w:t xml:space="preserve"> </w:t>
      </w:r>
      <w:r w:rsidRPr="00ED7E61">
        <w:rPr>
          <w:rStyle w:val="normaltextrun"/>
          <w:rFonts w:asciiTheme="majorBidi" w:eastAsiaTheme="majorEastAsia" w:hAnsiTheme="majorBidi" w:cstheme="majorBidi"/>
          <w:b/>
          <w:bCs/>
          <w:sz w:val="22"/>
          <w:szCs w:val="22"/>
          <w:lang w:val="en-GB"/>
        </w:rPr>
        <w:t>Biodiversity Indicator Partnership</w:t>
      </w:r>
      <w:r w:rsidRPr="00ED7E61">
        <w:rPr>
          <w:rStyle w:val="eop"/>
          <w:rFonts w:asciiTheme="majorBidi" w:eastAsiaTheme="majorEastAsia" w:hAnsiTheme="majorBidi" w:cstheme="majorBidi"/>
          <w:sz w:val="22"/>
          <w:szCs w:val="22"/>
        </w:rPr>
        <w:t> </w:t>
      </w:r>
    </w:p>
    <w:p w14:paraId="681C55DA"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sz w:val="22"/>
          <w:szCs w:val="22"/>
          <w:lang w:val="en-GB"/>
        </w:rPr>
        <w:t xml:space="preserve">Yes: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w:t>
      </w:r>
      <w:r w:rsidRPr="00ED7E61">
        <w:rPr>
          <w:rStyle w:val="normaltextrun"/>
          <w:rFonts w:asciiTheme="majorBidi" w:eastAsiaTheme="majorEastAsia" w:hAnsiTheme="majorBidi" w:cstheme="majorBidi"/>
          <w:sz w:val="22"/>
          <w:szCs w:val="22"/>
        </w:rPr>
        <w:t xml:space="preserve">No: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221672A0"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hyperlink r:id="rId63" w:tgtFrame="_blank" w:history="1">
        <w:r w:rsidRPr="00ED7E61">
          <w:rPr>
            <w:rStyle w:val="normaltextrun"/>
            <w:rFonts w:asciiTheme="majorBidi" w:eastAsiaTheme="majorEastAsia" w:hAnsiTheme="majorBidi" w:cstheme="majorBidi"/>
            <w:color w:val="467886"/>
            <w:sz w:val="22"/>
            <w:szCs w:val="22"/>
            <w:u w:val="single"/>
            <w:lang w:val="en-GB"/>
          </w:rPr>
          <w:t>https://www.bipindicators.net/indicators/red-list-index</w:t>
        </w:r>
      </w:hyperlink>
      <w:r w:rsidRPr="00ED7E61">
        <w:rPr>
          <w:rStyle w:val="eop"/>
          <w:rFonts w:asciiTheme="majorBidi" w:eastAsiaTheme="majorEastAsia" w:hAnsiTheme="majorBidi" w:cstheme="majorBidi"/>
          <w:sz w:val="22"/>
          <w:szCs w:val="22"/>
        </w:rPr>
        <w:t> </w:t>
      </w:r>
    </w:p>
    <w:p w14:paraId="52382337" w14:textId="77777777" w:rsidR="00C5314E" w:rsidRPr="00ED7E61" w:rsidRDefault="00C5314E" w:rsidP="00C5314E">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Possible </w:t>
      </w:r>
      <w:proofErr w:type="spellStart"/>
      <w:r w:rsidRPr="00ED7E61">
        <w:rPr>
          <w:rStyle w:val="normaltextrun"/>
          <w:rFonts w:asciiTheme="majorBidi" w:eastAsiaTheme="majorEastAsia" w:hAnsiTheme="majorBidi" w:cstheme="majorBidi"/>
          <w:b/>
          <w:bCs/>
          <w:sz w:val="22"/>
          <w:szCs w:val="22"/>
        </w:rPr>
        <w:t>Disaggregations</w:t>
      </w:r>
      <w:proofErr w:type="spellEnd"/>
      <w:r w:rsidRPr="00ED7E61">
        <w:rPr>
          <w:rStyle w:val="eop"/>
          <w:rFonts w:asciiTheme="majorBidi" w:eastAsiaTheme="majorEastAsia" w:hAnsiTheme="majorBidi" w:cstheme="majorBidi"/>
          <w:sz w:val="22"/>
          <w:szCs w:val="22"/>
        </w:rPr>
        <w:t> </w:t>
      </w:r>
    </w:p>
    <w:p w14:paraId="4EABCC92"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165F0E">
        <w:rPr>
          <w:rStyle w:val="normaltextrun"/>
          <w:rFonts w:asciiTheme="majorBidi" w:eastAsiaTheme="majorEastAsia" w:hAnsiTheme="majorBidi" w:cstheme="majorBidi"/>
        </w:rPr>
        <w:t xml:space="preserve">The indicator can also be disaggregated by: realms (terrestrial, freshwater and marine), ecosystems (forest, wetland etc.), various political and geographic divisions (e.g. Han et al. 2014); by taxonomic subsets (e.g. Hoffmann et al. 2011); by suites of species relevant to particular international treaties or legislation (e.g. Croxall et al. 2012); by suites of species exposed to particular threatening processes (e.g. Butchart 2008); and by suites of species that deliver particular ecosystem services (e.g. Regan et al. 2015), or have particular biological or life-history traits (e.g. migratory species, as an indicator relating to ecological connectivity). It can also be disaggregated to show trends in the impacts of </w:t>
      </w:r>
      <w:proofErr w:type="gramStart"/>
      <w:r w:rsidRPr="00165F0E">
        <w:rPr>
          <w:rStyle w:val="normaltextrun"/>
          <w:rFonts w:asciiTheme="majorBidi" w:eastAsiaTheme="majorEastAsia" w:hAnsiTheme="majorBidi" w:cstheme="majorBidi"/>
        </w:rPr>
        <w:t>particular drivers</w:t>
      </w:r>
      <w:proofErr w:type="gramEnd"/>
      <w:r w:rsidRPr="00165F0E">
        <w:rPr>
          <w:rStyle w:val="normaltextrun"/>
          <w:rFonts w:asciiTheme="majorBidi" w:eastAsiaTheme="majorEastAsia" w:hAnsiTheme="majorBidi" w:cstheme="majorBidi"/>
        </w:rPr>
        <w:t xml:space="preserve"> (e.g. utilisation, invasive alien species, pollution etc.) – these </w:t>
      </w:r>
      <w:proofErr w:type="spellStart"/>
      <w:r w:rsidRPr="00165F0E">
        <w:rPr>
          <w:rStyle w:val="normaltextrun"/>
          <w:rFonts w:asciiTheme="majorBidi" w:eastAsiaTheme="majorEastAsia" w:hAnsiTheme="majorBidi" w:cstheme="majorBidi"/>
        </w:rPr>
        <w:t>disaggregations</w:t>
      </w:r>
      <w:proofErr w:type="spellEnd"/>
      <w:r w:rsidRPr="00165F0E">
        <w:rPr>
          <w:rStyle w:val="normaltextrun"/>
          <w:rFonts w:asciiTheme="majorBidi" w:eastAsiaTheme="majorEastAsia" w:hAnsiTheme="majorBidi" w:cstheme="majorBidi"/>
        </w:rPr>
        <w:t xml:space="preserve"> show trends in extinction risk for all </w:t>
      </w:r>
      <w:proofErr w:type="gramStart"/>
      <w:r w:rsidRPr="00165F0E">
        <w:rPr>
          <w:rStyle w:val="normaltextrun"/>
          <w:rFonts w:asciiTheme="majorBidi" w:eastAsiaTheme="majorEastAsia" w:hAnsiTheme="majorBidi" w:cstheme="majorBidi"/>
        </w:rPr>
        <w:t>species, but</w:t>
      </w:r>
      <w:proofErr w:type="gramEnd"/>
      <w:r w:rsidRPr="00165F0E">
        <w:rPr>
          <w:rStyle w:val="normaltextrun"/>
          <w:rFonts w:asciiTheme="majorBidi" w:eastAsiaTheme="majorEastAsia" w:hAnsiTheme="majorBidi" w:cstheme="majorBidi"/>
        </w:rPr>
        <w:t xml:space="preserve"> reflecting only changes in extinction risk driven primarily by </w:t>
      </w:r>
      <w:proofErr w:type="gramStart"/>
      <w:r w:rsidRPr="00165F0E">
        <w:rPr>
          <w:rStyle w:val="normaltextrun"/>
          <w:rFonts w:asciiTheme="majorBidi" w:eastAsiaTheme="majorEastAsia" w:hAnsiTheme="majorBidi" w:cstheme="majorBidi"/>
        </w:rPr>
        <w:t>particular drivers</w:t>
      </w:r>
      <w:proofErr w:type="gramEnd"/>
      <w:r w:rsidRPr="00165F0E">
        <w:rPr>
          <w:rStyle w:val="normaltextrun"/>
          <w:rFonts w:asciiTheme="majorBidi" w:eastAsiaTheme="majorEastAsia" w:hAnsiTheme="majorBidi" w:cstheme="majorBidi"/>
        </w:rPr>
        <w:t xml:space="preserve"> or their mitigation. In each case, information can be obtained from The IUCN Red List of Threatened Species to determine which species are relevant to </w:t>
      </w:r>
      <w:proofErr w:type="gramStart"/>
      <w:r w:rsidRPr="00165F0E">
        <w:rPr>
          <w:rStyle w:val="normaltextrun"/>
          <w:rFonts w:asciiTheme="majorBidi" w:eastAsiaTheme="majorEastAsia" w:hAnsiTheme="majorBidi" w:cstheme="majorBidi"/>
        </w:rPr>
        <w:t>particular subsets</w:t>
      </w:r>
      <w:proofErr w:type="gramEnd"/>
      <w:r w:rsidRPr="00165F0E">
        <w:rPr>
          <w:rStyle w:val="normaltextrun"/>
          <w:rFonts w:asciiTheme="majorBidi" w:eastAsiaTheme="majorEastAsia" w:hAnsiTheme="majorBidi" w:cstheme="majorBidi"/>
        </w:rPr>
        <w:t xml:space="preserve"> (e.g. which occur </w:t>
      </w:r>
      <w:proofErr w:type="gramStart"/>
      <w:r w:rsidRPr="00165F0E">
        <w:rPr>
          <w:rStyle w:val="normaltextrun"/>
          <w:rFonts w:asciiTheme="majorBidi" w:eastAsiaTheme="majorEastAsia" w:hAnsiTheme="majorBidi" w:cstheme="majorBidi"/>
        </w:rPr>
        <w:t>in particular ecosystems</w:t>
      </w:r>
      <w:proofErr w:type="gramEnd"/>
      <w:r w:rsidRPr="00165F0E">
        <w:rPr>
          <w:rStyle w:val="normaltextrun"/>
          <w:rFonts w:asciiTheme="majorBidi" w:eastAsiaTheme="majorEastAsia" w:hAnsiTheme="majorBidi" w:cstheme="majorBidi"/>
        </w:rPr>
        <w:t xml:space="preserve">, habitats, and geographic areas of interest). Drivers follows the </w:t>
      </w:r>
      <w:hyperlink r:id="rId64" w:tgtFrame="_blank" w:history="1">
        <w:r w:rsidRPr="00165F0E">
          <w:rPr>
            <w:rStyle w:val="normaltextrun"/>
            <w:rFonts w:asciiTheme="majorBidi" w:eastAsiaTheme="majorEastAsia" w:hAnsiTheme="majorBidi" w:cstheme="majorBidi"/>
          </w:rPr>
          <w:t>IUCN Threats Classification Scheme</w:t>
        </w:r>
      </w:hyperlink>
      <w:r w:rsidRPr="00165F0E">
        <w:rPr>
          <w:rStyle w:val="normaltextrun"/>
          <w:rFonts w:asciiTheme="majorBidi" w:eastAsiaTheme="majorEastAsia" w:hAnsiTheme="majorBidi" w:cstheme="majorBidi"/>
        </w:rPr>
        <w:t xml:space="preserve">. These </w:t>
      </w:r>
      <w:proofErr w:type="spellStart"/>
      <w:r w:rsidRPr="00165F0E">
        <w:rPr>
          <w:rStyle w:val="normaltextrun"/>
          <w:rFonts w:asciiTheme="majorBidi" w:eastAsiaTheme="majorEastAsia" w:hAnsiTheme="majorBidi" w:cstheme="majorBidi"/>
        </w:rPr>
        <w:t>disaggregations</w:t>
      </w:r>
      <w:proofErr w:type="spellEnd"/>
      <w:r w:rsidRPr="00165F0E">
        <w:rPr>
          <w:rStyle w:val="normaltextrun"/>
          <w:rFonts w:asciiTheme="majorBidi" w:eastAsiaTheme="majorEastAsia" w:hAnsiTheme="majorBidi" w:cstheme="majorBidi"/>
        </w:rPr>
        <w:t xml:space="preserve"> are available on the IUCN Red List website at </w:t>
      </w:r>
      <w:hyperlink r:id="rId65" w:tgtFrame="_blank" w:history="1">
        <w:r w:rsidRPr="00165F0E">
          <w:rPr>
            <w:rStyle w:val="normaltextrun"/>
            <w:rFonts w:asciiTheme="majorBidi" w:eastAsiaTheme="majorEastAsia" w:hAnsiTheme="majorBidi" w:cstheme="majorBidi"/>
          </w:rPr>
          <w:t>https://www.iucnredlist.org/search</w:t>
        </w:r>
      </w:hyperlink>
      <w:r w:rsidRPr="00165F0E">
        <w:rPr>
          <w:rStyle w:val="normaltextrun"/>
          <w:rFonts w:asciiTheme="majorBidi" w:eastAsiaTheme="majorEastAsia" w:hAnsiTheme="majorBidi" w:cstheme="majorBidi"/>
        </w:rPr>
        <w:t xml:space="preserve">.  </w:t>
      </w:r>
      <w:r w:rsidRPr="00AE4B3F">
        <w:rPr>
          <w:rStyle w:val="normaltextrun"/>
          <w:rFonts w:asciiTheme="majorBidi" w:eastAsiaTheme="majorEastAsia" w:hAnsiTheme="majorBidi" w:cstheme="majorBidi"/>
        </w:rPr>
        <w:t>Disaggregation by realm, biome and ecosystem functional group (Global Ecosystem Typology levels 2 and 3 or equivalent), by migratory species and by drivers were recommended as a priority by the CBD Ad-Hoc Technical Expert Group on Indicators for the Kunming-Montreal Global Biodiversity Framework. </w:t>
      </w:r>
    </w:p>
    <w:p w14:paraId="6ED89109" w14:textId="77777777" w:rsidR="00C5314E" w:rsidRPr="00ED7E61" w:rsidRDefault="00C5314E" w:rsidP="00C5314E">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0540EF9F"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Target 4. 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r w:rsidRPr="00AE4B3F">
        <w:rPr>
          <w:rStyle w:val="normaltextrun"/>
          <w:rFonts w:asciiTheme="majorBidi" w:eastAsiaTheme="majorEastAsia" w:hAnsiTheme="majorBidi" w:cstheme="majorBidi"/>
        </w:rPr>
        <w:t> </w:t>
      </w:r>
    </w:p>
    <w:p w14:paraId="2735693A" w14:textId="77777777" w:rsidR="00C5314E" w:rsidRPr="00ED7E61" w:rsidRDefault="00C5314E" w:rsidP="00C5314E">
      <w:pPr>
        <w:pStyle w:val="CBDNormalNumber"/>
        <w:numPr>
          <w:ilvl w:val="0"/>
          <w:numId w:val="55"/>
        </w:numPr>
        <w:tabs>
          <w:tab w:val="clear" w:pos="567"/>
          <w:tab w:val="clear" w:pos="1134"/>
          <w:tab w:val="clear" w:pos="1701"/>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lastRenderedPageBreak/>
        <w:t>Red List Index </w:t>
      </w:r>
      <w:r w:rsidRPr="00ED7E61">
        <w:rPr>
          <w:rStyle w:val="normaltextrun"/>
        </w:rPr>
        <w:t> </w:t>
      </w:r>
    </w:p>
    <w:p w14:paraId="47128DF7" w14:textId="77777777" w:rsidR="00C5314E" w:rsidRPr="00ED7E61" w:rsidRDefault="00C5314E" w:rsidP="00C5314E">
      <w:pPr>
        <w:pStyle w:val="CBDNormalNumber"/>
        <w:numPr>
          <w:ilvl w:val="0"/>
          <w:numId w:val="55"/>
        </w:numPr>
        <w:tabs>
          <w:tab w:val="clear" w:pos="567"/>
          <w:tab w:val="clear" w:pos="1134"/>
          <w:tab w:val="clear" w:pos="1701"/>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(migratory species) – to reflect the impact of management actions for the recovery of migratory species in relation to enhancing ecological connectivity</w:t>
      </w:r>
      <w:r w:rsidRPr="00ED7E61">
        <w:rPr>
          <w:rStyle w:val="normaltextrun"/>
        </w:rPr>
        <w:t> </w:t>
      </w:r>
    </w:p>
    <w:p w14:paraId="2DDD29E7"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Target 5. 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r w:rsidRPr="00AE4B3F">
        <w:rPr>
          <w:rStyle w:val="normaltextrun"/>
          <w:rFonts w:asciiTheme="majorBidi" w:eastAsiaTheme="majorEastAsia" w:hAnsiTheme="majorBidi" w:cstheme="majorBidi"/>
        </w:rPr>
        <w:t> </w:t>
      </w:r>
    </w:p>
    <w:p w14:paraId="189D4F59" w14:textId="77777777" w:rsidR="00C5314E" w:rsidRPr="00ED7E61" w:rsidRDefault="00C5314E" w:rsidP="00C5314E">
      <w:pPr>
        <w:pStyle w:val="CBDNormalNumber"/>
        <w:numPr>
          <w:ilvl w:val="0"/>
          <w:numId w:val="56"/>
        </w:numPr>
        <w:tabs>
          <w:tab w:val="clear" w:pos="567"/>
          <w:tab w:val="clear" w:pos="1134"/>
          <w:tab w:val="clear" w:pos="2268"/>
          <w:tab w:val="left" w:pos="1985"/>
        </w:tabs>
        <w:ind w:firstLine="558"/>
        <w:rPr>
          <w:rStyle w:val="normaltextrun"/>
          <w:rFonts w:asciiTheme="majorBidi" w:eastAsiaTheme="majorEastAsia" w:hAnsiTheme="majorBidi" w:cstheme="majorBidi"/>
          <w:sz w:val="24"/>
          <w:szCs w:val="24"/>
          <w:lang w:val="en-CA"/>
        </w:rPr>
      </w:pPr>
      <w:r w:rsidRPr="00ED7E61">
        <w:rPr>
          <w:rStyle w:val="normaltextrun"/>
          <w:rFonts w:asciiTheme="majorBidi" w:eastAsiaTheme="majorEastAsia" w:hAnsiTheme="majorBidi" w:cstheme="majorBidi"/>
        </w:rPr>
        <w:t xml:space="preserve">Red List Index (impacts of utilisation) [more relevant than the Red List Index for used </w:t>
      </w:r>
      <w:proofErr w:type="gramStart"/>
      <w:r w:rsidRPr="00ED7E61">
        <w:rPr>
          <w:rStyle w:val="normaltextrun"/>
          <w:rFonts w:asciiTheme="majorBidi" w:eastAsiaTheme="majorEastAsia" w:hAnsiTheme="majorBidi" w:cstheme="majorBidi"/>
        </w:rPr>
        <w:t>species,;</w:t>
      </w:r>
      <w:proofErr w:type="gramEnd"/>
      <w:r w:rsidRPr="00ED7E61">
        <w:rPr>
          <w:rStyle w:val="normaltextrun"/>
        </w:rPr>
        <w:t> </w:t>
      </w:r>
    </w:p>
    <w:p w14:paraId="65F9C74C" w14:textId="77777777" w:rsidR="00C5314E" w:rsidRPr="00ED7E61" w:rsidRDefault="00C5314E" w:rsidP="00C5314E">
      <w:pPr>
        <w:pStyle w:val="CBDNormalNumber"/>
        <w:numPr>
          <w:ilvl w:val="0"/>
          <w:numId w:val="56"/>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(internationally traded species) </w:t>
      </w:r>
      <w:r w:rsidRPr="00ED7E61">
        <w:rPr>
          <w:rStyle w:val="normaltextrun"/>
        </w:rPr>
        <w:t> </w:t>
      </w:r>
    </w:p>
    <w:p w14:paraId="3A5F90C4" w14:textId="77777777" w:rsidR="00C5314E" w:rsidRPr="00ED7E61" w:rsidRDefault="00C5314E" w:rsidP="00C5314E">
      <w:pPr>
        <w:pStyle w:val="CBDNormalNumber"/>
        <w:numPr>
          <w:ilvl w:val="0"/>
          <w:numId w:val="56"/>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(impacts of fisheries) </w:t>
      </w:r>
      <w:r w:rsidRPr="00ED7E61">
        <w:rPr>
          <w:rStyle w:val="normaltextrun"/>
        </w:rPr>
        <w:t> </w:t>
      </w:r>
    </w:p>
    <w:p w14:paraId="7F418717"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Target 6. 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r w:rsidRPr="00AE4B3F">
        <w:rPr>
          <w:rStyle w:val="normaltextrun"/>
          <w:rFonts w:asciiTheme="majorBidi" w:eastAsiaTheme="majorEastAsia" w:hAnsiTheme="majorBidi" w:cstheme="majorBidi"/>
        </w:rPr>
        <w:t> </w:t>
      </w:r>
    </w:p>
    <w:p w14:paraId="0FE88009" w14:textId="77777777" w:rsidR="00C5314E" w:rsidRPr="00ED7E61" w:rsidRDefault="00C5314E" w:rsidP="00C5314E">
      <w:pPr>
        <w:pStyle w:val="CBDNormalNumber"/>
        <w:tabs>
          <w:tab w:val="clear" w:pos="567"/>
          <w:tab w:val="clear" w:pos="1134"/>
          <w:tab w:val="clear" w:pos="1701"/>
          <w:tab w:val="clear" w:pos="2268"/>
          <w:tab w:val="left" w:pos="1985"/>
        </w:tabs>
        <w:ind w:left="1134"/>
        <w:rPr>
          <w:rStyle w:val="normaltextrun"/>
          <w:rFonts w:eastAsiaTheme="majorEastAsia"/>
        </w:rPr>
      </w:pPr>
      <w:r>
        <w:rPr>
          <w:rStyle w:val="normaltextrun"/>
          <w:rFonts w:asciiTheme="majorBidi" w:eastAsiaTheme="majorEastAsia" w:hAnsiTheme="majorBidi" w:cstheme="majorBidi"/>
        </w:rPr>
        <w:t xml:space="preserve">(a) </w:t>
      </w:r>
      <w:r w:rsidRPr="00ED7E61">
        <w:rPr>
          <w:rStyle w:val="normaltextrun"/>
          <w:rFonts w:asciiTheme="majorBidi" w:eastAsiaTheme="majorEastAsia" w:hAnsiTheme="majorBidi" w:cstheme="majorBidi"/>
        </w:rPr>
        <w:t>Red List Index (impacts of invasive alien species)</w:t>
      </w:r>
    </w:p>
    <w:p w14:paraId="6584845A" w14:textId="77777777" w:rsidR="00C5314E" w:rsidRPr="00AE4B3F" w:rsidRDefault="00C5314E" w:rsidP="00AE4B3F">
      <w:pPr>
        <w:pStyle w:val="CBDNormalNumber"/>
        <w:numPr>
          <w:ilvl w:val="0"/>
          <w:numId w:val="49"/>
        </w:numPr>
        <w:rPr>
          <w:rStyle w:val="normaltextrun"/>
          <w:rFonts w:eastAsiaTheme="majorEastAsia"/>
        </w:rPr>
      </w:pPr>
      <w:r w:rsidRPr="00ED7E61">
        <w:rPr>
          <w:rStyle w:val="normaltextrun"/>
          <w:rFonts w:asciiTheme="majorBidi" w:eastAsiaTheme="majorEastAsia" w:hAnsiTheme="majorBidi" w:cstheme="majorBidi"/>
        </w:rPr>
        <w:t>Target 7. 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r w:rsidRPr="00AE4B3F">
        <w:rPr>
          <w:rStyle w:val="normaltextrun"/>
        </w:rPr>
        <w:t> </w:t>
      </w:r>
    </w:p>
    <w:p w14:paraId="27D65B8B" w14:textId="77777777" w:rsidR="00C5314E" w:rsidRPr="00ED7E61" w:rsidRDefault="00C5314E" w:rsidP="00C5314E">
      <w:pPr>
        <w:pStyle w:val="CBDNormalNumber"/>
        <w:numPr>
          <w:ilvl w:val="1"/>
          <w:numId w:val="34"/>
        </w:numPr>
        <w:tabs>
          <w:tab w:val="clear" w:pos="567"/>
          <w:tab w:val="clear" w:pos="1134"/>
          <w:tab w:val="clear" w:pos="1701"/>
          <w:tab w:val="clear" w:pos="2268"/>
          <w:tab w:val="left" w:pos="1418"/>
          <w:tab w:val="left" w:pos="1985"/>
        </w:tabs>
        <w:rPr>
          <w:rFonts w:asciiTheme="majorBidi" w:hAnsiTheme="majorBidi" w:cstheme="majorBidi"/>
        </w:rPr>
      </w:pPr>
      <w:r w:rsidRPr="00ED7E61">
        <w:rPr>
          <w:rStyle w:val="normaltextrun"/>
          <w:rFonts w:asciiTheme="majorBidi" w:eastAsiaTheme="majorEastAsia" w:hAnsiTheme="majorBidi" w:cstheme="majorBidi"/>
        </w:rPr>
        <w:t>Red List Index (impacts of pollution)</w:t>
      </w:r>
    </w:p>
    <w:p w14:paraId="6582BE15"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r w:rsidRPr="00AE4B3F">
        <w:rPr>
          <w:rStyle w:val="normaltextrun"/>
          <w:rFonts w:asciiTheme="majorBidi" w:eastAsiaTheme="majorEastAsia" w:hAnsiTheme="majorBidi" w:cstheme="majorBidi"/>
        </w:rPr>
        <w:t> </w:t>
      </w:r>
    </w:p>
    <w:p w14:paraId="63C31C9E" w14:textId="77777777" w:rsidR="00C5314E" w:rsidRPr="00ED7E61" w:rsidRDefault="00C5314E" w:rsidP="00C5314E">
      <w:pPr>
        <w:pStyle w:val="CBDNormalNumber"/>
        <w:numPr>
          <w:ilvl w:val="0"/>
          <w:numId w:val="57"/>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(species used for food and medicine)</w:t>
      </w:r>
    </w:p>
    <w:p w14:paraId="4F2DD64E" w14:textId="77777777" w:rsidR="00C5314E" w:rsidRPr="00ED7E61" w:rsidRDefault="00C5314E" w:rsidP="00C5314E">
      <w:pPr>
        <w:pStyle w:val="CBDNormalNumber"/>
        <w:numPr>
          <w:ilvl w:val="0"/>
          <w:numId w:val="57"/>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(impacts of fisheries)</w:t>
      </w:r>
      <w:r w:rsidRPr="00ED7E61">
        <w:rPr>
          <w:rStyle w:val="normaltextrun"/>
        </w:rPr>
        <w:t> </w:t>
      </w:r>
    </w:p>
    <w:p w14:paraId="2C83404F" w14:textId="77777777" w:rsidR="00C5314E" w:rsidRPr="00ED7E61" w:rsidRDefault="00C5314E" w:rsidP="00C5314E">
      <w:pPr>
        <w:pStyle w:val="CBDNormalNumber"/>
        <w:numPr>
          <w:ilvl w:val="0"/>
          <w:numId w:val="57"/>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(impact of utilization) </w:t>
      </w:r>
      <w:r w:rsidRPr="00ED7E61">
        <w:rPr>
          <w:rStyle w:val="normaltextrun"/>
        </w:rPr>
        <w:t> </w:t>
      </w:r>
    </w:p>
    <w:p w14:paraId="4246E599"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Target 10. 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r w:rsidRPr="00AE4B3F">
        <w:rPr>
          <w:rStyle w:val="normaltextrun"/>
          <w:rFonts w:asciiTheme="majorBidi" w:eastAsiaTheme="majorEastAsia" w:hAnsiTheme="majorBidi" w:cstheme="majorBidi"/>
        </w:rPr>
        <w:t> </w:t>
      </w:r>
    </w:p>
    <w:p w14:paraId="34E302B0" w14:textId="77777777" w:rsidR="00C5314E" w:rsidRPr="00ED7E61" w:rsidRDefault="00C5314E" w:rsidP="00C5314E">
      <w:pPr>
        <w:pStyle w:val="CBDNormalNumber"/>
        <w:numPr>
          <w:ilvl w:val="0"/>
          <w:numId w:val="58"/>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(pollinating species), this is listed as a Complementary indicator</w:t>
      </w:r>
      <w:r w:rsidRPr="00ED7E61">
        <w:rPr>
          <w:rStyle w:val="normaltextrun"/>
        </w:rPr>
        <w:t> </w:t>
      </w:r>
    </w:p>
    <w:p w14:paraId="03EAE731" w14:textId="77777777" w:rsidR="00C5314E" w:rsidRPr="00ED7E61" w:rsidRDefault="00C5314E" w:rsidP="00C5314E">
      <w:pPr>
        <w:pStyle w:val="CBDNormalNumber"/>
        <w:numPr>
          <w:ilvl w:val="0"/>
          <w:numId w:val="58"/>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(wild relatives of domesticated species)</w:t>
      </w:r>
      <w:r w:rsidRPr="00ED7E61">
        <w:rPr>
          <w:rStyle w:val="normaltextrun"/>
        </w:rPr>
        <w:t> </w:t>
      </w:r>
    </w:p>
    <w:p w14:paraId="65B400B1" w14:textId="77777777" w:rsidR="00C5314E" w:rsidRPr="00ED7E61" w:rsidRDefault="00C5314E" w:rsidP="00C5314E">
      <w:pPr>
        <w:pStyle w:val="CBDNormalNumber"/>
        <w:numPr>
          <w:ilvl w:val="0"/>
          <w:numId w:val="58"/>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(impacts of agriculture)</w:t>
      </w:r>
      <w:r w:rsidRPr="00ED7E61">
        <w:rPr>
          <w:rStyle w:val="normaltextrun"/>
        </w:rPr>
        <w:t> </w:t>
      </w:r>
    </w:p>
    <w:p w14:paraId="458B617D" w14:textId="77777777" w:rsidR="00C5314E" w:rsidRPr="00ED7E61" w:rsidRDefault="00C5314E" w:rsidP="00C5314E">
      <w:pPr>
        <w:pStyle w:val="CBDNormalNumber"/>
        <w:numPr>
          <w:ilvl w:val="0"/>
          <w:numId w:val="58"/>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Red List Index (impacts of fisheries)</w:t>
      </w:r>
      <w:r w:rsidRPr="00ED7E61">
        <w:rPr>
          <w:rStyle w:val="normaltextrun"/>
        </w:rPr>
        <w:t> </w:t>
      </w:r>
    </w:p>
    <w:p w14:paraId="0F27D46D" w14:textId="77777777" w:rsidR="00C5314E" w:rsidRPr="00ED7E61" w:rsidRDefault="00C5314E" w:rsidP="00C5314E">
      <w:pPr>
        <w:pStyle w:val="CBDNormalNumber"/>
        <w:numPr>
          <w:ilvl w:val="0"/>
          <w:numId w:val="58"/>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lastRenderedPageBreak/>
        <w:t>Red List Index (forest specialist species)</w:t>
      </w:r>
      <w:r w:rsidRPr="00ED7E61">
        <w:rPr>
          <w:rStyle w:val="normaltextrun"/>
        </w:rPr>
        <w:t> </w:t>
      </w:r>
    </w:p>
    <w:p w14:paraId="060D0F2D"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Target 21. 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14 in accordance with national legislation.</w:t>
      </w:r>
      <w:r w:rsidRPr="00AE4B3F">
        <w:rPr>
          <w:rStyle w:val="normaltextrun"/>
          <w:rFonts w:asciiTheme="majorBidi" w:eastAsiaTheme="majorEastAsia" w:hAnsiTheme="majorBidi" w:cstheme="majorBidi"/>
        </w:rPr>
        <w:t> </w:t>
      </w:r>
    </w:p>
    <w:p w14:paraId="3E0BDFF4" w14:textId="77777777" w:rsidR="00C5314E" w:rsidRPr="00ED7E61" w:rsidRDefault="00C5314E" w:rsidP="00C5314E">
      <w:pPr>
        <w:pStyle w:val="CBDNormalNumber"/>
        <w:numPr>
          <w:ilvl w:val="0"/>
          <w:numId w:val="59"/>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 xml:space="preserve">Proportion of known species assessed through the IUCN Red List </w:t>
      </w:r>
    </w:p>
    <w:p w14:paraId="689B6CBA" w14:textId="77777777" w:rsidR="00C5314E" w:rsidRPr="00ED7E61" w:rsidRDefault="00C5314E" w:rsidP="00C5314E">
      <w:pPr>
        <w:pStyle w:val="CBDNormalNumber"/>
        <w:numPr>
          <w:ilvl w:val="0"/>
          <w:numId w:val="59"/>
        </w:numPr>
        <w:tabs>
          <w:tab w:val="clear" w:pos="567"/>
          <w:tab w:val="clear" w:pos="1134"/>
          <w:tab w:val="clear" w:pos="2268"/>
          <w:tab w:val="left" w:pos="1985"/>
        </w:tabs>
        <w:ind w:firstLine="558"/>
        <w:rPr>
          <w:rStyle w:val="normaltextrun"/>
          <w:rFonts w:eastAsiaTheme="majorEastAsia"/>
        </w:rPr>
      </w:pPr>
      <w:r w:rsidRPr="00ED7E61">
        <w:rPr>
          <w:rStyle w:val="normaltextrun"/>
          <w:rFonts w:asciiTheme="majorBidi" w:eastAsiaTheme="majorEastAsia" w:hAnsiTheme="majorBidi" w:cstheme="majorBidi"/>
        </w:rPr>
        <w:t>Number of assessments on the IUCN Red List of threatened species</w:t>
      </w:r>
      <w:r w:rsidRPr="00ED7E61">
        <w:rPr>
          <w:rStyle w:val="normaltextrun"/>
        </w:rPr>
        <w:t> </w:t>
      </w:r>
    </w:p>
    <w:p w14:paraId="2DA71AA6"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7EB62E8A" w14:textId="77777777" w:rsidR="00C5314E" w:rsidRPr="00ED7E61" w:rsidRDefault="00C5314E" w:rsidP="00C5314E">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2E2454FA" w14:textId="77777777"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International Union for Conservation of Nature (IUCN)</w:t>
      </w:r>
      <w:r w:rsidRPr="00AE4B3F">
        <w:rPr>
          <w:rStyle w:val="normaltextrun"/>
          <w:rFonts w:asciiTheme="majorBidi" w:eastAsiaTheme="majorEastAsia" w:hAnsiTheme="majorBidi" w:cstheme="majorBidi"/>
        </w:rPr>
        <w:t> </w:t>
      </w:r>
    </w:p>
    <w:p w14:paraId="42DCC393" w14:textId="11302EC3" w:rsidR="00C5314E" w:rsidRPr="00AE4B3F" w:rsidRDefault="00C5314E" w:rsidP="00AE4B3F">
      <w:pPr>
        <w:pStyle w:val="CBDNormalNumber"/>
        <w:numPr>
          <w:ilvl w:val="0"/>
          <w:numId w:val="49"/>
        </w:numPr>
        <w:rPr>
          <w:rStyle w:val="normaltextrun"/>
          <w:rFonts w:asciiTheme="majorBidi" w:eastAsiaTheme="majorEastAsia" w:hAnsiTheme="majorBidi" w:cstheme="majorBidi"/>
        </w:rPr>
      </w:pPr>
      <w:proofErr w:type="spellStart"/>
      <w:r w:rsidRPr="00ED7E61">
        <w:rPr>
          <w:rStyle w:val="normaltextrun"/>
          <w:rFonts w:asciiTheme="majorBidi" w:eastAsiaTheme="majorEastAsia" w:hAnsiTheme="majorBidi" w:cstheme="majorBidi"/>
        </w:rPr>
        <w:t>BirdLife</w:t>
      </w:r>
      <w:proofErr w:type="spellEnd"/>
      <w:r w:rsidRPr="00ED7E61">
        <w:rPr>
          <w:rStyle w:val="normaltextrun"/>
          <w:rFonts w:asciiTheme="majorBidi" w:eastAsiaTheme="majorEastAsia" w:hAnsiTheme="majorBidi" w:cstheme="majorBidi"/>
        </w:rPr>
        <w:t xml:space="preserve"> International</w:t>
      </w:r>
    </w:p>
    <w:p w14:paraId="2A47C68E" w14:textId="77777777" w:rsidR="00C5314E" w:rsidRPr="00ED7E61" w:rsidRDefault="00C5314E" w:rsidP="00C5314E">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1E98FB7F" w14:textId="77777777" w:rsidR="00C5314E" w:rsidRPr="00ED7E61" w:rsidRDefault="00C5314E" w:rsidP="00C5314E">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Dr Thomas Brooks (</w:t>
      </w:r>
      <w:hyperlink r:id="rId66" w:tgtFrame="_blank" w:history="1">
        <w:r w:rsidRPr="00ED7E61">
          <w:rPr>
            <w:rStyle w:val="normaltextrun"/>
            <w:rFonts w:asciiTheme="majorBidi" w:eastAsiaTheme="majorEastAsia" w:hAnsiTheme="majorBidi" w:cstheme="majorBidi"/>
            <w:color w:val="467886"/>
            <w:sz w:val="22"/>
            <w:szCs w:val="22"/>
            <w:u w:val="single"/>
            <w:lang w:val="en-GB"/>
          </w:rPr>
          <w:t>thomas.brooks@iucn.org</w:t>
        </w:r>
      </w:hyperlink>
      <w:r w:rsidRPr="00ED7E61">
        <w:rPr>
          <w:rStyle w:val="normaltextrun"/>
          <w:rFonts w:asciiTheme="majorBidi" w:eastAsiaTheme="majorEastAsia"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6DF4FCAB" w14:textId="77777777" w:rsidR="00C5314E" w:rsidRPr="00ED7E61" w:rsidRDefault="00C5314E" w:rsidP="00C5314E">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Dr Stuart Butchart (</w:t>
      </w:r>
      <w:hyperlink r:id="rId67" w:tgtFrame="_blank" w:history="1">
        <w:r w:rsidRPr="00ED7E61">
          <w:rPr>
            <w:rStyle w:val="normaltextrun"/>
            <w:rFonts w:asciiTheme="majorBidi" w:eastAsiaTheme="majorEastAsia" w:hAnsiTheme="majorBidi" w:cstheme="majorBidi"/>
            <w:color w:val="467886"/>
            <w:sz w:val="22"/>
            <w:szCs w:val="22"/>
            <w:u w:val="single"/>
            <w:lang w:val="en-GB"/>
          </w:rPr>
          <w:t>stuart.butchart@birdlife.org</w:t>
        </w:r>
      </w:hyperlink>
      <w:r w:rsidRPr="00ED7E61">
        <w:rPr>
          <w:rStyle w:val="normaltextrun"/>
          <w:rFonts w:asciiTheme="majorBidi" w:eastAsiaTheme="majorEastAsia"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6A8E1B8A" w14:textId="77777777" w:rsidR="00C5314E" w:rsidRPr="00ED7E61" w:rsidRDefault="00C5314E" w:rsidP="00C5314E">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w:t>
      </w:r>
      <w:r w:rsidRPr="00ED7E61">
        <w:rPr>
          <w:rStyle w:val="eop"/>
          <w:rFonts w:asciiTheme="majorBidi" w:eastAsiaTheme="majorEastAsia" w:hAnsiTheme="majorBidi" w:cstheme="majorBidi"/>
          <w:sz w:val="22"/>
          <w:szCs w:val="22"/>
        </w:rPr>
        <w:t> </w:t>
      </w:r>
    </w:p>
    <w:p w14:paraId="68C35ADE" w14:textId="77777777" w:rsidR="00C5314E" w:rsidRPr="00ED7E61" w:rsidRDefault="00C5314E" w:rsidP="00C5314E">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Website:</w:t>
      </w:r>
      <w:r w:rsidRPr="00ED7E61">
        <w:rPr>
          <w:rStyle w:val="eop"/>
          <w:rFonts w:asciiTheme="majorBidi" w:eastAsiaTheme="majorEastAsia" w:hAnsiTheme="majorBidi" w:cstheme="majorBidi"/>
          <w:sz w:val="22"/>
          <w:szCs w:val="22"/>
        </w:rPr>
        <w:t> </w:t>
      </w:r>
    </w:p>
    <w:p w14:paraId="2981D968" w14:textId="77777777" w:rsidR="00C5314E" w:rsidRPr="00ED7E61" w:rsidRDefault="00C5314E" w:rsidP="00C5314E">
      <w:pPr>
        <w:pStyle w:val="paragraph"/>
        <w:spacing w:before="0" w:beforeAutospacing="0" w:after="0" w:afterAutospacing="0"/>
        <w:ind w:left="567"/>
        <w:textAlignment w:val="baseline"/>
        <w:rPr>
          <w:rFonts w:asciiTheme="majorBidi" w:hAnsiTheme="majorBidi" w:cstheme="majorBidi"/>
          <w:sz w:val="22"/>
          <w:szCs w:val="22"/>
        </w:rPr>
      </w:pPr>
      <w:hyperlink r:id="rId68" w:tgtFrame="_blank" w:history="1">
        <w:r w:rsidRPr="00ED7E61">
          <w:rPr>
            <w:rStyle w:val="normaltextrun"/>
            <w:rFonts w:asciiTheme="majorBidi" w:eastAsiaTheme="majorEastAsia" w:hAnsiTheme="majorBidi" w:cstheme="majorBidi"/>
            <w:color w:val="467886"/>
            <w:sz w:val="22"/>
            <w:szCs w:val="22"/>
            <w:u w:val="single"/>
            <w:lang w:val="en-GB"/>
          </w:rPr>
          <w:t>https://www.iucn.org/assessment/red-list-index</w:t>
        </w:r>
      </w:hyperlink>
      <w:r w:rsidRPr="00ED7E61">
        <w:rPr>
          <w:rStyle w:val="normaltextrun"/>
          <w:rFonts w:asciiTheme="majorBidi" w:eastAsiaTheme="majorEastAsia" w:hAnsiTheme="majorBidi" w:cstheme="majorBidi"/>
          <w:sz w:val="22"/>
          <w:szCs w:val="22"/>
        </w:rPr>
        <w:t xml:space="preserve"> ; </w:t>
      </w:r>
      <w:r w:rsidRPr="00ED7E61">
        <w:rPr>
          <w:rStyle w:val="eop"/>
          <w:rFonts w:asciiTheme="majorBidi" w:eastAsiaTheme="majorEastAsia" w:hAnsiTheme="majorBidi" w:cstheme="majorBidi"/>
          <w:sz w:val="22"/>
          <w:szCs w:val="22"/>
        </w:rPr>
        <w:t> </w:t>
      </w:r>
    </w:p>
    <w:p w14:paraId="757E2DB0" w14:textId="77777777" w:rsidR="00C5314E" w:rsidRPr="00ED7E61" w:rsidRDefault="00C5314E" w:rsidP="00C5314E">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References:</w:t>
      </w:r>
      <w:r w:rsidRPr="00ED7E61">
        <w:rPr>
          <w:rStyle w:val="eop"/>
          <w:rFonts w:asciiTheme="majorBidi" w:eastAsiaTheme="majorEastAsia" w:hAnsiTheme="majorBidi" w:cstheme="majorBidi"/>
          <w:sz w:val="22"/>
          <w:szCs w:val="22"/>
        </w:rPr>
        <w:t> </w:t>
      </w:r>
    </w:p>
    <w:p w14:paraId="04ABC103" w14:textId="77777777" w:rsidR="00C5314E" w:rsidRPr="00ED7E61" w:rsidRDefault="00C5314E" w:rsidP="00C5314E">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These metadata are based on </w:t>
      </w:r>
      <w:hyperlink r:id="rId69" w:tgtFrame="_blank" w:history="1">
        <w:r w:rsidRPr="00ED7E61">
          <w:rPr>
            <w:rStyle w:val="normaltextrun"/>
            <w:rFonts w:asciiTheme="majorBidi" w:eastAsiaTheme="majorEastAsia" w:hAnsiTheme="majorBidi" w:cstheme="majorBidi"/>
          </w:rPr>
          <w:t>http://mdgs.un.org/unsd/mi/wiki/7-7-Proportion-of-species-threatened-with-extinction.ashx</w:t>
        </w:r>
      </w:hyperlink>
      <w:r w:rsidRPr="00ED7E61">
        <w:rPr>
          <w:rStyle w:val="normaltextrun"/>
          <w:rFonts w:asciiTheme="majorBidi" w:eastAsiaTheme="majorEastAsia" w:hAnsiTheme="majorBidi" w:cstheme="majorBidi"/>
        </w:rPr>
        <w:t xml:space="preserve">, supplemented by </w:t>
      </w:r>
      <w:hyperlink r:id="rId70" w:tgtFrame="_blank" w:history="1">
        <w:r w:rsidRPr="00ED7E61">
          <w:rPr>
            <w:rStyle w:val="normaltextrun"/>
            <w:rFonts w:asciiTheme="majorBidi" w:eastAsiaTheme="majorEastAsia" w:hAnsiTheme="majorBidi" w:cstheme="majorBidi"/>
          </w:rPr>
          <w:t>http://www.bipindicators.net/rli/2010</w:t>
        </w:r>
      </w:hyperlink>
      <w:r w:rsidRPr="00ED7E61">
        <w:rPr>
          <w:rStyle w:val="normaltextrun"/>
          <w:rFonts w:asciiTheme="majorBidi" w:eastAsiaTheme="majorEastAsia" w:hAnsiTheme="majorBidi" w:cstheme="majorBidi"/>
        </w:rPr>
        <w:t xml:space="preserve"> and the references listed below.</w:t>
      </w:r>
      <w:r w:rsidRPr="00ED7E61">
        <w:rPr>
          <w:rStyle w:val="normaltextrun"/>
        </w:rPr>
        <w:t> </w:t>
      </w:r>
    </w:p>
    <w:p w14:paraId="4C183E2C" w14:textId="77777777" w:rsidR="00C5314E" w:rsidRPr="00165F0E" w:rsidRDefault="00C5314E" w:rsidP="00C5314E">
      <w:pPr>
        <w:pStyle w:val="CBDNormalNumber"/>
        <w:rPr>
          <w:rFonts w:asciiTheme="majorBidi" w:eastAsiaTheme="majorEastAsia" w:hAnsiTheme="majorBidi" w:cstheme="majorBidi"/>
        </w:rPr>
      </w:pPr>
      <w:proofErr w:type="spellStart"/>
      <w:r w:rsidRPr="000A3ABD">
        <w:rPr>
          <w:rFonts w:asciiTheme="majorBidi" w:hAnsiTheme="majorBidi" w:cstheme="majorBidi"/>
          <w:lang w:val="fr-FR"/>
        </w:rPr>
        <w:t>Akçakaya</w:t>
      </w:r>
      <w:proofErr w:type="spellEnd"/>
      <w:r w:rsidRPr="000A3ABD">
        <w:rPr>
          <w:rFonts w:asciiTheme="majorBidi" w:hAnsiTheme="majorBidi" w:cstheme="majorBidi"/>
          <w:lang w:val="fr-FR"/>
        </w:rPr>
        <w:t xml:space="preserve">, H. R. et al. </w:t>
      </w:r>
      <w:r w:rsidRPr="00165F0E">
        <w:rPr>
          <w:rFonts w:asciiTheme="majorBidi" w:hAnsiTheme="majorBidi" w:cstheme="majorBidi"/>
        </w:rPr>
        <w:t>(2025). A global indicator of species recovery. Conservation Biology 39: e70077. Available from https://conbio.onlinelibrary.wiley.com/doi/10.1111/cobi.70077</w:t>
      </w:r>
    </w:p>
    <w:p w14:paraId="5915ECA8"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lang w:val="fr-FR"/>
        </w:rPr>
        <w:t xml:space="preserve">Baillie, J. E. M. et al. </w:t>
      </w:r>
      <w:r w:rsidRPr="00ED7E61">
        <w:rPr>
          <w:rStyle w:val="normaltextrun"/>
          <w:rFonts w:asciiTheme="majorBidi" w:eastAsiaTheme="majorEastAsia" w:hAnsiTheme="majorBidi" w:cstheme="majorBidi"/>
        </w:rPr>
        <w:t xml:space="preserve">(2004). 2004 IUCN Red List of Threatened Species: a Global Species Assessment. IUCN, Gland, Switzerland and Cambridge, United Kingdom. Available from </w:t>
      </w:r>
      <w:hyperlink r:id="rId71" w:tgtFrame="_blank" w:history="1">
        <w:r w:rsidRPr="00ED7E61">
          <w:rPr>
            <w:rStyle w:val="normaltextrun"/>
            <w:rFonts w:asciiTheme="majorBidi" w:eastAsiaTheme="majorEastAsia" w:hAnsiTheme="majorBidi" w:cstheme="majorBidi"/>
          </w:rPr>
          <w:t>https://portals.iucn.org/library/node/9830</w:t>
        </w:r>
      </w:hyperlink>
      <w:r w:rsidRPr="00ED7E61">
        <w:rPr>
          <w:rStyle w:val="normaltextrun"/>
          <w:rFonts w:asciiTheme="majorBidi" w:eastAsiaTheme="majorEastAsia" w:hAnsiTheme="majorBidi" w:cstheme="majorBidi"/>
        </w:rPr>
        <w:t>. </w:t>
      </w:r>
      <w:r w:rsidRPr="00ED7E61">
        <w:rPr>
          <w:rStyle w:val="normaltextrun"/>
        </w:rPr>
        <w:t> </w:t>
      </w:r>
    </w:p>
    <w:p w14:paraId="3924DE98"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lang w:val="fr-FR"/>
        </w:rPr>
        <w:t xml:space="preserve">Brooks, T. M. et al. </w:t>
      </w:r>
      <w:r w:rsidRPr="00ED7E61">
        <w:rPr>
          <w:rStyle w:val="normaltextrun"/>
          <w:rFonts w:asciiTheme="majorBidi" w:eastAsiaTheme="majorEastAsia" w:hAnsiTheme="majorBidi" w:cstheme="majorBidi"/>
        </w:rPr>
        <w:t xml:space="preserve">(2015). Harnessing biodiversity and conservation knowledge products to track the Aichi Targets and Sustainable Development Goals. Biodiversity 16: 157–174. Available from </w:t>
      </w:r>
      <w:hyperlink r:id="rId72" w:tgtFrame="_blank" w:history="1">
        <w:r w:rsidRPr="00ED7E61">
          <w:rPr>
            <w:rStyle w:val="normaltextrun"/>
            <w:rFonts w:asciiTheme="majorBidi" w:eastAsiaTheme="majorEastAsia" w:hAnsiTheme="majorBidi" w:cstheme="majorBidi"/>
          </w:rPr>
          <w:t>http://www.tandfonline.com/doi/pdf/10.1080/14888386.2015.1075903</w:t>
        </w:r>
      </w:hyperlink>
      <w:r w:rsidRPr="00ED7E61">
        <w:rPr>
          <w:rStyle w:val="normaltextrun"/>
          <w:rFonts w:asciiTheme="majorBidi" w:eastAsiaTheme="majorEastAsia" w:hAnsiTheme="majorBidi" w:cstheme="majorBidi"/>
        </w:rPr>
        <w:t>. </w:t>
      </w:r>
      <w:r w:rsidRPr="00ED7E61">
        <w:rPr>
          <w:rStyle w:val="normaltextrun"/>
        </w:rPr>
        <w:t> </w:t>
      </w:r>
    </w:p>
    <w:p w14:paraId="567C46D5" w14:textId="77777777" w:rsidR="00C5314E" w:rsidRPr="00ED7E61" w:rsidRDefault="00C5314E" w:rsidP="00C5314E">
      <w:pPr>
        <w:pStyle w:val="CBDNormalNumber"/>
        <w:ind w:left="567"/>
        <w:rPr>
          <w:rStyle w:val="normaltextrun"/>
          <w:rFonts w:eastAsiaTheme="majorEastAsia"/>
        </w:rPr>
      </w:pPr>
      <w:r w:rsidRPr="00B3383B">
        <w:rPr>
          <w:rStyle w:val="normaltextrun"/>
          <w:rFonts w:asciiTheme="majorBidi" w:eastAsiaTheme="majorEastAsia" w:hAnsiTheme="majorBidi" w:cstheme="majorBidi"/>
          <w:lang w:val="en-CA"/>
        </w:rPr>
        <w:t xml:space="preserve">Bubb, P.J. et al. </w:t>
      </w:r>
      <w:r w:rsidRPr="00ED7E61">
        <w:rPr>
          <w:rStyle w:val="normaltextrun"/>
          <w:rFonts w:asciiTheme="majorBidi" w:eastAsiaTheme="majorEastAsia" w:hAnsiTheme="majorBidi" w:cstheme="majorBidi"/>
        </w:rPr>
        <w:t xml:space="preserve">(2009). IUCN Red List Index - Guidance for National and Regional Use. IUCN, Gland, Switzerland. Available from </w:t>
      </w:r>
      <w:hyperlink r:id="rId73" w:tgtFrame="_blank" w:history="1">
        <w:r w:rsidRPr="00ED7E61">
          <w:rPr>
            <w:rStyle w:val="normaltextrun"/>
            <w:rFonts w:asciiTheme="majorBidi" w:eastAsiaTheme="majorEastAsia" w:hAnsiTheme="majorBidi" w:cstheme="majorBidi"/>
          </w:rPr>
          <w:t>https://portals.iucn.org/library/node/9321</w:t>
        </w:r>
      </w:hyperlink>
      <w:r w:rsidRPr="00ED7E61">
        <w:rPr>
          <w:rStyle w:val="normaltextrun"/>
          <w:rFonts w:asciiTheme="majorBidi" w:eastAsiaTheme="majorEastAsia" w:hAnsiTheme="majorBidi" w:cstheme="majorBidi"/>
        </w:rPr>
        <w:t>.</w:t>
      </w:r>
      <w:r w:rsidRPr="00ED7E61">
        <w:rPr>
          <w:rStyle w:val="normaltextrun"/>
        </w:rPr>
        <w:t> </w:t>
      </w:r>
    </w:p>
    <w:p w14:paraId="78B63C82"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Butchart, S. H. M. (2008). Red List Indices to measure the sustainability of species use and impacts of invasive alien species. Bird Conservation International 18 (suppl.): 245–262. Available from </w:t>
      </w:r>
      <w:hyperlink r:id="rId74" w:tgtFrame="_blank" w:history="1">
        <w:r w:rsidRPr="00ED7E61">
          <w:rPr>
            <w:rStyle w:val="normaltextrun"/>
            <w:rFonts w:asciiTheme="majorBidi" w:eastAsiaTheme="majorEastAsia" w:hAnsiTheme="majorBidi" w:cstheme="majorBidi"/>
          </w:rPr>
          <w:t>http://journals.cambridge.org/action/displayJournal?jid=BCI</w:t>
        </w:r>
      </w:hyperlink>
      <w:r w:rsidRPr="00ED7E61">
        <w:rPr>
          <w:rStyle w:val="normaltextrun"/>
          <w:rFonts w:asciiTheme="majorBidi" w:eastAsiaTheme="majorEastAsia" w:hAnsiTheme="majorBidi" w:cstheme="majorBidi"/>
        </w:rPr>
        <w:t>. </w:t>
      </w:r>
      <w:r w:rsidRPr="00ED7E61">
        <w:rPr>
          <w:rStyle w:val="normaltextrun"/>
        </w:rPr>
        <w:t> </w:t>
      </w:r>
    </w:p>
    <w:p w14:paraId="023C2CFC" w14:textId="77777777" w:rsidR="00C5314E" w:rsidRPr="00ED7E61" w:rsidRDefault="00C5314E" w:rsidP="00C5314E">
      <w:pPr>
        <w:pStyle w:val="CBDNormalNumber"/>
        <w:ind w:left="567"/>
        <w:rPr>
          <w:rStyle w:val="normaltextrun"/>
          <w:rFonts w:eastAsiaTheme="majorEastAsia"/>
        </w:rPr>
      </w:pPr>
      <w:r w:rsidRPr="00B3383B">
        <w:rPr>
          <w:rStyle w:val="normaltextrun"/>
          <w:rFonts w:asciiTheme="majorBidi" w:eastAsiaTheme="majorEastAsia" w:hAnsiTheme="majorBidi" w:cstheme="majorBidi"/>
        </w:rPr>
        <w:t xml:space="preserve">Butchart, S. H. M. et al. </w:t>
      </w:r>
      <w:r w:rsidRPr="00ED7E61">
        <w:rPr>
          <w:rStyle w:val="normaltextrun"/>
          <w:rFonts w:asciiTheme="majorBidi" w:eastAsiaTheme="majorEastAsia" w:hAnsiTheme="majorBidi" w:cstheme="majorBidi"/>
        </w:rPr>
        <w:t xml:space="preserve">(2004). Measuring global trends in the status of biodiversity: Red List Indices for birds. </w:t>
      </w:r>
      <w:proofErr w:type="spellStart"/>
      <w:r w:rsidRPr="00ED7E61">
        <w:rPr>
          <w:rStyle w:val="normaltextrun"/>
          <w:rFonts w:asciiTheme="majorBidi" w:eastAsiaTheme="majorEastAsia" w:hAnsiTheme="majorBidi" w:cstheme="majorBidi"/>
        </w:rPr>
        <w:t>PLoS</w:t>
      </w:r>
      <w:proofErr w:type="spellEnd"/>
      <w:r w:rsidRPr="00ED7E61">
        <w:rPr>
          <w:rStyle w:val="normaltextrun"/>
          <w:rFonts w:asciiTheme="majorBidi" w:eastAsiaTheme="majorEastAsia" w:hAnsiTheme="majorBidi" w:cstheme="majorBidi"/>
        </w:rPr>
        <w:t xml:space="preserve"> Biology 2(12): e383. Available from </w:t>
      </w:r>
      <w:hyperlink r:id="rId75" w:tgtFrame="_blank" w:history="1">
        <w:r w:rsidRPr="00ED7E61">
          <w:rPr>
            <w:rStyle w:val="normaltextrun"/>
            <w:rFonts w:asciiTheme="majorBidi" w:eastAsiaTheme="majorEastAsia" w:hAnsiTheme="majorBidi" w:cstheme="majorBidi"/>
          </w:rPr>
          <w:t>http://www.plosbiology.org/article/info:doi/10.1371/journal.pbio.0020383</w:t>
        </w:r>
      </w:hyperlink>
      <w:r w:rsidRPr="00ED7E61">
        <w:rPr>
          <w:rStyle w:val="normaltextrun"/>
          <w:rFonts w:asciiTheme="majorBidi" w:eastAsiaTheme="majorEastAsia" w:hAnsiTheme="majorBidi" w:cstheme="majorBidi"/>
        </w:rPr>
        <w:t>. </w:t>
      </w:r>
      <w:r w:rsidRPr="00ED7E61">
        <w:rPr>
          <w:rStyle w:val="normaltextrun"/>
        </w:rPr>
        <w:t> </w:t>
      </w:r>
    </w:p>
    <w:p w14:paraId="5996666F"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lang w:val="fr-FR"/>
        </w:rPr>
        <w:t xml:space="preserve">Butchart, S. H. M. et al. </w:t>
      </w:r>
      <w:r w:rsidRPr="00ED7E61">
        <w:rPr>
          <w:rStyle w:val="normaltextrun"/>
          <w:rFonts w:asciiTheme="majorBidi" w:eastAsiaTheme="majorEastAsia" w:hAnsiTheme="majorBidi" w:cstheme="majorBidi"/>
        </w:rPr>
        <w:t xml:space="preserve">(2005). Using Red List Indices to measure progress towards the 2010 target and beyond. Philosophical Transactions of the Royal Society of London B 360: 255–268. Available from </w:t>
      </w:r>
      <w:hyperlink r:id="rId76" w:tgtFrame="_blank" w:history="1">
        <w:r w:rsidRPr="00ED7E61">
          <w:rPr>
            <w:rStyle w:val="normaltextrun"/>
            <w:rFonts w:asciiTheme="majorBidi" w:eastAsiaTheme="majorEastAsia" w:hAnsiTheme="majorBidi" w:cstheme="majorBidi"/>
          </w:rPr>
          <w:t>http://rstb.royalsocietypublishing.org/content/360/1454/255.full</w:t>
        </w:r>
      </w:hyperlink>
      <w:r w:rsidRPr="00ED7E61">
        <w:rPr>
          <w:rStyle w:val="normaltextrun"/>
          <w:rFonts w:asciiTheme="majorBidi" w:eastAsiaTheme="majorEastAsia" w:hAnsiTheme="majorBidi" w:cstheme="majorBidi"/>
        </w:rPr>
        <w:t>. </w:t>
      </w:r>
      <w:r w:rsidRPr="00ED7E61">
        <w:rPr>
          <w:rStyle w:val="normaltextrun"/>
        </w:rPr>
        <w:t> </w:t>
      </w:r>
    </w:p>
    <w:p w14:paraId="79E49494"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lang w:val="fr-FR"/>
        </w:rPr>
        <w:lastRenderedPageBreak/>
        <w:t xml:space="preserve">Butchart, S. H. M. et al. </w:t>
      </w:r>
      <w:r w:rsidRPr="00ED7E61">
        <w:rPr>
          <w:rStyle w:val="normaltextrun"/>
          <w:rFonts w:asciiTheme="majorBidi" w:eastAsiaTheme="majorEastAsia" w:hAnsiTheme="majorBidi" w:cstheme="majorBidi"/>
        </w:rPr>
        <w:t xml:space="preserve">(2006). Biodiversity indicators based on trends in conservation status: strengths of the IUCN Red List Index. Conservation Biology 20: 579–581. Available from </w:t>
      </w:r>
      <w:hyperlink r:id="rId77" w:tgtFrame="_blank" w:history="1">
        <w:r w:rsidRPr="00ED7E61">
          <w:rPr>
            <w:rStyle w:val="normaltextrun"/>
            <w:rFonts w:asciiTheme="majorBidi" w:eastAsiaTheme="majorEastAsia" w:hAnsiTheme="majorBidi" w:cstheme="majorBidi"/>
          </w:rPr>
          <w:t>http://onlinelibrary.wiley.com/doi/10.1111/j.1523-1739.2006.00410.x/abstract</w:t>
        </w:r>
      </w:hyperlink>
      <w:r w:rsidRPr="00ED7E61">
        <w:rPr>
          <w:rStyle w:val="normaltextrun"/>
          <w:rFonts w:asciiTheme="majorBidi" w:eastAsiaTheme="majorEastAsia" w:hAnsiTheme="majorBidi" w:cstheme="majorBidi"/>
        </w:rPr>
        <w:t>. </w:t>
      </w:r>
      <w:r w:rsidRPr="00ED7E61">
        <w:rPr>
          <w:rStyle w:val="normaltextrun"/>
        </w:rPr>
        <w:t> </w:t>
      </w:r>
    </w:p>
    <w:p w14:paraId="5124E3F5"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lang w:val="fr-FR"/>
        </w:rPr>
        <w:t xml:space="preserve">Butchart, S. H. M. et al. </w:t>
      </w:r>
      <w:r w:rsidRPr="00ED7E61">
        <w:rPr>
          <w:rStyle w:val="normaltextrun"/>
          <w:rFonts w:asciiTheme="majorBidi" w:eastAsiaTheme="majorEastAsia" w:hAnsiTheme="majorBidi" w:cstheme="majorBidi"/>
        </w:rPr>
        <w:t xml:space="preserve">(2007). Improvements to the Red List Index. </w:t>
      </w:r>
      <w:proofErr w:type="spellStart"/>
      <w:r w:rsidRPr="00ED7E61">
        <w:rPr>
          <w:rStyle w:val="normaltextrun"/>
          <w:rFonts w:asciiTheme="majorBidi" w:eastAsiaTheme="majorEastAsia" w:hAnsiTheme="majorBidi" w:cstheme="majorBidi"/>
        </w:rPr>
        <w:t>PLoS</w:t>
      </w:r>
      <w:proofErr w:type="spellEnd"/>
      <w:r w:rsidRPr="00ED7E61">
        <w:rPr>
          <w:rStyle w:val="normaltextrun"/>
          <w:rFonts w:asciiTheme="majorBidi" w:eastAsiaTheme="majorEastAsia" w:hAnsiTheme="majorBidi" w:cstheme="majorBidi"/>
        </w:rPr>
        <w:t xml:space="preserve"> ONE 2(1): e140. Available from </w:t>
      </w:r>
      <w:hyperlink r:id="rId78" w:tgtFrame="_blank" w:history="1">
        <w:r w:rsidRPr="00ED7E61">
          <w:rPr>
            <w:rStyle w:val="normaltextrun"/>
            <w:rFonts w:asciiTheme="majorBidi" w:eastAsiaTheme="majorEastAsia" w:hAnsiTheme="majorBidi" w:cstheme="majorBidi"/>
          </w:rPr>
          <w:t>http://journals.plos.org/plosone/article?id=10.1371/journal.pone.0000140</w:t>
        </w:r>
      </w:hyperlink>
      <w:r w:rsidRPr="00ED7E61">
        <w:rPr>
          <w:rStyle w:val="normaltextrun"/>
          <w:rFonts w:asciiTheme="majorBidi" w:eastAsiaTheme="majorEastAsia" w:hAnsiTheme="majorBidi" w:cstheme="majorBidi"/>
        </w:rPr>
        <w:t>. </w:t>
      </w:r>
      <w:r w:rsidRPr="00ED7E61">
        <w:rPr>
          <w:rStyle w:val="normaltextrun"/>
        </w:rPr>
        <w:t> </w:t>
      </w:r>
    </w:p>
    <w:p w14:paraId="0F4A00F4" w14:textId="77777777" w:rsidR="00C5314E" w:rsidRPr="00B3383B" w:rsidRDefault="00C5314E" w:rsidP="00C5314E">
      <w:pPr>
        <w:pStyle w:val="CBDNormalNumber"/>
        <w:ind w:left="567"/>
        <w:rPr>
          <w:rStyle w:val="normaltextrun"/>
          <w:rFonts w:eastAsiaTheme="majorEastAsia"/>
          <w:lang w:val="fr-FR"/>
        </w:rPr>
      </w:pPr>
      <w:r w:rsidRPr="00ED7E61">
        <w:rPr>
          <w:rStyle w:val="normaltextrun"/>
          <w:rFonts w:asciiTheme="majorBidi" w:eastAsiaTheme="majorEastAsia" w:hAnsiTheme="majorBidi" w:cstheme="majorBidi"/>
          <w:lang w:val="fr-FR"/>
        </w:rPr>
        <w:t xml:space="preserve">Butchart, S. H. M. et al. </w:t>
      </w:r>
      <w:r w:rsidRPr="00ED7E61">
        <w:rPr>
          <w:rStyle w:val="normaltextrun"/>
          <w:rFonts w:asciiTheme="majorBidi" w:eastAsiaTheme="majorEastAsia" w:hAnsiTheme="majorBidi" w:cstheme="majorBidi"/>
        </w:rPr>
        <w:t xml:space="preserve">(2010). Global biodiversity: indicators of recent declines. </w:t>
      </w:r>
      <w:r w:rsidRPr="00B3383B">
        <w:rPr>
          <w:rStyle w:val="normaltextrun"/>
          <w:rFonts w:asciiTheme="majorBidi" w:eastAsiaTheme="majorEastAsia" w:hAnsiTheme="majorBidi" w:cstheme="majorBidi"/>
          <w:lang w:val="fr-FR"/>
        </w:rPr>
        <w:t xml:space="preserve">Science </w:t>
      </w:r>
      <w:proofErr w:type="gramStart"/>
      <w:r w:rsidRPr="00B3383B">
        <w:rPr>
          <w:rStyle w:val="normaltextrun"/>
          <w:rFonts w:asciiTheme="majorBidi" w:eastAsiaTheme="majorEastAsia" w:hAnsiTheme="majorBidi" w:cstheme="majorBidi"/>
          <w:lang w:val="fr-FR"/>
        </w:rPr>
        <w:t>328:</w:t>
      </w:r>
      <w:proofErr w:type="gramEnd"/>
      <w:r w:rsidRPr="00B3383B">
        <w:rPr>
          <w:rStyle w:val="normaltextrun"/>
          <w:rFonts w:asciiTheme="majorBidi" w:eastAsiaTheme="majorEastAsia" w:hAnsiTheme="majorBidi" w:cstheme="majorBidi"/>
          <w:lang w:val="fr-FR"/>
        </w:rPr>
        <w:t xml:space="preserve"> 1164–1168. </w:t>
      </w:r>
      <w:proofErr w:type="spellStart"/>
      <w:r w:rsidRPr="00B3383B">
        <w:rPr>
          <w:rStyle w:val="normaltextrun"/>
          <w:rFonts w:asciiTheme="majorBidi" w:eastAsiaTheme="majorEastAsia" w:hAnsiTheme="majorBidi" w:cstheme="majorBidi"/>
          <w:lang w:val="fr-FR"/>
        </w:rPr>
        <w:t>Available</w:t>
      </w:r>
      <w:proofErr w:type="spellEnd"/>
      <w:r w:rsidRPr="00B3383B">
        <w:rPr>
          <w:rStyle w:val="normaltextrun"/>
          <w:rFonts w:asciiTheme="majorBidi" w:eastAsiaTheme="majorEastAsia" w:hAnsiTheme="majorBidi" w:cstheme="majorBidi"/>
          <w:lang w:val="fr-FR"/>
        </w:rPr>
        <w:t xml:space="preserve"> </w:t>
      </w:r>
      <w:proofErr w:type="spellStart"/>
      <w:r w:rsidRPr="00B3383B">
        <w:rPr>
          <w:rStyle w:val="normaltextrun"/>
          <w:rFonts w:asciiTheme="majorBidi" w:eastAsiaTheme="majorEastAsia" w:hAnsiTheme="majorBidi" w:cstheme="majorBidi"/>
          <w:lang w:val="fr-FR"/>
        </w:rPr>
        <w:t>from</w:t>
      </w:r>
      <w:proofErr w:type="spellEnd"/>
      <w:r w:rsidRPr="00B3383B">
        <w:rPr>
          <w:rStyle w:val="normaltextrun"/>
          <w:rFonts w:asciiTheme="majorBidi" w:eastAsiaTheme="majorEastAsia" w:hAnsiTheme="majorBidi" w:cstheme="majorBidi"/>
          <w:lang w:val="fr-FR"/>
        </w:rPr>
        <w:t xml:space="preserve"> </w:t>
      </w:r>
      <w:hyperlink r:id="rId79" w:tgtFrame="_blank" w:history="1">
        <w:r w:rsidRPr="00B3383B">
          <w:rPr>
            <w:rStyle w:val="normaltextrun"/>
            <w:rFonts w:asciiTheme="majorBidi" w:eastAsiaTheme="majorEastAsia" w:hAnsiTheme="majorBidi" w:cstheme="majorBidi"/>
            <w:lang w:val="fr-FR"/>
          </w:rPr>
          <w:t>http://www.sciencemag.org/content/328/5982/1164.short</w:t>
        </w:r>
      </w:hyperlink>
      <w:r w:rsidRPr="00B3383B">
        <w:rPr>
          <w:rStyle w:val="normaltextrun"/>
          <w:rFonts w:asciiTheme="majorBidi" w:eastAsiaTheme="majorEastAsia" w:hAnsiTheme="majorBidi" w:cstheme="majorBidi"/>
          <w:lang w:val="fr-FR"/>
        </w:rPr>
        <w:t>. </w:t>
      </w:r>
      <w:r w:rsidRPr="00B3383B">
        <w:rPr>
          <w:rStyle w:val="normaltextrun"/>
          <w:lang w:val="fr-FR"/>
        </w:rPr>
        <w:t> </w:t>
      </w:r>
    </w:p>
    <w:p w14:paraId="2513470A" w14:textId="77777777" w:rsidR="00C5314E" w:rsidRPr="00525F8B" w:rsidRDefault="00C5314E" w:rsidP="00C5314E">
      <w:pPr>
        <w:pStyle w:val="CBDNormalNumber"/>
        <w:ind w:left="567"/>
        <w:rPr>
          <w:rStyle w:val="normaltextrun"/>
          <w:rFonts w:eastAsiaTheme="majorEastAsia"/>
          <w:lang w:val="fr-FR"/>
        </w:rPr>
      </w:pPr>
      <w:r w:rsidRPr="00ED7E61">
        <w:rPr>
          <w:rStyle w:val="normaltextrun"/>
          <w:rFonts w:asciiTheme="majorBidi" w:eastAsiaTheme="majorEastAsia" w:hAnsiTheme="majorBidi" w:cstheme="majorBidi"/>
          <w:lang w:val="fr-FR"/>
        </w:rPr>
        <w:t xml:space="preserve">Butchart, S. H. M. et al. </w:t>
      </w:r>
      <w:r w:rsidRPr="00ED7E61">
        <w:rPr>
          <w:rStyle w:val="normaltextrun"/>
          <w:rFonts w:asciiTheme="majorBidi" w:eastAsiaTheme="majorEastAsia" w:hAnsiTheme="majorBidi" w:cstheme="majorBidi"/>
        </w:rPr>
        <w:t xml:space="preserve">(2024) Measuring trends in extinction risk: a review of two decades of development and application of the Red List Index. </w:t>
      </w:r>
      <w:r w:rsidRPr="00525F8B">
        <w:rPr>
          <w:rStyle w:val="normaltextrun"/>
          <w:rFonts w:asciiTheme="majorBidi" w:eastAsiaTheme="majorEastAsia" w:hAnsiTheme="majorBidi" w:cstheme="majorBidi"/>
          <w:lang w:val="fr-FR"/>
        </w:rPr>
        <w:t xml:space="preserve">Phil. Trans. Roy. Soc. </w:t>
      </w:r>
      <w:proofErr w:type="gramStart"/>
      <w:r w:rsidRPr="00525F8B">
        <w:rPr>
          <w:rStyle w:val="normaltextrun"/>
          <w:rFonts w:asciiTheme="majorBidi" w:eastAsiaTheme="majorEastAsia" w:hAnsiTheme="majorBidi" w:cstheme="majorBidi"/>
          <w:lang w:val="fr-FR"/>
        </w:rPr>
        <w:t>DOI:</w:t>
      </w:r>
      <w:proofErr w:type="gramEnd"/>
      <w:r w:rsidRPr="00525F8B">
        <w:rPr>
          <w:rStyle w:val="normaltextrun"/>
          <w:rFonts w:asciiTheme="majorBidi" w:eastAsiaTheme="majorEastAsia" w:hAnsiTheme="majorBidi" w:cstheme="majorBidi"/>
          <w:lang w:val="fr-FR"/>
        </w:rPr>
        <w:t xml:space="preserve"> 10.1098/rstb.2023-0206.</w:t>
      </w:r>
      <w:r w:rsidRPr="00525F8B">
        <w:rPr>
          <w:rStyle w:val="normaltextrun"/>
          <w:lang w:val="fr-FR"/>
        </w:rPr>
        <w:t> </w:t>
      </w:r>
    </w:p>
    <w:p w14:paraId="6F991F86"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lang w:val="fr-FR"/>
        </w:rPr>
        <w:t xml:space="preserve">Carpenter, K. E. et al. </w:t>
      </w:r>
      <w:r w:rsidRPr="00ED7E61">
        <w:rPr>
          <w:rStyle w:val="normaltextrun"/>
          <w:rFonts w:asciiTheme="majorBidi" w:eastAsiaTheme="majorEastAsia" w:hAnsiTheme="majorBidi" w:cstheme="majorBidi"/>
        </w:rPr>
        <w:t xml:space="preserve">(2008). One-third of reef-building corals face elevated extinction risk from climate change and local impacts. Science 321: 560–563. Available from </w:t>
      </w:r>
      <w:hyperlink r:id="rId80" w:tgtFrame="_blank" w:history="1">
        <w:r w:rsidRPr="00ED7E61">
          <w:rPr>
            <w:rStyle w:val="normaltextrun"/>
            <w:rFonts w:asciiTheme="majorBidi" w:eastAsiaTheme="majorEastAsia" w:hAnsiTheme="majorBidi" w:cstheme="majorBidi"/>
          </w:rPr>
          <w:t>http://www.sciencemag.org/content/321/5888/560.short</w:t>
        </w:r>
      </w:hyperlink>
      <w:r w:rsidRPr="00ED7E61">
        <w:rPr>
          <w:rStyle w:val="normaltextrun"/>
          <w:rFonts w:asciiTheme="majorBidi" w:eastAsiaTheme="majorEastAsia" w:hAnsiTheme="majorBidi" w:cstheme="majorBidi"/>
        </w:rPr>
        <w:t>. </w:t>
      </w:r>
      <w:r w:rsidRPr="00ED7E61">
        <w:rPr>
          <w:rStyle w:val="normaltextrun"/>
        </w:rPr>
        <w:t> </w:t>
      </w:r>
    </w:p>
    <w:p w14:paraId="605B502A"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CBD (2014). Global Biodiversity Outlook 4. Convention on Biological Diversity, Montréal, Canada. Available from </w:t>
      </w:r>
      <w:hyperlink r:id="rId81" w:tgtFrame="_blank" w:history="1">
        <w:r w:rsidRPr="00ED7E61">
          <w:rPr>
            <w:rStyle w:val="normaltextrun"/>
            <w:rFonts w:asciiTheme="majorBidi" w:eastAsiaTheme="majorEastAsia" w:hAnsiTheme="majorBidi" w:cstheme="majorBidi"/>
          </w:rPr>
          <w:t>https://www.cbd.int/gbo4/</w:t>
        </w:r>
      </w:hyperlink>
      <w:r w:rsidRPr="00ED7E61">
        <w:rPr>
          <w:rStyle w:val="normaltextrun"/>
          <w:rFonts w:asciiTheme="majorBidi" w:eastAsiaTheme="majorEastAsia" w:hAnsiTheme="majorBidi" w:cstheme="majorBidi"/>
        </w:rPr>
        <w:t>. </w:t>
      </w:r>
      <w:r w:rsidRPr="00ED7E61">
        <w:rPr>
          <w:rStyle w:val="normaltextrun"/>
        </w:rPr>
        <w:t> </w:t>
      </w:r>
    </w:p>
    <w:p w14:paraId="2A1F3818"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CBD (2020a). Global Biodiversity Outlook 5. Convention on Biological Diversity, Montréal, Canada. Available from </w:t>
      </w:r>
      <w:hyperlink r:id="rId82" w:tgtFrame="_blank" w:history="1">
        <w:r w:rsidRPr="00ED7E61">
          <w:rPr>
            <w:rStyle w:val="normaltextrun"/>
            <w:rFonts w:asciiTheme="majorBidi" w:eastAsiaTheme="majorEastAsia" w:hAnsiTheme="majorBidi" w:cstheme="majorBidi"/>
          </w:rPr>
          <w:t>https://www.cbd.int/gbo5/</w:t>
        </w:r>
      </w:hyperlink>
      <w:r w:rsidRPr="00ED7E61">
        <w:rPr>
          <w:rStyle w:val="normaltextrun"/>
          <w:rFonts w:asciiTheme="majorBidi" w:eastAsiaTheme="majorEastAsia" w:hAnsiTheme="majorBidi" w:cstheme="majorBidi"/>
        </w:rPr>
        <w:t>. </w:t>
      </w:r>
      <w:r w:rsidRPr="00ED7E61">
        <w:rPr>
          <w:rStyle w:val="normaltextrun"/>
        </w:rPr>
        <w:t> </w:t>
      </w:r>
    </w:p>
    <w:p w14:paraId="0AB7CC96"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CBD (2022). Decision adopted by the Conference of the Parties to the Convention on Biological Diversity. Document CBD/COP/DEC/15/5. Available at: </w:t>
      </w:r>
      <w:hyperlink r:id="rId83" w:tgtFrame="_blank" w:history="1">
        <w:r w:rsidRPr="00ED7E61">
          <w:rPr>
            <w:rStyle w:val="normaltextrun"/>
            <w:rFonts w:asciiTheme="majorBidi" w:eastAsiaTheme="majorEastAsia" w:hAnsiTheme="majorBidi" w:cstheme="majorBidi"/>
          </w:rPr>
          <w:t>https://www.cbd.int/doc/decisions/cop-15/cop-15-dec-05-en.pdf</w:t>
        </w:r>
      </w:hyperlink>
      <w:r w:rsidRPr="00ED7E61">
        <w:rPr>
          <w:rStyle w:val="normaltextrun"/>
        </w:rPr>
        <w:t> </w:t>
      </w:r>
    </w:p>
    <w:p w14:paraId="48303E21" w14:textId="77777777" w:rsidR="00C5314E" w:rsidRPr="00B3383B" w:rsidRDefault="00C5314E" w:rsidP="00C5314E">
      <w:pPr>
        <w:pStyle w:val="CBDNormalNumber"/>
        <w:ind w:left="567"/>
        <w:rPr>
          <w:rStyle w:val="normaltextrun"/>
          <w:rFonts w:eastAsiaTheme="majorEastAsia"/>
          <w:lang w:val="fr-FR"/>
        </w:rPr>
      </w:pPr>
      <w:r w:rsidRPr="00F53E05">
        <w:rPr>
          <w:rStyle w:val="normaltextrun"/>
          <w:rFonts w:asciiTheme="majorBidi" w:eastAsiaTheme="majorEastAsia" w:hAnsiTheme="majorBidi" w:cstheme="majorBidi"/>
          <w:lang w:val="fr-FR"/>
        </w:rPr>
        <w:t xml:space="preserve">Dias, M.P, Simkins, A.T., &amp; </w:t>
      </w:r>
      <w:proofErr w:type="spellStart"/>
      <w:r w:rsidRPr="00F53E05">
        <w:rPr>
          <w:rStyle w:val="normaltextrun"/>
          <w:rFonts w:asciiTheme="majorBidi" w:eastAsiaTheme="majorEastAsia" w:hAnsiTheme="majorBidi" w:cstheme="majorBidi"/>
          <w:lang w:val="fr-FR"/>
        </w:rPr>
        <w:t>Pearmain</w:t>
      </w:r>
      <w:proofErr w:type="spellEnd"/>
      <w:r w:rsidRPr="00F53E05">
        <w:rPr>
          <w:rStyle w:val="normaltextrun"/>
          <w:rFonts w:asciiTheme="majorBidi" w:eastAsiaTheme="majorEastAsia" w:hAnsiTheme="majorBidi" w:cstheme="majorBidi"/>
          <w:lang w:val="fr-FR"/>
        </w:rPr>
        <w:t xml:space="preserve">, E.J. (2020). </w:t>
      </w:r>
      <w:r w:rsidRPr="00ED7E61">
        <w:rPr>
          <w:rStyle w:val="normaltextrun"/>
          <w:rFonts w:asciiTheme="majorBidi" w:eastAsiaTheme="majorEastAsia" w:hAnsiTheme="majorBidi" w:cstheme="majorBidi"/>
        </w:rPr>
        <w:t xml:space="preserve">Code (and documentation) for calculating and plotting national RLIs weighted by the proportion of each species’ distribution within a country or region. </w:t>
      </w:r>
      <w:proofErr w:type="spellStart"/>
      <w:r w:rsidRPr="00B3383B">
        <w:rPr>
          <w:rStyle w:val="normaltextrun"/>
          <w:rFonts w:asciiTheme="majorBidi" w:eastAsiaTheme="majorEastAsia" w:hAnsiTheme="majorBidi" w:cstheme="majorBidi"/>
          <w:lang w:val="fr-FR"/>
        </w:rPr>
        <w:t>Available</w:t>
      </w:r>
      <w:proofErr w:type="spellEnd"/>
      <w:r w:rsidRPr="00B3383B">
        <w:rPr>
          <w:rStyle w:val="normaltextrun"/>
          <w:rFonts w:asciiTheme="majorBidi" w:eastAsiaTheme="majorEastAsia" w:hAnsiTheme="majorBidi" w:cstheme="majorBidi"/>
          <w:lang w:val="fr-FR"/>
        </w:rPr>
        <w:t xml:space="preserve"> </w:t>
      </w:r>
      <w:proofErr w:type="gramStart"/>
      <w:r w:rsidRPr="00B3383B">
        <w:rPr>
          <w:rStyle w:val="normaltextrun"/>
          <w:rFonts w:asciiTheme="majorBidi" w:eastAsiaTheme="majorEastAsia" w:hAnsiTheme="majorBidi" w:cstheme="majorBidi"/>
          <w:lang w:val="fr-FR"/>
        </w:rPr>
        <w:t>at:</w:t>
      </w:r>
      <w:proofErr w:type="gramEnd"/>
      <w:r w:rsidRPr="00B3383B">
        <w:rPr>
          <w:rStyle w:val="normaltextrun"/>
          <w:rFonts w:asciiTheme="majorBidi" w:eastAsiaTheme="majorEastAsia" w:hAnsiTheme="majorBidi" w:cstheme="majorBidi"/>
          <w:lang w:val="fr-FR"/>
        </w:rPr>
        <w:t xml:space="preserve"> </w:t>
      </w:r>
      <w:hyperlink r:id="rId84" w:tgtFrame="_blank" w:history="1">
        <w:r w:rsidRPr="00B3383B">
          <w:rPr>
            <w:rStyle w:val="normaltextrun"/>
            <w:rFonts w:asciiTheme="majorBidi" w:eastAsiaTheme="majorEastAsia" w:hAnsiTheme="majorBidi" w:cstheme="majorBidi"/>
            <w:lang w:val="fr-FR"/>
          </w:rPr>
          <w:t>https://github.com/BirdLifeInternational/rli-codes</w:t>
        </w:r>
      </w:hyperlink>
      <w:r w:rsidRPr="00B3383B">
        <w:rPr>
          <w:rStyle w:val="normaltextrun"/>
          <w:rFonts w:asciiTheme="majorBidi" w:eastAsiaTheme="majorEastAsia" w:hAnsiTheme="majorBidi" w:cstheme="majorBidi"/>
          <w:lang w:val="fr-FR"/>
        </w:rPr>
        <w:t>. </w:t>
      </w:r>
      <w:r w:rsidRPr="00B3383B">
        <w:rPr>
          <w:rStyle w:val="normaltextrun"/>
          <w:lang w:val="fr-FR"/>
        </w:rPr>
        <w:t> </w:t>
      </w:r>
    </w:p>
    <w:p w14:paraId="7DCC5532"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lang w:val="fr-FR"/>
        </w:rPr>
        <w:t xml:space="preserve">Croxall, J. P. et al. </w:t>
      </w:r>
      <w:r w:rsidRPr="00ED7E61">
        <w:rPr>
          <w:rStyle w:val="normaltextrun"/>
          <w:rFonts w:asciiTheme="majorBidi" w:eastAsiaTheme="majorEastAsia" w:hAnsiTheme="majorBidi" w:cstheme="majorBidi"/>
        </w:rPr>
        <w:t>(2012). Seabird conservation status, threats and priority actions: a global assessment. Bird Conservation International 22: 1–34. </w:t>
      </w:r>
      <w:r w:rsidRPr="00ED7E61">
        <w:rPr>
          <w:rStyle w:val="normaltextrun"/>
        </w:rPr>
        <w:t> </w:t>
      </w:r>
    </w:p>
    <w:p w14:paraId="22ED5DDF" w14:textId="77777777" w:rsidR="00C5314E" w:rsidRPr="00ED7E61" w:rsidRDefault="00C5314E" w:rsidP="00C5314E">
      <w:pPr>
        <w:pStyle w:val="CBDNormalNumber"/>
        <w:ind w:left="567"/>
        <w:rPr>
          <w:rStyle w:val="normaltextrun"/>
          <w:rFonts w:eastAsiaTheme="majorEastAsia"/>
        </w:rPr>
      </w:pPr>
      <w:proofErr w:type="spellStart"/>
      <w:r w:rsidRPr="00ED7E61">
        <w:rPr>
          <w:rStyle w:val="normaltextrun"/>
          <w:rFonts w:asciiTheme="majorBidi" w:eastAsiaTheme="majorEastAsia" w:hAnsiTheme="majorBidi" w:cstheme="majorBidi"/>
        </w:rPr>
        <w:t>Gardenfors</w:t>
      </w:r>
      <w:proofErr w:type="spellEnd"/>
      <w:r w:rsidRPr="00ED7E61">
        <w:rPr>
          <w:rStyle w:val="normaltextrun"/>
          <w:rFonts w:asciiTheme="majorBidi" w:eastAsiaTheme="majorEastAsia" w:hAnsiTheme="majorBidi" w:cstheme="majorBidi"/>
        </w:rPr>
        <w:t xml:space="preserve">, U. (ed.) (2010). </w:t>
      </w:r>
      <w:proofErr w:type="spellStart"/>
      <w:r w:rsidRPr="00ED7E61">
        <w:rPr>
          <w:rStyle w:val="normaltextrun"/>
          <w:rFonts w:asciiTheme="majorBidi" w:eastAsiaTheme="majorEastAsia" w:hAnsiTheme="majorBidi" w:cstheme="majorBidi"/>
        </w:rPr>
        <w:t>Rödlistade</w:t>
      </w:r>
      <w:proofErr w:type="spellEnd"/>
      <w:r w:rsidRPr="00ED7E61">
        <w:rPr>
          <w:rStyle w:val="normaltextrun"/>
          <w:rFonts w:asciiTheme="majorBidi" w:eastAsiaTheme="majorEastAsia" w:hAnsiTheme="majorBidi" w:cstheme="majorBidi"/>
        </w:rPr>
        <w:t xml:space="preserve"> </w:t>
      </w:r>
      <w:proofErr w:type="spellStart"/>
      <w:r w:rsidRPr="00ED7E61">
        <w:rPr>
          <w:rStyle w:val="normaltextrun"/>
          <w:rFonts w:asciiTheme="majorBidi" w:eastAsiaTheme="majorEastAsia" w:hAnsiTheme="majorBidi" w:cstheme="majorBidi"/>
        </w:rPr>
        <w:t>arter</w:t>
      </w:r>
      <w:proofErr w:type="spellEnd"/>
      <w:r w:rsidRPr="00ED7E61">
        <w:rPr>
          <w:rStyle w:val="normaltextrun"/>
          <w:rFonts w:asciiTheme="majorBidi" w:eastAsiaTheme="majorEastAsia" w:hAnsiTheme="majorBidi" w:cstheme="majorBidi"/>
        </w:rPr>
        <w:t xml:space="preserve"> </w:t>
      </w:r>
      <w:proofErr w:type="spellStart"/>
      <w:r w:rsidRPr="00ED7E61">
        <w:rPr>
          <w:rStyle w:val="normaltextrun"/>
          <w:rFonts w:asciiTheme="majorBidi" w:eastAsiaTheme="majorEastAsia" w:hAnsiTheme="majorBidi" w:cstheme="majorBidi"/>
        </w:rPr>
        <w:t>i</w:t>
      </w:r>
      <w:proofErr w:type="spellEnd"/>
      <w:r w:rsidRPr="00ED7E61">
        <w:rPr>
          <w:rStyle w:val="normaltextrun"/>
          <w:rFonts w:asciiTheme="majorBidi" w:eastAsiaTheme="majorEastAsia" w:hAnsiTheme="majorBidi" w:cstheme="majorBidi"/>
        </w:rPr>
        <w:t xml:space="preserve"> Sverige 2010 – The 2010 Red List of Swedish Species. </w:t>
      </w:r>
      <w:proofErr w:type="spellStart"/>
      <w:r w:rsidRPr="00ED7E61">
        <w:rPr>
          <w:rStyle w:val="normaltextrun"/>
          <w:rFonts w:asciiTheme="majorBidi" w:eastAsiaTheme="majorEastAsia" w:hAnsiTheme="majorBidi" w:cstheme="majorBidi"/>
        </w:rPr>
        <w:t>ArtDatabanken</w:t>
      </w:r>
      <w:proofErr w:type="spellEnd"/>
      <w:r w:rsidRPr="00ED7E61">
        <w:rPr>
          <w:rStyle w:val="normaltextrun"/>
          <w:rFonts w:asciiTheme="majorBidi" w:eastAsiaTheme="majorEastAsia" w:hAnsiTheme="majorBidi" w:cstheme="majorBidi"/>
        </w:rPr>
        <w:t>, SLU, Uppsala.</w:t>
      </w:r>
      <w:r w:rsidRPr="00ED7E61">
        <w:rPr>
          <w:rStyle w:val="normaltextrun"/>
        </w:rPr>
        <w:t> </w:t>
      </w:r>
    </w:p>
    <w:p w14:paraId="0736ED7C"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Han, X. et al. (2014). A Biodiversity indicators dashboard: addressing challenges to monitoring progress towards the Aichi Biodiversity Targets using disaggregated global data. </w:t>
      </w:r>
      <w:proofErr w:type="spellStart"/>
      <w:r w:rsidRPr="00ED7E61">
        <w:rPr>
          <w:rStyle w:val="normaltextrun"/>
          <w:rFonts w:asciiTheme="majorBidi" w:eastAsiaTheme="majorEastAsia" w:hAnsiTheme="majorBidi" w:cstheme="majorBidi"/>
        </w:rPr>
        <w:t>PLoS</w:t>
      </w:r>
      <w:proofErr w:type="spellEnd"/>
      <w:r w:rsidRPr="00ED7E61">
        <w:rPr>
          <w:rStyle w:val="normaltextrun"/>
          <w:rFonts w:asciiTheme="majorBidi" w:eastAsiaTheme="majorEastAsia" w:hAnsiTheme="majorBidi" w:cstheme="majorBidi"/>
        </w:rPr>
        <w:t xml:space="preserve"> ONE 9(11): e112046. Available from </w:t>
      </w:r>
      <w:hyperlink r:id="rId85" w:tgtFrame="_blank" w:history="1">
        <w:r w:rsidRPr="00ED7E61">
          <w:rPr>
            <w:rStyle w:val="normaltextrun"/>
            <w:rFonts w:asciiTheme="majorBidi" w:eastAsiaTheme="majorEastAsia" w:hAnsiTheme="majorBidi" w:cstheme="majorBidi"/>
          </w:rPr>
          <w:t>http://journals.plos.org/plosone/article?id=10.1371/journal.pone.0112046</w:t>
        </w:r>
      </w:hyperlink>
      <w:r w:rsidRPr="00ED7E61">
        <w:rPr>
          <w:rStyle w:val="normaltextrun"/>
          <w:rFonts w:asciiTheme="majorBidi" w:eastAsiaTheme="majorEastAsia" w:hAnsiTheme="majorBidi" w:cstheme="majorBidi"/>
        </w:rPr>
        <w:t>. </w:t>
      </w:r>
      <w:r w:rsidRPr="00ED7E61">
        <w:rPr>
          <w:rStyle w:val="normaltextrun"/>
        </w:rPr>
        <w:t> </w:t>
      </w:r>
    </w:p>
    <w:p w14:paraId="61416DBC" w14:textId="77777777" w:rsidR="00C5314E" w:rsidRPr="00B3383B" w:rsidRDefault="00C5314E" w:rsidP="00C5314E">
      <w:pPr>
        <w:pStyle w:val="CBDNormalNumber"/>
        <w:ind w:left="567"/>
        <w:rPr>
          <w:rStyle w:val="normaltextrun"/>
          <w:rFonts w:eastAsiaTheme="majorEastAsia"/>
          <w:lang w:val="fr-FR"/>
        </w:rPr>
      </w:pPr>
      <w:r w:rsidRPr="00ED7E61">
        <w:rPr>
          <w:rStyle w:val="normaltextrun"/>
          <w:rFonts w:asciiTheme="majorBidi" w:eastAsiaTheme="majorEastAsia" w:hAnsiTheme="majorBidi" w:cstheme="majorBidi"/>
        </w:rPr>
        <w:t xml:space="preserve">Hoffmann, M. et al. (2010). The impact of conservation on the status of the world’s vertebrates. </w:t>
      </w:r>
      <w:r w:rsidRPr="00B3383B">
        <w:rPr>
          <w:rStyle w:val="normaltextrun"/>
          <w:rFonts w:asciiTheme="majorBidi" w:eastAsiaTheme="majorEastAsia" w:hAnsiTheme="majorBidi" w:cstheme="majorBidi"/>
          <w:lang w:val="fr-FR"/>
        </w:rPr>
        <w:t xml:space="preserve">Science </w:t>
      </w:r>
      <w:proofErr w:type="gramStart"/>
      <w:r w:rsidRPr="00B3383B">
        <w:rPr>
          <w:rStyle w:val="normaltextrun"/>
          <w:rFonts w:asciiTheme="majorBidi" w:eastAsiaTheme="majorEastAsia" w:hAnsiTheme="majorBidi" w:cstheme="majorBidi"/>
          <w:lang w:val="fr-FR"/>
        </w:rPr>
        <w:t>330:</w:t>
      </w:r>
      <w:proofErr w:type="gramEnd"/>
      <w:r w:rsidRPr="00B3383B">
        <w:rPr>
          <w:rStyle w:val="normaltextrun"/>
          <w:rFonts w:asciiTheme="majorBidi" w:eastAsiaTheme="majorEastAsia" w:hAnsiTheme="majorBidi" w:cstheme="majorBidi"/>
          <w:lang w:val="fr-FR"/>
        </w:rPr>
        <w:t xml:space="preserve"> 1503–1509. </w:t>
      </w:r>
      <w:proofErr w:type="spellStart"/>
      <w:r w:rsidRPr="00B3383B">
        <w:rPr>
          <w:rStyle w:val="normaltextrun"/>
          <w:rFonts w:asciiTheme="majorBidi" w:eastAsiaTheme="majorEastAsia" w:hAnsiTheme="majorBidi" w:cstheme="majorBidi"/>
          <w:lang w:val="fr-FR"/>
        </w:rPr>
        <w:t>Available</w:t>
      </w:r>
      <w:proofErr w:type="spellEnd"/>
      <w:r w:rsidRPr="00B3383B">
        <w:rPr>
          <w:rStyle w:val="normaltextrun"/>
          <w:rFonts w:asciiTheme="majorBidi" w:eastAsiaTheme="majorEastAsia" w:hAnsiTheme="majorBidi" w:cstheme="majorBidi"/>
          <w:lang w:val="fr-FR"/>
        </w:rPr>
        <w:t xml:space="preserve"> </w:t>
      </w:r>
      <w:proofErr w:type="spellStart"/>
      <w:r w:rsidRPr="00B3383B">
        <w:rPr>
          <w:rStyle w:val="normaltextrun"/>
          <w:rFonts w:asciiTheme="majorBidi" w:eastAsiaTheme="majorEastAsia" w:hAnsiTheme="majorBidi" w:cstheme="majorBidi"/>
          <w:lang w:val="fr-FR"/>
        </w:rPr>
        <w:t>from</w:t>
      </w:r>
      <w:proofErr w:type="spellEnd"/>
      <w:r w:rsidRPr="00B3383B">
        <w:rPr>
          <w:rStyle w:val="normaltextrun"/>
          <w:rFonts w:asciiTheme="majorBidi" w:eastAsiaTheme="majorEastAsia" w:hAnsiTheme="majorBidi" w:cstheme="majorBidi"/>
          <w:lang w:val="fr-FR"/>
        </w:rPr>
        <w:t xml:space="preserve"> </w:t>
      </w:r>
      <w:hyperlink r:id="rId86" w:tgtFrame="_blank" w:history="1">
        <w:r w:rsidRPr="00B3383B">
          <w:rPr>
            <w:rStyle w:val="normaltextrun"/>
            <w:rFonts w:asciiTheme="majorBidi" w:eastAsiaTheme="majorEastAsia" w:hAnsiTheme="majorBidi" w:cstheme="majorBidi"/>
            <w:lang w:val="fr-FR"/>
          </w:rPr>
          <w:t>http://www.sciencemag.org/content/330/6010/1503.short</w:t>
        </w:r>
      </w:hyperlink>
      <w:r w:rsidRPr="00B3383B">
        <w:rPr>
          <w:rStyle w:val="normaltextrun"/>
          <w:rFonts w:asciiTheme="majorBidi" w:eastAsiaTheme="majorEastAsia" w:hAnsiTheme="majorBidi" w:cstheme="majorBidi"/>
          <w:lang w:val="fr-FR"/>
        </w:rPr>
        <w:t>. </w:t>
      </w:r>
      <w:r w:rsidRPr="00B3383B">
        <w:rPr>
          <w:rStyle w:val="normaltextrun"/>
          <w:lang w:val="fr-FR"/>
        </w:rPr>
        <w:t> </w:t>
      </w:r>
    </w:p>
    <w:p w14:paraId="261BAE46" w14:textId="77777777" w:rsidR="00C5314E" w:rsidRPr="00ED7E61" w:rsidRDefault="00C5314E" w:rsidP="00C5314E">
      <w:pPr>
        <w:pStyle w:val="CBDNormalNumber"/>
        <w:ind w:left="567"/>
        <w:rPr>
          <w:rStyle w:val="normaltextrun"/>
          <w:rFonts w:eastAsiaTheme="majorEastAsia"/>
        </w:rPr>
      </w:pPr>
      <w:r w:rsidRPr="00B3383B">
        <w:rPr>
          <w:rStyle w:val="normaltextrun"/>
          <w:rFonts w:asciiTheme="majorBidi" w:eastAsiaTheme="majorEastAsia" w:hAnsiTheme="majorBidi" w:cstheme="majorBidi"/>
          <w:lang w:val="fr-FR"/>
        </w:rPr>
        <w:t xml:space="preserve">Hoffmann, M. et al. </w:t>
      </w:r>
      <w:r w:rsidRPr="00ED7E61">
        <w:rPr>
          <w:rStyle w:val="normaltextrun"/>
          <w:rFonts w:asciiTheme="majorBidi" w:eastAsiaTheme="majorEastAsia" w:hAnsiTheme="majorBidi" w:cstheme="majorBidi"/>
        </w:rPr>
        <w:t xml:space="preserve">(2011). The changing fates of the world’s mammals. Philosophical Transactions of the Royal Society of London B 366: 2598–2610. Available from </w:t>
      </w:r>
      <w:hyperlink r:id="rId87" w:tgtFrame="_blank" w:history="1">
        <w:r w:rsidRPr="00ED7E61">
          <w:rPr>
            <w:rStyle w:val="normaltextrun"/>
            <w:rFonts w:asciiTheme="majorBidi" w:eastAsiaTheme="majorEastAsia" w:hAnsiTheme="majorBidi" w:cstheme="majorBidi"/>
          </w:rPr>
          <w:t>http://rstb.royalsocietypublishing.org/content/366/1578/2598.abstract</w:t>
        </w:r>
      </w:hyperlink>
      <w:r w:rsidRPr="00ED7E61">
        <w:rPr>
          <w:rStyle w:val="normaltextrun"/>
          <w:rFonts w:asciiTheme="majorBidi" w:eastAsiaTheme="majorEastAsia" w:hAnsiTheme="majorBidi" w:cstheme="majorBidi"/>
        </w:rPr>
        <w:t>.  </w:t>
      </w:r>
      <w:r w:rsidRPr="00ED7E61">
        <w:rPr>
          <w:rStyle w:val="normaltextrun"/>
        </w:rPr>
        <w:t> </w:t>
      </w:r>
    </w:p>
    <w:p w14:paraId="0EF97944" w14:textId="1284C6D9"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IUCN SPC (20</w:t>
      </w:r>
      <w:r>
        <w:rPr>
          <w:rStyle w:val="normaltextrun"/>
          <w:rFonts w:asciiTheme="majorBidi" w:eastAsiaTheme="majorEastAsia" w:hAnsiTheme="majorBidi" w:cstheme="majorBidi"/>
        </w:rPr>
        <w:t>24</w:t>
      </w:r>
      <w:r w:rsidRPr="00ED7E61">
        <w:rPr>
          <w:rStyle w:val="normaltextrun"/>
          <w:rFonts w:asciiTheme="majorBidi" w:eastAsiaTheme="majorEastAsia" w:hAnsiTheme="majorBidi" w:cstheme="majorBidi"/>
        </w:rPr>
        <w:t>) Guidelines for Using the IUCN Red List Categories and Criteria. Version 1</w:t>
      </w:r>
      <w:r>
        <w:rPr>
          <w:rStyle w:val="normaltextrun"/>
          <w:rFonts w:asciiTheme="majorBidi" w:eastAsiaTheme="majorEastAsia" w:hAnsiTheme="majorBidi" w:cstheme="majorBidi"/>
        </w:rPr>
        <w:t>6</w:t>
      </w:r>
      <w:r w:rsidRPr="00ED7E61">
        <w:rPr>
          <w:rStyle w:val="normaltextrun"/>
          <w:rFonts w:asciiTheme="majorBidi" w:eastAsiaTheme="majorEastAsia" w:hAnsiTheme="majorBidi" w:cstheme="majorBidi"/>
        </w:rPr>
        <w:t xml:space="preserve">. </w:t>
      </w:r>
      <w:r>
        <w:rPr>
          <w:rStyle w:val="normaltextrun"/>
          <w:rFonts w:asciiTheme="majorBidi" w:eastAsiaTheme="majorEastAsia" w:hAnsiTheme="majorBidi" w:cstheme="majorBidi"/>
        </w:rPr>
        <w:t xml:space="preserve">Prepared by the IUCN </w:t>
      </w:r>
      <w:r w:rsidRPr="00ED7E61">
        <w:rPr>
          <w:rStyle w:val="normaltextrun"/>
          <w:rFonts w:asciiTheme="majorBidi" w:eastAsiaTheme="majorEastAsia" w:hAnsiTheme="majorBidi" w:cstheme="majorBidi"/>
        </w:rPr>
        <w:t xml:space="preserve">Standards and Petitions </w:t>
      </w:r>
      <w:r>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 xml:space="preserve">ommittee. Available from </w:t>
      </w:r>
      <w:hyperlink r:id="rId88" w:tgtFrame="_blank" w:history="1">
        <w:r w:rsidRPr="00ED7E61">
          <w:rPr>
            <w:rStyle w:val="normaltextrun"/>
            <w:rFonts w:asciiTheme="majorBidi" w:eastAsiaTheme="majorEastAsia" w:hAnsiTheme="majorBidi" w:cstheme="majorBidi"/>
          </w:rPr>
          <w:t>http://www.iucnredlist.org/documents/RedListGuidelines.pdf</w:t>
        </w:r>
      </w:hyperlink>
      <w:r w:rsidRPr="00ED7E61">
        <w:rPr>
          <w:rStyle w:val="normaltextrun"/>
          <w:rFonts w:asciiTheme="majorBidi" w:eastAsiaTheme="majorEastAsia" w:hAnsiTheme="majorBidi" w:cstheme="majorBidi"/>
        </w:rPr>
        <w:t>. </w:t>
      </w:r>
      <w:r w:rsidRPr="00ED7E61">
        <w:rPr>
          <w:rStyle w:val="normaltextrun"/>
        </w:rPr>
        <w:t> </w:t>
      </w:r>
    </w:p>
    <w:p w14:paraId="13ADE445"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IUCN (2012a). IUCN Red List Categories and Criteria: Version 3.1. Second edition. International Union for Conservation of Nature, Gland, Switzerland. Available from </w:t>
      </w:r>
      <w:hyperlink r:id="rId89" w:tgtFrame="_blank" w:history="1">
        <w:r w:rsidRPr="00ED7E61">
          <w:rPr>
            <w:rStyle w:val="normaltextrun"/>
            <w:rFonts w:asciiTheme="majorBidi" w:eastAsiaTheme="majorEastAsia" w:hAnsiTheme="majorBidi" w:cstheme="majorBidi"/>
          </w:rPr>
          <w:t>https://portals.iucn.org/library/node/10315</w:t>
        </w:r>
      </w:hyperlink>
      <w:r w:rsidRPr="00ED7E61">
        <w:rPr>
          <w:rStyle w:val="normaltextrun"/>
          <w:rFonts w:asciiTheme="majorBidi" w:eastAsiaTheme="majorEastAsia" w:hAnsiTheme="majorBidi" w:cstheme="majorBidi"/>
        </w:rPr>
        <w:t>. </w:t>
      </w:r>
      <w:r w:rsidRPr="00ED7E61">
        <w:rPr>
          <w:rStyle w:val="normaltextrun"/>
        </w:rPr>
        <w:t> </w:t>
      </w:r>
    </w:p>
    <w:p w14:paraId="111AF83F"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IUCN (2012b). Guidelines for Application of IUCN Red List Criteria at Regional and National Levels: Version 4.0. International Union for Conservation of Nature, Gland, Switzerland. Available from </w:t>
      </w:r>
      <w:hyperlink r:id="rId90" w:tgtFrame="_blank" w:history="1">
        <w:r w:rsidRPr="00ED7E61">
          <w:rPr>
            <w:rStyle w:val="normaltextrun"/>
            <w:rFonts w:asciiTheme="majorBidi" w:eastAsiaTheme="majorEastAsia" w:hAnsiTheme="majorBidi" w:cstheme="majorBidi"/>
          </w:rPr>
          <w:t>https://portals.iucn.org/library/node/10336</w:t>
        </w:r>
      </w:hyperlink>
      <w:r w:rsidRPr="00ED7E61">
        <w:rPr>
          <w:rStyle w:val="normaltextrun"/>
          <w:rFonts w:asciiTheme="majorBidi" w:eastAsiaTheme="majorEastAsia" w:hAnsiTheme="majorBidi" w:cstheme="majorBidi"/>
        </w:rPr>
        <w:t>. </w:t>
      </w:r>
      <w:r w:rsidRPr="00ED7E61">
        <w:rPr>
          <w:rStyle w:val="normaltextrun"/>
        </w:rPr>
        <w:t> </w:t>
      </w:r>
    </w:p>
    <w:p w14:paraId="52B23FCF" w14:textId="388FC1D4"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lastRenderedPageBreak/>
        <w:t xml:space="preserve">IUCN (2013). Documentation Standards and Consistency Checks for IUCN Red List assessments and species accounts. International Union for Conservation of Nature, Gland, Switzerland. Available from </w:t>
      </w:r>
      <w:r w:rsidRPr="00165F0E">
        <w:rPr>
          <w:lang w:val="en-CA"/>
        </w:rPr>
        <w:t>https://www.iucnredlist.org/resources/supporting-information-guidelines</w:t>
      </w:r>
    </w:p>
    <w:p w14:paraId="1B46C783" w14:textId="70F70C67" w:rsidR="00C5314E" w:rsidRPr="00B3383B" w:rsidRDefault="00C5314E" w:rsidP="00C5314E">
      <w:pPr>
        <w:pStyle w:val="CBDNormalNumber"/>
        <w:ind w:left="567"/>
        <w:rPr>
          <w:rStyle w:val="normaltextrun"/>
          <w:rFonts w:eastAsiaTheme="majorEastAsia"/>
          <w:lang w:val="fr-FR"/>
        </w:rPr>
      </w:pPr>
      <w:r w:rsidRPr="00ED7E61">
        <w:rPr>
          <w:rStyle w:val="normaltextrun"/>
          <w:rFonts w:asciiTheme="majorBidi" w:eastAsiaTheme="majorEastAsia" w:hAnsiTheme="majorBidi" w:cstheme="majorBidi"/>
        </w:rPr>
        <w:t>IUCN (20</w:t>
      </w:r>
      <w:r>
        <w:rPr>
          <w:rStyle w:val="normaltextrun"/>
          <w:rFonts w:asciiTheme="majorBidi" w:eastAsiaTheme="majorEastAsia" w:hAnsiTheme="majorBidi" w:cstheme="majorBidi"/>
        </w:rPr>
        <w:t>21</w:t>
      </w:r>
      <w:r w:rsidRPr="00ED7E61">
        <w:rPr>
          <w:rStyle w:val="normaltextrun"/>
          <w:rFonts w:asciiTheme="majorBidi" w:eastAsiaTheme="majorEastAsia" w:hAnsiTheme="majorBidi" w:cstheme="majorBidi"/>
        </w:rPr>
        <w:t xml:space="preserve">). IUCN Red List of Threatened Species. </w:t>
      </w:r>
      <w:r w:rsidRPr="00812871">
        <w:rPr>
          <w:rStyle w:val="normaltextrun"/>
          <w:rFonts w:asciiTheme="majorBidi" w:eastAsiaTheme="majorEastAsia" w:hAnsiTheme="majorBidi" w:cstheme="majorBidi"/>
          <w:lang w:val="fr-FR"/>
        </w:rPr>
        <w:t>Version 2025-</w:t>
      </w:r>
      <w:proofErr w:type="gramStart"/>
      <w:r w:rsidRPr="00812871">
        <w:rPr>
          <w:rStyle w:val="normaltextrun"/>
          <w:rFonts w:asciiTheme="majorBidi" w:eastAsiaTheme="majorEastAsia" w:hAnsiTheme="majorBidi" w:cstheme="majorBidi"/>
          <w:lang w:val="fr-FR"/>
        </w:rPr>
        <w:t>2..</w:t>
      </w:r>
      <w:proofErr w:type="gramEnd"/>
      <w:r w:rsidRPr="00812871">
        <w:rPr>
          <w:rStyle w:val="normaltextrun"/>
          <w:rFonts w:asciiTheme="majorBidi" w:eastAsiaTheme="majorEastAsia" w:hAnsiTheme="majorBidi" w:cstheme="majorBidi"/>
          <w:lang w:val="fr-FR"/>
        </w:rPr>
        <w:t xml:space="preserve"> </w:t>
      </w:r>
      <w:proofErr w:type="spellStart"/>
      <w:r w:rsidRPr="00B3383B">
        <w:rPr>
          <w:rStyle w:val="normaltextrun"/>
          <w:rFonts w:asciiTheme="majorBidi" w:eastAsiaTheme="majorEastAsia" w:hAnsiTheme="majorBidi" w:cstheme="majorBidi"/>
          <w:lang w:val="fr-FR"/>
        </w:rPr>
        <w:t>Available</w:t>
      </w:r>
      <w:proofErr w:type="spellEnd"/>
      <w:r w:rsidRPr="00B3383B">
        <w:rPr>
          <w:rStyle w:val="normaltextrun"/>
          <w:rFonts w:asciiTheme="majorBidi" w:eastAsiaTheme="majorEastAsia" w:hAnsiTheme="majorBidi" w:cstheme="majorBidi"/>
          <w:lang w:val="fr-FR"/>
        </w:rPr>
        <w:t xml:space="preserve"> </w:t>
      </w:r>
      <w:proofErr w:type="spellStart"/>
      <w:r w:rsidRPr="00B3383B">
        <w:rPr>
          <w:rStyle w:val="normaltextrun"/>
          <w:rFonts w:asciiTheme="majorBidi" w:eastAsiaTheme="majorEastAsia" w:hAnsiTheme="majorBidi" w:cstheme="majorBidi"/>
          <w:lang w:val="fr-FR"/>
        </w:rPr>
        <w:t>from</w:t>
      </w:r>
      <w:proofErr w:type="spellEnd"/>
      <w:r w:rsidRPr="00B3383B">
        <w:rPr>
          <w:rStyle w:val="normaltextrun"/>
          <w:rFonts w:asciiTheme="majorBidi" w:eastAsiaTheme="majorEastAsia" w:hAnsiTheme="majorBidi" w:cstheme="majorBidi"/>
          <w:lang w:val="fr-FR"/>
        </w:rPr>
        <w:t xml:space="preserve"> </w:t>
      </w:r>
      <w:hyperlink r:id="rId91" w:history="1">
        <w:r w:rsidRPr="00EA4785">
          <w:rPr>
            <w:rStyle w:val="Hyperlink"/>
            <w:rFonts w:asciiTheme="majorBidi" w:eastAsiaTheme="majorEastAsia" w:hAnsiTheme="majorBidi" w:cstheme="majorBidi"/>
            <w:lang w:val="fr-FR"/>
          </w:rPr>
          <w:t>https://www.iucnredlist.org</w:t>
        </w:r>
      </w:hyperlink>
      <w:r w:rsidRPr="00B3383B">
        <w:rPr>
          <w:rStyle w:val="normaltextrun"/>
          <w:rFonts w:asciiTheme="majorBidi" w:eastAsiaTheme="majorEastAsia" w:hAnsiTheme="majorBidi" w:cstheme="majorBidi"/>
          <w:lang w:val="fr-FR"/>
        </w:rPr>
        <w:t>. </w:t>
      </w:r>
      <w:r w:rsidRPr="00B3383B">
        <w:rPr>
          <w:rStyle w:val="normaltextrun"/>
          <w:lang w:val="fr-FR"/>
        </w:rPr>
        <w:t> </w:t>
      </w:r>
    </w:p>
    <w:p w14:paraId="0560A1DE"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lang w:val="fr-FR"/>
        </w:rPr>
        <w:t xml:space="preserve">Mace, G. M. et al. </w:t>
      </w:r>
      <w:r w:rsidRPr="00ED7E61">
        <w:rPr>
          <w:rStyle w:val="normaltextrun"/>
          <w:rFonts w:asciiTheme="majorBidi" w:eastAsiaTheme="majorEastAsia" w:hAnsiTheme="majorBidi" w:cstheme="majorBidi"/>
        </w:rPr>
        <w:t xml:space="preserve">(2008) Quantification of extinction risk: IUCN’s system for classifying threatened species. Conservation Biology 22: 1424–1442. Available from </w:t>
      </w:r>
      <w:hyperlink r:id="rId92" w:tgtFrame="_blank" w:history="1">
        <w:r w:rsidRPr="00ED7E61">
          <w:rPr>
            <w:rStyle w:val="normaltextrun"/>
            <w:rFonts w:asciiTheme="majorBidi" w:eastAsiaTheme="majorEastAsia" w:hAnsiTheme="majorBidi" w:cstheme="majorBidi"/>
          </w:rPr>
          <w:t>http://onlinelibrary.wiley.com/doi/10.1111/j.1523-1739.2008.01044.x/full</w:t>
        </w:r>
      </w:hyperlink>
      <w:r w:rsidRPr="00ED7E61">
        <w:rPr>
          <w:rStyle w:val="normaltextrun"/>
          <w:rFonts w:asciiTheme="majorBidi" w:eastAsiaTheme="majorEastAsia" w:hAnsiTheme="majorBidi" w:cstheme="majorBidi"/>
        </w:rPr>
        <w:t>. </w:t>
      </w:r>
      <w:r w:rsidRPr="00ED7E61">
        <w:rPr>
          <w:rStyle w:val="normaltextrun"/>
        </w:rPr>
        <w:t> </w:t>
      </w:r>
    </w:p>
    <w:p w14:paraId="672E7ABE"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lang w:val="fr-FR"/>
        </w:rPr>
        <w:t xml:space="preserve">McGeoch, M. A. et al. </w:t>
      </w:r>
      <w:r w:rsidRPr="00ED7E61">
        <w:rPr>
          <w:rStyle w:val="normaltextrun"/>
          <w:rFonts w:asciiTheme="majorBidi" w:eastAsiaTheme="majorEastAsia" w:hAnsiTheme="majorBidi" w:cstheme="majorBidi"/>
        </w:rPr>
        <w:t xml:space="preserve">(2010) Global indicators of biological invasion: species numbers, biodiversity impact and policy responses. Diversity and Distributions 16: 95–108. Available from </w:t>
      </w:r>
      <w:hyperlink r:id="rId93" w:tgtFrame="_blank" w:history="1">
        <w:r w:rsidRPr="00ED7E61">
          <w:rPr>
            <w:rStyle w:val="normaltextrun"/>
            <w:rFonts w:asciiTheme="majorBidi" w:eastAsiaTheme="majorEastAsia" w:hAnsiTheme="majorBidi" w:cstheme="majorBidi"/>
          </w:rPr>
          <w:t>http://onlinelibrary.wiley.com/doi/10.1111/j.1472-4642.2009.00633.x/abstract</w:t>
        </w:r>
      </w:hyperlink>
      <w:r w:rsidRPr="00ED7E61">
        <w:rPr>
          <w:rStyle w:val="normaltextrun"/>
          <w:rFonts w:asciiTheme="majorBidi" w:eastAsiaTheme="majorEastAsia" w:hAnsiTheme="majorBidi" w:cstheme="majorBidi"/>
        </w:rPr>
        <w:t>. </w:t>
      </w:r>
      <w:r w:rsidRPr="00ED7E61">
        <w:rPr>
          <w:rStyle w:val="normaltextrun"/>
        </w:rPr>
        <w:t> </w:t>
      </w:r>
    </w:p>
    <w:p w14:paraId="7D27B498"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Pihl, S. &amp; Flensted, K. N. (2011). A Red List Index for breeding birds in Denmark in the period 1991-2009. Dansk </w:t>
      </w:r>
      <w:proofErr w:type="spellStart"/>
      <w:r w:rsidRPr="00ED7E61">
        <w:rPr>
          <w:rStyle w:val="normaltextrun"/>
          <w:rFonts w:asciiTheme="majorBidi" w:eastAsiaTheme="majorEastAsia" w:hAnsiTheme="majorBidi" w:cstheme="majorBidi"/>
        </w:rPr>
        <w:t>Ornitologisk</w:t>
      </w:r>
      <w:proofErr w:type="spellEnd"/>
      <w:r w:rsidRPr="00ED7E61">
        <w:rPr>
          <w:rStyle w:val="normaltextrun"/>
          <w:rFonts w:asciiTheme="majorBidi" w:eastAsiaTheme="majorEastAsia" w:hAnsiTheme="majorBidi" w:cstheme="majorBidi"/>
        </w:rPr>
        <w:t xml:space="preserve"> </w:t>
      </w:r>
      <w:proofErr w:type="spellStart"/>
      <w:r w:rsidRPr="00ED7E61">
        <w:rPr>
          <w:rStyle w:val="normaltextrun"/>
          <w:rFonts w:asciiTheme="majorBidi" w:eastAsiaTheme="majorEastAsia" w:hAnsiTheme="majorBidi" w:cstheme="majorBidi"/>
        </w:rPr>
        <w:t>Forenings</w:t>
      </w:r>
      <w:proofErr w:type="spellEnd"/>
      <w:r w:rsidRPr="00ED7E61">
        <w:rPr>
          <w:rStyle w:val="normaltextrun"/>
          <w:rFonts w:asciiTheme="majorBidi" w:eastAsiaTheme="majorEastAsia" w:hAnsiTheme="majorBidi" w:cstheme="majorBidi"/>
        </w:rPr>
        <w:t xml:space="preserve"> </w:t>
      </w:r>
      <w:proofErr w:type="spellStart"/>
      <w:r w:rsidRPr="00ED7E61">
        <w:rPr>
          <w:rStyle w:val="normaltextrun"/>
          <w:rFonts w:asciiTheme="majorBidi" w:eastAsiaTheme="majorEastAsia" w:hAnsiTheme="majorBidi" w:cstheme="majorBidi"/>
        </w:rPr>
        <w:t>Tidsskrift</w:t>
      </w:r>
      <w:proofErr w:type="spellEnd"/>
      <w:r w:rsidRPr="00ED7E61">
        <w:rPr>
          <w:rStyle w:val="normaltextrun"/>
          <w:rFonts w:asciiTheme="majorBidi" w:eastAsiaTheme="majorEastAsia" w:hAnsiTheme="majorBidi" w:cstheme="majorBidi"/>
        </w:rPr>
        <w:t xml:space="preserve"> 105: 211-218.</w:t>
      </w:r>
      <w:r w:rsidRPr="00ED7E61">
        <w:rPr>
          <w:rStyle w:val="normaltextrun"/>
        </w:rPr>
        <w:t> </w:t>
      </w:r>
    </w:p>
    <w:p w14:paraId="774828CC" w14:textId="77777777" w:rsidR="00C5314E" w:rsidRPr="00B3383B" w:rsidRDefault="00C5314E" w:rsidP="00C5314E">
      <w:pPr>
        <w:pStyle w:val="CBDNormalNumber"/>
        <w:ind w:left="567"/>
        <w:rPr>
          <w:rStyle w:val="normaltextrun"/>
          <w:rFonts w:eastAsiaTheme="majorEastAsia"/>
          <w:lang w:val="fr-FR"/>
        </w:rPr>
      </w:pPr>
      <w:r w:rsidRPr="00ED7E61">
        <w:rPr>
          <w:rStyle w:val="normaltextrun"/>
          <w:rFonts w:asciiTheme="majorBidi" w:eastAsiaTheme="majorEastAsia" w:hAnsiTheme="majorBidi" w:cstheme="majorBidi"/>
        </w:rPr>
        <w:t>Raimondo, D., et al</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(2022) Using Red List Indices to monitor extinction risk at national scales. </w:t>
      </w:r>
      <w:r w:rsidRPr="00B3383B">
        <w:rPr>
          <w:rStyle w:val="normaltextrun"/>
          <w:rFonts w:asciiTheme="majorBidi" w:eastAsiaTheme="majorEastAsia" w:hAnsiTheme="majorBidi" w:cstheme="majorBidi"/>
          <w:lang w:val="fr-FR"/>
        </w:rPr>
        <w:t xml:space="preserve">Cons </w:t>
      </w:r>
      <w:proofErr w:type="spellStart"/>
      <w:r w:rsidRPr="00B3383B">
        <w:rPr>
          <w:rStyle w:val="normaltextrun"/>
          <w:rFonts w:asciiTheme="majorBidi" w:eastAsiaTheme="majorEastAsia" w:hAnsiTheme="majorBidi" w:cstheme="majorBidi"/>
          <w:lang w:val="fr-FR"/>
        </w:rPr>
        <w:t>Sci</w:t>
      </w:r>
      <w:proofErr w:type="spellEnd"/>
      <w:r w:rsidRPr="00B3383B">
        <w:rPr>
          <w:rStyle w:val="normaltextrun"/>
          <w:rFonts w:asciiTheme="majorBidi" w:eastAsiaTheme="majorEastAsia" w:hAnsiTheme="majorBidi" w:cstheme="majorBidi"/>
          <w:lang w:val="fr-FR"/>
        </w:rPr>
        <w:t xml:space="preserve"> Practice </w:t>
      </w:r>
      <w:proofErr w:type="gramStart"/>
      <w:r w:rsidRPr="00B3383B">
        <w:rPr>
          <w:rStyle w:val="normaltextrun"/>
          <w:rFonts w:asciiTheme="majorBidi" w:eastAsiaTheme="majorEastAsia" w:hAnsiTheme="majorBidi" w:cstheme="majorBidi"/>
          <w:lang w:val="fr-FR"/>
        </w:rPr>
        <w:t>5:</w:t>
      </w:r>
      <w:proofErr w:type="gramEnd"/>
      <w:r w:rsidRPr="00B3383B">
        <w:rPr>
          <w:rStyle w:val="normaltextrun"/>
          <w:rFonts w:asciiTheme="majorBidi" w:eastAsiaTheme="majorEastAsia" w:hAnsiTheme="majorBidi" w:cstheme="majorBidi"/>
          <w:lang w:val="fr-FR"/>
        </w:rPr>
        <w:t xml:space="preserve"> e12854. </w:t>
      </w:r>
      <w:hyperlink r:id="rId94" w:tgtFrame="_blank" w:history="1">
        <w:r w:rsidRPr="00B3383B">
          <w:rPr>
            <w:rStyle w:val="normaltextrun"/>
            <w:rFonts w:asciiTheme="majorBidi" w:eastAsiaTheme="majorEastAsia" w:hAnsiTheme="majorBidi" w:cstheme="majorBidi"/>
            <w:lang w:val="fr-FR"/>
          </w:rPr>
          <w:t>https://doi.org/10.1111/csp2.12854</w:t>
        </w:r>
      </w:hyperlink>
      <w:r w:rsidRPr="00B3383B">
        <w:rPr>
          <w:rStyle w:val="normaltextrun"/>
          <w:rFonts w:asciiTheme="majorBidi" w:eastAsiaTheme="majorEastAsia" w:hAnsiTheme="majorBidi" w:cstheme="majorBidi"/>
          <w:lang w:val="fr-FR"/>
        </w:rPr>
        <w:t> </w:t>
      </w:r>
      <w:r w:rsidRPr="00B3383B">
        <w:rPr>
          <w:rStyle w:val="normaltextrun"/>
          <w:lang w:val="fr-FR"/>
        </w:rPr>
        <w:t> </w:t>
      </w:r>
    </w:p>
    <w:p w14:paraId="2652046F" w14:textId="77777777" w:rsidR="00C5314E" w:rsidRPr="00B3383B" w:rsidRDefault="00C5314E" w:rsidP="00C5314E">
      <w:pPr>
        <w:pStyle w:val="CBDNormalNumber"/>
        <w:ind w:left="567"/>
        <w:rPr>
          <w:rStyle w:val="normaltextrun"/>
          <w:rFonts w:eastAsiaTheme="majorEastAsia"/>
          <w:lang w:val="fr-FR"/>
        </w:rPr>
      </w:pPr>
      <w:r w:rsidRPr="000A3ABD">
        <w:rPr>
          <w:rStyle w:val="normaltextrun"/>
          <w:rFonts w:asciiTheme="majorBidi" w:eastAsiaTheme="majorEastAsia" w:hAnsiTheme="majorBidi" w:cstheme="majorBidi"/>
          <w:lang w:val="fr-FR"/>
        </w:rPr>
        <w:t xml:space="preserve">Regan, E. et al. (2015). </w:t>
      </w:r>
      <w:r w:rsidRPr="00ED7E61">
        <w:rPr>
          <w:rStyle w:val="normaltextrun"/>
          <w:rFonts w:asciiTheme="majorBidi" w:eastAsiaTheme="majorEastAsia" w:hAnsiTheme="majorBidi" w:cstheme="majorBidi"/>
        </w:rPr>
        <w:t xml:space="preserve">Global trends in the status of bird and mammal pollinators. </w:t>
      </w:r>
      <w:r w:rsidRPr="00B3383B">
        <w:rPr>
          <w:rStyle w:val="normaltextrun"/>
          <w:rFonts w:asciiTheme="majorBidi" w:eastAsiaTheme="majorEastAsia" w:hAnsiTheme="majorBidi" w:cstheme="majorBidi"/>
          <w:lang w:val="fr-FR"/>
        </w:rPr>
        <w:t xml:space="preserve">Conservation Letters. </w:t>
      </w:r>
      <w:proofErr w:type="spellStart"/>
      <w:proofErr w:type="gramStart"/>
      <w:r w:rsidRPr="00B3383B">
        <w:rPr>
          <w:rStyle w:val="normaltextrun"/>
          <w:rFonts w:asciiTheme="majorBidi" w:eastAsiaTheme="majorEastAsia" w:hAnsiTheme="majorBidi" w:cstheme="majorBidi"/>
          <w:lang w:val="fr-FR"/>
        </w:rPr>
        <w:t>doi</w:t>
      </w:r>
      <w:proofErr w:type="spellEnd"/>
      <w:r w:rsidRPr="00B3383B">
        <w:rPr>
          <w:rStyle w:val="normaltextrun"/>
          <w:rFonts w:asciiTheme="majorBidi" w:eastAsiaTheme="majorEastAsia" w:hAnsiTheme="majorBidi" w:cstheme="majorBidi"/>
          <w:lang w:val="fr-FR"/>
        </w:rPr>
        <w:t>:</w:t>
      </w:r>
      <w:proofErr w:type="gramEnd"/>
      <w:r w:rsidRPr="00B3383B">
        <w:rPr>
          <w:rStyle w:val="normaltextrun"/>
          <w:rFonts w:asciiTheme="majorBidi" w:eastAsiaTheme="majorEastAsia" w:hAnsiTheme="majorBidi" w:cstheme="majorBidi"/>
          <w:lang w:val="fr-FR"/>
        </w:rPr>
        <w:t xml:space="preserve"> 10.1111/conl.12162. </w:t>
      </w:r>
      <w:proofErr w:type="spellStart"/>
      <w:r w:rsidRPr="00B3383B">
        <w:rPr>
          <w:rStyle w:val="normaltextrun"/>
          <w:rFonts w:asciiTheme="majorBidi" w:eastAsiaTheme="majorEastAsia" w:hAnsiTheme="majorBidi" w:cstheme="majorBidi"/>
          <w:lang w:val="fr-FR"/>
        </w:rPr>
        <w:t>Available</w:t>
      </w:r>
      <w:proofErr w:type="spellEnd"/>
      <w:r w:rsidRPr="00B3383B">
        <w:rPr>
          <w:rStyle w:val="normaltextrun"/>
          <w:rFonts w:asciiTheme="majorBidi" w:eastAsiaTheme="majorEastAsia" w:hAnsiTheme="majorBidi" w:cstheme="majorBidi"/>
          <w:lang w:val="fr-FR"/>
        </w:rPr>
        <w:t xml:space="preserve"> </w:t>
      </w:r>
      <w:proofErr w:type="spellStart"/>
      <w:r w:rsidRPr="00B3383B">
        <w:rPr>
          <w:rStyle w:val="normaltextrun"/>
          <w:rFonts w:asciiTheme="majorBidi" w:eastAsiaTheme="majorEastAsia" w:hAnsiTheme="majorBidi" w:cstheme="majorBidi"/>
          <w:lang w:val="fr-FR"/>
        </w:rPr>
        <w:t>from</w:t>
      </w:r>
      <w:proofErr w:type="spellEnd"/>
      <w:r w:rsidRPr="00B3383B">
        <w:rPr>
          <w:rStyle w:val="normaltextrun"/>
          <w:rFonts w:asciiTheme="majorBidi" w:eastAsiaTheme="majorEastAsia" w:hAnsiTheme="majorBidi" w:cstheme="majorBidi"/>
          <w:lang w:val="fr-FR"/>
        </w:rPr>
        <w:t xml:space="preserve"> </w:t>
      </w:r>
      <w:hyperlink r:id="rId95" w:tgtFrame="_blank" w:history="1">
        <w:r w:rsidRPr="00B3383B">
          <w:rPr>
            <w:rStyle w:val="normaltextrun"/>
            <w:rFonts w:asciiTheme="majorBidi" w:eastAsiaTheme="majorEastAsia" w:hAnsiTheme="majorBidi" w:cstheme="majorBidi"/>
            <w:lang w:val="fr-FR"/>
          </w:rPr>
          <w:t>http://onlinelibrary.wiley.com/doi/10.1111/conl.12162/abstract</w:t>
        </w:r>
      </w:hyperlink>
      <w:r w:rsidRPr="00B3383B">
        <w:rPr>
          <w:rStyle w:val="normaltextrun"/>
          <w:rFonts w:asciiTheme="majorBidi" w:eastAsiaTheme="majorEastAsia" w:hAnsiTheme="majorBidi" w:cstheme="majorBidi"/>
          <w:lang w:val="fr-FR"/>
        </w:rPr>
        <w:t>. </w:t>
      </w:r>
      <w:r w:rsidRPr="00B3383B">
        <w:rPr>
          <w:rStyle w:val="normaltextrun"/>
          <w:lang w:val="fr-FR"/>
        </w:rPr>
        <w:t> </w:t>
      </w:r>
    </w:p>
    <w:p w14:paraId="3380E693" w14:textId="77777777" w:rsidR="00C5314E" w:rsidRPr="00ED7E61" w:rsidRDefault="00C5314E" w:rsidP="00C5314E">
      <w:pPr>
        <w:pStyle w:val="CBDNormalNumber"/>
        <w:ind w:left="567"/>
        <w:rPr>
          <w:rStyle w:val="normaltextrun"/>
          <w:rFonts w:eastAsiaTheme="majorEastAsia"/>
        </w:rPr>
      </w:pPr>
      <w:r w:rsidRPr="00874D55">
        <w:rPr>
          <w:rStyle w:val="normaltextrun"/>
          <w:rFonts w:asciiTheme="majorBidi" w:eastAsiaTheme="majorEastAsia" w:hAnsiTheme="majorBidi" w:cstheme="majorBidi"/>
          <w:lang w:val="fr-FR"/>
        </w:rPr>
        <w:t xml:space="preserve">Rodrigues, A. S. L. et al. </w:t>
      </w:r>
      <w:r w:rsidRPr="00ED7E61">
        <w:rPr>
          <w:rStyle w:val="normaltextrun"/>
          <w:rFonts w:asciiTheme="majorBidi" w:eastAsiaTheme="majorEastAsia" w:hAnsiTheme="majorBidi" w:cstheme="majorBidi"/>
        </w:rPr>
        <w:t xml:space="preserve">(2014). Spatially explicit trends in the global conservation status of vertebrates. </w:t>
      </w:r>
      <w:proofErr w:type="spellStart"/>
      <w:r w:rsidRPr="00ED7E61">
        <w:rPr>
          <w:rStyle w:val="normaltextrun"/>
          <w:rFonts w:asciiTheme="majorBidi" w:eastAsiaTheme="majorEastAsia" w:hAnsiTheme="majorBidi" w:cstheme="majorBidi"/>
        </w:rPr>
        <w:t>PLoS</w:t>
      </w:r>
      <w:proofErr w:type="spellEnd"/>
      <w:r w:rsidRPr="00ED7E61">
        <w:rPr>
          <w:rStyle w:val="normaltextrun"/>
          <w:rFonts w:asciiTheme="majorBidi" w:eastAsiaTheme="majorEastAsia" w:hAnsiTheme="majorBidi" w:cstheme="majorBidi"/>
        </w:rPr>
        <w:t xml:space="preserve"> ONE 9(11): e113934. Available from </w:t>
      </w:r>
      <w:hyperlink r:id="rId96" w:tgtFrame="_blank" w:history="1">
        <w:r w:rsidRPr="00ED7E61">
          <w:rPr>
            <w:rStyle w:val="normaltextrun"/>
            <w:rFonts w:asciiTheme="majorBidi" w:eastAsiaTheme="majorEastAsia" w:hAnsiTheme="majorBidi" w:cstheme="majorBidi"/>
          </w:rPr>
          <w:t>http://journals.plos.org/plosone/article?id=10.1371/journal.pone.0113934</w:t>
        </w:r>
      </w:hyperlink>
      <w:r w:rsidRPr="00ED7E61">
        <w:rPr>
          <w:rStyle w:val="normaltextrun"/>
          <w:rFonts w:asciiTheme="majorBidi" w:eastAsiaTheme="majorEastAsia" w:hAnsiTheme="majorBidi" w:cstheme="majorBidi"/>
        </w:rPr>
        <w:t>. </w:t>
      </w:r>
      <w:r w:rsidRPr="00ED7E61">
        <w:rPr>
          <w:rStyle w:val="normaltextrun"/>
        </w:rPr>
        <w:t> </w:t>
      </w:r>
    </w:p>
    <w:p w14:paraId="731A5D7B" w14:textId="77777777" w:rsidR="00C5314E" w:rsidRPr="00ED7E61" w:rsidRDefault="00C5314E" w:rsidP="00C5314E">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Salafsky, N., et al. (2008) A standard lexicon for biodiversity conservation: unified classifications of threats and actions. Conservation Biology 22: 897–911. Available from </w:t>
      </w:r>
      <w:hyperlink r:id="rId97" w:tgtFrame="_blank" w:history="1">
        <w:r w:rsidRPr="00ED7E61">
          <w:rPr>
            <w:rStyle w:val="normaltextrun"/>
            <w:rFonts w:asciiTheme="majorBidi" w:eastAsiaTheme="majorEastAsia" w:hAnsiTheme="majorBidi" w:cstheme="majorBidi"/>
          </w:rPr>
          <w:t>http://onlinelibrary.wiley.com/doi/10.1111/j.1523-1739.2008.00937.x/full</w:t>
        </w:r>
      </w:hyperlink>
      <w:r w:rsidRPr="00ED7E61">
        <w:rPr>
          <w:rStyle w:val="normaltextrun"/>
          <w:rFonts w:asciiTheme="majorBidi" w:eastAsiaTheme="majorEastAsia" w:hAnsiTheme="majorBidi" w:cstheme="majorBidi"/>
        </w:rPr>
        <w:t>. </w:t>
      </w:r>
      <w:r w:rsidRPr="00ED7E61">
        <w:rPr>
          <w:rStyle w:val="normaltextrun"/>
        </w:rPr>
        <w:t> </w:t>
      </w:r>
    </w:p>
    <w:p w14:paraId="55812DD8" w14:textId="77777777" w:rsidR="00C5314E" w:rsidRPr="00B3383B" w:rsidRDefault="00C5314E" w:rsidP="00C5314E">
      <w:pPr>
        <w:pStyle w:val="CBDNormalNumber"/>
        <w:ind w:left="567"/>
        <w:rPr>
          <w:rStyle w:val="normaltextrun"/>
          <w:rFonts w:eastAsiaTheme="majorEastAsia"/>
          <w:lang w:val="fr-FR"/>
        </w:rPr>
      </w:pPr>
      <w:r w:rsidRPr="00ED7E61">
        <w:rPr>
          <w:rStyle w:val="normaltextrun"/>
          <w:rFonts w:asciiTheme="majorBidi" w:eastAsiaTheme="majorEastAsia" w:hAnsiTheme="majorBidi" w:cstheme="majorBidi"/>
        </w:rPr>
        <w:t xml:space="preserve">Tittensor, D. et al. (2014). A mid-term analysis of progress towards international biodiversity targets. </w:t>
      </w:r>
      <w:r w:rsidRPr="00B3383B">
        <w:rPr>
          <w:rStyle w:val="normaltextrun"/>
          <w:rFonts w:asciiTheme="majorBidi" w:eastAsiaTheme="majorEastAsia" w:hAnsiTheme="majorBidi" w:cstheme="majorBidi"/>
          <w:lang w:val="fr-FR"/>
        </w:rPr>
        <w:t xml:space="preserve">Science </w:t>
      </w:r>
      <w:proofErr w:type="gramStart"/>
      <w:r w:rsidRPr="00B3383B">
        <w:rPr>
          <w:rStyle w:val="normaltextrun"/>
          <w:rFonts w:asciiTheme="majorBidi" w:eastAsiaTheme="majorEastAsia" w:hAnsiTheme="majorBidi" w:cstheme="majorBidi"/>
          <w:lang w:val="fr-FR"/>
        </w:rPr>
        <w:t>346:</w:t>
      </w:r>
      <w:proofErr w:type="gramEnd"/>
      <w:r w:rsidRPr="00B3383B">
        <w:rPr>
          <w:rStyle w:val="normaltextrun"/>
          <w:rFonts w:asciiTheme="majorBidi" w:eastAsiaTheme="majorEastAsia" w:hAnsiTheme="majorBidi" w:cstheme="majorBidi"/>
          <w:lang w:val="fr-FR"/>
        </w:rPr>
        <w:t xml:space="preserve"> 241–244. </w:t>
      </w:r>
      <w:proofErr w:type="spellStart"/>
      <w:r w:rsidRPr="00B3383B">
        <w:rPr>
          <w:rStyle w:val="normaltextrun"/>
          <w:rFonts w:asciiTheme="majorBidi" w:eastAsiaTheme="majorEastAsia" w:hAnsiTheme="majorBidi" w:cstheme="majorBidi"/>
          <w:lang w:val="fr-FR"/>
        </w:rPr>
        <w:t>Available</w:t>
      </w:r>
      <w:proofErr w:type="spellEnd"/>
      <w:r w:rsidRPr="00B3383B">
        <w:rPr>
          <w:rStyle w:val="normaltextrun"/>
          <w:rFonts w:asciiTheme="majorBidi" w:eastAsiaTheme="majorEastAsia" w:hAnsiTheme="majorBidi" w:cstheme="majorBidi"/>
          <w:lang w:val="fr-FR"/>
        </w:rPr>
        <w:t xml:space="preserve"> </w:t>
      </w:r>
      <w:proofErr w:type="spellStart"/>
      <w:r w:rsidRPr="00B3383B">
        <w:rPr>
          <w:rStyle w:val="normaltextrun"/>
          <w:rFonts w:asciiTheme="majorBidi" w:eastAsiaTheme="majorEastAsia" w:hAnsiTheme="majorBidi" w:cstheme="majorBidi"/>
          <w:lang w:val="fr-FR"/>
        </w:rPr>
        <w:t>from</w:t>
      </w:r>
      <w:proofErr w:type="spellEnd"/>
      <w:r w:rsidRPr="00B3383B">
        <w:rPr>
          <w:rStyle w:val="normaltextrun"/>
          <w:rFonts w:asciiTheme="majorBidi" w:eastAsiaTheme="majorEastAsia" w:hAnsiTheme="majorBidi" w:cstheme="majorBidi"/>
          <w:lang w:val="fr-FR"/>
        </w:rPr>
        <w:t xml:space="preserve"> </w:t>
      </w:r>
      <w:hyperlink r:id="rId98" w:tgtFrame="_blank" w:history="1">
        <w:r w:rsidRPr="00B3383B">
          <w:rPr>
            <w:rStyle w:val="normaltextrun"/>
            <w:rFonts w:asciiTheme="majorBidi" w:eastAsiaTheme="majorEastAsia" w:hAnsiTheme="majorBidi" w:cstheme="majorBidi"/>
            <w:lang w:val="fr-FR"/>
          </w:rPr>
          <w:t>http://www.sciencemag.org/content/346/6206/241.short</w:t>
        </w:r>
      </w:hyperlink>
      <w:r w:rsidRPr="00B3383B">
        <w:rPr>
          <w:rStyle w:val="normaltextrun"/>
          <w:rFonts w:asciiTheme="majorBidi" w:eastAsiaTheme="majorEastAsia" w:hAnsiTheme="majorBidi" w:cstheme="majorBidi"/>
          <w:lang w:val="fr-FR"/>
        </w:rPr>
        <w:t>. </w:t>
      </w:r>
      <w:r w:rsidRPr="00B3383B">
        <w:rPr>
          <w:rStyle w:val="normaltextrun"/>
          <w:lang w:val="fr-FR"/>
        </w:rPr>
        <w:t> </w:t>
      </w:r>
    </w:p>
    <w:p w14:paraId="57C8A28A" w14:textId="77777777" w:rsidR="00C5314E" w:rsidRDefault="00C5314E" w:rsidP="00C5314E">
      <w:pPr>
        <w:pStyle w:val="CBDNormalNumber"/>
        <w:ind w:left="567"/>
      </w:pPr>
      <w:r w:rsidRPr="00B3383B">
        <w:rPr>
          <w:rStyle w:val="normaltextrun"/>
          <w:rFonts w:asciiTheme="majorBidi" w:eastAsiaTheme="majorEastAsia" w:hAnsiTheme="majorBidi" w:cstheme="majorBidi"/>
          <w:lang w:val="fr-FR"/>
        </w:rPr>
        <w:t xml:space="preserve">Visconti, P. et al. </w:t>
      </w:r>
      <w:r w:rsidRPr="00ED7E61">
        <w:rPr>
          <w:rStyle w:val="normaltextrun"/>
          <w:rFonts w:asciiTheme="majorBidi" w:eastAsiaTheme="majorEastAsia" w:hAnsiTheme="majorBidi" w:cstheme="majorBidi"/>
        </w:rPr>
        <w:t xml:space="preserve">(2015) Projecting global biodiversity indicators under future development scenarios. Conservation Letters. </w:t>
      </w:r>
      <w:proofErr w:type="spellStart"/>
      <w:r w:rsidRPr="00ED7E61">
        <w:rPr>
          <w:rStyle w:val="normaltextrun"/>
          <w:rFonts w:asciiTheme="majorBidi" w:eastAsiaTheme="majorEastAsia" w:hAnsiTheme="majorBidi" w:cstheme="majorBidi"/>
        </w:rPr>
        <w:t>doi</w:t>
      </w:r>
      <w:proofErr w:type="spellEnd"/>
      <w:r w:rsidRPr="00ED7E61">
        <w:rPr>
          <w:rStyle w:val="normaltextrun"/>
          <w:rFonts w:asciiTheme="majorBidi" w:eastAsiaTheme="majorEastAsia" w:hAnsiTheme="majorBidi" w:cstheme="majorBidi"/>
        </w:rPr>
        <w:t xml:space="preserve">: 10.1111/conl.12159. Available from </w:t>
      </w:r>
      <w:hyperlink r:id="rId99" w:tgtFrame="_blank" w:history="1">
        <w:r w:rsidRPr="00ED7E61">
          <w:rPr>
            <w:rStyle w:val="normaltextrun"/>
            <w:rFonts w:asciiTheme="majorBidi" w:eastAsiaTheme="majorEastAsia" w:hAnsiTheme="majorBidi" w:cstheme="majorBidi"/>
          </w:rPr>
          <w:t>http://onlinelibrary.wiley.com/doi/10.1111/conl.12159/abstract</w:t>
        </w:r>
      </w:hyperlink>
      <w:r w:rsidRPr="00ED7E61">
        <w:rPr>
          <w:rStyle w:val="normaltextrun"/>
          <w:rFonts w:asciiTheme="majorBidi" w:eastAsiaTheme="majorEastAsia" w:hAnsiTheme="majorBidi" w:cstheme="majorBidi"/>
        </w:rPr>
        <w:t>.</w:t>
      </w:r>
      <w:r w:rsidRPr="00ED7E61">
        <w:rPr>
          <w:rStyle w:val="normaltextrun"/>
        </w:rPr>
        <w:t> </w:t>
      </w:r>
    </w:p>
    <w:p w14:paraId="53656351" w14:textId="77777777" w:rsidR="00756F0F" w:rsidRPr="00ED7E61" w:rsidRDefault="00756F0F" w:rsidP="00395866">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735499D3" w14:textId="37CA18DF" w:rsidR="00215AED" w:rsidRPr="00ED7E61" w:rsidRDefault="00215AED" w:rsidP="00215AED">
      <w:pPr>
        <w:pStyle w:val="Heading3"/>
        <w:rPr>
          <w:rStyle w:val="normaltextrun"/>
        </w:rPr>
      </w:pPr>
      <w:bookmarkStart w:id="14" w:name="_Toc233278556"/>
      <w:bookmarkEnd w:id="8"/>
      <w:r w:rsidRPr="00ED7E61">
        <w:rPr>
          <w:rStyle w:val="normaltextrun"/>
        </w:rPr>
        <w:lastRenderedPageBreak/>
        <w:t>A.4 The proportion of populations within species with an effective population size</w:t>
      </w:r>
      <w:r w:rsidR="004E025B">
        <w:rPr>
          <w:rStyle w:val="normaltextrun"/>
        </w:rPr>
        <w:t xml:space="preserve"> </w:t>
      </w:r>
      <w:r w:rsidR="00DC0F01" w:rsidRPr="00ED7E61">
        <w:rPr>
          <w:rStyle w:val="normaltextrun"/>
        </w:rPr>
        <w:t>(</w:t>
      </w:r>
      <w:r w:rsidR="008676D1" w:rsidRPr="00ED7E61">
        <w:rPr>
          <w:rStyle w:val="normaltextrun"/>
        </w:rPr>
        <w:t>N</w:t>
      </w:r>
      <w:r w:rsidR="008676D1">
        <w:rPr>
          <w:rStyle w:val="normaltextrun"/>
        </w:rPr>
        <w:t>e</w:t>
      </w:r>
      <w:r w:rsidR="00DC0F01" w:rsidRPr="00ED7E61">
        <w:rPr>
          <w:rStyle w:val="normaltextrun"/>
        </w:rPr>
        <w:t>)</w:t>
      </w:r>
      <w:r w:rsidRPr="00ED7E61">
        <w:rPr>
          <w:rStyle w:val="normaltextrun"/>
        </w:rPr>
        <w:t xml:space="preserve"> &gt; 500</w:t>
      </w:r>
      <w:bookmarkEnd w:id="14"/>
      <w:r w:rsidRPr="00ED7E61">
        <w:rPr>
          <w:rStyle w:val="normaltextrun"/>
        </w:rPr>
        <w:t xml:space="preserve"> </w:t>
      </w:r>
    </w:p>
    <w:p w14:paraId="4FD74635"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10AD416A"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sz w:val="22"/>
          <w:szCs w:val="22"/>
        </w:rPr>
        <w:t> </w:t>
      </w:r>
    </w:p>
    <w:p w14:paraId="61B33109" w14:textId="4D15AE40"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bookmarkStart w:id="15" w:name="_Hlk163077554"/>
      <w:r w:rsidRPr="00ED7E61">
        <w:rPr>
          <w:rStyle w:val="normaltextrun"/>
          <w:rFonts w:asciiTheme="majorBidi" w:eastAsiaTheme="majorEastAsia" w:hAnsiTheme="majorBidi" w:cstheme="majorBidi"/>
          <w:sz w:val="22"/>
          <w:szCs w:val="22"/>
          <w:lang w:val="en-GB"/>
        </w:rPr>
        <w:t>A.4 The proportion of populations within species with an effective population size</w:t>
      </w:r>
      <w:r w:rsidR="00DC0F01" w:rsidRPr="00ED7E61">
        <w:rPr>
          <w:rStyle w:val="normaltextrun"/>
          <w:rFonts w:asciiTheme="majorBidi" w:eastAsiaTheme="majorEastAsia" w:hAnsiTheme="majorBidi" w:cstheme="majorBidi"/>
          <w:sz w:val="22"/>
          <w:szCs w:val="22"/>
          <w:lang w:val="en-GB"/>
        </w:rPr>
        <w:t xml:space="preserve"> (</w:t>
      </w:r>
      <w:r w:rsidR="008676D1" w:rsidRPr="00ED7E61">
        <w:rPr>
          <w:rStyle w:val="normaltextrun"/>
          <w:rFonts w:asciiTheme="majorBidi" w:eastAsiaTheme="majorEastAsia" w:hAnsiTheme="majorBidi" w:cstheme="majorBidi"/>
          <w:sz w:val="22"/>
          <w:szCs w:val="22"/>
          <w:lang w:val="en-GB"/>
        </w:rPr>
        <w:t>N</w:t>
      </w:r>
      <w:r w:rsidR="008676D1">
        <w:rPr>
          <w:rStyle w:val="normaltextrun"/>
          <w:rFonts w:asciiTheme="majorBidi" w:eastAsiaTheme="majorEastAsia" w:hAnsiTheme="majorBidi" w:cstheme="majorBidi"/>
          <w:sz w:val="22"/>
          <w:szCs w:val="22"/>
          <w:lang w:val="en-GB"/>
        </w:rPr>
        <w:t>e</w:t>
      </w:r>
      <w:r w:rsidR="00DC0F01" w:rsidRPr="00ED7E61">
        <w:rPr>
          <w:rStyle w:val="normaltextrun"/>
          <w:rFonts w:asciiTheme="majorBidi" w:eastAsiaTheme="majorEastAsia"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&gt; 500</w:t>
      </w:r>
      <w:r w:rsidRPr="00ED7E61">
        <w:rPr>
          <w:rStyle w:val="eop"/>
          <w:rFonts w:asciiTheme="majorBidi" w:eastAsiaTheme="majorEastAsia" w:hAnsiTheme="majorBidi" w:cstheme="majorBidi"/>
          <w:sz w:val="22"/>
          <w:szCs w:val="22"/>
        </w:rPr>
        <w:t> </w:t>
      </w:r>
    </w:p>
    <w:p w14:paraId="326D029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shd w:val="clear" w:color="auto" w:fill="FFFFFF"/>
          <w:lang w:val="en-GB"/>
        </w:rPr>
        <w:t>This is sometimes referred to as “</w:t>
      </w:r>
      <w:r w:rsidRPr="00FB1598">
        <w:rPr>
          <w:rStyle w:val="normaltextrun"/>
          <w:rFonts w:asciiTheme="majorBidi" w:eastAsiaTheme="majorEastAsia" w:hAnsiTheme="majorBidi" w:cstheme="majorBidi"/>
          <w:i/>
          <w:iCs/>
          <w:sz w:val="22"/>
          <w:szCs w:val="22"/>
          <w:shd w:val="clear" w:color="auto" w:fill="FFFFFF"/>
          <w:lang w:val="en-GB"/>
        </w:rPr>
        <w:t>the Ne 500 indicator</w:t>
      </w:r>
      <w:r w:rsidRPr="00ED7E61">
        <w:rPr>
          <w:rStyle w:val="normaltextrun"/>
          <w:rFonts w:asciiTheme="majorBidi" w:eastAsiaTheme="majorEastAsia" w:hAnsiTheme="majorBidi" w:cstheme="majorBidi"/>
          <w:sz w:val="22"/>
          <w:szCs w:val="22"/>
          <w:shd w:val="clear" w:color="auto" w:fill="FFFFFF"/>
          <w:lang w:val="en-GB"/>
        </w:rPr>
        <w:t>” or “</w:t>
      </w:r>
      <w:r w:rsidRPr="00FB1598">
        <w:rPr>
          <w:rStyle w:val="normaltextrun"/>
          <w:rFonts w:asciiTheme="majorBidi" w:eastAsiaTheme="majorEastAsia" w:hAnsiTheme="majorBidi" w:cstheme="majorBidi"/>
          <w:i/>
          <w:iCs/>
          <w:sz w:val="22"/>
          <w:szCs w:val="22"/>
          <w:shd w:val="clear" w:color="auto" w:fill="FFFFFF"/>
          <w:lang w:val="en-GB"/>
        </w:rPr>
        <w:t>genetic diversity within populations indicator</w:t>
      </w:r>
      <w:r w:rsidRPr="00ED7E61">
        <w:rPr>
          <w:rStyle w:val="normaltextrun"/>
          <w:rFonts w:asciiTheme="majorBidi" w:eastAsiaTheme="majorEastAsia" w:hAnsiTheme="majorBidi" w:cstheme="majorBidi"/>
          <w:sz w:val="22"/>
          <w:szCs w:val="22"/>
          <w:shd w:val="clear" w:color="auto" w:fill="FFFFFF"/>
          <w:lang w:val="en-GB"/>
        </w:rPr>
        <w:t>” or “</w:t>
      </w:r>
      <w:r w:rsidRPr="00FB1598">
        <w:rPr>
          <w:rStyle w:val="normaltextrun"/>
          <w:rFonts w:asciiTheme="majorBidi" w:eastAsiaTheme="majorEastAsia" w:hAnsiTheme="majorBidi" w:cstheme="majorBidi"/>
          <w:i/>
          <w:iCs/>
          <w:sz w:val="22"/>
          <w:szCs w:val="22"/>
          <w:shd w:val="clear" w:color="auto" w:fill="FFFFFF"/>
          <w:lang w:val="en-GB"/>
        </w:rPr>
        <w:t>Effective population size 500 indicator</w:t>
      </w:r>
      <w:r w:rsidRPr="00ED7E61">
        <w:rPr>
          <w:rStyle w:val="normaltextrun"/>
          <w:rFonts w:asciiTheme="majorBidi" w:eastAsiaTheme="majorEastAsia" w:hAnsiTheme="majorBidi" w:cstheme="majorBidi"/>
          <w:sz w:val="22"/>
          <w:szCs w:val="22"/>
          <w:shd w:val="clear" w:color="auto" w:fill="FFFFFF"/>
          <w:lang w:val="en-GB"/>
        </w:rPr>
        <w:t>”</w:t>
      </w:r>
      <w:r w:rsidRPr="00ED7E61">
        <w:rPr>
          <w:rStyle w:val="eop"/>
          <w:rFonts w:asciiTheme="majorBidi" w:eastAsiaTheme="majorEastAsia" w:hAnsiTheme="majorBidi" w:cstheme="majorBidi"/>
          <w:sz w:val="22"/>
          <w:szCs w:val="22"/>
        </w:rPr>
        <w:t> </w:t>
      </w:r>
    </w:p>
    <w:bookmarkEnd w:id="15"/>
    <w:p w14:paraId="1B08DF94"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sz w:val="22"/>
          <w:szCs w:val="22"/>
        </w:rPr>
        <w:t> </w:t>
      </w:r>
    </w:p>
    <w:p w14:paraId="00F26F4F" w14:textId="430F27FB" w:rsidR="00775978" w:rsidRPr="00ED7E61" w:rsidRDefault="00DC0F01"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ED7E61">
        <w:rPr>
          <w:rStyle w:val="normaltextrun"/>
          <w:rFonts w:asciiTheme="majorBidi" w:eastAsiaTheme="majorEastAsia" w:hAnsiTheme="majorBidi" w:cstheme="majorBidi"/>
          <w:sz w:val="22"/>
          <w:szCs w:val="22"/>
          <w:lang w:val="en-GB"/>
        </w:rPr>
        <w:t xml:space="preserve">August </w:t>
      </w:r>
      <w:r w:rsidR="00775978" w:rsidRPr="00ED7E61">
        <w:rPr>
          <w:rStyle w:val="normaltextrun"/>
          <w:rFonts w:asciiTheme="majorBidi" w:eastAsiaTheme="majorEastAsia" w:hAnsiTheme="majorBidi" w:cstheme="majorBidi"/>
          <w:sz w:val="22"/>
          <w:szCs w:val="22"/>
          <w:lang w:val="en-GB"/>
        </w:rPr>
        <w:t xml:space="preserve">2024 </w:t>
      </w:r>
    </w:p>
    <w:p w14:paraId="4E4E72D6" w14:textId="6F649699" w:rsidR="00756F0F" w:rsidRPr="00ED7E61" w:rsidRDefault="00756F0F" w:rsidP="00B3383B">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sz w:val="22"/>
          <w:szCs w:val="22"/>
        </w:rPr>
        <w:t> </w:t>
      </w:r>
    </w:p>
    <w:p w14:paraId="32986CBC"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sz w:val="22"/>
          <w:szCs w:val="22"/>
        </w:rPr>
        <w:t> </w:t>
      </w:r>
    </w:p>
    <w:p w14:paraId="1C903ED7" w14:textId="12D1DD94"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Goal A: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r w:rsidRPr="00ED7E61">
        <w:rPr>
          <w:rStyle w:val="eop"/>
          <w:rFonts w:asciiTheme="majorBidi" w:eastAsiaTheme="majorEastAsia" w:hAnsiTheme="majorBidi" w:cstheme="majorBidi"/>
          <w:sz w:val="22"/>
          <w:szCs w:val="22"/>
        </w:rPr>
        <w:t> </w:t>
      </w:r>
    </w:p>
    <w:p w14:paraId="64C79013"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sz w:val="22"/>
          <w:szCs w:val="22"/>
        </w:rPr>
        <w:t> </w:t>
      </w:r>
    </w:p>
    <w:p w14:paraId="56EF1E2A" w14:textId="182E3D4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Target 4:  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r w:rsidRPr="00ED7E61">
        <w:rPr>
          <w:rStyle w:val="eop"/>
          <w:rFonts w:asciiTheme="majorBidi" w:eastAsiaTheme="majorEastAsia" w:hAnsiTheme="majorBidi" w:cstheme="majorBidi"/>
          <w:sz w:val="22"/>
          <w:szCs w:val="22"/>
        </w:rPr>
        <w:t> </w:t>
      </w:r>
    </w:p>
    <w:p w14:paraId="2E65155D" w14:textId="6CACE8C8" w:rsidR="00756F0F" w:rsidRPr="00ED7E61" w:rsidRDefault="00756F0F" w:rsidP="00B10F0C">
      <w:pPr>
        <w:pStyle w:val="CBDNormalNumber"/>
        <w:numPr>
          <w:ilvl w:val="0"/>
          <w:numId w:val="60"/>
        </w:numPr>
        <w:tabs>
          <w:tab w:val="clear" w:pos="1701"/>
        </w:tabs>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As noted by </w:t>
      </w:r>
      <w:hyperlink r:id="rId100"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2023a</w:t>
        </w:r>
      </w:hyperlink>
      <w:r w:rsidRPr="00ED7E61">
        <w:rPr>
          <w:rStyle w:val="normaltextrun"/>
          <w:rFonts w:asciiTheme="majorBidi" w:eastAsiaTheme="majorEastAsia" w:hAnsiTheme="majorBidi" w:cstheme="majorBidi"/>
        </w:rPr>
        <w:t xml:space="preserve">, and </w:t>
      </w:r>
      <w:hyperlink r:id="rId101"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2023c</w:t>
        </w:r>
      </w:hyperlink>
      <w:r w:rsidRPr="00ED7E61">
        <w:rPr>
          <w:rStyle w:val="normaltextrun"/>
          <w:rFonts w:asciiTheme="majorBidi" w:eastAsiaTheme="majorEastAsia" w:hAnsiTheme="majorBidi" w:cstheme="majorBidi"/>
        </w:rPr>
        <w:t xml:space="preserve">, this indicator is also relevant to </w:t>
      </w:r>
      <w:proofErr w:type="gramStart"/>
      <w:r w:rsidRPr="00ED7E61">
        <w:rPr>
          <w:rStyle w:val="normaltextrun"/>
          <w:rFonts w:asciiTheme="majorBidi" w:eastAsiaTheme="majorEastAsia" w:hAnsiTheme="majorBidi" w:cstheme="majorBidi"/>
        </w:rPr>
        <w:t>a number of</w:t>
      </w:r>
      <w:proofErr w:type="gramEnd"/>
      <w:r w:rsidRPr="00ED7E61">
        <w:rPr>
          <w:rStyle w:val="normaltextrun"/>
          <w:rFonts w:asciiTheme="majorBidi" w:eastAsiaTheme="majorEastAsia" w:hAnsiTheme="majorBidi" w:cstheme="majorBidi"/>
        </w:rPr>
        <w:t xml:space="preserve"> targets described below and in section 9.  </w:t>
      </w:r>
      <w:r w:rsidRPr="00ED7E61">
        <w:rPr>
          <w:rStyle w:val="normaltextrun"/>
        </w:rPr>
        <w:t> </w:t>
      </w:r>
    </w:p>
    <w:p w14:paraId="76F15E08" w14:textId="4D095698"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4. Rationale</w:t>
      </w:r>
    </w:p>
    <w:p w14:paraId="24B16387" w14:textId="7A4BD850" w:rsidR="00756F0F" w:rsidRPr="00ED7E61" w:rsidRDefault="00756F0F" w:rsidP="00B10F0C">
      <w:pPr>
        <w:pStyle w:val="CBDNormalNumber"/>
        <w:numPr>
          <w:ilvl w:val="0"/>
          <w:numId w:val="60"/>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Effective population size (Ne) is a well-accepted metric for measuring the rate of loss of genetic diversity within populations</w:t>
      </w:r>
      <w:r w:rsidR="00DC0F01" w:rsidRPr="00ED7E61">
        <w:rPr>
          <w:rStyle w:val="normaltextrun"/>
          <w:rFonts w:asciiTheme="majorBidi" w:eastAsiaTheme="majorEastAsia" w:hAnsiTheme="majorBidi" w:cstheme="majorBidi"/>
        </w:rPr>
        <w:t xml:space="preserve"> </w:t>
      </w:r>
      <w:r w:rsidR="00DC0F01" w:rsidRPr="00ED7E61">
        <w:rPr>
          <w:rStyle w:val="normaltextrun"/>
        </w:rPr>
        <w:t>of wild species, or within breeds of domesticated species (though some domestic varieties can have more than one population)</w:t>
      </w:r>
      <w:r w:rsidRPr="00ED7E61">
        <w:rPr>
          <w:rStyle w:val="normaltextrun"/>
          <w:rFonts w:asciiTheme="majorBidi" w:eastAsiaTheme="majorEastAsia" w:hAnsiTheme="majorBidi" w:cstheme="majorBidi"/>
        </w:rPr>
        <w:t xml:space="preserve">. As explained below (see figure </w:t>
      </w:r>
      <w:r w:rsidR="00FB33CD">
        <w:rPr>
          <w:rStyle w:val="normaltextrun"/>
          <w:rFonts w:asciiTheme="majorBidi" w:eastAsiaTheme="majorEastAsia" w:hAnsiTheme="majorBidi" w:cstheme="majorBidi"/>
        </w:rPr>
        <w:t>I</w:t>
      </w:r>
      <w:r w:rsidRPr="00ED7E61">
        <w:rPr>
          <w:rStyle w:val="normaltextrun"/>
          <w:rFonts w:asciiTheme="majorBidi" w:eastAsiaTheme="majorEastAsia" w:hAnsiTheme="majorBidi" w:cstheme="majorBidi"/>
        </w:rPr>
        <w:t>), an Ne above 500 (usually a census population size of 5</w:t>
      </w:r>
      <w:r w:rsidR="008676D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000) will maintain genetic diversity within populations. Genetic diversity is necessary for species’ populations to remain healthy and adapt to environmental change, such as climate change, pollution, changing habitats, and pests and disease. Genetic diversity is also vital for resilience of all ecosystems, such as recovery from heat waves and ocean pollution or acidification. It is also vital for the success of ecosystem restoration and the reintroduction of populations and species. Populations with low genetic diversity suffer inbreeding, low viability, and low resilience. Unfortunately, genetic diversity has declined due to habitat loss, fragmentation, overharvest, and other human activities. Therefore, an Ne indicator is necessary to measure the conservation and sustainable use of genetic diversity</w:t>
      </w:r>
      <w:r w:rsidRPr="00ED7E61">
        <w:rPr>
          <w:rStyle w:val="normaltextrun"/>
        </w:rPr>
        <w:t> </w:t>
      </w:r>
    </w:p>
    <w:p w14:paraId="39AE6F90" w14:textId="71EEAF1A" w:rsidR="005E56F9" w:rsidRPr="00ED7E61" w:rsidRDefault="00756F0F" w:rsidP="00B10F0C">
      <w:pPr>
        <w:pStyle w:val="CBDNormalNumber"/>
        <w:numPr>
          <w:ilvl w:val="0"/>
          <w:numId w:val="60"/>
        </w:numPr>
        <w:ind w:left="567" w:firstLine="0"/>
      </w:pPr>
      <w:r w:rsidRPr="00ED7E61">
        <w:rPr>
          <w:rStyle w:val="normaltextrun"/>
          <w:rFonts w:asciiTheme="majorBidi" w:eastAsiaTheme="majorEastAsia" w:hAnsiTheme="majorBidi" w:cstheme="majorBidi"/>
        </w:rPr>
        <w:t xml:space="preserve">Genetic diversity is variation at the DNA level, including differences among individuals within populations of species and differences among populations of each species. </w:t>
      </w:r>
      <w:r w:rsidR="00DC0F01" w:rsidRPr="00ED7E61">
        <w:rPr>
          <w:rStyle w:val="normaltextrun"/>
        </w:rPr>
        <w:t>Effective population size could be assessed using genetic data from a sample of individuals from a population by a geneticist. Nevertheless</w:t>
      </w:r>
      <w:r w:rsidRPr="00ED7E61">
        <w:rPr>
          <w:rStyle w:val="normaltextrun"/>
          <w:rFonts w:asciiTheme="majorBidi" w:eastAsiaTheme="majorEastAsia" w:hAnsiTheme="majorBidi" w:cstheme="majorBidi"/>
        </w:rPr>
        <w:t xml:space="preserve">, assessing DNA with genetic sequencing technology can be time consuming, and requires substantial funds, skills and technology, making it challenging for large-scale evaluation, particularly in species-rich nations. However, genetic status of species and populations can be assessed via Ne without needing DNA data. This is the fundamental basis of this indicator - to assess genetic status without DNA sequence data. This is very important since relatively few species have DNA-based studies, especially in biodiversity hotspots. As explained in the methodology below, </w:t>
      </w:r>
      <w:r w:rsidRPr="00ED7E61">
        <w:rPr>
          <w:rStyle w:val="normaltextrun"/>
          <w:rFonts w:asciiTheme="majorBidi" w:eastAsiaTheme="majorEastAsia" w:hAnsiTheme="majorBidi" w:cstheme="majorBidi"/>
        </w:rPr>
        <w:lastRenderedPageBreak/>
        <w:t>proxies of demographic and geographic data can approximate the Ne of populations.</w:t>
      </w:r>
      <w:r w:rsidRPr="00ED7E61">
        <w:rPr>
          <w:rStyle w:val="normaltextrun"/>
        </w:rPr>
        <w:t> </w:t>
      </w:r>
      <w:r w:rsidR="00DC0F01" w:rsidRPr="00ED7E61">
        <w:rPr>
          <w:rStyle w:val="normaltextrun"/>
        </w:rPr>
        <w:t>Note that the indicator methodology is valid and adaptable for domesticated species because breeds, or other units within domestic species, are comparable to populations (see Methodology).</w:t>
      </w:r>
    </w:p>
    <w:p w14:paraId="7C026E66" w14:textId="39397198" w:rsidR="00756F0F" w:rsidRPr="00ED7E61" w:rsidRDefault="00756F0F" w:rsidP="00B10F0C">
      <w:pPr>
        <w:pStyle w:val="CBDNormalNumber"/>
        <w:numPr>
          <w:ilvl w:val="0"/>
          <w:numId w:val="60"/>
        </w:numPr>
        <w:ind w:left="567" w:firstLine="0"/>
      </w:pPr>
      <w:r w:rsidRPr="00ED7E61">
        <w:rPr>
          <w:rStyle w:val="normaltextrun"/>
          <w:rFonts w:asciiTheme="majorBidi" w:eastAsiaTheme="majorEastAsia" w:hAnsiTheme="majorBidi" w:cstheme="majorBidi"/>
        </w:rPr>
        <w:t xml:space="preserve">In 2020, three genetic diversity indicators were proposed, including the Headline Indicator on Ne 500. They have the following important features (see </w:t>
      </w:r>
      <w:hyperlink r:id="rId102" w:tgtFrame="_blank" w:history="1">
        <w:r w:rsidRPr="00ED7E61">
          <w:rPr>
            <w:rStyle w:val="normaltextrun"/>
            <w:rFonts w:asciiTheme="majorBidi" w:eastAsiaTheme="majorEastAsia" w:hAnsiTheme="majorBidi" w:cstheme="majorBidi"/>
            <w:color w:val="1155CC"/>
            <w:u w:val="single"/>
          </w:rPr>
          <w:t>Hoban et al</w:t>
        </w:r>
        <w:r w:rsidR="00FF0D09">
          <w:rPr>
            <w:rStyle w:val="normaltextrun"/>
            <w:rFonts w:asciiTheme="majorBidi" w:eastAsiaTheme="majorEastAsia" w:hAnsiTheme="majorBidi" w:cstheme="majorBidi"/>
            <w:color w:val="1155CC"/>
            <w:u w:val="single"/>
          </w:rPr>
          <w:t>.</w:t>
        </w:r>
        <w:r w:rsidRPr="00ED7E61">
          <w:rPr>
            <w:rStyle w:val="normaltextrun"/>
            <w:rFonts w:asciiTheme="majorBidi" w:eastAsiaTheme="majorEastAsia" w:hAnsiTheme="majorBidi" w:cstheme="majorBidi"/>
            <w:color w:val="1155CC"/>
            <w:u w:val="single"/>
          </w:rPr>
          <w:t xml:space="preserve"> 2023a</w:t>
        </w:r>
      </w:hyperlink>
      <w:r w:rsidRPr="00ED7E61">
        <w:rPr>
          <w:rStyle w:val="normaltextrun"/>
          <w:rFonts w:asciiTheme="majorBidi" w:eastAsiaTheme="majorEastAsia" w:hAnsiTheme="majorBidi" w:cstheme="majorBidi"/>
        </w:rPr>
        <w:t xml:space="preserve">, and </w:t>
      </w:r>
      <w:hyperlink r:id="rId103" w:tgtFrame="_blank" w:history="1">
        <w:r w:rsidRPr="00ED7E61">
          <w:rPr>
            <w:rStyle w:val="normaltextrun"/>
            <w:rFonts w:asciiTheme="majorBidi" w:eastAsiaTheme="majorEastAsia" w:hAnsiTheme="majorBidi" w:cstheme="majorBidi"/>
            <w:color w:val="0563C1"/>
            <w:u w:val="single"/>
          </w:rPr>
          <w:t>Hoban et al</w:t>
        </w:r>
        <w:r w:rsidR="00FF0D09">
          <w:rPr>
            <w:rStyle w:val="normaltextrun"/>
            <w:rFonts w:asciiTheme="majorBidi" w:eastAsiaTheme="majorEastAsia" w:hAnsiTheme="majorBidi" w:cstheme="majorBidi"/>
            <w:color w:val="0563C1"/>
            <w:u w:val="single"/>
          </w:rPr>
          <w:t>.</w:t>
        </w:r>
        <w:r w:rsidRPr="00ED7E61">
          <w:rPr>
            <w:rStyle w:val="normaltextrun"/>
            <w:rFonts w:asciiTheme="majorBidi" w:eastAsiaTheme="majorEastAsia" w:hAnsiTheme="majorBidi" w:cstheme="majorBidi"/>
            <w:color w:val="0563C1"/>
            <w:u w:val="single"/>
          </w:rPr>
          <w:t xml:space="preserve"> 2023c</w:t>
        </w:r>
      </w:hyperlink>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0452391E"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are scientifically valid, based in core conservation and genetic concepts</w:t>
      </w:r>
      <w:r w:rsidRPr="00ED7E61">
        <w:rPr>
          <w:rStyle w:val="normaltextrun"/>
        </w:rPr>
        <w:t> </w:t>
      </w:r>
    </w:p>
    <w:p w14:paraId="6165E354"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are affordable and feasible with existing data </w:t>
      </w:r>
      <w:r w:rsidRPr="00ED7E61">
        <w:rPr>
          <w:rStyle w:val="normaltextrun"/>
        </w:rPr>
        <w:t> </w:t>
      </w:r>
    </w:p>
    <w:p w14:paraId="1CCEE688"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require a moderate to low time and resource investment</w:t>
      </w:r>
      <w:r w:rsidRPr="00ED7E61">
        <w:rPr>
          <w:rStyle w:val="normaltextrun"/>
        </w:rPr>
        <w:t> </w:t>
      </w:r>
    </w:p>
    <w:p w14:paraId="486EC127"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leverage diverse data and multiple ways of knowing including local knowledge holders</w:t>
      </w:r>
      <w:r w:rsidRPr="00ED7E61">
        <w:rPr>
          <w:rStyle w:val="normaltextrun"/>
        </w:rPr>
        <w:t> </w:t>
      </w:r>
    </w:p>
    <w:p w14:paraId="5BF4D586"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often align with other biodiversity assessments</w:t>
      </w:r>
      <w:r w:rsidRPr="00ED7E61">
        <w:rPr>
          <w:rStyle w:val="normaltextrun"/>
        </w:rPr>
        <w:t> </w:t>
      </w:r>
    </w:p>
    <w:p w14:paraId="5AB06625"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allow for easy translation into policy and management of species</w:t>
      </w:r>
      <w:r w:rsidRPr="00ED7E61">
        <w:rPr>
          <w:rStyle w:val="normaltextrun"/>
        </w:rPr>
        <w:t> </w:t>
      </w:r>
    </w:p>
    <w:p w14:paraId="3C4B8BEF"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are applicable and relevant in all countries, taxonomic groups, and ecosystems (and can be disaggregated to these levels).</w:t>
      </w:r>
      <w:r w:rsidRPr="00ED7E61">
        <w:rPr>
          <w:rStyle w:val="normaltextrun"/>
        </w:rPr>
        <w:t> </w:t>
      </w:r>
    </w:p>
    <w:p w14:paraId="39441848"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use concepts that are intuitive or accessible to non-geneticists (e.g. genetic losses due to small populations and loss of populations).</w:t>
      </w:r>
      <w:r w:rsidRPr="00ED7E61">
        <w:rPr>
          <w:rStyle w:val="normaltextrun"/>
        </w:rPr>
        <w:t> </w:t>
      </w:r>
    </w:p>
    <w:p w14:paraId="04644E70" w14:textId="1CB1B0D3"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are </w:t>
      </w:r>
      <w:r w:rsidR="00C43C39">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forward compatible</w:t>
      </w:r>
      <w:r w:rsidR="00C43C3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meaning they can incorporate new methods that arise</w:t>
      </w:r>
      <w:r w:rsidRPr="00ED7E61">
        <w:rPr>
          <w:rStyle w:val="normaltextrun"/>
        </w:rPr>
        <w:t> </w:t>
      </w:r>
    </w:p>
    <w:p w14:paraId="1721CEB8" w14:textId="77777777" w:rsidR="00756F0F" w:rsidRPr="00ED7E61" w:rsidRDefault="00756F0F" w:rsidP="00B10F0C">
      <w:pPr>
        <w:pStyle w:val="CBDNormalNumber"/>
        <w:numPr>
          <w:ilvl w:val="0"/>
          <w:numId w:val="60"/>
        </w:numPr>
        <w:ind w:left="567" w:firstLine="0"/>
        <w:rPr>
          <w:rStyle w:val="normaltextrun"/>
          <w:rFonts w:eastAsiaTheme="majorEastAsia"/>
        </w:rPr>
      </w:pPr>
      <w:r w:rsidRPr="00ED7E61">
        <w:rPr>
          <w:rStyle w:val="normaltextrun"/>
          <w:rFonts w:asciiTheme="majorBidi" w:eastAsiaTheme="majorEastAsia" w:hAnsiTheme="majorBidi" w:cstheme="majorBidi"/>
        </w:rPr>
        <w:t>Genetic diversity indicators have multiple practical uses beyond reporting. They will help countries understand and mitigate genetic diversity loss by guiding conservation action, improve allocation of resources, and communicate to the public about genetic threats to flagship species. Also, genetic diversity indicators highlight how local populations provide adaptation and resilience, which facilitates empowerment and leverage for local communities and indigenous peoples. They are useful under other legislation including national level species protections</w:t>
      </w:r>
      <w:r w:rsidRPr="00ED7E61">
        <w:rPr>
          <w:rStyle w:val="normaltextrun"/>
        </w:rPr>
        <w:t> </w:t>
      </w:r>
    </w:p>
    <w:p w14:paraId="07042CE2" w14:textId="4AB65FC3" w:rsidR="00756F0F" w:rsidRPr="00ED7E61" w:rsidRDefault="00756F0F" w:rsidP="00B10F0C">
      <w:pPr>
        <w:pStyle w:val="CBDNormalNumber"/>
        <w:numPr>
          <w:ilvl w:val="0"/>
          <w:numId w:val="60"/>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What exactly is the Effective Population Size (Ne) 500 indicator?  This indicator is based on the knowledge that populations that are </w:t>
      </w:r>
      <w:proofErr w:type="gramStart"/>
      <w:r w:rsidRPr="00ED7E61">
        <w:rPr>
          <w:rStyle w:val="normaltextrun"/>
          <w:rFonts w:asciiTheme="majorBidi" w:eastAsiaTheme="majorEastAsia" w:hAnsiTheme="majorBidi" w:cstheme="majorBidi"/>
        </w:rPr>
        <w:t>small in size</w:t>
      </w:r>
      <w:proofErr w:type="gramEnd"/>
      <w:r w:rsidRPr="00ED7E61">
        <w:rPr>
          <w:rStyle w:val="normaltextrun"/>
          <w:rFonts w:asciiTheme="majorBidi" w:eastAsiaTheme="majorEastAsia" w:hAnsiTheme="majorBidi" w:cstheme="majorBidi"/>
        </w:rPr>
        <w:t xml:space="preserve"> (effective population size (Ne) &lt; 500) are highly susceptible to rapid loss of genetic diversity and are at high risk of extinction due to genetic threats. (figure </w:t>
      </w:r>
      <w:r w:rsidR="00FB33CD">
        <w:rPr>
          <w:rStyle w:val="normaltextrun"/>
          <w:rFonts w:asciiTheme="majorBidi" w:eastAsiaTheme="majorEastAsia" w:hAnsiTheme="majorBidi" w:cstheme="majorBidi"/>
        </w:rPr>
        <w:t>I</w:t>
      </w:r>
      <w:r w:rsidRPr="00ED7E61">
        <w:rPr>
          <w:rStyle w:val="normaltextrun"/>
          <w:rFonts w:asciiTheme="majorBidi" w:eastAsiaTheme="majorEastAsia" w:hAnsiTheme="majorBidi" w:cstheme="majorBidi"/>
        </w:rPr>
        <w:t>)</w:t>
      </w:r>
      <w:r w:rsidRPr="00ED7E61">
        <w:rPr>
          <w:rStyle w:val="normaltextrun"/>
        </w:rPr>
        <w:t> </w:t>
      </w:r>
    </w:p>
    <w:p w14:paraId="463A8AE1" w14:textId="16040F91" w:rsidR="00756F0F" w:rsidRPr="00ED7E61" w:rsidRDefault="00756F0F" w:rsidP="00B10F0C">
      <w:pPr>
        <w:pStyle w:val="CBDNormalNumber"/>
        <w:numPr>
          <w:ilvl w:val="0"/>
          <w:numId w:val="60"/>
        </w:numPr>
        <w:ind w:left="567" w:firstLine="0"/>
        <w:rPr>
          <w:rStyle w:val="normaltextrun"/>
        </w:rPr>
      </w:pPr>
      <w:r w:rsidRPr="00ED7E61">
        <w:rPr>
          <w:rStyle w:val="normaltextrun"/>
          <w:rFonts w:asciiTheme="majorBidi" w:eastAsiaTheme="majorEastAsia" w:hAnsiTheme="majorBidi" w:cstheme="majorBidi"/>
        </w:rPr>
        <w:t>Ne 500 is widely recognized by scientists and conservation practitioners as a “</w:t>
      </w:r>
      <w:r w:rsidRPr="00FB1598">
        <w:rPr>
          <w:rStyle w:val="normaltextrun"/>
          <w:rFonts w:asciiTheme="majorBidi" w:eastAsiaTheme="majorEastAsia" w:hAnsiTheme="majorBidi" w:cstheme="majorBidi"/>
          <w:i/>
          <w:iCs/>
        </w:rPr>
        <w:t>sufficient</w:t>
      </w:r>
      <w:r w:rsidRPr="00ED7E61">
        <w:rPr>
          <w:rStyle w:val="normaltextrun"/>
          <w:rFonts w:asciiTheme="majorBidi" w:eastAsiaTheme="majorEastAsia" w:hAnsiTheme="majorBidi" w:cstheme="majorBidi"/>
        </w:rPr>
        <w:t xml:space="preserve">” size to prevent loss of genetic diversity within populations (in this case, a statistic called </w:t>
      </w:r>
      <w:r w:rsidR="00C43C39">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heterozygosity</w:t>
      </w:r>
      <w:r w:rsidR="00C43C3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 Ne much higher than Ne 500 will reduce the risk of the loss of genetic diversity within populations to near zero. Much lower and genetic loss becomes rapid.</w:t>
      </w:r>
      <w:r w:rsidRPr="00ED7E61">
        <w:rPr>
          <w:rStyle w:val="normaltextrun"/>
        </w:rPr>
        <w:t> </w:t>
      </w:r>
    </w:p>
    <w:p w14:paraId="55DBC871" w14:textId="75C6F86F" w:rsidR="00DC0F01" w:rsidRPr="00ED7E61" w:rsidRDefault="00DC0F01" w:rsidP="00395866">
      <w:pPr>
        <w:pStyle w:val="paragraph"/>
        <w:spacing w:before="0" w:beforeAutospacing="0" w:after="0" w:afterAutospacing="0"/>
        <w:textAlignment w:val="baseline"/>
        <w:rPr>
          <w:rFonts w:asciiTheme="majorBidi" w:hAnsiTheme="majorBidi" w:cstheme="majorBidi"/>
          <w:sz w:val="22"/>
          <w:szCs w:val="22"/>
        </w:rPr>
      </w:pPr>
      <w:r w:rsidRPr="00ED7E61">
        <w:rPr>
          <w:noProof/>
          <w:lang w:val="fr-FR" w:eastAsia="fr-FR"/>
          <w14:ligatures w14:val="standardContextual"/>
        </w:rPr>
        <w:lastRenderedPageBreak/>
        <w:drawing>
          <wp:inline distT="0" distB="0" distL="0" distR="0" wp14:anchorId="6D35A984" wp14:editId="3EB51C12">
            <wp:extent cx="3171190" cy="3589020"/>
            <wp:effectExtent l="0" t="0" r="0" b="0"/>
            <wp:docPr id="39" name="image5.png" descr="A graph of a number of object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9" name="image5.png" descr="A graph of a number of objects&#10;&#10;Description automatically generated with medium confidence"/>
                    <pic:cNvPicPr/>
                  </pic:nvPicPr>
                  <pic:blipFill>
                    <a:blip r:embed="rId104"/>
                    <a:srcRect/>
                    <a:stretch>
                      <a:fillRect/>
                    </a:stretch>
                  </pic:blipFill>
                  <pic:spPr>
                    <a:xfrm>
                      <a:off x="0" y="0"/>
                      <a:ext cx="3171190" cy="3589020"/>
                    </a:xfrm>
                    <a:prstGeom prst="rect">
                      <a:avLst/>
                    </a:prstGeom>
                    <a:ln/>
                  </pic:spPr>
                </pic:pic>
              </a:graphicData>
            </a:graphic>
          </wp:inline>
        </w:drawing>
      </w:r>
    </w:p>
    <w:p w14:paraId="0805FD8A" w14:textId="64751CA4" w:rsidR="00FF6192" w:rsidRPr="00B3383B" w:rsidRDefault="00756F0F" w:rsidP="005B0D1E">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B3383B">
        <w:rPr>
          <w:rStyle w:val="normaltextrun"/>
          <w:rFonts w:asciiTheme="majorBidi" w:eastAsiaTheme="majorEastAsia" w:hAnsiTheme="majorBidi" w:cstheme="majorBidi"/>
          <w:sz w:val="22"/>
          <w:szCs w:val="22"/>
          <w:lang w:val="en-GB"/>
        </w:rPr>
        <w:t xml:space="preserve">Figure </w:t>
      </w:r>
      <w:r w:rsidR="00FB33CD" w:rsidRPr="00B3383B">
        <w:rPr>
          <w:rStyle w:val="normaltextrun"/>
          <w:rFonts w:asciiTheme="majorBidi" w:eastAsiaTheme="majorEastAsia" w:hAnsiTheme="majorBidi" w:cstheme="majorBidi"/>
          <w:sz w:val="22"/>
          <w:szCs w:val="22"/>
          <w:lang w:val="en-GB"/>
        </w:rPr>
        <w:t>I</w:t>
      </w:r>
    </w:p>
    <w:p w14:paraId="37D91604" w14:textId="5FDE6B28" w:rsidR="00756F0F" w:rsidRPr="00B3383B" w:rsidRDefault="00756F0F" w:rsidP="005B0D1E">
      <w:pPr>
        <w:pStyle w:val="paragraph"/>
        <w:spacing w:before="0" w:beforeAutospacing="0" w:after="0" w:afterAutospacing="0"/>
        <w:textAlignment w:val="baseline"/>
        <w:rPr>
          <w:rFonts w:asciiTheme="majorBidi" w:hAnsiTheme="majorBidi" w:cstheme="majorBidi"/>
          <w:b/>
          <w:bCs/>
          <w:sz w:val="22"/>
          <w:szCs w:val="22"/>
        </w:rPr>
      </w:pPr>
      <w:r w:rsidRPr="00B3383B">
        <w:rPr>
          <w:rStyle w:val="normaltextrun"/>
          <w:rFonts w:asciiTheme="majorBidi" w:eastAsiaTheme="majorEastAsia" w:hAnsiTheme="majorBidi" w:cstheme="majorBidi"/>
          <w:b/>
          <w:bCs/>
          <w:sz w:val="22"/>
          <w:szCs w:val="22"/>
          <w:lang w:val="en-GB"/>
        </w:rPr>
        <w:t xml:space="preserve">Illustration of loss of genetic diversity when Ne&lt;500. </w:t>
      </w:r>
      <w:r w:rsidR="00DC0F01" w:rsidRPr="00B3383B">
        <w:rPr>
          <w:rStyle w:val="normaltextrun"/>
          <w:rFonts w:asciiTheme="majorBidi" w:eastAsiaTheme="majorEastAsia" w:hAnsiTheme="majorBidi" w:cstheme="majorBidi"/>
          <w:b/>
          <w:bCs/>
          <w:sz w:val="22"/>
          <w:szCs w:val="22"/>
          <w:lang w:val="en-GB"/>
        </w:rPr>
        <w:t>Inspired by</w:t>
      </w:r>
      <w:r w:rsidRPr="00B3383B">
        <w:rPr>
          <w:rStyle w:val="normaltextrun"/>
          <w:rFonts w:asciiTheme="majorBidi" w:eastAsiaTheme="majorEastAsia" w:hAnsiTheme="majorBidi" w:cstheme="majorBidi"/>
          <w:b/>
          <w:bCs/>
          <w:sz w:val="22"/>
          <w:szCs w:val="22"/>
          <w:lang w:val="en-GB"/>
        </w:rPr>
        <w:t xml:space="preserve"> from Wil</w:t>
      </w:r>
      <w:r w:rsidR="00CB5FEE" w:rsidRPr="00B3383B">
        <w:rPr>
          <w:rStyle w:val="normaltextrun"/>
          <w:rFonts w:asciiTheme="majorBidi" w:eastAsiaTheme="majorEastAsia" w:hAnsiTheme="majorBidi" w:cstheme="majorBidi"/>
          <w:b/>
          <w:bCs/>
          <w:sz w:val="22"/>
          <w:szCs w:val="22"/>
          <w:lang w:val="en-GB"/>
        </w:rPr>
        <w:t>l</w:t>
      </w:r>
      <w:r w:rsidRPr="00B3383B">
        <w:rPr>
          <w:rStyle w:val="normaltextrun"/>
          <w:rFonts w:asciiTheme="majorBidi" w:eastAsiaTheme="majorEastAsia" w:hAnsiTheme="majorBidi" w:cstheme="majorBidi"/>
          <w:b/>
          <w:bCs/>
          <w:sz w:val="22"/>
          <w:szCs w:val="22"/>
          <w:lang w:val="en-GB"/>
        </w:rPr>
        <w:t>i et al</w:t>
      </w:r>
      <w:r w:rsidR="00442544">
        <w:rPr>
          <w:rStyle w:val="normaltextrun"/>
          <w:rFonts w:asciiTheme="majorBidi" w:eastAsiaTheme="majorEastAsia" w:hAnsiTheme="majorBidi" w:cstheme="majorBidi"/>
          <w:b/>
          <w:bCs/>
          <w:sz w:val="22"/>
          <w:szCs w:val="22"/>
          <w:lang w:val="en-GB"/>
        </w:rPr>
        <w:t>.</w:t>
      </w:r>
      <w:r w:rsidRPr="00B3383B">
        <w:rPr>
          <w:rStyle w:val="normaltextrun"/>
          <w:rFonts w:asciiTheme="majorBidi" w:eastAsiaTheme="majorEastAsia" w:hAnsiTheme="majorBidi" w:cstheme="majorBidi"/>
          <w:b/>
          <w:bCs/>
          <w:sz w:val="22"/>
          <w:szCs w:val="22"/>
          <w:lang w:val="en-GB"/>
        </w:rPr>
        <w:t>, Dec 2021 PNAS</w:t>
      </w:r>
      <w:r w:rsidRPr="00B3383B">
        <w:rPr>
          <w:rStyle w:val="eop"/>
          <w:rFonts w:asciiTheme="majorBidi" w:eastAsiaTheme="majorEastAsia" w:hAnsiTheme="majorBidi" w:cstheme="majorBidi"/>
          <w:b/>
          <w:bCs/>
          <w:sz w:val="22"/>
          <w:szCs w:val="22"/>
        </w:rPr>
        <w:t> </w:t>
      </w:r>
    </w:p>
    <w:p w14:paraId="1E2E5832" w14:textId="043EE21B" w:rsidR="00756F0F" w:rsidRPr="00ED7E61" w:rsidRDefault="00756F0F" w:rsidP="00B10F0C">
      <w:pPr>
        <w:pStyle w:val="CBDNormalNumber"/>
        <w:numPr>
          <w:ilvl w:val="0"/>
          <w:numId w:val="60"/>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Ne can be measured with and without DNA data. </w:t>
      </w:r>
      <w:r w:rsidR="00DC0F01" w:rsidRPr="00ED7E61">
        <w:rPr>
          <w:rStyle w:val="normaltextrun"/>
        </w:rPr>
        <w:t xml:space="preserve">With DNA data, multi-generational contemporary Ne can be calculated using established methods (Waples 2004). </w:t>
      </w:r>
      <w:r w:rsidRPr="00ED7E61">
        <w:rPr>
          <w:rStyle w:val="normaltextrun"/>
          <w:rFonts w:asciiTheme="majorBidi" w:eastAsiaTheme="majorEastAsia" w:hAnsiTheme="majorBidi" w:cstheme="majorBidi"/>
        </w:rPr>
        <w:t xml:space="preserve">Without DNA data, Ne can be approximated from population census size. Typically, Ne is about 0.1 of the census size. As </w:t>
      </w:r>
      <w:hyperlink r:id="rId105"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(2023b</w:t>
        </w:r>
      </w:hyperlink>
      <w:r w:rsidRPr="00ED7E61">
        <w:rPr>
          <w:rStyle w:val="normaltextrun"/>
          <w:rFonts w:asciiTheme="majorBidi" w:eastAsiaTheme="majorEastAsia" w:hAnsiTheme="majorBidi" w:cstheme="majorBidi"/>
        </w:rPr>
        <w:t xml:space="preserve">), </w:t>
      </w:r>
      <w:hyperlink r:id="rId106"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2023c</w:t>
        </w:r>
      </w:hyperlink>
      <w:r w:rsidRPr="00ED7E61">
        <w:rPr>
          <w:rStyle w:val="normaltextrun"/>
          <w:rFonts w:asciiTheme="majorBidi" w:eastAsiaTheme="majorEastAsia" w:hAnsiTheme="majorBidi" w:cstheme="majorBidi"/>
        </w:rPr>
        <w:t xml:space="preserve"> and </w:t>
      </w:r>
      <w:hyperlink r:id="rId107"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(2020)</w:t>
        </w:r>
      </w:hyperlink>
      <w:r w:rsidRPr="00ED7E61">
        <w:rPr>
          <w:rStyle w:val="normaltextrun"/>
          <w:rFonts w:asciiTheme="majorBidi" w:eastAsiaTheme="majorEastAsia" w:hAnsiTheme="majorBidi" w:cstheme="majorBidi"/>
        </w:rPr>
        <w:t xml:space="preserve"> and as a pilot application (explained below) show, there are many sources of census size data which countries can employ, including existing in-country data, expertise, and biodiversity infrastructure. </w:t>
      </w:r>
      <w:r w:rsidRPr="00ED7E61">
        <w:rPr>
          <w:rStyle w:val="normaltextrun"/>
        </w:rPr>
        <w:t> </w:t>
      </w:r>
    </w:p>
    <w:p w14:paraId="498C164A" w14:textId="1FF5A327" w:rsidR="00756F0F" w:rsidRPr="00ED7E61" w:rsidRDefault="00756F0F" w:rsidP="00B10F0C">
      <w:pPr>
        <w:pStyle w:val="CBDNormalNumber"/>
        <w:numPr>
          <w:ilvl w:val="0"/>
          <w:numId w:val="60"/>
        </w:numPr>
        <w:ind w:left="567" w:firstLine="0"/>
        <w:rPr>
          <w:rStyle w:val="normaltextrun"/>
        </w:rPr>
      </w:pPr>
      <w:r w:rsidRPr="00ED7E61">
        <w:rPr>
          <w:rStyle w:val="normaltextrun"/>
          <w:rFonts w:asciiTheme="majorBidi" w:eastAsiaTheme="majorEastAsia" w:hAnsiTheme="majorBidi" w:cstheme="majorBidi"/>
        </w:rPr>
        <w:t>The Ne 500 indicator is likely the best evidence of genetic status and risk of genetic erosion when DNA sequencing is not available (the case for most species globally). This indicator provides a measure of the loss or maintenance of genetic diversity within populations and is feasible and scalable for many species per country. Maintaining effective sizes above 500 will protect the genetic diversity within populations for many generations.</w:t>
      </w:r>
      <w:r w:rsidRPr="00ED7E61">
        <w:rPr>
          <w:rStyle w:val="normaltextrun"/>
        </w:rPr>
        <w:t> </w:t>
      </w:r>
      <w:r w:rsidR="00960CA6" w:rsidRPr="00ED7E61">
        <w:rPr>
          <w:rStyle w:val="normaltextrun"/>
        </w:rPr>
        <w:t>Effective size has already been used in livestock and fisheries management for decades, to conserve genetic diversity (though domesticated breeds may be allowed to have lower Ne because they do not experience as much natural selection).</w:t>
      </w:r>
    </w:p>
    <w:p w14:paraId="1E3FE510" w14:textId="065469F2" w:rsidR="00756F0F" w:rsidRPr="00ED7E61" w:rsidRDefault="00756F0F" w:rsidP="00B10F0C">
      <w:pPr>
        <w:pStyle w:val="CBDNormalNumber"/>
        <w:numPr>
          <w:ilvl w:val="0"/>
          <w:numId w:val="60"/>
        </w:numPr>
        <w:ind w:left="567" w:firstLine="0"/>
        <w:rPr>
          <w:rStyle w:val="normaltextrun"/>
          <w:rFonts w:eastAsiaTheme="majorEastAsia"/>
        </w:rPr>
      </w:pPr>
      <w:r w:rsidRPr="00ED7E61">
        <w:rPr>
          <w:rStyle w:val="normaltextrun"/>
          <w:rFonts w:asciiTheme="majorBidi" w:eastAsiaTheme="majorEastAsia" w:hAnsiTheme="majorBidi" w:cstheme="majorBidi"/>
        </w:rPr>
        <w:t>Thus, this indicator is directly relevant to Goal A, as it informs the health and resilience of species’ populations, their genetic diversity, and the threat of species extinction. Knowledge of species population’s effective size is relevant to Target 4 as it facilitates active management of species, ex situ breeding programs and informs the conservation efforts and recovery process of species populations following environmental disruption. The Ne 500 indicator is a Headline indicator for Goal A and Target 4. As noted by 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(2023a), the Ne 500 indicator is relevant to other targets such as sustainable harvest Targets 5</w:t>
      </w:r>
      <w:r w:rsidR="00960CA6"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9</w:t>
      </w:r>
      <w:r w:rsidR="00960CA6" w:rsidRPr="00ED7E61">
        <w:rPr>
          <w:rStyle w:val="normaltextrun"/>
          <w:rFonts w:asciiTheme="majorBidi" w:eastAsiaTheme="majorEastAsia" w:hAnsiTheme="majorBidi" w:cstheme="majorBidi"/>
        </w:rPr>
        <w:t xml:space="preserve"> and 10</w:t>
      </w:r>
      <w:r w:rsidRPr="00ED7E61">
        <w:rPr>
          <w:rStyle w:val="normaltextrun"/>
          <w:rFonts w:asciiTheme="majorBidi" w:eastAsiaTheme="majorEastAsia" w:hAnsiTheme="majorBidi" w:cstheme="majorBidi"/>
        </w:rPr>
        <w:t xml:space="preserve"> because harvested </w:t>
      </w:r>
      <w:r w:rsidR="00960CA6" w:rsidRPr="00ED7E61">
        <w:rPr>
          <w:rStyle w:val="normaltextrun"/>
          <w:rFonts w:asciiTheme="majorBidi" w:eastAsiaTheme="majorEastAsia" w:hAnsiTheme="majorBidi" w:cstheme="majorBidi"/>
        </w:rPr>
        <w:t xml:space="preserve">managed and cultivated </w:t>
      </w:r>
      <w:r w:rsidRPr="00ED7E61">
        <w:rPr>
          <w:rStyle w:val="normaltextrun"/>
          <w:rFonts w:asciiTheme="majorBidi" w:eastAsiaTheme="majorEastAsia" w:hAnsiTheme="majorBidi" w:cstheme="majorBidi"/>
        </w:rPr>
        <w:t>populations should be maintained at or above Ne 500. To ensure all genetically distinct populations are represented at sufficient sizes to maintain their persistence, it is relevant for Targets 1</w:t>
      </w:r>
      <w:r w:rsidR="00960CA6" w:rsidRPr="00ED7E61">
        <w:rPr>
          <w:rStyle w:val="normaltextrun"/>
          <w:rFonts w:asciiTheme="majorBidi" w:eastAsiaTheme="majorEastAsia" w:hAnsiTheme="majorBidi" w:cstheme="majorBidi"/>
        </w:rPr>
        <w:t>, 2 and</w:t>
      </w:r>
      <w:r w:rsidRPr="00ED7E61">
        <w:rPr>
          <w:rStyle w:val="normaltextrun"/>
          <w:rFonts w:asciiTheme="majorBidi" w:eastAsiaTheme="majorEastAsia" w:hAnsiTheme="majorBidi" w:cstheme="majorBidi"/>
        </w:rPr>
        <w:t xml:space="preserve"> 3 on biodiversity inclusive spatial planning</w:t>
      </w:r>
      <w:r w:rsidR="00960CA6" w:rsidRPr="00ED7E61">
        <w:rPr>
          <w:rStyle w:val="normaltextrun"/>
          <w:rFonts w:asciiTheme="majorBidi" w:eastAsiaTheme="majorEastAsia" w:hAnsiTheme="majorBidi" w:cstheme="majorBidi"/>
        </w:rPr>
        <w:t>, ecological restoration</w:t>
      </w:r>
      <w:r w:rsidRPr="00ED7E61">
        <w:rPr>
          <w:rStyle w:val="normaltextrun"/>
          <w:rFonts w:asciiTheme="majorBidi" w:eastAsiaTheme="majorEastAsia" w:hAnsiTheme="majorBidi" w:cstheme="majorBidi"/>
        </w:rPr>
        <w:t xml:space="preserve"> and representative protected areas, respectively, and Target 12 for increasing area and connectivity of green and blue spaces in urban environments to promote gene flow and species recovery. </w:t>
      </w:r>
      <w:r w:rsidRPr="00ED7E61">
        <w:rPr>
          <w:rStyle w:val="normaltextrun"/>
        </w:rPr>
        <w:t> </w:t>
      </w:r>
    </w:p>
    <w:p w14:paraId="14434891" w14:textId="34D5EBDE" w:rsidR="00756F0F" w:rsidRPr="00ED7E61" w:rsidRDefault="005E56F9" w:rsidP="00B10F0C">
      <w:pPr>
        <w:pStyle w:val="CBDNormalNumber"/>
        <w:numPr>
          <w:ilvl w:val="0"/>
          <w:numId w:val="60"/>
        </w:numPr>
        <w:ind w:left="567" w:firstLine="0"/>
        <w:rPr>
          <w:rStyle w:val="normaltextrun"/>
        </w:rPr>
      </w:pPr>
      <w:r w:rsidRPr="00ED7E61">
        <w:rPr>
          <w:noProof/>
          <w:lang w:val="fr-FR" w:eastAsia="fr-FR"/>
        </w:rPr>
        <w:lastRenderedPageBreak/>
        <w:drawing>
          <wp:anchor distT="0" distB="0" distL="0" distR="0" simplePos="0" relativeHeight="251657216" behindDoc="0" locked="0" layoutInCell="1" hidden="0" allowOverlap="1" wp14:anchorId="13B2064A" wp14:editId="00CC80DB">
            <wp:simplePos x="0" y="0"/>
            <wp:positionH relativeFrom="margin">
              <wp:align>left</wp:align>
            </wp:positionH>
            <wp:positionV relativeFrom="paragraph">
              <wp:posOffset>1198880</wp:posOffset>
            </wp:positionV>
            <wp:extent cx="5731510" cy="2484120"/>
            <wp:effectExtent l="0" t="0" r="2540" b="0"/>
            <wp:wrapSquare wrapText="bothSides" distT="0" distB="0" distL="0" distR="0"/>
            <wp:docPr id="31" name="image7.png" descr="A diagram of different types of genetic diversity&#10;&#10;Description automatically generated"/>
            <wp:cNvGraphicFramePr/>
            <a:graphic xmlns:a="http://schemas.openxmlformats.org/drawingml/2006/main">
              <a:graphicData uri="http://schemas.openxmlformats.org/drawingml/2006/picture">
                <pic:pic xmlns:pic="http://schemas.openxmlformats.org/drawingml/2006/picture">
                  <pic:nvPicPr>
                    <pic:cNvPr id="31" name="image7.png" descr="A diagram of different types of genetic diversity&#10;&#10;Description automatically generated"/>
                    <pic:cNvPicPr preferRelativeResize="0"/>
                  </pic:nvPicPr>
                  <pic:blipFill>
                    <a:blip r:embed="rId108"/>
                    <a:srcRect/>
                    <a:stretch>
                      <a:fillRect/>
                    </a:stretch>
                  </pic:blipFill>
                  <pic:spPr>
                    <a:xfrm>
                      <a:off x="0" y="0"/>
                      <a:ext cx="5731510" cy="2484120"/>
                    </a:xfrm>
                    <a:prstGeom prst="rect">
                      <a:avLst/>
                    </a:prstGeom>
                    <a:ln/>
                  </pic:spPr>
                </pic:pic>
              </a:graphicData>
            </a:graphic>
            <wp14:sizeRelV relativeFrom="margin">
              <wp14:pctHeight>0</wp14:pctHeight>
            </wp14:sizeRelV>
          </wp:anchor>
        </w:drawing>
      </w:r>
      <w:r w:rsidR="00756F0F" w:rsidRPr="00ED7E61">
        <w:rPr>
          <w:rStyle w:val="normaltextrun"/>
          <w:rFonts w:asciiTheme="majorBidi" w:eastAsiaTheme="majorEastAsia" w:hAnsiTheme="majorBidi" w:cstheme="majorBidi"/>
        </w:rPr>
        <w:t xml:space="preserve">The indicator is complementary to, and can be reported in, a genetic scorecard </w:t>
      </w:r>
      <w:hyperlink r:id="rId109" w:tgtFrame="_blank" w:history="1">
        <w:r w:rsidR="00756F0F" w:rsidRPr="00ED7E61">
          <w:rPr>
            <w:rStyle w:val="normaltextrun"/>
            <w:rFonts w:asciiTheme="majorBidi" w:eastAsiaTheme="majorEastAsia" w:hAnsiTheme="majorBidi" w:cstheme="majorBidi"/>
          </w:rPr>
          <w:t>(O’Brien et al. 2022</w:t>
        </w:r>
      </w:hyperlink>
      <w:r w:rsidR="00756F0F" w:rsidRPr="00ED7E61">
        <w:rPr>
          <w:rStyle w:val="normaltextrun"/>
          <w:rFonts w:asciiTheme="majorBidi" w:eastAsiaTheme="majorEastAsia" w:hAnsiTheme="majorBidi" w:cstheme="majorBidi"/>
        </w:rPr>
        <w:t>), a contribute to other indicators or initiatives (e.g. Key Biodiversity Areas, spatial planning, assessing protection level of species).  Note: the Ne 500 indicator is relevant for genetic diversity within populations and a separate indicator (i.e. complementary indicator for Goal A the “</w:t>
      </w:r>
      <w:r w:rsidR="00756F0F" w:rsidRPr="00FB1598">
        <w:rPr>
          <w:rStyle w:val="normaltextrun"/>
          <w:rFonts w:asciiTheme="majorBidi" w:eastAsiaTheme="majorEastAsia" w:hAnsiTheme="majorBidi" w:cstheme="majorBidi"/>
          <w:i/>
          <w:iCs/>
          <w:u w:val="single"/>
        </w:rPr>
        <w:t>proportion of populations maintained</w:t>
      </w:r>
      <w:r w:rsidR="00756F0F" w:rsidRPr="00ED7E61">
        <w:rPr>
          <w:rStyle w:val="normaltextrun"/>
          <w:rFonts w:asciiTheme="majorBidi" w:eastAsiaTheme="majorEastAsia" w:hAnsiTheme="majorBidi" w:cstheme="majorBidi"/>
        </w:rPr>
        <w:t>”) is necessary for maintaining genetic diversity among populations. Experts agree that both indicators are critical for assessing and monitoring the genetic health of species (Hoban et al</w:t>
      </w:r>
      <w:r w:rsidR="00FF0D09">
        <w:rPr>
          <w:rStyle w:val="normaltextrun"/>
          <w:rFonts w:asciiTheme="majorBidi" w:eastAsiaTheme="majorEastAsia" w:hAnsiTheme="majorBidi" w:cstheme="majorBidi"/>
        </w:rPr>
        <w:t>.</w:t>
      </w:r>
      <w:r w:rsidR="00756F0F" w:rsidRPr="00ED7E61">
        <w:rPr>
          <w:rStyle w:val="normaltextrun"/>
          <w:rFonts w:asciiTheme="majorBidi" w:eastAsiaTheme="majorEastAsia" w:hAnsiTheme="majorBidi" w:cstheme="majorBidi"/>
        </w:rPr>
        <w:t xml:space="preserve"> 2020, Hoban et al</w:t>
      </w:r>
      <w:r w:rsidR="00FF0D09">
        <w:rPr>
          <w:rStyle w:val="normaltextrun"/>
          <w:rFonts w:asciiTheme="majorBidi" w:eastAsiaTheme="majorEastAsia" w:hAnsiTheme="majorBidi" w:cstheme="majorBidi"/>
        </w:rPr>
        <w:t>.</w:t>
      </w:r>
      <w:r w:rsidR="00756F0F" w:rsidRPr="00ED7E61">
        <w:rPr>
          <w:rStyle w:val="normaltextrun"/>
          <w:rFonts w:asciiTheme="majorBidi" w:eastAsiaTheme="majorEastAsia" w:hAnsiTheme="majorBidi" w:cstheme="majorBidi"/>
        </w:rPr>
        <w:t xml:space="preserve"> 2023b).</w:t>
      </w:r>
      <w:r w:rsidR="00756F0F" w:rsidRPr="00ED7E61">
        <w:rPr>
          <w:rStyle w:val="normaltextrun"/>
        </w:rPr>
        <w:t> </w:t>
      </w:r>
    </w:p>
    <w:p w14:paraId="29FC1044" w14:textId="1DD0A1DC" w:rsidR="00491FD3" w:rsidRPr="00ED7E61" w:rsidRDefault="00491FD3" w:rsidP="00960CA6">
      <w:pPr>
        <w:pStyle w:val="paragraph"/>
        <w:spacing w:before="0" w:beforeAutospacing="0" w:after="0" w:afterAutospacing="0"/>
        <w:textAlignment w:val="baseline"/>
        <w:rPr>
          <w:rStyle w:val="eop"/>
          <w:rFonts w:asciiTheme="majorBidi" w:eastAsiaTheme="majorEastAsia" w:hAnsiTheme="majorBidi" w:cstheme="majorBidi"/>
          <w:sz w:val="22"/>
          <w:szCs w:val="22"/>
        </w:rPr>
      </w:pPr>
    </w:p>
    <w:p w14:paraId="0B3FEE04" w14:textId="53F772CF" w:rsidR="00DA2A18" w:rsidRPr="00ED7E61" w:rsidRDefault="00DA2A18" w:rsidP="00DA2A18">
      <w:pPr>
        <w:pStyle w:val="paragraph"/>
        <w:spacing w:before="0" w:beforeAutospacing="0" w:after="0" w:afterAutospacing="0"/>
        <w:textAlignment w:val="baseline"/>
        <w:rPr>
          <w:rFonts w:asciiTheme="majorBidi" w:hAnsiTheme="majorBidi" w:cstheme="majorBidi"/>
          <w:sz w:val="22"/>
          <w:szCs w:val="22"/>
        </w:rPr>
      </w:pPr>
      <w:r w:rsidRPr="00B3383B">
        <w:rPr>
          <w:rStyle w:val="normaltextrun"/>
          <w:rFonts w:asciiTheme="majorBidi" w:eastAsiaTheme="majorEastAsia" w:hAnsiTheme="majorBidi" w:cstheme="majorBidi"/>
          <w:sz w:val="22"/>
          <w:szCs w:val="22"/>
          <w:lang w:val="en-GB"/>
        </w:rPr>
        <w:t xml:space="preserve">Figure </w:t>
      </w:r>
      <w:r w:rsidR="00FB33CD" w:rsidRPr="00B3383B">
        <w:rPr>
          <w:rStyle w:val="normaltextrun"/>
          <w:rFonts w:asciiTheme="majorBidi" w:eastAsiaTheme="majorEastAsia" w:hAnsiTheme="majorBidi" w:cstheme="majorBidi"/>
          <w:sz w:val="22"/>
          <w:szCs w:val="22"/>
          <w:lang w:val="en-GB"/>
        </w:rPr>
        <w:t>II</w:t>
      </w:r>
      <w:r w:rsidR="00FF6192">
        <w:rPr>
          <w:rStyle w:val="normaltextrun"/>
          <w:rFonts w:asciiTheme="majorBidi" w:eastAsiaTheme="majorEastAsia" w:hAnsiTheme="majorBidi" w:cstheme="majorBidi"/>
          <w:b/>
          <w:bCs/>
          <w:i/>
          <w:iCs/>
          <w:sz w:val="22"/>
          <w:szCs w:val="22"/>
          <w:lang w:val="en-GB"/>
        </w:rPr>
        <w:br/>
      </w:r>
      <w:r w:rsidR="00CB5FEE" w:rsidRPr="00B3383B">
        <w:rPr>
          <w:rStyle w:val="normaltextrun"/>
          <w:rFonts w:asciiTheme="majorBidi" w:eastAsiaTheme="majorEastAsia" w:hAnsiTheme="majorBidi" w:cstheme="majorBidi"/>
          <w:b/>
          <w:bCs/>
          <w:sz w:val="22"/>
          <w:szCs w:val="22"/>
          <w:lang w:val="en-GB"/>
        </w:rPr>
        <w:t>Graphical representation of genetic diversity los</w:t>
      </w:r>
      <w:r w:rsidR="00960CA6" w:rsidRPr="00B3383B">
        <w:rPr>
          <w:rStyle w:val="normaltextrun"/>
          <w:rFonts w:asciiTheme="majorBidi" w:eastAsiaTheme="majorEastAsia" w:hAnsiTheme="majorBidi" w:cstheme="majorBidi"/>
          <w:b/>
          <w:bCs/>
          <w:sz w:val="22"/>
          <w:szCs w:val="22"/>
          <w:lang w:val="en-GB"/>
        </w:rPr>
        <w:t>s through loss of populations (left) and reduction in population size (right)</w:t>
      </w:r>
      <w:r w:rsidRPr="00B3383B">
        <w:rPr>
          <w:rStyle w:val="normaltextrun"/>
          <w:rFonts w:asciiTheme="majorBidi" w:eastAsiaTheme="majorEastAsia" w:hAnsiTheme="majorBidi" w:cstheme="majorBidi"/>
          <w:b/>
          <w:bCs/>
          <w:sz w:val="22"/>
          <w:szCs w:val="22"/>
          <w:lang w:val="en-GB"/>
        </w:rPr>
        <w:t>.</w:t>
      </w:r>
      <w:r w:rsidRPr="00ED7E61">
        <w:rPr>
          <w:rStyle w:val="normaltextrun"/>
          <w:rFonts w:asciiTheme="majorBidi" w:eastAsiaTheme="majorEastAsia" w:hAnsiTheme="majorBidi" w:cstheme="majorBidi"/>
          <w:i/>
          <w:iCs/>
          <w:sz w:val="22"/>
          <w:szCs w:val="22"/>
          <w:lang w:val="en-GB"/>
        </w:rPr>
        <w:t> </w:t>
      </w:r>
      <w:r w:rsidR="00FF6192">
        <w:rPr>
          <w:rStyle w:val="normaltextrun"/>
          <w:rFonts w:asciiTheme="majorBidi" w:eastAsiaTheme="majorEastAsia" w:hAnsiTheme="majorBidi" w:cstheme="majorBidi"/>
          <w:i/>
          <w:iCs/>
          <w:sz w:val="22"/>
          <w:szCs w:val="22"/>
          <w:lang w:val="en-GB"/>
        </w:rPr>
        <w:br/>
      </w:r>
      <w:r w:rsidRPr="00ED7E61">
        <w:rPr>
          <w:rStyle w:val="normaltextrun"/>
          <w:rFonts w:asciiTheme="majorBidi" w:eastAsiaTheme="majorEastAsia" w:hAnsiTheme="majorBidi" w:cstheme="majorBidi"/>
          <w:i/>
          <w:iCs/>
          <w:sz w:val="22"/>
          <w:szCs w:val="22"/>
          <w:lang w:val="en-GB"/>
        </w:rPr>
        <w:t xml:space="preserve">The Headline Indicator A.4 is shown on the right- </w:t>
      </w:r>
      <w:r w:rsidR="00960CA6" w:rsidRPr="00ED7E61">
        <w:rPr>
          <w:rStyle w:val="normaltextrun"/>
          <w:rFonts w:asciiTheme="majorBidi" w:eastAsiaTheme="majorEastAsia" w:hAnsiTheme="majorBidi" w:cstheme="majorBidi"/>
          <w:i/>
          <w:iCs/>
          <w:sz w:val="22"/>
          <w:szCs w:val="22"/>
          <w:lang w:val="en-GB"/>
        </w:rPr>
        <w:t xml:space="preserve">when </w:t>
      </w:r>
      <w:r w:rsidRPr="00ED7E61">
        <w:rPr>
          <w:rStyle w:val="normaltextrun"/>
          <w:rFonts w:asciiTheme="majorBidi" w:eastAsiaTheme="majorEastAsia" w:hAnsiTheme="majorBidi" w:cstheme="majorBidi"/>
          <w:i/>
          <w:iCs/>
          <w:sz w:val="22"/>
          <w:szCs w:val="22"/>
          <w:lang w:val="en-GB"/>
        </w:rPr>
        <w:t xml:space="preserve">small populations lose genetic diversity.  Complementary indicator on loss of populations is shown on the </w:t>
      </w:r>
      <w:r w:rsidR="00527059" w:rsidRPr="00ED7E61">
        <w:rPr>
          <w:rStyle w:val="normaltextrun"/>
          <w:rFonts w:asciiTheme="majorBidi" w:eastAsiaTheme="majorEastAsia" w:hAnsiTheme="majorBidi" w:cstheme="majorBidi"/>
          <w:i/>
          <w:iCs/>
          <w:sz w:val="22"/>
          <w:szCs w:val="22"/>
          <w:lang w:val="en-GB"/>
        </w:rPr>
        <w:t>left</w:t>
      </w:r>
      <w:r w:rsidR="00960CA6" w:rsidRPr="00ED7E61">
        <w:rPr>
          <w:rStyle w:val="normaltextrun"/>
          <w:rFonts w:asciiTheme="majorBidi" w:eastAsiaTheme="majorEastAsia" w:hAnsiTheme="majorBidi" w:cstheme="majorBidi"/>
          <w:i/>
          <w:iCs/>
          <w:sz w:val="22"/>
          <w:szCs w:val="22"/>
          <w:lang w:val="en-GB"/>
        </w:rPr>
        <w:t xml:space="preserve"> where species lose genetic diversity when distinct populations are lost</w:t>
      </w:r>
      <w:r w:rsidRPr="00ED7E61">
        <w:rPr>
          <w:rStyle w:val="normaltextrun"/>
          <w:rFonts w:asciiTheme="majorBidi" w:eastAsiaTheme="majorEastAsia" w:hAnsiTheme="majorBidi" w:cstheme="majorBidi"/>
          <w:i/>
          <w:iCs/>
          <w:sz w:val="22"/>
          <w:szCs w:val="22"/>
          <w:lang w:val="en-GB"/>
        </w:rPr>
        <w:t>. Legend: Colo</w:t>
      </w:r>
      <w:r w:rsidR="00EC1EE5" w:rsidRPr="00ED7E61">
        <w:rPr>
          <w:rStyle w:val="normaltextrun"/>
          <w:rFonts w:asciiTheme="majorBidi" w:eastAsiaTheme="majorEastAsia" w:hAnsiTheme="majorBidi" w:cstheme="majorBidi"/>
          <w:i/>
          <w:iCs/>
          <w:sz w:val="22"/>
          <w:szCs w:val="22"/>
          <w:lang w:val="en-GB"/>
        </w:rPr>
        <w:t>u</w:t>
      </w:r>
      <w:r w:rsidRPr="00ED7E61">
        <w:rPr>
          <w:rStyle w:val="normaltextrun"/>
          <w:rFonts w:asciiTheme="majorBidi" w:eastAsiaTheme="majorEastAsia" w:hAnsiTheme="majorBidi" w:cstheme="majorBidi"/>
          <w:i/>
          <w:iCs/>
          <w:sz w:val="22"/>
          <w:szCs w:val="22"/>
          <w:lang w:val="en-GB"/>
        </w:rPr>
        <w:t>rs represent different genetic compositions</w:t>
      </w:r>
      <w:r w:rsidRPr="00ED7E61">
        <w:rPr>
          <w:rStyle w:val="normaltextrun"/>
          <w:rFonts w:asciiTheme="majorBidi" w:eastAsiaTheme="majorEastAsia"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303E92B7" w14:textId="77777777" w:rsidR="005F3651" w:rsidRPr="00ED7E61" w:rsidRDefault="005F3651" w:rsidP="00395866">
      <w:pPr>
        <w:pStyle w:val="paragraph"/>
        <w:spacing w:before="0" w:beforeAutospacing="0" w:after="0" w:afterAutospacing="0"/>
        <w:textAlignment w:val="baseline"/>
        <w:rPr>
          <w:rFonts w:asciiTheme="majorBidi" w:hAnsiTheme="majorBidi" w:cstheme="majorBidi"/>
          <w:sz w:val="22"/>
          <w:szCs w:val="22"/>
        </w:rPr>
      </w:pPr>
    </w:p>
    <w:p w14:paraId="7443AD8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 Definitions, concepts and classifications</w:t>
      </w:r>
      <w:r w:rsidRPr="00ED7E61">
        <w:rPr>
          <w:rStyle w:val="eop"/>
          <w:rFonts w:asciiTheme="majorBidi" w:eastAsiaTheme="majorEastAsia" w:hAnsiTheme="majorBidi" w:cstheme="majorBidi"/>
          <w:sz w:val="22"/>
          <w:szCs w:val="22"/>
        </w:rPr>
        <w:t> </w:t>
      </w:r>
    </w:p>
    <w:p w14:paraId="6364FF7D" w14:textId="77777777" w:rsidR="00756F0F" w:rsidRPr="00ED7E61" w:rsidRDefault="00756F0F" w:rsidP="00B3383B">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5a. Definition: </w:t>
      </w:r>
      <w:r w:rsidRPr="00ED7E61">
        <w:rPr>
          <w:rStyle w:val="eop"/>
          <w:rFonts w:asciiTheme="majorBidi" w:eastAsiaTheme="majorEastAsia" w:hAnsiTheme="majorBidi" w:cstheme="majorBidi"/>
          <w:sz w:val="22"/>
          <w:szCs w:val="22"/>
        </w:rPr>
        <w:t> </w:t>
      </w:r>
    </w:p>
    <w:p w14:paraId="34AA4A8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Indicator definition</w:t>
      </w:r>
      <w:r w:rsidRPr="00ED7E61">
        <w:rPr>
          <w:rStyle w:val="normaltextrun"/>
          <w:rFonts w:asciiTheme="majorBidi" w:eastAsiaTheme="majorEastAsia" w:hAnsiTheme="majorBidi" w:cstheme="majorBidi"/>
          <w:color w:val="000000"/>
          <w:sz w:val="22"/>
          <w:szCs w:val="22"/>
          <w:lang w:val="en-AU"/>
        </w:rPr>
        <w:t>: </w:t>
      </w:r>
      <w:r w:rsidRPr="00ED7E61">
        <w:rPr>
          <w:rStyle w:val="eop"/>
          <w:rFonts w:asciiTheme="majorBidi" w:eastAsiaTheme="majorEastAsia" w:hAnsiTheme="majorBidi" w:cstheme="majorBidi"/>
          <w:color w:val="000000"/>
          <w:sz w:val="22"/>
          <w:szCs w:val="22"/>
        </w:rPr>
        <w:t> </w:t>
      </w:r>
    </w:p>
    <w:p w14:paraId="03FA215F" w14:textId="0E3A4437" w:rsidR="00756F0F" w:rsidRPr="00ED7E61" w:rsidRDefault="00756F0F" w:rsidP="00B10F0C">
      <w:pPr>
        <w:pStyle w:val="CBDNormalNumber"/>
        <w:numPr>
          <w:ilvl w:val="0"/>
          <w:numId w:val="60"/>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indicator, “</w:t>
      </w:r>
      <w:r w:rsidRPr="00FB1598">
        <w:rPr>
          <w:rStyle w:val="normaltextrun"/>
          <w:rFonts w:asciiTheme="majorBidi" w:eastAsiaTheme="majorEastAsia" w:hAnsiTheme="majorBidi" w:cstheme="majorBidi"/>
          <w:i/>
          <w:iCs/>
        </w:rPr>
        <w:t>The proportion of populations within species with a genetically effective population size &gt; 500.</w:t>
      </w:r>
      <w:r w:rsidRPr="00ED7E61">
        <w:rPr>
          <w:rStyle w:val="normaltextrun"/>
          <w:rFonts w:asciiTheme="majorBidi" w:eastAsiaTheme="majorEastAsia" w:hAnsiTheme="majorBidi" w:cstheme="majorBidi"/>
        </w:rPr>
        <w:t>” is calculated by taking each population</w:t>
      </w:r>
      <w:r w:rsidR="00960CA6" w:rsidRPr="00ED7E61">
        <w:rPr>
          <w:rStyle w:val="normaltextrun"/>
          <w:rFonts w:asciiTheme="majorBidi" w:eastAsiaTheme="majorEastAsia" w:hAnsiTheme="majorBidi" w:cstheme="majorBidi"/>
        </w:rPr>
        <w:t xml:space="preserve"> (or breed)</w:t>
      </w:r>
      <w:r w:rsidRPr="00ED7E61">
        <w:rPr>
          <w:rStyle w:val="normaltextrun"/>
          <w:rFonts w:asciiTheme="majorBidi" w:eastAsiaTheme="majorEastAsia" w:hAnsiTheme="majorBidi" w:cstheme="majorBidi"/>
        </w:rPr>
        <w:t xml:space="preserve"> of a species, determining if each population is above the threshold of Ne 500, calculating a proportion of populations above the threshold for each species, and then taking a mean of these proportions across all species examined, as explained in </w:t>
      </w:r>
      <w:hyperlink r:id="rId110"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(2023b)</w:t>
        </w:r>
      </w:hyperlink>
      <w:r w:rsidRPr="00ED7E61">
        <w:rPr>
          <w:rStyle w:val="normaltextrun"/>
          <w:rFonts w:asciiTheme="majorBidi" w:eastAsiaTheme="majorEastAsia" w:hAnsiTheme="majorBidi" w:cstheme="majorBidi"/>
        </w:rPr>
        <w:t xml:space="preserve"> and </w:t>
      </w:r>
      <w:hyperlink r:id="rId111"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2023c</w:t>
        </w:r>
      </w:hyperlink>
      <w:r w:rsidRPr="00ED7E61">
        <w:rPr>
          <w:rStyle w:val="normaltextrun"/>
          <w:rFonts w:asciiTheme="majorBidi" w:eastAsiaTheme="majorEastAsia" w:hAnsiTheme="majorBidi" w:cstheme="majorBidi"/>
        </w:rPr>
        <w:t xml:space="preserve">. As a proportion it ranges from 0 to 1, with 1 as the desired value. As explained in </w:t>
      </w:r>
      <w:hyperlink r:id="rId112" w:tgtFrame="_blank" w:history="1">
        <w:r w:rsidR="00960CA6"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00960CA6" w:rsidRPr="00ED7E61">
          <w:rPr>
            <w:rStyle w:val="normaltextrun"/>
            <w:rFonts w:asciiTheme="majorBidi" w:eastAsiaTheme="majorEastAsia" w:hAnsiTheme="majorBidi" w:cstheme="majorBidi"/>
          </w:rPr>
          <w:t xml:space="preserve"> (2023b)</w:t>
        </w:r>
      </w:hyperlink>
      <w:r w:rsidR="00960CA6"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which contains the basic equations for calculation, the indicator can be weighted by taxonomic groups or other categories to offset any biases in the species selected (e.g. due to having more birds, more rare species etc.).</w:t>
      </w:r>
    </w:p>
    <w:p w14:paraId="2DDEE472"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Other key concepts and definitions:</w:t>
      </w:r>
      <w:r w:rsidRPr="00ED7E61">
        <w:rPr>
          <w:rStyle w:val="eop"/>
          <w:rFonts w:asciiTheme="majorBidi" w:eastAsiaTheme="majorEastAsia" w:hAnsiTheme="majorBidi" w:cstheme="majorBidi"/>
          <w:color w:val="000000"/>
          <w:sz w:val="22"/>
          <w:szCs w:val="22"/>
        </w:rPr>
        <w:t> </w:t>
      </w:r>
    </w:p>
    <w:p w14:paraId="6C51B803" w14:textId="741BA845" w:rsidR="00960CA6" w:rsidRPr="00B3383B" w:rsidRDefault="00756F0F" w:rsidP="00B10F0C">
      <w:pPr>
        <w:pStyle w:val="CBDNormalNumber"/>
        <w:numPr>
          <w:ilvl w:val="0"/>
          <w:numId w:val="60"/>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Effective population size (Ne) is a way to quantify the rate of genetic change, or genetic erosion. Effective population size of a population is related to the number of </w:t>
      </w:r>
      <w:r w:rsidR="00960CA6" w:rsidRPr="00ED7E61">
        <w:rPr>
          <w:rStyle w:val="normaltextrun"/>
          <w:rFonts w:asciiTheme="majorBidi" w:eastAsiaTheme="majorEastAsia" w:hAnsiTheme="majorBidi" w:cstheme="majorBidi"/>
        </w:rPr>
        <w:t xml:space="preserve">breeding adults </w:t>
      </w:r>
      <w:r w:rsidRPr="00ED7E61">
        <w:rPr>
          <w:rStyle w:val="normaltextrun"/>
          <w:rFonts w:asciiTheme="majorBidi" w:eastAsiaTheme="majorEastAsia" w:hAnsiTheme="majorBidi" w:cstheme="majorBidi"/>
        </w:rPr>
        <w:t>contribut</w:t>
      </w:r>
      <w:r w:rsidR="00960CA6" w:rsidRPr="00ED7E61">
        <w:rPr>
          <w:rStyle w:val="normaltextrun"/>
          <w:rFonts w:asciiTheme="majorBidi" w:eastAsiaTheme="majorEastAsia" w:hAnsiTheme="majorBidi" w:cstheme="majorBidi"/>
        </w:rPr>
        <w:t>ing</w:t>
      </w:r>
      <w:r w:rsidRPr="00ED7E61">
        <w:rPr>
          <w:rStyle w:val="normaltextrun"/>
          <w:rFonts w:asciiTheme="majorBidi" w:eastAsiaTheme="majorEastAsia" w:hAnsiTheme="majorBidi" w:cstheme="majorBidi"/>
        </w:rPr>
        <w:t xml:space="preserve"> offspring to the next generation,</w:t>
      </w:r>
      <w:r w:rsidR="00960CA6" w:rsidRPr="00ED7E61">
        <w:rPr>
          <w:rStyle w:val="normaltextrun"/>
          <w:rFonts w:asciiTheme="majorBidi" w:eastAsiaTheme="majorEastAsia" w:hAnsiTheme="majorBidi" w:cstheme="majorBidi"/>
        </w:rPr>
        <w:t xml:space="preserve"> averaged across very recent time,</w:t>
      </w:r>
      <w:r w:rsidRPr="00ED7E61">
        <w:rPr>
          <w:rStyle w:val="normaltextrun"/>
          <w:rFonts w:asciiTheme="majorBidi" w:eastAsiaTheme="majorEastAsia" w:hAnsiTheme="majorBidi" w:cstheme="majorBidi"/>
        </w:rPr>
        <w:t xml:space="preserve"> the relative evenness of their offspring production, sex ratio, and other factors. The current state of Ne has important meaning as it represents ongoing genetic erosion. Any population with Ne below 500 is likely </w:t>
      </w:r>
      <w:r w:rsidR="008676D1">
        <w:rPr>
          <w:rStyle w:val="normaltextrun"/>
          <w:rFonts w:asciiTheme="majorBidi" w:eastAsiaTheme="majorEastAsia" w:hAnsiTheme="majorBidi" w:cstheme="majorBidi"/>
        </w:rPr>
        <w:t xml:space="preserve">to be </w:t>
      </w:r>
      <w:r w:rsidRPr="00ED7E61">
        <w:rPr>
          <w:rStyle w:val="normaltextrun"/>
          <w:rFonts w:asciiTheme="majorBidi" w:eastAsiaTheme="majorEastAsia" w:hAnsiTheme="majorBidi" w:cstheme="majorBidi"/>
        </w:rPr>
        <w:t xml:space="preserve">losing genetic diversity </w:t>
      </w:r>
      <w:proofErr w:type="gramStart"/>
      <w:r w:rsidRPr="00ED7E61">
        <w:rPr>
          <w:rStyle w:val="normaltextrun"/>
          <w:rFonts w:asciiTheme="majorBidi" w:eastAsiaTheme="majorEastAsia" w:hAnsiTheme="majorBidi" w:cstheme="majorBidi"/>
        </w:rPr>
        <w:t>fairly quickly</w:t>
      </w:r>
      <w:proofErr w:type="gramEnd"/>
      <w:r w:rsidRPr="00ED7E61">
        <w:rPr>
          <w:rStyle w:val="normaltextrun"/>
          <w:rFonts w:asciiTheme="majorBidi" w:eastAsiaTheme="majorEastAsia" w:hAnsiTheme="majorBidi" w:cstheme="majorBidi"/>
        </w:rPr>
        <w:t>, and signals ongoing loss of genetic diversity. </w:t>
      </w:r>
      <w:r w:rsidRPr="00ED7E61">
        <w:rPr>
          <w:rStyle w:val="normaltextrun"/>
        </w:rPr>
        <w:t> </w:t>
      </w:r>
      <w:r w:rsidR="00960CA6" w:rsidRPr="00ED7E61">
        <w:rPr>
          <w:rStyle w:val="normaltextrun"/>
        </w:rPr>
        <w:t xml:space="preserve">For </w:t>
      </w:r>
      <w:r w:rsidR="00960CA6" w:rsidRPr="00ED7E61">
        <w:rPr>
          <w:rStyle w:val="normaltextrun"/>
        </w:rPr>
        <w:lastRenderedPageBreak/>
        <w:t>domesticated breeds, a lower Ne may suffice, but Ne 500 is a conservative and useful threshold that could be applied to domestic breeds</w:t>
      </w:r>
      <w:r w:rsidR="00FF6192">
        <w:rPr>
          <w:rStyle w:val="normaltextrun"/>
        </w:rPr>
        <w:t>.</w:t>
      </w:r>
    </w:p>
    <w:p w14:paraId="153B40FC" w14:textId="0DC67459" w:rsidR="00756F0F" w:rsidRPr="00ED7E61" w:rsidRDefault="00756F0F" w:rsidP="00B10F0C">
      <w:pPr>
        <w:pStyle w:val="CBDNormalNumber"/>
        <w:numPr>
          <w:ilvl w:val="0"/>
          <w:numId w:val="60"/>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effective population size may be a fraction (e.g. 10%) of the species census population size (Nc), which is the number of adult individuals present in a discrete area. As noted below, a fraction of 1/10th is widely recognized as a slightly conservative and reliable ratio between </w:t>
      </w:r>
      <w:proofErr w:type="spellStart"/>
      <w:r w:rsidRPr="00ED7E61">
        <w:rPr>
          <w:rStyle w:val="normaltextrun"/>
          <w:rFonts w:asciiTheme="majorBidi" w:eastAsiaTheme="majorEastAsia" w:hAnsiTheme="majorBidi" w:cstheme="majorBidi"/>
        </w:rPr>
        <w:t>Ne:Nc</w:t>
      </w:r>
      <w:proofErr w:type="spellEnd"/>
      <w:r w:rsidRPr="00ED7E61">
        <w:rPr>
          <w:rStyle w:val="normaltextrun"/>
          <w:rFonts w:asciiTheme="majorBidi" w:eastAsiaTheme="majorEastAsia" w:hAnsiTheme="majorBidi" w:cstheme="majorBidi"/>
        </w:rPr>
        <w:t>. When knowledge exists for a certain taxonomic group, an alternate fraction may be used.</w:t>
      </w:r>
      <w:r w:rsidRPr="00ED7E61">
        <w:rPr>
          <w:rStyle w:val="normaltextrun"/>
        </w:rPr>
        <w:t> </w:t>
      </w:r>
    </w:p>
    <w:p w14:paraId="4510AC2E" w14:textId="248892D9" w:rsidR="00960CA6" w:rsidRPr="00ED7E61" w:rsidRDefault="00756F0F" w:rsidP="00B10F0C">
      <w:pPr>
        <w:pStyle w:val="CBDNormalNumber"/>
        <w:numPr>
          <w:ilvl w:val="0"/>
          <w:numId w:val="60"/>
        </w:numPr>
        <w:ind w:left="567" w:firstLine="0"/>
      </w:pPr>
      <w:r w:rsidRPr="00ED7E61">
        <w:rPr>
          <w:rStyle w:val="normaltextrun"/>
          <w:rFonts w:asciiTheme="majorBidi" w:eastAsiaTheme="majorEastAsia" w:hAnsiTheme="majorBidi" w:cstheme="majorBidi"/>
        </w:rPr>
        <w:t>To maintain genetic diversity typically means that the amount of genetic diversity (alleles, heterozygosity) does not decrease, and there is no loss of within-population genetic diversity or among population genetic diversity; the precise genetic composition may shift for adapting to environmental change. The Ne 500 indicator ensures maintenance of within-population genetic diversity. Some scientists have argued for a more conservative minimum Ne of 1</w:t>
      </w:r>
      <w:r w:rsidR="008676D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000, though the Ne 500 recommendation remains common and well supported.</w:t>
      </w:r>
      <w:r w:rsidRPr="00ED7E61">
        <w:rPr>
          <w:rStyle w:val="normaltextrun"/>
        </w:rPr>
        <w:t> </w:t>
      </w:r>
      <w:r w:rsidR="00960CA6" w:rsidRPr="00ED7E61">
        <w:rPr>
          <w:rStyle w:val="normaltextrun"/>
        </w:rPr>
        <w:t>For some domesticated species alternative minimum Ne values have been recommended by organizations such as the UN Food and Agriculture Organization</w:t>
      </w:r>
    </w:p>
    <w:p w14:paraId="272DAC2F" w14:textId="77777777" w:rsidR="00756F0F" w:rsidRPr="00ED7E61" w:rsidRDefault="00756F0F" w:rsidP="00B10F0C">
      <w:pPr>
        <w:pStyle w:val="CBDNormalNumber"/>
        <w:numPr>
          <w:ilvl w:val="0"/>
          <w:numId w:val="60"/>
        </w:numPr>
        <w:ind w:left="567" w:firstLine="0"/>
        <w:rPr>
          <w:rStyle w:val="normaltextrun"/>
          <w:rFonts w:eastAsiaTheme="majorEastAsia"/>
        </w:rPr>
      </w:pPr>
      <w:r w:rsidRPr="00ED7E61">
        <w:rPr>
          <w:rStyle w:val="normaltextrun"/>
          <w:rFonts w:asciiTheme="majorBidi" w:eastAsiaTheme="majorEastAsia" w:hAnsiTheme="majorBidi" w:cstheme="majorBidi"/>
        </w:rPr>
        <w:t>To safeguard genetic diversity means to protect genetic diversity e.g. with in situ and ex situ protective measures (e.g. seed banks and botanic gardens, well managed protected areas, translocations, etc.)</w:t>
      </w:r>
      <w:r w:rsidRPr="00ED7E61">
        <w:rPr>
          <w:rStyle w:val="normaltextrun"/>
        </w:rPr>
        <w:t> </w:t>
      </w:r>
    </w:p>
    <w:p w14:paraId="1E335BE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5b. Method of computation</w:t>
      </w:r>
      <w:r w:rsidRPr="00ED7E61">
        <w:rPr>
          <w:rStyle w:val="eop"/>
          <w:rFonts w:asciiTheme="majorBidi" w:eastAsiaTheme="majorEastAsia" w:hAnsiTheme="majorBidi" w:cstheme="majorBidi"/>
          <w:sz w:val="22"/>
          <w:szCs w:val="22"/>
        </w:rPr>
        <w:t> </w:t>
      </w:r>
    </w:p>
    <w:p w14:paraId="33592B58" w14:textId="7625C0A8" w:rsidR="00756F0F" w:rsidRPr="00ED7E61" w:rsidRDefault="00756F0F" w:rsidP="00B10F0C">
      <w:pPr>
        <w:pStyle w:val="CBDNormalNumber"/>
        <w:numPr>
          <w:ilvl w:val="0"/>
          <w:numId w:val="60"/>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Effective population size (Ne) can be calculated for most species through a simple mathematical transformation of the population's census size (Nc). Following the widely accepted rule of thumb of 1:10 effective-to-census size ratio, the default is multiplication of Nc by 0.1 (</w:t>
      </w:r>
      <w:hyperlink r:id="rId113" w:tgtFrame="_blank" w:history="1">
        <w:r w:rsidRPr="00ED7E61">
          <w:rPr>
            <w:rStyle w:val="normaltextrun"/>
            <w:rFonts w:asciiTheme="majorBidi" w:eastAsiaTheme="majorEastAsia" w:hAnsiTheme="majorBidi" w:cstheme="majorBidi"/>
          </w:rPr>
          <w:t>Hoban et al. 2020</w:t>
        </w:r>
      </w:hyperlink>
      <w:r w:rsidRPr="00ED7E61">
        <w:rPr>
          <w:rStyle w:val="normaltextrun"/>
          <w:rFonts w:asciiTheme="majorBidi" w:eastAsiaTheme="majorEastAsia" w:hAnsiTheme="majorBidi" w:cstheme="majorBidi"/>
        </w:rPr>
        <w:t>). For example, this would equate to a census size of 5</w:t>
      </w:r>
      <w:r w:rsidR="008676D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000 having an effective size of 500. However, for some taxonomic groups, a more refined ratio could be employed (see Step 2 below).</w:t>
      </w:r>
      <w:r w:rsidRPr="00ED7E61">
        <w:rPr>
          <w:rStyle w:val="normaltextrun"/>
        </w:rPr>
        <w:t> </w:t>
      </w:r>
    </w:p>
    <w:p w14:paraId="7EE0AFEC" w14:textId="66B69911" w:rsidR="00756F0F" w:rsidRPr="00ED7E61" w:rsidRDefault="00756F0F" w:rsidP="00B10F0C">
      <w:pPr>
        <w:pStyle w:val="CBDNormalNumber"/>
        <w:numPr>
          <w:ilvl w:val="0"/>
          <w:numId w:val="60"/>
        </w:numPr>
        <w:ind w:left="567" w:firstLine="0"/>
        <w:rPr>
          <w:rStyle w:val="normaltextrun"/>
          <w:rFonts w:eastAsiaTheme="majorEastAsia"/>
        </w:rPr>
      </w:pPr>
      <w:r w:rsidRPr="00ED7E61">
        <w:rPr>
          <w:rStyle w:val="normaltextrun"/>
          <w:rFonts w:asciiTheme="majorBidi" w:eastAsiaTheme="majorEastAsia" w:hAnsiTheme="majorBidi" w:cstheme="majorBidi"/>
        </w:rPr>
        <w:t>Choosing species to evaluate. Biased selection of species is an important concern for the indicator.  For example, selecting only charismatic species (butterflies, orchids, etc.), species of economic value or rare/ endangered species would result in an indicator that represents the genetic condition of species in that subset rather than all species. To avoid misleading results from a biased selection, the indicator could be calculated for</w:t>
      </w:r>
      <w:r w:rsidR="005E56F9" w:rsidRPr="00ED7E61">
        <w:rPr>
          <w:rStyle w:val="normaltextrun"/>
          <w:rFonts w:asciiTheme="majorBidi" w:eastAsiaTheme="majorEastAsia" w:hAnsiTheme="majorBidi" w:cstheme="majorBidi"/>
        </w:rPr>
        <w:t>:</w:t>
      </w:r>
      <w:r w:rsidRPr="00ED7E61">
        <w:rPr>
          <w:rStyle w:val="normaltextrun"/>
        </w:rPr>
        <w:t> </w:t>
      </w:r>
    </w:p>
    <w:p w14:paraId="3A6C3617"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 randomly selected subset of all known species in a country</w:t>
      </w:r>
      <w:r w:rsidRPr="00ED7E61">
        <w:rPr>
          <w:rStyle w:val="normaltextrun"/>
        </w:rPr>
        <w:t> </w:t>
      </w:r>
    </w:p>
    <w:p w14:paraId="6463E2C6"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 systematically selected set of all known species in a country</w:t>
      </w:r>
      <w:r w:rsidRPr="00ED7E61">
        <w:rPr>
          <w:rStyle w:val="normaltextrun"/>
        </w:rPr>
        <w:t> </w:t>
      </w:r>
    </w:p>
    <w:p w14:paraId="66FFBEA3" w14:textId="57F7D9F6" w:rsidR="00756F0F" w:rsidRPr="00ED7E61" w:rsidRDefault="00756F0F" w:rsidP="00057301">
      <w:pPr>
        <w:pStyle w:val="CBDNormalNumber"/>
        <w:numPr>
          <w:ilvl w:val="0"/>
          <w:numId w:val="60"/>
        </w:numPr>
        <w:ind w:left="567" w:firstLine="0"/>
        <w:rPr>
          <w:rStyle w:val="normaltextrun"/>
          <w:rFonts w:eastAsiaTheme="majorEastAsia"/>
        </w:rPr>
      </w:pPr>
      <w:r w:rsidRPr="00ED7E61">
        <w:rPr>
          <w:rStyle w:val="normaltextrun"/>
          <w:rFonts w:asciiTheme="majorBidi" w:eastAsiaTheme="majorEastAsia" w:hAnsiTheme="majorBidi" w:cstheme="majorBidi"/>
        </w:rPr>
        <w:t>A systematic assessment involves pre-defining certain categories, in particular taxonomic groups, e.g. plants, vertebrates, invertebrates, fungi, algae.</w:t>
      </w:r>
      <w:r w:rsidR="005B788A" w:rsidRPr="00ED7E61">
        <w:rPr>
          <w:rStyle w:val="normaltextrun"/>
          <w:rFonts w:asciiTheme="majorBidi" w:eastAsiaTheme="majorEastAsia" w:hAnsiTheme="majorBidi" w:cstheme="majorBidi"/>
        </w:rPr>
        <w:t xml:space="preserve"> </w:t>
      </w:r>
      <w:r w:rsidR="00960CA6" w:rsidRPr="00ED7E61">
        <w:rPr>
          <w:rStyle w:val="normaltextrun"/>
        </w:rPr>
        <w:t xml:space="preserve">Arguably, the systematic approach may be preferred simply because some groups (e.g. invertebrates and plants) have many species, and a more even representation across taxonomic groups may be desired. </w:t>
      </w:r>
      <w:r w:rsidRPr="00ED7E61">
        <w:rPr>
          <w:rStyle w:val="normaltextrun"/>
          <w:rFonts w:asciiTheme="majorBidi" w:eastAsiaTheme="majorEastAsia" w:hAnsiTheme="majorBidi" w:cstheme="majorBidi"/>
        </w:rPr>
        <w:t xml:space="preserve">Then </w:t>
      </w:r>
      <w:proofErr w:type="gramStart"/>
      <w:r w:rsidRPr="00ED7E61">
        <w:rPr>
          <w:rStyle w:val="normaltextrun"/>
          <w:rFonts w:asciiTheme="majorBidi" w:eastAsiaTheme="majorEastAsia" w:hAnsiTheme="majorBidi" w:cstheme="majorBidi"/>
        </w:rPr>
        <w:t>a number of</w:t>
      </w:r>
      <w:proofErr w:type="gramEnd"/>
      <w:r w:rsidRPr="00ED7E61">
        <w:rPr>
          <w:rStyle w:val="normaltextrun"/>
          <w:rFonts w:asciiTheme="majorBidi" w:eastAsiaTheme="majorEastAsia" w:hAnsiTheme="majorBidi" w:cstheme="majorBidi"/>
        </w:rPr>
        <w:t xml:space="preserve"> species within each group should be chosen randomly (see </w:t>
      </w:r>
      <w:hyperlink r:id="rId114" w:tgtFrame="_blank" w:history="1">
        <w:r w:rsidRPr="00ED7E61">
          <w:rPr>
            <w:rStyle w:val="normaltextrun"/>
            <w:rFonts w:asciiTheme="majorBidi" w:eastAsiaTheme="majorEastAsia" w:hAnsiTheme="majorBidi" w:cstheme="majorBidi"/>
          </w:rPr>
          <w:t>Baille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w:t>
        </w:r>
      </w:hyperlink>
      <w:hyperlink r:id="rId115" w:tgtFrame="_blank" w:history="1">
        <w:r w:rsidRPr="00ED7E61">
          <w:rPr>
            <w:rStyle w:val="normaltextrun"/>
            <w:rFonts w:asciiTheme="majorBidi" w:eastAsiaTheme="majorEastAsia" w:hAnsiTheme="majorBidi" w:cstheme="majorBidi"/>
          </w:rPr>
          <w:t>00</w:t>
        </w:r>
      </w:hyperlink>
      <w:hyperlink r:id="rId116" w:tgtFrame="_blank" w:history="1">
        <w:r w:rsidRPr="00ED7E61">
          <w:rPr>
            <w:rStyle w:val="normaltextrun"/>
            <w:rFonts w:asciiTheme="majorBidi" w:eastAsiaTheme="majorEastAsia" w:hAnsiTheme="majorBidi" w:cstheme="majorBidi"/>
          </w:rPr>
          <w:t>8</w:t>
        </w:r>
      </w:hyperlink>
      <w:r w:rsidRPr="00ED7E61">
        <w:rPr>
          <w:rStyle w:val="normaltextrun"/>
          <w:rFonts w:asciiTheme="majorBidi" w:eastAsiaTheme="majorEastAsia" w:hAnsiTheme="majorBidi" w:cstheme="majorBidi"/>
        </w:rPr>
        <w:t xml:space="preserve">).  The indicator will be less accurate when small numbers of species are used.  At minimum, </w:t>
      </w:r>
      <w:r w:rsidR="00007305">
        <w:rPr>
          <w:rStyle w:val="normaltextrun"/>
          <w:rFonts w:asciiTheme="majorBidi" w:eastAsiaTheme="majorEastAsia" w:hAnsiTheme="majorBidi" w:cstheme="majorBidi"/>
        </w:rPr>
        <w:t xml:space="preserve">approximately </w:t>
      </w:r>
      <w:r w:rsidRPr="00ED7E61">
        <w:rPr>
          <w:rStyle w:val="normaltextrun"/>
          <w:rFonts w:asciiTheme="majorBidi" w:eastAsiaTheme="majorEastAsia" w:hAnsiTheme="majorBidi" w:cstheme="majorBidi"/>
        </w:rPr>
        <w:t xml:space="preserve">100 species should be </w:t>
      </w:r>
      <w:r w:rsidR="00007305">
        <w:rPr>
          <w:rStyle w:val="normaltextrun"/>
          <w:rFonts w:asciiTheme="majorBidi" w:eastAsiaTheme="majorEastAsia" w:hAnsiTheme="majorBidi" w:cstheme="majorBidi"/>
        </w:rPr>
        <w:t>assessed</w:t>
      </w:r>
      <w:r w:rsidRPr="00ED7E61">
        <w:rPr>
          <w:rStyle w:val="normaltextrun"/>
          <w:rFonts w:asciiTheme="majorBidi" w:eastAsiaTheme="majorEastAsia" w:hAnsiTheme="majorBidi" w:cstheme="majorBidi"/>
        </w:rPr>
        <w:t xml:space="preserve">, </w:t>
      </w:r>
      <w:sdt>
        <w:sdtPr>
          <w:rPr>
            <w:rFonts w:asciiTheme="majorBidi" w:eastAsiaTheme="majorEastAsia" w:hAnsiTheme="majorBidi" w:cstheme="majorBidi"/>
            <w:lang w:val="en-CA"/>
          </w:rPr>
          <w:tag w:val="goog_rdk_9"/>
          <w:id w:val="1539218578"/>
        </w:sdtPr>
        <w:sdtContent>
          <w:r w:rsidR="00057301" w:rsidRPr="00812871">
            <w:rPr>
              <w:rFonts w:asciiTheme="majorBidi" w:eastAsiaTheme="majorEastAsia" w:hAnsiTheme="majorBidi" w:cstheme="majorBidi"/>
              <w:lang w:val="en-CA"/>
            </w:rPr>
            <w:t>as initially proposed by Hoban et al (2020) and as verified in a recent study (</w:t>
          </w:r>
          <w:proofErr w:type="spellStart"/>
          <w:r w:rsidR="00057301" w:rsidRPr="00812871">
            <w:rPr>
              <w:rFonts w:asciiTheme="majorBidi" w:eastAsiaTheme="majorEastAsia" w:hAnsiTheme="majorBidi" w:cstheme="majorBidi"/>
              <w:lang w:val="en-CA"/>
            </w:rPr>
            <w:t>H</w:t>
          </w:r>
        </w:sdtContent>
      </w:sdt>
      <w:sdt>
        <w:sdtPr>
          <w:rPr>
            <w:rFonts w:asciiTheme="majorBidi" w:eastAsiaTheme="majorEastAsia" w:hAnsiTheme="majorBidi" w:cstheme="majorBidi"/>
            <w:lang w:val="en-CA"/>
          </w:rPr>
          <w:tag w:val="goog_rdk_10"/>
          <w:id w:val="1811395381"/>
        </w:sdtPr>
        <w:sdtContent>
          <w:sdt>
            <w:sdtPr>
              <w:rPr>
                <w:rFonts w:asciiTheme="majorBidi" w:eastAsiaTheme="majorEastAsia" w:hAnsiTheme="majorBidi" w:cstheme="majorBidi"/>
                <w:lang w:val="en-CA"/>
              </w:rPr>
              <w:tag w:val="goog_rdk_11"/>
              <w:id w:val="1351153443"/>
            </w:sdtPr>
            <w:sdtContent>
              <w:r w:rsidR="00057301" w:rsidRPr="00812871">
                <w:rPr>
                  <w:rFonts w:asciiTheme="majorBidi" w:eastAsiaTheme="majorEastAsia" w:hAnsiTheme="majorBidi" w:cstheme="majorBidi"/>
                  <w:lang w:val="en-CA"/>
                </w:rPr>
                <w:t>é</w:t>
              </w:r>
              <w:proofErr w:type="spellEnd"/>
            </w:sdtContent>
          </w:sdt>
        </w:sdtContent>
      </w:sdt>
      <w:sdt>
        <w:sdtPr>
          <w:rPr>
            <w:rFonts w:asciiTheme="majorBidi" w:eastAsiaTheme="majorEastAsia" w:hAnsiTheme="majorBidi" w:cstheme="majorBidi"/>
            <w:lang w:val="en-CA"/>
          </w:rPr>
          <w:tag w:val="goog_rdk_12"/>
          <w:id w:val="-451029160"/>
        </w:sdtPr>
        <w:sdtContent>
          <w:sdt>
            <w:sdtPr>
              <w:rPr>
                <w:rFonts w:asciiTheme="majorBidi" w:eastAsiaTheme="majorEastAsia" w:hAnsiTheme="majorBidi" w:cstheme="majorBidi"/>
                <w:lang w:val="en-CA"/>
              </w:rPr>
              <w:tag w:val="goog_rdk_13"/>
              <w:id w:val="839654497"/>
            </w:sdtPr>
            <w:sdtContent/>
          </w:sdt>
          <w:sdt>
            <w:sdtPr>
              <w:rPr>
                <w:rFonts w:asciiTheme="majorBidi" w:eastAsiaTheme="majorEastAsia" w:hAnsiTheme="majorBidi" w:cstheme="majorBidi"/>
                <w:lang w:val="en-CA"/>
              </w:rPr>
              <w:tag w:val="goog_rdk_14"/>
              <w:id w:val="758541392"/>
              <w:showingPlcHdr/>
            </w:sdtPr>
            <w:sdtContent>
              <w:r w:rsidR="00812871">
                <w:rPr>
                  <w:rFonts w:asciiTheme="majorBidi" w:eastAsiaTheme="majorEastAsia" w:hAnsiTheme="majorBidi" w:cstheme="majorBidi"/>
                  <w:lang w:val="en-CA"/>
                </w:rPr>
                <w:t xml:space="preserve">     </w:t>
              </w:r>
            </w:sdtContent>
          </w:sdt>
          <w:sdt>
            <w:sdtPr>
              <w:rPr>
                <w:rFonts w:asciiTheme="majorBidi" w:eastAsiaTheme="majorEastAsia" w:hAnsiTheme="majorBidi" w:cstheme="majorBidi"/>
                <w:lang w:val="en-CA"/>
              </w:rPr>
              <w:tag w:val="goog_rdk_15"/>
              <w:id w:val="50415439"/>
            </w:sdtPr>
            <w:sdtContent>
              <w:proofErr w:type="spellStart"/>
              <w:r w:rsidR="00057301" w:rsidRPr="00812871">
                <w:rPr>
                  <w:rFonts w:asciiTheme="majorBidi" w:eastAsiaTheme="majorEastAsia" w:hAnsiTheme="majorBidi" w:cstheme="majorBidi"/>
                  <w:lang w:val="en-CA"/>
                </w:rPr>
                <w:t>bert</w:t>
              </w:r>
              <w:proofErr w:type="spellEnd"/>
              <w:r w:rsidR="00057301" w:rsidRPr="00812871">
                <w:rPr>
                  <w:rFonts w:asciiTheme="majorBidi" w:eastAsiaTheme="majorEastAsia" w:hAnsiTheme="majorBidi" w:cstheme="majorBidi"/>
                  <w:lang w:val="en-CA"/>
                </w:rPr>
                <w:t xml:space="preserve"> et al 2025).  This study showed that under realistic scenarios of population decline or population growth, during the timeframe of the GBF, assessing approximately 100 species across taxonomic groups will provide sufficient accuracy for a country-wide indicator value, while 100 species per major taxonomic group would be appropriate for the indicator to be disaggregated by major groups (e.g. 100 each for insects, plants, vertebrates).  This is fewer than but on the same general scale as recommendations for the Red List Index</w:t>
              </w:r>
            </w:sdtContent>
          </w:sdt>
        </w:sdtContent>
      </w:sdt>
      <w:r w:rsidR="00057301" w:rsidRPr="00057301" w:rsidDel="00057301">
        <w:rPr>
          <w:rFonts w:asciiTheme="majorBidi" w:eastAsiaTheme="majorEastAsia" w:hAnsiTheme="majorBidi" w:cstheme="majorBidi"/>
          <w:lang w:val="en-CA"/>
        </w:rPr>
        <w:t xml:space="preserve"> </w:t>
      </w:r>
      <w:r w:rsidRPr="00ED7E61">
        <w:rPr>
          <w:rStyle w:val="normaltextrun"/>
          <w:rFonts w:asciiTheme="majorBidi" w:eastAsiaTheme="majorEastAsia" w:hAnsiTheme="majorBidi" w:cstheme="majorBidi"/>
        </w:rPr>
        <w:t>(</w:t>
      </w:r>
      <w:hyperlink r:id="rId117" w:tgtFrame="_blank" w:history="1">
        <w:r w:rsidRPr="00ED7E61">
          <w:rPr>
            <w:rStyle w:val="normaltextrun"/>
            <w:rFonts w:asciiTheme="majorBidi" w:eastAsiaTheme="majorEastAsia" w:hAnsiTheme="majorBidi" w:cstheme="majorBidi"/>
          </w:rPr>
          <w:t>Baille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2008</w:t>
        </w:r>
      </w:hyperlink>
      <w:r w:rsidRPr="00ED7E61">
        <w:rPr>
          <w:rStyle w:val="normaltextrun"/>
          <w:rFonts w:asciiTheme="majorBidi" w:eastAsiaTheme="majorEastAsia" w:hAnsiTheme="majorBidi" w:cstheme="majorBidi"/>
        </w:rPr>
        <w:t xml:space="preserve"> recommend 900 species with sufficient data; however, to allow for species missing data, the initial list of taxa to evaluate should be 1</w:t>
      </w:r>
      <w:r w:rsidR="008676D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500).  IUCN has published guidelines on selecting species and populations for monitoring of genetic diversity </w:t>
      </w:r>
      <w:hyperlink r:id="rId118" w:tgtFrame="_blank" w:history="1">
        <w:r w:rsidRPr="00ED7E61">
          <w:rPr>
            <w:rStyle w:val="normaltextrun"/>
            <w:rFonts w:asciiTheme="majorBidi" w:eastAsiaTheme="majorEastAsia" w:hAnsiTheme="majorBidi" w:cstheme="majorBidi"/>
          </w:rPr>
          <w:t>(Hvilsom et al. 2022)</w:t>
        </w:r>
      </w:hyperlink>
      <w:r w:rsidRPr="00ED7E61">
        <w:rPr>
          <w:rStyle w:val="normaltextrun"/>
        </w:rPr>
        <w:t> </w:t>
      </w:r>
      <w:r w:rsidR="00960CA6" w:rsidRPr="00ED7E61">
        <w:rPr>
          <w:rStyle w:val="normaltextrun"/>
        </w:rPr>
        <w:t>An alternative approach, which is sometimes used in the Red List Index, is to focus on calculating the indicator for all species within certain taxonomic groups (e.g. birds, gymnosperms, mammals) in a country. As with the RLI, the indicator would be thus presented as, for example, “</w:t>
      </w:r>
      <w:r w:rsidR="00960CA6" w:rsidRPr="00FB1598">
        <w:rPr>
          <w:rStyle w:val="normaltextrun"/>
          <w:i/>
          <w:iCs/>
        </w:rPr>
        <w:t>the Ne 500 indicator for gymnosperms</w:t>
      </w:r>
      <w:r w:rsidR="00960CA6" w:rsidRPr="00ED7E61">
        <w:rPr>
          <w:rStyle w:val="normaltextrun"/>
        </w:rPr>
        <w:t>” </w:t>
      </w:r>
    </w:p>
    <w:p w14:paraId="7C4164F4" w14:textId="6A029C0D" w:rsidR="00756F0F" w:rsidRPr="00ED7E61" w:rsidRDefault="00756F0F" w:rsidP="00B10F0C">
      <w:pPr>
        <w:pStyle w:val="CBDNormalNumber"/>
        <w:numPr>
          <w:ilvl w:val="0"/>
          <w:numId w:val="60"/>
        </w:numPr>
        <w:ind w:left="567" w:firstLine="0"/>
        <w:rPr>
          <w:rStyle w:val="normaltextrun"/>
          <w:rFonts w:eastAsiaTheme="majorEastAsia"/>
        </w:rPr>
      </w:pPr>
      <w:r w:rsidRPr="00ED7E61">
        <w:rPr>
          <w:rStyle w:val="normaltextrun"/>
          <w:rFonts w:asciiTheme="majorBidi" w:eastAsiaTheme="majorEastAsia" w:hAnsiTheme="majorBidi" w:cstheme="majorBidi"/>
        </w:rPr>
        <w:lastRenderedPageBreak/>
        <w:t xml:space="preserve">Again, the set of species should be as unbiased as possible. As explained below, analysis of the indicator may wish to disaggregate for </w:t>
      </w:r>
      <w:proofErr w:type="gramStart"/>
      <w:r w:rsidRPr="00ED7E61">
        <w:rPr>
          <w:rStyle w:val="normaltextrun"/>
          <w:rFonts w:asciiTheme="majorBidi" w:eastAsiaTheme="majorEastAsia" w:hAnsiTheme="majorBidi" w:cstheme="majorBidi"/>
        </w:rPr>
        <w:t>particular subsets</w:t>
      </w:r>
      <w:proofErr w:type="gramEnd"/>
      <w:r w:rsidRPr="00ED7E61">
        <w:rPr>
          <w:rStyle w:val="normaltextrun"/>
          <w:rFonts w:asciiTheme="majorBidi" w:eastAsiaTheme="majorEastAsia" w:hAnsiTheme="majorBidi" w:cstheme="majorBidi"/>
        </w:rPr>
        <w:t xml:space="preserve"> e.g. harvested species, pollinators, keystone </w:t>
      </w:r>
      <w:r w:rsidR="00960CA6" w:rsidRPr="00ED7E61">
        <w:rPr>
          <w:rStyle w:val="normaltextrun"/>
          <w:rFonts w:asciiTheme="majorBidi" w:eastAsiaTheme="majorEastAsia" w:hAnsiTheme="majorBidi" w:cstheme="majorBidi"/>
        </w:rPr>
        <w:t xml:space="preserve">or threatened </w:t>
      </w:r>
      <w:r w:rsidRPr="00ED7E61">
        <w:rPr>
          <w:rStyle w:val="normaltextrun"/>
          <w:rFonts w:asciiTheme="majorBidi" w:eastAsiaTheme="majorEastAsia" w:hAnsiTheme="majorBidi" w:cstheme="majorBidi"/>
        </w:rPr>
        <w:t>species, but the overall indicator value should represent all species.</w:t>
      </w:r>
      <w:r w:rsidRPr="00ED7E61">
        <w:rPr>
          <w:rStyle w:val="normaltextrun"/>
        </w:rPr>
        <w:t> </w:t>
      </w:r>
    </w:p>
    <w:p w14:paraId="73CADA80" w14:textId="5EA8D229" w:rsidR="00756F0F" w:rsidRPr="00ED7E61" w:rsidRDefault="00756F0F" w:rsidP="00B3383B">
      <w:pPr>
        <w:pStyle w:val="CBDNormalNumber"/>
        <w:ind w:left="567"/>
        <w:rPr>
          <w:rStyle w:val="normaltextrun"/>
          <w:rFonts w:eastAsiaTheme="majorEastAsia"/>
        </w:rPr>
      </w:pPr>
      <w:r w:rsidRPr="00ED7E61">
        <w:rPr>
          <w:rStyle w:val="normaltextrun"/>
          <w:rFonts w:asciiTheme="majorBidi" w:eastAsiaTheme="majorEastAsia" w:hAnsiTheme="majorBidi" w:cstheme="majorBidi"/>
          <w:b/>
          <w:bCs/>
          <w:i/>
          <w:iCs/>
          <w:color w:val="000000"/>
        </w:rPr>
        <w:t>Step 1</w:t>
      </w:r>
      <w:r w:rsidRPr="00ED7E61">
        <w:rPr>
          <w:rStyle w:val="normaltextrun"/>
          <w:rFonts w:asciiTheme="majorBidi" w:eastAsiaTheme="majorEastAsia" w:hAnsiTheme="majorBidi" w:cstheme="majorBidi"/>
          <w:i/>
          <w:iCs/>
          <w:color w:val="000000"/>
        </w:rPr>
        <w:t>: Define population boundaries and compile data on census size (N</w:t>
      </w:r>
      <w:r w:rsidRPr="00ED7E61">
        <w:rPr>
          <w:rStyle w:val="normaltextrun"/>
          <w:rFonts w:asciiTheme="majorBidi" w:eastAsiaTheme="majorEastAsia" w:hAnsiTheme="majorBidi" w:cstheme="majorBidi"/>
          <w:i/>
          <w:iCs/>
          <w:color w:val="000000"/>
          <w:vertAlign w:val="subscript"/>
        </w:rPr>
        <w:t>c</w:t>
      </w:r>
      <w:r w:rsidRPr="00ED7E61">
        <w:rPr>
          <w:rStyle w:val="normaltextrun"/>
          <w:rFonts w:asciiTheme="majorBidi" w:eastAsiaTheme="majorEastAsia" w:hAnsiTheme="majorBidi" w:cstheme="majorBidi"/>
          <w:i/>
          <w:iCs/>
          <w:color w:val="000000"/>
        </w:rPr>
        <w:t>). </w:t>
      </w:r>
      <w:r w:rsidRPr="00ED7E61">
        <w:rPr>
          <w:rStyle w:val="eop"/>
          <w:rFonts w:asciiTheme="majorBidi" w:eastAsiaTheme="majorEastAsia" w:hAnsiTheme="majorBidi" w:cstheme="majorBidi"/>
          <w:color w:val="000000"/>
        </w:rPr>
        <w:t> </w:t>
      </w:r>
    </w:p>
    <w:p w14:paraId="482D5610" w14:textId="3506E65C" w:rsidR="00756F0F" w:rsidRPr="00ED7E61" w:rsidRDefault="00756F0F" w:rsidP="00B10F0C">
      <w:pPr>
        <w:pStyle w:val="CBDNormalNumber"/>
        <w:numPr>
          <w:ilvl w:val="0"/>
          <w:numId w:val="60"/>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For each focal species it is first necessary to define </w:t>
      </w:r>
      <w:r w:rsidR="00C43C39">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populations</w:t>
      </w:r>
      <w:r w:rsidR="00C43C3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and to collect data on census population sizes. Many local and national biodiversity monitoring programs (e.g. at species or ecosystem level) have already defined populations based on geographic isolation, occupying distinct habitats or ecoregions, association with a geographic feature like a mountain range or lake, etc. Full guidance on defining populations for a wide variety of organisms are provided in the guidance manual for this indicator (</w:t>
      </w:r>
      <w:r w:rsidR="00960CA6" w:rsidRPr="00ED7E61">
        <w:rPr>
          <w:rStyle w:val="normaltextrun"/>
        </w:rPr>
        <w:t>Mastretta-Yanes et al</w:t>
      </w:r>
      <w:r w:rsidR="00FF0D09">
        <w:rPr>
          <w:rStyle w:val="normaltextrun"/>
        </w:rPr>
        <w:t>.</w:t>
      </w:r>
      <w:r w:rsidR="00960CA6" w:rsidRPr="00ED7E61">
        <w:rPr>
          <w:rStyle w:val="normaltextrun"/>
        </w:rPr>
        <w:t xml:space="preserve"> (2024), </w:t>
      </w:r>
      <w:hyperlink r:id="rId119"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(2023b)</w:t>
        </w:r>
      </w:hyperlink>
      <w:r w:rsidRPr="00ED7E61">
        <w:rPr>
          <w:rStyle w:val="normaltextrun"/>
          <w:rFonts w:asciiTheme="majorBidi" w:eastAsiaTheme="majorEastAsia" w:hAnsiTheme="majorBidi" w:cstheme="majorBidi"/>
        </w:rPr>
        <w:t xml:space="preserve"> and Supporting Information therein). After defining populations, it is necessary to collect data on census population sizes (or to use genetic data). Again, many biodiversity monitoring programs for priority species will have this data available - in some cases in a centralized national database, while in other cases, it may be scattered among different national reports and assessments. "</w:t>
      </w:r>
      <w:r w:rsidRPr="00FB1598">
        <w:rPr>
          <w:rStyle w:val="normaltextrun"/>
          <w:rFonts w:asciiTheme="majorBidi" w:eastAsiaTheme="majorEastAsia" w:hAnsiTheme="majorBidi" w:cstheme="majorBidi"/>
          <w:i/>
          <w:iCs/>
        </w:rPr>
        <w:t>Available data</w:t>
      </w:r>
      <w:r w:rsidRPr="00ED7E61">
        <w:rPr>
          <w:rStyle w:val="normaltextrun"/>
          <w:rFonts w:asciiTheme="majorBidi" w:eastAsiaTheme="majorEastAsia" w:hAnsiTheme="majorBidi" w:cstheme="majorBidi"/>
        </w:rPr>
        <w:t xml:space="preserve">" should be considered </w:t>
      </w:r>
      <w:proofErr w:type="gramStart"/>
      <w:r w:rsidRPr="00ED7E61">
        <w:rPr>
          <w:rStyle w:val="normaltextrun"/>
          <w:rFonts w:asciiTheme="majorBidi" w:eastAsiaTheme="majorEastAsia" w:hAnsiTheme="majorBidi" w:cstheme="majorBidi"/>
        </w:rPr>
        <w:t>broadly</w:t>
      </w:r>
      <w:proofErr w:type="gramEnd"/>
      <w:r w:rsidRPr="00ED7E61">
        <w:rPr>
          <w:rStyle w:val="normaltextrun"/>
          <w:rFonts w:asciiTheme="majorBidi" w:eastAsiaTheme="majorEastAsia" w:hAnsiTheme="majorBidi" w:cstheme="majorBidi"/>
        </w:rPr>
        <w:t xml:space="preserve"> and it includes citizen science, local knowledge, indigenous knowledge, and informal data held by small NGOs and similar groups. </w:t>
      </w:r>
      <w:hyperlink r:id="rId120" w:tgtFrame="_blank" w:history="1">
        <w:r w:rsidRPr="00ED7E61">
          <w:rPr>
            <w:rStyle w:val="normaltextrun"/>
            <w:rFonts w:asciiTheme="majorBidi" w:eastAsiaTheme="majorEastAsia" w:hAnsiTheme="majorBidi" w:cstheme="majorBidi"/>
          </w:rPr>
          <w:t>A recent webinar</w:t>
        </w:r>
      </w:hyperlink>
      <w:r w:rsidRPr="00ED7E61">
        <w:rPr>
          <w:rStyle w:val="normaltextrun"/>
          <w:rFonts w:asciiTheme="majorBidi" w:eastAsiaTheme="majorEastAsia" w:hAnsiTheme="majorBidi" w:cstheme="majorBidi"/>
        </w:rPr>
        <w:t xml:space="preserve"> hosted by the CBD Secretariat and GEO BON showcased the different resources available to countries, emphasizing the flexibility of this indicator.</w:t>
      </w:r>
      <w:r w:rsidRPr="00ED7E61">
        <w:rPr>
          <w:rStyle w:val="normaltextrun"/>
        </w:rPr>
        <w:t> </w:t>
      </w:r>
    </w:p>
    <w:p w14:paraId="0E4B7D81" w14:textId="1118C6BD"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i/>
          <w:iCs/>
          <w:color w:val="000000"/>
          <w:sz w:val="22"/>
          <w:szCs w:val="22"/>
          <w:lang w:val="en-GB"/>
        </w:rPr>
        <w:t xml:space="preserve">Step 2: </w:t>
      </w:r>
      <w:r w:rsidRPr="00ED7E61">
        <w:rPr>
          <w:rStyle w:val="normaltextrun"/>
          <w:rFonts w:asciiTheme="majorBidi" w:eastAsiaTheme="majorEastAsia" w:hAnsiTheme="majorBidi" w:cstheme="majorBidi"/>
          <w:i/>
          <w:iCs/>
          <w:color w:val="000000"/>
          <w:sz w:val="22"/>
          <w:szCs w:val="22"/>
          <w:lang w:val="en-GB"/>
        </w:rPr>
        <w:t>Calculate each population’s N</w:t>
      </w:r>
      <w:r w:rsidRPr="00ED7E61">
        <w:rPr>
          <w:rStyle w:val="normaltextrun"/>
          <w:rFonts w:asciiTheme="majorBidi" w:eastAsiaTheme="majorEastAsia" w:hAnsiTheme="majorBidi" w:cstheme="majorBidi"/>
          <w:i/>
          <w:iCs/>
          <w:color w:val="000000"/>
          <w:sz w:val="22"/>
          <w:szCs w:val="22"/>
          <w:vertAlign w:val="subscript"/>
          <w:lang w:val="en-GB"/>
        </w:rPr>
        <w:t>e</w:t>
      </w:r>
      <w:r w:rsidRPr="00ED7E61">
        <w:rPr>
          <w:rStyle w:val="normaltextrun"/>
          <w:rFonts w:asciiTheme="majorBidi" w:eastAsiaTheme="majorEastAsia" w:hAnsiTheme="majorBidi" w:cstheme="majorBidi"/>
          <w:i/>
          <w:iCs/>
          <w:color w:val="000000"/>
          <w:sz w:val="22"/>
          <w:szCs w:val="22"/>
          <w:lang w:val="en-GB"/>
        </w:rPr>
        <w:t>. </w:t>
      </w:r>
      <w:r w:rsidRPr="00ED7E61">
        <w:rPr>
          <w:rStyle w:val="eop"/>
          <w:rFonts w:asciiTheme="majorBidi" w:eastAsiaTheme="majorEastAsia" w:hAnsiTheme="majorBidi" w:cstheme="majorBidi"/>
          <w:color w:val="000000"/>
          <w:sz w:val="22"/>
          <w:szCs w:val="22"/>
        </w:rPr>
        <w:t> </w:t>
      </w:r>
    </w:p>
    <w:p w14:paraId="0292FA80" w14:textId="284D7DAF" w:rsidR="00960CA6" w:rsidRPr="00ED7E61" w:rsidRDefault="00756F0F" w:rsidP="00B10F0C">
      <w:pPr>
        <w:pStyle w:val="CBDNormalNumber"/>
        <w:numPr>
          <w:ilvl w:val="0"/>
          <w:numId w:val="60"/>
        </w:numPr>
        <w:ind w:left="567" w:firstLine="0"/>
        <w:rPr>
          <w:rStyle w:val="normaltextrun"/>
          <w:rFonts w:eastAsiaTheme="majorEastAsia"/>
          <w:sz w:val="24"/>
          <w:szCs w:val="24"/>
          <w:lang w:val="en-CA"/>
        </w:rPr>
      </w:pPr>
      <w:r w:rsidRPr="00ED7E61">
        <w:rPr>
          <w:rStyle w:val="eop"/>
          <w:rFonts w:asciiTheme="majorBidi" w:eastAsiaTheme="majorEastAsia" w:hAnsiTheme="majorBidi" w:cstheme="majorBidi"/>
          <w:color w:val="000000"/>
        </w:rPr>
        <w:t> </w:t>
      </w:r>
      <w:r w:rsidR="00960CA6" w:rsidRPr="00ED7E61">
        <w:rPr>
          <w:rStyle w:val="normaltextrun"/>
          <w:rFonts w:eastAsiaTheme="majorEastAsia"/>
        </w:rPr>
        <w:t>This entails first choosing a ratio of effective-to-census size and multiplying the population’s census size by this ratio to obtain the population’s effective size. As mentioned above, the default ratio, which is slightly conservative, is 1/10th or 0.1 (thus the minimum Nc would be 5</w:t>
      </w:r>
      <w:r w:rsidR="008676D1">
        <w:rPr>
          <w:rStyle w:val="normaltextrun"/>
          <w:rFonts w:eastAsiaTheme="majorEastAsia"/>
        </w:rPr>
        <w:t>,</w:t>
      </w:r>
      <w:r w:rsidR="00960CA6" w:rsidRPr="00ED7E61">
        <w:rPr>
          <w:rStyle w:val="normaltextrun"/>
          <w:rFonts w:eastAsiaTheme="majorEastAsia"/>
        </w:rPr>
        <w:t xml:space="preserve">000). Alternatively, a taxon-level ratio can be obtained from recent reviews of the literature that have compiled average values for groups such as mammals, bony fish, annual plants, trees, etc. (see </w:t>
      </w:r>
      <w:hyperlink r:id="rId121" w:tgtFrame="_blank" w:history="1">
        <w:r w:rsidR="00960CA6" w:rsidRPr="00ED7E61">
          <w:rPr>
            <w:rStyle w:val="normaltextrun"/>
            <w:rFonts w:eastAsiaTheme="majorEastAsia"/>
          </w:rPr>
          <w:t>Hoban et al</w:t>
        </w:r>
        <w:r w:rsidR="00FF0D09">
          <w:rPr>
            <w:rStyle w:val="normaltextrun"/>
            <w:rFonts w:eastAsiaTheme="majorEastAsia"/>
          </w:rPr>
          <w:t>.</w:t>
        </w:r>
        <w:r w:rsidR="00960CA6" w:rsidRPr="00ED7E61">
          <w:rPr>
            <w:rStyle w:val="normaltextrun"/>
            <w:rFonts w:eastAsiaTheme="majorEastAsia"/>
          </w:rPr>
          <w:t xml:space="preserve"> 2021</w:t>
        </w:r>
      </w:hyperlink>
      <w:r w:rsidR="00960CA6" w:rsidRPr="00ED7E61">
        <w:rPr>
          <w:rStyle w:val="normaltextrun"/>
          <w:rFonts w:eastAsiaTheme="majorEastAsia"/>
        </w:rPr>
        <w:t xml:space="preserve">, Waples 2024).  An alternative is a </w:t>
      </w:r>
      <w:proofErr w:type="gramStart"/>
      <w:r w:rsidR="00960CA6" w:rsidRPr="00ED7E61">
        <w:rPr>
          <w:rStyle w:val="normaltextrun"/>
          <w:rFonts w:eastAsiaTheme="majorEastAsia"/>
        </w:rPr>
        <w:t>species specific</w:t>
      </w:r>
      <w:proofErr w:type="gramEnd"/>
      <w:r w:rsidR="00960CA6" w:rsidRPr="00ED7E61">
        <w:rPr>
          <w:rStyle w:val="normaltextrun"/>
          <w:rFonts w:eastAsiaTheme="majorEastAsia"/>
        </w:rPr>
        <w:t xml:space="preserve"> Ne/Nc ratio from formulas that </w:t>
      </w:r>
      <w:proofErr w:type="gramStart"/>
      <w:r w:rsidR="00960CA6" w:rsidRPr="00ED7E61">
        <w:rPr>
          <w:rStyle w:val="normaltextrun"/>
          <w:rFonts w:eastAsiaTheme="majorEastAsia"/>
        </w:rPr>
        <w:t>take into account</w:t>
      </w:r>
      <w:proofErr w:type="gramEnd"/>
      <w:r w:rsidR="00960CA6" w:rsidRPr="00ED7E61">
        <w:rPr>
          <w:rStyle w:val="normaltextrun"/>
          <w:rFonts w:eastAsiaTheme="majorEastAsia"/>
        </w:rPr>
        <w:t xml:space="preserve"> a species’ biological characteristics (especially the male-female sex ratio and the variance in offspring production), or from published literature on the species or even populations that are the focus of study. For instance, the ratio in large-bodied mammals and in some trees is often closer to 0.3 (thus the minimum Nc would be 1</w:t>
      </w:r>
      <w:r w:rsidR="008676D1">
        <w:rPr>
          <w:rStyle w:val="normaltextrun"/>
          <w:rFonts w:eastAsiaTheme="majorEastAsia"/>
        </w:rPr>
        <w:t>,</w:t>
      </w:r>
      <w:r w:rsidR="00960CA6" w:rsidRPr="00ED7E61">
        <w:rPr>
          <w:rStyle w:val="normaltextrun"/>
          <w:rFonts w:eastAsiaTheme="majorEastAsia"/>
        </w:rPr>
        <w:t>500). These are all valid ways of obtaining the ratio. To incorporate uncertainty in calculations, the calculation can be repeated using multiple Ne/Nc ratios.  The order of preference is arguably to use the species- specific, then taxon-level, then general 0.1 ratio. But it is entirely acceptable and useful to use the well-recognized 0.1 ratio.</w:t>
      </w:r>
      <w:r w:rsidR="00960CA6" w:rsidRPr="00ED7E61">
        <w:rPr>
          <w:rStyle w:val="normaltextrun"/>
        </w:rPr>
        <w:t xml:space="preserve"> For domesticated species, </w:t>
      </w:r>
      <w:r w:rsidR="00641D21">
        <w:rPr>
          <w:rStyle w:val="normaltextrun"/>
        </w:rPr>
        <w:t>there are several approaches for computing Ne using pedigree data (Leroy et al. 2013)</w:t>
      </w:r>
      <w:r w:rsidR="00960CA6" w:rsidRPr="00ED7E61">
        <w:rPr>
          <w:rStyle w:val="normaltextrun"/>
        </w:rPr>
        <w:t xml:space="preserve"> may be used. We note that in a recent pilot project the use of the precise Ne/Nc ratio did not strongly impact indicator results, e.g. using a 0.2 ratio instead of 0.1 (</w:t>
      </w:r>
      <w:proofErr w:type="spellStart"/>
      <w:r w:rsidR="00960CA6" w:rsidRPr="00ED7E61">
        <w:rPr>
          <w:rStyle w:val="normaltextrun"/>
        </w:rPr>
        <w:t>Mastretta</w:t>
      </w:r>
      <w:proofErr w:type="spellEnd"/>
      <w:r w:rsidR="00960CA6" w:rsidRPr="00ED7E61">
        <w:rPr>
          <w:rStyle w:val="normaltextrun"/>
        </w:rPr>
        <w:t xml:space="preserve"> Yanes and da Silva et al</w:t>
      </w:r>
      <w:r w:rsidR="00FF0D09">
        <w:rPr>
          <w:rStyle w:val="normaltextrun"/>
        </w:rPr>
        <w:t>.</w:t>
      </w:r>
      <w:r w:rsidR="00960CA6" w:rsidRPr="00ED7E61">
        <w:rPr>
          <w:rStyle w:val="normaltextrun"/>
        </w:rPr>
        <w:t xml:space="preserve"> 2024). Lastly</w:t>
      </w:r>
      <w:r w:rsidR="00C81B06" w:rsidRPr="00ED7E61">
        <w:rPr>
          <w:rStyle w:val="normaltextrun"/>
        </w:rPr>
        <w:t>,</w:t>
      </w:r>
      <w:r w:rsidR="00960CA6" w:rsidRPr="00ED7E61">
        <w:rPr>
          <w:rStyle w:val="normaltextrun"/>
        </w:rPr>
        <w:t xml:space="preserve"> we emphasise that for comparability through time, the same method (e.g. ratio) should be used consistently across reporting periods.</w:t>
      </w:r>
    </w:p>
    <w:p w14:paraId="4C94D516" w14:textId="587B27D7" w:rsidR="00C81B06" w:rsidRPr="00ED7E61" w:rsidRDefault="00960CA6" w:rsidP="00B10F0C">
      <w:pPr>
        <w:pStyle w:val="CBDNormalNumber"/>
        <w:numPr>
          <w:ilvl w:val="0"/>
          <w:numId w:val="60"/>
        </w:numPr>
        <w:ind w:left="567" w:firstLine="0"/>
        <w:rPr>
          <w:rStyle w:val="normaltextrun"/>
          <w:rFonts w:eastAsiaTheme="majorEastAsia"/>
        </w:rPr>
      </w:pPr>
      <w:r w:rsidRPr="00ED7E61">
        <w:rPr>
          <w:rStyle w:val="normaltextrun"/>
          <w:rFonts w:eastAsiaTheme="majorEastAsia"/>
        </w:rPr>
        <w:t xml:space="preserve">For some organisms, assessment of Nc is </w:t>
      </w:r>
      <w:proofErr w:type="gramStart"/>
      <w:r w:rsidRPr="00ED7E61">
        <w:rPr>
          <w:rStyle w:val="normaltextrun"/>
          <w:rFonts w:eastAsiaTheme="majorEastAsia"/>
        </w:rPr>
        <w:t>fairly straightforward</w:t>
      </w:r>
      <w:proofErr w:type="gramEnd"/>
      <w:r w:rsidRPr="00ED7E61">
        <w:rPr>
          <w:rStyle w:val="normaltextrun"/>
          <w:rFonts w:eastAsiaTheme="majorEastAsia"/>
        </w:rPr>
        <w:t xml:space="preserve">. It is the number of reproductively mature individuals, that is, those which are of sufficient maturity to produce gametes or offspring. A count of mature individuals may mean an actual count of all organisms, an estimate made by counting within given units of area and extrapolating, or an estimate from a model such as a capture-mark-recapture model.  The </w:t>
      </w:r>
      <w:hyperlink r:id="rId122" w:tgtFrame="_blank" w:history="1">
        <w:r w:rsidRPr="00ED7E61">
          <w:rPr>
            <w:rStyle w:val="normaltextrun"/>
            <w:rFonts w:eastAsiaTheme="majorEastAsia"/>
          </w:rPr>
          <w:t>IUCN Red List Guidelines</w:t>
        </w:r>
      </w:hyperlink>
      <w:r w:rsidRPr="00ED7E61">
        <w:rPr>
          <w:rStyle w:val="normaltextrun"/>
          <w:rFonts w:eastAsiaTheme="majorEastAsia"/>
        </w:rPr>
        <w:t xml:space="preserve"> (IUCN Standards and Petitions Committee 2022) contains extensive discussion on consideration of reproductively suppressed individuals, trees, fish, and other cases of interest, and it adhering to this guidance in its entirety, except when working with clonal organisms.</w:t>
      </w:r>
      <w:r w:rsidRPr="00ED7E61">
        <w:rPr>
          <w:rStyle w:val="normaltextrun"/>
        </w:rPr>
        <w:t> </w:t>
      </w:r>
    </w:p>
    <w:p w14:paraId="16020D35" w14:textId="77777777" w:rsidR="00A1720C" w:rsidRPr="00812871" w:rsidRDefault="00000000" w:rsidP="00A1720C">
      <w:pPr>
        <w:pStyle w:val="CBDNormalNumber"/>
        <w:numPr>
          <w:ilvl w:val="0"/>
          <w:numId w:val="60"/>
        </w:numPr>
        <w:ind w:left="567" w:firstLine="0"/>
        <w:rPr>
          <w:rFonts w:asciiTheme="majorBidi" w:hAnsiTheme="majorBidi" w:cstheme="majorBidi"/>
        </w:rPr>
      </w:pPr>
      <w:sdt>
        <w:sdtPr>
          <w:rPr>
            <w:rFonts w:eastAsiaTheme="majorEastAsia"/>
            <w:lang w:val="en-CA"/>
          </w:rPr>
          <w:tag w:val="goog_rdk_22"/>
          <w:id w:val="1305849493"/>
        </w:sdtPr>
        <w:sdtContent>
          <w:sdt>
            <w:sdtPr>
              <w:rPr>
                <w:rFonts w:eastAsiaTheme="majorEastAsia"/>
                <w:lang w:val="en-CA"/>
              </w:rPr>
              <w:tag w:val="goog_rdk_23"/>
              <w:id w:val="1526361003"/>
            </w:sdtPr>
            <w:sdtContent>
              <w:r w:rsidR="00A1720C" w:rsidRPr="00812871">
                <w:rPr>
                  <w:rFonts w:eastAsiaTheme="majorEastAsia"/>
                  <w:lang w:val="en-CA"/>
                </w:rPr>
                <w:t xml:space="preserve">For populations that span multiple countries (i.e., are transboundary), assessments could consider Nc for </w:t>
              </w:r>
            </w:sdtContent>
          </w:sdt>
          <w:sdt>
            <w:sdtPr>
              <w:rPr>
                <w:rFonts w:eastAsiaTheme="majorEastAsia"/>
                <w:lang w:val="en-CA"/>
              </w:rPr>
              <w:tag w:val="goog_rdk_24"/>
              <w:id w:val="798849120"/>
            </w:sdtPr>
            <w:sdtContent>
              <w:r w:rsidR="00A1720C" w:rsidRPr="00812871">
                <w:rPr>
                  <w:rFonts w:eastAsiaTheme="majorEastAsia"/>
                  <w:lang w:val="en-CA"/>
                </w:rPr>
                <w:t>all reproductively mature individuals across the entire population</w:t>
              </w:r>
            </w:sdtContent>
          </w:sdt>
          <w:sdt>
            <w:sdtPr>
              <w:rPr>
                <w:rFonts w:eastAsiaTheme="majorEastAsia"/>
                <w:lang w:val="en-CA"/>
              </w:rPr>
              <w:tag w:val="goog_rdk_25"/>
              <w:id w:val="-1084928901"/>
            </w:sdtPr>
            <w:sdtContent>
              <w:r w:rsidR="00A1720C" w:rsidRPr="00812871">
                <w:rPr>
                  <w:rFonts w:eastAsiaTheme="majorEastAsia"/>
                  <w:lang w:val="en-CA"/>
                </w:rPr>
                <w:t xml:space="preserve">, regardless of </w:t>
              </w:r>
            </w:sdtContent>
          </w:sdt>
          <w:sdt>
            <w:sdtPr>
              <w:rPr>
                <w:rFonts w:eastAsiaTheme="majorEastAsia"/>
                <w:lang w:val="en-CA"/>
              </w:rPr>
              <w:tag w:val="goog_rdk_26"/>
              <w:id w:val="-221605943"/>
            </w:sdtPr>
            <w:sdtContent>
              <w:r w:rsidR="00A1720C" w:rsidRPr="00812871">
                <w:rPr>
                  <w:rFonts w:eastAsiaTheme="majorEastAsia"/>
                  <w:lang w:val="en-CA"/>
                </w:rPr>
                <w:t>jurisdiction. This is important because individuals within the same population but residing in</w:t>
              </w:r>
            </w:sdtContent>
          </w:sdt>
          <w:sdt>
            <w:sdtPr>
              <w:rPr>
                <w:rFonts w:eastAsiaTheme="majorEastAsia"/>
                <w:lang w:val="en-CA"/>
              </w:rPr>
              <w:tag w:val="goog_rdk_27"/>
              <w:id w:val="857830310"/>
            </w:sdtPr>
            <w:sdtContent>
              <w:r w:rsidR="00A1720C" w:rsidRPr="00812871">
                <w:rPr>
                  <w:rFonts w:eastAsiaTheme="majorEastAsia"/>
                  <w:lang w:val="en-CA"/>
                </w:rPr>
                <w:t xml:space="preserve"> neighbouring countries contribute to Ne and reduce genetic risks, </w:t>
              </w:r>
            </w:sdtContent>
          </w:sdt>
          <w:sdt>
            <w:sdtPr>
              <w:rPr>
                <w:rFonts w:eastAsiaTheme="majorEastAsia"/>
                <w:lang w:val="en-CA"/>
              </w:rPr>
              <w:tag w:val="goog_rdk_28"/>
              <w:id w:val="-711870732"/>
            </w:sdtPr>
            <w:sdtContent>
              <w:r w:rsidR="00A1720C" w:rsidRPr="00812871">
                <w:rPr>
                  <w:rFonts w:eastAsiaTheme="majorEastAsia"/>
                  <w:lang w:val="en-CA"/>
                </w:rPr>
                <w:t>even when the proportion of the population in the assessment country is small.</w:t>
              </w:r>
            </w:sdtContent>
          </w:sdt>
          <w:sdt>
            <w:sdtPr>
              <w:rPr>
                <w:rFonts w:eastAsiaTheme="majorEastAsia"/>
                <w:lang w:val="en-CA"/>
              </w:rPr>
              <w:tag w:val="goog_rdk_29"/>
              <w:id w:val="-702657725"/>
            </w:sdtPr>
            <w:sdtContent>
              <w:r w:rsidR="00A1720C" w:rsidRPr="00812871">
                <w:rPr>
                  <w:rFonts w:eastAsiaTheme="majorEastAsia"/>
                  <w:lang w:val="en-CA"/>
                </w:rPr>
                <w:t xml:space="preserve"> Consequently, discounting Nc from neighbouring </w:t>
              </w:r>
              <w:r w:rsidR="00A1720C" w:rsidRPr="00812871">
                <w:rPr>
                  <w:rFonts w:eastAsiaTheme="majorEastAsia"/>
                  <w:lang w:val="en-CA"/>
                </w:rPr>
                <w:lastRenderedPageBreak/>
                <w:t xml:space="preserve">countries could </w:t>
              </w:r>
            </w:sdtContent>
          </w:sdt>
          <w:sdt>
            <w:sdtPr>
              <w:rPr>
                <w:rFonts w:eastAsiaTheme="majorEastAsia"/>
                <w:lang w:val="en-CA"/>
              </w:rPr>
              <w:tag w:val="goog_rdk_30"/>
              <w:id w:val="1526619990"/>
            </w:sdtPr>
            <w:sdtContent>
              <w:r w:rsidR="00A1720C" w:rsidRPr="00812871">
                <w:rPr>
                  <w:rFonts w:eastAsiaTheme="majorEastAsia"/>
                  <w:lang w:val="en-CA"/>
                </w:rPr>
                <w:t>erroneously</w:t>
              </w:r>
            </w:sdtContent>
          </w:sdt>
          <w:sdt>
            <w:sdtPr>
              <w:rPr>
                <w:rFonts w:eastAsiaTheme="majorEastAsia"/>
                <w:lang w:val="en-CA"/>
              </w:rPr>
              <w:tag w:val="goog_rdk_31"/>
              <w:id w:val="906899230"/>
            </w:sdtPr>
            <w:sdtContent>
              <w:r w:rsidR="00A1720C" w:rsidRPr="00812871">
                <w:rPr>
                  <w:rFonts w:eastAsiaTheme="majorEastAsia"/>
                  <w:lang w:val="en-CA"/>
                </w:rPr>
                <w:t xml:space="preserve"> skew indicator values low. If associated population data from certain countries are unavailable, an estimate of </w:t>
              </w:r>
              <w:proofErr w:type="gramStart"/>
              <w:r w:rsidR="00A1720C" w:rsidRPr="00812871">
                <w:rPr>
                  <w:rFonts w:eastAsiaTheme="majorEastAsia"/>
                  <w:lang w:val="en-CA"/>
                </w:rPr>
                <w:t>the  total</w:t>
              </w:r>
              <w:proofErr w:type="gramEnd"/>
              <w:r w:rsidR="00A1720C" w:rsidRPr="00812871">
                <w:rPr>
                  <w:rFonts w:eastAsiaTheme="majorEastAsia"/>
                  <w:lang w:val="en-CA"/>
                </w:rPr>
                <w:t xml:space="preserve"> </w:t>
              </w:r>
            </w:sdtContent>
          </w:sdt>
        </w:sdtContent>
      </w:sdt>
      <w:sdt>
        <w:sdtPr>
          <w:rPr>
            <w:rFonts w:eastAsiaTheme="majorEastAsia"/>
            <w:lang w:val="en-CA"/>
          </w:rPr>
          <w:tag w:val="goog_rdk_32"/>
          <w:id w:val="597363931"/>
        </w:sdtPr>
        <w:sdtContent>
          <w:sdt>
            <w:sdtPr>
              <w:rPr>
                <w:rFonts w:eastAsiaTheme="majorEastAsia"/>
                <w:lang w:val="en-CA"/>
              </w:rPr>
              <w:tag w:val="goog_rdk_33"/>
              <w:id w:val="-1725786375"/>
            </w:sdtPr>
            <w:sdtContent>
              <w:r w:rsidR="00A1720C" w:rsidRPr="00812871">
                <w:rPr>
                  <w:rFonts w:eastAsiaTheme="majorEastAsia"/>
                  <w:lang w:val="en-CA"/>
                </w:rPr>
                <w:t xml:space="preserve">transboundary </w:t>
              </w:r>
            </w:sdtContent>
          </w:sdt>
        </w:sdtContent>
      </w:sdt>
      <w:sdt>
        <w:sdtPr>
          <w:rPr>
            <w:rFonts w:eastAsiaTheme="majorEastAsia"/>
            <w:lang w:val="en-CA"/>
          </w:rPr>
          <w:tag w:val="goog_rdk_34"/>
          <w:id w:val="-487153385"/>
        </w:sdtPr>
        <w:sdtContent>
          <w:sdt>
            <w:sdtPr>
              <w:rPr>
                <w:rFonts w:eastAsiaTheme="majorEastAsia"/>
                <w:lang w:val="en-CA"/>
              </w:rPr>
              <w:tag w:val="goog_rdk_35"/>
              <w:id w:val="-669645924"/>
            </w:sdtPr>
            <w:sdtContent>
              <w:r w:rsidR="00A1720C" w:rsidRPr="00812871">
                <w:rPr>
                  <w:rFonts w:eastAsiaTheme="majorEastAsia"/>
                  <w:lang w:val="en-CA"/>
                </w:rPr>
                <w:t>population size could be made based on known Nc within the focal country and total area (if management and habitat are similar across countries), noting the resulting uncertainty in Nc and subsequent Ne estimates. The rationale and assumptions used for proportional scaling should be clearly documented and consistent rules applied across populations to ensure comparability.</w:t>
              </w:r>
            </w:sdtContent>
          </w:sdt>
        </w:sdtContent>
      </w:sdt>
      <w:r w:rsidR="00A1720C" w:rsidRPr="00A1720C">
        <w:rPr>
          <w:rFonts w:eastAsiaTheme="majorEastAsia"/>
          <w:lang w:val="en-CA"/>
        </w:rPr>
        <w:t xml:space="preserve"> </w:t>
      </w:r>
    </w:p>
    <w:p w14:paraId="4EA271D7" w14:textId="585D7FF0" w:rsidR="00756F0F" w:rsidRPr="00812871" w:rsidRDefault="00960CA6" w:rsidP="00A1720C">
      <w:pPr>
        <w:pStyle w:val="CBDNormalNumber"/>
        <w:numPr>
          <w:ilvl w:val="0"/>
          <w:numId w:val="60"/>
        </w:numPr>
        <w:ind w:left="567" w:firstLine="0"/>
        <w:rPr>
          <w:rStyle w:val="eop"/>
          <w:rFonts w:asciiTheme="majorBidi" w:hAnsiTheme="majorBidi" w:cstheme="majorBidi"/>
        </w:rPr>
      </w:pPr>
      <w:r w:rsidRPr="00ED7E61">
        <w:rPr>
          <w:rStyle w:val="normaltextrun"/>
          <w:rFonts w:eastAsiaTheme="majorEastAsia"/>
        </w:rPr>
        <w:t>Clonal organisms. In assessing Nc for the use of converting to Ne, it is important to use the “</w:t>
      </w:r>
      <w:r w:rsidRPr="00FB1598">
        <w:rPr>
          <w:rStyle w:val="normaltextrun"/>
          <w:rFonts w:eastAsiaTheme="majorEastAsia"/>
          <w:i/>
          <w:iCs/>
        </w:rPr>
        <w:t>genet</w:t>
      </w:r>
      <w:r w:rsidRPr="00ED7E61">
        <w:rPr>
          <w:rStyle w:val="normaltextrun"/>
          <w:rFonts w:eastAsiaTheme="majorEastAsia"/>
        </w:rPr>
        <w:t>” (the genetically distinct organism) as opposed to the “</w:t>
      </w:r>
      <w:r w:rsidRPr="00FB1598">
        <w:rPr>
          <w:rStyle w:val="normaltextrun"/>
          <w:rFonts w:eastAsiaTheme="majorEastAsia"/>
          <w:i/>
          <w:iCs/>
        </w:rPr>
        <w:t>ramet</w:t>
      </w:r>
      <w:r w:rsidRPr="00ED7E61">
        <w:rPr>
          <w:rStyle w:val="normaltextrun"/>
          <w:rFonts w:eastAsiaTheme="majorEastAsia"/>
        </w:rPr>
        <w:t xml:space="preserve">” (each distinct part which </w:t>
      </w:r>
      <w:proofErr w:type="gramStart"/>
      <w:r w:rsidRPr="00ED7E61">
        <w:rPr>
          <w:rStyle w:val="normaltextrun"/>
          <w:rFonts w:eastAsiaTheme="majorEastAsia"/>
        </w:rPr>
        <w:t>is capable of surviving</w:t>
      </w:r>
      <w:proofErr w:type="gramEnd"/>
      <w:r w:rsidRPr="00ED7E61">
        <w:rPr>
          <w:rStyle w:val="normaltextrun"/>
          <w:rFonts w:eastAsiaTheme="majorEastAsia"/>
        </w:rPr>
        <w:t xml:space="preserve"> on its own).  An extreme example is a Populus clone which may have thousands of stems aboveground which are each capable of reproduction, but which are identical in their genotype.  The assessor should consider each entire clone as a mature individual when counting Nc, not each stem.  This can be done </w:t>
      </w:r>
      <w:proofErr w:type="gramStart"/>
      <w:r w:rsidRPr="00ED7E61">
        <w:rPr>
          <w:rStyle w:val="normaltextrun"/>
          <w:rFonts w:eastAsiaTheme="majorEastAsia"/>
        </w:rPr>
        <w:t>similar to</w:t>
      </w:r>
      <w:proofErr w:type="gramEnd"/>
      <w:r w:rsidRPr="00ED7E61">
        <w:rPr>
          <w:rStyle w:val="normaltextrun"/>
          <w:rFonts w:eastAsiaTheme="majorEastAsia"/>
        </w:rPr>
        <w:t xml:space="preserve"> the advice on page 28 of the </w:t>
      </w:r>
      <w:proofErr w:type="gramStart"/>
      <w:r w:rsidRPr="00ED7E61">
        <w:rPr>
          <w:rStyle w:val="normaltextrun"/>
          <w:rFonts w:eastAsiaTheme="majorEastAsia"/>
        </w:rPr>
        <w:t>aforementioned IUCN</w:t>
      </w:r>
      <w:proofErr w:type="gramEnd"/>
      <w:r w:rsidRPr="00ED7E61">
        <w:rPr>
          <w:rStyle w:val="normaltextrun"/>
          <w:rFonts w:eastAsiaTheme="majorEastAsia"/>
        </w:rPr>
        <w:t xml:space="preserve"> Red List Guidelines, e.g. “</w:t>
      </w:r>
      <w:r w:rsidRPr="00FB1598">
        <w:rPr>
          <w:rStyle w:val="normaltextrun"/>
          <w:rFonts w:eastAsiaTheme="majorEastAsia"/>
          <w:i/>
          <w:iCs/>
        </w:rPr>
        <w:t>For diffuse, wholly visible organisms in continuous habitats (e.g. reef-forming corals, algal mats) assessors may assume an average area occupied by a genet and estimate the number of genets from the area covered by the taxon. The area covered by the taxon should be estimated at a scale (grid size; e.g. 1 m</w:t>
      </w:r>
      <w:r w:rsidRPr="00FB1598">
        <w:rPr>
          <w:rStyle w:val="normaltextrun"/>
          <w:rFonts w:eastAsiaTheme="majorEastAsia"/>
          <w:i/>
          <w:iCs/>
          <w:vertAlign w:val="superscript"/>
        </w:rPr>
        <w:t>2</w:t>
      </w:r>
      <w:r w:rsidRPr="00FB1598">
        <w:rPr>
          <w:rStyle w:val="normaltextrun"/>
          <w:rFonts w:eastAsiaTheme="majorEastAsia"/>
          <w:i/>
          <w:iCs/>
        </w:rPr>
        <w:t>) that is as close as practicable to the area assumed to be occupied by a genet.</w:t>
      </w:r>
      <w:r w:rsidRPr="00ED7E61">
        <w:rPr>
          <w:rStyle w:val="normaltextrun"/>
          <w:rFonts w:eastAsiaTheme="majorEastAsia"/>
        </w:rPr>
        <w:t>” The typical area covered by a genet can be determined by consulting scientific literature on a similar organism (as above, many estimates are available for corals and Populus), contacting an expert in that species or genus, which may include contacting an IUCN Specialist Group for that taxon or the IUCN Conservation Genetic Specialist Group</w:t>
      </w:r>
      <w:r w:rsidRPr="00ED7E61">
        <w:rPr>
          <w:rStyle w:val="eop"/>
          <w:rFonts w:asciiTheme="majorBidi" w:eastAsiaTheme="majorEastAsia" w:hAnsiTheme="majorBidi" w:cstheme="majorBidi"/>
          <w:color w:val="000000"/>
        </w:rPr>
        <w:t> </w:t>
      </w:r>
    </w:p>
    <w:p w14:paraId="0E99CFF8" w14:textId="532327FB" w:rsidR="00B90333" w:rsidRPr="00ED7E61" w:rsidRDefault="00000000" w:rsidP="00B90333">
      <w:pPr>
        <w:pStyle w:val="CBDNormalNumber"/>
        <w:numPr>
          <w:ilvl w:val="0"/>
          <w:numId w:val="60"/>
        </w:numPr>
        <w:ind w:left="567" w:firstLine="0"/>
        <w:rPr>
          <w:rFonts w:asciiTheme="majorBidi" w:hAnsiTheme="majorBidi" w:cstheme="majorBidi"/>
        </w:rPr>
      </w:pPr>
      <w:sdt>
        <w:sdtPr>
          <w:rPr>
            <w:rFonts w:asciiTheme="majorBidi" w:hAnsiTheme="majorBidi" w:cstheme="majorBidi"/>
            <w:lang w:val="en-CA"/>
          </w:rPr>
          <w:tag w:val="goog_rdk_46"/>
          <w:id w:val="-1457469651"/>
        </w:sdtPr>
        <w:sdtContent>
          <w:r w:rsidR="00B90333" w:rsidRPr="00812871">
            <w:rPr>
              <w:rFonts w:asciiTheme="majorBidi" w:hAnsiTheme="majorBidi" w:cstheme="majorBidi"/>
              <w:lang w:val="en-CA"/>
            </w:rPr>
            <w:t>Species that have recently had strong declines and recovery in their population sizes.  The current Nc should not be used as a basis for Ne in a population that has had a recent strong decline and substantial recovery in population size (termed a bottleneck and recovery).  Such populations should either not be used for the indicator or will need a modification to calculating Ne.  The Ne of such populations will not be accurately described by the current Nc*Ne/Nc ratio.  The harmonic mean of Nc over the past several generations should be used instead.</w:t>
          </w:r>
        </w:sdtContent>
      </w:sdt>
      <w:sdt>
        <w:sdtPr>
          <w:rPr>
            <w:rFonts w:asciiTheme="majorBidi" w:hAnsiTheme="majorBidi" w:cstheme="majorBidi"/>
            <w:lang w:val="en-CA"/>
          </w:rPr>
          <w:tag w:val="goog_rdk_47"/>
          <w:id w:val="1648376608"/>
        </w:sdtPr>
        <w:sdtContent/>
      </w:sdt>
    </w:p>
    <w:p w14:paraId="23421048" w14:textId="64135779" w:rsidR="00756F0F" w:rsidRPr="00ED7E61" w:rsidRDefault="00756F0F" w:rsidP="00C81B0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i/>
          <w:iCs/>
          <w:color w:val="000000"/>
          <w:sz w:val="22"/>
          <w:szCs w:val="22"/>
          <w:lang w:val="en-GB"/>
        </w:rPr>
        <w:t>Step 3:</w:t>
      </w:r>
      <w:r w:rsidRPr="00ED7E61">
        <w:rPr>
          <w:rStyle w:val="normaltextrun"/>
          <w:rFonts w:asciiTheme="majorBidi" w:eastAsiaTheme="majorEastAsia" w:hAnsiTheme="majorBidi" w:cstheme="majorBidi"/>
          <w:i/>
          <w:iCs/>
          <w:color w:val="000000"/>
          <w:sz w:val="22"/>
          <w:szCs w:val="22"/>
          <w:lang w:val="en-GB"/>
        </w:rPr>
        <w:t xml:space="preserve"> Calculate the proportion of populations above the 500 N</w:t>
      </w:r>
      <w:r w:rsidRPr="00ED7E61">
        <w:rPr>
          <w:rStyle w:val="normaltextrun"/>
          <w:rFonts w:asciiTheme="majorBidi" w:eastAsiaTheme="majorEastAsia" w:hAnsiTheme="majorBidi" w:cstheme="majorBidi"/>
          <w:i/>
          <w:iCs/>
          <w:color w:val="000000"/>
          <w:sz w:val="22"/>
          <w:szCs w:val="22"/>
          <w:vertAlign w:val="subscript"/>
          <w:lang w:val="en-GB"/>
        </w:rPr>
        <w:t>e</w:t>
      </w:r>
      <w:r w:rsidRPr="00ED7E61">
        <w:rPr>
          <w:rStyle w:val="normaltextrun"/>
          <w:rFonts w:asciiTheme="majorBidi" w:eastAsiaTheme="majorEastAsia" w:hAnsiTheme="majorBidi" w:cstheme="majorBidi"/>
          <w:i/>
          <w:iCs/>
          <w:color w:val="000000"/>
          <w:sz w:val="22"/>
          <w:szCs w:val="22"/>
          <w:lang w:val="en-GB"/>
        </w:rPr>
        <w:t xml:space="preserve"> threshold. </w:t>
      </w:r>
      <w:r w:rsidRPr="00ED7E61">
        <w:rPr>
          <w:rStyle w:val="eop"/>
          <w:rFonts w:asciiTheme="majorBidi" w:eastAsiaTheme="majorEastAsia" w:hAnsiTheme="majorBidi" w:cstheme="majorBidi"/>
          <w:color w:val="000000"/>
          <w:sz w:val="22"/>
          <w:szCs w:val="22"/>
        </w:rPr>
        <w:t> </w:t>
      </w:r>
    </w:p>
    <w:p w14:paraId="463D94D2" w14:textId="39F9A30B" w:rsidR="00960CA6" w:rsidRPr="00ED7E61" w:rsidRDefault="00960CA6" w:rsidP="00B10F0C">
      <w:pPr>
        <w:pStyle w:val="CBDNormalNumber"/>
        <w:numPr>
          <w:ilvl w:val="0"/>
          <w:numId w:val="60"/>
        </w:numPr>
        <w:ind w:left="567" w:firstLine="0"/>
        <w:rPr>
          <w:rStyle w:val="normaltextrun"/>
          <w:rFonts w:eastAsiaTheme="majorEastAsia"/>
          <w:sz w:val="24"/>
          <w:szCs w:val="24"/>
          <w:lang w:val="en-CA"/>
        </w:rPr>
      </w:pPr>
      <w:r w:rsidRPr="00ED7E61">
        <w:rPr>
          <w:rStyle w:val="normaltextrun"/>
          <w:rFonts w:eastAsiaTheme="majorEastAsia"/>
        </w:rPr>
        <w:t xml:space="preserve">For each species, count the number of populations with Ne above 500 and the number with Ne below 500; these two added together should equal the total number of populations. For a given species, the indicator can be reported as a proportion (from 0 to 1) of all populations that are above 500, or in the form of a ratio </w:t>
      </w:r>
      <w:r w:rsidR="00C43C39">
        <w:rPr>
          <w:rStyle w:val="normaltextrun"/>
          <w:rFonts w:eastAsiaTheme="majorEastAsia"/>
        </w:rPr>
        <w:t>"</w:t>
      </w:r>
      <w:r w:rsidRPr="00FB1598">
        <w:rPr>
          <w:rStyle w:val="normaltextrun"/>
          <w:rFonts w:eastAsiaTheme="majorEastAsia"/>
          <w:i/>
          <w:iCs/>
        </w:rPr>
        <w:t>number of populations above 500</w:t>
      </w:r>
      <w:r w:rsidR="00C43C39">
        <w:rPr>
          <w:rStyle w:val="normaltextrun"/>
          <w:rFonts w:eastAsiaTheme="majorEastAsia"/>
        </w:rPr>
        <w:t>”</w:t>
      </w:r>
      <w:proofErr w:type="gramStart"/>
      <w:r w:rsidRPr="00ED7E61">
        <w:rPr>
          <w:rStyle w:val="normaltextrun"/>
          <w:rFonts w:eastAsiaTheme="majorEastAsia"/>
        </w:rPr>
        <w:t>:</w:t>
      </w:r>
      <w:r w:rsidR="00C43C39">
        <w:rPr>
          <w:rStyle w:val="normaltextrun"/>
          <w:rFonts w:eastAsiaTheme="majorEastAsia"/>
        </w:rPr>
        <w:t>”</w:t>
      </w:r>
      <w:r w:rsidRPr="00FB1598">
        <w:rPr>
          <w:rStyle w:val="normaltextrun"/>
          <w:rFonts w:eastAsiaTheme="majorEastAsia"/>
          <w:i/>
          <w:iCs/>
        </w:rPr>
        <w:t>total</w:t>
      </w:r>
      <w:proofErr w:type="gramEnd"/>
      <w:r w:rsidRPr="00FB1598">
        <w:rPr>
          <w:rStyle w:val="normaltextrun"/>
          <w:rFonts w:eastAsiaTheme="majorEastAsia"/>
          <w:i/>
          <w:iCs/>
        </w:rPr>
        <w:t xml:space="preserve"> number of populations</w:t>
      </w:r>
      <w:r w:rsidRPr="00ED7E61">
        <w:rPr>
          <w:rStyle w:val="normaltextrun"/>
          <w:rFonts w:eastAsiaTheme="majorEastAsia"/>
        </w:rPr>
        <w:t>.</w:t>
      </w:r>
      <w:r w:rsidR="00C43C39">
        <w:rPr>
          <w:rStyle w:val="normaltextrun"/>
          <w:rFonts w:eastAsiaTheme="majorEastAsia"/>
        </w:rPr>
        <w:t>”</w:t>
      </w:r>
      <w:r w:rsidRPr="00ED7E61">
        <w:rPr>
          <w:rStyle w:val="normaltextrun"/>
          <w:rFonts w:eastAsiaTheme="majorEastAsia"/>
        </w:rPr>
        <w:t xml:space="preserve"> Recently extinct populations would have a size of 0 to avoid an increase in the indicator value when populations are lost. To obtain a country level indicator value across species </w:t>
      </w:r>
      <w:proofErr w:type="gramStart"/>
      <w:r w:rsidRPr="00ED7E61">
        <w:rPr>
          <w:rStyle w:val="normaltextrun"/>
          <w:rFonts w:eastAsiaTheme="majorEastAsia"/>
        </w:rPr>
        <w:t>in a given</w:t>
      </w:r>
      <w:proofErr w:type="gramEnd"/>
      <w:r w:rsidRPr="00ED7E61">
        <w:rPr>
          <w:rStyle w:val="normaltextrun"/>
          <w:rFonts w:eastAsiaTheme="majorEastAsia"/>
        </w:rPr>
        <w:t xml:space="preserve"> country or geographic location, a simple average of the proportion from Step 3 for all the relevant species should be performed. If taxonomic groups are not represented evenly, the indicator value is the mean of each taxonomic group’s means, which down-weights overly represented taxonomic groups, e.g. mammals. Additionally, when calculating the country wide indicator value across species, each species can be weighted by the proportion of its geographic range in the country, from 0 to 1, to reflect national responsibility, with full weight for endemic species​​. Transboundary/transnational populations can be weighted similarly (e.g. by the proportion of that population falling within the Parties borders). The indicator would range between 0 and 1 (with 1 being the desired state - all populations above an effective size of 500).</w:t>
      </w:r>
      <w:r w:rsidRPr="00ED7E61">
        <w:rPr>
          <w:rStyle w:val="normaltextrun"/>
        </w:rPr>
        <w:t> </w:t>
      </w:r>
    </w:p>
    <w:p w14:paraId="43830E7C" w14:textId="7BB0D6DD" w:rsidR="00960CA6" w:rsidRPr="00ED7E61" w:rsidRDefault="00960CA6" w:rsidP="00B10F0C">
      <w:pPr>
        <w:pStyle w:val="CBDNormalNumber"/>
        <w:numPr>
          <w:ilvl w:val="0"/>
          <w:numId w:val="60"/>
        </w:numPr>
        <w:ind w:left="567" w:firstLine="0"/>
        <w:rPr>
          <w:rStyle w:val="normaltextrun"/>
          <w:rFonts w:eastAsiaTheme="majorEastAsia"/>
        </w:rPr>
      </w:pPr>
      <w:r w:rsidRPr="00ED7E61">
        <w:rPr>
          <w:rStyle w:val="normaltextrun"/>
          <w:rFonts w:eastAsiaTheme="majorEastAsia"/>
        </w:rPr>
        <w:t xml:space="preserve">Equations for indicator calculation are given in </w:t>
      </w:r>
      <w:hyperlink r:id="rId123" w:tgtFrame="_blank" w:history="1">
        <w:r w:rsidRPr="00ED7E61">
          <w:rPr>
            <w:rStyle w:val="normaltextrun"/>
            <w:rFonts w:eastAsiaTheme="majorEastAsia"/>
          </w:rPr>
          <w:t>Hoban et al</w:t>
        </w:r>
        <w:r w:rsidR="00FF0D09">
          <w:rPr>
            <w:rStyle w:val="normaltextrun"/>
            <w:rFonts w:eastAsiaTheme="majorEastAsia"/>
          </w:rPr>
          <w:t>.</w:t>
        </w:r>
        <w:r w:rsidRPr="00ED7E61">
          <w:rPr>
            <w:rStyle w:val="normaltextrun"/>
            <w:rFonts w:eastAsiaTheme="majorEastAsia"/>
          </w:rPr>
          <w:t xml:space="preserve"> (2023b)</w:t>
        </w:r>
      </w:hyperlink>
      <w:r w:rsidRPr="00ED7E61">
        <w:rPr>
          <w:rStyle w:val="normaltextrun"/>
          <w:rFonts w:eastAsiaTheme="majorEastAsia"/>
        </w:rPr>
        <w:t>.</w:t>
      </w:r>
      <w:r w:rsidRPr="00ED7E61">
        <w:rPr>
          <w:rStyle w:val="normaltextrun"/>
        </w:rPr>
        <w:t> </w:t>
      </w:r>
    </w:p>
    <w:p w14:paraId="15CF8EDB" w14:textId="550FB943" w:rsidR="00960CA6" w:rsidRPr="00ED7E61" w:rsidRDefault="00960CA6" w:rsidP="00B10F0C">
      <w:pPr>
        <w:pStyle w:val="CBDNormalNumber"/>
        <w:numPr>
          <w:ilvl w:val="0"/>
          <w:numId w:val="60"/>
        </w:numPr>
        <w:ind w:left="567" w:firstLine="0"/>
        <w:rPr>
          <w:rStyle w:val="normaltextrun"/>
          <w:rFonts w:eastAsiaTheme="majorEastAsia"/>
        </w:rPr>
      </w:pPr>
      <w:r w:rsidRPr="00ED7E61">
        <w:rPr>
          <w:rStyle w:val="normaltextrun"/>
          <w:rFonts w:eastAsiaTheme="majorEastAsia"/>
        </w:rPr>
        <w:t xml:space="preserve">What to do if a population goes extinct? Any population that goes extinct after the country’s baseline year (each country is directed by the CBD to choose a baseline, which defaults to 2010-2020 but which may be adjusted to country context) is assigned an Nc and Ne of 0 and are therefore below Ne 500.  These populations must be retained in the calculation </w:t>
      </w:r>
      <w:proofErr w:type="gramStart"/>
      <w:r w:rsidRPr="00ED7E61">
        <w:rPr>
          <w:rStyle w:val="normaltextrun"/>
          <w:rFonts w:eastAsiaTheme="majorEastAsia"/>
        </w:rPr>
        <w:t>in order to</w:t>
      </w:r>
      <w:proofErr w:type="gramEnd"/>
      <w:r w:rsidRPr="00ED7E61">
        <w:rPr>
          <w:rStyle w:val="normaltextrun"/>
          <w:rFonts w:eastAsiaTheme="majorEastAsia"/>
        </w:rPr>
        <w:t xml:space="preserve"> avoid the perverse incentive to “</w:t>
      </w:r>
      <w:r w:rsidRPr="00FB1598">
        <w:rPr>
          <w:rStyle w:val="normaltextrun"/>
          <w:rFonts w:eastAsiaTheme="majorEastAsia"/>
          <w:i/>
          <w:iCs/>
        </w:rPr>
        <w:t>raise</w:t>
      </w:r>
      <w:r w:rsidRPr="00ED7E61">
        <w:rPr>
          <w:rStyle w:val="normaltextrun"/>
          <w:rFonts w:eastAsiaTheme="majorEastAsia"/>
        </w:rPr>
        <w:t>” the indicator value through population extinction</w:t>
      </w:r>
      <w:r w:rsidRPr="00ED7E61">
        <w:rPr>
          <w:rStyle w:val="normaltextrun"/>
        </w:rPr>
        <w:t> </w:t>
      </w:r>
    </w:p>
    <w:p w14:paraId="62828203" w14:textId="5743264A"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i/>
          <w:iCs/>
          <w:color w:val="000000"/>
          <w:sz w:val="22"/>
          <w:szCs w:val="22"/>
          <w:lang w:val="en-GB"/>
        </w:rPr>
        <w:t>Step 4</w:t>
      </w:r>
      <w:r w:rsidRPr="00ED7E61">
        <w:rPr>
          <w:rStyle w:val="normaltextrun"/>
          <w:rFonts w:asciiTheme="majorBidi" w:eastAsiaTheme="majorEastAsia" w:hAnsiTheme="majorBidi" w:cstheme="majorBidi"/>
          <w:i/>
          <w:iCs/>
          <w:color w:val="000000"/>
          <w:sz w:val="22"/>
          <w:szCs w:val="22"/>
          <w:lang w:val="en-GB"/>
        </w:rPr>
        <w:t>: Temporal change in the indicator can be calculated using multiple time point values of population size</w:t>
      </w:r>
      <w:r w:rsidRPr="00ED7E61">
        <w:rPr>
          <w:rStyle w:val="eop"/>
          <w:rFonts w:asciiTheme="majorBidi" w:eastAsiaTheme="majorEastAsia" w:hAnsiTheme="majorBidi" w:cstheme="majorBidi"/>
          <w:color w:val="000000"/>
          <w:sz w:val="22"/>
          <w:szCs w:val="22"/>
        </w:rPr>
        <w:t> </w:t>
      </w:r>
    </w:p>
    <w:p w14:paraId="43C2952A" w14:textId="656AD314" w:rsidR="00756F0F" w:rsidRPr="00ED7E61" w:rsidRDefault="00756F0F" w:rsidP="00B10F0C">
      <w:pPr>
        <w:pStyle w:val="CBDNormalNumber"/>
        <w:numPr>
          <w:ilvl w:val="0"/>
          <w:numId w:val="60"/>
        </w:numPr>
        <w:ind w:left="567" w:firstLine="0"/>
        <w:rPr>
          <w:rStyle w:val="normaltextrun"/>
          <w:rFonts w:eastAsiaTheme="majorEastAsia"/>
          <w:sz w:val="24"/>
          <w:szCs w:val="24"/>
          <w:lang w:val="en-CA"/>
        </w:rPr>
      </w:pPr>
      <w:r w:rsidRPr="00ED7E61">
        <w:rPr>
          <w:rStyle w:val="normaltextrun"/>
          <w:rFonts w:eastAsiaTheme="majorEastAsia"/>
        </w:rPr>
        <w:lastRenderedPageBreak/>
        <w:t xml:space="preserve">An important consideration is that calculating temporal change in the indicator requires the use of the same set of species at all time points, </w:t>
      </w:r>
      <w:proofErr w:type="gramStart"/>
      <w:r w:rsidRPr="00ED7E61">
        <w:rPr>
          <w:rStyle w:val="normaltextrun"/>
          <w:rFonts w:eastAsiaTheme="majorEastAsia"/>
        </w:rPr>
        <w:t>similar to</w:t>
      </w:r>
      <w:proofErr w:type="gramEnd"/>
      <w:r w:rsidRPr="00ED7E61">
        <w:rPr>
          <w:rStyle w:val="normaltextrun"/>
          <w:rFonts w:eastAsiaTheme="majorEastAsia"/>
        </w:rPr>
        <w:t xml:space="preserve"> the Red List Index (Bubb et al</w:t>
      </w:r>
      <w:r w:rsidR="00FF0D09">
        <w:rPr>
          <w:rStyle w:val="normaltextrun"/>
          <w:rFonts w:eastAsiaTheme="majorEastAsia"/>
        </w:rPr>
        <w:t>.</w:t>
      </w:r>
      <w:r w:rsidRPr="00ED7E61">
        <w:rPr>
          <w:rStyle w:val="normaltextrun"/>
          <w:rFonts w:eastAsiaTheme="majorEastAsia"/>
        </w:rPr>
        <w:t xml:space="preserve"> 2009).  As a default guidance, all species used in the first time point should be included in the second</w:t>
      </w:r>
      <w:r w:rsidRPr="00ED7E61">
        <w:rPr>
          <w:rStyle w:val="normaltextrun"/>
        </w:rPr>
        <w:t> </w:t>
      </w:r>
    </w:p>
    <w:p w14:paraId="1AE15190" w14:textId="38F0A4DA" w:rsidR="00756F0F" w:rsidRPr="00ED7E61" w:rsidRDefault="00756F0F" w:rsidP="00B10F0C">
      <w:pPr>
        <w:pStyle w:val="CBDNormalNumber"/>
        <w:numPr>
          <w:ilvl w:val="0"/>
          <w:numId w:val="60"/>
        </w:numPr>
        <w:ind w:left="567" w:firstLine="0"/>
        <w:rPr>
          <w:rStyle w:val="normaltextrun"/>
          <w:rFonts w:eastAsiaTheme="majorEastAsia"/>
        </w:rPr>
      </w:pPr>
      <w:r w:rsidRPr="00ED7E61">
        <w:rPr>
          <w:rStyle w:val="normaltextrun"/>
          <w:rFonts w:eastAsiaTheme="majorEastAsia"/>
        </w:rPr>
        <w:t>However, the country may wish to change or add to the species lists over time (e.g. owing to taxonomic revisions, additional data sources, etc.). In such cases, countries can do one of the following:</w:t>
      </w:r>
      <w:r w:rsidRPr="00ED7E61">
        <w:rPr>
          <w:rStyle w:val="normaltextrun"/>
        </w:rPr>
        <w:t> </w:t>
      </w:r>
    </w:p>
    <w:p w14:paraId="5102CAF7"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Any species in which taxonomic revisions or data errors are identified to have impacted the indicator value, should be removed from both time points</w:t>
      </w:r>
      <w:r w:rsidRPr="00ED7E61">
        <w:rPr>
          <w:rStyle w:val="normaltextrun"/>
        </w:rPr>
        <w:t> </w:t>
      </w:r>
    </w:p>
    <w:p w14:paraId="733154C5"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rPr>
        <w:t>Indicator values for any species affected by new knowledge or taxonomic changes can have their current and former indicator value retrospectively calculated.  In other words, the entity being evaluated in the current time point can be re-evaluated for its previous time point using the most up to date guidance and data available</w:t>
      </w:r>
      <w:r w:rsidRPr="00ED7E61">
        <w:rPr>
          <w:rStyle w:val="eop"/>
          <w:rFonts w:asciiTheme="majorBidi" w:eastAsiaTheme="majorEastAsia" w:hAnsiTheme="majorBidi" w:cstheme="majorBidi"/>
          <w:color w:val="000000"/>
        </w:rPr>
        <w:t> </w:t>
      </w:r>
    </w:p>
    <w:p w14:paraId="126EA3F7" w14:textId="1F646D94" w:rsidR="009A563F" w:rsidRPr="00ED7E61" w:rsidRDefault="00756F0F" w:rsidP="00B10F0C">
      <w:pPr>
        <w:pStyle w:val="CBDNormalNumber"/>
        <w:numPr>
          <w:ilvl w:val="0"/>
          <w:numId w:val="60"/>
        </w:numPr>
        <w:ind w:left="567" w:firstLine="0"/>
        <w:rPr>
          <w:rStyle w:val="normaltextrun"/>
          <w:rFonts w:eastAsiaTheme="majorEastAsia"/>
        </w:rPr>
      </w:pPr>
      <w:r w:rsidRPr="00ED7E61">
        <w:rPr>
          <w:rStyle w:val="normaltextrun"/>
          <w:rFonts w:eastAsiaTheme="majorEastAsia"/>
        </w:rPr>
        <w:t>In addition, it is anticipated that biodiversity monitoring capacity within countries will increase over time, and thus countries may wish to increase the number of species included in their indicator calculation, e.g. from 100 to 1</w:t>
      </w:r>
      <w:r w:rsidR="00050BB9">
        <w:rPr>
          <w:rStyle w:val="normaltextrun"/>
          <w:rFonts w:eastAsiaTheme="majorEastAsia"/>
        </w:rPr>
        <w:t>,</w:t>
      </w:r>
      <w:r w:rsidRPr="00ED7E61">
        <w:rPr>
          <w:rStyle w:val="normaltextrun"/>
          <w:rFonts w:eastAsiaTheme="majorEastAsia"/>
        </w:rPr>
        <w:t>000 species.  In such cases, the species being newly evaluated can have retrospective indicator calculations made, assuming historic data is available.​​ This highlights a broader opportunity, that such retrospective evaluation could extend indicator calculation into the past</w:t>
      </w:r>
      <w:r w:rsidRPr="00ED7E61">
        <w:rPr>
          <w:rStyle w:val="normaltextrun"/>
        </w:rPr>
        <w:t> </w:t>
      </w:r>
    </w:p>
    <w:p w14:paraId="0FE4535D" w14:textId="2E712A63" w:rsidR="009A563F" w:rsidRPr="00AE4B3F" w:rsidRDefault="00756F0F" w:rsidP="00AE4B3F">
      <w:pPr>
        <w:pStyle w:val="CBDNormalNumber"/>
        <w:numPr>
          <w:ilvl w:val="0"/>
          <w:numId w:val="60"/>
        </w:numPr>
        <w:ind w:left="567" w:firstLine="0"/>
        <w:rPr>
          <w:rStyle w:val="normaltextrun"/>
          <w:rFonts w:eastAsiaTheme="majorEastAsia"/>
        </w:rPr>
      </w:pPr>
      <w:r w:rsidRPr="008C11DA">
        <w:rPr>
          <w:rStyle w:val="normaltextrun"/>
          <w:rFonts w:eastAsiaTheme="majorEastAsia"/>
        </w:rPr>
        <w:t xml:space="preserve">Temporal increases in the proportion of populations with Ne above 500 would indicate improvement in the maintenance of genetic diversity (on average slowing the rate of genetic erosion and eventually </w:t>
      </w:r>
      <w:r w:rsidR="00C43C39" w:rsidRPr="008C11DA">
        <w:rPr>
          <w:rStyle w:val="normaltextrun"/>
          <w:rFonts w:eastAsiaTheme="majorEastAsia"/>
        </w:rPr>
        <w:t>“</w:t>
      </w:r>
      <w:r w:rsidRPr="00AE4B3F">
        <w:rPr>
          <w:rStyle w:val="normaltextrun"/>
          <w:rFonts w:eastAsiaTheme="majorEastAsia"/>
        </w:rPr>
        <w:t>bending the curve</w:t>
      </w:r>
      <w:r w:rsidR="00C43C39" w:rsidRPr="008C11DA">
        <w:rPr>
          <w:rStyle w:val="normaltextrun"/>
          <w:rFonts w:eastAsiaTheme="majorEastAsia"/>
        </w:rPr>
        <w:t>”</w:t>
      </w:r>
      <w:r w:rsidRPr="008C11DA">
        <w:rPr>
          <w:rStyle w:val="normaltextrun"/>
          <w:rFonts w:eastAsiaTheme="majorEastAsia"/>
        </w:rPr>
        <w:t xml:space="preserve"> such that genetic diversity is restored via natural processes of mutation, migration, etc.). Decreases would indicate worsening (accelerating rate of genetic erosion). Static values would indicate a stable state of the indicator (stable rate of genetic erosion - though not necessarily a halting of genetic erosion - it is only halted when Ne &gt;500).  The indicator is designed to be recalculated as new data are compiled, which in many species is a timescale of 2 to 5 years, thus the indicator would be calculated and reported on typically once every 4 years (fitting the timespan of CBD reporting).</w:t>
      </w:r>
      <w:r w:rsidRPr="00AE4B3F">
        <w:rPr>
          <w:rStyle w:val="normaltextrun"/>
        </w:rPr>
        <w:t> </w:t>
      </w:r>
      <w:r w:rsidR="008C11DA" w:rsidRPr="00AE4B3F">
        <w:rPr>
          <w:rStyle w:val="normaltextrun"/>
        </w:rPr>
        <w:t>A recent study showed that monitoring and reporting on this timescale is feasible. Countries can combine monitoring programs that have different frequency of monitoring of populations, with ideal monitoring being that populations are assessed every 2 to 4 years (Hébert et al. 2025).</w:t>
      </w:r>
    </w:p>
    <w:p w14:paraId="728312B4" w14:textId="77777777" w:rsidR="00756F0F" w:rsidRPr="00ED7E61" w:rsidRDefault="00756F0F" w:rsidP="00B10F0C">
      <w:pPr>
        <w:pStyle w:val="CBDNormalNumber"/>
        <w:numPr>
          <w:ilvl w:val="0"/>
          <w:numId w:val="60"/>
        </w:numPr>
        <w:ind w:left="567" w:firstLine="0"/>
        <w:rPr>
          <w:rFonts w:asciiTheme="majorBidi" w:hAnsiTheme="majorBidi" w:cstheme="majorBidi"/>
        </w:rPr>
      </w:pPr>
      <w:r w:rsidRPr="00ED7E61">
        <w:rPr>
          <w:rStyle w:val="normaltextrun"/>
          <w:rFonts w:asciiTheme="majorBidi" w:eastAsiaTheme="majorEastAsia" w:hAnsiTheme="majorBidi" w:cstheme="majorBidi"/>
          <w:i/>
          <w:iCs/>
          <w:color w:val="000000"/>
        </w:rPr>
        <w:t>Management based on the indicator</w:t>
      </w:r>
      <w:r w:rsidRPr="00ED7E61">
        <w:rPr>
          <w:rStyle w:val="normaltextrun"/>
          <w:rFonts w:asciiTheme="majorBidi" w:eastAsiaTheme="majorEastAsia" w:hAnsiTheme="majorBidi" w:cstheme="majorBidi"/>
          <w:color w:val="000000"/>
        </w:rPr>
        <w:t>: The indicator is designed for use in practical biodiversity management – not just for reporting to the CBD.  For example, it can be used for: raising alarm in regions or taxonomic groups with low indicator values, prioritizing which species and populations are most in need of management to halt genetic erosion, designing management strategies (e.g. reintroduction, population supplementation), setting achievable goals, tracking the consequences or effectiveness of management (e.g. if the indicator value improves), and communicating to the public about genetic diversity conservation.</w:t>
      </w:r>
      <w:r w:rsidRPr="00ED7E61">
        <w:rPr>
          <w:rStyle w:val="eop"/>
          <w:rFonts w:asciiTheme="majorBidi" w:eastAsiaTheme="majorEastAsia" w:hAnsiTheme="majorBidi" w:cstheme="majorBidi"/>
          <w:color w:val="000000"/>
        </w:rPr>
        <w:t> </w:t>
      </w:r>
    </w:p>
    <w:p w14:paraId="2971723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2F3EB818" w14:textId="3685EB58" w:rsidR="009A563F" w:rsidRPr="00ED7E61" w:rsidRDefault="00960CA6" w:rsidP="00B10F0C">
      <w:pPr>
        <w:pStyle w:val="CBDNormalNumber"/>
        <w:numPr>
          <w:ilvl w:val="0"/>
          <w:numId w:val="60"/>
        </w:numPr>
        <w:ind w:left="567" w:firstLine="0"/>
        <w:rPr>
          <w:rStyle w:val="normaltextrun"/>
          <w:rFonts w:eastAsiaTheme="majorEastAsia"/>
          <w:color w:val="000000"/>
          <w:sz w:val="24"/>
          <w:szCs w:val="24"/>
          <w:lang w:val="en-CA"/>
        </w:rPr>
      </w:pPr>
      <w:r w:rsidRPr="00ED7E61">
        <w:rPr>
          <w:rStyle w:val="normaltextrun"/>
          <w:rFonts w:asciiTheme="majorBidi" w:eastAsiaTheme="majorEastAsia" w:hAnsiTheme="majorBidi" w:cstheme="majorBidi"/>
          <w:color w:val="000000"/>
        </w:rPr>
        <w:t>In most cases, the indicator will be calculated using a transformation of census size (Nc), though analysis of DNA data can also be used to obtain Ne and assess if Ne &gt;500. The guidance manual (see Mastretta-Yanes et al</w:t>
      </w:r>
      <w:r w:rsidR="00FF0D09">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2024; </w:t>
      </w:r>
      <w:hyperlink r:id="rId124" w:tgtFrame="_blank" w:history="1">
        <w:r w:rsidRPr="00ED7E61">
          <w:rPr>
            <w:rStyle w:val="normaltextrun"/>
            <w:rFonts w:asciiTheme="majorBidi" w:eastAsiaTheme="majorEastAsia" w:hAnsiTheme="majorBidi" w:cstheme="majorBidi"/>
            <w:color w:val="000000"/>
          </w:rPr>
          <w:t>Hoban et al</w:t>
        </w:r>
        <w:r w:rsidR="00FF0D09">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(2023b)</w:t>
        </w:r>
      </w:hyperlink>
      <w:r w:rsidRPr="00ED7E61">
        <w:rPr>
          <w:rStyle w:val="normaltextrun"/>
          <w:rFonts w:asciiTheme="majorBidi" w:eastAsiaTheme="majorEastAsia" w:hAnsiTheme="majorBidi" w:cstheme="majorBidi"/>
          <w:color w:val="000000"/>
        </w:rPr>
        <w:t xml:space="preserve"> and Supporting Information therein, and </w:t>
      </w:r>
      <w:hyperlink r:id="rId125" w:tgtFrame="_blank" w:history="1">
        <w:r w:rsidRPr="00ED7E61">
          <w:rPr>
            <w:rStyle w:val="normaltextrun"/>
            <w:rFonts w:asciiTheme="majorBidi" w:eastAsiaTheme="majorEastAsia" w:hAnsiTheme="majorBidi" w:cstheme="majorBidi"/>
            <w:color w:val="000000"/>
          </w:rPr>
          <w:t>Hoban et al</w:t>
        </w:r>
        <w:r w:rsidR="00FF0D09">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2023c</w:t>
        </w:r>
      </w:hyperlink>
      <w:r w:rsidRPr="00ED7E61">
        <w:rPr>
          <w:rStyle w:val="normaltextrun"/>
          <w:rFonts w:asciiTheme="majorBidi" w:eastAsiaTheme="majorEastAsia" w:hAnsiTheme="majorBidi" w:cstheme="majorBidi"/>
          <w:color w:val="000000"/>
        </w:rPr>
        <w:t xml:space="preserve">) details other methods of calculating the indicator when other data are available. The census size of local populations of target species can be obtained from a variety of sources, including national biodiversity monitoring databases and programs, endangered species management and recovery plans, detailed population information contained in some Red List assessments, collaboration with local knowledge holders, citizen science, and expert consultation. Detailed guidance on these calculations and a variety of example calculations is available now and will be revised following input from Parties as more Parties undertake this indicator.  Demonstrations of the data collection can also be seen in a recent </w:t>
      </w:r>
      <w:hyperlink r:id="rId126" w:tgtFrame="_blank" w:history="1">
        <w:r w:rsidRPr="00ED7E61">
          <w:rPr>
            <w:rStyle w:val="normaltextrun"/>
            <w:rFonts w:asciiTheme="majorBidi" w:eastAsiaTheme="majorEastAsia" w:hAnsiTheme="majorBidi" w:cstheme="majorBidi"/>
            <w:color w:val="000000"/>
          </w:rPr>
          <w:t>CBD webinar</w:t>
        </w:r>
      </w:hyperlink>
      <w:r w:rsidRPr="00ED7E61">
        <w:rPr>
          <w:rStyle w:val="normaltextrun"/>
          <w:rFonts w:asciiTheme="majorBidi" w:eastAsiaTheme="majorEastAsia" w:hAnsiTheme="majorBidi" w:cstheme="majorBidi"/>
          <w:color w:val="000000"/>
        </w:rPr>
        <w:t>.</w:t>
      </w:r>
      <w:r w:rsidRPr="00ED7E61">
        <w:rPr>
          <w:rStyle w:val="normaltextrun"/>
          <w:color w:val="000000"/>
        </w:rPr>
        <w:t> </w:t>
      </w:r>
    </w:p>
    <w:p w14:paraId="630F3272" w14:textId="3080232A" w:rsidR="00960CA6" w:rsidRPr="00ED7E61" w:rsidRDefault="00960CA6" w:rsidP="00B10F0C">
      <w:pPr>
        <w:pStyle w:val="CBDNormalNumber"/>
        <w:numPr>
          <w:ilvl w:val="0"/>
          <w:numId w:val="60"/>
        </w:numPr>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 xml:space="preserve">The full data collection form can be found online here: </w:t>
      </w:r>
      <w:hyperlink r:id="rId127" w:tgtFrame="_blank" w:history="1">
        <w:r w:rsidRPr="00ED7E61">
          <w:rPr>
            <w:rStyle w:val="normaltextrun"/>
            <w:rFonts w:asciiTheme="majorBidi" w:eastAsiaTheme="majorEastAsia" w:hAnsiTheme="majorBidi" w:cstheme="majorBidi"/>
            <w:color w:val="0563C1"/>
            <w:u w:val="single"/>
          </w:rPr>
          <w:t>https://ee.kobotoolbox.org/preview/2KDHEWrb</w:t>
        </w:r>
      </w:hyperlink>
      <w:r w:rsidRPr="00ED7E61">
        <w:rPr>
          <w:rStyle w:val="normaltextrun"/>
          <w:rFonts w:asciiTheme="majorBidi" w:eastAsiaTheme="majorEastAsia" w:hAnsiTheme="majorBidi" w:cstheme="majorBidi"/>
        </w:rPr>
        <w:t xml:space="preserve">.  An online data collection form using </w:t>
      </w:r>
      <w:proofErr w:type="spellStart"/>
      <w:r w:rsidRPr="00ED7E61">
        <w:rPr>
          <w:rStyle w:val="normaltextrun"/>
          <w:rFonts w:asciiTheme="majorBidi" w:eastAsiaTheme="majorEastAsia" w:hAnsiTheme="majorBidi" w:cstheme="majorBidi"/>
        </w:rPr>
        <w:t>Kobotoolb</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ox</w:t>
      </w:r>
      <w:proofErr w:type="spellEnd"/>
      <w:r w:rsidRPr="00ED7E61">
        <w:rPr>
          <w:rStyle w:val="normaltextrun"/>
          <w:rFonts w:asciiTheme="majorBidi" w:eastAsiaTheme="majorEastAsia" w:hAnsiTheme="majorBidi" w:cstheme="majorBidi"/>
        </w:rPr>
        <w:t xml:space="preserve"> (www.kobotoolbox.org/) have been created and a guidance document (Mastretta-Yanes et al (2024) and its online documentation at </w:t>
      </w:r>
      <w:hyperlink r:id="rId128" w:history="1">
        <w:r w:rsidRPr="00ED7E61">
          <w:rPr>
            <w:rStyle w:val="Hyperlink"/>
            <w:rFonts w:asciiTheme="majorBidi" w:eastAsiaTheme="majorEastAsia" w:hAnsiTheme="majorBidi" w:cstheme="majorBidi"/>
          </w:rPr>
          <w:t>https://ccgenetics.github.io/guidelines-genetic-diversity-indicators/</w:t>
        </w:r>
      </w:hyperlink>
      <w:r w:rsidRPr="00ED7E61">
        <w:rPr>
          <w:rStyle w:val="normaltextrun"/>
          <w:rFonts w:asciiTheme="majorBidi" w:eastAsiaTheme="majorEastAsia" w:hAnsiTheme="majorBidi" w:cstheme="majorBidi"/>
        </w:rPr>
        <w:t xml:space="preserve"> for anyone to use. Kobo is a free and flexible data collection tool commonly used in social, environmental and epidemiological research.  The data form adapts to the type of fundamental source data available and can accommodate qualitative and quantitative data and different levels of certainty.  </w:t>
      </w:r>
      <w:r w:rsidRPr="00ED7E61">
        <w:rPr>
          <w:rStyle w:val="eop"/>
          <w:rFonts w:asciiTheme="majorBidi" w:eastAsiaTheme="majorEastAsia" w:hAnsiTheme="majorBidi" w:cstheme="majorBidi"/>
        </w:rPr>
        <w:t> </w:t>
      </w:r>
    </w:p>
    <w:p w14:paraId="5B99486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0D8284F9" w14:textId="71F098E6" w:rsidR="00756F0F" w:rsidRPr="00B3383B" w:rsidRDefault="00960CA6" w:rsidP="00B10F0C">
      <w:pPr>
        <w:pStyle w:val="CBDNormalNumber"/>
        <w:numPr>
          <w:ilvl w:val="0"/>
          <w:numId w:val="60"/>
        </w:numPr>
        <w:ind w:left="567" w:firstLine="0"/>
        <w:rPr>
          <w:rFonts w:asciiTheme="majorBidi" w:hAnsiTheme="majorBidi" w:cstheme="majorBidi"/>
        </w:rPr>
      </w:pPr>
      <w:r w:rsidRPr="00ED7E61">
        <w:rPr>
          <w:rStyle w:val="normaltextrun"/>
          <w:rFonts w:asciiTheme="majorBidi" w:eastAsiaTheme="majorEastAsia" w:hAnsiTheme="majorBidi" w:cstheme="majorBidi"/>
        </w:rPr>
        <w:t>Parties can directly calculate country-level values of this indicator by leveraging national data, expertise and biodiversity assessments, and by following the published guidance manual (Mastretta-Yanes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(2024) and its online documentation at https://ccgenetics.github.io/guidelines-genetic-diversity-indicators/). The method has been peer reviewed in several publications (see list of References below, or </w:t>
      </w:r>
      <w:hyperlink r:id="rId129" w:history="1">
        <w:r w:rsidR="00FF0D09" w:rsidRPr="00F233CE">
          <w:rPr>
            <w:rStyle w:val="Hyperlink"/>
            <w:rFonts w:asciiTheme="majorBidi" w:eastAsiaTheme="majorEastAsia" w:hAnsiTheme="majorBidi" w:cstheme="majorBidi"/>
          </w:rPr>
          <w:t>https://www.coalitionforconservationgenetics.org/publications</w:t>
        </w:r>
      </w:hyperlink>
      <w:r w:rsidRPr="00ED7E61">
        <w:rPr>
          <w:rStyle w:val="normaltextrun"/>
          <w:rFonts w:asciiTheme="majorBidi" w:eastAsiaTheme="majorEastAsia" w:hAnsiTheme="majorBidi" w:cstheme="majorBidi"/>
        </w:rPr>
        <w:t>), and a detailed methodology has been made available (see Mastretta-Yanes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2024, and Supporting Information for </w:t>
      </w:r>
      <w:hyperlink r:id="rId130" w:tgtFrame="_blank" w:history="1">
        <w:r w:rsidRPr="00ED7E61">
          <w:rPr>
            <w:rStyle w:val="normaltextrun"/>
            <w:rFonts w:asciiTheme="majorBidi" w:eastAsiaTheme="majorEastAsia" w:hAnsiTheme="majorBidi" w:cstheme="majorBidi"/>
          </w:rPr>
          <w:t>Hoban et al. 2023b</w:t>
        </w:r>
      </w:hyperlink>
      <w:r w:rsidRPr="00ED7E61">
        <w:rPr>
          <w:rStyle w:val="normaltextrun"/>
          <w:rFonts w:asciiTheme="majorBidi" w:eastAsiaTheme="majorEastAsia" w:hAnsiTheme="majorBidi" w:cstheme="majorBidi"/>
        </w:rPr>
        <w:t xml:space="preserve"> and  </w:t>
      </w:r>
      <w:hyperlink r:id="rId131"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2023c</w:t>
        </w:r>
      </w:hyperlink>
      <w:r w:rsidRPr="00ED7E61">
        <w:rPr>
          <w:rStyle w:val="normaltextrun"/>
          <w:rFonts w:asciiTheme="majorBidi" w:eastAsiaTheme="majorEastAsia" w:hAnsiTheme="majorBidi" w:cstheme="majorBidi"/>
        </w:rPr>
        <w:t>)</w:t>
      </w:r>
      <w:r w:rsidRPr="00ED7E61">
        <w:rPr>
          <w:rStyle w:val="normaltextrun"/>
        </w:rPr>
        <w:t> </w:t>
      </w:r>
    </w:p>
    <w:p w14:paraId="6333EC2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en-GB"/>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lang w:val="en-GB"/>
        </w:rPr>
        <w:t> </w:t>
      </w:r>
    </w:p>
    <w:p w14:paraId="6E77994E" w14:textId="248ECD1F" w:rsidR="009A563F" w:rsidRPr="00ED7E61" w:rsidRDefault="00960CA6" w:rsidP="00B10F0C">
      <w:pPr>
        <w:pStyle w:val="CBDNormalNumber"/>
        <w:numPr>
          <w:ilvl w:val="0"/>
          <w:numId w:val="60"/>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As explained in </w:t>
      </w:r>
      <w:hyperlink r:id="rId132" w:tgtFrame="_blank" w:history="1">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(2023b)</w:t>
        </w:r>
      </w:hyperlink>
      <w:r w:rsidRPr="00ED7E61">
        <w:rPr>
          <w:rStyle w:val="normaltextrun"/>
          <w:rFonts w:asciiTheme="majorBidi" w:eastAsiaTheme="majorEastAsia" w:hAnsiTheme="majorBidi" w:cstheme="majorBidi"/>
        </w:rPr>
        <w:t xml:space="preserve"> the indicator is flexible and adaptable to the data sources already existing in each country.  Examples from different countries illustrate the diverse options available. Recovery plans for dozens to thousands of threatened species are mandated by national legislation (Australia- </w:t>
      </w:r>
      <w:hyperlink r:id="rId133" w:tgtFrame="_blank" w:history="1">
        <w:r w:rsidRPr="00ED7E61">
          <w:rPr>
            <w:rStyle w:val="normaltextrun"/>
            <w:rFonts w:asciiTheme="majorBidi" w:eastAsiaTheme="majorEastAsia" w:hAnsiTheme="majorBidi" w:cstheme="majorBidi"/>
          </w:rPr>
          <w:t>the Environment Protection and Biodiversity Conservation Act</w:t>
        </w:r>
      </w:hyperlink>
      <w:r w:rsidRPr="00ED7E61">
        <w:rPr>
          <w:rStyle w:val="normaltextrun"/>
          <w:rFonts w:asciiTheme="majorBidi" w:eastAsiaTheme="majorEastAsia" w:hAnsiTheme="majorBidi" w:cstheme="majorBidi"/>
        </w:rPr>
        <w:t xml:space="preserve">; South Africa- </w:t>
      </w:r>
      <w:hyperlink r:id="rId134" w:tgtFrame="_blank" w:history="1">
        <w:r w:rsidRPr="00ED7E61">
          <w:rPr>
            <w:rStyle w:val="normaltextrun"/>
            <w:rFonts w:asciiTheme="majorBidi" w:eastAsiaTheme="majorEastAsia" w:hAnsiTheme="majorBidi" w:cstheme="majorBidi"/>
          </w:rPr>
          <w:t>Biodiversity Management Plans</w:t>
        </w:r>
      </w:hyperlink>
      <w:r w:rsidRPr="00ED7E61">
        <w:rPr>
          <w:rStyle w:val="normaltextrun"/>
          <w:rFonts w:asciiTheme="majorBidi" w:eastAsiaTheme="majorEastAsia" w:hAnsiTheme="majorBidi" w:cstheme="majorBidi"/>
        </w:rPr>
        <w:t xml:space="preserve">; USA- </w:t>
      </w:r>
      <w:hyperlink r:id="rId135" w:tgtFrame="_blank" w:history="1">
        <w:r w:rsidRPr="00ED7E61">
          <w:rPr>
            <w:rStyle w:val="normaltextrun"/>
            <w:rFonts w:asciiTheme="majorBidi" w:eastAsiaTheme="majorEastAsia" w:hAnsiTheme="majorBidi" w:cstheme="majorBidi"/>
          </w:rPr>
          <w:t>the Endangered Species Act</w:t>
        </w:r>
      </w:hyperlink>
      <w:r w:rsidRPr="00ED7E61">
        <w:rPr>
          <w:rStyle w:val="normaltextrun"/>
          <w:rFonts w:asciiTheme="majorBidi" w:eastAsiaTheme="majorEastAsia" w:hAnsiTheme="majorBidi" w:cstheme="majorBidi"/>
        </w:rPr>
        <w:t xml:space="preserve">). These documents typically detail species biology and demographic status. In Japan, many threatened vascular plants have been surveyed for census size for over two decades by the Japanese Society for Plant Taxonomy, while for common trees, statistical estimates for population size were estimated from vegetation survey data. In Mexico, taxonomic experts who recently helped validate distribution models for crop wild relatives were consulted for indicator values. In France, Belgium, UK and Sweden, much biodiversity data from experts, local knowledge holders, and diverse sources are collected in easy to access web-based portals (France- INPN, Belgium - </w:t>
      </w:r>
      <w:hyperlink r:id="rId136" w:tgtFrame="_blank" w:history="1">
        <w:r w:rsidRPr="00ED7E61">
          <w:rPr>
            <w:rStyle w:val="normaltextrun"/>
            <w:rFonts w:asciiTheme="majorBidi" w:eastAsiaTheme="majorEastAsia" w:hAnsiTheme="majorBidi" w:cstheme="majorBidi"/>
          </w:rPr>
          <w:t>www.observations.be</w:t>
        </w:r>
      </w:hyperlink>
      <w:r w:rsidRPr="00ED7E61">
        <w:rPr>
          <w:rStyle w:val="normaltextrun"/>
          <w:rFonts w:asciiTheme="majorBidi" w:eastAsiaTheme="majorEastAsia" w:hAnsiTheme="majorBidi" w:cstheme="majorBidi"/>
        </w:rPr>
        <w:t xml:space="preserve">, UK- </w:t>
      </w:r>
      <w:hyperlink r:id="rId137" w:tgtFrame="_blank" w:history="1">
        <w:r w:rsidRPr="00ED7E61">
          <w:rPr>
            <w:rStyle w:val="normaltextrun"/>
            <w:rFonts w:asciiTheme="majorBidi" w:eastAsiaTheme="majorEastAsia" w:hAnsiTheme="majorBidi" w:cstheme="majorBidi"/>
          </w:rPr>
          <w:t>https://nbnatlas.org/</w:t>
        </w:r>
      </w:hyperlink>
      <w:r w:rsidRPr="00ED7E61">
        <w:rPr>
          <w:rStyle w:val="normaltextrun"/>
          <w:rFonts w:asciiTheme="majorBidi" w:eastAsiaTheme="majorEastAsia" w:hAnsiTheme="majorBidi" w:cstheme="majorBidi"/>
        </w:rPr>
        <w:t>, Sweden</w:t>
      </w:r>
      <w:proofErr w:type="gramStart"/>
      <w:r w:rsidRPr="00ED7E61">
        <w:rPr>
          <w:rStyle w:val="normaltextrun"/>
          <w:rFonts w:asciiTheme="majorBidi" w:eastAsiaTheme="majorEastAsia" w:hAnsiTheme="majorBidi" w:cstheme="majorBidi"/>
        </w:rPr>
        <w:t>-  Swedish</w:t>
      </w:r>
      <w:proofErr w:type="gramEnd"/>
      <w:r w:rsidRPr="00ED7E61">
        <w:rPr>
          <w:rStyle w:val="normaltextrun"/>
          <w:rFonts w:asciiTheme="majorBidi" w:eastAsiaTheme="majorEastAsia" w:hAnsiTheme="majorBidi" w:cstheme="majorBidi"/>
        </w:rPr>
        <w:t xml:space="preserve"> Biodiversity Data Infrastructure (SBDI)- https://biodiversitydata.se). In Colombia, the Biodiversity Information System (SIB) repository compiles species surveys from throughout the country (</w:t>
      </w:r>
      <w:hyperlink r:id="rId138" w:tgtFrame="_blank" w:history="1">
        <w:r w:rsidRPr="00ED7E61">
          <w:rPr>
            <w:rStyle w:val="normaltextrun"/>
            <w:rFonts w:asciiTheme="majorBidi" w:eastAsiaTheme="majorEastAsia" w:hAnsiTheme="majorBidi" w:cstheme="majorBidi"/>
          </w:rPr>
          <w:t>https://biodiversidad.co/</w:t>
        </w:r>
      </w:hyperlink>
      <w:r w:rsidRPr="00ED7E61">
        <w:rPr>
          <w:rStyle w:val="normaltextrun"/>
          <w:rFonts w:asciiTheme="majorBidi" w:eastAsiaTheme="majorEastAsia" w:hAnsiTheme="majorBidi" w:cstheme="majorBidi"/>
        </w:rPr>
        <w:t>), which is mandated by many public and private organizations. These data are reviewed by national experts for validation and used to create freely available species distribution models (</w:t>
      </w:r>
      <w:hyperlink r:id="rId139" w:tgtFrame="_blank" w:history="1">
        <w:r w:rsidRPr="00ED7E61">
          <w:rPr>
            <w:rStyle w:val="normaltextrun"/>
            <w:rFonts w:asciiTheme="majorBidi" w:eastAsiaTheme="majorEastAsia" w:hAnsiTheme="majorBidi" w:cstheme="majorBidi"/>
          </w:rPr>
          <w:t>http://biomodelos.humboldt.org.co/</w:t>
        </w:r>
      </w:hyperlink>
      <w:r w:rsidRPr="00ED7E61">
        <w:rPr>
          <w:rStyle w:val="normaltextrun"/>
          <w:rFonts w:asciiTheme="majorBidi" w:eastAsiaTheme="majorEastAsia" w:hAnsiTheme="majorBidi" w:cstheme="majorBidi"/>
        </w:rPr>
        <w:t>), and for conservation prioritization.</w:t>
      </w:r>
      <w:r w:rsidRPr="00ED7E61">
        <w:rPr>
          <w:rStyle w:val="normaltextrun"/>
        </w:rPr>
        <w:t> For some domesticated species, the UN Food and Agriculture Organization the Domestic Animal Diversity Information System (DAD-IS) has estimates of population sizes of numerous breeds.</w:t>
      </w:r>
    </w:p>
    <w:p w14:paraId="48E06E0C" w14:textId="088D1761" w:rsidR="00960CA6" w:rsidRPr="00ED7E61" w:rsidRDefault="00960CA6" w:rsidP="00B10F0C">
      <w:pPr>
        <w:pStyle w:val="CBDNormalNumber"/>
        <w:numPr>
          <w:ilvl w:val="0"/>
          <w:numId w:val="60"/>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GEO BON, through its working groups, and national and thematic Biodiversity Observation Networks, and the Coalition for Conservation Genetics, </w:t>
      </w:r>
      <w:proofErr w:type="gramStart"/>
      <w:r w:rsidRPr="00ED7E61">
        <w:rPr>
          <w:rStyle w:val="normaltextrun"/>
          <w:rFonts w:asciiTheme="majorBidi" w:eastAsiaTheme="majorEastAsia" w:hAnsiTheme="majorBidi" w:cstheme="majorBidi"/>
        </w:rPr>
        <w:t>is able to</w:t>
      </w:r>
      <w:proofErr w:type="gramEnd"/>
      <w:r w:rsidRPr="00ED7E61">
        <w:rPr>
          <w:rStyle w:val="normaltextrun"/>
          <w:rFonts w:asciiTheme="majorBidi" w:eastAsiaTheme="majorEastAsia" w:hAnsiTheme="majorBidi" w:cstheme="majorBidi"/>
        </w:rPr>
        <w:t xml:space="preserve"> provide capacity support, training and consultation. Considering that currently the workflow is manual rather than fully automated, the indicator would be calculated for a relatively small number of representative species per country. This may range from dozens on the low end to 1</w:t>
      </w:r>
      <w:r w:rsidR="00050BB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000 or more on the high end, but for many countries will be on the scale of 100 species. As noted above, data sources include national biodiversity monitoring databases and programs, citizen science, local knowledge, endangered species management and recovery plans, detailed population information contained in some Red List assessments, and expert consultation. Detailed guidance on these calculations and a variety of example calculations is now available (see References).</w:t>
      </w:r>
      <w:r w:rsidRPr="00ED7E61">
        <w:rPr>
          <w:rStyle w:val="eop"/>
          <w:rFonts w:asciiTheme="majorBidi" w:eastAsiaTheme="majorEastAsia" w:hAnsiTheme="majorBidi" w:cstheme="majorBidi"/>
        </w:rPr>
        <w:t> </w:t>
      </w:r>
    </w:p>
    <w:p w14:paraId="68139B6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54CFD891" w14:textId="56AC9F0C" w:rsidR="00960CA6" w:rsidRPr="00ED7E61" w:rsidRDefault="00960CA6" w:rsidP="00B10F0C">
      <w:pPr>
        <w:pStyle w:val="CBDNormalNumber"/>
        <w:numPr>
          <w:ilvl w:val="0"/>
          <w:numId w:val="60"/>
        </w:numPr>
        <w:ind w:left="567" w:firstLine="0"/>
        <w:rPr>
          <w:rStyle w:val="normaltextrun"/>
          <w:sz w:val="24"/>
          <w:szCs w:val="24"/>
          <w:lang w:val="en-CA"/>
        </w:rPr>
      </w:pPr>
      <w:r w:rsidRPr="00ED7E61">
        <w:rPr>
          <w:rStyle w:val="normaltextrun"/>
        </w:rPr>
        <w:lastRenderedPageBreak/>
        <w:t>Ready for deployment and updated approximately every four years.  The guidance manual is available now and an indicator is being calculated, see Mastretta-Yanes et al</w:t>
      </w:r>
      <w:r w:rsidR="00FF0D09">
        <w:rPr>
          <w:rStyle w:val="normaltextrun"/>
        </w:rPr>
        <w:t>.</w:t>
      </w:r>
      <w:r w:rsidRPr="00ED7E61">
        <w:rPr>
          <w:rStyle w:val="normaltextrun"/>
        </w:rPr>
        <w:t xml:space="preserve"> (2024), its Online documentation, and </w:t>
      </w:r>
      <w:hyperlink r:id="rId140" w:tgtFrame="_blank" w:history="1">
        <w:r w:rsidRPr="00ED7E61">
          <w:rPr>
            <w:rStyle w:val="normaltextrun"/>
          </w:rPr>
          <w:t>Hoban et al</w:t>
        </w:r>
        <w:r w:rsidR="00FF0D09">
          <w:rPr>
            <w:rStyle w:val="normaltextrun"/>
          </w:rPr>
          <w:t>.</w:t>
        </w:r>
        <w:r w:rsidRPr="00ED7E61">
          <w:rPr>
            <w:rStyle w:val="normaltextrun"/>
          </w:rPr>
          <w:t xml:space="preserve"> (2023b)</w:t>
        </w:r>
      </w:hyperlink>
      <w:r w:rsidRPr="00ED7E61">
        <w:rPr>
          <w:rStyle w:val="normaltextrun"/>
        </w:rPr>
        <w:t>. </w:t>
      </w:r>
    </w:p>
    <w:p w14:paraId="44B40639" w14:textId="0431A2D0" w:rsidR="00960CA6" w:rsidRPr="00ED7E61" w:rsidRDefault="00960CA6" w:rsidP="00B10F0C">
      <w:pPr>
        <w:pStyle w:val="CBDNormalNumber"/>
        <w:numPr>
          <w:ilvl w:val="0"/>
          <w:numId w:val="60"/>
        </w:numPr>
        <w:ind w:left="567" w:firstLine="0"/>
        <w:rPr>
          <w:rStyle w:val="normaltextrun"/>
        </w:rPr>
      </w:pPr>
      <w:r w:rsidRPr="00ED7E61">
        <w:rPr>
          <w:rStyle w:val="normaltextrun"/>
        </w:rPr>
        <w:t>Genetic diversity indicators have been demonstrated as feasible and affordable including in middle income and megadiverse countries. They have been calculated for &gt;900 species and thousands of populations in nine countries: Australia, Belgium, Colombia, France, Japan, Mexico, South Africa, Sweden, and USA (</w:t>
      </w:r>
      <w:r w:rsidR="00FB33CD">
        <w:rPr>
          <w:rStyle w:val="normaltextrun"/>
        </w:rPr>
        <w:t>f</w:t>
      </w:r>
      <w:r w:rsidRPr="00ED7E61">
        <w:rPr>
          <w:rStyle w:val="normaltextrun"/>
        </w:rPr>
        <w:t xml:space="preserve">igure </w:t>
      </w:r>
      <w:r w:rsidR="00FB33CD">
        <w:rPr>
          <w:rStyle w:val="normaltextrun"/>
        </w:rPr>
        <w:t>III</w:t>
      </w:r>
      <w:r w:rsidRPr="00ED7E61">
        <w:rPr>
          <w:rStyle w:val="normaltextrun"/>
        </w:rPr>
        <w:t>). Data are available and can be compiled quickly. Results from the nine-country deployment highlight that most populations are very small and in danger of imminent genetic losses. Early use of these indicators shows we are at a threshold of dramatic genetic diversity decline unless swift action is taken, guided by genetic diversity indicators.  </w:t>
      </w:r>
    </w:p>
    <w:p w14:paraId="5CC99656"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11DEB835" w14:textId="77777777" w:rsidR="00956C65" w:rsidRPr="00ED7E61" w:rsidRDefault="00956C65"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i/>
          <w:iCs/>
          <w:sz w:val="22"/>
          <w:szCs w:val="22"/>
          <w:lang w:val="en-GB"/>
        </w:rPr>
      </w:pPr>
      <w:r w:rsidRPr="00ED7E61">
        <w:rPr>
          <w:rFonts w:asciiTheme="majorBidi" w:hAnsiTheme="majorBidi" w:cstheme="majorBidi"/>
          <w:noProof/>
          <w:sz w:val="22"/>
          <w:szCs w:val="22"/>
          <w:lang w:val="fr-FR" w:eastAsia="fr-FR"/>
        </w:rPr>
        <w:drawing>
          <wp:inline distT="0" distB="0" distL="0" distR="0" wp14:anchorId="2B560FE9" wp14:editId="28427AB1">
            <wp:extent cx="3263900" cy="2377510"/>
            <wp:effectExtent l="0" t="0" r="0" b="3810"/>
            <wp:docPr id="586050492" name="Picture 2" descr="A graph showing different colors and siz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50492" name="Picture 2" descr="A graph showing different colors and sizes&#10;&#10;Description automatically generated"/>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275661" cy="2386077"/>
                    </a:xfrm>
                    <a:prstGeom prst="rect">
                      <a:avLst/>
                    </a:prstGeom>
                    <a:noFill/>
                    <a:ln>
                      <a:noFill/>
                    </a:ln>
                  </pic:spPr>
                </pic:pic>
              </a:graphicData>
            </a:graphic>
          </wp:inline>
        </w:drawing>
      </w:r>
    </w:p>
    <w:p w14:paraId="7F038F7C" w14:textId="5A71A801" w:rsidR="007F641F" w:rsidRPr="007F641F" w:rsidRDefault="00756F0F" w:rsidP="007F641F">
      <w:pPr>
        <w:pStyle w:val="paragraph"/>
        <w:textAlignment w:val="baseline"/>
        <w:rPr>
          <w:rFonts w:asciiTheme="majorBidi" w:eastAsiaTheme="majorEastAsia" w:hAnsiTheme="majorBidi" w:cstheme="majorBidi"/>
          <w:b/>
          <w:bCs/>
          <w:sz w:val="22"/>
          <w:szCs w:val="22"/>
          <w:lang w:val="en-GB"/>
        </w:rPr>
      </w:pPr>
      <w:r w:rsidRPr="00B3383B">
        <w:rPr>
          <w:rStyle w:val="normaltextrun"/>
          <w:rFonts w:asciiTheme="majorBidi" w:eastAsiaTheme="majorEastAsia" w:hAnsiTheme="majorBidi" w:cstheme="majorBidi"/>
          <w:sz w:val="22"/>
          <w:szCs w:val="22"/>
          <w:lang w:val="en-GB"/>
        </w:rPr>
        <w:t xml:space="preserve">Figure </w:t>
      </w:r>
      <w:r w:rsidR="00FB33CD" w:rsidRPr="00B3383B">
        <w:rPr>
          <w:rStyle w:val="normaltextrun"/>
          <w:rFonts w:asciiTheme="majorBidi" w:eastAsiaTheme="majorEastAsia" w:hAnsiTheme="majorBidi" w:cstheme="majorBidi"/>
          <w:sz w:val="22"/>
          <w:szCs w:val="22"/>
          <w:lang w:val="en-GB"/>
        </w:rPr>
        <w:t>III</w:t>
      </w:r>
      <w:r w:rsidRPr="00ED7E61">
        <w:rPr>
          <w:rStyle w:val="normaltextrun"/>
          <w:rFonts w:asciiTheme="majorBidi" w:eastAsiaTheme="majorEastAsia" w:hAnsiTheme="majorBidi" w:cstheme="majorBidi"/>
          <w:b/>
          <w:bCs/>
          <w:i/>
          <w:iCs/>
          <w:sz w:val="22"/>
          <w:szCs w:val="22"/>
          <w:lang w:val="en-GB"/>
        </w:rPr>
        <w:t xml:space="preserve"> </w:t>
      </w:r>
      <w:r w:rsidR="00FF6192">
        <w:rPr>
          <w:rStyle w:val="normaltextrun"/>
          <w:rFonts w:asciiTheme="majorBidi" w:eastAsiaTheme="majorEastAsia" w:hAnsiTheme="majorBidi" w:cstheme="majorBidi"/>
          <w:b/>
          <w:bCs/>
          <w:i/>
          <w:iCs/>
          <w:sz w:val="22"/>
          <w:szCs w:val="22"/>
          <w:lang w:val="en-GB"/>
        </w:rPr>
        <w:br/>
      </w:r>
      <w:sdt>
        <w:sdtPr>
          <w:rPr>
            <w:rFonts w:asciiTheme="majorBidi" w:eastAsiaTheme="majorEastAsia" w:hAnsiTheme="majorBidi" w:cstheme="majorBidi"/>
            <w:b/>
            <w:bCs/>
            <w:sz w:val="22"/>
            <w:szCs w:val="22"/>
            <w:lang w:val="en-GB"/>
          </w:rPr>
          <w:tag w:val="goog_rdk_64"/>
          <w:id w:val="2053659911"/>
        </w:sdtPr>
        <w:sdtContent>
          <w:sdt>
            <w:sdtPr>
              <w:rPr>
                <w:rFonts w:asciiTheme="majorBidi" w:eastAsiaTheme="majorEastAsia" w:hAnsiTheme="majorBidi" w:cstheme="majorBidi"/>
                <w:b/>
                <w:bCs/>
                <w:sz w:val="22"/>
                <w:szCs w:val="22"/>
                <w:lang w:val="en-GB"/>
              </w:rPr>
              <w:tag w:val="goog_rdk_65"/>
              <w:id w:val="-60621567"/>
            </w:sdtPr>
            <w:sdtContent>
              <w:r w:rsidR="007F641F" w:rsidRPr="00812871">
                <w:rPr>
                  <w:rFonts w:asciiTheme="majorBidi" w:eastAsiaTheme="majorEastAsia" w:hAnsiTheme="majorBidi" w:cstheme="majorBidi"/>
                  <w:b/>
                  <w:bCs/>
                  <w:sz w:val="22"/>
                  <w:szCs w:val="22"/>
                  <w:lang w:val="en-GB"/>
                </w:rPr>
                <w:t>Published</w:t>
              </w:r>
            </w:sdtContent>
          </w:sdt>
        </w:sdtContent>
      </w:sdt>
      <w:sdt>
        <w:sdtPr>
          <w:rPr>
            <w:rFonts w:asciiTheme="majorBidi" w:eastAsiaTheme="majorEastAsia" w:hAnsiTheme="majorBidi" w:cstheme="majorBidi"/>
            <w:b/>
            <w:bCs/>
            <w:sz w:val="22"/>
            <w:szCs w:val="22"/>
            <w:lang w:val="en-GB"/>
          </w:rPr>
          <w:tag w:val="goog_rdk_66"/>
          <w:id w:val="646365795"/>
        </w:sdtPr>
        <w:sdtContent>
          <w:sdt>
            <w:sdtPr>
              <w:rPr>
                <w:rFonts w:asciiTheme="majorBidi" w:eastAsiaTheme="majorEastAsia" w:hAnsiTheme="majorBidi" w:cstheme="majorBidi"/>
                <w:b/>
                <w:bCs/>
                <w:sz w:val="22"/>
                <w:szCs w:val="22"/>
                <w:lang w:val="en-GB"/>
              </w:rPr>
              <w:tag w:val="goog_rdk_67"/>
              <w:id w:val="-32933588"/>
              <w:showingPlcHdr/>
            </w:sdtPr>
            <w:sdtContent>
              <w:r w:rsidR="00812871">
                <w:rPr>
                  <w:rFonts w:asciiTheme="majorBidi" w:eastAsiaTheme="majorEastAsia" w:hAnsiTheme="majorBidi" w:cstheme="majorBidi"/>
                  <w:b/>
                  <w:bCs/>
                  <w:sz w:val="22"/>
                  <w:szCs w:val="22"/>
                  <w:lang w:val="en-GB"/>
                </w:rPr>
                <w:t xml:space="preserve">     </w:t>
              </w:r>
            </w:sdtContent>
          </w:sdt>
        </w:sdtContent>
      </w:sdt>
      <w:r w:rsidR="007F641F" w:rsidRPr="007F641F">
        <w:rPr>
          <w:rFonts w:asciiTheme="majorBidi" w:eastAsiaTheme="majorEastAsia" w:hAnsiTheme="majorBidi" w:cstheme="majorBidi"/>
          <w:b/>
          <w:bCs/>
          <w:sz w:val="22"/>
          <w:szCs w:val="22"/>
          <w:lang w:val="en-GB"/>
        </w:rPr>
        <w:t xml:space="preserve"> results of the first deployment of indicator A.4</w:t>
      </w:r>
      <w:sdt>
        <w:sdtPr>
          <w:rPr>
            <w:rFonts w:asciiTheme="majorBidi" w:eastAsiaTheme="majorEastAsia" w:hAnsiTheme="majorBidi" w:cstheme="majorBidi"/>
            <w:b/>
            <w:bCs/>
            <w:sz w:val="22"/>
            <w:szCs w:val="22"/>
            <w:lang w:val="en-GB"/>
          </w:rPr>
          <w:tag w:val="goog_rdk_68"/>
          <w:id w:val="-1798152662"/>
        </w:sdtPr>
        <w:sdtContent>
          <w:r w:rsidR="007F641F" w:rsidRPr="007F641F">
            <w:rPr>
              <w:rFonts w:asciiTheme="majorBidi" w:eastAsiaTheme="majorEastAsia" w:hAnsiTheme="majorBidi" w:cstheme="majorBidi"/>
              <w:b/>
              <w:bCs/>
              <w:sz w:val="22"/>
              <w:szCs w:val="22"/>
              <w:lang w:val="en-GB"/>
            </w:rPr>
            <w:t xml:space="preserve"> showing that data availability does vary by country</w:t>
          </w:r>
        </w:sdtContent>
      </w:sdt>
      <w:r w:rsidR="007F641F" w:rsidRPr="007F641F">
        <w:rPr>
          <w:rFonts w:asciiTheme="majorBidi" w:eastAsiaTheme="majorEastAsia" w:hAnsiTheme="majorBidi" w:cstheme="majorBidi"/>
          <w:b/>
          <w:bCs/>
          <w:sz w:val="22"/>
          <w:szCs w:val="22"/>
          <w:lang w:val="en-GB"/>
        </w:rPr>
        <w:t> </w:t>
      </w:r>
      <w:sdt>
        <w:sdtPr>
          <w:rPr>
            <w:rFonts w:asciiTheme="majorBidi" w:eastAsiaTheme="majorEastAsia" w:hAnsiTheme="majorBidi" w:cstheme="majorBidi"/>
            <w:b/>
            <w:bCs/>
            <w:sz w:val="22"/>
            <w:szCs w:val="22"/>
            <w:lang w:val="en-GB"/>
          </w:rPr>
          <w:tag w:val="goog_rdk_69"/>
          <w:id w:val="816580690"/>
        </w:sdtPr>
        <w:sdtContent>
          <w:r w:rsidR="007F641F" w:rsidRPr="007F641F">
            <w:rPr>
              <w:rFonts w:asciiTheme="majorBidi" w:eastAsiaTheme="majorEastAsia" w:hAnsiTheme="majorBidi" w:cstheme="majorBidi"/>
              <w:b/>
              <w:bCs/>
              <w:sz w:val="22"/>
              <w:szCs w:val="22"/>
              <w:lang w:val="en-GB"/>
            </w:rPr>
            <w:t>(</w:t>
          </w:r>
          <w:proofErr w:type="spellStart"/>
          <w:r w:rsidR="007F641F" w:rsidRPr="007F641F">
            <w:rPr>
              <w:rFonts w:asciiTheme="majorBidi" w:eastAsiaTheme="majorEastAsia" w:hAnsiTheme="majorBidi" w:cstheme="majorBidi"/>
              <w:b/>
              <w:bCs/>
              <w:sz w:val="22"/>
              <w:szCs w:val="22"/>
              <w:lang w:val="en-GB"/>
            </w:rPr>
            <w:t>Mastretta</w:t>
          </w:r>
          <w:proofErr w:type="spellEnd"/>
          <w:r w:rsidR="007F641F" w:rsidRPr="007F641F">
            <w:rPr>
              <w:rFonts w:asciiTheme="majorBidi" w:eastAsiaTheme="majorEastAsia" w:hAnsiTheme="majorBidi" w:cstheme="majorBidi"/>
              <w:b/>
              <w:bCs/>
              <w:sz w:val="22"/>
              <w:szCs w:val="22"/>
              <w:lang w:val="en-GB"/>
            </w:rPr>
            <w:t xml:space="preserve"> Yanes and da Silva et al 2024)</w:t>
          </w:r>
        </w:sdtContent>
      </w:sdt>
    </w:p>
    <w:p w14:paraId="5D096B79" w14:textId="65ECE6A0" w:rsidR="00756F0F" w:rsidRPr="00ED7E61" w:rsidRDefault="00756F0F" w:rsidP="00B10F0C">
      <w:pPr>
        <w:pStyle w:val="CBDNormalNumber"/>
        <w:numPr>
          <w:ilvl w:val="0"/>
          <w:numId w:val="60"/>
        </w:numPr>
        <w:ind w:left="567" w:firstLine="0"/>
        <w:rPr>
          <w:rStyle w:val="normaltextrun"/>
          <w:sz w:val="24"/>
          <w:szCs w:val="24"/>
          <w:lang w:val="en-CA"/>
        </w:rPr>
      </w:pPr>
      <w:r w:rsidRPr="00ED7E61">
        <w:rPr>
          <w:rStyle w:val="normaltextrun"/>
        </w:rPr>
        <w:t>The amount of data available: </w:t>
      </w:r>
    </w:p>
    <w:p w14:paraId="4D6CE5BC"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Overall, &gt;64% of species investigated have enough data to calculate the headline indicator (grey shows species without sufficient data). This is shown in the chart at right. This does vary by country. All countries have approximately 50% or more of species with enough data.</w:t>
      </w:r>
      <w:r w:rsidRPr="00ED7E61">
        <w:rPr>
          <w:rStyle w:val="normaltextrun"/>
        </w:rPr>
        <w:t> </w:t>
      </w:r>
    </w:p>
    <w:p w14:paraId="65B642E6" w14:textId="5D9161A3"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Figure </w:t>
      </w:r>
      <w:r w:rsidR="00FB33CD">
        <w:rPr>
          <w:rStyle w:val="normaltextrun"/>
          <w:rFonts w:asciiTheme="majorBidi" w:eastAsiaTheme="majorEastAsia" w:hAnsiTheme="majorBidi" w:cstheme="majorBidi"/>
        </w:rPr>
        <w:t>IV</w:t>
      </w:r>
      <w:r w:rsidRPr="00ED7E61">
        <w:rPr>
          <w:rStyle w:val="normaltextrun"/>
          <w:rFonts w:asciiTheme="majorBidi" w:eastAsiaTheme="majorEastAsia" w:hAnsiTheme="majorBidi" w:cstheme="majorBidi"/>
        </w:rPr>
        <w:t xml:space="preserve"> shows the actual indicator values calculated for more than 900 species. It was found that the median across all species for Proportion of populations below Ne</w:t>
      </w:r>
      <w:r w:rsidR="00050BB9">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500 is 0, i.e. 58% of species assessed have that indicator value.  Even more worrying, ~70% of species have an indicator value less than 0.25.  This means that </w:t>
      </w:r>
      <w:proofErr w:type="gramStart"/>
      <w:r w:rsidRPr="00ED7E61">
        <w:rPr>
          <w:rStyle w:val="normaltextrun"/>
          <w:rFonts w:asciiTheme="majorBidi" w:eastAsiaTheme="majorEastAsia" w:hAnsiTheme="majorBidi" w:cstheme="majorBidi"/>
        </w:rPr>
        <w:t>the majority of</w:t>
      </w:r>
      <w:proofErr w:type="gramEnd"/>
      <w:r w:rsidRPr="00ED7E61">
        <w:rPr>
          <w:rStyle w:val="normaltextrun"/>
          <w:rFonts w:asciiTheme="majorBidi" w:eastAsiaTheme="majorEastAsia" w:hAnsiTheme="majorBidi" w:cstheme="majorBidi"/>
        </w:rPr>
        <w:t xml:space="preserve"> species assessed have less than 25% of their populations large enough to sustain genetic diversity- most species are likely in danger of or are already experiencing significant genetic losses.</w:t>
      </w:r>
      <w:r w:rsidRPr="00ED7E61">
        <w:rPr>
          <w:rStyle w:val="normaltextrun"/>
        </w:rPr>
        <w:t> </w:t>
      </w:r>
    </w:p>
    <w:p w14:paraId="5C87853A" w14:textId="77777777" w:rsidR="00960CA6" w:rsidRPr="00ED7E61" w:rsidRDefault="00960CA6"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There are differences in indicator values among taxonomic groups e.g. indicator values tend to be lower for mammals for example. Data are more available for some groups than others e.g. angiosperms, mammals, birds have more data available than invertebrates, especially clams and mussels. The indicators are not greatly influenced by the method used to define populations meaning that a variety of data are acceptable for defining populations.</w:t>
      </w:r>
      <w:r w:rsidRPr="00ED7E61">
        <w:rPr>
          <w:rStyle w:val="normaltextrun"/>
        </w:rPr>
        <w:t> </w:t>
      </w:r>
    </w:p>
    <w:p w14:paraId="560EFB3A" w14:textId="155FDBEE" w:rsidR="00960CA6" w:rsidRPr="00ED7E61" w:rsidRDefault="00960CA6"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Pr>
      </w:pPr>
      <w:r w:rsidRPr="00ED7E61">
        <w:rPr>
          <w:rStyle w:val="normaltextrun"/>
          <w:rFonts w:asciiTheme="majorBidi" w:eastAsiaTheme="majorEastAsia" w:hAnsiTheme="majorBidi" w:cstheme="majorBidi"/>
        </w:rPr>
        <w:t xml:space="preserve">Results on the </w:t>
      </w:r>
      <w:proofErr w:type="gramStart"/>
      <w:r w:rsidRPr="00ED7E61">
        <w:rPr>
          <w:rStyle w:val="normaltextrun"/>
          <w:rFonts w:asciiTheme="majorBidi" w:eastAsiaTheme="majorEastAsia" w:hAnsiTheme="majorBidi" w:cstheme="majorBidi"/>
        </w:rPr>
        <w:t>populations maintained</w:t>
      </w:r>
      <w:proofErr w:type="gramEnd"/>
      <w:r w:rsidRPr="00ED7E61">
        <w:rPr>
          <w:rStyle w:val="normaltextrun"/>
          <w:rFonts w:asciiTheme="majorBidi" w:eastAsiaTheme="majorEastAsia" w:hAnsiTheme="majorBidi" w:cstheme="majorBidi"/>
        </w:rPr>
        <w:t xml:space="preserve"> indicator are also included which is an important complement to the Headline indicator on Ne 500.  The investigation on 900 species showed that the median across all species for Proportion of populations maintained is 1, i.e. </w:t>
      </w:r>
      <w:r w:rsidRPr="00ED7E61">
        <w:rPr>
          <w:rStyle w:val="normaltextrun"/>
          <w:rFonts w:asciiTheme="majorBidi" w:eastAsiaTheme="majorEastAsia" w:hAnsiTheme="majorBidi" w:cstheme="majorBidi"/>
        </w:rPr>
        <w:lastRenderedPageBreak/>
        <w:t xml:space="preserve">55% of species have that indicator value. This means that most species still maintain all their populations. However, 38% of species have an indicator value less than 0.90, meaning that they have lost at least 10% of their original populations. Proportion of populations maintained should be reported jointly with the Ne indicator, to ensure that goal A and Target 4 are fully met - maintaining species' adaptive potential and reducing extinction risk. This is a possibility where </w:t>
      </w:r>
      <w:r w:rsidR="00B929B4">
        <w:rPr>
          <w:rStyle w:val="normaltextrun"/>
          <w:rFonts w:asciiTheme="majorBidi" w:eastAsiaTheme="majorEastAsia" w:hAnsiTheme="majorBidi" w:cstheme="majorBidi"/>
          <w:color w:val="000000"/>
          <w:lang w:val="en-AU"/>
        </w:rPr>
        <w:t>i</w:t>
      </w:r>
      <w:r w:rsidR="00B929B4" w:rsidRPr="00ED7E61">
        <w:rPr>
          <w:rStyle w:val="normaltextrun"/>
          <w:rFonts w:asciiTheme="majorBidi" w:eastAsiaTheme="majorEastAsia" w:hAnsiTheme="majorBidi" w:cstheme="majorBidi"/>
          <w:color w:val="000000"/>
          <w:lang w:val="en-AU"/>
        </w:rPr>
        <w:t xml:space="preserve">ndigenous </w:t>
      </w:r>
      <w:r w:rsidR="00B929B4">
        <w:rPr>
          <w:rStyle w:val="normaltextrun"/>
          <w:rFonts w:asciiTheme="majorBidi" w:eastAsiaTheme="majorEastAsia" w:hAnsiTheme="majorBidi" w:cstheme="majorBidi"/>
          <w:color w:val="000000"/>
          <w:lang w:val="en-AU"/>
        </w:rPr>
        <w:t>p</w:t>
      </w:r>
      <w:r w:rsidR="00B929B4" w:rsidRPr="00ED7E61">
        <w:rPr>
          <w:rStyle w:val="normaltextrun"/>
          <w:rFonts w:asciiTheme="majorBidi" w:eastAsiaTheme="majorEastAsia" w:hAnsiTheme="majorBidi" w:cstheme="majorBidi"/>
          <w:color w:val="000000"/>
          <w:lang w:val="en-AU"/>
        </w:rPr>
        <w:t xml:space="preserve">eoples and </w:t>
      </w:r>
      <w:r w:rsidR="00B929B4">
        <w:rPr>
          <w:rStyle w:val="normaltextrun"/>
          <w:rFonts w:asciiTheme="majorBidi" w:eastAsiaTheme="majorEastAsia" w:hAnsiTheme="majorBidi" w:cstheme="majorBidi"/>
          <w:color w:val="000000"/>
          <w:lang w:val="en-AU"/>
        </w:rPr>
        <w:t>l</w:t>
      </w:r>
      <w:r w:rsidR="00B929B4" w:rsidRPr="00ED7E61">
        <w:rPr>
          <w:rStyle w:val="normaltextrun"/>
          <w:rFonts w:asciiTheme="majorBidi" w:eastAsiaTheme="majorEastAsia" w:hAnsiTheme="majorBidi" w:cstheme="majorBidi"/>
          <w:color w:val="000000"/>
          <w:lang w:val="en-AU"/>
        </w:rPr>
        <w:t xml:space="preserve">ocal </w:t>
      </w:r>
      <w:r w:rsidR="00B929B4">
        <w:rPr>
          <w:rStyle w:val="normaltextrun"/>
          <w:rFonts w:asciiTheme="majorBidi" w:eastAsiaTheme="majorEastAsia" w:hAnsiTheme="majorBidi" w:cstheme="majorBidi"/>
          <w:color w:val="000000"/>
          <w:lang w:val="en-AU"/>
        </w:rPr>
        <w:t>c</w:t>
      </w:r>
      <w:r w:rsidR="00B929B4" w:rsidRPr="00ED7E61">
        <w:rPr>
          <w:rStyle w:val="normaltextrun"/>
          <w:rFonts w:asciiTheme="majorBidi" w:eastAsiaTheme="majorEastAsia" w:hAnsiTheme="majorBidi" w:cstheme="majorBidi"/>
          <w:color w:val="000000"/>
          <w:lang w:val="en-AU"/>
        </w:rPr>
        <w:t xml:space="preserve">ommunities </w:t>
      </w:r>
      <w:r w:rsidRPr="00ED7E61">
        <w:rPr>
          <w:rStyle w:val="normaltextrun"/>
          <w:rFonts w:asciiTheme="majorBidi" w:eastAsiaTheme="majorEastAsia" w:hAnsiTheme="majorBidi" w:cstheme="majorBidi"/>
        </w:rPr>
        <w:t>can be included and empowered.</w:t>
      </w:r>
      <w:r w:rsidRPr="00ED7E61">
        <w:rPr>
          <w:rStyle w:val="normaltextrun"/>
        </w:rPr>
        <w:t> </w:t>
      </w:r>
    </w:p>
    <w:p w14:paraId="17C8D543" w14:textId="77777777" w:rsidR="00960CA6" w:rsidRPr="00ED7E61" w:rsidRDefault="00960CA6"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We note that genetic indicators are not well correlated with Red List status.  Numerous species have Least Concern or Near Threatened Red List status but have low (poor) genetic indicator values, showing genetic threats or genetic erosion but not an immediate danger of species extinction under Red List criteria.  This shows that genetic indicators are needed apart from the Red List to achieve the goal to conserve genetic diversity.</w:t>
      </w:r>
    </w:p>
    <w:p w14:paraId="4975D71E" w14:textId="76E8EC71" w:rsidR="00756F0F" w:rsidRPr="00ED7E61" w:rsidRDefault="00960CA6" w:rsidP="00395866">
      <w:pPr>
        <w:pStyle w:val="paragraph"/>
        <w:spacing w:before="0" w:beforeAutospacing="0" w:after="0" w:afterAutospacing="0"/>
        <w:textAlignment w:val="baseline"/>
        <w:rPr>
          <w:rFonts w:asciiTheme="majorBidi" w:hAnsiTheme="majorBidi" w:cstheme="majorBidi"/>
          <w:sz w:val="22"/>
          <w:szCs w:val="22"/>
        </w:rPr>
      </w:pPr>
      <w:r w:rsidRPr="00ED7E61">
        <w:rPr>
          <w:rFonts w:eastAsia="Arial"/>
          <w:noProof/>
          <w:sz w:val="22"/>
          <w:szCs w:val="22"/>
          <w:lang w:val="fr-FR" w:eastAsia="fr-FR"/>
        </w:rPr>
        <w:drawing>
          <wp:inline distT="114300" distB="114300" distL="114300" distR="114300" wp14:anchorId="3449373A" wp14:editId="77D87D70">
            <wp:extent cx="5914417" cy="3647873"/>
            <wp:effectExtent l="0" t="0" r="3810" b="0"/>
            <wp:docPr id="33" name="image8.png" descr="A graph of different colored squar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3" name="image8.png" descr="A graph of different colored squares&#10;&#10;Description automatically generated with medium confidence"/>
                    <pic:cNvPicPr preferRelativeResize="0"/>
                  </pic:nvPicPr>
                  <pic:blipFill>
                    <a:blip r:embed="rId142"/>
                    <a:srcRect/>
                    <a:stretch>
                      <a:fillRect/>
                    </a:stretch>
                  </pic:blipFill>
                  <pic:spPr>
                    <a:xfrm>
                      <a:off x="0" y="0"/>
                      <a:ext cx="5934590" cy="3660315"/>
                    </a:xfrm>
                    <a:prstGeom prst="rect">
                      <a:avLst/>
                    </a:prstGeom>
                    <a:ln/>
                  </pic:spPr>
                </pic:pic>
              </a:graphicData>
            </a:graphic>
          </wp:inline>
        </w:drawing>
      </w:r>
    </w:p>
    <w:p w14:paraId="1B0BBCB9" w14:textId="7A4F796F" w:rsidR="00756F0F" w:rsidRPr="00B3383B" w:rsidRDefault="00756F0F" w:rsidP="00812871">
      <w:pPr>
        <w:shd w:val="clear" w:color="auto" w:fill="FFFFFF"/>
        <w:rPr>
          <w:rStyle w:val="eop"/>
          <w:rFonts w:asciiTheme="majorBidi" w:eastAsiaTheme="majorEastAsia" w:hAnsiTheme="majorBidi" w:cstheme="majorBidi"/>
          <w:b/>
          <w:bCs/>
          <w:sz w:val="22"/>
          <w:szCs w:val="22"/>
        </w:rPr>
      </w:pPr>
      <w:r w:rsidRPr="00ED7E61">
        <w:rPr>
          <w:rStyle w:val="eop"/>
          <w:rFonts w:asciiTheme="majorBidi" w:eastAsiaTheme="majorEastAsia" w:hAnsiTheme="majorBidi" w:cstheme="majorBidi"/>
          <w:color w:val="000000"/>
          <w:sz w:val="22"/>
          <w:szCs w:val="22"/>
        </w:rPr>
        <w:t> </w:t>
      </w:r>
      <w:r w:rsidRPr="00B3383B">
        <w:rPr>
          <w:rStyle w:val="normaltextrun"/>
          <w:rFonts w:asciiTheme="majorBidi" w:eastAsiaTheme="majorEastAsia" w:hAnsiTheme="majorBidi" w:cstheme="majorBidi"/>
          <w:sz w:val="22"/>
          <w:szCs w:val="22"/>
          <w:lang w:val="en-GB"/>
        </w:rPr>
        <w:t xml:space="preserve">Figure </w:t>
      </w:r>
      <w:r w:rsidR="00FB33CD" w:rsidRPr="00B3383B">
        <w:rPr>
          <w:rStyle w:val="normaltextrun"/>
          <w:rFonts w:asciiTheme="majorBidi" w:eastAsiaTheme="majorEastAsia" w:hAnsiTheme="majorBidi" w:cstheme="majorBidi"/>
          <w:sz w:val="22"/>
          <w:szCs w:val="22"/>
          <w:lang w:val="en-GB"/>
        </w:rPr>
        <w:t>IV</w:t>
      </w:r>
      <w:r w:rsidRPr="00ED7E61">
        <w:rPr>
          <w:rStyle w:val="normaltextrun"/>
          <w:rFonts w:asciiTheme="majorBidi" w:eastAsiaTheme="majorEastAsia" w:hAnsiTheme="majorBidi" w:cstheme="majorBidi"/>
          <w:i/>
          <w:iCs/>
          <w:sz w:val="22"/>
          <w:szCs w:val="22"/>
          <w:lang w:val="en-GB"/>
        </w:rPr>
        <w:t xml:space="preserve"> </w:t>
      </w:r>
      <w:r w:rsidR="00FF6192">
        <w:rPr>
          <w:rStyle w:val="normaltextrun"/>
          <w:rFonts w:asciiTheme="majorBidi" w:eastAsiaTheme="majorEastAsia" w:hAnsiTheme="majorBidi" w:cstheme="majorBidi"/>
          <w:i/>
          <w:iCs/>
          <w:sz w:val="22"/>
          <w:szCs w:val="22"/>
          <w:lang w:val="en-GB"/>
        </w:rPr>
        <w:br/>
      </w:r>
      <w:r w:rsidR="00FF6192" w:rsidRPr="00B3383B">
        <w:rPr>
          <w:rStyle w:val="normaltextrun"/>
          <w:rFonts w:asciiTheme="majorBidi" w:eastAsiaTheme="majorEastAsia" w:hAnsiTheme="majorBidi" w:cstheme="majorBidi"/>
          <w:b/>
          <w:bCs/>
          <w:sz w:val="22"/>
          <w:szCs w:val="22"/>
          <w:lang w:val="en-GB"/>
        </w:rPr>
        <w:t>A</w:t>
      </w:r>
      <w:r w:rsidRPr="00B3383B">
        <w:rPr>
          <w:rStyle w:val="normaltextrun"/>
          <w:rFonts w:asciiTheme="majorBidi" w:eastAsiaTheme="majorEastAsia" w:hAnsiTheme="majorBidi" w:cstheme="majorBidi"/>
          <w:b/>
          <w:bCs/>
          <w:sz w:val="22"/>
          <w:szCs w:val="22"/>
          <w:lang w:val="en-GB"/>
        </w:rPr>
        <w:t>ctual indicator values calculated for more than 900 species</w:t>
      </w:r>
      <w:r w:rsidR="00C83ACC" w:rsidRPr="00C83ACC">
        <w:rPr>
          <w:lang w:val="en-GB" w:eastAsia="en-ZA"/>
        </w:rPr>
        <w:t xml:space="preserve"> </w:t>
      </w:r>
      <w:sdt>
        <w:sdtPr>
          <w:rPr>
            <w:rFonts w:asciiTheme="majorBidi" w:eastAsiaTheme="majorEastAsia" w:hAnsiTheme="majorBidi" w:cstheme="majorBidi"/>
            <w:b/>
            <w:bCs/>
            <w:sz w:val="22"/>
            <w:szCs w:val="22"/>
            <w:lang w:val="en-GB"/>
          </w:rPr>
          <w:tag w:val="goog_rdk_70"/>
          <w:id w:val="1548080795"/>
        </w:sdtPr>
        <w:sdtContent>
          <w:r w:rsidR="00C83ACC" w:rsidRPr="00C83ACC">
            <w:rPr>
              <w:rFonts w:asciiTheme="majorBidi" w:eastAsiaTheme="majorEastAsia" w:hAnsiTheme="majorBidi" w:cstheme="majorBidi"/>
              <w:b/>
              <w:bCs/>
              <w:sz w:val="22"/>
              <w:szCs w:val="22"/>
              <w:lang w:val="en-GB"/>
            </w:rPr>
            <w:t>, showing th</w:t>
          </w:r>
          <w:sdt>
            <w:sdtPr>
              <w:rPr>
                <w:rFonts w:asciiTheme="majorBidi" w:eastAsiaTheme="majorEastAsia" w:hAnsiTheme="majorBidi" w:cstheme="majorBidi"/>
                <w:b/>
                <w:bCs/>
                <w:sz w:val="22"/>
                <w:szCs w:val="22"/>
                <w:lang w:val="en-GB"/>
              </w:rPr>
              <w:tag w:val="goog_rdk_71"/>
              <w:id w:val="-961080997"/>
            </w:sdtPr>
            <w:sdtContent>
              <w:r w:rsidR="00C83ACC" w:rsidRPr="00812871">
                <w:rPr>
                  <w:rFonts w:asciiTheme="majorBidi" w:eastAsiaTheme="majorEastAsia" w:hAnsiTheme="majorBidi" w:cstheme="majorBidi"/>
                  <w:b/>
                  <w:bCs/>
                  <w:sz w:val="22"/>
                  <w:szCs w:val="22"/>
                  <w:lang w:val="en-GB"/>
                </w:rPr>
                <w:t>at many species have low indicator values</w:t>
              </w:r>
            </w:sdtContent>
          </w:sdt>
        </w:sdtContent>
      </w:sdt>
      <w:r w:rsidR="00C83ACC" w:rsidRPr="00C83ACC">
        <w:rPr>
          <w:rFonts w:asciiTheme="majorBidi" w:eastAsiaTheme="majorEastAsia" w:hAnsiTheme="majorBidi" w:cstheme="majorBidi"/>
          <w:b/>
          <w:bCs/>
          <w:sz w:val="22"/>
          <w:szCs w:val="22"/>
          <w:lang w:val="en-GB"/>
        </w:rPr>
        <w:t> </w:t>
      </w:r>
      <w:r w:rsidRPr="00B3383B">
        <w:rPr>
          <w:rStyle w:val="eop"/>
          <w:rFonts w:asciiTheme="majorBidi" w:eastAsiaTheme="majorEastAsia" w:hAnsiTheme="majorBidi" w:cstheme="majorBidi"/>
          <w:b/>
          <w:bCs/>
          <w:sz w:val="22"/>
          <w:szCs w:val="22"/>
        </w:rPr>
        <w:t> </w:t>
      </w:r>
    </w:p>
    <w:p w14:paraId="59B75BF8" w14:textId="0986F956" w:rsidR="00956C65" w:rsidRPr="00ED7E61" w:rsidRDefault="00956C65"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Fonts w:asciiTheme="majorBidi" w:hAnsiTheme="majorBidi" w:cstheme="majorBidi"/>
          <w:sz w:val="22"/>
          <w:szCs w:val="22"/>
        </w:rPr>
        <w:t xml:space="preserve"> </w:t>
      </w:r>
    </w:p>
    <w:p w14:paraId="2C53B2E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22038D35" w14:textId="2910CE63" w:rsidR="00756F0F" w:rsidRPr="00ED7E61" w:rsidRDefault="00756F0F" w:rsidP="00B10F0C">
      <w:pPr>
        <w:pStyle w:val="CBDNormalNumber"/>
        <w:numPr>
          <w:ilvl w:val="0"/>
          <w:numId w:val="60"/>
        </w:numPr>
        <w:ind w:left="567" w:firstLine="0"/>
        <w:rPr>
          <w:rStyle w:val="normaltextrun"/>
          <w:sz w:val="24"/>
          <w:szCs w:val="24"/>
          <w:lang w:val="en-CA"/>
        </w:rPr>
      </w:pPr>
      <w:r w:rsidRPr="00ED7E61">
        <w:rPr>
          <w:rStyle w:val="normaltextrun"/>
        </w:rPr>
        <w:t xml:space="preserve">Date range is dependent on data availability at the national scale. Typically, Nc will be obtained from the past decade </w:t>
      </w:r>
      <w:r w:rsidR="00E51D62" w:rsidRPr="00ED7E61">
        <w:rPr>
          <w:rStyle w:val="normaltextrun"/>
        </w:rPr>
        <w:t>(</w:t>
      </w:r>
      <w:r w:rsidRPr="00ED7E61">
        <w:rPr>
          <w:rStyle w:val="normaltextrun"/>
        </w:rPr>
        <w:t>e.g. post 2010</w:t>
      </w:r>
      <w:r w:rsidR="00E51D62" w:rsidRPr="00ED7E61">
        <w:rPr>
          <w:rStyle w:val="normaltextrun"/>
        </w:rPr>
        <w:t>)</w:t>
      </w:r>
      <w:r w:rsidRPr="00ED7E61">
        <w:rPr>
          <w:rStyle w:val="normaltextrun"/>
        </w:rPr>
        <w:t xml:space="preserve">.  Going forward it will be reported every 2 to 5 years, typically every 4 years, making it suited to the CBD reporting schedule. As the indicator is increasingly deployed, indicator calculation can be made in temporal windows, including </w:t>
      </w:r>
      <w:proofErr w:type="gramStart"/>
      <w:r w:rsidRPr="00ED7E61">
        <w:rPr>
          <w:rStyle w:val="normaltextrun"/>
        </w:rPr>
        <w:t>through the use of</w:t>
      </w:r>
      <w:proofErr w:type="gramEnd"/>
      <w:r w:rsidRPr="00ED7E61">
        <w:rPr>
          <w:rStyle w:val="normaltextrun"/>
        </w:rPr>
        <w:t xml:space="preserve"> older biodiversity observation data, reports and consultation with knowledge holders, likely extending indicator assessment at least back to the 1990s. This is noted above under Step 4 of Method of Computation, 5b.</w:t>
      </w:r>
    </w:p>
    <w:p w14:paraId="7D4CE7B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0A616F69" w14:textId="1984FFBF" w:rsidR="00756F0F" w:rsidRPr="00ED7E61" w:rsidRDefault="00756F0F" w:rsidP="00B10F0C">
      <w:pPr>
        <w:pStyle w:val="CBDNormalNumber"/>
        <w:numPr>
          <w:ilvl w:val="0"/>
          <w:numId w:val="60"/>
        </w:numPr>
        <w:ind w:left="567" w:firstLine="0"/>
        <w:rPr>
          <w:rStyle w:val="normaltextrun"/>
          <w:sz w:val="24"/>
          <w:szCs w:val="24"/>
          <w:lang w:val="en-CA"/>
        </w:rPr>
      </w:pPr>
      <w:r w:rsidRPr="00ED7E61">
        <w:rPr>
          <w:rStyle w:val="normaltextrun"/>
        </w:rPr>
        <w:t xml:space="preserve">The data are sourced from in-country existing biodiversity and environment agencies, thus leveraging in-country resources and ongoing programs. Other data may be obtained from </w:t>
      </w:r>
      <w:r w:rsidRPr="00ED7E61">
        <w:rPr>
          <w:rStyle w:val="normaltextrun"/>
        </w:rPr>
        <w:lastRenderedPageBreak/>
        <w:t>conservation organizations, scientific societies, national and public repositories (e.g. Global Biodiversity Information Facility, GBIF, Red List assessments), citizen scientists, and the contributions of local and indigenous peoples and traditional knowledge holders. </w:t>
      </w:r>
    </w:p>
    <w:p w14:paraId="56FBB73B" w14:textId="7973A1BF" w:rsidR="00756F0F" w:rsidRPr="00ED7E61" w:rsidRDefault="00756F0F" w:rsidP="00B10F0C">
      <w:pPr>
        <w:pStyle w:val="CBDNormalNumber"/>
        <w:numPr>
          <w:ilvl w:val="0"/>
          <w:numId w:val="60"/>
        </w:numPr>
        <w:ind w:left="567" w:firstLine="0"/>
        <w:rPr>
          <w:rStyle w:val="normaltextrun"/>
        </w:rPr>
      </w:pPr>
      <w:r w:rsidRPr="00ED7E61">
        <w:rPr>
          <w:rStyle w:val="normaltextrun"/>
        </w:rPr>
        <w:t xml:space="preserve">Example data sources from countries that participated in piloting the indicator from 2021-2023 can be found in </w:t>
      </w:r>
      <w:hyperlink r:id="rId143" w:tgtFrame="_blank" w:history="1">
        <w:r w:rsidRPr="00ED7E61">
          <w:rPr>
            <w:rStyle w:val="normaltextrun"/>
          </w:rPr>
          <w:t>Hoban et al</w:t>
        </w:r>
        <w:r w:rsidR="00FF0D09">
          <w:rPr>
            <w:rStyle w:val="normaltextrun"/>
          </w:rPr>
          <w:t>.</w:t>
        </w:r>
        <w:r w:rsidRPr="00ED7E61">
          <w:rPr>
            <w:rStyle w:val="normaltextrun"/>
          </w:rPr>
          <w:t xml:space="preserve"> (2023b)</w:t>
        </w:r>
      </w:hyperlink>
      <w:r w:rsidRPr="00ED7E61">
        <w:rPr>
          <w:rStyle w:val="normaltextrun"/>
        </w:rPr>
        <w:t> </w:t>
      </w:r>
    </w:p>
    <w:p w14:paraId="11B1331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5601DF55" w14:textId="010D35C8" w:rsidR="00756F0F" w:rsidRPr="00ED7E61" w:rsidRDefault="00756F0F" w:rsidP="00B10F0C">
      <w:pPr>
        <w:pStyle w:val="CBDNormalNumber"/>
        <w:numPr>
          <w:ilvl w:val="0"/>
          <w:numId w:val="60"/>
        </w:numPr>
        <w:ind w:left="567" w:firstLine="0"/>
        <w:rPr>
          <w:rStyle w:val="normaltextrun"/>
          <w:sz w:val="24"/>
          <w:szCs w:val="24"/>
          <w:lang w:val="en-CA"/>
        </w:rPr>
      </w:pPr>
      <w:r w:rsidRPr="00ED7E61">
        <w:rPr>
          <w:rStyle w:val="normaltextrun"/>
        </w:rPr>
        <w:t xml:space="preserve">The following organizations are responsible for maintenance of the methodology and tools for use: GEO BON, The Morton Arboretum, Stockholm University, </w:t>
      </w:r>
      <w:r w:rsidR="0020130F" w:rsidRPr="0020130F">
        <w:rPr>
          <w:rStyle w:val="normaltextrun"/>
        </w:rPr>
        <w:t xml:space="preserve">South African National Biodiversity Institute, Royal Botanical Society-KEW, </w:t>
      </w:r>
      <w:r w:rsidRPr="00ED7E61">
        <w:rPr>
          <w:rStyle w:val="normaltextrun"/>
        </w:rPr>
        <w:t>GBIKE, Coalition for Conservation Genetics.  Actual compilation of data is performed by in-country agencies.  </w:t>
      </w:r>
    </w:p>
    <w:p w14:paraId="20E1A1E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0B0C4B6C" w14:textId="1E540467" w:rsidR="00756F0F" w:rsidRPr="00ED7E61" w:rsidRDefault="00756F0F" w:rsidP="00B10F0C">
      <w:pPr>
        <w:pStyle w:val="CBDNormalNumber"/>
        <w:numPr>
          <w:ilvl w:val="0"/>
          <w:numId w:val="60"/>
        </w:numPr>
        <w:ind w:left="567" w:firstLine="0"/>
        <w:rPr>
          <w:rStyle w:val="normaltextrun"/>
          <w:sz w:val="24"/>
          <w:szCs w:val="24"/>
          <w:lang w:val="en-CA"/>
        </w:rPr>
      </w:pPr>
      <w:r w:rsidRPr="00ED7E61">
        <w:rPr>
          <w:rStyle w:val="normaltextrun"/>
        </w:rPr>
        <w:t>Expected (and demonstrated in the pilot application to 900 species) taxonomic gaps include cryptic (e.g. elusive, located underground, etc.) species, micro-organisms, fungi, invertebrates. However, current projects deploying the indicator have shown it can be calculated for cryptic species and invertebrates. Expected thematic and geographic gaps include species from understudied realms and areas (e.g. deep sea, mountains, and islands). These gaps are unfortunately typical for other biodiversity indicators such as the Red List Index.   </w:t>
      </w:r>
    </w:p>
    <w:p w14:paraId="5D89DF43" w14:textId="51BD7A42" w:rsidR="00960CA6" w:rsidRPr="00ED7E61" w:rsidRDefault="00960CA6" w:rsidP="00B10F0C">
      <w:pPr>
        <w:pStyle w:val="CBDNormalNumber"/>
        <w:numPr>
          <w:ilvl w:val="0"/>
          <w:numId w:val="60"/>
        </w:numPr>
        <w:ind w:left="567" w:firstLine="0"/>
        <w:rPr>
          <w:rStyle w:val="normaltextrun"/>
        </w:rPr>
      </w:pPr>
      <w:r w:rsidRPr="00ED7E61">
        <w:rPr>
          <w:rStyle w:val="normaltextrun"/>
        </w:rPr>
        <w:t xml:space="preserve">The indicator can be calculated in any species, and thus has no theoretical gaps, and (weighted) averages can be calculated across populations or species </w:t>
      </w:r>
      <w:proofErr w:type="gramStart"/>
      <w:r w:rsidRPr="00ED7E61">
        <w:rPr>
          <w:rStyle w:val="normaltextrun"/>
        </w:rPr>
        <w:t>taking into account</w:t>
      </w:r>
      <w:proofErr w:type="gramEnd"/>
      <w:r w:rsidRPr="00ED7E61">
        <w:rPr>
          <w:rStyle w:val="normaltextrun"/>
        </w:rPr>
        <w:t xml:space="preserve"> range sizes.  </w:t>
      </w:r>
    </w:p>
    <w:p w14:paraId="74D3224B" w14:textId="49482E53" w:rsidR="00756F0F" w:rsidRPr="00ED7E61" w:rsidRDefault="00756F0F" w:rsidP="00B10F0C">
      <w:pPr>
        <w:pStyle w:val="CBDNormalNumber"/>
        <w:numPr>
          <w:ilvl w:val="0"/>
          <w:numId w:val="60"/>
        </w:numPr>
        <w:ind w:left="567" w:firstLine="0"/>
        <w:rPr>
          <w:rStyle w:val="normaltextrun"/>
        </w:rPr>
      </w:pPr>
      <w:r w:rsidRPr="00ED7E61">
        <w:rPr>
          <w:rStyle w:val="normaltextrun"/>
        </w:rPr>
        <w:t>Note that the Ne 500 indicator should be complemented with the “</w:t>
      </w:r>
      <w:r w:rsidRPr="00FB1598">
        <w:rPr>
          <w:rStyle w:val="normaltextrun"/>
          <w:i/>
          <w:iCs/>
        </w:rPr>
        <w:t>proportion of populations maintained</w:t>
      </w:r>
      <w:r w:rsidRPr="00ED7E61">
        <w:rPr>
          <w:rStyle w:val="normaltextrun"/>
        </w:rPr>
        <w:t>” indicator , and with expert and local knowledge including as compiled in the “</w:t>
      </w:r>
      <w:r w:rsidRPr="00FB1598">
        <w:rPr>
          <w:rStyle w:val="normaltextrun"/>
          <w:i/>
          <w:iCs/>
        </w:rPr>
        <w:t>genetic scorecard for wild species</w:t>
      </w:r>
      <w:r w:rsidRPr="00ED7E61">
        <w:rPr>
          <w:rStyle w:val="normaltextrun"/>
        </w:rPr>
        <w:t>” indicator, the “</w:t>
      </w:r>
      <w:r w:rsidRPr="00FB1598">
        <w:rPr>
          <w:rStyle w:val="normaltextrun"/>
          <w:i/>
          <w:iCs/>
        </w:rPr>
        <w:t>comprehensiveness indicator</w:t>
      </w:r>
      <w:r w:rsidRPr="00ED7E61">
        <w:rPr>
          <w:rStyle w:val="normaltextrun"/>
        </w:rPr>
        <w:t xml:space="preserve">” (all three suggested as complementary indicators for Goal A: </w:t>
      </w:r>
      <w:hyperlink r:id="rId144" w:tgtFrame="_blank" w:history="1">
        <w:r w:rsidRPr="00ED7E61">
          <w:rPr>
            <w:rStyle w:val="normaltextrun"/>
          </w:rPr>
          <w:t>CBD/COP/15/L.26</w:t>
        </w:r>
      </w:hyperlink>
      <w:r w:rsidRPr="00ED7E61">
        <w:rPr>
          <w:rStyle w:val="normaltextrun"/>
        </w:rPr>
        <w:t>), and the proposed indicator “</w:t>
      </w:r>
      <w:r w:rsidRPr="00FB1598">
        <w:rPr>
          <w:rStyle w:val="normaltextrun"/>
          <w:i/>
          <w:iCs/>
        </w:rPr>
        <w:t>number of species and populations in which DNA based monitoring is used</w:t>
      </w:r>
      <w:r w:rsidRPr="00ED7E61">
        <w:rPr>
          <w:rStyle w:val="normaltextrun"/>
        </w:rPr>
        <w:t xml:space="preserve">” </w:t>
      </w:r>
      <w:hyperlink r:id="rId145" w:tgtFrame="_blank" w:history="1">
        <w:r w:rsidRPr="00ED7E61">
          <w:rPr>
            <w:rStyle w:val="normaltextrun"/>
          </w:rPr>
          <w:t>Hoban et al</w:t>
        </w:r>
        <w:r w:rsidR="00FF0D09">
          <w:rPr>
            <w:rStyle w:val="normaltextrun"/>
          </w:rPr>
          <w:t>.</w:t>
        </w:r>
        <w:r w:rsidRPr="00ED7E61">
          <w:rPr>
            <w:rStyle w:val="normaltextrun"/>
          </w:rPr>
          <w:t xml:space="preserve"> (2020)</w:t>
        </w:r>
      </w:hyperlink>
      <w:r w:rsidRPr="00ED7E61">
        <w:rPr>
          <w:rStyle w:val="normaltextrun"/>
        </w:rPr>
        <w:t>. </w:t>
      </w:r>
    </w:p>
    <w:p w14:paraId="62D7893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5k. Treatment of missing values</w:t>
      </w:r>
      <w:r w:rsidRPr="00ED7E61">
        <w:rPr>
          <w:rStyle w:val="eop"/>
          <w:rFonts w:asciiTheme="majorBidi" w:eastAsiaTheme="majorEastAsia" w:hAnsiTheme="majorBidi" w:cstheme="majorBidi"/>
          <w:sz w:val="22"/>
          <w:szCs w:val="22"/>
        </w:rPr>
        <w:t> </w:t>
      </w:r>
    </w:p>
    <w:p w14:paraId="0580C7DC" w14:textId="77777777" w:rsidR="00960CA6" w:rsidRPr="00ED7E61" w:rsidRDefault="00960CA6" w:rsidP="00B10F0C">
      <w:pPr>
        <w:pStyle w:val="CBDNormalNumber"/>
        <w:numPr>
          <w:ilvl w:val="0"/>
          <w:numId w:val="60"/>
        </w:numPr>
        <w:ind w:left="567" w:firstLine="0"/>
        <w:rPr>
          <w:rStyle w:val="normaltextrun"/>
          <w:sz w:val="24"/>
          <w:szCs w:val="24"/>
          <w:lang w:val="en-CA"/>
        </w:rPr>
      </w:pPr>
      <w:r w:rsidRPr="00ED7E61">
        <w:rPr>
          <w:rStyle w:val="normaltextrun"/>
        </w:rPr>
        <w:t>Species with missing data may be aggregated with taxonomically related species, or species with similar characteristics and life history traits (e.g. life span, body size, reproductive output, trophic position, etc.).  Populations with missing data can be treated as NAs in the dataset. </w:t>
      </w:r>
    </w:p>
    <w:p w14:paraId="0177A5D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 Scale</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620EC3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sz w:val="22"/>
          <w:szCs w:val="22"/>
        </w:rPr>
        <w:t> </w:t>
      </w:r>
    </w:p>
    <w:p w14:paraId="1812C7A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Scale of application (please check all relevant boxes):</w:t>
      </w:r>
      <w:r w:rsidRPr="00ED7E61">
        <w:rPr>
          <w:rStyle w:val="normaltextrun"/>
          <w:rFonts w:asciiTheme="majorBidi" w:eastAsiaTheme="majorEastAsia" w:hAnsiTheme="majorBidi" w:cstheme="majorBidi"/>
          <w:i/>
          <w:iCs/>
          <w:sz w:val="22"/>
          <w:szCs w:val="22"/>
          <w:lang w:val="en-GB"/>
        </w:rPr>
        <w:t> </w:t>
      </w:r>
      <w:r w:rsidRPr="00ED7E61">
        <w:rPr>
          <w:rStyle w:val="eop"/>
          <w:rFonts w:asciiTheme="majorBidi" w:eastAsiaTheme="majorEastAsia" w:hAnsiTheme="majorBidi" w:cstheme="majorBidi"/>
          <w:sz w:val="22"/>
          <w:szCs w:val="22"/>
        </w:rPr>
        <w:t> </w:t>
      </w:r>
    </w:p>
    <w:p w14:paraId="23830C72"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Global: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 xml:space="preserve">Regional: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National</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758127A9" w14:textId="77777777" w:rsidR="00756F0F" w:rsidRPr="00ED7E61" w:rsidRDefault="00756F0F" w:rsidP="00B10F0C">
      <w:pPr>
        <w:pStyle w:val="CBDNormalNumber"/>
        <w:numPr>
          <w:ilvl w:val="0"/>
          <w:numId w:val="60"/>
        </w:numPr>
        <w:ind w:left="567" w:firstLine="0"/>
        <w:rPr>
          <w:rStyle w:val="normaltextrun"/>
          <w:sz w:val="24"/>
          <w:szCs w:val="24"/>
          <w:lang w:val="en-CA"/>
        </w:rPr>
      </w:pPr>
      <w:r w:rsidRPr="00ED7E61">
        <w:rPr>
          <w:rStyle w:val="normaltextrun"/>
        </w:rPr>
        <w:t>Scale of data disaggregation/aggregation:  </w:t>
      </w:r>
    </w:p>
    <w:p w14:paraId="76DB6BB6"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Global/ regional scale indicator can be disaggregated to national level: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5AC025EB" w14:textId="77777777" w:rsidR="00756F0F" w:rsidRPr="00ED7E61" w:rsidRDefault="00756F0F" w:rsidP="00B10F0C">
      <w:pPr>
        <w:pStyle w:val="CBDNormalNumber"/>
        <w:numPr>
          <w:ilvl w:val="1"/>
          <w:numId w:val="6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National data is collated to form global indicator: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187B8B81" w14:textId="77777777" w:rsidR="00756F0F" w:rsidRPr="00ED7E61" w:rsidRDefault="00756F0F" w:rsidP="00B10F0C">
      <w:pPr>
        <w:pStyle w:val="CBDNormalNumber"/>
        <w:numPr>
          <w:ilvl w:val="0"/>
          <w:numId w:val="60"/>
        </w:numPr>
        <w:ind w:left="567" w:firstLine="0"/>
        <w:rPr>
          <w:rFonts w:asciiTheme="majorBidi" w:hAnsiTheme="majorBidi" w:cstheme="majorBidi"/>
        </w:rPr>
      </w:pPr>
      <w:r w:rsidRPr="00ED7E61">
        <w:rPr>
          <w:rStyle w:val="normaltextrun"/>
        </w:rPr>
        <w:t>Data is applicable at the local, national, regional and global scales.</w:t>
      </w:r>
      <w:r w:rsidRPr="00ED7E61">
        <w:rPr>
          <w:rStyle w:val="eop"/>
          <w:rFonts w:asciiTheme="majorBidi" w:eastAsiaTheme="majorEastAsia" w:hAnsiTheme="majorBidi" w:cstheme="majorBidi"/>
        </w:rPr>
        <w:t> </w:t>
      </w:r>
    </w:p>
    <w:p w14:paraId="56A3934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sz w:val="22"/>
          <w:szCs w:val="22"/>
        </w:rPr>
        <w:t> </w:t>
      </w:r>
    </w:p>
    <w:p w14:paraId="5C54F1B7" w14:textId="77777777" w:rsidR="00756F0F" w:rsidRPr="00ED7E61" w:rsidRDefault="00756F0F" w:rsidP="00B10F0C">
      <w:pPr>
        <w:pStyle w:val="CBDNormalNumber"/>
        <w:numPr>
          <w:ilvl w:val="0"/>
          <w:numId w:val="60"/>
        </w:numPr>
        <w:ind w:left="567" w:firstLine="0"/>
        <w:rPr>
          <w:rStyle w:val="normaltextrun"/>
          <w:sz w:val="24"/>
          <w:szCs w:val="24"/>
          <w:lang w:val="en-CA"/>
        </w:rPr>
      </w:pPr>
      <w:r w:rsidRPr="00ED7E61">
        <w:rPr>
          <w:rStyle w:val="normaltextrun"/>
        </w:rPr>
        <w:t>The guidance documents currently developed explain national methodology. Underlying data will be accessible and usable by countries. The existing data collection tool allows easy organization and storage of data and thus tracking across time. </w:t>
      </w:r>
    </w:p>
    <w:p w14:paraId="41C9CFCC" w14:textId="77777777" w:rsidR="00756F0F" w:rsidRPr="00ED7E61" w:rsidRDefault="00756F0F" w:rsidP="00B10F0C">
      <w:pPr>
        <w:pStyle w:val="CBDNormalNumber"/>
        <w:numPr>
          <w:ilvl w:val="0"/>
          <w:numId w:val="60"/>
        </w:numPr>
        <w:ind w:left="567" w:firstLine="0"/>
        <w:rPr>
          <w:rStyle w:val="normaltextrun"/>
        </w:rPr>
      </w:pPr>
      <w:r w:rsidRPr="00ED7E61">
        <w:rPr>
          <w:rStyle w:val="normaltextrun"/>
        </w:rPr>
        <w:t>Countries can collaborate on transnational calculations if desired, and the same is true for regions, including the European Union, for example.  Otherwise, regional calculation is a mean or weighted mean of component countries. </w:t>
      </w:r>
    </w:p>
    <w:p w14:paraId="7635A88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lastRenderedPageBreak/>
        <w:t>6c. Sources of differences between global and national figures</w:t>
      </w:r>
      <w:r w:rsidRPr="00ED7E61">
        <w:rPr>
          <w:rStyle w:val="eop"/>
          <w:rFonts w:asciiTheme="majorBidi" w:eastAsiaTheme="majorEastAsia" w:hAnsiTheme="majorBidi" w:cstheme="majorBidi"/>
          <w:sz w:val="22"/>
          <w:szCs w:val="22"/>
        </w:rPr>
        <w:t> </w:t>
      </w:r>
    </w:p>
    <w:p w14:paraId="038F9166" w14:textId="6D082697" w:rsidR="00756F0F" w:rsidRPr="00ED7E61" w:rsidRDefault="00756F0F" w:rsidP="00B10F0C">
      <w:pPr>
        <w:pStyle w:val="CBDNormalNumber"/>
        <w:numPr>
          <w:ilvl w:val="0"/>
          <w:numId w:val="60"/>
        </w:numPr>
        <w:ind w:left="567" w:firstLine="0"/>
        <w:rPr>
          <w:rStyle w:val="normaltextrun"/>
          <w:sz w:val="24"/>
          <w:szCs w:val="24"/>
          <w:lang w:val="en-CA"/>
        </w:rPr>
      </w:pPr>
      <w:r w:rsidRPr="00ED7E61">
        <w:rPr>
          <w:rStyle w:val="normaltextrun"/>
        </w:rPr>
        <w:t>The guidance document explains national methodology. The global figure is a mean, or weighted mean, of all contributing countries.  </w:t>
      </w:r>
    </w:p>
    <w:p w14:paraId="25485A8D" w14:textId="77777777" w:rsidR="00EC7C12" w:rsidRPr="00ED7E61" w:rsidRDefault="00EC7C12" w:rsidP="00EC7C12">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sz w:val="22"/>
          <w:szCs w:val="22"/>
        </w:rPr>
        <w:t> </w:t>
      </w:r>
    </w:p>
    <w:p w14:paraId="63C69F33" w14:textId="77777777" w:rsidR="00EC7C12" w:rsidRPr="00ED7E61" w:rsidRDefault="00EC7C12" w:rsidP="00EC7C12">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6d.1 Description of the methodology</w:t>
      </w:r>
      <w:r w:rsidRPr="00ED7E61">
        <w:rPr>
          <w:rStyle w:val="eop"/>
          <w:rFonts w:asciiTheme="majorBidi" w:eastAsiaTheme="majorEastAsia" w:hAnsiTheme="majorBidi" w:cstheme="majorBidi"/>
          <w:sz w:val="22"/>
          <w:szCs w:val="22"/>
        </w:rPr>
        <w:t> </w:t>
      </w:r>
    </w:p>
    <w:p w14:paraId="55D64869" w14:textId="77777777" w:rsidR="00EC7C12" w:rsidRPr="00EC7C12" w:rsidRDefault="00EC7C12" w:rsidP="00EC7C12">
      <w:pPr>
        <w:pStyle w:val="CBDNormalNumber"/>
        <w:numPr>
          <w:ilvl w:val="0"/>
          <w:numId w:val="60"/>
        </w:numPr>
        <w:ind w:left="567" w:firstLine="0"/>
        <w:rPr>
          <w:rStyle w:val="normaltextrun"/>
        </w:rPr>
      </w:pPr>
      <w:r w:rsidRPr="00ED7E61">
        <w:rPr>
          <w:rStyle w:val="normaltextrun"/>
        </w:rPr>
        <w:t xml:space="preserve">Methods and mathematical formulas for aggregating at these scales, and for weighting countries are described in </w:t>
      </w:r>
      <w:hyperlink r:id="rId146" w:tgtFrame="_blank" w:history="1">
        <w:r w:rsidRPr="00ED7E61">
          <w:rPr>
            <w:rStyle w:val="normaltextrun"/>
          </w:rPr>
          <w:t>Hoban et al</w:t>
        </w:r>
        <w:r>
          <w:rPr>
            <w:rStyle w:val="normaltextrun"/>
          </w:rPr>
          <w:t>.</w:t>
        </w:r>
        <w:r w:rsidRPr="00ED7E61">
          <w:rPr>
            <w:rStyle w:val="normaltextrun"/>
          </w:rPr>
          <w:t xml:space="preserve"> (2023b)</w:t>
        </w:r>
      </w:hyperlink>
      <w:r w:rsidRPr="00ED7E61">
        <w:rPr>
          <w:rStyle w:val="normaltextrun"/>
        </w:rPr>
        <w:t>. </w:t>
      </w:r>
    </w:p>
    <w:p w14:paraId="18A4B8AB" w14:textId="77777777" w:rsidR="00EC7C12" w:rsidRPr="00ED7E61" w:rsidRDefault="00EC7C12" w:rsidP="00EC7C12">
      <w:pPr>
        <w:pStyle w:val="CBDNormalNumber"/>
        <w:numPr>
          <w:ilvl w:val="0"/>
          <w:numId w:val="60"/>
        </w:numPr>
        <w:ind w:left="567" w:firstLine="0"/>
        <w:rPr>
          <w:rStyle w:val="normaltextrun"/>
        </w:rPr>
      </w:pPr>
      <w:r w:rsidRPr="00ED7E61">
        <w:rPr>
          <w:rStyle w:val="normaltextrun"/>
        </w:rPr>
        <w:t xml:space="preserve">The pilot application in 900 species showed that data gaps vary by country, but all countries examined have </w:t>
      </w:r>
      <w:proofErr w:type="gramStart"/>
      <w:r w:rsidRPr="00ED7E61">
        <w:rPr>
          <w:rStyle w:val="normaltextrun"/>
        </w:rPr>
        <w:t>a large number of</w:t>
      </w:r>
      <w:proofErr w:type="gramEnd"/>
      <w:r w:rsidRPr="00ED7E61">
        <w:rPr>
          <w:rStyle w:val="normaltextrun"/>
        </w:rPr>
        <w:t xml:space="preserve"> species with sufficient data available. </w:t>
      </w:r>
    </w:p>
    <w:p w14:paraId="1815C07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6d.2 Additional methodological details</w:t>
      </w:r>
      <w:r w:rsidRPr="00ED7E61">
        <w:rPr>
          <w:rStyle w:val="eop"/>
          <w:rFonts w:asciiTheme="majorBidi" w:eastAsiaTheme="majorEastAsia" w:hAnsiTheme="majorBidi" w:cstheme="majorBidi"/>
          <w:sz w:val="22"/>
          <w:szCs w:val="22"/>
        </w:rPr>
        <w:t> </w:t>
      </w:r>
    </w:p>
    <w:p w14:paraId="15864751" w14:textId="77777777" w:rsidR="00756F0F" w:rsidRPr="00ED7E61" w:rsidRDefault="00756F0F" w:rsidP="00EC7C12">
      <w:pPr>
        <w:pStyle w:val="CBDNormalNumber"/>
        <w:numPr>
          <w:ilvl w:val="0"/>
          <w:numId w:val="60"/>
        </w:numPr>
        <w:ind w:left="567" w:firstLine="0"/>
        <w:rPr>
          <w:rStyle w:val="normaltextrun"/>
          <w:sz w:val="24"/>
          <w:szCs w:val="24"/>
          <w:lang w:val="en-CA"/>
        </w:rPr>
      </w:pPr>
      <w:r w:rsidRPr="00ED7E61">
        <w:rPr>
          <w:rStyle w:val="normaltextrun"/>
        </w:rPr>
        <w:t>See previous answer </w:t>
      </w:r>
    </w:p>
    <w:p w14:paraId="5B6AA1F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6d.3 Description of the mechanism for collecting data from countries</w:t>
      </w:r>
      <w:r w:rsidRPr="00ED7E61">
        <w:rPr>
          <w:rStyle w:val="eop"/>
          <w:rFonts w:asciiTheme="majorBidi" w:eastAsiaTheme="majorEastAsia" w:hAnsiTheme="majorBidi" w:cstheme="majorBidi"/>
          <w:sz w:val="22"/>
          <w:szCs w:val="22"/>
        </w:rPr>
        <w:t> </w:t>
      </w:r>
    </w:p>
    <w:p w14:paraId="79013BEC" w14:textId="55F28DA3" w:rsidR="00960CA6" w:rsidRPr="00EC7C12" w:rsidRDefault="00960CA6" w:rsidP="00EC7C12">
      <w:pPr>
        <w:pStyle w:val="CBDNormalNumber"/>
        <w:numPr>
          <w:ilvl w:val="0"/>
          <w:numId w:val="60"/>
        </w:numPr>
        <w:ind w:left="567" w:firstLine="0"/>
        <w:rPr>
          <w:rStyle w:val="normaltextrun"/>
        </w:rPr>
      </w:pPr>
      <w:r w:rsidRPr="00ED7E61">
        <w:rPr>
          <w:rStyle w:val="normaltextrun"/>
        </w:rPr>
        <w:t xml:space="preserve">As noted above, national agencies, or conservation organizations can compile the indicator at national levels using the resources provided in </w:t>
      </w:r>
      <w:hyperlink r:id="rId147" w:tgtFrame="_blank" w:history="1">
        <w:r w:rsidRPr="00ED7E61">
          <w:rPr>
            <w:rStyle w:val="normaltextrun"/>
          </w:rPr>
          <w:t>Hoban et al</w:t>
        </w:r>
        <w:r w:rsidR="00FF0D09">
          <w:rPr>
            <w:rStyle w:val="normaltextrun"/>
          </w:rPr>
          <w:t>.</w:t>
        </w:r>
        <w:r w:rsidRPr="00ED7E61">
          <w:rPr>
            <w:rStyle w:val="normaltextrun"/>
          </w:rPr>
          <w:t xml:space="preserve"> (2023b; see Supporting Information)</w:t>
        </w:r>
      </w:hyperlink>
      <w:r w:rsidRPr="00ED7E61">
        <w:rPr>
          <w:rStyle w:val="normaltextrun"/>
        </w:rPr>
        <w:t>.  Consultation and questions about data validation can be made to the custodians of the indicator. </w:t>
      </w:r>
    </w:p>
    <w:p w14:paraId="2622F580" w14:textId="77777777" w:rsidR="00DB1FC6" w:rsidRPr="00ED7E61" w:rsidRDefault="00DB1FC6" w:rsidP="00DB1FC6">
      <w:pPr>
        <w:pStyle w:val="CBDNormalNumber"/>
        <w:numPr>
          <w:ilvl w:val="0"/>
          <w:numId w:val="60"/>
        </w:numPr>
        <w:ind w:left="567" w:firstLine="0"/>
        <w:rPr>
          <w:rStyle w:val="normaltextrun"/>
        </w:rPr>
      </w:pPr>
      <w:r w:rsidRPr="00ED7E61">
        <w:rPr>
          <w:rStyle w:val="normaltextrun"/>
        </w:rPr>
        <w:t>The guidance (documents and videos) has been improved with a new published version released in July 2024 (Mastretta-Yanes et al</w:t>
      </w:r>
      <w:r>
        <w:rPr>
          <w:rStyle w:val="normaltextrun"/>
        </w:rPr>
        <w:t>.</w:t>
      </w:r>
      <w:r w:rsidRPr="00ED7E61">
        <w:rPr>
          <w:rStyle w:val="normaltextrun"/>
        </w:rPr>
        <w:t xml:space="preserve"> 2024 and </w:t>
      </w:r>
      <w:hyperlink r:id="rId148" w:history="1">
        <w:r w:rsidRPr="00ED7E61">
          <w:rPr>
            <w:rStyle w:val="normaltextrun"/>
          </w:rPr>
          <w:t>https://ccgenetics.github.io/guidelines-genetic-diversity-indicators/</w:t>
        </w:r>
      </w:hyperlink>
      <w:r w:rsidRPr="00ED7E61">
        <w:rPr>
          <w:rStyle w:val="normaltextrun"/>
        </w:rPr>
        <w:t xml:space="preserve">), and will continue to be updated periodically to meet Parties’ needs, and there are a series of online tools (mapping tools, easy data entry) in development that will help make it even easier to calculate the indicator (GEOBON offers </w:t>
      </w:r>
      <w:hyperlink r:id="rId149" w:tgtFrame="_blank" w:history="1">
        <w:r w:rsidRPr="00ED7E61">
          <w:rPr>
            <w:rStyle w:val="normaltextrun"/>
          </w:rPr>
          <w:t>BON-in-a-Box</w:t>
        </w:r>
      </w:hyperlink>
      <w:r w:rsidRPr="00ED7E61">
        <w:rPr>
          <w:rStyle w:val="normaltextrun"/>
        </w:rPr>
        <w:t xml:space="preserve"> to support calculation of the indicator).  </w:t>
      </w:r>
    </w:p>
    <w:p w14:paraId="36702D51" w14:textId="77777777" w:rsidR="00756F0F" w:rsidRPr="00ED7E61" w:rsidRDefault="00756F0F" w:rsidP="00812871">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7. Other MEAs, processes and organisations</w:t>
      </w:r>
      <w:r w:rsidRPr="00812871">
        <w:rPr>
          <w:rStyle w:val="normaltextrun"/>
          <w:rFonts w:eastAsiaTheme="majorEastAsia"/>
          <w:b/>
          <w:bCs/>
          <w:lang w:val="en-GB"/>
        </w:rPr>
        <w:t> </w:t>
      </w:r>
    </w:p>
    <w:p w14:paraId="4861BEC4" w14:textId="77777777" w:rsidR="00756F0F" w:rsidRPr="00812871" w:rsidRDefault="00756F0F" w:rsidP="00812871">
      <w:pPr>
        <w:pStyle w:val="CBDNormalNumber"/>
        <w:numPr>
          <w:ilvl w:val="0"/>
          <w:numId w:val="60"/>
        </w:numPr>
        <w:ind w:left="567" w:firstLine="0"/>
        <w:rPr>
          <w:rStyle w:val="normaltextrun"/>
        </w:rPr>
      </w:pPr>
      <w:r w:rsidRPr="00812871">
        <w:rPr>
          <w:rStyle w:val="normaltextrun"/>
        </w:rPr>
        <w:t>N/A. </w:t>
      </w:r>
    </w:p>
    <w:p w14:paraId="3F616480" w14:textId="08739E6F" w:rsidR="00756F0F" w:rsidRPr="00ED7E61" w:rsidRDefault="00756F0F" w:rsidP="00B3383B">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u w:val="single"/>
          <w:lang w:val="en-GB"/>
        </w:rPr>
        <w:t xml:space="preserve">8. </w:t>
      </w:r>
      <w:r w:rsidR="007D3CD8" w:rsidRPr="00ED7E61">
        <w:rPr>
          <w:rStyle w:val="normaltextrun"/>
          <w:rFonts w:asciiTheme="majorBidi" w:eastAsiaTheme="majorEastAsia" w:hAnsiTheme="majorBidi" w:cstheme="majorBidi"/>
          <w:b/>
          <w:bCs/>
          <w:sz w:val="22"/>
          <w:szCs w:val="22"/>
          <w:u w:val="single"/>
          <w:lang w:val="en-GB"/>
        </w:rPr>
        <w:t xml:space="preserve">Possible </w:t>
      </w:r>
      <w:proofErr w:type="spellStart"/>
      <w:r w:rsidRPr="00ED7E61">
        <w:rPr>
          <w:rStyle w:val="normaltextrun"/>
          <w:rFonts w:asciiTheme="majorBidi" w:eastAsiaTheme="majorEastAsia" w:hAnsiTheme="majorBidi" w:cstheme="majorBidi"/>
          <w:b/>
          <w:bCs/>
          <w:sz w:val="22"/>
          <w:szCs w:val="22"/>
          <w:u w:val="single"/>
          <w:lang w:val="en-GB"/>
        </w:rPr>
        <w:t>Disaggregation</w:t>
      </w:r>
      <w:r w:rsidR="007D3CD8" w:rsidRPr="00ED7E61">
        <w:rPr>
          <w:rStyle w:val="normaltextrun"/>
          <w:rFonts w:asciiTheme="majorBidi" w:eastAsiaTheme="majorEastAsia" w:hAnsiTheme="majorBidi" w:cstheme="majorBidi"/>
          <w:b/>
          <w:bCs/>
          <w:sz w:val="22"/>
          <w:szCs w:val="22"/>
          <w:u w:val="single"/>
          <w:lang w:val="en-GB"/>
        </w:rPr>
        <w:t>s</w:t>
      </w:r>
      <w:proofErr w:type="spellEnd"/>
      <w:r w:rsidRPr="00ED7E61">
        <w:rPr>
          <w:rStyle w:val="eop"/>
          <w:rFonts w:asciiTheme="majorBidi" w:eastAsiaTheme="majorEastAsia" w:hAnsiTheme="majorBidi" w:cstheme="majorBidi"/>
          <w:sz w:val="22"/>
          <w:szCs w:val="22"/>
        </w:rPr>
        <w:t> </w:t>
      </w:r>
    </w:p>
    <w:p w14:paraId="50AF61AB" w14:textId="77777777" w:rsidR="00960CA6" w:rsidRPr="00EC7C12" w:rsidRDefault="00960CA6" w:rsidP="00EC7C12">
      <w:pPr>
        <w:pStyle w:val="CBDNormalNumber"/>
        <w:numPr>
          <w:ilvl w:val="0"/>
          <w:numId w:val="60"/>
        </w:numPr>
        <w:ind w:left="567" w:firstLine="0"/>
        <w:rPr>
          <w:rStyle w:val="normaltextrun"/>
        </w:rPr>
      </w:pPr>
      <w:r w:rsidRPr="00ED7E61">
        <w:rPr>
          <w:rStyle w:val="normaltextrun"/>
        </w:rPr>
        <w:t>Species, taxa, rarity categories, habitat type, guilds. Of particular interest may be disaggregation between taxonomic groups e.g. birds, mammals, etc., and between threatened and non-threatened species.</w:t>
      </w:r>
    </w:p>
    <w:p w14:paraId="7C695096" w14:textId="77777777" w:rsidR="00756F0F" w:rsidRPr="00ED7E61" w:rsidRDefault="00756F0F" w:rsidP="005B0D1E">
      <w:pPr>
        <w:pStyle w:val="paragraph"/>
        <w:spacing w:before="0" w:beforeAutospacing="0" w:after="0" w:afterAutospacing="0"/>
        <w:textAlignment w:val="baseline"/>
        <w:rPr>
          <w:rStyle w:val="normaltextrun"/>
          <w:rFonts w:eastAsiaTheme="majorEastAsia"/>
          <w:b/>
          <w:bCs/>
          <w:u w:val="single"/>
          <w:lang w:val="en-GB"/>
        </w:rPr>
      </w:pPr>
      <w:r w:rsidRPr="00ED7E61">
        <w:rPr>
          <w:rStyle w:val="normaltextrun"/>
          <w:rFonts w:asciiTheme="majorBidi" w:eastAsiaTheme="majorEastAsia" w:hAnsiTheme="majorBidi" w:cstheme="majorBidi"/>
          <w:b/>
          <w:bCs/>
          <w:sz w:val="22"/>
          <w:szCs w:val="22"/>
          <w:u w:val="single"/>
          <w:lang w:val="en-GB"/>
        </w:rPr>
        <w:t>9. Related goals, targets and indicators</w:t>
      </w:r>
      <w:r w:rsidRPr="00ED7E61">
        <w:rPr>
          <w:rStyle w:val="normaltextrun"/>
          <w:rFonts w:eastAsiaTheme="majorEastAsia"/>
          <w:b/>
          <w:bCs/>
          <w:u w:val="single"/>
          <w:lang w:val="en-GB"/>
        </w:rPr>
        <w:t> </w:t>
      </w:r>
    </w:p>
    <w:p w14:paraId="6F45800D" w14:textId="021162EE" w:rsidR="00756F0F" w:rsidRPr="00EC7C12" w:rsidRDefault="00756F0F" w:rsidP="00EC7C12">
      <w:pPr>
        <w:pStyle w:val="CBDNormalNumber"/>
        <w:numPr>
          <w:ilvl w:val="0"/>
          <w:numId w:val="60"/>
        </w:numPr>
        <w:ind w:left="567" w:firstLine="0"/>
        <w:rPr>
          <w:rStyle w:val="normaltextrun"/>
        </w:rPr>
      </w:pPr>
      <w:r w:rsidRPr="00ED7E61">
        <w:rPr>
          <w:rStyle w:val="normaltextrun"/>
        </w:rPr>
        <w:t xml:space="preserve">As noted by </w:t>
      </w:r>
      <w:hyperlink r:id="rId150" w:tgtFrame="_blank" w:history="1">
        <w:r w:rsidRPr="00ED7E61">
          <w:rPr>
            <w:rStyle w:val="normaltextrun"/>
          </w:rPr>
          <w:t>Hoban et al</w:t>
        </w:r>
        <w:r w:rsidR="00FF0D09">
          <w:rPr>
            <w:rStyle w:val="normaltextrun"/>
          </w:rPr>
          <w:t>.</w:t>
        </w:r>
        <w:r w:rsidRPr="00ED7E61">
          <w:rPr>
            <w:rStyle w:val="normaltextrun"/>
          </w:rPr>
          <w:t xml:space="preserve"> 2023a</w:t>
        </w:r>
      </w:hyperlink>
      <w:r w:rsidRPr="00ED7E61">
        <w:rPr>
          <w:rStyle w:val="normaltextrun"/>
        </w:rPr>
        <w:t>, this indicator is also relevant to Targets 1, 2, 3, 5, 9, 10 and 12. </w:t>
      </w:r>
    </w:p>
    <w:p w14:paraId="584E72C6" w14:textId="77777777" w:rsidR="00756F0F" w:rsidRPr="00ED7E61" w:rsidRDefault="00756F0F" w:rsidP="00EC7C12">
      <w:pPr>
        <w:pStyle w:val="CBDNormalNumber"/>
        <w:numPr>
          <w:ilvl w:val="0"/>
          <w:numId w:val="60"/>
        </w:numPr>
        <w:ind w:left="567" w:firstLine="0"/>
        <w:rPr>
          <w:rStyle w:val="normaltextrun"/>
        </w:rPr>
      </w:pPr>
      <w:r w:rsidRPr="00ED7E61">
        <w:rPr>
          <w:rStyle w:val="normaltextrun"/>
        </w:rPr>
        <w:t>Linked to and is complemented by other important genetic diversity indicators (</w:t>
      </w:r>
      <w:hyperlink r:id="rId151" w:tgtFrame="_blank" w:history="1">
        <w:r w:rsidRPr="00ED7E61">
          <w:rPr>
            <w:rStyle w:val="normaltextrun"/>
          </w:rPr>
          <w:t>CBD/COP/15/5</w:t>
        </w:r>
      </w:hyperlink>
      <w:r w:rsidRPr="00ED7E61">
        <w:rPr>
          <w:rStyle w:val="normaltextrun"/>
        </w:rPr>
        <w:t>), including: </w:t>
      </w:r>
    </w:p>
    <w:p w14:paraId="5496001A" w14:textId="77777777" w:rsidR="00756F0F" w:rsidRPr="00ED7E61" w:rsidRDefault="00756F0F" w:rsidP="00EC7C12">
      <w:pPr>
        <w:pStyle w:val="CBDNormalNumber"/>
        <w:numPr>
          <w:ilvl w:val="1"/>
          <w:numId w:val="33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Proportion of populations maintained within species</w:t>
      </w:r>
      <w:r w:rsidRPr="00ED7E61">
        <w:rPr>
          <w:rStyle w:val="normaltextrun"/>
        </w:rPr>
        <w:t> </w:t>
      </w:r>
    </w:p>
    <w:p w14:paraId="198ECE0C" w14:textId="77777777" w:rsidR="00756F0F" w:rsidRPr="00ED7E61" w:rsidRDefault="00756F0F" w:rsidP="00EC7C12">
      <w:pPr>
        <w:pStyle w:val="CBDNormalNumber"/>
        <w:numPr>
          <w:ilvl w:val="1"/>
          <w:numId w:val="33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Genetic diversity scorecard for wild species </w:t>
      </w:r>
      <w:hyperlink r:id="rId152" w:tgtFrame="_blank" w:history="1">
        <w:r w:rsidRPr="00ED7E61">
          <w:rPr>
            <w:rStyle w:val="normaltextrun"/>
            <w:rFonts w:asciiTheme="majorBidi" w:eastAsiaTheme="majorEastAsia" w:hAnsiTheme="majorBidi" w:cstheme="majorBidi"/>
          </w:rPr>
          <w:t>(O’Brien et al. 2022)</w:t>
        </w:r>
      </w:hyperlink>
      <w:r w:rsidRPr="00ED7E61">
        <w:rPr>
          <w:rStyle w:val="normaltextrun"/>
        </w:rPr>
        <w:t> </w:t>
      </w:r>
    </w:p>
    <w:p w14:paraId="16836BB8" w14:textId="7F3DB68C" w:rsidR="00756F0F" w:rsidRPr="00ED7E61" w:rsidRDefault="00756F0F" w:rsidP="00EC7C12">
      <w:pPr>
        <w:pStyle w:val="CBDNormalNumber"/>
        <w:numPr>
          <w:ilvl w:val="1"/>
          <w:numId w:val="33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Comprehensiveness of conservation of socioeconomically as well as culturally valuable species  </w:t>
      </w:r>
      <w:hyperlink r:id="rId153" w:tgtFrame="_blank" w:history="1">
        <w:r w:rsidRPr="00ED7E61">
          <w:rPr>
            <w:rStyle w:val="normaltextrun"/>
            <w:rFonts w:asciiTheme="majorBidi" w:eastAsiaTheme="majorEastAsia" w:hAnsiTheme="majorBidi" w:cstheme="majorBidi"/>
          </w:rPr>
          <w:t>(Khoury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2019)</w:t>
        </w:r>
      </w:hyperlink>
      <w:r w:rsidRPr="00ED7E61">
        <w:rPr>
          <w:rStyle w:val="normaltextrun"/>
          <w:rFonts w:asciiTheme="majorBidi" w:eastAsiaTheme="majorEastAsia" w:hAnsiTheme="majorBidi" w:cstheme="majorBidi"/>
        </w:rPr>
        <w:t>, </w:t>
      </w:r>
      <w:r w:rsidRPr="00ED7E61">
        <w:rPr>
          <w:rStyle w:val="normaltextrun"/>
        </w:rPr>
        <w:t> </w:t>
      </w:r>
    </w:p>
    <w:p w14:paraId="4AC81EA7" w14:textId="77777777" w:rsidR="00756F0F" w:rsidRPr="00ED7E61" w:rsidRDefault="00756F0F" w:rsidP="00EC7C12">
      <w:pPr>
        <w:pStyle w:val="CBDNormalNumber"/>
        <w:numPr>
          <w:ilvl w:val="1"/>
          <w:numId w:val="33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Proportion of local breeds classified as being at risk, extinction </w:t>
      </w:r>
      <w:r w:rsidRPr="00ED7E61">
        <w:rPr>
          <w:rStyle w:val="normaltextrun"/>
        </w:rPr>
        <w:t> </w:t>
      </w:r>
    </w:p>
    <w:p w14:paraId="7A4CB7F8" w14:textId="77777777" w:rsidR="00756F0F" w:rsidRPr="00ED7E61" w:rsidRDefault="00756F0F" w:rsidP="00EC7C12">
      <w:pPr>
        <w:pStyle w:val="CBDNormalNumber"/>
        <w:numPr>
          <w:ilvl w:val="1"/>
          <w:numId w:val="33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Number of plant and animal genetic resources for food and agriculture secured in either medium- or long-term conservation facilities</w:t>
      </w:r>
      <w:r w:rsidRPr="00ED7E61">
        <w:rPr>
          <w:rStyle w:val="normaltextrun"/>
        </w:rPr>
        <w:t> </w:t>
      </w:r>
    </w:p>
    <w:p w14:paraId="58F3ECAA" w14:textId="67DB08BF" w:rsidR="00960CA6" w:rsidRPr="00ED7E61" w:rsidRDefault="00960CA6" w:rsidP="00EC7C12">
      <w:pPr>
        <w:pStyle w:val="CBDNormalNumber"/>
        <w:numPr>
          <w:ilvl w:val="0"/>
          <w:numId w:val="60"/>
        </w:numPr>
        <w:ind w:left="567" w:firstLine="0"/>
        <w:rPr>
          <w:rStyle w:val="normaltextrun"/>
        </w:rPr>
      </w:pPr>
      <w:r w:rsidRPr="00ED7E61">
        <w:rPr>
          <w:rStyle w:val="normaltextrun"/>
        </w:rPr>
        <w:t xml:space="preserve">The Species Habitat Index (SHI) could be a useful related indicator, for comparison, but is not a replacement for this Headline Indicator because it does not relate to maintaining genetic diversity </w:t>
      </w:r>
      <w:r w:rsidRPr="00ED7E61">
        <w:rPr>
          <w:rStyle w:val="normaltextrun"/>
        </w:rPr>
        <w:lastRenderedPageBreak/>
        <w:t xml:space="preserve">within populations, cannot apply to domesticated species or breeds, and only considers genetic diversity lost due to habitat loss. </w:t>
      </w:r>
    </w:p>
    <w:p w14:paraId="20CB18D1" w14:textId="0398D025" w:rsidR="00960CA6" w:rsidRPr="00ED7E61" w:rsidRDefault="00960CA6" w:rsidP="00EC7C12">
      <w:pPr>
        <w:pStyle w:val="CBDNormalNumber"/>
        <w:numPr>
          <w:ilvl w:val="0"/>
          <w:numId w:val="60"/>
        </w:numPr>
        <w:ind w:left="567" w:firstLine="0"/>
        <w:rPr>
          <w:rStyle w:val="normaltextrun"/>
        </w:rPr>
      </w:pPr>
      <w:r w:rsidRPr="00ED7E61">
        <w:rPr>
          <w:rStyle w:val="normaltextrun"/>
        </w:rPr>
        <w:t>The caretakers of this indicator have also developed guidance and suggestions for NBSAPs and are available to help support capacity as countries develop their NBSAPs.  A peer reviewed publication and policy brief in multiple languages can be found here: https://www.coalitionforconservationgenetics.org/resources-database/genetic-diversity-can-now-be-monitored-worldwide-ezylk </w:t>
      </w:r>
    </w:p>
    <w:p w14:paraId="1E4C2428" w14:textId="2A83C259" w:rsidR="00756F0F" w:rsidRPr="00ED7E61" w:rsidRDefault="00756F0F" w:rsidP="00B3383B">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6A13E4E0" w14:textId="58EB87BD"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96790B">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1840571E" w14:textId="77777777" w:rsidR="00756F0F" w:rsidRPr="00ED7E61" w:rsidRDefault="00756F0F" w:rsidP="00B3383B">
      <w:pPr>
        <w:pStyle w:val="CBDNormalNumber"/>
        <w:ind w:left="567"/>
        <w:rPr>
          <w:rStyle w:val="contentcontrolboundarysink"/>
          <w:sz w:val="24"/>
          <w:szCs w:val="24"/>
          <w:lang w:val="en-CA"/>
        </w:rPr>
      </w:pPr>
      <w:r w:rsidRPr="00ED7E61">
        <w:rPr>
          <w:rStyle w:val="contentcontrolboundarysink"/>
        </w:rPr>
        <w:t>Group on Earth Observations Biodiversity Observation Network (GEO BON) </w:t>
      </w:r>
    </w:p>
    <w:p w14:paraId="775AE965" w14:textId="77777777" w:rsidR="00756F0F" w:rsidRPr="00ED7E61" w:rsidRDefault="00756F0F" w:rsidP="00B3383B">
      <w:pPr>
        <w:pStyle w:val="CBDNormalNumber"/>
        <w:ind w:left="567"/>
        <w:rPr>
          <w:rStyle w:val="contentcontrolboundarysink"/>
        </w:rPr>
      </w:pPr>
      <w:r w:rsidRPr="00ED7E61">
        <w:rPr>
          <w:rStyle w:val="contentcontrolboundarysink"/>
        </w:rPr>
        <w:t>The Morton Arboretum </w:t>
      </w:r>
    </w:p>
    <w:p w14:paraId="75B8BD2D" w14:textId="77777777" w:rsidR="00756F0F" w:rsidRPr="00ED7E61" w:rsidRDefault="00756F0F" w:rsidP="00B3383B">
      <w:pPr>
        <w:pStyle w:val="CBDNormalNumber"/>
        <w:ind w:left="567"/>
        <w:rPr>
          <w:rStyle w:val="contentcontrolboundarysink"/>
        </w:rPr>
      </w:pPr>
      <w:r w:rsidRPr="00ED7E61">
        <w:rPr>
          <w:rStyle w:val="contentcontrolboundarysink"/>
        </w:rPr>
        <w:t>Stockholm University </w:t>
      </w:r>
    </w:p>
    <w:p w14:paraId="4B3E605B" w14:textId="77777777" w:rsidR="00756F0F" w:rsidRPr="00ED7E61" w:rsidRDefault="00756F0F" w:rsidP="00B3383B">
      <w:pPr>
        <w:pStyle w:val="CBDNormalNumber"/>
        <w:ind w:left="567"/>
        <w:rPr>
          <w:rStyle w:val="contentcontrolboundarysink"/>
        </w:rPr>
      </w:pPr>
      <w:r w:rsidRPr="00ED7E61">
        <w:rPr>
          <w:rStyle w:val="contentcontrolboundarysink"/>
        </w:rPr>
        <w:t>G-</w:t>
      </w:r>
      <w:proofErr w:type="spellStart"/>
      <w:r w:rsidRPr="00ED7E61">
        <w:rPr>
          <w:rStyle w:val="contentcontrolboundarysink"/>
        </w:rPr>
        <w:t>BiKE</w:t>
      </w:r>
      <w:proofErr w:type="spellEnd"/>
      <w:r w:rsidRPr="00ED7E61">
        <w:rPr>
          <w:rStyle w:val="contentcontrolboundarysink"/>
        </w:rPr>
        <w:t> </w:t>
      </w:r>
    </w:p>
    <w:p w14:paraId="25151DF3" w14:textId="6FCD70B7" w:rsidR="00756F0F" w:rsidRPr="00ED7E61" w:rsidRDefault="00756F0F" w:rsidP="00B3383B">
      <w:pPr>
        <w:pStyle w:val="CBDNormalNumber"/>
        <w:ind w:left="567"/>
      </w:pPr>
      <w:r w:rsidRPr="00ED7E61">
        <w:rPr>
          <w:rStyle w:val="contentcontrolboundarysink"/>
        </w:rPr>
        <w:t>Coalition for Conservation Genetics </w:t>
      </w:r>
    </w:p>
    <w:p w14:paraId="362ABFC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210C209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ED7E61">
        <w:rPr>
          <w:rStyle w:val="normaltextrun"/>
          <w:rFonts w:asciiTheme="majorBidi" w:eastAsiaTheme="majorEastAsia" w:hAnsiTheme="majorBidi" w:cstheme="majorBidi"/>
          <w:color w:val="000000"/>
          <w:sz w:val="22"/>
          <w:szCs w:val="22"/>
          <w:lang w:val="es-CO"/>
        </w:rPr>
        <w:t>Sean Hoban (</w:t>
      </w:r>
      <w:hyperlink r:id="rId154" w:tgtFrame="_blank" w:history="1">
        <w:r w:rsidRPr="00ED7E61">
          <w:rPr>
            <w:rStyle w:val="normaltextrun"/>
            <w:rFonts w:asciiTheme="majorBidi" w:eastAsiaTheme="majorEastAsia" w:hAnsiTheme="majorBidi" w:cstheme="majorBidi"/>
            <w:color w:val="0563C1"/>
            <w:sz w:val="22"/>
            <w:szCs w:val="22"/>
            <w:u w:val="single"/>
            <w:lang w:val="es-CO"/>
          </w:rPr>
          <w:t>shoban@mortonarb.org</w:t>
        </w:r>
      </w:hyperlink>
      <w:r w:rsidRPr="00ED7E61">
        <w:rPr>
          <w:rStyle w:val="normaltextrun"/>
          <w:rFonts w:asciiTheme="majorBidi" w:eastAsiaTheme="majorEastAsia" w:hAnsiTheme="majorBidi" w:cstheme="majorBidi"/>
          <w:color w:val="000000"/>
          <w:sz w:val="22"/>
          <w:szCs w:val="22"/>
          <w:lang w:val="es-CO"/>
        </w:rPr>
        <w:t>)</w:t>
      </w:r>
      <w:r w:rsidRPr="00ED7E61">
        <w:rPr>
          <w:rStyle w:val="eop"/>
          <w:rFonts w:asciiTheme="majorBidi" w:eastAsiaTheme="majorEastAsia" w:hAnsiTheme="majorBidi" w:cstheme="majorBidi"/>
          <w:color w:val="000000"/>
          <w:sz w:val="22"/>
          <w:szCs w:val="22"/>
          <w:lang w:val="es-ES"/>
        </w:rPr>
        <w:t> </w:t>
      </w:r>
    </w:p>
    <w:p w14:paraId="694B1EE3"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lang w:val="fi-FI"/>
        </w:rPr>
      </w:pPr>
      <w:r w:rsidRPr="00ED7E61">
        <w:rPr>
          <w:rStyle w:val="normaltextrun"/>
          <w:rFonts w:asciiTheme="majorBidi" w:eastAsiaTheme="majorEastAsia" w:hAnsiTheme="majorBidi" w:cstheme="majorBidi"/>
          <w:color w:val="000000"/>
          <w:sz w:val="22"/>
          <w:szCs w:val="22"/>
          <w:lang w:val="fi-FI"/>
        </w:rPr>
        <w:t>Linda Laikre (</w:t>
      </w:r>
      <w:r>
        <w:fldChar w:fldCharType="begin"/>
      </w:r>
      <w:r w:rsidRPr="00812871">
        <w:rPr>
          <w:lang w:val="es-ES"/>
        </w:rPr>
        <w:instrText>HYPERLINK "mailto:linda.laikre@popgen.su.se" \t "_blank"</w:instrText>
      </w:r>
      <w:r>
        <w:fldChar w:fldCharType="separate"/>
      </w:r>
      <w:r w:rsidRPr="00ED7E61">
        <w:rPr>
          <w:rStyle w:val="normaltextrun"/>
          <w:rFonts w:asciiTheme="majorBidi" w:eastAsiaTheme="majorEastAsia" w:hAnsiTheme="majorBidi" w:cstheme="majorBidi"/>
          <w:color w:val="0563C1"/>
          <w:sz w:val="22"/>
          <w:szCs w:val="22"/>
          <w:u w:val="single"/>
          <w:lang w:val="fi-FI"/>
        </w:rPr>
        <w:t>linda.laikre@popgen.su.se</w:t>
      </w:r>
      <w:r>
        <w:fldChar w:fldCharType="end"/>
      </w:r>
      <w:r w:rsidRPr="00ED7E61">
        <w:rPr>
          <w:rStyle w:val="normaltextrun"/>
          <w:rFonts w:asciiTheme="majorBidi" w:eastAsiaTheme="majorEastAsia" w:hAnsiTheme="majorBidi" w:cstheme="majorBidi"/>
          <w:color w:val="000000"/>
          <w:sz w:val="22"/>
          <w:szCs w:val="22"/>
          <w:lang w:val="fi-FI"/>
        </w:rPr>
        <w:t>)</w:t>
      </w:r>
      <w:r w:rsidRPr="00ED7E61">
        <w:rPr>
          <w:rStyle w:val="eop"/>
          <w:rFonts w:asciiTheme="majorBidi" w:eastAsiaTheme="majorEastAsia" w:hAnsiTheme="majorBidi" w:cstheme="majorBidi"/>
          <w:color w:val="000000"/>
          <w:sz w:val="22"/>
          <w:szCs w:val="22"/>
          <w:lang w:val="fi-FI"/>
        </w:rPr>
        <w:t> </w:t>
      </w:r>
    </w:p>
    <w:p w14:paraId="01ECE919" w14:textId="0E27CE48" w:rsidR="00756F0F" w:rsidRPr="00ED7E61" w:rsidRDefault="00756F0F" w:rsidP="00745CCE">
      <w:pPr>
        <w:pStyle w:val="paragraph"/>
        <w:spacing w:before="0" w:beforeAutospacing="0" w:after="0" w:afterAutospacing="0"/>
        <w:textAlignment w:val="baseline"/>
        <w:rPr>
          <w:rFonts w:asciiTheme="majorBidi" w:hAnsiTheme="majorBidi" w:cstheme="majorBidi"/>
          <w:sz w:val="22"/>
          <w:szCs w:val="22"/>
          <w:lang w:val="es-ES"/>
        </w:rPr>
      </w:pPr>
      <w:r w:rsidRPr="00ED7E61">
        <w:rPr>
          <w:rStyle w:val="normaltextrun"/>
          <w:rFonts w:asciiTheme="majorBidi" w:eastAsiaTheme="majorEastAsia" w:hAnsiTheme="majorBidi" w:cstheme="majorBidi"/>
          <w:color w:val="000000"/>
          <w:sz w:val="22"/>
          <w:szCs w:val="22"/>
          <w:lang w:val="es-CO"/>
        </w:rPr>
        <w:t>Alicia Mastretta-Yanes (</w:t>
      </w:r>
      <w:sdt>
        <w:sdtPr>
          <w:tag w:val="goog_rdk_88"/>
          <w:id w:val="-673427750"/>
        </w:sdtPr>
        <w:sdtContent>
          <w:r w:rsidR="00745CCE" w:rsidRPr="00745CCE">
            <w:rPr>
              <w:lang w:val="it-IT"/>
            </w:rPr>
            <w:t>A.MastrettaYanes@kew.org</w:t>
          </w:r>
        </w:sdtContent>
      </w:sdt>
      <w:r w:rsidRPr="00ED7E61">
        <w:rPr>
          <w:rStyle w:val="normaltextrun"/>
          <w:rFonts w:asciiTheme="majorBidi" w:eastAsiaTheme="majorEastAsia" w:hAnsiTheme="majorBidi" w:cstheme="majorBidi"/>
          <w:color w:val="000000"/>
          <w:sz w:val="22"/>
          <w:szCs w:val="22"/>
          <w:lang w:val="es-CO"/>
        </w:rPr>
        <w:t>) </w:t>
      </w:r>
      <w:r w:rsidRPr="00ED7E61">
        <w:rPr>
          <w:rStyle w:val="eop"/>
          <w:rFonts w:asciiTheme="majorBidi" w:eastAsiaTheme="majorEastAsia" w:hAnsiTheme="majorBidi" w:cstheme="majorBidi"/>
          <w:color w:val="000000"/>
          <w:sz w:val="22"/>
          <w:szCs w:val="22"/>
          <w:lang w:val="es-ES"/>
        </w:rPr>
        <w:t> </w:t>
      </w:r>
    </w:p>
    <w:p w14:paraId="78B7168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ED7E61">
        <w:rPr>
          <w:rStyle w:val="normaltextrun"/>
          <w:rFonts w:asciiTheme="majorBidi" w:eastAsiaTheme="majorEastAsia" w:hAnsiTheme="majorBidi" w:cstheme="majorBidi"/>
          <w:color w:val="000000"/>
          <w:sz w:val="22"/>
          <w:szCs w:val="22"/>
          <w:lang w:val="es-CO"/>
        </w:rPr>
        <w:t>Jessica da Silva (</w:t>
      </w:r>
      <w:hyperlink r:id="rId155" w:tgtFrame="_blank" w:history="1">
        <w:r w:rsidRPr="00ED7E61">
          <w:rPr>
            <w:rStyle w:val="normaltextrun"/>
            <w:rFonts w:asciiTheme="majorBidi" w:eastAsiaTheme="majorEastAsia" w:hAnsiTheme="majorBidi" w:cstheme="majorBidi"/>
            <w:color w:val="0563C1"/>
            <w:sz w:val="22"/>
            <w:szCs w:val="22"/>
            <w:u w:val="single"/>
            <w:lang w:val="es-CO"/>
          </w:rPr>
          <w:t>J.DaSilva@sanbi.org.za</w:t>
        </w:r>
      </w:hyperlink>
      <w:r w:rsidRPr="00ED7E61">
        <w:rPr>
          <w:rStyle w:val="normaltextrun"/>
          <w:rFonts w:asciiTheme="majorBidi" w:eastAsiaTheme="majorEastAsia" w:hAnsiTheme="majorBidi" w:cstheme="majorBidi"/>
          <w:color w:val="000000"/>
          <w:sz w:val="22"/>
          <w:szCs w:val="22"/>
          <w:lang w:val="es-CO"/>
        </w:rPr>
        <w:t>) </w:t>
      </w:r>
      <w:r w:rsidRPr="00ED7E61">
        <w:rPr>
          <w:rStyle w:val="eop"/>
          <w:rFonts w:asciiTheme="majorBidi" w:eastAsiaTheme="majorEastAsia" w:hAnsiTheme="majorBidi" w:cstheme="majorBidi"/>
          <w:color w:val="000000"/>
          <w:sz w:val="22"/>
          <w:szCs w:val="22"/>
          <w:lang w:val="es-ES"/>
        </w:rPr>
        <w:t> </w:t>
      </w:r>
    </w:p>
    <w:p w14:paraId="22E75C70"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ED7E61">
        <w:rPr>
          <w:rStyle w:val="normaltextrun"/>
          <w:rFonts w:asciiTheme="majorBidi" w:eastAsiaTheme="majorEastAsia" w:hAnsiTheme="majorBidi" w:cstheme="majorBidi"/>
          <w:color w:val="000000"/>
          <w:sz w:val="22"/>
          <w:szCs w:val="22"/>
          <w:lang w:val="fr-FR"/>
        </w:rPr>
        <w:t>GEO BON (</w:t>
      </w:r>
      <w:hyperlink r:id="rId156" w:tgtFrame="_blank" w:history="1">
        <w:r w:rsidRPr="00ED7E61">
          <w:rPr>
            <w:rStyle w:val="normaltextrun"/>
            <w:rFonts w:asciiTheme="majorBidi" w:eastAsiaTheme="majorEastAsia" w:hAnsiTheme="majorBidi" w:cstheme="majorBidi"/>
            <w:color w:val="0563C1"/>
            <w:sz w:val="22"/>
            <w:szCs w:val="22"/>
            <w:u w:val="single"/>
            <w:lang w:val="fr-FR"/>
          </w:rPr>
          <w:t>info@geobon.org</w:t>
        </w:r>
      </w:hyperlink>
      <w:r w:rsidRPr="00ED7E61">
        <w:rPr>
          <w:rStyle w:val="normaltextrun"/>
          <w:rFonts w:asciiTheme="majorBidi" w:eastAsiaTheme="majorEastAsia" w:hAnsiTheme="majorBidi" w:cstheme="majorBidi"/>
          <w:color w:val="000000"/>
          <w:sz w:val="22"/>
          <w:szCs w:val="22"/>
          <w:lang w:val="fr-FR"/>
        </w:rPr>
        <w:t>)</w:t>
      </w:r>
      <w:r w:rsidRPr="00ED7E61">
        <w:rPr>
          <w:rStyle w:val="eop"/>
          <w:rFonts w:asciiTheme="majorBidi" w:eastAsiaTheme="majorEastAsia" w:hAnsiTheme="majorBidi" w:cstheme="majorBidi"/>
          <w:color w:val="000000"/>
          <w:sz w:val="22"/>
          <w:szCs w:val="22"/>
          <w:lang w:val="fr-FR"/>
        </w:rPr>
        <w:t> </w:t>
      </w:r>
    </w:p>
    <w:p w14:paraId="20D1EBC3" w14:textId="77777777" w:rsidR="00756F0F" w:rsidRPr="00ED7E61" w:rsidRDefault="00756F0F" w:rsidP="00B3383B">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11. References</w:t>
      </w:r>
      <w:r w:rsidRPr="00ED7E61">
        <w:rPr>
          <w:rStyle w:val="eop"/>
          <w:rFonts w:asciiTheme="majorBidi" w:eastAsiaTheme="majorEastAsia" w:hAnsiTheme="majorBidi" w:cstheme="majorBidi"/>
          <w:sz w:val="22"/>
          <w:szCs w:val="22"/>
        </w:rPr>
        <w:t> </w:t>
      </w:r>
    </w:p>
    <w:p w14:paraId="304E5EB9" w14:textId="77777777" w:rsidR="00756F0F" w:rsidRPr="00ED7E61"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Relevant background.</w:t>
      </w:r>
      <w:r w:rsidRPr="00ED7E61">
        <w:rPr>
          <w:rStyle w:val="eop"/>
          <w:rFonts w:asciiTheme="majorBidi" w:eastAsiaTheme="majorEastAsia" w:hAnsiTheme="majorBidi" w:cstheme="majorBidi"/>
          <w:sz w:val="22"/>
          <w:szCs w:val="22"/>
        </w:rPr>
        <w:t> </w:t>
      </w:r>
    </w:p>
    <w:p w14:paraId="44764901" w14:textId="50737263"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b/>
          <w:bCs/>
        </w:rPr>
        <w:t> </w:t>
      </w:r>
      <w:r w:rsidRPr="00ED7E61">
        <w:rPr>
          <w:rStyle w:val="normaltextrun"/>
          <w:rFonts w:asciiTheme="majorBidi" w:eastAsiaTheme="majorEastAsia" w:hAnsiTheme="majorBidi" w:cstheme="majorBidi"/>
        </w:rPr>
        <w:t>Hoban et al</w:t>
      </w:r>
      <w:r w:rsidR="00FF0D0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(2023a). Genetic diversity Goals and Targets have </w:t>
      </w:r>
      <w:proofErr w:type="gramStart"/>
      <w:r w:rsidRPr="00ED7E61">
        <w:rPr>
          <w:rStyle w:val="normaltextrun"/>
          <w:rFonts w:asciiTheme="majorBidi" w:eastAsiaTheme="majorEastAsia" w:hAnsiTheme="majorBidi" w:cstheme="majorBidi"/>
        </w:rPr>
        <w:t>improved, but</w:t>
      </w:r>
      <w:proofErr w:type="gramEnd"/>
      <w:r w:rsidRPr="00ED7E61">
        <w:rPr>
          <w:rStyle w:val="normaltextrun"/>
          <w:rFonts w:asciiTheme="majorBidi" w:eastAsiaTheme="majorEastAsia" w:hAnsiTheme="majorBidi" w:cstheme="majorBidi"/>
        </w:rPr>
        <w:t xml:space="preserve"> remain insufficient. Conservation Genetics 24, 181–</w:t>
      </w:r>
      <w:proofErr w:type="gramStart"/>
      <w:r w:rsidRPr="00ED7E61">
        <w:rPr>
          <w:rStyle w:val="normaltextrun"/>
          <w:rFonts w:asciiTheme="majorBidi" w:eastAsiaTheme="majorEastAsia" w:hAnsiTheme="majorBidi" w:cstheme="majorBidi"/>
        </w:rPr>
        <w:t>191..</w:t>
      </w:r>
      <w:proofErr w:type="gramEnd"/>
      <w:r w:rsidRPr="00ED7E61">
        <w:rPr>
          <w:rStyle w:val="normaltextrun"/>
          <w:rFonts w:asciiTheme="majorBidi" w:eastAsiaTheme="majorEastAsia" w:hAnsiTheme="majorBidi" w:cstheme="majorBidi"/>
        </w:rPr>
        <w:t xml:space="preserve"> </w:t>
      </w:r>
      <w:hyperlink r:id="rId157" w:tgtFrame="_blank" w:history="1">
        <w:r w:rsidRPr="00ED7E61">
          <w:rPr>
            <w:rStyle w:val="normaltextrun"/>
            <w:rFonts w:asciiTheme="majorBidi" w:eastAsiaTheme="majorEastAsia" w:hAnsiTheme="majorBidi" w:cstheme="majorBidi"/>
            <w:color w:val="0000FF"/>
          </w:rPr>
          <w:t>https://doi.org/10.1007/s10592-022-01492-0</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762B0F1E" w14:textId="6E641040"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color w:val="000000"/>
        </w:rPr>
        <w:t xml:space="preserve">Hoban, S., Bruford, M., Funk, W.C., </w:t>
      </w:r>
      <w:proofErr w:type="spellStart"/>
      <w:r w:rsidRPr="00ED7E61">
        <w:rPr>
          <w:rStyle w:val="normaltextrun"/>
          <w:rFonts w:asciiTheme="majorBidi" w:eastAsiaTheme="majorEastAsia" w:hAnsiTheme="majorBidi" w:cstheme="majorBidi"/>
          <w:color w:val="000000"/>
        </w:rPr>
        <w:t>Galbusera</w:t>
      </w:r>
      <w:proofErr w:type="spellEnd"/>
      <w:r w:rsidRPr="00ED7E61">
        <w:rPr>
          <w:rStyle w:val="normaltextrun"/>
          <w:rFonts w:asciiTheme="majorBidi" w:eastAsiaTheme="majorEastAsia" w:hAnsiTheme="majorBidi" w:cstheme="majorBidi"/>
          <w:color w:val="000000"/>
        </w:rPr>
        <w:t xml:space="preserve">, P., Griffith, M.P., Grueber, C.E., Heuertz, M., Hunter, M.E., Hvilsom, C., </w:t>
      </w:r>
      <w:proofErr w:type="spellStart"/>
      <w:r w:rsidRPr="00ED7E61">
        <w:rPr>
          <w:rStyle w:val="normaltextrun"/>
          <w:rFonts w:asciiTheme="majorBidi" w:eastAsiaTheme="majorEastAsia" w:hAnsiTheme="majorBidi" w:cstheme="majorBidi"/>
          <w:color w:val="000000"/>
        </w:rPr>
        <w:t>Kalamujic</w:t>
      </w:r>
      <w:proofErr w:type="spellEnd"/>
      <w:r w:rsidRPr="00ED7E61">
        <w:rPr>
          <w:rStyle w:val="normaltextrun"/>
          <w:rFonts w:asciiTheme="majorBidi" w:eastAsiaTheme="majorEastAsia" w:hAnsiTheme="majorBidi" w:cstheme="majorBidi"/>
          <w:color w:val="000000"/>
        </w:rPr>
        <w:t xml:space="preserve">, S.B., Kershaw, F., et al. (2021). Global commitments to conserving and monitoring genetic diversity are now necessary and feasible. </w:t>
      </w:r>
      <w:proofErr w:type="spellStart"/>
      <w:r w:rsidRPr="00ED7E61">
        <w:rPr>
          <w:rStyle w:val="normaltextrun"/>
          <w:rFonts w:asciiTheme="majorBidi" w:eastAsiaTheme="majorEastAsia" w:hAnsiTheme="majorBidi" w:cstheme="majorBidi"/>
          <w:i/>
          <w:iCs/>
          <w:color w:val="000000"/>
        </w:rPr>
        <w:t>BioScience</w:t>
      </w:r>
      <w:proofErr w:type="spellEnd"/>
      <w:r w:rsidRPr="00ED7E61">
        <w:rPr>
          <w:rStyle w:val="normaltextrun"/>
          <w:rFonts w:asciiTheme="majorBidi" w:eastAsiaTheme="majorEastAsia" w:hAnsiTheme="majorBidi" w:cstheme="majorBidi"/>
          <w:color w:val="000000"/>
        </w:rPr>
        <w:t>, 71, 964–976.</w:t>
      </w:r>
      <w:r w:rsidRPr="00ED7E61">
        <w:rPr>
          <w:rStyle w:val="eop"/>
          <w:rFonts w:asciiTheme="majorBidi" w:eastAsiaTheme="majorEastAsia" w:hAnsiTheme="majorBidi" w:cstheme="majorBidi"/>
          <w:color w:val="000000"/>
        </w:rPr>
        <w:t> </w:t>
      </w:r>
    </w:p>
    <w:p w14:paraId="0F40C2D1" w14:textId="2A723FF6"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color w:val="000000"/>
        </w:rPr>
        <w:t xml:space="preserve">Laikre, L., Hohenlohe, P.A., Allendorf, F.W., Bertola, L.D., Breed, M.F., Bruford, M.W., Funk, W.C., Gajardo, G., González-Rodríguez, A., Grueber, C.E., Hedrick, P.W., et al. (2021). Authors’ Reply to Letter to the Editor: Continued improvement to genetic diversity indicator for CBD. </w:t>
      </w:r>
      <w:r w:rsidRPr="00ED7E61">
        <w:rPr>
          <w:rStyle w:val="normaltextrun"/>
          <w:rFonts w:asciiTheme="majorBidi" w:eastAsiaTheme="majorEastAsia" w:hAnsiTheme="majorBidi" w:cstheme="majorBidi"/>
          <w:i/>
          <w:iCs/>
          <w:color w:val="000000"/>
        </w:rPr>
        <w:t>Conservation Genetics</w:t>
      </w:r>
      <w:r w:rsidRPr="00ED7E61">
        <w:rPr>
          <w:rStyle w:val="normaltextrun"/>
          <w:rFonts w:asciiTheme="majorBidi" w:eastAsiaTheme="majorEastAsia" w:hAnsiTheme="majorBidi" w:cstheme="majorBidi"/>
          <w:color w:val="000000"/>
        </w:rPr>
        <w:t xml:space="preserve">,22, 533–536. </w:t>
      </w:r>
      <w:hyperlink r:id="rId158" w:tgtFrame="_blank" w:history="1">
        <w:r w:rsidRPr="00ED7E61">
          <w:rPr>
            <w:rStyle w:val="normaltextrun"/>
            <w:rFonts w:asciiTheme="majorBidi" w:eastAsiaTheme="majorEastAsia" w:hAnsiTheme="majorBidi" w:cstheme="majorBidi"/>
            <w:color w:val="0563C1"/>
            <w:u w:val="single"/>
          </w:rPr>
          <w:t>https://doi.org/10.1007/s10592-021-01359-w</w:t>
        </w:r>
      </w:hyperlink>
      <w:r w:rsidRPr="00ED7E61">
        <w:rPr>
          <w:rStyle w:val="eop"/>
          <w:rFonts w:asciiTheme="majorBidi" w:eastAsiaTheme="majorEastAsia" w:hAnsiTheme="majorBidi" w:cstheme="majorBidi"/>
          <w:color w:val="000000"/>
        </w:rPr>
        <w:t> </w:t>
      </w:r>
    </w:p>
    <w:p w14:paraId="7246D466" w14:textId="77725D80"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color w:val="000000"/>
        </w:rPr>
        <w:t xml:space="preserve">Laikre, L., Nilsson, T., Primmer, C.R., Ryman, N. and Allendorf, F.W. (2009). Importance of genetics in the interpretation of favourable conservation status. </w:t>
      </w:r>
      <w:r w:rsidRPr="00ED7E61">
        <w:rPr>
          <w:rStyle w:val="normaltextrun"/>
          <w:rFonts w:asciiTheme="majorBidi" w:eastAsiaTheme="majorEastAsia" w:hAnsiTheme="majorBidi" w:cstheme="majorBidi"/>
          <w:i/>
          <w:iCs/>
          <w:color w:val="000000"/>
        </w:rPr>
        <w:t>Conservation Biology</w:t>
      </w:r>
      <w:r w:rsidRPr="00ED7E61">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i/>
          <w:iCs/>
          <w:color w:val="000000"/>
        </w:rPr>
        <w:t>23,</w:t>
      </w:r>
      <w:r w:rsidRPr="00ED7E61">
        <w:rPr>
          <w:rStyle w:val="normaltextrun"/>
          <w:rFonts w:asciiTheme="majorBidi" w:eastAsiaTheme="majorEastAsia" w:hAnsiTheme="majorBidi" w:cstheme="majorBidi"/>
          <w:color w:val="000000"/>
        </w:rPr>
        <w:t xml:space="preserve"> 1378-1381.</w:t>
      </w:r>
      <w:r w:rsidRPr="00ED7E61">
        <w:rPr>
          <w:rStyle w:val="eop"/>
          <w:rFonts w:asciiTheme="majorBidi" w:eastAsiaTheme="majorEastAsia" w:hAnsiTheme="majorBidi" w:cstheme="majorBidi"/>
          <w:color w:val="000000"/>
        </w:rPr>
        <w:t> </w:t>
      </w:r>
    </w:p>
    <w:p w14:paraId="16AADBC4" w14:textId="77777777" w:rsidR="00756F0F"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color w:val="000000"/>
        </w:rPr>
        <w:t xml:space="preserve">Frankham, R. (1995). Effective population size/adult population size ratios in wildlife: a review. </w:t>
      </w:r>
      <w:r w:rsidRPr="00ED7E61">
        <w:rPr>
          <w:rStyle w:val="normaltextrun"/>
          <w:rFonts w:asciiTheme="majorBidi" w:eastAsiaTheme="majorEastAsia" w:hAnsiTheme="majorBidi" w:cstheme="majorBidi"/>
          <w:i/>
          <w:iCs/>
          <w:color w:val="000000"/>
        </w:rPr>
        <w:t>Genetic Research</w:t>
      </w:r>
      <w:r w:rsidRPr="00ED7E61">
        <w:rPr>
          <w:rStyle w:val="normaltextrun"/>
          <w:rFonts w:asciiTheme="majorBidi" w:eastAsiaTheme="majorEastAsia" w:hAnsiTheme="majorBidi" w:cstheme="majorBidi"/>
          <w:color w:val="000000"/>
        </w:rPr>
        <w:t>, 66, 95–107.</w:t>
      </w:r>
      <w:r w:rsidRPr="00ED7E61">
        <w:rPr>
          <w:rStyle w:val="eop"/>
          <w:rFonts w:asciiTheme="majorBidi" w:eastAsiaTheme="majorEastAsia" w:hAnsiTheme="majorBidi" w:cstheme="majorBidi"/>
          <w:color w:val="000000"/>
        </w:rPr>
        <w:t> </w:t>
      </w:r>
    </w:p>
    <w:p w14:paraId="33BD9B3C" w14:textId="77777777" w:rsidR="00756F0F" w:rsidRPr="00ED7E61"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GB"/>
        </w:rPr>
        <w:t>Description of the indicator. </w:t>
      </w:r>
      <w:r w:rsidRPr="00ED7E61">
        <w:rPr>
          <w:rStyle w:val="eop"/>
          <w:rFonts w:asciiTheme="majorBidi" w:eastAsiaTheme="majorEastAsia" w:hAnsiTheme="majorBidi" w:cstheme="majorBidi"/>
          <w:color w:val="000000"/>
          <w:sz w:val="22"/>
          <w:szCs w:val="22"/>
        </w:rPr>
        <w:t> </w:t>
      </w:r>
    </w:p>
    <w:p w14:paraId="4E716F72" w14:textId="391DBC21"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color w:val="000000"/>
        </w:rPr>
        <w:t xml:space="preserve">Hoban, S., Paz-Vinas, I., Aitken, S., Bertola, L., Breed, M.F., Bruford, M., Funk, C., Grueber, C., Heuertz, M., Hohenlohe, P., Hunter, M., et al. (2021). Effective population size remains a suitable, pragmatic indicator of genetic diversity for all species, including forest trees. </w:t>
      </w:r>
      <w:r w:rsidRPr="00ED7E61">
        <w:rPr>
          <w:rStyle w:val="normaltextrun"/>
          <w:rFonts w:asciiTheme="majorBidi" w:eastAsiaTheme="majorEastAsia" w:hAnsiTheme="majorBidi" w:cstheme="majorBidi"/>
          <w:i/>
          <w:iCs/>
          <w:color w:val="000000"/>
        </w:rPr>
        <w:t>Biological Conservation</w:t>
      </w:r>
      <w:r w:rsidRPr="00ED7E61">
        <w:rPr>
          <w:rStyle w:val="normaltextrun"/>
          <w:rFonts w:asciiTheme="majorBidi" w:eastAsiaTheme="majorEastAsia" w:hAnsiTheme="majorBidi" w:cstheme="majorBidi"/>
          <w:color w:val="000000"/>
        </w:rPr>
        <w:t>, 253, 108906.</w:t>
      </w:r>
      <w:r w:rsidRPr="00ED7E61">
        <w:rPr>
          <w:rStyle w:val="eop"/>
          <w:rFonts w:asciiTheme="majorBidi" w:eastAsiaTheme="majorEastAsia" w:hAnsiTheme="majorBidi" w:cstheme="majorBidi"/>
          <w:color w:val="000000"/>
        </w:rPr>
        <w:t> </w:t>
      </w:r>
    </w:p>
    <w:p w14:paraId="714061E4" w14:textId="5ACF79E9" w:rsidR="00756F0F" w:rsidRPr="00ED7E61" w:rsidRDefault="00756F0F" w:rsidP="00B3383B">
      <w:pPr>
        <w:pStyle w:val="CBDNormalNumber"/>
        <w:ind w:left="567"/>
        <w:rPr>
          <w:rFonts w:asciiTheme="majorBidi" w:hAnsiTheme="majorBidi" w:cstheme="majorBidi"/>
        </w:rPr>
      </w:pPr>
      <w:r w:rsidRPr="00525F8B">
        <w:rPr>
          <w:rStyle w:val="normaltextrun"/>
          <w:rFonts w:asciiTheme="majorBidi" w:eastAsiaTheme="majorEastAsia" w:hAnsiTheme="majorBidi" w:cstheme="majorBidi"/>
          <w:color w:val="000000"/>
          <w:lang w:val="en-CA"/>
        </w:rPr>
        <w:t xml:space="preserve">Hoban, S., Bruford, M., </w:t>
      </w:r>
      <w:proofErr w:type="spellStart"/>
      <w:r w:rsidRPr="00525F8B">
        <w:rPr>
          <w:rStyle w:val="normaltextrun"/>
          <w:rFonts w:asciiTheme="majorBidi" w:eastAsiaTheme="majorEastAsia" w:hAnsiTheme="majorBidi" w:cstheme="majorBidi"/>
          <w:color w:val="000000"/>
          <w:lang w:val="en-CA"/>
        </w:rPr>
        <w:t>D’Urban</w:t>
      </w:r>
      <w:proofErr w:type="spellEnd"/>
      <w:r w:rsidRPr="00525F8B">
        <w:rPr>
          <w:rStyle w:val="normaltextrun"/>
          <w:rFonts w:asciiTheme="majorBidi" w:eastAsiaTheme="majorEastAsia" w:hAnsiTheme="majorBidi" w:cstheme="majorBidi"/>
          <w:color w:val="000000"/>
          <w:lang w:val="en-CA"/>
        </w:rPr>
        <w:t xml:space="preserve"> Jackson, J., Lopes-Fernandes, M., Heuertz, M., Hohenlohe, P.A., et al. </w:t>
      </w:r>
      <w:r w:rsidRPr="00ED7E61">
        <w:rPr>
          <w:rStyle w:val="normaltextrun"/>
          <w:rFonts w:asciiTheme="majorBidi" w:eastAsiaTheme="majorEastAsia" w:hAnsiTheme="majorBidi" w:cstheme="majorBidi"/>
          <w:color w:val="000000"/>
        </w:rPr>
        <w:t xml:space="preserve">(2020). Genetic diversity targets and indicators in the CBD post-2020 Global Biodiversity </w:t>
      </w:r>
      <w:r w:rsidRPr="00ED7E61">
        <w:rPr>
          <w:rStyle w:val="normaltextrun"/>
          <w:rFonts w:asciiTheme="majorBidi" w:eastAsiaTheme="majorEastAsia" w:hAnsiTheme="majorBidi" w:cstheme="majorBidi"/>
          <w:color w:val="000000"/>
        </w:rPr>
        <w:lastRenderedPageBreak/>
        <w:t>Framework must be improved</w:t>
      </w:r>
      <w:r w:rsidRPr="00ED7E61">
        <w:rPr>
          <w:rStyle w:val="normaltextrun"/>
          <w:rFonts w:asciiTheme="majorBidi" w:eastAsiaTheme="majorEastAsia" w:hAnsiTheme="majorBidi" w:cstheme="majorBidi"/>
          <w:i/>
          <w:iCs/>
          <w:color w:val="000000"/>
        </w:rPr>
        <w:t>. Biological Conservation</w:t>
      </w:r>
      <w:r w:rsidRPr="00ED7E61">
        <w:rPr>
          <w:rStyle w:val="normaltextrun"/>
          <w:rFonts w:asciiTheme="majorBidi" w:eastAsiaTheme="majorEastAsia" w:hAnsiTheme="majorBidi" w:cstheme="majorBidi"/>
          <w:color w:val="000000"/>
        </w:rPr>
        <w:t xml:space="preserve">, 248, 108654. </w:t>
      </w:r>
      <w:hyperlink r:id="rId159" w:tgtFrame="_blank" w:history="1">
        <w:r w:rsidRPr="00ED7E61">
          <w:rPr>
            <w:rStyle w:val="normaltextrun"/>
            <w:rFonts w:asciiTheme="majorBidi" w:eastAsiaTheme="majorEastAsia" w:hAnsiTheme="majorBidi" w:cstheme="majorBidi"/>
            <w:color w:val="000000"/>
          </w:rPr>
          <w:t>https://doi.org/10.1016/j.biocon.2020.108654</w:t>
        </w:r>
      </w:hyperlink>
      <w:r w:rsidRPr="00ED7E61">
        <w:rPr>
          <w:rStyle w:val="eop"/>
          <w:rFonts w:asciiTheme="majorBidi" w:eastAsiaTheme="majorEastAsia" w:hAnsiTheme="majorBidi" w:cstheme="majorBidi"/>
          <w:color w:val="000000"/>
        </w:rPr>
        <w:t> </w:t>
      </w:r>
    </w:p>
    <w:p w14:paraId="4DF8628F" w14:textId="77777777" w:rsidR="00756F0F" w:rsidRPr="00ED7E61"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GB"/>
        </w:rPr>
        <w:t>Resources and guidance, description of methods for indicator deployment.</w:t>
      </w:r>
      <w:r w:rsidRPr="00ED7E61">
        <w:rPr>
          <w:rStyle w:val="normaltextrun"/>
          <w:rFonts w:asciiTheme="majorBidi" w:eastAsiaTheme="majorEastAsia" w:hAnsiTheme="majorBidi" w:cstheme="majorBidi"/>
          <w:color w:val="000000"/>
          <w:sz w:val="22"/>
          <w:szCs w:val="22"/>
          <w:lang w:val="en-GB"/>
        </w:rPr>
        <w:t> </w:t>
      </w:r>
      <w:r w:rsidRPr="00ED7E61">
        <w:rPr>
          <w:rStyle w:val="eop"/>
          <w:rFonts w:asciiTheme="majorBidi" w:eastAsiaTheme="majorEastAsia" w:hAnsiTheme="majorBidi" w:cstheme="majorBidi"/>
          <w:color w:val="000000"/>
          <w:sz w:val="22"/>
          <w:szCs w:val="22"/>
        </w:rPr>
        <w:t> </w:t>
      </w:r>
    </w:p>
    <w:p w14:paraId="648D8471" w14:textId="6152AF3F" w:rsidR="00E51D62" w:rsidRPr="000A3ABD" w:rsidRDefault="00756F0F" w:rsidP="00B3383B">
      <w:pPr>
        <w:pStyle w:val="CBDNormalNumber"/>
        <w:ind w:left="567"/>
        <w:rPr>
          <w:rFonts w:asciiTheme="majorBidi" w:hAnsiTheme="majorBidi" w:cstheme="majorBidi"/>
          <w:lang w:val="en-CA"/>
        </w:rPr>
      </w:pPr>
      <w:r w:rsidRPr="00ED7E61">
        <w:rPr>
          <w:rStyle w:val="normaltextrun"/>
          <w:rFonts w:asciiTheme="majorBidi" w:eastAsiaTheme="majorEastAsia" w:hAnsiTheme="majorBidi" w:cstheme="majorBidi"/>
          <w:color w:val="000000"/>
        </w:rPr>
        <w:t>Hoban et al</w:t>
      </w:r>
      <w:r w:rsidR="00FF0D09">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(2023b). Monitoring status and trends in genetic diversity for the Convention on Biological Diversity: an ongoing assessment of genetic indicators in nine countries. </w:t>
      </w:r>
      <w:r w:rsidRPr="000A3ABD">
        <w:rPr>
          <w:rStyle w:val="normaltextrun"/>
          <w:rFonts w:asciiTheme="majorBidi" w:eastAsiaTheme="majorEastAsia" w:hAnsiTheme="majorBidi" w:cstheme="majorBidi"/>
          <w:color w:val="000000"/>
          <w:lang w:val="en-CA"/>
        </w:rPr>
        <w:t>Conservation Letters 00, e12953. https://doi.org/10.1111/conl.12953 </w:t>
      </w:r>
      <w:r w:rsidRPr="000A3ABD">
        <w:rPr>
          <w:rStyle w:val="eop"/>
          <w:rFonts w:asciiTheme="majorBidi" w:eastAsiaTheme="majorEastAsia" w:hAnsiTheme="majorBidi" w:cstheme="majorBidi"/>
          <w:color w:val="000000"/>
          <w:lang w:val="en-CA"/>
        </w:rPr>
        <w:t> </w:t>
      </w:r>
    </w:p>
    <w:p w14:paraId="50E8EA99" w14:textId="366413E4" w:rsidR="00E51D62" w:rsidRPr="00ED7E61" w:rsidRDefault="007D21A2" w:rsidP="00B3383B">
      <w:pPr>
        <w:pStyle w:val="CBDNormalNumber"/>
        <w:ind w:left="567"/>
        <w:rPr>
          <w:rStyle w:val="normaltextrun"/>
          <w:rFonts w:asciiTheme="majorBidi" w:eastAsiaTheme="majorEastAsia" w:hAnsiTheme="majorBidi" w:cstheme="majorBidi"/>
          <w:color w:val="000000"/>
        </w:rPr>
      </w:pPr>
      <w:r w:rsidRPr="00F53E05">
        <w:rPr>
          <w:rStyle w:val="normaltextrun"/>
          <w:rFonts w:asciiTheme="majorBidi" w:eastAsiaTheme="majorEastAsia" w:hAnsiTheme="majorBidi" w:cstheme="majorBidi"/>
          <w:color w:val="000000"/>
          <w:lang w:val="en-CA"/>
        </w:rPr>
        <w:t xml:space="preserve">Published guidelines: </w:t>
      </w:r>
      <w:proofErr w:type="spellStart"/>
      <w:r w:rsidRPr="00F53E05">
        <w:rPr>
          <w:rStyle w:val="normaltextrun"/>
          <w:rFonts w:asciiTheme="majorBidi" w:eastAsiaTheme="majorEastAsia" w:hAnsiTheme="majorBidi" w:cstheme="majorBidi"/>
          <w:color w:val="000000"/>
          <w:lang w:val="en-CA"/>
        </w:rPr>
        <w:t>Mastretta</w:t>
      </w:r>
      <w:proofErr w:type="spellEnd"/>
      <w:r w:rsidRPr="00F53E05">
        <w:rPr>
          <w:rStyle w:val="normaltextrun"/>
          <w:rFonts w:asciiTheme="majorBidi" w:eastAsiaTheme="majorEastAsia" w:hAnsiTheme="majorBidi" w:cstheme="majorBidi"/>
          <w:color w:val="000000"/>
          <w:lang w:val="en-CA"/>
        </w:rPr>
        <w:t xml:space="preserve">-Yanes et al. </w:t>
      </w:r>
      <w:r w:rsidRPr="00ED7E61">
        <w:rPr>
          <w:rStyle w:val="normaltextrun"/>
          <w:rFonts w:asciiTheme="majorBidi" w:eastAsiaTheme="majorEastAsia" w:hAnsiTheme="majorBidi" w:cstheme="majorBidi"/>
          <w:color w:val="000000"/>
        </w:rPr>
        <w:t xml:space="preserve">(2024) Guideline Materials and Documentation for the Genetic Diversity Indicators of the Monitoring Framework for the Kunming-Montreal Global Biodiversity Framework. Biodiversity Informatics 18. https://doi.org/10.17161/bi.v18i.22332. Online guidelines: </w:t>
      </w:r>
      <w:proofErr w:type="gramStart"/>
      <w:r w:rsidRPr="00ED7E61">
        <w:rPr>
          <w:rStyle w:val="normaltextrun"/>
          <w:rFonts w:asciiTheme="majorBidi" w:eastAsiaTheme="majorEastAsia" w:hAnsiTheme="majorBidi" w:cstheme="majorBidi"/>
          <w:color w:val="000000"/>
        </w:rPr>
        <w:t>https://ccgenetics.github.io/guidelines-genetic-diversity-indicators/ .</w:t>
      </w:r>
      <w:proofErr w:type="gramEnd"/>
      <w:r w:rsidRPr="00ED7E61">
        <w:rPr>
          <w:rStyle w:val="normaltextrun"/>
          <w:rFonts w:asciiTheme="majorBidi" w:eastAsiaTheme="majorEastAsia" w:hAnsiTheme="majorBidi" w:cstheme="majorBidi"/>
          <w:color w:val="000000"/>
        </w:rPr>
        <w:t xml:space="preserve"> </w:t>
      </w:r>
    </w:p>
    <w:p w14:paraId="6500C193" w14:textId="3BF3FDD8"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color w:val="000000"/>
        </w:rPr>
        <w:t>Supporting Information for:  Hoban et al. (2023b) Monitoring status and trends in genetic diversity for the Convention on Biological Diversity: an ongoing assessment of genetic indicators in nine countries. Conservation Letters 00, e12953. https://doi.org/10.1111/conl.12953 </w:t>
      </w:r>
      <w:r w:rsidRPr="00ED7E61">
        <w:rPr>
          <w:rStyle w:val="eop"/>
          <w:rFonts w:asciiTheme="majorBidi" w:eastAsiaTheme="majorEastAsia" w:hAnsiTheme="majorBidi" w:cstheme="majorBidi"/>
          <w:color w:val="000000"/>
        </w:rPr>
        <w:t> </w:t>
      </w:r>
    </w:p>
    <w:p w14:paraId="77AF78BC" w14:textId="183997DF" w:rsidR="00756F0F" w:rsidRDefault="00756F0F" w:rsidP="00B3383B">
      <w:pPr>
        <w:pStyle w:val="CBDNormalNumber"/>
        <w:ind w:left="567"/>
        <w:rPr>
          <w:rStyle w:val="eop"/>
          <w:rFonts w:asciiTheme="majorBidi" w:eastAsiaTheme="majorEastAsia" w:hAnsiTheme="majorBidi" w:cstheme="majorBidi"/>
          <w:color w:val="000000"/>
        </w:rPr>
      </w:pPr>
      <w:r w:rsidRPr="00ED7E61">
        <w:rPr>
          <w:rStyle w:val="normaltextrun"/>
          <w:rFonts w:asciiTheme="majorBidi" w:eastAsiaTheme="majorEastAsia" w:hAnsiTheme="majorBidi" w:cstheme="majorBidi"/>
          <w:color w:val="000000"/>
        </w:rPr>
        <w:t xml:space="preserve">Hoban, S., da Silva, J., Hughes, A., Hunter, M., </w:t>
      </w:r>
      <w:proofErr w:type="spellStart"/>
      <w:r w:rsidRPr="00ED7E61">
        <w:rPr>
          <w:rStyle w:val="normaltextrun"/>
          <w:rFonts w:asciiTheme="majorBidi" w:eastAsiaTheme="majorEastAsia" w:hAnsiTheme="majorBidi" w:cstheme="majorBidi"/>
          <w:color w:val="000000"/>
        </w:rPr>
        <w:t>Stroil</w:t>
      </w:r>
      <w:proofErr w:type="spellEnd"/>
      <w:r w:rsidRPr="00ED7E61">
        <w:rPr>
          <w:rStyle w:val="normaltextrun"/>
          <w:rFonts w:asciiTheme="majorBidi" w:eastAsiaTheme="majorEastAsia" w:hAnsiTheme="majorBidi" w:cstheme="majorBidi"/>
          <w:color w:val="000000"/>
        </w:rPr>
        <w:t xml:space="preserve">, B.K., </w:t>
      </w:r>
      <w:proofErr w:type="spellStart"/>
      <w:r w:rsidRPr="00ED7E61">
        <w:rPr>
          <w:rStyle w:val="normaltextrun"/>
          <w:rFonts w:asciiTheme="majorBidi" w:eastAsiaTheme="majorEastAsia" w:hAnsiTheme="majorBidi" w:cstheme="majorBidi"/>
          <w:color w:val="000000"/>
        </w:rPr>
        <w:t>Laikre</w:t>
      </w:r>
      <w:proofErr w:type="spellEnd"/>
      <w:r w:rsidRPr="00ED7E61">
        <w:rPr>
          <w:rStyle w:val="normaltextrun"/>
          <w:rFonts w:asciiTheme="majorBidi" w:eastAsiaTheme="majorEastAsia" w:hAnsiTheme="majorBidi" w:cstheme="majorBidi"/>
          <w:color w:val="000000"/>
        </w:rPr>
        <w:t xml:space="preserve">, L., Yanes, A.M., Millette, K., Paz-Vinas, I., Ruiz, L. et al. (2023c). Too simple, too complex, or </w:t>
      </w:r>
      <w:proofErr w:type="gramStart"/>
      <w:r w:rsidRPr="00ED7E61">
        <w:rPr>
          <w:rStyle w:val="normaltextrun"/>
          <w:rFonts w:asciiTheme="majorBidi" w:eastAsiaTheme="majorEastAsia" w:hAnsiTheme="majorBidi" w:cstheme="majorBidi"/>
          <w:color w:val="000000"/>
        </w:rPr>
        <w:t>just</w:t>
      </w:r>
      <w:proofErr w:type="gramEnd"/>
      <w:r w:rsidRPr="00ED7E61">
        <w:rPr>
          <w:rStyle w:val="normaltextrun"/>
          <w:rFonts w:asciiTheme="majorBidi" w:eastAsiaTheme="majorEastAsia" w:hAnsiTheme="majorBidi" w:cstheme="majorBidi"/>
          <w:color w:val="000000"/>
        </w:rPr>
        <w:t xml:space="preserve"> right? Advantages, challenges and resolutions for indicators of genetic diversity. </w:t>
      </w:r>
      <w:proofErr w:type="spellStart"/>
      <w:r w:rsidRPr="00ED7E61">
        <w:rPr>
          <w:rStyle w:val="normaltextrun"/>
          <w:rFonts w:asciiTheme="majorBidi" w:eastAsiaTheme="majorEastAsia" w:hAnsiTheme="majorBidi" w:cstheme="majorBidi"/>
          <w:i/>
          <w:iCs/>
          <w:color w:val="000000"/>
        </w:rPr>
        <w:t>Bioarxiv</w:t>
      </w:r>
      <w:proofErr w:type="spellEnd"/>
      <w:r w:rsidRPr="00ED7E61">
        <w:rPr>
          <w:rStyle w:val="normaltextrun"/>
          <w:rFonts w:asciiTheme="majorBidi" w:eastAsiaTheme="majorEastAsia" w:hAnsiTheme="majorBidi" w:cstheme="majorBidi"/>
          <w:i/>
          <w:iCs/>
          <w:color w:val="000000"/>
        </w:rPr>
        <w:t xml:space="preserve"> preprint</w:t>
      </w:r>
      <w:r w:rsidRPr="00ED7E61">
        <w:rPr>
          <w:rStyle w:val="eop"/>
          <w:rFonts w:asciiTheme="majorBidi" w:eastAsiaTheme="majorEastAsia" w:hAnsiTheme="majorBidi" w:cstheme="majorBidi"/>
          <w:color w:val="000000"/>
        </w:rPr>
        <w:t> </w:t>
      </w:r>
    </w:p>
    <w:p w14:paraId="3D70EB4D" w14:textId="77777777" w:rsidR="00DC03DE" w:rsidRPr="00812871" w:rsidRDefault="00DC03DE" w:rsidP="00812871">
      <w:pPr>
        <w:pStyle w:val="CBDNormalNumber"/>
        <w:ind w:left="567"/>
        <w:rPr>
          <w:rFonts w:asciiTheme="majorBidi" w:hAnsiTheme="majorBidi" w:cstheme="majorBidi"/>
          <w:b/>
          <w:bCs/>
        </w:rPr>
      </w:pPr>
      <w:r w:rsidRPr="00812871">
        <w:rPr>
          <w:rFonts w:asciiTheme="majorBidi" w:hAnsiTheme="majorBidi" w:cstheme="majorBidi"/>
          <w:b/>
          <w:bCs/>
        </w:rPr>
        <w:t>Other citations</w:t>
      </w:r>
    </w:p>
    <w:p w14:paraId="2FFFCF67" w14:textId="77777777" w:rsidR="00DC03DE" w:rsidRPr="00DC03DE" w:rsidRDefault="00DC03DE" w:rsidP="00812871">
      <w:pPr>
        <w:pStyle w:val="CBDNormalNumber"/>
        <w:ind w:left="567"/>
        <w:rPr>
          <w:rFonts w:asciiTheme="majorBidi" w:hAnsiTheme="majorBidi" w:cstheme="majorBidi"/>
        </w:rPr>
      </w:pPr>
      <w:r w:rsidRPr="00DC03DE">
        <w:rPr>
          <w:rFonts w:asciiTheme="majorBidi" w:hAnsiTheme="majorBidi" w:cstheme="majorBidi"/>
        </w:rPr>
        <w:t xml:space="preserve">Baillie, J.E.M., Collen, B., Amin, R., </w:t>
      </w:r>
      <w:proofErr w:type="spellStart"/>
      <w:r w:rsidRPr="00DC03DE">
        <w:rPr>
          <w:rFonts w:asciiTheme="majorBidi" w:hAnsiTheme="majorBidi" w:cstheme="majorBidi"/>
        </w:rPr>
        <w:t>Akcakaya</w:t>
      </w:r>
      <w:proofErr w:type="spellEnd"/>
      <w:r w:rsidRPr="00DC03DE">
        <w:rPr>
          <w:rFonts w:asciiTheme="majorBidi" w:hAnsiTheme="majorBidi" w:cstheme="majorBidi"/>
        </w:rPr>
        <w:t>, H.R., Butchart, S.H.M., Brummitt, N., Meagher, T.R., Ram, M., Hilton-Taylor, C. Mace, G.M. 2008. Toward monitoring global biodiversity. Conservation Letters 1: 18-26</w:t>
      </w:r>
    </w:p>
    <w:p w14:paraId="03C46183" w14:textId="77777777" w:rsidR="00DC03DE" w:rsidRPr="00812871" w:rsidRDefault="00DC03DE" w:rsidP="00812871">
      <w:pPr>
        <w:pStyle w:val="CBDNormalNumber"/>
        <w:ind w:left="567"/>
        <w:rPr>
          <w:rFonts w:asciiTheme="majorBidi" w:hAnsiTheme="majorBidi" w:cstheme="majorBidi"/>
          <w:lang w:val="fr-FR"/>
        </w:rPr>
      </w:pPr>
      <w:r w:rsidRPr="00DC03DE">
        <w:rPr>
          <w:rFonts w:asciiTheme="majorBidi" w:hAnsiTheme="majorBidi" w:cstheme="majorBidi"/>
        </w:rPr>
        <w:t xml:space="preserve">Bubb, P. (2009) IUCN Red List index: guidance for national and regional use. </w:t>
      </w:r>
      <w:r w:rsidRPr="00812871">
        <w:rPr>
          <w:rFonts w:asciiTheme="majorBidi" w:hAnsiTheme="majorBidi" w:cstheme="majorBidi"/>
          <w:lang w:val="fr-FR"/>
        </w:rPr>
        <w:t xml:space="preserve">Version 1.1. https://www.iucn.org/resources/publication/iucn-red-list-index-guidance-national-and-regional-use-version-11 </w:t>
      </w:r>
    </w:p>
    <w:p w14:paraId="1FDD8FD2" w14:textId="77777777" w:rsidR="00DC03DE" w:rsidRPr="00DC03DE" w:rsidRDefault="00DC03DE" w:rsidP="00812871">
      <w:pPr>
        <w:pStyle w:val="CBDNormalNumber"/>
        <w:ind w:left="567"/>
        <w:rPr>
          <w:rFonts w:asciiTheme="majorBidi" w:hAnsiTheme="majorBidi" w:cstheme="majorBidi"/>
        </w:rPr>
      </w:pPr>
      <w:r w:rsidRPr="00DC03DE">
        <w:rPr>
          <w:rFonts w:asciiTheme="majorBidi" w:hAnsiTheme="majorBidi" w:cstheme="majorBidi"/>
        </w:rPr>
        <w:t xml:space="preserve">Do, C., Waples, R.S., Peel, D., Macbeth, G.M., Tillett, B.J., Ovenden, J.R. </w:t>
      </w:r>
      <w:proofErr w:type="spellStart"/>
      <w:r w:rsidRPr="00DC03DE">
        <w:rPr>
          <w:rFonts w:asciiTheme="majorBidi" w:hAnsiTheme="majorBidi" w:cstheme="majorBidi"/>
        </w:rPr>
        <w:t>NeEstimator</w:t>
      </w:r>
      <w:proofErr w:type="spellEnd"/>
      <w:r w:rsidRPr="00DC03DE">
        <w:rPr>
          <w:rFonts w:asciiTheme="majorBidi" w:hAnsiTheme="majorBidi" w:cstheme="majorBidi"/>
        </w:rPr>
        <w:t xml:space="preserve"> v2: re-implementation of software for the estimation of contemporary effective population size (</w:t>
      </w:r>
      <w:proofErr w:type="gramStart"/>
      <w:r w:rsidRPr="00DC03DE">
        <w:rPr>
          <w:rFonts w:asciiTheme="majorBidi" w:hAnsiTheme="majorBidi" w:cstheme="majorBidi"/>
        </w:rPr>
        <w:t>Ne )</w:t>
      </w:r>
      <w:proofErr w:type="gramEnd"/>
      <w:r w:rsidRPr="00DC03DE">
        <w:rPr>
          <w:rFonts w:asciiTheme="majorBidi" w:hAnsiTheme="majorBidi" w:cstheme="majorBidi"/>
        </w:rPr>
        <w:t xml:space="preserve"> from genetic data. Molecular Ecology Resources 14:209-214. https://doi.org/10.1111/1755-0998.12157</w:t>
      </w:r>
    </w:p>
    <w:p w14:paraId="11E32BBB" w14:textId="77777777" w:rsidR="00DC03DE" w:rsidRPr="00DC03DE" w:rsidRDefault="00DC03DE" w:rsidP="00812871">
      <w:pPr>
        <w:pStyle w:val="CBDNormalNumber"/>
        <w:ind w:left="567"/>
        <w:rPr>
          <w:rFonts w:asciiTheme="majorBidi" w:hAnsiTheme="majorBidi" w:cstheme="majorBidi"/>
        </w:rPr>
      </w:pPr>
      <w:r w:rsidRPr="00EB6805">
        <w:rPr>
          <w:rFonts w:asciiTheme="majorBidi" w:hAnsiTheme="majorBidi" w:cstheme="majorBidi"/>
        </w:rPr>
        <w:t xml:space="preserve">Hébert, K., </w:t>
      </w:r>
      <w:proofErr w:type="spellStart"/>
      <w:r w:rsidRPr="00EB6805">
        <w:rPr>
          <w:rFonts w:asciiTheme="majorBidi" w:hAnsiTheme="majorBidi" w:cstheme="majorBidi"/>
        </w:rPr>
        <w:t>Jousse</w:t>
      </w:r>
      <w:proofErr w:type="spellEnd"/>
      <w:r w:rsidRPr="00EB6805">
        <w:rPr>
          <w:rFonts w:asciiTheme="majorBidi" w:hAnsiTheme="majorBidi" w:cstheme="majorBidi"/>
        </w:rPr>
        <w:t xml:space="preserve">, M., Serrano, J., Karger, D.N., Blanchet, F.G., Pollock, L.J. (2025). </w:t>
      </w:r>
      <w:r w:rsidRPr="00DC03DE">
        <w:rPr>
          <w:rFonts w:asciiTheme="majorBidi" w:hAnsiTheme="majorBidi" w:cstheme="majorBidi"/>
        </w:rPr>
        <w:t>Five recommendations to fill the blank space in indicators at local and short-term scales. Biological Conservation 302, 111007. https://doi.org/10.1016/j.biocon.2025.111007</w:t>
      </w:r>
    </w:p>
    <w:p w14:paraId="53116080" w14:textId="77777777" w:rsidR="00DC03DE" w:rsidRPr="00DC03DE" w:rsidRDefault="00DC03DE" w:rsidP="00812871">
      <w:pPr>
        <w:pStyle w:val="CBDNormalNumber"/>
        <w:ind w:left="567"/>
        <w:rPr>
          <w:rFonts w:asciiTheme="majorBidi" w:hAnsiTheme="majorBidi" w:cstheme="majorBidi"/>
        </w:rPr>
      </w:pPr>
      <w:r w:rsidRPr="00DC03DE">
        <w:rPr>
          <w:rFonts w:asciiTheme="majorBidi" w:hAnsiTheme="majorBidi" w:cstheme="majorBidi"/>
        </w:rPr>
        <w:t xml:space="preserve">Hvilsom, C., </w:t>
      </w:r>
      <w:proofErr w:type="spellStart"/>
      <w:r w:rsidRPr="00DC03DE">
        <w:rPr>
          <w:rFonts w:asciiTheme="majorBidi" w:hAnsiTheme="majorBidi" w:cstheme="majorBidi"/>
        </w:rPr>
        <w:t>Segelbacher</w:t>
      </w:r>
      <w:proofErr w:type="spellEnd"/>
      <w:r w:rsidRPr="00DC03DE">
        <w:rPr>
          <w:rFonts w:asciiTheme="majorBidi" w:hAnsiTheme="majorBidi" w:cstheme="majorBidi"/>
        </w:rPr>
        <w:t>, G., Ekblom, R., Fischer, M.C., Laikre, L., Leus, K., O´Brien, D., Shaw, R. and Sork, V. (2022). Selecting species and populations for monitoring of genetic diversity. Gland, Switzerland: IUCN.</w:t>
      </w:r>
    </w:p>
    <w:p w14:paraId="5CAFF7D9" w14:textId="77777777" w:rsidR="00DC03DE" w:rsidRPr="00DC03DE" w:rsidRDefault="00DC03DE" w:rsidP="00812871">
      <w:pPr>
        <w:pStyle w:val="CBDNormalNumber"/>
        <w:ind w:left="567"/>
        <w:rPr>
          <w:rFonts w:asciiTheme="majorBidi" w:hAnsiTheme="majorBidi" w:cstheme="majorBidi"/>
        </w:rPr>
      </w:pPr>
      <w:r w:rsidRPr="00DC03DE">
        <w:rPr>
          <w:rFonts w:asciiTheme="majorBidi" w:hAnsiTheme="majorBidi" w:cstheme="majorBidi"/>
        </w:rPr>
        <w:t xml:space="preserve">Leroy, G., Mary-Huard, T., Verrier, E., </w:t>
      </w:r>
      <w:proofErr w:type="spellStart"/>
      <w:r w:rsidRPr="00DC03DE">
        <w:rPr>
          <w:rFonts w:asciiTheme="majorBidi" w:hAnsiTheme="majorBidi" w:cstheme="majorBidi"/>
        </w:rPr>
        <w:t>Danvy</w:t>
      </w:r>
      <w:proofErr w:type="spellEnd"/>
      <w:r w:rsidRPr="00DC03DE">
        <w:rPr>
          <w:rFonts w:asciiTheme="majorBidi" w:hAnsiTheme="majorBidi" w:cstheme="majorBidi"/>
        </w:rPr>
        <w:t xml:space="preserve">, S., </w:t>
      </w:r>
      <w:proofErr w:type="spellStart"/>
      <w:r w:rsidRPr="00DC03DE">
        <w:rPr>
          <w:rFonts w:asciiTheme="majorBidi" w:hAnsiTheme="majorBidi" w:cstheme="majorBidi"/>
        </w:rPr>
        <w:t>Charvolin</w:t>
      </w:r>
      <w:proofErr w:type="spellEnd"/>
      <w:r w:rsidRPr="00DC03DE">
        <w:rPr>
          <w:rFonts w:asciiTheme="majorBidi" w:hAnsiTheme="majorBidi" w:cstheme="majorBidi"/>
        </w:rPr>
        <w:t xml:space="preserve">, E., </w:t>
      </w:r>
      <w:proofErr w:type="spellStart"/>
      <w:r w:rsidRPr="00DC03DE">
        <w:rPr>
          <w:rFonts w:asciiTheme="majorBidi" w:hAnsiTheme="majorBidi" w:cstheme="majorBidi"/>
        </w:rPr>
        <w:t>Danchin</w:t>
      </w:r>
      <w:proofErr w:type="spellEnd"/>
      <w:r w:rsidRPr="00DC03DE">
        <w:rPr>
          <w:rFonts w:asciiTheme="majorBidi" w:hAnsiTheme="majorBidi" w:cstheme="majorBidi"/>
        </w:rPr>
        <w:t xml:space="preserve">-Burge, C. (2013) Methods to estimate effective population size using pedigree data: Examples in dog, sheep, cattle and horse. Genetics Selection Evolution 45:1. https://doi.org/10.1186/1297-9686-45-1 </w:t>
      </w:r>
    </w:p>
    <w:p w14:paraId="65C42881" w14:textId="77777777" w:rsidR="00DC03DE" w:rsidRPr="00DC03DE" w:rsidRDefault="00DC03DE" w:rsidP="00812871">
      <w:pPr>
        <w:pStyle w:val="CBDNormalNumber"/>
        <w:ind w:left="567"/>
        <w:rPr>
          <w:rFonts w:asciiTheme="majorBidi" w:hAnsiTheme="majorBidi" w:cstheme="majorBidi"/>
        </w:rPr>
      </w:pPr>
      <w:r w:rsidRPr="00DC03DE">
        <w:rPr>
          <w:rFonts w:asciiTheme="majorBidi" w:hAnsiTheme="majorBidi" w:cstheme="majorBidi"/>
        </w:rPr>
        <w:t xml:space="preserve">Waples, R.S. (2024) The Ne/Nc ratio in applied conservation. Evolutionary Applications </w:t>
      </w:r>
      <w:proofErr w:type="gramStart"/>
      <w:r w:rsidRPr="00DC03DE">
        <w:rPr>
          <w:rFonts w:asciiTheme="majorBidi" w:hAnsiTheme="majorBidi" w:cstheme="majorBidi"/>
        </w:rPr>
        <w:t>17:e</w:t>
      </w:r>
      <w:proofErr w:type="gramEnd"/>
      <w:r w:rsidRPr="00DC03DE">
        <w:rPr>
          <w:rFonts w:asciiTheme="majorBidi" w:hAnsiTheme="majorBidi" w:cstheme="majorBidi"/>
        </w:rPr>
        <w:t xml:space="preserve">13695. https://doi.org/10.1111/eva.13695 </w:t>
      </w:r>
    </w:p>
    <w:p w14:paraId="64B61F41" w14:textId="3152D38D" w:rsidR="00DC03DE" w:rsidRPr="00ED7E61" w:rsidRDefault="00DC03DE" w:rsidP="00DC03DE">
      <w:pPr>
        <w:pStyle w:val="CBDNormalNumber"/>
        <w:ind w:left="567"/>
        <w:rPr>
          <w:rFonts w:asciiTheme="majorBidi" w:hAnsiTheme="majorBidi" w:cstheme="majorBidi"/>
        </w:rPr>
      </w:pPr>
      <w:r w:rsidRPr="00DC03DE">
        <w:rPr>
          <w:rFonts w:asciiTheme="majorBidi" w:hAnsiTheme="majorBidi" w:cstheme="majorBidi"/>
        </w:rPr>
        <w:t>Waples, R.S. (2005) Genetic estimates of contemporary effective population size: to what time periods do the estimates apply? Molecular Ecology 14:3335-3352. https://doi.org/10.1111/j.1365-294X.2005.02673.x</w:t>
      </w:r>
    </w:p>
    <w:p w14:paraId="21B7ABB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12. Graphs and diagrams</w:t>
      </w:r>
      <w:r w:rsidRPr="00ED7E61">
        <w:rPr>
          <w:rStyle w:val="eop"/>
          <w:rFonts w:asciiTheme="majorBidi" w:eastAsiaTheme="majorEastAsia" w:hAnsiTheme="majorBidi" w:cstheme="majorBidi"/>
          <w:sz w:val="22"/>
          <w:szCs w:val="22"/>
        </w:rPr>
        <w:t> </w:t>
      </w:r>
    </w:p>
    <w:p w14:paraId="1E42BEFB" w14:textId="1A5E0F2E" w:rsidR="00756F0F" w:rsidRPr="00ED7E61" w:rsidRDefault="00756F0F" w:rsidP="00395866">
      <w:pPr>
        <w:shd w:val="clear" w:color="auto" w:fill="FFFFFF"/>
        <w:rPr>
          <w:rFonts w:asciiTheme="majorBidi" w:hAnsiTheme="majorBidi" w:cstheme="majorBidi"/>
          <w:color w:val="000000"/>
          <w:sz w:val="22"/>
          <w:szCs w:val="22"/>
        </w:rPr>
      </w:pPr>
    </w:p>
    <w:p w14:paraId="59CABF37" w14:textId="28FD8FDC" w:rsidR="00956C65" w:rsidRPr="00ED7E61" w:rsidRDefault="00956C65" w:rsidP="00395866">
      <w:pPr>
        <w:pStyle w:val="paragraph"/>
        <w:spacing w:before="0" w:beforeAutospacing="0" w:after="0" w:afterAutospacing="0"/>
        <w:textAlignment w:val="baseline"/>
        <w:rPr>
          <w:rFonts w:asciiTheme="majorBidi" w:hAnsiTheme="majorBidi" w:cstheme="majorBidi"/>
          <w:sz w:val="22"/>
          <w:szCs w:val="22"/>
        </w:rPr>
      </w:pPr>
    </w:p>
    <w:p w14:paraId="355A022E" w14:textId="77777777" w:rsidR="009A563F" w:rsidRPr="00ED7E61" w:rsidRDefault="007D21A2" w:rsidP="007D21A2">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ED7E61">
        <w:rPr>
          <w:noProof/>
          <w:sz w:val="22"/>
          <w:szCs w:val="22"/>
          <w:lang w:val="fr-FR" w:eastAsia="fr-FR"/>
        </w:rPr>
        <w:lastRenderedPageBreak/>
        <w:drawing>
          <wp:inline distT="114300" distB="114300" distL="114300" distR="114300" wp14:anchorId="728E84D9" wp14:editId="608B6806">
            <wp:extent cx="3745149" cy="3579778"/>
            <wp:effectExtent l="0" t="0" r="1905" b="1905"/>
            <wp:docPr id="41" name="image10.png" descr="A diagram of a map with different colored trees&#10;&#10;Description automatically generated"/>
            <wp:cNvGraphicFramePr/>
            <a:graphic xmlns:a="http://schemas.openxmlformats.org/drawingml/2006/main">
              <a:graphicData uri="http://schemas.openxmlformats.org/drawingml/2006/picture">
                <pic:pic xmlns:pic="http://schemas.openxmlformats.org/drawingml/2006/picture">
                  <pic:nvPicPr>
                    <pic:cNvPr id="41" name="image10.png" descr="A diagram of a map with different colored trees&#10;&#10;Description automatically generated"/>
                    <pic:cNvPicPr preferRelativeResize="0"/>
                  </pic:nvPicPr>
                  <pic:blipFill>
                    <a:blip r:embed="rId160"/>
                    <a:srcRect/>
                    <a:stretch>
                      <a:fillRect/>
                    </a:stretch>
                  </pic:blipFill>
                  <pic:spPr>
                    <a:xfrm>
                      <a:off x="0" y="0"/>
                      <a:ext cx="3753338" cy="3587606"/>
                    </a:xfrm>
                    <a:prstGeom prst="rect">
                      <a:avLst/>
                    </a:prstGeom>
                    <a:ln/>
                  </pic:spPr>
                </pic:pic>
              </a:graphicData>
            </a:graphic>
          </wp:inline>
        </w:drawing>
      </w:r>
    </w:p>
    <w:p w14:paraId="658A1D91" w14:textId="3769FC9D" w:rsidR="007D21A2" w:rsidRPr="00B3383B" w:rsidRDefault="007D21A2" w:rsidP="007D21A2">
      <w:pPr>
        <w:pStyle w:val="paragraph"/>
        <w:spacing w:before="0" w:beforeAutospacing="0" w:after="0" w:afterAutospacing="0"/>
        <w:textAlignment w:val="baseline"/>
        <w:rPr>
          <w:rFonts w:asciiTheme="majorBidi" w:hAnsiTheme="majorBidi" w:cstheme="majorBidi"/>
          <w:i/>
          <w:iCs/>
          <w:sz w:val="22"/>
          <w:szCs w:val="22"/>
        </w:rPr>
      </w:pPr>
      <w:r w:rsidRPr="00ED7E61">
        <w:rPr>
          <w:rStyle w:val="normaltextrun"/>
          <w:rFonts w:asciiTheme="majorBidi" w:eastAsiaTheme="majorEastAsia" w:hAnsiTheme="majorBidi" w:cstheme="majorBidi"/>
          <w:sz w:val="22"/>
          <w:szCs w:val="22"/>
          <w:lang w:val="en-GB"/>
        </w:rPr>
        <w:t xml:space="preserve">Figure </w:t>
      </w:r>
      <w:r w:rsidR="00FB33CD">
        <w:rPr>
          <w:rStyle w:val="normaltextrun"/>
          <w:rFonts w:asciiTheme="majorBidi" w:eastAsiaTheme="majorEastAsia" w:hAnsiTheme="majorBidi" w:cstheme="majorBidi"/>
          <w:sz w:val="22"/>
          <w:szCs w:val="22"/>
          <w:lang w:val="en-GB"/>
        </w:rPr>
        <w:t>I</w:t>
      </w:r>
      <w:r w:rsidRPr="00ED7E61">
        <w:rPr>
          <w:rStyle w:val="normaltextrun"/>
          <w:rFonts w:asciiTheme="majorBidi" w:eastAsiaTheme="majorEastAsia" w:hAnsiTheme="majorBidi" w:cstheme="majorBidi"/>
          <w:sz w:val="22"/>
          <w:szCs w:val="22"/>
          <w:lang w:val="en-GB"/>
        </w:rPr>
        <w:t xml:space="preserve">. </w:t>
      </w:r>
      <w:r w:rsidR="0096790B">
        <w:rPr>
          <w:rStyle w:val="normaltextrun"/>
          <w:rFonts w:asciiTheme="majorBidi" w:eastAsiaTheme="majorEastAsia" w:hAnsiTheme="majorBidi" w:cstheme="majorBidi"/>
          <w:sz w:val="22"/>
          <w:szCs w:val="22"/>
          <w:lang w:val="en-GB"/>
        </w:rPr>
        <w:br/>
      </w:r>
      <w:r w:rsidRPr="00B3383B">
        <w:rPr>
          <w:rStyle w:val="normaltextrun"/>
          <w:rFonts w:asciiTheme="majorBidi" w:eastAsiaTheme="majorEastAsia" w:hAnsiTheme="majorBidi" w:cstheme="majorBidi"/>
          <w:b/>
          <w:bCs/>
          <w:sz w:val="22"/>
          <w:szCs w:val="22"/>
          <w:lang w:val="en-GB"/>
        </w:rPr>
        <w:t>Example of the three genetic diversity indicators, for four hypothetical populations in Illinois, USA</w:t>
      </w:r>
      <w:r w:rsidRPr="00ED7E61">
        <w:rPr>
          <w:rStyle w:val="normaltextrun"/>
          <w:rFonts w:asciiTheme="majorBidi" w:eastAsiaTheme="majorEastAsia" w:hAnsiTheme="majorBidi" w:cstheme="majorBidi"/>
          <w:sz w:val="22"/>
          <w:szCs w:val="22"/>
          <w:lang w:val="en-GB"/>
        </w:rPr>
        <w:t xml:space="preserve">. </w:t>
      </w:r>
      <w:r w:rsidRPr="00B3383B">
        <w:rPr>
          <w:rStyle w:val="normaltextrun"/>
          <w:rFonts w:asciiTheme="majorBidi" w:eastAsiaTheme="majorEastAsia" w:hAnsiTheme="majorBidi" w:cstheme="majorBidi"/>
          <w:i/>
          <w:iCs/>
          <w:sz w:val="22"/>
          <w:szCs w:val="22"/>
          <w:lang w:val="en-GB"/>
        </w:rPr>
        <w:t xml:space="preserve">One tree = 1,000 plants (five trees = 5,000 plants). </w:t>
      </w:r>
      <w:proofErr w:type="spellStart"/>
      <w:r w:rsidRPr="00B3383B">
        <w:rPr>
          <w:rStyle w:val="normaltextrun"/>
          <w:rFonts w:asciiTheme="majorBidi" w:eastAsiaTheme="majorEastAsia" w:hAnsiTheme="majorBidi" w:cstheme="majorBidi"/>
          <w:i/>
          <w:iCs/>
          <w:sz w:val="22"/>
          <w:szCs w:val="22"/>
          <w:lang w:val="en-GB"/>
        </w:rPr>
        <w:t>Colors</w:t>
      </w:r>
      <w:proofErr w:type="spellEnd"/>
      <w:r w:rsidRPr="00B3383B">
        <w:rPr>
          <w:rStyle w:val="normaltextrun"/>
          <w:rFonts w:asciiTheme="majorBidi" w:eastAsiaTheme="majorEastAsia" w:hAnsiTheme="majorBidi" w:cstheme="majorBidi"/>
          <w:i/>
          <w:iCs/>
          <w:sz w:val="22"/>
          <w:szCs w:val="22"/>
          <w:lang w:val="en-GB"/>
        </w:rPr>
        <w:t xml:space="preserve"> illustrate genetic variation within and among populations. Baseline monitoring occurred in 2010, with the species represented by 4 populations. In 2020, 1 of 4 extant populations has </w:t>
      </w:r>
      <w:r w:rsidRPr="0096790B">
        <w:rPr>
          <w:rStyle w:val="normaltextrun"/>
          <w:rFonts w:asciiTheme="majorBidi" w:eastAsiaTheme="majorEastAsia" w:hAnsiTheme="majorBidi" w:cstheme="majorBidi"/>
          <w:i/>
          <w:iCs/>
          <w:sz w:val="22"/>
          <w:szCs w:val="22"/>
          <w:lang w:val="en-GB"/>
        </w:rPr>
        <w:t>N</w:t>
      </w:r>
      <w:r w:rsidRPr="0096790B">
        <w:rPr>
          <w:rStyle w:val="normaltextrun"/>
          <w:rFonts w:asciiTheme="majorBidi" w:eastAsiaTheme="majorEastAsia" w:hAnsiTheme="majorBidi" w:cstheme="majorBidi"/>
          <w:i/>
          <w:iCs/>
          <w:sz w:val="22"/>
          <w:szCs w:val="22"/>
          <w:vertAlign w:val="subscript"/>
          <w:lang w:val="en-GB"/>
        </w:rPr>
        <w:t>c</w:t>
      </w:r>
      <w:r w:rsidRPr="00B3383B">
        <w:rPr>
          <w:rStyle w:val="normaltextrun"/>
          <w:rFonts w:asciiTheme="majorBidi" w:eastAsiaTheme="majorEastAsia" w:hAnsiTheme="majorBidi" w:cstheme="majorBidi"/>
          <w:i/>
          <w:iCs/>
          <w:sz w:val="22"/>
          <w:szCs w:val="22"/>
          <w:lang w:val="en-GB"/>
        </w:rPr>
        <w:t xml:space="preserve"> &gt; 5,000 (</w:t>
      </w:r>
      <w:r w:rsidRPr="0096790B">
        <w:rPr>
          <w:rStyle w:val="normaltextrun"/>
          <w:rFonts w:asciiTheme="majorBidi" w:eastAsiaTheme="majorEastAsia" w:hAnsiTheme="majorBidi" w:cstheme="majorBidi"/>
          <w:i/>
          <w:iCs/>
          <w:sz w:val="22"/>
          <w:szCs w:val="22"/>
          <w:lang w:val="en-GB"/>
        </w:rPr>
        <w:t>N</w:t>
      </w:r>
      <w:r w:rsidRPr="0096790B">
        <w:rPr>
          <w:rStyle w:val="normaltextrun"/>
          <w:rFonts w:asciiTheme="majorBidi" w:eastAsiaTheme="majorEastAsia" w:hAnsiTheme="majorBidi" w:cstheme="majorBidi"/>
          <w:i/>
          <w:iCs/>
          <w:sz w:val="22"/>
          <w:szCs w:val="22"/>
          <w:vertAlign w:val="subscript"/>
          <w:lang w:val="en-GB"/>
        </w:rPr>
        <w:t>e</w:t>
      </w:r>
      <w:r w:rsidRPr="00B3383B">
        <w:rPr>
          <w:rStyle w:val="normaltextrun"/>
          <w:rFonts w:asciiTheme="majorBidi" w:eastAsiaTheme="majorEastAsia" w:hAnsiTheme="majorBidi" w:cstheme="majorBidi"/>
          <w:i/>
          <w:iCs/>
          <w:sz w:val="22"/>
          <w:szCs w:val="22"/>
          <w:lang w:val="en-GB"/>
        </w:rPr>
        <w:t xml:space="preserve">&gt;500 considering an effective to census size ratio of </w:t>
      </w:r>
      <w:r w:rsidRPr="0096790B">
        <w:rPr>
          <w:rStyle w:val="normaltextrun"/>
          <w:rFonts w:asciiTheme="majorBidi" w:eastAsiaTheme="majorEastAsia" w:hAnsiTheme="majorBidi" w:cstheme="majorBidi"/>
          <w:i/>
          <w:iCs/>
          <w:sz w:val="22"/>
          <w:szCs w:val="22"/>
          <w:lang w:val="en-GB"/>
        </w:rPr>
        <w:t>N</w:t>
      </w:r>
      <w:r w:rsidRPr="0096790B">
        <w:rPr>
          <w:rStyle w:val="normaltextrun"/>
          <w:rFonts w:asciiTheme="majorBidi" w:eastAsiaTheme="majorEastAsia" w:hAnsiTheme="majorBidi" w:cstheme="majorBidi"/>
          <w:i/>
          <w:iCs/>
          <w:sz w:val="22"/>
          <w:szCs w:val="22"/>
          <w:vertAlign w:val="subscript"/>
          <w:lang w:val="en-GB"/>
        </w:rPr>
        <w:t>e</w:t>
      </w:r>
      <w:r w:rsidRPr="0096790B">
        <w:rPr>
          <w:rStyle w:val="normaltextrun"/>
          <w:rFonts w:asciiTheme="majorBidi" w:eastAsiaTheme="majorEastAsia" w:hAnsiTheme="majorBidi" w:cstheme="majorBidi"/>
          <w:i/>
          <w:iCs/>
          <w:sz w:val="22"/>
          <w:szCs w:val="22"/>
          <w:lang w:val="en-GB"/>
        </w:rPr>
        <w:t>/N</w:t>
      </w:r>
      <w:r w:rsidRPr="0096790B">
        <w:rPr>
          <w:rStyle w:val="normaltextrun"/>
          <w:rFonts w:asciiTheme="majorBidi" w:eastAsiaTheme="majorEastAsia" w:hAnsiTheme="majorBidi" w:cstheme="majorBidi"/>
          <w:i/>
          <w:iCs/>
          <w:sz w:val="22"/>
          <w:szCs w:val="22"/>
          <w:vertAlign w:val="subscript"/>
          <w:lang w:val="en-GB"/>
        </w:rPr>
        <w:t>c</w:t>
      </w:r>
      <w:r w:rsidRPr="00B3383B">
        <w:rPr>
          <w:rStyle w:val="normaltextrun"/>
          <w:rFonts w:asciiTheme="majorBidi" w:eastAsiaTheme="majorEastAsia" w:hAnsiTheme="majorBidi" w:cstheme="majorBidi"/>
          <w:i/>
          <w:iCs/>
          <w:sz w:val="22"/>
          <w:szCs w:val="22"/>
          <w:lang w:val="en-GB"/>
        </w:rPr>
        <w:t xml:space="preserve"> = 0.1) and thus large enough to maintain genetic diversity (indicator 1). Note that one population recently became extinct and was considered to have an Ne = 0. Three of four populations are maintained (indicator 2). DNA-based methods have been used to monitor genetic diversity in two populations (indicator 3 - a value of 1 means that one or more populations of the species is monitored with DNA-based methods).</w:t>
      </w:r>
      <w:r w:rsidRPr="00B3383B">
        <w:rPr>
          <w:rStyle w:val="eop"/>
          <w:rFonts w:asciiTheme="majorBidi" w:eastAsiaTheme="majorEastAsia" w:hAnsiTheme="majorBidi" w:cstheme="majorBidi"/>
          <w:i/>
          <w:iCs/>
          <w:sz w:val="22"/>
          <w:szCs w:val="22"/>
        </w:rPr>
        <w:t> </w:t>
      </w:r>
    </w:p>
    <w:p w14:paraId="521680E3" w14:textId="7F2AAF36" w:rsidR="00956C65" w:rsidRPr="00ED7E61" w:rsidRDefault="00956C65"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445B717C" w14:textId="232D1BF2" w:rsidR="00956C65" w:rsidRPr="00B3383B" w:rsidRDefault="00956C65" w:rsidP="00395866">
      <w:pPr>
        <w:pStyle w:val="paragraph"/>
        <w:spacing w:before="0" w:beforeAutospacing="0" w:after="0" w:afterAutospacing="0"/>
        <w:textAlignment w:val="baseline"/>
        <w:rPr>
          <w:rFonts w:asciiTheme="majorBidi" w:hAnsiTheme="majorBidi" w:cstheme="majorBidi"/>
          <w:i/>
          <w:iCs/>
          <w:sz w:val="22"/>
          <w:szCs w:val="22"/>
        </w:rPr>
      </w:pPr>
      <w:r w:rsidRPr="00ED7E61">
        <w:rPr>
          <w:rStyle w:val="wacimagecontainer"/>
          <w:rFonts w:asciiTheme="majorBidi" w:eastAsiaTheme="majorEastAsia" w:hAnsiTheme="majorBidi" w:cstheme="majorBidi"/>
          <w:noProof/>
          <w:sz w:val="22"/>
          <w:szCs w:val="22"/>
          <w:lang w:val="fr-FR" w:eastAsia="fr-FR"/>
        </w:rPr>
        <w:lastRenderedPageBreak/>
        <w:drawing>
          <wp:inline distT="0" distB="0" distL="0" distR="0" wp14:anchorId="0F989929" wp14:editId="167C6A30">
            <wp:extent cx="5734050" cy="3467100"/>
            <wp:effectExtent l="0" t="0" r="0" b="0"/>
            <wp:docPr id="356520152" name="Picture 6" descr="A diagram of life cycle of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0152" name="Picture 6" descr="A diagram of life cycle of fish&#10;&#10;Description automatically generated"/>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734050" cy="3467100"/>
                    </a:xfrm>
                    <a:prstGeom prst="rect">
                      <a:avLst/>
                    </a:prstGeom>
                    <a:noFill/>
                    <a:ln>
                      <a:noFill/>
                    </a:ln>
                  </pic:spPr>
                </pic:pic>
              </a:graphicData>
            </a:graphic>
          </wp:inline>
        </w:drawing>
      </w:r>
      <w:r w:rsidRPr="00ED7E61">
        <w:rPr>
          <w:rStyle w:val="normaltextrun"/>
          <w:rFonts w:asciiTheme="majorBidi" w:eastAsiaTheme="majorEastAsia" w:hAnsiTheme="majorBidi" w:cstheme="majorBidi"/>
          <w:sz w:val="22"/>
          <w:szCs w:val="22"/>
          <w:lang w:val="en-GB"/>
        </w:rPr>
        <w:t xml:space="preserve">Figure </w:t>
      </w:r>
      <w:r w:rsidR="00FB33CD">
        <w:rPr>
          <w:rStyle w:val="normaltextrun"/>
          <w:rFonts w:asciiTheme="majorBidi" w:eastAsiaTheme="majorEastAsia" w:hAnsiTheme="majorBidi" w:cstheme="majorBidi"/>
          <w:sz w:val="22"/>
          <w:szCs w:val="22"/>
          <w:lang w:val="en-GB"/>
        </w:rPr>
        <w:t>II.</w:t>
      </w:r>
      <w:r w:rsidRPr="00ED7E61">
        <w:rPr>
          <w:rStyle w:val="normaltextrun"/>
          <w:rFonts w:asciiTheme="majorBidi" w:eastAsiaTheme="majorEastAsia" w:hAnsiTheme="majorBidi" w:cstheme="majorBidi"/>
          <w:sz w:val="22"/>
          <w:szCs w:val="22"/>
          <w:lang w:val="en-GB"/>
        </w:rPr>
        <w:t xml:space="preserve"> </w:t>
      </w:r>
      <w:r w:rsidR="00A26683">
        <w:rPr>
          <w:rStyle w:val="normaltextrun"/>
          <w:rFonts w:asciiTheme="majorBidi" w:eastAsiaTheme="majorEastAsia" w:hAnsiTheme="majorBidi" w:cstheme="majorBidi"/>
          <w:sz w:val="22"/>
          <w:szCs w:val="22"/>
          <w:lang w:val="en-GB"/>
        </w:rPr>
        <w:br/>
      </w:r>
      <w:r w:rsidRPr="00B3383B">
        <w:rPr>
          <w:rStyle w:val="normaltextrun"/>
          <w:rFonts w:asciiTheme="majorBidi" w:eastAsiaTheme="majorEastAsia" w:hAnsiTheme="majorBidi" w:cstheme="majorBidi"/>
          <w:b/>
          <w:bCs/>
          <w:sz w:val="22"/>
          <w:szCs w:val="22"/>
          <w:lang w:val="en-GB"/>
        </w:rPr>
        <w:t>Pictorial representation of how genetic diversity is found within and among populations</w:t>
      </w:r>
      <w:r w:rsidRPr="00ED7E61">
        <w:rPr>
          <w:rStyle w:val="normaltextrun"/>
          <w:rFonts w:asciiTheme="majorBidi" w:eastAsiaTheme="majorEastAsia" w:hAnsiTheme="majorBidi" w:cstheme="majorBidi"/>
          <w:sz w:val="22"/>
          <w:szCs w:val="22"/>
          <w:lang w:val="en-GB"/>
        </w:rPr>
        <w:t xml:space="preserve"> </w:t>
      </w:r>
      <w:r w:rsidRPr="00B3383B">
        <w:rPr>
          <w:rStyle w:val="normaltextrun"/>
          <w:rFonts w:asciiTheme="majorBidi" w:eastAsiaTheme="majorEastAsia" w:hAnsiTheme="majorBidi" w:cstheme="majorBidi"/>
          <w:b/>
          <w:bCs/>
          <w:sz w:val="22"/>
          <w:szCs w:val="22"/>
          <w:lang w:val="en-GB"/>
        </w:rPr>
        <w:t xml:space="preserve">(see </w:t>
      </w:r>
      <w:proofErr w:type="spellStart"/>
      <w:r w:rsidRPr="00B3383B">
        <w:rPr>
          <w:rStyle w:val="normaltextrun"/>
          <w:rFonts w:asciiTheme="majorBidi" w:eastAsiaTheme="majorEastAsia" w:hAnsiTheme="majorBidi" w:cstheme="majorBidi"/>
          <w:b/>
          <w:bCs/>
          <w:sz w:val="22"/>
          <w:szCs w:val="22"/>
          <w:lang w:val="en-GB"/>
        </w:rPr>
        <w:t>color</w:t>
      </w:r>
      <w:proofErr w:type="spellEnd"/>
      <w:r w:rsidRPr="00B3383B">
        <w:rPr>
          <w:rStyle w:val="normaltextrun"/>
          <w:rFonts w:asciiTheme="majorBidi" w:eastAsiaTheme="majorEastAsia" w:hAnsiTheme="majorBidi" w:cstheme="majorBidi"/>
          <w:b/>
          <w:bCs/>
          <w:sz w:val="22"/>
          <w:szCs w:val="22"/>
          <w:lang w:val="en-GB"/>
        </w:rPr>
        <w:t xml:space="preserve"> variations) and is the foundation for species adaptability and for entire ecosystems.</w:t>
      </w:r>
      <w:r w:rsidRPr="00ED7E61">
        <w:rPr>
          <w:rStyle w:val="normaltextrun"/>
          <w:rFonts w:asciiTheme="majorBidi" w:eastAsiaTheme="majorEastAsia" w:hAnsiTheme="majorBidi" w:cstheme="majorBidi"/>
          <w:sz w:val="22"/>
          <w:szCs w:val="22"/>
          <w:lang w:val="en-GB"/>
        </w:rPr>
        <w:t xml:space="preserve">  </w:t>
      </w:r>
      <w:r w:rsidR="001E4724">
        <w:rPr>
          <w:rStyle w:val="normaltextrun"/>
          <w:rFonts w:asciiTheme="majorBidi" w:eastAsiaTheme="majorEastAsia" w:hAnsiTheme="majorBidi" w:cstheme="majorBidi"/>
          <w:sz w:val="22"/>
          <w:szCs w:val="22"/>
          <w:lang w:val="en-GB"/>
        </w:rPr>
        <w:br/>
      </w:r>
      <w:r w:rsidRPr="00B3383B">
        <w:rPr>
          <w:rStyle w:val="normaltextrun"/>
          <w:rFonts w:asciiTheme="majorBidi" w:eastAsiaTheme="majorEastAsia" w:hAnsiTheme="majorBidi" w:cstheme="majorBidi"/>
          <w:i/>
          <w:iCs/>
          <w:sz w:val="22"/>
          <w:szCs w:val="22"/>
          <w:lang w:val="en-GB"/>
        </w:rPr>
        <w:t>Genetic diversity ultimately is seen at the DNA level and can be conserved with large (</w:t>
      </w:r>
      <w:r w:rsidRPr="001E4724">
        <w:rPr>
          <w:rStyle w:val="normaltextrun"/>
          <w:rFonts w:asciiTheme="majorBidi" w:eastAsiaTheme="majorEastAsia" w:hAnsiTheme="majorBidi" w:cstheme="majorBidi"/>
          <w:i/>
          <w:iCs/>
          <w:sz w:val="22"/>
          <w:szCs w:val="22"/>
          <w:lang w:val="en-GB"/>
        </w:rPr>
        <w:t>N</w:t>
      </w:r>
      <w:r w:rsidRPr="001E4724">
        <w:rPr>
          <w:rStyle w:val="normaltextrun"/>
          <w:rFonts w:asciiTheme="majorBidi" w:eastAsiaTheme="majorEastAsia" w:hAnsiTheme="majorBidi" w:cstheme="majorBidi"/>
          <w:i/>
          <w:iCs/>
          <w:sz w:val="22"/>
          <w:szCs w:val="22"/>
          <w:vertAlign w:val="subscript"/>
          <w:lang w:val="en-GB"/>
        </w:rPr>
        <w:t>e</w:t>
      </w:r>
      <w:r w:rsidRPr="00B3383B">
        <w:rPr>
          <w:rStyle w:val="normaltextrun"/>
          <w:rFonts w:asciiTheme="majorBidi" w:eastAsiaTheme="majorEastAsia" w:hAnsiTheme="majorBidi" w:cstheme="majorBidi"/>
          <w:i/>
          <w:iCs/>
          <w:sz w:val="22"/>
          <w:szCs w:val="22"/>
          <w:lang w:val="en-GB"/>
        </w:rPr>
        <w:t xml:space="preserve"> </w:t>
      </w:r>
      <w:r w:rsidRPr="00B3383B">
        <w:rPr>
          <w:rStyle w:val="normaltextrun"/>
          <w:rFonts w:ascii="Cambria Math" w:eastAsiaTheme="majorEastAsia" w:hAnsi="Cambria Math" w:cs="Cambria Math"/>
          <w:i/>
          <w:iCs/>
          <w:sz w:val="22"/>
          <w:szCs w:val="22"/>
          <w:lang w:val="en-GB"/>
        </w:rPr>
        <w:t>⩾</w:t>
      </w:r>
      <w:r w:rsidRPr="00B3383B">
        <w:rPr>
          <w:rStyle w:val="normaltextrun"/>
          <w:rFonts w:asciiTheme="majorBidi" w:eastAsiaTheme="majorEastAsia" w:hAnsiTheme="majorBidi" w:cstheme="majorBidi"/>
          <w:i/>
          <w:iCs/>
          <w:sz w:val="22"/>
          <w:szCs w:val="22"/>
          <w:lang w:val="en-GB"/>
        </w:rPr>
        <w:t>500) populations and by making sure distinct populations are not lost.</w:t>
      </w:r>
      <w:r w:rsidRPr="00B3383B">
        <w:rPr>
          <w:rStyle w:val="eop"/>
          <w:rFonts w:asciiTheme="majorBidi" w:eastAsiaTheme="majorEastAsia" w:hAnsiTheme="majorBidi" w:cstheme="majorBidi"/>
          <w:i/>
          <w:iCs/>
          <w:sz w:val="22"/>
          <w:szCs w:val="22"/>
        </w:rPr>
        <w:t> </w:t>
      </w:r>
    </w:p>
    <w:p w14:paraId="031D86E8" w14:textId="6BFEB775" w:rsidR="00956C65" w:rsidRPr="00ED7E61" w:rsidRDefault="007D21A2" w:rsidP="00395866">
      <w:pPr>
        <w:pStyle w:val="paragraph"/>
        <w:spacing w:before="0" w:beforeAutospacing="0" w:after="0" w:afterAutospacing="0"/>
        <w:textAlignment w:val="baseline"/>
        <w:rPr>
          <w:rFonts w:asciiTheme="majorBidi" w:hAnsiTheme="majorBidi" w:cstheme="majorBidi"/>
          <w:sz w:val="22"/>
          <w:szCs w:val="22"/>
        </w:rPr>
      </w:pPr>
      <w:r w:rsidRPr="00ED7E61">
        <w:rPr>
          <w:noProof/>
          <w:sz w:val="22"/>
          <w:szCs w:val="22"/>
          <w:lang w:val="fr-FR" w:eastAsia="fr-FR"/>
        </w:rPr>
        <w:drawing>
          <wp:inline distT="0" distB="0" distL="0" distR="0" wp14:anchorId="25D101D6" wp14:editId="5E402BCF">
            <wp:extent cx="5904689" cy="3171217"/>
            <wp:effectExtent l="0" t="0" r="1270" b="3810"/>
            <wp:docPr id="36" name="image2.png" descr="A diagram of a green circle with red circles and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36" name="image2.png" descr="A diagram of a green circle with red circles and white text&#10;&#10;Description automatically generated"/>
                    <pic:cNvPicPr preferRelativeResize="0"/>
                  </pic:nvPicPr>
                  <pic:blipFill>
                    <a:blip r:embed="rId162"/>
                    <a:srcRect/>
                    <a:stretch>
                      <a:fillRect/>
                    </a:stretch>
                  </pic:blipFill>
                  <pic:spPr>
                    <a:xfrm>
                      <a:off x="0" y="0"/>
                      <a:ext cx="5911584" cy="3174920"/>
                    </a:xfrm>
                    <a:prstGeom prst="rect">
                      <a:avLst/>
                    </a:prstGeom>
                    <a:ln/>
                  </pic:spPr>
                </pic:pic>
              </a:graphicData>
            </a:graphic>
          </wp:inline>
        </w:drawing>
      </w:r>
      <w:r w:rsidR="00956C65" w:rsidRPr="00ED7E61">
        <w:rPr>
          <w:rStyle w:val="eop"/>
          <w:rFonts w:asciiTheme="majorBidi" w:eastAsiaTheme="majorEastAsia" w:hAnsiTheme="majorBidi" w:cstheme="majorBidi"/>
          <w:sz w:val="22"/>
          <w:szCs w:val="22"/>
        </w:rPr>
        <w:t> </w:t>
      </w:r>
    </w:p>
    <w:p w14:paraId="30C2058D" w14:textId="705CE84A" w:rsidR="00956C65" w:rsidRPr="001E4724" w:rsidRDefault="00956C65" w:rsidP="00B3383B">
      <w:pPr>
        <w:pStyle w:val="paragraph"/>
        <w:spacing w:before="0" w:beforeAutospacing="0" w:after="0" w:afterAutospacing="0"/>
        <w:ind w:left="567"/>
        <w:textAlignment w:val="baseline"/>
        <w:rPr>
          <w:rStyle w:val="normaltextrun"/>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sz w:val="22"/>
          <w:szCs w:val="22"/>
          <w:lang w:val="en-GB"/>
        </w:rPr>
        <w:t xml:space="preserve">Figure </w:t>
      </w:r>
      <w:r w:rsidR="00FB33CD">
        <w:rPr>
          <w:rStyle w:val="normaltextrun"/>
          <w:rFonts w:asciiTheme="majorBidi" w:eastAsiaTheme="majorEastAsia" w:hAnsiTheme="majorBidi" w:cstheme="majorBidi"/>
          <w:sz w:val="22"/>
          <w:szCs w:val="22"/>
          <w:lang w:val="en-GB"/>
        </w:rPr>
        <w:t>III.</w:t>
      </w:r>
      <w:r w:rsidRPr="00ED7E61">
        <w:rPr>
          <w:rStyle w:val="normaltextrun"/>
          <w:rFonts w:asciiTheme="majorBidi" w:eastAsiaTheme="majorEastAsia" w:hAnsiTheme="majorBidi" w:cstheme="majorBidi"/>
          <w:sz w:val="22"/>
          <w:szCs w:val="22"/>
          <w:lang w:val="en-GB"/>
        </w:rPr>
        <w:t xml:space="preserve"> </w:t>
      </w:r>
      <w:r w:rsidR="0070233C">
        <w:rPr>
          <w:rStyle w:val="normaltextrun"/>
          <w:rFonts w:asciiTheme="majorBidi" w:eastAsiaTheme="majorEastAsia" w:hAnsiTheme="majorBidi" w:cstheme="majorBidi"/>
          <w:sz w:val="22"/>
          <w:szCs w:val="22"/>
          <w:lang w:val="en-GB"/>
        </w:rPr>
        <w:br/>
      </w:r>
      <w:r w:rsidRPr="00B3383B">
        <w:rPr>
          <w:rStyle w:val="normaltextrun"/>
          <w:rFonts w:asciiTheme="majorBidi" w:eastAsiaTheme="majorEastAsia" w:hAnsiTheme="majorBidi" w:cstheme="majorBidi"/>
          <w:b/>
          <w:bCs/>
          <w:sz w:val="22"/>
          <w:szCs w:val="22"/>
          <w:lang w:val="en-GB"/>
        </w:rPr>
        <w:t xml:space="preserve">Pictorial representation of </w:t>
      </w:r>
      <w:r w:rsidRPr="00B3383B">
        <w:rPr>
          <w:rStyle w:val="normaltextrun"/>
          <w:rFonts w:asciiTheme="majorBidi" w:eastAsiaTheme="majorEastAsia" w:hAnsiTheme="majorBidi" w:cstheme="majorBidi"/>
          <w:b/>
          <w:bCs/>
          <w:i/>
          <w:iCs/>
          <w:sz w:val="22"/>
          <w:szCs w:val="22"/>
          <w:lang w:val="en-GB"/>
        </w:rPr>
        <w:t>N</w:t>
      </w:r>
      <w:r w:rsidRPr="00B3383B">
        <w:rPr>
          <w:rStyle w:val="normaltextrun"/>
          <w:rFonts w:asciiTheme="majorBidi" w:eastAsiaTheme="majorEastAsia" w:hAnsiTheme="majorBidi" w:cstheme="majorBidi"/>
          <w:b/>
          <w:bCs/>
          <w:i/>
          <w:iCs/>
          <w:sz w:val="22"/>
          <w:szCs w:val="22"/>
          <w:vertAlign w:val="subscript"/>
          <w:lang w:val="en-GB"/>
        </w:rPr>
        <w:t>e</w:t>
      </w:r>
      <w:r w:rsidRPr="00B3383B">
        <w:rPr>
          <w:rStyle w:val="normaltextrun"/>
          <w:rFonts w:asciiTheme="majorBidi" w:eastAsiaTheme="majorEastAsia" w:hAnsiTheme="majorBidi" w:cstheme="majorBidi"/>
          <w:b/>
          <w:bCs/>
          <w:sz w:val="22"/>
          <w:szCs w:val="22"/>
          <w:lang w:val="en-GB"/>
        </w:rPr>
        <w:t xml:space="preserve"> relative to the census size of a population.  </w:t>
      </w:r>
      <w:r w:rsidR="001E4724">
        <w:rPr>
          <w:rStyle w:val="normaltextrun"/>
          <w:rFonts w:asciiTheme="majorBidi" w:eastAsiaTheme="majorEastAsia" w:hAnsiTheme="majorBidi" w:cstheme="majorBidi"/>
          <w:b/>
          <w:bCs/>
          <w:sz w:val="22"/>
          <w:szCs w:val="22"/>
          <w:lang w:val="en-GB"/>
        </w:rPr>
        <w:br/>
      </w:r>
      <w:r w:rsidRPr="001E4724">
        <w:rPr>
          <w:rStyle w:val="normaltextrun"/>
          <w:rFonts w:asciiTheme="majorBidi" w:eastAsiaTheme="majorEastAsia" w:hAnsiTheme="majorBidi" w:cstheme="majorBidi"/>
          <w:i/>
          <w:iCs/>
          <w:sz w:val="22"/>
          <w:szCs w:val="22"/>
          <w:lang w:val="en-GB"/>
        </w:rPr>
        <w:t>N</w:t>
      </w:r>
      <w:r w:rsidRPr="001E4724">
        <w:rPr>
          <w:rStyle w:val="normaltextrun"/>
          <w:rFonts w:asciiTheme="majorBidi" w:eastAsiaTheme="majorEastAsia" w:hAnsiTheme="majorBidi" w:cstheme="majorBidi"/>
          <w:i/>
          <w:iCs/>
          <w:sz w:val="22"/>
          <w:szCs w:val="22"/>
          <w:vertAlign w:val="subscript"/>
          <w:lang w:val="en-GB"/>
        </w:rPr>
        <w:t>e</w:t>
      </w:r>
      <w:r w:rsidRPr="001E4724">
        <w:rPr>
          <w:rStyle w:val="normaltextrun"/>
          <w:rFonts w:asciiTheme="majorBidi" w:eastAsiaTheme="majorEastAsia" w:hAnsiTheme="majorBidi" w:cstheme="majorBidi"/>
          <w:i/>
          <w:iCs/>
          <w:sz w:val="22"/>
          <w:szCs w:val="22"/>
          <w:lang w:val="en-GB"/>
        </w:rPr>
        <w:t xml:space="preserve"> </w:t>
      </w:r>
      <w:r w:rsidRPr="00B3383B">
        <w:rPr>
          <w:rStyle w:val="normaltextrun"/>
          <w:rFonts w:asciiTheme="majorBidi" w:eastAsiaTheme="majorEastAsia" w:hAnsiTheme="majorBidi" w:cstheme="majorBidi"/>
          <w:i/>
          <w:iCs/>
          <w:sz w:val="22"/>
          <w:szCs w:val="22"/>
          <w:lang w:val="en-GB"/>
        </w:rPr>
        <w:t xml:space="preserve">is smaller than </w:t>
      </w:r>
      <w:r w:rsidRPr="001E4724">
        <w:rPr>
          <w:rStyle w:val="normaltextrun"/>
          <w:rFonts w:asciiTheme="majorBidi" w:eastAsiaTheme="majorEastAsia" w:hAnsiTheme="majorBidi" w:cstheme="majorBidi"/>
          <w:i/>
          <w:iCs/>
          <w:sz w:val="22"/>
          <w:szCs w:val="22"/>
          <w:lang w:val="en-GB"/>
        </w:rPr>
        <w:t>N</w:t>
      </w:r>
      <w:r w:rsidRPr="001E4724">
        <w:rPr>
          <w:rStyle w:val="normaltextrun"/>
          <w:rFonts w:asciiTheme="majorBidi" w:eastAsiaTheme="majorEastAsia" w:hAnsiTheme="majorBidi" w:cstheme="majorBidi"/>
          <w:i/>
          <w:iCs/>
          <w:sz w:val="22"/>
          <w:szCs w:val="22"/>
          <w:vertAlign w:val="subscript"/>
          <w:lang w:val="en-GB"/>
        </w:rPr>
        <w:t>c,</w:t>
      </w:r>
      <w:r w:rsidRPr="00B3383B">
        <w:rPr>
          <w:rStyle w:val="normaltextrun"/>
          <w:rFonts w:asciiTheme="majorBidi" w:eastAsiaTheme="majorEastAsia" w:hAnsiTheme="majorBidi" w:cstheme="majorBidi"/>
          <w:i/>
          <w:iCs/>
          <w:sz w:val="22"/>
          <w:szCs w:val="22"/>
          <w:lang w:val="en-GB"/>
        </w:rPr>
        <w:t xml:space="preserve"> but it is the </w:t>
      </w:r>
      <w:r w:rsidRPr="001E4724">
        <w:rPr>
          <w:rStyle w:val="normaltextrun"/>
          <w:rFonts w:asciiTheme="majorBidi" w:eastAsiaTheme="majorEastAsia" w:hAnsiTheme="majorBidi" w:cstheme="majorBidi"/>
          <w:i/>
          <w:iCs/>
          <w:sz w:val="22"/>
          <w:szCs w:val="22"/>
          <w:lang w:val="en-GB"/>
        </w:rPr>
        <w:t>N</w:t>
      </w:r>
      <w:r w:rsidRPr="001E4724">
        <w:rPr>
          <w:rStyle w:val="normaltextrun"/>
          <w:rFonts w:asciiTheme="majorBidi" w:eastAsiaTheme="majorEastAsia" w:hAnsiTheme="majorBidi" w:cstheme="majorBidi"/>
          <w:i/>
          <w:iCs/>
          <w:sz w:val="22"/>
          <w:szCs w:val="22"/>
          <w:vertAlign w:val="subscript"/>
          <w:lang w:val="en-GB"/>
        </w:rPr>
        <w:t>e</w:t>
      </w:r>
      <w:r w:rsidRPr="00B3383B">
        <w:rPr>
          <w:rStyle w:val="normaltextrun"/>
          <w:rFonts w:asciiTheme="majorBidi" w:eastAsiaTheme="majorEastAsia" w:hAnsiTheme="majorBidi" w:cstheme="majorBidi"/>
          <w:i/>
          <w:iCs/>
          <w:sz w:val="22"/>
          <w:szCs w:val="22"/>
          <w:lang w:val="en-GB"/>
        </w:rPr>
        <w:t xml:space="preserve"> which determines the rate of loss of genetic diversity within populations, and thus whether they can maintain adaptive capacity</w:t>
      </w:r>
    </w:p>
    <w:p w14:paraId="2925CDD3" w14:textId="77777777" w:rsidR="00354DB5" w:rsidRDefault="00354DB5"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rPr>
        <w:sectPr w:rsidR="00354DB5" w:rsidSect="00E822AE">
          <w:headerReference w:type="even" r:id="rId163"/>
          <w:headerReference w:type="default" r:id="rId164"/>
          <w:footerReference w:type="even" r:id="rId165"/>
          <w:footerReference w:type="default" r:id="rId166"/>
          <w:pgSz w:w="12240" w:h="15840"/>
          <w:pgMar w:top="1134" w:right="1440" w:bottom="1134" w:left="1440" w:header="709" w:footer="680" w:gutter="0"/>
          <w:cols w:space="708"/>
          <w:titlePg/>
          <w:docGrid w:linePitch="360"/>
        </w:sectPr>
      </w:pPr>
    </w:p>
    <w:p w14:paraId="6E777FB4" w14:textId="2432E143" w:rsidR="00756F0F" w:rsidRPr="00ED7E61" w:rsidRDefault="00956C65" w:rsidP="00255AA5">
      <w:pPr>
        <w:pStyle w:val="Heading3"/>
      </w:pPr>
      <w:bookmarkStart w:id="16" w:name="_Toc233278557"/>
      <w:r w:rsidRPr="00ED7E61">
        <w:rPr>
          <w:rStyle w:val="normaltextrun"/>
        </w:rPr>
        <w:lastRenderedPageBreak/>
        <w:t>B.1 Services provided by ecosystems</w:t>
      </w:r>
      <w:bookmarkEnd w:id="16"/>
    </w:p>
    <w:p w14:paraId="796B08BC"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1A3B0750"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sz w:val="22"/>
          <w:szCs w:val="22"/>
        </w:rPr>
        <w:t> </w:t>
      </w:r>
    </w:p>
    <w:p w14:paraId="65945B02" w14:textId="77777777" w:rsidR="00756F0F" w:rsidRPr="00ED7E61" w:rsidRDefault="00756F0F" w:rsidP="00395866">
      <w:pPr>
        <w:pStyle w:val="paragraph"/>
        <w:spacing w:before="0" w:beforeAutospacing="0" w:after="0" w:afterAutospacing="0"/>
        <w:ind w:right="-21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B.1 Services provided by ecosystems</w:t>
      </w:r>
      <w:r w:rsidRPr="00ED7E61">
        <w:rPr>
          <w:rStyle w:val="eop"/>
          <w:rFonts w:asciiTheme="majorBidi" w:eastAsiaTheme="majorEastAsia" w:hAnsiTheme="majorBidi" w:cstheme="majorBidi"/>
          <w:sz w:val="22"/>
          <w:szCs w:val="22"/>
        </w:rPr>
        <w:t> </w:t>
      </w:r>
    </w:p>
    <w:p w14:paraId="0774387E"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sz w:val="22"/>
          <w:szCs w:val="22"/>
        </w:rPr>
        <w:t> </w:t>
      </w:r>
    </w:p>
    <w:p w14:paraId="10A7E84F" w14:textId="25368217" w:rsidR="00756F0F" w:rsidRPr="00ED7E61" w:rsidRDefault="00CE5648"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lang w:val="en-GB"/>
        </w:rPr>
        <w:t>March</w:t>
      </w:r>
      <w:r w:rsidRPr="00ED7E61">
        <w:rPr>
          <w:rStyle w:val="normaltextrun"/>
          <w:rFonts w:asciiTheme="majorBidi" w:eastAsiaTheme="majorEastAsia" w:hAnsiTheme="majorBidi" w:cstheme="majorBidi"/>
          <w:sz w:val="22"/>
          <w:szCs w:val="22"/>
          <w:lang w:val="en-GB"/>
        </w:rPr>
        <w:t xml:space="preserve"> </w:t>
      </w:r>
      <w:r w:rsidR="00756F0F" w:rsidRPr="00ED7E61">
        <w:rPr>
          <w:rStyle w:val="normaltextrun"/>
          <w:rFonts w:asciiTheme="majorBidi" w:eastAsiaTheme="majorEastAsia" w:hAnsiTheme="majorBidi" w:cstheme="majorBidi"/>
          <w:sz w:val="22"/>
          <w:szCs w:val="22"/>
          <w:lang w:val="en-GB"/>
        </w:rPr>
        <w:t>202</w:t>
      </w:r>
      <w:r>
        <w:rPr>
          <w:rStyle w:val="eop"/>
          <w:rFonts w:asciiTheme="majorBidi" w:eastAsiaTheme="majorEastAsia" w:hAnsiTheme="majorBidi" w:cstheme="majorBidi"/>
          <w:sz w:val="22"/>
          <w:szCs w:val="22"/>
        </w:rPr>
        <w:t>6</w:t>
      </w:r>
    </w:p>
    <w:p w14:paraId="1487CA76" w14:textId="77777777" w:rsidR="00756F0F" w:rsidRPr="00ED7E61" w:rsidRDefault="00756F0F" w:rsidP="00B3383B">
      <w:pPr>
        <w:pStyle w:val="paragraph"/>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sz w:val="22"/>
          <w:szCs w:val="22"/>
        </w:rPr>
        <w:t> </w:t>
      </w:r>
    </w:p>
    <w:p w14:paraId="386EC75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sz w:val="22"/>
          <w:szCs w:val="22"/>
        </w:rPr>
        <w:t> </w:t>
      </w:r>
    </w:p>
    <w:p w14:paraId="0CE23079" w14:textId="65AE05F5"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Goal B: 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r w:rsidRPr="00ED7E61">
        <w:rPr>
          <w:rStyle w:val="eop"/>
          <w:rFonts w:asciiTheme="majorBidi" w:eastAsiaTheme="majorEastAsia" w:hAnsiTheme="majorBidi" w:cstheme="majorBidi"/>
          <w:sz w:val="22"/>
          <w:szCs w:val="22"/>
        </w:rPr>
        <w:t> </w:t>
      </w:r>
    </w:p>
    <w:p w14:paraId="5C6A3998"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sz w:val="22"/>
          <w:szCs w:val="22"/>
        </w:rPr>
        <w:t> </w:t>
      </w:r>
    </w:p>
    <w:p w14:paraId="7230596D" w14:textId="2BD7E8EA"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Target 11: Restore, maintain and enhance nature’s contributions to people, including ecosystem functions and services, such as regulation of air, water, and climate, soil health, pollination and reduction of disease risk, as well as protection from natural hazards and disasters, through nature-based solutions and/or ecosystem-based approaches for the benefit of all people and nature. </w:t>
      </w:r>
      <w:r w:rsidRPr="00ED7E61">
        <w:rPr>
          <w:rStyle w:val="eop"/>
          <w:rFonts w:asciiTheme="majorBidi" w:eastAsiaTheme="majorEastAsia" w:hAnsiTheme="majorBidi" w:cstheme="majorBidi"/>
          <w:sz w:val="22"/>
          <w:szCs w:val="22"/>
        </w:rPr>
        <w:t> </w:t>
      </w:r>
    </w:p>
    <w:p w14:paraId="43E3A94D"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4. Rationale</w:t>
      </w:r>
      <w:r w:rsidRPr="00ED7E61">
        <w:rPr>
          <w:rStyle w:val="eop"/>
          <w:rFonts w:asciiTheme="majorBidi" w:eastAsiaTheme="majorEastAsia" w:hAnsiTheme="majorBidi" w:cstheme="majorBidi"/>
          <w:sz w:val="22"/>
          <w:szCs w:val="22"/>
        </w:rPr>
        <w:t> </w:t>
      </w:r>
    </w:p>
    <w:p w14:paraId="0FE2CEC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rPr>
      </w:pPr>
      <w:r w:rsidRPr="00ED7E61">
        <w:rPr>
          <w:rStyle w:val="normaltextrun"/>
          <w:rFonts w:asciiTheme="majorBidi" w:eastAsiaTheme="majorEastAsia" w:hAnsiTheme="majorBidi" w:cstheme="majorBidi"/>
          <w:b/>
          <w:bCs/>
          <w:lang w:val="en-GB"/>
        </w:rPr>
        <w:t>Purpose of the indicator</w:t>
      </w:r>
      <w:r w:rsidRPr="00ED7E61">
        <w:rPr>
          <w:rStyle w:val="eop"/>
          <w:rFonts w:asciiTheme="majorBidi" w:eastAsiaTheme="majorEastAsia" w:hAnsiTheme="majorBidi" w:cstheme="majorBidi"/>
          <w:b/>
          <w:bCs/>
        </w:rPr>
        <w:t> </w:t>
      </w:r>
    </w:p>
    <w:p w14:paraId="0B249AE4" w14:textId="77777777" w:rsidR="00756F0F" w:rsidRPr="00ED7E61" w:rsidRDefault="00756F0F" w:rsidP="00B10F0C">
      <w:pPr>
        <w:pStyle w:val="CBDNormalNumber"/>
        <w:numPr>
          <w:ilvl w:val="0"/>
          <w:numId w:val="61"/>
        </w:numPr>
        <w:tabs>
          <w:tab w:val="clear" w:pos="1701"/>
        </w:tabs>
        <w:ind w:left="567" w:hanging="24"/>
        <w:rPr>
          <w:rStyle w:val="contentcontrolboundarysink"/>
          <w:sz w:val="24"/>
          <w:szCs w:val="24"/>
          <w:lang w:val="en-CA"/>
        </w:rPr>
      </w:pPr>
      <w:r w:rsidRPr="00ED7E61">
        <w:rPr>
          <w:rStyle w:val="contentcontrolboundarysink"/>
        </w:rPr>
        <w:t>Ecosystem services are critical for the wellbeing of people and make important contributions to the economy. Examples include harvested wild species, pollination of crops, water purification by filtering and regulating water quality, climate regulation by sequestering carbon dioxide, influencing local and global climate patterns, nature-based recreation and many more. Conserving, managing and sustaining ecosystems and biodiversity is fundamental to maintaining and enhancing ecosystem services. </w:t>
      </w:r>
    </w:p>
    <w:p w14:paraId="7327FFC1" w14:textId="6E348853" w:rsidR="009A563F" w:rsidRPr="00ED7E61" w:rsidRDefault="00756F0F" w:rsidP="00B10F0C">
      <w:pPr>
        <w:pStyle w:val="CBDNormalNumber"/>
        <w:numPr>
          <w:ilvl w:val="0"/>
          <w:numId w:val="61"/>
        </w:numPr>
        <w:ind w:left="567" w:firstLine="0"/>
        <w:rPr>
          <w:rStyle w:val="contentcontrolboundarysink"/>
        </w:rPr>
      </w:pPr>
      <w:r w:rsidRPr="00ED7E61">
        <w:rPr>
          <w:rStyle w:val="contentcontrolboundarysink"/>
        </w:rPr>
        <w:t>This indicator aims to track trends in the provision of ecosystem services, responding to the wording in Goal B that ecosystem services should be “</w:t>
      </w:r>
      <w:r w:rsidRPr="00FB1598">
        <w:rPr>
          <w:rStyle w:val="contentcontrolboundarysink"/>
          <w:i/>
          <w:iCs/>
        </w:rPr>
        <w:t>maintained and enhanced, with those currently in decline being restored</w:t>
      </w:r>
      <w:r w:rsidRPr="00ED7E61">
        <w:rPr>
          <w:rStyle w:val="contentcontrolboundarysink"/>
        </w:rPr>
        <w:t>”. The index is intended to show whether the provision of ecosystem services is, on average, increasing, stable or decreasing, as well as the rate of these increases or decreases. Together with ecosystem-related headline indicators for Goal A (A</w:t>
      </w:r>
      <w:r w:rsidR="005E6043">
        <w:rPr>
          <w:rStyle w:val="contentcontrolboundarysink"/>
        </w:rPr>
        <w:t>.</w:t>
      </w:r>
      <w:r w:rsidRPr="00ED7E61">
        <w:rPr>
          <w:rStyle w:val="contentcontrolboundarysink"/>
        </w:rPr>
        <w:t>1 Red List of ecosystems and A2 Extent of natural ecosystems), indicator B</w:t>
      </w:r>
      <w:r w:rsidR="005E6043">
        <w:rPr>
          <w:rStyle w:val="contentcontrolboundarysink"/>
        </w:rPr>
        <w:t>.</w:t>
      </w:r>
      <w:r w:rsidRPr="00ED7E61">
        <w:rPr>
          <w:rStyle w:val="contentcontrolboundarysink"/>
        </w:rPr>
        <w:t>1 provides insight into changes in the state and trends of ecosystems and the services they provide. </w:t>
      </w:r>
    </w:p>
    <w:p w14:paraId="47D34F4E" w14:textId="541A0293" w:rsidR="009A563F" w:rsidRPr="00ED7E61" w:rsidRDefault="00756F0F" w:rsidP="00B10F0C">
      <w:pPr>
        <w:pStyle w:val="CBDNormalNumber"/>
        <w:numPr>
          <w:ilvl w:val="0"/>
          <w:numId w:val="61"/>
        </w:numPr>
        <w:ind w:left="567" w:firstLine="0"/>
        <w:rPr>
          <w:rFonts w:asciiTheme="majorBidi" w:hAnsiTheme="majorBidi" w:cstheme="majorBidi"/>
        </w:rPr>
      </w:pPr>
      <w:r w:rsidRPr="00ED7E61">
        <w:rPr>
          <w:rStyle w:val="normaltextrun"/>
          <w:rFonts w:asciiTheme="majorBidi" w:eastAsiaTheme="majorEastAsia" w:hAnsiTheme="majorBidi" w:cstheme="majorBidi"/>
        </w:rPr>
        <w:t>The index of change in ecosystem services has the potential to be disaggregated in several ways, including by different categories of ecosystem service and by ecosystem type. As described further in Section 5, ecosystem services can be divided at a broad level into provisioning, regulating and cultural services, often with differing directions of change. Three sub-indices, one for each broad category of ecosystem services, will illuminate these differences. Combined with information from Indicators A</w:t>
      </w:r>
      <w:r w:rsidR="005E6043">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1 and A</w:t>
      </w:r>
      <w:r w:rsidR="005E6043">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2, disaggregation of the overall index by ecosystem type could provide valuable information to direct conservation, management and restoration efforts to enhance ecosystem service provision.</w:t>
      </w:r>
      <w:r w:rsidRPr="00ED7E61">
        <w:rPr>
          <w:rStyle w:val="eop"/>
          <w:rFonts w:asciiTheme="majorBidi" w:eastAsiaTheme="majorEastAsia" w:hAnsiTheme="majorBidi" w:cstheme="majorBidi"/>
        </w:rPr>
        <w:t> </w:t>
      </w:r>
    </w:p>
    <w:p w14:paraId="6B893E07" w14:textId="37297736" w:rsidR="00756F0F" w:rsidRPr="00ED7E61" w:rsidRDefault="00756F0F" w:rsidP="00B10F0C">
      <w:pPr>
        <w:pStyle w:val="CBDNormalNumber"/>
        <w:numPr>
          <w:ilvl w:val="0"/>
          <w:numId w:val="61"/>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Because the primary purpose of monitoring and reporting on headline indicators is to support Parties in their national implementation of the goals and targets of the </w:t>
      </w:r>
      <w:r w:rsidR="00E51D62" w:rsidRPr="00ED7E61">
        <w:rPr>
          <w:rStyle w:val="normaltextrun"/>
          <w:rFonts w:asciiTheme="majorBidi" w:eastAsiaTheme="majorEastAsia" w:hAnsiTheme="majorBidi" w:cstheme="majorBidi"/>
        </w:rPr>
        <w:t>Kunmin</w:t>
      </w:r>
      <w:r w:rsidR="009C2718">
        <w:rPr>
          <w:rStyle w:val="normaltextrun"/>
          <w:rFonts w:asciiTheme="majorBidi" w:eastAsiaTheme="majorEastAsia" w:hAnsiTheme="majorBidi" w:cstheme="majorBidi"/>
        </w:rPr>
        <w:t>g</w:t>
      </w:r>
      <w:r w:rsidR="00E51D62" w:rsidRPr="00ED7E61">
        <w:rPr>
          <w:rStyle w:val="normaltextrun"/>
          <w:rFonts w:asciiTheme="majorBidi" w:eastAsiaTheme="majorEastAsia" w:hAnsiTheme="majorBidi" w:cstheme="majorBidi"/>
        </w:rPr>
        <w:t>-Montreal Global Biodiversity Framework</w:t>
      </w:r>
      <w:r w:rsidRPr="00ED7E61">
        <w:rPr>
          <w:rStyle w:val="normaltextrun"/>
          <w:rFonts w:asciiTheme="majorBidi" w:eastAsiaTheme="majorEastAsia" w:hAnsiTheme="majorBidi" w:cstheme="majorBidi"/>
        </w:rPr>
        <w:t xml:space="preserve">, the indicator is designed to enable countries to select ecosystem services that they consider important and policy relevant to be included in the indicator, based on guidelines within this metadata document and supporting compilation guidelines. The indicator also reflects ecosystem services that are of global relevance and that will be included in the indicator by all countries. Global aggregation of the indicator will provide a view of global progress towards </w:t>
      </w:r>
      <w:r w:rsidRPr="00ED7E61">
        <w:rPr>
          <w:rStyle w:val="normaltextrun"/>
          <w:rFonts w:asciiTheme="majorBidi" w:eastAsiaTheme="majorEastAsia" w:hAnsiTheme="majorBidi" w:cstheme="majorBidi"/>
        </w:rPr>
        <w:lastRenderedPageBreak/>
        <w:t>maintaining, enhancing and restoring ecosystem services. The intended audience of the headline indicator is broad, reflecting the whole-of-society approach of the GBF.</w:t>
      </w:r>
      <w:r w:rsidRPr="00ED7E61">
        <w:rPr>
          <w:rStyle w:val="eop"/>
          <w:rFonts w:asciiTheme="majorBidi" w:eastAsiaTheme="majorEastAsia" w:hAnsiTheme="majorBidi" w:cstheme="majorBidi"/>
        </w:rPr>
        <w:t> </w:t>
      </w:r>
    </w:p>
    <w:p w14:paraId="0B1D861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rPr>
      </w:pPr>
      <w:r w:rsidRPr="00ED7E61">
        <w:rPr>
          <w:rStyle w:val="normaltextrun"/>
          <w:rFonts w:asciiTheme="majorBidi" w:eastAsiaTheme="majorEastAsia" w:hAnsiTheme="majorBidi" w:cstheme="majorBidi"/>
          <w:b/>
          <w:bCs/>
          <w:lang w:val="en-GB"/>
        </w:rPr>
        <w:t>An accounting approach to the indicator</w:t>
      </w:r>
      <w:r w:rsidRPr="00ED7E61">
        <w:rPr>
          <w:rStyle w:val="eop"/>
          <w:rFonts w:asciiTheme="majorBidi" w:eastAsiaTheme="majorEastAsia" w:hAnsiTheme="majorBidi" w:cstheme="majorBidi"/>
        </w:rPr>
        <w:t> </w:t>
      </w:r>
    </w:p>
    <w:p w14:paraId="06ADB111" w14:textId="77777777" w:rsidR="00756F0F" w:rsidRPr="00ED7E61" w:rsidRDefault="00756F0F" w:rsidP="00B10F0C">
      <w:pPr>
        <w:pStyle w:val="CBDNormalNumber"/>
        <w:numPr>
          <w:ilvl w:val="0"/>
          <w:numId w:val="61"/>
        </w:numPr>
        <w:ind w:left="567" w:firstLine="0"/>
        <w:rPr>
          <w:rStyle w:val="contentcontrolboundarysink"/>
          <w:sz w:val="24"/>
          <w:szCs w:val="24"/>
          <w:lang w:val="en-CA"/>
        </w:rPr>
      </w:pPr>
      <w:r w:rsidRPr="00ED7E61">
        <w:rPr>
          <w:rStyle w:val="contentcontrolboundarysink"/>
        </w:rPr>
        <w:t xml:space="preserve">The </w:t>
      </w:r>
      <w:hyperlink r:id="rId167" w:tgtFrame="_blank" w:history="1">
        <w:r w:rsidRPr="00ED7E61">
          <w:rPr>
            <w:rStyle w:val="contentcontrolboundarysink"/>
          </w:rPr>
          <w:t>System of Environmental-Economic Accounting (SEEA) Ecosystem Accounting</w:t>
        </w:r>
      </w:hyperlink>
      <w:r w:rsidRPr="00ED7E61">
        <w:rPr>
          <w:rStyle w:val="contentcontrolboundarysink"/>
        </w:rPr>
        <w:t>, as the adopted international statistical standard for organizing data about ecosystem assets and services and linking this information to economic and other human activity, provides the conceptual framework and part of the methodology for the compilation of this indicator. SEEA Ecosystem Accounting is aligned with the System of National Accounts (SNA), which underpins the development of economic statistics such as Gross Domestic Product (GDP), to illuminate the relationship between the environment and the economy, highlighting the contribution of ecosystems to the economy.  </w:t>
      </w:r>
    </w:p>
    <w:p w14:paraId="506EA00F" w14:textId="3FCD1A00" w:rsidR="00756F0F" w:rsidRPr="00ED7E61" w:rsidRDefault="00756F0F" w:rsidP="00B10F0C">
      <w:pPr>
        <w:pStyle w:val="CBDNormalNumber"/>
        <w:numPr>
          <w:ilvl w:val="0"/>
          <w:numId w:val="61"/>
        </w:numPr>
        <w:ind w:left="567" w:firstLine="0"/>
        <w:rPr>
          <w:rStyle w:val="contentcontrolboundarysink"/>
        </w:rPr>
      </w:pPr>
      <w:r w:rsidRPr="00ED7E61">
        <w:rPr>
          <w:rStyle w:val="contentcontrolboundarysink"/>
        </w:rPr>
        <w:t xml:space="preserve">Flows of ecosystem services in SEEA Ecosystem Accounting describe the contributions that ecosystems make to benefits used in economic and other human activity, which are a central part of describing nature’s contribution to people. Ecosystem services accounts should reflect both the supply of ecosystem services by different ecosystem types and the use of ecosystem services by different types of users, such as businesses, government and households. SEEA Ecosystem Accounting requires accounting for ecosystem services in biophysical terms, with the option of building on the biophysical accounts to develop accounts in monetary terms. Because accounting tables have a standard structure and are based on standard definitions and classifications, they allow for comparison across time periods and between countries. This makes an accounting approach a powerful basis for the development of national and global indicators. An additional strength of the </w:t>
      </w:r>
      <w:r w:rsidR="00EC4A1A">
        <w:rPr>
          <w:rStyle w:val="contentcontrolboundarysink"/>
        </w:rPr>
        <w:t xml:space="preserve">spatial approach to </w:t>
      </w:r>
      <w:r w:rsidR="005E6043">
        <w:rPr>
          <w:rStyle w:val="contentcontrolboundarysink"/>
        </w:rPr>
        <w:t xml:space="preserve">ecosystem </w:t>
      </w:r>
      <w:r w:rsidRPr="00ED7E61">
        <w:rPr>
          <w:rStyle w:val="contentcontrolboundarysink"/>
        </w:rPr>
        <w:t xml:space="preserve">accounting is that accounts provide granular information that can be used for local application and fine-grained policy decisions as </w:t>
      </w:r>
      <w:r w:rsidR="00774317">
        <w:rPr>
          <w:rStyle w:val="contentcontrolboundarysink"/>
        </w:rPr>
        <w:t>are informed</w:t>
      </w:r>
      <w:r w:rsidR="00774317" w:rsidRPr="00ED7E61">
        <w:rPr>
          <w:rStyle w:val="contentcontrolboundarysink"/>
        </w:rPr>
        <w:t xml:space="preserve"> </w:t>
      </w:r>
      <w:r w:rsidR="00774317">
        <w:rPr>
          <w:rStyle w:val="contentcontrolboundarysink"/>
        </w:rPr>
        <w:t xml:space="preserve">by </w:t>
      </w:r>
      <w:r w:rsidRPr="00ED7E61">
        <w:rPr>
          <w:rStyle w:val="contentcontrolboundarysink"/>
        </w:rPr>
        <w:t>as aggregate information for national and global reporting.  </w:t>
      </w:r>
    </w:p>
    <w:p w14:paraId="5E129760" w14:textId="3534C81F" w:rsidR="00756F0F" w:rsidRPr="00ED7E61" w:rsidRDefault="00756F0F" w:rsidP="009A563F">
      <w:pPr>
        <w:pStyle w:val="paragraph"/>
        <w:spacing w:before="0" w:beforeAutospacing="0" w:after="0" w:afterAutospacing="0"/>
        <w:textAlignment w:val="baseline"/>
        <w:rPr>
          <w:rFonts w:asciiTheme="majorBidi" w:hAnsiTheme="majorBidi" w:cstheme="majorBidi"/>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b/>
          <w:bCs/>
          <w:lang w:val="en-GB"/>
        </w:rPr>
        <w:t>Considerations for selection of ecosystem services for inclusion in the indicator</w:t>
      </w:r>
      <w:r w:rsidRPr="00ED7E61">
        <w:rPr>
          <w:rStyle w:val="eop"/>
          <w:rFonts w:asciiTheme="majorBidi" w:eastAsiaTheme="majorEastAsia" w:hAnsiTheme="majorBidi" w:cstheme="majorBidi"/>
        </w:rPr>
        <w:t> </w:t>
      </w:r>
    </w:p>
    <w:p w14:paraId="0A46389C" w14:textId="3A6B4206" w:rsidR="00756F0F" w:rsidRPr="00ED7E61" w:rsidRDefault="00756F0F" w:rsidP="00B10F0C">
      <w:pPr>
        <w:pStyle w:val="CBDNormalNumber"/>
        <w:numPr>
          <w:ilvl w:val="0"/>
          <w:numId w:val="61"/>
        </w:numPr>
        <w:ind w:left="567" w:firstLine="0"/>
        <w:rPr>
          <w:rStyle w:val="contentcontrolboundarysink"/>
          <w:sz w:val="24"/>
          <w:szCs w:val="24"/>
          <w:lang w:val="en-CA"/>
        </w:rPr>
      </w:pPr>
      <w:r w:rsidRPr="00ED7E61">
        <w:rPr>
          <w:rStyle w:val="contentcontrolboundarysink"/>
        </w:rPr>
        <w:t xml:space="preserve">There are several considerations about the types of ecosystem services and their beneficiaries that should inform the selection of ecosystem services for the indicator at the national level. </w:t>
      </w:r>
      <w:r w:rsidR="006B6DC3">
        <w:t>An overarching consideration is the degree to which the ecosystem service contributes directly to human wellbeing. Specific aspects</w:t>
      </w:r>
      <w:r w:rsidR="006B6DC3" w:rsidRPr="00ED7E61" w:rsidDel="006B6DC3">
        <w:rPr>
          <w:rStyle w:val="contentcontrolboundarysink"/>
        </w:rPr>
        <w:t xml:space="preserve"> </w:t>
      </w:r>
      <w:r w:rsidRPr="00ED7E61">
        <w:rPr>
          <w:rStyle w:val="contentcontrolboundarysink"/>
        </w:rPr>
        <w:t>include: </w:t>
      </w:r>
    </w:p>
    <w:p w14:paraId="42F68061" w14:textId="3FD0B9B8" w:rsidR="00756F0F" w:rsidRPr="00ED7E61" w:rsidRDefault="00756F0F" w:rsidP="00B10F0C">
      <w:pPr>
        <w:pStyle w:val="CBDNormalNumber"/>
        <w:numPr>
          <w:ilvl w:val="1"/>
          <w:numId w:val="61"/>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Whether people in vulnerable situations (such as low-income households, children and youth, women and girls, indigenous peoples, persons with disabilities, among others) depend on the ecosystem service. Parties are encouraged to include such ecosystem services in their selection of ecosystem services for the indicator acknowledging that worldwide there is unequal access to ecosystem services by different social groups. This consideration is also significant for Target 9 (“</w:t>
      </w:r>
      <w:r w:rsidRPr="00FB1598">
        <w:rPr>
          <w:rStyle w:val="normaltextrun"/>
          <w:rFonts w:asciiTheme="majorBidi" w:eastAsiaTheme="majorEastAsia" w:hAnsiTheme="majorBidi" w:cstheme="majorBidi"/>
          <w:i/>
          <w:iCs/>
        </w:rPr>
        <w:t>providing social, economic and environmental benefits for people, especially those in vulnerable situations and those most dependent on biodiversity</w:t>
      </w:r>
      <w:r w:rsidRPr="00ED7E61">
        <w:rPr>
          <w:rStyle w:val="normaltextrun"/>
          <w:rFonts w:asciiTheme="majorBidi" w:eastAsiaTheme="majorEastAsia" w:hAnsiTheme="majorBidi" w:cstheme="majorBidi"/>
        </w:rPr>
        <w:t xml:space="preserve">”), for which this indicator </w:t>
      </w:r>
      <w:r w:rsidR="00F861C7">
        <w:rPr>
          <w:rStyle w:val="normaltextrun"/>
          <w:rFonts w:asciiTheme="majorBidi" w:eastAsiaTheme="majorEastAsia" w:hAnsiTheme="majorBidi" w:cstheme="majorBidi"/>
        </w:rPr>
        <w:t>may</w:t>
      </w:r>
      <w:r w:rsidR="00F861C7"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contribute information.</w:t>
      </w:r>
      <w:r w:rsidRPr="00ED7E61">
        <w:rPr>
          <w:rStyle w:val="normaltextrun"/>
        </w:rPr>
        <w:t> </w:t>
      </w:r>
    </w:p>
    <w:p w14:paraId="05A7DC90" w14:textId="77777777" w:rsidR="00756F0F" w:rsidRPr="00ED7E61" w:rsidRDefault="00756F0F" w:rsidP="00B10F0C">
      <w:pPr>
        <w:pStyle w:val="CBDNormalNumber"/>
        <w:numPr>
          <w:ilvl w:val="1"/>
          <w:numId w:val="61"/>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Whether the ecosystem service is significant for indigenous peoples and local communities. Parties are encouraged to include such ecosystem services in their selection of ecosystem services for this indicator, with special attention to services that are necessary for the maintenance of cultural integrity and livelihoods. The selection of ecosystem services should recognize and consider multiple value perspectives on nature, including the diverse value systems and concepts embodied by indigenous peoples and local communities (IPBES, 2022).</w:t>
      </w:r>
      <w:r w:rsidRPr="00ED7E61">
        <w:rPr>
          <w:rStyle w:val="normaltextrun"/>
        </w:rPr>
        <w:t> </w:t>
      </w:r>
    </w:p>
    <w:p w14:paraId="0F499F18" w14:textId="128D6261" w:rsidR="00756F0F" w:rsidRPr="00ED7E61" w:rsidRDefault="00756F0F" w:rsidP="00B10F0C">
      <w:pPr>
        <w:pStyle w:val="CBDNormalNumber"/>
        <w:numPr>
          <w:ilvl w:val="1"/>
          <w:numId w:val="61"/>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Whether the ecosystem service is provided by natural, or anthropogenic ecosystem type(s). </w:t>
      </w:r>
      <w:r w:rsidR="00AA475E" w:rsidRPr="003C4228">
        <w:rPr>
          <w:rFonts w:asciiTheme="majorBidi" w:eastAsiaTheme="majorEastAsia" w:hAnsiTheme="majorBidi" w:cstheme="majorBidi"/>
        </w:rPr>
        <w:t>Natural ecosystems are defined broadly in this context to include modified natural ecosystems, sometimes referred to as semi-natural ecosystems, in line with the definition used in Indicator A.2</w:t>
      </w:r>
      <w:r w:rsidR="00AA475E">
        <w:rPr>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Ecosystem services from natural ecosystems are well-suited to this indicator. Provisioning ecosystem services from intensively modified or anthropogenic ecosystem types such as croplands and plantations should be approached with caution in </w:t>
      </w:r>
      <w:r w:rsidRPr="00ED7E61">
        <w:rPr>
          <w:rStyle w:val="normaltextrun"/>
          <w:rFonts w:asciiTheme="majorBidi" w:eastAsiaTheme="majorEastAsia" w:hAnsiTheme="majorBidi" w:cstheme="majorBidi"/>
        </w:rPr>
        <w:lastRenderedPageBreak/>
        <w:t xml:space="preserve">selecting ecosystem services for this indicator, for several reasons. First, conversion of natural ecosystems to intensively modified or anthropogenic ecosystems is one of the main threats to biodiversity, so increases in the </w:t>
      </w:r>
      <w:r w:rsidR="00AA475E">
        <w:rPr>
          <w:rStyle w:val="normaltextrun"/>
          <w:rFonts w:asciiTheme="majorBidi" w:eastAsiaTheme="majorEastAsia" w:hAnsiTheme="majorBidi" w:cstheme="majorBidi"/>
        </w:rPr>
        <w:t>flow</w:t>
      </w:r>
      <w:r w:rsidR="00AA475E"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of these ecosystem services is frequently associated with biodiversity loss. Second, it is often difficult to </w:t>
      </w:r>
      <w:r w:rsidR="00AA475E">
        <w:rPr>
          <w:rStyle w:val="normaltextrun"/>
          <w:rFonts w:asciiTheme="majorBidi" w:eastAsiaTheme="majorEastAsia" w:hAnsiTheme="majorBidi" w:cstheme="majorBidi"/>
        </w:rPr>
        <w:t>isolate</w:t>
      </w:r>
      <w:r w:rsidR="00AA475E"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out the contribution of the ecosystem from the contributions of produced capital and labour to </w:t>
      </w:r>
      <w:r w:rsidR="00A20A1B">
        <w:rPr>
          <w:rStyle w:val="normaltextrun"/>
          <w:rFonts w:asciiTheme="majorBidi" w:eastAsiaTheme="majorEastAsia" w:hAnsiTheme="majorBidi" w:cstheme="majorBidi"/>
        </w:rPr>
        <w:t xml:space="preserve">the benefits that arise from </w:t>
      </w:r>
      <w:r w:rsidRPr="00ED7E61">
        <w:rPr>
          <w:rStyle w:val="normaltextrun"/>
          <w:rFonts w:asciiTheme="majorBidi" w:eastAsiaTheme="majorEastAsia" w:hAnsiTheme="majorBidi" w:cstheme="majorBidi"/>
        </w:rPr>
        <w:t>these services, making it difficult to quantify the ecosystem service</w:t>
      </w:r>
      <w:r w:rsidR="004D1BD3">
        <w:rPr>
          <w:rStyle w:val="normaltextrun"/>
          <w:rFonts w:asciiTheme="majorBidi" w:eastAsiaTheme="majorEastAsia" w:hAnsiTheme="majorBidi" w:cstheme="majorBidi"/>
        </w:rPr>
        <w:t xml:space="preserve"> contribut</w:t>
      </w:r>
      <w:r w:rsidR="0077271E">
        <w:rPr>
          <w:rStyle w:val="normaltextrun"/>
          <w:rFonts w:asciiTheme="majorBidi" w:eastAsiaTheme="majorEastAsia" w:hAnsiTheme="majorBidi" w:cstheme="majorBidi"/>
        </w:rPr>
        <w:t>ion</w:t>
      </w:r>
      <w:r w:rsidRPr="00ED7E61">
        <w:rPr>
          <w:rStyle w:val="normaltextrun"/>
          <w:rFonts w:asciiTheme="majorBidi" w:eastAsiaTheme="majorEastAsia" w:hAnsiTheme="majorBidi" w:cstheme="majorBidi"/>
        </w:rPr>
        <w:t xml:space="preserve"> as distinct from the total harvested biomass. Finally, these ecosystem services are often</w:t>
      </w:r>
      <w:r w:rsidR="00263373">
        <w:rPr>
          <w:rStyle w:val="normaltextrun"/>
          <w:rFonts w:asciiTheme="majorBidi" w:eastAsiaTheme="majorEastAsia" w:hAnsiTheme="majorBidi" w:cstheme="majorBidi"/>
        </w:rPr>
        <w:t xml:space="preserve"> already</w:t>
      </w:r>
      <w:r w:rsidRPr="00ED7E61">
        <w:rPr>
          <w:rStyle w:val="normaltextrun"/>
          <w:rFonts w:asciiTheme="majorBidi" w:eastAsiaTheme="majorEastAsia" w:hAnsiTheme="majorBidi" w:cstheme="majorBidi"/>
        </w:rPr>
        <w:t xml:space="preserve"> captured in accounting frameworks outside of ecosystem accounts (such as the System of National Accounts and its associated mainstream economic indicators), so are not “</w:t>
      </w:r>
      <w:r w:rsidRPr="00FB1598">
        <w:rPr>
          <w:rStyle w:val="normaltextrun"/>
          <w:rFonts w:asciiTheme="majorBidi" w:eastAsiaTheme="majorEastAsia" w:hAnsiTheme="majorBidi" w:cstheme="majorBidi"/>
          <w:i/>
          <w:iCs/>
        </w:rPr>
        <w:t>hidden</w:t>
      </w:r>
      <w:r w:rsidRPr="00ED7E61">
        <w:rPr>
          <w:rStyle w:val="normaltextrun"/>
          <w:rFonts w:asciiTheme="majorBidi" w:eastAsiaTheme="majorEastAsia" w:hAnsiTheme="majorBidi" w:cstheme="majorBidi"/>
        </w:rPr>
        <w:t>” but rather already accounted for in standard economic measures. </w:t>
      </w:r>
      <w:r w:rsidRPr="00ED7E61">
        <w:rPr>
          <w:rStyle w:val="normaltextrun"/>
        </w:rPr>
        <w:t> </w:t>
      </w:r>
    </w:p>
    <w:p w14:paraId="56988CEC" w14:textId="459996D4" w:rsidR="00756F0F" w:rsidRDefault="00756F0F" w:rsidP="00B10F0C">
      <w:pPr>
        <w:pStyle w:val="CBDNormalNumber"/>
        <w:numPr>
          <w:ilvl w:val="0"/>
          <w:numId w:val="61"/>
        </w:numPr>
        <w:ind w:left="567" w:firstLine="0"/>
        <w:rPr>
          <w:rStyle w:val="contentcontrolboundarysink"/>
        </w:rPr>
      </w:pPr>
      <w:r w:rsidRPr="00ED7E61">
        <w:rPr>
          <w:rStyle w:val="contentcontrolboundarysink"/>
        </w:rPr>
        <w:t xml:space="preserve">In selecting ecosystem services to include in the indicator, Parties are encouraged to consider the alignment and compatibility of the ecosystem service with the overall intent of the </w:t>
      </w:r>
      <w:r w:rsidR="00E51D62" w:rsidRPr="00ED7E61">
        <w:rPr>
          <w:rStyle w:val="contentcontrolboundarysink"/>
        </w:rPr>
        <w:t>Kunming-Montreal Global Biodiversity Framework</w:t>
      </w:r>
      <w:r w:rsidR="00344682">
        <w:rPr>
          <w:rStyle w:val="contentcontrolboundarysink"/>
        </w:rPr>
        <w:t xml:space="preserve">, also </w:t>
      </w:r>
      <w:proofErr w:type="gramStart"/>
      <w:r w:rsidR="00344682">
        <w:rPr>
          <w:rStyle w:val="contentcontrolboundarysink"/>
        </w:rPr>
        <w:t>taking into account</w:t>
      </w:r>
      <w:proofErr w:type="gramEnd"/>
      <w:r w:rsidR="00344682">
        <w:rPr>
          <w:rStyle w:val="contentcontrolboundarysink"/>
        </w:rPr>
        <w:t xml:space="preserve"> data availability. Data availability alone should not drive the selection of ecosystem services for the </w:t>
      </w:r>
      <w:proofErr w:type="gramStart"/>
      <w:r w:rsidR="00344682">
        <w:rPr>
          <w:rStyle w:val="contentcontrolboundarysink"/>
        </w:rPr>
        <w:t>indicator</w:t>
      </w:r>
      <w:r w:rsidRPr="00ED7E61">
        <w:rPr>
          <w:rStyle w:val="contentcontrolboundarysink"/>
        </w:rPr>
        <w:t>.  .</w:t>
      </w:r>
      <w:proofErr w:type="gramEnd"/>
      <w:r w:rsidRPr="00ED7E61">
        <w:rPr>
          <w:rStyle w:val="contentcontrolboundarysink"/>
        </w:rPr>
        <w:t>  </w:t>
      </w:r>
    </w:p>
    <w:p w14:paraId="06B78903" w14:textId="77777777" w:rsidR="00D836E0" w:rsidRDefault="00D836E0" w:rsidP="00D836E0">
      <w:pPr>
        <w:numPr>
          <w:ilvl w:val="0"/>
          <w:numId w:val="61"/>
        </w:numPr>
        <w:tabs>
          <w:tab w:val="left" w:pos="567"/>
          <w:tab w:val="left" w:pos="1134"/>
          <w:tab w:val="left" w:pos="1701"/>
          <w:tab w:val="left" w:pos="2268"/>
          <w:tab w:val="left" w:pos="2835"/>
          <w:tab w:val="left" w:pos="3402"/>
          <w:tab w:val="left" w:pos="3969"/>
        </w:tabs>
        <w:spacing w:before="120" w:after="120"/>
        <w:ind w:left="562"/>
        <w:jc w:val="both"/>
        <w:rPr>
          <w:rFonts w:eastAsia="SimSun"/>
        </w:rPr>
      </w:pPr>
      <w:r w:rsidRPr="00063972">
        <w:rPr>
          <w:rFonts w:asciiTheme="majorBidi" w:eastAsiaTheme="majorEastAsia" w:hAnsiTheme="majorBidi" w:cstheme="majorBidi"/>
        </w:rPr>
        <w:t>Goal B emphasises that ecosystem services should support sustainable development for the benefit of current and future generations. Some (not all) ecosystem services can be used above their regeneration or absorption rate, with a negative impact on the capacity of the ecosystem to generate such services in the future. In such cases, the current use of the ecosystem service is not sustainable and does not support sustainable development. In practice it is often difficult to identify when the current use of an ecosystem service has crossed a sustainability threshold, but where possible Parties will be encouraged to flag ecosystem services where sustainability thresholds may have been crossed</w:t>
      </w:r>
      <w:r>
        <w:rPr>
          <w:rFonts w:asciiTheme="majorBidi" w:eastAsiaTheme="majorEastAsia" w:hAnsiTheme="majorBidi" w:cstheme="majorBidi"/>
        </w:rPr>
        <w:t xml:space="preserve"> and the actual ecosystem service flow is greater than the sustainable flow</w:t>
      </w:r>
      <w:r w:rsidRPr="00063972">
        <w:rPr>
          <w:rFonts w:asciiTheme="majorBidi" w:eastAsiaTheme="majorEastAsia" w:hAnsiTheme="majorBidi" w:cstheme="majorBidi"/>
        </w:rPr>
        <w:t xml:space="preserve">. </w:t>
      </w:r>
      <w:r>
        <w:rPr>
          <w:rFonts w:asciiTheme="majorBidi" w:eastAsiaTheme="majorEastAsia" w:hAnsiTheme="majorBidi" w:cstheme="majorBidi"/>
        </w:rPr>
        <w:t>The number of ecosystem services included in the indicator that have an unsustainability flag may be reported as complementary information alongside the indicator.</w:t>
      </w:r>
      <w:r w:rsidRPr="00063972">
        <w:rPr>
          <w:rFonts w:asciiTheme="majorBidi" w:eastAsiaTheme="majorEastAsia" w:hAnsiTheme="majorBidi" w:cstheme="majorBidi"/>
        </w:rPr>
        <w:t> </w:t>
      </w:r>
    </w:p>
    <w:p w14:paraId="4A0FF6A8" w14:textId="77777777" w:rsidR="00D836E0" w:rsidRPr="00C03128" w:rsidRDefault="00D836E0" w:rsidP="00D836E0">
      <w:pPr>
        <w:numPr>
          <w:ilvl w:val="0"/>
          <w:numId w:val="61"/>
        </w:numPr>
        <w:tabs>
          <w:tab w:val="left" w:pos="567"/>
          <w:tab w:val="left" w:pos="1134"/>
          <w:tab w:val="left" w:pos="1701"/>
          <w:tab w:val="left" w:pos="2268"/>
          <w:tab w:val="left" w:pos="2835"/>
          <w:tab w:val="left" w:pos="3402"/>
          <w:tab w:val="left" w:pos="3969"/>
        </w:tabs>
        <w:spacing w:before="120" w:after="120"/>
        <w:ind w:left="562"/>
        <w:jc w:val="both"/>
        <w:rPr>
          <w:rFonts w:eastAsia="SimSun"/>
        </w:rPr>
      </w:pPr>
      <w:r w:rsidRPr="00063972">
        <w:rPr>
          <w:rFonts w:eastAsia="SimSun"/>
        </w:rPr>
        <w:t xml:space="preserve">It is also important to consider the monitoring framework for the Kunming-Montreal Global Biodiversity Framework as a whole, with different indicators giving information about different aspects. </w:t>
      </w:r>
      <w:r w:rsidRPr="00C03128">
        <w:rPr>
          <w:rFonts w:eastAsia="SimSun"/>
        </w:rPr>
        <w:t xml:space="preserve">Indicator </w:t>
      </w:r>
      <w:r>
        <w:rPr>
          <w:rFonts w:eastAsia="SimSun"/>
        </w:rPr>
        <w:t>B.1</w:t>
      </w:r>
      <w:r w:rsidRPr="00C03128">
        <w:rPr>
          <w:rFonts w:eastAsia="SimSun"/>
        </w:rPr>
        <w:t xml:space="preserve"> is intended to be used and interpreted in the context of other ecosystem-related indicators of the GBF. The five headline indicators that deal most directly with ecosystems are A.1 Red List of Ecosystems, A.2 Extent of natural ecosystems, B.1 Services provided by ecosystems, 2.1 Area under restoration, and 3.1 Coverage of protected areas and other effective area-based conservation measures. This set of indicators can together provide a well-rounded picture of the state of ecosystems, their benefits to society, and interventions to protect and restore ecosystems. They should be interpreted collectively rather than individually, with each providing different but complementary information.</w:t>
      </w:r>
    </w:p>
    <w:p w14:paraId="61765835" w14:textId="77777777" w:rsidR="00D836E0" w:rsidRDefault="00D836E0" w:rsidP="00D836E0">
      <w:pPr>
        <w:numPr>
          <w:ilvl w:val="0"/>
          <w:numId w:val="61"/>
        </w:numPr>
        <w:tabs>
          <w:tab w:val="left" w:pos="567"/>
          <w:tab w:val="left" w:pos="1134"/>
          <w:tab w:val="left" w:pos="1701"/>
          <w:tab w:val="left" w:pos="2268"/>
          <w:tab w:val="left" w:pos="2835"/>
          <w:tab w:val="left" w:pos="3402"/>
          <w:tab w:val="left" w:pos="3969"/>
        </w:tabs>
        <w:spacing w:before="120" w:after="120"/>
        <w:ind w:left="562"/>
        <w:jc w:val="both"/>
        <w:rPr>
          <w:rFonts w:eastAsia="SimSun"/>
        </w:rPr>
      </w:pPr>
      <w:r w:rsidRPr="00C03128">
        <w:rPr>
          <w:rFonts w:eastAsia="SimSun"/>
        </w:rPr>
        <w:t xml:space="preserve">At the national level, using a common national classification system for ecosystem types across these five headline indicators will greatly facilitate bringing information from this set of indicators together to provide a coherent narrative and to be most useful for policy and implementation. For coherence in global reporting and analysis, it is useful for countries to cross-reference their national ecosystem classification to the Global Ecosystem Typology, as discussed in </w:t>
      </w:r>
      <w:r>
        <w:rPr>
          <w:rFonts w:eastAsia="SimSun"/>
        </w:rPr>
        <w:t>paragraph 17</w:t>
      </w:r>
      <w:r w:rsidRPr="00C03128">
        <w:rPr>
          <w:rFonts w:eastAsia="SimSun"/>
        </w:rPr>
        <w:t>.</w:t>
      </w:r>
    </w:p>
    <w:p w14:paraId="665AD075" w14:textId="77777777" w:rsidR="00D836E0" w:rsidRPr="00ED7E61" w:rsidRDefault="00D836E0" w:rsidP="00B10F0C">
      <w:pPr>
        <w:pStyle w:val="CBDNormalNumber"/>
        <w:numPr>
          <w:ilvl w:val="0"/>
          <w:numId w:val="61"/>
        </w:numPr>
        <w:ind w:left="567" w:firstLine="0"/>
        <w:rPr>
          <w:rStyle w:val="contentcontrolboundarysink"/>
        </w:rPr>
      </w:pPr>
    </w:p>
    <w:p w14:paraId="356321A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 Definitions, concepts and classifications</w:t>
      </w:r>
      <w:r w:rsidRPr="00ED7E61">
        <w:rPr>
          <w:rStyle w:val="eop"/>
          <w:rFonts w:asciiTheme="majorBidi" w:eastAsiaTheme="majorEastAsia" w:hAnsiTheme="majorBidi" w:cstheme="majorBidi"/>
          <w:sz w:val="22"/>
          <w:szCs w:val="22"/>
        </w:rPr>
        <w:t> </w:t>
      </w:r>
    </w:p>
    <w:p w14:paraId="370F27C3"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5a. Definition: </w:t>
      </w:r>
      <w:r w:rsidRPr="00ED7E61">
        <w:rPr>
          <w:rStyle w:val="eop"/>
          <w:rFonts w:asciiTheme="majorBidi" w:eastAsiaTheme="majorEastAsia" w:hAnsiTheme="majorBidi" w:cstheme="majorBidi"/>
          <w:sz w:val="22"/>
          <w:szCs w:val="22"/>
        </w:rPr>
        <w:t> </w:t>
      </w:r>
    </w:p>
    <w:p w14:paraId="18166594" w14:textId="0E092547" w:rsidR="009A563F" w:rsidRPr="00ED7E61" w:rsidRDefault="00756F0F" w:rsidP="00B10F0C">
      <w:pPr>
        <w:pStyle w:val="CBDNormalNumber"/>
        <w:numPr>
          <w:ilvl w:val="0"/>
          <w:numId w:val="61"/>
        </w:numPr>
        <w:ind w:left="567" w:firstLine="0"/>
        <w:rPr>
          <w:rStyle w:val="contentcontrolboundarysink"/>
          <w:sz w:val="24"/>
          <w:szCs w:val="24"/>
          <w:lang w:val="en-CA"/>
        </w:rPr>
      </w:pPr>
      <w:r w:rsidRPr="00ED7E61">
        <w:rPr>
          <w:rStyle w:val="contentcontrolboundarysink"/>
        </w:rPr>
        <w:t xml:space="preserve">The proposed indicator is defined as the </w:t>
      </w:r>
      <w:r w:rsidR="006057F9">
        <w:rPr>
          <w:rStyle w:val="contentcontrolboundarysink"/>
        </w:rPr>
        <w:t>trend</w:t>
      </w:r>
      <w:r w:rsidRPr="00ED7E61">
        <w:rPr>
          <w:rStyle w:val="contentcontrolboundarysink"/>
        </w:rPr>
        <w:t xml:space="preserve"> in the</w:t>
      </w:r>
      <w:r w:rsidR="006057F9">
        <w:rPr>
          <w:rStyle w:val="contentcontrolboundarysink"/>
        </w:rPr>
        <w:t xml:space="preserve"> flows</w:t>
      </w:r>
      <w:r w:rsidRPr="00ED7E61">
        <w:rPr>
          <w:rStyle w:val="contentcontrolboundarysink"/>
        </w:rPr>
        <w:t xml:space="preserve"> of a set of ecosystem services in a particular </w:t>
      </w:r>
      <w:proofErr w:type="gramStart"/>
      <w:r w:rsidRPr="00ED7E61">
        <w:rPr>
          <w:rStyle w:val="contentcontrolboundarysink"/>
        </w:rPr>
        <w:t>time period</w:t>
      </w:r>
      <w:proofErr w:type="gramEnd"/>
      <w:r w:rsidRPr="00ED7E61">
        <w:rPr>
          <w:rStyle w:val="contentcontrolboundarysink"/>
        </w:rPr>
        <w:t xml:space="preserve"> compared to a baseline year, for a country or globally.  </w:t>
      </w:r>
    </w:p>
    <w:p w14:paraId="068AF9D8" w14:textId="0FE7BD68" w:rsidR="009A563F" w:rsidRPr="00ED7E61" w:rsidRDefault="00756F0F" w:rsidP="00B10F0C">
      <w:pPr>
        <w:pStyle w:val="CBDNormalNumber"/>
        <w:numPr>
          <w:ilvl w:val="0"/>
          <w:numId w:val="61"/>
        </w:numPr>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 xml:space="preserve">The concepts, definitions and classifications used in this indicator are based on the SEEA Ecosystem Accounting statistical standard that was adopted by the United Nations Statistical Commission in March 2021. Ecosystem services are defined as the contributions of ecosystems to the benefits that are used in economic and other human activity, while benefits are defined as the goods and services that are ultimately used and enjoyed by people and society. For accounting purposes, the focus is usually on final ecosystem services only, which are those ecosystem services in which the user of the service is an economic unit </w:t>
      </w:r>
      <w:r w:rsidR="00E51D62"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i.e. business, government or household</w:t>
      </w:r>
      <w:r w:rsidR="00E51D62" w:rsidRPr="00ED7E61">
        <w:rPr>
          <w:rStyle w:val="normaltextrun"/>
          <w:rFonts w:asciiTheme="majorBidi" w:eastAsiaTheme="majorEastAsia" w:hAnsiTheme="majorBidi" w:cstheme="majorBidi"/>
        </w:rPr>
        <w:t>)</w:t>
      </w:r>
      <w:r w:rsidRPr="00ED7E61">
        <w:rPr>
          <w:rStyle w:val="superscript"/>
          <w:rFonts w:asciiTheme="majorBidi" w:hAnsiTheme="majorBidi" w:cstheme="majorBidi"/>
          <w:vertAlign w:val="superscript"/>
        </w:rPr>
        <w:t>13</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4AA16435" w14:textId="4044C1E7" w:rsidR="009A563F" w:rsidRPr="00ED7E61" w:rsidRDefault="00756F0F" w:rsidP="00B10F0C">
      <w:pPr>
        <w:pStyle w:val="CBDNormalNumber"/>
        <w:numPr>
          <w:ilvl w:val="0"/>
          <w:numId w:val="61"/>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In ecosystem accounting, ecosystem services are conceptualised as flows between ecosystem assets and economic units. This results in an alignment between supply and use (i.e. supply needs to match use of a particular service), which is a foundational accounting concept. This means that an ecosystem service is recorded in the tables only when it is used. Explained differently, ecosystem services must </w:t>
      </w:r>
      <w:proofErr w:type="gramStart"/>
      <w:r w:rsidRPr="00ED7E61">
        <w:rPr>
          <w:rStyle w:val="normaltextrun"/>
          <w:rFonts w:asciiTheme="majorBidi" w:eastAsiaTheme="majorEastAsia" w:hAnsiTheme="majorBidi" w:cstheme="majorBidi"/>
        </w:rPr>
        <w:t>actually be</w:t>
      </w:r>
      <w:proofErr w:type="gramEnd"/>
      <w:r w:rsidRPr="00ED7E61">
        <w:rPr>
          <w:rStyle w:val="normaltextrun"/>
          <w:rFonts w:asciiTheme="majorBidi" w:eastAsiaTheme="majorEastAsia" w:hAnsiTheme="majorBidi" w:cstheme="majorBidi"/>
        </w:rPr>
        <w:t xml:space="preserve"> used to be included in the account, while ecosystem services that could potentially be used are excluded. </w:t>
      </w:r>
      <w:proofErr w:type="gramStart"/>
      <w:r w:rsidRPr="00ED7E61">
        <w:rPr>
          <w:rStyle w:val="normaltextrun"/>
          <w:rFonts w:asciiTheme="majorBidi" w:eastAsiaTheme="majorEastAsia" w:hAnsiTheme="majorBidi" w:cstheme="majorBidi"/>
        </w:rPr>
        <w:t>For the purpose of</w:t>
      </w:r>
      <w:proofErr w:type="gramEnd"/>
      <w:r w:rsidRPr="00ED7E61">
        <w:rPr>
          <w:rStyle w:val="normaltextrun"/>
          <w:rFonts w:asciiTheme="majorBidi" w:eastAsiaTheme="majorEastAsia" w:hAnsiTheme="majorBidi" w:cstheme="majorBidi"/>
        </w:rPr>
        <w:t xml:space="preserve"> this indicator the terms “</w:t>
      </w:r>
      <w:r w:rsidRPr="00FB1598">
        <w:rPr>
          <w:rStyle w:val="normaltextrun"/>
          <w:rFonts w:asciiTheme="majorBidi" w:eastAsiaTheme="majorEastAsia" w:hAnsiTheme="majorBidi" w:cstheme="majorBidi"/>
          <w:i/>
          <w:iCs/>
        </w:rPr>
        <w:t>supply of ecosystem services</w:t>
      </w:r>
      <w:r w:rsidRPr="00ED7E61">
        <w:rPr>
          <w:rStyle w:val="normaltextrun"/>
          <w:rFonts w:asciiTheme="majorBidi" w:eastAsiaTheme="majorEastAsia" w:hAnsiTheme="majorBidi" w:cstheme="majorBidi"/>
        </w:rPr>
        <w:t>” and “</w:t>
      </w:r>
      <w:r w:rsidRPr="00FB1598">
        <w:rPr>
          <w:rStyle w:val="normaltextrun"/>
          <w:rFonts w:asciiTheme="majorBidi" w:eastAsiaTheme="majorEastAsia" w:hAnsiTheme="majorBidi" w:cstheme="majorBidi"/>
          <w:i/>
          <w:iCs/>
        </w:rPr>
        <w:t>ecosystem service supply</w:t>
      </w:r>
      <w:r w:rsidRPr="00ED7E61">
        <w:rPr>
          <w:rStyle w:val="normaltextrun"/>
          <w:rFonts w:asciiTheme="majorBidi" w:eastAsiaTheme="majorEastAsia" w:hAnsiTheme="majorBidi" w:cstheme="majorBidi"/>
        </w:rPr>
        <w:t xml:space="preserve">” are avoided as they do not capture the use aspect of ecosystem services. Rather, the terms ecosystem service </w:t>
      </w:r>
      <w:r w:rsidR="00527F9A">
        <w:rPr>
          <w:rStyle w:val="normaltextrun"/>
          <w:rFonts w:asciiTheme="majorBidi" w:eastAsiaTheme="majorEastAsia" w:hAnsiTheme="majorBidi" w:cstheme="majorBidi"/>
        </w:rPr>
        <w:t xml:space="preserve">flows </w:t>
      </w:r>
      <w:r w:rsidRPr="00ED7E61">
        <w:rPr>
          <w:rStyle w:val="normaltextrun"/>
          <w:rFonts w:asciiTheme="majorBidi" w:eastAsiaTheme="majorEastAsia" w:hAnsiTheme="majorBidi" w:cstheme="majorBidi"/>
        </w:rPr>
        <w:t xml:space="preserve">or </w:t>
      </w:r>
      <w:r w:rsidR="00577699">
        <w:rPr>
          <w:rStyle w:val="normaltextrun"/>
          <w:rFonts w:asciiTheme="majorBidi" w:eastAsiaTheme="majorEastAsia" w:hAnsiTheme="majorBidi" w:cstheme="majorBidi"/>
        </w:rPr>
        <w:t>flows of</w:t>
      </w:r>
      <w:r w:rsidRPr="00ED7E61">
        <w:rPr>
          <w:rStyle w:val="normaltextrun"/>
          <w:rFonts w:asciiTheme="majorBidi" w:eastAsiaTheme="majorEastAsia" w:hAnsiTheme="majorBidi" w:cstheme="majorBidi"/>
        </w:rPr>
        <w:t xml:space="preserve"> ecosystem services are used, with the intention of capturing the combination of supply and use that characterises ecosystem services in an accounting context. The account table follows a standard structure, shown in Table 7.1 of SEEA Ecosystem Accounting. </w:t>
      </w:r>
      <w:r w:rsidRPr="00ED7E61">
        <w:rPr>
          <w:rStyle w:val="eop"/>
          <w:rFonts w:asciiTheme="majorBidi" w:eastAsiaTheme="majorEastAsia" w:hAnsiTheme="majorBidi" w:cstheme="majorBidi"/>
        </w:rPr>
        <w:t> </w:t>
      </w:r>
    </w:p>
    <w:p w14:paraId="68AB6C88" w14:textId="5D45D096" w:rsidR="009A563F" w:rsidRPr="00ED7E61" w:rsidRDefault="00756F0F" w:rsidP="00B10F0C">
      <w:pPr>
        <w:pStyle w:val="CBDNormalNumber"/>
        <w:numPr>
          <w:ilvl w:val="0"/>
          <w:numId w:val="61"/>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total area for which the accounts are compiled is called the ecosystem accounting area. For the purposes of this indicator, the ecosystem accounting area should be the total area of the country. For countries that have marine territory, the total surface area of the country could be divided into separate ecosystem accounting areas, for example one for the land and inland water area and another for the </w:t>
      </w:r>
      <w:r w:rsidR="0093335A">
        <w:rPr>
          <w:rStyle w:val="normaltextrun"/>
          <w:rFonts w:asciiTheme="majorBidi" w:eastAsiaTheme="majorEastAsia" w:hAnsiTheme="majorBidi" w:cstheme="majorBidi"/>
        </w:rPr>
        <w:t xml:space="preserve">marine </w:t>
      </w:r>
      <w:r w:rsidRPr="00ED7E61">
        <w:rPr>
          <w:rStyle w:val="normaltextrun"/>
          <w:rFonts w:asciiTheme="majorBidi" w:eastAsiaTheme="majorEastAsia" w:hAnsiTheme="majorBidi" w:cstheme="majorBidi"/>
        </w:rPr>
        <w:t xml:space="preserve">area to the end of the exclusive economic zone). Further guidance on this </w:t>
      </w:r>
      <w:r w:rsidR="0093335A">
        <w:rPr>
          <w:rStyle w:val="normaltextrun"/>
          <w:rFonts w:asciiTheme="majorBidi" w:eastAsiaTheme="majorEastAsia" w:hAnsiTheme="majorBidi" w:cstheme="majorBidi"/>
        </w:rPr>
        <w:t>is</w:t>
      </w:r>
      <w:r w:rsidR="0093335A"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provided in compilation guidelines </w:t>
      </w:r>
      <w:r w:rsidR="00CA32FF">
        <w:rPr>
          <w:rStyle w:val="normaltextrun"/>
          <w:rFonts w:asciiTheme="majorBidi" w:eastAsiaTheme="majorEastAsia" w:hAnsiTheme="majorBidi" w:cstheme="majorBidi"/>
        </w:rPr>
        <w:t>for the indicator</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3E43D6C6" w14:textId="6D6C456E" w:rsidR="009A563F" w:rsidRPr="00ED7E61" w:rsidRDefault="00756F0F" w:rsidP="00B10F0C">
      <w:pPr>
        <w:pStyle w:val="CBDNormalNumber"/>
        <w:numPr>
          <w:ilvl w:val="0"/>
          <w:numId w:val="61"/>
        </w:numPr>
        <w:ind w:left="567" w:firstLine="0"/>
        <w:rPr>
          <w:rFonts w:asciiTheme="majorBidi" w:hAnsiTheme="majorBidi" w:cstheme="majorBidi"/>
          <w:color w:val="000000"/>
        </w:rPr>
      </w:pPr>
      <w:r w:rsidRPr="00ED7E61">
        <w:rPr>
          <w:rStyle w:val="normaltextrun"/>
          <w:rFonts w:asciiTheme="majorBidi" w:eastAsiaTheme="majorEastAsia" w:hAnsiTheme="majorBidi" w:cstheme="majorBidi"/>
          <w:color w:val="000000"/>
        </w:rPr>
        <w:t>Ecosystem services are commonly grouped as provisioning, regulating and maintenance, and cultural services. SEEA Ecosystem Accounting includes a reference list of ecosystem services, grouped according to these broad categories, which has been adopted as part of the SEEA Ecosystem Accounting international statistical standard. There was detailed and extensive consultation on the development of this reference list and cross walks exist with all other major ecosystem services classifications. Within provisioning services, the SEEA Ecosystem Accounting reference list identifies ten of ecosystem services; within regulating services there are sixteen; and within cultural services there are five. </w:t>
      </w:r>
      <w:r w:rsidRPr="00ED7E61">
        <w:rPr>
          <w:rStyle w:val="eop"/>
          <w:rFonts w:asciiTheme="majorBidi" w:eastAsiaTheme="majorEastAsia" w:hAnsiTheme="majorBidi" w:cstheme="majorBidi"/>
          <w:color w:val="000000"/>
        </w:rPr>
        <w:t> </w:t>
      </w:r>
    </w:p>
    <w:p w14:paraId="335CF527" w14:textId="2F462BF0" w:rsidR="009A563F" w:rsidRPr="00ED7E61" w:rsidRDefault="00756F0F" w:rsidP="00B10F0C">
      <w:pPr>
        <w:pStyle w:val="CBDNormalNumber"/>
        <w:numPr>
          <w:ilvl w:val="0"/>
          <w:numId w:val="61"/>
        </w:numPr>
        <w:ind w:left="567" w:firstLine="0"/>
        <w:rPr>
          <w:rFonts w:asciiTheme="majorBidi" w:hAnsiTheme="majorBidi" w:cstheme="majorBidi"/>
          <w:color w:val="000000"/>
        </w:rPr>
      </w:pPr>
      <w:r w:rsidRPr="00ED7E61">
        <w:rPr>
          <w:rStyle w:val="normaltextrun"/>
          <w:rFonts w:asciiTheme="majorBidi" w:eastAsiaTheme="majorEastAsia" w:hAnsiTheme="majorBidi" w:cstheme="majorBidi"/>
          <w:color w:val="000000"/>
        </w:rPr>
        <w:t>SEEA Ecosystem Accounting uses the IUCN’s Global Ecosystem Typology as the reference classification for ecosystem types, which was endorsed by the United Nations Statistical Commission at its 55</w:t>
      </w:r>
      <w:r w:rsidRPr="00ED7E61">
        <w:rPr>
          <w:rStyle w:val="normaltextrun"/>
          <w:rFonts w:asciiTheme="majorBidi" w:eastAsiaTheme="majorEastAsia" w:hAnsiTheme="majorBidi" w:cstheme="majorBidi"/>
          <w:color w:val="000000"/>
          <w:vertAlign w:val="superscript"/>
        </w:rPr>
        <w:t>th</w:t>
      </w:r>
      <w:r w:rsidRPr="00ED7E61">
        <w:rPr>
          <w:rStyle w:val="normaltextrun"/>
          <w:rFonts w:asciiTheme="majorBidi" w:eastAsiaTheme="majorEastAsia" w:hAnsiTheme="majorBidi" w:cstheme="majorBidi"/>
          <w:color w:val="000000"/>
        </w:rPr>
        <w:t xml:space="preserve"> session in March 2024 as an international statistical classification and recommended to be included in the international family of classifications. Parties are </w:t>
      </w:r>
      <w:r w:rsidR="00B3748A">
        <w:rPr>
          <w:rStyle w:val="normaltextrun"/>
          <w:rFonts w:asciiTheme="majorBidi" w:eastAsiaTheme="majorEastAsia" w:hAnsiTheme="majorBidi" w:cstheme="majorBidi"/>
          <w:color w:val="000000"/>
        </w:rPr>
        <w:t>encouraged</w:t>
      </w:r>
      <w:r w:rsidR="00B3748A" w:rsidRPr="00ED7E61">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000000"/>
        </w:rPr>
        <w:t xml:space="preserve">to use their national ecosystem classifications as the basis for their ecosystem accounts and ideally to </w:t>
      </w:r>
      <w:proofErr w:type="gramStart"/>
      <w:r w:rsidRPr="00ED7E61">
        <w:rPr>
          <w:rStyle w:val="normaltextrun"/>
          <w:rFonts w:asciiTheme="majorBidi" w:eastAsiaTheme="majorEastAsia" w:hAnsiTheme="majorBidi" w:cstheme="majorBidi"/>
          <w:color w:val="000000"/>
        </w:rPr>
        <w:t>cross-walk</w:t>
      </w:r>
      <w:proofErr w:type="gramEnd"/>
      <w:r w:rsidRPr="00ED7E61">
        <w:rPr>
          <w:rStyle w:val="normaltextrun"/>
          <w:rFonts w:asciiTheme="majorBidi" w:eastAsiaTheme="majorEastAsia" w:hAnsiTheme="majorBidi" w:cstheme="majorBidi"/>
          <w:color w:val="000000"/>
        </w:rPr>
        <w:t xml:space="preserve"> national ecosystem types to the Ecosystem Functional Groups (Level 3) of the Global Ecosystem Typology. </w:t>
      </w:r>
      <w:r w:rsidRPr="00ED7E61">
        <w:rPr>
          <w:rStyle w:val="eop"/>
          <w:rFonts w:asciiTheme="majorBidi" w:eastAsiaTheme="majorEastAsia" w:hAnsiTheme="majorBidi" w:cstheme="majorBidi"/>
          <w:color w:val="000000"/>
        </w:rPr>
        <w:t> </w:t>
      </w:r>
    </w:p>
    <w:p w14:paraId="7516AD75" w14:textId="4B4ED155" w:rsidR="009A563F" w:rsidRPr="00ED7E61" w:rsidRDefault="00756F0F" w:rsidP="00B10F0C">
      <w:pPr>
        <w:pStyle w:val="CBDNormalNumber"/>
        <w:numPr>
          <w:ilvl w:val="0"/>
          <w:numId w:val="61"/>
        </w:numPr>
        <w:ind w:left="567" w:firstLine="0"/>
        <w:rPr>
          <w:rFonts w:asciiTheme="majorBidi" w:hAnsiTheme="majorBidi" w:cstheme="majorBidi"/>
          <w:color w:val="000000"/>
        </w:rPr>
      </w:pPr>
      <w:r w:rsidRPr="00ED7E61">
        <w:rPr>
          <w:rStyle w:val="normaltextrun"/>
          <w:rFonts w:asciiTheme="majorBidi" w:eastAsiaTheme="majorEastAsia" w:hAnsiTheme="majorBidi" w:cstheme="majorBidi"/>
          <w:color w:val="000000"/>
        </w:rPr>
        <w:t>The biophysical ecosystem services accounts describe the flows of ecosystem services provided by ecosystem assets, grouped according to ecosystem type, in volume terms per accounting period. Metrics from the accounts are commonly in physical units such as cubic meters or tonnes. Indicators that can be derived from the account tables include percentage change over an accounting period or with respect to a baseline period.</w:t>
      </w:r>
      <w:r w:rsidRPr="00ED7E61">
        <w:rPr>
          <w:rStyle w:val="eop"/>
          <w:rFonts w:asciiTheme="majorBidi" w:eastAsiaTheme="majorEastAsia" w:hAnsiTheme="majorBidi" w:cstheme="majorBidi"/>
          <w:color w:val="000000"/>
        </w:rPr>
        <w:t> </w:t>
      </w:r>
    </w:p>
    <w:p w14:paraId="2FB1F53D" w14:textId="3A05C0F8" w:rsidR="00756F0F" w:rsidRPr="00ED7E61" w:rsidRDefault="00756F0F" w:rsidP="00B10F0C">
      <w:pPr>
        <w:pStyle w:val="CBDNormalNumber"/>
        <w:numPr>
          <w:ilvl w:val="0"/>
          <w:numId w:val="61"/>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biophysical quantity for each ecosystem service may also be expressed in monetary terms where monetary valuation of the service is undertaken. Monetary valuation in an accounting context is approached differently to monetary valuation in environmental </w:t>
      </w:r>
      <w:proofErr w:type="gramStart"/>
      <w:r w:rsidRPr="00ED7E61">
        <w:rPr>
          <w:rStyle w:val="normaltextrun"/>
          <w:rFonts w:asciiTheme="majorBidi" w:eastAsiaTheme="majorEastAsia" w:hAnsiTheme="majorBidi" w:cstheme="majorBidi"/>
        </w:rPr>
        <w:t>economics, and</w:t>
      </w:r>
      <w:proofErr w:type="gramEnd"/>
      <w:r w:rsidRPr="00ED7E61">
        <w:rPr>
          <w:rStyle w:val="normaltextrun"/>
          <w:rFonts w:asciiTheme="majorBidi" w:eastAsiaTheme="majorEastAsia" w:hAnsiTheme="majorBidi" w:cstheme="majorBidi"/>
        </w:rPr>
        <w:t xml:space="preserve"> </w:t>
      </w:r>
      <w:r w:rsidR="00A421E2">
        <w:rPr>
          <w:rStyle w:val="normaltextrun"/>
          <w:rFonts w:asciiTheme="majorBidi" w:eastAsiaTheme="majorEastAsia" w:hAnsiTheme="majorBidi" w:cstheme="majorBidi"/>
        </w:rPr>
        <w:t xml:space="preserve">focuses on </w:t>
      </w:r>
      <w:r w:rsidRPr="00ED7E61">
        <w:rPr>
          <w:rStyle w:val="normaltextrun"/>
          <w:rFonts w:asciiTheme="majorBidi" w:eastAsiaTheme="majorEastAsia" w:hAnsiTheme="majorBidi" w:cstheme="majorBidi"/>
        </w:rPr>
        <w:t xml:space="preserve">exchange values rather welfare values. The monetary ecosystem services accounts describe the ecosystem services provided by the ecosystem asset in monetary terms per accounting period, which can be aggregated to a single monetary value per accounting period. Indicators that can be derived </w:t>
      </w:r>
      <w:r w:rsidRPr="00ED7E61">
        <w:rPr>
          <w:rStyle w:val="normaltextrun"/>
          <w:rFonts w:asciiTheme="majorBidi" w:eastAsiaTheme="majorEastAsia" w:hAnsiTheme="majorBidi" w:cstheme="majorBidi"/>
        </w:rPr>
        <w:lastRenderedPageBreak/>
        <w:t>from the account tables include percentage change in value over an accounting period or with respect to a baseline period.</w:t>
      </w:r>
      <w:r w:rsidRPr="00ED7E61">
        <w:rPr>
          <w:rStyle w:val="eop"/>
          <w:rFonts w:asciiTheme="majorBidi" w:eastAsiaTheme="majorEastAsia" w:hAnsiTheme="majorBidi" w:cstheme="majorBidi"/>
        </w:rPr>
        <w:t> </w:t>
      </w:r>
    </w:p>
    <w:p w14:paraId="5919E70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5b. Method of computation</w:t>
      </w:r>
      <w:r w:rsidRPr="00ED7E61">
        <w:rPr>
          <w:rStyle w:val="eop"/>
          <w:rFonts w:asciiTheme="majorBidi" w:eastAsiaTheme="majorEastAsia" w:hAnsiTheme="majorBidi" w:cstheme="majorBidi"/>
          <w:sz w:val="22"/>
          <w:szCs w:val="22"/>
        </w:rPr>
        <w:t> </w:t>
      </w:r>
    </w:p>
    <w:p w14:paraId="51C09E0E" w14:textId="77777777" w:rsidR="00756F0F" w:rsidRPr="00ED7E6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indicator is computed in three stages: 1) selection of ecosystem services for inclusion in the indicator, 2) compilation of ecosystem services accounts, and 3) calculation of an aggregate index based on information from the accounts.</w:t>
      </w:r>
      <w:r w:rsidRPr="00ED7E61">
        <w:rPr>
          <w:rStyle w:val="normaltextrun"/>
        </w:rPr>
        <w:t> </w:t>
      </w:r>
    </w:p>
    <w:p w14:paraId="657C66D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i/>
          <w:iCs/>
          <w:color w:val="000000"/>
          <w:sz w:val="22"/>
          <w:szCs w:val="22"/>
        </w:rPr>
      </w:pPr>
      <w:r w:rsidRPr="00ED7E61">
        <w:rPr>
          <w:rStyle w:val="normaltextrun"/>
          <w:rFonts w:asciiTheme="majorBidi" w:eastAsiaTheme="majorEastAsia" w:hAnsiTheme="majorBidi" w:cstheme="majorBidi"/>
          <w:i/>
          <w:iCs/>
          <w:color w:val="000000"/>
          <w:sz w:val="22"/>
          <w:szCs w:val="22"/>
          <w:lang w:val="en-GB"/>
        </w:rPr>
        <w:t>Stage 1 Selection of ecosystem system services to be included</w:t>
      </w:r>
      <w:r w:rsidRPr="00ED7E61">
        <w:rPr>
          <w:rStyle w:val="eop"/>
          <w:rFonts w:asciiTheme="majorBidi" w:eastAsiaTheme="majorEastAsia" w:hAnsiTheme="majorBidi" w:cstheme="majorBidi"/>
          <w:i/>
          <w:iCs/>
          <w:color w:val="000000"/>
          <w:sz w:val="22"/>
          <w:szCs w:val="22"/>
        </w:rPr>
        <w:t> </w:t>
      </w:r>
    </w:p>
    <w:p w14:paraId="77CC648C" w14:textId="394313C3" w:rsidR="009A563F" w:rsidRPr="00ED7E6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first stage in computing the indicator is to select ecosystem services that will be included in the indicator. As described above, the SEEA Ecosystem Accounting reference list of ecosystem services is used as the basis for the indicator and should thus be used in the selection of ecosystem services to be included in the indicator. </w:t>
      </w:r>
      <w:r w:rsidRPr="00ED7E61">
        <w:rPr>
          <w:rStyle w:val="normaltextrun"/>
        </w:rPr>
        <w:t> </w:t>
      </w:r>
    </w:p>
    <w:p w14:paraId="6B19479E" w14:textId="73907655" w:rsidR="00756F0F" w:rsidRPr="00812871" w:rsidRDefault="00756F0F" w:rsidP="00812871">
      <w:pPr>
        <w:numPr>
          <w:ilvl w:val="0"/>
          <w:numId w:val="61"/>
        </w:numPr>
        <w:tabs>
          <w:tab w:val="left" w:pos="567"/>
          <w:tab w:val="left" w:pos="1134"/>
          <w:tab w:val="left" w:pos="1701"/>
          <w:tab w:val="left" w:pos="2268"/>
          <w:tab w:val="left" w:pos="2835"/>
          <w:tab w:val="left" w:pos="3402"/>
          <w:tab w:val="left" w:pos="3969"/>
        </w:tabs>
        <w:spacing w:before="120" w:after="120"/>
        <w:ind w:left="567"/>
        <w:jc w:val="both"/>
        <w:rPr>
          <w:rFonts w:asciiTheme="majorBidi" w:hAnsiTheme="majorBidi" w:cstheme="majorBidi"/>
        </w:rPr>
      </w:pPr>
      <w:r w:rsidRPr="00ED7E61">
        <w:rPr>
          <w:rStyle w:val="normaltextrun"/>
          <w:rFonts w:asciiTheme="majorBidi" w:eastAsiaTheme="majorEastAsia" w:hAnsiTheme="majorBidi" w:cstheme="majorBidi"/>
        </w:rPr>
        <w:t>The selection of ecosystem services for this indicator takes a blended approach, reflecting both national and global priorities, based on the rationale explained in Section 4. The following starting point is used as the basis for the selection of ecosystem services by Parties for inclusion in the indicator at the national level</w:t>
      </w:r>
      <w:r w:rsidR="002F7FD3">
        <w:rPr>
          <w:rFonts w:asciiTheme="majorBidi" w:eastAsiaTheme="majorEastAsia" w:hAnsiTheme="majorBidi" w:cstheme="majorBidi"/>
        </w:rPr>
        <w:t>, with further guidance provided in compilation guidelines for the indicator</w:t>
      </w:r>
      <w:r w:rsidR="002F7FD3" w:rsidRPr="00063972">
        <w:rPr>
          <w:rFonts w:asciiTheme="majorBidi" w:eastAsiaTheme="majorEastAsia" w:hAnsiTheme="majorBidi" w:cstheme="majorBidi"/>
        </w:rPr>
        <w:t>: </w:t>
      </w:r>
    </w:p>
    <w:p w14:paraId="43DD6605" w14:textId="081898E9" w:rsidR="00756F0F" w:rsidRPr="00ED7E61" w:rsidRDefault="00756F0F" w:rsidP="00B10F0C">
      <w:pPr>
        <w:pStyle w:val="CBDNormalNumber"/>
        <w:numPr>
          <w:ilvl w:val="1"/>
          <w:numId w:val="61"/>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Required ecosystem services of global relevance to be included by all Parties </w:t>
      </w:r>
      <w:proofErr w:type="gramStart"/>
      <w:r w:rsidRPr="00ED7E61">
        <w:rPr>
          <w:rStyle w:val="normaltextrun"/>
          <w:rFonts w:asciiTheme="majorBidi" w:eastAsiaTheme="majorEastAsia" w:hAnsiTheme="majorBidi" w:cstheme="majorBidi"/>
        </w:rPr>
        <w:t>( global</w:t>
      </w:r>
      <w:proofErr w:type="gramEnd"/>
      <w:r w:rsidRPr="00ED7E61">
        <w:rPr>
          <w:rStyle w:val="normaltextrun"/>
          <w:rFonts w:asciiTheme="majorBidi" w:eastAsiaTheme="majorEastAsia" w:hAnsiTheme="majorBidi" w:cstheme="majorBidi"/>
        </w:rPr>
        <w:t xml:space="preserve"> climate regulation services (GCRS)</w:t>
      </w:r>
      <w:r w:rsidR="00551742" w:rsidRPr="00551742">
        <w:rPr>
          <w:rFonts w:asciiTheme="majorBidi" w:eastAsiaTheme="majorEastAsia" w:hAnsiTheme="majorBidi" w:cstheme="majorBidi"/>
        </w:rPr>
        <w:t xml:space="preserve"> </w:t>
      </w:r>
      <w:r w:rsidR="00551742">
        <w:rPr>
          <w:rFonts w:asciiTheme="majorBidi" w:eastAsiaTheme="majorEastAsia" w:hAnsiTheme="majorBidi" w:cstheme="majorBidi"/>
        </w:rPr>
        <w:t>as this service is used by everyone on the planet no matter where it is supplied</w:t>
      </w:r>
      <w:r w:rsidRPr="00ED7E61">
        <w:rPr>
          <w:rStyle w:val="normaltextrun"/>
          <w:rFonts w:asciiTheme="majorBidi" w:eastAsiaTheme="majorEastAsia" w:hAnsiTheme="majorBidi" w:cstheme="majorBidi"/>
        </w:rPr>
        <w:t>). </w:t>
      </w:r>
      <w:r w:rsidRPr="00ED7E61">
        <w:rPr>
          <w:rStyle w:val="normaltextrun"/>
        </w:rPr>
        <w:t> </w:t>
      </w:r>
    </w:p>
    <w:p w14:paraId="1F9F9DC4" w14:textId="04FBEDC6" w:rsidR="00756F0F" w:rsidRPr="00ED7E61" w:rsidRDefault="00551742" w:rsidP="00B10F0C">
      <w:pPr>
        <w:pStyle w:val="CBDNormalNumber"/>
        <w:numPr>
          <w:ilvl w:val="1"/>
          <w:numId w:val="61"/>
        </w:numPr>
        <w:tabs>
          <w:tab w:val="clear" w:pos="567"/>
          <w:tab w:val="clear" w:pos="1134"/>
          <w:tab w:val="clear" w:pos="1701"/>
          <w:tab w:val="clear" w:pos="2268"/>
          <w:tab w:val="left" w:pos="1985"/>
        </w:tabs>
        <w:ind w:left="1276" w:firstLine="56"/>
        <w:rPr>
          <w:rStyle w:val="normaltextrun"/>
          <w:rFonts w:eastAsiaTheme="majorEastAsia"/>
        </w:rPr>
      </w:pPr>
      <w:r>
        <w:rPr>
          <w:rStyle w:val="normaltextrun"/>
          <w:rFonts w:asciiTheme="majorBidi" w:eastAsiaTheme="majorEastAsia" w:hAnsiTheme="majorBidi" w:cstheme="majorBidi"/>
        </w:rPr>
        <w:t>\E</w:t>
      </w:r>
      <w:r w:rsidR="00756F0F" w:rsidRPr="00ED7E61">
        <w:rPr>
          <w:rStyle w:val="normaltextrun"/>
          <w:rFonts w:asciiTheme="majorBidi" w:eastAsiaTheme="majorEastAsia" w:hAnsiTheme="majorBidi" w:cstheme="majorBidi"/>
        </w:rPr>
        <w:t xml:space="preserve">cosystem services to be included by Parties from the SEEA Ecosystem Accounting reference list of ecosystem services, </w:t>
      </w:r>
      <w:r w:rsidR="001848DF">
        <w:rPr>
          <w:rFonts w:asciiTheme="majorBidi" w:eastAsiaTheme="majorEastAsia" w:hAnsiTheme="majorBidi" w:cstheme="majorBidi"/>
        </w:rPr>
        <w:t xml:space="preserve">that are particularly compatible with the rationale for the indicator and the considerations for selection established in paragraph 7. Countries are encouraged to select </w:t>
      </w:r>
      <w:r w:rsidR="00756F0F" w:rsidRPr="00ED7E61">
        <w:rPr>
          <w:rStyle w:val="normaltextrun"/>
          <w:rFonts w:asciiTheme="majorBidi" w:eastAsiaTheme="majorEastAsia" w:hAnsiTheme="majorBidi" w:cstheme="majorBidi"/>
        </w:rPr>
        <w:t>a combination of provisioning services, regulating services and cultural services</w:t>
      </w:r>
      <w:r w:rsidR="004A6CD4">
        <w:rPr>
          <w:rStyle w:val="normaltextrun"/>
          <w:rFonts w:asciiTheme="majorBidi" w:eastAsiaTheme="majorEastAsia" w:hAnsiTheme="majorBidi" w:cstheme="majorBidi"/>
        </w:rPr>
        <w:t xml:space="preserve"> </w:t>
      </w:r>
      <w:r w:rsidR="004A6CD4">
        <w:rPr>
          <w:rFonts w:asciiTheme="majorBidi" w:eastAsiaTheme="majorEastAsia" w:hAnsiTheme="majorBidi" w:cstheme="majorBidi"/>
        </w:rPr>
        <w:t>from this set</w:t>
      </w:r>
      <w:r w:rsidR="004A6CD4" w:rsidRPr="00063972">
        <w:rPr>
          <w:rFonts w:asciiTheme="majorBidi" w:eastAsiaTheme="majorEastAsia" w:hAnsiTheme="majorBidi" w:cstheme="majorBidi"/>
        </w:rPr>
        <w:t xml:space="preserve">. </w:t>
      </w:r>
      <w:r w:rsidR="004A6CD4" w:rsidRPr="000A20ED">
        <w:rPr>
          <w:rFonts w:asciiTheme="majorBidi" w:eastAsiaTheme="majorEastAsia" w:hAnsiTheme="majorBidi" w:cstheme="majorBidi"/>
        </w:rPr>
        <w:t>Parties are discouraged from selecting services that are incompatible with the rationale for the indicator and the intent of the GBF</w:t>
      </w:r>
      <w:r w:rsidR="00756F0F" w:rsidRPr="00ED7E61">
        <w:rPr>
          <w:rStyle w:val="normaltextrun"/>
          <w:rFonts w:asciiTheme="majorBidi" w:eastAsiaTheme="majorEastAsia" w:hAnsiTheme="majorBidi" w:cstheme="majorBidi"/>
        </w:rPr>
        <w:t xml:space="preserve">. </w:t>
      </w:r>
    </w:p>
    <w:p w14:paraId="49743AC6" w14:textId="77777777" w:rsidR="00756F0F" w:rsidRPr="00ED7E61" w:rsidRDefault="00756F0F" w:rsidP="00B10F0C">
      <w:pPr>
        <w:pStyle w:val="CBDNormalNumber"/>
        <w:numPr>
          <w:ilvl w:val="1"/>
          <w:numId w:val="61"/>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rPr>
        <w:t>Parties may include additional ecosystem services that they consider important or policy relevant if they wish to. </w:t>
      </w:r>
      <w:r w:rsidRPr="00ED7E61">
        <w:rPr>
          <w:rStyle w:val="eop"/>
          <w:rFonts w:asciiTheme="majorBidi" w:eastAsiaTheme="majorEastAsia" w:hAnsiTheme="majorBidi" w:cstheme="majorBidi"/>
        </w:rPr>
        <w:t> </w:t>
      </w:r>
    </w:p>
    <w:p w14:paraId="0AFF9E37" w14:textId="0E73A167" w:rsidR="00756F0F" w:rsidRPr="00ED7E61" w:rsidRDefault="00756F0F" w:rsidP="00B10F0C">
      <w:pPr>
        <w:pStyle w:val="CBDNormalNumber"/>
        <w:numPr>
          <w:ilvl w:val="0"/>
          <w:numId w:val="61"/>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From the </w:t>
      </w:r>
      <w:r w:rsidR="004A6CD4">
        <w:rPr>
          <w:rStyle w:val="normaltextrun"/>
          <w:rFonts w:asciiTheme="majorBidi" w:eastAsiaTheme="majorEastAsia" w:hAnsiTheme="majorBidi" w:cstheme="majorBidi"/>
        </w:rPr>
        <w:t>group of</w:t>
      </w:r>
      <w:r w:rsidR="004A6CD4"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ecosystem services, </w:t>
      </w:r>
      <w:r w:rsidR="006A5C24">
        <w:rPr>
          <w:rFonts w:asciiTheme="majorBidi" w:eastAsiaTheme="majorEastAsia" w:hAnsiTheme="majorBidi" w:cstheme="majorBidi"/>
        </w:rPr>
        <w:t>compatible with the rationale for the indicator,</w:t>
      </w:r>
      <w:r w:rsidR="006A5C24"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Parties should select services based on a combination of importance or policy relevance of the service and data availability. Relevance to Target 11, for which </w:t>
      </w:r>
      <w:r w:rsidR="00D60FF6">
        <w:rPr>
          <w:rStyle w:val="normaltextrun"/>
          <w:rFonts w:asciiTheme="majorBidi" w:eastAsiaTheme="majorEastAsia" w:hAnsiTheme="majorBidi" w:cstheme="majorBidi"/>
        </w:rPr>
        <w:t xml:space="preserve">Indicator B.1 is also </w:t>
      </w:r>
      <w:r w:rsidRPr="00ED7E61">
        <w:rPr>
          <w:rStyle w:val="normaltextrun"/>
          <w:rFonts w:asciiTheme="majorBidi" w:eastAsiaTheme="majorEastAsia" w:hAnsiTheme="majorBidi" w:cstheme="majorBidi"/>
        </w:rPr>
        <w:t>the headline indicator, should also be considered. </w:t>
      </w:r>
      <w:r w:rsidRPr="00ED7E61">
        <w:rPr>
          <w:rStyle w:val="normaltextrun"/>
        </w:rPr>
        <w:t> </w:t>
      </w:r>
    </w:p>
    <w:p w14:paraId="0B65671F" w14:textId="5FC32CED" w:rsidR="00756F0F" w:rsidRPr="00ED7E61" w:rsidRDefault="00653646" w:rsidP="00B10F0C">
      <w:pPr>
        <w:pStyle w:val="CBDNormalNumber"/>
        <w:numPr>
          <w:ilvl w:val="0"/>
          <w:numId w:val="61"/>
        </w:numPr>
        <w:ind w:left="567" w:firstLine="0"/>
        <w:rPr>
          <w:rStyle w:val="normaltextrun"/>
          <w:rFonts w:eastAsiaTheme="majorEastAsia"/>
        </w:rPr>
      </w:pPr>
      <w:r>
        <w:rPr>
          <w:rStyle w:val="normaltextrun"/>
          <w:rFonts w:asciiTheme="majorBidi" w:eastAsiaTheme="majorEastAsia" w:hAnsiTheme="majorBidi" w:cstheme="majorBidi"/>
        </w:rPr>
        <w:t>The</w:t>
      </w:r>
      <w:r w:rsidR="00585E26" w:rsidRPr="00ED7E61">
        <w:rPr>
          <w:rStyle w:val="normaltextrun"/>
          <w:rFonts w:asciiTheme="majorBidi" w:eastAsiaTheme="majorEastAsia" w:hAnsiTheme="majorBidi" w:cstheme="majorBidi"/>
        </w:rPr>
        <w:t xml:space="preserve"> </w:t>
      </w:r>
      <w:r>
        <w:rPr>
          <w:rStyle w:val="normaltextrun"/>
          <w:rFonts w:asciiTheme="majorBidi" w:eastAsiaTheme="majorEastAsia" w:hAnsiTheme="majorBidi" w:cstheme="majorBidi"/>
        </w:rPr>
        <w:t>c</w:t>
      </w:r>
      <w:r w:rsidR="00756F0F" w:rsidRPr="00ED7E61">
        <w:rPr>
          <w:rStyle w:val="normaltextrun"/>
          <w:rFonts w:asciiTheme="majorBidi" w:eastAsiaTheme="majorEastAsia" w:hAnsiTheme="majorBidi" w:cstheme="majorBidi"/>
        </w:rPr>
        <w:t>ompilation guidelines</w:t>
      </w:r>
      <w:r w:rsidR="00585E26" w:rsidRPr="00ED7E61">
        <w:rPr>
          <w:rStyle w:val="normaltextrun"/>
          <w:rFonts w:asciiTheme="majorBidi" w:eastAsiaTheme="majorEastAsia" w:hAnsiTheme="majorBidi" w:cstheme="majorBidi"/>
        </w:rPr>
        <w:t xml:space="preserve"> </w:t>
      </w:r>
      <w:r w:rsidR="00756F0F" w:rsidRPr="00ED7E61">
        <w:rPr>
          <w:rStyle w:val="normaltextrun"/>
          <w:rFonts w:asciiTheme="majorBidi" w:eastAsiaTheme="majorEastAsia" w:hAnsiTheme="majorBidi" w:cstheme="majorBidi"/>
        </w:rPr>
        <w:t>provide additional guidance on selection of ecosystem services for inclusion in the indicator</w:t>
      </w:r>
      <w:proofErr w:type="gramStart"/>
      <w:r w:rsidR="00756F0F" w:rsidRPr="00ED7E61">
        <w:rPr>
          <w:rStyle w:val="normaltextrun"/>
          <w:rFonts w:asciiTheme="majorBidi" w:eastAsiaTheme="majorEastAsia" w:hAnsiTheme="majorBidi" w:cstheme="majorBidi"/>
        </w:rPr>
        <w:t xml:space="preserve">, </w:t>
      </w:r>
      <w:r w:rsidR="00585E26" w:rsidRPr="00ED7E61">
        <w:rPr>
          <w:rStyle w:val="normaltextrun"/>
          <w:rFonts w:asciiTheme="majorBidi" w:eastAsiaTheme="majorEastAsia" w:hAnsiTheme="majorBidi" w:cstheme="majorBidi"/>
        </w:rPr>
        <w:t>,</w:t>
      </w:r>
      <w:proofErr w:type="gramEnd"/>
      <w:r w:rsidR="00585E26" w:rsidRPr="00ED7E61">
        <w:rPr>
          <w:rStyle w:val="normaltextrun"/>
          <w:rFonts w:asciiTheme="majorBidi" w:eastAsiaTheme="majorEastAsia" w:hAnsiTheme="majorBidi" w:cstheme="majorBidi"/>
        </w:rPr>
        <w:t xml:space="preserve"> </w:t>
      </w:r>
      <w:r w:rsidR="00756F0F" w:rsidRPr="00ED7E61">
        <w:rPr>
          <w:rStyle w:val="normaltextrun"/>
          <w:rFonts w:asciiTheme="majorBidi" w:eastAsiaTheme="majorEastAsia" w:hAnsiTheme="majorBidi" w:cstheme="majorBidi"/>
        </w:rPr>
        <w:t>including the minimum number of services to be included per broad ecosystem service category, and more detail on factors to consider in the selection process. </w:t>
      </w:r>
      <w:r w:rsidR="00756F0F" w:rsidRPr="00ED7E61">
        <w:rPr>
          <w:rStyle w:val="normaltextrun"/>
        </w:rPr>
        <w:t> </w:t>
      </w:r>
    </w:p>
    <w:p w14:paraId="4C31BA2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Stage 2 Compilation of ecosystem services accounts</w:t>
      </w:r>
      <w:r w:rsidRPr="00ED7E61">
        <w:rPr>
          <w:rStyle w:val="eop"/>
          <w:rFonts w:asciiTheme="majorBidi" w:eastAsiaTheme="majorEastAsia" w:hAnsiTheme="majorBidi" w:cstheme="majorBidi"/>
          <w:sz w:val="22"/>
          <w:szCs w:val="22"/>
        </w:rPr>
        <w:t> </w:t>
      </w:r>
    </w:p>
    <w:p w14:paraId="2ABF0BE3" w14:textId="5B4D240A" w:rsidR="00756F0F" w:rsidRPr="00ED7E6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second stage of developing the indicator is to compile accounts for each of the ecosystem services selected. The accounts should be compiled ideally at the national level, based on the SEEA Ecosystem Accounting. Methods for this are described in SEEA Ecosystem Accounting, with some supporting material already available (for example, </w:t>
      </w:r>
      <w:hyperlink r:id="rId168" w:tgtFrame="_blank" w:history="1">
        <w:r w:rsidRPr="00ED7E61">
          <w:rPr>
            <w:rStyle w:val="normaltextrun"/>
            <w:rFonts w:asciiTheme="majorBidi" w:eastAsiaTheme="majorEastAsia" w:hAnsiTheme="majorBidi" w:cstheme="majorBidi"/>
          </w:rPr>
          <w:t>SEEA e-learning resources | System of Environmental Economic Accounting</w:t>
        </w:r>
      </w:hyperlink>
      <w:r w:rsidRPr="00ED7E61">
        <w:rPr>
          <w:rStyle w:val="normaltextrun"/>
          <w:rFonts w:asciiTheme="majorBidi" w:eastAsiaTheme="majorEastAsia" w:hAnsiTheme="majorBidi" w:cstheme="majorBidi"/>
        </w:rPr>
        <w:t>) and more in development. For an example of an ecosystem services accounting table, see Table 7.1 in SEEA Ecosystem Accounting.</w:t>
      </w:r>
      <w:r w:rsidRPr="00ED7E61">
        <w:rPr>
          <w:rStyle w:val="normaltextrun"/>
        </w:rPr>
        <w:t> </w:t>
      </w:r>
      <w:r w:rsidR="00081A5A">
        <w:t>Preliminary ecosystem services accounts may be compiled if formal accounts have not yet been developed and published.</w:t>
      </w:r>
    </w:p>
    <w:p w14:paraId="7E37D343" w14:textId="77777777" w:rsidR="00756F0F" w:rsidRPr="00ED7E61" w:rsidRDefault="00756F0F" w:rsidP="00B10F0C">
      <w:pPr>
        <w:pStyle w:val="CBDNormalNumber"/>
        <w:numPr>
          <w:ilvl w:val="0"/>
          <w:numId w:val="61"/>
        </w:numPr>
        <w:ind w:left="567" w:firstLine="0"/>
        <w:rPr>
          <w:rStyle w:val="normaltextrun"/>
          <w:rFonts w:eastAsiaTheme="majorEastAsia"/>
        </w:rPr>
      </w:pPr>
      <w:r w:rsidRPr="00ED7E61">
        <w:rPr>
          <w:rStyle w:val="normaltextrun"/>
          <w:rFonts w:asciiTheme="majorBidi" w:eastAsiaTheme="majorEastAsia" w:hAnsiTheme="majorBidi" w:cstheme="majorBidi"/>
        </w:rPr>
        <w:t>There may be some iteration between selection of ecosystem services and compilation of the accounts, as data needs and data availability for specific ecosystem services are determined.</w:t>
      </w:r>
      <w:r w:rsidRPr="00ED7E61">
        <w:rPr>
          <w:rStyle w:val="normaltextrun"/>
        </w:rPr>
        <w:t> </w:t>
      </w:r>
    </w:p>
    <w:p w14:paraId="3EB09C5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i/>
          <w:iCs/>
          <w:color w:val="000000"/>
          <w:sz w:val="22"/>
          <w:szCs w:val="22"/>
        </w:rPr>
      </w:pPr>
      <w:r w:rsidRPr="00ED7E61">
        <w:rPr>
          <w:rStyle w:val="normaltextrun"/>
          <w:rFonts w:asciiTheme="majorBidi" w:eastAsiaTheme="majorEastAsia" w:hAnsiTheme="majorBidi" w:cstheme="majorBidi"/>
          <w:i/>
          <w:iCs/>
          <w:color w:val="000000"/>
          <w:sz w:val="22"/>
          <w:szCs w:val="22"/>
          <w:lang w:val="en-GB"/>
        </w:rPr>
        <w:t>Stage 3 Indicator calculation</w:t>
      </w:r>
      <w:r w:rsidRPr="00ED7E61">
        <w:rPr>
          <w:rStyle w:val="eop"/>
          <w:rFonts w:asciiTheme="majorBidi" w:eastAsiaTheme="majorEastAsia" w:hAnsiTheme="majorBidi" w:cstheme="majorBidi"/>
          <w:i/>
          <w:iCs/>
          <w:color w:val="000000"/>
          <w:sz w:val="22"/>
          <w:szCs w:val="22"/>
        </w:rPr>
        <w:t> </w:t>
      </w:r>
    </w:p>
    <w:p w14:paraId="186A77C5" w14:textId="14035EF1" w:rsidR="00756F0F" w:rsidRPr="00ED7E6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lastRenderedPageBreak/>
        <w:t xml:space="preserve">The third stage of developing the indicator involves taking information from the ecosystem services accounts to develop an aggregate index of change in ecosystem service </w:t>
      </w:r>
      <w:r w:rsidR="00081A5A">
        <w:rPr>
          <w:rStyle w:val="normaltextrun"/>
          <w:rFonts w:asciiTheme="majorBidi" w:eastAsiaTheme="majorEastAsia" w:hAnsiTheme="majorBidi" w:cstheme="majorBidi"/>
        </w:rPr>
        <w:t>flows</w:t>
      </w:r>
      <w:r w:rsidRPr="00ED7E61">
        <w:rPr>
          <w:rStyle w:val="normaltextrun"/>
          <w:rFonts w:asciiTheme="majorBidi" w:eastAsiaTheme="majorEastAsia" w:hAnsiTheme="majorBidi" w:cstheme="majorBidi"/>
        </w:rPr>
        <w:t>. Since, in physical terms, each ecosystem service is measured in a different unit, a simple summation across ecosystem services is not possible. Hence, an indicator that allow</w:t>
      </w:r>
      <w:r w:rsidR="00857E35">
        <w:rPr>
          <w:rStyle w:val="normaltextrun"/>
          <w:rFonts w:asciiTheme="majorBidi" w:eastAsiaTheme="majorEastAsia" w:hAnsiTheme="majorBidi" w:cstheme="majorBidi"/>
        </w:rPr>
        <w:t>s</w:t>
      </w:r>
      <w:r w:rsidRPr="00ED7E61">
        <w:rPr>
          <w:rStyle w:val="normaltextrun"/>
          <w:rFonts w:asciiTheme="majorBidi" w:eastAsiaTheme="majorEastAsia" w:hAnsiTheme="majorBidi" w:cstheme="majorBidi"/>
        </w:rPr>
        <w:t xml:space="preserve"> aggregation across ecosystem services </w:t>
      </w:r>
      <w:r w:rsidR="00857E35">
        <w:rPr>
          <w:rStyle w:val="normaltextrun"/>
          <w:rFonts w:asciiTheme="majorBidi" w:eastAsiaTheme="majorEastAsia" w:hAnsiTheme="majorBidi" w:cstheme="majorBidi"/>
        </w:rPr>
        <w:t>using different measurement units is needed</w:t>
      </w:r>
      <w:r w:rsidRPr="00ED7E61">
        <w:rPr>
          <w:rStyle w:val="normaltextrun"/>
          <w:rFonts w:asciiTheme="majorBidi" w:eastAsiaTheme="majorEastAsia" w:hAnsiTheme="majorBidi" w:cstheme="majorBidi"/>
        </w:rPr>
        <w:t>. Several options were identified</w:t>
      </w:r>
      <w:r w:rsidR="00033398">
        <w:rPr>
          <w:rStyle w:val="normaltextrun"/>
          <w:rFonts w:asciiTheme="majorBidi" w:eastAsiaTheme="majorEastAsia" w:hAnsiTheme="majorBidi" w:cstheme="majorBidi"/>
        </w:rPr>
        <w:t xml:space="preserve"> and assessed</w:t>
      </w:r>
      <w:r w:rsidRPr="00ED7E61">
        <w:rPr>
          <w:rStyle w:val="normaltextrun"/>
          <w:rFonts w:asciiTheme="majorBidi" w:eastAsiaTheme="majorEastAsia" w:hAnsiTheme="majorBidi" w:cstheme="majorBidi"/>
        </w:rPr>
        <w:t>, including aggregation of trends (rates of change) in quantitative terms using an averaging method, semi-qualitative approaches, and aggregation in monetary terms. </w:t>
      </w:r>
      <w:r w:rsidRPr="00ED7E61">
        <w:rPr>
          <w:rStyle w:val="normaltextrun"/>
        </w:rPr>
        <w:t> </w:t>
      </w:r>
    </w:p>
    <w:p w14:paraId="478182F4" w14:textId="4393E0BF" w:rsidR="00756F0F" w:rsidRPr="00ED7E61" w:rsidRDefault="00756F0F" w:rsidP="00B10F0C">
      <w:pPr>
        <w:pStyle w:val="CBDNormalNumber"/>
        <w:numPr>
          <w:ilvl w:val="0"/>
          <w:numId w:val="61"/>
        </w:numPr>
        <w:ind w:left="567" w:firstLine="0"/>
        <w:rPr>
          <w:rStyle w:val="normaltextrun"/>
        </w:rPr>
      </w:pPr>
      <w:r w:rsidRPr="00ED7E61">
        <w:rPr>
          <w:rStyle w:val="normaltextrun"/>
          <w:rFonts w:asciiTheme="majorBidi" w:eastAsiaTheme="majorEastAsia" w:hAnsiTheme="majorBidi" w:cstheme="majorBidi"/>
        </w:rPr>
        <w:t xml:space="preserve">Based on exploration and testing experts converged </w:t>
      </w:r>
      <w:proofErr w:type="gramStart"/>
      <w:r w:rsidR="00033398">
        <w:rPr>
          <w:rStyle w:val="normaltextrun"/>
          <w:rFonts w:asciiTheme="majorBidi" w:eastAsiaTheme="majorEastAsia" w:hAnsiTheme="majorBidi" w:cstheme="majorBidi"/>
        </w:rPr>
        <w:t xml:space="preserve">on </w:t>
      </w:r>
      <w:r w:rsidRPr="00ED7E61">
        <w:rPr>
          <w:rStyle w:val="normaltextrun"/>
          <w:rFonts w:asciiTheme="majorBidi" w:eastAsiaTheme="majorEastAsia" w:hAnsiTheme="majorBidi" w:cstheme="majorBidi"/>
        </w:rPr>
        <w:t xml:space="preserve"> an</w:t>
      </w:r>
      <w:proofErr w:type="gramEnd"/>
      <w:r w:rsidRPr="00ED7E61">
        <w:rPr>
          <w:rStyle w:val="normaltextrun"/>
          <w:rFonts w:asciiTheme="majorBidi" w:eastAsiaTheme="majorEastAsia" w:hAnsiTheme="majorBidi" w:cstheme="majorBidi"/>
        </w:rPr>
        <w:t xml:space="preserve"> aggregation method using a geometric mean of </w:t>
      </w:r>
      <w:r w:rsidR="00033398">
        <w:rPr>
          <w:rStyle w:val="normaltextrun"/>
          <w:rFonts w:asciiTheme="majorBidi" w:eastAsiaTheme="majorEastAsia" w:hAnsiTheme="majorBidi" w:cstheme="majorBidi"/>
        </w:rPr>
        <w:t xml:space="preserve">the relative </w:t>
      </w:r>
      <w:r w:rsidRPr="00ED7E61">
        <w:rPr>
          <w:rStyle w:val="normaltextrun"/>
          <w:rFonts w:asciiTheme="majorBidi" w:eastAsiaTheme="majorEastAsia" w:hAnsiTheme="majorBidi" w:cstheme="majorBidi"/>
        </w:rPr>
        <w:t xml:space="preserve">trends of ecosystem services </w:t>
      </w:r>
      <w:r w:rsidR="00ED1A22">
        <w:rPr>
          <w:rStyle w:val="normaltextrun"/>
          <w:rFonts w:asciiTheme="majorBidi" w:eastAsiaTheme="majorEastAsia" w:hAnsiTheme="majorBidi" w:cstheme="majorBidi"/>
        </w:rPr>
        <w:t>as</w:t>
      </w:r>
      <w:r w:rsidRPr="00ED7E61">
        <w:rPr>
          <w:rStyle w:val="normaltextrun"/>
          <w:rFonts w:asciiTheme="majorBidi" w:eastAsiaTheme="majorEastAsia" w:hAnsiTheme="majorBidi" w:cstheme="majorBidi"/>
        </w:rPr>
        <w:t xml:space="preserve"> the most viable option. The chain method for calculating the geometric mean has the advantage that it allows for different time series lengths with different starting years for different ecosystem services. </w:t>
      </w:r>
    </w:p>
    <w:p w14:paraId="1DAC8598" w14:textId="1B21DE19" w:rsidR="00585E26" w:rsidRPr="00ED7E61" w:rsidRDefault="00756F0F" w:rsidP="00B10F0C">
      <w:pPr>
        <w:pStyle w:val="CBDNormalNumber"/>
        <w:numPr>
          <w:ilvl w:val="0"/>
          <w:numId w:val="61"/>
        </w:numPr>
        <w:ind w:left="567"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In addition to a single aggregate index, three sub-indices, one for each broad category of ecosystem services (i.e. provisioning, regulating and cultural) should be calculated and reported. Because trends in provisioning, regulating and cultural ecosystem services often move in different directions, which can be masked by the overall index, it will be important to present the overall index and the three sub-indices together, not just the overall index. </w:t>
      </w:r>
      <w:r w:rsidR="00585E26" w:rsidRPr="00ED7E61">
        <w:rPr>
          <w:rStyle w:val="normaltextrun"/>
          <w:rFonts w:asciiTheme="majorBidi" w:eastAsiaTheme="majorEastAsia" w:hAnsiTheme="majorBidi" w:cstheme="majorBidi"/>
        </w:rPr>
        <w:t xml:space="preserve">Further guidance on the aggregation method and </w:t>
      </w:r>
      <w:proofErr w:type="spellStart"/>
      <w:r w:rsidR="00585E26" w:rsidRPr="00ED7E61">
        <w:rPr>
          <w:rStyle w:val="normaltextrun"/>
          <w:rFonts w:asciiTheme="majorBidi" w:eastAsiaTheme="majorEastAsia" w:hAnsiTheme="majorBidi" w:cstheme="majorBidi"/>
        </w:rPr>
        <w:t>disaggregations</w:t>
      </w:r>
      <w:proofErr w:type="spellEnd"/>
      <w:r w:rsidR="00585E26" w:rsidRPr="00ED7E61">
        <w:rPr>
          <w:rStyle w:val="normaltextrun"/>
          <w:rFonts w:asciiTheme="majorBidi" w:eastAsiaTheme="majorEastAsia" w:hAnsiTheme="majorBidi" w:cstheme="majorBidi"/>
        </w:rPr>
        <w:t xml:space="preserve"> </w:t>
      </w:r>
      <w:r w:rsidR="002A4F3D">
        <w:rPr>
          <w:rStyle w:val="normaltextrun"/>
          <w:rFonts w:asciiTheme="majorBidi" w:eastAsiaTheme="majorEastAsia" w:hAnsiTheme="majorBidi" w:cstheme="majorBidi"/>
        </w:rPr>
        <w:t>is</w:t>
      </w:r>
      <w:r w:rsidR="00585E26" w:rsidRPr="00ED7E61">
        <w:rPr>
          <w:rStyle w:val="normaltextrun"/>
          <w:rFonts w:asciiTheme="majorBidi" w:eastAsiaTheme="majorEastAsia" w:hAnsiTheme="majorBidi" w:cstheme="majorBidi"/>
        </w:rPr>
        <w:t xml:space="preserve"> provided in the compilation guidelines.</w:t>
      </w:r>
    </w:p>
    <w:p w14:paraId="4E89A1EE" w14:textId="7D522F55" w:rsidR="00756F0F" w:rsidRPr="00ED7E61" w:rsidRDefault="00756F0F" w:rsidP="00B10F0C">
      <w:pPr>
        <w:pStyle w:val="CBDNormalNumber"/>
        <w:numPr>
          <w:ilvl w:val="0"/>
          <w:numId w:val="61"/>
        </w:numPr>
        <w:ind w:left="567" w:firstLine="0"/>
        <w:rPr>
          <w:rStyle w:val="normaltextrun"/>
          <w:rFonts w:eastAsiaTheme="majorEastAsia"/>
        </w:rPr>
      </w:pPr>
      <w:r w:rsidRPr="00ED7E61">
        <w:rPr>
          <w:rStyle w:val="normaltextrun"/>
          <w:rFonts w:asciiTheme="majorBidi" w:eastAsiaTheme="majorEastAsia" w:hAnsiTheme="majorBidi" w:cstheme="majorBidi"/>
        </w:rPr>
        <w:t>In addition to the aggregate index in biophysical terms, aggregate measures of ecosystem services in monetary terms could be reported by Parties as a component indicator</w:t>
      </w:r>
      <w:r w:rsidR="002A4F3D">
        <w:rPr>
          <w:rStyle w:val="normaltextrun"/>
          <w:rFonts w:asciiTheme="majorBidi" w:eastAsiaTheme="majorEastAsia" w:hAnsiTheme="majorBidi" w:cstheme="majorBidi"/>
        </w:rPr>
        <w:t xml:space="preserve"> for Goal B</w:t>
      </w:r>
      <w:r w:rsidRPr="00ED7E61">
        <w:rPr>
          <w:rStyle w:val="normaltextrun"/>
          <w:rFonts w:asciiTheme="majorBidi" w:eastAsiaTheme="majorEastAsia" w:hAnsiTheme="majorBidi" w:cstheme="majorBidi"/>
        </w:rPr>
        <w:t>. If monetary ecosystem services accounts have been developed, aggregate measures in monetary terms can be derived by summing total supply or use for each ecosystem service for the same period, with care taken to use constant prices across accounting periods to ensure that the values are expressed in real rather than nominal terms. The monetary value of ecosystem services can be expressed as a percentage of gross value added (GVA) from the national (economic) accounts. </w:t>
      </w:r>
      <w:r w:rsidRPr="00ED7E61">
        <w:rPr>
          <w:rStyle w:val="normaltextrun"/>
        </w:rPr>
        <w:t> </w:t>
      </w:r>
    </w:p>
    <w:p w14:paraId="111618C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2709335B" w14:textId="77777777" w:rsidR="00AE4B3F" w:rsidRPr="00AE4B3F" w:rsidRDefault="00756F0F" w:rsidP="00AE4B3F">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compilation of ecosystem services accounts should ideally be based on national time-series datasets for ecosystem services, which could combine data from a range of sources to provide the best available estimates of ecosystem service supply and use. For many ecosystem services, some form of modelling is required to produce these estimates. If suitable national datasets are not available and cannot be developed with current resources, an alternative is to use available global datasets and models to develop initial estimates for the accounts, subject to criteria, standards and quality assurance. Validation by relevant national experts through appropriate institutional processes would be required to assess whether the results from global datasets and models are credible. Several global tools are available, such as ARIES for SEEA, </w:t>
      </w:r>
      <w:proofErr w:type="spellStart"/>
      <w:r w:rsidRPr="00ED7E61">
        <w:rPr>
          <w:rStyle w:val="normaltextrun"/>
          <w:rFonts w:asciiTheme="majorBidi" w:eastAsiaTheme="majorEastAsia" w:hAnsiTheme="majorBidi" w:cstheme="majorBidi"/>
        </w:rPr>
        <w:t>InVEST</w:t>
      </w:r>
      <w:proofErr w:type="spellEnd"/>
      <w:r w:rsidRPr="00ED7E61">
        <w:rPr>
          <w:rStyle w:val="normaltextrun"/>
          <w:rFonts w:asciiTheme="majorBidi" w:eastAsiaTheme="majorEastAsia" w:hAnsiTheme="majorBidi" w:cstheme="majorBidi"/>
        </w:rPr>
        <w:t>, ESTIMAP. In some cases, these global tools allow for the incorporation of national datasets and/or models. Further guidance for some ecosystem services is available in Guidelines on Biophysical Modelling for Ecosystem Accounting (United Nations 2021). In addition, a wealth of literature is available on measuring ecosystem services.</w:t>
      </w:r>
      <w:r w:rsidRPr="00ED7E61">
        <w:rPr>
          <w:rStyle w:val="normaltextrun"/>
        </w:rPr>
        <w:t> </w:t>
      </w:r>
    </w:p>
    <w:p w14:paraId="48D54CE0" w14:textId="1B29A0C4" w:rsidR="00AE4B3F" w:rsidRPr="00AE4B3F" w:rsidRDefault="0069654B" w:rsidP="00AE4B3F">
      <w:pPr>
        <w:pStyle w:val="CBDNormalNumber"/>
        <w:numPr>
          <w:ilvl w:val="0"/>
          <w:numId w:val="61"/>
        </w:numPr>
        <w:ind w:left="567" w:firstLine="0"/>
        <w:rPr>
          <w:rFonts w:eastAsiaTheme="majorEastAsia"/>
          <w:sz w:val="24"/>
          <w:szCs w:val="24"/>
          <w:lang w:val="en-CA"/>
        </w:rPr>
      </w:pPr>
      <w:r w:rsidRPr="004F2FEF">
        <w:t>National data quality assurance frameworks should be applied as well as validation of the accounts by relevant national experts</w:t>
      </w:r>
      <w:r>
        <w:t>, discussed further in the compilation guidelines for the indicator</w:t>
      </w:r>
      <w:r w:rsidRPr="004F2FEF">
        <w:t>.</w:t>
      </w:r>
    </w:p>
    <w:p w14:paraId="13647993" w14:textId="07A7BB9E"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1098AC0F" w14:textId="77777777" w:rsidR="00756F0F" w:rsidRPr="00ED7E6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methodology for ecosystem services accounts in biophysical terms is well developed and accepted by the international statistical community as part of the SEEA Ecosystem Accounting framework.  The United Nations Statistical Commission at its 52nd session in 2021 adopted the SEEA Ecosystem Accounting chapters 1-7 describing the accounting framework and the biophysical accounts, including chapters on ecosystem services, as an international statistical standard, whereas chapters 8-11, which deal with accounts in monetary terms, were adopted as internationally recognized statistical principles and recommendations for the valuation of ecosystem services.</w:t>
      </w:r>
      <w:r w:rsidRPr="00ED7E61">
        <w:rPr>
          <w:rStyle w:val="normaltextrun"/>
        </w:rPr>
        <w:t> </w:t>
      </w:r>
    </w:p>
    <w:p w14:paraId="4C0D8301" w14:textId="08FC7BE8" w:rsidR="00756F0F" w:rsidRPr="00812871" w:rsidRDefault="00756F0F" w:rsidP="00B10F0C">
      <w:pPr>
        <w:pStyle w:val="CBDNormalNumber"/>
        <w:numPr>
          <w:ilvl w:val="0"/>
          <w:numId w:val="61"/>
        </w:numPr>
        <w:ind w:left="567" w:firstLine="0"/>
        <w:rPr>
          <w:rStyle w:val="normaltextrun"/>
          <w:rFonts w:eastAsiaTheme="majorEastAsia"/>
        </w:rPr>
      </w:pPr>
      <w:r w:rsidRPr="00ED7E61">
        <w:rPr>
          <w:rStyle w:val="normaltextrun"/>
          <w:rFonts w:asciiTheme="majorBidi" w:eastAsiaTheme="majorEastAsia" w:hAnsiTheme="majorBidi" w:cstheme="majorBidi"/>
        </w:rPr>
        <w:lastRenderedPageBreak/>
        <w:t>As noted in Section 5b., some material is available to support the development of ecosystem accounts including ecosystem services accounts (for example</w:t>
      </w:r>
      <w:r w:rsidR="006010B9">
        <w:rPr>
          <w:rStyle w:val="normaltextrun"/>
          <w:rFonts w:asciiTheme="majorBidi" w:eastAsiaTheme="majorEastAsia" w:hAnsiTheme="majorBidi" w:cstheme="majorBidi"/>
        </w:rPr>
        <w:t xml:space="preserve"> </w:t>
      </w:r>
      <w:hyperlink r:id="rId169" w:history="1">
        <w:r w:rsidR="006010B9" w:rsidRPr="00E64684">
          <w:rPr>
            <w:rStyle w:val="Hyperlink"/>
            <w:rFonts w:asciiTheme="majorBidi" w:eastAsiaTheme="majorEastAsia" w:hAnsiTheme="majorBidi" w:cstheme="majorBidi"/>
            <w:lang w:val="en-CA"/>
          </w:rPr>
          <w:t>https://seea.un.org/content/seea-e-learning-resources</w:t>
        </w:r>
      </w:hyperlink>
      <w:r w:rsidRPr="00ED7E61">
        <w:rPr>
          <w:rStyle w:val="normaltextrun"/>
          <w:rFonts w:asciiTheme="majorBidi" w:eastAsiaTheme="majorEastAsia" w:hAnsiTheme="majorBidi" w:cstheme="majorBidi"/>
        </w:rPr>
        <w:t>), with more in development. In addition, capacity development for Parties, especially for developing countries, should be provided to support the compilation of this this indicator.</w:t>
      </w:r>
      <w:r w:rsidRPr="00ED7E61">
        <w:rPr>
          <w:rStyle w:val="normaltextrun"/>
        </w:rPr>
        <w:t> </w:t>
      </w:r>
    </w:p>
    <w:p w14:paraId="2925DADF" w14:textId="1131F64B" w:rsidR="00D13ACE" w:rsidRPr="00ED7E61" w:rsidRDefault="008E6998" w:rsidP="00B10F0C">
      <w:pPr>
        <w:pStyle w:val="CBDNormalNumber"/>
        <w:numPr>
          <w:ilvl w:val="0"/>
          <w:numId w:val="61"/>
        </w:numPr>
        <w:ind w:left="567" w:firstLine="0"/>
        <w:rPr>
          <w:rStyle w:val="normaltextrun"/>
          <w:rFonts w:eastAsiaTheme="majorEastAsia"/>
        </w:rPr>
      </w:pPr>
      <w:r>
        <w:rPr>
          <w:rStyle w:val="normaltextrun"/>
        </w:rPr>
        <w:t>A</w:t>
      </w:r>
      <w:r w:rsidRPr="004B13CF">
        <w:rPr>
          <w:rStyle w:val="normaltextrun"/>
        </w:rPr>
        <w:t>dditional compilation guidance for this indicator is being prepared through an expert process led by the UN Statistics Division. A draft is available on the meeting webpage for SBSTTA-28. The guidelines will be finalised by January 2027.</w:t>
      </w:r>
      <w:r w:rsidRPr="00ED7E61">
        <w:rPr>
          <w:rStyle w:val="normaltextrun"/>
        </w:rPr>
        <w:t> </w:t>
      </w:r>
    </w:p>
    <w:p w14:paraId="4CCF78A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4E548492" w14:textId="77777777" w:rsidR="00756F0F" w:rsidRPr="0081287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See Section 5c Data collection method. A very wide range of data sources go into the compilation of ecosystem services accounts, and these differ depending on which ecosystem service is being measured. Data could be sourced from research institutions, various government ministries, national mapping agencies, national statistical offices, various government departments and other organs of state at the national or sub-national level (such as municipalities). Remote sensing and earth observation data play an important role for some ecosystem services. </w:t>
      </w:r>
      <w:r w:rsidRPr="00ED7E61">
        <w:rPr>
          <w:rStyle w:val="normaltextrun"/>
        </w:rPr>
        <w:t> </w:t>
      </w:r>
    </w:p>
    <w:p w14:paraId="35555D3A" w14:textId="77777777" w:rsidR="007F368B" w:rsidRPr="00ED7E61" w:rsidRDefault="007F368B" w:rsidP="007F368B">
      <w:pPr>
        <w:pStyle w:val="CBDNormalNumber"/>
        <w:numPr>
          <w:ilvl w:val="0"/>
          <w:numId w:val="61"/>
        </w:numPr>
        <w:ind w:left="567" w:firstLine="0"/>
        <w:rPr>
          <w:rStyle w:val="normaltextrun"/>
          <w:rFonts w:eastAsiaTheme="majorEastAsia"/>
          <w:sz w:val="24"/>
          <w:szCs w:val="24"/>
          <w:lang w:val="en-CA"/>
        </w:rPr>
      </w:pPr>
      <w:r w:rsidRPr="00FD517D">
        <w:rPr>
          <w:rStyle w:val="normaltextrun"/>
          <w:rFonts w:asciiTheme="majorBidi" w:eastAsiaTheme="majorEastAsia" w:hAnsiTheme="majorBidi" w:cstheme="majorBidi"/>
        </w:rPr>
        <w:t xml:space="preserve">In the absence of national data sources, regional and global datasets can be used, subject to criteria, standards and quality assurance, including validation at the national level through appropriate institutional processes involving relevant national experts. For example, ARIES for SEEA allows users to derive a basic ecosystem </w:t>
      </w:r>
      <w:r>
        <w:rPr>
          <w:rStyle w:val="normaltextrun"/>
          <w:rFonts w:asciiTheme="majorBidi" w:eastAsiaTheme="majorEastAsia" w:hAnsiTheme="majorBidi" w:cstheme="majorBidi"/>
        </w:rPr>
        <w:t>services</w:t>
      </w:r>
      <w:r w:rsidRPr="00FD517D">
        <w:rPr>
          <w:rStyle w:val="normaltextrun"/>
          <w:rFonts w:asciiTheme="majorBidi" w:eastAsiaTheme="majorEastAsia" w:hAnsiTheme="majorBidi" w:cstheme="majorBidi"/>
        </w:rPr>
        <w:t xml:space="preserve"> account</w:t>
      </w:r>
      <w:r>
        <w:rPr>
          <w:rStyle w:val="normaltextrun"/>
          <w:rFonts w:asciiTheme="majorBidi" w:eastAsiaTheme="majorEastAsia" w:hAnsiTheme="majorBidi" w:cstheme="majorBidi"/>
        </w:rPr>
        <w:t xml:space="preserve">s for selected ecosystem services. This includes for deriving national estimates for grazed biomass provisioning, global climate regulation, coastal protection and recreation-related ecosystem services. </w:t>
      </w:r>
      <w:r w:rsidRPr="00ED7E61">
        <w:rPr>
          <w:rStyle w:val="normaltextrun"/>
          <w:rFonts w:asciiTheme="majorBidi" w:eastAsiaTheme="majorEastAsia" w:hAnsiTheme="majorBidi" w:cstheme="majorBidi"/>
        </w:rPr>
        <w:t> </w:t>
      </w:r>
      <w:r w:rsidRPr="00ED7E61">
        <w:rPr>
          <w:rStyle w:val="normaltextrun"/>
        </w:rPr>
        <w:t> </w:t>
      </w:r>
    </w:p>
    <w:p w14:paraId="0131C158" w14:textId="77777777" w:rsidR="007F368B" w:rsidRPr="00ED7E61" w:rsidRDefault="007F368B" w:rsidP="00B10F0C">
      <w:pPr>
        <w:pStyle w:val="CBDNormalNumber"/>
        <w:numPr>
          <w:ilvl w:val="0"/>
          <w:numId w:val="61"/>
        </w:numPr>
        <w:ind w:left="567" w:firstLine="0"/>
        <w:rPr>
          <w:rStyle w:val="normaltextrun"/>
          <w:rFonts w:eastAsiaTheme="majorEastAsia"/>
          <w:sz w:val="24"/>
          <w:szCs w:val="24"/>
          <w:lang w:val="en-CA"/>
        </w:rPr>
      </w:pPr>
    </w:p>
    <w:p w14:paraId="1B6EB01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0065BD58" w14:textId="04088B5B" w:rsidR="00756F0F" w:rsidRPr="00ED7E6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According to the Global Assessment of Environmental-Economic Accounting and Supporting Statistics (</w:t>
      </w:r>
      <w:r w:rsidR="00385545">
        <w:rPr>
          <w:rStyle w:val="normaltextrun"/>
          <w:rFonts w:asciiTheme="majorBidi" w:eastAsiaTheme="majorEastAsia" w:hAnsiTheme="majorBidi" w:cstheme="majorBidi"/>
        </w:rPr>
        <w:t xml:space="preserve">United Nations, </w:t>
      </w:r>
      <w:r w:rsidRPr="00ED7E61">
        <w:rPr>
          <w:rStyle w:val="normaltextrun"/>
          <w:rFonts w:asciiTheme="majorBidi" w:eastAsiaTheme="majorEastAsia" w:hAnsiTheme="majorBidi" w:cstheme="majorBidi"/>
        </w:rPr>
        <w:t xml:space="preserve">2023) undertaken by the UNSD, </w:t>
      </w:r>
      <w:r w:rsidR="00385545">
        <w:rPr>
          <w:rStyle w:val="normaltextrun"/>
          <w:rFonts w:asciiTheme="majorBidi" w:eastAsiaTheme="majorEastAsia" w:hAnsiTheme="majorBidi" w:cstheme="majorBidi"/>
        </w:rPr>
        <w:t>34</w:t>
      </w:r>
      <w:r w:rsidR="00385545"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countries compiled biophysical ecosystem services accounts at least once and </w:t>
      </w:r>
      <w:r w:rsidR="00385545">
        <w:rPr>
          <w:rStyle w:val="normaltextrun"/>
          <w:rFonts w:asciiTheme="majorBidi" w:eastAsiaTheme="majorEastAsia" w:hAnsiTheme="majorBidi" w:cstheme="majorBidi"/>
        </w:rPr>
        <w:t>18</w:t>
      </w:r>
      <w:r w:rsidR="00385545"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countries compiled monetary ecosystem services accounts at least once during the period </w:t>
      </w:r>
      <w:r w:rsidR="00385545">
        <w:rPr>
          <w:rStyle w:val="normaltextrun"/>
          <w:rFonts w:asciiTheme="majorBidi" w:eastAsiaTheme="majorEastAsia" w:hAnsiTheme="majorBidi" w:cstheme="majorBidi"/>
        </w:rPr>
        <w:t>2021</w:t>
      </w:r>
      <w:r w:rsidR="00385545"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to </w:t>
      </w:r>
      <w:r w:rsidR="00385545">
        <w:rPr>
          <w:rStyle w:val="normaltextrun"/>
          <w:rFonts w:asciiTheme="majorBidi" w:eastAsiaTheme="majorEastAsia" w:hAnsiTheme="majorBidi" w:cstheme="majorBidi"/>
        </w:rPr>
        <w:t>2025</w:t>
      </w:r>
      <w:r w:rsidRPr="00ED7E61">
        <w:rPr>
          <w:rStyle w:val="normaltextrun"/>
          <w:rFonts w:asciiTheme="majorBidi" w:eastAsiaTheme="majorEastAsia" w:hAnsiTheme="majorBidi" w:cstheme="majorBidi"/>
        </w:rPr>
        <w:t>. Ideally ecosystem services accounts would be compiled annually, but in practice few countries would have the capacity to do this, so accounting periods of three to five years are more likely</w:t>
      </w:r>
      <w:r w:rsidRPr="00ED7E61">
        <w:rPr>
          <w:rStyle w:val="normaltextrun"/>
        </w:rPr>
        <w:t> </w:t>
      </w:r>
    </w:p>
    <w:p w14:paraId="5A1D96C9" w14:textId="77777777" w:rsidR="00756F0F" w:rsidRPr="00ED7E61" w:rsidRDefault="00756F0F" w:rsidP="00B10F0C">
      <w:pPr>
        <w:pStyle w:val="CBDNormalNumber"/>
        <w:numPr>
          <w:ilvl w:val="0"/>
          <w:numId w:val="61"/>
        </w:numPr>
        <w:ind w:left="567" w:firstLine="0"/>
        <w:rPr>
          <w:rStyle w:val="normaltextrun"/>
          <w:rFonts w:eastAsiaTheme="majorEastAsia"/>
        </w:rPr>
      </w:pPr>
      <w:r w:rsidRPr="00ED7E61">
        <w:rPr>
          <w:rStyle w:val="normaltextrun"/>
          <w:rFonts w:asciiTheme="majorBidi" w:eastAsiaTheme="majorEastAsia" w:hAnsiTheme="majorBidi" w:cstheme="majorBidi"/>
        </w:rPr>
        <w:t>Global tools and databases to support ecosystem services accounting are currently under development (see Section 5c).</w:t>
      </w:r>
      <w:r w:rsidRPr="00ED7E61">
        <w:rPr>
          <w:rStyle w:val="normaltextrun"/>
        </w:rPr>
        <w:t> </w:t>
      </w:r>
    </w:p>
    <w:p w14:paraId="3C2E713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5CBB1FAE" w14:textId="77777777" w:rsidR="00756F0F" w:rsidRPr="00ED7E6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Data for the indicator in the form of ecosystem services accounts are not yet available for most countries. Time series for different ecosystem services accounts will differ. As ecosystem services accounts are developed at the national level, time series for different ecosystem services will depend on data availability, with back casting possible in some cases. </w:t>
      </w:r>
      <w:r w:rsidRPr="00ED7E61">
        <w:rPr>
          <w:rStyle w:val="normaltextrun"/>
        </w:rPr>
        <w:t> </w:t>
      </w:r>
    </w:p>
    <w:p w14:paraId="65B2EA90" w14:textId="73C5DF8E" w:rsidR="00756F0F" w:rsidRPr="00ED7E61" w:rsidRDefault="00756F0F" w:rsidP="00B10F0C">
      <w:pPr>
        <w:pStyle w:val="CBDNormalNumber"/>
        <w:numPr>
          <w:ilvl w:val="0"/>
          <w:numId w:val="61"/>
        </w:numPr>
        <w:ind w:left="567" w:firstLine="0"/>
      </w:pPr>
      <w:r w:rsidRPr="00ED7E61">
        <w:rPr>
          <w:rStyle w:val="normaltextrun"/>
          <w:rFonts w:asciiTheme="majorBidi" w:eastAsiaTheme="majorEastAsia" w:hAnsiTheme="majorBidi" w:cstheme="majorBidi"/>
        </w:rPr>
        <w:t xml:space="preserve">The </w:t>
      </w:r>
      <w:r w:rsidR="00640DD5">
        <w:rPr>
          <w:rStyle w:val="normaltextrun"/>
          <w:rFonts w:asciiTheme="majorBidi" w:eastAsiaTheme="majorEastAsia" w:hAnsiTheme="majorBidi" w:cstheme="majorBidi"/>
        </w:rPr>
        <w:t>reference</w:t>
      </w:r>
      <w:r w:rsidR="00640DD5"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year for global reporting under the GBF is 2020, or alternatively </w:t>
      </w:r>
      <w:r w:rsidR="00094A3D">
        <w:rPr>
          <w:rStyle w:val="normaltextrun"/>
          <w:rFonts w:asciiTheme="majorBidi" w:eastAsiaTheme="majorEastAsia" w:hAnsiTheme="majorBidi" w:cstheme="majorBidi"/>
        </w:rPr>
        <w:t xml:space="preserve">the period </w:t>
      </w:r>
      <w:r w:rsidRPr="00ED7E61">
        <w:rPr>
          <w:rStyle w:val="normaltextrun"/>
          <w:rFonts w:asciiTheme="majorBidi" w:eastAsiaTheme="majorEastAsia" w:hAnsiTheme="majorBidi" w:cstheme="majorBidi"/>
        </w:rPr>
        <w:t>201</w:t>
      </w:r>
      <w:r w:rsidR="00094A3D">
        <w:rPr>
          <w:rStyle w:val="normaltextrun"/>
          <w:rFonts w:asciiTheme="majorBidi" w:eastAsiaTheme="majorEastAsia" w:hAnsiTheme="majorBidi" w:cstheme="majorBidi"/>
        </w:rPr>
        <w:t>1</w:t>
      </w:r>
      <w:r w:rsidRPr="00ED7E61">
        <w:rPr>
          <w:rStyle w:val="normaltextrun"/>
          <w:rFonts w:asciiTheme="majorBidi" w:eastAsiaTheme="majorEastAsia" w:hAnsiTheme="majorBidi" w:cstheme="majorBidi"/>
        </w:rPr>
        <w:t xml:space="preserve"> </w:t>
      </w:r>
      <w:r w:rsidR="00094A3D">
        <w:rPr>
          <w:rStyle w:val="normaltextrun"/>
          <w:rFonts w:asciiTheme="majorBidi" w:eastAsiaTheme="majorEastAsia" w:hAnsiTheme="majorBidi" w:cstheme="majorBidi"/>
        </w:rPr>
        <w:t>to</w:t>
      </w:r>
      <w:r w:rsidR="00094A3D"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2020.Country baseline dates may be distinct from the global </w:t>
      </w:r>
      <w:r w:rsidR="005A16E3">
        <w:rPr>
          <w:rStyle w:val="normaltextrun"/>
          <w:rFonts w:asciiTheme="majorBidi" w:eastAsiaTheme="majorEastAsia" w:hAnsiTheme="majorBidi" w:cstheme="majorBidi"/>
        </w:rPr>
        <w:t>reference year/period</w:t>
      </w:r>
      <w:r w:rsidRPr="00ED7E61">
        <w:rPr>
          <w:rStyle w:val="normaltextrun"/>
          <w:rFonts w:asciiTheme="majorBidi" w:eastAsiaTheme="majorEastAsia" w:hAnsiTheme="majorBidi" w:cstheme="majorBidi"/>
        </w:rPr>
        <w:t>, depending on data available at the national level. </w:t>
      </w:r>
      <w:r w:rsidRPr="00ED7E61">
        <w:rPr>
          <w:rStyle w:val="normaltextrun"/>
        </w:rPr>
        <w:t> </w:t>
      </w:r>
    </w:p>
    <w:p w14:paraId="1BDD7B8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1AD9462F" w14:textId="77777777" w:rsidR="00756F0F" w:rsidRPr="00ED7E6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As discussed in Section 5e, a wide range of data sources go into the compilation of ecosystem services accounts. Data providers could include research institutions, various government ministries, national mapping agencies, national statistical offices, various government departments and other organs of state at the national or sub-national level (such as municipalities). Remote sensing and earth observation data play an important role for some ecosystem services.</w:t>
      </w:r>
      <w:r w:rsidRPr="00ED7E61">
        <w:rPr>
          <w:rStyle w:val="normaltextrun"/>
        </w:rPr>
        <w:t> </w:t>
      </w:r>
    </w:p>
    <w:p w14:paraId="1C6645E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1A93832F" w14:textId="091E4BCE" w:rsidR="00756F0F" w:rsidRPr="00ED7E61" w:rsidRDefault="00756F0F" w:rsidP="00B10F0C">
      <w:pPr>
        <w:pStyle w:val="CBDNormalNumber"/>
        <w:numPr>
          <w:ilvl w:val="0"/>
          <w:numId w:val="6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lastRenderedPageBreak/>
        <w:t>For countries that have national ecosystem services accounts, the relevant national authorities, in particular the national statistical offices, ministries of environment or related agencies, will compile this indicator. Missing values for individual countries may be estimated using ARIES for SEEA or another international data platform by the custodian agency using existing global data sources, subject to criteria, standards and quality assurance including national validation</w:t>
      </w:r>
      <w:r w:rsidR="005A16E3">
        <w:rPr>
          <w:rStyle w:val="normaltextrun"/>
          <w:rFonts w:asciiTheme="majorBidi" w:eastAsiaTheme="majorEastAsia" w:hAnsiTheme="majorBidi" w:cstheme="majorBidi"/>
        </w:rPr>
        <w:t xml:space="preserve"> through appropriate institutional processes involving relevant national experts</w:t>
      </w:r>
      <w:r w:rsidRPr="00ED7E61">
        <w:rPr>
          <w:rStyle w:val="normaltextrun"/>
        </w:rPr>
        <w:t> </w:t>
      </w:r>
    </w:p>
    <w:p w14:paraId="281C6FA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2F7AF9BF" w14:textId="77777777" w:rsidR="008D0B97" w:rsidRPr="008D0B97" w:rsidRDefault="008D0B97" w:rsidP="008D0B97">
      <w:pPr>
        <w:pStyle w:val="CBDNormalNumber"/>
        <w:numPr>
          <w:ilvl w:val="0"/>
          <w:numId w:val="61"/>
        </w:numPr>
        <w:ind w:left="567"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There are substantial data gaps at this stage for reliable estimates of a suite of ecosystem services in all countries. </w:t>
      </w:r>
      <w:r w:rsidRPr="008D0B97">
        <w:rPr>
          <w:rStyle w:val="normaltextrun"/>
          <w:rFonts w:asciiTheme="majorBidi" w:eastAsiaTheme="majorEastAsia" w:hAnsiTheme="majorBidi" w:cstheme="majorBidi"/>
        </w:rPr>
        <w:t> </w:t>
      </w:r>
    </w:p>
    <w:p w14:paraId="3C27C38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5k. Treatment of missing values</w:t>
      </w:r>
      <w:r w:rsidRPr="00ED7E61">
        <w:rPr>
          <w:rStyle w:val="eop"/>
          <w:rFonts w:asciiTheme="majorBidi" w:eastAsiaTheme="majorEastAsia" w:hAnsiTheme="majorBidi" w:cstheme="majorBidi"/>
          <w:sz w:val="22"/>
          <w:szCs w:val="22"/>
        </w:rPr>
        <w:t> </w:t>
      </w:r>
    </w:p>
    <w:p w14:paraId="5C8515EA" w14:textId="77777777" w:rsidR="00756F0F" w:rsidRPr="008D0B97" w:rsidRDefault="00756F0F" w:rsidP="008D0B97">
      <w:pPr>
        <w:pStyle w:val="CBDNormalNumber"/>
        <w:numPr>
          <w:ilvl w:val="0"/>
          <w:numId w:val="61"/>
        </w:numPr>
        <w:ind w:left="567"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Missing values for this indicator could result from several factors, including but not limited to temporal gaps (e.g. once-off datasets, very short time-series or interrupted time series), spatial gaps (e.g. data available only for some sub-regions or local areas within a country), or complete lack of data for some ecosystem services at the national or global level. </w:t>
      </w:r>
      <w:r w:rsidRPr="008D0B97">
        <w:rPr>
          <w:rStyle w:val="normaltextrun"/>
          <w:rFonts w:asciiTheme="majorBidi" w:eastAsiaTheme="majorEastAsia" w:hAnsiTheme="majorBidi" w:cstheme="majorBidi"/>
        </w:rPr>
        <w:t> </w:t>
      </w:r>
    </w:p>
    <w:p w14:paraId="78A6A638" w14:textId="77777777" w:rsidR="00756F0F" w:rsidRPr="008D0B97" w:rsidRDefault="00756F0F" w:rsidP="008D0B97">
      <w:pPr>
        <w:pStyle w:val="CBDNormalNumber"/>
        <w:numPr>
          <w:ilvl w:val="0"/>
          <w:numId w:val="61"/>
        </w:numPr>
        <w:ind w:left="567"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As noted in earlier sections, for some ecosystem services, missing values for individual countries may be estimated using ARIES for SEEA or other global modelling platforms based on existing global data, subject to criteria, standards and quality assurance including national validation through appropriate institutional processes involving relevant national experts. </w:t>
      </w:r>
      <w:r w:rsidRPr="008D0B97">
        <w:rPr>
          <w:rStyle w:val="normaltextrun"/>
          <w:rFonts w:asciiTheme="majorBidi" w:eastAsiaTheme="majorEastAsia" w:hAnsiTheme="majorBidi" w:cstheme="majorBidi"/>
        </w:rPr>
        <w:t> </w:t>
      </w:r>
    </w:p>
    <w:p w14:paraId="2C43A7F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 Scale</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3A9028EB"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sz w:val="22"/>
          <w:szCs w:val="22"/>
        </w:rPr>
        <w:t> </w:t>
      </w:r>
    </w:p>
    <w:p w14:paraId="477E85F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Scale of application (please check all relevant boxes):</w:t>
      </w:r>
      <w:r w:rsidRPr="00ED7E61">
        <w:rPr>
          <w:rStyle w:val="normaltextrun"/>
          <w:rFonts w:asciiTheme="majorBidi" w:eastAsiaTheme="majorEastAsia" w:hAnsiTheme="majorBidi" w:cstheme="majorBidi"/>
          <w:i/>
          <w:iCs/>
          <w:sz w:val="22"/>
          <w:szCs w:val="22"/>
          <w:lang w:val="en-GB"/>
        </w:rPr>
        <w:t> </w:t>
      </w:r>
      <w:r w:rsidRPr="00ED7E61">
        <w:rPr>
          <w:rStyle w:val="eop"/>
          <w:rFonts w:asciiTheme="majorBidi" w:eastAsiaTheme="majorEastAsia" w:hAnsiTheme="majorBidi" w:cstheme="majorBidi"/>
          <w:sz w:val="22"/>
          <w:szCs w:val="22"/>
        </w:rPr>
        <w:t> </w:t>
      </w:r>
    </w:p>
    <w:p w14:paraId="5BE5BF8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Global: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 xml:space="preserve">Regional: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National</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233DE58C" w14:textId="65B4C7C7" w:rsidR="00756F0F" w:rsidRPr="008D0B97" w:rsidRDefault="00756F0F" w:rsidP="008D0B97">
      <w:pPr>
        <w:pStyle w:val="CBDNormalNumber"/>
        <w:numPr>
          <w:ilvl w:val="0"/>
          <w:numId w:val="61"/>
        </w:numPr>
        <w:ind w:left="567" w:firstLine="0"/>
        <w:rPr>
          <w:rStyle w:val="normaltextrun"/>
          <w:rFonts w:asciiTheme="majorBidi" w:eastAsiaTheme="majorEastAsia" w:hAnsiTheme="majorBidi" w:cstheme="majorBidi"/>
        </w:rPr>
      </w:pPr>
      <w:r w:rsidRPr="008D0B97">
        <w:rPr>
          <w:rStyle w:val="normaltextrun"/>
        </w:rPr>
        <w:t> </w:t>
      </w:r>
      <w:r w:rsidRPr="00ED7E61">
        <w:rPr>
          <w:rStyle w:val="normaltextrun"/>
          <w:rFonts w:asciiTheme="majorBidi" w:eastAsiaTheme="majorEastAsia" w:hAnsiTheme="majorBidi" w:cstheme="majorBidi"/>
        </w:rPr>
        <w:t>Scale of data disaggregation/aggregation: </w:t>
      </w:r>
      <w:r w:rsidRPr="008D0B97">
        <w:rPr>
          <w:rStyle w:val="normaltextrun"/>
          <w:rFonts w:asciiTheme="majorBidi" w:eastAsiaTheme="majorEastAsia" w:hAnsiTheme="majorBidi" w:cstheme="majorBidi"/>
        </w:rPr>
        <w:t> </w:t>
      </w:r>
    </w:p>
    <w:p w14:paraId="189BE7F4" w14:textId="77777777" w:rsidR="00756F0F" w:rsidRPr="00ED7E61" w:rsidRDefault="00756F0F" w:rsidP="008D0B97">
      <w:pPr>
        <w:pStyle w:val="CBDNormalNumber"/>
        <w:numPr>
          <w:ilvl w:val="1"/>
          <w:numId w:val="34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Global/ regional scale indicator can be disaggregated to national level: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301E490B" w14:textId="77777777" w:rsidR="00756F0F" w:rsidRPr="00ED7E61" w:rsidRDefault="00756F0F" w:rsidP="008D0B97">
      <w:pPr>
        <w:pStyle w:val="CBDNormalNumber"/>
        <w:numPr>
          <w:ilvl w:val="1"/>
          <w:numId w:val="34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National data is collated to form global indicator: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14E4F6D4" w14:textId="77777777" w:rsidR="00756F0F" w:rsidRPr="008D0B97" w:rsidRDefault="00756F0F" w:rsidP="008D0B97">
      <w:pPr>
        <w:pStyle w:val="CBDNormalNumber"/>
        <w:numPr>
          <w:ilvl w:val="0"/>
          <w:numId w:val="61"/>
        </w:numPr>
        <w:ind w:left="567" w:firstLine="0"/>
        <w:rPr>
          <w:rStyle w:val="normaltextrun"/>
        </w:rPr>
      </w:pPr>
      <w:r w:rsidRPr="008D0B97">
        <w:rPr>
          <w:rStyle w:val="normaltextrun"/>
        </w:rPr>
        <w:t>The indicator is applicable at the global, regional and national scale. National data can be aggregated to global indicators provided that the underlying classifications are harmonized across countries.</w:t>
      </w:r>
      <w:r w:rsidRPr="00ED7E61">
        <w:rPr>
          <w:rStyle w:val="normaltextrun"/>
        </w:rPr>
        <w:t> </w:t>
      </w:r>
    </w:p>
    <w:p w14:paraId="2EDDCF9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sz w:val="22"/>
          <w:szCs w:val="22"/>
        </w:rPr>
        <w:t> </w:t>
      </w:r>
    </w:p>
    <w:p w14:paraId="0E71FD59" w14:textId="77777777" w:rsidR="00756F0F" w:rsidRPr="00ED7E61" w:rsidRDefault="00756F0F" w:rsidP="00B3383B">
      <w:pPr>
        <w:pStyle w:val="paragraph"/>
        <w:spacing w:before="120" w:beforeAutospacing="0" w:after="12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4610EDD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6c. Sources of differences between global and national figures</w:t>
      </w:r>
      <w:r w:rsidRPr="00ED7E61">
        <w:rPr>
          <w:rStyle w:val="eop"/>
          <w:rFonts w:asciiTheme="majorBidi" w:eastAsiaTheme="majorEastAsia" w:hAnsiTheme="majorBidi" w:cstheme="majorBidi"/>
          <w:sz w:val="22"/>
          <w:szCs w:val="22"/>
        </w:rPr>
        <w:t> </w:t>
      </w:r>
    </w:p>
    <w:p w14:paraId="12820969" w14:textId="77777777" w:rsidR="00756F0F" w:rsidRPr="008D0B97" w:rsidRDefault="00756F0F" w:rsidP="008D0B97">
      <w:pPr>
        <w:pStyle w:val="CBDNormalNumber"/>
        <w:numPr>
          <w:ilvl w:val="0"/>
          <w:numId w:val="61"/>
        </w:numPr>
        <w:ind w:left="567" w:firstLine="0"/>
        <w:rPr>
          <w:rStyle w:val="normaltextrun"/>
        </w:rPr>
      </w:pPr>
      <w:r w:rsidRPr="008D0B97">
        <w:rPr>
          <w:rStyle w:val="normaltextrun"/>
        </w:rPr>
        <w:t xml:space="preserve">Differences between country-produced and internationally estimated data may arise due to differences in spatial resolution and projections of datasets, classification and modelling approaches, and definitions of </w:t>
      </w:r>
      <w:proofErr w:type="gramStart"/>
      <w:r w:rsidRPr="008D0B97">
        <w:rPr>
          <w:rStyle w:val="normaltextrun"/>
        </w:rPr>
        <w:t>particular ecosystem</w:t>
      </w:r>
      <w:proofErr w:type="gramEnd"/>
      <w:r w:rsidRPr="008D0B97">
        <w:rPr>
          <w:rStyle w:val="normaltextrun"/>
        </w:rPr>
        <w:t xml:space="preserve"> services.</w:t>
      </w:r>
      <w:r w:rsidRPr="00ED7E61">
        <w:rPr>
          <w:rStyle w:val="normaltextrun"/>
        </w:rPr>
        <w:t> </w:t>
      </w:r>
    </w:p>
    <w:p w14:paraId="21AFB79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sz w:val="22"/>
          <w:szCs w:val="22"/>
        </w:rPr>
        <w:t> </w:t>
      </w:r>
    </w:p>
    <w:p w14:paraId="6D240442"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6d.1 Description of the methodology</w:t>
      </w:r>
      <w:r w:rsidRPr="00ED7E61">
        <w:rPr>
          <w:rStyle w:val="eop"/>
          <w:rFonts w:asciiTheme="majorBidi" w:eastAsiaTheme="majorEastAsia" w:hAnsiTheme="majorBidi" w:cstheme="majorBidi"/>
          <w:sz w:val="22"/>
          <w:szCs w:val="22"/>
        </w:rPr>
        <w:t> </w:t>
      </w:r>
    </w:p>
    <w:p w14:paraId="19C44C58" w14:textId="77777777" w:rsidR="00756F0F" w:rsidRPr="008D0B97" w:rsidRDefault="00756F0F" w:rsidP="008D0B97">
      <w:pPr>
        <w:pStyle w:val="CBDNormalNumber"/>
        <w:numPr>
          <w:ilvl w:val="0"/>
          <w:numId w:val="61"/>
        </w:numPr>
        <w:ind w:left="567" w:firstLine="0"/>
        <w:rPr>
          <w:rStyle w:val="normaltextrun"/>
        </w:rPr>
      </w:pPr>
      <w:r w:rsidRPr="008D0B97">
        <w:rPr>
          <w:rStyle w:val="normaltextrun"/>
        </w:rPr>
        <w:t>Regional and global estimates are produced by aggregating country-level data.</w:t>
      </w:r>
      <w:r w:rsidRPr="00ED7E61">
        <w:rPr>
          <w:rStyle w:val="normaltextrun"/>
        </w:rPr>
        <w:t> </w:t>
      </w:r>
    </w:p>
    <w:p w14:paraId="1AB182E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6d.2 Additional methodological details</w:t>
      </w:r>
      <w:r w:rsidRPr="00ED7E61">
        <w:rPr>
          <w:rStyle w:val="eop"/>
          <w:rFonts w:asciiTheme="majorBidi" w:eastAsiaTheme="majorEastAsia" w:hAnsiTheme="majorBidi" w:cstheme="majorBidi"/>
          <w:sz w:val="22"/>
          <w:szCs w:val="22"/>
        </w:rPr>
        <w:t> </w:t>
      </w:r>
    </w:p>
    <w:p w14:paraId="26F74424" w14:textId="18C0E537" w:rsidR="00756F0F" w:rsidRPr="008D0B97" w:rsidRDefault="00756F0F" w:rsidP="008D0B97">
      <w:pPr>
        <w:pStyle w:val="CBDNormalNumber"/>
        <w:numPr>
          <w:ilvl w:val="0"/>
          <w:numId w:val="61"/>
        </w:numPr>
        <w:ind w:left="567" w:firstLine="0"/>
        <w:rPr>
          <w:rStyle w:val="normaltextrun"/>
        </w:rPr>
      </w:pPr>
      <w:r w:rsidRPr="008D0B97">
        <w:rPr>
          <w:rStyle w:val="normaltextrun"/>
        </w:rPr>
        <w:t>Countries will provide data (using a spreadsheet template or through an online data collection system</w:t>
      </w:r>
      <w:r w:rsidR="008D0B97">
        <w:rPr>
          <w:rStyle w:val="normaltextrun"/>
        </w:rPr>
        <w:t>)</w:t>
      </w:r>
      <w:r w:rsidRPr="008D0B97">
        <w:rPr>
          <w:rStyle w:val="normaltextrun"/>
        </w:rPr>
        <w:t xml:space="preserve"> that will request them to provide values in absolute terms for each ecosystem service included in the indicator as well as the overall index and sub-indices. This will provide flexibility in terms of methods for global aggregation. Also see Section 6d.3 below. </w:t>
      </w:r>
      <w:r w:rsidRPr="00ED7E61">
        <w:rPr>
          <w:rStyle w:val="normaltextrun"/>
        </w:rPr>
        <w:t> </w:t>
      </w:r>
    </w:p>
    <w:p w14:paraId="76FDCE5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lastRenderedPageBreak/>
        <w:t>6d.3 Description of the mechanism for collecting data from countries</w:t>
      </w:r>
      <w:r w:rsidRPr="00ED7E61">
        <w:rPr>
          <w:rStyle w:val="eop"/>
          <w:rFonts w:asciiTheme="majorBidi" w:eastAsiaTheme="majorEastAsia" w:hAnsiTheme="majorBidi" w:cstheme="majorBidi"/>
          <w:sz w:val="22"/>
          <w:szCs w:val="22"/>
        </w:rPr>
        <w:t> </w:t>
      </w:r>
    </w:p>
    <w:p w14:paraId="01E23228" w14:textId="6A4EC76B" w:rsidR="00756F0F" w:rsidRPr="008D0B97" w:rsidRDefault="00756F0F" w:rsidP="008D0B97">
      <w:pPr>
        <w:pStyle w:val="CBDNormalNumber"/>
        <w:numPr>
          <w:ilvl w:val="0"/>
          <w:numId w:val="61"/>
        </w:numPr>
        <w:ind w:left="567" w:firstLine="0"/>
        <w:rPr>
          <w:rStyle w:val="normaltextrun"/>
        </w:rPr>
      </w:pPr>
      <w:r w:rsidRPr="008D0B97">
        <w:rPr>
          <w:rStyle w:val="normaltextrun"/>
        </w:rPr>
        <w:t xml:space="preserve">Data will be collected from countries (using a spreadsheet template or an online data collection system). Countries will not be required to submit their ecosystem services account tables but rather to submit data extracted from the tables. Data in absolute terms is very useful, so the reporting template will require countries to report not only their overall index and three sub-indices but also absolute values for </w:t>
      </w:r>
      <w:r w:rsidR="002A15C3" w:rsidRPr="008D0B97">
        <w:rPr>
          <w:rStyle w:val="normaltextrun"/>
        </w:rPr>
        <w:t xml:space="preserve">flows </w:t>
      </w:r>
      <w:r w:rsidRPr="008D0B97">
        <w:rPr>
          <w:rStyle w:val="normaltextrun"/>
        </w:rPr>
        <w:t>of each ecosystem service. Wherever possible, these absolute values should be disaggregated by ecosystem functional group, using the EFG codes and names from the GET. This will align this indicator with indicators A1 and A2 and will allow for global aggregation to ecosystem functional groups, biomes or realms as needed. </w:t>
      </w:r>
      <w:r w:rsidRPr="00ED7E61">
        <w:rPr>
          <w:rStyle w:val="normaltextrun"/>
        </w:rPr>
        <w:t> </w:t>
      </w:r>
    </w:p>
    <w:p w14:paraId="5DAAEBE4" w14:textId="22BFB4E0" w:rsidR="00756F0F" w:rsidRPr="008D0B97" w:rsidRDefault="00756F0F" w:rsidP="008D0B97">
      <w:pPr>
        <w:pStyle w:val="CBDNormalNumber"/>
        <w:numPr>
          <w:ilvl w:val="0"/>
          <w:numId w:val="61"/>
        </w:numPr>
        <w:ind w:left="567" w:firstLine="0"/>
        <w:rPr>
          <w:rStyle w:val="normaltextrun"/>
        </w:rPr>
      </w:pPr>
      <w:r w:rsidRPr="008D0B97">
        <w:rPr>
          <w:rStyle w:val="normaltextrun"/>
        </w:rPr>
        <w:t xml:space="preserve">The reporting template will allow countries to submit data for all the accounting periods for which they have compiled accounts. As noted in Section 5g, the </w:t>
      </w:r>
      <w:r w:rsidR="00C96CB5" w:rsidRPr="008D0B97">
        <w:rPr>
          <w:rStyle w:val="normaltextrun"/>
        </w:rPr>
        <w:t xml:space="preserve">reference </w:t>
      </w:r>
      <w:r w:rsidRPr="008D0B97">
        <w:rPr>
          <w:rStyle w:val="normaltextrun"/>
        </w:rPr>
        <w:t>year for global reporting under the GBF 2020, or alternatively the</w:t>
      </w:r>
      <w:r w:rsidR="00C96CB5" w:rsidRPr="008D0B97">
        <w:rPr>
          <w:rStyle w:val="normaltextrun"/>
        </w:rPr>
        <w:t xml:space="preserve"> period</w:t>
      </w:r>
      <w:r w:rsidRPr="008D0B97">
        <w:rPr>
          <w:rStyle w:val="normaltextrun"/>
        </w:rPr>
        <w:t xml:space="preserve"> 2010 and 2020. Country baseline dates may be distinct from the global</w:t>
      </w:r>
      <w:r w:rsidR="000875C3" w:rsidRPr="008D0B97">
        <w:rPr>
          <w:rStyle w:val="normaltextrun"/>
        </w:rPr>
        <w:t xml:space="preserve"> reference year/period</w:t>
      </w:r>
      <w:r w:rsidRPr="008D0B97">
        <w:rPr>
          <w:rStyle w:val="normaltextrun"/>
        </w:rPr>
        <w:t xml:space="preserve">, depending on data available at the national level. Collecting data for years prior to the global </w:t>
      </w:r>
      <w:r w:rsidR="000B1B7F" w:rsidRPr="008D0B97">
        <w:rPr>
          <w:rStyle w:val="normaltextrun"/>
        </w:rPr>
        <w:t xml:space="preserve">reference year/period </w:t>
      </w:r>
      <w:r w:rsidRPr="008D0B97">
        <w:rPr>
          <w:rStyle w:val="normaltextrun"/>
        </w:rPr>
        <w:t>from countries that have such data could enable additional analyses that may be useful.</w:t>
      </w:r>
      <w:r w:rsidRPr="00ED7E61">
        <w:rPr>
          <w:rStyle w:val="normaltextrun"/>
        </w:rPr>
        <w:t> </w:t>
      </w:r>
    </w:p>
    <w:p w14:paraId="01286EFD" w14:textId="36B8FC59" w:rsidR="00756F0F" w:rsidRPr="00ED7E61" w:rsidRDefault="00756F0F" w:rsidP="00812871">
      <w:pPr>
        <w:pStyle w:val="paragraph"/>
        <w:pBdr>
          <w:bottom w:val="single" w:sz="4" w:space="1" w:color="000000"/>
        </w:pBdr>
        <w:spacing w:before="120" w:beforeAutospacing="0" w:after="12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7. Other MEAs, processes and organi</w:t>
      </w:r>
      <w:r w:rsidR="00B10F0C">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ations</w:t>
      </w:r>
      <w:r w:rsidRPr="00ED7E61">
        <w:rPr>
          <w:rStyle w:val="eop"/>
          <w:rFonts w:asciiTheme="majorBidi" w:eastAsiaTheme="majorEastAsia" w:hAnsiTheme="majorBidi" w:cstheme="majorBidi"/>
          <w:sz w:val="22"/>
          <w:szCs w:val="22"/>
        </w:rPr>
        <w:t> </w:t>
      </w:r>
    </w:p>
    <w:p w14:paraId="52AFFAEC" w14:textId="77777777" w:rsidR="00756F0F" w:rsidRPr="00812871" w:rsidRDefault="00756F0F" w:rsidP="00812871">
      <w:pPr>
        <w:pStyle w:val="CBDNormalNumber"/>
        <w:numPr>
          <w:ilvl w:val="0"/>
          <w:numId w:val="61"/>
        </w:numPr>
        <w:ind w:left="567" w:firstLine="0"/>
        <w:rPr>
          <w:rStyle w:val="normaltextrun"/>
        </w:rPr>
      </w:pPr>
      <w:r w:rsidRPr="008D0B97">
        <w:rPr>
          <w:rStyle w:val="normaltextrun"/>
        </w:rPr>
        <w:t>N/A </w:t>
      </w:r>
    </w:p>
    <w:p w14:paraId="089699C1" w14:textId="370545D4"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 xml:space="preserve">8. </w:t>
      </w:r>
      <w:r w:rsidR="007D3CD8" w:rsidRPr="00ED7E61">
        <w:rPr>
          <w:rStyle w:val="normaltextrun"/>
          <w:rFonts w:asciiTheme="majorBidi" w:eastAsiaTheme="majorEastAsia" w:hAnsiTheme="majorBidi" w:cstheme="majorBidi"/>
          <w:b/>
          <w:bCs/>
          <w:sz w:val="22"/>
          <w:szCs w:val="22"/>
          <w:lang w:val="en-GB"/>
        </w:rPr>
        <w:t xml:space="preserve">Possible </w:t>
      </w:r>
      <w:proofErr w:type="spellStart"/>
      <w:r w:rsidRPr="00ED7E61">
        <w:rPr>
          <w:rStyle w:val="normaltextrun"/>
          <w:rFonts w:asciiTheme="majorBidi" w:eastAsiaTheme="majorEastAsia" w:hAnsiTheme="majorBidi" w:cstheme="majorBidi"/>
          <w:b/>
          <w:bCs/>
          <w:sz w:val="22"/>
          <w:szCs w:val="22"/>
          <w:lang w:val="en-GB"/>
        </w:rPr>
        <w:t>Disaggregation</w:t>
      </w:r>
      <w:r w:rsidR="007D3CD8" w:rsidRPr="00ED7E61">
        <w:rPr>
          <w:rStyle w:val="normaltextrun"/>
          <w:rFonts w:asciiTheme="majorBidi" w:eastAsiaTheme="majorEastAsia" w:hAnsiTheme="majorBidi" w:cstheme="majorBidi"/>
          <w:b/>
          <w:bCs/>
          <w:sz w:val="22"/>
          <w:szCs w:val="22"/>
          <w:lang w:val="en-GB"/>
        </w:rPr>
        <w:t>s</w:t>
      </w:r>
      <w:proofErr w:type="spellEnd"/>
      <w:r w:rsidRPr="00ED7E61">
        <w:rPr>
          <w:rStyle w:val="eop"/>
          <w:rFonts w:asciiTheme="majorBidi" w:eastAsiaTheme="majorEastAsia" w:hAnsiTheme="majorBidi" w:cstheme="majorBidi"/>
          <w:sz w:val="22"/>
          <w:szCs w:val="22"/>
        </w:rPr>
        <w:t> </w:t>
      </w:r>
    </w:p>
    <w:p w14:paraId="149529BA" w14:textId="1C1D8C32" w:rsidR="00756F0F" w:rsidRPr="008D0B97" w:rsidRDefault="00756F0F" w:rsidP="008D0B97">
      <w:pPr>
        <w:pStyle w:val="CBDNormalNumber"/>
        <w:numPr>
          <w:ilvl w:val="0"/>
          <w:numId w:val="61"/>
        </w:numPr>
        <w:ind w:left="567" w:firstLine="0"/>
        <w:rPr>
          <w:rStyle w:val="normaltextrun"/>
        </w:rPr>
      </w:pPr>
      <w:r w:rsidRPr="008D0B97">
        <w:rPr>
          <w:rStyle w:val="normaltextrun"/>
        </w:rPr>
        <w:t xml:space="preserve">This indicator </w:t>
      </w:r>
      <w:r w:rsidR="00585E26" w:rsidRPr="008D0B97">
        <w:rPr>
          <w:rStyle w:val="normaltextrun"/>
        </w:rPr>
        <w:t xml:space="preserve">should </w:t>
      </w:r>
      <w:r w:rsidRPr="008D0B97">
        <w:rPr>
          <w:rStyle w:val="normaltextrun"/>
        </w:rPr>
        <w:t>be disaggregated by ecosystem service category (provisioning, regulating, cultural), ecosystem types (for example by realm, biome or ecosystem functional group). It may be possible to disaggregate by type of user (business, households and government – the economic units typically included in ecosystem services accounts).</w:t>
      </w:r>
      <w:r w:rsidRPr="00ED7E61">
        <w:rPr>
          <w:rStyle w:val="normaltextrun"/>
        </w:rPr>
        <w:t> </w:t>
      </w:r>
    </w:p>
    <w:p w14:paraId="396E8948" w14:textId="0E3A5ECF" w:rsidR="00756F0F" w:rsidRPr="008D0B97" w:rsidRDefault="00756F0F" w:rsidP="008D0B97">
      <w:pPr>
        <w:pStyle w:val="CBDNormalNumber"/>
        <w:numPr>
          <w:ilvl w:val="0"/>
          <w:numId w:val="61"/>
        </w:numPr>
        <w:ind w:left="567" w:firstLine="0"/>
        <w:rPr>
          <w:rStyle w:val="normaltextrun"/>
        </w:rPr>
      </w:pPr>
      <w:r w:rsidRPr="008D0B97">
        <w:rPr>
          <w:rStyle w:val="normaltextrun"/>
        </w:rPr>
        <w:t xml:space="preserve">Subnational disaggregation may be important and useful at the country level (for example, disaggregation to provinces and municipalities). However, this would not be required for global data </w:t>
      </w:r>
      <w:r w:rsidR="000B1B7F" w:rsidRPr="008D0B97">
        <w:rPr>
          <w:rStyle w:val="normaltextrun"/>
        </w:rPr>
        <w:t>reporting.</w:t>
      </w:r>
      <w:r w:rsidR="000B1B7F" w:rsidRPr="00ED7E61">
        <w:rPr>
          <w:rStyle w:val="normaltextrun"/>
        </w:rPr>
        <w:t> </w:t>
      </w:r>
    </w:p>
    <w:p w14:paraId="60955849" w14:textId="3BE9A282" w:rsidR="00756F0F" w:rsidRPr="008D0B97" w:rsidRDefault="00756F0F" w:rsidP="008D0B97">
      <w:pPr>
        <w:pStyle w:val="CBDNormalNumber"/>
        <w:numPr>
          <w:ilvl w:val="0"/>
          <w:numId w:val="61"/>
        </w:numPr>
        <w:ind w:left="567" w:firstLine="0"/>
        <w:rPr>
          <w:rStyle w:val="normaltextrun"/>
        </w:rPr>
      </w:pPr>
      <w:r w:rsidRPr="008D0B97">
        <w:rPr>
          <w:rStyle w:val="normaltextrun"/>
        </w:rPr>
        <w:t xml:space="preserve">Disaggregation related to </w:t>
      </w:r>
      <w:r w:rsidR="00E51D62" w:rsidRPr="008D0B97">
        <w:rPr>
          <w:rStyle w:val="normaltextrun"/>
        </w:rPr>
        <w:t>i</w:t>
      </w:r>
      <w:r w:rsidRPr="008D0B97">
        <w:rPr>
          <w:rStyle w:val="normaltextrun"/>
        </w:rPr>
        <w:t xml:space="preserve">ndigenous </w:t>
      </w:r>
      <w:r w:rsidR="00E51D62" w:rsidRPr="008D0B97">
        <w:rPr>
          <w:rStyle w:val="normaltextrun"/>
        </w:rPr>
        <w:t>p</w:t>
      </w:r>
      <w:r w:rsidRPr="008D0B97">
        <w:rPr>
          <w:rStyle w:val="normaltextrun"/>
        </w:rPr>
        <w:t xml:space="preserve">eoples and </w:t>
      </w:r>
      <w:r w:rsidR="00E51D62" w:rsidRPr="008D0B97">
        <w:rPr>
          <w:rStyle w:val="normaltextrun"/>
        </w:rPr>
        <w:t>l</w:t>
      </w:r>
      <w:r w:rsidRPr="008D0B97">
        <w:rPr>
          <w:rStyle w:val="normaltextrun"/>
        </w:rPr>
        <w:t xml:space="preserve">ocal </w:t>
      </w:r>
      <w:r w:rsidR="00E51D62" w:rsidRPr="008D0B97">
        <w:rPr>
          <w:rStyle w:val="normaltextrun"/>
        </w:rPr>
        <w:t>c</w:t>
      </w:r>
      <w:r w:rsidRPr="008D0B97">
        <w:rPr>
          <w:rStyle w:val="normaltextrun"/>
        </w:rPr>
        <w:t xml:space="preserve">ommunities may be relevant for this indicator, if suitably granular data are available. However, this is a complex </w:t>
      </w:r>
      <w:proofErr w:type="gramStart"/>
      <w:r w:rsidRPr="008D0B97">
        <w:rPr>
          <w:rStyle w:val="normaltextrun"/>
        </w:rPr>
        <w:t>issue</w:t>
      </w:r>
      <w:proofErr w:type="gramEnd"/>
      <w:r w:rsidRPr="008D0B97">
        <w:rPr>
          <w:rStyle w:val="normaltextrun"/>
        </w:rPr>
        <w:t xml:space="preserve"> and guidance would need to be sought from the CBD’s Working Group on Article 8(j).</w:t>
      </w:r>
      <w:r w:rsidRPr="00ED7E61">
        <w:rPr>
          <w:rStyle w:val="normaltextrun"/>
        </w:rPr>
        <w:t> </w:t>
      </w:r>
    </w:p>
    <w:p w14:paraId="5C68CD2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3B930279" w14:textId="77777777" w:rsidR="00756F0F" w:rsidRPr="008D0B97" w:rsidRDefault="00756F0F" w:rsidP="008D0B97">
      <w:pPr>
        <w:pStyle w:val="CBDNormalNumber"/>
        <w:numPr>
          <w:ilvl w:val="0"/>
          <w:numId w:val="61"/>
        </w:numPr>
        <w:ind w:left="567" w:firstLine="0"/>
        <w:rPr>
          <w:rStyle w:val="normaltextrun"/>
        </w:rPr>
      </w:pPr>
      <w:r w:rsidRPr="008D0B97">
        <w:rPr>
          <w:rStyle w:val="normaltextrun"/>
        </w:rPr>
        <w:t>The indicator Services provided by ecosystems complements two other indicators</w:t>
      </w:r>
      <w:r w:rsidRPr="00ED7E61">
        <w:rPr>
          <w:rStyle w:val="normaltextrun"/>
        </w:rPr>
        <w:t> </w:t>
      </w:r>
    </w:p>
    <w:p w14:paraId="58D20498" w14:textId="0C43690F" w:rsidR="00756F0F" w:rsidRPr="00ED7E61" w:rsidRDefault="00756F0F" w:rsidP="00AE4B3F">
      <w:pPr>
        <w:pStyle w:val="CBDNormalNumber"/>
        <w:numPr>
          <w:ilvl w:val="0"/>
          <w:numId w:val="540"/>
        </w:numPr>
        <w:tabs>
          <w:tab w:val="clear" w:pos="567"/>
          <w:tab w:val="clear" w:pos="1134"/>
          <w:tab w:val="clear" w:pos="1701"/>
          <w:tab w:val="clear" w:pos="2268"/>
          <w:tab w:val="left" w:pos="1560"/>
        </w:tabs>
        <w:ind w:left="1134" w:firstLine="0"/>
        <w:rPr>
          <w:rStyle w:val="normaltextrun"/>
          <w:rFonts w:eastAsiaTheme="majorEastAsia"/>
        </w:rPr>
      </w:pPr>
      <w:r w:rsidRPr="00ED7E61">
        <w:rPr>
          <w:rStyle w:val="normaltextrun"/>
          <w:rFonts w:asciiTheme="majorBidi" w:eastAsiaTheme="majorEastAsia" w:hAnsiTheme="majorBidi" w:cstheme="majorBidi"/>
        </w:rPr>
        <w:t>Target 8: </w:t>
      </w:r>
      <w:r w:rsidRPr="00ED7E61">
        <w:rPr>
          <w:rStyle w:val="normaltextrun"/>
        </w:rPr>
        <w:t> </w:t>
      </w:r>
      <w:r w:rsidRPr="00ED7E61">
        <w:rPr>
          <w:rStyle w:val="normaltextrun"/>
          <w:rFonts w:asciiTheme="majorBidi" w:eastAsiaTheme="majorEastAsia" w:hAnsiTheme="majorBidi" w:cstheme="majorBidi"/>
        </w:rPr>
        <w:t>Component indicator total climate regulation services provided by ecosystems by ecosystem type </w:t>
      </w:r>
      <w:r w:rsidRPr="00ED7E61">
        <w:rPr>
          <w:rStyle w:val="normaltextrun"/>
        </w:rPr>
        <w:t> </w:t>
      </w:r>
    </w:p>
    <w:p w14:paraId="092116B5" w14:textId="721C5020" w:rsidR="00756F0F" w:rsidRPr="00ED7E61" w:rsidRDefault="00756F0F" w:rsidP="00AE4B3F">
      <w:pPr>
        <w:pStyle w:val="CBDNormalNumber"/>
        <w:numPr>
          <w:ilvl w:val="0"/>
          <w:numId w:val="540"/>
        </w:numPr>
        <w:tabs>
          <w:tab w:val="clear" w:pos="567"/>
          <w:tab w:val="clear" w:pos="1134"/>
          <w:tab w:val="clear" w:pos="1701"/>
          <w:tab w:val="clear" w:pos="2268"/>
          <w:tab w:val="left" w:pos="1560"/>
        </w:tabs>
        <w:ind w:left="1134" w:firstLine="0"/>
        <w:rPr>
          <w:rStyle w:val="normaltextrun"/>
          <w:rFonts w:eastAsiaTheme="majorEastAsia"/>
        </w:rPr>
      </w:pPr>
      <w:r w:rsidRPr="00ED7E61">
        <w:rPr>
          <w:rStyle w:val="normaltextrun"/>
          <w:rFonts w:asciiTheme="majorBidi" w:eastAsiaTheme="majorEastAsia" w:hAnsiTheme="majorBidi" w:cstheme="majorBidi"/>
        </w:rPr>
        <w:t>Target 9:</w:t>
      </w:r>
      <w:r w:rsidRPr="00ED7E61">
        <w:rPr>
          <w:rStyle w:val="normaltextrun"/>
        </w:rPr>
        <w:t> </w:t>
      </w:r>
      <w:r w:rsidRPr="00ED7E61">
        <w:rPr>
          <w:rStyle w:val="normaltextrun"/>
          <w:rFonts w:asciiTheme="majorBidi" w:eastAsiaTheme="majorEastAsia" w:hAnsiTheme="majorBidi" w:cstheme="majorBidi"/>
        </w:rPr>
        <w:t>Headline indicator Benefits from the sustainable use of wild species </w:t>
      </w:r>
      <w:r w:rsidRPr="00ED7E61">
        <w:rPr>
          <w:rStyle w:val="normaltextrun"/>
        </w:rPr>
        <w:t> </w:t>
      </w:r>
    </w:p>
    <w:p w14:paraId="5570D97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6553C7E1" w14:textId="7BEACEDB"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FB6DE2">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5A27E32B" w14:textId="77777777" w:rsidR="00756F0F" w:rsidRPr="008D0B97" w:rsidRDefault="00756F0F" w:rsidP="008D0B97">
      <w:pPr>
        <w:pStyle w:val="CBDNormalNumber"/>
        <w:numPr>
          <w:ilvl w:val="0"/>
          <w:numId w:val="61"/>
        </w:numPr>
        <w:ind w:left="567" w:firstLine="0"/>
        <w:rPr>
          <w:rStyle w:val="normaltextrun"/>
        </w:rPr>
      </w:pPr>
      <w:r w:rsidRPr="008D0B97">
        <w:rPr>
          <w:rStyle w:val="normaltextrun"/>
        </w:rPr>
        <w:t>United Nations Statistics Division (UNSD)</w:t>
      </w:r>
      <w:r w:rsidRPr="00ED7E61">
        <w:rPr>
          <w:rStyle w:val="normaltextrun"/>
        </w:rPr>
        <w:t> </w:t>
      </w:r>
    </w:p>
    <w:p w14:paraId="4742E00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43CCF12E" w14:textId="77777777" w:rsidR="00585E26" w:rsidRPr="008D0B97" w:rsidRDefault="00585E26" w:rsidP="008D0B97">
      <w:pPr>
        <w:pStyle w:val="CBDNormalNumber"/>
        <w:numPr>
          <w:ilvl w:val="0"/>
          <w:numId w:val="61"/>
        </w:numPr>
        <w:ind w:left="567" w:firstLine="0"/>
        <w:rPr>
          <w:rStyle w:val="normaltextrun"/>
        </w:rPr>
      </w:pPr>
      <w:r w:rsidRPr="008D0B97">
        <w:rPr>
          <w:rStyle w:val="normaltextrun"/>
        </w:rPr>
        <w:t>This meta-data sheet was prepared by UNSD, with contributions from members of the AHTEG and of the Task team of the UNCEEA Technical Committee on SEEA Ecosystem Accounting.</w:t>
      </w:r>
    </w:p>
    <w:p w14:paraId="2552A822" w14:textId="1A847F56" w:rsidR="00585E26" w:rsidRPr="008D0B97" w:rsidRDefault="00585E26" w:rsidP="008D0B97">
      <w:pPr>
        <w:pStyle w:val="CBDNormalNumber"/>
        <w:numPr>
          <w:ilvl w:val="0"/>
          <w:numId w:val="61"/>
        </w:numPr>
        <w:ind w:left="567" w:firstLine="0"/>
        <w:rPr>
          <w:rStyle w:val="normaltextrun"/>
        </w:rPr>
      </w:pPr>
      <w:r w:rsidRPr="008D0B97">
        <w:rPr>
          <w:rStyle w:val="normaltextrun"/>
        </w:rPr>
        <w:t>Ilaria Di Matteo (</w:t>
      </w:r>
      <w:hyperlink r:id="rId170" w:history="1">
        <w:r w:rsidRPr="00ED7E61">
          <w:rPr>
            <w:rStyle w:val="normaltextrun"/>
          </w:rPr>
          <w:t>dimatteo@un.org</w:t>
        </w:r>
      </w:hyperlink>
      <w:r w:rsidRPr="008D0B97">
        <w:rPr>
          <w:rStyle w:val="normaltextrun"/>
        </w:rPr>
        <w:t xml:space="preserve">, </w:t>
      </w:r>
      <w:hyperlink r:id="rId171" w:history="1">
        <w:r w:rsidRPr="00ED7E61">
          <w:rPr>
            <w:rStyle w:val="normaltextrun"/>
          </w:rPr>
          <w:t>seea@un.org</w:t>
        </w:r>
      </w:hyperlink>
      <w:r w:rsidRPr="008D0B97">
        <w:rPr>
          <w:rStyle w:val="normaltextrun"/>
        </w:rPr>
        <w:t>)</w:t>
      </w:r>
      <w:r w:rsidRPr="00ED7E61">
        <w:rPr>
          <w:rStyle w:val="normaltextrun"/>
        </w:rPr>
        <w:t xml:space="preserve">, </w:t>
      </w:r>
      <w:r w:rsidRPr="008D0B97">
        <w:rPr>
          <w:rStyle w:val="normaltextrun"/>
        </w:rPr>
        <w:t xml:space="preserve">Environmental Economic Accounts Section of the UN Statistics Division  </w:t>
      </w:r>
    </w:p>
    <w:p w14:paraId="4868F7FF"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11. References</w:t>
      </w:r>
      <w:r w:rsidRPr="00ED7E61">
        <w:rPr>
          <w:rStyle w:val="eop"/>
          <w:rFonts w:asciiTheme="majorBidi" w:eastAsiaTheme="majorEastAsia" w:hAnsiTheme="majorBidi" w:cstheme="majorBidi"/>
          <w:sz w:val="22"/>
          <w:szCs w:val="22"/>
        </w:rPr>
        <w:t> </w:t>
      </w:r>
    </w:p>
    <w:p w14:paraId="7162A7EE" w14:textId="307CC013"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ARIES for SEEA: </w:t>
      </w:r>
      <w:r w:rsidRPr="00ED7E61">
        <w:rPr>
          <w:rStyle w:val="normaltextrun"/>
          <w:rFonts w:asciiTheme="majorBidi" w:eastAsiaTheme="majorEastAsia" w:hAnsiTheme="majorBidi" w:cstheme="majorBidi"/>
          <w:color w:val="467886"/>
          <w:u w:val="single"/>
        </w:rPr>
        <w:t>https://seea.un.org/content/aries-for-seea</w:t>
      </w:r>
      <w:r w:rsidRPr="00ED7E61">
        <w:rPr>
          <w:rStyle w:val="eop"/>
          <w:rFonts w:asciiTheme="majorBidi" w:eastAsiaTheme="majorEastAsia" w:hAnsiTheme="majorBidi" w:cstheme="majorBidi"/>
          <w:color w:val="467886"/>
        </w:rPr>
        <w:t> </w:t>
      </w:r>
    </w:p>
    <w:p w14:paraId="7775A1E9" w14:textId="5BE5EC47" w:rsidR="00E51D62" w:rsidRPr="00ED7E61" w:rsidRDefault="00756F0F" w:rsidP="00B3383B">
      <w:pPr>
        <w:pStyle w:val="CBDNormalNumber"/>
        <w:ind w:left="567"/>
        <w:rPr>
          <w:rFonts w:asciiTheme="majorBidi" w:hAnsiTheme="majorBidi" w:cstheme="majorBidi"/>
        </w:rPr>
      </w:pPr>
      <w:r w:rsidRPr="00ED7E61">
        <w:rPr>
          <w:rStyle w:val="eop"/>
          <w:rFonts w:asciiTheme="majorBidi" w:eastAsiaTheme="majorEastAsia" w:hAnsiTheme="majorBidi" w:cstheme="majorBidi"/>
        </w:rPr>
        <w:lastRenderedPageBreak/>
        <w:t> </w:t>
      </w:r>
    </w:p>
    <w:p w14:paraId="433F8726" w14:textId="09AB3DA7"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IPBES (2022). Summary for Policymakers of the Methodological Assessment Report on the Diverse Values and Valuation of Nature of the Intergovernmental Science-Policy Platform on Biodiversity and Ecosystem Services. Pascual, U., Balvanera, P., Christie, M., Baptiste, B., González-Jiménez, D., Anderson, C.B., Athayde, S., Barton, D.N., Chaplin-Kramer, R., Jacobs, S., Kelemen, E., Kumar, R., Lazos, E., Martin, A., </w:t>
      </w:r>
      <w:proofErr w:type="spellStart"/>
      <w:r w:rsidRPr="00ED7E61">
        <w:rPr>
          <w:rStyle w:val="normaltextrun"/>
          <w:rFonts w:asciiTheme="majorBidi" w:eastAsiaTheme="majorEastAsia" w:hAnsiTheme="majorBidi" w:cstheme="majorBidi"/>
        </w:rPr>
        <w:t>Mwampamba</w:t>
      </w:r>
      <w:proofErr w:type="spellEnd"/>
      <w:r w:rsidRPr="00ED7E61">
        <w:rPr>
          <w:rStyle w:val="normaltextrun"/>
          <w:rFonts w:asciiTheme="majorBidi" w:eastAsiaTheme="majorEastAsia" w:hAnsiTheme="majorBidi" w:cstheme="majorBidi"/>
        </w:rPr>
        <w:t xml:space="preserve">, T.H., </w:t>
      </w:r>
      <w:proofErr w:type="spellStart"/>
      <w:r w:rsidRPr="00ED7E61">
        <w:rPr>
          <w:rStyle w:val="normaltextrun"/>
          <w:rFonts w:asciiTheme="majorBidi" w:eastAsiaTheme="majorEastAsia" w:hAnsiTheme="majorBidi" w:cstheme="majorBidi"/>
        </w:rPr>
        <w:t>Nakangu</w:t>
      </w:r>
      <w:proofErr w:type="spellEnd"/>
      <w:r w:rsidRPr="00ED7E61">
        <w:rPr>
          <w:rStyle w:val="normaltextrun"/>
          <w:rFonts w:asciiTheme="majorBidi" w:eastAsiaTheme="majorEastAsia" w:hAnsiTheme="majorBidi" w:cstheme="majorBidi"/>
        </w:rPr>
        <w:t>, B., O'Farrell, P., Raymond, C.M., Subramanian, S.M., Termansen, M., Van Noordwijk, M., and Vatn, A. (eds.). IPBES secretariat, Bonn, Germany. https://doi.org/10.5281/zenodo.6522392</w:t>
      </w:r>
      <w:r w:rsidRPr="00ED7E61">
        <w:rPr>
          <w:rStyle w:val="eop"/>
          <w:rFonts w:asciiTheme="majorBidi" w:eastAsiaTheme="majorEastAsia" w:hAnsiTheme="majorBidi" w:cstheme="majorBidi"/>
        </w:rPr>
        <w:t> </w:t>
      </w:r>
    </w:p>
    <w:p w14:paraId="4B15A69E" w14:textId="09D79BDE"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UN System of Environmental-Economic Accounting: </w:t>
      </w:r>
      <w:hyperlink r:id="rId172" w:tgtFrame="_blank" w:history="1">
        <w:r w:rsidRPr="00ED7E61">
          <w:rPr>
            <w:rStyle w:val="normaltextrun"/>
            <w:rFonts w:asciiTheme="majorBidi" w:eastAsiaTheme="majorEastAsia" w:hAnsiTheme="majorBidi" w:cstheme="majorBidi"/>
            <w:color w:val="467886"/>
            <w:u w:val="single"/>
          </w:rPr>
          <w:t>https://seea.un.org/ecosystem-accounting</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4E2CA408" w14:textId="1B2E2EEF" w:rsidR="00E51D62" w:rsidRPr="00ED7E61" w:rsidRDefault="00756F0F" w:rsidP="00B3383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United Nations et al. (2021). System of Environmental-Economic Accounting—Ecosystem Accounting (SEEA EA). White cover publication, pre-edited text subject to official editing. Available at: </w:t>
      </w:r>
      <w:r w:rsidRPr="00ED7E61">
        <w:rPr>
          <w:rStyle w:val="normaltextrun"/>
          <w:rFonts w:asciiTheme="majorBidi" w:eastAsiaTheme="majorEastAsia" w:hAnsiTheme="majorBidi" w:cstheme="majorBidi"/>
          <w:color w:val="467886"/>
          <w:u w:val="single"/>
        </w:rPr>
        <w:t>https://seea.un.org/ecosystem-accounting</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7D39FDB3" w14:textId="77777777" w:rsidR="00F041AE" w:rsidRDefault="00756F0F" w:rsidP="00F041AE">
      <w:pPr>
        <w:ind w:left="567"/>
        <w:rPr>
          <w:rStyle w:val="eop"/>
          <w:rFonts w:asciiTheme="majorBidi" w:eastAsiaTheme="majorEastAsia" w:hAnsiTheme="majorBidi" w:cstheme="majorBidi"/>
        </w:rPr>
      </w:pPr>
      <w:r w:rsidRPr="00ED7E61">
        <w:rPr>
          <w:rStyle w:val="normaltextrun"/>
          <w:rFonts w:asciiTheme="majorBidi" w:eastAsiaTheme="majorEastAsia" w:hAnsiTheme="majorBidi" w:cstheme="majorBidi"/>
        </w:rPr>
        <w:t xml:space="preserve">United Nations (2021). Guidelines on Biophysical Modelling for Ecosystem Accounting. Available at: </w:t>
      </w:r>
      <w:hyperlink r:id="rId173" w:tgtFrame="_blank" w:history="1">
        <w:r w:rsidRPr="00ED7E61">
          <w:rPr>
            <w:rStyle w:val="normaltextrun"/>
            <w:rFonts w:asciiTheme="majorBidi" w:eastAsiaTheme="majorEastAsia" w:hAnsiTheme="majorBidi" w:cstheme="majorBidi"/>
            <w:color w:val="467886"/>
            <w:u w:val="single"/>
          </w:rPr>
          <w:t>https://seea.un.org/ecosystem-accounting/biophysical-modelling</w:t>
        </w:r>
      </w:hyperlink>
      <w:r w:rsidRPr="00ED7E61">
        <w:rPr>
          <w:rStyle w:val="eop"/>
          <w:rFonts w:asciiTheme="majorBidi" w:eastAsiaTheme="majorEastAsia" w:hAnsiTheme="majorBidi" w:cstheme="majorBidi"/>
        </w:rPr>
        <w:t> </w:t>
      </w:r>
    </w:p>
    <w:p w14:paraId="5AA7CADB" w14:textId="77777777" w:rsidR="00F041AE" w:rsidRDefault="00F041AE" w:rsidP="00812871">
      <w:pPr>
        <w:ind w:left="567"/>
        <w:rPr>
          <w:rStyle w:val="eop"/>
          <w:rFonts w:asciiTheme="majorBidi" w:eastAsiaTheme="majorEastAsia" w:hAnsiTheme="majorBidi" w:cstheme="majorBidi"/>
        </w:rPr>
      </w:pPr>
    </w:p>
    <w:p w14:paraId="7D0344C0" w14:textId="77777777" w:rsidR="00F041AE" w:rsidRPr="00307888" w:rsidRDefault="00F041AE" w:rsidP="00F041AE">
      <w:pPr>
        <w:ind w:left="567"/>
        <w:rPr>
          <w:sz w:val="22"/>
          <w:szCs w:val="22"/>
        </w:rPr>
      </w:pPr>
      <w:r w:rsidRPr="00307888">
        <w:rPr>
          <w:rStyle w:val="normaltextrun"/>
          <w:rFonts w:asciiTheme="majorBidi" w:eastAsiaTheme="majorEastAsia" w:hAnsiTheme="majorBidi" w:cstheme="majorBidi"/>
          <w:color w:val="000000"/>
          <w:sz w:val="22"/>
          <w:szCs w:val="22"/>
          <w:lang w:val="en-AU"/>
        </w:rPr>
        <w:t xml:space="preserve">United Nations (2025) Global </w:t>
      </w:r>
      <w:r w:rsidRPr="00307888">
        <w:rPr>
          <w:rFonts w:asciiTheme="majorBidi" w:eastAsiaTheme="majorEastAsia" w:hAnsiTheme="majorBidi" w:cstheme="majorBidi"/>
          <w:color w:val="000000"/>
          <w:sz w:val="22"/>
          <w:szCs w:val="22"/>
        </w:rPr>
        <w:t xml:space="preserve">Assessment of Environmental-Economic Accounting and Supporting Statistics 2025. Available at </w:t>
      </w:r>
      <w:hyperlink r:id="rId174" w:history="1">
        <w:r w:rsidRPr="00307888">
          <w:rPr>
            <w:rStyle w:val="Hyperlink"/>
            <w:rFonts w:asciiTheme="majorBidi" w:eastAsiaTheme="majorEastAsia" w:hAnsiTheme="majorBidi" w:cstheme="majorBidi"/>
            <w:sz w:val="22"/>
            <w:szCs w:val="22"/>
          </w:rPr>
          <w:t>https://seea.un.org/content/global-assessment-environmental-economic-accounting</w:t>
        </w:r>
      </w:hyperlink>
      <w:r w:rsidRPr="00307888">
        <w:rPr>
          <w:rFonts w:asciiTheme="majorBidi" w:eastAsiaTheme="majorEastAsia" w:hAnsiTheme="majorBidi" w:cstheme="majorBidi"/>
          <w:color w:val="000000"/>
          <w:sz w:val="22"/>
          <w:szCs w:val="22"/>
        </w:rPr>
        <w:t> </w:t>
      </w:r>
    </w:p>
    <w:p w14:paraId="2386B997" w14:textId="77777777" w:rsidR="008E1196" w:rsidRDefault="008E1196">
      <w:pPr>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br w:type="page"/>
      </w:r>
    </w:p>
    <w:p w14:paraId="759E6C58" w14:textId="559242B4" w:rsidR="008E1196" w:rsidRPr="00ED7E61" w:rsidRDefault="00984EB3" w:rsidP="008E1196">
      <w:pPr>
        <w:pStyle w:val="Heading3"/>
      </w:pPr>
      <w:bookmarkStart w:id="17" w:name="_Toc233278558"/>
      <w:bookmarkStart w:id="18" w:name="_Toc178285848"/>
      <w:r>
        <w:rPr>
          <w:rStyle w:val="normaltextrun"/>
        </w:rPr>
        <w:lastRenderedPageBreak/>
        <w:t>B</w:t>
      </w:r>
      <w:r w:rsidRPr="00ED7E61">
        <w:rPr>
          <w:rStyle w:val="normaltextrun"/>
        </w:rPr>
        <w:t xml:space="preserve">inary indicator </w:t>
      </w:r>
      <w:proofErr w:type="spellStart"/>
      <w:r w:rsidR="008E1196" w:rsidRPr="00ED7E61">
        <w:rPr>
          <w:rStyle w:val="normaltextrun"/>
        </w:rPr>
        <w:t>B.b</w:t>
      </w:r>
      <w:bookmarkEnd w:id="17"/>
      <w:proofErr w:type="spellEnd"/>
      <w:r w:rsidR="008E1196" w:rsidRPr="00ED7E61">
        <w:rPr>
          <w:rStyle w:val="normaltextrun"/>
        </w:rPr>
        <w:t xml:space="preserve"> </w:t>
      </w:r>
      <w:bookmarkEnd w:id="18"/>
    </w:p>
    <w:p w14:paraId="59AF6CB2" w14:textId="77777777" w:rsidR="008E1196" w:rsidRPr="00ED7E61" w:rsidRDefault="008E1196" w:rsidP="008E119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39E9C4E7" w14:textId="77777777" w:rsidR="008E1196" w:rsidRPr="00AE4B3F" w:rsidRDefault="008E1196" w:rsidP="00AE4B3F">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AE4B3F">
        <w:rPr>
          <w:rStyle w:val="normaltextrun"/>
          <w:rFonts w:eastAsiaTheme="majorEastAsia"/>
          <w:b/>
          <w:bCs/>
          <w:lang w:val="en-GB"/>
        </w:rPr>
        <w:t>Full Indicator Name</w:t>
      </w:r>
    </w:p>
    <w:p w14:paraId="35BB5EE0" w14:textId="77777777" w:rsidR="009E2022" w:rsidRPr="009E2022" w:rsidRDefault="009E2022" w:rsidP="009E2022">
      <w:pPr>
        <w:jc w:val="both"/>
        <w:rPr>
          <w:rFonts w:asciiTheme="majorBidi" w:hAnsiTheme="majorBidi" w:cstheme="majorBidi"/>
          <w:color w:val="000000" w:themeColor="text1"/>
          <w:sz w:val="22"/>
          <w:szCs w:val="22"/>
        </w:rPr>
      </w:pPr>
      <w:r w:rsidRPr="009E2022">
        <w:rPr>
          <w:rFonts w:asciiTheme="majorBidi" w:hAnsiTheme="majorBidi" w:cstheme="majorBidi"/>
          <w:color w:val="000000" w:themeColor="text1"/>
          <w:sz w:val="22"/>
          <w:szCs w:val="22"/>
        </w:rPr>
        <w:t>Number of countries with policies or actions for implementing and monitoring the</w:t>
      </w:r>
    </w:p>
    <w:p w14:paraId="703396AE" w14:textId="77777777" w:rsidR="009E2022" w:rsidRPr="009E2022" w:rsidRDefault="009E2022" w:rsidP="009E2022">
      <w:pPr>
        <w:jc w:val="both"/>
        <w:rPr>
          <w:rFonts w:asciiTheme="majorBidi" w:hAnsiTheme="majorBidi" w:cstheme="majorBidi"/>
          <w:color w:val="000000" w:themeColor="text1"/>
          <w:sz w:val="22"/>
          <w:szCs w:val="22"/>
        </w:rPr>
      </w:pPr>
      <w:r w:rsidRPr="009E2022">
        <w:rPr>
          <w:rFonts w:asciiTheme="majorBidi" w:hAnsiTheme="majorBidi" w:cstheme="majorBidi"/>
          <w:color w:val="000000" w:themeColor="text1"/>
          <w:sz w:val="22"/>
          <w:szCs w:val="22"/>
        </w:rPr>
        <w:t>sustainable use of biodiversity and the maintenance and enhancement of nature’s</w:t>
      </w:r>
    </w:p>
    <w:p w14:paraId="4F03BDA9" w14:textId="06289337" w:rsidR="008E1196" w:rsidRPr="00ED7E61" w:rsidRDefault="009E2022" w:rsidP="009E2022">
      <w:pPr>
        <w:jc w:val="both"/>
        <w:rPr>
          <w:rFonts w:asciiTheme="majorBidi" w:hAnsiTheme="majorBidi" w:cstheme="majorBidi"/>
          <w:sz w:val="22"/>
          <w:szCs w:val="22"/>
        </w:rPr>
      </w:pPr>
      <w:r w:rsidRPr="009E2022">
        <w:rPr>
          <w:rFonts w:asciiTheme="majorBidi" w:hAnsiTheme="majorBidi" w:cstheme="majorBidi"/>
          <w:color w:val="000000" w:themeColor="text1"/>
          <w:sz w:val="22"/>
          <w:szCs w:val="22"/>
        </w:rPr>
        <w:t>contributions to people, including ecosystem functions and services</w:t>
      </w:r>
    </w:p>
    <w:p w14:paraId="2ECEA234" w14:textId="77777777" w:rsidR="009E2022" w:rsidRDefault="009E2022" w:rsidP="008E1196">
      <w:pPr>
        <w:jc w:val="both"/>
        <w:rPr>
          <w:rFonts w:asciiTheme="majorBidi" w:hAnsiTheme="majorBidi" w:cstheme="majorBidi"/>
          <w:b/>
          <w:bCs/>
          <w:sz w:val="22"/>
          <w:szCs w:val="22"/>
        </w:rPr>
      </w:pPr>
    </w:p>
    <w:p w14:paraId="5D8FD69B" w14:textId="3DBDA0CD" w:rsidR="008E1196" w:rsidRPr="00AE4B3F" w:rsidRDefault="008E1196" w:rsidP="00AE4B3F">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AE4B3F">
        <w:rPr>
          <w:rStyle w:val="normaltextrun"/>
          <w:rFonts w:eastAsiaTheme="majorEastAsia"/>
          <w:b/>
          <w:bCs/>
          <w:lang w:val="en-GB"/>
        </w:rPr>
        <w:t>Goals and Targets Addressed</w:t>
      </w:r>
    </w:p>
    <w:p w14:paraId="27121F70" w14:textId="7805AF66" w:rsidR="008E1196" w:rsidRPr="00ED7E61" w:rsidRDefault="008E1196" w:rsidP="008E1196">
      <w:pPr>
        <w:rPr>
          <w:rFonts w:asciiTheme="majorBidi" w:hAnsiTheme="majorBidi" w:cstheme="majorBidi"/>
          <w:sz w:val="22"/>
          <w:szCs w:val="22"/>
        </w:rPr>
      </w:pPr>
      <w:r w:rsidRPr="00ED7E61">
        <w:rPr>
          <w:rFonts w:asciiTheme="majorBidi" w:hAnsiTheme="majorBidi" w:cstheme="majorBidi"/>
          <w:sz w:val="22"/>
          <w:szCs w:val="22"/>
        </w:rPr>
        <w:t>Goal B. 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p w14:paraId="7D4CDBEF" w14:textId="77777777" w:rsidR="008E1196" w:rsidRPr="00ED7E61" w:rsidRDefault="008E1196" w:rsidP="008E1196">
      <w:pPr>
        <w:jc w:val="both"/>
        <w:rPr>
          <w:rFonts w:asciiTheme="majorBidi" w:hAnsiTheme="majorBidi" w:cstheme="majorBidi"/>
          <w:sz w:val="22"/>
          <w:szCs w:val="22"/>
        </w:rPr>
      </w:pPr>
    </w:p>
    <w:p w14:paraId="089E4E46" w14:textId="77777777" w:rsidR="008E1196" w:rsidRPr="00AE4B3F" w:rsidRDefault="008E1196" w:rsidP="00AE4B3F">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AE4B3F">
        <w:rPr>
          <w:rStyle w:val="normaltextrun"/>
          <w:rFonts w:eastAsiaTheme="majorEastAsia"/>
          <w:b/>
          <w:bCs/>
          <w:lang w:val="en-GB"/>
        </w:rPr>
        <w:t>Target</w:t>
      </w:r>
    </w:p>
    <w:p w14:paraId="3C2D7D04" w14:textId="77777777" w:rsidR="008E1196" w:rsidRPr="00ED7E61" w:rsidRDefault="008E1196" w:rsidP="008E1196">
      <w:pPr>
        <w:rPr>
          <w:rFonts w:asciiTheme="majorBidi" w:hAnsiTheme="majorBidi" w:cstheme="majorBidi"/>
          <w:sz w:val="22"/>
          <w:szCs w:val="22"/>
        </w:rPr>
      </w:pPr>
      <w:r w:rsidRPr="00ED7E61">
        <w:rPr>
          <w:rFonts w:asciiTheme="majorBidi" w:hAnsiTheme="majorBidi" w:cstheme="majorBidi"/>
          <w:sz w:val="22"/>
          <w:szCs w:val="22"/>
        </w:rPr>
        <w:t>N/A</w:t>
      </w:r>
    </w:p>
    <w:p w14:paraId="3821D506" w14:textId="77777777" w:rsidR="008E1196" w:rsidRPr="00ED7E61" w:rsidRDefault="008E1196" w:rsidP="008E11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04F62777" w14:textId="77777777" w:rsidR="008E1196" w:rsidRPr="00AE4B3F" w:rsidRDefault="008E1196" w:rsidP="00AE4B3F">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AE4B3F">
        <w:rPr>
          <w:rStyle w:val="normaltextrun"/>
          <w:rFonts w:eastAsiaTheme="majorEastAsia"/>
          <w:b/>
          <w:bCs/>
          <w:lang w:val="en-GB"/>
        </w:rPr>
        <w:t>Rationale</w:t>
      </w:r>
    </w:p>
    <w:p w14:paraId="7254C35D" w14:textId="77777777" w:rsidR="008E1196" w:rsidRPr="00ED7E61" w:rsidRDefault="008E1196" w:rsidP="008E1196">
      <w:pPr>
        <w:pStyle w:val="CBDNormalNumber"/>
        <w:numPr>
          <w:ilvl w:val="0"/>
          <w:numId w:val="62"/>
        </w:numPr>
        <w:tabs>
          <w:tab w:val="clear" w:pos="1701"/>
        </w:tabs>
        <w:ind w:left="567" w:hanging="24"/>
        <w:rPr>
          <w:rStyle w:val="normaltextrun"/>
          <w:rFonts w:eastAsiaTheme="majorEastAsia"/>
          <w:sz w:val="24"/>
          <w:szCs w:val="24"/>
          <w:lang w:val="en-CA"/>
        </w:rPr>
      </w:pPr>
      <w:r w:rsidRPr="00ED7E61">
        <w:rPr>
          <w:rStyle w:val="normaltextrun"/>
          <w:rFonts w:eastAsiaTheme="majorEastAsia"/>
        </w:rPr>
        <w:t>Goal B focuses on the sustainable use and management of biodiversity and the restoration, maintenance and enhancement of nature’s contributions, including ecosystem functions and services. This vision is central to the Framework and essential to the achievement of the Sustainable Development Goals. People and nations around the world rely on healthy ecosystems and biodiversity for their livelihoods, economies, health and wellbeing. The degradation of ecosystems and loss of nature’s contributions to people (NCP) has been linked to declines in quality of life and predictions of large-scale economic damage for all Parties to the convention. Ensuring that we restore NCP where they have been lost and maintain and enhance those that societies currently benefit from is essential for present and future generations to thrive.</w:t>
      </w:r>
    </w:p>
    <w:p w14:paraId="38D7BD66"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Achieving this goal requires a concerted effort from Parties to implement and enforce policies on the sustainable use of biodiversity and the maintenance and enhancement of NCP. These require that biodiversity-dependent activities follow rules that ensure a healthy continuation of populations and ecosystems. Moreover, it requires that NCP be properly accounted for and valued in political and economic decision-making. As such, this indicator tracks the existence of policies and action plans to ensure the sustainable use of biodiversity and maintenance, enhancement and restoration of NCP by all Parties.</w:t>
      </w:r>
    </w:p>
    <w:p w14:paraId="4789BA36" w14:textId="77777777" w:rsidR="008E1196" w:rsidRPr="00AE4B3F" w:rsidRDefault="008E1196" w:rsidP="00AE4B3F">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AE4B3F">
        <w:rPr>
          <w:rStyle w:val="normaltextrun"/>
          <w:rFonts w:eastAsiaTheme="majorEastAsia"/>
          <w:b/>
          <w:bCs/>
          <w:lang w:val="en-GB"/>
        </w:rPr>
        <w:t>Definitions Concepts and Classifications</w:t>
      </w:r>
    </w:p>
    <w:p w14:paraId="09B98063" w14:textId="77777777" w:rsidR="008E1196" w:rsidRPr="00ED7E61" w:rsidRDefault="008E1196" w:rsidP="008E1196">
      <w:pPr>
        <w:jc w:val="both"/>
        <w:rPr>
          <w:rFonts w:asciiTheme="majorBidi" w:hAnsiTheme="majorBidi" w:cstheme="majorBidi"/>
          <w:i/>
          <w:iCs/>
          <w:sz w:val="22"/>
          <w:szCs w:val="22"/>
        </w:rPr>
      </w:pPr>
      <w:r w:rsidRPr="00ED7E61">
        <w:rPr>
          <w:rFonts w:asciiTheme="majorBidi" w:hAnsiTheme="majorBidi" w:cstheme="majorBidi"/>
          <w:i/>
          <w:iCs/>
          <w:sz w:val="22"/>
          <w:szCs w:val="22"/>
        </w:rPr>
        <w:t>Definition</w:t>
      </w:r>
    </w:p>
    <w:p w14:paraId="2C7F167B" w14:textId="77777777" w:rsidR="008E1196" w:rsidRPr="00ED7E61" w:rsidRDefault="008E1196" w:rsidP="008E1196">
      <w:pPr>
        <w:pStyle w:val="CBDNormalNumber"/>
        <w:numPr>
          <w:ilvl w:val="0"/>
          <w:numId w:val="62"/>
        </w:numPr>
        <w:ind w:left="567" w:firstLine="0"/>
        <w:rPr>
          <w:rStyle w:val="normaltextrun"/>
          <w:rFonts w:eastAsiaTheme="majorEastAsia"/>
          <w:sz w:val="24"/>
          <w:szCs w:val="24"/>
          <w:lang w:val="en-CA"/>
        </w:rPr>
      </w:pPr>
      <w:r w:rsidRPr="00ED7E61">
        <w:rPr>
          <w:rStyle w:val="normaltextrun"/>
          <w:rFonts w:eastAsiaTheme="majorEastAsia"/>
        </w:rPr>
        <w:t>Maintenance of biodiversity and NCP: Measures put in place to keep the existing quantity and quality of biodiversity and nature’s contribution to people.</w:t>
      </w:r>
    </w:p>
    <w:p w14:paraId="228E2F39"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Enhancement of biodiversity and NCP:   Measures put in place to improve the quality and quantity of biodiversity and nature’s contribution to people.</w:t>
      </w:r>
    </w:p>
    <w:p w14:paraId="43B65C92"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 xml:space="preserve">Nature’s contribution to people: Nature’s contributions to people (a concept </w:t>
      </w:r>
      <w:proofErr w:type="gramStart"/>
      <w:r w:rsidRPr="00ED7E61">
        <w:rPr>
          <w:rStyle w:val="normaltextrun"/>
          <w:rFonts w:eastAsiaTheme="majorEastAsia"/>
        </w:rPr>
        <w:t>similar to</w:t>
      </w:r>
      <w:proofErr w:type="gramEnd"/>
      <w:r w:rsidRPr="00ED7E61">
        <w:rPr>
          <w:rStyle w:val="normaltextrun"/>
          <w:rFonts w:eastAsiaTheme="majorEastAsia"/>
        </w:rPr>
        <w:t xml:space="preserve"> and inclusive of ecosystem services) refers to all the contributions from biodiversity to people’s well-being or quality of life. They include (a) material contributions, such as the production of food, feed, fibre, medicines and energy, (b) regulating services, such as the regulation of air and water quality, climate regulation, pollination, regulation of pests and diseases and provision of habitat, and (c) other non-material contributions, such as learning, inspiration, health, physical, psychological, spiritual well-being and experiences and supporting identities and culture, as well as maintaining options for future generations.</w:t>
      </w:r>
    </w:p>
    <w:p w14:paraId="460A3617"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lastRenderedPageBreak/>
        <w:t>Sustainable use: Sustainable use is defined by the Convention on Biological Diversity as “</w:t>
      </w:r>
      <w:r w:rsidRPr="00FB1598">
        <w:rPr>
          <w:rStyle w:val="normaltextrun"/>
          <w:rFonts w:eastAsiaTheme="majorEastAsia"/>
          <w:i/>
          <w:iCs/>
        </w:rPr>
        <w:t>the use of components of biological diversity in a way and at a rate that does not lead to the long-term decline of biological diversity, thereby maintaining its potential to meet the needs and aspirations of present and future generations</w:t>
      </w:r>
      <w:r w:rsidRPr="00ED7E61">
        <w:rPr>
          <w:rStyle w:val="normaltextrun"/>
          <w:rFonts w:eastAsiaTheme="majorEastAsia"/>
        </w:rPr>
        <w:t>.”</w:t>
      </w:r>
    </w:p>
    <w:p w14:paraId="10C9DD29"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Ecosystem functions: The flow of energy and materials through the biotic and abiotic components of an ecosystem. It includes many processes such as biomass production, trophic transfer through plants and animals, nutrient cycling, water dynamics and heat transfer.</w:t>
      </w:r>
    </w:p>
    <w:p w14:paraId="2B362857"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Ecosystem service: A service that is provided by an ecosystem as an intrinsic property of its functionality (e.g. pollination, nutrient cycling, nitrogen fixation, fruit and seed dispersal) contributing to the benefits (and occasionally disbenefits) that people obtain from ecosystems. These include provisioning services such as food and water; regulating services such as flood and disease control; and cultural services such as recreation and sense of place. This includes the whole pathway from ecological processes through to final ecosystem services, goods and anthropocentric values to people. In the original definition of the Millennium Ecosystem Assessment the concept of ecosystem goods and services is synonymous with ecosystem services.</w:t>
      </w:r>
    </w:p>
    <w:p w14:paraId="57B65F28"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Action plan: A recognized program or strategy with a course of action to deliver on the Framework's goals.</w:t>
      </w:r>
    </w:p>
    <w:p w14:paraId="0A6D5B4D"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Policy: A set or framework of general objectives and management principles that the undertaking uses for decision-making. A policy implements the undertaking’s strategy or management decisions related to a matter. Each policy is under the responsibility of defined person(s), specifies its perimeter of application, and includes one or more objectives (linked when applicable to measurable targets). A policy is validated and reviewed following the undertakings’ applicable governance rules. A policy is implemented through actions or action plans.</w:t>
      </w:r>
    </w:p>
    <w:p w14:paraId="20543D51" w14:textId="77777777" w:rsidR="008E1196" w:rsidRPr="00AE4B3F" w:rsidRDefault="008E1196" w:rsidP="00AE4B3F">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AE4B3F">
        <w:rPr>
          <w:rStyle w:val="normaltextrun"/>
          <w:rFonts w:eastAsiaTheme="majorEastAsia"/>
          <w:b/>
          <w:bCs/>
          <w:lang w:val="en-GB"/>
        </w:rPr>
        <w:t>Method of Computation</w:t>
      </w:r>
    </w:p>
    <w:p w14:paraId="5AC10392" w14:textId="77777777" w:rsidR="008E1196" w:rsidRPr="00ED7E61" w:rsidRDefault="008E1196" w:rsidP="008E1196">
      <w:pPr>
        <w:pStyle w:val="CBDNormalNumber"/>
        <w:numPr>
          <w:ilvl w:val="0"/>
          <w:numId w:val="62"/>
        </w:numPr>
        <w:ind w:left="567" w:firstLine="0"/>
        <w:rPr>
          <w:rStyle w:val="normaltextrun"/>
          <w:rFonts w:eastAsiaTheme="majorEastAsia"/>
          <w:sz w:val="24"/>
          <w:szCs w:val="24"/>
          <w:lang w:val="en-CA"/>
        </w:rPr>
      </w:pPr>
      <w:r w:rsidRPr="00ED7E61">
        <w:rPr>
          <w:rStyle w:val="normaltextrun"/>
          <w:rFonts w:eastAsiaTheme="majorEastAsia"/>
        </w:rPr>
        <w:t>This indicator is a binary indicator and must be compiled from the answers to four questions:</w:t>
      </w:r>
    </w:p>
    <w:p w14:paraId="39B2EC41"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B.1 Does your country have policies and/or action plans aiming to ensure the maintenance, enhancement and restoration of nature’s contributions to people, including of ecosystem functions and services?</w:t>
      </w:r>
    </w:p>
    <w:p w14:paraId="201E48E4"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B.2 Does your country have policies and/or action plans aiming to ensure the sustainable use of biodiversity?</w:t>
      </w:r>
    </w:p>
    <w:p w14:paraId="44DF0D0C"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asciiTheme="majorBidi" w:eastAsiaTheme="majorEastAsia" w:hAnsiTheme="majorBidi" w:cstheme="majorBidi"/>
        </w:rPr>
      </w:pPr>
      <w:r w:rsidRPr="00ED7E61">
        <w:rPr>
          <w:rStyle w:val="normaltextrun"/>
          <w:rFonts w:eastAsiaTheme="majorEastAsia"/>
        </w:rPr>
        <w:t xml:space="preserve">B.3 </w:t>
      </w:r>
      <w:r w:rsidRPr="00ED7E61">
        <w:rPr>
          <w:rStyle w:val="normaltextrun"/>
          <w:rFonts w:asciiTheme="majorBidi" w:eastAsiaTheme="majorEastAsia" w:hAnsiTheme="majorBidi" w:cstheme="majorBidi"/>
        </w:rPr>
        <w:t xml:space="preserve">Does your country monitor the sustainable use of biodiversity? </w:t>
      </w:r>
    </w:p>
    <w:p w14:paraId="3C04645E"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B.4 Does your country monitor the maintenance, restoration and enhancement of nature’s contributions to people, including ecosystem functions and services for the benefit of present and future generations?</w:t>
      </w:r>
    </w:p>
    <w:p w14:paraId="0F8B5047"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There are four possible answers to each of these questions</w:t>
      </w:r>
      <w:r w:rsidRPr="00ED7E61">
        <w:rPr>
          <w:rStyle w:val="FootnoteReference"/>
          <w:rFonts w:eastAsiaTheme="majorEastAsia"/>
        </w:rPr>
        <w:footnoteReference w:id="8"/>
      </w:r>
      <w:r w:rsidRPr="00ED7E61">
        <w:rPr>
          <w:rStyle w:val="normaltextrun"/>
          <w:rFonts w:eastAsiaTheme="majorEastAsia"/>
        </w:rPr>
        <w:t>:</w:t>
      </w:r>
    </w:p>
    <w:p w14:paraId="6E937D5F"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sz w:val="24"/>
          <w:szCs w:val="24"/>
          <w:lang w:val="en-CA"/>
        </w:rPr>
      </w:pPr>
      <w:r w:rsidRPr="00ED7E61">
        <w:rPr>
          <w:rStyle w:val="normaltextrun"/>
          <w:rFonts w:eastAsiaTheme="majorEastAsia"/>
        </w:rPr>
        <w:t>No</w:t>
      </w:r>
    </w:p>
    <w:p w14:paraId="2B3D8D97"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Under development</w:t>
      </w:r>
    </w:p>
    <w:p w14:paraId="736D98DE"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Partially</w:t>
      </w:r>
    </w:p>
    <w:p w14:paraId="4E8E73A2"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Fully</w:t>
      </w:r>
    </w:p>
    <w:p w14:paraId="49F6F8C6"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A “</w:t>
      </w:r>
      <w:r w:rsidRPr="00FB1598">
        <w:rPr>
          <w:rStyle w:val="normaltextrun"/>
          <w:rFonts w:eastAsiaTheme="majorEastAsia"/>
          <w:i/>
          <w:iCs/>
        </w:rPr>
        <w:t>No</w:t>
      </w:r>
      <w:r w:rsidRPr="00ED7E61">
        <w:rPr>
          <w:rStyle w:val="normaltextrun"/>
          <w:rFonts w:eastAsiaTheme="majorEastAsia"/>
        </w:rPr>
        <w:t xml:space="preserve">” answer implies that there are no policies or action plans currently in place at the national level to ensure the maintenance, enhancement and restoration of NCP (B.1) nor the sustainable use of biodiversity (B.2) and that no monitoring of </w:t>
      </w:r>
      <w:r>
        <w:rPr>
          <w:rStyle w:val="normaltextrun"/>
          <w:rFonts w:eastAsiaTheme="majorEastAsia"/>
        </w:rPr>
        <w:t>the</w:t>
      </w:r>
      <w:r w:rsidRPr="00ED7E61">
        <w:rPr>
          <w:rStyle w:val="normaltextrun"/>
          <w:rFonts w:eastAsiaTheme="majorEastAsia"/>
        </w:rPr>
        <w:t xml:space="preserve"> sustainable use of biodiversity </w:t>
      </w:r>
      <w:r w:rsidRPr="00ED7E61">
        <w:rPr>
          <w:rStyle w:val="normaltextrun"/>
          <w:rFonts w:eastAsiaTheme="majorEastAsia"/>
        </w:rPr>
        <w:lastRenderedPageBreak/>
        <w:t>(B.3) nor maintenance, enhancement and restoration of NCP is taking place (B.4). Therefore, no policies nor action plans exist in the country for the specific requirements of each question in turn.</w:t>
      </w:r>
    </w:p>
    <w:p w14:paraId="22B2A57D"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An “</w:t>
      </w:r>
      <w:r w:rsidRPr="00FB1598">
        <w:rPr>
          <w:rStyle w:val="normaltextrun"/>
          <w:rFonts w:eastAsiaTheme="majorEastAsia"/>
          <w:i/>
          <w:iCs/>
        </w:rPr>
        <w:t>Under development</w:t>
      </w:r>
      <w:r w:rsidRPr="00ED7E61">
        <w:rPr>
          <w:rStyle w:val="normaltextrun"/>
          <w:rFonts w:eastAsiaTheme="majorEastAsia"/>
        </w:rPr>
        <w:t>” answer implies a concerted effort at the national level to put in place policies or action plans for NCP maintenance, restoration or enhancement (B.1) or for the sustainable use of biodiversity (B.2). These plans or policies may be in the draft stage, have been published for review or pending acceptance/ratification. In either case, there must be a clear official proposal for a national level policy or action plan to select this answer, ongoing efforts to draft texts is insufficient. Monitoring of sustainable use of biodiversity (B.3) and either maintenance, enhancement or restoration of NCP is in development (B.4), monitoring programs and reporting systems may be in the design phase or be completed and accepted but not resourced, and therefore have not begun.</w:t>
      </w:r>
    </w:p>
    <w:p w14:paraId="3A8372EB"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A “</w:t>
      </w:r>
      <w:r w:rsidRPr="00FB1598">
        <w:rPr>
          <w:rStyle w:val="normaltextrun"/>
          <w:rFonts w:eastAsiaTheme="majorEastAsia"/>
          <w:i/>
          <w:iCs/>
        </w:rPr>
        <w:t>Partially</w:t>
      </w:r>
      <w:r w:rsidRPr="00ED7E61">
        <w:rPr>
          <w:rStyle w:val="normaltextrun"/>
          <w:rFonts w:eastAsiaTheme="majorEastAsia"/>
        </w:rPr>
        <w:t>” answer implies that some of the elements in the question have been met but not all. That is, policies and/or action plans are in place to:</w:t>
      </w:r>
    </w:p>
    <w:p w14:paraId="5FDC7849"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ensure the maintenance, enhancement or restoration of NCP but not all three (B.1)</w:t>
      </w:r>
    </w:p>
    <w:p w14:paraId="27FF7D56"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these fail to include ecosystem functions or services or both (B.1)</w:t>
      </w:r>
    </w:p>
    <w:p w14:paraId="0F78068A" w14:textId="77777777" w:rsidR="008E1196" w:rsidRPr="00ED7E61" w:rsidRDefault="008E1196" w:rsidP="008E1196">
      <w:pPr>
        <w:pStyle w:val="CBDNormalNumber"/>
        <w:numPr>
          <w:ilvl w:val="1"/>
          <w:numId w:val="62"/>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these do not account for the sustainable use of all aspects of biodiversity, e.g. not including genetic diversity (B.2)</w:t>
      </w:r>
    </w:p>
    <w:p w14:paraId="0A9F9BC0" w14:textId="77777777" w:rsidR="008E1196" w:rsidRPr="00ED7E61" w:rsidRDefault="008E1196" w:rsidP="008E1196">
      <w:pPr>
        <w:pStyle w:val="CBDNormalNumber"/>
        <w:numPr>
          <w:ilvl w:val="0"/>
          <w:numId w:val="62"/>
        </w:numPr>
        <w:ind w:left="567" w:firstLine="0"/>
        <w:rPr>
          <w:rStyle w:val="normaltextrun"/>
          <w:rFonts w:eastAsiaTheme="majorEastAsia"/>
        </w:rPr>
      </w:pPr>
      <w:r w:rsidRPr="00ED7E61">
        <w:rPr>
          <w:rStyle w:val="normaltextrun"/>
          <w:rFonts w:eastAsiaTheme="majorEastAsia"/>
        </w:rPr>
        <w:t>Monitoring of the sustainable use of biodiversity (B.3) has begun but only addresses some aspects of biodiversity (for example only species or genetic diversity). Monitoring of the maintenance, enhancement or restoration of NCP is taking place but not all three (B.4). If any one of the cases outlined above applies, only partial achievement has been reached.</w:t>
      </w:r>
    </w:p>
    <w:p w14:paraId="2826D065" w14:textId="77777777" w:rsidR="008E1196" w:rsidRPr="00ED7E61" w:rsidRDefault="008E1196" w:rsidP="008E1196">
      <w:pPr>
        <w:pStyle w:val="CBDNormalNumber"/>
        <w:numPr>
          <w:ilvl w:val="0"/>
          <w:numId w:val="62"/>
        </w:numPr>
        <w:ind w:left="567" w:firstLine="0"/>
      </w:pPr>
      <w:r w:rsidRPr="00ED7E61">
        <w:t>A “</w:t>
      </w:r>
      <w:r w:rsidRPr="00FB1598">
        <w:rPr>
          <w:i/>
          <w:iCs/>
        </w:rPr>
        <w:t>Fully</w:t>
      </w:r>
      <w:r w:rsidRPr="00ED7E61">
        <w:t>” answer implies that all the conditions outlined in “</w:t>
      </w:r>
      <w:r w:rsidRPr="00FB1598">
        <w:rPr>
          <w:i/>
          <w:iCs/>
        </w:rPr>
        <w:t>Partially</w:t>
      </w:r>
      <w:r w:rsidRPr="00ED7E61">
        <w:t xml:space="preserve">” have been met. Namely that both policies and/or actions are in place at the national level for maintenance, enhancement and restoration of NCP, including ecosystem functions and services (B.1) and to ensure the sustainable use of biodiversity (B.2). Additionally, monitoring is in place and ongoing for </w:t>
      </w:r>
      <w:r w:rsidRPr="00ED7E61">
        <w:rPr>
          <w:color w:val="000000" w:themeColor="text1"/>
        </w:rPr>
        <w:t xml:space="preserve">the </w:t>
      </w:r>
      <w:r w:rsidRPr="00ED7E61">
        <w:t>sustainable use of all aspects of biodiversity (B.3) and for the maintenance, enhancement and restoration of NCP (B.4).</w:t>
      </w:r>
    </w:p>
    <w:p w14:paraId="1BA64162" w14:textId="433A02B5" w:rsidR="00756F0F" w:rsidRPr="00ED7E61" w:rsidRDefault="00756F0F" w:rsidP="00395866">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6D4077B2" w14:textId="1EA64A6B" w:rsidR="0081052F" w:rsidRPr="00ED7E61" w:rsidRDefault="0081052F" w:rsidP="00965B3D">
      <w:pPr>
        <w:pStyle w:val="Heading3"/>
      </w:pPr>
      <w:bookmarkStart w:id="19" w:name="_Toc233278559"/>
      <w:r w:rsidRPr="00ED7E61">
        <w:rPr>
          <w:rStyle w:val="normaltextrun"/>
        </w:rPr>
        <w:lastRenderedPageBreak/>
        <w:t>C.1 Monetary benefits received in accordance with applicable internationally agreed ABS instruments</w:t>
      </w:r>
      <w:bookmarkEnd w:id="19"/>
    </w:p>
    <w:p w14:paraId="5D3CD668" w14:textId="77777777" w:rsidR="0081052F" w:rsidRPr="00ED7E61" w:rsidRDefault="0081052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01FA3F9B"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7866DF64" w14:textId="77777777" w:rsidR="0081052F" w:rsidRPr="00ED7E61"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rPr>
      </w:pPr>
      <w:r w:rsidRPr="00ED7E61">
        <w:rPr>
          <w:rStyle w:val="normaltextrun"/>
          <w:rFonts w:asciiTheme="majorBidi" w:eastAsiaTheme="majorEastAsia" w:hAnsiTheme="majorBidi" w:cstheme="majorBidi"/>
          <w:sz w:val="22"/>
          <w:szCs w:val="22"/>
        </w:rPr>
        <w:t xml:space="preserve">C.1 Monetary benefits received in accordance with applicable internationally agreed ABS instruments </w:t>
      </w:r>
    </w:p>
    <w:p w14:paraId="1D95077A" w14:textId="77777777"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794C9F5F" w14:textId="47BF1942" w:rsidR="0081052F" w:rsidRPr="00ED7E61" w:rsidRDefault="00755E46"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March</w:t>
      </w:r>
      <w:r w:rsidRPr="00ED7E61">
        <w:rPr>
          <w:rStyle w:val="normaltextrun"/>
          <w:rFonts w:asciiTheme="majorBidi" w:eastAsiaTheme="majorEastAsia" w:hAnsiTheme="majorBidi" w:cstheme="majorBidi"/>
          <w:sz w:val="22"/>
          <w:szCs w:val="22"/>
        </w:rPr>
        <w:t xml:space="preserve"> </w:t>
      </w:r>
      <w:r w:rsidR="0081052F" w:rsidRPr="00ED7E61">
        <w:rPr>
          <w:rStyle w:val="normaltextrun"/>
          <w:rFonts w:asciiTheme="majorBidi" w:eastAsiaTheme="majorEastAsia" w:hAnsiTheme="majorBidi" w:cstheme="majorBidi"/>
          <w:sz w:val="22"/>
          <w:szCs w:val="22"/>
        </w:rPr>
        <w:t>202</w:t>
      </w:r>
      <w:r w:rsidR="006E2B6E">
        <w:rPr>
          <w:rStyle w:val="normaltextrun"/>
          <w:rFonts w:asciiTheme="majorBidi" w:eastAsiaTheme="majorEastAsia" w:hAnsiTheme="majorBidi" w:cstheme="majorBidi"/>
          <w:sz w:val="22"/>
          <w:szCs w:val="22"/>
        </w:rPr>
        <w:t>5</w:t>
      </w:r>
      <w:r w:rsidR="0081052F" w:rsidRPr="00ED7E61">
        <w:rPr>
          <w:rStyle w:val="eop"/>
          <w:rFonts w:asciiTheme="majorBidi" w:eastAsiaTheme="majorEastAsia" w:hAnsiTheme="majorBidi" w:cstheme="majorBidi"/>
          <w:sz w:val="22"/>
          <w:szCs w:val="22"/>
        </w:rPr>
        <w:t> </w:t>
      </w:r>
    </w:p>
    <w:p w14:paraId="0B8AE75E" w14:textId="77777777" w:rsidR="0081052F" w:rsidRPr="00ED7E61" w:rsidRDefault="0081052F" w:rsidP="00B3383B">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6ADAAB55" w14:textId="77777777"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61EBBFD5" w14:textId="77777777" w:rsidR="0081052F" w:rsidRPr="00ED7E61" w:rsidRDefault="0081052F" w:rsidP="00395866">
      <w:pPr>
        <w:rPr>
          <w:rFonts w:asciiTheme="majorBidi" w:hAnsiTheme="majorBidi" w:cstheme="majorBidi"/>
          <w:color w:val="000000" w:themeColor="text1"/>
          <w:sz w:val="22"/>
          <w:szCs w:val="22"/>
          <w:lang w:val="en-US" w:eastAsia="de-DE"/>
        </w:rPr>
      </w:pPr>
      <w:r w:rsidRPr="00ED7E61">
        <w:rPr>
          <w:rFonts w:asciiTheme="majorBidi" w:hAnsiTheme="majorBidi" w:cstheme="majorBidi"/>
          <w:color w:val="000000" w:themeColor="text1"/>
          <w:sz w:val="22"/>
          <w:szCs w:val="22"/>
          <w:lang w:val="en-US" w:eastAsia="de-DE"/>
        </w:rPr>
        <w:t>Goal C. 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w:t>
      </w:r>
    </w:p>
    <w:p w14:paraId="2C2B3435" w14:textId="77777777"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107EA954" w14:textId="77777777" w:rsidR="0081052F" w:rsidRPr="00ED7E61" w:rsidRDefault="0081052F" w:rsidP="00395866">
      <w:pPr>
        <w:rPr>
          <w:rFonts w:asciiTheme="majorBidi" w:hAnsiTheme="majorBidi" w:cstheme="majorBidi"/>
          <w:color w:val="000000" w:themeColor="text1"/>
          <w:sz w:val="22"/>
          <w:szCs w:val="22"/>
          <w:lang w:val="en-US" w:eastAsia="de-DE"/>
        </w:rPr>
      </w:pPr>
      <w:r w:rsidRPr="00ED7E61">
        <w:rPr>
          <w:rFonts w:asciiTheme="majorBidi" w:hAnsiTheme="majorBidi" w:cstheme="majorBidi"/>
          <w:color w:val="000000" w:themeColor="text1"/>
          <w:sz w:val="22"/>
          <w:szCs w:val="22"/>
          <w:lang w:val="en-US" w:eastAsia="de-DE"/>
        </w:rPr>
        <w:t>Target 13: 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r w:rsidRPr="00ED7E61" w:rsidDel="00C2604A">
        <w:rPr>
          <w:rFonts w:asciiTheme="majorBidi" w:hAnsiTheme="majorBidi" w:cstheme="majorBidi"/>
          <w:color w:val="000000" w:themeColor="text1"/>
          <w:sz w:val="22"/>
          <w:szCs w:val="22"/>
          <w:lang w:val="en-US" w:eastAsia="de-DE"/>
        </w:rPr>
        <w:t xml:space="preserve"> </w:t>
      </w:r>
    </w:p>
    <w:p w14:paraId="6632A759" w14:textId="77777777"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0B77D153" w14:textId="7780BBDD" w:rsidR="009A563F" w:rsidRPr="00ED7E61" w:rsidRDefault="0025590A" w:rsidP="00B10F0C">
      <w:pPr>
        <w:pStyle w:val="CBDNormalNumber"/>
        <w:numPr>
          <w:ilvl w:val="0"/>
          <w:numId w:val="63"/>
        </w:numPr>
        <w:tabs>
          <w:tab w:val="clear" w:pos="1701"/>
        </w:tabs>
        <w:ind w:left="567" w:hanging="24"/>
        <w:rPr>
          <w:rStyle w:val="normaltextrun"/>
          <w:rFonts w:eastAsiaTheme="majorEastAsia"/>
          <w:sz w:val="24"/>
          <w:szCs w:val="24"/>
          <w:lang w:val="en-CA"/>
        </w:rPr>
      </w:pPr>
      <w:r w:rsidRPr="00ED7E61">
        <w:rPr>
          <w:rStyle w:val="normaltextrun"/>
          <w:rFonts w:eastAsiaTheme="majorEastAsia"/>
        </w:rPr>
        <w:t>This indicator aim</w:t>
      </w:r>
      <w:r w:rsidR="001F71AF">
        <w:rPr>
          <w:rStyle w:val="normaltextrun"/>
          <w:rFonts w:eastAsiaTheme="majorEastAsia"/>
        </w:rPr>
        <w:t>s</w:t>
      </w:r>
      <w:r w:rsidRPr="00ED7E61">
        <w:rPr>
          <w:rStyle w:val="normaltextrun"/>
          <w:rFonts w:eastAsiaTheme="majorEastAsia"/>
        </w:rPr>
        <w:t xml:space="preserve"> to measure the trend in the </w:t>
      </w:r>
      <w:proofErr w:type="gramStart"/>
      <w:r w:rsidRPr="00ED7E61">
        <w:rPr>
          <w:rStyle w:val="normaltextrun"/>
          <w:rFonts w:eastAsiaTheme="majorEastAsia"/>
        </w:rPr>
        <w:t>amount</w:t>
      </w:r>
      <w:proofErr w:type="gramEnd"/>
      <w:r w:rsidRPr="00ED7E61">
        <w:rPr>
          <w:rStyle w:val="normaltextrun"/>
          <w:rFonts w:eastAsiaTheme="majorEastAsia"/>
        </w:rPr>
        <w:t xml:space="preserve"> of monetary benefits received by countries from the implementation of applicable international access and benefit-sharing instruments during the reporting period. This indicator compile</w:t>
      </w:r>
      <w:r w:rsidR="001F71AF">
        <w:rPr>
          <w:rStyle w:val="normaltextrun"/>
          <w:rFonts w:eastAsiaTheme="majorEastAsia"/>
        </w:rPr>
        <w:t>s</w:t>
      </w:r>
      <w:r w:rsidRPr="00ED7E61">
        <w:rPr>
          <w:rStyle w:val="normaltextrun"/>
          <w:rFonts w:eastAsiaTheme="majorEastAsia"/>
        </w:rPr>
        <w:t xml:space="preserve">, inter alia, monetary benefits received by countries bilaterally from the implementation of ABS under the Convention and its Nagoya Protocol as well as multilateral ABS instruments, namely the International Treaty on Plant Genetic Resources for Food and Agriculture, or for example the new multilateral instruments for digital sequence information (DSI) under the Convention and for marine genetic resources and DSI under the United Nations Convention on the Law of the Sea on the conservation and sustainable use of marine biological diversity of areas beyond national jurisdiction (BBNJ).  This does not prejudge that other ABS-related instruments could be also incorporated in the future to support the conservation and sustainable use of biodiversity goals of the KMGBF. Information on monetary benefits from the different instruments </w:t>
      </w:r>
      <w:r w:rsidR="001F71AF">
        <w:rPr>
          <w:rStyle w:val="normaltextrun"/>
          <w:rFonts w:eastAsiaTheme="majorEastAsia"/>
        </w:rPr>
        <w:t>will</w:t>
      </w:r>
      <w:r w:rsidR="001F71AF" w:rsidRPr="00ED7E61">
        <w:rPr>
          <w:rStyle w:val="normaltextrun"/>
          <w:rFonts w:eastAsiaTheme="majorEastAsia"/>
        </w:rPr>
        <w:t xml:space="preserve"> </w:t>
      </w:r>
      <w:r w:rsidRPr="00ED7E61">
        <w:rPr>
          <w:rStyle w:val="normaltextrun"/>
          <w:rFonts w:eastAsiaTheme="majorEastAsia"/>
        </w:rPr>
        <w:t xml:space="preserve">be presented in an aggregated manner with the possibility to disaggregate it by instrument. </w:t>
      </w:r>
    </w:p>
    <w:p w14:paraId="73C50BFA" w14:textId="23839DF8" w:rsidR="009A563F" w:rsidRPr="00ED7E61" w:rsidRDefault="0025590A" w:rsidP="00B10F0C">
      <w:pPr>
        <w:pStyle w:val="CBDNormalNumber"/>
        <w:numPr>
          <w:ilvl w:val="0"/>
          <w:numId w:val="63"/>
        </w:numPr>
        <w:ind w:left="567" w:firstLine="0"/>
        <w:rPr>
          <w:lang w:eastAsia="de-DE"/>
        </w:rPr>
      </w:pPr>
      <w:r w:rsidRPr="00ED7E61">
        <w:rPr>
          <w:lang w:eastAsia="de-DE"/>
        </w:rPr>
        <w:t>The indicator refers to monetary benefits “</w:t>
      </w:r>
      <w:r w:rsidRPr="00FB1598">
        <w:rPr>
          <w:i/>
          <w:iCs/>
          <w:lang w:eastAsia="de-DE"/>
        </w:rPr>
        <w:t>received</w:t>
      </w:r>
      <w:r w:rsidRPr="00ED7E61">
        <w:rPr>
          <w:lang w:eastAsia="de-DE"/>
        </w:rPr>
        <w:t xml:space="preserve">” to avoid double accounting. National reporting on monetary benefits received bilaterally would not be relevant for all CBD Parties, as some countries do not regulate access to genetic resources and/or do not require or receive benefits from ABS agreements. Possible ways to disaggregate the indicator, without adding undue complexity for reporting, would need to be defined (e.g. monetary benefits from genetic resources, associated traditional knowledge, amount per type of beneficiaries, e.g. women or </w:t>
      </w:r>
      <w:r w:rsidR="00B929B4">
        <w:rPr>
          <w:rStyle w:val="normaltextrun"/>
          <w:rFonts w:asciiTheme="majorBidi" w:eastAsiaTheme="majorEastAsia" w:hAnsiTheme="majorBidi" w:cstheme="majorBidi"/>
          <w:color w:val="000000"/>
          <w:lang w:val="en-AU"/>
        </w:rPr>
        <w:t>i</w:t>
      </w:r>
      <w:r w:rsidR="00B929B4" w:rsidRPr="00ED7E61">
        <w:rPr>
          <w:rStyle w:val="normaltextrun"/>
          <w:rFonts w:asciiTheme="majorBidi" w:eastAsiaTheme="majorEastAsia" w:hAnsiTheme="majorBidi" w:cstheme="majorBidi"/>
          <w:color w:val="000000"/>
          <w:lang w:val="en-AU"/>
        </w:rPr>
        <w:t xml:space="preserve">ndigenous </w:t>
      </w:r>
      <w:r w:rsidR="00B929B4">
        <w:rPr>
          <w:rStyle w:val="normaltextrun"/>
          <w:rFonts w:asciiTheme="majorBidi" w:eastAsiaTheme="majorEastAsia" w:hAnsiTheme="majorBidi" w:cstheme="majorBidi"/>
          <w:color w:val="000000"/>
          <w:lang w:val="en-AU"/>
        </w:rPr>
        <w:t>p</w:t>
      </w:r>
      <w:r w:rsidR="00B929B4" w:rsidRPr="00ED7E61">
        <w:rPr>
          <w:rStyle w:val="normaltextrun"/>
          <w:rFonts w:asciiTheme="majorBidi" w:eastAsiaTheme="majorEastAsia" w:hAnsiTheme="majorBidi" w:cstheme="majorBidi"/>
          <w:color w:val="000000"/>
          <w:lang w:val="en-AU"/>
        </w:rPr>
        <w:t xml:space="preserve">eoples and </w:t>
      </w:r>
      <w:r w:rsidR="00B929B4">
        <w:rPr>
          <w:rStyle w:val="normaltextrun"/>
          <w:rFonts w:asciiTheme="majorBidi" w:eastAsiaTheme="majorEastAsia" w:hAnsiTheme="majorBidi" w:cstheme="majorBidi"/>
          <w:color w:val="000000"/>
          <w:lang w:val="en-AU"/>
        </w:rPr>
        <w:t>l</w:t>
      </w:r>
      <w:r w:rsidR="00B929B4" w:rsidRPr="00ED7E61">
        <w:rPr>
          <w:rStyle w:val="normaltextrun"/>
          <w:rFonts w:asciiTheme="majorBidi" w:eastAsiaTheme="majorEastAsia" w:hAnsiTheme="majorBidi" w:cstheme="majorBidi"/>
          <w:color w:val="000000"/>
          <w:lang w:val="en-AU"/>
        </w:rPr>
        <w:t xml:space="preserve">ocal </w:t>
      </w:r>
      <w:r w:rsidR="00B929B4">
        <w:rPr>
          <w:rStyle w:val="normaltextrun"/>
          <w:rFonts w:asciiTheme="majorBidi" w:eastAsiaTheme="majorEastAsia" w:hAnsiTheme="majorBidi" w:cstheme="majorBidi"/>
          <w:color w:val="000000"/>
          <w:lang w:val="en-AU"/>
        </w:rPr>
        <w:t>c</w:t>
      </w:r>
      <w:r w:rsidR="00B929B4" w:rsidRPr="00ED7E61">
        <w:rPr>
          <w:rStyle w:val="normaltextrun"/>
          <w:rFonts w:asciiTheme="majorBidi" w:eastAsiaTheme="majorEastAsia" w:hAnsiTheme="majorBidi" w:cstheme="majorBidi"/>
          <w:color w:val="000000"/>
          <w:lang w:val="en-AU"/>
        </w:rPr>
        <w:t>ommunities</w:t>
      </w:r>
      <w:r w:rsidRPr="00ED7E61">
        <w:rPr>
          <w:lang w:eastAsia="de-DE"/>
        </w:rPr>
        <w:t>). For the multilateral instruments, disaggregation by categories of distribution and beneficiary types could be considered by the governing bodies</w:t>
      </w:r>
    </w:p>
    <w:p w14:paraId="1BAD952A" w14:textId="06C001E9" w:rsidR="0025590A" w:rsidRPr="00ED7E61" w:rsidRDefault="0025590A" w:rsidP="00B10F0C">
      <w:pPr>
        <w:pStyle w:val="CBDNormalNumber"/>
        <w:numPr>
          <w:ilvl w:val="0"/>
          <w:numId w:val="63"/>
        </w:numPr>
        <w:ind w:left="567" w:firstLine="0"/>
        <w:rPr>
          <w:lang w:eastAsia="de-DE"/>
        </w:rPr>
      </w:pPr>
      <w:r w:rsidRPr="00ED7E61">
        <w:rPr>
          <w:lang w:eastAsia="de-DE"/>
        </w:rPr>
        <w:t xml:space="preserve">Complementary indicators may serve as an indication of progress towards Goal C. For example, the number of internationally recognized certificates of compliance indicate that an ABS agreement has been concluded, and therefore that there is or will be benefits shared in accordance </w:t>
      </w:r>
      <w:r w:rsidRPr="00ED7E61">
        <w:rPr>
          <w:lang w:eastAsia="de-DE"/>
        </w:rPr>
        <w:lastRenderedPageBreak/>
        <w:t>with mutually agreed terms (MAT).  The number of users that have provided information relevant to the utilization of genetic resources to designated checkpoints</w:t>
      </w:r>
      <w:r w:rsidRPr="00ED7E61">
        <w:t xml:space="preserve"> or </w:t>
      </w:r>
      <w:r w:rsidRPr="00ED7E61">
        <w:rPr>
          <w:lang w:eastAsia="de-DE"/>
        </w:rPr>
        <w:t>the number of checkpoint communiqués published in the ABS Clearing-House can also serve as proxies as they indicate that utilization of genetic resources is taking place and that benefits are or will be shared in accordance with MAT.</w:t>
      </w:r>
    </w:p>
    <w:p w14:paraId="40D321E1"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7EC78E6D" w14:textId="77777777" w:rsidR="0081052F" w:rsidRPr="00ED7E61" w:rsidRDefault="0081052F" w:rsidP="00B3383B">
      <w:pPr>
        <w:pStyle w:val="paragraph"/>
        <w:pBdr>
          <w:bottom w:val="single" w:sz="4" w:space="3"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48AFD5B2"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K</w:t>
      </w:r>
      <w:proofErr w:type="spellStart"/>
      <w:r w:rsidRPr="00ED7E61">
        <w:rPr>
          <w:rStyle w:val="normaltextrun"/>
          <w:rFonts w:asciiTheme="majorBidi" w:eastAsiaTheme="majorEastAsia" w:hAnsiTheme="majorBidi" w:cstheme="majorBidi"/>
          <w:b/>
          <w:bCs/>
          <w:color w:val="000000"/>
          <w:sz w:val="22"/>
          <w:szCs w:val="22"/>
          <w:lang w:val="en-AU"/>
        </w:rPr>
        <w:t>ey</w:t>
      </w:r>
      <w:proofErr w:type="spellEnd"/>
      <w:r w:rsidRPr="00ED7E61">
        <w:rPr>
          <w:rStyle w:val="normaltextrun"/>
          <w:rFonts w:asciiTheme="majorBidi" w:eastAsiaTheme="majorEastAsia" w:hAnsiTheme="majorBidi" w:cstheme="majorBidi"/>
          <w:b/>
          <w:bCs/>
          <w:color w:val="000000"/>
          <w:sz w:val="22"/>
          <w:szCs w:val="22"/>
          <w:lang w:val="en-AU"/>
        </w:rPr>
        <w:t xml:space="preserve"> concepts:</w:t>
      </w:r>
      <w:r w:rsidRPr="00ED7E61">
        <w:rPr>
          <w:rStyle w:val="eop"/>
          <w:rFonts w:asciiTheme="majorBidi" w:eastAsiaTheme="majorEastAsia" w:hAnsiTheme="majorBidi" w:cstheme="majorBidi"/>
          <w:color w:val="000000"/>
          <w:sz w:val="22"/>
          <w:szCs w:val="22"/>
        </w:rPr>
        <w:t> </w:t>
      </w:r>
    </w:p>
    <w:p w14:paraId="1CA5EF4C" w14:textId="77777777" w:rsidR="0081052F" w:rsidRPr="00ED7E61" w:rsidRDefault="0081052F" w:rsidP="00B10F0C">
      <w:pPr>
        <w:pStyle w:val="CBDNormalNumber"/>
        <w:numPr>
          <w:ilvl w:val="0"/>
          <w:numId w:val="63"/>
        </w:numPr>
        <w:ind w:left="567" w:firstLine="0"/>
        <w:rPr>
          <w:lang w:eastAsia="de-DE"/>
        </w:rPr>
      </w:pPr>
      <w:r w:rsidRPr="00ED7E61">
        <w:rPr>
          <w:lang w:eastAsia="de-DE"/>
        </w:rPr>
        <w:t xml:space="preserve">There are two types of benefit-sharing: </w:t>
      </w:r>
    </w:p>
    <w:p w14:paraId="4DE1B3CD" w14:textId="33A92F66" w:rsidR="0025590A" w:rsidRPr="00ED7E61" w:rsidRDefault="0025590A" w:rsidP="00B10F0C">
      <w:pPr>
        <w:pStyle w:val="CBDNormalNumber"/>
        <w:numPr>
          <w:ilvl w:val="1"/>
          <w:numId w:val="6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Bilateral benefit sharing: Under the CBD and its Nagoya Protocol bilateral benefit-sharing system for </w:t>
      </w:r>
      <w:r w:rsidR="00E51D62" w:rsidRPr="00ED7E61">
        <w:rPr>
          <w:rStyle w:val="normaltextrun"/>
          <w:rFonts w:eastAsiaTheme="majorEastAsia"/>
        </w:rPr>
        <w:t xml:space="preserve">genetic resources </w:t>
      </w:r>
      <w:r w:rsidRPr="00ED7E61">
        <w:rPr>
          <w:rStyle w:val="normaltextrun"/>
          <w:rFonts w:eastAsiaTheme="majorEastAsia"/>
        </w:rPr>
        <w:t xml:space="preserve">and </w:t>
      </w:r>
      <w:r w:rsidR="00E51D62" w:rsidRPr="00ED7E61">
        <w:rPr>
          <w:rStyle w:val="normaltextrun"/>
          <w:rFonts w:eastAsiaTheme="majorEastAsia"/>
        </w:rPr>
        <w:t xml:space="preserve">associated traditional knowledge </w:t>
      </w:r>
      <w:r w:rsidRPr="00ED7E61">
        <w:rPr>
          <w:rStyle w:val="normaltextrun"/>
          <w:rFonts w:eastAsiaTheme="majorEastAsia"/>
        </w:rPr>
        <w:t xml:space="preserve">is foreseen, thus the recipient of benefits is likely to be a country or recognized providers of </w:t>
      </w:r>
      <w:r w:rsidR="00E51D62" w:rsidRPr="00ED7E61">
        <w:rPr>
          <w:rStyle w:val="normaltextrun"/>
          <w:rFonts w:eastAsiaTheme="majorEastAsia"/>
        </w:rPr>
        <w:t>genetic resources</w:t>
      </w:r>
      <w:r w:rsidRPr="00ED7E61">
        <w:rPr>
          <w:rStyle w:val="normaltextrun"/>
          <w:rFonts w:eastAsiaTheme="majorEastAsia"/>
        </w:rPr>
        <w:t xml:space="preserve"> and </w:t>
      </w:r>
      <w:r w:rsidR="00E51D62" w:rsidRPr="00ED7E61">
        <w:rPr>
          <w:rStyle w:val="normaltextrun"/>
          <w:rFonts w:eastAsiaTheme="majorEastAsia"/>
        </w:rPr>
        <w:t>associated traditional knowledge</w:t>
      </w:r>
      <w:r w:rsidRPr="00ED7E61">
        <w:rPr>
          <w:rStyle w:val="normaltextrun"/>
          <w:rFonts w:eastAsiaTheme="majorEastAsia"/>
        </w:rPr>
        <w:t xml:space="preserve"> within a country and the user is likely to be a legal or private person. </w:t>
      </w:r>
    </w:p>
    <w:p w14:paraId="66BBAD51" w14:textId="426C33F0" w:rsidR="0025590A" w:rsidRPr="003D4EC6" w:rsidRDefault="0025590A" w:rsidP="00B10F0C">
      <w:pPr>
        <w:pStyle w:val="CBDNormalNumber"/>
        <w:numPr>
          <w:ilvl w:val="1"/>
          <w:numId w:val="63"/>
        </w:numPr>
        <w:tabs>
          <w:tab w:val="clear" w:pos="1701"/>
          <w:tab w:val="clear" w:pos="2268"/>
          <w:tab w:val="left" w:pos="1985"/>
        </w:tabs>
        <w:ind w:left="1276" w:firstLine="0"/>
        <w:rPr>
          <w:rStyle w:val="normaltextrun"/>
          <w:rFonts w:eastAsiaTheme="majorEastAsia"/>
        </w:rPr>
      </w:pPr>
      <w:r w:rsidRPr="00ED7E61">
        <w:rPr>
          <w:rStyle w:val="normaltextrun"/>
          <w:rFonts w:eastAsiaTheme="majorEastAsia"/>
        </w:rPr>
        <w:t xml:space="preserve">Multilateral benefit sharing: Under international </w:t>
      </w:r>
      <w:r w:rsidR="00E51D62" w:rsidRPr="00ED7E61">
        <w:rPr>
          <w:rStyle w:val="normaltextrun"/>
          <w:rFonts w:eastAsiaTheme="majorEastAsia"/>
        </w:rPr>
        <w:t xml:space="preserve">access and benefit sharing </w:t>
      </w:r>
      <w:r w:rsidRPr="00ED7E61">
        <w:rPr>
          <w:rStyle w:val="normaltextrun"/>
          <w:rFonts w:eastAsiaTheme="majorEastAsia"/>
        </w:rPr>
        <w:t xml:space="preserve">instruments that rely on multilateral approaches to benefit-sharing, a single fund would receive all the monetary benefits, such as the one established under the </w:t>
      </w:r>
      <w:r w:rsidR="003D4EC6">
        <w:rPr>
          <w:rStyle w:val="normaltextrun"/>
          <w:rFonts w:eastAsiaTheme="majorEastAsia"/>
        </w:rPr>
        <w:t xml:space="preserve"> I</w:t>
      </w:r>
      <w:r w:rsidR="003D4EC6" w:rsidRPr="003D4EC6">
        <w:rPr>
          <w:rStyle w:val="normaltextrun"/>
          <w:rFonts w:eastAsiaTheme="majorEastAsia"/>
        </w:rPr>
        <w:t>nternational Treaty on Plant Genetic Resources for Food and Agriculture</w:t>
      </w:r>
      <w:r w:rsidR="009048AC">
        <w:rPr>
          <w:rStyle w:val="normaltextrun"/>
          <w:rFonts w:eastAsiaTheme="majorEastAsia"/>
        </w:rPr>
        <w:t xml:space="preserve"> (the International Treaty)</w:t>
      </w:r>
      <w:r w:rsidRPr="003D4EC6">
        <w:rPr>
          <w:rStyle w:val="normaltextrun"/>
          <w:rFonts w:eastAsiaTheme="majorEastAsia"/>
        </w:rPr>
        <w:t xml:space="preserve">, and  for example, presumably the multilateral mechanism for </w:t>
      </w:r>
      <w:r w:rsidR="00E51D62" w:rsidRPr="003D4EC6">
        <w:rPr>
          <w:rStyle w:val="normaltextrun"/>
          <w:rFonts w:eastAsiaTheme="majorEastAsia"/>
        </w:rPr>
        <w:t xml:space="preserve">digital sequence information </w:t>
      </w:r>
      <w:r w:rsidRPr="003D4EC6">
        <w:rPr>
          <w:rStyle w:val="normaltextrun"/>
          <w:rFonts w:eastAsiaTheme="majorEastAsia"/>
        </w:rPr>
        <w:t>which calls for a “</w:t>
      </w:r>
      <w:r w:rsidRPr="00FB1598">
        <w:rPr>
          <w:rStyle w:val="normaltextrun"/>
          <w:rFonts w:eastAsiaTheme="majorEastAsia"/>
          <w:i/>
          <w:iCs/>
        </w:rPr>
        <w:t>global fund</w:t>
      </w:r>
      <w:r w:rsidRPr="003D4EC6">
        <w:rPr>
          <w:rStyle w:val="normaltextrun"/>
          <w:rFonts w:eastAsiaTheme="majorEastAsia"/>
        </w:rPr>
        <w:t>”, the fund foreseen by the Agreement under the United Nations Convention on the Law of the Sea on the conservation and sustainable use of marine biological diversity of areas beyond national jurisdiction (BBNJ), among others</w:t>
      </w:r>
    </w:p>
    <w:p w14:paraId="349B1E35" w14:textId="77777777" w:rsidR="0081052F" w:rsidRPr="00ED7E61"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p>
    <w:p w14:paraId="3DE2B464"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1F6168CD" w14:textId="77777777" w:rsidR="0025590A" w:rsidRPr="00ED7E61" w:rsidRDefault="0025590A" w:rsidP="00B10F0C">
      <w:pPr>
        <w:pStyle w:val="CBDNormalNumber"/>
        <w:numPr>
          <w:ilvl w:val="0"/>
          <w:numId w:val="63"/>
        </w:numPr>
        <w:ind w:left="567" w:firstLine="0"/>
        <w:rPr>
          <w:lang w:eastAsia="de-DE"/>
        </w:rPr>
      </w:pPr>
      <w:r w:rsidRPr="00ED7E61">
        <w:rPr>
          <w:lang w:eastAsia="de-DE"/>
        </w:rPr>
        <w:t xml:space="preserve">Monetary benefits can all be measured in terms of the amount of money received and they can be aggregated and reported as a single monetary number for each year. Table 1 provides a list of types of monetary benefits which should be included in national reporting. </w:t>
      </w:r>
    </w:p>
    <w:p w14:paraId="1288D287" w14:textId="6DA1D80F" w:rsidR="0025590A" w:rsidRPr="00B3383B" w:rsidRDefault="0025590A" w:rsidP="00B3383B">
      <w:pPr>
        <w:pStyle w:val="Caption"/>
        <w:spacing w:after="120"/>
        <w:rPr>
          <w:rFonts w:asciiTheme="majorBidi" w:eastAsia="Times New Roman" w:hAnsiTheme="majorBidi" w:cstheme="majorBidi"/>
          <w:b/>
          <w:bCs/>
          <w:i w:val="0"/>
          <w:color w:val="auto"/>
          <w:sz w:val="22"/>
          <w:szCs w:val="22"/>
        </w:rPr>
      </w:pPr>
      <w:bookmarkStart w:id="20" w:name="_32hioqz" w:colFirst="0" w:colLast="0"/>
      <w:bookmarkStart w:id="21" w:name="_Ref160454145"/>
      <w:bookmarkEnd w:id="20"/>
      <w:r w:rsidRPr="00ED7E61">
        <w:rPr>
          <w:rFonts w:asciiTheme="majorBidi" w:eastAsia="Times New Roman" w:hAnsiTheme="majorBidi" w:cstheme="majorBidi"/>
          <w:iCs w:val="0"/>
          <w:color w:val="auto"/>
          <w:sz w:val="22"/>
          <w:szCs w:val="22"/>
        </w:rPr>
        <w:t xml:space="preserve">Table </w:t>
      </w:r>
      <w:bookmarkEnd w:id="21"/>
      <w:r w:rsidRPr="00ED7E61">
        <w:rPr>
          <w:rFonts w:asciiTheme="majorBidi" w:eastAsia="Times New Roman" w:hAnsiTheme="majorBidi" w:cstheme="majorBidi"/>
          <w:iCs w:val="0"/>
          <w:color w:val="auto"/>
          <w:sz w:val="22"/>
          <w:szCs w:val="22"/>
        </w:rPr>
        <w:t xml:space="preserve">1. </w:t>
      </w:r>
      <w:r w:rsidR="00AA4310">
        <w:rPr>
          <w:rFonts w:asciiTheme="majorBidi" w:eastAsia="Times New Roman" w:hAnsiTheme="majorBidi" w:cstheme="majorBidi"/>
          <w:iCs w:val="0"/>
          <w:color w:val="auto"/>
          <w:sz w:val="22"/>
          <w:szCs w:val="22"/>
        </w:rPr>
        <w:br/>
      </w:r>
      <w:r w:rsidRPr="00B3383B">
        <w:rPr>
          <w:rFonts w:asciiTheme="majorBidi" w:eastAsia="Times New Roman" w:hAnsiTheme="majorBidi" w:cstheme="majorBidi"/>
          <w:b/>
          <w:bCs/>
          <w:i w:val="0"/>
          <w:color w:val="auto"/>
          <w:sz w:val="22"/>
          <w:szCs w:val="22"/>
        </w:rPr>
        <w:t xml:space="preserve">List of monetary benefits for which data should be collected </w:t>
      </w:r>
    </w:p>
    <w:tbl>
      <w:tblPr>
        <w:tblW w:w="8942"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7"/>
        <w:gridCol w:w="5015"/>
      </w:tblGrid>
      <w:tr w:rsidR="0025590A" w:rsidRPr="00AA4310" w14:paraId="04B4BED7" w14:textId="77777777" w:rsidTr="00F90F5F">
        <w:tc>
          <w:tcPr>
            <w:tcW w:w="3927" w:type="dxa"/>
          </w:tcPr>
          <w:p w14:paraId="260145DC"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Monetary Benefit</w:t>
            </w:r>
          </w:p>
        </w:tc>
        <w:tc>
          <w:tcPr>
            <w:tcW w:w="5014" w:type="dxa"/>
          </w:tcPr>
          <w:p w14:paraId="19E1C0F9"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Notes on collecting data</w:t>
            </w:r>
          </w:p>
        </w:tc>
      </w:tr>
      <w:tr w:rsidR="0025590A" w:rsidRPr="00AA4310" w14:paraId="787F797A" w14:textId="77777777" w:rsidTr="00F90F5F">
        <w:trPr>
          <w:trHeight w:val="220"/>
        </w:trPr>
        <w:tc>
          <w:tcPr>
            <w:tcW w:w="3927" w:type="dxa"/>
          </w:tcPr>
          <w:p w14:paraId="250A024B" w14:textId="0DDBD294"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*(a)</w:t>
            </w:r>
            <w:r w:rsidR="00303035" w:rsidRPr="00B3383B">
              <w:rPr>
                <w:rFonts w:asciiTheme="majorBidi" w:hAnsiTheme="majorBidi" w:cstheme="majorBidi"/>
                <w:sz w:val="18"/>
                <w:szCs w:val="18"/>
              </w:rPr>
              <w:t xml:space="preserve"> </w:t>
            </w:r>
            <w:r w:rsidRPr="00B3383B">
              <w:rPr>
                <w:rFonts w:asciiTheme="majorBidi" w:hAnsiTheme="majorBidi" w:cstheme="majorBidi"/>
                <w:sz w:val="18"/>
                <w:szCs w:val="18"/>
              </w:rPr>
              <w:t>Access fees/fee per sample collected or otherwise acquired</w:t>
            </w:r>
          </w:p>
        </w:tc>
        <w:tc>
          <w:tcPr>
            <w:tcW w:w="5014" w:type="dxa"/>
          </w:tcPr>
          <w:p w14:paraId="0C06B5F7"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Easy to implement, payment during access application</w:t>
            </w:r>
          </w:p>
        </w:tc>
      </w:tr>
      <w:tr w:rsidR="0025590A" w:rsidRPr="00AA4310" w14:paraId="0E572FF5" w14:textId="77777777" w:rsidTr="00F90F5F">
        <w:trPr>
          <w:trHeight w:val="220"/>
        </w:trPr>
        <w:tc>
          <w:tcPr>
            <w:tcW w:w="3927" w:type="dxa"/>
          </w:tcPr>
          <w:p w14:paraId="4D6438BA"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(b)  Up-front payments</w:t>
            </w:r>
          </w:p>
        </w:tc>
        <w:tc>
          <w:tcPr>
            <w:tcW w:w="5014" w:type="dxa"/>
          </w:tcPr>
          <w:p w14:paraId="18E117B5"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Easy to implement, payment during access application</w:t>
            </w:r>
          </w:p>
        </w:tc>
      </w:tr>
      <w:tr w:rsidR="0025590A" w:rsidRPr="00AA4310" w14:paraId="647B6F6A" w14:textId="77777777" w:rsidTr="00F90F5F">
        <w:trPr>
          <w:trHeight w:val="220"/>
        </w:trPr>
        <w:tc>
          <w:tcPr>
            <w:tcW w:w="3927" w:type="dxa"/>
          </w:tcPr>
          <w:p w14:paraId="41D77C22"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(c)  Milestone payments</w:t>
            </w:r>
          </w:p>
        </w:tc>
        <w:tc>
          <w:tcPr>
            <w:tcW w:w="5014" w:type="dxa"/>
          </w:tcPr>
          <w:p w14:paraId="02C1EBB0"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 xml:space="preserve">Happens during utilization, CNA or other authority need check in/receive several reports over time, milestones need to be clearly defined and agreed on </w:t>
            </w:r>
          </w:p>
        </w:tc>
      </w:tr>
      <w:tr w:rsidR="0025590A" w:rsidRPr="00AA4310" w14:paraId="02DD37DC" w14:textId="77777777" w:rsidTr="00F90F5F">
        <w:trPr>
          <w:trHeight w:val="220"/>
        </w:trPr>
        <w:tc>
          <w:tcPr>
            <w:tcW w:w="3927" w:type="dxa"/>
          </w:tcPr>
          <w:p w14:paraId="6E6E235A" w14:textId="33335126"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 xml:space="preserve">*(d) Payment of royalties </w:t>
            </w:r>
          </w:p>
        </w:tc>
        <w:tc>
          <w:tcPr>
            <w:tcW w:w="5014" w:type="dxa"/>
          </w:tcPr>
          <w:p w14:paraId="124F2F7B"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After successful utilization/commercialization, regular annual reports on revenue needed</w:t>
            </w:r>
          </w:p>
        </w:tc>
      </w:tr>
      <w:tr w:rsidR="0025590A" w:rsidRPr="00AA4310" w14:paraId="698DABB4" w14:textId="77777777" w:rsidTr="00F90F5F">
        <w:trPr>
          <w:trHeight w:val="220"/>
        </w:trPr>
        <w:tc>
          <w:tcPr>
            <w:tcW w:w="3927" w:type="dxa"/>
          </w:tcPr>
          <w:p w14:paraId="7BB4B2E8"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 xml:space="preserve">(e)  License fees in case of commercialization </w:t>
            </w:r>
          </w:p>
        </w:tc>
        <w:tc>
          <w:tcPr>
            <w:tcW w:w="5014" w:type="dxa"/>
          </w:tcPr>
          <w:p w14:paraId="5E407321"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 xml:space="preserve">After successful utilization/commercialization </w:t>
            </w:r>
          </w:p>
        </w:tc>
      </w:tr>
      <w:tr w:rsidR="0025590A" w:rsidRPr="00AA4310" w14:paraId="3C5ABD22" w14:textId="77777777" w:rsidTr="00F90F5F">
        <w:trPr>
          <w:trHeight w:val="220"/>
        </w:trPr>
        <w:tc>
          <w:tcPr>
            <w:tcW w:w="3927" w:type="dxa"/>
          </w:tcPr>
          <w:p w14:paraId="7B00F5BF"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 xml:space="preserve">(f)  Special fees to be paid to trust funds supporting conservation and sustainable use of biodiversity </w:t>
            </w:r>
          </w:p>
        </w:tc>
        <w:tc>
          <w:tcPr>
            <w:tcW w:w="5014" w:type="dxa"/>
          </w:tcPr>
          <w:p w14:paraId="6EE0AD06" w14:textId="336B4858"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Can happen at several time points along the value chain</w:t>
            </w:r>
          </w:p>
        </w:tc>
      </w:tr>
      <w:tr w:rsidR="0025590A" w:rsidRPr="00AA4310" w14:paraId="4A928C53" w14:textId="77777777" w:rsidTr="00F90F5F">
        <w:trPr>
          <w:trHeight w:val="220"/>
        </w:trPr>
        <w:tc>
          <w:tcPr>
            <w:tcW w:w="3927" w:type="dxa"/>
          </w:tcPr>
          <w:p w14:paraId="0016A83B"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(g)  Salaries and preferential terms where mutually agreed</w:t>
            </w:r>
          </w:p>
        </w:tc>
        <w:tc>
          <w:tcPr>
            <w:tcW w:w="5014" w:type="dxa"/>
          </w:tcPr>
          <w:p w14:paraId="0040A1F9" w14:textId="1975053D"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Can happen at several time points along the value chain</w:t>
            </w:r>
          </w:p>
        </w:tc>
      </w:tr>
      <w:tr w:rsidR="0025590A" w:rsidRPr="00AA4310" w14:paraId="2F44069C" w14:textId="77777777" w:rsidTr="00F90F5F">
        <w:trPr>
          <w:trHeight w:val="220"/>
        </w:trPr>
        <w:tc>
          <w:tcPr>
            <w:tcW w:w="3927" w:type="dxa"/>
          </w:tcPr>
          <w:p w14:paraId="731E1C7E" w14:textId="3956C39C"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 xml:space="preserve">*(h) Research funding </w:t>
            </w:r>
          </w:p>
        </w:tc>
        <w:tc>
          <w:tcPr>
            <w:tcW w:w="5014" w:type="dxa"/>
          </w:tcPr>
          <w:p w14:paraId="6537F878" w14:textId="6901347E"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Can happen at several time points along the value chain</w:t>
            </w:r>
          </w:p>
        </w:tc>
      </w:tr>
      <w:tr w:rsidR="0025590A" w:rsidRPr="00AA4310" w14:paraId="0EA5DAE7" w14:textId="77777777" w:rsidTr="00F90F5F">
        <w:trPr>
          <w:trHeight w:val="220"/>
        </w:trPr>
        <w:tc>
          <w:tcPr>
            <w:tcW w:w="3927" w:type="dxa"/>
          </w:tcPr>
          <w:p w14:paraId="5FBE618A"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w:t>
            </w:r>
            <w:proofErr w:type="spellStart"/>
            <w:r w:rsidRPr="00B3383B">
              <w:rPr>
                <w:rFonts w:asciiTheme="majorBidi" w:hAnsiTheme="majorBidi" w:cstheme="majorBidi"/>
                <w:sz w:val="18"/>
                <w:szCs w:val="18"/>
              </w:rPr>
              <w:t>i</w:t>
            </w:r>
            <w:proofErr w:type="spellEnd"/>
            <w:r w:rsidRPr="00B3383B">
              <w:rPr>
                <w:rFonts w:asciiTheme="majorBidi" w:hAnsiTheme="majorBidi" w:cstheme="majorBidi"/>
                <w:sz w:val="18"/>
                <w:szCs w:val="18"/>
              </w:rPr>
              <w:t xml:space="preserve">)  Joint ventures </w:t>
            </w:r>
          </w:p>
        </w:tc>
        <w:tc>
          <w:tcPr>
            <w:tcW w:w="5014" w:type="dxa"/>
          </w:tcPr>
          <w:p w14:paraId="25B0E74A" w14:textId="6805DE4C"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Can happen at several time points along the value chain</w:t>
            </w:r>
          </w:p>
        </w:tc>
      </w:tr>
      <w:tr w:rsidR="0025590A" w:rsidRPr="00AA4310" w14:paraId="54469BFB" w14:textId="77777777" w:rsidTr="00F90F5F">
        <w:trPr>
          <w:trHeight w:val="220"/>
        </w:trPr>
        <w:tc>
          <w:tcPr>
            <w:tcW w:w="3927" w:type="dxa"/>
          </w:tcPr>
          <w:p w14:paraId="0BCB7B4E"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 xml:space="preserve">(j)  Joint ownership of relevant intellectual property rights </w:t>
            </w:r>
          </w:p>
        </w:tc>
        <w:tc>
          <w:tcPr>
            <w:tcW w:w="5014" w:type="dxa"/>
          </w:tcPr>
          <w:p w14:paraId="18461955" w14:textId="77777777" w:rsidR="0025590A" w:rsidRPr="00B3383B" w:rsidRDefault="0025590A" w:rsidP="00F90F5F">
            <w:pPr>
              <w:rPr>
                <w:rFonts w:asciiTheme="majorBidi" w:hAnsiTheme="majorBidi" w:cstheme="majorBidi"/>
                <w:sz w:val="18"/>
                <w:szCs w:val="18"/>
              </w:rPr>
            </w:pPr>
            <w:r w:rsidRPr="00B3383B">
              <w:rPr>
                <w:rFonts w:asciiTheme="majorBidi" w:hAnsiTheme="majorBidi" w:cstheme="majorBidi"/>
                <w:sz w:val="18"/>
                <w:szCs w:val="18"/>
              </w:rPr>
              <w:t>Royalties are generated after the licensing of intellectual property (if successful)</w:t>
            </w:r>
          </w:p>
        </w:tc>
      </w:tr>
    </w:tbl>
    <w:p w14:paraId="33DADEAD" w14:textId="77777777" w:rsidR="0025590A" w:rsidRPr="00ED7E61" w:rsidRDefault="0025590A" w:rsidP="0025590A">
      <w:pPr>
        <w:rPr>
          <w:rFonts w:asciiTheme="majorBidi" w:hAnsiTheme="majorBidi" w:cstheme="majorBidi"/>
          <w:sz w:val="22"/>
          <w:szCs w:val="22"/>
        </w:rPr>
      </w:pPr>
    </w:p>
    <w:p w14:paraId="734B4D5F" w14:textId="77777777" w:rsidR="0076149E" w:rsidRDefault="0025590A" w:rsidP="00812871">
      <w:pPr>
        <w:pStyle w:val="CBDNormalNumber"/>
        <w:numPr>
          <w:ilvl w:val="0"/>
          <w:numId w:val="63"/>
        </w:numPr>
        <w:ind w:left="567" w:firstLine="0"/>
        <w:rPr>
          <w:lang w:eastAsia="de-DE"/>
        </w:rPr>
      </w:pPr>
      <w:r w:rsidRPr="00ED7E61">
        <w:rPr>
          <w:lang w:eastAsia="de-DE"/>
        </w:rPr>
        <w:t xml:space="preserve">The headline indicator for monetary benefit-sharing would enable countries to report on monetary benefits across all international instruments into a single overarching indicator. This information would be collected at national level for the benefits shared bilaterally, and by the relevant </w:t>
      </w:r>
      <w:r w:rsidRPr="00ED7E61">
        <w:rPr>
          <w:lang w:eastAsia="de-DE"/>
        </w:rPr>
        <w:lastRenderedPageBreak/>
        <w:t xml:space="preserve">treaty secretariats for those benefits shared multilaterally. The information collected by the treaty secretariats, if </w:t>
      </w:r>
      <w:proofErr w:type="gramStart"/>
      <w:r w:rsidRPr="00ED7E61">
        <w:rPr>
          <w:lang w:eastAsia="de-DE"/>
        </w:rPr>
        <w:t>so</w:t>
      </w:r>
      <w:proofErr w:type="gramEnd"/>
      <w:r w:rsidRPr="00ED7E61">
        <w:rPr>
          <w:lang w:eastAsia="de-DE"/>
        </w:rPr>
        <w:t xml:space="preserve"> decided by their membership, will be made available to SCBD and may be used by countries for their use in a section of the national reports. </w:t>
      </w:r>
      <w:r w:rsidR="0076149E" w:rsidRPr="00035429">
        <w:rPr>
          <w:lang w:eastAsia="de-DE"/>
        </w:rPr>
        <w:t>With regards to the ITPGRFA, its Secretariat is liaising with the CBD Secretariat on this area and intends to collect and share information about the Benefit-sharing Fund through the Treaty website.</w:t>
      </w:r>
    </w:p>
    <w:p w14:paraId="3EE1B55D" w14:textId="39916A6E" w:rsidR="009A563F" w:rsidRPr="00ED7E61" w:rsidRDefault="0025590A" w:rsidP="00B10F0C">
      <w:pPr>
        <w:pStyle w:val="CBDNormalNumber"/>
        <w:numPr>
          <w:ilvl w:val="0"/>
          <w:numId w:val="63"/>
        </w:numPr>
        <w:ind w:left="567" w:firstLine="0"/>
        <w:rPr>
          <w:lang w:eastAsia="de-DE"/>
        </w:rPr>
      </w:pPr>
      <w:r w:rsidRPr="00ED7E61">
        <w:rPr>
          <w:lang w:eastAsia="de-DE"/>
        </w:rPr>
        <w:t xml:space="preserve">Parties to the CBD that have regulated access to their genetic resources and require monetary benefit-sharing will include in their national reports the total amount, in US dollars, of the monetary benefits received at the national level during the reporting period. </w:t>
      </w:r>
    </w:p>
    <w:p w14:paraId="3A014E4E" w14:textId="5DF794B2" w:rsidR="009A563F" w:rsidRPr="00ED7E61" w:rsidRDefault="0025590A" w:rsidP="00B10F0C">
      <w:pPr>
        <w:pStyle w:val="CBDNormalNumber"/>
        <w:numPr>
          <w:ilvl w:val="0"/>
          <w:numId w:val="63"/>
        </w:numPr>
        <w:ind w:left="567" w:firstLine="0"/>
        <w:rPr>
          <w:rFonts w:asciiTheme="majorBidi" w:hAnsiTheme="majorBidi" w:cstheme="majorBidi"/>
        </w:rPr>
      </w:pPr>
      <w:r w:rsidRPr="00ED7E61">
        <w:rPr>
          <w:rFonts w:asciiTheme="majorBidi" w:hAnsiTheme="majorBidi" w:cstheme="majorBidi"/>
        </w:rPr>
        <w:t>Parties, in providing this information, will consider different types of monetary benefit, such as those included in annex to the Nagoya Protocol, or the Bonn Guidelines on Access to Genetic Resources and Fair and Equitable Sharing of the Benefits Arising Out of Their Utilization</w:t>
      </w:r>
      <w:r w:rsidR="00E51D62" w:rsidRPr="00ED7E61">
        <w:rPr>
          <w:rFonts w:asciiTheme="majorBidi" w:hAnsiTheme="majorBidi" w:cstheme="majorBidi"/>
        </w:rPr>
        <w:t>.</w:t>
      </w:r>
    </w:p>
    <w:p w14:paraId="03ECD90C" w14:textId="7E106819" w:rsidR="0081052F" w:rsidRPr="00ED7E61" w:rsidRDefault="0025590A" w:rsidP="00B10F0C">
      <w:pPr>
        <w:pStyle w:val="CBDNormalNumber"/>
        <w:numPr>
          <w:ilvl w:val="0"/>
          <w:numId w:val="63"/>
        </w:numPr>
        <w:ind w:left="567" w:firstLine="0"/>
        <w:rPr>
          <w:rFonts w:asciiTheme="majorBidi" w:hAnsiTheme="majorBidi" w:cstheme="majorBidi"/>
        </w:rPr>
      </w:pPr>
      <w:r w:rsidRPr="00ED7E61">
        <w:rPr>
          <w:rFonts w:asciiTheme="majorBidi" w:hAnsiTheme="majorBidi" w:cstheme="majorBidi"/>
        </w:rPr>
        <w:t>However, the collection of information on monetary benefits at national level is not without challenges. Few countries have readily available information on monetary benefits, as many countries do not yet have a fully operational ABS framework or have only concluded agreements for non-commercial use which do not involve monetary benefits</w:t>
      </w:r>
      <w:r w:rsidR="00E51D62" w:rsidRPr="00ED7E61">
        <w:rPr>
          <w:rFonts w:asciiTheme="majorBidi" w:hAnsiTheme="majorBidi" w:cstheme="majorBidi"/>
        </w:rPr>
        <w:t>.</w:t>
      </w:r>
    </w:p>
    <w:p w14:paraId="304F6432"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70C3ACE6" w14:textId="56767573" w:rsidR="0081052F" w:rsidRPr="00ED7E61" w:rsidRDefault="0081052F" w:rsidP="00B10F0C">
      <w:pPr>
        <w:pStyle w:val="CBDNormalNumber"/>
        <w:numPr>
          <w:ilvl w:val="0"/>
          <w:numId w:val="63"/>
        </w:numPr>
        <w:ind w:left="567" w:firstLine="0"/>
        <w:rPr>
          <w:rFonts w:asciiTheme="majorBidi" w:hAnsiTheme="majorBidi" w:cstheme="majorBidi"/>
        </w:rPr>
      </w:pPr>
      <w:r w:rsidRPr="00ED7E61">
        <w:rPr>
          <w:rFonts w:asciiTheme="majorBidi" w:hAnsiTheme="majorBidi" w:cstheme="majorBidi"/>
        </w:rPr>
        <w:t>This information will be collected through the national reporting under the Convention where Parties report which monetary (and/or in the case of indicator C.2 which non-monetary benefits</w:t>
      </w:r>
      <w:r w:rsidR="0029290C" w:rsidRPr="00ED7E61">
        <w:rPr>
          <w:rFonts w:asciiTheme="majorBidi" w:hAnsiTheme="majorBidi" w:cstheme="majorBidi"/>
        </w:rPr>
        <w:t>)</w:t>
      </w:r>
      <w:r w:rsidRPr="00ED7E61">
        <w:rPr>
          <w:rFonts w:asciiTheme="majorBidi" w:hAnsiTheme="majorBidi" w:cstheme="majorBidi"/>
        </w:rPr>
        <w:t xml:space="preserve"> they have received, including the </w:t>
      </w:r>
      <w:proofErr w:type="gramStart"/>
      <w:r w:rsidRPr="00ED7E61">
        <w:rPr>
          <w:rFonts w:asciiTheme="majorBidi" w:hAnsiTheme="majorBidi" w:cstheme="majorBidi"/>
        </w:rPr>
        <w:t>amount</w:t>
      </w:r>
      <w:proofErr w:type="gramEnd"/>
      <w:r w:rsidRPr="00ED7E61">
        <w:rPr>
          <w:rFonts w:asciiTheme="majorBidi" w:hAnsiTheme="majorBidi" w:cstheme="majorBidi"/>
        </w:rPr>
        <w:t xml:space="preserve"> of monetary benefits received during the reporting period (in US dollars).</w:t>
      </w:r>
      <w:r w:rsidRPr="00ED7E61">
        <w:t xml:space="preserve">  It will be based on the categories in table 1 noting that the monetary benefits that </w:t>
      </w:r>
      <w:proofErr w:type="gramStart"/>
      <w:r w:rsidRPr="00ED7E61">
        <w:t>are considered to be</w:t>
      </w:r>
      <w:proofErr w:type="gramEnd"/>
      <w:r w:rsidRPr="00ED7E61">
        <w:t xml:space="preserve"> the most important for reporting purposes are highlighted with a (*).</w:t>
      </w:r>
    </w:p>
    <w:p w14:paraId="5A7F4D7F" w14:textId="6AADC1A8" w:rsidR="0081052F" w:rsidRPr="00ED7E61" w:rsidRDefault="0081052F" w:rsidP="009A563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60CCE1CB" w14:textId="77777777" w:rsidR="0081052F" w:rsidRPr="00ED7E61" w:rsidRDefault="0081052F" w:rsidP="00B10F0C">
      <w:pPr>
        <w:pStyle w:val="CBDNormalNumber"/>
        <w:numPr>
          <w:ilvl w:val="0"/>
          <w:numId w:val="63"/>
        </w:numPr>
        <w:ind w:left="567" w:firstLine="0"/>
      </w:pPr>
      <w:r w:rsidRPr="00ED7E61">
        <w:t xml:space="preserve">This methodology is available online and more information can be found in CBD/SBSTTA/26/INF/12. </w:t>
      </w:r>
    </w:p>
    <w:p w14:paraId="09E4B138"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7BCAC3A2" w14:textId="3DB379F9" w:rsidR="0025590A" w:rsidRPr="00ED7E61" w:rsidRDefault="0025590A" w:rsidP="00B8146D">
      <w:pPr>
        <w:pStyle w:val="CBDNormalNumber"/>
        <w:numPr>
          <w:ilvl w:val="0"/>
          <w:numId w:val="63"/>
        </w:numPr>
        <w:ind w:left="567" w:firstLine="0"/>
      </w:pPr>
      <w:r w:rsidRPr="00B8146D">
        <w:t>To be able to report on indicators measured at the national level for bilateral benefit-sharing it is necessary that countries implement tools that facilitate collection, compilation and report of information in accordance with national legislation.</w:t>
      </w:r>
      <w:r w:rsidRPr="00812871">
        <w:t xml:space="preserve"> </w:t>
      </w:r>
      <w:r w:rsidRPr="00B8146D">
        <w:t>For the multilateral instruments, the Secretariats may be the curators of the data that needs to be provided, and information will be provided to the Parties to these instruments for its inclusion and use in the national report.</w:t>
      </w:r>
      <w:r w:rsidR="00807267" w:rsidRPr="00B8146D">
        <w:t xml:space="preserve"> The Secretariat of the International Treaty is exploring ways to provide relevant information through the Treaty website that could be linked with the Target Tracker tool</w:t>
      </w:r>
      <w:r w:rsidR="00807267" w:rsidRPr="002F3AED">
        <w:t>.</w:t>
      </w:r>
    </w:p>
    <w:p w14:paraId="2CC02A0B" w14:textId="103987F9" w:rsidR="0025590A" w:rsidRPr="00ED7E61" w:rsidRDefault="0025590A" w:rsidP="00B10F0C">
      <w:pPr>
        <w:pStyle w:val="CBDNormalNumber"/>
        <w:numPr>
          <w:ilvl w:val="0"/>
          <w:numId w:val="63"/>
        </w:numPr>
        <w:ind w:left="567" w:firstLine="0"/>
      </w:pPr>
      <w:r w:rsidRPr="00ED7E61">
        <w:t>Some recommendations are included in this section for gathering information related to monetary bilaterally shared, while bearing in mind that countries may have different circumstances, priorities and capacities in this regard</w:t>
      </w:r>
    </w:p>
    <w:p w14:paraId="38EB4C35" w14:textId="77777777" w:rsidR="0025590A" w:rsidRPr="00ED7E61" w:rsidRDefault="0025590A" w:rsidP="0025590A">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t>Establish a national fund as central tool for monetary benefits collection</w:t>
      </w:r>
    </w:p>
    <w:p w14:paraId="35D76572" w14:textId="2AE1F2D8" w:rsidR="0025590A" w:rsidRPr="00ED7E61" w:rsidRDefault="0025590A" w:rsidP="00B10F0C">
      <w:pPr>
        <w:pStyle w:val="CBDNormalNumber"/>
        <w:numPr>
          <w:ilvl w:val="0"/>
          <w:numId w:val="63"/>
        </w:numPr>
        <w:ind w:left="567" w:firstLine="0"/>
      </w:pPr>
      <w:r w:rsidRPr="00ED7E61">
        <w:t xml:space="preserve">At the national level, the approach of establishing a mechanism (a specific fund or an account) that centralizes the reception of monetary benefits could help with data reporting. A centralized system eases the accountability of the transactions and the calculation of the monetary benefits received and seems to be a good managing tool to receive payments based on ABS agreements of notifications. Such a fund creates the potential to have a quick overview on the monetary flows and creates the opportunity to assess allocations used for conservation and protection of biodiversity. In general, money from the fund can be distributed to the provider of a </w:t>
      </w:r>
      <w:r w:rsidR="00E51D62" w:rsidRPr="00ED7E61">
        <w:t xml:space="preserve">genetic resource </w:t>
      </w:r>
      <w:r w:rsidRPr="00ED7E61">
        <w:t xml:space="preserve">or may be used for conservation projects (18). This type of fund allows easy identification of the payments made by users and avoids the risks associated with payments made to the general budget of a country, where it will be more difficult to track the initial payment and almost impossible to ensure that the funds are used for biodiversity policy objectives. However, ministries of finance often pursue the principle </w:t>
      </w:r>
      <w:r w:rsidRPr="00ED7E61">
        <w:lastRenderedPageBreak/>
        <w:t>of universality of the government budget whereby all resources are directed to a common pool or fund, to be allocated and used for expenditures according to the current priorities of the government, where earmarking is forbidden or highly discouraged. Thus, inevitably, like with much of ABS, each country will have unique circumstances.</w:t>
      </w:r>
    </w:p>
    <w:p w14:paraId="235B983D" w14:textId="77777777" w:rsidR="0025590A" w:rsidRPr="00ED7E61" w:rsidRDefault="0025590A" w:rsidP="0025590A">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ED7E61">
        <w:rPr>
          <w:rStyle w:val="normaltextrun"/>
          <w:rFonts w:asciiTheme="majorBidi" w:eastAsiaTheme="majorEastAsia" w:hAnsiTheme="majorBidi" w:cstheme="majorBidi"/>
          <w:b/>
          <w:bCs/>
          <w:sz w:val="22"/>
          <w:szCs w:val="22"/>
          <w:lang w:val="en-GB"/>
        </w:rPr>
        <w:t>Anticipate confidentiality issues during non-disclosure agreements negotiations</w:t>
      </w:r>
    </w:p>
    <w:p w14:paraId="0BEC1D20" w14:textId="03D18240" w:rsidR="0025590A" w:rsidRPr="00ED7E61" w:rsidRDefault="0025590A" w:rsidP="00B10F0C">
      <w:pPr>
        <w:pStyle w:val="CBDNormalNumber"/>
        <w:numPr>
          <w:ilvl w:val="0"/>
          <w:numId w:val="63"/>
        </w:numPr>
        <w:ind w:left="567" w:firstLine="0"/>
      </w:pPr>
      <w:r w:rsidRPr="00ED7E61">
        <w:t xml:space="preserve">For some countries confidentiality issues are an important obstacle to report on monetary benefits as information on monetary benefits may be difficult to report due to non-disclosure agreements (NDA) that restrict parties to disclose confidential information included in the </w:t>
      </w:r>
      <w:r w:rsidR="00E51D62" w:rsidRPr="00ED7E61">
        <w:t xml:space="preserve">mutually agreed terms </w:t>
      </w:r>
      <w:r w:rsidRPr="00ED7E61">
        <w:t xml:space="preserve">and other ABS-related documents. Confidential information usually includes trade secrets like new methods, formulas or designs. In the case of commercial utilization of </w:t>
      </w:r>
      <w:r w:rsidR="00E51D62" w:rsidRPr="00ED7E61">
        <w:t xml:space="preserve">genetic resources </w:t>
      </w:r>
      <w:r w:rsidRPr="00ED7E61">
        <w:t xml:space="preserve">or </w:t>
      </w:r>
      <w:r w:rsidR="00E51D62" w:rsidRPr="00ED7E61">
        <w:t>associated traditional knowledge</w:t>
      </w:r>
      <w:r w:rsidRPr="00ED7E61">
        <w:t xml:space="preserve">, information on monetary benefits is also sensitive and usually declared as confidential. On the other hand, based on some interviews with ABS experts from the private sector, confidentiality issues would be prevented if those are discussed and agreed at an early stage of </w:t>
      </w:r>
      <w:r w:rsidR="00E51D62" w:rsidRPr="00ED7E61">
        <w:t xml:space="preserve">mutually agreed terms </w:t>
      </w:r>
      <w:r w:rsidRPr="00ED7E61">
        <w:t xml:space="preserve">negotiations and if aggregated data is reported. To this end, standardized language can be included in non-disclosure agreements that explicitly allows the recipient of the confidential information to report on benefits received, at the aggregate level, in their national reports under the CBD and the </w:t>
      </w:r>
      <w:r w:rsidR="00E51D62" w:rsidRPr="00ED7E61">
        <w:t>Nagoya Protocol</w:t>
      </w:r>
      <w:r w:rsidRPr="00ED7E61">
        <w:t>, while fully respecting confidentiality of the agreement</w:t>
      </w:r>
    </w:p>
    <w:p w14:paraId="7C261A9B" w14:textId="77777777" w:rsidR="0025590A" w:rsidRPr="00ED7E61" w:rsidRDefault="0025590A" w:rsidP="0025590A">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t xml:space="preserve">Develop a national repository where all information in the reporting process on benefits is stored and information is managed </w:t>
      </w:r>
    </w:p>
    <w:p w14:paraId="5CD79F2C" w14:textId="177E816F" w:rsidR="0025590A" w:rsidRPr="00ED7E61" w:rsidRDefault="0025590A" w:rsidP="00B10F0C">
      <w:pPr>
        <w:pStyle w:val="CBDNormalNumber"/>
        <w:numPr>
          <w:ilvl w:val="0"/>
          <w:numId w:val="63"/>
        </w:numPr>
        <w:ind w:left="567" w:firstLine="0"/>
      </w:pPr>
      <w:r w:rsidRPr="00ED7E61">
        <w:t xml:space="preserve">In case various beneficiaries directly receive monetary benefits from the user, in an independent and decentralized manner, collecting aggregate data will be challenging. The alternative in case of multiple recipients of monetary benefits is to implement a mechanism (e.g. an online tool) with relevant national safeguards to compile at the national level the information related to the effective amount and date of those payments and include in the </w:t>
      </w:r>
      <w:r w:rsidR="00E51D62" w:rsidRPr="00ED7E61">
        <w:t xml:space="preserve">mutually agreed terms </w:t>
      </w:r>
      <w:r w:rsidRPr="00ED7E61">
        <w:t>clauses related to the user’s obligation to report to just one centralized national authority on monetary benefits shared directly with multiple beneficiaries.</w:t>
      </w:r>
    </w:p>
    <w:p w14:paraId="5702465B" w14:textId="2F875A63" w:rsidR="0025590A" w:rsidRPr="00ED7E61" w:rsidRDefault="0025590A" w:rsidP="00B10F0C">
      <w:pPr>
        <w:pStyle w:val="CBDNormalNumber"/>
        <w:numPr>
          <w:ilvl w:val="0"/>
          <w:numId w:val="63"/>
        </w:numPr>
        <w:ind w:left="567" w:firstLine="0"/>
      </w:pPr>
      <w:r w:rsidRPr="00ED7E61">
        <w:t xml:space="preserve">Data management systems for ABS agreements granting and benefits reporting are a good tool to monitor benefit-sharing at national level and could potentially generate reminders about check in and reporting duties of users of </w:t>
      </w:r>
      <w:r w:rsidR="00E51D62" w:rsidRPr="00ED7E61">
        <w:t xml:space="preserve">genetic resources </w:t>
      </w:r>
      <w:r w:rsidRPr="00ED7E61">
        <w:t xml:space="preserve">or </w:t>
      </w:r>
      <w:r w:rsidR="00E51D62" w:rsidRPr="00ED7E61">
        <w:t>associated traditional knowledge</w:t>
      </w:r>
      <w:r w:rsidRPr="00ED7E61">
        <w:t xml:space="preserve">. Some countries have already introduced national virtual systems to apply for access to </w:t>
      </w:r>
      <w:r w:rsidR="00E51D62" w:rsidRPr="00ED7E61">
        <w:t xml:space="preserve">genetic resources </w:t>
      </w:r>
      <w:r w:rsidRPr="00ED7E61">
        <w:t>and report on benefit-sharing. Once the application is successfully processed the corresponding permit is granted and uploaded to the platform. The commitments on both monetary and non-monetary benefit sharing and corresponding deadlines can also be programmed in the system, which could send out reminders to users on reporting obligations for the concluded benefit-sharing activities. The users could upload benefit-sharing reports (e.g. research results or capacity building reports) and appropriate information to support the report.  </w:t>
      </w:r>
    </w:p>
    <w:p w14:paraId="0D51F611" w14:textId="77777777" w:rsidR="0025590A" w:rsidRPr="00ED7E61" w:rsidRDefault="0025590A" w:rsidP="00B10F0C">
      <w:pPr>
        <w:pStyle w:val="CBDNormalNumber"/>
        <w:numPr>
          <w:ilvl w:val="0"/>
          <w:numId w:val="63"/>
        </w:numPr>
        <w:ind w:left="567" w:firstLine="0"/>
      </w:pPr>
      <w:r w:rsidRPr="00ED7E61">
        <w:t>The design of these repositories can include different information and disaggregation according to national priorities and legislation, while bearing mind the needs for reporting at international level.</w:t>
      </w:r>
    </w:p>
    <w:p w14:paraId="443E0F5B"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1BDFEA6E" w14:textId="43F9AC79" w:rsidR="0081052F" w:rsidRPr="00ED7E61" w:rsidRDefault="0081052F" w:rsidP="00B10F0C">
      <w:pPr>
        <w:pStyle w:val="CBDNormalNumber"/>
        <w:numPr>
          <w:ilvl w:val="0"/>
          <w:numId w:val="63"/>
        </w:numPr>
        <w:ind w:left="567" w:firstLine="0"/>
      </w:pPr>
      <w:r w:rsidRPr="00ED7E61">
        <w:t xml:space="preserve">This data will be collected through national reports as per the timing of those reports. </w:t>
      </w:r>
    </w:p>
    <w:p w14:paraId="783145AA"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154A8472" w14:textId="77777777" w:rsidR="0081052F" w:rsidRPr="00ED7E61" w:rsidRDefault="0081052F" w:rsidP="00B10F0C">
      <w:pPr>
        <w:pStyle w:val="CBDNormalNumber"/>
        <w:numPr>
          <w:ilvl w:val="0"/>
          <w:numId w:val="63"/>
        </w:numPr>
        <w:ind w:left="567" w:firstLine="0"/>
      </w:pPr>
      <w:r w:rsidRPr="00ED7E61">
        <w:t>Not currently available.</w:t>
      </w:r>
    </w:p>
    <w:p w14:paraId="66C7BC4A"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178F498A" w14:textId="77777777" w:rsidR="0081052F" w:rsidRPr="00ED7E61" w:rsidRDefault="0081052F" w:rsidP="00B10F0C">
      <w:pPr>
        <w:pStyle w:val="CBDNormalNumber"/>
        <w:numPr>
          <w:ilvl w:val="0"/>
          <w:numId w:val="63"/>
        </w:numPr>
        <w:ind w:left="567" w:firstLine="0"/>
      </w:pPr>
      <w:r w:rsidRPr="00ED7E61">
        <w:t xml:space="preserve">Parties should report the data directly. </w:t>
      </w:r>
    </w:p>
    <w:p w14:paraId="6F04E0C3"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292F8A6F" w14:textId="77777777" w:rsidR="0081052F" w:rsidRPr="00ED7E61" w:rsidRDefault="0081052F" w:rsidP="00B10F0C">
      <w:pPr>
        <w:pStyle w:val="CBDNormalNumber"/>
        <w:numPr>
          <w:ilvl w:val="0"/>
          <w:numId w:val="63"/>
        </w:numPr>
        <w:ind w:left="567" w:firstLine="0"/>
      </w:pPr>
      <w:r w:rsidRPr="00ED7E61">
        <w:lastRenderedPageBreak/>
        <w:t xml:space="preserve">At the global level, the Secretariat of the Convention on Biological Diversity will compile the data. </w:t>
      </w:r>
    </w:p>
    <w:p w14:paraId="1FDE85E4"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52D359E9" w14:textId="330E60A1" w:rsidR="0025590A" w:rsidRDefault="0025590A" w:rsidP="00B10F0C">
      <w:pPr>
        <w:pStyle w:val="CBDNormalNumber"/>
        <w:numPr>
          <w:ilvl w:val="0"/>
          <w:numId w:val="63"/>
        </w:numPr>
        <w:ind w:left="567" w:firstLine="0"/>
      </w:pPr>
      <w:r w:rsidRPr="00ED7E61">
        <w:t>As mentioned above national data compilation for bilateral benefit-sharing may be challenging due to the existing systems for recording data, confidentiality issues and national capacity and given that the collection of benefit-sharing data was not mandatory or foreseen under the Nagoya Protocol</w:t>
      </w:r>
      <w:r w:rsidR="007B72B8">
        <w:t xml:space="preserve">. </w:t>
      </w:r>
    </w:p>
    <w:p w14:paraId="7A1DFAA5" w14:textId="77777777" w:rsidR="007B72B8" w:rsidRDefault="007B72B8" w:rsidP="00812871">
      <w:pPr>
        <w:pStyle w:val="CBDNormalNumber"/>
        <w:numPr>
          <w:ilvl w:val="0"/>
          <w:numId w:val="63"/>
        </w:numPr>
        <w:ind w:left="567" w:firstLine="0"/>
      </w:pPr>
      <w:r>
        <w:t>Work is underway to reflect monetary benefits shared multilaterally (DSI multilateral mechanisms or the International Treaty).</w:t>
      </w:r>
    </w:p>
    <w:p w14:paraId="29073EB5" w14:textId="77777777" w:rsidR="007B72B8" w:rsidRPr="00ED7E61" w:rsidRDefault="007B72B8" w:rsidP="00B10F0C">
      <w:pPr>
        <w:pStyle w:val="CBDNormalNumber"/>
        <w:numPr>
          <w:ilvl w:val="0"/>
          <w:numId w:val="63"/>
        </w:numPr>
        <w:ind w:left="567" w:firstLine="0"/>
      </w:pPr>
    </w:p>
    <w:p w14:paraId="091FA0BA"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1D65C16F" w14:textId="741DD159" w:rsidR="0081052F" w:rsidRPr="00ED7E61" w:rsidRDefault="0081052F" w:rsidP="00B10F0C">
      <w:pPr>
        <w:pStyle w:val="CBDNormalNumber"/>
        <w:numPr>
          <w:ilvl w:val="0"/>
          <w:numId w:val="63"/>
        </w:numPr>
        <w:ind w:left="567" w:firstLine="0"/>
      </w:pPr>
      <w:r w:rsidRPr="00ED7E61">
        <w:t xml:space="preserve">Missing data should not be </w:t>
      </w:r>
      <w:r w:rsidR="0025590A" w:rsidRPr="00ED7E61">
        <w:t>included</w:t>
      </w:r>
      <w:r w:rsidRPr="00ED7E61">
        <w:t>.</w:t>
      </w:r>
    </w:p>
    <w:p w14:paraId="63BA8C33"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06A1684F" w14:textId="77777777"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792B41C3"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0B86D658"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4ED9B53A" w14:textId="77777777" w:rsidR="0081052F" w:rsidRPr="00ED7E61" w:rsidRDefault="0081052F" w:rsidP="00B10F0C">
      <w:pPr>
        <w:pStyle w:val="CBDNormalNumber"/>
        <w:numPr>
          <w:ilvl w:val="0"/>
          <w:numId w:val="63"/>
        </w:numPr>
        <w:ind w:left="567" w:firstLine="0"/>
      </w:pPr>
      <w:r w:rsidRPr="00ED7E61">
        <w:t>Scale of data disaggregation/aggregation:  </w:t>
      </w:r>
    </w:p>
    <w:p w14:paraId="110A41F2" w14:textId="77777777" w:rsidR="0081052F" w:rsidRPr="00ED7E61" w:rsidRDefault="0081052F" w:rsidP="00B10F0C">
      <w:pPr>
        <w:pStyle w:val="CBDNormalNumber"/>
        <w:numPr>
          <w:ilvl w:val="1"/>
          <w:numId w:val="6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regional scale indicator can be disaggregated to national level: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5190AC84" w14:textId="77777777" w:rsidR="0081052F" w:rsidRPr="00ED7E61" w:rsidRDefault="0081052F" w:rsidP="00B10F0C">
      <w:pPr>
        <w:pStyle w:val="CBDNormalNumber"/>
        <w:numPr>
          <w:ilvl w:val="1"/>
          <w:numId w:val="6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National data is collated to form global indicator: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3637285C" w14:textId="77777777" w:rsidR="0081052F" w:rsidRPr="00ED7E61" w:rsidRDefault="0081052F" w:rsidP="00B10F0C">
      <w:pPr>
        <w:pStyle w:val="CBDNormalNumber"/>
        <w:numPr>
          <w:ilvl w:val="0"/>
          <w:numId w:val="63"/>
        </w:numPr>
        <w:ind w:left="567" w:firstLine="0"/>
      </w:pPr>
      <w:r w:rsidRPr="00ED7E61">
        <w:t>The indicator is available for use at the national, regional and global level. It should be noted that national data would be aggregated in USD.</w:t>
      </w:r>
    </w:p>
    <w:p w14:paraId="7D14142E"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00ED6E7C" w14:textId="13C43507" w:rsidR="00B40B98" w:rsidRDefault="009A3EBB" w:rsidP="00812871">
      <w:pPr>
        <w:pStyle w:val="CBDNormalNumber"/>
        <w:numPr>
          <w:ilvl w:val="0"/>
          <w:numId w:val="63"/>
        </w:numPr>
        <w:ind w:left="567" w:firstLine="0"/>
      </w:pPr>
      <w:r>
        <w:t>Data about benefits shared bilaterally</w:t>
      </w:r>
      <w:r w:rsidRPr="00ED7E61">
        <w:t xml:space="preserve"> </w:t>
      </w:r>
      <w:r w:rsidR="0081052F" w:rsidRPr="00ED7E61">
        <w:t>would be compiled and reported at the national level.</w:t>
      </w:r>
      <w:r w:rsidR="00B40B98" w:rsidRPr="00B40B98">
        <w:t xml:space="preserve"> </w:t>
      </w:r>
      <w:r w:rsidR="00B40B98">
        <w:t>While data from benefits shared multilaterally will be compiled by the corresponding Secretariats and made available nationally for reporting.</w:t>
      </w:r>
    </w:p>
    <w:p w14:paraId="065722D9" w14:textId="2FB43455" w:rsidR="0081052F" w:rsidRPr="00ED7E61" w:rsidRDefault="0081052F" w:rsidP="00812871">
      <w:pPr>
        <w:pStyle w:val="CBDNormalNumber"/>
        <w:ind w:left="567"/>
        <w:rPr>
          <w:rFonts w:asciiTheme="majorBidi" w:hAnsiTheme="majorBidi" w:cstheme="majorBidi"/>
        </w:rPr>
      </w:pPr>
    </w:p>
    <w:p w14:paraId="57E0954E"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5DCCAD32" w14:textId="77777777" w:rsidR="0081052F" w:rsidRPr="00ED7E61" w:rsidRDefault="0081052F" w:rsidP="00B3383B">
      <w:pPr>
        <w:pStyle w:val="CBDNormalNumber"/>
        <w:ind w:left="567"/>
      </w:pPr>
      <w:r w:rsidRPr="00ED7E61">
        <w:t>NA</w:t>
      </w:r>
    </w:p>
    <w:p w14:paraId="101D4B88"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4EE75741" w14:textId="77777777" w:rsidR="0081052F" w:rsidRPr="00ED7E61" w:rsidRDefault="0081052F" w:rsidP="00B10F0C">
      <w:pPr>
        <w:pStyle w:val="CBDNormalNumber"/>
        <w:numPr>
          <w:ilvl w:val="0"/>
          <w:numId w:val="63"/>
        </w:numPr>
        <w:ind w:left="567" w:firstLine="0"/>
      </w:pPr>
      <w:r w:rsidRPr="00ED7E61">
        <w:t>Regional and global data would be the aggregate of national data in United States dollars. Missing data would not be estimated in developing the regional or global figures.</w:t>
      </w:r>
    </w:p>
    <w:p w14:paraId="1C0B30F5" w14:textId="62E70254" w:rsidR="0081052F" w:rsidRPr="00ED7E61" w:rsidRDefault="0081052F" w:rsidP="00812871">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812871">
        <w:rPr>
          <w:rStyle w:val="normaltextrun"/>
          <w:rFonts w:asciiTheme="majorBidi" w:eastAsiaTheme="majorEastAsia" w:hAnsiTheme="majorBidi" w:cstheme="majorBidi"/>
          <w:b/>
          <w:bCs/>
          <w:sz w:val="22"/>
          <w:szCs w:val="22"/>
          <w:lang w:val="en-GB"/>
        </w:rPr>
        <w:t>7. Other MEAs, processes and organi</w:t>
      </w:r>
      <w:r w:rsidR="00B10F0C" w:rsidRPr="00812871">
        <w:rPr>
          <w:rStyle w:val="normaltextrun"/>
          <w:rFonts w:asciiTheme="majorBidi" w:eastAsiaTheme="majorEastAsia" w:hAnsiTheme="majorBidi" w:cstheme="majorBidi"/>
          <w:b/>
          <w:bCs/>
          <w:sz w:val="22"/>
          <w:szCs w:val="22"/>
          <w:lang w:val="en-GB"/>
        </w:rPr>
        <w:t>z</w:t>
      </w:r>
      <w:r w:rsidRPr="00812871">
        <w:rPr>
          <w:rStyle w:val="normaltextrun"/>
          <w:rFonts w:asciiTheme="majorBidi" w:eastAsiaTheme="majorEastAsia" w:hAnsiTheme="majorBidi" w:cstheme="majorBidi"/>
          <w:b/>
          <w:bCs/>
          <w:sz w:val="22"/>
          <w:szCs w:val="22"/>
          <w:lang w:val="en-GB"/>
        </w:rPr>
        <w:t>ations</w:t>
      </w:r>
      <w:r w:rsidRPr="00ED7E61">
        <w:rPr>
          <w:rStyle w:val="eop"/>
          <w:rFonts w:asciiTheme="majorBidi" w:eastAsiaTheme="majorEastAsia" w:hAnsiTheme="majorBidi" w:cstheme="majorBidi"/>
          <w:sz w:val="22"/>
          <w:szCs w:val="22"/>
        </w:rPr>
        <w:t> </w:t>
      </w:r>
    </w:p>
    <w:p w14:paraId="191A4AF1" w14:textId="53513E23" w:rsidR="0025590A" w:rsidRPr="00ED7E61" w:rsidRDefault="0025590A" w:rsidP="00B10F0C">
      <w:pPr>
        <w:pStyle w:val="CBDNormalNumber"/>
        <w:numPr>
          <w:ilvl w:val="0"/>
          <w:numId w:val="63"/>
        </w:numPr>
        <w:ind w:left="567" w:firstLine="0"/>
      </w:pPr>
      <w:r w:rsidRPr="00ED7E61">
        <w:t xml:space="preserve">This data may also be reported in the national reports under the Nagoya Protocol on Access and Benefit-sharing and data sources to be identified, for the International Treaty on Plant Genetic Resources for Food and Agriculture and other multilateral mechanisms on ABS (such as </w:t>
      </w:r>
      <w:r w:rsidR="006B30FE">
        <w:t>Digital Sequence Information</w:t>
      </w:r>
      <w:r w:rsidRPr="00ED7E61">
        <w:t>, BBNJ and others) for the Parties to such instruments.</w:t>
      </w:r>
    </w:p>
    <w:p w14:paraId="12D471D5" w14:textId="5E79C492"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7D3CD8" w:rsidRPr="00ED7E61">
        <w:rPr>
          <w:rStyle w:val="normaltextrun"/>
          <w:rFonts w:asciiTheme="majorBidi" w:eastAsiaTheme="majorEastAsia" w:hAnsiTheme="majorBidi" w:cstheme="majorBidi"/>
          <w:b/>
          <w:bCs/>
          <w:sz w:val="22"/>
          <w:szCs w:val="22"/>
        </w:rPr>
        <w:t xml:space="preserve">Possible </w:t>
      </w:r>
      <w:r w:rsidRPr="00ED7E61">
        <w:rPr>
          <w:rStyle w:val="normaltextrun"/>
          <w:rFonts w:asciiTheme="majorBidi" w:eastAsiaTheme="majorEastAsia" w:hAnsiTheme="majorBidi" w:cstheme="majorBidi"/>
          <w:b/>
          <w:bCs/>
          <w:sz w:val="22"/>
          <w:szCs w:val="22"/>
        </w:rPr>
        <w:t>Disaggregation</w:t>
      </w:r>
      <w:r w:rsidRPr="00ED7E61">
        <w:rPr>
          <w:rStyle w:val="eop"/>
          <w:rFonts w:asciiTheme="majorBidi" w:eastAsiaTheme="majorEastAsia" w:hAnsiTheme="majorBidi" w:cstheme="majorBidi"/>
          <w:sz w:val="22"/>
          <w:szCs w:val="22"/>
        </w:rPr>
        <w:t> </w:t>
      </w:r>
    </w:p>
    <w:p w14:paraId="096F9DF7" w14:textId="1A11EDCF" w:rsidR="0081052F" w:rsidRPr="00B3383B" w:rsidRDefault="0025590A" w:rsidP="00B10F0C">
      <w:pPr>
        <w:pStyle w:val="CBDNormalNumber"/>
        <w:numPr>
          <w:ilvl w:val="0"/>
          <w:numId w:val="63"/>
        </w:numPr>
        <w:ind w:left="567" w:firstLine="0"/>
        <w:rPr>
          <w:rFonts w:asciiTheme="majorBidi" w:hAnsiTheme="majorBidi" w:cstheme="majorBidi"/>
        </w:rPr>
      </w:pPr>
      <w:r w:rsidRPr="00ED7E61">
        <w:t xml:space="preserve">Countries should be able to disaggregate the information by monetary benefits received by different beneficiaries recognized in their national legislation and report on benefits received by </w:t>
      </w:r>
      <w:r w:rsidR="00B929B4">
        <w:rPr>
          <w:rStyle w:val="normaltextrun"/>
          <w:rFonts w:asciiTheme="majorBidi" w:eastAsiaTheme="majorEastAsia" w:hAnsiTheme="majorBidi" w:cstheme="majorBidi"/>
          <w:color w:val="000000"/>
          <w:lang w:val="en-AU"/>
        </w:rPr>
        <w:t>i</w:t>
      </w:r>
      <w:r w:rsidR="00B929B4" w:rsidRPr="00ED7E61">
        <w:rPr>
          <w:rStyle w:val="normaltextrun"/>
          <w:rFonts w:asciiTheme="majorBidi" w:eastAsiaTheme="majorEastAsia" w:hAnsiTheme="majorBidi" w:cstheme="majorBidi"/>
          <w:color w:val="000000"/>
          <w:lang w:val="en-AU"/>
        </w:rPr>
        <w:t xml:space="preserve">ndigenous </w:t>
      </w:r>
      <w:r w:rsidR="00B929B4">
        <w:rPr>
          <w:rStyle w:val="normaltextrun"/>
          <w:rFonts w:asciiTheme="majorBidi" w:eastAsiaTheme="majorEastAsia" w:hAnsiTheme="majorBidi" w:cstheme="majorBidi"/>
          <w:color w:val="000000"/>
          <w:lang w:val="en-AU"/>
        </w:rPr>
        <w:t>p</w:t>
      </w:r>
      <w:r w:rsidR="00B929B4" w:rsidRPr="00ED7E61">
        <w:rPr>
          <w:rStyle w:val="normaltextrun"/>
          <w:rFonts w:asciiTheme="majorBidi" w:eastAsiaTheme="majorEastAsia" w:hAnsiTheme="majorBidi" w:cstheme="majorBidi"/>
          <w:color w:val="000000"/>
          <w:lang w:val="en-AU"/>
        </w:rPr>
        <w:t xml:space="preserve">eoples and </w:t>
      </w:r>
      <w:r w:rsidR="00B929B4">
        <w:rPr>
          <w:rStyle w:val="normaltextrun"/>
          <w:rFonts w:asciiTheme="majorBidi" w:eastAsiaTheme="majorEastAsia" w:hAnsiTheme="majorBidi" w:cstheme="majorBidi"/>
          <w:color w:val="000000"/>
          <w:lang w:val="en-AU"/>
        </w:rPr>
        <w:t>l</w:t>
      </w:r>
      <w:r w:rsidR="00B929B4" w:rsidRPr="00ED7E61">
        <w:rPr>
          <w:rStyle w:val="normaltextrun"/>
          <w:rFonts w:asciiTheme="majorBidi" w:eastAsiaTheme="majorEastAsia" w:hAnsiTheme="majorBidi" w:cstheme="majorBidi"/>
          <w:color w:val="000000"/>
          <w:lang w:val="en-AU"/>
        </w:rPr>
        <w:t xml:space="preserve">ocal </w:t>
      </w:r>
      <w:r w:rsidR="00B929B4">
        <w:rPr>
          <w:rStyle w:val="normaltextrun"/>
          <w:rFonts w:asciiTheme="majorBidi" w:eastAsiaTheme="majorEastAsia" w:hAnsiTheme="majorBidi" w:cstheme="majorBidi"/>
          <w:color w:val="000000"/>
          <w:lang w:val="en-AU"/>
        </w:rPr>
        <w:t>c</w:t>
      </w:r>
      <w:r w:rsidR="00B929B4" w:rsidRPr="00ED7E61">
        <w:rPr>
          <w:rStyle w:val="normaltextrun"/>
          <w:rFonts w:asciiTheme="majorBidi" w:eastAsiaTheme="majorEastAsia" w:hAnsiTheme="majorBidi" w:cstheme="majorBidi"/>
          <w:color w:val="000000"/>
          <w:lang w:val="en-AU"/>
        </w:rPr>
        <w:t xml:space="preserve">ommunities </w:t>
      </w:r>
      <w:r w:rsidRPr="00ED7E61">
        <w:t>and by ABS instrument</w:t>
      </w:r>
    </w:p>
    <w:p w14:paraId="1A0BD14B"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5268E570" w14:textId="331F7191" w:rsidR="0081052F" w:rsidRPr="00ED7E61" w:rsidRDefault="0081052F" w:rsidP="00B10F0C">
      <w:pPr>
        <w:pStyle w:val="CBDNormalNumber"/>
        <w:numPr>
          <w:ilvl w:val="0"/>
          <w:numId w:val="63"/>
        </w:numPr>
        <w:ind w:left="567" w:firstLine="0"/>
      </w:pPr>
      <w:r w:rsidRPr="00ED7E61">
        <w:lastRenderedPageBreak/>
        <w:t xml:space="preserve">This indicator has linkages across the framework, including with Target </w:t>
      </w:r>
      <w:r w:rsidR="004518E1" w:rsidRPr="00ED7E61">
        <w:t xml:space="preserve">15, 19 and </w:t>
      </w:r>
      <w:r w:rsidRPr="00ED7E61">
        <w:t xml:space="preserve">22. </w:t>
      </w:r>
    </w:p>
    <w:p w14:paraId="1D36E690"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5E37D2DD" w14:textId="3CDCE5E8"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FC7747">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1EA15D1A" w14:textId="77777777" w:rsidR="0081052F" w:rsidRPr="00ED7E61" w:rsidRDefault="0081052F" w:rsidP="00B3383B">
      <w:pPr>
        <w:pStyle w:val="CBDNormalNumber"/>
        <w:ind w:left="567"/>
      </w:pPr>
      <w:r w:rsidRPr="00ED7E61">
        <w:t>SCBD</w:t>
      </w:r>
    </w:p>
    <w:p w14:paraId="2F7D68BE"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0EAD4F39" w14:textId="438DB8C1" w:rsidR="0081052F" w:rsidRPr="00ED7E61" w:rsidRDefault="0081052F" w:rsidP="00B3383B">
      <w:pPr>
        <w:pStyle w:val="CBDNormalNumber"/>
        <w:ind w:left="567"/>
        <w:rPr>
          <w:lang w:val="es-ES"/>
        </w:rPr>
      </w:pPr>
      <w:r w:rsidRPr="00ED7E61">
        <w:rPr>
          <w:lang w:val="es-ES"/>
        </w:rPr>
        <w:t xml:space="preserve">Beatriz Gomez, SCBD, beatriz.gomez@un.org </w:t>
      </w:r>
    </w:p>
    <w:p w14:paraId="6C5ADAAF" w14:textId="726012B9" w:rsidR="00605E72" w:rsidRPr="00FB1598" w:rsidRDefault="00605E72" w:rsidP="00B3383B">
      <w:pPr>
        <w:pStyle w:val="CBDNormalNumber"/>
        <w:ind w:left="567"/>
        <w:rPr>
          <w:rStyle w:val="normaltextrun"/>
          <w:rFonts w:asciiTheme="majorBidi" w:eastAsiaTheme="majorEastAsia" w:hAnsiTheme="majorBidi" w:cstheme="majorBidi"/>
        </w:rPr>
      </w:pPr>
      <w:r w:rsidRPr="00FB1598">
        <w:rPr>
          <w:lang w:val="en-CA"/>
        </w:rPr>
        <w:t xml:space="preserve">Alvaro Toledo, </w:t>
      </w:r>
      <w:r w:rsidR="006B30FE">
        <w:rPr>
          <w:rStyle w:val="normaltextrun"/>
          <w:rFonts w:eastAsiaTheme="majorEastAsia"/>
        </w:rPr>
        <w:t>I</w:t>
      </w:r>
      <w:r w:rsidR="006B30FE" w:rsidRPr="003D4EC6">
        <w:rPr>
          <w:rStyle w:val="normaltextrun"/>
          <w:rFonts w:eastAsiaTheme="majorEastAsia"/>
        </w:rPr>
        <w:t>nternational Treaty on Plant Genetic Resources for Food and Agriculture</w:t>
      </w:r>
      <w:r w:rsidR="006B30FE" w:rsidRPr="00FB1598" w:rsidDel="006B30FE">
        <w:rPr>
          <w:lang w:val="en-CA"/>
        </w:rPr>
        <w:t xml:space="preserve"> </w:t>
      </w:r>
      <w:r w:rsidRPr="00FB1598">
        <w:rPr>
          <w:lang w:val="en-CA"/>
        </w:rPr>
        <w:t xml:space="preserve">Secretariat, alvaro.toledo@fao.org  </w:t>
      </w:r>
    </w:p>
    <w:p w14:paraId="06C3C2F4" w14:textId="6218CC1A"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lang w:val="en-US"/>
        </w:rPr>
      </w:pPr>
      <w:r w:rsidRPr="00ED7E61">
        <w:rPr>
          <w:rStyle w:val="normaltextrun"/>
          <w:rFonts w:asciiTheme="majorBidi" w:eastAsiaTheme="majorEastAsia" w:hAnsiTheme="majorBidi" w:cstheme="majorBidi"/>
          <w:b/>
          <w:bCs/>
          <w:sz w:val="22"/>
          <w:szCs w:val="22"/>
          <w:lang w:val="en-US"/>
        </w:rPr>
        <w:t>11. References</w:t>
      </w:r>
      <w:r w:rsidRPr="00ED7E61">
        <w:rPr>
          <w:rStyle w:val="eop"/>
          <w:rFonts w:asciiTheme="majorBidi" w:eastAsiaTheme="majorEastAsia" w:hAnsiTheme="majorBidi" w:cstheme="majorBidi"/>
          <w:sz w:val="22"/>
          <w:szCs w:val="22"/>
          <w:lang w:val="en-US"/>
        </w:rPr>
        <w:t> </w:t>
      </w:r>
    </w:p>
    <w:p w14:paraId="1F1AB4FA" w14:textId="77777777" w:rsidR="0081052F" w:rsidRPr="00ED7E61" w:rsidRDefault="0081052F" w:rsidP="00B3383B">
      <w:pPr>
        <w:pStyle w:val="CBDNormalNumber"/>
        <w:ind w:left="567"/>
      </w:pPr>
      <w:r w:rsidRPr="00ED7E61">
        <w:t>United Nations Environment Programme. Convention on biological diversity [Internet]. 1992. Available from: https://wedocs.unep.org/20.500.11822/8340</w:t>
      </w:r>
    </w:p>
    <w:p w14:paraId="5E9DA659" w14:textId="77777777" w:rsidR="0081052F" w:rsidRPr="00ED7E61" w:rsidRDefault="0081052F" w:rsidP="00B3383B">
      <w:pPr>
        <w:pStyle w:val="CBDNormalNumber"/>
        <w:ind w:left="567"/>
      </w:pPr>
      <w:r w:rsidRPr="00ED7E61">
        <w:t>Conference of the Parties to the Convention on Biological Diversity. Access and benefit-sharing as related to genetic resources. In: UN Doc [Internet]. COP 6 Decision VI/24; 2002. Available from: https://www.cbd.int/decision/cop/?id=7198</w:t>
      </w:r>
    </w:p>
    <w:p w14:paraId="610381C4" w14:textId="77777777" w:rsidR="0081052F" w:rsidRPr="00ED7E61" w:rsidRDefault="0081052F" w:rsidP="00B3383B">
      <w:pPr>
        <w:pStyle w:val="CBDNormalNumber"/>
        <w:ind w:left="567"/>
      </w:pPr>
      <w:r w:rsidRPr="00ED7E61">
        <w:t>Conference of the Parties to the Convention on Biological Diversity. Nagoya Protocol on Access to Genetic Resources and the Fair and Equitable Sharing of Benefits Arising from their Utilization to the Convention on Biological Diversity: Text and Annex [Internet]. 2011. Available from: https://wedocs.unep.org/20.500.11822/27555</w:t>
      </w:r>
    </w:p>
    <w:p w14:paraId="5E962972" w14:textId="77777777" w:rsidR="0081052F" w:rsidRPr="00ED7E61" w:rsidRDefault="0081052F" w:rsidP="00B3383B">
      <w:pPr>
        <w:pStyle w:val="CBDNormalNumber"/>
        <w:ind w:left="567"/>
      </w:pPr>
      <w:r w:rsidRPr="00ED7E61">
        <w:t>Food and Agriculture Organization of the United Nations. International Treaty on Plant Genetic Resources for Food and Agriculture [Internet]. 2001. Available from: https://www.fao.org/plant-treaty/overview/texts-treaty/en/</w:t>
      </w:r>
    </w:p>
    <w:p w14:paraId="41C0F42C" w14:textId="77777777" w:rsidR="0081052F" w:rsidRPr="00ED7E61" w:rsidRDefault="0081052F" w:rsidP="00B3383B">
      <w:pPr>
        <w:pStyle w:val="CBDNormalNumber"/>
        <w:ind w:left="567"/>
      </w:pPr>
      <w:r w:rsidRPr="00ED7E61">
        <w:t>Food and Agriculture Organization of the United Nations. The Standard Material Transfer Agreement. In: FAO Doc [Internet]. RESOLUTION 2/2006; 2006. Available from: https://www.fao.org/3/be006e/be006e.pdf</w:t>
      </w:r>
    </w:p>
    <w:p w14:paraId="22641C32" w14:textId="77777777" w:rsidR="0081052F" w:rsidRPr="00ED7E61" w:rsidRDefault="0081052F" w:rsidP="00B3383B">
      <w:pPr>
        <w:pStyle w:val="CBDNormalNumber"/>
        <w:ind w:left="567"/>
      </w:pPr>
      <w:r w:rsidRPr="00ED7E61">
        <w:t>Conference of the Parties to the Convention on Biological Diversity. Kunming-Montreal Global Biodiversity Framework. In: UN Doc [Internet]. CBD/COP/DEC/15/4; 2022. Available from: https://www.cbd.int/doc/decisions/cop-15/cop-15-dec-04-en.pdf</w:t>
      </w:r>
    </w:p>
    <w:p w14:paraId="759A6654" w14:textId="77777777" w:rsidR="0081052F" w:rsidRPr="00ED7E61" w:rsidRDefault="0081052F" w:rsidP="00B3383B">
      <w:pPr>
        <w:pStyle w:val="CBDNormalNumber"/>
        <w:ind w:left="567"/>
      </w:pPr>
      <w:r w:rsidRPr="00ED7E61">
        <w:t>Conference of the Parties to the Convention on Biological Diversity. Digital sequence information on genetic resources. In: UN Doc [Internet]. CBD/COP/DEC/15/9; 2022. Available from: https://www.cbd.int/doc/decisions/cop-15/cop-15-dec-09-en.pdf</w:t>
      </w:r>
    </w:p>
    <w:p w14:paraId="3F549F40" w14:textId="77777777" w:rsidR="0081052F" w:rsidRPr="00ED7E61" w:rsidRDefault="0081052F" w:rsidP="00B3383B">
      <w:pPr>
        <w:pStyle w:val="CBDNormalNumber"/>
        <w:ind w:left="567"/>
      </w:pPr>
      <w:r w:rsidRPr="00ED7E61">
        <w:t>Conference of the Parties to the Convention on Biological Diversity. Monitoring framework for the Kunming-Montreal Global Biodiversity Framework. In: UN Doc [Internet]. CBD/COP/DEC/15/5; 2022. Available from: https://www.cbd.int/doc/decisions/cop-15/cop-15-dec-05-en.pdf</w:t>
      </w:r>
    </w:p>
    <w:p w14:paraId="2C6E221C" w14:textId="77777777" w:rsidR="0081052F" w:rsidRPr="00ED7E61" w:rsidRDefault="0081052F" w:rsidP="00B3383B">
      <w:pPr>
        <w:pStyle w:val="CBDNormalNumber"/>
        <w:ind w:left="567"/>
      </w:pPr>
      <w:r w:rsidRPr="00ED7E61">
        <w:t xml:space="preserve">Subsidiary Body on Scientific, Technical </w:t>
      </w:r>
      <w:proofErr w:type="gramStart"/>
      <w:r w:rsidRPr="00ED7E61">
        <w:t>and,</w:t>
      </w:r>
      <w:proofErr w:type="gramEnd"/>
      <w:r w:rsidRPr="00ED7E61">
        <w:t xml:space="preserve"> Subsidiary Body on Scientific, Technical and Technological Advice, Conference of the Parties to the Convention on Biological Diversity. 25/1. Monitoring framework for the Kunming-Montreal Global Biodiversity Framework. In: UN Doc [Internet]. 1/14 CBD/SBSTTA/REC/25/1; 2023. Available from: https://www.cbd.int/doc/recommendations/sbstta-25/sbstta-25-rec-01-en.pdf</w:t>
      </w:r>
    </w:p>
    <w:p w14:paraId="181F4711" w14:textId="77777777" w:rsidR="0081052F" w:rsidRPr="00ED7E61" w:rsidRDefault="0081052F" w:rsidP="00B3383B">
      <w:pPr>
        <w:pStyle w:val="CBDNormalNumber"/>
        <w:ind w:left="567"/>
      </w:pPr>
      <w:r w:rsidRPr="00ED7E61">
        <w:t>United Nations. Sustainable development: Convention on Biological Diversity - Resolution adopted by the General Assembly on 19 December 2023. In: UN Doc [Internet]. A/RES/78/155; 2023. Available from: https://www.undocs.org/Home/Mobile?FinalSymbol=A%2FRES%2F78%2F155&amp;Language=E&amp;DeviceType=Desktop&amp;LangRequested=False</w:t>
      </w:r>
    </w:p>
    <w:p w14:paraId="02F6282D" w14:textId="77777777" w:rsidR="0081052F" w:rsidRPr="00ED7E61" w:rsidRDefault="0081052F" w:rsidP="00B3383B">
      <w:pPr>
        <w:pStyle w:val="CBDNormalNumber"/>
        <w:ind w:left="567"/>
      </w:pPr>
      <w:r w:rsidRPr="00ED7E61">
        <w:lastRenderedPageBreak/>
        <w:t>World Health Organization. Bureau’s text of the WHO convention, agreement or other international instrument on pandemic prevention, preparedness and response (WHO CA+) [Internet]. A/INB/5/6; 2023. Available from: https://apps.who.int/gb/inb/pdf_files/inb5/A_INB5_6-en.pdf</w:t>
      </w:r>
    </w:p>
    <w:p w14:paraId="38700763" w14:textId="77777777" w:rsidR="0081052F" w:rsidRPr="00ED7E61" w:rsidRDefault="0081052F" w:rsidP="00B3383B">
      <w:pPr>
        <w:pStyle w:val="CBDNormalNumber"/>
        <w:ind w:left="567"/>
      </w:pPr>
      <w:r w:rsidRPr="00ED7E61">
        <w:t xml:space="preserve">Secretariat of the Convention on Biological Diversity. NOTIFICATION - Survey on indicators on access and benefit-sharing for the Kunming-Montreal Global Biodiversity Framework. </w:t>
      </w:r>
      <w:proofErr w:type="gramStart"/>
      <w:r w:rsidRPr="00ED7E61">
        <w:rPr>
          <w:lang w:val="fr-FR"/>
        </w:rPr>
        <w:t>In:</w:t>
      </w:r>
      <w:proofErr w:type="gramEnd"/>
      <w:r w:rsidRPr="00ED7E61">
        <w:rPr>
          <w:lang w:val="fr-FR"/>
        </w:rPr>
        <w:t xml:space="preserve"> UN Doc [Internet]. SCBD/NPU/DC/TS/BG/</w:t>
      </w:r>
      <w:proofErr w:type="spellStart"/>
      <w:r w:rsidRPr="00ED7E61">
        <w:rPr>
          <w:lang w:val="fr-FR"/>
        </w:rPr>
        <w:t>RKi</w:t>
      </w:r>
      <w:proofErr w:type="spellEnd"/>
      <w:r w:rsidRPr="00ED7E61">
        <w:rPr>
          <w:lang w:val="fr-FR"/>
        </w:rPr>
        <w:t>/</w:t>
      </w:r>
      <w:proofErr w:type="gramStart"/>
      <w:r w:rsidRPr="00ED7E61">
        <w:rPr>
          <w:lang w:val="fr-FR"/>
        </w:rPr>
        <w:t>91289;</w:t>
      </w:r>
      <w:proofErr w:type="gramEnd"/>
      <w:r w:rsidRPr="00ED7E61">
        <w:rPr>
          <w:lang w:val="fr-FR"/>
        </w:rPr>
        <w:t xml:space="preserve"> 2023. </w:t>
      </w:r>
      <w:r w:rsidRPr="00ED7E61">
        <w:t>Available from: https://www.cbd.int/doc/notifications/2023/ntf-2023-103-abs-en.pdf</w:t>
      </w:r>
    </w:p>
    <w:p w14:paraId="3CD82DEB" w14:textId="77777777" w:rsidR="0081052F" w:rsidRPr="00ED7E61" w:rsidRDefault="0081052F" w:rsidP="00B3383B">
      <w:pPr>
        <w:pStyle w:val="CBDNormalNumber"/>
        <w:ind w:left="567"/>
      </w:pPr>
      <w:r w:rsidRPr="00ED7E61">
        <w:t xml:space="preserve">Greiber T. An Explanatory Guide to the Nagoya Protocol on Access and Benefit-sharing. IUCN; 2012. 395 p. </w:t>
      </w:r>
    </w:p>
    <w:p w14:paraId="4C666FC1" w14:textId="77777777" w:rsidR="0081052F" w:rsidRPr="00ED7E61" w:rsidRDefault="0081052F" w:rsidP="00B3383B">
      <w:pPr>
        <w:pStyle w:val="CBDNormalNumber"/>
        <w:ind w:left="567"/>
      </w:pPr>
      <w:r w:rsidRPr="00ED7E61">
        <w:t>Conference of the Parties to the Convention on Biological Diversity. NP-1/3. Monitoring and reporting (Article 29). In: UN Doc [Internet]. UNEP/CBD/NP/COP-MOP/DEC/1/3; 2014. Available from: https://www.cbd.int/doc/decisions/np-mop-01/np-mop-01-dec-03-en.pdf</w:t>
      </w:r>
    </w:p>
    <w:p w14:paraId="10DA21B9" w14:textId="77777777" w:rsidR="0081052F" w:rsidRPr="00ED7E61" w:rsidRDefault="0081052F" w:rsidP="00B3383B">
      <w:pPr>
        <w:pStyle w:val="CBDNormalNumber"/>
        <w:ind w:left="567"/>
      </w:pPr>
      <w:r w:rsidRPr="00ED7E61">
        <w:t>Conference of the Parties to the Convention on Biological Diversity. NP-3/4. Monitoring and reporting (Article 29). In: UN Doc [Internet]. CBD/NP/MOP/DEC/3/4; 2018. Available from: https://www.cbd.int/doc/decisions/np-mop-03/np-mop-03-dec-04-en.pdf</w:t>
      </w:r>
    </w:p>
    <w:p w14:paraId="1B4C6B2F" w14:textId="77777777" w:rsidR="0081052F" w:rsidRPr="00ED7E61" w:rsidRDefault="0081052F" w:rsidP="00B3383B">
      <w:pPr>
        <w:pStyle w:val="CBDNormalNumber"/>
        <w:ind w:left="567"/>
      </w:pPr>
      <w:r w:rsidRPr="00ED7E61">
        <w:t>Conference of the Parties to the Convention on Biological Diversity. DECISION ADOPTED BY THE PARTIES TO THE NAGOYA PROTOCOL ON ACCESS AND BENEFIT-SHARING, NP-4/3. Monitoring and reporting (Article 29). In: UN Doc [Internet]. CBD/NP/MOP/DEC/4/3; 2022. Available from: https://www.cbd.int/doc/decisions/np-mop-04/np-mop-04-dec-03-en.pdf</w:t>
      </w:r>
    </w:p>
    <w:p w14:paraId="5DB8ADA8" w14:textId="77777777" w:rsidR="0081052F" w:rsidRPr="00ED7E61" w:rsidRDefault="0081052F" w:rsidP="00B3383B">
      <w:pPr>
        <w:pStyle w:val="CBDNormalNumber"/>
        <w:ind w:left="567"/>
      </w:pPr>
      <w:r w:rsidRPr="00ED7E61">
        <w:t>Conference of the Parties to the Convention on Biological Diversity. DECISION ADOPTED BY THE CONFERENCE OF THE PARTIES TO THE CONVENTION ON BIOLOGICAL DIVERSITY, IX/14. Technology transfer and cooperation. In: UN Doc [Internet]. UNEP/CBD/COP/DEC/IX/14; 2008. Available from: https://www.cbd.int/doc/decisions/cop-09/cop-09-dec-14-en.pdf</w:t>
      </w:r>
    </w:p>
    <w:p w14:paraId="10EB0018" w14:textId="77777777" w:rsidR="0081052F" w:rsidRPr="00ED7E61" w:rsidRDefault="0081052F" w:rsidP="00B3383B">
      <w:pPr>
        <w:pStyle w:val="CBDNormalNumber"/>
        <w:ind w:left="567"/>
      </w:pPr>
      <w:r w:rsidRPr="00ED7E61">
        <w:t xml:space="preserve">Ebert AW, Engels JMM, </w:t>
      </w:r>
      <w:proofErr w:type="spellStart"/>
      <w:r w:rsidRPr="00ED7E61">
        <w:t>Schafleitner</w:t>
      </w:r>
      <w:proofErr w:type="spellEnd"/>
      <w:r w:rsidRPr="00ED7E61">
        <w:t xml:space="preserve"> R, </w:t>
      </w:r>
      <w:proofErr w:type="spellStart"/>
      <w:r w:rsidRPr="00ED7E61">
        <w:t>Hintum</w:t>
      </w:r>
      <w:proofErr w:type="spellEnd"/>
      <w:r w:rsidRPr="00ED7E61">
        <w:t xml:space="preserve"> T van, Mwila G. Critical Review of the Increasing Complexity of Access and Benefit-Sharing Policies of Genetic Resources for </w:t>
      </w:r>
      <w:proofErr w:type="spellStart"/>
      <w:r w:rsidRPr="00ED7E61">
        <w:t>Genebank</w:t>
      </w:r>
      <w:proofErr w:type="spellEnd"/>
      <w:r w:rsidRPr="00ED7E61">
        <w:t xml:space="preserve"> Curators and Plant Breeders–A Public and Private Sector Perspective. Plants. 2023 Aug;12(16):2992. </w:t>
      </w:r>
    </w:p>
    <w:p w14:paraId="226F4813" w14:textId="77777777" w:rsidR="0081052F" w:rsidRPr="00ED7E61" w:rsidRDefault="0081052F" w:rsidP="00B3383B">
      <w:pPr>
        <w:pStyle w:val="CBDNormalNumber"/>
        <w:ind w:left="567"/>
      </w:pPr>
      <w:r w:rsidRPr="00ED7E61">
        <w:t>Conference of the Parties to the Convention on Biological Diversity. DECISION ADOPTED BY THE CONFERENCE OF THE PARTIES TO THE CONVENTION ON BIOLOGICAL DIVERSITY, 15/6. Mechanisms for planning, monitoring, reporting and review. In: UN Doc [Internet]. CBD/COP/DEC/15/6; 2022. Available from: https://www.cbd.int/doc/decisions/cop-15/cop-15-dec-06-en.pdf</w:t>
      </w:r>
    </w:p>
    <w:p w14:paraId="222CD2F3" w14:textId="77777777" w:rsidR="0081052F" w:rsidRPr="00ED7E61" w:rsidRDefault="0081052F" w:rsidP="00B3383B">
      <w:pPr>
        <w:pStyle w:val="CBDNormalNumber"/>
        <w:ind w:left="567"/>
      </w:pPr>
      <w:r w:rsidRPr="00ED7E61">
        <w:t xml:space="preserve">Scholz AH, Lange M, Habekost P, Oldham P, Cancio I, Cochrane G, et al. Myth-busting the provider-user relationship for digital sequence information. </w:t>
      </w:r>
      <w:proofErr w:type="spellStart"/>
      <w:r w:rsidRPr="00ED7E61">
        <w:t>GigaScience</w:t>
      </w:r>
      <w:proofErr w:type="spellEnd"/>
      <w:r w:rsidRPr="00ED7E61">
        <w:t xml:space="preserve">. 2021 Dec;10(12). </w:t>
      </w:r>
    </w:p>
    <w:p w14:paraId="2CA58A26" w14:textId="77777777" w:rsidR="0081052F" w:rsidRPr="00ED7E61" w:rsidRDefault="0081052F" w:rsidP="00B3383B">
      <w:pPr>
        <w:pStyle w:val="CBDNormalNumber"/>
        <w:ind w:left="567"/>
      </w:pPr>
      <w:r w:rsidRPr="00ED7E61">
        <w:t xml:space="preserve">Sebo P, de Lucia S, </w:t>
      </w:r>
      <w:proofErr w:type="spellStart"/>
      <w:r w:rsidRPr="00ED7E61">
        <w:t>Vernaz</w:t>
      </w:r>
      <w:proofErr w:type="spellEnd"/>
      <w:r w:rsidRPr="00ED7E61">
        <w:t xml:space="preserve"> N. Accuracy of PubMed-based author lists of publications and use of author identifiers to address author name ambiguity: a cross-sectional study. </w:t>
      </w:r>
      <w:proofErr w:type="spellStart"/>
      <w:r w:rsidRPr="00ED7E61">
        <w:t>Scientometrics</w:t>
      </w:r>
      <w:proofErr w:type="spellEnd"/>
      <w:r w:rsidRPr="00ED7E61">
        <w:t xml:space="preserve">. 2021 Mar;126(5):4121–35. </w:t>
      </w:r>
    </w:p>
    <w:p w14:paraId="65B18D6C" w14:textId="77777777" w:rsidR="0081052F" w:rsidRPr="00ED7E61" w:rsidRDefault="0081052F" w:rsidP="00B3383B">
      <w:pPr>
        <w:pStyle w:val="CBDNormalNumber"/>
        <w:ind w:left="567"/>
      </w:pPr>
      <w:proofErr w:type="spellStart"/>
      <w:r w:rsidRPr="00ED7E61">
        <w:t>Rosonovski</w:t>
      </w:r>
      <w:proofErr w:type="spellEnd"/>
      <w:r w:rsidRPr="00ED7E61">
        <w:t xml:space="preserve"> S, Levchenko M, Bhatnagar R, Chandrasekaran U, Faulk L, Hassan I, et al. Europe PMC in 2023. Nucleic Acids Research. 2023 Nov;52(D1</w:t>
      </w:r>
      <w:proofErr w:type="gramStart"/>
      <w:r w:rsidRPr="00ED7E61">
        <w:t>):D</w:t>
      </w:r>
      <w:proofErr w:type="gramEnd"/>
      <w:r w:rsidRPr="00ED7E61">
        <w:t xml:space="preserve">1668–76. </w:t>
      </w:r>
    </w:p>
    <w:p w14:paraId="678B5C39" w14:textId="77777777" w:rsidR="0081052F" w:rsidRPr="00ED7E61" w:rsidRDefault="0081052F" w:rsidP="00B3383B">
      <w:pPr>
        <w:pStyle w:val="CBDNormalNumber"/>
        <w:ind w:left="567"/>
      </w:pPr>
      <w:r w:rsidRPr="00ED7E61">
        <w:t>Marden E, Abbott RJ, Austerlitz F, Ortiz</w:t>
      </w:r>
      <w:r w:rsidRPr="00ED7E61">
        <w:rPr>
          <w:rFonts w:hint="eastAsia"/>
        </w:rPr>
        <w:t>‐</w:t>
      </w:r>
      <w:r w:rsidRPr="00ED7E61">
        <w:t xml:space="preserve">Barrientos D, Baucom RS, </w:t>
      </w:r>
      <w:proofErr w:type="spellStart"/>
      <w:r w:rsidRPr="00ED7E61">
        <w:t>Bongaerts</w:t>
      </w:r>
      <w:proofErr w:type="spellEnd"/>
      <w:r w:rsidRPr="00ED7E61">
        <w:t xml:space="preserve"> P, et al. Sharing and reporting benefits from biodiversity research. Molecular Ecology. 2020 Nov;30(5):1103</w:t>
      </w:r>
      <w:r w:rsidRPr="00ED7E61">
        <w:rPr>
          <w:rFonts w:hint="eastAsia"/>
        </w:rPr>
        <w:t>–</w:t>
      </w:r>
      <w:r w:rsidRPr="00ED7E61">
        <w:t xml:space="preserve">7. </w:t>
      </w:r>
    </w:p>
    <w:p w14:paraId="685DD770" w14:textId="77777777" w:rsidR="0081052F" w:rsidRPr="00ED7E61" w:rsidRDefault="0081052F" w:rsidP="00B3383B">
      <w:pPr>
        <w:pStyle w:val="CBDNormalNumber"/>
        <w:ind w:left="567"/>
      </w:pPr>
      <w:r w:rsidRPr="00ED7E61">
        <w:t>Food and agriculture organization of the United Nations. Introduction to the international treaty on plant genetic resources for food and agriculture [Internet]. 2011. Available from: http://www.itpgrfa.net/International/sites/default/files/edm1_full_en.pdf</w:t>
      </w:r>
    </w:p>
    <w:p w14:paraId="655613CF" w14:textId="77777777" w:rsidR="005F57E5" w:rsidRDefault="005F57E5" w:rsidP="00812871">
      <w:pPr>
        <w:ind w:left="567"/>
      </w:pPr>
      <w:r>
        <w:lastRenderedPageBreak/>
        <w:t xml:space="preserve">International Treaty on Plant Genetic Resources for Food and Agriculture. Report of the Standing Committee on the Funding Strategy and Resource Mobilization to the Eleventh Session of the Governing Body [Internet]. Available from: </w:t>
      </w:r>
    </w:p>
    <w:p w14:paraId="3242E117" w14:textId="4496CF2F" w:rsidR="005F57E5" w:rsidRDefault="005F57E5" w:rsidP="00812871">
      <w:pPr>
        <w:ind w:left="567" w:firstLine="60"/>
      </w:pPr>
      <w:r>
        <w:t>h</w:t>
      </w:r>
      <w:hyperlink r:id="rId175" w:history="1">
        <w:r w:rsidRPr="00874FB2">
          <w:rPr>
            <w:rStyle w:val="Hyperlink"/>
          </w:rPr>
          <w:t>ttps://openknowledge.fao.org/server/api/core/bitstreams/6ed9e2e1-47df-4e1b-af2d-8</w:t>
        </w:r>
      </w:hyperlink>
      <w:r>
        <w:t>623e470cf4d/content</w:t>
      </w:r>
    </w:p>
    <w:p w14:paraId="48FA4320" w14:textId="77777777" w:rsidR="005F57E5" w:rsidRDefault="005F57E5" w:rsidP="005F57E5">
      <w:pPr>
        <w:ind w:firstLine="567"/>
      </w:pPr>
    </w:p>
    <w:p w14:paraId="4AC1F09E" w14:textId="5C9E88FD" w:rsidR="005F57E5" w:rsidRDefault="005F57E5" w:rsidP="00812871">
      <w:pPr>
        <w:ind w:left="567"/>
      </w:pPr>
      <w:r>
        <w:t xml:space="preserve">International Treaty on Plant Genetic Resources for Food and Agriculture. Resolution 3/2025 of the Eleventh Session of the Governing Body. [Internet]. Available from: https://openknowledge.fao.org/server/api/core/bitstreams/cfa340a0-e08a-4628-9378-b235b5b4613e/content </w:t>
      </w:r>
    </w:p>
    <w:p w14:paraId="5FDF20F3" w14:textId="3B442B80" w:rsidR="005F57E5" w:rsidRDefault="005F57E5" w:rsidP="005F57E5">
      <w:pPr>
        <w:pStyle w:val="CBDNormalNumber"/>
        <w:ind w:left="567"/>
      </w:pPr>
      <w:r>
        <w:t xml:space="preserve">International Treaty on Plant Genetic Resources for Food and Agriculture. Resolution 12/2025 of the Eleventh Session of the Governing Body. [Internet]. Available from: </w:t>
      </w:r>
      <w:hyperlink r:id="rId176" w:history="1">
        <w:r w:rsidRPr="00874FB2">
          <w:rPr>
            <w:rStyle w:val="Hyperlink"/>
          </w:rPr>
          <w:t>https://openknowledge.fao.org/server/api/core/bitstreams/f7840eff-4b54-4d47-b771-1ca4803e2125/content</w:t>
        </w:r>
      </w:hyperlink>
    </w:p>
    <w:p w14:paraId="6D242AD0" w14:textId="4C4DCDDB" w:rsidR="0081052F" w:rsidRPr="00ED7E61" w:rsidRDefault="0081052F" w:rsidP="005F57E5">
      <w:pPr>
        <w:pStyle w:val="CBDNormalNumber"/>
        <w:ind w:left="567"/>
      </w:pPr>
      <w:r w:rsidRPr="00ED7E61">
        <w:t>Galluzzi G, López Noriega I, Halewood M. Non-monetary benefit sharing mechanisms within the projects funded by the Benefit Sharing Fund. International Treaty on Plant Genetic Resources for Food and Agriculture [Internet]. 2014; Available from: https://www.fao.org/publications/card/en/c/84d6161c-0dba-41ab-99eb-3fbb5ba5999f</w:t>
      </w:r>
    </w:p>
    <w:p w14:paraId="1F8B5A49" w14:textId="77777777" w:rsidR="0081052F" w:rsidRPr="00ED7E61" w:rsidRDefault="0081052F" w:rsidP="00B3383B">
      <w:pPr>
        <w:pStyle w:val="CBDNormalNumber"/>
        <w:ind w:left="567"/>
      </w:pPr>
      <w:r w:rsidRPr="00ED7E61">
        <w:t xml:space="preserve">Scholz AH, Freitag J, Lyal CHC, Sara R, Cepeda ML, Cancio I, et al. Multilateral benefit-sharing from digital sequence information will support both science and biodiversity conservation. Nat Commun. 2022 Feb 23;13(1):1086. </w:t>
      </w:r>
    </w:p>
    <w:p w14:paraId="40136B93" w14:textId="77777777" w:rsidR="0081052F" w:rsidRPr="00ED7E61" w:rsidRDefault="0081052F" w:rsidP="00B3383B">
      <w:pPr>
        <w:pStyle w:val="CBDNormalNumber"/>
        <w:ind w:left="567"/>
      </w:pPr>
      <w:r w:rsidRPr="00ED7E61">
        <w:t>United Nations. Agreement under the United Nations Convention on the Law of the Sea on the Conservation and Sustainable Use of Marine Biological Diversity of Areas beyond National Jurisdiction [Internet]. 2023. Available from: https://wedocs.unep.org/20.500.11822/8340</w:t>
      </w:r>
    </w:p>
    <w:p w14:paraId="5C32C30E" w14:textId="77777777" w:rsidR="002946B5" w:rsidRPr="00ED7E61" w:rsidRDefault="002946B5" w:rsidP="00B10F0C">
      <w:pPr>
        <w:pStyle w:val="CBDNormalNumber"/>
        <w:numPr>
          <w:ilvl w:val="0"/>
          <w:numId w:val="63"/>
        </w:numPr>
        <w:ind w:left="567" w:firstLine="0"/>
        <w:rPr>
          <w:rStyle w:val="normaltextrun"/>
          <w:rFonts w:asciiTheme="majorBidi" w:eastAsiaTheme="majorEastAsia" w:hAnsiTheme="majorBidi" w:cstheme="majorBidi"/>
          <w:b/>
          <w:bCs/>
        </w:rPr>
      </w:pPr>
      <w:r w:rsidRPr="00ED7E61">
        <w:br w:type="page"/>
      </w:r>
    </w:p>
    <w:p w14:paraId="07C71B23" w14:textId="779942F4" w:rsidR="0081052F" w:rsidRPr="00ED7E61" w:rsidRDefault="0081052F" w:rsidP="00965B3D">
      <w:pPr>
        <w:pStyle w:val="Heading3"/>
      </w:pPr>
      <w:bookmarkStart w:id="22" w:name="_Toc233278560"/>
      <w:r w:rsidRPr="00ED7E61">
        <w:rPr>
          <w:rStyle w:val="eop"/>
        </w:rPr>
        <w:lastRenderedPageBreak/>
        <w:t xml:space="preserve">C.2 </w:t>
      </w:r>
      <w:proofErr w:type="gramStart"/>
      <w:r w:rsidRPr="00ED7E61">
        <w:rPr>
          <w:rStyle w:val="eop"/>
        </w:rPr>
        <w:t>Non-monetary</w:t>
      </w:r>
      <w:proofErr w:type="gramEnd"/>
      <w:r w:rsidRPr="00ED7E61">
        <w:rPr>
          <w:rStyle w:val="eop"/>
        </w:rPr>
        <w:t xml:space="preserve"> benefits arising from applicable internationally agreed ABS instruments</w:t>
      </w:r>
      <w:bookmarkEnd w:id="22"/>
      <w:r w:rsidRPr="00ED7E61">
        <w:rPr>
          <w:rStyle w:val="eop"/>
        </w:rPr>
        <w:t xml:space="preserve">  </w:t>
      </w:r>
    </w:p>
    <w:p w14:paraId="7C68CAA1" w14:textId="77777777" w:rsidR="0081052F" w:rsidRPr="00ED7E61" w:rsidRDefault="0081052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B32762D"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39EC8792"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lang w:val="en-US"/>
        </w:rPr>
        <w:t xml:space="preserve">C.2 </w:t>
      </w:r>
      <w:proofErr w:type="gramStart"/>
      <w:r w:rsidRPr="00ED7E61">
        <w:rPr>
          <w:rStyle w:val="normaltextrun"/>
          <w:rFonts w:asciiTheme="majorBidi" w:eastAsiaTheme="majorEastAsia" w:hAnsiTheme="majorBidi" w:cstheme="majorBidi"/>
          <w:color w:val="242424"/>
          <w:sz w:val="22"/>
          <w:szCs w:val="22"/>
          <w:lang w:val="en-US"/>
        </w:rPr>
        <w:t>Non-monetary</w:t>
      </w:r>
      <w:proofErr w:type="gramEnd"/>
      <w:r w:rsidRPr="00ED7E61">
        <w:rPr>
          <w:rStyle w:val="normaltextrun"/>
          <w:rFonts w:asciiTheme="majorBidi" w:eastAsiaTheme="majorEastAsia" w:hAnsiTheme="majorBidi" w:cstheme="majorBidi"/>
          <w:color w:val="242424"/>
          <w:sz w:val="22"/>
          <w:szCs w:val="22"/>
          <w:lang w:val="en-US"/>
        </w:rPr>
        <w:t xml:space="preserve"> benefits arising from applicable internationally agreed ABS instruments. </w:t>
      </w:r>
      <w:r w:rsidRPr="00ED7E61">
        <w:rPr>
          <w:rStyle w:val="eop"/>
          <w:rFonts w:asciiTheme="majorBidi" w:eastAsiaTheme="majorEastAsia" w:hAnsiTheme="majorBidi" w:cstheme="majorBidi"/>
          <w:color w:val="242424"/>
          <w:sz w:val="22"/>
          <w:szCs w:val="22"/>
        </w:rPr>
        <w:t> </w:t>
      </w:r>
    </w:p>
    <w:p w14:paraId="4219C31B" w14:textId="77777777"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715EBF31" w14:textId="5BB08203" w:rsidR="0081052F" w:rsidRPr="00ED7E61" w:rsidRDefault="00D40AE3"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February</w:t>
      </w:r>
      <w:r w:rsidRPr="00ED7E61">
        <w:rPr>
          <w:rStyle w:val="normaltextrun"/>
          <w:rFonts w:asciiTheme="majorBidi" w:eastAsiaTheme="majorEastAsia" w:hAnsiTheme="majorBidi" w:cstheme="majorBidi"/>
          <w:sz w:val="22"/>
          <w:szCs w:val="22"/>
        </w:rPr>
        <w:t xml:space="preserve"> </w:t>
      </w:r>
      <w:r w:rsidR="0081052F" w:rsidRPr="00ED7E61">
        <w:rPr>
          <w:rStyle w:val="normaltextrun"/>
          <w:rFonts w:asciiTheme="majorBidi" w:eastAsiaTheme="majorEastAsia" w:hAnsiTheme="majorBidi" w:cstheme="majorBidi"/>
          <w:sz w:val="22"/>
          <w:szCs w:val="22"/>
        </w:rPr>
        <w:t>202</w:t>
      </w:r>
      <w:r>
        <w:rPr>
          <w:rStyle w:val="normaltextrun"/>
          <w:rFonts w:asciiTheme="majorBidi" w:eastAsiaTheme="majorEastAsia" w:hAnsiTheme="majorBidi" w:cstheme="majorBidi"/>
          <w:sz w:val="22"/>
          <w:szCs w:val="22"/>
        </w:rPr>
        <w:t>6</w:t>
      </w:r>
      <w:r w:rsidR="0081052F" w:rsidRPr="00ED7E61">
        <w:rPr>
          <w:rStyle w:val="eop"/>
          <w:rFonts w:asciiTheme="majorBidi" w:eastAsiaTheme="majorEastAsia" w:hAnsiTheme="majorBidi" w:cstheme="majorBidi"/>
          <w:sz w:val="22"/>
          <w:szCs w:val="22"/>
        </w:rPr>
        <w:t> </w:t>
      </w:r>
    </w:p>
    <w:p w14:paraId="5AD9B994" w14:textId="77777777" w:rsidR="0081052F" w:rsidRPr="00ED7E61" w:rsidRDefault="0081052F" w:rsidP="00B3383B">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6DB1497D" w14:textId="77777777"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455D41BD" w14:textId="6602F2D3" w:rsidR="0081052F" w:rsidRPr="00AE4B3F" w:rsidRDefault="0081052F" w:rsidP="00395866">
      <w:pPr>
        <w:pStyle w:val="paragraph"/>
        <w:spacing w:before="0" w:beforeAutospacing="0" w:after="0" w:afterAutospacing="0"/>
        <w:textAlignment w:val="baseline"/>
        <w:rPr>
          <w:rFonts w:asciiTheme="majorBidi" w:hAnsiTheme="majorBidi" w:cstheme="majorBidi"/>
          <w:sz w:val="22"/>
          <w:szCs w:val="22"/>
        </w:rPr>
      </w:pPr>
      <w:r w:rsidRPr="00AE4B3F">
        <w:rPr>
          <w:rStyle w:val="normaltextrun"/>
          <w:rFonts w:asciiTheme="majorBidi" w:eastAsiaTheme="majorEastAsia" w:hAnsiTheme="majorBidi" w:cstheme="majorBidi"/>
          <w:color w:val="242424"/>
          <w:sz w:val="22"/>
          <w:szCs w:val="22"/>
          <w:lang w:val="en-US"/>
        </w:rPr>
        <w:t xml:space="preserve">Goal C. </w:t>
      </w:r>
      <w:r w:rsidRPr="00AE4B3F">
        <w:rPr>
          <w:rFonts w:asciiTheme="majorBidi" w:hAnsiTheme="majorBidi" w:cstheme="majorBidi"/>
          <w:color w:val="000000" w:themeColor="text1"/>
          <w:sz w:val="22"/>
          <w:szCs w:val="22"/>
          <w:lang w:val="en-US" w:eastAsia="de-DE"/>
        </w:rPr>
        <w:t>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w:t>
      </w:r>
    </w:p>
    <w:p w14:paraId="25AFB6EB" w14:textId="77777777"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6109253E" w14:textId="1A2A8376"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AE4B3F">
        <w:rPr>
          <w:rStyle w:val="normaltextrun"/>
          <w:rFonts w:asciiTheme="majorBidi" w:eastAsiaTheme="majorEastAsia" w:hAnsiTheme="majorBidi" w:cstheme="majorBidi"/>
          <w:color w:val="242424"/>
          <w:sz w:val="22"/>
          <w:szCs w:val="22"/>
          <w:lang w:val="en-US"/>
        </w:rPr>
        <w:t xml:space="preserve">Target 13: </w:t>
      </w:r>
      <w:r w:rsidRPr="00AE4B3F">
        <w:rPr>
          <w:rFonts w:asciiTheme="majorBidi" w:hAnsiTheme="majorBidi" w:cstheme="majorBidi"/>
          <w:color w:val="000000" w:themeColor="text1"/>
          <w:sz w:val="22"/>
          <w:szCs w:val="22"/>
          <w:lang w:val="en-US"/>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r w:rsidRPr="00ED7E61">
        <w:rPr>
          <w:rFonts w:asciiTheme="majorBidi" w:hAnsiTheme="majorBidi" w:cstheme="majorBidi"/>
          <w:color w:val="000000" w:themeColor="text1"/>
          <w:sz w:val="22"/>
          <w:szCs w:val="22"/>
          <w:lang w:val="en-US"/>
        </w:rPr>
        <w:t>.</w:t>
      </w:r>
      <w:r w:rsidRPr="00ED7E61">
        <w:rPr>
          <w:rStyle w:val="normaltextrun"/>
          <w:rFonts w:asciiTheme="majorBidi" w:eastAsiaTheme="majorEastAsia" w:hAnsiTheme="majorBidi" w:cstheme="majorBidi"/>
          <w:color w:val="242424"/>
          <w:sz w:val="22"/>
          <w:szCs w:val="22"/>
          <w:lang w:val="en-US"/>
        </w:rPr>
        <w:t> </w:t>
      </w:r>
      <w:r w:rsidRPr="00ED7E61">
        <w:rPr>
          <w:rStyle w:val="eop"/>
          <w:rFonts w:asciiTheme="majorBidi" w:eastAsiaTheme="majorEastAsia" w:hAnsiTheme="majorBidi" w:cstheme="majorBidi"/>
          <w:color w:val="242424"/>
          <w:sz w:val="22"/>
          <w:szCs w:val="22"/>
        </w:rPr>
        <w:t> </w:t>
      </w:r>
    </w:p>
    <w:p w14:paraId="36E6AD7E"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7762BC06" w14:textId="77777777" w:rsidR="00AE4B3F" w:rsidRDefault="00CB0D9F" w:rsidP="00AE4B3F">
      <w:pPr>
        <w:pStyle w:val="CBDNormalNumber"/>
        <w:numPr>
          <w:ilvl w:val="0"/>
          <w:numId w:val="64"/>
        </w:numPr>
        <w:tabs>
          <w:tab w:val="clear" w:pos="1701"/>
        </w:tabs>
        <w:ind w:left="567" w:firstLine="0"/>
      </w:pPr>
      <w:r w:rsidRPr="00ED7E61">
        <w:t xml:space="preserve">The importance of non-monetary benefits from </w:t>
      </w:r>
      <w:r w:rsidR="00DE150C">
        <w:t>access and benefit-sharing (ABS)</w:t>
      </w:r>
      <w:r w:rsidR="00DE150C" w:rsidRPr="00ED7E61">
        <w:t xml:space="preserve"> </w:t>
      </w:r>
      <w:r w:rsidRPr="00ED7E61">
        <w:t>processes and their contribution to the conservation and sustainable use of biodiversity and to sustainable development is increasingly acknowledged and documented. This indicator aim</w:t>
      </w:r>
      <w:r w:rsidR="00326D50">
        <w:t>s</w:t>
      </w:r>
      <w:r w:rsidRPr="00ED7E61">
        <w:t xml:space="preserve"> to measure the average rate of change in the types of non-monetary benefits shared, and to track trends in selected types of non-monetary benefits received by countries from the implementation of applicable international access and benefit-sharing instruments during the reporting period. This indicator serves as a proxy for many different types of non-monetary benefits. It aims to measure trends in a key subset of non-monetary benefits arising from applicable international access and benefit-sharing instruments, namely the CBD, the Nagoya Protocol and the </w:t>
      </w:r>
      <w:r w:rsidR="006B30FE">
        <w:rPr>
          <w:rStyle w:val="normaltextrun"/>
          <w:rFonts w:eastAsiaTheme="majorEastAsia"/>
        </w:rPr>
        <w:t>I</w:t>
      </w:r>
      <w:r w:rsidR="006B30FE" w:rsidRPr="003D4EC6">
        <w:rPr>
          <w:rStyle w:val="normaltextrun"/>
          <w:rFonts w:eastAsiaTheme="majorEastAsia"/>
        </w:rPr>
        <w:t>nternational Treaty on Plant Genetic Resources for Food and Agriculture</w:t>
      </w:r>
      <w:r w:rsidRPr="00ED7E61">
        <w:t>.</w:t>
      </w:r>
    </w:p>
    <w:p w14:paraId="52512F37" w14:textId="20D06FEE" w:rsidR="00FD7AD6" w:rsidRPr="00FD7AD6" w:rsidRDefault="00FD7AD6" w:rsidP="00AE4B3F">
      <w:pPr>
        <w:pStyle w:val="CBDNormalNumber"/>
        <w:numPr>
          <w:ilvl w:val="0"/>
          <w:numId w:val="64"/>
        </w:numPr>
        <w:tabs>
          <w:tab w:val="clear" w:pos="1701"/>
        </w:tabs>
        <w:ind w:left="567" w:firstLine="0"/>
      </w:pPr>
      <w:r w:rsidRPr="00AE4B3F">
        <w:t xml:space="preserve">Information on this indicator could also help strengthen national ABS systems. A better understanding of benefits received would help countries to measure the effectiveness of their ABS system and mobilize political will and resources for implementing Target 13 and achieve Goal C of the Kunming-Montreal Global Biodiversity Framework. </w:t>
      </w:r>
    </w:p>
    <w:p w14:paraId="00A8870A" w14:textId="09FEECF8" w:rsidR="009A563F" w:rsidRPr="00ED7E61" w:rsidRDefault="00CB0D9F" w:rsidP="00B10F0C">
      <w:pPr>
        <w:pStyle w:val="CBDNormalNumber"/>
        <w:numPr>
          <w:ilvl w:val="0"/>
          <w:numId w:val="64"/>
        </w:numPr>
        <w:ind w:left="567" w:firstLine="0"/>
        <w:rPr>
          <w:rFonts w:asciiTheme="majorBidi" w:hAnsiTheme="majorBidi" w:cstheme="majorBidi"/>
          <w:color w:val="000000" w:themeColor="text1"/>
          <w:lang w:val="en-US" w:eastAsia="de-DE"/>
        </w:rPr>
      </w:pPr>
      <w:r w:rsidRPr="00ED7E61">
        <w:rPr>
          <w:rFonts w:asciiTheme="majorBidi" w:hAnsiTheme="majorBidi" w:cstheme="majorBidi"/>
          <w:color w:val="000000" w:themeColor="text1"/>
          <w:lang w:val="en-US" w:eastAsia="de-DE"/>
        </w:rPr>
        <w:t xml:space="preserve">The </w:t>
      </w:r>
      <w:r w:rsidR="00326D50">
        <w:rPr>
          <w:rFonts w:asciiTheme="majorBidi" w:hAnsiTheme="majorBidi" w:cstheme="majorBidi"/>
          <w:color w:val="000000" w:themeColor="text1"/>
          <w:lang w:val="en-US" w:eastAsia="de-DE"/>
        </w:rPr>
        <w:t>indicator</w:t>
      </w:r>
      <w:r w:rsidR="00326D50" w:rsidRPr="00ED7E61">
        <w:rPr>
          <w:rFonts w:asciiTheme="majorBidi" w:hAnsiTheme="majorBidi" w:cstheme="majorBidi"/>
          <w:color w:val="000000" w:themeColor="text1"/>
          <w:lang w:val="en-US" w:eastAsia="de-DE"/>
        </w:rPr>
        <w:t xml:space="preserve"> </w:t>
      </w:r>
      <w:r w:rsidRPr="00ED7E61">
        <w:rPr>
          <w:rFonts w:asciiTheme="majorBidi" w:hAnsiTheme="majorBidi" w:cstheme="majorBidi"/>
          <w:color w:val="000000" w:themeColor="text1"/>
          <w:lang w:val="en-US" w:eastAsia="de-DE"/>
        </w:rPr>
        <w:t xml:space="preserve">also considers the possibility of accommodating new multilateral ABS instruments, which will contribute to conservation and sustainable use of biodiversity, such as the United Nations Convention on the Law of the Sea on the Conservation and Sustainable Use of Marine Biological Diversity of Areas Beyond National Jurisdiction, </w:t>
      </w:r>
      <w:r w:rsidR="00326D50">
        <w:rPr>
          <w:rFonts w:asciiTheme="majorBidi" w:hAnsiTheme="majorBidi" w:cstheme="majorBidi"/>
          <w:color w:val="000000" w:themeColor="text1"/>
          <w:lang w:val="en-US" w:eastAsia="de-DE"/>
        </w:rPr>
        <w:t xml:space="preserve">the CBD Multilateral Mechanism for </w:t>
      </w:r>
      <w:r w:rsidRPr="00ED7E61">
        <w:rPr>
          <w:rFonts w:asciiTheme="majorBidi" w:hAnsiTheme="majorBidi" w:cstheme="majorBidi"/>
          <w:color w:val="000000" w:themeColor="text1"/>
          <w:lang w:val="en-US" w:eastAsia="de-DE"/>
        </w:rPr>
        <w:t xml:space="preserve">benefit-sharing from </w:t>
      </w:r>
      <w:r w:rsidR="007201AC">
        <w:rPr>
          <w:rFonts w:asciiTheme="majorBidi" w:hAnsiTheme="majorBidi" w:cstheme="majorBidi"/>
          <w:color w:val="000000" w:themeColor="text1"/>
          <w:lang w:val="en-US" w:eastAsia="de-DE"/>
        </w:rPr>
        <w:t>the us</w:t>
      </w:r>
      <w:r w:rsidR="00FD7AD6">
        <w:rPr>
          <w:rFonts w:asciiTheme="majorBidi" w:hAnsiTheme="majorBidi" w:cstheme="majorBidi"/>
          <w:color w:val="000000" w:themeColor="text1"/>
          <w:lang w:val="en-US" w:eastAsia="de-DE"/>
        </w:rPr>
        <w:t xml:space="preserve">e of </w:t>
      </w:r>
      <w:r w:rsidRPr="00ED7E61">
        <w:rPr>
          <w:rFonts w:asciiTheme="majorBidi" w:hAnsiTheme="majorBidi" w:cstheme="majorBidi"/>
          <w:color w:val="000000" w:themeColor="text1"/>
          <w:lang w:val="en-US" w:eastAsia="de-DE"/>
        </w:rPr>
        <w:t>digital sequence information (DSI) on genetic resources (GR) and others</w:t>
      </w:r>
    </w:p>
    <w:p w14:paraId="2BEF7BD6" w14:textId="459D0061" w:rsidR="00CB0D9F" w:rsidRPr="00ED7E61" w:rsidRDefault="00CB0D9F" w:rsidP="00B10F0C">
      <w:pPr>
        <w:pStyle w:val="CBDNormalNumber"/>
        <w:numPr>
          <w:ilvl w:val="0"/>
          <w:numId w:val="64"/>
        </w:numPr>
        <w:ind w:left="567" w:firstLine="0"/>
        <w:rPr>
          <w:rFonts w:asciiTheme="majorBidi" w:hAnsiTheme="majorBidi" w:cstheme="majorBidi"/>
          <w:color w:val="000000" w:themeColor="text1"/>
          <w:lang w:val="en-US" w:eastAsia="de-DE"/>
        </w:rPr>
      </w:pPr>
      <w:r w:rsidRPr="00ED7E61">
        <w:rPr>
          <w:rFonts w:asciiTheme="majorBidi" w:hAnsiTheme="majorBidi" w:cstheme="majorBidi"/>
          <w:color w:val="000000" w:themeColor="text1"/>
          <w:lang w:val="en-US" w:eastAsia="de-DE"/>
        </w:rPr>
        <w:t>Information on non-monetary benefits from the different instruments could be presented in an aggregated manner with the possibility to disaggregate it by instrument.</w:t>
      </w:r>
    </w:p>
    <w:p w14:paraId="2B02AFB5" w14:textId="77777777" w:rsidR="0081052F" w:rsidRPr="00ED7E61" w:rsidRDefault="0081052F" w:rsidP="00B3383B">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211B8F71" w14:textId="77777777" w:rsidR="0081052F" w:rsidRPr="00ED7E61" w:rsidRDefault="0081052F" w:rsidP="00B3383B">
      <w:pPr>
        <w:pStyle w:val="paragraph"/>
        <w:pBdr>
          <w:bottom w:val="single" w:sz="4" w:space="3"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lastRenderedPageBreak/>
        <w:t>5a. Definition and concepts: </w:t>
      </w:r>
      <w:r w:rsidRPr="00ED7E61">
        <w:rPr>
          <w:rStyle w:val="eop"/>
          <w:rFonts w:asciiTheme="majorBidi" w:eastAsiaTheme="majorEastAsia" w:hAnsiTheme="majorBidi" w:cstheme="majorBidi"/>
          <w:sz w:val="22"/>
          <w:szCs w:val="22"/>
        </w:rPr>
        <w:t> </w:t>
      </w:r>
    </w:p>
    <w:p w14:paraId="3EA80FD8" w14:textId="77777777" w:rsidR="00AE4B3F" w:rsidRDefault="00CB0D9F" w:rsidP="00256BF0">
      <w:pPr>
        <w:pStyle w:val="CBDNormalNumber"/>
        <w:numPr>
          <w:ilvl w:val="0"/>
          <w:numId w:val="64"/>
        </w:numPr>
        <w:pBdr>
          <w:bottom w:val="single" w:sz="4" w:space="1" w:color="000000"/>
        </w:pBdr>
        <w:spacing w:before="0" w:after="0"/>
        <w:ind w:left="567" w:firstLine="0"/>
        <w:textAlignment w:val="baseline"/>
        <w:rPr>
          <w:color w:val="000000" w:themeColor="text1"/>
          <w:lang w:val="en-US" w:eastAsia="de-DE"/>
        </w:rPr>
      </w:pPr>
      <w:r w:rsidRPr="00AE4B3F">
        <w:rPr>
          <w:color w:val="000000" w:themeColor="text1"/>
          <w:lang w:val="en-US" w:eastAsia="de-DE"/>
        </w:rPr>
        <w:t xml:space="preserve">This indicator measures the average rate of change in the types of non-monetary benefits shared and aims to track trends in a group of selected types of non-monetary benefits which serve as proxies for the different existing types of non-monetary benefits. This indicator could compile, inter alia, non-monetary benefits received by countries bilaterally from the implementation of ABS under the Convention and its Nagoya Protocol as well as multilateral ABS instruments during the reporting period. To avoid double counting, only countries that </w:t>
      </w:r>
      <w:proofErr w:type="spellStart"/>
      <w:proofErr w:type="gramStart"/>
      <w:r w:rsidRPr="00AE4B3F">
        <w:rPr>
          <w:color w:val="000000" w:themeColor="text1"/>
          <w:lang w:val="en-US" w:eastAsia="de-DE"/>
        </w:rPr>
        <w:t>re</w:t>
      </w:r>
      <w:r w:rsidR="00FD7AD6" w:rsidRPr="00AE4B3F">
        <w:rPr>
          <w:color w:val="000000" w:themeColor="text1"/>
          <w:lang w:val="en-US" w:eastAsia="de-DE"/>
        </w:rPr>
        <w:t>receive</w:t>
      </w:r>
      <w:proofErr w:type="spellEnd"/>
      <w:r w:rsidR="00FD7AD6" w:rsidRPr="00AE4B3F">
        <w:rPr>
          <w:color w:val="000000" w:themeColor="text1"/>
          <w:lang w:val="en-US" w:eastAsia="de-DE"/>
        </w:rPr>
        <w:t xml:space="preserve"> </w:t>
      </w:r>
      <w:r w:rsidRPr="00AE4B3F">
        <w:rPr>
          <w:color w:val="000000" w:themeColor="text1"/>
          <w:lang w:val="en-US" w:eastAsia="de-DE"/>
        </w:rPr>
        <w:t xml:space="preserve"> non</w:t>
      </w:r>
      <w:proofErr w:type="gramEnd"/>
      <w:r w:rsidRPr="00AE4B3F">
        <w:rPr>
          <w:color w:val="000000" w:themeColor="text1"/>
          <w:lang w:val="en-US" w:eastAsia="de-DE"/>
        </w:rPr>
        <w:t xml:space="preserve">-monetary </w:t>
      </w:r>
      <w:proofErr w:type="gramStart"/>
      <w:r w:rsidRPr="00AE4B3F">
        <w:rPr>
          <w:color w:val="000000" w:themeColor="text1"/>
          <w:lang w:val="en-US" w:eastAsia="de-DE"/>
        </w:rPr>
        <w:t xml:space="preserve">benefits </w:t>
      </w:r>
      <w:r w:rsidR="008D5BA8" w:rsidRPr="00AE4B3F">
        <w:rPr>
          <w:color w:val="000000" w:themeColor="text1"/>
          <w:lang w:val="en-US" w:eastAsia="de-DE"/>
        </w:rPr>
        <w:t xml:space="preserve"> </w:t>
      </w:r>
      <w:r w:rsidRPr="00AE4B3F">
        <w:rPr>
          <w:color w:val="000000" w:themeColor="text1"/>
          <w:lang w:val="en-US" w:eastAsia="de-DE"/>
        </w:rPr>
        <w:t>bilaterally</w:t>
      </w:r>
      <w:proofErr w:type="gramEnd"/>
      <w:r w:rsidR="008D5BA8" w:rsidRPr="00AE4B3F">
        <w:rPr>
          <w:color w:val="000000" w:themeColor="text1"/>
          <w:lang w:val="en-US" w:eastAsia="de-DE"/>
        </w:rPr>
        <w:t xml:space="preserve"> should report on them. Countries that share such benefits should not report on them. </w:t>
      </w:r>
    </w:p>
    <w:p w14:paraId="272A63E2" w14:textId="77777777" w:rsidR="00AE4B3F" w:rsidRDefault="00AE4B3F" w:rsidP="00AE4B3F">
      <w:pPr>
        <w:pStyle w:val="CBDNormalNumber"/>
        <w:pBdr>
          <w:bottom w:val="single" w:sz="4" w:space="1" w:color="000000"/>
        </w:pBdr>
        <w:spacing w:before="0" w:after="0"/>
        <w:ind w:left="567"/>
        <w:textAlignment w:val="baseline"/>
        <w:rPr>
          <w:color w:val="000000" w:themeColor="text1"/>
          <w:lang w:val="en-US" w:eastAsia="de-DE"/>
        </w:rPr>
      </w:pPr>
    </w:p>
    <w:p w14:paraId="671DE010" w14:textId="5074AD55" w:rsidR="0081052F" w:rsidRPr="00AE4B3F" w:rsidRDefault="0081052F" w:rsidP="00256BF0">
      <w:pPr>
        <w:pStyle w:val="CBDNormalNumber"/>
        <w:numPr>
          <w:ilvl w:val="0"/>
          <w:numId w:val="64"/>
        </w:numPr>
        <w:pBdr>
          <w:bottom w:val="single" w:sz="4" w:space="1" w:color="000000"/>
        </w:pBdr>
        <w:spacing w:before="0" w:after="0"/>
        <w:ind w:left="567" w:firstLine="0"/>
        <w:textAlignment w:val="baseline"/>
        <w:rPr>
          <w:color w:val="000000" w:themeColor="text1"/>
          <w:lang w:val="en-US" w:eastAsia="de-DE"/>
        </w:rPr>
      </w:pPr>
      <w:r w:rsidRPr="00AE4B3F">
        <w:rPr>
          <w:color w:val="000000" w:themeColor="text1"/>
          <w:lang w:val="en-US" w:eastAsia="de-DE"/>
        </w:rPr>
        <w:t xml:space="preserve">Reporting </w:t>
      </w:r>
      <w:r w:rsidR="008D5BA8" w:rsidRPr="00AE4B3F">
        <w:rPr>
          <w:color w:val="000000" w:themeColor="text1"/>
          <w:lang w:val="en-US" w:eastAsia="de-DE"/>
        </w:rPr>
        <w:t>is required for</w:t>
      </w:r>
      <w:r w:rsidRPr="00AE4B3F">
        <w:rPr>
          <w:color w:val="000000" w:themeColor="text1"/>
          <w:lang w:val="en-US" w:eastAsia="de-DE"/>
        </w:rPr>
        <w:t xml:space="preserve"> the following types of non-monetary benefits:</w:t>
      </w:r>
    </w:p>
    <w:p w14:paraId="0029A247" w14:textId="4449B65F"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Number of research and development results arising from ABS instruments (globally aggregated and subsequently pre-populated into national reports)</w:t>
      </w:r>
    </w:p>
    <w:p w14:paraId="584336D0" w14:textId="5AE62344"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Number of joint scientific publications arising from ABS instruments with authors from the provider country, where appropriate (globally aggregated and subsequently pre-populated into national reports)</w:t>
      </w:r>
    </w:p>
    <w:p w14:paraId="259AAC2C" w14:textId="49E3CFDA"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Number of scientific publications relevant to conservation, sustainable use, food security, and public health arising from ABS instruments (globally aggregated and subsequently pre-populated into national reports)</w:t>
      </w:r>
    </w:p>
    <w:p w14:paraId="39CBD758" w14:textId="43A9CA77"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Number of technology transfer events arising from ABS instruments (nationally collected) </w:t>
      </w:r>
    </w:p>
    <w:p w14:paraId="5C11301F" w14:textId="63C92320"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Number of projects contributing to sustainable development arising from ABS instruments (nationally collected) </w:t>
      </w:r>
    </w:p>
    <w:p w14:paraId="1A6FF758" w14:textId="3655720B"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Indicator related to capacity-building and development as part of the non-monetary benefits arising from ABS instruments (TBD)</w:t>
      </w:r>
    </w:p>
    <w:p w14:paraId="5470BBE4" w14:textId="6B4ADE92" w:rsidR="0081052F" w:rsidRPr="00ED7E61" w:rsidRDefault="0081052F" w:rsidP="00B10F0C">
      <w:pPr>
        <w:pStyle w:val="CBDNormalNumber"/>
        <w:numPr>
          <w:ilvl w:val="0"/>
          <w:numId w:val="64"/>
        </w:numPr>
        <w:ind w:left="567" w:firstLine="0"/>
        <w:rPr>
          <w:color w:val="000000" w:themeColor="text1"/>
          <w:lang w:val="en-US" w:eastAsia="de-DE"/>
        </w:rPr>
      </w:pPr>
      <w:r w:rsidRPr="00ED7E61">
        <w:rPr>
          <w:color w:val="000000" w:themeColor="text1"/>
          <w:lang w:val="en-US" w:eastAsia="de-DE"/>
        </w:rPr>
        <w:t>Information on</w:t>
      </w:r>
      <w:r w:rsidR="004E61B7">
        <w:rPr>
          <w:color w:val="000000" w:themeColor="text1"/>
          <w:lang w:val="en-US" w:eastAsia="de-DE"/>
        </w:rPr>
        <w:t xml:space="preserve"> the first</w:t>
      </w:r>
      <w:r w:rsidRPr="00ED7E61">
        <w:rPr>
          <w:color w:val="000000" w:themeColor="text1"/>
          <w:lang w:val="en-US" w:eastAsia="de-DE"/>
        </w:rPr>
        <w:t xml:space="preserve"> three types of non-monetary benefits </w:t>
      </w:r>
      <w:r w:rsidR="004E61B7">
        <w:rPr>
          <w:color w:val="000000" w:themeColor="text1"/>
          <w:lang w:val="en-US" w:eastAsia="de-DE"/>
        </w:rPr>
        <w:t>is</w:t>
      </w:r>
      <w:r w:rsidRPr="00ED7E61">
        <w:rPr>
          <w:color w:val="000000" w:themeColor="text1"/>
          <w:lang w:val="en-US" w:eastAsia="de-DE"/>
        </w:rPr>
        <w:t xml:space="preserve"> collected at the global level following an established methodology (see section 5</w:t>
      </w:r>
      <w:r w:rsidR="00414DDD">
        <w:rPr>
          <w:color w:val="000000" w:themeColor="text1"/>
          <w:lang w:val="en-US" w:eastAsia="de-DE"/>
        </w:rPr>
        <w:t>d</w:t>
      </w:r>
      <w:r w:rsidRPr="00ED7E61">
        <w:rPr>
          <w:color w:val="000000" w:themeColor="text1"/>
          <w:lang w:val="en-US" w:eastAsia="de-DE"/>
        </w:rPr>
        <w:t xml:space="preserve"> below) and made available to countries for their use in the national report. The use of a global methodology and compilation ensures that the national data provided is </w:t>
      </w:r>
      <w:r w:rsidR="00414DDD">
        <w:rPr>
          <w:color w:val="000000" w:themeColor="text1"/>
          <w:lang w:val="en-US" w:eastAsia="de-DE"/>
        </w:rPr>
        <w:t xml:space="preserve">standardized, </w:t>
      </w:r>
      <w:r w:rsidRPr="00ED7E61">
        <w:rPr>
          <w:color w:val="000000" w:themeColor="text1"/>
          <w:lang w:val="en-US" w:eastAsia="de-DE"/>
        </w:rPr>
        <w:t xml:space="preserve">comparable, </w:t>
      </w:r>
      <w:r w:rsidR="00414DDD">
        <w:rPr>
          <w:color w:val="000000" w:themeColor="text1"/>
          <w:lang w:val="en-US" w:eastAsia="de-DE"/>
        </w:rPr>
        <w:t xml:space="preserve">and </w:t>
      </w:r>
      <w:r w:rsidRPr="00ED7E61">
        <w:rPr>
          <w:color w:val="000000" w:themeColor="text1"/>
          <w:lang w:val="en-US" w:eastAsia="de-DE"/>
        </w:rPr>
        <w:t>can easily be aggregated</w:t>
      </w:r>
      <w:r w:rsidR="0008547B">
        <w:rPr>
          <w:color w:val="000000" w:themeColor="text1"/>
          <w:lang w:val="en-US" w:eastAsia="de-DE"/>
        </w:rPr>
        <w:t>. This will result in consistent</w:t>
      </w:r>
      <w:r w:rsidRPr="00ED7E61">
        <w:rPr>
          <w:color w:val="000000" w:themeColor="text1"/>
          <w:lang w:val="en-US" w:eastAsia="de-DE"/>
        </w:rPr>
        <w:t xml:space="preserve"> analyses of trends over time. Countries can edit and add additional information to their national data as appropriate.</w:t>
      </w:r>
    </w:p>
    <w:p w14:paraId="4F4F5EB3" w14:textId="24FEC3D7" w:rsidR="00172A35" w:rsidRPr="00ED7E61" w:rsidRDefault="00331952" w:rsidP="00B10F0C">
      <w:pPr>
        <w:pStyle w:val="CBDNormalNumber"/>
        <w:numPr>
          <w:ilvl w:val="0"/>
          <w:numId w:val="64"/>
        </w:numPr>
        <w:ind w:left="567" w:firstLine="0"/>
        <w:rPr>
          <w:color w:val="000000" w:themeColor="text1"/>
          <w:lang w:val="en-US" w:eastAsia="de-DE"/>
        </w:rPr>
      </w:pPr>
      <w:r>
        <w:rPr>
          <w:color w:val="000000" w:themeColor="text1"/>
          <w:lang w:val="en-US" w:eastAsia="de-DE"/>
        </w:rPr>
        <w:t>Information on the types of monetary benefits described in</w:t>
      </w:r>
      <w:r w:rsidR="00E84A1B">
        <w:rPr>
          <w:color w:val="000000" w:themeColor="text1"/>
          <w:lang w:val="en-US" w:eastAsia="de-DE"/>
        </w:rPr>
        <w:t xml:space="preserve"> (d)-(f) </w:t>
      </w:r>
      <w:proofErr w:type="gramStart"/>
      <w:r w:rsidR="00E84A1B">
        <w:rPr>
          <w:color w:val="000000" w:themeColor="text1"/>
          <w:lang w:val="en-US" w:eastAsia="de-DE"/>
        </w:rPr>
        <w:t xml:space="preserve">can </w:t>
      </w:r>
      <w:r w:rsidR="002962E9">
        <w:rPr>
          <w:color w:val="000000" w:themeColor="text1"/>
          <w:lang w:val="en-US" w:eastAsia="de-DE"/>
        </w:rPr>
        <w:t xml:space="preserve"> be</w:t>
      </w:r>
      <w:proofErr w:type="gramEnd"/>
      <w:r w:rsidR="002962E9">
        <w:rPr>
          <w:color w:val="000000" w:themeColor="text1"/>
          <w:lang w:val="en-US" w:eastAsia="de-DE"/>
        </w:rPr>
        <w:t xml:space="preserve"> collected by countries. </w:t>
      </w:r>
      <w:r>
        <w:rPr>
          <w:color w:val="000000" w:themeColor="text1"/>
          <w:lang w:val="en-US" w:eastAsia="de-DE"/>
        </w:rPr>
        <w:t xml:space="preserve"> </w:t>
      </w:r>
      <w:r w:rsidR="0081052F" w:rsidRPr="00ED7E61">
        <w:rPr>
          <w:color w:val="000000" w:themeColor="text1"/>
          <w:lang w:val="en-US" w:eastAsia="de-DE"/>
        </w:rPr>
        <w:t xml:space="preserve">The ability of countries to collect </w:t>
      </w:r>
      <w:proofErr w:type="gramStart"/>
      <w:r w:rsidR="0081052F" w:rsidRPr="00ED7E61">
        <w:rPr>
          <w:color w:val="000000" w:themeColor="text1"/>
          <w:lang w:val="en-US" w:eastAsia="de-DE"/>
        </w:rPr>
        <w:t>the information</w:t>
      </w:r>
      <w:proofErr w:type="gramEnd"/>
      <w:r w:rsidR="0081052F" w:rsidRPr="00ED7E61">
        <w:rPr>
          <w:color w:val="000000" w:themeColor="text1"/>
          <w:lang w:val="en-US" w:eastAsia="de-DE"/>
        </w:rPr>
        <w:t xml:space="preserve"> on non-monetary benefits may vary from country to country. For some countries it may take some time before it is possible to provide this mandatory information. </w:t>
      </w:r>
    </w:p>
    <w:p w14:paraId="0261AD6B" w14:textId="5698B142" w:rsidR="0081052F" w:rsidRPr="00ED7E61" w:rsidRDefault="0081052F" w:rsidP="00B10F0C">
      <w:pPr>
        <w:pStyle w:val="CBDNormalNumber"/>
        <w:numPr>
          <w:ilvl w:val="0"/>
          <w:numId w:val="64"/>
        </w:numPr>
        <w:ind w:left="567" w:firstLine="0"/>
        <w:rPr>
          <w:color w:val="000000" w:themeColor="text1"/>
          <w:lang w:val="en-US" w:eastAsia="de-DE"/>
        </w:rPr>
      </w:pPr>
      <w:r w:rsidRPr="00ED7E61">
        <w:rPr>
          <w:color w:val="000000" w:themeColor="text1"/>
          <w:lang w:val="en-US" w:eastAsia="de-DE"/>
        </w:rPr>
        <w:t>Additional types of non-monetary benefits received: Parties may include in their national reports any other type of non-monetary benefits received in accordance with national priorities and circumstances. The reported information cannot be aggregated globally but can help countries to measure trends over</w:t>
      </w:r>
      <w:r w:rsidR="00930026">
        <w:rPr>
          <w:color w:val="000000" w:themeColor="text1"/>
          <w:lang w:val="en-US" w:eastAsia="de-DE"/>
        </w:rPr>
        <w:t xml:space="preserve"> </w:t>
      </w:r>
      <w:r w:rsidRPr="00ED7E61">
        <w:rPr>
          <w:color w:val="000000" w:themeColor="text1"/>
          <w:lang w:val="en-US" w:eastAsia="de-DE"/>
        </w:rPr>
        <w:t>time according to their national priorities.</w:t>
      </w:r>
    </w:p>
    <w:p w14:paraId="78468383"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17001A2E" w14:textId="45B48523" w:rsidR="00172A35" w:rsidRPr="00ED7E61" w:rsidRDefault="0081052F" w:rsidP="00B10F0C">
      <w:pPr>
        <w:pStyle w:val="CBDNormalNumber"/>
        <w:numPr>
          <w:ilvl w:val="0"/>
          <w:numId w:val="64"/>
        </w:numPr>
        <w:ind w:left="567" w:firstLine="0"/>
        <w:rPr>
          <w:color w:val="000000" w:themeColor="text1"/>
          <w:lang w:val="en-US" w:eastAsia="de-DE"/>
        </w:rPr>
      </w:pPr>
      <w:r w:rsidRPr="00ED7E61">
        <w:rPr>
          <w:color w:val="000000" w:themeColor="text1"/>
          <w:lang w:val="en-US" w:eastAsia="de-DE"/>
        </w:rPr>
        <w:t>There are many types of non-monetary benefits that can be included in ABS agreements (a list of 17 benefits is provided, for example, in the Annex of the Nagoya Protocol) but there are significant challenges to measuring all of them. First, there is currently no way to aggregate information on non-monetary benefits in a comprehensive manner across all possible types as these can be quantified with very different parameters (i.e. to aggregate across, for example, contribution to local economy, institutional capacity-building, and or sharing of research and development results). Second, there is little national data currently available on non-monetary benefits and significant challenges in monitoring or reporting on some non-monetary benefits remain. Third, different types of non-</w:t>
      </w:r>
      <w:r w:rsidRPr="00ED7E61">
        <w:rPr>
          <w:color w:val="000000" w:themeColor="text1"/>
          <w:lang w:val="en-US" w:eastAsia="de-DE"/>
        </w:rPr>
        <w:lastRenderedPageBreak/>
        <w:t>monetary benefits may be prioritized at the national level depending on the circumstances and these may be measured or accounted differently.</w:t>
      </w:r>
    </w:p>
    <w:p w14:paraId="46097140" w14:textId="32497F86" w:rsidR="00CB0D9F" w:rsidRPr="00ED7E61" w:rsidRDefault="00CB0D9F" w:rsidP="00B10F0C">
      <w:pPr>
        <w:pStyle w:val="CBDNormalNumber"/>
        <w:numPr>
          <w:ilvl w:val="0"/>
          <w:numId w:val="64"/>
        </w:numPr>
        <w:ind w:left="567" w:firstLine="0"/>
        <w:rPr>
          <w:rFonts w:asciiTheme="majorBidi" w:hAnsiTheme="majorBidi" w:cstheme="majorBidi"/>
          <w:color w:val="000000" w:themeColor="text1"/>
          <w:lang w:eastAsia="de-DE"/>
        </w:rPr>
      </w:pPr>
      <w:r w:rsidRPr="00ED7E61">
        <w:rPr>
          <w:rFonts w:asciiTheme="majorBidi" w:hAnsiTheme="majorBidi" w:cstheme="majorBidi"/>
          <w:color w:val="000000" w:themeColor="text1"/>
          <w:lang w:val="en-US" w:eastAsia="de-DE"/>
        </w:rPr>
        <w:t xml:space="preserve">To simplify the challenge of monitoring non-monetary benefits, the 17 benefits suggested in the Nagoya Protocol Annex and the Bonn Guidelines were consolidated into five categories that reflect six total </w:t>
      </w:r>
      <w:r w:rsidR="002962E9">
        <w:rPr>
          <w:rFonts w:asciiTheme="majorBidi" w:hAnsiTheme="majorBidi" w:cstheme="majorBidi"/>
          <w:color w:val="000000" w:themeColor="text1"/>
          <w:lang w:val="en-US" w:eastAsia="de-DE"/>
        </w:rPr>
        <w:t>selected types of non-monetary benefits to be reported (see table 1)</w:t>
      </w:r>
      <w:r w:rsidRPr="00ED7E61">
        <w:rPr>
          <w:rFonts w:asciiTheme="majorBidi" w:hAnsiTheme="majorBidi" w:cstheme="majorBidi"/>
          <w:color w:val="000000" w:themeColor="text1"/>
          <w:lang w:val="en-US" w:eastAsia="de-DE"/>
        </w:rPr>
        <w:t xml:space="preserve">. </w:t>
      </w:r>
      <w:r w:rsidRPr="00ED7E61">
        <w:rPr>
          <w:rFonts w:asciiTheme="majorBidi" w:hAnsiTheme="majorBidi" w:cstheme="majorBidi"/>
          <w:color w:val="000000" w:themeColor="text1"/>
          <w:lang w:eastAsia="de-DE"/>
        </w:rPr>
        <w:t>Finding an appropriate indicator to measure non-monetary benefits related to capacity-building, development and training poses its own challenges</w:t>
      </w:r>
      <w:r w:rsidR="00A02F97">
        <w:rPr>
          <w:rFonts w:asciiTheme="majorBidi" w:hAnsiTheme="majorBidi" w:cstheme="majorBidi"/>
          <w:color w:val="000000" w:themeColor="text1"/>
          <w:lang w:eastAsia="de-DE"/>
        </w:rPr>
        <w:t xml:space="preserve"> and needs further discussion</w:t>
      </w:r>
      <w:r w:rsidRPr="00ED7E61">
        <w:rPr>
          <w:rFonts w:asciiTheme="majorBidi" w:hAnsiTheme="majorBidi" w:cstheme="majorBidi"/>
          <w:color w:val="000000" w:themeColor="text1"/>
          <w:lang w:eastAsia="de-DE"/>
        </w:rPr>
        <w:t xml:space="preserve">. </w:t>
      </w:r>
    </w:p>
    <w:p w14:paraId="0B197640" w14:textId="104FBEE6" w:rsidR="0081052F" w:rsidRPr="00ED7E61" w:rsidRDefault="0081052F" w:rsidP="00395866">
      <w:pPr>
        <w:rPr>
          <w:rFonts w:asciiTheme="majorBidi" w:hAnsiTheme="majorBidi" w:cstheme="majorBidi"/>
          <w:b/>
          <w:bCs/>
          <w:color w:val="000000" w:themeColor="text1"/>
          <w:sz w:val="22"/>
          <w:szCs w:val="22"/>
          <w:lang w:eastAsia="de-DE"/>
        </w:rPr>
      </w:pPr>
      <w:r w:rsidRPr="00B3383B">
        <w:rPr>
          <w:rFonts w:asciiTheme="majorBidi" w:hAnsiTheme="majorBidi" w:cstheme="majorBidi"/>
          <w:color w:val="000000" w:themeColor="text1"/>
          <w:sz w:val="22"/>
          <w:szCs w:val="22"/>
          <w:lang w:eastAsia="de-DE"/>
        </w:rPr>
        <w:t>Table 1</w:t>
      </w:r>
      <w:r w:rsidR="00F0383A">
        <w:rPr>
          <w:rFonts w:asciiTheme="majorBidi" w:hAnsiTheme="majorBidi" w:cstheme="majorBidi"/>
          <w:b/>
          <w:bCs/>
          <w:color w:val="000000" w:themeColor="text1"/>
          <w:sz w:val="22"/>
          <w:szCs w:val="22"/>
          <w:lang w:eastAsia="de-DE"/>
        </w:rPr>
        <w:br/>
      </w:r>
      <w:proofErr w:type="gramStart"/>
      <w:r w:rsidRPr="00ED7E61">
        <w:rPr>
          <w:rFonts w:asciiTheme="majorBidi" w:hAnsiTheme="majorBidi" w:cstheme="majorBidi"/>
          <w:b/>
          <w:bCs/>
          <w:color w:val="000000" w:themeColor="text1"/>
          <w:sz w:val="22"/>
          <w:szCs w:val="22"/>
          <w:lang w:eastAsia="de-DE"/>
        </w:rPr>
        <w:t>Non-monetary</w:t>
      </w:r>
      <w:proofErr w:type="gramEnd"/>
      <w:r w:rsidRPr="00ED7E61">
        <w:rPr>
          <w:rFonts w:asciiTheme="majorBidi" w:hAnsiTheme="majorBidi" w:cstheme="majorBidi"/>
          <w:b/>
          <w:bCs/>
          <w:color w:val="000000" w:themeColor="text1"/>
          <w:sz w:val="22"/>
          <w:szCs w:val="22"/>
          <w:lang w:eastAsia="de-DE"/>
        </w:rPr>
        <w:t xml:space="preserve"> benefits </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62"/>
        <w:gridCol w:w="4536"/>
        <w:gridCol w:w="2127"/>
      </w:tblGrid>
      <w:tr w:rsidR="0081052F" w:rsidRPr="00ED7E61" w14:paraId="3FC6A031" w14:textId="77777777" w:rsidTr="00AA4CEC">
        <w:trPr>
          <w:trHeight w:val="141"/>
        </w:trPr>
        <w:tc>
          <w:tcPr>
            <w:tcW w:w="2262" w:type="dxa"/>
            <w:tcMar>
              <w:top w:w="20" w:type="dxa"/>
              <w:left w:w="20" w:type="dxa"/>
              <w:bottom w:w="20" w:type="dxa"/>
              <w:right w:w="20" w:type="dxa"/>
            </w:tcMar>
          </w:tcPr>
          <w:p w14:paraId="6ADA37DC"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Category </w:t>
            </w:r>
          </w:p>
        </w:tc>
        <w:tc>
          <w:tcPr>
            <w:tcW w:w="4536" w:type="dxa"/>
            <w:tcMar>
              <w:top w:w="0" w:type="dxa"/>
              <w:left w:w="100" w:type="dxa"/>
              <w:bottom w:w="0" w:type="dxa"/>
              <w:right w:w="100" w:type="dxa"/>
            </w:tcMar>
          </w:tcPr>
          <w:p w14:paraId="509DDF1E"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Non-monetary Benefits</w:t>
            </w:r>
          </w:p>
        </w:tc>
        <w:tc>
          <w:tcPr>
            <w:tcW w:w="2127" w:type="dxa"/>
            <w:tcMar>
              <w:top w:w="0" w:type="dxa"/>
              <w:left w:w="100" w:type="dxa"/>
              <w:bottom w:w="0" w:type="dxa"/>
              <w:right w:w="100" w:type="dxa"/>
            </w:tcMar>
          </w:tcPr>
          <w:p w14:paraId="538566D3"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Reporting notes</w:t>
            </w:r>
          </w:p>
        </w:tc>
      </w:tr>
      <w:tr w:rsidR="0081052F" w:rsidRPr="00ED7E61" w14:paraId="7151C743" w14:textId="77777777" w:rsidTr="00AA4CEC">
        <w:trPr>
          <w:trHeight w:val="326"/>
        </w:trPr>
        <w:tc>
          <w:tcPr>
            <w:tcW w:w="2262" w:type="dxa"/>
            <w:vMerge w:val="restart"/>
            <w:tcMar>
              <w:top w:w="20" w:type="dxa"/>
              <w:left w:w="20" w:type="dxa"/>
              <w:bottom w:w="20" w:type="dxa"/>
              <w:right w:w="20" w:type="dxa"/>
            </w:tcMar>
          </w:tcPr>
          <w:p w14:paraId="41FC5516"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Sharing of information, research results</w:t>
            </w:r>
          </w:p>
          <w:p w14:paraId="08590C4E"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 </w:t>
            </w:r>
          </w:p>
        </w:tc>
        <w:tc>
          <w:tcPr>
            <w:tcW w:w="4536" w:type="dxa"/>
            <w:tcMar>
              <w:top w:w="0" w:type="dxa"/>
              <w:left w:w="100" w:type="dxa"/>
              <w:bottom w:w="0" w:type="dxa"/>
              <w:right w:w="100" w:type="dxa"/>
            </w:tcMar>
          </w:tcPr>
          <w:p w14:paraId="5B39C19C"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(a) Sharing of research and development results </w:t>
            </w:r>
          </w:p>
        </w:tc>
        <w:tc>
          <w:tcPr>
            <w:tcW w:w="2127" w:type="dxa"/>
            <w:vMerge w:val="restart"/>
            <w:tcMar>
              <w:top w:w="0" w:type="dxa"/>
              <w:left w:w="100" w:type="dxa"/>
              <w:bottom w:w="0" w:type="dxa"/>
              <w:right w:w="100" w:type="dxa"/>
            </w:tcMar>
          </w:tcPr>
          <w:p w14:paraId="51C55D21" w14:textId="77777777" w:rsidR="0081052F" w:rsidRPr="00B3383B" w:rsidRDefault="0081052F" w:rsidP="00395866">
            <w:pPr>
              <w:contextualSpacing/>
              <w:rPr>
                <w:rFonts w:asciiTheme="majorBidi" w:eastAsia="Arial"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Number of research and development res</w:t>
            </w:r>
            <w:r w:rsidRPr="00B3383B">
              <w:rPr>
                <w:rFonts w:asciiTheme="majorBidi" w:eastAsia="Arial" w:hAnsiTheme="majorBidi" w:cstheme="majorBidi"/>
                <w:color w:val="000000" w:themeColor="text1"/>
                <w:sz w:val="20"/>
                <w:szCs w:val="20"/>
                <w:lang w:val="en-US" w:eastAsia="de-DE"/>
              </w:rPr>
              <w:t xml:space="preserve">ults shared </w:t>
            </w:r>
            <w:proofErr w:type="gramStart"/>
            <w:r w:rsidRPr="00B3383B">
              <w:rPr>
                <w:rFonts w:asciiTheme="majorBidi" w:eastAsia="Arial" w:hAnsiTheme="majorBidi" w:cstheme="majorBidi"/>
                <w:color w:val="000000" w:themeColor="text1"/>
                <w:sz w:val="20"/>
                <w:szCs w:val="20"/>
                <w:lang w:val="en-US" w:eastAsia="de-DE"/>
              </w:rPr>
              <w:t>from</w:t>
            </w:r>
            <w:proofErr w:type="gramEnd"/>
            <w:r w:rsidRPr="00B3383B">
              <w:rPr>
                <w:rFonts w:asciiTheme="majorBidi" w:eastAsia="Arial" w:hAnsiTheme="majorBidi" w:cstheme="majorBidi"/>
                <w:color w:val="000000" w:themeColor="text1"/>
                <w:sz w:val="20"/>
                <w:szCs w:val="20"/>
                <w:lang w:val="en-US" w:eastAsia="de-DE"/>
              </w:rPr>
              <w:t xml:space="preserve"> ABS agreements</w:t>
            </w:r>
          </w:p>
          <w:p w14:paraId="1B92A491" w14:textId="77777777" w:rsidR="0081052F" w:rsidRPr="00B3383B" w:rsidRDefault="0081052F" w:rsidP="00395866">
            <w:pPr>
              <w:contextualSpacing/>
              <w:rPr>
                <w:rFonts w:asciiTheme="majorBidi" w:eastAsia="Arial" w:hAnsiTheme="majorBidi" w:cstheme="majorBidi"/>
                <w:color w:val="000000" w:themeColor="text1"/>
                <w:sz w:val="20"/>
                <w:szCs w:val="20"/>
                <w:lang w:val="en-US" w:eastAsia="de-DE"/>
              </w:rPr>
            </w:pPr>
          </w:p>
          <w:p w14:paraId="63BFFF87" w14:textId="77777777" w:rsidR="0081052F" w:rsidRPr="00B3383B" w:rsidRDefault="0081052F" w:rsidP="00395866">
            <w:pPr>
              <w:contextualSpacing/>
              <w:rPr>
                <w:rFonts w:asciiTheme="majorBidi" w:eastAsia="Arial" w:hAnsiTheme="majorBidi" w:cstheme="majorBidi"/>
                <w:color w:val="000000" w:themeColor="text1"/>
                <w:sz w:val="20"/>
                <w:szCs w:val="20"/>
                <w:lang w:val="en-US"/>
              </w:rPr>
            </w:pPr>
            <w:r w:rsidRPr="00B3383B">
              <w:rPr>
                <w:rFonts w:asciiTheme="majorBidi" w:eastAsia="Arial" w:hAnsiTheme="majorBidi" w:cstheme="majorBidi"/>
                <w:color w:val="000000" w:themeColor="text1"/>
                <w:sz w:val="20"/>
                <w:szCs w:val="20"/>
                <w:lang w:val="en-US"/>
              </w:rPr>
              <w:t>Number of scientific publications relevant to conservation, sustainable use, food security, and public health</w:t>
            </w:r>
          </w:p>
          <w:p w14:paraId="57BAC85D"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p w14:paraId="33A58E53"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r>
      <w:tr w:rsidR="0081052F" w:rsidRPr="00ED7E61" w14:paraId="58B5BF4C" w14:textId="77777777" w:rsidTr="00AA4CEC">
        <w:trPr>
          <w:trHeight w:val="862"/>
        </w:trPr>
        <w:tc>
          <w:tcPr>
            <w:tcW w:w="2262" w:type="dxa"/>
            <w:vMerge/>
            <w:tcMar>
              <w:top w:w="100" w:type="dxa"/>
              <w:left w:w="100" w:type="dxa"/>
              <w:bottom w:w="100" w:type="dxa"/>
              <w:right w:w="100" w:type="dxa"/>
            </w:tcMar>
          </w:tcPr>
          <w:p w14:paraId="69564F9F"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c>
          <w:tcPr>
            <w:tcW w:w="4536" w:type="dxa"/>
            <w:tcMar>
              <w:top w:w="0" w:type="dxa"/>
              <w:left w:w="100" w:type="dxa"/>
              <w:bottom w:w="0" w:type="dxa"/>
              <w:right w:w="100" w:type="dxa"/>
            </w:tcMar>
          </w:tcPr>
          <w:p w14:paraId="2F397163"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(k) Access to scientific information relevant to conservation and sustainable use of biological diversity, including biological inventories and taxonomic studies</w:t>
            </w:r>
          </w:p>
        </w:tc>
        <w:tc>
          <w:tcPr>
            <w:tcW w:w="2127" w:type="dxa"/>
            <w:vMerge/>
            <w:tcMar>
              <w:top w:w="100" w:type="dxa"/>
              <w:left w:w="100" w:type="dxa"/>
              <w:bottom w:w="100" w:type="dxa"/>
              <w:right w:w="100" w:type="dxa"/>
            </w:tcMar>
          </w:tcPr>
          <w:p w14:paraId="49BFA8A6"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r>
      <w:tr w:rsidR="0081052F" w:rsidRPr="00ED7E61" w14:paraId="0114B9E3" w14:textId="77777777" w:rsidTr="00AA4CEC">
        <w:trPr>
          <w:trHeight w:val="923"/>
        </w:trPr>
        <w:tc>
          <w:tcPr>
            <w:tcW w:w="2262" w:type="dxa"/>
            <w:vMerge/>
            <w:tcMar>
              <w:top w:w="100" w:type="dxa"/>
              <w:left w:w="100" w:type="dxa"/>
              <w:bottom w:w="100" w:type="dxa"/>
              <w:right w:w="100" w:type="dxa"/>
            </w:tcMar>
          </w:tcPr>
          <w:p w14:paraId="4F789C07"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c>
          <w:tcPr>
            <w:tcW w:w="4536" w:type="dxa"/>
            <w:tcMar>
              <w:top w:w="0" w:type="dxa"/>
              <w:left w:w="100" w:type="dxa"/>
              <w:bottom w:w="0" w:type="dxa"/>
              <w:right w:w="100" w:type="dxa"/>
            </w:tcMar>
          </w:tcPr>
          <w:p w14:paraId="61069514"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(m</w:t>
            </w:r>
            <w:proofErr w:type="gramStart"/>
            <w:r w:rsidRPr="00B3383B">
              <w:rPr>
                <w:rFonts w:asciiTheme="majorBidi" w:hAnsiTheme="majorBidi" w:cstheme="majorBidi"/>
                <w:color w:val="000000" w:themeColor="text1"/>
                <w:sz w:val="20"/>
                <w:szCs w:val="20"/>
                <w:lang w:val="en-US" w:eastAsia="de-DE"/>
              </w:rPr>
              <w:t>)  Research</w:t>
            </w:r>
            <w:proofErr w:type="gramEnd"/>
            <w:r w:rsidRPr="00B3383B">
              <w:rPr>
                <w:rFonts w:asciiTheme="majorBidi" w:hAnsiTheme="majorBidi" w:cstheme="majorBidi"/>
                <w:color w:val="000000" w:themeColor="text1"/>
                <w:sz w:val="20"/>
                <w:szCs w:val="20"/>
                <w:lang w:val="en-US" w:eastAsia="de-DE"/>
              </w:rPr>
              <w:t xml:space="preserve"> directed towards priority needs, such as health and food security, </w:t>
            </w:r>
            <w:proofErr w:type="gramStart"/>
            <w:r w:rsidRPr="00B3383B">
              <w:rPr>
                <w:rFonts w:asciiTheme="majorBidi" w:hAnsiTheme="majorBidi" w:cstheme="majorBidi"/>
                <w:color w:val="000000" w:themeColor="text1"/>
                <w:sz w:val="20"/>
                <w:szCs w:val="20"/>
                <w:lang w:val="en-US" w:eastAsia="de-DE"/>
              </w:rPr>
              <w:t>taking into account</w:t>
            </w:r>
            <w:proofErr w:type="gramEnd"/>
            <w:r w:rsidRPr="00B3383B">
              <w:rPr>
                <w:rFonts w:asciiTheme="majorBidi" w:hAnsiTheme="majorBidi" w:cstheme="majorBidi"/>
                <w:color w:val="000000" w:themeColor="text1"/>
                <w:sz w:val="20"/>
                <w:szCs w:val="20"/>
                <w:lang w:val="en-US" w:eastAsia="de-DE"/>
              </w:rPr>
              <w:t xml:space="preserve"> domestic uses of genetic resources in the Party providing genetic resources; </w:t>
            </w:r>
          </w:p>
        </w:tc>
        <w:tc>
          <w:tcPr>
            <w:tcW w:w="2127" w:type="dxa"/>
            <w:vMerge/>
            <w:tcMar>
              <w:top w:w="100" w:type="dxa"/>
              <w:left w:w="100" w:type="dxa"/>
              <w:bottom w:w="100" w:type="dxa"/>
              <w:right w:w="100" w:type="dxa"/>
            </w:tcMar>
          </w:tcPr>
          <w:p w14:paraId="5492069E"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r>
      <w:tr w:rsidR="0081052F" w:rsidRPr="00ED7E61" w14:paraId="71F53586" w14:textId="77777777" w:rsidTr="00AA4CEC">
        <w:trPr>
          <w:trHeight w:val="529"/>
        </w:trPr>
        <w:tc>
          <w:tcPr>
            <w:tcW w:w="2262" w:type="dxa"/>
            <w:vMerge/>
            <w:tcMar>
              <w:top w:w="100" w:type="dxa"/>
              <w:left w:w="100" w:type="dxa"/>
              <w:bottom w:w="100" w:type="dxa"/>
              <w:right w:w="100" w:type="dxa"/>
            </w:tcMar>
          </w:tcPr>
          <w:p w14:paraId="132BEED1"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c>
          <w:tcPr>
            <w:tcW w:w="4536" w:type="dxa"/>
            <w:tcMar>
              <w:top w:w="0" w:type="dxa"/>
              <w:left w:w="100" w:type="dxa"/>
              <w:bottom w:w="0" w:type="dxa"/>
              <w:right w:w="100" w:type="dxa"/>
            </w:tcMar>
          </w:tcPr>
          <w:p w14:paraId="177587FE"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(e</w:t>
            </w:r>
            <w:proofErr w:type="gramStart"/>
            <w:r w:rsidRPr="00B3383B">
              <w:rPr>
                <w:rFonts w:asciiTheme="majorBidi" w:hAnsiTheme="majorBidi" w:cstheme="majorBidi"/>
                <w:color w:val="000000" w:themeColor="text1"/>
                <w:sz w:val="20"/>
                <w:szCs w:val="20"/>
                <w:lang w:val="en-US" w:eastAsia="de-DE"/>
              </w:rPr>
              <w:t>)  Admittance</w:t>
            </w:r>
            <w:proofErr w:type="gramEnd"/>
            <w:r w:rsidRPr="00B3383B">
              <w:rPr>
                <w:rFonts w:asciiTheme="majorBidi" w:hAnsiTheme="majorBidi" w:cstheme="majorBidi"/>
                <w:color w:val="000000" w:themeColor="text1"/>
                <w:sz w:val="20"/>
                <w:szCs w:val="20"/>
                <w:lang w:val="en-US" w:eastAsia="de-DE"/>
              </w:rPr>
              <w:t xml:space="preserve"> to </w:t>
            </w:r>
            <w:proofErr w:type="gramStart"/>
            <w:r w:rsidRPr="00B3383B">
              <w:rPr>
                <w:rFonts w:asciiTheme="majorBidi" w:hAnsiTheme="majorBidi" w:cstheme="majorBidi"/>
                <w:color w:val="000000" w:themeColor="text1"/>
                <w:sz w:val="20"/>
                <w:szCs w:val="20"/>
                <w:lang w:val="en-US" w:eastAsia="de-DE"/>
              </w:rPr>
              <w:t>ex situ</w:t>
            </w:r>
            <w:proofErr w:type="gramEnd"/>
            <w:r w:rsidRPr="00B3383B">
              <w:rPr>
                <w:rFonts w:asciiTheme="majorBidi" w:hAnsiTheme="majorBidi" w:cstheme="majorBidi"/>
                <w:color w:val="000000" w:themeColor="text1"/>
                <w:sz w:val="20"/>
                <w:szCs w:val="20"/>
                <w:lang w:val="en-US" w:eastAsia="de-DE"/>
              </w:rPr>
              <w:t xml:space="preserve"> facilities of genetic resources and to databases</w:t>
            </w:r>
          </w:p>
        </w:tc>
        <w:tc>
          <w:tcPr>
            <w:tcW w:w="2127" w:type="dxa"/>
            <w:vMerge/>
            <w:tcMar>
              <w:top w:w="100" w:type="dxa"/>
              <w:left w:w="100" w:type="dxa"/>
              <w:bottom w:w="100" w:type="dxa"/>
              <w:right w:w="100" w:type="dxa"/>
            </w:tcMar>
          </w:tcPr>
          <w:p w14:paraId="12EEE5DE"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r>
      <w:tr w:rsidR="0081052F" w:rsidRPr="00ED7E61" w14:paraId="0B08F0C0" w14:textId="77777777" w:rsidTr="00AA4CEC">
        <w:trPr>
          <w:trHeight w:val="1144"/>
        </w:trPr>
        <w:tc>
          <w:tcPr>
            <w:tcW w:w="2262" w:type="dxa"/>
            <w:vMerge w:val="restart"/>
            <w:tcMar>
              <w:top w:w="20" w:type="dxa"/>
              <w:left w:w="20" w:type="dxa"/>
              <w:bottom w:w="20" w:type="dxa"/>
              <w:right w:w="20" w:type="dxa"/>
            </w:tcMar>
          </w:tcPr>
          <w:p w14:paraId="67133CE4"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Scientific collaboration and/or joint publications</w:t>
            </w:r>
          </w:p>
          <w:p w14:paraId="6813EBF0"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 </w:t>
            </w:r>
          </w:p>
        </w:tc>
        <w:tc>
          <w:tcPr>
            <w:tcW w:w="4536" w:type="dxa"/>
            <w:tcMar>
              <w:top w:w="0" w:type="dxa"/>
              <w:left w:w="100" w:type="dxa"/>
              <w:bottom w:w="0" w:type="dxa"/>
              <w:right w:w="100" w:type="dxa"/>
            </w:tcMar>
          </w:tcPr>
          <w:p w14:paraId="5F4F52B7"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(b) Collaboration, cooperation and contribution in scientific research and development programs, particularly biotechnological research activities, where possible in the Party providing genetic resources</w:t>
            </w:r>
          </w:p>
        </w:tc>
        <w:tc>
          <w:tcPr>
            <w:tcW w:w="2127" w:type="dxa"/>
            <w:vMerge w:val="restart"/>
            <w:tcMar>
              <w:top w:w="0" w:type="dxa"/>
              <w:left w:w="100" w:type="dxa"/>
              <w:bottom w:w="0" w:type="dxa"/>
              <w:right w:w="100" w:type="dxa"/>
            </w:tcMar>
          </w:tcPr>
          <w:p w14:paraId="01253257"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Number of joint scientific publications from ABS agreements with authors from the provider country</w:t>
            </w:r>
          </w:p>
        </w:tc>
      </w:tr>
      <w:tr w:rsidR="0081052F" w:rsidRPr="00ED7E61" w14:paraId="12F8DEAC" w14:textId="77777777" w:rsidTr="00AA4CEC">
        <w:trPr>
          <w:trHeight w:val="790"/>
        </w:trPr>
        <w:tc>
          <w:tcPr>
            <w:tcW w:w="2262" w:type="dxa"/>
            <w:vMerge/>
            <w:tcMar>
              <w:top w:w="100" w:type="dxa"/>
              <w:left w:w="100" w:type="dxa"/>
              <w:bottom w:w="100" w:type="dxa"/>
              <w:right w:w="100" w:type="dxa"/>
            </w:tcMar>
          </w:tcPr>
          <w:p w14:paraId="7108B19E"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c>
          <w:tcPr>
            <w:tcW w:w="4536" w:type="dxa"/>
            <w:tcMar>
              <w:top w:w="0" w:type="dxa"/>
              <w:left w:w="100" w:type="dxa"/>
              <w:bottom w:w="0" w:type="dxa"/>
              <w:right w:w="100" w:type="dxa"/>
            </w:tcMar>
          </w:tcPr>
          <w:p w14:paraId="7592E4C2"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(n</w:t>
            </w:r>
            <w:proofErr w:type="gramStart"/>
            <w:r w:rsidRPr="00B3383B">
              <w:rPr>
                <w:rFonts w:asciiTheme="majorBidi" w:hAnsiTheme="majorBidi" w:cstheme="majorBidi"/>
                <w:color w:val="000000" w:themeColor="text1"/>
                <w:sz w:val="20"/>
                <w:szCs w:val="20"/>
                <w:lang w:val="en-US" w:eastAsia="de-DE"/>
              </w:rPr>
              <w:t>)  Institutional</w:t>
            </w:r>
            <w:proofErr w:type="gramEnd"/>
            <w:r w:rsidRPr="00B3383B">
              <w:rPr>
                <w:rFonts w:asciiTheme="majorBidi" w:hAnsiTheme="majorBidi" w:cstheme="majorBidi"/>
                <w:color w:val="000000" w:themeColor="text1"/>
                <w:sz w:val="20"/>
                <w:szCs w:val="20"/>
                <w:lang w:val="en-US" w:eastAsia="de-DE"/>
              </w:rPr>
              <w:t xml:space="preserve"> and professional relationships that can arise from an access and benefit-sharing agreement and subsequent collaborative activities</w:t>
            </w:r>
          </w:p>
        </w:tc>
        <w:tc>
          <w:tcPr>
            <w:tcW w:w="2127" w:type="dxa"/>
            <w:vMerge/>
            <w:tcMar>
              <w:top w:w="100" w:type="dxa"/>
              <w:left w:w="100" w:type="dxa"/>
              <w:bottom w:w="100" w:type="dxa"/>
              <w:right w:w="100" w:type="dxa"/>
            </w:tcMar>
          </w:tcPr>
          <w:p w14:paraId="1F5ECD5B"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r>
      <w:tr w:rsidR="0081052F" w:rsidRPr="00ED7E61" w14:paraId="0D34C7B4" w14:textId="77777777" w:rsidTr="00AA4CEC">
        <w:trPr>
          <w:trHeight w:val="677"/>
        </w:trPr>
        <w:tc>
          <w:tcPr>
            <w:tcW w:w="2262" w:type="dxa"/>
            <w:vMerge w:val="restart"/>
            <w:tcMar>
              <w:top w:w="20" w:type="dxa"/>
              <w:left w:w="20" w:type="dxa"/>
              <w:bottom w:w="20" w:type="dxa"/>
              <w:right w:w="20" w:type="dxa"/>
            </w:tcMar>
          </w:tcPr>
          <w:p w14:paraId="70833251"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Capacity-building, capacity development and/or </w:t>
            </w:r>
            <w:proofErr w:type="gramStart"/>
            <w:r w:rsidRPr="00B3383B">
              <w:rPr>
                <w:rFonts w:asciiTheme="majorBidi" w:hAnsiTheme="majorBidi" w:cstheme="majorBidi"/>
                <w:color w:val="000000" w:themeColor="text1"/>
                <w:sz w:val="20"/>
                <w:szCs w:val="20"/>
                <w:lang w:val="en-US" w:eastAsia="de-DE"/>
              </w:rPr>
              <w:t>trainings</w:t>
            </w:r>
            <w:proofErr w:type="gramEnd"/>
          </w:p>
          <w:p w14:paraId="742E325A"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 </w:t>
            </w:r>
          </w:p>
        </w:tc>
        <w:tc>
          <w:tcPr>
            <w:tcW w:w="4536" w:type="dxa"/>
            <w:tcMar>
              <w:top w:w="0" w:type="dxa"/>
              <w:left w:w="100" w:type="dxa"/>
              <w:bottom w:w="0" w:type="dxa"/>
              <w:right w:w="100" w:type="dxa"/>
            </w:tcMar>
          </w:tcPr>
          <w:p w14:paraId="2B4E9A50"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 (d</w:t>
            </w:r>
            <w:proofErr w:type="gramStart"/>
            <w:r w:rsidRPr="00B3383B">
              <w:rPr>
                <w:rFonts w:asciiTheme="majorBidi" w:hAnsiTheme="majorBidi" w:cstheme="majorBidi"/>
                <w:color w:val="000000" w:themeColor="text1"/>
                <w:sz w:val="20"/>
                <w:szCs w:val="20"/>
                <w:lang w:val="en-US" w:eastAsia="de-DE"/>
              </w:rPr>
              <w:t>)  Collaboration</w:t>
            </w:r>
            <w:proofErr w:type="gramEnd"/>
            <w:r w:rsidRPr="00B3383B">
              <w:rPr>
                <w:rFonts w:asciiTheme="majorBidi" w:hAnsiTheme="majorBidi" w:cstheme="majorBidi"/>
                <w:color w:val="000000" w:themeColor="text1"/>
                <w:sz w:val="20"/>
                <w:szCs w:val="20"/>
                <w:lang w:val="en-US" w:eastAsia="de-DE"/>
              </w:rPr>
              <w:t>, cooperation and contribution in education and training</w:t>
            </w:r>
          </w:p>
        </w:tc>
        <w:tc>
          <w:tcPr>
            <w:tcW w:w="2127" w:type="dxa"/>
            <w:vMerge w:val="restart"/>
            <w:tcMar>
              <w:top w:w="0" w:type="dxa"/>
              <w:left w:w="100" w:type="dxa"/>
              <w:bottom w:w="0" w:type="dxa"/>
              <w:right w:w="100" w:type="dxa"/>
            </w:tcMar>
          </w:tcPr>
          <w:p w14:paraId="0182AD08" w14:textId="48AE1484"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TBD</w:t>
            </w:r>
          </w:p>
        </w:tc>
      </w:tr>
      <w:tr w:rsidR="0081052F" w:rsidRPr="00ED7E61" w14:paraId="6D996BF1" w14:textId="77777777" w:rsidTr="00AA4CEC">
        <w:trPr>
          <w:trHeight w:val="905"/>
        </w:trPr>
        <w:tc>
          <w:tcPr>
            <w:tcW w:w="2262" w:type="dxa"/>
            <w:vMerge/>
            <w:tcMar>
              <w:top w:w="100" w:type="dxa"/>
              <w:left w:w="100" w:type="dxa"/>
              <w:bottom w:w="100" w:type="dxa"/>
              <w:right w:w="100" w:type="dxa"/>
            </w:tcMar>
          </w:tcPr>
          <w:p w14:paraId="3CDDF5EB"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c>
          <w:tcPr>
            <w:tcW w:w="4536" w:type="dxa"/>
            <w:tcMar>
              <w:top w:w="0" w:type="dxa"/>
              <w:left w:w="100" w:type="dxa"/>
              <w:bottom w:w="0" w:type="dxa"/>
              <w:right w:w="100" w:type="dxa"/>
            </w:tcMar>
          </w:tcPr>
          <w:p w14:paraId="2A302030"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(j) Training related to genetic resources with the full participation of countries providing genetic resources, and where possible, in such countries</w:t>
            </w:r>
          </w:p>
        </w:tc>
        <w:tc>
          <w:tcPr>
            <w:tcW w:w="2127" w:type="dxa"/>
            <w:vMerge/>
            <w:tcMar>
              <w:top w:w="100" w:type="dxa"/>
              <w:left w:w="100" w:type="dxa"/>
              <w:bottom w:w="100" w:type="dxa"/>
              <w:right w:w="100" w:type="dxa"/>
            </w:tcMar>
          </w:tcPr>
          <w:p w14:paraId="134F8B23"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r>
      <w:tr w:rsidR="0081052F" w:rsidRPr="00ED7E61" w14:paraId="5DC98B05" w14:textId="77777777" w:rsidTr="00AA4CEC">
        <w:trPr>
          <w:trHeight w:val="221"/>
        </w:trPr>
        <w:tc>
          <w:tcPr>
            <w:tcW w:w="2262" w:type="dxa"/>
            <w:vMerge/>
            <w:tcMar>
              <w:top w:w="100" w:type="dxa"/>
              <w:left w:w="100" w:type="dxa"/>
              <w:bottom w:w="100" w:type="dxa"/>
              <w:right w:w="100" w:type="dxa"/>
            </w:tcMar>
          </w:tcPr>
          <w:p w14:paraId="31CEFF87"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c>
          <w:tcPr>
            <w:tcW w:w="4536" w:type="dxa"/>
            <w:tcMar>
              <w:top w:w="0" w:type="dxa"/>
              <w:left w:w="100" w:type="dxa"/>
              <w:bottom w:w="0" w:type="dxa"/>
              <w:right w:w="100" w:type="dxa"/>
            </w:tcMar>
          </w:tcPr>
          <w:p w14:paraId="6D2DA4FF"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(h) Institutional capacity-building</w:t>
            </w:r>
          </w:p>
        </w:tc>
        <w:tc>
          <w:tcPr>
            <w:tcW w:w="2127" w:type="dxa"/>
            <w:vMerge/>
            <w:tcMar>
              <w:top w:w="100" w:type="dxa"/>
              <w:left w:w="100" w:type="dxa"/>
              <w:bottom w:w="100" w:type="dxa"/>
              <w:right w:w="100" w:type="dxa"/>
            </w:tcMar>
          </w:tcPr>
          <w:p w14:paraId="0B1FCB5E"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r>
      <w:tr w:rsidR="0081052F" w:rsidRPr="00ED7E61" w14:paraId="7FF02521" w14:textId="77777777" w:rsidTr="00AA4CEC">
        <w:trPr>
          <w:trHeight w:val="857"/>
        </w:trPr>
        <w:tc>
          <w:tcPr>
            <w:tcW w:w="2262" w:type="dxa"/>
            <w:vMerge/>
            <w:tcMar>
              <w:top w:w="100" w:type="dxa"/>
              <w:left w:w="100" w:type="dxa"/>
              <w:bottom w:w="100" w:type="dxa"/>
              <w:right w:w="100" w:type="dxa"/>
            </w:tcMar>
          </w:tcPr>
          <w:p w14:paraId="17E72FA9"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c>
          <w:tcPr>
            <w:tcW w:w="4536" w:type="dxa"/>
            <w:tcMar>
              <w:top w:w="0" w:type="dxa"/>
              <w:left w:w="100" w:type="dxa"/>
              <w:bottom w:w="0" w:type="dxa"/>
              <w:right w:w="100" w:type="dxa"/>
            </w:tcMar>
          </w:tcPr>
          <w:p w14:paraId="1B1C2F01"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w:t>
            </w:r>
            <w:proofErr w:type="spellStart"/>
            <w:r w:rsidRPr="00B3383B">
              <w:rPr>
                <w:rFonts w:asciiTheme="majorBidi" w:hAnsiTheme="majorBidi" w:cstheme="majorBidi"/>
                <w:color w:val="000000" w:themeColor="text1"/>
                <w:sz w:val="20"/>
                <w:szCs w:val="20"/>
                <w:lang w:val="en-US" w:eastAsia="de-DE"/>
              </w:rPr>
              <w:t>i</w:t>
            </w:r>
            <w:proofErr w:type="spellEnd"/>
            <w:proofErr w:type="gramStart"/>
            <w:r w:rsidRPr="00B3383B">
              <w:rPr>
                <w:rFonts w:asciiTheme="majorBidi" w:hAnsiTheme="majorBidi" w:cstheme="majorBidi"/>
                <w:color w:val="000000" w:themeColor="text1"/>
                <w:sz w:val="20"/>
                <w:szCs w:val="20"/>
                <w:lang w:val="en-US" w:eastAsia="de-DE"/>
              </w:rPr>
              <w:t>)  Human</w:t>
            </w:r>
            <w:proofErr w:type="gramEnd"/>
            <w:r w:rsidRPr="00B3383B">
              <w:rPr>
                <w:rFonts w:asciiTheme="majorBidi" w:hAnsiTheme="majorBidi" w:cstheme="majorBidi"/>
                <w:color w:val="000000" w:themeColor="text1"/>
                <w:sz w:val="20"/>
                <w:szCs w:val="20"/>
                <w:lang w:val="en-US" w:eastAsia="de-DE"/>
              </w:rPr>
              <w:t xml:space="preserve"> and material resources to strengthen the capacities for the administration and enforcement of access regulations</w:t>
            </w:r>
          </w:p>
        </w:tc>
        <w:tc>
          <w:tcPr>
            <w:tcW w:w="2127" w:type="dxa"/>
            <w:vMerge/>
            <w:tcMar>
              <w:top w:w="100" w:type="dxa"/>
              <w:left w:w="100" w:type="dxa"/>
              <w:bottom w:w="100" w:type="dxa"/>
              <w:right w:w="100" w:type="dxa"/>
            </w:tcMar>
          </w:tcPr>
          <w:p w14:paraId="2343ED37"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tc>
      </w:tr>
      <w:tr w:rsidR="0081052F" w:rsidRPr="00ED7E61" w14:paraId="5C8CC2D8" w14:textId="77777777" w:rsidTr="00AA4CEC">
        <w:trPr>
          <w:trHeight w:val="1869"/>
        </w:trPr>
        <w:tc>
          <w:tcPr>
            <w:tcW w:w="2262" w:type="dxa"/>
            <w:vMerge w:val="restart"/>
            <w:tcMar>
              <w:top w:w="20" w:type="dxa"/>
              <w:left w:w="20" w:type="dxa"/>
              <w:bottom w:w="20" w:type="dxa"/>
              <w:right w:w="20" w:type="dxa"/>
            </w:tcMar>
          </w:tcPr>
          <w:p w14:paraId="3ACD4E23"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lastRenderedPageBreak/>
              <w:t>Access to and transfer of technology</w:t>
            </w:r>
            <w:r w:rsidRPr="00B3383B">
              <w:rPr>
                <w:rFonts w:asciiTheme="majorBidi" w:hAnsiTheme="majorBidi" w:cstheme="majorBidi"/>
                <w:color w:val="000000" w:themeColor="text1"/>
                <w:sz w:val="20"/>
                <w:szCs w:val="20"/>
                <w:vertAlign w:val="superscript"/>
                <w:lang w:val="en-US" w:eastAsia="de-DE"/>
              </w:rPr>
              <w:footnoteReference w:id="9"/>
            </w:r>
          </w:p>
        </w:tc>
        <w:tc>
          <w:tcPr>
            <w:tcW w:w="4536" w:type="dxa"/>
            <w:tcMar>
              <w:top w:w="0" w:type="dxa"/>
              <w:left w:w="100" w:type="dxa"/>
              <w:bottom w:w="0" w:type="dxa"/>
              <w:right w:w="100" w:type="dxa"/>
            </w:tcMar>
          </w:tcPr>
          <w:p w14:paraId="713B64F6"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(f) Transfer to the provider of the genetic resources of knowledge and technology under fair and most favorable terms, including on concessional and preferential terms where agreed</w:t>
            </w:r>
            <w:proofErr w:type="gramStart"/>
            <w:r w:rsidRPr="00B3383B">
              <w:rPr>
                <w:rFonts w:asciiTheme="majorBidi" w:hAnsiTheme="majorBidi" w:cstheme="majorBidi"/>
                <w:color w:val="000000" w:themeColor="text1"/>
                <w:sz w:val="20"/>
                <w:szCs w:val="20"/>
                <w:lang w:val="en-US" w:eastAsia="de-DE"/>
              </w:rPr>
              <w:t>, in particular, knowledge</w:t>
            </w:r>
            <w:proofErr w:type="gramEnd"/>
            <w:r w:rsidRPr="00B3383B">
              <w:rPr>
                <w:rFonts w:asciiTheme="majorBidi" w:hAnsiTheme="majorBidi" w:cstheme="majorBidi"/>
                <w:color w:val="000000" w:themeColor="text1"/>
                <w:sz w:val="20"/>
                <w:szCs w:val="20"/>
                <w:lang w:val="en-US" w:eastAsia="de-DE"/>
              </w:rPr>
              <w:t xml:space="preserve"> and technology that make use of genetic resources, including biotechnology, or that are relevant to the conservation and sustainable utilization of biological diversity </w:t>
            </w:r>
          </w:p>
        </w:tc>
        <w:tc>
          <w:tcPr>
            <w:tcW w:w="2127" w:type="dxa"/>
            <w:vMerge w:val="restart"/>
            <w:tcMar>
              <w:top w:w="0" w:type="dxa"/>
              <w:left w:w="100" w:type="dxa"/>
              <w:bottom w:w="0" w:type="dxa"/>
              <w:right w:w="100" w:type="dxa"/>
            </w:tcMar>
          </w:tcPr>
          <w:p w14:paraId="0E9D1FD1"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Number of technology transfer events. </w:t>
            </w:r>
          </w:p>
          <w:p w14:paraId="3CDA3E83"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p>
          <w:p w14:paraId="1B9CFA2A"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(Technology transfer events may include joint patents, licenses and other intellectual property rights (IPR); new products, processes or services that have been exchanged; new startups.) </w:t>
            </w:r>
          </w:p>
          <w:p w14:paraId="7035D72D"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 </w:t>
            </w:r>
          </w:p>
        </w:tc>
      </w:tr>
      <w:tr w:rsidR="0081052F" w:rsidRPr="00ED7E61" w14:paraId="329ABD02" w14:textId="77777777" w:rsidTr="00AA4CEC">
        <w:trPr>
          <w:trHeight w:val="160"/>
        </w:trPr>
        <w:tc>
          <w:tcPr>
            <w:tcW w:w="2262" w:type="dxa"/>
            <w:vMerge/>
            <w:tcMar>
              <w:top w:w="100" w:type="dxa"/>
              <w:left w:w="100" w:type="dxa"/>
              <w:bottom w:w="100" w:type="dxa"/>
              <w:right w:w="100" w:type="dxa"/>
            </w:tcMar>
          </w:tcPr>
          <w:p w14:paraId="1F1BCF15" w14:textId="77777777" w:rsidR="0081052F" w:rsidRPr="00ED7E61" w:rsidRDefault="0081052F" w:rsidP="00395866">
            <w:pPr>
              <w:contextualSpacing/>
              <w:rPr>
                <w:rFonts w:asciiTheme="majorBidi" w:hAnsiTheme="majorBidi" w:cstheme="majorBidi"/>
                <w:color w:val="000000" w:themeColor="text1"/>
                <w:sz w:val="22"/>
                <w:szCs w:val="22"/>
                <w:lang w:val="en-US"/>
              </w:rPr>
            </w:pPr>
          </w:p>
        </w:tc>
        <w:tc>
          <w:tcPr>
            <w:tcW w:w="4536" w:type="dxa"/>
            <w:tcMar>
              <w:top w:w="0" w:type="dxa"/>
              <w:left w:w="100" w:type="dxa"/>
              <w:bottom w:w="0" w:type="dxa"/>
              <w:right w:w="100" w:type="dxa"/>
            </w:tcMar>
          </w:tcPr>
          <w:p w14:paraId="08E420B7"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 (h) Strengthening capacities for technology transfer</w:t>
            </w:r>
          </w:p>
        </w:tc>
        <w:tc>
          <w:tcPr>
            <w:tcW w:w="2127" w:type="dxa"/>
            <w:vMerge/>
            <w:tcMar>
              <w:top w:w="100" w:type="dxa"/>
              <w:left w:w="100" w:type="dxa"/>
              <w:bottom w:w="100" w:type="dxa"/>
              <w:right w:w="100" w:type="dxa"/>
            </w:tcMar>
          </w:tcPr>
          <w:p w14:paraId="32C7B5EB" w14:textId="77777777" w:rsidR="0081052F" w:rsidRPr="00ED7E61" w:rsidRDefault="0081052F" w:rsidP="00395866">
            <w:pPr>
              <w:contextualSpacing/>
              <w:rPr>
                <w:rFonts w:asciiTheme="majorBidi" w:hAnsiTheme="majorBidi" w:cstheme="majorBidi"/>
                <w:color w:val="000000" w:themeColor="text1"/>
                <w:sz w:val="22"/>
                <w:szCs w:val="22"/>
                <w:lang w:val="en-US"/>
              </w:rPr>
            </w:pPr>
          </w:p>
        </w:tc>
      </w:tr>
      <w:tr w:rsidR="0081052F" w:rsidRPr="00ED7E61" w14:paraId="59455119" w14:textId="77777777" w:rsidTr="00AA4CEC">
        <w:trPr>
          <w:trHeight w:val="20"/>
        </w:trPr>
        <w:tc>
          <w:tcPr>
            <w:tcW w:w="2262" w:type="dxa"/>
            <w:vMerge/>
            <w:tcMar>
              <w:top w:w="100" w:type="dxa"/>
              <w:left w:w="100" w:type="dxa"/>
              <w:bottom w:w="100" w:type="dxa"/>
              <w:right w:w="100" w:type="dxa"/>
            </w:tcMar>
          </w:tcPr>
          <w:p w14:paraId="7551B7E3" w14:textId="77777777" w:rsidR="0081052F" w:rsidRPr="00ED7E61" w:rsidRDefault="0081052F" w:rsidP="00395866">
            <w:pPr>
              <w:contextualSpacing/>
              <w:rPr>
                <w:rFonts w:asciiTheme="majorBidi" w:hAnsiTheme="majorBidi" w:cstheme="majorBidi"/>
                <w:color w:val="000000" w:themeColor="text1"/>
                <w:sz w:val="22"/>
                <w:szCs w:val="22"/>
                <w:lang w:val="en-US"/>
              </w:rPr>
            </w:pPr>
          </w:p>
        </w:tc>
        <w:tc>
          <w:tcPr>
            <w:tcW w:w="4536" w:type="dxa"/>
            <w:tcMar>
              <w:top w:w="0" w:type="dxa"/>
              <w:left w:w="100" w:type="dxa"/>
              <w:bottom w:w="0" w:type="dxa"/>
              <w:right w:w="100" w:type="dxa"/>
            </w:tcMar>
          </w:tcPr>
          <w:p w14:paraId="5B086837"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(c) Participation in product development</w:t>
            </w:r>
          </w:p>
        </w:tc>
        <w:tc>
          <w:tcPr>
            <w:tcW w:w="2127" w:type="dxa"/>
            <w:vMerge/>
            <w:tcMar>
              <w:top w:w="100" w:type="dxa"/>
              <w:left w:w="100" w:type="dxa"/>
              <w:bottom w:w="100" w:type="dxa"/>
              <w:right w:w="100" w:type="dxa"/>
            </w:tcMar>
          </w:tcPr>
          <w:p w14:paraId="6C92DD6B" w14:textId="77777777" w:rsidR="0081052F" w:rsidRPr="00ED7E61" w:rsidRDefault="0081052F" w:rsidP="00395866">
            <w:pPr>
              <w:contextualSpacing/>
              <w:rPr>
                <w:rFonts w:asciiTheme="majorBidi" w:hAnsiTheme="majorBidi" w:cstheme="majorBidi"/>
                <w:color w:val="000000" w:themeColor="text1"/>
                <w:sz w:val="22"/>
                <w:szCs w:val="22"/>
                <w:lang w:val="en-US"/>
              </w:rPr>
            </w:pPr>
          </w:p>
        </w:tc>
      </w:tr>
      <w:tr w:rsidR="0081052F" w:rsidRPr="00ED7E61" w14:paraId="2A3FA5D2" w14:textId="77777777" w:rsidTr="00AA4CEC">
        <w:trPr>
          <w:trHeight w:val="466"/>
        </w:trPr>
        <w:tc>
          <w:tcPr>
            <w:tcW w:w="2262" w:type="dxa"/>
            <w:vMerge/>
            <w:tcMar>
              <w:top w:w="100" w:type="dxa"/>
              <w:left w:w="100" w:type="dxa"/>
              <w:bottom w:w="100" w:type="dxa"/>
              <w:right w:w="100" w:type="dxa"/>
            </w:tcMar>
          </w:tcPr>
          <w:p w14:paraId="53451668" w14:textId="77777777" w:rsidR="0081052F" w:rsidRPr="00ED7E61" w:rsidRDefault="0081052F" w:rsidP="00395866">
            <w:pPr>
              <w:contextualSpacing/>
              <w:rPr>
                <w:rFonts w:asciiTheme="majorBidi" w:hAnsiTheme="majorBidi" w:cstheme="majorBidi"/>
                <w:color w:val="000000" w:themeColor="text1"/>
                <w:sz w:val="22"/>
                <w:szCs w:val="22"/>
                <w:lang w:val="en-US"/>
              </w:rPr>
            </w:pPr>
          </w:p>
        </w:tc>
        <w:tc>
          <w:tcPr>
            <w:tcW w:w="4536" w:type="dxa"/>
            <w:tcMar>
              <w:top w:w="0" w:type="dxa"/>
              <w:left w:w="100" w:type="dxa"/>
              <w:bottom w:w="0" w:type="dxa"/>
              <w:right w:w="100" w:type="dxa"/>
            </w:tcMar>
          </w:tcPr>
          <w:p w14:paraId="1C7963F5"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(q</w:t>
            </w:r>
            <w:proofErr w:type="gramStart"/>
            <w:r w:rsidRPr="00B3383B">
              <w:rPr>
                <w:rFonts w:asciiTheme="majorBidi" w:hAnsiTheme="majorBidi" w:cstheme="majorBidi"/>
                <w:color w:val="000000" w:themeColor="text1"/>
                <w:sz w:val="20"/>
                <w:szCs w:val="20"/>
                <w:lang w:val="en-US" w:eastAsia="de-DE"/>
              </w:rPr>
              <w:t>)  Joint</w:t>
            </w:r>
            <w:proofErr w:type="gramEnd"/>
            <w:r w:rsidRPr="00B3383B">
              <w:rPr>
                <w:rFonts w:asciiTheme="majorBidi" w:hAnsiTheme="majorBidi" w:cstheme="majorBidi"/>
                <w:color w:val="000000" w:themeColor="text1"/>
                <w:sz w:val="20"/>
                <w:szCs w:val="20"/>
                <w:lang w:val="en-US" w:eastAsia="de-DE"/>
              </w:rPr>
              <w:t xml:space="preserve"> ownership of relevant intellectual property rights. </w:t>
            </w:r>
          </w:p>
        </w:tc>
        <w:tc>
          <w:tcPr>
            <w:tcW w:w="2127" w:type="dxa"/>
            <w:vMerge/>
            <w:tcMar>
              <w:top w:w="100" w:type="dxa"/>
              <w:left w:w="100" w:type="dxa"/>
              <w:bottom w:w="100" w:type="dxa"/>
              <w:right w:w="100" w:type="dxa"/>
            </w:tcMar>
          </w:tcPr>
          <w:p w14:paraId="77FC6F1D" w14:textId="77777777" w:rsidR="0081052F" w:rsidRPr="00B3383B" w:rsidRDefault="0081052F" w:rsidP="00395866">
            <w:pPr>
              <w:contextualSpacing/>
              <w:rPr>
                <w:rFonts w:asciiTheme="majorBidi" w:hAnsiTheme="majorBidi" w:cstheme="majorBidi"/>
                <w:color w:val="000000" w:themeColor="text1"/>
                <w:sz w:val="20"/>
                <w:szCs w:val="20"/>
                <w:lang w:val="en-US"/>
              </w:rPr>
            </w:pPr>
          </w:p>
        </w:tc>
      </w:tr>
      <w:tr w:rsidR="0081052F" w:rsidRPr="00ED7E61" w14:paraId="1C54195F" w14:textId="77777777" w:rsidTr="00AA4CEC">
        <w:trPr>
          <w:trHeight w:val="30"/>
        </w:trPr>
        <w:tc>
          <w:tcPr>
            <w:tcW w:w="2262" w:type="dxa"/>
            <w:vMerge w:val="restart"/>
            <w:tcMar>
              <w:top w:w="20" w:type="dxa"/>
              <w:left w:w="20" w:type="dxa"/>
              <w:bottom w:w="20" w:type="dxa"/>
              <w:right w:w="20" w:type="dxa"/>
            </w:tcMar>
          </w:tcPr>
          <w:p w14:paraId="66C92D8C"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Sustainable development benefits</w:t>
            </w:r>
          </w:p>
          <w:p w14:paraId="4EE53FE8" w14:textId="77777777" w:rsidR="0081052F" w:rsidRPr="00ED7E61" w:rsidRDefault="0081052F" w:rsidP="00395866">
            <w:pPr>
              <w:contextualSpacing/>
              <w:rPr>
                <w:rFonts w:asciiTheme="majorBidi" w:hAnsiTheme="majorBidi" w:cstheme="majorBidi"/>
                <w:color w:val="000000" w:themeColor="text1"/>
                <w:sz w:val="22"/>
                <w:szCs w:val="22"/>
                <w:lang w:val="en-US" w:eastAsia="de-DE"/>
              </w:rPr>
            </w:pPr>
            <w:r w:rsidRPr="00ED7E61">
              <w:rPr>
                <w:rFonts w:asciiTheme="majorBidi" w:hAnsiTheme="majorBidi" w:cstheme="majorBidi"/>
                <w:color w:val="000000" w:themeColor="text1"/>
                <w:sz w:val="22"/>
                <w:szCs w:val="22"/>
                <w:lang w:val="en-US" w:eastAsia="de-DE"/>
              </w:rPr>
              <w:t xml:space="preserve"> </w:t>
            </w:r>
          </w:p>
        </w:tc>
        <w:tc>
          <w:tcPr>
            <w:tcW w:w="4536" w:type="dxa"/>
            <w:tcMar>
              <w:top w:w="0" w:type="dxa"/>
              <w:left w:w="100" w:type="dxa"/>
              <w:bottom w:w="0" w:type="dxa"/>
              <w:right w:w="100" w:type="dxa"/>
            </w:tcMar>
          </w:tcPr>
          <w:p w14:paraId="4BD17E46"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(l</w:t>
            </w:r>
            <w:proofErr w:type="gramStart"/>
            <w:r w:rsidRPr="00B3383B">
              <w:rPr>
                <w:rFonts w:asciiTheme="majorBidi" w:hAnsiTheme="majorBidi" w:cstheme="majorBidi"/>
                <w:color w:val="000000" w:themeColor="text1"/>
                <w:sz w:val="20"/>
                <w:szCs w:val="20"/>
                <w:lang w:val="en-US" w:eastAsia="de-DE"/>
              </w:rPr>
              <w:t>)  Contributions</w:t>
            </w:r>
            <w:proofErr w:type="gramEnd"/>
            <w:r w:rsidRPr="00B3383B">
              <w:rPr>
                <w:rFonts w:asciiTheme="majorBidi" w:hAnsiTheme="majorBidi" w:cstheme="majorBidi"/>
                <w:color w:val="000000" w:themeColor="text1"/>
                <w:sz w:val="20"/>
                <w:szCs w:val="20"/>
                <w:lang w:val="en-US" w:eastAsia="de-DE"/>
              </w:rPr>
              <w:t xml:space="preserve"> to the local economy</w:t>
            </w:r>
          </w:p>
        </w:tc>
        <w:tc>
          <w:tcPr>
            <w:tcW w:w="2127" w:type="dxa"/>
            <w:vMerge w:val="restart"/>
            <w:tcMar>
              <w:top w:w="0" w:type="dxa"/>
              <w:left w:w="100" w:type="dxa"/>
              <w:bottom w:w="0" w:type="dxa"/>
              <w:right w:w="100" w:type="dxa"/>
            </w:tcMar>
          </w:tcPr>
          <w:p w14:paraId="3EE618D9"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 xml:space="preserve">Number of projects contributing to sustainable development </w:t>
            </w:r>
          </w:p>
        </w:tc>
      </w:tr>
      <w:tr w:rsidR="0081052F" w:rsidRPr="00ED7E61" w14:paraId="50384E67" w14:textId="77777777" w:rsidTr="00AA4CEC">
        <w:trPr>
          <w:trHeight w:val="61"/>
        </w:trPr>
        <w:tc>
          <w:tcPr>
            <w:tcW w:w="2262" w:type="dxa"/>
            <w:vMerge/>
            <w:tcMar>
              <w:top w:w="100" w:type="dxa"/>
              <w:left w:w="100" w:type="dxa"/>
              <w:bottom w:w="100" w:type="dxa"/>
              <w:right w:w="100" w:type="dxa"/>
            </w:tcMar>
          </w:tcPr>
          <w:p w14:paraId="615E1180" w14:textId="77777777" w:rsidR="0081052F" w:rsidRPr="00ED7E61" w:rsidRDefault="0081052F" w:rsidP="00395866">
            <w:pPr>
              <w:contextualSpacing/>
              <w:rPr>
                <w:rFonts w:asciiTheme="majorBidi" w:hAnsiTheme="majorBidi" w:cstheme="majorBidi"/>
                <w:color w:val="000000" w:themeColor="text1"/>
                <w:sz w:val="22"/>
                <w:szCs w:val="22"/>
                <w:lang w:val="en-US"/>
              </w:rPr>
            </w:pPr>
          </w:p>
        </w:tc>
        <w:tc>
          <w:tcPr>
            <w:tcW w:w="4536" w:type="dxa"/>
            <w:tcMar>
              <w:top w:w="0" w:type="dxa"/>
              <w:left w:w="100" w:type="dxa"/>
              <w:bottom w:w="0" w:type="dxa"/>
              <w:right w:w="100" w:type="dxa"/>
            </w:tcMar>
          </w:tcPr>
          <w:p w14:paraId="70D239FB"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(o</w:t>
            </w:r>
            <w:proofErr w:type="gramStart"/>
            <w:r w:rsidRPr="00B3383B">
              <w:rPr>
                <w:rFonts w:asciiTheme="majorBidi" w:hAnsiTheme="majorBidi" w:cstheme="majorBidi"/>
                <w:color w:val="000000" w:themeColor="text1"/>
                <w:sz w:val="20"/>
                <w:szCs w:val="20"/>
                <w:lang w:val="en-US" w:eastAsia="de-DE"/>
              </w:rPr>
              <w:t>)  Food</w:t>
            </w:r>
            <w:proofErr w:type="gramEnd"/>
            <w:r w:rsidRPr="00B3383B">
              <w:rPr>
                <w:rFonts w:asciiTheme="majorBidi" w:hAnsiTheme="majorBidi" w:cstheme="majorBidi"/>
                <w:color w:val="000000" w:themeColor="text1"/>
                <w:sz w:val="20"/>
                <w:szCs w:val="20"/>
                <w:lang w:val="en-US" w:eastAsia="de-DE"/>
              </w:rPr>
              <w:t xml:space="preserve"> and livelihood security benefits </w:t>
            </w:r>
          </w:p>
        </w:tc>
        <w:tc>
          <w:tcPr>
            <w:tcW w:w="2127" w:type="dxa"/>
            <w:vMerge/>
            <w:tcMar>
              <w:top w:w="100" w:type="dxa"/>
              <w:left w:w="100" w:type="dxa"/>
              <w:bottom w:w="100" w:type="dxa"/>
              <w:right w:w="100" w:type="dxa"/>
            </w:tcMar>
          </w:tcPr>
          <w:p w14:paraId="4C075442" w14:textId="77777777" w:rsidR="0081052F" w:rsidRPr="00ED7E61" w:rsidRDefault="0081052F" w:rsidP="00395866">
            <w:pPr>
              <w:contextualSpacing/>
              <w:rPr>
                <w:rFonts w:asciiTheme="majorBidi" w:hAnsiTheme="majorBidi" w:cstheme="majorBidi"/>
                <w:color w:val="000000" w:themeColor="text1"/>
                <w:sz w:val="22"/>
                <w:szCs w:val="22"/>
                <w:lang w:val="en-US"/>
              </w:rPr>
            </w:pPr>
          </w:p>
        </w:tc>
      </w:tr>
      <w:tr w:rsidR="0081052F" w:rsidRPr="00ED7E61" w14:paraId="54EA7751" w14:textId="77777777" w:rsidTr="00AA4CEC">
        <w:trPr>
          <w:trHeight w:val="150"/>
        </w:trPr>
        <w:tc>
          <w:tcPr>
            <w:tcW w:w="2262" w:type="dxa"/>
            <w:vMerge/>
            <w:tcMar>
              <w:top w:w="100" w:type="dxa"/>
              <w:left w:w="100" w:type="dxa"/>
              <w:bottom w:w="100" w:type="dxa"/>
              <w:right w:w="100" w:type="dxa"/>
            </w:tcMar>
          </w:tcPr>
          <w:p w14:paraId="1B24AAE0" w14:textId="77777777" w:rsidR="0081052F" w:rsidRPr="00ED7E61" w:rsidRDefault="0081052F" w:rsidP="00395866">
            <w:pPr>
              <w:contextualSpacing/>
              <w:rPr>
                <w:rFonts w:asciiTheme="majorBidi" w:hAnsiTheme="majorBidi" w:cstheme="majorBidi"/>
                <w:color w:val="000000" w:themeColor="text1"/>
                <w:sz w:val="22"/>
                <w:szCs w:val="22"/>
                <w:lang w:val="en-US"/>
              </w:rPr>
            </w:pPr>
          </w:p>
        </w:tc>
        <w:tc>
          <w:tcPr>
            <w:tcW w:w="4536" w:type="dxa"/>
            <w:tcMar>
              <w:top w:w="0" w:type="dxa"/>
              <w:left w:w="100" w:type="dxa"/>
              <w:bottom w:w="0" w:type="dxa"/>
              <w:right w:w="100" w:type="dxa"/>
            </w:tcMar>
          </w:tcPr>
          <w:p w14:paraId="68BC049A" w14:textId="77777777" w:rsidR="0081052F" w:rsidRPr="00B3383B" w:rsidRDefault="0081052F" w:rsidP="00395866">
            <w:pPr>
              <w:contextualSpacing/>
              <w:rPr>
                <w:rFonts w:asciiTheme="majorBidi" w:hAnsiTheme="majorBidi" w:cstheme="majorBidi"/>
                <w:color w:val="000000" w:themeColor="text1"/>
                <w:sz w:val="20"/>
                <w:szCs w:val="20"/>
                <w:lang w:val="en-US" w:eastAsia="de-DE"/>
              </w:rPr>
            </w:pPr>
            <w:r w:rsidRPr="00B3383B">
              <w:rPr>
                <w:rFonts w:asciiTheme="majorBidi" w:hAnsiTheme="majorBidi" w:cstheme="majorBidi"/>
                <w:color w:val="000000" w:themeColor="text1"/>
                <w:sz w:val="20"/>
                <w:szCs w:val="20"/>
                <w:lang w:val="en-US" w:eastAsia="de-DE"/>
              </w:rPr>
              <w:t>(p)  Social recognition</w:t>
            </w:r>
          </w:p>
        </w:tc>
        <w:tc>
          <w:tcPr>
            <w:tcW w:w="2127" w:type="dxa"/>
            <w:vMerge/>
            <w:tcMar>
              <w:top w:w="100" w:type="dxa"/>
              <w:left w:w="100" w:type="dxa"/>
              <w:bottom w:w="100" w:type="dxa"/>
              <w:right w:w="100" w:type="dxa"/>
            </w:tcMar>
          </w:tcPr>
          <w:p w14:paraId="10096EC0" w14:textId="77777777" w:rsidR="0081052F" w:rsidRPr="00ED7E61" w:rsidRDefault="0081052F" w:rsidP="00395866">
            <w:pPr>
              <w:contextualSpacing/>
              <w:rPr>
                <w:rFonts w:asciiTheme="majorBidi" w:hAnsiTheme="majorBidi" w:cstheme="majorBidi"/>
                <w:color w:val="000000" w:themeColor="text1"/>
                <w:sz w:val="22"/>
                <w:szCs w:val="22"/>
                <w:lang w:val="en-US"/>
              </w:rPr>
            </w:pPr>
          </w:p>
        </w:tc>
      </w:tr>
    </w:tbl>
    <w:p w14:paraId="41F047C6" w14:textId="0468B45D" w:rsidR="0081052F" w:rsidRDefault="0081052F" w:rsidP="00B10F0C">
      <w:pPr>
        <w:pStyle w:val="CBDNormalNumber"/>
        <w:numPr>
          <w:ilvl w:val="0"/>
          <w:numId w:val="64"/>
        </w:numPr>
        <w:ind w:left="567" w:firstLine="0"/>
        <w:rPr>
          <w:color w:val="000000" w:themeColor="text1"/>
          <w:lang w:val="en-US" w:eastAsia="de-DE"/>
        </w:rPr>
      </w:pPr>
      <w:proofErr w:type="gramStart"/>
      <w:r w:rsidRPr="00ED7E61">
        <w:rPr>
          <w:color w:val="000000" w:themeColor="text1"/>
          <w:lang w:val="en-US" w:eastAsia="de-DE"/>
        </w:rPr>
        <w:t>In light of</w:t>
      </w:r>
      <w:proofErr w:type="gramEnd"/>
      <w:r w:rsidRPr="00ED7E61">
        <w:rPr>
          <w:color w:val="000000" w:themeColor="text1"/>
          <w:lang w:val="en-US" w:eastAsia="de-DE"/>
        </w:rPr>
        <w:t xml:space="preserve"> </w:t>
      </w:r>
      <w:proofErr w:type="gramStart"/>
      <w:r w:rsidRPr="00ED7E61">
        <w:rPr>
          <w:color w:val="000000" w:themeColor="text1"/>
          <w:lang w:val="en-US" w:eastAsia="de-DE"/>
        </w:rPr>
        <w:t>all of</w:t>
      </w:r>
      <w:proofErr w:type="gramEnd"/>
      <w:r w:rsidRPr="00ED7E61">
        <w:rPr>
          <w:color w:val="000000" w:themeColor="text1"/>
          <w:lang w:val="en-US" w:eastAsia="de-DE"/>
        </w:rPr>
        <w:t xml:space="preserve"> the above, the headline indicator is computed in </w:t>
      </w:r>
      <w:r w:rsidR="00F07DA6">
        <w:rPr>
          <w:color w:val="000000" w:themeColor="text1"/>
          <w:lang w:val="en-US" w:eastAsia="de-DE"/>
        </w:rPr>
        <w:t>two</w:t>
      </w:r>
      <w:r w:rsidR="00F07DA6" w:rsidRPr="00ED7E61">
        <w:rPr>
          <w:color w:val="000000" w:themeColor="text1"/>
          <w:lang w:val="en-US" w:eastAsia="de-DE"/>
        </w:rPr>
        <w:t xml:space="preserve"> </w:t>
      </w:r>
      <w:proofErr w:type="gramStart"/>
      <w:r w:rsidRPr="00ED7E61">
        <w:rPr>
          <w:color w:val="000000" w:themeColor="text1"/>
          <w:lang w:val="en-US" w:eastAsia="de-DE"/>
        </w:rPr>
        <w:t>stages</w:t>
      </w:r>
      <w:proofErr w:type="gramEnd"/>
      <w:r w:rsidRPr="00ED7E61">
        <w:rPr>
          <w:color w:val="000000" w:themeColor="text1"/>
          <w:lang w:val="en-US" w:eastAsia="de-DE"/>
        </w:rPr>
        <w:t xml:space="preserve"> 1) compilation of information</w:t>
      </w:r>
      <w:r w:rsidR="006E1154">
        <w:rPr>
          <w:color w:val="000000" w:themeColor="text1"/>
          <w:lang w:val="en-US" w:eastAsia="de-DE"/>
        </w:rPr>
        <w:t xml:space="preserve"> on the six types of non-monetary benefits and</w:t>
      </w:r>
      <w:r w:rsidRPr="00ED7E61">
        <w:rPr>
          <w:color w:val="000000" w:themeColor="text1"/>
          <w:lang w:val="en-US" w:eastAsia="de-DE"/>
        </w:rPr>
        <w:t xml:space="preserve">, and </w:t>
      </w:r>
      <w:r w:rsidR="006E1154">
        <w:rPr>
          <w:color w:val="000000" w:themeColor="text1"/>
          <w:lang w:val="en-US" w:eastAsia="de-DE"/>
        </w:rPr>
        <w:t>2</w:t>
      </w:r>
      <w:r w:rsidRPr="00ED7E61">
        <w:rPr>
          <w:color w:val="000000" w:themeColor="text1"/>
          <w:lang w:val="en-US" w:eastAsia="de-DE"/>
        </w:rPr>
        <w:t xml:space="preserve">) </w:t>
      </w:r>
      <w:r w:rsidR="006E1154">
        <w:rPr>
          <w:color w:val="000000" w:themeColor="text1"/>
          <w:lang w:val="en-US" w:eastAsia="de-DE"/>
        </w:rPr>
        <w:t>indicator calculation</w:t>
      </w:r>
      <w:r w:rsidRPr="00ED7E61">
        <w:rPr>
          <w:color w:val="000000" w:themeColor="text1"/>
          <w:lang w:val="en-US" w:eastAsia="de-DE"/>
        </w:rPr>
        <w:t>.</w:t>
      </w:r>
    </w:p>
    <w:p w14:paraId="3B661783" w14:textId="77777777" w:rsidR="00C364C1" w:rsidRPr="00BC5668" w:rsidRDefault="00C364C1" w:rsidP="00C364C1">
      <w:pPr>
        <w:pBdr>
          <w:top w:val="nil"/>
          <w:left w:val="nil"/>
          <w:bottom w:val="nil"/>
          <w:right w:val="nil"/>
          <w:between w:val="nil"/>
        </w:pBdr>
        <w:tabs>
          <w:tab w:val="left" w:pos="567"/>
          <w:tab w:val="left" w:pos="1134"/>
          <w:tab w:val="left" w:pos="1701"/>
          <w:tab w:val="left" w:pos="2268"/>
          <w:tab w:val="left" w:pos="2835"/>
          <w:tab w:val="left" w:pos="3402"/>
          <w:tab w:val="left" w:pos="3969"/>
        </w:tabs>
        <w:spacing w:before="120" w:after="120"/>
        <w:jc w:val="both"/>
        <w:rPr>
          <w:i/>
          <w:iCs/>
          <w:sz w:val="22"/>
          <w:szCs w:val="22"/>
        </w:rPr>
      </w:pPr>
      <w:r w:rsidRPr="00BC5668">
        <w:rPr>
          <w:i/>
          <w:iCs/>
          <w:sz w:val="22"/>
          <w:szCs w:val="22"/>
        </w:rPr>
        <w:t xml:space="preserve">Stage </w:t>
      </w:r>
      <w:r>
        <w:rPr>
          <w:i/>
          <w:iCs/>
          <w:sz w:val="22"/>
          <w:szCs w:val="22"/>
        </w:rPr>
        <w:t>1</w:t>
      </w:r>
      <w:r w:rsidRPr="00BC5668">
        <w:rPr>
          <w:i/>
          <w:iCs/>
          <w:sz w:val="22"/>
          <w:szCs w:val="22"/>
        </w:rPr>
        <w:t>. Compilation of information</w:t>
      </w:r>
      <w:r w:rsidRPr="00BD0ECE">
        <w:t xml:space="preserve"> </w:t>
      </w:r>
      <w:r w:rsidRPr="00BD0ECE">
        <w:rPr>
          <w:i/>
          <w:iCs/>
          <w:sz w:val="22"/>
          <w:szCs w:val="22"/>
        </w:rPr>
        <w:t>on the six types of non-monetary benefits</w:t>
      </w:r>
      <w:r w:rsidRPr="00BC5668">
        <w:rPr>
          <w:i/>
          <w:iCs/>
          <w:sz w:val="22"/>
          <w:szCs w:val="22"/>
        </w:rPr>
        <w:t xml:space="preserve">: </w:t>
      </w:r>
    </w:p>
    <w:p w14:paraId="56A0CBDD" w14:textId="77777777" w:rsidR="00C364C1" w:rsidRPr="00812871" w:rsidRDefault="00C364C1"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See section 5c on data collection method. Information on three types of non-monetary benefits will be collected at the global level, disaggregated, and made available for countries to include in their National Reports. Information on the other three types must be collected at the national level.</w:t>
      </w:r>
    </w:p>
    <w:p w14:paraId="71B9BDDD" w14:textId="77777777" w:rsidR="00C364C1" w:rsidRPr="00BC5668" w:rsidRDefault="00C364C1" w:rsidP="00C364C1">
      <w:pPr>
        <w:pBdr>
          <w:top w:val="nil"/>
          <w:left w:val="nil"/>
          <w:bottom w:val="nil"/>
          <w:right w:val="nil"/>
          <w:between w:val="nil"/>
        </w:pBdr>
        <w:tabs>
          <w:tab w:val="left" w:pos="563"/>
          <w:tab w:val="left" w:pos="1134"/>
          <w:tab w:val="left" w:pos="1701"/>
          <w:tab w:val="left" w:pos="2268"/>
          <w:tab w:val="left" w:pos="2835"/>
          <w:tab w:val="left" w:pos="3402"/>
          <w:tab w:val="left" w:pos="3969"/>
        </w:tabs>
        <w:spacing w:before="120" w:after="120"/>
        <w:jc w:val="both"/>
        <w:rPr>
          <w:sz w:val="22"/>
          <w:szCs w:val="22"/>
        </w:rPr>
      </w:pPr>
      <w:r>
        <w:rPr>
          <w:sz w:val="22"/>
          <w:szCs w:val="22"/>
        </w:rPr>
        <w:tab/>
      </w:r>
      <w:r w:rsidRPr="00BC5668">
        <w:rPr>
          <w:i/>
          <w:iCs/>
          <w:sz w:val="22"/>
          <w:szCs w:val="22"/>
        </w:rPr>
        <w:t>Stage</w:t>
      </w:r>
      <w:r>
        <w:rPr>
          <w:i/>
          <w:iCs/>
          <w:sz w:val="22"/>
          <w:szCs w:val="22"/>
        </w:rPr>
        <w:t xml:space="preserve"> 2</w:t>
      </w:r>
      <w:r w:rsidRPr="00BC5668">
        <w:rPr>
          <w:i/>
          <w:iCs/>
          <w:sz w:val="22"/>
          <w:szCs w:val="22"/>
        </w:rPr>
        <w:t>. Indicator calculation:</w:t>
      </w:r>
      <w:r w:rsidRPr="00BC5668">
        <w:rPr>
          <w:sz w:val="22"/>
          <w:szCs w:val="22"/>
        </w:rPr>
        <w:t xml:space="preserve"> </w:t>
      </w:r>
    </w:p>
    <w:p w14:paraId="7DB5CCA7" w14:textId="77777777" w:rsidR="00C364C1" w:rsidRPr="00812871" w:rsidRDefault="00C364C1"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Countries should </w:t>
      </w:r>
      <w:proofErr w:type="gramStart"/>
      <w:r w:rsidRPr="00812871">
        <w:rPr>
          <w:color w:val="000000" w:themeColor="text1"/>
          <w:lang w:val="en-US" w:eastAsia="de-DE"/>
        </w:rPr>
        <w:t>report</w:t>
      </w:r>
      <w:proofErr w:type="gramEnd"/>
      <w:r w:rsidRPr="00812871">
        <w:rPr>
          <w:color w:val="000000" w:themeColor="text1"/>
          <w:lang w:val="en-US" w:eastAsia="de-DE"/>
        </w:rPr>
        <w:t xml:space="preserve"> the absolute values for the six types of non-monetary benefits received.</w:t>
      </w:r>
    </w:p>
    <w:p w14:paraId="42792F29" w14:textId="77777777" w:rsidR="00C364C1" w:rsidRPr="00812871" w:rsidRDefault="00C364C1"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Information reported during the first reporting period, in 2026, will be used by the CBD Secretariat to establish the baseline for this indicator. Information submitted in subsequent reports will be used to calculate the global average rate of change over a given </w:t>
      </w:r>
      <w:proofErr w:type="gramStart"/>
      <w:r w:rsidRPr="00812871">
        <w:rPr>
          <w:color w:val="000000" w:themeColor="text1"/>
          <w:lang w:val="en-US" w:eastAsia="de-DE"/>
        </w:rPr>
        <w:t>time period</w:t>
      </w:r>
      <w:proofErr w:type="gramEnd"/>
      <w:r w:rsidRPr="00812871">
        <w:rPr>
          <w:color w:val="000000" w:themeColor="text1"/>
          <w:lang w:val="en-US" w:eastAsia="de-DE"/>
        </w:rPr>
        <w:t xml:space="preserve"> compared to the baseline year. </w:t>
      </w:r>
    </w:p>
    <w:p w14:paraId="7FD73E9B" w14:textId="77777777" w:rsidR="00C731D2" w:rsidRDefault="00C364C1" w:rsidP="00C731D2">
      <w:pPr>
        <w:pStyle w:val="CBDNormalNumber"/>
        <w:numPr>
          <w:ilvl w:val="0"/>
          <w:numId w:val="64"/>
        </w:numPr>
        <w:ind w:left="567" w:firstLine="0"/>
        <w:rPr>
          <w:color w:val="000000" w:themeColor="text1"/>
          <w:lang w:val="en-US" w:eastAsia="de-DE"/>
        </w:rPr>
      </w:pPr>
      <w:r w:rsidRPr="00812871">
        <w:rPr>
          <w:color w:val="000000" w:themeColor="text1"/>
          <w:lang w:val="en-US" w:eastAsia="de-DE"/>
        </w:rPr>
        <w:t>The CBD Secretariat, based on the information received, will disaggregate the indicator, where possible:</w:t>
      </w:r>
    </w:p>
    <w:p w14:paraId="7A2F46E6" w14:textId="75CACAE9" w:rsidR="00C364C1" w:rsidRPr="00812871" w:rsidRDefault="00C364C1" w:rsidP="00812871">
      <w:pPr>
        <w:pStyle w:val="CBDNormalNumber"/>
        <w:numPr>
          <w:ilvl w:val="1"/>
          <w:numId w:val="64"/>
        </w:numPr>
        <w:rPr>
          <w:color w:val="000000" w:themeColor="text1"/>
          <w:lang w:val="en-US" w:eastAsia="de-DE"/>
        </w:rPr>
      </w:pPr>
      <w:r w:rsidRPr="00C731D2">
        <w:t xml:space="preserve">By type of non-monetary benefits.  </w:t>
      </w:r>
    </w:p>
    <w:p w14:paraId="02BFED1B" w14:textId="77777777" w:rsidR="00C364C1" w:rsidRDefault="00C364C1" w:rsidP="00C364C1">
      <w:pPr>
        <w:numPr>
          <w:ilvl w:val="1"/>
          <w:numId w:val="64"/>
        </w:numPr>
        <w:pBdr>
          <w:top w:val="nil"/>
          <w:left w:val="nil"/>
          <w:bottom w:val="nil"/>
          <w:right w:val="nil"/>
          <w:between w:val="nil"/>
        </w:pBdr>
        <w:tabs>
          <w:tab w:val="left" w:pos="840"/>
          <w:tab w:val="left" w:pos="1134"/>
          <w:tab w:val="left" w:pos="1701"/>
          <w:tab w:val="left" w:pos="2268"/>
          <w:tab w:val="left" w:pos="2835"/>
          <w:tab w:val="left" w:pos="3402"/>
          <w:tab w:val="left" w:pos="3969"/>
        </w:tabs>
        <w:spacing w:before="120" w:after="120"/>
        <w:jc w:val="both"/>
        <w:rPr>
          <w:sz w:val="22"/>
          <w:szCs w:val="22"/>
        </w:rPr>
      </w:pPr>
      <w:r w:rsidRPr="00BC5668">
        <w:rPr>
          <w:sz w:val="22"/>
          <w:szCs w:val="22"/>
        </w:rPr>
        <w:t xml:space="preserve">By non-monetary benefits received by indigenous peoples and local communities. </w:t>
      </w:r>
    </w:p>
    <w:p w14:paraId="17F7C88D" w14:textId="77777777" w:rsidR="00C364C1" w:rsidRDefault="00C364C1" w:rsidP="00C364C1">
      <w:pPr>
        <w:numPr>
          <w:ilvl w:val="1"/>
          <w:numId w:val="64"/>
        </w:numPr>
        <w:pBdr>
          <w:top w:val="nil"/>
          <w:left w:val="nil"/>
          <w:bottom w:val="nil"/>
          <w:right w:val="nil"/>
          <w:between w:val="nil"/>
        </w:pBdr>
        <w:tabs>
          <w:tab w:val="left" w:pos="840"/>
          <w:tab w:val="left" w:pos="1134"/>
          <w:tab w:val="left" w:pos="1701"/>
          <w:tab w:val="left" w:pos="2268"/>
          <w:tab w:val="left" w:pos="2835"/>
          <w:tab w:val="left" w:pos="3402"/>
          <w:tab w:val="left" w:pos="3969"/>
        </w:tabs>
        <w:spacing w:before="120" w:after="120"/>
        <w:jc w:val="both"/>
        <w:rPr>
          <w:sz w:val="22"/>
          <w:szCs w:val="22"/>
        </w:rPr>
      </w:pPr>
      <w:r w:rsidRPr="00BC5668">
        <w:rPr>
          <w:sz w:val="22"/>
          <w:szCs w:val="22"/>
        </w:rPr>
        <w:t>By relevant access and benefit-sharing instruments.</w:t>
      </w:r>
    </w:p>
    <w:p w14:paraId="39FE5F9B"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59CE0C79" w14:textId="77777777" w:rsidR="003837E2" w:rsidRPr="00BC5668" w:rsidRDefault="003837E2" w:rsidP="003837E2">
      <w:pPr>
        <w:pBdr>
          <w:top w:val="nil"/>
          <w:left w:val="nil"/>
          <w:bottom w:val="nil"/>
          <w:right w:val="nil"/>
          <w:between w:val="nil"/>
        </w:pBdr>
        <w:tabs>
          <w:tab w:val="left" w:pos="567"/>
          <w:tab w:val="left" w:pos="1134"/>
          <w:tab w:val="left" w:pos="1701"/>
          <w:tab w:val="left" w:pos="2268"/>
          <w:tab w:val="left" w:pos="2835"/>
          <w:tab w:val="left" w:pos="3402"/>
          <w:tab w:val="left" w:pos="3969"/>
        </w:tabs>
        <w:spacing w:before="120" w:after="120"/>
        <w:jc w:val="both"/>
        <w:rPr>
          <w:i/>
          <w:iCs/>
          <w:sz w:val="22"/>
          <w:szCs w:val="22"/>
        </w:rPr>
      </w:pPr>
      <w:r>
        <w:rPr>
          <w:i/>
          <w:iCs/>
          <w:sz w:val="22"/>
          <w:szCs w:val="22"/>
        </w:rPr>
        <w:t>N</w:t>
      </w:r>
      <w:r w:rsidRPr="00BC5668">
        <w:rPr>
          <w:i/>
          <w:iCs/>
          <w:sz w:val="22"/>
          <w:szCs w:val="22"/>
        </w:rPr>
        <w:t>on-monetary benefit-sharing shared bilaterally under the CBD and the Nagoya Protocol.</w:t>
      </w:r>
    </w:p>
    <w:p w14:paraId="6EA68DA1" w14:textId="34F93DAC" w:rsidR="0081052F" w:rsidRPr="00ED7E61" w:rsidRDefault="0081052F" w:rsidP="00B10F0C">
      <w:pPr>
        <w:pStyle w:val="CBDNormalNumber"/>
        <w:numPr>
          <w:ilvl w:val="0"/>
          <w:numId w:val="64"/>
        </w:numPr>
        <w:ind w:left="567" w:firstLine="0"/>
        <w:rPr>
          <w:color w:val="000000" w:themeColor="text1"/>
          <w:lang w:val="en-US" w:eastAsia="de-DE"/>
        </w:rPr>
      </w:pPr>
      <w:r w:rsidRPr="00ED7E61">
        <w:rPr>
          <w:color w:val="000000" w:themeColor="text1"/>
          <w:lang w:val="en-US" w:eastAsia="de-DE"/>
        </w:rPr>
        <w:lastRenderedPageBreak/>
        <w:t xml:space="preserve">This information will be collected through the national reporting </w:t>
      </w:r>
      <w:r w:rsidR="003837E2">
        <w:rPr>
          <w:color w:val="000000" w:themeColor="text1"/>
          <w:lang w:val="en-US" w:eastAsia="de-DE"/>
        </w:rPr>
        <w:t xml:space="preserve">using the online reporting tool </w:t>
      </w:r>
      <w:r w:rsidR="00C641FE" w:rsidRPr="00BC5668">
        <w:t xml:space="preserve">(ORT, </w:t>
      </w:r>
      <w:hyperlink r:id="rId177" w:history="1">
        <w:r w:rsidR="00C641FE" w:rsidRPr="004D5334">
          <w:rPr>
            <w:rStyle w:val="Hyperlink"/>
          </w:rPr>
          <w:t>https://ort.cbd.int/</w:t>
        </w:r>
      </w:hyperlink>
      <w:r w:rsidR="00C641FE" w:rsidRPr="00BC5668">
        <w:t>)</w:t>
      </w:r>
      <w:r w:rsidR="00C641FE">
        <w:t xml:space="preserve"> </w:t>
      </w:r>
      <w:r w:rsidRPr="00ED7E61">
        <w:rPr>
          <w:color w:val="000000" w:themeColor="text1"/>
          <w:lang w:val="en-US" w:eastAsia="de-DE"/>
        </w:rPr>
        <w:t xml:space="preserve">under the Convention where Parties report which non-monetary benefits they have received.  The reporting should at a minimum include: </w:t>
      </w:r>
    </w:p>
    <w:p w14:paraId="06944EE8" w14:textId="77777777"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Number of research and development results arising from ABS instruments (globally aggregated and subsequently pre-populated into national reports)</w:t>
      </w:r>
    </w:p>
    <w:p w14:paraId="02A3BFAD" w14:textId="1B21F237"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Number of joint scientific publications arising from ABS instruments with authors from the provider country, where appropriate (globally aggregated and subsequently pre-populated into national reports)</w:t>
      </w:r>
    </w:p>
    <w:p w14:paraId="5EFCF576" w14:textId="0055ECD8"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Number of scientific publications relevant to conservation, sustainable use, food security, and public health arising from ABS instruments (globally aggregated and subsequently pre-populated into national reports)</w:t>
      </w:r>
    </w:p>
    <w:p w14:paraId="296190C1" w14:textId="77777777"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Number of technology transfer events arising from ABS instruments (nationally collected)</w:t>
      </w:r>
      <w:bookmarkStart w:id="23" w:name="_Hlk161646498"/>
      <w:r w:rsidRPr="00ED7E61">
        <w:rPr>
          <w:rStyle w:val="normaltextrun"/>
          <w:rFonts w:eastAsiaTheme="majorEastAsia"/>
        </w:rPr>
        <w:t xml:space="preserve"> </w:t>
      </w:r>
      <w:bookmarkEnd w:id="23"/>
    </w:p>
    <w:p w14:paraId="1EFB0146" w14:textId="77777777"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Number of projects contributing to sustainable development arising from ABS instruments (nationally collected) </w:t>
      </w:r>
    </w:p>
    <w:p w14:paraId="1E6CA702" w14:textId="77777777" w:rsidR="0081052F"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Indicator related to capacity-building and development as part of the non-monetary benefits arising from ABS instruments (TBD)</w:t>
      </w:r>
    </w:p>
    <w:p w14:paraId="041B6AEF" w14:textId="77777777" w:rsidR="00754295" w:rsidRPr="00812871" w:rsidRDefault="00754295"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The type of non-monetary benefit related to capacity-building and development needs further discussion; therefore, countries should not report on this in the first reporting period in 2026.</w:t>
      </w:r>
    </w:p>
    <w:p w14:paraId="2AE1FB4A" w14:textId="77777777" w:rsidR="00754295" w:rsidRPr="00812871" w:rsidRDefault="00754295"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The compilation of information on the globally collected types of non-monetary benefits (types a, b, and c) will use the Global Database on Non-Monetary Benefit-Sharing Database developed by the Leibniz Institute DSMZ (</w:t>
      </w:r>
      <w:hyperlink r:id="rId178" w:history="1">
        <w:r w:rsidRPr="00812871">
          <w:rPr>
            <w:color w:val="000000" w:themeColor="text1"/>
            <w:lang w:val="en-US" w:eastAsia="de-DE"/>
          </w:rPr>
          <w:t xml:space="preserve">Nunez-Vega </w:t>
        </w:r>
      </w:hyperlink>
      <w:hyperlink r:id="rId179" w:history="1">
        <w:r w:rsidRPr="00812871">
          <w:rPr>
            <w:color w:val="000000" w:themeColor="text1"/>
            <w:lang w:val="en-US" w:eastAsia="de-DE"/>
          </w:rPr>
          <w:t>et al</w:t>
        </w:r>
      </w:hyperlink>
      <w:hyperlink r:id="rId180" w:history="1">
        <w:r w:rsidRPr="00812871">
          <w:rPr>
            <w:color w:val="000000" w:themeColor="text1"/>
            <w:lang w:val="en-US" w:eastAsia="de-DE"/>
          </w:rPr>
          <w:t>. 2025</w:t>
        </w:r>
      </w:hyperlink>
      <w:r w:rsidRPr="00812871">
        <w:rPr>
          <w:color w:val="000000" w:themeColor="text1"/>
          <w:lang w:val="en-US" w:eastAsia="de-DE"/>
        </w:rPr>
        <w:t xml:space="preserve">), whose continuation is subject to the availability of funds.  The database is available </w:t>
      </w:r>
      <w:proofErr w:type="gramStart"/>
      <w:r w:rsidRPr="00812871">
        <w:rPr>
          <w:color w:val="000000" w:themeColor="text1"/>
          <w:lang w:val="en-US" w:eastAsia="de-DE"/>
        </w:rPr>
        <w:t>at https://nmbs.dsmz.de/ and includes publications in which an ABS permit is directly listed (cited) in the</w:t>
      </w:r>
      <w:proofErr w:type="gramEnd"/>
      <w:r w:rsidRPr="00812871">
        <w:rPr>
          <w:color w:val="000000" w:themeColor="text1"/>
          <w:lang w:val="en-US" w:eastAsia="de-DE"/>
        </w:rPr>
        <w:t xml:space="preserve"> text of the publication </w:t>
      </w:r>
      <w:proofErr w:type="gramStart"/>
      <w:r w:rsidRPr="00812871">
        <w:rPr>
          <w:color w:val="000000" w:themeColor="text1"/>
          <w:lang w:val="en-US" w:eastAsia="de-DE"/>
        </w:rPr>
        <w:t>and  provides</w:t>
      </w:r>
      <w:proofErr w:type="gramEnd"/>
      <w:r w:rsidRPr="00812871">
        <w:rPr>
          <w:color w:val="000000" w:themeColor="text1"/>
          <w:lang w:val="en-US" w:eastAsia="de-DE"/>
        </w:rPr>
        <w:t xml:space="preserve"> quantification of the three NMBS indicators. </w:t>
      </w:r>
    </w:p>
    <w:p w14:paraId="3A71FCA8" w14:textId="77777777" w:rsidR="00754295" w:rsidRPr="00812871" w:rsidRDefault="00754295"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The information collected globally will be disaggregated to the national level and made available for countries to report on in their national reports. The Global Database on Non-Monetary Benefit-Sharing (</w:t>
      </w:r>
      <w:hyperlink r:id="rId181" w:history="1">
        <w:r w:rsidRPr="00812871">
          <w:rPr>
            <w:color w:val="000000" w:themeColor="text1"/>
            <w:lang w:val="en-US" w:eastAsia="de-DE"/>
          </w:rPr>
          <w:t>https://nmbs.dsmz.de/)</w:t>
        </w:r>
      </w:hyperlink>
      <w:r w:rsidRPr="00812871">
        <w:rPr>
          <w:color w:val="000000" w:themeColor="text1"/>
          <w:lang w:val="en-US" w:eastAsia="de-DE"/>
        </w:rPr>
        <w:t xml:space="preserve"> also connects with the UNEP-WCMC Target Tracker platform (</w:t>
      </w:r>
      <w:hyperlink r:id="rId182" w:history="1">
        <w:r w:rsidRPr="00812871">
          <w:rPr>
            <w:color w:val="000000" w:themeColor="text1"/>
            <w:lang w:val="en-US" w:eastAsia="de-DE"/>
          </w:rPr>
          <w:t>https://target-tracker.org/</w:t>
        </w:r>
      </w:hyperlink>
      <w:r w:rsidRPr="00812871">
        <w:rPr>
          <w:color w:val="000000" w:themeColor="text1"/>
          <w:lang w:val="en-US" w:eastAsia="de-DE"/>
        </w:rPr>
        <w:t xml:space="preserve">) to ensure that NMBS indicator data will appear </w:t>
      </w:r>
      <w:hyperlink r:id="rId183" w:history="1">
        <w:r w:rsidRPr="00812871">
          <w:rPr>
            <w:color w:val="000000" w:themeColor="text1"/>
            <w:lang w:val="en-US" w:eastAsia="de-DE"/>
          </w:rPr>
          <w:t>as a draft in the website for submission of  the national report of the CBD  (https://ort.cbd.int/)</w:t>
        </w:r>
      </w:hyperlink>
      <w:r w:rsidRPr="00812871">
        <w:rPr>
          <w:color w:val="000000" w:themeColor="text1"/>
          <w:lang w:val="en-US" w:eastAsia="de-DE"/>
        </w:rPr>
        <w:t xml:space="preserve">. </w:t>
      </w:r>
    </w:p>
    <w:p w14:paraId="41F68A67" w14:textId="77777777" w:rsidR="00754295" w:rsidRPr="00812871" w:rsidRDefault="00754295"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In the Global Database, countries can filter (disaggregate) the information by country. For each country for which NMBS data was found, it will be broken down into:</w:t>
      </w:r>
    </w:p>
    <w:p w14:paraId="2A28754D" w14:textId="77777777" w:rsidR="00754295" w:rsidRDefault="00754295" w:rsidP="00754295">
      <w:pPr>
        <w:numPr>
          <w:ilvl w:val="1"/>
          <w:numId w:val="64"/>
        </w:numPr>
        <w:tabs>
          <w:tab w:val="left" w:pos="840"/>
          <w:tab w:val="left" w:pos="570"/>
          <w:tab w:val="left" w:pos="2268"/>
          <w:tab w:val="left" w:pos="2835"/>
          <w:tab w:val="left" w:pos="3402"/>
          <w:tab w:val="left" w:pos="3969"/>
        </w:tabs>
        <w:spacing w:before="120" w:after="120"/>
        <w:jc w:val="both"/>
        <w:rPr>
          <w:sz w:val="22"/>
          <w:szCs w:val="22"/>
        </w:rPr>
      </w:pPr>
      <w:r w:rsidRPr="00BC5668">
        <w:rPr>
          <w:i/>
          <w:iCs/>
          <w:sz w:val="22"/>
          <w:szCs w:val="22"/>
        </w:rPr>
        <w:t>Research results:</w:t>
      </w:r>
      <w:r>
        <w:rPr>
          <w:sz w:val="22"/>
          <w:szCs w:val="22"/>
        </w:rPr>
        <w:t xml:space="preserve"> number of scientific publications that cite an ABS permit, and the number of ABS permits found in publications. Additionally, the database makes available a detailed list of publications with the corresponding links to full text and the permit codes found in each publication, and a list of IRCCs and national ABS permits found in scientific publications. </w:t>
      </w:r>
    </w:p>
    <w:p w14:paraId="6D28C351" w14:textId="77777777" w:rsidR="00754295" w:rsidRDefault="00754295" w:rsidP="00754295">
      <w:pPr>
        <w:numPr>
          <w:ilvl w:val="1"/>
          <w:numId w:val="64"/>
        </w:numPr>
        <w:tabs>
          <w:tab w:val="left" w:pos="840"/>
          <w:tab w:val="left" w:pos="570"/>
          <w:tab w:val="left" w:pos="2268"/>
          <w:tab w:val="left" w:pos="2835"/>
          <w:tab w:val="left" w:pos="3402"/>
          <w:tab w:val="left" w:pos="3969"/>
        </w:tabs>
        <w:spacing w:before="120" w:after="120"/>
        <w:jc w:val="both"/>
        <w:rPr>
          <w:sz w:val="22"/>
          <w:szCs w:val="22"/>
        </w:rPr>
      </w:pPr>
      <w:r w:rsidRPr="00BC5668">
        <w:rPr>
          <w:i/>
          <w:iCs/>
          <w:sz w:val="22"/>
          <w:szCs w:val="22"/>
        </w:rPr>
        <w:t>Research results relevant to priority needs:</w:t>
      </w:r>
      <w:r>
        <w:rPr>
          <w:sz w:val="22"/>
          <w:szCs w:val="22"/>
        </w:rPr>
        <w:t xml:space="preserve"> number of scientific publications relevant to conservation, sustainable use, food security, and public health arising from ABS instruments.</w:t>
      </w:r>
    </w:p>
    <w:p w14:paraId="4FD9EB0B" w14:textId="77777777" w:rsidR="00754295" w:rsidRDefault="00754295" w:rsidP="00754295">
      <w:pPr>
        <w:numPr>
          <w:ilvl w:val="1"/>
          <w:numId w:val="64"/>
        </w:numPr>
        <w:tabs>
          <w:tab w:val="left" w:pos="840"/>
          <w:tab w:val="left" w:pos="570"/>
          <w:tab w:val="left" w:pos="2268"/>
          <w:tab w:val="left" w:pos="2835"/>
          <w:tab w:val="left" w:pos="3402"/>
          <w:tab w:val="left" w:pos="3969"/>
        </w:tabs>
        <w:spacing w:before="120" w:after="120"/>
        <w:jc w:val="both"/>
        <w:rPr>
          <w:sz w:val="22"/>
          <w:szCs w:val="22"/>
        </w:rPr>
      </w:pPr>
      <w:r>
        <w:rPr>
          <w:i/>
          <w:iCs/>
          <w:sz w:val="22"/>
          <w:szCs w:val="22"/>
        </w:rPr>
        <w:t>International collaborations:</w:t>
      </w:r>
      <w:r>
        <w:rPr>
          <w:sz w:val="22"/>
          <w:szCs w:val="22"/>
        </w:rPr>
        <w:t xml:space="preserve"> number of joint scientific publications that cite an ABS permit and include co-authors from the provider country.</w:t>
      </w:r>
    </w:p>
    <w:p w14:paraId="761ADF22" w14:textId="77777777" w:rsidR="00754295" w:rsidRDefault="00754295" w:rsidP="00812871">
      <w:pPr>
        <w:pStyle w:val="CBDNormalNumber"/>
        <w:numPr>
          <w:ilvl w:val="0"/>
          <w:numId w:val="64"/>
        </w:numPr>
        <w:ind w:left="567" w:firstLine="0"/>
      </w:pPr>
      <w:r w:rsidRPr="00812871">
        <w:rPr>
          <w:color w:val="000000" w:themeColor="text1"/>
          <w:lang w:val="en-US" w:eastAsia="de-DE"/>
        </w:rPr>
        <w:t>The</w:t>
      </w:r>
      <w:r>
        <w:t xml:space="preserve"> Global Database also offers an </w:t>
      </w:r>
      <w:hyperlink r:id="rId184" w:history="1">
        <w:r>
          <w:rPr>
            <w:color w:val="1155CC"/>
            <w:u w:val="single"/>
          </w:rPr>
          <w:t>Application Programming Interface</w:t>
        </w:r>
      </w:hyperlink>
      <w:hyperlink r:id="rId185" w:history="1">
        <w:r>
          <w:rPr>
            <w:color w:val="1155CC"/>
            <w:u w:val="single"/>
          </w:rPr>
          <w:t xml:space="preserve"> (API) endpoints</w:t>
        </w:r>
      </w:hyperlink>
      <w:r>
        <w:t xml:space="preserve"> that enable users to download the information programmatically in a machine-readable format. For more information about this tool, please contact the Leibniz Institute DSMZ (</w:t>
      </w:r>
      <w:hyperlink r:id="rId186" w:history="1">
        <w:r>
          <w:rPr>
            <w:color w:val="1155CC"/>
            <w:u w:val="single"/>
          </w:rPr>
          <w:t>nmbs@dsmz.de</w:t>
        </w:r>
      </w:hyperlink>
      <w:r>
        <w:t>).</w:t>
      </w:r>
    </w:p>
    <w:p w14:paraId="7FEF08E5" w14:textId="77777777" w:rsidR="00754295" w:rsidRPr="00812871" w:rsidRDefault="00754295"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lastRenderedPageBreak/>
        <w:t>If a country that has granted ABS permits does not appear in the Global Database, national authorities are invited to contact the Leibniz Institute DSMZ (</w:t>
      </w:r>
      <w:hyperlink r:id="rId187" w:history="1">
        <w:r w:rsidRPr="00812871">
          <w:rPr>
            <w:color w:val="000000" w:themeColor="text1"/>
            <w:lang w:val="en-US" w:eastAsia="de-DE"/>
          </w:rPr>
          <w:t>nmbs@dsmz.de</w:t>
        </w:r>
      </w:hyperlink>
      <w:r w:rsidRPr="00812871">
        <w:rPr>
          <w:color w:val="000000" w:themeColor="text1"/>
          <w:lang w:val="en-US" w:eastAsia="de-DE"/>
        </w:rPr>
        <w:t>) and provide a list of national ABS permit codes. DSMZ can then apply the global methodology to identify those codes in scientific publications. Information on the publications identified will be incorporated into the Global Database and made accessible.</w:t>
      </w:r>
    </w:p>
    <w:p w14:paraId="1035289D" w14:textId="77777777" w:rsidR="00754295" w:rsidRPr="00812871" w:rsidRDefault="00754295"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One reason why some countries may not yet appear in the Global Database is that national ABS permit codes are not globally standardized and are therefore difficult to detect through the text-mining approaches used by </w:t>
      </w:r>
      <w:proofErr w:type="gramStart"/>
      <w:r w:rsidRPr="00812871">
        <w:rPr>
          <w:color w:val="000000" w:themeColor="text1"/>
          <w:lang w:val="en-US" w:eastAsia="de-DE"/>
        </w:rPr>
        <w:t>the Global</w:t>
      </w:r>
      <w:proofErr w:type="gramEnd"/>
      <w:r w:rsidRPr="00812871">
        <w:rPr>
          <w:color w:val="000000" w:themeColor="text1"/>
          <w:lang w:val="en-US" w:eastAsia="de-DE"/>
        </w:rPr>
        <w:t xml:space="preserve"> Methodology. This can be improved if Internationally Recognized Certificates of Compliance (IRCCs) are generated and provided to users of genetic resources instead of national ABS permit codes.</w:t>
      </w:r>
    </w:p>
    <w:p w14:paraId="6263C668" w14:textId="77777777" w:rsidR="00754295" w:rsidRPr="00812871" w:rsidRDefault="00754295"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IRCCs offer important advantages. IRCC identifiers are globally standardized and machine-readable, allowing them to be systematically identified across publications and databases using </w:t>
      </w:r>
      <w:proofErr w:type="gramStart"/>
      <w:r w:rsidRPr="00812871">
        <w:rPr>
          <w:color w:val="000000" w:themeColor="text1"/>
          <w:lang w:val="en-US" w:eastAsia="de-DE"/>
        </w:rPr>
        <w:t>the Global</w:t>
      </w:r>
      <w:proofErr w:type="gramEnd"/>
      <w:r w:rsidRPr="00812871">
        <w:rPr>
          <w:color w:val="000000" w:themeColor="text1"/>
          <w:lang w:val="en-US" w:eastAsia="de-DE"/>
        </w:rPr>
        <w:t xml:space="preserve"> Methodology. To ensure that Parties receive the necessary data to report on non-monetary benefits related to scientific publications, ABS national authorities are encouraged to publish their ABS permits or equivalents as IRCCs in the ABS Clearing-House, ensure that researchers receive the IRCCs, and require their citation in subsequent publications. If publishing IRCCs is not possible, authorities are encouraged to establish standardized ABS permit codes that are easier to detect using text-mining methods.</w:t>
      </w:r>
    </w:p>
    <w:p w14:paraId="12B4ED7C" w14:textId="77777777" w:rsidR="00EE50ED" w:rsidRPr="00812871" w:rsidRDefault="00EE50ED"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Compilation of information for other types of non-monetary benefits received bilaterally should be done at the national level (types d, e, and f). In survey, most countries have confirmed they are receiving non-monetary benefits. </w:t>
      </w:r>
      <w:proofErr w:type="gramStart"/>
      <w:r w:rsidRPr="00812871">
        <w:rPr>
          <w:color w:val="000000" w:themeColor="text1"/>
          <w:lang w:val="en-US" w:eastAsia="de-DE"/>
        </w:rPr>
        <w:t>However,  data</w:t>
      </w:r>
      <w:proofErr w:type="gramEnd"/>
      <w:r w:rsidRPr="00812871">
        <w:rPr>
          <w:color w:val="000000" w:themeColor="text1"/>
          <w:lang w:val="en-US" w:eastAsia="de-DE"/>
        </w:rPr>
        <w:t xml:space="preserve"> on non-monetary benefits is often not compiled or readily available and for many countries reporting this information may be challenging, particularly when the national systems recognize different providers for genetic resources and associated traditional knowledge and different beneficiaries.</w:t>
      </w:r>
    </w:p>
    <w:p w14:paraId="269E0D20" w14:textId="77777777" w:rsidR="00C17C5A" w:rsidRPr="00812871" w:rsidRDefault="00C17C5A"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To be able to report on indicators measured at the national level for bilateral benefit-sharing, countries should consider developing and implementing tools that facilitate collection, compilation and reporting of information in accordance with national legislation. When possible, the data should be disaggregated to reflect benefits received by indigenous peoples and local communities.</w:t>
      </w:r>
    </w:p>
    <w:p w14:paraId="186A47B0" w14:textId="77777777" w:rsidR="00C17C5A" w:rsidRPr="00812871" w:rsidRDefault="00C17C5A"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The following recommendations could help Parties reporting on non-monetary benefits:</w:t>
      </w:r>
    </w:p>
    <w:p w14:paraId="404CF438" w14:textId="77777777" w:rsidR="00C17C5A" w:rsidRDefault="00C17C5A" w:rsidP="00C17C5A">
      <w:pPr>
        <w:numPr>
          <w:ilvl w:val="1"/>
          <w:numId w:val="64"/>
        </w:numPr>
        <w:tabs>
          <w:tab w:val="left" w:pos="567"/>
          <w:tab w:val="left" w:pos="1134"/>
          <w:tab w:val="left" w:pos="1701"/>
          <w:tab w:val="left" w:pos="2835"/>
          <w:tab w:val="left" w:pos="3402"/>
          <w:tab w:val="left" w:pos="3969"/>
        </w:tabs>
        <w:spacing w:before="120" w:after="120"/>
        <w:jc w:val="both"/>
        <w:rPr>
          <w:sz w:val="22"/>
          <w:szCs w:val="22"/>
        </w:rPr>
      </w:pPr>
      <w:r>
        <w:rPr>
          <w:sz w:val="22"/>
          <w:szCs w:val="22"/>
        </w:rPr>
        <w:t xml:space="preserve">For countries that have multiple authorities involved in negotiating prior informed consent and mutually agreed terms, they might consider including in their MAT clauses that obligate a user to report to a single centralized national authority for benefits even if they are shared with multiple beneficiaries. </w:t>
      </w:r>
    </w:p>
    <w:p w14:paraId="6341D48B" w14:textId="77777777" w:rsidR="00C17C5A" w:rsidRDefault="00C17C5A" w:rsidP="00C17C5A">
      <w:pPr>
        <w:numPr>
          <w:ilvl w:val="1"/>
          <w:numId w:val="64"/>
        </w:numPr>
        <w:tabs>
          <w:tab w:val="left" w:pos="567"/>
          <w:tab w:val="left" w:pos="1134"/>
          <w:tab w:val="left" w:pos="1701"/>
          <w:tab w:val="left" w:pos="1268"/>
          <w:tab w:val="left" w:pos="2835"/>
          <w:tab w:val="left" w:pos="3402"/>
          <w:tab w:val="left" w:pos="3969"/>
        </w:tabs>
        <w:spacing w:before="120" w:after="120"/>
        <w:jc w:val="both"/>
        <w:rPr>
          <w:sz w:val="22"/>
          <w:szCs w:val="22"/>
        </w:rPr>
      </w:pPr>
      <w:r>
        <w:rPr>
          <w:sz w:val="22"/>
          <w:szCs w:val="22"/>
        </w:rPr>
        <w:t xml:space="preserve">A national data management system (e.g. a virtual platform or system appropriate for the national circumstances) where all information in the reporting process on benefits is stored and information is managed.  Data management systems for ABS agreements granting and benefits reporting are a good tool to monitor benefit-sharing at national level and could potentially generate reminders about check in and reporting duties of users of genetic resources or associated traditional knowledge. Some countries have already introduced national virtual systems to apply for access to genetic resources and report on benefit-sharing. Once the application is successfully processed, the corresponding permit is granted and uploaded to the platform. The commitments on both monetary and non-monetary benefit sharing and corresponding deadlines are also programmed in the system, which will send out reminders to users on reporting obligations for the concluded benefit-sharing activities. The users can upload benefit-sharing reports (e.g. research results or capacity building reports) and appropriate information to support the report. The design of these repositories can include different information and disaggregation according to national priorities and legislation, while bearing in mind the needs for reporting at international level. </w:t>
      </w:r>
    </w:p>
    <w:p w14:paraId="6F83CE48" w14:textId="77777777" w:rsidR="00C17C5A" w:rsidRPr="00812871" w:rsidRDefault="00C17C5A"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lastRenderedPageBreak/>
        <w:t>As an alternative or complementary approach, Parties could also decide to establish a global standardized reporting system for non-monetary benefits by users of genetic resources and associated traditional knowledge. This reporting tool would enable users to report on the benefits shared in their work under an ABS agreement. The information collected and disaggregated by country could be shared with countries for their consideration in their reporting under the different types of non-monetary benefits included in their reporting.</w:t>
      </w:r>
    </w:p>
    <w:p w14:paraId="2E8D8EAD" w14:textId="77777777" w:rsidR="00C17C5A" w:rsidRPr="00BC5668" w:rsidRDefault="00C17C5A" w:rsidP="00C17C5A">
      <w:pPr>
        <w:tabs>
          <w:tab w:val="left" w:pos="567"/>
          <w:tab w:val="left" w:pos="1134"/>
          <w:tab w:val="left" w:pos="1701"/>
          <w:tab w:val="left" w:pos="1268"/>
          <w:tab w:val="left" w:pos="2835"/>
          <w:tab w:val="left" w:pos="3402"/>
          <w:tab w:val="left" w:pos="3969"/>
        </w:tabs>
        <w:spacing w:before="120" w:after="120"/>
        <w:jc w:val="both"/>
        <w:rPr>
          <w:rFonts w:ascii="Arial" w:eastAsia="Arial" w:hAnsi="Arial" w:cs="Arial"/>
          <w:color w:val="000000"/>
          <w:sz w:val="22"/>
          <w:szCs w:val="22"/>
        </w:rPr>
      </w:pPr>
      <w:r>
        <w:rPr>
          <w:sz w:val="22"/>
          <w:szCs w:val="22"/>
        </w:rPr>
        <w:t xml:space="preserve"> </w:t>
      </w:r>
      <w:r w:rsidRPr="00BC5668">
        <w:rPr>
          <w:i/>
          <w:iCs/>
          <w:sz w:val="22"/>
          <w:szCs w:val="22"/>
        </w:rPr>
        <w:t>Non-monetary benefit-sharing under multilateral ABS international instruments.</w:t>
      </w:r>
    </w:p>
    <w:p w14:paraId="07A759B1" w14:textId="77777777" w:rsidR="00C17C5A" w:rsidRPr="00812871" w:rsidRDefault="00C17C5A"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The methodology proposed for globally collected non-monetary benefits can either be expanded to include non-monetary benefit arising from other international ABS Instruments (International Treaty on Plant Genetic Resources for Food and Agriculture and others) or the secretariats of the relevant treaties as decided by their relevant governing bodies can compile the data and share it with countries, as appropriate. </w:t>
      </w:r>
    </w:p>
    <w:p w14:paraId="3A28A2C8" w14:textId="77777777" w:rsidR="00C17C5A" w:rsidRPr="00812871" w:rsidRDefault="00C17C5A"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It should be noted that there is ongoing collaboration with the International Treaty and updates will be provided in due time. Non-monetary benefits under the International Treaty may require specific indicators or measures to reflect its multilateral approach and the different scales of reporting. </w:t>
      </w:r>
    </w:p>
    <w:p w14:paraId="43F9B76F" w14:textId="77777777" w:rsidR="00C17C5A" w:rsidRPr="00812871" w:rsidRDefault="00C17C5A"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The Leibniz Institute DSMZ is working on expanding and applying </w:t>
      </w:r>
      <w:proofErr w:type="gramStart"/>
      <w:r w:rsidRPr="00812871">
        <w:rPr>
          <w:color w:val="000000" w:themeColor="text1"/>
          <w:lang w:val="en-US" w:eastAsia="de-DE"/>
        </w:rPr>
        <w:t>the Global</w:t>
      </w:r>
      <w:proofErr w:type="gramEnd"/>
      <w:r w:rsidRPr="00812871">
        <w:rPr>
          <w:color w:val="000000" w:themeColor="text1"/>
          <w:lang w:val="en-US" w:eastAsia="de-DE"/>
        </w:rPr>
        <w:t xml:space="preserve"> Methodology to quantify non-monetary benefits arising from the use of DSI.</w:t>
      </w:r>
    </w:p>
    <w:p w14:paraId="1410D168" w14:textId="45E2DC17" w:rsidR="0081052F" w:rsidRPr="00ED7E61" w:rsidRDefault="0081052F" w:rsidP="00267162">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36E25881" w14:textId="77777777" w:rsidR="00BB38B9" w:rsidRPr="00812871" w:rsidRDefault="00BB38B9"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The methodology to globally compile the three types of non-monetary benefits related to research results and scientific publications is available under the peer-reviewed publication titled  </w:t>
      </w:r>
      <w:hyperlink r:id="rId188" w:history="1">
        <w:r w:rsidRPr="00812871">
          <w:rPr>
            <w:color w:val="000000" w:themeColor="text1"/>
            <w:lang w:val="en-US" w:eastAsia="de-DE"/>
          </w:rPr>
          <w:t>A new indicator for the Kunming–Montreal Global Biodiversity Framework: Capturing non-monetary benefit data from access and benefit-sharing agreements</w:t>
        </w:r>
      </w:hyperlink>
      <w:r w:rsidRPr="00812871">
        <w:rPr>
          <w:color w:val="000000" w:themeColor="text1"/>
          <w:lang w:val="en-US" w:eastAsia="de-DE"/>
        </w:rPr>
        <w:t xml:space="preserve"> (Nunez-Vega et al. 2025). This Global Methodology uses text-mining tools to find </w:t>
      </w:r>
      <w:proofErr w:type="gramStart"/>
      <w:r w:rsidRPr="00812871">
        <w:rPr>
          <w:color w:val="000000" w:themeColor="text1"/>
          <w:lang w:val="en-US" w:eastAsia="de-DE"/>
        </w:rPr>
        <w:t>IRCCs</w:t>
      </w:r>
      <w:proofErr w:type="gramEnd"/>
      <w:r w:rsidRPr="00812871">
        <w:rPr>
          <w:color w:val="000000" w:themeColor="text1"/>
          <w:lang w:val="en-US" w:eastAsia="de-DE"/>
        </w:rPr>
        <w:t xml:space="preserve"> and ABS permit codes cited in scientific publications and quantify them as a proxy to monitor research results and international collaborations. </w:t>
      </w:r>
    </w:p>
    <w:p w14:paraId="246A1579" w14:textId="77777777" w:rsidR="00BB38B9" w:rsidRPr="00812871" w:rsidRDefault="00BB38B9"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 xml:space="preserve">The Global Methodology and Database were developed by the Leibniz Institute DSMZ within the Examining Trends in Non-Monetary Benefit-Sharing project (funded by the German Federal Agency of Nature Conservation under grant number 3521800500) and further implemented under the project Support for the global collection of data on non-monetary benefit-sharing to enable Parties to report on progress on Goal C and Target 13 (funded by the European Union through the CBD Secretariat). The Global Methodology and Database </w:t>
      </w:r>
      <w:proofErr w:type="gramStart"/>
      <w:r w:rsidRPr="00812871">
        <w:rPr>
          <w:color w:val="000000" w:themeColor="text1"/>
          <w:lang w:val="en-US" w:eastAsia="de-DE"/>
        </w:rPr>
        <w:t>to quantify</w:t>
      </w:r>
      <w:proofErr w:type="gramEnd"/>
      <w:r w:rsidRPr="00812871">
        <w:rPr>
          <w:color w:val="000000" w:themeColor="text1"/>
          <w:lang w:val="en-US" w:eastAsia="de-DE"/>
        </w:rPr>
        <w:t xml:space="preserve"> the three proposed required non-monetary benefits were developed based on the robustness of the scientific publication ecosystem.</w:t>
      </w:r>
    </w:p>
    <w:p w14:paraId="14C676CF" w14:textId="77777777" w:rsidR="00BB38B9" w:rsidRPr="00812871" w:rsidRDefault="00BB38B9" w:rsidP="00812871">
      <w:pPr>
        <w:pStyle w:val="CBDNormalNumber"/>
        <w:numPr>
          <w:ilvl w:val="0"/>
          <w:numId w:val="64"/>
        </w:numPr>
        <w:ind w:left="567" w:firstLine="0"/>
        <w:rPr>
          <w:color w:val="000000" w:themeColor="text1"/>
          <w:lang w:val="en-US" w:eastAsia="de-DE"/>
        </w:rPr>
      </w:pPr>
      <w:proofErr w:type="gramStart"/>
      <w:r w:rsidRPr="00812871">
        <w:rPr>
          <w:color w:val="000000" w:themeColor="text1"/>
          <w:lang w:val="en-US" w:eastAsia="de-DE"/>
        </w:rPr>
        <w:t>In order for</w:t>
      </w:r>
      <w:proofErr w:type="gramEnd"/>
      <w:r w:rsidRPr="00812871">
        <w:rPr>
          <w:color w:val="000000" w:themeColor="text1"/>
          <w:lang w:val="en-US" w:eastAsia="de-DE"/>
        </w:rPr>
        <w:t xml:space="preserve"> these methods to capture more data, Parties to the Nagoya Protocol must fulfil their obligation to generate IRCCs and scientific practices for citing IRCCs or ABS permits codes in scientific publications need to be better standardized. Making this information available to countries would help reinforce the national systems for monitoring the utilization of genetic resources, as well as help to make the contribution of ABS towards conservation, sustainable use and the advancement of science and research more visible.</w:t>
      </w:r>
    </w:p>
    <w:p w14:paraId="1CC8B15A" w14:textId="77777777" w:rsidR="00BB38B9" w:rsidRPr="00812871" w:rsidRDefault="00BB38B9"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The process of selecting the six types of non-monetary benefits to be reported and more information about the development of the ABS headline indicators can be found in the Study on Access and Benefit-sharing Indicators as they relate to Target 13 and Goal C of the Kunming-Montreal Global Biodiversity Framework (</w:t>
      </w:r>
      <w:hyperlink r:id="rId189">
        <w:r w:rsidRPr="00812871">
          <w:rPr>
            <w:color w:val="000000" w:themeColor="text1"/>
            <w:lang w:val="en-US" w:eastAsia="de-DE"/>
          </w:rPr>
          <w:t>CBD/SBSTTA/26/INF/12</w:t>
        </w:r>
      </w:hyperlink>
      <w:r w:rsidRPr="00812871">
        <w:rPr>
          <w:color w:val="000000" w:themeColor="text1"/>
          <w:lang w:val="en-US" w:eastAsia="de-DE"/>
        </w:rPr>
        <w:t>).</w:t>
      </w:r>
    </w:p>
    <w:p w14:paraId="418655B8"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p>
    <w:p w14:paraId="59934271"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07331433" w14:textId="77777777" w:rsidR="00CA564B" w:rsidRPr="00812871" w:rsidRDefault="00CA564B"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See section 5c on data collection method. Information on the three types of non-monetary benefits related to research results and scientific publications (types a, b and c) is available through the Global Database on Non-Monetary Benefit-Sharing (</w:t>
      </w:r>
      <w:hyperlink r:id="rId190" w:history="1">
        <w:r w:rsidRPr="00812871">
          <w:rPr>
            <w:color w:val="000000" w:themeColor="text1"/>
            <w:lang w:val="en-US" w:eastAsia="de-DE"/>
          </w:rPr>
          <w:t>https://nmbs.dsmz.de/</w:t>
        </w:r>
      </w:hyperlink>
      <w:r w:rsidRPr="00812871">
        <w:rPr>
          <w:color w:val="000000" w:themeColor="text1"/>
          <w:lang w:val="en-US" w:eastAsia="de-DE"/>
        </w:rPr>
        <w:t xml:space="preserve">) and the Target </w:t>
      </w:r>
      <w:r w:rsidRPr="00812871">
        <w:rPr>
          <w:color w:val="000000" w:themeColor="text1"/>
          <w:lang w:val="en-US" w:eastAsia="de-DE"/>
        </w:rPr>
        <w:lastRenderedPageBreak/>
        <w:t xml:space="preserve">Tracker tool developed by UNEP-WCMC (https://target-tracker.org/). On the other hand, information on the other three types of non-monetary benefits (types d, e and f) must be collected at the national level. </w:t>
      </w:r>
    </w:p>
    <w:p w14:paraId="4D9A8F0B" w14:textId="77777777" w:rsidR="00CA564B" w:rsidRPr="00812871" w:rsidRDefault="00CA564B" w:rsidP="00812871">
      <w:pPr>
        <w:pStyle w:val="CBDNormalNumber"/>
        <w:numPr>
          <w:ilvl w:val="0"/>
          <w:numId w:val="64"/>
        </w:numPr>
        <w:ind w:left="567" w:firstLine="0"/>
        <w:rPr>
          <w:color w:val="000000" w:themeColor="text1"/>
          <w:lang w:val="en-US" w:eastAsia="de-DE"/>
        </w:rPr>
      </w:pPr>
      <w:r w:rsidRPr="00812871">
        <w:rPr>
          <w:color w:val="000000" w:themeColor="text1"/>
          <w:lang w:val="en-US" w:eastAsia="de-DE"/>
        </w:rPr>
        <w:t>Information on non-monetary benefit-sharing arising from multilateral ABS international instruments should be shared by the corresponding Secretariats to be incorporated in the indicator calculation. The Secretariat of the International Treaty is exploring ways to provide relevant information through the Treaty website that could be linked with the Target Tracker tool.</w:t>
      </w:r>
    </w:p>
    <w:p w14:paraId="55710386"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6BA0FF13" w14:textId="27766D6D" w:rsidR="0081052F" w:rsidRPr="00ED7E61" w:rsidRDefault="0081052F" w:rsidP="00B10F0C">
      <w:pPr>
        <w:pStyle w:val="CBDNormalNumber"/>
        <w:numPr>
          <w:ilvl w:val="0"/>
          <w:numId w:val="64"/>
        </w:numPr>
        <w:ind w:left="567" w:firstLine="0"/>
        <w:rPr>
          <w:rFonts w:asciiTheme="majorBidi" w:hAnsiTheme="majorBidi" w:cstheme="majorBidi"/>
        </w:rPr>
      </w:pPr>
      <w:r w:rsidRPr="00ED7E61">
        <w:t xml:space="preserve">This data will be collected through national reports as per the timing of those reports. </w:t>
      </w:r>
    </w:p>
    <w:p w14:paraId="1A665C1D"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3E880B3" w14:textId="77777777" w:rsidR="0081052F" w:rsidRPr="00ED7E61" w:rsidRDefault="0081052F" w:rsidP="00B10F0C">
      <w:pPr>
        <w:pStyle w:val="CBDNormalNumber"/>
        <w:numPr>
          <w:ilvl w:val="0"/>
          <w:numId w:val="64"/>
        </w:numPr>
        <w:ind w:left="567" w:firstLine="0"/>
      </w:pPr>
      <w:r w:rsidRPr="00ED7E61">
        <w:t>Not currently available.</w:t>
      </w:r>
    </w:p>
    <w:p w14:paraId="699E4DC2"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7919F98B" w14:textId="2F35F418" w:rsidR="0081052F" w:rsidRPr="00ED7E61" w:rsidRDefault="0081052F" w:rsidP="00B10F0C">
      <w:pPr>
        <w:pStyle w:val="CBDNormalNumber"/>
        <w:numPr>
          <w:ilvl w:val="0"/>
          <w:numId w:val="64"/>
        </w:numPr>
        <w:ind w:left="567" w:firstLine="0"/>
      </w:pPr>
      <w:r w:rsidRPr="00ED7E61">
        <w:t xml:space="preserve">Parties should report the data directly with some global data available </w:t>
      </w:r>
      <w:r w:rsidR="004518E1" w:rsidRPr="00ED7E61">
        <w:t xml:space="preserve">on the number of research publications. </w:t>
      </w:r>
      <w:r w:rsidRPr="00ED7E61">
        <w:t xml:space="preserve"> </w:t>
      </w:r>
    </w:p>
    <w:p w14:paraId="7487432D"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13FCC0BD" w14:textId="0550A932" w:rsidR="00CB0D9F" w:rsidRPr="00ED7E61" w:rsidRDefault="00CB0D9F" w:rsidP="002F2A20">
      <w:pPr>
        <w:pStyle w:val="CBDNormalNumber"/>
        <w:numPr>
          <w:ilvl w:val="0"/>
          <w:numId w:val="64"/>
        </w:numPr>
        <w:ind w:left="567" w:firstLine="0"/>
      </w:pPr>
      <w:r w:rsidRPr="00ED7E61">
        <w:t>At the global level, the Secretariat of the Convention on Biological Diversity will compile the data. Compilation of information for the globally collected types of non-monetary benefits under the CBD and the Nagoya Protocol will use the methodology developed by the Leibniz Institute DSMZ within the Examining Trends in Non-Monetary Benefit-Sharing project (funded through 2025 by the German Federal Agency of Nature Conservation</w:t>
      </w:r>
      <w:r w:rsidR="002F2A20">
        <w:t>,</w:t>
      </w:r>
      <w:r w:rsidR="002F2A20" w:rsidRPr="002F2A20">
        <w:rPr>
          <w:color w:val="000000"/>
        </w:rPr>
        <w:t xml:space="preserve"> </w:t>
      </w:r>
      <w:r w:rsidR="002F2A20">
        <w:rPr>
          <w:color w:val="000000"/>
        </w:rPr>
        <w:t>G</w:t>
      </w:r>
      <w:r w:rsidR="002F2A20">
        <w:t>rant #</w:t>
      </w:r>
      <w:r w:rsidR="002F2A20">
        <w:rPr>
          <w:color w:val="000000"/>
        </w:rPr>
        <w:t xml:space="preserve"> 3521800500</w:t>
      </w:r>
      <w:r w:rsidRPr="00ED7E61">
        <w:t xml:space="preserve">). </w:t>
      </w:r>
      <w:r w:rsidR="00CD6690" w:rsidRPr="00BC5668">
        <w:t xml:space="preserve">and further implemented under the project </w:t>
      </w:r>
      <w:r w:rsidR="00CD6690" w:rsidRPr="00BC5668">
        <w:rPr>
          <w:i/>
          <w:iCs/>
        </w:rPr>
        <w:t xml:space="preserve">Support for the global collection of data on non-monetary benefit-sharing to enable Parties to report on progress on Goal C and Target 13 </w:t>
      </w:r>
      <w:r w:rsidR="00CD6690" w:rsidRPr="00BC5668">
        <w:t xml:space="preserve">(funded by the European Union through the CBD Secretariat). </w:t>
      </w:r>
    </w:p>
    <w:p w14:paraId="1D14EF5A" w14:textId="77777777" w:rsidR="00B44335" w:rsidRDefault="00CB0D9F" w:rsidP="00812871">
      <w:pPr>
        <w:pStyle w:val="CBDNormalNumber"/>
        <w:numPr>
          <w:ilvl w:val="0"/>
          <w:numId w:val="64"/>
        </w:numPr>
        <w:ind w:left="567" w:firstLine="0"/>
      </w:pPr>
      <w:r w:rsidRPr="00ED7E61">
        <w:t xml:space="preserve">The information collected globally will be disaggregated to the national level and made available for countries to report on in their national reports (and NBSAPs). This approach would be an efficient use of resources and avoid the need for every country to build up a national database to keep track of some types of non-monetary benefits (research results, international collaborations, and research focused on priority areas resulting from ABS agreements). </w:t>
      </w:r>
      <w:r w:rsidR="00B44335">
        <w:t>The sustainability and continuity of the Global Methodology used for the collection of information should be ensured.</w:t>
      </w:r>
    </w:p>
    <w:p w14:paraId="627AD1D3" w14:textId="472F245D" w:rsidR="00CB0D9F" w:rsidRPr="00ED7E61" w:rsidRDefault="00CB0D9F" w:rsidP="00812871">
      <w:pPr>
        <w:pStyle w:val="CBDNormalNumber"/>
        <w:ind w:left="567"/>
      </w:pPr>
    </w:p>
    <w:p w14:paraId="52022253"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0DD083DF" w14:textId="182A7A9A" w:rsidR="00CB0D9F" w:rsidRPr="00ED7E61" w:rsidRDefault="00CB0D9F" w:rsidP="00B10F0C">
      <w:pPr>
        <w:pStyle w:val="CBDNormalNumber"/>
        <w:numPr>
          <w:ilvl w:val="0"/>
          <w:numId w:val="64"/>
        </w:numPr>
        <w:ind w:left="567" w:firstLine="0"/>
      </w:pPr>
      <w:r w:rsidRPr="00ED7E61">
        <w:t>As mentioned above national data compilation for bilateral benefits may be challenging due to the existing systems for recording data, confidentiality issues and national capacity and as the compilation of data was not mandatory nor foreseen by the CBD or Nagoya Protocol.</w:t>
      </w:r>
    </w:p>
    <w:p w14:paraId="197D34A9"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7359F4AF" w14:textId="5E5B45B6" w:rsidR="0081052F" w:rsidRPr="00ED7E61" w:rsidRDefault="0081052F" w:rsidP="00B10F0C">
      <w:pPr>
        <w:pStyle w:val="CBDNormalNumber"/>
        <w:numPr>
          <w:ilvl w:val="0"/>
          <w:numId w:val="64"/>
        </w:numPr>
        <w:ind w:left="567" w:firstLine="0"/>
      </w:pPr>
      <w:r w:rsidRPr="00ED7E61">
        <w:t>Missing data should not be i</w:t>
      </w:r>
      <w:r w:rsidR="0028566A">
        <w:t>m</w:t>
      </w:r>
      <w:r w:rsidRPr="00ED7E61">
        <w:t>puted.</w:t>
      </w:r>
    </w:p>
    <w:p w14:paraId="5D0CCDBE"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4F3DC8B7" w14:textId="77777777" w:rsidR="0081052F" w:rsidRPr="00ED7E61" w:rsidRDefault="0081052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1049F464"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003166FD"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0248B668" w14:textId="77777777" w:rsidR="0081052F" w:rsidRPr="00ED7E61" w:rsidRDefault="0081052F" w:rsidP="00B10F0C">
      <w:pPr>
        <w:pStyle w:val="CBDNormalNumber"/>
        <w:numPr>
          <w:ilvl w:val="0"/>
          <w:numId w:val="64"/>
        </w:numPr>
        <w:ind w:left="567" w:firstLine="0"/>
      </w:pPr>
      <w:r w:rsidRPr="00ED7E61">
        <w:t>Scale of data disaggregation/aggregation:  </w:t>
      </w:r>
    </w:p>
    <w:p w14:paraId="3A8A53A1" w14:textId="77777777"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regional scale indicator can be disaggregated to national level: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67B710E7" w14:textId="77777777" w:rsidR="0081052F" w:rsidRPr="00ED7E61" w:rsidRDefault="0081052F" w:rsidP="00B10F0C">
      <w:pPr>
        <w:pStyle w:val="CBDNormalNumber"/>
        <w:numPr>
          <w:ilvl w:val="1"/>
          <w:numId w:val="6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lastRenderedPageBreak/>
        <w:t>National data is collated to form global indicator: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75106E7E" w14:textId="77777777" w:rsidR="0081052F" w:rsidRPr="00ED7E61" w:rsidRDefault="0081052F" w:rsidP="00B10F0C">
      <w:pPr>
        <w:pStyle w:val="CBDNormalNumber"/>
        <w:numPr>
          <w:ilvl w:val="0"/>
          <w:numId w:val="64"/>
        </w:numPr>
        <w:ind w:left="567" w:firstLine="0"/>
      </w:pPr>
      <w:r w:rsidRPr="00ED7E61">
        <w:t>The indicator is available for use at the national, regional and global level. However, regional and global aggregation may have some gaps.</w:t>
      </w:r>
    </w:p>
    <w:p w14:paraId="126BCC4A"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4C88F7BE" w14:textId="77777777" w:rsidR="0081052F" w:rsidRPr="00ED7E61" w:rsidRDefault="0081052F" w:rsidP="00B10F0C">
      <w:pPr>
        <w:pStyle w:val="CBDNormalNumber"/>
        <w:numPr>
          <w:ilvl w:val="0"/>
          <w:numId w:val="64"/>
        </w:numPr>
        <w:ind w:left="567" w:firstLine="0"/>
      </w:pPr>
      <w:r w:rsidRPr="00ED7E61">
        <w:t>This data would be compiled and reported at the national level.</w:t>
      </w:r>
    </w:p>
    <w:p w14:paraId="3D950B17"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19D74DBF" w14:textId="411A2068" w:rsidR="0081052F" w:rsidRPr="00ED7E61" w:rsidRDefault="0081052F" w:rsidP="00B10F0C">
      <w:pPr>
        <w:pStyle w:val="CBDNormalNumber"/>
        <w:numPr>
          <w:ilvl w:val="0"/>
          <w:numId w:val="64"/>
        </w:numPr>
        <w:ind w:left="567" w:firstLine="0"/>
      </w:pPr>
      <w:r w:rsidRPr="00ED7E61">
        <w:t>The information on the number of publications which will be estimated using the Leibniz Institute DSMZ methodology</w:t>
      </w:r>
      <w:r w:rsidR="005B6436" w:rsidRPr="00ED7E61">
        <w:t>,</w:t>
      </w:r>
      <w:r w:rsidRPr="00ED7E61">
        <w:t xml:space="preserve"> </w:t>
      </w:r>
      <w:r w:rsidR="00AA147C" w:rsidRPr="00ED7E61">
        <w:t xml:space="preserve">which </w:t>
      </w:r>
      <w:r w:rsidRPr="00ED7E61">
        <w:t>may differ from national estimates of the number of publications. This could be due to including different publication databases in the search</w:t>
      </w:r>
      <w:r w:rsidR="003B7C81" w:rsidRPr="00ED7E61">
        <w:t xml:space="preserve"> or different publication </w:t>
      </w:r>
      <w:r w:rsidR="00E1528B">
        <w:t>availability</w:t>
      </w:r>
      <w:r w:rsidRPr="00ED7E61">
        <w:t xml:space="preserve">. Parties should </w:t>
      </w:r>
      <w:r w:rsidR="00B57FFB">
        <w:rPr>
          <w:color w:val="000000"/>
        </w:rPr>
        <w:t>review and edit or complement the informat</w:t>
      </w:r>
      <w:r w:rsidR="00B57FFB" w:rsidRPr="00BC5668">
        <w:t>ion received from the Global Methodology and integrate</w:t>
      </w:r>
      <w:r w:rsidR="00B57FFB" w:rsidRPr="00ED7E61">
        <w:t xml:space="preserve"> </w:t>
      </w:r>
      <w:r w:rsidRPr="00ED7E61">
        <w:t>national data if available.</w:t>
      </w:r>
    </w:p>
    <w:p w14:paraId="73CE4A70"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4C0A916A" w14:textId="77777777" w:rsidR="0081052F" w:rsidRPr="00ED7E61" w:rsidRDefault="0081052F" w:rsidP="00B10F0C">
      <w:pPr>
        <w:pStyle w:val="CBDNormalNumber"/>
        <w:numPr>
          <w:ilvl w:val="0"/>
          <w:numId w:val="64"/>
        </w:numPr>
        <w:ind w:left="567" w:firstLine="0"/>
      </w:pPr>
      <w:r w:rsidRPr="00ED7E61">
        <w:t xml:space="preserve">Data could be aggregated from national reports depending on the data received. For the research publications, global level estimates are available. </w:t>
      </w:r>
    </w:p>
    <w:p w14:paraId="4C796A8C" w14:textId="46563075" w:rsidR="0081052F" w:rsidRPr="00ED7E61" w:rsidRDefault="0081052F" w:rsidP="00812871">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812871">
        <w:rPr>
          <w:rStyle w:val="normaltextrun"/>
          <w:rFonts w:asciiTheme="majorBidi" w:eastAsiaTheme="majorEastAsia" w:hAnsiTheme="majorBidi" w:cstheme="majorBidi"/>
          <w:b/>
          <w:bCs/>
          <w:sz w:val="22"/>
          <w:szCs w:val="22"/>
          <w:lang w:val="en-GB"/>
        </w:rPr>
        <w:t>7. Other MEAs, processes and organi</w:t>
      </w:r>
      <w:r w:rsidR="00B10F0C" w:rsidRPr="00812871">
        <w:rPr>
          <w:rStyle w:val="normaltextrun"/>
          <w:rFonts w:asciiTheme="majorBidi" w:eastAsiaTheme="majorEastAsia" w:hAnsiTheme="majorBidi" w:cstheme="majorBidi"/>
          <w:b/>
          <w:bCs/>
          <w:sz w:val="22"/>
          <w:szCs w:val="22"/>
          <w:lang w:val="en-GB"/>
        </w:rPr>
        <w:t>z</w:t>
      </w:r>
      <w:r w:rsidRPr="00812871">
        <w:rPr>
          <w:rStyle w:val="normaltextrun"/>
          <w:rFonts w:asciiTheme="majorBidi" w:eastAsiaTheme="majorEastAsia" w:hAnsiTheme="majorBidi" w:cstheme="majorBidi"/>
          <w:b/>
          <w:bCs/>
          <w:sz w:val="22"/>
          <w:szCs w:val="22"/>
          <w:lang w:val="en-GB"/>
        </w:rPr>
        <w:t>ations</w:t>
      </w:r>
      <w:r w:rsidRPr="00ED7E61">
        <w:rPr>
          <w:rStyle w:val="eop"/>
          <w:rFonts w:asciiTheme="majorBidi" w:eastAsiaTheme="majorEastAsia" w:hAnsiTheme="majorBidi" w:cstheme="majorBidi"/>
          <w:sz w:val="22"/>
          <w:szCs w:val="22"/>
        </w:rPr>
        <w:t> </w:t>
      </w:r>
    </w:p>
    <w:p w14:paraId="6017B592" w14:textId="05475DDC" w:rsidR="00CB0D9F" w:rsidRPr="00ED7E61" w:rsidRDefault="00CB0D9F" w:rsidP="00B10F0C">
      <w:pPr>
        <w:pStyle w:val="CBDNormalNumber"/>
        <w:numPr>
          <w:ilvl w:val="0"/>
          <w:numId w:val="64"/>
        </w:numPr>
        <w:ind w:left="567" w:firstLine="0"/>
      </w:pPr>
      <w:r w:rsidRPr="00ED7E61">
        <w:t xml:space="preserve">This data may also be reported in the national reports under the Nagoya Protocol on Access and Benefit-sharing and data sources to be identified for the International Treaty on Plant Genetic Resources for Food and Agriculture and other multilateral mechanisms on ABS (for example </w:t>
      </w:r>
      <w:r w:rsidR="00FB2FEE">
        <w:t xml:space="preserve">the CBD </w:t>
      </w:r>
      <w:r w:rsidRPr="00ED7E61">
        <w:t>DSI</w:t>
      </w:r>
      <w:r w:rsidR="00FB2FEE">
        <w:t xml:space="preserve"> multilateral mechanism</w:t>
      </w:r>
      <w:r w:rsidRPr="00ED7E61">
        <w:t>, BBNJ or others) for the Parties to such instruments.</w:t>
      </w:r>
    </w:p>
    <w:p w14:paraId="35E32E79" w14:textId="5785E580"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3B18EEAF" w14:textId="32D0A2E5" w:rsidR="00CB0D9F" w:rsidRPr="00ED7E61" w:rsidRDefault="00CB0D9F" w:rsidP="00B10F0C">
      <w:pPr>
        <w:pStyle w:val="CBDNormalNumber"/>
        <w:numPr>
          <w:ilvl w:val="0"/>
          <w:numId w:val="64"/>
        </w:numPr>
        <w:ind w:left="567" w:firstLine="0"/>
      </w:pPr>
      <w:r w:rsidRPr="00ED7E61">
        <w:t>Countries should be able to disaggregate the information on benefits by</w:t>
      </w:r>
      <w:r w:rsidR="002F4EB6">
        <w:t xml:space="preserve"> 1) type of non-monetary benefits, 2) non-monetary benefits received by indigenous peoples and local communities and 3) relevant access and benefit-sharing instruments.</w:t>
      </w:r>
    </w:p>
    <w:p w14:paraId="4A616CD6"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169917A0" w14:textId="77777777" w:rsidR="0081052F" w:rsidRPr="00ED7E61" w:rsidRDefault="0081052F" w:rsidP="00B10F0C">
      <w:pPr>
        <w:pStyle w:val="CBDNormalNumber"/>
        <w:numPr>
          <w:ilvl w:val="0"/>
          <w:numId w:val="64"/>
        </w:numPr>
        <w:ind w:left="567" w:firstLine="0"/>
      </w:pPr>
      <w:r w:rsidRPr="00ED7E61">
        <w:t xml:space="preserve">This indicator has linkages across the framework, including with Target 22. </w:t>
      </w:r>
    </w:p>
    <w:p w14:paraId="0A2C0C5A"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56E28726" w14:textId="2463794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B10F0C">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4B67AE52" w14:textId="77777777" w:rsidR="0081052F" w:rsidRPr="00ED7E61" w:rsidRDefault="0081052F" w:rsidP="00B3383B">
      <w:pPr>
        <w:pStyle w:val="CBDNormalNumber"/>
        <w:ind w:left="567"/>
      </w:pPr>
      <w:r w:rsidRPr="00ED7E61">
        <w:t>SCBD</w:t>
      </w:r>
    </w:p>
    <w:p w14:paraId="639760BF" w14:textId="77777777" w:rsidR="0081052F" w:rsidRPr="00ED7E61"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351614E6" w14:textId="77777777" w:rsidR="0081052F" w:rsidRPr="00ED7E61" w:rsidRDefault="0081052F" w:rsidP="00B3383B">
      <w:pPr>
        <w:pStyle w:val="CBDNormalNumber"/>
        <w:ind w:left="567"/>
        <w:rPr>
          <w:lang w:val="es-ES"/>
        </w:rPr>
      </w:pPr>
      <w:r w:rsidRPr="00ED7E61">
        <w:rPr>
          <w:lang w:val="es-ES"/>
        </w:rPr>
        <w:t xml:space="preserve">Beatriz Gomez, SCBD, beatriz.gomez@un.org </w:t>
      </w:r>
    </w:p>
    <w:p w14:paraId="2B2C8702" w14:textId="0905EAA9" w:rsidR="0081052F" w:rsidRPr="00ED7E61" w:rsidRDefault="00BE5ADA" w:rsidP="00B3383B">
      <w:pPr>
        <w:pStyle w:val="CBDNormalNumber"/>
        <w:ind w:left="567"/>
      </w:pPr>
      <w:r w:rsidRPr="00BC5668">
        <w:t xml:space="preserve">Dr. Amber Hartman Scholz, </w:t>
      </w:r>
      <w:r w:rsidR="0081052F" w:rsidRPr="00ED7E61">
        <w:t xml:space="preserve">Leibniz Institute DSMZ German Collection of Microorganisms and Cell </w:t>
      </w:r>
      <w:proofErr w:type="gramStart"/>
      <w:r w:rsidR="0081052F" w:rsidRPr="00ED7E61">
        <w:t>Cultures  (</w:t>
      </w:r>
      <w:proofErr w:type="gramEnd"/>
      <w:r w:rsidR="0081052F" w:rsidRPr="00ED7E61">
        <w:t xml:space="preserve">amber.h.scholz@dsmz.de) </w:t>
      </w:r>
    </w:p>
    <w:p w14:paraId="66442E31" w14:textId="3EE389EB" w:rsidR="0081052F" w:rsidRPr="00FB1598" w:rsidRDefault="0081052F" w:rsidP="00B3383B">
      <w:pPr>
        <w:pStyle w:val="CBDNormalNumber"/>
        <w:ind w:left="567"/>
        <w:rPr>
          <w:lang w:val="en-CA"/>
        </w:rPr>
      </w:pPr>
      <w:r w:rsidRPr="00FB1598">
        <w:rPr>
          <w:lang w:val="en-CA"/>
        </w:rPr>
        <w:t xml:space="preserve">Daniele Manzella, </w:t>
      </w:r>
      <w:r w:rsidR="006B30FE">
        <w:rPr>
          <w:rStyle w:val="normaltextrun"/>
          <w:rFonts w:eastAsiaTheme="majorEastAsia"/>
        </w:rPr>
        <w:t>I</w:t>
      </w:r>
      <w:r w:rsidR="006B30FE" w:rsidRPr="003D4EC6">
        <w:rPr>
          <w:rStyle w:val="normaltextrun"/>
          <w:rFonts w:eastAsiaTheme="majorEastAsia"/>
        </w:rPr>
        <w:t>nternational Treaty on Plant Genetic Resources for Food and Agriculture</w:t>
      </w:r>
      <w:r w:rsidR="006B30FE" w:rsidRPr="00FB1598" w:rsidDel="006B30FE">
        <w:rPr>
          <w:lang w:val="en-CA"/>
        </w:rPr>
        <w:t xml:space="preserve"> </w:t>
      </w:r>
      <w:r w:rsidRPr="00FB1598">
        <w:rPr>
          <w:lang w:val="en-CA"/>
        </w:rPr>
        <w:t xml:space="preserve">Secretariat, </w:t>
      </w:r>
      <w:hyperlink r:id="rId191" w:history="1">
        <w:r w:rsidRPr="00BA2866">
          <w:rPr>
            <w:rStyle w:val="Hyperlink"/>
            <w:lang w:val="en-CA"/>
          </w:rPr>
          <w:t>Daniele.Manzella@fao.org</w:t>
        </w:r>
      </w:hyperlink>
    </w:p>
    <w:p w14:paraId="67C5E7A4" w14:textId="09515B40" w:rsidR="0081052F" w:rsidRPr="00ED7E61" w:rsidRDefault="0081052F" w:rsidP="00172A35">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en-US"/>
        </w:rPr>
      </w:pPr>
      <w:r w:rsidRPr="00ED7E61">
        <w:rPr>
          <w:rStyle w:val="normaltextrun"/>
          <w:rFonts w:asciiTheme="majorBidi" w:eastAsiaTheme="majorEastAsia" w:hAnsiTheme="majorBidi" w:cstheme="majorBidi"/>
          <w:b/>
          <w:bCs/>
          <w:sz w:val="22"/>
          <w:szCs w:val="22"/>
          <w:lang w:val="en-US"/>
        </w:rPr>
        <w:t>11. References</w:t>
      </w:r>
      <w:r w:rsidRPr="00ED7E61">
        <w:rPr>
          <w:rStyle w:val="eop"/>
          <w:rFonts w:asciiTheme="majorBidi" w:eastAsiaTheme="majorEastAsia" w:hAnsiTheme="majorBidi" w:cstheme="majorBidi"/>
          <w:sz w:val="22"/>
          <w:szCs w:val="22"/>
          <w:lang w:val="en-US"/>
        </w:rPr>
        <w:t> </w:t>
      </w:r>
    </w:p>
    <w:p w14:paraId="67A9D164" w14:textId="77777777" w:rsidR="004501DC" w:rsidRPr="00BC5668" w:rsidRDefault="004501DC" w:rsidP="004501DC">
      <w:pPr>
        <w:pBdr>
          <w:top w:val="nil"/>
          <w:left w:val="nil"/>
          <w:bottom w:val="nil"/>
          <w:right w:val="nil"/>
          <w:between w:val="nil"/>
        </w:pBdr>
        <w:tabs>
          <w:tab w:val="left" w:pos="567"/>
          <w:tab w:val="left" w:pos="1134"/>
          <w:tab w:val="left" w:pos="1701"/>
          <w:tab w:val="left" w:pos="2268"/>
          <w:tab w:val="left" w:pos="2835"/>
          <w:tab w:val="left" w:pos="3402"/>
          <w:tab w:val="left" w:pos="3969"/>
        </w:tabs>
        <w:spacing w:before="120" w:after="120"/>
        <w:ind w:left="567"/>
        <w:jc w:val="both"/>
        <w:rPr>
          <w:sz w:val="22"/>
          <w:szCs w:val="22"/>
        </w:rPr>
      </w:pPr>
      <w:r w:rsidRPr="00BC5668">
        <w:rPr>
          <w:sz w:val="22"/>
          <w:szCs w:val="22"/>
        </w:rPr>
        <w:t xml:space="preserve">Conference of the Parties to the Convention on Biological Diversity. Monitoring framework for the Kunming-Montreal Global Biodiversity Framework. In: UN Doc [Internet]. CBD/COP/DEC/16/31; 2025. Available from: </w:t>
      </w:r>
      <w:hyperlink r:id="rId192" w:history="1">
        <w:r>
          <w:rPr>
            <w:color w:val="1155CC"/>
            <w:sz w:val="22"/>
            <w:szCs w:val="22"/>
            <w:u w:val="single"/>
          </w:rPr>
          <w:t>https://www.cbd.int/doc/decisions/cop-16/cop-16-dec-31-en.pdf</w:t>
        </w:r>
      </w:hyperlink>
      <w:r w:rsidRPr="00BC5668">
        <w:rPr>
          <w:sz w:val="22"/>
          <w:szCs w:val="22"/>
        </w:rPr>
        <w:t xml:space="preserve"> </w:t>
      </w:r>
    </w:p>
    <w:p w14:paraId="78D2D5D2" w14:textId="77777777" w:rsidR="004501DC" w:rsidRPr="00BC5668" w:rsidRDefault="004501DC" w:rsidP="004501DC">
      <w:pPr>
        <w:pBdr>
          <w:top w:val="nil"/>
          <w:left w:val="nil"/>
          <w:bottom w:val="nil"/>
          <w:right w:val="nil"/>
          <w:between w:val="nil"/>
        </w:pBdr>
        <w:tabs>
          <w:tab w:val="left" w:pos="567"/>
          <w:tab w:val="left" w:pos="1134"/>
          <w:tab w:val="left" w:pos="1701"/>
          <w:tab w:val="left" w:pos="2268"/>
          <w:tab w:val="left" w:pos="2835"/>
          <w:tab w:val="left" w:pos="3402"/>
          <w:tab w:val="left" w:pos="3969"/>
        </w:tabs>
        <w:spacing w:before="120" w:after="120"/>
        <w:ind w:left="567"/>
        <w:jc w:val="both"/>
        <w:rPr>
          <w:sz w:val="22"/>
          <w:szCs w:val="22"/>
        </w:rPr>
      </w:pPr>
      <w:r w:rsidRPr="00BC5668">
        <w:rPr>
          <w:sz w:val="22"/>
          <w:szCs w:val="22"/>
        </w:rPr>
        <w:t xml:space="preserve">Nunez-Vega, G., Reimer L.R., Overmann, J., Scholz, </w:t>
      </w:r>
      <w:proofErr w:type="gramStart"/>
      <w:r w:rsidRPr="00BC5668">
        <w:rPr>
          <w:sz w:val="22"/>
          <w:szCs w:val="22"/>
        </w:rPr>
        <w:t>A.H..</w:t>
      </w:r>
      <w:proofErr w:type="gramEnd"/>
      <w:r w:rsidRPr="00BC5668">
        <w:rPr>
          <w:sz w:val="22"/>
          <w:szCs w:val="22"/>
        </w:rPr>
        <w:t xml:space="preserve"> 2025. A new indicator for the Kunming–Montreal Global Biodiversity Framework: Capturing non-monetary benefit data from access and </w:t>
      </w:r>
      <w:r w:rsidRPr="00BC5668">
        <w:rPr>
          <w:sz w:val="22"/>
          <w:szCs w:val="22"/>
        </w:rPr>
        <w:lastRenderedPageBreak/>
        <w:t xml:space="preserve">benefit-sharing agreements. </w:t>
      </w:r>
      <w:proofErr w:type="spellStart"/>
      <w:r w:rsidRPr="00BC5668">
        <w:rPr>
          <w:sz w:val="22"/>
          <w:szCs w:val="22"/>
        </w:rPr>
        <w:t>BioScience</w:t>
      </w:r>
      <w:proofErr w:type="spellEnd"/>
      <w:r w:rsidRPr="00BC5668">
        <w:rPr>
          <w:sz w:val="22"/>
          <w:szCs w:val="22"/>
        </w:rPr>
        <w:t xml:space="preserve">, Volume 75, Issue 4, Pages 298–306, </w:t>
      </w:r>
      <w:hyperlink r:id="rId193" w:history="1">
        <w:r>
          <w:rPr>
            <w:color w:val="1155CC"/>
            <w:sz w:val="22"/>
            <w:szCs w:val="22"/>
            <w:u w:val="single"/>
          </w:rPr>
          <w:t>https://doi.org/10.1093/biosci/biae132</w:t>
        </w:r>
      </w:hyperlink>
      <w:r w:rsidRPr="00BC5668">
        <w:rPr>
          <w:sz w:val="22"/>
          <w:szCs w:val="22"/>
        </w:rPr>
        <w:t xml:space="preserve"> </w:t>
      </w:r>
    </w:p>
    <w:p w14:paraId="2E54624F" w14:textId="77777777" w:rsidR="0081052F" w:rsidRPr="00ED7E61" w:rsidRDefault="0081052F" w:rsidP="00B3383B">
      <w:pPr>
        <w:pStyle w:val="CBDNormalNumber"/>
        <w:ind w:left="567"/>
      </w:pPr>
      <w:r w:rsidRPr="00ED7E61">
        <w:t>United Nations Environment Programme. Convention on biological diversity [Internet]. 1992. Available from: https://wedocs.unep.org/20.500.11822/8340</w:t>
      </w:r>
    </w:p>
    <w:p w14:paraId="764C4178" w14:textId="77777777" w:rsidR="0081052F" w:rsidRPr="00ED7E61" w:rsidRDefault="0081052F" w:rsidP="00B3383B">
      <w:pPr>
        <w:pStyle w:val="CBDNormalNumber"/>
        <w:ind w:left="567"/>
      </w:pPr>
      <w:r w:rsidRPr="00ED7E61">
        <w:t>Conference of the Parties to the Convention on Biological Diversity. Access and benefit-sharing as related to genetic resources. In: UN Doc [Internet]. COP 6 Decision VI/24; 2002. Available from: https://www.cbd.int/decision/cop/?id=7198</w:t>
      </w:r>
    </w:p>
    <w:p w14:paraId="66789173" w14:textId="77777777" w:rsidR="0081052F" w:rsidRPr="00ED7E61" w:rsidRDefault="0081052F" w:rsidP="00B3383B">
      <w:pPr>
        <w:pStyle w:val="CBDNormalNumber"/>
        <w:ind w:left="567"/>
      </w:pPr>
      <w:r w:rsidRPr="00ED7E61">
        <w:t>Conference of the Parties to the Convention on Biological Diversity. Nagoya Protocol on Access to Genetic Resources and the Fair and Equitable Sharing of Benefits Arising from their Utilization to the Convention on Biological Diversity: Text and Annex [Internet]. 2011. Available from: https://wedocs.unep.org/20.500.11822/27555</w:t>
      </w:r>
    </w:p>
    <w:p w14:paraId="3A70E888" w14:textId="77777777" w:rsidR="0081052F" w:rsidRPr="00ED7E61" w:rsidRDefault="0081052F" w:rsidP="00B3383B">
      <w:pPr>
        <w:pStyle w:val="CBDNormalNumber"/>
        <w:ind w:left="567"/>
      </w:pPr>
      <w:r w:rsidRPr="00ED7E61">
        <w:t>Food and Agriculture Organization of the United Nations. International Treaty on Plant Genetic Resources for Food and Agriculture [Internet]. 2001. Available from: https://www.fao.org/plant-treaty/overview/texts-treaty/en/</w:t>
      </w:r>
    </w:p>
    <w:p w14:paraId="189577A2" w14:textId="77777777" w:rsidR="0081052F" w:rsidRPr="00ED7E61" w:rsidRDefault="0081052F" w:rsidP="00B3383B">
      <w:pPr>
        <w:pStyle w:val="CBDNormalNumber"/>
        <w:ind w:left="567"/>
      </w:pPr>
      <w:r w:rsidRPr="00ED7E61">
        <w:t>Food and Agriculture Organization of the United Nations. The Standard Material Transfer Agreement. In: FAO Doc [Internet]. RESOLUTION 2/2006; 2006. Available from: https://www.fao.org/3/be006e/be006e.pdf</w:t>
      </w:r>
    </w:p>
    <w:p w14:paraId="391B4D9B" w14:textId="77777777" w:rsidR="0081052F" w:rsidRPr="00ED7E61" w:rsidRDefault="0081052F" w:rsidP="00B3383B">
      <w:pPr>
        <w:pStyle w:val="CBDNormalNumber"/>
        <w:ind w:left="567"/>
      </w:pPr>
      <w:r w:rsidRPr="00ED7E61">
        <w:t>Conference of the Parties to the Convention on Biological Diversity. Kunming-Montreal Global Biodiversity Framework. In: UN Doc [Internet]. CBD/COP/DEC/15/4; 2022. Available from: https://www.cbd.int/doc/decisions/cop-15/cop-15-dec-04-en.pdf</w:t>
      </w:r>
    </w:p>
    <w:p w14:paraId="677CFF49" w14:textId="77777777" w:rsidR="0081052F" w:rsidRPr="00ED7E61" w:rsidRDefault="0081052F" w:rsidP="00B3383B">
      <w:pPr>
        <w:pStyle w:val="CBDNormalNumber"/>
        <w:ind w:left="567"/>
      </w:pPr>
      <w:r w:rsidRPr="00ED7E61">
        <w:t>Conference of the Parties to the Convention on Biological Diversity. Digital sequence information on genetic resources. In: UN Doc [Internet]. CBD/COP/DEC/15/9; 2022. Available from: https://www.cbd.int/doc/decisions/cop-15/cop-15-dec-09-en.pdf</w:t>
      </w:r>
    </w:p>
    <w:p w14:paraId="415A7467" w14:textId="77777777" w:rsidR="0081052F" w:rsidRPr="00ED7E61" w:rsidRDefault="0081052F" w:rsidP="00B3383B">
      <w:pPr>
        <w:pStyle w:val="CBDNormalNumber"/>
        <w:ind w:left="567"/>
      </w:pPr>
      <w:r w:rsidRPr="00ED7E61">
        <w:t>Conference of the Parties to the Convention on Biological Diversity. Monitoring framework for the Kunming-Montreal Global Biodiversity Framework. In: UN Doc [Internet]. CBD/COP/DEC/15/5; 2022. Available from: https://www.cbd.int/doc/decisions/cop-15/cop-15-dec-05-en.pdf</w:t>
      </w:r>
    </w:p>
    <w:p w14:paraId="463067F0" w14:textId="77777777" w:rsidR="0081052F" w:rsidRPr="00ED7E61" w:rsidRDefault="0081052F" w:rsidP="00B3383B">
      <w:pPr>
        <w:pStyle w:val="CBDNormalNumber"/>
        <w:ind w:left="567"/>
      </w:pPr>
      <w:r w:rsidRPr="00ED7E61">
        <w:t xml:space="preserve">Subsidiary Body on Scientific, Technical </w:t>
      </w:r>
      <w:proofErr w:type="gramStart"/>
      <w:r w:rsidRPr="00ED7E61">
        <w:t>and,</w:t>
      </w:r>
      <w:proofErr w:type="gramEnd"/>
      <w:r w:rsidRPr="00ED7E61">
        <w:t xml:space="preserve"> Subsidiary Body on Scientific, Technical and Technological Advice, Conference of the Parties to the Convention on Biological Diversity. 25/1. Monitoring framework for the Kunming-Montreal Global Biodiversity Framework. In: UN Doc [Internet]. 1/14 CBD/SBSTTA/REC/25/1; 2023. Available from: https://www.cbd.int/doc/recommendations/sbstta-25/sbstta-25-rec-01-en.pdf</w:t>
      </w:r>
    </w:p>
    <w:p w14:paraId="4A1037D5" w14:textId="77777777" w:rsidR="0081052F" w:rsidRPr="00ED7E61" w:rsidRDefault="0081052F" w:rsidP="00B3383B">
      <w:pPr>
        <w:pStyle w:val="CBDNormalNumber"/>
        <w:ind w:left="567"/>
      </w:pPr>
      <w:r w:rsidRPr="00ED7E61">
        <w:t>United Nations. Sustainable development: Convention on Biological Diversity - Resolution adopted by the General Assembly on 19 December 2023. In: UN Doc [Internet]. A/RES/78/155; 2023. Available from: https://www.undocs.org/Home/Mobile?FinalSymbol=A%2FRES%2F78%2F155&amp;Language=E&amp;DeviceType=Desktop&amp;LangRequested=False</w:t>
      </w:r>
    </w:p>
    <w:p w14:paraId="6B3AB174" w14:textId="77777777" w:rsidR="0081052F" w:rsidRPr="00ED7E61" w:rsidRDefault="0081052F" w:rsidP="00B3383B">
      <w:pPr>
        <w:pStyle w:val="CBDNormalNumber"/>
        <w:ind w:left="567"/>
      </w:pPr>
      <w:r w:rsidRPr="00ED7E61">
        <w:t>World Health Organization. Bureau’s text of the WHO convention, agreement or other international instrument on pandemic prevention, preparedness and response (WHO CA+) [Internet]. A/INB/5/6; 2023. Available from: https://apps.who.int/gb/inb/pdf_files/inb5/A_INB5_6-en.pdf</w:t>
      </w:r>
    </w:p>
    <w:p w14:paraId="45B6AF7E" w14:textId="77777777" w:rsidR="0081052F" w:rsidRPr="00ED7E61" w:rsidRDefault="0081052F" w:rsidP="00B3383B">
      <w:pPr>
        <w:pStyle w:val="CBDNormalNumber"/>
        <w:ind w:left="567"/>
      </w:pPr>
      <w:r w:rsidRPr="00ED7E61">
        <w:t xml:space="preserve">Secretariat of the Convention on Biological Diversity. NOTIFICATION - Survey on indicators on access and benefit-sharing for the Kunming-Montreal Global Biodiversity Framework. </w:t>
      </w:r>
      <w:proofErr w:type="gramStart"/>
      <w:r w:rsidRPr="00ED7E61">
        <w:rPr>
          <w:lang w:val="fr-FR"/>
        </w:rPr>
        <w:t>In:</w:t>
      </w:r>
      <w:proofErr w:type="gramEnd"/>
      <w:r w:rsidRPr="00ED7E61">
        <w:rPr>
          <w:lang w:val="fr-FR"/>
        </w:rPr>
        <w:t xml:space="preserve"> UN Doc [Internet]. SCBD/NPU/DC/TS/BG/</w:t>
      </w:r>
      <w:proofErr w:type="spellStart"/>
      <w:r w:rsidRPr="00ED7E61">
        <w:rPr>
          <w:lang w:val="fr-FR"/>
        </w:rPr>
        <w:t>RKi</w:t>
      </w:r>
      <w:proofErr w:type="spellEnd"/>
      <w:r w:rsidRPr="00ED7E61">
        <w:rPr>
          <w:lang w:val="fr-FR"/>
        </w:rPr>
        <w:t>/</w:t>
      </w:r>
      <w:proofErr w:type="gramStart"/>
      <w:r w:rsidRPr="00ED7E61">
        <w:rPr>
          <w:lang w:val="fr-FR"/>
        </w:rPr>
        <w:t>91289;</w:t>
      </w:r>
      <w:proofErr w:type="gramEnd"/>
      <w:r w:rsidRPr="00ED7E61">
        <w:rPr>
          <w:lang w:val="fr-FR"/>
        </w:rPr>
        <w:t xml:space="preserve"> 2023. </w:t>
      </w:r>
      <w:r w:rsidRPr="00ED7E61">
        <w:t>Available from: https://www.cbd.int/doc/notifications/2023/ntf-2023-103-abs-en.pdf</w:t>
      </w:r>
    </w:p>
    <w:p w14:paraId="0C775476" w14:textId="77777777" w:rsidR="0081052F" w:rsidRPr="00ED7E61" w:rsidRDefault="0081052F" w:rsidP="00B10F0C">
      <w:pPr>
        <w:pStyle w:val="CBDNormalNumber"/>
        <w:numPr>
          <w:ilvl w:val="0"/>
          <w:numId w:val="64"/>
        </w:numPr>
        <w:ind w:left="567" w:firstLine="0"/>
      </w:pPr>
      <w:r w:rsidRPr="00ED7E61">
        <w:t xml:space="preserve">Greiber T. An Explanatory Guide to the Nagoya Protocol on Access and Benefit-sharing. IUCN; 2012. 395 p. </w:t>
      </w:r>
    </w:p>
    <w:p w14:paraId="58EFE49E" w14:textId="77777777" w:rsidR="0081052F" w:rsidRPr="00ED7E61" w:rsidRDefault="0081052F" w:rsidP="00B3383B">
      <w:pPr>
        <w:pStyle w:val="CBDNormalNumber"/>
        <w:ind w:left="567"/>
      </w:pPr>
      <w:r w:rsidRPr="00ED7E61">
        <w:lastRenderedPageBreak/>
        <w:t>Conference of the Parties to the Convention on Biological Diversity. NP-1/3. Monitoring and reporting (Article 29). In: UN Doc [Internet]. UNEP/CBD/NP/COP-MOP/DEC/1/3; 2014. Available from: https://www.cbd.int/doc/decisions/np-mop-01/np-mop-01-dec-03-en.pdf</w:t>
      </w:r>
    </w:p>
    <w:p w14:paraId="0622729E" w14:textId="77777777" w:rsidR="0081052F" w:rsidRPr="00ED7E61" w:rsidRDefault="0081052F" w:rsidP="00B3383B">
      <w:pPr>
        <w:pStyle w:val="CBDNormalNumber"/>
        <w:ind w:left="567"/>
      </w:pPr>
      <w:r w:rsidRPr="00ED7E61">
        <w:t>Conference of the Parties to the Convention on Biological Diversity. NP-3/4. Monitoring and reporting (Article 29). In: UN Doc [Internet]. CBD/NP/MOP/DEC/3/4; 2018. Available from: https://www.cbd.int/doc/decisions/np-mop-03/np-mop-03-dec-04-en.pdf</w:t>
      </w:r>
    </w:p>
    <w:p w14:paraId="7293DC7B" w14:textId="77777777" w:rsidR="0081052F" w:rsidRPr="00ED7E61" w:rsidRDefault="0081052F" w:rsidP="00B3383B">
      <w:pPr>
        <w:pStyle w:val="CBDNormalNumber"/>
        <w:ind w:left="567"/>
      </w:pPr>
      <w:r w:rsidRPr="00ED7E61">
        <w:t>Conference of the Parties to the Convention on Biological Diversity. DECISION ADOPTED BY THE PARTIES TO THE NAGOYA PROTOCOL ON ACCESS AND BENEFIT-SHARING, NP-4/3. Monitoring and reporting (Article 29). In: UN Doc [Internet]. CBD/NP/MOP/DEC/4/3; 2022. Available from: https://www.cbd.int/doc/decisions/np-mop-04/np-mop-04-dec-03-en.pdf</w:t>
      </w:r>
    </w:p>
    <w:p w14:paraId="2D7E46A8" w14:textId="77777777" w:rsidR="0081052F" w:rsidRPr="00ED7E61" w:rsidRDefault="0081052F" w:rsidP="00B3383B">
      <w:pPr>
        <w:pStyle w:val="CBDNormalNumber"/>
        <w:ind w:left="567"/>
      </w:pPr>
      <w:r w:rsidRPr="00ED7E61">
        <w:t>Conference of the Parties to the Convention on Biological Diversity. DECISION ADOPTED BY THE CONFERENCE OF THE PARTIES TO THE CONVENTION ON BIOLOGICAL DIVERSITY, IX/14. Technology transfer and cooperation. In: UN Doc [Internet]. UNEP/CBD/COP/DEC/IX/14; 2008. Available from: https://www.cbd.int/doc/decisions/cop-09/cop-09-dec-14-en.pdf</w:t>
      </w:r>
    </w:p>
    <w:p w14:paraId="60696B21" w14:textId="77777777" w:rsidR="0081052F" w:rsidRPr="00ED7E61" w:rsidRDefault="0081052F" w:rsidP="00B3383B">
      <w:pPr>
        <w:pStyle w:val="CBDNormalNumber"/>
        <w:ind w:left="567"/>
      </w:pPr>
      <w:r w:rsidRPr="00ED7E61">
        <w:t xml:space="preserve">Ebert AW, Engels JMM, </w:t>
      </w:r>
      <w:proofErr w:type="spellStart"/>
      <w:r w:rsidRPr="00ED7E61">
        <w:t>Schafleitner</w:t>
      </w:r>
      <w:proofErr w:type="spellEnd"/>
      <w:r w:rsidRPr="00ED7E61">
        <w:t xml:space="preserve"> R, </w:t>
      </w:r>
      <w:proofErr w:type="spellStart"/>
      <w:r w:rsidRPr="00ED7E61">
        <w:t>Hintum</w:t>
      </w:r>
      <w:proofErr w:type="spellEnd"/>
      <w:r w:rsidRPr="00ED7E61">
        <w:t xml:space="preserve"> T van, Mwila G. Critical Review of the Increasing Complexity of Access and Benefit-Sharing Policies of Genetic Resources for </w:t>
      </w:r>
      <w:proofErr w:type="spellStart"/>
      <w:r w:rsidRPr="00ED7E61">
        <w:t>Genebank</w:t>
      </w:r>
      <w:proofErr w:type="spellEnd"/>
      <w:r w:rsidRPr="00ED7E61">
        <w:t xml:space="preserve"> Curators and Plant Breeders–A Public and Private Sector Perspective. Plants. 2023 Aug;12(16):2992. </w:t>
      </w:r>
    </w:p>
    <w:p w14:paraId="473FB17F" w14:textId="77777777" w:rsidR="0081052F" w:rsidRPr="00ED7E61" w:rsidRDefault="0081052F" w:rsidP="00B3383B">
      <w:pPr>
        <w:pStyle w:val="CBDNormalNumber"/>
        <w:ind w:left="567"/>
      </w:pPr>
      <w:r w:rsidRPr="00ED7E61">
        <w:t>Conference of the Parties to the Convention on Biological Diversity. DECISION ADOPTED BY THE CONFERENCE OF THE PARTIES TO THE CONVENTION ON BIOLOGICAL DIVERSITY, 15/6. Mechanisms for planning, monitoring, reporting and review. In: UN Doc [Internet]. CBD/COP/DEC/15/6; 2022. Available from: https://www.cbd.int/doc/decisions/cop-15/cop-15-dec-06-en.pdf</w:t>
      </w:r>
    </w:p>
    <w:p w14:paraId="71892D2D" w14:textId="77777777" w:rsidR="0081052F" w:rsidRPr="00ED7E61" w:rsidRDefault="0081052F" w:rsidP="00B3383B">
      <w:pPr>
        <w:pStyle w:val="CBDNormalNumber"/>
        <w:ind w:left="567"/>
      </w:pPr>
      <w:r w:rsidRPr="00ED7E61">
        <w:t xml:space="preserve">Scholz AH, Lange M, Habekost P, Oldham P, Cancio I, Cochrane G, et al. Myth-busting the provider-user relationship for digital sequence information. </w:t>
      </w:r>
      <w:proofErr w:type="spellStart"/>
      <w:r w:rsidRPr="00ED7E61">
        <w:t>GigaScience</w:t>
      </w:r>
      <w:proofErr w:type="spellEnd"/>
      <w:r w:rsidRPr="00ED7E61">
        <w:t xml:space="preserve">. 2021 Dec;10(12). </w:t>
      </w:r>
    </w:p>
    <w:p w14:paraId="36970199" w14:textId="77777777" w:rsidR="0081052F" w:rsidRPr="00ED7E61" w:rsidRDefault="0081052F" w:rsidP="00B3383B">
      <w:pPr>
        <w:pStyle w:val="CBDNormalNumber"/>
        <w:ind w:left="567"/>
      </w:pPr>
      <w:r w:rsidRPr="00ED7E61">
        <w:t xml:space="preserve">Sebo P, de Lucia S, </w:t>
      </w:r>
      <w:proofErr w:type="spellStart"/>
      <w:r w:rsidRPr="00ED7E61">
        <w:t>Vernaz</w:t>
      </w:r>
      <w:proofErr w:type="spellEnd"/>
      <w:r w:rsidRPr="00ED7E61">
        <w:t xml:space="preserve"> N. Accuracy of PubMed-based author lists of publications and use of author identifiers to address author name ambiguity: a cross-sectional study. </w:t>
      </w:r>
      <w:proofErr w:type="spellStart"/>
      <w:r w:rsidRPr="00ED7E61">
        <w:t>Scientometrics</w:t>
      </w:r>
      <w:proofErr w:type="spellEnd"/>
      <w:r w:rsidRPr="00ED7E61">
        <w:t xml:space="preserve">. 2021 Mar;126(5):4121–35. </w:t>
      </w:r>
    </w:p>
    <w:p w14:paraId="5A2513F0" w14:textId="77777777" w:rsidR="0081052F" w:rsidRPr="00ED7E61" w:rsidRDefault="0081052F" w:rsidP="00B3383B">
      <w:pPr>
        <w:pStyle w:val="CBDNormalNumber"/>
        <w:ind w:left="567"/>
      </w:pPr>
      <w:proofErr w:type="spellStart"/>
      <w:r w:rsidRPr="00ED7E61">
        <w:t>Rosonovski</w:t>
      </w:r>
      <w:proofErr w:type="spellEnd"/>
      <w:r w:rsidRPr="00ED7E61">
        <w:t xml:space="preserve"> S, Levchenko M, Bhatnagar R, Chandrasekaran U, Faulk L, Hassan I, et al. Europe PMC in 2023. Nucleic Acids Research. 2023 Nov;52(D1</w:t>
      </w:r>
      <w:proofErr w:type="gramStart"/>
      <w:r w:rsidRPr="00ED7E61">
        <w:t>):D</w:t>
      </w:r>
      <w:proofErr w:type="gramEnd"/>
      <w:r w:rsidRPr="00ED7E61">
        <w:t xml:space="preserve">1668–76. </w:t>
      </w:r>
    </w:p>
    <w:p w14:paraId="5B7AB15B" w14:textId="77777777" w:rsidR="0081052F" w:rsidRPr="00ED7E61" w:rsidRDefault="0081052F" w:rsidP="00B10F0C">
      <w:pPr>
        <w:pStyle w:val="CBDNormalNumber"/>
        <w:numPr>
          <w:ilvl w:val="0"/>
          <w:numId w:val="64"/>
        </w:numPr>
        <w:ind w:left="567" w:firstLine="0"/>
      </w:pPr>
      <w:r w:rsidRPr="00ED7E61">
        <w:t>Marden E, Abbott RJ, Austerlitz F, Ortiz</w:t>
      </w:r>
      <w:r w:rsidRPr="00ED7E61">
        <w:rPr>
          <w:rFonts w:hint="eastAsia"/>
        </w:rPr>
        <w:t>‐</w:t>
      </w:r>
      <w:r w:rsidRPr="00ED7E61">
        <w:t xml:space="preserve">Barrientos D, Baucom RS, </w:t>
      </w:r>
      <w:proofErr w:type="spellStart"/>
      <w:r w:rsidRPr="00ED7E61">
        <w:t>Bongaerts</w:t>
      </w:r>
      <w:proofErr w:type="spellEnd"/>
      <w:r w:rsidRPr="00ED7E61">
        <w:t xml:space="preserve"> P, et al. Sharing and reporting benefits from biodiversity research. Molecular Ecology. 2020 Nov;30(5):1103</w:t>
      </w:r>
      <w:r w:rsidRPr="00ED7E61">
        <w:rPr>
          <w:rFonts w:hint="eastAsia"/>
        </w:rPr>
        <w:t>–</w:t>
      </w:r>
      <w:r w:rsidRPr="00ED7E61">
        <w:t xml:space="preserve">7. </w:t>
      </w:r>
    </w:p>
    <w:p w14:paraId="0CF2E1BA" w14:textId="77777777" w:rsidR="0081052F" w:rsidRPr="00ED7E61" w:rsidRDefault="0081052F" w:rsidP="00B3383B">
      <w:pPr>
        <w:pStyle w:val="CBDNormalNumber"/>
        <w:ind w:left="567"/>
      </w:pPr>
      <w:r w:rsidRPr="00ED7E61">
        <w:t>Food and agriculture organization of the United Nations. Introduction to the international treaty on plant genetic resources for food and agriculture [Internet]. 2011. Available from: http://www.itpgrfa.net/International/sites/default/files/edm1_full_en.pdf</w:t>
      </w:r>
    </w:p>
    <w:p w14:paraId="2B1CB9C7" w14:textId="6EB0BB8C" w:rsidR="005B3829" w:rsidRPr="00C2795A" w:rsidRDefault="00D81CD3" w:rsidP="005B3829">
      <w:pPr>
        <w:pBdr>
          <w:top w:val="nil"/>
          <w:left w:val="nil"/>
          <w:bottom w:val="nil"/>
          <w:right w:val="nil"/>
          <w:between w:val="nil"/>
        </w:pBdr>
        <w:tabs>
          <w:tab w:val="left" w:pos="567"/>
          <w:tab w:val="left" w:pos="1134"/>
          <w:tab w:val="left" w:pos="1701"/>
          <w:tab w:val="left" w:pos="2268"/>
          <w:tab w:val="left" w:pos="2835"/>
          <w:tab w:val="left" w:pos="3402"/>
          <w:tab w:val="left" w:pos="3969"/>
        </w:tabs>
        <w:spacing w:before="120" w:after="120"/>
        <w:ind w:left="567"/>
        <w:rPr>
          <w:color w:val="000000"/>
          <w:sz w:val="22"/>
          <w:szCs w:val="22"/>
        </w:rPr>
      </w:pPr>
      <w:r>
        <w:rPr>
          <w:color w:val="000000"/>
          <w:sz w:val="22"/>
          <w:szCs w:val="22"/>
        </w:rPr>
        <w:t>I</w:t>
      </w:r>
      <w:r w:rsidR="005B3829" w:rsidRPr="00C2795A">
        <w:rPr>
          <w:color w:val="000000"/>
          <w:sz w:val="22"/>
          <w:szCs w:val="22"/>
        </w:rPr>
        <w:t>nternational Treaty on Plant Genetic Resources for Food and Agriculture. Report of the Standing Committee on the Funding Strategy and Resource Mobilization to the Eleventh Session of the Governing Body [Internet]. Food and agriculture organization of the United Nations. Governing Body of the International Treaty on Plant Genetic Resources for Food and Agriculture; 2025. Available from:  https://openknowledge.fao.org/server/api/core/bitstreams/6ed9e2e1-47df-4e1b-af2d-8623e470cf4d/content</w:t>
      </w:r>
    </w:p>
    <w:p w14:paraId="080FE09C" w14:textId="77777777" w:rsidR="005B3829" w:rsidRPr="00C2795A" w:rsidRDefault="005B3829" w:rsidP="005B3829">
      <w:pPr>
        <w:pBdr>
          <w:top w:val="nil"/>
          <w:left w:val="nil"/>
          <w:bottom w:val="nil"/>
          <w:right w:val="nil"/>
          <w:between w:val="nil"/>
        </w:pBdr>
        <w:tabs>
          <w:tab w:val="left" w:pos="567"/>
          <w:tab w:val="left" w:pos="1134"/>
          <w:tab w:val="left" w:pos="1701"/>
          <w:tab w:val="left" w:pos="2268"/>
          <w:tab w:val="left" w:pos="2835"/>
          <w:tab w:val="left" w:pos="3402"/>
          <w:tab w:val="left" w:pos="3969"/>
        </w:tabs>
        <w:spacing w:before="120" w:after="120"/>
        <w:ind w:left="567"/>
        <w:rPr>
          <w:color w:val="000000"/>
          <w:sz w:val="22"/>
          <w:szCs w:val="22"/>
        </w:rPr>
      </w:pPr>
      <w:r w:rsidRPr="00C2795A">
        <w:rPr>
          <w:color w:val="000000"/>
          <w:sz w:val="22"/>
          <w:szCs w:val="22"/>
        </w:rPr>
        <w:t>International Treaty on Plant Genetic Resources for Food and Agriculture. Resolution 3/2025 of the Eleventh Session of the Governing Body. [Internet]. Available from: https://openknowledge.fao.org/server/api/core/bitstreams/cfa340a0-e08a-4628-9378-b235b5b4613e/content</w:t>
      </w:r>
    </w:p>
    <w:p w14:paraId="5B9569B0" w14:textId="77777777" w:rsidR="0081052F" w:rsidRPr="00ED7E61" w:rsidRDefault="0081052F" w:rsidP="00B3383B">
      <w:pPr>
        <w:pStyle w:val="CBDNormalNumber"/>
        <w:ind w:left="567"/>
      </w:pPr>
      <w:r w:rsidRPr="00ED7E61">
        <w:lastRenderedPageBreak/>
        <w:t>International Treaty on Plant Genetic Resources for Food and Agriculture. Implementation of the funding strategy [Internet]. Food and Agriculture Organization. Governing Body of the International Treaty on Plant Genetic Resources for Food and Agriculture; 2023. Available from: https://www.fao.org/3/no028en/no028en.pdf</w:t>
      </w:r>
    </w:p>
    <w:p w14:paraId="0E047D93" w14:textId="77777777" w:rsidR="0081052F" w:rsidRPr="00ED7E61" w:rsidRDefault="0081052F" w:rsidP="00B3383B">
      <w:pPr>
        <w:pStyle w:val="CBDNormalNumber"/>
        <w:ind w:left="567"/>
      </w:pPr>
      <w:r w:rsidRPr="00ED7E61">
        <w:t>Food and Agriculture Organization of the United Nations. ITPGRFA TENTH SESSION OF THE GOVERNING BODY - The Benefit-sharing Fund: 2022-2023 Report. In: FAO Doc [Internet]. IT/GB-10/23/10/Inf.1; 2023. Available from: https://www.fao.org/3/cc8470en/cc8470en.pdf</w:t>
      </w:r>
    </w:p>
    <w:p w14:paraId="5D5234CF" w14:textId="77777777" w:rsidR="0081052F" w:rsidRPr="00ED7E61" w:rsidRDefault="0081052F" w:rsidP="00B3383B">
      <w:pPr>
        <w:pStyle w:val="CBDNormalNumber"/>
        <w:ind w:left="567"/>
      </w:pPr>
      <w:r w:rsidRPr="00ED7E61">
        <w:t>Galluzzi G, López Noriega I, Halewood M. Non-monetary benefit sharing mechanisms within the projects funded by the Benefit Sharing Fund. International Treaty on Plant Genetic Resources for Food and Agriculture [Internet]. 2014; Available from: https://www.fao.org/publications/card/en/c/84d6161c-0dba-41ab-99eb-3fbb5ba5999f</w:t>
      </w:r>
    </w:p>
    <w:p w14:paraId="35C0E32F" w14:textId="77777777" w:rsidR="0081052F" w:rsidRPr="00ED7E61" w:rsidRDefault="0081052F" w:rsidP="00B3383B">
      <w:pPr>
        <w:pStyle w:val="CBDNormalNumber"/>
        <w:ind w:left="567"/>
      </w:pPr>
      <w:r w:rsidRPr="00ED7E61">
        <w:t xml:space="preserve">Scholz AH, Freitag J, Lyal CHC, Sara R, Cepeda ML, Cancio I, et al. Multilateral benefit-sharing from digital sequence information will support both science and biodiversity conservation. Nat Commun. 2022 Feb 23;13(1):1086. </w:t>
      </w:r>
    </w:p>
    <w:p w14:paraId="43D850D3" w14:textId="77777777" w:rsidR="0081052F" w:rsidRPr="00ED7E61" w:rsidRDefault="0081052F" w:rsidP="00B3383B">
      <w:pPr>
        <w:pStyle w:val="CBDNormalNumber"/>
        <w:ind w:left="567"/>
      </w:pPr>
      <w:r w:rsidRPr="00ED7E61">
        <w:t>United Nations. Agreement under the United Nations Convention on the Law of the Sea on the Conservation and Sustainable Use of Marine Biological Diversity of Areas beyond National Jurisdiction [Internet]. 2023. Available from: https://wedocs.unep.org/20.500.11822/8340</w:t>
      </w:r>
    </w:p>
    <w:p w14:paraId="02F5792A" w14:textId="77777777" w:rsidR="0081052F" w:rsidRPr="00ED7E61" w:rsidRDefault="0081052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3DBDF22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74421CDF" w14:textId="77777777" w:rsidR="00756F0F" w:rsidRPr="00ED7E61" w:rsidRDefault="00756F0F" w:rsidP="00395866">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3AFEAC50" w14:textId="33E34D62" w:rsidR="00756F0F" w:rsidRPr="00ED7E61" w:rsidRDefault="0081052F" w:rsidP="00965B3D">
      <w:pPr>
        <w:pStyle w:val="Heading3"/>
      </w:pPr>
      <w:bookmarkStart w:id="24" w:name="_Toc233278561"/>
      <w:r w:rsidRPr="00ED7E61">
        <w:rPr>
          <w:rStyle w:val="eop"/>
        </w:rPr>
        <w:lastRenderedPageBreak/>
        <w:t>D.1 International public funding, including official development assistance (ODA), for conservation and sustainable use of biodiversity, and ecosystems</w:t>
      </w:r>
      <w:bookmarkEnd w:id="24"/>
    </w:p>
    <w:p w14:paraId="5725481C"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4C4C4C3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26149EF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D.1 International public funding, including official development assistance (ODA),</w:t>
      </w:r>
      <w:r w:rsidRPr="00ED7E61">
        <w:rPr>
          <w:rStyle w:val="normaltextrun"/>
          <w:rFonts w:asciiTheme="majorBidi" w:eastAsiaTheme="majorEastAsia" w:hAnsiTheme="majorBidi" w:cstheme="majorBidi"/>
          <w:b/>
          <w:bCs/>
          <w:color w:val="000000"/>
          <w:sz w:val="22"/>
          <w:szCs w:val="22"/>
          <w:lang w:val="en-GB"/>
        </w:rPr>
        <w:t xml:space="preserve"> </w:t>
      </w:r>
      <w:r w:rsidRPr="00ED7E61">
        <w:rPr>
          <w:rStyle w:val="normaltextrun"/>
          <w:rFonts w:asciiTheme="majorBidi" w:eastAsiaTheme="majorEastAsia" w:hAnsiTheme="majorBidi" w:cstheme="majorBidi"/>
          <w:color w:val="000000"/>
          <w:sz w:val="22"/>
          <w:szCs w:val="22"/>
          <w:lang w:val="en-GB"/>
        </w:rPr>
        <w:t>for conservation and sustainable use of biodiversity, and ecosystems</w:t>
      </w:r>
      <w:r w:rsidRPr="00ED7E61">
        <w:rPr>
          <w:rStyle w:val="eop"/>
          <w:rFonts w:asciiTheme="majorBidi" w:eastAsiaTheme="majorEastAsia" w:hAnsiTheme="majorBidi" w:cstheme="majorBidi"/>
          <w:color w:val="000000"/>
          <w:sz w:val="22"/>
          <w:szCs w:val="22"/>
        </w:rPr>
        <w:t> </w:t>
      </w:r>
    </w:p>
    <w:p w14:paraId="002434EB"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080EC928" w14:textId="321FCFA9" w:rsidR="00756F0F" w:rsidRPr="00ED7E61" w:rsidRDefault="00851A2B"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February</w:t>
      </w:r>
      <w:r w:rsidRPr="00ED7E61">
        <w:rPr>
          <w:rStyle w:val="normaltextrun"/>
          <w:rFonts w:asciiTheme="majorBidi" w:eastAsiaTheme="majorEastAsia" w:hAnsiTheme="majorBidi" w:cstheme="majorBidi"/>
          <w:sz w:val="22"/>
          <w:szCs w:val="22"/>
        </w:rPr>
        <w:t xml:space="preserve"> </w:t>
      </w:r>
      <w:r w:rsidR="00756F0F" w:rsidRPr="00ED7E61">
        <w:rPr>
          <w:rStyle w:val="normaltextrun"/>
          <w:rFonts w:asciiTheme="majorBidi" w:eastAsiaTheme="majorEastAsia" w:hAnsiTheme="majorBidi" w:cstheme="majorBidi"/>
          <w:sz w:val="22"/>
          <w:szCs w:val="22"/>
        </w:rPr>
        <w:t>202</w:t>
      </w:r>
      <w:r>
        <w:rPr>
          <w:rStyle w:val="normaltextrun"/>
          <w:rFonts w:asciiTheme="majorBidi" w:eastAsiaTheme="majorEastAsia" w:hAnsiTheme="majorBidi" w:cstheme="majorBidi"/>
          <w:sz w:val="22"/>
          <w:szCs w:val="22"/>
        </w:rPr>
        <w:t>6</w:t>
      </w:r>
      <w:r w:rsidR="00756F0F" w:rsidRPr="00ED7E61">
        <w:rPr>
          <w:rStyle w:val="eop"/>
          <w:rFonts w:asciiTheme="majorBidi" w:eastAsiaTheme="majorEastAsia" w:hAnsiTheme="majorBidi" w:cstheme="majorBidi"/>
          <w:sz w:val="22"/>
          <w:szCs w:val="22"/>
        </w:rPr>
        <w:t> </w:t>
      </w:r>
    </w:p>
    <w:p w14:paraId="3A47B656" w14:textId="77777777" w:rsidR="00756F0F" w:rsidRPr="00ED7E61" w:rsidRDefault="00756F0F" w:rsidP="00B3383B">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6C2AC8F0"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406B8996" w14:textId="55F52552"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Goal D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 </w:t>
      </w:r>
      <w:r w:rsidRPr="00ED7E61">
        <w:rPr>
          <w:rStyle w:val="eop"/>
          <w:rFonts w:asciiTheme="majorBidi" w:eastAsiaTheme="majorEastAsia" w:hAnsiTheme="majorBidi" w:cstheme="majorBidi"/>
          <w:color w:val="000000"/>
          <w:sz w:val="22"/>
          <w:szCs w:val="22"/>
        </w:rPr>
        <w:t> </w:t>
      </w:r>
    </w:p>
    <w:p w14:paraId="788A16A1" w14:textId="77777777" w:rsidR="00756F0F" w:rsidRPr="00ED7E61" w:rsidRDefault="00756F0F" w:rsidP="00B3383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64932834"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Headline indicator for Target 19 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r w:rsidRPr="00ED7E61">
        <w:rPr>
          <w:rStyle w:val="eop"/>
          <w:rFonts w:asciiTheme="majorBidi" w:eastAsiaTheme="majorEastAsia" w:hAnsiTheme="majorBidi" w:cstheme="majorBidi"/>
          <w:color w:val="000000"/>
          <w:sz w:val="22"/>
          <w:szCs w:val="22"/>
        </w:rPr>
        <w:t> </w:t>
      </w:r>
    </w:p>
    <w:p w14:paraId="7C7A4DB2"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(a)</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r w:rsidRPr="00ED7E61">
        <w:rPr>
          <w:rStyle w:val="eop"/>
          <w:rFonts w:asciiTheme="majorBidi" w:eastAsiaTheme="majorEastAsia" w:hAnsiTheme="majorBidi" w:cstheme="majorBidi"/>
          <w:color w:val="000000"/>
          <w:sz w:val="22"/>
          <w:szCs w:val="22"/>
        </w:rPr>
        <w:t> </w:t>
      </w:r>
    </w:p>
    <w:p w14:paraId="7B039AB3"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(b)</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Significantly increasing domestic resource mobilization, facilitated by the preparation and implementation of national biodiversity finance plans or similar instruments according to national needs, priorities and circumstances; </w:t>
      </w:r>
      <w:r w:rsidRPr="00ED7E61">
        <w:rPr>
          <w:rStyle w:val="eop"/>
          <w:rFonts w:asciiTheme="majorBidi" w:eastAsiaTheme="majorEastAsia" w:hAnsiTheme="majorBidi" w:cstheme="majorBidi"/>
          <w:color w:val="000000"/>
          <w:sz w:val="22"/>
          <w:szCs w:val="22"/>
        </w:rPr>
        <w:t> </w:t>
      </w:r>
    </w:p>
    <w:p w14:paraId="5452BABD"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(c)</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Leveraging private finance, promoting blended finance, implementing strategies for raising new and additional resources, and encouraging the private sector to invest in biodiversity, including through impact funds and other instruments; </w:t>
      </w:r>
      <w:r w:rsidRPr="00ED7E61">
        <w:rPr>
          <w:rStyle w:val="eop"/>
          <w:rFonts w:asciiTheme="majorBidi" w:eastAsiaTheme="majorEastAsia" w:hAnsiTheme="majorBidi" w:cstheme="majorBidi"/>
          <w:color w:val="000000"/>
          <w:sz w:val="22"/>
          <w:szCs w:val="22"/>
        </w:rPr>
        <w:t> </w:t>
      </w:r>
    </w:p>
    <w:p w14:paraId="04D2CC4A"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(d)</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Stimulating innovative schemes such as payment for ecosystem services, green bonds, biodiversity offsets and credits, and benefit sharing mechanisms, with environmental and social safeguards; </w:t>
      </w:r>
      <w:r w:rsidRPr="00ED7E61">
        <w:rPr>
          <w:rStyle w:val="eop"/>
          <w:rFonts w:asciiTheme="majorBidi" w:eastAsiaTheme="majorEastAsia" w:hAnsiTheme="majorBidi" w:cstheme="majorBidi"/>
          <w:color w:val="000000"/>
          <w:sz w:val="22"/>
          <w:szCs w:val="22"/>
        </w:rPr>
        <w:t> </w:t>
      </w:r>
    </w:p>
    <w:p w14:paraId="25F3EE61" w14:textId="17731BA9"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(e)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Optimizing co-benefits and synergies of finance targeting the biodiversity and climate crises; </w:t>
      </w:r>
      <w:r w:rsidRPr="00ED7E61">
        <w:rPr>
          <w:rStyle w:val="eop"/>
          <w:rFonts w:asciiTheme="majorBidi" w:eastAsiaTheme="majorEastAsia" w:hAnsiTheme="majorBidi" w:cstheme="majorBidi"/>
          <w:color w:val="000000"/>
          <w:sz w:val="22"/>
          <w:szCs w:val="22"/>
        </w:rPr>
        <w:t> </w:t>
      </w:r>
    </w:p>
    <w:p w14:paraId="1A0CBB42" w14:textId="4C7904BC"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(f)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 </w:t>
      </w:r>
      <w:r w:rsidRPr="00ED7E61">
        <w:rPr>
          <w:rStyle w:val="eop"/>
          <w:rFonts w:asciiTheme="majorBidi" w:eastAsiaTheme="majorEastAsia" w:hAnsiTheme="majorBidi" w:cstheme="majorBidi"/>
          <w:color w:val="000000"/>
          <w:sz w:val="22"/>
          <w:szCs w:val="22"/>
        </w:rPr>
        <w:t> </w:t>
      </w:r>
    </w:p>
    <w:p w14:paraId="75789968" w14:textId="180E3460"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(g)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Enhancing the effectiveness, efficiency and transparency of resource provision and use. </w:t>
      </w:r>
      <w:r w:rsidRPr="00ED7E61">
        <w:rPr>
          <w:rStyle w:val="eop"/>
          <w:rFonts w:asciiTheme="majorBidi" w:eastAsiaTheme="majorEastAsia" w:hAnsiTheme="majorBidi" w:cstheme="majorBidi"/>
          <w:color w:val="000000"/>
          <w:sz w:val="22"/>
          <w:szCs w:val="22"/>
        </w:rPr>
        <w:t> </w:t>
      </w:r>
    </w:p>
    <w:p w14:paraId="2EA22118" w14:textId="77777777" w:rsidR="00756F0F" w:rsidRPr="00ED7E61" w:rsidRDefault="00756F0F" w:rsidP="00F7256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1CDC685E" w14:textId="294F6B27" w:rsidR="00756F0F" w:rsidRPr="00ED7E61" w:rsidRDefault="00756F0F" w:rsidP="00B10F0C">
      <w:pPr>
        <w:pStyle w:val="CBDNormalNumber"/>
        <w:numPr>
          <w:ilvl w:val="0"/>
          <w:numId w:val="67"/>
        </w:numPr>
        <w:tabs>
          <w:tab w:val="clear" w:pos="1701"/>
        </w:tabs>
        <w:ind w:left="567" w:firstLine="0"/>
      </w:pPr>
      <w:r w:rsidRPr="00ED7E61">
        <w:t xml:space="preserve">This indicator quantifies total international public finance flows with biodiversity objectives extended to developing countries by bilateral providers of development co-operation, South-South and triangular Co-operation, as well as multilateral providers of development co-operation. </w:t>
      </w:r>
      <w:r w:rsidR="00301700" w:rsidRPr="00ED7E61">
        <w:t>It would also capture financing provided directly to indigenous people</w:t>
      </w:r>
      <w:r w:rsidR="00616510">
        <w:t>s</w:t>
      </w:r>
      <w:r w:rsidR="00301700" w:rsidRPr="00ED7E61">
        <w:t xml:space="preserve"> and local communities. </w:t>
      </w:r>
      <w:r w:rsidRPr="00ED7E61">
        <w:t>It includes official development assistance (ODA) and other official flows (OOF), or alternatively total official support for sustainable development (TOSSD), for biodiversity. The indicator improves visibility and fosters transparency of support to developing countries by all Parties.  </w:t>
      </w:r>
    </w:p>
    <w:p w14:paraId="4E9C9F0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lastRenderedPageBreak/>
        <w:t>5. Definitions, concepts and classifications</w:t>
      </w:r>
      <w:r w:rsidRPr="00ED7E61">
        <w:rPr>
          <w:rStyle w:val="eop"/>
          <w:rFonts w:asciiTheme="majorBidi" w:eastAsiaTheme="majorEastAsia" w:hAnsiTheme="majorBidi" w:cstheme="majorBidi"/>
          <w:sz w:val="22"/>
          <w:szCs w:val="22"/>
        </w:rPr>
        <w:t> </w:t>
      </w:r>
    </w:p>
    <w:p w14:paraId="698E01A5" w14:textId="77777777" w:rsidR="00756F0F" w:rsidRPr="00ED7E61" w:rsidRDefault="00756F0F" w:rsidP="00F7256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07E20DEE" w14:textId="77777777" w:rsidR="00756F0F" w:rsidRPr="00ED7E61" w:rsidRDefault="00756F0F" w:rsidP="00B10F0C">
      <w:pPr>
        <w:pStyle w:val="CBDNormalNumber"/>
        <w:numPr>
          <w:ilvl w:val="0"/>
          <w:numId w:val="67"/>
        </w:numPr>
        <w:ind w:left="567" w:firstLine="0"/>
      </w:pPr>
      <w:r w:rsidRPr="00ED7E61">
        <w:t>The indicator measures all international public finance disbursements to developing countries in constant prices, in particular least developed countries and small island developing states, for conservation and the sustainable use of biodiversity and ecosystems, in line with the Convention on Biological Diversity (CBD).  Commitments and flows in current prices can also be measured. </w:t>
      </w:r>
    </w:p>
    <w:p w14:paraId="063D2806" w14:textId="77777777" w:rsidR="00756F0F" w:rsidRPr="00ED7E61" w:rsidRDefault="00756F0F" w:rsidP="00B10F0C">
      <w:pPr>
        <w:pStyle w:val="CBDNormalNumber"/>
        <w:numPr>
          <w:ilvl w:val="0"/>
          <w:numId w:val="67"/>
        </w:numPr>
        <w:ind w:left="567" w:firstLine="0"/>
      </w:pPr>
      <w:r w:rsidRPr="00ED7E61">
        <w:t>The total amount of international public finance flows is composed of:   </w:t>
      </w:r>
    </w:p>
    <w:p w14:paraId="7335295F" w14:textId="096E4A22" w:rsidR="00756F0F" w:rsidRPr="00ED7E61" w:rsidRDefault="00756F0F" w:rsidP="00CE7CBA">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Official Development Assistance (ODA) other official flows (OOF)</w:t>
      </w:r>
      <w:r w:rsidR="004E4C96">
        <w:rPr>
          <w:rStyle w:val="normaltextrun"/>
          <w:rFonts w:eastAsiaTheme="majorEastAsia"/>
        </w:rPr>
        <w:t xml:space="preserve"> and private sector instruments (PSI)</w:t>
      </w:r>
      <w:r w:rsidRPr="00ED7E61">
        <w:rPr>
          <w:rStyle w:val="normaltextrun"/>
          <w:rFonts w:eastAsiaTheme="majorEastAsia"/>
        </w:rPr>
        <w:t xml:space="preserve"> for developmental purposes that have been marked as targeting the objectives of the CBD (using the so-called biodiversity marker scores “</w:t>
      </w:r>
      <w:r w:rsidRPr="00FB1598">
        <w:rPr>
          <w:rStyle w:val="normaltextrun"/>
          <w:rFonts w:eastAsiaTheme="majorEastAsia"/>
          <w:i/>
          <w:iCs/>
        </w:rPr>
        <w:t>principal</w:t>
      </w:r>
      <w:r w:rsidRPr="00ED7E61">
        <w:rPr>
          <w:rStyle w:val="normaltextrun"/>
          <w:rFonts w:eastAsiaTheme="majorEastAsia"/>
        </w:rPr>
        <w:t>” or “</w:t>
      </w:r>
      <w:r w:rsidRPr="00FB1598">
        <w:rPr>
          <w:rStyle w:val="normaltextrun"/>
          <w:rFonts w:eastAsiaTheme="majorEastAsia"/>
          <w:i/>
          <w:iCs/>
        </w:rPr>
        <w:t>significant</w:t>
      </w:r>
      <w:r w:rsidRPr="00ED7E61">
        <w:rPr>
          <w:rStyle w:val="normaltextrun"/>
          <w:rFonts w:eastAsiaTheme="majorEastAsia"/>
        </w:rPr>
        <w:t>”) in the Creditor Reporting System (CRS) of the OECD Development Assistance Committee (DAC)</w:t>
      </w:r>
      <w:r w:rsidR="003F212A" w:rsidRPr="00ED7E61">
        <w:rPr>
          <w:rStyle w:val="FootnoteReference"/>
        </w:rPr>
        <w:footnoteReference w:id="10"/>
      </w:r>
      <w:r w:rsidR="00DE7CC0">
        <w:rPr>
          <w:rStyle w:val="normaltextrun"/>
          <w:rFonts w:eastAsiaTheme="majorEastAsia"/>
        </w:rPr>
        <w:t>.</w:t>
      </w:r>
      <w:r w:rsidR="00CE7CBA" w:rsidRPr="00CE7CBA">
        <w:rPr>
          <w:rFonts w:eastAsiaTheme="majorEastAsia"/>
          <w:sz w:val="24"/>
          <w:szCs w:val="24"/>
          <w:lang w:val="en-CA"/>
        </w:rPr>
        <w:t xml:space="preserve"> </w:t>
      </w:r>
      <w:r w:rsidR="00CE7CBA" w:rsidRPr="00CE7CBA">
        <w:rPr>
          <w:rFonts w:eastAsiaTheme="majorEastAsia"/>
          <w:lang w:val="en-CA"/>
        </w:rPr>
        <w:t>Data on flows targeting Sustainable Development Goals (SDGs) 14 and 15 can also be considered</w:t>
      </w:r>
    </w:p>
    <w:p w14:paraId="59810E62" w14:textId="7FCAEA68" w:rsidR="00756F0F" w:rsidRPr="00ED7E61" w:rsidRDefault="00756F0F" w:rsidP="00DD3C6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sz w:val="24"/>
          <w:szCs w:val="24"/>
          <w:lang w:val="en-CA"/>
        </w:rPr>
      </w:pPr>
      <w:r w:rsidRPr="00ED7E61">
        <w:rPr>
          <w:rStyle w:val="normaltextrun"/>
          <w:rFonts w:eastAsiaTheme="majorEastAsia"/>
        </w:rPr>
        <w:t>For countries that report on Total Official Support for Sustainable Development (TOSSD), such as South-South and triangular Cooperation providers, this includes flows targeting Sustainable Development Goals (SDGs) 14 and 15 and/or targeting biodiversity-related sectors</w:t>
      </w:r>
      <w:r w:rsidR="003F212A" w:rsidRPr="00ED7E61">
        <w:rPr>
          <w:rStyle w:val="FootnoteReference"/>
          <w:rFonts w:eastAsiaTheme="majorEastAsia"/>
        </w:rPr>
        <w:footnoteReference w:id="11"/>
      </w:r>
      <w:r w:rsidR="00DE7CC0">
        <w:rPr>
          <w:rStyle w:val="normaltextrun"/>
        </w:rPr>
        <w:t xml:space="preserve">. </w:t>
      </w:r>
      <w:r w:rsidR="00DD3C6C" w:rsidRPr="00DD3C6C">
        <w:rPr>
          <w:lang w:val="en-CA"/>
        </w:rPr>
        <w:t>As of 2024, the International Forum on TOSSD included a keyword to better track biodiversity-related support.</w:t>
      </w:r>
    </w:p>
    <w:p w14:paraId="47119C98" w14:textId="3723941D"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sz w:val="24"/>
          <w:szCs w:val="24"/>
          <w:lang w:val="en-CA"/>
        </w:rPr>
      </w:pPr>
      <w:r w:rsidRPr="00ED7E61">
        <w:rPr>
          <w:rStyle w:val="normaltextrun"/>
          <w:rFonts w:eastAsiaTheme="majorEastAsia"/>
        </w:rPr>
        <w:t>Outflows of multilateral institutions, such as multilateral and regional development banks, vertical funds or international institutions. These are defined as institutions included in the list of ODA-eligible international organi</w:t>
      </w:r>
      <w:r w:rsidR="00B10F0C">
        <w:rPr>
          <w:rStyle w:val="normaltextrun"/>
          <w:rFonts w:eastAsiaTheme="majorEastAsia"/>
        </w:rPr>
        <w:t>z</w:t>
      </w:r>
      <w:r w:rsidRPr="00ED7E61">
        <w:rPr>
          <w:rStyle w:val="normaltextrun"/>
          <w:rFonts w:eastAsiaTheme="majorEastAsia"/>
        </w:rPr>
        <w:t xml:space="preserve">ations (Annex 2 of CRS reporting </w:t>
      </w:r>
      <w:hyperlink r:id="rId194" w:tgtFrame="_blank" w:history="1">
        <w:r w:rsidRPr="00ED7E61">
          <w:rPr>
            <w:rStyle w:val="normaltextrun"/>
            <w:rFonts w:eastAsiaTheme="majorEastAsia"/>
          </w:rPr>
          <w:t>guidelines</w:t>
        </w:r>
      </w:hyperlink>
      <w:r w:rsidRPr="00ED7E61">
        <w:rPr>
          <w:rStyle w:val="normaltextrun"/>
          <w:rFonts w:eastAsiaTheme="majorEastAsia"/>
        </w:rPr>
        <w:t>). Multilateral institutions’ biodiversity-related outflows can be identified through the biodiversity Rio marker, SDGs 14/15 and purpose sectors, as well as through keyword searches – depending on the granularity of the institutions’ reporting to the OECD. </w:t>
      </w:r>
      <w:r w:rsidRPr="00ED7E61">
        <w:rPr>
          <w:rStyle w:val="normaltextrun"/>
        </w:rPr>
        <w:t> </w:t>
      </w:r>
    </w:p>
    <w:p w14:paraId="09B148A4" w14:textId="5E50D5D4" w:rsidR="00756F0F" w:rsidRPr="00ED7E61" w:rsidRDefault="00756F0F" w:rsidP="00D07FEA">
      <w:pPr>
        <w:pStyle w:val="CBDNormalNumber"/>
        <w:numPr>
          <w:ilvl w:val="0"/>
          <w:numId w:val="67"/>
        </w:numPr>
        <w:ind w:left="567" w:firstLine="0"/>
      </w:pPr>
      <w:r w:rsidRPr="00ED7E61">
        <w:t>Both ODA OOF</w:t>
      </w:r>
      <w:r w:rsidR="009C43FD">
        <w:t xml:space="preserve"> and PSI</w:t>
      </w:r>
      <w:r w:rsidRPr="00ED7E61">
        <w:t xml:space="preserve"> as well as TOSSD, are composed of flows disbursed to developing countries by official agencies, including state and local governments, or by their executive agencies – although commitment flows can also be identified. For ODA OOF</w:t>
      </w:r>
      <w:r w:rsidR="002F29B3">
        <w:t xml:space="preserve"> and PSI</w:t>
      </w:r>
      <w:r w:rsidRPr="00ED7E61">
        <w:t xml:space="preserve">, developing countries include countries on the DAC List of ODA Recipients. </w:t>
      </w:r>
      <w:r w:rsidR="00D07FEA" w:rsidRPr="00D07FEA">
        <w:rPr>
          <w:lang w:val="en-CA"/>
        </w:rPr>
        <w:t xml:space="preserve">For TOSSD, the list of recipients is broader, and includes 10 non-ODA eligible recipients.  </w:t>
      </w:r>
    </w:p>
    <w:p w14:paraId="713C71C0" w14:textId="6AA05203" w:rsidR="00756F0F" w:rsidRPr="00ED7E61" w:rsidRDefault="00756F0F" w:rsidP="00C440A9">
      <w:pPr>
        <w:pStyle w:val="CBDNormalNumber"/>
        <w:numPr>
          <w:ilvl w:val="0"/>
          <w:numId w:val="67"/>
        </w:numPr>
        <w:ind w:left="567" w:firstLine="0"/>
      </w:pPr>
      <w:r w:rsidRPr="00ED7E61">
        <w:t>Multilateral expenditures (outflows) for biodiversity include a mix of activities financed with core contributions and earmarked contributions to multilateral organi</w:t>
      </w:r>
      <w:r w:rsidR="00B10F0C">
        <w:t>z</w:t>
      </w:r>
      <w:r w:rsidRPr="00ED7E61">
        <w:t>ations. These resources are provided by official agencies as defined above but also include other resources that multilateral organi</w:t>
      </w:r>
      <w:r w:rsidR="00B10F0C">
        <w:t>z</w:t>
      </w:r>
      <w:r w:rsidRPr="00ED7E61">
        <w:t>ations receive as grants from the private sector or leverage from international capital markets</w:t>
      </w:r>
      <w:r w:rsidR="009753DA" w:rsidRPr="00ED7E61">
        <w:rPr>
          <w:rStyle w:val="FootnoteReference"/>
        </w:rPr>
        <w:footnoteReference w:id="12"/>
      </w:r>
      <w:r w:rsidR="00DE7CC0">
        <w:t xml:space="preserve">. </w:t>
      </w:r>
      <w:r w:rsidRPr="00ED7E61">
        <w:t xml:space="preserve">To avoid double counting, therefore, unearmarked (estimated imputed shares) and earmarked contributions from provider countries can be included as part of the provider country reporting, unless a separate indicator is created to track multilateral institution outflows. In this case, caution needs to be taken to ensure to present bilateral </w:t>
      </w:r>
      <w:proofErr w:type="gramStart"/>
      <w:r w:rsidR="005B58FE">
        <w:t xml:space="preserve">and </w:t>
      </w:r>
      <w:r w:rsidR="005B58FE" w:rsidRPr="00ED7E61">
        <w:t xml:space="preserve"> </w:t>
      </w:r>
      <w:r w:rsidRPr="00ED7E61">
        <w:t>multilateral</w:t>
      </w:r>
      <w:proofErr w:type="gramEnd"/>
      <w:r w:rsidRPr="00ED7E61">
        <w:t xml:space="preserve"> flows separately. If a separate indicator is introduced for multilateral organi</w:t>
      </w:r>
      <w:r w:rsidR="00B10F0C">
        <w:t>z</w:t>
      </w:r>
      <w:r w:rsidRPr="00ED7E61">
        <w:t xml:space="preserve">ations, these can include the outflows (expenditures </w:t>
      </w:r>
      <w:r w:rsidRPr="00ED7E61">
        <w:lastRenderedPageBreak/>
        <w:t xml:space="preserve">on activities in developing countries) reported to the CRS and/or TOSSD </w:t>
      </w:r>
      <w:r w:rsidR="00C440A9" w:rsidRPr="00C440A9">
        <w:rPr>
          <w:lang w:val="en-CA"/>
        </w:rPr>
        <w:t xml:space="preserve">while </w:t>
      </w:r>
      <w:proofErr w:type="gramStart"/>
      <w:r w:rsidR="00C440A9" w:rsidRPr="00C440A9">
        <w:rPr>
          <w:lang w:val="en-CA"/>
        </w:rPr>
        <w:t>taking into account</w:t>
      </w:r>
      <w:proofErr w:type="gramEnd"/>
      <w:r w:rsidR="00C440A9" w:rsidRPr="00C440A9">
        <w:rPr>
          <w:lang w:val="en-CA"/>
        </w:rPr>
        <w:t xml:space="preserve"> that earmarked multilateral activities are recorded differently in the systems.</w:t>
      </w:r>
      <w:r w:rsidRPr="00ED7E61">
        <w:t> </w:t>
      </w:r>
    </w:p>
    <w:p w14:paraId="36E4B91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7F9DF914" w14:textId="77777777" w:rsidR="00756F0F" w:rsidRPr="00ED7E61" w:rsidRDefault="00756F0F" w:rsidP="00B10F0C">
      <w:pPr>
        <w:pStyle w:val="CBDNormalNumber"/>
        <w:numPr>
          <w:ilvl w:val="0"/>
          <w:numId w:val="67"/>
        </w:numPr>
        <w:ind w:left="567" w:firstLine="0"/>
      </w:pPr>
      <w:r w:rsidRPr="00ED7E61">
        <w:t>Options for countries:  </w:t>
      </w:r>
    </w:p>
    <w:p w14:paraId="588AAB67" w14:textId="23771BCD" w:rsidR="00172A35" w:rsidRPr="00812871" w:rsidRDefault="00756F0F" w:rsidP="00812871">
      <w:pPr>
        <w:pStyle w:val="CBDNormalNumber"/>
        <w:numPr>
          <w:ilvl w:val="1"/>
          <w:numId w:val="67"/>
        </w:numPr>
        <w:ind w:left="1276" w:firstLine="56"/>
        <w:rPr>
          <w:rStyle w:val="normaltextrun"/>
        </w:rPr>
      </w:pPr>
      <w:r w:rsidRPr="00ED7E61">
        <w:rPr>
          <w:rStyle w:val="normaltextrun"/>
          <w:rFonts w:eastAsiaTheme="majorEastAsia"/>
        </w:rPr>
        <w:t>A country can compute their international financial flows by using the DAC CRS based on the Rio marker for biodiversity. The indicator is calculated as the sum of all ODA OOF</w:t>
      </w:r>
      <w:r w:rsidR="005B58FE">
        <w:rPr>
          <w:rStyle w:val="normaltextrun"/>
          <w:rFonts w:eastAsiaTheme="majorEastAsia"/>
        </w:rPr>
        <w:t xml:space="preserve"> and PSI</w:t>
      </w:r>
      <w:r w:rsidRPr="00ED7E61">
        <w:rPr>
          <w:rStyle w:val="normaltextrun"/>
          <w:rFonts w:eastAsiaTheme="majorEastAsia"/>
        </w:rPr>
        <w:t xml:space="preserve"> activities marked for biodiversity with either the principal or significant score. This can include multi-bi allocations. Given that Rio markers are not applicable to core contributions to multilateral organi</w:t>
      </w:r>
      <w:r w:rsidR="00B10F0C">
        <w:rPr>
          <w:rStyle w:val="normaltextrun"/>
          <w:rFonts w:eastAsiaTheme="majorEastAsia"/>
        </w:rPr>
        <w:t>z</w:t>
      </w:r>
      <w:r w:rsidRPr="00ED7E61">
        <w:rPr>
          <w:rStyle w:val="normaltextrun"/>
          <w:rFonts w:eastAsiaTheme="majorEastAsia"/>
        </w:rPr>
        <w:t>ations, imputed multilateral flows would need to be calculated based on current and estimated multilateral institutions’ outflows for biodiversity. </w:t>
      </w:r>
      <w:r w:rsidRPr="00ED7E61">
        <w:rPr>
          <w:rStyle w:val="normaltextrun"/>
        </w:rPr>
        <w:t> </w:t>
      </w:r>
      <w:r w:rsidR="0083208C" w:rsidRPr="0083208C">
        <w:t>Additional data on flows targeting Sustainable Development Goals (SDGs) 14 and 15 can also be considered.</w:t>
      </w:r>
    </w:p>
    <w:p w14:paraId="126D1F32" w14:textId="47CD0C2F" w:rsidR="00172A35" w:rsidRPr="00ED7E61" w:rsidRDefault="00756F0F" w:rsidP="00B10F0C">
      <w:pPr>
        <w:pStyle w:val="CBDNormalNumber"/>
        <w:numPr>
          <w:ilvl w:val="2"/>
          <w:numId w:val="67"/>
        </w:numPr>
        <w:tabs>
          <w:tab w:val="clear" w:pos="567"/>
          <w:tab w:val="clear" w:pos="1134"/>
          <w:tab w:val="clear" w:pos="1701"/>
          <w:tab w:val="clear" w:pos="2268"/>
          <w:tab w:val="left" w:pos="1985"/>
        </w:tabs>
        <w:rPr>
          <w:rFonts w:asciiTheme="majorBidi" w:hAnsiTheme="majorBidi" w:cstheme="majorBidi"/>
        </w:rPr>
      </w:pPr>
      <w:r w:rsidRPr="00ED7E61">
        <w:rPr>
          <w:rStyle w:val="normaltextrun"/>
          <w:rFonts w:asciiTheme="majorBidi" w:eastAsiaTheme="majorEastAsia" w:hAnsiTheme="majorBidi" w:cstheme="majorBidi"/>
        </w:rPr>
        <w:t>Taken together, the bilateral, the multi-bi and the imputed multilateral flows would give the total international finance for biodiversity per providing country.</w:t>
      </w:r>
      <w:r w:rsidRPr="00ED7E61">
        <w:rPr>
          <w:rStyle w:val="eop"/>
          <w:rFonts w:asciiTheme="majorBidi" w:eastAsiaTheme="majorEastAsia" w:hAnsiTheme="majorBidi" w:cstheme="majorBidi"/>
        </w:rPr>
        <w:t> </w:t>
      </w:r>
    </w:p>
    <w:p w14:paraId="5260D5BE" w14:textId="77777777" w:rsidR="00756F0F" w:rsidRPr="00ED7E61" w:rsidRDefault="00756F0F" w:rsidP="00B10F0C">
      <w:pPr>
        <w:pStyle w:val="CBDNormalNumber"/>
        <w:numPr>
          <w:ilvl w:val="2"/>
          <w:numId w:val="67"/>
        </w:numPr>
        <w:tabs>
          <w:tab w:val="clear" w:pos="567"/>
          <w:tab w:val="clear" w:pos="1134"/>
          <w:tab w:val="clear" w:pos="1701"/>
          <w:tab w:val="clear" w:pos="2268"/>
          <w:tab w:val="left" w:pos="1985"/>
        </w:tabs>
        <w:rPr>
          <w:rFonts w:asciiTheme="majorBidi" w:hAnsiTheme="majorBidi" w:cstheme="majorBidi"/>
        </w:rPr>
      </w:pPr>
      <w:r w:rsidRPr="00ED7E61">
        <w:rPr>
          <w:rStyle w:val="normaltextrun"/>
          <w:rFonts w:asciiTheme="majorBidi" w:eastAsiaTheme="majorEastAsia" w:hAnsiTheme="majorBidi" w:cstheme="majorBidi"/>
        </w:rPr>
        <w:t>Imputed multilateral flows could be calculated by the OECD based on current reporting of multilateral institutions to the CRS and/or TOSSD, as some institutions report using the Rio markers. For other institutions, estimates could also be calculated. </w:t>
      </w:r>
      <w:r w:rsidRPr="00ED7E61">
        <w:rPr>
          <w:rStyle w:val="eop"/>
          <w:rFonts w:asciiTheme="majorBidi" w:eastAsiaTheme="majorEastAsia" w:hAnsiTheme="majorBidi" w:cstheme="majorBidi"/>
        </w:rPr>
        <w:t> </w:t>
      </w:r>
    </w:p>
    <w:p w14:paraId="67F4C8B1" w14:textId="525E77FD" w:rsidR="00756F0F" w:rsidRPr="00ED7E61" w:rsidRDefault="00756F0F" w:rsidP="007F4205">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Alternatively, and/or in complement to the above, a country can sum up all activities identified in their TOSSD reporting as additional to ODA and OOF </w:t>
      </w:r>
      <w:r w:rsidR="00E17DB8" w:rsidRPr="00E17DB8">
        <w:rPr>
          <w:rFonts w:eastAsiaTheme="majorEastAsia"/>
          <w:lang w:val="en-CA"/>
        </w:rPr>
        <w:t xml:space="preserve">(including flows to non-ODA </w:t>
      </w:r>
      <w:proofErr w:type="gramStart"/>
      <w:r w:rsidR="00E17DB8" w:rsidRPr="00E17DB8">
        <w:rPr>
          <w:rFonts w:eastAsiaTheme="majorEastAsia"/>
          <w:lang w:val="en-CA"/>
        </w:rPr>
        <w:t>recipients)</w:t>
      </w:r>
      <w:r w:rsidRPr="00ED7E61">
        <w:rPr>
          <w:rStyle w:val="normaltextrun"/>
          <w:rFonts w:eastAsiaTheme="majorEastAsia"/>
        </w:rPr>
        <w:t>and</w:t>
      </w:r>
      <w:proofErr w:type="gramEnd"/>
      <w:r w:rsidRPr="00ED7E61">
        <w:rPr>
          <w:rStyle w:val="normaltextrun"/>
          <w:rFonts w:eastAsiaTheme="majorEastAsia"/>
        </w:rPr>
        <w:t xml:space="preserve"> that have been marked with the SDG14, SDG15 and/or the sector code “</w:t>
      </w:r>
      <w:r w:rsidRPr="00FB1598">
        <w:rPr>
          <w:rStyle w:val="normaltextrun"/>
          <w:rFonts w:eastAsiaTheme="majorEastAsia"/>
          <w:i/>
          <w:iCs/>
        </w:rPr>
        <w:t>biodiversity</w:t>
      </w:r>
      <w:r w:rsidRPr="00ED7E61">
        <w:rPr>
          <w:rStyle w:val="normaltextrun"/>
          <w:rFonts w:eastAsiaTheme="majorEastAsia"/>
        </w:rPr>
        <w:t>”</w:t>
      </w:r>
      <w:r w:rsidR="007F4205" w:rsidRPr="007F4205">
        <w:rPr>
          <w:rFonts w:eastAsiaTheme="majorEastAsia"/>
          <w:lang w:val="en-CA"/>
        </w:rPr>
        <w:t>, and/</w:t>
      </w:r>
      <w:proofErr w:type="gramStart"/>
      <w:r w:rsidR="007F4205" w:rsidRPr="007F4205">
        <w:rPr>
          <w:rFonts w:eastAsiaTheme="majorEastAsia"/>
          <w:lang w:val="en-CA"/>
        </w:rPr>
        <w:t>or  the</w:t>
      </w:r>
      <w:proofErr w:type="gramEnd"/>
      <w:r w:rsidR="007F4205" w:rsidRPr="007F4205">
        <w:rPr>
          <w:rFonts w:eastAsiaTheme="majorEastAsia"/>
          <w:lang w:val="en-CA"/>
        </w:rPr>
        <w:t xml:space="preserve"> ‘biodiversity’ TOSSD keyword</w:t>
      </w:r>
      <w:proofErr w:type="gramStart"/>
      <w:r w:rsidR="007F4205">
        <w:rPr>
          <w:rFonts w:eastAsiaTheme="majorEastAsia"/>
          <w:lang w:val="en-CA"/>
        </w:rPr>
        <w:t xml:space="preserve">. </w:t>
      </w:r>
      <w:r w:rsidRPr="00ED7E61">
        <w:rPr>
          <w:rStyle w:val="normaltextrun"/>
          <w:rFonts w:eastAsiaTheme="majorEastAsia"/>
        </w:rPr>
        <w:t>.</w:t>
      </w:r>
      <w:proofErr w:type="gramEnd"/>
      <w:r w:rsidRPr="00ED7E61">
        <w:rPr>
          <w:rStyle w:val="normaltextrun"/>
          <w:rFonts w:eastAsiaTheme="majorEastAsia"/>
        </w:rPr>
        <w:t>  </w:t>
      </w:r>
      <w:r w:rsidRPr="00ED7E61">
        <w:rPr>
          <w:rStyle w:val="normaltextrun"/>
        </w:rPr>
        <w:t> </w:t>
      </w:r>
    </w:p>
    <w:p w14:paraId="34C41301" w14:textId="50270CFD"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Alternatively, a country can report on biodiversity-related international financial flows using other methods (e.g. using own data sources, using more disaggregation than OECD DAC Rio marker data, using ODA/OOF</w:t>
      </w:r>
      <w:r w:rsidR="007F4205">
        <w:rPr>
          <w:rStyle w:val="normaltextrun"/>
          <w:rFonts w:eastAsiaTheme="majorEastAsia"/>
        </w:rPr>
        <w:t>/PSI</w:t>
      </w:r>
      <w:r w:rsidRPr="00ED7E61">
        <w:rPr>
          <w:rStyle w:val="normaltextrun"/>
          <w:rFonts w:eastAsiaTheme="majorEastAsia"/>
        </w:rPr>
        <w:t xml:space="preserve"> commitments), as long as the flow targets the objectives of the CBD (in line with the OECD DAC Rio marker definition). </w:t>
      </w:r>
      <w:r w:rsidRPr="00ED7E61">
        <w:rPr>
          <w:rStyle w:val="normaltextrun"/>
        </w:rPr>
        <w:t> </w:t>
      </w:r>
    </w:p>
    <w:p w14:paraId="6119EBFF" w14:textId="682128D3" w:rsidR="00756F0F" w:rsidRPr="00ED7E61" w:rsidRDefault="00756F0F" w:rsidP="00785479">
      <w:pPr>
        <w:pStyle w:val="CBDNormalNumber"/>
        <w:numPr>
          <w:ilvl w:val="0"/>
          <w:numId w:val="67"/>
        </w:numPr>
        <w:ind w:left="567" w:firstLine="0"/>
      </w:pPr>
      <w:r w:rsidRPr="00ED7E61">
        <w:t xml:space="preserve">For information, the OECD DAC Rio marker helps track biodiversity-related activities when targeting the objectives of the CBD, with a </w:t>
      </w:r>
      <w:r w:rsidR="001B59DF">
        <w:t>“</w:t>
      </w:r>
      <w:r w:rsidRPr="00785479">
        <w:rPr>
          <w:i/>
          <w:iCs/>
        </w:rPr>
        <w:t>principal objective</w:t>
      </w:r>
      <w:r w:rsidR="001B59DF">
        <w:t>”</w:t>
      </w:r>
      <w:r w:rsidRPr="00ED7E61">
        <w:t xml:space="preserve"> or a </w:t>
      </w:r>
      <w:r w:rsidR="001B59DF">
        <w:t>“</w:t>
      </w:r>
      <w:r w:rsidRPr="00785479">
        <w:rPr>
          <w:i/>
          <w:iCs/>
        </w:rPr>
        <w:t>significant objective</w:t>
      </w:r>
      <w:r w:rsidR="001B59DF">
        <w:t>”</w:t>
      </w:r>
      <w:r w:rsidRPr="00ED7E61">
        <w:t>. Activities marked as “</w:t>
      </w:r>
      <w:r w:rsidRPr="00785479">
        <w:rPr>
          <w:i/>
          <w:iCs/>
        </w:rPr>
        <w:t>principal</w:t>
      </w:r>
      <w:r w:rsidRPr="00ED7E61">
        <w:t>” would not have been funded but for that objective; activities marked “</w:t>
      </w:r>
      <w:r w:rsidRPr="00785479">
        <w:rPr>
          <w:i/>
          <w:iCs/>
        </w:rPr>
        <w:t>significant</w:t>
      </w:r>
      <w:r w:rsidRPr="00ED7E61">
        <w:t xml:space="preserve">” have other primary </w:t>
      </w:r>
      <w:proofErr w:type="gramStart"/>
      <w:r w:rsidRPr="00ED7E61">
        <w:t>objectives, but</w:t>
      </w:r>
      <w:proofErr w:type="gramEnd"/>
      <w:r w:rsidRPr="00ED7E61">
        <w:t xml:space="preserve"> have been formulated or adjusted to help meet biodiversity concerns. The Rio markers were designed to track the degree to which members are integrating and mainstreaming environmental considerations into their development co-operation </w:t>
      </w:r>
      <w:proofErr w:type="gramStart"/>
      <w:r w:rsidRPr="00ED7E61">
        <w:t>activities, and</w:t>
      </w:r>
      <w:proofErr w:type="gramEnd"/>
      <w:r w:rsidRPr="00ED7E61">
        <w:t xml:space="preserve"> thus apply to the entirety of an activity reported – not to the allocation of finance associated with the biodiversity-specific component of that activity. Hence, when reporting on this target, countries could report only a portion of their development finance targeting biodiversity as a “</w:t>
      </w:r>
      <w:r w:rsidRPr="00785479">
        <w:rPr>
          <w:i/>
          <w:iCs/>
        </w:rPr>
        <w:t>significant</w:t>
      </w:r>
      <w:r w:rsidRPr="00ED7E61">
        <w:t>” objective, using a coefficient to adjust the volume of finance counted. There is no agreed definition or common approach for this practice, but the most common coefficient applied to countries’ “</w:t>
      </w:r>
      <w:r w:rsidRPr="00785479">
        <w:rPr>
          <w:i/>
          <w:iCs/>
        </w:rPr>
        <w:t>significant</w:t>
      </w:r>
      <w:r w:rsidRPr="00ED7E61">
        <w:t>” flows is 40%, along with the full account of “</w:t>
      </w:r>
      <w:r w:rsidRPr="00785479">
        <w:rPr>
          <w:i/>
          <w:iCs/>
        </w:rPr>
        <w:t>principal</w:t>
      </w:r>
      <w:r w:rsidRPr="00ED7E61">
        <w:t>” flows. When reporting, countries would need to specify the coefficients used for the amounts disbursed to developing countries. </w:t>
      </w:r>
      <w:r w:rsidR="00B975A2">
        <w:t xml:space="preserve">Agreeing on a harmonized coefficient would facilitate more translatable figures across reporting platforms and data custodians. Work continues towards </w:t>
      </w:r>
      <w:proofErr w:type="gramStart"/>
      <w:r w:rsidR="00B975A2">
        <w:t>this, and</w:t>
      </w:r>
      <w:proofErr w:type="gramEnd"/>
      <w:r w:rsidR="00B975A2">
        <w:t xml:space="preserve"> would be particularly important to consolidate before 2030.</w:t>
      </w:r>
    </w:p>
    <w:p w14:paraId="3A7F7F49" w14:textId="2AE138BA" w:rsidR="00756F0F" w:rsidRPr="00ED7E61" w:rsidRDefault="00756F0F" w:rsidP="00B10F0C">
      <w:pPr>
        <w:pStyle w:val="CBDNormalNumber"/>
        <w:numPr>
          <w:ilvl w:val="0"/>
          <w:numId w:val="67"/>
        </w:numPr>
        <w:ind w:left="567" w:firstLine="0"/>
      </w:pPr>
      <w:r w:rsidRPr="00ED7E61">
        <w:t xml:space="preserve">Two biodiversity-specific activity codes (biodiversity and biosphere protection) have the </w:t>
      </w:r>
      <w:r w:rsidR="001B59DF">
        <w:t>“</w:t>
      </w:r>
      <w:r w:rsidRPr="00FB1598">
        <w:rPr>
          <w:i/>
          <w:iCs/>
        </w:rPr>
        <w:t>principal</w:t>
      </w:r>
      <w:r w:rsidR="001B59DF">
        <w:t>”</w:t>
      </w:r>
      <w:r w:rsidRPr="00ED7E61">
        <w:t xml:space="preserve"> score of the Rio marker assigned by default (hence would be accounted in full). Additional information might be available through activities reported to SDGs 14 and 15. When looking at complementary data based on the SDGs 14 and 15, TOSSD represents a better source of information because the reporting is part of the eligibility criteria (at the target level) and therefore </w:t>
      </w:r>
      <w:r w:rsidRPr="00ED7E61">
        <w:lastRenderedPageBreak/>
        <w:t>better reported and verified by reporters and the Secretariat. Contrary to what happens in TOSSD, the reporting on the SDG focus of ODA flows is voluntary in the CRS and the coverage is lower. </w:t>
      </w:r>
    </w:p>
    <w:p w14:paraId="4842F1B4" w14:textId="77777777" w:rsidR="00756F0F" w:rsidRPr="00ED7E61" w:rsidRDefault="00756F0F" w:rsidP="00B10F0C">
      <w:pPr>
        <w:pStyle w:val="CBDNormalNumber"/>
        <w:numPr>
          <w:ilvl w:val="0"/>
          <w:numId w:val="67"/>
        </w:numPr>
        <w:ind w:left="567" w:firstLine="0"/>
      </w:pPr>
      <w:r w:rsidRPr="00ED7E61">
        <w:t>Options for multilateral institutions (should a specific indicator be created for multilateral institutions to report separately and voluntarily on their biodiversity-related outflows):  </w:t>
      </w:r>
    </w:p>
    <w:p w14:paraId="4B3F6C98"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A multilateral institution may report biodiversity-related outflows, either using Rio marker data reported to the OECD, applying the same methodology as explained above for bilateral providers of development co-operation.</w:t>
      </w:r>
      <w:r w:rsidRPr="00ED7E61">
        <w:rPr>
          <w:rStyle w:val="normaltextrun"/>
        </w:rPr>
        <w:t> </w:t>
      </w:r>
    </w:p>
    <w:p w14:paraId="5B35D3C4"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A multilateral institution may report biodiversity-related outflows applying other methods, </w:t>
      </w:r>
      <w:proofErr w:type="gramStart"/>
      <w:r w:rsidRPr="00ED7E61">
        <w:rPr>
          <w:rStyle w:val="normaltextrun"/>
          <w:rFonts w:eastAsiaTheme="majorEastAsia"/>
        </w:rPr>
        <w:t>as long as</w:t>
      </w:r>
      <w:proofErr w:type="gramEnd"/>
      <w:r w:rsidRPr="00ED7E61">
        <w:rPr>
          <w:rStyle w:val="normaltextrun"/>
          <w:rFonts w:eastAsiaTheme="majorEastAsia"/>
        </w:rPr>
        <w:t xml:space="preserve"> the outflows captured target the objectives of the CBD (in line with the OECD DAC Rio marker definition). </w:t>
      </w:r>
      <w:r w:rsidRPr="00ED7E61">
        <w:rPr>
          <w:rStyle w:val="normaltextrun"/>
        </w:rPr>
        <w:t> </w:t>
      </w:r>
    </w:p>
    <w:p w14:paraId="0668E636" w14:textId="2231D92D" w:rsidR="00756F0F" w:rsidRPr="00F72564" w:rsidRDefault="00756F0F" w:rsidP="00B10F0C">
      <w:pPr>
        <w:pStyle w:val="CBDNormalNumber"/>
        <w:numPr>
          <w:ilvl w:val="0"/>
          <w:numId w:val="67"/>
        </w:numPr>
        <w:ind w:left="567" w:firstLine="0"/>
      </w:pPr>
      <w:r w:rsidRPr="00ED7E61">
        <w:t>As noted earlier, the figures of multilateral flows would need to be presented separately from those of bilateral flows, to avoid double counting (except for multi-bi flows, which can be accounted for by bilateral providers). This would require developing a separate complementary indicator for multilateral institutions.  </w:t>
      </w:r>
    </w:p>
    <w:p w14:paraId="01546BC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1EB67F31" w14:textId="77777777" w:rsidR="00756F0F" w:rsidRPr="00ED7E61" w:rsidRDefault="00756F0F" w:rsidP="00B10F0C">
      <w:pPr>
        <w:pStyle w:val="CBDNormalNumber"/>
        <w:numPr>
          <w:ilvl w:val="0"/>
          <w:numId w:val="67"/>
        </w:numPr>
        <w:ind w:left="567" w:firstLine="0"/>
      </w:pPr>
      <w:r w:rsidRPr="00ED7E61">
        <w:t>Depending on the reporting option selected by the country/institution, data may be collected through information already reported to the OECD DAC Secretariat and the Secretariat of the International Forum on TOSSD:  </w:t>
      </w:r>
    </w:p>
    <w:p w14:paraId="5A3A377E" w14:textId="0D2DF443"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The OECD DAC Secretariat collects individual aid activities on ODA</w:t>
      </w:r>
      <w:r w:rsidR="000E37FF">
        <w:rPr>
          <w:rStyle w:val="normaltextrun"/>
          <w:rFonts w:eastAsiaTheme="majorEastAsia"/>
        </w:rPr>
        <w:t>,</w:t>
      </w:r>
      <w:r w:rsidRPr="00ED7E61">
        <w:rPr>
          <w:rStyle w:val="normaltextrun"/>
          <w:rFonts w:eastAsiaTheme="majorEastAsia"/>
        </w:rPr>
        <w:t xml:space="preserve"> OOF</w:t>
      </w:r>
      <w:r w:rsidR="000E37FF">
        <w:rPr>
          <w:rStyle w:val="normaltextrun"/>
          <w:rFonts w:eastAsiaTheme="majorEastAsia"/>
        </w:rPr>
        <w:t xml:space="preserve"> and PSI</w:t>
      </w:r>
      <w:r w:rsidRPr="00ED7E61">
        <w:rPr>
          <w:rStyle w:val="normaltextrun"/>
          <w:rFonts w:eastAsiaTheme="majorEastAsia"/>
        </w:rPr>
        <w:t xml:space="preserve"> in the Creditor Reporting System (CRS) via annual reporting tables compiled by national statistical reporters (in aid agencies, ministries of foreign affairs, etc</w:t>
      </w:r>
      <w:r w:rsidR="00B6621B">
        <w:rPr>
          <w:rStyle w:val="normaltextrun"/>
          <w:rFonts w:eastAsiaTheme="majorEastAsia"/>
        </w:rPr>
        <w:t>.</w:t>
      </w:r>
      <w:r w:rsidRPr="00ED7E61">
        <w:rPr>
          <w:rStyle w:val="normaltextrun"/>
          <w:rFonts w:eastAsiaTheme="majorEastAsia"/>
        </w:rPr>
        <w:t>).  </w:t>
      </w:r>
      <w:r w:rsidRPr="00ED7E61">
        <w:rPr>
          <w:rStyle w:val="normaltextrun"/>
        </w:rPr>
        <w:t> </w:t>
      </w:r>
    </w:p>
    <w:p w14:paraId="066FC710" w14:textId="319D58F7" w:rsidR="00756F0F" w:rsidRPr="00ED7E61" w:rsidRDefault="00756F0F" w:rsidP="005C2222">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The Secretariat of the International Forum on TOSSD also collects activity-level </w:t>
      </w:r>
      <w:r w:rsidR="00047EF2">
        <w:rPr>
          <w:rStyle w:val="normaltextrun"/>
          <w:rFonts w:eastAsiaTheme="majorEastAsia"/>
        </w:rPr>
        <w:t>data</w:t>
      </w:r>
      <w:r w:rsidR="00047EF2" w:rsidRPr="00ED7E61">
        <w:rPr>
          <w:rStyle w:val="normaltextrun"/>
          <w:rFonts w:eastAsiaTheme="majorEastAsia"/>
        </w:rPr>
        <w:t xml:space="preserve"> </w:t>
      </w:r>
      <w:r w:rsidRPr="00ED7E61">
        <w:rPr>
          <w:rStyle w:val="normaltextrun"/>
          <w:rFonts w:eastAsiaTheme="majorEastAsia"/>
        </w:rPr>
        <w:t>on support for sustainable development</w:t>
      </w:r>
      <w:r w:rsidR="005C2222">
        <w:rPr>
          <w:rStyle w:val="normaltextrun"/>
          <w:rFonts w:eastAsiaTheme="majorEastAsia"/>
        </w:rPr>
        <w:t xml:space="preserve"> </w:t>
      </w:r>
      <w:r w:rsidR="005C2222" w:rsidRPr="005C2222">
        <w:rPr>
          <w:rFonts w:eastAsiaTheme="majorEastAsia"/>
          <w:lang w:val="en-CA"/>
        </w:rPr>
        <w:t>(concessional and non-concessional)</w:t>
      </w:r>
      <w:r w:rsidRPr="00ED7E61">
        <w:rPr>
          <w:rStyle w:val="normaltextrun"/>
          <w:rFonts w:eastAsiaTheme="majorEastAsia"/>
        </w:rPr>
        <w:t xml:space="preserve">, including South-South and triangular Cooperation, through annual reporting </w:t>
      </w:r>
      <w:r w:rsidR="005C2222">
        <w:rPr>
          <w:rStyle w:val="normaltextrun"/>
          <w:rFonts w:eastAsiaTheme="majorEastAsia"/>
        </w:rPr>
        <w:t>forms</w:t>
      </w:r>
      <w:r w:rsidR="005C2222" w:rsidRPr="00ED7E61">
        <w:rPr>
          <w:rStyle w:val="normaltextrun"/>
          <w:rFonts w:eastAsiaTheme="majorEastAsia"/>
        </w:rPr>
        <w:t xml:space="preserve"> </w:t>
      </w:r>
      <w:r w:rsidRPr="00ED7E61">
        <w:rPr>
          <w:rStyle w:val="normaltextrun"/>
          <w:rFonts w:eastAsiaTheme="majorEastAsia"/>
        </w:rPr>
        <w:t>filled by national statistical reporters, for inclusion in the TOSSD database. </w:t>
      </w:r>
      <w:r w:rsidRPr="00ED7E61">
        <w:rPr>
          <w:rStyle w:val="normaltextrun"/>
        </w:rPr>
        <w:t> </w:t>
      </w:r>
    </w:p>
    <w:p w14:paraId="677F6E1E" w14:textId="64EC77BE" w:rsidR="00756F0F" w:rsidRPr="00ED7E61" w:rsidRDefault="00756F0F" w:rsidP="00B10F0C">
      <w:pPr>
        <w:pStyle w:val="CBDNormalNumber"/>
        <w:numPr>
          <w:ilvl w:val="0"/>
          <w:numId w:val="67"/>
        </w:numPr>
        <w:ind w:left="567" w:firstLine="0"/>
      </w:pPr>
      <w:r w:rsidRPr="00ED7E61">
        <w:t>Alternatively, a country/institution may report independently from these data collection methods, ensuring international comparability.   </w:t>
      </w:r>
    </w:p>
    <w:p w14:paraId="1EB0617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6F9819FF" w14:textId="77777777" w:rsidR="00756F0F" w:rsidRPr="00ED7E61" w:rsidRDefault="00756F0F" w:rsidP="00B10F0C">
      <w:pPr>
        <w:pStyle w:val="CBDNormalNumber"/>
        <w:numPr>
          <w:ilvl w:val="0"/>
          <w:numId w:val="67"/>
        </w:numPr>
        <w:ind w:left="567" w:firstLine="0"/>
      </w:pPr>
      <w:r w:rsidRPr="00ED7E61">
        <w:t>Countries and institutions reporting via the OECD databases can refer to:  </w:t>
      </w:r>
    </w:p>
    <w:p w14:paraId="392A50EF" w14:textId="7C6AC1C9" w:rsidR="00756F0F" w:rsidRPr="00ED7E61" w:rsidRDefault="00756F0F" w:rsidP="005D315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Methodology on the Rio marker for biodiversity, available here: </w:t>
      </w:r>
      <w:hyperlink r:id="rId195" w:history="1">
        <w:r w:rsidR="005D315C" w:rsidRPr="005D315C">
          <w:rPr>
            <w:rStyle w:val="Hyperlink"/>
            <w:lang w:val="en-CA"/>
          </w:rPr>
          <w:t>https://one.oecd.org/document/DCD/DAC%282024%2940/ADD2/FINAL/en/pdf</w:t>
        </w:r>
      </w:hyperlink>
      <w:r w:rsidR="005D315C" w:rsidRPr="005D315C">
        <w:rPr>
          <w:lang w:val="en-CA"/>
        </w:rPr>
        <w:t xml:space="preserve"> </w:t>
      </w:r>
      <w:r w:rsidRPr="00ED7E61">
        <w:rPr>
          <w:rStyle w:val="normaltextrun"/>
          <w:rFonts w:eastAsiaTheme="majorEastAsia"/>
        </w:rPr>
        <w:t xml:space="preserve"> (Annex 20). </w:t>
      </w:r>
      <w:r w:rsidRPr="00ED7E61">
        <w:rPr>
          <w:rStyle w:val="normaltextrun"/>
        </w:rPr>
        <w:t> </w:t>
      </w:r>
    </w:p>
    <w:p w14:paraId="276FC00F" w14:textId="269935DB" w:rsidR="00756F0F" w:rsidRPr="00ED7E61" w:rsidRDefault="00756F0F" w:rsidP="003D6C0E">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Information on the OECD DAC CRS itself is available here: </w:t>
      </w:r>
      <w:r w:rsidR="003D6C0E" w:rsidRPr="003D6C0E">
        <w:rPr>
          <w:lang w:val="en-CA"/>
        </w:rPr>
        <w:t>https://www.oecd.org/en/data/insights/data-explainers/2024/10/resources-for-reporting-development-finance-statistics.html</w:t>
      </w:r>
      <w:r w:rsidRPr="00ED7E61">
        <w:rPr>
          <w:rStyle w:val="normaltextrun"/>
        </w:rPr>
        <w:t> </w:t>
      </w:r>
    </w:p>
    <w:p w14:paraId="0527D41F" w14:textId="5EB3D385" w:rsidR="00756F0F" w:rsidRPr="00812871" w:rsidRDefault="00756F0F" w:rsidP="00812871">
      <w:pPr>
        <w:pStyle w:val="CBDNormalNumber"/>
        <w:numPr>
          <w:ilvl w:val="1"/>
          <w:numId w:val="67"/>
        </w:numPr>
        <w:tabs>
          <w:tab w:val="left" w:pos="1985"/>
        </w:tabs>
        <w:ind w:left="1276" w:firstLine="56"/>
        <w:rPr>
          <w:rStyle w:val="normaltextrun"/>
          <w:lang w:val="en-CA"/>
        </w:rPr>
      </w:pPr>
      <w:r w:rsidRPr="00ED7E61">
        <w:rPr>
          <w:rStyle w:val="normaltextrun"/>
          <w:rFonts w:eastAsiaTheme="majorEastAsia"/>
        </w:rPr>
        <w:t xml:space="preserve">The TOSSD methodology (reporting instructions) is available here: </w:t>
      </w:r>
      <w:hyperlink r:id="rId196" w:history="1">
        <w:r w:rsidR="0069500D" w:rsidRPr="0069500D">
          <w:rPr>
            <w:rStyle w:val="Hyperlink"/>
          </w:rPr>
          <w:t>https://www.tossd.org/content/dam/tossd/en/methodology-pdfs/reporting_instructions.pdf</w:t>
        </w:r>
      </w:hyperlink>
      <w:r w:rsidR="0069500D" w:rsidRPr="0069500D">
        <w:t xml:space="preserve"> </w:t>
      </w:r>
      <w:r w:rsidRPr="00ED7E61">
        <w:rPr>
          <w:rStyle w:val="normaltextrun"/>
        </w:rPr>
        <w:t> </w:t>
      </w:r>
    </w:p>
    <w:p w14:paraId="6401667A" w14:textId="77777777" w:rsidR="00756F0F" w:rsidRPr="00ED7E61" w:rsidRDefault="00756F0F" w:rsidP="00B10F0C">
      <w:pPr>
        <w:pStyle w:val="CBDNormalNumber"/>
        <w:numPr>
          <w:ilvl w:val="0"/>
          <w:numId w:val="67"/>
        </w:numPr>
        <w:ind w:left="567" w:firstLine="0"/>
      </w:pPr>
      <w:r w:rsidRPr="00ED7E61">
        <w:t>For other countries/institutions, reported data needs to ensure international comparability and the use of these methodological guidelines, notably on what constitutes international public finance for biodiversity (i.e. flows targeting the CBD objectives, as per the Rio marker definition). </w:t>
      </w:r>
    </w:p>
    <w:p w14:paraId="24C53F8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1478C0FC" w14:textId="61692342" w:rsidR="00172A35" w:rsidRPr="00ED7E61" w:rsidRDefault="00756F0F" w:rsidP="00B10F0C">
      <w:pPr>
        <w:pStyle w:val="CBDNormalNumber"/>
        <w:numPr>
          <w:ilvl w:val="0"/>
          <w:numId w:val="67"/>
        </w:numPr>
        <w:ind w:left="567" w:firstLine="0"/>
      </w:pPr>
      <w:r w:rsidRPr="00ED7E61">
        <w:t xml:space="preserve">The OECD/DAC collects data on official resource flows through the Creditor Reporting System (CRS) (CRS data are considered complete from 1995 for commitments at an activity level and 2002 for disbursements). The Rio marker for biodiversity was introduced in 2002 and tracking </w:t>
      </w:r>
      <w:r w:rsidRPr="00ED7E61">
        <w:lastRenderedPageBreak/>
        <w:t xml:space="preserve">against the SDGs was introduced in 2018. The data are provided by </w:t>
      </w:r>
      <w:r w:rsidR="0069500D">
        <w:t>33</w:t>
      </w:r>
      <w:r w:rsidR="0069500D" w:rsidRPr="00ED7E61">
        <w:t xml:space="preserve"> </w:t>
      </w:r>
      <w:r w:rsidRPr="00ED7E61">
        <w:t xml:space="preserve">DAC donors, </w:t>
      </w:r>
      <w:r w:rsidR="0069500D">
        <w:t>21</w:t>
      </w:r>
      <w:r w:rsidR="0069500D" w:rsidRPr="00ED7E61">
        <w:t xml:space="preserve"> </w:t>
      </w:r>
      <w:r w:rsidRPr="00ED7E61">
        <w:t>other bilateral providers of development cooperation and 64 multilateral organi</w:t>
      </w:r>
      <w:r w:rsidR="00B10F0C">
        <w:t>z</w:t>
      </w:r>
      <w:r w:rsidRPr="00ED7E61">
        <w:t>ations. </w:t>
      </w:r>
    </w:p>
    <w:p w14:paraId="216425DD" w14:textId="4DFFC710" w:rsidR="00172A35" w:rsidRPr="00ED7E61" w:rsidRDefault="00756F0F" w:rsidP="00B10F0C">
      <w:pPr>
        <w:pStyle w:val="CBDNormalNumber"/>
        <w:numPr>
          <w:ilvl w:val="0"/>
          <w:numId w:val="67"/>
        </w:numPr>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 xml:space="preserve">The CRS also includes non-ODA information, e.g. Other Official Flows </w:t>
      </w:r>
      <w:r w:rsidR="000C5FC7">
        <w:rPr>
          <w:rStyle w:val="normaltextrun"/>
          <w:rFonts w:asciiTheme="majorBidi" w:eastAsiaTheme="majorEastAsia" w:hAnsiTheme="majorBidi" w:cstheme="majorBidi"/>
          <w:color w:val="000000"/>
        </w:rPr>
        <w:t xml:space="preserve">and Private Sector Instruments </w:t>
      </w:r>
      <w:r w:rsidRPr="00ED7E61">
        <w:rPr>
          <w:rStyle w:val="normaltextrun"/>
          <w:rFonts w:asciiTheme="majorBidi" w:eastAsiaTheme="majorEastAsia" w:hAnsiTheme="majorBidi" w:cstheme="majorBidi"/>
          <w:color w:val="000000"/>
        </w:rPr>
        <w:t xml:space="preserve">from bilateral donors, private flows from philanthropic institutions providing development finance for biodiversity, and private finance flows mobilised through public </w:t>
      </w:r>
      <w:r w:rsidRPr="00ED7E61">
        <w:rPr>
          <w:rStyle w:val="normaltextrun"/>
          <w:rFonts w:asciiTheme="majorBidi" w:eastAsiaTheme="majorEastAsia" w:hAnsiTheme="majorBidi" w:cstheme="majorBidi"/>
        </w:rPr>
        <w:t>interventions (e.g. using guarantees or other forms of finance, including blended finance). Some of this information may be useful for CBD Parties when reporting to indicator 19 D.3 on private finance for biodiversity.  </w:t>
      </w:r>
      <w:r w:rsidRPr="00ED7E61">
        <w:rPr>
          <w:rStyle w:val="eop"/>
          <w:rFonts w:asciiTheme="majorBidi" w:eastAsiaTheme="majorEastAsia" w:hAnsiTheme="majorBidi" w:cstheme="majorBidi"/>
        </w:rPr>
        <w:t> </w:t>
      </w:r>
    </w:p>
    <w:p w14:paraId="5D8E6DF7" w14:textId="158CCAEE" w:rsidR="00756F0F" w:rsidRPr="00ED7E61" w:rsidRDefault="00756F0F" w:rsidP="00AE63AF">
      <w:pPr>
        <w:pStyle w:val="CBDNormalNumber"/>
        <w:numPr>
          <w:ilvl w:val="0"/>
          <w:numId w:val="67"/>
        </w:numPr>
        <w:ind w:left="567" w:firstLine="0"/>
        <w:rPr>
          <w:rFonts w:asciiTheme="majorBidi" w:hAnsiTheme="majorBidi" w:cstheme="majorBidi"/>
        </w:rPr>
      </w:pPr>
      <w:r w:rsidRPr="00ED7E61">
        <w:rPr>
          <w:rStyle w:val="normaltextrun"/>
          <w:rFonts w:asciiTheme="majorBidi" w:eastAsiaTheme="majorEastAsia" w:hAnsiTheme="majorBidi" w:cstheme="majorBidi"/>
        </w:rPr>
        <w:t>TOSSD is a data source complementary to the CRS (see method of computation section) for providers that do not report on ODA/OOF, particularly South-South and triangular co-operation providers, that do not use the biodiversity Rio marker, or that report additional biodiversity-related activities (e.g. to developing countries not eligible to receive ODA/OOF). As such, TOSSD measures all official resources</w:t>
      </w:r>
      <w:r w:rsidR="008A2ED0">
        <w:rPr>
          <w:rStyle w:val="normaltextrun"/>
          <w:rFonts w:asciiTheme="majorBidi" w:eastAsiaTheme="majorEastAsia" w:hAnsiTheme="majorBidi" w:cstheme="majorBidi"/>
        </w:rPr>
        <w:t xml:space="preserve"> </w:t>
      </w:r>
      <w:r w:rsidR="008A2ED0" w:rsidRPr="008A2ED0">
        <w:rPr>
          <w:rFonts w:asciiTheme="majorBidi" w:eastAsiaTheme="majorEastAsia" w:hAnsiTheme="majorBidi" w:cstheme="majorBidi"/>
          <w:lang w:val="en-CA"/>
        </w:rPr>
        <w:t>to promote the sustainable development of developing countries</w:t>
      </w:r>
      <w:r w:rsidR="008A2ED0">
        <w:rPr>
          <w:rFonts w:asciiTheme="majorBidi" w:eastAsiaTheme="majorEastAsia" w:hAnsiTheme="majorBidi" w:cstheme="majorBidi"/>
          <w:lang w:val="en-CA"/>
        </w:rPr>
        <w:t>.</w:t>
      </w:r>
      <w:r w:rsidRPr="00ED7E61">
        <w:rPr>
          <w:rStyle w:val="normaltextrun"/>
          <w:rFonts w:asciiTheme="majorBidi" w:eastAsiaTheme="majorEastAsia" w:hAnsiTheme="majorBidi" w:cstheme="majorBidi"/>
        </w:rPr>
        <w:t xml:space="preserve"> </w:t>
      </w:r>
      <w:r w:rsidR="008A2ED0">
        <w:rPr>
          <w:rStyle w:val="normaltextrun"/>
          <w:rFonts w:asciiTheme="majorBidi" w:eastAsiaTheme="majorEastAsia" w:hAnsiTheme="majorBidi" w:cstheme="majorBidi"/>
        </w:rPr>
        <w:t>TOSSD distinguishes</w:t>
      </w:r>
      <w:r w:rsidRPr="00ED7E61">
        <w:rPr>
          <w:rStyle w:val="normaltextrun"/>
          <w:rFonts w:asciiTheme="majorBidi" w:eastAsiaTheme="majorEastAsia" w:hAnsiTheme="majorBidi" w:cstheme="majorBidi"/>
        </w:rPr>
        <w:t xml:space="preserve"> cross-border flows</w:t>
      </w:r>
      <w:r w:rsidR="00853C68">
        <w:rPr>
          <w:rStyle w:val="normaltextrun"/>
          <w:rFonts w:asciiTheme="majorBidi" w:eastAsiaTheme="majorEastAsia" w:hAnsiTheme="majorBidi" w:cstheme="majorBidi"/>
        </w:rPr>
        <w:t xml:space="preserve"> to developing countries</w:t>
      </w:r>
      <w:r w:rsidRPr="00ED7E61">
        <w:rPr>
          <w:rStyle w:val="normaltextrun"/>
          <w:rFonts w:asciiTheme="majorBidi" w:eastAsiaTheme="majorEastAsia" w:hAnsiTheme="majorBidi" w:cstheme="majorBidi"/>
        </w:rPr>
        <w:t xml:space="preserve"> (pillar I) </w:t>
      </w:r>
      <w:r w:rsidR="00853C68">
        <w:rPr>
          <w:rStyle w:val="normaltextrun"/>
          <w:rFonts w:asciiTheme="majorBidi" w:eastAsiaTheme="majorEastAsia" w:hAnsiTheme="majorBidi" w:cstheme="majorBidi"/>
        </w:rPr>
        <w:t>from</w:t>
      </w:r>
      <w:r w:rsidR="00853C68"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global and regional expenditures, including for international public goods (pillar II). An activity is deemed to support sustainable development if it directly contributes to at least one SDG target and if no substantial detrimental effect is anticipated on one or more of the other targets. TOSSD data are available at the activity level from 2019. TOSSD includes data from </w:t>
      </w:r>
      <w:r w:rsidR="00AE63AF" w:rsidRPr="00AE63AF">
        <w:rPr>
          <w:rFonts w:asciiTheme="majorBidi" w:eastAsiaTheme="majorEastAsia" w:hAnsiTheme="majorBidi" w:cstheme="majorBidi"/>
          <w:lang w:val="en-CA"/>
        </w:rPr>
        <w:t>1308</w:t>
      </w:r>
      <w:r w:rsidRPr="00ED7E61">
        <w:rPr>
          <w:rStyle w:val="normaltextrun"/>
          <w:rFonts w:asciiTheme="majorBidi" w:eastAsiaTheme="majorEastAsia" w:hAnsiTheme="majorBidi" w:cstheme="majorBidi"/>
        </w:rPr>
        <w:t>bilateral and multilateral providers.</w:t>
      </w:r>
      <w:r w:rsidRPr="00ED7E61">
        <w:rPr>
          <w:rStyle w:val="eop"/>
          <w:rFonts w:asciiTheme="majorBidi" w:eastAsiaTheme="majorEastAsia" w:hAnsiTheme="majorBidi" w:cstheme="majorBidi"/>
        </w:rPr>
        <w:t> </w:t>
      </w:r>
    </w:p>
    <w:p w14:paraId="3C1D95D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56093AC8"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Availability: In the CRS, the Rio marker on biodiversity was introduced in 2002, with improvements in reporting over time. Additional information is available through the SDGs, purpose codes and keyword searches. TOSSD data is available since 2019. Both TOSSD and CRS are reported yearly. In TOSSD, the Rio markers do not </w:t>
      </w:r>
      <w:proofErr w:type="gramStart"/>
      <w:r w:rsidRPr="00ED7E61">
        <w:rPr>
          <w:rStyle w:val="normaltextrun"/>
          <w:rFonts w:asciiTheme="majorBidi" w:eastAsiaTheme="majorEastAsia" w:hAnsiTheme="majorBidi" w:cstheme="majorBidi"/>
        </w:rPr>
        <w:t>exist</w:t>
      </w:r>
      <w:proofErr w:type="gramEnd"/>
      <w:r w:rsidRPr="00ED7E61">
        <w:rPr>
          <w:rStyle w:val="normaltextrun"/>
          <w:rFonts w:asciiTheme="majorBidi" w:eastAsiaTheme="majorEastAsia" w:hAnsiTheme="majorBidi" w:cstheme="majorBidi"/>
        </w:rPr>
        <w:t xml:space="preserve"> and identification can be made using the SDGs, sector codes and keywords. </w:t>
      </w:r>
      <w:r w:rsidRPr="00ED7E61">
        <w:rPr>
          <w:rStyle w:val="normaltextrun"/>
        </w:rPr>
        <w:t> </w:t>
      </w:r>
    </w:p>
    <w:p w14:paraId="3B20EBEA" w14:textId="77777777" w:rsidR="00756F0F" w:rsidRPr="00ED7E61" w:rsidRDefault="00756F0F" w:rsidP="00B10F0C">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Provisional data classification: Tier I </w:t>
      </w:r>
      <w:r w:rsidRPr="00ED7E61">
        <w:rPr>
          <w:rStyle w:val="normaltextrun"/>
        </w:rPr>
        <w:t> </w:t>
      </w:r>
    </w:p>
    <w:p w14:paraId="79074101" w14:textId="77777777" w:rsidR="00756F0F" w:rsidRPr="00ED7E61" w:rsidRDefault="00756F0F" w:rsidP="00B10F0C">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Release Calendar: On an annual basis. </w:t>
      </w:r>
      <w:r w:rsidRPr="00ED7E61">
        <w:rPr>
          <w:rStyle w:val="normaltextrun"/>
        </w:rPr>
        <w:t> </w:t>
      </w:r>
    </w:p>
    <w:p w14:paraId="2655AAC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3F84EE28"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CRS data are available since 1995 for commitments on an annual basis. The Rio marker on biodiversity is available since 2002. TOSSD data are available on an annual basis since 2019.  </w:t>
      </w:r>
      <w:r w:rsidRPr="00ED7E61">
        <w:rPr>
          <w:rStyle w:val="normaltextrun"/>
        </w:rPr>
        <w:t> </w:t>
      </w:r>
    </w:p>
    <w:p w14:paraId="69B13CE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4F7AA251"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and institutions (provided a separate indicator is approved) are providers of biodiversity-related international public flows. This data can be reported directly to the CBD or through data already collected by the OECD and the International Forum on TOSSD. </w:t>
      </w:r>
      <w:r w:rsidRPr="00ED7E61">
        <w:rPr>
          <w:rStyle w:val="normaltextrun"/>
        </w:rPr>
        <w:t> </w:t>
      </w:r>
    </w:p>
    <w:p w14:paraId="2EB1D7F1" w14:textId="77777777" w:rsidR="00756F0F" w:rsidRPr="00ED7E61" w:rsidRDefault="00756F0F" w:rsidP="00B10F0C">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A statistical reporter is responsible for the collection of CRS and/or TOSSD data in each providing country/agency/institution. This reporter is usually located in the national aid agency, Ministry of Foreign Affairs or Finance etc. </w:t>
      </w:r>
      <w:r w:rsidRPr="00ED7E61">
        <w:rPr>
          <w:rStyle w:val="normaltextrun"/>
        </w:rPr>
        <w:t> </w:t>
      </w:r>
    </w:p>
    <w:p w14:paraId="77B5FC35" w14:textId="77777777" w:rsidR="00756F0F" w:rsidRPr="00ED7E61" w:rsidRDefault="00756F0F" w:rsidP="00B10F0C">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The OECD Secretariat, in consultation with countries, validates the CRS data before they are published online; while the Secretariat of the International Forum on TOSSD does the same for TOSSD data. </w:t>
      </w:r>
      <w:r w:rsidRPr="00ED7E61">
        <w:rPr>
          <w:rStyle w:val="normaltextrun"/>
        </w:rPr>
        <w:t> </w:t>
      </w:r>
    </w:p>
    <w:p w14:paraId="1B997E4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A8E61E7"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Data will be compiled by the CBD Secretariat building upon individual country/institution reports and on data already reported to the OECD Development Co-operation Directorate and the Secretariat of the International Forum on TOSSD.   </w:t>
      </w:r>
      <w:r w:rsidRPr="00ED7E61">
        <w:rPr>
          <w:rStyle w:val="normaltextrun"/>
        </w:rPr>
        <w:t> </w:t>
      </w:r>
    </w:p>
    <w:p w14:paraId="734EBB4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2E735CE6" w14:textId="3DA47BB2"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lastRenderedPageBreak/>
        <w:t xml:space="preserve">In the CRS, providers beyond the OECD DAC membership do not systematically report using the biodiversity Rio marker. For these providers, information may therefore be available with Rio marker data, or not. In which case, it may be better to use TOSSD data. </w:t>
      </w:r>
    </w:p>
    <w:p w14:paraId="1ABFAFC2" w14:textId="5547D808" w:rsidR="00756F0F" w:rsidRPr="00ED7E61" w:rsidRDefault="00756F0F" w:rsidP="00B10F0C">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For DAC members, the main data gap relates to OOF. In addition</w:t>
      </w:r>
      <w:r w:rsidR="00267162"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some modalities, such as debt relief operations or general budget support, are also not tracked through the Rio marker system (except debt-for-nature swaps). Work is on-going to increase the coverage of the indicator in relation to biodiversity-related finance beyond ODA from OECD DAC members.</w:t>
      </w:r>
      <w:r w:rsidRPr="00ED7E61">
        <w:rPr>
          <w:rStyle w:val="normaltextrun"/>
        </w:rPr>
        <w:t> </w:t>
      </w:r>
    </w:p>
    <w:p w14:paraId="46C674E7" w14:textId="6A2A24A4" w:rsidR="00756F0F" w:rsidRPr="00ED7E61" w:rsidRDefault="00756F0F" w:rsidP="00B10F0C">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Available data includes information on other dimensions that cut across with biodiversity objectives, including gender, the intersection with other Rio markers (climate change adaptation and mitigation, desertification), or capacity development type of activities (e.g. technical assistance, scholarships, etc</w:t>
      </w:r>
      <w:r w:rsidR="00B6621B">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and the development, transfer, dissemination and diffusion of technology. For other issue areas (e.g. capturing specific sub-themes such as the participation of indigenous peoples and local communities and youth), keyword searches can be performed by the </w:t>
      </w:r>
      <w:proofErr w:type="gramStart"/>
      <w:r w:rsidRPr="00ED7E61">
        <w:rPr>
          <w:rStyle w:val="normaltextrun"/>
          <w:rFonts w:asciiTheme="majorBidi" w:eastAsiaTheme="majorEastAsia" w:hAnsiTheme="majorBidi" w:cstheme="majorBidi"/>
        </w:rPr>
        <w:t>OECD</w:t>
      </w:r>
      <w:proofErr w:type="gramEnd"/>
      <w:r w:rsidRPr="00ED7E61">
        <w:rPr>
          <w:rStyle w:val="normaltextrun"/>
          <w:rFonts w:asciiTheme="majorBidi" w:eastAsiaTheme="majorEastAsia" w:hAnsiTheme="majorBidi" w:cstheme="majorBidi"/>
        </w:rPr>
        <w:t xml:space="preserve"> or activities may be reported by countries, until a systematic method is identified to track such flows.</w:t>
      </w:r>
      <w:r w:rsidRPr="00ED7E61">
        <w:rPr>
          <w:rStyle w:val="normaltextrun"/>
        </w:rPr>
        <w:t> </w:t>
      </w:r>
    </w:p>
    <w:p w14:paraId="467F8A13" w14:textId="1C5FBF54" w:rsidR="00756F0F" w:rsidRPr="00ED7E61" w:rsidRDefault="00756F0F" w:rsidP="00A13A43">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In TOSSD, the coverage in terms of providers is wider, although the Rio marker methodology does not exist. Biodiversity related activities can be reported through the SDG focus field or biodiversity-related sector codes</w:t>
      </w:r>
      <w:r w:rsidR="002734B3">
        <w:rPr>
          <w:rStyle w:val="normaltextrun"/>
          <w:rFonts w:asciiTheme="majorBidi" w:eastAsiaTheme="majorEastAsia" w:hAnsiTheme="majorBidi" w:cstheme="majorBidi"/>
        </w:rPr>
        <w:t xml:space="preserve"> </w:t>
      </w:r>
      <w:r w:rsidR="002734B3" w:rsidRPr="002734B3">
        <w:rPr>
          <w:rFonts w:asciiTheme="majorBidi" w:eastAsiaTheme="majorEastAsia" w:hAnsiTheme="majorBidi" w:cstheme="majorBidi"/>
          <w:lang w:val="en-CA"/>
        </w:rPr>
        <w:t>and the TOSSD biodiversity keyword since 2024</w:t>
      </w:r>
      <w:r w:rsidRPr="00ED7E61">
        <w:rPr>
          <w:rStyle w:val="normaltextrun"/>
          <w:rFonts w:asciiTheme="majorBidi" w:eastAsiaTheme="majorEastAsia" w:hAnsiTheme="majorBidi" w:cstheme="majorBidi"/>
        </w:rPr>
        <w:t xml:space="preserve">. For TOSSD, reporting on the SDG focus field was challenging in the first year of data collection in 2019, but the use of the code </w:t>
      </w:r>
      <w:r w:rsidR="00A13A43" w:rsidRPr="00A13A43">
        <w:rPr>
          <w:rFonts w:asciiTheme="majorBidi" w:eastAsiaTheme="majorEastAsia" w:hAnsiTheme="majorBidi" w:cstheme="majorBidi"/>
          <w:lang w:val="en-CA"/>
        </w:rPr>
        <w:t xml:space="preserve">and keyword </w:t>
      </w:r>
      <w:r w:rsidRPr="00ED7E61">
        <w:rPr>
          <w:rStyle w:val="normaltextrun"/>
          <w:rFonts w:asciiTheme="majorBidi" w:eastAsiaTheme="majorEastAsia" w:hAnsiTheme="majorBidi" w:cstheme="majorBidi"/>
        </w:rPr>
        <w:t>has steadily improved in coverage and quality since then, and the number of South-South and triangular co-operation providers is growing over time. </w:t>
      </w:r>
      <w:r w:rsidRPr="00ED7E61">
        <w:rPr>
          <w:rStyle w:val="normaltextrun"/>
        </w:rPr>
        <w:t> </w:t>
      </w:r>
    </w:p>
    <w:p w14:paraId="7FBD6543" w14:textId="75494F57" w:rsidR="005C4DC3" w:rsidRPr="00ED7E61" w:rsidRDefault="00756F0F" w:rsidP="00D24C58">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Multilateral institutions report to the OECD on a voluntary </w:t>
      </w:r>
      <w:proofErr w:type="gramStart"/>
      <w:r w:rsidRPr="00ED7E61">
        <w:rPr>
          <w:rStyle w:val="normaltextrun"/>
          <w:rFonts w:asciiTheme="majorBidi" w:eastAsiaTheme="majorEastAsia" w:hAnsiTheme="majorBidi" w:cstheme="majorBidi"/>
        </w:rPr>
        <w:t>basis</w:t>
      </w:r>
      <w:proofErr w:type="gramEnd"/>
      <w:r w:rsidRPr="00ED7E61">
        <w:rPr>
          <w:rStyle w:val="normaltextrun"/>
          <w:rFonts w:asciiTheme="majorBidi" w:eastAsiaTheme="majorEastAsia" w:hAnsiTheme="majorBidi" w:cstheme="majorBidi"/>
        </w:rPr>
        <w:t xml:space="preserve"> but do not all use the biodiversity Rio marker or comprehensively indicate their biodiversity-related outflows. This data can be estimated through their reporting on the SDGs or purpose codes, or the use of keyword searches. A more robust breakdown of multilateral flows would be possible through the direct identification and reporting of biodiversity-related flows to the OECD, provided these flows aim at targeting the objectives of the CBD. Multilateral institutions report in the CRS activities financed with their core budget (while earmarked activities are attributed to bilateral donors) and in the TOSSD framework biodiversity-related activities financed with both the core budget and earmarked contributions (both ODA and beyond ODA-related). </w:t>
      </w:r>
      <w:r w:rsidRPr="00ED7E61">
        <w:rPr>
          <w:rStyle w:val="normaltextrun"/>
        </w:rPr>
        <w:t> </w:t>
      </w:r>
      <w:r w:rsidR="005C4DC3">
        <w:rPr>
          <w:rStyle w:val="normaltextrun"/>
          <w:rFonts w:asciiTheme="majorBidi" w:eastAsiaTheme="majorEastAsia" w:hAnsiTheme="majorBidi" w:cstheme="majorBidi"/>
        </w:rPr>
        <w:t>Biodiversity finance from multilateral organisations forms a significant portion of biodiversity finance flows. The gaps in data coverage are currently understood to stem from incomplete and/or inconsistent reporting on multilateral biodiversity finance flows to the OECD and other data custodians.</w:t>
      </w:r>
      <w:r w:rsidR="005C4DC3" w:rsidRPr="00ED7E61">
        <w:rPr>
          <w:rStyle w:val="normaltextrun"/>
        </w:rPr>
        <w:t> </w:t>
      </w:r>
      <w:r w:rsidR="005C4DC3">
        <w:t xml:space="preserve">Finding a solution to ensure complete coverage of multilateral institution reporting on biodiversity finance would greatly strengthen overall tracking of biodiversity finance and give a clearer picture of biodiversity finance needs. Building on the work already underway by multilateral institutions on the </w:t>
      </w:r>
      <w:r w:rsidR="00D24C58">
        <w:rPr>
          <w:lang w:val="en-CA"/>
        </w:rPr>
        <w:t>M</w:t>
      </w:r>
      <w:r w:rsidR="00D24C58" w:rsidRPr="00D24C58">
        <w:rPr>
          <w:lang w:val="en-CA"/>
        </w:rPr>
        <w:t xml:space="preserve">ultilateral </w:t>
      </w:r>
      <w:r w:rsidR="00D24C58">
        <w:rPr>
          <w:lang w:val="en-CA"/>
        </w:rPr>
        <w:t>D</w:t>
      </w:r>
      <w:r w:rsidR="00D24C58" w:rsidRPr="00D24C58">
        <w:rPr>
          <w:lang w:val="en-CA"/>
        </w:rPr>
        <w:t xml:space="preserve">evelopment </w:t>
      </w:r>
      <w:r w:rsidR="00D24C58">
        <w:rPr>
          <w:lang w:val="en-CA"/>
        </w:rPr>
        <w:t>B</w:t>
      </w:r>
      <w:r w:rsidR="00D24C58" w:rsidRPr="00D24C58">
        <w:rPr>
          <w:lang w:val="en-CA"/>
        </w:rPr>
        <w:t>ank</w:t>
      </w:r>
      <w:r w:rsidR="00D24C58">
        <w:rPr>
          <w:lang w:val="en-CA"/>
        </w:rPr>
        <w:t xml:space="preserve"> (MDB)</w:t>
      </w:r>
      <w:r w:rsidR="00D24C58" w:rsidRPr="00D24C58">
        <w:rPr>
          <w:lang w:val="en-CA"/>
        </w:rPr>
        <w:t xml:space="preserve"> </w:t>
      </w:r>
      <w:r w:rsidR="005C4DC3">
        <w:rPr>
          <w:lang w:val="en-CA"/>
        </w:rPr>
        <w:t>Common Principles for tracking nature finance, for example, could provide a pathway to such changes.</w:t>
      </w:r>
    </w:p>
    <w:p w14:paraId="25E0D1AC" w14:textId="1FE2C223" w:rsidR="00756F0F" w:rsidRPr="00ED7E61" w:rsidRDefault="00756F0F" w:rsidP="00B10F0C">
      <w:pPr>
        <w:pStyle w:val="CBDNormalNumber"/>
        <w:numPr>
          <w:ilvl w:val="0"/>
          <w:numId w:val="67"/>
        </w:numPr>
        <w:ind w:left="567" w:firstLine="0"/>
        <w:rPr>
          <w:rStyle w:val="normaltextrun"/>
          <w:rFonts w:eastAsiaTheme="majorEastAsia"/>
        </w:rPr>
      </w:pPr>
    </w:p>
    <w:p w14:paraId="3CD8740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56E6E689"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(and should an indicator be developed, multilateral institutions) are responsible for the compilation and reporting of their biodiversity-related public international finance to the CBD. They need to ensure avoiding missing values, as well as enabling international comparability of their reported flows, using this metadata sheet as guidance. Countries (and institutions) may decide to report data through the OECD DAC CRS and TOSSD databases. </w:t>
      </w:r>
      <w:r w:rsidRPr="00ED7E61">
        <w:rPr>
          <w:rStyle w:val="normaltextrun"/>
        </w:rPr>
        <w:t> </w:t>
      </w:r>
    </w:p>
    <w:p w14:paraId="7326FAF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3977F1B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497FB9E3"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440B283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7B1264EC"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lastRenderedPageBreak/>
        <w:t>Scale of data disaggregation/aggregation: Activity/project level</w:t>
      </w:r>
      <w:r w:rsidRPr="00ED7E61">
        <w:rPr>
          <w:rStyle w:val="normaltextrun"/>
        </w:rPr>
        <w:t> </w:t>
      </w:r>
    </w:p>
    <w:p w14:paraId="0BB6B29D"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regional scale indicator can be disaggregated to national level: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7AEEF4B1"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National data is collated to form global indicator: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5241074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23C075B3"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DAC statistical Reporting Directives govern the reporting of DAC statistics and are reviewed and agreed by the DAC Working Party of Development Finance Statistics (WP-STAT), see: </w:t>
      </w:r>
      <w:hyperlink r:id="rId197" w:tgtFrame="_blank" w:history="1">
        <w:r w:rsidRPr="00ED7E61">
          <w:rPr>
            <w:rStyle w:val="normaltextrun"/>
            <w:rFonts w:asciiTheme="majorBidi" w:eastAsiaTheme="majorEastAsia" w:hAnsiTheme="majorBidi" w:cstheme="majorBidi"/>
          </w:rPr>
          <w:t>https://one.oecd.org/document/DCD/DAC/STAT(2020)44..</w:t>
        </w:r>
      </w:hyperlink>
      <w:r w:rsidRPr="00ED7E61">
        <w:rPr>
          <w:rStyle w:val="normaltextrun"/>
          <w:rFonts w:asciiTheme="majorBidi" w:eastAsiaTheme="majorEastAsia" w:hAnsiTheme="majorBidi" w:cstheme="majorBidi"/>
        </w:rPr>
        <w:t>. (Annex 20). The International Forum on TOSSD governs the reporting of TOSSD statistics.  </w:t>
      </w:r>
      <w:r w:rsidRPr="00ED7E61">
        <w:rPr>
          <w:rStyle w:val="normaltextrun"/>
        </w:rPr>
        <w:t> </w:t>
      </w:r>
    </w:p>
    <w:p w14:paraId="29701E22"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4D40CA7A"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DAC and TOSSD statistics are standardised on a calendar year basis for all providers and may differ from fiscal year data available in budget documents for some countries. Some countries and institutions provide more comprehensive information than others. </w:t>
      </w:r>
      <w:r w:rsidRPr="00ED7E61">
        <w:rPr>
          <w:rStyle w:val="normaltextrun"/>
        </w:rPr>
        <w:t> </w:t>
      </w:r>
    </w:p>
    <w:p w14:paraId="49A4992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4A93C65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222D6774"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Data are reported at a country / multilateral institution level</w:t>
      </w:r>
      <w:r w:rsidRPr="00ED7E61">
        <w:rPr>
          <w:rStyle w:val="normaltextrun"/>
        </w:rPr>
        <w:t> </w:t>
      </w:r>
    </w:p>
    <w:p w14:paraId="42E6912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225C427E"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486F98C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7C446B7E"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Data are reported via an annual questionnaire (at an aggregate level and at an activity level) by national statistical reporters in aid agencies, ministries of foreign affairs, etc. </w:t>
      </w:r>
      <w:r w:rsidRPr="00ED7E61">
        <w:rPr>
          <w:rStyle w:val="normaltextrun"/>
        </w:rPr>
        <w:t> </w:t>
      </w:r>
    </w:p>
    <w:p w14:paraId="1CE0D19B" w14:textId="3CE4DD28"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lang w:val="en-GB"/>
        </w:rPr>
      </w:pPr>
    </w:p>
    <w:p w14:paraId="77D5D9CF" w14:textId="3D32562E" w:rsidR="00756F0F" w:rsidRPr="00812871" w:rsidRDefault="00756F0F" w:rsidP="00812871">
      <w:pPr>
        <w:pStyle w:val="paragraph"/>
        <w:pBdr>
          <w:bottom w:val="single" w:sz="4" w:space="1" w:color="000000"/>
        </w:pBdr>
        <w:spacing w:before="120" w:beforeAutospacing="0" w:after="120" w:afterAutospacing="0"/>
        <w:textAlignment w:val="baseline"/>
        <w:rPr>
          <w:rStyle w:val="normaltextrun"/>
          <w:rFonts w:eastAsiaTheme="majorEastAsia"/>
          <w:b/>
          <w:bCs/>
          <w:lang w:val="en-GB"/>
        </w:rPr>
      </w:pPr>
      <w:r w:rsidRPr="00812871">
        <w:rPr>
          <w:rStyle w:val="normaltextrun"/>
          <w:rFonts w:asciiTheme="majorBidi" w:eastAsiaTheme="majorEastAsia" w:hAnsiTheme="majorBidi" w:cstheme="majorBidi"/>
          <w:b/>
          <w:bCs/>
          <w:sz w:val="22"/>
          <w:szCs w:val="22"/>
          <w:lang w:val="en-GB"/>
        </w:rPr>
        <w:t>7. Other MEAs, processes and organi</w:t>
      </w:r>
      <w:r w:rsidR="00B10F0C" w:rsidRPr="00812871">
        <w:rPr>
          <w:rStyle w:val="normaltextrun"/>
          <w:rFonts w:asciiTheme="majorBidi" w:eastAsiaTheme="majorEastAsia" w:hAnsiTheme="majorBidi" w:cstheme="majorBidi"/>
          <w:b/>
          <w:bCs/>
          <w:sz w:val="22"/>
          <w:szCs w:val="22"/>
          <w:lang w:val="en-GB"/>
        </w:rPr>
        <w:t>z</w:t>
      </w:r>
      <w:r w:rsidRPr="00812871">
        <w:rPr>
          <w:rStyle w:val="normaltextrun"/>
          <w:rFonts w:asciiTheme="majorBidi" w:eastAsiaTheme="majorEastAsia" w:hAnsiTheme="majorBidi" w:cstheme="majorBidi"/>
          <w:b/>
          <w:bCs/>
          <w:sz w:val="22"/>
          <w:szCs w:val="22"/>
          <w:lang w:val="en-GB"/>
        </w:rPr>
        <w:t>ations</w:t>
      </w:r>
      <w:r w:rsidRPr="00812871">
        <w:rPr>
          <w:rStyle w:val="normaltextrun"/>
          <w:rFonts w:eastAsiaTheme="majorEastAsia"/>
          <w:b/>
          <w:bCs/>
          <w:lang w:val="en-GB"/>
        </w:rPr>
        <w:t> </w:t>
      </w:r>
    </w:p>
    <w:p w14:paraId="5EA7592F" w14:textId="77777777" w:rsidR="00756F0F" w:rsidRPr="00812871" w:rsidRDefault="00756F0F" w:rsidP="00812871">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Sustainable Development Goal (SDG) goal 15</w:t>
      </w:r>
      <w:r w:rsidRPr="00812871">
        <w:rPr>
          <w:rStyle w:val="normaltextrun"/>
        </w:rPr>
        <w:t> </w:t>
      </w:r>
    </w:p>
    <w:p w14:paraId="3E78CB3C" w14:textId="79485EE3" w:rsidR="00756F0F" w:rsidRPr="00ED7E61" w:rsidRDefault="00756F0F" w:rsidP="00F7256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3B19A1E0"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This indicator could be disaggregated by:</w:t>
      </w:r>
      <w:r w:rsidRPr="00ED7E61">
        <w:rPr>
          <w:rStyle w:val="normaltextrun"/>
        </w:rPr>
        <w:t> </w:t>
      </w:r>
    </w:p>
    <w:p w14:paraId="6163E97C"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Recipient country (or region, including for Small Island Developing States, Least Developed Countries or fragile contexts)  </w:t>
      </w:r>
      <w:r w:rsidRPr="00ED7E61">
        <w:rPr>
          <w:rStyle w:val="normaltextrun"/>
        </w:rPr>
        <w:t> </w:t>
      </w:r>
    </w:p>
    <w:p w14:paraId="51013574"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Income group  </w:t>
      </w:r>
      <w:r w:rsidRPr="00ED7E61">
        <w:rPr>
          <w:rStyle w:val="normaltextrun"/>
        </w:rPr>
        <w:t> </w:t>
      </w:r>
    </w:p>
    <w:p w14:paraId="366C8333"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Type of finance  </w:t>
      </w:r>
      <w:r w:rsidRPr="00ED7E61">
        <w:rPr>
          <w:rStyle w:val="normaltextrun"/>
        </w:rPr>
        <w:t> </w:t>
      </w:r>
    </w:p>
    <w:p w14:paraId="7BF2101E"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Type of aid  </w:t>
      </w:r>
      <w:r w:rsidRPr="00ED7E61">
        <w:rPr>
          <w:rStyle w:val="normaltextrun"/>
        </w:rPr>
        <w:t> </w:t>
      </w:r>
    </w:p>
    <w:p w14:paraId="106151E0"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Sector and sub sector  </w:t>
      </w:r>
      <w:r w:rsidRPr="00ED7E61">
        <w:rPr>
          <w:rStyle w:val="normaltextrun"/>
        </w:rPr>
        <w:t> </w:t>
      </w:r>
    </w:p>
    <w:p w14:paraId="008EC556" w14:textId="3B93B173"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Policy marker or cross-cutting issues (e.g. climate change adaptation or mitigation, gender, </w:t>
      </w:r>
      <w:r w:rsidR="00B929B4">
        <w:rPr>
          <w:rStyle w:val="normaltextrun"/>
          <w:rFonts w:asciiTheme="majorBidi" w:eastAsiaTheme="majorEastAsia" w:hAnsiTheme="majorBidi" w:cstheme="majorBidi"/>
          <w:color w:val="000000"/>
          <w:lang w:val="en-AU"/>
        </w:rPr>
        <w:t>i</w:t>
      </w:r>
      <w:r w:rsidR="00B929B4" w:rsidRPr="00ED7E61">
        <w:rPr>
          <w:rStyle w:val="normaltextrun"/>
          <w:rFonts w:asciiTheme="majorBidi" w:eastAsiaTheme="majorEastAsia" w:hAnsiTheme="majorBidi" w:cstheme="majorBidi"/>
          <w:color w:val="000000"/>
          <w:lang w:val="en-AU"/>
        </w:rPr>
        <w:t xml:space="preserve">ndigenous </w:t>
      </w:r>
      <w:r w:rsidR="00B929B4">
        <w:rPr>
          <w:rStyle w:val="normaltextrun"/>
          <w:rFonts w:asciiTheme="majorBidi" w:eastAsiaTheme="majorEastAsia" w:hAnsiTheme="majorBidi" w:cstheme="majorBidi"/>
          <w:color w:val="000000"/>
          <w:lang w:val="en-AU"/>
        </w:rPr>
        <w:t>p</w:t>
      </w:r>
      <w:r w:rsidR="00B929B4" w:rsidRPr="00ED7E61">
        <w:rPr>
          <w:rStyle w:val="normaltextrun"/>
          <w:rFonts w:asciiTheme="majorBidi" w:eastAsiaTheme="majorEastAsia" w:hAnsiTheme="majorBidi" w:cstheme="majorBidi"/>
          <w:color w:val="000000"/>
          <w:lang w:val="en-AU"/>
        </w:rPr>
        <w:t xml:space="preserve">eoples and </w:t>
      </w:r>
      <w:r w:rsidR="00B929B4">
        <w:rPr>
          <w:rStyle w:val="normaltextrun"/>
          <w:rFonts w:asciiTheme="majorBidi" w:eastAsiaTheme="majorEastAsia" w:hAnsiTheme="majorBidi" w:cstheme="majorBidi"/>
          <w:color w:val="000000"/>
          <w:lang w:val="en-AU"/>
        </w:rPr>
        <w:t>l</w:t>
      </w:r>
      <w:r w:rsidR="00B929B4" w:rsidRPr="00ED7E61">
        <w:rPr>
          <w:rStyle w:val="normaltextrun"/>
          <w:rFonts w:asciiTheme="majorBidi" w:eastAsiaTheme="majorEastAsia" w:hAnsiTheme="majorBidi" w:cstheme="majorBidi"/>
          <w:color w:val="000000"/>
          <w:lang w:val="en-AU"/>
        </w:rPr>
        <w:t xml:space="preserve">ocal </w:t>
      </w:r>
      <w:r w:rsidR="00B929B4">
        <w:rPr>
          <w:rStyle w:val="normaltextrun"/>
          <w:rFonts w:asciiTheme="majorBidi" w:eastAsiaTheme="majorEastAsia" w:hAnsiTheme="majorBidi" w:cstheme="majorBidi"/>
          <w:color w:val="000000"/>
          <w:lang w:val="en-AU"/>
        </w:rPr>
        <w:t>c</w:t>
      </w:r>
      <w:r w:rsidR="00B929B4" w:rsidRPr="00ED7E61">
        <w:rPr>
          <w:rStyle w:val="normaltextrun"/>
          <w:rFonts w:asciiTheme="majorBidi" w:eastAsiaTheme="majorEastAsia" w:hAnsiTheme="majorBidi" w:cstheme="majorBidi"/>
          <w:color w:val="000000"/>
          <w:lang w:val="en-AU"/>
        </w:rPr>
        <w:t>ommunities</w:t>
      </w:r>
      <w:r w:rsidRPr="00ED7E61">
        <w:rPr>
          <w:rStyle w:val="normaltextrun"/>
          <w:rFonts w:eastAsiaTheme="majorEastAsia"/>
        </w:rPr>
        <w:t>, youth) </w:t>
      </w:r>
      <w:r w:rsidRPr="00ED7E61">
        <w:rPr>
          <w:rStyle w:val="normaltextrun"/>
        </w:rPr>
        <w:t> </w:t>
      </w:r>
    </w:p>
    <w:p w14:paraId="0035283F"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Capacity building and development, and technical and scientific cooperation </w:t>
      </w:r>
      <w:r w:rsidRPr="00ED7E61">
        <w:rPr>
          <w:rStyle w:val="normaltextrun"/>
        </w:rPr>
        <w:t> </w:t>
      </w:r>
    </w:p>
    <w:p w14:paraId="1255AE9D"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Development, transfer, dissemination and diffusion of technology</w:t>
      </w:r>
      <w:r w:rsidRPr="00ED7E61">
        <w:rPr>
          <w:rStyle w:val="normaltextrun"/>
        </w:rPr>
        <w:t> </w:t>
      </w:r>
    </w:p>
    <w:p w14:paraId="7C188513" w14:textId="77777777" w:rsidR="00756F0F" w:rsidRPr="00ED7E61" w:rsidRDefault="00756F0F" w:rsidP="00B10F0C">
      <w:pPr>
        <w:pStyle w:val="CBDNormalNumber"/>
        <w:numPr>
          <w:ilvl w:val="1"/>
          <w:numId w:val="67"/>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Channel of delivery  </w:t>
      </w:r>
      <w:r w:rsidRPr="00ED7E61">
        <w:rPr>
          <w:rStyle w:val="normaltextrun"/>
        </w:rPr>
        <w:t> </w:t>
      </w:r>
    </w:p>
    <w:p w14:paraId="53B61BA5" w14:textId="00D9E6EA" w:rsidR="00756F0F" w:rsidRPr="00ED7E61" w:rsidRDefault="00756F0F" w:rsidP="00B10F0C">
      <w:pPr>
        <w:pStyle w:val="CBDNormalNumber"/>
        <w:numPr>
          <w:ilvl w:val="0"/>
          <w:numId w:val="67"/>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Additional complementary indicators would be needed to have further information available (e.g. on </w:t>
      </w:r>
      <w:r w:rsidR="00BE7FA9" w:rsidRPr="00ED7E61">
        <w:rPr>
          <w:rStyle w:val="normaltextrun"/>
          <w:rFonts w:asciiTheme="majorBidi" w:eastAsiaTheme="majorEastAsia" w:hAnsiTheme="majorBidi" w:cstheme="majorBidi"/>
        </w:rPr>
        <w:t>indigenous people</w:t>
      </w:r>
      <w:r w:rsidR="00616510">
        <w:rPr>
          <w:rStyle w:val="normaltextrun"/>
          <w:rFonts w:asciiTheme="majorBidi" w:eastAsiaTheme="majorEastAsia" w:hAnsiTheme="majorBidi" w:cstheme="majorBidi"/>
        </w:rPr>
        <w:t>s</w:t>
      </w:r>
      <w:r w:rsidR="00BE7FA9" w:rsidRPr="00ED7E61">
        <w:rPr>
          <w:rStyle w:val="normaltextrun"/>
          <w:rFonts w:asciiTheme="majorBidi" w:eastAsiaTheme="majorEastAsia" w:hAnsiTheme="majorBidi" w:cstheme="majorBidi"/>
        </w:rPr>
        <w:t xml:space="preserve"> and local communities </w:t>
      </w:r>
      <w:r w:rsidRPr="00ED7E61">
        <w:rPr>
          <w:rStyle w:val="normaltextrun"/>
          <w:rFonts w:asciiTheme="majorBidi" w:eastAsiaTheme="majorEastAsia" w:hAnsiTheme="majorBidi" w:cstheme="majorBidi"/>
        </w:rPr>
        <w:t>or youth). Countries and institutions may be interested in disaggregating further along other variables.   </w:t>
      </w:r>
      <w:r w:rsidRPr="00ED7E61">
        <w:rPr>
          <w:rStyle w:val="normaltextrun"/>
        </w:rPr>
        <w:t> </w:t>
      </w:r>
    </w:p>
    <w:p w14:paraId="0C4F589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lastRenderedPageBreak/>
        <w:t>9. Related goals, targets and indicators</w:t>
      </w:r>
      <w:r w:rsidRPr="00ED7E61">
        <w:rPr>
          <w:rStyle w:val="eop"/>
          <w:rFonts w:asciiTheme="majorBidi" w:eastAsiaTheme="majorEastAsia" w:hAnsiTheme="majorBidi" w:cstheme="majorBidi"/>
          <w:sz w:val="22"/>
          <w:szCs w:val="22"/>
        </w:rPr>
        <w:t> </w:t>
      </w:r>
    </w:p>
    <w:p w14:paraId="5B0675EA" w14:textId="77777777" w:rsidR="00756F0F" w:rsidRPr="00ED7E61" w:rsidRDefault="00756F0F" w:rsidP="00F72564">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157001CC" w14:textId="77777777" w:rsidR="00756F0F" w:rsidRPr="00ED7E61" w:rsidRDefault="00756F0F" w:rsidP="00172A35">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0501BCE4" w14:textId="6B980789" w:rsidR="00756F0F" w:rsidRPr="00ED7E61" w:rsidRDefault="00756F0F" w:rsidP="00F7256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F72564">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2EB818C6" w14:textId="77777777" w:rsidR="00756F0F" w:rsidRPr="00ED7E61" w:rsidRDefault="00756F0F" w:rsidP="00B10F0C">
      <w:pPr>
        <w:pStyle w:val="CBDNormalNumber"/>
        <w:numPr>
          <w:ilvl w:val="0"/>
          <w:numId w:val="67"/>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For countries and institutions wishing to use the OECD databases, the OECD DAC Secretariat or the International TOSSD Forum would have the databases from which to source the information. Otherwise, the country or institution would be the data reporter.</w:t>
      </w:r>
      <w:r w:rsidRPr="00ED7E61">
        <w:rPr>
          <w:rStyle w:val="normaltextrun"/>
        </w:rPr>
        <w:t> </w:t>
      </w:r>
    </w:p>
    <w:p w14:paraId="679B224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457E8FB3" w14:textId="14CF2FC7" w:rsidR="00756F0F" w:rsidRPr="00ED7E61" w:rsidRDefault="00756F0F" w:rsidP="00F72564">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CRS (</w:t>
      </w:r>
      <w:hyperlink r:id="rId198" w:tgtFrame="_blank" w:history="1">
        <w:r w:rsidR="0088465A" w:rsidRPr="00ED7E61">
          <w:rPr>
            <w:rStyle w:val="normaltextrun"/>
            <w:rFonts w:asciiTheme="majorBidi" w:eastAsiaTheme="majorEastAsia" w:hAnsiTheme="majorBidi" w:cstheme="majorBidi"/>
          </w:rPr>
          <w:t>juan.casadoasensio</w:t>
        </w:r>
        <w:r w:rsidRPr="00ED7E61">
          <w:rPr>
            <w:rStyle w:val="normaltextrun"/>
            <w:rFonts w:asciiTheme="majorBidi" w:eastAsiaTheme="majorEastAsia" w:hAnsiTheme="majorBidi" w:cstheme="majorBidi"/>
          </w:rPr>
          <w:t>@oecd.org</w:t>
        </w:r>
      </w:hyperlink>
      <w:r w:rsidRPr="00ED7E61">
        <w:rPr>
          <w:rStyle w:val="normaltextrun"/>
          <w:rFonts w:asciiTheme="majorBidi" w:eastAsiaTheme="majorEastAsia" w:hAnsiTheme="majorBidi" w:cstheme="majorBidi"/>
        </w:rPr>
        <w:t>)</w:t>
      </w:r>
      <w:r w:rsidRPr="00ED7E61">
        <w:rPr>
          <w:rStyle w:val="normaltextrun"/>
        </w:rPr>
        <w:t> </w:t>
      </w:r>
    </w:p>
    <w:p w14:paraId="235BAFAE" w14:textId="093032B1" w:rsidR="00756F0F" w:rsidRPr="00ED7E61" w:rsidRDefault="00756F0F" w:rsidP="00F72564">
      <w:pPr>
        <w:pStyle w:val="CBDNormalNumber"/>
        <w:ind w:left="567"/>
        <w:rPr>
          <w:rStyle w:val="normaltextrun"/>
          <w:rFonts w:eastAsiaTheme="majorEastAsia"/>
        </w:rPr>
      </w:pPr>
      <w:r w:rsidRPr="00ED7E61">
        <w:rPr>
          <w:rStyle w:val="normaltextrun"/>
          <w:rFonts w:asciiTheme="majorBidi" w:eastAsiaTheme="majorEastAsia" w:hAnsiTheme="majorBidi" w:cstheme="majorBidi"/>
        </w:rPr>
        <w:t>CRS (</w:t>
      </w:r>
      <w:hyperlink r:id="rId199" w:tgtFrame="_blank" w:history="1">
        <w:r w:rsidR="0088465A" w:rsidRPr="00ED7E61">
          <w:rPr>
            <w:rStyle w:val="normaltextrun"/>
            <w:rFonts w:asciiTheme="majorBidi" w:eastAsiaTheme="majorEastAsia" w:hAnsiTheme="majorBidi" w:cstheme="majorBidi"/>
          </w:rPr>
          <w:t>giorgio.gualbertl</w:t>
        </w:r>
        <w:r w:rsidRPr="00ED7E61">
          <w:rPr>
            <w:rStyle w:val="normaltextrun"/>
            <w:rFonts w:asciiTheme="majorBidi" w:eastAsiaTheme="majorEastAsia" w:hAnsiTheme="majorBidi" w:cstheme="majorBidi"/>
          </w:rPr>
          <w:t>@oecd.org</w:t>
        </w:r>
      </w:hyperlink>
      <w:r w:rsidRPr="00ED7E61">
        <w:rPr>
          <w:rStyle w:val="normaltextrun"/>
          <w:rFonts w:asciiTheme="majorBidi" w:eastAsiaTheme="majorEastAsia" w:hAnsiTheme="majorBidi" w:cstheme="majorBidi"/>
        </w:rPr>
        <w:t>)</w:t>
      </w:r>
      <w:r w:rsidRPr="00ED7E61">
        <w:rPr>
          <w:rStyle w:val="normaltextrun"/>
        </w:rPr>
        <w:t> </w:t>
      </w:r>
    </w:p>
    <w:p w14:paraId="0F6F5E09" w14:textId="2FF9E08A" w:rsidR="00756F0F" w:rsidRPr="00ED7E61" w:rsidRDefault="00756F0F" w:rsidP="00F72564">
      <w:pPr>
        <w:pStyle w:val="CBDNormalNumber"/>
        <w:ind w:left="567"/>
        <w:rPr>
          <w:rStyle w:val="normaltextrun"/>
          <w:rFonts w:eastAsiaTheme="majorEastAsia"/>
        </w:rPr>
      </w:pPr>
      <w:r w:rsidRPr="00ED7E61">
        <w:rPr>
          <w:rStyle w:val="normaltextrun"/>
          <w:rFonts w:asciiTheme="majorBidi" w:eastAsiaTheme="majorEastAsia" w:hAnsiTheme="majorBidi" w:cstheme="majorBidi"/>
        </w:rPr>
        <w:t>TOSSD (</w:t>
      </w:r>
      <w:hyperlink r:id="rId200" w:tgtFrame="_blank" w:history="1">
        <w:r w:rsidR="0088465A" w:rsidRPr="00ED7E61">
          <w:rPr>
            <w:rStyle w:val="normaltextrun"/>
            <w:rFonts w:asciiTheme="majorBidi" w:eastAsiaTheme="majorEastAsia" w:hAnsiTheme="majorBidi" w:cstheme="majorBidi"/>
          </w:rPr>
          <w:t>marisa.berbegalibanez</w:t>
        </w:r>
        <w:r w:rsidRPr="00ED7E61">
          <w:rPr>
            <w:rStyle w:val="normaltextrun"/>
            <w:rFonts w:asciiTheme="majorBidi" w:eastAsiaTheme="majorEastAsia" w:hAnsiTheme="majorBidi" w:cstheme="majorBidi"/>
          </w:rPr>
          <w:t>@oecd.org</w:t>
        </w:r>
      </w:hyperlink>
      <w:r w:rsidRPr="00ED7E61">
        <w:rPr>
          <w:rStyle w:val="normaltextrun"/>
          <w:rFonts w:asciiTheme="majorBidi" w:eastAsiaTheme="majorEastAsia" w:hAnsiTheme="majorBidi" w:cstheme="majorBidi"/>
        </w:rPr>
        <w:t>) </w:t>
      </w:r>
      <w:r w:rsidRPr="00ED7E61">
        <w:rPr>
          <w:rStyle w:val="normaltextrun"/>
        </w:rPr>
        <w:t> </w:t>
      </w:r>
    </w:p>
    <w:p w14:paraId="0E9A3D38" w14:textId="0052DE87" w:rsidR="0088465A" w:rsidRPr="0088465A" w:rsidRDefault="0088465A" w:rsidP="0088465A">
      <w:pPr>
        <w:pStyle w:val="CBDNormalNumber"/>
        <w:rPr>
          <w:rFonts w:asciiTheme="majorBidi" w:eastAsiaTheme="majorEastAsia" w:hAnsiTheme="majorBidi" w:cstheme="majorBidi"/>
        </w:rPr>
      </w:pPr>
      <w:r w:rsidRPr="0088465A">
        <w:rPr>
          <w:rFonts w:asciiTheme="majorBidi" w:hAnsiTheme="majorBidi" w:cstheme="majorBidi"/>
        </w:rPr>
        <w:t>TOSSD (daniela.ibarradiaz@tossd.org</w:t>
      </w:r>
      <w:r>
        <w:rPr>
          <w:rFonts w:asciiTheme="majorBidi" w:hAnsiTheme="majorBidi" w:cstheme="majorBidi"/>
        </w:rPr>
        <w:t>)</w:t>
      </w:r>
    </w:p>
    <w:p w14:paraId="3E773F1C" w14:textId="3177F54D" w:rsidR="00756F0F" w:rsidRPr="00ED7E61" w:rsidRDefault="00756F0F" w:rsidP="00F72564">
      <w:pPr>
        <w:pStyle w:val="CBDNormalNumber"/>
        <w:ind w:left="567"/>
        <w:rPr>
          <w:rStyle w:val="normaltextrun"/>
          <w:rFonts w:eastAsiaTheme="majorEastAsia"/>
        </w:rPr>
      </w:pPr>
      <w:r w:rsidRPr="00ED7E61">
        <w:rPr>
          <w:rStyle w:val="normaltextrun"/>
          <w:rFonts w:asciiTheme="majorBidi" w:eastAsiaTheme="majorEastAsia" w:hAnsiTheme="majorBidi" w:cstheme="majorBidi"/>
        </w:rPr>
        <w:t>OECD CBD Focal Point (</w:t>
      </w:r>
      <w:hyperlink r:id="rId201" w:tgtFrame="_blank" w:history="1">
        <w:r w:rsidR="0088465A" w:rsidRPr="00ED7E61">
          <w:rPr>
            <w:rStyle w:val="normaltextrun"/>
            <w:rFonts w:asciiTheme="majorBidi" w:eastAsiaTheme="majorEastAsia" w:hAnsiTheme="majorBidi" w:cstheme="majorBidi"/>
          </w:rPr>
          <w:t>katia.karousakis</w:t>
        </w:r>
        <w:r w:rsidRPr="00ED7E61">
          <w:rPr>
            <w:rStyle w:val="normaltextrun"/>
            <w:rFonts w:asciiTheme="majorBidi" w:eastAsiaTheme="majorEastAsia" w:hAnsiTheme="majorBidi" w:cstheme="majorBidi"/>
          </w:rPr>
          <w:t>@oecd.org</w:t>
        </w:r>
      </w:hyperlink>
      <w:r w:rsidRPr="00ED7E61">
        <w:rPr>
          <w:rStyle w:val="normaltextrun"/>
          <w:rFonts w:asciiTheme="majorBidi" w:eastAsiaTheme="majorEastAsia" w:hAnsiTheme="majorBidi" w:cstheme="majorBidi"/>
        </w:rPr>
        <w:t>) </w:t>
      </w:r>
      <w:r w:rsidRPr="00ED7E61">
        <w:rPr>
          <w:rStyle w:val="normaltextrun"/>
        </w:rPr>
        <w:t> </w:t>
      </w:r>
    </w:p>
    <w:p w14:paraId="7FBCE5B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w:t>
      </w:r>
      <w:r w:rsidRPr="00ED7E61">
        <w:rPr>
          <w:rStyle w:val="eop"/>
          <w:rFonts w:asciiTheme="majorBidi" w:eastAsiaTheme="majorEastAsia" w:hAnsiTheme="majorBidi" w:cstheme="majorBidi"/>
          <w:sz w:val="22"/>
          <w:szCs w:val="22"/>
        </w:rPr>
        <w:t> </w:t>
      </w:r>
    </w:p>
    <w:p w14:paraId="0CC5A7CD" w14:textId="77777777" w:rsidR="00756F0F" w:rsidRPr="00ED7E61" w:rsidRDefault="00756F0F" w:rsidP="00F72564">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A CRS glossary with key terms and concepts is available here: </w:t>
      </w:r>
      <w:hyperlink r:id="rId202" w:tgtFrame="_blank" w:history="1">
        <w:r w:rsidRPr="00ED7E61">
          <w:rPr>
            <w:rStyle w:val="normaltextrun"/>
            <w:rFonts w:asciiTheme="majorBidi" w:eastAsiaTheme="majorEastAsia" w:hAnsiTheme="majorBidi" w:cstheme="majorBidi"/>
          </w:rPr>
          <w:t>https://www.oecd.org/dac/dac-glossary.htm</w:t>
        </w:r>
      </w:hyperlink>
      <w:r w:rsidRPr="00ED7E61">
        <w:rPr>
          <w:rStyle w:val="normaltextrun"/>
          <w:rFonts w:asciiTheme="majorBidi" w:eastAsiaTheme="majorEastAsia" w:hAnsiTheme="majorBidi" w:cstheme="majorBidi"/>
        </w:rPr>
        <w:t> </w:t>
      </w:r>
      <w:r w:rsidRPr="00ED7E61">
        <w:rPr>
          <w:rStyle w:val="normaltextrun"/>
        </w:rPr>
        <w:t> </w:t>
      </w:r>
    </w:p>
    <w:p w14:paraId="7A202541" w14:textId="77777777" w:rsidR="00756F0F" w:rsidRPr="00ED7E61" w:rsidRDefault="00756F0F" w:rsidP="00F72564">
      <w:pPr>
        <w:pStyle w:val="CBDNormalNumber"/>
        <w:ind w:left="567"/>
        <w:rPr>
          <w:rStyle w:val="normaltextrun"/>
          <w:rFonts w:eastAsiaTheme="majorEastAsia"/>
        </w:rPr>
      </w:pPr>
      <w:r w:rsidRPr="00ED7E61">
        <w:rPr>
          <w:rStyle w:val="normaltextrun"/>
          <w:rFonts w:asciiTheme="majorBidi" w:eastAsiaTheme="majorEastAsia" w:hAnsiTheme="majorBidi" w:cstheme="majorBidi"/>
        </w:rPr>
        <w:t xml:space="preserve">OECD (2023), Biodiversity and development finance 2015-2021, Progress towards Target 19 of the Kunming-Montreal Global Biodiversity Framework, </w:t>
      </w:r>
      <w:hyperlink r:id="rId203" w:tgtFrame="_blank" w:history="1">
        <w:r w:rsidRPr="00ED7E61">
          <w:rPr>
            <w:rStyle w:val="normaltextrun"/>
            <w:rFonts w:asciiTheme="majorBidi" w:eastAsiaTheme="majorEastAsia" w:hAnsiTheme="majorBidi" w:cstheme="majorBidi"/>
          </w:rPr>
          <w:t>https://www.oecd.org/dac/biodiversity-development-finance-target19-2015-2021.pdf </w:t>
        </w:r>
      </w:hyperlink>
      <w:r w:rsidRPr="00ED7E61">
        <w:rPr>
          <w:rStyle w:val="normaltextrun"/>
        </w:rPr>
        <w:t> </w:t>
      </w:r>
    </w:p>
    <w:p w14:paraId="3E42272C" w14:textId="77777777" w:rsidR="00756F0F" w:rsidRPr="00ED7E61" w:rsidRDefault="00756F0F" w:rsidP="00F72564">
      <w:pPr>
        <w:pStyle w:val="CBDNormalNumber"/>
        <w:ind w:left="567"/>
        <w:rPr>
          <w:rStyle w:val="normaltextrun"/>
          <w:rFonts w:eastAsiaTheme="majorEastAsia"/>
        </w:rPr>
      </w:pPr>
      <w:r w:rsidRPr="00ED7E61">
        <w:rPr>
          <w:rStyle w:val="normaltextrun"/>
          <w:rFonts w:asciiTheme="majorBidi" w:eastAsiaTheme="majorEastAsia" w:hAnsiTheme="majorBidi" w:cstheme="majorBidi"/>
        </w:rPr>
        <w:t>OECD (2023), A decade of development finance for biodiversity, 2011-2020,</w:t>
      </w:r>
      <w:hyperlink r:id="rId204" w:tgtFrame="_blank" w:history="1">
        <w:proofErr w:type="gramStart"/>
        <w:r w:rsidRPr="00ED7E61">
          <w:rPr>
            <w:rStyle w:val="normaltextrun"/>
            <w:rFonts w:asciiTheme="majorBidi" w:eastAsiaTheme="majorEastAsia" w:hAnsiTheme="majorBidi" w:cstheme="majorBidi"/>
          </w:rPr>
          <w:t>https://www.oecd-ilibrary.org/development/a-decade..</w:t>
        </w:r>
        <w:proofErr w:type="gramEnd"/>
      </w:hyperlink>
      <w:r w:rsidRPr="00ED7E61">
        <w:rPr>
          <w:rStyle w:val="normaltextrun"/>
          <w:rFonts w:asciiTheme="majorBidi" w:eastAsiaTheme="majorEastAsia" w:hAnsiTheme="majorBidi" w:cstheme="majorBidi"/>
        </w:rPr>
        <w:t>. </w:t>
      </w:r>
      <w:r w:rsidRPr="00ED7E61">
        <w:rPr>
          <w:rStyle w:val="normaltextrun"/>
        </w:rPr>
        <w:t> </w:t>
      </w:r>
    </w:p>
    <w:p w14:paraId="0AE5A6DE" w14:textId="296D0314" w:rsidR="00756F0F" w:rsidRDefault="00756F0F" w:rsidP="00F72564">
      <w:pPr>
        <w:pStyle w:val="CBDNormalNumber"/>
        <w:ind w:left="567"/>
        <w:rPr>
          <w:rStyle w:val="normaltextrun"/>
        </w:rPr>
      </w:pPr>
      <w:r w:rsidRPr="00ED7E61">
        <w:rPr>
          <w:rStyle w:val="normaltextrun"/>
          <w:rFonts w:asciiTheme="majorBidi" w:eastAsiaTheme="majorEastAsia" w:hAnsiTheme="majorBidi" w:cstheme="majorBidi"/>
        </w:rPr>
        <w:t xml:space="preserve">OECD (2018), Review of the definition and eligibility criteria for the Rio Marker for </w:t>
      </w:r>
      <w:hyperlink r:id="rId205" w:tgtFrame="_blank" w:history="1">
        <w:r w:rsidRPr="00ED7E61">
          <w:rPr>
            <w:rStyle w:val="normaltextrun"/>
            <w:rFonts w:asciiTheme="majorBidi" w:eastAsiaTheme="majorEastAsia" w:hAnsiTheme="majorBidi" w:cstheme="majorBidi"/>
          </w:rPr>
          <w:t>Biodiversity,</w:t>
        </w:r>
      </w:hyperlink>
      <w:r w:rsidRPr="00ED7E61">
        <w:rPr>
          <w:rStyle w:val="normaltextrun"/>
          <w:rFonts w:asciiTheme="majorBidi" w:eastAsiaTheme="majorEastAsia" w:hAnsiTheme="majorBidi" w:cstheme="majorBidi"/>
        </w:rPr>
        <w:t xml:space="preserve"> </w:t>
      </w:r>
      <w:hyperlink r:id="rId206" w:tgtFrame="_blank" w:history="1">
        <w:r w:rsidRPr="00ED7E61">
          <w:rPr>
            <w:rStyle w:val="normaltextrun"/>
            <w:rFonts w:asciiTheme="majorBidi" w:eastAsiaTheme="majorEastAsia" w:hAnsiTheme="majorBidi" w:cstheme="majorBidi"/>
          </w:rPr>
          <w:t xml:space="preserve">https·//one </w:t>
        </w:r>
        <w:proofErr w:type="spellStart"/>
        <w:r w:rsidRPr="00ED7E61">
          <w:rPr>
            <w:rStyle w:val="normaltextrun"/>
            <w:rFonts w:asciiTheme="majorBidi" w:eastAsiaTheme="majorEastAsia" w:hAnsiTheme="majorBidi" w:cstheme="majorBidi"/>
          </w:rPr>
          <w:t>oecd</w:t>
        </w:r>
        <w:proofErr w:type="spellEnd"/>
        <w:r w:rsidRPr="00ED7E61">
          <w:rPr>
            <w:rStyle w:val="normaltextrun"/>
            <w:rFonts w:asciiTheme="majorBidi" w:eastAsiaTheme="majorEastAsia" w:hAnsiTheme="majorBidi" w:cstheme="majorBidi"/>
          </w:rPr>
          <w:t xml:space="preserve"> org/document/DCD/DAC/</w:t>
        </w:r>
        <w:proofErr w:type="gramStart"/>
        <w:r w:rsidRPr="00ED7E61">
          <w:rPr>
            <w:rStyle w:val="normaltextrun"/>
            <w:rFonts w:asciiTheme="majorBidi" w:eastAsiaTheme="majorEastAsia" w:hAnsiTheme="majorBidi" w:cstheme="majorBidi"/>
          </w:rPr>
          <w:t>SJAI(</w:t>
        </w:r>
        <w:proofErr w:type="gramEnd"/>
        <w:r w:rsidRPr="00ED7E61">
          <w:rPr>
            <w:rStyle w:val="normaltextrun"/>
            <w:rFonts w:asciiTheme="majorBidi" w:eastAsiaTheme="majorEastAsia" w:hAnsiTheme="majorBidi" w:cstheme="majorBidi"/>
          </w:rPr>
          <w:t>2018)25</w:t>
        </w:r>
      </w:hyperlink>
      <w:r w:rsidRPr="00ED7E61">
        <w:rPr>
          <w:rStyle w:val="normaltextrun"/>
        </w:rPr>
        <w:t> </w:t>
      </w:r>
    </w:p>
    <w:p w14:paraId="185A2825" w14:textId="77777777" w:rsidR="002012BE" w:rsidRPr="002012BE" w:rsidRDefault="002012BE" w:rsidP="00812871">
      <w:pPr>
        <w:pStyle w:val="CBDNormalNumber"/>
        <w:ind w:left="567"/>
        <w:rPr>
          <w:rFonts w:eastAsiaTheme="majorEastAsia"/>
        </w:rPr>
      </w:pPr>
      <w:r w:rsidRPr="002012BE">
        <w:t xml:space="preserve">The TOSSD list of Recipients is available here: </w:t>
      </w:r>
      <w:hyperlink r:id="rId207" w:history="1">
        <w:r w:rsidRPr="002012BE">
          <w:rPr>
            <w:rStyle w:val="Hyperlink"/>
          </w:rPr>
          <w:t>https://www.tossd.org/content/dam/tossd/en/methodology-pdfs/List-TOSSD-recipients.pdf</w:t>
        </w:r>
      </w:hyperlink>
      <w:r w:rsidRPr="002012BE">
        <w:rPr>
          <w:rFonts w:eastAsiaTheme="majorEastAsia"/>
        </w:rPr>
        <w:t> </w:t>
      </w:r>
    </w:p>
    <w:p w14:paraId="585F5BC3" w14:textId="77777777" w:rsidR="002012BE" w:rsidRPr="00ED7E61" w:rsidRDefault="002012BE" w:rsidP="00F72564">
      <w:pPr>
        <w:pStyle w:val="CBDNormalNumber"/>
        <w:ind w:left="567"/>
        <w:rPr>
          <w:rStyle w:val="normaltextrun"/>
          <w:rFonts w:eastAsiaTheme="majorEastAsia"/>
        </w:rPr>
      </w:pPr>
    </w:p>
    <w:p w14:paraId="300320A2" w14:textId="77777777" w:rsidR="00BE7FA9" w:rsidRPr="00ED7E61" w:rsidRDefault="00BE7FA9">
      <w:pPr>
        <w:rPr>
          <w:rStyle w:val="normaltextrun"/>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b/>
          <w:bCs/>
          <w:sz w:val="22"/>
          <w:szCs w:val="22"/>
        </w:rPr>
        <w:br w:type="page"/>
      </w:r>
    </w:p>
    <w:p w14:paraId="5A761E92" w14:textId="2F4EF86D" w:rsidR="00756F0F" w:rsidRPr="00ED7E61" w:rsidRDefault="00756F0F" w:rsidP="00395866">
      <w:pPr>
        <w:rPr>
          <w:rStyle w:val="normaltextrun"/>
          <w:rFonts w:asciiTheme="majorBidi" w:eastAsiaTheme="majorEastAsia" w:hAnsiTheme="majorBidi" w:cstheme="majorBidi"/>
          <w:b/>
          <w:bCs/>
          <w:sz w:val="22"/>
          <w:szCs w:val="22"/>
          <w:lang w:val="en-GB"/>
        </w:rPr>
      </w:pPr>
    </w:p>
    <w:p w14:paraId="4F091EE4" w14:textId="7099F0BB" w:rsidR="00756F0F" w:rsidRPr="00ED7E61" w:rsidRDefault="0081052F" w:rsidP="005B0D1E">
      <w:pPr>
        <w:pStyle w:val="Heading3"/>
        <w:rPr>
          <w:rStyle w:val="normaltextrun"/>
        </w:rPr>
      </w:pPr>
      <w:bookmarkStart w:id="25" w:name="_Toc233278562"/>
      <w:r w:rsidRPr="00ED7E61">
        <w:rPr>
          <w:rStyle w:val="normaltextrun"/>
        </w:rPr>
        <w:t>D.2 Domestic public funding on conservation and sustainable use of biodiversity and ecosystems</w:t>
      </w:r>
      <w:bookmarkEnd w:id="25"/>
    </w:p>
    <w:p w14:paraId="2BF2F768"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230A1DC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56265D8C"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rPr>
        <w:t>D.2 Domestic public funding on conservation and sustainable use of biodiversity and ecosystems</w:t>
      </w:r>
      <w:r w:rsidRPr="00ED7E61">
        <w:rPr>
          <w:rStyle w:val="normaltextrun"/>
          <w:rFonts w:asciiTheme="majorBidi" w:eastAsiaTheme="majorEastAsia" w:hAnsiTheme="majorBidi" w:cstheme="majorBidi"/>
          <w:b/>
          <w:bCs/>
          <w:color w:val="000000"/>
          <w:sz w:val="22"/>
          <w:szCs w:val="22"/>
        </w:rPr>
        <w:t>.</w:t>
      </w:r>
      <w:r w:rsidRPr="00ED7E61">
        <w:rPr>
          <w:rStyle w:val="eop"/>
          <w:rFonts w:asciiTheme="majorBidi" w:eastAsiaTheme="majorEastAsia" w:hAnsiTheme="majorBidi" w:cstheme="majorBidi"/>
          <w:color w:val="000000"/>
          <w:sz w:val="22"/>
          <w:szCs w:val="22"/>
        </w:rPr>
        <w:t> </w:t>
      </w:r>
    </w:p>
    <w:p w14:paraId="18DFAB6A"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color w:val="000000"/>
          <w:sz w:val="22"/>
          <w:szCs w:val="22"/>
        </w:rPr>
        <w:t>Note: Monetary value of domestic public expenditure on biodiversity per year in national currency.</w:t>
      </w:r>
      <w:r w:rsidRPr="00ED7E61">
        <w:rPr>
          <w:rStyle w:val="eop"/>
          <w:rFonts w:asciiTheme="majorBidi" w:eastAsiaTheme="majorEastAsia" w:hAnsiTheme="majorBidi" w:cstheme="majorBidi"/>
          <w:color w:val="000000"/>
          <w:sz w:val="22"/>
          <w:szCs w:val="22"/>
        </w:rPr>
        <w:t> </w:t>
      </w:r>
    </w:p>
    <w:p w14:paraId="57BFB608" w14:textId="77777777" w:rsidR="00756F0F" w:rsidRPr="00ED7E61" w:rsidRDefault="00756F0F" w:rsidP="00F7256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70B73768" w14:textId="2C0B5A73" w:rsidR="00756F0F" w:rsidRPr="00ED7E61" w:rsidRDefault="006B30FE"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September</w:t>
      </w:r>
      <w:r w:rsidRPr="00ED7E61">
        <w:rPr>
          <w:rStyle w:val="normaltextrun"/>
          <w:rFonts w:asciiTheme="majorBidi" w:eastAsiaTheme="majorEastAsia" w:hAnsiTheme="majorBidi" w:cstheme="majorBidi"/>
          <w:sz w:val="22"/>
          <w:szCs w:val="22"/>
        </w:rPr>
        <w:t xml:space="preserve"> </w:t>
      </w:r>
      <w:r w:rsidR="00756F0F" w:rsidRPr="00ED7E61">
        <w:rPr>
          <w:rStyle w:val="normaltextrun"/>
          <w:rFonts w:asciiTheme="majorBidi" w:eastAsiaTheme="majorEastAsia" w:hAnsiTheme="majorBidi" w:cstheme="majorBidi"/>
          <w:sz w:val="22"/>
          <w:szCs w:val="22"/>
        </w:rPr>
        <w:t>2024</w:t>
      </w:r>
      <w:r w:rsidR="00756F0F" w:rsidRPr="00ED7E61">
        <w:rPr>
          <w:rStyle w:val="eop"/>
          <w:rFonts w:asciiTheme="majorBidi" w:eastAsiaTheme="majorEastAsia" w:hAnsiTheme="majorBidi" w:cstheme="majorBidi"/>
          <w:sz w:val="22"/>
          <w:szCs w:val="22"/>
        </w:rPr>
        <w:t> </w:t>
      </w:r>
    </w:p>
    <w:p w14:paraId="3FD57D34" w14:textId="77777777" w:rsidR="00756F0F" w:rsidRPr="00ED7E61" w:rsidRDefault="00756F0F" w:rsidP="00F72564">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7C31076F" w14:textId="77777777" w:rsidR="00756F0F" w:rsidRPr="00ED7E61" w:rsidRDefault="00756F0F" w:rsidP="00F7256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7FF71B77" w14:textId="38A59946"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Goal D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 </w:t>
      </w:r>
      <w:r w:rsidRPr="00ED7E61">
        <w:rPr>
          <w:rStyle w:val="eop"/>
          <w:rFonts w:asciiTheme="majorBidi" w:eastAsiaTheme="majorEastAsia" w:hAnsiTheme="majorBidi" w:cstheme="majorBidi"/>
          <w:color w:val="000000"/>
          <w:sz w:val="22"/>
          <w:szCs w:val="22"/>
        </w:rPr>
        <w:t> </w:t>
      </w:r>
    </w:p>
    <w:p w14:paraId="45E5A50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3b. Target</w:t>
      </w:r>
      <w:r w:rsidRPr="00ED7E61">
        <w:rPr>
          <w:rStyle w:val="eop"/>
          <w:rFonts w:asciiTheme="majorBidi" w:eastAsiaTheme="majorEastAsia" w:hAnsiTheme="majorBidi" w:cstheme="majorBidi"/>
          <w:sz w:val="22"/>
          <w:szCs w:val="22"/>
        </w:rPr>
        <w:t> </w:t>
      </w:r>
    </w:p>
    <w:p w14:paraId="15F9070A"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Headline indicator for Target 19 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r w:rsidRPr="00ED7E61">
        <w:rPr>
          <w:rStyle w:val="eop"/>
          <w:rFonts w:asciiTheme="majorBidi" w:eastAsiaTheme="majorEastAsia" w:hAnsiTheme="majorBidi" w:cstheme="majorBidi"/>
          <w:color w:val="000000"/>
          <w:sz w:val="22"/>
          <w:szCs w:val="22"/>
        </w:rPr>
        <w:t> </w:t>
      </w:r>
    </w:p>
    <w:p w14:paraId="0D8FCA07"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(a) </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r w:rsidRPr="00ED7E61">
        <w:rPr>
          <w:rStyle w:val="eop"/>
          <w:rFonts w:asciiTheme="majorBidi" w:eastAsiaTheme="majorEastAsia" w:hAnsiTheme="majorBidi" w:cstheme="majorBidi"/>
          <w:color w:val="000000"/>
          <w:sz w:val="22"/>
          <w:szCs w:val="22"/>
        </w:rPr>
        <w:t> </w:t>
      </w:r>
    </w:p>
    <w:p w14:paraId="60461547"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(b)</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Significantly increasing domestic resource mobilization, facilitated by the preparation and implementation of national biodiversity finance plans or similar instruments according to national needs, priorities and circumstances; </w:t>
      </w:r>
      <w:r w:rsidRPr="00ED7E61">
        <w:rPr>
          <w:rStyle w:val="eop"/>
          <w:rFonts w:asciiTheme="majorBidi" w:eastAsiaTheme="majorEastAsia" w:hAnsiTheme="majorBidi" w:cstheme="majorBidi"/>
          <w:color w:val="000000"/>
          <w:sz w:val="22"/>
          <w:szCs w:val="22"/>
        </w:rPr>
        <w:t> </w:t>
      </w:r>
    </w:p>
    <w:p w14:paraId="7BAB4178"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(c)</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Leveraging private finance, promoting blended finance, implementing strategies for raising new and additional resources, and encouraging the private sector to invest in biodiversity, including through impact funds and other instruments; </w:t>
      </w:r>
      <w:r w:rsidRPr="00ED7E61">
        <w:rPr>
          <w:rStyle w:val="eop"/>
          <w:rFonts w:asciiTheme="majorBidi" w:eastAsiaTheme="majorEastAsia" w:hAnsiTheme="majorBidi" w:cstheme="majorBidi"/>
          <w:color w:val="000000"/>
          <w:sz w:val="22"/>
          <w:szCs w:val="22"/>
        </w:rPr>
        <w:t> </w:t>
      </w:r>
    </w:p>
    <w:p w14:paraId="73FBA262"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(d)</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Stimulating innovative schemes such as payment for ecosystem services, green bonds, biodiversity offsets and credits, and benefit sharing mechanisms, with environmental and social safeguards; </w:t>
      </w:r>
      <w:r w:rsidRPr="00ED7E61">
        <w:rPr>
          <w:rStyle w:val="eop"/>
          <w:rFonts w:asciiTheme="majorBidi" w:eastAsiaTheme="majorEastAsia" w:hAnsiTheme="majorBidi" w:cstheme="majorBidi"/>
          <w:color w:val="000000"/>
          <w:sz w:val="22"/>
          <w:szCs w:val="22"/>
        </w:rPr>
        <w:t> </w:t>
      </w:r>
    </w:p>
    <w:p w14:paraId="17918B4E" w14:textId="3BB7D11E"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(e) </w:t>
      </w:r>
      <w:r w:rsidR="00CA0DFC">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Optimizing co-benefits and synergies of finance targeting the biodiversity and climate crises; </w:t>
      </w:r>
      <w:r w:rsidRPr="00ED7E61">
        <w:rPr>
          <w:rStyle w:val="eop"/>
          <w:rFonts w:asciiTheme="majorBidi" w:eastAsiaTheme="majorEastAsia" w:hAnsiTheme="majorBidi" w:cstheme="majorBidi"/>
          <w:color w:val="000000"/>
          <w:sz w:val="22"/>
          <w:szCs w:val="22"/>
        </w:rPr>
        <w:t> </w:t>
      </w:r>
    </w:p>
    <w:p w14:paraId="4599F2FF" w14:textId="126F0995"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(f) </w:t>
      </w:r>
      <w:r w:rsidR="00CA0DFC">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 </w:t>
      </w:r>
      <w:r w:rsidRPr="00ED7E61">
        <w:rPr>
          <w:rStyle w:val="eop"/>
          <w:rFonts w:asciiTheme="majorBidi" w:eastAsiaTheme="majorEastAsia" w:hAnsiTheme="majorBidi" w:cstheme="majorBidi"/>
          <w:color w:val="000000"/>
          <w:sz w:val="22"/>
          <w:szCs w:val="22"/>
        </w:rPr>
        <w:t> </w:t>
      </w:r>
    </w:p>
    <w:p w14:paraId="3E0BFB4D" w14:textId="117B7401"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(g)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Enhancing the effectiveness, efficiency and transparency of resource provision and use. </w:t>
      </w:r>
      <w:r w:rsidRPr="00ED7E61">
        <w:rPr>
          <w:rStyle w:val="eop"/>
          <w:rFonts w:asciiTheme="majorBidi" w:eastAsiaTheme="majorEastAsia" w:hAnsiTheme="majorBidi" w:cstheme="majorBidi"/>
          <w:color w:val="000000"/>
          <w:sz w:val="22"/>
          <w:szCs w:val="22"/>
        </w:rPr>
        <w:t> </w:t>
      </w:r>
    </w:p>
    <w:p w14:paraId="6CB48A91" w14:textId="77777777" w:rsidR="00756F0F" w:rsidRPr="00ED7E61" w:rsidRDefault="00756F0F" w:rsidP="00525F8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6534D575" w14:textId="58F9E2AA" w:rsidR="00756F0F" w:rsidRPr="00ED7E61" w:rsidRDefault="00756F0F" w:rsidP="00B10F0C">
      <w:pPr>
        <w:pStyle w:val="CBDNormalNumber"/>
        <w:numPr>
          <w:ilvl w:val="0"/>
          <w:numId w:val="68"/>
        </w:numPr>
        <w:tabs>
          <w:tab w:val="clear" w:pos="1701"/>
        </w:tabs>
        <w:ind w:left="567" w:hanging="24"/>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Draft Goal D relates to the means of implementation for the post-2020 global biodiversity framework. The post-2020 global biodiversity framework will need to be implemented primarily through activities at the national and/or subnational levels, with supporting and/or enabling action at the regional and global levels. </w:t>
      </w:r>
      <w:r w:rsidR="00DC0F01" w:rsidRPr="00ED7E61">
        <w:rPr>
          <w:rStyle w:val="normaltextrun"/>
          <w:rFonts w:asciiTheme="majorBidi" w:eastAsiaTheme="majorEastAsia" w:hAnsiTheme="majorBidi" w:cstheme="majorBidi"/>
        </w:rPr>
        <w:t>It would also capture financing provided directly to indigenous people</w:t>
      </w:r>
      <w:r w:rsidR="00616510">
        <w:rPr>
          <w:rStyle w:val="normaltextrun"/>
          <w:rFonts w:asciiTheme="majorBidi" w:eastAsiaTheme="majorEastAsia" w:hAnsiTheme="majorBidi" w:cstheme="majorBidi"/>
        </w:rPr>
        <w:t>s</w:t>
      </w:r>
      <w:r w:rsidR="00DC0F01" w:rsidRPr="00ED7E61">
        <w:rPr>
          <w:rStyle w:val="normaltextrun"/>
          <w:rFonts w:asciiTheme="majorBidi" w:eastAsiaTheme="majorEastAsia" w:hAnsiTheme="majorBidi" w:cstheme="majorBidi"/>
        </w:rPr>
        <w:t xml:space="preserve"> and local communities. </w:t>
      </w:r>
      <w:r w:rsidRPr="00ED7E61">
        <w:rPr>
          <w:rStyle w:val="normaltextrun"/>
          <w:rFonts w:asciiTheme="majorBidi" w:eastAsiaTheme="majorEastAsia" w:hAnsiTheme="majorBidi" w:cstheme="majorBidi"/>
        </w:rPr>
        <w:t xml:space="preserve">However, the capacity for implementing the Convention in terms of human, technical and financial resources is limited in most countries, especially in developing countries, in </w:t>
      </w:r>
      <w:r w:rsidRPr="00ED7E61">
        <w:rPr>
          <w:rStyle w:val="normaltextrun"/>
          <w:rFonts w:asciiTheme="majorBidi" w:eastAsiaTheme="majorEastAsia" w:hAnsiTheme="majorBidi" w:cstheme="majorBidi"/>
        </w:rPr>
        <w:lastRenderedPageBreak/>
        <w:t>particular the least developed countries and small island developing States, as well as countries with economies in transition. Reaching the 2050 Vision for biodiversity will require that the necessary means of implementation are available to enable Parties and stakeholders to undertake the necessary actions.</w:t>
      </w:r>
      <w:r w:rsidRPr="00ED7E61">
        <w:rPr>
          <w:rStyle w:val="normaltextrun"/>
        </w:rPr>
        <w:t> </w:t>
      </w:r>
    </w:p>
    <w:p w14:paraId="36EDE237" w14:textId="1AC0935E" w:rsidR="00756F0F" w:rsidRPr="00ED7E61" w:rsidRDefault="00756F0F" w:rsidP="00B10F0C">
      <w:pPr>
        <w:pStyle w:val="CBDNormalNumber"/>
        <w:numPr>
          <w:ilvl w:val="0"/>
          <w:numId w:val="68"/>
        </w:numPr>
        <w:ind w:left="567" w:firstLine="0"/>
        <w:rPr>
          <w:rStyle w:val="normaltextrun"/>
          <w:rFonts w:eastAsiaTheme="majorEastAsia"/>
        </w:rPr>
      </w:pPr>
      <w:r w:rsidRPr="00ED7E61">
        <w:rPr>
          <w:rStyle w:val="normaltextrun"/>
          <w:rFonts w:asciiTheme="majorBidi" w:eastAsiaTheme="majorEastAsia" w:hAnsiTheme="majorBidi" w:cstheme="majorBidi"/>
        </w:rPr>
        <w:t>Target 19 refers to an increase of resources for biodiversity from all sources, including international, national, public and private. Target 19 (b) refers to domestic funding aiming at monitoring over time the trend in mobilizing resources for the implementation of the GBF. Inadequate funding levels are a major impediment to effective biodiversity conservation in many countries and may be associated with failures to meet global targets. Conservation investment has been demonstrated to reduce biodiversity loss. Spending on biodiversity provides a very high social return on investment. Thus, while increased biodiversity resource mobilization from all sources is not only necessary to reduce, halt and reverse biodiversity loss (i.e.</w:t>
      </w:r>
      <w:r w:rsidR="00105D64">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to bend the curve on biodiversity loss) it is also likely to generate net economic benefits for both present and future generations. Current global biodiversity finance is of the order of $100 billion per year, while estimates of funding needs for a comprehensive post 2020 global biodiversity framework are of the order of $800 billion per year, giving a funding gap of the order of $700 billion per year. This indicator will provide information on domestic resource mobilization at the national level based on a bottom-up approach, useful for global and regional assessments. </w:t>
      </w:r>
      <w:r w:rsidRPr="00ED7E61">
        <w:rPr>
          <w:rStyle w:val="normaltextrun"/>
        </w:rPr>
        <w:t> </w:t>
      </w:r>
    </w:p>
    <w:p w14:paraId="5F0C235B" w14:textId="77777777" w:rsidR="00756F0F" w:rsidRPr="00ED7E61" w:rsidRDefault="00756F0F" w:rsidP="00B10F0C">
      <w:pPr>
        <w:pStyle w:val="CBDNormalNumber"/>
        <w:numPr>
          <w:ilvl w:val="0"/>
          <w:numId w:val="68"/>
        </w:numPr>
        <w:ind w:left="567" w:firstLine="0"/>
        <w:rPr>
          <w:rStyle w:val="normaltextrun"/>
          <w:rFonts w:eastAsiaTheme="majorEastAsia"/>
        </w:rPr>
      </w:pPr>
      <w:r w:rsidRPr="00ED7E61">
        <w:rPr>
          <w:rStyle w:val="normaltextrun"/>
          <w:rFonts w:asciiTheme="majorBidi" w:eastAsiaTheme="majorEastAsia" w:hAnsiTheme="majorBidi" w:cstheme="majorBidi"/>
        </w:rPr>
        <w:t>The rationale for domestic public expenditure on biodiversity conservation is firmly grounded in the fundamental importance of this tool for preserving nature and ensuring the health and functionality of ecosystems. Currently, domestic public expenditure represents the predominant share of global financial resources allocated to the protection of biodiversity. This financial commitment reflects a national dedication to maintaining ecological balance, fostering resilience in ecosystems, and promoting the responsible use of natural resources within the country's borders. Moreover, it constitutes a tangible contribution to achieving international conservation goals and emphasizes a commitment to environmental stewardship for the well-being of both present and future generations.</w:t>
      </w:r>
      <w:r w:rsidRPr="00ED7E61">
        <w:rPr>
          <w:rStyle w:val="normaltextrun"/>
        </w:rPr>
        <w:t> </w:t>
      </w:r>
    </w:p>
    <w:p w14:paraId="6FB54FE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19C7DFDC" w14:textId="77777777" w:rsidR="00756F0F" w:rsidRPr="00ED7E61" w:rsidRDefault="00756F0F" w:rsidP="00525F8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23E3CD92" w14:textId="77777777" w:rsidR="00756F0F" w:rsidRPr="00ED7E61" w:rsidRDefault="00756F0F" w:rsidP="00B10F0C">
      <w:pPr>
        <w:pStyle w:val="CBDNormalNumber"/>
        <w:numPr>
          <w:ilvl w:val="0"/>
          <w:numId w:val="68"/>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following definitions can be used to identify biodiversity expenditures: </w:t>
      </w:r>
      <w:r w:rsidRPr="00ED7E61">
        <w:rPr>
          <w:rStyle w:val="normaltextrun"/>
        </w:rPr>
        <w:t> </w:t>
      </w:r>
    </w:p>
    <w:p w14:paraId="69DFDB79" w14:textId="087A8ADA" w:rsidR="00756F0F" w:rsidRPr="00ED7E61" w:rsidRDefault="00756F0F" w:rsidP="00B10F0C">
      <w:pPr>
        <w:pStyle w:val="CBDNormalNumber"/>
        <w:numPr>
          <w:ilvl w:val="1"/>
          <w:numId w:val="6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UNDP’s Biodiversity Finance Initiative (BIOFIN) defines biodiversity national expenditures: A “</w:t>
      </w:r>
      <w:r w:rsidRPr="00FB1598">
        <w:rPr>
          <w:rStyle w:val="normaltextrun"/>
          <w:rFonts w:eastAsiaTheme="majorEastAsia"/>
          <w:i/>
          <w:iCs/>
        </w:rPr>
        <w:t>biodiversity expenditure</w:t>
      </w:r>
      <w:r w:rsidRPr="00ED7E61">
        <w:rPr>
          <w:rStyle w:val="normaltextrun"/>
          <w:rFonts w:eastAsiaTheme="majorEastAsia"/>
        </w:rPr>
        <w:t>” is any expenditure whose purpose is to have a positive impact or to reduce or eliminate pressures on biodiversity. These biodiversity public expenditures include “</w:t>
      </w:r>
      <w:r w:rsidRPr="00FB1598">
        <w:rPr>
          <w:rStyle w:val="normaltextrun"/>
          <w:rFonts w:eastAsiaTheme="majorEastAsia"/>
          <w:i/>
          <w:iCs/>
        </w:rPr>
        <w:t>direct</w:t>
      </w:r>
      <w:r w:rsidRPr="004C2D9A">
        <w:rPr>
          <w:rStyle w:val="normaltextrun"/>
          <w:rFonts w:eastAsiaTheme="majorEastAsia"/>
        </w:rPr>
        <w:t>” expenditures that have biodiversity as their principal purpose, or</w:t>
      </w:r>
      <w:r w:rsidRPr="00FB1598">
        <w:rPr>
          <w:rStyle w:val="normaltextrun"/>
          <w:rFonts w:eastAsiaTheme="majorEastAsia"/>
          <w:i/>
          <w:iCs/>
        </w:rPr>
        <w:t xml:space="preserve"> </w:t>
      </w:r>
      <w:r w:rsidR="004C2D9A">
        <w:rPr>
          <w:rStyle w:val="normaltextrun"/>
          <w:rFonts w:eastAsiaTheme="majorEastAsia"/>
          <w:i/>
          <w:iCs/>
        </w:rPr>
        <w:t>“</w:t>
      </w:r>
      <w:r w:rsidRPr="00FB1598">
        <w:rPr>
          <w:rStyle w:val="normaltextrun"/>
          <w:rFonts w:eastAsiaTheme="majorEastAsia"/>
          <w:i/>
          <w:iCs/>
        </w:rPr>
        <w:t xml:space="preserve">causa </w:t>
      </w:r>
      <w:proofErr w:type="spellStart"/>
      <w:r w:rsidRPr="00FB1598">
        <w:rPr>
          <w:rStyle w:val="normaltextrun"/>
          <w:rFonts w:eastAsiaTheme="majorEastAsia"/>
          <w:i/>
          <w:iCs/>
        </w:rPr>
        <w:t>finali</w:t>
      </w:r>
      <w:r w:rsidRPr="00ED7E61">
        <w:rPr>
          <w:rStyle w:val="normaltextrun"/>
          <w:rFonts w:eastAsiaTheme="majorEastAsia"/>
        </w:rPr>
        <w:t>s</w:t>
      </w:r>
      <w:proofErr w:type="spellEnd"/>
      <w:r w:rsidR="004C2D9A">
        <w:rPr>
          <w:rStyle w:val="normaltextrun"/>
          <w:rFonts w:eastAsiaTheme="majorEastAsia"/>
        </w:rPr>
        <w:t>”</w:t>
      </w:r>
      <w:r w:rsidRPr="00ED7E61">
        <w:rPr>
          <w:rStyle w:val="normaltextrun"/>
          <w:rFonts w:eastAsiaTheme="majorEastAsia"/>
        </w:rPr>
        <w:t>, as well as “</w:t>
      </w:r>
      <w:r w:rsidRPr="00FB1598">
        <w:rPr>
          <w:rStyle w:val="normaltextrun"/>
          <w:rFonts w:eastAsiaTheme="majorEastAsia"/>
          <w:i/>
          <w:iCs/>
        </w:rPr>
        <w:t>indirect</w:t>
      </w:r>
      <w:r w:rsidRPr="00ED7E61">
        <w:rPr>
          <w:rStyle w:val="normaltextrun"/>
          <w:rFonts w:eastAsiaTheme="majorEastAsia"/>
        </w:rPr>
        <w:t>” expenditures that have biodiversity as their secondary or joint purpose. </w:t>
      </w:r>
      <w:r w:rsidRPr="00ED7E61">
        <w:rPr>
          <w:rStyle w:val="normaltextrun"/>
        </w:rPr>
        <w:t> </w:t>
      </w:r>
    </w:p>
    <w:p w14:paraId="29D9D836" w14:textId="6726D023" w:rsidR="00172A35" w:rsidRPr="00ED7E61" w:rsidRDefault="00756F0F" w:rsidP="00B10F0C">
      <w:pPr>
        <w:pStyle w:val="CBDNormalNumber"/>
        <w:numPr>
          <w:ilvl w:val="1"/>
          <w:numId w:val="6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In terms of the categories, BIOFIN uses nine categories for recording primary and secondary expenditures: (1) Biodiversity awareness and knowledge, (2) Green economy, (3) Pollution management, (4) Sustainable use, (5) Biosafety, (6) Protected areas and OECM, (7) Restoration, (8) Access and benefit sharing, and (9) Biodiversity and development planning and finance.</w:t>
      </w:r>
      <w:r w:rsidRPr="00ED7E61">
        <w:rPr>
          <w:rStyle w:val="normaltextrun"/>
        </w:rPr>
        <w:t> </w:t>
      </w:r>
    </w:p>
    <w:p w14:paraId="6215F1DA" w14:textId="4A91B078" w:rsidR="00172A35" w:rsidRPr="00ED7E61" w:rsidRDefault="00756F0F" w:rsidP="00B10F0C">
      <w:pPr>
        <w:pStyle w:val="CBDNormalNumber"/>
        <w:numPr>
          <w:ilvl w:val="1"/>
          <w:numId w:val="68"/>
        </w:numPr>
        <w:tabs>
          <w:tab w:val="clear" w:pos="567"/>
          <w:tab w:val="clear" w:pos="1134"/>
          <w:tab w:val="clear" w:pos="1701"/>
          <w:tab w:val="clear" w:pos="2268"/>
          <w:tab w:val="left" w:pos="1985"/>
        </w:tabs>
        <w:ind w:left="1276" w:firstLine="56"/>
      </w:pPr>
      <w:r w:rsidRPr="00ED7E61">
        <w:rPr>
          <w:rStyle w:val="normaltextrun"/>
          <w:rFonts w:asciiTheme="majorBidi" w:eastAsiaTheme="majorEastAsia" w:hAnsiTheme="majorBidi" w:cstheme="majorBidi"/>
        </w:rPr>
        <w:t xml:space="preserve">The Classification of Environmental Purposes (CEP) is an international statistics standard. It was adopted by the UN Statistical Commission in March 2024 and replaces the Classification of Environmental Protection Activities (CEPA; UN, 2000). It will be used for SEEA accounts, </w:t>
      </w:r>
      <w:r w:rsidR="00BE7FA9"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i.e. classifying activities, products, expenditure and other transactions related to environmental protection and management of natural resource (e.g. environmental protection and expenditure accounts [EPEA]). The most relevant “</w:t>
      </w:r>
      <w:r w:rsidRPr="00FB1598">
        <w:rPr>
          <w:rStyle w:val="normaltextrun"/>
          <w:rFonts w:asciiTheme="majorBidi" w:eastAsiaTheme="majorEastAsia" w:hAnsiTheme="majorBidi" w:cstheme="majorBidi"/>
          <w:i/>
          <w:iCs/>
        </w:rPr>
        <w:t>Division</w:t>
      </w:r>
      <w:r w:rsidRPr="00ED7E61">
        <w:rPr>
          <w:rStyle w:val="normaltextrun"/>
          <w:rFonts w:asciiTheme="majorBidi" w:eastAsiaTheme="majorEastAsia" w:hAnsiTheme="majorBidi" w:cstheme="majorBidi"/>
        </w:rPr>
        <w:t xml:space="preserve">” (first level of disaggregation) for biodiversity is Division 05 Soil, surface and groundwater, biodiversity </w:t>
      </w:r>
      <w:r w:rsidRPr="00ED7E61">
        <w:rPr>
          <w:rStyle w:val="normaltextrun"/>
          <w:rFonts w:asciiTheme="majorBidi" w:eastAsiaTheme="majorEastAsia" w:hAnsiTheme="majorBidi" w:cstheme="majorBidi"/>
        </w:rPr>
        <w:lastRenderedPageBreak/>
        <w:t>and forest. This covers activities, expenditures and products aimed at protection and remediation of soil and water, biodiversity and forests. </w:t>
      </w:r>
      <w:r w:rsidRPr="00ED7E61">
        <w:rPr>
          <w:rStyle w:val="eop"/>
          <w:rFonts w:asciiTheme="majorBidi" w:eastAsiaTheme="majorEastAsia" w:hAnsiTheme="majorBidi" w:cstheme="majorBidi"/>
        </w:rPr>
        <w:t> </w:t>
      </w:r>
    </w:p>
    <w:p w14:paraId="1788CD28" w14:textId="3B03815D" w:rsidR="00756F0F" w:rsidRPr="00ED7E61" w:rsidRDefault="00756F0F" w:rsidP="00B10F0C">
      <w:pPr>
        <w:pStyle w:val="CBDNormalNumber"/>
        <w:numPr>
          <w:ilvl w:val="1"/>
          <w:numId w:val="68"/>
        </w:numPr>
        <w:tabs>
          <w:tab w:val="clear" w:pos="567"/>
          <w:tab w:val="clear" w:pos="1134"/>
          <w:tab w:val="clear" w:pos="1701"/>
          <w:tab w:val="clear" w:pos="2268"/>
          <w:tab w:val="left" w:pos="1985"/>
        </w:tabs>
        <w:ind w:left="1276" w:firstLine="56"/>
      </w:pPr>
      <w:r w:rsidRPr="00ED7E61">
        <w:rPr>
          <w:rStyle w:val="normaltextrun"/>
          <w:rFonts w:asciiTheme="majorBidi" w:eastAsiaTheme="majorEastAsia" w:hAnsiTheme="majorBidi" w:cstheme="majorBidi"/>
        </w:rPr>
        <w:t>Division 05 is disaggregated into the following “</w:t>
      </w:r>
      <w:r w:rsidRPr="00FB1598">
        <w:rPr>
          <w:rStyle w:val="normaltextrun"/>
          <w:rFonts w:asciiTheme="majorBidi" w:eastAsiaTheme="majorEastAsia" w:hAnsiTheme="majorBidi" w:cstheme="majorBidi"/>
          <w:i/>
          <w:iCs/>
        </w:rPr>
        <w:t>groups</w:t>
      </w:r>
      <w:r w:rsidRPr="00ED7E61">
        <w:rPr>
          <w:rStyle w:val="normaltextrun"/>
          <w:rFonts w:asciiTheme="majorBidi" w:eastAsiaTheme="majorEastAsia" w:hAnsiTheme="majorBidi" w:cstheme="majorBidi"/>
        </w:rPr>
        <w:t>” (level 2): 501 Protection of soil, surface and groundwater, 502 Protection of biodiversity and landscape, 503 Management of forest resources. The Group 502 Protection of biodiversity and landscapes covers activities, expenditures and products aimed at protecting and replenishment of wild fauna and flora, safeguarding and restoring their habitats, ecosystems of which they are part, natural or semi-natural terrestrial, marine and other aquatic ecosystems. Such activities, measures and products are included regardless of the type of areas involved (terrestrial, freshwater incl. wetlands, and marine areas) and whether they occur in areas which are classified as protected areas. Groups are further disaggregated into classes (level 3)</w:t>
      </w:r>
      <w:r w:rsidRPr="00ED7E61">
        <w:rPr>
          <w:rStyle w:val="eop"/>
          <w:rFonts w:asciiTheme="majorBidi" w:eastAsiaTheme="majorEastAsia" w:hAnsiTheme="majorBidi" w:cstheme="majorBidi"/>
        </w:rPr>
        <w:t> </w:t>
      </w:r>
    </w:p>
    <w:p w14:paraId="7633315F" w14:textId="77777777" w:rsidR="00756F0F" w:rsidRPr="00ED7E61" w:rsidRDefault="00756F0F" w:rsidP="00B10F0C">
      <w:pPr>
        <w:pStyle w:val="CBDNormalNumber"/>
        <w:numPr>
          <w:ilvl w:val="0"/>
          <w:numId w:val="68"/>
        </w:numPr>
        <w:ind w:left="567" w:firstLine="0"/>
        <w:rPr>
          <w:rStyle w:val="normaltextrun"/>
          <w:rFonts w:eastAsiaTheme="majorEastAsia"/>
        </w:rPr>
      </w:pPr>
      <w:r w:rsidRPr="00ED7E61">
        <w:rPr>
          <w:rStyle w:val="normaltextrun"/>
          <w:rFonts w:asciiTheme="majorBidi" w:eastAsiaTheme="majorEastAsia" w:hAnsiTheme="majorBidi" w:cstheme="majorBidi"/>
        </w:rPr>
        <w:t>For further detail on the definitions of the other categories, see the CEP document. </w:t>
      </w:r>
      <w:r w:rsidRPr="00ED7E61">
        <w:rPr>
          <w:rStyle w:val="normaltextrun"/>
        </w:rPr>
        <w:t> </w:t>
      </w:r>
    </w:p>
    <w:p w14:paraId="28A0F43A" w14:textId="57083A42" w:rsidR="00756F0F" w:rsidRPr="00ED7E61" w:rsidRDefault="00756F0F" w:rsidP="00B10F0C">
      <w:pPr>
        <w:pStyle w:val="CBDNormalNumber"/>
        <w:numPr>
          <w:ilvl w:val="0"/>
          <w:numId w:val="68"/>
        </w:numPr>
        <w:ind w:left="567" w:firstLine="0"/>
        <w:rPr>
          <w:rStyle w:val="normaltextrun"/>
          <w:rFonts w:eastAsiaTheme="majorEastAsia"/>
        </w:rPr>
      </w:pPr>
      <w:r w:rsidRPr="00ED7E61">
        <w:rPr>
          <w:rStyle w:val="eop"/>
          <w:rFonts w:asciiTheme="majorBidi" w:eastAsiaTheme="majorEastAsia" w:hAnsiTheme="majorBidi" w:cstheme="majorBidi"/>
        </w:rPr>
        <w:t> </w:t>
      </w:r>
      <w:r w:rsidRPr="00ED7E61">
        <w:rPr>
          <w:rStyle w:val="normaltextrun"/>
          <w:rFonts w:asciiTheme="majorBidi" w:eastAsiaTheme="majorEastAsia" w:hAnsiTheme="majorBidi" w:cstheme="majorBidi"/>
        </w:rPr>
        <w:t>The Classification of the Functions of Government (COFOG) COFOG was developed in 1999 by the OECD and published by the UN Statistical Division as an international statistical standard for classifying the purposes (functions) of government activities. It classifies government expenditure data from the System of National Accounts by the purpose for which the funds are used. The first-level COFOG splits expenditure data into ten “</w:t>
      </w:r>
      <w:r w:rsidRPr="00FB1598">
        <w:rPr>
          <w:rStyle w:val="normaltextrun"/>
          <w:rFonts w:asciiTheme="majorBidi" w:eastAsiaTheme="majorEastAsia" w:hAnsiTheme="majorBidi" w:cstheme="majorBidi"/>
          <w:i/>
          <w:iCs/>
        </w:rPr>
        <w:t>functional</w:t>
      </w:r>
      <w:r w:rsidRPr="00ED7E61">
        <w:rPr>
          <w:rStyle w:val="normaltextrun"/>
          <w:rFonts w:asciiTheme="majorBidi" w:eastAsiaTheme="majorEastAsia" w:hAnsiTheme="majorBidi" w:cstheme="majorBidi"/>
        </w:rPr>
        <w:t>” groups or sub-sectors of expenditures, and second-level COFOG further splits each first-level group into up to nine sub-groups. Group 5.4: “</w:t>
      </w:r>
      <w:r w:rsidRPr="00FB1598">
        <w:rPr>
          <w:rStyle w:val="normaltextrun"/>
          <w:rFonts w:asciiTheme="majorBidi" w:eastAsiaTheme="majorEastAsia" w:hAnsiTheme="majorBidi" w:cstheme="majorBidi"/>
          <w:i/>
          <w:iCs/>
        </w:rPr>
        <w:t>Protection of Biodiversity and Landscape</w:t>
      </w:r>
      <w:r w:rsidRPr="00ED7E61">
        <w:rPr>
          <w:rStyle w:val="normaltextrun"/>
          <w:rFonts w:asciiTheme="majorBidi" w:eastAsiaTheme="majorEastAsia" w:hAnsiTheme="majorBidi" w:cstheme="majorBidi"/>
        </w:rPr>
        <w:t>” covers activities relating to the protection of fauna and flora species (including the reintroduction of extinct species and the recovery of species menaced by extinction), the protection of habitats (including the management of natural parks and reserves) and the protection of landscapes for their aesthetic values (including the rehabilitation of damaged landscapes to improve their aesthetic value). COFOG data can be used in the development of EPEA.</w:t>
      </w:r>
      <w:r w:rsidRPr="00ED7E61">
        <w:rPr>
          <w:rStyle w:val="normaltextrun"/>
        </w:rPr>
        <w:t> </w:t>
      </w:r>
    </w:p>
    <w:p w14:paraId="41C623BF" w14:textId="77777777" w:rsidR="00756F0F" w:rsidRPr="00ED7E61" w:rsidRDefault="00756F0F" w:rsidP="00B10F0C">
      <w:pPr>
        <w:pStyle w:val="CBDNormalNumber"/>
        <w:numPr>
          <w:ilvl w:val="0"/>
          <w:numId w:val="68"/>
        </w:numPr>
        <w:ind w:left="567" w:firstLine="0"/>
        <w:rPr>
          <w:rStyle w:val="normaltextrun"/>
          <w:rFonts w:eastAsiaTheme="majorEastAsia"/>
        </w:rPr>
      </w:pPr>
      <w:r w:rsidRPr="00ED7E61">
        <w:rPr>
          <w:rStyle w:val="normaltextrun"/>
          <w:rFonts w:asciiTheme="majorBidi" w:eastAsiaTheme="majorEastAsia" w:hAnsiTheme="majorBidi" w:cstheme="majorBidi"/>
        </w:rPr>
        <w:t>Note: international funding should not be accounted under D.2, even ODA that flows through national budgets.</w:t>
      </w:r>
      <w:r w:rsidRPr="00ED7E61">
        <w:rPr>
          <w:rStyle w:val="normaltextrun"/>
        </w:rPr>
        <w:t> </w:t>
      </w:r>
    </w:p>
    <w:p w14:paraId="6956259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28ECC51C" w14:textId="77777777" w:rsidR="00756F0F" w:rsidRPr="00ED7E61" w:rsidRDefault="00756F0F" w:rsidP="00B10F0C">
      <w:pPr>
        <w:pStyle w:val="CBDNormalNumber"/>
        <w:numPr>
          <w:ilvl w:val="0"/>
          <w:numId w:val="68"/>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will report the monetary value of domestic public expenditure in national currency per year during the CBD national reporting cycle. </w:t>
      </w:r>
      <w:r w:rsidRPr="00ED7E61">
        <w:rPr>
          <w:rStyle w:val="normaltextrun"/>
        </w:rPr>
        <w:t> </w:t>
      </w:r>
    </w:p>
    <w:p w14:paraId="1E527FF1" w14:textId="77777777" w:rsidR="00756F0F" w:rsidRPr="00ED7E61" w:rsidRDefault="00756F0F" w:rsidP="00B10F0C">
      <w:pPr>
        <w:pStyle w:val="CBDNormalNumber"/>
        <w:numPr>
          <w:ilvl w:val="0"/>
          <w:numId w:val="68"/>
        </w:numPr>
        <w:ind w:left="567" w:firstLine="0"/>
        <w:rPr>
          <w:rStyle w:val="normaltextrun"/>
          <w:rFonts w:eastAsiaTheme="majorEastAsia"/>
        </w:rPr>
      </w:pPr>
      <w:r w:rsidRPr="00ED7E61">
        <w:rPr>
          <w:rStyle w:val="normaltextrun"/>
          <w:rFonts w:asciiTheme="majorBidi" w:eastAsiaTheme="majorEastAsia" w:hAnsiTheme="majorBidi" w:cstheme="majorBidi"/>
        </w:rPr>
        <w:t>Data should come directly from countries. Countries should include in their report what the reported expenditure includes, and which methodology and/or statistical framework has been used. </w:t>
      </w:r>
      <w:r w:rsidRPr="00ED7E61">
        <w:rPr>
          <w:rStyle w:val="normaltextrun"/>
        </w:rPr>
        <w:t> </w:t>
      </w:r>
    </w:p>
    <w:p w14:paraId="5E02FFF0" w14:textId="77777777" w:rsidR="00756F0F" w:rsidRPr="00ED7E61" w:rsidRDefault="00756F0F" w:rsidP="00B10F0C">
      <w:pPr>
        <w:pStyle w:val="CBDNormalNumber"/>
        <w:numPr>
          <w:ilvl w:val="0"/>
          <w:numId w:val="68"/>
        </w:numPr>
        <w:ind w:left="567" w:firstLine="0"/>
        <w:rPr>
          <w:rStyle w:val="normaltextrun"/>
          <w:rFonts w:eastAsiaTheme="majorEastAsia"/>
        </w:rPr>
      </w:pPr>
      <w:r w:rsidRPr="00ED7E61">
        <w:rPr>
          <w:rStyle w:val="normaltextrun"/>
          <w:rFonts w:asciiTheme="majorBidi" w:eastAsiaTheme="majorEastAsia" w:hAnsiTheme="majorBidi" w:cstheme="majorBidi"/>
        </w:rPr>
        <w:t>Developing country Parties should exclude from the reporting on domestic expenditures for biodiversity those flows that were supported by developed country Parties, or other providers of international public finance, such as multilateral institutions, or international private finance, such as private philanthropy (these flows are captured through the D.1 and D.3 indicators, respectively). </w:t>
      </w:r>
      <w:r w:rsidRPr="00ED7E61">
        <w:rPr>
          <w:rStyle w:val="normaltextrun"/>
        </w:rPr>
        <w:t> </w:t>
      </w:r>
    </w:p>
    <w:p w14:paraId="34218DA7" w14:textId="77777777" w:rsidR="00756F0F" w:rsidRPr="00ED7E61" w:rsidRDefault="00756F0F" w:rsidP="00B10F0C">
      <w:pPr>
        <w:pStyle w:val="CBDNormalNumber"/>
        <w:numPr>
          <w:ilvl w:val="0"/>
          <w:numId w:val="68"/>
        </w:numPr>
        <w:ind w:left="567" w:firstLine="0"/>
        <w:rPr>
          <w:rStyle w:val="normaltextrun"/>
          <w:rFonts w:eastAsiaTheme="majorEastAsia"/>
        </w:rPr>
      </w:pPr>
      <w:r w:rsidRPr="00ED7E61">
        <w:rPr>
          <w:rStyle w:val="normaltextrun"/>
          <w:rFonts w:asciiTheme="majorBidi" w:eastAsiaTheme="majorEastAsia" w:hAnsiTheme="majorBidi" w:cstheme="majorBidi"/>
        </w:rPr>
        <w:t> The reporting template will provide a dropdown menu for countries to select which data source and/or methodology was used to report for this headline indicator, including but not limited to the following:</w:t>
      </w:r>
      <w:r w:rsidRPr="00ED7E61">
        <w:rPr>
          <w:rStyle w:val="normaltextrun"/>
        </w:rPr>
        <w:t> </w:t>
      </w:r>
    </w:p>
    <w:p w14:paraId="064415FD" w14:textId="77777777" w:rsidR="00756F0F" w:rsidRPr="00ED7E61" w:rsidRDefault="00756F0F" w:rsidP="00B10F0C">
      <w:pPr>
        <w:pStyle w:val="CBDNormalNumber"/>
        <w:numPr>
          <w:ilvl w:val="1"/>
          <w:numId w:val="68"/>
        </w:numPr>
        <w:tabs>
          <w:tab w:val="clear" w:pos="567"/>
          <w:tab w:val="clear" w:pos="1134"/>
          <w:tab w:val="clear" w:pos="1701"/>
          <w:tab w:val="clear" w:pos="2268"/>
          <w:tab w:val="left" w:pos="1985"/>
        </w:tabs>
        <w:ind w:left="1276" w:firstLine="56"/>
        <w:rPr>
          <w:rStyle w:val="normaltextrun"/>
          <w:rFonts w:eastAsiaTheme="majorEastAsia"/>
        </w:rPr>
      </w:pPr>
      <w:hyperlink r:id="rId208" w:tgtFrame="_blank" w:history="1">
        <w:r w:rsidRPr="00ED7E61">
          <w:rPr>
            <w:rStyle w:val="normaltextrun"/>
            <w:rFonts w:eastAsiaTheme="majorEastAsia"/>
          </w:rPr>
          <w:t>BIOFIN</w:t>
        </w:r>
      </w:hyperlink>
      <w:r w:rsidRPr="00ED7E61">
        <w:rPr>
          <w:rStyle w:val="normaltextrun"/>
          <w:rFonts w:eastAsiaTheme="majorEastAsia"/>
        </w:rPr>
        <w:t xml:space="preserve">: UNDP’s Biodiversity Finance Initiative (BIOFIN) developed a methodology providing guidance to estimate national expenditures for biodiversity; these included public, NGOs and donors.  </w:t>
      </w:r>
      <w:proofErr w:type="gramStart"/>
      <w:r w:rsidRPr="00ED7E61">
        <w:rPr>
          <w:rStyle w:val="normaltextrun"/>
          <w:rFonts w:eastAsiaTheme="majorEastAsia"/>
        </w:rPr>
        <w:t>For the purpose of</w:t>
      </w:r>
      <w:proofErr w:type="gramEnd"/>
      <w:r w:rsidRPr="00ED7E61">
        <w:rPr>
          <w:rStyle w:val="normaltextrun"/>
          <w:rFonts w:eastAsiaTheme="majorEastAsia"/>
        </w:rPr>
        <w:t xml:space="preserve"> reporting on D2, countries will only report on public funding. The methodology focuses on recording primary and secondary expenditures in nine categories; for the latter, BIOFIN uses attribution rates to account for positive impact on biodiversity. These categories: (1) Biodiversity awareness and knowledge, (2) Green economy, (3) Pollution management, (4) Sustainable use, (4) Biosafety, (5) Protected areas and OECM, (6) Restoration, (7) Access and benefit sharing, and (9) Biodiversity and development planning and finance. It is highly recommended to report on expenditures and not planned budget.     </w:t>
      </w:r>
      <w:r w:rsidRPr="00ED7E61">
        <w:rPr>
          <w:rStyle w:val="normaltextrun"/>
        </w:rPr>
        <w:t> </w:t>
      </w:r>
    </w:p>
    <w:p w14:paraId="7D0C47F9" w14:textId="4CEBF098" w:rsidR="00756F0F" w:rsidRPr="00ED7E61" w:rsidRDefault="00756F0F" w:rsidP="00B10F0C">
      <w:pPr>
        <w:pStyle w:val="CBDNormalNumber"/>
        <w:numPr>
          <w:ilvl w:val="1"/>
          <w:numId w:val="6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lastRenderedPageBreak/>
        <w:t>CEP: The Classification of Environmental Purposes (CEP)</w:t>
      </w:r>
      <w:r w:rsidR="009753DA" w:rsidRPr="00ED7E61">
        <w:rPr>
          <w:rStyle w:val="FootnoteReference"/>
          <w:rFonts w:eastAsiaTheme="majorEastAsia"/>
        </w:rPr>
        <w:footnoteReference w:id="13"/>
      </w:r>
      <w:r w:rsidRPr="00ED7E61">
        <w:rPr>
          <w:rStyle w:val="normaltextrun"/>
          <w:rFonts w:eastAsiaTheme="majorEastAsia"/>
        </w:rPr>
        <w:t xml:space="preserve"> will be used for SEEA accounts, i.e. classifying activities, products, expenditure and other transactions related to environmental protection and management of natural resource. The most relevant division is: 5 Soil, surface and groundwater, biodiversity and forest which encompasses 501 Protection of soil, surface and groundwater, 502 Protection of biodiversity and landscape, 503 Management of forest resources. A share of expenditure classified in other divisions may also be considered biodiversity relevant. Countries should indicate in their reporting which divisions/groups they have included and what, if any, coefficient they have applied (i.e. what share of expenditure they have counted as biodiversity expenditure). </w:t>
      </w:r>
      <w:r w:rsidRPr="00ED7E61">
        <w:rPr>
          <w:rStyle w:val="normaltextrun"/>
        </w:rPr>
        <w:t> </w:t>
      </w:r>
    </w:p>
    <w:p w14:paraId="5B321D15" w14:textId="77777777" w:rsidR="00756F0F" w:rsidRPr="00ED7E61" w:rsidRDefault="00756F0F" w:rsidP="00B10F0C">
      <w:pPr>
        <w:pStyle w:val="CBDNormalNumber"/>
        <w:numPr>
          <w:ilvl w:val="1"/>
          <w:numId w:val="68"/>
        </w:numPr>
        <w:tabs>
          <w:tab w:val="clear" w:pos="567"/>
          <w:tab w:val="clear" w:pos="1134"/>
          <w:tab w:val="clear" w:pos="1701"/>
          <w:tab w:val="clear" w:pos="2268"/>
          <w:tab w:val="left" w:pos="1985"/>
        </w:tabs>
        <w:ind w:left="1276" w:firstLine="56"/>
        <w:rPr>
          <w:rStyle w:val="normaltextrun"/>
          <w:rFonts w:eastAsiaTheme="majorEastAsia"/>
          <w:sz w:val="24"/>
          <w:szCs w:val="24"/>
          <w:lang w:val="en-CA"/>
        </w:rPr>
      </w:pPr>
      <w:r w:rsidRPr="00ED7E61">
        <w:rPr>
          <w:rStyle w:val="normaltextrun"/>
          <w:rFonts w:eastAsiaTheme="majorEastAsia"/>
        </w:rPr>
        <w:t>Please note that CEP is an international statistical classification system which is replacing CEPA. The 27 EU countries are required to develop and report data from environmental protection and expenditure accounts (EPEA). The EPEA have been classified according to the CEPA and from 2025 should be classified according to the new CEP. The CEP is the first statistical classification of activities or products that allows mapping to “</w:t>
      </w:r>
      <w:r w:rsidRPr="00FB1598">
        <w:rPr>
          <w:rStyle w:val="normaltextrun"/>
          <w:rFonts w:eastAsiaTheme="majorEastAsia"/>
          <w:i/>
          <w:iCs/>
        </w:rPr>
        <w:t>policy areas</w:t>
      </w:r>
      <w:r w:rsidRPr="00ED7E61">
        <w:rPr>
          <w:rStyle w:val="normaltextrun"/>
          <w:rFonts w:eastAsiaTheme="majorEastAsia"/>
        </w:rPr>
        <w:t>” such as for biodiversity (as well climate change mitigation, circular economy, etc.). It therefore allows for SEEA-based applications for those policy areas (see the Annex of the CEP for further detail). The CEP can also be used, for example, in biodiversity budget tagging.  </w:t>
      </w:r>
      <w:r w:rsidRPr="00ED7E61">
        <w:rPr>
          <w:rStyle w:val="normaltextrun"/>
        </w:rPr>
        <w:t> </w:t>
      </w:r>
    </w:p>
    <w:p w14:paraId="0DEEA53C" w14:textId="17DB7B30" w:rsidR="00756F0F" w:rsidRPr="00525F8B" w:rsidRDefault="00756F0F" w:rsidP="00B10F0C">
      <w:pPr>
        <w:pStyle w:val="CBDNormalNumber"/>
        <w:numPr>
          <w:ilvl w:val="1"/>
          <w:numId w:val="68"/>
        </w:numPr>
        <w:tabs>
          <w:tab w:val="clear" w:pos="567"/>
          <w:tab w:val="clear" w:pos="1134"/>
          <w:tab w:val="clear" w:pos="1701"/>
          <w:tab w:val="clear" w:pos="2268"/>
          <w:tab w:val="left" w:pos="1985"/>
        </w:tabs>
        <w:ind w:left="1276" w:firstLine="56"/>
        <w:rPr>
          <w:rFonts w:eastAsiaTheme="majorEastAsia"/>
        </w:rPr>
      </w:pPr>
      <w:hyperlink r:id="rId209" w:tgtFrame="_blank" w:history="1">
        <w:r w:rsidRPr="00ED7E61">
          <w:rPr>
            <w:rStyle w:val="normaltextrun"/>
            <w:rFonts w:eastAsiaTheme="majorEastAsia"/>
          </w:rPr>
          <w:t>COFOG</w:t>
        </w:r>
      </w:hyperlink>
      <w:r w:rsidRPr="00ED7E61">
        <w:rPr>
          <w:rStyle w:val="normaltextrun"/>
          <w:rFonts w:eastAsiaTheme="majorEastAsia"/>
        </w:rPr>
        <w:t>: Under COFOG, governments code each purchase, wage payment, transfer, loan disbursement or other outlay under one of ten divisions, according to the primary function or purpose that the transaction serves. Each of these divisions is then broken down into groups, which, in turn, are subdivided into classes. Expenditure for which environmental protection is the primary purpose (irrespective of the sector) are coded under Division 5, Environment Protection. Activities relating to the protection of fauna and flora species (including the reintroduction of extinct species and the recovery of species menaced by extinction), the protection of habitats (including the management of natural parks and reserves) and the protection of landscapes for their aesthetic values (including the rehabilitation of damaged landscapes to improve their aesthetic value) are coded under Group 5.4: Protection of Biodiversity and Landscape. COFOG does not capture sustainable use activities.</w:t>
      </w:r>
      <w:r w:rsidRPr="00ED7E61">
        <w:rPr>
          <w:rStyle w:val="normaltextrun"/>
        </w:rPr>
        <w:t> </w:t>
      </w:r>
    </w:p>
    <w:p w14:paraId="1745958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3867F16" w14:textId="77777777" w:rsidR="00756F0F" w:rsidRPr="00ED7E61" w:rsidRDefault="00756F0F" w:rsidP="00B10F0C">
      <w:pPr>
        <w:pStyle w:val="CBDNormalNumber"/>
        <w:numPr>
          <w:ilvl w:val="0"/>
          <w:numId w:val="68"/>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Data will be reported directly from countries through the CBD Secretariat through the national reporting cycles.</w:t>
      </w:r>
      <w:r w:rsidRPr="00ED7E61">
        <w:rPr>
          <w:rStyle w:val="normaltextrun"/>
        </w:rPr>
        <w:t> </w:t>
      </w:r>
    </w:p>
    <w:p w14:paraId="39C6526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0854D480"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UNDP-</w:t>
      </w:r>
      <w:r w:rsidRPr="00ED7E61">
        <w:rPr>
          <w:rStyle w:val="normaltextrun"/>
          <w:rFonts w:asciiTheme="majorBidi" w:eastAsiaTheme="majorEastAsia" w:hAnsiTheme="majorBidi" w:cstheme="majorBidi"/>
          <w:b/>
          <w:bCs/>
          <w:sz w:val="22"/>
          <w:szCs w:val="22"/>
        </w:rPr>
        <w:t>BIOFIN</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3968EF1E" w14:textId="6A8EEA40" w:rsidR="00756F0F" w:rsidRPr="00ED7E61" w:rsidRDefault="00525F8B" w:rsidP="00525F8B">
      <w:pPr>
        <w:pStyle w:val="CBDNormalNumber"/>
        <w:ind w:left="567"/>
        <w:rPr>
          <w:rStyle w:val="normaltextrun"/>
          <w:rFonts w:eastAsiaTheme="majorEastAsia"/>
          <w:sz w:val="24"/>
          <w:szCs w:val="24"/>
          <w:lang w:val="en-CA"/>
        </w:rPr>
      </w:pPr>
      <w:hyperlink r:id="rId210" w:history="1">
        <w:r w:rsidRPr="004C58D6">
          <w:rPr>
            <w:rStyle w:val="Hyperlink"/>
            <w:rFonts w:asciiTheme="majorBidi" w:eastAsiaTheme="majorEastAsia" w:hAnsiTheme="majorBidi" w:cstheme="majorBidi"/>
          </w:rPr>
          <w:t>https://www.biofin.org/sites/default/files/content/publications/workbook_2018/</w:t>
        </w:r>
      </w:hyperlink>
      <w:r w:rsidR="00756F0F" w:rsidRPr="00ED7E61">
        <w:rPr>
          <w:rStyle w:val="normaltextrun"/>
        </w:rPr>
        <w:t> </w:t>
      </w:r>
    </w:p>
    <w:p w14:paraId="600F26D2" w14:textId="4A6E6C9C" w:rsidR="00756F0F" w:rsidRPr="00525F8B" w:rsidRDefault="00525F8B" w:rsidP="00525F8B">
      <w:pPr>
        <w:pStyle w:val="CBDNormalNumber"/>
        <w:ind w:left="567"/>
        <w:rPr>
          <w:rFonts w:eastAsiaTheme="majorEastAsia"/>
        </w:rPr>
      </w:pPr>
      <w:hyperlink r:id="rId211" w:history="1">
        <w:r w:rsidRPr="004C58D6">
          <w:rPr>
            <w:rStyle w:val="Hyperlink"/>
            <w:rFonts w:asciiTheme="majorBidi" w:eastAsiaTheme="majorEastAsia" w:hAnsiTheme="majorBidi" w:cstheme="majorBidi"/>
          </w:rPr>
          <w:t>https://www.biofin.org/biofin-around-world</w:t>
        </w:r>
      </w:hyperlink>
      <w:r w:rsidR="00756F0F" w:rsidRPr="00ED7E61">
        <w:rPr>
          <w:rStyle w:val="normaltextrun"/>
        </w:rPr>
        <w:t> </w:t>
      </w:r>
    </w:p>
    <w:p w14:paraId="40514239" w14:textId="6FA386D5"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CEP</w:t>
      </w:r>
      <w:r w:rsidRPr="00ED7E61">
        <w:rPr>
          <w:rStyle w:val="normaltextrun"/>
          <w:rFonts w:asciiTheme="majorBidi" w:eastAsiaTheme="majorEastAsia" w:hAnsiTheme="majorBidi" w:cstheme="majorBidi"/>
          <w:sz w:val="22"/>
          <w:szCs w:val="22"/>
        </w:rPr>
        <w:t>:</w:t>
      </w:r>
    </w:p>
    <w:p w14:paraId="086648D2" w14:textId="4285BE24" w:rsidR="00756F0F" w:rsidRPr="00ED7E61" w:rsidRDefault="00525F8B" w:rsidP="00525F8B">
      <w:pPr>
        <w:pStyle w:val="CBDNormalNumber"/>
        <w:ind w:left="567"/>
        <w:rPr>
          <w:rStyle w:val="normaltextrun"/>
          <w:rFonts w:eastAsiaTheme="majorEastAsia"/>
          <w:sz w:val="24"/>
          <w:szCs w:val="24"/>
          <w:lang w:val="en-CA"/>
        </w:rPr>
      </w:pPr>
      <w:hyperlink r:id="rId212" w:history="1">
        <w:r w:rsidRPr="004C58D6">
          <w:rPr>
            <w:rStyle w:val="Hyperlink"/>
            <w:rFonts w:asciiTheme="majorBidi" w:eastAsiaTheme="majorEastAsia" w:hAnsiTheme="majorBidi" w:cstheme="majorBidi"/>
          </w:rPr>
          <w:t>https://unstats.un.org/UNSDWebsite/statcom/session_55/documents/BG-4e-CEP-E.pdf</w:t>
        </w:r>
      </w:hyperlink>
      <w:r w:rsidR="00756F0F" w:rsidRPr="00ED7E61">
        <w:rPr>
          <w:rStyle w:val="normaltextrun"/>
        </w:rPr>
        <w:t> </w:t>
      </w:r>
    </w:p>
    <w:p w14:paraId="57045809" w14:textId="77777777" w:rsidR="00756F0F" w:rsidRPr="00ED7E61" w:rsidRDefault="00756F0F" w:rsidP="00B10F0C">
      <w:pPr>
        <w:pStyle w:val="CBDNormalNumber"/>
        <w:numPr>
          <w:ilvl w:val="0"/>
          <w:numId w:val="68"/>
        </w:numPr>
        <w:ind w:left="567" w:firstLine="0"/>
        <w:rPr>
          <w:rStyle w:val="normaltextrun"/>
          <w:rFonts w:eastAsiaTheme="majorEastAsia"/>
        </w:rPr>
      </w:pPr>
      <w:r w:rsidRPr="00ED7E61">
        <w:rPr>
          <w:rStyle w:val="normaltextrun"/>
          <w:rFonts w:asciiTheme="majorBidi" w:eastAsiaTheme="majorEastAsia" w:hAnsiTheme="majorBidi" w:cstheme="majorBidi"/>
        </w:rPr>
        <w:t>CEP is a classification system (replacing the CEPA and the CREMA in March 2024) used to classify data according to the SEEA. For 27 EU Members States, data are reported to EUROSTAT.</w:t>
      </w:r>
      <w:r w:rsidRPr="00ED7E61">
        <w:rPr>
          <w:rStyle w:val="normaltextrun"/>
        </w:rPr>
        <w:t> </w:t>
      </w:r>
    </w:p>
    <w:p w14:paraId="5CB2308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lastRenderedPageBreak/>
        <w:t>COFOG</w:t>
      </w:r>
      <w:r w:rsidRPr="00ED7E61">
        <w:rPr>
          <w:rStyle w:val="normaltextrun"/>
          <w:rFonts w:asciiTheme="majorBidi" w:eastAsiaTheme="majorEastAsia" w:hAnsiTheme="majorBidi" w:cstheme="majorBidi"/>
          <w:b/>
          <w:bCs/>
          <w:color w:val="467886"/>
          <w:sz w:val="22"/>
          <w:szCs w:val="22"/>
          <w:u w:val="single"/>
        </w:rPr>
        <w:t xml:space="preserve"> </w:t>
      </w:r>
      <w:r w:rsidRPr="00ED7E61">
        <w:rPr>
          <w:rStyle w:val="normaltextrun"/>
          <w:rFonts w:asciiTheme="majorBidi" w:eastAsiaTheme="majorEastAsia" w:hAnsiTheme="majorBidi" w:cstheme="majorBidi"/>
          <w:sz w:val="22"/>
          <w:szCs w:val="22"/>
        </w:rPr>
        <w:t>(COFOG is both a classification system and a database)</w:t>
      </w:r>
      <w:r w:rsidRPr="00ED7E61">
        <w:rPr>
          <w:rStyle w:val="eop"/>
          <w:rFonts w:asciiTheme="majorBidi" w:eastAsiaTheme="majorEastAsia" w:hAnsiTheme="majorBidi" w:cstheme="majorBidi"/>
          <w:sz w:val="22"/>
          <w:szCs w:val="22"/>
        </w:rPr>
        <w:t> </w:t>
      </w:r>
    </w:p>
    <w:p w14:paraId="3AFB9988" w14:textId="3075FF3B" w:rsidR="00756F0F" w:rsidRPr="00ED7E61" w:rsidRDefault="00525F8B" w:rsidP="00525F8B">
      <w:pPr>
        <w:pStyle w:val="CBDNormalNumber"/>
        <w:ind w:left="567"/>
        <w:rPr>
          <w:rStyle w:val="normaltextrun"/>
          <w:rFonts w:eastAsiaTheme="majorEastAsia"/>
          <w:sz w:val="24"/>
          <w:szCs w:val="24"/>
          <w:lang w:val="en-CA"/>
        </w:rPr>
      </w:pPr>
      <w:hyperlink r:id="rId213" w:history="1">
        <w:r w:rsidRPr="004C58D6">
          <w:rPr>
            <w:rStyle w:val="Hyperlink"/>
            <w:rFonts w:asciiTheme="majorBidi" w:eastAsiaTheme="majorEastAsia" w:hAnsiTheme="majorBidi" w:cstheme="majorBidi"/>
          </w:rPr>
          <w:t>https://data.imf.org/?sk=5804c5e1-0502-4672-bdcd-671bcdc565a9</w:t>
        </w:r>
      </w:hyperlink>
      <w:r w:rsidR="00756F0F" w:rsidRPr="00ED7E61">
        <w:rPr>
          <w:rStyle w:val="normaltextrun"/>
        </w:rPr>
        <w:t> </w:t>
      </w:r>
    </w:p>
    <w:p w14:paraId="613DD9F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1CE081C0" w14:textId="522BCC7A" w:rsidR="00756F0F" w:rsidRPr="00ED7E61" w:rsidRDefault="00756F0F" w:rsidP="00B10F0C">
      <w:pPr>
        <w:pStyle w:val="CBDNormalNumber"/>
        <w:numPr>
          <w:ilvl w:val="0"/>
          <w:numId w:val="68"/>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Primarily derived from government records (national budgets and accounts) on public expenditures, and when available regional/multilateral databases e.g. Eurostat.</w:t>
      </w:r>
      <w:r w:rsidRPr="00ED7E61">
        <w:rPr>
          <w:rStyle w:val="normaltextrun"/>
        </w:rPr>
        <w:t> </w:t>
      </w:r>
    </w:p>
    <w:p w14:paraId="6BDE571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4BC13F31" w14:textId="77777777" w:rsidR="00756F0F" w:rsidRPr="00ED7E61" w:rsidRDefault="00756F0F" w:rsidP="00B10F0C">
      <w:pPr>
        <w:pStyle w:val="CBDNormalNumber"/>
        <w:numPr>
          <w:ilvl w:val="0"/>
          <w:numId w:val="68"/>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Reporting will follow CBD’s national reporting cycle.</w:t>
      </w:r>
      <w:r w:rsidRPr="00ED7E61">
        <w:rPr>
          <w:rStyle w:val="normaltextrun"/>
        </w:rPr>
        <w:t> </w:t>
      </w:r>
    </w:p>
    <w:p w14:paraId="4FA2094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1649BCE9" w14:textId="77777777" w:rsidR="00756F0F" w:rsidRPr="00ED7E61" w:rsidRDefault="00756F0F" w:rsidP="00B10F0C">
      <w:pPr>
        <w:pStyle w:val="CBDNormalNumber"/>
        <w:numPr>
          <w:ilvl w:val="0"/>
          <w:numId w:val="68"/>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baseline for countries to report 2020 </w:t>
      </w:r>
      <w:proofErr w:type="gramStart"/>
      <w:r w:rsidRPr="00ED7E61">
        <w:rPr>
          <w:rStyle w:val="normaltextrun"/>
          <w:rFonts w:asciiTheme="majorBidi" w:eastAsiaTheme="majorEastAsia" w:hAnsiTheme="majorBidi" w:cstheme="majorBidi"/>
        </w:rPr>
        <w:t>onwards, and</w:t>
      </w:r>
      <w:proofErr w:type="gramEnd"/>
      <w:r w:rsidRPr="00ED7E61">
        <w:rPr>
          <w:rStyle w:val="normaltextrun"/>
          <w:rFonts w:asciiTheme="majorBidi" w:eastAsiaTheme="majorEastAsia" w:hAnsiTheme="majorBidi" w:cstheme="majorBidi"/>
        </w:rPr>
        <w:t xml:space="preserve"> should follow the CBD national reporting timeline.</w:t>
      </w:r>
      <w:r w:rsidRPr="00ED7E61">
        <w:rPr>
          <w:rStyle w:val="normaltextrun"/>
        </w:rPr>
        <w:t> </w:t>
      </w:r>
    </w:p>
    <w:p w14:paraId="25E0F64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425423FC" w14:textId="77777777" w:rsidR="00756F0F" w:rsidRPr="00ED7E61" w:rsidRDefault="00756F0F" w:rsidP="00B10F0C">
      <w:pPr>
        <w:pStyle w:val="CBDNormalNumber"/>
        <w:numPr>
          <w:ilvl w:val="0"/>
          <w:numId w:val="68"/>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through national reports to the CBD, Statistical offices or Ministries of Finance preferably or Ministers of Environment.</w:t>
      </w:r>
      <w:r w:rsidRPr="00ED7E61">
        <w:rPr>
          <w:rStyle w:val="normaltextrun"/>
        </w:rPr>
        <w:t> </w:t>
      </w:r>
    </w:p>
    <w:p w14:paraId="30F5448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4C51C70E" w14:textId="77777777" w:rsidR="00756F0F" w:rsidRPr="00ED7E61" w:rsidRDefault="00756F0F" w:rsidP="00525F8B">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CBD Secretariat through country national reporting.</w:t>
      </w:r>
      <w:r w:rsidRPr="00ED7E61">
        <w:rPr>
          <w:rStyle w:val="normaltextrun"/>
        </w:rPr>
        <w:t> </w:t>
      </w:r>
    </w:p>
    <w:p w14:paraId="784E34C8" w14:textId="77777777" w:rsidR="00756F0F" w:rsidRPr="00ED7E61" w:rsidRDefault="00756F0F" w:rsidP="00525F8B">
      <w:pPr>
        <w:pStyle w:val="CBDNormalNumber"/>
        <w:ind w:left="567"/>
        <w:rPr>
          <w:rStyle w:val="normaltextrun"/>
          <w:rFonts w:eastAsiaTheme="majorEastAsia"/>
        </w:rPr>
      </w:pPr>
      <w:r w:rsidRPr="00ED7E61">
        <w:rPr>
          <w:rStyle w:val="normaltextrun"/>
          <w:rFonts w:asciiTheme="majorBidi" w:eastAsiaTheme="majorEastAsia" w:hAnsiTheme="majorBidi" w:cstheme="majorBidi"/>
        </w:rPr>
        <w:t>EUROSTAT, OECD and IMF for COFOG</w:t>
      </w:r>
      <w:r w:rsidRPr="00ED7E61">
        <w:rPr>
          <w:rStyle w:val="normaltextrun"/>
        </w:rPr>
        <w:t> </w:t>
      </w:r>
    </w:p>
    <w:p w14:paraId="6B4BCE8C" w14:textId="77777777" w:rsidR="00756F0F" w:rsidRPr="00ED7E61" w:rsidRDefault="00756F0F" w:rsidP="00525F8B">
      <w:pPr>
        <w:pStyle w:val="CBDNormalNumber"/>
        <w:ind w:left="567"/>
        <w:rPr>
          <w:rStyle w:val="normaltextrun"/>
          <w:rFonts w:eastAsiaTheme="majorEastAsia"/>
        </w:rPr>
      </w:pPr>
      <w:r w:rsidRPr="00ED7E61">
        <w:rPr>
          <w:rStyle w:val="normaltextrun"/>
          <w:rFonts w:asciiTheme="majorBidi" w:eastAsiaTheme="majorEastAsia" w:hAnsiTheme="majorBidi" w:cstheme="majorBidi"/>
        </w:rPr>
        <w:t>EUROSTAT and OECD for EPEA</w:t>
      </w:r>
      <w:r w:rsidRPr="00ED7E61">
        <w:rPr>
          <w:rStyle w:val="normaltextrun"/>
        </w:rPr>
        <w:t> </w:t>
      </w:r>
    </w:p>
    <w:p w14:paraId="563FAE4B" w14:textId="77777777" w:rsidR="00756F0F" w:rsidRPr="00ED7E61" w:rsidRDefault="00756F0F" w:rsidP="00525F8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UNDP-BIOFIN (Compiles data but does not have a database)</w:t>
      </w:r>
      <w:r w:rsidRPr="00ED7E61">
        <w:rPr>
          <w:rStyle w:val="eop"/>
          <w:rFonts w:asciiTheme="majorBidi" w:eastAsiaTheme="majorEastAsia" w:hAnsiTheme="majorBidi" w:cstheme="majorBidi"/>
        </w:rPr>
        <w:t> </w:t>
      </w:r>
    </w:p>
    <w:p w14:paraId="640E609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169B750B" w14:textId="77777777" w:rsidR="00756F0F" w:rsidRPr="00ED7E61" w:rsidRDefault="00756F0F" w:rsidP="00B10F0C">
      <w:pPr>
        <w:pStyle w:val="CBDNormalNumber"/>
        <w:numPr>
          <w:ilvl w:val="0"/>
          <w:numId w:val="68"/>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Each of the methodologies or systems of classification available have gaps and challenges, mainly:</w:t>
      </w:r>
      <w:r w:rsidRPr="00ED7E61">
        <w:rPr>
          <w:rStyle w:val="normaltextrun"/>
        </w:rPr>
        <w:t> </w:t>
      </w:r>
    </w:p>
    <w:p w14:paraId="64E5DCB8" w14:textId="77777777" w:rsidR="00756F0F" w:rsidRPr="00ED7E61" w:rsidRDefault="00756F0F" w:rsidP="00B10F0C">
      <w:pPr>
        <w:pStyle w:val="CBDNormalNumber"/>
        <w:numPr>
          <w:ilvl w:val="1"/>
          <w:numId w:val="6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None of these are applied by all CBD Parties, they differ in relation to what each methodology or framework considers as biodiversity expenditures.</w:t>
      </w:r>
      <w:r w:rsidRPr="00ED7E61">
        <w:rPr>
          <w:rStyle w:val="normaltextrun"/>
        </w:rPr>
        <w:t> </w:t>
      </w:r>
    </w:p>
    <w:p w14:paraId="615161BF" w14:textId="77777777" w:rsidR="00756F0F" w:rsidRPr="00ED7E61" w:rsidRDefault="00756F0F" w:rsidP="00B10F0C">
      <w:pPr>
        <w:pStyle w:val="CBDNormalNumber"/>
        <w:numPr>
          <w:ilvl w:val="1"/>
          <w:numId w:val="6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COFOG: Based on primary purposes, covering “</w:t>
      </w:r>
      <w:r w:rsidRPr="00FB1598">
        <w:rPr>
          <w:rStyle w:val="normaltextrun"/>
          <w:rFonts w:eastAsiaTheme="majorEastAsia"/>
          <w:i/>
          <w:iCs/>
        </w:rPr>
        <w:t>biodiversity and landscape protection</w:t>
      </w:r>
      <w:r w:rsidRPr="00ED7E61">
        <w:rPr>
          <w:rStyle w:val="normaltextrun"/>
          <w:rFonts w:eastAsiaTheme="majorEastAsia"/>
        </w:rPr>
        <w:t>”. It does not capture sustainable use activities. It is an international statistical classification system. While COFOG has global coverage, not all countries disaggregate data on expenditure on environment protection. Data on biodiversity and landscape protection are available for 59 countries (2020). </w:t>
      </w:r>
      <w:r w:rsidRPr="00ED7E61">
        <w:rPr>
          <w:rStyle w:val="normaltextrun"/>
        </w:rPr>
        <w:t> </w:t>
      </w:r>
    </w:p>
    <w:p w14:paraId="0A1FD39A" w14:textId="77777777" w:rsidR="00756F0F" w:rsidRPr="00ED7E61" w:rsidRDefault="00756F0F" w:rsidP="00B10F0C">
      <w:pPr>
        <w:pStyle w:val="CBDNormalNumber"/>
        <w:numPr>
          <w:ilvl w:val="1"/>
          <w:numId w:val="6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EPEA: Not all countries have developed an EPEA according to the SEEA framework. The 27 EU countries are required to develop an </w:t>
      </w:r>
      <w:proofErr w:type="gramStart"/>
      <w:r w:rsidRPr="00ED7E61">
        <w:rPr>
          <w:rStyle w:val="normaltextrun"/>
          <w:rFonts w:eastAsiaTheme="majorEastAsia"/>
        </w:rPr>
        <w:t>EPEA</w:t>
      </w:r>
      <w:proofErr w:type="gramEnd"/>
      <w:r w:rsidRPr="00ED7E61">
        <w:rPr>
          <w:rStyle w:val="normaltextrun"/>
          <w:rFonts w:eastAsiaTheme="majorEastAsia"/>
        </w:rPr>
        <w:t xml:space="preserve"> and these statistics are compiled by Eurostat. EPEA from OECD countries are compiled by the OECD. The EPEA have been classified according to the CEPA and from 2025 should be classified according to the new CEP. The CEP is the first statistical classification of activities or products that allows mapping to “</w:t>
      </w:r>
      <w:r w:rsidRPr="00FB1598">
        <w:rPr>
          <w:rStyle w:val="normaltextrun"/>
          <w:rFonts w:eastAsiaTheme="majorEastAsia"/>
          <w:i/>
          <w:iCs/>
        </w:rPr>
        <w:t>policy areas</w:t>
      </w:r>
      <w:r w:rsidRPr="00ED7E61">
        <w:rPr>
          <w:rStyle w:val="normaltextrun"/>
          <w:rFonts w:eastAsiaTheme="majorEastAsia"/>
        </w:rPr>
        <w:t>” including for biodiversity, climate change mitigation and circular economy, etc. It therefore allows for SEEA-based applications for those policy areas (see the Annex of the CEP for further detail). CEP is based on primary purposes, covering biodiversity protection and resource management.  </w:t>
      </w:r>
      <w:r w:rsidRPr="00ED7E61">
        <w:rPr>
          <w:rStyle w:val="normaltextrun"/>
        </w:rPr>
        <w:t> </w:t>
      </w:r>
    </w:p>
    <w:p w14:paraId="02056E0D" w14:textId="77777777" w:rsidR="00756F0F" w:rsidRPr="00ED7E61" w:rsidRDefault="00756F0F" w:rsidP="00B10F0C">
      <w:pPr>
        <w:pStyle w:val="CBDNormalNumber"/>
        <w:numPr>
          <w:ilvl w:val="1"/>
          <w:numId w:val="6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BIOFIN: Based on primary and secondary purposes, covering a wide range of activities related to the conservation and sustainable use of biodiversity. It has been used by 41 countries.</w:t>
      </w:r>
      <w:r w:rsidRPr="00ED7E61">
        <w:rPr>
          <w:rStyle w:val="normaltextrun"/>
        </w:rPr>
        <w:t> </w:t>
      </w:r>
    </w:p>
    <w:p w14:paraId="255B978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45D1EA38" w14:textId="77777777" w:rsidR="00756F0F" w:rsidRPr="00ED7E61" w:rsidRDefault="00756F0F" w:rsidP="00525F8B">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211349B3"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7BFF2C51" w14:textId="77777777" w:rsidR="00756F0F" w:rsidRPr="00ED7E61" w:rsidRDefault="00756F0F" w:rsidP="00525F8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lastRenderedPageBreak/>
        <w:t>6a. Scale of use </w:t>
      </w:r>
      <w:r w:rsidRPr="00ED7E61">
        <w:rPr>
          <w:rStyle w:val="eop"/>
          <w:rFonts w:asciiTheme="majorBidi" w:eastAsiaTheme="majorEastAsia" w:hAnsiTheme="majorBidi" w:cstheme="majorBidi"/>
          <w:sz w:val="22"/>
          <w:szCs w:val="22"/>
        </w:rPr>
        <w:t> </w:t>
      </w:r>
    </w:p>
    <w:p w14:paraId="07542CE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434AFE4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2F0975EF" w14:textId="77777777" w:rsidR="00756F0F" w:rsidRPr="00ED7E61" w:rsidRDefault="00756F0F" w:rsidP="00B10F0C">
      <w:pPr>
        <w:pStyle w:val="CBDNormalNumber"/>
        <w:numPr>
          <w:ilvl w:val="0"/>
          <w:numId w:val="68"/>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Scale of data disaggregation/aggregation: </w:t>
      </w:r>
      <w:r w:rsidRPr="00ED7E61">
        <w:rPr>
          <w:rStyle w:val="normaltextrun"/>
        </w:rPr>
        <w:t> </w:t>
      </w:r>
    </w:p>
    <w:p w14:paraId="18FE15A3" w14:textId="77777777" w:rsidR="00756F0F" w:rsidRPr="00ED7E61" w:rsidRDefault="00756F0F" w:rsidP="00B10F0C">
      <w:pPr>
        <w:pStyle w:val="CBDNormalNumber"/>
        <w:numPr>
          <w:ilvl w:val="1"/>
          <w:numId w:val="6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regional scale indicator can be disaggregated to national level: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6690D073" w14:textId="77777777" w:rsidR="00756F0F" w:rsidRPr="00ED7E61" w:rsidRDefault="00756F0F" w:rsidP="00B10F0C">
      <w:pPr>
        <w:pStyle w:val="CBDNormalNumber"/>
        <w:numPr>
          <w:ilvl w:val="1"/>
          <w:numId w:val="6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National data is collated to form global indicator: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5C99BB7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10BACA4F" w14:textId="77777777" w:rsidR="00756F0F" w:rsidRPr="00ED7E61" w:rsidRDefault="00756F0F" w:rsidP="00525F8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i/>
          <w:iCs/>
        </w:rPr>
        <w:t>N/A</w:t>
      </w:r>
      <w:r w:rsidRPr="00ED7E61">
        <w:rPr>
          <w:rStyle w:val="eop"/>
          <w:rFonts w:asciiTheme="majorBidi" w:eastAsiaTheme="majorEastAsia" w:hAnsiTheme="majorBidi" w:cstheme="majorBidi"/>
        </w:rPr>
        <w:t> </w:t>
      </w:r>
    </w:p>
    <w:p w14:paraId="68F0040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5AD662E4" w14:textId="77777777" w:rsidR="00756F0F" w:rsidRPr="00ED7E61" w:rsidRDefault="00756F0F" w:rsidP="00525F8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i/>
          <w:iCs/>
        </w:rPr>
        <w:t>N/A</w:t>
      </w:r>
      <w:r w:rsidRPr="00ED7E61">
        <w:rPr>
          <w:rStyle w:val="eop"/>
          <w:rFonts w:asciiTheme="majorBidi" w:eastAsiaTheme="majorEastAsia" w:hAnsiTheme="majorBidi" w:cstheme="majorBidi"/>
        </w:rPr>
        <w:t> </w:t>
      </w:r>
    </w:p>
    <w:p w14:paraId="3142A0F6" w14:textId="77777777" w:rsidR="00756F0F" w:rsidRPr="00ED7E61" w:rsidRDefault="00756F0F" w:rsidP="00BE7FA9">
      <w:pPr>
        <w:pStyle w:val="paragraph"/>
        <w:spacing w:before="0" w:beforeAutospacing="0" w:after="0" w:afterAutospacing="0"/>
        <w:jc w:val="both"/>
        <w:textAlignment w:val="baseline"/>
        <w:rPr>
          <w:rFonts w:asciiTheme="majorBidi" w:hAnsiTheme="majorBidi" w:cstheme="majorBidi"/>
          <w:sz w:val="22"/>
          <w:szCs w:val="22"/>
          <w:lang w:val="en-GB"/>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lang w:val="en-GB"/>
        </w:rPr>
        <w:t> </w:t>
      </w:r>
    </w:p>
    <w:p w14:paraId="4802E3A4" w14:textId="14E78DEE" w:rsidR="00756F0F" w:rsidRPr="00ED7E61" w:rsidRDefault="00D620E3" w:rsidP="00525F8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i/>
          <w:iCs/>
        </w:rPr>
        <w:t>NA</w:t>
      </w:r>
    </w:p>
    <w:p w14:paraId="31E3F08F" w14:textId="679602E8" w:rsidR="00756F0F" w:rsidRPr="00812871" w:rsidRDefault="00756F0F" w:rsidP="00812871">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812871">
        <w:rPr>
          <w:rStyle w:val="normaltextrun"/>
          <w:rFonts w:asciiTheme="majorBidi" w:eastAsiaTheme="majorEastAsia" w:hAnsiTheme="majorBidi" w:cstheme="majorBidi"/>
          <w:b/>
          <w:bCs/>
          <w:sz w:val="22"/>
          <w:szCs w:val="22"/>
          <w:lang w:val="en-GB"/>
        </w:rPr>
        <w:t>7. Other MEAs, processes and organi</w:t>
      </w:r>
      <w:r w:rsidR="00B10F0C" w:rsidRPr="00812871">
        <w:rPr>
          <w:rStyle w:val="normaltextrun"/>
          <w:rFonts w:asciiTheme="majorBidi" w:eastAsiaTheme="majorEastAsia" w:hAnsiTheme="majorBidi" w:cstheme="majorBidi"/>
          <w:b/>
          <w:bCs/>
          <w:sz w:val="22"/>
          <w:szCs w:val="22"/>
          <w:lang w:val="en-GB"/>
        </w:rPr>
        <w:t>z</w:t>
      </w:r>
      <w:r w:rsidRPr="00812871">
        <w:rPr>
          <w:rStyle w:val="normaltextrun"/>
          <w:rFonts w:asciiTheme="majorBidi" w:eastAsiaTheme="majorEastAsia" w:hAnsiTheme="majorBidi" w:cstheme="majorBidi"/>
          <w:b/>
          <w:bCs/>
          <w:sz w:val="22"/>
          <w:szCs w:val="22"/>
          <w:lang w:val="en-GB"/>
        </w:rPr>
        <w:t>ations</w:t>
      </w:r>
      <w:r w:rsidRPr="00812871">
        <w:rPr>
          <w:rStyle w:val="normaltextrun"/>
          <w:rFonts w:eastAsiaTheme="majorEastAsia"/>
          <w:b/>
          <w:bCs/>
          <w:lang w:val="en-GB"/>
        </w:rPr>
        <w:t> </w:t>
      </w:r>
    </w:p>
    <w:p w14:paraId="0CC9E62D" w14:textId="77777777" w:rsidR="00756F0F" w:rsidRPr="00812871" w:rsidRDefault="00756F0F" w:rsidP="00812871">
      <w:pPr>
        <w:pStyle w:val="CBDNormalNumber"/>
        <w:numPr>
          <w:ilvl w:val="0"/>
          <w:numId w:val="68"/>
        </w:numPr>
        <w:ind w:left="567" w:firstLine="0"/>
        <w:rPr>
          <w:rStyle w:val="normaltextrun"/>
          <w:rFonts w:eastAsiaTheme="majorEastAsia"/>
        </w:rPr>
      </w:pPr>
      <w:r w:rsidRPr="00812871">
        <w:rPr>
          <w:rStyle w:val="normaltextrun"/>
          <w:rFonts w:asciiTheme="majorBidi" w:eastAsiaTheme="majorEastAsia" w:hAnsiTheme="majorBidi" w:cstheme="majorBidi"/>
        </w:rPr>
        <w:t>N/A</w:t>
      </w:r>
      <w:r w:rsidRPr="00812871">
        <w:rPr>
          <w:rStyle w:val="normaltextrun"/>
        </w:rPr>
        <w:t> </w:t>
      </w:r>
    </w:p>
    <w:p w14:paraId="258556E9" w14:textId="01B9DE4A"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0763DFB8" w14:textId="77777777" w:rsidR="00756F0F" w:rsidRPr="00ED7E61" w:rsidRDefault="00756F0F" w:rsidP="00525F8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i/>
          <w:iCs/>
        </w:rPr>
        <w:t>N/A</w:t>
      </w:r>
      <w:r w:rsidRPr="00ED7E61">
        <w:rPr>
          <w:rStyle w:val="eop"/>
          <w:rFonts w:asciiTheme="majorBidi" w:eastAsiaTheme="majorEastAsia" w:hAnsiTheme="majorBidi" w:cstheme="majorBidi"/>
        </w:rPr>
        <w:t> </w:t>
      </w:r>
    </w:p>
    <w:p w14:paraId="1D8A5CB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60141EF7" w14:textId="77777777" w:rsidR="00756F0F" w:rsidRPr="00ED7E61" w:rsidRDefault="00756F0F" w:rsidP="00525F8B">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Target 18.1 Positive incentives in place to promote biodiversity conservation and sustainable use. </w:t>
      </w:r>
      <w:r w:rsidRPr="00ED7E61">
        <w:rPr>
          <w:rStyle w:val="normaltextrun"/>
        </w:rPr>
        <w:t> </w:t>
      </w:r>
    </w:p>
    <w:p w14:paraId="7EF4C9EF" w14:textId="77777777" w:rsidR="00756F0F" w:rsidRPr="00ED7E61" w:rsidRDefault="00756F0F" w:rsidP="00525F8B">
      <w:pPr>
        <w:pStyle w:val="CBDNormalNumber"/>
        <w:ind w:left="567"/>
        <w:rPr>
          <w:rStyle w:val="normaltextrun"/>
          <w:rFonts w:eastAsiaTheme="majorEastAsia"/>
        </w:rPr>
      </w:pPr>
      <w:r w:rsidRPr="00ED7E61">
        <w:rPr>
          <w:rStyle w:val="normaltextrun"/>
          <w:rFonts w:asciiTheme="majorBidi" w:eastAsiaTheme="majorEastAsia" w:hAnsiTheme="majorBidi" w:cstheme="majorBidi"/>
        </w:rPr>
        <w:t>Target 19.</w:t>
      </w:r>
      <w:r w:rsidRPr="00ED7E61">
        <w:rPr>
          <w:rStyle w:val="normaltextrun"/>
        </w:rPr>
        <w:t> </w:t>
      </w:r>
    </w:p>
    <w:p w14:paraId="0FF3DEB9" w14:textId="77777777" w:rsidR="00756F0F" w:rsidRPr="00ED7E61" w:rsidRDefault="00756F0F" w:rsidP="00525F8B">
      <w:pPr>
        <w:pStyle w:val="CBDNormalNumber"/>
        <w:ind w:left="567"/>
        <w:rPr>
          <w:rStyle w:val="normaltextrun"/>
          <w:rFonts w:eastAsiaTheme="majorEastAsia"/>
        </w:rPr>
      </w:pPr>
      <w:r w:rsidRPr="00ED7E61">
        <w:rPr>
          <w:rStyle w:val="normaltextrun"/>
          <w:rFonts w:asciiTheme="majorBidi" w:eastAsiaTheme="majorEastAsia" w:hAnsiTheme="majorBidi" w:cstheme="majorBidi"/>
        </w:rPr>
        <w:t>Goal D.1 International public funding, including official development assistance (ODA) for conservation and sustainable use of biodiversity and ecosystems</w:t>
      </w:r>
      <w:r w:rsidRPr="00ED7E61">
        <w:rPr>
          <w:rStyle w:val="normaltextrun"/>
        </w:rPr>
        <w:t> </w:t>
      </w:r>
    </w:p>
    <w:p w14:paraId="2B6E9E8F" w14:textId="4213BC62" w:rsidR="00756F0F" w:rsidRPr="00ED7E61" w:rsidRDefault="00756F0F" w:rsidP="00BE7FA9">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4DC5A326" w14:textId="1FBA276F"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B10F0C">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3210C26C" w14:textId="77777777" w:rsidR="00756F0F" w:rsidRPr="00ED7E61" w:rsidRDefault="00756F0F" w:rsidP="00525F8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i/>
          <w:iCs/>
        </w:rPr>
        <w:t>N/A</w:t>
      </w:r>
      <w:r w:rsidRPr="00ED7E61">
        <w:rPr>
          <w:rStyle w:val="eop"/>
          <w:rFonts w:asciiTheme="majorBidi" w:eastAsiaTheme="majorEastAsia" w:hAnsiTheme="majorBidi" w:cstheme="majorBidi"/>
        </w:rPr>
        <w:t> </w:t>
      </w:r>
    </w:p>
    <w:p w14:paraId="47FF660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2BF8F3C1" w14:textId="77777777" w:rsidR="00756F0F" w:rsidRPr="00ED7E61" w:rsidRDefault="00756F0F" w:rsidP="00525F8B">
      <w:pPr>
        <w:pStyle w:val="CBDNormalNumber"/>
        <w:ind w:left="567"/>
        <w:rPr>
          <w:rFonts w:asciiTheme="majorBidi" w:hAnsiTheme="majorBidi" w:cstheme="majorBidi"/>
        </w:rPr>
      </w:pPr>
      <w:r w:rsidRPr="00ED7E61">
        <w:rPr>
          <w:rStyle w:val="normaltextrun"/>
          <w:rFonts w:asciiTheme="majorBidi" w:eastAsiaTheme="majorEastAsia" w:hAnsiTheme="majorBidi" w:cstheme="majorBidi"/>
          <w:i/>
          <w:iCs/>
        </w:rPr>
        <w:t>N/A</w:t>
      </w:r>
      <w:r w:rsidRPr="00ED7E61">
        <w:rPr>
          <w:rStyle w:val="eop"/>
          <w:rFonts w:asciiTheme="majorBidi" w:eastAsiaTheme="majorEastAsia" w:hAnsiTheme="majorBidi" w:cstheme="majorBidi"/>
        </w:rPr>
        <w:t> </w:t>
      </w:r>
    </w:p>
    <w:p w14:paraId="08AC003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w:t>
      </w:r>
      <w:r w:rsidRPr="00ED7E61">
        <w:rPr>
          <w:rStyle w:val="eop"/>
          <w:rFonts w:asciiTheme="majorBidi" w:eastAsiaTheme="majorEastAsia" w:hAnsiTheme="majorBidi" w:cstheme="majorBidi"/>
          <w:sz w:val="22"/>
          <w:szCs w:val="22"/>
        </w:rPr>
        <w:t> </w:t>
      </w:r>
    </w:p>
    <w:p w14:paraId="4991144C" w14:textId="77777777" w:rsidR="00756F0F" w:rsidRPr="00ED7E61" w:rsidRDefault="00756F0F" w:rsidP="00525F8B">
      <w:pPr>
        <w:pStyle w:val="CBDNormalNumber"/>
        <w:ind w:left="567"/>
        <w:rPr>
          <w:rStyle w:val="normaltextrun"/>
          <w:rFonts w:eastAsiaTheme="majorEastAsia"/>
          <w:i/>
          <w:iCs/>
          <w:sz w:val="24"/>
          <w:szCs w:val="24"/>
          <w:lang w:val="en-CA"/>
        </w:rPr>
      </w:pPr>
      <w:r w:rsidRPr="00ED7E61">
        <w:rPr>
          <w:rStyle w:val="normaltextrun"/>
          <w:rFonts w:asciiTheme="majorBidi" w:eastAsiaTheme="majorEastAsia" w:hAnsiTheme="majorBidi" w:cstheme="majorBidi"/>
          <w:i/>
          <w:iCs/>
        </w:rPr>
        <w:t>N/A</w:t>
      </w:r>
      <w:r w:rsidRPr="00ED7E61">
        <w:rPr>
          <w:rStyle w:val="normaltextrun"/>
          <w:i/>
          <w:iCs/>
        </w:rPr>
        <w:t> </w:t>
      </w:r>
    </w:p>
    <w:p w14:paraId="7FB2092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090CF4F3" w14:textId="15BD2DF1" w:rsidR="00A37367" w:rsidRPr="00ED7E61" w:rsidRDefault="00A37367" w:rsidP="00395866">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6C16B4CC" w14:textId="1DACDCB2" w:rsidR="00756F0F" w:rsidRPr="00ED7E61" w:rsidRDefault="002946B5" w:rsidP="00965B3D">
      <w:pPr>
        <w:pStyle w:val="Heading3"/>
      </w:pPr>
      <w:bookmarkStart w:id="26" w:name="_Toc233278563"/>
      <w:bookmarkStart w:id="27" w:name="_Hlk178002946"/>
      <w:r w:rsidRPr="00ED7E61">
        <w:rPr>
          <w:rStyle w:val="normaltextrun"/>
        </w:rPr>
        <w:lastRenderedPageBreak/>
        <w:t>D.3 Private funding (domestic and international) on conservation and sustainable use of biodiversity and ecosystems</w:t>
      </w:r>
      <w:bookmarkEnd w:id="26"/>
      <w:r w:rsidRPr="00ED7E61">
        <w:rPr>
          <w:rStyle w:val="normaltextrun"/>
        </w:rPr>
        <w:t xml:space="preserve">  </w:t>
      </w:r>
      <w:r w:rsidR="00756F0F" w:rsidRPr="00ED7E61">
        <w:rPr>
          <w:rStyle w:val="normaltextrun"/>
        </w:rPr>
        <w:t> </w:t>
      </w:r>
      <w:r w:rsidR="00756F0F" w:rsidRPr="00ED7E61">
        <w:rPr>
          <w:rStyle w:val="eop"/>
        </w:rPr>
        <w:t> </w:t>
      </w:r>
    </w:p>
    <w:p w14:paraId="3E22F1D1"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DA3B49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6C53101D"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D.3</w:t>
      </w:r>
      <w:r w:rsidRPr="00ED7E61">
        <w:rPr>
          <w:rStyle w:val="normaltextrun"/>
          <w:rFonts w:asciiTheme="majorBidi" w:eastAsiaTheme="majorEastAsia" w:hAnsiTheme="majorBidi" w:cstheme="majorBidi"/>
          <w:sz w:val="22"/>
          <w:szCs w:val="22"/>
          <w:lang w:val="en-GB"/>
        </w:rPr>
        <w:t xml:space="preserve"> Private funding (domestic and international) on conservation and sustainable use of biodiversity and ecosystems </w:t>
      </w:r>
      <w:r w:rsidRPr="00ED7E61">
        <w:rPr>
          <w:rStyle w:val="eop"/>
          <w:rFonts w:asciiTheme="majorBidi" w:eastAsiaTheme="majorEastAsia" w:hAnsiTheme="majorBidi" w:cstheme="majorBidi"/>
          <w:sz w:val="22"/>
          <w:szCs w:val="22"/>
        </w:rPr>
        <w:t> </w:t>
      </w:r>
    </w:p>
    <w:p w14:paraId="499E28E3" w14:textId="063EF48C" w:rsidR="00756F0F" w:rsidRPr="00ED7E61" w:rsidRDefault="003F212A" w:rsidP="00B10F0C">
      <w:pPr>
        <w:pStyle w:val="CBDNormalNumber"/>
        <w:numPr>
          <w:ilvl w:val="0"/>
          <w:numId w:val="69"/>
        </w:numPr>
        <w:tabs>
          <w:tab w:val="clear" w:pos="1701"/>
        </w:tabs>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Possible </w:t>
      </w:r>
      <w:r w:rsidR="00756F0F" w:rsidRPr="00ED7E61">
        <w:rPr>
          <w:rStyle w:val="normaltextrun"/>
          <w:rFonts w:asciiTheme="majorBidi" w:eastAsiaTheme="majorEastAsia" w:hAnsiTheme="majorBidi" w:cstheme="majorBidi"/>
        </w:rPr>
        <w:t>Disaggregation of the headline indicator:</w:t>
      </w:r>
      <w:r w:rsidR="00756F0F" w:rsidRPr="00ED7E61">
        <w:rPr>
          <w:rStyle w:val="normaltextrun"/>
        </w:rPr>
        <w:t> </w:t>
      </w:r>
    </w:p>
    <w:p w14:paraId="53936C26"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International Private Philanthropy for development*</w:t>
      </w:r>
      <w:r w:rsidRPr="00ED7E61">
        <w:rPr>
          <w:rStyle w:val="normaltextrun"/>
        </w:rPr>
        <w:t> </w:t>
      </w:r>
    </w:p>
    <w:p w14:paraId="59A8C5EB"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Private finance mobilised by official development finance for biodiversity*</w:t>
      </w:r>
      <w:r w:rsidRPr="00ED7E61">
        <w:rPr>
          <w:rStyle w:val="normaltextrun"/>
        </w:rPr>
        <w:t> </w:t>
      </w:r>
    </w:p>
    <w:p w14:paraId="3ABDB997"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Biodiversity offsets*</w:t>
      </w:r>
      <w:r w:rsidRPr="00ED7E61">
        <w:rPr>
          <w:rStyle w:val="normaltextrun"/>
        </w:rPr>
        <w:t> </w:t>
      </w:r>
    </w:p>
    <w:p w14:paraId="1B859AF1"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Payments for Ecosystem Services*</w:t>
      </w:r>
      <w:r w:rsidRPr="00ED7E61">
        <w:rPr>
          <w:rStyle w:val="normaltextrun"/>
        </w:rPr>
        <w:t> </w:t>
      </w:r>
    </w:p>
    <w:p w14:paraId="6F95D528"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Domestic Private Donations</w:t>
      </w:r>
      <w:r w:rsidRPr="00ED7E61">
        <w:rPr>
          <w:rStyle w:val="normaltextrun"/>
        </w:rPr>
        <w:t> </w:t>
      </w:r>
    </w:p>
    <w:p w14:paraId="672FF1E9"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Private benefit sharing schemes</w:t>
      </w:r>
      <w:r w:rsidRPr="00ED7E61">
        <w:rPr>
          <w:rStyle w:val="normaltextrun"/>
        </w:rPr>
        <w:t> </w:t>
      </w:r>
    </w:p>
    <w:p w14:paraId="356053CF"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Other instruments</w:t>
      </w:r>
      <w:r w:rsidRPr="00ED7E61">
        <w:rPr>
          <w:rStyle w:val="normaltextrun"/>
        </w:rPr>
        <w:t> </w:t>
      </w:r>
    </w:p>
    <w:p w14:paraId="3EE792FC" w14:textId="6234462C" w:rsidR="003F212A" w:rsidRPr="00ED7E61" w:rsidRDefault="003F212A" w:rsidP="00B10F0C">
      <w:pPr>
        <w:pStyle w:val="CBDNormalNumber"/>
        <w:numPr>
          <w:ilvl w:val="0"/>
          <w:numId w:val="69"/>
        </w:numPr>
        <w:tabs>
          <w:tab w:val="left" w:pos="4678"/>
        </w:tabs>
        <w:ind w:left="567" w:firstLine="0"/>
        <w:rPr>
          <w:rFonts w:eastAsiaTheme="majorEastAsia"/>
        </w:rPr>
      </w:pPr>
      <w:r w:rsidRPr="00ED7E61">
        <w:rPr>
          <w:rStyle w:val="normaltextrun"/>
          <w:color w:val="000000"/>
        </w:rPr>
        <w:t xml:space="preserve">Parties can report on private funding </w:t>
      </w:r>
      <w:r w:rsidR="00E202FA" w:rsidRPr="00ED7E61">
        <w:rPr>
          <w:rStyle w:val="normaltextrun"/>
          <w:color w:val="000000"/>
        </w:rPr>
        <w:t xml:space="preserve">(domestic and international) </w:t>
      </w:r>
      <w:r w:rsidRPr="00ED7E61">
        <w:rPr>
          <w:rStyle w:val="normaltextrun"/>
          <w:color w:val="000000"/>
        </w:rPr>
        <w:t>on conservation and sustainable use of biodiversity and ecosystems across all relevant sectors.</w:t>
      </w:r>
      <w:r w:rsidRPr="00ED7E61">
        <w:t xml:space="preserve"> These possible </w:t>
      </w:r>
      <w:proofErr w:type="spellStart"/>
      <w:r w:rsidRPr="00ED7E61">
        <w:t>disaggregations</w:t>
      </w:r>
      <w:proofErr w:type="spellEnd"/>
      <w:r w:rsidRPr="00ED7E61">
        <w:t xml:space="preserve"> are provided for the information of Parties to </w:t>
      </w:r>
      <w:proofErr w:type="gramStart"/>
      <w:r w:rsidRPr="00ED7E61">
        <w:t>take into account</w:t>
      </w:r>
      <w:proofErr w:type="gramEnd"/>
      <w:r w:rsidRPr="00ED7E61">
        <w:t>, as appropriate, and subject to their national circumstances and priorities.</w:t>
      </w:r>
    </w:p>
    <w:p w14:paraId="4B7BEFB6" w14:textId="1030E5AB"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All monetary values are to be reported in national currency. </w:t>
      </w:r>
      <w:r w:rsidRPr="00ED7E61">
        <w:rPr>
          <w:rStyle w:val="normaltextrun"/>
        </w:rPr>
        <w:t> </w:t>
      </w:r>
    </w:p>
    <w:p w14:paraId="6CA7E5D7" w14:textId="6D5E6DE6"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Countries should ensure the methodologies used for potential “</w:t>
      </w:r>
      <w:r w:rsidRPr="00FB1598">
        <w:rPr>
          <w:rStyle w:val="normaltextrun"/>
          <w:rFonts w:asciiTheme="majorBidi" w:eastAsiaTheme="majorEastAsia" w:hAnsiTheme="majorBidi" w:cstheme="majorBidi"/>
          <w:i/>
          <w:iCs/>
        </w:rPr>
        <w:t>other instruments</w:t>
      </w:r>
      <w:r w:rsidRPr="00ED7E61">
        <w:rPr>
          <w:rStyle w:val="normaltextrun"/>
          <w:rFonts w:asciiTheme="majorBidi" w:eastAsiaTheme="majorEastAsia" w:hAnsiTheme="majorBidi" w:cstheme="majorBidi"/>
        </w:rPr>
        <w:t>” do not double count with previous categories (for instance, biodiversity-relevant bonds).</w:t>
      </w:r>
      <w:r w:rsidRPr="00ED7E61">
        <w:rPr>
          <w:rStyle w:val="normaltextrun"/>
        </w:rPr>
        <w:t> </w:t>
      </w:r>
    </w:p>
    <w:p w14:paraId="00296950"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Elements marked with * have a methodology available.</w:t>
      </w:r>
      <w:r w:rsidRPr="00ED7E61">
        <w:rPr>
          <w:rStyle w:val="normaltextrun"/>
        </w:rPr>
        <w:t> </w:t>
      </w:r>
    </w:p>
    <w:p w14:paraId="4FB9CD72"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260B6EC6" w14:textId="755038D6" w:rsidR="00756F0F" w:rsidRPr="00ED7E61" w:rsidRDefault="006B30FE"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September</w:t>
      </w:r>
      <w:r w:rsidRPr="00ED7E61">
        <w:rPr>
          <w:rStyle w:val="normaltextrun"/>
          <w:rFonts w:asciiTheme="majorBidi" w:eastAsiaTheme="majorEastAsia" w:hAnsiTheme="majorBidi" w:cstheme="majorBidi"/>
          <w:sz w:val="22"/>
          <w:szCs w:val="22"/>
        </w:rPr>
        <w:t xml:space="preserve"> </w:t>
      </w:r>
      <w:r w:rsidR="00756F0F" w:rsidRPr="00ED7E61">
        <w:rPr>
          <w:rStyle w:val="normaltextrun"/>
          <w:rFonts w:asciiTheme="majorBidi" w:eastAsiaTheme="majorEastAsia" w:hAnsiTheme="majorBidi" w:cstheme="majorBidi"/>
          <w:sz w:val="22"/>
          <w:szCs w:val="22"/>
        </w:rPr>
        <w:t>2024</w:t>
      </w:r>
      <w:r w:rsidR="00756F0F" w:rsidRPr="00ED7E61">
        <w:rPr>
          <w:rStyle w:val="eop"/>
          <w:rFonts w:asciiTheme="majorBidi" w:eastAsiaTheme="majorEastAsia" w:hAnsiTheme="majorBidi" w:cstheme="majorBidi"/>
          <w:sz w:val="22"/>
          <w:szCs w:val="22"/>
        </w:rPr>
        <w:t> </w:t>
      </w:r>
    </w:p>
    <w:p w14:paraId="1FA57A6C" w14:textId="77777777" w:rsidR="00756F0F" w:rsidRPr="00ED7E61" w:rsidRDefault="00756F0F" w:rsidP="0078186A">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2A564891" w14:textId="77777777" w:rsidR="00756F0F" w:rsidRPr="00ED7E61" w:rsidRDefault="00756F0F" w:rsidP="0078186A">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4B2AB984" w14:textId="73EBC2C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Goal D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 </w:t>
      </w:r>
      <w:r w:rsidRPr="00ED7E61">
        <w:rPr>
          <w:rStyle w:val="eop"/>
          <w:rFonts w:asciiTheme="majorBidi" w:eastAsiaTheme="majorEastAsia" w:hAnsiTheme="majorBidi" w:cstheme="majorBidi"/>
          <w:color w:val="000000"/>
          <w:sz w:val="22"/>
          <w:szCs w:val="22"/>
        </w:rPr>
        <w:t> </w:t>
      </w:r>
    </w:p>
    <w:p w14:paraId="411BEACC" w14:textId="77777777" w:rsidR="00756F0F" w:rsidRPr="00ED7E61" w:rsidRDefault="00756F0F" w:rsidP="0078186A">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bookmarkEnd w:id="27"/>
    <w:p w14:paraId="670B78E3" w14:textId="369C302C"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Target 19 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r w:rsidRPr="00ED7E61">
        <w:rPr>
          <w:rStyle w:val="eop"/>
          <w:rFonts w:asciiTheme="majorBidi" w:eastAsiaTheme="majorEastAsia" w:hAnsiTheme="majorBidi" w:cstheme="majorBidi"/>
          <w:color w:val="000000"/>
          <w:sz w:val="22"/>
          <w:szCs w:val="22"/>
        </w:rPr>
        <w:t> </w:t>
      </w:r>
    </w:p>
    <w:p w14:paraId="3E298211"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(a) </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r w:rsidRPr="00ED7E61">
        <w:rPr>
          <w:rStyle w:val="eop"/>
          <w:rFonts w:asciiTheme="majorBidi" w:eastAsiaTheme="majorEastAsia" w:hAnsiTheme="majorBidi" w:cstheme="majorBidi"/>
          <w:color w:val="000000"/>
          <w:sz w:val="22"/>
          <w:szCs w:val="22"/>
        </w:rPr>
        <w:t> </w:t>
      </w:r>
    </w:p>
    <w:p w14:paraId="596FABB4"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lastRenderedPageBreak/>
        <w:t>(b)</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Significantly increasing domestic resource mobilization, facilitated by the preparation and implementation of national biodiversity finance plans or similar instruments according to national needs, priorities and circumstances; </w:t>
      </w:r>
      <w:r w:rsidRPr="00ED7E61">
        <w:rPr>
          <w:rStyle w:val="eop"/>
          <w:rFonts w:asciiTheme="majorBidi" w:eastAsiaTheme="majorEastAsia" w:hAnsiTheme="majorBidi" w:cstheme="majorBidi"/>
          <w:color w:val="000000"/>
          <w:sz w:val="22"/>
          <w:szCs w:val="22"/>
        </w:rPr>
        <w:t> </w:t>
      </w:r>
    </w:p>
    <w:p w14:paraId="2C1AF6F4"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(c)</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Leveraging private finance, promoting blended finance, implementing strategies for raising new and additional resources, and encouraging the private sector to invest in biodiversity, including through impact funds and other instruments; </w:t>
      </w:r>
      <w:r w:rsidRPr="00ED7E61">
        <w:rPr>
          <w:rStyle w:val="eop"/>
          <w:rFonts w:asciiTheme="majorBidi" w:eastAsiaTheme="majorEastAsia" w:hAnsiTheme="majorBidi" w:cstheme="majorBidi"/>
          <w:color w:val="000000"/>
          <w:sz w:val="22"/>
          <w:szCs w:val="22"/>
        </w:rPr>
        <w:t> </w:t>
      </w:r>
    </w:p>
    <w:p w14:paraId="2180AAF6"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(d)</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Stimulating innovative schemes such as payment for ecosystem services, green bonds, biodiversity offsets and credits, and benefit sharing mechanisms, with environmental and social safeguards; </w:t>
      </w:r>
      <w:r w:rsidRPr="00ED7E61">
        <w:rPr>
          <w:rStyle w:val="eop"/>
          <w:rFonts w:asciiTheme="majorBidi" w:eastAsiaTheme="majorEastAsia" w:hAnsiTheme="majorBidi" w:cstheme="majorBidi"/>
          <w:color w:val="000000"/>
          <w:sz w:val="22"/>
          <w:szCs w:val="22"/>
        </w:rPr>
        <w:t> </w:t>
      </w:r>
    </w:p>
    <w:p w14:paraId="602B5B4F" w14:textId="593E631B"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(e)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Optimizing co-benefits and synergies of finance targeting the biodiversity and climate crises; </w:t>
      </w:r>
      <w:r w:rsidRPr="00ED7E61">
        <w:rPr>
          <w:rStyle w:val="eop"/>
          <w:rFonts w:asciiTheme="majorBidi" w:eastAsiaTheme="majorEastAsia" w:hAnsiTheme="majorBidi" w:cstheme="majorBidi"/>
          <w:color w:val="000000"/>
          <w:sz w:val="22"/>
          <w:szCs w:val="22"/>
        </w:rPr>
        <w:t> </w:t>
      </w:r>
    </w:p>
    <w:p w14:paraId="7A5ACB86" w14:textId="6546E11F"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(f)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 </w:t>
      </w:r>
      <w:r w:rsidRPr="00ED7E61">
        <w:rPr>
          <w:rStyle w:val="eop"/>
          <w:rFonts w:asciiTheme="majorBidi" w:eastAsiaTheme="majorEastAsia" w:hAnsiTheme="majorBidi" w:cstheme="majorBidi"/>
          <w:color w:val="000000"/>
          <w:sz w:val="22"/>
          <w:szCs w:val="22"/>
        </w:rPr>
        <w:t> </w:t>
      </w:r>
    </w:p>
    <w:p w14:paraId="083ECE1E" w14:textId="2B960CC6"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(g)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Enhancing the effectiveness, efficiency and transparency of resource provision and use. </w:t>
      </w:r>
      <w:r w:rsidRPr="00ED7E61">
        <w:rPr>
          <w:rStyle w:val="eop"/>
          <w:rFonts w:asciiTheme="majorBidi" w:eastAsiaTheme="majorEastAsia" w:hAnsiTheme="majorBidi" w:cstheme="majorBidi"/>
          <w:color w:val="000000"/>
          <w:sz w:val="22"/>
          <w:szCs w:val="22"/>
        </w:rPr>
        <w:t> </w:t>
      </w:r>
    </w:p>
    <w:p w14:paraId="6C7600E1" w14:textId="77777777" w:rsidR="00756F0F" w:rsidRPr="00ED7E61" w:rsidRDefault="00756F0F" w:rsidP="0078186A">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060CA97C" w14:textId="18E4E13C"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Goal D relates to the means of implementation for the post-2020 global biodiversity framework. The post-2020 global biodiversity framework will need to be implemented primarily through activities at the national and/or subnational levels, with supporting action at the regional and global levels. However, the capacity for implementing the Convention in terms of human, technical and financial resources is limited in most countries, especially in developing countries, in particular the least developed countries and small island developing States, as well as countries with economies in transition. Reaching the 2050 Vision for biodiversity will require that the necessary means of implementation are available to enable Parties and stakeholders to undertake the necessary actions.</w:t>
      </w:r>
      <w:r w:rsidRPr="00ED7E61">
        <w:rPr>
          <w:rStyle w:val="normaltextrun"/>
        </w:rPr>
        <w:t> </w:t>
      </w:r>
    </w:p>
    <w:p w14:paraId="2ECEA355" w14:textId="44C06378"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Inadequate funding levels are a major impediment to effective biodiversity conservation in many countries and may be associated with failures to meet global targets. Conservation investment has been demonstrated to reduce biodiversity loss. Spending on biodiversity provides a very high social return on investment. Thus, while increased biodiversity resource mobili</w:t>
      </w:r>
      <w:r w:rsidR="00B10F0C">
        <w:rPr>
          <w:rStyle w:val="normaltextrun"/>
          <w:rFonts w:asciiTheme="majorBidi" w:eastAsiaTheme="majorEastAsia" w:hAnsiTheme="majorBidi" w:cstheme="majorBidi"/>
        </w:rPr>
        <w:t>z</w:t>
      </w:r>
      <w:r w:rsidRPr="00ED7E61">
        <w:rPr>
          <w:rStyle w:val="normaltextrun"/>
          <w:rFonts w:asciiTheme="majorBidi" w:eastAsiaTheme="majorEastAsia" w:hAnsiTheme="majorBidi" w:cstheme="majorBidi"/>
        </w:rPr>
        <w:t>ation from all sources is not only necessary to reduce, halt and reverse biodiversity loss (</w:t>
      </w:r>
      <w:r w:rsidR="00BE7FA9" w:rsidRPr="00ED7E61">
        <w:rPr>
          <w:rStyle w:val="normaltextrun"/>
          <w:rFonts w:asciiTheme="majorBidi" w:eastAsiaTheme="majorEastAsia" w:hAnsiTheme="majorBidi" w:cstheme="majorBidi"/>
        </w:rPr>
        <w:t>i.</w:t>
      </w:r>
      <w:r w:rsidRPr="00ED7E61">
        <w:rPr>
          <w:rStyle w:val="normaltextrun"/>
          <w:rFonts w:asciiTheme="majorBidi" w:eastAsiaTheme="majorEastAsia" w:hAnsiTheme="majorBidi" w:cstheme="majorBidi"/>
        </w:rPr>
        <w:t>e.to bend the curve on biodiversity loss) it is also likely to generate net economic benefits for both present and future generations. Current global biodiversity finance is of the order of USD 100 billion per year, while estimates of funding needs for a comprehensive post 2020 global biodiversity framework are of the order of USD 800 billion per year, giving a funding gap of the order of USD700 billion per year. This indicator will monitor the extent to which the gap between available financial resources and those necessary to achieve the 2050 Vision, is closed.</w:t>
      </w:r>
      <w:r w:rsidRPr="00ED7E61">
        <w:rPr>
          <w:rStyle w:val="normaltextrun"/>
        </w:rPr>
        <w:t> </w:t>
      </w:r>
    </w:p>
    <w:p w14:paraId="2BC877F5" w14:textId="094F5CEB"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This indicator aims to quantify total international and domestic private finance flows with biodiversity objectives. It includes international and domestic private philanthropy with biodiversity objectives, and to the extent that data is available, private funding for non-philanthropic investments in biodiversity. </w:t>
      </w:r>
      <w:r w:rsidRPr="00ED7E61">
        <w:rPr>
          <w:rStyle w:val="normaltextrun"/>
        </w:rPr>
        <w:t> </w:t>
      </w:r>
      <w:r w:rsidR="00DC0F01" w:rsidRPr="00ED7E61">
        <w:rPr>
          <w:rStyle w:val="normaltextrun"/>
          <w:rFonts w:asciiTheme="majorBidi" w:eastAsiaTheme="majorEastAsia" w:hAnsiTheme="majorBidi" w:cstheme="majorBidi"/>
        </w:rPr>
        <w:t>It would also capture financing provided directly to indigenous people</w:t>
      </w:r>
      <w:r w:rsidR="00616510">
        <w:rPr>
          <w:rStyle w:val="normaltextrun"/>
          <w:rFonts w:asciiTheme="majorBidi" w:eastAsiaTheme="majorEastAsia" w:hAnsiTheme="majorBidi" w:cstheme="majorBidi"/>
        </w:rPr>
        <w:t>s</w:t>
      </w:r>
      <w:r w:rsidR="00DC0F01" w:rsidRPr="00ED7E61">
        <w:rPr>
          <w:rStyle w:val="normaltextrun"/>
          <w:rFonts w:asciiTheme="majorBidi" w:eastAsiaTheme="majorEastAsia" w:hAnsiTheme="majorBidi" w:cstheme="majorBidi"/>
        </w:rPr>
        <w:t xml:space="preserve"> and local communities. </w:t>
      </w:r>
      <w:r w:rsidRPr="00ED7E61">
        <w:rPr>
          <w:rStyle w:val="normaltextrun"/>
          <w:rFonts w:asciiTheme="majorBidi" w:eastAsiaTheme="majorEastAsia" w:hAnsiTheme="majorBidi" w:cstheme="majorBidi"/>
        </w:rPr>
        <w:t>Private philanthropy is one source of finance for biodiversity conservation and sustainable use. Often these investments in biodiversity do not offer a financial return and therefore are not attractive to the private sector seeking to maximise their profits. While the private sector plays a pivotal role in investing in the sustainable use of biodiversity as part of a broader strategy to mitigate risk and build corporate resilience and reputation, private philanthropy can invest in the protection and preservation of biodiversity and ecosystems for the greater benefits to society without necessarily having a financial return. Measuring private philanthropy finance therefore captures one element of private financial flows towards the protection of biodiversity.    </w:t>
      </w:r>
      <w:r w:rsidRPr="00ED7E61">
        <w:rPr>
          <w:rStyle w:val="normaltextrun"/>
        </w:rPr>
        <w:t> </w:t>
      </w:r>
    </w:p>
    <w:p w14:paraId="44AEB3A4" w14:textId="77777777"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While private philanthropy plays an important role in mobilising finance for biodiversity, non-philanthropic funds are critical to achieve biodiversity-related outcomes in the private sector. Through economic expenditures such as the purchase of biodiversity offsets as part of a mitigation hierarchy strategy, the purchase of nature-based carbon offsets in a greenhouse gas mitigation strategy, the payment for ecosystem services as a risk reduction and cost saving strategy, and </w:t>
      </w:r>
      <w:r w:rsidRPr="00ED7E61">
        <w:rPr>
          <w:rStyle w:val="normaltextrun"/>
          <w:rFonts w:asciiTheme="majorBidi" w:eastAsiaTheme="majorEastAsia" w:hAnsiTheme="majorBidi" w:cstheme="majorBidi"/>
        </w:rPr>
        <w:lastRenderedPageBreak/>
        <w:t>investments in natural resource-based supply chains that adhere to sustainability standards, private entities can direct their expenditures to contributions related to biodiversity. In addition to these economic expenditures, financial markets play an equally important role in directing their capital investments towards those in which positive impacts on nature are intended, alongside financial returns.</w:t>
      </w:r>
      <w:r w:rsidRPr="00ED7E61">
        <w:rPr>
          <w:rStyle w:val="normaltextrun"/>
        </w:rPr>
        <w:t> </w:t>
      </w:r>
    </w:p>
    <w:p w14:paraId="7D2E78E9" w14:textId="77777777" w:rsidR="00756F0F" w:rsidRPr="00ED7E61" w:rsidRDefault="00756F0F" w:rsidP="00AE4B3F">
      <w:pPr>
        <w:pStyle w:val="CBDNormalNumber"/>
        <w:numPr>
          <w:ilvl w:val="0"/>
          <w:numId w:val="541"/>
        </w:numPr>
        <w:ind w:left="567" w:firstLine="0"/>
        <w:rPr>
          <w:rFonts w:asciiTheme="majorBidi" w:hAnsiTheme="majorBidi" w:cstheme="majorBidi"/>
        </w:rPr>
      </w:pPr>
      <w:r w:rsidRPr="00ED7E61">
        <w:rPr>
          <w:rStyle w:val="normaltextrun"/>
          <w:rFonts w:asciiTheme="majorBidi" w:eastAsiaTheme="majorEastAsia" w:hAnsiTheme="majorBidi" w:cstheme="majorBidi"/>
        </w:rPr>
        <w:t>While a robust dataset to measure and report on all streams of private finance for biodiversity is not readily available, this methodology draws on a variety of available resources for countries to quantitatively report on private finance for biodiversity, depending on their national circumstances</w:t>
      </w:r>
      <w:r w:rsidRPr="00ED7E61">
        <w:rPr>
          <w:rStyle w:val="normaltextrun"/>
          <w:rFonts w:asciiTheme="majorBidi" w:eastAsiaTheme="majorEastAsia" w:hAnsiTheme="majorBidi" w:cstheme="majorBidi"/>
          <w:color w:val="262626"/>
        </w:rPr>
        <w:t>.</w:t>
      </w:r>
      <w:r w:rsidRPr="00ED7E61">
        <w:rPr>
          <w:rStyle w:val="eop"/>
          <w:rFonts w:asciiTheme="majorBidi" w:eastAsiaTheme="majorEastAsia" w:hAnsiTheme="majorBidi" w:cstheme="majorBidi"/>
          <w:color w:val="262626"/>
        </w:rPr>
        <w:t> </w:t>
      </w:r>
    </w:p>
    <w:p w14:paraId="7AE176C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3696C57A" w14:textId="77777777" w:rsidR="00756F0F" w:rsidRPr="00ED7E61" w:rsidRDefault="00756F0F" w:rsidP="0078186A">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5122A5AC" w14:textId="2C54996F"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indicator measures, where information is available, international and domestic private finance for biodiversity conservation and sustainable use. The total amount of private finance captured by this indicator is composed of</w:t>
      </w:r>
      <w:r w:rsidR="00172A35" w:rsidRPr="00ED7E61">
        <w:rPr>
          <w:rStyle w:val="normaltextrun"/>
          <w:rFonts w:asciiTheme="majorBidi" w:eastAsiaTheme="majorEastAsia" w:hAnsiTheme="majorBidi" w:cstheme="majorBidi"/>
        </w:rPr>
        <w:t>:</w:t>
      </w:r>
      <w:r w:rsidRPr="00ED7E61">
        <w:rPr>
          <w:rStyle w:val="normaltextrun"/>
        </w:rPr>
        <w:t> </w:t>
      </w:r>
    </w:p>
    <w:p w14:paraId="4CF55EE7" w14:textId="7417FE26"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International private philanthropy from foundations for development includes foundations reporting their data on grants and program/mission-related investments to the Creditor Reporting System (CRS) of the OECD Development Assistance Committee (DAC). Philanthropic finance targeting the objectives of the CBD is tracked using the Rio marker for biodiversity (scores “</w:t>
      </w:r>
      <w:r w:rsidRPr="00FB1598">
        <w:rPr>
          <w:rStyle w:val="normaltextrun"/>
          <w:rFonts w:eastAsiaTheme="majorEastAsia"/>
          <w:i/>
          <w:iCs/>
        </w:rPr>
        <w:t>principal</w:t>
      </w:r>
      <w:r w:rsidRPr="00ED7E61">
        <w:rPr>
          <w:rStyle w:val="normaltextrun"/>
          <w:rFonts w:eastAsiaTheme="majorEastAsia"/>
        </w:rPr>
        <w:t>” or “</w:t>
      </w:r>
      <w:r w:rsidRPr="00FB1598">
        <w:rPr>
          <w:rStyle w:val="normaltextrun"/>
          <w:rFonts w:eastAsiaTheme="majorEastAsia"/>
          <w:i/>
          <w:iCs/>
        </w:rPr>
        <w:t>significant</w:t>
      </w:r>
      <w:r w:rsidRPr="00ED7E61">
        <w:rPr>
          <w:rStyle w:val="normaltextrun"/>
          <w:rFonts w:eastAsiaTheme="majorEastAsia"/>
        </w:rPr>
        <w:t>”) or in specific cases other available statistical tools </w:t>
      </w:r>
      <w:r w:rsidRPr="00ED7E61">
        <w:rPr>
          <w:rStyle w:val="normaltextrun"/>
        </w:rPr>
        <w:t> </w:t>
      </w:r>
    </w:p>
    <w:p w14:paraId="7C46A3BF" w14:textId="684A848F"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Private finance mobilised by official development finance includes data reported to the Creditor Reporting System (CRS) of the OECD Development Assistance Committee (DAC) by bilateral and multilateral development finance providers using leveraging mechanisms to attract private investors such as guarantees, syndicated loans, shares in collective investment vehicles, direct investment in companies / SPVs, credit lines, simple co-financing arrangements, project finance schemes and, in some cases, technical assistance.  Since data on mobilised private finance data is collected at the activity level, biodiversity-related data can be fetched </w:t>
      </w:r>
      <w:proofErr w:type="gramStart"/>
      <w:r w:rsidRPr="00ED7E61">
        <w:rPr>
          <w:rStyle w:val="normaltextrun"/>
          <w:rFonts w:eastAsiaTheme="majorEastAsia"/>
        </w:rPr>
        <w:t>through the use of</w:t>
      </w:r>
      <w:proofErr w:type="gramEnd"/>
      <w:r w:rsidRPr="00ED7E61">
        <w:rPr>
          <w:rStyle w:val="normaltextrun"/>
          <w:rFonts w:eastAsiaTheme="majorEastAsia"/>
        </w:rPr>
        <w:t xml:space="preserve"> purpose codes and keyword searches. For multilateral organi</w:t>
      </w:r>
      <w:r w:rsidR="00B10F0C">
        <w:rPr>
          <w:rStyle w:val="normaltextrun"/>
          <w:rFonts w:eastAsiaTheme="majorEastAsia"/>
        </w:rPr>
        <w:t>z</w:t>
      </w:r>
      <w:r w:rsidRPr="00ED7E61">
        <w:rPr>
          <w:rStyle w:val="normaltextrun"/>
          <w:rFonts w:eastAsiaTheme="majorEastAsia"/>
        </w:rPr>
        <w:t>ations, only aggregates can be disclosed to the public for confidentiality reasons</w:t>
      </w:r>
      <w:r w:rsidRPr="00ED7E61">
        <w:rPr>
          <w:rStyle w:val="normaltextrun"/>
        </w:rPr>
        <w:t> </w:t>
      </w:r>
    </w:p>
    <w:p w14:paraId="3D04E2CE" w14:textId="71A56C1E"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Domestic private donations include funding to implement conservation programs with no financial return.  This class of funding includes only those revenues generated from individual donations, corporate grants, and investment income (which could be channel</w:t>
      </w:r>
      <w:r w:rsidR="00340C3B">
        <w:rPr>
          <w:rStyle w:val="normaltextrun"/>
          <w:rFonts w:eastAsiaTheme="majorEastAsia"/>
        </w:rPr>
        <w:t>l</w:t>
      </w:r>
      <w:r w:rsidRPr="00ED7E61">
        <w:rPr>
          <w:rStyle w:val="normaltextrun"/>
          <w:rFonts w:eastAsiaTheme="majorEastAsia"/>
        </w:rPr>
        <w:t>ed through non-governmental organizations), and excludes revenue received from international private philanthropy from institutionalized philanthropic organizations and from public sources to reduce the risk of double counting.</w:t>
      </w:r>
      <w:r w:rsidRPr="00ED7E61">
        <w:rPr>
          <w:rStyle w:val="normaltextrun"/>
        </w:rPr>
        <w:t> </w:t>
      </w:r>
    </w:p>
    <w:p w14:paraId="048EB35C" w14:textId="41CA1F14" w:rsidR="00BE7FA9"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Biodiversity offsets are “</w:t>
      </w:r>
      <w:r w:rsidRPr="00FB1598">
        <w:rPr>
          <w:rStyle w:val="normaltextrun"/>
          <w:rFonts w:eastAsiaTheme="majorEastAsia"/>
          <w:i/>
          <w:iCs/>
        </w:rPr>
        <w:t>measurable conservation outcomes resulting from actions designed to compensate for significant residual adverse biodiversity impacts arising from project development after appropriate prevention and mitigation measures have been taken</w:t>
      </w:r>
      <w:r w:rsidRPr="00ED7E61">
        <w:rPr>
          <w:rStyle w:val="normaltextrun"/>
          <w:rFonts w:eastAsiaTheme="majorEastAsia"/>
        </w:rPr>
        <w:t>.”</w:t>
      </w:r>
      <w:r w:rsidR="00340C3B">
        <w:rPr>
          <w:rStyle w:val="normaltextrun"/>
          <w:rFonts w:eastAsiaTheme="majorEastAsia"/>
        </w:rPr>
        <w:t xml:space="preserve"> </w:t>
      </w:r>
      <w:r w:rsidRPr="00ED7E61">
        <w:rPr>
          <w:rStyle w:val="normaltextrun"/>
          <w:rFonts w:eastAsiaTheme="majorEastAsia"/>
        </w:rPr>
        <w:t xml:space="preserve">(BBOP 2018). They are usually under a no net loss or a net gain objective.  There are three main types of biodiversity offsets: </w:t>
      </w:r>
    </w:p>
    <w:p w14:paraId="565CAC3A" w14:textId="577DDCF5" w:rsidR="00BE7FA9" w:rsidRPr="00ED7E61" w:rsidRDefault="00756F0F" w:rsidP="00AE4B3F">
      <w:pPr>
        <w:pStyle w:val="CBDNormalNumber"/>
        <w:numPr>
          <w:ilvl w:val="2"/>
          <w:numId w:val="541"/>
        </w:numPr>
        <w:tabs>
          <w:tab w:val="clear" w:pos="567"/>
          <w:tab w:val="clear" w:pos="1134"/>
          <w:tab w:val="clear" w:pos="1701"/>
          <w:tab w:val="clear" w:pos="2268"/>
          <w:tab w:val="left" w:pos="1985"/>
        </w:tabs>
        <w:rPr>
          <w:rStyle w:val="normaltextrun"/>
          <w:rFonts w:eastAsiaTheme="majorEastAsia"/>
        </w:rPr>
      </w:pPr>
      <w:r w:rsidRPr="00ED7E61">
        <w:rPr>
          <w:rStyle w:val="normaltextrun"/>
          <w:rFonts w:eastAsiaTheme="majorEastAsia"/>
        </w:rPr>
        <w:t xml:space="preserve">One-off biodiversity offsets; </w:t>
      </w:r>
    </w:p>
    <w:p w14:paraId="7A692248" w14:textId="1292853D" w:rsidR="00BE7FA9" w:rsidRPr="00ED7E61" w:rsidRDefault="00BE7FA9" w:rsidP="00AE4B3F">
      <w:pPr>
        <w:pStyle w:val="CBDNormalNumber"/>
        <w:numPr>
          <w:ilvl w:val="2"/>
          <w:numId w:val="541"/>
        </w:numPr>
        <w:tabs>
          <w:tab w:val="clear" w:pos="567"/>
          <w:tab w:val="clear" w:pos="1134"/>
          <w:tab w:val="clear" w:pos="1701"/>
          <w:tab w:val="clear" w:pos="2268"/>
          <w:tab w:val="left" w:pos="1985"/>
        </w:tabs>
        <w:rPr>
          <w:rStyle w:val="normaltextrun"/>
          <w:rFonts w:eastAsiaTheme="majorEastAsia"/>
        </w:rPr>
      </w:pPr>
      <w:r w:rsidRPr="00ED7E61">
        <w:rPr>
          <w:rStyle w:val="normaltextrun"/>
          <w:rFonts w:eastAsiaTheme="majorEastAsia"/>
        </w:rPr>
        <w:t>P</w:t>
      </w:r>
      <w:r w:rsidR="00756F0F" w:rsidRPr="00ED7E61">
        <w:rPr>
          <w:rStyle w:val="normaltextrun"/>
          <w:rFonts w:eastAsiaTheme="majorEastAsia"/>
        </w:rPr>
        <w:t xml:space="preserve">ayments in-lieu and </w:t>
      </w:r>
    </w:p>
    <w:p w14:paraId="7F7DBB98" w14:textId="1A0E2DA9" w:rsidR="00756F0F" w:rsidRPr="00ED7E61" w:rsidRDefault="00BE7FA9" w:rsidP="00AE4B3F">
      <w:pPr>
        <w:pStyle w:val="CBDNormalNumber"/>
        <w:numPr>
          <w:ilvl w:val="2"/>
          <w:numId w:val="541"/>
        </w:numPr>
        <w:tabs>
          <w:tab w:val="clear" w:pos="567"/>
          <w:tab w:val="clear" w:pos="1134"/>
          <w:tab w:val="clear" w:pos="1701"/>
          <w:tab w:val="clear" w:pos="2268"/>
          <w:tab w:val="left" w:pos="1985"/>
        </w:tabs>
        <w:rPr>
          <w:rStyle w:val="normaltextrun"/>
          <w:rFonts w:eastAsiaTheme="majorEastAsia"/>
        </w:rPr>
      </w:pPr>
      <w:r w:rsidRPr="00ED7E61">
        <w:rPr>
          <w:rStyle w:val="normaltextrun"/>
          <w:rFonts w:eastAsiaTheme="majorEastAsia"/>
        </w:rPr>
        <w:t>B</w:t>
      </w:r>
      <w:r w:rsidR="00756F0F" w:rsidRPr="00ED7E61">
        <w:rPr>
          <w:rStyle w:val="normaltextrun"/>
          <w:rFonts w:eastAsiaTheme="majorEastAsia"/>
        </w:rPr>
        <w:t>iobanking</w:t>
      </w:r>
      <w:r w:rsidR="00756F0F" w:rsidRPr="00ED7E61">
        <w:rPr>
          <w:rStyle w:val="normaltextrun"/>
        </w:rPr>
        <w:t> </w:t>
      </w:r>
    </w:p>
    <w:p w14:paraId="1592B05B" w14:textId="77777777"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Payments for ecosystem services (PES) is a voluntary transaction between ecosystem service users and service providers that are conditional on agreed rules of natural resource management for generating offsite services (Wunder, 2015). Ecosystem service providers and users may be individuals, companies or aggregations of actors. In some cases, a government may act on behalf of users</w:t>
      </w:r>
      <w:r w:rsidRPr="00ED7E61">
        <w:rPr>
          <w:rStyle w:val="normaltextrun"/>
        </w:rPr>
        <w:t> </w:t>
      </w:r>
    </w:p>
    <w:p w14:paraId="6905C244" w14:textId="77777777"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lastRenderedPageBreak/>
        <w:t>Private benefit sharing schemes refers to programs that channel private funding from the users of genetic resources to the people and communities providing the genetic resources</w:t>
      </w:r>
      <w:r w:rsidRPr="00ED7E61">
        <w:rPr>
          <w:rStyle w:val="normaltextrun"/>
        </w:rPr>
        <w:t> </w:t>
      </w:r>
    </w:p>
    <w:p w14:paraId="1CFA9F12" w14:textId="77777777"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Other instruments include debt and equity instruments, insurance schemes, and other biodiversity-relevant financial instruments the country wishes to report on.  As financial markets evolve rapidly, this list is not intended to be exhaustive, and countries are encouraged to report on innovative finance mechanisms being deployed in their country targeted towards biodiversity-related activities</w:t>
      </w:r>
      <w:r w:rsidRPr="00ED7E61">
        <w:rPr>
          <w:rStyle w:val="normaltextrun"/>
        </w:rPr>
        <w:t> </w:t>
      </w:r>
    </w:p>
    <w:p w14:paraId="55B52C6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2274AA4F"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will report the monetary value of domestic public expenditure in national currency per year during the CBD national reporting cycle. </w:t>
      </w:r>
      <w:r w:rsidRPr="00ED7E61">
        <w:rPr>
          <w:rStyle w:val="normaltextrun"/>
        </w:rPr>
        <w:t> </w:t>
      </w:r>
    </w:p>
    <w:p w14:paraId="70B65217"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10101"/>
          <w:sz w:val="22"/>
          <w:szCs w:val="22"/>
          <w:lang w:val="en-GB"/>
        </w:rPr>
        <w:t>Options for the Secretariat for global indicators</w:t>
      </w:r>
      <w:r w:rsidRPr="00ED7E61">
        <w:rPr>
          <w:rStyle w:val="eop"/>
          <w:rFonts w:asciiTheme="majorBidi" w:eastAsiaTheme="majorEastAsia" w:hAnsiTheme="majorBidi" w:cstheme="majorBidi"/>
          <w:color w:val="010101"/>
          <w:sz w:val="22"/>
          <w:szCs w:val="22"/>
        </w:rPr>
        <w:t> </w:t>
      </w:r>
    </w:p>
    <w:p w14:paraId="1D7841CE"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International Private Philanthropy: The Secretariat can compute biodiversity-related international private philanthropic flows for biodiversity at the global level, drawing on the OECD Creditor Reporting System (CRS).  Data is available in gross disbursements and commitments and in current and constant prices, USD.  Biodiversity-related activities can be tracked based on sector/purpose codes, SDG focus and the Rio marker on biological diversity, or keyword search in the description fields</w:t>
      </w:r>
      <w:r w:rsidRPr="00ED7E61">
        <w:rPr>
          <w:rStyle w:val="normaltextrun"/>
        </w:rPr>
        <w:t> </w:t>
      </w:r>
    </w:p>
    <w:p w14:paraId="298142A5" w14:textId="257341FF"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Private finance mobilized by official development finance</w:t>
      </w:r>
      <w:r w:rsidR="00172A35"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The Secretariat can compute biodiversity-related private finance mobilized by official development finance at the global level, drawing on the OECD Creditor Reporting System.  Mobilised private finance can be tracked based on sector/purpose codes and a keyword search in the description fields in the Creditor Reporting System (CRS) of the OECD Development Assistance Committee (DAC)</w:t>
      </w:r>
      <w:r w:rsidRPr="00ED7E61">
        <w:rPr>
          <w:rStyle w:val="normaltextrun"/>
        </w:rPr>
        <w:t> </w:t>
      </w:r>
    </w:p>
    <w:p w14:paraId="7220E7CA" w14:textId="40AC9167" w:rsidR="00225324" w:rsidRPr="00225324" w:rsidRDefault="00756F0F" w:rsidP="00AE4B3F">
      <w:pPr>
        <w:pStyle w:val="CBDNormalNumber"/>
        <w:numPr>
          <w:ilvl w:val="0"/>
          <w:numId w:val="541"/>
        </w:numPr>
        <w:ind w:left="567" w:firstLine="0"/>
        <w:rPr>
          <w:rFonts w:asciiTheme="majorBidi" w:eastAsiaTheme="majorEastAsia" w:hAnsiTheme="majorBidi" w:cstheme="majorBidi"/>
          <w:lang w:val="en-CA"/>
        </w:rPr>
      </w:pPr>
      <w:r w:rsidRPr="00ED7E61">
        <w:rPr>
          <w:rStyle w:val="normaltextrun"/>
          <w:rFonts w:asciiTheme="majorBidi" w:eastAsiaTheme="majorEastAsia" w:hAnsiTheme="majorBidi" w:cstheme="majorBidi"/>
        </w:rPr>
        <w:t>Private finance from biodiversity offsets and PES: The Secretariat can compute private finance from biodiversity offsets and payments for ecosystems services drawing on the OECD PINE database</w:t>
      </w:r>
      <w:r w:rsidR="00225324">
        <w:rPr>
          <w:rStyle w:val="normaltextrun"/>
          <w:rFonts w:asciiTheme="majorBidi" w:eastAsiaTheme="majorEastAsia" w:hAnsiTheme="majorBidi" w:cstheme="majorBidi"/>
        </w:rPr>
        <w:t xml:space="preserve">, </w:t>
      </w:r>
      <w:r w:rsidR="00225324" w:rsidRPr="00FB1598">
        <w:rPr>
          <w:rStyle w:val="normaltextrun"/>
          <w:rFonts w:eastAsiaTheme="majorEastAsia"/>
        </w:rPr>
        <w:t>if such figures have been reported</w:t>
      </w:r>
      <w:r w:rsidR="00225324">
        <w:rPr>
          <w:rFonts w:asciiTheme="majorBidi" w:eastAsiaTheme="majorEastAsia" w:hAnsiTheme="majorBidi" w:cstheme="majorBidi"/>
          <w:lang w:val="en-CA"/>
        </w:rPr>
        <w:t>.</w:t>
      </w:r>
    </w:p>
    <w:p w14:paraId="4BD77A7A" w14:textId="77777777" w:rsidR="00756F0F" w:rsidRPr="00ED7E61" w:rsidRDefault="00756F0F" w:rsidP="0078186A">
      <w:pPr>
        <w:pStyle w:val="CBDNormalNumber"/>
        <w:ind w:left="567"/>
        <w:rPr>
          <w:rFonts w:asciiTheme="majorBidi" w:hAnsiTheme="majorBidi" w:cstheme="majorBidi"/>
        </w:rPr>
      </w:pPr>
      <w:r w:rsidRPr="00ED7E61">
        <w:rPr>
          <w:rStyle w:val="normaltextrun"/>
          <w:rFonts w:asciiTheme="majorBidi" w:eastAsiaTheme="majorEastAsia" w:hAnsiTheme="majorBidi" w:cstheme="majorBidi"/>
          <w:b/>
          <w:bCs/>
          <w:color w:val="010101"/>
        </w:rPr>
        <w:t>Options for countries for national reporting</w:t>
      </w:r>
      <w:r w:rsidRPr="00ED7E61">
        <w:rPr>
          <w:rStyle w:val="eop"/>
          <w:rFonts w:asciiTheme="majorBidi" w:eastAsiaTheme="majorEastAsia" w:hAnsiTheme="majorBidi" w:cstheme="majorBidi"/>
          <w:color w:val="010101"/>
        </w:rPr>
        <w:t> </w:t>
      </w:r>
    </w:p>
    <w:p w14:paraId="24827C7A"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International Private Philanthropy: A country can compute their international biodiversity-related philanthropic flows by using the DAC Creditor Reporting System based on the </w:t>
      </w:r>
      <w:proofErr w:type="gramStart"/>
      <w:r w:rsidRPr="00ED7E61">
        <w:rPr>
          <w:rStyle w:val="normaltextrun"/>
          <w:rFonts w:asciiTheme="majorBidi" w:eastAsiaTheme="majorEastAsia" w:hAnsiTheme="majorBidi" w:cstheme="majorBidi"/>
        </w:rPr>
        <w:t>amount</w:t>
      </w:r>
      <w:proofErr w:type="gramEnd"/>
      <w:r w:rsidRPr="00ED7E61">
        <w:rPr>
          <w:rStyle w:val="normaltextrun"/>
          <w:rFonts w:asciiTheme="majorBidi" w:eastAsiaTheme="majorEastAsia" w:hAnsiTheme="majorBidi" w:cstheme="majorBidi"/>
        </w:rPr>
        <w:t xml:space="preserve"> of flows to their country as a recipient of philanthropic finance. The indicator could be calculated as the sum of all philanthropic activities marked for biodiversity with either the principal or significant score, or countries could apply an attribution score to funding where biodiversity was a significant objective rather than the principal objective</w:t>
      </w:r>
      <w:r w:rsidRPr="00ED7E61">
        <w:rPr>
          <w:rStyle w:val="normaltextrun"/>
        </w:rPr>
        <w:t> </w:t>
      </w:r>
    </w:p>
    <w:p w14:paraId="3CEE2C36" w14:textId="77777777"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Domestic private contributions: Countries may be able to collect private funding from domestic donations and contributions using other sources, for example from tax filings, other charities/initiatives that publish open and standardized grants data, from each organization’s publicly available information such as annual/financial reports, and from surveys collecting information directly. These domestic private donations may flow through conservation non-governmental organizations, or they may be household investments in property and land that benefit </w:t>
      </w:r>
      <w:proofErr w:type="gramStart"/>
      <w:r w:rsidRPr="00ED7E61">
        <w:rPr>
          <w:rStyle w:val="normaltextrun"/>
          <w:rFonts w:asciiTheme="majorBidi" w:eastAsiaTheme="majorEastAsia" w:hAnsiTheme="majorBidi" w:cstheme="majorBidi"/>
        </w:rPr>
        <w:t>biodiversity .</w:t>
      </w:r>
      <w:proofErr w:type="gramEnd"/>
      <w:r w:rsidRPr="00ED7E61">
        <w:rPr>
          <w:rStyle w:val="normaltextrun"/>
          <w:rFonts w:asciiTheme="majorBidi" w:eastAsiaTheme="majorEastAsia" w:hAnsiTheme="majorBidi" w:cstheme="majorBidi"/>
        </w:rPr>
        <w:t xml:space="preserve"> Caution should be exercised to deduct from the conservation NGO’s spending any financial resources received from public entities, international private philanthropic foundations already reporting to the OECD CRS, and financial resources received from domestic public entities that have been reported under D1, if those funds are accounted for separately using either the Secretariat-calculated global option or the national reporting option for flows to recipient country.</w:t>
      </w:r>
      <w:r w:rsidRPr="00ED7E61">
        <w:rPr>
          <w:rStyle w:val="normaltextrun"/>
        </w:rPr>
        <w:t> </w:t>
      </w:r>
    </w:p>
    <w:p w14:paraId="0F5B4EE9" w14:textId="54D0C704" w:rsidR="00756F0F" w:rsidRPr="00225324" w:rsidRDefault="00756F0F" w:rsidP="00AE4B3F">
      <w:pPr>
        <w:pStyle w:val="CBDNormalNumber"/>
        <w:numPr>
          <w:ilvl w:val="0"/>
          <w:numId w:val="541"/>
        </w:numPr>
        <w:ind w:left="567" w:firstLine="0"/>
        <w:rPr>
          <w:rStyle w:val="normaltextrun"/>
          <w:rFonts w:eastAsiaTheme="majorEastAsia"/>
        </w:rPr>
      </w:pPr>
      <w:r w:rsidRPr="00225324">
        <w:rPr>
          <w:rStyle w:val="normaltextrun"/>
          <w:rFonts w:asciiTheme="majorBidi" w:eastAsiaTheme="majorEastAsia" w:hAnsiTheme="majorBidi" w:cstheme="majorBidi"/>
        </w:rPr>
        <w:t xml:space="preserve">Payments for Ecosystem Services and Biodiversity Offsets:  Countries may report on </w:t>
      </w:r>
      <w:r w:rsidR="00225324" w:rsidRPr="00FB1598">
        <w:rPr>
          <w:rStyle w:val="normaltextrun"/>
          <w:rFonts w:eastAsiaTheme="majorEastAsia"/>
        </w:rPr>
        <w:t>private finance mobilised by</w:t>
      </w:r>
      <w:r w:rsidR="00225324" w:rsidRPr="00FB1598">
        <w:rPr>
          <w:rStyle w:val="normaltextrun"/>
        </w:rPr>
        <w:t xml:space="preserve"> </w:t>
      </w:r>
      <w:r w:rsidRPr="00225324">
        <w:rPr>
          <w:rStyle w:val="normaltextrun"/>
          <w:rFonts w:asciiTheme="majorBidi" w:eastAsiaTheme="majorEastAsia" w:hAnsiTheme="majorBidi" w:cstheme="majorBidi"/>
        </w:rPr>
        <w:t xml:space="preserve">biodiversity offsets and payments for ecosystem services as reported to the OECD Policy Instruments for Environment (PINE) database, if such figures have been reported, or else report directly to the CBD.  If the country has not reported to the OECD’s PINE database, a country may derive estimates for private funding for PES schemes and biodiversity offsets by </w:t>
      </w:r>
      <w:r w:rsidRPr="00225324">
        <w:rPr>
          <w:rStyle w:val="normaltextrun"/>
          <w:rFonts w:asciiTheme="majorBidi" w:eastAsiaTheme="majorEastAsia" w:hAnsiTheme="majorBidi" w:cstheme="majorBidi"/>
        </w:rPr>
        <w:lastRenderedPageBreak/>
        <w:t>employing other data collection methods, such as through direct outreach and publicly available information.</w:t>
      </w:r>
      <w:r w:rsidRPr="00ED7E61">
        <w:rPr>
          <w:rStyle w:val="normaltextrun"/>
        </w:rPr>
        <w:t> </w:t>
      </w:r>
    </w:p>
    <w:p w14:paraId="3CEF0521" w14:textId="77777777"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Private benefit sharing </w:t>
      </w:r>
      <w:proofErr w:type="gramStart"/>
      <w:r w:rsidRPr="00ED7E61">
        <w:rPr>
          <w:rStyle w:val="normaltextrun"/>
          <w:rFonts w:asciiTheme="majorBidi" w:eastAsiaTheme="majorEastAsia" w:hAnsiTheme="majorBidi" w:cstheme="majorBidi"/>
        </w:rPr>
        <w:t>schemes:</w:t>
      </w:r>
      <w:proofErr w:type="gramEnd"/>
      <w:r w:rsidRPr="00ED7E61">
        <w:rPr>
          <w:rStyle w:val="normaltextrun"/>
          <w:rFonts w:asciiTheme="majorBidi" w:eastAsiaTheme="majorEastAsia" w:hAnsiTheme="majorBidi" w:cstheme="majorBidi"/>
        </w:rPr>
        <w:t xml:space="preserve"> requires guidance for computation</w:t>
      </w:r>
      <w:r w:rsidRPr="00ED7E61">
        <w:rPr>
          <w:rStyle w:val="normaltextrun"/>
        </w:rPr>
        <w:t> </w:t>
      </w:r>
    </w:p>
    <w:p w14:paraId="38A49D94" w14:textId="1B0F1B81"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Other instruments: Countries may report on other instruments based on a consistent, transparent and robust methodology. Countries should ensure said methodology does not lead to double counting with previous categories (for instance, biodiversity-relevant bonds)</w:t>
      </w:r>
      <w:r w:rsidRPr="00ED7E61">
        <w:rPr>
          <w:rStyle w:val="normaltextrun"/>
        </w:rPr>
        <w:t> </w:t>
      </w:r>
    </w:p>
    <w:p w14:paraId="1E3E0166"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10101"/>
          <w:sz w:val="22"/>
          <w:szCs w:val="22"/>
          <w:lang w:val="en-GB"/>
        </w:rPr>
        <w:t>Alternative options for countries for national reporting</w:t>
      </w:r>
      <w:r w:rsidRPr="00ED7E61">
        <w:rPr>
          <w:rStyle w:val="eop"/>
          <w:rFonts w:asciiTheme="majorBidi" w:eastAsiaTheme="majorEastAsia" w:hAnsiTheme="majorBidi" w:cstheme="majorBidi"/>
          <w:color w:val="010101"/>
          <w:sz w:val="22"/>
          <w:szCs w:val="22"/>
        </w:rPr>
        <w:t> </w:t>
      </w:r>
    </w:p>
    <w:p w14:paraId="4BC8563C"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may alternatively report on private domestic funding from their Environmental Protection Expenditure Accounts, established following the System of Environmental Economic Accounting framework, for private expenditures, if such accounts have been implemented</w:t>
      </w:r>
      <w:r w:rsidRPr="00ED7E61">
        <w:rPr>
          <w:rStyle w:val="normaltextrun"/>
        </w:rPr>
        <w:t> </w:t>
      </w:r>
    </w:p>
    <w:p w14:paraId="5FA10DC4" w14:textId="77777777" w:rsidR="00756F0F" w:rsidRPr="00ED7E61" w:rsidRDefault="00756F0F" w:rsidP="00AE4B3F">
      <w:pPr>
        <w:pStyle w:val="CBDNormalNumber"/>
        <w:numPr>
          <w:ilvl w:val="0"/>
          <w:numId w:val="541"/>
        </w:numPr>
        <w:ind w:left="567" w:firstLine="0"/>
        <w:rPr>
          <w:rFonts w:asciiTheme="majorBidi" w:hAnsiTheme="majorBidi" w:cstheme="majorBidi"/>
        </w:rPr>
      </w:pPr>
      <w:r w:rsidRPr="00ED7E61">
        <w:rPr>
          <w:rStyle w:val="normaltextrun"/>
          <w:rFonts w:asciiTheme="majorBidi" w:eastAsiaTheme="majorEastAsia" w:hAnsiTheme="majorBidi" w:cstheme="majorBidi"/>
        </w:rPr>
        <w:t>Countries may alternatively report on private funding collected through existing biodiversity expenditure reviews as part of participation in the UNDP’s Biodiversity Finance Initiative, or alternative initiatives to collect private funding for biodiversity.</w:t>
      </w:r>
      <w:r w:rsidRPr="00ED7E61">
        <w:rPr>
          <w:rStyle w:val="eop"/>
          <w:rFonts w:asciiTheme="majorBidi" w:eastAsiaTheme="majorEastAsia" w:hAnsiTheme="majorBidi" w:cstheme="majorBidi"/>
          <w:color w:val="010101"/>
        </w:rPr>
        <w:t> </w:t>
      </w:r>
    </w:p>
    <w:p w14:paraId="409A0D7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71037255" w14:textId="1BFD8288"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Depending on the reporting option selected by the country, data may be collected through information already reported to the OECD DAC Secretariat, with data collection methods described below. All other data collection will occur at the national level based on the approaches described in the previous section</w:t>
      </w:r>
      <w:r w:rsidR="00172A35" w:rsidRPr="00ED7E61">
        <w:rPr>
          <w:rStyle w:val="normaltextrun"/>
        </w:rPr>
        <w:t>;</w:t>
      </w:r>
    </w:p>
    <w:p w14:paraId="2C461A7F" w14:textId="0EFECBE4"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Private Philanthropy for development.  The OECD DAC Secretariat collects individual aid activities on private philanthropy for development in the Creditor Reporting System (CRS) via annual collection directly from private foundations</w:t>
      </w:r>
      <w:r w:rsidR="00BE7FA9" w:rsidRPr="00ED7E61">
        <w:rPr>
          <w:rStyle w:val="normaltextrun"/>
          <w:rFonts w:asciiTheme="majorBidi" w:eastAsiaTheme="majorEastAsia" w:hAnsiTheme="majorBidi" w:cstheme="majorBidi"/>
        </w:rPr>
        <w:t>.</w:t>
      </w:r>
      <w:r w:rsidRPr="00ED7E61">
        <w:rPr>
          <w:rStyle w:val="normaltextrun"/>
        </w:rPr>
        <w:t> </w:t>
      </w:r>
    </w:p>
    <w:p w14:paraId="1873381B" w14:textId="277257EA"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Private finance mobilized by official development finance interventions. As part of the Creditor Reporting System (CRS), the OECD DAC Secretariat has been collecting data on private finance mobilized by bilateral and multilateral providers since 2012.  While data are collected at the activity level from all providers, they are not disclosed to the public at the same level of disaggregation due to confidentiality constraints (e.g. multilateral development banks)</w:t>
      </w:r>
      <w:r w:rsidR="00BE7FA9" w:rsidRPr="00ED7E61">
        <w:rPr>
          <w:rStyle w:val="normaltextrun"/>
          <w:rFonts w:asciiTheme="majorBidi" w:eastAsiaTheme="majorEastAsia" w:hAnsiTheme="majorBidi" w:cstheme="majorBidi"/>
        </w:rPr>
        <w:t>.</w:t>
      </w:r>
      <w:r w:rsidRPr="00ED7E61">
        <w:rPr>
          <w:rStyle w:val="normaltextrun"/>
        </w:rPr>
        <w:t> </w:t>
      </w:r>
    </w:p>
    <w:p w14:paraId="173C1F9B" w14:textId="27523D8C"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For the case of private funding for biodiversity offsets and PES collected in the OECD PINE database, see the metadata sheet on 18.1. The OECD PINE database also collects data on the finance mobilized by </w:t>
      </w:r>
      <w:r w:rsidR="00225324">
        <w:rPr>
          <w:rStyle w:val="normaltextrun"/>
          <w:rFonts w:asciiTheme="majorBidi" w:eastAsiaTheme="majorEastAsia" w:hAnsiTheme="majorBidi" w:cstheme="majorBidi"/>
        </w:rPr>
        <w:t xml:space="preserve">other </w:t>
      </w:r>
      <w:r w:rsidRPr="00ED7E61">
        <w:rPr>
          <w:rStyle w:val="normaltextrun"/>
          <w:rFonts w:asciiTheme="majorBidi" w:eastAsiaTheme="majorEastAsia" w:hAnsiTheme="majorBidi" w:cstheme="majorBidi"/>
        </w:rPr>
        <w:t>positive incentives</w:t>
      </w:r>
      <w:r w:rsidR="00BE7FA9" w:rsidRPr="00ED7E61">
        <w:rPr>
          <w:rStyle w:val="normaltextrun"/>
          <w:rFonts w:asciiTheme="majorBidi" w:eastAsiaTheme="majorEastAsia" w:hAnsiTheme="majorBidi" w:cstheme="majorBidi"/>
        </w:rPr>
        <w:t>.</w:t>
      </w:r>
      <w:r w:rsidRPr="00ED7E61">
        <w:rPr>
          <w:rStyle w:val="normaltextrun"/>
        </w:rPr>
        <w:t> </w:t>
      </w:r>
    </w:p>
    <w:p w14:paraId="78952ED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0E32A40F" w14:textId="51061192" w:rsidR="00756F0F" w:rsidRPr="00ED7E61" w:rsidRDefault="00756F0F" w:rsidP="00AE4B3F">
      <w:pPr>
        <w:pStyle w:val="CBDNormalNumber"/>
        <w:numPr>
          <w:ilvl w:val="0"/>
          <w:numId w:val="541"/>
        </w:numPr>
        <w:ind w:left="567" w:firstLine="0"/>
        <w:rPr>
          <w:rFonts w:asciiTheme="majorBidi" w:hAnsiTheme="majorBidi" w:cstheme="majorBidi"/>
        </w:rPr>
      </w:pPr>
      <w:r w:rsidRPr="00ED7E61">
        <w:rPr>
          <w:rStyle w:val="normaltextrun"/>
          <w:rFonts w:asciiTheme="majorBidi" w:eastAsiaTheme="majorEastAsia" w:hAnsiTheme="majorBidi" w:cstheme="majorBidi"/>
        </w:rPr>
        <w:t>Countries reporting via the OECD database can refer to</w:t>
      </w:r>
      <w:r w:rsidR="00172A35"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b/>
          <w:bCs/>
        </w:rPr>
        <w:t> </w:t>
      </w:r>
      <w:r w:rsidRPr="00ED7E61">
        <w:rPr>
          <w:rStyle w:val="eop"/>
          <w:rFonts w:asciiTheme="majorBidi" w:eastAsiaTheme="majorEastAsia" w:hAnsiTheme="majorBidi" w:cstheme="majorBidi"/>
        </w:rPr>
        <w:t> </w:t>
      </w:r>
    </w:p>
    <w:p w14:paraId="47CC7E88" w14:textId="77777777"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Methodology on the Rio marker for biodiversity, available here: </w:t>
      </w:r>
      <w:hyperlink r:id="rId214" w:tgtFrame="_blank" w:history="1">
        <w:r w:rsidRPr="00ED7E61">
          <w:rPr>
            <w:rStyle w:val="normaltextrun"/>
            <w:rFonts w:eastAsiaTheme="majorEastAsia"/>
          </w:rPr>
          <w:t>https://one.oecd.org/document/DCD/DAC/STAT(2023)9/ADD2/final/en/pdf</w:t>
        </w:r>
      </w:hyperlink>
      <w:r w:rsidRPr="00ED7E61">
        <w:rPr>
          <w:rStyle w:val="normaltextrun"/>
          <w:rFonts w:eastAsiaTheme="majorEastAsia"/>
        </w:rPr>
        <w:t>  (Annex 20).</w:t>
      </w:r>
      <w:r w:rsidRPr="00ED7E61">
        <w:rPr>
          <w:rStyle w:val="normaltextrun"/>
        </w:rPr>
        <w:t> </w:t>
      </w:r>
    </w:p>
    <w:p w14:paraId="0B1F1242" w14:textId="77777777"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Information on the OECD DAC CRS itself is available here: </w:t>
      </w:r>
      <w:hyperlink r:id="rId215" w:tgtFrame="_blank" w:history="1">
        <w:r w:rsidRPr="00ED7E61">
          <w:rPr>
            <w:rStyle w:val="normaltextrun"/>
            <w:rFonts w:eastAsiaTheme="majorEastAsia"/>
          </w:rPr>
          <w:t>https://one.oecd.org/document/DCD/DAC/STAT(2023)9/FINAL/en/pdf</w:t>
        </w:r>
      </w:hyperlink>
      <w:r w:rsidRPr="00ED7E61">
        <w:rPr>
          <w:rStyle w:val="normaltextrun"/>
          <w:rFonts w:eastAsiaTheme="majorEastAsia"/>
        </w:rPr>
        <w:t> </w:t>
      </w:r>
      <w:r w:rsidRPr="00ED7E61">
        <w:rPr>
          <w:rStyle w:val="normaltextrun"/>
        </w:rPr>
        <w:t> </w:t>
      </w:r>
    </w:p>
    <w:p w14:paraId="420C2234" w14:textId="77777777"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Information on private philanthropy for development is available here: </w:t>
      </w:r>
      <w:hyperlink r:id="rId216" w:tgtFrame="_blank" w:history="1">
        <w:r w:rsidRPr="00ED7E61">
          <w:rPr>
            <w:rStyle w:val="normaltextrun"/>
            <w:rFonts w:eastAsiaTheme="majorEastAsia"/>
          </w:rPr>
          <w:t>https://www.oecd.org/development/financing-sustainable-development/development-finance-standards/beyond-oda-foundations</w:t>
        </w:r>
      </w:hyperlink>
      <w:r w:rsidRPr="00ED7E61">
        <w:rPr>
          <w:rStyle w:val="normaltextrun"/>
          <w:rFonts w:eastAsiaTheme="majorEastAsia"/>
        </w:rPr>
        <w:t xml:space="preserve"> and </w:t>
      </w:r>
      <w:hyperlink r:id="rId217" w:tgtFrame="_blank" w:history="1">
        <w:r w:rsidRPr="00ED7E61">
          <w:rPr>
            <w:rStyle w:val="normaltextrun"/>
            <w:rFonts w:eastAsiaTheme="majorEastAsia"/>
          </w:rPr>
          <w:t>https://one.oecd.org/document/DCD/DAC/STAT(2023)9/FINAL/en/pdf</w:t>
        </w:r>
      </w:hyperlink>
      <w:r w:rsidRPr="00ED7E61">
        <w:rPr>
          <w:rStyle w:val="normaltextrun"/>
        </w:rPr>
        <w:t> </w:t>
      </w:r>
    </w:p>
    <w:p w14:paraId="6688EF84" w14:textId="77777777"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Information on private finance mobilized by official development finance is available here: </w:t>
      </w:r>
      <w:hyperlink r:id="rId218" w:tgtFrame="_blank" w:history="1">
        <w:r w:rsidRPr="00ED7E61">
          <w:rPr>
            <w:rStyle w:val="normaltextrun"/>
            <w:rFonts w:eastAsiaTheme="majorEastAsia"/>
          </w:rPr>
          <w:t>oe.cd/mobilisation</w:t>
        </w:r>
      </w:hyperlink>
      <w:r w:rsidRPr="00ED7E61">
        <w:rPr>
          <w:rStyle w:val="normaltextrun"/>
          <w:rFonts w:eastAsiaTheme="majorEastAsia"/>
        </w:rPr>
        <w:t>.</w:t>
      </w:r>
      <w:r w:rsidRPr="00ED7E61">
        <w:rPr>
          <w:rStyle w:val="normaltextrun"/>
        </w:rPr>
        <w:t> </w:t>
      </w:r>
    </w:p>
    <w:p w14:paraId="2E5997DC" w14:textId="116BCB9E" w:rsidR="00756F0F" w:rsidRPr="00ED7E61" w:rsidRDefault="00756F0F" w:rsidP="00AE4B3F">
      <w:pPr>
        <w:pStyle w:val="CBDNormalNumber"/>
        <w:numPr>
          <w:ilvl w:val="1"/>
          <w:numId w:val="541"/>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OECD PINE website, on the </w:t>
      </w:r>
      <w:r w:rsidR="00225324">
        <w:rPr>
          <w:rStyle w:val="normaltextrun"/>
          <w:rFonts w:eastAsiaTheme="majorEastAsia"/>
        </w:rPr>
        <w:t>“About”</w:t>
      </w:r>
      <w:r w:rsidRPr="00ED7E61">
        <w:rPr>
          <w:rStyle w:val="normaltextrun"/>
          <w:rFonts w:eastAsiaTheme="majorEastAsia"/>
        </w:rPr>
        <w:t xml:space="preserve"> page, regarding methodology.</w:t>
      </w:r>
      <w:r w:rsidRPr="00ED7E61">
        <w:rPr>
          <w:rStyle w:val="normaltextrun"/>
        </w:rPr>
        <w:t> </w:t>
      </w:r>
    </w:p>
    <w:p w14:paraId="3E23A4E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7879B416"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OECD Creditor Reporting System</w:t>
      </w:r>
      <w:r w:rsidRPr="00ED7E61">
        <w:rPr>
          <w:rStyle w:val="normaltextrun"/>
        </w:rPr>
        <w:t> </w:t>
      </w:r>
    </w:p>
    <w:p w14:paraId="6FFEBA75" w14:textId="77777777" w:rsidR="00756F0F" w:rsidRPr="00ED7E61" w:rsidRDefault="00756F0F" w:rsidP="00222E6C">
      <w:pPr>
        <w:pStyle w:val="CBDNormalNumber"/>
        <w:ind w:left="567"/>
        <w:rPr>
          <w:rStyle w:val="normaltextrun"/>
          <w:rFonts w:eastAsiaTheme="majorEastAsia"/>
        </w:rPr>
      </w:pPr>
      <w:r w:rsidRPr="00ED7E61">
        <w:rPr>
          <w:rStyle w:val="normaltextrun"/>
          <w:rFonts w:asciiTheme="majorBidi" w:eastAsiaTheme="majorEastAsia" w:hAnsiTheme="majorBidi" w:cstheme="majorBidi"/>
        </w:rPr>
        <w:lastRenderedPageBreak/>
        <w:t>OECD Policy Instruments for Environment database</w:t>
      </w:r>
      <w:r w:rsidRPr="00ED7E61">
        <w:rPr>
          <w:rStyle w:val="normaltextrun"/>
        </w:rPr>
        <w:t> </w:t>
      </w:r>
    </w:p>
    <w:p w14:paraId="1A440E1F" w14:textId="77777777" w:rsidR="00756F0F" w:rsidRPr="00ED7E61" w:rsidRDefault="00756F0F" w:rsidP="00222E6C">
      <w:pPr>
        <w:pStyle w:val="CBDNormalNumber"/>
        <w:ind w:left="567"/>
        <w:rPr>
          <w:rStyle w:val="normaltextrun"/>
          <w:rFonts w:eastAsiaTheme="majorEastAsia"/>
        </w:rPr>
      </w:pPr>
      <w:r w:rsidRPr="00ED7E61">
        <w:rPr>
          <w:rStyle w:val="normaltextrun"/>
          <w:rFonts w:asciiTheme="majorBidi" w:eastAsiaTheme="majorEastAsia" w:hAnsiTheme="majorBidi" w:cstheme="majorBidi"/>
        </w:rPr>
        <w:t>Conservation NGO Annual Reports</w:t>
      </w:r>
      <w:r w:rsidRPr="00ED7E61">
        <w:rPr>
          <w:rStyle w:val="normaltextrun"/>
        </w:rPr>
        <w:t> </w:t>
      </w:r>
    </w:p>
    <w:p w14:paraId="3FDE793A" w14:textId="77777777" w:rsidR="00756F0F" w:rsidRPr="00ED7E61" w:rsidRDefault="00756F0F" w:rsidP="00222E6C">
      <w:pPr>
        <w:pStyle w:val="CBDNormalNumber"/>
        <w:ind w:left="567"/>
        <w:rPr>
          <w:rStyle w:val="normaltextrun"/>
          <w:rFonts w:eastAsiaTheme="majorEastAsia"/>
        </w:rPr>
      </w:pPr>
      <w:r w:rsidRPr="00ED7E61">
        <w:rPr>
          <w:rStyle w:val="normaltextrun"/>
          <w:rFonts w:asciiTheme="majorBidi" w:eastAsiaTheme="majorEastAsia" w:hAnsiTheme="majorBidi" w:cstheme="majorBidi"/>
        </w:rPr>
        <w:t>Government records</w:t>
      </w:r>
      <w:r w:rsidRPr="00ED7E61">
        <w:rPr>
          <w:rStyle w:val="normaltextrun"/>
        </w:rPr>
        <w:t> </w:t>
      </w:r>
    </w:p>
    <w:p w14:paraId="51BFF0F6" w14:textId="5CCD2DA4" w:rsidR="00756F0F" w:rsidRPr="00B10F0C" w:rsidRDefault="00756F0F" w:rsidP="00B10F0C">
      <w:pPr>
        <w:pStyle w:val="CBDNormalNumber"/>
        <w:ind w:left="567"/>
        <w:rPr>
          <w:rFonts w:eastAsiaTheme="majorEastAsia"/>
        </w:rPr>
      </w:pPr>
      <w:r w:rsidRPr="00ED7E61">
        <w:rPr>
          <w:rStyle w:val="normaltextrun"/>
          <w:rFonts w:asciiTheme="majorBidi" w:eastAsiaTheme="majorEastAsia" w:hAnsiTheme="majorBidi" w:cstheme="majorBidi"/>
        </w:rPr>
        <w:t>Publicly available information</w:t>
      </w:r>
      <w:r w:rsidRPr="00ED7E61">
        <w:rPr>
          <w:rStyle w:val="normaltextrun"/>
        </w:rPr>
        <w:t> </w:t>
      </w:r>
    </w:p>
    <w:p w14:paraId="4B8BE9A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519089A8"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30FDDCE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160F7E54"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CRS data are available since 1996 on an annual basis. The Rio marker on biodiversity is available since 2002</w:t>
      </w:r>
      <w:r w:rsidRPr="00ED7E61">
        <w:rPr>
          <w:rStyle w:val="normaltextrun"/>
        </w:rPr>
        <w:t> </w:t>
      </w:r>
    </w:p>
    <w:p w14:paraId="6B6E2724" w14:textId="77777777" w:rsidR="00756F0F" w:rsidRPr="00ED7E61" w:rsidRDefault="00756F0F" w:rsidP="00AE4B3F">
      <w:pPr>
        <w:pStyle w:val="CBDNormalNumber"/>
        <w:numPr>
          <w:ilvl w:val="0"/>
          <w:numId w:val="541"/>
        </w:numPr>
        <w:ind w:left="567" w:firstLine="0"/>
        <w:rPr>
          <w:rFonts w:asciiTheme="majorBidi" w:hAnsiTheme="majorBidi" w:cstheme="majorBidi"/>
        </w:rPr>
      </w:pPr>
      <w:r w:rsidRPr="00ED7E61">
        <w:rPr>
          <w:rStyle w:val="normaltextrun"/>
          <w:rFonts w:asciiTheme="majorBidi" w:eastAsiaTheme="majorEastAsia" w:hAnsiTheme="majorBidi" w:cstheme="majorBidi"/>
        </w:rPr>
        <w:t>For the OECD PINE database, see the metadata sheet for 18.1</w:t>
      </w:r>
      <w:r w:rsidRPr="00ED7E61">
        <w:rPr>
          <w:rStyle w:val="normaltextrun"/>
        </w:rPr>
        <w:t> </w:t>
      </w:r>
    </w:p>
    <w:p w14:paraId="7BE08CF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708D7197"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and philanthropic foundations provide biodiversity-related international private flows.  This data can be reported directly to the CBD or through data already collected and validated by the OECD prior to publishing online.</w:t>
      </w:r>
      <w:r w:rsidRPr="00ED7E61">
        <w:rPr>
          <w:rStyle w:val="normaltextrun"/>
        </w:rPr>
        <w:t> </w:t>
      </w:r>
    </w:p>
    <w:p w14:paraId="7D4BAA28" w14:textId="77777777"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For the OECD PINE database, see the metadata sheet for 18.1</w:t>
      </w:r>
      <w:r w:rsidRPr="00ED7E61">
        <w:rPr>
          <w:rStyle w:val="normaltextrun"/>
        </w:rPr>
        <w:t> </w:t>
      </w:r>
    </w:p>
    <w:p w14:paraId="5ACBCDE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57A7A748"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OECD CRS database</w:t>
      </w:r>
      <w:r w:rsidRPr="00ED7E61">
        <w:rPr>
          <w:rStyle w:val="normaltextrun"/>
        </w:rPr>
        <w:t> </w:t>
      </w:r>
    </w:p>
    <w:p w14:paraId="55C9591C" w14:textId="77777777" w:rsidR="00756F0F" w:rsidRPr="00ED7E61" w:rsidRDefault="00756F0F" w:rsidP="00222E6C">
      <w:pPr>
        <w:pStyle w:val="CBDNormalNumber"/>
        <w:ind w:left="567"/>
        <w:rPr>
          <w:rStyle w:val="normaltextrun"/>
          <w:rFonts w:eastAsiaTheme="majorEastAsia"/>
        </w:rPr>
      </w:pPr>
      <w:r w:rsidRPr="00ED7E61">
        <w:rPr>
          <w:rStyle w:val="normaltextrun"/>
          <w:rFonts w:asciiTheme="majorBidi" w:eastAsiaTheme="majorEastAsia" w:hAnsiTheme="majorBidi" w:cstheme="majorBidi"/>
        </w:rPr>
        <w:t>OECD PINE database</w:t>
      </w:r>
      <w:r w:rsidRPr="00ED7E61">
        <w:rPr>
          <w:rStyle w:val="normaltextrun"/>
        </w:rPr>
        <w:t> </w:t>
      </w:r>
    </w:p>
    <w:p w14:paraId="286C6CDA" w14:textId="77777777" w:rsidR="00756F0F" w:rsidRPr="00ED7E61" w:rsidRDefault="00756F0F" w:rsidP="00222E6C">
      <w:pPr>
        <w:pStyle w:val="CBDNormalNumber"/>
        <w:ind w:left="567"/>
        <w:rPr>
          <w:rStyle w:val="normaltextrun"/>
          <w:rFonts w:eastAsiaTheme="majorEastAsia"/>
        </w:rPr>
      </w:pPr>
      <w:r w:rsidRPr="00ED7E61">
        <w:rPr>
          <w:rStyle w:val="normaltextrun"/>
          <w:rFonts w:asciiTheme="majorBidi" w:eastAsiaTheme="majorEastAsia" w:hAnsiTheme="majorBidi" w:cstheme="majorBidi"/>
        </w:rPr>
        <w:t>CBD Secretariat through country national reporting</w:t>
      </w:r>
      <w:r w:rsidRPr="00ED7E61">
        <w:rPr>
          <w:rStyle w:val="normaltextrun"/>
        </w:rPr>
        <w:t> </w:t>
      </w:r>
    </w:p>
    <w:p w14:paraId="6298AD54" w14:textId="77777777" w:rsidR="00756F0F" w:rsidRPr="00ED7E61" w:rsidRDefault="00756F0F" w:rsidP="00222E6C">
      <w:pPr>
        <w:pStyle w:val="CBDNormalNumber"/>
        <w:ind w:left="567"/>
        <w:rPr>
          <w:rStyle w:val="normaltextrun"/>
          <w:rFonts w:eastAsiaTheme="majorEastAsia"/>
        </w:rPr>
      </w:pPr>
      <w:r w:rsidRPr="00ED7E61">
        <w:rPr>
          <w:rStyle w:val="normaltextrun"/>
          <w:rFonts w:asciiTheme="majorBidi" w:eastAsiaTheme="majorEastAsia" w:hAnsiTheme="majorBidi" w:cstheme="majorBidi"/>
        </w:rPr>
        <w:t>EUROSTAT (for the EPEA database, which uses the CEP classification) and National Statistical Offices</w:t>
      </w:r>
      <w:r w:rsidRPr="00ED7E61">
        <w:rPr>
          <w:rStyle w:val="normaltextrun"/>
        </w:rPr>
        <w:t> </w:t>
      </w:r>
    </w:p>
    <w:p w14:paraId="163E49F5" w14:textId="77777777" w:rsidR="00756F0F" w:rsidRPr="00ED7E61" w:rsidRDefault="00756F0F" w:rsidP="00222E6C">
      <w:pPr>
        <w:pStyle w:val="CBDNormalNumber"/>
        <w:ind w:left="567"/>
        <w:rPr>
          <w:rStyle w:val="normaltextrun"/>
          <w:rFonts w:eastAsiaTheme="majorEastAsia"/>
        </w:rPr>
      </w:pPr>
      <w:r w:rsidRPr="00ED7E61">
        <w:rPr>
          <w:rStyle w:val="normaltextrun"/>
          <w:rFonts w:asciiTheme="majorBidi" w:eastAsiaTheme="majorEastAsia" w:hAnsiTheme="majorBidi" w:cstheme="majorBidi"/>
        </w:rPr>
        <w:t>UNDP-BIOFIN</w:t>
      </w:r>
      <w:r w:rsidRPr="00ED7E61">
        <w:rPr>
          <w:rStyle w:val="normaltextrun"/>
        </w:rPr>
        <w:t> </w:t>
      </w:r>
    </w:p>
    <w:p w14:paraId="6EA7F8B1" w14:textId="77777777" w:rsidR="00756F0F" w:rsidRPr="00ED7E61" w:rsidRDefault="00756F0F" w:rsidP="00222E6C">
      <w:pPr>
        <w:pStyle w:val="CBDNormalNumber"/>
        <w:ind w:left="567"/>
        <w:rPr>
          <w:rStyle w:val="normaltextrun"/>
          <w:rFonts w:eastAsiaTheme="majorEastAsia"/>
        </w:rPr>
      </w:pPr>
      <w:r w:rsidRPr="00ED7E61">
        <w:rPr>
          <w:rStyle w:val="normaltextrun"/>
          <w:rFonts w:asciiTheme="majorBidi" w:eastAsiaTheme="majorEastAsia" w:hAnsiTheme="majorBidi" w:cstheme="majorBidi"/>
        </w:rPr>
        <w:t>Countries through surveys and other available information</w:t>
      </w:r>
      <w:r w:rsidRPr="00ED7E61">
        <w:rPr>
          <w:rStyle w:val="normaltextrun"/>
        </w:rPr>
        <w:t> </w:t>
      </w:r>
    </w:p>
    <w:p w14:paraId="3CFCA37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43174413" w14:textId="77777777" w:rsidR="00756F0F" w:rsidRPr="00ED7E61" w:rsidRDefault="00756F0F" w:rsidP="00222E6C">
      <w:pPr>
        <w:pStyle w:val="paragraph"/>
        <w:spacing w:before="12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Gaps in the OECD-CRS Database</w:t>
      </w:r>
      <w:r w:rsidRPr="00ED7E61">
        <w:rPr>
          <w:rStyle w:val="eop"/>
          <w:rFonts w:asciiTheme="majorBidi" w:eastAsiaTheme="majorEastAsia" w:hAnsiTheme="majorBidi" w:cstheme="majorBidi"/>
          <w:sz w:val="22"/>
          <w:szCs w:val="22"/>
        </w:rPr>
        <w:t> </w:t>
      </w:r>
    </w:p>
    <w:p w14:paraId="6E9B69D0"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In the CRS, providers beyond the DAC membership do not systematically report using the biodiversity Rio marker. Multilateral institutions report to the OECD on a voluntary </w:t>
      </w:r>
      <w:proofErr w:type="gramStart"/>
      <w:r w:rsidRPr="00ED7E61">
        <w:rPr>
          <w:rStyle w:val="normaltextrun"/>
          <w:rFonts w:asciiTheme="majorBidi" w:eastAsiaTheme="majorEastAsia" w:hAnsiTheme="majorBidi" w:cstheme="majorBidi"/>
        </w:rPr>
        <w:t>basis</w:t>
      </w:r>
      <w:proofErr w:type="gramEnd"/>
      <w:r w:rsidRPr="00ED7E61">
        <w:rPr>
          <w:rStyle w:val="normaltextrun"/>
          <w:rFonts w:asciiTheme="majorBidi" w:eastAsiaTheme="majorEastAsia" w:hAnsiTheme="majorBidi" w:cstheme="majorBidi"/>
        </w:rPr>
        <w:t xml:space="preserve"> but do not all use the biodiversity Rio marker or comprehensively indicate their biodiversity-related outflows. This data can be estimated through their reporting on the SDGs or purpose codes, or the use of keyword searches. A more robust breakdown of multilateral flows would be possible through the direct identification and reporting of biodiversity-related flows to the OECD, provided these flows comply with the definition of the Rio marker on biodiversity (i.e. flows targeting the objectives of the CBD). Multilateral institutions report in the CRS activities financed with their core budget.</w:t>
      </w:r>
      <w:r w:rsidRPr="00ED7E61">
        <w:rPr>
          <w:rStyle w:val="normaltextrun"/>
        </w:rPr>
        <w:t> </w:t>
      </w:r>
    </w:p>
    <w:p w14:paraId="5B373364" w14:textId="77777777"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Related to private finance mobilized by official development finance, the data may not adequately capture financial flows to projects/interventions where biodiversity may not have been the primary objective, such as investments in agriculture, but have a significant biodiversity benefit.  Due to confidentiality concerns, data on private finance mobilized by some official providers (multilateral development banks </w:t>
      </w:r>
      <w:proofErr w:type="gramStart"/>
      <w:r w:rsidRPr="00ED7E61">
        <w:rPr>
          <w:rStyle w:val="normaltextrun"/>
          <w:rFonts w:asciiTheme="majorBidi" w:eastAsiaTheme="majorEastAsia" w:hAnsiTheme="majorBidi" w:cstheme="majorBidi"/>
        </w:rPr>
        <w:t>in particular is</w:t>
      </w:r>
      <w:proofErr w:type="gramEnd"/>
      <w:r w:rsidRPr="00ED7E61">
        <w:rPr>
          <w:rStyle w:val="normaltextrun"/>
          <w:rFonts w:asciiTheme="majorBidi" w:eastAsiaTheme="majorEastAsia" w:hAnsiTheme="majorBidi" w:cstheme="majorBidi"/>
        </w:rPr>
        <w:t xml:space="preserve"> only made publicly available at the aggregate level. This work will explore further the available data on private finance mobilized </w:t>
      </w:r>
      <w:proofErr w:type="gramStart"/>
      <w:r w:rsidRPr="00ED7E61">
        <w:rPr>
          <w:rStyle w:val="normaltextrun"/>
          <w:rFonts w:asciiTheme="majorBidi" w:eastAsiaTheme="majorEastAsia" w:hAnsiTheme="majorBidi" w:cstheme="majorBidi"/>
        </w:rPr>
        <w:t>and also</w:t>
      </w:r>
      <w:proofErr w:type="gramEnd"/>
      <w:r w:rsidRPr="00ED7E61">
        <w:rPr>
          <w:rStyle w:val="normaltextrun"/>
          <w:rFonts w:asciiTheme="majorBidi" w:eastAsiaTheme="majorEastAsia" w:hAnsiTheme="majorBidi" w:cstheme="majorBidi"/>
        </w:rPr>
        <w:t xml:space="preserve"> address the capacity building needs to improve the biodiversity flagging of the underlying activities</w:t>
      </w:r>
      <w:r w:rsidRPr="00ED7E61">
        <w:rPr>
          <w:rStyle w:val="normaltextrun"/>
        </w:rPr>
        <w:t> </w:t>
      </w:r>
    </w:p>
    <w:p w14:paraId="6FBB73A5"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Gaps in the OECD PINE Database</w:t>
      </w:r>
      <w:r w:rsidRPr="00ED7E61">
        <w:rPr>
          <w:rStyle w:val="eop"/>
          <w:rFonts w:asciiTheme="majorBidi" w:eastAsiaTheme="majorEastAsia" w:hAnsiTheme="majorBidi" w:cstheme="majorBidi"/>
          <w:sz w:val="22"/>
          <w:szCs w:val="22"/>
        </w:rPr>
        <w:t> </w:t>
      </w:r>
    </w:p>
    <w:p w14:paraId="05506580" w14:textId="6F6F2AF6"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lastRenderedPageBreak/>
        <w:t xml:space="preserve">The OECD PINE database includes data from </w:t>
      </w:r>
      <w:r w:rsidR="00225324">
        <w:rPr>
          <w:rStyle w:val="normaltextrun"/>
          <w:rFonts w:asciiTheme="majorBidi" w:eastAsiaTheme="majorEastAsia" w:hAnsiTheme="majorBidi" w:cstheme="majorBidi"/>
        </w:rPr>
        <w:t>more than</w:t>
      </w:r>
      <w:r w:rsidRPr="00ED7E61">
        <w:rPr>
          <w:rStyle w:val="normaltextrun"/>
          <w:rFonts w:asciiTheme="majorBidi" w:eastAsiaTheme="majorEastAsia" w:hAnsiTheme="majorBidi" w:cstheme="majorBidi"/>
        </w:rPr>
        <w:t>1</w:t>
      </w:r>
      <w:r w:rsidR="00225324">
        <w:rPr>
          <w:rStyle w:val="normaltextrun"/>
          <w:rFonts w:asciiTheme="majorBidi" w:eastAsiaTheme="majorEastAsia" w:hAnsiTheme="majorBidi" w:cstheme="majorBidi"/>
        </w:rPr>
        <w:t>40</w:t>
      </w:r>
      <w:r w:rsidRPr="00ED7E61">
        <w:rPr>
          <w:rStyle w:val="normaltextrun"/>
          <w:rFonts w:asciiTheme="majorBidi" w:eastAsiaTheme="majorEastAsia" w:hAnsiTheme="majorBidi" w:cstheme="majorBidi"/>
        </w:rPr>
        <w:t xml:space="preserve"> countries. Limited data are available on biodiversity offsets and PES as these instruments have only recently been integrated into </w:t>
      </w:r>
      <w:r w:rsidR="00225324">
        <w:rPr>
          <w:rStyle w:val="normaltextrun"/>
          <w:rFonts w:asciiTheme="majorBidi" w:eastAsiaTheme="majorEastAsia" w:hAnsiTheme="majorBidi" w:cstheme="majorBidi"/>
        </w:rPr>
        <w:t xml:space="preserve">the </w:t>
      </w:r>
      <w:r w:rsidRPr="00ED7E61">
        <w:rPr>
          <w:rStyle w:val="normaltextrun"/>
          <w:rFonts w:asciiTheme="majorBidi" w:eastAsiaTheme="majorEastAsia" w:hAnsiTheme="majorBidi" w:cstheme="majorBidi"/>
        </w:rPr>
        <w:t>PINE</w:t>
      </w:r>
      <w:r w:rsidR="00225324">
        <w:rPr>
          <w:rStyle w:val="normaltextrun"/>
          <w:rFonts w:asciiTheme="majorBidi" w:eastAsiaTheme="majorEastAsia" w:hAnsiTheme="majorBidi" w:cstheme="majorBidi"/>
        </w:rPr>
        <w:t xml:space="preserve"> database</w:t>
      </w:r>
      <w:r w:rsidRPr="00ED7E61">
        <w:rPr>
          <w:rStyle w:val="normaltextrun"/>
          <w:rFonts w:asciiTheme="majorBidi" w:eastAsiaTheme="majorEastAsia" w:hAnsiTheme="majorBidi" w:cstheme="majorBidi"/>
        </w:rPr>
        <w:t>.  All countries are welcome and encouraged to contribute data, and to disaggregate monetary flows from private and public sectors.  The data collection method may result in some reporting bias, as OECD members and active accession countries are likely to report data more regularly.  All figures should be interpreted in this context. </w:t>
      </w:r>
      <w:r w:rsidRPr="00ED7E61">
        <w:rPr>
          <w:rStyle w:val="normaltextrun"/>
        </w:rPr>
        <w:t> </w:t>
      </w:r>
    </w:p>
    <w:p w14:paraId="785289FB"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Other gaps in data coverage</w:t>
      </w:r>
      <w:r w:rsidRPr="00ED7E61">
        <w:rPr>
          <w:rStyle w:val="eop"/>
          <w:rFonts w:asciiTheme="majorBidi" w:eastAsiaTheme="majorEastAsia" w:hAnsiTheme="majorBidi" w:cstheme="majorBidi"/>
          <w:sz w:val="22"/>
          <w:szCs w:val="22"/>
        </w:rPr>
        <w:t> </w:t>
      </w:r>
    </w:p>
    <w:p w14:paraId="11846204" w14:textId="2AFF6273"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Datasets on private funding for biodiversity are limited. While the OECD-CRS database captures a significant amount of international biodiversity-related private philanthropy for development, it does not comprehensively capture all other private grants and donations for biodiversity-related activities, such as direct donations by high-net-worth-individuals and smaller private philanthropic foundations. Some private philanthropies</w:t>
      </w:r>
      <w:r w:rsidR="00A35D79" w:rsidRPr="00ED7E61">
        <w:rPr>
          <w:rStyle w:val="FootnoteReference"/>
          <w:rFonts w:asciiTheme="majorBidi" w:eastAsiaTheme="majorEastAsia" w:hAnsiTheme="majorBidi" w:cstheme="majorBidi"/>
        </w:rPr>
        <w:footnoteReference w:id="14"/>
      </w:r>
      <w:r w:rsidRPr="00ED7E61">
        <w:rPr>
          <w:rStyle w:val="normaltextrun"/>
          <w:rFonts w:asciiTheme="majorBidi" w:eastAsiaTheme="majorEastAsia" w:hAnsiTheme="majorBidi" w:cstheme="majorBidi"/>
        </w:rPr>
        <w:t xml:space="preserve"> also do not wish to report their data to OECD-CRS. In addition, the numerous channels, actors, and instruments for biodiversity conservation funding are not captured in a global dataset that countries can draw on for national reporting. Innovative finance mechanisms for biodiversity are continuously evolving and are not adequately captured in the proposed methodology here given the gaps in identifying, tracking, and reporting on these private financial flows. As new mechanisms and strategies evolve over time, countries are encouraged to track the private financial flows </w:t>
      </w:r>
      <w:proofErr w:type="gramStart"/>
      <w:r w:rsidRPr="00ED7E61">
        <w:rPr>
          <w:rStyle w:val="normaltextrun"/>
          <w:rFonts w:asciiTheme="majorBidi" w:eastAsiaTheme="majorEastAsia" w:hAnsiTheme="majorBidi" w:cstheme="majorBidi"/>
        </w:rPr>
        <w:t>as a result of</w:t>
      </w:r>
      <w:proofErr w:type="gramEnd"/>
      <w:r w:rsidRPr="00ED7E61">
        <w:rPr>
          <w:rStyle w:val="normaltextrun"/>
          <w:rFonts w:asciiTheme="majorBidi" w:eastAsiaTheme="majorEastAsia" w:hAnsiTheme="majorBidi" w:cstheme="majorBidi"/>
        </w:rPr>
        <w:t xml:space="preserve"> these efforts</w:t>
      </w:r>
      <w:r w:rsidR="00172A35" w:rsidRPr="00ED7E61">
        <w:rPr>
          <w:rStyle w:val="normaltextrun"/>
          <w:rFonts w:asciiTheme="majorBidi" w:eastAsiaTheme="majorEastAsia" w:hAnsiTheme="majorBidi" w:cstheme="majorBidi"/>
        </w:rPr>
        <w:t>.</w:t>
      </w:r>
      <w:r w:rsidRPr="00ED7E61">
        <w:rPr>
          <w:rStyle w:val="normaltextrun"/>
        </w:rPr>
        <w:t> </w:t>
      </w:r>
    </w:p>
    <w:p w14:paraId="1EB0E26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02EB91E5"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2248C24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5C52E215" w14:textId="77777777" w:rsidR="00756F0F" w:rsidRPr="00ED7E61" w:rsidRDefault="00756F0F" w:rsidP="00222E6C">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72B835DD" w14:textId="77777777" w:rsidR="00756F0F" w:rsidRPr="00ED7E61" w:rsidRDefault="00756F0F" w:rsidP="00222E6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1FF75141" w14:textId="77777777" w:rsidR="00756F0F" w:rsidRPr="00ED7E61" w:rsidRDefault="00756F0F" w:rsidP="00222E6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6DF4E8BA"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Scale of data disaggregation/aggregation: </w:t>
      </w:r>
      <w:r w:rsidRPr="00ED7E61">
        <w:rPr>
          <w:rStyle w:val="normaltextrun"/>
        </w:rPr>
        <w:t> </w:t>
      </w:r>
    </w:p>
    <w:p w14:paraId="679117A9" w14:textId="77777777" w:rsidR="00756F0F" w:rsidRPr="00ED7E61" w:rsidRDefault="00756F0F" w:rsidP="00AE4B3F">
      <w:pPr>
        <w:pStyle w:val="CBDNormalNumber"/>
        <w:numPr>
          <w:ilvl w:val="1"/>
          <w:numId w:val="541"/>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regional scale indicator can be disaggregated to national level: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4445A468" w14:textId="77777777" w:rsidR="00756F0F" w:rsidRPr="00ED7E61" w:rsidRDefault="00756F0F" w:rsidP="00AE4B3F">
      <w:pPr>
        <w:pStyle w:val="CBDNormalNumber"/>
        <w:numPr>
          <w:ilvl w:val="1"/>
          <w:numId w:val="541"/>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National data is collated to form global indicator: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3EC106D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ED7E61">
        <w:rPr>
          <w:rStyle w:val="eop"/>
          <w:rFonts w:asciiTheme="majorBidi" w:eastAsiaTheme="majorEastAsia" w:hAnsiTheme="majorBidi" w:cstheme="majorBidi"/>
          <w:sz w:val="22"/>
          <w:szCs w:val="22"/>
          <w:lang w:val="en-GB"/>
        </w:rPr>
        <w:t> </w:t>
      </w:r>
    </w:p>
    <w:p w14:paraId="0E3056E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6F819102"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58A4FE6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4CC16973"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32F7300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4FFB434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7551E658"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61FEA41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00EA1CBE"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305D475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0586B5CB"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lastRenderedPageBreak/>
        <w:t>N/A</w:t>
      </w:r>
      <w:r w:rsidRPr="00ED7E61">
        <w:rPr>
          <w:rStyle w:val="normaltextrun"/>
        </w:rPr>
        <w:t> </w:t>
      </w:r>
    </w:p>
    <w:p w14:paraId="1BF8DBEA" w14:textId="729ECCBC" w:rsidR="00756F0F" w:rsidRPr="00812871" w:rsidRDefault="00756F0F" w:rsidP="00812871">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812871">
        <w:rPr>
          <w:rStyle w:val="normaltextrun"/>
          <w:rFonts w:asciiTheme="majorBidi" w:eastAsiaTheme="majorEastAsia" w:hAnsiTheme="majorBidi" w:cstheme="majorBidi"/>
          <w:b/>
          <w:bCs/>
          <w:sz w:val="22"/>
          <w:szCs w:val="22"/>
          <w:lang w:val="en-GB"/>
        </w:rPr>
        <w:t>7. Other MEAs, processes and organi</w:t>
      </w:r>
      <w:r w:rsidR="00B10F0C" w:rsidRPr="00812871">
        <w:rPr>
          <w:rStyle w:val="normaltextrun"/>
          <w:rFonts w:asciiTheme="majorBidi" w:eastAsiaTheme="majorEastAsia" w:hAnsiTheme="majorBidi" w:cstheme="majorBidi"/>
          <w:b/>
          <w:bCs/>
          <w:sz w:val="22"/>
          <w:szCs w:val="22"/>
          <w:lang w:val="en-GB"/>
        </w:rPr>
        <w:t>z</w:t>
      </w:r>
      <w:r w:rsidRPr="00812871">
        <w:rPr>
          <w:rStyle w:val="normaltextrun"/>
          <w:rFonts w:asciiTheme="majorBidi" w:eastAsiaTheme="majorEastAsia" w:hAnsiTheme="majorBidi" w:cstheme="majorBidi"/>
          <w:b/>
          <w:bCs/>
          <w:sz w:val="22"/>
          <w:szCs w:val="22"/>
          <w:lang w:val="en-GB"/>
        </w:rPr>
        <w:t>ations</w:t>
      </w:r>
      <w:r w:rsidRPr="00812871">
        <w:rPr>
          <w:rStyle w:val="normaltextrun"/>
          <w:rFonts w:eastAsiaTheme="majorEastAsia"/>
          <w:b/>
          <w:bCs/>
          <w:lang w:val="en-GB"/>
        </w:rPr>
        <w:t> </w:t>
      </w:r>
    </w:p>
    <w:p w14:paraId="2C7CE5EB" w14:textId="77777777" w:rsidR="00756F0F" w:rsidRPr="00812871" w:rsidRDefault="00756F0F" w:rsidP="00AE4B3F">
      <w:pPr>
        <w:pStyle w:val="CBDNormalNumber"/>
        <w:numPr>
          <w:ilvl w:val="0"/>
          <w:numId w:val="541"/>
        </w:numPr>
        <w:ind w:left="567"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N/A</w:t>
      </w:r>
      <w:r w:rsidRPr="00812871">
        <w:rPr>
          <w:rStyle w:val="normaltextrun"/>
          <w:rFonts w:asciiTheme="majorBidi" w:eastAsiaTheme="majorEastAsia" w:hAnsiTheme="majorBidi" w:cstheme="majorBidi"/>
        </w:rPr>
        <w:t> </w:t>
      </w:r>
    </w:p>
    <w:p w14:paraId="24335E9E" w14:textId="28223EF9" w:rsidR="00756F0F" w:rsidRPr="00ED7E61" w:rsidRDefault="00756F0F" w:rsidP="00222E6C">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61C1A4FE"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Private biodiversity-related international philanthropic contributions from the OECD CRS database can be disaggregated by recipient, sector/purpose code, DSG focus, and Rio Marker</w:t>
      </w:r>
      <w:r w:rsidRPr="00ED7E61">
        <w:rPr>
          <w:rStyle w:val="normaltextrun"/>
        </w:rPr>
        <w:t> </w:t>
      </w:r>
    </w:p>
    <w:p w14:paraId="5CE39D0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230D1ACC"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Target 18.1 Positive incentives in place to promote biodiversity conservation and sustainable use. </w:t>
      </w:r>
      <w:r w:rsidRPr="00ED7E61">
        <w:rPr>
          <w:rStyle w:val="normaltextrun"/>
        </w:rPr>
        <w:t> </w:t>
      </w:r>
    </w:p>
    <w:p w14:paraId="48C9CF7D" w14:textId="77777777"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Target 19 on Domestic Expenditure</w:t>
      </w:r>
      <w:r w:rsidRPr="00ED7E61">
        <w:rPr>
          <w:rStyle w:val="normaltextrun"/>
        </w:rPr>
        <w:t> </w:t>
      </w:r>
    </w:p>
    <w:p w14:paraId="0129BDEA" w14:textId="77777777"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Target 15 on Business Disclosures</w:t>
      </w:r>
      <w:r w:rsidRPr="00ED7E61">
        <w:rPr>
          <w:rStyle w:val="normaltextrun"/>
        </w:rPr>
        <w:t> </w:t>
      </w:r>
    </w:p>
    <w:p w14:paraId="396762C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4E44F237" w14:textId="202F3C01" w:rsidR="00756F0F" w:rsidRPr="00ED7E61" w:rsidRDefault="00756F0F" w:rsidP="00222E6C">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222E6C">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460CF455" w14:textId="77777777" w:rsidR="00756F0F" w:rsidRPr="00ED7E61" w:rsidRDefault="00756F0F" w:rsidP="00AE4B3F">
      <w:pPr>
        <w:pStyle w:val="CBDNormalNumber"/>
        <w:numPr>
          <w:ilvl w:val="0"/>
          <w:numId w:val="541"/>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Organization for Economic Cooperation and Development for the OECD CRS and PINE databases</w:t>
      </w:r>
      <w:r w:rsidRPr="00ED7E61">
        <w:rPr>
          <w:rStyle w:val="normaltextrun"/>
        </w:rPr>
        <w:t> </w:t>
      </w:r>
    </w:p>
    <w:p w14:paraId="7A063E3D" w14:textId="77777777" w:rsidR="00756F0F" w:rsidRPr="00ED7E61" w:rsidRDefault="00756F0F" w:rsidP="00AE4B3F">
      <w:pPr>
        <w:pStyle w:val="CBDNormalNumber"/>
        <w:numPr>
          <w:ilvl w:val="0"/>
          <w:numId w:val="541"/>
        </w:numPr>
        <w:ind w:left="567" w:firstLine="0"/>
        <w:rPr>
          <w:rStyle w:val="normaltextrun"/>
          <w:rFonts w:eastAsiaTheme="majorEastAsia"/>
        </w:rPr>
      </w:pPr>
      <w:r w:rsidRPr="00ED7E61">
        <w:rPr>
          <w:rStyle w:val="normaltextrun"/>
          <w:rFonts w:asciiTheme="majorBidi" w:eastAsiaTheme="majorEastAsia" w:hAnsiTheme="majorBidi" w:cstheme="majorBidi"/>
        </w:rPr>
        <w:t>Eurostat and other statistical agencies for environmental economic accounts including environmental protection expenditure accounts</w:t>
      </w:r>
      <w:r w:rsidRPr="00ED7E61">
        <w:rPr>
          <w:rStyle w:val="normaltextrun"/>
        </w:rPr>
        <w:t> </w:t>
      </w:r>
    </w:p>
    <w:p w14:paraId="5C8E907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6447F047"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36D9BA9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w:t>
      </w:r>
      <w:r w:rsidRPr="00ED7E61">
        <w:rPr>
          <w:rStyle w:val="eop"/>
          <w:rFonts w:asciiTheme="majorBidi" w:eastAsiaTheme="majorEastAsia" w:hAnsiTheme="majorBidi" w:cstheme="majorBidi"/>
          <w:sz w:val="22"/>
          <w:szCs w:val="22"/>
        </w:rPr>
        <w:t> </w:t>
      </w:r>
    </w:p>
    <w:p w14:paraId="59D83B26" w14:textId="77777777" w:rsidR="00756F0F" w:rsidRPr="00ED7E61" w:rsidRDefault="00756F0F" w:rsidP="00222E6C">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57620A2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12. Graphs and diagrams</w:t>
      </w:r>
      <w:r w:rsidRPr="00ED7E61">
        <w:rPr>
          <w:rStyle w:val="eop"/>
          <w:rFonts w:asciiTheme="majorBidi" w:eastAsiaTheme="majorEastAsia" w:hAnsiTheme="majorBidi" w:cstheme="majorBidi"/>
          <w:sz w:val="22"/>
          <w:szCs w:val="22"/>
        </w:rPr>
        <w:t> </w:t>
      </w:r>
    </w:p>
    <w:p w14:paraId="672C62D7"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F1A6335" w14:textId="77777777" w:rsidR="00EE1A31" w:rsidRPr="00ED7E61" w:rsidRDefault="00EE1A31" w:rsidP="00965B3D">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0D43D0BD" w14:textId="7DAB8918" w:rsidR="00EE1A31" w:rsidRPr="00ED7E61" w:rsidRDefault="00EE1A31" w:rsidP="00965B3D">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r w:rsidRPr="00ED7E61">
        <w:rPr>
          <w:noProof/>
          <w:lang w:val="fr-FR" w:eastAsia="fr-FR"/>
        </w:rPr>
        <w:drawing>
          <wp:inline distT="0" distB="0" distL="0" distR="0" wp14:anchorId="38B764E4" wp14:editId="6EA64C60">
            <wp:extent cx="4572000" cy="2076450"/>
            <wp:effectExtent l="0" t="0" r="0" b="0"/>
            <wp:docPr id="1395180083" name="Picture 1395180083"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80083" name="Picture 1395180083" descr="A graph of a number of people&#10;&#10;Description automatically generated with medium confidence"/>
                    <pic:cNvPicPr/>
                  </pic:nvPicPr>
                  <pic:blipFill>
                    <a:blip r:embed="rId219">
                      <a:extLst>
                        <a:ext uri="{28A0092B-C50C-407E-A947-70E740481C1C}">
                          <a14:useLocalDpi xmlns:a14="http://schemas.microsoft.com/office/drawing/2010/main" val="0"/>
                        </a:ext>
                      </a:extLst>
                    </a:blip>
                    <a:stretch>
                      <a:fillRect/>
                    </a:stretch>
                  </pic:blipFill>
                  <pic:spPr>
                    <a:xfrm>
                      <a:off x="0" y="0"/>
                      <a:ext cx="4572000" cy="2076450"/>
                    </a:xfrm>
                    <a:prstGeom prst="rect">
                      <a:avLst/>
                    </a:prstGeom>
                  </pic:spPr>
                </pic:pic>
              </a:graphicData>
            </a:graphic>
          </wp:inline>
        </w:drawing>
      </w:r>
    </w:p>
    <w:p w14:paraId="6A52B09E" w14:textId="0D26484F" w:rsidR="00C9506C" w:rsidRPr="00ED7E61" w:rsidRDefault="00756F0F" w:rsidP="0011512B">
      <w:pPr>
        <w:pStyle w:val="paragraph"/>
        <w:spacing w:before="0" w:beforeAutospacing="0" w:after="0" w:afterAutospacing="0"/>
        <w:ind w:left="567"/>
        <w:textAlignment w:val="baseline"/>
        <w:rPr>
          <w:rFonts w:asciiTheme="majorBidi" w:hAnsiTheme="majorBidi" w:cstheme="majorBidi"/>
          <w:color w:val="000000" w:themeColor="text1"/>
          <w:sz w:val="22"/>
          <w:szCs w:val="22"/>
          <w:lang w:val="en-US"/>
        </w:rPr>
      </w:pPr>
      <w:r w:rsidRPr="00B3383B">
        <w:rPr>
          <w:rStyle w:val="normaltextrun"/>
          <w:rFonts w:asciiTheme="majorBidi" w:eastAsiaTheme="majorEastAsia" w:hAnsiTheme="majorBidi" w:cstheme="majorBidi"/>
          <w:sz w:val="22"/>
          <w:szCs w:val="22"/>
          <w:lang w:val="en-GB"/>
        </w:rPr>
        <w:t xml:space="preserve">Figure </w:t>
      </w:r>
      <w:r w:rsidR="00FF6CC0" w:rsidRPr="00B3383B">
        <w:rPr>
          <w:rStyle w:val="normaltextrun"/>
          <w:rFonts w:asciiTheme="majorBidi" w:eastAsiaTheme="majorEastAsia" w:hAnsiTheme="majorBidi" w:cstheme="majorBidi"/>
          <w:sz w:val="22"/>
          <w:szCs w:val="22"/>
          <w:lang w:val="en-GB"/>
        </w:rPr>
        <w:t>I</w:t>
      </w:r>
      <w:r w:rsidR="00FF6CC0">
        <w:rPr>
          <w:rStyle w:val="normaltextrun"/>
          <w:rFonts w:asciiTheme="majorBidi" w:eastAsiaTheme="majorEastAsia" w:hAnsiTheme="majorBidi" w:cstheme="majorBidi"/>
          <w:b/>
          <w:bCs/>
          <w:i/>
          <w:iCs/>
          <w:sz w:val="22"/>
          <w:szCs w:val="22"/>
          <w:lang w:val="en-GB"/>
        </w:rPr>
        <w:br/>
      </w:r>
      <w:r w:rsidRPr="00B3383B">
        <w:rPr>
          <w:rStyle w:val="normaltextrun"/>
          <w:rFonts w:asciiTheme="majorBidi" w:eastAsiaTheme="majorEastAsia" w:hAnsiTheme="majorBidi" w:cstheme="majorBidi"/>
          <w:b/>
          <w:bCs/>
          <w:sz w:val="22"/>
          <w:szCs w:val="22"/>
          <w:lang w:val="en-GB"/>
        </w:rPr>
        <w:t xml:space="preserve">Private </w:t>
      </w:r>
      <w:r w:rsidR="001443EC" w:rsidRPr="00B3383B">
        <w:rPr>
          <w:rStyle w:val="normaltextrun"/>
          <w:rFonts w:asciiTheme="majorBidi" w:eastAsiaTheme="majorEastAsia" w:hAnsiTheme="majorBidi" w:cstheme="majorBidi"/>
          <w:b/>
          <w:bCs/>
          <w:sz w:val="22"/>
          <w:szCs w:val="22"/>
          <w:lang w:val="en-GB"/>
        </w:rPr>
        <w:t>philanthropy</w:t>
      </w:r>
      <w:r w:rsidRPr="00B3383B">
        <w:rPr>
          <w:rStyle w:val="normaltextrun"/>
          <w:rFonts w:asciiTheme="majorBidi" w:eastAsiaTheme="majorEastAsia" w:hAnsiTheme="majorBidi" w:cstheme="majorBidi"/>
          <w:b/>
          <w:bCs/>
          <w:sz w:val="22"/>
          <w:szCs w:val="22"/>
          <w:lang w:val="en-GB"/>
        </w:rPr>
        <w:t xml:space="preserve"> for development. Source: OECD (2023). Estimates based on OECD DAC statistics from the OECD, Creditor Reporting System</w:t>
      </w:r>
      <w:r w:rsidRPr="00B3383B">
        <w:rPr>
          <w:rStyle w:val="eop"/>
          <w:rFonts w:asciiTheme="majorBidi" w:eastAsiaTheme="majorEastAsia" w:hAnsiTheme="majorBidi" w:cstheme="majorBidi"/>
          <w:b/>
          <w:bCs/>
          <w:sz w:val="22"/>
          <w:szCs w:val="22"/>
        </w:rPr>
        <w:t>  </w:t>
      </w:r>
    </w:p>
    <w:p w14:paraId="0DC15850" w14:textId="75AFD87C" w:rsidR="00C233A4" w:rsidRPr="00ED7E61" w:rsidRDefault="00C233A4" w:rsidP="00C233A4">
      <w:pPr>
        <w:pStyle w:val="Heading3"/>
      </w:pPr>
      <w:bookmarkStart w:id="28" w:name="_Toc178285854"/>
      <w:bookmarkStart w:id="29" w:name="_Toc233278564"/>
      <w:r w:rsidRPr="00ED7E61">
        <w:t>1.1. Percent of land and seas covered by biodiversity-inclusive spatial plans</w:t>
      </w:r>
      <w:bookmarkEnd w:id="28"/>
      <w:bookmarkEnd w:id="29"/>
      <w:r w:rsidRPr="00ED7E61">
        <w:t xml:space="preserve"> </w:t>
      </w:r>
    </w:p>
    <w:p w14:paraId="4E02BEB2" w14:textId="77777777" w:rsidR="00C233A4" w:rsidRPr="00ED7E61" w:rsidRDefault="00C233A4" w:rsidP="00C233A4">
      <w:pPr>
        <w:pStyle w:val="CBDNormalNumber"/>
        <w:numPr>
          <w:ilvl w:val="0"/>
          <w:numId w:val="70"/>
        </w:numPr>
        <w:tabs>
          <w:tab w:val="clear" w:pos="1701"/>
        </w:tabs>
        <w:ind w:left="567" w:firstLine="0"/>
        <w:rPr>
          <w:rFonts w:asciiTheme="majorBidi" w:hAnsiTheme="majorBidi" w:cstheme="majorBidi"/>
        </w:rPr>
      </w:pPr>
      <w:r w:rsidRPr="00ED7E61">
        <w:rPr>
          <w:rStyle w:val="normaltextrun"/>
          <w:rFonts w:eastAsiaTheme="majorEastAsia"/>
        </w:rPr>
        <w:t xml:space="preserve">In COP DEC 15/5, the indicators for Target 1 and Headline indicator 1.1 were approved with two footnotes: </w:t>
      </w:r>
    </w:p>
    <w:p w14:paraId="5A5A8C94"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lastRenderedPageBreak/>
        <w:t>b: a binary indicator was proposed for inclusion for this goal or target and will be further considered by the Ad Hoc Technical Expert Group</w:t>
      </w:r>
    </w:p>
    <w:p w14:paraId="5ECFE267"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an agreed up-to-date methodology does not exist for this indicator. The Ad Hoc Technical Expert Group will work with partners to guide the development of these indicators</w:t>
      </w:r>
    </w:p>
    <w:p w14:paraId="682D850C"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 xml:space="preserve">As per the recommendation, a binary indicator was developed for Target 1 with a </w:t>
      </w:r>
      <w:hyperlink r:id="rId220" w:history="1">
        <w:r w:rsidRPr="00ED7E61">
          <w:rPr>
            <w:rStyle w:val="normaltextrun"/>
            <w:rFonts w:eastAsiaTheme="majorEastAsia"/>
          </w:rPr>
          <w:t xml:space="preserve">metadata description </w:t>
        </w:r>
      </w:hyperlink>
      <w:r w:rsidRPr="00ED7E61">
        <w:rPr>
          <w:rStyle w:val="normaltextrun"/>
          <w:rFonts w:eastAsiaTheme="majorEastAsia"/>
        </w:rPr>
        <w:t xml:space="preserve">including proposed definitions on biodiversity-inclusive approach, participatory approach to spatial planning, effective management processes [addressing land and sea use change] and integrated spatial planning. Categorical responses can only be based on national data since it is about national processes. </w:t>
      </w:r>
    </w:p>
    <w:p w14:paraId="35561253"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 xml:space="preserve">For the headline indicator 1.1. it was recognized that </w:t>
      </w:r>
    </w:p>
    <w:p w14:paraId="4209C262"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it overlaps with indicators for other goals and targets of the Kunming-Montreal Global Biodiversity Framework as well as SDG indicators, </w:t>
      </w:r>
    </w:p>
    <w:p w14:paraId="0B730757"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it covers multiple cross-cutting issues and provides opportunities to identify synergetic issues and leverages for other targets;  </w:t>
      </w:r>
    </w:p>
    <w:p w14:paraId="56ED50FF"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it is highly relevant for the traditional knowledge indicators (particularly the traditional knowledge indicator on participation). </w:t>
      </w:r>
    </w:p>
    <w:p w14:paraId="69492FE9"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 xml:space="preserve">The further development of a methodology was impacted by the following factors: </w:t>
      </w:r>
    </w:p>
    <w:p w14:paraId="37BFDF5A"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While most countries have spatial </w:t>
      </w:r>
      <w:proofErr w:type="gramStart"/>
      <w:r w:rsidRPr="00ED7E61">
        <w:rPr>
          <w:rStyle w:val="normaltextrun"/>
          <w:rFonts w:eastAsiaTheme="majorEastAsia"/>
        </w:rPr>
        <w:t>plans,  qualitative</w:t>
      </w:r>
      <w:proofErr w:type="gramEnd"/>
      <w:r w:rsidRPr="00ED7E61">
        <w:rPr>
          <w:rStyle w:val="normaltextrun"/>
          <w:rFonts w:eastAsiaTheme="majorEastAsia"/>
        </w:rPr>
        <w:t xml:space="preserve"> aspects are usually not measured; the indicator suggests a fusion of spatial/quantitative and qualitative data with aspects of processes, outcomes and impacts to be measured, which is usually in the form of an index or equivalent, which is currently not in existence; </w:t>
      </w:r>
    </w:p>
    <w:p w14:paraId="56E85423"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There was no partner to provide an institutional home and guide the development of the methodology for this indicator; </w:t>
      </w:r>
    </w:p>
    <w:p w14:paraId="29F0B7C1"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IPBES has in its program to develop an approved methodological assessment on integrated biodiversity-inclusive spatial planning and connectivity for consideration in 2027 (Decision IPBES-10/1). </w:t>
      </w:r>
    </w:p>
    <w:p w14:paraId="12C63651"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 xml:space="preserve">It is recommended for this headline indicator to: </w:t>
      </w:r>
    </w:p>
    <w:p w14:paraId="591E74AD"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Work with binary indicators until the methodology of the headline indicator is operational. </w:t>
      </w:r>
    </w:p>
    <w:p w14:paraId="006EF3FB"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In accordance with the IPBES progress, identify and delegate a lead organization to develop the methodology for the indicator, based on good practices and examples, and to </w:t>
      </w:r>
      <w:proofErr w:type="gramStart"/>
      <w:r w:rsidRPr="00ED7E61">
        <w:rPr>
          <w:rStyle w:val="normaltextrun"/>
          <w:rFonts w:eastAsiaTheme="majorEastAsia"/>
        </w:rPr>
        <w:t>be in charge of</w:t>
      </w:r>
      <w:proofErr w:type="gramEnd"/>
      <w:r w:rsidRPr="00ED7E61">
        <w:rPr>
          <w:rStyle w:val="normaltextrun"/>
          <w:rFonts w:eastAsiaTheme="majorEastAsia"/>
        </w:rPr>
        <w:t xml:space="preserve"> data collection and evaluation. </w:t>
      </w:r>
    </w:p>
    <w:p w14:paraId="3B92A393"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Support countries in developing adapted planning and assessment tools </w:t>
      </w:r>
      <w:proofErr w:type="gramStart"/>
      <w:r w:rsidRPr="00ED7E61">
        <w:rPr>
          <w:rStyle w:val="normaltextrun"/>
          <w:rFonts w:eastAsiaTheme="majorEastAsia"/>
        </w:rPr>
        <w:t>taking into account</w:t>
      </w:r>
      <w:proofErr w:type="gramEnd"/>
      <w:r w:rsidRPr="00ED7E61">
        <w:rPr>
          <w:rStyle w:val="normaltextrun"/>
          <w:rFonts w:eastAsiaTheme="majorEastAsia"/>
        </w:rPr>
        <w:t xml:space="preserve"> the qualitative aspects. </w:t>
      </w:r>
    </w:p>
    <w:p w14:paraId="039A0B82"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 xml:space="preserve">The below provides a summary of the </w:t>
      </w:r>
      <w:proofErr w:type="gramStart"/>
      <w:r w:rsidRPr="00ED7E61">
        <w:rPr>
          <w:rStyle w:val="normaltextrun"/>
          <w:rFonts w:eastAsiaTheme="majorEastAsia"/>
        </w:rPr>
        <w:t>current status</w:t>
      </w:r>
      <w:proofErr w:type="gramEnd"/>
      <w:r w:rsidRPr="00ED7E61">
        <w:rPr>
          <w:rStyle w:val="normaltextrun"/>
          <w:rFonts w:eastAsiaTheme="majorEastAsia"/>
        </w:rPr>
        <w:t xml:space="preserve"> of development of this indicator.</w:t>
      </w:r>
    </w:p>
    <w:p w14:paraId="47B835A5"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Proposed rationale</w:t>
      </w:r>
      <w:r w:rsidRPr="00ED7E61">
        <w:rPr>
          <w:rStyle w:val="eop"/>
          <w:rFonts w:asciiTheme="majorBidi" w:eastAsiaTheme="majorEastAsia" w:hAnsiTheme="majorBidi" w:cstheme="majorBidi"/>
          <w:sz w:val="22"/>
          <w:szCs w:val="22"/>
        </w:rPr>
        <w:t> </w:t>
      </w:r>
    </w:p>
    <w:p w14:paraId="00EED65C"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Target 1 relates to land-use and sea-use change, a major direct driver of biodiversity loss. To achieve the 2050 Vision and the proposed Goals, the loss of existing intact and wilderness areas through land/sea use change must be avoided, reduced and reversed. More effective and comprehensive spatial planning, which accounts for biodiversity and the objectives of the Convention, will be crucial in accomplishing this. Therefore, an indicator tracking the percentage of land and seas covered by spatial plans that integrate biodiversity would be directly relevant to this target and help to monitor progress towards its attainment. </w:t>
      </w:r>
      <w:r w:rsidRPr="00ED7E61">
        <w:rPr>
          <w:rStyle w:val="normaltextrun"/>
        </w:rPr>
        <w:t> </w:t>
      </w:r>
    </w:p>
    <w:p w14:paraId="65A22B9C"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lastRenderedPageBreak/>
        <w:t>Biodiversity inclusive spatial planning is also relevant for most of the other proposed targets in the draft post-2020 global biodiversity framework. Given competing demands for land and sea areas and potential trade-offs, biodiversity-inclusive integrated spatial planning across all landscapes and seascapes (i.e. marine spatial planning) will be needed to allow socioeconomic development to continue while also conserving biodiversity and maintaining ecosystem services in line with the levels of ambition suggested above, and to ensure connectivity between natural habitats. </w:t>
      </w:r>
      <w:r w:rsidRPr="00ED7E61">
        <w:rPr>
          <w:rStyle w:val="normaltextrun"/>
        </w:rPr>
        <w:t> </w:t>
      </w:r>
    </w:p>
    <w:p w14:paraId="196FF59D"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 xml:space="preserve">Currently spatial planning is practiced variously and unevenly among countries and currently there is no global synthesis available to assess the proportion of the earth that </w:t>
      </w:r>
      <w:proofErr w:type="gramStart"/>
      <w:r w:rsidRPr="00ED7E61">
        <w:rPr>
          <w:rStyle w:val="normaltextrun"/>
          <w:rFonts w:eastAsiaTheme="majorEastAsia"/>
        </w:rPr>
        <w:t>is considered to be</w:t>
      </w:r>
      <w:proofErr w:type="gramEnd"/>
      <w:r w:rsidRPr="00ED7E61">
        <w:rPr>
          <w:rStyle w:val="normaltextrun"/>
          <w:rFonts w:eastAsiaTheme="majorEastAsia"/>
        </w:rPr>
        <w:t xml:space="preserve"> “</w:t>
      </w:r>
      <w:r w:rsidRPr="00FB1598">
        <w:rPr>
          <w:rStyle w:val="normaltextrun"/>
          <w:rFonts w:eastAsiaTheme="majorEastAsia"/>
          <w:i/>
          <w:iCs/>
        </w:rPr>
        <w:t>under spatial planning</w:t>
      </w:r>
      <w:r w:rsidRPr="00ED7E61">
        <w:rPr>
          <w:rStyle w:val="normaltextrun"/>
          <w:rFonts w:eastAsiaTheme="majorEastAsia"/>
        </w:rPr>
        <w:t>”. This is partly because there is no standard definition of what constitutes a spatial plan and a range of approaches and tools for planning are used at different scales. </w:t>
      </w:r>
      <w:r w:rsidRPr="00ED7E61">
        <w:rPr>
          <w:rStyle w:val="normaltextrun"/>
        </w:rPr>
        <w:t> </w:t>
      </w:r>
    </w:p>
    <w:p w14:paraId="772E433A"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Currently there is no indicator which is under development or operational to fully track the progress on the land and sea area under biodiversity inclusive spatial planning. However, there are SDG indicators related to marine spatial planning and intercoastal zone management (14.2.1), sustainable agricultural area (2.4.1) which also corresponds to headline indicator 10.1 and sustainable forest management (15.2.1), which also corresponds to headline indicator 10.2, which incorporate elements of spatial planning. A selection of further initiatives and examples gathering information on elements of biodiversity inclusive spatial planning is provided under point 5e for guidance. No comprehensive and systematic overview and methodology exists as of today and as such this represents a gap which needs to be addressed. There is some limited information related to conservation strategies, ecoregional plans and integrated coastal zone management. However, how up to date this information is and the extent to which these plans are operational is uncertain. Similarly, the extent to which such plans can be considered representative of spatial planning more generally is also uncertain. </w:t>
      </w:r>
      <w:r w:rsidRPr="00ED7E61">
        <w:rPr>
          <w:rStyle w:val="normaltextrun"/>
        </w:rPr>
        <w:t> </w:t>
      </w:r>
    </w:p>
    <w:p w14:paraId="44D5F4F1"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The traditional knowledge indicators (discussed at the 12th Meeting of the Working Group on Article 8(j) and Related Provisions in November 2023) are cross-cutting indicators that underpin the achievement of several Goals and Targets of the Kunming-Montreal Global Biodiversity Framework. SBSTTA-25 (October 2023) “</w:t>
      </w:r>
      <w:r w:rsidRPr="00FB1598">
        <w:rPr>
          <w:rStyle w:val="normaltextrun"/>
          <w:rFonts w:eastAsiaTheme="majorEastAsia"/>
          <w:i/>
          <w:iCs/>
        </w:rPr>
        <w:t>Requests the Expert Group to fully take into account the work of the Ad Hoc Open-ended Intersessional Working Group on Article 8(j) and Related Provisions of the Convention on Biological Diversity on traditional knowledge indicators in order to further enhance the monitoring framework</w:t>
      </w:r>
      <w:r w:rsidRPr="00FB1598">
        <w:rPr>
          <w:rStyle w:val="normaltextrun"/>
          <w:rFonts w:eastAsiaTheme="majorEastAsia"/>
        </w:rPr>
        <w:t>”</w:t>
      </w:r>
      <w:r w:rsidRPr="00FB1598">
        <w:rPr>
          <w:rStyle w:val="normaltextrun"/>
          <w:rFonts w:eastAsiaTheme="majorEastAsia"/>
          <w:i/>
          <w:iCs/>
        </w:rPr>
        <w:t>;</w:t>
      </w:r>
      <w:r w:rsidRPr="00ED7E61">
        <w:rPr>
          <w:rStyle w:val="normaltextrun"/>
          <w:rFonts w:eastAsiaTheme="majorEastAsia"/>
        </w:rPr>
        <w:t xml:space="preserve"> (SBSTTA-25/1, paragraph 12). It is important to point out that indigenous people</w:t>
      </w:r>
      <w:r>
        <w:rPr>
          <w:rStyle w:val="normaltextrun"/>
          <w:rFonts w:eastAsiaTheme="majorEastAsia"/>
        </w:rPr>
        <w:t>s</w:t>
      </w:r>
      <w:r w:rsidRPr="00ED7E61">
        <w:rPr>
          <w:rStyle w:val="normaltextrun"/>
          <w:rFonts w:eastAsiaTheme="majorEastAsia"/>
        </w:rPr>
        <w:t xml:space="preserve"> and local communities lands, recognized and secure, could represent biodiversity-inclusive planning in practice (at certain scales).</w:t>
      </w:r>
      <w:r w:rsidRPr="00ED7E61">
        <w:rPr>
          <w:rStyle w:val="normaltextrun"/>
        </w:rPr>
        <w:t> </w:t>
      </w:r>
    </w:p>
    <w:p w14:paraId="5F22988A"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Traditional knowledge indicators with notable relevance to this indicator on spatial planning are the following: “</w:t>
      </w:r>
      <w:r w:rsidRPr="00FB1598">
        <w:rPr>
          <w:rStyle w:val="normaltextrun"/>
          <w:rFonts w:eastAsiaTheme="majorEastAsia"/>
          <w:i/>
          <w:iCs/>
        </w:rPr>
        <w:t>Land use change and land tenure in the traditional territories of indigenous people</w:t>
      </w:r>
      <w:r>
        <w:rPr>
          <w:rStyle w:val="normaltextrun"/>
          <w:rFonts w:eastAsiaTheme="majorEastAsia"/>
          <w:i/>
          <w:iCs/>
        </w:rPr>
        <w:t>s</w:t>
      </w:r>
      <w:r w:rsidRPr="00FB1598">
        <w:rPr>
          <w:rStyle w:val="normaltextrun"/>
          <w:rFonts w:eastAsiaTheme="majorEastAsia"/>
          <w:i/>
          <w:iCs/>
        </w:rPr>
        <w:t xml:space="preserve"> and local communities</w:t>
      </w:r>
      <w:r w:rsidRPr="00ED7E61">
        <w:rPr>
          <w:rStyle w:val="normaltextrun"/>
          <w:rFonts w:eastAsiaTheme="majorEastAsia"/>
        </w:rPr>
        <w:t>”. </w:t>
      </w:r>
      <w:r w:rsidRPr="00ED7E61">
        <w:rPr>
          <w:rStyle w:val="normaltextrun"/>
        </w:rPr>
        <w:t> </w:t>
      </w:r>
    </w:p>
    <w:p w14:paraId="4D42E1EA"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Addressing the intersession between the headline indicator on spatial planning and this traditional knowledge indicator can also support Parties to operationalise parts of Section C of the Kunming-Montreal Global Biodiversity Framework, particularly the section on “</w:t>
      </w:r>
      <w:r w:rsidRPr="00FB1598">
        <w:rPr>
          <w:rStyle w:val="normaltextrun"/>
          <w:rFonts w:eastAsiaTheme="majorEastAsia"/>
          <w:i/>
          <w:iCs/>
        </w:rPr>
        <w:t>contribution and rights of indigenous people</w:t>
      </w:r>
      <w:r>
        <w:rPr>
          <w:rStyle w:val="normaltextrun"/>
          <w:rFonts w:eastAsiaTheme="majorEastAsia"/>
          <w:i/>
          <w:iCs/>
        </w:rPr>
        <w:t>s</w:t>
      </w:r>
      <w:r w:rsidRPr="00FB1598">
        <w:rPr>
          <w:rStyle w:val="normaltextrun"/>
          <w:rFonts w:eastAsiaTheme="majorEastAsia"/>
          <w:i/>
          <w:iCs/>
        </w:rPr>
        <w:t xml:space="preserve"> and local communities</w:t>
      </w:r>
      <w:r w:rsidRPr="00ED7E61">
        <w:rPr>
          <w:rStyle w:val="normaltextrun"/>
          <w:rFonts w:eastAsiaTheme="majorEastAsia"/>
        </w:rPr>
        <w:t>”.</w:t>
      </w:r>
      <w:r w:rsidRPr="00ED7E61">
        <w:rPr>
          <w:rStyle w:val="normaltextrun"/>
        </w:rPr>
        <w:t> </w:t>
      </w:r>
    </w:p>
    <w:p w14:paraId="19E1AA8C"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01587CDA" w14:textId="77777777" w:rsidR="00C233A4" w:rsidRPr="00ED7E61" w:rsidRDefault="00C233A4" w:rsidP="00C233A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w:t>
      </w:r>
      <w:r w:rsidRPr="00ED7E61">
        <w:rPr>
          <w:rStyle w:val="eop"/>
          <w:rFonts w:asciiTheme="majorBidi" w:eastAsiaTheme="majorEastAsia" w:hAnsiTheme="majorBidi" w:cstheme="majorBidi"/>
          <w:sz w:val="22"/>
          <w:szCs w:val="22"/>
        </w:rPr>
        <w:t> </w:t>
      </w:r>
    </w:p>
    <w:p w14:paraId="3ABA6F51" w14:textId="77777777" w:rsidR="00C233A4" w:rsidRPr="00ED7E61" w:rsidRDefault="00C233A4" w:rsidP="00C233A4">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Indicator definition</w:t>
      </w:r>
      <w:r w:rsidRPr="00ED7E61">
        <w:rPr>
          <w:rStyle w:val="eop"/>
          <w:rFonts w:asciiTheme="majorBidi" w:eastAsiaTheme="majorEastAsia" w:hAnsiTheme="majorBidi" w:cstheme="majorBidi"/>
          <w:sz w:val="22"/>
          <w:szCs w:val="22"/>
        </w:rPr>
        <w:t> </w:t>
      </w:r>
    </w:p>
    <w:p w14:paraId="1D4D5224"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This indicator is linked to the corresponding headline binary/categorical indicator 1.1 "</w:t>
      </w:r>
      <w:r w:rsidRPr="00FB1598">
        <w:rPr>
          <w:rStyle w:val="normaltextrun"/>
          <w:rFonts w:eastAsiaTheme="majorEastAsia"/>
          <w:i/>
          <w:iCs/>
        </w:rPr>
        <w:t>Number of countries using participatory, biodiversity-inclusive spatial planning or effective management processes to address land and sea use change</w:t>
      </w:r>
      <w:r w:rsidRPr="00ED7E61">
        <w:rPr>
          <w:rStyle w:val="normaltextrun"/>
          <w:rFonts w:eastAsiaTheme="majorEastAsia"/>
        </w:rPr>
        <w:t>" and is based on the same concepts and definitions (table 1).</w:t>
      </w:r>
      <w:r w:rsidRPr="00ED7E61">
        <w:rPr>
          <w:rStyle w:val="normaltextrun"/>
        </w:rPr>
        <w:t> </w:t>
      </w:r>
    </w:p>
    <w:p w14:paraId="3A54FA9B" w14:textId="77777777" w:rsidR="00C233A4" w:rsidRPr="00222E6C" w:rsidRDefault="00C233A4" w:rsidP="00C233A4">
      <w:pPr>
        <w:pStyle w:val="paragraph"/>
        <w:spacing w:before="0" w:beforeAutospacing="0" w:after="0" w:afterAutospacing="0"/>
        <w:textAlignment w:val="baseline"/>
        <w:rPr>
          <w:rFonts w:asciiTheme="majorBidi" w:hAnsiTheme="majorBidi" w:cstheme="majorBidi"/>
          <w:b/>
          <w:bCs/>
          <w:sz w:val="22"/>
          <w:szCs w:val="22"/>
        </w:rPr>
      </w:pPr>
      <w:r w:rsidRPr="00ED7E61">
        <w:rPr>
          <w:rStyle w:val="eop"/>
          <w:rFonts w:asciiTheme="majorBidi" w:eastAsiaTheme="majorEastAsia" w:hAnsiTheme="majorBidi" w:cstheme="majorBidi"/>
          <w:sz w:val="22"/>
          <w:szCs w:val="22"/>
        </w:rPr>
        <w:t> </w:t>
      </w:r>
      <w:r w:rsidRPr="00222E6C">
        <w:rPr>
          <w:rStyle w:val="normaltextrun"/>
          <w:rFonts w:asciiTheme="majorBidi" w:eastAsiaTheme="majorEastAsia" w:hAnsiTheme="majorBidi" w:cstheme="majorBidi"/>
          <w:sz w:val="22"/>
          <w:szCs w:val="22"/>
        </w:rPr>
        <w:t>Table 1</w:t>
      </w:r>
      <w:r w:rsidRPr="00ED7E61">
        <w:rPr>
          <w:rStyle w:val="normaltextrun"/>
          <w:rFonts w:asciiTheme="majorBidi" w:eastAsiaTheme="majorEastAsia" w:hAnsiTheme="majorBidi" w:cstheme="majorBidi"/>
          <w:b/>
          <w:bCs/>
          <w:i/>
          <w:iCs/>
          <w:sz w:val="22"/>
          <w:szCs w:val="22"/>
        </w:rPr>
        <w:t xml:space="preserve"> </w:t>
      </w:r>
      <w:r>
        <w:rPr>
          <w:rStyle w:val="normaltextrun"/>
          <w:rFonts w:asciiTheme="majorBidi" w:eastAsiaTheme="majorEastAsia" w:hAnsiTheme="majorBidi" w:cstheme="majorBidi"/>
          <w:b/>
          <w:bCs/>
          <w:i/>
          <w:iCs/>
          <w:sz w:val="22"/>
          <w:szCs w:val="22"/>
        </w:rPr>
        <w:br/>
      </w:r>
      <w:r w:rsidRPr="00222E6C">
        <w:rPr>
          <w:rStyle w:val="normaltextrun"/>
          <w:rFonts w:asciiTheme="majorBidi" w:eastAsiaTheme="majorEastAsia" w:hAnsiTheme="majorBidi" w:cstheme="majorBidi"/>
          <w:b/>
          <w:bCs/>
          <w:sz w:val="22"/>
          <w:szCs w:val="22"/>
        </w:rPr>
        <w:t>Definition and concepts for indicator</w:t>
      </w:r>
      <w:r w:rsidRPr="00222E6C">
        <w:rPr>
          <w:rStyle w:val="eop"/>
          <w:rFonts w:asciiTheme="majorBidi" w:eastAsiaTheme="majorEastAsia" w:hAnsiTheme="majorBidi" w:cstheme="majorBidi"/>
          <w:b/>
          <w:bCs/>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335"/>
      </w:tblGrid>
      <w:tr w:rsidR="00C233A4" w:rsidRPr="00222E6C" w14:paraId="508F2976" w14:textId="77777777" w:rsidTr="007E1F72">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E59EDC"/>
            <w:hideMark/>
          </w:tcPr>
          <w:p w14:paraId="691EE9BE"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i/>
                <w:iCs/>
                <w:sz w:val="20"/>
                <w:szCs w:val="20"/>
              </w:rPr>
            </w:pPr>
            <w:r w:rsidRPr="00222E6C">
              <w:rPr>
                <w:rStyle w:val="normaltextrun"/>
                <w:rFonts w:asciiTheme="majorBidi" w:eastAsiaTheme="majorEastAsia" w:hAnsiTheme="majorBidi" w:cstheme="majorBidi"/>
                <w:i/>
                <w:iCs/>
                <w:sz w:val="20"/>
                <w:szCs w:val="20"/>
                <w:lang w:val="en-GB"/>
              </w:rPr>
              <w:lastRenderedPageBreak/>
              <w:t>Conceptual basis</w:t>
            </w:r>
            <w:r w:rsidRPr="00222E6C">
              <w:rPr>
                <w:rStyle w:val="eop"/>
                <w:rFonts w:asciiTheme="majorBidi" w:eastAsiaTheme="majorEastAsia" w:hAnsiTheme="majorBidi" w:cstheme="majorBidi"/>
                <w:i/>
                <w:iCs/>
                <w:sz w:val="20"/>
                <w:szCs w:val="20"/>
              </w:rPr>
              <w:t> </w:t>
            </w:r>
          </w:p>
        </w:tc>
        <w:tc>
          <w:tcPr>
            <w:tcW w:w="4335" w:type="dxa"/>
            <w:tcBorders>
              <w:top w:val="single" w:sz="6" w:space="0" w:color="auto"/>
              <w:left w:val="single" w:sz="6" w:space="0" w:color="auto"/>
              <w:bottom w:val="single" w:sz="6" w:space="0" w:color="auto"/>
              <w:right w:val="single" w:sz="6" w:space="0" w:color="auto"/>
            </w:tcBorders>
            <w:shd w:val="clear" w:color="auto" w:fill="E59EDC"/>
            <w:hideMark/>
          </w:tcPr>
          <w:p w14:paraId="61FA0B44"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i/>
                <w:iCs/>
                <w:sz w:val="20"/>
                <w:szCs w:val="20"/>
              </w:rPr>
            </w:pPr>
            <w:r w:rsidRPr="00222E6C">
              <w:rPr>
                <w:rStyle w:val="normaltextrun"/>
                <w:rFonts w:asciiTheme="majorBidi" w:eastAsiaTheme="majorEastAsia" w:hAnsiTheme="majorBidi" w:cstheme="majorBidi"/>
                <w:i/>
                <w:iCs/>
                <w:sz w:val="20"/>
                <w:szCs w:val="20"/>
                <w:lang w:val="en-GB"/>
              </w:rPr>
              <w:t>Definition</w:t>
            </w:r>
            <w:r w:rsidRPr="00222E6C">
              <w:rPr>
                <w:rStyle w:val="eop"/>
                <w:rFonts w:asciiTheme="majorBidi" w:eastAsiaTheme="majorEastAsia" w:hAnsiTheme="majorBidi" w:cstheme="majorBidi"/>
                <w:i/>
                <w:iCs/>
                <w:sz w:val="20"/>
                <w:szCs w:val="20"/>
              </w:rPr>
              <w:t> </w:t>
            </w:r>
          </w:p>
        </w:tc>
      </w:tr>
      <w:tr w:rsidR="00C233A4" w:rsidRPr="00222E6C" w14:paraId="06FB79B3" w14:textId="77777777" w:rsidTr="007E1F72">
        <w:trPr>
          <w:trHeight w:val="300"/>
        </w:trPr>
        <w:tc>
          <w:tcPr>
            <w:tcW w:w="4665" w:type="dxa"/>
            <w:tcBorders>
              <w:top w:val="single" w:sz="6" w:space="0" w:color="auto"/>
              <w:left w:val="single" w:sz="6" w:space="0" w:color="auto"/>
              <w:bottom w:val="single" w:sz="6" w:space="0" w:color="auto"/>
              <w:right w:val="single" w:sz="6" w:space="0" w:color="auto"/>
            </w:tcBorders>
            <w:hideMark/>
          </w:tcPr>
          <w:p w14:paraId="1F367414"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b/>
                <w:bCs/>
                <w:sz w:val="20"/>
                <w:szCs w:val="20"/>
                <w:lang w:val="en-GB"/>
              </w:rPr>
              <w:t>Biodiversity-inclusive</w:t>
            </w:r>
            <w:r w:rsidRPr="00222E6C">
              <w:rPr>
                <w:rStyle w:val="normaltextrun"/>
                <w:rFonts w:asciiTheme="majorBidi" w:eastAsiaTheme="majorEastAsia" w:hAnsiTheme="majorBidi" w:cstheme="majorBidi"/>
                <w:sz w:val="20"/>
                <w:szCs w:val="20"/>
                <w:lang w:val="en-GB"/>
              </w:rPr>
              <w:t>: Biodiversity-inclusive is recognized in COP 8 Decision VIII/28 but not sufficient for headline binary/categorical indicator and this indicator. The definition of biodiversity-inclusive is expected to reflect the purpose of target 1 to mainstream biodiversity in spatial plans and in the planning process. “</w:t>
            </w:r>
            <w:r w:rsidRPr="00222E6C">
              <w:rPr>
                <w:rStyle w:val="normaltextrun"/>
                <w:rFonts w:asciiTheme="majorBidi" w:eastAsiaTheme="majorEastAsia" w:hAnsiTheme="majorBidi" w:cstheme="majorBidi"/>
                <w:i/>
                <w:iCs/>
                <w:sz w:val="20"/>
                <w:szCs w:val="20"/>
                <w:lang w:val="en-GB"/>
              </w:rPr>
              <w:t>Inclusive</w:t>
            </w:r>
            <w:r w:rsidRPr="00222E6C">
              <w:rPr>
                <w:rStyle w:val="normaltextrun"/>
                <w:rFonts w:asciiTheme="majorBidi" w:eastAsiaTheme="majorEastAsia" w:hAnsiTheme="majorBidi" w:cstheme="majorBidi"/>
                <w:sz w:val="20"/>
                <w:szCs w:val="20"/>
                <w:lang w:val="en-GB"/>
              </w:rPr>
              <w:t>” is not the same as prioritizing biodiversity for protection in plans. To be consistent with the definition and possible answers in the corresponding headline binary/categorical indicator, the definition aims at reflecting the different dimensions of biodiversity inclusive (e.g. protected areas, key biodiversity areas, ecological integrity).  </w:t>
            </w:r>
            <w:r w:rsidRPr="00222E6C">
              <w:rPr>
                <w:rStyle w:val="eop"/>
                <w:rFonts w:asciiTheme="majorBidi" w:eastAsiaTheme="majorEastAsia" w:hAnsiTheme="majorBidi" w:cstheme="majorBidi"/>
                <w:sz w:val="20"/>
                <w:szCs w:val="20"/>
              </w:rPr>
              <w:t> </w:t>
            </w:r>
          </w:p>
        </w:tc>
        <w:tc>
          <w:tcPr>
            <w:tcW w:w="4335" w:type="dxa"/>
            <w:tcBorders>
              <w:top w:val="single" w:sz="6" w:space="0" w:color="auto"/>
              <w:left w:val="single" w:sz="6" w:space="0" w:color="auto"/>
              <w:bottom w:val="single" w:sz="6" w:space="0" w:color="auto"/>
              <w:right w:val="single" w:sz="6" w:space="0" w:color="auto"/>
            </w:tcBorders>
            <w:hideMark/>
          </w:tcPr>
          <w:p w14:paraId="070FDF70"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b/>
                <w:bCs/>
                <w:sz w:val="20"/>
                <w:szCs w:val="20"/>
                <w:lang w:val="en-GB"/>
              </w:rPr>
              <w:t>Biodiversity inclusive approach</w:t>
            </w:r>
            <w:r w:rsidRPr="00222E6C">
              <w:rPr>
                <w:rStyle w:val="normaltextrun"/>
                <w:rFonts w:asciiTheme="majorBidi" w:eastAsiaTheme="majorEastAsia" w:hAnsiTheme="majorBidi" w:cstheme="majorBidi"/>
                <w:sz w:val="20"/>
                <w:szCs w:val="20"/>
                <w:lang w:val="en-GB"/>
              </w:rPr>
              <w:t>: "</w:t>
            </w:r>
            <w:r w:rsidRPr="00222E6C">
              <w:rPr>
                <w:rStyle w:val="normaltextrun"/>
                <w:rFonts w:asciiTheme="majorBidi" w:eastAsiaTheme="majorEastAsia" w:hAnsiTheme="majorBidi" w:cstheme="majorBidi"/>
                <w:i/>
                <w:iCs/>
                <w:sz w:val="20"/>
                <w:szCs w:val="20"/>
                <w:lang w:val="en-GB"/>
              </w:rPr>
              <w:t>taking into account all relevant information to safeguard biodiversity in spatial planning processes.</w:t>
            </w:r>
            <w:r w:rsidRPr="00222E6C">
              <w:rPr>
                <w:rStyle w:val="normaltextrun"/>
                <w:rFonts w:asciiTheme="majorBidi" w:eastAsiaTheme="majorEastAsia" w:hAnsiTheme="majorBidi" w:cstheme="majorBidi"/>
                <w:sz w:val="20"/>
                <w:szCs w:val="20"/>
                <w:lang w:val="en-GB"/>
              </w:rPr>
              <w:t>"</w:t>
            </w:r>
            <w:r w:rsidRPr="00222E6C">
              <w:rPr>
                <w:rStyle w:val="eop"/>
                <w:rFonts w:asciiTheme="majorBidi" w:eastAsiaTheme="majorEastAsia" w:hAnsiTheme="majorBidi" w:cstheme="majorBidi"/>
                <w:sz w:val="20"/>
                <w:szCs w:val="20"/>
              </w:rPr>
              <w:t> </w:t>
            </w:r>
          </w:p>
        </w:tc>
      </w:tr>
      <w:tr w:rsidR="00C233A4" w:rsidRPr="00222E6C" w14:paraId="78F672B7" w14:textId="77777777" w:rsidTr="007E1F72">
        <w:trPr>
          <w:trHeight w:val="300"/>
        </w:trPr>
        <w:tc>
          <w:tcPr>
            <w:tcW w:w="4665" w:type="dxa"/>
            <w:tcBorders>
              <w:top w:val="single" w:sz="6" w:space="0" w:color="auto"/>
              <w:left w:val="single" w:sz="6" w:space="0" w:color="auto"/>
              <w:bottom w:val="single" w:sz="6" w:space="0" w:color="auto"/>
              <w:right w:val="single" w:sz="6" w:space="0" w:color="auto"/>
            </w:tcBorders>
            <w:hideMark/>
          </w:tcPr>
          <w:p w14:paraId="7878695E"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b/>
                <w:bCs/>
                <w:sz w:val="20"/>
                <w:szCs w:val="20"/>
                <w:lang w:val="en-GB"/>
              </w:rPr>
              <w:t>Effective management process [addressing land- and sea-use change]</w:t>
            </w:r>
            <w:r w:rsidRPr="00222E6C">
              <w:rPr>
                <w:rStyle w:val="eop"/>
                <w:rFonts w:asciiTheme="majorBidi" w:eastAsiaTheme="majorEastAsia" w:hAnsiTheme="majorBidi" w:cstheme="majorBidi"/>
                <w:sz w:val="20"/>
                <w:szCs w:val="20"/>
              </w:rPr>
              <w:t> </w:t>
            </w:r>
          </w:p>
          <w:p w14:paraId="3E6F34D5"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sz w:val="20"/>
                <w:szCs w:val="20"/>
                <w:lang w:val="en-GB"/>
              </w:rPr>
              <w:t>The proposed definition is drawn upon the PAME definition (</w:t>
            </w:r>
            <w:hyperlink r:id="rId221" w:tgtFrame="_blank" w:history="1">
              <w:r w:rsidRPr="00222E6C">
                <w:rPr>
                  <w:rStyle w:val="normaltextrun"/>
                  <w:rFonts w:asciiTheme="majorBidi" w:eastAsiaTheme="majorEastAsia" w:hAnsiTheme="majorBidi" w:cstheme="majorBidi"/>
                  <w:color w:val="467886"/>
                  <w:sz w:val="20"/>
                  <w:szCs w:val="20"/>
                  <w:u w:val="single"/>
                  <w:lang w:val="en-GB"/>
                </w:rPr>
                <w:t>Hockings et. al 2006</w:t>
              </w:r>
            </w:hyperlink>
            <w:r w:rsidRPr="00222E6C">
              <w:rPr>
                <w:rStyle w:val="normaltextrun"/>
                <w:rFonts w:asciiTheme="majorBidi" w:eastAsiaTheme="majorEastAsia" w:hAnsiTheme="majorBidi" w:cstheme="majorBidi"/>
                <w:sz w:val="20"/>
                <w:szCs w:val="20"/>
                <w:lang w:val="en-GB"/>
              </w:rPr>
              <w:t>), making sure to capture and include traditional management areas (many of these concepts may overlap with OECMs but not registered as OECMs). </w:t>
            </w:r>
            <w:r w:rsidRPr="00222E6C">
              <w:rPr>
                <w:rStyle w:val="eop"/>
                <w:rFonts w:asciiTheme="majorBidi" w:eastAsiaTheme="majorEastAsia" w:hAnsiTheme="majorBidi" w:cstheme="majorBidi"/>
                <w:sz w:val="20"/>
                <w:szCs w:val="20"/>
              </w:rPr>
              <w:t> </w:t>
            </w:r>
          </w:p>
        </w:tc>
        <w:tc>
          <w:tcPr>
            <w:tcW w:w="4335" w:type="dxa"/>
            <w:tcBorders>
              <w:top w:val="single" w:sz="6" w:space="0" w:color="auto"/>
              <w:left w:val="single" w:sz="6" w:space="0" w:color="auto"/>
              <w:bottom w:val="single" w:sz="6" w:space="0" w:color="auto"/>
              <w:right w:val="single" w:sz="6" w:space="0" w:color="auto"/>
            </w:tcBorders>
            <w:hideMark/>
          </w:tcPr>
          <w:p w14:paraId="4B4AA89E"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b/>
                <w:bCs/>
                <w:sz w:val="20"/>
                <w:szCs w:val="20"/>
                <w:lang w:val="en-GB"/>
              </w:rPr>
              <w:t>Effective management process</w:t>
            </w:r>
            <w:r w:rsidRPr="00222E6C">
              <w:rPr>
                <w:rStyle w:val="normaltextrun"/>
                <w:rFonts w:asciiTheme="majorBidi" w:eastAsiaTheme="majorEastAsia" w:hAnsiTheme="majorBidi" w:cstheme="majorBidi"/>
                <w:sz w:val="20"/>
                <w:szCs w:val="20"/>
                <w:lang w:val="en-GB"/>
              </w:rPr>
              <w:t>: “</w:t>
            </w:r>
            <w:r w:rsidRPr="00222E6C">
              <w:rPr>
                <w:rStyle w:val="normaltextrun"/>
                <w:rFonts w:asciiTheme="majorBidi" w:eastAsiaTheme="majorEastAsia" w:hAnsiTheme="majorBidi" w:cstheme="majorBidi"/>
                <w:i/>
                <w:iCs/>
                <w:sz w:val="20"/>
                <w:szCs w:val="20"/>
                <w:lang w:val="en-GB"/>
              </w:rPr>
              <w:t>Activities through which evidence-based conservation outcomes are achieved</w:t>
            </w:r>
            <w:r w:rsidRPr="00222E6C">
              <w:rPr>
                <w:rStyle w:val="normaltextrun"/>
                <w:rFonts w:asciiTheme="majorBidi" w:eastAsiaTheme="majorEastAsia" w:hAnsiTheme="majorBidi" w:cstheme="majorBidi"/>
                <w:sz w:val="20"/>
                <w:szCs w:val="20"/>
                <w:lang w:val="en-GB"/>
              </w:rPr>
              <w:t>.”</w:t>
            </w:r>
            <w:r w:rsidRPr="00222E6C">
              <w:rPr>
                <w:rStyle w:val="eop"/>
                <w:rFonts w:asciiTheme="majorBidi" w:eastAsiaTheme="majorEastAsia" w:hAnsiTheme="majorBidi" w:cstheme="majorBidi"/>
                <w:sz w:val="20"/>
                <w:szCs w:val="20"/>
              </w:rPr>
              <w:t> </w:t>
            </w:r>
          </w:p>
          <w:p w14:paraId="0A339C0E"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eop"/>
                <w:rFonts w:asciiTheme="majorBidi" w:eastAsiaTheme="majorEastAsia" w:hAnsiTheme="majorBidi" w:cstheme="majorBidi"/>
                <w:sz w:val="20"/>
                <w:szCs w:val="20"/>
              </w:rPr>
              <w:t> </w:t>
            </w:r>
          </w:p>
        </w:tc>
      </w:tr>
      <w:tr w:rsidR="00C233A4" w:rsidRPr="00222E6C" w14:paraId="4CD0AF5B" w14:textId="77777777" w:rsidTr="007E1F72">
        <w:trPr>
          <w:trHeight w:val="300"/>
        </w:trPr>
        <w:tc>
          <w:tcPr>
            <w:tcW w:w="4665" w:type="dxa"/>
            <w:tcBorders>
              <w:top w:val="single" w:sz="6" w:space="0" w:color="auto"/>
              <w:left w:val="single" w:sz="6" w:space="0" w:color="auto"/>
              <w:bottom w:val="single" w:sz="6" w:space="0" w:color="auto"/>
              <w:right w:val="single" w:sz="6" w:space="0" w:color="auto"/>
            </w:tcBorders>
            <w:hideMark/>
          </w:tcPr>
          <w:p w14:paraId="219BC813"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b/>
                <w:bCs/>
                <w:sz w:val="20"/>
                <w:szCs w:val="20"/>
                <w:lang w:val="en-GB"/>
              </w:rPr>
              <w:t>Spatial planning </w:t>
            </w:r>
            <w:r w:rsidRPr="00222E6C">
              <w:rPr>
                <w:rStyle w:val="eop"/>
                <w:rFonts w:asciiTheme="majorBidi" w:eastAsiaTheme="majorEastAsia" w:hAnsiTheme="majorBidi" w:cstheme="majorBidi"/>
                <w:sz w:val="20"/>
                <w:szCs w:val="20"/>
              </w:rPr>
              <w:t> </w:t>
            </w:r>
          </w:p>
          <w:p w14:paraId="70574276"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sz w:val="20"/>
                <w:szCs w:val="20"/>
                <w:lang w:val="en-GB"/>
              </w:rPr>
              <w:t xml:space="preserve">Spatial planning is generally understood as a method or public process for identifying, analysing and allocating the spatial and temporal distribution of activities </w:t>
            </w:r>
            <w:proofErr w:type="gramStart"/>
            <w:r w:rsidRPr="00222E6C">
              <w:rPr>
                <w:rStyle w:val="normaltextrun"/>
                <w:rFonts w:asciiTheme="majorBidi" w:eastAsiaTheme="majorEastAsia" w:hAnsiTheme="majorBidi" w:cstheme="majorBidi"/>
                <w:sz w:val="20"/>
                <w:szCs w:val="20"/>
                <w:lang w:val="en-GB"/>
              </w:rPr>
              <w:t>in a given</w:t>
            </w:r>
            <w:proofErr w:type="gramEnd"/>
            <w:r w:rsidRPr="00222E6C">
              <w:rPr>
                <w:rStyle w:val="normaltextrun"/>
                <w:rFonts w:asciiTheme="majorBidi" w:eastAsiaTheme="majorEastAsia" w:hAnsiTheme="majorBidi" w:cstheme="majorBidi"/>
                <w:sz w:val="20"/>
                <w:szCs w:val="20"/>
                <w:lang w:val="en-GB"/>
              </w:rPr>
              <w:t xml:space="preserve"> environment </w:t>
            </w:r>
            <w:proofErr w:type="gramStart"/>
            <w:r w:rsidRPr="00222E6C">
              <w:rPr>
                <w:rStyle w:val="normaltextrun"/>
                <w:rFonts w:asciiTheme="majorBidi" w:eastAsiaTheme="majorEastAsia" w:hAnsiTheme="majorBidi" w:cstheme="majorBidi"/>
                <w:sz w:val="20"/>
                <w:szCs w:val="20"/>
                <w:lang w:val="en-GB"/>
              </w:rPr>
              <w:t>in order to</w:t>
            </w:r>
            <w:proofErr w:type="gramEnd"/>
            <w:r w:rsidRPr="00222E6C">
              <w:rPr>
                <w:rStyle w:val="normaltextrun"/>
                <w:rFonts w:asciiTheme="majorBidi" w:eastAsiaTheme="majorEastAsia" w:hAnsiTheme="majorBidi" w:cstheme="majorBidi"/>
                <w:sz w:val="20"/>
                <w:szCs w:val="20"/>
                <w:lang w:val="en-GB"/>
              </w:rPr>
              <w:t xml:space="preserve"> achieve various objectives, including social, economic and ecological (such as biodiversity), that have been specified through a political process. Spatial planning includes land-use planning, marine spatial planning, etc. </w:t>
            </w:r>
            <w:hyperlink r:id="rId222" w:tgtFrame="_blank" w:history="1">
              <w:r w:rsidRPr="00222E6C">
                <w:rPr>
                  <w:rStyle w:val="normaltextrun"/>
                  <w:rFonts w:asciiTheme="majorBidi" w:eastAsiaTheme="majorEastAsia" w:hAnsiTheme="majorBidi" w:cstheme="majorBidi"/>
                  <w:color w:val="0000FF"/>
                  <w:sz w:val="20"/>
                  <w:szCs w:val="20"/>
                  <w:u w:val="single"/>
                  <w:lang w:val="en-GB"/>
                </w:rPr>
                <w:t>Glossary for the first draft of the post-2020 global biodiversity framework (cbd.int)</w:t>
              </w:r>
            </w:hyperlink>
            <w:r w:rsidRPr="00222E6C">
              <w:rPr>
                <w:rStyle w:val="normaltextrun"/>
                <w:rFonts w:asciiTheme="majorBidi" w:eastAsiaTheme="majorEastAsia" w:hAnsiTheme="majorBidi" w:cstheme="majorBidi"/>
                <w:sz w:val="20"/>
                <w:szCs w:val="20"/>
                <w:lang w:val="en-GB"/>
              </w:rPr>
              <w:t xml:space="preserve"> (from </w:t>
            </w:r>
            <w:hyperlink r:id="rId223" w:tgtFrame="_blank" w:history="1">
              <w:r w:rsidRPr="00222E6C">
                <w:rPr>
                  <w:rStyle w:val="normaltextrun"/>
                  <w:rFonts w:asciiTheme="majorBidi" w:eastAsiaTheme="majorEastAsia" w:hAnsiTheme="majorBidi" w:cstheme="majorBidi"/>
                  <w:color w:val="0000FF"/>
                  <w:sz w:val="20"/>
                  <w:szCs w:val="20"/>
                  <w:u w:val="single"/>
                  <w:lang w:val="en-GB"/>
                </w:rPr>
                <w:t>Land Use and Spatial Planning : Enabling Sustainable Management of Land Resources | SpringerLink</w:t>
              </w:r>
            </w:hyperlink>
            <w:r w:rsidRPr="00222E6C">
              <w:rPr>
                <w:rStyle w:val="normaltextrun"/>
                <w:rFonts w:asciiTheme="majorBidi" w:eastAsiaTheme="majorEastAsia" w:hAnsiTheme="majorBidi" w:cstheme="majorBidi"/>
                <w:color w:val="0000FF"/>
                <w:sz w:val="20"/>
                <w:szCs w:val="20"/>
                <w:u w:val="single"/>
                <w:lang w:val="en-GB"/>
              </w:rPr>
              <w:t xml:space="preserve">, </w:t>
            </w:r>
            <w:hyperlink r:id="rId224" w:tgtFrame="_blank" w:history="1">
              <w:r w:rsidRPr="00222E6C">
                <w:rPr>
                  <w:rStyle w:val="normaltextrun"/>
                  <w:rFonts w:asciiTheme="majorBidi" w:eastAsiaTheme="majorEastAsia" w:hAnsiTheme="majorBidi" w:cstheme="majorBidi"/>
                  <w:color w:val="467886"/>
                  <w:sz w:val="20"/>
                  <w:szCs w:val="20"/>
                  <w:u w:val="single"/>
                  <w:lang w:val="en-GB"/>
                </w:rPr>
                <w:t>State of the ocean report 2022</w:t>
              </w:r>
            </w:hyperlink>
            <w:r w:rsidRPr="00222E6C">
              <w:rPr>
                <w:rStyle w:val="normaltextrun"/>
                <w:rFonts w:asciiTheme="majorBidi" w:eastAsiaTheme="majorEastAsia" w:hAnsiTheme="majorBidi" w:cstheme="majorBidi"/>
                <w:color w:val="467886"/>
                <w:sz w:val="20"/>
                <w:szCs w:val="20"/>
                <w:u w:val="single"/>
                <w:lang w:val="en-GB"/>
              </w:rPr>
              <w:t>,</w:t>
            </w:r>
            <w:r w:rsidRPr="00222E6C">
              <w:rPr>
                <w:rStyle w:val="normaltextrun"/>
                <w:rFonts w:eastAsiaTheme="majorEastAsia"/>
                <w:color w:val="467886"/>
                <w:sz w:val="20"/>
                <w:szCs w:val="20"/>
                <w:u w:val="single"/>
              </w:rPr>
              <w:t xml:space="preserve"> Marine spatial planning: a step-by-step approach toward ecosystem-based management (UNESCO-IOC, 2009) and </w:t>
            </w:r>
            <w:proofErr w:type="spellStart"/>
            <w:r w:rsidRPr="00222E6C">
              <w:rPr>
                <w:rStyle w:val="normaltextrun"/>
                <w:rFonts w:eastAsiaTheme="majorEastAsia"/>
                <w:color w:val="467886"/>
                <w:sz w:val="20"/>
                <w:szCs w:val="20"/>
                <w:u w:val="single"/>
              </w:rPr>
              <w:t>MSPglobal</w:t>
            </w:r>
            <w:proofErr w:type="spellEnd"/>
            <w:r w:rsidRPr="00222E6C">
              <w:rPr>
                <w:rStyle w:val="normaltextrun"/>
                <w:rFonts w:eastAsiaTheme="majorEastAsia"/>
                <w:color w:val="467886"/>
                <w:sz w:val="20"/>
                <w:szCs w:val="20"/>
                <w:u w:val="single"/>
              </w:rPr>
              <w:t>: international guide on marine/maritime spatial planning (UNESCO-IOC and European Commission, 2021)</w:t>
            </w:r>
            <w:r w:rsidRPr="00222E6C">
              <w:rPr>
                <w:rStyle w:val="normaltextrun"/>
                <w:rFonts w:asciiTheme="majorBidi" w:eastAsiaTheme="majorEastAsia" w:hAnsiTheme="majorBidi" w:cstheme="majorBidi"/>
                <w:sz w:val="20"/>
                <w:szCs w:val="20"/>
                <w:lang w:val="en-GB"/>
              </w:rPr>
              <w:t>)</w:t>
            </w:r>
            <w:r w:rsidRPr="00222E6C">
              <w:rPr>
                <w:rStyle w:val="eop"/>
                <w:rFonts w:asciiTheme="majorBidi" w:eastAsiaTheme="majorEastAsia" w:hAnsiTheme="majorBidi" w:cstheme="majorBidi"/>
                <w:sz w:val="20"/>
                <w:szCs w:val="20"/>
              </w:rPr>
              <w:t> </w:t>
            </w:r>
          </w:p>
        </w:tc>
        <w:tc>
          <w:tcPr>
            <w:tcW w:w="4335" w:type="dxa"/>
            <w:tcBorders>
              <w:top w:val="single" w:sz="6" w:space="0" w:color="auto"/>
              <w:left w:val="single" w:sz="6" w:space="0" w:color="auto"/>
              <w:bottom w:val="single" w:sz="6" w:space="0" w:color="auto"/>
              <w:right w:val="single" w:sz="6" w:space="0" w:color="auto"/>
            </w:tcBorders>
            <w:hideMark/>
          </w:tcPr>
          <w:p w14:paraId="5E9DA698"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b/>
                <w:bCs/>
                <w:sz w:val="20"/>
                <w:szCs w:val="20"/>
                <w:lang w:val="en-GB"/>
              </w:rPr>
              <w:t>Integrated spatial planning</w:t>
            </w:r>
            <w:r w:rsidRPr="00222E6C">
              <w:rPr>
                <w:rStyle w:val="normaltextrun"/>
                <w:rFonts w:asciiTheme="majorBidi" w:eastAsiaTheme="majorEastAsia" w:hAnsiTheme="majorBidi" w:cstheme="majorBidi"/>
                <w:sz w:val="20"/>
                <w:szCs w:val="20"/>
                <w:lang w:val="en-GB"/>
              </w:rPr>
              <w:t>: "</w:t>
            </w:r>
            <w:r w:rsidRPr="00222E6C">
              <w:rPr>
                <w:rStyle w:val="normaltextrun"/>
                <w:rFonts w:asciiTheme="majorBidi" w:eastAsiaTheme="majorEastAsia" w:hAnsiTheme="majorBidi" w:cstheme="majorBidi"/>
                <w:i/>
                <w:iCs/>
                <w:sz w:val="20"/>
                <w:szCs w:val="20"/>
                <w:lang w:val="en-GB"/>
              </w:rPr>
              <w:t>a whole-of-government process to create land and sea use plans to achieve social, economic and ecological objectives for sustainable development</w:t>
            </w:r>
            <w:r w:rsidRPr="00222E6C">
              <w:rPr>
                <w:rStyle w:val="normaltextrun"/>
                <w:rFonts w:asciiTheme="majorBidi" w:eastAsiaTheme="majorEastAsia" w:hAnsiTheme="majorBidi" w:cstheme="majorBidi"/>
                <w:sz w:val="20"/>
                <w:szCs w:val="20"/>
                <w:lang w:val="en-GB"/>
              </w:rPr>
              <w:t xml:space="preserve">." (modified by </w:t>
            </w:r>
            <w:hyperlink r:id="rId225" w:tgtFrame="_blank" w:history="1">
              <w:r w:rsidRPr="00222E6C">
                <w:rPr>
                  <w:rStyle w:val="normaltextrun"/>
                  <w:rFonts w:asciiTheme="majorBidi" w:eastAsiaTheme="majorEastAsia" w:hAnsiTheme="majorBidi" w:cstheme="majorBidi"/>
                  <w:color w:val="0000FF"/>
                  <w:sz w:val="20"/>
                  <w:szCs w:val="20"/>
                  <w:u w:val="single"/>
                  <w:lang w:val="en-GB"/>
                </w:rPr>
                <w:t>Integrated Spatial Planning Workbook | United Nations Development Programme (undp.org))</w:t>
              </w:r>
            </w:hyperlink>
            <w:r w:rsidRPr="00222E6C">
              <w:rPr>
                <w:rStyle w:val="eop"/>
                <w:rFonts w:asciiTheme="majorBidi" w:eastAsiaTheme="majorEastAsia" w:hAnsiTheme="majorBidi" w:cstheme="majorBidi"/>
                <w:sz w:val="20"/>
                <w:szCs w:val="20"/>
              </w:rPr>
              <w:t> </w:t>
            </w:r>
          </w:p>
          <w:p w14:paraId="610D0DA0"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eop"/>
                <w:rFonts w:asciiTheme="majorBidi" w:eastAsiaTheme="majorEastAsia" w:hAnsiTheme="majorBidi" w:cstheme="majorBidi"/>
                <w:sz w:val="20"/>
                <w:szCs w:val="20"/>
              </w:rPr>
              <w:t> </w:t>
            </w:r>
          </w:p>
        </w:tc>
      </w:tr>
      <w:tr w:rsidR="00C233A4" w:rsidRPr="00222E6C" w14:paraId="6410EBB8" w14:textId="77777777" w:rsidTr="007E1F72">
        <w:trPr>
          <w:trHeight w:val="300"/>
        </w:trPr>
        <w:tc>
          <w:tcPr>
            <w:tcW w:w="4665" w:type="dxa"/>
            <w:tcBorders>
              <w:top w:val="single" w:sz="6" w:space="0" w:color="auto"/>
              <w:left w:val="single" w:sz="6" w:space="0" w:color="auto"/>
              <w:bottom w:val="single" w:sz="6" w:space="0" w:color="auto"/>
              <w:right w:val="single" w:sz="6" w:space="0" w:color="auto"/>
            </w:tcBorders>
            <w:hideMark/>
          </w:tcPr>
          <w:p w14:paraId="7CE4160A"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b/>
                <w:bCs/>
                <w:sz w:val="20"/>
                <w:szCs w:val="20"/>
                <w:lang w:val="en-GB"/>
              </w:rPr>
              <w:t>Participatory</w:t>
            </w:r>
            <w:r w:rsidRPr="00222E6C">
              <w:rPr>
                <w:rStyle w:val="eop"/>
                <w:rFonts w:asciiTheme="majorBidi" w:eastAsiaTheme="majorEastAsia" w:hAnsiTheme="majorBidi" w:cstheme="majorBidi"/>
                <w:sz w:val="20"/>
                <w:szCs w:val="20"/>
              </w:rPr>
              <w:t> </w:t>
            </w:r>
          </w:p>
          <w:p w14:paraId="552E719F"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sz w:val="20"/>
                <w:szCs w:val="20"/>
                <w:lang w:val="en-GB"/>
              </w:rPr>
              <w:t>The definition is a synthesis of key concepts merging previously suggested definitions (such as "</w:t>
            </w:r>
            <w:r w:rsidRPr="00222E6C">
              <w:rPr>
                <w:rStyle w:val="normaltextrun"/>
                <w:rFonts w:asciiTheme="majorBidi" w:eastAsiaTheme="majorEastAsia" w:hAnsiTheme="majorBidi" w:cstheme="majorBidi"/>
                <w:i/>
                <w:iCs/>
                <w:sz w:val="20"/>
                <w:szCs w:val="20"/>
                <w:lang w:val="en-GB"/>
              </w:rPr>
              <w:t>rights-based governance</w:t>
            </w:r>
            <w:r w:rsidRPr="00222E6C">
              <w:rPr>
                <w:rStyle w:val="normaltextrun"/>
                <w:rFonts w:asciiTheme="majorBidi" w:eastAsiaTheme="majorEastAsia" w:hAnsiTheme="majorBidi" w:cstheme="majorBidi"/>
                <w:sz w:val="20"/>
                <w:szCs w:val="20"/>
                <w:lang w:val="en-GB"/>
              </w:rPr>
              <w:t xml:space="preserve">" in </w:t>
            </w:r>
            <w:hyperlink r:id="rId226" w:tgtFrame="_blank" w:history="1">
              <w:r w:rsidRPr="00222E6C">
                <w:rPr>
                  <w:rStyle w:val="normaltextrun"/>
                  <w:rFonts w:asciiTheme="majorBidi" w:eastAsiaTheme="majorEastAsia" w:hAnsiTheme="majorBidi" w:cstheme="majorBidi"/>
                  <w:color w:val="467886"/>
                  <w:sz w:val="20"/>
                  <w:szCs w:val="20"/>
                  <w:u w:val="single"/>
                  <w:lang w:val="en-GB"/>
                </w:rPr>
                <w:t>Springer et al. 2021</w:t>
              </w:r>
            </w:hyperlink>
            <w:r w:rsidRPr="00222E6C">
              <w:rPr>
                <w:rStyle w:val="normaltextrun"/>
                <w:rFonts w:asciiTheme="majorBidi" w:eastAsiaTheme="majorEastAsia" w:hAnsiTheme="majorBidi" w:cstheme="majorBidi"/>
                <w:sz w:val="20"/>
                <w:szCs w:val="20"/>
                <w:lang w:val="en-GB"/>
              </w:rPr>
              <w:t xml:space="preserve"> and </w:t>
            </w:r>
            <w:r w:rsidRPr="00222E6C">
              <w:rPr>
                <w:rStyle w:val="normaltextrun"/>
                <w:rFonts w:asciiTheme="majorBidi" w:eastAsiaTheme="majorEastAsia" w:hAnsiTheme="majorBidi" w:cstheme="majorBidi"/>
                <w:sz w:val="20"/>
                <w:szCs w:val="20"/>
                <w:lang w:val="en-US"/>
              </w:rPr>
              <w:t xml:space="preserve">the FAO/CFS </w:t>
            </w:r>
            <w:hyperlink r:id="rId227" w:tgtFrame="_blank" w:history="1">
              <w:r w:rsidRPr="00222E6C">
                <w:rPr>
                  <w:rStyle w:val="normaltextrun"/>
                  <w:rFonts w:asciiTheme="majorBidi" w:eastAsiaTheme="majorEastAsia" w:hAnsiTheme="majorBidi" w:cstheme="majorBidi"/>
                  <w:color w:val="0563C1"/>
                  <w:sz w:val="20"/>
                  <w:szCs w:val="20"/>
                  <w:u w:val="single"/>
                  <w:lang w:val="en-US"/>
                </w:rPr>
                <w:t>Voluntary Guidelines on the Responsible Governance of Tenure</w:t>
              </w:r>
            </w:hyperlink>
            <w:r w:rsidRPr="00222E6C">
              <w:rPr>
                <w:rStyle w:val="normaltextrun"/>
                <w:rFonts w:asciiTheme="majorBidi" w:eastAsiaTheme="majorEastAsia" w:hAnsiTheme="majorBidi" w:cstheme="majorBidi"/>
                <w:sz w:val="20"/>
                <w:szCs w:val="20"/>
                <w:lang w:val="en-US"/>
              </w:rPr>
              <w:t xml:space="preserve"> (VGGT), which is a document with high levels of legitimacy and that was the result of a long and consultative process with Parties).</w:t>
            </w:r>
            <w:r w:rsidRPr="00222E6C">
              <w:rPr>
                <w:rStyle w:val="eop"/>
                <w:rFonts w:asciiTheme="majorBidi" w:eastAsiaTheme="majorEastAsia" w:hAnsiTheme="majorBidi" w:cstheme="majorBidi"/>
                <w:sz w:val="20"/>
                <w:szCs w:val="20"/>
              </w:rPr>
              <w:t> </w:t>
            </w:r>
          </w:p>
        </w:tc>
        <w:tc>
          <w:tcPr>
            <w:tcW w:w="4335" w:type="dxa"/>
            <w:tcBorders>
              <w:top w:val="single" w:sz="6" w:space="0" w:color="auto"/>
              <w:left w:val="single" w:sz="6" w:space="0" w:color="auto"/>
              <w:bottom w:val="single" w:sz="6" w:space="0" w:color="auto"/>
              <w:right w:val="single" w:sz="6" w:space="0" w:color="auto"/>
            </w:tcBorders>
            <w:hideMark/>
          </w:tcPr>
          <w:p w14:paraId="71C9C17E" w14:textId="77777777" w:rsidR="00C233A4" w:rsidRPr="00222E6C" w:rsidRDefault="00C233A4" w:rsidP="007E1F72">
            <w:pPr>
              <w:pStyle w:val="paragraph"/>
              <w:spacing w:before="0" w:beforeAutospacing="0" w:after="0" w:afterAutospacing="0"/>
              <w:textAlignment w:val="baseline"/>
              <w:rPr>
                <w:rFonts w:asciiTheme="majorBidi" w:hAnsiTheme="majorBidi" w:cstheme="majorBidi"/>
                <w:sz w:val="20"/>
                <w:szCs w:val="20"/>
              </w:rPr>
            </w:pPr>
            <w:r w:rsidRPr="00222E6C">
              <w:rPr>
                <w:rStyle w:val="normaltextrun"/>
                <w:rFonts w:asciiTheme="majorBidi" w:eastAsiaTheme="majorEastAsia" w:hAnsiTheme="majorBidi" w:cstheme="majorBidi"/>
                <w:b/>
                <w:bCs/>
                <w:sz w:val="20"/>
                <w:szCs w:val="20"/>
                <w:lang w:val="en-GB"/>
              </w:rPr>
              <w:t>Participatory approaches to spatial planning</w:t>
            </w:r>
            <w:r w:rsidRPr="00222E6C">
              <w:rPr>
                <w:rStyle w:val="normaltextrun"/>
                <w:rFonts w:asciiTheme="majorBidi" w:eastAsiaTheme="majorEastAsia" w:hAnsiTheme="majorBidi" w:cstheme="majorBidi"/>
                <w:sz w:val="20"/>
                <w:szCs w:val="20"/>
                <w:lang w:val="en-GB"/>
              </w:rPr>
              <w:t xml:space="preserve"> "</w:t>
            </w:r>
            <w:r w:rsidRPr="00222E6C">
              <w:rPr>
                <w:rStyle w:val="normaltextrun"/>
                <w:rFonts w:asciiTheme="majorBidi" w:eastAsiaTheme="majorEastAsia" w:hAnsiTheme="majorBidi" w:cstheme="majorBidi"/>
                <w:i/>
                <w:iCs/>
                <w:sz w:val="20"/>
                <w:szCs w:val="20"/>
                <w:lang w:val="en-GB"/>
              </w:rPr>
              <w:t>involve stakeholders and rightsholders in all processes of decision-making and the long-term effective management, taking into account traditional knowledge, ensuring that the voices of rightsholders and particularly marginalized groups are appropriately taken into account, to support healthy ecosystems, social equity and human rights</w:t>
            </w:r>
            <w:r w:rsidRPr="00222E6C">
              <w:rPr>
                <w:rStyle w:val="normaltextrun"/>
                <w:rFonts w:asciiTheme="majorBidi" w:eastAsiaTheme="majorEastAsia" w:hAnsiTheme="majorBidi" w:cstheme="majorBidi"/>
                <w:sz w:val="20"/>
                <w:szCs w:val="20"/>
                <w:lang w:val="en-GB"/>
              </w:rPr>
              <w:t>".</w:t>
            </w:r>
            <w:r w:rsidRPr="00222E6C">
              <w:rPr>
                <w:rStyle w:val="eop"/>
                <w:rFonts w:asciiTheme="majorBidi" w:eastAsiaTheme="majorEastAsia" w:hAnsiTheme="majorBidi" w:cstheme="majorBidi"/>
                <w:sz w:val="20"/>
                <w:szCs w:val="20"/>
              </w:rPr>
              <w:t> </w:t>
            </w:r>
          </w:p>
        </w:tc>
      </w:tr>
    </w:tbl>
    <w:p w14:paraId="782FCFE0"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D46C301"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Other key concepts and definitions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7EB3D64D"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Areas of high biodiversity importance: Locations that contain populations of threatened or geographically restricted species; highly significant extents of threatened or geographically restricted ecosystems; ecosystems of high ecological integrity; high significance for the maintenance of biological processes (e.g. migration, reproduction, refugia etc</w:t>
      </w:r>
      <w:r>
        <w:rPr>
          <w:rStyle w:val="normaltextrun"/>
          <w:rFonts w:eastAsiaTheme="majorEastAsia"/>
        </w:rPr>
        <w:t>.</w:t>
      </w:r>
      <w:r w:rsidRPr="00ED7E61">
        <w:rPr>
          <w:rStyle w:val="normaltextrun"/>
          <w:rFonts w:eastAsiaTheme="majorEastAsia"/>
        </w:rPr>
        <w:t>); high irreplaceability; or high significance for ecological connectivity. Locations that include culturally important biodiversity [or species and ecosystems (for indigenous people</w:t>
      </w:r>
      <w:r>
        <w:rPr>
          <w:rStyle w:val="normaltextrun"/>
          <w:rFonts w:eastAsiaTheme="majorEastAsia"/>
        </w:rPr>
        <w:t>s</w:t>
      </w:r>
      <w:r w:rsidRPr="00ED7E61">
        <w:rPr>
          <w:rStyle w:val="normaltextrun"/>
          <w:rFonts w:eastAsiaTheme="majorEastAsia"/>
        </w:rPr>
        <w:t xml:space="preserve"> and local communities).</w:t>
      </w:r>
      <w:r w:rsidRPr="00ED7E61">
        <w:rPr>
          <w:rStyle w:val="normaltextrun"/>
        </w:rPr>
        <w:t> </w:t>
      </w:r>
    </w:p>
    <w:p w14:paraId="5431391D"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7F68F229"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lastRenderedPageBreak/>
        <w:t>N/A. This proposed indicator will be supplemented by the information gathered through binary</w:t>
      </w:r>
      <w:r>
        <w:rPr>
          <w:rStyle w:val="normaltextrun"/>
          <w:rFonts w:eastAsiaTheme="majorEastAsia"/>
        </w:rPr>
        <w:t xml:space="preserve"> </w:t>
      </w:r>
      <w:r w:rsidRPr="00ED7E61">
        <w:rPr>
          <w:rStyle w:val="normaltextrun"/>
          <w:rFonts w:eastAsiaTheme="majorEastAsia"/>
        </w:rPr>
        <w:t>indicator 1.1 for the time being and until a comprehensive and systematic methodology can be provided. </w:t>
      </w:r>
      <w:r w:rsidRPr="00ED7E61">
        <w:rPr>
          <w:rStyle w:val="normaltextrun"/>
        </w:rPr>
        <w:t> </w:t>
      </w:r>
    </w:p>
    <w:p w14:paraId="781F0CEC"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5c. Data collection method</w:t>
      </w:r>
      <w:r w:rsidRPr="00ED7E61">
        <w:rPr>
          <w:rStyle w:val="eop"/>
          <w:rFonts w:asciiTheme="majorBidi" w:eastAsiaTheme="majorEastAsia" w:hAnsiTheme="majorBidi" w:cstheme="majorBidi"/>
          <w:sz w:val="22"/>
          <w:szCs w:val="22"/>
        </w:rPr>
        <w:t> </w:t>
      </w:r>
    </w:p>
    <w:p w14:paraId="5A3FA7A7"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No data collection is planned for this indicator yet. However, information gathered through binary indicator 1.1 and experience drawn from that will inform the methodology for collecting quantitative data at a later stage.</w:t>
      </w:r>
      <w:r w:rsidRPr="00ED7E61">
        <w:rPr>
          <w:rStyle w:val="normaltextrun"/>
        </w:rPr>
        <w:t> </w:t>
      </w:r>
    </w:p>
    <w:p w14:paraId="570F9D7D"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5d. Accessibility of methodology</w:t>
      </w:r>
      <w:r w:rsidRPr="00ED7E61">
        <w:rPr>
          <w:rStyle w:val="eop"/>
          <w:rFonts w:asciiTheme="majorBidi" w:eastAsiaTheme="majorEastAsia" w:hAnsiTheme="majorBidi" w:cstheme="majorBidi"/>
          <w:sz w:val="22"/>
          <w:szCs w:val="22"/>
        </w:rPr>
        <w:t> </w:t>
      </w:r>
    </w:p>
    <w:p w14:paraId="0D19ACDD"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N/A</w:t>
      </w:r>
      <w:r w:rsidRPr="00ED7E61">
        <w:rPr>
          <w:rStyle w:val="normaltextrun"/>
        </w:rPr>
        <w:t> </w:t>
      </w:r>
    </w:p>
    <w:p w14:paraId="2D0955B4"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5e. Data sources/methods and documentation on processes</w:t>
      </w:r>
      <w:r w:rsidRPr="00ED7E61">
        <w:rPr>
          <w:rStyle w:val="eop"/>
          <w:rFonts w:asciiTheme="majorBidi" w:eastAsiaTheme="majorEastAsia" w:hAnsiTheme="majorBidi" w:cstheme="majorBidi"/>
          <w:sz w:val="22"/>
          <w:szCs w:val="22"/>
        </w:rPr>
        <w:t> </w:t>
      </w:r>
    </w:p>
    <w:p w14:paraId="5A29B5CD"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No comprehensive and uniform data sources have been identified, and there is need to consider/describe sources and processes at the national level.</w:t>
      </w:r>
      <w:r w:rsidRPr="00ED7E61">
        <w:rPr>
          <w:rStyle w:val="normaltextrun"/>
        </w:rPr>
        <w:t> </w:t>
      </w:r>
    </w:p>
    <w:p w14:paraId="0D306A65"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Elements of spatial planning are covered by the Sustainable Development Goals indicators:</w:t>
      </w:r>
      <w:r w:rsidRPr="00ED7E61">
        <w:rPr>
          <w:rStyle w:val="normaltextrun"/>
        </w:rPr>
        <w:t> </w:t>
      </w:r>
    </w:p>
    <w:p w14:paraId="156E4DE8"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Proportion of agricultural area under productive and sustainable agriculture (2.4.1), </w:t>
      </w:r>
      <w:r w:rsidRPr="00ED7E61">
        <w:rPr>
          <w:rStyle w:val="normaltextrun"/>
        </w:rPr>
        <w:t> </w:t>
      </w:r>
    </w:p>
    <w:p w14:paraId="43AF6D03" w14:textId="77777777" w:rsidR="00C233A4" w:rsidRPr="00ED7E61" w:rsidRDefault="00C233A4" w:rsidP="00C233A4">
      <w:pPr>
        <w:pStyle w:val="CBDNormalNumber"/>
        <w:numPr>
          <w:ilvl w:val="2"/>
          <w:numId w:val="70"/>
        </w:numPr>
        <w:tabs>
          <w:tab w:val="clear" w:pos="567"/>
          <w:tab w:val="clear" w:pos="1134"/>
          <w:tab w:val="clear" w:pos="1701"/>
          <w:tab w:val="clear" w:pos="2268"/>
          <w:tab w:val="left" w:pos="1985"/>
        </w:tabs>
        <w:rPr>
          <w:rStyle w:val="normaltextrun"/>
          <w:rFonts w:eastAsiaTheme="majorEastAsia"/>
        </w:rPr>
      </w:pPr>
      <w:r w:rsidRPr="00ED7E61">
        <w:rPr>
          <w:rStyle w:val="normaltextrun"/>
          <w:rFonts w:eastAsiaTheme="majorEastAsia"/>
        </w:rPr>
        <w:t>headline indicator 10.1</w:t>
      </w:r>
      <w:r w:rsidRPr="00ED7E61">
        <w:rPr>
          <w:rStyle w:val="normaltextrun"/>
        </w:rPr>
        <w:t> </w:t>
      </w:r>
    </w:p>
    <w:p w14:paraId="3BF5DA9E"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Marine spatial planning and intercoastal zone management (14.2.1)</w:t>
      </w:r>
      <w:r w:rsidRPr="00ED7E61">
        <w:rPr>
          <w:rStyle w:val="normaltextrun"/>
        </w:rPr>
        <w:t> </w:t>
      </w:r>
    </w:p>
    <w:p w14:paraId="61D0A0A9"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Sustainable forest management (15.2.1),</w:t>
      </w:r>
      <w:r w:rsidRPr="00ED7E61">
        <w:rPr>
          <w:rStyle w:val="normaltextrun"/>
        </w:rPr>
        <w:t> </w:t>
      </w:r>
    </w:p>
    <w:p w14:paraId="1BB05541" w14:textId="77777777" w:rsidR="00C233A4" w:rsidRPr="00ED7E61" w:rsidRDefault="00C233A4" w:rsidP="00C233A4">
      <w:pPr>
        <w:pStyle w:val="CBDNormalNumber"/>
        <w:numPr>
          <w:ilvl w:val="2"/>
          <w:numId w:val="70"/>
        </w:numPr>
        <w:tabs>
          <w:tab w:val="clear" w:pos="567"/>
          <w:tab w:val="clear" w:pos="1134"/>
          <w:tab w:val="clear" w:pos="1701"/>
          <w:tab w:val="clear" w:pos="2268"/>
          <w:tab w:val="left" w:pos="1985"/>
        </w:tabs>
        <w:rPr>
          <w:rStyle w:val="normaltextrun"/>
          <w:rFonts w:eastAsiaTheme="majorEastAsia"/>
        </w:rPr>
      </w:pPr>
      <w:r w:rsidRPr="00ED7E61">
        <w:rPr>
          <w:rStyle w:val="normaltextrun"/>
          <w:rFonts w:eastAsiaTheme="majorEastAsia"/>
        </w:rPr>
        <w:t>headline indicator 10.2</w:t>
      </w:r>
      <w:r w:rsidRPr="00ED7E61">
        <w:rPr>
          <w:rStyle w:val="normaltextrun"/>
        </w:rPr>
        <w:t> </w:t>
      </w:r>
    </w:p>
    <w:p w14:paraId="56C35AA1"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In addition to partial overlap with: </w:t>
      </w:r>
      <w:r w:rsidRPr="00ED7E61">
        <w:rPr>
          <w:rStyle w:val="normaltextrun"/>
        </w:rPr>
        <w:t> </w:t>
      </w:r>
    </w:p>
    <w:p w14:paraId="1F78BF49"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Coverage of protected areas in relation to marine areas (14.5.1), </w:t>
      </w:r>
      <w:r w:rsidRPr="00ED7E61">
        <w:rPr>
          <w:rStyle w:val="normaltextrun"/>
        </w:rPr>
        <w:t> </w:t>
      </w:r>
    </w:p>
    <w:p w14:paraId="764F2377"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Proportion of important sites for terrestrial and freshwater biodiversity that are covered by protected areas, by ecosystem type (15.1.2), C</w:t>
      </w:r>
      <w:r w:rsidRPr="00ED7E61">
        <w:rPr>
          <w:rStyle w:val="normaltextrun"/>
        </w:rPr>
        <w:t> </w:t>
      </w:r>
    </w:p>
    <w:p w14:paraId="5510852A"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Coverage by protected areas of important sites for mountain biodiversity (15.4.1) </w:t>
      </w:r>
      <w:r w:rsidRPr="00ED7E61">
        <w:rPr>
          <w:rStyle w:val="normaltextrun"/>
        </w:rPr>
        <w:t> </w:t>
      </w:r>
    </w:p>
    <w:p w14:paraId="75D17CB0"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headline indicator 3.1 Coverage of protected areas and OECMs. </w:t>
      </w:r>
      <w:r w:rsidRPr="00ED7E61">
        <w:rPr>
          <w:rStyle w:val="normaltextrun"/>
        </w:rPr>
        <w:t> </w:t>
      </w:r>
    </w:p>
    <w:p w14:paraId="00A96361"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Further examples of relevant data sources/methods are:</w:t>
      </w:r>
      <w:r w:rsidRPr="00ED7E61">
        <w:rPr>
          <w:rStyle w:val="normaltextrun"/>
        </w:rPr>
        <w:t> </w:t>
      </w:r>
    </w:p>
    <w:p w14:paraId="7D562207"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hyperlink r:id="rId228" w:tgtFrame="_blank" w:history="1">
        <w:r w:rsidRPr="00ED7E61">
          <w:rPr>
            <w:rStyle w:val="normaltextrun"/>
            <w:rFonts w:eastAsiaTheme="majorEastAsia"/>
          </w:rPr>
          <w:t>https://unesdoc.unesco.org/ark:/48223/pf0000381921</w:t>
        </w:r>
      </w:hyperlink>
      <w:r>
        <w:rPr>
          <w:rStyle w:val="normaltextrun"/>
          <w:rFonts w:eastAsiaTheme="majorEastAsia"/>
        </w:rPr>
        <w:t xml:space="preserve">  </w:t>
      </w:r>
    </w:p>
    <w:p w14:paraId="6C6463AC"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hyperlink r:id="rId229" w:history="1">
        <w:r w:rsidRPr="00ED7E61">
          <w:rPr>
            <w:rStyle w:val="normaltextrun"/>
          </w:rPr>
          <w:t>https://www.mspglobal2030.org/wp-content/uploads/2022/05/StOR_MSP_SupplementaryMaterial_2022-1.pdf</w:t>
        </w:r>
      </w:hyperlink>
      <w:r w:rsidRPr="00ED7E61">
        <w:rPr>
          <w:rStyle w:val="normaltextrun"/>
          <w:rFonts w:eastAsiaTheme="majorEastAsia"/>
        </w:rPr>
        <w:t xml:space="preserve">  </w:t>
      </w:r>
    </w:p>
    <w:p w14:paraId="6250AFE6"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Pr>
        <w:t>https://www.mspglobal2030.org/msp-roadmap/msp-around-the-world/ </w:t>
      </w:r>
    </w:p>
    <w:p w14:paraId="4C78F27B"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hyperlink r:id="rId230" w:tgtFrame="_blank" w:history="1">
        <w:r w:rsidRPr="00ED7E61">
          <w:rPr>
            <w:rStyle w:val="normaltextrun"/>
            <w:rFonts w:eastAsiaTheme="majorEastAsia"/>
          </w:rPr>
          <w:t>https://macbio-pacific.info/</w:t>
        </w:r>
      </w:hyperlink>
      <w:r w:rsidRPr="00ED7E61">
        <w:rPr>
          <w:rStyle w:val="normaltextrun"/>
          <w:rFonts w:eastAsiaTheme="majorEastAsia"/>
        </w:rPr>
        <w:t> </w:t>
      </w:r>
      <w:r w:rsidRPr="00ED7E61">
        <w:rPr>
          <w:rStyle w:val="normaltextrun"/>
        </w:rPr>
        <w:t> </w:t>
      </w:r>
    </w:p>
    <w:p w14:paraId="56FB300D"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hyperlink r:id="rId231" w:tgtFrame="_blank" w:history="1">
        <w:r w:rsidRPr="00ED7E61">
          <w:rPr>
            <w:rStyle w:val="normaltextrun"/>
            <w:rFonts w:eastAsiaTheme="majorEastAsia"/>
          </w:rPr>
          <w:t>https://www.mapsofhope.org</w:t>
        </w:r>
      </w:hyperlink>
      <w:r w:rsidRPr="00ED7E61">
        <w:rPr>
          <w:rStyle w:val="normaltextrun"/>
          <w:rFonts w:eastAsiaTheme="majorEastAsia"/>
        </w:rPr>
        <w:t> </w:t>
      </w:r>
      <w:r w:rsidRPr="00ED7E61">
        <w:rPr>
          <w:rStyle w:val="normaltextrun"/>
        </w:rPr>
        <w:t> </w:t>
      </w:r>
    </w:p>
    <w:p w14:paraId="7D6F349E"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hyperlink r:id="rId232" w:tgtFrame="_blank" w:history="1">
        <w:r w:rsidRPr="00ED7E61">
          <w:rPr>
            <w:rStyle w:val="normaltextrun"/>
            <w:rFonts w:eastAsiaTheme="majorEastAsia"/>
          </w:rPr>
          <w:t>https://unbiodiversitylab.org/en/</w:t>
        </w:r>
      </w:hyperlink>
      <w:r w:rsidRPr="00ED7E61">
        <w:rPr>
          <w:rStyle w:val="normaltextrun"/>
          <w:rFonts w:eastAsiaTheme="majorEastAsia"/>
        </w:rPr>
        <w:t>, </w:t>
      </w:r>
      <w:r w:rsidRPr="00ED7E61">
        <w:rPr>
          <w:rStyle w:val="normaltextrun"/>
        </w:rPr>
        <w:t> </w:t>
      </w:r>
    </w:p>
    <w:p w14:paraId="2E427FB2"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hyperlink r:id="rId233" w:tgtFrame="_blank" w:history="1">
        <w:r w:rsidRPr="00ED7E61">
          <w:rPr>
            <w:rStyle w:val="normaltextrun"/>
            <w:rFonts w:eastAsiaTheme="majorEastAsia"/>
          </w:rPr>
          <w:t>https://www.cbd.int/protected/2021globalreport.shtml</w:t>
        </w:r>
      </w:hyperlink>
      <w:r w:rsidRPr="00ED7E61">
        <w:rPr>
          <w:rStyle w:val="normaltextrun"/>
        </w:rPr>
        <w:t> </w:t>
      </w:r>
    </w:p>
    <w:p w14:paraId="48299187"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hyperlink r:id="rId234" w:history="1">
        <w:r w:rsidRPr="00ED7E61">
          <w:rPr>
            <w:rStyle w:val="Hyperlink"/>
          </w:rPr>
          <w:t>https://drive.google.com/drive/folders/1yCMmZXBMH48dRvXlOtbDOsA5T6-nC1fX?usp=drive_link</w:t>
        </w:r>
      </w:hyperlink>
      <w:r w:rsidRPr="00ED7E61">
        <w:rPr>
          <w:rStyle w:val="normaltextrun"/>
        </w:rPr>
        <w:t> </w:t>
      </w:r>
    </w:p>
    <w:p w14:paraId="7DC0B4EA"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For community-based monitoring and information systems see:</w:t>
      </w:r>
      <w:r w:rsidRPr="00ED7E61">
        <w:rPr>
          <w:rStyle w:val="normaltextrun"/>
        </w:rPr>
        <w:t> </w:t>
      </w:r>
    </w:p>
    <w:p w14:paraId="64E98325"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hyperlink r:id="rId235" w:tgtFrame="_blank" w:history="1">
        <w:r w:rsidRPr="00ED7E61">
          <w:rPr>
            <w:rStyle w:val="normaltextrun"/>
            <w:rFonts w:eastAsiaTheme="majorEastAsia"/>
          </w:rPr>
          <w:t>https://pipap.sprep.org/</w:t>
        </w:r>
      </w:hyperlink>
      <w:r w:rsidRPr="00ED7E61">
        <w:rPr>
          <w:rStyle w:val="normaltextrun"/>
          <w:rFonts w:eastAsiaTheme="majorEastAsia"/>
        </w:rPr>
        <w:t xml:space="preserve">  </w:t>
      </w:r>
      <w:r w:rsidRPr="00ED7E61">
        <w:rPr>
          <w:rStyle w:val="normaltextrun"/>
        </w:rPr>
        <w:t> </w:t>
      </w:r>
    </w:p>
    <w:p w14:paraId="6D59124F"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eastAsiaTheme="majorEastAsia"/>
        </w:rPr>
        <w:t>and relevant publications by the SPACES coalition: </w:t>
      </w:r>
      <w:r w:rsidRPr="00ED7E61">
        <w:rPr>
          <w:rStyle w:val="eop"/>
          <w:rFonts w:asciiTheme="majorBidi" w:eastAsiaTheme="majorEastAsia" w:hAnsiTheme="majorBidi" w:cstheme="majorBidi"/>
        </w:rPr>
        <w:t> </w:t>
      </w:r>
    </w:p>
    <w:p w14:paraId="0D2041CF" w14:textId="77777777" w:rsidR="00C233A4" w:rsidRPr="00ED7E61" w:rsidRDefault="00C233A4" w:rsidP="00C233A4">
      <w:pPr>
        <w:pStyle w:val="CBDNormalNumber"/>
        <w:numPr>
          <w:ilvl w:val="2"/>
          <w:numId w:val="70"/>
        </w:numPr>
        <w:tabs>
          <w:tab w:val="clear" w:pos="567"/>
          <w:tab w:val="clear" w:pos="1134"/>
          <w:tab w:val="clear" w:pos="1701"/>
          <w:tab w:val="clear" w:pos="2268"/>
          <w:tab w:val="left" w:pos="1985"/>
        </w:tabs>
        <w:rPr>
          <w:rFonts w:asciiTheme="majorBidi" w:hAnsiTheme="majorBidi" w:cstheme="majorBidi"/>
        </w:rPr>
      </w:pPr>
      <w:hyperlink r:id="rId236" w:history="1">
        <w:r w:rsidRPr="00ED7E61">
          <w:rPr>
            <w:rStyle w:val="Hyperlink"/>
          </w:rPr>
          <w:t>https://production-wordpress.spacescoalition.org/content//uploads/2022/12/202205_SPACES-Primer-Paper_05.pdf</w:t>
        </w:r>
      </w:hyperlink>
      <w:r w:rsidRPr="00ED7E61">
        <w:rPr>
          <w:rStyle w:val="eop"/>
          <w:rFonts w:asciiTheme="majorBidi" w:eastAsiaTheme="majorEastAsia" w:hAnsiTheme="majorBidi" w:cstheme="majorBidi"/>
        </w:rPr>
        <w:t> </w:t>
      </w:r>
    </w:p>
    <w:p w14:paraId="29896543" w14:textId="77777777" w:rsidR="00C233A4" w:rsidRPr="00ED7E61" w:rsidRDefault="00C233A4" w:rsidP="00C233A4">
      <w:pPr>
        <w:pStyle w:val="CBDNormalNumber"/>
        <w:numPr>
          <w:ilvl w:val="2"/>
          <w:numId w:val="70"/>
        </w:numPr>
        <w:tabs>
          <w:tab w:val="clear" w:pos="567"/>
          <w:tab w:val="clear" w:pos="1134"/>
          <w:tab w:val="clear" w:pos="1701"/>
          <w:tab w:val="clear" w:pos="2268"/>
          <w:tab w:val="left" w:pos="1985"/>
        </w:tabs>
        <w:rPr>
          <w:rFonts w:asciiTheme="majorBidi" w:hAnsiTheme="majorBidi" w:cstheme="majorBidi"/>
        </w:rPr>
      </w:pPr>
      <w:hyperlink r:id="rId237" w:history="1">
        <w:r w:rsidRPr="00ED7E61">
          <w:rPr>
            <w:rStyle w:val="Hyperlink"/>
          </w:rPr>
          <w:t>https://spacescoalition.org/en/resources</w:t>
        </w:r>
      </w:hyperlink>
      <w:r w:rsidRPr="00ED7E61">
        <w:rPr>
          <w:rStyle w:val="eop"/>
          <w:rFonts w:asciiTheme="majorBidi" w:eastAsiaTheme="majorEastAsia" w:hAnsiTheme="majorBidi" w:cstheme="majorBidi"/>
        </w:rPr>
        <w:t> </w:t>
      </w:r>
    </w:p>
    <w:p w14:paraId="16FE849F"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From the CBD discussion forum:</w:t>
      </w:r>
      <w:r w:rsidRPr="00ED7E61">
        <w:rPr>
          <w:rStyle w:val="eop"/>
          <w:rFonts w:asciiTheme="majorBidi" w:eastAsiaTheme="majorEastAsia" w:hAnsiTheme="majorBidi" w:cstheme="majorBidi"/>
          <w:sz w:val="22"/>
          <w:szCs w:val="22"/>
        </w:rPr>
        <w:t> </w:t>
      </w:r>
    </w:p>
    <w:p w14:paraId="3D3293F7"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 xml:space="preserve">WCS: a few examples of spatial assessment and planning processes that are biodiversity inclusive and participatory, noting that these thresholds are not clearly defined </w:t>
      </w:r>
      <w:proofErr w:type="gramStart"/>
      <w:r w:rsidRPr="00ED7E61">
        <w:rPr>
          <w:rStyle w:val="normaltextrun"/>
          <w:rFonts w:eastAsiaTheme="majorEastAsia"/>
        </w:rPr>
        <w:t>as of yet</w:t>
      </w:r>
      <w:proofErr w:type="gramEnd"/>
      <w:r w:rsidRPr="00ED7E61">
        <w:rPr>
          <w:rStyle w:val="normaltextrun"/>
          <w:rFonts w:eastAsiaTheme="majorEastAsia"/>
        </w:rPr>
        <w:t xml:space="preserve"> and there is a great diversity in approaches.</w:t>
      </w:r>
      <w:r w:rsidRPr="00ED7E61">
        <w:rPr>
          <w:rStyle w:val="normaltextrun"/>
        </w:rPr>
        <w:t> </w:t>
      </w:r>
    </w:p>
    <w:p w14:paraId="58633A27"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South Africa: </w:t>
      </w:r>
      <w:hyperlink r:id="rId238" w:tgtFrame="_blank" w:history="1">
        <w:r w:rsidRPr="00ED7E61">
          <w:rPr>
            <w:rStyle w:val="normaltextrun"/>
            <w:rFonts w:eastAsiaTheme="majorEastAsia"/>
          </w:rPr>
          <w:t>https://www.sanbi.org/biodiversity/building-knowledge/biodiversity-monitoring-assessment/national-biodiversity-assessment/</w:t>
        </w:r>
      </w:hyperlink>
      <w:r>
        <w:rPr>
          <w:rStyle w:val="normaltextrun"/>
          <w:rFonts w:eastAsiaTheme="majorEastAsia"/>
        </w:rPr>
        <w:t xml:space="preserve"> </w:t>
      </w:r>
    </w:p>
    <w:p w14:paraId="71BAD8AF"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lang w:val="fr-FR"/>
        </w:rPr>
      </w:pPr>
      <w:proofErr w:type="gramStart"/>
      <w:r w:rsidRPr="00ED7E61">
        <w:rPr>
          <w:rStyle w:val="normaltextrun"/>
          <w:rFonts w:eastAsiaTheme="majorEastAsia"/>
          <w:lang w:val="fr-FR"/>
        </w:rPr>
        <w:t>Seychelles:</w:t>
      </w:r>
      <w:proofErr w:type="gramEnd"/>
      <w:r w:rsidRPr="00ED7E61">
        <w:rPr>
          <w:rStyle w:val="normaltextrun"/>
          <w:rFonts w:eastAsiaTheme="majorEastAsia"/>
          <w:lang w:val="fr-FR"/>
        </w:rPr>
        <w:t xml:space="preserve"> </w:t>
      </w:r>
      <w:hyperlink r:id="rId239" w:tgtFrame="_blank" w:history="1">
        <w:r w:rsidRPr="00ED7E61">
          <w:rPr>
            <w:rStyle w:val="normaltextrun"/>
            <w:rFonts w:eastAsiaTheme="majorEastAsia"/>
            <w:lang w:val="fr-FR"/>
          </w:rPr>
          <w:t>https://seymsp.com/the-initiative/</w:t>
        </w:r>
      </w:hyperlink>
      <w:r w:rsidRPr="00ED7E61">
        <w:rPr>
          <w:rStyle w:val="normaltextrun"/>
          <w:rFonts w:eastAsiaTheme="majorEastAsia"/>
          <w:lang w:val="fr-FR"/>
        </w:rPr>
        <w:t> </w:t>
      </w:r>
      <w:r w:rsidRPr="00ED7E61">
        <w:rPr>
          <w:rStyle w:val="normaltextrun"/>
          <w:lang w:val="fr-FR"/>
        </w:rPr>
        <w:t> </w:t>
      </w:r>
    </w:p>
    <w:p w14:paraId="2817AEB5"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China (national): </w:t>
      </w:r>
      <w:hyperlink r:id="rId240" w:tgtFrame="_blank" w:history="1">
        <w:r w:rsidRPr="00ED7E61">
          <w:rPr>
            <w:rStyle w:val="normaltextrun"/>
            <w:rFonts w:eastAsiaTheme="majorEastAsia"/>
          </w:rPr>
          <w:t>https://environmental-partnership.org/wp-content/uploads/2021/12/Policy-Brief-Ecological-Conservation-Redlines-2.pdf</w:t>
        </w:r>
      </w:hyperlink>
      <w:r w:rsidRPr="00ED7E61">
        <w:rPr>
          <w:rStyle w:val="normaltextrun"/>
          <w:rFonts w:eastAsiaTheme="majorEastAsia"/>
        </w:rPr>
        <w:t> </w:t>
      </w:r>
      <w:r w:rsidRPr="00ED7E61">
        <w:rPr>
          <w:rStyle w:val="normaltextrun"/>
        </w:rPr>
        <w:t> </w:t>
      </w:r>
    </w:p>
    <w:p w14:paraId="2F96166B"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lang w:val="es-ES"/>
        </w:rPr>
      </w:pPr>
      <w:r w:rsidRPr="00ED7E61">
        <w:rPr>
          <w:rStyle w:val="normaltextrun"/>
          <w:rFonts w:eastAsiaTheme="majorEastAsia"/>
          <w:lang w:val="es-ES"/>
        </w:rPr>
        <w:t xml:space="preserve">China (regional): </w:t>
      </w:r>
      <w:hyperlink r:id="rId241" w:tgtFrame="_blank" w:history="1">
        <w:r w:rsidRPr="00ED7E61">
          <w:rPr>
            <w:rStyle w:val="normaltextrun"/>
            <w:rFonts w:eastAsiaTheme="majorEastAsia"/>
            <w:lang w:val="es-ES"/>
          </w:rPr>
          <w:t>https://journal.hep.com.cn/laf/EN/10.15302/J-LAF-1-030010</w:t>
        </w:r>
      </w:hyperlink>
      <w:r w:rsidRPr="00ED7E61">
        <w:rPr>
          <w:rStyle w:val="normaltextrun"/>
          <w:rFonts w:eastAsiaTheme="majorEastAsia"/>
          <w:lang w:val="es-ES"/>
        </w:rPr>
        <w:t> </w:t>
      </w:r>
      <w:r w:rsidRPr="00ED7E61">
        <w:rPr>
          <w:rStyle w:val="normaltextrun"/>
          <w:lang w:val="es-ES"/>
        </w:rPr>
        <w:t> </w:t>
      </w:r>
    </w:p>
    <w:p w14:paraId="2BE6D758"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United States/Northeast: </w:t>
      </w:r>
      <w:hyperlink r:id="rId242" w:tgtFrame="_blank" w:history="1">
        <w:r w:rsidRPr="00ED7E61">
          <w:rPr>
            <w:rStyle w:val="normaltextrun"/>
            <w:rFonts w:eastAsiaTheme="majorEastAsia"/>
          </w:rPr>
          <w:t>https://neoceanplanning.org</w:t>
        </w:r>
      </w:hyperlink>
      <w:r w:rsidRPr="00ED7E61">
        <w:rPr>
          <w:rStyle w:val="normaltextrun"/>
          <w:rFonts w:eastAsiaTheme="majorEastAsia"/>
        </w:rPr>
        <w:t> </w:t>
      </w:r>
      <w:r w:rsidRPr="00ED7E61">
        <w:rPr>
          <w:rStyle w:val="normaltextrun"/>
        </w:rPr>
        <w:t> </w:t>
      </w:r>
    </w:p>
    <w:p w14:paraId="51E027F4"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United States/Mid-Atlantic: </w:t>
      </w:r>
      <w:hyperlink r:id="rId243" w:tgtFrame="_blank" w:history="1">
        <w:r w:rsidRPr="00ED7E61">
          <w:rPr>
            <w:rStyle w:val="normaltextrun"/>
            <w:rFonts w:eastAsiaTheme="majorEastAsia"/>
          </w:rPr>
          <w:t>https://www.midatlanticocean.org/ocean-planning/about-ocean-planning/</w:t>
        </w:r>
      </w:hyperlink>
      <w:r w:rsidRPr="00ED7E61">
        <w:rPr>
          <w:rStyle w:val="normaltextrun"/>
          <w:rFonts w:eastAsiaTheme="majorEastAsia"/>
        </w:rPr>
        <w:t> </w:t>
      </w:r>
      <w:r w:rsidRPr="00ED7E61">
        <w:rPr>
          <w:rStyle w:val="normaltextrun"/>
        </w:rPr>
        <w:t> </w:t>
      </w:r>
    </w:p>
    <w:p w14:paraId="1F69A571" w14:textId="77777777" w:rsidR="00C233A4" w:rsidRPr="001C6EE2"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lang w:val="fr-FR"/>
        </w:rPr>
      </w:pPr>
      <w:proofErr w:type="gramStart"/>
      <w:r w:rsidRPr="001C6EE2">
        <w:rPr>
          <w:rStyle w:val="normaltextrun"/>
          <w:rFonts w:eastAsiaTheme="majorEastAsia"/>
          <w:lang w:val="fr-FR"/>
        </w:rPr>
        <w:t>Palau:</w:t>
      </w:r>
      <w:proofErr w:type="gramEnd"/>
      <w:r w:rsidRPr="001C6EE2">
        <w:rPr>
          <w:rStyle w:val="normaltextrun"/>
          <w:rFonts w:eastAsiaTheme="majorEastAsia"/>
          <w:lang w:val="fr-FR"/>
        </w:rPr>
        <w:t xml:space="preserve"> </w:t>
      </w:r>
      <w:hyperlink r:id="rId244" w:tgtFrame="_blank" w:history="1">
        <w:r w:rsidRPr="001C6EE2">
          <w:rPr>
            <w:rStyle w:val="normaltextrun"/>
            <w:rFonts w:eastAsiaTheme="majorEastAsia"/>
            <w:lang w:val="fr-FR"/>
          </w:rPr>
          <w:t>https://www.spc.int/updates/blog/blog/2023/05/biodiversity-rich-palau-launches-ambitious-marine-spatial-planning</w:t>
        </w:r>
      </w:hyperlink>
      <w:r w:rsidRPr="001C6EE2">
        <w:rPr>
          <w:rStyle w:val="normaltextrun"/>
          <w:rFonts w:eastAsiaTheme="majorEastAsia"/>
          <w:lang w:val="fr-FR"/>
        </w:rPr>
        <w:t> </w:t>
      </w:r>
      <w:r w:rsidRPr="001C6EE2">
        <w:rPr>
          <w:rStyle w:val="normaltextrun"/>
          <w:lang w:val="fr-FR"/>
        </w:rPr>
        <w:t> </w:t>
      </w:r>
    </w:p>
    <w:p w14:paraId="32FCA5CF"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Niue: </w:t>
      </w:r>
      <w:hyperlink r:id="rId245" w:tgtFrame="_blank" w:history="1">
        <w:r w:rsidRPr="00ED7E61">
          <w:rPr>
            <w:rStyle w:val="normaltextrun"/>
            <w:rFonts w:eastAsiaTheme="majorEastAsia"/>
          </w:rPr>
          <w:t>https://niueoceanwide.com</w:t>
        </w:r>
      </w:hyperlink>
      <w:r w:rsidRPr="00ED7E61">
        <w:rPr>
          <w:rStyle w:val="normaltextrun"/>
          <w:rFonts w:eastAsiaTheme="majorEastAsia"/>
        </w:rPr>
        <w:t> </w:t>
      </w:r>
      <w:r w:rsidRPr="00ED7E61">
        <w:rPr>
          <w:rStyle w:val="normaltextrun"/>
        </w:rPr>
        <w:t> </w:t>
      </w:r>
    </w:p>
    <w:p w14:paraId="2171D429"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eastAsiaTheme="majorEastAsia"/>
        </w:rPr>
        <w:t xml:space="preserve">Malaysia. 4th National Physical Plan: The Planning Agenda for Prosperous, Resilient and Liveable Malaysia  </w:t>
      </w:r>
      <w:hyperlink r:id="rId246" w:tgtFrame="_blank" w:history="1">
        <w:r w:rsidRPr="00ED7E61">
          <w:rPr>
            <w:rStyle w:val="normaltextrun"/>
            <w:rFonts w:eastAsiaTheme="majorEastAsia"/>
          </w:rPr>
          <w:t>https://rmke12.ekonomi.gov.my/ksp/storage/event/962_22_dr_alias_rameli_4th_national_physical_plan_for_a_prosperous_resilient_and_liveable_malaysia.pdf</w:t>
        </w:r>
      </w:hyperlink>
      <w:r w:rsidRPr="00ED7E61">
        <w:rPr>
          <w:rStyle w:val="eop"/>
          <w:rFonts w:asciiTheme="majorBidi" w:eastAsiaTheme="majorEastAsia" w:hAnsiTheme="majorBidi" w:cstheme="majorBidi"/>
          <w:color w:val="467886"/>
        </w:rPr>
        <w:t> </w:t>
      </w:r>
    </w:p>
    <w:p w14:paraId="26E4FA32"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From WWF international:</w:t>
      </w:r>
      <w:r w:rsidRPr="00ED7E61">
        <w:rPr>
          <w:rStyle w:val="normaltextrun"/>
        </w:rPr>
        <w:t> </w:t>
      </w:r>
    </w:p>
    <w:p w14:paraId="395F06B6"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*Indonesia: Indonesia’s national resource report on spatial planning in coastal areas, with a focus on preventing/reducing the impacts of emergency issues, including natural disasters, climate change and sea-level-rise, considers issues and approaches in spatial planning, lessons from around the world, and specifically the application in Indonesia.</w:t>
      </w:r>
      <w:r w:rsidRPr="00ED7E61">
        <w:rPr>
          <w:rStyle w:val="normaltextrun"/>
        </w:rPr>
        <w:t> </w:t>
      </w:r>
    </w:p>
    <w:p w14:paraId="0D9156F3"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hyperlink r:id="rId247" w:tgtFrame="_blank" w:history="1">
        <w:r w:rsidRPr="00ED7E61">
          <w:rPr>
            <w:rStyle w:val="normaltextrun"/>
            <w:rFonts w:eastAsiaTheme="majorEastAsia"/>
          </w:rPr>
          <w:t>https://wedocs.unep.org/handle/20.500.11822/44333</w:t>
        </w:r>
      </w:hyperlink>
      <w:r w:rsidRPr="00ED7E61">
        <w:rPr>
          <w:rStyle w:val="normaltextrun"/>
          <w:rFonts w:eastAsiaTheme="majorEastAsia"/>
        </w:rPr>
        <w:t> </w:t>
      </w:r>
      <w:r w:rsidRPr="00ED7E61">
        <w:rPr>
          <w:rStyle w:val="normaltextrun"/>
        </w:rPr>
        <w:t> </w:t>
      </w:r>
    </w:p>
    <w:p w14:paraId="1BC17229"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*UK: Guiding principles for Marine Spatial Planning produced by Wildlife and Countryside Link (Link), a nature coalition in England bringing together 80 organi</w:t>
      </w:r>
      <w:r>
        <w:rPr>
          <w:rStyle w:val="normaltextrun"/>
          <w:rFonts w:eastAsiaTheme="majorEastAsia"/>
        </w:rPr>
        <w:t>z</w:t>
      </w:r>
      <w:r w:rsidRPr="00ED7E61">
        <w:rPr>
          <w:rStyle w:val="normaltextrun"/>
          <w:rFonts w:eastAsiaTheme="majorEastAsia"/>
        </w:rPr>
        <w:t xml:space="preserve">ations. </w:t>
      </w:r>
      <w:hyperlink r:id="rId248" w:tgtFrame="_blank" w:history="1">
        <w:r w:rsidRPr="00ED7E61">
          <w:rPr>
            <w:rStyle w:val="normaltextrun"/>
            <w:rFonts w:eastAsiaTheme="majorEastAsia"/>
          </w:rPr>
          <w:t>https://www.wcl.org.uk/docs/assets/uploads/Guiding_principles_for_Marine_Spatial_Planning.pdf</w:t>
        </w:r>
      </w:hyperlink>
      <w:r w:rsidRPr="00ED7E61">
        <w:rPr>
          <w:rStyle w:val="normaltextrun"/>
          <w:rFonts w:eastAsiaTheme="majorEastAsia"/>
        </w:rPr>
        <w:t> </w:t>
      </w:r>
      <w:r w:rsidRPr="00ED7E61">
        <w:rPr>
          <w:rStyle w:val="normaltextrun"/>
        </w:rPr>
        <w:t> </w:t>
      </w:r>
    </w:p>
    <w:p w14:paraId="6745461D"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Examples on "</w:t>
      </w:r>
      <w:r w:rsidRPr="00FB1598">
        <w:rPr>
          <w:rStyle w:val="normaltextrun"/>
          <w:rFonts w:eastAsiaTheme="majorEastAsia"/>
          <w:i/>
          <w:iCs/>
        </w:rPr>
        <w:t>participatory</w:t>
      </w:r>
      <w:r w:rsidRPr="00ED7E61">
        <w:rPr>
          <w:rStyle w:val="normaltextrun"/>
          <w:rFonts w:eastAsiaTheme="majorEastAsia"/>
        </w:rPr>
        <w:t>" marine spatial planning from Spain:</w:t>
      </w:r>
      <w:r w:rsidRPr="00ED7E61">
        <w:rPr>
          <w:rStyle w:val="normaltextrun"/>
        </w:rPr>
        <w:t> </w:t>
      </w:r>
    </w:p>
    <w:p w14:paraId="679FC1B7"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lang w:val="es-ES"/>
        </w:rPr>
      </w:pPr>
      <w:r w:rsidRPr="00ED7E61">
        <w:rPr>
          <w:rStyle w:val="normaltextrun"/>
          <w:rFonts w:eastAsiaTheme="majorEastAsia"/>
          <w:lang w:val="es-ES"/>
        </w:rPr>
        <w:t>“</w:t>
      </w:r>
      <w:r w:rsidRPr="00FB1598">
        <w:rPr>
          <w:rStyle w:val="normaltextrun"/>
          <w:rFonts w:eastAsiaTheme="majorEastAsia"/>
          <w:i/>
          <w:iCs/>
          <w:lang w:val="es-ES"/>
        </w:rPr>
        <w:t>Real Decreto 150/2023, de 28 de febrero, por el que se aprueban los planes de ordenación del espacio marítimo de las cinco demarcaciones marinas españolas</w:t>
      </w:r>
      <w:r w:rsidRPr="00ED7E61">
        <w:rPr>
          <w:rStyle w:val="normaltextrun"/>
          <w:rFonts w:eastAsiaTheme="majorEastAsia"/>
          <w:lang w:val="es-ES"/>
        </w:rPr>
        <w:t>” (</w:t>
      </w:r>
      <w:hyperlink r:id="rId249" w:tgtFrame="_blank" w:history="1">
        <w:r w:rsidRPr="00ED7E61">
          <w:rPr>
            <w:rStyle w:val="normaltextrun"/>
            <w:rFonts w:eastAsiaTheme="majorEastAsia"/>
            <w:lang w:val="es-ES"/>
          </w:rPr>
          <w:t>https://www.boe.es/diario_boe/txt.php?id=BOE-A-2023-5704</w:t>
        </w:r>
      </w:hyperlink>
      <w:r w:rsidRPr="00ED7E61">
        <w:rPr>
          <w:rStyle w:val="normaltextrun"/>
          <w:rFonts w:eastAsiaTheme="majorEastAsia"/>
          <w:lang w:val="es-ES"/>
        </w:rPr>
        <w:t>) (</w:t>
      </w:r>
      <w:proofErr w:type="spellStart"/>
      <w:r w:rsidRPr="00ED7E61">
        <w:rPr>
          <w:rStyle w:val="normaltextrun"/>
          <w:rFonts w:eastAsiaTheme="majorEastAsia"/>
          <w:lang w:val="es-ES"/>
        </w:rPr>
        <w:t>participatory</w:t>
      </w:r>
      <w:proofErr w:type="spellEnd"/>
      <w:r w:rsidRPr="00ED7E61">
        <w:rPr>
          <w:rStyle w:val="normaltextrun"/>
          <w:rFonts w:eastAsiaTheme="majorEastAsia"/>
          <w:lang w:val="es-ES"/>
        </w:rPr>
        <w:t xml:space="preserve"> </w:t>
      </w:r>
      <w:proofErr w:type="spellStart"/>
      <w:r w:rsidRPr="00ED7E61">
        <w:rPr>
          <w:rStyle w:val="normaltextrun"/>
          <w:rFonts w:eastAsiaTheme="majorEastAsia"/>
          <w:lang w:val="es-ES"/>
        </w:rPr>
        <w:t>process</w:t>
      </w:r>
      <w:proofErr w:type="spellEnd"/>
      <w:r w:rsidRPr="00ED7E61">
        <w:rPr>
          <w:rStyle w:val="normaltextrun"/>
          <w:rFonts w:eastAsiaTheme="majorEastAsia"/>
          <w:lang w:val="es-ES"/>
        </w:rPr>
        <w:t xml:space="preserve"> </w:t>
      </w:r>
      <w:proofErr w:type="spellStart"/>
      <w:r w:rsidRPr="00ED7E61">
        <w:rPr>
          <w:rStyle w:val="normaltextrun"/>
          <w:rFonts w:eastAsiaTheme="majorEastAsia"/>
          <w:lang w:val="es-ES"/>
        </w:rPr>
        <w:t>included</w:t>
      </w:r>
      <w:proofErr w:type="spellEnd"/>
      <w:r w:rsidRPr="00ED7E61">
        <w:rPr>
          <w:rStyle w:val="normaltextrun"/>
          <w:rFonts w:eastAsiaTheme="majorEastAsia"/>
          <w:lang w:val="es-ES"/>
        </w:rPr>
        <w:t xml:space="preserve"> </w:t>
      </w:r>
      <w:proofErr w:type="spellStart"/>
      <w:r w:rsidRPr="00ED7E61">
        <w:rPr>
          <w:rStyle w:val="normaltextrun"/>
          <w:rFonts w:eastAsiaTheme="majorEastAsia"/>
          <w:lang w:val="es-ES"/>
        </w:rPr>
        <w:t>engagement</w:t>
      </w:r>
      <w:proofErr w:type="spellEnd"/>
      <w:r w:rsidRPr="00ED7E61">
        <w:rPr>
          <w:rStyle w:val="normaltextrun"/>
          <w:rFonts w:eastAsiaTheme="majorEastAsia"/>
          <w:lang w:val="es-ES"/>
        </w:rPr>
        <w:t xml:space="preserve"> </w:t>
      </w:r>
      <w:proofErr w:type="spellStart"/>
      <w:r w:rsidRPr="00ED7E61">
        <w:rPr>
          <w:rStyle w:val="normaltextrun"/>
          <w:rFonts w:eastAsiaTheme="majorEastAsia"/>
          <w:lang w:val="es-ES"/>
        </w:rPr>
        <w:t>of</w:t>
      </w:r>
      <w:proofErr w:type="spellEnd"/>
      <w:r w:rsidRPr="00ED7E61">
        <w:rPr>
          <w:rStyle w:val="normaltextrun"/>
          <w:rFonts w:eastAsiaTheme="majorEastAsia"/>
          <w:lang w:val="es-ES"/>
        </w:rPr>
        <w:t xml:space="preserve"> representatives </w:t>
      </w:r>
      <w:proofErr w:type="spellStart"/>
      <w:r w:rsidRPr="00ED7E61">
        <w:rPr>
          <w:rStyle w:val="normaltextrun"/>
          <w:rFonts w:eastAsiaTheme="majorEastAsia"/>
          <w:lang w:val="es-ES"/>
        </w:rPr>
        <w:t>of</w:t>
      </w:r>
      <w:proofErr w:type="spellEnd"/>
      <w:r w:rsidRPr="00ED7E61">
        <w:rPr>
          <w:rStyle w:val="normaltextrun"/>
          <w:rFonts w:eastAsiaTheme="majorEastAsia"/>
          <w:lang w:val="es-ES"/>
        </w:rPr>
        <w:t xml:space="preserve"> </w:t>
      </w:r>
      <w:proofErr w:type="spellStart"/>
      <w:r w:rsidRPr="00ED7E61">
        <w:rPr>
          <w:rStyle w:val="normaltextrun"/>
          <w:rFonts w:eastAsiaTheme="majorEastAsia"/>
          <w:lang w:val="es-ES"/>
        </w:rPr>
        <w:t>the</w:t>
      </w:r>
      <w:proofErr w:type="spellEnd"/>
      <w:r w:rsidRPr="00ED7E61">
        <w:rPr>
          <w:rStyle w:val="normaltextrun"/>
          <w:rFonts w:eastAsiaTheme="majorEastAsia"/>
          <w:lang w:val="es-ES"/>
        </w:rPr>
        <w:t xml:space="preserve"> </w:t>
      </w:r>
      <w:proofErr w:type="spellStart"/>
      <w:r w:rsidRPr="00ED7E61">
        <w:rPr>
          <w:rStyle w:val="normaltextrun"/>
          <w:rFonts w:eastAsiaTheme="majorEastAsia"/>
          <w:lang w:val="es-ES"/>
        </w:rPr>
        <w:t>fishing</w:t>
      </w:r>
      <w:proofErr w:type="spellEnd"/>
      <w:r w:rsidRPr="00ED7E61">
        <w:rPr>
          <w:rStyle w:val="normaltextrun"/>
          <w:rFonts w:eastAsiaTheme="majorEastAsia"/>
          <w:lang w:val="es-ES"/>
        </w:rPr>
        <w:t xml:space="preserve"> and </w:t>
      </w:r>
      <w:proofErr w:type="spellStart"/>
      <w:r w:rsidRPr="00ED7E61">
        <w:rPr>
          <w:rStyle w:val="normaltextrun"/>
          <w:rFonts w:eastAsiaTheme="majorEastAsia"/>
          <w:lang w:val="es-ES"/>
        </w:rPr>
        <w:t>wind</w:t>
      </w:r>
      <w:proofErr w:type="spellEnd"/>
      <w:r w:rsidRPr="00ED7E61">
        <w:rPr>
          <w:rStyle w:val="normaltextrun"/>
          <w:rFonts w:eastAsiaTheme="majorEastAsia"/>
          <w:lang w:val="es-ES"/>
        </w:rPr>
        <w:t xml:space="preserve"> </w:t>
      </w:r>
      <w:proofErr w:type="spellStart"/>
      <w:r w:rsidRPr="00ED7E61">
        <w:rPr>
          <w:rStyle w:val="normaltextrun"/>
          <w:rFonts w:eastAsiaTheme="majorEastAsia"/>
          <w:lang w:val="es-ES"/>
        </w:rPr>
        <w:t>energy</w:t>
      </w:r>
      <w:proofErr w:type="spellEnd"/>
      <w:r w:rsidRPr="00ED7E61">
        <w:rPr>
          <w:rStyle w:val="normaltextrun"/>
          <w:rFonts w:eastAsiaTheme="majorEastAsia"/>
          <w:lang w:val="es-ES"/>
        </w:rPr>
        <w:t xml:space="preserve"> </w:t>
      </w:r>
      <w:proofErr w:type="spellStart"/>
      <w:r w:rsidRPr="00ED7E61">
        <w:rPr>
          <w:rStyle w:val="normaltextrun"/>
          <w:rFonts w:eastAsiaTheme="majorEastAsia"/>
          <w:lang w:val="es-ES"/>
        </w:rPr>
        <w:t>sectors</w:t>
      </w:r>
      <w:proofErr w:type="spellEnd"/>
      <w:r w:rsidRPr="00ED7E61">
        <w:rPr>
          <w:rStyle w:val="normaltextrun"/>
          <w:rFonts w:eastAsiaTheme="majorEastAsia"/>
          <w:lang w:val="es-ES"/>
        </w:rPr>
        <w:t>.</w:t>
      </w:r>
      <w:r w:rsidRPr="00ED7E61">
        <w:rPr>
          <w:rStyle w:val="normaltextrun"/>
          <w:lang w:val="es-ES"/>
        </w:rPr>
        <w:t> </w:t>
      </w:r>
    </w:p>
    <w:p w14:paraId="76D77AFE"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In the context of marine protected areas, it has been developed a governance strategy and a guidance for participatory processes within the Life project INTEMARES (access to the Guidance document: </w:t>
      </w:r>
      <w:hyperlink r:id="rId250" w:tgtFrame="_blank" w:history="1">
        <w:r w:rsidRPr="00ED7E61">
          <w:rPr>
            <w:rStyle w:val="normaltextrun"/>
            <w:rFonts w:eastAsiaTheme="majorEastAsia"/>
          </w:rPr>
          <w:t>https://intemares.es/sites/default/files/a10_guia_procesos_en.pdf</w:t>
        </w:r>
      </w:hyperlink>
      <w:r w:rsidRPr="00ED7E61">
        <w:rPr>
          <w:rStyle w:val="normaltextrun"/>
          <w:rFonts w:eastAsiaTheme="majorEastAsia"/>
        </w:rPr>
        <w:t>).</w:t>
      </w:r>
      <w:r w:rsidRPr="00ED7E61">
        <w:rPr>
          <w:rStyle w:val="normaltextrun"/>
        </w:rPr>
        <w:t> </w:t>
      </w:r>
    </w:p>
    <w:p w14:paraId="43966998"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eastAsiaTheme="majorEastAsia"/>
        </w:rPr>
        <w:t xml:space="preserve">Following this methodology, several participatory process have been established for the development of the management plans of marine protected areas. As an example, more information </w:t>
      </w:r>
      <w:r w:rsidRPr="00ED7E61">
        <w:rPr>
          <w:rStyle w:val="normaltextrun"/>
          <w:rFonts w:eastAsiaTheme="majorEastAsia"/>
        </w:rPr>
        <w:lastRenderedPageBreak/>
        <w:t>about the participatory process developed for the marine protected area “</w:t>
      </w:r>
      <w:r w:rsidRPr="00FB1598">
        <w:rPr>
          <w:rStyle w:val="normaltextrun"/>
          <w:rFonts w:eastAsiaTheme="majorEastAsia"/>
          <w:i/>
          <w:iCs/>
        </w:rPr>
        <w:t xml:space="preserve">El </w:t>
      </w:r>
      <w:proofErr w:type="spellStart"/>
      <w:r w:rsidRPr="00FB1598">
        <w:rPr>
          <w:rStyle w:val="normaltextrun"/>
          <w:rFonts w:eastAsiaTheme="majorEastAsia"/>
          <w:i/>
          <w:iCs/>
        </w:rPr>
        <w:t>Cachucho</w:t>
      </w:r>
      <w:proofErr w:type="spellEnd"/>
      <w:r w:rsidRPr="00ED7E61">
        <w:rPr>
          <w:rStyle w:val="normaltextrun"/>
          <w:rFonts w:eastAsiaTheme="majorEastAsia"/>
        </w:rPr>
        <w:t xml:space="preserve">”  can be found at </w:t>
      </w:r>
      <w:hyperlink r:id="rId251" w:tgtFrame="_blank" w:history="1">
        <w:r w:rsidRPr="00ED7E61">
          <w:rPr>
            <w:rStyle w:val="normaltextrun"/>
            <w:rFonts w:eastAsiaTheme="majorEastAsia"/>
          </w:rPr>
          <w:t>https://intemares.es/procesos-participativos/cachucho</w:t>
        </w:r>
      </w:hyperlink>
      <w:r w:rsidRPr="00ED7E61">
        <w:rPr>
          <w:rStyle w:val="normaltextrun"/>
          <w:rFonts w:eastAsiaTheme="majorEastAsia"/>
        </w:rPr>
        <w:t xml:space="preserve"> and the resulting management plan at </w:t>
      </w:r>
      <w:hyperlink r:id="rId252" w:tgtFrame="_blank" w:history="1">
        <w:r w:rsidRPr="00ED7E61">
          <w:rPr>
            <w:rStyle w:val="normaltextrun"/>
            <w:rFonts w:eastAsiaTheme="majorEastAsia"/>
          </w:rPr>
          <w:t>https://intemares.es/sites/default/files/real_decreto_686-2021_de_3_de_agosto.pdf</w:t>
        </w:r>
      </w:hyperlink>
      <w:r>
        <w:rPr>
          <w:rStyle w:val="normaltextrun"/>
          <w:rFonts w:asciiTheme="majorBidi" w:eastAsiaTheme="majorEastAsia" w:hAnsiTheme="majorBidi" w:cstheme="majorBidi"/>
        </w:rPr>
        <w:t xml:space="preserve">. </w:t>
      </w:r>
      <w:r w:rsidRPr="00ED7E61">
        <w:rPr>
          <w:rStyle w:val="eop"/>
          <w:rFonts w:asciiTheme="majorBidi" w:eastAsiaTheme="majorEastAsia" w:hAnsiTheme="majorBidi" w:cstheme="majorBidi"/>
        </w:rPr>
        <w:t> </w:t>
      </w:r>
    </w:p>
    <w:p w14:paraId="7C5DC7DA"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Suggested references from the CBD discussion forum:</w:t>
      </w:r>
      <w:r w:rsidRPr="00ED7E61">
        <w:rPr>
          <w:rStyle w:val="eop"/>
          <w:rFonts w:asciiTheme="majorBidi" w:eastAsiaTheme="majorEastAsia" w:hAnsiTheme="majorBidi" w:cstheme="majorBidi"/>
          <w:sz w:val="22"/>
          <w:szCs w:val="22"/>
        </w:rPr>
        <w:t> </w:t>
      </w:r>
    </w:p>
    <w:p w14:paraId="34C8FC05"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 xml:space="preserve">*WWF </w:t>
      </w:r>
      <w:proofErr w:type="gramStart"/>
      <w:r w:rsidRPr="00ED7E61">
        <w:rPr>
          <w:rStyle w:val="normaltextrun"/>
          <w:rFonts w:eastAsiaTheme="majorEastAsia"/>
        </w:rPr>
        <w:t>South West</w:t>
      </w:r>
      <w:proofErr w:type="gramEnd"/>
      <w:r w:rsidRPr="00ED7E61">
        <w:rPr>
          <w:rStyle w:val="normaltextrun"/>
          <w:rFonts w:eastAsiaTheme="majorEastAsia"/>
        </w:rPr>
        <w:t xml:space="preserve"> Indian Ocean Seascape (SWIO Seascape) Regional Programme</w:t>
      </w:r>
      <w:r w:rsidRPr="00ED7E61">
        <w:rPr>
          <w:rStyle w:val="normaltextrun"/>
        </w:rPr>
        <w:t> </w:t>
      </w:r>
    </w:p>
    <w:p w14:paraId="1D790F2E"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w:t>
      </w:r>
      <w:hyperlink r:id="rId253" w:tgtFrame="_blank" w:history="1">
        <w:proofErr w:type="gramStart"/>
        <w:r w:rsidRPr="00ED7E61">
          <w:rPr>
            <w:rStyle w:val="normaltextrun"/>
            <w:rFonts w:eastAsiaTheme="majorEastAsia"/>
          </w:rPr>
          <w:t>South West</w:t>
        </w:r>
        <w:proofErr w:type="gramEnd"/>
        <w:r w:rsidRPr="00ED7E61">
          <w:rPr>
            <w:rStyle w:val="normaltextrun"/>
            <w:rFonts w:eastAsiaTheme="majorEastAsia"/>
          </w:rPr>
          <w:t xml:space="preserve"> Indian Ocean Annual Report 2022 | WWF SWIO (wwf-swio.org)</w:t>
        </w:r>
      </w:hyperlink>
      <w:r w:rsidRPr="00ED7E61">
        <w:rPr>
          <w:rStyle w:val="normaltextrun"/>
        </w:rPr>
        <w:t> </w:t>
      </w:r>
    </w:p>
    <w:p w14:paraId="48481680"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*Heart of Borneo - WWF Spatial Planning Experiences in Borneo</w:t>
      </w:r>
      <w:r w:rsidRPr="00ED7E61">
        <w:rPr>
          <w:rStyle w:val="normaltextrun"/>
        </w:rPr>
        <w:t> </w:t>
      </w:r>
    </w:p>
    <w:p w14:paraId="10940E96"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Please use "</w:t>
      </w:r>
      <w:r w:rsidRPr="00FB1598">
        <w:rPr>
          <w:rStyle w:val="normaltextrun"/>
          <w:rFonts w:eastAsiaTheme="majorEastAsia"/>
          <w:i/>
          <w:iCs/>
        </w:rPr>
        <w:t>spatial</w:t>
      </w:r>
      <w:r w:rsidRPr="00ED7E61">
        <w:rPr>
          <w:rStyle w:val="normaltextrun"/>
          <w:rFonts w:eastAsiaTheme="majorEastAsia"/>
        </w:rPr>
        <w:t>" and "</w:t>
      </w:r>
      <w:r w:rsidRPr="00FB1598">
        <w:rPr>
          <w:rStyle w:val="normaltextrun"/>
          <w:rFonts w:eastAsiaTheme="majorEastAsia"/>
          <w:i/>
          <w:iCs/>
        </w:rPr>
        <w:t>government</w:t>
      </w:r>
      <w:r w:rsidRPr="00ED7E61">
        <w:rPr>
          <w:rStyle w:val="normaltextrun"/>
          <w:rFonts w:eastAsiaTheme="majorEastAsia"/>
        </w:rPr>
        <w:t>" in a keyword search to find relevant information in the report.</w:t>
      </w:r>
      <w:r w:rsidRPr="00ED7E61">
        <w:rPr>
          <w:rStyle w:val="normaltextrun"/>
        </w:rPr>
        <w:t> </w:t>
      </w:r>
    </w:p>
    <w:p w14:paraId="1B003B0E"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This report examines the systematic conservation planning methods used by WWF and assesses its roles, results (outputs, outcomes) and contributions to the conservation effort in Kalimantan, Sabah and Sarawak. It also captures the challenges and lessons learned and presents it from a consolidated Borneo perspective for sharing with relevant stakeholders within and beyond Borneo.</w:t>
      </w:r>
      <w:r w:rsidRPr="00ED7E61">
        <w:rPr>
          <w:rStyle w:val="normaltextrun"/>
        </w:rPr>
        <w:t> </w:t>
      </w:r>
    </w:p>
    <w:p w14:paraId="72E64227"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hyperlink r:id="rId254" w:tgtFrame="_blank" w:history="1">
        <w:r w:rsidRPr="00ED7E61">
          <w:rPr>
            <w:rStyle w:val="normaltextrun"/>
            <w:rFonts w:eastAsiaTheme="majorEastAsia"/>
          </w:rPr>
          <w:t>hob_spatial_planning_report_fa_web.pdf (panda.org)</w:t>
        </w:r>
      </w:hyperlink>
      <w:r w:rsidRPr="00ED7E61">
        <w:rPr>
          <w:rStyle w:val="normaltextrun"/>
        </w:rPr>
        <w:t> </w:t>
      </w:r>
    </w:p>
    <w:p w14:paraId="0684C99C"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*Viet Nam - Informing a national target for protected areas in Viet Nam under the post-2020 global biodiversity framework</w:t>
      </w:r>
      <w:r w:rsidRPr="00ED7E61">
        <w:rPr>
          <w:rStyle w:val="normaltextrun"/>
        </w:rPr>
        <w:t> </w:t>
      </w:r>
    </w:p>
    <w:p w14:paraId="2F370777"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Please use "</w:t>
      </w:r>
      <w:r w:rsidRPr="00FB1598">
        <w:rPr>
          <w:rStyle w:val="normaltextrun"/>
          <w:rFonts w:eastAsiaTheme="majorEastAsia"/>
          <w:i/>
          <w:iCs/>
        </w:rPr>
        <w:t>spatial</w:t>
      </w:r>
      <w:r w:rsidRPr="00ED7E61">
        <w:rPr>
          <w:rStyle w:val="normaltextrun"/>
          <w:rFonts w:eastAsiaTheme="majorEastAsia"/>
        </w:rPr>
        <w:t>" and "</w:t>
      </w:r>
      <w:r w:rsidRPr="00FB1598">
        <w:rPr>
          <w:rStyle w:val="normaltextrun"/>
          <w:rFonts w:eastAsiaTheme="majorEastAsia"/>
          <w:i/>
          <w:iCs/>
        </w:rPr>
        <w:t>government</w:t>
      </w:r>
      <w:r w:rsidRPr="00ED7E61">
        <w:rPr>
          <w:rStyle w:val="normaltextrun"/>
          <w:rFonts w:eastAsiaTheme="majorEastAsia"/>
        </w:rPr>
        <w:t>" in a keyword search to find relevant information in the report.</w:t>
      </w:r>
      <w:r w:rsidRPr="00ED7E61">
        <w:rPr>
          <w:rStyle w:val="normaltextrun"/>
        </w:rPr>
        <w:t> </w:t>
      </w:r>
    </w:p>
    <w:p w14:paraId="6D2636FF"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This report provides a global assessment of Viet Nam’s PA network important biodiversity and NCP features, using both national (where available and accessible) and global data, and it discusses how a further spatial prioritization framework can support the implementation of the biodiversity and climate conventions.</w:t>
      </w:r>
      <w:r w:rsidRPr="00ED7E61">
        <w:rPr>
          <w:rStyle w:val="normaltextrun"/>
        </w:rPr>
        <w:t> </w:t>
      </w:r>
    </w:p>
    <w:p w14:paraId="6E18BB83"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*Tanzania and Mozambique - Ruvuma transboundary landscape</w:t>
      </w:r>
      <w:r w:rsidRPr="00ED7E61">
        <w:rPr>
          <w:rStyle w:val="normaltextrun"/>
        </w:rPr>
        <w:t> </w:t>
      </w:r>
    </w:p>
    <w:p w14:paraId="45DE7990"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Please see the Solutions chapter which states:</w:t>
      </w:r>
      <w:r w:rsidRPr="00ED7E61">
        <w:rPr>
          <w:rStyle w:val="normaltextrun"/>
        </w:rPr>
        <w:t> </w:t>
      </w:r>
    </w:p>
    <w:p w14:paraId="02EA7597"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w:t>
      </w:r>
      <w:r w:rsidRPr="00FB1598">
        <w:rPr>
          <w:rStyle w:val="normaltextrun"/>
          <w:rFonts w:eastAsiaTheme="majorEastAsia"/>
          <w:i/>
          <w:iCs/>
        </w:rPr>
        <w:t>We need to take a holistic, transboundary landscape approach if we’re to secure key terrestrial habitats and their associated wildlife populations and increase benefits for local people and the national economies of Tanzania and Mozambique. Such an approach means multiple stakeholders and partners can collaborate in a well-coordinated and strategic manner to tackle many challenges across several sectors</w:t>
      </w:r>
      <w:r w:rsidRPr="00ED7E61">
        <w:rPr>
          <w:rStyle w:val="normaltextrun"/>
          <w:rFonts w:eastAsiaTheme="majorEastAsia"/>
        </w:rPr>
        <w:t>”.</w:t>
      </w:r>
      <w:r w:rsidRPr="00ED7E61">
        <w:rPr>
          <w:rStyle w:val="normaltextrun"/>
        </w:rPr>
        <w:t> </w:t>
      </w:r>
    </w:p>
    <w:p w14:paraId="77ADC106"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A key intervention for this programme will be:</w:t>
      </w:r>
      <w:r w:rsidRPr="00ED7E61">
        <w:rPr>
          <w:rStyle w:val="normaltextrun"/>
        </w:rPr>
        <w:t> </w:t>
      </w:r>
    </w:p>
    <w:p w14:paraId="5FD2F299"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w:t>
      </w:r>
      <w:r w:rsidRPr="00FB1598">
        <w:rPr>
          <w:rStyle w:val="normaltextrun"/>
          <w:rFonts w:eastAsiaTheme="majorEastAsia"/>
          <w:i/>
          <w:iCs/>
        </w:rPr>
        <w:t>Developing spatially explicit land-use plans jointly, in a consultative manner, with multiple stakeholders and including the valuation and mapping of natural capital</w:t>
      </w:r>
      <w:r w:rsidRPr="00ED7E61">
        <w:rPr>
          <w:rStyle w:val="normaltextrun"/>
          <w:rFonts w:eastAsiaTheme="majorEastAsia"/>
        </w:rPr>
        <w:t>".</w:t>
      </w:r>
      <w:r w:rsidRPr="00ED7E61">
        <w:rPr>
          <w:rStyle w:val="normaltextrun"/>
        </w:rPr>
        <w:t> </w:t>
      </w:r>
    </w:p>
    <w:p w14:paraId="3AB1CC3F"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*Amazon - 2022 Living Amazon Report</w:t>
      </w:r>
      <w:r w:rsidRPr="00ED7E61">
        <w:rPr>
          <w:rStyle w:val="normaltextrun"/>
        </w:rPr>
        <w:t> </w:t>
      </w:r>
    </w:p>
    <w:p w14:paraId="51F55F9B"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Please use the keyword "</w:t>
      </w:r>
      <w:r w:rsidRPr="00FB1598">
        <w:rPr>
          <w:rStyle w:val="normaltextrun"/>
          <w:rFonts w:eastAsiaTheme="majorEastAsia"/>
          <w:i/>
          <w:iCs/>
        </w:rPr>
        <w:t>planning</w:t>
      </w:r>
      <w:r w:rsidRPr="00ED7E61">
        <w:rPr>
          <w:rStyle w:val="normaltextrun"/>
          <w:rFonts w:eastAsiaTheme="majorEastAsia"/>
        </w:rPr>
        <w:t>" to find occurrences of "</w:t>
      </w:r>
      <w:r w:rsidRPr="00FB1598">
        <w:rPr>
          <w:rStyle w:val="normaltextrun"/>
          <w:rFonts w:eastAsiaTheme="majorEastAsia"/>
          <w:i/>
          <w:iCs/>
        </w:rPr>
        <w:t>territorial planning</w:t>
      </w:r>
      <w:r w:rsidRPr="00ED7E61">
        <w:rPr>
          <w:rStyle w:val="normaltextrun"/>
          <w:rFonts w:eastAsiaTheme="majorEastAsia"/>
        </w:rPr>
        <w:t>", "</w:t>
      </w:r>
      <w:r w:rsidRPr="00FB1598">
        <w:rPr>
          <w:rStyle w:val="normaltextrun"/>
          <w:rFonts w:eastAsiaTheme="majorEastAsia"/>
          <w:i/>
          <w:iCs/>
        </w:rPr>
        <w:t>basin-wide planning</w:t>
      </w:r>
      <w:r w:rsidRPr="00ED7E61">
        <w:rPr>
          <w:rStyle w:val="normaltextrun"/>
          <w:rFonts w:eastAsiaTheme="majorEastAsia"/>
        </w:rPr>
        <w:t>" or "</w:t>
      </w:r>
      <w:r w:rsidRPr="00FB1598">
        <w:rPr>
          <w:rStyle w:val="normaltextrun"/>
          <w:rFonts w:eastAsiaTheme="majorEastAsia"/>
          <w:i/>
          <w:iCs/>
        </w:rPr>
        <w:t>governmental planning</w:t>
      </w:r>
      <w:r w:rsidRPr="00ED7E61">
        <w:rPr>
          <w:rStyle w:val="normaltextrun"/>
          <w:rFonts w:eastAsiaTheme="majorEastAsia"/>
        </w:rPr>
        <w:t>" in the report.</w:t>
      </w:r>
      <w:r w:rsidRPr="00ED7E61">
        <w:rPr>
          <w:rStyle w:val="normaltextrun"/>
        </w:rPr>
        <w:t> </w:t>
      </w:r>
    </w:p>
    <w:p w14:paraId="4D61AB87"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This report outlines the </w:t>
      </w:r>
      <w:proofErr w:type="gramStart"/>
      <w:r w:rsidRPr="00ED7E61">
        <w:rPr>
          <w:rStyle w:val="normaltextrun"/>
          <w:rFonts w:eastAsiaTheme="majorEastAsia"/>
        </w:rPr>
        <w:t>current status</w:t>
      </w:r>
      <w:proofErr w:type="gramEnd"/>
      <w:r w:rsidRPr="00ED7E61">
        <w:rPr>
          <w:rStyle w:val="normaltextrun"/>
          <w:rFonts w:eastAsiaTheme="majorEastAsia"/>
        </w:rPr>
        <w:t xml:space="preserve"> of the Amazon biome and basin, summarizes key pressures and drivers of change, and outlines a conservation strategy for this decade that would enable the vision of a Living Amazon to become a reality going forward.</w:t>
      </w:r>
      <w:r w:rsidRPr="00ED7E61">
        <w:rPr>
          <w:rStyle w:val="normaltextrun"/>
        </w:rPr>
        <w:t> </w:t>
      </w:r>
    </w:p>
    <w:p w14:paraId="36FE3B4D"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hyperlink r:id="rId255" w:tgtFrame="_blank" w:history="1">
        <w:r w:rsidRPr="00ED7E61">
          <w:rPr>
            <w:rStyle w:val="normaltextrun"/>
            <w:rFonts w:eastAsiaTheme="majorEastAsia"/>
          </w:rPr>
          <w:t>Living Amazon Report 2022 | Publications | WWF (worldwildlife.org)</w:t>
        </w:r>
      </w:hyperlink>
      <w:r w:rsidRPr="00ED7E61">
        <w:rPr>
          <w:rStyle w:val="normaltextrun"/>
        </w:rPr>
        <w:t> </w:t>
      </w:r>
    </w:p>
    <w:p w14:paraId="5235C9F8"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5f. Availability and release calendar</w:t>
      </w:r>
      <w:r w:rsidRPr="00ED7E61">
        <w:rPr>
          <w:rStyle w:val="eop"/>
          <w:rFonts w:asciiTheme="majorBidi" w:eastAsiaTheme="majorEastAsia" w:hAnsiTheme="majorBidi" w:cstheme="majorBidi"/>
          <w:sz w:val="22"/>
          <w:szCs w:val="22"/>
        </w:rPr>
        <w:t> </w:t>
      </w:r>
    </w:p>
    <w:p w14:paraId="7492167E"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Not yet available for this proposed indicator, but available for headline binary/categorical indicator 1.1</w:t>
      </w:r>
      <w:r w:rsidRPr="00ED7E61">
        <w:rPr>
          <w:rStyle w:val="normaltextrun"/>
        </w:rPr>
        <w:t> </w:t>
      </w:r>
    </w:p>
    <w:p w14:paraId="2375D317"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lastRenderedPageBreak/>
        <w:t>5g. Time series</w:t>
      </w:r>
      <w:r w:rsidRPr="00ED7E61">
        <w:rPr>
          <w:rStyle w:val="eop"/>
          <w:rFonts w:asciiTheme="majorBidi" w:eastAsiaTheme="majorEastAsia" w:hAnsiTheme="majorBidi" w:cstheme="majorBidi"/>
          <w:sz w:val="22"/>
          <w:szCs w:val="22"/>
        </w:rPr>
        <w:t> </w:t>
      </w:r>
    </w:p>
    <w:p w14:paraId="7A2FE1CF" w14:textId="77777777" w:rsidR="00C233A4" w:rsidRPr="00ED7E61" w:rsidRDefault="00C233A4" w:rsidP="00C233A4">
      <w:pPr>
        <w:pStyle w:val="paragraph"/>
        <w:spacing w:before="0" w:beforeAutospacing="0" w:after="0" w:afterAutospacing="0"/>
        <w:ind w:firstLine="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19F6B4D8" w14:textId="77777777" w:rsidR="00C233A4" w:rsidRPr="00ED7E61" w:rsidRDefault="00C233A4" w:rsidP="00C233A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5h. Data providers</w:t>
      </w:r>
      <w:r w:rsidRPr="00ED7E61">
        <w:rPr>
          <w:rStyle w:val="eop"/>
          <w:rFonts w:asciiTheme="majorBidi" w:eastAsiaTheme="majorEastAsia" w:hAnsiTheme="majorBidi" w:cstheme="majorBidi"/>
          <w:sz w:val="22"/>
          <w:szCs w:val="22"/>
        </w:rPr>
        <w:t> </w:t>
      </w:r>
    </w:p>
    <w:p w14:paraId="288472A6"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See 5e for a selection of data sources/methods/process for elements of headline indicator 1.1.</w:t>
      </w:r>
      <w:r w:rsidRPr="00ED7E61">
        <w:rPr>
          <w:rStyle w:val="normaltextrun"/>
        </w:rPr>
        <w:t> </w:t>
      </w:r>
    </w:p>
    <w:p w14:paraId="7C2F1C46"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5i. Data compilers</w:t>
      </w:r>
      <w:r w:rsidRPr="00ED7E61">
        <w:rPr>
          <w:rStyle w:val="eop"/>
          <w:rFonts w:asciiTheme="majorBidi" w:eastAsiaTheme="majorEastAsia" w:hAnsiTheme="majorBidi" w:cstheme="majorBidi"/>
          <w:sz w:val="22"/>
          <w:szCs w:val="22"/>
        </w:rPr>
        <w:t> </w:t>
      </w:r>
    </w:p>
    <w:p w14:paraId="365C9EB2"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See 5e for a selection of data sources/methods/processes for elements of headline indicator 1.1.</w:t>
      </w:r>
      <w:r w:rsidRPr="00ED7E61">
        <w:rPr>
          <w:rStyle w:val="normaltextrun"/>
        </w:rPr>
        <w:t> </w:t>
      </w:r>
    </w:p>
    <w:p w14:paraId="1A40D07C"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5j. Gaps in data coverage</w:t>
      </w:r>
      <w:r w:rsidRPr="00ED7E61">
        <w:rPr>
          <w:rStyle w:val="eop"/>
          <w:rFonts w:asciiTheme="majorBidi" w:eastAsiaTheme="majorEastAsia" w:hAnsiTheme="majorBidi" w:cstheme="majorBidi"/>
          <w:sz w:val="22"/>
          <w:szCs w:val="22"/>
        </w:rPr>
        <w:t> </w:t>
      </w:r>
    </w:p>
    <w:p w14:paraId="438AD2E7"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Possible issues related to sensitivity over sharing spatial data should be considered.</w:t>
      </w:r>
      <w:r w:rsidRPr="00ED7E61">
        <w:rPr>
          <w:rStyle w:val="normaltextrun"/>
        </w:rPr>
        <w:t> </w:t>
      </w:r>
    </w:p>
    <w:p w14:paraId="3FC9C80D"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3B0C7649" w14:textId="77777777" w:rsidR="00C233A4" w:rsidRPr="00ED7E61" w:rsidRDefault="00C233A4" w:rsidP="00C233A4">
      <w:pPr>
        <w:pStyle w:val="CBDNormalNumber"/>
        <w:ind w:left="567"/>
        <w:rPr>
          <w:rFonts w:asciiTheme="majorBidi" w:hAnsiTheme="majorBidi" w:cstheme="majorBidi"/>
        </w:rPr>
      </w:pPr>
      <w:r w:rsidRPr="00ED7E61">
        <w:rPr>
          <w:rStyle w:val="normaltextrun"/>
          <w:rFonts w:eastAsiaTheme="majorEastAsia"/>
        </w:rPr>
        <w:t>N/A</w:t>
      </w:r>
      <w:r w:rsidRPr="00ED7E61">
        <w:rPr>
          <w:rStyle w:val="normaltextrun"/>
        </w:rPr>
        <w:t> </w:t>
      </w:r>
    </w:p>
    <w:p w14:paraId="6822A702"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eop"/>
          <w:rFonts w:asciiTheme="majorBidi" w:eastAsiaTheme="majorEastAsia" w:hAnsiTheme="majorBidi" w:cstheme="majorBidi"/>
          <w:sz w:val="22"/>
          <w:szCs w:val="22"/>
        </w:rPr>
        <w:t> </w:t>
      </w:r>
    </w:p>
    <w:p w14:paraId="146DE56D" w14:textId="77777777" w:rsidR="00C233A4" w:rsidRPr="00ED7E61" w:rsidRDefault="00C233A4" w:rsidP="00C233A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w:t>
      </w:r>
      <w:r w:rsidRPr="00ED7E61">
        <w:rPr>
          <w:rStyle w:val="eop"/>
          <w:rFonts w:asciiTheme="majorBidi" w:eastAsiaTheme="majorEastAsia" w:hAnsiTheme="majorBidi" w:cstheme="majorBidi"/>
          <w:sz w:val="22"/>
          <w:szCs w:val="22"/>
        </w:rPr>
        <w:t> </w:t>
      </w:r>
    </w:p>
    <w:p w14:paraId="57073713" w14:textId="77777777" w:rsidR="00C233A4" w:rsidRPr="00ED7E61" w:rsidRDefault="00C233A4" w:rsidP="00C233A4">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4AD8C1BF" w14:textId="77777777" w:rsidR="00C233A4" w:rsidRPr="00ED7E61" w:rsidRDefault="00C233A4" w:rsidP="00C233A4">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National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788DA12A"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Scale of data disaggregation/aggregation: </w:t>
      </w:r>
      <w:r w:rsidRPr="00ED7E61">
        <w:rPr>
          <w:rStyle w:val="normaltextrun"/>
        </w:rPr>
        <w:t> </w:t>
      </w:r>
    </w:p>
    <w:p w14:paraId="6C6CADDC"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regional scale indicator can be disaggregated to national level: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2056B674" w14:textId="77777777" w:rsidR="00C233A4" w:rsidRPr="00ED7E61" w:rsidRDefault="00C233A4" w:rsidP="00C233A4">
      <w:pPr>
        <w:pStyle w:val="CBDNormalNumber"/>
        <w:numPr>
          <w:ilvl w:val="1"/>
          <w:numId w:val="70"/>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National data is collated to form global indicator: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39A2386A"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6b. National/regional indicator production</w:t>
      </w:r>
      <w:r w:rsidRPr="00ED7E61">
        <w:rPr>
          <w:rStyle w:val="eop"/>
          <w:rFonts w:asciiTheme="majorBidi" w:eastAsiaTheme="majorEastAsia" w:hAnsiTheme="majorBidi" w:cstheme="majorBidi"/>
          <w:sz w:val="22"/>
          <w:szCs w:val="22"/>
        </w:rPr>
        <w:t> </w:t>
      </w:r>
    </w:p>
    <w:p w14:paraId="1F5AFDCC"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N/A</w:t>
      </w:r>
      <w:r w:rsidRPr="00ED7E61">
        <w:rPr>
          <w:rStyle w:val="normaltextrun"/>
        </w:rPr>
        <w:t> </w:t>
      </w:r>
    </w:p>
    <w:p w14:paraId="00C732EF"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74F9BAA9"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Explanation on the differences between country produced and internationally estimated data on the indicator, highlighting and summarising the main sources of differences.</w:t>
      </w:r>
      <w:r w:rsidRPr="00ED7E61">
        <w:rPr>
          <w:rStyle w:val="eop"/>
          <w:rFonts w:asciiTheme="majorBidi" w:eastAsiaTheme="majorEastAsia" w:hAnsiTheme="majorBidi" w:cstheme="majorBidi"/>
          <w:sz w:val="22"/>
          <w:szCs w:val="22"/>
        </w:rPr>
        <w:t> </w:t>
      </w:r>
    </w:p>
    <w:p w14:paraId="2B7ADC4F" w14:textId="77777777" w:rsidR="00C233A4" w:rsidRPr="00ED7E61" w:rsidRDefault="00C233A4" w:rsidP="00C233A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sz w:val="22"/>
          <w:szCs w:val="22"/>
        </w:rPr>
        <w:t> </w:t>
      </w:r>
    </w:p>
    <w:p w14:paraId="23628BE8"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6d.1 Description of the methodology</w:t>
      </w:r>
      <w:r w:rsidRPr="00ED7E61">
        <w:rPr>
          <w:rStyle w:val="eop"/>
          <w:rFonts w:asciiTheme="majorBidi" w:eastAsiaTheme="majorEastAsia" w:hAnsiTheme="majorBidi" w:cstheme="majorBidi"/>
          <w:sz w:val="22"/>
          <w:szCs w:val="22"/>
        </w:rPr>
        <w:t> </w:t>
      </w:r>
    </w:p>
    <w:p w14:paraId="169E0885"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N/A</w:t>
      </w:r>
      <w:r w:rsidRPr="00ED7E61">
        <w:rPr>
          <w:rStyle w:val="normaltextrun"/>
        </w:rPr>
        <w:t> </w:t>
      </w:r>
    </w:p>
    <w:p w14:paraId="47B9837F"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6d.2 Additional methodological details</w:t>
      </w:r>
      <w:r w:rsidRPr="00ED7E61">
        <w:rPr>
          <w:rStyle w:val="eop"/>
          <w:rFonts w:asciiTheme="majorBidi" w:eastAsiaTheme="majorEastAsia" w:hAnsiTheme="majorBidi" w:cstheme="majorBidi"/>
          <w:sz w:val="22"/>
          <w:szCs w:val="22"/>
        </w:rPr>
        <w:t> </w:t>
      </w:r>
    </w:p>
    <w:p w14:paraId="32F68D48"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N/A</w:t>
      </w:r>
      <w:r w:rsidRPr="00ED7E61">
        <w:rPr>
          <w:rStyle w:val="normaltextrun"/>
        </w:rPr>
        <w:t> </w:t>
      </w:r>
    </w:p>
    <w:p w14:paraId="3796DD72"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6d.3 Description of the mechanism for collecting data from countries</w:t>
      </w:r>
      <w:r w:rsidRPr="00ED7E61">
        <w:rPr>
          <w:rStyle w:val="eop"/>
          <w:rFonts w:asciiTheme="majorBidi" w:eastAsiaTheme="majorEastAsia" w:hAnsiTheme="majorBidi" w:cstheme="majorBidi"/>
          <w:sz w:val="22"/>
          <w:szCs w:val="22"/>
        </w:rPr>
        <w:t> </w:t>
      </w:r>
    </w:p>
    <w:p w14:paraId="31BA3389"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N/A</w:t>
      </w:r>
      <w:r w:rsidRPr="00ED7E61">
        <w:rPr>
          <w:rStyle w:val="normaltextrun"/>
        </w:rPr>
        <w:t> </w:t>
      </w:r>
    </w:p>
    <w:p w14:paraId="648E6018" w14:textId="70FB55DF"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b/>
          <w:bCs/>
        </w:rPr>
        <w:t>7. Other MEAs, processes and organi</w:t>
      </w:r>
      <w:r>
        <w:rPr>
          <w:rStyle w:val="normaltextrun"/>
          <w:rFonts w:asciiTheme="majorBidi" w:eastAsiaTheme="majorEastAsia" w:hAnsiTheme="majorBidi" w:cstheme="majorBidi"/>
          <w:b/>
          <w:bCs/>
        </w:rPr>
        <w:t>z</w:t>
      </w:r>
      <w:r w:rsidRPr="00ED7E61">
        <w:rPr>
          <w:rStyle w:val="normaltextrun"/>
          <w:rFonts w:asciiTheme="majorBidi" w:eastAsiaTheme="majorEastAsia" w:hAnsiTheme="majorBidi" w:cstheme="majorBidi"/>
          <w:b/>
          <w:bCs/>
        </w:rPr>
        <w:t>ations</w:t>
      </w:r>
      <w:r w:rsidRPr="00812871">
        <w:rPr>
          <w:rStyle w:val="normaltextrun"/>
          <w:b/>
          <w:bCs/>
          <w:sz w:val="24"/>
          <w:szCs w:val="24"/>
        </w:rPr>
        <w:t> </w:t>
      </w:r>
      <w:r w:rsidRPr="00ED7E61">
        <w:rPr>
          <w:rStyle w:val="normaltextrun"/>
          <w:rFonts w:eastAsiaTheme="majorEastAsia"/>
        </w:rPr>
        <w:t>Intergovernmental Science-Policy Platform on Biodiversity and Ecosystem Services (IPBES) approved methodological assessment on integrated biodiversity-inclusive spatial planning and connectivity (for consideration by the Plenary at its fourteenth session in 2027) will feed into process to define and operationalise this indicator.</w:t>
      </w:r>
      <w:r w:rsidRPr="00ED7E61">
        <w:rPr>
          <w:rStyle w:val="normaltextrun"/>
        </w:rPr>
        <w:t> </w:t>
      </w:r>
    </w:p>
    <w:p w14:paraId="45096298"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As the custodian agency for SDG 14.2.1, UNEP collects spatial data on marine plans within the national jurisdiction through sea regional plans.</w:t>
      </w:r>
      <w:r w:rsidRPr="00ED7E61">
        <w:rPr>
          <w:rStyle w:val="normaltextrun"/>
        </w:rPr>
        <w:t> </w:t>
      </w:r>
    </w:p>
    <w:p w14:paraId="14182DF3"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See under point 5e for a selection of examples and initiatives?</w:t>
      </w:r>
      <w:r w:rsidRPr="00ED7E61">
        <w:rPr>
          <w:rStyle w:val="normaltextrun"/>
        </w:rPr>
        <w:t> </w:t>
      </w:r>
    </w:p>
    <w:p w14:paraId="48FC478F" w14:textId="77777777" w:rsidR="00C233A4" w:rsidRPr="00ED7E61" w:rsidRDefault="00C233A4" w:rsidP="00C233A4">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 xml:space="preserve">8. Possible </w:t>
      </w:r>
      <w:proofErr w:type="spellStart"/>
      <w:r w:rsidRPr="00ED7E61">
        <w:rPr>
          <w:rStyle w:val="normaltextrun"/>
          <w:rFonts w:asciiTheme="majorBidi" w:eastAsiaTheme="majorEastAsia" w:hAnsiTheme="majorBidi" w:cstheme="majorBidi"/>
          <w:b/>
          <w:bCs/>
          <w:sz w:val="22"/>
          <w:szCs w:val="22"/>
          <w:lang w:val="en-GB"/>
        </w:rPr>
        <w:t>Disaggregations</w:t>
      </w:r>
      <w:proofErr w:type="spellEnd"/>
      <w:r w:rsidRPr="00ED7E61">
        <w:rPr>
          <w:rStyle w:val="eop"/>
          <w:rFonts w:asciiTheme="majorBidi" w:eastAsiaTheme="majorEastAsia" w:hAnsiTheme="majorBidi" w:cstheme="majorBidi"/>
          <w:sz w:val="22"/>
          <w:szCs w:val="22"/>
        </w:rPr>
        <w:t> </w:t>
      </w:r>
    </w:p>
    <w:p w14:paraId="11521530"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 xml:space="preserve">Recommended </w:t>
      </w:r>
      <w:proofErr w:type="spellStart"/>
      <w:r w:rsidRPr="00ED7E61">
        <w:rPr>
          <w:rStyle w:val="normaltextrun"/>
          <w:rFonts w:eastAsiaTheme="majorEastAsia"/>
        </w:rPr>
        <w:t>disaggregations</w:t>
      </w:r>
      <w:proofErr w:type="spellEnd"/>
      <w:r w:rsidRPr="00ED7E61">
        <w:rPr>
          <w:rStyle w:val="normaltextrun"/>
          <w:rFonts w:eastAsiaTheme="majorEastAsia"/>
        </w:rPr>
        <w:t>, once the proposed indicator becomes operational, relate closely to the headline binary/categorical indicator 1.1 and could be combined (area and %):</w:t>
      </w:r>
      <w:r w:rsidRPr="00ED7E61">
        <w:rPr>
          <w:rStyle w:val="normaltextrun"/>
        </w:rPr>
        <w:t> </w:t>
      </w:r>
    </w:p>
    <w:p w14:paraId="15039CEB"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lastRenderedPageBreak/>
        <w:t>% land/sea covered by plans that biodiversity-inclusive to different degrees </w:t>
      </w:r>
      <w:r w:rsidRPr="00ED7E61">
        <w:rPr>
          <w:rStyle w:val="normaltextrun"/>
        </w:rPr>
        <w:t> </w:t>
      </w:r>
    </w:p>
    <w:p w14:paraId="46A7ABFA"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land/sea covered by plans that are participatory to different degrees </w:t>
      </w:r>
      <w:r w:rsidRPr="00ED7E61">
        <w:rPr>
          <w:rStyle w:val="normaltextrun"/>
        </w:rPr>
        <w:t> </w:t>
      </w:r>
    </w:p>
    <w:p w14:paraId="297D7009"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 land/sea covered by </w:t>
      </w:r>
      <w:proofErr w:type="spellStart"/>
      <w:r w:rsidRPr="00ED7E61">
        <w:rPr>
          <w:rStyle w:val="normaltextrun"/>
          <w:rFonts w:eastAsiaTheme="majorEastAsia"/>
        </w:rPr>
        <w:t>biodiv</w:t>
      </w:r>
      <w:proofErr w:type="spellEnd"/>
      <w:r w:rsidRPr="00ED7E61">
        <w:rPr>
          <w:rStyle w:val="normaltextrun"/>
          <w:rFonts w:eastAsiaTheme="majorEastAsia"/>
        </w:rPr>
        <w:t>-inclusive plans for each ecosystem functional group (GET) </w:t>
      </w:r>
      <w:r w:rsidRPr="00ED7E61">
        <w:rPr>
          <w:rStyle w:val="normaltextrun"/>
        </w:rPr>
        <w:t> </w:t>
      </w:r>
    </w:p>
    <w:p w14:paraId="4C3FD76B"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within a plan/effective management process that is under active implementation </w:t>
      </w:r>
      <w:r w:rsidRPr="00ED7E61">
        <w:rPr>
          <w:rStyle w:val="normaltextrun"/>
        </w:rPr>
        <w:t> </w:t>
      </w:r>
    </w:p>
    <w:p w14:paraId="48380F05"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Optional: % sector (agric</w:t>
      </w:r>
      <w:r>
        <w:rPr>
          <w:rStyle w:val="normaltextrun"/>
          <w:rFonts w:eastAsiaTheme="majorEastAsia"/>
        </w:rPr>
        <w:t>ulture</w:t>
      </w:r>
      <w:r w:rsidRPr="00ED7E61">
        <w:rPr>
          <w:rStyle w:val="normaltextrun"/>
          <w:rFonts w:eastAsiaTheme="majorEastAsia"/>
        </w:rPr>
        <w:t>, forestry etc</w:t>
      </w:r>
      <w:r>
        <w:rPr>
          <w:rStyle w:val="normaltextrun"/>
          <w:rFonts w:eastAsiaTheme="majorEastAsia"/>
        </w:rPr>
        <w:t>.</w:t>
      </w:r>
      <w:r w:rsidRPr="00ED7E61">
        <w:rPr>
          <w:rStyle w:val="normaltextrun"/>
          <w:rFonts w:eastAsiaTheme="majorEastAsia"/>
        </w:rPr>
        <w:t>, where these exist as separate spatial plans) </w:t>
      </w:r>
      <w:r w:rsidRPr="00ED7E61">
        <w:rPr>
          <w:rStyle w:val="normaltextrun"/>
        </w:rPr>
        <w:t> </w:t>
      </w:r>
    </w:p>
    <w:p w14:paraId="29A502EB"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Optional: % for subnational units (provinces etc</w:t>
      </w:r>
      <w:r>
        <w:rPr>
          <w:rStyle w:val="normaltextrun"/>
          <w:rFonts w:eastAsiaTheme="majorEastAsia"/>
        </w:rPr>
        <w:t>.</w:t>
      </w:r>
      <w:r w:rsidRPr="00ED7E61">
        <w:rPr>
          <w:rStyle w:val="normaltextrun"/>
          <w:rFonts w:eastAsiaTheme="majorEastAsia"/>
        </w:rPr>
        <w:t>)</w:t>
      </w:r>
      <w:r w:rsidRPr="00ED7E61">
        <w:rPr>
          <w:rStyle w:val="normaltextrun"/>
        </w:rPr>
        <w:t> </w:t>
      </w:r>
    </w:p>
    <w:p w14:paraId="3A6DAB84"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Suggestion for gender disaggregation: </w:t>
      </w:r>
      <w:r w:rsidRPr="00ED7E61">
        <w:rPr>
          <w:rStyle w:val="normaltextrun"/>
        </w:rPr>
        <w:t> </w:t>
      </w:r>
    </w:p>
    <w:p w14:paraId="1C59BEFF" w14:textId="77777777" w:rsidR="00C233A4" w:rsidRPr="00ED7E61" w:rsidRDefault="00C233A4" w:rsidP="00C233A4">
      <w:pPr>
        <w:pStyle w:val="CBDNormalNumber"/>
        <w:numPr>
          <w:ilvl w:val="1"/>
          <w:numId w:val="70"/>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of biodiversity-inclusive spatial plans that have included the meaningful participation of women in their design and implementation</w:t>
      </w:r>
      <w:hyperlink r:id="rId256" w:anchor="_ftn1" w:tgtFrame="_blank" w:history="1">
        <w:r w:rsidRPr="00ED7E61">
          <w:rPr>
            <w:rStyle w:val="normaltextrun"/>
            <w:rFonts w:eastAsiaTheme="majorEastAsia"/>
          </w:rPr>
          <w:t>[1]</w:t>
        </w:r>
      </w:hyperlink>
      <w:r w:rsidRPr="00ED7E61">
        <w:rPr>
          <w:rStyle w:val="normaltextrun"/>
        </w:rPr>
        <w:t> </w:t>
      </w:r>
    </w:p>
    <w:p w14:paraId="3A010086"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 xml:space="preserve">Some potentially inspirational questions in the </w:t>
      </w:r>
      <w:hyperlink r:id="rId257" w:tgtFrame="_blank" w:history="1">
        <w:r w:rsidRPr="00ED7E61">
          <w:rPr>
            <w:rStyle w:val="normaltextrun"/>
            <w:rFonts w:eastAsiaTheme="majorEastAsia"/>
          </w:rPr>
          <w:t>ActionAid VGGT Toolkit</w:t>
        </w:r>
      </w:hyperlink>
      <w:r w:rsidRPr="00ED7E61">
        <w:rPr>
          <w:rStyle w:val="normaltextrun"/>
          <w:rFonts w:eastAsiaTheme="majorEastAsia"/>
        </w:rPr>
        <w:t>, though these would need to be further modified for spatial planning. ILC collects data according to Indicator 1.2 – Target groups, including women, youth and holders of customary rights have access to and are supported to engage in multi-stakeholder platforms – though it is not specific to spatial planning. </w:t>
      </w:r>
      <w:r w:rsidRPr="00ED7E61">
        <w:rPr>
          <w:rStyle w:val="normaltextrun"/>
        </w:rPr>
        <w:t> </w:t>
      </w:r>
    </w:p>
    <w:p w14:paraId="537DDDE2"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GB"/>
        </w:rPr>
        <w:t>9. Related goals, targets and indicators</w:t>
      </w:r>
      <w:r w:rsidRPr="00ED7E61">
        <w:rPr>
          <w:rStyle w:val="eop"/>
          <w:rFonts w:asciiTheme="majorBidi" w:eastAsiaTheme="majorEastAsia" w:hAnsiTheme="majorBidi" w:cstheme="majorBidi"/>
          <w:color w:val="000000"/>
          <w:sz w:val="22"/>
          <w:szCs w:val="22"/>
        </w:rPr>
        <w:t> </w:t>
      </w:r>
    </w:p>
    <w:p w14:paraId="1EB612B3" w14:textId="77777777" w:rsidR="00C233A4" w:rsidRPr="00ED7E61" w:rsidRDefault="00C233A4" w:rsidP="00C233A4">
      <w:pPr>
        <w:pStyle w:val="CBDNormalNumber"/>
        <w:numPr>
          <w:ilvl w:val="0"/>
          <w:numId w:val="70"/>
        </w:numPr>
        <w:ind w:left="567" w:firstLine="0"/>
        <w:rPr>
          <w:rStyle w:val="normaltextrun"/>
          <w:rFonts w:eastAsiaTheme="majorEastAsia"/>
          <w:sz w:val="24"/>
          <w:szCs w:val="24"/>
          <w:lang w:val="en-CA"/>
        </w:rPr>
      </w:pPr>
      <w:r w:rsidRPr="00ED7E61">
        <w:rPr>
          <w:rStyle w:val="normaltextrun"/>
          <w:rFonts w:eastAsiaTheme="majorEastAsia"/>
        </w:rPr>
        <w:t xml:space="preserve">As made available by </w:t>
      </w:r>
      <w:hyperlink r:id="rId258" w:tgtFrame="_blank" w:history="1">
        <w:r w:rsidRPr="00ED7E61">
          <w:rPr>
            <w:rStyle w:val="normaltextrun"/>
            <w:rFonts w:eastAsiaTheme="majorEastAsia"/>
          </w:rPr>
          <w:t>CBD guidelines for target 1</w:t>
        </w:r>
      </w:hyperlink>
      <w:r w:rsidRPr="00ED7E61">
        <w:rPr>
          <w:rStyle w:val="normaltextrun"/>
          <w:rFonts w:eastAsiaTheme="majorEastAsia"/>
        </w:rPr>
        <w:t xml:space="preserve">, progress towards this target will directly support the attainment </w:t>
      </w:r>
      <w:proofErr w:type="gramStart"/>
      <w:r w:rsidRPr="00ED7E61">
        <w:rPr>
          <w:rStyle w:val="normaltextrun"/>
          <w:rFonts w:eastAsiaTheme="majorEastAsia"/>
        </w:rPr>
        <w:t>of  Goals</w:t>
      </w:r>
      <w:proofErr w:type="gramEnd"/>
      <w:r w:rsidRPr="00ED7E61">
        <w:rPr>
          <w:rStyle w:val="normaltextrun"/>
          <w:rFonts w:eastAsiaTheme="majorEastAsia"/>
        </w:rPr>
        <w:t xml:space="preserve"> A and B and targets 2, 3, 5, 10 and 12 of the Framework. Conversely, progress towards targets 14, 19, 20, 21, 22 and 23 will help to reach Target 1.</w:t>
      </w:r>
      <w:r w:rsidRPr="00ED7E61">
        <w:rPr>
          <w:rStyle w:val="normaltextrun"/>
        </w:rPr>
        <w:t> </w:t>
      </w:r>
    </w:p>
    <w:p w14:paraId="49F83092"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Elements of Target 1 are also addressed in the targets of the Sustainable Development Goals, including targets 2.4, 14.2, 14.5, 15.1, 15.2, 15.4, 15.5 and 15.9.</w:t>
      </w:r>
      <w:r w:rsidRPr="00ED7E61">
        <w:rPr>
          <w:rStyle w:val="normaltextrun"/>
        </w:rPr>
        <w:t> </w:t>
      </w:r>
    </w:p>
    <w:p w14:paraId="516C3F2F" w14:textId="77777777" w:rsidR="00C233A4" w:rsidRPr="00ED7E61" w:rsidRDefault="00C233A4" w:rsidP="00C233A4">
      <w:pPr>
        <w:pStyle w:val="CBDNormalNumber"/>
        <w:numPr>
          <w:ilvl w:val="0"/>
          <w:numId w:val="70"/>
        </w:numPr>
        <w:ind w:left="567" w:firstLine="0"/>
        <w:rPr>
          <w:rStyle w:val="normaltextrun"/>
          <w:rFonts w:eastAsiaTheme="majorEastAsia"/>
        </w:rPr>
      </w:pPr>
      <w:r w:rsidRPr="00ED7E61">
        <w:rPr>
          <w:rStyle w:val="normaltextrun"/>
          <w:rFonts w:eastAsiaTheme="majorEastAsia"/>
        </w:rPr>
        <w:t>This proposed indicator encompasses PAs and OECMs which are also reported under indicator 3.1. See also under points 3a, 3b and 5e for further linkages. </w:t>
      </w:r>
      <w:r w:rsidRPr="00ED7E61">
        <w:rPr>
          <w:rStyle w:val="normaltextrun"/>
        </w:rPr>
        <w:t> </w:t>
      </w:r>
    </w:p>
    <w:p w14:paraId="40C0C85D" w14:textId="77777777" w:rsidR="00C233A4" w:rsidRPr="00ED7E61" w:rsidRDefault="00C233A4" w:rsidP="00C233A4">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b/>
          <w:bCs/>
          <w:sz w:val="22"/>
          <w:szCs w:val="22"/>
        </w:rPr>
        <w:t>10. Data reporter</w:t>
      </w:r>
      <w:r w:rsidRPr="00ED7E61">
        <w:rPr>
          <w:rStyle w:val="eop"/>
          <w:rFonts w:asciiTheme="majorBidi" w:eastAsiaTheme="majorEastAsia" w:hAnsiTheme="majorBidi" w:cstheme="majorBidi"/>
          <w:sz w:val="22"/>
          <w:szCs w:val="22"/>
        </w:rPr>
        <w:t> </w:t>
      </w:r>
    </w:p>
    <w:p w14:paraId="3ED36CE7"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10a. Organi</w:t>
      </w:r>
      <w:r>
        <w:rPr>
          <w:rStyle w:val="normaltextrun"/>
          <w:rFonts w:asciiTheme="majorBidi" w:eastAsiaTheme="majorEastAsia" w:hAnsiTheme="majorBidi" w:cstheme="majorBidi"/>
          <w:b/>
          <w:bCs/>
          <w:sz w:val="22"/>
          <w:szCs w:val="22"/>
        </w:rPr>
        <w:t>z</w:t>
      </w:r>
      <w:r w:rsidRPr="00ED7E61">
        <w:rPr>
          <w:rStyle w:val="normaltextrun"/>
          <w:rFonts w:asciiTheme="majorBidi" w:eastAsiaTheme="majorEastAsia" w:hAnsiTheme="majorBidi" w:cstheme="majorBidi"/>
          <w:b/>
          <w:bCs/>
          <w:sz w:val="22"/>
          <w:szCs w:val="22"/>
        </w:rPr>
        <w:t>ation  </w:t>
      </w:r>
      <w:r w:rsidRPr="00ED7E61">
        <w:rPr>
          <w:rStyle w:val="eop"/>
          <w:rFonts w:asciiTheme="majorBidi" w:eastAsiaTheme="majorEastAsia" w:hAnsiTheme="majorBidi" w:cstheme="majorBidi"/>
          <w:sz w:val="22"/>
          <w:szCs w:val="22"/>
        </w:rPr>
        <w:t> </w:t>
      </w:r>
    </w:p>
    <w:p w14:paraId="5005C0F2"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GEOBON for the headline binary/categorical indicator</w:t>
      </w:r>
      <w:r w:rsidRPr="00ED7E61">
        <w:rPr>
          <w:rStyle w:val="normaltextrun"/>
        </w:rPr>
        <w:t> </w:t>
      </w:r>
    </w:p>
    <w:p w14:paraId="07C7D464" w14:textId="77777777" w:rsidR="00C233A4" w:rsidRPr="00ED7E61" w:rsidRDefault="00C233A4" w:rsidP="00C233A4">
      <w:pPr>
        <w:pStyle w:val="CBDNormalNumber"/>
        <w:ind w:left="567"/>
        <w:rPr>
          <w:rStyle w:val="normaltextrun"/>
          <w:rFonts w:eastAsiaTheme="majorEastAsia"/>
        </w:rPr>
      </w:pPr>
      <w:r w:rsidRPr="00ED7E61">
        <w:rPr>
          <w:rStyle w:val="normaltextrun"/>
          <w:rFonts w:eastAsiaTheme="majorEastAsia"/>
        </w:rPr>
        <w:t>Secretariat of the Convention on Biological Diversity</w:t>
      </w:r>
      <w:r w:rsidRPr="00ED7E61">
        <w:rPr>
          <w:rStyle w:val="normaltextrun"/>
        </w:rPr>
        <w:t> </w:t>
      </w:r>
    </w:p>
    <w:p w14:paraId="182BB6F4" w14:textId="77777777" w:rsidR="00C233A4" w:rsidRPr="00ED7E61" w:rsidRDefault="00C233A4" w:rsidP="00C233A4">
      <w:pPr>
        <w:pStyle w:val="paragraph"/>
        <w:pBdr>
          <w:bottom w:val="single" w:sz="4" w:space="4"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AU"/>
        </w:rPr>
        <w:t>10b. Contact person(s)</w:t>
      </w:r>
      <w:r w:rsidRPr="00ED7E61">
        <w:rPr>
          <w:rStyle w:val="normaltextrun"/>
          <w:rFonts w:asciiTheme="majorBidi" w:eastAsiaTheme="majorEastAsia" w:hAnsiTheme="majorBidi" w:cstheme="majorBidi"/>
          <w:b/>
          <w:bCs/>
          <w:sz w:val="22"/>
          <w:szCs w:val="22"/>
          <w:lang w:val="en-US"/>
        </w:rPr>
        <w:t> </w:t>
      </w:r>
      <w:r w:rsidRPr="00ED7E61">
        <w:rPr>
          <w:rStyle w:val="eop"/>
          <w:rFonts w:asciiTheme="majorBidi" w:eastAsiaTheme="majorEastAsia" w:hAnsiTheme="majorBidi" w:cstheme="majorBidi"/>
          <w:sz w:val="22"/>
          <w:szCs w:val="22"/>
        </w:rPr>
        <w:t> </w:t>
      </w:r>
    </w:p>
    <w:p w14:paraId="60167213"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N/A</w:t>
      </w:r>
      <w:r w:rsidRPr="00ED7E61">
        <w:rPr>
          <w:rStyle w:val="normaltextrun"/>
        </w:rPr>
        <w:t> </w:t>
      </w:r>
    </w:p>
    <w:p w14:paraId="58232F06" w14:textId="77777777" w:rsidR="00C233A4" w:rsidRPr="00ED7E61" w:rsidRDefault="00C233A4" w:rsidP="00C233A4">
      <w:pPr>
        <w:pStyle w:val="paragraph"/>
        <w:pBdr>
          <w:bottom w:val="single" w:sz="4" w:space="4"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 </w:t>
      </w:r>
      <w:r w:rsidRPr="00ED7E61">
        <w:rPr>
          <w:rStyle w:val="eop"/>
          <w:rFonts w:asciiTheme="majorBidi" w:eastAsiaTheme="majorEastAsia" w:hAnsiTheme="majorBidi" w:cstheme="majorBidi"/>
          <w:sz w:val="22"/>
          <w:szCs w:val="22"/>
        </w:rPr>
        <w:t> </w:t>
      </w:r>
    </w:p>
    <w:p w14:paraId="58CFD723"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N/A</w:t>
      </w:r>
      <w:r w:rsidRPr="00ED7E61">
        <w:rPr>
          <w:rStyle w:val="normaltextrun"/>
        </w:rPr>
        <w:t> </w:t>
      </w:r>
    </w:p>
    <w:p w14:paraId="387D5160" w14:textId="77777777" w:rsidR="00C233A4" w:rsidRPr="00ED7E61" w:rsidRDefault="00C233A4" w:rsidP="00C233A4">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shd w:val="clear" w:color="auto" w:fill="FFFFFF"/>
          <w:lang w:val="en-GB"/>
        </w:rPr>
        <w:t>12. Graphs and diagrams</w:t>
      </w:r>
      <w:r w:rsidRPr="00ED7E61">
        <w:rPr>
          <w:rStyle w:val="eop"/>
          <w:rFonts w:asciiTheme="majorBidi" w:eastAsiaTheme="majorEastAsia" w:hAnsiTheme="majorBidi" w:cstheme="majorBidi"/>
          <w:sz w:val="22"/>
          <w:szCs w:val="22"/>
        </w:rPr>
        <w:t> </w:t>
      </w:r>
    </w:p>
    <w:p w14:paraId="3AA7ACC9" w14:textId="77777777" w:rsidR="00C233A4" w:rsidRPr="00ED7E61" w:rsidRDefault="00C233A4" w:rsidP="00C233A4">
      <w:pPr>
        <w:pStyle w:val="CBDNormalNumber"/>
        <w:ind w:left="567"/>
        <w:rPr>
          <w:rStyle w:val="normaltextrun"/>
          <w:rFonts w:eastAsiaTheme="majorEastAsia"/>
          <w:sz w:val="24"/>
          <w:szCs w:val="24"/>
          <w:lang w:val="en-CA"/>
        </w:rPr>
      </w:pPr>
      <w:r w:rsidRPr="00ED7E61">
        <w:rPr>
          <w:rStyle w:val="normaltextrun"/>
          <w:rFonts w:eastAsiaTheme="majorEastAsia"/>
        </w:rPr>
        <w:t>N/A</w:t>
      </w:r>
      <w:r w:rsidRPr="00ED7E61">
        <w:rPr>
          <w:rStyle w:val="normaltextrun"/>
        </w:rPr>
        <w:t> </w:t>
      </w:r>
    </w:p>
    <w:p w14:paraId="035EDAE2" w14:textId="77777777" w:rsidR="0013281A" w:rsidRDefault="0013281A">
      <w:pPr>
        <w:rPr>
          <w:rFonts w:asciiTheme="majorBidi" w:hAnsiTheme="majorBidi" w:cstheme="majorBidi"/>
          <w:color w:val="000000" w:themeColor="text1"/>
          <w:sz w:val="22"/>
          <w:szCs w:val="22"/>
          <w:lang w:val="en-US"/>
        </w:rPr>
      </w:pPr>
      <w:r>
        <w:rPr>
          <w:rFonts w:asciiTheme="majorBidi" w:hAnsiTheme="majorBidi" w:cstheme="majorBidi"/>
          <w:color w:val="000000" w:themeColor="text1"/>
          <w:sz w:val="22"/>
          <w:szCs w:val="22"/>
          <w:lang w:val="en-US"/>
        </w:rPr>
        <w:br w:type="page"/>
      </w:r>
    </w:p>
    <w:p w14:paraId="5EF392DB" w14:textId="24E23728" w:rsidR="0013281A" w:rsidRPr="00ED7E61" w:rsidRDefault="0013281A" w:rsidP="0013281A">
      <w:pPr>
        <w:pStyle w:val="Heading3"/>
      </w:pPr>
      <w:bookmarkStart w:id="30" w:name="_Toc233278565"/>
      <w:bookmarkStart w:id="31" w:name="_Toc178285855"/>
      <w:r>
        <w:rPr>
          <w:rStyle w:val="normaltextrun"/>
        </w:rPr>
        <w:lastRenderedPageBreak/>
        <w:t>Binary indicator</w:t>
      </w:r>
      <w:r w:rsidRPr="00ED7E61">
        <w:rPr>
          <w:rStyle w:val="eop"/>
        </w:rPr>
        <w:t xml:space="preserve"> 1.b</w:t>
      </w:r>
      <w:bookmarkEnd w:id="30"/>
      <w:r w:rsidRPr="00ED7E61">
        <w:rPr>
          <w:rStyle w:val="eop"/>
        </w:rPr>
        <w:t xml:space="preserve"> </w:t>
      </w:r>
      <w:bookmarkEnd w:id="31"/>
    </w:p>
    <w:p w14:paraId="4155CD86" w14:textId="77777777" w:rsidR="0013281A" w:rsidRPr="00AE4B3F" w:rsidRDefault="0013281A" w:rsidP="00AE4B3F">
      <w:pPr>
        <w:pStyle w:val="paragraph"/>
        <w:pBdr>
          <w:bottom w:val="single" w:sz="4" w:space="1" w:color="000000"/>
        </w:pBdr>
        <w:spacing w:before="120" w:beforeAutospacing="0" w:after="0" w:afterAutospacing="0"/>
        <w:textAlignment w:val="baseline"/>
        <w:rPr>
          <w:rStyle w:val="normaltextrun"/>
          <w:rFonts w:asciiTheme="majorBidi" w:eastAsiaTheme="majorEastAsia" w:hAnsiTheme="majorBidi" w:cstheme="majorBidi"/>
          <w:b/>
          <w:bCs/>
          <w:sz w:val="22"/>
          <w:szCs w:val="22"/>
          <w:lang w:val="en-GB"/>
        </w:rPr>
      </w:pPr>
    </w:p>
    <w:p w14:paraId="13BA7216" w14:textId="77777777" w:rsidR="0013281A" w:rsidRPr="00AE4B3F" w:rsidRDefault="0013281A" w:rsidP="00AE4B3F">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AE4B3F">
        <w:rPr>
          <w:rStyle w:val="normaltextrun"/>
          <w:rFonts w:eastAsiaTheme="majorEastAsia"/>
          <w:b/>
          <w:bCs/>
          <w:lang w:val="en-GB"/>
        </w:rPr>
        <w:t>Full Indicator Name</w:t>
      </w:r>
    </w:p>
    <w:p w14:paraId="72B778C0" w14:textId="77777777" w:rsidR="0013281A" w:rsidRPr="00ED7E61" w:rsidRDefault="0013281A" w:rsidP="0013281A">
      <w:pPr>
        <w:rPr>
          <w:rFonts w:asciiTheme="majorBidi" w:hAnsiTheme="majorBidi" w:cstheme="majorBidi"/>
          <w:sz w:val="22"/>
          <w:szCs w:val="22"/>
        </w:rPr>
      </w:pPr>
      <w:r w:rsidRPr="00ED7E61">
        <w:rPr>
          <w:rFonts w:asciiTheme="majorBidi" w:hAnsiTheme="majorBidi" w:cstheme="majorBidi"/>
          <w:sz w:val="22"/>
          <w:szCs w:val="22"/>
        </w:rPr>
        <w:t>Number of countries using participatory, integrated and biodiversity-inclusive spatial planning and/or effective management processes addressing land- and sea-use change to bring the loss of areas of high biodiversity importance close to zero by 2030.</w:t>
      </w:r>
    </w:p>
    <w:p w14:paraId="03A057E3" w14:textId="77777777" w:rsidR="0013281A" w:rsidRPr="00AE4B3F" w:rsidRDefault="0013281A" w:rsidP="00AE4B3F">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AE4B3F">
        <w:rPr>
          <w:rStyle w:val="normaltextrun"/>
          <w:rFonts w:eastAsiaTheme="majorEastAsia"/>
          <w:b/>
          <w:bCs/>
          <w:lang w:val="en-GB"/>
        </w:rPr>
        <w:t>Goals and Targets Addressed</w:t>
      </w:r>
    </w:p>
    <w:p w14:paraId="395855F0" w14:textId="77777777" w:rsidR="0013281A" w:rsidRPr="00ED7E61" w:rsidRDefault="0013281A" w:rsidP="0013281A">
      <w:pPr>
        <w:spacing w:before="120"/>
        <w:jc w:val="both"/>
        <w:rPr>
          <w:rFonts w:asciiTheme="majorBidi" w:hAnsiTheme="majorBidi" w:cstheme="majorBidi"/>
          <w:b/>
          <w:bCs/>
          <w:sz w:val="22"/>
          <w:szCs w:val="22"/>
        </w:rPr>
      </w:pPr>
      <w:r w:rsidRPr="00ED7E61">
        <w:rPr>
          <w:rFonts w:asciiTheme="majorBidi" w:hAnsiTheme="majorBidi" w:cstheme="majorBidi"/>
          <w:b/>
          <w:bCs/>
          <w:sz w:val="22"/>
          <w:szCs w:val="22"/>
        </w:rPr>
        <w:t>Goal</w:t>
      </w:r>
    </w:p>
    <w:p w14:paraId="0CE5B40E" w14:textId="66B36940" w:rsidR="0013281A" w:rsidRPr="00ED7E61" w:rsidRDefault="0013281A" w:rsidP="0013281A">
      <w:pPr>
        <w:jc w:val="both"/>
        <w:rPr>
          <w:rFonts w:asciiTheme="majorBidi" w:hAnsiTheme="majorBidi" w:cstheme="majorBidi"/>
          <w:color w:val="242424"/>
          <w:sz w:val="22"/>
          <w:szCs w:val="22"/>
        </w:rPr>
      </w:pPr>
      <w:r w:rsidRPr="00ED7E61">
        <w:rPr>
          <w:rFonts w:asciiTheme="majorBidi" w:hAnsiTheme="majorBidi" w:cstheme="majorBidi"/>
          <w:color w:val="242424"/>
          <w:sz w:val="22"/>
          <w:szCs w:val="22"/>
        </w:rPr>
        <w:t>Goal A</w:t>
      </w:r>
      <w:r w:rsidR="00B74E4B">
        <w:rPr>
          <w:rFonts w:asciiTheme="majorBidi" w:hAnsiTheme="majorBidi" w:cstheme="majorBidi"/>
          <w:color w:val="242424"/>
          <w:sz w:val="22"/>
          <w:szCs w:val="22"/>
        </w:rPr>
        <w:t>.</w:t>
      </w:r>
      <w:r w:rsidRPr="00ED7E61">
        <w:rPr>
          <w:rFonts w:asciiTheme="majorBidi" w:hAnsiTheme="majorBidi" w:cstheme="majorBidi"/>
          <w:color w:val="242424"/>
          <w:sz w:val="22"/>
          <w:szCs w:val="22"/>
        </w:rPr>
        <w:t xml:space="preserve">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p>
    <w:p w14:paraId="633924B9" w14:textId="77777777" w:rsidR="0013281A" w:rsidRPr="00E72CB5" w:rsidRDefault="0013281A" w:rsidP="0013281A">
      <w:pPr>
        <w:jc w:val="both"/>
        <w:rPr>
          <w:rFonts w:asciiTheme="majorBidi" w:hAnsiTheme="majorBidi" w:cstheme="majorBidi"/>
          <w:color w:val="242424"/>
          <w:sz w:val="22"/>
          <w:szCs w:val="22"/>
        </w:rPr>
      </w:pPr>
      <w:r w:rsidRPr="00ED7E61">
        <w:rPr>
          <w:rFonts w:asciiTheme="majorBidi" w:hAnsiTheme="majorBidi" w:cstheme="majorBidi"/>
          <w:color w:val="242424"/>
          <w:sz w:val="22"/>
          <w:szCs w:val="22"/>
        </w:rPr>
        <w:t>Goal B 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p w14:paraId="2242AA6C" w14:textId="77777777" w:rsidR="0013281A" w:rsidRPr="00ED7E61" w:rsidRDefault="0013281A" w:rsidP="0013281A">
      <w:pPr>
        <w:spacing w:before="120"/>
        <w:jc w:val="both"/>
        <w:rPr>
          <w:rFonts w:asciiTheme="majorBidi" w:hAnsiTheme="majorBidi" w:cstheme="majorBidi"/>
          <w:b/>
          <w:bCs/>
          <w:sz w:val="22"/>
          <w:szCs w:val="22"/>
        </w:rPr>
      </w:pPr>
      <w:r w:rsidRPr="00ED7E61">
        <w:rPr>
          <w:rFonts w:asciiTheme="majorBidi" w:hAnsiTheme="majorBidi" w:cstheme="majorBidi"/>
          <w:b/>
          <w:bCs/>
          <w:sz w:val="22"/>
          <w:szCs w:val="22"/>
        </w:rPr>
        <w:t>Target</w:t>
      </w:r>
    </w:p>
    <w:p w14:paraId="7290A335" w14:textId="75D3295E" w:rsidR="0013281A" w:rsidRPr="00ED7E61" w:rsidRDefault="0013281A" w:rsidP="0013281A">
      <w:pPr>
        <w:rPr>
          <w:rFonts w:asciiTheme="majorBidi" w:hAnsiTheme="majorBidi" w:cstheme="majorBidi"/>
          <w:sz w:val="22"/>
          <w:szCs w:val="22"/>
        </w:rPr>
      </w:pPr>
      <w:r w:rsidRPr="00ED7E61">
        <w:rPr>
          <w:rFonts w:asciiTheme="majorBidi" w:hAnsiTheme="majorBidi" w:cstheme="majorBidi"/>
          <w:sz w:val="22"/>
          <w:szCs w:val="22"/>
        </w:rPr>
        <w:t>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w:t>
      </w:r>
    </w:p>
    <w:p w14:paraId="31D22E60" w14:textId="77777777" w:rsidR="0013281A" w:rsidRPr="00AE4B3F" w:rsidRDefault="0013281A" w:rsidP="00AE4B3F">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AE4B3F">
        <w:rPr>
          <w:rStyle w:val="normaltextrun"/>
          <w:rFonts w:eastAsiaTheme="majorEastAsia"/>
          <w:b/>
          <w:bCs/>
          <w:lang w:val="en-GB"/>
        </w:rPr>
        <w:t>Rationale</w:t>
      </w:r>
    </w:p>
    <w:p w14:paraId="6749F81B" w14:textId="77777777" w:rsidR="0013281A" w:rsidRPr="00ED7E61" w:rsidRDefault="0013281A" w:rsidP="0013281A">
      <w:pPr>
        <w:pStyle w:val="CBDNormalNumber"/>
        <w:numPr>
          <w:ilvl w:val="0"/>
          <w:numId w:val="71"/>
        </w:numPr>
        <w:tabs>
          <w:tab w:val="clear" w:pos="1701"/>
        </w:tabs>
        <w:ind w:left="567" w:firstLine="0"/>
        <w:rPr>
          <w:rStyle w:val="normaltextrun"/>
          <w:rFonts w:eastAsiaTheme="majorEastAsia"/>
          <w:sz w:val="24"/>
          <w:szCs w:val="24"/>
          <w:lang w:val="en-CA"/>
        </w:rPr>
      </w:pPr>
      <w:r w:rsidRPr="00ED7E61">
        <w:rPr>
          <w:rStyle w:val="normaltextrun"/>
          <w:rFonts w:eastAsiaTheme="majorEastAsia"/>
        </w:rPr>
        <w:t xml:space="preserve">Land-use and sea-use change are major direct drivers of biodiversity loss. Land-use change has had the largest relative negative impact on terrestrial and freshwater ecosystems since 1970, with agricultural expansion being the most widespread form of land-use change. Marine and coastal ecosystems have been significantly affected by human activities as well, with research demonstrating increasing cumulative impacts of human activities in more than 60 per cent of the ocean.   </w:t>
      </w:r>
    </w:p>
    <w:p w14:paraId="1BC01ED8"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 xml:space="preserve">Increasing demands and conflicting uses of land, inland water and ocean space and resources underscore the need for cross-sectoral approaches that allow for the consideration of multiple interests, values and types of use. Integrated spatial planning and/or effective management processes allow countries to </w:t>
      </w:r>
      <w:proofErr w:type="spellStart"/>
      <w:r w:rsidRPr="00ED7E61">
        <w:rPr>
          <w:rStyle w:val="normaltextrun"/>
          <w:rFonts w:eastAsiaTheme="majorEastAsia"/>
        </w:rPr>
        <w:t>analyze</w:t>
      </w:r>
      <w:proofErr w:type="spellEnd"/>
      <w:r w:rsidRPr="00ED7E61">
        <w:rPr>
          <w:rStyle w:val="normaltextrun"/>
          <w:rFonts w:eastAsiaTheme="majorEastAsia"/>
        </w:rPr>
        <w:t xml:space="preserve"> and then effectively allocate the spatial and temporal distribution of activities in each environment to achieve various social, ecological and economic objectives. Integrated and participatory spatial planning helps bring together all stakeholders for a particular space and thereby ensure the prioritization and proper allocation of various activities and balance the need to safeguard nature, while advancing sustainable socioeconomic development and ensuring food security and human well-being. </w:t>
      </w:r>
    </w:p>
    <w:p w14:paraId="346C01B0"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To ensure a sustainable development that respects the rights and needs of all people, it is essential that spatial planning of Parties be carried out in an integrated and biodiversity-inclusive manner. As such, this indicator tracks the progress of Parties towards the inclusion of biodiversity in spatial planning for all ecosystem types and the use of participatory processes in the design of spatial plans.</w:t>
      </w:r>
    </w:p>
    <w:p w14:paraId="2E897FC6" w14:textId="77777777" w:rsidR="0013281A" w:rsidRPr="00AE4B3F" w:rsidRDefault="0013281A" w:rsidP="00AE4B3F">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AE4B3F">
        <w:rPr>
          <w:rStyle w:val="normaltextrun"/>
          <w:rFonts w:eastAsiaTheme="majorEastAsia"/>
          <w:b/>
          <w:bCs/>
          <w:lang w:val="en-GB"/>
        </w:rPr>
        <w:t>Definitions Concepts and Classifications</w:t>
      </w:r>
    </w:p>
    <w:p w14:paraId="6BF7A9AA" w14:textId="77777777" w:rsidR="0013281A" w:rsidRPr="00ED7E61" w:rsidRDefault="0013281A" w:rsidP="0013281A">
      <w:pPr>
        <w:pStyle w:val="CBDNormalNumber"/>
        <w:numPr>
          <w:ilvl w:val="0"/>
          <w:numId w:val="71"/>
        </w:numPr>
        <w:ind w:left="567" w:firstLine="0"/>
        <w:rPr>
          <w:rStyle w:val="normaltextrun"/>
          <w:rFonts w:eastAsiaTheme="majorEastAsia"/>
          <w:sz w:val="24"/>
          <w:szCs w:val="24"/>
          <w:lang w:val="en-CA"/>
        </w:rPr>
      </w:pPr>
      <w:r w:rsidRPr="00ED7E61">
        <w:rPr>
          <w:rStyle w:val="normaltextrun"/>
          <w:rFonts w:eastAsiaTheme="majorEastAsia"/>
        </w:rPr>
        <w:t xml:space="preserve">Biodiversity inclusive approach: </w:t>
      </w:r>
      <w:proofErr w:type="gramStart"/>
      <w:r w:rsidRPr="00ED7E61">
        <w:rPr>
          <w:rStyle w:val="normaltextrun"/>
          <w:rFonts w:eastAsiaTheme="majorEastAsia"/>
        </w:rPr>
        <w:t>Taking into account</w:t>
      </w:r>
      <w:proofErr w:type="gramEnd"/>
      <w:r w:rsidRPr="00ED7E61">
        <w:rPr>
          <w:rStyle w:val="normaltextrun"/>
          <w:rFonts w:eastAsiaTheme="majorEastAsia"/>
        </w:rPr>
        <w:t xml:space="preserve"> all relevant information to safeguard biodiversity in spatial planning processes.</w:t>
      </w:r>
    </w:p>
    <w:p w14:paraId="1734DDB0"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lastRenderedPageBreak/>
        <w:t>Integrated spatial planning: A whole-of-government process to create land and sea use plans to achieve social, economic and ecological objectives for sustainable development.</w:t>
      </w:r>
    </w:p>
    <w:p w14:paraId="62297763"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Effective management processes: Activities through which evidence-based conservation outcomes are achieved.</w:t>
      </w:r>
    </w:p>
    <w:p w14:paraId="6BD5F19F"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 xml:space="preserve">Participatory approach: Involve stakeholders and rightsholders in all processes of decision-making and the long-term effective management, </w:t>
      </w:r>
      <w:proofErr w:type="gramStart"/>
      <w:r w:rsidRPr="00ED7E61">
        <w:rPr>
          <w:rStyle w:val="normaltextrun"/>
          <w:rFonts w:eastAsiaTheme="majorEastAsia"/>
        </w:rPr>
        <w:t>taking into account</w:t>
      </w:r>
      <w:proofErr w:type="gramEnd"/>
      <w:r w:rsidRPr="00ED7E61">
        <w:rPr>
          <w:rStyle w:val="normaltextrun"/>
          <w:rFonts w:eastAsiaTheme="majorEastAsia"/>
        </w:rPr>
        <w:t xml:space="preserve"> traditional knowledge, ensuring that the voices of rightsholders and particularly marginalized groups are appropriately </w:t>
      </w:r>
      <w:proofErr w:type="gramStart"/>
      <w:r w:rsidRPr="00ED7E61">
        <w:rPr>
          <w:rStyle w:val="normaltextrun"/>
          <w:rFonts w:eastAsiaTheme="majorEastAsia"/>
        </w:rPr>
        <w:t>taken into account</w:t>
      </w:r>
      <w:proofErr w:type="gramEnd"/>
      <w:r w:rsidRPr="00ED7E61">
        <w:rPr>
          <w:rStyle w:val="normaltextrun"/>
          <w:rFonts w:eastAsiaTheme="majorEastAsia"/>
        </w:rPr>
        <w:t>, to support healthy ecosystems, social equity and human rights. </w:t>
      </w:r>
    </w:p>
    <w:p w14:paraId="09A346BE"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 xml:space="preserve">Land-use change: Land-use change includes the conversion of land cover (e.g. deforestation or mining), changes in the management of the ecosystem or </w:t>
      </w:r>
      <w:proofErr w:type="spellStart"/>
      <w:r w:rsidRPr="00ED7E61">
        <w:rPr>
          <w:rStyle w:val="normaltextrun"/>
          <w:rFonts w:eastAsiaTheme="majorEastAsia"/>
        </w:rPr>
        <w:t>agro</w:t>
      </w:r>
      <w:proofErr w:type="spellEnd"/>
      <w:r w:rsidRPr="00ED7E61">
        <w:rPr>
          <w:rStyle w:val="normaltextrun"/>
          <w:rFonts w:eastAsiaTheme="majorEastAsia"/>
        </w:rPr>
        <w:t>-ecosystem (e.g. through the intensification of agricultural management or forest harvesting) or changes in the spatial configuration of the landscape (e.g. fragmentation of habitats).</w:t>
      </w:r>
    </w:p>
    <w:p w14:paraId="57DDA2BD"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Sea-use change: Similarly, sea-use change refers to measures and activities altering the use of marine areas, for example, coastal development, offshore aquaculture, mariculture, oil and gas exploration, and bottom trawling.</w:t>
      </w:r>
    </w:p>
    <w:p w14:paraId="6CB923F2"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Terrestrial: All lands at or above sea level. These may correspond to the International Union for the Conservation of Nature Global Ecosystem Typology: Tropical-subtropical lowland rainforests (T1), tropical-subtropical dry forests and scrubs (T2), shrublands &amp; shrubby woodlands (T3), savannas and grasslands (T4), deserts and semi-deserts (T5), polar-alpine (T6), Intensive land-use systems (T7).</w:t>
      </w:r>
    </w:p>
    <w:p w14:paraId="15A4DB5A"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Inland water: All freshwater and/or landlocked waterbodies, including rivers, lakes, inland seas and groundwater. These may correspond to the International Union for the Conservation of Nature Global Ecosystem Typology: Rivers and streams (F1), lakes (F2), palustrine wetlands biome (TF1), artificial freshwaters (F3).</w:t>
      </w:r>
    </w:p>
    <w:p w14:paraId="707FB67A" w14:textId="77777777" w:rsidR="0013281A" w:rsidRPr="00E72CB5" w:rsidRDefault="0013281A" w:rsidP="0013281A">
      <w:pPr>
        <w:pStyle w:val="CBDNormalNumber"/>
        <w:numPr>
          <w:ilvl w:val="0"/>
          <w:numId w:val="71"/>
        </w:numPr>
        <w:ind w:left="567" w:firstLine="0"/>
        <w:rPr>
          <w:rFonts w:eastAsiaTheme="majorEastAsia"/>
        </w:rPr>
      </w:pPr>
      <w:r w:rsidRPr="00ED7E61">
        <w:rPr>
          <w:rStyle w:val="normaltextrun"/>
          <w:rFonts w:eastAsiaTheme="majorEastAsia"/>
        </w:rPr>
        <w:t>Coastal and marine: All connected saline ocean waters characterised by waves, tides and currents. These may correspond to the International Union for the Conservation of Nature Global Ecosystem Typology: Marine shelfs (M1), pelagic ocean waters (M2), deep sea floors (M3), semi-confined transitional waters biome (FM1), shoreline systems biome (MT1), supralittoral coastal systems biome (MT2), brackish tidal systems biome (MFT1), anthropogenic marine systems (M4), anthropogenic shorelines (MT3).</w:t>
      </w:r>
    </w:p>
    <w:p w14:paraId="6E885BA8" w14:textId="77777777" w:rsidR="0013281A" w:rsidRPr="00AE4B3F" w:rsidRDefault="0013281A" w:rsidP="00AE4B3F">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AE4B3F">
        <w:rPr>
          <w:rStyle w:val="normaltextrun"/>
          <w:rFonts w:eastAsiaTheme="majorEastAsia"/>
          <w:b/>
          <w:bCs/>
          <w:lang w:val="en-GB"/>
        </w:rPr>
        <w:t>Method of Computation</w:t>
      </w:r>
    </w:p>
    <w:p w14:paraId="00312742" w14:textId="77777777" w:rsidR="0013281A" w:rsidRPr="00ED7E61" w:rsidRDefault="0013281A" w:rsidP="0013281A">
      <w:pPr>
        <w:pStyle w:val="CBDNormalNumber"/>
        <w:numPr>
          <w:ilvl w:val="0"/>
          <w:numId w:val="71"/>
        </w:numPr>
        <w:ind w:left="567" w:firstLine="0"/>
        <w:rPr>
          <w:rStyle w:val="normaltextrun"/>
          <w:rFonts w:eastAsiaTheme="majorEastAsia"/>
          <w:sz w:val="24"/>
          <w:szCs w:val="24"/>
          <w:lang w:val="en-CA"/>
        </w:rPr>
      </w:pPr>
      <w:r w:rsidRPr="00ED7E61">
        <w:rPr>
          <w:rStyle w:val="normaltextrun"/>
          <w:rFonts w:eastAsiaTheme="majorEastAsia"/>
        </w:rPr>
        <w:t>This indicator is a binary indicator and must be compiled from the answers to two questions and three sub questions:</w:t>
      </w:r>
    </w:p>
    <w:p w14:paraId="78BBBFC0" w14:textId="77777777" w:rsidR="0013281A" w:rsidRPr="00ED7E61" w:rsidRDefault="0013281A" w:rsidP="0013281A">
      <w:pPr>
        <w:pStyle w:val="CBDNormalNumber"/>
        <w:numPr>
          <w:ilvl w:val="1"/>
          <w:numId w:val="71"/>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1.1 Are all areas of your country under biodiversity-inclusive spatial planning or effective management processes that:</w:t>
      </w:r>
    </w:p>
    <w:p w14:paraId="55B83278" w14:textId="77777777" w:rsidR="0013281A" w:rsidRPr="00654D8B" w:rsidRDefault="0013281A" w:rsidP="0013281A">
      <w:pPr>
        <w:pStyle w:val="CBDNormalNumber"/>
        <w:numPr>
          <w:ilvl w:val="2"/>
          <w:numId w:val="71"/>
        </w:numPr>
        <w:tabs>
          <w:tab w:val="clear" w:pos="567"/>
          <w:tab w:val="clear" w:pos="1134"/>
          <w:tab w:val="clear" w:pos="1701"/>
          <w:tab w:val="clear" w:pos="2268"/>
          <w:tab w:val="left" w:pos="1985"/>
        </w:tabs>
        <w:rPr>
          <w:rFonts w:asciiTheme="majorBidi" w:hAnsiTheme="majorBidi" w:cstheme="majorBidi"/>
          <w:color w:val="000000" w:themeColor="text1"/>
          <w:lang w:val="en-US"/>
        </w:rPr>
      </w:pPr>
      <w:r w:rsidRPr="00654D8B">
        <w:rPr>
          <w:rFonts w:asciiTheme="majorBidi" w:hAnsiTheme="majorBidi" w:cstheme="majorBidi"/>
          <w:color w:val="000000" w:themeColor="text1"/>
          <w:lang w:val="en-US"/>
        </w:rPr>
        <w:t>Address land-use (terrestrial) change?</w:t>
      </w:r>
    </w:p>
    <w:p w14:paraId="16750847" w14:textId="77777777" w:rsidR="0013281A" w:rsidRPr="00654D8B" w:rsidRDefault="0013281A" w:rsidP="0013281A">
      <w:pPr>
        <w:pStyle w:val="CBDNormalNumber"/>
        <w:numPr>
          <w:ilvl w:val="2"/>
          <w:numId w:val="71"/>
        </w:numPr>
        <w:tabs>
          <w:tab w:val="clear" w:pos="567"/>
          <w:tab w:val="clear" w:pos="1134"/>
          <w:tab w:val="clear" w:pos="1701"/>
          <w:tab w:val="clear" w:pos="2268"/>
          <w:tab w:val="left" w:pos="1985"/>
        </w:tabs>
        <w:rPr>
          <w:rFonts w:asciiTheme="majorBidi" w:hAnsiTheme="majorBidi" w:cstheme="majorBidi"/>
          <w:lang w:val="en-US"/>
        </w:rPr>
      </w:pPr>
      <w:r w:rsidRPr="00654D8B">
        <w:rPr>
          <w:rFonts w:asciiTheme="majorBidi" w:hAnsiTheme="majorBidi" w:cstheme="majorBidi"/>
          <w:color w:val="000000" w:themeColor="text1"/>
          <w:lang w:val="en-US"/>
        </w:rPr>
        <w:t>Address land-use (inland water) change?</w:t>
      </w:r>
    </w:p>
    <w:p w14:paraId="22CB47BD" w14:textId="177C75A3" w:rsidR="0013281A" w:rsidRPr="00654D8B" w:rsidRDefault="0013281A" w:rsidP="0013281A">
      <w:pPr>
        <w:pStyle w:val="CBDNormalNumber"/>
        <w:numPr>
          <w:ilvl w:val="2"/>
          <w:numId w:val="71"/>
        </w:numPr>
        <w:tabs>
          <w:tab w:val="clear" w:pos="567"/>
          <w:tab w:val="clear" w:pos="1134"/>
          <w:tab w:val="clear" w:pos="1701"/>
          <w:tab w:val="clear" w:pos="2268"/>
          <w:tab w:val="left" w:pos="1985"/>
        </w:tabs>
        <w:rPr>
          <w:rFonts w:asciiTheme="majorBidi" w:hAnsiTheme="majorBidi" w:cstheme="majorBidi"/>
          <w:lang w:val="en-US"/>
        </w:rPr>
      </w:pPr>
      <w:r w:rsidRPr="00654D8B">
        <w:rPr>
          <w:rFonts w:asciiTheme="majorBidi" w:hAnsiTheme="majorBidi" w:cstheme="majorBidi"/>
          <w:lang w:val="en-US"/>
        </w:rPr>
        <w:t>Address sea-use (coastal and marine) change (</w:t>
      </w:r>
      <w:r w:rsidR="006923D2">
        <w:rPr>
          <w:rFonts w:asciiTheme="majorBidi" w:hAnsiTheme="majorBidi" w:cstheme="majorBidi"/>
          <w:lang w:val="en-US"/>
        </w:rPr>
        <w:t>W</w:t>
      </w:r>
      <w:r w:rsidRPr="00654D8B">
        <w:rPr>
          <w:rFonts w:asciiTheme="majorBidi" w:hAnsiTheme="majorBidi" w:cstheme="majorBidi"/>
          <w:lang w:val="en-US"/>
        </w:rPr>
        <w:t>ill be considered not applicable for landlocked states)?</w:t>
      </w:r>
    </w:p>
    <w:p w14:paraId="6B8BDD1F" w14:textId="6DA1E341"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 xml:space="preserve">1.2 If the answer to any of the questions in 1.1 is </w:t>
      </w:r>
      <w:r w:rsidR="00D51928">
        <w:rPr>
          <w:rStyle w:val="normaltextrun"/>
          <w:rFonts w:eastAsiaTheme="majorEastAsia"/>
        </w:rPr>
        <w:t xml:space="preserve">not “No” </w:t>
      </w:r>
      <w:r w:rsidRPr="00ED7E61">
        <w:rPr>
          <w:rStyle w:val="normaltextrun"/>
          <w:rFonts w:eastAsiaTheme="majorEastAsia"/>
        </w:rPr>
        <w:t>were the plans created using a participatory process? (Select all that apply, note that if your country is a landlocked state, marine spatial planning will be considered as not relevant)</w:t>
      </w:r>
    </w:p>
    <w:p w14:paraId="6FAEE8B1"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There are four possible answers to each of the options in question 1.1:</w:t>
      </w:r>
    </w:p>
    <w:p w14:paraId="2421C703" w14:textId="77777777" w:rsidR="0013281A" w:rsidRPr="00ED7E61" w:rsidRDefault="0013281A" w:rsidP="0013281A">
      <w:pPr>
        <w:pStyle w:val="CBDNormalNumber"/>
        <w:numPr>
          <w:ilvl w:val="1"/>
          <w:numId w:val="71"/>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No</w:t>
      </w:r>
    </w:p>
    <w:p w14:paraId="3EDC898B" w14:textId="77777777" w:rsidR="0013281A" w:rsidRPr="00ED7E61" w:rsidRDefault="0013281A" w:rsidP="0013281A">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ED7E61">
        <w:rPr>
          <w:rFonts w:asciiTheme="majorBidi" w:hAnsiTheme="majorBidi" w:cstheme="majorBidi"/>
          <w:color w:val="000000"/>
          <w:lang w:val="en-US"/>
        </w:rPr>
        <w:t>Under development</w:t>
      </w:r>
    </w:p>
    <w:p w14:paraId="2D956FF7" w14:textId="77777777" w:rsidR="0013281A" w:rsidRPr="00ED7E61" w:rsidRDefault="0013281A" w:rsidP="0013281A">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ED7E61">
        <w:rPr>
          <w:rFonts w:asciiTheme="majorBidi" w:hAnsiTheme="majorBidi" w:cstheme="majorBidi"/>
          <w:color w:val="000000"/>
          <w:lang w:val="en-US"/>
        </w:rPr>
        <w:lastRenderedPageBreak/>
        <w:t>Partially</w:t>
      </w:r>
    </w:p>
    <w:p w14:paraId="58F521BC" w14:textId="77777777" w:rsidR="0013281A" w:rsidRPr="00ED7E61" w:rsidRDefault="0013281A" w:rsidP="0013281A">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ED7E61">
        <w:rPr>
          <w:rFonts w:asciiTheme="majorBidi" w:hAnsiTheme="majorBidi" w:cstheme="majorBidi"/>
          <w:color w:val="000000"/>
          <w:lang w:val="en-US"/>
        </w:rPr>
        <w:t>Fully</w:t>
      </w:r>
    </w:p>
    <w:p w14:paraId="4F1BFC51"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A “</w:t>
      </w:r>
      <w:r w:rsidRPr="00FB1598">
        <w:rPr>
          <w:rStyle w:val="normaltextrun"/>
          <w:rFonts w:eastAsiaTheme="majorEastAsia"/>
          <w:i/>
          <w:iCs/>
        </w:rPr>
        <w:t>No</w:t>
      </w:r>
      <w:r w:rsidRPr="00ED7E61">
        <w:rPr>
          <w:rStyle w:val="normaltextrun"/>
          <w:rFonts w:eastAsiaTheme="majorEastAsia"/>
        </w:rPr>
        <w:t>” answer implies that spatial planning is either absent or being done without the explicit inclusion of biodiversity. Spatial planning may be implemented to cover any extent of the country’s terrestrial (1.1a), inland water (1.1b) and coastal and marine (1.1c) areas, if it does not specifically include biodiversity, select “</w:t>
      </w:r>
      <w:r w:rsidRPr="00FB1598">
        <w:rPr>
          <w:rStyle w:val="normaltextrun"/>
          <w:rFonts w:eastAsiaTheme="majorEastAsia"/>
          <w:i/>
          <w:iCs/>
        </w:rPr>
        <w:t>No</w:t>
      </w:r>
      <w:r w:rsidRPr="00ED7E61">
        <w:rPr>
          <w:rStyle w:val="normaltextrun"/>
          <w:rFonts w:eastAsiaTheme="majorEastAsia"/>
        </w:rPr>
        <w:t>”.</w:t>
      </w:r>
    </w:p>
    <w:p w14:paraId="7FAB9327" w14:textId="77777777" w:rsidR="0013281A" w:rsidRPr="00ED7E61" w:rsidRDefault="0013281A" w:rsidP="0013281A">
      <w:pPr>
        <w:pStyle w:val="CBDNormalNumber"/>
        <w:numPr>
          <w:ilvl w:val="0"/>
          <w:numId w:val="71"/>
        </w:numPr>
        <w:ind w:left="567" w:firstLine="0"/>
        <w:rPr>
          <w:rStyle w:val="normaltextrun"/>
          <w:rFonts w:eastAsiaTheme="majorEastAsia"/>
        </w:rPr>
      </w:pPr>
      <w:r w:rsidRPr="00ED7E61">
        <w:rPr>
          <w:rStyle w:val="normaltextrun"/>
          <w:rFonts w:eastAsiaTheme="majorEastAsia"/>
        </w:rPr>
        <w:t>An “</w:t>
      </w:r>
      <w:r w:rsidRPr="00FB1598">
        <w:rPr>
          <w:rStyle w:val="normaltextrun"/>
          <w:rFonts w:eastAsiaTheme="majorEastAsia"/>
          <w:i/>
          <w:iCs/>
        </w:rPr>
        <w:t>Under development</w:t>
      </w:r>
      <w:r w:rsidRPr="00ED7E61">
        <w:rPr>
          <w:rStyle w:val="normaltextrun"/>
          <w:rFonts w:eastAsiaTheme="majorEastAsia"/>
        </w:rPr>
        <w:t>” answer implies a concerted effort at the national level to implement biodiversity-inclusive spatial planning to address land- and sea-use change in terrestrial (1.1a), inland water (1.1b) and coastal and marine (1.1c) areas. That is, countries may have spatial planning tools that consider and include biodiversity, but these are not yet being used to address the effects of land- and sea-use change. Alternatively, a country may have implemented biodiversity-inclusive spatial planning or effective management processes to address land- and sea-use change, but these are limited to a small amount of the surface area of the country (e.g. only in a single region or province).</w:t>
      </w:r>
    </w:p>
    <w:p w14:paraId="7439364D" w14:textId="77777777" w:rsidR="0013281A" w:rsidRPr="00ED7E61" w:rsidRDefault="0013281A" w:rsidP="0013281A">
      <w:pPr>
        <w:pStyle w:val="CBDNormalNumber"/>
        <w:numPr>
          <w:ilvl w:val="0"/>
          <w:numId w:val="71"/>
        </w:numPr>
        <w:ind w:left="567" w:firstLine="0"/>
      </w:pPr>
      <w:r w:rsidRPr="00ED7E61">
        <w:rPr>
          <w:color w:val="000000"/>
        </w:rPr>
        <w:t>A “</w:t>
      </w:r>
      <w:r w:rsidRPr="00FB1598">
        <w:rPr>
          <w:i/>
          <w:iCs/>
          <w:color w:val="000000"/>
        </w:rPr>
        <w:t>Partially</w:t>
      </w:r>
      <w:r w:rsidRPr="00ED7E61">
        <w:rPr>
          <w:color w:val="000000"/>
        </w:rPr>
        <w:t xml:space="preserve">” answer implies that a country is making progress towards having all </w:t>
      </w:r>
      <w:r w:rsidRPr="00ED7E61">
        <w:t>terrestrial (1.1a), inland water (1.1b) and coastal and marine (1.1c)</w:t>
      </w:r>
      <w:r w:rsidRPr="00ED7E61">
        <w:rPr>
          <w:color w:val="000000"/>
        </w:rPr>
        <w:t xml:space="preserve"> </w:t>
      </w:r>
      <w:r w:rsidRPr="00ED7E61">
        <w:t>areas under biodiversity-inclusive spatial planning or effective management processes to address land- and sea-use change. Namely, over half of a country’s area, for each type (terrestrial (1.1a), inland water (1.1b) and coastal and marine (1.1c)), is under biodiversity-inclusive spatial planning or effective management processes.</w:t>
      </w:r>
    </w:p>
    <w:p w14:paraId="51E520FB" w14:textId="77777777" w:rsidR="0013281A" w:rsidRPr="00ED7E61" w:rsidRDefault="0013281A" w:rsidP="0013281A">
      <w:pPr>
        <w:pStyle w:val="CBDNormalNumber"/>
        <w:numPr>
          <w:ilvl w:val="0"/>
          <w:numId w:val="71"/>
        </w:numPr>
        <w:ind w:left="567" w:firstLine="0"/>
      </w:pPr>
      <w:r w:rsidRPr="00ED7E61">
        <w:rPr>
          <w:color w:val="000000"/>
        </w:rPr>
        <w:t>A “</w:t>
      </w:r>
      <w:r w:rsidRPr="00FB1598">
        <w:rPr>
          <w:i/>
          <w:iCs/>
          <w:color w:val="000000"/>
        </w:rPr>
        <w:t>Fully</w:t>
      </w:r>
      <w:r w:rsidRPr="00ED7E61">
        <w:rPr>
          <w:color w:val="000000"/>
        </w:rPr>
        <w:t xml:space="preserve">” answer implies that all or almost all terrestrial (1.1a), inland water (1.1b) and coastal and marine (1.1c) areas of a country are </w:t>
      </w:r>
      <w:r w:rsidRPr="00ED7E61">
        <w:t xml:space="preserve">under biodiversity-inclusive spatial planning or effective management processes to address land- and sea-use change. </w:t>
      </w:r>
    </w:p>
    <w:p w14:paraId="5E2F2482" w14:textId="77777777" w:rsidR="0013281A" w:rsidRPr="00ED7E61" w:rsidRDefault="0013281A" w:rsidP="0013281A">
      <w:pPr>
        <w:pStyle w:val="CBDNormalNumber"/>
        <w:numPr>
          <w:ilvl w:val="0"/>
          <w:numId w:val="71"/>
        </w:numPr>
        <w:ind w:left="567" w:firstLine="0"/>
      </w:pPr>
      <w:r w:rsidRPr="00ED7E61">
        <w:t>There are four possible answers to question 1.2</w:t>
      </w:r>
      <w:r w:rsidRPr="00ED7E61">
        <w:rPr>
          <w:rStyle w:val="FootnoteReference"/>
        </w:rPr>
        <w:footnoteReference w:id="15"/>
      </w:r>
      <w:r w:rsidRPr="00ED7E61">
        <w:t>:</w:t>
      </w:r>
    </w:p>
    <w:p w14:paraId="51987B92" w14:textId="77777777" w:rsidR="0013281A" w:rsidRPr="00ED7E61" w:rsidRDefault="0013281A" w:rsidP="0013281A">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ED7E61">
        <w:rPr>
          <w:rFonts w:asciiTheme="majorBidi" w:hAnsiTheme="majorBidi" w:cstheme="majorBidi"/>
          <w:color w:val="000000"/>
          <w:lang w:val="en-US"/>
        </w:rPr>
        <w:t>For terrestrial spatial planning</w:t>
      </w:r>
    </w:p>
    <w:p w14:paraId="61C982E7" w14:textId="77777777" w:rsidR="0013281A" w:rsidRPr="00ED7E61" w:rsidRDefault="0013281A" w:rsidP="0013281A">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ED7E61">
        <w:rPr>
          <w:rFonts w:asciiTheme="majorBidi" w:hAnsiTheme="majorBidi" w:cstheme="majorBidi"/>
          <w:color w:val="000000"/>
          <w:lang w:val="en-US"/>
        </w:rPr>
        <w:t>For inland water spatial planning</w:t>
      </w:r>
    </w:p>
    <w:p w14:paraId="0AAFC338" w14:textId="77777777" w:rsidR="0013281A" w:rsidRPr="00ED7E61" w:rsidRDefault="0013281A" w:rsidP="0013281A">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ED7E61">
        <w:rPr>
          <w:rFonts w:asciiTheme="majorBidi" w:hAnsiTheme="majorBidi" w:cstheme="majorBidi"/>
          <w:color w:val="000000"/>
          <w:lang w:val="en-US"/>
        </w:rPr>
        <w:t>For coastal and marine spatial planning</w:t>
      </w:r>
    </w:p>
    <w:p w14:paraId="13E0F305" w14:textId="6AAFAB1A" w:rsidR="0013281A" w:rsidRPr="00ED7E61" w:rsidRDefault="0013281A" w:rsidP="0013281A">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ED7E61">
        <w:rPr>
          <w:rFonts w:asciiTheme="majorBidi" w:hAnsiTheme="majorBidi" w:cstheme="majorBidi"/>
          <w:color w:val="000000"/>
          <w:lang w:val="en-US"/>
        </w:rPr>
        <w:t>None of the above</w:t>
      </w:r>
    </w:p>
    <w:p w14:paraId="37D7B8B8" w14:textId="77777777" w:rsidR="0013281A" w:rsidRPr="00ED7E61" w:rsidRDefault="0013281A" w:rsidP="0013281A">
      <w:pPr>
        <w:pStyle w:val="CBDNormalNumber"/>
        <w:numPr>
          <w:ilvl w:val="0"/>
          <w:numId w:val="71"/>
        </w:numPr>
        <w:ind w:left="567" w:firstLine="0"/>
        <w:rPr>
          <w:color w:val="000000"/>
        </w:rPr>
      </w:pPr>
      <w:r w:rsidRPr="00ED7E61">
        <w:rPr>
          <w:color w:val="000000"/>
        </w:rPr>
        <w:t>Each of the answers here is to be chosen using a “</w:t>
      </w:r>
      <w:r w:rsidRPr="00FB1598">
        <w:rPr>
          <w:i/>
          <w:iCs/>
          <w:color w:val="000000"/>
        </w:rPr>
        <w:t>select all that apply</w:t>
      </w:r>
      <w:r w:rsidRPr="00ED7E61">
        <w:rPr>
          <w:color w:val="000000"/>
        </w:rPr>
        <w:t>” approach. Namely, if any of each type of plans (terrestrial, inland water or coastal and marine) developed by a Party, as indicated in 1.1, were created using a participatory process then select the types of plans to which this applies. In other words, select each option for which the answer to 1.2 is “</w:t>
      </w:r>
      <w:r w:rsidRPr="00FB1598">
        <w:rPr>
          <w:i/>
          <w:iCs/>
          <w:color w:val="000000"/>
        </w:rPr>
        <w:t>Yes</w:t>
      </w:r>
      <w:r w:rsidRPr="00ED7E61">
        <w:rPr>
          <w:color w:val="000000"/>
        </w:rPr>
        <w:t>”. If none of the plans developed by the Party used a participatory process, then select option (d)</w:t>
      </w:r>
      <w:r w:rsidRPr="00ED7E61">
        <w:rPr>
          <w:rStyle w:val="FootnoteReference"/>
          <w:color w:val="000000"/>
        </w:rPr>
        <w:footnoteReference w:id="16"/>
      </w:r>
      <w:r>
        <w:rPr>
          <w:color w:val="000000"/>
        </w:rPr>
        <w:t xml:space="preserve">. </w:t>
      </w:r>
    </w:p>
    <w:p w14:paraId="014E992F" w14:textId="33D4BCE1" w:rsidR="00B55C72" w:rsidRDefault="00B55C72">
      <w:pPr>
        <w:rPr>
          <w:rFonts w:asciiTheme="majorBidi" w:hAnsiTheme="majorBidi" w:cstheme="majorBidi"/>
          <w:color w:val="000000" w:themeColor="text1"/>
          <w:sz w:val="22"/>
          <w:szCs w:val="22"/>
          <w:lang w:val="en-US"/>
        </w:rPr>
      </w:pPr>
      <w:r>
        <w:rPr>
          <w:rFonts w:asciiTheme="majorBidi" w:hAnsiTheme="majorBidi" w:cstheme="majorBidi"/>
          <w:color w:val="000000" w:themeColor="text1"/>
          <w:sz w:val="22"/>
          <w:szCs w:val="22"/>
          <w:lang w:val="en-US"/>
        </w:rPr>
        <w:br w:type="page"/>
      </w:r>
    </w:p>
    <w:p w14:paraId="716C2EE8" w14:textId="7ACAFAF1" w:rsidR="00756F0F" w:rsidRPr="00ED7E61" w:rsidRDefault="00353D61" w:rsidP="00965B3D">
      <w:pPr>
        <w:pStyle w:val="Heading3"/>
      </w:pPr>
      <w:bookmarkStart w:id="32" w:name="_Toc233278566"/>
      <w:r w:rsidRPr="00ED7E61">
        <w:rPr>
          <w:rStyle w:val="eop"/>
        </w:rPr>
        <w:lastRenderedPageBreak/>
        <w:t>2.1 Area under restoration</w:t>
      </w:r>
      <w:bookmarkEnd w:id="32"/>
    </w:p>
    <w:p w14:paraId="5E507B28" w14:textId="5FC616B4"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091978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b/>
          <w:bCs/>
          <w:sz w:val="22"/>
          <w:szCs w:val="22"/>
        </w:rPr>
        <w:t> </w:t>
      </w:r>
    </w:p>
    <w:p w14:paraId="7C6FFD3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2.1 Area under restoration</w:t>
      </w:r>
      <w:r w:rsidRPr="00ED7E61">
        <w:rPr>
          <w:rStyle w:val="eop"/>
          <w:rFonts w:asciiTheme="majorBidi" w:eastAsiaTheme="majorEastAsia" w:hAnsiTheme="majorBidi" w:cstheme="majorBidi"/>
          <w:sz w:val="22"/>
          <w:szCs w:val="22"/>
        </w:rPr>
        <w:t> </w:t>
      </w:r>
    </w:p>
    <w:p w14:paraId="6F5351D8" w14:textId="77777777" w:rsidR="00756F0F" w:rsidRPr="00ED7E61" w:rsidRDefault="00756F0F" w:rsidP="00E72CB5">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b/>
          <w:bCs/>
          <w:sz w:val="22"/>
          <w:szCs w:val="22"/>
        </w:rPr>
        <w:t> </w:t>
      </w:r>
    </w:p>
    <w:p w14:paraId="6A77C453" w14:textId="7AAF19EB" w:rsidR="00756F0F" w:rsidRPr="00ED7E61" w:rsidRDefault="00A65C45"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lang w:val="en-GB"/>
        </w:rPr>
        <w:t>March</w:t>
      </w:r>
      <w:r w:rsidR="006B30FE" w:rsidRPr="00ED7E61">
        <w:rPr>
          <w:rStyle w:val="normaltextrun"/>
          <w:rFonts w:asciiTheme="majorBidi" w:eastAsiaTheme="majorEastAsia" w:hAnsiTheme="majorBidi" w:cstheme="majorBidi"/>
          <w:sz w:val="22"/>
          <w:szCs w:val="22"/>
          <w:lang w:val="en-GB"/>
        </w:rPr>
        <w:t xml:space="preserve"> </w:t>
      </w:r>
      <w:r w:rsidR="00756F0F" w:rsidRPr="00ED7E61">
        <w:rPr>
          <w:rStyle w:val="normaltextrun"/>
          <w:rFonts w:asciiTheme="majorBidi" w:eastAsiaTheme="majorEastAsia" w:hAnsiTheme="majorBidi" w:cstheme="majorBidi"/>
          <w:sz w:val="22"/>
          <w:szCs w:val="22"/>
          <w:lang w:val="en-GB"/>
        </w:rPr>
        <w:t>202</w:t>
      </w:r>
      <w:r>
        <w:rPr>
          <w:rStyle w:val="normaltextrun"/>
          <w:rFonts w:asciiTheme="majorBidi" w:eastAsiaTheme="majorEastAsia" w:hAnsiTheme="majorBidi" w:cstheme="majorBidi"/>
          <w:sz w:val="22"/>
          <w:szCs w:val="22"/>
          <w:lang w:val="en-GB"/>
        </w:rPr>
        <w:t>6</w:t>
      </w:r>
      <w:r w:rsidR="00756F0F" w:rsidRPr="00ED7E61">
        <w:rPr>
          <w:rStyle w:val="eop"/>
          <w:rFonts w:asciiTheme="majorBidi" w:eastAsiaTheme="majorEastAsia" w:hAnsiTheme="majorBidi" w:cstheme="majorBidi"/>
          <w:sz w:val="22"/>
          <w:szCs w:val="22"/>
        </w:rPr>
        <w:t> </w:t>
      </w:r>
    </w:p>
    <w:p w14:paraId="0FB3A3E9" w14:textId="77777777" w:rsidR="00756F0F" w:rsidRPr="00ED7E61" w:rsidRDefault="00756F0F" w:rsidP="00E72CB5">
      <w:pPr>
        <w:pStyle w:val="paragraph"/>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b/>
          <w:bCs/>
          <w:sz w:val="22"/>
          <w:szCs w:val="22"/>
        </w:rPr>
        <w:t> </w:t>
      </w:r>
    </w:p>
    <w:p w14:paraId="79A3C981" w14:textId="77777777" w:rsidR="00756F0F" w:rsidRPr="00ED7E61" w:rsidRDefault="00756F0F" w:rsidP="00E72CB5">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b/>
          <w:bCs/>
          <w:sz w:val="22"/>
          <w:szCs w:val="22"/>
        </w:rPr>
        <w:t> </w:t>
      </w:r>
    </w:p>
    <w:p w14:paraId="1B764BFB" w14:textId="77777777" w:rsidR="00756F0F" w:rsidRPr="00ED7E61" w:rsidRDefault="00756F0F" w:rsidP="00E72CB5">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244DA83D" w14:textId="77777777" w:rsidR="00756F0F" w:rsidRPr="00ED7E61" w:rsidRDefault="00756F0F" w:rsidP="00E72CB5">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b/>
          <w:bCs/>
          <w:sz w:val="22"/>
          <w:szCs w:val="22"/>
        </w:rPr>
        <w:t> </w:t>
      </w:r>
    </w:p>
    <w:p w14:paraId="523BEDA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Headline indicator for Target 2: Ensure that by 2030 at least 30 per cent of areas of degraded terrestrial, inland water, and marine and coastal ecosystems are under effective restoration, </w:t>
      </w:r>
      <w:proofErr w:type="gramStart"/>
      <w:r w:rsidRPr="00ED7E61">
        <w:rPr>
          <w:rStyle w:val="normaltextrun"/>
          <w:rFonts w:asciiTheme="majorBidi" w:eastAsiaTheme="majorEastAsia" w:hAnsiTheme="majorBidi" w:cstheme="majorBidi"/>
          <w:sz w:val="22"/>
          <w:szCs w:val="22"/>
          <w:lang w:val="en-GB"/>
        </w:rPr>
        <w:t>in order to</w:t>
      </w:r>
      <w:proofErr w:type="gramEnd"/>
      <w:r w:rsidRPr="00ED7E61">
        <w:rPr>
          <w:rStyle w:val="normaltextrun"/>
          <w:rFonts w:asciiTheme="majorBidi" w:eastAsiaTheme="majorEastAsia" w:hAnsiTheme="majorBidi" w:cstheme="majorBidi"/>
          <w:sz w:val="22"/>
          <w:szCs w:val="22"/>
          <w:lang w:val="en-GB"/>
        </w:rPr>
        <w:t xml:space="preserve"> enhance biodiversity and ecosystem functions and services, ecological integrity and connectivity.</w:t>
      </w:r>
      <w:r w:rsidRPr="00ED7E61">
        <w:rPr>
          <w:rStyle w:val="eop"/>
          <w:rFonts w:asciiTheme="majorBidi" w:eastAsiaTheme="majorEastAsia" w:hAnsiTheme="majorBidi" w:cstheme="majorBidi"/>
          <w:sz w:val="22"/>
          <w:szCs w:val="22"/>
        </w:rPr>
        <w:t> </w:t>
      </w:r>
    </w:p>
    <w:p w14:paraId="6018C9B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4. Rationale</w:t>
      </w:r>
      <w:r w:rsidRPr="00ED7E61">
        <w:rPr>
          <w:rStyle w:val="eop"/>
          <w:rFonts w:asciiTheme="majorBidi" w:eastAsiaTheme="majorEastAsia" w:hAnsiTheme="majorBidi" w:cstheme="majorBidi"/>
          <w:b/>
          <w:bCs/>
          <w:sz w:val="22"/>
          <w:szCs w:val="22"/>
        </w:rPr>
        <w:t> </w:t>
      </w:r>
    </w:p>
    <w:p w14:paraId="0B283326" w14:textId="77777777" w:rsidR="003A7706" w:rsidRDefault="007C1827" w:rsidP="003A7706">
      <w:pPr>
        <w:pStyle w:val="CBDNormalNumber"/>
        <w:numPr>
          <w:ilvl w:val="0"/>
          <w:numId w:val="219"/>
        </w:numPr>
        <w:tabs>
          <w:tab w:val="clear" w:pos="1701"/>
        </w:tabs>
        <w:ind w:left="567" w:firstLine="0"/>
        <w:rPr>
          <w:color w:val="000000"/>
        </w:rPr>
      </w:pPr>
      <w:r w:rsidRPr="007C1827">
        <w:rPr>
          <w:color w:val="000000"/>
        </w:rPr>
        <w:t xml:space="preserve">Ecosystem degradation is a global challenge spanning all ecosystems. The UNCCD has estimated land degradation to span over 1.5 billion hectares in 2019 (UNCCD, n.d.). 66 percent of world’s ocean area is impacted by human activities, including fisheries and pollution (IPBES, 2019). </w:t>
      </w:r>
    </w:p>
    <w:p w14:paraId="3F0FB91D"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Given the magnitude of global degradation, the Kunming–Montreal Global Biodiversity Framework (KMGBF) Target 2 aims to bring at least 30 percent of degraded terrestrial, inland water, and marine and coastal ecosystems under effective restoration by 2030.</w:t>
      </w:r>
    </w:p>
    <w:p w14:paraId="5BCBC394"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Achieving this target by 2030 requires urgently scaling up ecosystem restoration. Given that recovery of ecosystems requires time (e.g. often decades or more), the target does not stipulate that areas are fully restored; rather it promotes actions and activities that result in effective ecosystem restoration have been initiated and are being implemented and monitored.</w:t>
      </w:r>
    </w:p>
    <w:p w14:paraId="0F9623AF"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 xml:space="preserve">To track global progress towards the target, robust and harmonized monitoring systems that utilize various tools and approaches such as remote sensing data and field data are essential for generating reliable information on where restoration is happening, how much area is under restoration, and the effectiveness of the restoration activities. It is also key to use appropriate tools and approaches to collect complete and systematic geospatial data on the location and extent of restoration initiatives. </w:t>
      </w:r>
    </w:p>
    <w:p w14:paraId="3A1803E0"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Ecosystem restoration contributes to the 2030 Sustainable Development Goals (SDGs) and a wide number of other global policies and instruments. In 2019, the United Nations General Assembly proclaimed 2021–2030 the Decade on Ecosystem Restoration (UNGA, 2019). The UN Decade outlines the expected contributions of ecosystem restoration during the decade to a wide variety of policies and multilateral environmental agreements (MEAs), including United Nations Convention on Biological Diversity (CBD), United Nations Convention to Combat Desertification (UNCCD), United Nations Framework Convention on Climate Change (UNFCCC), Convention on Migratory Species (CMS) and the Ramsar Convention on Wetlands (FAO, SCBD &amp; SER, 2024).</w:t>
      </w:r>
    </w:p>
    <w:p w14:paraId="7218B3E3"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In response to growing global momentum for ecosystem restoration, FAO, as the custodian agency of the headline indicator for Target 2, has led the development of methodologies, guidance, and a strategic Target 2 Road Map implementation through COP16 and beyond. With a renewed mandate to accelerate this work, endorsed in CBD COP Decision 16/35, the Target 2 Road Map serves as a platform to coordinate, support, and scale restoration monitoring (CBD/SBI/6/INF/4)</w:t>
      </w:r>
    </w:p>
    <w:p w14:paraId="318050B0"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The headline indicator for Target 2 is the first global mechanism to compile country</w:t>
      </w:r>
      <w:r w:rsidRPr="003A7706">
        <w:rPr>
          <w:color w:val="000000"/>
          <w:lang w:val="en-US"/>
        </w:rPr>
        <w:noBreakHyphen/>
        <w:t>reported, area</w:t>
      </w:r>
      <w:r w:rsidRPr="003A7706">
        <w:rPr>
          <w:color w:val="000000"/>
          <w:lang w:val="en-US"/>
        </w:rPr>
        <w:noBreakHyphen/>
        <w:t xml:space="preserve">based data on ecosystem restoration across all ecosystems. The indicator measures the physical extent of a site where the previously degraded ecosystem is recovering as the result of a wide array of activities and interventions along the restorative continuum (FAO, SCBD &amp; SER, 2024). </w:t>
      </w:r>
    </w:p>
    <w:p w14:paraId="4A186256"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lastRenderedPageBreak/>
        <w:t xml:space="preserve">The indicator includes restoration areas at </w:t>
      </w:r>
      <w:r w:rsidRPr="003A7706">
        <w:rPr>
          <w:color w:val="000000"/>
          <w:lang w:val="en-ZA"/>
        </w:rPr>
        <w:t>all spatial scales</w:t>
      </w:r>
      <w:r w:rsidRPr="003A7706">
        <w:rPr>
          <w:color w:val="000000"/>
          <w:lang w:val="en-US"/>
        </w:rPr>
        <w:t xml:space="preserve"> (</w:t>
      </w:r>
      <w:r w:rsidRPr="003A7706">
        <w:rPr>
          <w:color w:val="000000"/>
          <w:lang w:val="en-ZA"/>
        </w:rPr>
        <w:t>from local site-level to landscape and seascape level</w:t>
      </w:r>
      <w:r w:rsidRPr="003A7706">
        <w:rPr>
          <w:color w:val="000000"/>
          <w:lang w:val="en-US"/>
        </w:rPr>
        <w:t xml:space="preserve">) that have ongoing interventions or are under a monitoring scheme when interventions have been completed and the ecosystem continues its recovery. Ecosystem restoration can take years, decades, even centuries to recover biodiversity, integrity, functions and services, and connectivity. Therefore, it is important to have monitoring efforts in place after interventions are completed to avoid new degradation and to implement adaptative management strategies to combat renewed ecosystem degradation. </w:t>
      </w:r>
    </w:p>
    <w:p w14:paraId="02BB94CF"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 xml:space="preserve">The indicator encompasses restoration interventions that fall within the categories of ecological restoration and ecosystem rehabilitation along the restorative continuum. Ecological restoration includes efforts to increase the area of a natural ecosystem and its integrity through recovering an ecosystem that has been degraded or destroyed, this includes conversion of non-natural transformed ecosystems back to a natural state. Ecosystem rehabilitation includes efforts to increase ecosystem functions and services of transformed ecosystems. </w:t>
      </w:r>
    </w:p>
    <w:p w14:paraId="4D533111"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 xml:space="preserve">The indicator is an absolute number and does not directly measure the percentage of degraded ecosystems under restoration. To estimate a percentage in line with the target, countries would need a national estimate of the area of total degraded ecosystems (baseline) and then compare it with the reported area under restoration. </w:t>
      </w:r>
    </w:p>
    <w:p w14:paraId="1375B8C5"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Increases in the value of the indicator over time will reflect a combination of a) actual increases in area under restoration, and b) improved data collection and reporting on areas under restoration. This is an important limitation or caveat for interpretation of the indicator.</w:t>
      </w:r>
    </w:p>
    <w:p w14:paraId="6ED35AB2" w14:textId="77777777" w:rsidR="003A7706" w:rsidRPr="003A7706" w:rsidRDefault="007C1827" w:rsidP="003A7706">
      <w:pPr>
        <w:pStyle w:val="CBDNormalNumber"/>
        <w:numPr>
          <w:ilvl w:val="0"/>
          <w:numId w:val="219"/>
        </w:numPr>
        <w:tabs>
          <w:tab w:val="clear" w:pos="1701"/>
        </w:tabs>
        <w:ind w:left="567" w:firstLine="0"/>
        <w:rPr>
          <w:color w:val="000000"/>
        </w:rPr>
      </w:pPr>
      <w:r w:rsidRPr="003A7706">
        <w:rPr>
          <w:color w:val="000000"/>
          <w:lang w:val="en-US"/>
        </w:rPr>
        <w:t>In its current formulation, the indicator does not measure biodiversity, effectiveness, restoration results, ecosystem functions and services or connectivity. Therefore, additional indicators and monitoring methods are needed to measure these aspects.</w:t>
      </w:r>
    </w:p>
    <w:p w14:paraId="68C7F684" w14:textId="77777777" w:rsidR="003A7706" w:rsidRDefault="007C1827" w:rsidP="003A7706">
      <w:pPr>
        <w:pStyle w:val="CBDNormalNumber"/>
        <w:numPr>
          <w:ilvl w:val="0"/>
          <w:numId w:val="219"/>
        </w:numPr>
        <w:tabs>
          <w:tab w:val="clear" w:pos="1701"/>
        </w:tabs>
        <w:ind w:left="567" w:firstLine="0"/>
        <w:rPr>
          <w:color w:val="000000"/>
        </w:rPr>
      </w:pPr>
      <w:r w:rsidRPr="003A7706">
        <w:rPr>
          <w:color w:val="000000"/>
          <w:lang w:val="en-ZA"/>
        </w:rPr>
        <w:t xml:space="preserve">Indicator 2.1 is intended to be used and interpreted in the context of other ecosystem-related indicators of the GBF. </w:t>
      </w:r>
      <w:r w:rsidRPr="003A7706">
        <w:rPr>
          <w:color w:val="000000"/>
        </w:rPr>
        <w:t xml:space="preserve">The five headline indicators that deal most directly with ecosystems are </w:t>
      </w:r>
      <w:r w:rsidRPr="003A7706">
        <w:rPr>
          <w:color w:val="000000"/>
          <w:lang w:val="en-ZA"/>
        </w:rPr>
        <w:t xml:space="preserve">A.1 Red List of Ecosystems, A.2 Extent of natural ecosystems, B.1 Services provided by ecosystems, 2.1 Area under restoration, and 3.1 Coverage of protected areas and other effective area-based conservation measures. This set of indicators can together provide </w:t>
      </w:r>
      <w:r w:rsidRPr="003A7706">
        <w:rPr>
          <w:color w:val="000000"/>
        </w:rPr>
        <w:t>a well-rounded picture of the state of ecosystems, their benefits to society, and interventions to protect, conserve and restore ecosystems. They should be interpreted collectively rather than individually, with each providing different but complementary information (see also 9. R</w:t>
      </w:r>
      <w:r w:rsidRPr="003A7706">
        <w:rPr>
          <w:color w:val="000000"/>
          <w:lang w:val="en-US"/>
        </w:rPr>
        <w:t>elated goals, targets and indicator)</w:t>
      </w:r>
      <w:r w:rsidRPr="003A7706">
        <w:rPr>
          <w:color w:val="000000"/>
        </w:rPr>
        <w:t>.</w:t>
      </w:r>
    </w:p>
    <w:p w14:paraId="0042517C" w14:textId="1485B6F1" w:rsidR="007C1827" w:rsidRPr="003A7706" w:rsidRDefault="007C1827" w:rsidP="003A7706">
      <w:pPr>
        <w:pStyle w:val="CBDNormalNumber"/>
        <w:numPr>
          <w:ilvl w:val="0"/>
          <w:numId w:val="219"/>
        </w:numPr>
        <w:tabs>
          <w:tab w:val="clear" w:pos="1701"/>
        </w:tabs>
        <w:ind w:left="567" w:firstLine="0"/>
        <w:rPr>
          <w:color w:val="000000"/>
        </w:rPr>
      </w:pPr>
      <w:r w:rsidRPr="003A7706">
        <w:rPr>
          <w:color w:val="000000"/>
        </w:rPr>
        <w:t>At the national level, using a common national classification system for ecosystem types across these five headline indicators will greatly facilitate bringing information from this set of indicators together to provide a coherent narrative and to be most useful for policy and implementation. For coherence in global reporting and analysis, it is useful for countries to cross-reference their national ecosystem classification to the Global Ecosystem Typology, as discussed in section 5.b.</w:t>
      </w:r>
    </w:p>
    <w:p w14:paraId="5CC3C1EA" w14:textId="054FF969" w:rsidR="00756F0F" w:rsidRPr="00ED7E61" w:rsidRDefault="00756F0F" w:rsidP="00781C70">
      <w:pPr>
        <w:pStyle w:val="paragraph"/>
        <w:spacing w:before="0" w:beforeAutospacing="0" w:after="0" w:afterAutospacing="0"/>
        <w:textAlignment w:val="baseline"/>
        <w:rPr>
          <w:rFonts w:asciiTheme="majorBidi" w:hAnsiTheme="majorBidi" w:cstheme="majorBidi"/>
          <w:b/>
          <w:bCs/>
          <w:sz w:val="22"/>
          <w:szCs w:val="22"/>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5. Definitions, concepts and classifications</w:t>
      </w:r>
      <w:r w:rsidRPr="00ED7E61">
        <w:rPr>
          <w:rStyle w:val="eop"/>
          <w:rFonts w:asciiTheme="majorBidi" w:eastAsiaTheme="majorEastAsia" w:hAnsiTheme="majorBidi" w:cstheme="majorBidi"/>
          <w:b/>
          <w:bCs/>
          <w:sz w:val="22"/>
          <w:szCs w:val="22"/>
        </w:rPr>
        <w:t> </w:t>
      </w:r>
    </w:p>
    <w:p w14:paraId="5CF3151C" w14:textId="77777777" w:rsidR="00756F0F" w:rsidRPr="00ED7E61" w:rsidRDefault="00756F0F" w:rsidP="00E72CB5">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5a. Definition: </w:t>
      </w:r>
      <w:r w:rsidRPr="00ED7E61">
        <w:rPr>
          <w:rStyle w:val="eop"/>
          <w:rFonts w:asciiTheme="majorBidi" w:eastAsiaTheme="majorEastAsia" w:hAnsiTheme="majorBidi" w:cstheme="majorBidi"/>
          <w:b/>
          <w:bCs/>
          <w:sz w:val="22"/>
          <w:szCs w:val="22"/>
        </w:rPr>
        <w:t> </w:t>
      </w:r>
    </w:p>
    <w:p w14:paraId="549EEFB8" w14:textId="77777777" w:rsidR="00DF10ED" w:rsidRDefault="00DF10ED" w:rsidP="00DF10ED">
      <w:pPr>
        <w:pStyle w:val="CBDNormalNumber"/>
        <w:numPr>
          <w:ilvl w:val="0"/>
          <w:numId w:val="219"/>
        </w:numPr>
        <w:tabs>
          <w:tab w:val="clear" w:pos="1701"/>
        </w:tabs>
        <w:ind w:left="567" w:firstLine="0"/>
        <w:rPr>
          <w:color w:val="000000"/>
        </w:rPr>
      </w:pPr>
      <w:r w:rsidRPr="00DF10ED">
        <w:rPr>
          <w:color w:val="000000"/>
        </w:rPr>
        <w:t xml:space="preserve">Ecosystem degradation is a global challenge spanning all ecosystems. The UNCCD has estimated land degradation to span over 1.5 billion hectares in 2019 (UNCCD, n.d.). 66 percent of world’s ocean area is impacted by human activities, including fisheries and pollution (IPBES, 2019). </w:t>
      </w:r>
    </w:p>
    <w:p w14:paraId="13DCC386"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Given the magnitude of global degradation, the Kunming–Montreal Global Biodiversity Framework (KMGBF) Target 2 aims to bring at least 30 percent of degraded terrestrial, inland water, and marine and coastal ecosystems under effective restoration by 2030.</w:t>
      </w:r>
    </w:p>
    <w:p w14:paraId="26574DFE"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 xml:space="preserve">Achieving this target by 2030 requires urgently scaling up ecosystem restoration. Given that recovery of ecosystems requires time (e.g. often decades or more), the target does not stipulate that </w:t>
      </w:r>
      <w:r w:rsidRPr="00DF10ED">
        <w:rPr>
          <w:rFonts w:asciiTheme="majorBidi" w:eastAsiaTheme="majorEastAsia" w:hAnsiTheme="majorBidi" w:cstheme="majorBidi"/>
          <w:lang w:val="en-US"/>
        </w:rPr>
        <w:lastRenderedPageBreak/>
        <w:t>areas are fully restored; rather it promotes actions and activities that result in effective ecosystem restoration have been initiated and are being implemented and monitored.</w:t>
      </w:r>
    </w:p>
    <w:p w14:paraId="7C1F7074"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 xml:space="preserve">To track global progress towards the target, robust and harmonized monitoring systems that utilize various tools and approaches such as remote sensing data and field data are essential for generating reliable information on where restoration is happening, how much area is under restoration, and the effectiveness of the restoration activities. It is also key to use appropriate tools and approaches to collect complete and systematic geospatial data on the location and extent of restoration initiatives. </w:t>
      </w:r>
    </w:p>
    <w:p w14:paraId="1AEA86AA"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Ecosystem restoration contributes to the 2030 Sustainable Development Goals (SDGs) and a wide number of other global policies and instruments. In 2019, the United Nations General Assembly proclaimed 2021–2030 the Decade on Ecosystem Restoration (UNGA, 2019). The UN Decade outlines the expected contributions of ecosystem restoration during the decade to a wide variety of policies and multilateral environmental agreements (MEAs), including United Nations Convention on Biological Diversity (CBD), United Nations Convention to Combat Desertification (UNCCD), United Nations Framework Convention on Climate Change (UNFCCC), Convention on Migratory Species (CMS) and the Ramsar Convention on Wetlands (FAO, SCBD &amp; SER, 2024).</w:t>
      </w:r>
    </w:p>
    <w:p w14:paraId="0F87385C"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In response to growing global momentum for ecosystem restoration, FAO, as the custodian agency of the headline indicator for Target 2, has led the development of methodologies, guidance, and a strategic Target 2 Road Map implementation through COP16 and beyond. With a renewed mandate to accelerate this work, endorsed in CBD COP Decision 16/35, the Target 2 Road Map serves as a platform to coordinate, support, and scale restoration monitoring (CBD/SBI/6/INF/4)</w:t>
      </w:r>
    </w:p>
    <w:p w14:paraId="01665EDA"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The headline indicator for Target 2 is the first global mechanism to compile country</w:t>
      </w:r>
      <w:r w:rsidRPr="00DF10ED">
        <w:rPr>
          <w:rFonts w:asciiTheme="majorBidi" w:eastAsiaTheme="majorEastAsia" w:hAnsiTheme="majorBidi" w:cstheme="majorBidi"/>
          <w:lang w:val="en-US"/>
        </w:rPr>
        <w:noBreakHyphen/>
        <w:t>reported, area</w:t>
      </w:r>
      <w:r w:rsidRPr="00DF10ED">
        <w:rPr>
          <w:rFonts w:asciiTheme="majorBidi" w:eastAsiaTheme="majorEastAsia" w:hAnsiTheme="majorBidi" w:cstheme="majorBidi"/>
          <w:lang w:val="en-US"/>
        </w:rPr>
        <w:noBreakHyphen/>
        <w:t xml:space="preserve">based data on ecosystem restoration across all ecosystems. The indicator measures the physical extent of a site where the previously degraded ecosystem is recovering as the result of a wide array of activities and interventions along the restorative continuum (FAO, SCBD &amp; SER, 2024). </w:t>
      </w:r>
    </w:p>
    <w:p w14:paraId="5C73AC42"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 xml:space="preserve">The indicator includes restoration areas at </w:t>
      </w:r>
      <w:r w:rsidRPr="00DF10ED">
        <w:rPr>
          <w:rFonts w:asciiTheme="majorBidi" w:eastAsiaTheme="majorEastAsia" w:hAnsiTheme="majorBidi" w:cstheme="majorBidi"/>
          <w:lang w:val="en-ZA"/>
        </w:rPr>
        <w:t>all spatial scales</w:t>
      </w:r>
      <w:r w:rsidRPr="00DF10ED">
        <w:rPr>
          <w:rFonts w:asciiTheme="majorBidi" w:eastAsiaTheme="majorEastAsia" w:hAnsiTheme="majorBidi" w:cstheme="majorBidi"/>
          <w:lang w:val="en-US"/>
        </w:rPr>
        <w:t xml:space="preserve"> (</w:t>
      </w:r>
      <w:r w:rsidRPr="00DF10ED">
        <w:rPr>
          <w:rFonts w:asciiTheme="majorBidi" w:eastAsiaTheme="majorEastAsia" w:hAnsiTheme="majorBidi" w:cstheme="majorBidi"/>
          <w:lang w:val="en-ZA"/>
        </w:rPr>
        <w:t>from local site-level to landscape and seascape level</w:t>
      </w:r>
      <w:r w:rsidRPr="00DF10ED">
        <w:rPr>
          <w:rFonts w:asciiTheme="majorBidi" w:eastAsiaTheme="majorEastAsia" w:hAnsiTheme="majorBidi" w:cstheme="majorBidi"/>
          <w:lang w:val="en-US"/>
        </w:rPr>
        <w:t xml:space="preserve">) that have ongoing interventions or are under a monitoring scheme when interventions have been completed and the ecosystem continues its recovery. Ecosystem restoration can take years, decades, even centuries to recover biodiversity, integrity, functions and services, and connectivity. Therefore, it is important to have monitoring efforts in place after interventions are completed to avoid new degradation and to implement adaptative management strategies to combat renewed ecosystem degradation. </w:t>
      </w:r>
    </w:p>
    <w:p w14:paraId="72BCAB10"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 xml:space="preserve">The indicator encompasses restoration interventions that fall within the categories of ecological restoration and ecosystem rehabilitation along the restorative continuum. Ecological restoration includes efforts to increase the area of a natural ecosystem and its integrity through recovering an ecosystem that has been degraded or destroyed, this includes conversion of non-natural transformed ecosystems back to a natural state. Ecosystem rehabilitation includes efforts to increase ecosystem functions and services of transformed ecosystems. </w:t>
      </w:r>
    </w:p>
    <w:p w14:paraId="0CA8945B"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 xml:space="preserve">The indicator is an absolute number and does not directly measure the percentage of degraded ecosystems under restoration. To estimate a percentage in line with the target, countries would need a national estimate of the area of total degraded ecosystems (baseline) and then compare it with the reported area under restoration. </w:t>
      </w:r>
    </w:p>
    <w:p w14:paraId="3D4E0E5B"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Increases in the value of the indicator over time will reflect a combination of a) actual increases in area under restoration, and b) improved data collection and reporting on areas under restoration. This is an important limitation or caveat for interpretation of the indicator.</w:t>
      </w:r>
    </w:p>
    <w:p w14:paraId="4B44FF67"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US"/>
        </w:rPr>
        <w:t>In its current formulation, the indicator does not measure biodiversity, effectiveness, restoration results, ecosystem functions and services or connectivity. Therefore, additional indicators and monitoring methods are needed to measure these aspects.</w:t>
      </w:r>
    </w:p>
    <w:p w14:paraId="268C4FC4" w14:textId="77777777"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lang w:val="en-ZA"/>
        </w:rPr>
        <w:lastRenderedPageBreak/>
        <w:t xml:space="preserve">Indicator 2.1 is intended to be used and interpreted in the context of other ecosystem-related indicators of the GBF. </w:t>
      </w:r>
      <w:r w:rsidRPr="00DF10ED">
        <w:rPr>
          <w:rFonts w:asciiTheme="majorBidi" w:eastAsiaTheme="majorEastAsia" w:hAnsiTheme="majorBidi" w:cstheme="majorBidi"/>
        </w:rPr>
        <w:t xml:space="preserve">The five headline indicators that deal most directly with ecosystems are </w:t>
      </w:r>
      <w:r w:rsidRPr="00DF10ED">
        <w:rPr>
          <w:rFonts w:asciiTheme="majorBidi" w:eastAsiaTheme="majorEastAsia" w:hAnsiTheme="majorBidi" w:cstheme="majorBidi"/>
          <w:lang w:val="en-ZA"/>
        </w:rPr>
        <w:t xml:space="preserve">A.1 Red List of Ecosystems, A.2 Extent of natural ecosystems, B.1 Services provided by ecosystems, 2.1 Area under restoration, and 3.1 Coverage of protected areas and other effective area-based conservation measures. This set of indicators can together provide </w:t>
      </w:r>
      <w:r w:rsidRPr="00DF10ED">
        <w:rPr>
          <w:rFonts w:asciiTheme="majorBidi" w:eastAsiaTheme="majorEastAsia" w:hAnsiTheme="majorBidi" w:cstheme="majorBidi"/>
        </w:rPr>
        <w:t>a well-rounded picture of the state of ecosystems, their benefits to society, and interventions to protect, conserve and restore ecosystems. They should be interpreted collectively rather than individually, with each providing different but complementary information (see also 9. R</w:t>
      </w:r>
      <w:r w:rsidRPr="00DF10ED">
        <w:rPr>
          <w:rFonts w:asciiTheme="majorBidi" w:eastAsiaTheme="majorEastAsia" w:hAnsiTheme="majorBidi" w:cstheme="majorBidi"/>
          <w:lang w:val="en-US"/>
        </w:rPr>
        <w:t>elated goals, targets and indicator)</w:t>
      </w:r>
      <w:r w:rsidRPr="00DF10ED">
        <w:rPr>
          <w:rFonts w:asciiTheme="majorBidi" w:eastAsiaTheme="majorEastAsia" w:hAnsiTheme="majorBidi" w:cstheme="majorBidi"/>
        </w:rPr>
        <w:t>.</w:t>
      </w:r>
    </w:p>
    <w:p w14:paraId="03C6D826" w14:textId="38CCDECE" w:rsidR="00DF10ED" w:rsidRPr="00DF10ED" w:rsidRDefault="00DF10ED" w:rsidP="00DF10ED">
      <w:pPr>
        <w:pStyle w:val="CBDNormalNumber"/>
        <w:numPr>
          <w:ilvl w:val="0"/>
          <w:numId w:val="219"/>
        </w:numPr>
        <w:tabs>
          <w:tab w:val="clear" w:pos="1701"/>
        </w:tabs>
        <w:ind w:left="567" w:firstLine="0"/>
        <w:rPr>
          <w:color w:val="000000"/>
        </w:rPr>
      </w:pPr>
      <w:r w:rsidRPr="00DF10ED">
        <w:rPr>
          <w:rFonts w:asciiTheme="majorBidi" w:eastAsiaTheme="majorEastAsia" w:hAnsiTheme="majorBidi" w:cstheme="majorBidi"/>
        </w:rPr>
        <w:t>At the national level, using a common national classification system for ecosystem types across these five headline indicators will greatly facilitate bringing information from this set of indicators together to provide a coherent narrative and to be most useful for policy and implementation. For coherence in global reporting and analysis, it is useful for countries to cross-reference their national ecosystem classification to the Global Ecosystem Typology, as discussed in section 5.b.</w:t>
      </w:r>
    </w:p>
    <w:p w14:paraId="19F0D4D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5b. Method of computation</w:t>
      </w:r>
      <w:r w:rsidRPr="00ED7E61">
        <w:rPr>
          <w:rStyle w:val="eop"/>
          <w:rFonts w:asciiTheme="majorBidi" w:eastAsiaTheme="majorEastAsia" w:hAnsiTheme="majorBidi" w:cstheme="majorBidi"/>
          <w:sz w:val="22"/>
          <w:szCs w:val="22"/>
        </w:rPr>
        <w:t> </w:t>
      </w:r>
    </w:p>
    <w:p w14:paraId="2F69D99E" w14:textId="77777777" w:rsidR="008F5D50" w:rsidRDefault="008F5D50" w:rsidP="008F5D50">
      <w:pPr>
        <w:pStyle w:val="CBDNormalNumber"/>
        <w:numPr>
          <w:ilvl w:val="0"/>
          <w:numId w:val="219"/>
        </w:numPr>
        <w:tabs>
          <w:tab w:val="clear" w:pos="1701"/>
        </w:tabs>
        <w:ind w:left="567" w:firstLine="0"/>
        <w:rPr>
          <w:rFonts w:asciiTheme="majorBidi" w:eastAsiaTheme="majorEastAsia" w:hAnsiTheme="majorBidi" w:cstheme="majorBidi"/>
        </w:rPr>
      </w:pPr>
      <w:r w:rsidRPr="008F5D50">
        <w:rPr>
          <w:rFonts w:asciiTheme="majorBidi" w:eastAsiaTheme="majorEastAsia" w:hAnsiTheme="majorBidi" w:cstheme="majorBidi"/>
        </w:rPr>
        <w:t>The proposed workflow for monitoring the indicator consists of five components: 1) target setting and planning, 2) data compilation, 3) review and validation, 4) monitoring and reporting, and 5) cross-sectoral and society engagement and capacity development, which underpins the overall process.</w:t>
      </w:r>
    </w:p>
    <w:p w14:paraId="3CFF5B93" w14:textId="425B4D2D" w:rsidR="00DF2D3F" w:rsidRPr="008F5D50" w:rsidRDefault="00DF2D3F" w:rsidP="00DF2D3F">
      <w:pPr>
        <w:pStyle w:val="CBDNormalNumber"/>
        <w:tabs>
          <w:tab w:val="clear" w:pos="1701"/>
        </w:tabs>
        <w:ind w:left="567"/>
        <w:jc w:val="center"/>
        <w:rPr>
          <w:rFonts w:asciiTheme="majorBidi" w:eastAsiaTheme="majorEastAsia" w:hAnsiTheme="majorBidi" w:cstheme="majorBidi"/>
        </w:rPr>
      </w:pPr>
      <w:r>
        <w:rPr>
          <w:noProof/>
          <w14:ligatures w14:val="standardContextual"/>
        </w:rPr>
        <w:drawing>
          <wp:inline distT="0" distB="0" distL="0" distR="0" wp14:anchorId="43AC9216" wp14:editId="6CE63C1F">
            <wp:extent cx="5943600" cy="2676525"/>
            <wp:effectExtent l="0" t="0" r="0" b="9525"/>
            <wp:docPr id="3948749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74956" name="drawing"/>
                    <pic:cNvPicPr>
                      <a:picLocks noChangeAspect="1"/>
                    </pic:cNvPicPr>
                  </pic:nvPicPr>
                  <pic:blipFill>
                    <a:blip r:embed="rId259">
                      <a:extLst>
                        <a:ext uri="{28A0092B-C50C-407E-A947-70E740481C1C}">
                          <a14:useLocalDpi xmlns:a14="http://schemas.microsoft.com/office/drawing/2010/main"/>
                        </a:ext>
                      </a:extLst>
                    </a:blip>
                    <a:srcRect t="8169"/>
                    <a:stretch>
                      <a:fillRect/>
                    </a:stretch>
                  </pic:blipFill>
                  <pic:spPr>
                    <a:xfrm>
                      <a:off x="0" y="0"/>
                      <a:ext cx="5943600" cy="2676525"/>
                    </a:xfrm>
                    <a:prstGeom prst="rect">
                      <a:avLst/>
                    </a:prstGeom>
                  </pic:spPr>
                </pic:pic>
              </a:graphicData>
            </a:graphic>
          </wp:inline>
        </w:drawing>
      </w:r>
    </w:p>
    <w:p w14:paraId="2569C1F8" w14:textId="77777777" w:rsidR="008B4FF9" w:rsidRPr="008B4FF9" w:rsidRDefault="008B4FF9" w:rsidP="00B84E82">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 xml:space="preserve">Once national targets on restoration are set, in the data compilation step, countries are encouraged to develop a database of restoration actions, making use of existing monitoring systems (such as national forest monitoring systems), when possible. Reporting guidelines and standards can be provided to collect consistent information across restoration actions. Additionally, workshops and consultations can be organized to collect project-level data. </w:t>
      </w:r>
    </w:p>
    <w:p w14:paraId="654312C5" w14:textId="77777777" w:rsidR="008B4FF9" w:rsidRPr="008B4FF9" w:rsidRDefault="008B4FF9" w:rsidP="00B84E82">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 xml:space="preserve">Restoration projects, initiatives and policies are long- or short-term efforts aimed at achieving specific restoration goals and objectives in defined geographic locations. In the metadata, the terms restoration projects and restoration initiatives are used interchangeably. Monitoring and reporting areas under restoration that are not project based but a result of policy actions, natural regeneration or other factors can be done using a variety of methods and data, including remote sensing, field surveys, and cadastral data. Before official reporting, data in the database or monitoring system need to be processed, reviewed, and validated to ensure quality and alignment to the metadata. </w:t>
      </w:r>
    </w:p>
    <w:p w14:paraId="5933FAF0" w14:textId="496C3B90" w:rsidR="008B4FF9" w:rsidRPr="008B4FF9" w:rsidRDefault="008B4FF9" w:rsidP="00B84E82">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 xml:space="preserve">Below are some recommended parameters for a restoration project database. Depending on the specific context, they may be named and/or defined slightly differently. Additional parameters </w:t>
      </w:r>
      <w:r w:rsidRPr="008B4FF9">
        <w:rPr>
          <w:rFonts w:asciiTheme="majorBidi" w:eastAsiaTheme="majorEastAsia" w:hAnsiTheme="majorBidi" w:cstheme="majorBidi"/>
        </w:rPr>
        <w:lastRenderedPageBreak/>
        <w:t>for building a project database can be found in the Restoration Project Information Sharing Framework (Gann et al, 2022)</w:t>
      </w:r>
      <w:r w:rsidR="00B84E82">
        <w:rPr>
          <w:rFonts w:asciiTheme="majorBidi" w:eastAsiaTheme="majorEastAsia" w:hAnsiTheme="majorBidi" w:cstheme="majorBidi"/>
        </w:rPr>
        <w:t>:</w:t>
      </w:r>
    </w:p>
    <w:p w14:paraId="26C158ED" w14:textId="77777777" w:rsidR="005E25F5" w:rsidRDefault="008B4FF9" w:rsidP="005E25F5">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hAnsiTheme="majorBidi" w:cstheme="majorBidi"/>
          <w:color w:val="000000"/>
          <w:lang w:val="en-US"/>
        </w:rPr>
        <w:t xml:space="preserve">Restoration target includes pledges, targets or commitments and can be reported as time-bound absolute values with units, e.g. to restore 500 hectares by 2030. This parameter will not be counted as area under restoration but will serve as a reference to monitor restoration progress. </w:t>
      </w:r>
    </w:p>
    <w:p w14:paraId="33901A97" w14:textId="77777777" w:rsidR="005E25F5" w:rsidRDefault="008B4FF9" w:rsidP="005E25F5">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eastAsiaTheme="majorEastAsia" w:hAnsiTheme="majorBidi" w:cstheme="majorBidi"/>
        </w:rPr>
        <w:t xml:space="preserve">Area under restoration describes the extent of a restoration initiative or project in appropriate units (e.g. number of hectares of forests, number of </w:t>
      </w:r>
      <w:proofErr w:type="spellStart"/>
      <w:r w:rsidRPr="008B4FF9">
        <w:rPr>
          <w:rFonts w:asciiTheme="majorBidi" w:eastAsiaTheme="majorEastAsia" w:hAnsiTheme="majorBidi" w:cstheme="majorBidi"/>
        </w:rPr>
        <w:t>kilometers</w:t>
      </w:r>
      <w:proofErr w:type="spellEnd"/>
      <w:r w:rsidRPr="008B4FF9">
        <w:rPr>
          <w:rFonts w:asciiTheme="majorBidi" w:eastAsiaTheme="majorEastAsia" w:hAnsiTheme="majorBidi" w:cstheme="majorBidi"/>
        </w:rPr>
        <w:t xml:space="preserve"> of rivers). The area under restoration is typically the area where restoration interventions take place. In some circumstances, the broader impact area (where biodiversity, ecological integrity, ecosystem functions, and services and connectivity have been improved) may better represent area under restoration, than the direct intervention area. It is important to specify whether the area under restoration represents the intervention area or a broader impact area. </w:t>
      </w:r>
    </w:p>
    <w:p w14:paraId="46B479BB" w14:textId="77777777" w:rsidR="005E25F5" w:rsidRDefault="008B4FF9" w:rsidP="005E25F5">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eastAsiaTheme="majorEastAsia" w:hAnsiTheme="majorBidi" w:cstheme="majorBidi"/>
        </w:rPr>
        <w:t xml:space="preserve">Geometry is geospatially explicit points or polygons that represent the restoration areas of an initiative or project. Well-delineated polygons are strongly recommended as they can be used to approximate area under estimation, therefore important for spatial analysis, enhanced data quality and transparency (see also paragraph 6). </w:t>
      </w:r>
    </w:p>
    <w:p w14:paraId="376814FD" w14:textId="77777777" w:rsidR="00EB122F" w:rsidRDefault="008B4FF9" w:rsidP="00EB122F">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eastAsiaTheme="majorEastAsia" w:hAnsiTheme="majorBidi" w:cstheme="majorBidi"/>
        </w:rPr>
        <w:t xml:space="preserve">Start year and end year of the initiative or project. </w:t>
      </w:r>
    </w:p>
    <w:p w14:paraId="4A2A73E4" w14:textId="77777777" w:rsidR="00EB122F" w:rsidRDefault="008B4FF9" w:rsidP="00EB122F">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eastAsiaTheme="majorEastAsia" w:hAnsiTheme="majorBidi" w:cstheme="majorBidi"/>
        </w:rPr>
        <w:t xml:space="preserve">Ecosystem(s) of the restoration initiative or project. When an initiative or project contains multiple ecosystem types, it is recommended to also collect areas under restoration disaggregated by ecosystem to be aligned to the reporting requirement. The IUCN Global Ecosystem Typology (GET) (Keith et al. 2022) is a hierarchical ecosystem typology recommended by CBD decisions for reporting disaggregation of multiple KMGBF targets. When possible, area under restoration should be disaggregated using level 2 or level 3 of the typology, or by national or local ecosystem types. Guidelines for cross-walking ecosystem classifications to the IUCN GET are available (IUCN, 2025). Furthermore, to understand and monitor ecosystem transitions, both the current ecosystem type and the target ecosystem type can be documented in the database. </w:t>
      </w:r>
    </w:p>
    <w:p w14:paraId="303EB07A" w14:textId="77777777" w:rsidR="00EB122F" w:rsidRDefault="008B4FF9" w:rsidP="00EB122F">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eastAsiaTheme="majorEastAsia" w:hAnsiTheme="majorBidi" w:cstheme="majorBidi"/>
        </w:rPr>
        <w:t xml:space="preserve">Restoration activity, sometimes called intervention, describes what is being implemented on the ground </w:t>
      </w:r>
      <w:proofErr w:type="gramStart"/>
      <w:r w:rsidRPr="008B4FF9">
        <w:rPr>
          <w:rFonts w:asciiTheme="majorBidi" w:eastAsiaTheme="majorEastAsia" w:hAnsiTheme="majorBidi" w:cstheme="majorBidi"/>
        </w:rPr>
        <w:t>in order to</w:t>
      </w:r>
      <w:proofErr w:type="gramEnd"/>
      <w:r w:rsidRPr="008B4FF9">
        <w:rPr>
          <w:rFonts w:asciiTheme="majorBidi" w:eastAsiaTheme="majorEastAsia" w:hAnsiTheme="majorBidi" w:cstheme="majorBidi"/>
        </w:rPr>
        <w:t xml:space="preserve"> achieve restoration goals and objectives.</w:t>
      </w:r>
    </w:p>
    <w:p w14:paraId="412507B2" w14:textId="77777777" w:rsidR="00EB122F" w:rsidRDefault="008B4FF9" w:rsidP="00EB122F">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eastAsiaTheme="majorEastAsia" w:hAnsiTheme="majorBidi" w:cstheme="majorBidi"/>
        </w:rPr>
        <w:t>Restoration status, characterized by three phases, in preparation, in progress and post-completion monitoring.</w:t>
      </w:r>
    </w:p>
    <w:p w14:paraId="4EECF3FA" w14:textId="77777777" w:rsidR="00EB122F" w:rsidRDefault="008B4FF9" w:rsidP="00EB122F">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eastAsiaTheme="majorEastAsia" w:hAnsiTheme="majorBidi" w:cstheme="majorBidi"/>
        </w:rPr>
        <w:t>Restoration type indicates the group of activities in the restorative continuum. Target 2 includes rehabilitation and ecological restoration.  Ecological restoration includes efforts to increase the area of a natural ecosystem and its integrity through recovering an ecosystem that has been degraded or destroyed, this includes conversion of non-natural transformed ecosystems back to a natural ecosystems state. Ecosystem rehabilitation includes efforts to increase ecosystem functions and services of transformed ecosystems.</w:t>
      </w:r>
    </w:p>
    <w:p w14:paraId="5E120640" w14:textId="77777777" w:rsidR="00EB122F" w:rsidRDefault="008B4FF9" w:rsidP="00EB122F">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eastAsiaTheme="majorEastAsia" w:hAnsiTheme="majorBidi" w:cstheme="majorBidi"/>
        </w:rPr>
        <w:t>Protected area status, such as whether the restoration initiative or project is in one or more protected areas or OECMs, and the extent of the overlap.</w:t>
      </w:r>
    </w:p>
    <w:p w14:paraId="7C2B19ED" w14:textId="761350DC" w:rsidR="008B4FF9" w:rsidRPr="008B4FF9" w:rsidRDefault="008B4FF9" w:rsidP="00EB122F">
      <w:pPr>
        <w:pStyle w:val="CBDNormalNumber"/>
        <w:numPr>
          <w:ilvl w:val="1"/>
          <w:numId w:val="71"/>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8B4FF9">
        <w:rPr>
          <w:rFonts w:asciiTheme="majorBidi" w:eastAsiaTheme="majorEastAsia" w:hAnsiTheme="majorBidi" w:cstheme="majorBidi"/>
        </w:rPr>
        <w:t>Tenure status of the initiative and project sites, and the extent of the overlap with an Indigenous and traditional territory.</w:t>
      </w:r>
    </w:p>
    <w:p w14:paraId="1C8E9BA0" w14:textId="77777777" w:rsidR="008B4FF9" w:rsidRPr="008B4FF9" w:rsidRDefault="008B4FF9" w:rsidP="00EB122F">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 xml:space="preserve">The reference period of the GBF is 2011-2020 (CBD/COP/DEC/15/5.2) and the monitoring period is 2021-2030. This reference period should be used to establish the baseline, which is the spatial extent of degraded areas, taking into consideration that concepts of degradation are different between natural and production ecosystems. Restoration within the reference and monitoring periods, 2011-2030, can be counted and reported for indicator 2.1. Restoration initiatives may start before the reference period, and either the restoration activities must be within the monitoring period or there </w:t>
      </w:r>
      <w:r w:rsidRPr="008B4FF9">
        <w:rPr>
          <w:rFonts w:asciiTheme="majorBidi" w:eastAsiaTheme="majorEastAsia" w:hAnsiTheme="majorBidi" w:cstheme="majorBidi"/>
        </w:rPr>
        <w:lastRenderedPageBreak/>
        <w:t xml:space="preserve">are documented monitoring efforts and actions to ensure there is no degradation within the areas and the ecosystem has recorded improvements towards reaching the intended outcomes (i.e., biodiversity, ecological integrity, ecosystem functions and services, and connectivity). </w:t>
      </w:r>
    </w:p>
    <w:p w14:paraId="25F50CCA" w14:textId="77777777" w:rsidR="008B4FF9" w:rsidRPr="008B4FF9" w:rsidRDefault="008B4FF9" w:rsidP="00EB122F">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Total area under restoration can be estimated by summing up the area of non-overlapping individual restoration initiatives and projects that have either ‘in progress’ status (i.e. with ongoing restoration activities) or ‘post-completion monitoring’ status (i.e. with monitoring efforts in place).</w:t>
      </w:r>
    </w:p>
    <w:p w14:paraId="44F855AF" w14:textId="77777777" w:rsidR="008B4FF9" w:rsidRPr="008B4FF9" w:rsidRDefault="008B4FF9" w:rsidP="00EB122F">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 xml:space="preserve">Data cleaning is an important step to prevent duplicated data and double counting when aggregating restoration data. Accurate delineation of restoration areas (Parameter C: Geometry) enables transparent identification and removal of duplicate records and overlapping areas, ensuring that each area is only counted once in the total area under restoration. Tabular data without spatial information on the location of restoration initiatives pose challenges and risks for duplicate and overlapping areas and data often cannot be directly aggregated. </w:t>
      </w:r>
    </w:p>
    <w:p w14:paraId="05FBEC2D" w14:textId="77777777" w:rsidR="008B4FF9" w:rsidRPr="008B4FF9" w:rsidRDefault="008B4FF9" w:rsidP="00EB122F">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To support transparent reporting and monitoring of ecosystem restoration, the Framework for Ecosystem Restoration (FERM)</w:t>
      </w:r>
      <w:r w:rsidRPr="008B4FF9">
        <w:rPr>
          <w:rFonts w:asciiTheme="majorBidi" w:eastAsiaTheme="majorEastAsia" w:hAnsiTheme="majorBidi" w:cstheme="majorBidi"/>
        </w:rPr>
        <w:footnoteReference w:id="17"/>
      </w:r>
      <w:r w:rsidRPr="008B4FF9">
        <w:rPr>
          <w:rFonts w:asciiTheme="majorBidi" w:eastAsiaTheme="majorEastAsia" w:hAnsiTheme="majorBidi" w:cstheme="majorBidi"/>
        </w:rPr>
        <w:t xml:space="preserve"> was collaboratively developed and launched in 2022 through the joint efforts of the UN Decade FAO-led Task Forces on Monitoring and Best Practices. The FERM provides a comprehensive monitoring framework for tracking global restoration progress, assessing progress for the UN Decade and KMGBF Target 2.</w:t>
      </w:r>
    </w:p>
    <w:p w14:paraId="0E03D04A" w14:textId="77777777" w:rsidR="006D3511" w:rsidRDefault="008B4FF9" w:rsidP="00453518">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The FERM is comprised of four main components:</w:t>
      </w:r>
      <w:r w:rsidR="00453518" w:rsidRPr="00453518">
        <w:rPr>
          <w:rFonts w:asciiTheme="majorBidi" w:eastAsiaTheme="majorEastAsia" w:hAnsiTheme="majorBidi" w:cstheme="majorBidi"/>
        </w:rPr>
        <w:t xml:space="preserve"> </w:t>
      </w:r>
    </w:p>
    <w:p w14:paraId="06EEE8AB" w14:textId="77777777" w:rsidR="006D3511" w:rsidRDefault="008B4FF9" w:rsidP="006D3511">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A registry that harmonizes and collects area-based data on ecosystem restoration initiatives and projects, interoperable with similar platforms that collect restoration project level data;</w:t>
      </w:r>
    </w:p>
    <w:p w14:paraId="12C1C7EB" w14:textId="77777777" w:rsidR="006D3511" w:rsidRDefault="006D3511" w:rsidP="006D3511">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Pr>
          <w:rFonts w:asciiTheme="majorBidi" w:eastAsiaTheme="majorEastAsia" w:hAnsiTheme="majorBidi" w:cstheme="majorBidi"/>
        </w:rPr>
        <w:t xml:space="preserve">A </w:t>
      </w:r>
      <w:r w:rsidR="008B4FF9" w:rsidRPr="008B4FF9">
        <w:rPr>
          <w:rFonts w:asciiTheme="majorBidi" w:eastAsiaTheme="majorEastAsia" w:hAnsiTheme="majorBidi" w:cstheme="majorBidi"/>
        </w:rPr>
        <w:t>geospatial tool for visualizing restoration areas on the map and curated global datasets relevant to ecosystem restoration;</w:t>
      </w:r>
    </w:p>
    <w:p w14:paraId="7AC1DC4F" w14:textId="77777777" w:rsidR="006D3511" w:rsidRDefault="006D3511" w:rsidP="006D3511">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Pr>
          <w:rFonts w:asciiTheme="majorBidi" w:eastAsiaTheme="majorEastAsia" w:hAnsiTheme="majorBidi" w:cstheme="majorBidi"/>
        </w:rPr>
        <w:t xml:space="preserve">A </w:t>
      </w:r>
      <w:r w:rsidR="008B4FF9" w:rsidRPr="008B4FF9">
        <w:rPr>
          <w:rFonts w:asciiTheme="majorBidi" w:eastAsiaTheme="majorEastAsia" w:hAnsiTheme="majorBidi" w:cstheme="majorBidi"/>
        </w:rPr>
        <w:t xml:space="preserve">search engine for consulting restoration initiatives and good practices; and  </w:t>
      </w:r>
    </w:p>
    <w:p w14:paraId="5D36536D" w14:textId="2576D20E" w:rsidR="008B4FF9" w:rsidRPr="008B4FF9" w:rsidRDefault="006D3511" w:rsidP="006D3511">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Pr>
          <w:rFonts w:asciiTheme="majorBidi" w:eastAsiaTheme="majorEastAsia" w:hAnsiTheme="majorBidi" w:cstheme="majorBidi"/>
        </w:rPr>
        <w:t xml:space="preserve">A </w:t>
      </w:r>
      <w:r w:rsidR="008B4FF9" w:rsidRPr="008B4FF9">
        <w:rPr>
          <w:rFonts w:asciiTheme="majorBidi" w:eastAsiaTheme="majorEastAsia" w:hAnsiTheme="majorBidi" w:cstheme="majorBidi"/>
        </w:rPr>
        <w:t xml:space="preserve">data review functionality to support Parties in compiling and reviewing data on ecosystem restoration for reporting. </w:t>
      </w:r>
    </w:p>
    <w:p w14:paraId="082B759C" w14:textId="77777777" w:rsidR="008B4FF9" w:rsidRPr="008B4FF9" w:rsidRDefault="008B4FF9" w:rsidP="005167BA">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 xml:space="preserve">Countries are invited to enter data on restoration projects and initiatives directly in the FERM registry or through its API. The API is designed to facilitate uploading many initiatives automatically and thereby reducing errors in manual data entry </w:t>
      </w:r>
      <w:r w:rsidRPr="008B4FF9">
        <w:rPr>
          <w:rFonts w:asciiTheme="majorBidi" w:eastAsiaTheme="majorEastAsia" w:hAnsiTheme="majorBidi" w:cstheme="majorBidi"/>
        </w:rPr>
        <w:footnoteReference w:id="18"/>
      </w:r>
      <w:r w:rsidRPr="008B4FF9">
        <w:rPr>
          <w:rFonts w:asciiTheme="majorBidi" w:eastAsiaTheme="majorEastAsia" w:hAnsiTheme="majorBidi" w:cstheme="majorBidi"/>
        </w:rPr>
        <w:t xml:space="preserve">. </w:t>
      </w:r>
    </w:p>
    <w:p w14:paraId="064BA290" w14:textId="77777777" w:rsidR="008B4FF9" w:rsidRPr="008B4FF9" w:rsidRDefault="008B4FF9" w:rsidP="005167BA">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The FERM can be used by countries as a restoration initiative database, to transparently share restoration progress. This can be complementary to national databases or countries without national databases can use the FERM as a national monitoring system.</w:t>
      </w:r>
    </w:p>
    <w:p w14:paraId="1EA82D54" w14:textId="77777777" w:rsidR="008B4FF9" w:rsidRPr="008B4FF9" w:rsidRDefault="008B4FF9" w:rsidP="005167BA">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In addition, FAO has been compiling data on areas under restoration in the FERM to reduce reporting burden for countries and making it available through the data review functionality. The default data for area under restoration is data compiled from different sources that show the amount of restoration across all ecosystems in each country. It is designed to support national reporting and provides more information and context on restoration progress beyond area-based estimates, including the restoration objectives, activities, tenure status, project specific indicators, and other parameters.</w:t>
      </w:r>
    </w:p>
    <w:p w14:paraId="34DFC024" w14:textId="77777777" w:rsidR="008B4FF9" w:rsidRPr="008B4FF9" w:rsidRDefault="008B4FF9" w:rsidP="005167BA">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The default data for area under restoration utilizes an interoperability framework to integrate restoration data from various available data sources. Currently, the data sources include:</w:t>
      </w:r>
    </w:p>
    <w:p w14:paraId="06DAE9A4" w14:textId="77777777" w:rsidR="008B4FF9" w:rsidRPr="008B4FF9" w:rsidRDefault="008B4FF9" w:rsidP="00B56834">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 xml:space="preserve">the FERM registry, </w:t>
      </w:r>
    </w:p>
    <w:p w14:paraId="1741F3C6" w14:textId="77777777" w:rsidR="008B4FF9" w:rsidRPr="008B4FF9" w:rsidRDefault="008B4FF9" w:rsidP="00B56834">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lastRenderedPageBreak/>
        <w:t>Global Forest Resources Assessment</w:t>
      </w:r>
      <w:r w:rsidRPr="008B4FF9">
        <w:rPr>
          <w:rFonts w:asciiTheme="majorBidi" w:eastAsiaTheme="majorEastAsia" w:hAnsiTheme="majorBidi" w:cstheme="majorBidi"/>
        </w:rPr>
        <w:footnoteReference w:id="19"/>
      </w:r>
      <w:r w:rsidRPr="008B4FF9">
        <w:rPr>
          <w:rFonts w:asciiTheme="majorBidi" w:eastAsiaTheme="majorEastAsia" w:hAnsiTheme="majorBidi" w:cstheme="majorBidi"/>
        </w:rPr>
        <w:t xml:space="preserve"> (FRA),  </w:t>
      </w:r>
    </w:p>
    <w:p w14:paraId="5831B970" w14:textId="77777777" w:rsidR="008B4FF9" w:rsidRPr="008B4FF9" w:rsidRDefault="008B4FF9" w:rsidP="00B56834">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Ramsar Convention on Wetlands</w:t>
      </w:r>
      <w:r w:rsidRPr="008B4FF9">
        <w:rPr>
          <w:rFonts w:asciiTheme="majorBidi" w:eastAsiaTheme="majorEastAsia" w:hAnsiTheme="majorBidi" w:cstheme="majorBidi"/>
        </w:rPr>
        <w:footnoteReference w:id="20"/>
      </w:r>
      <w:r w:rsidRPr="008B4FF9">
        <w:rPr>
          <w:rFonts w:asciiTheme="majorBidi" w:eastAsiaTheme="majorEastAsia" w:hAnsiTheme="majorBidi" w:cstheme="majorBidi"/>
        </w:rPr>
        <w:t xml:space="preserve">, </w:t>
      </w:r>
    </w:p>
    <w:p w14:paraId="06A3D49C" w14:textId="77777777" w:rsidR="008B4FF9" w:rsidRPr="008B4FF9" w:rsidRDefault="008B4FF9" w:rsidP="00B56834">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lang w:val="en-US"/>
        </w:rPr>
      </w:pPr>
      <w:r w:rsidRPr="008B4FF9">
        <w:rPr>
          <w:rFonts w:asciiTheme="majorBidi" w:eastAsiaTheme="majorEastAsia" w:hAnsiTheme="majorBidi" w:cstheme="majorBidi"/>
        </w:rPr>
        <w:t>National monitoring systems and databases for selected pilot countries</w:t>
      </w:r>
      <w:r w:rsidRPr="008B4FF9">
        <w:rPr>
          <w:rFonts w:asciiTheme="majorBidi" w:eastAsiaTheme="majorEastAsia" w:hAnsiTheme="majorBidi" w:cstheme="majorBidi"/>
          <w:lang w:val="en-US"/>
        </w:rPr>
        <w:t xml:space="preserve">, </w:t>
      </w:r>
    </w:p>
    <w:p w14:paraId="56200CC2" w14:textId="77777777" w:rsidR="008B4FF9" w:rsidRPr="008B4FF9" w:rsidRDefault="008B4FF9" w:rsidP="00B56834">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 xml:space="preserve">Additional data sources that are being integrated include: </w:t>
      </w:r>
    </w:p>
    <w:p w14:paraId="26964F23" w14:textId="77777777" w:rsidR="008B4FF9" w:rsidRPr="008B4FF9" w:rsidRDefault="008B4FF9" w:rsidP="0067545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 xml:space="preserve">the World Database on Protected Areas,   </w:t>
      </w:r>
    </w:p>
    <w:p w14:paraId="6F66B154" w14:textId="77777777" w:rsidR="008B4FF9" w:rsidRPr="008B4FF9" w:rsidRDefault="008B4FF9" w:rsidP="0067545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 xml:space="preserve">UNCCD PRAIS,  </w:t>
      </w:r>
    </w:p>
    <w:p w14:paraId="51ADC585" w14:textId="77777777" w:rsidR="008B4FF9" w:rsidRPr="008B4FF9" w:rsidRDefault="008B4FF9" w:rsidP="0067545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 xml:space="preserve">IUCN Restoration Barometer,  </w:t>
      </w:r>
    </w:p>
    <w:p w14:paraId="127F6FA3" w14:textId="3F811803" w:rsidR="008B4FF9" w:rsidRPr="008B4FF9" w:rsidRDefault="008B4FF9" w:rsidP="0067545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and other platforms</w:t>
      </w:r>
      <w:r w:rsidR="00675455">
        <w:rPr>
          <w:rFonts w:asciiTheme="majorBidi" w:eastAsiaTheme="majorEastAsia" w:hAnsiTheme="majorBidi" w:cstheme="majorBidi"/>
        </w:rPr>
        <w:t>.</w:t>
      </w:r>
      <w:r w:rsidRPr="008B4FF9">
        <w:rPr>
          <w:rFonts w:asciiTheme="majorBidi" w:eastAsiaTheme="majorEastAsia" w:hAnsiTheme="majorBidi" w:cstheme="majorBidi"/>
          <w:vertAlign w:val="superscript"/>
        </w:rPr>
        <w:footnoteReference w:id="21"/>
      </w:r>
    </w:p>
    <w:p w14:paraId="3DEA7E68" w14:textId="77777777" w:rsidR="008B4FF9" w:rsidRPr="008B4FF9" w:rsidRDefault="008B4FF9" w:rsidP="00152C3F">
      <w:pPr>
        <w:pStyle w:val="CBDNormalNumber"/>
        <w:numPr>
          <w:ilvl w:val="0"/>
          <w:numId w:val="219"/>
        </w:numPr>
        <w:tabs>
          <w:tab w:val="clear" w:pos="1701"/>
        </w:tabs>
        <w:ind w:left="567" w:firstLine="0"/>
        <w:rPr>
          <w:rFonts w:asciiTheme="majorBidi" w:eastAsiaTheme="majorEastAsia" w:hAnsiTheme="majorBidi" w:cstheme="majorBidi"/>
          <w:b/>
          <w:bCs/>
          <w:lang w:val="en-US"/>
        </w:rPr>
      </w:pPr>
      <w:r w:rsidRPr="008B4FF9">
        <w:rPr>
          <w:rFonts w:asciiTheme="majorBidi" w:eastAsiaTheme="majorEastAsia" w:hAnsiTheme="majorBidi" w:cstheme="majorBidi"/>
        </w:rPr>
        <w:t xml:space="preserve">FERM will aggregate the default data according to the following logic and assumptions: </w:t>
      </w:r>
    </w:p>
    <w:p w14:paraId="68002C7A" w14:textId="77777777" w:rsidR="008B4FF9" w:rsidRPr="008B4FF9" w:rsidRDefault="008B4FF9" w:rsidP="000A2B02">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If data is not reviewed by the national focal point, only official data is aggregated, where ‘official’ means officially reported by national government representatives through other existing reporting processes (i.e., MEAs, FRA, and other international instruments). If, however, data is reviewed by the focal point, then unofficial data may be aggregated depending on the input provided during the review.</w:t>
      </w:r>
    </w:p>
    <w:p w14:paraId="69B73636" w14:textId="77777777" w:rsidR="008B4FF9" w:rsidRPr="008B4FF9" w:rsidRDefault="008B4FF9" w:rsidP="000A2B02">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Total area under restoration = sum of the reported area under restoration for all the initiatives after removing duplicates and ensuring overlapping areas are only counted once</w:t>
      </w:r>
    </w:p>
    <w:p w14:paraId="34A7930E" w14:textId="77777777" w:rsidR="008B4FF9" w:rsidRPr="008B4FF9" w:rsidRDefault="008B4FF9" w:rsidP="000A2B02">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8B4FF9">
        <w:rPr>
          <w:rFonts w:asciiTheme="majorBidi" w:eastAsiaTheme="majorEastAsia" w:hAnsiTheme="majorBidi" w:cstheme="majorBidi"/>
        </w:rPr>
        <w:t xml:space="preserve">Specifically, if FRA data (hectares of forest restored) is available, the default data aggregation assumes this number includes all forest biomes (equivalent to T1 and T2 in IUCN GET terminology) under restoration in the country. To address double counting, when FRA data is present, any other forest restoration initiative in the country is not counted toward the default data. Furthermore, if an initiative does not specify the biome or ecosystem information, the default data aggregation assumes it is forest restoration and the initiative is not included in the calculation and it is assumed that it is included in FRA data.  </w:t>
      </w:r>
    </w:p>
    <w:p w14:paraId="1BC146F8" w14:textId="77777777" w:rsidR="008B4FF9" w:rsidRPr="008B4FF9" w:rsidRDefault="008B4FF9" w:rsidP="009D0F28">
      <w:pPr>
        <w:pStyle w:val="CBDNormalNumber"/>
        <w:numPr>
          <w:ilvl w:val="0"/>
          <w:numId w:val="219"/>
        </w:numPr>
        <w:tabs>
          <w:tab w:val="clear" w:pos="1701"/>
        </w:tabs>
        <w:ind w:left="567" w:firstLine="0"/>
        <w:rPr>
          <w:rFonts w:asciiTheme="majorBidi" w:eastAsiaTheme="majorEastAsia" w:hAnsiTheme="majorBidi" w:cstheme="majorBidi"/>
        </w:rPr>
      </w:pPr>
      <w:r w:rsidRPr="008B4FF9">
        <w:rPr>
          <w:rFonts w:asciiTheme="majorBidi" w:eastAsiaTheme="majorEastAsia" w:hAnsiTheme="majorBidi" w:cstheme="majorBidi"/>
        </w:rPr>
        <w:t>National focal points can access the FERM data review functionality, review the default data, add national data from the national monitoring systems (arrow a1), and aggregate them. They can also optionally use default data to complement national monitoring systems and national data collection (arrow a2). In the CBD Online Reporting Tool, national focal points can directly report national data using information from national monitoring systems (arrow b) or use the FERM default data, accessible by an API (arrow c2). The data reported by the country to the CBD will be integrated into FERM to update the default data (arrow c1).</w:t>
      </w:r>
    </w:p>
    <w:p w14:paraId="60CC6B7D" w14:textId="7FBECDE4" w:rsidR="008B4FF9" w:rsidRPr="008B4FF9" w:rsidRDefault="008B4FF9" w:rsidP="008B4FF9">
      <w:pPr>
        <w:pStyle w:val="paragraph"/>
        <w:pBdr>
          <w:bottom w:val="single" w:sz="4" w:space="1" w:color="000000"/>
        </w:pBdr>
        <w:spacing w:after="0"/>
        <w:textAlignment w:val="baseline"/>
        <w:rPr>
          <w:rFonts w:asciiTheme="majorBidi" w:eastAsiaTheme="majorEastAsia" w:hAnsiTheme="majorBidi" w:cstheme="majorBidi"/>
          <w:b/>
          <w:bCs/>
          <w:sz w:val="22"/>
          <w:szCs w:val="22"/>
          <w:lang w:val="en-US"/>
        </w:rPr>
      </w:pPr>
      <w:r w:rsidRPr="008B4FF9">
        <w:rPr>
          <w:rFonts w:asciiTheme="majorBidi" w:eastAsiaTheme="majorEastAsia" w:hAnsiTheme="majorBidi" w:cstheme="majorBidi"/>
          <w:b/>
          <w:bCs/>
          <w:noProof/>
          <w:sz w:val="22"/>
          <w:szCs w:val="22"/>
          <w:lang w:val="en-US"/>
        </w:rPr>
        <w:lastRenderedPageBreak/>
        <w:drawing>
          <wp:inline distT="0" distB="0" distL="0" distR="0" wp14:anchorId="5A3459E6" wp14:editId="19342010">
            <wp:extent cx="5486400" cy="2695575"/>
            <wp:effectExtent l="0" t="0" r="0" b="9525"/>
            <wp:docPr id="21296028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486400" cy="2695575"/>
                    </a:xfrm>
                    <a:prstGeom prst="rect">
                      <a:avLst/>
                    </a:prstGeom>
                    <a:noFill/>
                    <a:ln>
                      <a:noFill/>
                    </a:ln>
                  </pic:spPr>
                </pic:pic>
              </a:graphicData>
            </a:graphic>
          </wp:inline>
        </w:drawing>
      </w:r>
    </w:p>
    <w:p w14:paraId="1D447A9F" w14:textId="77777777" w:rsidR="008B4FF9" w:rsidRPr="008B4FF9" w:rsidRDefault="008B4FF9" w:rsidP="008B4FF9">
      <w:pPr>
        <w:pStyle w:val="paragraph"/>
        <w:pBdr>
          <w:bottom w:val="single" w:sz="4" w:space="1" w:color="000000"/>
        </w:pBdr>
        <w:spacing w:after="0"/>
        <w:textAlignment w:val="baseline"/>
        <w:rPr>
          <w:rFonts w:asciiTheme="majorBidi" w:eastAsiaTheme="majorEastAsia" w:hAnsiTheme="majorBidi" w:cstheme="majorBidi"/>
          <w:b/>
          <w:bCs/>
          <w:sz w:val="22"/>
          <w:szCs w:val="22"/>
          <w:lang w:val="en-US"/>
        </w:rPr>
      </w:pPr>
    </w:p>
    <w:p w14:paraId="4BBC6FF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5c. Data collection method </w:t>
      </w:r>
      <w:r w:rsidRPr="00ED7E61">
        <w:rPr>
          <w:rStyle w:val="eop"/>
          <w:rFonts w:asciiTheme="majorBidi" w:eastAsiaTheme="majorEastAsia" w:hAnsiTheme="majorBidi" w:cstheme="majorBidi"/>
          <w:b/>
          <w:bCs/>
          <w:sz w:val="22"/>
          <w:szCs w:val="22"/>
        </w:rPr>
        <w:t> </w:t>
      </w:r>
    </w:p>
    <w:p w14:paraId="6A5EF780" w14:textId="77777777" w:rsidR="001251FC" w:rsidRPr="001251FC" w:rsidRDefault="001251FC" w:rsidP="001251FC">
      <w:pPr>
        <w:pStyle w:val="CBDNormalNumber"/>
        <w:numPr>
          <w:ilvl w:val="0"/>
          <w:numId w:val="219"/>
        </w:numPr>
        <w:tabs>
          <w:tab w:val="clear" w:pos="1701"/>
        </w:tabs>
        <w:ind w:left="567" w:firstLine="0"/>
        <w:rPr>
          <w:rFonts w:asciiTheme="majorBidi" w:eastAsiaTheme="majorEastAsia" w:hAnsiTheme="majorBidi" w:cstheme="majorBidi"/>
        </w:rPr>
      </w:pPr>
      <w:r w:rsidRPr="001251FC">
        <w:rPr>
          <w:rFonts w:asciiTheme="majorBidi" w:eastAsiaTheme="majorEastAsia" w:hAnsiTheme="majorBidi" w:cstheme="majorBidi"/>
        </w:rPr>
        <w:t>Data collection for the area under restoration indicator can be conducted using a compilation of ecosystem restoration projects and initiatives implemented in the country (described in 5b, paragraphs 2-5), as well as using remote sensing technology and field data to track increments in the extent or improvements in the condition of natural ecosystems. In addition, FAO has been compiling data in FERM (described in 5b, paragraphs 9-12).</w:t>
      </w:r>
    </w:p>
    <w:p w14:paraId="23449658" w14:textId="34B310C0" w:rsidR="001251FC" w:rsidRPr="001251FC" w:rsidRDefault="008B747F" w:rsidP="008B747F">
      <w:pPr>
        <w:pStyle w:val="paragraph"/>
        <w:pBdr>
          <w:bottom w:val="single" w:sz="4" w:space="1" w:color="000000"/>
        </w:pBdr>
        <w:spacing w:before="0" w:beforeAutospacing="0" w:after="0" w:afterAutospacing="0"/>
        <w:textAlignment w:val="baseline"/>
        <w:rPr>
          <w:rStyle w:val="normaltextrun"/>
          <w:b/>
          <w:bCs/>
          <w:lang w:val="en-GB"/>
        </w:rPr>
      </w:pPr>
      <w:r w:rsidRPr="008B747F">
        <w:rPr>
          <w:rStyle w:val="normaltextrun"/>
          <w:rFonts w:eastAsiaTheme="majorEastAsia"/>
          <w:b/>
          <w:bCs/>
          <w:lang w:val="en-GB"/>
        </w:rPr>
        <w:t xml:space="preserve">5d. </w:t>
      </w:r>
      <w:r w:rsidR="001251FC" w:rsidRPr="001251FC">
        <w:rPr>
          <w:rStyle w:val="normaltextrun"/>
          <w:b/>
          <w:bCs/>
          <w:lang w:val="en-GB"/>
        </w:rPr>
        <w:t>Reporting template</w:t>
      </w:r>
    </w:p>
    <w:p w14:paraId="19487F91" w14:textId="77777777" w:rsidR="001251FC" w:rsidRPr="001251FC" w:rsidRDefault="001251FC" w:rsidP="008B747F">
      <w:pPr>
        <w:pStyle w:val="CBDNormalNumber"/>
        <w:numPr>
          <w:ilvl w:val="0"/>
          <w:numId w:val="219"/>
        </w:numPr>
        <w:tabs>
          <w:tab w:val="clear" w:pos="1701"/>
        </w:tabs>
        <w:ind w:left="567" w:firstLine="0"/>
        <w:rPr>
          <w:rFonts w:asciiTheme="majorBidi" w:eastAsiaTheme="majorEastAsia" w:hAnsiTheme="majorBidi" w:cstheme="majorBidi"/>
        </w:rPr>
      </w:pPr>
      <w:r w:rsidRPr="001251FC">
        <w:rPr>
          <w:rFonts w:asciiTheme="majorBidi" w:eastAsiaTheme="majorEastAsia" w:hAnsiTheme="majorBidi" w:cstheme="majorBidi"/>
        </w:rPr>
        <w:t>According to CBD/COP/DEC/15/6, Parties will report the implementation of KMGBF directly using CBD’s online reporting tool (ORT). The reporting template for indicator 2.1 can be downloaded after logging in to ORT, under 7th National Report - My country - Indicator Data - 2.1 Area under restoration (GBF-INDICATOR-2.2) - Add data - Use national data set.</w:t>
      </w:r>
    </w:p>
    <w:p w14:paraId="0D52B01A" w14:textId="77777777" w:rsidR="001251FC" w:rsidRPr="001251FC" w:rsidRDefault="001251FC" w:rsidP="008B747F">
      <w:pPr>
        <w:pStyle w:val="CBDNormalNumber"/>
        <w:numPr>
          <w:ilvl w:val="0"/>
          <w:numId w:val="219"/>
        </w:numPr>
        <w:tabs>
          <w:tab w:val="clear" w:pos="1701"/>
        </w:tabs>
        <w:ind w:left="567" w:firstLine="0"/>
        <w:rPr>
          <w:rFonts w:asciiTheme="majorBidi" w:eastAsiaTheme="majorEastAsia" w:hAnsiTheme="majorBidi" w:cstheme="majorBidi"/>
        </w:rPr>
      </w:pPr>
      <w:r w:rsidRPr="001251FC">
        <w:rPr>
          <w:rFonts w:asciiTheme="majorBidi" w:eastAsiaTheme="majorEastAsia" w:hAnsiTheme="majorBidi" w:cstheme="majorBidi"/>
        </w:rPr>
        <w:t>Two versions of template are available for indicator 2.1, a simplified version and a detailed version. The two versions are mostly identical except that the simplified version allows free text in all columns while the detailed version uses controlled vocabulary in a few columns as drop-down lists. Only one version of the two is needed for reporting national data.</w:t>
      </w:r>
    </w:p>
    <w:p w14:paraId="20093544" w14:textId="77777777" w:rsidR="001931C5" w:rsidRDefault="001251FC" w:rsidP="001931C5">
      <w:pPr>
        <w:pStyle w:val="CBDNormalNumber"/>
        <w:numPr>
          <w:ilvl w:val="0"/>
          <w:numId w:val="219"/>
        </w:numPr>
        <w:tabs>
          <w:tab w:val="clear" w:pos="1701"/>
        </w:tabs>
        <w:ind w:left="567" w:firstLine="0"/>
        <w:rPr>
          <w:rFonts w:asciiTheme="majorBidi" w:eastAsiaTheme="majorEastAsia" w:hAnsiTheme="majorBidi" w:cstheme="majorBidi"/>
        </w:rPr>
      </w:pPr>
      <w:r w:rsidRPr="001251FC">
        <w:rPr>
          <w:rFonts w:asciiTheme="majorBidi" w:eastAsiaTheme="majorEastAsia" w:hAnsiTheme="majorBidi" w:cstheme="majorBidi"/>
        </w:rPr>
        <w:t>The columns of the two versions of the template are the same, namely:</w:t>
      </w:r>
    </w:p>
    <w:p w14:paraId="37842457" w14:textId="7486C3B2" w:rsidR="001251FC" w:rsidRPr="001931C5" w:rsidRDefault="007C4DB2" w:rsidP="001931C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Pr>
          <w:rFonts w:asciiTheme="majorBidi" w:eastAsiaTheme="majorEastAsia" w:hAnsiTheme="majorBidi" w:cstheme="majorBidi"/>
        </w:rPr>
        <w:t xml:space="preserve">A - </w:t>
      </w:r>
      <w:r w:rsidR="001251FC" w:rsidRPr="001931C5">
        <w:rPr>
          <w:rFonts w:asciiTheme="majorBidi" w:eastAsiaTheme="majorEastAsia" w:hAnsiTheme="majorBidi" w:cstheme="majorBidi"/>
        </w:rPr>
        <w:t>Indicator code: prefilled, no action needed</w:t>
      </w:r>
    </w:p>
    <w:p w14:paraId="6372ED1A" w14:textId="77777777" w:rsidR="001251FC" w:rsidRPr="001251FC" w:rsidRDefault="001251FC" w:rsidP="001931C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251FC">
        <w:rPr>
          <w:rFonts w:asciiTheme="majorBidi" w:eastAsiaTheme="majorEastAsia" w:hAnsiTheme="majorBidi" w:cstheme="majorBidi"/>
        </w:rPr>
        <w:t>B – Indicator name: prefilled, no action needed</w:t>
      </w:r>
    </w:p>
    <w:p w14:paraId="4AFEF3EF" w14:textId="77777777" w:rsidR="001251FC" w:rsidRPr="001251FC" w:rsidRDefault="001251FC" w:rsidP="001931C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251FC">
        <w:rPr>
          <w:rFonts w:asciiTheme="majorBidi" w:eastAsiaTheme="majorEastAsia" w:hAnsiTheme="majorBidi" w:cstheme="majorBidi"/>
        </w:rPr>
        <w:t>C – Does this data row represent a disaggregation: enter or select ‘No’ or ‘Yes’</w:t>
      </w:r>
    </w:p>
    <w:p w14:paraId="31E0EA79" w14:textId="77777777" w:rsidR="001251FC" w:rsidRPr="001251FC" w:rsidRDefault="001251FC" w:rsidP="001931C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251FC">
        <w:rPr>
          <w:rFonts w:asciiTheme="majorBidi" w:eastAsiaTheme="majorEastAsia" w:hAnsiTheme="majorBidi" w:cstheme="majorBidi"/>
        </w:rPr>
        <w:t>D – Disaggregation type: enter or select the broader type of disaggregation</w:t>
      </w:r>
    </w:p>
    <w:p w14:paraId="1C8FE4D9" w14:textId="77777777" w:rsidR="001251FC" w:rsidRPr="001251FC" w:rsidRDefault="001251FC" w:rsidP="001931C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251FC">
        <w:rPr>
          <w:rFonts w:asciiTheme="majorBidi" w:eastAsiaTheme="majorEastAsia" w:hAnsiTheme="majorBidi" w:cstheme="majorBidi"/>
        </w:rPr>
        <w:t>E – Disaggregation: enter or select the specific name of the disaggregation</w:t>
      </w:r>
    </w:p>
    <w:p w14:paraId="574B17D8" w14:textId="77777777" w:rsidR="001251FC" w:rsidRPr="001251FC" w:rsidRDefault="001251FC" w:rsidP="001931C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251FC">
        <w:rPr>
          <w:rFonts w:asciiTheme="majorBidi" w:eastAsiaTheme="majorEastAsia" w:hAnsiTheme="majorBidi" w:cstheme="majorBidi"/>
        </w:rPr>
        <w:t>F – Year: prefilled in the simplified version but can be edited; empty in the detailed version</w:t>
      </w:r>
    </w:p>
    <w:p w14:paraId="76DEB074" w14:textId="77777777" w:rsidR="001251FC" w:rsidRPr="001251FC" w:rsidRDefault="001251FC" w:rsidP="001931C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251FC">
        <w:rPr>
          <w:rFonts w:asciiTheme="majorBidi" w:eastAsiaTheme="majorEastAsia" w:hAnsiTheme="majorBidi" w:cstheme="majorBidi"/>
        </w:rPr>
        <w:t>G – Unit: enter the unit of measure. Hectare is recommended but other units are also allowed</w:t>
      </w:r>
    </w:p>
    <w:p w14:paraId="58243D10" w14:textId="77777777" w:rsidR="001251FC" w:rsidRPr="001251FC" w:rsidRDefault="001251FC" w:rsidP="001931C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251FC">
        <w:rPr>
          <w:rFonts w:asciiTheme="majorBidi" w:eastAsiaTheme="majorEastAsia" w:hAnsiTheme="majorBidi" w:cstheme="majorBidi"/>
        </w:rPr>
        <w:t>H – Value: enter the cumulative total area under restoration as of the corresponding year</w:t>
      </w:r>
    </w:p>
    <w:p w14:paraId="01477073" w14:textId="77777777" w:rsidR="001251FC" w:rsidRPr="001251FC" w:rsidRDefault="001251FC" w:rsidP="001931C5">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251FC">
        <w:rPr>
          <w:rFonts w:asciiTheme="majorBidi" w:eastAsiaTheme="majorEastAsia" w:hAnsiTheme="majorBidi" w:cstheme="majorBidi"/>
        </w:rPr>
        <w:lastRenderedPageBreak/>
        <w:t>I – Footnote: fill in as needed</w:t>
      </w:r>
    </w:p>
    <w:p w14:paraId="2CB192E4" w14:textId="67D1D5B9" w:rsidR="001251FC" w:rsidRPr="001251FC" w:rsidRDefault="001251FC" w:rsidP="001251FC">
      <w:pPr>
        <w:pStyle w:val="paragraph"/>
        <w:pBdr>
          <w:bottom w:val="single" w:sz="4" w:space="1" w:color="000000"/>
        </w:pBdr>
        <w:spacing w:after="0"/>
        <w:textAlignment w:val="baseline"/>
        <w:rPr>
          <w:rFonts w:asciiTheme="majorBidi" w:eastAsiaTheme="majorEastAsia" w:hAnsiTheme="majorBidi" w:cstheme="majorBidi"/>
          <w:sz w:val="22"/>
          <w:szCs w:val="22"/>
          <w:lang w:val="en-US"/>
        </w:rPr>
      </w:pPr>
      <w:r w:rsidRPr="001251FC">
        <w:rPr>
          <w:rFonts w:asciiTheme="majorBidi" w:eastAsiaTheme="majorEastAsia" w:hAnsiTheme="majorBidi" w:cstheme="majorBidi"/>
          <w:noProof/>
          <w:sz w:val="22"/>
          <w:szCs w:val="22"/>
          <w:lang w:val="en-US"/>
        </w:rPr>
        <w:drawing>
          <wp:inline distT="0" distB="0" distL="0" distR="0" wp14:anchorId="4DF92721" wp14:editId="10D8CA34">
            <wp:extent cx="5943600" cy="1533525"/>
            <wp:effectExtent l="0" t="0" r="0" b="9525"/>
            <wp:docPr id="1910875518" name="Picture 5" title="A screenshot of a spreadsheet&#10;&#10;AI-generated content may be incorrect."/>
            <wp:cNvGraphicFramePr/>
            <a:graphic xmlns:a="http://schemas.openxmlformats.org/drawingml/2006/main">
              <a:graphicData uri="http://schemas.openxmlformats.org/drawingml/2006/picture">
                <pic:pic xmlns:pic="http://schemas.openxmlformats.org/drawingml/2006/picture">
                  <pic:nvPicPr>
                    <pic:cNvPr id="1674013905" name="drawing" title="A screenshot of a spreadsheet&#10;&#10;AI-generated content may be incorrect."/>
                    <pic:cNvPicPr>
                      <a:picLocks noChangeAspect="1"/>
                    </pic:cNvPicPr>
                  </pic:nvPicPr>
                  <pic:blipFill>
                    <a:blip r:embed="rId261">
                      <a:extLst>
                        <a:ext uri="{28A0092B-C50C-407E-A947-70E740481C1C}">
                          <a14:useLocalDpi xmlns:a14="http://schemas.microsoft.com/office/drawing/2010/main"/>
                        </a:ext>
                      </a:extLst>
                    </a:blip>
                    <a:stretch>
                      <a:fillRect/>
                    </a:stretch>
                  </pic:blipFill>
                  <pic:spPr>
                    <a:xfrm>
                      <a:off x="0" y="0"/>
                      <a:ext cx="5943600" cy="1533525"/>
                    </a:xfrm>
                    <a:prstGeom prst="rect">
                      <a:avLst/>
                    </a:prstGeom>
                  </pic:spPr>
                </pic:pic>
              </a:graphicData>
            </a:graphic>
          </wp:inline>
        </w:drawing>
      </w:r>
    </w:p>
    <w:p w14:paraId="335D07A0" w14:textId="77777777" w:rsidR="001251FC" w:rsidRPr="001251FC" w:rsidRDefault="001251FC" w:rsidP="00B830A3">
      <w:pPr>
        <w:pStyle w:val="CBDNormalNumber"/>
        <w:numPr>
          <w:ilvl w:val="0"/>
          <w:numId w:val="219"/>
        </w:numPr>
        <w:tabs>
          <w:tab w:val="clear" w:pos="1701"/>
        </w:tabs>
        <w:ind w:left="567" w:firstLine="0"/>
        <w:rPr>
          <w:rFonts w:asciiTheme="majorBidi" w:eastAsiaTheme="majorEastAsia" w:hAnsiTheme="majorBidi" w:cstheme="majorBidi"/>
        </w:rPr>
      </w:pPr>
      <w:r w:rsidRPr="001251FC">
        <w:rPr>
          <w:rFonts w:asciiTheme="majorBidi" w:eastAsiaTheme="majorEastAsia" w:hAnsiTheme="majorBidi" w:cstheme="majorBidi"/>
        </w:rPr>
        <w:t>Controlled vocabulary is used in columns C, D, and E of the detailed version of the template. The options for column C are: Yes, No and -. If ‘No’ is selected, column D and E will automatically display 'Not applicable'. If ‘Yes’ is selected, six options of the disaggregation types in column D are available: by biome - GET L2; by EFG – GET L3; by PA&amp;OECM; by Indigenous and traditional territories; by restoration activity; and other. If by biome, by EFG, or by type of restoration activity is selected in disaggregation type, a list of biomes, ecosystem functional groups or activities will become available in column E. If by PA and OECM, by ITT or other is selected in disaggregation type, a description of the disaggregation can be entered as free text in column E.</w:t>
      </w:r>
    </w:p>
    <w:p w14:paraId="12FA5F74" w14:textId="77777777" w:rsidR="001251FC" w:rsidRPr="001251FC" w:rsidRDefault="001251FC" w:rsidP="00B830A3">
      <w:pPr>
        <w:pStyle w:val="CBDNormalNumber"/>
        <w:numPr>
          <w:ilvl w:val="0"/>
          <w:numId w:val="219"/>
        </w:numPr>
        <w:tabs>
          <w:tab w:val="clear" w:pos="1701"/>
        </w:tabs>
        <w:ind w:left="567" w:firstLine="0"/>
        <w:rPr>
          <w:rFonts w:asciiTheme="majorBidi" w:eastAsiaTheme="majorEastAsia" w:hAnsiTheme="majorBidi" w:cstheme="majorBidi"/>
        </w:rPr>
      </w:pPr>
      <w:r w:rsidRPr="001251FC">
        <w:rPr>
          <w:rFonts w:asciiTheme="majorBidi" w:eastAsiaTheme="majorEastAsia" w:hAnsiTheme="majorBidi" w:cstheme="majorBidi"/>
        </w:rPr>
        <w:t xml:space="preserve">Start with reporting total area under restoration without disaggregation (i.e. enter or select ‘No’ in column C). If the simplified template is used, leave column D and column E empty. The template automatically adds rows for years 2020-2026 in column F. It is not necessary to report a value for each year if data is unavailable or not assessed for that year. It is possible to add rows for years prior to 2020. If the detailed template is used, column D and column E will be filled automatically. </w:t>
      </w:r>
    </w:p>
    <w:p w14:paraId="2A2CAA90" w14:textId="77777777" w:rsidR="001251FC" w:rsidRPr="001251FC" w:rsidRDefault="001251FC" w:rsidP="00B830A3">
      <w:pPr>
        <w:pStyle w:val="CBDNormalNumber"/>
        <w:numPr>
          <w:ilvl w:val="0"/>
          <w:numId w:val="219"/>
        </w:numPr>
        <w:tabs>
          <w:tab w:val="clear" w:pos="1701"/>
        </w:tabs>
        <w:ind w:left="567" w:firstLine="0"/>
        <w:rPr>
          <w:rFonts w:asciiTheme="majorBidi" w:eastAsiaTheme="majorEastAsia" w:hAnsiTheme="majorBidi" w:cstheme="majorBidi"/>
        </w:rPr>
      </w:pPr>
      <w:r w:rsidRPr="001251FC">
        <w:rPr>
          <w:rFonts w:asciiTheme="majorBidi" w:eastAsiaTheme="majorEastAsia" w:hAnsiTheme="majorBidi" w:cstheme="majorBidi"/>
        </w:rPr>
        <w:t xml:space="preserve">In column H, cumulative total area under restoration as of the corresponding year in column F should be entered. If more data points assessed at different years are available, enter those values (cumulative) and corresponding years. Therefore, a trend of total area under restoration can be produced to show progress towards the target over time. </w:t>
      </w:r>
    </w:p>
    <w:p w14:paraId="0E98281A" w14:textId="77777777" w:rsidR="001251FC" w:rsidRPr="001251FC" w:rsidRDefault="001251FC" w:rsidP="00B830A3">
      <w:pPr>
        <w:pStyle w:val="CBDNormalNumber"/>
        <w:numPr>
          <w:ilvl w:val="0"/>
          <w:numId w:val="219"/>
        </w:numPr>
        <w:tabs>
          <w:tab w:val="clear" w:pos="1701"/>
        </w:tabs>
        <w:ind w:left="567" w:firstLine="0"/>
        <w:rPr>
          <w:rFonts w:asciiTheme="majorBidi" w:eastAsiaTheme="majorEastAsia" w:hAnsiTheme="majorBidi" w:cstheme="majorBidi"/>
        </w:rPr>
      </w:pPr>
      <w:r w:rsidRPr="001251FC">
        <w:rPr>
          <w:rFonts w:asciiTheme="majorBidi" w:eastAsiaTheme="majorEastAsia" w:hAnsiTheme="majorBidi" w:cstheme="majorBidi"/>
        </w:rPr>
        <w:t>To report area under restoration with a disaggregation, start with a new row and enter or select ‘Yes’ in column C. If the simplified template is used, enter the type of disaggregation in column D (e.g. ecosystem, type of restoration action) and the specific disaggregation (e.g. mangroves, natural regeneration) in column E. If the detailed template is used, dropdown lists with controlled vocabulary will be available in column D, and based on the choice of disaggregation type, specific disaggregation will become available in column E as dropdown lists. If no dropdown list is available, it is possible to provide a description in free text instead.</w:t>
      </w:r>
    </w:p>
    <w:p w14:paraId="7E4717BD" w14:textId="77777777" w:rsidR="001251FC" w:rsidRPr="001251FC" w:rsidRDefault="001251FC" w:rsidP="00B830A3">
      <w:pPr>
        <w:pStyle w:val="CBDNormalNumber"/>
        <w:numPr>
          <w:ilvl w:val="0"/>
          <w:numId w:val="219"/>
        </w:numPr>
        <w:tabs>
          <w:tab w:val="clear" w:pos="1701"/>
        </w:tabs>
        <w:ind w:left="567" w:firstLine="0"/>
        <w:rPr>
          <w:rFonts w:asciiTheme="majorBidi" w:eastAsiaTheme="majorEastAsia" w:hAnsiTheme="majorBidi" w:cstheme="majorBidi"/>
        </w:rPr>
      </w:pPr>
      <w:r w:rsidRPr="001251FC">
        <w:rPr>
          <w:rFonts w:asciiTheme="majorBidi" w:eastAsiaTheme="majorEastAsia" w:hAnsiTheme="majorBidi" w:cstheme="majorBidi"/>
        </w:rPr>
        <w:t xml:space="preserve">In column H, </w:t>
      </w:r>
      <w:proofErr w:type="gramStart"/>
      <w:r w:rsidRPr="001251FC">
        <w:rPr>
          <w:rFonts w:asciiTheme="majorBidi" w:eastAsiaTheme="majorEastAsia" w:hAnsiTheme="majorBidi" w:cstheme="majorBidi"/>
        </w:rPr>
        <w:t>similar to</w:t>
      </w:r>
      <w:proofErr w:type="gramEnd"/>
      <w:r w:rsidRPr="001251FC">
        <w:rPr>
          <w:rFonts w:asciiTheme="majorBidi" w:eastAsiaTheme="majorEastAsia" w:hAnsiTheme="majorBidi" w:cstheme="majorBidi"/>
        </w:rPr>
        <w:t xml:space="preserve"> reporting total area under restoration without disaggregation, enter the cumulative total area under restoration for that disaggregation as of the corresponding year. If more data points assessed at different years are available, enter those values (cumulative) and corresponding years. </w:t>
      </w:r>
    </w:p>
    <w:p w14:paraId="3F9894F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b/>
          <w:bCs/>
          <w:sz w:val="22"/>
          <w:szCs w:val="22"/>
        </w:rPr>
        <w:t> </w:t>
      </w:r>
    </w:p>
    <w:p w14:paraId="5B9748A1" w14:textId="77777777" w:rsidR="00756F0F" w:rsidRPr="00967F0D" w:rsidRDefault="00756F0F" w:rsidP="00967F0D">
      <w:pPr>
        <w:pStyle w:val="CBDNormalNumber"/>
        <w:numPr>
          <w:ilvl w:val="0"/>
          <w:numId w:val="219"/>
        </w:numPr>
        <w:tabs>
          <w:tab w:val="clear" w:pos="1701"/>
        </w:tabs>
        <w:ind w:left="567" w:firstLine="0"/>
        <w:rPr>
          <w:rFonts w:asciiTheme="majorBidi" w:hAnsiTheme="majorBidi" w:cstheme="majorBidi"/>
        </w:rPr>
      </w:pPr>
      <w:r w:rsidRPr="00967F0D">
        <w:t>The methodology is not currently published in a peer-reviewed location.</w:t>
      </w:r>
      <w:r w:rsidRPr="00967F0D">
        <w:rPr>
          <w:rFonts w:asciiTheme="majorBidi" w:eastAsiaTheme="majorEastAsia" w:hAnsiTheme="majorBidi" w:cstheme="majorBidi"/>
        </w:rPr>
        <w:t> </w:t>
      </w:r>
    </w:p>
    <w:p w14:paraId="55CA293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b/>
          <w:bCs/>
          <w:sz w:val="22"/>
          <w:szCs w:val="22"/>
        </w:rPr>
        <w:t> </w:t>
      </w:r>
    </w:p>
    <w:p w14:paraId="352C9935" w14:textId="77777777" w:rsidR="0015190C" w:rsidRPr="0015190C" w:rsidRDefault="0015190C" w:rsidP="0081255C">
      <w:pPr>
        <w:pStyle w:val="CBDNormalNumber"/>
        <w:numPr>
          <w:ilvl w:val="0"/>
          <w:numId w:val="219"/>
        </w:numPr>
        <w:tabs>
          <w:tab w:val="clear" w:pos="1701"/>
        </w:tabs>
        <w:ind w:left="567" w:firstLine="0"/>
      </w:pPr>
      <w:r w:rsidRPr="0015190C">
        <w:t xml:space="preserve">Data sources that are currently included in the FERM default data include:  </w:t>
      </w:r>
    </w:p>
    <w:p w14:paraId="0AFE481F" w14:textId="77777777" w:rsidR="0015190C" w:rsidRPr="0015190C" w:rsidRDefault="0015190C" w:rsidP="007C4DB2">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5190C">
        <w:rPr>
          <w:rFonts w:asciiTheme="majorBidi" w:eastAsiaTheme="majorEastAsia" w:hAnsiTheme="majorBidi" w:cstheme="majorBidi"/>
        </w:rPr>
        <w:t xml:space="preserve">the FERM registry, </w:t>
      </w:r>
    </w:p>
    <w:p w14:paraId="582173C6" w14:textId="77777777" w:rsidR="0015190C" w:rsidRPr="0015190C" w:rsidRDefault="0015190C" w:rsidP="007C4DB2">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5190C">
        <w:rPr>
          <w:rFonts w:asciiTheme="majorBidi" w:eastAsiaTheme="majorEastAsia" w:hAnsiTheme="majorBidi" w:cstheme="majorBidi"/>
        </w:rPr>
        <w:t xml:space="preserve">Global Forest Resources Assessment,  </w:t>
      </w:r>
    </w:p>
    <w:p w14:paraId="16635AB5" w14:textId="77777777" w:rsidR="0015190C" w:rsidRPr="0015190C" w:rsidRDefault="0015190C" w:rsidP="007C4DB2">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5190C">
        <w:rPr>
          <w:rFonts w:asciiTheme="majorBidi" w:eastAsiaTheme="majorEastAsia" w:hAnsiTheme="majorBidi" w:cstheme="majorBidi"/>
        </w:rPr>
        <w:t xml:space="preserve">Ramsar Convention on Wetlands, </w:t>
      </w:r>
    </w:p>
    <w:p w14:paraId="7C9B9B2E" w14:textId="77777777" w:rsidR="0015190C" w:rsidRPr="0015190C" w:rsidRDefault="0015190C" w:rsidP="007C4DB2">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5190C">
        <w:rPr>
          <w:rFonts w:asciiTheme="majorBidi" w:eastAsiaTheme="majorEastAsia" w:hAnsiTheme="majorBidi" w:cstheme="majorBidi"/>
        </w:rPr>
        <w:lastRenderedPageBreak/>
        <w:t xml:space="preserve">National monitoring systems and databases for selected pilot countries, </w:t>
      </w:r>
    </w:p>
    <w:p w14:paraId="789D3436" w14:textId="77777777" w:rsidR="0015190C" w:rsidRPr="0015190C" w:rsidRDefault="0015190C" w:rsidP="005357E7">
      <w:pPr>
        <w:pStyle w:val="CBDNormalNumber"/>
        <w:numPr>
          <w:ilvl w:val="0"/>
          <w:numId w:val="219"/>
        </w:numPr>
        <w:tabs>
          <w:tab w:val="clear" w:pos="1701"/>
        </w:tabs>
        <w:ind w:left="567" w:firstLine="0"/>
      </w:pPr>
      <w:r w:rsidRPr="0015190C">
        <w:t xml:space="preserve">Additional data sources that are being integrated include: </w:t>
      </w:r>
    </w:p>
    <w:p w14:paraId="2F452B5A" w14:textId="77777777" w:rsidR="00C510A7" w:rsidRDefault="0015190C" w:rsidP="00C510A7">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15190C">
        <w:rPr>
          <w:rFonts w:asciiTheme="majorBidi" w:eastAsiaTheme="majorEastAsia" w:hAnsiTheme="majorBidi" w:cstheme="majorBidi"/>
        </w:rPr>
        <w:t xml:space="preserve">the World Database on Protected Areas,   </w:t>
      </w:r>
    </w:p>
    <w:p w14:paraId="0083702F" w14:textId="77777777" w:rsidR="00C510A7" w:rsidRPr="00C510A7" w:rsidRDefault="0015190C" w:rsidP="00C510A7">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C510A7">
        <w:rPr>
          <w:rFonts w:asciiTheme="majorBidi" w:eastAsiaTheme="majorEastAsia" w:hAnsiTheme="majorBidi" w:cstheme="majorBidi"/>
          <w:lang w:val="en-US"/>
        </w:rPr>
        <w:t xml:space="preserve">UNCCD PRAIS,  </w:t>
      </w:r>
    </w:p>
    <w:p w14:paraId="2AA2F2FB" w14:textId="77777777" w:rsidR="00C510A7" w:rsidRPr="00C510A7" w:rsidRDefault="0015190C" w:rsidP="00C510A7">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sidRPr="00C510A7">
        <w:rPr>
          <w:rFonts w:asciiTheme="majorBidi" w:eastAsiaTheme="majorEastAsia" w:hAnsiTheme="majorBidi" w:cstheme="majorBidi"/>
          <w:lang w:val="en-US"/>
        </w:rPr>
        <w:t xml:space="preserve">IUCN Restoration Barometer,  </w:t>
      </w:r>
    </w:p>
    <w:p w14:paraId="46E4EE4E" w14:textId="075F5C1E" w:rsidR="0015190C" w:rsidRPr="00C510A7" w:rsidRDefault="00C510A7" w:rsidP="00C510A7">
      <w:pPr>
        <w:pStyle w:val="CBDNormalNumber"/>
        <w:numPr>
          <w:ilvl w:val="1"/>
          <w:numId w:val="219"/>
        </w:numPr>
        <w:tabs>
          <w:tab w:val="clear" w:pos="567"/>
          <w:tab w:val="clear" w:pos="1134"/>
          <w:tab w:val="clear" w:pos="2268"/>
          <w:tab w:val="clear" w:pos="2835"/>
          <w:tab w:val="clear" w:pos="3402"/>
          <w:tab w:val="clear" w:pos="3969"/>
        </w:tabs>
        <w:ind w:left="1134" w:firstLine="0"/>
        <w:rPr>
          <w:rFonts w:asciiTheme="majorBidi" w:eastAsiaTheme="majorEastAsia" w:hAnsiTheme="majorBidi" w:cstheme="majorBidi"/>
        </w:rPr>
      </w:pPr>
      <w:r>
        <w:rPr>
          <w:rFonts w:asciiTheme="majorBidi" w:eastAsiaTheme="majorEastAsia" w:hAnsiTheme="majorBidi" w:cstheme="majorBidi"/>
          <w:lang w:val="en-US"/>
        </w:rPr>
        <w:t>O</w:t>
      </w:r>
      <w:r w:rsidR="0015190C" w:rsidRPr="00C510A7">
        <w:rPr>
          <w:rFonts w:asciiTheme="majorBidi" w:eastAsiaTheme="majorEastAsia" w:hAnsiTheme="majorBidi" w:cstheme="majorBidi"/>
          <w:lang w:val="en-US"/>
        </w:rPr>
        <w:t>ther platforms</w:t>
      </w:r>
      <w:r>
        <w:rPr>
          <w:rFonts w:asciiTheme="majorBidi" w:eastAsiaTheme="majorEastAsia" w:hAnsiTheme="majorBidi" w:cstheme="majorBidi"/>
          <w:lang w:val="en-US"/>
        </w:rPr>
        <w:t>.</w:t>
      </w:r>
      <w:r w:rsidR="0015190C" w:rsidRPr="0015190C">
        <w:rPr>
          <w:vertAlign w:val="superscript"/>
        </w:rPr>
        <w:footnoteReference w:id="22"/>
      </w:r>
      <w:r w:rsidR="0015190C" w:rsidRPr="00C510A7">
        <w:rPr>
          <w:rFonts w:asciiTheme="majorBidi" w:eastAsiaTheme="majorEastAsia" w:hAnsiTheme="majorBidi" w:cstheme="majorBidi"/>
          <w:lang w:val="en-US"/>
        </w:rPr>
        <w:t xml:space="preserve">  </w:t>
      </w:r>
    </w:p>
    <w:p w14:paraId="1255AB7C" w14:textId="77777777" w:rsidR="00781C70" w:rsidRPr="00ED7E61" w:rsidRDefault="00781C70"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4BE6C2C9" w14:textId="72CF35F3"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b/>
          <w:bCs/>
          <w:sz w:val="22"/>
          <w:szCs w:val="22"/>
        </w:rPr>
        <w:t> </w:t>
      </w:r>
    </w:p>
    <w:p w14:paraId="6A94FE97" w14:textId="77777777" w:rsidR="00952929" w:rsidRPr="00952929" w:rsidRDefault="00952929" w:rsidP="00952929">
      <w:pPr>
        <w:pStyle w:val="CBDNormalNumber"/>
        <w:numPr>
          <w:ilvl w:val="0"/>
          <w:numId w:val="219"/>
        </w:numPr>
        <w:tabs>
          <w:tab w:val="clear" w:pos="1701"/>
        </w:tabs>
        <w:ind w:left="567" w:firstLine="0"/>
      </w:pPr>
      <w:r w:rsidRPr="00952929">
        <w:t>The indicator is currently in development. The methodology is available online and will be periodically reassessed and updated. The national reports will provide data on Target 2 in 2026 and 2029. </w:t>
      </w:r>
    </w:p>
    <w:p w14:paraId="0F2D262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5g. Time series </w:t>
      </w:r>
      <w:r w:rsidRPr="00ED7E61">
        <w:rPr>
          <w:rStyle w:val="eop"/>
          <w:rFonts w:asciiTheme="majorBidi" w:eastAsiaTheme="majorEastAsia" w:hAnsiTheme="majorBidi" w:cstheme="majorBidi"/>
          <w:b/>
          <w:bCs/>
          <w:sz w:val="22"/>
          <w:szCs w:val="22"/>
        </w:rPr>
        <w:t> </w:t>
      </w:r>
    </w:p>
    <w:p w14:paraId="50877563" w14:textId="77777777" w:rsidR="00B7603C" w:rsidRPr="00B7603C" w:rsidRDefault="00B7603C" w:rsidP="00B7603C">
      <w:pPr>
        <w:pStyle w:val="CBDNormalNumber"/>
        <w:numPr>
          <w:ilvl w:val="0"/>
          <w:numId w:val="219"/>
        </w:numPr>
        <w:tabs>
          <w:tab w:val="clear" w:pos="1701"/>
        </w:tabs>
        <w:ind w:left="567" w:firstLine="0"/>
      </w:pPr>
      <w:r w:rsidRPr="00B7603C">
        <w:t>Expected availability: 2021-2030. First update: Seventh National Report (NR7) in 2026.</w:t>
      </w:r>
    </w:p>
    <w:p w14:paraId="6707EA7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b/>
          <w:bCs/>
          <w:sz w:val="22"/>
          <w:szCs w:val="22"/>
        </w:rPr>
        <w:t> </w:t>
      </w:r>
    </w:p>
    <w:p w14:paraId="101AACC6" w14:textId="77777777" w:rsidR="00832D76" w:rsidRPr="00832D76" w:rsidRDefault="00832D76" w:rsidP="00832D76">
      <w:pPr>
        <w:pStyle w:val="CBDNormalNumber"/>
        <w:numPr>
          <w:ilvl w:val="0"/>
          <w:numId w:val="219"/>
        </w:numPr>
        <w:tabs>
          <w:tab w:val="clear" w:pos="1701"/>
        </w:tabs>
        <w:ind w:left="567" w:firstLine="0"/>
      </w:pPr>
      <w:r w:rsidRPr="00832D76">
        <w:t xml:space="preserve">The data are sourced from in-country agencies, thus leveraging in-country resources and ongoing programs. Other data may be obtained from conservation organizations, scientific societies, national and public repositories, citizen scientists, and the contributions of Indigenous Peoples, local communities, and traditional knowledge holders. The data sources in FERM default data are listed in 5e. </w:t>
      </w:r>
    </w:p>
    <w:p w14:paraId="54FFBE8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5i. Data compilers </w:t>
      </w:r>
      <w:r w:rsidRPr="00ED7E61">
        <w:rPr>
          <w:rStyle w:val="eop"/>
          <w:rFonts w:asciiTheme="majorBidi" w:eastAsiaTheme="majorEastAsia" w:hAnsiTheme="majorBidi" w:cstheme="majorBidi"/>
          <w:b/>
          <w:bCs/>
          <w:sz w:val="22"/>
          <w:szCs w:val="22"/>
        </w:rPr>
        <w:t> </w:t>
      </w:r>
    </w:p>
    <w:p w14:paraId="5B72C8E4" w14:textId="77777777" w:rsidR="00D8401C" w:rsidRPr="00D8401C" w:rsidRDefault="00D8401C" w:rsidP="00D8401C">
      <w:pPr>
        <w:pStyle w:val="CBDNormalNumber"/>
        <w:numPr>
          <w:ilvl w:val="0"/>
          <w:numId w:val="219"/>
        </w:numPr>
        <w:tabs>
          <w:tab w:val="clear" w:pos="1701"/>
        </w:tabs>
        <w:ind w:left="567" w:firstLine="0"/>
      </w:pPr>
      <w:r w:rsidRPr="00D8401C">
        <w:t>FAO is responsible for the maintenance of the methodology and tools for use. The compilation of data and reporting is performed by in-country agencies. </w:t>
      </w:r>
    </w:p>
    <w:p w14:paraId="334A7C1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b/>
          <w:bCs/>
          <w:sz w:val="22"/>
          <w:szCs w:val="22"/>
        </w:rPr>
        <w:t> </w:t>
      </w:r>
    </w:p>
    <w:p w14:paraId="572BBE5A" w14:textId="77777777" w:rsidR="00B95644" w:rsidRDefault="00B95644" w:rsidP="00B95644">
      <w:pPr>
        <w:pStyle w:val="CBDNormalNumber"/>
        <w:numPr>
          <w:ilvl w:val="0"/>
          <w:numId w:val="219"/>
        </w:numPr>
        <w:tabs>
          <w:tab w:val="clear" w:pos="1701"/>
        </w:tabs>
        <w:ind w:left="567" w:firstLine="0"/>
      </w:pPr>
      <w:r>
        <w:t>The data compiling will take place in a stepwise approach and aim for completeness in terms of coverage by ecosystem and by country.</w:t>
      </w:r>
    </w:p>
    <w:p w14:paraId="5A340CF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5k. Treatment of missing values</w:t>
      </w:r>
      <w:r w:rsidRPr="00ED7E61">
        <w:rPr>
          <w:rStyle w:val="eop"/>
          <w:rFonts w:asciiTheme="majorBidi" w:eastAsiaTheme="majorEastAsia" w:hAnsiTheme="majorBidi" w:cstheme="majorBidi"/>
          <w:b/>
          <w:bCs/>
          <w:sz w:val="22"/>
          <w:szCs w:val="22"/>
        </w:rPr>
        <w:t> </w:t>
      </w:r>
    </w:p>
    <w:p w14:paraId="5C1E0A7A" w14:textId="77777777" w:rsidR="00A16AD1" w:rsidRPr="00A16AD1" w:rsidRDefault="00A16AD1" w:rsidP="00A16AD1">
      <w:pPr>
        <w:pStyle w:val="CBDNormalNumber"/>
        <w:numPr>
          <w:ilvl w:val="0"/>
          <w:numId w:val="219"/>
        </w:numPr>
        <w:tabs>
          <w:tab w:val="clear" w:pos="1701"/>
        </w:tabs>
        <w:ind w:left="567" w:firstLine="0"/>
      </w:pPr>
      <w:r w:rsidRPr="00A16AD1">
        <w:t>FAO will be compiling data from existing processes and platforms. Each custodian agency and platform has its own methodology of treating missing values. Therefore, no further estimates will be made by FAO. Missing values will not be imputed or otherwise estimated. </w:t>
      </w:r>
    </w:p>
    <w:p w14:paraId="345DC153"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 Scale </w:t>
      </w:r>
      <w:r w:rsidRPr="00ED7E61">
        <w:rPr>
          <w:rStyle w:val="eop"/>
          <w:rFonts w:asciiTheme="majorBidi" w:eastAsiaTheme="majorEastAsia" w:hAnsiTheme="majorBidi" w:cstheme="majorBidi"/>
          <w:b/>
          <w:bCs/>
          <w:sz w:val="22"/>
          <w:szCs w:val="22"/>
        </w:rPr>
        <w:t> </w:t>
      </w:r>
    </w:p>
    <w:p w14:paraId="0BCE5F9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b/>
          <w:bCs/>
          <w:sz w:val="22"/>
          <w:szCs w:val="22"/>
        </w:rPr>
        <w:t> </w:t>
      </w:r>
    </w:p>
    <w:p w14:paraId="07355CC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Scale of application (please check all relevant boxes):</w:t>
      </w:r>
      <w:r w:rsidRPr="00ED7E61">
        <w:rPr>
          <w:rStyle w:val="normaltextrun"/>
          <w:rFonts w:asciiTheme="majorBidi" w:eastAsiaTheme="majorEastAsia" w:hAnsiTheme="majorBidi" w:cstheme="majorBidi"/>
          <w:i/>
          <w:iCs/>
          <w:sz w:val="22"/>
          <w:szCs w:val="22"/>
          <w:lang w:val="en-GB"/>
        </w:rPr>
        <w:t> </w:t>
      </w:r>
      <w:r w:rsidRPr="00ED7E61">
        <w:rPr>
          <w:rStyle w:val="eop"/>
          <w:rFonts w:asciiTheme="majorBidi" w:eastAsiaTheme="majorEastAsia" w:hAnsiTheme="majorBidi" w:cstheme="majorBidi"/>
          <w:sz w:val="22"/>
          <w:szCs w:val="22"/>
        </w:rPr>
        <w:t> </w:t>
      </w:r>
    </w:p>
    <w:p w14:paraId="2533FD2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Global: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 xml:space="preserve">Regional: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National</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5682AA7C" w14:textId="77777777" w:rsidR="00756F0F" w:rsidRPr="00ED7E61" w:rsidRDefault="00756F0F" w:rsidP="00B10F0C">
      <w:pPr>
        <w:pStyle w:val="CBDNormalNumber"/>
        <w:numPr>
          <w:ilvl w:val="0"/>
          <w:numId w:val="72"/>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Scale of data disaggregation/aggregation: </w:t>
      </w:r>
      <w:r w:rsidRPr="00ED7E61">
        <w:rPr>
          <w:rStyle w:val="normaltextrun"/>
        </w:rPr>
        <w:t> </w:t>
      </w:r>
    </w:p>
    <w:p w14:paraId="6DD34C88" w14:textId="77777777" w:rsidR="00756F0F" w:rsidRPr="00ED7E61" w:rsidRDefault="00756F0F" w:rsidP="00B10F0C">
      <w:pPr>
        <w:pStyle w:val="CBDNormalNumber"/>
        <w:numPr>
          <w:ilvl w:val="1"/>
          <w:numId w:val="72"/>
        </w:numPr>
        <w:tabs>
          <w:tab w:val="clear" w:pos="567"/>
          <w:tab w:val="clear" w:pos="1134"/>
          <w:tab w:val="clear" w:pos="1701"/>
          <w:tab w:val="clear" w:pos="2268"/>
          <w:tab w:val="left" w:pos="1985"/>
        </w:tabs>
        <w:ind w:left="1276" w:firstLine="56"/>
        <w:rPr>
          <w:color w:val="000000"/>
          <w:lang w:val="en-US"/>
        </w:rPr>
      </w:pPr>
      <w:r w:rsidRPr="00ED7E61">
        <w:rPr>
          <w:color w:val="000000"/>
          <w:lang w:val="en-US"/>
        </w:rPr>
        <w:t xml:space="preserve">Global/ regional scale </w:t>
      </w:r>
      <w:proofErr w:type="gramStart"/>
      <w:r w:rsidRPr="00ED7E61">
        <w:rPr>
          <w:color w:val="000000"/>
          <w:lang w:val="en-US"/>
        </w:rPr>
        <w:t>indicator</w:t>
      </w:r>
      <w:proofErr w:type="gramEnd"/>
      <w:r w:rsidRPr="00ED7E61">
        <w:rPr>
          <w:color w:val="000000"/>
          <w:lang w:val="en-US"/>
        </w:rPr>
        <w:t xml:space="preserve"> can be disaggregated to national level: ​☐​ </w:t>
      </w:r>
    </w:p>
    <w:p w14:paraId="5E2BF66A" w14:textId="77777777" w:rsidR="00756F0F" w:rsidRPr="00ED7E61" w:rsidRDefault="00756F0F" w:rsidP="00B10F0C">
      <w:pPr>
        <w:pStyle w:val="CBDNormalNumber"/>
        <w:numPr>
          <w:ilvl w:val="1"/>
          <w:numId w:val="72"/>
        </w:numPr>
        <w:tabs>
          <w:tab w:val="clear" w:pos="567"/>
          <w:tab w:val="clear" w:pos="1134"/>
          <w:tab w:val="clear" w:pos="1701"/>
          <w:tab w:val="clear" w:pos="2268"/>
          <w:tab w:val="left" w:pos="1985"/>
        </w:tabs>
        <w:ind w:left="1276" w:firstLine="56"/>
        <w:rPr>
          <w:color w:val="000000"/>
          <w:lang w:val="en-US"/>
        </w:rPr>
      </w:pPr>
      <w:r w:rsidRPr="00ED7E61">
        <w:rPr>
          <w:color w:val="000000"/>
          <w:lang w:val="en-US"/>
        </w:rPr>
        <w:t>National data is collated to form global indicator: ​☒​ </w:t>
      </w:r>
    </w:p>
    <w:p w14:paraId="579927D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b/>
          <w:bCs/>
          <w:sz w:val="22"/>
          <w:szCs w:val="22"/>
        </w:rPr>
        <w:t> </w:t>
      </w:r>
    </w:p>
    <w:p w14:paraId="7AFA21D3" w14:textId="77777777" w:rsidR="00193AF6" w:rsidRPr="00193AF6" w:rsidRDefault="00193AF6" w:rsidP="00193AF6">
      <w:pPr>
        <w:pStyle w:val="CBDNormalNumber"/>
        <w:numPr>
          <w:ilvl w:val="0"/>
          <w:numId w:val="219"/>
        </w:numPr>
        <w:tabs>
          <w:tab w:val="clear" w:pos="1701"/>
        </w:tabs>
        <w:ind w:left="567" w:firstLine="0"/>
      </w:pPr>
      <w:r w:rsidRPr="00193AF6">
        <w:lastRenderedPageBreak/>
        <w:t>The scale of indicator 2.1 is national and can be aggregated globally.</w:t>
      </w:r>
    </w:p>
    <w:p w14:paraId="14676613" w14:textId="7FE1229F" w:rsidR="00756F0F" w:rsidRPr="00ED7E61" w:rsidRDefault="00756F0F" w:rsidP="00193AF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6c. Sources of differences between global and national figures</w:t>
      </w:r>
      <w:r w:rsidRPr="00ED7E61">
        <w:rPr>
          <w:rStyle w:val="eop"/>
          <w:rFonts w:asciiTheme="majorBidi" w:eastAsiaTheme="majorEastAsia" w:hAnsiTheme="majorBidi" w:cstheme="majorBidi"/>
          <w:b/>
          <w:bCs/>
          <w:sz w:val="22"/>
          <w:szCs w:val="22"/>
        </w:rPr>
        <w:t> </w:t>
      </w:r>
    </w:p>
    <w:p w14:paraId="5DC3ABD6" w14:textId="77777777" w:rsidR="00756F0F" w:rsidRPr="00ED7E61" w:rsidRDefault="00756F0F" w:rsidP="00522790">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36A40EC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b/>
          <w:bCs/>
          <w:sz w:val="22"/>
          <w:szCs w:val="22"/>
        </w:rPr>
        <w:t> </w:t>
      </w:r>
    </w:p>
    <w:p w14:paraId="4ED7C08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6d.1 Description of the methodology</w:t>
      </w:r>
      <w:r w:rsidRPr="00ED7E61">
        <w:rPr>
          <w:rStyle w:val="eop"/>
          <w:rFonts w:asciiTheme="majorBidi" w:eastAsiaTheme="majorEastAsia" w:hAnsiTheme="majorBidi" w:cstheme="majorBidi"/>
          <w:sz w:val="22"/>
          <w:szCs w:val="22"/>
        </w:rPr>
        <w:t> </w:t>
      </w:r>
    </w:p>
    <w:p w14:paraId="3B395A3B" w14:textId="77777777" w:rsidR="00C611F1" w:rsidRPr="00C611F1" w:rsidRDefault="00C611F1" w:rsidP="00C611F1">
      <w:pPr>
        <w:pStyle w:val="CBDNormalNumber"/>
        <w:numPr>
          <w:ilvl w:val="0"/>
          <w:numId w:val="219"/>
        </w:numPr>
        <w:tabs>
          <w:tab w:val="clear" w:pos="1701"/>
        </w:tabs>
        <w:ind w:left="567" w:firstLine="0"/>
      </w:pPr>
      <w:r w:rsidRPr="00C611F1">
        <w:t>The national, regional and global methodology and estimates are to be consistent across scales. The methodology for national, regional and global estimates and data collection can be found in sections 5b and 5c in this metadata. The FERM is central for collecting and compiling data on area under restoration for consistent monitoring across scales.</w:t>
      </w:r>
    </w:p>
    <w:p w14:paraId="44D20202" w14:textId="327B4B6A" w:rsidR="00756F0F" w:rsidRPr="00ED7E61" w:rsidRDefault="00756F0F" w:rsidP="00781C70">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i/>
          <w:iCs/>
          <w:sz w:val="22"/>
          <w:szCs w:val="22"/>
          <w:lang w:val="en-GB"/>
        </w:rPr>
        <w:t>6d.2 Additional methodological details</w:t>
      </w:r>
      <w:r w:rsidRPr="00ED7E61">
        <w:rPr>
          <w:rStyle w:val="eop"/>
          <w:rFonts w:asciiTheme="majorBidi" w:eastAsiaTheme="majorEastAsia" w:hAnsiTheme="majorBidi" w:cstheme="majorBidi"/>
          <w:sz w:val="22"/>
          <w:szCs w:val="22"/>
        </w:rPr>
        <w:t> </w:t>
      </w:r>
    </w:p>
    <w:p w14:paraId="47A3CFC8" w14:textId="77777777" w:rsidR="00756F0F" w:rsidRPr="00ED7E61" w:rsidRDefault="00756F0F" w:rsidP="00522790">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72670950"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6d.3 Description of the mechanism for collecting data from countries</w:t>
      </w:r>
      <w:r w:rsidRPr="00ED7E61">
        <w:rPr>
          <w:rStyle w:val="eop"/>
          <w:rFonts w:asciiTheme="majorBidi" w:eastAsiaTheme="majorEastAsia" w:hAnsiTheme="majorBidi" w:cstheme="majorBidi"/>
          <w:sz w:val="22"/>
          <w:szCs w:val="22"/>
        </w:rPr>
        <w:t> </w:t>
      </w:r>
    </w:p>
    <w:p w14:paraId="33C80A98" w14:textId="77777777" w:rsidR="00AB690D" w:rsidRPr="00AB690D" w:rsidRDefault="00AB690D" w:rsidP="00AB690D">
      <w:pPr>
        <w:pStyle w:val="CBDNormalNumber"/>
        <w:numPr>
          <w:ilvl w:val="0"/>
          <w:numId w:val="219"/>
        </w:numPr>
        <w:tabs>
          <w:tab w:val="clear" w:pos="1701"/>
        </w:tabs>
        <w:ind w:left="567" w:firstLine="0"/>
      </w:pPr>
      <w:r w:rsidRPr="00AB690D">
        <w:t>Data can be collected through FERM by the registry interface or its API.</w:t>
      </w:r>
    </w:p>
    <w:p w14:paraId="448EB916" w14:textId="1E5FF6B9" w:rsidR="00756F0F" w:rsidRPr="00ED7E61" w:rsidRDefault="00756F0F" w:rsidP="00812871">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7. Other MEAs, processes and organi</w:t>
      </w:r>
      <w:r w:rsidR="00522790">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ations</w:t>
      </w:r>
      <w:r w:rsidRPr="00ED7E61">
        <w:rPr>
          <w:rStyle w:val="eop"/>
          <w:rFonts w:asciiTheme="majorBidi" w:eastAsiaTheme="majorEastAsia" w:hAnsiTheme="majorBidi" w:cstheme="majorBidi"/>
          <w:b/>
          <w:bCs/>
          <w:sz w:val="22"/>
          <w:szCs w:val="22"/>
        </w:rPr>
        <w:t> </w:t>
      </w:r>
    </w:p>
    <w:p w14:paraId="218C298F" w14:textId="77777777" w:rsidR="00702C53" w:rsidRPr="00702C53" w:rsidRDefault="00702C53" w:rsidP="00FA4A26">
      <w:pPr>
        <w:pStyle w:val="CBDNormalNumber"/>
        <w:numPr>
          <w:ilvl w:val="0"/>
          <w:numId w:val="219"/>
        </w:numPr>
        <w:tabs>
          <w:tab w:val="clear" w:pos="1701"/>
        </w:tabs>
        <w:ind w:left="567" w:firstLine="0"/>
      </w:pPr>
      <w:r w:rsidRPr="00702C53">
        <w:t>The indicator itself is not used in other MEAs or processes. However, data are compiled from existing MEAs and processes (see also 5e. Data sources).</w:t>
      </w:r>
    </w:p>
    <w:p w14:paraId="60BC5F2D" w14:textId="0E4E2549" w:rsidR="00756F0F" w:rsidRPr="00ED7E61" w:rsidRDefault="00756F0F" w:rsidP="00522790">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 xml:space="preserve">8. </w:t>
      </w:r>
      <w:r w:rsidR="00047A98" w:rsidRPr="00ED7E61">
        <w:rPr>
          <w:rStyle w:val="normaltextrun"/>
          <w:rFonts w:asciiTheme="majorBidi" w:eastAsiaTheme="majorEastAsia" w:hAnsiTheme="majorBidi" w:cstheme="majorBidi"/>
          <w:b/>
          <w:bCs/>
          <w:sz w:val="22"/>
          <w:szCs w:val="22"/>
          <w:lang w:val="en-GB"/>
        </w:rPr>
        <w:t xml:space="preserve">Possible </w:t>
      </w:r>
      <w:proofErr w:type="spellStart"/>
      <w:r w:rsidRPr="00ED7E61">
        <w:rPr>
          <w:rStyle w:val="normaltextrun"/>
          <w:rFonts w:asciiTheme="majorBidi" w:eastAsiaTheme="majorEastAsia" w:hAnsiTheme="majorBidi" w:cstheme="majorBidi"/>
          <w:b/>
          <w:bCs/>
          <w:sz w:val="22"/>
          <w:szCs w:val="22"/>
          <w:lang w:val="en-GB"/>
        </w:rPr>
        <w:t>Disaggregation</w:t>
      </w:r>
      <w:r w:rsidR="00047A98" w:rsidRPr="00ED7E61">
        <w:rPr>
          <w:rStyle w:val="normaltextrun"/>
          <w:rFonts w:asciiTheme="majorBidi" w:eastAsiaTheme="majorEastAsia" w:hAnsiTheme="majorBidi" w:cstheme="majorBidi"/>
          <w:b/>
          <w:bCs/>
          <w:sz w:val="22"/>
          <w:szCs w:val="22"/>
          <w:lang w:val="en-GB"/>
        </w:rPr>
        <w:t>s</w:t>
      </w:r>
      <w:proofErr w:type="spellEnd"/>
      <w:r w:rsidRPr="00ED7E61">
        <w:rPr>
          <w:rStyle w:val="eop"/>
          <w:rFonts w:asciiTheme="majorBidi" w:eastAsiaTheme="majorEastAsia" w:hAnsiTheme="majorBidi" w:cstheme="majorBidi"/>
          <w:b/>
          <w:bCs/>
          <w:sz w:val="22"/>
          <w:szCs w:val="22"/>
        </w:rPr>
        <w:t> </w:t>
      </w:r>
    </w:p>
    <w:p w14:paraId="6AEE30CA" w14:textId="77777777" w:rsidR="00DD6243" w:rsidRPr="00DD6243" w:rsidRDefault="00DD6243" w:rsidP="00DD6243">
      <w:pPr>
        <w:pStyle w:val="CBDNormalNumber"/>
        <w:numPr>
          <w:ilvl w:val="0"/>
          <w:numId w:val="219"/>
        </w:numPr>
        <w:tabs>
          <w:tab w:val="clear" w:pos="1701"/>
        </w:tabs>
        <w:ind w:left="567" w:firstLine="0"/>
        <w:rPr>
          <w:rFonts w:asciiTheme="majorBidi" w:eastAsiaTheme="majorEastAsia" w:hAnsiTheme="majorBidi" w:cstheme="majorBidi"/>
          <w:color w:val="000000"/>
          <w:lang w:val="en-US"/>
        </w:rPr>
      </w:pPr>
      <w:r w:rsidRPr="00DD6243">
        <w:t xml:space="preserve">According to CBD/COP/Dec/16/31, optional </w:t>
      </w:r>
      <w:proofErr w:type="spellStart"/>
      <w:r w:rsidRPr="00DD6243">
        <w:t>disaggregations</w:t>
      </w:r>
      <w:proofErr w:type="spellEnd"/>
      <w:r w:rsidRPr="00DD6243">
        <w:t xml:space="preserve"> of the indicator include:</w:t>
      </w:r>
    </w:p>
    <w:p w14:paraId="7C61E073" w14:textId="77777777" w:rsidR="00F8532D" w:rsidRDefault="00DD6243" w:rsidP="00F8532D">
      <w:pPr>
        <w:pStyle w:val="CBDNormalNumber"/>
        <w:numPr>
          <w:ilvl w:val="1"/>
          <w:numId w:val="219"/>
        </w:numPr>
        <w:tabs>
          <w:tab w:val="clear" w:pos="1134"/>
          <w:tab w:val="clear" w:pos="2268"/>
          <w:tab w:val="clear" w:pos="2835"/>
          <w:tab w:val="clear" w:pos="3402"/>
          <w:tab w:val="clear" w:pos="3969"/>
        </w:tabs>
        <w:ind w:left="1134" w:firstLine="0"/>
        <w:rPr>
          <w:rFonts w:asciiTheme="majorBidi" w:eastAsiaTheme="majorEastAsia" w:hAnsiTheme="majorBidi" w:cstheme="majorBidi"/>
          <w:color w:val="000000"/>
          <w:lang w:val="en-US"/>
        </w:rPr>
      </w:pPr>
      <w:r w:rsidRPr="00DD6243">
        <w:rPr>
          <w:rFonts w:asciiTheme="majorBidi" w:eastAsiaTheme="majorEastAsia" w:hAnsiTheme="majorBidi" w:cstheme="majorBidi"/>
          <w:color w:val="000000"/>
          <w:lang w:val="en-US"/>
        </w:rPr>
        <w:t>By biome or ecosystem functional group (IUCN GET levels 2 and 3 or equivalent)</w:t>
      </w:r>
    </w:p>
    <w:p w14:paraId="47CBAFD9" w14:textId="77777777" w:rsidR="00F8532D" w:rsidRDefault="00DD6243" w:rsidP="00F8532D">
      <w:pPr>
        <w:pStyle w:val="CBDNormalNumber"/>
        <w:numPr>
          <w:ilvl w:val="1"/>
          <w:numId w:val="219"/>
        </w:numPr>
        <w:tabs>
          <w:tab w:val="clear" w:pos="1134"/>
          <w:tab w:val="clear" w:pos="2268"/>
          <w:tab w:val="clear" w:pos="2835"/>
          <w:tab w:val="clear" w:pos="3402"/>
          <w:tab w:val="clear" w:pos="3969"/>
        </w:tabs>
        <w:ind w:left="1134" w:firstLine="0"/>
        <w:rPr>
          <w:rFonts w:asciiTheme="majorBidi" w:eastAsiaTheme="majorEastAsia" w:hAnsiTheme="majorBidi" w:cstheme="majorBidi"/>
          <w:color w:val="000000"/>
          <w:lang w:val="en-US"/>
        </w:rPr>
      </w:pPr>
      <w:r w:rsidRPr="00F8532D">
        <w:rPr>
          <w:rFonts w:asciiTheme="majorBidi" w:eastAsiaTheme="majorEastAsia" w:hAnsiTheme="majorBidi" w:cstheme="majorBidi"/>
          <w:color w:val="000000"/>
          <w:lang w:val="en-US"/>
        </w:rPr>
        <w:t>By Indigenous and traditional territories</w:t>
      </w:r>
    </w:p>
    <w:p w14:paraId="2E074B5B" w14:textId="77777777" w:rsidR="00F8532D" w:rsidRDefault="00DD6243" w:rsidP="00F8532D">
      <w:pPr>
        <w:pStyle w:val="CBDNormalNumber"/>
        <w:numPr>
          <w:ilvl w:val="1"/>
          <w:numId w:val="219"/>
        </w:numPr>
        <w:tabs>
          <w:tab w:val="clear" w:pos="1134"/>
          <w:tab w:val="clear" w:pos="2268"/>
          <w:tab w:val="clear" w:pos="2835"/>
          <w:tab w:val="clear" w:pos="3402"/>
          <w:tab w:val="clear" w:pos="3969"/>
        </w:tabs>
        <w:ind w:left="1134" w:firstLine="0"/>
        <w:rPr>
          <w:rFonts w:asciiTheme="majorBidi" w:eastAsiaTheme="majorEastAsia" w:hAnsiTheme="majorBidi" w:cstheme="majorBidi"/>
          <w:color w:val="000000"/>
          <w:lang w:val="en-US"/>
        </w:rPr>
      </w:pPr>
      <w:r w:rsidRPr="00F8532D">
        <w:rPr>
          <w:rFonts w:asciiTheme="majorBidi" w:eastAsiaTheme="majorEastAsia" w:hAnsiTheme="majorBidi" w:cstheme="majorBidi"/>
          <w:color w:val="000000"/>
          <w:lang w:val="en-US"/>
        </w:rPr>
        <w:t xml:space="preserve">By protected areas or other effective area-based conservation measures </w:t>
      </w:r>
    </w:p>
    <w:p w14:paraId="17B6E6B6" w14:textId="1A2C3C05" w:rsidR="00DD6243" w:rsidRPr="00F8532D" w:rsidRDefault="00DD6243" w:rsidP="00F8532D">
      <w:pPr>
        <w:pStyle w:val="CBDNormalNumber"/>
        <w:numPr>
          <w:ilvl w:val="1"/>
          <w:numId w:val="219"/>
        </w:numPr>
        <w:tabs>
          <w:tab w:val="clear" w:pos="1134"/>
          <w:tab w:val="clear" w:pos="2268"/>
          <w:tab w:val="clear" w:pos="2835"/>
          <w:tab w:val="clear" w:pos="3402"/>
          <w:tab w:val="clear" w:pos="3969"/>
        </w:tabs>
        <w:ind w:left="1134" w:firstLine="0"/>
        <w:rPr>
          <w:rFonts w:asciiTheme="majorBidi" w:eastAsiaTheme="majorEastAsia" w:hAnsiTheme="majorBidi" w:cstheme="majorBidi"/>
          <w:color w:val="000000"/>
          <w:lang w:val="en-US"/>
        </w:rPr>
      </w:pPr>
      <w:r w:rsidRPr="00F8532D">
        <w:rPr>
          <w:rFonts w:asciiTheme="majorBidi" w:eastAsiaTheme="majorEastAsia" w:hAnsiTheme="majorBidi" w:cstheme="majorBidi"/>
          <w:color w:val="000000"/>
          <w:lang w:val="en-US"/>
        </w:rPr>
        <w:t>By type of restoration activity</w:t>
      </w:r>
    </w:p>
    <w:p w14:paraId="6619C12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b/>
          <w:bCs/>
          <w:sz w:val="22"/>
          <w:szCs w:val="22"/>
        </w:rPr>
        <w:t> </w:t>
      </w:r>
    </w:p>
    <w:p w14:paraId="39480A8B" w14:textId="77777777" w:rsidR="007963D4" w:rsidRPr="007963D4" w:rsidRDefault="007963D4" w:rsidP="007963D4">
      <w:pPr>
        <w:pStyle w:val="CBDNormalNumber"/>
        <w:numPr>
          <w:ilvl w:val="0"/>
          <w:numId w:val="219"/>
        </w:numPr>
        <w:tabs>
          <w:tab w:val="clear" w:pos="1701"/>
        </w:tabs>
        <w:ind w:left="567" w:firstLine="0"/>
      </w:pPr>
      <w:r w:rsidRPr="007963D4">
        <w:t>Target 2 is related to various goals and targets, including Goal A (ecological restoration and restoring converted ecosystems), Goal B (Restoration of ecosystem functions and services), Target 1 (spatial planning) and Target 3 (implementing protected areas).  </w:t>
      </w:r>
    </w:p>
    <w:p w14:paraId="6F592E6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b/>
          <w:bCs/>
          <w:sz w:val="22"/>
          <w:szCs w:val="22"/>
        </w:rPr>
        <w:t> </w:t>
      </w:r>
    </w:p>
    <w:p w14:paraId="4B5592B0" w14:textId="0AE77148" w:rsidR="00756F0F" w:rsidRPr="00ED7E61" w:rsidRDefault="00756F0F" w:rsidP="00522790">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10a. Organi</w:t>
      </w:r>
      <w:r w:rsidR="00522790">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b/>
          <w:bCs/>
          <w:sz w:val="22"/>
          <w:szCs w:val="22"/>
        </w:rPr>
        <w:t> </w:t>
      </w:r>
    </w:p>
    <w:p w14:paraId="2CE93431" w14:textId="77777777" w:rsidR="00756F0F" w:rsidRPr="00ED7E61" w:rsidRDefault="00756F0F" w:rsidP="00522790">
      <w:pPr>
        <w:pStyle w:val="CBDNormalNumber"/>
        <w:ind w:left="567"/>
        <w:rPr>
          <w:rStyle w:val="normaltextrun"/>
          <w:rFonts w:eastAsiaTheme="majorEastAsia"/>
          <w:color w:val="000000"/>
          <w:sz w:val="24"/>
          <w:szCs w:val="24"/>
          <w:lang w:val="en-CA"/>
        </w:rPr>
      </w:pPr>
      <w:r w:rsidRPr="00ED7E61">
        <w:rPr>
          <w:rStyle w:val="normaltextrun"/>
          <w:rFonts w:asciiTheme="majorBidi" w:eastAsiaTheme="majorEastAsia" w:hAnsiTheme="majorBidi" w:cstheme="majorBidi"/>
          <w:color w:val="000000"/>
        </w:rPr>
        <w:t>Food and Agriculture Organization (FAO)</w:t>
      </w:r>
      <w:r w:rsidRPr="00ED7E61">
        <w:rPr>
          <w:rStyle w:val="normaltextrun"/>
          <w:color w:val="000000"/>
        </w:rPr>
        <w:t> </w:t>
      </w:r>
    </w:p>
    <w:p w14:paraId="098415D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b/>
          <w:bCs/>
          <w:sz w:val="22"/>
          <w:szCs w:val="22"/>
        </w:rPr>
        <w:t> </w:t>
      </w:r>
    </w:p>
    <w:p w14:paraId="2B47A5DD" w14:textId="77777777" w:rsidR="00756F0F" w:rsidRPr="00ED7E61" w:rsidRDefault="00756F0F" w:rsidP="00522790">
      <w:pPr>
        <w:pStyle w:val="CBDNormalNumber"/>
        <w:ind w:left="567"/>
        <w:rPr>
          <w:rFonts w:asciiTheme="majorBidi" w:hAnsiTheme="majorBidi" w:cstheme="majorBidi"/>
        </w:rPr>
      </w:pPr>
      <w:r w:rsidRPr="00ED7E61">
        <w:rPr>
          <w:rStyle w:val="normaltextrun"/>
          <w:rFonts w:asciiTheme="majorBidi" w:eastAsiaTheme="majorEastAsia" w:hAnsiTheme="majorBidi" w:cstheme="majorBidi"/>
          <w:color w:val="000000"/>
        </w:rPr>
        <w:t>Julian</w:t>
      </w:r>
      <w:r w:rsidRPr="00ED7E61">
        <w:rPr>
          <w:rStyle w:val="normaltextrun"/>
          <w:rFonts w:asciiTheme="majorBidi" w:eastAsiaTheme="majorEastAsia" w:hAnsiTheme="majorBidi" w:cstheme="majorBidi"/>
        </w:rPr>
        <w:t xml:space="preserve"> Fox (</w:t>
      </w:r>
      <w:hyperlink r:id="rId262" w:tgtFrame="_blank" w:history="1">
        <w:r w:rsidRPr="00ED7E61">
          <w:rPr>
            <w:rStyle w:val="normaltextrun"/>
            <w:rFonts w:asciiTheme="majorBidi" w:eastAsiaTheme="majorEastAsia" w:hAnsiTheme="majorBidi" w:cstheme="majorBidi"/>
            <w:color w:val="467886"/>
            <w:u w:val="single"/>
          </w:rPr>
          <w:t>Julian.Fox@fao.org</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76B2DC4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11. References</w:t>
      </w:r>
      <w:r w:rsidRPr="00ED7E61">
        <w:rPr>
          <w:rStyle w:val="eop"/>
          <w:rFonts w:asciiTheme="majorBidi" w:eastAsiaTheme="majorEastAsia" w:hAnsiTheme="majorBidi" w:cstheme="majorBidi"/>
          <w:b/>
          <w:bCs/>
          <w:sz w:val="22"/>
          <w:szCs w:val="22"/>
        </w:rPr>
        <w:t> </w:t>
      </w:r>
    </w:p>
    <w:p w14:paraId="676C1A50" w14:textId="77777777" w:rsidR="00F75B03" w:rsidRPr="00F75B03" w:rsidRDefault="00F75B03" w:rsidP="00F75B03">
      <w:pPr>
        <w:pStyle w:val="CBDNormalNumber"/>
        <w:ind w:left="567"/>
        <w:rPr>
          <w:rFonts w:asciiTheme="majorBidi" w:eastAsiaTheme="majorEastAsia" w:hAnsiTheme="majorBidi" w:cstheme="majorBidi"/>
          <w:color w:val="000000"/>
        </w:rPr>
      </w:pPr>
      <w:r w:rsidRPr="00F75B03">
        <w:rPr>
          <w:rFonts w:asciiTheme="majorBidi" w:eastAsiaTheme="majorEastAsia" w:hAnsiTheme="majorBidi" w:cstheme="majorBidi"/>
          <w:color w:val="000000"/>
        </w:rPr>
        <w:t>FAO. (2020). Position paper on “ecosystem restoration” of production ecosystems, in the context of the UN Decade of Ecosystem Restoration 2021-2030. Rome. COFI/2020/Inf.15.2.</w:t>
      </w:r>
    </w:p>
    <w:p w14:paraId="393A56FE" w14:textId="77777777" w:rsidR="00F75B03" w:rsidRPr="00F75B03" w:rsidRDefault="00F75B03" w:rsidP="00F75B03">
      <w:pPr>
        <w:pStyle w:val="CBDNormalNumber"/>
        <w:ind w:left="567"/>
        <w:rPr>
          <w:rFonts w:asciiTheme="majorBidi" w:eastAsiaTheme="majorEastAsia" w:hAnsiTheme="majorBidi" w:cstheme="majorBidi"/>
          <w:color w:val="000000"/>
        </w:rPr>
      </w:pPr>
      <w:r w:rsidRPr="00F75B03">
        <w:rPr>
          <w:rFonts w:asciiTheme="majorBidi" w:eastAsiaTheme="majorEastAsia" w:hAnsiTheme="majorBidi" w:cstheme="majorBidi"/>
          <w:color w:val="000000"/>
          <w:lang w:val="en-US"/>
        </w:rPr>
        <w:t xml:space="preserve">FAO. (2022). Voluntary Guidelines on the Responsible Governance of Tenure of Land, Fisheries and Forests in the Context of National Food Security. First revision. Rome. </w:t>
      </w:r>
      <w:hyperlink r:id="rId263" w:history="1">
        <w:r w:rsidRPr="00F75B03">
          <w:rPr>
            <w:rStyle w:val="Hyperlink"/>
            <w:rFonts w:asciiTheme="majorBidi" w:eastAsiaTheme="majorEastAsia" w:hAnsiTheme="majorBidi" w:cstheme="majorBidi"/>
            <w:lang w:val="en-US"/>
          </w:rPr>
          <w:t>https://doi.org/10.4060/i2801e</w:t>
        </w:r>
      </w:hyperlink>
      <w:hyperlink r:id="rId264" w:history="1">
        <w:r w:rsidRPr="00F75B03">
          <w:rPr>
            <w:rStyle w:val="Hyperlink"/>
            <w:rFonts w:asciiTheme="majorBidi" w:eastAsiaTheme="majorEastAsia" w:hAnsiTheme="majorBidi" w:cstheme="majorBidi"/>
          </w:rPr>
          <w:t>https://www.fao.org/forest-resources-assessment/en/</w:t>
        </w:r>
      </w:hyperlink>
      <w:r w:rsidRPr="00F75B03">
        <w:rPr>
          <w:rFonts w:asciiTheme="majorBidi" w:eastAsiaTheme="majorEastAsia" w:hAnsiTheme="majorBidi" w:cstheme="majorBidi"/>
          <w:color w:val="000000"/>
        </w:rPr>
        <w:t>.</w:t>
      </w:r>
    </w:p>
    <w:p w14:paraId="0E281648" w14:textId="77777777" w:rsidR="00F75B03" w:rsidRPr="00F75B03" w:rsidRDefault="00F75B03" w:rsidP="00F75B03">
      <w:pPr>
        <w:pStyle w:val="CBDNormalNumber"/>
        <w:ind w:left="567"/>
        <w:rPr>
          <w:rFonts w:asciiTheme="majorBidi" w:eastAsiaTheme="majorEastAsia" w:hAnsiTheme="majorBidi" w:cstheme="majorBidi"/>
          <w:color w:val="000000"/>
        </w:rPr>
      </w:pPr>
      <w:r w:rsidRPr="00F75B03">
        <w:rPr>
          <w:rFonts w:asciiTheme="majorBidi" w:eastAsiaTheme="majorEastAsia" w:hAnsiTheme="majorBidi" w:cstheme="majorBidi"/>
          <w:color w:val="000000"/>
          <w:lang w:val="en-US"/>
        </w:rPr>
        <w:lastRenderedPageBreak/>
        <w:t xml:space="preserve">FAO. (2023). Partnership supporting implementation and monitoring of ecosystem restoration: ROADMAP FOR THE GLOBAL BIODIVERSITY FRAMEWORK TARGET 2. </w:t>
      </w:r>
      <w:r w:rsidRPr="00F75B03">
        <w:rPr>
          <w:rFonts w:asciiTheme="majorBidi" w:eastAsiaTheme="majorEastAsia" w:hAnsiTheme="majorBidi" w:cstheme="majorBidi"/>
          <w:color w:val="000000"/>
        </w:rPr>
        <w:t xml:space="preserve">Rome. </w:t>
      </w:r>
      <w:hyperlink r:id="rId265" w:history="1">
        <w:r w:rsidRPr="00F75B03">
          <w:rPr>
            <w:rStyle w:val="Hyperlink"/>
            <w:rFonts w:asciiTheme="majorBidi" w:eastAsiaTheme="majorEastAsia" w:hAnsiTheme="majorBidi" w:cstheme="majorBidi"/>
          </w:rPr>
          <w:t>https://www.fao.org/3/cc6821en/cc6821en.pdf</w:t>
        </w:r>
      </w:hyperlink>
      <w:r w:rsidRPr="00F75B03">
        <w:rPr>
          <w:rFonts w:asciiTheme="majorBidi" w:eastAsiaTheme="majorEastAsia" w:hAnsiTheme="majorBidi" w:cstheme="majorBidi"/>
          <w:color w:val="000000"/>
        </w:rPr>
        <w:t>.</w:t>
      </w:r>
    </w:p>
    <w:p w14:paraId="32EB90FD" w14:textId="77777777" w:rsidR="00F75B03" w:rsidRPr="00F75B03" w:rsidRDefault="00F75B03" w:rsidP="00F75B03">
      <w:pPr>
        <w:pStyle w:val="CBDNormalNumber"/>
        <w:ind w:left="567"/>
        <w:rPr>
          <w:rFonts w:asciiTheme="majorBidi" w:eastAsiaTheme="majorEastAsia" w:hAnsiTheme="majorBidi" w:cstheme="majorBidi"/>
          <w:color w:val="000000"/>
        </w:rPr>
      </w:pPr>
      <w:r w:rsidRPr="00F75B03">
        <w:rPr>
          <w:rFonts w:asciiTheme="majorBidi" w:eastAsiaTheme="majorEastAsia" w:hAnsiTheme="majorBidi" w:cstheme="majorBidi"/>
          <w:color w:val="000000"/>
        </w:rPr>
        <w:t xml:space="preserve">FAO. (2025). Framework for Ecosystem Restoration Monitoring, FERM. </w:t>
      </w:r>
      <w:r w:rsidRPr="00F75B03">
        <w:rPr>
          <w:rFonts w:asciiTheme="majorBidi" w:eastAsiaTheme="majorEastAsia" w:hAnsiTheme="majorBidi" w:cstheme="majorBidi"/>
          <w:color w:val="000000"/>
          <w:lang w:val="en-CA"/>
        </w:rPr>
        <w:t xml:space="preserve">Rome. </w:t>
      </w:r>
      <w:hyperlink r:id="rId266" w:history="1">
        <w:r w:rsidRPr="00F75B03">
          <w:rPr>
            <w:rStyle w:val="Hyperlink"/>
            <w:rFonts w:asciiTheme="majorBidi" w:eastAsiaTheme="majorEastAsia" w:hAnsiTheme="majorBidi" w:cstheme="majorBidi"/>
            <w:lang w:val="en-CA"/>
          </w:rPr>
          <w:t>https://www.fao.org/3/cd6696en/cd6696en.pdf</w:t>
        </w:r>
      </w:hyperlink>
      <w:r w:rsidRPr="00F75B03">
        <w:rPr>
          <w:rFonts w:asciiTheme="majorBidi" w:eastAsiaTheme="majorEastAsia" w:hAnsiTheme="majorBidi" w:cstheme="majorBidi"/>
          <w:color w:val="000000"/>
        </w:rPr>
        <w:t>.</w:t>
      </w:r>
    </w:p>
    <w:p w14:paraId="122602AB" w14:textId="77777777" w:rsidR="00F75B03" w:rsidRPr="00F75B03" w:rsidRDefault="00F75B03" w:rsidP="00F75B03">
      <w:pPr>
        <w:pStyle w:val="CBDNormalNumber"/>
        <w:ind w:left="567"/>
        <w:rPr>
          <w:rFonts w:asciiTheme="majorBidi" w:eastAsiaTheme="majorEastAsia" w:hAnsiTheme="majorBidi" w:cstheme="majorBidi"/>
          <w:color w:val="000000"/>
          <w:lang w:val="it-IT"/>
        </w:rPr>
      </w:pPr>
      <w:r w:rsidRPr="00F75B03">
        <w:rPr>
          <w:rFonts w:asciiTheme="majorBidi" w:eastAsiaTheme="majorEastAsia" w:hAnsiTheme="majorBidi" w:cstheme="majorBidi"/>
          <w:color w:val="000000"/>
        </w:rPr>
        <w:t xml:space="preserve">FAO. (2025). Global Forest Resources Assessment. </w:t>
      </w:r>
      <w:r w:rsidRPr="00F75B03">
        <w:rPr>
          <w:rFonts w:asciiTheme="majorBidi" w:eastAsiaTheme="majorEastAsia" w:hAnsiTheme="majorBidi" w:cstheme="majorBidi"/>
          <w:color w:val="000000"/>
          <w:lang w:val="it-IT"/>
        </w:rPr>
        <w:t xml:space="preserve">Rome. </w:t>
      </w:r>
      <w:hyperlink r:id="rId267" w:history="1">
        <w:r w:rsidRPr="00F75B03">
          <w:rPr>
            <w:rStyle w:val="Hyperlink"/>
            <w:rFonts w:asciiTheme="majorBidi" w:hAnsiTheme="majorBidi" w:cstheme="majorBidi"/>
            <w:lang w:val="it-IT"/>
          </w:rPr>
          <w:t>https://fra-data.fao.org/assessments/fra/2025</w:t>
        </w:r>
      </w:hyperlink>
      <w:r w:rsidRPr="00F75B03">
        <w:rPr>
          <w:rFonts w:asciiTheme="majorBidi" w:eastAsiaTheme="majorEastAsia" w:hAnsiTheme="majorBidi" w:cstheme="majorBidi"/>
          <w:color w:val="000000"/>
          <w:lang w:val="it-IT"/>
        </w:rPr>
        <w:t>.</w:t>
      </w:r>
    </w:p>
    <w:p w14:paraId="57411BE8"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lang w:val="en-CA"/>
        </w:rPr>
        <w:t xml:space="preserve">FAO, IUCN CEM &amp; SER. </w:t>
      </w:r>
      <w:r w:rsidRPr="00F75B03">
        <w:rPr>
          <w:rFonts w:asciiTheme="majorBidi" w:eastAsiaTheme="majorEastAsia" w:hAnsiTheme="majorBidi" w:cstheme="majorBidi"/>
          <w:color w:val="000000"/>
        </w:rPr>
        <w:t xml:space="preserve">(2021). Principles for ecosystem restoration to guide the United Nations Decade 2021–2030. Rome, FAO.  </w:t>
      </w:r>
    </w:p>
    <w:p w14:paraId="77D87F8D" w14:textId="77777777" w:rsidR="00F75B03" w:rsidRPr="00F75B03" w:rsidRDefault="00F75B03" w:rsidP="00F75B03">
      <w:pPr>
        <w:pStyle w:val="CBDNormalNumber"/>
        <w:ind w:left="567"/>
        <w:rPr>
          <w:rFonts w:asciiTheme="majorBidi" w:eastAsiaTheme="majorEastAsia" w:hAnsiTheme="majorBidi" w:cstheme="majorBidi"/>
          <w:color w:val="000000"/>
        </w:rPr>
      </w:pPr>
      <w:r w:rsidRPr="00F75B03">
        <w:rPr>
          <w:rFonts w:asciiTheme="majorBidi" w:eastAsiaTheme="majorEastAsia" w:hAnsiTheme="majorBidi" w:cstheme="majorBidi"/>
          <w:color w:val="000000"/>
        </w:rPr>
        <w:t xml:space="preserve">FAO, SCBD &amp; SER. (2024). Delivering restoration outcomes for biodiversity and human well-being – Resource guide to Target 2 of the Kunming-Montreal Global Biodiversity Framework. Rome, Montreal, Canada and Washington, DC. </w:t>
      </w:r>
      <w:hyperlink r:id="rId268" w:history="1">
        <w:r w:rsidRPr="00F75B03">
          <w:rPr>
            <w:rStyle w:val="Hyperlink"/>
            <w:rFonts w:asciiTheme="majorBidi" w:eastAsiaTheme="majorEastAsia" w:hAnsiTheme="majorBidi" w:cstheme="majorBidi"/>
          </w:rPr>
          <w:t>https://doi.org/10.4060/cd2925en</w:t>
        </w:r>
      </w:hyperlink>
      <w:r w:rsidRPr="00F75B03">
        <w:rPr>
          <w:rFonts w:asciiTheme="majorBidi" w:eastAsiaTheme="majorEastAsia" w:hAnsiTheme="majorBidi" w:cstheme="majorBidi"/>
          <w:color w:val="000000"/>
        </w:rPr>
        <w:t>.</w:t>
      </w:r>
    </w:p>
    <w:p w14:paraId="47A2301F"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rPr>
        <w:t>Gann, G.D., McDonald, T., Walder, B., Aronson, J., Nelson, C.R., Jonson J., ... &amp; Dixon, K.W. (2019). International principles and standards for the practice of ecological restoration. Restoration Ecology. 27 (S1): S1-S46., 27(S1), S1-S46. </w:t>
      </w:r>
    </w:p>
    <w:p w14:paraId="341CDE51"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rPr>
        <w:t xml:space="preserve">Gann, G.D., Walder B., Gladstone J., </w:t>
      </w:r>
      <w:proofErr w:type="spellStart"/>
      <w:r w:rsidRPr="00F75B03">
        <w:rPr>
          <w:rFonts w:asciiTheme="majorBidi" w:eastAsiaTheme="majorEastAsia" w:hAnsiTheme="majorBidi" w:cstheme="majorBidi"/>
          <w:color w:val="000000"/>
        </w:rPr>
        <w:t>Manirajah</w:t>
      </w:r>
      <w:proofErr w:type="spellEnd"/>
      <w:r w:rsidRPr="00F75B03">
        <w:rPr>
          <w:rFonts w:asciiTheme="majorBidi" w:eastAsiaTheme="majorEastAsia" w:hAnsiTheme="majorBidi" w:cstheme="majorBidi"/>
          <w:color w:val="000000"/>
        </w:rPr>
        <w:t xml:space="preserve"> S.M., Roe S. (2022). Restoration Project Information Sharing Framework. Society for Ecological Restoration and Climate Focus. Washington, D.C. </w:t>
      </w:r>
    </w:p>
    <w:p w14:paraId="5289A716" w14:textId="77777777" w:rsidR="00F75B03" w:rsidRPr="00F75B03" w:rsidRDefault="00F75B03" w:rsidP="00F75B03">
      <w:pPr>
        <w:pStyle w:val="CBDNormalNumber"/>
        <w:ind w:left="567"/>
        <w:rPr>
          <w:rFonts w:asciiTheme="majorBidi" w:eastAsiaTheme="majorEastAsia" w:hAnsiTheme="majorBidi" w:cstheme="majorBidi"/>
          <w:color w:val="000000"/>
        </w:rPr>
      </w:pPr>
      <w:r w:rsidRPr="00F53E05">
        <w:rPr>
          <w:rFonts w:asciiTheme="majorBidi" w:eastAsiaTheme="majorEastAsia" w:hAnsiTheme="majorBidi" w:cstheme="majorBidi"/>
          <w:color w:val="000000"/>
          <w:lang w:val="fr-FR"/>
        </w:rPr>
        <w:t xml:space="preserve">Gann, </w:t>
      </w:r>
      <w:proofErr w:type="spellStart"/>
      <w:proofErr w:type="gramStart"/>
      <w:r w:rsidRPr="00F53E05">
        <w:rPr>
          <w:rFonts w:asciiTheme="majorBidi" w:eastAsiaTheme="majorEastAsia" w:hAnsiTheme="majorBidi" w:cstheme="majorBidi"/>
          <w:color w:val="000000"/>
          <w:lang w:val="fr-FR"/>
        </w:rPr>
        <w:t>G.D.,et</w:t>
      </w:r>
      <w:proofErr w:type="spellEnd"/>
      <w:proofErr w:type="gramEnd"/>
      <w:r w:rsidRPr="00F53E05">
        <w:rPr>
          <w:rFonts w:asciiTheme="majorBidi" w:eastAsiaTheme="majorEastAsia" w:hAnsiTheme="majorBidi" w:cstheme="majorBidi"/>
          <w:color w:val="000000"/>
          <w:lang w:val="fr-FR"/>
        </w:rPr>
        <w:t xml:space="preserve"> al. </w:t>
      </w:r>
      <w:r w:rsidRPr="00F75B03">
        <w:rPr>
          <w:rFonts w:asciiTheme="majorBidi" w:eastAsiaTheme="majorEastAsia" w:hAnsiTheme="majorBidi" w:cstheme="majorBidi"/>
          <w:color w:val="000000"/>
        </w:rPr>
        <w:t>(2026). International principles and standards for the practice of ecological restoration. Third edition. [Manuscript submitted for publication].</w:t>
      </w:r>
    </w:p>
    <w:p w14:paraId="05DBD2C9"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rPr>
        <w:t xml:space="preserve">Gibbs, H.K., and J.M. Salmon. (2015). Mapping the world’s degraded lands. Appl. </w:t>
      </w:r>
      <w:proofErr w:type="spellStart"/>
      <w:r w:rsidRPr="00F75B03">
        <w:rPr>
          <w:rFonts w:asciiTheme="majorBidi" w:eastAsiaTheme="majorEastAsia" w:hAnsiTheme="majorBidi" w:cstheme="majorBidi"/>
          <w:color w:val="000000"/>
        </w:rPr>
        <w:t>Geogr</w:t>
      </w:r>
      <w:proofErr w:type="spellEnd"/>
      <w:r w:rsidRPr="00F75B03">
        <w:rPr>
          <w:rFonts w:asciiTheme="majorBidi" w:eastAsiaTheme="majorEastAsia" w:hAnsiTheme="majorBidi" w:cstheme="majorBidi"/>
          <w:color w:val="000000"/>
        </w:rPr>
        <w:t xml:space="preserve">., 57, 12–21, </w:t>
      </w:r>
      <w:proofErr w:type="gramStart"/>
      <w:r w:rsidRPr="00F75B03">
        <w:rPr>
          <w:rFonts w:asciiTheme="majorBidi" w:eastAsiaTheme="majorEastAsia" w:hAnsiTheme="majorBidi" w:cstheme="majorBidi"/>
          <w:color w:val="000000"/>
        </w:rPr>
        <w:t>doi:10.1016/J.APGEOG</w:t>
      </w:r>
      <w:proofErr w:type="gramEnd"/>
      <w:r w:rsidRPr="00F75B03">
        <w:rPr>
          <w:rFonts w:asciiTheme="majorBidi" w:eastAsiaTheme="majorEastAsia" w:hAnsiTheme="majorBidi" w:cstheme="majorBidi"/>
          <w:color w:val="000000"/>
        </w:rPr>
        <w:t xml:space="preserve">.2014.11.024. </w:t>
      </w:r>
    </w:p>
    <w:p w14:paraId="5D3209B0" w14:textId="77777777" w:rsidR="00F75B03" w:rsidRPr="00F75B03" w:rsidRDefault="00F75B03" w:rsidP="00F75B03">
      <w:pPr>
        <w:pStyle w:val="CBDNormalNumber"/>
        <w:ind w:left="567"/>
        <w:rPr>
          <w:rFonts w:asciiTheme="majorBidi" w:eastAsiaTheme="majorEastAsia" w:hAnsiTheme="majorBidi" w:cstheme="majorBidi"/>
          <w:color w:val="000000"/>
        </w:rPr>
      </w:pPr>
      <w:r w:rsidRPr="00F75B03">
        <w:rPr>
          <w:rFonts w:asciiTheme="majorBidi" w:eastAsiaTheme="majorEastAsia" w:hAnsiTheme="majorBidi" w:cstheme="majorBidi"/>
          <w:color w:val="000000"/>
        </w:rPr>
        <w:t xml:space="preserve">IFC. (2012). Performance Standard 6: Biodiversity Conservation and Sustainable Management of Living Natural Resources. Webpage: </w:t>
      </w:r>
      <w:hyperlink r:id="rId269" w:history="1">
        <w:r w:rsidRPr="00F75B03">
          <w:rPr>
            <w:rStyle w:val="Hyperlink"/>
            <w:rFonts w:asciiTheme="majorBidi" w:eastAsiaTheme="majorEastAsia" w:hAnsiTheme="majorBidi" w:cstheme="majorBidi"/>
          </w:rPr>
          <w:t>https://www.ifc.org/en/insights-reports/2012/ifc-performance-standard-6</w:t>
        </w:r>
      </w:hyperlink>
      <w:r w:rsidRPr="00F75B03">
        <w:rPr>
          <w:rFonts w:asciiTheme="majorBidi" w:eastAsiaTheme="majorEastAsia" w:hAnsiTheme="majorBidi" w:cstheme="majorBidi"/>
          <w:color w:val="000000"/>
        </w:rPr>
        <w:t xml:space="preserve"> [Retrieved August 15, 2019].</w:t>
      </w:r>
    </w:p>
    <w:p w14:paraId="63AA8644"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rPr>
        <w:t xml:space="preserve">IPBES. (2018). The IPBES assessment report on land degradation and restoration. </w:t>
      </w:r>
      <w:proofErr w:type="spellStart"/>
      <w:r w:rsidRPr="00F75B03">
        <w:rPr>
          <w:rFonts w:asciiTheme="majorBidi" w:eastAsiaTheme="majorEastAsia" w:hAnsiTheme="majorBidi" w:cstheme="majorBidi"/>
          <w:color w:val="000000"/>
        </w:rPr>
        <w:t>Montanarella</w:t>
      </w:r>
      <w:proofErr w:type="spellEnd"/>
      <w:r w:rsidRPr="00F75B03">
        <w:rPr>
          <w:rFonts w:asciiTheme="majorBidi" w:eastAsiaTheme="majorEastAsia" w:hAnsiTheme="majorBidi" w:cstheme="majorBidi"/>
          <w:color w:val="000000"/>
        </w:rPr>
        <w:t xml:space="preserve">, L., Scholes, R., and </w:t>
      </w:r>
      <w:proofErr w:type="spellStart"/>
      <w:r w:rsidRPr="00F75B03">
        <w:rPr>
          <w:rFonts w:asciiTheme="majorBidi" w:eastAsiaTheme="majorEastAsia" w:hAnsiTheme="majorBidi" w:cstheme="majorBidi"/>
          <w:color w:val="000000"/>
        </w:rPr>
        <w:t>Brainich</w:t>
      </w:r>
      <w:proofErr w:type="spellEnd"/>
      <w:r w:rsidRPr="00F75B03">
        <w:rPr>
          <w:rFonts w:asciiTheme="majorBidi" w:eastAsiaTheme="majorEastAsia" w:hAnsiTheme="majorBidi" w:cstheme="majorBidi"/>
          <w:color w:val="000000"/>
        </w:rPr>
        <w:t xml:space="preserve">, A. (eds.). Secretariat of the Intergovernmental Science-Policy Platform on Biodiversity and Ecosystem Services, Bonn, Germany. 744 pages. Keith, D.A., Ferrer-Paris, J.R., Nicholson, E., … &amp; Kingsford, R.T. (2022). A function-based typology for Earth’s ecosystems. </w:t>
      </w:r>
      <w:r w:rsidRPr="00F75B03">
        <w:rPr>
          <w:rFonts w:asciiTheme="majorBidi" w:eastAsiaTheme="majorEastAsia" w:hAnsiTheme="majorBidi" w:cstheme="majorBidi"/>
          <w:color w:val="000000"/>
          <w:lang w:val="de-DE"/>
        </w:rPr>
        <w:t xml:space="preserve">Nature 610, 513–518. </w:t>
      </w:r>
      <w:hyperlink r:id="rId270" w:history="1">
        <w:r w:rsidRPr="00F75B03">
          <w:rPr>
            <w:rStyle w:val="Hyperlink"/>
            <w:rFonts w:asciiTheme="majorBidi" w:eastAsiaTheme="majorEastAsia" w:hAnsiTheme="majorBidi" w:cstheme="majorBidi"/>
            <w:lang w:val="de-DE"/>
          </w:rPr>
          <w:t>https://doi.org/10.1038/s41586-022-05318-4</w:t>
        </w:r>
      </w:hyperlink>
      <w:r w:rsidRPr="00F75B03">
        <w:rPr>
          <w:rFonts w:asciiTheme="majorBidi" w:eastAsiaTheme="majorEastAsia" w:hAnsiTheme="majorBidi" w:cstheme="majorBidi"/>
          <w:color w:val="000000"/>
          <w:lang w:val="en-US"/>
        </w:rPr>
        <w:t>.</w:t>
      </w:r>
    </w:p>
    <w:p w14:paraId="1FEDDD09"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lang w:val="en-US"/>
        </w:rPr>
        <w:t xml:space="preserve">IPBES. (2019). Summary for Policymakers of the Global Assessment Report on Biodiversity and Ecosystem Services of the Intergovernmental Science-Policy Platform on Biodiversity and Ecosystem Services. S. Díaz, J. </w:t>
      </w:r>
      <w:proofErr w:type="spellStart"/>
      <w:r w:rsidRPr="00F75B03">
        <w:rPr>
          <w:rFonts w:asciiTheme="majorBidi" w:eastAsiaTheme="majorEastAsia" w:hAnsiTheme="majorBidi" w:cstheme="majorBidi"/>
          <w:color w:val="000000"/>
          <w:lang w:val="en-US"/>
        </w:rPr>
        <w:t>Settele</w:t>
      </w:r>
      <w:proofErr w:type="spellEnd"/>
      <w:r w:rsidRPr="00F75B03">
        <w:rPr>
          <w:rFonts w:asciiTheme="majorBidi" w:eastAsiaTheme="majorEastAsia" w:hAnsiTheme="majorBidi" w:cstheme="majorBidi"/>
          <w:color w:val="000000"/>
          <w:lang w:val="en-US"/>
        </w:rPr>
        <w:t xml:space="preserve">, E. S. </w:t>
      </w:r>
      <w:proofErr w:type="spellStart"/>
      <w:r w:rsidRPr="00F75B03">
        <w:rPr>
          <w:rFonts w:asciiTheme="majorBidi" w:eastAsiaTheme="majorEastAsia" w:hAnsiTheme="majorBidi" w:cstheme="majorBidi"/>
          <w:color w:val="000000"/>
          <w:lang w:val="en-US"/>
        </w:rPr>
        <w:t>Brondízio</w:t>
      </w:r>
      <w:proofErr w:type="spellEnd"/>
      <w:r w:rsidRPr="00F75B03">
        <w:rPr>
          <w:rFonts w:asciiTheme="majorBidi" w:eastAsiaTheme="majorEastAsia" w:hAnsiTheme="majorBidi" w:cstheme="majorBidi"/>
          <w:color w:val="000000"/>
          <w:lang w:val="en-US"/>
        </w:rPr>
        <w:t xml:space="preserve"> E.S., H. T. Ngo, M. </w:t>
      </w:r>
      <w:proofErr w:type="spellStart"/>
      <w:r w:rsidRPr="00F75B03">
        <w:rPr>
          <w:rFonts w:asciiTheme="majorBidi" w:eastAsiaTheme="majorEastAsia" w:hAnsiTheme="majorBidi" w:cstheme="majorBidi"/>
          <w:color w:val="000000"/>
          <w:lang w:val="en-US"/>
        </w:rPr>
        <w:t>Guèze</w:t>
      </w:r>
      <w:proofErr w:type="spellEnd"/>
      <w:r w:rsidRPr="00F75B03">
        <w:rPr>
          <w:rFonts w:asciiTheme="majorBidi" w:eastAsiaTheme="majorEastAsia" w:hAnsiTheme="majorBidi" w:cstheme="majorBidi"/>
          <w:color w:val="000000"/>
          <w:lang w:val="en-US"/>
        </w:rPr>
        <w:t xml:space="preserve">, J. Agard, A. Arneth, P. Balvanera, K.A. Brauman, S. H. M. Butchart, K. M. A. Chan, L. A. Garibaldi, K. Ichii, J. Liu, S.M. Subramanian, G. F. Midgley, P. </w:t>
      </w:r>
      <w:proofErr w:type="spellStart"/>
      <w:r w:rsidRPr="00F75B03">
        <w:rPr>
          <w:rFonts w:asciiTheme="majorBidi" w:eastAsiaTheme="majorEastAsia" w:hAnsiTheme="majorBidi" w:cstheme="majorBidi"/>
          <w:color w:val="000000"/>
          <w:lang w:val="en-US"/>
        </w:rPr>
        <w:t>Miloslavich</w:t>
      </w:r>
      <w:proofErr w:type="spellEnd"/>
      <w:r w:rsidRPr="00F75B03">
        <w:rPr>
          <w:rFonts w:asciiTheme="majorBidi" w:eastAsiaTheme="majorEastAsia" w:hAnsiTheme="majorBidi" w:cstheme="majorBidi"/>
          <w:color w:val="000000"/>
          <w:lang w:val="en-US"/>
        </w:rPr>
        <w:t xml:space="preserve">, Z. Molnár, D. Obura, A. Pfaff, S. Polasky, A. Purvis, J. Razzaque, B. Reyers, R. Roy Chowdhury, Y. J. Shin, I. J. </w:t>
      </w:r>
      <w:proofErr w:type="spellStart"/>
      <w:r w:rsidRPr="00F75B03">
        <w:rPr>
          <w:rFonts w:asciiTheme="majorBidi" w:eastAsiaTheme="majorEastAsia" w:hAnsiTheme="majorBidi" w:cstheme="majorBidi"/>
          <w:color w:val="000000"/>
          <w:lang w:val="en-US"/>
        </w:rPr>
        <w:t>Visseren-Hamakers</w:t>
      </w:r>
      <w:proofErr w:type="spellEnd"/>
      <w:r w:rsidRPr="00F75B03">
        <w:rPr>
          <w:rFonts w:asciiTheme="majorBidi" w:eastAsiaTheme="majorEastAsia" w:hAnsiTheme="majorBidi" w:cstheme="majorBidi"/>
          <w:color w:val="000000"/>
          <w:lang w:val="en-US"/>
        </w:rPr>
        <w:t xml:space="preserve">, K. J. Willis and C. N. Zayas (eds.). Bonn: IPBES. </w:t>
      </w:r>
      <w:hyperlink r:id="rId271" w:history="1">
        <w:r w:rsidRPr="00F75B03">
          <w:rPr>
            <w:rStyle w:val="Hyperlink"/>
            <w:rFonts w:asciiTheme="majorBidi" w:eastAsiaTheme="majorEastAsia" w:hAnsiTheme="majorBidi" w:cstheme="majorBidi"/>
            <w:lang w:val="en-US"/>
          </w:rPr>
          <w:t>https://doi.org/10.5281/zenodo.3553579</w:t>
        </w:r>
      </w:hyperlink>
      <w:r w:rsidRPr="00F75B03">
        <w:rPr>
          <w:rFonts w:asciiTheme="majorBidi" w:eastAsiaTheme="majorEastAsia" w:hAnsiTheme="majorBidi" w:cstheme="majorBidi"/>
          <w:color w:val="000000"/>
          <w:lang w:val="en-US"/>
        </w:rPr>
        <w:t>.</w:t>
      </w:r>
    </w:p>
    <w:p w14:paraId="03455F31"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lang w:val="en-US"/>
        </w:rPr>
        <w:t>IUCN (2025). Standards, methods and guidelines for cross-referencing ecosystem classifications and maps to the IUCN Global Ecosystem Typology. Version 1.0. Keith, D. A., Dayaram, A., Driver, A., Ferrer-Paris, J. R., Francis, R., Hay, S., Murray, N. J., Nicholson, E., Santos, J., Skowno, A. L. &amp; Tozer, M. G. (Eds.). IUCN.</w:t>
      </w:r>
    </w:p>
    <w:p w14:paraId="176181C4"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rPr>
        <w:t xml:space="preserve">Keith, D.A., Ferrer-Paris, J.R., Nicholson, E., … &amp; Kingsford, R.T. (2022). A function-based typology for Earth’s ecosystems. </w:t>
      </w:r>
      <w:r w:rsidRPr="00F75B03">
        <w:rPr>
          <w:rFonts w:asciiTheme="majorBidi" w:eastAsiaTheme="majorEastAsia" w:hAnsiTheme="majorBidi" w:cstheme="majorBidi"/>
          <w:color w:val="000000"/>
          <w:lang w:val="de-DE"/>
        </w:rPr>
        <w:t xml:space="preserve">Nature 610, 513–518. </w:t>
      </w:r>
      <w:hyperlink r:id="rId272" w:history="1">
        <w:r w:rsidRPr="00F75B03">
          <w:rPr>
            <w:rStyle w:val="Hyperlink"/>
            <w:rFonts w:asciiTheme="majorBidi" w:eastAsiaTheme="majorEastAsia" w:hAnsiTheme="majorBidi" w:cstheme="majorBidi"/>
            <w:lang w:val="de-DE"/>
          </w:rPr>
          <w:t>https://doi.org/10.1038/s41586-022-05318-4</w:t>
        </w:r>
      </w:hyperlink>
      <w:r w:rsidRPr="00F75B03">
        <w:rPr>
          <w:rFonts w:asciiTheme="majorBidi" w:eastAsiaTheme="majorEastAsia" w:hAnsiTheme="majorBidi" w:cstheme="majorBidi"/>
          <w:color w:val="000000"/>
          <w:lang w:val="en-US"/>
        </w:rPr>
        <w:t>.</w:t>
      </w:r>
    </w:p>
    <w:p w14:paraId="12BC0111"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lang w:val="en-US"/>
        </w:rPr>
        <w:t xml:space="preserve">Nelson, C.R., Hallett, J.G., Romero Montoya, A.E., Andrade, A., </w:t>
      </w:r>
      <w:proofErr w:type="spellStart"/>
      <w:r w:rsidRPr="00F75B03">
        <w:rPr>
          <w:rFonts w:asciiTheme="majorBidi" w:eastAsiaTheme="majorEastAsia" w:hAnsiTheme="majorBidi" w:cstheme="majorBidi"/>
          <w:color w:val="000000"/>
          <w:lang w:val="en-US"/>
        </w:rPr>
        <w:t>Besacier</w:t>
      </w:r>
      <w:proofErr w:type="spellEnd"/>
      <w:r w:rsidRPr="00F75B03">
        <w:rPr>
          <w:rFonts w:asciiTheme="majorBidi" w:eastAsiaTheme="majorEastAsia" w:hAnsiTheme="majorBidi" w:cstheme="majorBidi"/>
          <w:color w:val="000000"/>
          <w:lang w:val="en-US"/>
        </w:rPr>
        <w:t>, C., Boerger, V., Bouazza, K., Chazdon, R., Cohen-</w:t>
      </w:r>
      <w:proofErr w:type="spellStart"/>
      <w:r w:rsidRPr="00F75B03">
        <w:rPr>
          <w:rFonts w:asciiTheme="majorBidi" w:eastAsiaTheme="majorEastAsia" w:hAnsiTheme="majorBidi" w:cstheme="majorBidi"/>
          <w:color w:val="000000"/>
          <w:lang w:val="en-US"/>
        </w:rPr>
        <w:t>Shacham</w:t>
      </w:r>
      <w:proofErr w:type="spellEnd"/>
      <w:r w:rsidRPr="00F75B03">
        <w:rPr>
          <w:rFonts w:asciiTheme="majorBidi" w:eastAsiaTheme="majorEastAsia" w:hAnsiTheme="majorBidi" w:cstheme="majorBidi"/>
          <w:color w:val="000000"/>
          <w:lang w:val="en-US"/>
        </w:rPr>
        <w:t xml:space="preserve">, E., </w:t>
      </w:r>
      <w:proofErr w:type="spellStart"/>
      <w:r w:rsidRPr="00F75B03">
        <w:rPr>
          <w:rFonts w:asciiTheme="majorBidi" w:eastAsiaTheme="majorEastAsia" w:hAnsiTheme="majorBidi" w:cstheme="majorBidi"/>
          <w:color w:val="000000"/>
          <w:lang w:val="en-US"/>
        </w:rPr>
        <w:t>Danano</w:t>
      </w:r>
      <w:proofErr w:type="spellEnd"/>
      <w:r w:rsidRPr="00F75B03">
        <w:rPr>
          <w:rFonts w:asciiTheme="majorBidi" w:eastAsiaTheme="majorEastAsia" w:hAnsiTheme="majorBidi" w:cstheme="majorBidi"/>
          <w:color w:val="000000"/>
          <w:lang w:val="en-US"/>
        </w:rPr>
        <w:t xml:space="preserve">, D., Diederichsen, A., Fernandez, Y., Gann, G.D., Gonzales, E.K., </w:t>
      </w:r>
      <w:proofErr w:type="spellStart"/>
      <w:r w:rsidRPr="00F75B03">
        <w:rPr>
          <w:rFonts w:asciiTheme="majorBidi" w:eastAsiaTheme="majorEastAsia" w:hAnsiTheme="majorBidi" w:cstheme="majorBidi"/>
          <w:color w:val="000000"/>
          <w:lang w:val="en-US"/>
        </w:rPr>
        <w:t>Gruca,M</w:t>
      </w:r>
      <w:proofErr w:type="spellEnd"/>
      <w:r w:rsidRPr="00F75B03">
        <w:rPr>
          <w:rFonts w:asciiTheme="majorBidi" w:eastAsiaTheme="majorEastAsia" w:hAnsiTheme="majorBidi" w:cstheme="majorBidi"/>
          <w:color w:val="000000"/>
          <w:lang w:val="en-US"/>
        </w:rPr>
        <w:t xml:space="preserve">., </w:t>
      </w:r>
      <w:proofErr w:type="spellStart"/>
      <w:r w:rsidRPr="00F75B03">
        <w:rPr>
          <w:rFonts w:asciiTheme="majorBidi" w:eastAsiaTheme="majorEastAsia" w:hAnsiTheme="majorBidi" w:cstheme="majorBidi"/>
          <w:color w:val="000000"/>
          <w:lang w:val="en-US"/>
        </w:rPr>
        <w:t>Guariguata</w:t>
      </w:r>
      <w:proofErr w:type="spellEnd"/>
      <w:r w:rsidRPr="00F75B03">
        <w:rPr>
          <w:rFonts w:asciiTheme="majorBidi" w:eastAsiaTheme="majorEastAsia" w:hAnsiTheme="majorBidi" w:cstheme="majorBidi"/>
          <w:color w:val="000000"/>
          <w:lang w:val="en-US"/>
        </w:rPr>
        <w:t xml:space="preserve">, M.R., Gutierrez, V., Hancock, B., </w:t>
      </w:r>
      <w:proofErr w:type="spellStart"/>
      <w:r w:rsidRPr="00F75B03">
        <w:rPr>
          <w:rFonts w:asciiTheme="majorBidi" w:eastAsiaTheme="majorEastAsia" w:hAnsiTheme="majorBidi" w:cstheme="majorBidi"/>
          <w:color w:val="000000"/>
          <w:lang w:val="en-US"/>
        </w:rPr>
        <w:t>Innecken</w:t>
      </w:r>
      <w:proofErr w:type="spellEnd"/>
      <w:r w:rsidRPr="00F75B03">
        <w:rPr>
          <w:rFonts w:asciiTheme="majorBidi" w:eastAsiaTheme="majorEastAsia" w:hAnsiTheme="majorBidi" w:cstheme="majorBidi"/>
          <w:color w:val="000000"/>
          <w:lang w:val="en-US"/>
        </w:rPr>
        <w:t xml:space="preserve">, P., Katz, S.M., McCormick, R., Moraes, L.F.D., Murcia, C., </w:t>
      </w:r>
      <w:proofErr w:type="spellStart"/>
      <w:r w:rsidRPr="00F75B03">
        <w:rPr>
          <w:rFonts w:asciiTheme="majorBidi" w:eastAsiaTheme="majorEastAsia" w:hAnsiTheme="majorBidi" w:cstheme="majorBidi"/>
          <w:color w:val="000000"/>
          <w:lang w:val="en-US"/>
        </w:rPr>
        <w:t>Nagabhatla</w:t>
      </w:r>
      <w:proofErr w:type="spellEnd"/>
      <w:r w:rsidRPr="00F75B03">
        <w:rPr>
          <w:rFonts w:asciiTheme="majorBidi" w:eastAsiaTheme="majorEastAsia" w:hAnsiTheme="majorBidi" w:cstheme="majorBidi"/>
          <w:color w:val="000000"/>
          <w:lang w:val="en-US"/>
        </w:rPr>
        <w:t xml:space="preserve">, N., </w:t>
      </w:r>
      <w:proofErr w:type="spellStart"/>
      <w:r w:rsidRPr="00F75B03">
        <w:rPr>
          <w:rFonts w:asciiTheme="majorBidi" w:eastAsiaTheme="majorEastAsia" w:hAnsiTheme="majorBidi" w:cstheme="majorBidi"/>
          <w:color w:val="000000"/>
          <w:lang w:val="en-US"/>
        </w:rPr>
        <w:t>Pouaty</w:t>
      </w:r>
      <w:proofErr w:type="spellEnd"/>
      <w:r w:rsidRPr="00F75B03">
        <w:rPr>
          <w:rFonts w:asciiTheme="majorBidi" w:eastAsiaTheme="majorEastAsia" w:hAnsiTheme="majorBidi" w:cstheme="majorBidi"/>
          <w:color w:val="000000"/>
          <w:lang w:val="en-US"/>
        </w:rPr>
        <w:t xml:space="preserve"> </w:t>
      </w:r>
      <w:proofErr w:type="spellStart"/>
      <w:r w:rsidRPr="00F75B03">
        <w:rPr>
          <w:rFonts w:asciiTheme="majorBidi" w:eastAsiaTheme="majorEastAsia" w:hAnsiTheme="majorBidi" w:cstheme="majorBidi"/>
          <w:color w:val="000000"/>
          <w:lang w:val="en-US"/>
        </w:rPr>
        <w:t>Nzembialela</w:t>
      </w:r>
      <w:proofErr w:type="spellEnd"/>
      <w:r w:rsidRPr="00F75B03">
        <w:rPr>
          <w:rFonts w:asciiTheme="majorBidi" w:eastAsiaTheme="majorEastAsia" w:hAnsiTheme="majorBidi" w:cstheme="majorBidi"/>
          <w:color w:val="000000"/>
          <w:lang w:val="en-US"/>
        </w:rPr>
        <w:t xml:space="preserve">, D., Rosado-May, </w:t>
      </w:r>
      <w:r w:rsidRPr="00F75B03">
        <w:rPr>
          <w:rFonts w:asciiTheme="majorBidi" w:eastAsiaTheme="majorEastAsia" w:hAnsiTheme="majorBidi" w:cstheme="majorBidi"/>
          <w:color w:val="000000"/>
          <w:lang w:val="en-US"/>
        </w:rPr>
        <w:lastRenderedPageBreak/>
        <w:t xml:space="preserve">F.J., Shaw, K., Swiderska, K., Vasseur, L., Venkataraman, R., Walder, B., Wang, Z., &amp; Weidlich, E.W.A. (2024). Standards of practice to guide ecosystem restoration – A contribution to the United Nations Decade on Ecosystem Restoration 2021-2030. FAO, SER, IUCN CEM. </w:t>
      </w:r>
      <w:hyperlink r:id="rId273" w:history="1">
        <w:r w:rsidRPr="00F75B03">
          <w:rPr>
            <w:rStyle w:val="Hyperlink"/>
            <w:rFonts w:asciiTheme="majorBidi" w:eastAsiaTheme="majorEastAsia" w:hAnsiTheme="majorBidi" w:cstheme="majorBidi"/>
            <w:lang w:val="en-US"/>
          </w:rPr>
          <w:t>https://doi.org/10.4060/cc9106en</w:t>
        </w:r>
      </w:hyperlink>
      <w:r w:rsidRPr="00F75B03">
        <w:rPr>
          <w:rFonts w:asciiTheme="majorBidi" w:eastAsiaTheme="majorEastAsia" w:hAnsiTheme="majorBidi" w:cstheme="majorBidi"/>
          <w:color w:val="000000"/>
          <w:lang w:val="en-US"/>
        </w:rPr>
        <w:t>.</w:t>
      </w:r>
    </w:p>
    <w:p w14:paraId="5181B0E2"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rPr>
        <w:t xml:space="preserve">Ramsar Convention on Wetlands. (2025). Ramsar Sites Information Service (RSIS). </w:t>
      </w:r>
      <w:hyperlink r:id="rId274" w:history="1">
        <w:r w:rsidRPr="00F75B03">
          <w:rPr>
            <w:rStyle w:val="Hyperlink"/>
            <w:rFonts w:asciiTheme="majorBidi" w:hAnsiTheme="majorBidi" w:cstheme="majorBidi"/>
          </w:rPr>
          <w:t>https://rsis.ramsar.org/</w:t>
        </w:r>
      </w:hyperlink>
      <w:r w:rsidRPr="00F75B03">
        <w:rPr>
          <w:rFonts w:asciiTheme="majorBidi" w:eastAsiaTheme="majorEastAsia" w:hAnsiTheme="majorBidi" w:cstheme="majorBidi"/>
          <w:color w:val="000000"/>
          <w:lang w:val="en-US"/>
        </w:rPr>
        <w:t>.</w:t>
      </w:r>
    </w:p>
    <w:p w14:paraId="776BA16B"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lang w:val="en-US"/>
        </w:rPr>
        <w:t>UNCCD. (n.d.). Land degradation – SDG indicator 15.3.1. UNCCD Data Dashboard. https://data.unccd.int/land-degradation?grouping=SDG (accessed 5 March 2026).</w:t>
      </w:r>
    </w:p>
    <w:p w14:paraId="771C8579"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lang w:val="en-US"/>
        </w:rPr>
        <w:t>UNEP. (2021). Becoming #GenerationRestoration: Ecosystem restoration for people, nature and climate. Nairobi.</w:t>
      </w:r>
    </w:p>
    <w:p w14:paraId="1C3959B0" w14:textId="77777777" w:rsidR="00F75B03" w:rsidRPr="00F75B03" w:rsidRDefault="00F75B03" w:rsidP="00F75B03">
      <w:pPr>
        <w:pStyle w:val="CBDNormalNumber"/>
        <w:ind w:left="567"/>
        <w:rPr>
          <w:rFonts w:asciiTheme="majorBidi" w:eastAsiaTheme="majorEastAsia" w:hAnsiTheme="majorBidi" w:cstheme="majorBidi"/>
          <w:color w:val="000000"/>
          <w:lang w:val="en-US"/>
        </w:rPr>
      </w:pPr>
      <w:r w:rsidRPr="00F75B03">
        <w:rPr>
          <w:rFonts w:asciiTheme="majorBidi" w:eastAsiaTheme="majorEastAsia" w:hAnsiTheme="majorBidi" w:cstheme="majorBidi"/>
          <w:color w:val="000000"/>
          <w:lang w:val="en-US"/>
        </w:rPr>
        <w:t xml:space="preserve">UNGA. (2019). Resolution </w:t>
      </w:r>
      <w:hyperlink r:id="rId275" w:history="1">
        <w:r w:rsidRPr="00F75B03">
          <w:rPr>
            <w:rStyle w:val="Hyperlink"/>
            <w:rFonts w:asciiTheme="majorBidi" w:eastAsiaTheme="majorEastAsia" w:hAnsiTheme="majorBidi" w:cstheme="majorBidi"/>
          </w:rPr>
          <w:t>A/RES/73/284</w:t>
        </w:r>
      </w:hyperlink>
      <w:r w:rsidRPr="00F75B03">
        <w:rPr>
          <w:rFonts w:asciiTheme="majorBidi" w:eastAsiaTheme="majorEastAsia" w:hAnsiTheme="majorBidi" w:cstheme="majorBidi"/>
          <w:color w:val="000000"/>
          <w:u w:val="single"/>
        </w:rPr>
        <w:t xml:space="preserve">. Available at: </w:t>
      </w:r>
      <w:hyperlink r:id="rId276" w:history="1">
        <w:r w:rsidRPr="00F75B03">
          <w:rPr>
            <w:rStyle w:val="Hyperlink"/>
            <w:rFonts w:asciiTheme="majorBidi" w:eastAsiaTheme="majorEastAsia" w:hAnsiTheme="majorBidi" w:cstheme="majorBidi"/>
          </w:rPr>
          <w:t>https://documents-dds-ny.un.org/doc/UNDOC/GEN/N19/060/16/PDF/N1906016.pdf?OpenElement</w:t>
        </w:r>
      </w:hyperlink>
      <w:r w:rsidRPr="00F75B03">
        <w:rPr>
          <w:rFonts w:asciiTheme="majorBidi" w:eastAsiaTheme="majorEastAsia" w:hAnsiTheme="majorBidi" w:cstheme="majorBidi"/>
          <w:color w:val="000000"/>
          <w:lang w:val="en-US"/>
        </w:rPr>
        <w:t>.</w:t>
      </w:r>
      <w:r w:rsidRPr="00F75B03">
        <w:rPr>
          <w:rFonts w:asciiTheme="majorBidi" w:eastAsiaTheme="majorEastAsia" w:hAnsiTheme="majorBidi" w:cstheme="majorBidi"/>
          <w:color w:val="000000"/>
        </w:rPr>
        <w:t xml:space="preserve">  </w:t>
      </w:r>
    </w:p>
    <w:p w14:paraId="01B21F27" w14:textId="02D2AE0F" w:rsidR="00756F0F" w:rsidRPr="00ED7E61" w:rsidRDefault="00756F0F" w:rsidP="00522790">
      <w:pPr>
        <w:pStyle w:val="CBDNormalNumber"/>
        <w:ind w:left="567"/>
        <w:rPr>
          <w:rFonts w:asciiTheme="majorBidi" w:hAnsiTheme="majorBidi" w:cstheme="majorBidi"/>
        </w:rPr>
      </w:pPr>
      <w:r w:rsidRPr="00ED7E61">
        <w:rPr>
          <w:rStyle w:val="eop"/>
          <w:rFonts w:asciiTheme="majorBidi" w:eastAsiaTheme="majorEastAsia" w:hAnsiTheme="majorBidi" w:cstheme="majorBidi"/>
        </w:rPr>
        <w:t> </w:t>
      </w:r>
    </w:p>
    <w:p w14:paraId="2961DD5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12. Graphs and diagrams</w:t>
      </w:r>
      <w:r w:rsidRPr="00ED7E61">
        <w:rPr>
          <w:rStyle w:val="eop"/>
          <w:rFonts w:asciiTheme="majorBidi" w:eastAsiaTheme="majorEastAsia" w:hAnsiTheme="majorBidi" w:cstheme="majorBidi"/>
          <w:b/>
          <w:bCs/>
          <w:sz w:val="22"/>
          <w:szCs w:val="22"/>
        </w:rPr>
        <w:t> </w:t>
      </w:r>
    </w:p>
    <w:p w14:paraId="5EE5F391" w14:textId="77777777" w:rsidR="007364E7" w:rsidRPr="00ED7E61" w:rsidRDefault="007364E7"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3702B005" w14:textId="6D93028E" w:rsidR="002B1080" w:rsidRDefault="002B1080" w:rsidP="00A36A35">
      <w:pPr>
        <w:rPr>
          <w:rStyle w:val="normaltextrun"/>
          <w:rFonts w:asciiTheme="majorBidi" w:eastAsiaTheme="majorEastAsia" w:hAnsiTheme="majorBidi" w:cstheme="majorBidi"/>
          <w:b/>
          <w:bCs/>
          <w:sz w:val="22"/>
          <w:szCs w:val="22"/>
          <w:lang w:val="en-GB"/>
        </w:rPr>
      </w:pPr>
    </w:p>
    <w:p w14:paraId="7F86598E" w14:textId="77777777" w:rsidR="00CA6103" w:rsidRDefault="00CA6103">
      <w:pPr>
        <w:rPr>
          <w:rStyle w:val="normaltextrun"/>
          <w:rFonts w:asciiTheme="majorBidi" w:eastAsiaTheme="majorEastAsia" w:hAnsiTheme="majorBidi" w:cstheme="majorBidi"/>
          <w:b/>
          <w:sz w:val="28"/>
          <w:szCs w:val="28"/>
        </w:rPr>
      </w:pPr>
      <w:r>
        <w:rPr>
          <w:rStyle w:val="normaltextrun"/>
        </w:rPr>
        <w:br w:type="page"/>
      </w:r>
    </w:p>
    <w:p w14:paraId="3408472A" w14:textId="308BD565" w:rsidR="00756F0F" w:rsidRPr="00ED7E61" w:rsidRDefault="002946B5" w:rsidP="00965B3D">
      <w:pPr>
        <w:pStyle w:val="Heading3"/>
      </w:pPr>
      <w:bookmarkStart w:id="33" w:name="_Toc233278567"/>
      <w:r w:rsidRPr="00ED7E61">
        <w:rPr>
          <w:rStyle w:val="normaltextrun"/>
        </w:rPr>
        <w:lastRenderedPageBreak/>
        <w:t>3.1 Coverage of protected areas and other effective area-based conservation measures</w:t>
      </w:r>
      <w:bookmarkEnd w:id="33"/>
      <w:r w:rsidRPr="00ED7E61">
        <w:rPr>
          <w:rStyle w:val="normaltextrun"/>
        </w:rPr>
        <w:t xml:space="preserve">  </w:t>
      </w:r>
      <w:r w:rsidR="00756F0F" w:rsidRPr="00ED7E61">
        <w:rPr>
          <w:rStyle w:val="eop"/>
        </w:rPr>
        <w:t> </w:t>
      </w:r>
    </w:p>
    <w:p w14:paraId="3C9ED7AC"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34C4AAE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77DDAD2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3.1 Coverage of protected areas and other effective area-based conservation measures </w:t>
      </w:r>
      <w:r w:rsidRPr="00ED7E61">
        <w:rPr>
          <w:rStyle w:val="eop"/>
          <w:rFonts w:asciiTheme="majorBidi" w:eastAsiaTheme="majorEastAsia" w:hAnsiTheme="majorBidi" w:cstheme="majorBidi"/>
          <w:sz w:val="22"/>
          <w:szCs w:val="22"/>
        </w:rPr>
        <w:t> </w:t>
      </w:r>
    </w:p>
    <w:p w14:paraId="0E4851FD" w14:textId="77777777" w:rsidR="00756F0F" w:rsidRPr="00ED7E61" w:rsidRDefault="00756F0F" w:rsidP="00522790">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077E1FF8" w14:textId="5883EF42" w:rsidR="00756F0F" w:rsidRPr="00ED7E61" w:rsidRDefault="006510A7"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February</w:t>
      </w:r>
      <w:r w:rsidRPr="00ED7E61">
        <w:rPr>
          <w:rStyle w:val="normaltextrun"/>
          <w:rFonts w:asciiTheme="majorBidi" w:eastAsiaTheme="majorEastAsia" w:hAnsiTheme="majorBidi" w:cstheme="majorBidi"/>
          <w:sz w:val="22"/>
          <w:szCs w:val="22"/>
        </w:rPr>
        <w:t xml:space="preserve"> 202</w:t>
      </w:r>
      <w:r>
        <w:rPr>
          <w:rStyle w:val="normaltextrun"/>
          <w:rFonts w:asciiTheme="majorBidi" w:eastAsiaTheme="majorEastAsia" w:hAnsiTheme="majorBidi" w:cstheme="majorBidi"/>
          <w:sz w:val="22"/>
          <w:szCs w:val="22"/>
        </w:rPr>
        <w:t>6</w:t>
      </w:r>
      <w:r w:rsidRPr="00ED7E61">
        <w:rPr>
          <w:rStyle w:val="eop"/>
          <w:rFonts w:asciiTheme="majorBidi" w:eastAsiaTheme="majorEastAsia" w:hAnsiTheme="majorBidi" w:cstheme="majorBidi"/>
          <w:sz w:val="22"/>
          <w:szCs w:val="22"/>
        </w:rPr>
        <w:t> </w:t>
      </w:r>
    </w:p>
    <w:p w14:paraId="0C9D2465" w14:textId="77777777" w:rsidR="00756F0F" w:rsidRPr="00ED7E61" w:rsidRDefault="00756F0F" w:rsidP="00522790">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0389EC1F" w14:textId="77777777" w:rsidR="00756F0F" w:rsidRPr="00ED7E61" w:rsidRDefault="00756F0F" w:rsidP="00522790">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5D3401EE" w14:textId="77777777" w:rsidR="00756F0F" w:rsidRPr="00ED7E61" w:rsidRDefault="00756F0F" w:rsidP="00522790">
      <w:pPr>
        <w:pStyle w:val="paragraph"/>
        <w:spacing w:before="0" w:beforeAutospacing="0" w:after="0" w:afterAutospacing="0"/>
        <w:ind w:firstLine="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2F3AE8CB" w14:textId="77777777" w:rsidR="00756F0F" w:rsidRPr="00ED7E61" w:rsidRDefault="00756F0F" w:rsidP="00522790">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02018BB7" w14:textId="06215090"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Target 3.</w:t>
      </w:r>
      <w:r w:rsidRPr="00ED7E61">
        <w:rPr>
          <w:rStyle w:val="normaltextrun"/>
          <w:rFonts w:asciiTheme="majorBidi" w:eastAsiaTheme="majorEastAsia" w:hAnsiTheme="majorBidi" w:cstheme="majorBidi"/>
          <w:sz w:val="22"/>
          <w:szCs w:val="22"/>
          <w:lang w:val="en-GB"/>
        </w:rPr>
        <w:t xml:space="preserve"> </w:t>
      </w:r>
      <w:r w:rsidRPr="00ED7E61">
        <w:rPr>
          <w:rStyle w:val="normaltextrun"/>
          <w:rFonts w:asciiTheme="majorBidi" w:eastAsiaTheme="majorEastAsia" w:hAnsiTheme="majorBidi" w:cstheme="majorBidi"/>
          <w:color w:val="000000"/>
          <w:sz w:val="22"/>
          <w:szCs w:val="22"/>
          <w:shd w:val="clear" w:color="auto" w:fill="FFFFFF"/>
          <w:lang w:val="en-GB"/>
        </w:rPr>
        <w:t>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 </w:t>
      </w:r>
      <w:r w:rsidRPr="00ED7E61">
        <w:rPr>
          <w:rStyle w:val="eop"/>
          <w:rFonts w:asciiTheme="majorBidi" w:eastAsiaTheme="majorEastAsia" w:hAnsiTheme="majorBidi" w:cstheme="majorBidi"/>
          <w:color w:val="000000"/>
          <w:sz w:val="22"/>
          <w:szCs w:val="22"/>
        </w:rPr>
        <w:t> </w:t>
      </w:r>
    </w:p>
    <w:p w14:paraId="1059A867" w14:textId="77777777" w:rsidR="00756F0F" w:rsidRPr="00ED7E61" w:rsidRDefault="00756F0F" w:rsidP="00522790">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36BD1C39" w14:textId="521F2FFC" w:rsidR="005058FF" w:rsidRPr="00ED7E61" w:rsidRDefault="00756F0F" w:rsidP="00B10F0C">
      <w:pPr>
        <w:pStyle w:val="CBDNormalNumber"/>
        <w:numPr>
          <w:ilvl w:val="0"/>
          <w:numId w:val="73"/>
        </w:numPr>
        <w:tabs>
          <w:tab w:val="clear" w:pos="1701"/>
        </w:tabs>
        <w:ind w:left="567" w:hanging="24"/>
        <w:rPr>
          <w:rStyle w:val="normaltextrun"/>
          <w:rFonts w:eastAsiaTheme="majorEastAsia"/>
          <w:sz w:val="24"/>
          <w:szCs w:val="24"/>
          <w:lang w:val="en-CA"/>
        </w:rPr>
      </w:pPr>
      <w:r w:rsidRPr="00ED7E61">
        <w:rPr>
          <w:rStyle w:val="normaltextrun"/>
          <w:rFonts w:asciiTheme="majorBidi" w:eastAsiaTheme="majorEastAsia" w:hAnsiTheme="majorBidi" w:cstheme="majorBidi"/>
        </w:rPr>
        <w:t>This indicator measures a policy response to biodiversity loss. An increase in the coverage of protected areas and other effective area-based conservation measures (OECMs) indicates increased efforts by governments and civil society to protect land and sea areas to achieve the long-term conservation of biodiversity, with associated ecosystem services and cultural values. </w:t>
      </w:r>
      <w:r w:rsidRPr="00ED7E61">
        <w:rPr>
          <w:rStyle w:val="normaltextrun"/>
        </w:rPr>
        <w:t> </w:t>
      </w:r>
    </w:p>
    <w:p w14:paraId="49CE23C9" w14:textId="38541620" w:rsidR="005058FF"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indicator and its </w:t>
      </w: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provide insights into progress on the following elements of Target 3: </w:t>
      </w:r>
      <w:r w:rsidR="001B59DF">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i/>
          <w:iCs/>
          <w:color w:val="000000"/>
        </w:rPr>
        <w:t xml:space="preserve">30 per cent of terrestrial and inland water areas, and of marine and coastal areas, </w:t>
      </w:r>
      <w:r w:rsidRPr="00ED7E61">
        <w:rPr>
          <w:rStyle w:val="normaltextrun"/>
          <w:rFonts w:asciiTheme="majorBidi" w:eastAsiaTheme="majorEastAsia" w:hAnsiTheme="majorBidi" w:cstheme="majorBidi"/>
          <w:color w:val="000000"/>
          <w:shd w:val="clear" w:color="auto" w:fill="FFFFFF"/>
        </w:rPr>
        <w:t>especially areas of particular importance for biodiversity and ecosystem functions</w:t>
      </w:r>
      <w:r w:rsidRPr="00ED7E61">
        <w:rPr>
          <w:rStyle w:val="normaltextrun"/>
          <w:rFonts w:asciiTheme="majorBidi" w:eastAsiaTheme="majorEastAsia" w:hAnsiTheme="majorBidi" w:cstheme="majorBidi"/>
          <w:i/>
          <w:iCs/>
          <w:color w:val="000000"/>
        </w:rPr>
        <w:t>... are... conserved and managed through ecologically representative... and equitably governed systems of protected areas and other effective area-based conservation measures</w:t>
      </w:r>
      <w:r w:rsidR="001B59DF">
        <w:rPr>
          <w:rStyle w:val="normaltextrun"/>
          <w:rFonts w:asciiTheme="majorBidi" w:eastAsiaTheme="majorEastAsia" w:hAnsiTheme="majorBidi" w:cstheme="majorBidi"/>
          <w:i/>
          <w:iCs/>
          <w:color w:val="000000"/>
        </w:rPr>
        <w:t>”</w:t>
      </w:r>
      <w:r w:rsidRPr="00ED7E61">
        <w:rPr>
          <w:rStyle w:val="normaltextrun"/>
          <w:rFonts w:asciiTheme="majorBidi" w:eastAsiaTheme="majorEastAsia" w:hAnsiTheme="majorBidi" w:cstheme="majorBidi"/>
          <w:color w:val="000000"/>
        </w:rPr>
        <w:t xml:space="preserve">. (See section 5b below in relation to the element </w:t>
      </w:r>
      <w:r w:rsidR="001B59DF">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i/>
          <w:iCs/>
          <w:color w:val="000000"/>
        </w:rPr>
        <w:t>recognizing indigenous and traditional territories, where applicable</w:t>
      </w:r>
      <w:r w:rsidR="001B59DF">
        <w:rPr>
          <w:rStyle w:val="normaltextrun"/>
          <w:rFonts w:asciiTheme="majorBidi" w:eastAsiaTheme="majorEastAsia" w:hAnsiTheme="majorBidi" w:cstheme="majorBidi"/>
          <w:i/>
          <w:iCs/>
          <w:color w:val="000000"/>
        </w:rPr>
        <w:t>”</w:t>
      </w:r>
      <w:r w:rsidRPr="00ED7E61">
        <w:rPr>
          <w:rStyle w:val="normaltextrun"/>
          <w:rFonts w:asciiTheme="majorBidi" w:eastAsiaTheme="majorEastAsia" w:hAnsiTheme="majorBidi" w:cstheme="majorBidi"/>
          <w:color w:val="000000"/>
        </w:rPr>
        <w:t>).</w:t>
      </w:r>
      <w:r w:rsidRPr="00ED7E61">
        <w:rPr>
          <w:rStyle w:val="eop"/>
          <w:rFonts w:asciiTheme="majorBidi" w:eastAsiaTheme="majorEastAsia" w:hAnsiTheme="majorBidi" w:cstheme="majorBidi"/>
          <w:color w:val="000000"/>
        </w:rPr>
        <w:t> </w:t>
      </w:r>
    </w:p>
    <w:p w14:paraId="4F0DB03B" w14:textId="0BDF6415" w:rsidR="00756F0F" w:rsidRPr="00ED7E61" w:rsidRDefault="00756F0F" w:rsidP="006510A7">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 xml:space="preserve">The indicator enables tracking of the </w:t>
      </w:r>
      <w:r w:rsidR="001B59DF">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30 per cent</w:t>
      </w:r>
      <w:r w:rsidR="001B59DF">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element, while the following </w:t>
      </w:r>
      <w:proofErr w:type="spellStart"/>
      <w:r w:rsidRPr="00ED7E61">
        <w:rPr>
          <w:rStyle w:val="normaltextrun"/>
          <w:rFonts w:asciiTheme="majorBidi" w:eastAsiaTheme="majorEastAsia" w:hAnsiTheme="majorBidi" w:cstheme="majorBidi"/>
          <w:color w:val="000000"/>
        </w:rPr>
        <w:t>disaggregations</w:t>
      </w:r>
      <w:proofErr w:type="spellEnd"/>
      <w:r w:rsidRPr="00ED7E61">
        <w:rPr>
          <w:rStyle w:val="normaltextrun"/>
          <w:rFonts w:asciiTheme="majorBidi" w:eastAsiaTheme="majorEastAsia" w:hAnsiTheme="majorBidi" w:cstheme="majorBidi"/>
          <w:color w:val="000000"/>
        </w:rPr>
        <w:t xml:space="preserve"> enable tracking of other elements: (1) coverage of protected areas versus OECMs, (2) coverage of realms, biomes, and ecosystem</w:t>
      </w:r>
      <w:r w:rsidR="006510A7">
        <w:rPr>
          <w:rStyle w:val="normaltextrun"/>
          <w:rFonts w:asciiTheme="majorBidi" w:eastAsiaTheme="majorEastAsia" w:hAnsiTheme="majorBidi" w:cstheme="majorBidi"/>
          <w:color w:val="000000"/>
        </w:rPr>
        <w:t xml:space="preserve"> functional groups</w:t>
      </w:r>
      <w:r w:rsidRPr="00ED7E61">
        <w:rPr>
          <w:rStyle w:val="normaltextrun"/>
          <w:rFonts w:asciiTheme="majorBidi" w:eastAsiaTheme="majorEastAsia" w:hAnsiTheme="majorBidi" w:cstheme="majorBidi"/>
          <w:color w:val="000000"/>
        </w:rPr>
        <w:t xml:space="preserve"> (3) coverage of areas of particular importance for biodiversity, (4) coverage by protected areas and OECMs with different levels of effectiveness, and (5) coverage by governance type. </w:t>
      </w:r>
      <w:r w:rsidR="006510A7" w:rsidRPr="006510A7">
        <w:rPr>
          <w:rFonts w:asciiTheme="majorBidi" w:eastAsiaTheme="majorEastAsia" w:hAnsiTheme="majorBidi" w:cstheme="majorBidi"/>
          <w:color w:val="000000"/>
          <w:lang w:val="en-CA"/>
        </w:rPr>
        <w:t>A sixth disaggregation, coverage by Indigenous and traditional territories, does not yet have a methodology. This is discussed in section 5b</w:t>
      </w:r>
      <w:r w:rsidR="006510A7">
        <w:rPr>
          <w:rFonts w:asciiTheme="majorBidi" w:eastAsiaTheme="majorEastAsia" w:hAnsiTheme="majorBidi" w:cstheme="majorBidi"/>
          <w:color w:val="000000"/>
          <w:lang w:val="en-CA"/>
        </w:rPr>
        <w:t>.</w:t>
      </w:r>
      <w:r w:rsidR="006510A7" w:rsidRPr="006510A7">
        <w:rPr>
          <w:rFonts w:asciiTheme="majorBidi" w:eastAsiaTheme="majorEastAsia" w:hAnsiTheme="majorBidi" w:cstheme="majorBidi"/>
          <w:color w:val="000000"/>
          <w:lang w:val="en-CA"/>
        </w:rPr>
        <w:t xml:space="preserve"> </w:t>
      </w:r>
      <w:r w:rsidRPr="00ED7E61">
        <w:rPr>
          <w:rStyle w:val="normaltextrun"/>
          <w:rFonts w:asciiTheme="majorBidi" w:eastAsiaTheme="majorEastAsia" w:hAnsiTheme="majorBidi" w:cstheme="majorBidi"/>
          <w:color w:val="000000"/>
        </w:rPr>
        <w:t>The rational</w:t>
      </w:r>
      <w:r w:rsidR="006510A7">
        <w:rPr>
          <w:rStyle w:val="normaltextrun"/>
          <w:rFonts w:asciiTheme="majorBidi" w:eastAsiaTheme="majorEastAsia" w:hAnsiTheme="majorBidi" w:cstheme="majorBidi"/>
          <w:color w:val="000000"/>
        </w:rPr>
        <w:t>e</w:t>
      </w:r>
      <w:r w:rsidRPr="00ED7E61">
        <w:rPr>
          <w:rStyle w:val="normaltextrun"/>
          <w:rFonts w:asciiTheme="majorBidi" w:eastAsiaTheme="majorEastAsia" w:hAnsiTheme="majorBidi" w:cstheme="majorBidi"/>
          <w:color w:val="000000"/>
        </w:rPr>
        <w:t xml:space="preserve"> for the</w:t>
      </w:r>
      <w:r w:rsidR="006510A7">
        <w:rPr>
          <w:rStyle w:val="normaltextrun"/>
          <w:rFonts w:asciiTheme="majorBidi" w:eastAsiaTheme="majorEastAsia" w:hAnsiTheme="majorBidi" w:cstheme="majorBidi"/>
          <w:color w:val="000000"/>
        </w:rPr>
        <w:t xml:space="preserve"> first five</w:t>
      </w:r>
      <w:r w:rsidRPr="00ED7E61">
        <w:rPr>
          <w:rStyle w:val="normaltextrun"/>
          <w:rFonts w:asciiTheme="majorBidi" w:eastAsiaTheme="majorEastAsia" w:hAnsiTheme="majorBidi" w:cstheme="majorBidi"/>
          <w:color w:val="000000"/>
        </w:rPr>
        <w:t xml:space="preserve"> </w:t>
      </w:r>
      <w:proofErr w:type="spellStart"/>
      <w:r w:rsidRPr="00ED7E61">
        <w:rPr>
          <w:rStyle w:val="normaltextrun"/>
          <w:rFonts w:asciiTheme="majorBidi" w:eastAsiaTheme="majorEastAsia" w:hAnsiTheme="majorBidi" w:cstheme="majorBidi"/>
          <w:color w:val="000000"/>
        </w:rPr>
        <w:t>disaggregations</w:t>
      </w:r>
      <w:proofErr w:type="spellEnd"/>
      <w:r w:rsidRPr="00ED7E61">
        <w:rPr>
          <w:rStyle w:val="normaltextrun"/>
          <w:rFonts w:asciiTheme="majorBidi" w:eastAsiaTheme="majorEastAsia" w:hAnsiTheme="majorBidi" w:cstheme="majorBidi"/>
          <w:color w:val="000000"/>
        </w:rPr>
        <w:t xml:space="preserve"> is explained further below:</w:t>
      </w:r>
      <w:r w:rsidRPr="00ED7E61">
        <w:rPr>
          <w:rStyle w:val="eop"/>
          <w:rFonts w:asciiTheme="majorBidi" w:eastAsiaTheme="majorEastAsia" w:hAnsiTheme="majorBidi" w:cstheme="majorBidi"/>
          <w:color w:val="000000"/>
        </w:rPr>
        <w:t> </w:t>
      </w:r>
    </w:p>
    <w:p w14:paraId="2F8D0429" w14:textId="57A6E0ED" w:rsidR="00737A0E"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rPr>
      </w:pPr>
      <w:r w:rsidRPr="00ED7E61">
        <w:rPr>
          <w:lang w:val="en-US"/>
        </w:rPr>
        <w:t>Coverage</w:t>
      </w:r>
      <w:r w:rsidRPr="00ED7E61">
        <w:rPr>
          <w:rStyle w:val="normaltextrun"/>
          <w:rFonts w:asciiTheme="majorBidi" w:eastAsiaTheme="majorEastAsia" w:hAnsiTheme="majorBidi" w:cstheme="majorBidi"/>
          <w:color w:val="000000"/>
        </w:rPr>
        <w:t xml:space="preserve"> by protected areas versus OECMs: this enables the relative contributions of these two approaches to meeting the 30% element of the target to be distinguished.</w:t>
      </w:r>
      <w:r w:rsidRPr="00ED7E61">
        <w:rPr>
          <w:rStyle w:val="eop"/>
          <w:rFonts w:asciiTheme="majorBidi" w:eastAsiaTheme="majorEastAsia" w:hAnsiTheme="majorBidi" w:cstheme="majorBidi"/>
          <w:color w:val="000000"/>
        </w:rPr>
        <w:t> </w:t>
      </w:r>
    </w:p>
    <w:p w14:paraId="4F6C9384" w14:textId="301588FF" w:rsidR="00737A0E"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000000"/>
        </w:rPr>
        <w:t>Coverage of realms, biomes, ecosystem functional groups, ecoregions etc</w:t>
      </w:r>
      <w:r w:rsidR="00D63349">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coverage of terrestrial, inland water, and marine and coastal realms will enable tracking of progress towards achieving 30 per cent coverage of</w:t>
      </w:r>
      <w:r w:rsidRPr="00ED7E61">
        <w:rPr>
          <w:rStyle w:val="normaltextrun"/>
          <w:rFonts w:asciiTheme="majorBidi" w:eastAsiaTheme="majorEastAsia" w:hAnsiTheme="majorBidi" w:cstheme="majorBidi"/>
          <w:i/>
          <w:iCs/>
          <w:color w:val="000000"/>
        </w:rPr>
        <w:t> </w:t>
      </w:r>
      <w:r w:rsidR="001B59DF">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terrestrial and inland water areas</w:t>
      </w:r>
      <w:r w:rsidR="001B59DF">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and of </w:t>
      </w:r>
      <w:r w:rsidR="001B59DF">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marine and coastal areas</w:t>
      </w:r>
      <w:r w:rsidR="001B59DF">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i/>
          <w:iCs/>
          <w:color w:val="000000"/>
        </w:rPr>
        <w:t xml:space="preserve"> </w:t>
      </w:r>
      <w:r w:rsidRPr="00ED7E61">
        <w:rPr>
          <w:rStyle w:val="normaltextrun"/>
          <w:rFonts w:asciiTheme="majorBidi" w:eastAsiaTheme="majorEastAsia" w:hAnsiTheme="majorBidi" w:cstheme="majorBidi"/>
          <w:color w:val="000000"/>
        </w:rPr>
        <w:t xml:space="preserve">can provide insights into the degree to which protected area and OECM networks are </w:t>
      </w:r>
      <w:r w:rsidR="001B59DF">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ecologically representative</w:t>
      </w:r>
      <w:r w:rsidR="001B59DF">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Richer understanding can be derived by disaggregating further to assess coverage of biomes within each realm (e.g.</w:t>
      </w:r>
      <w:r w:rsidR="00D63349">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000000"/>
        </w:rPr>
        <w:t>Tropical/subtropical forests biome, Rivers and streams biome, Pelagic ocean waters biome etc</w:t>
      </w:r>
      <w:r w:rsidR="00D63349">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and to Ecosystem Functional Groups within each </w:t>
      </w:r>
      <w:r w:rsidRPr="00ED7E61">
        <w:rPr>
          <w:rStyle w:val="normaltextrun"/>
          <w:rFonts w:asciiTheme="majorBidi" w:eastAsiaTheme="majorEastAsia" w:hAnsiTheme="majorBidi" w:cstheme="majorBidi"/>
          <w:color w:val="000000"/>
        </w:rPr>
        <w:lastRenderedPageBreak/>
        <w:t>biome (e.g. Tropical/Subtropical Lowland Rainforests, Seagrass meadows, Permanent Upland Streams etc</w:t>
      </w:r>
      <w:r w:rsidR="00D63349">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or terrestrial, freshwater and marine ecoregions. </w:t>
      </w:r>
      <w:r w:rsidRPr="00ED7E61">
        <w:rPr>
          <w:rStyle w:val="eop"/>
          <w:rFonts w:asciiTheme="majorBidi" w:eastAsiaTheme="majorEastAsia" w:hAnsiTheme="majorBidi" w:cstheme="majorBidi"/>
          <w:color w:val="000000"/>
        </w:rPr>
        <w:t> </w:t>
      </w:r>
    </w:p>
    <w:p w14:paraId="1E606E03" w14:textId="260FB81E" w:rsidR="00737A0E"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000000"/>
        </w:rPr>
        <w:t xml:space="preserve">Coverage of areas of particular importance for biodiversity: existing Sustainable Development Goal Indicators 14.5.1 (marine), 15.1.2 (terrestrial and freshwater), and 15.4.1 (mountains) already report protected area </w:t>
      </w:r>
      <w:r w:rsidR="006510A7">
        <w:rPr>
          <w:rStyle w:val="normaltextrun"/>
          <w:rFonts w:asciiTheme="majorBidi" w:eastAsiaTheme="majorEastAsia" w:hAnsiTheme="majorBidi" w:cstheme="majorBidi"/>
          <w:color w:val="000000"/>
        </w:rPr>
        <w:t xml:space="preserve">and OECM </w:t>
      </w:r>
      <w:r w:rsidRPr="00ED7E61">
        <w:rPr>
          <w:rStyle w:val="normaltextrun"/>
          <w:rFonts w:asciiTheme="majorBidi" w:eastAsiaTheme="majorEastAsia" w:hAnsiTheme="majorBidi" w:cstheme="majorBidi"/>
          <w:color w:val="000000"/>
        </w:rPr>
        <w:t xml:space="preserve">coverage of Key Biodiversity Areas for all countries, as a measure of coverage of </w:t>
      </w:r>
      <w:r w:rsidR="001D4497">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areas of particular importance for biodiversity</w:t>
      </w:r>
      <w:r w:rsidR="001D4497">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using nationally-defined, developed, and maintained datasets of areas of importance following the global Key Biodiversity Area (KBA) Standard. This provides a standardised dataset with which the headline coverage of areas of importance for biodiversity can be calculated. At a national scale, Parties may wish to include other areas that meet the definition of areas of particular importance for biodiversity (</w:t>
      </w:r>
      <w:proofErr w:type="spellStart"/>
      <w:r w:rsidRPr="00ED7E61">
        <w:rPr>
          <w:rStyle w:val="normaltextrun"/>
          <w:rFonts w:asciiTheme="majorBidi" w:eastAsiaTheme="majorEastAsia" w:hAnsiTheme="majorBidi" w:cstheme="majorBidi"/>
          <w:color w:val="000000"/>
        </w:rPr>
        <w:t>Plumptre</w:t>
      </w:r>
      <w:proofErr w:type="spellEnd"/>
      <w:r w:rsidRPr="00ED7E61">
        <w:rPr>
          <w:rStyle w:val="normaltextrun"/>
          <w:rFonts w:asciiTheme="majorBidi" w:eastAsiaTheme="majorEastAsia" w:hAnsiTheme="majorBidi" w:cstheme="majorBidi"/>
          <w:color w:val="000000"/>
        </w:rPr>
        <w:t xml:space="preserve"> et al</w:t>
      </w:r>
      <w:r w:rsidR="0059402D">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2024). A detailed methodology is provided below. </w:t>
      </w:r>
      <w:r w:rsidRPr="00ED7E61">
        <w:rPr>
          <w:rStyle w:val="eop"/>
          <w:rFonts w:asciiTheme="majorBidi" w:eastAsiaTheme="majorEastAsia" w:hAnsiTheme="majorBidi" w:cstheme="majorBidi"/>
          <w:color w:val="000000"/>
        </w:rPr>
        <w:t> </w:t>
      </w:r>
    </w:p>
    <w:p w14:paraId="2C77E875" w14:textId="01F1949C" w:rsidR="00737A0E"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000000"/>
        </w:rPr>
        <w:t>Coverage by effectiveness: the ‘</w:t>
      </w:r>
      <w:r w:rsidR="001D4497">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effectively conserved and managed</w:t>
      </w:r>
      <w:r w:rsidR="001D4497">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w:t>
      </w:r>
      <w:r w:rsidR="006510A7">
        <w:rPr>
          <w:rStyle w:val="normaltextrun"/>
          <w:rFonts w:asciiTheme="majorBidi" w:eastAsiaTheme="majorEastAsia" w:hAnsiTheme="majorBidi" w:cstheme="majorBidi"/>
          <w:color w:val="000000"/>
        </w:rPr>
        <w:t>and “</w:t>
      </w:r>
      <w:r w:rsidR="006510A7" w:rsidRPr="00812871">
        <w:rPr>
          <w:rStyle w:val="normaltextrun"/>
          <w:rFonts w:asciiTheme="majorBidi" w:eastAsiaTheme="majorEastAsia" w:hAnsiTheme="majorBidi" w:cstheme="majorBidi"/>
          <w:i/>
          <w:iCs/>
          <w:color w:val="000000"/>
        </w:rPr>
        <w:t>equitably governed</w:t>
      </w:r>
      <w:r w:rsidR="006510A7">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000000"/>
        </w:rPr>
        <w:t>element</w:t>
      </w:r>
      <w:r w:rsidR="006510A7">
        <w:rPr>
          <w:rStyle w:val="normaltextrun"/>
          <w:rFonts w:asciiTheme="majorBidi" w:eastAsiaTheme="majorEastAsia" w:hAnsiTheme="majorBidi" w:cstheme="majorBidi"/>
          <w:color w:val="000000"/>
        </w:rPr>
        <w:t>s</w:t>
      </w:r>
      <w:r w:rsidRPr="00ED7E61">
        <w:rPr>
          <w:rStyle w:val="normaltextrun"/>
          <w:rFonts w:asciiTheme="majorBidi" w:eastAsiaTheme="majorEastAsia" w:hAnsiTheme="majorBidi" w:cstheme="majorBidi"/>
          <w:color w:val="000000"/>
        </w:rPr>
        <w:t xml:space="preserve"> of Target 3 can be assessed by disaggregating protected area and OECM coverage using data on management effectiveness, governance quality, conservation outcomes, and the quality of design and planning to group protected areas and OECMs according to their level of effectiveness or change in effectiveness over time. A methodology for disaggregating the indicator in this way at the global level, building on the existing Global Database on Protected Area Management Effectiveness (GD-PAME), is outlined below. </w:t>
      </w:r>
      <w:r w:rsidRPr="00ED7E61">
        <w:rPr>
          <w:rStyle w:val="eop"/>
          <w:rFonts w:asciiTheme="majorBidi" w:eastAsiaTheme="majorEastAsia" w:hAnsiTheme="majorBidi" w:cstheme="majorBidi"/>
          <w:color w:val="000000"/>
        </w:rPr>
        <w:t> </w:t>
      </w:r>
    </w:p>
    <w:p w14:paraId="60EFD5D2" w14:textId="2BDEDF44" w:rsidR="00756F0F"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000000"/>
        </w:rPr>
        <w:t>By governance type (government, private organi</w:t>
      </w:r>
      <w:r w:rsidR="00B10F0C">
        <w:rPr>
          <w:rStyle w:val="normaltextrun"/>
          <w:rFonts w:asciiTheme="majorBidi" w:eastAsiaTheme="majorEastAsia" w:hAnsiTheme="majorBidi" w:cstheme="majorBidi"/>
          <w:color w:val="000000"/>
        </w:rPr>
        <w:t>z</w:t>
      </w:r>
      <w:r w:rsidRPr="00ED7E61">
        <w:rPr>
          <w:rStyle w:val="normaltextrun"/>
          <w:rFonts w:asciiTheme="majorBidi" w:eastAsiaTheme="majorEastAsia" w:hAnsiTheme="majorBidi" w:cstheme="majorBidi"/>
          <w:color w:val="000000"/>
        </w:rPr>
        <w:t xml:space="preserve">ations, Indigenous Peoples and Local Communities, or shared) using data already documented in the </w:t>
      </w:r>
      <w:r w:rsidR="006510A7">
        <w:rPr>
          <w:rStyle w:val="normaltextrun"/>
          <w:rFonts w:asciiTheme="majorBidi" w:eastAsiaTheme="majorEastAsia" w:hAnsiTheme="majorBidi" w:cstheme="majorBidi"/>
          <w:color w:val="000000"/>
        </w:rPr>
        <w:t>World Database on Protected and Conserved Areas (WDPCA)</w:t>
      </w:r>
      <w:r w:rsidRPr="00ED7E61">
        <w:rPr>
          <w:rStyle w:val="normaltextrun"/>
          <w:rFonts w:asciiTheme="majorBidi" w:eastAsiaTheme="majorEastAsia" w:hAnsiTheme="majorBidi" w:cstheme="majorBidi"/>
          <w:color w:val="000000"/>
        </w:rPr>
        <w:t xml:space="preserve">. Coverage of protected areas or OECMs with Indigenous peoples’ governance, local community governance, or shared governance is relevant to the </w:t>
      </w:r>
      <w:r w:rsidR="001D4497" w:rsidRPr="00FB1598">
        <w:rPr>
          <w:rStyle w:val="normaltextrun"/>
          <w:rFonts w:asciiTheme="majorBidi" w:eastAsiaTheme="majorEastAsia" w:hAnsiTheme="majorBidi" w:cstheme="majorBidi"/>
          <w:i/>
          <w:iCs/>
          <w:color w:val="000000"/>
        </w:rPr>
        <w:t>“</w:t>
      </w:r>
      <w:r w:rsidRPr="00FB1598">
        <w:rPr>
          <w:rStyle w:val="normaltextrun"/>
          <w:rFonts w:asciiTheme="majorBidi" w:eastAsiaTheme="majorEastAsia" w:hAnsiTheme="majorBidi" w:cstheme="majorBidi"/>
          <w:i/>
          <w:iCs/>
          <w:color w:val="000000"/>
        </w:rPr>
        <w:t>equitably governed</w:t>
      </w:r>
      <w:r w:rsidR="001D4497">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aspect of Target 3, albeit as a proxy, since these governance types have stronger engagement by Indigenous Peoples and Local Communities than governance by government and private governance.  </w:t>
      </w:r>
      <w:r w:rsidRPr="00ED7E61">
        <w:rPr>
          <w:rStyle w:val="eop"/>
          <w:rFonts w:asciiTheme="majorBidi" w:eastAsiaTheme="majorEastAsia" w:hAnsiTheme="majorBidi" w:cstheme="majorBidi"/>
          <w:color w:val="000000"/>
        </w:rPr>
        <w:t> </w:t>
      </w:r>
    </w:p>
    <w:p w14:paraId="49F5FD76" w14:textId="4D2FED2B" w:rsidR="00737A0E" w:rsidRPr="00ED7E61" w:rsidRDefault="00756F0F" w:rsidP="00B10F0C">
      <w:pPr>
        <w:pStyle w:val="CBDNormalNumber"/>
        <w:numPr>
          <w:ilvl w:val="0"/>
          <w:numId w:val="73"/>
        </w:numPr>
        <w:ind w:left="567" w:firstLine="0"/>
        <w:rPr>
          <w:rStyle w:val="normaltextrun"/>
          <w:rFonts w:eastAsiaTheme="majorEastAsia"/>
          <w:color w:val="000000"/>
        </w:rPr>
      </w:pPr>
      <w:r w:rsidRPr="00ED7E61">
        <w:rPr>
          <w:rStyle w:val="normaltextrun"/>
          <w:rFonts w:asciiTheme="majorBidi" w:eastAsiaTheme="majorEastAsia" w:hAnsiTheme="majorBidi" w:cstheme="majorBidi"/>
          <w:color w:val="000000"/>
        </w:rPr>
        <w:t xml:space="preserve">These </w:t>
      </w:r>
      <w:proofErr w:type="spellStart"/>
      <w:r w:rsidRPr="00ED7E61">
        <w:rPr>
          <w:rStyle w:val="normaltextrun"/>
          <w:rFonts w:asciiTheme="majorBidi" w:eastAsiaTheme="majorEastAsia" w:hAnsiTheme="majorBidi" w:cstheme="majorBidi"/>
          <w:color w:val="000000"/>
        </w:rPr>
        <w:t>disaggregations</w:t>
      </w:r>
      <w:proofErr w:type="spellEnd"/>
      <w:r w:rsidRPr="00ED7E61">
        <w:rPr>
          <w:rStyle w:val="normaltextrun"/>
          <w:rFonts w:asciiTheme="majorBidi" w:eastAsiaTheme="majorEastAsia" w:hAnsiTheme="majorBidi" w:cstheme="majorBidi"/>
          <w:color w:val="000000"/>
        </w:rPr>
        <w:t xml:space="preserve"> of the indicator reflect the fact that increases in percentage coverage are insufficient in isolation, and that protected areas and OECMs also need to be: located in areas of importance for biodiversity, cover representative areas of different realms, biomes and ecosystems (i.e. be ecologically representative), effective in achieving positive biodiversity outcomes, and equitably governed, as detailed in the wording of Target 3.</w:t>
      </w:r>
      <w:r w:rsidRPr="00ED7E61">
        <w:rPr>
          <w:rStyle w:val="normaltextrun"/>
          <w:color w:val="000000"/>
        </w:rPr>
        <w:t> </w:t>
      </w:r>
    </w:p>
    <w:p w14:paraId="25822F30" w14:textId="268D6E57" w:rsidR="00756F0F" w:rsidRPr="00ED7E61" w:rsidRDefault="00756F0F" w:rsidP="006510A7">
      <w:pPr>
        <w:pStyle w:val="CBDNormalNumber"/>
        <w:numPr>
          <w:ilvl w:val="0"/>
          <w:numId w:val="73"/>
        </w:numPr>
        <w:ind w:left="567" w:firstLine="0"/>
        <w:rPr>
          <w:rFonts w:asciiTheme="majorBidi" w:hAnsiTheme="majorBidi" w:cstheme="majorBidi"/>
        </w:rPr>
      </w:pP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to reflect other elements of the target are not yet feasible owing to lack of suitable comprehensive data or methods, including in relation to areas of importance for ecosystem services, connectivity, equitabl</w:t>
      </w:r>
      <w:r w:rsidR="001E1899" w:rsidRPr="00ED7E61">
        <w:rPr>
          <w:rStyle w:val="normaltextrun"/>
          <w:rFonts w:asciiTheme="majorBidi" w:eastAsiaTheme="majorEastAsia" w:hAnsiTheme="majorBidi" w:cstheme="majorBidi"/>
        </w:rPr>
        <w:t>e</w:t>
      </w:r>
      <w:r w:rsidRPr="00ED7E61">
        <w:rPr>
          <w:rStyle w:val="normaltextrun"/>
          <w:rFonts w:asciiTheme="majorBidi" w:eastAsiaTheme="majorEastAsia" w:hAnsiTheme="majorBidi" w:cstheme="majorBidi"/>
        </w:rPr>
        <w:t xml:space="preserve"> governance, integration into wider landscapes, seascapes and the ocean, and respect for the rights of </w:t>
      </w:r>
      <w:r w:rsidR="001E1899" w:rsidRPr="00ED7E61">
        <w:rPr>
          <w:rStyle w:val="normaltextrun"/>
          <w:rFonts w:asciiTheme="majorBidi" w:eastAsiaTheme="majorEastAsia" w:hAnsiTheme="majorBidi" w:cstheme="majorBidi"/>
        </w:rPr>
        <w:t>i</w:t>
      </w:r>
      <w:r w:rsidRPr="00ED7E61">
        <w:rPr>
          <w:rStyle w:val="normaltextrun"/>
          <w:rFonts w:asciiTheme="majorBidi" w:eastAsiaTheme="majorEastAsia" w:hAnsiTheme="majorBidi" w:cstheme="majorBidi"/>
        </w:rPr>
        <w:t xml:space="preserve">ndigenous </w:t>
      </w:r>
      <w:r w:rsidR="001E1899" w:rsidRPr="00ED7E61">
        <w:rPr>
          <w:rStyle w:val="normaltextrun"/>
          <w:rFonts w:asciiTheme="majorBidi" w:eastAsiaTheme="majorEastAsia" w:hAnsiTheme="majorBidi" w:cstheme="majorBidi"/>
        </w:rPr>
        <w:t>p</w:t>
      </w:r>
      <w:r w:rsidRPr="00ED7E61">
        <w:rPr>
          <w:rStyle w:val="normaltextrun"/>
          <w:rFonts w:asciiTheme="majorBidi" w:eastAsiaTheme="majorEastAsia" w:hAnsiTheme="majorBidi" w:cstheme="majorBidi"/>
        </w:rPr>
        <w:t xml:space="preserve">eoples and </w:t>
      </w:r>
      <w:r w:rsidR="001E1899" w:rsidRPr="00ED7E61">
        <w:rPr>
          <w:rStyle w:val="normaltextrun"/>
          <w:rFonts w:asciiTheme="majorBidi" w:eastAsiaTheme="majorEastAsia" w:hAnsiTheme="majorBidi" w:cstheme="majorBidi"/>
        </w:rPr>
        <w:t>l</w:t>
      </w:r>
      <w:r w:rsidRPr="00ED7E61">
        <w:rPr>
          <w:rStyle w:val="normaltextrun"/>
          <w:rFonts w:asciiTheme="majorBidi" w:eastAsiaTheme="majorEastAsia" w:hAnsiTheme="majorBidi" w:cstheme="majorBidi"/>
        </w:rPr>
        <w:t xml:space="preserve">ocal </w:t>
      </w:r>
      <w:r w:rsidR="001E1899" w:rsidRPr="00ED7E61">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 xml:space="preserve">ommunities. Assessing progress to Target 3 will require </w:t>
      </w:r>
      <w:r w:rsidR="006510A7" w:rsidRPr="006510A7">
        <w:rPr>
          <w:rFonts w:asciiTheme="majorBidi" w:eastAsiaTheme="majorEastAsia" w:hAnsiTheme="majorBidi" w:cstheme="majorBidi"/>
          <w:lang w:val="en-CA"/>
        </w:rPr>
        <w:t xml:space="preserve">the use of component and complementary indicators and </w:t>
      </w:r>
      <w:r w:rsidRPr="00ED7E61">
        <w:rPr>
          <w:rStyle w:val="normaltextrun"/>
          <w:rFonts w:asciiTheme="majorBidi" w:eastAsiaTheme="majorEastAsia" w:hAnsiTheme="majorBidi" w:cstheme="majorBidi"/>
        </w:rPr>
        <w:t>consideration of Sections C</w:t>
      </w:r>
      <w:r w:rsidR="001E1899" w:rsidRPr="00ED7E61">
        <w:rPr>
          <w:rStyle w:val="normaltextrun"/>
          <w:rFonts w:asciiTheme="majorBidi" w:eastAsiaTheme="majorEastAsia" w:hAnsiTheme="majorBidi" w:cstheme="majorBidi"/>
        </w:rPr>
        <w:t xml:space="preserve"> including paragraphs </w:t>
      </w:r>
      <w:r w:rsidRPr="00ED7E61">
        <w:rPr>
          <w:rStyle w:val="normaltextrun"/>
          <w:rFonts w:asciiTheme="majorBidi" w:eastAsiaTheme="majorEastAsia" w:hAnsiTheme="majorBidi" w:cstheme="majorBidi"/>
        </w:rPr>
        <w:t xml:space="preserve">(a), (b), (g), </w:t>
      </w:r>
      <w:r w:rsidR="001E1899" w:rsidRPr="00ED7E61">
        <w:rPr>
          <w:rStyle w:val="normaltextrun"/>
          <w:rFonts w:asciiTheme="majorBidi" w:eastAsiaTheme="majorEastAsia" w:hAnsiTheme="majorBidi" w:cstheme="majorBidi"/>
        </w:rPr>
        <w:t xml:space="preserve">(h) </w:t>
      </w:r>
      <w:r w:rsidRPr="00ED7E61">
        <w:rPr>
          <w:rStyle w:val="normaltextrun"/>
          <w:rFonts w:asciiTheme="majorBidi" w:eastAsiaTheme="majorEastAsia" w:hAnsiTheme="majorBidi" w:cstheme="majorBidi"/>
        </w:rPr>
        <w:t>and (n) in the Kunming-Montreal Global Biodiversity Framework, as well as the cross-cutting nature of indicators for Targets 21-23.</w:t>
      </w:r>
      <w:r w:rsidRPr="00ED7E61">
        <w:rPr>
          <w:rStyle w:val="eop"/>
          <w:rFonts w:asciiTheme="majorBidi" w:eastAsiaTheme="majorEastAsia" w:hAnsiTheme="majorBidi" w:cstheme="majorBidi"/>
        </w:rPr>
        <w:t> </w:t>
      </w:r>
    </w:p>
    <w:p w14:paraId="0E5914B0"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0A7B6C06" w14:textId="77777777" w:rsidR="00756F0F" w:rsidRPr="00ED7E61" w:rsidRDefault="00756F0F" w:rsidP="00522790">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3BEBCB9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Indicator definition</w:t>
      </w:r>
      <w:r w:rsidRPr="00ED7E61">
        <w:rPr>
          <w:rStyle w:val="normaltextrun"/>
          <w:rFonts w:asciiTheme="majorBidi" w:eastAsiaTheme="majorEastAsia" w:hAnsiTheme="majorBidi" w:cstheme="majorBidi"/>
          <w:color w:val="000000"/>
          <w:sz w:val="22"/>
          <w:szCs w:val="22"/>
          <w:lang w:val="en-AU"/>
        </w:rPr>
        <w:t>: </w:t>
      </w:r>
      <w:r w:rsidRPr="00ED7E61">
        <w:rPr>
          <w:rStyle w:val="eop"/>
          <w:rFonts w:asciiTheme="majorBidi" w:eastAsiaTheme="majorEastAsia" w:hAnsiTheme="majorBidi" w:cstheme="majorBidi"/>
          <w:color w:val="000000"/>
          <w:sz w:val="22"/>
          <w:szCs w:val="22"/>
        </w:rPr>
        <w:t> </w:t>
      </w:r>
    </w:p>
    <w:p w14:paraId="05203C54" w14:textId="77777777" w:rsidR="003A3797" w:rsidRPr="00ED7E61" w:rsidRDefault="00756F0F" w:rsidP="00B10F0C">
      <w:pPr>
        <w:pStyle w:val="CBDNormalNumber"/>
        <w:numPr>
          <w:ilvl w:val="0"/>
          <w:numId w:val="73"/>
        </w:numPr>
        <w:ind w:left="567" w:firstLine="0"/>
        <w:rPr>
          <w:rStyle w:val="normaltextrun"/>
          <w:rFonts w:asciiTheme="majorBidi" w:hAnsiTheme="majorBidi" w:cstheme="majorBidi"/>
          <w:sz w:val="24"/>
          <w:szCs w:val="24"/>
          <w:lang w:val="en-CA"/>
        </w:rPr>
      </w:pPr>
      <w:r w:rsidRPr="00ED7E61">
        <w:rPr>
          <w:rStyle w:val="normaltextrun"/>
          <w:rFonts w:asciiTheme="majorBidi" w:eastAsiaTheme="majorEastAsia" w:hAnsiTheme="majorBidi" w:cstheme="majorBidi"/>
          <w:color w:val="000000"/>
        </w:rPr>
        <w:t>This</w:t>
      </w:r>
      <w:r w:rsidRPr="00ED7E61">
        <w:rPr>
          <w:rStyle w:val="normaltextrun"/>
          <w:rFonts w:asciiTheme="majorBidi" w:eastAsiaTheme="majorEastAsia" w:hAnsiTheme="majorBidi" w:cstheme="majorBidi"/>
        </w:rPr>
        <w:t xml:space="preserve"> indicator measures the percentage area covered by protected areas or OECMs. The five </w:t>
      </w: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measure: </w:t>
      </w:r>
    </w:p>
    <w:p w14:paraId="5743063F" w14:textId="2D8E35AC"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Style w:val="normaltextrun"/>
          <w:rFonts w:asciiTheme="majorBidi" w:hAnsiTheme="majorBidi" w:cstheme="majorBidi"/>
        </w:rPr>
      </w:pPr>
      <w:r w:rsidRPr="00ED7E61">
        <w:rPr>
          <w:rStyle w:val="normaltextrun"/>
          <w:rFonts w:asciiTheme="majorBidi" w:eastAsiaTheme="majorEastAsia" w:hAnsiTheme="majorBidi" w:cstheme="majorBidi"/>
          <w:color w:val="000000"/>
        </w:rPr>
        <w:t xml:space="preserve">the percentage area covered by protected areas and the percentage area covered by OECMs; </w:t>
      </w:r>
    </w:p>
    <w:p w14:paraId="1AAA9386" w14:textId="43ADC6E0"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Style w:val="normaltextrun"/>
          <w:rFonts w:asciiTheme="majorBidi" w:hAnsiTheme="majorBidi" w:cstheme="majorBidi"/>
        </w:rPr>
      </w:pPr>
      <w:r w:rsidRPr="00ED7E61">
        <w:rPr>
          <w:rStyle w:val="normaltextrun"/>
          <w:rFonts w:asciiTheme="majorBidi" w:eastAsiaTheme="majorEastAsia" w:hAnsiTheme="majorBidi" w:cstheme="majorBidi"/>
          <w:color w:val="000000"/>
        </w:rPr>
        <w:t>the percentage area of terrestrial, inland water, and marine and coastal realms (and biomes and ecosystems within them) covered by protected areas or OECMs;</w:t>
      </w:r>
    </w:p>
    <w:p w14:paraId="5D5FCA86" w14:textId="7CB34C79"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Style w:val="normaltextrun"/>
          <w:rFonts w:asciiTheme="majorBidi" w:hAnsiTheme="majorBidi" w:cstheme="majorBidi"/>
        </w:rPr>
      </w:pPr>
      <w:r w:rsidRPr="00ED7E61">
        <w:rPr>
          <w:rStyle w:val="normaltextrun"/>
          <w:rFonts w:asciiTheme="majorBidi" w:eastAsiaTheme="majorEastAsia" w:hAnsiTheme="majorBidi" w:cstheme="majorBidi"/>
          <w:color w:val="000000"/>
        </w:rPr>
        <w:lastRenderedPageBreak/>
        <w:t xml:space="preserve"> the mean percentage of areas of particular importance for biodiversity (KBAs) covered by protected areas or OECMs (SDG indicators 14.5.1, 15.1.2, 15.4.1 represent the marine, terrestrial/freshwater and mountain components of this metric); </w:t>
      </w:r>
    </w:p>
    <w:p w14:paraId="19125CCE" w14:textId="20280F32"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Style w:val="normaltextrun"/>
          <w:rFonts w:asciiTheme="majorBidi" w:hAnsiTheme="majorBidi" w:cstheme="majorBidi"/>
        </w:rPr>
      </w:pPr>
      <w:r w:rsidRPr="00ED7E61">
        <w:rPr>
          <w:rStyle w:val="normaltextrun"/>
          <w:rFonts w:asciiTheme="majorBidi" w:eastAsiaTheme="majorEastAsia" w:hAnsiTheme="majorBidi" w:cstheme="majorBidi"/>
          <w:color w:val="000000"/>
        </w:rPr>
        <w:t xml:space="preserve">the percentage area covered by protected areas or OECMs that are at different levels of effectiveness; </w:t>
      </w:r>
    </w:p>
    <w:p w14:paraId="5FEF3108" w14:textId="1363DF76" w:rsidR="00756F0F"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000000"/>
        </w:rPr>
        <w:t>the percentage area covered by</w:t>
      </w:r>
      <w:r w:rsidRPr="00ED7E61">
        <w:rPr>
          <w:rStyle w:val="normaltextrun"/>
          <w:rFonts w:asciiTheme="majorBidi" w:eastAsiaTheme="majorEastAsia" w:hAnsiTheme="majorBidi" w:cstheme="majorBidi"/>
        </w:rPr>
        <w:t xml:space="preserve"> protected areas or OECMs that are governed by each of: government, private organi</w:t>
      </w:r>
      <w:r w:rsidR="00B10F0C">
        <w:rPr>
          <w:rStyle w:val="normaltextrun"/>
          <w:rFonts w:asciiTheme="majorBidi" w:eastAsiaTheme="majorEastAsia" w:hAnsiTheme="majorBidi" w:cstheme="majorBidi"/>
        </w:rPr>
        <w:t>z</w:t>
      </w:r>
      <w:r w:rsidRPr="00ED7E61">
        <w:rPr>
          <w:rStyle w:val="normaltextrun"/>
          <w:rFonts w:asciiTheme="majorBidi" w:eastAsiaTheme="majorEastAsia" w:hAnsiTheme="majorBidi" w:cstheme="majorBidi"/>
        </w:rPr>
        <w:t>ations, Indigenous Peoples and Local Communities, or shared.</w:t>
      </w:r>
      <w:r w:rsidRPr="00ED7E61">
        <w:rPr>
          <w:rStyle w:val="eop"/>
          <w:rFonts w:asciiTheme="majorBidi" w:eastAsiaTheme="majorEastAsia" w:hAnsiTheme="majorBidi" w:cstheme="majorBidi"/>
        </w:rPr>
        <w:t> </w:t>
      </w:r>
    </w:p>
    <w:p w14:paraId="7638E86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Other key concepts and definitions:</w:t>
      </w:r>
      <w:r w:rsidRPr="00ED7E61">
        <w:rPr>
          <w:rStyle w:val="eop"/>
          <w:rFonts w:asciiTheme="majorBidi" w:eastAsiaTheme="majorEastAsia" w:hAnsiTheme="majorBidi" w:cstheme="majorBidi"/>
          <w:color w:val="000000"/>
          <w:sz w:val="22"/>
          <w:szCs w:val="22"/>
        </w:rPr>
        <w:t> </w:t>
      </w:r>
    </w:p>
    <w:p w14:paraId="510587D5" w14:textId="0B6382D5" w:rsidR="003A3797" w:rsidRPr="00ED7E61" w:rsidRDefault="00756F0F" w:rsidP="00B10F0C">
      <w:pPr>
        <w:pStyle w:val="CBDNormalNumber"/>
        <w:numPr>
          <w:ilvl w:val="0"/>
          <w:numId w:val="73"/>
        </w:numPr>
        <w:ind w:left="567" w:firstLine="0"/>
        <w:rPr>
          <w:rStyle w:val="normaltextrun"/>
          <w:rFonts w:eastAsiaTheme="majorEastAsia"/>
          <w:color w:val="000000"/>
          <w:sz w:val="24"/>
          <w:szCs w:val="24"/>
          <w:lang w:val="en-CA"/>
        </w:rPr>
      </w:pPr>
      <w:r w:rsidRPr="00ED7E61">
        <w:rPr>
          <w:rStyle w:val="normaltextrun"/>
          <w:rFonts w:asciiTheme="majorBidi" w:eastAsiaTheme="majorEastAsia" w:hAnsiTheme="majorBidi" w:cstheme="majorBidi"/>
          <w:color w:val="000000"/>
        </w:rPr>
        <w:t xml:space="preserve">Protected area: </w:t>
      </w:r>
      <w:r w:rsidR="001D4497">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A clearly defined geographical space, recognised, dedicated and managed, through legal or other effective means, to achieve the long-term conservation of nature with associated ecosystem services and cultural values</w:t>
      </w:r>
      <w:r w:rsidRPr="00ED7E61">
        <w:rPr>
          <w:rStyle w:val="normaltextrun"/>
          <w:rFonts w:asciiTheme="majorBidi" w:eastAsiaTheme="majorEastAsia" w:hAnsiTheme="majorBidi" w:cstheme="majorBidi"/>
          <w:color w:val="000000"/>
        </w:rPr>
        <w:t>.</w:t>
      </w:r>
      <w:r w:rsidR="001D4497">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(Dudley et al. 2008).</w:t>
      </w:r>
      <w:r w:rsidRPr="00ED7E61">
        <w:rPr>
          <w:rStyle w:val="normaltextrun"/>
          <w:color w:val="000000"/>
        </w:rPr>
        <w:t> </w:t>
      </w:r>
    </w:p>
    <w:p w14:paraId="3B0D7F33" w14:textId="7F45A2FD" w:rsidR="003A3797"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Other effective area-based conservation measure: </w:t>
      </w:r>
      <w:r w:rsidR="001D4497">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 xml:space="preserve">a geographically defined area other than a Protected Area, which is governed and managed in ways that achieve positive and sustained long-term outcomes for the </w:t>
      </w:r>
      <w:proofErr w:type="gramStart"/>
      <w:r w:rsidRPr="00FB1598">
        <w:rPr>
          <w:rStyle w:val="normaltextrun"/>
          <w:rFonts w:asciiTheme="majorBidi" w:eastAsiaTheme="majorEastAsia" w:hAnsiTheme="majorBidi" w:cstheme="majorBidi"/>
          <w:i/>
          <w:iCs/>
        </w:rPr>
        <w:t>in situ</w:t>
      </w:r>
      <w:proofErr w:type="gramEnd"/>
      <w:r w:rsidRPr="00FB1598">
        <w:rPr>
          <w:rStyle w:val="normaltextrun"/>
          <w:rFonts w:asciiTheme="majorBidi" w:eastAsiaTheme="majorEastAsia" w:hAnsiTheme="majorBidi" w:cstheme="majorBidi"/>
          <w:i/>
          <w:iCs/>
        </w:rPr>
        <w:t xml:space="preserve"> conservation of biodiversity, with associated ecosystem functions and services and where applicable, cultural, s</w:t>
      </w:r>
      <w:r w:rsidR="00F922E3">
        <w:rPr>
          <w:rStyle w:val="normaltextrun"/>
          <w:rFonts w:asciiTheme="majorBidi" w:eastAsiaTheme="majorEastAsia" w:hAnsiTheme="majorBidi" w:cstheme="majorBidi"/>
          <w:i/>
          <w:iCs/>
        </w:rPr>
        <w:t>6</w:t>
      </w:r>
      <w:r w:rsidRPr="00FB1598">
        <w:rPr>
          <w:rStyle w:val="normaltextrun"/>
          <w:rFonts w:asciiTheme="majorBidi" w:eastAsiaTheme="majorEastAsia" w:hAnsiTheme="majorBidi" w:cstheme="majorBidi"/>
          <w:i/>
          <w:iCs/>
        </w:rPr>
        <w:t>piritual, socio–economic, and other locally relevant values</w:t>
      </w:r>
      <w:r w:rsidRPr="00ED7E61">
        <w:rPr>
          <w:rStyle w:val="normaltextrun"/>
          <w:rFonts w:asciiTheme="majorBidi" w:eastAsiaTheme="majorEastAsia" w:hAnsiTheme="majorBidi" w:cstheme="majorBidi"/>
        </w:rPr>
        <w:t>.</w:t>
      </w:r>
      <w:r w:rsidR="001D4497">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(CBD, 2018).</w:t>
      </w:r>
      <w:r w:rsidRPr="00ED7E61">
        <w:rPr>
          <w:rStyle w:val="eop"/>
          <w:rFonts w:asciiTheme="majorBidi" w:eastAsiaTheme="majorEastAsia" w:hAnsiTheme="majorBidi" w:cstheme="majorBidi"/>
        </w:rPr>
        <w:t> </w:t>
      </w:r>
    </w:p>
    <w:p w14:paraId="0246DBD2" w14:textId="3C50C3C9" w:rsidR="00756F0F"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Areas of particular importance for biodiversity: </w:t>
      </w:r>
      <w:r w:rsidR="001D4497">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sites that contain significant populations/extents of threatened or geographically restricted species or ecosystems, or that have significant ecological integrity or irreplaceability, significance for the maintenance of biological processes, or provide significant ecological connectivity to maintain populations of species</w:t>
      </w:r>
      <w:r w:rsidR="001D4497">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w:t>
      </w:r>
      <w:proofErr w:type="spellStart"/>
      <w:r w:rsidRPr="00ED7E61">
        <w:rPr>
          <w:rStyle w:val="normaltextrun"/>
          <w:rFonts w:asciiTheme="majorBidi" w:eastAsiaTheme="majorEastAsia" w:hAnsiTheme="majorBidi" w:cstheme="majorBidi"/>
        </w:rPr>
        <w:t>Plumptre</w:t>
      </w:r>
      <w:proofErr w:type="spellEnd"/>
      <w:r w:rsidRPr="00ED7E61">
        <w:rPr>
          <w:rStyle w:val="normaltextrun"/>
          <w:rFonts w:asciiTheme="majorBidi" w:eastAsiaTheme="majorEastAsia" w:hAnsiTheme="majorBidi" w:cstheme="majorBidi"/>
        </w:rPr>
        <w:t xml:space="preserve"> et al</w:t>
      </w:r>
      <w:r w:rsidR="0059402D">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2024). Key Biodiversity Areas have been identified in all countries and represent the most comprehensive network of such </w:t>
      </w:r>
      <w:proofErr w:type="gramStart"/>
      <w:r w:rsidRPr="00ED7E61">
        <w:rPr>
          <w:rStyle w:val="normaltextrun"/>
          <w:rFonts w:asciiTheme="majorBidi" w:eastAsiaTheme="majorEastAsia" w:hAnsiTheme="majorBidi" w:cstheme="majorBidi"/>
        </w:rPr>
        <w:t>sites, and</w:t>
      </w:r>
      <w:proofErr w:type="gramEnd"/>
      <w:r w:rsidRPr="00ED7E61">
        <w:rPr>
          <w:rStyle w:val="normaltextrun"/>
          <w:rFonts w:asciiTheme="majorBidi" w:eastAsiaTheme="majorEastAsia" w:hAnsiTheme="majorBidi" w:cstheme="majorBidi"/>
        </w:rPr>
        <w:t xml:space="preserve"> are defined as sites “</w:t>
      </w:r>
      <w:r w:rsidRPr="00FB1598">
        <w:rPr>
          <w:rStyle w:val="normaltextrun"/>
          <w:rFonts w:asciiTheme="majorBidi" w:eastAsiaTheme="majorEastAsia" w:hAnsiTheme="majorBidi" w:cstheme="majorBidi"/>
          <w:i/>
          <w:iCs/>
        </w:rPr>
        <w:t>contributing significantly to the global persistence of biodiversity</w:t>
      </w:r>
      <w:r w:rsidRPr="00ED7E61">
        <w:rPr>
          <w:rStyle w:val="normaltextrun"/>
          <w:rFonts w:asciiTheme="majorBidi" w:eastAsiaTheme="majorEastAsia" w:hAnsiTheme="majorBidi" w:cstheme="majorBidi"/>
        </w:rPr>
        <w:t>” (IUCN, 2016).</w:t>
      </w:r>
      <w:r w:rsidRPr="00ED7E61">
        <w:rPr>
          <w:rStyle w:val="eop"/>
          <w:rFonts w:asciiTheme="majorBidi" w:eastAsiaTheme="majorEastAsia" w:hAnsiTheme="majorBidi" w:cstheme="majorBidi"/>
        </w:rPr>
        <w:t> </w:t>
      </w:r>
    </w:p>
    <w:p w14:paraId="736BB31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7A711128" w14:textId="3BDBB354" w:rsidR="003A3797" w:rsidRPr="00ED7E61" w:rsidRDefault="00756F0F" w:rsidP="006510A7">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color w:val="000000"/>
        </w:rPr>
        <w:t>The</w:t>
      </w:r>
      <w:r w:rsidRPr="00ED7E61">
        <w:rPr>
          <w:rStyle w:val="normaltextrun"/>
          <w:rFonts w:asciiTheme="majorBidi" w:eastAsiaTheme="majorEastAsia" w:hAnsiTheme="majorBidi" w:cstheme="majorBidi"/>
        </w:rPr>
        <w:t xml:space="preserve"> indicator is calculated from data in the form of point locations and polygons of protected area and OECM boundaries managed in the </w:t>
      </w:r>
      <w:r w:rsidR="006510A7" w:rsidRPr="006510A7">
        <w:rPr>
          <w:rFonts w:asciiTheme="majorBidi" w:eastAsiaTheme="majorEastAsia" w:hAnsiTheme="majorBidi" w:cstheme="majorBidi"/>
          <w:lang w:val="en-CA"/>
        </w:rPr>
        <w:t xml:space="preserve">World Database on Protected and Conserved Areas (WDPCA; this database combines the previously separate World Database on Protected Areas </w:t>
      </w:r>
      <w:r w:rsidR="006510A7">
        <w:rPr>
          <w:rFonts w:asciiTheme="majorBidi" w:eastAsiaTheme="majorEastAsia" w:hAnsiTheme="majorBidi" w:cstheme="majorBidi"/>
          <w:lang w:val="en-CA"/>
        </w:rPr>
        <w:t>(</w:t>
      </w:r>
      <w:r w:rsidRPr="00ED7E61">
        <w:rPr>
          <w:rStyle w:val="normaltextrun"/>
          <w:rFonts w:asciiTheme="majorBidi" w:eastAsiaTheme="majorEastAsia" w:hAnsiTheme="majorBidi" w:cstheme="majorBidi"/>
        </w:rPr>
        <w:t>WDPA</w:t>
      </w:r>
      <w:r w:rsidR="006510A7">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and </w:t>
      </w:r>
      <w:r w:rsidR="006510A7">
        <w:rPr>
          <w:rStyle w:val="normaltextrun"/>
          <w:rFonts w:asciiTheme="majorBidi" w:eastAsiaTheme="majorEastAsia" w:hAnsiTheme="majorBidi" w:cstheme="majorBidi"/>
        </w:rPr>
        <w:t xml:space="preserve">the </w:t>
      </w:r>
      <w:r w:rsidR="006510A7" w:rsidRPr="006510A7">
        <w:rPr>
          <w:rFonts w:asciiTheme="majorBidi" w:eastAsiaTheme="majorEastAsia" w:hAnsiTheme="majorBidi" w:cstheme="majorBidi"/>
          <w:lang w:val="en-CA"/>
        </w:rPr>
        <w:t xml:space="preserve">World Database on Other Effective Area-based Conservation Measures </w:t>
      </w:r>
      <w:r w:rsidR="006510A7">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WD-OECM</w:t>
      </w:r>
      <w:r w:rsidR="006510A7">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w:t>
      </w:r>
      <w:proofErr w:type="gramStart"/>
      <w:r w:rsidRPr="00ED7E61">
        <w:rPr>
          <w:rStyle w:val="normaltextrun"/>
          <w:rFonts w:asciiTheme="majorBidi" w:eastAsiaTheme="majorEastAsia" w:hAnsiTheme="majorBidi" w:cstheme="majorBidi"/>
        </w:rPr>
        <w:t>The majority of</w:t>
      </w:r>
      <w:proofErr w:type="gramEnd"/>
      <w:r w:rsidRPr="00ED7E61">
        <w:rPr>
          <w:rStyle w:val="normaltextrun"/>
          <w:rFonts w:asciiTheme="majorBidi" w:eastAsiaTheme="majorEastAsia" w:hAnsiTheme="majorBidi" w:cstheme="majorBidi"/>
        </w:rPr>
        <w:t xml:space="preserve"> these sites are available for download at </w:t>
      </w:r>
      <w:hyperlink r:id="rId277" w:tgtFrame="_blank" w:history="1">
        <w:r w:rsidRPr="00ED7E61">
          <w:rPr>
            <w:rStyle w:val="normaltextrun"/>
            <w:rFonts w:asciiTheme="majorBidi" w:eastAsiaTheme="majorEastAsia" w:hAnsiTheme="majorBidi" w:cstheme="majorBidi"/>
            <w:color w:val="467886"/>
            <w:u w:val="single"/>
          </w:rPr>
          <w:t>www.protectedplanet.net</w:t>
        </w:r>
      </w:hyperlink>
      <w:r w:rsidRPr="00ED7E61">
        <w:rPr>
          <w:rStyle w:val="normaltextrun"/>
          <w:rFonts w:asciiTheme="majorBidi" w:eastAsiaTheme="majorEastAsia" w:hAnsiTheme="majorBidi" w:cstheme="majorBidi"/>
        </w:rPr>
        <w:t>. However, due to restrictions requested by some data providers, a small number of sites are not made publicly available. These sites are still included in the analyses that generate coverage statistics.</w:t>
      </w:r>
      <w:r w:rsidRPr="00ED7E61">
        <w:rPr>
          <w:rStyle w:val="eop"/>
          <w:rFonts w:asciiTheme="majorBidi" w:eastAsiaTheme="majorEastAsia" w:hAnsiTheme="majorBidi" w:cstheme="majorBidi"/>
        </w:rPr>
        <w:t> </w:t>
      </w:r>
    </w:p>
    <w:p w14:paraId="3A7ACAFF" w14:textId="3C305137" w:rsidR="00756F0F"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Not all sites in the WDP</w:t>
      </w:r>
      <w:r w:rsidR="00EE6172">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 xml:space="preserve">A are included in the indicator. Proposed protected areas are excluded, as are sites for which the status has not been reported. Sites submitted as points with no reported area are also excluded. Currently, UNESCO Man and Biosphere Reserves (MAB) sites reported </w:t>
      </w:r>
      <w:r w:rsidR="00EE6172">
        <w:rPr>
          <w:rStyle w:val="normaltextrun"/>
          <w:rFonts w:asciiTheme="majorBidi" w:eastAsiaTheme="majorEastAsia" w:hAnsiTheme="majorBidi" w:cstheme="majorBidi"/>
        </w:rPr>
        <w:t xml:space="preserve">as protected areas </w:t>
      </w:r>
      <w:r w:rsidRPr="00ED7E61">
        <w:rPr>
          <w:rStyle w:val="normaltextrun"/>
          <w:rFonts w:asciiTheme="majorBidi" w:eastAsiaTheme="majorEastAsia" w:hAnsiTheme="majorBidi" w:cstheme="majorBidi"/>
        </w:rPr>
        <w:t>to the WDP</w:t>
      </w:r>
      <w:r w:rsidR="00EE6172">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A are excluded, on the basis that that the MAB sites currently in the WDP</w:t>
      </w:r>
      <w:r w:rsidR="00EE6172">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A include buffer and transition zones that in many cases are not protected areas. MAB Core areas are usually protected areas designated at a national level and are therefore generally accounted for in our calculations. (UNEP-WCMC is working with the MAB Secretariat to secure an accurate set of boundaries for the core areas to ensure the contribution of these sites is accurately reflected). MAB sites reported as OECMs are, however, included in coverage analyses.</w:t>
      </w:r>
      <w:r w:rsidRPr="00ED7E61">
        <w:rPr>
          <w:rStyle w:val="eop"/>
          <w:rFonts w:asciiTheme="majorBidi" w:eastAsiaTheme="majorEastAsia" w:hAnsiTheme="majorBidi" w:cstheme="majorBidi"/>
        </w:rPr>
        <w:t> </w:t>
      </w:r>
    </w:p>
    <w:p w14:paraId="13CA64EB" w14:textId="77777777" w:rsidR="00756F0F"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The protected area coverage is calculated using the following steps:</w:t>
      </w:r>
      <w:r w:rsidRPr="00ED7E61">
        <w:rPr>
          <w:rStyle w:val="eop"/>
          <w:rFonts w:asciiTheme="majorBidi" w:eastAsiaTheme="majorEastAsia" w:hAnsiTheme="majorBidi" w:cstheme="majorBidi"/>
        </w:rPr>
        <w:t> </w:t>
      </w:r>
    </w:p>
    <w:p w14:paraId="34A49BB6" w14:textId="7C05515F"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color w:val="000000"/>
        </w:rPr>
        <w:t>The</w:t>
      </w:r>
      <w:r w:rsidRPr="00ED7E61">
        <w:rPr>
          <w:rStyle w:val="normaltextrun"/>
          <w:rFonts w:asciiTheme="majorBidi" w:eastAsiaTheme="majorEastAsia" w:hAnsiTheme="majorBidi" w:cstheme="majorBidi"/>
        </w:rPr>
        <w:t xml:space="preserve"> WDP</w:t>
      </w:r>
      <w:r w:rsidR="00EE6172">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A is filtered to exclude records with the characteristics listed above.</w:t>
      </w:r>
      <w:r w:rsidRPr="00ED7E61">
        <w:rPr>
          <w:rStyle w:val="eop"/>
          <w:rFonts w:asciiTheme="majorBidi" w:eastAsiaTheme="majorEastAsia" w:hAnsiTheme="majorBidi" w:cstheme="majorBidi"/>
        </w:rPr>
        <w:t> </w:t>
      </w:r>
      <w:r w:rsidR="00EE6172">
        <w:rPr>
          <w:rStyle w:val="eop"/>
          <w:rFonts w:asciiTheme="majorBidi" w:eastAsiaTheme="majorEastAsia" w:hAnsiTheme="majorBidi" w:cstheme="majorBidi"/>
        </w:rPr>
        <w:t>OECMs are also excluded for this part of the analysis.</w:t>
      </w:r>
    </w:p>
    <w:p w14:paraId="777E64F5" w14:textId="54D44741"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rPr>
        <w:t xml:space="preserve">A buffer is created around protected areas reported as points using their Reported Area. There are important caveats associated with this method, some of which are explored by Visconti et al. 2013. Buffering points can underestimate or overestimate protected area coverage as the circles created around points might cover areas where protected areas do not exist (overestimation) or </w:t>
      </w:r>
      <w:r w:rsidRPr="00ED7E61">
        <w:rPr>
          <w:rStyle w:val="normaltextrun"/>
          <w:rFonts w:asciiTheme="majorBidi" w:eastAsiaTheme="majorEastAsia" w:hAnsiTheme="majorBidi" w:cstheme="majorBidi"/>
        </w:rPr>
        <w:lastRenderedPageBreak/>
        <w:t>overlap with areas where other protected areas already exist (underestimation). It can also give inaccurate values for sites that are partly terrestrial and marine as the absence of boundaries make it difficult to predict which portion of a protected area is in the land or the sea.</w:t>
      </w:r>
      <w:r w:rsidRPr="00ED7E61">
        <w:rPr>
          <w:rStyle w:val="eop"/>
          <w:rFonts w:asciiTheme="majorBidi" w:eastAsiaTheme="majorEastAsia" w:hAnsiTheme="majorBidi" w:cstheme="majorBidi"/>
        </w:rPr>
        <w:t> </w:t>
      </w:r>
    </w:p>
    <w:p w14:paraId="7D2B1899" w14:textId="6EBE6C91"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rPr>
        <w:t>Both polygon and buffered point layers are combined in a single layer.</w:t>
      </w:r>
      <w:r w:rsidRPr="00ED7E61">
        <w:rPr>
          <w:rStyle w:val="eop"/>
          <w:rFonts w:asciiTheme="majorBidi" w:eastAsiaTheme="majorEastAsia" w:hAnsiTheme="majorBidi" w:cstheme="majorBidi"/>
        </w:rPr>
        <w:t> </w:t>
      </w:r>
    </w:p>
    <w:p w14:paraId="4C9E2F66" w14:textId="1A57E7D2"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rPr>
        <w:t>For calculating the overall coverage, this layer is flattened (dissolved) to eliminate overlaps between designations and avoid double counting.</w:t>
      </w:r>
      <w:r w:rsidRPr="00ED7E61">
        <w:rPr>
          <w:rStyle w:val="eop"/>
          <w:rFonts w:asciiTheme="majorBidi" w:eastAsiaTheme="majorEastAsia" w:hAnsiTheme="majorBidi" w:cstheme="majorBidi"/>
        </w:rPr>
        <w:t> </w:t>
      </w:r>
    </w:p>
    <w:p w14:paraId="747839E2" w14:textId="3965218E" w:rsidR="00756F0F"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rPr>
        <w:t>Subsequent steps are described in Section 8. </w:t>
      </w:r>
      <w:r w:rsidRPr="00ED7E61">
        <w:rPr>
          <w:rStyle w:val="eop"/>
          <w:rFonts w:asciiTheme="majorBidi" w:eastAsiaTheme="majorEastAsia" w:hAnsiTheme="majorBidi" w:cstheme="majorBidi"/>
        </w:rPr>
        <w:t> </w:t>
      </w:r>
    </w:p>
    <w:p w14:paraId="43517A34" w14:textId="77777777" w:rsidR="00756F0F" w:rsidRPr="00ED7E61" w:rsidRDefault="00756F0F" w:rsidP="00B10F0C">
      <w:pPr>
        <w:pStyle w:val="CBDNormalNumber"/>
        <w:numPr>
          <w:ilvl w:val="0"/>
          <w:numId w:val="73"/>
        </w:numPr>
        <w:ind w:left="567" w:firstLine="0"/>
        <w:rPr>
          <w:rStyle w:val="normaltextrun"/>
          <w:rFonts w:eastAsiaTheme="majorEastAsia"/>
        </w:rPr>
      </w:pPr>
      <w:r w:rsidRPr="00ED7E61">
        <w:rPr>
          <w:rStyle w:val="normaltextrun"/>
          <w:rFonts w:asciiTheme="majorBidi" w:eastAsiaTheme="majorEastAsia" w:hAnsiTheme="majorBidi" w:cstheme="majorBidi"/>
        </w:rPr>
        <w:t>The OECM coverage is calculated separately:</w:t>
      </w:r>
      <w:r w:rsidRPr="00ED7E61">
        <w:rPr>
          <w:rStyle w:val="normaltextrun"/>
        </w:rPr>
        <w:t> </w:t>
      </w:r>
    </w:p>
    <w:p w14:paraId="0E447102" w14:textId="761AF835" w:rsidR="003A3797" w:rsidRPr="00ED7E61" w:rsidRDefault="00EE75F4"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Pr>
          <w:rStyle w:val="normaltextrun"/>
          <w:rFonts w:asciiTheme="majorBidi" w:eastAsiaTheme="majorEastAsia" w:hAnsiTheme="majorBidi" w:cstheme="majorBidi"/>
        </w:rPr>
        <w:t>OECM data from t</w:t>
      </w:r>
      <w:r w:rsidR="00756F0F" w:rsidRPr="00ED7E61">
        <w:rPr>
          <w:rStyle w:val="normaltextrun"/>
          <w:rFonts w:asciiTheme="majorBidi" w:eastAsiaTheme="majorEastAsia" w:hAnsiTheme="majorBidi" w:cstheme="majorBidi"/>
        </w:rPr>
        <w:t xml:space="preserve">he latest </w:t>
      </w:r>
      <w:r>
        <w:rPr>
          <w:rStyle w:val="normaltextrun"/>
          <w:rFonts w:asciiTheme="majorBidi" w:eastAsiaTheme="majorEastAsia" w:hAnsiTheme="majorBidi" w:cstheme="majorBidi"/>
        </w:rPr>
        <w:t>WDPCA</w:t>
      </w:r>
      <w:r w:rsidR="00756F0F" w:rsidRPr="00ED7E61">
        <w:rPr>
          <w:rStyle w:val="normaltextrun"/>
          <w:rFonts w:asciiTheme="majorBidi" w:eastAsiaTheme="majorEastAsia" w:hAnsiTheme="majorBidi" w:cstheme="majorBidi"/>
        </w:rPr>
        <w:t xml:space="preserve"> monthly release is used.</w:t>
      </w:r>
      <w:r w:rsidR="00756F0F" w:rsidRPr="00ED7E61">
        <w:rPr>
          <w:rStyle w:val="eop"/>
          <w:rFonts w:asciiTheme="majorBidi" w:eastAsiaTheme="majorEastAsia" w:hAnsiTheme="majorBidi" w:cstheme="majorBidi"/>
        </w:rPr>
        <w:t> </w:t>
      </w:r>
    </w:p>
    <w:p w14:paraId="2E1F2120" w14:textId="5FD9B105"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rPr>
        <w:t>A buffer is created around OECMs reported as points using their Reported Area.</w:t>
      </w:r>
      <w:r w:rsidRPr="00ED7E61">
        <w:rPr>
          <w:rStyle w:val="eop"/>
          <w:rFonts w:asciiTheme="majorBidi" w:eastAsiaTheme="majorEastAsia" w:hAnsiTheme="majorBidi" w:cstheme="majorBidi"/>
        </w:rPr>
        <w:t> </w:t>
      </w:r>
    </w:p>
    <w:p w14:paraId="731F3A21" w14:textId="3D68EAB4"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rPr>
        <w:t>Both polygon and buffered point layers are combined in a single layer.</w:t>
      </w:r>
      <w:r w:rsidRPr="00ED7E61">
        <w:rPr>
          <w:rStyle w:val="eop"/>
          <w:rFonts w:asciiTheme="majorBidi" w:eastAsiaTheme="majorEastAsia" w:hAnsiTheme="majorBidi" w:cstheme="majorBidi"/>
        </w:rPr>
        <w:t> </w:t>
      </w:r>
    </w:p>
    <w:p w14:paraId="6A122665" w14:textId="7D00C5B7"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rPr>
        <w:t>Areas where protected areas and OECMs overlap are erased from this layer using the global protected areas dissolved layer (step 4 above).</w:t>
      </w:r>
      <w:r w:rsidRPr="00ED7E61">
        <w:rPr>
          <w:rStyle w:val="eop"/>
          <w:rFonts w:asciiTheme="majorBidi" w:eastAsiaTheme="majorEastAsia" w:hAnsiTheme="majorBidi" w:cstheme="majorBidi"/>
        </w:rPr>
        <w:t> </w:t>
      </w:r>
    </w:p>
    <w:p w14:paraId="1AED98F6" w14:textId="21AE04E1" w:rsidR="003A3797"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rPr>
        <w:t>The output OECMs layer is flattened (dissolved).</w:t>
      </w:r>
      <w:r w:rsidRPr="00ED7E61">
        <w:rPr>
          <w:rStyle w:val="eop"/>
          <w:rFonts w:asciiTheme="majorBidi" w:eastAsiaTheme="majorEastAsia" w:hAnsiTheme="majorBidi" w:cstheme="majorBidi"/>
        </w:rPr>
        <w:t> </w:t>
      </w:r>
    </w:p>
    <w:p w14:paraId="25D8571F" w14:textId="2BFDE7E8" w:rsidR="00756F0F" w:rsidRPr="00ED7E61" w:rsidRDefault="00756F0F" w:rsidP="00B10F0C">
      <w:pPr>
        <w:pStyle w:val="CBDNormalNumber"/>
        <w:numPr>
          <w:ilvl w:val="1"/>
          <w:numId w:val="73"/>
        </w:numPr>
        <w:tabs>
          <w:tab w:val="clear" w:pos="567"/>
          <w:tab w:val="clear" w:pos="1134"/>
          <w:tab w:val="clear" w:pos="2268"/>
          <w:tab w:val="left" w:pos="1985"/>
        </w:tabs>
        <w:ind w:left="567" w:firstLine="567"/>
        <w:rPr>
          <w:rFonts w:asciiTheme="majorBidi" w:hAnsiTheme="majorBidi" w:cstheme="majorBidi"/>
          <w:color w:val="4A4A4A"/>
        </w:rPr>
      </w:pPr>
      <w:r w:rsidRPr="00ED7E61">
        <w:rPr>
          <w:rStyle w:val="normaltextrun"/>
          <w:rFonts w:asciiTheme="majorBidi" w:eastAsiaTheme="majorEastAsia" w:hAnsiTheme="majorBidi" w:cstheme="majorBidi"/>
        </w:rPr>
        <w:t>Subsequent steps are described in section 8. </w:t>
      </w:r>
      <w:r w:rsidRPr="00ED7E61">
        <w:rPr>
          <w:rStyle w:val="eop"/>
          <w:rFonts w:asciiTheme="majorBidi" w:eastAsiaTheme="majorEastAsia" w:hAnsiTheme="majorBidi" w:cstheme="majorBidi"/>
        </w:rPr>
        <w:t> </w:t>
      </w:r>
    </w:p>
    <w:p w14:paraId="40BD56AF" w14:textId="07759BE7" w:rsidR="003A3797" w:rsidRPr="00ED7E61" w:rsidRDefault="00756F0F" w:rsidP="00B10F0C">
      <w:pPr>
        <w:pStyle w:val="CBDNormalNumber"/>
        <w:numPr>
          <w:ilvl w:val="0"/>
          <w:numId w:val="73"/>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Methods for the various </w:t>
      </w: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are detailed in Section 8 below.</w:t>
      </w:r>
      <w:r w:rsidRPr="00ED7E61">
        <w:rPr>
          <w:rStyle w:val="normaltextrun"/>
        </w:rPr>
        <w:t> </w:t>
      </w:r>
    </w:p>
    <w:p w14:paraId="388FF380" w14:textId="0A3512E4" w:rsidR="003A3797" w:rsidRPr="00ED7E61" w:rsidRDefault="00756F0F" w:rsidP="00EE75F4">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Note that the indicator follows an established methodology in tracking coverage of protected areas and OECMs, given the wording of Target 3 which refers to “</w:t>
      </w:r>
      <w:r w:rsidRPr="00FB1598">
        <w:rPr>
          <w:rStyle w:val="normaltextrun"/>
          <w:rFonts w:asciiTheme="majorBidi" w:eastAsiaTheme="majorEastAsia" w:hAnsiTheme="majorBidi" w:cstheme="majorBidi"/>
          <w:i/>
          <w:iCs/>
          <w:color w:val="000000"/>
          <w:shd w:val="clear" w:color="auto" w:fill="FFFFFF"/>
        </w:rPr>
        <w:t>systems of protected areas and other effective area-based conservation measures</w:t>
      </w:r>
      <w:r w:rsidRPr="00ED7E61">
        <w:rPr>
          <w:rStyle w:val="normaltextrun"/>
          <w:rFonts w:asciiTheme="majorBidi" w:eastAsiaTheme="majorEastAsia" w:hAnsiTheme="majorBidi" w:cstheme="majorBidi"/>
          <w:color w:val="000000"/>
          <w:shd w:val="clear" w:color="auto" w:fill="FFFFFF"/>
        </w:rPr>
        <w:t>”. The target also includes the wording “</w:t>
      </w:r>
      <w:r w:rsidRPr="00FB1598">
        <w:rPr>
          <w:rStyle w:val="normaltextrun"/>
          <w:rFonts w:asciiTheme="majorBidi" w:eastAsiaTheme="majorEastAsia" w:hAnsiTheme="majorBidi" w:cstheme="majorBidi"/>
          <w:i/>
          <w:iCs/>
          <w:color w:val="000000"/>
          <w:shd w:val="clear" w:color="auto" w:fill="FFFFFF"/>
        </w:rPr>
        <w:t>recognizing indigenous and traditional territories, where applicable</w:t>
      </w:r>
      <w:r w:rsidRPr="00ED7E61">
        <w:rPr>
          <w:rStyle w:val="normaltextrun"/>
          <w:rFonts w:asciiTheme="majorBidi" w:eastAsiaTheme="majorEastAsia" w:hAnsiTheme="majorBidi" w:cstheme="majorBidi"/>
          <w:color w:val="000000"/>
          <w:shd w:val="clear" w:color="auto" w:fill="FFFFFF"/>
        </w:rPr>
        <w:t xml:space="preserve">”. This could be interpreted as implying (1) a disaggregation of the metric to show trends in the extent of protected areas and OECMs governed by Indigenous peoples or local communities and falling within Indigenous and traditional territories, and/or (2) that Indigenous and traditional territories are a third type of area that can be added to protected areas and OECMs to contribute towards achievement of the target (while noting the overlap in coverage between these areas). </w:t>
      </w:r>
      <w:r w:rsidR="00EE75F4" w:rsidRPr="00EE75F4">
        <w:rPr>
          <w:rFonts w:asciiTheme="majorBidi" w:eastAsiaTheme="majorEastAsia" w:hAnsiTheme="majorBidi" w:cstheme="majorBidi"/>
          <w:color w:val="000000"/>
          <w:shd w:val="clear" w:color="auto" w:fill="FFFFFF"/>
          <w:lang w:val="en-CA"/>
        </w:rPr>
        <w:t>The interpretation of this section of the target is the subject of ongoing discussions of the Subsidiary Body on Article 8(j) and the CBD COP. For this reason, Indigenous and traditional territories outside protected areas and OECMs are not included in the methodology described here</w:t>
      </w:r>
      <w:r w:rsidRPr="00ED7E61">
        <w:rPr>
          <w:rStyle w:val="normaltextrun"/>
          <w:rFonts w:asciiTheme="majorBidi" w:eastAsiaTheme="majorEastAsia" w:hAnsiTheme="majorBidi" w:cstheme="majorBidi"/>
          <w:color w:val="000000"/>
          <w:shd w:val="clear" w:color="auto" w:fill="FFFFFF"/>
        </w:rPr>
        <w:t xml:space="preserve"> </w:t>
      </w:r>
      <w:r w:rsidR="00EE75F4" w:rsidRPr="00EE75F4">
        <w:rPr>
          <w:rFonts w:asciiTheme="majorBidi" w:eastAsiaTheme="majorEastAsia" w:hAnsiTheme="majorBidi" w:cstheme="majorBidi"/>
          <w:color w:val="000000"/>
          <w:shd w:val="clear" w:color="auto" w:fill="FFFFFF"/>
          <w:lang w:val="en-CA"/>
        </w:rPr>
        <w:t>While a disaggregation of protected area and OECM coverage by Indigenous and traditional territories is included in the Monitoring Framework, a methodology for calculating this would also be dependent on the outcomes of the ongoing discussions. A methodology for this disaggregation is therefore not included here.  </w:t>
      </w:r>
      <w:r w:rsidRPr="00ED7E61">
        <w:rPr>
          <w:rStyle w:val="eop"/>
          <w:rFonts w:asciiTheme="majorBidi" w:eastAsiaTheme="majorEastAsia" w:hAnsiTheme="majorBidi" w:cstheme="majorBidi"/>
          <w:color w:val="000000"/>
        </w:rPr>
        <w:t> </w:t>
      </w:r>
    </w:p>
    <w:p w14:paraId="3CA2FE80" w14:textId="791524D5" w:rsidR="00756F0F" w:rsidRPr="00ED7E61" w:rsidRDefault="00756F0F" w:rsidP="00EE75F4">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color w:val="000000"/>
          <w:shd w:val="clear" w:color="auto" w:fill="FFFFFF"/>
        </w:rPr>
        <w:t xml:space="preserve">This approach may evolve to reflect future COP decisions if appropriate. </w:t>
      </w:r>
      <w:r w:rsidR="00EE75F4" w:rsidRPr="00EE75F4">
        <w:rPr>
          <w:rFonts w:asciiTheme="majorBidi" w:eastAsiaTheme="majorEastAsia" w:hAnsiTheme="majorBidi" w:cstheme="majorBidi"/>
          <w:color w:val="000000"/>
          <w:shd w:val="clear" w:color="auto" w:fill="FFFFFF"/>
          <w:lang w:val="en-CA"/>
        </w:rPr>
        <w:t xml:space="preserve">To track this element of the target at national level, Parties can use national data and definitions, as appropriate, and may also choose to make use of the indicator methodologies developed for Target </w:t>
      </w:r>
      <w:proofErr w:type="gramStart"/>
      <w:r w:rsidR="00EE75F4" w:rsidRPr="00EE75F4">
        <w:rPr>
          <w:rFonts w:asciiTheme="majorBidi" w:eastAsiaTheme="majorEastAsia" w:hAnsiTheme="majorBidi" w:cstheme="majorBidi"/>
          <w:color w:val="000000"/>
          <w:shd w:val="clear" w:color="auto" w:fill="FFFFFF"/>
          <w:lang w:val="en-CA"/>
        </w:rPr>
        <w:t>22.</w:t>
      </w:r>
      <w:r w:rsidRPr="00ED7E61">
        <w:rPr>
          <w:rStyle w:val="normaltextrun"/>
          <w:rFonts w:asciiTheme="majorBidi" w:eastAsiaTheme="majorEastAsia" w:hAnsiTheme="majorBidi" w:cstheme="majorBidi"/>
          <w:color w:val="000000"/>
          <w:shd w:val="clear" w:color="auto" w:fill="FFFFFF"/>
        </w:rPr>
        <w:t>.</w:t>
      </w:r>
      <w:proofErr w:type="gramEnd"/>
      <w:r w:rsidRPr="00ED7E61">
        <w:rPr>
          <w:rStyle w:val="normaltextrun"/>
          <w:rFonts w:asciiTheme="majorBidi" w:eastAsiaTheme="majorEastAsia" w:hAnsiTheme="majorBidi" w:cstheme="majorBidi"/>
          <w:color w:val="000000"/>
          <w:shd w:val="clear" w:color="auto" w:fill="FFFFFF"/>
        </w:rPr>
        <w:t> </w:t>
      </w:r>
      <w:r w:rsidRPr="00ED7E61">
        <w:rPr>
          <w:rStyle w:val="eop"/>
          <w:rFonts w:asciiTheme="majorBidi" w:eastAsiaTheme="majorEastAsia" w:hAnsiTheme="majorBidi" w:cstheme="majorBidi"/>
          <w:color w:val="000000"/>
        </w:rPr>
        <w:t> </w:t>
      </w:r>
    </w:p>
    <w:p w14:paraId="540A46C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2949DE57" w14:textId="2AFD317C" w:rsidR="00756F0F"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color w:val="000000"/>
          <w:shd w:val="clear" w:color="auto" w:fill="FFFFFF"/>
        </w:rPr>
        <w:t>Data</w:t>
      </w:r>
      <w:r w:rsidRPr="00ED7E61">
        <w:rPr>
          <w:rStyle w:val="normaltextrun"/>
          <w:rFonts w:asciiTheme="majorBidi" w:eastAsiaTheme="majorEastAsia" w:hAnsiTheme="majorBidi" w:cstheme="majorBidi"/>
        </w:rPr>
        <w:t xml:space="preserve"> on protected areas and OECMs are submitted to UNEP-WCMC by national governments. In some cases, data are submitted directly by the governance authorities of protected areas or </w:t>
      </w:r>
      <w:proofErr w:type="gramStart"/>
      <w:r w:rsidRPr="00ED7E61">
        <w:rPr>
          <w:rStyle w:val="normaltextrun"/>
          <w:rFonts w:asciiTheme="majorBidi" w:eastAsiaTheme="majorEastAsia" w:hAnsiTheme="majorBidi" w:cstheme="majorBidi"/>
        </w:rPr>
        <w:t>OECMs, and</w:t>
      </w:r>
      <w:proofErr w:type="gramEnd"/>
      <w:r w:rsidRPr="00ED7E61">
        <w:rPr>
          <w:rStyle w:val="normaltextrun"/>
          <w:rFonts w:asciiTheme="majorBidi" w:eastAsiaTheme="majorEastAsia" w:hAnsiTheme="majorBidi" w:cstheme="majorBidi"/>
        </w:rPr>
        <w:t xml:space="preserve"> are added to the WDP</w:t>
      </w:r>
      <w:r w:rsidR="00EE75F4">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A following a verification process. The WDP</w:t>
      </w:r>
      <w:r w:rsidR="00EE75F4">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 xml:space="preserve">A </w:t>
      </w:r>
      <w:r w:rsidR="00EE75F4">
        <w:rPr>
          <w:rStyle w:val="normaltextrun"/>
          <w:rFonts w:asciiTheme="majorBidi" w:eastAsiaTheme="majorEastAsia" w:hAnsiTheme="majorBidi" w:cstheme="majorBidi"/>
        </w:rPr>
        <w:t>is</w:t>
      </w:r>
      <w:r w:rsidRPr="00ED7E61">
        <w:rPr>
          <w:rStyle w:val="normaltextrun"/>
          <w:rFonts w:asciiTheme="majorBidi" w:eastAsiaTheme="majorEastAsia" w:hAnsiTheme="majorBidi" w:cstheme="majorBidi"/>
        </w:rPr>
        <w:t xml:space="preserve"> updated monthly. </w:t>
      </w:r>
      <w:r w:rsidRPr="00ED7E61">
        <w:rPr>
          <w:rStyle w:val="eop"/>
          <w:rFonts w:asciiTheme="majorBidi" w:eastAsiaTheme="majorEastAsia" w:hAnsiTheme="majorBidi" w:cstheme="majorBidi"/>
        </w:rPr>
        <w:t> </w:t>
      </w:r>
    </w:p>
    <w:p w14:paraId="11E3833B" w14:textId="5134EAAE" w:rsidR="00756F0F"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color w:val="000000"/>
          <w:shd w:val="clear" w:color="auto" w:fill="FFFFFF"/>
        </w:rPr>
        <w:t>KBAs</w:t>
      </w:r>
      <w:r w:rsidRPr="00ED7E61">
        <w:rPr>
          <w:rStyle w:val="normaltextrun"/>
          <w:rFonts w:asciiTheme="majorBidi" w:eastAsiaTheme="majorEastAsia" w:hAnsiTheme="majorBidi" w:cstheme="majorBidi"/>
        </w:rPr>
        <w:t xml:space="preserve"> are identified nationally through inclusive and consultative processes involving government, academia, non-governmental organi</w:t>
      </w:r>
      <w:r w:rsidR="00B10F0C">
        <w:rPr>
          <w:rStyle w:val="normaltextrun"/>
          <w:rFonts w:asciiTheme="majorBidi" w:eastAsiaTheme="majorEastAsia" w:hAnsiTheme="majorBidi" w:cstheme="majorBidi"/>
        </w:rPr>
        <w:t>z</w:t>
      </w:r>
      <w:r w:rsidRPr="00ED7E61">
        <w:rPr>
          <w:rStyle w:val="normaltextrun"/>
          <w:rFonts w:asciiTheme="majorBidi" w:eastAsiaTheme="majorEastAsia" w:hAnsiTheme="majorBidi" w:cstheme="majorBidi"/>
        </w:rPr>
        <w:t xml:space="preserve">ations, indigenous people’s groups, and other stakeholders as appropriate, typically coordinated by KBA National Coordination Groups. Anyone with appropriate data may propose a site, but consultation with all stakeholders at the national level is required during the proposal process. Submission of proposals for KBAs to the World Database of Key Biodiversity Areas follows a systematic review process to ensure that the KBA criteria have </w:t>
      </w:r>
      <w:r w:rsidRPr="00ED7E61">
        <w:rPr>
          <w:rStyle w:val="normaltextrun"/>
          <w:rFonts w:asciiTheme="majorBidi" w:eastAsiaTheme="majorEastAsia" w:hAnsiTheme="majorBidi" w:cstheme="majorBidi"/>
        </w:rPr>
        <w:lastRenderedPageBreak/>
        <w:t xml:space="preserve">been applied correctly and that the sites can be recognised as important for the global persistence of biodiversity. Regional Focal Points have been appointed to help KBA proposers develop proposals and then ensure they are reviewed independently. Guidance on Proposing, Reviewing, Nominating and Confirming sites has been published to help guide proposers through the development of proposals and the review process, highlighting where they can obtain help in making a proposal (see </w:t>
      </w:r>
      <w:hyperlink r:id="rId278" w:tgtFrame="_blank" w:history="1">
        <w:r w:rsidRPr="00ED7E61">
          <w:rPr>
            <w:rStyle w:val="normaltextrun"/>
            <w:rFonts w:asciiTheme="majorBidi" w:eastAsiaTheme="majorEastAsia" w:hAnsiTheme="majorBidi" w:cstheme="majorBidi"/>
            <w:color w:val="467886"/>
            <w:u w:val="single"/>
          </w:rPr>
          <w:t>https://www.keybiodiversityareas.org/working-with-kbas/proposing-updating/proposal-process</w:t>
        </w:r>
      </w:hyperlink>
      <w:r w:rsidRPr="00ED7E61">
        <w:rPr>
          <w:rStyle w:val="normaltextrun"/>
          <w:rFonts w:asciiTheme="majorBidi" w:eastAsiaTheme="majorEastAsia" w:hAnsiTheme="majorBidi" w:cstheme="majorBidi"/>
          <w:color w:val="4A4A4A"/>
        </w:rPr>
        <w:t xml:space="preserve"> </w:t>
      </w:r>
      <w:r w:rsidRPr="00ED7E61">
        <w:rPr>
          <w:rStyle w:val="normaltextrun"/>
          <w:rFonts w:asciiTheme="majorBidi" w:eastAsiaTheme="majorEastAsia" w:hAnsiTheme="majorBidi" w:cstheme="majorBidi"/>
        </w:rPr>
        <w:t xml:space="preserve">and specific guidance at </w:t>
      </w:r>
      <w:hyperlink r:id="rId279" w:tgtFrame="_blank" w:history="1">
        <w:r w:rsidRPr="00ED7E61">
          <w:rPr>
            <w:rStyle w:val="normaltextrun"/>
            <w:rFonts w:asciiTheme="majorBidi" w:eastAsiaTheme="majorEastAsia" w:hAnsiTheme="majorBidi" w:cstheme="majorBidi"/>
            <w:color w:val="467886"/>
            <w:u w:val="single"/>
          </w:rPr>
          <w:t>https://www.keybiodiversityareas.org/assets/af7c1fe6-d669-414e-b066-e9733f0de7a8</w:t>
        </w:r>
      </w:hyperlink>
      <w:r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color w:val="4A4A4A"/>
        </w:rPr>
        <w:t xml:space="preserve"> </w:t>
      </w:r>
      <w:r w:rsidRPr="00ED7E61">
        <w:rPr>
          <w:rStyle w:val="normaltextrun"/>
          <w:rFonts w:asciiTheme="majorBidi" w:eastAsiaTheme="majorEastAsia" w:hAnsiTheme="majorBidi" w:cstheme="majorBidi"/>
        </w:rPr>
        <w:t xml:space="preserve">Site proposals undergo independent review. This is followed by the official site nomination with full documentation meeting the Documentation Standards for KBAs. Sites confirmed by the KBA Secretariat to qualify as KBAs are then published on the KBA Website. For further information, see </w:t>
      </w:r>
      <w:hyperlink r:id="rId280" w:tgtFrame="_blank" w:history="1">
        <w:r w:rsidRPr="00ED7E61">
          <w:rPr>
            <w:rStyle w:val="normaltextrun"/>
            <w:rFonts w:asciiTheme="majorBidi" w:eastAsiaTheme="majorEastAsia" w:hAnsiTheme="majorBidi" w:cstheme="majorBidi"/>
            <w:u w:val="single"/>
          </w:rPr>
          <w:t>www.keybiodiversityareas.org/working-with-kbas/proposing-updating</w:t>
        </w:r>
      </w:hyperlink>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602E16D1" w14:textId="77777777" w:rsidR="00756F0F"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For details of other data used in generating </w:t>
      </w:r>
      <w:proofErr w:type="spellStart"/>
      <w:r w:rsidRPr="00ED7E61">
        <w:rPr>
          <w:rStyle w:val="normaltextrun"/>
          <w:rFonts w:asciiTheme="majorBidi" w:eastAsiaTheme="majorEastAsia" w:hAnsiTheme="majorBidi" w:cstheme="majorBidi"/>
        </w:rPr>
        <w:t>disaggegations</w:t>
      </w:r>
      <w:proofErr w:type="spellEnd"/>
      <w:r w:rsidRPr="00ED7E61">
        <w:rPr>
          <w:rStyle w:val="normaltextrun"/>
          <w:rFonts w:asciiTheme="majorBidi" w:eastAsiaTheme="majorEastAsia" w:hAnsiTheme="majorBidi" w:cstheme="majorBidi"/>
        </w:rPr>
        <w:t>, see below.</w:t>
      </w:r>
      <w:r w:rsidRPr="00ED7E61">
        <w:rPr>
          <w:rStyle w:val="eop"/>
          <w:rFonts w:asciiTheme="majorBidi" w:eastAsiaTheme="majorEastAsia" w:hAnsiTheme="majorBidi" w:cstheme="majorBidi"/>
        </w:rPr>
        <w:t> </w:t>
      </w:r>
    </w:p>
    <w:p w14:paraId="632E4C7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255F4A0F" w14:textId="4E603810" w:rsidR="003A3797"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methods are also described in the metadata to SDG indicators 14.5.1 and 15.1.2 at </w:t>
      </w:r>
      <w:hyperlink r:id="rId281" w:tgtFrame="_blank" w:history="1">
        <w:r w:rsidRPr="00ED7E61">
          <w:rPr>
            <w:rStyle w:val="normaltextrun"/>
            <w:rFonts w:asciiTheme="majorBidi" w:eastAsiaTheme="majorEastAsia" w:hAnsiTheme="majorBidi" w:cstheme="majorBidi"/>
            <w:color w:val="467886"/>
            <w:u w:val="single"/>
          </w:rPr>
          <w:t>https://unstats.un.org/sdgs/metadata</w:t>
        </w:r>
      </w:hyperlink>
      <w:r w:rsidRPr="00ED7E61">
        <w:rPr>
          <w:rStyle w:val="normaltextrun"/>
          <w:rFonts w:asciiTheme="majorBidi" w:eastAsiaTheme="majorEastAsia" w:hAnsiTheme="majorBidi" w:cstheme="majorBidi"/>
        </w:rPr>
        <w:t>. Methods for the KBA disaggregation were also published in Butchart et al</w:t>
      </w:r>
      <w:r w:rsidR="0059402D">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(2012, 2015), with relevant rationale also provided in </w:t>
      </w:r>
      <w:proofErr w:type="spellStart"/>
      <w:r w:rsidRPr="00ED7E61">
        <w:rPr>
          <w:rStyle w:val="normaltextrun"/>
          <w:rFonts w:asciiTheme="majorBidi" w:eastAsiaTheme="majorEastAsia" w:hAnsiTheme="majorBidi" w:cstheme="majorBidi"/>
        </w:rPr>
        <w:t>Plumptre</w:t>
      </w:r>
      <w:proofErr w:type="spellEnd"/>
      <w:r w:rsidRPr="00ED7E61">
        <w:rPr>
          <w:rStyle w:val="normaltextrun"/>
          <w:rFonts w:asciiTheme="majorBidi" w:eastAsiaTheme="majorEastAsia" w:hAnsiTheme="majorBidi" w:cstheme="majorBidi"/>
        </w:rPr>
        <w:t xml:space="preserve"> et al. (2024). The protected area </w:t>
      </w:r>
      <w:r w:rsidR="00EE75F4">
        <w:rPr>
          <w:rStyle w:val="normaltextrun"/>
          <w:rFonts w:asciiTheme="majorBidi" w:eastAsiaTheme="majorEastAsia" w:hAnsiTheme="majorBidi" w:cstheme="majorBidi"/>
        </w:rPr>
        <w:t xml:space="preserve">and OECM </w:t>
      </w:r>
      <w:r w:rsidRPr="00ED7E61">
        <w:rPr>
          <w:rStyle w:val="normaltextrun"/>
          <w:rFonts w:asciiTheme="majorBidi" w:eastAsiaTheme="majorEastAsia" w:hAnsiTheme="majorBidi" w:cstheme="majorBidi"/>
        </w:rPr>
        <w:t>indicator and its realm</w:t>
      </w:r>
      <w:r w:rsidR="00EE75F4">
        <w:rPr>
          <w:rStyle w:val="normaltextrun"/>
          <w:rFonts w:asciiTheme="majorBidi" w:eastAsiaTheme="majorEastAsia" w:hAnsiTheme="majorBidi" w:cstheme="majorBidi"/>
        </w:rPr>
        <w:t>, effectiveness, governance type</w:t>
      </w:r>
      <w:r w:rsidRPr="00ED7E61">
        <w:rPr>
          <w:rStyle w:val="normaltextrun"/>
          <w:rFonts w:asciiTheme="majorBidi" w:eastAsiaTheme="majorEastAsia" w:hAnsiTheme="majorBidi" w:cstheme="majorBidi"/>
        </w:rPr>
        <w:t xml:space="preserve"> and KBA </w:t>
      </w: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are calculated nationally, regionally and globally. The ecoregion disaggregation is calculated at the global level. </w:t>
      </w:r>
      <w:r w:rsidRPr="00ED7E61">
        <w:rPr>
          <w:rStyle w:val="eop"/>
          <w:rFonts w:asciiTheme="majorBidi" w:eastAsiaTheme="majorEastAsia" w:hAnsiTheme="majorBidi" w:cstheme="majorBidi"/>
        </w:rPr>
        <w:t> </w:t>
      </w:r>
    </w:p>
    <w:p w14:paraId="6A463A4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72E20274" w14:textId="59FBE0F2" w:rsidR="00C84F8A" w:rsidRPr="0049615A" w:rsidRDefault="00756F0F" w:rsidP="005C4FE1">
      <w:pPr>
        <w:pStyle w:val="CBDNormalNumber"/>
        <w:numPr>
          <w:ilvl w:val="0"/>
          <w:numId w:val="73"/>
        </w:numPr>
        <w:ind w:left="567" w:firstLine="0"/>
        <w:rPr>
          <w:rFonts w:asciiTheme="majorBidi" w:hAnsiTheme="majorBidi" w:cstheme="majorBidi"/>
          <w:color w:val="4A4A4A"/>
        </w:rPr>
      </w:pPr>
      <w:r w:rsidRPr="0049615A">
        <w:rPr>
          <w:rStyle w:val="normaltextrun"/>
          <w:rFonts w:asciiTheme="majorBidi" w:eastAsiaTheme="majorEastAsia" w:hAnsiTheme="majorBidi" w:cstheme="majorBidi"/>
        </w:rPr>
        <w:t xml:space="preserve">Protected area </w:t>
      </w:r>
      <w:r w:rsidR="00EE75F4" w:rsidRPr="0049615A">
        <w:rPr>
          <w:rStyle w:val="normaltextrun"/>
          <w:rFonts w:asciiTheme="majorBidi" w:eastAsiaTheme="majorEastAsia" w:hAnsiTheme="majorBidi" w:cstheme="majorBidi"/>
        </w:rPr>
        <w:t xml:space="preserve">and OECM </w:t>
      </w:r>
      <w:r w:rsidRPr="0049615A">
        <w:rPr>
          <w:rStyle w:val="normaltextrun"/>
          <w:rFonts w:asciiTheme="majorBidi" w:eastAsiaTheme="majorEastAsia" w:hAnsiTheme="majorBidi" w:cstheme="majorBidi"/>
        </w:rPr>
        <w:t>data are compiled by ministries of environment and other ministries responsible for the designation and maintenance of protected areas</w:t>
      </w:r>
      <w:r w:rsidR="00EE75F4" w:rsidRPr="0049615A">
        <w:rPr>
          <w:rStyle w:val="normaltextrun"/>
          <w:rFonts w:asciiTheme="majorBidi" w:eastAsiaTheme="majorEastAsia" w:hAnsiTheme="majorBidi" w:cstheme="majorBidi"/>
        </w:rPr>
        <w:t xml:space="preserve"> and OECMs</w:t>
      </w:r>
      <w:r w:rsidRPr="0049615A">
        <w:rPr>
          <w:rStyle w:val="normaltextrun"/>
          <w:rFonts w:asciiTheme="majorBidi" w:eastAsiaTheme="majorEastAsia" w:hAnsiTheme="majorBidi" w:cstheme="majorBidi"/>
        </w:rPr>
        <w:t xml:space="preserve">. Other data providers can contribute in some cases (see section 5c). Protected area </w:t>
      </w:r>
      <w:r w:rsidR="00EE75F4" w:rsidRPr="0049615A">
        <w:rPr>
          <w:rStyle w:val="normaltextrun"/>
          <w:rFonts w:asciiTheme="majorBidi" w:eastAsiaTheme="majorEastAsia" w:hAnsiTheme="majorBidi" w:cstheme="majorBidi"/>
        </w:rPr>
        <w:t xml:space="preserve">and OECM </w:t>
      </w:r>
      <w:r w:rsidRPr="0049615A">
        <w:rPr>
          <w:rStyle w:val="normaltextrun"/>
          <w:rFonts w:asciiTheme="majorBidi" w:eastAsiaTheme="majorEastAsia" w:hAnsiTheme="majorBidi" w:cstheme="majorBidi"/>
        </w:rPr>
        <w:t>data are aggregated globally into the World Database on Protected</w:t>
      </w:r>
      <w:r w:rsidR="00EE75F4" w:rsidRPr="0049615A">
        <w:rPr>
          <w:rStyle w:val="normaltextrun"/>
          <w:rFonts w:asciiTheme="majorBidi" w:eastAsiaTheme="majorEastAsia" w:hAnsiTheme="majorBidi" w:cstheme="majorBidi"/>
        </w:rPr>
        <w:t xml:space="preserve"> and Conserved</w:t>
      </w:r>
      <w:r w:rsidRPr="0049615A">
        <w:rPr>
          <w:rStyle w:val="normaltextrun"/>
          <w:rFonts w:asciiTheme="majorBidi" w:eastAsiaTheme="majorEastAsia" w:hAnsiTheme="majorBidi" w:cstheme="majorBidi"/>
        </w:rPr>
        <w:t xml:space="preserve"> Areas </w:t>
      </w:r>
      <w:r w:rsidR="00EE75F4" w:rsidRPr="0049615A">
        <w:rPr>
          <w:rStyle w:val="normaltextrun"/>
          <w:rFonts w:asciiTheme="majorBidi" w:eastAsiaTheme="majorEastAsia" w:hAnsiTheme="majorBidi" w:cstheme="majorBidi"/>
        </w:rPr>
        <w:t xml:space="preserve">(UNEP-WCMC and IUCN 2026) </w:t>
      </w:r>
      <w:r w:rsidRPr="0049615A">
        <w:rPr>
          <w:rStyle w:val="normaltextrun"/>
          <w:rFonts w:asciiTheme="majorBidi" w:eastAsiaTheme="majorEastAsia" w:hAnsiTheme="majorBidi" w:cstheme="majorBidi"/>
        </w:rPr>
        <w:t xml:space="preserve">by the UN Environment Programme World Conservation Monitoring Centre, according to the mandate for production of the United Nations List of Protected Areas (UN Economic and Social Council, 1959; </w:t>
      </w:r>
      <w:proofErr w:type="spellStart"/>
      <w:r w:rsidRPr="0049615A">
        <w:rPr>
          <w:rStyle w:val="normaltextrun"/>
          <w:rFonts w:asciiTheme="majorBidi" w:eastAsiaTheme="majorEastAsia" w:hAnsiTheme="majorBidi" w:cstheme="majorBidi"/>
        </w:rPr>
        <w:t>Deguignet</w:t>
      </w:r>
      <w:proofErr w:type="spellEnd"/>
      <w:r w:rsidRPr="0049615A">
        <w:rPr>
          <w:rStyle w:val="normaltextrun"/>
          <w:rFonts w:asciiTheme="majorBidi" w:eastAsiaTheme="majorEastAsia" w:hAnsiTheme="majorBidi" w:cstheme="majorBidi"/>
        </w:rPr>
        <w:t xml:space="preserve"> et al. 2014) and subsequent decisions of the CBD </w:t>
      </w:r>
      <w:proofErr w:type="spellStart"/>
      <w:r w:rsidRPr="0049615A">
        <w:rPr>
          <w:rStyle w:val="normaltextrun"/>
          <w:rFonts w:asciiTheme="majorBidi" w:eastAsiaTheme="majorEastAsia" w:hAnsiTheme="majorBidi" w:cstheme="majorBidi"/>
        </w:rPr>
        <w:t>CoP.</w:t>
      </w:r>
      <w:proofErr w:type="spellEnd"/>
      <w:r w:rsidRPr="0049615A">
        <w:rPr>
          <w:rStyle w:val="normaltextrun"/>
          <w:rFonts w:asciiTheme="majorBidi" w:eastAsiaTheme="majorEastAsia" w:hAnsiTheme="majorBidi" w:cstheme="majorBidi"/>
        </w:rPr>
        <w:t xml:space="preserve"> They are disseminated through </w:t>
      </w:r>
      <w:hyperlink r:id="rId282" w:tgtFrame="_blank" w:history="1">
        <w:r w:rsidRPr="0049615A">
          <w:rPr>
            <w:rStyle w:val="normaltextrun"/>
            <w:rFonts w:asciiTheme="majorBidi" w:eastAsiaTheme="majorEastAsia" w:hAnsiTheme="majorBidi" w:cstheme="majorBidi"/>
            <w:color w:val="467886"/>
            <w:u w:val="single"/>
          </w:rPr>
          <w:t>Protected Planet</w:t>
        </w:r>
      </w:hyperlink>
      <w:r w:rsidRPr="0049615A">
        <w:rPr>
          <w:rStyle w:val="normaltextrun"/>
          <w:rFonts w:asciiTheme="majorBidi" w:eastAsiaTheme="majorEastAsia" w:hAnsiTheme="majorBidi" w:cstheme="majorBidi"/>
        </w:rPr>
        <w:t>, which is a joint product of IUCN and UNEP, managed by UNEP-WCMC. Parties are encouraged to ensure that updates to national protected area systems are submitted to the WDPA in a timely fashion.</w:t>
      </w:r>
      <w:r w:rsidRPr="0049615A">
        <w:rPr>
          <w:rStyle w:val="eop"/>
          <w:rFonts w:asciiTheme="majorBidi" w:eastAsiaTheme="majorEastAsia" w:hAnsiTheme="majorBidi" w:cstheme="majorBidi"/>
        </w:rPr>
        <w:t> </w:t>
      </w:r>
      <w:r w:rsidR="00EE75F4" w:rsidRPr="0049615A">
        <w:rPr>
          <w:rFonts w:asciiTheme="majorBidi" w:hAnsiTheme="majorBidi" w:cstheme="majorBidi"/>
        </w:rPr>
        <w:t xml:space="preserve">Effectiveness data are compiled by UNEP-WCMC in the Global Database on Protected Area Management Effectiveness (GD-PAME) and made available through Protected Planet. </w:t>
      </w:r>
      <w:r w:rsidRPr="0049615A">
        <w:rPr>
          <w:rStyle w:val="eop"/>
          <w:rFonts w:asciiTheme="majorBidi" w:eastAsiaTheme="majorEastAsia" w:hAnsiTheme="majorBidi" w:cstheme="majorBidi"/>
        </w:rPr>
        <w:t> </w:t>
      </w:r>
    </w:p>
    <w:p w14:paraId="1AE81120" w14:textId="786FE6B7" w:rsidR="00C84F8A"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Realms, biomes and ecosystem functional groups are defined in the Global Ecosystem Typology (</w:t>
      </w:r>
      <w:hyperlink r:id="rId283" w:tgtFrame="_blank" w:history="1">
        <w:r w:rsidRPr="00ED7E61">
          <w:rPr>
            <w:rStyle w:val="normaltextrun"/>
            <w:rFonts w:asciiTheme="majorBidi" w:eastAsiaTheme="majorEastAsia" w:hAnsiTheme="majorBidi" w:cstheme="majorBidi"/>
            <w:color w:val="467886"/>
            <w:u w:val="single"/>
          </w:rPr>
          <w:t>https://global-ecosystems.org/</w:t>
        </w:r>
      </w:hyperlink>
      <w:r w:rsidRPr="00ED7E61">
        <w:rPr>
          <w:rStyle w:val="normaltextrun"/>
          <w:rFonts w:asciiTheme="majorBidi" w:eastAsiaTheme="majorEastAsia" w:hAnsiTheme="majorBidi" w:cstheme="majorBidi"/>
        </w:rPr>
        <w:t xml:space="preserve">). Inland water biomes are mapped in the </w:t>
      </w:r>
      <w:proofErr w:type="spellStart"/>
      <w:r w:rsidRPr="00ED7E61">
        <w:rPr>
          <w:rStyle w:val="normaltextrun"/>
          <w:rFonts w:asciiTheme="majorBidi" w:eastAsiaTheme="majorEastAsia" w:hAnsiTheme="majorBidi" w:cstheme="majorBidi"/>
        </w:rPr>
        <w:t>RiverATLAS</w:t>
      </w:r>
      <w:proofErr w:type="spellEnd"/>
      <w:r w:rsidRPr="00ED7E61">
        <w:rPr>
          <w:rStyle w:val="normaltextrun"/>
          <w:rFonts w:asciiTheme="majorBidi" w:eastAsiaTheme="majorEastAsia" w:hAnsiTheme="majorBidi" w:cstheme="majorBidi"/>
        </w:rPr>
        <w:t xml:space="preserve"> (Linke et al. 2019) and Global Lakes and Wetlands Database v2 (Lehner et al. 2024). Terrestrial ecoregions are mapped in Dinerstein et al. (2017), marine ecoregions are mapped in Spalding et al. (2007, 2012), and freshwater ecoregions are mapped in Abell et al. (2008). </w:t>
      </w:r>
      <w:r w:rsidRPr="00ED7E61">
        <w:rPr>
          <w:rStyle w:val="eop"/>
          <w:rFonts w:asciiTheme="majorBidi" w:eastAsiaTheme="majorEastAsia" w:hAnsiTheme="majorBidi" w:cstheme="majorBidi"/>
        </w:rPr>
        <w:t> </w:t>
      </w:r>
    </w:p>
    <w:p w14:paraId="377B0422" w14:textId="2783A4D9" w:rsidR="00756F0F"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KBAs are identified nationally through multi-stakeholder processes involving government, academia, non-governmental organi</w:t>
      </w:r>
      <w:r w:rsidR="00B10F0C">
        <w:rPr>
          <w:rStyle w:val="normaltextrun"/>
          <w:rFonts w:asciiTheme="majorBidi" w:eastAsiaTheme="majorEastAsia" w:hAnsiTheme="majorBidi" w:cstheme="majorBidi"/>
        </w:rPr>
        <w:t>z</w:t>
      </w:r>
      <w:r w:rsidRPr="00ED7E61">
        <w:rPr>
          <w:rStyle w:val="normaltextrun"/>
          <w:rFonts w:asciiTheme="majorBidi" w:eastAsiaTheme="majorEastAsia" w:hAnsiTheme="majorBidi" w:cstheme="majorBidi"/>
        </w:rPr>
        <w:t xml:space="preserve">ations, indigenous people’s groups, and other stakeholders as appropriate, typically coordinated by KBA National Coordination Groups, following standard criteria and thresholds. Key Biodiversity Areas data are aggregated into the </w:t>
      </w:r>
      <w:hyperlink r:id="rId284" w:tgtFrame="_blank" w:history="1">
        <w:r w:rsidRPr="00ED7E61">
          <w:rPr>
            <w:rStyle w:val="normaltextrun"/>
            <w:rFonts w:asciiTheme="majorBidi" w:eastAsiaTheme="majorEastAsia" w:hAnsiTheme="majorBidi" w:cstheme="majorBidi"/>
            <w:u w:val="single"/>
          </w:rPr>
          <w:t xml:space="preserve">World Database on </w:t>
        </w:r>
      </w:hyperlink>
      <w:hyperlink r:id="rId285" w:tgtFrame="_blank" w:history="1">
        <w:r w:rsidRPr="00ED7E61">
          <w:rPr>
            <w:rStyle w:val="normaltextrun"/>
            <w:rFonts w:asciiTheme="majorBidi" w:eastAsiaTheme="majorEastAsia" w:hAnsiTheme="majorBidi" w:cstheme="majorBidi"/>
            <w:u w:val="single"/>
          </w:rPr>
          <w:t>Key Biodiversity Areas</w:t>
        </w:r>
      </w:hyperlink>
      <w:r w:rsidRPr="00ED7E61">
        <w:rPr>
          <w:rStyle w:val="normaltextrun"/>
          <w:rFonts w:asciiTheme="majorBidi" w:eastAsiaTheme="majorEastAsia" w:hAnsiTheme="majorBidi" w:cstheme="majorBidi"/>
        </w:rPr>
        <w:t xml:space="preserve">, managed by </w:t>
      </w:r>
      <w:proofErr w:type="spellStart"/>
      <w:r w:rsidRPr="00ED7E61">
        <w:rPr>
          <w:rStyle w:val="normaltextrun"/>
          <w:rFonts w:asciiTheme="majorBidi" w:eastAsiaTheme="majorEastAsia" w:hAnsiTheme="majorBidi" w:cstheme="majorBidi"/>
        </w:rPr>
        <w:t>BirdLife</w:t>
      </w:r>
      <w:proofErr w:type="spellEnd"/>
      <w:r w:rsidRPr="00ED7E61">
        <w:rPr>
          <w:rStyle w:val="normaltextrun"/>
          <w:rFonts w:asciiTheme="majorBidi" w:eastAsiaTheme="majorEastAsia" w:hAnsiTheme="majorBidi" w:cstheme="majorBidi"/>
        </w:rPr>
        <w:t xml:space="preserve"> International on behalf of the KBA Partnership, and made freely available through the KBA website at </w:t>
      </w:r>
      <w:hyperlink r:id="rId286" w:tgtFrame="_blank" w:history="1">
        <w:r w:rsidRPr="00ED7E61">
          <w:rPr>
            <w:rStyle w:val="normaltextrun"/>
            <w:rFonts w:asciiTheme="majorBidi" w:eastAsiaTheme="majorEastAsia" w:hAnsiTheme="majorBidi" w:cstheme="majorBidi"/>
            <w:color w:val="467886"/>
            <w:u w:val="single"/>
          </w:rPr>
          <w:t>www.keybiodiversityareas.org</w:t>
        </w:r>
      </w:hyperlink>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055A4B5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267D1145" w14:textId="7BCEBB60" w:rsidR="00C84F8A"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headline indicator disaggregated by coverage by realm, and by protected areas versus OECMs, is published on the </w:t>
      </w:r>
      <w:hyperlink r:id="rId287" w:tgtFrame="_blank" w:history="1">
        <w:r w:rsidRPr="00ED7E61">
          <w:rPr>
            <w:rStyle w:val="normaltextrun"/>
            <w:rFonts w:asciiTheme="majorBidi" w:eastAsiaTheme="majorEastAsia" w:hAnsiTheme="majorBidi" w:cstheme="majorBidi"/>
            <w:color w:val="467886"/>
            <w:u w:val="single"/>
          </w:rPr>
          <w:t>Protected Planet</w:t>
        </w:r>
      </w:hyperlink>
      <w:r w:rsidRPr="00ED7E61">
        <w:rPr>
          <w:rStyle w:val="normaltextrun"/>
          <w:rFonts w:asciiTheme="majorBidi" w:eastAsiaTheme="majorEastAsia" w:hAnsiTheme="majorBidi" w:cstheme="majorBidi"/>
        </w:rPr>
        <w:t xml:space="preserve"> website each month. Once fully developed, the disaggregation by level of effectiveness will also be published every month. </w:t>
      </w:r>
      <w:r w:rsidRPr="00ED7E61">
        <w:rPr>
          <w:rStyle w:val="eop"/>
          <w:rFonts w:asciiTheme="majorBidi" w:eastAsiaTheme="majorEastAsia" w:hAnsiTheme="majorBidi" w:cstheme="majorBidi"/>
        </w:rPr>
        <w:t> </w:t>
      </w:r>
    </w:p>
    <w:p w14:paraId="4457E17D" w14:textId="77777777" w:rsidR="00756F0F"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The disaggregation by coverage of areas of particular importance for biodiversity is updated annually using the latest versions of the datasets on protected areas, OECMs and Key Biodiversity Areas. This disaggregation is also provided annually in the UN Sustainable Development Goal Database (</w:t>
      </w:r>
      <w:hyperlink r:id="rId288" w:tgtFrame="_blank" w:history="1">
        <w:r w:rsidRPr="00ED7E61">
          <w:rPr>
            <w:rStyle w:val="normaltextrun"/>
            <w:rFonts w:asciiTheme="majorBidi" w:eastAsiaTheme="majorEastAsia" w:hAnsiTheme="majorBidi" w:cstheme="majorBidi"/>
            <w:color w:val="467886"/>
            <w:u w:val="single"/>
          </w:rPr>
          <w:t>https://unstats.un.org/sdgs/dataportal</w:t>
        </w:r>
      </w:hyperlink>
      <w:r w:rsidRPr="00ED7E61">
        <w:rPr>
          <w:rStyle w:val="normaltextrun"/>
          <w:rFonts w:asciiTheme="majorBidi" w:eastAsiaTheme="majorEastAsia" w:hAnsiTheme="majorBidi" w:cstheme="majorBidi"/>
        </w:rPr>
        <w:t>) and in the IBAT Country Profiles (</w:t>
      </w:r>
      <w:hyperlink r:id="rId289" w:tgtFrame="_blank" w:history="1">
        <w:r w:rsidRPr="00ED7E61">
          <w:rPr>
            <w:rStyle w:val="normaltextrun"/>
            <w:rFonts w:asciiTheme="majorBidi" w:eastAsiaTheme="majorEastAsia" w:hAnsiTheme="majorBidi" w:cstheme="majorBidi"/>
            <w:color w:val="467886"/>
            <w:u w:val="single"/>
          </w:rPr>
          <w:t>https://www.ibat-alliance.org/country_profiles?locale=en</w:t>
        </w:r>
      </w:hyperlink>
      <w:r w:rsidRPr="00ED7E61">
        <w:rPr>
          <w:rStyle w:val="normaltextrun"/>
          <w:rFonts w:asciiTheme="majorBidi" w:eastAsiaTheme="majorEastAsia" w:hAnsiTheme="majorBidi" w:cstheme="majorBidi"/>
        </w:rPr>
        <w:t xml:space="preserve">), and every two years, alongside the </w:t>
      </w: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by ecoregion, biome and governance type in the </w:t>
      </w:r>
      <w:hyperlink r:id="rId290" w:tgtFrame="_blank" w:history="1">
        <w:r w:rsidRPr="00ED7E61">
          <w:rPr>
            <w:rStyle w:val="normaltextrun"/>
            <w:rFonts w:asciiTheme="majorBidi" w:eastAsiaTheme="majorEastAsia" w:hAnsiTheme="majorBidi" w:cstheme="majorBidi"/>
            <w:color w:val="467886"/>
            <w:u w:val="single"/>
          </w:rPr>
          <w:t>Protected Planet Report series</w:t>
        </w:r>
      </w:hyperlink>
      <w:r w:rsidRPr="00ED7E61">
        <w:rPr>
          <w:rStyle w:val="normaltextrun"/>
          <w:rFonts w:asciiTheme="majorBidi" w:eastAsiaTheme="majorEastAsia" w:hAnsiTheme="majorBidi" w:cstheme="majorBidi"/>
        </w:rPr>
        <w:t>. Temporal trends are also provided in this series. </w:t>
      </w:r>
      <w:r w:rsidRPr="00ED7E61">
        <w:rPr>
          <w:rStyle w:val="eop"/>
          <w:rFonts w:asciiTheme="majorBidi" w:eastAsiaTheme="majorEastAsia" w:hAnsiTheme="majorBidi" w:cstheme="majorBidi"/>
        </w:rPr>
        <w:t> </w:t>
      </w:r>
    </w:p>
    <w:p w14:paraId="7A725A0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0FF5257A" w14:textId="10F010AF" w:rsidR="00756F0F" w:rsidRPr="00ED7E61" w:rsidRDefault="00756F0F" w:rsidP="00522790">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18</w:t>
      </w:r>
      <w:r w:rsidR="00EE75F4">
        <w:rPr>
          <w:rStyle w:val="normaltextrun"/>
          <w:rFonts w:asciiTheme="majorBidi" w:eastAsiaTheme="majorEastAsia" w:hAnsiTheme="majorBidi" w:cstheme="majorBidi"/>
        </w:rPr>
        <w:t>00</w:t>
      </w:r>
      <w:r w:rsidRPr="00ED7E61">
        <w:rPr>
          <w:rStyle w:val="normaltextrun"/>
          <w:rFonts w:asciiTheme="majorBidi" w:eastAsiaTheme="majorEastAsia" w:hAnsiTheme="majorBidi" w:cstheme="majorBidi"/>
        </w:rPr>
        <w:t xml:space="preserve"> – current year</w:t>
      </w:r>
      <w:r w:rsidRPr="00ED7E61">
        <w:rPr>
          <w:rStyle w:val="normaltextrun"/>
        </w:rPr>
        <w:t> </w:t>
      </w:r>
    </w:p>
    <w:p w14:paraId="4AAB65E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2C712BAE" w14:textId="77777777" w:rsidR="00756F0F" w:rsidRPr="00ED7E61" w:rsidRDefault="00756F0F" w:rsidP="00522790">
      <w:pPr>
        <w:pStyle w:val="CBDNormalNumbe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See Data sources.</w:t>
      </w:r>
      <w:r w:rsidRPr="00ED7E61">
        <w:rPr>
          <w:rStyle w:val="normaltextrun"/>
        </w:rPr>
        <w:t> </w:t>
      </w:r>
    </w:p>
    <w:p w14:paraId="0CA5871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50C7F36E" w14:textId="7617C624" w:rsidR="00C84F8A" w:rsidRPr="00ED7E61" w:rsidRDefault="00756F0F" w:rsidP="00522790">
      <w:pPr>
        <w:pStyle w:val="CBDNormalNumber"/>
        <w:ind w:left="567"/>
        <w:rPr>
          <w:rFonts w:asciiTheme="majorBidi" w:hAnsiTheme="majorBidi" w:cstheme="majorBidi"/>
          <w:color w:val="4A4A4A"/>
        </w:rPr>
      </w:pPr>
      <w:r w:rsidRPr="00ED7E61">
        <w:rPr>
          <w:rStyle w:val="normaltextrun"/>
          <w:rFonts w:asciiTheme="majorBidi" w:eastAsiaTheme="majorEastAsia" w:hAnsiTheme="majorBidi" w:cstheme="majorBidi"/>
        </w:rPr>
        <w:t xml:space="preserve">UNEP-WCMC, IUCN and </w:t>
      </w:r>
      <w:proofErr w:type="spellStart"/>
      <w:r w:rsidRPr="00ED7E61">
        <w:rPr>
          <w:rStyle w:val="normaltextrun"/>
          <w:rFonts w:asciiTheme="majorBidi" w:eastAsiaTheme="majorEastAsia" w:hAnsiTheme="majorBidi" w:cstheme="majorBidi"/>
        </w:rPr>
        <w:t>BirdLife</w:t>
      </w:r>
      <w:proofErr w:type="spellEnd"/>
      <w:r w:rsidRPr="00ED7E61">
        <w:rPr>
          <w:rStyle w:val="normaltextrun"/>
          <w:rFonts w:asciiTheme="majorBidi" w:eastAsiaTheme="majorEastAsia" w:hAnsiTheme="majorBidi" w:cstheme="majorBidi"/>
        </w:rPr>
        <w:t xml:space="preserve"> International</w:t>
      </w:r>
      <w:r w:rsidRPr="00ED7E61">
        <w:rPr>
          <w:rStyle w:val="eop"/>
          <w:rFonts w:asciiTheme="majorBidi" w:eastAsiaTheme="majorEastAsia" w:hAnsiTheme="majorBidi" w:cstheme="majorBidi"/>
        </w:rPr>
        <w:t> </w:t>
      </w:r>
    </w:p>
    <w:p w14:paraId="4CC0CF4C" w14:textId="64BCC4B1" w:rsidR="00756F0F" w:rsidRPr="00ED7E61" w:rsidRDefault="00756F0F" w:rsidP="00EE75F4">
      <w:pPr>
        <w:pStyle w:val="CBDNormalNumber"/>
        <w:ind w:left="567"/>
        <w:rPr>
          <w:rFonts w:asciiTheme="majorBidi" w:hAnsiTheme="majorBidi" w:cstheme="majorBidi"/>
          <w:color w:val="4A4A4A"/>
        </w:rPr>
      </w:pPr>
      <w:r w:rsidRPr="00ED7E61">
        <w:rPr>
          <w:rStyle w:val="normaltextrun"/>
          <w:rFonts w:asciiTheme="majorBidi" w:eastAsiaTheme="majorEastAsia" w:hAnsiTheme="majorBidi" w:cstheme="majorBidi"/>
        </w:rPr>
        <w:t>Protected area and OECM data are aggregated globally into the WDP</w:t>
      </w:r>
      <w:r w:rsidR="00EE75F4">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 xml:space="preserve">A by the UN Environment Programme World Conservation Monitoring Centre, according to the mandate for production of the United Nations List of Protected Areas (UN Economic and Social Council, 1959; </w:t>
      </w:r>
      <w:proofErr w:type="spellStart"/>
      <w:r w:rsidRPr="00ED7E61">
        <w:rPr>
          <w:rStyle w:val="normaltextrun"/>
          <w:rFonts w:asciiTheme="majorBidi" w:eastAsiaTheme="majorEastAsia" w:hAnsiTheme="majorBidi" w:cstheme="majorBidi"/>
        </w:rPr>
        <w:t>Deguignet</w:t>
      </w:r>
      <w:proofErr w:type="spellEnd"/>
      <w:r w:rsidRPr="00ED7E61">
        <w:rPr>
          <w:rStyle w:val="normaltextrun"/>
          <w:rFonts w:asciiTheme="majorBidi" w:eastAsiaTheme="majorEastAsia" w:hAnsiTheme="majorBidi" w:cstheme="majorBidi"/>
        </w:rPr>
        <w:t xml:space="preserve"> et al. 2014) and subsequent decisions of the CBD </w:t>
      </w:r>
      <w:proofErr w:type="spellStart"/>
      <w:r w:rsidRPr="00ED7E61">
        <w:rPr>
          <w:rStyle w:val="normaltextrun"/>
          <w:rFonts w:asciiTheme="majorBidi" w:eastAsiaTheme="majorEastAsia" w:hAnsiTheme="majorBidi" w:cstheme="majorBidi"/>
        </w:rPr>
        <w:t>CoP.</w:t>
      </w:r>
      <w:proofErr w:type="spellEnd"/>
      <w:r w:rsidRPr="00ED7E61">
        <w:rPr>
          <w:rStyle w:val="normaltextrun"/>
          <w:rFonts w:asciiTheme="majorBidi" w:eastAsiaTheme="majorEastAsia" w:hAnsiTheme="majorBidi" w:cstheme="majorBidi"/>
        </w:rPr>
        <w:t xml:space="preserve"> They are disseminated through Protected Planet, which is managed by UNEP-WCMC. </w:t>
      </w:r>
      <w:r w:rsidR="00EE75F4" w:rsidRPr="00EE75F4">
        <w:rPr>
          <w:rFonts w:asciiTheme="majorBidi" w:eastAsiaTheme="majorEastAsia" w:hAnsiTheme="majorBidi" w:cstheme="majorBidi"/>
          <w:lang w:val="en-CA"/>
        </w:rPr>
        <w:t xml:space="preserve">The Global Database on Protected Area Management Effectiveness is managed by UNEP-WCMC and compiled from multiple sources. It is also made available through Protected Planet. </w:t>
      </w:r>
      <w:r w:rsidRPr="00ED7E61">
        <w:rPr>
          <w:rStyle w:val="normaltextrun"/>
          <w:rFonts w:asciiTheme="majorBidi" w:eastAsiaTheme="majorEastAsia" w:hAnsiTheme="majorBidi" w:cstheme="majorBidi"/>
        </w:rPr>
        <w:t xml:space="preserve">Key Biodiversity Areas data are aggregated into the World Database of Key Biodiversity Areas, managed by </w:t>
      </w:r>
      <w:proofErr w:type="spellStart"/>
      <w:r w:rsidRPr="00ED7E61">
        <w:rPr>
          <w:rStyle w:val="normaltextrun"/>
          <w:rFonts w:asciiTheme="majorBidi" w:eastAsiaTheme="majorEastAsia" w:hAnsiTheme="majorBidi" w:cstheme="majorBidi"/>
        </w:rPr>
        <w:t>BirdLife</w:t>
      </w:r>
      <w:proofErr w:type="spellEnd"/>
      <w:r w:rsidRPr="00ED7E61">
        <w:rPr>
          <w:rStyle w:val="normaltextrun"/>
          <w:rFonts w:asciiTheme="majorBidi" w:eastAsiaTheme="majorEastAsia" w:hAnsiTheme="majorBidi" w:cstheme="majorBidi"/>
        </w:rPr>
        <w:t xml:space="preserve"> International.</w:t>
      </w:r>
      <w:r w:rsidRPr="00ED7E61">
        <w:rPr>
          <w:rStyle w:val="eop"/>
          <w:rFonts w:asciiTheme="majorBidi" w:eastAsiaTheme="majorEastAsia" w:hAnsiTheme="majorBidi" w:cstheme="majorBidi"/>
        </w:rPr>
        <w:t> </w:t>
      </w:r>
    </w:p>
    <w:p w14:paraId="1BDD727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36FA924E" w14:textId="7FAE0988" w:rsidR="00C84F8A"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 xml:space="preserve">Quality control criteria are applied to ensure consistency and comparability of the data in the </w:t>
      </w:r>
      <w:r w:rsidR="00EE75F4">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xml:space="preserve">. New data are validated at UNEP-WCMC through a </w:t>
      </w:r>
      <w:r w:rsidR="00EE75F4">
        <w:rPr>
          <w:rStyle w:val="normaltextrun"/>
          <w:rFonts w:asciiTheme="majorBidi" w:eastAsiaTheme="majorEastAsia" w:hAnsiTheme="majorBidi" w:cstheme="majorBidi"/>
        </w:rPr>
        <w:t>data management system</w:t>
      </w:r>
      <w:r w:rsidRPr="00ED7E61">
        <w:rPr>
          <w:rStyle w:val="normaltextrun"/>
          <w:rFonts w:asciiTheme="majorBidi" w:eastAsiaTheme="majorEastAsia" w:hAnsiTheme="majorBidi" w:cstheme="majorBidi"/>
        </w:rPr>
        <w:t xml:space="preserve"> and translated into the standard data structure of the </w:t>
      </w:r>
      <w:r w:rsidR="00EE75F4">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xml:space="preserve">. Discrepancies between the data in the World Database on Protected Areas and WD-OECM and new data are minimised by provision of a manual (UNEP-WCMC 2019) and resolved in communication with data providers. Data and knowledge gaps can arise due to difficulties in determining whether a site conforms to the IUCN </w:t>
      </w:r>
      <w:r w:rsidR="00EE75F4">
        <w:rPr>
          <w:rStyle w:val="normaltextrun"/>
          <w:rFonts w:asciiTheme="majorBidi" w:eastAsiaTheme="majorEastAsia" w:hAnsiTheme="majorBidi" w:cstheme="majorBidi"/>
        </w:rPr>
        <w:t xml:space="preserve">or CBD </w:t>
      </w:r>
      <w:r w:rsidRPr="00ED7E61">
        <w:rPr>
          <w:rStyle w:val="normaltextrun"/>
          <w:rFonts w:asciiTheme="majorBidi" w:eastAsiaTheme="majorEastAsia" w:hAnsiTheme="majorBidi" w:cstheme="majorBidi"/>
        </w:rPr>
        <w:t>definition</w:t>
      </w:r>
      <w:r w:rsidR="00EE75F4">
        <w:rPr>
          <w:rStyle w:val="normaltextrun"/>
          <w:rFonts w:asciiTheme="majorBidi" w:eastAsiaTheme="majorEastAsia" w:hAnsiTheme="majorBidi" w:cstheme="majorBidi"/>
        </w:rPr>
        <w:t>s</w:t>
      </w:r>
      <w:r w:rsidRPr="00ED7E61">
        <w:rPr>
          <w:rStyle w:val="normaltextrun"/>
          <w:rFonts w:asciiTheme="majorBidi" w:eastAsiaTheme="majorEastAsia" w:hAnsiTheme="majorBidi" w:cstheme="majorBidi"/>
        </w:rPr>
        <w:t xml:space="preserve"> of a protected area or the CBD definition of an Other Effective Area-based Conservation Measure. However, given that both are incorporated into the indicator, </w:t>
      </w:r>
      <w:r w:rsidR="00EE75F4">
        <w:rPr>
          <w:rStyle w:val="normaltextrun"/>
          <w:rFonts w:asciiTheme="majorBidi" w:eastAsiaTheme="majorEastAsia" w:hAnsiTheme="majorBidi" w:cstheme="majorBidi"/>
        </w:rPr>
        <w:t xml:space="preserve">potential </w:t>
      </w:r>
      <w:r w:rsidRPr="00ED7E61">
        <w:rPr>
          <w:rStyle w:val="normaltextrun"/>
          <w:rFonts w:asciiTheme="majorBidi" w:eastAsiaTheme="majorEastAsia" w:hAnsiTheme="majorBidi" w:cstheme="majorBidi"/>
        </w:rPr>
        <w:t>misclassifications (as one or the other) do not impact the calculated indicator value. Non-state governed protected areas</w:t>
      </w:r>
      <w:r w:rsidR="00EE75F4">
        <w:rPr>
          <w:rStyle w:val="normaltextrun"/>
          <w:rFonts w:asciiTheme="majorBidi" w:eastAsiaTheme="majorEastAsia" w:hAnsiTheme="majorBidi" w:cstheme="majorBidi"/>
        </w:rPr>
        <w:t>, and potentially OECMs,</w:t>
      </w:r>
      <w:r w:rsidRPr="00ED7E61">
        <w:rPr>
          <w:rStyle w:val="normaltextrun"/>
          <w:rFonts w:asciiTheme="majorBidi" w:eastAsiaTheme="majorEastAsia" w:hAnsiTheme="majorBidi" w:cstheme="majorBidi"/>
        </w:rPr>
        <w:t xml:space="preserve"> are under-represented in the WDPA. </w:t>
      </w:r>
      <w:proofErr w:type="gramStart"/>
      <w:r w:rsidRPr="00ED7E61">
        <w:rPr>
          <w:rStyle w:val="normaltextrun"/>
          <w:rFonts w:asciiTheme="majorBidi" w:eastAsiaTheme="majorEastAsia" w:hAnsiTheme="majorBidi" w:cstheme="majorBidi"/>
        </w:rPr>
        <w:t>The majority of</w:t>
      </w:r>
      <w:proofErr w:type="gramEnd"/>
      <w:r w:rsidRPr="00ED7E61">
        <w:rPr>
          <w:rStyle w:val="normaltextrun"/>
          <w:rFonts w:asciiTheme="majorBidi" w:eastAsiaTheme="majorEastAsia" w:hAnsiTheme="majorBidi" w:cstheme="majorBidi"/>
        </w:rPr>
        <w:t xml:space="preserve"> countries have not yet reported OECMs. </w:t>
      </w:r>
      <w:r w:rsidRPr="00ED7E61">
        <w:rPr>
          <w:rStyle w:val="eop"/>
          <w:rFonts w:asciiTheme="majorBidi" w:eastAsiaTheme="majorEastAsia" w:hAnsiTheme="majorBidi" w:cstheme="majorBidi"/>
        </w:rPr>
        <w:t> </w:t>
      </w:r>
    </w:p>
    <w:p w14:paraId="1205A231" w14:textId="4DF49688" w:rsidR="00C84F8A"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 xml:space="preserve">Regarding areas of importance for biodiversity, </w:t>
      </w:r>
      <w:r w:rsidR="009D4A13">
        <w:rPr>
          <w:rStyle w:val="normaltextrun"/>
          <w:rFonts w:asciiTheme="majorBidi" w:eastAsiaTheme="majorEastAsia" w:hAnsiTheme="majorBidi" w:cstheme="majorBidi"/>
        </w:rPr>
        <w:t>s</w:t>
      </w:r>
      <w:r w:rsidRPr="00ED7E61">
        <w:rPr>
          <w:rStyle w:val="normaltextrun"/>
          <w:rFonts w:asciiTheme="majorBidi" w:eastAsiaTheme="majorEastAsia" w:hAnsiTheme="majorBidi" w:cstheme="majorBidi"/>
        </w:rPr>
        <w:t>imilar processes apply for the incorporation of data into the World Database of Key Biodiversity Areas (</w:t>
      </w:r>
      <w:proofErr w:type="spellStart"/>
      <w:r w:rsidRPr="00ED7E61">
        <w:rPr>
          <w:rStyle w:val="normaltextrun"/>
          <w:rFonts w:asciiTheme="majorBidi" w:eastAsiaTheme="majorEastAsia" w:hAnsiTheme="majorBidi" w:cstheme="majorBidi"/>
        </w:rPr>
        <w:t>BirdLife</w:t>
      </w:r>
      <w:proofErr w:type="spellEnd"/>
      <w:r w:rsidRPr="00ED7E61">
        <w:rPr>
          <w:rStyle w:val="normaltextrun"/>
          <w:rFonts w:asciiTheme="majorBidi" w:eastAsiaTheme="majorEastAsia" w:hAnsiTheme="majorBidi" w:cstheme="majorBidi"/>
        </w:rPr>
        <w:t xml:space="preserve"> International 2023), and the KBA </w:t>
      </w:r>
      <w:hyperlink r:id="rId291" w:tgtFrame="_blank" w:history="1">
        <w:r w:rsidRPr="00ED7E61">
          <w:rPr>
            <w:rStyle w:val="normaltextrun"/>
            <w:rFonts w:asciiTheme="majorBidi" w:eastAsiaTheme="majorEastAsia" w:hAnsiTheme="majorBidi" w:cstheme="majorBidi"/>
            <w:color w:val="467886"/>
            <w:u w:val="single"/>
          </w:rPr>
          <w:t>Proposal, Review, Nomination and Confirmation process</w:t>
        </w:r>
      </w:hyperlink>
      <w:r w:rsidRPr="00ED7E61">
        <w:rPr>
          <w:rStyle w:val="normaltextrun"/>
          <w:rFonts w:asciiTheme="majorBidi" w:eastAsiaTheme="majorEastAsia" w:hAnsiTheme="majorBidi" w:cstheme="majorBidi"/>
        </w:rPr>
        <w:t xml:space="preserve"> involves a number of steps to ensure that the data are valid and the KBA criteria have been appropriately applied. </w:t>
      </w:r>
      <w:r w:rsidRPr="00ED7E61">
        <w:rPr>
          <w:rStyle w:val="eop"/>
          <w:rFonts w:asciiTheme="majorBidi" w:eastAsiaTheme="majorEastAsia" w:hAnsiTheme="majorBidi" w:cstheme="majorBidi"/>
        </w:rPr>
        <w:t> </w:t>
      </w:r>
    </w:p>
    <w:p w14:paraId="29E8309B" w14:textId="412AA36B" w:rsidR="00C84F8A" w:rsidRPr="00ED7E61" w:rsidRDefault="00C84F8A"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T</w:t>
      </w:r>
      <w:r w:rsidR="00756F0F" w:rsidRPr="00ED7E61">
        <w:rPr>
          <w:rStyle w:val="normaltextrun"/>
          <w:rFonts w:asciiTheme="majorBidi" w:eastAsiaTheme="majorEastAsia" w:hAnsiTheme="majorBidi" w:cstheme="majorBidi"/>
        </w:rPr>
        <w:t xml:space="preserve">he biggest limitation currently is that site identification to date has focused disproportionately on specific subsets of biodiversity, for example birds (for Important Bird and Biodiversity Areas) and highly threatened species (for Alliance for Zero Extinction sites). While Important Bird and Biodiversity Areas have been documented to be good surrogates for biodiversity more generally (Brooks et al. 2001, Pain et al. 2005), the application of the unified standard for identification of Key Biodiversity Areas (IUCN 2016) across different levels of biodiversity (genes, species, ecosystems) and different taxonomic groups remains a high priority, building from efforts to date (Eken et al. 2004, Knight et al. 2007, Langhammer et al. 2007, Foster et al. 2012). Fortunately, good progress is now being made, with birds now comprise less than 50% of the species for which Key Biodiversity Areas have been identified, and as Key Biodiversity Area identification for other taxa and elements </w:t>
      </w:r>
      <w:r w:rsidR="00756F0F" w:rsidRPr="00ED7E61">
        <w:rPr>
          <w:rStyle w:val="normaltextrun"/>
          <w:rFonts w:asciiTheme="majorBidi" w:eastAsiaTheme="majorEastAsia" w:hAnsiTheme="majorBidi" w:cstheme="majorBidi"/>
        </w:rPr>
        <w:lastRenderedPageBreak/>
        <w:t xml:space="preserve">of biodiversity proceeds, such bias will become a less important consideration in the future. Key Biodiversity Area identification has been validated for </w:t>
      </w:r>
      <w:proofErr w:type="gramStart"/>
      <w:r w:rsidR="00756F0F" w:rsidRPr="00ED7E61">
        <w:rPr>
          <w:rStyle w:val="normaltextrun"/>
          <w:rFonts w:asciiTheme="majorBidi" w:eastAsiaTheme="majorEastAsia" w:hAnsiTheme="majorBidi" w:cstheme="majorBidi"/>
        </w:rPr>
        <w:t>a number of</w:t>
      </w:r>
      <w:proofErr w:type="gramEnd"/>
      <w:r w:rsidR="00756F0F" w:rsidRPr="00ED7E61">
        <w:rPr>
          <w:rStyle w:val="normaltextrun"/>
          <w:rFonts w:asciiTheme="majorBidi" w:eastAsiaTheme="majorEastAsia" w:hAnsiTheme="majorBidi" w:cstheme="majorBidi"/>
        </w:rPr>
        <w:t xml:space="preserve"> countries and regions where comprehensive biodiversity data allow formal calculation of the site importance (or “</w:t>
      </w:r>
      <w:r w:rsidR="00756F0F" w:rsidRPr="00FB1598">
        <w:rPr>
          <w:rStyle w:val="normaltextrun"/>
          <w:rFonts w:asciiTheme="majorBidi" w:eastAsiaTheme="majorEastAsia" w:hAnsiTheme="majorBidi" w:cstheme="majorBidi"/>
          <w:i/>
          <w:iCs/>
        </w:rPr>
        <w:t>irreplaceability</w:t>
      </w:r>
      <w:r w:rsidR="00756F0F" w:rsidRPr="00ED7E61">
        <w:rPr>
          <w:rStyle w:val="normaltextrun"/>
          <w:rFonts w:asciiTheme="majorBidi" w:eastAsiaTheme="majorEastAsia" w:hAnsiTheme="majorBidi" w:cstheme="majorBidi"/>
        </w:rPr>
        <w:t xml:space="preserve">”) using systematic conservation planning techniques (Di Marco et al. 2016, Montesino </w:t>
      </w:r>
      <w:proofErr w:type="spellStart"/>
      <w:r w:rsidR="00756F0F" w:rsidRPr="00ED7E61">
        <w:rPr>
          <w:rStyle w:val="normaltextrun"/>
          <w:rFonts w:asciiTheme="majorBidi" w:eastAsiaTheme="majorEastAsia" w:hAnsiTheme="majorBidi" w:cstheme="majorBidi"/>
        </w:rPr>
        <w:t>Pouzols</w:t>
      </w:r>
      <w:proofErr w:type="spellEnd"/>
      <w:r w:rsidR="00756F0F" w:rsidRPr="00ED7E61">
        <w:rPr>
          <w:rStyle w:val="normaltextrun"/>
          <w:rFonts w:asciiTheme="majorBidi" w:eastAsiaTheme="majorEastAsia" w:hAnsiTheme="majorBidi" w:cstheme="majorBidi"/>
        </w:rPr>
        <w:t xml:space="preserve"> et al. 2014).</w:t>
      </w:r>
      <w:r w:rsidR="00756F0F" w:rsidRPr="00ED7E61">
        <w:rPr>
          <w:rStyle w:val="eop"/>
          <w:rFonts w:asciiTheme="majorBidi" w:eastAsiaTheme="majorEastAsia" w:hAnsiTheme="majorBidi" w:cstheme="majorBidi"/>
        </w:rPr>
        <w:t> </w:t>
      </w:r>
    </w:p>
    <w:p w14:paraId="15EACC73" w14:textId="77777777" w:rsidR="00C84F8A" w:rsidRPr="00ED7E61" w:rsidRDefault="00756F0F" w:rsidP="00B10F0C">
      <w:pPr>
        <w:pStyle w:val="CBDNormalNumber"/>
        <w:numPr>
          <w:ilvl w:val="0"/>
          <w:numId w:val="73"/>
        </w:numPr>
        <w:ind w:left="567" w:firstLine="0"/>
        <w:rPr>
          <w:rStyle w:val="normaltextrun"/>
          <w:rFonts w:asciiTheme="majorBidi" w:hAnsiTheme="majorBidi" w:cstheme="majorBidi"/>
        </w:rPr>
      </w:pPr>
      <w:r w:rsidRPr="00ED7E61">
        <w:rPr>
          <w:rStyle w:val="normaltextrun"/>
          <w:rFonts w:asciiTheme="majorBidi" w:eastAsiaTheme="majorEastAsia" w:hAnsiTheme="majorBidi" w:cstheme="majorBidi"/>
        </w:rPr>
        <w:t xml:space="preserve">Future developments of the indicator will include: </w:t>
      </w:r>
    </w:p>
    <w:p w14:paraId="365E6F83" w14:textId="1BCC0CE6" w:rsidR="00C84F8A" w:rsidRPr="00ED7E61" w:rsidRDefault="00C84F8A"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asciiTheme="majorBidi" w:hAnsiTheme="majorBidi" w:cstheme="majorBidi"/>
        </w:rPr>
      </w:pPr>
      <w:r w:rsidRPr="00ED7E61">
        <w:rPr>
          <w:rStyle w:val="normaltextrun"/>
          <w:rFonts w:asciiTheme="majorBidi" w:eastAsiaTheme="majorEastAsia" w:hAnsiTheme="majorBidi" w:cstheme="majorBidi"/>
        </w:rPr>
        <w:t>I</w:t>
      </w:r>
      <w:r w:rsidR="00756F0F" w:rsidRPr="00ED7E61">
        <w:rPr>
          <w:rStyle w:val="normaltextrun"/>
          <w:rFonts w:asciiTheme="majorBidi" w:eastAsiaTheme="majorEastAsia" w:hAnsiTheme="majorBidi" w:cstheme="majorBidi"/>
        </w:rPr>
        <w:t xml:space="preserve">mprovements in the data on protected areas by continuing to increase the proportion of sites with documented dates of designation and with digitised boundary polygons (rather than coordinates); </w:t>
      </w:r>
    </w:p>
    <w:p w14:paraId="22422C81" w14:textId="52B0B0F3" w:rsidR="00C84F8A" w:rsidRPr="00ED7E61" w:rsidRDefault="00C84F8A"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asciiTheme="majorBidi" w:hAnsiTheme="majorBidi" w:cstheme="majorBidi"/>
        </w:rPr>
      </w:pPr>
      <w:r w:rsidRPr="00ED7E61">
        <w:rPr>
          <w:rStyle w:val="normaltextrun"/>
          <w:rFonts w:asciiTheme="majorBidi" w:eastAsiaTheme="majorEastAsia" w:hAnsiTheme="majorBidi" w:cstheme="majorBidi"/>
        </w:rPr>
        <w:t>I</w:t>
      </w:r>
      <w:r w:rsidR="00756F0F" w:rsidRPr="00ED7E61">
        <w:rPr>
          <w:rStyle w:val="normaltextrun"/>
          <w:rFonts w:asciiTheme="majorBidi" w:eastAsiaTheme="majorEastAsia" w:hAnsiTheme="majorBidi" w:cstheme="majorBidi"/>
        </w:rPr>
        <w:t xml:space="preserve">ncreased documentation of OECMs; </w:t>
      </w:r>
    </w:p>
    <w:p w14:paraId="2129F984" w14:textId="3B3FD100" w:rsidR="00C84F8A" w:rsidRPr="00ED7E61" w:rsidRDefault="00C84F8A"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asciiTheme="majorBidi" w:hAnsiTheme="majorBidi" w:cstheme="majorBidi"/>
        </w:rPr>
      </w:pPr>
      <w:r w:rsidRPr="00ED7E61">
        <w:rPr>
          <w:rStyle w:val="normaltextrun"/>
          <w:rFonts w:asciiTheme="majorBidi" w:eastAsiaTheme="majorEastAsia" w:hAnsiTheme="majorBidi" w:cstheme="majorBidi"/>
        </w:rPr>
        <w:t>E</w:t>
      </w:r>
      <w:r w:rsidR="00756F0F" w:rsidRPr="00ED7E61">
        <w:rPr>
          <w:rStyle w:val="normaltextrun"/>
          <w:rFonts w:asciiTheme="majorBidi" w:eastAsiaTheme="majorEastAsia" w:hAnsiTheme="majorBidi" w:cstheme="majorBidi"/>
        </w:rPr>
        <w:t xml:space="preserve">xpansion of the taxonomic coverage of Key Biodiversity Areas through application of the Key Biodiversity Areas standard (IUCN 2016) to a wider variety of vertebrates, invertebrates and plants, as well as increased </w:t>
      </w:r>
      <w:r w:rsidR="00814FCB" w:rsidRPr="00ED7E61">
        <w:rPr>
          <w:rStyle w:val="normaltextrun"/>
          <w:rFonts w:asciiTheme="majorBidi" w:eastAsiaTheme="majorEastAsia" w:hAnsiTheme="majorBidi" w:cstheme="majorBidi"/>
        </w:rPr>
        <w:t>application</w:t>
      </w:r>
      <w:r w:rsidR="00756F0F" w:rsidRPr="00ED7E61">
        <w:rPr>
          <w:rStyle w:val="normaltextrun"/>
          <w:rFonts w:asciiTheme="majorBidi" w:eastAsiaTheme="majorEastAsia" w:hAnsiTheme="majorBidi" w:cstheme="majorBidi"/>
        </w:rPr>
        <w:t xml:space="preserve"> of the criteria relating to ecosystem, ecological integrity and irreplaceability; and </w:t>
      </w:r>
    </w:p>
    <w:p w14:paraId="4EAE488A" w14:textId="77777777" w:rsidR="00EE75F4" w:rsidRPr="00812871" w:rsidRDefault="00C84F8A"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asciiTheme="majorBidi" w:hAnsiTheme="majorBidi" w:cstheme="majorBidi"/>
        </w:rPr>
      </w:pPr>
      <w:r w:rsidRPr="00ED7E61">
        <w:rPr>
          <w:rStyle w:val="normaltextrun"/>
          <w:rFonts w:asciiTheme="majorBidi" w:eastAsiaTheme="majorEastAsia" w:hAnsiTheme="majorBidi" w:cstheme="majorBidi"/>
        </w:rPr>
        <w:t>I</w:t>
      </w:r>
      <w:r w:rsidR="00756F0F" w:rsidRPr="00ED7E61">
        <w:rPr>
          <w:rStyle w:val="normaltextrun"/>
          <w:rFonts w:asciiTheme="majorBidi" w:eastAsiaTheme="majorEastAsia" w:hAnsiTheme="majorBidi" w:cstheme="majorBidi"/>
        </w:rPr>
        <w:t xml:space="preserve">mproved data on effectiveness; </w:t>
      </w:r>
    </w:p>
    <w:p w14:paraId="3B32189F" w14:textId="79E47E23" w:rsidR="00756F0F" w:rsidRPr="0081287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eop"/>
          <w:rFonts w:asciiTheme="majorBidi" w:hAnsiTheme="majorBidi" w:cstheme="majorBidi"/>
        </w:rPr>
      </w:pPr>
      <w:r w:rsidRPr="00ED7E61">
        <w:rPr>
          <w:rStyle w:val="normaltextrun"/>
          <w:rFonts w:asciiTheme="majorBidi" w:eastAsiaTheme="majorEastAsia" w:hAnsiTheme="majorBidi" w:cstheme="majorBidi"/>
        </w:rPr>
        <w:t xml:space="preserve"> </w:t>
      </w:r>
      <w:r w:rsidR="00EE75F4">
        <w:rPr>
          <w:rStyle w:val="normaltextrun"/>
          <w:rFonts w:asciiTheme="majorBidi" w:eastAsiaTheme="majorEastAsia" w:hAnsiTheme="majorBidi" w:cstheme="majorBidi"/>
        </w:rPr>
        <w:t>I</w:t>
      </w:r>
      <w:r w:rsidRPr="00ED7E61">
        <w:rPr>
          <w:rStyle w:val="normaltextrun"/>
          <w:rFonts w:asciiTheme="majorBidi" w:eastAsiaTheme="majorEastAsia" w:hAnsiTheme="majorBidi" w:cstheme="majorBidi"/>
        </w:rPr>
        <w:t xml:space="preserve">ncreased use of </w:t>
      </w: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by ecosystem functional groups as these are mapped in increasing numbers of countries.</w:t>
      </w:r>
      <w:r w:rsidRPr="00ED7E61">
        <w:rPr>
          <w:rStyle w:val="eop"/>
          <w:rFonts w:asciiTheme="majorBidi" w:eastAsiaTheme="majorEastAsia" w:hAnsiTheme="majorBidi" w:cstheme="majorBidi"/>
        </w:rPr>
        <w:t> </w:t>
      </w:r>
    </w:p>
    <w:p w14:paraId="217479DD" w14:textId="38E28662" w:rsidR="00EE75F4" w:rsidRPr="00EE75F4" w:rsidRDefault="00EE75F4" w:rsidP="00812871">
      <w:pPr>
        <w:pStyle w:val="CBDNormalNumber"/>
        <w:numPr>
          <w:ilvl w:val="1"/>
          <w:numId w:val="73"/>
        </w:numPr>
        <w:tabs>
          <w:tab w:val="clear" w:pos="567"/>
          <w:tab w:val="clear" w:pos="1134"/>
          <w:tab w:val="clear" w:pos="1701"/>
          <w:tab w:val="clear" w:pos="2268"/>
          <w:tab w:val="left" w:pos="1985"/>
        </w:tabs>
        <w:ind w:left="1985" w:hanging="709"/>
        <w:rPr>
          <w:rFonts w:asciiTheme="majorBidi" w:hAnsiTheme="majorBidi" w:cstheme="majorBidi"/>
        </w:rPr>
      </w:pPr>
      <w:r>
        <w:rPr>
          <w:rStyle w:val="eop"/>
        </w:rPr>
        <w:t>An improved method for analysing trends in coverage of protected areas and OECMs.</w:t>
      </w:r>
    </w:p>
    <w:p w14:paraId="0BE771D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36245B3B" w14:textId="77777777" w:rsidR="0047500A" w:rsidRDefault="0047500A" w:rsidP="00812871">
      <w:pPr>
        <w:pStyle w:val="CBDNormalNumber"/>
        <w:rPr>
          <w:rStyle w:val="normaltextrun"/>
          <w:rFonts w:asciiTheme="majorBidi" w:hAnsiTheme="majorBidi" w:cstheme="majorBidi"/>
          <w:color w:val="4A4A4A"/>
          <w:sz w:val="24"/>
          <w:szCs w:val="24"/>
          <w:lang w:val="en-CA"/>
        </w:rPr>
      </w:pPr>
      <w:r>
        <w:rPr>
          <w:rStyle w:val="normaltextrun"/>
          <w:color w:val="4A4A4A"/>
        </w:rPr>
        <w:t xml:space="preserve">Disaggregation by areas of importance for biodiversity only: </w:t>
      </w:r>
    </w:p>
    <w:p w14:paraId="49062189" w14:textId="77777777" w:rsidR="00756F0F"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At country level</w:t>
      </w:r>
      <w:r w:rsidRPr="00ED7E61">
        <w:rPr>
          <w:rStyle w:val="eop"/>
          <w:rFonts w:asciiTheme="majorBidi" w:eastAsiaTheme="majorEastAsia" w:hAnsiTheme="majorBidi" w:cstheme="majorBidi"/>
        </w:rPr>
        <w:t> </w:t>
      </w:r>
    </w:p>
    <w:p w14:paraId="0B4170F8"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Data are available for protected areas and Key Biodiversity Areas in </w:t>
      </w:r>
      <w:proofErr w:type="gramStart"/>
      <w:r w:rsidRPr="00ED7E61">
        <w:rPr>
          <w:rStyle w:val="normaltextrun"/>
          <w:rFonts w:asciiTheme="majorBidi" w:eastAsiaTheme="majorEastAsia" w:hAnsiTheme="majorBidi" w:cstheme="majorBidi"/>
        </w:rPr>
        <w:t>all of</w:t>
      </w:r>
      <w:proofErr w:type="gramEnd"/>
      <w:r w:rsidRPr="00ED7E61">
        <w:rPr>
          <w:rStyle w:val="normaltextrun"/>
          <w:rFonts w:asciiTheme="majorBidi" w:eastAsiaTheme="majorEastAsia" w:hAnsiTheme="majorBidi" w:cstheme="majorBidi"/>
        </w:rPr>
        <w:t xml:space="preserve"> the world’s countries, and so no imputation or estimation of national level data is necessary.  Year of protected area establishment is unknown for a small but significant proportion of protected areas, generating uncertainty in temporal trends in the disaggregation by areas of importance for biodiversity (SDG indicators 14.5.1, 15.1.2, and 15.4.1). To reflect this uncertainty, in such cases a year was randomly assigned from another protected area within the same country, and this procedure was repeated 1,000 times, with the median plotted (Butchart et al. 2012, 2015). </w:t>
      </w:r>
      <w:r w:rsidRPr="00ED7E61">
        <w:rPr>
          <w:rStyle w:val="normaltextrun"/>
        </w:rPr>
        <w:t> </w:t>
      </w:r>
    </w:p>
    <w:p w14:paraId="689798A8" w14:textId="77777777" w:rsidR="00756F0F" w:rsidRPr="00ED7E61" w:rsidRDefault="00756F0F" w:rsidP="00B10F0C">
      <w:pPr>
        <w:pStyle w:val="CBDNormalNumber"/>
        <w:numPr>
          <w:ilvl w:val="0"/>
          <w:numId w:val="73"/>
        </w:numPr>
        <w:ind w:left="567" w:firstLine="0"/>
        <w:rPr>
          <w:rStyle w:val="normaltextrun"/>
          <w:rFonts w:eastAsiaTheme="majorEastAsia"/>
        </w:rPr>
      </w:pPr>
      <w:r w:rsidRPr="00ED7E61">
        <w:rPr>
          <w:rStyle w:val="normaltextrun"/>
          <w:rFonts w:asciiTheme="majorBidi" w:eastAsiaTheme="majorEastAsia" w:hAnsiTheme="majorBidi" w:cstheme="majorBidi"/>
        </w:rPr>
        <w:t>At regional and global levels</w:t>
      </w:r>
      <w:r w:rsidRPr="00ED7E61">
        <w:rPr>
          <w:rStyle w:val="normaltextrun"/>
        </w:rPr>
        <w:t> </w:t>
      </w:r>
    </w:p>
    <w:p w14:paraId="1AC85893"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Global and regional versions of the indicators are generated from all countries globally or in the relevant region, and so while there is uncertainty around the data, there are no missing values as such and so no need for imputation or estimation.</w:t>
      </w:r>
      <w:r w:rsidRPr="00ED7E61">
        <w:rPr>
          <w:rStyle w:val="normaltextrun"/>
        </w:rPr>
        <w:t> </w:t>
      </w:r>
    </w:p>
    <w:p w14:paraId="12FAB65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37316D76" w14:textId="77777777" w:rsidR="00756F0F" w:rsidRPr="00ED7E61" w:rsidRDefault="00756F0F" w:rsidP="008841C1">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7E412380" w14:textId="77777777" w:rsidR="00756F0F" w:rsidRPr="00ED7E61" w:rsidRDefault="00756F0F" w:rsidP="008841C1">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23FBEB53" w14:textId="77777777" w:rsidR="00756F0F" w:rsidRPr="00ED7E61" w:rsidRDefault="00756F0F" w:rsidP="008841C1">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127F9284" w14:textId="77777777" w:rsidR="00756F0F" w:rsidRPr="00ED7E61" w:rsidRDefault="00756F0F" w:rsidP="00B10F0C">
      <w:pPr>
        <w:pStyle w:val="CBDNormalNumber"/>
        <w:numPr>
          <w:ilvl w:val="0"/>
          <w:numId w:val="73"/>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Scale of data disaggregation/aggregation: </w:t>
      </w:r>
      <w:r w:rsidRPr="00ED7E61">
        <w:rPr>
          <w:rStyle w:val="normaltextrun"/>
        </w:rPr>
        <w:t> </w:t>
      </w:r>
    </w:p>
    <w:p w14:paraId="432490BE"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Global/ regional scale indicator can be disaggregated to national level: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429DFBBB" w14:textId="4E075B2B" w:rsidR="00756F0F" w:rsidRPr="008841C1" w:rsidRDefault="00756F0F" w:rsidP="00B10F0C">
      <w:pPr>
        <w:pStyle w:val="CBDNormalNumber"/>
        <w:numPr>
          <w:ilvl w:val="1"/>
          <w:numId w:val="73"/>
        </w:numPr>
        <w:tabs>
          <w:tab w:val="clear" w:pos="567"/>
          <w:tab w:val="clear" w:pos="1134"/>
          <w:tab w:val="clear" w:pos="1701"/>
          <w:tab w:val="clear" w:pos="2268"/>
          <w:tab w:val="left" w:pos="1985"/>
        </w:tabs>
        <w:ind w:left="1276" w:firstLine="56"/>
        <w:rPr>
          <w:rFonts w:eastAsiaTheme="majorEastAsia"/>
        </w:rPr>
      </w:pPr>
      <w:r w:rsidRPr="00ED7E61">
        <w:rPr>
          <w:rStyle w:val="normaltextrun"/>
          <w:rFonts w:asciiTheme="majorBidi" w:eastAsiaTheme="majorEastAsia" w:hAnsiTheme="majorBidi" w:cstheme="majorBidi"/>
        </w:rPr>
        <w:t xml:space="preserve">National data is collated to form global indicator: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41CF155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40738839" w14:textId="77777777" w:rsidR="00756F0F" w:rsidRPr="00ED7E61" w:rsidRDefault="00756F0F" w:rsidP="00B10F0C">
      <w:pPr>
        <w:pStyle w:val="CBDNormalNumber"/>
        <w:numPr>
          <w:ilvl w:val="0"/>
          <w:numId w:val="73"/>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following method is used to calculate coverage of protected areas by realm:</w:t>
      </w:r>
      <w:r w:rsidRPr="00ED7E61">
        <w:rPr>
          <w:rStyle w:val="normaltextrun"/>
        </w:rPr>
        <w:t> </w:t>
      </w:r>
    </w:p>
    <w:p w14:paraId="2B3DBAB7"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lastRenderedPageBreak/>
        <w:t>Start with the latest WDPA monthly release.</w:t>
      </w:r>
      <w:r w:rsidRPr="00ED7E61">
        <w:rPr>
          <w:rStyle w:val="normaltextrun"/>
        </w:rPr>
        <w:t> </w:t>
      </w:r>
    </w:p>
    <w:p w14:paraId="7A30C74F" w14:textId="26586ECB" w:rsidR="00756F0F" w:rsidRPr="00812871" w:rsidRDefault="00756F0F" w:rsidP="00812871">
      <w:pPr>
        <w:pStyle w:val="CBDNormalNumber"/>
        <w:numPr>
          <w:ilvl w:val="1"/>
          <w:numId w:val="73"/>
        </w:numPr>
        <w:ind w:left="1276" w:firstLine="56"/>
        <w:rPr>
          <w:rStyle w:val="normaltextrun"/>
        </w:rPr>
      </w:pPr>
      <w:r w:rsidRPr="00ED7E61">
        <w:rPr>
          <w:rStyle w:val="normaltextrun"/>
          <w:rFonts w:asciiTheme="majorBidi" w:eastAsiaTheme="majorEastAsia" w:hAnsiTheme="majorBidi" w:cstheme="majorBidi"/>
        </w:rPr>
        <w:t>The WDP</w:t>
      </w:r>
      <w:r w:rsidR="0047500A">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A is filtered to exclude records with the characteristics listed in section 5b.</w:t>
      </w:r>
      <w:r w:rsidRPr="00ED7E61">
        <w:rPr>
          <w:rStyle w:val="normaltextrun"/>
        </w:rPr>
        <w:t> </w:t>
      </w:r>
      <w:r w:rsidR="0047500A" w:rsidRPr="0047500A">
        <w:t xml:space="preserve">OECMs are also excluded for this part of the analysis. </w:t>
      </w:r>
    </w:p>
    <w:p w14:paraId="3C5B10D2"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 buffer is created around protected areas reported as points using their Reported Area. There are important caveats associated with this method, some of which are explored by Visconti et al. 2013. Buffering points can underestimate or overestimate protected area coverage as the circles created around points might cover areas where protected areas do not exist (overestimation) or overlap with areas where other protected areas already exist (underestimation). It can also give inaccurate values for sites that are partly terrestrial and marine as the absence of boundaries make it difficult to predict which portion of a protected area is in the land or the sea.</w:t>
      </w:r>
      <w:r w:rsidRPr="00ED7E61">
        <w:rPr>
          <w:rStyle w:val="normaltextrun"/>
        </w:rPr>
        <w:t> </w:t>
      </w:r>
    </w:p>
    <w:p w14:paraId="0CA10A28"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Both polygon and buffered point layers are combined in a single layer.</w:t>
      </w:r>
      <w:r w:rsidRPr="00ED7E61">
        <w:rPr>
          <w:rStyle w:val="normaltextrun"/>
        </w:rPr>
        <w:t> </w:t>
      </w:r>
    </w:p>
    <w:p w14:paraId="190F470C"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The layer above is flattened (dissolved) by country/territory to remove overlaps between designations within countries/territories and avoid double counting (please note that this retains overlaps between countries and should therefore only be used to calculate national, not regional or global, coverage.</w:t>
      </w:r>
      <w:r w:rsidRPr="00ED7E61">
        <w:rPr>
          <w:rStyle w:val="normaltextrun"/>
        </w:rPr>
        <w:t> </w:t>
      </w:r>
    </w:p>
    <w:p w14:paraId="7A2558C5"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Transboundary sites (those that are attributed to multiple countries) are split geographically according to where each part of the protected area is located and are then allocated to the corresponding countries/territories using the base map of the world (see section 5b).</w:t>
      </w:r>
      <w:r w:rsidRPr="00ED7E61">
        <w:rPr>
          <w:rStyle w:val="normaltextrun"/>
        </w:rPr>
        <w:t> </w:t>
      </w:r>
    </w:p>
    <w:p w14:paraId="05CB6D5D"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The flattened output is intersected with a base map of the world (see section 5b)</w:t>
      </w:r>
      <w:r w:rsidRPr="00ED7E61">
        <w:rPr>
          <w:rStyle w:val="normaltextrun"/>
        </w:rPr>
        <w:t> </w:t>
      </w:r>
    </w:p>
    <w:p w14:paraId="682F3C8F" w14:textId="0D0C8BC2"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The intersected output is </w:t>
      </w:r>
      <w:r w:rsidR="0047500A">
        <w:rPr>
          <w:rStyle w:val="normaltextrun"/>
          <w:rFonts w:asciiTheme="majorBidi" w:eastAsiaTheme="majorEastAsia" w:hAnsiTheme="majorBidi" w:cstheme="majorBidi"/>
        </w:rPr>
        <w:t>used</w:t>
      </w:r>
      <w:r w:rsidR="0047500A"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to</w:t>
      </w:r>
      <w:r w:rsidR="0047500A">
        <w:rPr>
          <w:rStyle w:val="normaltextrun"/>
          <w:rFonts w:asciiTheme="majorBidi" w:eastAsiaTheme="majorEastAsia" w:hAnsiTheme="majorBidi" w:cstheme="majorBidi"/>
        </w:rPr>
        <w:t xml:space="preserve"> calculate, using geodesic area calculations in WGS 1984, </w:t>
      </w:r>
      <w:r w:rsidRPr="00ED7E61">
        <w:rPr>
          <w:rStyle w:val="normaltextrun"/>
          <w:rFonts w:asciiTheme="majorBidi" w:eastAsiaTheme="majorEastAsia" w:hAnsiTheme="majorBidi" w:cstheme="majorBidi"/>
        </w:rPr>
        <w:t xml:space="preserve">the land and EEZ protected area </w:t>
      </w:r>
      <w:r w:rsidR="0047500A">
        <w:rPr>
          <w:rStyle w:val="normaltextrun"/>
          <w:rFonts w:asciiTheme="majorBidi" w:eastAsiaTheme="majorEastAsia" w:hAnsiTheme="majorBidi" w:cstheme="majorBidi"/>
        </w:rPr>
        <w:t xml:space="preserve">in square </w:t>
      </w:r>
      <w:proofErr w:type="spellStart"/>
      <w:r w:rsidR="0047500A">
        <w:rPr>
          <w:rStyle w:val="normaltextrun"/>
          <w:rFonts w:asciiTheme="majorBidi" w:eastAsiaTheme="majorEastAsia" w:hAnsiTheme="majorBidi" w:cstheme="majorBidi"/>
        </w:rPr>
        <w:t>kilometers</w:t>
      </w:r>
      <w:proofErr w:type="spellEnd"/>
      <w:r w:rsidR="0047500A">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of every country and territory.</w:t>
      </w:r>
      <w:r w:rsidRPr="00ED7E61">
        <w:rPr>
          <w:rStyle w:val="normaltextrun"/>
        </w:rPr>
        <w:t> </w:t>
      </w:r>
    </w:p>
    <w:p w14:paraId="7733277E"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The terrestrial protected area coverage is calculated for each country or territory by dividing the total area of terrestrial protected areas by total terrestrial area of that country/territory. The marine and coastal protected area coverage is calculated for each country or territory by dividing the total marine and coastal area of protected areas by total marine and coastal area of that country/territory.</w:t>
      </w:r>
      <w:r w:rsidRPr="00ED7E61">
        <w:rPr>
          <w:rStyle w:val="normaltextrun"/>
        </w:rPr>
        <w:t> </w:t>
      </w:r>
    </w:p>
    <w:p w14:paraId="007EFC0C" w14:textId="77777777" w:rsidR="00756F0F"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OECM coverage by realm is calculated separately:</w:t>
      </w:r>
      <w:r w:rsidRPr="00ED7E61">
        <w:rPr>
          <w:rStyle w:val="normaltextrun"/>
        </w:rPr>
        <w:t> </w:t>
      </w:r>
    </w:p>
    <w:p w14:paraId="229801CC" w14:textId="355A4F98"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Start with the latest </w:t>
      </w:r>
      <w:r w:rsidR="0047500A">
        <w:rPr>
          <w:rStyle w:val="normaltextrun"/>
          <w:rFonts w:asciiTheme="majorBidi" w:eastAsiaTheme="majorEastAsia" w:hAnsiTheme="majorBidi" w:cstheme="majorBidi"/>
        </w:rPr>
        <w:t xml:space="preserve">OECM data from the lasted WDPCA </w:t>
      </w:r>
      <w:r w:rsidRPr="00ED7E61">
        <w:rPr>
          <w:rStyle w:val="normaltextrun"/>
          <w:rFonts w:asciiTheme="majorBidi" w:eastAsiaTheme="majorEastAsia" w:hAnsiTheme="majorBidi" w:cstheme="majorBidi"/>
        </w:rPr>
        <w:t>monthly release.</w:t>
      </w:r>
      <w:r w:rsidRPr="00ED7E61">
        <w:rPr>
          <w:rStyle w:val="normaltextrun"/>
        </w:rPr>
        <w:t> </w:t>
      </w:r>
    </w:p>
    <w:p w14:paraId="3C89B3BF" w14:textId="5A4C15A2"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 buffer is created around OECMs reported as points using their Reported Area.</w:t>
      </w:r>
      <w:r w:rsidRPr="00ED7E61">
        <w:rPr>
          <w:rStyle w:val="normaltextrun"/>
        </w:rPr>
        <w:t> </w:t>
      </w:r>
      <w:r w:rsidR="0047500A">
        <w:rPr>
          <w:rStyle w:val="normaltextrun"/>
        </w:rPr>
        <w:t>The caveats above also apply here.</w:t>
      </w:r>
    </w:p>
    <w:p w14:paraId="09C1740E"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Both polygon and buffered point layers are combined in a single layer.</w:t>
      </w:r>
      <w:r w:rsidRPr="00ED7E61">
        <w:rPr>
          <w:rStyle w:val="normaltextrun"/>
        </w:rPr>
        <w:t> </w:t>
      </w:r>
    </w:p>
    <w:p w14:paraId="5D8DE7CB" w14:textId="64AC43F2"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Areas where protected areas and OECMs overlap are erased from the OECMs layer using the global protected areas flat</w:t>
      </w:r>
      <w:r w:rsidR="0047500A">
        <w:rPr>
          <w:rStyle w:val="normaltextrun"/>
          <w:rFonts w:asciiTheme="majorBidi" w:eastAsiaTheme="majorEastAsia" w:hAnsiTheme="majorBidi" w:cstheme="majorBidi"/>
        </w:rPr>
        <w:t>tened</w:t>
      </w:r>
      <w:r w:rsidRPr="00ED7E61">
        <w:rPr>
          <w:rStyle w:val="normaltextrun"/>
          <w:rFonts w:asciiTheme="majorBidi" w:eastAsiaTheme="majorEastAsia" w:hAnsiTheme="majorBidi" w:cstheme="majorBidi"/>
        </w:rPr>
        <w:t xml:space="preserve"> layer.</w:t>
      </w:r>
      <w:r w:rsidRPr="00ED7E61">
        <w:rPr>
          <w:rStyle w:val="normaltextrun"/>
        </w:rPr>
        <w:t> </w:t>
      </w:r>
    </w:p>
    <w:p w14:paraId="2802451E"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The output OECMs layer is flattened (dissolved) by country/territory to eliminate overlaps between areas and avoid double counting.</w:t>
      </w:r>
      <w:r w:rsidRPr="00ED7E61">
        <w:rPr>
          <w:rStyle w:val="normaltextrun"/>
        </w:rPr>
        <w:t> </w:t>
      </w:r>
    </w:p>
    <w:p w14:paraId="044F226D" w14:textId="3FB790ED" w:rsidR="0047500A" w:rsidRPr="00812871" w:rsidRDefault="00756F0F" w:rsidP="00812871">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The OECMs flattened layer is intersected with a base map of the world (see section 5b)</w:t>
      </w:r>
      <w:r w:rsidRPr="00812871">
        <w:rPr>
          <w:rStyle w:val="normaltextrun"/>
          <w:rFonts w:asciiTheme="majorBidi" w:eastAsiaTheme="majorEastAsia" w:hAnsiTheme="majorBidi" w:cstheme="majorBidi"/>
        </w:rPr>
        <w:t> </w:t>
      </w:r>
      <w:r w:rsidR="0047500A" w:rsidRPr="00812871">
        <w:rPr>
          <w:rStyle w:val="normaltextrun"/>
          <w:rFonts w:asciiTheme="majorBidi" w:eastAsiaTheme="majorEastAsia" w:hAnsiTheme="majorBidi" w:cstheme="majorBidi"/>
        </w:rPr>
        <w:t>The intersected output is used to calculate, using geodesic area calculations in WGS 1984, the land and EEZ protected area of every country and territory in km2.</w:t>
      </w:r>
      <w:r w:rsidR="0047500A" w:rsidRPr="00812871">
        <w:rPr>
          <w:rStyle w:val="normaltextrun"/>
          <w:rFonts w:eastAsiaTheme="majorEastAsia" w:cstheme="majorBidi"/>
        </w:rPr>
        <w:t> </w:t>
      </w:r>
    </w:p>
    <w:p w14:paraId="6F7D3629" w14:textId="77777777" w:rsidR="00756F0F" w:rsidRPr="00ED7E61" w:rsidRDefault="00756F0F" w:rsidP="00B10F0C">
      <w:pPr>
        <w:pStyle w:val="CBDNormalNumber"/>
        <w:numPr>
          <w:ilvl w:val="0"/>
          <w:numId w:val="73"/>
        </w:numPr>
        <w:ind w:left="567" w:firstLine="0"/>
        <w:rPr>
          <w:rStyle w:val="normaltextrun"/>
          <w:rFonts w:eastAsiaTheme="majorEastAsia"/>
        </w:rPr>
      </w:pPr>
      <w:r w:rsidRPr="00ED7E61">
        <w:rPr>
          <w:rStyle w:val="normaltextrun"/>
          <w:rFonts w:asciiTheme="majorBidi" w:eastAsiaTheme="majorEastAsia" w:hAnsiTheme="majorBidi" w:cstheme="majorBidi"/>
        </w:rPr>
        <w:t>The national total protected area &amp; OECM coverage for each realm in each country and territory is calculated:</w:t>
      </w:r>
      <w:r w:rsidRPr="00ED7E61">
        <w:rPr>
          <w:rStyle w:val="normaltextrun"/>
        </w:rPr>
        <w:t> </w:t>
      </w:r>
    </w:p>
    <w:p w14:paraId="6C24B59F" w14:textId="59361AE7" w:rsidR="00B10F84"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Fonts w:asciiTheme="majorBidi" w:hAnsiTheme="majorBidi" w:cstheme="majorBidi"/>
          <w:color w:val="4A4A4A"/>
        </w:rPr>
      </w:pPr>
      <w:r w:rsidRPr="00ED7E61">
        <w:rPr>
          <w:rStyle w:val="normaltextrun"/>
          <w:rFonts w:asciiTheme="majorBidi" w:eastAsiaTheme="majorEastAsia" w:hAnsiTheme="majorBidi" w:cstheme="majorBidi"/>
        </w:rPr>
        <w:t>National terrestrial protected area &amp; OECM coverage = (national total area of terrestrial protected areas + national total area of terrestrial OECMs) / total terrestrial area of the country/territory.</w:t>
      </w:r>
      <w:r w:rsidRPr="00ED7E61">
        <w:rPr>
          <w:rStyle w:val="eop"/>
          <w:rFonts w:asciiTheme="majorBidi" w:eastAsiaTheme="majorEastAsia" w:hAnsiTheme="majorBidi" w:cstheme="majorBidi"/>
        </w:rPr>
        <w:t> </w:t>
      </w:r>
    </w:p>
    <w:p w14:paraId="0ABF1E48"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Fonts w:asciiTheme="majorBidi" w:hAnsiTheme="majorBidi" w:cstheme="majorBidi"/>
          <w:color w:val="4A4A4A"/>
        </w:rPr>
      </w:pPr>
      <w:r w:rsidRPr="00ED7E61">
        <w:rPr>
          <w:rStyle w:val="normaltextrun"/>
          <w:rFonts w:asciiTheme="majorBidi" w:eastAsiaTheme="majorEastAsia" w:hAnsiTheme="majorBidi" w:cstheme="majorBidi"/>
        </w:rPr>
        <w:lastRenderedPageBreak/>
        <w:t>National marine and coastal protected area &amp; OECM coverage = (national total area of marine and coastal protected areas + national total area of marine and coastal OECMs) / total marine and coastal area of the country/territory.</w:t>
      </w:r>
      <w:r w:rsidRPr="00ED7E61">
        <w:rPr>
          <w:rStyle w:val="eop"/>
          <w:rFonts w:asciiTheme="majorBidi" w:eastAsiaTheme="majorEastAsia" w:hAnsiTheme="majorBidi" w:cstheme="majorBidi"/>
        </w:rPr>
        <w:t> </w:t>
      </w:r>
    </w:p>
    <w:p w14:paraId="60F96128" w14:textId="77777777" w:rsidR="00756F0F"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Regional indices for the disaggregation by Key Biodiversity Areas are calculated as the mean percentage of each Key Biodiversity Area in the region covered by (i.e. overlapping with) protected areas and/or Other Effective Area-based Conservation Measures: in other words, the percentage of each Key Biodiversity Area covered by these designations, averaged over all Key Biodiversity Areas in the particular region.</w:t>
      </w:r>
      <w:r w:rsidRPr="00ED7E61">
        <w:rPr>
          <w:rStyle w:val="eop"/>
          <w:rFonts w:asciiTheme="majorBidi" w:eastAsiaTheme="majorEastAsia" w:hAnsiTheme="majorBidi" w:cstheme="majorBidi"/>
        </w:rPr>
        <w:t> </w:t>
      </w:r>
    </w:p>
    <w:p w14:paraId="5A1133C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6EB2335E" w14:textId="6328E42D" w:rsidR="00B10F84"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 xml:space="preserve">National processes provide the data that are incorporated into the </w:t>
      </w:r>
      <w:r w:rsidR="00C4354E">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xml:space="preserve">, and the World Database of Key Biodiversity Areas, so there are very few discrepancies between national indicators and the global one. One minor source of difference is that </w:t>
      </w:r>
      <w:r w:rsidR="00C4354E">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xml:space="preserve"> incorporates internationally designated protected areas (e.g. UNESCO World Heritage sites, Ramsar sites, etc</w:t>
      </w:r>
      <w:r w:rsidR="00D6334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a few of which are not considered by their sovereign nations to be protected areas. </w:t>
      </w:r>
      <w:r w:rsidRPr="00ED7E61">
        <w:rPr>
          <w:rStyle w:val="eop"/>
          <w:rFonts w:asciiTheme="majorBidi" w:eastAsiaTheme="majorEastAsia" w:hAnsiTheme="majorBidi" w:cstheme="majorBidi"/>
        </w:rPr>
        <w:t> </w:t>
      </w:r>
    </w:p>
    <w:p w14:paraId="6A1C3191" w14:textId="77777777" w:rsidR="005E5900" w:rsidRPr="005E5900" w:rsidRDefault="00756F0F" w:rsidP="005E5900">
      <w:pPr>
        <w:pStyle w:val="CBDNormalNumber"/>
        <w:numPr>
          <w:ilvl w:val="0"/>
          <w:numId w:val="73"/>
        </w:numPr>
        <w:ind w:left="567" w:firstLine="0"/>
        <w:rPr>
          <w:rFonts w:asciiTheme="majorBidi" w:eastAsiaTheme="majorEastAsia" w:hAnsiTheme="majorBidi" w:cstheme="majorBidi"/>
        </w:rPr>
      </w:pPr>
      <w:r w:rsidRPr="00ED7E61">
        <w:rPr>
          <w:rStyle w:val="normaltextrun"/>
          <w:rFonts w:asciiTheme="majorBidi" w:eastAsiaTheme="majorEastAsia" w:hAnsiTheme="majorBidi" w:cstheme="majorBidi"/>
        </w:rPr>
        <w:t>Note that because countries do not submit comprehensive data on degazetted protected areas to the WDP</w:t>
      </w:r>
      <w:r w:rsidR="002417F2">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A, earlier values of the indictor may marginally underestimate coverage. Furthermore, there is also a lag between the point at which a protected area is designated</w:t>
      </w:r>
      <w:r w:rsidR="002417F2">
        <w:rPr>
          <w:rStyle w:val="normaltextrun"/>
          <w:rFonts w:asciiTheme="majorBidi" w:eastAsiaTheme="majorEastAsia" w:hAnsiTheme="majorBidi" w:cstheme="majorBidi"/>
        </w:rPr>
        <w:t xml:space="preserve"> (or OECM is recognised)</w:t>
      </w:r>
      <w:r w:rsidRPr="00ED7E61">
        <w:rPr>
          <w:rStyle w:val="normaltextrun"/>
          <w:rFonts w:asciiTheme="majorBidi" w:eastAsiaTheme="majorEastAsia" w:hAnsiTheme="majorBidi" w:cstheme="majorBidi"/>
        </w:rPr>
        <w:t xml:space="preserve"> on the ground and the point at which it is reported to the WDPA. As such, current or recent coverage may also be underestimated.</w:t>
      </w:r>
      <w:r w:rsidRPr="00ED7E61">
        <w:rPr>
          <w:rStyle w:val="eop"/>
          <w:rFonts w:asciiTheme="majorBidi" w:eastAsiaTheme="majorEastAsia" w:hAnsiTheme="majorBidi" w:cstheme="majorBidi"/>
        </w:rPr>
        <w:t> </w:t>
      </w:r>
      <w:r w:rsidR="005E5900" w:rsidRPr="005E5900">
        <w:rPr>
          <w:rFonts w:asciiTheme="majorBidi" w:hAnsiTheme="majorBidi" w:cstheme="majorBidi"/>
        </w:rPr>
        <w:t xml:space="preserve">A method to more accurately analyse historic trends is under development by UNEP-WCMC. </w:t>
      </w:r>
    </w:p>
    <w:p w14:paraId="5A926712" w14:textId="56A67AFD" w:rsidR="00756F0F" w:rsidRPr="00ED7E61" w:rsidRDefault="00756F0F" w:rsidP="00B10F0C">
      <w:pPr>
        <w:pStyle w:val="CBDNormalNumber"/>
        <w:numPr>
          <w:ilvl w:val="0"/>
          <w:numId w:val="73"/>
        </w:numPr>
        <w:ind w:left="567" w:firstLine="0"/>
        <w:rPr>
          <w:rFonts w:asciiTheme="majorBidi" w:hAnsiTheme="majorBidi" w:cstheme="majorBidi"/>
          <w:color w:val="4A4A4A"/>
        </w:rPr>
      </w:pPr>
    </w:p>
    <w:p w14:paraId="3D8910C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4E558A1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429E9DF8" w14:textId="32C67242" w:rsidR="00756F0F"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See above for the methods for calculating coverage by realm and by Key Biodiversity Areas for regions and globally. Protected Areas</w:t>
      </w:r>
      <w:r w:rsidR="005E5900">
        <w:rPr>
          <w:rStyle w:val="normaltextrun"/>
          <w:rFonts w:asciiTheme="majorBidi" w:eastAsiaTheme="majorEastAsia" w:hAnsiTheme="majorBidi" w:cstheme="majorBidi"/>
        </w:rPr>
        <w:t>, OECMs</w:t>
      </w:r>
      <w:r w:rsidRPr="00ED7E61">
        <w:rPr>
          <w:rStyle w:val="normaltextrun"/>
          <w:rFonts w:asciiTheme="majorBidi" w:eastAsiaTheme="majorEastAsia" w:hAnsiTheme="majorBidi" w:cstheme="majorBidi"/>
        </w:rPr>
        <w:t xml:space="preserve"> and Key Biodiversity Areas in Areas Beyond National Jurisdiction (ABNJ) are included in the global versions of these indicators, but not for national or regional versions.</w:t>
      </w:r>
      <w:r w:rsidRPr="00ED7E61">
        <w:rPr>
          <w:rStyle w:val="eop"/>
          <w:rFonts w:asciiTheme="majorBidi" w:eastAsiaTheme="majorEastAsia" w:hAnsiTheme="majorBidi" w:cstheme="majorBidi"/>
        </w:rPr>
        <w:t> </w:t>
      </w:r>
    </w:p>
    <w:p w14:paraId="5A1F0D3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744B7DFA" w14:textId="77777777" w:rsidR="00756F0F" w:rsidRPr="00ED7E61" w:rsidRDefault="00756F0F" w:rsidP="008841C1">
      <w:pPr>
        <w:pStyle w:val="CBDNormalNumber"/>
        <w:ind w:left="567"/>
        <w:rPr>
          <w:rFonts w:asciiTheme="majorBidi" w:hAnsiTheme="majorBidi" w:cstheme="majorBidi"/>
        </w:rPr>
      </w:pPr>
      <w:r w:rsidRPr="00ED7E61">
        <w:rPr>
          <w:rStyle w:val="normaltextrun"/>
          <w:rFonts w:asciiTheme="majorBidi" w:eastAsiaTheme="majorEastAsia" w:hAnsiTheme="majorBidi" w:cstheme="majorBidi"/>
          <w:i/>
          <w:iCs/>
        </w:rPr>
        <w:t>N/A</w:t>
      </w:r>
      <w:r w:rsidRPr="00ED7E61">
        <w:rPr>
          <w:rStyle w:val="eop"/>
          <w:rFonts w:asciiTheme="majorBidi" w:eastAsiaTheme="majorEastAsia" w:hAnsiTheme="majorBidi" w:cstheme="majorBidi"/>
        </w:rPr>
        <w:t> </w:t>
      </w:r>
    </w:p>
    <w:p w14:paraId="0F2CCF1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22EBE7C9" w14:textId="7FA92B9A" w:rsidR="00756F0F" w:rsidRPr="00ED7E61" w:rsidRDefault="00756F0F" w:rsidP="003F15A4">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See section 5. </w:t>
      </w:r>
      <w:r w:rsidRPr="00ED7E61">
        <w:rPr>
          <w:rStyle w:val="eop"/>
          <w:rFonts w:asciiTheme="majorBidi" w:eastAsiaTheme="majorEastAsia" w:hAnsiTheme="majorBidi" w:cstheme="majorBidi"/>
        </w:rPr>
        <w:t> </w:t>
      </w:r>
    </w:p>
    <w:p w14:paraId="4F27CC68" w14:textId="44373982" w:rsidR="00756F0F" w:rsidRPr="00812871" w:rsidRDefault="00756F0F" w:rsidP="00812871">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812871">
        <w:rPr>
          <w:rStyle w:val="normaltextrun"/>
          <w:rFonts w:asciiTheme="majorBidi" w:eastAsiaTheme="majorEastAsia" w:hAnsiTheme="majorBidi" w:cstheme="majorBidi"/>
          <w:b/>
          <w:bCs/>
          <w:sz w:val="22"/>
          <w:szCs w:val="22"/>
          <w:lang w:val="en-GB"/>
        </w:rPr>
        <w:t>7. Other MEAs, processes and organi</w:t>
      </w:r>
      <w:r w:rsidR="00B10F0C" w:rsidRPr="00812871">
        <w:rPr>
          <w:rStyle w:val="normaltextrun"/>
          <w:rFonts w:asciiTheme="majorBidi" w:eastAsiaTheme="majorEastAsia" w:hAnsiTheme="majorBidi" w:cstheme="majorBidi"/>
          <w:b/>
          <w:bCs/>
          <w:sz w:val="22"/>
          <w:szCs w:val="22"/>
          <w:lang w:val="en-GB"/>
        </w:rPr>
        <w:t>z</w:t>
      </w:r>
      <w:r w:rsidRPr="00812871">
        <w:rPr>
          <w:rStyle w:val="normaltextrun"/>
          <w:rFonts w:asciiTheme="majorBidi" w:eastAsiaTheme="majorEastAsia" w:hAnsiTheme="majorBidi" w:cstheme="majorBidi"/>
          <w:b/>
          <w:bCs/>
          <w:sz w:val="22"/>
          <w:szCs w:val="22"/>
          <w:lang w:val="en-GB"/>
        </w:rPr>
        <w:t>ations</w:t>
      </w:r>
      <w:r w:rsidRPr="00812871">
        <w:rPr>
          <w:rStyle w:val="normaltextrun"/>
          <w:rFonts w:eastAsiaTheme="majorEastAsia"/>
          <w:b/>
          <w:bCs/>
          <w:lang w:val="en-GB"/>
        </w:rPr>
        <w:t> </w:t>
      </w:r>
    </w:p>
    <w:p w14:paraId="76484C33" w14:textId="65121847" w:rsidR="00B10F84" w:rsidRPr="00ED7E61" w:rsidRDefault="00756F0F" w:rsidP="00B10F0C">
      <w:pPr>
        <w:pStyle w:val="CBDNormalNumber"/>
        <w:numPr>
          <w:ilvl w:val="0"/>
          <w:numId w:val="73"/>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Sustainable Development Goals</w:t>
      </w:r>
      <w:r w:rsidRPr="00ED7E61">
        <w:rPr>
          <w:rStyle w:val="normaltextrun"/>
        </w:rPr>
        <w:t> </w:t>
      </w:r>
    </w:p>
    <w:p w14:paraId="736289BB" w14:textId="79895B70" w:rsidR="00B10F84"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Marine versions of the indicator are the same as Sustainable development Goal (SDG) indicator 14.5.1. Terrestrial and freshwater versions of the disaggregation by areas of importance for biodiversity are the same as SDG indicator 15.1.2 (while SDG indicator 15.4.1 represents a version for sites of important mountain biodiversity). </w:t>
      </w:r>
      <w:r w:rsidRPr="00ED7E61">
        <w:rPr>
          <w:rStyle w:val="eop"/>
          <w:rFonts w:asciiTheme="majorBidi" w:eastAsiaTheme="majorEastAsia" w:hAnsiTheme="majorBidi" w:cstheme="majorBidi"/>
        </w:rPr>
        <w:t> </w:t>
      </w:r>
    </w:p>
    <w:p w14:paraId="3B6B86D0" w14:textId="34341C79" w:rsidR="00756F0F"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Relevant subsets of the KBA disaggregation are also used and or reported in</w:t>
      </w:r>
      <w:r w:rsidR="00B10F84"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4978DF40" w14:textId="64D2A1AD" w:rsidR="00B10F84" w:rsidRPr="00ED7E61" w:rsidRDefault="00B96E8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Pr>
          <w:rStyle w:val="normaltextrun"/>
          <w:rFonts w:asciiTheme="majorBidi" w:eastAsiaTheme="majorEastAsia" w:hAnsiTheme="majorBidi" w:cstheme="majorBidi"/>
        </w:rPr>
        <w:t>subsidiary</w:t>
      </w:r>
      <w:r w:rsidRPr="00ED7E61">
        <w:rPr>
          <w:rStyle w:val="normaltextrun"/>
          <w:rFonts w:asciiTheme="majorBidi" w:eastAsiaTheme="majorEastAsia" w:hAnsiTheme="majorBidi" w:cstheme="majorBidi"/>
        </w:rPr>
        <w:t xml:space="preserve"> </w:t>
      </w:r>
      <w:r w:rsidR="00756F0F" w:rsidRPr="00ED7E61">
        <w:rPr>
          <w:rStyle w:val="normaltextrun"/>
          <w:rFonts w:asciiTheme="majorBidi" w:eastAsiaTheme="majorEastAsia" w:hAnsiTheme="majorBidi" w:cstheme="majorBidi"/>
        </w:rPr>
        <w:t>agreements of the Convention on Migratory Species (e.g. African-Eurasian Waterbird Agreement, Raptors MOU), </w:t>
      </w:r>
      <w:r w:rsidR="00756F0F" w:rsidRPr="00ED7E61">
        <w:rPr>
          <w:rStyle w:val="normaltextrun"/>
        </w:rPr>
        <w:t> </w:t>
      </w:r>
    </w:p>
    <w:p w14:paraId="44123825" w14:textId="5F745D88" w:rsidR="00B10F84"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rPr>
        <w:t>United Nations Convention to Combat Desertification (UNCCD)</w:t>
      </w:r>
      <w:r w:rsidRPr="00ED7E61">
        <w:rPr>
          <w:rStyle w:val="eop"/>
          <w:rFonts w:asciiTheme="majorBidi" w:eastAsiaTheme="majorEastAsia" w:hAnsiTheme="majorBidi" w:cstheme="majorBidi"/>
        </w:rPr>
        <w:t> </w:t>
      </w:r>
    </w:p>
    <w:p w14:paraId="0B5C5586"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rPr>
        <w:t>Intergovernmental Science-Policy Platform on Biodiversity and Ecosystem Services (IPBES): Global Assessment and each of the Regional Assessments. </w:t>
      </w:r>
      <w:r w:rsidRPr="00ED7E61">
        <w:rPr>
          <w:rStyle w:val="eop"/>
          <w:rFonts w:asciiTheme="majorBidi" w:eastAsiaTheme="majorEastAsia" w:hAnsiTheme="majorBidi" w:cstheme="majorBidi"/>
        </w:rPr>
        <w:t> </w:t>
      </w:r>
    </w:p>
    <w:p w14:paraId="7049BB10" w14:textId="77777777" w:rsidR="00756F0F" w:rsidRPr="00ED7E61" w:rsidRDefault="00756F0F" w:rsidP="00B10F0C">
      <w:pPr>
        <w:pStyle w:val="CBDNormalNumber"/>
        <w:numPr>
          <w:ilvl w:val="0"/>
          <w:numId w:val="73"/>
        </w:numPr>
        <w:ind w:left="567" w:firstLine="0"/>
        <w:rPr>
          <w:rStyle w:val="normaltextrun"/>
          <w:rFonts w:eastAsiaTheme="majorEastAsia"/>
        </w:rPr>
      </w:pPr>
      <w:r w:rsidRPr="00ED7E61">
        <w:rPr>
          <w:rStyle w:val="normaltextrun"/>
          <w:rFonts w:asciiTheme="majorBidi" w:eastAsiaTheme="majorEastAsia" w:hAnsiTheme="majorBidi" w:cstheme="majorBidi"/>
        </w:rPr>
        <w:lastRenderedPageBreak/>
        <w:t>Disaggregation by inland waters and by inland water biomes and realms is also relevant to the Ramsar Convention on Wetlands.</w:t>
      </w:r>
      <w:r w:rsidRPr="00ED7E61">
        <w:rPr>
          <w:rStyle w:val="normaltextrun"/>
        </w:rPr>
        <w:t> </w:t>
      </w:r>
    </w:p>
    <w:p w14:paraId="25BBB5F4" w14:textId="55642E89" w:rsidR="00756F0F" w:rsidRPr="00ED7E61" w:rsidRDefault="00756F0F" w:rsidP="008841C1">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2D40294F" w14:textId="77777777" w:rsidR="00756F0F" w:rsidRPr="00ED7E61" w:rsidRDefault="00756F0F" w:rsidP="008841C1">
      <w:pPr>
        <w:pStyle w:val="paragraph"/>
        <w:spacing w:before="120" w:beforeAutospacing="0" w:after="0" w:afterAutospacing="0"/>
        <w:textAlignment w:val="baseline"/>
        <w:rPr>
          <w:rFonts w:asciiTheme="majorBidi" w:hAnsiTheme="majorBidi" w:cstheme="majorBidi"/>
          <w:sz w:val="22"/>
          <w:szCs w:val="22"/>
        </w:rPr>
      </w:pPr>
      <w:proofErr w:type="spellStart"/>
      <w:r w:rsidRPr="00ED7E61">
        <w:rPr>
          <w:rStyle w:val="normaltextrun"/>
          <w:rFonts w:asciiTheme="majorBidi" w:eastAsiaTheme="majorEastAsia" w:hAnsiTheme="majorBidi" w:cstheme="majorBidi"/>
          <w:b/>
          <w:bCs/>
          <w:sz w:val="22"/>
          <w:szCs w:val="22"/>
        </w:rPr>
        <w:t>i</w:t>
      </w:r>
      <w:proofErr w:type="spellEnd"/>
      <w:r w:rsidRPr="00ED7E61">
        <w:rPr>
          <w:rStyle w:val="normaltextrun"/>
          <w:rFonts w:asciiTheme="majorBidi" w:eastAsiaTheme="majorEastAsia" w:hAnsiTheme="majorBidi" w:cstheme="majorBidi"/>
          <w:b/>
          <w:bCs/>
          <w:sz w:val="22"/>
          <w:szCs w:val="22"/>
        </w:rPr>
        <w:t>. Disaggregation by PAs and OECMs</w:t>
      </w:r>
      <w:r w:rsidRPr="00ED7E61">
        <w:rPr>
          <w:rStyle w:val="eop"/>
          <w:rFonts w:asciiTheme="majorBidi" w:eastAsiaTheme="majorEastAsia" w:hAnsiTheme="majorBidi" w:cstheme="majorBidi"/>
          <w:sz w:val="22"/>
          <w:szCs w:val="22"/>
        </w:rPr>
        <w:t> </w:t>
      </w:r>
    </w:p>
    <w:p w14:paraId="117D831C" w14:textId="77777777" w:rsidR="00756F0F" w:rsidRPr="00ED7E61" w:rsidRDefault="00756F0F" w:rsidP="008841C1">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See section 5. </w:t>
      </w:r>
      <w:r w:rsidRPr="00ED7E61">
        <w:rPr>
          <w:rStyle w:val="eop"/>
          <w:rFonts w:asciiTheme="majorBidi" w:eastAsiaTheme="majorEastAsia" w:hAnsiTheme="majorBidi" w:cstheme="majorBidi"/>
        </w:rPr>
        <w:t> </w:t>
      </w:r>
    </w:p>
    <w:p w14:paraId="171B809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ii. Disaggregation by realm, biomes, ecosystem functional groups and ecoregions</w:t>
      </w:r>
      <w:r w:rsidRPr="00ED7E61">
        <w:rPr>
          <w:rStyle w:val="eop"/>
          <w:rFonts w:asciiTheme="majorBidi" w:eastAsiaTheme="majorEastAsia" w:hAnsiTheme="majorBidi" w:cstheme="majorBidi"/>
          <w:sz w:val="22"/>
          <w:szCs w:val="22"/>
        </w:rPr>
        <w:t> </w:t>
      </w:r>
    </w:p>
    <w:p w14:paraId="15221720" w14:textId="77777777" w:rsidR="00756F0F" w:rsidRPr="00ED7E61" w:rsidRDefault="00756F0F" w:rsidP="00B10F0C">
      <w:pPr>
        <w:pStyle w:val="CBDNormalNumber"/>
        <w:numPr>
          <w:ilvl w:val="0"/>
          <w:numId w:val="73"/>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indicator was previously disaggregated by coverage of the marine and coastal realm and the terrestrial realm (including inland waters). A </w:t>
      </w:r>
      <w:hyperlink r:id="rId292" w:anchor="3229" w:tgtFrame="_blank" w:history="1">
        <w:r w:rsidRPr="00ED7E61">
          <w:rPr>
            <w:rStyle w:val="normaltextrun"/>
            <w:rFonts w:asciiTheme="majorBidi" w:eastAsiaTheme="majorEastAsia" w:hAnsiTheme="majorBidi" w:cstheme="majorBidi"/>
          </w:rPr>
          <w:t>methodology</w:t>
        </w:r>
      </w:hyperlink>
      <w:r w:rsidRPr="00ED7E61">
        <w:rPr>
          <w:rStyle w:val="normaltextrun"/>
          <w:rFonts w:asciiTheme="majorBidi" w:eastAsiaTheme="majorEastAsia" w:hAnsiTheme="majorBidi" w:cstheme="majorBidi"/>
        </w:rPr>
        <w:t xml:space="preserve"> for calculating coverage of inland waters separately has now been developed (by TNC, with the support of the Convention on Wetlands Scientific and Review Panel STRP and UNEP-WCMC) and will be implemented moving forwards. </w:t>
      </w:r>
      <w:r w:rsidRPr="00ED7E61">
        <w:rPr>
          <w:rStyle w:val="normaltextrun"/>
        </w:rPr>
        <w:t> </w:t>
      </w:r>
    </w:p>
    <w:p w14:paraId="57DDE56A" w14:textId="77777777" w:rsidR="00756F0F" w:rsidRPr="00ED7E61" w:rsidRDefault="00756F0F" w:rsidP="00B10F0C">
      <w:pPr>
        <w:pStyle w:val="CBDNormalNumber"/>
        <w:numPr>
          <w:ilvl w:val="0"/>
          <w:numId w:val="73"/>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The following steps are used to </w:t>
      </w:r>
      <w:proofErr w:type="spellStart"/>
      <w:r w:rsidRPr="00ED7E61">
        <w:rPr>
          <w:rStyle w:val="normaltextrun"/>
          <w:rFonts w:asciiTheme="majorBidi" w:eastAsiaTheme="majorEastAsia" w:hAnsiTheme="majorBidi" w:cstheme="majorBidi"/>
        </w:rPr>
        <w:t>disaggregrate</w:t>
      </w:r>
      <w:proofErr w:type="spellEnd"/>
      <w:r w:rsidRPr="00ED7E61">
        <w:rPr>
          <w:rStyle w:val="normaltextrun"/>
          <w:rFonts w:asciiTheme="majorBidi" w:eastAsiaTheme="majorEastAsia" w:hAnsiTheme="majorBidi" w:cstheme="majorBidi"/>
        </w:rPr>
        <w:t xml:space="preserve"> coverage by realm (following the steps described in section 5): </w:t>
      </w:r>
      <w:r w:rsidRPr="00ED7E61">
        <w:rPr>
          <w:rStyle w:val="normaltextrun"/>
        </w:rPr>
        <w:t> </w:t>
      </w:r>
    </w:p>
    <w:p w14:paraId="0C623527" w14:textId="733D3C85" w:rsidR="00B10F84"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Protected areas:</w:t>
      </w:r>
      <w:r w:rsidRPr="00ED7E61">
        <w:rPr>
          <w:rStyle w:val="normaltextrun"/>
        </w:rPr>
        <w:t> </w:t>
      </w:r>
    </w:p>
    <w:p w14:paraId="650D5078" w14:textId="7FDFA821" w:rsidR="00B10F84" w:rsidRPr="00ED7E61" w:rsidRDefault="00756F0F" w:rsidP="00CA1A83">
      <w:pPr>
        <w:pStyle w:val="CBDNormalNumber"/>
        <w:numPr>
          <w:ilvl w:val="2"/>
          <w:numId w:val="73"/>
        </w:numPr>
        <w:tabs>
          <w:tab w:val="clear" w:pos="567"/>
          <w:tab w:val="clear" w:pos="1134"/>
          <w:tab w:val="clear" w:pos="1701"/>
          <w:tab w:val="clear" w:pos="2268"/>
          <w:tab w:val="left" w:pos="1985"/>
        </w:tabs>
        <w:ind w:left="1701" w:hanging="283"/>
        <w:rPr>
          <w:rFonts w:asciiTheme="majorBidi" w:hAnsiTheme="majorBidi" w:cstheme="majorBidi"/>
          <w:color w:val="4A4A4A"/>
        </w:rPr>
      </w:pPr>
      <w:r w:rsidRPr="00ED7E61">
        <w:rPr>
          <w:rStyle w:val="normaltextrun"/>
          <w:rFonts w:asciiTheme="majorBidi" w:eastAsiaTheme="majorEastAsia" w:hAnsiTheme="majorBidi" w:cstheme="majorBidi"/>
        </w:rPr>
        <w:t xml:space="preserve">The global protected areas flat layer is intersected with a base map of the world. </w:t>
      </w:r>
      <w:r w:rsidRPr="00ED7E61">
        <w:rPr>
          <w:rStyle w:val="normaltextrun"/>
          <w:rFonts w:asciiTheme="majorBidi" w:eastAsiaTheme="majorEastAsia" w:hAnsiTheme="majorBidi" w:cstheme="majorBidi"/>
          <w:color w:val="242424"/>
        </w:rPr>
        <w:t xml:space="preserve">The base map used by UNEP-WCMC is a combination of </w:t>
      </w:r>
      <w:r w:rsidR="002111AE" w:rsidRPr="002111AE">
        <w:rPr>
          <w:rFonts w:asciiTheme="majorBidi" w:eastAsiaTheme="majorEastAsia" w:hAnsiTheme="majorBidi" w:cstheme="majorBidi"/>
          <w:color w:val="242424"/>
          <w:lang w:val="en-CA"/>
        </w:rPr>
        <w:t xml:space="preserve">terrestrial country boundaries (UN Geodata), </w:t>
      </w:r>
      <w:r w:rsidRPr="00ED7E61">
        <w:rPr>
          <w:rStyle w:val="normaltextrun"/>
          <w:rFonts w:asciiTheme="majorBidi" w:eastAsiaTheme="majorEastAsia" w:hAnsiTheme="majorBidi" w:cstheme="majorBidi"/>
          <w:color w:val="242424"/>
        </w:rPr>
        <w:t>Exclusive Economic Zones (EEZ;</w:t>
      </w:r>
      <w:r w:rsidR="00783249">
        <w:rPr>
          <w:rStyle w:val="normaltextrun"/>
          <w:rFonts w:asciiTheme="majorBidi" w:eastAsiaTheme="majorEastAsia" w:hAnsiTheme="majorBidi" w:cstheme="majorBidi"/>
          <w:color w:val="242424"/>
        </w:rPr>
        <w:t xml:space="preserve"> Flanders Marine </w:t>
      </w:r>
      <w:proofErr w:type="spellStart"/>
      <w:r w:rsidR="00783249">
        <w:rPr>
          <w:rStyle w:val="normaltextrun"/>
          <w:rFonts w:asciiTheme="majorBidi" w:eastAsiaTheme="majorEastAsia" w:hAnsiTheme="majorBidi" w:cstheme="majorBidi"/>
          <w:color w:val="242424"/>
        </w:rPr>
        <w:t>Institue</w:t>
      </w:r>
      <w:proofErr w:type="spellEnd"/>
      <w:r w:rsidR="00783249">
        <w:rPr>
          <w:rStyle w:val="normaltextrun"/>
          <w:rFonts w:asciiTheme="majorBidi" w:eastAsiaTheme="majorEastAsia" w:hAnsiTheme="majorBidi" w:cstheme="majorBidi"/>
          <w:color w:val="242424"/>
        </w:rPr>
        <w:t xml:space="preserve"> 2023</w:t>
      </w:r>
      <w:r w:rsidR="007138F8">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 and</w:t>
      </w:r>
      <w:r w:rsidR="007138F8">
        <w:rPr>
          <w:rStyle w:val="normaltextrun"/>
          <w:rFonts w:asciiTheme="majorBidi" w:eastAsiaTheme="majorEastAsia" w:hAnsiTheme="majorBidi" w:cstheme="majorBidi"/>
          <w:color w:val="242424"/>
        </w:rPr>
        <w:t xml:space="preserve"> 30-meter resolution global shoreline (Sayre et l 2018)</w:t>
      </w:r>
      <w:r w:rsidRPr="00ED7E61">
        <w:rPr>
          <w:rStyle w:val="eop"/>
          <w:rFonts w:asciiTheme="majorBidi" w:eastAsiaTheme="majorEastAsia" w:hAnsiTheme="majorBidi" w:cstheme="majorBidi"/>
        </w:rPr>
        <w:t> </w:t>
      </w:r>
    </w:p>
    <w:p w14:paraId="28D3E799" w14:textId="4C4F7503" w:rsidR="00B10F84" w:rsidRPr="00ED7E61" w:rsidRDefault="00756F0F" w:rsidP="00B10F0C">
      <w:pPr>
        <w:pStyle w:val="CBDNormalNumber"/>
        <w:numPr>
          <w:ilvl w:val="2"/>
          <w:numId w:val="73"/>
        </w:numPr>
        <w:tabs>
          <w:tab w:val="clear" w:pos="567"/>
          <w:tab w:val="clear" w:pos="1134"/>
          <w:tab w:val="clear" w:pos="1701"/>
          <w:tab w:val="clear" w:pos="2268"/>
          <w:tab w:val="left" w:pos="1985"/>
        </w:tabs>
        <w:ind w:left="1701" w:hanging="283"/>
        <w:rPr>
          <w:rFonts w:asciiTheme="majorBidi" w:hAnsiTheme="majorBidi" w:cstheme="majorBidi"/>
          <w:color w:val="4A4A4A"/>
        </w:rPr>
      </w:pPr>
      <w:r w:rsidRPr="00ED7E61">
        <w:rPr>
          <w:rStyle w:val="normaltextrun"/>
          <w:rFonts w:asciiTheme="majorBidi" w:eastAsiaTheme="majorEastAsia" w:hAnsiTheme="majorBidi" w:cstheme="majorBidi"/>
        </w:rPr>
        <w:t>Calculated areas are summed by land, marine and Areas Beyond National Jurisdiction (ABNJ). Marine and coastal areas are those outlined in the EEZ dataset (see above). ABNJ constitute international waters outside the 200 nautical mile limits of national jurisdiction.</w:t>
      </w:r>
      <w:r w:rsidRPr="00ED7E61">
        <w:rPr>
          <w:rStyle w:val="eop"/>
          <w:rFonts w:asciiTheme="majorBidi" w:eastAsiaTheme="majorEastAsia" w:hAnsiTheme="majorBidi" w:cstheme="majorBidi"/>
        </w:rPr>
        <w:t> </w:t>
      </w:r>
    </w:p>
    <w:p w14:paraId="2344933F" w14:textId="076D941B" w:rsidR="00B10F84" w:rsidRPr="00ED7E61" w:rsidRDefault="00756F0F" w:rsidP="00B10F0C">
      <w:pPr>
        <w:pStyle w:val="CBDNormalNumber"/>
        <w:numPr>
          <w:ilvl w:val="2"/>
          <w:numId w:val="73"/>
        </w:numPr>
        <w:tabs>
          <w:tab w:val="clear" w:pos="567"/>
          <w:tab w:val="clear" w:pos="1134"/>
          <w:tab w:val="clear" w:pos="1701"/>
          <w:tab w:val="clear" w:pos="2268"/>
          <w:tab w:val="left" w:pos="1985"/>
        </w:tabs>
        <w:ind w:left="1701" w:hanging="283"/>
        <w:rPr>
          <w:rFonts w:asciiTheme="majorBidi" w:hAnsiTheme="majorBidi" w:cstheme="majorBidi"/>
          <w:color w:val="4A4A4A"/>
        </w:rPr>
      </w:pPr>
      <w:r w:rsidRPr="00ED7E61">
        <w:rPr>
          <w:rStyle w:val="normaltextrun"/>
          <w:rFonts w:asciiTheme="majorBidi" w:eastAsiaTheme="majorEastAsia" w:hAnsiTheme="majorBidi" w:cstheme="majorBidi"/>
        </w:rPr>
        <w:t xml:space="preserve">Currently, the terrestrial protected area coverage is calculated by dividing the total area of terrestrial protected areas by total global terrestrial area, excluding Antarctica. ABNJ protected area coverage is calculated by selecting areas where ISO3 = </w:t>
      </w:r>
      <w:r w:rsidR="008E5C75">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ABNJ</w:t>
      </w:r>
      <w:r w:rsidR="008E5C75">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Marine and coastal protected area coverage is (total global protected areas flat coverage) - (ABNJ Area + Land Area). In future, it will be important to clarify whether terrestrial coverage statistics refer to terrestrial + inlands waters (as currently) or exclude inland waters (once coverage of inland waters is calculated too: see below). </w:t>
      </w:r>
      <w:r w:rsidRPr="00ED7E61">
        <w:rPr>
          <w:rStyle w:val="eop"/>
          <w:rFonts w:asciiTheme="majorBidi" w:eastAsiaTheme="majorEastAsia" w:hAnsiTheme="majorBidi" w:cstheme="majorBidi"/>
        </w:rPr>
        <w:t> </w:t>
      </w:r>
    </w:p>
    <w:p w14:paraId="2271CC1C" w14:textId="4241FAB7" w:rsidR="00756F0F" w:rsidRPr="00ED7E61" w:rsidRDefault="00756F0F" w:rsidP="00B10F0C">
      <w:pPr>
        <w:pStyle w:val="CBDNormalNumber"/>
        <w:numPr>
          <w:ilvl w:val="2"/>
          <w:numId w:val="73"/>
        </w:numPr>
        <w:tabs>
          <w:tab w:val="clear" w:pos="567"/>
          <w:tab w:val="clear" w:pos="1134"/>
          <w:tab w:val="clear" w:pos="1701"/>
          <w:tab w:val="clear" w:pos="2268"/>
          <w:tab w:val="left" w:pos="1985"/>
        </w:tabs>
        <w:ind w:left="1701" w:hanging="283"/>
        <w:rPr>
          <w:rFonts w:asciiTheme="majorBidi" w:hAnsiTheme="majorBidi" w:cstheme="majorBidi"/>
          <w:color w:val="4A4A4A"/>
        </w:rPr>
      </w:pPr>
      <w:r w:rsidRPr="00ED7E61">
        <w:rPr>
          <w:rStyle w:val="normaltextrun"/>
          <w:rFonts w:asciiTheme="majorBidi" w:eastAsiaTheme="majorEastAsia" w:hAnsiTheme="majorBidi" w:cstheme="majorBidi"/>
        </w:rPr>
        <w:t>Inland water coverage will be calculated as the total extent of inland waters (from GLWD v2) within protected and conserved area boundaries (from WDP</w:t>
      </w:r>
      <w:r w:rsidR="00CA1A83">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A) divided by the total extent of inland waters. </w:t>
      </w:r>
      <w:r w:rsidRPr="00ED7E61">
        <w:rPr>
          <w:rStyle w:val="eop"/>
          <w:rFonts w:asciiTheme="majorBidi" w:eastAsiaTheme="majorEastAsia" w:hAnsiTheme="majorBidi" w:cstheme="majorBidi"/>
        </w:rPr>
        <w:t> </w:t>
      </w:r>
    </w:p>
    <w:p w14:paraId="02B016EE"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OECMs:</w:t>
      </w:r>
      <w:r w:rsidRPr="00ED7E61">
        <w:rPr>
          <w:rStyle w:val="normaltextrun"/>
        </w:rPr>
        <w:t> </w:t>
      </w:r>
    </w:p>
    <w:p w14:paraId="03666DC7" w14:textId="51E64DB4" w:rsidR="00B10F84" w:rsidRPr="00ED7E61" w:rsidRDefault="00756F0F" w:rsidP="00B10F0C">
      <w:pPr>
        <w:pStyle w:val="CBDNormalNumber"/>
        <w:numPr>
          <w:ilvl w:val="2"/>
          <w:numId w:val="73"/>
        </w:numPr>
        <w:tabs>
          <w:tab w:val="clear" w:pos="567"/>
          <w:tab w:val="clear" w:pos="1134"/>
          <w:tab w:val="clear" w:pos="1701"/>
          <w:tab w:val="clear" w:pos="2268"/>
          <w:tab w:val="left" w:pos="1985"/>
        </w:tabs>
        <w:ind w:left="1701"/>
        <w:rPr>
          <w:rFonts w:asciiTheme="majorBidi" w:hAnsiTheme="majorBidi" w:cstheme="majorBidi"/>
          <w:color w:val="4A4A4A"/>
        </w:rPr>
      </w:pPr>
      <w:r w:rsidRPr="00ED7E61">
        <w:rPr>
          <w:rStyle w:val="normaltextrun"/>
          <w:rFonts w:asciiTheme="majorBidi" w:eastAsiaTheme="majorEastAsia" w:hAnsiTheme="majorBidi" w:cstheme="majorBidi"/>
        </w:rPr>
        <w:t>The OECMs flat layer is intersected with a base map of the world (see above)</w:t>
      </w:r>
      <w:r w:rsidRPr="00ED7E61">
        <w:rPr>
          <w:rStyle w:val="eop"/>
          <w:rFonts w:asciiTheme="majorBidi" w:eastAsiaTheme="majorEastAsia" w:hAnsiTheme="majorBidi" w:cstheme="majorBidi"/>
        </w:rPr>
        <w:t> </w:t>
      </w:r>
    </w:p>
    <w:p w14:paraId="4D0BE944" w14:textId="77777777" w:rsidR="00781F90" w:rsidRDefault="00781F90" w:rsidP="00781F90">
      <w:pPr>
        <w:pStyle w:val="CBDNormalNumber"/>
        <w:numPr>
          <w:ilvl w:val="0"/>
          <w:numId w:val="73"/>
        </w:numPr>
        <w:tabs>
          <w:tab w:val="clear" w:pos="567"/>
          <w:tab w:val="clear" w:pos="1134"/>
          <w:tab w:val="clear" w:pos="1701"/>
          <w:tab w:val="clear" w:pos="2268"/>
          <w:tab w:val="left" w:pos="1985"/>
        </w:tabs>
        <w:rPr>
          <w:rStyle w:val="normaltextrun"/>
          <w:rFonts w:asciiTheme="majorBidi" w:eastAsiaTheme="majorEastAsia" w:hAnsiTheme="majorBidi" w:cstheme="majorBidi"/>
        </w:rPr>
      </w:pPr>
      <w:r>
        <w:rPr>
          <w:rStyle w:val="normaltextrun"/>
        </w:rPr>
        <w:t>The area of each polygon is calculated, in km2, using geodesic area calculations in WGS 1984.</w:t>
      </w:r>
    </w:p>
    <w:p w14:paraId="3162046F" w14:textId="77777777" w:rsidR="00756F0F" w:rsidRPr="00ED7E61" w:rsidRDefault="00756F0F" w:rsidP="00B10F0C">
      <w:pPr>
        <w:pStyle w:val="CBDNormalNumber"/>
        <w:numPr>
          <w:ilvl w:val="2"/>
          <w:numId w:val="73"/>
        </w:numPr>
        <w:tabs>
          <w:tab w:val="clear" w:pos="567"/>
          <w:tab w:val="clear" w:pos="1134"/>
          <w:tab w:val="clear" w:pos="1701"/>
          <w:tab w:val="clear" w:pos="2268"/>
          <w:tab w:val="left" w:pos="1985"/>
        </w:tabs>
        <w:ind w:left="1701"/>
        <w:rPr>
          <w:rFonts w:asciiTheme="majorBidi" w:hAnsiTheme="majorBidi" w:cstheme="majorBidi"/>
          <w:color w:val="4A4A4A"/>
        </w:rPr>
      </w:pPr>
      <w:r w:rsidRPr="00ED7E61">
        <w:rPr>
          <w:rStyle w:val="normaltextrun"/>
          <w:rFonts w:asciiTheme="majorBidi" w:eastAsiaTheme="majorEastAsia" w:hAnsiTheme="majorBidi" w:cstheme="majorBidi"/>
        </w:rPr>
        <w:t>Calculated areas are summed as described above for protected areas.</w:t>
      </w:r>
      <w:r w:rsidRPr="00ED7E61">
        <w:rPr>
          <w:rStyle w:val="eop"/>
          <w:rFonts w:asciiTheme="majorBidi" w:eastAsiaTheme="majorEastAsia" w:hAnsiTheme="majorBidi" w:cstheme="majorBidi"/>
        </w:rPr>
        <w:t> </w:t>
      </w:r>
    </w:p>
    <w:p w14:paraId="1850D651" w14:textId="77777777" w:rsidR="00756F0F" w:rsidRPr="00ED7E61" w:rsidRDefault="00756F0F" w:rsidP="00B10F0C">
      <w:pPr>
        <w:pStyle w:val="CBDNormalNumber"/>
        <w:numPr>
          <w:ilvl w:val="1"/>
          <w:numId w:val="73"/>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Protected areas + OECMs: </w:t>
      </w:r>
      <w:r w:rsidRPr="00ED7E61">
        <w:rPr>
          <w:rStyle w:val="normaltextrun"/>
        </w:rPr>
        <w:t> </w:t>
      </w:r>
    </w:p>
    <w:p w14:paraId="703A998B" w14:textId="77777777" w:rsidR="00756F0F" w:rsidRPr="00ED7E61" w:rsidRDefault="00756F0F" w:rsidP="00B10F0C">
      <w:pPr>
        <w:pStyle w:val="CBDNormalNumber"/>
        <w:numPr>
          <w:ilvl w:val="2"/>
          <w:numId w:val="73"/>
        </w:numPr>
        <w:tabs>
          <w:tab w:val="clear" w:pos="567"/>
          <w:tab w:val="clear" w:pos="1134"/>
          <w:tab w:val="clear" w:pos="1701"/>
          <w:tab w:val="clear" w:pos="2268"/>
          <w:tab w:val="left" w:pos="1985"/>
        </w:tabs>
        <w:ind w:left="1701"/>
        <w:rPr>
          <w:rFonts w:asciiTheme="majorBidi" w:hAnsiTheme="majorBidi" w:cstheme="majorBidi"/>
          <w:color w:val="4A4A4A"/>
        </w:rPr>
      </w:pPr>
      <w:r w:rsidRPr="00ED7E61">
        <w:rPr>
          <w:rStyle w:val="normaltextrun"/>
          <w:rFonts w:asciiTheme="majorBidi" w:eastAsiaTheme="majorEastAsia" w:hAnsiTheme="majorBidi" w:cstheme="majorBidi"/>
        </w:rPr>
        <w:t>Statistics for protected areas and OECMs combined are calculated by summing these.</w:t>
      </w:r>
      <w:r w:rsidRPr="00ED7E61">
        <w:rPr>
          <w:rStyle w:val="eop"/>
          <w:rFonts w:asciiTheme="majorBidi" w:eastAsiaTheme="majorEastAsia" w:hAnsiTheme="majorBidi" w:cstheme="majorBidi"/>
        </w:rPr>
        <w:t> </w:t>
      </w:r>
    </w:p>
    <w:p w14:paraId="13216B93" w14:textId="11D791AC" w:rsidR="00756F0F"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At the national scale, it is recommended that the indicator is disaggregated to show coverage of Ecosystem Functional Groups within the </w:t>
      </w:r>
      <w:hyperlink r:id="rId293" w:tgtFrame="_blank" w:history="1">
        <w:r w:rsidRPr="00ED7E61">
          <w:rPr>
            <w:rStyle w:val="normaltextrun"/>
            <w:rFonts w:asciiTheme="majorBidi" w:eastAsiaTheme="majorEastAsia" w:hAnsiTheme="majorBidi" w:cstheme="majorBidi"/>
            <w:color w:val="0563C1"/>
            <w:u w:val="single"/>
          </w:rPr>
          <w:t>Global Ecosystem Typology</w:t>
        </w:r>
      </w:hyperlink>
      <w:r w:rsidRPr="00ED7E61">
        <w:rPr>
          <w:rStyle w:val="normaltextrun"/>
          <w:rFonts w:asciiTheme="majorBidi" w:eastAsiaTheme="majorEastAsia" w:hAnsiTheme="majorBidi" w:cstheme="majorBidi"/>
        </w:rPr>
        <w:t xml:space="preserve"> (e.g. Tropical/Subtropical Lowland Rainforests, Seagrass meadows, Permanent Upland Streams etc</w:t>
      </w:r>
      <w:r w:rsidR="00D6334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This can be achieved by (a) matching national ecosystem maps to the Global Ecosystem Typology and assessing coverage by protected areas and OECMs; or (b) using indicative global maps from the Global Ecosystem Typology and assessing coverage by protected areas and OECMs, excluding any inappropriate </w:t>
      </w:r>
      <w:r w:rsidRPr="00ED7E61">
        <w:rPr>
          <w:rStyle w:val="normaltextrun"/>
          <w:rFonts w:asciiTheme="majorBidi" w:eastAsiaTheme="majorEastAsia" w:hAnsiTheme="majorBidi" w:cstheme="majorBidi"/>
        </w:rPr>
        <w:lastRenderedPageBreak/>
        <w:t>ecosystem groups that may have been included erroneously owing to data resolution. Coverage of Ecosystem Functional Groups can be combined to show coverage of biomes (e.g.</w:t>
      </w:r>
      <w:r w:rsidR="00814FCB">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Tropical/subtropical forests biome, Rivers and streams biome, Pelagic ocean waters biome etc</w:t>
      </w:r>
      <w:r w:rsidR="00D6334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At the global scale, it may be more appropriate to calculate coverage by protected areas and OECMs of biomes, or a combination of biomes and Ecosystem Functional Groups (to enable distinction between coral reefs and seagrass beds, for example). For inland waters, it is recommended to assess coverage of (the total length of) rivers and streams, and (the area of) lakes and wetlands, and artificial wetlands. At a global scale, or in the absence of better data at regional, national, or sub-national scales, these metrics can be derived using the vectorized linear river network of </w:t>
      </w:r>
      <w:proofErr w:type="spellStart"/>
      <w:r w:rsidRPr="00ED7E61">
        <w:rPr>
          <w:rStyle w:val="normaltextrun"/>
          <w:rFonts w:asciiTheme="majorBidi" w:eastAsiaTheme="majorEastAsia" w:hAnsiTheme="majorBidi" w:cstheme="majorBidi"/>
        </w:rPr>
        <w:t>RiverATLAS</w:t>
      </w:r>
      <w:proofErr w:type="spellEnd"/>
      <w:r w:rsidRPr="00ED7E61">
        <w:rPr>
          <w:rStyle w:val="normaltextrun"/>
          <w:rFonts w:asciiTheme="majorBidi" w:eastAsiaTheme="majorEastAsia" w:hAnsiTheme="majorBidi" w:cstheme="majorBidi"/>
        </w:rPr>
        <w:t xml:space="preserve"> (Linke et al. 2019) and the lakes, wetlands and artificial wetland classes in GLWD v2 (Lehner et al. 2022). Coverage can also be assessed for terrestrial ecoregions (Dinerstein et al., 2017), marine ecoregions (Spalding et al. 2007, 2012) and freshwater ecosystems (Abell et al. 2008).</w:t>
      </w:r>
      <w:r w:rsidRPr="00ED7E61">
        <w:rPr>
          <w:rStyle w:val="eop"/>
          <w:rFonts w:asciiTheme="majorBidi" w:eastAsiaTheme="majorEastAsia" w:hAnsiTheme="majorBidi" w:cstheme="majorBidi"/>
        </w:rPr>
        <w:t> </w:t>
      </w:r>
    </w:p>
    <w:p w14:paraId="0428A678" w14:textId="30BC3B00"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Disaggregation by areas of importance for biodiversity:</w:t>
      </w:r>
      <w:r w:rsidRPr="00ED7E61">
        <w:rPr>
          <w:rStyle w:val="eop"/>
          <w:rFonts w:asciiTheme="majorBidi" w:eastAsiaTheme="majorEastAsia" w:hAnsiTheme="majorBidi" w:cstheme="majorBidi"/>
          <w:sz w:val="22"/>
          <w:szCs w:val="22"/>
        </w:rPr>
        <w:t> </w:t>
      </w:r>
    </w:p>
    <w:p w14:paraId="687DF686" w14:textId="6E68075F" w:rsidR="00B10F84"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 xml:space="preserve">This disaggregation shows temporal trends in the coverage by protected areas and OECMs of areas of particular importance for biodiversity (see definition above). It can be measured as the mean percentage of each important Key Biodiversity Area that is covered by protected areas and Other Effective Area-based Conservation Measures (OECMs), calculated from data derived from a spatial overlap between digital polygons for protected areas </w:t>
      </w:r>
      <w:r w:rsidR="004059FA">
        <w:rPr>
          <w:rStyle w:val="normaltextrun"/>
          <w:rFonts w:asciiTheme="majorBidi" w:eastAsiaTheme="majorEastAsia" w:hAnsiTheme="majorBidi" w:cstheme="majorBidi"/>
        </w:rPr>
        <w:t xml:space="preserve">and OECMs </w:t>
      </w:r>
      <w:r w:rsidRPr="00ED7E61">
        <w:rPr>
          <w:rStyle w:val="normaltextrun"/>
          <w:rFonts w:asciiTheme="majorBidi" w:eastAsiaTheme="majorEastAsia" w:hAnsiTheme="majorBidi" w:cstheme="majorBidi"/>
        </w:rPr>
        <w:t xml:space="preserve">(from the </w:t>
      </w:r>
      <w:r w:rsidR="00D3294D">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UNEP-WCMC &amp; IUCN 202</w:t>
      </w:r>
      <w:r w:rsidR="00D3294D">
        <w:rPr>
          <w:rStyle w:val="normaltextrun"/>
          <w:rFonts w:asciiTheme="majorBidi" w:eastAsiaTheme="majorEastAsia" w:hAnsiTheme="majorBidi" w:cstheme="majorBidi"/>
        </w:rPr>
        <w:t>6</w:t>
      </w:r>
      <w:r w:rsidRPr="00ED7E61">
        <w:rPr>
          <w:rStyle w:val="normaltextrun"/>
          <w:rFonts w:asciiTheme="majorBidi" w:eastAsiaTheme="majorEastAsia" w:hAnsiTheme="majorBidi" w:cstheme="majorBidi"/>
        </w:rPr>
        <w:t xml:space="preserve">),) and digital polygons for Key Biodiversity Areas (from the World Database of Key Biodiversity Areas, including Important Bird and Biodiversity Areas, Alliance for Zero Extinction sites, and other Key Biodiversity Areas). The value of the indicator at a given point in time, based on data on the year of protected area establishment recorded in the </w:t>
      </w:r>
      <w:r w:rsidR="00D3294D">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is computed as the mean percentage of each Key Biodiversity Area currently recognised that is covered by protected areas and/or Other Effective Area-based Conservation Measures.</w:t>
      </w:r>
      <w:r w:rsidRPr="00ED7E61">
        <w:rPr>
          <w:rStyle w:val="eop"/>
          <w:rFonts w:asciiTheme="majorBidi" w:eastAsiaTheme="majorEastAsia" w:hAnsiTheme="majorBidi" w:cstheme="majorBidi"/>
        </w:rPr>
        <w:t> </w:t>
      </w:r>
    </w:p>
    <w:p w14:paraId="60466797" w14:textId="6482A43D" w:rsidR="00B10F84"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 xml:space="preserve">Protected areas </w:t>
      </w:r>
      <w:r w:rsidR="00844AEE">
        <w:rPr>
          <w:rStyle w:val="normaltextrun"/>
          <w:rFonts w:asciiTheme="majorBidi" w:eastAsiaTheme="majorEastAsia" w:hAnsiTheme="majorBidi" w:cstheme="majorBidi"/>
        </w:rPr>
        <w:t xml:space="preserve">and OECMs </w:t>
      </w:r>
      <w:r w:rsidRPr="00ED7E61">
        <w:rPr>
          <w:rStyle w:val="normaltextrun"/>
          <w:rFonts w:asciiTheme="majorBidi" w:eastAsiaTheme="majorEastAsia" w:hAnsiTheme="majorBidi" w:cstheme="majorBidi"/>
        </w:rPr>
        <w:t xml:space="preserve">lacking digital boundaries in the </w:t>
      </w:r>
      <w:r w:rsidR="00844AEE">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xml:space="preserve">, and those sites with a status of </w:t>
      </w:r>
      <w:r w:rsidR="008E5C75">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proposed</w:t>
      </w:r>
      <w:r w:rsidR="00ED3992">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or </w:t>
      </w:r>
      <w:r w:rsidR="00ED3992">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not reported</w:t>
      </w:r>
      <w:r w:rsidR="00ED3992">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are omitted. Degazetted sites are not kept in the WDP</w:t>
      </w:r>
      <w:r w:rsidR="003C2A34">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 xml:space="preserve">A and are also not included. </w:t>
      </w:r>
      <w:proofErr w:type="gramStart"/>
      <w:r w:rsidRPr="00ED7E61">
        <w:rPr>
          <w:rStyle w:val="normaltextrun"/>
          <w:rFonts w:asciiTheme="majorBidi" w:eastAsiaTheme="majorEastAsia" w:hAnsiTheme="majorBidi" w:cstheme="majorBidi"/>
        </w:rPr>
        <w:t>Man</w:t>
      </w:r>
      <w:proofErr w:type="gramEnd"/>
      <w:r w:rsidRPr="00ED7E61">
        <w:rPr>
          <w:rStyle w:val="normaltextrun"/>
          <w:rFonts w:asciiTheme="majorBidi" w:eastAsiaTheme="majorEastAsia" w:hAnsiTheme="majorBidi" w:cstheme="majorBidi"/>
        </w:rPr>
        <w:t xml:space="preserve"> and Biosphere Reserves</w:t>
      </w:r>
      <w:r w:rsidR="003C2A34">
        <w:rPr>
          <w:rStyle w:val="normaltextrun"/>
          <w:rFonts w:asciiTheme="majorBidi" w:eastAsiaTheme="majorEastAsia" w:hAnsiTheme="majorBidi" w:cstheme="majorBidi"/>
        </w:rPr>
        <w:t xml:space="preserve"> reported as protected areas</w:t>
      </w:r>
      <w:r w:rsidRPr="00ED7E61">
        <w:rPr>
          <w:rStyle w:val="normaltextrun"/>
          <w:rFonts w:asciiTheme="majorBidi" w:eastAsiaTheme="majorEastAsia" w:hAnsiTheme="majorBidi" w:cstheme="majorBidi"/>
        </w:rPr>
        <w:t xml:space="preserve"> are also excluded as these often contain potentially unprotected areas. Year of establishment is unknown for ~1</w:t>
      </w:r>
      <w:r w:rsidR="00365F27">
        <w:rPr>
          <w:rStyle w:val="normaltextrun"/>
          <w:rFonts w:asciiTheme="majorBidi" w:eastAsiaTheme="majorEastAsia" w:hAnsiTheme="majorBidi" w:cstheme="majorBidi"/>
        </w:rPr>
        <w:t>1</w:t>
      </w:r>
      <w:r w:rsidRPr="00ED7E61">
        <w:rPr>
          <w:rStyle w:val="normaltextrun"/>
          <w:rFonts w:asciiTheme="majorBidi" w:eastAsiaTheme="majorEastAsia" w:hAnsiTheme="majorBidi" w:cstheme="majorBidi"/>
        </w:rPr>
        <w:t>% of protected areas</w:t>
      </w:r>
      <w:r w:rsidR="00365F27">
        <w:rPr>
          <w:rStyle w:val="normaltextrun"/>
          <w:rFonts w:asciiTheme="majorBidi" w:eastAsiaTheme="majorEastAsia" w:hAnsiTheme="majorBidi" w:cstheme="majorBidi"/>
        </w:rPr>
        <w:t xml:space="preserve"> and OECMs</w:t>
      </w:r>
      <w:r w:rsidRPr="00ED7E61">
        <w:rPr>
          <w:rStyle w:val="normaltextrun"/>
          <w:rFonts w:asciiTheme="majorBidi" w:eastAsiaTheme="majorEastAsia" w:hAnsiTheme="majorBidi" w:cstheme="majorBidi"/>
        </w:rPr>
        <w:t xml:space="preserve"> in the </w:t>
      </w:r>
      <w:r w:rsidR="00365F27">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xml:space="preserve">, generating uncertainty around changing protected area </w:t>
      </w:r>
      <w:r w:rsidR="00392DD5">
        <w:rPr>
          <w:rStyle w:val="normaltextrun"/>
          <w:rFonts w:asciiTheme="majorBidi" w:eastAsiaTheme="majorEastAsia" w:hAnsiTheme="majorBidi" w:cstheme="majorBidi"/>
        </w:rPr>
        <w:t xml:space="preserve">and OECM </w:t>
      </w:r>
      <w:r w:rsidRPr="00ED7E61">
        <w:rPr>
          <w:rStyle w:val="normaltextrun"/>
          <w:rFonts w:asciiTheme="majorBidi" w:eastAsiaTheme="majorEastAsia" w:hAnsiTheme="majorBidi" w:cstheme="majorBidi"/>
        </w:rPr>
        <w:t>coverage over time. To reflect this uncertainty, a year was randomly assigned from another protected area within the same country, and then this procedure repeated 1,000 times, with the median plotted. </w:t>
      </w:r>
      <w:r w:rsidRPr="00ED7E61">
        <w:rPr>
          <w:rStyle w:val="eop"/>
          <w:rFonts w:asciiTheme="majorBidi" w:eastAsiaTheme="majorEastAsia" w:hAnsiTheme="majorBidi" w:cstheme="majorBidi"/>
        </w:rPr>
        <w:t> </w:t>
      </w:r>
    </w:p>
    <w:p w14:paraId="57B7C67A" w14:textId="54125A9F" w:rsidR="00B10F84"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 xml:space="preserve">Prior to 2017, the indicator was presented as the percentage of Key Biodiversity Areas completely covered by protected areas. However, it is now presented as the mean % of each Key Biodiversity Area that is covered by protected areas </w:t>
      </w:r>
      <w:r w:rsidR="00392DD5">
        <w:rPr>
          <w:rStyle w:val="normaltextrun"/>
          <w:rFonts w:asciiTheme="majorBidi" w:eastAsiaTheme="majorEastAsia" w:hAnsiTheme="majorBidi" w:cstheme="majorBidi"/>
        </w:rPr>
        <w:t xml:space="preserve">and OECMs </w:t>
      </w:r>
      <w:proofErr w:type="gramStart"/>
      <w:r w:rsidRPr="00ED7E61">
        <w:rPr>
          <w:rStyle w:val="normaltextrun"/>
          <w:rFonts w:asciiTheme="majorBidi" w:eastAsiaTheme="majorEastAsia" w:hAnsiTheme="majorBidi" w:cstheme="majorBidi"/>
        </w:rPr>
        <w:t>in order to</w:t>
      </w:r>
      <w:proofErr w:type="gramEnd"/>
      <w:r w:rsidRPr="00ED7E61">
        <w:rPr>
          <w:rStyle w:val="normaltextrun"/>
          <w:rFonts w:asciiTheme="majorBidi" w:eastAsiaTheme="majorEastAsia" w:hAnsiTheme="majorBidi" w:cstheme="majorBidi"/>
        </w:rPr>
        <w:t xml:space="preserve"> better reflect trends in protected area </w:t>
      </w:r>
      <w:r w:rsidR="00392DD5">
        <w:rPr>
          <w:rStyle w:val="normaltextrun"/>
          <w:rFonts w:asciiTheme="majorBidi" w:eastAsiaTheme="majorEastAsia" w:hAnsiTheme="majorBidi" w:cstheme="majorBidi"/>
        </w:rPr>
        <w:t xml:space="preserve">and OECM </w:t>
      </w:r>
      <w:r w:rsidRPr="00ED7E61">
        <w:rPr>
          <w:rStyle w:val="normaltextrun"/>
          <w:rFonts w:asciiTheme="majorBidi" w:eastAsiaTheme="majorEastAsia" w:hAnsiTheme="majorBidi" w:cstheme="majorBidi"/>
        </w:rPr>
        <w:t>coverage for countries or regions with few or no Key Biodiversity Areas that are completely covered. </w:t>
      </w:r>
      <w:r w:rsidRPr="00ED7E61">
        <w:rPr>
          <w:rStyle w:val="eop"/>
          <w:rFonts w:asciiTheme="majorBidi" w:eastAsiaTheme="majorEastAsia" w:hAnsiTheme="majorBidi" w:cstheme="majorBidi"/>
        </w:rPr>
        <w:t> </w:t>
      </w:r>
    </w:p>
    <w:p w14:paraId="2F80D264" w14:textId="48840FD4" w:rsidR="00B10F84" w:rsidRPr="00ED7E61" w:rsidRDefault="00756F0F" w:rsidP="00B10F0C">
      <w:pPr>
        <w:pStyle w:val="CBDNormalNumber"/>
        <w:numPr>
          <w:ilvl w:val="0"/>
          <w:numId w:val="73"/>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 xml:space="preserve">The indicator is reported for all Key Biodiversity Areas, and for marine, terrestrial and freshwater realms separately, matching SDG indicators 14.5.1 and 15.1.2 (while SDG indicator 15.4.1 represents the mountain subset).  Sites were classified as marine Key Biodiversity Areas by undertaking a spatial overlap between the Key Biodiversity Area polygons and an ocean raster layer (produced from the </w:t>
      </w:r>
      <w:r w:rsidR="00ED3992">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adm0</w:t>
      </w:r>
      <w:r w:rsidR="00ED3992">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layer from the database of Global Administrative Areas (GADM 2019)), classifying any Key Biodiversity Area as a marine Key Biodiversity Area where it had ≥5% overlap with the ocean layer (hence some sites were classified as both marine and terrestrial). Sites were classified as freshwater Key Biodiversity Areas if the resident species for which they were identified were documented in the IUCN Red List as dependent on </w:t>
      </w:r>
      <w:r w:rsidR="00ED3992">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Inland Water</w:t>
      </w:r>
      <w:r w:rsidR="00ED3992">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systems. For non-resident or migrant species, or species that shift habitats during the annual cycle, the site was tagged as freshwater if the species occurred at the site in the appropriate season of water-dependence (e.g. some species are only dependent on water during the breeding season). Sites were then screened (using the satellite imagery base layer within ArcGIS) as to whether they lay wholly in the Coastal Zone (defined here as within 10 km of the coast), and these sites were then untagged as Freshwater and </w:t>
      </w:r>
      <w:r w:rsidRPr="00ED7E61">
        <w:rPr>
          <w:rStyle w:val="normaltextrun"/>
          <w:rFonts w:asciiTheme="majorBidi" w:eastAsiaTheme="majorEastAsia" w:hAnsiTheme="majorBidi" w:cstheme="majorBidi"/>
        </w:rPr>
        <w:lastRenderedPageBreak/>
        <w:t xml:space="preserve">instead tagged as Marine if the wetland habitats present at the site fell purely within the IUCN Habitat Classification Scheme class </w:t>
      </w:r>
      <w:r w:rsidR="00ED3992">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Marine Supratidal</w:t>
      </w:r>
      <w:r w:rsidR="00ED3992">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(i.e. estuaries, lagoons, etc.). If the site was within the Coastal </w:t>
      </w:r>
      <w:proofErr w:type="gramStart"/>
      <w:r w:rsidRPr="00ED7E61">
        <w:rPr>
          <w:rStyle w:val="normaltextrun"/>
          <w:rFonts w:asciiTheme="majorBidi" w:eastAsiaTheme="majorEastAsia" w:hAnsiTheme="majorBidi" w:cstheme="majorBidi"/>
        </w:rPr>
        <w:t>Zone, but</w:t>
      </w:r>
      <w:proofErr w:type="gramEnd"/>
      <w:r w:rsidRPr="00ED7E61">
        <w:rPr>
          <w:rStyle w:val="normaltextrun"/>
          <w:rFonts w:asciiTheme="majorBidi" w:eastAsiaTheme="majorEastAsia" w:hAnsiTheme="majorBidi" w:cstheme="majorBidi"/>
        </w:rPr>
        <w:t xml:space="preserve"> contained a mixture of Marine Supratidal and Inland Water classes, then it was tagged as both Freshwater and Marine. Each site was then manually cross-checked against other (less comprehensively available) site attributes, such as the habitat preferences of its trigger species, the site’s name (Delta, River, </w:t>
      </w:r>
      <w:proofErr w:type="spellStart"/>
      <w:r w:rsidRPr="00ED7E61">
        <w:rPr>
          <w:rStyle w:val="normaltextrun"/>
          <w:rFonts w:asciiTheme="majorBidi" w:eastAsiaTheme="majorEastAsia" w:hAnsiTheme="majorBidi" w:cstheme="majorBidi"/>
        </w:rPr>
        <w:t>Humedal</w:t>
      </w:r>
      <w:proofErr w:type="spellEnd"/>
      <w:r w:rsidRPr="00ED7E61">
        <w:rPr>
          <w:rStyle w:val="normaltextrun"/>
          <w:rFonts w:asciiTheme="majorBidi" w:eastAsiaTheme="majorEastAsia" w:hAnsiTheme="majorBidi" w:cstheme="majorBidi"/>
        </w:rPr>
        <w:t>, etc.), its areal coverage by different habitat types, its overlap with Ramsar Sites etc</w:t>
      </w:r>
      <w:r w:rsidR="00D6334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so as to confirm or remove the freshwater tag appropriately. Some Key Biodiversity Areas qualify as both marine and terrestrial, and others qualify as both terrestrial and freshwater. Such sites are included in </w:t>
      </w:r>
      <w:proofErr w:type="gramStart"/>
      <w:r w:rsidRPr="00ED7E61">
        <w:rPr>
          <w:rStyle w:val="normaltextrun"/>
          <w:rFonts w:asciiTheme="majorBidi" w:eastAsiaTheme="majorEastAsia" w:hAnsiTheme="majorBidi" w:cstheme="majorBidi"/>
        </w:rPr>
        <w:t>both of the relevant</w:t>
      </w:r>
      <w:proofErr w:type="gramEnd"/>
      <w:r w:rsidRPr="00ED7E61">
        <w:rPr>
          <w:rStyle w:val="normaltextrun"/>
          <w:rFonts w:asciiTheme="majorBidi" w:eastAsiaTheme="majorEastAsia" w:hAnsiTheme="majorBidi" w:cstheme="majorBidi"/>
        </w:rPr>
        <w:t xml:space="preserve"> realm </w:t>
      </w: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The indicator is also disaggregated to show trends in coverage of Key Biodiversity Areas identified for migratory species by protected area and OECMs, as a measure of the protection of ecological connectivity (this disaggregation is also relevant to the Convention on Migratory Species).</w:t>
      </w:r>
      <w:r w:rsidRPr="00ED7E61">
        <w:rPr>
          <w:rStyle w:val="eop"/>
          <w:rFonts w:asciiTheme="majorBidi" w:eastAsiaTheme="majorEastAsia" w:hAnsiTheme="majorBidi" w:cstheme="majorBidi"/>
        </w:rPr>
        <w:t> </w:t>
      </w:r>
    </w:p>
    <w:p w14:paraId="20B2C9F6" w14:textId="118D9499" w:rsidR="0074409C" w:rsidRPr="003F15A4" w:rsidRDefault="00756F0F" w:rsidP="00B10F0C">
      <w:pPr>
        <w:pStyle w:val="CBDNormalNumber"/>
        <w:numPr>
          <w:ilvl w:val="0"/>
          <w:numId w:val="73"/>
        </w:numPr>
        <w:ind w:left="567" w:firstLine="0"/>
        <w:rPr>
          <w:rStyle w:val="normaltextrun"/>
          <w:rFonts w:asciiTheme="majorBidi" w:hAnsiTheme="majorBidi" w:cstheme="majorBidi"/>
          <w:color w:val="4A4A4A"/>
        </w:rPr>
      </w:pPr>
      <w:r w:rsidRPr="00ED7E61">
        <w:rPr>
          <w:rStyle w:val="normaltextrun"/>
          <w:rFonts w:asciiTheme="majorBidi" w:eastAsiaTheme="majorEastAsia" w:hAnsiTheme="majorBidi" w:cstheme="majorBidi"/>
          <w:color w:val="000000"/>
        </w:rPr>
        <w:t>While Key Biodiversity Areas provide the most comprehensive dataset available of areas of particular importance for biodiversity identified nationally using a standardised approach that is comparable across all countries, Parties may wish to include other areas that meet the definition of areas of particular importance for biodiversity (</w:t>
      </w:r>
      <w:proofErr w:type="spellStart"/>
      <w:r w:rsidRPr="00ED7E61">
        <w:rPr>
          <w:rStyle w:val="normaltextrun"/>
          <w:rFonts w:asciiTheme="majorBidi" w:eastAsiaTheme="majorEastAsia" w:hAnsiTheme="majorBidi" w:cstheme="majorBidi"/>
          <w:color w:val="000000"/>
        </w:rPr>
        <w:t>Plumptre</w:t>
      </w:r>
      <w:proofErr w:type="spellEnd"/>
      <w:r w:rsidRPr="00ED7E61">
        <w:rPr>
          <w:rStyle w:val="normaltextrun"/>
          <w:rFonts w:asciiTheme="majorBidi" w:eastAsiaTheme="majorEastAsia" w:hAnsiTheme="majorBidi" w:cstheme="majorBidi"/>
          <w:color w:val="000000"/>
        </w:rPr>
        <w:t xml:space="preserve"> et al</w:t>
      </w:r>
      <w:r w:rsidR="00E81377">
        <w:rPr>
          <w:rStyle w:val="normaltextrun"/>
          <w:rFonts w:asciiTheme="majorBidi" w:eastAsiaTheme="majorEastAsia" w:hAnsiTheme="majorBidi" w:cstheme="majorBidi"/>
          <w:color w:val="000000"/>
        </w:rPr>
        <w:t>.</w:t>
      </w:r>
      <w:r w:rsidR="0059402D">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2024).</w:t>
      </w:r>
      <w:r w:rsidRPr="00ED7E61">
        <w:rPr>
          <w:rStyle w:val="eop"/>
          <w:rFonts w:asciiTheme="majorBidi" w:eastAsiaTheme="majorEastAsia" w:hAnsiTheme="majorBidi" w:cstheme="majorBidi"/>
          <w:color w:val="000000"/>
        </w:rPr>
        <w:t> </w:t>
      </w:r>
    </w:p>
    <w:p w14:paraId="1453F952" w14:textId="02E3B0F3"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iv Disaggregation by effectiveness:</w:t>
      </w:r>
      <w:r w:rsidRPr="00ED7E61">
        <w:rPr>
          <w:rStyle w:val="eop"/>
          <w:rFonts w:asciiTheme="majorBidi" w:eastAsiaTheme="majorEastAsia" w:hAnsiTheme="majorBidi" w:cstheme="majorBidi"/>
          <w:sz w:val="22"/>
          <w:szCs w:val="22"/>
        </w:rPr>
        <w:t> </w:t>
      </w:r>
    </w:p>
    <w:p w14:paraId="70C047F8" w14:textId="77777777" w:rsidR="005050CC" w:rsidRDefault="005050CC" w:rsidP="00812871">
      <w:pPr>
        <w:pStyle w:val="CBDNormalNumber"/>
        <w:numPr>
          <w:ilvl w:val="0"/>
          <w:numId w:val="73"/>
        </w:numPr>
        <w:ind w:left="567" w:firstLine="0"/>
      </w:pPr>
      <w:r>
        <w:rPr>
          <w:rStyle w:val="normaltextrun"/>
          <w:rFonts w:asciiTheme="majorBidi" w:hAnsiTheme="majorBidi"/>
        </w:rPr>
        <w:t xml:space="preserve">The Target 3 Headline Indicator can be disaggregated to show coverage of protected areas and OECMs for which a management effectiveness assessment has or has not been conducted, based on data submitted to the Global Database on Protected Area Management Effectiveness (GD-PAME). In 2025, the GD-PAME was expanded to include new optional fields to capture additional high-level information on effectiveness. These new fields contain questions relating to the governance; design and planning; management and outcomes of protected areas and OECMs. These questions represent a subset of key aspects of effectiveness that can be feasibly reported drawing on results obtained via a range of effectiveness assessment methods and frameworks (including some listed as component and complementary indicators in CBD/COP/DEC/15/5). Reporting on these fields is optional and data providers may submit data to the GD-PAME at different levels of detail, according to their capacity to report and the availability of data. More comprehensive data submissions enable more detailed </w:t>
      </w:r>
      <w:proofErr w:type="spellStart"/>
      <w:r>
        <w:rPr>
          <w:rStyle w:val="normaltextrun"/>
          <w:rFonts w:asciiTheme="majorBidi" w:hAnsiTheme="majorBidi"/>
        </w:rPr>
        <w:t>disaggregations</w:t>
      </w:r>
      <w:proofErr w:type="spellEnd"/>
      <w:r>
        <w:rPr>
          <w:rStyle w:val="normaltextrun"/>
          <w:rFonts w:asciiTheme="majorBidi" w:hAnsiTheme="majorBidi"/>
        </w:rPr>
        <w:t xml:space="preserve"> ‘by effectiveness’ of the headline indicator, e.g., coverage of protected areas and OECMs that have been assessed for governance quality; involve key actors in decision-making; have identified major biodiversity values; are monitoring, evaluating and adapting management actions; have sufficient staff resources; or are reporting positive trends in conservation outcomes. Further information on reporting data and the optional data fields is provided in the GD-PAME manual: </w:t>
      </w:r>
      <w:hyperlink r:id="rId294" w:history="1">
        <w:r>
          <w:rPr>
            <w:rStyle w:val="Hyperlink"/>
            <w:rFonts w:asciiTheme="majorBidi" w:hAnsiTheme="majorBidi"/>
            <w:lang w:val="en-CA"/>
          </w:rPr>
          <w:t>http://wcmc.io/GD-PAME_User_Manual_EN</w:t>
        </w:r>
      </w:hyperlink>
      <w:r>
        <w:rPr>
          <w:lang w:val="en-CA"/>
        </w:rPr>
        <w:t xml:space="preserve">. </w:t>
      </w:r>
      <w:r>
        <w:rPr>
          <w:rStyle w:val="normaltextrun"/>
          <w:rFonts w:asciiTheme="majorBidi" w:hAnsiTheme="majorBidi"/>
        </w:rPr>
        <w:t xml:space="preserve">  </w:t>
      </w:r>
      <w:r>
        <w:rPr>
          <w:rStyle w:val="eop"/>
          <w:rFonts w:asciiTheme="majorBidi" w:hAnsiTheme="majorBidi"/>
        </w:rPr>
        <w:t xml:space="preserve">                                                                                                                           </w:t>
      </w:r>
    </w:p>
    <w:p w14:paraId="749076AF" w14:textId="7A02CDCE" w:rsidR="00756F0F" w:rsidRPr="00ED7E61" w:rsidRDefault="00756F0F" w:rsidP="00B10F0C">
      <w:pPr>
        <w:pStyle w:val="CBDNormalNumber"/>
        <w:numPr>
          <w:ilvl w:val="0"/>
          <w:numId w:val="73"/>
        </w:numPr>
        <w:ind w:left="567" w:firstLine="0"/>
        <w:rPr>
          <w:rStyle w:val="eop"/>
          <w:rFonts w:asciiTheme="majorBidi" w:eastAsiaTheme="majorEastAsia" w:hAnsiTheme="majorBidi" w:cstheme="majorBidi"/>
        </w:rPr>
      </w:pP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652604B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v. Disaggregation by governance type:</w:t>
      </w:r>
      <w:r w:rsidRPr="00ED7E61">
        <w:rPr>
          <w:rStyle w:val="eop"/>
          <w:rFonts w:asciiTheme="majorBidi" w:eastAsiaTheme="majorEastAsia" w:hAnsiTheme="majorBidi" w:cstheme="majorBidi"/>
          <w:sz w:val="22"/>
          <w:szCs w:val="22"/>
        </w:rPr>
        <w:t> </w:t>
      </w:r>
    </w:p>
    <w:p w14:paraId="51559474" w14:textId="589E54D1" w:rsidR="00B10F84"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Pr>
        <w:t>The</w:t>
      </w:r>
      <w:r w:rsidRPr="00ED7E61">
        <w:rPr>
          <w:rStyle w:val="normaltextrun"/>
          <w:rFonts w:asciiTheme="majorBidi" w:eastAsiaTheme="majorEastAsia" w:hAnsiTheme="majorBidi" w:cstheme="majorBidi"/>
        </w:rPr>
        <w:t xml:space="preserve"> indicator can be disaggregated by coverage of each IUCN governance type (government, private organi</w:t>
      </w:r>
      <w:r w:rsidR="0004367E">
        <w:rPr>
          <w:rStyle w:val="normaltextrun"/>
          <w:rFonts w:asciiTheme="majorBidi" w:eastAsiaTheme="majorEastAsia" w:hAnsiTheme="majorBidi" w:cstheme="majorBidi"/>
        </w:rPr>
        <w:t>z</w:t>
      </w:r>
      <w:r w:rsidRPr="00ED7E61">
        <w:rPr>
          <w:rStyle w:val="normaltextrun"/>
          <w:rFonts w:asciiTheme="majorBidi" w:eastAsiaTheme="majorEastAsia" w:hAnsiTheme="majorBidi" w:cstheme="majorBidi"/>
        </w:rPr>
        <w:t xml:space="preserve">ations, IP and LC, or shared) using the </w:t>
      </w:r>
      <w:r w:rsidR="00EE3805">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xml:space="preserve"> GOV_TYPE field. </w:t>
      </w:r>
      <w:r w:rsidRPr="00ED7E61">
        <w:rPr>
          <w:rStyle w:val="eop"/>
          <w:rFonts w:asciiTheme="majorBidi" w:eastAsiaTheme="majorEastAsia" w:hAnsiTheme="majorBidi" w:cstheme="majorBidi"/>
        </w:rPr>
        <w:t> </w:t>
      </w:r>
    </w:p>
    <w:p w14:paraId="16E9F2C4" w14:textId="4D28AEDD" w:rsidR="00756F0F" w:rsidRPr="00ED7E61" w:rsidRDefault="00756F0F" w:rsidP="00B10F0C">
      <w:pPr>
        <w:pStyle w:val="CBDNormalNumber"/>
        <w:numPr>
          <w:ilvl w:val="0"/>
          <w:numId w:val="73"/>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A time series can be created for all </w:t>
      </w:r>
      <w:proofErr w:type="spellStart"/>
      <w:r w:rsidRPr="00ED7E61">
        <w:rPr>
          <w:rStyle w:val="normaltextrun"/>
          <w:rFonts w:asciiTheme="majorBidi" w:eastAsiaTheme="majorEastAsia" w:hAnsiTheme="majorBidi" w:cstheme="majorBidi"/>
        </w:rPr>
        <w:t>disaggregations</w:t>
      </w:r>
      <w:proofErr w:type="spellEnd"/>
      <w:r w:rsidRPr="00ED7E61">
        <w:rPr>
          <w:rStyle w:val="normaltextrun"/>
          <w:rFonts w:asciiTheme="majorBidi" w:eastAsiaTheme="majorEastAsia" w:hAnsiTheme="majorBidi" w:cstheme="majorBidi"/>
        </w:rPr>
        <w:t xml:space="preserve"> using the </w:t>
      </w:r>
      <w:r w:rsidR="00EE3805">
        <w:rPr>
          <w:rStyle w:val="normaltextrun"/>
          <w:rFonts w:asciiTheme="majorBidi" w:eastAsiaTheme="majorEastAsia" w:hAnsiTheme="majorBidi" w:cstheme="majorBidi"/>
        </w:rPr>
        <w:t>WDPCA</w:t>
      </w:r>
      <w:r w:rsidRPr="00ED7E61">
        <w:rPr>
          <w:rStyle w:val="normaltextrun"/>
          <w:rFonts w:asciiTheme="majorBidi" w:eastAsiaTheme="majorEastAsia" w:hAnsiTheme="majorBidi" w:cstheme="majorBidi"/>
        </w:rPr>
        <w:t xml:space="preserve"> STATUS_YR field.</w:t>
      </w:r>
      <w:r w:rsidRPr="00ED7E61">
        <w:rPr>
          <w:rStyle w:val="eop"/>
          <w:rFonts w:asciiTheme="majorBidi" w:eastAsiaTheme="majorEastAsia" w:hAnsiTheme="majorBidi" w:cstheme="majorBidi"/>
        </w:rPr>
        <w:t> </w:t>
      </w:r>
    </w:p>
    <w:p w14:paraId="281300E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7C1569A3" w14:textId="77777777" w:rsidR="00756F0F" w:rsidRPr="00ED7E61" w:rsidRDefault="00756F0F" w:rsidP="00B10F0C">
      <w:pPr>
        <w:pStyle w:val="CBDNormalNumber"/>
        <w:numPr>
          <w:ilvl w:val="0"/>
          <w:numId w:val="73"/>
        </w:numPr>
        <w:ind w:left="567" w:firstLine="0"/>
        <w:rPr>
          <w:rStyle w:val="normaltextrun"/>
          <w:sz w:val="24"/>
          <w:szCs w:val="24"/>
          <w:lang w:val="en-CA"/>
        </w:rPr>
      </w:pPr>
      <w:r w:rsidRPr="00ED7E61">
        <w:rPr>
          <w:rStyle w:val="normaltextrun"/>
        </w:rPr>
        <w:t>Target 1 Complementary indicator “</w:t>
      </w:r>
      <w:r w:rsidRPr="00FB1598">
        <w:rPr>
          <w:rStyle w:val="normaltextrun"/>
          <w:i/>
          <w:iCs/>
        </w:rPr>
        <w:t>Percentage of spatial plans utilizing information on key biodiversity areas</w:t>
      </w:r>
      <w:r w:rsidRPr="00ED7E61">
        <w:rPr>
          <w:rStyle w:val="normaltextrun"/>
        </w:rPr>
        <w:t>”,  </w:t>
      </w:r>
    </w:p>
    <w:p w14:paraId="5C82915E" w14:textId="77777777" w:rsidR="00756F0F" w:rsidRPr="00ED7E61" w:rsidRDefault="00756F0F" w:rsidP="00B10F0C">
      <w:pPr>
        <w:pStyle w:val="CBDNormalNumber"/>
        <w:numPr>
          <w:ilvl w:val="0"/>
          <w:numId w:val="73"/>
        </w:numPr>
        <w:ind w:left="567" w:firstLine="0"/>
        <w:rPr>
          <w:rStyle w:val="normaltextrun"/>
        </w:rPr>
      </w:pPr>
      <w:r w:rsidRPr="00ED7E61">
        <w:rPr>
          <w:rStyle w:val="normaltextrun"/>
        </w:rPr>
        <w:t>Target 2 &amp; 3 Complementary indicator “</w:t>
      </w:r>
      <w:r w:rsidRPr="00FB1598">
        <w:rPr>
          <w:rStyle w:val="normaltextrun"/>
          <w:i/>
          <w:iCs/>
        </w:rPr>
        <w:t>Status of Key Biodiversity Areas</w:t>
      </w:r>
      <w:r w:rsidRPr="00ED7E61">
        <w:rPr>
          <w:rStyle w:val="normaltextrun"/>
        </w:rPr>
        <w:t>”,  </w:t>
      </w:r>
    </w:p>
    <w:p w14:paraId="180FA66E" w14:textId="77777777" w:rsidR="00756F0F" w:rsidRPr="00ED7E61" w:rsidRDefault="00756F0F" w:rsidP="00B10F0C">
      <w:pPr>
        <w:pStyle w:val="CBDNormalNumber"/>
        <w:numPr>
          <w:ilvl w:val="0"/>
          <w:numId w:val="73"/>
        </w:numPr>
        <w:ind w:left="567" w:firstLine="0"/>
        <w:rPr>
          <w:rStyle w:val="normaltextrun"/>
        </w:rPr>
      </w:pPr>
      <w:r w:rsidRPr="00ED7E61">
        <w:rPr>
          <w:rStyle w:val="normaltextrun"/>
        </w:rPr>
        <w:t>Target 3 Complementary indicator “</w:t>
      </w:r>
      <w:r w:rsidRPr="00FB1598">
        <w:rPr>
          <w:rStyle w:val="normaltextrun"/>
          <w:i/>
          <w:iCs/>
        </w:rPr>
        <w:t>Extent to which protected areas and other effective area-based conservation measures (OECMs) cover Key Biodiversity Areas that are important for migratory species</w:t>
      </w:r>
      <w:r w:rsidRPr="00ED7E61">
        <w:rPr>
          <w:rStyle w:val="normaltextrun"/>
        </w:rPr>
        <w:t>”. </w:t>
      </w:r>
    </w:p>
    <w:p w14:paraId="2B70974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1968B6BF" w14:textId="60C27A9E"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lastRenderedPageBreak/>
        <w:t>10a. Organi</w:t>
      </w:r>
      <w:r w:rsidR="0004367E">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61376E17" w14:textId="77777777" w:rsidR="00756F0F" w:rsidRPr="00ED7E61" w:rsidRDefault="00756F0F" w:rsidP="0004367E">
      <w:pPr>
        <w:pStyle w:val="CBDNormalNumber"/>
        <w:ind w:left="567"/>
        <w:rPr>
          <w:rStyle w:val="normaltextrun"/>
          <w:sz w:val="24"/>
          <w:szCs w:val="24"/>
          <w:lang w:val="en-CA"/>
        </w:rPr>
      </w:pPr>
      <w:r w:rsidRPr="00ED7E61">
        <w:rPr>
          <w:rStyle w:val="normaltextrun"/>
        </w:rPr>
        <w:t>UN Environment Programme World Conservation Monitoring Centre (UNEP-WCMC)  </w:t>
      </w:r>
    </w:p>
    <w:p w14:paraId="268744BE" w14:textId="77777777" w:rsidR="00756F0F" w:rsidRPr="00ED7E61" w:rsidRDefault="00756F0F" w:rsidP="0004367E">
      <w:pPr>
        <w:pStyle w:val="CBDNormalNumber"/>
        <w:ind w:left="567"/>
        <w:rPr>
          <w:rStyle w:val="normaltextrun"/>
        </w:rPr>
      </w:pPr>
      <w:proofErr w:type="spellStart"/>
      <w:r w:rsidRPr="00ED7E61">
        <w:rPr>
          <w:rStyle w:val="normaltextrun"/>
        </w:rPr>
        <w:t>BirdLife</w:t>
      </w:r>
      <w:proofErr w:type="spellEnd"/>
      <w:r w:rsidRPr="00ED7E61">
        <w:rPr>
          <w:rStyle w:val="normaltextrun"/>
        </w:rPr>
        <w:t xml:space="preserve"> International </w:t>
      </w:r>
    </w:p>
    <w:p w14:paraId="2E650571" w14:textId="77777777" w:rsidR="00756F0F" w:rsidRPr="00ED7E61" w:rsidRDefault="00756F0F" w:rsidP="0004367E">
      <w:pPr>
        <w:pStyle w:val="CBDNormalNumber"/>
        <w:ind w:left="567"/>
        <w:rPr>
          <w:rStyle w:val="normaltextrun"/>
        </w:rPr>
      </w:pPr>
      <w:r w:rsidRPr="00ED7E61">
        <w:rPr>
          <w:rStyle w:val="normaltextrun"/>
        </w:rPr>
        <w:t>International Union for Conservation of Nature (IUCN)  </w:t>
      </w:r>
    </w:p>
    <w:p w14:paraId="748E806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19E13D79" w14:textId="77777777" w:rsidR="00756F0F" w:rsidRPr="00ED7E61" w:rsidRDefault="00756F0F" w:rsidP="0004367E">
      <w:pPr>
        <w:pStyle w:val="CBDNormalNumber"/>
        <w:ind w:left="567"/>
        <w:rPr>
          <w:rFonts w:asciiTheme="majorBidi" w:hAnsiTheme="majorBidi" w:cstheme="majorBidi"/>
        </w:rPr>
      </w:pPr>
      <w:r w:rsidRPr="00ED7E61">
        <w:rPr>
          <w:rStyle w:val="normaltextrun"/>
        </w:rPr>
        <w:t>Heather</w:t>
      </w:r>
      <w:r w:rsidRPr="00ED7E61">
        <w:rPr>
          <w:rStyle w:val="normaltextrun"/>
          <w:rFonts w:asciiTheme="majorBidi" w:eastAsiaTheme="majorEastAsia" w:hAnsiTheme="majorBidi" w:cstheme="majorBidi"/>
          <w:lang w:val="en-AU"/>
        </w:rPr>
        <w:t xml:space="preserve"> Bingham (</w:t>
      </w:r>
      <w:hyperlink r:id="rId295" w:tgtFrame="_blank" w:history="1">
        <w:r w:rsidRPr="00ED7E61">
          <w:rPr>
            <w:rStyle w:val="normaltextrun"/>
            <w:rFonts w:asciiTheme="majorBidi" w:eastAsiaTheme="majorEastAsia" w:hAnsiTheme="majorBidi" w:cstheme="majorBidi"/>
            <w:color w:val="467886"/>
            <w:u w:val="single"/>
            <w:lang w:val="en-AU"/>
          </w:rPr>
          <w:t>Heather.Bingham@unep-wcmc.org</w:t>
        </w:r>
      </w:hyperlink>
      <w:r w:rsidRPr="00ED7E61">
        <w:rPr>
          <w:rStyle w:val="normaltextrun"/>
          <w:rFonts w:asciiTheme="majorBidi" w:eastAsiaTheme="majorEastAsia" w:hAnsiTheme="majorBidi" w:cstheme="majorBidi"/>
          <w:lang w:val="en-AU"/>
        </w:rPr>
        <w:t>)</w:t>
      </w:r>
      <w:r w:rsidRPr="00ED7E61">
        <w:rPr>
          <w:rStyle w:val="eop"/>
          <w:rFonts w:asciiTheme="majorBidi" w:eastAsiaTheme="majorEastAsia" w:hAnsiTheme="majorBidi" w:cstheme="majorBidi"/>
        </w:rPr>
        <w:t> </w:t>
      </w:r>
    </w:p>
    <w:p w14:paraId="7100123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w:t>
      </w:r>
      <w:r w:rsidRPr="00ED7E61">
        <w:rPr>
          <w:rStyle w:val="eop"/>
          <w:rFonts w:asciiTheme="majorBidi" w:eastAsiaTheme="majorEastAsia" w:hAnsiTheme="majorBidi" w:cstheme="majorBidi"/>
          <w:sz w:val="22"/>
          <w:szCs w:val="22"/>
        </w:rPr>
        <w:t> </w:t>
      </w:r>
    </w:p>
    <w:p w14:paraId="2AC797DB" w14:textId="77777777" w:rsidR="00756F0F" w:rsidRPr="00ED7E61" w:rsidRDefault="00756F0F" w:rsidP="0004367E">
      <w:pPr>
        <w:pStyle w:val="CBDNormalNumber"/>
        <w:ind w:left="567"/>
        <w:rPr>
          <w:rFonts w:asciiTheme="majorBidi" w:hAnsiTheme="majorBidi" w:cstheme="majorBidi"/>
        </w:rPr>
      </w:pPr>
      <w:r w:rsidRPr="00ED7E61">
        <w:rPr>
          <w:rStyle w:val="normaltextrun"/>
        </w:rPr>
        <w:t>These</w:t>
      </w:r>
      <w:r w:rsidRPr="00ED7E61">
        <w:rPr>
          <w:rStyle w:val="normaltextrun"/>
          <w:rFonts w:asciiTheme="majorBidi" w:eastAsiaTheme="majorEastAsia" w:hAnsiTheme="majorBidi" w:cstheme="majorBidi"/>
        </w:rPr>
        <w:t xml:space="preserve"> metadata are based on </w:t>
      </w:r>
      <w:hyperlink r:id="rId296" w:tgtFrame="_blank" w:history="1">
        <w:r w:rsidRPr="00ED7E61">
          <w:rPr>
            <w:rStyle w:val="normaltextrun"/>
            <w:rFonts w:asciiTheme="majorBidi" w:eastAsiaTheme="majorEastAsia" w:hAnsiTheme="majorBidi" w:cstheme="majorBidi"/>
            <w:color w:val="467886"/>
            <w:u w:val="single"/>
            <w:lang w:val="en-AU"/>
          </w:rPr>
          <w:t>https://unstats.un.org/sdgs/metadata/files/Metadata-15-01-02.pdf</w:t>
        </w:r>
      </w:hyperlink>
      <w:r w:rsidRPr="00ED7E61">
        <w:rPr>
          <w:rStyle w:val="normaltextrun"/>
          <w:rFonts w:asciiTheme="majorBidi" w:eastAsiaTheme="majorEastAsia" w:hAnsiTheme="majorBidi" w:cstheme="majorBidi"/>
          <w:lang w:val="en-AU"/>
        </w:rPr>
        <w:t xml:space="preserve">, and </w:t>
      </w:r>
      <w:hyperlink r:id="rId297" w:tgtFrame="_blank" w:history="1">
        <w:r w:rsidRPr="00ED7E61">
          <w:rPr>
            <w:rStyle w:val="normaltextrun"/>
            <w:rFonts w:asciiTheme="majorBidi" w:eastAsiaTheme="majorEastAsia" w:hAnsiTheme="majorBidi" w:cstheme="majorBidi"/>
            <w:color w:val="467886"/>
            <w:u w:val="single"/>
            <w:lang w:val="en-AU"/>
          </w:rPr>
          <w:t>https://unstats.un.org/sdgs/metadata/files/Metadata-14-05-01.pdf</w:t>
        </w:r>
      </w:hyperlink>
      <w:r w:rsidRPr="00ED7E61">
        <w:rPr>
          <w:rStyle w:val="normaltextrun"/>
          <w:rFonts w:asciiTheme="majorBidi" w:eastAsiaTheme="majorEastAsia" w:hAnsiTheme="majorBidi" w:cstheme="majorBidi"/>
          <w:lang w:val="en-AU"/>
        </w:rPr>
        <w:t>,</w:t>
      </w:r>
      <w:r w:rsidRPr="00ED7E61">
        <w:rPr>
          <w:rStyle w:val="normaltextrun"/>
          <w:rFonts w:asciiTheme="majorBidi" w:eastAsiaTheme="majorEastAsia" w:hAnsiTheme="majorBidi" w:cstheme="majorBidi"/>
        </w:rPr>
        <w:t xml:space="preserve"> supplemented by </w:t>
      </w:r>
      <w:hyperlink r:id="rId298" w:tgtFrame="_blank" w:history="1">
        <w:r w:rsidRPr="00ED7E61">
          <w:rPr>
            <w:rStyle w:val="normaltextrun"/>
            <w:rFonts w:asciiTheme="majorBidi" w:eastAsiaTheme="majorEastAsia" w:hAnsiTheme="majorBidi" w:cstheme="majorBidi"/>
            <w:color w:val="0000FF"/>
            <w:u w:val="single"/>
          </w:rPr>
          <w:t>https://www.bipindicators.net/indicators/coverage-of-protected-areas-terrestrial-and-marine</w:t>
        </w:r>
      </w:hyperlink>
      <w:r w:rsidRPr="00ED7E61">
        <w:rPr>
          <w:rStyle w:val="normaltextrun"/>
          <w:rFonts w:asciiTheme="majorBidi" w:eastAsiaTheme="majorEastAsia" w:hAnsiTheme="majorBidi" w:cstheme="majorBidi"/>
        </w:rPr>
        <w:t xml:space="preserve">, </w:t>
      </w:r>
      <w:hyperlink r:id="rId299" w:tgtFrame="_blank" w:history="1">
        <w:r w:rsidRPr="00ED7E61">
          <w:rPr>
            <w:rStyle w:val="normaltextrun"/>
            <w:rFonts w:asciiTheme="majorBidi" w:eastAsiaTheme="majorEastAsia" w:hAnsiTheme="majorBidi" w:cstheme="majorBidi"/>
            <w:color w:val="467886"/>
            <w:u w:val="single"/>
          </w:rPr>
          <w:t>https://www.bipindicators.net/indicators/protected-area-coverage-of-key-biodiversity-areas</w:t>
        </w:r>
      </w:hyperlink>
      <w:r w:rsidRPr="00ED7E61">
        <w:rPr>
          <w:rStyle w:val="normaltextrun"/>
          <w:rFonts w:asciiTheme="majorBidi" w:eastAsiaTheme="majorEastAsia" w:hAnsiTheme="majorBidi" w:cstheme="majorBidi"/>
        </w:rPr>
        <w:t xml:space="preserve"> , </w:t>
      </w:r>
      <w:hyperlink r:id="rId300" w:tgtFrame="_blank" w:history="1">
        <w:r w:rsidRPr="00ED7E61">
          <w:rPr>
            <w:rStyle w:val="normaltextrun"/>
            <w:rFonts w:asciiTheme="majorBidi" w:eastAsiaTheme="majorEastAsia" w:hAnsiTheme="majorBidi" w:cstheme="majorBidi"/>
            <w:color w:val="467886"/>
            <w:u w:val="single"/>
          </w:rPr>
          <w:t>https://www.protectedplanet.net/en/resources/calculating-protected-area-coverage</w:t>
        </w:r>
      </w:hyperlink>
      <w:r w:rsidRPr="00ED7E61">
        <w:rPr>
          <w:rStyle w:val="normaltextrun"/>
          <w:rFonts w:asciiTheme="majorBidi" w:eastAsiaTheme="majorEastAsia" w:hAnsiTheme="majorBidi" w:cstheme="majorBidi"/>
        </w:rPr>
        <w:t xml:space="preserve"> and the references listed below.</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46197850" w14:textId="77777777" w:rsidR="00756F0F" w:rsidRPr="00812871"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proofErr w:type="spellStart"/>
      <w:r w:rsidRPr="00812871">
        <w:rPr>
          <w:rStyle w:val="normaltextrun"/>
          <w:rFonts w:asciiTheme="majorBidi" w:eastAsiaTheme="majorEastAsia" w:hAnsiTheme="majorBidi" w:cstheme="majorBidi"/>
          <w:b/>
          <w:bCs/>
          <w:sz w:val="22"/>
          <w:szCs w:val="22"/>
          <w:lang w:val="es-ES"/>
        </w:rPr>
        <w:t>References</w:t>
      </w:r>
      <w:proofErr w:type="spellEnd"/>
      <w:r w:rsidRPr="00812871">
        <w:rPr>
          <w:rStyle w:val="normaltextrun"/>
          <w:rFonts w:asciiTheme="majorBidi" w:eastAsiaTheme="majorEastAsia" w:hAnsiTheme="majorBidi" w:cstheme="majorBidi"/>
          <w:b/>
          <w:bCs/>
          <w:sz w:val="22"/>
          <w:szCs w:val="22"/>
          <w:lang w:val="es-ES"/>
        </w:rPr>
        <w:t>:</w:t>
      </w:r>
      <w:r w:rsidRPr="00812871">
        <w:rPr>
          <w:rStyle w:val="eop"/>
          <w:rFonts w:asciiTheme="majorBidi" w:eastAsiaTheme="majorEastAsia" w:hAnsiTheme="majorBidi" w:cstheme="majorBidi"/>
          <w:sz w:val="22"/>
          <w:szCs w:val="22"/>
          <w:lang w:val="es-ES"/>
        </w:rPr>
        <w:t> </w:t>
      </w:r>
    </w:p>
    <w:p w14:paraId="664635B1" w14:textId="286A9F80" w:rsidR="00B10F84" w:rsidRPr="00ED7E61" w:rsidRDefault="00756F0F" w:rsidP="0004367E">
      <w:pPr>
        <w:pStyle w:val="CBDNormalNumber"/>
        <w:ind w:left="567"/>
        <w:rPr>
          <w:rFonts w:asciiTheme="majorBidi" w:hAnsiTheme="majorBidi" w:cstheme="majorBidi"/>
        </w:rPr>
      </w:pPr>
      <w:r w:rsidRPr="00812871">
        <w:rPr>
          <w:rStyle w:val="normaltextrun"/>
          <w:lang w:val="es-ES"/>
        </w:rPr>
        <w:t>ABELL</w:t>
      </w:r>
      <w:r w:rsidRPr="00812871">
        <w:rPr>
          <w:rStyle w:val="normaltextrun"/>
          <w:rFonts w:asciiTheme="majorBidi" w:eastAsiaTheme="majorEastAsia" w:hAnsiTheme="majorBidi" w:cstheme="majorBidi"/>
          <w:lang w:val="es-ES"/>
        </w:rPr>
        <w:t>, R. et al</w:t>
      </w:r>
      <w:r w:rsidR="002D6AA5" w:rsidRPr="00812871">
        <w:rPr>
          <w:rStyle w:val="normaltextrun"/>
          <w:rFonts w:asciiTheme="majorBidi" w:eastAsiaTheme="majorEastAsia" w:hAnsiTheme="majorBidi" w:cstheme="majorBidi"/>
          <w:lang w:val="es-ES"/>
        </w:rPr>
        <w:t>.</w:t>
      </w:r>
      <w:r w:rsidRPr="00812871">
        <w:rPr>
          <w:rStyle w:val="normaltextrun"/>
          <w:rFonts w:asciiTheme="majorBidi" w:eastAsiaTheme="majorEastAsia" w:hAnsiTheme="majorBidi" w:cstheme="majorBidi"/>
          <w:lang w:val="es-ES"/>
        </w:rPr>
        <w:t xml:space="preserve"> </w:t>
      </w:r>
      <w:r w:rsidRPr="00ED7E61">
        <w:rPr>
          <w:rStyle w:val="normaltextrun"/>
          <w:rFonts w:asciiTheme="majorBidi" w:eastAsiaTheme="majorEastAsia" w:hAnsiTheme="majorBidi" w:cstheme="majorBidi"/>
        </w:rPr>
        <w:t xml:space="preserve">(2008) Freshwater Ecoregions of the World: A New Map of Biogeographic Units for Freshwater Biodiversity Conservation. </w:t>
      </w:r>
      <w:proofErr w:type="spellStart"/>
      <w:r w:rsidRPr="00ED7E61">
        <w:rPr>
          <w:rStyle w:val="normaltextrun"/>
          <w:rFonts w:asciiTheme="majorBidi" w:eastAsiaTheme="majorEastAsia" w:hAnsiTheme="majorBidi" w:cstheme="majorBidi"/>
        </w:rPr>
        <w:t>BioScience</w:t>
      </w:r>
      <w:proofErr w:type="spellEnd"/>
      <w:r w:rsidRPr="00ED7E61">
        <w:rPr>
          <w:rStyle w:val="normaltextrun"/>
          <w:rFonts w:asciiTheme="majorBidi" w:eastAsiaTheme="majorEastAsia" w:hAnsiTheme="majorBidi" w:cstheme="majorBidi"/>
        </w:rPr>
        <w:t>, 58: 403–414, https://doi.org/10.1641/B580507</w:t>
      </w:r>
      <w:r w:rsidRPr="00ED7E61">
        <w:rPr>
          <w:rStyle w:val="eop"/>
          <w:rFonts w:asciiTheme="majorBidi" w:eastAsiaTheme="majorEastAsia" w:hAnsiTheme="majorBidi" w:cstheme="majorBidi"/>
        </w:rPr>
        <w:t> </w:t>
      </w:r>
    </w:p>
    <w:p w14:paraId="7F34DB22" w14:textId="7A23CFA4"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BIRDLIFE INTERNATIONAL (2014). Important Bird and Biodiversity Areas: a global network for conserving nature and benefiting people. Cambridge, UK: </w:t>
      </w:r>
      <w:proofErr w:type="spellStart"/>
      <w:r w:rsidRPr="00ED7E61">
        <w:rPr>
          <w:rStyle w:val="normaltextrun"/>
          <w:rFonts w:asciiTheme="majorBidi" w:eastAsiaTheme="majorEastAsia" w:hAnsiTheme="majorBidi" w:cstheme="majorBidi"/>
        </w:rPr>
        <w:t>BirdLife</w:t>
      </w:r>
      <w:proofErr w:type="spellEnd"/>
      <w:r w:rsidRPr="00ED7E61">
        <w:rPr>
          <w:rStyle w:val="normaltextrun"/>
          <w:rFonts w:asciiTheme="majorBidi" w:eastAsiaTheme="majorEastAsia" w:hAnsiTheme="majorBidi" w:cstheme="majorBidi"/>
        </w:rPr>
        <w:t xml:space="preserve"> International. Available at datazone.birdlife.org/</w:t>
      </w:r>
      <w:proofErr w:type="spellStart"/>
      <w:r w:rsidRPr="00ED7E61">
        <w:rPr>
          <w:rStyle w:val="normaltextrun"/>
          <w:rFonts w:asciiTheme="majorBidi" w:eastAsiaTheme="majorEastAsia" w:hAnsiTheme="majorBidi" w:cstheme="majorBidi"/>
        </w:rPr>
        <w:t>sowb</w:t>
      </w:r>
      <w:proofErr w:type="spellEnd"/>
      <w:r w:rsidRPr="00ED7E61">
        <w:rPr>
          <w:rStyle w:val="normaltextrun"/>
          <w:rFonts w:asciiTheme="majorBidi" w:eastAsiaTheme="majorEastAsia" w:hAnsiTheme="majorBidi" w:cstheme="majorBidi"/>
        </w:rPr>
        <w:t>/</w:t>
      </w:r>
      <w:proofErr w:type="spellStart"/>
      <w:r w:rsidRPr="00ED7E61">
        <w:rPr>
          <w:rStyle w:val="normaltextrun"/>
          <w:rFonts w:asciiTheme="majorBidi" w:eastAsiaTheme="majorEastAsia" w:hAnsiTheme="majorBidi" w:cstheme="majorBidi"/>
        </w:rPr>
        <w:t>sowbpubs#IBA</w:t>
      </w:r>
      <w:proofErr w:type="spellEnd"/>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65ED59EB" w14:textId="6E41AD1C"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BIRDLIFE INTERNATIONAL (2023) World Database of Key Biodiversity Areas. Developed by the KBA Partnership: </w:t>
      </w:r>
      <w:proofErr w:type="spellStart"/>
      <w:r w:rsidRPr="00ED7E61">
        <w:rPr>
          <w:rStyle w:val="normaltextrun"/>
          <w:rFonts w:asciiTheme="majorBidi" w:eastAsiaTheme="majorEastAsia" w:hAnsiTheme="majorBidi" w:cstheme="majorBidi"/>
        </w:rPr>
        <w:t>BirdLife</w:t>
      </w:r>
      <w:proofErr w:type="spellEnd"/>
      <w:r w:rsidRPr="00ED7E61">
        <w:rPr>
          <w:rStyle w:val="normaltextrun"/>
          <w:rFonts w:asciiTheme="majorBidi" w:eastAsiaTheme="majorEastAsia" w:hAnsiTheme="majorBidi" w:cstheme="majorBidi"/>
        </w:rPr>
        <w:t xml:space="preserve"> International, International Union for the Conservation of Nature, Amphibian Survival Alliance, Conservation International, Critical Ecosystem Partnership Fund, Global Environment Facility, </w:t>
      </w:r>
      <w:proofErr w:type="spellStart"/>
      <w:r w:rsidRPr="00ED7E61">
        <w:rPr>
          <w:rStyle w:val="normaltextrun"/>
          <w:rFonts w:asciiTheme="majorBidi" w:eastAsiaTheme="majorEastAsia" w:hAnsiTheme="majorBidi" w:cstheme="majorBidi"/>
        </w:rPr>
        <w:t>NatureServe</w:t>
      </w:r>
      <w:proofErr w:type="spellEnd"/>
      <w:r w:rsidRPr="00ED7E61">
        <w:rPr>
          <w:rStyle w:val="normaltextrun"/>
          <w:rFonts w:asciiTheme="majorBidi" w:eastAsiaTheme="majorEastAsia" w:hAnsiTheme="majorBidi" w:cstheme="majorBidi"/>
        </w:rPr>
        <w:t xml:space="preserve">, Rainforest Trust, </w:t>
      </w:r>
      <w:proofErr w:type="spellStart"/>
      <w:proofErr w:type="gramStart"/>
      <w:r w:rsidRPr="00ED7E61">
        <w:rPr>
          <w:rStyle w:val="normaltextrun"/>
          <w:rFonts w:asciiTheme="majorBidi" w:eastAsiaTheme="majorEastAsia" w:hAnsiTheme="majorBidi" w:cstheme="majorBidi"/>
        </w:rPr>
        <w:t>Re:Wild</w:t>
      </w:r>
      <w:proofErr w:type="spellEnd"/>
      <w:proofErr w:type="gramEnd"/>
      <w:r w:rsidRPr="00ED7E61">
        <w:rPr>
          <w:rStyle w:val="normaltextrun"/>
          <w:rFonts w:asciiTheme="majorBidi" w:eastAsiaTheme="majorEastAsia" w:hAnsiTheme="majorBidi" w:cstheme="majorBidi"/>
        </w:rPr>
        <w:t xml:space="preserve">, Royal Society for the Protection of Birds, Wildlife Conservation Society and World Wildlife Fund. May 2023 version. Available at </w:t>
      </w:r>
      <w:hyperlink r:id="rId301" w:tgtFrame="_blank" w:history="1">
        <w:r w:rsidRPr="00ED7E61">
          <w:rPr>
            <w:rStyle w:val="normaltextrun"/>
            <w:rFonts w:asciiTheme="majorBidi" w:eastAsiaTheme="majorEastAsia" w:hAnsiTheme="majorBidi" w:cstheme="majorBidi"/>
            <w:color w:val="0000FF"/>
            <w:u w:val="single"/>
          </w:rPr>
          <w:t>http://keybiodiversityareas.org/site/search</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03B1214B" w14:textId="790B5015"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BROOKS, T. et al. (2001). Conservation priorities for birds and biodiversity: do East African Important Bird Areas represent species diversity in other terrestrial vertebrate groups? Ostrich suppl. 15: 3–12. Available from: </w:t>
      </w:r>
      <w:hyperlink r:id="rId302" w:anchor=".VafbVJPVq75" w:tgtFrame="_blank" w:history="1">
        <w:r w:rsidRPr="00ED7E61">
          <w:rPr>
            <w:rStyle w:val="normaltextrun"/>
            <w:rFonts w:asciiTheme="majorBidi" w:eastAsiaTheme="majorEastAsia" w:hAnsiTheme="majorBidi" w:cstheme="majorBidi"/>
            <w:color w:val="0000FF"/>
            <w:u w:val="single"/>
          </w:rPr>
          <w:t>http://www.tandfonline.com/doi/abs/10.2989/00306520109485329#.VafbVJPVq75</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0090BD72" w14:textId="026245CC"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lang w:val="en-AU"/>
        </w:rPr>
        <w:t>BROOKS, T.M., et al. (2016a). Analysing Biodiversity and Conservation Knowledge Products to Support Regional Environmental Assessments. Scientific Data 3(1). Available from: www.nature.com/articles/sdata20167, https://doi.org/10.1038/sdata.2016.7.</w:t>
      </w:r>
      <w:r w:rsidRPr="00ED7E61">
        <w:rPr>
          <w:rStyle w:val="eop"/>
          <w:rFonts w:asciiTheme="majorBidi" w:eastAsiaTheme="majorEastAsia" w:hAnsiTheme="majorBidi" w:cstheme="majorBidi"/>
        </w:rPr>
        <w:t> </w:t>
      </w:r>
    </w:p>
    <w:p w14:paraId="7BE6C503" w14:textId="2174EBAD"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BROOKS, T.M. et al. (2016b). Goal 15: Life on land. Sustainable manage forests, combat desertification, halt and reverse land degradation, halt biodiversity loss. </w:t>
      </w:r>
      <w:r w:rsidRPr="00ED7E61">
        <w:rPr>
          <w:rStyle w:val="normaltextrun"/>
          <w:rFonts w:asciiTheme="majorBidi" w:eastAsiaTheme="majorEastAsia" w:hAnsiTheme="majorBidi" w:cstheme="majorBidi"/>
          <w:lang w:val="es-ES"/>
        </w:rPr>
        <w:t xml:space="preserve">Pp. 497–522 in Durán y </w:t>
      </w:r>
      <w:proofErr w:type="spellStart"/>
      <w:r w:rsidRPr="00ED7E61">
        <w:rPr>
          <w:rStyle w:val="normaltextrun"/>
          <w:rFonts w:asciiTheme="majorBidi" w:eastAsiaTheme="majorEastAsia" w:hAnsiTheme="majorBidi" w:cstheme="majorBidi"/>
          <w:lang w:val="es-ES"/>
        </w:rPr>
        <w:t>Lalaguna</w:t>
      </w:r>
      <w:proofErr w:type="spellEnd"/>
      <w:r w:rsidRPr="00ED7E61">
        <w:rPr>
          <w:rStyle w:val="normaltextrun"/>
          <w:rFonts w:asciiTheme="majorBidi" w:eastAsiaTheme="majorEastAsia" w:hAnsiTheme="majorBidi" w:cstheme="majorBidi"/>
          <w:lang w:val="es-ES"/>
        </w:rPr>
        <w:t xml:space="preserve">, P., Díaz Barrado, C.M. &amp; Fernández Liesa, C.R. (eds.) </w:t>
      </w:r>
      <w:r w:rsidRPr="00ED7E61">
        <w:rPr>
          <w:rStyle w:val="normaltextrun"/>
          <w:rFonts w:asciiTheme="majorBidi" w:eastAsiaTheme="majorEastAsia" w:hAnsiTheme="majorBidi" w:cstheme="majorBidi"/>
        </w:rPr>
        <w:t xml:space="preserve">International Society and Sustainable Development Goals. Editorial </w:t>
      </w:r>
      <w:proofErr w:type="spellStart"/>
      <w:r w:rsidRPr="00ED7E61">
        <w:rPr>
          <w:rStyle w:val="normaltextrun"/>
          <w:rFonts w:asciiTheme="majorBidi" w:eastAsiaTheme="majorEastAsia" w:hAnsiTheme="majorBidi" w:cstheme="majorBidi"/>
        </w:rPr>
        <w:t>Aranzadi</w:t>
      </w:r>
      <w:proofErr w:type="spellEnd"/>
      <w:r w:rsidRPr="00ED7E61">
        <w:rPr>
          <w:rStyle w:val="normaltextrun"/>
          <w:rFonts w:asciiTheme="majorBidi" w:eastAsiaTheme="majorEastAsia" w:hAnsiTheme="majorBidi" w:cstheme="majorBidi"/>
        </w:rPr>
        <w:t xml:space="preserve">, </w:t>
      </w:r>
      <w:proofErr w:type="spellStart"/>
      <w:r w:rsidRPr="00ED7E61">
        <w:rPr>
          <w:rStyle w:val="normaltextrun"/>
          <w:rFonts w:asciiTheme="majorBidi" w:eastAsiaTheme="majorEastAsia" w:hAnsiTheme="majorBidi" w:cstheme="majorBidi"/>
        </w:rPr>
        <w:t>Cizur</w:t>
      </w:r>
      <w:proofErr w:type="spellEnd"/>
      <w:r w:rsidRPr="00ED7E61">
        <w:rPr>
          <w:rStyle w:val="normaltextrun"/>
          <w:rFonts w:asciiTheme="majorBidi" w:eastAsiaTheme="majorEastAsia" w:hAnsiTheme="majorBidi" w:cstheme="majorBidi"/>
        </w:rPr>
        <w:t xml:space="preserve"> Menor, Spain. Available from: https://www.thomsonreuters.es/es/tienda/pdp/duo.html?pid=10008456</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02FCAB91" w14:textId="3F944063" w:rsidR="00B10F84" w:rsidRPr="00ED7E61" w:rsidRDefault="00756F0F" w:rsidP="0004367E">
      <w:pPr>
        <w:pStyle w:val="CBDNormalNumber"/>
        <w:ind w:left="567"/>
        <w:rPr>
          <w:rFonts w:asciiTheme="majorBidi" w:hAnsiTheme="majorBidi" w:cstheme="majorBidi"/>
          <w:lang w:val="fr-FR"/>
        </w:rPr>
      </w:pPr>
      <w:r w:rsidRPr="00F7259C">
        <w:rPr>
          <w:rStyle w:val="normaltextrun"/>
          <w:rFonts w:asciiTheme="majorBidi" w:eastAsiaTheme="majorEastAsia" w:hAnsiTheme="majorBidi" w:cstheme="majorBidi"/>
          <w:lang w:val="fr-FR"/>
        </w:rPr>
        <w:t xml:space="preserve">BUTCHART, S. H. M. et al. </w:t>
      </w:r>
      <w:r w:rsidRPr="00ED7E61">
        <w:rPr>
          <w:rStyle w:val="normaltextrun"/>
          <w:rFonts w:asciiTheme="majorBidi" w:eastAsiaTheme="majorEastAsia" w:hAnsiTheme="majorBidi" w:cstheme="majorBidi"/>
        </w:rPr>
        <w:t xml:space="preserve">(2010). Global biodiversity: indicators of recent declines. </w:t>
      </w:r>
      <w:r w:rsidRPr="00ED7E61">
        <w:rPr>
          <w:rStyle w:val="normaltextrun"/>
          <w:rFonts w:asciiTheme="majorBidi" w:eastAsiaTheme="majorEastAsia" w:hAnsiTheme="majorBidi" w:cstheme="majorBidi"/>
          <w:lang w:val="fr-FR"/>
        </w:rPr>
        <w:t xml:space="preserve">Science </w:t>
      </w:r>
      <w:proofErr w:type="gramStart"/>
      <w:r w:rsidRPr="00ED7E61">
        <w:rPr>
          <w:rStyle w:val="normaltextrun"/>
          <w:rFonts w:asciiTheme="majorBidi" w:eastAsiaTheme="majorEastAsia" w:hAnsiTheme="majorBidi" w:cstheme="majorBidi"/>
          <w:lang w:val="fr-FR"/>
        </w:rPr>
        <w:t>328:</w:t>
      </w:r>
      <w:proofErr w:type="gramEnd"/>
      <w:r w:rsidRPr="00ED7E61">
        <w:rPr>
          <w:rStyle w:val="normaltextrun"/>
          <w:rFonts w:asciiTheme="majorBidi" w:eastAsiaTheme="majorEastAsia" w:hAnsiTheme="majorBidi" w:cstheme="majorBidi"/>
          <w:lang w:val="fr-FR"/>
        </w:rPr>
        <w:t xml:space="preserve"> 1164–1168. </w:t>
      </w:r>
      <w:proofErr w:type="spellStart"/>
      <w:r w:rsidRPr="00ED7E61">
        <w:rPr>
          <w:rStyle w:val="normaltextrun"/>
          <w:rFonts w:asciiTheme="majorBidi" w:eastAsiaTheme="majorEastAsia" w:hAnsiTheme="majorBidi" w:cstheme="majorBidi"/>
          <w:lang w:val="fr-FR"/>
        </w:rPr>
        <w:t>Available</w:t>
      </w:r>
      <w:proofErr w:type="spellEnd"/>
      <w:r w:rsidRPr="00ED7E61">
        <w:rPr>
          <w:rStyle w:val="normaltextrun"/>
          <w:rFonts w:asciiTheme="majorBidi" w:eastAsiaTheme="majorEastAsia" w:hAnsiTheme="majorBidi" w:cstheme="majorBidi"/>
          <w:lang w:val="fr-FR"/>
        </w:rPr>
        <w:t xml:space="preserve"> </w:t>
      </w:r>
      <w:proofErr w:type="spellStart"/>
      <w:r w:rsidRPr="00ED7E61">
        <w:rPr>
          <w:rStyle w:val="normaltextrun"/>
          <w:rFonts w:asciiTheme="majorBidi" w:eastAsiaTheme="majorEastAsia" w:hAnsiTheme="majorBidi" w:cstheme="majorBidi"/>
          <w:lang w:val="fr-FR"/>
        </w:rPr>
        <w:t>from</w:t>
      </w:r>
      <w:proofErr w:type="spellEnd"/>
      <w:r w:rsidRPr="00ED7E61">
        <w:rPr>
          <w:rStyle w:val="normaltextrun"/>
          <w:rFonts w:asciiTheme="majorBidi" w:eastAsiaTheme="majorEastAsia" w:hAnsiTheme="majorBidi" w:cstheme="majorBidi"/>
          <w:lang w:val="fr-FR"/>
        </w:rPr>
        <w:t xml:space="preserve"> </w:t>
      </w:r>
      <w:hyperlink r:id="rId303" w:tgtFrame="_blank" w:history="1">
        <w:r w:rsidRPr="00ED7E61">
          <w:rPr>
            <w:rStyle w:val="normaltextrun"/>
            <w:rFonts w:asciiTheme="majorBidi" w:eastAsiaTheme="majorEastAsia" w:hAnsiTheme="majorBidi" w:cstheme="majorBidi"/>
            <w:color w:val="0000FF"/>
            <w:u w:val="single"/>
            <w:lang w:val="fr-FR"/>
          </w:rPr>
          <w:t>http://www.sciencemag.org/content/328/5982/1164.short</w:t>
        </w:r>
      </w:hyperlink>
      <w:r w:rsidRPr="00ED7E61">
        <w:rPr>
          <w:rStyle w:val="normaltextrun"/>
          <w:rFonts w:asciiTheme="majorBidi" w:eastAsiaTheme="majorEastAsia" w:hAnsiTheme="majorBidi" w:cstheme="majorBidi"/>
          <w:lang w:val="fr-FR"/>
        </w:rPr>
        <w:t> </w:t>
      </w:r>
      <w:r w:rsidRPr="00ED7E61">
        <w:rPr>
          <w:rStyle w:val="eop"/>
          <w:rFonts w:asciiTheme="majorBidi" w:eastAsiaTheme="majorEastAsia" w:hAnsiTheme="majorBidi" w:cstheme="majorBidi"/>
          <w:lang w:val="fr-FR"/>
        </w:rPr>
        <w:t> </w:t>
      </w:r>
    </w:p>
    <w:p w14:paraId="2245B087" w14:textId="0F96944C"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lang w:val="fr-FR"/>
        </w:rPr>
        <w:t xml:space="preserve">BUTCHART, S. H. M. et al. </w:t>
      </w:r>
      <w:r w:rsidRPr="00ED7E61">
        <w:rPr>
          <w:rStyle w:val="normaltextrun"/>
          <w:rFonts w:asciiTheme="majorBidi" w:eastAsiaTheme="majorEastAsia" w:hAnsiTheme="majorBidi" w:cstheme="majorBidi"/>
        </w:rPr>
        <w:t xml:space="preserve">(2012). Protecting important sites for biodiversity contributes to meeting global conservation targets. </w:t>
      </w:r>
      <w:proofErr w:type="spellStart"/>
      <w:r w:rsidRPr="00ED7E61">
        <w:rPr>
          <w:rStyle w:val="normaltextrun"/>
          <w:rFonts w:asciiTheme="majorBidi" w:eastAsiaTheme="majorEastAsia" w:hAnsiTheme="majorBidi" w:cstheme="majorBidi"/>
        </w:rPr>
        <w:t>PLoS</w:t>
      </w:r>
      <w:proofErr w:type="spellEnd"/>
      <w:r w:rsidRPr="00ED7E61">
        <w:rPr>
          <w:rStyle w:val="normaltextrun"/>
          <w:rFonts w:asciiTheme="majorBidi" w:eastAsiaTheme="majorEastAsia" w:hAnsiTheme="majorBidi" w:cstheme="majorBidi"/>
        </w:rPr>
        <w:t xml:space="preserve"> One 7(3): e32529. Available from </w:t>
      </w:r>
      <w:hyperlink r:id="rId304" w:tgtFrame="_blank" w:history="1">
        <w:r w:rsidRPr="00ED7E61">
          <w:rPr>
            <w:rStyle w:val="normaltextrun"/>
            <w:rFonts w:asciiTheme="majorBidi" w:eastAsiaTheme="majorEastAsia" w:hAnsiTheme="majorBidi" w:cstheme="majorBidi"/>
            <w:color w:val="0000FF"/>
            <w:u w:val="single"/>
          </w:rPr>
          <w:t>http://journals.plos.org/plosone/article?id=10.1371/journal.pone.0032529</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1FE1938D" w14:textId="267C3579"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lang w:val="fr-FR"/>
        </w:rPr>
        <w:lastRenderedPageBreak/>
        <w:t xml:space="preserve">BUTCHART, S. H. M. et al. </w:t>
      </w:r>
      <w:r w:rsidRPr="00ED7E61">
        <w:rPr>
          <w:rStyle w:val="normaltextrun"/>
          <w:rFonts w:asciiTheme="majorBidi" w:eastAsiaTheme="majorEastAsia" w:hAnsiTheme="majorBidi" w:cstheme="majorBidi"/>
        </w:rPr>
        <w:t xml:space="preserve">(2015). Shortfalls and solutions for meeting national and </w:t>
      </w:r>
      <w:r w:rsidRPr="00FB1598">
        <w:rPr>
          <w:rStyle w:val="normaltextrun"/>
          <w:rFonts w:asciiTheme="majorBidi" w:eastAsiaTheme="majorEastAsia" w:hAnsiTheme="majorBidi" w:cstheme="majorBidi"/>
          <w:lang w:val="en-CA"/>
        </w:rPr>
        <w:t xml:space="preserve">global conservation area targets. </w:t>
      </w:r>
      <w:r w:rsidRPr="009E462F">
        <w:rPr>
          <w:rStyle w:val="normaltextrun"/>
          <w:rFonts w:asciiTheme="majorBidi" w:eastAsiaTheme="majorEastAsia" w:hAnsiTheme="majorBidi" w:cstheme="majorBidi"/>
          <w:lang w:val="en-US"/>
        </w:rPr>
        <w:t>Conservation Letters 8: 329–337. Available from</w:t>
      </w:r>
      <w:r w:rsidRPr="00ED7E61">
        <w:rPr>
          <w:rStyle w:val="normaltextrun"/>
          <w:rFonts w:asciiTheme="majorBidi" w:eastAsiaTheme="majorEastAsia" w:hAnsiTheme="majorBidi" w:cstheme="majorBidi"/>
        </w:rPr>
        <w:t xml:space="preserve"> </w:t>
      </w:r>
      <w:hyperlink r:id="rId305" w:tgtFrame="_blank" w:history="1">
        <w:r w:rsidRPr="00ED7E61">
          <w:rPr>
            <w:rStyle w:val="normaltextrun"/>
            <w:rFonts w:asciiTheme="majorBidi" w:eastAsiaTheme="majorEastAsia" w:hAnsiTheme="majorBidi" w:cstheme="majorBidi"/>
            <w:color w:val="0000FF"/>
            <w:u w:val="single"/>
          </w:rPr>
          <w:t>http://onlinelibrary.wiley.com/doi/10.1111/conl.12158/full</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062D8595" w14:textId="478E6F8E"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CBD (2014). Global Biodiversity Outlook 4. Convention on Biological Diversity, Montréal, Canada. Available from </w:t>
      </w:r>
      <w:hyperlink r:id="rId306" w:tgtFrame="_blank" w:history="1">
        <w:r w:rsidRPr="00ED7E61">
          <w:rPr>
            <w:rStyle w:val="normaltextrun"/>
            <w:rFonts w:asciiTheme="majorBidi" w:eastAsiaTheme="majorEastAsia" w:hAnsiTheme="majorBidi" w:cstheme="majorBidi"/>
            <w:color w:val="0000FF"/>
            <w:u w:val="single"/>
          </w:rPr>
          <w:t>https://www.cbd.int/gbo4/</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73C830E4" w14:textId="2FEF0F4A"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CBD (2018). Protected areas and other effective area-based conservation measures. Decision 14/8 adopted by the Conference of the Parties to the Convention on Biological Diversity. Available at </w:t>
      </w:r>
      <w:hyperlink r:id="rId307" w:tgtFrame="_blank" w:history="1">
        <w:r w:rsidRPr="00ED7E61">
          <w:rPr>
            <w:rStyle w:val="normaltextrun"/>
            <w:rFonts w:asciiTheme="majorBidi" w:eastAsiaTheme="majorEastAsia" w:hAnsiTheme="majorBidi" w:cstheme="majorBidi"/>
            <w:color w:val="0000FF"/>
            <w:u w:val="single"/>
          </w:rPr>
          <w:t>https://www.cbd.int/doc/decisions/cop-14/cop-14-dec-08-en.pdf</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60BA668F" w14:textId="041BDB89" w:rsidR="00B10F84"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CBD (2020a). Global Biodiversity Outlook 5. Convention on Biological Diversity, Montréal, Canada. Available from </w:t>
      </w:r>
      <w:hyperlink r:id="rId308" w:tgtFrame="_blank" w:history="1">
        <w:r w:rsidRPr="00ED7E61">
          <w:rPr>
            <w:rStyle w:val="normaltextrun"/>
            <w:rFonts w:asciiTheme="majorBidi" w:eastAsiaTheme="majorEastAsia" w:hAnsiTheme="majorBidi" w:cstheme="majorBidi"/>
            <w:color w:val="0000FF"/>
            <w:u w:val="single"/>
          </w:rPr>
          <w:t>https://www.cbd.int/gbo5/</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3CA62A6C" w14:textId="694EF297" w:rsidR="00B10F84" w:rsidRPr="00ED7E61" w:rsidRDefault="00756F0F" w:rsidP="0004367E">
      <w:pPr>
        <w:pStyle w:val="CBDNormalNumber"/>
        <w:ind w:left="567"/>
        <w:rPr>
          <w:rFonts w:asciiTheme="majorBidi" w:hAnsiTheme="majorBidi" w:cstheme="majorBidi"/>
          <w:lang w:val="fr-FR"/>
        </w:rPr>
      </w:pPr>
      <w:r w:rsidRPr="00ED7E61">
        <w:rPr>
          <w:rStyle w:val="normaltextrun"/>
          <w:rFonts w:asciiTheme="majorBidi" w:eastAsiaTheme="majorEastAsia" w:hAnsiTheme="majorBidi" w:cstheme="majorBidi"/>
        </w:rPr>
        <w:t xml:space="preserve">CBD (2020b). Post-2020 Global Biodiversity Framework: Scientific and technical information to support the review of the updated Goals and Targets, and related indicators and baselines. </w:t>
      </w:r>
      <w:r w:rsidRPr="00ED7E61">
        <w:rPr>
          <w:rStyle w:val="normaltextrun"/>
          <w:rFonts w:asciiTheme="majorBidi" w:eastAsiaTheme="majorEastAsia" w:hAnsiTheme="majorBidi" w:cstheme="majorBidi"/>
          <w:lang w:val="fr-FR"/>
        </w:rPr>
        <w:t xml:space="preserve">Document CBD/SBSTTA/24/3. </w:t>
      </w:r>
      <w:proofErr w:type="spellStart"/>
      <w:r w:rsidRPr="00ED7E61">
        <w:rPr>
          <w:rStyle w:val="normaltextrun"/>
          <w:rFonts w:asciiTheme="majorBidi" w:eastAsiaTheme="majorEastAsia" w:hAnsiTheme="majorBidi" w:cstheme="majorBidi"/>
          <w:lang w:val="fr-FR"/>
        </w:rPr>
        <w:t>Available</w:t>
      </w:r>
      <w:proofErr w:type="spellEnd"/>
      <w:r w:rsidRPr="00ED7E61">
        <w:rPr>
          <w:rStyle w:val="normaltextrun"/>
          <w:rFonts w:asciiTheme="majorBidi" w:eastAsiaTheme="majorEastAsia" w:hAnsiTheme="majorBidi" w:cstheme="majorBidi"/>
          <w:lang w:val="fr-FR"/>
        </w:rPr>
        <w:t xml:space="preserve"> </w:t>
      </w:r>
      <w:proofErr w:type="gramStart"/>
      <w:r w:rsidRPr="00ED7E61">
        <w:rPr>
          <w:rStyle w:val="normaltextrun"/>
          <w:rFonts w:asciiTheme="majorBidi" w:eastAsiaTheme="majorEastAsia" w:hAnsiTheme="majorBidi" w:cstheme="majorBidi"/>
          <w:lang w:val="fr-FR"/>
        </w:rPr>
        <w:t>at:</w:t>
      </w:r>
      <w:proofErr w:type="gramEnd"/>
      <w:r w:rsidRPr="00ED7E61">
        <w:rPr>
          <w:rStyle w:val="normaltextrun"/>
          <w:rFonts w:asciiTheme="majorBidi" w:eastAsiaTheme="majorEastAsia" w:hAnsiTheme="majorBidi" w:cstheme="majorBidi"/>
          <w:lang w:val="fr-FR"/>
        </w:rPr>
        <w:t xml:space="preserve"> </w:t>
      </w:r>
      <w:hyperlink r:id="rId309" w:tgtFrame="_blank" w:history="1">
        <w:r w:rsidRPr="00ED7E61">
          <w:rPr>
            <w:rStyle w:val="normaltextrun"/>
            <w:rFonts w:asciiTheme="majorBidi" w:eastAsiaTheme="majorEastAsia" w:hAnsiTheme="majorBidi" w:cstheme="majorBidi"/>
            <w:color w:val="0000FF"/>
            <w:u w:val="single"/>
            <w:lang w:val="fr-FR"/>
          </w:rPr>
          <w:t>https://www.cbd.int/doc/c/705d/6b4b/a1a463c1b19392bde6fa08f3/sbstta-24-03-en.pdf</w:t>
        </w:r>
      </w:hyperlink>
      <w:r w:rsidRPr="00ED7E61">
        <w:rPr>
          <w:rStyle w:val="normaltextrun"/>
          <w:rFonts w:asciiTheme="majorBidi" w:eastAsiaTheme="majorEastAsia" w:hAnsiTheme="majorBidi" w:cstheme="majorBidi"/>
          <w:lang w:val="fr-FR"/>
        </w:rPr>
        <w:t xml:space="preserve"> . </w:t>
      </w:r>
      <w:r w:rsidRPr="00ED7E61">
        <w:rPr>
          <w:rStyle w:val="eop"/>
          <w:rFonts w:asciiTheme="majorBidi" w:eastAsiaTheme="majorEastAsia" w:hAnsiTheme="majorBidi" w:cstheme="majorBidi"/>
          <w:lang w:val="fr-FR"/>
        </w:rPr>
        <w:t> </w:t>
      </w:r>
    </w:p>
    <w:p w14:paraId="791640FB" w14:textId="16115DD9" w:rsidR="00A16532" w:rsidRPr="00ED7E61" w:rsidRDefault="00756F0F" w:rsidP="0004367E">
      <w:pPr>
        <w:pStyle w:val="CBDNormalNumber"/>
        <w:ind w:left="567"/>
        <w:rPr>
          <w:rFonts w:asciiTheme="majorBidi" w:hAnsiTheme="majorBidi" w:cstheme="majorBidi"/>
        </w:rPr>
      </w:pPr>
      <w:r w:rsidRPr="009E462F">
        <w:rPr>
          <w:rStyle w:val="normaltextrun"/>
          <w:rFonts w:asciiTheme="majorBidi" w:eastAsiaTheme="majorEastAsia" w:hAnsiTheme="majorBidi" w:cstheme="majorBidi"/>
          <w:lang w:val="fr-FR"/>
        </w:rPr>
        <w:t xml:space="preserve">CHAPE, S. et al. </w:t>
      </w:r>
      <w:r w:rsidRPr="00ED7E61">
        <w:rPr>
          <w:rStyle w:val="normaltextrun"/>
          <w:rFonts w:asciiTheme="majorBidi" w:eastAsiaTheme="majorEastAsia" w:hAnsiTheme="majorBidi" w:cstheme="majorBidi"/>
        </w:rPr>
        <w:t xml:space="preserve">(2005). Measuring the extent and effectiveness of protected areas as an indicator for meeting global biodiversity targets. Philosophical Transactions of the Royal Society B 360: 443–445. Available from http://rstb.royalsocietypublishing.org/content/360/1454/443.short.DEGUIGNET, M., et al. (2014). 2014 United Nations List of Protected Areas. UNEP-WCMC, Cambridge, UK. Available from </w:t>
      </w:r>
      <w:hyperlink r:id="rId310" w:tgtFrame="_blank" w:history="1">
        <w:r w:rsidRPr="00ED7E61">
          <w:rPr>
            <w:rStyle w:val="normaltextrun"/>
            <w:rFonts w:asciiTheme="majorBidi" w:eastAsiaTheme="majorEastAsia" w:hAnsiTheme="majorBidi" w:cstheme="majorBidi"/>
            <w:color w:val="0000FF"/>
            <w:u w:val="single"/>
          </w:rPr>
          <w:t>http://unep-wcmc.org/system/dataset_file_fields/files/000/000/263/original/2014_UN_List_of_Protected_Areas_EN_web.PDF?1415613322</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7AD0288E" w14:textId="137EEDE0" w:rsidR="00A16532"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DEGUIGNET, M., et al. (2014). 2014 United Nations List of Protected Areas. UNEP-WCMC, Cambridge, UK. Available from </w:t>
      </w:r>
      <w:r w:rsidRPr="00ED7E61">
        <w:rPr>
          <w:rStyle w:val="normaltextrun"/>
          <w:rFonts w:asciiTheme="majorBidi" w:eastAsiaTheme="majorEastAsia" w:hAnsiTheme="majorBidi" w:cstheme="majorBidi"/>
          <w:lang w:val="en-AU"/>
        </w:rPr>
        <w:t>https://resources.unep-wcmc.org/products/WCMC_RT107</w:t>
      </w:r>
      <w:r w:rsidRPr="00ED7E61">
        <w:rPr>
          <w:rStyle w:val="eop"/>
          <w:rFonts w:asciiTheme="majorBidi" w:eastAsiaTheme="majorEastAsia" w:hAnsiTheme="majorBidi" w:cstheme="majorBidi"/>
        </w:rPr>
        <w:t> </w:t>
      </w:r>
    </w:p>
    <w:p w14:paraId="1545A306" w14:textId="26E734D7" w:rsidR="00A16532" w:rsidRPr="00ED7E61" w:rsidRDefault="00756F0F" w:rsidP="0004367E">
      <w:pPr>
        <w:pStyle w:val="CBDNormalNumber"/>
        <w:ind w:left="567"/>
        <w:rPr>
          <w:rFonts w:asciiTheme="majorBidi" w:hAnsiTheme="majorBidi" w:cstheme="majorBidi"/>
        </w:rPr>
      </w:pPr>
      <w:r w:rsidRPr="000A3ABD">
        <w:rPr>
          <w:rStyle w:val="normaltextrun"/>
          <w:rFonts w:asciiTheme="majorBidi" w:eastAsiaTheme="majorEastAsia" w:hAnsiTheme="majorBidi" w:cstheme="majorBidi"/>
          <w:lang w:val="fr-FR"/>
        </w:rPr>
        <w:t xml:space="preserve">DI MARCO, M., et al. </w:t>
      </w:r>
      <w:r w:rsidRPr="00ED7E61">
        <w:rPr>
          <w:rStyle w:val="normaltextrun"/>
          <w:rFonts w:asciiTheme="majorBidi" w:eastAsiaTheme="majorEastAsia" w:hAnsiTheme="majorBidi" w:cstheme="majorBidi"/>
        </w:rPr>
        <w:t xml:space="preserve">(2016). Quantifying the relative irreplaceability of Important Bird and Biodiversity Areas. Conservation Biology 30: 392–402. Available from </w:t>
      </w:r>
      <w:hyperlink r:id="rId311" w:tgtFrame="_blank" w:history="1">
        <w:r w:rsidRPr="00ED7E61">
          <w:rPr>
            <w:rStyle w:val="normaltextrun"/>
            <w:rFonts w:asciiTheme="majorBidi" w:eastAsiaTheme="majorEastAsia" w:hAnsiTheme="majorBidi" w:cstheme="majorBidi"/>
            <w:color w:val="0000FF"/>
            <w:u w:val="single"/>
          </w:rPr>
          <w:t>http://onlinelibrary.wiley.com/doi/10.1111/cobi.12609/abstract</w:t>
        </w:r>
      </w:hyperlink>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226A8C42" w14:textId="06D889D0" w:rsidR="00A16532" w:rsidRPr="00ED7E61" w:rsidRDefault="00756F0F" w:rsidP="0004367E">
      <w:pPr>
        <w:pStyle w:val="CBDNormalNumber"/>
        <w:ind w:left="567"/>
        <w:rPr>
          <w:rFonts w:asciiTheme="majorBidi" w:hAnsiTheme="majorBidi" w:cstheme="majorBidi"/>
          <w:lang w:val="fr-FR"/>
        </w:rPr>
      </w:pPr>
      <w:r w:rsidRPr="00ED7E61">
        <w:rPr>
          <w:rStyle w:val="normaltextrun"/>
          <w:rFonts w:asciiTheme="majorBidi" w:eastAsiaTheme="majorEastAsia" w:hAnsiTheme="majorBidi" w:cstheme="majorBidi"/>
          <w:lang w:val="en-AU"/>
        </w:rPr>
        <w:t xml:space="preserve">DINERSTEIN, E., et al. (2017). An Ecoregion-Based Approach to Protecting Half the Terrestrial Realm. </w:t>
      </w:r>
      <w:r w:rsidRPr="00ED7E61">
        <w:rPr>
          <w:rStyle w:val="normaltextrun"/>
          <w:rFonts w:asciiTheme="majorBidi" w:eastAsiaTheme="majorEastAsia" w:hAnsiTheme="majorBidi" w:cstheme="majorBidi"/>
          <w:lang w:val="fr-FR"/>
        </w:rPr>
        <w:t xml:space="preserve">Bioscience </w:t>
      </w:r>
      <w:proofErr w:type="gramStart"/>
      <w:r w:rsidRPr="00ED7E61">
        <w:rPr>
          <w:rStyle w:val="normaltextrun"/>
          <w:rFonts w:asciiTheme="majorBidi" w:eastAsiaTheme="majorEastAsia" w:hAnsiTheme="majorBidi" w:cstheme="majorBidi"/>
          <w:lang w:val="fr-FR"/>
        </w:rPr>
        <w:t>67:</w:t>
      </w:r>
      <w:proofErr w:type="gramEnd"/>
      <w:r w:rsidRPr="00ED7E61">
        <w:rPr>
          <w:rStyle w:val="normaltextrun"/>
          <w:rFonts w:asciiTheme="majorBidi" w:eastAsiaTheme="majorEastAsia" w:hAnsiTheme="majorBidi" w:cstheme="majorBidi"/>
          <w:lang w:val="fr-FR"/>
        </w:rPr>
        <w:t xml:space="preserve"> 534-545. </w:t>
      </w:r>
      <w:hyperlink r:id="rId312" w:tgtFrame="_blank" w:history="1">
        <w:r w:rsidRPr="00ED7E61">
          <w:rPr>
            <w:rStyle w:val="normaltextrun"/>
            <w:rFonts w:asciiTheme="majorBidi" w:eastAsiaTheme="majorEastAsia" w:hAnsiTheme="majorBidi" w:cstheme="majorBidi"/>
            <w:color w:val="467886"/>
            <w:u w:val="single"/>
            <w:lang w:val="fr-FR"/>
          </w:rPr>
          <w:t>https://doi.org/10.1093/biosci/bix014</w:t>
        </w:r>
      </w:hyperlink>
      <w:r w:rsidRPr="00ED7E61">
        <w:rPr>
          <w:rStyle w:val="normaltextrun"/>
          <w:rFonts w:asciiTheme="majorBidi" w:eastAsiaTheme="majorEastAsia" w:hAnsiTheme="majorBidi" w:cstheme="majorBidi"/>
          <w:lang w:val="fr-FR"/>
        </w:rPr>
        <w:t> </w:t>
      </w:r>
      <w:r w:rsidRPr="00ED7E61">
        <w:rPr>
          <w:rStyle w:val="eop"/>
          <w:rFonts w:asciiTheme="majorBidi" w:eastAsiaTheme="majorEastAsia" w:hAnsiTheme="majorBidi" w:cstheme="majorBidi"/>
          <w:lang w:val="fr-FR"/>
        </w:rPr>
        <w:t> </w:t>
      </w:r>
    </w:p>
    <w:p w14:paraId="4B3E8F6C" w14:textId="59EF0D5D" w:rsidR="00A16532" w:rsidRPr="00ED7E61" w:rsidRDefault="00756F0F" w:rsidP="0004367E">
      <w:pPr>
        <w:pStyle w:val="CBDNormalNumber"/>
        <w:ind w:left="567"/>
        <w:rPr>
          <w:rFonts w:asciiTheme="majorBidi" w:hAnsiTheme="majorBidi" w:cstheme="majorBidi"/>
        </w:rPr>
      </w:pPr>
      <w:r w:rsidRPr="009E462F">
        <w:rPr>
          <w:rStyle w:val="normaltextrun"/>
          <w:rFonts w:asciiTheme="majorBidi" w:eastAsiaTheme="majorEastAsia" w:hAnsiTheme="majorBidi" w:cstheme="majorBidi"/>
          <w:lang w:val="fr-FR"/>
        </w:rPr>
        <w:t xml:space="preserve">DONALD, P. et al. </w:t>
      </w:r>
      <w:r w:rsidRPr="00ED7E61">
        <w:rPr>
          <w:rStyle w:val="normaltextrun"/>
          <w:rFonts w:asciiTheme="majorBidi" w:eastAsiaTheme="majorEastAsia" w:hAnsiTheme="majorBidi" w:cstheme="majorBidi"/>
        </w:rPr>
        <w:t xml:space="preserve">(2018) Important Bird and Biodiversity Areas (IBAs): the development and characteristics of a global inventory of key sites for biodiversity. Bird </w:t>
      </w:r>
      <w:proofErr w:type="spellStart"/>
      <w:r w:rsidRPr="00ED7E61">
        <w:rPr>
          <w:rStyle w:val="normaltextrun"/>
          <w:rFonts w:asciiTheme="majorBidi" w:eastAsiaTheme="majorEastAsia" w:hAnsiTheme="majorBidi" w:cstheme="majorBidi"/>
        </w:rPr>
        <w:t>Conserv</w:t>
      </w:r>
      <w:proofErr w:type="spellEnd"/>
      <w:r w:rsidRPr="00ED7E61">
        <w:rPr>
          <w:rStyle w:val="normaltextrun"/>
          <w:rFonts w:asciiTheme="majorBidi" w:eastAsiaTheme="majorEastAsia" w:hAnsiTheme="majorBidi" w:cstheme="majorBidi"/>
        </w:rPr>
        <w:t>. Internat. 29:177–198.</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3D45CE81" w14:textId="2C045870" w:rsidR="00A16532"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DUDLEY, N. (2008). Guidelines for Applying Protected Area Management Categories. International Union for Conservation of Nature (IUCN). Gland, Switzerland. Available from </w:t>
      </w:r>
      <w:hyperlink r:id="rId313" w:tgtFrame="_blank" w:history="1">
        <w:r w:rsidRPr="00ED7E61">
          <w:rPr>
            <w:rStyle w:val="normaltextrun"/>
            <w:rFonts w:asciiTheme="majorBidi" w:eastAsiaTheme="majorEastAsia" w:hAnsiTheme="majorBidi" w:cstheme="majorBidi"/>
            <w:color w:val="0000FF"/>
            <w:u w:val="single"/>
          </w:rPr>
          <w:t>https://portals.iucn.org/library/node/9243</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49366E4D" w14:textId="6180FA7F" w:rsidR="00A16532" w:rsidRPr="00ED7E61" w:rsidRDefault="00756F0F" w:rsidP="0004367E">
      <w:pPr>
        <w:pStyle w:val="CBDNormalNumber"/>
        <w:ind w:left="567"/>
        <w:rPr>
          <w:rFonts w:asciiTheme="majorBidi" w:hAnsiTheme="majorBidi" w:cstheme="majorBidi"/>
        </w:rPr>
      </w:pPr>
      <w:r w:rsidRPr="000A3ABD">
        <w:rPr>
          <w:rStyle w:val="normaltextrun"/>
          <w:rFonts w:asciiTheme="majorBidi" w:eastAsiaTheme="majorEastAsia" w:hAnsiTheme="majorBidi" w:cstheme="majorBidi"/>
          <w:lang w:val="fr-FR"/>
        </w:rPr>
        <w:t xml:space="preserve">EDGAR, G.J. et al. </w:t>
      </w:r>
      <w:r w:rsidRPr="00ED7E61">
        <w:rPr>
          <w:rStyle w:val="normaltextrun"/>
          <w:rFonts w:asciiTheme="majorBidi" w:eastAsiaTheme="majorEastAsia" w:hAnsiTheme="majorBidi" w:cstheme="majorBidi"/>
        </w:rPr>
        <w:t xml:space="preserve">(2008). Key Biodiversity Areas as globally significant target sites for the conservation of marine biological diversity. Aquatic Conservation: Marine and Freshwater Ecosystems 18: 969–983. Available from </w:t>
      </w:r>
      <w:hyperlink r:id="rId314" w:tgtFrame="_blank" w:history="1">
        <w:r w:rsidRPr="00ED7E61">
          <w:rPr>
            <w:rStyle w:val="normaltextrun"/>
            <w:rFonts w:asciiTheme="majorBidi" w:eastAsiaTheme="majorEastAsia" w:hAnsiTheme="majorBidi" w:cstheme="majorBidi"/>
            <w:color w:val="0000FF"/>
            <w:u w:val="single"/>
          </w:rPr>
          <w:t>http://onlinelibrary.wiley.com/doi/10.1002/aqc.902/abstract</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5EC326F6" w14:textId="48039A54" w:rsidR="00A16532" w:rsidRPr="000A3ABD" w:rsidRDefault="00756F0F" w:rsidP="0004367E">
      <w:pPr>
        <w:pStyle w:val="CBDNormalNumber"/>
        <w:ind w:left="567"/>
        <w:rPr>
          <w:rFonts w:asciiTheme="majorBidi" w:hAnsiTheme="majorBidi" w:cstheme="majorBidi"/>
          <w:lang w:val="en-CA"/>
        </w:rPr>
      </w:pPr>
      <w:r w:rsidRPr="00ED7E61">
        <w:rPr>
          <w:rStyle w:val="normaltextrun"/>
          <w:rFonts w:asciiTheme="majorBidi" w:eastAsiaTheme="majorEastAsia" w:hAnsiTheme="majorBidi" w:cstheme="majorBidi"/>
        </w:rPr>
        <w:t xml:space="preserve">EKEN, G. et al. (2004). Key biodiversity areas as site conservation targets. </w:t>
      </w:r>
      <w:proofErr w:type="spellStart"/>
      <w:r w:rsidRPr="000A3ABD">
        <w:rPr>
          <w:rStyle w:val="normaltextrun"/>
          <w:rFonts w:asciiTheme="majorBidi" w:eastAsiaTheme="majorEastAsia" w:hAnsiTheme="majorBidi" w:cstheme="majorBidi"/>
          <w:lang w:val="en-CA"/>
        </w:rPr>
        <w:t>BioScience</w:t>
      </w:r>
      <w:proofErr w:type="spellEnd"/>
      <w:r w:rsidRPr="000A3ABD">
        <w:rPr>
          <w:rStyle w:val="normaltextrun"/>
          <w:rFonts w:asciiTheme="majorBidi" w:eastAsiaTheme="majorEastAsia" w:hAnsiTheme="majorBidi" w:cstheme="majorBidi"/>
          <w:lang w:val="en-CA"/>
        </w:rPr>
        <w:t xml:space="preserve"> 54: 1110–1118. Available from </w:t>
      </w:r>
      <w:hyperlink r:id="rId315" w:tgtFrame="_blank" w:history="1">
        <w:r w:rsidRPr="000A3ABD">
          <w:rPr>
            <w:rStyle w:val="normaltextrun"/>
            <w:rFonts w:asciiTheme="majorBidi" w:eastAsiaTheme="majorEastAsia" w:hAnsiTheme="majorBidi" w:cstheme="majorBidi"/>
            <w:color w:val="0000FF"/>
            <w:u w:val="single"/>
            <w:lang w:val="en-CA"/>
          </w:rPr>
          <w:t>http://bioscience.oxfordjournals.org/content/54/12/1110.short</w:t>
        </w:r>
      </w:hyperlink>
      <w:r w:rsidRPr="000A3ABD">
        <w:rPr>
          <w:rStyle w:val="normaltextrun"/>
          <w:rFonts w:asciiTheme="majorBidi" w:eastAsiaTheme="majorEastAsia" w:hAnsiTheme="majorBidi" w:cstheme="majorBidi"/>
          <w:lang w:val="en-CA"/>
        </w:rPr>
        <w:t>.  </w:t>
      </w:r>
      <w:r w:rsidRPr="000A3ABD">
        <w:rPr>
          <w:rStyle w:val="eop"/>
          <w:rFonts w:asciiTheme="majorBidi" w:eastAsiaTheme="majorEastAsia" w:hAnsiTheme="majorBidi" w:cstheme="majorBidi"/>
          <w:lang w:val="en-CA"/>
        </w:rPr>
        <w:t> </w:t>
      </w:r>
    </w:p>
    <w:p w14:paraId="12B05570" w14:textId="5144F144" w:rsidR="00A16532" w:rsidRPr="00ED7E61" w:rsidRDefault="00756F0F" w:rsidP="0004367E">
      <w:pPr>
        <w:pStyle w:val="CBDNormalNumber"/>
        <w:ind w:left="567"/>
        <w:rPr>
          <w:rFonts w:asciiTheme="majorBidi" w:hAnsiTheme="majorBidi" w:cstheme="majorBidi"/>
        </w:rPr>
      </w:pPr>
      <w:r w:rsidRPr="000A3ABD">
        <w:rPr>
          <w:rStyle w:val="normaltextrun"/>
          <w:rFonts w:asciiTheme="majorBidi" w:eastAsiaTheme="majorEastAsia" w:hAnsiTheme="majorBidi" w:cstheme="majorBidi"/>
          <w:lang w:val="en-CA"/>
        </w:rPr>
        <w:t xml:space="preserve">FOSTER, M.N. et al. </w:t>
      </w:r>
      <w:r w:rsidRPr="00ED7E61">
        <w:rPr>
          <w:rStyle w:val="normaltextrun"/>
          <w:rFonts w:asciiTheme="majorBidi" w:eastAsiaTheme="majorEastAsia" w:hAnsiTheme="majorBidi" w:cstheme="majorBidi"/>
        </w:rPr>
        <w:t xml:space="preserve">(2012) The identification of sites of biodiversity conservation significance: progress with the application of a global standard. Journal of Threatened Taxa 4: 2733–2744. Available from </w:t>
      </w:r>
      <w:hyperlink r:id="rId316" w:tgtFrame="_blank" w:history="1">
        <w:r w:rsidRPr="00ED7E61">
          <w:rPr>
            <w:rStyle w:val="normaltextrun"/>
            <w:rFonts w:asciiTheme="majorBidi" w:eastAsiaTheme="majorEastAsia" w:hAnsiTheme="majorBidi" w:cstheme="majorBidi"/>
            <w:color w:val="0000FF"/>
            <w:u w:val="single"/>
          </w:rPr>
          <w:t>http://www.threatenedtaxa.in/index.php/JoTT/article/view/779</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788A153A" w14:textId="5D534C08" w:rsidR="00A16532" w:rsidRPr="00812871" w:rsidRDefault="00756F0F" w:rsidP="0004367E">
      <w:pPr>
        <w:pStyle w:val="CBDNormalNumber"/>
        <w:ind w:left="567"/>
        <w:rPr>
          <w:rFonts w:asciiTheme="majorBidi" w:hAnsiTheme="majorBidi" w:cstheme="majorBidi"/>
          <w:lang w:val="fr-FR"/>
        </w:rPr>
      </w:pPr>
      <w:r w:rsidRPr="00ED7E61">
        <w:rPr>
          <w:rStyle w:val="normaltextrun"/>
          <w:rFonts w:asciiTheme="majorBidi" w:eastAsiaTheme="majorEastAsia" w:hAnsiTheme="majorBidi" w:cstheme="majorBidi"/>
        </w:rPr>
        <w:t xml:space="preserve">Global Administrative Areas (2019). GADM database of Global Administrative Areas, version 2.8. </w:t>
      </w:r>
      <w:proofErr w:type="spellStart"/>
      <w:r w:rsidRPr="00812871">
        <w:rPr>
          <w:rStyle w:val="normaltextrun"/>
          <w:rFonts w:asciiTheme="majorBidi" w:eastAsiaTheme="majorEastAsia" w:hAnsiTheme="majorBidi" w:cstheme="majorBidi"/>
          <w:lang w:val="fr-FR"/>
        </w:rPr>
        <w:t>Available</w:t>
      </w:r>
      <w:proofErr w:type="spellEnd"/>
      <w:r w:rsidRPr="00812871">
        <w:rPr>
          <w:rStyle w:val="normaltextrun"/>
          <w:rFonts w:asciiTheme="majorBidi" w:eastAsiaTheme="majorEastAsia" w:hAnsiTheme="majorBidi" w:cstheme="majorBidi"/>
          <w:lang w:val="fr-FR"/>
        </w:rPr>
        <w:t xml:space="preserve"> </w:t>
      </w:r>
      <w:proofErr w:type="spellStart"/>
      <w:r w:rsidRPr="00812871">
        <w:rPr>
          <w:rStyle w:val="normaltextrun"/>
          <w:rFonts w:asciiTheme="majorBidi" w:eastAsiaTheme="majorEastAsia" w:hAnsiTheme="majorBidi" w:cstheme="majorBidi"/>
          <w:lang w:val="fr-FR"/>
        </w:rPr>
        <w:t>from</w:t>
      </w:r>
      <w:proofErr w:type="spellEnd"/>
      <w:r w:rsidRPr="00812871">
        <w:rPr>
          <w:rStyle w:val="normaltextrun"/>
          <w:rFonts w:asciiTheme="majorBidi" w:eastAsiaTheme="majorEastAsia" w:hAnsiTheme="majorBidi" w:cstheme="majorBidi"/>
          <w:lang w:val="fr-FR"/>
        </w:rPr>
        <w:t xml:space="preserve"> </w:t>
      </w:r>
      <w:hyperlink r:id="rId317" w:tgtFrame="_blank" w:history="1">
        <w:r w:rsidRPr="00812871">
          <w:rPr>
            <w:rStyle w:val="normaltextrun"/>
            <w:rFonts w:asciiTheme="majorBidi" w:eastAsiaTheme="majorEastAsia" w:hAnsiTheme="majorBidi" w:cstheme="majorBidi"/>
            <w:color w:val="0000FF"/>
            <w:u w:val="single"/>
            <w:lang w:val="fr-FR"/>
          </w:rPr>
          <w:t>www.gadm.org</w:t>
        </w:r>
      </w:hyperlink>
      <w:r w:rsidRPr="00812871">
        <w:rPr>
          <w:rStyle w:val="normaltextrun"/>
          <w:rFonts w:asciiTheme="majorBidi" w:eastAsiaTheme="majorEastAsia" w:hAnsiTheme="majorBidi" w:cstheme="majorBidi"/>
          <w:lang w:val="fr-FR"/>
        </w:rPr>
        <w:t>.  </w:t>
      </w:r>
      <w:r w:rsidRPr="00812871">
        <w:rPr>
          <w:rStyle w:val="eop"/>
          <w:rFonts w:asciiTheme="majorBidi" w:eastAsiaTheme="majorEastAsia" w:hAnsiTheme="majorBidi" w:cstheme="majorBidi"/>
          <w:lang w:val="fr-FR"/>
        </w:rPr>
        <w:t> </w:t>
      </w:r>
    </w:p>
    <w:p w14:paraId="16338A60" w14:textId="53BEDCE2" w:rsidR="00A16532" w:rsidRPr="00ED7E61" w:rsidRDefault="00756F0F" w:rsidP="0004367E">
      <w:pPr>
        <w:pStyle w:val="CBDNormalNumber"/>
        <w:ind w:left="567"/>
        <w:rPr>
          <w:rFonts w:asciiTheme="majorBidi" w:hAnsiTheme="majorBidi" w:cstheme="majorBidi"/>
        </w:rPr>
      </w:pPr>
      <w:r w:rsidRPr="00812871">
        <w:rPr>
          <w:rStyle w:val="normaltextrun"/>
          <w:rFonts w:asciiTheme="majorBidi" w:eastAsiaTheme="majorEastAsia" w:hAnsiTheme="majorBidi" w:cstheme="majorBidi"/>
          <w:lang w:val="fr-FR"/>
        </w:rPr>
        <w:lastRenderedPageBreak/>
        <w:t xml:space="preserve">HAN, X. et al. </w:t>
      </w:r>
      <w:r w:rsidRPr="00ED7E61">
        <w:rPr>
          <w:rStyle w:val="normaltextrun"/>
          <w:rFonts w:asciiTheme="majorBidi" w:eastAsiaTheme="majorEastAsia" w:hAnsiTheme="majorBidi" w:cstheme="majorBidi"/>
        </w:rPr>
        <w:t xml:space="preserve">(2014). A Biodiversity indicators dashboard: addressing challenges to monitoring progress towards the Aichi Biodiversity Targets using disaggregated global data. </w:t>
      </w:r>
      <w:proofErr w:type="spellStart"/>
      <w:r w:rsidRPr="00ED7E61">
        <w:rPr>
          <w:rStyle w:val="normaltextrun"/>
          <w:rFonts w:asciiTheme="majorBidi" w:eastAsiaTheme="majorEastAsia" w:hAnsiTheme="majorBidi" w:cstheme="majorBidi"/>
        </w:rPr>
        <w:t>PLoS</w:t>
      </w:r>
      <w:proofErr w:type="spellEnd"/>
      <w:r w:rsidRPr="00ED7E61">
        <w:rPr>
          <w:rStyle w:val="normaltextrun"/>
          <w:rFonts w:asciiTheme="majorBidi" w:eastAsiaTheme="majorEastAsia" w:hAnsiTheme="majorBidi" w:cstheme="majorBidi"/>
        </w:rPr>
        <w:t xml:space="preserve"> ONE 9(11): e112046. Available from </w:t>
      </w:r>
      <w:hyperlink r:id="rId318" w:tgtFrame="_blank" w:history="1">
        <w:r w:rsidRPr="00ED7E61">
          <w:rPr>
            <w:rStyle w:val="normaltextrun"/>
            <w:rFonts w:asciiTheme="majorBidi" w:eastAsiaTheme="majorEastAsia" w:hAnsiTheme="majorBidi" w:cstheme="majorBidi"/>
            <w:color w:val="0000FF"/>
            <w:u w:val="single"/>
          </w:rPr>
          <w:t>http://journals.plos.org/plosone/article?id=10.1371/journal.pone.0112046</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4AAF6045" w14:textId="44E54081" w:rsidR="00A16532"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lang w:val="fr-FR"/>
        </w:rPr>
        <w:t xml:space="preserve">HOLLAND, R.A. et al. </w:t>
      </w:r>
      <w:r w:rsidRPr="00ED7E61">
        <w:rPr>
          <w:rStyle w:val="normaltextrun"/>
          <w:rFonts w:asciiTheme="majorBidi" w:eastAsiaTheme="majorEastAsia" w:hAnsiTheme="majorBidi" w:cstheme="majorBidi"/>
        </w:rPr>
        <w:t xml:space="preserve">(2012). Conservation priorities for freshwater biodiversity: the key biodiversity area approach refined and tested for continental Africa. Biological Conservation 148: 167–179. Available from </w:t>
      </w:r>
      <w:hyperlink r:id="rId319" w:tgtFrame="_blank" w:history="1">
        <w:r w:rsidRPr="00ED7E61">
          <w:rPr>
            <w:rStyle w:val="normaltextrun"/>
            <w:rFonts w:asciiTheme="majorBidi" w:eastAsiaTheme="majorEastAsia" w:hAnsiTheme="majorBidi" w:cstheme="majorBidi"/>
            <w:color w:val="0000FF"/>
            <w:u w:val="single"/>
          </w:rPr>
          <w:t>http://www.sciencedirect.com/science/article/pii/S0006320712000298</w:t>
        </w:r>
      </w:hyperlink>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1609AA9E" w14:textId="445EBA7E" w:rsidR="00A16532"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IUCN (2016). A Global Standard for the Identification of Key Biodiversity Areas. International Union for Conservation of Nature, Gland, Switzerland. Available from </w:t>
      </w:r>
      <w:hyperlink r:id="rId320" w:tgtFrame="_blank" w:history="1">
        <w:r w:rsidRPr="00ED7E61">
          <w:rPr>
            <w:rStyle w:val="normaltextrun"/>
            <w:rFonts w:asciiTheme="majorBidi" w:eastAsiaTheme="majorEastAsia" w:hAnsiTheme="majorBidi" w:cstheme="majorBidi"/>
            <w:color w:val="0000FF"/>
            <w:u w:val="single"/>
          </w:rPr>
          <w:t>https://portals.iucn.org/library/node/46259</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65AEBC5C" w14:textId="29A9B097" w:rsidR="00A16532"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IUCN-WCPA Task Force on OECMs (2019). Recognising and reporting other effective area-based conservation measures. Gland, Switzerland: IUCN.</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21169DE6" w14:textId="205B0215" w:rsidR="00A16532" w:rsidRPr="00ED7E61" w:rsidRDefault="00756F0F" w:rsidP="0004367E">
      <w:pPr>
        <w:pStyle w:val="CBDNormalNumber"/>
        <w:ind w:left="567"/>
        <w:rPr>
          <w:rFonts w:asciiTheme="majorBidi" w:hAnsiTheme="majorBidi" w:cstheme="majorBidi"/>
        </w:rPr>
      </w:pPr>
      <w:r w:rsidRPr="009E462F">
        <w:rPr>
          <w:rStyle w:val="normaltextrun"/>
          <w:rFonts w:asciiTheme="majorBidi" w:eastAsiaTheme="majorEastAsia" w:hAnsiTheme="majorBidi" w:cstheme="majorBidi"/>
          <w:lang w:val="en-US"/>
        </w:rPr>
        <w:t xml:space="preserve">JONAS, H.D. et al. </w:t>
      </w:r>
      <w:r w:rsidRPr="00ED7E61">
        <w:rPr>
          <w:rStyle w:val="normaltextrun"/>
          <w:rFonts w:asciiTheme="majorBidi" w:eastAsiaTheme="majorEastAsia" w:hAnsiTheme="majorBidi" w:cstheme="majorBidi"/>
        </w:rPr>
        <w:t xml:space="preserve">(2014) New steps of change: looking beyond protected areas to consider other effective area-based conservation measures. Parks 20: 111–128. </w:t>
      </w:r>
      <w:r w:rsidRPr="00ED7E61">
        <w:rPr>
          <w:rStyle w:val="normaltextrun"/>
          <w:rFonts w:asciiTheme="majorBidi" w:eastAsiaTheme="majorEastAsia" w:hAnsiTheme="majorBidi" w:cstheme="majorBidi"/>
          <w:lang w:val="en-CA"/>
        </w:rPr>
        <w:t>Available from  </w:t>
      </w:r>
      <w:hyperlink r:id="rId321" w:tgtFrame="_blank" w:history="1">
        <w:r w:rsidRPr="00ED7E61">
          <w:rPr>
            <w:rStyle w:val="normaltextrun"/>
            <w:rFonts w:asciiTheme="majorBidi" w:eastAsiaTheme="majorEastAsia" w:hAnsiTheme="majorBidi" w:cstheme="majorBidi"/>
            <w:color w:val="467886"/>
            <w:u w:val="single"/>
            <w:lang w:val="en-CA"/>
          </w:rPr>
          <w:t>http://parksjournal.com/wp-content/uploads/2014/10/PARKS-20.2-Jonas-et-al-10.2305IUCN.CH_.2014.PARKS-20-2.HDJ_.en_.pdf</w:t>
        </w:r>
      </w:hyperlink>
      <w:r w:rsidRPr="00ED7E61">
        <w:rPr>
          <w:rStyle w:val="normaltextrun"/>
          <w:rFonts w:asciiTheme="majorBidi" w:eastAsiaTheme="majorEastAsia" w:hAnsiTheme="majorBidi" w:cstheme="majorBidi"/>
          <w:lang w:val="en-CA"/>
        </w:rPr>
        <w:t xml:space="preserve"> . </w:t>
      </w:r>
      <w:r w:rsidRPr="00ED7E61">
        <w:rPr>
          <w:rStyle w:val="eop"/>
          <w:rFonts w:asciiTheme="majorBidi" w:eastAsiaTheme="majorEastAsia" w:hAnsiTheme="majorBidi" w:cstheme="majorBidi"/>
          <w:lang w:val="en-CA"/>
        </w:rPr>
        <w:t> </w:t>
      </w:r>
    </w:p>
    <w:p w14:paraId="52E8A35D" w14:textId="19D4F18A" w:rsidR="00A16532"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KBA Secretariat (2019). Key Biodiversity Areas Proposal Process: Guidance on Proposing, Reviewing, Nominating and Confirming sites. Version 1.0. Prepared by the KBA Secretariat and KBA Committee of the KBA Partnership. Cambridge, UK. Available at </w:t>
      </w:r>
      <w:hyperlink r:id="rId322" w:tgtFrame="_blank" w:history="1">
        <w:r w:rsidRPr="00ED7E61">
          <w:rPr>
            <w:rStyle w:val="normaltextrun"/>
            <w:rFonts w:asciiTheme="majorBidi" w:eastAsiaTheme="majorEastAsia" w:hAnsiTheme="majorBidi" w:cstheme="majorBidi"/>
            <w:color w:val="0000FF"/>
            <w:u w:val="single"/>
          </w:rPr>
          <w:t>http://www.keybiodiversityareas.org/assets/35687f50ac0bcad155ab17447b48885a</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01872136" w14:textId="6E972F94" w:rsidR="00A16532" w:rsidRPr="00ED7E61" w:rsidRDefault="00756F0F" w:rsidP="0004367E">
      <w:pPr>
        <w:pStyle w:val="CBDNormalNumber"/>
        <w:ind w:left="567"/>
        <w:rPr>
          <w:rFonts w:asciiTheme="majorBidi" w:hAnsiTheme="majorBidi" w:cstheme="majorBidi"/>
          <w:lang w:val="fr-FR"/>
        </w:rPr>
      </w:pPr>
      <w:r w:rsidRPr="00ED7E61">
        <w:rPr>
          <w:rStyle w:val="normaltextrun"/>
          <w:rFonts w:asciiTheme="majorBidi" w:eastAsiaTheme="majorEastAsia" w:hAnsiTheme="majorBidi" w:cstheme="majorBidi"/>
          <w:lang w:val="en-AU"/>
        </w:rPr>
        <w:t xml:space="preserve">KBA Standards and Appeals Committee (2020). Guidelines for using A Global Standard for the Identification of Key Biodiversity Areas. Version 1.1. Prepared by the KBA Standards and Appeals Committee of the IUCN Species Survival Commission and IUCN World Commission on Protected Areas. </w:t>
      </w:r>
      <w:r w:rsidRPr="00ED7E61">
        <w:rPr>
          <w:rStyle w:val="normaltextrun"/>
          <w:rFonts w:asciiTheme="majorBidi" w:eastAsiaTheme="majorEastAsia" w:hAnsiTheme="majorBidi" w:cstheme="majorBidi"/>
          <w:lang w:val="fr-FR"/>
        </w:rPr>
        <w:t xml:space="preserve">Gland, </w:t>
      </w:r>
      <w:proofErr w:type="spellStart"/>
      <w:proofErr w:type="gramStart"/>
      <w:r w:rsidRPr="00ED7E61">
        <w:rPr>
          <w:rStyle w:val="normaltextrun"/>
          <w:rFonts w:asciiTheme="majorBidi" w:eastAsiaTheme="majorEastAsia" w:hAnsiTheme="majorBidi" w:cstheme="majorBidi"/>
          <w:lang w:val="fr-FR"/>
        </w:rPr>
        <w:t>Switzerland</w:t>
      </w:r>
      <w:proofErr w:type="spellEnd"/>
      <w:r w:rsidRPr="00ED7E61">
        <w:rPr>
          <w:rStyle w:val="normaltextrun"/>
          <w:rFonts w:asciiTheme="majorBidi" w:eastAsiaTheme="majorEastAsia" w:hAnsiTheme="majorBidi" w:cstheme="majorBidi"/>
          <w:lang w:val="fr-FR"/>
        </w:rPr>
        <w:t>:</w:t>
      </w:r>
      <w:proofErr w:type="gramEnd"/>
      <w:r w:rsidRPr="00ED7E61">
        <w:rPr>
          <w:rStyle w:val="normaltextrun"/>
          <w:rFonts w:asciiTheme="majorBidi" w:eastAsiaTheme="majorEastAsia" w:hAnsiTheme="majorBidi" w:cstheme="majorBidi"/>
          <w:lang w:val="fr-FR"/>
        </w:rPr>
        <w:t xml:space="preserve"> IUCN. https://portals.iucn.org/library/node/49131</w:t>
      </w:r>
      <w:r w:rsidRPr="00ED7E61">
        <w:rPr>
          <w:rStyle w:val="eop"/>
          <w:rFonts w:asciiTheme="majorBidi" w:eastAsiaTheme="majorEastAsia" w:hAnsiTheme="majorBidi" w:cstheme="majorBidi"/>
          <w:lang w:val="fr-FR"/>
        </w:rPr>
        <w:t> </w:t>
      </w:r>
    </w:p>
    <w:p w14:paraId="61F85A82" w14:textId="53F01961" w:rsidR="00A16532" w:rsidRPr="00ED7E61" w:rsidRDefault="00756F0F" w:rsidP="0004367E">
      <w:pPr>
        <w:pStyle w:val="CBDNormalNumber"/>
        <w:ind w:left="567"/>
        <w:rPr>
          <w:rFonts w:asciiTheme="majorBidi" w:hAnsiTheme="majorBidi" w:cstheme="majorBidi"/>
          <w:lang w:val="fr-FR"/>
        </w:rPr>
      </w:pPr>
      <w:r w:rsidRPr="009E462F">
        <w:rPr>
          <w:rStyle w:val="normaltextrun"/>
          <w:rFonts w:asciiTheme="majorBidi" w:eastAsiaTheme="majorEastAsia" w:hAnsiTheme="majorBidi" w:cstheme="majorBidi"/>
          <w:lang w:val="fr-FR"/>
        </w:rPr>
        <w:t xml:space="preserve">KNIGHT, A. T. et al. </w:t>
      </w:r>
      <w:r w:rsidRPr="00ED7E61">
        <w:rPr>
          <w:rStyle w:val="normaltextrun"/>
          <w:rFonts w:asciiTheme="majorBidi" w:eastAsiaTheme="majorEastAsia" w:hAnsiTheme="majorBidi" w:cstheme="majorBidi"/>
        </w:rPr>
        <w:t xml:space="preserve">(2007). Improving the Key Biodiversity Areas approach for effective conservation planning. </w:t>
      </w:r>
      <w:proofErr w:type="spellStart"/>
      <w:r w:rsidRPr="00ED7E61">
        <w:rPr>
          <w:rStyle w:val="normaltextrun"/>
          <w:rFonts w:asciiTheme="majorBidi" w:eastAsiaTheme="majorEastAsia" w:hAnsiTheme="majorBidi" w:cstheme="majorBidi"/>
          <w:lang w:val="fr-FR"/>
        </w:rPr>
        <w:t>BioScience</w:t>
      </w:r>
      <w:proofErr w:type="spellEnd"/>
      <w:r w:rsidRPr="00ED7E61">
        <w:rPr>
          <w:rStyle w:val="normaltextrun"/>
          <w:rFonts w:asciiTheme="majorBidi" w:eastAsiaTheme="majorEastAsia" w:hAnsiTheme="majorBidi" w:cstheme="majorBidi"/>
          <w:lang w:val="fr-FR"/>
        </w:rPr>
        <w:t xml:space="preserve"> </w:t>
      </w:r>
      <w:proofErr w:type="gramStart"/>
      <w:r w:rsidRPr="00ED7E61">
        <w:rPr>
          <w:rStyle w:val="normaltextrun"/>
          <w:rFonts w:asciiTheme="majorBidi" w:eastAsiaTheme="majorEastAsia" w:hAnsiTheme="majorBidi" w:cstheme="majorBidi"/>
          <w:lang w:val="fr-FR"/>
        </w:rPr>
        <w:t>57:</w:t>
      </w:r>
      <w:proofErr w:type="gramEnd"/>
      <w:r w:rsidRPr="00ED7E61">
        <w:rPr>
          <w:rStyle w:val="normaltextrun"/>
          <w:rFonts w:asciiTheme="majorBidi" w:eastAsiaTheme="majorEastAsia" w:hAnsiTheme="majorBidi" w:cstheme="majorBidi"/>
          <w:lang w:val="fr-FR"/>
        </w:rPr>
        <w:t xml:space="preserve"> 256–261. </w:t>
      </w:r>
      <w:proofErr w:type="spellStart"/>
      <w:r w:rsidRPr="00ED7E61">
        <w:rPr>
          <w:rStyle w:val="normaltextrun"/>
          <w:rFonts w:asciiTheme="majorBidi" w:eastAsiaTheme="majorEastAsia" w:hAnsiTheme="majorBidi" w:cstheme="majorBidi"/>
          <w:lang w:val="fr-FR"/>
        </w:rPr>
        <w:t>Available</w:t>
      </w:r>
      <w:proofErr w:type="spellEnd"/>
      <w:r w:rsidRPr="00ED7E61">
        <w:rPr>
          <w:rStyle w:val="normaltextrun"/>
          <w:rFonts w:asciiTheme="majorBidi" w:eastAsiaTheme="majorEastAsia" w:hAnsiTheme="majorBidi" w:cstheme="majorBidi"/>
          <w:lang w:val="fr-FR"/>
        </w:rPr>
        <w:t xml:space="preserve"> </w:t>
      </w:r>
      <w:proofErr w:type="spellStart"/>
      <w:r w:rsidRPr="00ED7E61">
        <w:rPr>
          <w:rStyle w:val="normaltextrun"/>
          <w:rFonts w:asciiTheme="majorBidi" w:eastAsiaTheme="majorEastAsia" w:hAnsiTheme="majorBidi" w:cstheme="majorBidi"/>
          <w:lang w:val="fr-FR"/>
        </w:rPr>
        <w:t>from</w:t>
      </w:r>
      <w:proofErr w:type="spellEnd"/>
      <w:r w:rsidRPr="00ED7E61">
        <w:rPr>
          <w:rStyle w:val="normaltextrun"/>
          <w:rFonts w:asciiTheme="majorBidi" w:eastAsiaTheme="majorEastAsia" w:hAnsiTheme="majorBidi" w:cstheme="majorBidi"/>
          <w:lang w:val="fr-FR"/>
        </w:rPr>
        <w:t xml:space="preserve"> </w:t>
      </w:r>
      <w:hyperlink r:id="rId323" w:tgtFrame="_blank" w:history="1">
        <w:r w:rsidRPr="00ED7E61">
          <w:rPr>
            <w:rStyle w:val="normaltextrun"/>
            <w:rFonts w:asciiTheme="majorBidi" w:eastAsiaTheme="majorEastAsia" w:hAnsiTheme="majorBidi" w:cstheme="majorBidi"/>
            <w:color w:val="0000FF"/>
            <w:u w:val="single"/>
            <w:lang w:val="fr-FR"/>
          </w:rPr>
          <w:t>http://bioscience.oxfordjournals.org/content/57/3/256.short</w:t>
        </w:r>
      </w:hyperlink>
      <w:r w:rsidRPr="00ED7E61">
        <w:rPr>
          <w:rStyle w:val="normaltextrun"/>
          <w:rFonts w:asciiTheme="majorBidi" w:eastAsiaTheme="majorEastAsia" w:hAnsiTheme="majorBidi" w:cstheme="majorBidi"/>
          <w:lang w:val="fr-FR"/>
        </w:rPr>
        <w:t>.  </w:t>
      </w:r>
      <w:r w:rsidRPr="00ED7E61">
        <w:rPr>
          <w:rStyle w:val="eop"/>
          <w:rFonts w:asciiTheme="majorBidi" w:eastAsiaTheme="majorEastAsia" w:hAnsiTheme="majorBidi" w:cstheme="majorBidi"/>
          <w:lang w:val="fr-FR"/>
        </w:rPr>
        <w:t> </w:t>
      </w:r>
    </w:p>
    <w:p w14:paraId="47B4CE53" w14:textId="2DAD3DCD"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lang w:val="fr-FR"/>
        </w:rPr>
        <w:t xml:space="preserve">LANGHAMMER, P. F. et al. </w:t>
      </w:r>
      <w:r w:rsidRPr="00ED7E61">
        <w:rPr>
          <w:rStyle w:val="normaltextrun"/>
          <w:rFonts w:asciiTheme="majorBidi" w:eastAsiaTheme="majorEastAsia" w:hAnsiTheme="majorBidi" w:cstheme="majorBidi"/>
        </w:rPr>
        <w:t xml:space="preserve">(2007). Identification and Gap Analysis of Key Biodiversity Areas: Targets for Comprehensive Protected Area Systems. IUCN World Commission on Protected Areas Best Practice Protected Area Guidelines Series No. 15. IUCN, Gland, Switzerland. Available from </w:t>
      </w:r>
      <w:hyperlink r:id="rId324" w:tgtFrame="_blank" w:history="1">
        <w:r w:rsidRPr="00ED7E61">
          <w:rPr>
            <w:rStyle w:val="normaltextrun"/>
            <w:rFonts w:asciiTheme="majorBidi" w:eastAsiaTheme="majorEastAsia" w:hAnsiTheme="majorBidi" w:cstheme="majorBidi"/>
            <w:color w:val="0000FF"/>
            <w:u w:val="single"/>
          </w:rPr>
          <w:t>https://portals.iucn.org/library/node/9055</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6F3E0EBA" w14:textId="4A9803B8" w:rsidR="001641F8" w:rsidRPr="00ED7E61" w:rsidRDefault="00756F0F" w:rsidP="0004367E">
      <w:pPr>
        <w:pStyle w:val="CBDNormalNumber"/>
        <w:ind w:left="567"/>
        <w:rPr>
          <w:rFonts w:asciiTheme="majorBidi" w:hAnsiTheme="majorBidi" w:cstheme="majorBidi"/>
          <w:lang w:val="fr-FR"/>
        </w:rPr>
      </w:pPr>
      <w:r w:rsidRPr="00ED7E61">
        <w:rPr>
          <w:rStyle w:val="normaltextrun"/>
          <w:rFonts w:asciiTheme="majorBidi" w:eastAsiaTheme="majorEastAsia" w:hAnsiTheme="majorBidi" w:cstheme="majorBidi"/>
        </w:rPr>
        <w:t xml:space="preserve">LEHNER, B. et al. (2022). Global hydro-environmental lake characteristics at high spatial resolution. </w:t>
      </w:r>
      <w:r w:rsidRPr="00ED7E61">
        <w:rPr>
          <w:rStyle w:val="normaltextrun"/>
          <w:rFonts w:asciiTheme="majorBidi" w:eastAsiaTheme="majorEastAsia" w:hAnsiTheme="majorBidi" w:cstheme="majorBidi"/>
          <w:lang w:val="fr-FR"/>
        </w:rPr>
        <w:t xml:space="preserve">Scientific Data </w:t>
      </w:r>
      <w:proofErr w:type="gramStart"/>
      <w:r w:rsidRPr="00ED7E61">
        <w:rPr>
          <w:rStyle w:val="normaltextrun"/>
          <w:rFonts w:asciiTheme="majorBidi" w:eastAsiaTheme="majorEastAsia" w:hAnsiTheme="majorBidi" w:cstheme="majorBidi"/>
          <w:lang w:val="fr-FR"/>
        </w:rPr>
        <w:t>9:</w:t>
      </w:r>
      <w:proofErr w:type="gramEnd"/>
      <w:r w:rsidRPr="00ED7E61">
        <w:rPr>
          <w:rStyle w:val="normaltextrun"/>
          <w:rFonts w:asciiTheme="majorBidi" w:eastAsiaTheme="majorEastAsia" w:hAnsiTheme="majorBidi" w:cstheme="majorBidi"/>
          <w:lang w:val="fr-FR"/>
        </w:rPr>
        <w:t xml:space="preserve"> 351. </w:t>
      </w:r>
      <w:hyperlink r:id="rId325" w:tgtFrame="_blank" w:history="1">
        <w:r w:rsidRPr="00ED7E61">
          <w:rPr>
            <w:rStyle w:val="normaltextrun"/>
            <w:rFonts w:asciiTheme="majorBidi" w:eastAsiaTheme="majorEastAsia" w:hAnsiTheme="majorBidi" w:cstheme="majorBidi"/>
            <w:color w:val="467886"/>
            <w:u w:val="single"/>
            <w:lang w:val="fr-FR"/>
          </w:rPr>
          <w:t>https://doi.org/10.1038/s41597-022-01425-z</w:t>
        </w:r>
      </w:hyperlink>
      <w:r w:rsidRPr="00ED7E61">
        <w:rPr>
          <w:rStyle w:val="normaltextrun"/>
          <w:rFonts w:asciiTheme="majorBidi" w:eastAsiaTheme="majorEastAsia" w:hAnsiTheme="majorBidi" w:cstheme="majorBidi"/>
          <w:lang w:val="fr-FR"/>
        </w:rPr>
        <w:t>.</w:t>
      </w:r>
      <w:r w:rsidRPr="00ED7E61">
        <w:rPr>
          <w:rStyle w:val="eop"/>
          <w:rFonts w:asciiTheme="majorBidi" w:eastAsiaTheme="majorEastAsia" w:hAnsiTheme="majorBidi" w:cstheme="majorBidi"/>
          <w:lang w:val="fr-FR"/>
        </w:rPr>
        <w:t> </w:t>
      </w:r>
    </w:p>
    <w:p w14:paraId="3AC06FED" w14:textId="3864D078" w:rsidR="001641F8" w:rsidRPr="00ED7E61" w:rsidRDefault="00756F0F" w:rsidP="0004367E">
      <w:pPr>
        <w:pStyle w:val="CBDNormalNumber"/>
        <w:ind w:left="567"/>
        <w:rPr>
          <w:rFonts w:asciiTheme="majorBidi" w:hAnsiTheme="majorBidi" w:cstheme="majorBidi"/>
          <w:lang w:val="fr-FR"/>
        </w:rPr>
      </w:pPr>
      <w:r w:rsidRPr="000A3ABD">
        <w:rPr>
          <w:rStyle w:val="normaltextrun"/>
          <w:rFonts w:asciiTheme="majorBidi" w:eastAsiaTheme="majorEastAsia" w:hAnsiTheme="majorBidi" w:cstheme="majorBidi"/>
          <w:lang w:val="fr-FR"/>
        </w:rPr>
        <w:t xml:space="preserve">LEVERINGTON, F. et al. (2010). </w:t>
      </w:r>
      <w:r w:rsidRPr="00ED7E61">
        <w:rPr>
          <w:rStyle w:val="normaltextrun"/>
          <w:rFonts w:asciiTheme="majorBidi" w:eastAsiaTheme="majorEastAsia" w:hAnsiTheme="majorBidi" w:cstheme="majorBidi"/>
        </w:rPr>
        <w:t xml:space="preserve">A global analysis of protected area management effectiveness. </w:t>
      </w:r>
      <w:proofErr w:type="spellStart"/>
      <w:r w:rsidRPr="00ED7E61">
        <w:rPr>
          <w:rStyle w:val="normaltextrun"/>
          <w:rFonts w:asciiTheme="majorBidi" w:eastAsiaTheme="majorEastAsia" w:hAnsiTheme="majorBidi" w:cstheme="majorBidi"/>
          <w:lang w:val="fr-FR"/>
        </w:rPr>
        <w:t>Environmental</w:t>
      </w:r>
      <w:proofErr w:type="spellEnd"/>
      <w:r w:rsidRPr="00ED7E61">
        <w:rPr>
          <w:rStyle w:val="normaltextrun"/>
          <w:rFonts w:asciiTheme="majorBidi" w:eastAsiaTheme="majorEastAsia" w:hAnsiTheme="majorBidi" w:cstheme="majorBidi"/>
          <w:lang w:val="fr-FR"/>
        </w:rPr>
        <w:t xml:space="preserve"> Management </w:t>
      </w:r>
      <w:proofErr w:type="gramStart"/>
      <w:r w:rsidRPr="00ED7E61">
        <w:rPr>
          <w:rStyle w:val="normaltextrun"/>
          <w:rFonts w:asciiTheme="majorBidi" w:eastAsiaTheme="majorEastAsia" w:hAnsiTheme="majorBidi" w:cstheme="majorBidi"/>
          <w:lang w:val="fr-FR"/>
        </w:rPr>
        <w:t>46:</w:t>
      </w:r>
      <w:proofErr w:type="gramEnd"/>
      <w:r w:rsidRPr="00ED7E61">
        <w:rPr>
          <w:rStyle w:val="normaltextrun"/>
          <w:rFonts w:asciiTheme="majorBidi" w:eastAsiaTheme="majorEastAsia" w:hAnsiTheme="majorBidi" w:cstheme="majorBidi"/>
          <w:lang w:val="fr-FR"/>
        </w:rPr>
        <w:t xml:space="preserve"> 685–698. </w:t>
      </w:r>
      <w:proofErr w:type="spellStart"/>
      <w:r w:rsidRPr="00ED7E61">
        <w:rPr>
          <w:rStyle w:val="normaltextrun"/>
          <w:rFonts w:asciiTheme="majorBidi" w:eastAsiaTheme="majorEastAsia" w:hAnsiTheme="majorBidi" w:cstheme="majorBidi"/>
          <w:lang w:val="fr-FR"/>
        </w:rPr>
        <w:t>Available</w:t>
      </w:r>
      <w:proofErr w:type="spellEnd"/>
      <w:r w:rsidRPr="00ED7E61">
        <w:rPr>
          <w:rStyle w:val="normaltextrun"/>
          <w:rFonts w:asciiTheme="majorBidi" w:eastAsiaTheme="majorEastAsia" w:hAnsiTheme="majorBidi" w:cstheme="majorBidi"/>
          <w:lang w:val="fr-FR"/>
        </w:rPr>
        <w:t xml:space="preserve"> </w:t>
      </w:r>
      <w:proofErr w:type="spellStart"/>
      <w:r w:rsidRPr="00ED7E61">
        <w:rPr>
          <w:rStyle w:val="normaltextrun"/>
          <w:rFonts w:asciiTheme="majorBidi" w:eastAsiaTheme="majorEastAsia" w:hAnsiTheme="majorBidi" w:cstheme="majorBidi"/>
          <w:lang w:val="fr-FR"/>
        </w:rPr>
        <w:t>from</w:t>
      </w:r>
      <w:proofErr w:type="spellEnd"/>
      <w:r w:rsidRPr="00ED7E61">
        <w:rPr>
          <w:rStyle w:val="normaltextrun"/>
          <w:rFonts w:asciiTheme="majorBidi" w:eastAsiaTheme="majorEastAsia" w:hAnsiTheme="majorBidi" w:cstheme="majorBidi"/>
          <w:lang w:val="fr-FR"/>
        </w:rPr>
        <w:t xml:space="preserve"> </w:t>
      </w:r>
      <w:hyperlink r:id="rId326" w:anchor="page-1" w:tgtFrame="_blank" w:history="1">
        <w:r w:rsidRPr="00ED7E61">
          <w:rPr>
            <w:rStyle w:val="normaltextrun"/>
            <w:rFonts w:asciiTheme="majorBidi" w:eastAsiaTheme="majorEastAsia" w:hAnsiTheme="majorBidi" w:cstheme="majorBidi"/>
            <w:color w:val="0000FF"/>
            <w:u w:val="single"/>
            <w:lang w:val="fr-FR"/>
          </w:rPr>
          <w:t>http://link.springer.com/article/10.1007/s00267-010-9564-5#page-1</w:t>
        </w:r>
      </w:hyperlink>
      <w:r w:rsidRPr="00ED7E61">
        <w:rPr>
          <w:rStyle w:val="normaltextrun"/>
          <w:rFonts w:asciiTheme="majorBidi" w:eastAsiaTheme="majorEastAsia" w:hAnsiTheme="majorBidi" w:cstheme="majorBidi"/>
          <w:lang w:val="fr-FR"/>
        </w:rPr>
        <w:t>  </w:t>
      </w:r>
      <w:r w:rsidRPr="00ED7E61">
        <w:rPr>
          <w:rStyle w:val="eop"/>
          <w:rFonts w:asciiTheme="majorBidi" w:eastAsiaTheme="majorEastAsia" w:hAnsiTheme="majorBidi" w:cstheme="majorBidi"/>
          <w:lang w:val="fr-FR"/>
        </w:rPr>
        <w:t> </w:t>
      </w:r>
    </w:p>
    <w:p w14:paraId="7CFBCADB" w14:textId="686A1435" w:rsidR="001641F8" w:rsidRPr="00ED7E61" w:rsidRDefault="00756F0F" w:rsidP="0004367E">
      <w:pPr>
        <w:pStyle w:val="CBDNormalNumber"/>
        <w:ind w:left="567"/>
        <w:rPr>
          <w:rFonts w:asciiTheme="majorBidi" w:hAnsiTheme="majorBidi" w:cstheme="majorBidi"/>
          <w:lang w:val="fr-FR"/>
        </w:rPr>
      </w:pPr>
      <w:r w:rsidRPr="00ED7E61">
        <w:rPr>
          <w:rStyle w:val="normaltextrun"/>
          <w:rFonts w:asciiTheme="majorBidi" w:eastAsiaTheme="majorEastAsia" w:hAnsiTheme="majorBidi" w:cstheme="majorBidi"/>
        </w:rPr>
        <w:t xml:space="preserve">LINKE, S. et al. (2019). Global hydro-environmental sub-basin and river reach characteristics at high spatial resolution. </w:t>
      </w:r>
      <w:r w:rsidRPr="00ED7E61">
        <w:rPr>
          <w:rStyle w:val="normaltextrun"/>
          <w:rFonts w:asciiTheme="majorBidi" w:eastAsiaTheme="majorEastAsia" w:hAnsiTheme="majorBidi" w:cstheme="majorBidi"/>
          <w:lang w:val="fr-FR"/>
        </w:rPr>
        <w:t xml:space="preserve">Scientific Data </w:t>
      </w:r>
      <w:proofErr w:type="gramStart"/>
      <w:r w:rsidRPr="00ED7E61">
        <w:rPr>
          <w:rStyle w:val="normaltextrun"/>
          <w:rFonts w:asciiTheme="majorBidi" w:eastAsiaTheme="majorEastAsia" w:hAnsiTheme="majorBidi" w:cstheme="majorBidi"/>
          <w:lang w:val="fr-FR"/>
        </w:rPr>
        <w:t>6:</w:t>
      </w:r>
      <w:proofErr w:type="gramEnd"/>
      <w:r w:rsidRPr="00ED7E61">
        <w:rPr>
          <w:rStyle w:val="normaltextrun"/>
          <w:rFonts w:asciiTheme="majorBidi" w:eastAsiaTheme="majorEastAsia" w:hAnsiTheme="majorBidi" w:cstheme="majorBidi"/>
          <w:lang w:val="fr-FR"/>
        </w:rPr>
        <w:t xml:space="preserve"> 283. </w:t>
      </w:r>
      <w:hyperlink r:id="rId327" w:tgtFrame="_blank" w:history="1">
        <w:r w:rsidRPr="00ED7E61">
          <w:rPr>
            <w:rStyle w:val="normaltextrun"/>
            <w:rFonts w:asciiTheme="majorBidi" w:eastAsiaTheme="majorEastAsia" w:hAnsiTheme="majorBidi" w:cstheme="majorBidi"/>
            <w:color w:val="467886"/>
            <w:u w:val="single"/>
            <w:lang w:val="fr-FR"/>
          </w:rPr>
          <w:t>https://doi.org/10.1038/s41597-019-0300-6</w:t>
        </w:r>
      </w:hyperlink>
      <w:r w:rsidRPr="00ED7E61">
        <w:rPr>
          <w:rStyle w:val="normaltextrun"/>
          <w:rFonts w:asciiTheme="majorBidi" w:eastAsiaTheme="majorEastAsia" w:hAnsiTheme="majorBidi" w:cstheme="majorBidi"/>
          <w:lang w:val="fr-FR"/>
        </w:rPr>
        <w:t>.</w:t>
      </w:r>
      <w:r w:rsidRPr="00ED7E61">
        <w:rPr>
          <w:rStyle w:val="eop"/>
          <w:rFonts w:asciiTheme="majorBidi" w:eastAsiaTheme="majorEastAsia" w:hAnsiTheme="majorBidi" w:cstheme="majorBidi"/>
          <w:lang w:val="fr-FR"/>
        </w:rPr>
        <w:t> </w:t>
      </w:r>
    </w:p>
    <w:p w14:paraId="5B11F75A" w14:textId="4F5CDFD2"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lang w:val="fr-FR"/>
        </w:rPr>
        <w:t xml:space="preserve">MONTESINO POUZOLS, F., et al. </w:t>
      </w:r>
      <w:r w:rsidRPr="00ED7E61">
        <w:rPr>
          <w:rStyle w:val="normaltextrun"/>
          <w:rFonts w:asciiTheme="majorBidi" w:eastAsiaTheme="majorEastAsia" w:hAnsiTheme="majorBidi" w:cstheme="majorBidi"/>
        </w:rPr>
        <w:t xml:space="preserve">(2014) Global protected area expansion is compromised by projected land-use and parochialism. Nature 516: 383–386. Available from </w:t>
      </w:r>
      <w:hyperlink r:id="rId328" w:tgtFrame="_blank" w:history="1">
        <w:r w:rsidRPr="00ED7E61">
          <w:rPr>
            <w:rStyle w:val="normaltextrun"/>
            <w:rFonts w:asciiTheme="majorBidi" w:eastAsiaTheme="majorEastAsia" w:hAnsiTheme="majorBidi" w:cstheme="majorBidi"/>
            <w:color w:val="0000FF"/>
            <w:u w:val="single"/>
          </w:rPr>
          <w:t>http://www.nature.com/nature/journal/v516/n7531/abs/nature14032.html</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221F6F32" w14:textId="2FF1D936"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NOLTE, C. &amp; AGRAWAL, A. (2013). Linking management effectiveness indicators to observed effects of protected areas on fire occurrence in the Amazon rainforest. Conservation Biology 27: 155–165. Available from </w:t>
      </w:r>
      <w:hyperlink r:id="rId329" w:tgtFrame="_blank" w:history="1">
        <w:r w:rsidRPr="00ED7E61">
          <w:rPr>
            <w:rStyle w:val="normaltextrun"/>
            <w:rFonts w:asciiTheme="majorBidi" w:eastAsiaTheme="majorEastAsia" w:hAnsiTheme="majorBidi" w:cstheme="majorBidi"/>
            <w:color w:val="0000FF"/>
            <w:u w:val="single"/>
          </w:rPr>
          <w:t>http://onlinelibrary.wiley.com/doi/10.1111/j.1523-1739.2012.01930.x/abstract</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79E7B13F" w14:textId="41C354EF"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PLUMPTRE, A. et al. </w:t>
      </w:r>
      <w:r w:rsidRPr="00ED7E61">
        <w:rPr>
          <w:rStyle w:val="normaltextrun"/>
          <w:rFonts w:asciiTheme="majorBidi" w:eastAsiaTheme="majorEastAsia" w:hAnsiTheme="majorBidi" w:cstheme="majorBidi"/>
          <w:lang w:val="en-AU"/>
        </w:rPr>
        <w:t xml:space="preserve">(2024) Targeting site conservation to achieve new global biodiversity goals. </w:t>
      </w:r>
      <w:r w:rsidRPr="00ED7E61">
        <w:rPr>
          <w:rStyle w:val="normaltextrun"/>
          <w:rFonts w:asciiTheme="majorBidi" w:eastAsiaTheme="majorEastAsia" w:hAnsiTheme="majorBidi" w:cstheme="majorBidi"/>
          <w:i/>
          <w:iCs/>
          <w:lang w:val="en-AU"/>
        </w:rPr>
        <w:t xml:space="preserve">One Earth </w:t>
      </w:r>
      <w:r w:rsidRPr="00ED7E61">
        <w:rPr>
          <w:rStyle w:val="normaltextrun"/>
          <w:rFonts w:asciiTheme="majorBidi" w:eastAsiaTheme="majorEastAsia" w:hAnsiTheme="majorBidi" w:cstheme="majorBidi"/>
          <w:lang w:val="en-AU"/>
        </w:rPr>
        <w:t>(in press).</w:t>
      </w:r>
      <w:r w:rsidRPr="00ED7E61">
        <w:rPr>
          <w:rStyle w:val="eop"/>
          <w:rFonts w:asciiTheme="majorBidi" w:eastAsiaTheme="majorEastAsia" w:hAnsiTheme="majorBidi" w:cstheme="majorBidi"/>
        </w:rPr>
        <w:t> </w:t>
      </w:r>
    </w:p>
    <w:p w14:paraId="274A58CC" w14:textId="118A8E5A" w:rsidR="001641F8" w:rsidRPr="00ED7E61" w:rsidRDefault="00756F0F" w:rsidP="0004367E">
      <w:pPr>
        <w:pStyle w:val="CBDNormalNumber"/>
        <w:ind w:left="567"/>
        <w:rPr>
          <w:rFonts w:asciiTheme="majorBidi" w:hAnsiTheme="majorBidi" w:cstheme="majorBidi"/>
        </w:rPr>
      </w:pPr>
      <w:r w:rsidRPr="009E462F">
        <w:rPr>
          <w:rStyle w:val="normaltextrun"/>
          <w:rFonts w:asciiTheme="majorBidi" w:eastAsiaTheme="majorEastAsia" w:hAnsiTheme="majorBidi" w:cstheme="majorBidi"/>
          <w:lang w:val="en-US"/>
        </w:rPr>
        <w:lastRenderedPageBreak/>
        <w:t xml:space="preserve">PAIN, D.J. et al. </w:t>
      </w:r>
      <w:r w:rsidRPr="00ED7E61">
        <w:rPr>
          <w:rStyle w:val="normaltextrun"/>
          <w:rFonts w:asciiTheme="majorBidi" w:eastAsiaTheme="majorEastAsia" w:hAnsiTheme="majorBidi" w:cstheme="majorBidi"/>
        </w:rPr>
        <w:t xml:space="preserve">(2005) Biodiversity representation in Uganda’s forest IBAs. Biological Conservation 125: 133–138. Available from </w:t>
      </w:r>
      <w:hyperlink r:id="rId330" w:tgtFrame="_blank" w:history="1">
        <w:r w:rsidRPr="00ED7E61">
          <w:rPr>
            <w:rStyle w:val="normaltextrun"/>
            <w:rFonts w:asciiTheme="majorBidi" w:eastAsiaTheme="majorEastAsia" w:hAnsiTheme="majorBidi" w:cstheme="majorBidi"/>
            <w:color w:val="0000FF"/>
            <w:u w:val="single"/>
          </w:rPr>
          <w:t>http://www.sciencedirect.com/science/article/pii/S0006320705001412</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7DB3FB81" w14:textId="178147D1" w:rsidR="001641F8" w:rsidRPr="00ED7E61" w:rsidRDefault="00756F0F" w:rsidP="0004367E">
      <w:pPr>
        <w:pStyle w:val="CBDNormalNumber"/>
        <w:ind w:left="567"/>
        <w:rPr>
          <w:rFonts w:asciiTheme="majorBidi" w:hAnsiTheme="majorBidi" w:cstheme="majorBidi"/>
          <w:lang w:val="fr-FR"/>
        </w:rPr>
      </w:pPr>
      <w:r w:rsidRPr="00ED7E61">
        <w:rPr>
          <w:rStyle w:val="normaltextrun"/>
          <w:rFonts w:asciiTheme="majorBidi" w:eastAsiaTheme="majorEastAsia" w:hAnsiTheme="majorBidi" w:cstheme="majorBidi"/>
        </w:rPr>
        <w:t xml:space="preserve">RICKETTS, T. H. et al. (2005). Pinpointing and preventing imminent extinctions. Proceedings of the National Academy of Sciences of the U.S.A. 102: 18497–18501. </w:t>
      </w:r>
      <w:proofErr w:type="spellStart"/>
      <w:r w:rsidRPr="00ED7E61">
        <w:rPr>
          <w:rStyle w:val="normaltextrun"/>
          <w:rFonts w:asciiTheme="majorBidi" w:eastAsiaTheme="majorEastAsia" w:hAnsiTheme="majorBidi" w:cstheme="majorBidi"/>
          <w:lang w:val="fr-FR"/>
        </w:rPr>
        <w:t>Available</w:t>
      </w:r>
      <w:proofErr w:type="spellEnd"/>
      <w:r w:rsidRPr="00ED7E61">
        <w:rPr>
          <w:rStyle w:val="normaltextrun"/>
          <w:rFonts w:asciiTheme="majorBidi" w:eastAsiaTheme="majorEastAsia" w:hAnsiTheme="majorBidi" w:cstheme="majorBidi"/>
          <w:lang w:val="fr-FR"/>
        </w:rPr>
        <w:t xml:space="preserve"> </w:t>
      </w:r>
      <w:proofErr w:type="spellStart"/>
      <w:r w:rsidRPr="00ED7E61">
        <w:rPr>
          <w:rStyle w:val="normaltextrun"/>
          <w:rFonts w:asciiTheme="majorBidi" w:eastAsiaTheme="majorEastAsia" w:hAnsiTheme="majorBidi" w:cstheme="majorBidi"/>
          <w:lang w:val="fr-FR"/>
        </w:rPr>
        <w:t>from</w:t>
      </w:r>
      <w:proofErr w:type="spellEnd"/>
      <w:r w:rsidRPr="00ED7E61">
        <w:rPr>
          <w:rStyle w:val="normaltextrun"/>
          <w:rFonts w:asciiTheme="majorBidi" w:eastAsiaTheme="majorEastAsia" w:hAnsiTheme="majorBidi" w:cstheme="majorBidi"/>
          <w:lang w:val="fr-FR"/>
        </w:rPr>
        <w:t xml:space="preserve"> </w:t>
      </w:r>
      <w:hyperlink r:id="rId331" w:tgtFrame="_blank" w:history="1">
        <w:r w:rsidRPr="00ED7E61">
          <w:rPr>
            <w:rStyle w:val="normaltextrun"/>
            <w:rFonts w:asciiTheme="majorBidi" w:eastAsiaTheme="majorEastAsia" w:hAnsiTheme="majorBidi" w:cstheme="majorBidi"/>
            <w:color w:val="0000FF"/>
            <w:u w:val="single"/>
            <w:lang w:val="fr-FR"/>
          </w:rPr>
          <w:t>http://www.pnas.org/content/102/51/18497.short</w:t>
        </w:r>
      </w:hyperlink>
      <w:r w:rsidRPr="00ED7E61">
        <w:rPr>
          <w:rStyle w:val="normaltextrun"/>
          <w:rFonts w:asciiTheme="majorBidi" w:eastAsiaTheme="majorEastAsia" w:hAnsiTheme="majorBidi" w:cstheme="majorBidi"/>
          <w:lang w:val="fr-FR"/>
        </w:rPr>
        <w:t>.  </w:t>
      </w:r>
      <w:r w:rsidRPr="00ED7E61">
        <w:rPr>
          <w:rStyle w:val="eop"/>
          <w:rFonts w:asciiTheme="majorBidi" w:eastAsiaTheme="majorEastAsia" w:hAnsiTheme="majorBidi" w:cstheme="majorBidi"/>
          <w:lang w:val="fr-FR"/>
        </w:rPr>
        <w:t> </w:t>
      </w:r>
    </w:p>
    <w:p w14:paraId="3FB34CE2" w14:textId="7EF95BA6" w:rsidR="001641F8" w:rsidRPr="00ED7E61" w:rsidRDefault="00756F0F" w:rsidP="0004367E">
      <w:pPr>
        <w:pStyle w:val="CBDNormalNumber"/>
        <w:ind w:left="567"/>
        <w:rPr>
          <w:rFonts w:asciiTheme="majorBidi" w:hAnsiTheme="majorBidi" w:cstheme="majorBidi"/>
          <w:lang w:val="fr-FR"/>
        </w:rPr>
      </w:pPr>
      <w:r w:rsidRPr="00E35F21">
        <w:rPr>
          <w:rStyle w:val="normaltextrun"/>
          <w:rFonts w:asciiTheme="majorBidi" w:eastAsiaTheme="majorEastAsia" w:hAnsiTheme="majorBidi" w:cstheme="majorBidi"/>
          <w:lang w:val="fr-FR"/>
        </w:rPr>
        <w:t xml:space="preserve">RODRIGUES, A. S. L. et al. </w:t>
      </w:r>
      <w:r w:rsidRPr="00ED7E61">
        <w:rPr>
          <w:rStyle w:val="normaltextrun"/>
          <w:rFonts w:asciiTheme="majorBidi" w:eastAsiaTheme="majorEastAsia" w:hAnsiTheme="majorBidi" w:cstheme="majorBidi"/>
          <w:lang w:val="en-CA"/>
        </w:rPr>
        <w:t xml:space="preserve">(2004). </w:t>
      </w:r>
      <w:r w:rsidRPr="00ED7E61">
        <w:rPr>
          <w:rStyle w:val="normaltextrun"/>
          <w:rFonts w:asciiTheme="majorBidi" w:eastAsiaTheme="majorEastAsia" w:hAnsiTheme="majorBidi" w:cstheme="majorBidi"/>
        </w:rPr>
        <w:t xml:space="preserve">Effectiveness of the global protected area network in representing species diversity. </w:t>
      </w:r>
      <w:r w:rsidRPr="00ED7E61">
        <w:rPr>
          <w:rStyle w:val="normaltextrun"/>
          <w:rFonts w:asciiTheme="majorBidi" w:eastAsiaTheme="majorEastAsia" w:hAnsiTheme="majorBidi" w:cstheme="majorBidi"/>
          <w:lang w:val="fr-FR"/>
        </w:rPr>
        <w:t xml:space="preserve">Nature </w:t>
      </w:r>
      <w:proofErr w:type="gramStart"/>
      <w:r w:rsidRPr="00ED7E61">
        <w:rPr>
          <w:rStyle w:val="normaltextrun"/>
          <w:rFonts w:asciiTheme="majorBidi" w:eastAsiaTheme="majorEastAsia" w:hAnsiTheme="majorBidi" w:cstheme="majorBidi"/>
          <w:lang w:val="fr-FR"/>
        </w:rPr>
        <w:t>428:</w:t>
      </w:r>
      <w:proofErr w:type="gramEnd"/>
      <w:r w:rsidRPr="00ED7E61">
        <w:rPr>
          <w:rStyle w:val="normaltextrun"/>
          <w:rFonts w:asciiTheme="majorBidi" w:eastAsiaTheme="majorEastAsia" w:hAnsiTheme="majorBidi" w:cstheme="majorBidi"/>
          <w:lang w:val="fr-FR"/>
        </w:rPr>
        <w:t xml:space="preserve"> 640–643. </w:t>
      </w:r>
      <w:proofErr w:type="spellStart"/>
      <w:r w:rsidRPr="00ED7E61">
        <w:rPr>
          <w:rStyle w:val="normaltextrun"/>
          <w:rFonts w:asciiTheme="majorBidi" w:eastAsiaTheme="majorEastAsia" w:hAnsiTheme="majorBidi" w:cstheme="majorBidi"/>
          <w:lang w:val="fr-FR"/>
        </w:rPr>
        <w:t>Available</w:t>
      </w:r>
      <w:proofErr w:type="spellEnd"/>
      <w:r w:rsidRPr="00ED7E61">
        <w:rPr>
          <w:rStyle w:val="normaltextrun"/>
          <w:rFonts w:asciiTheme="majorBidi" w:eastAsiaTheme="majorEastAsia" w:hAnsiTheme="majorBidi" w:cstheme="majorBidi"/>
          <w:lang w:val="fr-FR"/>
        </w:rPr>
        <w:t xml:space="preserve"> </w:t>
      </w:r>
      <w:proofErr w:type="spellStart"/>
      <w:r w:rsidRPr="00ED7E61">
        <w:rPr>
          <w:rStyle w:val="normaltextrun"/>
          <w:rFonts w:asciiTheme="majorBidi" w:eastAsiaTheme="majorEastAsia" w:hAnsiTheme="majorBidi" w:cstheme="majorBidi"/>
          <w:lang w:val="fr-FR"/>
        </w:rPr>
        <w:t>from</w:t>
      </w:r>
      <w:proofErr w:type="spellEnd"/>
      <w:r w:rsidRPr="00ED7E61">
        <w:rPr>
          <w:rStyle w:val="normaltextrun"/>
          <w:rFonts w:asciiTheme="majorBidi" w:eastAsiaTheme="majorEastAsia" w:hAnsiTheme="majorBidi" w:cstheme="majorBidi"/>
          <w:lang w:val="fr-FR"/>
        </w:rPr>
        <w:t xml:space="preserve"> </w:t>
      </w:r>
      <w:hyperlink r:id="rId332" w:tgtFrame="_blank" w:history="1">
        <w:r w:rsidRPr="00ED7E61">
          <w:rPr>
            <w:rStyle w:val="normaltextrun"/>
            <w:rFonts w:asciiTheme="majorBidi" w:eastAsiaTheme="majorEastAsia" w:hAnsiTheme="majorBidi" w:cstheme="majorBidi"/>
            <w:color w:val="0000FF"/>
            <w:u w:val="single"/>
            <w:lang w:val="fr-FR"/>
          </w:rPr>
          <w:t>http://www.nature.com/nature/journal/v428/n6983/abs/nature02422.html</w:t>
        </w:r>
      </w:hyperlink>
      <w:r w:rsidRPr="00ED7E61">
        <w:rPr>
          <w:rStyle w:val="normaltextrun"/>
          <w:rFonts w:asciiTheme="majorBidi" w:eastAsiaTheme="majorEastAsia" w:hAnsiTheme="majorBidi" w:cstheme="majorBidi"/>
          <w:lang w:val="fr-FR"/>
        </w:rPr>
        <w:t>.  </w:t>
      </w:r>
      <w:r w:rsidRPr="00ED7E61">
        <w:rPr>
          <w:rStyle w:val="eop"/>
          <w:rFonts w:asciiTheme="majorBidi" w:eastAsiaTheme="majorEastAsia" w:hAnsiTheme="majorBidi" w:cstheme="majorBidi"/>
          <w:lang w:val="fr-FR"/>
        </w:rPr>
        <w:t> </w:t>
      </w:r>
    </w:p>
    <w:p w14:paraId="29E8B62F" w14:textId="386AE52B" w:rsidR="001641F8" w:rsidRPr="00ED7E61" w:rsidRDefault="00756F0F" w:rsidP="0004367E">
      <w:pPr>
        <w:pStyle w:val="CBDNormalNumber"/>
        <w:ind w:left="567"/>
        <w:rPr>
          <w:rFonts w:asciiTheme="majorBidi" w:hAnsiTheme="majorBidi" w:cstheme="majorBidi"/>
        </w:rPr>
      </w:pPr>
      <w:r w:rsidRPr="00812871">
        <w:rPr>
          <w:rStyle w:val="normaltextrun"/>
          <w:rFonts w:asciiTheme="majorBidi" w:eastAsiaTheme="majorEastAsia" w:hAnsiTheme="majorBidi" w:cstheme="majorBidi"/>
          <w:lang w:val="fr-FR"/>
        </w:rPr>
        <w:t xml:space="preserve">RODRÍGUEZ-RODRÍGUEZ, D., et al. </w:t>
      </w:r>
      <w:r w:rsidRPr="00ED7E61">
        <w:rPr>
          <w:rStyle w:val="normaltextrun"/>
          <w:rFonts w:asciiTheme="majorBidi" w:eastAsiaTheme="majorEastAsia" w:hAnsiTheme="majorBidi" w:cstheme="majorBidi"/>
        </w:rPr>
        <w:t xml:space="preserve">(2011). Progress towards international targets for protected area coverage in mountains: a multi-scale assessment. Biological Conservation 144: 2978–2983. Available from </w:t>
      </w:r>
      <w:hyperlink r:id="rId333" w:tgtFrame="_blank" w:history="1">
        <w:r w:rsidRPr="00ED7E61">
          <w:rPr>
            <w:rStyle w:val="normaltextrun"/>
            <w:rFonts w:asciiTheme="majorBidi" w:eastAsiaTheme="majorEastAsia" w:hAnsiTheme="majorBidi" w:cstheme="majorBidi"/>
            <w:color w:val="0000FF"/>
            <w:u w:val="single"/>
          </w:rPr>
          <w:t>http://www.sciencedirect.com/science/article/pii/S0006320711003454</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3A8AEDE4" w14:textId="66A98473" w:rsidR="001641F8" w:rsidRPr="009E462F" w:rsidRDefault="00756F0F" w:rsidP="0004367E">
      <w:pPr>
        <w:pStyle w:val="CBDNormalNumber"/>
        <w:ind w:left="567"/>
        <w:rPr>
          <w:rFonts w:asciiTheme="majorBidi" w:hAnsiTheme="majorBidi" w:cstheme="majorBidi"/>
          <w:lang w:val="fr-FR"/>
        </w:rPr>
      </w:pPr>
      <w:r w:rsidRPr="00ED7E61">
        <w:rPr>
          <w:rStyle w:val="normaltextrun"/>
          <w:rFonts w:asciiTheme="majorBidi" w:eastAsiaTheme="majorEastAsia" w:hAnsiTheme="majorBidi" w:cstheme="majorBidi"/>
          <w:lang w:val="fr-FR"/>
        </w:rPr>
        <w:t xml:space="preserve">SIMKINS, A.T., PEARMAIN, E.J., &amp; DIAS, M.P. (2020). </w:t>
      </w:r>
      <w:r w:rsidRPr="00ED7E61">
        <w:rPr>
          <w:rStyle w:val="normaltextrun"/>
          <w:rFonts w:asciiTheme="majorBidi" w:eastAsiaTheme="majorEastAsia" w:hAnsiTheme="majorBidi" w:cstheme="majorBidi"/>
        </w:rPr>
        <w:t xml:space="preserve">Code (and documentation) for calculating the protected area coverage of Key Biodiversity Areas. </w:t>
      </w:r>
      <w:hyperlink r:id="rId334" w:tgtFrame="_blank" w:history="1">
        <w:r w:rsidRPr="009E462F">
          <w:rPr>
            <w:rStyle w:val="normaltextrun"/>
            <w:rFonts w:asciiTheme="majorBidi" w:eastAsiaTheme="majorEastAsia" w:hAnsiTheme="majorBidi" w:cstheme="majorBidi"/>
            <w:color w:val="0000FF"/>
            <w:u w:val="single"/>
            <w:lang w:val="fr-FR"/>
          </w:rPr>
          <w:t>https://github.com/BirdLifeInternational/kba-overlap</w:t>
        </w:r>
      </w:hyperlink>
      <w:r w:rsidRPr="009E462F">
        <w:rPr>
          <w:rStyle w:val="normaltextrun"/>
          <w:rFonts w:asciiTheme="majorBidi" w:eastAsiaTheme="majorEastAsia" w:hAnsiTheme="majorBidi" w:cstheme="majorBidi"/>
          <w:lang w:val="fr-FR"/>
        </w:rPr>
        <w:t>.  </w:t>
      </w:r>
    </w:p>
    <w:p w14:paraId="0B8C8FFF" w14:textId="6E3B0476" w:rsidR="001641F8" w:rsidRPr="00ED7E61" w:rsidRDefault="00756F0F" w:rsidP="0004367E">
      <w:pPr>
        <w:pStyle w:val="CBDNormalNumber"/>
        <w:ind w:left="567"/>
        <w:rPr>
          <w:rFonts w:asciiTheme="majorBidi" w:hAnsiTheme="majorBidi" w:cstheme="majorBidi"/>
          <w:lang w:val="fr-FR"/>
        </w:rPr>
      </w:pPr>
      <w:r w:rsidRPr="00F53E05">
        <w:rPr>
          <w:rStyle w:val="normaltextrun"/>
          <w:rFonts w:asciiTheme="majorBidi" w:eastAsiaTheme="majorEastAsia" w:hAnsiTheme="majorBidi" w:cstheme="majorBidi"/>
          <w:lang w:val="en-CA"/>
        </w:rPr>
        <w:t xml:space="preserve">SPALDING, M.D., et al. </w:t>
      </w:r>
      <w:r w:rsidRPr="00ED7E61">
        <w:rPr>
          <w:rStyle w:val="normaltextrun"/>
          <w:rFonts w:asciiTheme="majorBidi" w:eastAsiaTheme="majorEastAsia" w:hAnsiTheme="majorBidi" w:cstheme="majorBidi"/>
          <w:lang w:val="en-US"/>
        </w:rPr>
        <w:t xml:space="preserve">(2012). Pelagic provinces of the world: A biogeographic classification of the world’s surface pelagic waters. </w:t>
      </w:r>
      <w:proofErr w:type="spellStart"/>
      <w:r w:rsidRPr="00ED7E61">
        <w:rPr>
          <w:rStyle w:val="normaltextrun"/>
          <w:rFonts w:asciiTheme="majorBidi" w:eastAsiaTheme="majorEastAsia" w:hAnsiTheme="majorBidi" w:cstheme="majorBidi"/>
          <w:lang w:val="fr-FR"/>
        </w:rPr>
        <w:t>Ocean</w:t>
      </w:r>
      <w:proofErr w:type="spellEnd"/>
      <w:r w:rsidRPr="00ED7E61">
        <w:rPr>
          <w:rStyle w:val="normaltextrun"/>
          <w:rFonts w:asciiTheme="majorBidi" w:eastAsiaTheme="majorEastAsia" w:hAnsiTheme="majorBidi" w:cstheme="majorBidi"/>
          <w:lang w:val="fr-FR"/>
        </w:rPr>
        <w:t xml:space="preserve"> &amp; Coastal Management, </w:t>
      </w:r>
      <w:proofErr w:type="gramStart"/>
      <w:r w:rsidRPr="00ED7E61">
        <w:rPr>
          <w:rStyle w:val="normaltextrun"/>
          <w:rFonts w:asciiTheme="majorBidi" w:eastAsiaTheme="majorEastAsia" w:hAnsiTheme="majorBidi" w:cstheme="majorBidi"/>
          <w:lang w:val="fr-FR"/>
        </w:rPr>
        <w:t>60:</w:t>
      </w:r>
      <w:proofErr w:type="gramEnd"/>
      <w:r w:rsidRPr="00ED7E61">
        <w:rPr>
          <w:rStyle w:val="normaltextrun"/>
          <w:rFonts w:asciiTheme="majorBidi" w:eastAsiaTheme="majorEastAsia" w:hAnsiTheme="majorBidi" w:cstheme="majorBidi"/>
          <w:lang w:val="fr-FR"/>
        </w:rPr>
        <w:t xml:space="preserve"> 19–30. </w:t>
      </w:r>
      <w:hyperlink r:id="rId335" w:tgtFrame="_blank" w:history="1">
        <w:r w:rsidRPr="00ED7E61">
          <w:rPr>
            <w:rStyle w:val="normaltextrun"/>
            <w:rFonts w:asciiTheme="majorBidi" w:eastAsiaTheme="majorEastAsia" w:hAnsiTheme="majorBidi" w:cstheme="majorBidi"/>
            <w:color w:val="467886"/>
            <w:u w:val="single"/>
            <w:lang w:val="fr-FR"/>
          </w:rPr>
          <w:t>https://doi.org/10.1016/j.ocecoaman.2011.12.016</w:t>
        </w:r>
      </w:hyperlink>
      <w:r w:rsidRPr="00ED7E61">
        <w:rPr>
          <w:rStyle w:val="normaltextrun"/>
          <w:rFonts w:asciiTheme="majorBidi" w:eastAsiaTheme="majorEastAsia" w:hAnsiTheme="majorBidi" w:cstheme="majorBidi"/>
          <w:lang w:val="fr-FR"/>
        </w:rPr>
        <w:t> </w:t>
      </w:r>
      <w:r w:rsidRPr="00ED7E61">
        <w:rPr>
          <w:rStyle w:val="eop"/>
          <w:rFonts w:asciiTheme="majorBidi" w:eastAsiaTheme="majorEastAsia" w:hAnsiTheme="majorBidi" w:cstheme="majorBidi"/>
          <w:lang w:val="fr-FR"/>
        </w:rPr>
        <w:t> </w:t>
      </w:r>
    </w:p>
    <w:p w14:paraId="417016CB" w14:textId="00A09167" w:rsidR="001641F8" w:rsidRPr="00ED7E61" w:rsidRDefault="00756F0F" w:rsidP="0004367E">
      <w:pPr>
        <w:pStyle w:val="CBDNormalNumber"/>
        <w:ind w:left="567"/>
        <w:rPr>
          <w:rFonts w:asciiTheme="majorBidi" w:hAnsiTheme="majorBidi" w:cstheme="majorBidi"/>
        </w:rPr>
      </w:pPr>
      <w:r w:rsidRPr="009E462F">
        <w:rPr>
          <w:rStyle w:val="normaltextrun"/>
          <w:rFonts w:asciiTheme="majorBidi" w:eastAsiaTheme="majorEastAsia" w:hAnsiTheme="majorBidi" w:cstheme="majorBidi"/>
          <w:lang w:val="fr-FR"/>
        </w:rPr>
        <w:t xml:space="preserve">SPALDING, M.D., et al. </w:t>
      </w:r>
      <w:r w:rsidRPr="00ED7E61">
        <w:rPr>
          <w:rStyle w:val="normaltextrun"/>
          <w:rFonts w:asciiTheme="majorBidi" w:eastAsiaTheme="majorEastAsia" w:hAnsiTheme="majorBidi" w:cstheme="majorBidi"/>
          <w:lang w:val="en-US"/>
        </w:rPr>
        <w:t xml:space="preserve">(2007). Marine Ecoregions of the World: A Bioregionalization of Coastal and Shelf Areas. </w:t>
      </w:r>
      <w:proofErr w:type="spellStart"/>
      <w:r w:rsidRPr="00ED7E61">
        <w:rPr>
          <w:rStyle w:val="normaltextrun"/>
          <w:rFonts w:asciiTheme="majorBidi" w:eastAsiaTheme="majorEastAsia" w:hAnsiTheme="majorBidi" w:cstheme="majorBidi"/>
          <w:lang w:val="en-US"/>
        </w:rPr>
        <w:t>BioScience</w:t>
      </w:r>
      <w:proofErr w:type="spellEnd"/>
      <w:r w:rsidRPr="00ED7E61">
        <w:rPr>
          <w:rStyle w:val="normaltextrun"/>
          <w:rFonts w:asciiTheme="majorBidi" w:eastAsiaTheme="majorEastAsia" w:hAnsiTheme="majorBidi" w:cstheme="majorBidi"/>
          <w:lang w:val="en-US"/>
        </w:rPr>
        <w:t xml:space="preserve">, 57(7): 573–583. </w:t>
      </w:r>
      <w:hyperlink r:id="rId336" w:tgtFrame="_blank" w:history="1">
        <w:r w:rsidRPr="00ED7E61">
          <w:rPr>
            <w:rStyle w:val="normaltextrun"/>
            <w:rFonts w:asciiTheme="majorBidi" w:eastAsiaTheme="majorEastAsia" w:hAnsiTheme="majorBidi" w:cstheme="majorBidi"/>
            <w:color w:val="467886"/>
            <w:u w:val="single"/>
            <w:lang w:val="en-US"/>
          </w:rPr>
          <w:t>https://doi.org/10.1641/B570707</w:t>
        </w:r>
      </w:hyperlink>
      <w:r w:rsidRPr="00ED7E61">
        <w:rPr>
          <w:rStyle w:val="normaltextrun"/>
          <w:rFonts w:asciiTheme="majorBidi" w:eastAsiaTheme="majorEastAsia" w:hAnsiTheme="majorBidi" w:cstheme="majorBidi"/>
          <w:lang w:val="en-US"/>
        </w:rPr>
        <w:t> </w:t>
      </w:r>
      <w:r w:rsidRPr="00ED7E61">
        <w:rPr>
          <w:rStyle w:val="eop"/>
          <w:rFonts w:asciiTheme="majorBidi" w:eastAsiaTheme="majorEastAsia" w:hAnsiTheme="majorBidi" w:cstheme="majorBidi"/>
        </w:rPr>
        <w:t> </w:t>
      </w:r>
    </w:p>
    <w:p w14:paraId="5A1D6298" w14:textId="075AF6CE"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lang w:val="en-US"/>
        </w:rPr>
        <w:t xml:space="preserve">TITTENSOR, D. et al. </w:t>
      </w:r>
      <w:r w:rsidRPr="00ED7E61">
        <w:rPr>
          <w:rStyle w:val="normaltextrun"/>
          <w:rFonts w:asciiTheme="majorBidi" w:eastAsiaTheme="majorEastAsia" w:hAnsiTheme="majorBidi" w:cstheme="majorBidi"/>
        </w:rPr>
        <w:t xml:space="preserve">(2014). A mid-term analysis of progress towards international biodiversity targets. Science 346: 241–244. Available from </w:t>
      </w:r>
      <w:hyperlink r:id="rId337" w:tgtFrame="_blank" w:history="1">
        <w:r w:rsidRPr="00ED7E61">
          <w:rPr>
            <w:rStyle w:val="normaltextrun"/>
            <w:rFonts w:asciiTheme="majorBidi" w:eastAsiaTheme="majorEastAsia" w:hAnsiTheme="majorBidi" w:cstheme="majorBidi"/>
            <w:color w:val="0000FF"/>
            <w:u w:val="single"/>
          </w:rPr>
          <w:t>http://www.sciencemag.org/content/346/6206/241.short</w:t>
        </w:r>
      </w:hyperlink>
      <w:r w:rsidRPr="00ED7E61">
        <w:rPr>
          <w:rStyle w:val="normaltextrun"/>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702F0168" w14:textId="7EFB9E52"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UN Economic and Social Council (1959). </w:t>
      </w:r>
      <w:r w:rsidRPr="00ED7E61">
        <w:rPr>
          <w:rStyle w:val="normaltextrun"/>
          <w:rFonts w:asciiTheme="majorBidi" w:eastAsiaTheme="majorEastAsia" w:hAnsiTheme="majorBidi" w:cstheme="majorBidi"/>
          <w:i/>
          <w:iCs/>
          <w:color w:val="111827"/>
          <w:lang w:val="en-US"/>
        </w:rPr>
        <w:t>Establishment by the Secretary-General of the United Nations of a list of national parks and equivalent reserves.</w:t>
      </w:r>
      <w:r w:rsidRPr="00ED7E61">
        <w:rPr>
          <w:rStyle w:val="normaltextrun"/>
          <w:rFonts w:asciiTheme="majorBidi" w:eastAsiaTheme="majorEastAsia" w:hAnsiTheme="majorBidi" w:cstheme="majorBidi"/>
          <w:color w:val="111827"/>
          <w:lang w:val="en-US"/>
        </w:rPr>
        <w:t xml:space="preserve"> </w:t>
      </w:r>
      <w:r w:rsidRPr="00ED7E61">
        <w:rPr>
          <w:rStyle w:val="normaltextrun"/>
          <w:rFonts w:asciiTheme="majorBidi" w:eastAsiaTheme="majorEastAsia" w:hAnsiTheme="majorBidi" w:cstheme="majorBidi"/>
          <w:color w:val="111827"/>
          <w:shd w:val="clear" w:color="auto" w:fill="FFFFFF"/>
        </w:rPr>
        <w:t>E/RES/713(XXVII). Mexico City. </w:t>
      </w:r>
      <w:r w:rsidRPr="00ED7E61">
        <w:rPr>
          <w:rStyle w:val="eop"/>
          <w:rFonts w:asciiTheme="majorBidi" w:eastAsiaTheme="majorEastAsia" w:hAnsiTheme="majorBidi" w:cstheme="majorBidi"/>
          <w:color w:val="111827"/>
        </w:rPr>
        <w:t> </w:t>
      </w:r>
    </w:p>
    <w:p w14:paraId="34E8DE9D" w14:textId="1CC49DC0"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UNEP-WCMC (2019). World Database on Protected Areas User Manual 1.6. UNEP-WCMC, Cambridge, UK. Available from </w:t>
      </w:r>
      <w:hyperlink r:id="rId338" w:tgtFrame="_blank" w:history="1">
        <w:r w:rsidRPr="00ED7E61">
          <w:rPr>
            <w:rStyle w:val="normaltextrun"/>
            <w:rFonts w:asciiTheme="majorBidi" w:eastAsiaTheme="majorEastAsia" w:hAnsiTheme="majorBidi" w:cstheme="majorBidi"/>
            <w:color w:val="0000FF"/>
            <w:u w:val="single"/>
          </w:rPr>
          <w:t>http://wcmc.io/WDPA_Manual</w:t>
        </w:r>
      </w:hyperlink>
      <w:r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0793F2BD" w14:textId="4A175516"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rPr>
        <w:t xml:space="preserve">UNEP-WCMC &amp; IUCN (2023). The World Database on Protected Areas (WDPA). UNEP-WCMC, Cambridge, UK. Available from </w:t>
      </w:r>
      <w:hyperlink r:id="rId339" w:tgtFrame="_blank" w:history="1">
        <w:r w:rsidRPr="00ED7E61">
          <w:rPr>
            <w:rStyle w:val="normaltextrun"/>
            <w:rFonts w:asciiTheme="majorBidi" w:eastAsiaTheme="majorEastAsia" w:hAnsiTheme="majorBidi" w:cstheme="majorBidi"/>
            <w:color w:val="0000FF"/>
            <w:u w:val="single"/>
          </w:rPr>
          <w:t>http://www.protectedplanet.net</w:t>
        </w:r>
      </w:hyperlink>
      <w:r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43DB2B39" w14:textId="4298E467"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lang w:val="en-AU"/>
        </w:rPr>
        <w:t xml:space="preserve">UNEP-WCMC, IUCN &amp; JNCC (2023). Monitoring </w:t>
      </w:r>
      <w:r w:rsidR="00ED3992">
        <w:rPr>
          <w:rStyle w:val="normaltextrun"/>
          <w:rFonts w:asciiTheme="majorBidi" w:eastAsiaTheme="majorEastAsia" w:hAnsiTheme="majorBidi" w:cstheme="majorBidi"/>
          <w:lang w:val="en-AU"/>
        </w:rPr>
        <w:t>“</w:t>
      </w:r>
      <w:r w:rsidRPr="00FB1598">
        <w:rPr>
          <w:rStyle w:val="normaltextrun"/>
          <w:rFonts w:asciiTheme="majorBidi" w:eastAsiaTheme="majorEastAsia" w:hAnsiTheme="majorBidi" w:cstheme="majorBidi"/>
          <w:i/>
          <w:iCs/>
          <w:lang w:val="en-AU"/>
        </w:rPr>
        <w:t>effectiveness</w:t>
      </w:r>
      <w:r w:rsidR="00ED3992">
        <w:rPr>
          <w:rStyle w:val="normaltextrun"/>
          <w:rFonts w:asciiTheme="majorBidi" w:eastAsiaTheme="majorEastAsia" w:hAnsiTheme="majorBidi" w:cstheme="majorBidi"/>
          <w:lang w:val="en-AU"/>
        </w:rPr>
        <w:t>”</w:t>
      </w:r>
      <w:r w:rsidRPr="00ED7E61">
        <w:rPr>
          <w:rStyle w:val="normaltextrun"/>
          <w:rFonts w:asciiTheme="majorBidi" w:eastAsiaTheme="majorEastAsia" w:hAnsiTheme="majorBidi" w:cstheme="majorBidi"/>
          <w:lang w:val="en-AU"/>
        </w:rPr>
        <w:t xml:space="preserve"> of areas contributing to Target 3. Available from: </w:t>
      </w:r>
      <w:hyperlink r:id="rId340" w:tgtFrame="_blank" w:history="1">
        <w:r w:rsidRPr="00ED7E61">
          <w:rPr>
            <w:rStyle w:val="normaltextrun"/>
            <w:rFonts w:asciiTheme="majorBidi" w:eastAsiaTheme="majorEastAsia" w:hAnsiTheme="majorBidi" w:cstheme="majorBidi"/>
            <w:color w:val="467886"/>
            <w:u w:val="single"/>
            <w:lang w:val="en-AU"/>
          </w:rPr>
          <w:t>https://wdpa.s3.eu-west-1.amazonaws.com/PAME/protectedplanet_draft_monitoring_effectiveness_approach.pdf</w:t>
        </w:r>
      </w:hyperlink>
      <w:r w:rsidRPr="00ED7E61">
        <w:rPr>
          <w:rStyle w:val="normaltextrun"/>
          <w:rFonts w:asciiTheme="majorBidi" w:eastAsiaTheme="majorEastAsia" w:hAnsiTheme="majorBidi" w:cstheme="majorBidi"/>
          <w:lang w:val="en-AU"/>
        </w:rPr>
        <w:t> </w:t>
      </w:r>
      <w:r w:rsidRPr="00ED7E61">
        <w:rPr>
          <w:rStyle w:val="eop"/>
          <w:rFonts w:asciiTheme="majorBidi" w:eastAsiaTheme="majorEastAsia" w:hAnsiTheme="majorBidi" w:cstheme="majorBidi"/>
        </w:rPr>
        <w:t> </w:t>
      </w:r>
    </w:p>
    <w:p w14:paraId="1D6A1321" w14:textId="4B4A55D7" w:rsidR="001641F8"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lang w:val="en-AU"/>
        </w:rPr>
        <w:t>VISCONTI, P., et al. (2013). “</w:t>
      </w:r>
      <w:r w:rsidRPr="00FB1598">
        <w:rPr>
          <w:rStyle w:val="normaltextrun"/>
          <w:rFonts w:asciiTheme="majorBidi" w:eastAsiaTheme="majorEastAsia" w:hAnsiTheme="majorBidi" w:cstheme="majorBidi"/>
          <w:i/>
          <w:iCs/>
          <w:lang w:val="en-AU"/>
        </w:rPr>
        <w:t>Effects of Errors and Gaps in Spatial Data Sets on Assessment of Conservation Progress</w:t>
      </w:r>
      <w:r w:rsidRPr="00ED7E61">
        <w:rPr>
          <w:rStyle w:val="normaltextrun"/>
          <w:rFonts w:asciiTheme="majorBidi" w:eastAsiaTheme="majorEastAsia" w:hAnsiTheme="majorBidi" w:cstheme="majorBidi"/>
          <w:lang w:val="en-AU"/>
        </w:rPr>
        <w:t>.” Conservation Biology, 27(5), pp. 1000–1010, https://doi.org/10.1111/cobi.12095. </w:t>
      </w:r>
      <w:r w:rsidRPr="00ED7E61">
        <w:rPr>
          <w:rStyle w:val="eop"/>
          <w:rFonts w:asciiTheme="majorBidi" w:eastAsiaTheme="majorEastAsia" w:hAnsiTheme="majorBidi" w:cstheme="majorBidi"/>
        </w:rPr>
        <w:t> </w:t>
      </w:r>
    </w:p>
    <w:p w14:paraId="01540A6F" w14:textId="77777777" w:rsidR="00756F0F" w:rsidRPr="00ED7E61" w:rsidRDefault="00756F0F" w:rsidP="0004367E">
      <w:pPr>
        <w:pStyle w:val="CBDNormalNumber"/>
        <w:ind w:left="567"/>
        <w:rPr>
          <w:rFonts w:asciiTheme="majorBidi" w:hAnsiTheme="majorBidi" w:cstheme="majorBidi"/>
        </w:rPr>
      </w:pPr>
      <w:r w:rsidRPr="00ED7E61">
        <w:rPr>
          <w:rStyle w:val="normaltextrun"/>
          <w:rFonts w:asciiTheme="majorBidi" w:eastAsiaTheme="majorEastAsia" w:hAnsiTheme="majorBidi" w:cstheme="majorBidi"/>
          <w:shd w:val="clear" w:color="auto" w:fill="FFFFFF"/>
          <w:lang w:val="en-AU"/>
        </w:rPr>
        <w:t>VLIZ. (2014). Maritime Boundaries Geodatabase: Maritime Boundaries and Exclusive Economic Zones (200NM), version 11. Available online at https://www.marineregions.org/. </w:t>
      </w:r>
      <w:hyperlink r:id="rId341" w:tgtFrame="_blank" w:history="1">
        <w:r w:rsidRPr="00ED7E61">
          <w:rPr>
            <w:rStyle w:val="normaltextrun"/>
            <w:rFonts w:asciiTheme="majorBidi" w:eastAsiaTheme="majorEastAsia" w:hAnsiTheme="majorBidi" w:cstheme="majorBidi"/>
            <w:color w:val="467886"/>
            <w:u w:val="single"/>
            <w:shd w:val="clear" w:color="auto" w:fill="FFFFFF"/>
            <w:lang w:val="en-AU"/>
          </w:rPr>
          <w:t>https://doi.org/10.14284/386</w:t>
        </w:r>
      </w:hyperlink>
      <w:r w:rsidRPr="00ED7E61">
        <w:rPr>
          <w:rStyle w:val="eop"/>
          <w:rFonts w:asciiTheme="majorBidi" w:eastAsiaTheme="majorEastAsia" w:hAnsiTheme="majorBidi" w:cstheme="majorBidi"/>
        </w:rPr>
        <w:t> </w:t>
      </w:r>
    </w:p>
    <w:p w14:paraId="1020EB4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12. Graphs and diagrams</w:t>
      </w:r>
      <w:r w:rsidRPr="00ED7E61">
        <w:rPr>
          <w:rStyle w:val="eop"/>
          <w:rFonts w:asciiTheme="majorBidi" w:eastAsiaTheme="majorEastAsia" w:hAnsiTheme="majorBidi" w:cstheme="majorBidi"/>
          <w:sz w:val="22"/>
          <w:szCs w:val="22"/>
        </w:rPr>
        <w:t> </w:t>
      </w:r>
    </w:p>
    <w:p w14:paraId="4217B7F6" w14:textId="77777777" w:rsidR="00A4751A" w:rsidRPr="00A4751A" w:rsidRDefault="00756F0F" w:rsidP="0004367E">
      <w:pPr>
        <w:pStyle w:val="CBDNormalNumber"/>
        <w:ind w:left="567"/>
        <w:rPr>
          <w:rStyle w:val="eop"/>
          <w:rFonts w:asciiTheme="majorBidi" w:hAnsiTheme="majorBidi" w:cstheme="majorBidi"/>
          <w:sz w:val="24"/>
          <w:szCs w:val="24"/>
          <w:lang w:val="en-CA"/>
        </w:rPr>
      </w:pPr>
      <w:r w:rsidRPr="00ED7E61">
        <w:rPr>
          <w:rStyle w:val="normaltextrun"/>
          <w:rFonts w:asciiTheme="majorBidi" w:eastAsiaTheme="majorEastAsia" w:hAnsiTheme="majorBidi" w:cstheme="majorBidi"/>
          <w:shd w:val="clear" w:color="auto" w:fill="FFFFFF"/>
          <w:lang w:val="en-AU"/>
        </w:rPr>
        <w:t>N/A</w:t>
      </w:r>
      <w:r w:rsidRPr="00ED7E61">
        <w:rPr>
          <w:rStyle w:val="eop"/>
          <w:rFonts w:asciiTheme="majorBidi" w:eastAsiaTheme="majorEastAsia" w:hAnsiTheme="majorBidi" w:cstheme="majorBidi"/>
        </w:rPr>
        <w:t> </w:t>
      </w:r>
    </w:p>
    <w:p w14:paraId="66D03B7B" w14:textId="77777777" w:rsidR="00A4751A" w:rsidRDefault="00A4751A">
      <w:pPr>
        <w:rPr>
          <w:rFonts w:asciiTheme="majorBidi" w:eastAsia="SimSun" w:hAnsiTheme="majorBidi" w:cstheme="majorBidi"/>
          <w:sz w:val="22"/>
          <w:szCs w:val="22"/>
          <w:lang w:val="en-GB"/>
        </w:rPr>
      </w:pPr>
      <w:r>
        <w:rPr>
          <w:rFonts w:asciiTheme="majorBidi" w:hAnsiTheme="majorBidi" w:cstheme="majorBidi"/>
        </w:rPr>
        <w:br w:type="page"/>
      </w:r>
    </w:p>
    <w:p w14:paraId="1D5224DB" w14:textId="40794B14" w:rsidR="00756F0F" w:rsidRPr="00ED7E61" w:rsidRDefault="002946B5" w:rsidP="00965B3D">
      <w:pPr>
        <w:pStyle w:val="Heading3"/>
      </w:pPr>
      <w:bookmarkStart w:id="34" w:name="_Toc233278568"/>
      <w:r w:rsidRPr="00ED7E61">
        <w:rPr>
          <w:rStyle w:val="normaltextrun"/>
        </w:rPr>
        <w:lastRenderedPageBreak/>
        <w:t>5.1 Proportion of fish stocks within biologically sustainable levels</w:t>
      </w:r>
      <w:r w:rsidR="00A6636F" w:rsidRPr="00ED7E61">
        <w:rPr>
          <w:rStyle w:val="FootnoteReference"/>
        </w:rPr>
        <w:footnoteReference w:id="23"/>
      </w:r>
      <w:bookmarkEnd w:id="34"/>
    </w:p>
    <w:p w14:paraId="735CA7B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449B269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1. </w:t>
      </w:r>
      <w:r w:rsidRPr="00ED7E61">
        <w:rPr>
          <w:rStyle w:val="normaltextrun"/>
          <w:rFonts w:asciiTheme="majorBidi" w:eastAsiaTheme="majorEastAsia" w:hAnsiTheme="majorBidi" w:cstheme="majorBidi"/>
          <w:b/>
          <w:bCs/>
          <w:sz w:val="22"/>
          <w:szCs w:val="22"/>
          <w:lang w:val="en-GB"/>
        </w:rPr>
        <w:t>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0F246CA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shd w:val="clear" w:color="auto" w:fill="FFFFFF"/>
          <w:lang w:val="en-GB"/>
        </w:rPr>
        <w:t>5.1 Proportion of fish stocks within biologically sustainable levels</w:t>
      </w:r>
      <w:r w:rsidRPr="00ED7E61">
        <w:rPr>
          <w:rStyle w:val="eop"/>
          <w:rFonts w:asciiTheme="majorBidi" w:eastAsiaTheme="majorEastAsia" w:hAnsiTheme="majorBidi" w:cstheme="majorBidi"/>
          <w:sz w:val="22"/>
          <w:szCs w:val="22"/>
        </w:rPr>
        <w:t> </w:t>
      </w:r>
    </w:p>
    <w:p w14:paraId="03696843" w14:textId="77777777" w:rsidR="00756F0F" w:rsidRPr="00ED7E61" w:rsidRDefault="00756F0F" w:rsidP="0004367E">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7AA9DF7F" w14:textId="03877A96" w:rsidR="00775978" w:rsidRPr="00ED7E61" w:rsidRDefault="00CA24F8"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Pr>
          <w:rStyle w:val="normaltextrun"/>
          <w:rFonts w:asciiTheme="majorBidi" w:eastAsiaTheme="majorEastAsia" w:hAnsiTheme="majorBidi" w:cstheme="majorBidi"/>
          <w:sz w:val="22"/>
          <w:szCs w:val="22"/>
          <w:lang w:val="en-GB"/>
        </w:rPr>
        <w:t>March</w:t>
      </w:r>
      <w:r w:rsidRPr="00ED7E61">
        <w:rPr>
          <w:rStyle w:val="normaltextrun"/>
          <w:rFonts w:asciiTheme="majorBidi" w:eastAsiaTheme="majorEastAsia" w:hAnsiTheme="majorBidi" w:cstheme="majorBidi"/>
          <w:sz w:val="22"/>
          <w:szCs w:val="22"/>
          <w:lang w:val="en-GB"/>
        </w:rPr>
        <w:t xml:space="preserve"> </w:t>
      </w:r>
      <w:r w:rsidR="00775978" w:rsidRPr="00ED7E61">
        <w:rPr>
          <w:rStyle w:val="normaltextrun"/>
          <w:rFonts w:asciiTheme="majorBidi" w:eastAsiaTheme="majorEastAsia" w:hAnsiTheme="majorBidi" w:cstheme="majorBidi"/>
          <w:sz w:val="22"/>
          <w:szCs w:val="22"/>
          <w:lang w:val="en-GB"/>
        </w:rPr>
        <w:t>202</w:t>
      </w:r>
      <w:r>
        <w:rPr>
          <w:rStyle w:val="normaltextrun"/>
          <w:rFonts w:asciiTheme="majorBidi" w:eastAsiaTheme="majorEastAsia" w:hAnsiTheme="majorBidi" w:cstheme="majorBidi"/>
          <w:sz w:val="22"/>
          <w:szCs w:val="22"/>
          <w:lang w:val="en-GB"/>
        </w:rPr>
        <w:t>6</w:t>
      </w:r>
      <w:r w:rsidR="00775978" w:rsidRPr="00ED7E61">
        <w:rPr>
          <w:rStyle w:val="normaltextrun"/>
          <w:rFonts w:asciiTheme="majorBidi" w:eastAsiaTheme="majorEastAsia" w:hAnsiTheme="majorBidi" w:cstheme="majorBidi"/>
          <w:sz w:val="22"/>
          <w:szCs w:val="22"/>
          <w:lang w:val="en-GB"/>
        </w:rPr>
        <w:t xml:space="preserve"> </w:t>
      </w:r>
    </w:p>
    <w:p w14:paraId="6C7A1867" w14:textId="3D18C77D" w:rsidR="00756F0F" w:rsidRPr="00ED7E61" w:rsidRDefault="00756F0F" w:rsidP="0004367E">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23071723" w14:textId="77777777" w:rsidR="00756F0F" w:rsidRPr="00ED7E61" w:rsidRDefault="00756F0F" w:rsidP="0004367E">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620F6CF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04D3EBA4" w14:textId="77777777" w:rsidR="00756F0F" w:rsidRPr="00ED7E61" w:rsidRDefault="00756F0F" w:rsidP="0004367E">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5103B6FD" w14:textId="2EF18758"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Target 5</w:t>
      </w:r>
      <w:r w:rsidRPr="00ED7E61">
        <w:rPr>
          <w:rStyle w:val="normaltextrun"/>
          <w:rFonts w:asciiTheme="majorBidi" w:eastAsiaTheme="majorEastAsia" w:hAnsiTheme="majorBidi" w:cstheme="majorBidi"/>
          <w:sz w:val="22"/>
          <w:szCs w:val="22"/>
        </w:rPr>
        <w:t xml:space="preserve"> 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 </w:t>
      </w:r>
      <w:r w:rsidRPr="00ED7E61">
        <w:rPr>
          <w:rStyle w:val="eop"/>
          <w:rFonts w:asciiTheme="majorBidi" w:eastAsiaTheme="majorEastAsia" w:hAnsiTheme="majorBidi" w:cstheme="majorBidi"/>
          <w:sz w:val="22"/>
          <w:szCs w:val="22"/>
        </w:rPr>
        <w:t> </w:t>
      </w:r>
    </w:p>
    <w:p w14:paraId="168FDB8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7B6A5BB9" w14:textId="143A7B8A" w:rsidR="002B5C03" w:rsidRPr="00ED7E61" w:rsidRDefault="00756F0F" w:rsidP="00B10F0C">
      <w:pPr>
        <w:pStyle w:val="CBDNormalNumber"/>
        <w:numPr>
          <w:ilvl w:val="0"/>
          <w:numId w:val="32"/>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shd w:val="clear" w:color="auto" w:fill="FFFFFF"/>
          <w:lang w:val="en-AU"/>
        </w:rPr>
        <w:t>The</w:t>
      </w:r>
      <w:r w:rsidRPr="00ED7E61">
        <w:rPr>
          <w:rStyle w:val="normaltextrun"/>
          <w:rFonts w:asciiTheme="majorBidi" w:eastAsiaTheme="majorEastAsia" w:hAnsiTheme="majorBidi" w:cstheme="majorBidi"/>
        </w:rPr>
        <w:t xml:space="preserve"> United Nations (UN) Convention on the Law of the Sea (UNCLOS), the United Nations Fish Stocks Agreement (UNFSA [UN, 1995]) and the FAO Code of Conduct for Responsible Fisheries (FAO, 1995a) all require maintaining or restoring fish stocks at levels that are capable of producing their maximum sustainable yield (MSY). To fulfil the objectives of these international treaties, fishery management authorities need to undertake assessment of the state of fish stocks and develop effective policies and management strategies. As a UN Agency with a mandate for fisheries, FAO endeavour to provide the international community with the best information on the state of marine fishery resources.</w:t>
      </w:r>
      <w:r w:rsidRPr="00ED7E61">
        <w:rPr>
          <w:rStyle w:val="eop"/>
          <w:rFonts w:asciiTheme="majorBidi" w:eastAsiaTheme="majorEastAsia" w:hAnsiTheme="majorBidi" w:cstheme="majorBidi"/>
        </w:rPr>
        <w:t> </w:t>
      </w:r>
    </w:p>
    <w:p w14:paraId="37D19DDA" w14:textId="79AC059A" w:rsidR="002B5C03" w:rsidRPr="00ED7E61" w:rsidRDefault="00756F0F" w:rsidP="00B10F0C">
      <w:pPr>
        <w:pStyle w:val="CBDNormalNumber"/>
        <w:numPr>
          <w:ilvl w:val="0"/>
          <w:numId w:val="32"/>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Since 1974, FAO has been periodically assessing and reporting the state of marine fishery resources using a wide spectrum of methods from numerical models to data poor approaches. FAO global and regional estimates were also used as an MDG indicator for Goal 7 on environment during the period 2000-2015. This facilitated its approval as a Tier I SDG indicator by the 2nd IAEG-SDG in October 2015.</w:t>
      </w:r>
      <w:r w:rsidRPr="00ED7E61">
        <w:rPr>
          <w:rStyle w:val="eop"/>
          <w:rFonts w:asciiTheme="majorBidi" w:eastAsiaTheme="majorEastAsia" w:hAnsiTheme="majorBidi" w:cstheme="majorBidi"/>
        </w:rPr>
        <w:t> </w:t>
      </w:r>
    </w:p>
    <w:p w14:paraId="314A8E35" w14:textId="52423BB4" w:rsidR="002B5C03" w:rsidRPr="00ED7E61" w:rsidRDefault="00756F0F" w:rsidP="00B10F0C">
      <w:pPr>
        <w:pStyle w:val="CBDNormalNumber"/>
        <w:numPr>
          <w:ilvl w:val="0"/>
          <w:numId w:val="32"/>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The indicator has a peculiar nature compared to more conventional SDG indicators. The indicator estimates the sustainability of fish stocks that often move across national boundaries. This led the indicator to be initially reported only at global and regional levels, with regions not corresponding to continental MDG or SDG regions but to marine regions termed “</w:t>
      </w:r>
      <w:r w:rsidRPr="00FB1598">
        <w:rPr>
          <w:rStyle w:val="normaltextrun"/>
          <w:rFonts w:asciiTheme="majorBidi" w:eastAsiaTheme="majorEastAsia" w:hAnsiTheme="majorBidi" w:cstheme="majorBidi"/>
          <w:i/>
          <w:iCs/>
        </w:rPr>
        <w:t>FAO Major Fishing Areas</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6B12CADC" w14:textId="7BB7E91D" w:rsidR="002B5C03" w:rsidRPr="00ED7E61" w:rsidRDefault="00756F0F" w:rsidP="004F5559">
      <w:pPr>
        <w:pStyle w:val="CBDNormalNumber"/>
        <w:numPr>
          <w:ilvl w:val="0"/>
          <w:numId w:val="32"/>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 xml:space="preserve">The Global SDG Indicator Framework is a voluntary mechanism, but countries are required to report if data are available. As a custodian agency, the FAO works to put in action the 2030 Agenda’s emphasis on country ownership </w:t>
      </w:r>
      <w:proofErr w:type="gramStart"/>
      <w:r w:rsidRPr="00ED7E61">
        <w:rPr>
          <w:rStyle w:val="normaltextrun"/>
          <w:rFonts w:asciiTheme="majorBidi" w:eastAsiaTheme="majorEastAsia" w:hAnsiTheme="majorBidi" w:cstheme="majorBidi"/>
        </w:rPr>
        <w:t xml:space="preserve">and  </w:t>
      </w:r>
      <w:r w:rsidR="00737A66">
        <w:rPr>
          <w:rStyle w:val="normaltextrun"/>
          <w:rFonts w:asciiTheme="majorBidi" w:eastAsiaTheme="majorEastAsia" w:hAnsiTheme="majorBidi" w:cstheme="majorBidi"/>
        </w:rPr>
        <w:t>incentivising</w:t>
      </w:r>
      <w:proofErr w:type="gramEnd"/>
      <w:r w:rsidR="00737A66"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actions at country, regional and global levels. FAO has developed, since 201</w:t>
      </w:r>
      <w:r w:rsidR="007036D2">
        <w:rPr>
          <w:rStyle w:val="normaltextrun"/>
          <w:rFonts w:asciiTheme="majorBidi" w:eastAsiaTheme="majorEastAsia" w:hAnsiTheme="majorBidi" w:cstheme="majorBidi"/>
        </w:rPr>
        <w:t>9</w:t>
      </w:r>
      <w:r w:rsidRPr="00ED7E61">
        <w:rPr>
          <w:rStyle w:val="normaltextrun"/>
          <w:rFonts w:asciiTheme="majorBidi" w:eastAsiaTheme="majorEastAsia" w:hAnsiTheme="majorBidi" w:cstheme="majorBidi"/>
        </w:rPr>
        <w:t xml:space="preserve">, a questionnaire approach to allow individual countries to report on the sustainability of fish stocks. The approach 1) provides a framework for meaningful country-level reporting that complements </w:t>
      </w:r>
      <w:r w:rsidR="00BB5B5A">
        <w:rPr>
          <w:rStyle w:val="normaltextrun"/>
          <w:rFonts w:asciiTheme="majorBidi" w:eastAsiaTheme="majorEastAsia" w:hAnsiTheme="majorBidi" w:cstheme="majorBidi"/>
        </w:rPr>
        <w:t xml:space="preserve">and informs </w:t>
      </w:r>
      <w:r w:rsidRPr="00ED7E61">
        <w:rPr>
          <w:rStyle w:val="normaltextrun"/>
          <w:rFonts w:asciiTheme="majorBidi" w:eastAsiaTheme="majorEastAsia" w:hAnsiTheme="majorBidi" w:cstheme="majorBidi"/>
        </w:rPr>
        <w:t>the core methodology of SDG indicator 14.4.1 at the global/regional levels (</w:t>
      </w:r>
      <w:r w:rsidR="004F5559" w:rsidRPr="004F5559">
        <w:rPr>
          <w:rFonts w:asciiTheme="majorBidi" w:eastAsiaTheme="majorEastAsia" w:hAnsiTheme="majorBidi" w:cstheme="majorBidi"/>
          <w:lang w:val="en-CA"/>
        </w:rPr>
        <w:t>Sharma et al. 2025</w:t>
      </w:r>
      <w:r w:rsidRPr="00ED7E61">
        <w:rPr>
          <w:rStyle w:val="normaltextrun"/>
          <w:rFonts w:asciiTheme="majorBidi" w:eastAsiaTheme="majorEastAsia" w:hAnsiTheme="majorBidi" w:cstheme="majorBidi"/>
        </w:rPr>
        <w:t>), and 2) provides countries with simplified methods to carry out fish stock assessment in data-limited contexts, to some extent overcoming the technical barriers that traditional methods presented. This is because country-level reporting will be limited to the assessment of stocks that are found only within a country’s EEZ and/or shared with neighbouring countries’ EEZs, and therefore not include straddling stocks, highly migratory species, or stocks in Areas Beyond National Jurisdiction (ABNJ). </w:t>
      </w:r>
      <w:r w:rsidRPr="00ED7E61">
        <w:rPr>
          <w:rStyle w:val="eop"/>
          <w:rFonts w:asciiTheme="majorBidi" w:eastAsiaTheme="majorEastAsia" w:hAnsiTheme="majorBidi" w:cstheme="majorBidi"/>
        </w:rPr>
        <w:t> </w:t>
      </w:r>
    </w:p>
    <w:p w14:paraId="56B86E5F" w14:textId="05A55992" w:rsidR="002B5C03" w:rsidRPr="00ED7E61" w:rsidRDefault="00756F0F" w:rsidP="00B10F0C">
      <w:pPr>
        <w:pStyle w:val="CBDNormalNumber"/>
        <w:numPr>
          <w:ilvl w:val="0"/>
          <w:numId w:val="32"/>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lastRenderedPageBreak/>
        <w:t>As a result, national data alone cannot be meaningfully aggregated at global/regional levels, but it can be used to inform country progress on fish stock sustainability within the EEZ. </w:t>
      </w:r>
      <w:r w:rsidRPr="00ED7E61">
        <w:rPr>
          <w:rStyle w:val="eop"/>
          <w:rFonts w:asciiTheme="majorBidi" w:eastAsiaTheme="majorEastAsia" w:hAnsiTheme="majorBidi" w:cstheme="majorBidi"/>
        </w:rPr>
        <w:t> </w:t>
      </w:r>
    </w:p>
    <w:p w14:paraId="2851C72D" w14:textId="77777777" w:rsidR="00756F0F" w:rsidRPr="00ED7E61" w:rsidRDefault="00756F0F" w:rsidP="00B10F0C">
      <w:pPr>
        <w:pStyle w:val="CBDNormalNumber"/>
        <w:numPr>
          <w:ilvl w:val="0"/>
          <w:numId w:val="32"/>
        </w:numPr>
        <w:ind w:left="567" w:firstLine="0"/>
        <w:rPr>
          <w:rFonts w:asciiTheme="majorBidi" w:hAnsiTheme="majorBidi" w:cstheme="majorBidi"/>
          <w:color w:val="4A4A4A"/>
        </w:rPr>
      </w:pPr>
      <w:r w:rsidRPr="00ED7E61">
        <w:rPr>
          <w:rStyle w:val="normaltextrun"/>
          <w:rFonts w:asciiTheme="majorBidi" w:eastAsiaTheme="majorEastAsia" w:hAnsiTheme="majorBidi" w:cstheme="majorBidi"/>
        </w:rPr>
        <w:t>In 2019, the FAO began sending a questionnaire to countries to collect national data with the aim to help countries in the reporting process.</w:t>
      </w:r>
      <w:r w:rsidRPr="00ED7E61">
        <w:rPr>
          <w:rStyle w:val="eop"/>
          <w:rFonts w:asciiTheme="majorBidi" w:eastAsiaTheme="majorEastAsia" w:hAnsiTheme="majorBidi" w:cstheme="majorBidi"/>
        </w:rPr>
        <w:t> </w:t>
      </w:r>
    </w:p>
    <w:p w14:paraId="6452E18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5AA33CF4" w14:textId="77777777" w:rsidR="00756F0F" w:rsidRPr="00ED7E61" w:rsidRDefault="00756F0F" w:rsidP="0004367E">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37765FF8" w14:textId="742F332C" w:rsidR="002B5C03" w:rsidRPr="00ED7E61" w:rsidRDefault="00756F0F" w:rsidP="00B10F0C">
      <w:pPr>
        <w:pStyle w:val="CBDNormalNumber"/>
        <w:numPr>
          <w:ilvl w:val="0"/>
          <w:numId w:val="32"/>
        </w:numPr>
        <w:ind w:left="567" w:firstLine="0"/>
        <w:rPr>
          <w:rStyle w:val="normaltextrun"/>
          <w:rFonts w:eastAsiaTheme="majorEastAsia"/>
        </w:rPr>
      </w:pPr>
      <w:r w:rsidRPr="00ED7E61">
        <w:rPr>
          <w:rStyle w:val="normaltextrun"/>
          <w:rFonts w:asciiTheme="majorBidi" w:eastAsiaTheme="majorEastAsia" w:hAnsiTheme="majorBidi" w:cstheme="majorBidi"/>
        </w:rPr>
        <w:t>The indicator, "</w:t>
      </w:r>
      <w:r w:rsidRPr="00FB1598">
        <w:rPr>
          <w:rStyle w:val="normaltextrun"/>
          <w:rFonts w:asciiTheme="majorBidi" w:eastAsiaTheme="majorEastAsia" w:hAnsiTheme="majorBidi" w:cstheme="majorBidi"/>
          <w:i/>
          <w:iCs/>
        </w:rPr>
        <w:t>Proportion of marine fish stocks within biologically sustainable levels</w:t>
      </w:r>
      <w:r w:rsidRPr="00ED7E61">
        <w:rPr>
          <w:rStyle w:val="normaltextrun"/>
          <w:rFonts w:asciiTheme="majorBidi" w:eastAsiaTheme="majorEastAsia" w:hAnsiTheme="majorBidi" w:cstheme="majorBidi"/>
        </w:rPr>
        <w:t>", measures the</w:t>
      </w:r>
      <w:r w:rsidRPr="00ED7E61">
        <w:rPr>
          <w:rStyle w:val="normaltextrun"/>
        </w:rPr>
        <w:t> </w:t>
      </w:r>
      <w:r w:rsidRPr="00ED7E61">
        <w:rPr>
          <w:rStyle w:val="normaltextrun"/>
          <w:rFonts w:asciiTheme="majorBidi" w:eastAsiaTheme="majorEastAsia" w:hAnsiTheme="majorBidi" w:cstheme="majorBidi"/>
        </w:rPr>
        <w:t xml:space="preserve">sustainability of the world's marine capture fisheries by the abundance of the exploited fish stocks </w:t>
      </w:r>
      <w:proofErr w:type="gramStart"/>
      <w:r w:rsidRPr="00ED7E61">
        <w:rPr>
          <w:rStyle w:val="normaltextrun"/>
          <w:rFonts w:asciiTheme="majorBidi" w:eastAsiaTheme="majorEastAsia" w:hAnsiTheme="majorBidi" w:cstheme="majorBidi"/>
        </w:rPr>
        <w:t>with</w:t>
      </w:r>
      <w:r w:rsidRPr="00ED7E61">
        <w:rPr>
          <w:rStyle w:val="normaltextrun"/>
        </w:rPr>
        <w:t> </w:t>
      </w:r>
      <w:r w:rsidR="002B5C03"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respect</w:t>
      </w:r>
      <w:proofErr w:type="gramEnd"/>
      <w:r w:rsidRPr="00ED7E61">
        <w:rPr>
          <w:rStyle w:val="normaltextrun"/>
          <w:rFonts w:asciiTheme="majorBidi" w:eastAsiaTheme="majorEastAsia" w:hAnsiTheme="majorBidi" w:cstheme="majorBidi"/>
        </w:rPr>
        <w:t xml:space="preserve"> to MSY levels.</w:t>
      </w:r>
      <w:r w:rsidRPr="00ED7E61">
        <w:rPr>
          <w:rStyle w:val="normaltextrun"/>
        </w:rPr>
        <w:t> </w:t>
      </w:r>
    </w:p>
    <w:p w14:paraId="454A4714" w14:textId="2BD91CFD"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For each level of reporting (National, Regional, Global) the indicator is calculated as the ratio between the number of exploited fish stocks classified as "</w:t>
      </w:r>
      <w:r w:rsidRPr="00FB1598">
        <w:rPr>
          <w:rStyle w:val="normaltextrun"/>
          <w:rFonts w:asciiTheme="majorBidi" w:eastAsiaTheme="majorEastAsia" w:hAnsiTheme="majorBidi" w:cstheme="majorBidi"/>
          <w:i/>
          <w:iCs/>
        </w:rPr>
        <w:t>within biologically sustainable levels</w:t>
      </w:r>
      <w:r w:rsidRPr="00ED7E61">
        <w:rPr>
          <w:rStyle w:val="normaltextrun"/>
          <w:rFonts w:asciiTheme="majorBidi" w:eastAsiaTheme="majorEastAsia" w:hAnsiTheme="majorBidi" w:cstheme="majorBidi"/>
        </w:rPr>
        <w:t>" and the total number of stocks in the Reference List that were classified with a determined status (within/not within</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biologically sustainable levels</w:t>
      </w:r>
      <w:r w:rsidRPr="00ED7E61">
        <w:rPr>
          <w:rStyle w:val="normaltextrun"/>
          <w:rFonts w:asciiTheme="majorBidi" w:eastAsiaTheme="majorEastAsia" w:hAnsiTheme="majorBidi" w:cstheme="majorBidi"/>
        </w:rPr>
        <w:t>")</w:t>
      </w:r>
      <w:r w:rsidR="002B5C03" w:rsidRPr="00ED7E61">
        <w:rPr>
          <w:rStyle w:val="normaltextrun"/>
          <w:rFonts w:asciiTheme="majorBidi" w:eastAsiaTheme="majorEastAsia" w:hAnsiTheme="majorBidi" w:cstheme="majorBidi"/>
        </w:rPr>
        <w:t>.</w:t>
      </w:r>
    </w:p>
    <w:p w14:paraId="4D9596C4" w14:textId="7640FE2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002F297C" w:rsidRPr="00ED7E61">
        <w:rPr>
          <w:rFonts w:ascii="Arial" w:hAnsi="Arial" w:cs="Arial"/>
          <w:noProof/>
          <w:lang w:val="fr-FR" w:eastAsia="fr-FR"/>
        </w:rPr>
        <w:drawing>
          <wp:inline distT="0" distB="0" distL="0" distR="0" wp14:anchorId="74EC5617" wp14:editId="29AFB282">
            <wp:extent cx="1882140" cy="657225"/>
            <wp:effectExtent l="0" t="0" r="0" b="0"/>
            <wp:docPr id="1" name="Picture 1" descr="A math equation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th equation with numbers and lines&#10;&#10;Description automatically generated"/>
                    <pic:cNvPicPr>
                      <a:picLocks noChangeAspect="1" noChangeArrowheads="1"/>
                    </pic:cNvPicPr>
                  </pic:nvPicPr>
                  <pic:blipFill>
                    <a:blip r:embed="rId342"/>
                    <a:stretch>
                      <a:fillRect/>
                    </a:stretch>
                  </pic:blipFill>
                  <pic:spPr bwMode="auto">
                    <a:xfrm>
                      <a:off x="0" y="0"/>
                      <a:ext cx="1882140" cy="657225"/>
                    </a:xfrm>
                    <a:prstGeom prst="rect">
                      <a:avLst/>
                    </a:prstGeom>
                  </pic:spPr>
                </pic:pic>
              </a:graphicData>
            </a:graphic>
          </wp:inline>
        </w:drawing>
      </w:r>
    </w:p>
    <w:p w14:paraId="7EC5C87F" w14:textId="4339CE7B" w:rsidR="00756F0F" w:rsidRPr="00ED7E61" w:rsidRDefault="002B5C03" w:rsidP="00B10F0C">
      <w:pPr>
        <w:pStyle w:val="CBDNormalNumber"/>
        <w:numPr>
          <w:ilvl w:val="0"/>
          <w:numId w:val="32"/>
        </w:numPr>
        <w:ind w:left="567" w:firstLine="0"/>
        <w:jc w:val="left"/>
        <w:rPr>
          <w:rStyle w:val="normaltextrun"/>
          <w:rFonts w:eastAsiaTheme="majorEastAsia"/>
        </w:rPr>
      </w:pPr>
      <w:r w:rsidRPr="00ED7E61">
        <w:rPr>
          <w:rStyle w:val="normaltextrun"/>
          <w:rFonts w:asciiTheme="majorBidi" w:eastAsiaTheme="majorEastAsia" w:hAnsiTheme="majorBidi" w:cstheme="majorBidi"/>
        </w:rPr>
        <w:t>W</w:t>
      </w:r>
      <w:r w:rsidR="00756F0F" w:rsidRPr="00ED7E61">
        <w:rPr>
          <w:rStyle w:val="normaltextrun"/>
          <w:rFonts w:asciiTheme="majorBidi" w:eastAsiaTheme="majorEastAsia" w:hAnsiTheme="majorBidi" w:cstheme="majorBidi"/>
        </w:rPr>
        <w:t>here Ps is the percentage of stocks classified as "</w:t>
      </w:r>
      <w:r w:rsidR="00756F0F" w:rsidRPr="00FB1598">
        <w:rPr>
          <w:rStyle w:val="normaltextrun"/>
          <w:rFonts w:asciiTheme="majorBidi" w:eastAsiaTheme="majorEastAsia" w:hAnsiTheme="majorBidi" w:cstheme="majorBidi"/>
          <w:i/>
          <w:iCs/>
        </w:rPr>
        <w:t>within biologically sustainable levels</w:t>
      </w:r>
      <w:r w:rsidR="00756F0F" w:rsidRPr="00ED7E61">
        <w:rPr>
          <w:rStyle w:val="normaltextrun"/>
          <w:rFonts w:asciiTheme="majorBidi" w:eastAsiaTheme="majorEastAsia" w:hAnsiTheme="majorBidi" w:cstheme="majorBidi"/>
        </w:rPr>
        <w:t>" for the Reference List of stocks. Ns is the number of stocks in the Reference List classified as "</w:t>
      </w:r>
      <w:r w:rsidR="00756F0F" w:rsidRPr="00FB1598">
        <w:rPr>
          <w:rStyle w:val="normaltextrun"/>
          <w:rFonts w:asciiTheme="majorBidi" w:eastAsiaTheme="majorEastAsia" w:hAnsiTheme="majorBidi" w:cstheme="majorBidi"/>
          <w:i/>
          <w:iCs/>
        </w:rPr>
        <w:t>within biologically sustainable levels</w:t>
      </w:r>
      <w:r w:rsidR="00756F0F" w:rsidRPr="00ED7E61">
        <w:rPr>
          <w:rStyle w:val="normaltextrun"/>
          <w:rFonts w:asciiTheme="majorBidi" w:eastAsiaTheme="majorEastAsia" w:hAnsiTheme="majorBidi" w:cstheme="majorBidi"/>
        </w:rPr>
        <w:t>", Nu is the number of stocks in the Reference List classified as "</w:t>
      </w:r>
      <w:r w:rsidR="00756F0F" w:rsidRPr="00FB1598">
        <w:rPr>
          <w:rStyle w:val="normaltextrun"/>
          <w:rFonts w:asciiTheme="majorBidi" w:eastAsiaTheme="majorEastAsia" w:hAnsiTheme="majorBidi" w:cstheme="majorBidi"/>
          <w:i/>
          <w:iCs/>
        </w:rPr>
        <w:t>outside biologically sustainable levels</w:t>
      </w:r>
      <w:r w:rsidR="00756F0F" w:rsidRPr="00ED7E61">
        <w:rPr>
          <w:rStyle w:val="normaltextrun"/>
          <w:rFonts w:asciiTheme="majorBidi" w:eastAsiaTheme="majorEastAsia" w:hAnsiTheme="majorBidi" w:cstheme="majorBidi"/>
        </w:rPr>
        <w:t>" and N = Ns + Nu is the total number of stocks in the Reference List that have been classified as within or outside "</w:t>
      </w:r>
      <w:r w:rsidR="00756F0F" w:rsidRPr="00FB1598">
        <w:rPr>
          <w:rStyle w:val="normaltextrun"/>
          <w:rFonts w:asciiTheme="majorBidi" w:eastAsiaTheme="majorEastAsia" w:hAnsiTheme="majorBidi" w:cstheme="majorBidi"/>
          <w:i/>
          <w:iCs/>
        </w:rPr>
        <w:t>biologically sustainable levels</w:t>
      </w:r>
      <w:r w:rsidR="00756F0F" w:rsidRPr="00ED7E61">
        <w:rPr>
          <w:rStyle w:val="normaltextrun"/>
          <w:rFonts w:asciiTheme="majorBidi" w:eastAsiaTheme="majorEastAsia" w:hAnsiTheme="majorBidi" w:cstheme="majorBidi"/>
        </w:rPr>
        <w:t>".</w:t>
      </w:r>
      <w:r w:rsidR="00756F0F" w:rsidRPr="00ED7E61">
        <w:rPr>
          <w:rStyle w:val="normaltextrun"/>
        </w:rPr>
        <w:t> </w:t>
      </w:r>
    </w:p>
    <w:p w14:paraId="04A9B48A" w14:textId="77777777" w:rsidR="00756F0F" w:rsidRPr="0004367E" w:rsidRDefault="00756F0F" w:rsidP="0004367E">
      <w:pPr>
        <w:pStyle w:val="CBDNormalNumber"/>
        <w:ind w:left="567"/>
        <w:jc w:val="left"/>
        <w:rPr>
          <w:rFonts w:asciiTheme="majorBidi" w:hAnsiTheme="majorBidi" w:cstheme="majorBidi"/>
          <w:i/>
          <w:iCs/>
        </w:rPr>
      </w:pPr>
      <w:r w:rsidRPr="0004367E">
        <w:rPr>
          <w:rStyle w:val="normaltextrun"/>
          <w:rFonts w:asciiTheme="majorBidi" w:eastAsiaTheme="majorEastAsia" w:hAnsiTheme="majorBidi" w:cstheme="majorBidi"/>
          <w:i/>
          <w:iCs/>
        </w:rPr>
        <w:t>Classifying individual stocks as within/outside "biologically sustainable levels":</w:t>
      </w:r>
      <w:r w:rsidRPr="0004367E">
        <w:rPr>
          <w:rStyle w:val="eop"/>
          <w:rFonts w:asciiTheme="majorBidi" w:eastAsiaTheme="majorEastAsia" w:hAnsiTheme="majorBidi" w:cstheme="majorBidi"/>
          <w:i/>
          <w:iCs/>
        </w:rPr>
        <w:t> </w:t>
      </w:r>
    </w:p>
    <w:p w14:paraId="169E65A7" w14:textId="4933DF4B"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In order to keep consistency with the 14.4 target ("</w:t>
      </w:r>
      <w:r w:rsidRPr="00FB1598">
        <w:rPr>
          <w:rStyle w:val="normaltextrun"/>
          <w:rFonts w:asciiTheme="majorBidi" w:eastAsiaTheme="majorEastAsia" w:hAnsiTheme="majorBidi" w:cstheme="majorBidi"/>
          <w:i/>
          <w:iCs/>
        </w:rPr>
        <w:t>at least to levels that can produce maximum</w:t>
      </w:r>
      <w:r w:rsidRPr="00FB1598">
        <w:rPr>
          <w:rStyle w:val="scxw55407066"/>
          <w:rFonts w:asciiTheme="majorBidi" w:eastAsiaTheme="majorEastAsia" w:hAnsiTheme="majorBidi" w:cstheme="majorBidi"/>
          <w:i/>
          <w:iCs/>
        </w:rPr>
        <w:t> </w:t>
      </w:r>
      <w:r w:rsidRPr="00FB1598">
        <w:rPr>
          <w:rStyle w:val="normaltextrun"/>
          <w:rFonts w:asciiTheme="majorBidi" w:eastAsiaTheme="majorEastAsia" w:hAnsiTheme="majorBidi" w:cstheme="majorBidi"/>
          <w:i/>
          <w:iCs/>
        </w:rPr>
        <w:t>sustainable yield as determined by their biological characteristics</w:t>
      </w:r>
      <w:r w:rsidRPr="00ED7E61">
        <w:rPr>
          <w:rStyle w:val="normaltextrun"/>
          <w:rFonts w:asciiTheme="majorBidi" w:eastAsiaTheme="majorEastAsia" w:hAnsiTheme="majorBidi" w:cstheme="majorBidi"/>
        </w:rPr>
        <w:t>" and other earlier international</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agreements, including the United Nations Convention on the Law of the Sea (UNCLOS), a fish stock is classified as "</w:t>
      </w:r>
      <w:r w:rsidRPr="00FB1598">
        <w:rPr>
          <w:rStyle w:val="normaltextrun"/>
          <w:rFonts w:asciiTheme="majorBidi" w:eastAsiaTheme="majorEastAsia" w:hAnsiTheme="majorBidi" w:cstheme="majorBidi"/>
          <w:i/>
          <w:iCs/>
        </w:rPr>
        <w:t>within biologically sustainable levels</w:t>
      </w:r>
      <w:r w:rsidRPr="00ED7E61">
        <w:rPr>
          <w:rStyle w:val="normaltextrun"/>
          <w:rFonts w:asciiTheme="majorBidi" w:eastAsiaTheme="majorEastAsia" w:hAnsiTheme="majorBidi" w:cstheme="majorBidi"/>
        </w:rPr>
        <w:t>" if its abundance is estimated (considering uncertainty) to be equal to or greater than the level that can produce the Maximum Sustainable Yield (MSY). In contrast, when abundance falls below the MSY level, the stock is classified as "</w:t>
      </w:r>
      <w:r w:rsidRPr="00FB1598">
        <w:rPr>
          <w:rStyle w:val="normaltextrun"/>
          <w:rFonts w:asciiTheme="majorBidi" w:eastAsiaTheme="majorEastAsia" w:hAnsiTheme="majorBidi" w:cstheme="majorBidi"/>
          <w:i/>
          <w:iCs/>
        </w:rPr>
        <w:t>outside biologically sustainable levels</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59A62530" w14:textId="7065FDF0"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A wide array of methods and approaches (including documented expert opinion) is used to classify stock status relative to the abundance producing MSY. This varies among countries, regions and stocks. Nevertheless, the reliability of the classification is assessed by FAO as part of the process of producing the index.</w:t>
      </w:r>
      <w:r w:rsidRPr="00ED7E61">
        <w:rPr>
          <w:rStyle w:val="eop"/>
          <w:rFonts w:asciiTheme="majorBidi" w:eastAsiaTheme="majorEastAsia" w:hAnsiTheme="majorBidi" w:cstheme="majorBidi"/>
        </w:rPr>
        <w:t> </w:t>
      </w:r>
    </w:p>
    <w:p w14:paraId="0B462A1B" w14:textId="3F34F8CB"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Maximum Sustainable Yield (MSY) is commonly defined as the greatest average amount of catch that can be harvested in the long-term from a stock under constant and current environmental conditions</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(e.g. habitat, water conditions, species composition and interactions, and anything that could affect</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birth, growth, or death rates of the stock), without affecting the long-term productivity of the stock. A</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 xml:space="preserve">stock can produce MSY if its abundance is above a certain level, usually around 50% of its unexploited abundance (but actual value can vary around that level, depending on the biological characteristics of the stock). See more at </w:t>
      </w:r>
      <w:hyperlink r:id="rId343" w:tgtFrame="_blank" w:history="1">
        <w:r w:rsidRPr="00ED7E61">
          <w:rPr>
            <w:rStyle w:val="normaltextrun"/>
            <w:rFonts w:asciiTheme="majorBidi" w:eastAsiaTheme="majorEastAsia" w:hAnsiTheme="majorBidi" w:cstheme="majorBidi"/>
            <w:color w:val="467886"/>
            <w:u w:val="single"/>
          </w:rPr>
          <w:t>https://www.fao.org/faoterm/en/?defaultCollId=21</w:t>
        </w:r>
      </w:hyperlink>
      <w:r w:rsidRPr="00ED7E61">
        <w:rPr>
          <w:rStyle w:val="eop"/>
          <w:rFonts w:asciiTheme="majorBidi" w:eastAsiaTheme="majorEastAsia" w:hAnsiTheme="majorBidi" w:cstheme="majorBidi"/>
        </w:rPr>
        <w:t> </w:t>
      </w:r>
    </w:p>
    <w:p w14:paraId="70E83DA1" w14:textId="7B2D9A63"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MSY-based reference points are the most common type of reference points used in fisheries</w:t>
      </w:r>
      <w:r w:rsidRPr="00ED7E61">
        <w:rPr>
          <w:rStyle w:val="scxw55407066"/>
          <w:rFonts w:asciiTheme="majorBidi" w:eastAsiaTheme="majorEastAsia" w:hAnsiTheme="majorBidi" w:cstheme="majorBidi"/>
        </w:rPr>
        <w:t> </w:t>
      </w:r>
      <w:r w:rsidRPr="00ED7E61">
        <w:rPr>
          <w:rFonts w:asciiTheme="majorBidi" w:hAnsiTheme="majorBidi" w:cstheme="majorBidi"/>
        </w:rPr>
        <w:br/>
      </w:r>
      <w:r w:rsidRPr="00ED7E61">
        <w:rPr>
          <w:rStyle w:val="normaltextrun"/>
          <w:rFonts w:asciiTheme="majorBidi" w:eastAsiaTheme="majorEastAsia" w:hAnsiTheme="majorBidi" w:cstheme="majorBidi"/>
        </w:rPr>
        <w:t>management today. This is primarily because, for decades, reference points from surplus production</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 xml:space="preserve">models have most often been set based on the concept of MSY and they are the basic benchmarks for the sustainability of fisheries set by the UN Convention on the Law of the Sea </w:t>
      </w:r>
      <w:r w:rsidRPr="00ED7E61">
        <w:rPr>
          <w:rStyle w:val="normaltextrun"/>
          <w:rFonts w:asciiTheme="majorBidi" w:eastAsiaTheme="majorEastAsia" w:hAnsiTheme="majorBidi" w:cstheme="majorBidi"/>
        </w:rPr>
        <w:lastRenderedPageBreak/>
        <w:t>(UNCLOS, Article 61(3)). For more on Reference Points in Fish Stock Assessment, see Caddy and Mahon (1995), Cadima (2003) or Haddon (2011).</w:t>
      </w:r>
      <w:r w:rsidRPr="00ED7E61">
        <w:rPr>
          <w:rStyle w:val="eop"/>
          <w:rFonts w:asciiTheme="majorBidi" w:eastAsiaTheme="majorEastAsia" w:hAnsiTheme="majorBidi" w:cstheme="majorBidi"/>
        </w:rPr>
        <w:t> </w:t>
      </w:r>
    </w:p>
    <w:p w14:paraId="08FCDA9D" w14:textId="46E71DA2"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BMSY: Biomass corresponding to Maximum Sustainable Yield from a production model or from an age- based analysis using a stock recruitment model. Often used as a biological reference point in fisheries management, it is the calculated long-term average biomass value expected if fishing at FMSY.</w:t>
      </w:r>
      <w:r w:rsidRPr="00ED7E61">
        <w:rPr>
          <w:rStyle w:val="eop"/>
          <w:rFonts w:asciiTheme="majorBidi" w:eastAsiaTheme="majorEastAsia" w:hAnsiTheme="majorBidi" w:cstheme="majorBidi"/>
        </w:rPr>
        <w:t> </w:t>
      </w:r>
    </w:p>
    <w:p w14:paraId="7F85BC58" w14:textId="5D9A8172"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A population is: “</w:t>
      </w:r>
      <w:r w:rsidRPr="00FB1598">
        <w:rPr>
          <w:rStyle w:val="normaltextrun"/>
          <w:rFonts w:asciiTheme="majorBidi" w:eastAsiaTheme="majorEastAsia" w:hAnsiTheme="majorBidi" w:cstheme="majorBidi"/>
          <w:i/>
          <w:iCs/>
        </w:rPr>
        <w:t>A group of individuals of the same species living in the same area at the same time and sharing a common gene pool, with little or no immigration or emigration</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78B252D2" w14:textId="495551E7"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A biological stock is: “</w:t>
      </w:r>
      <w:r w:rsidRPr="00FB1598">
        <w:rPr>
          <w:rStyle w:val="normaltextrun"/>
          <w:rFonts w:asciiTheme="majorBidi" w:eastAsiaTheme="majorEastAsia" w:hAnsiTheme="majorBidi" w:cstheme="majorBidi"/>
          <w:i/>
          <w:iCs/>
        </w:rPr>
        <w:t>A subpopulation of a species inhabiting a particular geographic area, having</w:t>
      </w:r>
      <w:r w:rsidRPr="00FB1598">
        <w:rPr>
          <w:rStyle w:val="scxw55407066"/>
          <w:rFonts w:asciiTheme="majorBidi" w:eastAsiaTheme="majorEastAsia" w:hAnsiTheme="majorBidi" w:cstheme="majorBidi"/>
          <w:i/>
          <w:iCs/>
        </w:rPr>
        <w:t> </w:t>
      </w:r>
      <w:r w:rsidRPr="00FB1598">
        <w:rPr>
          <w:rStyle w:val="normaltextrun"/>
          <w:rFonts w:asciiTheme="majorBidi" w:eastAsiaTheme="majorEastAsia" w:hAnsiTheme="majorBidi" w:cstheme="majorBidi"/>
          <w:i/>
          <w:iCs/>
        </w:rPr>
        <w:t>similar biological characteristics (e.g. growth, reproduction, mortality) and negligible genetic mixing with other adjacent subpopulations of the same species</w:t>
      </w:r>
      <w:r w:rsidRPr="00ED7E61">
        <w:rPr>
          <w:rStyle w:val="normaltextrun"/>
          <w:rFonts w:asciiTheme="majorBidi" w:eastAsiaTheme="majorEastAsia" w:hAnsiTheme="majorBidi" w:cstheme="majorBidi"/>
        </w:rPr>
        <w:t>." (FAO, 2004-2021).</w:t>
      </w:r>
      <w:r w:rsidRPr="00ED7E61">
        <w:rPr>
          <w:rStyle w:val="eop"/>
          <w:rFonts w:asciiTheme="majorBidi" w:eastAsiaTheme="majorEastAsia" w:hAnsiTheme="majorBidi" w:cstheme="majorBidi"/>
        </w:rPr>
        <w:t> </w:t>
      </w:r>
    </w:p>
    <w:p w14:paraId="15B78874" w14:textId="0EE1BB48"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The Reference List of Stocks: it is not possible to classify the sustainability of exploitation for all the</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exploited stocks from a country, region or the world. Therefore, the indicator must be calculated based on a subset of these stocks. The list of the stocks that are classified for status and used to calculate the indicators is called the "</w:t>
      </w:r>
      <w:r w:rsidRPr="00FB1598">
        <w:rPr>
          <w:rStyle w:val="normaltextrun"/>
          <w:rFonts w:asciiTheme="majorBidi" w:eastAsiaTheme="majorEastAsia" w:hAnsiTheme="majorBidi" w:cstheme="majorBidi"/>
          <w:i/>
          <w:iCs/>
        </w:rPr>
        <w:t>Reference List of Stocks</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7810686E" w14:textId="43252219" w:rsidR="002B5C03" w:rsidRPr="00ED7E61" w:rsidRDefault="00756F0F" w:rsidP="004342DB">
      <w:pPr>
        <w:pStyle w:val="CBDNormalNumber"/>
        <w:numPr>
          <w:ilvl w:val="0"/>
          <w:numId w:val="32"/>
        </w:numPr>
        <w:ind w:left="567" w:firstLine="0"/>
        <w:jc w:val="left"/>
        <w:rPr>
          <w:rStyle w:val="normaltextrun"/>
          <w:rFonts w:asciiTheme="majorBidi" w:hAnsiTheme="majorBidi" w:cstheme="majorBidi"/>
        </w:rPr>
      </w:pPr>
      <w:r w:rsidRPr="00ED7E61">
        <w:rPr>
          <w:rStyle w:val="normaltextrun"/>
          <w:rFonts w:asciiTheme="majorBidi" w:eastAsiaTheme="majorEastAsia" w:hAnsiTheme="majorBidi" w:cstheme="majorBidi"/>
        </w:rPr>
        <w:t>The Reference List of Stocks is built differently for the Regional/Global and the National levels. The</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 xml:space="preserve">process of building the Reference List of Stocks for regional and global level are described in </w:t>
      </w:r>
      <w:r w:rsidR="004342DB" w:rsidRPr="004342DB">
        <w:rPr>
          <w:rFonts w:asciiTheme="majorBidi" w:eastAsiaTheme="majorEastAsia" w:hAnsiTheme="majorBidi" w:cstheme="majorBidi"/>
          <w:lang w:val="en-CA"/>
        </w:rPr>
        <w:t xml:space="preserve">Sharma et al. 2025. The 2025 FAO publication updated and expanded the Regional/Global reference lists, reconciling them to the previous methodology (FAO 2011) by using the finest level of resolution to obtain a more comprehensive list, which includes National level stocks, linking the three levels (national, regional, global) of the </w:t>
      </w:r>
      <w:proofErr w:type="gramStart"/>
      <w:r w:rsidR="004342DB" w:rsidRPr="004342DB">
        <w:rPr>
          <w:rFonts w:asciiTheme="majorBidi" w:eastAsiaTheme="majorEastAsia" w:hAnsiTheme="majorBidi" w:cstheme="majorBidi"/>
          <w:lang w:val="en-CA"/>
        </w:rPr>
        <w:t>indicator.</w:t>
      </w:r>
      <w:r w:rsidRPr="00ED7E61">
        <w:rPr>
          <w:rStyle w:val="normaltextrun"/>
          <w:rFonts w:asciiTheme="majorBidi" w:eastAsiaTheme="majorEastAsia" w:hAnsiTheme="majorBidi" w:cstheme="majorBidi"/>
        </w:rPr>
        <w:t>.</w:t>
      </w:r>
      <w:proofErr w:type="gramEnd"/>
      <w:r w:rsidRPr="00ED7E61">
        <w:rPr>
          <w:rStyle w:val="normaltextrun"/>
          <w:rFonts w:asciiTheme="majorBidi" w:eastAsiaTheme="majorEastAsia" w:hAnsiTheme="majorBidi" w:cstheme="majorBidi"/>
        </w:rPr>
        <w:t xml:space="preserve"> At National level, countries are requested to define a list of stocks, based on an agreed set of criteria (Appendix 1). National and shared stocks can be </w:t>
      </w:r>
      <w:proofErr w:type="gramStart"/>
      <w:r w:rsidRPr="00ED7E61">
        <w:rPr>
          <w:rStyle w:val="normaltextrun"/>
          <w:rFonts w:asciiTheme="majorBidi" w:eastAsiaTheme="majorEastAsia" w:hAnsiTheme="majorBidi" w:cstheme="majorBidi"/>
        </w:rPr>
        <w:t>included, but</w:t>
      </w:r>
      <w:proofErr w:type="gramEnd"/>
      <w:r w:rsidRPr="00ED7E61">
        <w:rPr>
          <w:rStyle w:val="normaltextrun"/>
          <w:rFonts w:asciiTheme="majorBidi" w:eastAsiaTheme="majorEastAsia" w:hAnsiTheme="majorBidi" w:cstheme="majorBidi"/>
        </w:rPr>
        <w:t xml:space="preserve"> not straddling stocks (stocks that are distributed both in national EEZ and Areas Beyond National Jurisdiction).</w:t>
      </w:r>
      <w:r w:rsidRPr="00ED7E61">
        <w:rPr>
          <w:rStyle w:val="scxw55407066"/>
          <w:rFonts w:asciiTheme="majorBidi" w:eastAsiaTheme="majorEastAsia" w:hAnsiTheme="majorBidi" w:cstheme="majorBidi"/>
        </w:rPr>
        <w:t> </w:t>
      </w:r>
      <w:r w:rsidR="002B5C03" w:rsidRPr="00ED7E61">
        <w:rPr>
          <w:rStyle w:val="scxw55407066"/>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At this moment, there is not a direct correspondence between the national level Reference Lists (that are defined by each country) and the regional and global Reference lists (that are defined by FAO).</w:t>
      </w:r>
      <w:r w:rsidRPr="00ED7E61">
        <w:rPr>
          <w:rStyle w:val="scxw55407066"/>
          <w:rFonts w:asciiTheme="majorBidi" w:eastAsiaTheme="majorEastAsia" w:hAnsiTheme="majorBidi" w:cstheme="majorBidi"/>
        </w:rPr>
        <w:t> </w:t>
      </w:r>
    </w:p>
    <w:p w14:paraId="300023E6" w14:textId="59C64462"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The detailed description of all necessary concepts can be found in the e-learning course (FAO 2019-2021</w:t>
      </w:r>
      <w:r w:rsidRPr="00ED7E61">
        <w:rPr>
          <w:rStyle w:val="eop"/>
          <w:rFonts w:asciiTheme="majorBidi" w:eastAsiaTheme="majorEastAsia" w:hAnsiTheme="majorBidi" w:cstheme="majorBidi"/>
        </w:rPr>
        <w:t> </w:t>
      </w:r>
    </w:p>
    <w:p w14:paraId="0A7DD230" w14:textId="77777777"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Unit of measure: Percent %</w:t>
      </w:r>
      <w:r w:rsidRPr="00ED7E61">
        <w:rPr>
          <w:rStyle w:val="eop"/>
          <w:rFonts w:asciiTheme="majorBidi" w:eastAsiaTheme="majorEastAsia" w:hAnsiTheme="majorBidi" w:cstheme="majorBidi"/>
        </w:rPr>
        <w:t> </w:t>
      </w:r>
    </w:p>
    <w:p w14:paraId="17F5434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3E4B3A87" w14:textId="4D08C651" w:rsidR="002B5C03" w:rsidRPr="00ED7E61" w:rsidRDefault="00756F0F" w:rsidP="00D5520B">
      <w:pPr>
        <w:pStyle w:val="CBDNormalNumber"/>
        <w:numPr>
          <w:ilvl w:val="0"/>
          <w:numId w:val="32"/>
        </w:numPr>
        <w:ind w:left="567" w:firstLine="0"/>
        <w:jc w:val="left"/>
        <w:rPr>
          <w:rStyle w:val="normaltextrun"/>
          <w:rFonts w:eastAsiaTheme="majorEastAsia"/>
        </w:rPr>
      </w:pPr>
      <w:r w:rsidRPr="00ED7E61">
        <w:rPr>
          <w:rStyle w:val="normaltextrun"/>
          <w:rFonts w:asciiTheme="majorBidi" w:eastAsiaTheme="majorEastAsia" w:hAnsiTheme="majorBidi" w:cstheme="majorBidi"/>
        </w:rPr>
        <w:t>FAO currently reports the global and regional indicators calculated from FAO’s assessment of a selected list of fish stocks around the world. The methodology is described in the FAO Technical Paper</w:t>
      </w:r>
      <w:r w:rsidR="00D5520B">
        <w:rPr>
          <w:rStyle w:val="normaltextrun"/>
          <w:rFonts w:asciiTheme="majorBidi" w:eastAsiaTheme="majorEastAsia" w:hAnsiTheme="majorBidi" w:cstheme="majorBidi"/>
        </w:rPr>
        <w:t xml:space="preserve"> </w:t>
      </w:r>
      <w:r w:rsidR="00D5520B" w:rsidRPr="00D5520B">
        <w:rPr>
          <w:rFonts w:asciiTheme="majorBidi" w:eastAsiaTheme="majorEastAsia" w:hAnsiTheme="majorBidi" w:cstheme="majorBidi"/>
          <w:lang w:val="en-CA"/>
        </w:rPr>
        <w:t xml:space="preserve">(Sharma et al. 2025), updated from FAO (2011), </w:t>
      </w:r>
    </w:p>
    <w:p w14:paraId="3FB180A2" w14:textId="37310BCF" w:rsidR="002B5C03" w:rsidRPr="00ED7E61" w:rsidRDefault="00756F0F" w:rsidP="00B10F0C">
      <w:pPr>
        <w:pStyle w:val="CBDNormalNumber"/>
        <w:numPr>
          <w:ilvl w:val="0"/>
          <w:numId w:val="32"/>
        </w:numPr>
        <w:ind w:left="567" w:firstLine="0"/>
        <w:jc w:val="left"/>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FAO has </w:t>
      </w:r>
      <w:r w:rsidR="007029D9">
        <w:rPr>
          <w:rStyle w:val="normaltextrun"/>
          <w:rFonts w:asciiTheme="majorBidi" w:eastAsiaTheme="majorEastAsia" w:hAnsiTheme="majorBidi" w:cstheme="majorBidi"/>
        </w:rPr>
        <w:t>worked to</w:t>
      </w:r>
      <w:r w:rsidR="007029D9"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develop the new approach for </w:t>
      </w:r>
      <w:r w:rsidR="007029D9">
        <w:rPr>
          <w:rStyle w:val="normaltextrun"/>
          <w:rFonts w:asciiTheme="majorBidi" w:eastAsiaTheme="majorEastAsia" w:hAnsiTheme="majorBidi" w:cstheme="majorBidi"/>
        </w:rPr>
        <w:t>national</w:t>
      </w:r>
      <w:r w:rsidRPr="00ED7E61">
        <w:rPr>
          <w:rStyle w:val="normaltextrun"/>
          <w:rFonts w:asciiTheme="majorBidi" w:eastAsiaTheme="majorEastAsia" w:hAnsiTheme="majorBidi" w:cstheme="majorBidi"/>
        </w:rPr>
        <w:t xml:space="preserve">-level reporting since </w:t>
      </w:r>
      <w:proofErr w:type="gramStart"/>
      <w:r w:rsidRPr="00ED7E61">
        <w:rPr>
          <w:rStyle w:val="normaltextrun"/>
          <w:rFonts w:asciiTheme="majorBidi" w:eastAsiaTheme="majorEastAsia" w:hAnsiTheme="majorBidi" w:cstheme="majorBidi"/>
        </w:rPr>
        <w:t>2017, and</w:t>
      </w:r>
      <w:proofErr w:type="gramEnd"/>
      <w:r w:rsidRPr="00ED7E61">
        <w:rPr>
          <w:rStyle w:val="normaltextrun"/>
          <w:rFonts w:asciiTheme="majorBidi" w:eastAsiaTheme="majorEastAsia" w:hAnsiTheme="majorBidi" w:cstheme="majorBidi"/>
        </w:rPr>
        <w:t xml:space="preserve"> has consulted with countries in three dedicated expert consultation workshops: In November 2017, FAO convened a workshop to exchange views with national practitioners on the new proposed analytical methods to produce Indicator 14.4.1 at country level1. In February 2019, FAO convened an expert consultation workshop on development of the methodologies for the global assessment of fish stock status, with participants from countries and regional fisheries organizations. </w:t>
      </w:r>
      <w:proofErr w:type="gramStart"/>
      <w:r w:rsidRPr="00ED7E61">
        <w:rPr>
          <w:rStyle w:val="normaltextrun"/>
          <w:rFonts w:asciiTheme="majorBidi" w:eastAsiaTheme="majorEastAsia" w:hAnsiTheme="majorBidi" w:cstheme="majorBidi"/>
        </w:rPr>
        <w:t>In order to</w:t>
      </w:r>
      <w:proofErr w:type="gramEnd"/>
      <w:r w:rsidRPr="00ED7E61">
        <w:rPr>
          <w:rStyle w:val="normaltextrun"/>
          <w:rFonts w:asciiTheme="majorBidi" w:eastAsiaTheme="majorEastAsia" w:hAnsiTheme="majorBidi" w:cstheme="majorBidi"/>
        </w:rPr>
        <w:t xml:space="preserve"> help countries reporting on the indicator, FAO then organized a series of capacity development workshops on stock status assessment and estimation methods of SDG Indicator 14.4.1 for various regions.</w:t>
      </w:r>
      <w:r w:rsidRPr="00ED7E61">
        <w:rPr>
          <w:rStyle w:val="scxw55407066"/>
          <w:rFonts w:asciiTheme="majorBidi" w:eastAsiaTheme="majorEastAsia" w:hAnsiTheme="majorBidi" w:cstheme="majorBidi"/>
        </w:rPr>
        <w:t> </w:t>
      </w:r>
    </w:p>
    <w:p w14:paraId="533B6519" w14:textId="60D1DC3E" w:rsidR="002B5C03" w:rsidRPr="00ED7E61" w:rsidRDefault="00756F0F" w:rsidP="00B10F0C">
      <w:pPr>
        <w:pStyle w:val="CBDNormalNumber"/>
        <w:numPr>
          <w:ilvl w:val="0"/>
          <w:numId w:val="32"/>
        </w:numPr>
        <w:ind w:left="567" w:firstLine="0"/>
        <w:jc w:val="left"/>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In November 2019, FAO dispatched the first SDG14.4.1 questionnaire calling countries to report on their national indicator. Eighty-three countries submitted their questionnaire and three reported</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independently. FAO has reported the full results of this first inquiry through UNSD in February 2022.</w:t>
      </w:r>
      <w:r w:rsidRPr="00ED7E61">
        <w:rPr>
          <w:rStyle w:val="scxw55407066"/>
          <w:rFonts w:asciiTheme="majorBidi" w:eastAsiaTheme="majorEastAsia" w:hAnsiTheme="majorBidi" w:cstheme="majorBidi"/>
        </w:rPr>
        <w:t> </w:t>
      </w:r>
    </w:p>
    <w:p w14:paraId="665FA6DC" w14:textId="53D20FE7" w:rsidR="00756F0F" w:rsidRPr="00ED7E61" w:rsidRDefault="00756F0F" w:rsidP="00B10F0C">
      <w:pPr>
        <w:pStyle w:val="CBDNormalNumber"/>
        <w:numPr>
          <w:ilvl w:val="0"/>
          <w:numId w:val="32"/>
        </w:numPr>
        <w:ind w:left="567" w:firstLine="0"/>
        <w:jc w:val="left"/>
        <w:rPr>
          <w:rStyle w:val="eop"/>
          <w:rFonts w:asciiTheme="majorBidi" w:eastAsiaTheme="majorEastAsia" w:hAnsiTheme="majorBidi" w:cstheme="majorBidi"/>
        </w:rPr>
      </w:pPr>
      <w:r w:rsidRPr="00ED7E61">
        <w:rPr>
          <w:rStyle w:val="normaltextrun"/>
          <w:rFonts w:asciiTheme="majorBidi" w:eastAsiaTheme="majorEastAsia" w:hAnsiTheme="majorBidi" w:cstheme="majorBidi"/>
        </w:rPr>
        <w:lastRenderedPageBreak/>
        <w:t>For each level of reporting (National, Regional, Global) the indicator is calculated as the ratio between the number of exploited fish stocks classified as "</w:t>
      </w:r>
      <w:r w:rsidRPr="00FB1598">
        <w:rPr>
          <w:rStyle w:val="normaltextrun"/>
          <w:rFonts w:asciiTheme="majorBidi" w:eastAsiaTheme="majorEastAsia" w:hAnsiTheme="majorBidi" w:cstheme="majorBidi"/>
          <w:i/>
          <w:iCs/>
        </w:rPr>
        <w:t>within biologically sustainable levels</w:t>
      </w:r>
      <w:r w:rsidRPr="00ED7E61">
        <w:rPr>
          <w:rStyle w:val="normaltextrun"/>
          <w:rFonts w:asciiTheme="majorBidi" w:eastAsiaTheme="majorEastAsia" w:hAnsiTheme="majorBidi" w:cstheme="majorBidi"/>
        </w:rPr>
        <w:t>" and the total number of stocks in the Reference List that were classified with a determined status (within/not within</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biologically sustainable levels</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7E912D52" w14:textId="25D6BDA5" w:rsidR="00756F0F" w:rsidRPr="00ED7E61" w:rsidRDefault="004F77DE"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wacimagecontainer"/>
          <w:rFonts w:asciiTheme="majorBidi" w:eastAsiaTheme="majorEastAsia" w:hAnsiTheme="majorBidi" w:cstheme="majorBidi"/>
          <w:noProof/>
          <w:color w:val="000000"/>
          <w:sz w:val="22"/>
          <w:szCs w:val="22"/>
          <w:shd w:val="clear" w:color="auto" w:fill="FFFFFF"/>
          <w:lang w:val="fr-FR" w:eastAsia="fr-FR"/>
        </w:rPr>
        <w:drawing>
          <wp:inline distT="0" distB="0" distL="0" distR="0" wp14:anchorId="468EF1DD" wp14:editId="6F1C257A">
            <wp:extent cx="3048000" cy="1064000"/>
            <wp:effectExtent l="0" t="0" r="0" b="3175"/>
            <wp:docPr id="588509168" name="Picture 8" descr="A math equation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09168" name="Picture 8" descr="A math equation with numbers and lines&#10;&#10;Description automatically generated"/>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3059520" cy="1068021"/>
                    </a:xfrm>
                    <a:prstGeom prst="rect">
                      <a:avLst/>
                    </a:prstGeom>
                    <a:noFill/>
                    <a:ln>
                      <a:noFill/>
                    </a:ln>
                  </pic:spPr>
                </pic:pic>
              </a:graphicData>
            </a:graphic>
          </wp:inline>
        </w:drawing>
      </w:r>
      <w:r w:rsidRPr="00ED7E61">
        <w:rPr>
          <w:rFonts w:asciiTheme="majorBidi" w:hAnsiTheme="majorBidi" w:cstheme="majorBidi"/>
          <w:color w:val="000000"/>
          <w:sz w:val="22"/>
          <w:szCs w:val="22"/>
          <w:shd w:val="clear" w:color="auto" w:fill="FFFFFF"/>
          <w:lang w:val="en-GB"/>
        </w:rPr>
        <w:br/>
      </w:r>
      <w:r w:rsidR="00756F0F" w:rsidRPr="00ED7E61">
        <w:rPr>
          <w:rStyle w:val="eop"/>
          <w:rFonts w:asciiTheme="majorBidi" w:eastAsiaTheme="majorEastAsia" w:hAnsiTheme="majorBidi" w:cstheme="majorBidi"/>
          <w:sz w:val="22"/>
          <w:szCs w:val="22"/>
        </w:rPr>
        <w:t> </w:t>
      </w:r>
    </w:p>
    <w:p w14:paraId="2284961B" w14:textId="77777777" w:rsidR="00756F0F" w:rsidRPr="00ED7E61" w:rsidRDefault="00756F0F" w:rsidP="005C6EA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where Ps is the percent of stocks classified as "</w:t>
      </w:r>
      <w:r w:rsidRPr="00FB1598">
        <w:rPr>
          <w:rStyle w:val="normaltextrun"/>
          <w:rFonts w:asciiTheme="majorBidi" w:eastAsiaTheme="majorEastAsia" w:hAnsiTheme="majorBidi" w:cstheme="majorBidi"/>
          <w:i/>
          <w:iCs/>
          <w:sz w:val="22"/>
          <w:szCs w:val="22"/>
          <w:lang w:val="en-GB"/>
        </w:rPr>
        <w:t>within biologically sustainable levels</w:t>
      </w:r>
      <w:r w:rsidRPr="00ED7E61">
        <w:rPr>
          <w:rStyle w:val="normaltextrun"/>
          <w:rFonts w:asciiTheme="majorBidi" w:eastAsiaTheme="majorEastAsia" w:hAnsiTheme="majorBidi" w:cstheme="majorBidi"/>
          <w:sz w:val="22"/>
          <w:szCs w:val="22"/>
          <w:lang w:val="en-GB"/>
        </w:rPr>
        <w:t>" for the Reference List of stocks. Ns is the number of stocks in the Reference List classified as "</w:t>
      </w:r>
      <w:r w:rsidRPr="00FB1598">
        <w:rPr>
          <w:rStyle w:val="normaltextrun"/>
          <w:rFonts w:asciiTheme="majorBidi" w:eastAsiaTheme="majorEastAsia" w:hAnsiTheme="majorBidi" w:cstheme="majorBidi"/>
          <w:i/>
          <w:iCs/>
          <w:sz w:val="22"/>
          <w:szCs w:val="22"/>
          <w:lang w:val="en-GB"/>
        </w:rPr>
        <w:t>within biologically sustainable levels</w:t>
      </w:r>
      <w:r w:rsidRPr="00ED7E61">
        <w:rPr>
          <w:rStyle w:val="normaltextrun"/>
          <w:rFonts w:asciiTheme="majorBidi" w:eastAsiaTheme="majorEastAsia" w:hAnsiTheme="majorBidi" w:cstheme="majorBidi"/>
          <w:sz w:val="22"/>
          <w:szCs w:val="22"/>
          <w:lang w:val="en-GB"/>
        </w:rPr>
        <w:t>", Nu is the number of stocks in the Reference List classified as "</w:t>
      </w:r>
      <w:r w:rsidRPr="00FB1598">
        <w:rPr>
          <w:rStyle w:val="normaltextrun"/>
          <w:rFonts w:asciiTheme="majorBidi" w:eastAsiaTheme="majorEastAsia" w:hAnsiTheme="majorBidi" w:cstheme="majorBidi"/>
          <w:i/>
          <w:iCs/>
          <w:sz w:val="22"/>
          <w:szCs w:val="22"/>
          <w:lang w:val="en-GB"/>
        </w:rPr>
        <w:t>outside biologically sustainable Levels</w:t>
      </w:r>
      <w:r w:rsidRPr="00ED7E61">
        <w:rPr>
          <w:rStyle w:val="normaltextrun"/>
          <w:rFonts w:asciiTheme="majorBidi" w:eastAsiaTheme="majorEastAsia" w:hAnsiTheme="majorBidi" w:cstheme="majorBidi"/>
          <w:sz w:val="22"/>
          <w:szCs w:val="22"/>
          <w:lang w:val="en-GB"/>
        </w:rPr>
        <w:t>" and N = Ns + Nu is the total number of stocks in the Reference List that have been classified as within or outside "</w:t>
      </w:r>
      <w:r w:rsidRPr="00FB1598">
        <w:rPr>
          <w:rStyle w:val="normaltextrun"/>
          <w:rFonts w:asciiTheme="majorBidi" w:eastAsiaTheme="majorEastAsia" w:hAnsiTheme="majorBidi" w:cstheme="majorBidi"/>
          <w:i/>
          <w:iCs/>
          <w:sz w:val="22"/>
          <w:szCs w:val="22"/>
          <w:lang w:val="en-GB"/>
        </w:rPr>
        <w:t>biologically sustainable levels</w:t>
      </w:r>
      <w:r w:rsidRPr="00ED7E61">
        <w:rPr>
          <w:rStyle w:val="normaltextrun"/>
          <w:rFonts w:asciiTheme="majorBidi" w:eastAsiaTheme="majorEastAsia"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537F5243" w14:textId="77777777" w:rsidR="00756F0F" w:rsidRPr="00ED7E61" w:rsidRDefault="00756F0F" w:rsidP="005B0D1E">
      <w:pPr>
        <w:pStyle w:val="CBDNormalNumber"/>
        <w:jc w:val="left"/>
        <w:rPr>
          <w:rFonts w:asciiTheme="majorBidi" w:hAnsiTheme="majorBidi" w:cstheme="majorBidi"/>
        </w:rPr>
      </w:pPr>
      <w:r w:rsidRPr="00ED7E61">
        <w:rPr>
          <w:rStyle w:val="normaltextrun"/>
          <w:rFonts w:asciiTheme="majorBidi" w:eastAsiaTheme="majorEastAsia" w:hAnsiTheme="majorBidi" w:cstheme="majorBidi"/>
        </w:rPr>
        <w:t>Classifying individual stocks as within/outside "</w:t>
      </w:r>
      <w:r w:rsidRPr="00FB1598">
        <w:rPr>
          <w:rStyle w:val="normaltextrun"/>
          <w:rFonts w:asciiTheme="majorBidi" w:eastAsiaTheme="majorEastAsia" w:hAnsiTheme="majorBidi" w:cstheme="majorBidi"/>
          <w:i/>
          <w:iCs/>
        </w:rPr>
        <w:t>biologically sustainable levels</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6FC700DB" w14:textId="669879A3"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In order to keep consistency with the 14.4 target ("</w:t>
      </w:r>
      <w:r w:rsidRPr="00FB1598">
        <w:rPr>
          <w:rStyle w:val="normaltextrun"/>
          <w:rFonts w:asciiTheme="majorBidi" w:eastAsiaTheme="majorEastAsia" w:hAnsiTheme="majorBidi" w:cstheme="majorBidi"/>
          <w:i/>
          <w:iCs/>
        </w:rPr>
        <w:t>at least to levels that can produce maximum</w:t>
      </w:r>
      <w:r w:rsidRPr="00FB1598">
        <w:rPr>
          <w:rStyle w:val="scxw55407066"/>
          <w:rFonts w:asciiTheme="majorBidi" w:eastAsiaTheme="majorEastAsia" w:hAnsiTheme="majorBidi" w:cstheme="majorBidi"/>
          <w:i/>
          <w:iCs/>
        </w:rPr>
        <w:t> </w:t>
      </w:r>
      <w:r w:rsidRPr="00FB1598">
        <w:rPr>
          <w:rStyle w:val="normaltextrun"/>
          <w:rFonts w:asciiTheme="majorBidi" w:eastAsiaTheme="majorEastAsia" w:hAnsiTheme="majorBidi" w:cstheme="majorBidi"/>
          <w:i/>
          <w:iCs/>
        </w:rPr>
        <w:t>sustainable yield as determined by their biological characteristic</w:t>
      </w:r>
      <w:r w:rsidRPr="00ED7E61">
        <w:rPr>
          <w:rStyle w:val="normaltextrun"/>
          <w:rFonts w:asciiTheme="majorBidi" w:eastAsiaTheme="majorEastAsia" w:hAnsiTheme="majorBidi" w:cstheme="majorBidi"/>
        </w:rPr>
        <w:t>s" and other earlier international</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agreements, including the United Nations Convention on the Law of the Sea (UNCLOS)), a fish stock is classified as "</w:t>
      </w:r>
      <w:r w:rsidRPr="00FB1598">
        <w:rPr>
          <w:rStyle w:val="normaltextrun"/>
          <w:rFonts w:asciiTheme="majorBidi" w:eastAsiaTheme="majorEastAsia" w:hAnsiTheme="majorBidi" w:cstheme="majorBidi"/>
          <w:i/>
          <w:iCs/>
        </w:rPr>
        <w:t>within biologically sustainable levels</w:t>
      </w:r>
      <w:r w:rsidRPr="00ED7E61">
        <w:rPr>
          <w:rStyle w:val="normaltextrun"/>
          <w:rFonts w:asciiTheme="majorBidi" w:eastAsiaTheme="majorEastAsia" w:hAnsiTheme="majorBidi" w:cstheme="majorBidi"/>
        </w:rPr>
        <w:t>" if its abundance is estimated to be (considering</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uncertainty) at or greater than the level that can produce the Maximum Sustainable Yield (MSY). In</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contrast, when abundance falls below the MSY level, the stock is classified as "</w:t>
      </w:r>
      <w:r w:rsidRPr="00FB1598">
        <w:rPr>
          <w:rStyle w:val="normaltextrun"/>
          <w:rFonts w:asciiTheme="majorBidi" w:eastAsiaTheme="majorEastAsia" w:hAnsiTheme="majorBidi" w:cstheme="majorBidi"/>
          <w:i/>
          <w:iCs/>
        </w:rPr>
        <w:t>outside biologically</w:t>
      </w:r>
      <w:r w:rsidRPr="00FB1598">
        <w:rPr>
          <w:rStyle w:val="scxw55407066"/>
          <w:rFonts w:asciiTheme="majorBidi" w:eastAsiaTheme="majorEastAsia" w:hAnsiTheme="majorBidi" w:cstheme="majorBidi"/>
          <w:i/>
          <w:iCs/>
        </w:rPr>
        <w:t> </w:t>
      </w:r>
      <w:r w:rsidRPr="00FB1598">
        <w:rPr>
          <w:rStyle w:val="normaltextrun"/>
          <w:rFonts w:asciiTheme="majorBidi" w:eastAsiaTheme="majorEastAsia" w:hAnsiTheme="majorBidi" w:cstheme="majorBidi"/>
          <w:i/>
          <w:iCs/>
        </w:rPr>
        <w:t>sustainable levels</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18756194" w14:textId="77777777"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A wide array of methods and approaches (including documented expert opinion) is used to classify stock status relative to the abundance producing MSY. This varies among countries, regions and stocks. Nevertheless, the reliability of the classification is assessed by FAO as part of the process of producing the index.</w:t>
      </w:r>
      <w:r w:rsidRPr="00ED7E61">
        <w:rPr>
          <w:rStyle w:val="eop"/>
          <w:rFonts w:asciiTheme="majorBidi" w:eastAsiaTheme="majorEastAsia" w:hAnsiTheme="majorBidi" w:cstheme="majorBidi"/>
        </w:rPr>
        <w:t> </w:t>
      </w:r>
    </w:p>
    <w:p w14:paraId="6A2D2EC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Global/Regional:</w:t>
      </w:r>
      <w:r w:rsidRPr="00ED7E61">
        <w:rPr>
          <w:rStyle w:val="eop"/>
          <w:rFonts w:asciiTheme="majorBidi" w:eastAsiaTheme="majorEastAsia" w:hAnsiTheme="majorBidi" w:cstheme="majorBidi"/>
          <w:sz w:val="22"/>
          <w:szCs w:val="22"/>
        </w:rPr>
        <w:t> </w:t>
      </w:r>
    </w:p>
    <w:p w14:paraId="2C0B7B2F" w14:textId="3AEA2C20" w:rsidR="0016340E" w:rsidRPr="0016340E" w:rsidRDefault="00495A2D" w:rsidP="0016340E">
      <w:pPr>
        <w:pStyle w:val="CBDNormalNumber"/>
        <w:numPr>
          <w:ilvl w:val="0"/>
          <w:numId w:val="32"/>
        </w:numPr>
        <w:ind w:left="567" w:firstLine="0"/>
      </w:pPr>
      <w:r>
        <w:rPr>
          <w:rStyle w:val="normaltextrun"/>
          <w:rFonts w:asciiTheme="majorBidi" w:eastAsiaTheme="majorEastAsia" w:hAnsiTheme="majorBidi" w:cstheme="majorBidi"/>
        </w:rPr>
        <w:t>Until 2025, g</w:t>
      </w:r>
      <w:r w:rsidR="00756F0F" w:rsidRPr="00ED7E61">
        <w:rPr>
          <w:rStyle w:val="normaltextrun"/>
          <w:rFonts w:asciiTheme="majorBidi" w:eastAsiaTheme="majorEastAsia" w:hAnsiTheme="majorBidi" w:cstheme="majorBidi"/>
        </w:rPr>
        <w:t>lobal and regional estimates of stock sustainability have been performed for 584 fish stocks around the world, representing 70% of global landings. The status of each stock is estimated using the methodology described in the FAO Technical Paper (FAO, 2011).</w:t>
      </w:r>
      <w:r w:rsidR="00756F0F" w:rsidRPr="00ED7E61">
        <w:rPr>
          <w:rStyle w:val="normaltextrun"/>
        </w:rPr>
        <w:t> </w:t>
      </w:r>
      <w:r w:rsidR="0016340E" w:rsidRPr="0016340E">
        <w:t xml:space="preserve">From 2025, the </w:t>
      </w:r>
      <w:r w:rsidR="00E17B97">
        <w:t>g</w:t>
      </w:r>
      <w:r w:rsidR="0016340E" w:rsidRPr="0016340E">
        <w:t xml:space="preserve">lobal and </w:t>
      </w:r>
      <w:r w:rsidR="00E17B97">
        <w:t>r</w:t>
      </w:r>
      <w:r w:rsidR="0016340E" w:rsidRPr="0016340E">
        <w:t>egional estimates have been performed for 2 570 assessment units around the world, representing a more granular list covering 74% of global landings. The stock status of each stock estimated using the methodology described in FAO Technical Paper (Sharma et al., 2025).</w:t>
      </w:r>
    </w:p>
    <w:p w14:paraId="6269459D" w14:textId="4F8181EE" w:rsidR="00756F0F" w:rsidRPr="00ED7E61" w:rsidRDefault="00756F0F" w:rsidP="00B10F0C">
      <w:pPr>
        <w:pStyle w:val="CBDNormalNumber"/>
        <w:numPr>
          <w:ilvl w:val="0"/>
          <w:numId w:val="32"/>
        </w:numPr>
        <w:ind w:left="567" w:firstLine="0"/>
        <w:jc w:val="left"/>
        <w:rPr>
          <w:rStyle w:val="normaltextrun"/>
          <w:rFonts w:eastAsiaTheme="majorEastAsia"/>
        </w:rPr>
      </w:pPr>
    </w:p>
    <w:p w14:paraId="7BA07B63"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National:</w:t>
      </w:r>
      <w:r w:rsidRPr="00ED7E61">
        <w:rPr>
          <w:rStyle w:val="eop"/>
          <w:rFonts w:asciiTheme="majorBidi" w:eastAsiaTheme="majorEastAsia" w:hAnsiTheme="majorBidi" w:cstheme="majorBidi"/>
          <w:sz w:val="22"/>
          <w:szCs w:val="22"/>
        </w:rPr>
        <w:t> </w:t>
      </w:r>
    </w:p>
    <w:p w14:paraId="56AA7F9F" w14:textId="77777777"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Countries are requested to report the status of a reference list of fish stocks defined by each country </w:t>
      </w:r>
      <w:proofErr w:type="gramStart"/>
      <w:r w:rsidRPr="00ED7E61">
        <w:rPr>
          <w:rStyle w:val="normaltextrun"/>
          <w:rFonts w:asciiTheme="majorBidi" w:eastAsiaTheme="majorEastAsia" w:hAnsiTheme="majorBidi" w:cstheme="majorBidi"/>
        </w:rPr>
        <w:t>on the basis of</w:t>
      </w:r>
      <w:proofErr w:type="gramEnd"/>
      <w:r w:rsidRPr="00ED7E61">
        <w:rPr>
          <w:rStyle w:val="normaltextrun"/>
          <w:rFonts w:asciiTheme="majorBidi" w:eastAsiaTheme="majorEastAsia" w:hAnsiTheme="majorBidi" w:cstheme="majorBidi"/>
        </w:rPr>
        <w:t xml:space="preserve"> the criteria presented in Appendix 1. (</w:t>
      </w:r>
      <w:hyperlink r:id="rId345" w:tgtFrame="_blank" w:history="1">
        <w:r w:rsidRPr="00ED7E61">
          <w:rPr>
            <w:rStyle w:val="normaltextrun"/>
            <w:rFonts w:asciiTheme="majorBidi" w:eastAsiaTheme="majorEastAsia" w:hAnsiTheme="majorBidi" w:cstheme="majorBidi"/>
            <w:color w:val="467886"/>
            <w:u w:val="single"/>
          </w:rPr>
          <w:t>https://unstats.un.org/sdgs/metadata/files/Metadata-14-04-01.pdf</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65EEDDF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17C51E9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ED7E61">
        <w:rPr>
          <w:rStyle w:val="normaltextrun"/>
          <w:rFonts w:asciiTheme="majorBidi" w:eastAsiaTheme="majorEastAsia" w:hAnsiTheme="majorBidi" w:cstheme="majorBidi"/>
          <w:b/>
          <w:bCs/>
          <w:sz w:val="22"/>
          <w:szCs w:val="22"/>
          <w:lang w:val="en-GB"/>
        </w:rPr>
        <w:t>Global/regional: </w:t>
      </w:r>
      <w:r w:rsidRPr="00ED7E61">
        <w:rPr>
          <w:rStyle w:val="eop"/>
          <w:rFonts w:asciiTheme="majorBidi" w:eastAsiaTheme="majorEastAsia" w:hAnsiTheme="majorBidi" w:cstheme="majorBidi"/>
          <w:sz w:val="22"/>
          <w:szCs w:val="22"/>
        </w:rPr>
        <w:t> </w:t>
      </w:r>
    </w:p>
    <w:p w14:paraId="0033A855" w14:textId="4E471887" w:rsidR="00756F0F" w:rsidRPr="00ED7E61" w:rsidRDefault="00756F0F" w:rsidP="00DC7D03">
      <w:pPr>
        <w:pStyle w:val="CBDNormalNumber"/>
        <w:numPr>
          <w:ilvl w:val="0"/>
          <w:numId w:val="32"/>
        </w:numPr>
        <w:ind w:left="567" w:firstLine="0"/>
        <w:jc w:val="left"/>
        <w:rPr>
          <w:rFonts w:asciiTheme="majorBidi" w:hAnsiTheme="majorBidi" w:cstheme="majorBidi"/>
          <w:color w:val="4A4A4A"/>
        </w:rPr>
      </w:pPr>
      <w:r w:rsidRPr="00ED7E61">
        <w:rPr>
          <w:rStyle w:val="normaltextrun"/>
          <w:rFonts w:asciiTheme="majorBidi" w:eastAsiaTheme="majorEastAsia" w:hAnsiTheme="majorBidi" w:cstheme="majorBidi"/>
        </w:rPr>
        <w:t xml:space="preserve">The fish stocks that FAO </w:t>
      </w:r>
      <w:proofErr w:type="spellStart"/>
      <w:r w:rsidRPr="00ED7E61">
        <w:rPr>
          <w:rStyle w:val="normaltextrun"/>
          <w:rFonts w:asciiTheme="majorBidi" w:eastAsiaTheme="majorEastAsia" w:hAnsiTheme="majorBidi" w:cstheme="majorBidi"/>
        </w:rPr>
        <w:t>monito</w:t>
      </w:r>
      <w:r w:rsidR="00582D03">
        <w:rPr>
          <w:rStyle w:val="normaltextrun"/>
          <w:rFonts w:asciiTheme="majorBidi" w:eastAsiaTheme="majorEastAsia" w:hAnsiTheme="majorBidi" w:cstheme="majorBidi"/>
        </w:rPr>
        <w:t>s</w:t>
      </w:r>
      <w:proofErr w:type="spellEnd"/>
      <w:r w:rsidRPr="00ED7E61">
        <w:rPr>
          <w:rStyle w:val="normaltextrun"/>
          <w:rFonts w:asciiTheme="majorBidi" w:eastAsiaTheme="majorEastAsia" w:hAnsiTheme="majorBidi" w:cstheme="majorBidi"/>
        </w:rPr>
        <w:t xml:space="preserve"> represent a wide spectrum of data availability, ranging from data-rich and formally assessed stocks to those that have very little information apart from catch statistics by FAO major fishing area and those with no stock assessment at all. For the purposes of using the best available data and information and maintaining consistency among </w:t>
      </w:r>
      <w:r w:rsidRPr="00ED7E61">
        <w:rPr>
          <w:rStyle w:val="normaltextrun"/>
          <w:rFonts w:asciiTheme="majorBidi" w:eastAsiaTheme="majorEastAsia" w:hAnsiTheme="majorBidi" w:cstheme="majorBidi"/>
        </w:rPr>
        <w:lastRenderedPageBreak/>
        <w:t>stocks and assessors, a procedure has been defined to identify stock status information (</w:t>
      </w:r>
      <w:r w:rsidR="00DC7D03" w:rsidRPr="00DC7D03">
        <w:rPr>
          <w:rFonts w:asciiTheme="majorBidi" w:eastAsiaTheme="majorEastAsia" w:hAnsiTheme="majorBidi" w:cstheme="majorBidi"/>
          <w:lang w:val="en-CA"/>
        </w:rPr>
        <w:t>Sharma et al. 2025</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566ABF4E" w14:textId="43B0AAEC" w:rsidR="00756F0F" w:rsidRPr="00ED7E61" w:rsidRDefault="00756F0F" w:rsidP="002B5C03">
      <w:pPr>
        <w:pStyle w:val="paragraph"/>
        <w:spacing w:before="0" w:beforeAutospacing="0" w:after="0" w:afterAutospacing="0"/>
        <w:textAlignment w:val="baseline"/>
        <w:rPr>
          <w:rFonts w:asciiTheme="majorBidi" w:hAnsiTheme="majorBidi" w:cstheme="majorBidi"/>
          <w:color w:val="4A4A4A"/>
          <w:sz w:val="22"/>
          <w:szCs w:val="22"/>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National: </w:t>
      </w:r>
      <w:r w:rsidRPr="00ED7E61">
        <w:rPr>
          <w:rStyle w:val="eop"/>
          <w:rFonts w:asciiTheme="majorBidi" w:eastAsiaTheme="majorEastAsia" w:hAnsiTheme="majorBidi" w:cstheme="majorBidi"/>
          <w:sz w:val="22"/>
          <w:szCs w:val="22"/>
        </w:rPr>
        <w:t> </w:t>
      </w:r>
    </w:p>
    <w:p w14:paraId="7AAFBA39" w14:textId="29D81075"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FAO collects national data through a questionnaire sent to the Principal Focal Point (PFP) of each country. The PFP organises an institutional set-up which identifies the competent authorities to develop a reference list of stocks and completes the questionnaire.</w:t>
      </w:r>
      <w:r w:rsidRPr="00ED7E61">
        <w:rPr>
          <w:rStyle w:val="eop"/>
          <w:rFonts w:asciiTheme="majorBidi" w:eastAsiaTheme="majorEastAsia" w:hAnsiTheme="majorBidi" w:cstheme="majorBidi"/>
        </w:rPr>
        <w:t> </w:t>
      </w:r>
    </w:p>
    <w:p w14:paraId="459C775C" w14:textId="0C48C3F2"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During the initial stages of national data reporting, the information or data collected through the</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questionnaire from a country only inform</w:t>
      </w:r>
      <w:r w:rsidR="00E66FF9">
        <w:rPr>
          <w:rStyle w:val="normaltextrun"/>
          <w:rFonts w:asciiTheme="majorBidi" w:eastAsiaTheme="majorEastAsia" w:hAnsiTheme="majorBidi" w:cstheme="majorBidi"/>
        </w:rPr>
        <w:t>ed</w:t>
      </w:r>
      <w:r w:rsidRPr="00ED7E61">
        <w:rPr>
          <w:rStyle w:val="normaltextrun"/>
          <w:rFonts w:asciiTheme="majorBidi" w:eastAsiaTheme="majorEastAsia" w:hAnsiTheme="majorBidi" w:cstheme="majorBidi"/>
        </w:rPr>
        <w:t xml:space="preserve"> the indicator for the individual countries, acknowledging the need for a learning curve along the few first questionnaire inquiries. As a result, the global/regional indicator remains during these initial stages separate from the national indicators.</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 xml:space="preserve">However, FAO is working on a convergence (where possible) of the two processes, and </w:t>
      </w:r>
      <w:r w:rsidR="0091176E">
        <w:rPr>
          <w:rStyle w:val="normaltextrun"/>
          <w:rFonts w:asciiTheme="majorBidi" w:eastAsiaTheme="majorEastAsia" w:hAnsiTheme="majorBidi" w:cstheme="majorBidi"/>
        </w:rPr>
        <w:t xml:space="preserve">a selection of </w:t>
      </w:r>
      <w:r w:rsidRPr="00ED7E61">
        <w:rPr>
          <w:rStyle w:val="normaltextrun"/>
          <w:rFonts w:asciiTheme="majorBidi" w:eastAsiaTheme="majorEastAsia" w:hAnsiTheme="majorBidi" w:cstheme="majorBidi"/>
        </w:rPr>
        <w:t>good-quality stock status assessments reported by countries for the national indicators will be included in the regional/global indicator calculations.</w:t>
      </w:r>
      <w:r w:rsidRPr="00ED7E61">
        <w:rPr>
          <w:rStyle w:val="eop"/>
          <w:rFonts w:asciiTheme="majorBidi" w:eastAsiaTheme="majorEastAsia" w:hAnsiTheme="majorBidi" w:cstheme="majorBidi"/>
        </w:rPr>
        <w:t> </w:t>
      </w:r>
    </w:p>
    <w:p w14:paraId="1E9BD439" w14:textId="77777777" w:rsidR="00756F0F" w:rsidRPr="00ED7E61" w:rsidRDefault="00756F0F" w:rsidP="00B10F0C">
      <w:pPr>
        <w:pStyle w:val="CBDNormalNumber"/>
        <w:numPr>
          <w:ilvl w:val="0"/>
          <w:numId w:val="32"/>
        </w:numPr>
        <w:ind w:left="567" w:firstLine="0"/>
        <w:jc w:val="left"/>
        <w:rPr>
          <w:rFonts w:asciiTheme="majorBidi" w:hAnsiTheme="majorBidi" w:cstheme="majorBidi"/>
          <w:color w:val="4A4A4A"/>
        </w:rPr>
      </w:pPr>
      <w:r w:rsidRPr="00ED7E61">
        <w:rPr>
          <w:rStyle w:val="normaltextrun"/>
          <w:rFonts w:asciiTheme="majorBidi" w:eastAsiaTheme="majorEastAsia" w:hAnsiTheme="majorBidi" w:cstheme="majorBidi"/>
        </w:rPr>
        <w:t xml:space="preserve">Despite this effort, due to the heterogeneity of reporting from countries in the same FAO Major Fishing Area, and the necessary inclusion of straddling and highly migratory stocks and fisheries in the regional and global indicator, it is unlikely that a full convergence will be achieved in a short </w:t>
      </w:r>
      <w:proofErr w:type="gramStart"/>
      <w:r w:rsidRPr="00ED7E61">
        <w:rPr>
          <w:rStyle w:val="normaltextrun"/>
          <w:rFonts w:asciiTheme="majorBidi" w:eastAsiaTheme="majorEastAsia" w:hAnsiTheme="majorBidi" w:cstheme="majorBidi"/>
        </w:rPr>
        <w:t>time-frame</w:t>
      </w:r>
      <w:proofErr w:type="gramEnd"/>
      <w:r w:rsidRPr="00ED7E61">
        <w:rPr>
          <w:rStyle w:val="eop"/>
          <w:rFonts w:asciiTheme="majorBidi" w:eastAsiaTheme="majorEastAsia" w:hAnsiTheme="majorBidi" w:cstheme="majorBidi"/>
        </w:rPr>
        <w:t> </w:t>
      </w:r>
    </w:p>
    <w:p w14:paraId="5B29535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6DBA9D5E" w14:textId="1EA5401E"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In each country, the data available for each stock and expertise level to conduct different types of assessments will differ. Some countries may have classic stock assessments already conducted for many of their stocks, while others may have very few or no assessments available. </w:t>
      </w:r>
      <w:r w:rsidRPr="00ED7E61">
        <w:rPr>
          <w:rStyle w:val="eop"/>
          <w:rFonts w:asciiTheme="majorBidi" w:eastAsiaTheme="majorEastAsia" w:hAnsiTheme="majorBidi" w:cstheme="majorBidi"/>
        </w:rPr>
        <w:t> </w:t>
      </w:r>
    </w:p>
    <w:p w14:paraId="686D116B" w14:textId="7D74009D" w:rsidR="0018382D" w:rsidRPr="0018382D" w:rsidRDefault="00756F0F" w:rsidP="0018382D">
      <w:pPr>
        <w:pStyle w:val="CBDNormalNumber"/>
        <w:numPr>
          <w:ilvl w:val="0"/>
          <w:numId w:val="32"/>
        </w:numPr>
        <w:ind w:left="567" w:firstLine="0"/>
        <w:rPr>
          <w:rFonts w:asciiTheme="majorBidi" w:eastAsiaTheme="majorEastAsia" w:hAnsiTheme="majorBidi" w:cstheme="majorBidi"/>
        </w:rPr>
      </w:pPr>
      <w:r w:rsidRPr="00ED7E61">
        <w:rPr>
          <w:rStyle w:val="normaltextrun"/>
          <w:rFonts w:asciiTheme="majorBidi" w:eastAsiaTheme="majorEastAsia" w:hAnsiTheme="majorBidi" w:cstheme="majorBidi"/>
        </w:rPr>
        <w:t>For some countries, little stock assessment has been done. To help these countries and to facilitate their reporting, FAO prepared online materials and tools, including a selection of methods that can be used to evaluate stock status with data limited methods such as length-based and catch-only methods. The strengths and limitations of these methods are discussed in an eLearning course (Lesson 4), and caveats were also provided to avoid misuse and exercise cautions in practice. Furthermore, capacity building workshops have been organised to provide support to countries in stock assessment and reporting on the SDG 14.4.1.</w:t>
      </w:r>
      <w:r w:rsidRPr="00ED7E61">
        <w:rPr>
          <w:rStyle w:val="eop"/>
          <w:rFonts w:asciiTheme="majorBidi" w:eastAsiaTheme="majorEastAsia" w:hAnsiTheme="majorBidi" w:cstheme="majorBidi"/>
        </w:rPr>
        <w:t> </w:t>
      </w:r>
      <w:r w:rsidR="0018382D" w:rsidRPr="0018382D">
        <w:rPr>
          <w:rFonts w:asciiTheme="majorBidi" w:eastAsiaTheme="majorEastAsia" w:hAnsiTheme="majorBidi" w:cstheme="majorBidi"/>
        </w:rPr>
        <w:t>FAO continues to work on the development of online tools and updated eLearning.</w:t>
      </w:r>
    </w:p>
    <w:p w14:paraId="7D733576" w14:textId="3B422870" w:rsidR="002B5C03" w:rsidRPr="00ED7E61" w:rsidRDefault="002B5C03" w:rsidP="00B10F0C">
      <w:pPr>
        <w:pStyle w:val="CBDNormalNumber"/>
        <w:numPr>
          <w:ilvl w:val="0"/>
          <w:numId w:val="32"/>
        </w:numPr>
        <w:ind w:left="567" w:firstLine="0"/>
        <w:jc w:val="left"/>
        <w:rPr>
          <w:rFonts w:asciiTheme="majorBidi" w:hAnsiTheme="majorBidi" w:cstheme="majorBidi"/>
        </w:rPr>
      </w:pPr>
    </w:p>
    <w:p w14:paraId="0DB0FCF4" w14:textId="77777777"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eLearning course: </w:t>
      </w:r>
      <w:hyperlink r:id="rId346" w:tgtFrame="_blank" w:history="1">
        <w:r w:rsidRPr="00ED7E61">
          <w:rPr>
            <w:rStyle w:val="normaltextrun"/>
            <w:rFonts w:asciiTheme="majorBidi" w:eastAsiaTheme="majorEastAsia" w:hAnsiTheme="majorBidi" w:cstheme="majorBidi"/>
            <w:color w:val="467886"/>
            <w:u w:val="single"/>
          </w:rPr>
          <w:t>https://elearning.fao.org/course/view.php?id=502</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59E4E79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7407E0C5" w14:textId="3841B20A"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The classification of the status of exploited stocks relatively to the abundance that can produce MSY is often established through a formal stock assessment process. The data to inform stock assessments can come from many different sources, including fishery-dependent and fishery-independent sources. Fishery-dependent data are collected from the fishery itself, using both commercial and recreational sources through reporting or sample-based surveys at sea, at landing sites, or within fishing communities.</w:t>
      </w:r>
      <w:r w:rsidRPr="00ED7E61">
        <w:rPr>
          <w:rStyle w:val="eop"/>
          <w:rFonts w:asciiTheme="majorBidi" w:eastAsiaTheme="majorEastAsia" w:hAnsiTheme="majorBidi" w:cstheme="majorBidi"/>
        </w:rPr>
        <w:t> </w:t>
      </w:r>
    </w:p>
    <w:p w14:paraId="2C5B6143" w14:textId="49B0C6FB"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They can include information on removals of fish from the sea, which can include landings and discards, and information on the fleet such as number of boats, number of tows, time spent on the sea, as well as economic and social information like fish prices, fuel expenditures, total sales, employment or other.</w:t>
      </w:r>
      <w:r w:rsidRPr="00ED7E61">
        <w:rPr>
          <w:rStyle w:val="eop"/>
          <w:rFonts w:asciiTheme="majorBidi" w:eastAsiaTheme="majorEastAsia" w:hAnsiTheme="majorBidi" w:cstheme="majorBidi"/>
        </w:rPr>
        <w:t> </w:t>
      </w:r>
    </w:p>
    <w:p w14:paraId="27961255" w14:textId="7975D140"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Fishery-independent data are obtained in ways not related to any fishing activity and are typically</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 xml:space="preserve">collected by scientists via surveys (often scientific cruises) designed to estimate species abundance and biomass over long time series, and over consistent seasons and geographic areas. Typically, fisheries- independent data also include biological information on the species (age, </w:t>
      </w:r>
      <w:r w:rsidRPr="00ED7E61">
        <w:rPr>
          <w:rStyle w:val="normaltextrun"/>
          <w:rFonts w:asciiTheme="majorBidi" w:eastAsiaTheme="majorEastAsia" w:hAnsiTheme="majorBidi" w:cstheme="majorBidi"/>
        </w:rPr>
        <w:lastRenderedPageBreak/>
        <w:t>length, weight, maturity, etc.), and habitat and environmental information (temperature, salinity, depth, etc.).</w:t>
      </w:r>
      <w:r w:rsidRPr="00ED7E61">
        <w:rPr>
          <w:rStyle w:val="eop"/>
          <w:rFonts w:asciiTheme="majorBidi" w:eastAsiaTheme="majorEastAsia" w:hAnsiTheme="majorBidi" w:cstheme="majorBidi"/>
        </w:rPr>
        <w:t> </w:t>
      </w:r>
    </w:p>
    <w:p w14:paraId="560401F5" w14:textId="636896DF"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These data and other information are used by Stock Assessment scientists to classify the stock status. References on the methods </w:t>
      </w:r>
      <w:proofErr w:type="gramStart"/>
      <w:r w:rsidRPr="00ED7E61">
        <w:rPr>
          <w:rStyle w:val="normaltextrun"/>
          <w:rFonts w:asciiTheme="majorBidi" w:eastAsiaTheme="majorEastAsia" w:hAnsiTheme="majorBidi" w:cstheme="majorBidi"/>
        </w:rPr>
        <w:t>most commonly used</w:t>
      </w:r>
      <w:proofErr w:type="gramEnd"/>
      <w:r w:rsidRPr="00ED7E61">
        <w:rPr>
          <w:rStyle w:val="normaltextrun"/>
          <w:rFonts w:asciiTheme="majorBidi" w:eastAsiaTheme="majorEastAsia" w:hAnsiTheme="majorBidi" w:cstheme="majorBidi"/>
        </w:rPr>
        <w:t xml:space="preserve"> can be found in Cadima (2003), Haddon (2011), Sparre and Venema (1998) and other publications dealing with the methods of stock assessment.</w:t>
      </w:r>
      <w:r w:rsidRPr="00ED7E61">
        <w:rPr>
          <w:rStyle w:val="eop"/>
          <w:rFonts w:asciiTheme="majorBidi" w:eastAsiaTheme="majorEastAsia" w:hAnsiTheme="majorBidi" w:cstheme="majorBidi"/>
        </w:rPr>
        <w:t> </w:t>
      </w:r>
    </w:p>
    <w:p w14:paraId="3672767F" w14:textId="3E70E22C"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The information used for the indicator at the Global/Regional level is based on a different process and</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data sources than that used for the national level</w:t>
      </w:r>
      <w:r w:rsidRPr="00ED7E61">
        <w:rPr>
          <w:rStyle w:val="eop"/>
          <w:rFonts w:asciiTheme="majorBidi" w:eastAsiaTheme="majorEastAsia" w:hAnsiTheme="majorBidi" w:cstheme="majorBidi"/>
        </w:rPr>
        <w:t> </w:t>
      </w:r>
    </w:p>
    <w:p w14:paraId="6038AB8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Global/Regional:</w:t>
      </w:r>
      <w:r w:rsidRPr="00ED7E61">
        <w:rPr>
          <w:rStyle w:val="eop"/>
          <w:rFonts w:asciiTheme="majorBidi" w:eastAsiaTheme="majorEastAsia" w:hAnsiTheme="majorBidi" w:cstheme="majorBidi"/>
          <w:sz w:val="22"/>
          <w:szCs w:val="22"/>
        </w:rPr>
        <w:t> </w:t>
      </w:r>
    </w:p>
    <w:p w14:paraId="4C8DEE03" w14:textId="39D23AB4" w:rsidR="00756F0F" w:rsidRPr="00ED7E61" w:rsidRDefault="00217FA6" w:rsidP="00395866">
      <w:pPr>
        <w:pStyle w:val="paragraph"/>
        <w:spacing w:before="0" w:beforeAutospacing="0" w:after="0" w:afterAutospacing="0"/>
        <w:textAlignment w:val="baseline"/>
        <w:rPr>
          <w:rFonts w:asciiTheme="majorBidi" w:hAnsiTheme="majorBidi" w:cstheme="majorBidi"/>
          <w:sz w:val="22"/>
          <w:szCs w:val="22"/>
        </w:rPr>
      </w:pPr>
      <w:r w:rsidRPr="00217FA6">
        <w:rPr>
          <w:rFonts w:asciiTheme="majorBidi" w:eastAsiaTheme="majorEastAsia" w:hAnsiTheme="majorBidi" w:cstheme="majorBidi"/>
        </w:rPr>
        <w:t xml:space="preserve">The </w:t>
      </w:r>
      <w:r>
        <w:rPr>
          <w:rFonts w:asciiTheme="majorBidi" w:eastAsiaTheme="majorEastAsia" w:hAnsiTheme="majorBidi" w:cstheme="majorBidi"/>
        </w:rPr>
        <w:t>g</w:t>
      </w:r>
      <w:r w:rsidRPr="00217FA6">
        <w:rPr>
          <w:rFonts w:asciiTheme="majorBidi" w:eastAsiaTheme="majorEastAsia" w:hAnsiTheme="majorBidi" w:cstheme="majorBidi"/>
        </w:rPr>
        <w:t xml:space="preserve">lobal and </w:t>
      </w:r>
      <w:r>
        <w:rPr>
          <w:rFonts w:asciiTheme="majorBidi" w:eastAsiaTheme="majorEastAsia" w:hAnsiTheme="majorBidi" w:cstheme="majorBidi"/>
        </w:rPr>
        <w:t>r</w:t>
      </w:r>
      <w:r w:rsidRPr="00217FA6">
        <w:rPr>
          <w:rFonts w:asciiTheme="majorBidi" w:eastAsiaTheme="majorEastAsia" w:hAnsiTheme="majorBidi" w:cstheme="majorBidi"/>
        </w:rPr>
        <w:t xml:space="preserve">egional methodology (Sharma et al 2025) explicitly splits the reference list of stocks into three “tiers” based on the best data and information available and based on the methods used to classify their stock status, incorporating results from existing classical stock assessment and data-limited methods and performing rapid assessments where existing assessments are lacking. The current reference list of 2570 stocks </w:t>
      </w:r>
      <w:proofErr w:type="gramStart"/>
      <w:r w:rsidRPr="00217FA6">
        <w:rPr>
          <w:rFonts w:asciiTheme="majorBidi" w:eastAsiaTheme="majorEastAsia" w:hAnsiTheme="majorBidi" w:cstheme="majorBidi"/>
        </w:rPr>
        <w:t>is</w:t>
      </w:r>
      <w:proofErr w:type="gramEnd"/>
      <w:r w:rsidRPr="00217FA6">
        <w:rPr>
          <w:rFonts w:asciiTheme="majorBidi" w:eastAsiaTheme="majorEastAsia" w:hAnsiTheme="majorBidi" w:cstheme="majorBidi"/>
        </w:rPr>
        <w:t xml:space="preserve"> reconciled with the more limited 2011 list by using the finest level of resolution of representative assessment units, representing about 74 percent of the global catch. Stock included are from industrial and small-scale fisheries in both developed and developing </w:t>
      </w:r>
      <w:proofErr w:type="gramStart"/>
      <w:r w:rsidRPr="00217FA6">
        <w:rPr>
          <w:rFonts w:asciiTheme="majorBidi" w:eastAsiaTheme="majorEastAsia" w:hAnsiTheme="majorBidi" w:cstheme="majorBidi"/>
        </w:rPr>
        <w:t>countries.</w:t>
      </w:r>
      <w:r w:rsidR="00756F0F" w:rsidRPr="00ED7E61">
        <w:rPr>
          <w:rStyle w:val="normaltextrun"/>
          <w:rFonts w:asciiTheme="majorBidi" w:eastAsiaTheme="majorEastAsia" w:hAnsiTheme="majorBidi" w:cstheme="majorBidi"/>
          <w:b/>
          <w:bCs/>
          <w:sz w:val="22"/>
          <w:szCs w:val="22"/>
          <w:lang w:val="en-GB"/>
        </w:rPr>
        <w:t>National</w:t>
      </w:r>
      <w:proofErr w:type="gramEnd"/>
      <w:r w:rsidR="00756F0F" w:rsidRPr="00ED7E61">
        <w:rPr>
          <w:rStyle w:val="normaltextrun"/>
          <w:rFonts w:asciiTheme="majorBidi" w:eastAsiaTheme="majorEastAsia" w:hAnsiTheme="majorBidi" w:cstheme="majorBidi"/>
          <w:b/>
          <w:bCs/>
          <w:sz w:val="22"/>
          <w:szCs w:val="22"/>
          <w:lang w:val="en-GB"/>
        </w:rPr>
        <w:t>:</w:t>
      </w:r>
      <w:r w:rsidR="00756F0F" w:rsidRPr="00ED7E61">
        <w:rPr>
          <w:rStyle w:val="eop"/>
          <w:rFonts w:asciiTheme="majorBidi" w:eastAsiaTheme="majorEastAsia" w:hAnsiTheme="majorBidi" w:cstheme="majorBidi"/>
          <w:sz w:val="22"/>
          <w:szCs w:val="22"/>
        </w:rPr>
        <w:t> </w:t>
      </w:r>
    </w:p>
    <w:p w14:paraId="10D6E8A9" w14:textId="4E4AF019" w:rsidR="002B5C03" w:rsidRPr="00ED7E61" w:rsidRDefault="00756F0F" w:rsidP="00B10F0C">
      <w:pPr>
        <w:pStyle w:val="CBDNormalNumber"/>
        <w:numPr>
          <w:ilvl w:val="0"/>
          <w:numId w:val="32"/>
        </w:numPr>
        <w:ind w:left="567" w:firstLine="0"/>
        <w:jc w:val="left"/>
        <w:rPr>
          <w:rStyle w:val="normaltextrun"/>
          <w:rFonts w:eastAsiaTheme="majorEastAsia"/>
        </w:rPr>
      </w:pPr>
      <w:r w:rsidRPr="00ED7E61">
        <w:rPr>
          <w:rStyle w:val="normaltextrun"/>
          <w:rFonts w:asciiTheme="majorBidi" w:eastAsiaTheme="majorEastAsia" w:hAnsiTheme="majorBidi" w:cstheme="majorBidi"/>
        </w:rPr>
        <w:t>The national level indicator, on the other hand, is based exclusively on the stock status reported by</w:t>
      </w:r>
      <w:r w:rsidRPr="00ED7E61">
        <w:rPr>
          <w:rStyle w:val="normaltextrun"/>
        </w:rPr>
        <w:t> </w:t>
      </w:r>
      <w:r w:rsidRPr="00ED7E61">
        <w:rPr>
          <w:rStyle w:val="normaltextrun"/>
          <w:rFonts w:asciiTheme="majorBidi" w:eastAsiaTheme="majorEastAsia" w:hAnsiTheme="majorBidi" w:cstheme="majorBidi"/>
        </w:rPr>
        <w:t>countries. A multiplicity of methods are used to classify the stock status, including model-based</w:t>
      </w:r>
      <w:r w:rsidRPr="00ED7E61">
        <w:rPr>
          <w:rStyle w:val="normaltextrun"/>
        </w:rPr>
        <w:t> </w:t>
      </w:r>
      <w:r w:rsidRPr="00ED7E61">
        <w:rPr>
          <w:rStyle w:val="normaltextrun"/>
          <w:rFonts w:asciiTheme="majorBidi" w:eastAsiaTheme="majorEastAsia" w:hAnsiTheme="majorBidi" w:cstheme="majorBidi"/>
        </w:rPr>
        <w:t>estimates, empirical indicators and documented expert opinion.</w:t>
      </w:r>
      <w:r w:rsidRPr="00ED7E61">
        <w:rPr>
          <w:rStyle w:val="normaltextrun"/>
        </w:rPr>
        <w:t> </w:t>
      </w:r>
    </w:p>
    <w:p w14:paraId="5EA0F410" w14:textId="3938ED71" w:rsidR="00756F0F" w:rsidRPr="00ED7E61" w:rsidRDefault="00756F0F" w:rsidP="002559D0">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For country reporting, a questionnaire </w:t>
      </w:r>
      <w:r w:rsidR="00AB5D48">
        <w:rPr>
          <w:rStyle w:val="normaltextrun"/>
          <w:rFonts w:asciiTheme="majorBidi" w:eastAsiaTheme="majorEastAsia" w:hAnsiTheme="majorBidi" w:cstheme="majorBidi"/>
        </w:rPr>
        <w:t>is</w:t>
      </w:r>
      <w:r w:rsidR="00AB5D48"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sent out to all FAO member </w:t>
      </w:r>
      <w:r w:rsidR="00AB5D48">
        <w:rPr>
          <w:rStyle w:val="normaltextrun"/>
          <w:rFonts w:asciiTheme="majorBidi" w:eastAsiaTheme="majorEastAsia" w:hAnsiTheme="majorBidi" w:cstheme="majorBidi"/>
        </w:rPr>
        <w:t>s</w:t>
      </w:r>
      <w:r w:rsidRPr="00ED7E61">
        <w:rPr>
          <w:rStyle w:val="normaltextrun"/>
          <w:rFonts w:asciiTheme="majorBidi" w:eastAsiaTheme="majorEastAsia" w:hAnsiTheme="majorBidi" w:cstheme="majorBidi"/>
        </w:rPr>
        <w:t>tates with marine boundaries</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w:t>
      </w:r>
      <w:r w:rsidR="00472924">
        <w:rPr>
          <w:rStyle w:val="normaltextrun"/>
          <w:rFonts w:asciiTheme="majorBidi" w:eastAsiaTheme="majorEastAsia" w:hAnsiTheme="majorBidi" w:cstheme="majorBidi"/>
        </w:rPr>
        <w:t>1</w:t>
      </w:r>
      <w:r w:rsidR="00475850" w:rsidRPr="00475850">
        <w:rPr>
          <w:rFonts w:asciiTheme="majorBidi" w:eastAsiaTheme="majorEastAsia" w:hAnsiTheme="majorBidi" w:cstheme="majorBidi"/>
          <w:lang w:val="en-CA"/>
        </w:rPr>
        <w:t>56 FAO member states, 25 non-FAO member states and territories, and three Caspian Sea border countries</w:t>
      </w:r>
      <w:r w:rsidRPr="00ED7E61">
        <w:rPr>
          <w:rStyle w:val="normaltextrun"/>
          <w:rFonts w:asciiTheme="majorBidi" w:eastAsiaTheme="majorEastAsia" w:hAnsiTheme="majorBidi" w:cstheme="majorBidi"/>
        </w:rPr>
        <w:t>) on a two-year basis. For the complete list of questions used to inform this indicator, please refer to Appendix 2 (</w:t>
      </w:r>
      <w:proofErr w:type="gramStart"/>
      <w:r w:rsidR="002559D0" w:rsidRPr="002559D0">
        <w:rPr>
          <w:u w:val="single"/>
          <w:lang w:val="en-CA"/>
        </w:rPr>
        <w:t>https://sfcs.fao.org/media-cnt/docs/statisticslibraries/questionnaires/fisheries/sdg_14-4-1_questionnaire_2024_en.xlsx?sfvrsn=155757a2_1&amp;Status=Master</w:t>
      </w:r>
      <w:r w:rsidR="002559D0" w:rsidRPr="002559D0">
        <w:rPr>
          <w:lang w:val="en-CA"/>
        </w:rPr>
        <w:t>)  </w:t>
      </w:r>
      <w:r w:rsidRPr="00ED7E61">
        <w:rPr>
          <w:rStyle w:val="normaltextrun"/>
          <w:rFonts w:asciiTheme="majorBidi" w:eastAsiaTheme="majorEastAsia" w:hAnsiTheme="majorBidi" w:cstheme="majorBidi"/>
        </w:rPr>
        <w:t>)</w:t>
      </w:r>
      <w:proofErr w:type="gramEnd"/>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611FBD3C" w14:textId="0E6BC906" w:rsidR="00756F0F" w:rsidRPr="00ED7E61" w:rsidRDefault="00756F0F" w:rsidP="005B0D1E">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19AB7EB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Data availability:</w:t>
      </w:r>
      <w:r w:rsidRPr="00ED7E61">
        <w:rPr>
          <w:rStyle w:val="eop"/>
          <w:rFonts w:asciiTheme="majorBidi" w:eastAsiaTheme="majorEastAsia" w:hAnsiTheme="majorBidi" w:cstheme="majorBidi"/>
          <w:sz w:val="22"/>
          <w:szCs w:val="22"/>
        </w:rPr>
        <w:t> </w:t>
      </w:r>
    </w:p>
    <w:p w14:paraId="477D92F4" w14:textId="47E4F5CF" w:rsidR="002B5C03" w:rsidRPr="00ED7E61" w:rsidRDefault="00756F0F" w:rsidP="00765BAF">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Global/regional: the indicator has global and regional data from 1974 to 2019. Regional breakdown is by FAO major fishing area. The regional and global indicators were calculated based on the reference list of fish stocks FAO established in </w:t>
      </w:r>
      <w:proofErr w:type="gramStart"/>
      <w:r w:rsidRPr="00ED7E61">
        <w:rPr>
          <w:rStyle w:val="normaltextrun"/>
          <w:rFonts w:asciiTheme="majorBidi" w:eastAsiaTheme="majorEastAsia" w:hAnsiTheme="majorBidi" w:cstheme="majorBidi"/>
        </w:rPr>
        <w:t>1974</w:t>
      </w:r>
      <w:r w:rsidR="00765BAF">
        <w:rPr>
          <w:rStyle w:val="normaltextrun"/>
          <w:rFonts w:asciiTheme="majorBidi" w:eastAsiaTheme="majorEastAsia" w:hAnsiTheme="majorBidi" w:cstheme="majorBidi"/>
        </w:rPr>
        <w:t xml:space="preserve"> </w:t>
      </w:r>
      <w:r w:rsidR="00765BAF" w:rsidRPr="00765BAF">
        <w:rPr>
          <w:rFonts w:asciiTheme="majorBidi" w:eastAsiaTheme="majorEastAsia" w:hAnsiTheme="majorBidi" w:cstheme="majorBidi"/>
          <w:lang w:val="en-CA"/>
        </w:rPr>
        <w:t>,</w:t>
      </w:r>
      <w:proofErr w:type="gramEnd"/>
      <w:r w:rsidR="00765BAF" w:rsidRPr="00765BAF">
        <w:rPr>
          <w:rFonts w:asciiTheme="majorBidi" w:eastAsiaTheme="majorEastAsia" w:hAnsiTheme="majorBidi" w:cstheme="majorBidi"/>
          <w:lang w:val="en-CA"/>
        </w:rPr>
        <w:t xml:space="preserve"> and updated periodically with the latest update in 2025 now including 2570 stocks</w:t>
      </w:r>
      <w:r w:rsidRPr="00ED7E61">
        <w:rPr>
          <w:rStyle w:val="normaltextrun"/>
          <w:rFonts w:asciiTheme="majorBidi" w:eastAsiaTheme="majorEastAsia" w:hAnsiTheme="majorBidi" w:cstheme="majorBidi"/>
        </w:rPr>
        <w:t>. Countries are not directly involved in the computation of the indicator at global/regional level.</w:t>
      </w:r>
      <w:r w:rsidRPr="00ED7E61">
        <w:rPr>
          <w:rStyle w:val="eop"/>
          <w:rFonts w:asciiTheme="majorBidi" w:eastAsiaTheme="majorEastAsia" w:hAnsiTheme="majorBidi" w:cstheme="majorBidi"/>
        </w:rPr>
        <w:t> </w:t>
      </w:r>
    </w:p>
    <w:p w14:paraId="311744A3" w14:textId="65FF60A1" w:rsidR="00A64754" w:rsidRPr="00A64754" w:rsidRDefault="00756F0F" w:rsidP="00A64754">
      <w:pPr>
        <w:pStyle w:val="CBDNormalNumber"/>
        <w:numPr>
          <w:ilvl w:val="0"/>
          <w:numId w:val="32"/>
        </w:numPr>
        <w:spacing w:before="0" w:after="0"/>
        <w:ind w:left="567" w:firstLine="0"/>
        <w:textAlignment w:val="baseline"/>
        <w:rPr>
          <w:rFonts w:asciiTheme="majorBidi" w:eastAsiaTheme="majorEastAsia" w:hAnsiTheme="majorBidi" w:cstheme="majorBidi"/>
        </w:rPr>
      </w:pPr>
      <w:r w:rsidRPr="00472924">
        <w:rPr>
          <w:rStyle w:val="normaltextrun"/>
          <w:rFonts w:asciiTheme="majorBidi" w:eastAsiaTheme="majorEastAsia" w:hAnsiTheme="majorBidi" w:cstheme="majorBidi"/>
        </w:rPr>
        <w:t>National: the national-level questionnaire was dispatched for the first time in November 2019</w:t>
      </w:r>
      <w:r w:rsidR="00D66914" w:rsidRPr="00472924">
        <w:rPr>
          <w:rStyle w:val="normaltextrun"/>
          <w:rFonts w:asciiTheme="majorBidi" w:eastAsiaTheme="majorEastAsia" w:hAnsiTheme="majorBidi" w:cstheme="majorBidi"/>
        </w:rPr>
        <w:t xml:space="preserve"> </w:t>
      </w:r>
      <w:r w:rsidR="00D66914" w:rsidRPr="00472924">
        <w:rPr>
          <w:rFonts w:asciiTheme="majorBidi" w:eastAsiaTheme="majorEastAsia" w:hAnsiTheme="majorBidi" w:cstheme="majorBidi"/>
          <w:lang w:val="en-CA"/>
        </w:rPr>
        <w:t>and then on a biennial basis since 2022</w:t>
      </w:r>
      <w:r w:rsidRPr="00472924">
        <w:rPr>
          <w:rStyle w:val="normaltextrun"/>
          <w:rFonts w:asciiTheme="majorBidi" w:eastAsiaTheme="majorEastAsia" w:hAnsiTheme="majorBidi" w:cstheme="majorBidi"/>
        </w:rPr>
        <w:t>; FAO identifies countries</w:t>
      </w:r>
      <w:r w:rsidR="00F068BD" w:rsidRPr="00472924">
        <w:rPr>
          <w:rStyle w:val="normaltextrun"/>
          <w:rFonts w:asciiTheme="majorBidi" w:eastAsiaTheme="majorEastAsia" w:hAnsiTheme="majorBidi" w:cstheme="majorBidi"/>
        </w:rPr>
        <w:t xml:space="preserve"> and territories</w:t>
      </w:r>
      <w:r w:rsidRPr="00472924">
        <w:rPr>
          <w:rStyle w:val="normaltextrun"/>
          <w:rFonts w:asciiTheme="majorBidi" w:eastAsiaTheme="majorEastAsia" w:hAnsiTheme="majorBidi" w:cstheme="majorBidi"/>
        </w:rPr>
        <w:t xml:space="preserve"> with a marine border, </w:t>
      </w:r>
      <w:r w:rsidR="00472924" w:rsidRPr="00472924">
        <w:rPr>
          <w:rFonts w:asciiTheme="majorBidi" w:eastAsiaTheme="majorEastAsia" w:hAnsiTheme="majorBidi" w:cstheme="majorBidi"/>
          <w:lang w:val="en-CA"/>
        </w:rPr>
        <w:t xml:space="preserve">including 156 FAO member states, 25 non-FAO member states, which </w:t>
      </w:r>
      <w:proofErr w:type="gramStart"/>
      <w:r w:rsidR="00472924" w:rsidRPr="00472924">
        <w:rPr>
          <w:rFonts w:asciiTheme="majorBidi" w:eastAsiaTheme="majorEastAsia" w:hAnsiTheme="majorBidi" w:cstheme="majorBidi"/>
          <w:lang w:val="en-CA"/>
        </w:rPr>
        <w:t>includes ,</w:t>
      </w:r>
      <w:proofErr w:type="gramEnd"/>
      <w:r w:rsidR="00472924" w:rsidRPr="00472924">
        <w:rPr>
          <w:rFonts w:asciiTheme="majorBidi" w:eastAsiaTheme="majorEastAsia" w:hAnsiTheme="majorBidi" w:cstheme="majorBidi"/>
          <w:lang w:val="en-CA"/>
        </w:rPr>
        <w:t xml:space="preserve"> </w:t>
      </w:r>
      <w:r w:rsidRPr="00472924">
        <w:rPr>
          <w:rStyle w:val="normaltextrun"/>
          <w:rFonts w:asciiTheme="majorBidi" w:eastAsiaTheme="majorEastAsia" w:hAnsiTheme="majorBidi" w:cstheme="majorBidi"/>
        </w:rPr>
        <w:t xml:space="preserve">three countries with Caspian Sea border, as being eligible, in principle, to report. </w:t>
      </w:r>
      <w:r w:rsidR="00A64754" w:rsidRPr="00A64754">
        <w:rPr>
          <w:rFonts w:asciiTheme="majorBidi" w:hAnsiTheme="majorBidi" w:cstheme="majorBidi"/>
        </w:rPr>
        <w:t>Of these, data for the indicator has been reported at least once for about three quarters of the eligible countries.</w:t>
      </w:r>
    </w:p>
    <w:p w14:paraId="279EF183" w14:textId="77777777" w:rsidR="00756F0F" w:rsidRPr="00472924" w:rsidRDefault="00756F0F" w:rsidP="00A64754">
      <w:pPr>
        <w:pStyle w:val="paragraph"/>
        <w:spacing w:before="0" w:beforeAutospacing="0" w:after="0" w:afterAutospacing="0"/>
        <w:textAlignment w:val="baseline"/>
        <w:rPr>
          <w:rFonts w:asciiTheme="majorBidi" w:hAnsiTheme="majorBidi" w:cstheme="majorBidi"/>
          <w:sz w:val="22"/>
          <w:szCs w:val="22"/>
        </w:rPr>
      </w:pPr>
      <w:r w:rsidRPr="00472924">
        <w:rPr>
          <w:rStyle w:val="normaltextrun"/>
          <w:rFonts w:asciiTheme="majorBidi" w:eastAsiaTheme="majorEastAsia" w:hAnsiTheme="majorBidi" w:cstheme="majorBidi"/>
          <w:b/>
          <w:bCs/>
          <w:sz w:val="22"/>
          <w:szCs w:val="22"/>
          <w:lang w:val="en-GB"/>
        </w:rPr>
        <w:t>Data release calendar:</w:t>
      </w:r>
      <w:r w:rsidRPr="00812871">
        <w:rPr>
          <w:rStyle w:val="normaltextrun"/>
          <w:rFonts w:eastAsiaTheme="majorEastAsia"/>
          <w:b/>
          <w:bCs/>
          <w:lang w:val="en-GB"/>
        </w:rPr>
        <w:t> </w:t>
      </w:r>
    </w:p>
    <w:p w14:paraId="1BDAD548" w14:textId="5D24C1CF" w:rsidR="002B5C03" w:rsidRPr="00ED7E61" w:rsidRDefault="00756F0F" w:rsidP="00B10F0C">
      <w:pPr>
        <w:pStyle w:val="CBDNormalNumber"/>
        <w:numPr>
          <w:ilvl w:val="0"/>
          <w:numId w:val="32"/>
        </w:numPr>
        <w:ind w:left="567" w:firstLine="0"/>
        <w:jc w:val="left"/>
        <w:rPr>
          <w:rStyle w:val="normaltextrun"/>
          <w:rFonts w:eastAsiaTheme="majorEastAsia"/>
        </w:rPr>
      </w:pPr>
      <w:r w:rsidRPr="00ED7E61">
        <w:rPr>
          <w:rStyle w:val="normaltextrun"/>
          <w:rFonts w:asciiTheme="majorBidi" w:eastAsiaTheme="majorEastAsia" w:hAnsiTheme="majorBidi" w:cstheme="majorBidi"/>
        </w:rPr>
        <w:t>Global/regional: biennially</w:t>
      </w:r>
      <w:r w:rsidRPr="00ED7E61">
        <w:rPr>
          <w:rStyle w:val="normaltextrun"/>
        </w:rPr>
        <w:t> </w:t>
      </w:r>
    </w:p>
    <w:p w14:paraId="0B00F458" w14:textId="77777777"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National: biennially.</w:t>
      </w:r>
      <w:r w:rsidRPr="00ED7E61">
        <w:rPr>
          <w:rStyle w:val="eop"/>
          <w:rFonts w:asciiTheme="majorBidi" w:eastAsiaTheme="majorEastAsia" w:hAnsiTheme="majorBidi" w:cstheme="majorBidi"/>
        </w:rPr>
        <w:t> </w:t>
      </w:r>
    </w:p>
    <w:p w14:paraId="3EAA842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2E9C77C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Global/regional level: </w:t>
      </w:r>
      <w:r w:rsidRPr="00ED7E61">
        <w:rPr>
          <w:rStyle w:val="eop"/>
          <w:rFonts w:asciiTheme="majorBidi" w:eastAsiaTheme="majorEastAsia" w:hAnsiTheme="majorBidi" w:cstheme="majorBidi"/>
          <w:sz w:val="22"/>
          <w:szCs w:val="22"/>
        </w:rPr>
        <w:t> </w:t>
      </w:r>
    </w:p>
    <w:p w14:paraId="43ABDC31" w14:textId="112AE006" w:rsidR="00756F0F" w:rsidRPr="00ED7E61" w:rsidRDefault="00756F0F" w:rsidP="005C6EAC">
      <w:pPr>
        <w:pStyle w:val="CBDNormalNumber"/>
        <w:ind w:left="567"/>
        <w:jc w:val="left"/>
        <w:rPr>
          <w:rStyle w:val="normaltextrun"/>
          <w:rFonts w:eastAsiaTheme="majorEastAsia"/>
        </w:rPr>
      </w:pPr>
      <w:r w:rsidRPr="00ED7E61">
        <w:rPr>
          <w:rStyle w:val="normaltextrun"/>
          <w:rFonts w:asciiTheme="majorBidi" w:eastAsiaTheme="majorEastAsia" w:hAnsiTheme="majorBidi" w:cstheme="majorBidi"/>
        </w:rPr>
        <w:t>1974 to 20</w:t>
      </w:r>
      <w:r w:rsidR="00B62B5E">
        <w:rPr>
          <w:rStyle w:val="normaltextrun"/>
          <w:rFonts w:asciiTheme="majorBidi" w:eastAsiaTheme="majorEastAsia" w:hAnsiTheme="majorBidi" w:cstheme="majorBidi"/>
        </w:rPr>
        <w:t>21</w:t>
      </w:r>
      <w:r w:rsidRPr="00ED7E61">
        <w:rPr>
          <w:rStyle w:val="normaltextrun"/>
          <w:rFonts w:asciiTheme="majorBidi" w:eastAsiaTheme="majorEastAsia" w:hAnsiTheme="majorBidi" w:cstheme="majorBidi"/>
        </w:rPr>
        <w:t>.</w:t>
      </w:r>
      <w:r w:rsidRPr="00ED7E61">
        <w:rPr>
          <w:rStyle w:val="normaltextrun"/>
        </w:rPr>
        <w:t> </w:t>
      </w:r>
    </w:p>
    <w:p w14:paraId="332B27E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National level: </w:t>
      </w:r>
      <w:r w:rsidRPr="00ED7E61">
        <w:rPr>
          <w:rStyle w:val="eop"/>
          <w:rFonts w:asciiTheme="majorBidi" w:eastAsiaTheme="majorEastAsia" w:hAnsiTheme="majorBidi" w:cstheme="majorBidi"/>
          <w:sz w:val="22"/>
          <w:szCs w:val="22"/>
        </w:rPr>
        <w:t> </w:t>
      </w:r>
    </w:p>
    <w:p w14:paraId="19A6BC89" w14:textId="393D6C85" w:rsidR="00756F0F" w:rsidRPr="00ED7E61" w:rsidRDefault="00756F0F" w:rsidP="003E4177">
      <w:pPr>
        <w:pStyle w:val="CBDNormalNumber"/>
        <w:ind w:left="567"/>
        <w:jc w:val="left"/>
        <w:rPr>
          <w:rStyle w:val="normaltextrun"/>
          <w:rFonts w:eastAsiaTheme="majorEastAsia"/>
        </w:rPr>
      </w:pPr>
      <w:r w:rsidRPr="00ED7E61">
        <w:rPr>
          <w:rStyle w:val="normaltextrun"/>
          <w:rFonts w:asciiTheme="majorBidi" w:eastAsiaTheme="majorEastAsia" w:hAnsiTheme="majorBidi" w:cstheme="majorBidi"/>
        </w:rPr>
        <w:lastRenderedPageBreak/>
        <w:t xml:space="preserve">First questionnaire dispatched in November 2019, considered a trial/testing phase. </w:t>
      </w:r>
      <w:r w:rsidR="003E4177" w:rsidRPr="003E4177">
        <w:rPr>
          <w:lang w:val="en-CA"/>
        </w:rPr>
        <w:t>On a biennial basis since 2022.</w:t>
      </w:r>
    </w:p>
    <w:p w14:paraId="2C9B91A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672FDB95" w14:textId="2E684952" w:rsidR="00756F0F" w:rsidRPr="00ED7E61" w:rsidRDefault="00BA1311" w:rsidP="00DF4537">
      <w:pPr>
        <w:pStyle w:val="CBDNormalNumber"/>
        <w:ind w:left="567"/>
        <w:jc w:val="left"/>
        <w:rPr>
          <w:rStyle w:val="normaltextrun"/>
          <w:rFonts w:eastAsiaTheme="majorEastAsia"/>
        </w:rPr>
      </w:pPr>
      <w:r>
        <w:rPr>
          <w:rStyle w:val="normaltextrun"/>
          <w:rFonts w:asciiTheme="majorBidi" w:eastAsiaTheme="majorEastAsia" w:hAnsiTheme="majorBidi" w:cstheme="majorBidi"/>
        </w:rPr>
        <w:t>G</w:t>
      </w:r>
      <w:r w:rsidR="00756F0F" w:rsidRPr="00ED7E61">
        <w:rPr>
          <w:rStyle w:val="normaltextrun"/>
          <w:rFonts w:asciiTheme="majorBidi" w:eastAsiaTheme="majorEastAsia" w:hAnsiTheme="majorBidi" w:cstheme="majorBidi"/>
        </w:rPr>
        <w:t>lobal and regional data</w:t>
      </w:r>
      <w:r w:rsidR="00DF4537">
        <w:rPr>
          <w:rStyle w:val="normaltextrun"/>
          <w:rFonts w:asciiTheme="majorBidi" w:eastAsiaTheme="majorEastAsia" w:hAnsiTheme="majorBidi" w:cstheme="majorBidi"/>
        </w:rPr>
        <w:t xml:space="preserve"> </w:t>
      </w:r>
      <w:r w:rsidR="00DF4537" w:rsidRPr="00DF4537">
        <w:rPr>
          <w:rFonts w:asciiTheme="majorBidi" w:eastAsiaTheme="majorEastAsia" w:hAnsiTheme="majorBidi" w:cstheme="majorBidi"/>
          <w:lang w:val="en-CA"/>
        </w:rPr>
        <w:t xml:space="preserve">are provided by FAO, international organisations and institutions, and include national-level </w:t>
      </w:r>
      <w:proofErr w:type="gramStart"/>
      <w:r w:rsidR="00DF4537" w:rsidRPr="00DF4537">
        <w:rPr>
          <w:rFonts w:asciiTheme="majorBidi" w:eastAsiaTheme="majorEastAsia" w:hAnsiTheme="majorBidi" w:cstheme="majorBidi"/>
          <w:lang w:val="en-CA"/>
        </w:rPr>
        <w:t>data.</w:t>
      </w:r>
      <w:r w:rsidR="00756F0F" w:rsidRPr="00ED7E61">
        <w:rPr>
          <w:rStyle w:val="normaltextrun"/>
          <w:rFonts w:asciiTheme="majorBidi" w:eastAsiaTheme="majorEastAsia" w:hAnsiTheme="majorBidi" w:cstheme="majorBidi"/>
        </w:rPr>
        <w:t>.</w:t>
      </w:r>
      <w:proofErr w:type="gramEnd"/>
      <w:r w:rsidR="00756F0F" w:rsidRPr="00ED7E61">
        <w:rPr>
          <w:rStyle w:val="normaltextrun"/>
          <w:rFonts w:asciiTheme="majorBidi" w:eastAsiaTheme="majorEastAsia" w:hAnsiTheme="majorBidi" w:cstheme="majorBidi"/>
        </w:rPr>
        <w:t xml:space="preserve"> National-level data are generally reported by the National Statistics Office or the Ministry of Fisheries and/or Agriculture</w:t>
      </w:r>
      <w:r w:rsidR="00756F0F" w:rsidRPr="00ED7E61">
        <w:rPr>
          <w:rStyle w:val="normaltextrun"/>
        </w:rPr>
        <w:t> </w:t>
      </w:r>
    </w:p>
    <w:p w14:paraId="3207BF2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E3CA403" w14:textId="77777777" w:rsidR="00756F0F" w:rsidRPr="00ED7E61" w:rsidRDefault="00756F0F" w:rsidP="005C6EAC">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FAO</w:t>
      </w:r>
      <w:r w:rsidRPr="00ED7E61">
        <w:rPr>
          <w:rStyle w:val="eop"/>
          <w:rFonts w:asciiTheme="majorBidi" w:eastAsiaTheme="majorEastAsia" w:hAnsiTheme="majorBidi" w:cstheme="majorBidi"/>
        </w:rPr>
        <w:t> </w:t>
      </w:r>
    </w:p>
    <w:p w14:paraId="276D026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ED7E61">
        <w:rPr>
          <w:rStyle w:val="eop"/>
          <w:rFonts w:asciiTheme="majorBidi" w:eastAsiaTheme="majorEastAsia" w:hAnsiTheme="majorBidi" w:cstheme="majorBidi"/>
          <w:sz w:val="22"/>
          <w:szCs w:val="22"/>
          <w:lang w:val="en-GB"/>
        </w:rPr>
        <w:t> </w:t>
      </w:r>
    </w:p>
    <w:p w14:paraId="1C02C27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30EB829C" w14:textId="77777777" w:rsidR="00756F0F" w:rsidRPr="00ED7E61" w:rsidRDefault="00756F0F" w:rsidP="005C6EAC">
      <w:pPr>
        <w:pStyle w:val="CBDNormalNumber"/>
        <w:ind w:left="567"/>
        <w:jc w:val="left"/>
        <w:rPr>
          <w:rStyle w:val="normaltextrun"/>
          <w:rFonts w:eastAsiaTheme="majorEastAsia"/>
        </w:rPr>
      </w:pPr>
      <w:r w:rsidRPr="00ED7E61">
        <w:rPr>
          <w:rStyle w:val="normaltextrun"/>
          <w:rFonts w:asciiTheme="majorBidi" w:eastAsiaTheme="majorEastAsia" w:hAnsiTheme="majorBidi" w:cstheme="majorBidi"/>
          <w:i/>
          <w:iCs/>
        </w:rPr>
        <w:t>N/A</w:t>
      </w:r>
      <w:r w:rsidRPr="00ED7E61">
        <w:rPr>
          <w:rStyle w:val="eop"/>
          <w:rFonts w:asciiTheme="majorBidi" w:eastAsiaTheme="majorEastAsia" w:hAnsiTheme="majorBidi" w:cstheme="majorBidi"/>
        </w:rPr>
        <w:t> </w:t>
      </w:r>
    </w:p>
    <w:p w14:paraId="55FE6EA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1CE8615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Global/regional levels</w:t>
      </w:r>
      <w:r w:rsidRPr="00ED7E61">
        <w:rPr>
          <w:rStyle w:val="eop"/>
          <w:rFonts w:asciiTheme="majorBidi" w:eastAsiaTheme="majorEastAsia" w:hAnsiTheme="majorBidi" w:cstheme="majorBidi"/>
          <w:sz w:val="22"/>
          <w:szCs w:val="22"/>
        </w:rPr>
        <w:t> </w:t>
      </w:r>
    </w:p>
    <w:p w14:paraId="19EB7B43" w14:textId="6F00ABB7" w:rsidR="00756F0F" w:rsidRPr="00ED7E61" w:rsidRDefault="00756F0F" w:rsidP="00ED7C5E">
      <w:pPr>
        <w:pStyle w:val="CBDNormalNumber"/>
        <w:numPr>
          <w:ilvl w:val="0"/>
          <w:numId w:val="32"/>
        </w:numPr>
        <w:ind w:left="567" w:firstLine="0"/>
        <w:jc w:val="left"/>
        <w:rPr>
          <w:rStyle w:val="normaltextrun"/>
          <w:rFonts w:eastAsiaTheme="majorEastAsia"/>
        </w:rPr>
      </w:pPr>
      <w:r w:rsidRPr="00ED7E61">
        <w:rPr>
          <w:rStyle w:val="normaltextrun"/>
          <w:rFonts w:eastAsiaTheme="majorEastAsia"/>
        </w:rPr>
        <w:t xml:space="preserve">To ensure completeness of regional and global information on stocks, FAO gathers additional information outside of what is provided by each country, </w:t>
      </w:r>
      <w:proofErr w:type="gramStart"/>
      <w:r w:rsidRPr="00ED7E61">
        <w:rPr>
          <w:rStyle w:val="normaltextrun"/>
          <w:rFonts w:eastAsiaTheme="majorEastAsia"/>
        </w:rPr>
        <w:t>in particular concerning</w:t>
      </w:r>
      <w:proofErr w:type="gramEnd"/>
      <w:r w:rsidRPr="00ED7E61">
        <w:rPr>
          <w:rStyle w:val="normaltextrun"/>
          <w:rFonts w:eastAsiaTheme="majorEastAsia"/>
        </w:rPr>
        <w:t xml:space="preserve"> the highly migratory and straddling fishing stocks. For shared stocks, FAO may consult with </w:t>
      </w:r>
      <w:r w:rsidR="00ED7C5E" w:rsidRPr="00ED7C5E">
        <w:rPr>
          <w:rFonts w:eastAsiaTheme="majorEastAsia"/>
          <w:lang w:val="en-CA"/>
        </w:rPr>
        <w:t xml:space="preserve">international organisations (RFMOs) and </w:t>
      </w:r>
      <w:r w:rsidRPr="00ED7E61">
        <w:rPr>
          <w:rStyle w:val="normaltextrun"/>
          <w:rFonts w:eastAsiaTheme="majorEastAsia"/>
        </w:rPr>
        <w:t xml:space="preserve">Regional Fisheries Bodies (RFBs), who are mandated to assess and manage stocks with their contracting parties, </w:t>
      </w:r>
      <w:proofErr w:type="gramStart"/>
      <w:r w:rsidRPr="00ED7E61">
        <w:rPr>
          <w:rStyle w:val="normaltextrun"/>
          <w:rFonts w:eastAsiaTheme="majorEastAsia"/>
        </w:rPr>
        <w:t>in order to</w:t>
      </w:r>
      <w:proofErr w:type="gramEnd"/>
      <w:r w:rsidRPr="00ED7E61">
        <w:rPr>
          <w:rStyle w:val="normaltextrun"/>
          <w:rFonts w:eastAsiaTheme="majorEastAsia"/>
        </w:rPr>
        <w:t xml:space="preserve"> receive information and data and conduct stock assessment when necessary. </w:t>
      </w:r>
      <w:r w:rsidRPr="00ED7E61">
        <w:rPr>
          <w:rStyle w:val="normaltextrun"/>
        </w:rPr>
        <w:t> </w:t>
      </w:r>
    </w:p>
    <w:p w14:paraId="79E46A5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National level</w:t>
      </w:r>
      <w:r w:rsidRPr="00ED7E61">
        <w:rPr>
          <w:rStyle w:val="eop"/>
          <w:rFonts w:asciiTheme="majorBidi" w:eastAsiaTheme="majorEastAsia" w:hAnsiTheme="majorBidi" w:cstheme="majorBidi"/>
          <w:sz w:val="22"/>
          <w:szCs w:val="22"/>
        </w:rPr>
        <w:t> </w:t>
      </w:r>
    </w:p>
    <w:p w14:paraId="4AD083DD" w14:textId="77777777" w:rsidR="00756F0F" w:rsidRPr="00ED7E61" w:rsidRDefault="00756F0F" w:rsidP="00B10F0C">
      <w:pPr>
        <w:pStyle w:val="CBDNormalNumber"/>
        <w:numPr>
          <w:ilvl w:val="0"/>
          <w:numId w:val="32"/>
        </w:numPr>
        <w:ind w:left="567" w:firstLine="0"/>
        <w:jc w:val="left"/>
        <w:rPr>
          <w:rStyle w:val="normaltextrun"/>
          <w:rFonts w:eastAsiaTheme="majorEastAsia"/>
        </w:rPr>
      </w:pPr>
      <w:r w:rsidRPr="00ED7E61">
        <w:rPr>
          <w:rStyle w:val="normaltextrun"/>
          <w:rFonts w:eastAsiaTheme="majorEastAsia"/>
        </w:rPr>
        <w:t>This indicator examines marine fish stocks. If a country has no marine capture fisheries, then the indicator is not calculated for that country. In such case, no imputation is performed to derive estimates. For countries reporting limited marine fish stock data, or data scored of low quality after quality assurance process, these are reported as Low reliability (code “</w:t>
      </w:r>
      <w:r w:rsidRPr="00FB1598">
        <w:rPr>
          <w:rStyle w:val="normaltextrun"/>
          <w:rFonts w:eastAsiaTheme="majorEastAsia"/>
          <w:i/>
          <w:iCs/>
        </w:rPr>
        <w:t>U</w:t>
      </w:r>
      <w:r w:rsidRPr="00ED7E61">
        <w:rPr>
          <w:rStyle w:val="normaltextrun"/>
          <w:rFonts w:eastAsiaTheme="majorEastAsia"/>
        </w:rPr>
        <w:t>” of the OBS_STATUS flag)</w:t>
      </w:r>
      <w:r w:rsidRPr="00ED7E61">
        <w:rPr>
          <w:rStyle w:val="normaltextrun"/>
        </w:rPr>
        <w:t> </w:t>
      </w:r>
    </w:p>
    <w:p w14:paraId="3C5FA3A8" w14:textId="31000BC2" w:rsidR="00756F0F" w:rsidRPr="00ED7E61" w:rsidRDefault="006C37D9" w:rsidP="00B10F0C">
      <w:pPr>
        <w:pStyle w:val="CBDNormalNumber"/>
        <w:numPr>
          <w:ilvl w:val="0"/>
          <w:numId w:val="32"/>
        </w:numPr>
        <w:ind w:left="567" w:firstLine="0"/>
        <w:jc w:val="left"/>
        <w:rPr>
          <w:rFonts w:asciiTheme="majorBidi" w:hAnsiTheme="majorBidi" w:cstheme="majorBidi"/>
        </w:rPr>
      </w:pPr>
      <w:r>
        <w:rPr>
          <w:rStyle w:val="normaltextrun"/>
          <w:rFonts w:eastAsiaTheme="majorEastAsia"/>
        </w:rPr>
        <w:t>From 20025</w:t>
      </w:r>
      <w:r w:rsidR="00756F0F" w:rsidRPr="00ED7E61">
        <w:rPr>
          <w:rStyle w:val="normaltextrun"/>
          <w:rFonts w:asciiTheme="majorBidi" w:eastAsiaTheme="majorEastAsia" w:hAnsiTheme="majorBidi" w:cstheme="majorBidi"/>
        </w:rPr>
        <w:t xml:space="preserve">, the estimation of the indicator at regional and global levels </w:t>
      </w:r>
      <w:r w:rsidR="003B4530">
        <w:rPr>
          <w:rStyle w:val="normaltextrun"/>
          <w:rFonts w:asciiTheme="majorBidi" w:eastAsiaTheme="majorEastAsia" w:hAnsiTheme="majorBidi" w:cstheme="majorBidi"/>
        </w:rPr>
        <w:t>includes</w:t>
      </w:r>
      <w:r w:rsidR="003713AC" w:rsidRPr="00ED7E61">
        <w:rPr>
          <w:rStyle w:val="normaltextrun"/>
          <w:rFonts w:asciiTheme="majorBidi" w:eastAsiaTheme="majorEastAsia" w:hAnsiTheme="majorBidi" w:cstheme="majorBidi"/>
        </w:rPr>
        <w:t xml:space="preserve"> </w:t>
      </w:r>
      <w:r w:rsidR="003B4530">
        <w:rPr>
          <w:rStyle w:val="normaltextrun"/>
          <w:rFonts w:asciiTheme="majorBidi" w:eastAsiaTheme="majorEastAsia" w:hAnsiTheme="majorBidi" w:cstheme="majorBidi"/>
        </w:rPr>
        <w:t xml:space="preserve">stock statuses from </w:t>
      </w:r>
      <w:r w:rsidR="00756F0F" w:rsidRPr="00ED7E61">
        <w:rPr>
          <w:rStyle w:val="normaltextrun"/>
          <w:rFonts w:asciiTheme="majorBidi" w:eastAsiaTheme="majorEastAsia" w:hAnsiTheme="majorBidi" w:cstheme="majorBidi"/>
        </w:rPr>
        <w:t xml:space="preserve">country questionnaires, </w:t>
      </w:r>
      <w:r w:rsidR="003B4530">
        <w:rPr>
          <w:rStyle w:val="normaltextrun"/>
          <w:rFonts w:asciiTheme="majorBidi" w:eastAsiaTheme="majorEastAsia" w:hAnsiTheme="majorBidi" w:cstheme="majorBidi"/>
        </w:rPr>
        <w:t xml:space="preserve">as part </w:t>
      </w:r>
      <w:proofErr w:type="gramStart"/>
      <w:r w:rsidR="003B4530">
        <w:rPr>
          <w:rStyle w:val="normaltextrun"/>
          <w:rFonts w:asciiTheme="majorBidi" w:eastAsiaTheme="majorEastAsia" w:hAnsiTheme="majorBidi" w:cstheme="majorBidi"/>
        </w:rPr>
        <w:t xml:space="preserve">of </w:t>
      </w:r>
      <w:r w:rsidR="00756F0F" w:rsidRPr="00ED7E61">
        <w:rPr>
          <w:rStyle w:val="normaltextrun"/>
          <w:rFonts w:asciiTheme="majorBidi" w:eastAsiaTheme="majorEastAsia" w:hAnsiTheme="majorBidi" w:cstheme="majorBidi"/>
        </w:rPr>
        <w:t xml:space="preserve"> a</w:t>
      </w:r>
      <w:proofErr w:type="gramEnd"/>
      <w:r w:rsidR="00756F0F" w:rsidRPr="00ED7E61">
        <w:rPr>
          <w:rStyle w:val="normaltextrun"/>
          <w:rFonts w:asciiTheme="majorBidi" w:eastAsiaTheme="majorEastAsia" w:hAnsiTheme="majorBidi" w:cstheme="majorBidi"/>
        </w:rPr>
        <w:t xml:space="preserve"> systematic assessment of a reference list selected globally</w:t>
      </w:r>
      <w:r w:rsidR="003B4530">
        <w:rPr>
          <w:rStyle w:val="normaltextrun"/>
          <w:rFonts w:asciiTheme="majorBidi" w:eastAsiaTheme="majorEastAsia" w:hAnsiTheme="majorBidi" w:cstheme="majorBidi"/>
        </w:rPr>
        <w:t xml:space="preserve"> by FAO</w:t>
      </w:r>
      <w:r w:rsidR="00756F0F" w:rsidRPr="00ED7E61">
        <w:rPr>
          <w:rStyle w:val="normaltextrun"/>
          <w:rFonts w:asciiTheme="majorBidi" w:eastAsiaTheme="majorEastAsia" w:hAnsiTheme="majorBidi" w:cstheme="majorBidi"/>
        </w:rPr>
        <w:t>.  </w:t>
      </w:r>
      <w:r w:rsidR="00756F0F" w:rsidRPr="00ED7E61">
        <w:rPr>
          <w:rStyle w:val="eop"/>
          <w:rFonts w:asciiTheme="majorBidi" w:eastAsiaTheme="majorEastAsia" w:hAnsiTheme="majorBidi" w:cstheme="majorBidi"/>
        </w:rPr>
        <w:t> </w:t>
      </w:r>
    </w:p>
    <w:p w14:paraId="3C162CD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39C3E30B" w14:textId="77777777" w:rsidR="00756F0F" w:rsidRPr="00ED7E61" w:rsidRDefault="00756F0F" w:rsidP="005C6EAC">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2AE9DEC9" w14:textId="77777777" w:rsidR="00756F0F" w:rsidRPr="00ED7E61" w:rsidRDefault="00756F0F" w:rsidP="005C6EA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eop"/>
          <w:rFonts w:asciiTheme="majorBidi" w:eastAsiaTheme="majorEastAsia" w:hAnsiTheme="majorBidi" w:cstheme="majorBidi"/>
          <w:sz w:val="22"/>
          <w:szCs w:val="22"/>
        </w:rPr>
        <w:t> </w:t>
      </w:r>
    </w:p>
    <w:p w14:paraId="69148AED" w14:textId="77777777" w:rsidR="00756F0F" w:rsidRPr="00ED7E61" w:rsidRDefault="00756F0F" w:rsidP="005C6EA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 </w:t>
      </w:r>
      <w:r w:rsidRPr="00ED7E61">
        <w:rPr>
          <w:rStyle w:val="normaltextrun"/>
          <w:rFonts w:asciiTheme="majorBidi" w:eastAsiaTheme="majorEastAsia" w:hAnsiTheme="majorBidi" w:cstheme="majorBidi"/>
          <w:sz w:val="22"/>
          <w:szCs w:val="22"/>
        </w:rPr>
        <w:t xml:space="preserve">Global: </w:t>
      </w:r>
      <w:r w:rsidRPr="00ED7E61">
        <w:rPr>
          <w:rStyle w:val="normaltextrun"/>
          <w:rFonts w:ascii="Segoe UI Symbol" w:eastAsiaTheme="majorEastAsia" w:hAnsi="Segoe UI Symbol" w:cs="Segoe UI Symbol"/>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normaltextrun"/>
          <w:rFonts w:ascii="Segoe UI Symbol" w:eastAsiaTheme="majorEastAsia" w:hAnsi="Segoe UI Symbol" w:cs="Segoe UI Symbol"/>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National </w:t>
      </w:r>
      <w:r w:rsidRPr="00ED7E61">
        <w:rPr>
          <w:rStyle w:val="normaltextrun"/>
          <w:rFonts w:ascii="Segoe UI Symbol" w:eastAsiaTheme="majorEastAsia" w:hAnsi="Segoe UI Symbol" w:cs="Segoe UI Symbol"/>
          <w:sz w:val="22"/>
          <w:szCs w:val="22"/>
        </w:rPr>
        <w:t>☒</w:t>
      </w:r>
      <w:r w:rsidRPr="00ED7E61">
        <w:rPr>
          <w:rStyle w:val="eop"/>
          <w:rFonts w:asciiTheme="majorBidi" w:eastAsiaTheme="majorEastAsia" w:hAnsiTheme="majorBidi" w:cstheme="majorBidi"/>
          <w:sz w:val="22"/>
          <w:szCs w:val="22"/>
        </w:rPr>
        <w:t> </w:t>
      </w:r>
    </w:p>
    <w:p w14:paraId="542291FE" w14:textId="77777777" w:rsidR="00756F0F" w:rsidRPr="00ED7E61" w:rsidRDefault="00756F0F" w:rsidP="005C6EA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data disaggregation/aggregation: </w:t>
      </w:r>
      <w:r w:rsidRPr="00ED7E61">
        <w:rPr>
          <w:rStyle w:val="eop"/>
          <w:rFonts w:asciiTheme="majorBidi" w:eastAsiaTheme="majorEastAsia" w:hAnsiTheme="majorBidi" w:cstheme="majorBidi"/>
          <w:sz w:val="22"/>
          <w:szCs w:val="22"/>
        </w:rPr>
        <w:t> </w:t>
      </w:r>
    </w:p>
    <w:p w14:paraId="4D47ACB1" w14:textId="77777777" w:rsidR="00756F0F" w:rsidRPr="00ED7E61" w:rsidRDefault="00756F0F" w:rsidP="00B10F0C">
      <w:pPr>
        <w:pStyle w:val="CBDNormalNumber"/>
        <w:numPr>
          <w:ilvl w:val="0"/>
          <w:numId w:val="32"/>
        </w:numPr>
        <w:ind w:left="567" w:firstLine="0"/>
        <w:jc w:val="left"/>
        <w:rPr>
          <w:rStyle w:val="normaltextrun"/>
          <w:rFonts w:eastAsiaTheme="majorEastAsia"/>
        </w:rPr>
      </w:pPr>
      <w:r w:rsidRPr="00ED7E61">
        <w:rPr>
          <w:rStyle w:val="normaltextrun"/>
          <w:rFonts w:eastAsiaTheme="majorEastAsia"/>
        </w:rPr>
        <w:t xml:space="preserve">Global/ regional scale indicator can be disaggregated to national level: </w:t>
      </w:r>
      <w:r w:rsidRPr="00ED7E61">
        <w:rPr>
          <w:rStyle w:val="normaltextrun"/>
          <w:rFonts w:ascii="Segoe UI Symbol" w:eastAsiaTheme="majorEastAsia" w:hAnsi="Segoe UI Symbol" w:cs="Segoe UI Symbol"/>
        </w:rPr>
        <w:t>☐</w:t>
      </w:r>
      <w:r w:rsidRPr="00ED7E61">
        <w:rPr>
          <w:rStyle w:val="normaltextrun"/>
        </w:rPr>
        <w:t> </w:t>
      </w:r>
    </w:p>
    <w:p w14:paraId="51B8DFF6" w14:textId="77777777" w:rsidR="00756F0F" w:rsidRPr="00ED7E61" w:rsidRDefault="00756F0F" w:rsidP="00B10F0C">
      <w:pPr>
        <w:pStyle w:val="CBDNormalNumber"/>
        <w:numPr>
          <w:ilvl w:val="0"/>
          <w:numId w:val="32"/>
        </w:numPr>
        <w:ind w:left="567" w:firstLine="0"/>
        <w:jc w:val="left"/>
        <w:rPr>
          <w:rStyle w:val="normaltextrun"/>
          <w:rFonts w:eastAsiaTheme="majorEastAsia"/>
        </w:rPr>
      </w:pPr>
      <w:r w:rsidRPr="00ED7E61">
        <w:rPr>
          <w:rStyle w:val="normaltextrun"/>
          <w:rFonts w:eastAsiaTheme="majorEastAsia"/>
        </w:rPr>
        <w:t xml:space="preserve">National data is collated to form global indicator: </w:t>
      </w:r>
      <w:r w:rsidRPr="00ED7E61">
        <w:rPr>
          <w:rStyle w:val="normaltextrun"/>
          <w:rFonts w:ascii="Segoe UI Symbol" w:eastAsiaTheme="majorEastAsia" w:hAnsi="Segoe UI Symbol" w:cs="Segoe UI Symbol"/>
        </w:rPr>
        <w:t>☐</w:t>
      </w:r>
      <w:r w:rsidRPr="00ED7E61">
        <w:rPr>
          <w:rStyle w:val="normaltextrun"/>
        </w:rPr>
        <w:t> </w:t>
      </w:r>
    </w:p>
    <w:p w14:paraId="3C74BC2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65631190" w14:textId="662C1BA8"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eastAsiaTheme="majorEastAsia"/>
        </w:rPr>
        <w:t>In</w:t>
      </w:r>
      <w:r w:rsidRPr="00ED7E61">
        <w:rPr>
          <w:rStyle w:val="normaltextrun"/>
          <w:rFonts w:asciiTheme="majorBidi" w:eastAsiaTheme="majorEastAsia" w:hAnsiTheme="majorBidi" w:cstheme="majorBidi"/>
        </w:rPr>
        <w:t xml:space="preserve"> each country, the data available for each stock and expertise level to conduct different types of</w:t>
      </w:r>
      <w:r w:rsidRPr="00ED7E61">
        <w:rPr>
          <w:rStyle w:val="scxw55407066"/>
          <w:rFonts w:asciiTheme="majorBidi" w:eastAsiaTheme="majorEastAsia" w:hAnsiTheme="majorBidi" w:cstheme="majorBidi"/>
        </w:rPr>
        <w:t> </w:t>
      </w:r>
      <w:r w:rsidRPr="00ED7E61">
        <w:rPr>
          <w:rStyle w:val="normaltextrun"/>
          <w:rFonts w:asciiTheme="majorBidi" w:eastAsiaTheme="majorEastAsia" w:hAnsiTheme="majorBidi" w:cstheme="majorBidi"/>
        </w:rPr>
        <w:t>assessments will differ. Some countries may have classic stock assessments already conducted for many of their stocks, while others may have very few or no assessments available.</w:t>
      </w:r>
      <w:r w:rsidRPr="00ED7E61">
        <w:rPr>
          <w:rStyle w:val="scxw55407066"/>
          <w:rFonts w:asciiTheme="majorBidi" w:eastAsiaTheme="majorEastAsia" w:hAnsiTheme="majorBidi" w:cstheme="majorBidi"/>
        </w:rPr>
        <w:t> </w:t>
      </w:r>
      <w:r w:rsidRPr="00ED7E61">
        <w:rPr>
          <w:rFonts w:asciiTheme="majorBidi" w:hAnsiTheme="majorBidi" w:cstheme="majorBidi"/>
        </w:rPr>
        <w:br/>
      </w:r>
      <w:r w:rsidRPr="00ED7E61">
        <w:rPr>
          <w:rStyle w:val="normaltextrun"/>
          <w:rFonts w:asciiTheme="majorBidi" w:eastAsiaTheme="majorEastAsia" w:hAnsiTheme="majorBidi" w:cstheme="majorBidi"/>
        </w:rPr>
        <w:t xml:space="preserve">For some countries, little stock assessment has been done. To help these countries and to facilitate their reporting, FAO prepared online materials and tools, including a selection of methods that can be used to evaluate stock status with data limited methods such as length-based and catch-only methods and an online platform for hands-on practice. The strengths and limitations of these methods are discussed in an eLearning course (Lesson 4), and caveats were also provided to avoid </w:t>
      </w:r>
      <w:r w:rsidRPr="00ED7E61">
        <w:rPr>
          <w:rStyle w:val="normaltextrun"/>
          <w:rFonts w:asciiTheme="majorBidi" w:eastAsiaTheme="majorEastAsia" w:hAnsiTheme="majorBidi" w:cstheme="majorBidi"/>
        </w:rPr>
        <w:lastRenderedPageBreak/>
        <w:t>misuse and exercise cautions in practice. Furthermore, capacity development workshops have been organised to provide support to countries in stock assessment and reporting on the SDG 14.4.1.</w:t>
      </w:r>
      <w:r w:rsidRPr="00ED7E61">
        <w:rPr>
          <w:rStyle w:val="scxw55407066"/>
          <w:rFonts w:asciiTheme="majorBidi" w:eastAsiaTheme="majorEastAsia" w:hAnsiTheme="majorBidi" w:cstheme="majorBidi"/>
        </w:rPr>
        <w:t> </w:t>
      </w:r>
      <w:r w:rsidRPr="00ED7E61">
        <w:rPr>
          <w:rFonts w:asciiTheme="majorBidi" w:hAnsiTheme="majorBidi" w:cstheme="majorBidi"/>
        </w:rPr>
        <w:br/>
      </w:r>
      <w:r w:rsidRPr="00ED7E61">
        <w:rPr>
          <w:rStyle w:val="normaltextrun"/>
          <w:rFonts w:asciiTheme="majorBidi" w:eastAsiaTheme="majorEastAsia" w:hAnsiTheme="majorBidi" w:cstheme="majorBidi"/>
        </w:rPr>
        <w:t xml:space="preserve">eLearning course: </w:t>
      </w:r>
      <w:hyperlink r:id="rId347" w:history="1">
        <w:r w:rsidR="002B5C03" w:rsidRPr="00ED7E61">
          <w:rPr>
            <w:rStyle w:val="Hyperlink"/>
            <w:rFonts w:asciiTheme="majorBidi" w:eastAsiaTheme="majorEastAsia" w:hAnsiTheme="majorBidi" w:cstheme="majorBidi"/>
          </w:rPr>
          <w:t>https://elearning.fao.org/course/view.php?id=502</w:t>
        </w:r>
      </w:hyperlink>
      <w:r w:rsidRPr="00ED7E61">
        <w:rPr>
          <w:rStyle w:val="eop"/>
          <w:rFonts w:asciiTheme="majorBidi" w:eastAsiaTheme="majorEastAsia" w:hAnsiTheme="majorBidi" w:cstheme="majorBidi"/>
        </w:rPr>
        <w:t> </w:t>
      </w:r>
    </w:p>
    <w:p w14:paraId="015D6BE9" w14:textId="55FB2D5D" w:rsidR="00756F0F" w:rsidRPr="00ED7E61" w:rsidRDefault="00756F0F" w:rsidP="00DD72A3">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7801868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Sources of discrepancies:</w:t>
      </w:r>
      <w:r w:rsidRPr="00ED7E61">
        <w:rPr>
          <w:rStyle w:val="eop"/>
          <w:rFonts w:asciiTheme="majorBidi" w:eastAsiaTheme="majorEastAsia" w:hAnsiTheme="majorBidi" w:cstheme="majorBidi"/>
          <w:sz w:val="22"/>
          <w:szCs w:val="22"/>
        </w:rPr>
        <w:t> </w:t>
      </w:r>
    </w:p>
    <w:p w14:paraId="6D940FA3" w14:textId="69CFEDB6" w:rsidR="00756F0F" w:rsidRPr="00ED7E61" w:rsidRDefault="00756F0F" w:rsidP="00A019BD">
      <w:pPr>
        <w:pStyle w:val="CBDNormalNumber"/>
        <w:numPr>
          <w:ilvl w:val="0"/>
          <w:numId w:val="32"/>
        </w:numPr>
        <w:ind w:left="567" w:firstLine="0"/>
        <w:jc w:val="left"/>
        <w:rPr>
          <w:rFonts w:asciiTheme="majorBidi" w:hAnsiTheme="majorBidi" w:cstheme="majorBidi"/>
        </w:rPr>
      </w:pPr>
      <w:r w:rsidRPr="00ED7E61">
        <w:rPr>
          <w:rStyle w:val="normaltextrun"/>
          <w:rFonts w:eastAsiaTheme="majorEastAsia"/>
        </w:rPr>
        <w:t>The</w:t>
      </w:r>
      <w:r w:rsidRPr="00ED7E61">
        <w:rPr>
          <w:rStyle w:val="normaltextrun"/>
          <w:rFonts w:asciiTheme="majorBidi" w:eastAsiaTheme="majorEastAsia" w:hAnsiTheme="majorBidi" w:cstheme="majorBidi"/>
        </w:rPr>
        <w:t xml:space="preserve"> indicator is estimated by the FAO based on the methodology developed in the 1980s (FAO, 2011</w:t>
      </w:r>
      <w:r w:rsidR="00A019BD">
        <w:rPr>
          <w:rStyle w:val="normaltextrun"/>
          <w:rFonts w:asciiTheme="majorBidi" w:eastAsiaTheme="majorEastAsia" w:hAnsiTheme="majorBidi" w:cstheme="majorBidi"/>
        </w:rPr>
        <w:t xml:space="preserve"> </w:t>
      </w:r>
      <w:r w:rsidR="00A019BD" w:rsidRPr="00A019BD">
        <w:rPr>
          <w:rFonts w:asciiTheme="majorBidi" w:eastAsiaTheme="majorEastAsia" w:hAnsiTheme="majorBidi" w:cstheme="majorBidi"/>
          <w:lang w:val="en-CA"/>
        </w:rPr>
        <w:t>and updated in 2025 (Sharma et al. 2025)</w:t>
      </w:r>
      <w:r w:rsidRPr="00ED7E61">
        <w:rPr>
          <w:rStyle w:val="normaltextrun"/>
          <w:rFonts w:asciiTheme="majorBidi" w:eastAsiaTheme="majorEastAsia" w:hAnsiTheme="majorBidi" w:cstheme="majorBidi"/>
        </w:rPr>
        <w:t xml:space="preserve">). Although regular updates were carried out to incorporate technical advances and changes in major fish species, some discrepancies between regions may occur in the representativeness of the reference list in practical fisheries. However, this will not pose a large impact on the reliability of the </w:t>
      </w:r>
      <w:r w:rsidR="00E34A44">
        <w:rPr>
          <w:rStyle w:val="normaltextrun"/>
          <w:rFonts w:asciiTheme="majorBidi" w:eastAsiaTheme="majorEastAsia" w:hAnsiTheme="majorBidi" w:cstheme="majorBidi"/>
        </w:rPr>
        <w:t>g</w:t>
      </w:r>
      <w:r w:rsidRPr="00ED7E61">
        <w:rPr>
          <w:rStyle w:val="normaltextrun"/>
          <w:rFonts w:asciiTheme="majorBidi" w:eastAsiaTheme="majorEastAsia" w:hAnsiTheme="majorBidi" w:cstheme="majorBidi"/>
        </w:rPr>
        <w:t>lobal indicator’s temporal trends which covers 7</w:t>
      </w:r>
      <w:r w:rsidR="006E2086">
        <w:rPr>
          <w:rStyle w:val="normaltextrun"/>
          <w:rFonts w:asciiTheme="majorBidi" w:eastAsiaTheme="majorEastAsia" w:hAnsiTheme="majorBidi" w:cstheme="majorBidi"/>
        </w:rPr>
        <w:t>4</w:t>
      </w:r>
      <w:r w:rsidRPr="00ED7E61">
        <w:rPr>
          <w:rStyle w:val="normaltextrun"/>
          <w:rFonts w:asciiTheme="majorBidi" w:eastAsiaTheme="majorEastAsia" w:hAnsiTheme="majorBidi" w:cstheme="majorBidi"/>
        </w:rPr>
        <w:t>% of global landings.</w:t>
      </w:r>
      <w:r w:rsidRPr="00ED7E61">
        <w:rPr>
          <w:rStyle w:val="eop"/>
          <w:rFonts w:asciiTheme="majorBidi" w:eastAsiaTheme="majorEastAsia" w:hAnsiTheme="majorBidi" w:cstheme="majorBidi"/>
        </w:rPr>
        <w:t> </w:t>
      </w:r>
    </w:p>
    <w:p w14:paraId="6428D6F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0DCC0AE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w:t>
      </w:r>
      <w:r w:rsidRPr="00ED7E61">
        <w:rPr>
          <w:rStyle w:val="normaltextrun"/>
          <w:rFonts w:asciiTheme="majorBidi" w:eastAsiaTheme="majorEastAsia" w:hAnsiTheme="majorBidi" w:cstheme="majorBidi"/>
          <w:sz w:val="22"/>
          <w:szCs w:val="22"/>
        </w:rPr>
        <w:t xml:space="preserve"> </w:t>
      </w:r>
      <w:r w:rsidRPr="00ED7E61">
        <w:rPr>
          <w:rStyle w:val="normaltextrun"/>
          <w:rFonts w:asciiTheme="majorBidi" w:eastAsiaTheme="majorEastAsia" w:hAnsiTheme="majorBidi" w:cstheme="majorBidi"/>
          <w:i/>
          <w:iCs/>
          <w:sz w:val="22"/>
          <w:szCs w:val="22"/>
        </w:rPr>
        <w:t>Description of the methodology</w:t>
      </w:r>
      <w:r w:rsidRPr="00ED7E61">
        <w:rPr>
          <w:rStyle w:val="eop"/>
          <w:rFonts w:asciiTheme="majorBidi" w:eastAsiaTheme="majorEastAsia" w:hAnsiTheme="majorBidi" w:cstheme="majorBidi"/>
          <w:sz w:val="22"/>
          <w:szCs w:val="22"/>
        </w:rPr>
        <w:t> </w:t>
      </w:r>
    </w:p>
    <w:p w14:paraId="67CB8188" w14:textId="77777777"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eastAsiaTheme="majorEastAsia"/>
        </w:rPr>
        <w:t>As</w:t>
      </w:r>
      <w:r w:rsidRPr="00ED7E61">
        <w:rPr>
          <w:rStyle w:val="normaltextrun"/>
          <w:rFonts w:asciiTheme="majorBidi" w:eastAsiaTheme="majorEastAsia" w:hAnsiTheme="majorBidi" w:cstheme="majorBidi"/>
        </w:rPr>
        <w:t xml:space="preserve"> explained in the “</w:t>
      </w:r>
      <w:r w:rsidRPr="00FB1598">
        <w:rPr>
          <w:rStyle w:val="normaltextrun"/>
          <w:rFonts w:asciiTheme="majorBidi" w:eastAsiaTheme="majorEastAsia" w:hAnsiTheme="majorBidi" w:cstheme="majorBidi"/>
          <w:i/>
          <w:iCs/>
        </w:rPr>
        <w:t>Rationale</w:t>
      </w:r>
      <w:r w:rsidRPr="00ED7E61">
        <w:rPr>
          <w:rStyle w:val="normaltextrun"/>
          <w:rFonts w:asciiTheme="majorBidi" w:eastAsiaTheme="majorEastAsia" w:hAnsiTheme="majorBidi" w:cstheme="majorBidi"/>
        </w:rPr>
        <w:t>” section, national data alone cannot be meaningfully aggregated at global/regional level because country-level reporting will be limited to the assessment of stocks that are found only within a country’s EEZ (including stocks shared with neighbouring countries’ EEZs), and therefore not include straddling stocks, highly migratory species, or stocks in Areas Beyond National Jurisdiction (ABNJ). Therefore, regional “</w:t>
      </w:r>
      <w:r w:rsidRPr="00FB1598">
        <w:rPr>
          <w:rStyle w:val="normaltextrun"/>
          <w:rFonts w:asciiTheme="majorBidi" w:eastAsiaTheme="majorEastAsia" w:hAnsiTheme="majorBidi" w:cstheme="majorBidi"/>
          <w:i/>
          <w:iCs/>
        </w:rPr>
        <w:t>aggregates</w:t>
      </w:r>
      <w:r w:rsidRPr="00ED7E61">
        <w:rPr>
          <w:rStyle w:val="normaltextrun"/>
          <w:rFonts w:asciiTheme="majorBidi" w:eastAsiaTheme="majorEastAsia" w:hAnsiTheme="majorBidi" w:cstheme="majorBidi"/>
        </w:rPr>
        <w:t>” by FAO Major Fishing Area and the global indicator value are calculated with a specific approach, as described in the FAO Technical Paper (FAO 2011)</w:t>
      </w:r>
      <w:r w:rsidRPr="00ED7E61">
        <w:rPr>
          <w:rStyle w:val="eop"/>
          <w:rFonts w:asciiTheme="majorBidi" w:eastAsiaTheme="majorEastAsia" w:hAnsiTheme="majorBidi" w:cstheme="majorBidi"/>
        </w:rPr>
        <w:t> </w:t>
      </w:r>
    </w:p>
    <w:p w14:paraId="0535260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6300E2C3" w14:textId="77777777" w:rsidR="00756F0F" w:rsidRPr="00ED7E61" w:rsidRDefault="00756F0F" w:rsidP="00B10F0C">
      <w:pPr>
        <w:pStyle w:val="CBDNormalNumber"/>
        <w:numPr>
          <w:ilvl w:val="0"/>
          <w:numId w:val="32"/>
        </w:numPr>
        <w:ind w:left="567" w:firstLine="0"/>
        <w:jc w:val="left"/>
        <w:rPr>
          <w:rStyle w:val="normaltextrun"/>
          <w:rFonts w:eastAsiaTheme="majorEastAsia"/>
        </w:rPr>
      </w:pPr>
      <w:r w:rsidRPr="00ED7E61">
        <w:rPr>
          <w:rStyle w:val="normaltextrun"/>
          <w:rFonts w:eastAsiaTheme="majorEastAsia"/>
        </w:rPr>
        <w:t>FAO carries out a series of validations to assure that the data and information are provided by countries in line with the questionnaire instructions. The validation process consists of: (</w:t>
      </w:r>
      <w:proofErr w:type="spellStart"/>
      <w:r w:rsidRPr="00ED7E61">
        <w:rPr>
          <w:rStyle w:val="normaltextrun"/>
          <w:rFonts w:eastAsiaTheme="majorEastAsia"/>
        </w:rPr>
        <w:t>i</w:t>
      </w:r>
      <w:proofErr w:type="spellEnd"/>
      <w:r w:rsidRPr="00ED7E61">
        <w:rPr>
          <w:rStyle w:val="normaltextrun"/>
          <w:rFonts w:eastAsiaTheme="majorEastAsia"/>
        </w:rPr>
        <w:t>) identification of errors, mistakes and missing value in the data and, (ii) correcting errors, mistakes and missing values in close consultation with the countries concerned. Each country is asked either to confirm that the data provided are correct or to provide remarks and / or revise data accordingly if they identify any errors.</w:t>
      </w:r>
      <w:r w:rsidRPr="00ED7E61">
        <w:rPr>
          <w:rStyle w:val="normaltextrun"/>
        </w:rPr>
        <w:t> </w:t>
      </w:r>
    </w:p>
    <w:p w14:paraId="39EE922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 xml:space="preserve">6d.3 </w:t>
      </w:r>
      <w:r w:rsidRPr="00ED7E61">
        <w:rPr>
          <w:rStyle w:val="normaltextrun"/>
          <w:rFonts w:asciiTheme="majorBidi" w:eastAsiaTheme="majorEastAsia" w:hAnsiTheme="majorBidi" w:cstheme="majorBidi"/>
          <w:sz w:val="22"/>
          <w:szCs w:val="22"/>
        </w:rPr>
        <w:t>Description of the mechanism for collecting data from countries</w:t>
      </w:r>
      <w:r w:rsidRPr="00ED7E61">
        <w:rPr>
          <w:rStyle w:val="eop"/>
          <w:rFonts w:asciiTheme="majorBidi" w:eastAsiaTheme="majorEastAsia" w:hAnsiTheme="majorBidi" w:cstheme="majorBidi"/>
          <w:sz w:val="22"/>
          <w:szCs w:val="22"/>
        </w:rPr>
        <w:t> </w:t>
      </w:r>
    </w:p>
    <w:p w14:paraId="10693F08" w14:textId="77777777" w:rsidR="00756F0F" w:rsidRPr="00ED7E61" w:rsidRDefault="00756F0F" w:rsidP="005C6EAC">
      <w:pPr>
        <w:pStyle w:val="CBDNormalNumber"/>
        <w:ind w:left="567"/>
        <w:jc w:val="left"/>
        <w:rPr>
          <w:rFonts w:asciiTheme="majorBidi" w:hAnsiTheme="majorBidi" w:cstheme="majorBidi"/>
        </w:rPr>
      </w:pPr>
      <w:r w:rsidRPr="00ED7E61">
        <w:rPr>
          <w:rStyle w:val="normaltextrun"/>
          <w:rFonts w:eastAsiaTheme="majorEastAsia"/>
        </w:rPr>
        <w:t>N/A</w:t>
      </w:r>
      <w:r w:rsidRPr="00ED7E61">
        <w:rPr>
          <w:rStyle w:val="normaltextrun"/>
        </w:rPr>
        <w:t> </w:t>
      </w:r>
    </w:p>
    <w:p w14:paraId="30A3C21D" w14:textId="1DA95090" w:rsidR="00756F0F" w:rsidRPr="00812871" w:rsidRDefault="00756F0F" w:rsidP="00812871">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812871">
        <w:rPr>
          <w:rStyle w:val="normaltextrun"/>
          <w:rFonts w:asciiTheme="majorBidi" w:eastAsiaTheme="majorEastAsia" w:hAnsiTheme="majorBidi" w:cstheme="majorBidi"/>
          <w:b/>
          <w:bCs/>
          <w:sz w:val="22"/>
          <w:szCs w:val="22"/>
          <w:lang w:val="en-GB"/>
        </w:rPr>
        <w:t>7. Other MEAs, processes and organi</w:t>
      </w:r>
      <w:r w:rsidR="00B10F0C" w:rsidRPr="00812871">
        <w:rPr>
          <w:rStyle w:val="normaltextrun"/>
          <w:rFonts w:asciiTheme="majorBidi" w:eastAsiaTheme="majorEastAsia" w:hAnsiTheme="majorBidi" w:cstheme="majorBidi"/>
          <w:b/>
          <w:bCs/>
          <w:sz w:val="22"/>
          <w:szCs w:val="22"/>
          <w:lang w:val="en-GB"/>
        </w:rPr>
        <w:t>z</w:t>
      </w:r>
      <w:r w:rsidRPr="00812871">
        <w:rPr>
          <w:rStyle w:val="normaltextrun"/>
          <w:rFonts w:asciiTheme="majorBidi" w:eastAsiaTheme="majorEastAsia" w:hAnsiTheme="majorBidi" w:cstheme="majorBidi"/>
          <w:b/>
          <w:bCs/>
          <w:sz w:val="22"/>
          <w:szCs w:val="22"/>
          <w:lang w:val="en-GB"/>
        </w:rPr>
        <w:t>ations</w:t>
      </w:r>
      <w:r w:rsidRPr="00812871">
        <w:rPr>
          <w:rStyle w:val="normaltextrun"/>
          <w:rFonts w:eastAsiaTheme="majorEastAsia"/>
          <w:b/>
          <w:bCs/>
          <w:lang w:val="en-GB"/>
        </w:rPr>
        <w:t> </w:t>
      </w:r>
    </w:p>
    <w:p w14:paraId="03CD032F" w14:textId="304D8668" w:rsidR="002B5C03"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eastAsiaTheme="majorEastAsia"/>
        </w:rPr>
        <w:t>Intergovernmental</w:t>
      </w:r>
      <w:r w:rsidRPr="00ED7E61">
        <w:rPr>
          <w:rStyle w:val="normaltextrun"/>
          <w:rFonts w:asciiTheme="majorBidi" w:eastAsiaTheme="majorEastAsia" w:hAnsiTheme="majorBidi" w:cstheme="majorBidi"/>
        </w:rPr>
        <w:t xml:space="preserve"> Science-Policy Platform on Biodiversity and Ecosystem Services (IPBES): Core Indicator</w:t>
      </w:r>
      <w:r w:rsidRPr="00ED7E61">
        <w:rPr>
          <w:rStyle w:val="eop"/>
          <w:rFonts w:asciiTheme="majorBidi" w:eastAsiaTheme="majorEastAsia" w:hAnsiTheme="majorBidi" w:cstheme="majorBidi"/>
        </w:rPr>
        <w:t> </w:t>
      </w:r>
    </w:p>
    <w:p w14:paraId="129056D9" w14:textId="77777777" w:rsidR="00756F0F" w:rsidRPr="00ED7E61" w:rsidRDefault="00756F0F" w:rsidP="00B10F0C">
      <w:pPr>
        <w:pStyle w:val="CBDNormalNumber"/>
        <w:numPr>
          <w:ilvl w:val="0"/>
          <w:numId w:val="32"/>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Sustainable Development Goals (SDG) indicator 14.4.1 </w:t>
      </w:r>
      <w:hyperlink r:id="rId348" w:tgtFrame="_blank" w:history="1">
        <w:r w:rsidRPr="00ED7E61">
          <w:rPr>
            <w:rStyle w:val="normaltextrun"/>
            <w:rFonts w:asciiTheme="majorBidi" w:eastAsiaTheme="majorEastAsia" w:hAnsiTheme="majorBidi" w:cstheme="majorBidi"/>
            <w:color w:val="467886"/>
            <w:u w:val="single"/>
          </w:rPr>
          <w:t>https://www.fao.org/sustainable-development-goals-data-portal/data/indicators/1441-fish-stocks-sustainability/en</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54946AE7" w14:textId="6282E3E8" w:rsidR="00756F0F" w:rsidRPr="00ED7E61" w:rsidRDefault="00756F0F" w:rsidP="00EF3E4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5CD6142B" w14:textId="77777777" w:rsidR="00756F0F" w:rsidRPr="00ED7E61" w:rsidRDefault="00756F0F" w:rsidP="00B10F0C">
      <w:pPr>
        <w:pStyle w:val="CBDNormalNumber"/>
        <w:numPr>
          <w:ilvl w:val="0"/>
          <w:numId w:val="32"/>
        </w:numPr>
        <w:ind w:left="567" w:firstLine="0"/>
        <w:jc w:val="left"/>
        <w:rPr>
          <w:rStyle w:val="normaltextrun"/>
          <w:rFonts w:eastAsiaTheme="majorEastAsia"/>
        </w:rPr>
      </w:pPr>
      <w:r w:rsidRPr="00ED7E61">
        <w:rPr>
          <w:rStyle w:val="normaltextrun"/>
          <w:rFonts w:eastAsiaTheme="majorEastAsia"/>
        </w:rPr>
        <w:t>By FAO major marine fishing areas for statistical purposes.</w:t>
      </w:r>
      <w:r w:rsidRPr="00ED7E61">
        <w:rPr>
          <w:rStyle w:val="normaltextrun"/>
        </w:rPr>
        <w:t> </w:t>
      </w:r>
    </w:p>
    <w:p w14:paraId="1BD09B87" w14:textId="77777777" w:rsidR="00756F0F" w:rsidRPr="00ED7E61" w:rsidRDefault="00756F0F" w:rsidP="00B10F0C">
      <w:pPr>
        <w:pStyle w:val="CBDNormalNumber"/>
        <w:numPr>
          <w:ilvl w:val="0"/>
          <w:numId w:val="32"/>
        </w:numPr>
        <w:ind w:left="567" w:firstLine="0"/>
        <w:jc w:val="left"/>
        <w:rPr>
          <w:rStyle w:val="normaltextrun"/>
          <w:rFonts w:eastAsiaTheme="majorEastAsia"/>
        </w:rPr>
      </w:pPr>
      <w:r w:rsidRPr="00ED7E61">
        <w:rPr>
          <w:rStyle w:val="normaltextrun"/>
          <w:rFonts w:eastAsiaTheme="majorEastAsia"/>
        </w:rPr>
        <w:t>Taxonomically, FAO publishes the indicator separately for straddling stocks (mostly tuna and tuna like).</w:t>
      </w:r>
      <w:r w:rsidRPr="00ED7E61">
        <w:rPr>
          <w:rStyle w:val="normaltextrun"/>
        </w:rPr>
        <w:t> </w:t>
      </w:r>
    </w:p>
    <w:p w14:paraId="2CEB3EB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9. </w:t>
      </w:r>
      <w:r w:rsidRPr="00ED7E61">
        <w:rPr>
          <w:rStyle w:val="normaltextrun"/>
          <w:rFonts w:asciiTheme="majorBidi" w:eastAsiaTheme="majorEastAsia" w:hAnsiTheme="majorBidi" w:cstheme="majorBidi"/>
          <w:b/>
          <w:bCs/>
          <w:sz w:val="22"/>
          <w:szCs w:val="22"/>
          <w:lang w:val="en-GB"/>
        </w:rPr>
        <w:t>Related goals, targets and indicators</w:t>
      </w:r>
      <w:r w:rsidRPr="00ED7E61">
        <w:rPr>
          <w:rStyle w:val="eop"/>
          <w:rFonts w:asciiTheme="majorBidi" w:eastAsiaTheme="majorEastAsia" w:hAnsiTheme="majorBidi" w:cstheme="majorBidi"/>
          <w:sz w:val="22"/>
          <w:szCs w:val="22"/>
        </w:rPr>
        <w:t> </w:t>
      </w:r>
    </w:p>
    <w:p w14:paraId="57D1E6EB" w14:textId="77777777" w:rsidR="00756F0F" w:rsidRPr="00ED7E61" w:rsidRDefault="00756F0F" w:rsidP="00EF3E4F">
      <w:pPr>
        <w:pStyle w:val="CBDNormalNumber"/>
        <w:ind w:left="567"/>
        <w:jc w:val="left"/>
        <w:rPr>
          <w:rStyle w:val="normaltextrun"/>
          <w:rFonts w:eastAsiaTheme="majorEastAsia"/>
        </w:rPr>
      </w:pPr>
      <w:r w:rsidRPr="00ED7E61">
        <w:rPr>
          <w:rStyle w:val="normaltextrun"/>
          <w:rFonts w:eastAsiaTheme="majorEastAsia"/>
        </w:rPr>
        <w:t>Target 9</w:t>
      </w:r>
      <w:r w:rsidRPr="00ED7E61">
        <w:rPr>
          <w:rStyle w:val="normaltextrun"/>
        </w:rPr>
        <w:t> </w:t>
      </w:r>
    </w:p>
    <w:p w14:paraId="2A94A98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10. </w:t>
      </w:r>
      <w:r w:rsidRPr="00ED7E61">
        <w:rPr>
          <w:rStyle w:val="normaltextrun"/>
          <w:rFonts w:asciiTheme="majorBidi" w:eastAsiaTheme="majorEastAsia" w:hAnsiTheme="majorBidi" w:cstheme="majorBidi"/>
          <w:b/>
          <w:bCs/>
          <w:sz w:val="22"/>
          <w:szCs w:val="22"/>
          <w:lang w:val="en-GB"/>
        </w:rPr>
        <w:t>Data reporter</w:t>
      </w:r>
      <w:r w:rsidRPr="00ED7E61">
        <w:rPr>
          <w:rStyle w:val="eop"/>
          <w:rFonts w:asciiTheme="majorBidi" w:eastAsiaTheme="majorEastAsia" w:hAnsiTheme="majorBidi" w:cstheme="majorBidi"/>
          <w:sz w:val="22"/>
          <w:szCs w:val="22"/>
        </w:rPr>
        <w:t> </w:t>
      </w:r>
    </w:p>
    <w:p w14:paraId="24395A72" w14:textId="4D754E68" w:rsidR="00756F0F" w:rsidRPr="00ED7E61" w:rsidRDefault="00756F0F" w:rsidP="00EF3E4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EF3E4F">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474F812F" w14:textId="77777777" w:rsidR="00756F0F" w:rsidRPr="00ED7E61" w:rsidRDefault="00756F0F" w:rsidP="00EF3E4F">
      <w:pPr>
        <w:pStyle w:val="CBDNormalNumber"/>
        <w:ind w:left="567"/>
        <w:jc w:val="left"/>
        <w:rPr>
          <w:rStyle w:val="normaltextrun"/>
          <w:rFonts w:eastAsiaTheme="majorEastAsia"/>
        </w:rPr>
      </w:pPr>
      <w:r w:rsidRPr="00ED7E61">
        <w:rPr>
          <w:rStyle w:val="normaltextrun"/>
          <w:rFonts w:eastAsiaTheme="majorEastAsia"/>
        </w:rPr>
        <w:t>Food and Agriculture Organization (FAO)</w:t>
      </w:r>
      <w:r w:rsidRPr="00ED7E61">
        <w:rPr>
          <w:rStyle w:val="normaltextrun"/>
        </w:rPr>
        <w:t> </w:t>
      </w:r>
    </w:p>
    <w:p w14:paraId="501BC3A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lastRenderedPageBreak/>
        <w:t>10b. Contact person(s)</w:t>
      </w:r>
      <w:r w:rsidRPr="00ED7E61">
        <w:rPr>
          <w:rStyle w:val="eop"/>
          <w:rFonts w:asciiTheme="majorBidi" w:eastAsiaTheme="majorEastAsia" w:hAnsiTheme="majorBidi" w:cstheme="majorBidi"/>
          <w:sz w:val="22"/>
          <w:szCs w:val="22"/>
        </w:rPr>
        <w:t> </w:t>
      </w:r>
    </w:p>
    <w:p w14:paraId="2DF009D6" w14:textId="7E5B35C0" w:rsidR="00756F0F" w:rsidRPr="00ED7E61" w:rsidRDefault="003018A1" w:rsidP="00EF3E4F">
      <w:pPr>
        <w:pStyle w:val="CBDNormalNumber"/>
        <w:ind w:left="567"/>
        <w:jc w:val="left"/>
        <w:rPr>
          <w:rFonts w:asciiTheme="majorBidi" w:hAnsiTheme="majorBidi" w:cstheme="majorBidi"/>
        </w:rPr>
      </w:pPr>
      <w:r w:rsidRPr="003018A1">
        <w:rPr>
          <w:rFonts w:eastAsiaTheme="majorEastAsia"/>
          <w:lang w:val="en-CA"/>
        </w:rPr>
        <w:t>Rishi Sharma (rishi.sharma@fao.org)</w:t>
      </w:r>
      <w:hyperlink r:id="rId349" w:history="1">
        <w:r w:rsidR="00EF3E4F" w:rsidRPr="004C58D6">
          <w:rPr>
            <w:rStyle w:val="Hyperlink"/>
          </w:rPr>
          <w:t>SDG-indicators@fao.org</w:t>
        </w:r>
      </w:hyperlink>
      <w:r w:rsidR="00756F0F" w:rsidRPr="00ED7E61">
        <w:rPr>
          <w:rStyle w:val="normaltextrun"/>
          <w:rFonts w:asciiTheme="majorBidi" w:eastAsiaTheme="majorEastAsia" w:hAnsiTheme="majorBidi" w:cstheme="majorBidi"/>
        </w:rPr>
        <w:t> </w:t>
      </w:r>
      <w:r w:rsidR="00756F0F" w:rsidRPr="00ED7E61">
        <w:rPr>
          <w:rStyle w:val="eop"/>
          <w:rFonts w:asciiTheme="majorBidi" w:eastAsiaTheme="majorEastAsia" w:hAnsiTheme="majorBidi" w:cstheme="majorBidi"/>
        </w:rPr>
        <w:t> </w:t>
      </w:r>
    </w:p>
    <w:p w14:paraId="6CB61E3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w:t>
      </w:r>
      <w:r w:rsidRPr="00ED7E61">
        <w:rPr>
          <w:rStyle w:val="eop"/>
          <w:rFonts w:asciiTheme="majorBidi" w:eastAsiaTheme="majorEastAsia" w:hAnsiTheme="majorBidi" w:cstheme="majorBidi"/>
          <w:sz w:val="22"/>
          <w:szCs w:val="22"/>
        </w:rPr>
        <w:t> </w:t>
      </w:r>
    </w:p>
    <w:p w14:paraId="21B2557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Websites:</w:t>
      </w:r>
      <w:r w:rsidRPr="00ED7E61">
        <w:rPr>
          <w:rStyle w:val="eop"/>
          <w:rFonts w:asciiTheme="majorBidi" w:eastAsiaTheme="majorEastAsia" w:hAnsiTheme="majorBidi" w:cstheme="majorBidi"/>
          <w:sz w:val="22"/>
          <w:szCs w:val="22"/>
        </w:rPr>
        <w:t> </w:t>
      </w:r>
    </w:p>
    <w:p w14:paraId="1872BCE6" w14:textId="29867F60" w:rsidR="002B5C03" w:rsidRPr="00ED7E61" w:rsidRDefault="00EF3E4F" w:rsidP="00EF3E4F">
      <w:pPr>
        <w:pStyle w:val="CBDNormalNumber"/>
        <w:ind w:left="567"/>
        <w:jc w:val="left"/>
        <w:rPr>
          <w:rFonts w:asciiTheme="majorBidi" w:hAnsiTheme="majorBidi" w:cstheme="majorBidi"/>
        </w:rPr>
      </w:pPr>
      <w:hyperlink r:id="rId350" w:history="1">
        <w:r w:rsidRPr="004C58D6">
          <w:rPr>
            <w:rStyle w:val="Hyperlink"/>
            <w:rFonts w:asciiTheme="majorBidi" w:eastAsiaTheme="majorEastAsia" w:hAnsiTheme="majorBidi" w:cstheme="majorBidi"/>
          </w:rPr>
          <w:t>https://www.fao.org/sustainable-development-goals/indicators/1441/en/</w:t>
        </w:r>
      </w:hyperlink>
      <w:r w:rsidR="00756F0F" w:rsidRPr="00ED7E61">
        <w:rPr>
          <w:rStyle w:val="eop"/>
          <w:rFonts w:asciiTheme="majorBidi" w:eastAsiaTheme="majorEastAsia" w:hAnsiTheme="majorBidi" w:cstheme="majorBidi"/>
        </w:rPr>
        <w:t> </w:t>
      </w:r>
    </w:p>
    <w:p w14:paraId="5E9B1603" w14:textId="71BC0474" w:rsidR="002B5C03" w:rsidRPr="00ED7E61" w:rsidRDefault="00EF3E4F" w:rsidP="00EF3E4F">
      <w:pPr>
        <w:pStyle w:val="CBDNormalNumber"/>
        <w:ind w:left="567"/>
        <w:jc w:val="left"/>
        <w:rPr>
          <w:rFonts w:asciiTheme="majorBidi" w:hAnsiTheme="majorBidi" w:cstheme="majorBidi"/>
        </w:rPr>
      </w:pPr>
      <w:hyperlink r:id="rId351" w:history="1">
        <w:r w:rsidRPr="004C58D6">
          <w:rPr>
            <w:rStyle w:val="Hyperlink"/>
          </w:rPr>
          <w:t>https://elearning.fao.org/course/view.php?id=502</w:t>
        </w:r>
      </w:hyperlink>
      <w:r w:rsidR="00756F0F" w:rsidRPr="00ED7E61">
        <w:rPr>
          <w:rStyle w:val="normaltextrun"/>
          <w:rFonts w:asciiTheme="majorBidi" w:eastAsiaTheme="majorEastAsia" w:hAnsiTheme="majorBidi" w:cstheme="majorBidi"/>
        </w:rPr>
        <w:t> </w:t>
      </w:r>
      <w:r w:rsidR="00756F0F" w:rsidRPr="00ED7E61">
        <w:rPr>
          <w:rStyle w:val="eop"/>
          <w:rFonts w:asciiTheme="majorBidi" w:eastAsiaTheme="majorEastAsia" w:hAnsiTheme="majorBidi" w:cstheme="majorBidi"/>
        </w:rPr>
        <w:t> </w:t>
      </w:r>
    </w:p>
    <w:p w14:paraId="3BBDC632" w14:textId="7CA89C34" w:rsidR="002B5C03" w:rsidRPr="00ED7E61" w:rsidRDefault="00EF3E4F" w:rsidP="00EF3E4F">
      <w:pPr>
        <w:pStyle w:val="CBDNormalNumber"/>
        <w:ind w:left="567"/>
        <w:jc w:val="left"/>
        <w:rPr>
          <w:rFonts w:asciiTheme="majorBidi" w:hAnsiTheme="majorBidi" w:cstheme="majorBidi"/>
        </w:rPr>
      </w:pPr>
      <w:hyperlink r:id="rId352" w:history="1">
        <w:r w:rsidRPr="004C58D6">
          <w:rPr>
            <w:rStyle w:val="Hyperlink"/>
          </w:rPr>
          <w:t>https://unstats.un.org/sdgs/dataportal</w:t>
        </w:r>
      </w:hyperlink>
      <w:r w:rsidR="00756F0F" w:rsidRPr="00ED7E61">
        <w:rPr>
          <w:rStyle w:val="normaltextrun"/>
          <w:rFonts w:asciiTheme="majorBidi" w:eastAsiaTheme="majorEastAsia" w:hAnsiTheme="majorBidi" w:cstheme="majorBidi"/>
        </w:rPr>
        <w:t> </w:t>
      </w:r>
      <w:r w:rsidR="00756F0F" w:rsidRPr="00ED7E61">
        <w:rPr>
          <w:rStyle w:val="eop"/>
          <w:rFonts w:asciiTheme="majorBidi" w:eastAsiaTheme="majorEastAsia" w:hAnsiTheme="majorBidi" w:cstheme="majorBidi"/>
        </w:rPr>
        <w:t> </w:t>
      </w:r>
    </w:p>
    <w:p w14:paraId="6168A312" w14:textId="52A27F2D" w:rsidR="00756F0F" w:rsidRPr="00ED7E61" w:rsidRDefault="00EF3E4F" w:rsidP="00EF3E4F">
      <w:pPr>
        <w:pStyle w:val="CBDNormalNumber"/>
        <w:ind w:left="567"/>
        <w:jc w:val="left"/>
        <w:rPr>
          <w:rFonts w:asciiTheme="majorBidi" w:hAnsiTheme="majorBidi" w:cstheme="majorBidi"/>
        </w:rPr>
      </w:pPr>
      <w:hyperlink r:id="rId353" w:history="1">
        <w:r w:rsidRPr="004C58D6">
          <w:rPr>
            <w:rStyle w:val="Hyperlink"/>
          </w:rPr>
          <w:t>https://www.fao.org/publications/sofia/2020/en/</w:t>
        </w:r>
      </w:hyperlink>
      <w:r w:rsidR="00756F0F" w:rsidRPr="00ED7E61">
        <w:rPr>
          <w:rStyle w:val="eop"/>
          <w:rFonts w:asciiTheme="majorBidi" w:eastAsiaTheme="majorEastAsia" w:hAnsiTheme="majorBidi" w:cstheme="majorBidi"/>
          <w:color w:val="467886"/>
        </w:rPr>
        <w:t> </w:t>
      </w:r>
    </w:p>
    <w:p w14:paraId="0644C85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References:</w:t>
      </w:r>
      <w:r w:rsidRPr="00ED7E61">
        <w:rPr>
          <w:rStyle w:val="eop"/>
          <w:rFonts w:asciiTheme="majorBidi" w:eastAsiaTheme="majorEastAsia" w:hAnsiTheme="majorBidi" w:cstheme="majorBidi"/>
          <w:sz w:val="22"/>
          <w:szCs w:val="22"/>
        </w:rPr>
        <w:t> </w:t>
      </w:r>
    </w:p>
    <w:p w14:paraId="497BD468" w14:textId="6EBA77AE" w:rsidR="002B5C03" w:rsidRPr="00ED7E61" w:rsidRDefault="00756F0F" w:rsidP="00EF3E4F">
      <w:pPr>
        <w:pStyle w:val="CBDNormalNumber"/>
        <w:ind w:left="567"/>
        <w:jc w:val="left"/>
        <w:rPr>
          <w:rFonts w:asciiTheme="majorBidi" w:hAnsiTheme="majorBidi" w:cstheme="majorBidi"/>
        </w:rPr>
      </w:pPr>
      <w:r w:rsidRPr="00ED7E61">
        <w:rPr>
          <w:rStyle w:val="normaltextrun"/>
          <w:rFonts w:eastAsiaTheme="majorEastAsia"/>
        </w:rPr>
        <w:t>Caddy</w:t>
      </w:r>
      <w:r w:rsidRPr="00ED7E61">
        <w:rPr>
          <w:rStyle w:val="normaltextrun"/>
          <w:rFonts w:asciiTheme="majorBidi" w:eastAsiaTheme="majorEastAsia" w:hAnsiTheme="majorBidi" w:cstheme="majorBidi"/>
        </w:rPr>
        <w:t>, J.R. and Mahon, R. (1995). Reference Points for fisheries management. FAO Fisheries Technical Paper. No. 337. Rome, FAO. 83p. </w:t>
      </w:r>
      <w:r w:rsidRPr="00ED7E61">
        <w:rPr>
          <w:rStyle w:val="eop"/>
          <w:rFonts w:asciiTheme="majorBidi" w:eastAsiaTheme="majorEastAsia" w:hAnsiTheme="majorBidi" w:cstheme="majorBidi"/>
        </w:rPr>
        <w:t> </w:t>
      </w:r>
    </w:p>
    <w:p w14:paraId="3F013647" w14:textId="224AA8C0" w:rsidR="002B5C03" w:rsidRPr="00ED7E61" w:rsidRDefault="00756F0F" w:rsidP="00EF3E4F">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Cadima, E.L. (2003) Fish stock assessment manual. FAO Fisheries Technical Paper. No. 393. Rome, FAO. 161p. </w:t>
      </w:r>
      <w:r w:rsidRPr="00ED7E61">
        <w:rPr>
          <w:rStyle w:val="eop"/>
          <w:rFonts w:asciiTheme="majorBidi" w:eastAsiaTheme="majorEastAsia" w:hAnsiTheme="majorBidi" w:cstheme="majorBidi"/>
        </w:rPr>
        <w:t> </w:t>
      </w:r>
    </w:p>
    <w:p w14:paraId="2EBD2CD0" w14:textId="7BE890B7" w:rsidR="002B5C03" w:rsidRPr="00ED7E61" w:rsidRDefault="00756F0F" w:rsidP="00EF3E4F">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FAO (1995) Code of conduct for responsible fisheries. 41 pp. </w:t>
      </w:r>
      <w:r w:rsidRPr="00ED7E61">
        <w:rPr>
          <w:rStyle w:val="eop"/>
          <w:rFonts w:asciiTheme="majorBidi" w:eastAsiaTheme="majorEastAsia" w:hAnsiTheme="majorBidi" w:cstheme="majorBidi"/>
        </w:rPr>
        <w:t> </w:t>
      </w:r>
    </w:p>
    <w:p w14:paraId="70B9E5E6" w14:textId="3D4FC093" w:rsidR="002B5C03" w:rsidRPr="00ED7E61" w:rsidRDefault="00756F0F" w:rsidP="00EF3E4F">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FAO (2005) Review of the state of world marine fishery resources. FAO Fisheries Technical Paper No. 457. Rome. 235 pp FAO (2011) Review of the state of world marine fishery resources. FAO technical paper 569: http://www.fao.org/docrep/015/i2389e/i2389e00.htm. </w:t>
      </w:r>
      <w:r w:rsidRPr="00ED7E61">
        <w:rPr>
          <w:rStyle w:val="eop"/>
          <w:rFonts w:asciiTheme="majorBidi" w:eastAsiaTheme="majorEastAsia" w:hAnsiTheme="majorBidi" w:cstheme="majorBidi"/>
        </w:rPr>
        <w:t> </w:t>
      </w:r>
    </w:p>
    <w:p w14:paraId="1CB1575C" w14:textId="77777777" w:rsidR="00FA0831" w:rsidRPr="00FA0831" w:rsidRDefault="00FA0831" w:rsidP="00812871">
      <w:pPr>
        <w:pStyle w:val="CBDNormalNumber"/>
        <w:ind w:left="567"/>
        <w:rPr>
          <w:rFonts w:asciiTheme="majorBidi" w:eastAsiaTheme="majorEastAsia" w:hAnsiTheme="majorBidi" w:cstheme="majorBidi"/>
        </w:rPr>
      </w:pPr>
      <w:r w:rsidRPr="00FA0831">
        <w:rPr>
          <w:rFonts w:asciiTheme="majorBidi" w:eastAsiaTheme="majorEastAsia" w:hAnsiTheme="majorBidi" w:cstheme="majorBidi"/>
        </w:rPr>
        <w:t>Haddon, M. (2011). Modelling and Quantitative Methods in Fisheries 2nd Edition. Chapman and Hall/CRC. 465 p.</w:t>
      </w:r>
    </w:p>
    <w:p w14:paraId="7461D775" w14:textId="437550B3" w:rsidR="002B5C03" w:rsidRDefault="00756F0F" w:rsidP="00EF3E4F">
      <w:pPr>
        <w:pStyle w:val="CBDNormalNumber"/>
        <w:ind w:left="567"/>
        <w:jc w:val="left"/>
        <w:rPr>
          <w:rStyle w:val="eop"/>
          <w:rFonts w:asciiTheme="majorBidi" w:eastAsiaTheme="majorEastAsia" w:hAnsiTheme="majorBidi" w:cstheme="majorBidi"/>
        </w:rPr>
      </w:pPr>
      <w:r w:rsidRPr="00ED7E61">
        <w:rPr>
          <w:rStyle w:val="normaltextrun"/>
          <w:rFonts w:asciiTheme="majorBidi" w:eastAsiaTheme="majorEastAsia" w:hAnsiTheme="majorBidi" w:cstheme="majorBidi"/>
        </w:rPr>
        <w:t>Hilborn, R., R.O. Amoroso, C.M. Anderson, J.K. Baum, T.A. Branch, C. Costello, C.L. de Moor, et al. 2020. “</w:t>
      </w:r>
      <w:r w:rsidRPr="00FB1598">
        <w:rPr>
          <w:rStyle w:val="normaltextrun"/>
          <w:rFonts w:asciiTheme="majorBidi" w:eastAsiaTheme="majorEastAsia" w:hAnsiTheme="majorBidi" w:cstheme="majorBidi"/>
          <w:i/>
          <w:iCs/>
        </w:rPr>
        <w:t>Effective Fisheries Management Instrumental in Improving Fish Stock Status.</w:t>
      </w:r>
      <w:r w:rsidRPr="00ED7E61">
        <w:rPr>
          <w:rStyle w:val="normaltextrun"/>
          <w:rFonts w:asciiTheme="majorBidi" w:eastAsiaTheme="majorEastAsia" w:hAnsiTheme="majorBidi" w:cstheme="majorBidi"/>
        </w:rPr>
        <w:t>” Proceedings of the National Academy of Sciences of the United States of America 117 (4): 2218–24. https://doi.org/10.1073/ pnas.1909726116. </w:t>
      </w:r>
      <w:r w:rsidRPr="00ED7E61">
        <w:rPr>
          <w:rStyle w:val="eop"/>
          <w:rFonts w:asciiTheme="majorBidi" w:eastAsiaTheme="majorEastAsia" w:hAnsiTheme="majorBidi" w:cstheme="majorBidi"/>
        </w:rPr>
        <w:t> </w:t>
      </w:r>
    </w:p>
    <w:p w14:paraId="4A305122" w14:textId="77777777" w:rsidR="005D3D61" w:rsidRPr="005D3D61" w:rsidRDefault="005D3D61" w:rsidP="00A75C66">
      <w:pPr>
        <w:pStyle w:val="CBDNormalNumber"/>
        <w:ind w:left="567"/>
        <w:rPr>
          <w:rFonts w:asciiTheme="majorBidi" w:hAnsiTheme="majorBidi" w:cstheme="majorBidi"/>
          <w:lang w:val="en-US"/>
        </w:rPr>
      </w:pPr>
      <w:r w:rsidRPr="00812871">
        <w:rPr>
          <w:rFonts w:asciiTheme="majorBidi" w:hAnsiTheme="majorBidi" w:cstheme="majorBidi"/>
          <w:lang w:val="es-ES"/>
        </w:rPr>
        <w:t xml:space="preserve">Sharma, R., </w:t>
      </w:r>
      <w:proofErr w:type="spellStart"/>
      <w:r w:rsidRPr="00812871">
        <w:rPr>
          <w:rFonts w:asciiTheme="majorBidi" w:hAnsiTheme="majorBidi" w:cstheme="majorBidi"/>
          <w:lang w:val="es-ES"/>
        </w:rPr>
        <w:t>Barange</w:t>
      </w:r>
      <w:proofErr w:type="spellEnd"/>
      <w:r w:rsidRPr="00812871">
        <w:rPr>
          <w:rFonts w:asciiTheme="majorBidi" w:hAnsiTheme="majorBidi" w:cstheme="majorBidi"/>
          <w:lang w:val="es-ES"/>
        </w:rPr>
        <w:t xml:space="preserve">, M., Agostini, V., Barros, P., </w:t>
      </w:r>
      <w:proofErr w:type="spellStart"/>
      <w:r w:rsidRPr="00812871">
        <w:rPr>
          <w:rFonts w:asciiTheme="majorBidi" w:hAnsiTheme="majorBidi" w:cstheme="majorBidi"/>
          <w:lang w:val="es-ES"/>
        </w:rPr>
        <w:t>Gutierrez</w:t>
      </w:r>
      <w:proofErr w:type="spellEnd"/>
      <w:r w:rsidRPr="00812871">
        <w:rPr>
          <w:rFonts w:asciiTheme="majorBidi" w:hAnsiTheme="majorBidi" w:cstheme="majorBidi"/>
          <w:lang w:val="es-ES"/>
        </w:rPr>
        <w:t xml:space="preserve">, N.L., Vasconcellos, M., Fernandez Reguera, D., Tiffay, C., &amp; </w:t>
      </w:r>
      <w:proofErr w:type="spellStart"/>
      <w:r w:rsidRPr="00812871">
        <w:rPr>
          <w:rFonts w:asciiTheme="majorBidi" w:hAnsiTheme="majorBidi" w:cstheme="majorBidi"/>
          <w:lang w:val="es-ES"/>
        </w:rPr>
        <w:t>Levontin</w:t>
      </w:r>
      <w:proofErr w:type="spellEnd"/>
      <w:r w:rsidRPr="00812871">
        <w:rPr>
          <w:rFonts w:asciiTheme="majorBidi" w:hAnsiTheme="majorBidi" w:cstheme="majorBidi"/>
          <w:lang w:val="es-ES"/>
        </w:rPr>
        <w:t xml:space="preserve">, P., eds. 2025. </w:t>
      </w:r>
      <w:r w:rsidRPr="005D3D61">
        <w:rPr>
          <w:rFonts w:asciiTheme="majorBidi" w:hAnsiTheme="majorBidi" w:cstheme="majorBidi"/>
          <w:lang w:val="en-US"/>
        </w:rPr>
        <w:t>Review of the state of world marine fishery resources – 2025. FAO Fisheries and Aquaculture Technical Paper, No. 721. Rome. FAO.</w:t>
      </w:r>
    </w:p>
    <w:p w14:paraId="3AA55407" w14:textId="77777777" w:rsidR="005D3D61" w:rsidRPr="005D3D61" w:rsidRDefault="005D3D61" w:rsidP="009A6521">
      <w:pPr>
        <w:pStyle w:val="CBDNormalNumber"/>
        <w:ind w:left="567"/>
        <w:rPr>
          <w:rFonts w:asciiTheme="majorBidi" w:hAnsiTheme="majorBidi" w:cstheme="majorBidi"/>
          <w:lang w:val="en-US"/>
        </w:rPr>
      </w:pPr>
      <w:r w:rsidRPr="00812871">
        <w:rPr>
          <w:rFonts w:asciiTheme="majorBidi" w:hAnsiTheme="majorBidi" w:cstheme="majorBidi"/>
          <w:lang w:val="en-CA"/>
        </w:rPr>
        <w:t xml:space="preserve">Sparre P. &amp; Venema, S.C. (1998). </w:t>
      </w:r>
      <w:r w:rsidRPr="005D3D61">
        <w:rPr>
          <w:rFonts w:asciiTheme="majorBidi" w:hAnsiTheme="majorBidi" w:cstheme="majorBidi"/>
          <w:lang w:val="en-US"/>
        </w:rPr>
        <w:t>Introduction to tropical fish stock assessment. Part 1. Manual. FAO Fisheries Technical Paper. No. 306.1, Rev. 2. Rome, FAO. 407p.</w:t>
      </w:r>
    </w:p>
    <w:p w14:paraId="300776EA" w14:textId="77777777" w:rsidR="00756F0F" w:rsidRPr="00ED7E61" w:rsidRDefault="00756F0F" w:rsidP="00EF3E4F">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UN (1995) Agreement for the implementation of the provisions of the United Nations Convention on the Law of the Sea of 10 December 1982 relating to the conservation and management of straddling fish stocks and highly migratory fish stocks. 40 pp.</w:t>
      </w:r>
      <w:r w:rsidRPr="00ED7E61">
        <w:rPr>
          <w:rStyle w:val="eop"/>
          <w:rFonts w:asciiTheme="majorBidi" w:eastAsiaTheme="majorEastAsia" w:hAnsiTheme="majorBidi" w:cstheme="majorBidi"/>
        </w:rPr>
        <w:t> </w:t>
      </w:r>
    </w:p>
    <w:p w14:paraId="2969B84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12. Graphs and diagrams</w:t>
      </w:r>
      <w:r w:rsidRPr="00ED7E61">
        <w:rPr>
          <w:rStyle w:val="eop"/>
          <w:rFonts w:asciiTheme="majorBidi" w:eastAsiaTheme="majorEastAsia" w:hAnsiTheme="majorBidi" w:cstheme="majorBidi"/>
          <w:sz w:val="22"/>
          <w:szCs w:val="22"/>
        </w:rPr>
        <w:t> </w:t>
      </w:r>
    </w:p>
    <w:p w14:paraId="57CFBB1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57490A6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2272ED63" w14:textId="77777777" w:rsidR="00D311B8" w:rsidRPr="00ED7E61" w:rsidRDefault="00D311B8" w:rsidP="00395866">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28217307" w14:textId="43EF09AA" w:rsidR="00756F0F" w:rsidRPr="00ED7E61" w:rsidRDefault="002946B5" w:rsidP="00965B3D">
      <w:pPr>
        <w:pStyle w:val="Heading3"/>
      </w:pPr>
      <w:bookmarkStart w:id="35" w:name="_Toc233278569"/>
      <w:r w:rsidRPr="00ED7E61">
        <w:rPr>
          <w:rStyle w:val="normaltextrun"/>
        </w:rPr>
        <w:lastRenderedPageBreak/>
        <w:t>6.1 Rate of invasive alien species establishment</w:t>
      </w:r>
      <w:bookmarkEnd w:id="35"/>
      <w:r w:rsidR="00756F0F" w:rsidRPr="00ED7E61">
        <w:rPr>
          <w:rStyle w:val="eop"/>
        </w:rPr>
        <w:t> </w:t>
      </w:r>
    </w:p>
    <w:p w14:paraId="2646AA50"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00007F9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sz w:val="22"/>
          <w:szCs w:val="22"/>
        </w:rPr>
        <w:t> </w:t>
      </w:r>
    </w:p>
    <w:p w14:paraId="2E2B134E" w14:textId="77777777" w:rsidR="00756F0F" w:rsidRPr="00ED7E61" w:rsidRDefault="00756F0F" w:rsidP="00395866">
      <w:pPr>
        <w:pStyle w:val="paragraph"/>
        <w:spacing w:before="0" w:beforeAutospacing="0" w:after="0" w:afterAutospacing="0"/>
        <w:ind w:right="-21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6.1 Rate of invasive alien species establishment</w:t>
      </w:r>
      <w:r w:rsidRPr="00ED7E61">
        <w:rPr>
          <w:rStyle w:val="eop"/>
          <w:rFonts w:asciiTheme="majorBidi" w:eastAsiaTheme="majorEastAsia" w:hAnsiTheme="majorBidi" w:cstheme="majorBidi"/>
          <w:sz w:val="22"/>
          <w:szCs w:val="22"/>
        </w:rPr>
        <w:t> </w:t>
      </w:r>
    </w:p>
    <w:p w14:paraId="45905634" w14:textId="77777777" w:rsidR="00756F0F" w:rsidRPr="00ED7E61" w:rsidRDefault="00756F0F" w:rsidP="00EF3E4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sz w:val="22"/>
          <w:szCs w:val="22"/>
        </w:rPr>
        <w:t> </w:t>
      </w:r>
    </w:p>
    <w:p w14:paraId="4D47D95D" w14:textId="0BE8374C" w:rsidR="00756F0F" w:rsidRPr="00ED7E61" w:rsidRDefault="003305F3"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lang w:val="en-GB"/>
        </w:rPr>
        <w:t>February</w:t>
      </w:r>
      <w:r w:rsidRPr="00ED7E61">
        <w:rPr>
          <w:rStyle w:val="normaltextrun"/>
          <w:rFonts w:asciiTheme="majorBidi" w:eastAsiaTheme="majorEastAsia" w:hAnsiTheme="majorBidi" w:cstheme="majorBidi"/>
          <w:sz w:val="22"/>
          <w:szCs w:val="22"/>
          <w:lang w:val="en-GB"/>
        </w:rPr>
        <w:t xml:space="preserve"> </w:t>
      </w:r>
      <w:r w:rsidR="00756F0F" w:rsidRPr="00ED7E61">
        <w:rPr>
          <w:rStyle w:val="normaltextrun"/>
          <w:rFonts w:asciiTheme="majorBidi" w:eastAsiaTheme="majorEastAsia" w:hAnsiTheme="majorBidi" w:cstheme="majorBidi"/>
          <w:sz w:val="22"/>
          <w:szCs w:val="22"/>
          <w:lang w:val="en-GB"/>
        </w:rPr>
        <w:t>202</w:t>
      </w:r>
      <w:r>
        <w:rPr>
          <w:rStyle w:val="normaltextrun"/>
          <w:rFonts w:asciiTheme="majorBidi" w:eastAsiaTheme="majorEastAsia" w:hAnsiTheme="majorBidi" w:cstheme="majorBidi"/>
          <w:sz w:val="22"/>
          <w:szCs w:val="22"/>
          <w:lang w:val="en-GB"/>
        </w:rPr>
        <w:t>6</w:t>
      </w:r>
      <w:r w:rsidR="00756F0F" w:rsidRPr="00ED7E61">
        <w:rPr>
          <w:rStyle w:val="eop"/>
          <w:rFonts w:asciiTheme="majorBidi" w:eastAsiaTheme="majorEastAsia" w:hAnsiTheme="majorBidi" w:cstheme="majorBidi"/>
          <w:sz w:val="22"/>
          <w:szCs w:val="22"/>
        </w:rPr>
        <w:t> </w:t>
      </w:r>
    </w:p>
    <w:p w14:paraId="586AA1C5" w14:textId="77777777" w:rsidR="00756F0F" w:rsidRPr="00ED7E61" w:rsidRDefault="00756F0F" w:rsidP="00EF3E4F">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sz w:val="22"/>
          <w:szCs w:val="22"/>
        </w:rPr>
        <w:t> </w:t>
      </w:r>
    </w:p>
    <w:p w14:paraId="0DCCEC5E" w14:textId="77777777" w:rsidR="00756F0F" w:rsidRPr="00ED7E61" w:rsidRDefault="00756F0F" w:rsidP="00EF3E4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sz w:val="22"/>
          <w:szCs w:val="22"/>
        </w:rPr>
        <w:t> </w:t>
      </w:r>
    </w:p>
    <w:p w14:paraId="099497E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24947D3E" w14:textId="77777777" w:rsidR="00756F0F" w:rsidRPr="00ED7E61" w:rsidRDefault="00756F0F" w:rsidP="00EF3E4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sz w:val="22"/>
          <w:szCs w:val="22"/>
        </w:rPr>
        <w:t> </w:t>
      </w:r>
    </w:p>
    <w:p w14:paraId="6F9584D1" w14:textId="734520AA"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Target 6: 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r w:rsidRPr="00ED7E61">
        <w:rPr>
          <w:rStyle w:val="eop"/>
          <w:rFonts w:asciiTheme="majorBidi" w:eastAsiaTheme="majorEastAsia" w:hAnsiTheme="majorBidi" w:cstheme="majorBidi"/>
          <w:sz w:val="22"/>
          <w:szCs w:val="22"/>
        </w:rPr>
        <w:t> </w:t>
      </w:r>
    </w:p>
    <w:p w14:paraId="5615493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4. Rationale</w:t>
      </w:r>
      <w:r w:rsidRPr="00ED7E61">
        <w:rPr>
          <w:rStyle w:val="eop"/>
          <w:rFonts w:asciiTheme="majorBidi" w:eastAsiaTheme="majorEastAsia" w:hAnsiTheme="majorBidi" w:cstheme="majorBidi"/>
          <w:sz w:val="22"/>
          <w:szCs w:val="22"/>
        </w:rPr>
        <w:t> </w:t>
      </w:r>
    </w:p>
    <w:p w14:paraId="24E8F4BB" w14:textId="669E0366" w:rsidR="002B5C03" w:rsidRPr="00ED7E61" w:rsidRDefault="00756F0F" w:rsidP="00B10F0C">
      <w:pPr>
        <w:pStyle w:val="CBDNormalNumber"/>
        <w:numPr>
          <w:ilvl w:val="0"/>
          <w:numId w:val="74"/>
        </w:numPr>
        <w:tabs>
          <w:tab w:val="clear" w:pos="1701"/>
        </w:tabs>
        <w:ind w:left="567" w:hanging="24"/>
        <w:rPr>
          <w:rFonts w:asciiTheme="majorBidi" w:hAnsiTheme="majorBidi" w:cstheme="majorBidi"/>
        </w:rPr>
      </w:pPr>
      <w:r w:rsidRPr="00ED7E61">
        <w:rPr>
          <w:rStyle w:val="normaltextrun"/>
          <w:rFonts w:eastAsiaTheme="majorEastAsia"/>
        </w:rPr>
        <w:t>The</w:t>
      </w:r>
      <w:r w:rsidRPr="00ED7E61">
        <w:rPr>
          <w:rStyle w:val="normaltextrun"/>
          <w:rFonts w:asciiTheme="majorBidi" w:eastAsiaTheme="majorEastAsia" w:hAnsiTheme="majorBidi" w:cstheme="majorBidi"/>
        </w:rPr>
        <w:t xml:space="preserve"> establishment </w:t>
      </w:r>
      <w:r w:rsidR="004E4796">
        <w:rPr>
          <w:rStyle w:val="normaltextrun"/>
          <w:rFonts w:asciiTheme="majorBidi" w:eastAsiaTheme="majorEastAsia" w:hAnsiTheme="majorBidi" w:cstheme="majorBidi"/>
        </w:rPr>
        <w:t xml:space="preserve">and spread </w:t>
      </w:r>
      <w:r w:rsidRPr="00ED7E61">
        <w:rPr>
          <w:rStyle w:val="normaltextrun"/>
          <w:rFonts w:asciiTheme="majorBidi" w:eastAsiaTheme="majorEastAsia" w:hAnsiTheme="majorBidi" w:cstheme="majorBidi"/>
        </w:rPr>
        <w:t>of invasive alien species (IAS) is a main driver of biodiversity loss. Recent extensive analyses of biological invasions show that the documented numbers of IAS have continued to increase over recent decades (IPBES 2023). Multi-national agreements developed for the purposes of addressing the challenge and negative impacts of IAS require information on the status and trends of IAS establishment – within and across countries. Without a repeated data collection process</w:t>
      </w:r>
      <w:r w:rsidR="004E4796">
        <w:rPr>
          <w:rStyle w:val="normaltextrun"/>
          <w:rFonts w:asciiTheme="majorBidi" w:eastAsiaTheme="majorEastAsia" w:hAnsiTheme="majorBidi" w:cstheme="majorBidi"/>
        </w:rPr>
        <w:t xml:space="preserve"> to detect new invasive alien species</w:t>
      </w:r>
      <w:r w:rsidRPr="00ED7E61">
        <w:rPr>
          <w:rStyle w:val="normaltextrun"/>
          <w:rFonts w:asciiTheme="majorBidi" w:eastAsiaTheme="majorEastAsia" w:hAnsiTheme="majorBidi" w:cstheme="majorBidi"/>
        </w:rPr>
        <w:t xml:space="preserve"> and </w:t>
      </w:r>
      <w:r w:rsidR="00220B7A">
        <w:rPr>
          <w:rStyle w:val="normaltextrun"/>
          <w:rFonts w:asciiTheme="majorBidi" w:eastAsiaTheme="majorEastAsia" w:hAnsiTheme="majorBidi" w:cstheme="majorBidi"/>
        </w:rPr>
        <w:t xml:space="preserve">an </w:t>
      </w:r>
      <w:r w:rsidRPr="00ED7E61">
        <w:rPr>
          <w:rStyle w:val="normaltextrun"/>
          <w:rFonts w:asciiTheme="majorBidi" w:eastAsiaTheme="majorEastAsia" w:hAnsiTheme="majorBidi" w:cstheme="majorBidi"/>
        </w:rPr>
        <w:t xml:space="preserve">up-to-date evidence-base, progress to prevent and reduce the consequences of IAS is </w:t>
      </w:r>
      <w:r w:rsidR="00220B7A">
        <w:rPr>
          <w:rStyle w:val="normaltextrun"/>
          <w:rFonts w:asciiTheme="majorBidi" w:eastAsiaTheme="majorEastAsia" w:hAnsiTheme="majorBidi" w:cstheme="majorBidi"/>
        </w:rPr>
        <w:t>hampered</w:t>
      </w:r>
      <w:r w:rsidRPr="00ED7E61">
        <w:rPr>
          <w:rStyle w:val="normaltextrun"/>
          <w:rFonts w:asciiTheme="majorBidi" w:eastAsiaTheme="majorEastAsia" w:hAnsiTheme="majorBidi" w:cstheme="majorBidi"/>
        </w:rPr>
        <w:t>, and neither the evaluation nor the achievement of policy targets is feasible.</w:t>
      </w:r>
      <w:r w:rsidRPr="00ED7E61">
        <w:rPr>
          <w:rStyle w:val="eop"/>
          <w:rFonts w:asciiTheme="majorBidi" w:eastAsiaTheme="majorEastAsia" w:hAnsiTheme="majorBidi" w:cstheme="majorBidi"/>
        </w:rPr>
        <w:t> </w:t>
      </w:r>
    </w:p>
    <w:p w14:paraId="4234EF4D" w14:textId="233CC3E3" w:rsidR="00756F0F" w:rsidRPr="00ED7E61" w:rsidRDefault="00756F0F" w:rsidP="00B10F0C">
      <w:pPr>
        <w:pStyle w:val="CBDNormalNumber"/>
        <w:numPr>
          <w:ilvl w:val="0"/>
          <w:numId w:val="74"/>
        </w:numPr>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This indicator links the </w:t>
      </w:r>
      <w:r w:rsidR="00220B7A">
        <w:rPr>
          <w:rStyle w:val="normaltextrun"/>
          <w:rFonts w:asciiTheme="majorBidi" w:eastAsiaTheme="majorEastAsia" w:hAnsiTheme="majorBidi" w:cstheme="majorBidi"/>
        </w:rPr>
        <w:t xml:space="preserve">success of </w:t>
      </w:r>
      <w:r w:rsidRPr="00ED7E61">
        <w:rPr>
          <w:rStyle w:val="normaltextrun"/>
          <w:rFonts w:asciiTheme="majorBidi" w:eastAsiaTheme="majorEastAsia" w:hAnsiTheme="majorBidi" w:cstheme="majorBidi"/>
        </w:rPr>
        <w:t>manag</w:t>
      </w:r>
      <w:r w:rsidR="00220B7A">
        <w:rPr>
          <w:rStyle w:val="normaltextrun"/>
          <w:rFonts w:asciiTheme="majorBidi" w:eastAsiaTheme="majorEastAsia" w:hAnsiTheme="majorBidi" w:cstheme="majorBidi"/>
        </w:rPr>
        <w:t xml:space="preserve">ing invasive alien species </w:t>
      </w:r>
      <w:r w:rsidR="00F138DD">
        <w:rPr>
          <w:rStyle w:val="normaltextrun"/>
          <w:rFonts w:asciiTheme="majorBidi" w:eastAsiaTheme="majorEastAsia" w:hAnsiTheme="majorBidi" w:cstheme="majorBidi"/>
        </w:rPr>
        <w:t xml:space="preserve">introduction pathways </w:t>
      </w:r>
      <w:r w:rsidR="00957D0A">
        <w:rPr>
          <w:rStyle w:val="normaltextrun"/>
          <w:rFonts w:asciiTheme="majorBidi" w:eastAsiaTheme="majorEastAsia" w:hAnsiTheme="majorBidi" w:cstheme="majorBidi"/>
        </w:rPr>
        <w:t xml:space="preserve">to the desired outcome of preventing new </w:t>
      </w:r>
      <w:r w:rsidR="007545CE">
        <w:rPr>
          <w:rStyle w:val="normaltextrun"/>
          <w:rFonts w:asciiTheme="majorBidi" w:eastAsiaTheme="majorEastAsia" w:hAnsiTheme="majorBidi" w:cstheme="majorBidi"/>
        </w:rPr>
        <w:t>invasive alien species</w:t>
      </w:r>
      <w:r w:rsidRPr="00ED7E61">
        <w:rPr>
          <w:rStyle w:val="normaltextrun"/>
          <w:rFonts w:asciiTheme="majorBidi" w:eastAsiaTheme="majorEastAsia" w:hAnsiTheme="majorBidi" w:cstheme="majorBidi"/>
        </w:rPr>
        <w:t xml:space="preserve"> country establishments. It directly supports Target 6 of the framework</w:t>
      </w:r>
      <w:r w:rsidR="002664A5">
        <w:rPr>
          <w:rStyle w:val="normaltextrun"/>
          <w:rFonts w:asciiTheme="majorBidi" w:eastAsiaTheme="majorEastAsia" w:hAnsiTheme="majorBidi" w:cstheme="majorBidi"/>
        </w:rPr>
        <w:t>, which focuses on managing pathways for the introduction of IAS and on</w:t>
      </w:r>
      <w:r w:rsidRPr="00ED7E61">
        <w:rPr>
          <w:rStyle w:val="normaltextrun"/>
          <w:rFonts w:asciiTheme="majorBidi" w:eastAsiaTheme="majorEastAsia" w:hAnsiTheme="majorBidi" w:cstheme="majorBidi"/>
        </w:rPr>
        <w:t xml:space="preserve"> preventing and reducing their rate of introduction and establishment. It also informs the effectiveness of IAS management actions for the recovery and conservation of species and ecosystems.</w:t>
      </w:r>
      <w:r w:rsidRPr="00ED7E61">
        <w:rPr>
          <w:rStyle w:val="eop"/>
          <w:rFonts w:asciiTheme="majorBidi" w:eastAsiaTheme="majorEastAsia" w:hAnsiTheme="majorBidi" w:cstheme="majorBidi"/>
        </w:rPr>
        <w:t> </w:t>
      </w:r>
    </w:p>
    <w:p w14:paraId="4E5977E0" w14:textId="38960C2E" w:rsidR="00756F0F" w:rsidRPr="00ED7E61" w:rsidRDefault="00756F0F" w:rsidP="002B5C03">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b/>
          <w:bCs/>
          <w:sz w:val="22"/>
          <w:szCs w:val="22"/>
          <w:lang w:val="en-GB"/>
        </w:rPr>
        <w:t>5. Definitions, concepts and classifications</w:t>
      </w:r>
      <w:r w:rsidRPr="00ED7E61">
        <w:rPr>
          <w:rStyle w:val="eop"/>
          <w:rFonts w:asciiTheme="majorBidi" w:eastAsiaTheme="majorEastAsia" w:hAnsiTheme="majorBidi" w:cstheme="majorBidi"/>
          <w:sz w:val="22"/>
          <w:szCs w:val="22"/>
        </w:rPr>
        <w:t> </w:t>
      </w:r>
    </w:p>
    <w:p w14:paraId="5958AED4" w14:textId="77777777" w:rsidR="00756F0F" w:rsidRPr="00ED7E61" w:rsidRDefault="00756F0F" w:rsidP="00EF3E4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5a. Definition: </w:t>
      </w:r>
      <w:r w:rsidRPr="00ED7E61">
        <w:rPr>
          <w:rStyle w:val="eop"/>
          <w:rFonts w:asciiTheme="majorBidi" w:eastAsiaTheme="majorEastAsia" w:hAnsiTheme="majorBidi" w:cstheme="majorBidi"/>
          <w:sz w:val="22"/>
          <w:szCs w:val="22"/>
        </w:rPr>
        <w:t> </w:t>
      </w:r>
    </w:p>
    <w:p w14:paraId="4947801F" w14:textId="6D33AC3C" w:rsidR="002B5C03" w:rsidRPr="00ED7E61" w:rsidRDefault="00756F0F" w:rsidP="00B10F0C">
      <w:pPr>
        <w:pStyle w:val="CBDNormalNumber"/>
        <w:numPr>
          <w:ilvl w:val="0"/>
          <w:numId w:val="74"/>
        </w:numPr>
        <w:ind w:left="567" w:firstLine="0"/>
        <w:rPr>
          <w:rFonts w:asciiTheme="majorBidi" w:hAnsiTheme="majorBidi" w:cstheme="majorBidi"/>
        </w:rPr>
      </w:pPr>
      <w:r w:rsidRPr="00ED7E61">
        <w:rPr>
          <w:rStyle w:val="normaltextrun"/>
          <w:rFonts w:eastAsiaTheme="majorEastAsia"/>
        </w:rPr>
        <w:t>Rate</w:t>
      </w:r>
      <w:r w:rsidRPr="00ED7E61">
        <w:rPr>
          <w:rStyle w:val="normaltextrun"/>
          <w:rFonts w:asciiTheme="majorBidi" w:eastAsiaTheme="majorEastAsia" w:hAnsiTheme="majorBidi" w:cstheme="majorBidi"/>
        </w:rPr>
        <w:t xml:space="preserve"> of invasive alien species establishment indicator: The number of invasive alien species that are expected to have established in a new region or country </w:t>
      </w:r>
      <w:r w:rsidR="006619EE">
        <w:rPr>
          <w:rStyle w:val="normaltextrun"/>
          <w:rFonts w:asciiTheme="majorBidi" w:eastAsiaTheme="majorEastAsia" w:hAnsiTheme="majorBidi" w:cstheme="majorBidi"/>
        </w:rPr>
        <w:t>per year</w:t>
      </w:r>
      <w:r w:rsidRPr="00ED7E61">
        <w:rPr>
          <w:rStyle w:val="normaltextrun"/>
          <w:rFonts w:asciiTheme="majorBidi" w:eastAsiaTheme="majorEastAsia" w:hAnsiTheme="majorBidi" w:cstheme="majorBidi"/>
        </w:rPr>
        <w:t>, based on modelled trends in IAS observations. </w:t>
      </w:r>
      <w:r w:rsidRPr="00ED7E61">
        <w:rPr>
          <w:rStyle w:val="eop"/>
          <w:rFonts w:asciiTheme="majorBidi" w:eastAsiaTheme="majorEastAsia" w:hAnsiTheme="majorBidi" w:cstheme="majorBidi"/>
        </w:rPr>
        <w:t> </w:t>
      </w:r>
    </w:p>
    <w:p w14:paraId="0ED03A7D" w14:textId="31A41080" w:rsidR="00756F0F" w:rsidRPr="00812871" w:rsidRDefault="00756F0F" w:rsidP="00B10F0C">
      <w:pPr>
        <w:pStyle w:val="CBDNormalNumber"/>
        <w:numPr>
          <w:ilvl w:val="0"/>
          <w:numId w:val="74"/>
        </w:numPr>
        <w:ind w:left="567" w:firstLine="0"/>
        <w:rPr>
          <w:rStyle w:val="eop"/>
          <w:rFonts w:asciiTheme="majorBidi" w:hAnsiTheme="majorBidi" w:cstheme="majorBidi"/>
        </w:rPr>
      </w:pPr>
      <w:r w:rsidRPr="00ED7E61">
        <w:rPr>
          <w:rStyle w:val="normaltextrun"/>
          <w:rFonts w:asciiTheme="majorBidi" w:eastAsiaTheme="majorEastAsia" w:hAnsiTheme="majorBidi" w:cstheme="majorBidi"/>
        </w:rPr>
        <w:t xml:space="preserve">The unit of measurement is the rate of invasive alien species establishments (number/year). From </w:t>
      </w:r>
      <w:r w:rsidR="00605025">
        <w:rPr>
          <w:rStyle w:val="normaltextrun"/>
          <w:rFonts w:asciiTheme="majorBidi" w:eastAsiaTheme="majorEastAsia" w:hAnsiTheme="majorBidi" w:cstheme="majorBidi"/>
        </w:rPr>
        <w:t xml:space="preserve">the modelled trend </w:t>
      </w:r>
      <w:r w:rsidRPr="00ED7E61">
        <w:rPr>
          <w:rStyle w:val="normaltextrun"/>
          <w:rFonts w:asciiTheme="majorBidi" w:eastAsiaTheme="majorEastAsia" w:hAnsiTheme="majorBidi" w:cstheme="majorBidi"/>
        </w:rPr>
        <w:t>the</w:t>
      </w:r>
      <w:r w:rsidR="002664A5">
        <w:rPr>
          <w:rStyle w:val="normaltextrun"/>
          <w:rFonts w:asciiTheme="majorBidi" w:eastAsiaTheme="majorEastAsia" w:hAnsiTheme="majorBidi" w:cstheme="majorBidi"/>
        </w:rPr>
        <w:t xml:space="preserve"> direction of the </w:t>
      </w:r>
      <w:r w:rsidRPr="00ED7E61">
        <w:rPr>
          <w:rStyle w:val="normaltextrun"/>
          <w:rFonts w:asciiTheme="majorBidi" w:eastAsiaTheme="majorEastAsia" w:hAnsiTheme="majorBidi" w:cstheme="majorBidi"/>
        </w:rPr>
        <w:t>trend</w:t>
      </w:r>
      <w:r w:rsidR="002664A5">
        <w:rPr>
          <w:rStyle w:val="normaltextrun"/>
          <w:rFonts w:asciiTheme="majorBidi" w:eastAsiaTheme="majorEastAsia" w:hAnsiTheme="majorBidi" w:cstheme="majorBidi"/>
        </w:rPr>
        <w:t xml:space="preserve"> (increasing or declining numbers of IAS per year)</w:t>
      </w:r>
      <w:r w:rsidR="005011EB">
        <w:rPr>
          <w:rStyle w:val="normaltextrun"/>
          <w:rFonts w:asciiTheme="majorBidi" w:eastAsiaTheme="majorEastAsia" w:hAnsiTheme="majorBidi" w:cstheme="majorBidi"/>
        </w:rPr>
        <w:t>, the average number of new invasive alien species established per year</w:t>
      </w:r>
      <w:r w:rsidR="002664A5">
        <w:rPr>
          <w:rStyle w:val="normaltextrun"/>
          <w:rFonts w:asciiTheme="majorBidi" w:eastAsiaTheme="majorEastAsia" w:hAnsiTheme="majorBidi" w:cstheme="majorBidi"/>
        </w:rPr>
        <w:t xml:space="preserve"> and</w:t>
      </w:r>
      <w:r w:rsidRPr="00ED7E61">
        <w:rPr>
          <w:rStyle w:val="normaltextrun"/>
          <w:rFonts w:asciiTheme="majorBidi" w:eastAsiaTheme="majorEastAsia" w:hAnsiTheme="majorBidi" w:cstheme="majorBidi"/>
        </w:rPr>
        <w:t xml:space="preserve"> the rate of change for the reporting period</w:t>
      </w:r>
      <w:r w:rsidR="005011EB">
        <w:rPr>
          <w:rStyle w:val="normaltextrun"/>
          <w:rFonts w:asciiTheme="majorBidi" w:eastAsiaTheme="majorEastAsia" w:hAnsiTheme="majorBidi" w:cstheme="majorBidi"/>
        </w:rPr>
        <w:t xml:space="preserve"> can be estimated.</w:t>
      </w:r>
      <w:r w:rsidRPr="00ED7E61">
        <w:rPr>
          <w:rStyle w:val="eop"/>
          <w:rFonts w:asciiTheme="majorBidi" w:eastAsiaTheme="majorEastAsia" w:hAnsiTheme="majorBidi" w:cstheme="majorBidi"/>
        </w:rPr>
        <w:t> </w:t>
      </w:r>
    </w:p>
    <w:p w14:paraId="41B7D3A7" w14:textId="77777777" w:rsidR="003D6467" w:rsidRPr="00812871" w:rsidRDefault="003D6467" w:rsidP="00812871">
      <w:pPr>
        <w:pStyle w:val="CBDNormalNumber"/>
        <w:numPr>
          <w:ilvl w:val="0"/>
          <w:numId w:val="74"/>
        </w:numPr>
        <w:ind w:left="567" w:firstLine="0"/>
        <w:rPr>
          <w:rStyle w:val="normaltextrun"/>
          <w:rFonts w:eastAsiaTheme="majorEastAsia"/>
        </w:rPr>
      </w:pPr>
      <w:r w:rsidRPr="00812871">
        <w:rPr>
          <w:rStyle w:val="normaltextrun"/>
        </w:rPr>
        <w:t xml:space="preserve">The indicator is calculated over a policy relevant </w:t>
      </w:r>
      <w:proofErr w:type="gramStart"/>
      <w:r w:rsidRPr="00812871">
        <w:rPr>
          <w:rStyle w:val="normaltextrun"/>
        </w:rPr>
        <w:t>time period</w:t>
      </w:r>
      <w:proofErr w:type="gramEnd"/>
      <w:r w:rsidRPr="00812871">
        <w:rPr>
          <w:rStyle w:val="normaltextrun"/>
        </w:rPr>
        <w:t xml:space="preserve"> (1970-2020, and eventually if enough new data are available, 1970-2030 and 1970-2050). Fifty years is the minimum length of the time series needed for calculation.</w:t>
      </w:r>
    </w:p>
    <w:p w14:paraId="443F887B" w14:textId="77777777" w:rsidR="003D6467" w:rsidRPr="00812871" w:rsidRDefault="003D6467" w:rsidP="00812871">
      <w:pPr>
        <w:pStyle w:val="CBDNormalNumber"/>
        <w:numPr>
          <w:ilvl w:val="0"/>
          <w:numId w:val="74"/>
        </w:numPr>
        <w:ind w:left="567" w:firstLine="0"/>
        <w:rPr>
          <w:rStyle w:val="normaltextrun"/>
          <w:rFonts w:eastAsiaTheme="majorEastAsia"/>
        </w:rPr>
      </w:pPr>
      <w:r w:rsidRPr="00812871">
        <w:rPr>
          <w:rStyle w:val="normaltextrun"/>
        </w:rPr>
        <w:t xml:space="preserve">The percentage change (reduction or increase) in the establishment rate is calculated as the difference between the estimated number of new IAS established in the first year (in 1970) (X) and </w:t>
      </w:r>
      <w:r w:rsidRPr="00812871">
        <w:rPr>
          <w:rStyle w:val="normaltextrun"/>
        </w:rPr>
        <w:lastRenderedPageBreak/>
        <w:t>the estimated number in the final year of the trend (e.g. in 2020) (Y), divided by the number in the first year (X), i.e. ((x-y)/x)*100).</w:t>
      </w:r>
    </w:p>
    <w:p w14:paraId="656079F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5b. Method of computation</w:t>
      </w:r>
      <w:r w:rsidRPr="00ED7E61">
        <w:rPr>
          <w:rStyle w:val="eop"/>
          <w:rFonts w:asciiTheme="majorBidi" w:eastAsiaTheme="majorEastAsia" w:hAnsiTheme="majorBidi" w:cstheme="majorBidi"/>
          <w:sz w:val="22"/>
          <w:szCs w:val="22"/>
        </w:rPr>
        <w:t> </w:t>
      </w:r>
    </w:p>
    <w:p w14:paraId="5FF2031B" w14:textId="77777777" w:rsidR="001B2DDA" w:rsidRPr="00812871" w:rsidRDefault="001B2DDA" w:rsidP="00812871">
      <w:pPr>
        <w:pStyle w:val="CBDNormalNumber"/>
        <w:numPr>
          <w:ilvl w:val="0"/>
          <w:numId w:val="74"/>
        </w:numPr>
        <w:ind w:left="567" w:firstLine="0"/>
        <w:rPr>
          <w:rStyle w:val="normaltextrun"/>
        </w:rPr>
      </w:pPr>
      <w:r w:rsidRPr="00812871">
        <w:rPr>
          <w:rStyle w:val="normaltextrun"/>
        </w:rPr>
        <w:t xml:space="preserve">There are two possible ways of calculating the indicator; a semi-qualitative approach (following McGeoch et al. 2023) and a quantitative approach (following Buba et al. 2024). Most countries and regions </w:t>
      </w:r>
      <w:proofErr w:type="gramStart"/>
      <w:r w:rsidRPr="00812871">
        <w:rPr>
          <w:rStyle w:val="normaltextrun"/>
        </w:rPr>
        <w:t>are in a position to</w:t>
      </w:r>
      <w:proofErr w:type="gramEnd"/>
      <w:r w:rsidRPr="00812871">
        <w:rPr>
          <w:rStyle w:val="normaltextrun"/>
        </w:rPr>
        <w:t xml:space="preserve"> use the semi-qualitative approach, whereas the quantitative approach is only possible for countries with adequate to high data completeness.</w:t>
      </w:r>
    </w:p>
    <w:p w14:paraId="331FFFD8" w14:textId="77777777" w:rsidR="001B2DDA" w:rsidRPr="00812871" w:rsidRDefault="001B2DDA" w:rsidP="00812871">
      <w:pPr>
        <w:pStyle w:val="CBDNormalNumber"/>
        <w:numPr>
          <w:ilvl w:val="0"/>
          <w:numId w:val="74"/>
        </w:numPr>
        <w:ind w:left="567" w:firstLine="0"/>
        <w:rPr>
          <w:rStyle w:val="normaltextrun"/>
        </w:rPr>
      </w:pPr>
      <w:r w:rsidRPr="00812871">
        <w:rPr>
          <w:rStyle w:val="normaltextrun"/>
        </w:rPr>
        <w:t>Both approaches use the same data:</w:t>
      </w:r>
    </w:p>
    <w:p w14:paraId="4134E209" w14:textId="77777777" w:rsidR="00756F0F" w:rsidRPr="00812871" w:rsidRDefault="00756F0F" w:rsidP="00395866">
      <w:pPr>
        <w:pStyle w:val="paragraph"/>
        <w:spacing w:before="0" w:beforeAutospacing="0" w:after="0" w:afterAutospacing="0"/>
        <w:ind w:left="-30" w:right="-30"/>
        <w:textAlignment w:val="baseline"/>
        <w:rPr>
          <w:rFonts w:asciiTheme="majorBidi" w:hAnsiTheme="majorBidi" w:cstheme="majorBidi"/>
          <w:i/>
          <w:iCs/>
          <w:sz w:val="22"/>
          <w:szCs w:val="22"/>
        </w:rPr>
      </w:pPr>
      <w:r w:rsidRPr="00812871">
        <w:rPr>
          <w:rStyle w:val="normaltextrun"/>
          <w:rFonts w:asciiTheme="majorBidi" w:eastAsiaTheme="majorEastAsia" w:hAnsiTheme="majorBidi" w:cstheme="majorBidi"/>
          <w:i/>
          <w:iCs/>
          <w:sz w:val="22"/>
          <w:szCs w:val="22"/>
          <w:lang w:val="en-GB"/>
        </w:rPr>
        <w:t>Step 1</w:t>
      </w:r>
      <w:r w:rsidRPr="00812871">
        <w:rPr>
          <w:rStyle w:val="eop"/>
          <w:rFonts w:asciiTheme="majorBidi" w:eastAsiaTheme="majorEastAsia" w:hAnsiTheme="majorBidi" w:cstheme="majorBidi"/>
          <w:i/>
          <w:iCs/>
          <w:sz w:val="22"/>
          <w:szCs w:val="22"/>
        </w:rPr>
        <w:t> </w:t>
      </w:r>
    </w:p>
    <w:p w14:paraId="6AF5BEE8" w14:textId="5D888CF0" w:rsidR="00027574" w:rsidRPr="00812871" w:rsidRDefault="00756F0F" w:rsidP="006B139D">
      <w:pPr>
        <w:pStyle w:val="CBDNormalNumber"/>
        <w:numPr>
          <w:ilvl w:val="0"/>
          <w:numId w:val="74"/>
        </w:numPr>
        <w:ind w:left="567" w:firstLine="0"/>
        <w:jc w:val="left"/>
        <w:rPr>
          <w:rStyle w:val="normaltextrun"/>
          <w:rFonts w:asciiTheme="majorBidi" w:hAnsiTheme="majorBidi" w:cstheme="majorBidi"/>
        </w:rPr>
      </w:pPr>
      <w:r w:rsidRPr="00ED7E61">
        <w:rPr>
          <w:rStyle w:val="normaltextrun"/>
          <w:rFonts w:eastAsiaTheme="majorEastAsia"/>
        </w:rPr>
        <w:t>The</w:t>
      </w:r>
      <w:r w:rsidRPr="00ED7E61">
        <w:rPr>
          <w:rStyle w:val="normaltextrun"/>
          <w:rFonts w:asciiTheme="majorBidi" w:eastAsiaTheme="majorEastAsia" w:hAnsiTheme="majorBidi" w:cstheme="majorBidi"/>
        </w:rPr>
        <w:t xml:space="preserve"> indicator is calculated from</w:t>
      </w:r>
      <w:r w:rsidR="00C0561F">
        <w:rPr>
          <w:rStyle w:val="normaltextrun"/>
          <w:rFonts w:asciiTheme="majorBidi" w:eastAsiaTheme="majorEastAsia" w:hAnsiTheme="majorBidi" w:cstheme="majorBidi"/>
        </w:rPr>
        <w:t xml:space="preserve"> </w:t>
      </w:r>
      <w:r w:rsidR="009A10E9">
        <w:rPr>
          <w:rStyle w:val="normaltextrun"/>
          <w:rFonts w:asciiTheme="majorBidi" w:eastAsiaTheme="majorEastAsia" w:hAnsiTheme="majorBidi" w:cstheme="majorBidi"/>
        </w:rPr>
        <w:t>four</w:t>
      </w:r>
      <w:r w:rsidR="00C0561F">
        <w:rPr>
          <w:rStyle w:val="normaltextrun"/>
          <w:rFonts w:asciiTheme="majorBidi" w:eastAsiaTheme="majorEastAsia" w:hAnsiTheme="majorBidi" w:cstheme="majorBidi"/>
        </w:rPr>
        <w:t xml:space="preserve"> sets of data</w:t>
      </w:r>
      <w:r w:rsidR="00027574">
        <w:rPr>
          <w:rStyle w:val="normaltextrun"/>
          <w:rFonts w:asciiTheme="majorBidi" w:eastAsiaTheme="majorEastAsia" w:hAnsiTheme="majorBidi" w:cstheme="majorBidi"/>
        </w:rPr>
        <w:t>:</w:t>
      </w:r>
    </w:p>
    <w:p w14:paraId="58CBD443" w14:textId="5E488B1A" w:rsidR="00E0401C" w:rsidRDefault="00C0561F" w:rsidP="00E0401C">
      <w:pPr>
        <w:pStyle w:val="CBDNormalNumber"/>
        <w:numPr>
          <w:ilvl w:val="1"/>
          <w:numId w:val="74"/>
        </w:numPr>
        <w:tabs>
          <w:tab w:val="clear" w:pos="2268"/>
          <w:tab w:val="left" w:pos="1418"/>
        </w:tabs>
        <w:ind w:left="1134" w:firstLine="0"/>
        <w:jc w:val="left"/>
        <w:rPr>
          <w:rStyle w:val="normaltextrun"/>
          <w:rFonts w:asciiTheme="majorBidi" w:hAnsiTheme="majorBidi" w:cstheme="majorBidi"/>
        </w:rPr>
      </w:pPr>
      <w:r>
        <w:rPr>
          <w:rStyle w:val="normaltextrun"/>
          <w:rFonts w:asciiTheme="majorBidi" w:eastAsiaTheme="majorEastAsia" w:hAnsiTheme="majorBidi" w:cstheme="majorBidi"/>
        </w:rPr>
        <w:t xml:space="preserve"> First</w:t>
      </w:r>
      <w:r w:rsidR="00756F0F" w:rsidRPr="00ED7E61">
        <w:rPr>
          <w:rStyle w:val="normaltextrun"/>
          <w:rFonts w:asciiTheme="majorBidi" w:eastAsiaTheme="majorEastAsia" w:hAnsiTheme="majorBidi" w:cstheme="majorBidi"/>
        </w:rPr>
        <w:t xml:space="preserve"> compiled </w:t>
      </w:r>
      <w:hyperlink r:id="rId354" w:tgtFrame="_blank" w:history="1">
        <w:r w:rsidR="00756F0F" w:rsidRPr="00ED7E61">
          <w:rPr>
            <w:rStyle w:val="normaltextrun"/>
            <w:rFonts w:asciiTheme="majorBidi" w:eastAsiaTheme="majorEastAsia" w:hAnsiTheme="majorBidi" w:cstheme="majorBidi"/>
            <w:color w:val="467886"/>
            <w:u w:val="single"/>
          </w:rPr>
          <w:t>country checklists of introduced and invasive species</w:t>
        </w:r>
      </w:hyperlink>
      <w:r w:rsidR="00756F0F" w:rsidRPr="00ED7E61">
        <w:rPr>
          <w:rStyle w:val="normaltextrun"/>
          <w:rFonts w:asciiTheme="majorBidi" w:eastAsiaTheme="majorEastAsia" w:hAnsiTheme="majorBidi" w:cstheme="majorBidi"/>
        </w:rPr>
        <w:t xml:space="preserve"> </w:t>
      </w:r>
      <w:proofErr w:type="gramStart"/>
      <w:r w:rsidR="00D87AC1">
        <w:rPr>
          <w:rStyle w:val="normaltextrun"/>
          <w:rFonts w:asciiTheme="majorBidi" w:eastAsiaTheme="majorEastAsia" w:hAnsiTheme="majorBidi" w:cstheme="majorBidi"/>
        </w:rPr>
        <w:t xml:space="preserve">from </w:t>
      </w:r>
      <w:r w:rsidR="00D87AC1" w:rsidRPr="00ED7E61">
        <w:rPr>
          <w:rStyle w:val="normaltextrun"/>
          <w:rFonts w:asciiTheme="majorBidi" w:eastAsiaTheme="majorEastAsia" w:hAnsiTheme="majorBidi" w:cstheme="majorBidi"/>
        </w:rPr>
        <w:t xml:space="preserve"> </w:t>
      </w:r>
      <w:r w:rsidR="00756F0F" w:rsidRPr="00ED7E61">
        <w:rPr>
          <w:rStyle w:val="normaltextrun"/>
          <w:rFonts w:asciiTheme="majorBidi" w:eastAsiaTheme="majorEastAsia" w:hAnsiTheme="majorBidi" w:cstheme="majorBidi"/>
        </w:rPr>
        <w:t>the</w:t>
      </w:r>
      <w:proofErr w:type="gramEnd"/>
      <w:r w:rsidR="00756F0F" w:rsidRPr="00ED7E61">
        <w:rPr>
          <w:rStyle w:val="normaltextrun"/>
          <w:rFonts w:asciiTheme="majorBidi" w:eastAsiaTheme="majorEastAsia" w:hAnsiTheme="majorBidi" w:cstheme="majorBidi"/>
        </w:rPr>
        <w:t xml:space="preserve"> Global Register of Introduced and Invasive Species (</w:t>
      </w:r>
      <w:hyperlink r:id="rId355" w:history="1">
        <w:r w:rsidR="006B139D" w:rsidRPr="006B139D">
          <w:rPr>
            <w:rStyle w:val="Hyperlink"/>
            <w:rFonts w:asciiTheme="majorBidi" w:eastAsiaTheme="majorEastAsia" w:hAnsiTheme="majorBidi" w:cstheme="majorBidi"/>
            <w:lang w:val="en-CA"/>
          </w:rPr>
          <w:t>GRIIS</w:t>
        </w:r>
      </w:hyperlink>
      <w:r w:rsidR="00756F0F" w:rsidRPr="00ED7E61">
        <w:rPr>
          <w:rStyle w:val="normaltextrun"/>
          <w:rFonts w:asciiTheme="majorBidi" w:eastAsiaTheme="majorEastAsia" w:hAnsiTheme="majorBidi" w:cstheme="majorBidi"/>
        </w:rPr>
        <w:t xml:space="preserve">; </w:t>
      </w:r>
      <w:proofErr w:type="spellStart"/>
      <w:r w:rsidR="00756F0F" w:rsidRPr="00ED7E61">
        <w:rPr>
          <w:rStyle w:val="normaltextrun"/>
          <w:rFonts w:asciiTheme="majorBidi" w:eastAsiaTheme="majorEastAsia" w:hAnsiTheme="majorBidi" w:cstheme="majorBidi"/>
        </w:rPr>
        <w:t>Pagad</w:t>
      </w:r>
      <w:proofErr w:type="spellEnd"/>
      <w:r w:rsidR="00756F0F" w:rsidRPr="00ED7E61">
        <w:rPr>
          <w:rStyle w:val="normaltextrun"/>
          <w:rFonts w:asciiTheme="majorBidi" w:eastAsiaTheme="majorEastAsia" w:hAnsiTheme="majorBidi" w:cstheme="majorBidi"/>
        </w:rPr>
        <w:t xml:space="preserve"> et al. 2018). GRIIS is maintained by the IUCN SSC Invasive Species Specialist Group (ISSG), published as open-access, interoperable checklist datasets through the Global Biodiversity Information Facility (GBIF), and available via </w:t>
      </w:r>
      <w:r w:rsidR="006B139D">
        <w:rPr>
          <w:rStyle w:val="normaltextrun"/>
          <w:rFonts w:asciiTheme="majorBidi" w:eastAsiaTheme="majorEastAsia" w:hAnsiTheme="majorBidi" w:cstheme="majorBidi"/>
        </w:rPr>
        <w:t>(</w:t>
      </w:r>
      <w:proofErr w:type="spellStart"/>
      <w:r w:rsidR="006B139D">
        <w:rPr>
          <w:rStyle w:val="normaltextrun"/>
          <w:rFonts w:asciiTheme="majorBidi" w:eastAsiaTheme="majorEastAsia" w:hAnsiTheme="majorBidi" w:cstheme="majorBidi"/>
        </w:rPr>
        <w:t>i</w:t>
      </w:r>
      <w:proofErr w:type="spellEnd"/>
      <w:r w:rsidR="006B139D">
        <w:rPr>
          <w:rStyle w:val="normaltextrun"/>
          <w:rFonts w:asciiTheme="majorBidi" w:eastAsiaTheme="majorEastAsia" w:hAnsiTheme="majorBidi" w:cstheme="majorBidi"/>
        </w:rPr>
        <w:t xml:space="preserve">) the </w:t>
      </w:r>
      <w:hyperlink r:id="rId356" w:history="1">
        <w:r w:rsidR="006B139D" w:rsidRPr="005C687C">
          <w:rPr>
            <w:rStyle w:val="Hyperlink"/>
            <w:rFonts w:asciiTheme="majorBidi" w:eastAsiaTheme="majorEastAsia" w:hAnsiTheme="majorBidi" w:cstheme="majorBidi"/>
          </w:rPr>
          <w:t>GBIF GRIIS Portal</w:t>
        </w:r>
      </w:hyperlink>
      <w:r w:rsidR="00AB511C">
        <w:rPr>
          <w:rStyle w:val="normaltextrun"/>
          <w:rFonts w:asciiTheme="majorBidi" w:eastAsiaTheme="majorEastAsia" w:hAnsiTheme="majorBidi" w:cstheme="majorBidi"/>
        </w:rPr>
        <w:t xml:space="preserve"> and </w:t>
      </w:r>
      <w:r w:rsidR="002C604E">
        <w:rPr>
          <w:rStyle w:val="normaltextrun"/>
          <w:rFonts w:asciiTheme="majorBidi" w:eastAsiaTheme="majorEastAsia" w:hAnsiTheme="majorBidi" w:cstheme="majorBidi"/>
        </w:rPr>
        <w:t xml:space="preserve">is also </w:t>
      </w:r>
      <w:r w:rsidR="00AB511C">
        <w:rPr>
          <w:rStyle w:val="normaltextrun"/>
          <w:rFonts w:asciiTheme="majorBidi" w:eastAsiaTheme="majorEastAsia" w:hAnsiTheme="majorBidi" w:cstheme="majorBidi"/>
        </w:rPr>
        <w:t xml:space="preserve">(ii) linked to the </w:t>
      </w:r>
      <w:r w:rsidR="00ED3992">
        <w:rPr>
          <w:rStyle w:val="normaltextrun"/>
          <w:rFonts w:asciiTheme="majorBidi" w:eastAsiaTheme="majorEastAsia" w:hAnsiTheme="majorBidi" w:cstheme="majorBidi"/>
        </w:rPr>
        <w:t>“</w:t>
      </w:r>
      <w:r w:rsidR="00756F0F" w:rsidRPr="00FB1598">
        <w:rPr>
          <w:rStyle w:val="normaltextrun"/>
          <w:rFonts w:asciiTheme="majorBidi" w:eastAsiaTheme="majorEastAsia" w:hAnsiTheme="majorBidi" w:cstheme="majorBidi"/>
          <w:i/>
          <w:iCs/>
        </w:rPr>
        <w:t>invasive alien species</w:t>
      </w:r>
      <w:r w:rsidR="00ED3992">
        <w:rPr>
          <w:rStyle w:val="normaltextrun"/>
          <w:rFonts w:asciiTheme="majorBidi" w:eastAsiaTheme="majorEastAsia" w:hAnsiTheme="majorBidi" w:cstheme="majorBidi"/>
        </w:rPr>
        <w:t>”</w:t>
      </w:r>
      <w:r w:rsidR="00756F0F" w:rsidRPr="00ED7E61">
        <w:rPr>
          <w:rStyle w:val="normaltextrun"/>
          <w:rFonts w:asciiTheme="majorBidi" w:eastAsiaTheme="majorEastAsia" w:hAnsiTheme="majorBidi" w:cstheme="majorBidi"/>
        </w:rPr>
        <w:t xml:space="preserve"> </w:t>
      </w:r>
      <w:hyperlink r:id="rId357" w:tgtFrame="_blank" w:history="1">
        <w:r w:rsidR="00756F0F" w:rsidRPr="00ED7E61">
          <w:rPr>
            <w:rStyle w:val="normaltextrun"/>
            <w:rFonts w:asciiTheme="majorBidi" w:eastAsiaTheme="majorEastAsia" w:hAnsiTheme="majorBidi" w:cstheme="majorBidi"/>
            <w:color w:val="467886"/>
            <w:u w:val="single"/>
          </w:rPr>
          <w:t>country profile pages of the CBD global Clearing House Mechanism (CHM)</w:t>
        </w:r>
      </w:hyperlink>
      <w:r w:rsidR="00756F0F" w:rsidRPr="00ED7E61">
        <w:rPr>
          <w:rStyle w:val="normaltextrun"/>
          <w:rFonts w:asciiTheme="majorBidi" w:eastAsiaTheme="majorEastAsia" w:hAnsiTheme="majorBidi" w:cstheme="majorBidi"/>
        </w:rPr>
        <w:t xml:space="preserve">. The checklists are updatable through national expert author teams coordinated globally by </w:t>
      </w:r>
      <w:proofErr w:type="gramStart"/>
      <w:r w:rsidR="00756F0F" w:rsidRPr="00ED7E61">
        <w:rPr>
          <w:rStyle w:val="normaltextrun"/>
          <w:rFonts w:asciiTheme="majorBidi" w:eastAsiaTheme="majorEastAsia" w:hAnsiTheme="majorBidi" w:cstheme="majorBidi"/>
        </w:rPr>
        <w:t>GRIIS, and</w:t>
      </w:r>
      <w:proofErr w:type="gramEnd"/>
      <w:r w:rsidR="00756F0F" w:rsidRPr="00ED7E61">
        <w:rPr>
          <w:rStyle w:val="normaltextrun"/>
          <w:rFonts w:asciiTheme="majorBidi" w:eastAsiaTheme="majorEastAsia" w:hAnsiTheme="majorBidi" w:cstheme="majorBidi"/>
        </w:rPr>
        <w:t xml:space="preserve"> form the backbone of country monitoring frameworks for IAS. The information value of this indicator is dependent on </w:t>
      </w:r>
      <w:r w:rsidR="004876CD">
        <w:rPr>
          <w:rStyle w:val="normaltextrun"/>
          <w:rFonts w:asciiTheme="majorBidi" w:eastAsiaTheme="majorEastAsia" w:hAnsiTheme="majorBidi" w:cstheme="majorBidi"/>
        </w:rPr>
        <w:t xml:space="preserve">the </w:t>
      </w:r>
      <w:r w:rsidR="00756F0F" w:rsidRPr="00ED7E61">
        <w:rPr>
          <w:rStyle w:val="normaltextrun"/>
          <w:rFonts w:asciiTheme="majorBidi" w:eastAsiaTheme="majorEastAsia" w:hAnsiTheme="majorBidi" w:cstheme="majorBidi"/>
        </w:rPr>
        <w:t>availability of the most up to date data on new IAS established in the country, and ongoing updates to the GRIIS country checklists</w:t>
      </w:r>
    </w:p>
    <w:p w14:paraId="58667EF5" w14:textId="5D45C60D" w:rsidR="00E0401C" w:rsidRPr="00E0401C" w:rsidRDefault="00E0401C" w:rsidP="00812871">
      <w:pPr>
        <w:pStyle w:val="CBDNormalNumber"/>
        <w:numPr>
          <w:ilvl w:val="1"/>
          <w:numId w:val="74"/>
        </w:numPr>
        <w:tabs>
          <w:tab w:val="clear" w:pos="2268"/>
          <w:tab w:val="left" w:pos="1418"/>
        </w:tabs>
        <w:ind w:left="1134" w:firstLine="0"/>
        <w:jc w:val="left"/>
        <w:rPr>
          <w:rStyle w:val="normaltextrun"/>
          <w:rFonts w:asciiTheme="majorBidi" w:hAnsiTheme="majorBidi" w:cstheme="majorBidi"/>
        </w:rPr>
      </w:pPr>
      <w:r w:rsidRPr="00E0401C">
        <w:rPr>
          <w:rStyle w:val="normaltextrun"/>
          <w:rFonts w:asciiTheme="majorBidi" w:eastAsiaTheme="majorEastAsia" w:hAnsiTheme="majorBidi" w:cstheme="majorBidi"/>
        </w:rPr>
        <w:t>Second, the indicator relies on data on the dates of introduction, estimated dates of introduction, or dates of “first record” (Alien Species First Record Database (</w:t>
      </w:r>
      <w:proofErr w:type="spellStart"/>
      <w:r w:rsidRPr="00E0401C">
        <w:rPr>
          <w:rStyle w:val="normaltextrun"/>
          <w:rFonts w:asciiTheme="majorBidi" w:eastAsiaTheme="majorEastAsia" w:hAnsiTheme="majorBidi" w:cstheme="majorBidi"/>
        </w:rPr>
        <w:t>Seebens</w:t>
      </w:r>
      <w:proofErr w:type="spellEnd"/>
      <w:r w:rsidRPr="00E0401C">
        <w:rPr>
          <w:rStyle w:val="normaltextrun"/>
          <w:rFonts w:asciiTheme="majorBidi" w:eastAsiaTheme="majorEastAsia" w:hAnsiTheme="majorBidi" w:cstheme="majorBidi"/>
        </w:rPr>
        <w:t xml:space="preserve"> et al. 2017; see e.g. </w:t>
      </w:r>
      <w:hyperlink r:id="rId358" w:tgtFrame="_blank" w:history="1">
        <w:r w:rsidRPr="00E0401C">
          <w:rPr>
            <w:rStyle w:val="normaltextrun"/>
            <w:rFonts w:asciiTheme="majorBidi" w:eastAsiaTheme="majorEastAsia" w:hAnsiTheme="majorBidi" w:cstheme="majorBidi"/>
            <w:color w:val="467886"/>
            <w:u w:val="single"/>
          </w:rPr>
          <w:t>2023 update (v3) of the Alien Species First Record Database</w:t>
        </w:r>
      </w:hyperlink>
      <w:r w:rsidRPr="00E0401C">
        <w:rPr>
          <w:rStyle w:val="normaltextrun"/>
          <w:rFonts w:asciiTheme="majorBidi" w:eastAsiaTheme="majorEastAsia" w:hAnsiTheme="majorBidi" w:cstheme="majorBidi"/>
        </w:rPr>
        <w:t xml:space="preserve">, </w:t>
      </w:r>
      <w:proofErr w:type="spellStart"/>
      <w:r w:rsidRPr="00E0401C">
        <w:rPr>
          <w:rStyle w:val="normaltextrun"/>
          <w:rFonts w:asciiTheme="majorBidi" w:eastAsiaTheme="majorEastAsia" w:hAnsiTheme="majorBidi" w:cstheme="majorBidi"/>
        </w:rPr>
        <w:t>Seebens</w:t>
      </w:r>
      <w:proofErr w:type="spellEnd"/>
      <w:r w:rsidRPr="00E0401C">
        <w:rPr>
          <w:rStyle w:val="normaltextrun"/>
          <w:rFonts w:asciiTheme="majorBidi" w:eastAsiaTheme="majorEastAsia" w:hAnsiTheme="majorBidi" w:cstheme="majorBidi"/>
        </w:rPr>
        <w:t xml:space="preserve"> 2023). These data can be collated from in-country sources, and/or obtained from the IAS First Record Database (</w:t>
      </w:r>
      <w:proofErr w:type="spellStart"/>
      <w:r w:rsidRPr="00E0401C">
        <w:rPr>
          <w:rStyle w:val="normaltextrun"/>
          <w:rFonts w:asciiTheme="majorBidi" w:eastAsiaTheme="majorEastAsia" w:hAnsiTheme="majorBidi" w:cstheme="majorBidi"/>
        </w:rPr>
        <w:t>Seebens</w:t>
      </w:r>
      <w:proofErr w:type="spellEnd"/>
      <w:r w:rsidRPr="00E0401C">
        <w:rPr>
          <w:rStyle w:val="normaltextrun"/>
          <w:rFonts w:asciiTheme="majorBidi" w:eastAsiaTheme="majorEastAsia" w:hAnsiTheme="majorBidi" w:cstheme="majorBidi"/>
        </w:rPr>
        <w:t xml:space="preserve"> 2023) or similar sources. Date information can be compiled on a taxon-by-taxon basis, starting with those taxa for which the data are most readily available and complete. The information value of this indicator is dependent on the availability of dates (year) of first establishment of a species in a country (‘first record’). Countries are well-placed to supplement existing open first record data with information on years of introduction or establishment (first record) that is available but currently not findable, accessible, interoperable and retrievable (FAIR). </w:t>
      </w:r>
    </w:p>
    <w:p w14:paraId="3EC41258" w14:textId="22D8EAF3" w:rsidR="000D356E" w:rsidRPr="00812871" w:rsidRDefault="00DD5D68" w:rsidP="000D356E">
      <w:pPr>
        <w:pStyle w:val="CBDNormalNumber"/>
        <w:numPr>
          <w:ilvl w:val="1"/>
          <w:numId w:val="74"/>
        </w:numPr>
        <w:tabs>
          <w:tab w:val="clear" w:pos="2268"/>
          <w:tab w:val="left" w:pos="1418"/>
        </w:tabs>
        <w:ind w:left="1134" w:firstLine="0"/>
        <w:jc w:val="left"/>
        <w:rPr>
          <w:rFonts w:asciiTheme="majorBidi" w:hAnsiTheme="majorBidi" w:cstheme="majorBidi"/>
        </w:rPr>
      </w:pPr>
      <w:r>
        <w:rPr>
          <w:rStyle w:val="normaltextrun"/>
          <w:rFonts w:asciiTheme="majorBidi" w:eastAsiaTheme="majorEastAsia" w:hAnsiTheme="majorBidi" w:cstheme="majorBidi"/>
        </w:rPr>
        <w:t xml:space="preserve">Third, </w:t>
      </w:r>
      <w:r w:rsidR="00E0401C">
        <w:rPr>
          <w:rStyle w:val="normaltextrun"/>
          <w:rFonts w:asciiTheme="majorBidi" w:eastAsiaTheme="majorEastAsia" w:hAnsiTheme="majorBidi" w:cstheme="majorBidi"/>
        </w:rPr>
        <w:t>the indicator is informed</w:t>
      </w:r>
      <w:r w:rsidR="00756F0F" w:rsidRPr="00ED7E61">
        <w:rPr>
          <w:rStyle w:val="normaltextrun"/>
          <w:rFonts w:asciiTheme="majorBidi" w:eastAsiaTheme="majorEastAsia" w:hAnsiTheme="majorBidi" w:cstheme="majorBidi"/>
        </w:rPr>
        <w:t xml:space="preserve"> by ongoing </w:t>
      </w:r>
      <w:r w:rsidR="00E0401C">
        <w:rPr>
          <w:rStyle w:val="normaltextrun"/>
          <w:rFonts w:asciiTheme="majorBidi" w:eastAsiaTheme="majorEastAsia" w:hAnsiTheme="majorBidi" w:cstheme="majorBidi"/>
        </w:rPr>
        <w:t xml:space="preserve">research and </w:t>
      </w:r>
      <w:r w:rsidR="00756F0F" w:rsidRPr="00ED7E61">
        <w:rPr>
          <w:rStyle w:val="normaltextrun"/>
          <w:rFonts w:asciiTheme="majorBidi" w:eastAsiaTheme="majorEastAsia" w:hAnsiTheme="majorBidi" w:cstheme="majorBidi"/>
        </w:rPr>
        <w:t xml:space="preserve">collation of in-country evidence on which </w:t>
      </w:r>
      <w:r w:rsidR="00BA4B55">
        <w:rPr>
          <w:rStyle w:val="normaltextrun"/>
          <w:rFonts w:asciiTheme="majorBidi" w:eastAsiaTheme="majorEastAsia" w:hAnsiTheme="majorBidi" w:cstheme="majorBidi"/>
        </w:rPr>
        <w:t xml:space="preserve">alien </w:t>
      </w:r>
      <w:r w:rsidR="00756F0F" w:rsidRPr="00ED7E61">
        <w:rPr>
          <w:rStyle w:val="normaltextrun"/>
          <w:rFonts w:asciiTheme="majorBidi" w:eastAsiaTheme="majorEastAsia" w:hAnsiTheme="majorBidi" w:cstheme="majorBidi"/>
        </w:rPr>
        <w:t>species have started to cause harm (have a negative impact) or continue to do so, and this information is fed back into the GRIIS country checklists</w:t>
      </w:r>
      <w:r w:rsidR="007F0541">
        <w:rPr>
          <w:rStyle w:val="normaltextrun"/>
          <w:rFonts w:asciiTheme="majorBidi" w:eastAsiaTheme="majorEastAsia" w:hAnsiTheme="majorBidi" w:cstheme="majorBidi"/>
        </w:rPr>
        <w:t xml:space="preserve"> </w:t>
      </w:r>
      <w:r w:rsidR="007F0541" w:rsidRPr="007F0541">
        <w:rPr>
          <w:rFonts w:asciiTheme="majorBidi" w:eastAsiaTheme="majorEastAsia" w:hAnsiTheme="majorBidi" w:cstheme="majorBidi"/>
          <w:lang w:val="en-CA"/>
        </w:rPr>
        <w:t>so that the indicator can be calculated for IAS specifically (the priority set of species) versus all aliens (some of which don’t impact biodiversity). </w:t>
      </w:r>
    </w:p>
    <w:p w14:paraId="15F8429D" w14:textId="60943BED" w:rsidR="00DD5D68" w:rsidRPr="00812871" w:rsidRDefault="000D356E" w:rsidP="00812871">
      <w:pPr>
        <w:pStyle w:val="CBDNormalNumber"/>
        <w:numPr>
          <w:ilvl w:val="1"/>
          <w:numId w:val="74"/>
        </w:numPr>
        <w:tabs>
          <w:tab w:val="clear" w:pos="2268"/>
          <w:tab w:val="left" w:pos="1418"/>
        </w:tabs>
        <w:ind w:left="1134" w:firstLine="0"/>
        <w:jc w:val="left"/>
        <w:rPr>
          <w:rStyle w:val="normaltextrun"/>
        </w:rPr>
      </w:pPr>
      <w:r w:rsidRPr="00812871">
        <w:rPr>
          <w:rStyle w:val="normaltextrun"/>
        </w:rPr>
        <w:t xml:space="preserve">Fourth, modelling and interpreting the indicator needs data on the survey effort invested in detecting new IAS establishments. This information informs on the likelihood of the checklist of IAS being complete and up to date or not, as incomplete data can affect the observed trend and rate estimate (Figure 1). Where a direct measure of survey effort for IAS is not available a proxy can be used (Buba et al. 2024, </w:t>
      </w:r>
      <w:proofErr w:type="spellStart"/>
      <w:r w:rsidRPr="00812871">
        <w:rPr>
          <w:rStyle w:val="normaltextrun"/>
        </w:rPr>
        <w:t>Leihy</w:t>
      </w:r>
      <w:proofErr w:type="spellEnd"/>
      <w:r w:rsidRPr="00812871">
        <w:rPr>
          <w:rStyle w:val="normaltextrun"/>
        </w:rPr>
        <w:t xml:space="preserve"> et al. 2025).</w:t>
      </w:r>
    </w:p>
    <w:p w14:paraId="24D0482A" w14:textId="2A4FE34C" w:rsidR="00756F0F" w:rsidRPr="00812871" w:rsidRDefault="00A54050" w:rsidP="000A3CD0">
      <w:pPr>
        <w:pStyle w:val="CBDNormalNumber"/>
        <w:numPr>
          <w:ilvl w:val="0"/>
          <w:numId w:val="74"/>
        </w:numPr>
        <w:ind w:left="567" w:firstLine="0"/>
        <w:jc w:val="left"/>
        <w:rPr>
          <w:rStyle w:val="normaltextrun"/>
          <w:rFonts w:eastAsiaTheme="majorEastAsia"/>
        </w:rPr>
      </w:pPr>
      <w:r w:rsidRPr="00812871">
        <w:rPr>
          <w:rStyle w:val="normaltextrun"/>
        </w:rPr>
        <w:t xml:space="preserve">It may be necessary for </w:t>
      </w:r>
      <w:r w:rsidR="000E107B" w:rsidRPr="00812871">
        <w:rPr>
          <w:rStyle w:val="normaltextrun"/>
        </w:rPr>
        <w:t xml:space="preserve">the </w:t>
      </w:r>
      <w:r w:rsidRPr="00812871">
        <w:rPr>
          <w:rStyle w:val="normaltextrun"/>
        </w:rPr>
        <w:t>Parties to review the data in advance</w:t>
      </w:r>
      <w:r w:rsidR="000E107B" w:rsidRPr="00812871">
        <w:rPr>
          <w:rStyle w:val="normaltextrun"/>
        </w:rPr>
        <w:t xml:space="preserve"> to </w:t>
      </w:r>
      <w:r w:rsidRPr="00812871">
        <w:rPr>
          <w:rStyle w:val="normaltextrun"/>
        </w:rPr>
        <w:t>ensure that it contains the necessary information. This review could be carried out by each country</w:t>
      </w:r>
      <w:r w:rsidR="00F136CD" w:rsidRPr="00812871">
        <w:rPr>
          <w:rStyle w:val="normaltextrun"/>
        </w:rPr>
        <w:t xml:space="preserve"> with the cooperation of experts</w:t>
      </w:r>
      <w:r w:rsidRPr="00812871">
        <w:rPr>
          <w:rStyle w:val="normaltextrun"/>
        </w:rPr>
        <w:t xml:space="preserve"> as appropriate.</w:t>
      </w:r>
      <w:r w:rsidR="00661268" w:rsidRPr="00812871">
        <w:rPr>
          <w:rStyle w:val="normaltextrun"/>
          <w:rFonts w:eastAsiaTheme="majorEastAsia"/>
        </w:rPr>
        <w:t xml:space="preserve"> </w:t>
      </w:r>
      <w:r w:rsidR="00661268" w:rsidRPr="00812871">
        <w:rPr>
          <w:rStyle w:val="normaltextrun"/>
        </w:rPr>
        <w:t xml:space="preserve">Pre-prepared, baseline datasets including the above information can be made available, where countries do not have such country data or do not integrate existing data for this purpose from the above open sources. </w:t>
      </w:r>
    </w:p>
    <w:p w14:paraId="656D4561" w14:textId="77777777" w:rsidR="00756F0F" w:rsidRPr="00ED7E61"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Step 2</w:t>
      </w:r>
      <w:r w:rsidRPr="00ED7E61">
        <w:rPr>
          <w:rStyle w:val="eop"/>
          <w:rFonts w:asciiTheme="majorBidi" w:eastAsiaTheme="majorEastAsia" w:hAnsiTheme="majorBidi" w:cstheme="majorBidi"/>
          <w:sz w:val="22"/>
          <w:szCs w:val="22"/>
        </w:rPr>
        <w:t> </w:t>
      </w:r>
    </w:p>
    <w:p w14:paraId="18DA8715" w14:textId="528E014C" w:rsidR="00BF4189" w:rsidRPr="00BF4189" w:rsidRDefault="00756F0F" w:rsidP="000A3CD0">
      <w:pPr>
        <w:pStyle w:val="CBDNormalNumber"/>
        <w:numPr>
          <w:ilvl w:val="0"/>
          <w:numId w:val="74"/>
        </w:numPr>
        <w:ind w:left="567" w:firstLine="0"/>
        <w:rPr>
          <w:rFonts w:eastAsiaTheme="majorEastAsia"/>
        </w:rPr>
      </w:pPr>
      <w:r w:rsidRPr="00ED7E61">
        <w:rPr>
          <w:rStyle w:val="normaltextrun"/>
          <w:rFonts w:eastAsiaTheme="majorEastAsia"/>
        </w:rPr>
        <w:lastRenderedPageBreak/>
        <w:t xml:space="preserve">The indicator can be calculated for different species subsets: (1) </w:t>
      </w:r>
      <w:r w:rsidR="000A3CD0" w:rsidRPr="000A3CD0">
        <w:rPr>
          <w:rFonts w:eastAsiaTheme="majorEastAsia"/>
          <w:lang w:val="en-CA"/>
        </w:rPr>
        <w:t xml:space="preserve">The primary calculation is for </w:t>
      </w:r>
      <w:r w:rsidR="000A3CD0">
        <w:rPr>
          <w:rStyle w:val="normaltextrun"/>
          <w:rFonts w:eastAsiaTheme="majorEastAsia"/>
        </w:rPr>
        <w:t>s</w:t>
      </w:r>
      <w:r w:rsidRPr="00ED7E61">
        <w:rPr>
          <w:rStyle w:val="normaltextrun"/>
          <w:rFonts w:eastAsiaTheme="majorEastAsia"/>
        </w:rPr>
        <w:t xml:space="preserve">pecies known to have an impact (i.e. based on the subset of invasive alien species in GRIIS for which there is evidence of impact in at least one country, denoted as </w:t>
      </w:r>
      <w:r w:rsidR="00ED3992">
        <w:rPr>
          <w:rStyle w:val="normaltextrun"/>
          <w:rFonts w:eastAsiaTheme="majorEastAsia"/>
        </w:rPr>
        <w:t>“</w:t>
      </w:r>
      <w:r w:rsidRPr="00FB1598">
        <w:rPr>
          <w:rStyle w:val="normaltextrun"/>
          <w:rFonts w:eastAsiaTheme="majorEastAsia"/>
          <w:i/>
          <w:iCs/>
        </w:rPr>
        <w:t>Invasive</w:t>
      </w:r>
      <w:r w:rsidR="00ED3992">
        <w:rPr>
          <w:rStyle w:val="normaltextrun"/>
          <w:rFonts w:eastAsiaTheme="majorEastAsia"/>
        </w:rPr>
        <w:t>”</w:t>
      </w:r>
      <w:r w:rsidRPr="00ED7E61">
        <w:rPr>
          <w:rStyle w:val="normaltextrun"/>
          <w:rFonts w:eastAsiaTheme="majorEastAsia"/>
        </w:rPr>
        <w:t xml:space="preserve"> in the </w:t>
      </w:r>
      <w:r w:rsidR="00ED3992">
        <w:rPr>
          <w:rStyle w:val="normaltextrun"/>
          <w:rFonts w:eastAsiaTheme="majorEastAsia"/>
        </w:rPr>
        <w:t>“</w:t>
      </w:r>
      <w:proofErr w:type="spellStart"/>
      <w:r w:rsidRPr="00FB1598">
        <w:rPr>
          <w:rStyle w:val="normaltextrun"/>
          <w:rFonts w:eastAsiaTheme="majorEastAsia"/>
          <w:i/>
          <w:iCs/>
        </w:rPr>
        <w:t>isInvasive</w:t>
      </w:r>
      <w:proofErr w:type="spellEnd"/>
      <w:r w:rsidR="00ED3992">
        <w:rPr>
          <w:rStyle w:val="normaltextrun"/>
          <w:rFonts w:eastAsiaTheme="majorEastAsia"/>
        </w:rPr>
        <w:t>”</w:t>
      </w:r>
      <w:r w:rsidRPr="00ED7E61">
        <w:rPr>
          <w:rStyle w:val="normaltextrun"/>
          <w:rFonts w:eastAsiaTheme="majorEastAsia"/>
        </w:rPr>
        <w:t xml:space="preserve"> field of the country checklists)</w:t>
      </w:r>
      <w:r w:rsidR="00B947B1">
        <w:rPr>
          <w:rStyle w:val="normaltextrun"/>
          <w:rFonts w:eastAsiaTheme="majorEastAsia"/>
        </w:rPr>
        <w:t>. Other calculations can include (2) a</w:t>
      </w:r>
      <w:r w:rsidRPr="00ED7E61">
        <w:rPr>
          <w:rStyle w:val="normaltextrun"/>
          <w:rFonts w:eastAsiaTheme="majorEastAsia"/>
        </w:rPr>
        <w:t>ll alien (introduced) species in a country using GRIIS data or alternative sources</w:t>
      </w:r>
      <w:r w:rsidR="00B947B1">
        <w:rPr>
          <w:rStyle w:val="normaltextrun"/>
          <w:rFonts w:eastAsiaTheme="majorEastAsia"/>
        </w:rPr>
        <w:t xml:space="preserve">, or </w:t>
      </w:r>
      <w:r w:rsidRPr="00ED7E61">
        <w:rPr>
          <w:rStyle w:val="normaltextrun"/>
          <w:rFonts w:eastAsiaTheme="majorEastAsia"/>
        </w:rPr>
        <w:t>(3) species introduced via a particular pathway of introduction</w:t>
      </w:r>
      <w:r w:rsidR="00BF4189">
        <w:rPr>
          <w:rStyle w:val="normaltextrun"/>
          <w:rFonts w:eastAsiaTheme="majorEastAsia"/>
        </w:rPr>
        <w:t xml:space="preserve"> </w:t>
      </w:r>
      <w:r w:rsidR="00BF4189" w:rsidRPr="00BF4189">
        <w:t>where additional data linking species to pathways is available. </w:t>
      </w:r>
    </w:p>
    <w:p w14:paraId="457EA81A" w14:textId="709889DF" w:rsidR="00756F0F" w:rsidRPr="00ED7E61" w:rsidRDefault="00756F0F" w:rsidP="00CC56A2">
      <w:pPr>
        <w:pStyle w:val="paragraph"/>
        <w:spacing w:before="0" w:beforeAutospacing="0" w:after="0" w:afterAutospacing="0"/>
        <w:ind w:left="-30" w:right="-30"/>
        <w:textAlignment w:val="baseline"/>
        <w:rPr>
          <w:rStyle w:val="normaltextrun"/>
          <w:rFonts w:eastAsiaTheme="majorEastAsia"/>
          <w:lang w:val="en-GB"/>
        </w:rPr>
      </w:pPr>
      <w:r w:rsidRPr="00ED7E61">
        <w:rPr>
          <w:rStyle w:val="normaltextrun"/>
          <w:rFonts w:asciiTheme="majorBidi" w:eastAsiaTheme="majorEastAsia" w:hAnsiTheme="majorBidi" w:cstheme="majorBidi"/>
          <w:sz w:val="22"/>
          <w:szCs w:val="22"/>
          <w:lang w:val="en-GB"/>
        </w:rPr>
        <w:t xml:space="preserve">Step </w:t>
      </w:r>
      <w:r w:rsidR="00B947B1">
        <w:rPr>
          <w:rStyle w:val="normaltextrun"/>
          <w:rFonts w:eastAsiaTheme="majorEastAsia"/>
          <w:lang w:val="en-GB"/>
        </w:rPr>
        <w:t>3</w:t>
      </w:r>
    </w:p>
    <w:p w14:paraId="2703C5CA" w14:textId="26EE123F"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eastAsiaTheme="majorEastAsia"/>
        </w:rPr>
        <w:t>Raw</w:t>
      </w:r>
      <w:r w:rsidRPr="00ED7E61">
        <w:rPr>
          <w:rStyle w:val="normaltextrun"/>
          <w:rFonts w:asciiTheme="majorBidi" w:eastAsiaTheme="majorEastAsia" w:hAnsiTheme="majorBidi" w:cstheme="majorBidi"/>
        </w:rPr>
        <w:t xml:space="preserve"> data trends can be compiled showing the known number of </w:t>
      </w:r>
      <w:proofErr w:type="gramStart"/>
      <w:r w:rsidRPr="00ED7E61">
        <w:rPr>
          <w:rStyle w:val="normaltextrun"/>
          <w:rFonts w:asciiTheme="majorBidi" w:eastAsiaTheme="majorEastAsia" w:hAnsiTheme="majorBidi" w:cstheme="majorBidi"/>
        </w:rPr>
        <w:t>newly-</w:t>
      </w:r>
      <w:r w:rsidR="00B947B1" w:rsidRPr="00ED7E61">
        <w:rPr>
          <w:rStyle w:val="normaltextrun"/>
          <w:rFonts w:asciiTheme="majorBidi" w:eastAsiaTheme="majorEastAsia" w:hAnsiTheme="majorBidi" w:cstheme="majorBidi"/>
        </w:rPr>
        <w:t>established</w:t>
      </w:r>
      <w:proofErr w:type="gramEnd"/>
      <w:r w:rsidR="00B947B1" w:rsidRPr="00ED7E61">
        <w:rPr>
          <w:rStyle w:val="normaltextrun"/>
          <w:rFonts w:asciiTheme="majorBidi" w:eastAsiaTheme="majorEastAsia" w:hAnsiTheme="majorBidi" w:cstheme="majorBidi"/>
        </w:rPr>
        <w:t xml:space="preserve"> species</w:t>
      </w:r>
      <w:r w:rsidRPr="00ED7E61">
        <w:rPr>
          <w:rStyle w:val="normaltextrun"/>
          <w:rFonts w:asciiTheme="majorBidi" w:eastAsiaTheme="majorEastAsia" w:hAnsiTheme="majorBidi" w:cstheme="majorBidi"/>
        </w:rPr>
        <w:t xml:space="preserve"> per year</w:t>
      </w:r>
      <w:r w:rsidR="00B947B1">
        <w:rPr>
          <w:rStyle w:val="normaltextrun"/>
          <w:rFonts w:asciiTheme="majorBidi" w:eastAsiaTheme="majorEastAsia" w:hAnsiTheme="majorBidi" w:cstheme="majorBidi"/>
        </w:rPr>
        <w:t xml:space="preserve"> (Figure 1)</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56C78FC7" w14:textId="7E776EA9" w:rsidR="00756F0F" w:rsidRPr="00ED7E61"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Step </w:t>
      </w:r>
      <w:r w:rsidR="00B947B1">
        <w:rPr>
          <w:rStyle w:val="eop"/>
          <w:rFonts w:asciiTheme="majorBidi" w:eastAsiaTheme="majorEastAsia" w:hAnsiTheme="majorBidi" w:cstheme="majorBidi"/>
          <w:sz w:val="22"/>
          <w:szCs w:val="22"/>
        </w:rPr>
        <w:t>4</w:t>
      </w:r>
    </w:p>
    <w:p w14:paraId="40E3A461" w14:textId="39673EB1" w:rsidR="00756F0F" w:rsidRPr="00ED7E61" w:rsidRDefault="00756F0F" w:rsidP="00F10125">
      <w:pPr>
        <w:pStyle w:val="CBDNormalNumber"/>
        <w:numPr>
          <w:ilvl w:val="0"/>
          <w:numId w:val="74"/>
        </w:numPr>
        <w:ind w:left="567" w:firstLine="0"/>
        <w:jc w:val="left"/>
        <w:rPr>
          <w:rFonts w:asciiTheme="majorBidi" w:hAnsiTheme="majorBidi" w:cstheme="majorBidi"/>
        </w:rPr>
      </w:pPr>
      <w:r w:rsidRPr="00ED7E61">
        <w:rPr>
          <w:rStyle w:val="normaltextrun"/>
          <w:rFonts w:eastAsiaTheme="majorEastAsia"/>
        </w:rPr>
        <w:t>To</w:t>
      </w:r>
      <w:r w:rsidRPr="00ED7E61">
        <w:rPr>
          <w:rStyle w:val="normaltextrun"/>
          <w:rFonts w:asciiTheme="majorBidi" w:eastAsiaTheme="majorEastAsia" w:hAnsiTheme="majorBidi" w:cstheme="majorBidi"/>
        </w:rPr>
        <w:t xml:space="preserve"> estimate the </w:t>
      </w:r>
      <w:r w:rsidR="00ED3992">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Rate of Establishment Indicator</w:t>
      </w:r>
      <w:r w:rsidR="00ED3992">
        <w:rPr>
          <w:rStyle w:val="normaltextrun"/>
          <w:rFonts w:asciiTheme="majorBidi" w:eastAsiaTheme="majorEastAsia" w:hAnsiTheme="majorBidi" w:cstheme="majorBidi"/>
        </w:rPr>
        <w:t>”</w:t>
      </w:r>
      <w:r w:rsidR="00BE1A97">
        <w:rPr>
          <w:rStyle w:val="normaltextrun"/>
          <w:rFonts w:asciiTheme="majorBidi" w:eastAsiaTheme="majorEastAsia" w:hAnsiTheme="majorBidi" w:cstheme="majorBidi"/>
        </w:rPr>
        <w:t xml:space="preserve"> using the quantitative approach</w:t>
      </w:r>
      <w:r w:rsidRPr="00ED7E61">
        <w:rPr>
          <w:rStyle w:val="normaltextrun"/>
          <w:rFonts w:asciiTheme="majorBidi" w:eastAsiaTheme="majorEastAsia" w:hAnsiTheme="majorBidi" w:cstheme="majorBidi"/>
        </w:rPr>
        <w:t xml:space="preserve">, the above information is then modelled to estimate </w:t>
      </w:r>
      <w:r w:rsidR="00146C16">
        <w:rPr>
          <w:rStyle w:val="normaltextrun"/>
          <w:rFonts w:asciiTheme="majorBidi" w:eastAsiaTheme="majorEastAsia" w:hAnsiTheme="majorBidi" w:cstheme="majorBidi"/>
        </w:rPr>
        <w:t>the rate of invasive alien species establishment</w:t>
      </w:r>
      <w:r w:rsidRPr="00ED7E61">
        <w:rPr>
          <w:rStyle w:val="normaltextrun"/>
          <w:rFonts w:asciiTheme="majorBidi" w:eastAsiaTheme="majorEastAsia" w:hAnsiTheme="majorBidi" w:cstheme="majorBidi"/>
        </w:rPr>
        <w:t xml:space="preserve">, along with an estimate of uncertainty. The model is based on a time series that measures the number of observed species in each time </w:t>
      </w:r>
      <w:proofErr w:type="gramStart"/>
      <w:r w:rsidRPr="00ED7E61">
        <w:rPr>
          <w:rStyle w:val="normaltextrun"/>
          <w:rFonts w:asciiTheme="majorBidi" w:eastAsiaTheme="majorEastAsia" w:hAnsiTheme="majorBidi" w:cstheme="majorBidi"/>
        </w:rPr>
        <w:t>period, and</w:t>
      </w:r>
      <w:proofErr w:type="gramEnd"/>
      <w:r w:rsidRPr="00ED7E61">
        <w:rPr>
          <w:rStyle w:val="normaltextrun"/>
          <w:rFonts w:asciiTheme="majorBidi" w:eastAsiaTheme="majorEastAsia" w:hAnsiTheme="majorBidi" w:cstheme="majorBidi"/>
        </w:rPr>
        <w:t xml:space="preserve"> estimates the rate of introduction of new species from these IAS observations. The observed number of IAS is the product of the number of introductions and the observation probability of the introduced species</w:t>
      </w:r>
      <w:r w:rsidR="00132375">
        <w:rPr>
          <w:rStyle w:val="normaltextrun"/>
          <w:rFonts w:asciiTheme="majorBidi" w:eastAsiaTheme="majorEastAsia" w:hAnsiTheme="majorBidi" w:cstheme="majorBidi"/>
        </w:rPr>
        <w:t>, and a measure of proxy of survey effort for new IAS can be included in the model</w:t>
      </w:r>
      <w:r w:rsidRPr="00ED7E61">
        <w:rPr>
          <w:rStyle w:val="normaltextrun"/>
          <w:rFonts w:asciiTheme="majorBidi" w:eastAsiaTheme="majorEastAsia" w:hAnsiTheme="majorBidi" w:cstheme="majorBidi"/>
        </w:rPr>
        <w:t xml:space="preserve"> (</w:t>
      </w:r>
      <w:r w:rsidR="00F87DE5" w:rsidRPr="00F87DE5">
        <w:rPr>
          <w:rFonts w:asciiTheme="majorBidi" w:eastAsiaTheme="majorEastAsia" w:hAnsiTheme="majorBidi" w:cstheme="majorBidi"/>
          <w:lang w:val="en-CA"/>
        </w:rPr>
        <w:t>Buba et al. 2024</w:t>
      </w:r>
      <w:r w:rsidR="00F10125" w:rsidRPr="00F10125">
        <w:rPr>
          <w:rFonts w:asciiTheme="majorBidi" w:eastAsiaTheme="majorEastAsia" w:hAnsiTheme="majorBidi" w:cstheme="majorBidi"/>
          <w:lang w:val="en-CA"/>
        </w:rPr>
        <w:t xml:space="preserve">For the semi-qualitative approach see </w:t>
      </w:r>
      <w:hyperlink r:id="rId359" w:tgtFrame="_blank" w:history="1">
        <w:r w:rsidR="00F10125" w:rsidRPr="00F10125">
          <w:rPr>
            <w:rStyle w:val="Hyperlink"/>
            <w:rFonts w:asciiTheme="majorBidi" w:eastAsiaTheme="majorEastAsia" w:hAnsiTheme="majorBidi" w:cstheme="majorBidi"/>
            <w:lang w:val="en-CA"/>
          </w:rPr>
          <w:t>supporting information providing guidance to countries on constructing such indicators</w:t>
        </w:r>
      </w:hyperlink>
      <w:r w:rsidR="00F10125" w:rsidRPr="00F10125">
        <w:rPr>
          <w:rFonts w:asciiTheme="majorBidi" w:eastAsiaTheme="majorEastAsia" w:hAnsiTheme="majorBidi" w:cstheme="majorBidi"/>
          <w:lang w:val="en-CA"/>
        </w:rPr>
        <w:t xml:space="preserve"> for guidance on this estimation procedure.</w:t>
      </w:r>
    </w:p>
    <w:p w14:paraId="7825E3F8" w14:textId="5C8CEF39" w:rsidR="00756F0F" w:rsidRPr="00ED7E61"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Step </w:t>
      </w:r>
      <w:r w:rsidR="00F10125">
        <w:rPr>
          <w:rStyle w:val="eop"/>
          <w:rFonts w:asciiTheme="majorBidi" w:eastAsiaTheme="majorEastAsia" w:hAnsiTheme="majorBidi" w:cstheme="majorBidi"/>
          <w:sz w:val="22"/>
          <w:szCs w:val="22"/>
        </w:rPr>
        <w:t>5</w:t>
      </w:r>
    </w:p>
    <w:p w14:paraId="60A78CEA" w14:textId="77777777"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eastAsiaTheme="majorEastAsia"/>
        </w:rPr>
        <w:t>Comparable</w:t>
      </w:r>
      <w:r w:rsidRPr="00ED7E61">
        <w:rPr>
          <w:rStyle w:val="normaltextrun"/>
          <w:rFonts w:asciiTheme="majorBidi" w:eastAsiaTheme="majorEastAsia" w:hAnsiTheme="majorBidi" w:cstheme="majorBidi"/>
        </w:rPr>
        <w:t xml:space="preserve"> use of this indicator by Parties relies on the use of the same baseline dataset and a consistent method for estimating the rate parameter. Further tools are currently being prepared by GEO BON to assist countries with this step.</w:t>
      </w:r>
      <w:r w:rsidRPr="00ED7E61">
        <w:rPr>
          <w:rStyle w:val="eop"/>
          <w:rFonts w:asciiTheme="majorBidi" w:eastAsiaTheme="majorEastAsia" w:hAnsiTheme="majorBidi" w:cstheme="majorBidi"/>
        </w:rPr>
        <w:t> </w:t>
      </w:r>
    </w:p>
    <w:p w14:paraId="16D5D589" w14:textId="77777777" w:rsidR="00756F0F" w:rsidRPr="00ED7E61"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1C3DB904" w14:textId="28DC6480" w:rsidR="00CC56A2" w:rsidRPr="00B3383B" w:rsidRDefault="00756F0F" w:rsidP="00B3383B">
      <w:pPr>
        <w:pStyle w:val="paragraph"/>
        <w:spacing w:before="0" w:beforeAutospacing="0" w:after="0" w:afterAutospacing="0"/>
        <w:ind w:left="567" w:right="-30"/>
        <w:textAlignment w:val="baseline"/>
        <w:rPr>
          <w:rStyle w:val="eop"/>
          <w:rFonts w:asciiTheme="majorBidi" w:eastAsiaTheme="majorEastAsia" w:hAnsiTheme="majorBidi" w:cstheme="majorBidi"/>
          <w:b/>
          <w:bCs/>
          <w:sz w:val="22"/>
          <w:szCs w:val="22"/>
        </w:rPr>
      </w:pPr>
      <w:r w:rsidRPr="00ED7E61">
        <w:rPr>
          <w:rStyle w:val="eop"/>
          <w:rFonts w:asciiTheme="majorBidi" w:eastAsiaTheme="majorEastAsia" w:hAnsiTheme="majorBidi" w:cstheme="majorBidi"/>
          <w:sz w:val="22"/>
          <w:szCs w:val="22"/>
        </w:rPr>
        <w:t> </w:t>
      </w:r>
      <w:r w:rsidR="00E225C2" w:rsidRPr="00ED7E61">
        <w:rPr>
          <w:noProof/>
          <w:lang w:val="fr-FR" w:eastAsia="fr-FR"/>
        </w:rPr>
        <w:drawing>
          <wp:inline distT="0" distB="0" distL="0" distR="0" wp14:anchorId="0B00EFCC" wp14:editId="3DFC0EEB">
            <wp:extent cx="5819775" cy="2982635"/>
            <wp:effectExtent l="0" t="0" r="0" b="0"/>
            <wp:docPr id="2023661444" name="Picture 2023661444" descr="A graph of a surv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61444" name="Picture 2023661444" descr="A graph of a survey&#10;&#10;Description automatically generated with medium confidence"/>
                    <pic:cNvPicPr/>
                  </pic:nvPicPr>
                  <pic:blipFill>
                    <a:blip r:embed="rId360">
                      <a:extLst>
                        <a:ext uri="{28A0092B-C50C-407E-A947-70E740481C1C}">
                          <a14:useLocalDpi xmlns:a14="http://schemas.microsoft.com/office/drawing/2010/main" val="0"/>
                        </a:ext>
                      </a:extLst>
                    </a:blip>
                    <a:stretch>
                      <a:fillRect/>
                    </a:stretch>
                  </pic:blipFill>
                  <pic:spPr>
                    <a:xfrm>
                      <a:off x="0" y="0"/>
                      <a:ext cx="5819775" cy="2982635"/>
                    </a:xfrm>
                    <a:prstGeom prst="rect">
                      <a:avLst/>
                    </a:prstGeom>
                  </pic:spPr>
                </pic:pic>
              </a:graphicData>
            </a:graphic>
          </wp:inline>
        </w:drawing>
      </w:r>
      <w:r w:rsidRPr="00B3383B">
        <w:rPr>
          <w:rStyle w:val="normaltextrun"/>
          <w:rFonts w:asciiTheme="majorBidi" w:eastAsiaTheme="majorEastAsia" w:hAnsiTheme="majorBidi" w:cstheme="majorBidi"/>
          <w:sz w:val="22"/>
          <w:szCs w:val="22"/>
          <w:lang w:val="en-GB"/>
        </w:rPr>
        <w:t xml:space="preserve">Figure </w:t>
      </w:r>
      <w:r w:rsidR="00307746" w:rsidRPr="00B3383B">
        <w:rPr>
          <w:rStyle w:val="normaltextrun"/>
          <w:rFonts w:asciiTheme="majorBidi" w:eastAsiaTheme="majorEastAsia" w:hAnsiTheme="majorBidi" w:cstheme="majorBidi"/>
          <w:sz w:val="22"/>
          <w:szCs w:val="22"/>
          <w:lang w:val="en-GB"/>
        </w:rPr>
        <w:t>I</w:t>
      </w:r>
      <w:r w:rsidRPr="00ED7E61">
        <w:rPr>
          <w:rStyle w:val="normaltextrun"/>
          <w:rFonts w:asciiTheme="majorBidi" w:eastAsiaTheme="majorEastAsia" w:hAnsiTheme="majorBidi" w:cstheme="majorBidi"/>
          <w:i/>
          <w:iCs/>
          <w:sz w:val="22"/>
          <w:szCs w:val="22"/>
          <w:lang w:val="en-GB"/>
        </w:rPr>
        <w:t xml:space="preserve"> </w:t>
      </w:r>
      <w:r w:rsidR="00307746">
        <w:rPr>
          <w:rStyle w:val="normaltextrun"/>
          <w:rFonts w:asciiTheme="majorBidi" w:eastAsiaTheme="majorEastAsia" w:hAnsiTheme="majorBidi" w:cstheme="majorBidi"/>
          <w:i/>
          <w:iCs/>
          <w:sz w:val="22"/>
          <w:szCs w:val="22"/>
          <w:lang w:val="en-GB"/>
        </w:rPr>
        <w:br/>
      </w:r>
      <w:r w:rsidRPr="00B3383B">
        <w:rPr>
          <w:rStyle w:val="normaltextrun"/>
          <w:rFonts w:asciiTheme="majorBidi" w:eastAsiaTheme="majorEastAsia" w:hAnsiTheme="majorBidi" w:cstheme="majorBidi"/>
          <w:b/>
          <w:bCs/>
          <w:sz w:val="22"/>
          <w:szCs w:val="22"/>
          <w:lang w:val="en-GB"/>
        </w:rPr>
        <w:t>The graph on the left show</w:t>
      </w:r>
      <w:r w:rsidR="00E225C2" w:rsidRPr="00B3383B">
        <w:rPr>
          <w:rStyle w:val="normaltextrun"/>
          <w:rFonts w:asciiTheme="majorBidi" w:eastAsiaTheme="majorEastAsia" w:hAnsiTheme="majorBidi" w:cstheme="majorBidi"/>
          <w:b/>
          <w:bCs/>
          <w:sz w:val="22"/>
          <w:szCs w:val="22"/>
          <w:lang w:val="en-GB"/>
        </w:rPr>
        <w:t>s</w:t>
      </w:r>
      <w:r w:rsidRPr="00B3383B">
        <w:rPr>
          <w:rStyle w:val="normaltextrun"/>
          <w:rFonts w:asciiTheme="majorBidi" w:eastAsiaTheme="majorEastAsia" w:hAnsiTheme="majorBidi" w:cstheme="majorBidi"/>
          <w:b/>
          <w:bCs/>
          <w:sz w:val="22"/>
          <w:szCs w:val="22"/>
          <w:lang w:val="en-GB"/>
        </w:rPr>
        <w:t xml:space="preserve"> an example of a step change in the true number of introductions (black line). This is estimated from checklist data updated over time. We see that survey effort (coloured dotted line) affects our knowledge of </w:t>
      </w:r>
      <w:r w:rsidR="00132375">
        <w:rPr>
          <w:rStyle w:val="normaltextrun"/>
          <w:rFonts w:asciiTheme="majorBidi" w:eastAsiaTheme="majorEastAsia" w:hAnsiTheme="majorBidi" w:cstheme="majorBidi"/>
          <w:b/>
          <w:bCs/>
          <w:sz w:val="22"/>
          <w:szCs w:val="22"/>
          <w:lang w:val="en-GB"/>
        </w:rPr>
        <w:t xml:space="preserve">the </w:t>
      </w:r>
      <w:r w:rsidRPr="00B3383B">
        <w:rPr>
          <w:rStyle w:val="normaltextrun"/>
          <w:rFonts w:asciiTheme="majorBidi" w:eastAsiaTheme="majorEastAsia" w:hAnsiTheme="majorBidi" w:cstheme="majorBidi"/>
          <w:b/>
          <w:bCs/>
          <w:sz w:val="22"/>
          <w:szCs w:val="22"/>
          <w:lang w:val="en-GB"/>
        </w:rPr>
        <w:t xml:space="preserve">change in the rate of IAS (number per year). The true number is estimated with a model as described by McGeoch et al. (2023). The graph on the right shows the change in the rate of establishment of IAS over a longer </w:t>
      </w:r>
      <w:r w:rsidRPr="00B3383B">
        <w:rPr>
          <w:rStyle w:val="normaltextrun"/>
          <w:rFonts w:asciiTheme="majorBidi" w:eastAsiaTheme="majorEastAsia" w:hAnsiTheme="majorBidi" w:cstheme="majorBidi"/>
          <w:b/>
          <w:bCs/>
          <w:sz w:val="22"/>
          <w:szCs w:val="22"/>
          <w:lang w:val="en-GB"/>
        </w:rPr>
        <w:lastRenderedPageBreak/>
        <w:t>period. This trend is estimated as a linear trend (as estimated with a slope from a regression) through a time series of IAS per year</w:t>
      </w:r>
    </w:p>
    <w:p w14:paraId="08D8A2DC" w14:textId="2AD079E1" w:rsidR="00CC56A2" w:rsidRPr="00ED7E61" w:rsidRDefault="00A54050" w:rsidP="00B10F0C">
      <w:pPr>
        <w:pStyle w:val="CBDNormalNumber"/>
        <w:numPr>
          <w:ilvl w:val="0"/>
          <w:numId w:val="74"/>
        </w:numPr>
        <w:ind w:left="567" w:firstLine="0"/>
        <w:jc w:val="left"/>
        <w:rPr>
          <w:rStyle w:val="normaltextrun"/>
          <w:rFonts w:eastAsiaTheme="majorEastAsia"/>
        </w:rPr>
      </w:pPr>
      <w:r w:rsidRPr="00ED7E61">
        <w:rPr>
          <w:rStyle w:val="normaltextrun"/>
          <w:rFonts w:eastAsiaTheme="majorEastAsia"/>
        </w:rPr>
        <w:t xml:space="preserve">For countries or regions which have </w:t>
      </w:r>
      <w:r w:rsidR="00F10125">
        <w:rPr>
          <w:rStyle w:val="normaltextrun"/>
          <w:rFonts w:eastAsiaTheme="majorEastAsia"/>
        </w:rPr>
        <w:t xml:space="preserve">their own </w:t>
      </w:r>
      <w:r w:rsidRPr="00ED7E61">
        <w:rPr>
          <w:rStyle w:val="normaltextrun"/>
          <w:rFonts w:eastAsiaTheme="majorEastAsia"/>
        </w:rPr>
        <w:t>local lists of invasive alien species</w:t>
      </w:r>
      <w:r w:rsidR="00F10125">
        <w:rPr>
          <w:rStyle w:val="normaltextrun"/>
          <w:rFonts w:eastAsiaTheme="majorEastAsia"/>
        </w:rPr>
        <w:t xml:space="preserve"> with years of first record</w:t>
      </w:r>
      <w:r w:rsidRPr="00ED7E61">
        <w:rPr>
          <w:rStyle w:val="normaltextrun"/>
          <w:rFonts w:eastAsiaTheme="majorEastAsia"/>
        </w:rPr>
        <w:t xml:space="preserve">, it is possible apply the method described above. </w:t>
      </w:r>
    </w:p>
    <w:p w14:paraId="7AA1D92E" w14:textId="5AC0EF6C"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2E15A190" w14:textId="77777777"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eastAsiaTheme="majorEastAsia"/>
        </w:rPr>
        <w:t>Detailed</w:t>
      </w:r>
      <w:r w:rsidRPr="00ED7E61">
        <w:rPr>
          <w:rStyle w:val="normaltextrun"/>
          <w:rFonts w:asciiTheme="majorBidi" w:eastAsiaTheme="majorEastAsia" w:hAnsiTheme="majorBidi" w:cstheme="majorBidi"/>
          <w:color w:val="000000"/>
        </w:rPr>
        <w:t xml:space="preserve"> methodology for compiling country checklists within the Global Register of Introduced and Invasive Species (GRIIS, see previous section) is described in </w:t>
      </w:r>
      <w:hyperlink r:id="rId361" w:tgtFrame="_blank" w:history="1">
        <w:proofErr w:type="spellStart"/>
        <w:r w:rsidRPr="00ED7E61">
          <w:rPr>
            <w:rStyle w:val="normaltextrun"/>
            <w:rFonts w:asciiTheme="majorBidi" w:eastAsiaTheme="majorEastAsia" w:hAnsiTheme="majorBidi" w:cstheme="majorBidi"/>
            <w:color w:val="467886"/>
            <w:u w:val="single"/>
          </w:rPr>
          <w:t>Pagad</w:t>
        </w:r>
        <w:proofErr w:type="spellEnd"/>
        <w:r w:rsidRPr="00ED7E61">
          <w:rPr>
            <w:rStyle w:val="normaltextrun"/>
            <w:rFonts w:asciiTheme="majorBidi" w:eastAsiaTheme="majorEastAsia" w:hAnsiTheme="majorBidi" w:cstheme="majorBidi"/>
            <w:color w:val="467886"/>
            <w:u w:val="single"/>
          </w:rPr>
          <w:t xml:space="preserve"> et al. (2018)</w:t>
        </w:r>
      </w:hyperlink>
      <w:r w:rsidRPr="00ED7E61">
        <w:rPr>
          <w:rStyle w:val="normaltextrun"/>
          <w:rFonts w:asciiTheme="majorBidi" w:eastAsiaTheme="majorEastAsia" w:hAnsiTheme="majorBidi" w:cstheme="majorBidi"/>
          <w:color w:val="000000"/>
        </w:rPr>
        <w:t xml:space="preserve">, and included within the metadata associated with each checklist, available </w:t>
      </w:r>
      <w:hyperlink r:id="rId362" w:tgtFrame="_blank" w:history="1">
        <w:r w:rsidRPr="00ED7E61">
          <w:rPr>
            <w:rStyle w:val="normaltextrun"/>
            <w:rFonts w:asciiTheme="majorBidi" w:eastAsiaTheme="majorEastAsia" w:hAnsiTheme="majorBidi" w:cstheme="majorBidi"/>
            <w:color w:val="467886"/>
            <w:u w:val="single"/>
          </w:rPr>
          <w:t>through GBIF</w:t>
        </w:r>
      </w:hyperlink>
      <w:r w:rsidRPr="00ED7E61">
        <w:rPr>
          <w:rStyle w:val="normaltextrun"/>
          <w:rFonts w:asciiTheme="majorBidi" w:eastAsiaTheme="majorEastAsia" w:hAnsiTheme="majorBidi" w:cstheme="majorBidi"/>
          <w:color w:val="000000"/>
        </w:rPr>
        <w:t xml:space="preserve"> and linked from the </w:t>
      </w:r>
      <w:hyperlink r:id="rId363" w:tgtFrame="_blank" w:history="1">
        <w:r w:rsidRPr="00ED7E61">
          <w:rPr>
            <w:rStyle w:val="normaltextrun"/>
            <w:rFonts w:asciiTheme="majorBidi" w:eastAsiaTheme="majorEastAsia" w:hAnsiTheme="majorBidi" w:cstheme="majorBidi"/>
            <w:color w:val="467886"/>
            <w:u w:val="single"/>
          </w:rPr>
          <w:t>CHM country profile pages.</w:t>
        </w:r>
      </w:hyperlink>
      <w:r w:rsidRPr="00ED7E61">
        <w:rPr>
          <w:rStyle w:val="eop"/>
          <w:rFonts w:asciiTheme="majorBidi" w:eastAsiaTheme="majorEastAsia" w:hAnsiTheme="majorBidi" w:cstheme="majorBidi"/>
        </w:rPr>
        <w:t> </w:t>
      </w:r>
    </w:p>
    <w:p w14:paraId="0EE3E1DD" w14:textId="77777777" w:rsidR="00756F0F" w:rsidRPr="00812871" w:rsidRDefault="00756F0F" w:rsidP="00B10F0C">
      <w:pPr>
        <w:pStyle w:val="CBDNormalNumber"/>
        <w:numPr>
          <w:ilvl w:val="0"/>
          <w:numId w:val="74"/>
        </w:numPr>
        <w:ind w:left="567" w:firstLine="0"/>
        <w:jc w:val="left"/>
        <w:rPr>
          <w:rStyle w:val="eop"/>
          <w:rFonts w:asciiTheme="majorBidi" w:hAnsiTheme="majorBidi" w:cstheme="majorBidi"/>
        </w:rPr>
      </w:pPr>
      <w:r w:rsidRPr="00ED7E61">
        <w:rPr>
          <w:rStyle w:val="normaltextrun"/>
          <w:rFonts w:eastAsiaTheme="majorEastAsia"/>
        </w:rPr>
        <w:t>The</w:t>
      </w:r>
      <w:r w:rsidRPr="00ED7E61">
        <w:rPr>
          <w:rStyle w:val="normaltextrun"/>
          <w:rFonts w:asciiTheme="majorBidi" w:eastAsiaTheme="majorEastAsia" w:hAnsiTheme="majorBidi" w:cstheme="majorBidi"/>
        </w:rPr>
        <w:t xml:space="preserve"> methodology for compiling the IAS First Record Database is described in </w:t>
      </w:r>
      <w:hyperlink r:id="rId364" w:tgtFrame="_blank" w:history="1">
        <w:proofErr w:type="spellStart"/>
        <w:r w:rsidRPr="00ED7E61">
          <w:rPr>
            <w:rStyle w:val="normaltextrun"/>
            <w:rFonts w:asciiTheme="majorBidi" w:eastAsiaTheme="majorEastAsia" w:hAnsiTheme="majorBidi" w:cstheme="majorBidi"/>
            <w:color w:val="467886"/>
            <w:u w:val="single"/>
          </w:rPr>
          <w:t>Seebens</w:t>
        </w:r>
        <w:proofErr w:type="spellEnd"/>
        <w:r w:rsidRPr="00ED7E61">
          <w:rPr>
            <w:rStyle w:val="normaltextrun"/>
            <w:rFonts w:asciiTheme="majorBidi" w:eastAsiaTheme="majorEastAsia" w:hAnsiTheme="majorBidi" w:cstheme="majorBidi"/>
            <w:color w:val="467886"/>
            <w:u w:val="single"/>
          </w:rPr>
          <w:t xml:space="preserve"> et al (2017)</w:t>
        </w:r>
      </w:hyperlink>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2FA53CB3" w14:textId="77777777" w:rsidR="00A764FB" w:rsidRPr="00812871" w:rsidRDefault="00A764FB" w:rsidP="00812871">
      <w:pPr>
        <w:pStyle w:val="CBDNormalNumber"/>
        <w:numPr>
          <w:ilvl w:val="0"/>
          <w:numId w:val="74"/>
        </w:numPr>
        <w:ind w:left="567" w:firstLine="0"/>
        <w:jc w:val="left"/>
        <w:rPr>
          <w:rStyle w:val="normaltextrun"/>
          <w:rFonts w:eastAsiaTheme="majorEastAsia"/>
        </w:rPr>
      </w:pPr>
      <w:r w:rsidRPr="00812871">
        <w:rPr>
          <w:rStyle w:val="normaltextrun"/>
        </w:rPr>
        <w:t xml:space="preserve">No standard measure or method of calculating survey effort for IAS is </w:t>
      </w:r>
      <w:proofErr w:type="gramStart"/>
      <w:r w:rsidRPr="00812871">
        <w:rPr>
          <w:rStyle w:val="normaltextrun"/>
        </w:rPr>
        <w:t>available, and</w:t>
      </w:r>
      <w:proofErr w:type="gramEnd"/>
      <w:r w:rsidRPr="00812871">
        <w:rPr>
          <w:rStyle w:val="normaltextrun"/>
        </w:rPr>
        <w:t xml:space="preserve"> will depend on the information available that is likely to differ across countries.</w:t>
      </w:r>
    </w:p>
    <w:p w14:paraId="575C98E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1661AF0E" w14:textId="1385F541" w:rsidR="00756F0F" w:rsidRPr="00ED7E61" w:rsidRDefault="00756F0F" w:rsidP="001548F0">
      <w:pPr>
        <w:pStyle w:val="CBDNormalNumber"/>
        <w:numPr>
          <w:ilvl w:val="0"/>
          <w:numId w:val="74"/>
        </w:numPr>
        <w:ind w:left="567" w:firstLine="0"/>
        <w:jc w:val="left"/>
        <w:rPr>
          <w:rFonts w:asciiTheme="majorBidi" w:hAnsiTheme="majorBidi" w:cstheme="majorBidi"/>
        </w:rPr>
      </w:pPr>
      <w:r w:rsidRPr="00ED7E61">
        <w:rPr>
          <w:rStyle w:val="normaltextrun"/>
          <w:rFonts w:eastAsiaTheme="majorEastAsia"/>
        </w:rPr>
        <w:t>The</w:t>
      </w:r>
      <w:r w:rsidRPr="00ED7E61">
        <w:rPr>
          <w:rStyle w:val="normaltextrun"/>
          <w:rFonts w:asciiTheme="majorBidi" w:eastAsiaTheme="majorEastAsia" w:hAnsiTheme="majorBidi" w:cstheme="majorBidi"/>
        </w:rPr>
        <w:t xml:space="preserve"> </w:t>
      </w:r>
      <w:r w:rsidR="00A764FB">
        <w:rPr>
          <w:rStyle w:val="normaltextrun"/>
          <w:rFonts w:asciiTheme="majorBidi" w:eastAsiaTheme="majorEastAsia" w:hAnsiTheme="majorBidi" w:cstheme="majorBidi"/>
        </w:rPr>
        <w:t xml:space="preserve">semi-qualitative </w:t>
      </w:r>
      <w:r w:rsidRPr="00ED7E61">
        <w:rPr>
          <w:rStyle w:val="normaltextrun"/>
          <w:rFonts w:asciiTheme="majorBidi" w:eastAsiaTheme="majorEastAsia" w:hAnsiTheme="majorBidi" w:cstheme="majorBidi"/>
        </w:rPr>
        <w:t xml:space="preserve">method for the indicator is described in </w:t>
      </w:r>
      <w:hyperlink r:id="rId365" w:tgtFrame="_blank" w:history="1">
        <w:r w:rsidRPr="00ED7E61">
          <w:rPr>
            <w:rStyle w:val="normaltextrun"/>
            <w:rFonts w:asciiTheme="majorBidi" w:eastAsiaTheme="majorEastAsia" w:hAnsiTheme="majorBidi" w:cstheme="majorBidi"/>
            <w:color w:val="467886"/>
            <w:u w:val="single"/>
          </w:rPr>
          <w:t>McGeoch et al. (2023)</w:t>
        </w:r>
      </w:hyperlink>
      <w:r w:rsidRPr="00ED7E61">
        <w:rPr>
          <w:rStyle w:val="normaltextrun"/>
          <w:rFonts w:asciiTheme="majorBidi" w:eastAsiaTheme="majorEastAsia" w:hAnsiTheme="majorBidi" w:cstheme="majorBidi"/>
        </w:rPr>
        <w:t xml:space="preserve"> and its national application is supported by GEO BON</w:t>
      </w:r>
      <w:r w:rsidR="00E4361D">
        <w:rPr>
          <w:rStyle w:val="normaltextrun"/>
          <w:rFonts w:asciiTheme="majorBidi" w:eastAsiaTheme="majorEastAsia" w:hAnsiTheme="majorBidi" w:cstheme="majorBidi"/>
        </w:rPr>
        <w:t xml:space="preserve"> and GBIF</w:t>
      </w:r>
      <w:r w:rsidR="00A764FB">
        <w:rPr>
          <w:rStyle w:val="normaltextrun"/>
          <w:rFonts w:asciiTheme="majorBidi" w:eastAsiaTheme="majorEastAsia" w:hAnsiTheme="majorBidi" w:cstheme="majorBidi"/>
        </w:rPr>
        <w:t xml:space="preserve"> and the quantitative method in Buba et al. (2024</w:t>
      </w:r>
      <w:proofErr w:type="gramStart"/>
      <w:r w:rsidR="00A764FB">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w:t>
      </w:r>
      <w:proofErr w:type="gramEnd"/>
      <w:r w:rsidRPr="00ED7E61">
        <w:rPr>
          <w:rStyle w:val="normaltextrun"/>
          <w:rFonts w:asciiTheme="majorBidi" w:eastAsiaTheme="majorEastAsia" w:hAnsiTheme="majorBidi" w:cstheme="majorBidi"/>
        </w:rPr>
        <w:t xml:space="preserve">  As described in this paper governments and institutions responsible for assessing invasive alien species at the national level can follow </w:t>
      </w:r>
      <w:r w:rsidR="001548F0" w:rsidRPr="001548F0">
        <w:rPr>
          <w:rFonts w:asciiTheme="majorBidi" w:eastAsiaTheme="majorEastAsia" w:hAnsiTheme="majorBidi" w:cstheme="majorBidi"/>
          <w:lang w:val="en-CA"/>
        </w:rPr>
        <w:t>the approach outlined above to build the data needed to estimate rates of invasive alien species (IAS) establishment, as summarised in</w:t>
      </w:r>
      <w:r w:rsidR="001548F0">
        <w:rPr>
          <w:rFonts w:asciiTheme="majorBidi" w:eastAsiaTheme="majorEastAsia" w:hAnsiTheme="majorBidi" w:cstheme="majorBidi"/>
          <w:lang w:val="en-CA"/>
        </w:rPr>
        <w:t xml:space="preserve"> the </w:t>
      </w:r>
      <w:r w:rsidRPr="00ED7E61">
        <w:rPr>
          <w:rStyle w:val="normaltextrun"/>
          <w:rFonts w:asciiTheme="majorBidi" w:eastAsiaTheme="majorEastAsia" w:hAnsiTheme="majorBidi" w:cstheme="majorBidi"/>
        </w:rPr>
        <w:t xml:space="preserve">four steps </w:t>
      </w:r>
      <w:r w:rsidR="001548F0">
        <w:rPr>
          <w:rStyle w:val="normaltextrun"/>
          <w:rFonts w:asciiTheme="majorBidi" w:eastAsiaTheme="majorEastAsia" w:hAnsiTheme="majorBidi" w:cstheme="majorBidi"/>
        </w:rPr>
        <w:t>below</w:t>
      </w:r>
      <w:r w:rsidRPr="00ED7E61">
        <w:rPr>
          <w:rStyle w:val="normaltextrun"/>
          <w:rFonts w:asciiTheme="majorBidi" w:eastAsiaTheme="majorEastAsia" w:hAnsiTheme="majorBidi" w:cstheme="majorBidi"/>
        </w:rPr>
        <w:t xml:space="preserve"> (</w:t>
      </w:r>
      <w:r w:rsidR="005377BE">
        <w:rPr>
          <w:rStyle w:val="normaltextrun"/>
          <w:rFonts w:asciiTheme="majorBidi" w:eastAsiaTheme="majorEastAsia" w:hAnsiTheme="majorBidi" w:cstheme="majorBidi"/>
        </w:rPr>
        <w:t>f</w:t>
      </w:r>
      <w:r w:rsidRPr="00ED7E61">
        <w:rPr>
          <w:rStyle w:val="normaltextrun"/>
          <w:rFonts w:asciiTheme="majorBidi" w:eastAsiaTheme="majorEastAsia" w:hAnsiTheme="majorBidi" w:cstheme="majorBidi"/>
        </w:rPr>
        <w:t xml:space="preserve">igure </w:t>
      </w:r>
      <w:r w:rsidR="005377BE">
        <w:rPr>
          <w:rStyle w:val="normaltextrun"/>
          <w:rFonts w:asciiTheme="majorBidi" w:eastAsiaTheme="majorEastAsia" w:hAnsiTheme="majorBidi" w:cstheme="majorBidi"/>
        </w:rPr>
        <w:t>II</w:t>
      </w:r>
      <w:r w:rsidRPr="00ED7E61">
        <w:rPr>
          <w:rStyle w:val="normaltextrun"/>
          <w:rFonts w:asciiTheme="majorBidi" w:eastAsiaTheme="majorEastAsia" w:hAnsiTheme="majorBidi" w:cstheme="majorBidi"/>
        </w:rPr>
        <w:t>).</w:t>
      </w:r>
    </w:p>
    <w:p w14:paraId="5355B45A" w14:textId="77777777" w:rsidR="002D23EF" w:rsidRPr="00ED7E61" w:rsidRDefault="002D23EF" w:rsidP="00395866">
      <w:pPr>
        <w:pStyle w:val="paragraph"/>
        <w:spacing w:before="0" w:beforeAutospacing="0" w:after="0" w:afterAutospacing="0"/>
        <w:ind w:left="-30" w:right="-30"/>
        <w:textAlignment w:val="baseline"/>
        <w:rPr>
          <w:rStyle w:val="normaltextrun"/>
          <w:rFonts w:asciiTheme="majorBidi" w:eastAsiaTheme="majorEastAsia" w:hAnsiTheme="majorBidi" w:cstheme="majorBidi"/>
          <w:sz w:val="22"/>
          <w:szCs w:val="22"/>
        </w:rPr>
      </w:pPr>
    </w:p>
    <w:p w14:paraId="5D03C72C" w14:textId="74FCCDD4" w:rsidR="002D23EF" w:rsidRPr="00ED7E61" w:rsidRDefault="002D23EF" w:rsidP="00B3383B">
      <w:pPr>
        <w:pStyle w:val="paragraph"/>
        <w:spacing w:before="0" w:beforeAutospacing="0" w:after="0" w:afterAutospacing="0"/>
        <w:ind w:left="567" w:right="-30"/>
        <w:textAlignment w:val="baseline"/>
        <w:rPr>
          <w:rStyle w:val="normaltextrun"/>
          <w:rFonts w:asciiTheme="majorBidi" w:eastAsiaTheme="majorEastAsia" w:hAnsiTheme="majorBidi" w:cstheme="majorBidi"/>
          <w:sz w:val="22"/>
          <w:szCs w:val="22"/>
        </w:rPr>
      </w:pPr>
      <w:r w:rsidRPr="00ED7E61">
        <w:rPr>
          <w:noProof/>
          <w:lang w:val="fr-FR" w:eastAsia="fr-FR"/>
        </w:rPr>
        <w:drawing>
          <wp:inline distT="0" distB="0" distL="0" distR="0" wp14:anchorId="21713EF8" wp14:editId="1A7F362E">
            <wp:extent cx="4572000" cy="3000375"/>
            <wp:effectExtent l="0" t="0" r="0" b="0"/>
            <wp:docPr id="2121483890" name="Picture 2121483890" descr="A diagram of data analys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83890" name="Picture 2121483890" descr="A diagram of data analysis&#10;&#10;Description automatically generated"/>
                    <pic:cNvPicPr/>
                  </pic:nvPicPr>
                  <pic:blipFill>
                    <a:blip r:embed="rId366" cstate="print">
                      <a:extLst>
                        <a:ext uri="{28A0092B-C50C-407E-A947-70E740481C1C}">
                          <a14:useLocalDpi xmlns:a14="http://schemas.microsoft.com/office/drawing/2010/main" val="0"/>
                        </a:ext>
                      </a:extLst>
                    </a:blip>
                    <a:stretch>
                      <a:fillRect/>
                    </a:stretch>
                  </pic:blipFill>
                  <pic:spPr>
                    <a:xfrm>
                      <a:off x="0" y="0"/>
                      <a:ext cx="4572000" cy="3000375"/>
                    </a:xfrm>
                    <a:prstGeom prst="rect">
                      <a:avLst/>
                    </a:prstGeom>
                  </pic:spPr>
                </pic:pic>
              </a:graphicData>
            </a:graphic>
          </wp:inline>
        </w:drawing>
      </w:r>
    </w:p>
    <w:p w14:paraId="125B7572" w14:textId="6EA27690" w:rsidR="00932941" w:rsidRPr="00B3383B" w:rsidRDefault="00932941" w:rsidP="00B3383B">
      <w:pPr>
        <w:pStyle w:val="paragraph"/>
        <w:spacing w:before="0" w:beforeAutospacing="0" w:after="0" w:afterAutospacing="0"/>
        <w:ind w:left="567" w:right="-30"/>
        <w:textAlignment w:val="baseline"/>
        <w:rPr>
          <w:rFonts w:asciiTheme="majorBidi" w:hAnsiTheme="majorBidi" w:cstheme="majorBidi"/>
          <w:b/>
          <w:bCs/>
          <w:sz w:val="22"/>
          <w:szCs w:val="22"/>
        </w:rPr>
      </w:pPr>
      <w:r w:rsidRPr="00B3383B">
        <w:rPr>
          <w:rStyle w:val="normaltextrun"/>
          <w:rFonts w:asciiTheme="majorBidi" w:eastAsiaTheme="majorEastAsia" w:hAnsiTheme="majorBidi" w:cstheme="majorBidi"/>
          <w:sz w:val="22"/>
          <w:szCs w:val="22"/>
          <w:lang w:val="en-GB"/>
        </w:rPr>
        <w:t xml:space="preserve">Figure </w:t>
      </w:r>
      <w:r w:rsidR="00B1417A" w:rsidRPr="00B3383B">
        <w:rPr>
          <w:rStyle w:val="normaltextrun"/>
          <w:rFonts w:asciiTheme="majorBidi" w:eastAsiaTheme="majorEastAsia" w:hAnsiTheme="majorBidi" w:cstheme="majorBidi"/>
          <w:sz w:val="22"/>
          <w:szCs w:val="22"/>
          <w:lang w:val="en-GB"/>
        </w:rPr>
        <w:t>II</w:t>
      </w:r>
      <w:r w:rsidRPr="00ED7E61">
        <w:rPr>
          <w:rStyle w:val="normaltextrun"/>
          <w:rFonts w:asciiTheme="majorBidi" w:eastAsiaTheme="majorEastAsia" w:hAnsiTheme="majorBidi" w:cstheme="majorBidi"/>
          <w:i/>
          <w:iCs/>
          <w:sz w:val="22"/>
          <w:szCs w:val="22"/>
          <w:lang w:val="en-GB"/>
        </w:rPr>
        <w:t xml:space="preserve"> </w:t>
      </w:r>
      <w:r w:rsidR="00B1417A">
        <w:rPr>
          <w:rStyle w:val="normaltextrun"/>
          <w:rFonts w:asciiTheme="majorBidi" w:eastAsiaTheme="majorEastAsia" w:hAnsiTheme="majorBidi" w:cstheme="majorBidi"/>
          <w:i/>
          <w:iCs/>
          <w:sz w:val="22"/>
          <w:szCs w:val="22"/>
          <w:lang w:val="en-GB"/>
        </w:rPr>
        <w:br/>
      </w:r>
      <w:r w:rsidRPr="00B3383B">
        <w:rPr>
          <w:rStyle w:val="normaltextrun"/>
          <w:rFonts w:asciiTheme="majorBidi" w:eastAsiaTheme="majorEastAsia" w:hAnsiTheme="majorBidi" w:cstheme="majorBidi"/>
          <w:b/>
          <w:bCs/>
          <w:sz w:val="22"/>
          <w:szCs w:val="22"/>
          <w:lang w:val="en-GB"/>
        </w:rPr>
        <w:t xml:space="preserve">Four steps for countries to build </w:t>
      </w:r>
      <w:r w:rsidR="002D312F">
        <w:rPr>
          <w:rStyle w:val="normaltextrun"/>
          <w:rFonts w:asciiTheme="majorBidi" w:eastAsiaTheme="majorEastAsia" w:hAnsiTheme="majorBidi" w:cstheme="majorBidi"/>
          <w:b/>
          <w:bCs/>
          <w:sz w:val="22"/>
          <w:szCs w:val="22"/>
          <w:lang w:val="en-GB"/>
        </w:rPr>
        <w:t xml:space="preserve">the </w:t>
      </w:r>
      <w:r w:rsidRPr="00B3383B">
        <w:rPr>
          <w:rStyle w:val="normaltextrun"/>
          <w:rFonts w:asciiTheme="majorBidi" w:eastAsiaTheme="majorEastAsia" w:hAnsiTheme="majorBidi" w:cstheme="majorBidi"/>
          <w:b/>
          <w:bCs/>
          <w:sz w:val="22"/>
          <w:szCs w:val="22"/>
          <w:lang w:val="en-GB"/>
        </w:rPr>
        <w:t xml:space="preserve">data required for this indicator (taken from McGeoch et al. 2023, </w:t>
      </w:r>
      <w:r w:rsidR="00B1417A">
        <w:rPr>
          <w:rStyle w:val="normaltextrun"/>
          <w:rFonts w:asciiTheme="majorBidi" w:eastAsiaTheme="majorEastAsia" w:hAnsiTheme="majorBidi" w:cstheme="majorBidi"/>
          <w:b/>
          <w:bCs/>
          <w:sz w:val="22"/>
          <w:szCs w:val="22"/>
          <w:lang w:val="en-GB"/>
        </w:rPr>
        <w:t>f</w:t>
      </w:r>
      <w:r w:rsidRPr="00B3383B">
        <w:rPr>
          <w:rStyle w:val="normaltextrun"/>
          <w:rFonts w:asciiTheme="majorBidi" w:eastAsiaTheme="majorEastAsia" w:hAnsiTheme="majorBidi" w:cstheme="majorBidi"/>
          <w:b/>
          <w:bCs/>
          <w:sz w:val="22"/>
          <w:szCs w:val="22"/>
          <w:lang w:val="en-GB"/>
        </w:rPr>
        <w:t>ig</w:t>
      </w:r>
      <w:r w:rsidR="00B1417A">
        <w:rPr>
          <w:rStyle w:val="normaltextrun"/>
          <w:rFonts w:asciiTheme="majorBidi" w:eastAsiaTheme="majorEastAsia" w:hAnsiTheme="majorBidi" w:cstheme="majorBidi"/>
          <w:b/>
          <w:bCs/>
          <w:sz w:val="22"/>
          <w:szCs w:val="22"/>
          <w:lang w:val="en-GB"/>
        </w:rPr>
        <w:t>ure</w:t>
      </w:r>
      <w:r w:rsidRPr="00B3383B">
        <w:rPr>
          <w:rStyle w:val="normaltextrun"/>
          <w:rFonts w:asciiTheme="majorBidi" w:eastAsiaTheme="majorEastAsia" w:hAnsiTheme="majorBidi" w:cstheme="majorBidi"/>
          <w:b/>
          <w:bCs/>
          <w:sz w:val="22"/>
          <w:szCs w:val="22"/>
          <w:lang w:val="en-GB"/>
        </w:rPr>
        <w:t xml:space="preserve"> </w:t>
      </w:r>
      <w:r w:rsidR="00B1417A">
        <w:rPr>
          <w:rStyle w:val="normaltextrun"/>
          <w:rFonts w:asciiTheme="majorBidi" w:eastAsiaTheme="majorEastAsia" w:hAnsiTheme="majorBidi" w:cstheme="majorBidi"/>
          <w:b/>
          <w:bCs/>
          <w:sz w:val="22"/>
          <w:szCs w:val="22"/>
          <w:lang w:val="en-GB"/>
        </w:rPr>
        <w:t>III</w:t>
      </w:r>
      <w:r w:rsidRPr="00B3383B">
        <w:rPr>
          <w:rStyle w:val="normaltextrun"/>
          <w:rFonts w:asciiTheme="majorBidi" w:eastAsiaTheme="majorEastAsia" w:hAnsiTheme="majorBidi" w:cstheme="majorBidi"/>
          <w:b/>
          <w:bCs/>
          <w:sz w:val="22"/>
          <w:szCs w:val="22"/>
          <w:lang w:val="en-GB"/>
        </w:rPr>
        <w:t>)</w:t>
      </w:r>
    </w:p>
    <w:p w14:paraId="57353DD9" w14:textId="151E7397" w:rsidR="00CC56A2"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eastAsiaTheme="majorEastAsia"/>
        </w:rPr>
        <w:t>Parties</w:t>
      </w:r>
      <w:r w:rsidRPr="00ED7E61">
        <w:rPr>
          <w:rStyle w:val="normaltextrun"/>
          <w:rFonts w:asciiTheme="majorBidi" w:eastAsiaTheme="majorEastAsia" w:hAnsiTheme="majorBidi" w:cstheme="majorBidi"/>
        </w:rPr>
        <w:t xml:space="preserve"> can contribute to these efforts and to their own IAS establishment indicator by updating these data sources where necessary, and over time through ongoing observations of new species introductions and new evidence of IAS impacts within countries</w:t>
      </w:r>
      <w:r w:rsidR="001548F0">
        <w:rPr>
          <w:rStyle w:val="normaltextrun"/>
          <w:rFonts w:asciiTheme="majorBidi" w:eastAsiaTheme="majorEastAsia" w:hAnsiTheme="majorBidi" w:cstheme="majorBidi"/>
        </w:rPr>
        <w:t>.</w:t>
      </w:r>
    </w:p>
    <w:p w14:paraId="667BA8C8" w14:textId="572DD192"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GEO BON is producing additional material and tools to further support Parties in using this </w:t>
      </w:r>
      <w:proofErr w:type="gramStart"/>
      <w:r w:rsidRPr="00ED7E61">
        <w:rPr>
          <w:rStyle w:val="normaltextrun"/>
          <w:rFonts w:asciiTheme="majorBidi" w:eastAsiaTheme="majorEastAsia" w:hAnsiTheme="majorBidi" w:cstheme="majorBidi"/>
        </w:rPr>
        <w:t>indicator, and</w:t>
      </w:r>
      <w:proofErr w:type="gramEnd"/>
      <w:r w:rsidRPr="00ED7E61">
        <w:rPr>
          <w:rStyle w:val="normaltextrun"/>
          <w:rFonts w:asciiTheme="majorBidi" w:eastAsiaTheme="majorEastAsia" w:hAnsiTheme="majorBidi" w:cstheme="majorBidi"/>
        </w:rPr>
        <w:t xml:space="preserve"> will support a baseline indicator calculation that Parties can use in their reporting, or </w:t>
      </w:r>
      <w:r w:rsidRPr="00ED7E61">
        <w:rPr>
          <w:rStyle w:val="normaltextrun"/>
          <w:rFonts w:asciiTheme="majorBidi" w:eastAsiaTheme="majorEastAsia" w:hAnsiTheme="majorBidi" w:cstheme="majorBidi"/>
        </w:rPr>
        <w:lastRenderedPageBreak/>
        <w:t xml:space="preserve">replace with their own calculation. Updates on this indicator will be made available at: </w:t>
      </w:r>
      <w:hyperlink r:id="rId367" w:tgtFrame="_blank" w:history="1">
        <w:r w:rsidRPr="00ED7E61">
          <w:rPr>
            <w:rStyle w:val="normaltextrun"/>
            <w:rFonts w:asciiTheme="majorBidi" w:eastAsiaTheme="majorEastAsia" w:hAnsiTheme="majorBidi" w:cstheme="majorBidi"/>
            <w:color w:val="0563C1"/>
            <w:u w:val="single"/>
          </w:rPr>
          <w:t>https://geobon.org/ebvs/indicators/</w:t>
        </w:r>
      </w:hyperlink>
      <w:r w:rsidR="007F0A45">
        <w:rPr>
          <w:rStyle w:val="normaltextrun"/>
          <w:rFonts w:asciiTheme="majorBidi" w:eastAsiaTheme="majorEastAsia" w:hAnsiTheme="majorBidi" w:cstheme="majorBidi"/>
          <w:color w:val="0563C1"/>
          <w:u w:val="single"/>
        </w:rPr>
        <w:t>.</w:t>
      </w:r>
      <w:r w:rsidRPr="00ED7E61">
        <w:rPr>
          <w:rStyle w:val="eop"/>
          <w:rFonts w:asciiTheme="majorBidi" w:eastAsiaTheme="majorEastAsia" w:hAnsiTheme="majorBidi" w:cstheme="majorBidi"/>
          <w:color w:val="0563C1"/>
        </w:rPr>
        <w:t> </w:t>
      </w:r>
    </w:p>
    <w:p w14:paraId="5D721711" w14:textId="77777777" w:rsidR="00A850EF" w:rsidRPr="00ED7E61" w:rsidRDefault="00A850EF" w:rsidP="005B0D1E">
      <w:pPr>
        <w:pStyle w:val="paragraph"/>
        <w:spacing w:before="0" w:beforeAutospacing="0" w:after="0" w:afterAutospacing="0"/>
        <w:ind w:left="-30" w:right="-30"/>
        <w:jc w:val="center"/>
        <w:textAlignment w:val="baseline"/>
        <w:rPr>
          <w:rStyle w:val="normaltextrun"/>
          <w:rFonts w:asciiTheme="majorBidi" w:eastAsiaTheme="majorEastAsia" w:hAnsiTheme="majorBidi" w:cstheme="majorBidi"/>
          <w:b/>
          <w:bCs/>
          <w:i/>
          <w:iCs/>
          <w:sz w:val="22"/>
          <w:szCs w:val="22"/>
          <w:lang w:val="en-GB"/>
        </w:rPr>
      </w:pPr>
    </w:p>
    <w:p w14:paraId="5F1BBE2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4A3A79A1" w14:textId="56D5CD81" w:rsidR="00CC56A2"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Country checklists of introduced and invasive Species, available via the Global Register of Introduced and Invasive Species (GRIIS, see 5b above; </w:t>
      </w:r>
      <w:proofErr w:type="spellStart"/>
      <w:r w:rsidRPr="00ED7E61">
        <w:rPr>
          <w:rStyle w:val="normaltextrun"/>
          <w:rFonts w:asciiTheme="majorBidi" w:eastAsiaTheme="majorEastAsia" w:hAnsiTheme="majorBidi" w:cstheme="majorBidi"/>
        </w:rPr>
        <w:t>Pagad</w:t>
      </w:r>
      <w:proofErr w:type="spellEnd"/>
      <w:r w:rsidRPr="00ED7E61">
        <w:rPr>
          <w:rStyle w:val="normaltextrun"/>
          <w:rFonts w:asciiTheme="majorBidi" w:eastAsiaTheme="majorEastAsia" w:hAnsiTheme="majorBidi" w:cstheme="majorBidi"/>
        </w:rPr>
        <w:t xml:space="preserve"> et al. 2018; </w:t>
      </w:r>
      <w:proofErr w:type="spellStart"/>
      <w:r w:rsidRPr="00ED7E61">
        <w:rPr>
          <w:rStyle w:val="normaltextrun"/>
          <w:rFonts w:asciiTheme="majorBidi" w:eastAsiaTheme="majorEastAsia" w:hAnsiTheme="majorBidi" w:cstheme="majorBidi"/>
        </w:rPr>
        <w:t>Pagad</w:t>
      </w:r>
      <w:proofErr w:type="spellEnd"/>
      <w:r w:rsidRPr="00ED7E61">
        <w:rPr>
          <w:rStyle w:val="normaltextrun"/>
          <w:rFonts w:asciiTheme="majorBidi" w:eastAsiaTheme="majorEastAsia" w:hAnsiTheme="majorBidi" w:cstheme="majorBidi"/>
        </w:rPr>
        <w:t xml:space="preserve"> et al. 2022)</w:t>
      </w:r>
      <w:r w:rsidRPr="00ED7E61">
        <w:rPr>
          <w:rStyle w:val="eop"/>
          <w:rFonts w:asciiTheme="majorBidi" w:eastAsiaTheme="majorEastAsia" w:hAnsiTheme="majorBidi" w:cstheme="majorBidi"/>
        </w:rPr>
        <w:t> </w:t>
      </w:r>
    </w:p>
    <w:p w14:paraId="6C34C142" w14:textId="77777777" w:rsidR="002D312F" w:rsidRPr="00812871" w:rsidRDefault="00756F0F" w:rsidP="00B10F0C">
      <w:pPr>
        <w:pStyle w:val="CBDNormalNumber"/>
        <w:numPr>
          <w:ilvl w:val="0"/>
          <w:numId w:val="74"/>
        </w:numPr>
        <w:ind w:left="567" w:firstLine="0"/>
        <w:jc w:val="left"/>
        <w:rPr>
          <w:rStyle w:val="normaltextrun"/>
          <w:rFonts w:asciiTheme="majorBidi" w:hAnsiTheme="majorBidi" w:cstheme="majorBidi"/>
        </w:rPr>
      </w:pPr>
      <w:r w:rsidRPr="00ED7E61">
        <w:rPr>
          <w:rStyle w:val="normaltextrun"/>
          <w:rFonts w:asciiTheme="majorBidi" w:eastAsiaTheme="majorEastAsia" w:hAnsiTheme="majorBidi" w:cstheme="majorBidi"/>
        </w:rPr>
        <w:t>Date of first records for the country in the Alien Species First Record Database (</w:t>
      </w:r>
      <w:proofErr w:type="spellStart"/>
      <w:r w:rsidRPr="00ED7E61">
        <w:rPr>
          <w:rStyle w:val="normaltextrun"/>
          <w:rFonts w:asciiTheme="majorBidi" w:eastAsiaTheme="majorEastAsia" w:hAnsiTheme="majorBidi" w:cstheme="majorBidi"/>
        </w:rPr>
        <w:t>Seebens</w:t>
      </w:r>
      <w:proofErr w:type="spellEnd"/>
      <w:r w:rsidRPr="00ED7E61">
        <w:rPr>
          <w:rStyle w:val="normaltextrun"/>
          <w:rFonts w:asciiTheme="majorBidi" w:eastAsiaTheme="majorEastAsia" w:hAnsiTheme="majorBidi" w:cstheme="majorBidi"/>
        </w:rPr>
        <w:t xml:space="preserve"> 2023, see 5b above) </w:t>
      </w:r>
    </w:p>
    <w:p w14:paraId="078606AB" w14:textId="3BBD2AB8" w:rsidR="00CC56A2" w:rsidRPr="00ED7E61" w:rsidRDefault="002D312F" w:rsidP="00B10F0C">
      <w:pPr>
        <w:pStyle w:val="CBDNormalNumber"/>
        <w:numPr>
          <w:ilvl w:val="0"/>
          <w:numId w:val="74"/>
        </w:numPr>
        <w:ind w:left="567" w:firstLine="0"/>
        <w:jc w:val="left"/>
        <w:rPr>
          <w:rFonts w:asciiTheme="majorBidi" w:hAnsiTheme="majorBidi" w:cstheme="majorBidi"/>
        </w:rPr>
      </w:pPr>
      <w:r>
        <w:rPr>
          <w:rStyle w:val="normaltextrun"/>
          <w:rFonts w:asciiTheme="majorBidi" w:eastAsiaTheme="majorEastAsia" w:hAnsiTheme="majorBidi" w:cstheme="majorBidi"/>
        </w:rPr>
        <w:t>Number of new biodiversity records per year per country in GBIF- as a proxy survey effort (Fig. II) (Buba et al. 2023)</w:t>
      </w:r>
      <w:r w:rsidR="00756F0F" w:rsidRPr="00ED7E61">
        <w:rPr>
          <w:rStyle w:val="eop"/>
          <w:rFonts w:asciiTheme="majorBidi" w:eastAsiaTheme="majorEastAsia" w:hAnsiTheme="majorBidi" w:cstheme="majorBidi"/>
        </w:rPr>
        <w:t> </w:t>
      </w:r>
    </w:p>
    <w:p w14:paraId="01BA3FB0" w14:textId="4ADB40FB" w:rsidR="00CC56A2"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The above sources can be replaced or supplemented by additional country data where these are available, including for example national and global citizen science platforms which often provide the most up to date records of IAS observations. Parties are strongly encouraged to share such data with GRIIS to bring the national checklists up to date.</w:t>
      </w:r>
      <w:r w:rsidRPr="00ED7E61">
        <w:rPr>
          <w:rStyle w:val="eop"/>
          <w:rFonts w:asciiTheme="majorBidi" w:eastAsiaTheme="majorEastAsia" w:hAnsiTheme="majorBidi" w:cstheme="majorBidi"/>
        </w:rPr>
        <w:t> </w:t>
      </w:r>
    </w:p>
    <w:p w14:paraId="61F8E1A5" w14:textId="77777777"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Aggregated species occurrence data via national biodiversity data platforms and/or the Global Biodiversity Information Facility (GBIF) </w:t>
      </w:r>
      <w:hyperlink r:id="rId368" w:tgtFrame="_blank" w:history="1">
        <w:r w:rsidRPr="00ED7E61">
          <w:rPr>
            <w:rStyle w:val="normaltextrun"/>
            <w:rFonts w:asciiTheme="majorBidi" w:eastAsiaTheme="majorEastAsia" w:hAnsiTheme="majorBidi" w:cstheme="majorBidi"/>
            <w:color w:val="467886"/>
            <w:u w:val="single"/>
          </w:rPr>
          <w:t>occurrence search</w:t>
        </w:r>
      </w:hyperlink>
      <w:r w:rsidRPr="00ED7E61">
        <w:rPr>
          <w:rStyle w:val="normaltextrun"/>
          <w:rFonts w:asciiTheme="majorBidi" w:eastAsiaTheme="majorEastAsia" w:hAnsiTheme="majorBidi" w:cstheme="majorBidi"/>
        </w:rPr>
        <w:t>, filtered by species and country. This will bring together a wide variety of data sources including specimen collection events, observations from field surveys, data associated with published research articles, eDNA and citizen science, among others.</w:t>
      </w:r>
      <w:r w:rsidRPr="00ED7E61">
        <w:rPr>
          <w:rStyle w:val="eop"/>
          <w:rFonts w:asciiTheme="majorBidi" w:eastAsiaTheme="majorEastAsia" w:hAnsiTheme="majorBidi" w:cstheme="majorBidi"/>
        </w:rPr>
        <w:t> </w:t>
      </w:r>
    </w:p>
    <w:p w14:paraId="23F5605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177EBF6E" w14:textId="6776DB7D"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The indicator is available </w:t>
      </w:r>
      <w:r w:rsidR="008E10C3">
        <w:rPr>
          <w:rStyle w:val="normaltextrun"/>
          <w:rFonts w:asciiTheme="majorBidi" w:eastAsiaTheme="majorEastAsia" w:hAnsiTheme="majorBidi" w:cstheme="majorBidi"/>
        </w:rPr>
        <w:t xml:space="preserve">for calculation </w:t>
      </w:r>
      <w:r w:rsidRPr="00ED7E61">
        <w:rPr>
          <w:rStyle w:val="normaltextrun"/>
          <w:rFonts w:asciiTheme="majorBidi" w:eastAsiaTheme="majorEastAsia" w:hAnsiTheme="majorBidi" w:cstheme="majorBidi"/>
        </w:rPr>
        <w:t>now. Indicator values can be produced for major taxonomic groups and countries with IAS checklists. The indicator can be updated annually, although annual updates rely on longer-term trends and interpreting change within the estimated uncertainty bounds.</w:t>
      </w:r>
      <w:r w:rsidRPr="00ED7E61">
        <w:rPr>
          <w:rStyle w:val="eop"/>
          <w:rFonts w:asciiTheme="majorBidi" w:eastAsiaTheme="majorEastAsia" w:hAnsiTheme="majorBidi" w:cstheme="majorBidi"/>
        </w:rPr>
        <w:t> </w:t>
      </w:r>
    </w:p>
    <w:p w14:paraId="7482AB2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375E3D20" w14:textId="14A061C0" w:rsidR="00890A31" w:rsidRPr="00890A31" w:rsidRDefault="00756F0F" w:rsidP="00890A31">
      <w:pPr>
        <w:pStyle w:val="CBDNormalNumber"/>
        <w:numPr>
          <w:ilvl w:val="0"/>
          <w:numId w:val="74"/>
        </w:numPr>
        <w:ind w:left="567" w:firstLine="0"/>
        <w:rPr>
          <w:rFonts w:asciiTheme="majorBidi" w:eastAsiaTheme="majorEastAsia" w:hAnsiTheme="majorBidi" w:cstheme="majorBidi"/>
        </w:rPr>
      </w:pPr>
      <w:r w:rsidRPr="00ED7E61">
        <w:rPr>
          <w:rStyle w:val="normaltextrun"/>
          <w:rFonts w:asciiTheme="majorBidi" w:eastAsiaTheme="majorEastAsia" w:hAnsiTheme="majorBidi" w:cstheme="majorBidi"/>
        </w:rPr>
        <w:t xml:space="preserve">Indicator will be available </w:t>
      </w:r>
      <w:r w:rsidR="00727B25">
        <w:rPr>
          <w:rStyle w:val="normaltextrun"/>
          <w:rFonts w:asciiTheme="majorBidi" w:eastAsiaTheme="majorEastAsia" w:hAnsiTheme="majorBidi" w:cstheme="majorBidi"/>
        </w:rPr>
        <w:t>for the period from</w:t>
      </w:r>
      <w:r w:rsidRPr="00ED7E61">
        <w:rPr>
          <w:rStyle w:val="normaltextrun"/>
          <w:rFonts w:asciiTheme="majorBidi" w:eastAsiaTheme="majorEastAsia" w:hAnsiTheme="majorBidi" w:cstheme="majorBidi"/>
        </w:rPr>
        <w:t xml:space="preserve">, from 1970 – </w:t>
      </w:r>
      <w:r w:rsidR="00727B25">
        <w:rPr>
          <w:rStyle w:val="normaltextrun"/>
          <w:rFonts w:asciiTheme="majorBidi" w:eastAsiaTheme="majorEastAsia" w:hAnsiTheme="majorBidi" w:cstheme="majorBidi"/>
        </w:rPr>
        <w:t>2020</w:t>
      </w:r>
      <w:r w:rsidRPr="00ED7E61">
        <w:rPr>
          <w:rStyle w:val="normaltextrun"/>
          <w:rFonts w:asciiTheme="majorBidi" w:eastAsiaTheme="majorEastAsia" w:hAnsiTheme="majorBidi" w:cstheme="majorBidi"/>
        </w:rPr>
        <w:t>, although with highly variable levels of confidence depending on data availability at global and national levels.</w:t>
      </w:r>
      <w:r w:rsidRPr="00ED7E61">
        <w:rPr>
          <w:rStyle w:val="eop"/>
          <w:rFonts w:asciiTheme="majorBidi" w:eastAsiaTheme="majorEastAsia" w:hAnsiTheme="majorBidi" w:cstheme="majorBidi"/>
        </w:rPr>
        <w:t> </w:t>
      </w:r>
      <w:r w:rsidR="00890A31" w:rsidRPr="00890A31">
        <w:rPr>
          <w:rFonts w:asciiTheme="majorBidi" w:hAnsiTheme="majorBidi" w:cstheme="majorBidi"/>
        </w:rPr>
        <w:t>It can be recalculated in 2030 to discern the change in the rate of IAS establishment, subject to concerted effort by countries to ensure FAIR and adequate data for the period 2020-2030.</w:t>
      </w:r>
    </w:p>
    <w:p w14:paraId="53ED39AE" w14:textId="355BBF2E" w:rsidR="00756F0F" w:rsidRPr="00ED7E61" w:rsidRDefault="00756F0F" w:rsidP="00812871">
      <w:pPr>
        <w:pStyle w:val="CBDNormalNumber"/>
        <w:ind w:left="567"/>
        <w:jc w:val="left"/>
        <w:rPr>
          <w:rFonts w:asciiTheme="majorBidi" w:hAnsiTheme="majorBidi" w:cstheme="majorBidi"/>
        </w:rPr>
      </w:pPr>
    </w:p>
    <w:p w14:paraId="4ECAB6B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51D0FAB3" w14:textId="26BBC8D5"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Expert organizations, scientific societies, </w:t>
      </w:r>
      <w:r w:rsidR="00890A31">
        <w:rPr>
          <w:rStyle w:val="normaltextrun"/>
          <w:rFonts w:asciiTheme="majorBidi" w:eastAsiaTheme="majorEastAsia" w:hAnsiTheme="majorBidi" w:cstheme="majorBidi"/>
        </w:rPr>
        <w:t xml:space="preserve">researchers, </w:t>
      </w:r>
      <w:r w:rsidRPr="00ED7E61">
        <w:rPr>
          <w:rStyle w:val="normaltextrun"/>
          <w:rFonts w:asciiTheme="majorBidi" w:eastAsiaTheme="majorEastAsia" w:hAnsiTheme="majorBidi" w:cstheme="majorBidi"/>
        </w:rPr>
        <w:t>national and public repositories (e.g. IUCN ISSG, GRIIS, GBIF, CABI, GEO BON infrastructure</w:t>
      </w:r>
      <w:r w:rsidR="009A166E" w:rsidRPr="00ED7E61">
        <w:rPr>
          <w:rStyle w:val="normaltextrun"/>
          <w:rFonts w:asciiTheme="majorBidi" w:eastAsiaTheme="majorEastAsia" w:hAnsiTheme="majorBidi" w:cstheme="majorBidi"/>
        </w:rPr>
        <w:t>, OBIS</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592E8BE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9BA05D1" w14:textId="727C45CC"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GEO BON, IUCN ISSG, </w:t>
      </w:r>
      <w:r w:rsidR="009A166E" w:rsidRPr="00ED7E61">
        <w:rPr>
          <w:rStyle w:val="normaltextrun"/>
          <w:rFonts w:asciiTheme="majorBidi" w:eastAsiaTheme="majorEastAsia" w:hAnsiTheme="majorBidi" w:cstheme="majorBidi"/>
        </w:rPr>
        <w:t xml:space="preserve">OBIS, </w:t>
      </w:r>
      <w:r w:rsidRPr="00ED7E61">
        <w:rPr>
          <w:rStyle w:val="normaltextrun"/>
          <w:rFonts w:asciiTheme="majorBidi" w:eastAsiaTheme="majorEastAsia" w:hAnsiTheme="majorBidi" w:cstheme="majorBidi"/>
        </w:rPr>
        <w:t>national and subnational agencies responsible for monitoring IAS.</w:t>
      </w:r>
      <w:r w:rsidRPr="00ED7E61">
        <w:rPr>
          <w:rStyle w:val="eop"/>
          <w:rFonts w:asciiTheme="majorBidi" w:eastAsiaTheme="majorEastAsia" w:hAnsiTheme="majorBidi" w:cstheme="majorBidi"/>
        </w:rPr>
        <w:t> </w:t>
      </w:r>
    </w:p>
    <w:p w14:paraId="207E082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1E0BA938" w14:textId="45EFC6DB"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Gaps in overall data availability are reflected in the large variability of the completeness of the GRIIS country checklists</w:t>
      </w:r>
      <w:r w:rsidR="00F82A08">
        <w:rPr>
          <w:rStyle w:val="normaltextrun"/>
          <w:rFonts w:asciiTheme="majorBidi" w:eastAsiaTheme="majorEastAsia" w:hAnsiTheme="majorBidi" w:cstheme="majorBidi"/>
        </w:rPr>
        <w:t>, dates of first record in the country for these species, and evidence of their impact</w:t>
      </w:r>
      <w:r w:rsidRPr="00ED7E61">
        <w:rPr>
          <w:rStyle w:val="normaltextrun"/>
          <w:rFonts w:asciiTheme="majorBidi" w:eastAsiaTheme="majorEastAsia" w:hAnsiTheme="majorBidi" w:cstheme="majorBidi"/>
        </w:rPr>
        <w:t>. The methods outlined above are designed to deliver useful information in the face of incomplete data. The IPBES Invasive Alien Species Assessment highlighted the issue of incomplete IAS inventories across realms, taxonomic groups and geographic regions, in particular highlighting marine, tropical and Arctic ecosystems; microorganisms and invertebrates; and Africa and Central Asia (IPBES 2023).</w:t>
      </w:r>
      <w:r w:rsidRPr="00ED7E61">
        <w:rPr>
          <w:rStyle w:val="eop"/>
          <w:rFonts w:asciiTheme="majorBidi" w:eastAsiaTheme="majorEastAsia" w:hAnsiTheme="majorBidi" w:cstheme="majorBidi"/>
        </w:rPr>
        <w:t> </w:t>
      </w:r>
    </w:p>
    <w:p w14:paraId="4067962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lastRenderedPageBreak/>
        <w:t>5k. Treatment of missing values</w:t>
      </w:r>
      <w:r w:rsidRPr="00ED7E61">
        <w:rPr>
          <w:rStyle w:val="eop"/>
          <w:rFonts w:asciiTheme="majorBidi" w:eastAsiaTheme="majorEastAsia" w:hAnsiTheme="majorBidi" w:cstheme="majorBidi"/>
          <w:sz w:val="22"/>
          <w:szCs w:val="22"/>
        </w:rPr>
        <w:t> </w:t>
      </w:r>
    </w:p>
    <w:p w14:paraId="60F7EA3F" w14:textId="77777777"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The indicator can be expressed for specific taxonomic groups only, for examples for plants and all vertebrates or subsets such as mammals, and other taxa (e.g. microbes) with inadequate data omitted. Species-poor taxonomic groups can also be aggregated by introduction pathways (e.g. release, escape, contaminant, stowaway, corridors, and unaided natural dispersal) for rate of establishment per pathway. </w:t>
      </w:r>
      <w:r w:rsidRPr="00ED7E61">
        <w:rPr>
          <w:rStyle w:val="eop"/>
          <w:rFonts w:asciiTheme="majorBidi" w:eastAsiaTheme="majorEastAsia" w:hAnsiTheme="majorBidi" w:cstheme="majorBidi"/>
        </w:rPr>
        <w:t> </w:t>
      </w:r>
    </w:p>
    <w:p w14:paraId="21E266C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 Scale</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058EA03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sz w:val="22"/>
          <w:szCs w:val="22"/>
        </w:rPr>
        <w:t> </w:t>
      </w:r>
    </w:p>
    <w:p w14:paraId="4BA60ED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Scale of application (please check all relevant boxes):</w:t>
      </w:r>
      <w:r w:rsidRPr="00ED7E61">
        <w:rPr>
          <w:rStyle w:val="normaltextrun"/>
          <w:rFonts w:asciiTheme="majorBidi" w:eastAsiaTheme="majorEastAsia" w:hAnsiTheme="majorBidi" w:cstheme="majorBidi"/>
          <w:i/>
          <w:iCs/>
          <w:sz w:val="22"/>
          <w:szCs w:val="22"/>
          <w:lang w:val="en-GB"/>
        </w:rPr>
        <w:t> </w:t>
      </w:r>
      <w:r w:rsidRPr="00ED7E61">
        <w:rPr>
          <w:rStyle w:val="eop"/>
          <w:rFonts w:asciiTheme="majorBidi" w:eastAsiaTheme="majorEastAsia" w:hAnsiTheme="majorBidi" w:cstheme="majorBidi"/>
          <w:sz w:val="22"/>
          <w:szCs w:val="22"/>
        </w:rPr>
        <w:t> </w:t>
      </w:r>
    </w:p>
    <w:p w14:paraId="3C9511C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Global: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 xml:space="preserve">Regional: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National</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3DD88CF6" w14:textId="77777777" w:rsidR="00756F0F" w:rsidRPr="00ED7E61" w:rsidRDefault="00756F0F" w:rsidP="00B10F0C">
      <w:pPr>
        <w:pStyle w:val="CBDNormalNumber"/>
        <w:numPr>
          <w:ilvl w:val="0"/>
          <w:numId w:val="74"/>
        </w:numPr>
        <w:ind w:left="567" w:firstLine="0"/>
        <w:jc w:val="left"/>
        <w:rPr>
          <w:rStyle w:val="normaltextrun"/>
          <w:rFonts w:eastAsiaTheme="majorEastAsia"/>
        </w:rPr>
      </w:pPr>
      <w:r w:rsidRPr="00ED7E61">
        <w:rPr>
          <w:rStyle w:val="normaltextrun"/>
          <w:rFonts w:asciiTheme="majorBidi" w:eastAsiaTheme="majorEastAsia" w:hAnsiTheme="majorBidi" w:cstheme="majorBidi"/>
        </w:rPr>
        <w:t>Scale of data disaggregation/aggregation: </w:t>
      </w:r>
      <w:r w:rsidRPr="00ED7E61">
        <w:rPr>
          <w:rStyle w:val="normaltextrun"/>
        </w:rPr>
        <w:t> </w:t>
      </w:r>
    </w:p>
    <w:p w14:paraId="37A488A4" w14:textId="190787DC" w:rsidR="00756F0F" w:rsidRPr="00ED7E61" w:rsidRDefault="00756F0F" w:rsidP="00B10F0C">
      <w:pPr>
        <w:pStyle w:val="CBDNormalNumber"/>
        <w:numPr>
          <w:ilvl w:val="1"/>
          <w:numId w:val="7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Global/ regional scale indicator can be disaggregated to national level: </w:t>
      </w:r>
      <w:r w:rsidR="00F8413C" w:rsidRPr="00ED7E61">
        <w:rPr>
          <w:rStyle w:val="normaltextrun"/>
          <w:rFonts w:eastAsiaTheme="majorEastAsia"/>
        </w:rPr>
        <w:t>​</w:t>
      </w:r>
      <w:r w:rsidR="00F8413C"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3E1ADC29" w14:textId="77777777" w:rsidR="00756F0F" w:rsidRPr="00ED7E61" w:rsidRDefault="00756F0F" w:rsidP="00B10F0C">
      <w:pPr>
        <w:pStyle w:val="CBDNormalNumber"/>
        <w:numPr>
          <w:ilvl w:val="1"/>
          <w:numId w:val="7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 xml:space="preserve">National data is collated to form global indicator: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277CEFE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rPr>
        <w:t>This indicator can also be disaggregated to include within-country levels, in particular relating to islands.</w:t>
      </w:r>
      <w:r w:rsidRPr="00ED7E61">
        <w:rPr>
          <w:rStyle w:val="eop"/>
          <w:rFonts w:asciiTheme="majorBidi" w:eastAsiaTheme="majorEastAsia" w:hAnsiTheme="majorBidi" w:cstheme="majorBidi"/>
          <w:color w:val="000000"/>
          <w:sz w:val="22"/>
          <w:szCs w:val="22"/>
        </w:rPr>
        <w:t> </w:t>
      </w:r>
    </w:p>
    <w:p w14:paraId="7F0C570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sz w:val="22"/>
          <w:szCs w:val="22"/>
        </w:rPr>
        <w:t> </w:t>
      </w:r>
    </w:p>
    <w:p w14:paraId="177430F1" w14:textId="42CBE2F7"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This</w:t>
      </w:r>
      <w:r w:rsidRPr="00ED7E61">
        <w:rPr>
          <w:rStyle w:val="normaltextrun"/>
          <w:rFonts w:asciiTheme="majorBidi" w:eastAsiaTheme="majorEastAsia" w:hAnsiTheme="majorBidi" w:cstheme="majorBidi"/>
          <w:color w:val="000000"/>
        </w:rPr>
        <w:t xml:space="preserve"> indicator is calculated based on data collected </w:t>
      </w:r>
      <w:r w:rsidR="008E10C3">
        <w:rPr>
          <w:rStyle w:val="normaltextrun"/>
          <w:rFonts w:asciiTheme="majorBidi" w:eastAsiaTheme="majorEastAsia" w:hAnsiTheme="majorBidi" w:cstheme="majorBidi"/>
          <w:color w:val="000000"/>
        </w:rPr>
        <w:t xml:space="preserve">and shared </w:t>
      </w:r>
      <w:r w:rsidRPr="00ED7E61">
        <w:rPr>
          <w:rStyle w:val="normaltextrun"/>
          <w:rFonts w:asciiTheme="majorBidi" w:eastAsiaTheme="majorEastAsia" w:hAnsiTheme="majorBidi" w:cstheme="majorBidi"/>
          <w:color w:val="000000"/>
        </w:rPr>
        <w:t xml:space="preserve">at the national level, supplemented by </w:t>
      </w:r>
      <w:r w:rsidR="008E10C3">
        <w:rPr>
          <w:rStyle w:val="normaltextrun"/>
          <w:rFonts w:asciiTheme="majorBidi" w:eastAsiaTheme="majorEastAsia" w:hAnsiTheme="majorBidi" w:cstheme="majorBidi"/>
          <w:color w:val="000000"/>
        </w:rPr>
        <w:t xml:space="preserve">independent research contributions and </w:t>
      </w:r>
      <w:r w:rsidRPr="00ED7E61">
        <w:rPr>
          <w:rStyle w:val="normaltextrun"/>
          <w:rFonts w:asciiTheme="majorBidi" w:eastAsiaTheme="majorEastAsia" w:hAnsiTheme="majorBidi" w:cstheme="majorBidi"/>
          <w:color w:val="000000"/>
        </w:rPr>
        <w:t>globally aggregated sources, see above.</w:t>
      </w:r>
      <w:r w:rsidRPr="00ED7E61">
        <w:rPr>
          <w:rStyle w:val="eop"/>
          <w:rFonts w:asciiTheme="majorBidi" w:eastAsiaTheme="majorEastAsia" w:hAnsiTheme="majorBidi" w:cstheme="majorBidi"/>
          <w:color w:val="000000"/>
        </w:rPr>
        <w:t> </w:t>
      </w:r>
    </w:p>
    <w:p w14:paraId="5F864F6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6c. Sources of differences between global and national figures</w:t>
      </w:r>
      <w:r w:rsidRPr="00ED7E61">
        <w:rPr>
          <w:rStyle w:val="eop"/>
          <w:rFonts w:asciiTheme="majorBidi" w:eastAsiaTheme="majorEastAsia" w:hAnsiTheme="majorBidi" w:cstheme="majorBidi"/>
          <w:sz w:val="22"/>
          <w:szCs w:val="22"/>
        </w:rPr>
        <w:t> </w:t>
      </w:r>
    </w:p>
    <w:p w14:paraId="3EA16262" w14:textId="77777777"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Differences between country and international estimates may originate from limited data availability and the size and impact of IAS interventions and control measures. Filling species data gaps and confirming detections will reduce discrepancies. In countries where resources are limited, global analysis e.g. through literature synthesis, can supplement data available nationally. Because the rate of IAS establishment is estimated over several years, the impact of new national, regional, or global prevention and control interventions will take time to manifest as changes in index values at higher levels.</w:t>
      </w:r>
      <w:r w:rsidRPr="00ED7E61">
        <w:rPr>
          <w:rStyle w:val="eop"/>
          <w:rFonts w:asciiTheme="majorBidi" w:eastAsiaTheme="majorEastAsia" w:hAnsiTheme="majorBidi" w:cstheme="majorBidi"/>
        </w:rPr>
        <w:t> </w:t>
      </w:r>
    </w:p>
    <w:p w14:paraId="661ABD42" w14:textId="3C5A4E94" w:rsidR="00756F0F" w:rsidRPr="00ED7E61" w:rsidRDefault="00756F0F" w:rsidP="005B0D1E">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sz w:val="22"/>
          <w:szCs w:val="22"/>
        </w:rPr>
        <w:t> </w:t>
      </w:r>
    </w:p>
    <w:p w14:paraId="2ADB7A9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6d.1 Description of the methodology</w:t>
      </w:r>
      <w:r w:rsidRPr="00ED7E61">
        <w:rPr>
          <w:rStyle w:val="eop"/>
          <w:rFonts w:asciiTheme="majorBidi" w:eastAsiaTheme="majorEastAsia" w:hAnsiTheme="majorBidi" w:cstheme="majorBidi"/>
          <w:sz w:val="22"/>
          <w:szCs w:val="22"/>
        </w:rPr>
        <w:t> </w:t>
      </w:r>
    </w:p>
    <w:p w14:paraId="40FB0F75" w14:textId="7918CAAD"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The indicator is based on a model-estimated change in the number of new introductions per year, assuming a sampling effect (Belmaker et al. 2009, McGeoch et al. 2012, McGeoch et al. 2023</w:t>
      </w:r>
      <w:r w:rsidR="00063BE2">
        <w:rPr>
          <w:rStyle w:val="normaltextrun"/>
          <w:rFonts w:asciiTheme="majorBidi" w:eastAsiaTheme="majorEastAsia" w:hAnsiTheme="majorBidi" w:cstheme="majorBidi"/>
        </w:rPr>
        <w:t>. Buba et al 2024</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7A8CC71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6d.2 Additional methodological details</w:t>
      </w:r>
      <w:r w:rsidRPr="00ED7E61">
        <w:rPr>
          <w:rStyle w:val="eop"/>
          <w:rFonts w:asciiTheme="majorBidi" w:eastAsiaTheme="majorEastAsia" w:hAnsiTheme="majorBidi" w:cstheme="majorBidi"/>
          <w:sz w:val="22"/>
          <w:szCs w:val="22"/>
        </w:rPr>
        <w:t> </w:t>
      </w:r>
    </w:p>
    <w:p w14:paraId="05BF3B37" w14:textId="3010DF95" w:rsidR="00756F0F" w:rsidRPr="00ED7E61" w:rsidRDefault="001F24C6" w:rsidP="00B10F0C">
      <w:pPr>
        <w:pStyle w:val="CBDNormalNumber"/>
        <w:numPr>
          <w:ilvl w:val="0"/>
          <w:numId w:val="74"/>
        </w:numPr>
        <w:ind w:left="567" w:firstLine="0"/>
        <w:jc w:val="left"/>
        <w:rPr>
          <w:rFonts w:asciiTheme="majorBidi" w:hAnsiTheme="majorBidi" w:cstheme="majorBidi"/>
        </w:rPr>
      </w:pPr>
      <w:r>
        <w:rPr>
          <w:rStyle w:val="normaltextrun"/>
          <w:rFonts w:asciiTheme="majorBidi" w:eastAsiaTheme="majorEastAsia" w:hAnsiTheme="majorBidi" w:cstheme="majorBidi"/>
        </w:rPr>
        <w:t>None</w:t>
      </w:r>
    </w:p>
    <w:p w14:paraId="144F6FB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6d.3 Description of the mechanism for collecting data from countries</w:t>
      </w:r>
      <w:r w:rsidRPr="00ED7E61">
        <w:rPr>
          <w:rStyle w:val="eop"/>
          <w:rFonts w:asciiTheme="majorBidi" w:eastAsiaTheme="majorEastAsia" w:hAnsiTheme="majorBidi" w:cstheme="majorBidi"/>
          <w:sz w:val="22"/>
          <w:szCs w:val="22"/>
        </w:rPr>
        <w:t> </w:t>
      </w:r>
    </w:p>
    <w:p w14:paraId="467E9FCB" w14:textId="413ADB89"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Details </w:t>
      </w:r>
      <w:r w:rsidR="00AE1CD4">
        <w:rPr>
          <w:rStyle w:val="normaltextrun"/>
          <w:rFonts w:asciiTheme="majorBidi" w:eastAsiaTheme="majorEastAsia" w:hAnsiTheme="majorBidi" w:cstheme="majorBidi"/>
        </w:rPr>
        <w:t xml:space="preserve">for collecting checklist data are </w:t>
      </w:r>
      <w:r w:rsidRPr="00ED7E61">
        <w:rPr>
          <w:rStyle w:val="normaltextrun"/>
          <w:rFonts w:asciiTheme="majorBidi" w:eastAsiaTheme="majorEastAsia" w:hAnsiTheme="majorBidi" w:cstheme="majorBidi"/>
        </w:rPr>
        <w:t xml:space="preserve">available in </w:t>
      </w:r>
      <w:proofErr w:type="spellStart"/>
      <w:r w:rsidRPr="00ED7E61">
        <w:rPr>
          <w:rStyle w:val="normaltextrun"/>
          <w:rFonts w:asciiTheme="majorBidi" w:eastAsiaTheme="majorEastAsia" w:hAnsiTheme="majorBidi" w:cstheme="majorBidi"/>
        </w:rPr>
        <w:t>Pagad</w:t>
      </w:r>
      <w:proofErr w:type="spellEnd"/>
      <w:r w:rsidRPr="00ED7E61">
        <w:rPr>
          <w:rStyle w:val="normaltextrun"/>
          <w:rFonts w:asciiTheme="majorBidi" w:eastAsiaTheme="majorEastAsia" w:hAnsiTheme="majorBidi" w:cstheme="majorBidi"/>
        </w:rPr>
        <w:t xml:space="preserve"> et al. (2018)</w:t>
      </w:r>
      <w:r w:rsidR="00AE1CD4">
        <w:rPr>
          <w:rStyle w:val="normaltextrun"/>
          <w:rFonts w:asciiTheme="majorBidi" w:eastAsiaTheme="majorEastAsia" w:hAnsiTheme="majorBidi" w:cstheme="majorBidi"/>
        </w:rPr>
        <w:t xml:space="preserve"> and in </w:t>
      </w:r>
      <w:proofErr w:type="spellStart"/>
      <w:r w:rsidR="00AE1CD4">
        <w:rPr>
          <w:rStyle w:val="normaltextrun"/>
          <w:rFonts w:asciiTheme="majorBidi" w:eastAsiaTheme="majorEastAsia" w:hAnsiTheme="majorBidi" w:cstheme="majorBidi"/>
        </w:rPr>
        <w:t>Seebens</w:t>
      </w:r>
      <w:proofErr w:type="spellEnd"/>
      <w:r w:rsidR="00AE1CD4">
        <w:rPr>
          <w:rStyle w:val="normaltextrun"/>
          <w:rFonts w:asciiTheme="majorBidi" w:eastAsiaTheme="majorEastAsia" w:hAnsiTheme="majorBidi" w:cstheme="majorBidi"/>
        </w:rPr>
        <w:t xml:space="preserve"> et al. (2017) for the first record data</w:t>
      </w:r>
      <w:r w:rsidRPr="00ED7E61">
        <w:rPr>
          <w:rStyle w:val="normaltextrun"/>
          <w:rFonts w:asciiTheme="majorBidi" w:eastAsiaTheme="majorEastAsia" w:hAnsiTheme="majorBidi" w:cstheme="majorBidi"/>
        </w:rPr>
        <w:t>.</w:t>
      </w:r>
      <w:r w:rsidRPr="00ED7E61">
        <w:rPr>
          <w:rStyle w:val="normaltextrun"/>
        </w:rPr>
        <w:t> </w:t>
      </w:r>
    </w:p>
    <w:p w14:paraId="02C50B70" w14:textId="3B1BAAE8" w:rsidR="00756F0F" w:rsidRPr="00812871" w:rsidRDefault="00756F0F" w:rsidP="00812871">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ED7E61">
        <w:rPr>
          <w:rStyle w:val="normaltextrun"/>
          <w:rFonts w:asciiTheme="majorBidi" w:eastAsiaTheme="majorEastAsia" w:hAnsiTheme="majorBidi" w:cstheme="majorBidi"/>
          <w:b/>
          <w:bCs/>
          <w:sz w:val="22"/>
          <w:szCs w:val="22"/>
          <w:lang w:val="en-GB"/>
        </w:rPr>
        <w:t>7. Other MEAs, processes and organi</w:t>
      </w:r>
      <w:r w:rsidR="00B10F0C">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ations</w:t>
      </w:r>
      <w:r w:rsidRPr="00812871">
        <w:rPr>
          <w:rStyle w:val="normaltextrun"/>
          <w:rFonts w:eastAsiaTheme="majorEastAsia"/>
          <w:b/>
          <w:bCs/>
          <w:lang w:val="en-GB"/>
        </w:rPr>
        <w:t> </w:t>
      </w:r>
    </w:p>
    <w:p w14:paraId="2E3CC07F" w14:textId="1BD06A7B" w:rsidR="00756F0F" w:rsidRPr="00ED7E61" w:rsidRDefault="00756F0F" w:rsidP="00B10F0C">
      <w:pPr>
        <w:pStyle w:val="CBDNormalNumber"/>
        <w:numPr>
          <w:ilvl w:val="0"/>
          <w:numId w:val="74"/>
        </w:numPr>
        <w:ind w:left="567" w:firstLine="0"/>
        <w:jc w:val="left"/>
        <w:rPr>
          <w:rStyle w:val="normaltextrun"/>
          <w:rFonts w:eastAsiaTheme="majorEastAsia"/>
        </w:rPr>
      </w:pPr>
      <w:r w:rsidRPr="00ED7E61">
        <w:rPr>
          <w:rStyle w:val="normaltextrun"/>
          <w:rFonts w:asciiTheme="majorBidi" w:eastAsiaTheme="majorEastAsia" w:hAnsiTheme="majorBidi" w:cstheme="majorBidi"/>
        </w:rPr>
        <w:t>An earlier version of this indicator was reported in the</w:t>
      </w:r>
      <w:r w:rsidR="00CC56A2"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w:t>
      </w:r>
      <w:r w:rsidRPr="00ED7E61">
        <w:rPr>
          <w:rStyle w:val="normaltextrun"/>
        </w:rPr>
        <w:t> </w:t>
      </w:r>
    </w:p>
    <w:p w14:paraId="6BB1953C" w14:textId="77777777" w:rsidR="00756F0F" w:rsidRPr="00ED7E61" w:rsidRDefault="00756F0F" w:rsidP="00B10F0C">
      <w:pPr>
        <w:pStyle w:val="CBDNormalNumber"/>
        <w:numPr>
          <w:ilvl w:val="1"/>
          <w:numId w:val="7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Intergovernmental Science-Policy Platform on Biodiversity and Ecosystem Services (IPBES) Invasive Alien Species (IAS) Assessment, by the CBD for Aichi Target 9.</w:t>
      </w:r>
      <w:r w:rsidRPr="00ED7E61">
        <w:rPr>
          <w:rStyle w:val="normaltextrun"/>
        </w:rPr>
        <w:t> </w:t>
      </w:r>
    </w:p>
    <w:p w14:paraId="16B71B7B" w14:textId="77777777" w:rsidR="00756F0F" w:rsidRPr="00ED7E61" w:rsidRDefault="00756F0F" w:rsidP="00B10F0C">
      <w:pPr>
        <w:pStyle w:val="CBDNormalNumber"/>
        <w:numPr>
          <w:ilvl w:val="1"/>
          <w:numId w:val="7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Sustainable Development Goal (SDG) Target 15.8. </w:t>
      </w:r>
      <w:r w:rsidRPr="00ED7E61">
        <w:rPr>
          <w:rStyle w:val="normaltextrun"/>
        </w:rPr>
        <w:t> </w:t>
      </w:r>
    </w:p>
    <w:p w14:paraId="09A5FAC1" w14:textId="1117D06D" w:rsidR="00756F0F" w:rsidRPr="00ED7E61" w:rsidRDefault="00756F0F" w:rsidP="00B10F0C">
      <w:pPr>
        <w:pStyle w:val="CBDNormalNumber"/>
        <w:numPr>
          <w:ilvl w:val="0"/>
          <w:numId w:val="74"/>
        </w:numPr>
        <w:ind w:left="567" w:firstLine="0"/>
        <w:jc w:val="left"/>
        <w:rPr>
          <w:rStyle w:val="normaltextrun"/>
          <w:rFonts w:eastAsiaTheme="majorEastAsia"/>
        </w:rPr>
      </w:pPr>
      <w:r w:rsidRPr="00ED7E61">
        <w:rPr>
          <w:rStyle w:val="normaltextrun"/>
          <w:rFonts w:asciiTheme="majorBidi" w:eastAsiaTheme="majorEastAsia" w:hAnsiTheme="majorBidi" w:cstheme="majorBidi"/>
        </w:rPr>
        <w:t>It will be relevant to</w:t>
      </w:r>
      <w:r w:rsidR="00CC56A2" w:rsidRPr="00ED7E61">
        <w:rPr>
          <w:rStyle w:val="normaltextrun"/>
          <w:rFonts w:asciiTheme="majorBidi" w:eastAsiaTheme="majorEastAsia" w:hAnsiTheme="majorBidi" w:cstheme="majorBidi"/>
        </w:rPr>
        <w:t>:</w:t>
      </w:r>
      <w:r w:rsidRPr="00ED7E61">
        <w:rPr>
          <w:rStyle w:val="normaltextrun"/>
        </w:rPr>
        <w:t> </w:t>
      </w:r>
    </w:p>
    <w:p w14:paraId="3F917303" w14:textId="77777777" w:rsidR="00756F0F" w:rsidRPr="00ED7E61" w:rsidRDefault="00756F0F" w:rsidP="00B10F0C">
      <w:pPr>
        <w:pStyle w:val="CBDNormalNumber"/>
        <w:numPr>
          <w:ilvl w:val="1"/>
          <w:numId w:val="7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Convention on the Conservation of Migratory Species of Wild Animals (CMS)</w:t>
      </w:r>
      <w:r w:rsidRPr="00ED7E61">
        <w:rPr>
          <w:rStyle w:val="normaltextrun"/>
        </w:rPr>
        <w:t> </w:t>
      </w:r>
    </w:p>
    <w:p w14:paraId="49F61D12" w14:textId="77777777" w:rsidR="00756F0F" w:rsidRPr="00ED7E61" w:rsidRDefault="00756F0F" w:rsidP="00B10F0C">
      <w:pPr>
        <w:pStyle w:val="CBDNormalNumber"/>
        <w:numPr>
          <w:ilvl w:val="1"/>
          <w:numId w:val="7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lastRenderedPageBreak/>
        <w:t>Convention on Wetlands, Ramsar, </w:t>
      </w:r>
      <w:r w:rsidRPr="00ED7E61">
        <w:rPr>
          <w:rStyle w:val="normaltextrun"/>
        </w:rPr>
        <w:t> </w:t>
      </w:r>
    </w:p>
    <w:p w14:paraId="01C6135C" w14:textId="77777777" w:rsidR="00756F0F" w:rsidRPr="00ED7E61" w:rsidRDefault="00756F0F" w:rsidP="00B10F0C">
      <w:pPr>
        <w:pStyle w:val="CBDNormalNumber"/>
        <w:numPr>
          <w:ilvl w:val="1"/>
          <w:numId w:val="7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United Nations Convention to Combat Desertification (UNCCD) </w:t>
      </w:r>
      <w:r w:rsidRPr="00ED7E61">
        <w:rPr>
          <w:rStyle w:val="normaltextrun"/>
        </w:rPr>
        <w:t> </w:t>
      </w:r>
    </w:p>
    <w:p w14:paraId="26E15F67" w14:textId="77777777" w:rsidR="00756F0F" w:rsidRPr="00ED7E61" w:rsidRDefault="00756F0F" w:rsidP="00B10F0C">
      <w:pPr>
        <w:pStyle w:val="CBDNormalNumber"/>
        <w:numPr>
          <w:ilvl w:val="1"/>
          <w:numId w:val="74"/>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asciiTheme="majorBidi" w:eastAsiaTheme="majorEastAsia" w:hAnsiTheme="majorBidi" w:cstheme="majorBidi"/>
        </w:rPr>
        <w:t>IPBES Global and Regional Assessments.</w:t>
      </w:r>
      <w:r w:rsidRPr="00ED7E61">
        <w:rPr>
          <w:rStyle w:val="normaltextrun"/>
        </w:rPr>
        <w:t> </w:t>
      </w:r>
    </w:p>
    <w:p w14:paraId="2A45B8AB" w14:textId="40E70AFB" w:rsidR="00756F0F" w:rsidRPr="00ED7E61" w:rsidRDefault="00756F0F" w:rsidP="00047A98">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 xml:space="preserve">8. </w:t>
      </w:r>
      <w:r w:rsidR="00047A98" w:rsidRPr="00ED7E61">
        <w:rPr>
          <w:rStyle w:val="normaltextrun"/>
          <w:rFonts w:asciiTheme="majorBidi" w:eastAsiaTheme="majorEastAsia" w:hAnsiTheme="majorBidi" w:cstheme="majorBidi"/>
          <w:b/>
          <w:bCs/>
          <w:sz w:val="22"/>
          <w:szCs w:val="22"/>
          <w:lang w:val="en-GB"/>
        </w:rPr>
        <w:t xml:space="preserve">Possible </w:t>
      </w:r>
      <w:proofErr w:type="spellStart"/>
      <w:r w:rsidRPr="00ED7E61">
        <w:rPr>
          <w:rStyle w:val="normaltextrun"/>
          <w:rFonts w:asciiTheme="majorBidi" w:eastAsiaTheme="majorEastAsia" w:hAnsiTheme="majorBidi" w:cstheme="majorBidi"/>
          <w:b/>
          <w:bCs/>
          <w:sz w:val="22"/>
          <w:szCs w:val="22"/>
          <w:lang w:val="en-GB"/>
        </w:rPr>
        <w:t>Disaggregation</w:t>
      </w:r>
      <w:r w:rsidR="00047A98" w:rsidRPr="00ED7E61">
        <w:rPr>
          <w:rStyle w:val="normaltextrun"/>
          <w:rFonts w:asciiTheme="majorBidi" w:eastAsiaTheme="majorEastAsia" w:hAnsiTheme="majorBidi" w:cstheme="majorBidi"/>
          <w:b/>
          <w:bCs/>
          <w:sz w:val="22"/>
          <w:szCs w:val="22"/>
          <w:lang w:val="en-GB"/>
        </w:rPr>
        <w:t>s</w:t>
      </w:r>
      <w:proofErr w:type="spellEnd"/>
      <w:r w:rsidRPr="00ED7E61">
        <w:rPr>
          <w:rStyle w:val="normaltextrun"/>
          <w:rFonts w:eastAsiaTheme="majorEastAsia"/>
          <w:b/>
          <w:bCs/>
          <w:lang w:val="en-GB"/>
        </w:rPr>
        <w:t> </w:t>
      </w:r>
    </w:p>
    <w:p w14:paraId="4FCA509C" w14:textId="77777777" w:rsidR="00756F0F" w:rsidRPr="00ED7E61" w:rsidRDefault="00756F0F" w:rsidP="00B10F0C">
      <w:pPr>
        <w:pStyle w:val="CBDNormalNumber"/>
        <w:numPr>
          <w:ilvl w:val="0"/>
          <w:numId w:val="74"/>
        </w:numPr>
        <w:ind w:left="567" w:firstLine="0"/>
        <w:jc w:val="left"/>
        <w:rPr>
          <w:rFonts w:asciiTheme="majorBidi" w:hAnsiTheme="majorBidi" w:cstheme="majorBidi"/>
        </w:rPr>
      </w:pPr>
      <w:r w:rsidRPr="00ED7E61">
        <w:rPr>
          <w:rStyle w:val="normaltextrun"/>
          <w:rFonts w:asciiTheme="majorBidi" w:eastAsiaTheme="majorEastAsia" w:hAnsiTheme="majorBidi" w:cstheme="majorBidi"/>
        </w:rPr>
        <w:t xml:space="preserve">Where the relevant data is available through GRIIS, this indicator can be disaggregated by species, taxon, region, country, sub-national unit (including islands), protected </w:t>
      </w:r>
      <w:proofErr w:type="gramStart"/>
      <w:r w:rsidRPr="00ED7E61">
        <w:rPr>
          <w:rStyle w:val="normaltextrun"/>
          <w:rFonts w:asciiTheme="majorBidi" w:eastAsiaTheme="majorEastAsia" w:hAnsiTheme="majorBidi" w:cstheme="majorBidi"/>
        </w:rPr>
        <w:t>areas,  pathways</w:t>
      </w:r>
      <w:proofErr w:type="gramEnd"/>
      <w:r w:rsidRPr="00ED7E61">
        <w:rPr>
          <w:rStyle w:val="normaltextrun"/>
          <w:rFonts w:asciiTheme="majorBidi" w:eastAsiaTheme="majorEastAsia" w:hAnsiTheme="majorBidi" w:cstheme="majorBidi"/>
        </w:rPr>
        <w:t xml:space="preserve"> or type of impact.</w:t>
      </w:r>
      <w:r w:rsidRPr="00ED7E61">
        <w:rPr>
          <w:rStyle w:val="eop"/>
          <w:rFonts w:asciiTheme="majorBidi" w:eastAsiaTheme="majorEastAsia" w:hAnsiTheme="majorBidi" w:cstheme="majorBidi"/>
        </w:rPr>
        <w:t> </w:t>
      </w:r>
    </w:p>
    <w:p w14:paraId="1F835E5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232AD60F" w14:textId="1F435C15" w:rsidR="00C51A1E" w:rsidRPr="00C51A1E" w:rsidRDefault="00756F0F" w:rsidP="00C51A1E">
      <w:pPr>
        <w:pStyle w:val="CBDNormalNumber"/>
        <w:numPr>
          <w:ilvl w:val="0"/>
          <w:numId w:val="74"/>
        </w:numPr>
        <w:ind w:left="567" w:firstLine="0"/>
        <w:rPr>
          <w:rFonts w:asciiTheme="majorBidi" w:eastAsiaTheme="majorEastAsia" w:hAnsiTheme="majorBidi" w:cstheme="majorBidi"/>
        </w:rPr>
      </w:pPr>
      <w:r w:rsidRPr="00ED7E61">
        <w:rPr>
          <w:rStyle w:val="normaltextrun"/>
          <w:rFonts w:asciiTheme="majorBidi" w:eastAsiaTheme="majorEastAsia" w:hAnsiTheme="majorBidi" w:cstheme="majorBidi"/>
        </w:rPr>
        <w:t>As invasive species are a key driver of biodiversity loss, there is a clear link with goals A and B and its associated indicators (e.g. Red List Index, Red List of Ecosystems)</w:t>
      </w:r>
      <w:r w:rsidR="00C51A1E">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r w:rsidR="00C51A1E">
        <w:rPr>
          <w:rFonts w:asciiTheme="majorBidi" w:eastAsiaTheme="majorEastAsia" w:hAnsiTheme="majorBidi" w:cstheme="majorBidi"/>
        </w:rPr>
        <w:t>Headline indicator</w:t>
      </w:r>
      <w:r w:rsidR="00C51A1E" w:rsidRPr="00C51A1E">
        <w:rPr>
          <w:rFonts w:asciiTheme="majorBidi" w:eastAsiaTheme="majorEastAsia" w:hAnsiTheme="majorBidi" w:cstheme="majorBidi"/>
        </w:rPr>
        <w:t xml:space="preserve"> 6.1. is also related to the complementary indicator for Target 21 regarding growth in biodiversity knowledge, because the interpretation of </w:t>
      </w:r>
      <w:r w:rsidR="00C51A1E">
        <w:rPr>
          <w:rFonts w:asciiTheme="majorBidi" w:eastAsiaTheme="majorEastAsia" w:hAnsiTheme="majorBidi" w:cstheme="majorBidi"/>
        </w:rPr>
        <w:t>headline indicator</w:t>
      </w:r>
      <w:r w:rsidR="00C51A1E" w:rsidRPr="00C51A1E">
        <w:rPr>
          <w:rFonts w:asciiTheme="majorBidi" w:eastAsiaTheme="majorEastAsia" w:hAnsiTheme="majorBidi" w:cstheme="majorBidi"/>
        </w:rPr>
        <w:t xml:space="preserve"> 6.1 relies on an understanding of survey effort for IAS which when not available can be replaced by a proxy, such as the growth in GBIF records.</w:t>
      </w:r>
    </w:p>
    <w:p w14:paraId="4F8D61C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7DEC0DE3" w14:textId="003DA009"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0E7311">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63DDC96E" w14:textId="77777777" w:rsidR="00756F0F" w:rsidRDefault="00756F0F" w:rsidP="000E7311">
      <w:pPr>
        <w:pStyle w:val="CBDNormalNumber"/>
        <w:ind w:left="567"/>
        <w:jc w:val="left"/>
        <w:rPr>
          <w:rStyle w:val="normaltextrun"/>
        </w:rPr>
      </w:pPr>
      <w:r w:rsidRPr="00ED7E61">
        <w:rPr>
          <w:rStyle w:val="normaltextrun"/>
          <w:rFonts w:asciiTheme="majorBidi" w:eastAsiaTheme="majorEastAsia" w:hAnsiTheme="majorBidi" w:cstheme="majorBidi"/>
        </w:rPr>
        <w:t>Group on Earth Observations Biodiversity Observation Network (GEO BON)</w:t>
      </w:r>
      <w:r w:rsidRPr="00ED7E61">
        <w:rPr>
          <w:rStyle w:val="normaltextrun"/>
        </w:rPr>
        <w:t> </w:t>
      </w:r>
    </w:p>
    <w:p w14:paraId="7E0591B5" w14:textId="77777777" w:rsidR="00320DF2" w:rsidRPr="00320DF2" w:rsidRDefault="00320DF2" w:rsidP="00812871">
      <w:pPr>
        <w:pStyle w:val="CBDNormalNumber"/>
        <w:ind w:left="567"/>
        <w:rPr>
          <w:rFonts w:eastAsiaTheme="majorEastAsia"/>
        </w:rPr>
      </w:pPr>
      <w:r w:rsidRPr="00320DF2">
        <w:t>Global Biodiversity Information Facility (GBIF)</w:t>
      </w:r>
    </w:p>
    <w:p w14:paraId="4E85667D" w14:textId="77777777" w:rsidR="00756F0F" w:rsidRPr="00ED7E61" w:rsidRDefault="00756F0F" w:rsidP="000E7311">
      <w:pPr>
        <w:pStyle w:val="CBDNormalNumber"/>
        <w:ind w:left="567"/>
        <w:jc w:val="left"/>
        <w:rPr>
          <w:rStyle w:val="normaltextrun"/>
          <w:rFonts w:eastAsiaTheme="majorEastAsia"/>
        </w:rPr>
      </w:pPr>
      <w:r w:rsidRPr="00ED7E61">
        <w:rPr>
          <w:rStyle w:val="normaltextrun"/>
          <w:rFonts w:asciiTheme="majorBidi" w:eastAsiaTheme="majorEastAsia" w:hAnsiTheme="majorBidi" w:cstheme="majorBidi"/>
        </w:rPr>
        <w:t>IUCN Invasive Species Specialist Group (ISSG) </w:t>
      </w:r>
      <w:r w:rsidRPr="00ED7E61">
        <w:rPr>
          <w:rStyle w:val="normaltextrun"/>
        </w:rPr>
        <w:t> </w:t>
      </w:r>
    </w:p>
    <w:p w14:paraId="6EB9A7F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39E82353" w14:textId="35501E7A" w:rsidR="00CC56A2" w:rsidRPr="00ED7E61" w:rsidRDefault="00756F0F" w:rsidP="00E03ABB">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 xml:space="preserve">Melodie McGeoch, Monash University/GEO </w:t>
      </w:r>
      <w:proofErr w:type="gramStart"/>
      <w:r w:rsidRPr="00ED7E61">
        <w:rPr>
          <w:rStyle w:val="normaltextrun"/>
          <w:rFonts w:asciiTheme="majorBidi" w:eastAsiaTheme="majorEastAsia" w:hAnsiTheme="majorBidi" w:cstheme="majorBidi"/>
        </w:rPr>
        <w:t>BON  (</w:t>
      </w:r>
      <w:proofErr w:type="gramEnd"/>
      <w:r>
        <w:fldChar w:fldCharType="begin"/>
      </w:r>
      <w:r>
        <w:instrText>HYPERLINK "mailto:melodie.mcgeoch@monash.edu" \t "_blank"</w:instrText>
      </w:r>
      <w:r>
        <w:fldChar w:fldCharType="separate"/>
      </w:r>
      <w:r w:rsidRPr="00ED7E61">
        <w:rPr>
          <w:rStyle w:val="normaltextrun"/>
          <w:rFonts w:asciiTheme="majorBidi" w:eastAsiaTheme="majorEastAsia" w:hAnsiTheme="majorBidi" w:cstheme="majorBidi"/>
          <w:color w:val="467886"/>
          <w:u w:val="single"/>
        </w:rPr>
        <w:t>melodie.mcgeoch@monash.edu</w:t>
      </w:r>
      <w:r>
        <w:fldChar w:fldCharType="end"/>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2D1910E8" w14:textId="4F787B4E" w:rsidR="00CC56A2" w:rsidRPr="00ED7E61" w:rsidRDefault="00756F0F" w:rsidP="00E03ABB">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GEO BON Secretariat (</w:t>
      </w:r>
      <w:hyperlink r:id="rId369" w:tgtFrame="_blank" w:history="1">
        <w:r w:rsidRPr="00ED7E61">
          <w:rPr>
            <w:rStyle w:val="normaltextrun"/>
            <w:rFonts w:asciiTheme="majorBidi" w:eastAsiaTheme="majorEastAsia" w:hAnsiTheme="majorBidi" w:cstheme="majorBidi"/>
            <w:color w:val="467886"/>
            <w:u w:val="single"/>
          </w:rPr>
          <w:t>info@geobon.org</w:t>
        </w:r>
      </w:hyperlink>
      <w:r w:rsidRPr="00ED7E61">
        <w:rPr>
          <w:rStyle w:val="normaltextrun"/>
          <w:rFonts w:asciiTheme="majorBidi" w:eastAsiaTheme="majorEastAsia" w:hAnsiTheme="majorBidi" w:cstheme="majorBidi"/>
          <w:color w:val="467886"/>
          <w:u w:val="single"/>
        </w:rPr>
        <w:t>)</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64E2087E" w14:textId="77777777" w:rsidR="00756F0F" w:rsidRPr="009A1E16" w:rsidRDefault="00756F0F" w:rsidP="00E03ABB">
      <w:pPr>
        <w:pStyle w:val="CBDNormalNumber"/>
        <w:ind w:left="567"/>
        <w:jc w:val="left"/>
        <w:rPr>
          <w:rFonts w:asciiTheme="majorBidi" w:hAnsiTheme="majorBidi" w:cstheme="majorBidi"/>
        </w:rPr>
      </w:pPr>
      <w:r w:rsidRPr="009A1E16">
        <w:rPr>
          <w:rStyle w:val="normaltextrun"/>
          <w:rFonts w:asciiTheme="majorBidi" w:eastAsiaTheme="majorEastAsia" w:hAnsiTheme="majorBidi" w:cstheme="majorBidi"/>
        </w:rPr>
        <w:t>Shyama Pagad, IUCN ISSG (</w:t>
      </w:r>
      <w:hyperlink r:id="rId370" w:tgtFrame="_blank" w:history="1">
        <w:r w:rsidRPr="009A1E16">
          <w:rPr>
            <w:rStyle w:val="normaltextrun"/>
            <w:rFonts w:asciiTheme="majorBidi" w:eastAsiaTheme="majorEastAsia" w:hAnsiTheme="majorBidi" w:cstheme="majorBidi"/>
            <w:color w:val="467886"/>
            <w:u w:val="single"/>
          </w:rPr>
          <w:t>s.pagad@auckland.ac.nz</w:t>
        </w:r>
      </w:hyperlink>
      <w:r w:rsidRPr="009A1E16">
        <w:rPr>
          <w:rStyle w:val="normaltextrun"/>
          <w:rFonts w:asciiTheme="majorBidi" w:eastAsiaTheme="majorEastAsia" w:hAnsiTheme="majorBidi" w:cstheme="majorBidi"/>
          <w:color w:val="467886"/>
          <w:u w:val="single"/>
        </w:rPr>
        <w:t>)</w:t>
      </w:r>
      <w:r w:rsidRPr="009A1E16">
        <w:rPr>
          <w:rStyle w:val="eop"/>
          <w:rFonts w:asciiTheme="majorBidi" w:eastAsiaTheme="majorEastAsia" w:hAnsiTheme="majorBidi" w:cstheme="majorBidi"/>
          <w:color w:val="467886"/>
        </w:rPr>
        <w:t> </w:t>
      </w:r>
    </w:p>
    <w:p w14:paraId="4E6CC01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11. References</w:t>
      </w:r>
      <w:r w:rsidRPr="00ED7E61">
        <w:rPr>
          <w:rStyle w:val="eop"/>
          <w:rFonts w:asciiTheme="majorBidi" w:eastAsiaTheme="majorEastAsia" w:hAnsiTheme="majorBidi" w:cstheme="majorBidi"/>
          <w:sz w:val="22"/>
          <w:szCs w:val="22"/>
        </w:rPr>
        <w:t> </w:t>
      </w:r>
    </w:p>
    <w:p w14:paraId="270825D7" w14:textId="77777777" w:rsidR="00C90B2F" w:rsidRPr="00C90B2F" w:rsidRDefault="00C90B2F" w:rsidP="00812871">
      <w:pPr>
        <w:pStyle w:val="CBDNormalNumber"/>
        <w:ind w:left="567"/>
        <w:jc w:val="left"/>
        <w:rPr>
          <w:rFonts w:asciiTheme="majorBidi" w:eastAsiaTheme="majorEastAsia" w:hAnsiTheme="majorBidi" w:cstheme="majorBidi"/>
          <w:lang w:val="en-AU"/>
        </w:rPr>
      </w:pPr>
      <w:r w:rsidRPr="00C90B2F">
        <w:rPr>
          <w:rFonts w:asciiTheme="majorBidi" w:hAnsiTheme="majorBidi" w:cstheme="majorBidi"/>
          <w:lang w:val="en-AU"/>
        </w:rPr>
        <w:t xml:space="preserve">Buba et al. (2024). Buba, Y., </w:t>
      </w:r>
      <w:proofErr w:type="spellStart"/>
      <w:r w:rsidRPr="00C90B2F">
        <w:rPr>
          <w:rFonts w:asciiTheme="majorBidi" w:hAnsiTheme="majorBidi" w:cstheme="majorBidi"/>
          <w:lang w:val="en-AU"/>
        </w:rPr>
        <w:t>Kiflawi</w:t>
      </w:r>
      <w:proofErr w:type="spellEnd"/>
      <w:r w:rsidRPr="00C90B2F">
        <w:rPr>
          <w:rFonts w:asciiTheme="majorBidi" w:hAnsiTheme="majorBidi" w:cstheme="majorBidi"/>
          <w:lang w:val="en-AU"/>
        </w:rPr>
        <w:t>, M., McGeoch, M.A., Belmaker, J., 2024. Evaluating models for estimating introduction rates of alien species from discovery records. Global Ecology and Biogeography 33, e13859. https://doi.org/10.1111/geb.13859</w:t>
      </w:r>
    </w:p>
    <w:p w14:paraId="417B148A" w14:textId="4F2C954B" w:rsidR="00CC56A2" w:rsidRPr="00ED7E61" w:rsidRDefault="00756F0F" w:rsidP="00ED3F20">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IPBES</w:t>
      </w:r>
      <w:r w:rsidRPr="00ED7E61">
        <w:rPr>
          <w:rStyle w:val="normaltextrun"/>
          <w:rFonts w:asciiTheme="majorBidi" w:eastAsiaTheme="majorEastAsia" w:hAnsiTheme="majorBidi" w:cstheme="majorBidi"/>
          <w:lang w:val="en-AU"/>
        </w:rPr>
        <w:t xml:space="preserve"> (2023) Summary for Policymakers of the Thematic Assessment Report on Invasive Alien Species and their Control of the Intergovernmental Science-Policy Platform on Biodiversity and Ecosystem Services. Roy, H. E., </w:t>
      </w:r>
      <w:proofErr w:type="spellStart"/>
      <w:r w:rsidRPr="00ED7E61">
        <w:rPr>
          <w:rStyle w:val="normaltextrun"/>
          <w:rFonts w:asciiTheme="majorBidi" w:eastAsiaTheme="majorEastAsia" w:hAnsiTheme="majorBidi" w:cstheme="majorBidi"/>
          <w:lang w:val="en-AU"/>
        </w:rPr>
        <w:t>Pauchard</w:t>
      </w:r>
      <w:proofErr w:type="spellEnd"/>
      <w:r w:rsidRPr="00ED7E61">
        <w:rPr>
          <w:rStyle w:val="normaltextrun"/>
          <w:rFonts w:asciiTheme="majorBidi" w:eastAsiaTheme="majorEastAsia" w:hAnsiTheme="majorBidi" w:cstheme="majorBidi"/>
          <w:lang w:val="en-AU"/>
        </w:rPr>
        <w:t xml:space="preserve">, A., Stoett, P., Renard Truong, T., Bacher, S., Galil, B. S., Hulme, P. E., Ikeda, T., Sankaran, K. V., McGeoch, M. A., Meyerson, L. A., Nuñez, M. A., Ordonez, A., </w:t>
      </w:r>
      <w:proofErr w:type="spellStart"/>
      <w:r w:rsidRPr="00ED7E61">
        <w:rPr>
          <w:rStyle w:val="normaltextrun"/>
          <w:rFonts w:asciiTheme="majorBidi" w:eastAsiaTheme="majorEastAsia" w:hAnsiTheme="majorBidi" w:cstheme="majorBidi"/>
          <w:lang w:val="en-AU"/>
        </w:rPr>
        <w:t>Rahlao</w:t>
      </w:r>
      <w:proofErr w:type="spellEnd"/>
      <w:r w:rsidRPr="00ED7E61">
        <w:rPr>
          <w:rStyle w:val="normaltextrun"/>
          <w:rFonts w:asciiTheme="majorBidi" w:eastAsiaTheme="majorEastAsia" w:hAnsiTheme="majorBidi" w:cstheme="majorBidi"/>
          <w:lang w:val="en-AU"/>
        </w:rPr>
        <w:t xml:space="preserve">, S. J., Schwindt, E., </w:t>
      </w:r>
      <w:proofErr w:type="spellStart"/>
      <w:r w:rsidRPr="00ED7E61">
        <w:rPr>
          <w:rStyle w:val="normaltextrun"/>
          <w:rFonts w:asciiTheme="majorBidi" w:eastAsiaTheme="majorEastAsia" w:hAnsiTheme="majorBidi" w:cstheme="majorBidi"/>
          <w:lang w:val="en-AU"/>
        </w:rPr>
        <w:t>Seebens</w:t>
      </w:r>
      <w:proofErr w:type="spellEnd"/>
      <w:r w:rsidRPr="00ED7E61">
        <w:rPr>
          <w:rStyle w:val="normaltextrun"/>
          <w:rFonts w:asciiTheme="majorBidi" w:eastAsiaTheme="majorEastAsia" w:hAnsiTheme="majorBidi" w:cstheme="majorBidi"/>
          <w:lang w:val="en-AU"/>
        </w:rPr>
        <w:t xml:space="preserve">, H., Sheppard, A. W., and </w:t>
      </w:r>
      <w:proofErr w:type="spellStart"/>
      <w:r w:rsidRPr="00ED7E61">
        <w:rPr>
          <w:rStyle w:val="normaltextrun"/>
          <w:rFonts w:asciiTheme="majorBidi" w:eastAsiaTheme="majorEastAsia" w:hAnsiTheme="majorBidi" w:cstheme="majorBidi"/>
          <w:lang w:val="en-AU"/>
        </w:rPr>
        <w:t>Vandvik</w:t>
      </w:r>
      <w:proofErr w:type="spellEnd"/>
      <w:r w:rsidRPr="00ED7E61">
        <w:rPr>
          <w:rStyle w:val="normaltextrun"/>
          <w:rFonts w:asciiTheme="majorBidi" w:eastAsiaTheme="majorEastAsia" w:hAnsiTheme="majorBidi" w:cstheme="majorBidi"/>
          <w:lang w:val="en-AU"/>
        </w:rPr>
        <w:t xml:space="preserve">, V. (eds.). IPBES secretariat, Bonn, </w:t>
      </w:r>
      <w:r w:rsidRPr="00ED7E61">
        <w:rPr>
          <w:rStyle w:val="normaltextrun"/>
          <w:rFonts w:asciiTheme="majorBidi" w:eastAsiaTheme="majorEastAsia" w:hAnsiTheme="majorBidi" w:cstheme="majorBidi"/>
          <w:color w:val="676B5E"/>
          <w:lang w:val="en-AU"/>
        </w:rPr>
        <w:t xml:space="preserve">Germany. </w:t>
      </w:r>
      <w:hyperlink r:id="rId371" w:tgtFrame="_blank" w:history="1">
        <w:r w:rsidRPr="00ED7E61">
          <w:rPr>
            <w:rStyle w:val="normaltextrun"/>
            <w:rFonts w:asciiTheme="majorBidi" w:eastAsiaTheme="majorEastAsia" w:hAnsiTheme="majorBidi" w:cstheme="majorBidi"/>
            <w:color w:val="009390"/>
            <w:u w:val="single"/>
            <w:lang w:val="en-AU"/>
          </w:rPr>
          <w:t>https://doi.org/10.5281/zenodo.7430692</w:t>
        </w:r>
      </w:hyperlink>
      <w:r w:rsidRPr="00ED7E61">
        <w:rPr>
          <w:rStyle w:val="eop"/>
          <w:rFonts w:asciiTheme="majorBidi" w:eastAsiaTheme="majorEastAsia" w:hAnsiTheme="majorBidi" w:cstheme="majorBidi"/>
        </w:rPr>
        <w:t> </w:t>
      </w:r>
    </w:p>
    <w:p w14:paraId="671B8327" w14:textId="56B6DEA6" w:rsidR="00CC56A2" w:rsidRPr="00ED7E61" w:rsidRDefault="00756F0F" w:rsidP="00ED3F20">
      <w:pPr>
        <w:pStyle w:val="CBDNormalNumber"/>
        <w:ind w:left="567"/>
        <w:jc w:val="left"/>
        <w:rPr>
          <w:rFonts w:asciiTheme="majorBidi" w:hAnsiTheme="majorBidi" w:cstheme="majorBidi"/>
          <w:lang w:val="fr-FR"/>
        </w:rPr>
      </w:pPr>
      <w:proofErr w:type="spellStart"/>
      <w:r w:rsidRPr="00F53E05">
        <w:rPr>
          <w:rStyle w:val="normaltextrun"/>
          <w:rFonts w:asciiTheme="majorBidi" w:eastAsiaTheme="majorEastAsia" w:hAnsiTheme="majorBidi" w:cstheme="majorBidi"/>
          <w:lang w:val="fr-FR"/>
        </w:rPr>
        <w:t>Latombe</w:t>
      </w:r>
      <w:proofErr w:type="spellEnd"/>
      <w:r w:rsidRPr="00F53E05">
        <w:rPr>
          <w:rStyle w:val="normaltextrun"/>
          <w:rFonts w:asciiTheme="majorBidi" w:eastAsiaTheme="majorEastAsia" w:hAnsiTheme="majorBidi" w:cstheme="majorBidi"/>
          <w:lang w:val="fr-FR"/>
        </w:rPr>
        <w:t xml:space="preserve"> (2017). </w:t>
      </w:r>
      <w:proofErr w:type="spellStart"/>
      <w:r w:rsidRPr="00F53E05">
        <w:rPr>
          <w:rStyle w:val="normaltextrun"/>
          <w:rFonts w:asciiTheme="majorBidi" w:eastAsiaTheme="majorEastAsia" w:hAnsiTheme="majorBidi" w:cstheme="majorBidi"/>
          <w:lang w:val="fr-FR"/>
        </w:rPr>
        <w:t>Latombe</w:t>
      </w:r>
      <w:proofErr w:type="spellEnd"/>
      <w:r w:rsidRPr="00F53E05">
        <w:rPr>
          <w:rStyle w:val="normaltextrun"/>
          <w:rFonts w:asciiTheme="majorBidi" w:eastAsiaTheme="majorEastAsia" w:hAnsiTheme="majorBidi" w:cstheme="majorBidi"/>
          <w:lang w:val="fr-FR"/>
        </w:rPr>
        <w:t xml:space="preserve">, G., P. </w:t>
      </w:r>
      <w:proofErr w:type="spellStart"/>
      <w:r w:rsidRPr="00F53E05">
        <w:rPr>
          <w:rStyle w:val="normaltextrun"/>
          <w:rFonts w:asciiTheme="majorBidi" w:eastAsiaTheme="majorEastAsia" w:hAnsiTheme="majorBidi" w:cstheme="majorBidi"/>
          <w:lang w:val="fr-FR"/>
        </w:rPr>
        <w:t>Pysek</w:t>
      </w:r>
      <w:proofErr w:type="spellEnd"/>
      <w:r w:rsidRPr="00F53E05">
        <w:rPr>
          <w:rStyle w:val="normaltextrun"/>
          <w:rFonts w:asciiTheme="majorBidi" w:eastAsiaTheme="majorEastAsia" w:hAnsiTheme="majorBidi" w:cstheme="majorBidi"/>
          <w:lang w:val="fr-FR"/>
        </w:rPr>
        <w:t xml:space="preserve">, J. M. Jeschke et al. </w:t>
      </w:r>
      <w:r w:rsidRPr="00ED7E61">
        <w:rPr>
          <w:rStyle w:val="normaltextrun"/>
          <w:rFonts w:asciiTheme="majorBidi" w:eastAsiaTheme="majorEastAsia" w:hAnsiTheme="majorBidi" w:cstheme="majorBidi"/>
          <w:lang w:val="en-AU"/>
        </w:rPr>
        <w:t xml:space="preserve">(2017). A vision for global monitoring of biological invasions. </w:t>
      </w:r>
      <w:proofErr w:type="spellStart"/>
      <w:r w:rsidRPr="00F7259C">
        <w:rPr>
          <w:rStyle w:val="normaltextrun"/>
          <w:rFonts w:asciiTheme="majorBidi" w:eastAsiaTheme="majorEastAsia" w:hAnsiTheme="majorBidi" w:cstheme="majorBidi"/>
          <w:lang w:val="fr-FR"/>
        </w:rPr>
        <w:t>Biological</w:t>
      </w:r>
      <w:proofErr w:type="spellEnd"/>
      <w:r w:rsidRPr="00F7259C">
        <w:rPr>
          <w:rStyle w:val="normaltextrun"/>
          <w:rFonts w:asciiTheme="majorBidi" w:eastAsiaTheme="majorEastAsia" w:hAnsiTheme="majorBidi" w:cstheme="majorBidi"/>
          <w:lang w:val="fr-FR"/>
        </w:rPr>
        <w:t xml:space="preserve"> Conservation </w:t>
      </w:r>
      <w:proofErr w:type="gramStart"/>
      <w:r w:rsidRPr="00F7259C">
        <w:rPr>
          <w:rStyle w:val="normaltextrun"/>
          <w:rFonts w:asciiTheme="majorBidi" w:eastAsiaTheme="majorEastAsia" w:hAnsiTheme="majorBidi" w:cstheme="majorBidi"/>
          <w:lang w:val="fr-FR"/>
        </w:rPr>
        <w:t>213:</w:t>
      </w:r>
      <w:proofErr w:type="gramEnd"/>
      <w:r w:rsidRPr="00F7259C">
        <w:rPr>
          <w:rStyle w:val="normaltextrun"/>
          <w:rFonts w:asciiTheme="majorBidi" w:eastAsiaTheme="majorEastAsia" w:hAnsiTheme="majorBidi" w:cstheme="majorBidi"/>
          <w:lang w:val="fr-FR"/>
        </w:rPr>
        <w:t xml:space="preserve">295-308. </w:t>
      </w:r>
      <w:hyperlink r:id="rId372" w:tgtFrame="_blank" w:history="1">
        <w:r w:rsidRPr="00ED7E61">
          <w:rPr>
            <w:rStyle w:val="normaltextrun"/>
            <w:rFonts w:asciiTheme="majorBidi" w:eastAsiaTheme="majorEastAsia" w:hAnsiTheme="majorBidi" w:cstheme="majorBidi"/>
            <w:color w:val="467886"/>
            <w:u w:val="single"/>
            <w:lang w:val="fr-FR"/>
          </w:rPr>
          <w:t>http://dx.doi.org/10.1016/j.biocon.2016.06.013</w:t>
        </w:r>
      </w:hyperlink>
      <w:r w:rsidRPr="00ED7E61">
        <w:rPr>
          <w:rStyle w:val="normaltextrun"/>
          <w:rFonts w:asciiTheme="majorBidi" w:eastAsiaTheme="majorEastAsia" w:hAnsiTheme="majorBidi" w:cstheme="majorBidi"/>
          <w:lang w:val="fr-FR"/>
        </w:rPr>
        <w:t> </w:t>
      </w:r>
      <w:r w:rsidRPr="00ED7E61">
        <w:rPr>
          <w:rStyle w:val="eop"/>
          <w:rFonts w:asciiTheme="majorBidi" w:eastAsiaTheme="majorEastAsia" w:hAnsiTheme="majorBidi" w:cstheme="majorBidi"/>
          <w:lang w:val="fr-FR"/>
        </w:rPr>
        <w:t> </w:t>
      </w:r>
    </w:p>
    <w:p w14:paraId="31DEFDCE" w14:textId="77777777" w:rsidR="003D2846" w:rsidRPr="00812871" w:rsidRDefault="00756F0F" w:rsidP="003D2846">
      <w:pPr>
        <w:pStyle w:val="CBDNormalNumber"/>
        <w:rPr>
          <w:lang w:val="en-CA"/>
        </w:rPr>
      </w:pPr>
      <w:r w:rsidRPr="004262AE">
        <w:rPr>
          <w:rStyle w:val="normaltextrun"/>
          <w:rFonts w:asciiTheme="majorBidi" w:eastAsiaTheme="majorEastAsia" w:hAnsiTheme="majorBidi" w:cstheme="majorBidi"/>
          <w:color w:val="1C1D1E"/>
          <w:lang w:val="fr-FR"/>
        </w:rPr>
        <w:t xml:space="preserve">McGeoch et al. </w:t>
      </w:r>
      <w:r w:rsidRPr="00F53E05">
        <w:rPr>
          <w:rStyle w:val="normaltextrun"/>
          <w:rFonts w:asciiTheme="majorBidi" w:eastAsiaTheme="majorEastAsia" w:hAnsiTheme="majorBidi" w:cstheme="majorBidi"/>
          <w:color w:val="1C1D1E"/>
          <w:lang w:val="fr-FR"/>
        </w:rPr>
        <w:t xml:space="preserve">(2023). McGeoch, M. A., Buba, Y., </w:t>
      </w:r>
      <w:proofErr w:type="spellStart"/>
      <w:r w:rsidRPr="00F53E05">
        <w:rPr>
          <w:rStyle w:val="normaltextrun"/>
          <w:rFonts w:asciiTheme="majorBidi" w:eastAsiaTheme="majorEastAsia" w:hAnsiTheme="majorBidi" w:cstheme="majorBidi"/>
          <w:color w:val="1C1D1E"/>
          <w:lang w:val="fr-FR"/>
        </w:rPr>
        <w:t>Arlé</w:t>
      </w:r>
      <w:proofErr w:type="spellEnd"/>
      <w:r w:rsidRPr="00F53E05">
        <w:rPr>
          <w:rStyle w:val="normaltextrun"/>
          <w:rFonts w:asciiTheme="majorBidi" w:eastAsiaTheme="majorEastAsia" w:hAnsiTheme="majorBidi" w:cstheme="majorBidi"/>
          <w:color w:val="1C1D1E"/>
          <w:lang w:val="fr-FR"/>
        </w:rPr>
        <w:t xml:space="preserve">, E., et al. </w:t>
      </w:r>
      <w:r w:rsidRPr="00E35F21">
        <w:rPr>
          <w:rStyle w:val="normaltextrun"/>
          <w:rFonts w:asciiTheme="majorBidi" w:eastAsiaTheme="majorEastAsia" w:hAnsiTheme="majorBidi" w:cstheme="majorBidi"/>
          <w:color w:val="1C1D1E"/>
          <w:lang w:val="en-CA"/>
        </w:rPr>
        <w:t xml:space="preserve">(2023). </w:t>
      </w:r>
      <w:r w:rsidRPr="00ED7E61">
        <w:rPr>
          <w:rStyle w:val="normaltextrun"/>
          <w:rFonts w:asciiTheme="majorBidi" w:eastAsiaTheme="majorEastAsia" w:hAnsiTheme="majorBidi" w:cstheme="majorBidi"/>
          <w:color w:val="1C1D1E"/>
        </w:rPr>
        <w:t xml:space="preserve">Invasion trends: An interpretable measure of change is needed to support policy targets. </w:t>
      </w:r>
      <w:r w:rsidRPr="00812871">
        <w:rPr>
          <w:rStyle w:val="normaltextrun"/>
          <w:rFonts w:asciiTheme="majorBidi" w:eastAsiaTheme="majorEastAsia" w:hAnsiTheme="majorBidi" w:cstheme="majorBidi"/>
          <w:i/>
          <w:iCs/>
          <w:color w:val="1C1D1E"/>
          <w:lang w:val="en-CA"/>
        </w:rPr>
        <w:t>Conservation Letters</w:t>
      </w:r>
      <w:r w:rsidRPr="00812871">
        <w:rPr>
          <w:rStyle w:val="normaltextrun"/>
          <w:rFonts w:asciiTheme="majorBidi" w:eastAsiaTheme="majorEastAsia" w:hAnsiTheme="majorBidi" w:cstheme="majorBidi"/>
          <w:color w:val="1C1D1E"/>
          <w:lang w:val="en-CA"/>
        </w:rPr>
        <w:t xml:space="preserve">, 16, e12981. </w:t>
      </w:r>
      <w:hyperlink r:id="rId373" w:tgtFrame="_blank" w:history="1">
        <w:r w:rsidRPr="00812871">
          <w:rPr>
            <w:rStyle w:val="normaltextrun"/>
            <w:rFonts w:asciiTheme="majorBidi" w:eastAsiaTheme="majorEastAsia" w:hAnsiTheme="majorBidi" w:cstheme="majorBidi"/>
            <w:color w:val="4A709F"/>
            <w:u w:val="single"/>
            <w:lang w:val="en-CA"/>
          </w:rPr>
          <w:t>https://doi.org/10.1111/conl.12981</w:t>
        </w:r>
      </w:hyperlink>
      <w:r w:rsidR="003D2846">
        <w:t xml:space="preserve">. </w:t>
      </w:r>
      <w:r w:rsidR="003D2846" w:rsidRPr="00812871">
        <w:rPr>
          <w:lang w:val="en-CA"/>
        </w:rPr>
        <w:t>(</w:t>
      </w:r>
      <w:proofErr w:type="gramStart"/>
      <w:r w:rsidR="003D2846" w:rsidRPr="00812871">
        <w:rPr>
          <w:lang w:val="en-CA"/>
        </w:rPr>
        <w:t>including</w:t>
      </w:r>
      <w:proofErr w:type="gramEnd"/>
      <w:r w:rsidR="003D2846" w:rsidRPr="00812871">
        <w:rPr>
          <w:lang w:val="en-CA"/>
        </w:rPr>
        <w:t xml:space="preserve"> Table S1 in Supplementary Material which outlines guidance to countries - https://conbio.onlinelibrary.wiley.com/action/downloadSupplement?doi=10.1111%2Fconl.12981&amp;file=conl12981-sup-0001-SuppMat.pdf_</w:t>
      </w:r>
    </w:p>
    <w:p w14:paraId="7EE51E4F" w14:textId="52BBA366" w:rsidR="00CC56A2" w:rsidRPr="00812871" w:rsidRDefault="00756F0F" w:rsidP="00ED3F20">
      <w:pPr>
        <w:pStyle w:val="CBDNormalNumber"/>
        <w:ind w:left="567"/>
        <w:jc w:val="left"/>
        <w:rPr>
          <w:rFonts w:asciiTheme="majorBidi" w:hAnsiTheme="majorBidi" w:cstheme="majorBidi"/>
          <w:lang w:val="en-CA"/>
        </w:rPr>
      </w:pPr>
      <w:r w:rsidRPr="00812871">
        <w:rPr>
          <w:rStyle w:val="eop"/>
          <w:rFonts w:asciiTheme="majorBidi" w:eastAsiaTheme="majorEastAsia" w:hAnsiTheme="majorBidi" w:cstheme="majorBidi"/>
          <w:lang w:val="en-CA"/>
        </w:rPr>
        <w:t> </w:t>
      </w:r>
    </w:p>
    <w:p w14:paraId="60FDD67E" w14:textId="5C3F9FF5" w:rsidR="00CC56A2" w:rsidRPr="00812871" w:rsidRDefault="00756F0F" w:rsidP="00ED3F20">
      <w:pPr>
        <w:pStyle w:val="CBDNormalNumber"/>
        <w:ind w:left="567"/>
        <w:jc w:val="left"/>
        <w:rPr>
          <w:rFonts w:asciiTheme="majorBidi" w:hAnsiTheme="majorBidi" w:cstheme="majorBidi"/>
          <w:lang w:val="en-CA"/>
        </w:rPr>
      </w:pPr>
      <w:proofErr w:type="spellStart"/>
      <w:r w:rsidRPr="000A3ABD">
        <w:rPr>
          <w:rStyle w:val="normaltextrun"/>
          <w:rFonts w:asciiTheme="majorBidi" w:eastAsiaTheme="majorEastAsia" w:hAnsiTheme="majorBidi" w:cstheme="majorBidi"/>
          <w:lang w:val="fr-FR"/>
        </w:rPr>
        <w:lastRenderedPageBreak/>
        <w:t>Pagad</w:t>
      </w:r>
      <w:proofErr w:type="spellEnd"/>
      <w:r w:rsidRPr="000A3ABD">
        <w:rPr>
          <w:rStyle w:val="normaltextrun"/>
          <w:rFonts w:asciiTheme="majorBidi" w:eastAsiaTheme="majorEastAsia" w:hAnsiTheme="majorBidi" w:cstheme="majorBidi"/>
          <w:lang w:val="fr-FR"/>
        </w:rPr>
        <w:t xml:space="preserve"> (2018) </w:t>
      </w:r>
      <w:proofErr w:type="spellStart"/>
      <w:r w:rsidRPr="000A3ABD">
        <w:rPr>
          <w:rStyle w:val="normaltextrun"/>
          <w:rFonts w:asciiTheme="majorBidi" w:eastAsiaTheme="majorEastAsia" w:hAnsiTheme="majorBidi" w:cstheme="majorBidi"/>
          <w:color w:val="222222"/>
          <w:lang w:val="fr-FR"/>
        </w:rPr>
        <w:t>Pagad</w:t>
      </w:r>
      <w:proofErr w:type="spellEnd"/>
      <w:r w:rsidRPr="000A3ABD">
        <w:rPr>
          <w:rStyle w:val="normaltextrun"/>
          <w:rFonts w:asciiTheme="majorBidi" w:eastAsiaTheme="majorEastAsia" w:hAnsiTheme="majorBidi" w:cstheme="majorBidi"/>
          <w:color w:val="222222"/>
          <w:lang w:val="fr-FR"/>
        </w:rPr>
        <w:t xml:space="preserve">, S., Genovesi, P., Carnevali, L. </w:t>
      </w:r>
      <w:r w:rsidRPr="000A3ABD">
        <w:rPr>
          <w:rStyle w:val="normaltextrun"/>
          <w:rFonts w:asciiTheme="majorBidi" w:eastAsiaTheme="majorEastAsia" w:hAnsiTheme="majorBidi" w:cstheme="majorBidi"/>
          <w:i/>
          <w:iCs/>
          <w:color w:val="222222"/>
          <w:lang w:val="fr-FR"/>
        </w:rPr>
        <w:t>et al.</w:t>
      </w:r>
      <w:r w:rsidRPr="000A3ABD">
        <w:rPr>
          <w:rStyle w:val="normaltextrun"/>
          <w:rFonts w:asciiTheme="majorBidi" w:eastAsiaTheme="majorEastAsia" w:hAnsiTheme="majorBidi" w:cstheme="majorBidi"/>
          <w:color w:val="222222"/>
          <w:lang w:val="fr-FR"/>
        </w:rPr>
        <w:t xml:space="preserve"> </w:t>
      </w:r>
      <w:r w:rsidRPr="00ED7E61">
        <w:rPr>
          <w:rStyle w:val="normaltextrun"/>
          <w:rFonts w:asciiTheme="majorBidi" w:eastAsiaTheme="majorEastAsia" w:hAnsiTheme="majorBidi" w:cstheme="majorBidi"/>
          <w:color w:val="222222"/>
        </w:rPr>
        <w:t xml:space="preserve">Introducing the Global Register of Introduced and Invasive Species. </w:t>
      </w:r>
      <w:r w:rsidRPr="00812871">
        <w:rPr>
          <w:rStyle w:val="normaltextrun"/>
          <w:rFonts w:asciiTheme="majorBidi" w:eastAsiaTheme="majorEastAsia" w:hAnsiTheme="majorBidi" w:cstheme="majorBidi"/>
          <w:i/>
          <w:iCs/>
          <w:color w:val="222222"/>
          <w:lang w:val="en-CA"/>
        </w:rPr>
        <w:t>Sci Data</w:t>
      </w:r>
      <w:r w:rsidRPr="00812871">
        <w:rPr>
          <w:rStyle w:val="normaltextrun"/>
          <w:rFonts w:asciiTheme="majorBidi" w:eastAsiaTheme="majorEastAsia" w:hAnsiTheme="majorBidi" w:cstheme="majorBidi"/>
          <w:color w:val="222222"/>
          <w:lang w:val="en-CA"/>
        </w:rPr>
        <w:t xml:space="preserve"> </w:t>
      </w:r>
      <w:r w:rsidRPr="00812871">
        <w:rPr>
          <w:rStyle w:val="normaltextrun"/>
          <w:rFonts w:asciiTheme="majorBidi" w:eastAsiaTheme="majorEastAsia" w:hAnsiTheme="majorBidi" w:cstheme="majorBidi"/>
          <w:b/>
          <w:bCs/>
          <w:color w:val="222222"/>
          <w:lang w:val="en-CA"/>
        </w:rPr>
        <w:t>5</w:t>
      </w:r>
      <w:r w:rsidRPr="00812871">
        <w:rPr>
          <w:rStyle w:val="normaltextrun"/>
          <w:rFonts w:asciiTheme="majorBidi" w:eastAsiaTheme="majorEastAsia" w:hAnsiTheme="majorBidi" w:cstheme="majorBidi"/>
          <w:color w:val="222222"/>
          <w:lang w:val="en-CA"/>
        </w:rPr>
        <w:t xml:space="preserve">, 170202 (2018). </w:t>
      </w:r>
      <w:r w:rsidRPr="00812871">
        <w:rPr>
          <w:rStyle w:val="normaltextrun"/>
          <w:rFonts w:asciiTheme="majorBidi" w:eastAsiaTheme="majorEastAsia" w:hAnsiTheme="majorBidi" w:cstheme="majorBidi"/>
          <w:color w:val="467886"/>
          <w:u w:val="single"/>
          <w:lang w:val="en-CA"/>
        </w:rPr>
        <w:t>https://doi.org/10.1038/sdata.2017.202</w:t>
      </w:r>
    </w:p>
    <w:p w14:paraId="5D28A204" w14:textId="019F846D" w:rsidR="00CC56A2" w:rsidRPr="00ED7E61" w:rsidRDefault="00756F0F" w:rsidP="00ED3F20">
      <w:pPr>
        <w:pStyle w:val="CBDNormalNumber"/>
        <w:ind w:left="567"/>
        <w:jc w:val="left"/>
        <w:rPr>
          <w:rFonts w:asciiTheme="majorBidi" w:hAnsiTheme="majorBidi" w:cstheme="majorBidi"/>
        </w:rPr>
      </w:pPr>
      <w:proofErr w:type="spellStart"/>
      <w:r w:rsidRPr="00812871">
        <w:rPr>
          <w:rStyle w:val="normaltextrun"/>
          <w:rFonts w:asciiTheme="majorBidi" w:eastAsiaTheme="majorEastAsia" w:hAnsiTheme="majorBidi" w:cstheme="majorBidi"/>
          <w:lang w:val="en-CA"/>
        </w:rPr>
        <w:t>Seebens</w:t>
      </w:r>
      <w:proofErr w:type="spellEnd"/>
      <w:r w:rsidRPr="00812871">
        <w:rPr>
          <w:rStyle w:val="normaltextrun"/>
          <w:rFonts w:asciiTheme="majorBidi" w:eastAsiaTheme="majorEastAsia" w:hAnsiTheme="majorBidi" w:cstheme="majorBidi"/>
          <w:lang w:val="en-CA"/>
        </w:rPr>
        <w:t xml:space="preserve"> et al. </w:t>
      </w:r>
      <w:r w:rsidRPr="00ED7E61">
        <w:rPr>
          <w:rStyle w:val="normaltextrun"/>
          <w:rFonts w:asciiTheme="majorBidi" w:eastAsiaTheme="majorEastAsia" w:hAnsiTheme="majorBidi" w:cstheme="majorBidi"/>
        </w:rPr>
        <w:t xml:space="preserve">(2017) </w:t>
      </w:r>
      <w:proofErr w:type="spellStart"/>
      <w:r w:rsidRPr="00ED7E61">
        <w:rPr>
          <w:rStyle w:val="normaltextrun"/>
          <w:rFonts w:asciiTheme="majorBidi" w:eastAsiaTheme="majorEastAsia" w:hAnsiTheme="majorBidi" w:cstheme="majorBidi"/>
          <w:color w:val="222222"/>
        </w:rPr>
        <w:t>Seebens</w:t>
      </w:r>
      <w:proofErr w:type="spellEnd"/>
      <w:r w:rsidRPr="00ED7E61">
        <w:rPr>
          <w:rStyle w:val="normaltextrun"/>
          <w:rFonts w:asciiTheme="majorBidi" w:eastAsiaTheme="majorEastAsia" w:hAnsiTheme="majorBidi" w:cstheme="majorBidi"/>
          <w:color w:val="222222"/>
        </w:rPr>
        <w:t xml:space="preserve">, H., Blackburn, T., Dyer, E. </w:t>
      </w:r>
      <w:r w:rsidRPr="00ED7E61">
        <w:rPr>
          <w:rStyle w:val="normaltextrun"/>
          <w:rFonts w:asciiTheme="majorBidi" w:eastAsiaTheme="majorEastAsia" w:hAnsiTheme="majorBidi" w:cstheme="majorBidi"/>
          <w:i/>
          <w:iCs/>
          <w:color w:val="222222"/>
        </w:rPr>
        <w:t>et al.</w:t>
      </w:r>
      <w:r w:rsidRPr="00ED7E61">
        <w:rPr>
          <w:rStyle w:val="normaltextrun"/>
          <w:rFonts w:asciiTheme="majorBidi" w:eastAsiaTheme="majorEastAsia" w:hAnsiTheme="majorBidi" w:cstheme="majorBidi"/>
          <w:color w:val="222222"/>
        </w:rPr>
        <w:t xml:space="preserve"> No saturation in the accumulation of alien species worldwide. </w:t>
      </w:r>
      <w:r w:rsidRPr="00ED7E61">
        <w:rPr>
          <w:rStyle w:val="normaltextrun"/>
          <w:rFonts w:asciiTheme="majorBidi" w:eastAsiaTheme="majorEastAsia" w:hAnsiTheme="majorBidi" w:cstheme="majorBidi"/>
          <w:i/>
          <w:iCs/>
          <w:color w:val="222222"/>
        </w:rPr>
        <w:t>Nat Commun</w:t>
      </w:r>
      <w:r w:rsidRPr="00ED7E61">
        <w:rPr>
          <w:rStyle w:val="normaltextrun"/>
          <w:rFonts w:asciiTheme="majorBidi" w:eastAsiaTheme="majorEastAsia" w:hAnsiTheme="majorBidi" w:cstheme="majorBidi"/>
          <w:color w:val="222222"/>
        </w:rPr>
        <w:t xml:space="preserve"> </w:t>
      </w:r>
      <w:r w:rsidRPr="00ED7E61">
        <w:rPr>
          <w:rStyle w:val="normaltextrun"/>
          <w:rFonts w:asciiTheme="majorBidi" w:eastAsiaTheme="majorEastAsia" w:hAnsiTheme="majorBidi" w:cstheme="majorBidi"/>
          <w:b/>
          <w:bCs/>
          <w:color w:val="222222"/>
        </w:rPr>
        <w:t>8</w:t>
      </w:r>
      <w:r w:rsidRPr="00ED7E61">
        <w:rPr>
          <w:rStyle w:val="normaltextrun"/>
          <w:rFonts w:asciiTheme="majorBidi" w:eastAsiaTheme="majorEastAsia" w:hAnsiTheme="majorBidi" w:cstheme="majorBidi"/>
          <w:color w:val="222222"/>
        </w:rPr>
        <w:t xml:space="preserve">, 14435 (2017). </w:t>
      </w:r>
      <w:hyperlink r:id="rId374" w:tgtFrame="_blank" w:history="1">
        <w:r w:rsidRPr="00ED7E61">
          <w:rPr>
            <w:rStyle w:val="normaltextrun"/>
            <w:rFonts w:asciiTheme="majorBidi" w:eastAsiaTheme="majorEastAsia" w:hAnsiTheme="majorBidi" w:cstheme="majorBidi"/>
            <w:color w:val="467886"/>
            <w:u w:val="single"/>
          </w:rPr>
          <w:t>https://doi.org/10.1038/ncomms14435</w:t>
        </w:r>
      </w:hyperlink>
      <w:r w:rsidRPr="00ED7E61">
        <w:rPr>
          <w:rStyle w:val="normaltextrun"/>
          <w:rFonts w:asciiTheme="majorBidi" w:eastAsiaTheme="majorEastAsia" w:hAnsiTheme="majorBidi" w:cstheme="majorBidi"/>
          <w:color w:val="222222"/>
        </w:rPr>
        <w:t> </w:t>
      </w:r>
      <w:r w:rsidRPr="00ED7E61">
        <w:rPr>
          <w:rStyle w:val="eop"/>
          <w:rFonts w:asciiTheme="majorBidi" w:eastAsiaTheme="majorEastAsia" w:hAnsiTheme="majorBidi" w:cstheme="majorBidi"/>
          <w:color w:val="222222"/>
        </w:rPr>
        <w:t> </w:t>
      </w:r>
    </w:p>
    <w:p w14:paraId="4B4A7AAF" w14:textId="77777777" w:rsidR="00756F0F" w:rsidRPr="00ED7E61" w:rsidRDefault="00756F0F" w:rsidP="00E370AD">
      <w:pPr>
        <w:pStyle w:val="CBDNormalNumber"/>
        <w:ind w:left="567"/>
        <w:rPr>
          <w:rFonts w:asciiTheme="majorBidi" w:hAnsiTheme="majorBidi" w:cstheme="majorBidi"/>
        </w:rPr>
      </w:pPr>
      <w:proofErr w:type="spellStart"/>
      <w:r w:rsidRPr="00ED7E61">
        <w:rPr>
          <w:rStyle w:val="normaltextrun"/>
          <w:rFonts w:asciiTheme="majorBidi" w:eastAsiaTheme="majorEastAsia" w:hAnsiTheme="majorBidi" w:cstheme="majorBidi"/>
        </w:rPr>
        <w:t>Seebens</w:t>
      </w:r>
      <w:proofErr w:type="spellEnd"/>
      <w:r w:rsidRPr="00ED7E61">
        <w:rPr>
          <w:rStyle w:val="normaltextrun"/>
          <w:rFonts w:asciiTheme="majorBidi" w:eastAsiaTheme="majorEastAsia" w:hAnsiTheme="majorBidi" w:cstheme="majorBidi"/>
        </w:rPr>
        <w:t xml:space="preserve"> (2023), Alien Species First Records Database (Version 3.1).  Deposited 25 October 2023.</w:t>
      </w:r>
      <w:r w:rsidRPr="00ED7E61">
        <w:rPr>
          <w:rStyle w:val="normaltextrun"/>
          <w:rFonts w:asciiTheme="majorBidi" w:eastAsiaTheme="majorEastAsia" w:hAnsiTheme="majorBidi" w:cstheme="majorBidi"/>
          <w:i/>
          <w:iCs/>
        </w:rPr>
        <w:t>Zenodo</w:t>
      </w:r>
      <w:r w:rsidRPr="00ED7E61">
        <w:rPr>
          <w:rStyle w:val="normaltextrun"/>
          <w:rFonts w:asciiTheme="majorBidi" w:eastAsiaTheme="majorEastAsia" w:hAnsiTheme="majorBidi" w:cstheme="majorBidi"/>
        </w:rPr>
        <w:t xml:space="preserve">. </w:t>
      </w:r>
      <w:hyperlink r:id="rId375" w:tgtFrame="_blank" w:history="1">
        <w:r w:rsidRPr="00ED7E61">
          <w:rPr>
            <w:rStyle w:val="normaltextrun"/>
            <w:rFonts w:asciiTheme="majorBidi" w:eastAsiaTheme="majorEastAsia" w:hAnsiTheme="majorBidi" w:cstheme="majorBidi"/>
            <w:color w:val="467886"/>
            <w:u w:val="single"/>
          </w:rPr>
          <w:t>https://zenodo.org/doi/10.5281/zenodo.3690741</w:t>
        </w:r>
      </w:hyperlink>
      <w:r w:rsidRPr="00ED7E61">
        <w:rPr>
          <w:rStyle w:val="normaltextrun"/>
          <w:rFonts w:asciiTheme="majorBidi" w:eastAsiaTheme="majorEastAsia" w:hAnsiTheme="majorBidi" w:cstheme="majorBidi"/>
        </w:rPr>
        <w:t xml:space="preserve"> .NB this link will always resolve to the latest version of this database.</w:t>
      </w:r>
      <w:r w:rsidRPr="00ED7E61">
        <w:rPr>
          <w:rStyle w:val="eop"/>
          <w:rFonts w:asciiTheme="majorBidi" w:eastAsiaTheme="majorEastAsia" w:hAnsiTheme="majorBidi" w:cstheme="majorBidi"/>
        </w:rPr>
        <w:t> </w:t>
      </w:r>
    </w:p>
    <w:p w14:paraId="0351741A" w14:textId="77777777" w:rsidR="00756F0F" w:rsidRPr="00ED7E61" w:rsidRDefault="00756F0F" w:rsidP="0049615A">
      <w:pPr>
        <w:pStyle w:val="paragraph"/>
        <w:pBdr>
          <w:bottom w:val="single" w:sz="4" w:space="4"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12. Graphs and diagrams</w:t>
      </w:r>
      <w:r w:rsidRPr="00ED7E61">
        <w:rPr>
          <w:rStyle w:val="eop"/>
          <w:rFonts w:asciiTheme="majorBidi" w:eastAsiaTheme="majorEastAsia" w:hAnsiTheme="majorBidi" w:cstheme="majorBidi"/>
          <w:sz w:val="22"/>
          <w:szCs w:val="22"/>
        </w:rPr>
        <w:t> </w:t>
      </w:r>
    </w:p>
    <w:p w14:paraId="66DFCBD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329B81A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38469F5" w14:textId="77777777" w:rsidR="000A7837" w:rsidRDefault="000A7837">
      <w:pPr>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br w:type="page"/>
      </w:r>
    </w:p>
    <w:p w14:paraId="4B03F84D" w14:textId="5044AA5A" w:rsidR="000A7837" w:rsidRPr="00ED7E61" w:rsidRDefault="000A7837" w:rsidP="000A7837">
      <w:pPr>
        <w:pStyle w:val="Heading3"/>
        <w:rPr>
          <w:rStyle w:val="normaltextrun"/>
        </w:rPr>
      </w:pPr>
      <w:bookmarkStart w:id="36" w:name="_Toc233278570"/>
      <w:bookmarkStart w:id="37" w:name="_Toc178285861"/>
      <w:r>
        <w:rPr>
          <w:rStyle w:val="normaltextrun"/>
        </w:rPr>
        <w:lastRenderedPageBreak/>
        <w:t>Binary</w:t>
      </w:r>
      <w:r w:rsidRPr="00ED7E61">
        <w:rPr>
          <w:rStyle w:val="normaltextrun"/>
        </w:rPr>
        <w:t xml:space="preserve"> indicator 6.b</w:t>
      </w:r>
      <w:bookmarkEnd w:id="36"/>
      <w:r w:rsidRPr="00ED7E61">
        <w:rPr>
          <w:rStyle w:val="normaltextrun"/>
        </w:rPr>
        <w:t xml:space="preserve"> </w:t>
      </w:r>
      <w:bookmarkEnd w:id="37"/>
    </w:p>
    <w:p w14:paraId="72597CB5" w14:textId="77777777" w:rsidR="000A7837" w:rsidRPr="00ED7E61" w:rsidRDefault="000A7837" w:rsidP="000A7837">
      <w:pPr>
        <w:jc w:val="both"/>
        <w:rPr>
          <w:rFonts w:asciiTheme="majorBidi" w:hAnsiTheme="majorBidi" w:cstheme="majorBidi"/>
          <w:b/>
          <w:bCs/>
          <w:sz w:val="22"/>
          <w:szCs w:val="22"/>
        </w:rPr>
      </w:pPr>
    </w:p>
    <w:p w14:paraId="6E122AAE" w14:textId="77777777" w:rsidR="000A7837" w:rsidRPr="0049615A" w:rsidRDefault="000A7837" w:rsidP="0049615A">
      <w:pPr>
        <w:pStyle w:val="paragraph"/>
        <w:pBdr>
          <w:bottom w:val="single" w:sz="4" w:space="4" w:color="000000"/>
        </w:pBdr>
        <w:spacing w:before="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Full Indicator Name</w:t>
      </w:r>
    </w:p>
    <w:p w14:paraId="49FC4A06" w14:textId="77777777" w:rsidR="000A7837" w:rsidRPr="00ED7E61" w:rsidRDefault="000A7837" w:rsidP="000A7837">
      <w:pPr>
        <w:jc w:val="both"/>
        <w:rPr>
          <w:rFonts w:asciiTheme="majorBidi" w:hAnsiTheme="majorBidi" w:cstheme="majorBidi"/>
          <w:sz w:val="22"/>
          <w:szCs w:val="22"/>
        </w:rPr>
      </w:pPr>
      <w:r w:rsidRPr="00ED7E61">
        <w:rPr>
          <w:rFonts w:asciiTheme="majorBidi" w:hAnsiTheme="majorBidi" w:cstheme="majorBidi"/>
          <w:color w:val="000000" w:themeColor="text1"/>
          <w:sz w:val="22"/>
          <w:szCs w:val="22"/>
          <w:lang w:val="en-GB"/>
        </w:rPr>
        <w:t>Number of countries adopting relevant regulations, processes and measures to reduce the impact of invasive alien species.</w:t>
      </w:r>
    </w:p>
    <w:p w14:paraId="6EB0A8E9" w14:textId="77777777" w:rsidR="000A7837" w:rsidRPr="00ED7E61" w:rsidRDefault="000A7837" w:rsidP="000A7837">
      <w:pPr>
        <w:jc w:val="both"/>
        <w:rPr>
          <w:rFonts w:asciiTheme="majorBidi" w:hAnsiTheme="majorBidi" w:cstheme="majorBidi"/>
          <w:sz w:val="22"/>
          <w:szCs w:val="22"/>
          <w:lang w:val="en-US"/>
        </w:rPr>
      </w:pPr>
    </w:p>
    <w:p w14:paraId="0A4CDF98" w14:textId="77777777" w:rsidR="000A7837" w:rsidRPr="00ED7E61" w:rsidRDefault="000A7837" w:rsidP="000A7837">
      <w:pPr>
        <w:jc w:val="both"/>
        <w:rPr>
          <w:rFonts w:asciiTheme="majorBidi" w:hAnsiTheme="majorBidi" w:cstheme="majorBidi"/>
          <w:b/>
          <w:bCs/>
          <w:sz w:val="22"/>
          <w:szCs w:val="22"/>
        </w:rPr>
      </w:pPr>
      <w:r w:rsidRPr="00ED7E61">
        <w:rPr>
          <w:rFonts w:asciiTheme="majorBidi" w:hAnsiTheme="majorBidi" w:cstheme="majorBidi"/>
          <w:b/>
          <w:bCs/>
          <w:sz w:val="22"/>
          <w:szCs w:val="22"/>
        </w:rPr>
        <w:t xml:space="preserve">Goals </w:t>
      </w:r>
      <w:r>
        <w:rPr>
          <w:rFonts w:asciiTheme="majorBidi" w:hAnsiTheme="majorBidi" w:cstheme="majorBidi"/>
          <w:b/>
          <w:bCs/>
          <w:sz w:val="22"/>
          <w:szCs w:val="22"/>
        </w:rPr>
        <w:t>a</w:t>
      </w:r>
      <w:r w:rsidRPr="00ED7E61">
        <w:rPr>
          <w:rFonts w:asciiTheme="majorBidi" w:hAnsiTheme="majorBidi" w:cstheme="majorBidi"/>
          <w:b/>
          <w:bCs/>
          <w:sz w:val="22"/>
          <w:szCs w:val="22"/>
        </w:rPr>
        <w:t>nd Targets Addressed</w:t>
      </w:r>
    </w:p>
    <w:p w14:paraId="422A81E4" w14:textId="77777777" w:rsidR="000A7837" w:rsidRPr="00ED7E61" w:rsidRDefault="000A7837" w:rsidP="000A7837">
      <w:pPr>
        <w:jc w:val="both"/>
        <w:rPr>
          <w:rFonts w:asciiTheme="majorBidi" w:hAnsiTheme="majorBidi" w:cstheme="majorBidi"/>
          <w:b/>
          <w:bCs/>
          <w:sz w:val="22"/>
          <w:szCs w:val="22"/>
        </w:rPr>
      </w:pPr>
    </w:p>
    <w:p w14:paraId="73C5E017" w14:textId="77777777" w:rsidR="000A7837" w:rsidRPr="00ED7E61" w:rsidRDefault="000A7837" w:rsidP="000A7837">
      <w:pPr>
        <w:jc w:val="both"/>
        <w:rPr>
          <w:rFonts w:asciiTheme="majorBidi" w:hAnsiTheme="majorBidi" w:cstheme="majorBidi"/>
          <w:b/>
          <w:bCs/>
          <w:sz w:val="22"/>
          <w:szCs w:val="22"/>
        </w:rPr>
      </w:pPr>
      <w:r w:rsidRPr="00ED7E61">
        <w:rPr>
          <w:rFonts w:asciiTheme="majorBidi" w:hAnsiTheme="majorBidi" w:cstheme="majorBidi"/>
          <w:b/>
          <w:bCs/>
          <w:sz w:val="22"/>
          <w:szCs w:val="22"/>
        </w:rPr>
        <w:t>Goal</w:t>
      </w:r>
    </w:p>
    <w:p w14:paraId="0932D183" w14:textId="77777777" w:rsidR="000A7837" w:rsidRPr="00ED7E61" w:rsidRDefault="000A7837" w:rsidP="000A7837">
      <w:pPr>
        <w:jc w:val="both"/>
        <w:rPr>
          <w:rFonts w:asciiTheme="majorBidi" w:hAnsiTheme="majorBidi" w:cstheme="majorBidi"/>
          <w:color w:val="242424"/>
          <w:sz w:val="22"/>
          <w:szCs w:val="22"/>
        </w:rPr>
      </w:pPr>
      <w:r w:rsidRPr="00ED7E61">
        <w:rPr>
          <w:rFonts w:asciiTheme="majorBidi" w:hAnsiTheme="majorBidi" w:cstheme="majorBidi"/>
          <w:color w:val="242424"/>
          <w:sz w:val="22"/>
          <w:szCs w:val="22"/>
        </w:rPr>
        <w:t>N/A</w:t>
      </w:r>
    </w:p>
    <w:p w14:paraId="7D9C4B81" w14:textId="77777777" w:rsidR="000A7837" w:rsidRPr="00ED7E61" w:rsidRDefault="000A7837" w:rsidP="000A7837">
      <w:pPr>
        <w:jc w:val="both"/>
        <w:rPr>
          <w:rFonts w:asciiTheme="majorBidi" w:hAnsiTheme="majorBidi" w:cstheme="majorBidi"/>
          <w:sz w:val="22"/>
          <w:szCs w:val="22"/>
        </w:rPr>
      </w:pPr>
    </w:p>
    <w:p w14:paraId="7009878D" w14:textId="77777777" w:rsidR="000A7837" w:rsidRPr="00ED7E61" w:rsidRDefault="000A7837" w:rsidP="000A7837">
      <w:pPr>
        <w:jc w:val="both"/>
        <w:rPr>
          <w:rFonts w:asciiTheme="majorBidi" w:hAnsiTheme="majorBidi" w:cstheme="majorBidi"/>
          <w:b/>
          <w:bCs/>
          <w:sz w:val="22"/>
          <w:szCs w:val="22"/>
        </w:rPr>
      </w:pPr>
      <w:r w:rsidRPr="00ED7E61">
        <w:rPr>
          <w:rFonts w:asciiTheme="majorBidi" w:hAnsiTheme="majorBidi" w:cstheme="majorBidi"/>
          <w:b/>
          <w:bCs/>
          <w:sz w:val="22"/>
          <w:szCs w:val="22"/>
        </w:rPr>
        <w:t>Target</w:t>
      </w:r>
    </w:p>
    <w:p w14:paraId="38A21772" w14:textId="403B7FCB" w:rsidR="000A7837" w:rsidRPr="00ED7E61" w:rsidRDefault="000A7837" w:rsidP="000A7837">
      <w:pPr>
        <w:jc w:val="both"/>
        <w:rPr>
          <w:rFonts w:asciiTheme="majorBidi" w:hAnsiTheme="majorBidi" w:cstheme="majorBidi"/>
          <w:sz w:val="22"/>
          <w:szCs w:val="22"/>
        </w:rPr>
      </w:pPr>
      <w:r w:rsidRPr="00ED7E61">
        <w:rPr>
          <w:rFonts w:asciiTheme="majorBidi" w:hAnsiTheme="majorBidi" w:cstheme="majorBidi"/>
          <w:sz w:val="22"/>
          <w:szCs w:val="22"/>
        </w:rPr>
        <w:t>Target 6. 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p w14:paraId="3D6A478E" w14:textId="77777777" w:rsidR="000A7837" w:rsidRPr="00ED7E61" w:rsidRDefault="000A7837" w:rsidP="000A7837">
      <w:pPr>
        <w:jc w:val="both"/>
        <w:rPr>
          <w:rFonts w:asciiTheme="majorBidi" w:hAnsiTheme="majorBidi" w:cstheme="majorBidi"/>
          <w:sz w:val="22"/>
          <w:szCs w:val="22"/>
        </w:rPr>
      </w:pPr>
    </w:p>
    <w:p w14:paraId="3147F5F1" w14:textId="77777777" w:rsidR="000A7837" w:rsidRPr="0049615A" w:rsidRDefault="000A7837" w:rsidP="0049615A">
      <w:pPr>
        <w:pStyle w:val="paragraph"/>
        <w:pBdr>
          <w:bottom w:val="single" w:sz="4" w:space="4" w:color="000000"/>
        </w:pBdr>
        <w:spacing w:before="0" w:beforeAutospacing="0" w:after="0" w:afterAutospacing="0"/>
        <w:textAlignment w:val="baseline"/>
        <w:rPr>
          <w:rFonts w:asciiTheme="majorBidi" w:hAnsiTheme="majorBidi" w:cstheme="majorBidi"/>
          <w:b/>
          <w:bCs/>
          <w:sz w:val="22"/>
          <w:szCs w:val="22"/>
        </w:rPr>
      </w:pPr>
      <w:r w:rsidRPr="0049615A">
        <w:rPr>
          <w:rStyle w:val="normaltextrun"/>
          <w:rFonts w:eastAsiaTheme="majorEastAsia"/>
          <w:b/>
          <w:bCs/>
          <w:lang w:val="en-GB"/>
        </w:rPr>
        <w:t>Rationale</w:t>
      </w:r>
    </w:p>
    <w:p w14:paraId="30B2F2D9" w14:textId="77777777" w:rsidR="000A7837" w:rsidRPr="00ED7E61" w:rsidRDefault="000A7837" w:rsidP="000A7837">
      <w:pPr>
        <w:pStyle w:val="CBDNormalNumber"/>
        <w:numPr>
          <w:ilvl w:val="0"/>
          <w:numId w:val="75"/>
        </w:numPr>
        <w:tabs>
          <w:tab w:val="clear" w:pos="1701"/>
        </w:tabs>
        <w:ind w:left="567" w:firstLine="0"/>
        <w:rPr>
          <w:rFonts w:asciiTheme="majorBidi" w:hAnsiTheme="majorBidi" w:cstheme="majorBidi"/>
        </w:rPr>
      </w:pPr>
      <w:r w:rsidRPr="00ED7E61">
        <w:rPr>
          <w:rStyle w:val="normaltextrun"/>
          <w:rFonts w:eastAsiaTheme="majorEastAsia"/>
        </w:rPr>
        <w:t>Invasive</w:t>
      </w:r>
      <w:r w:rsidRPr="00ED7E61">
        <w:rPr>
          <w:rFonts w:asciiTheme="majorBidi" w:hAnsiTheme="majorBidi" w:cstheme="majorBidi"/>
        </w:rPr>
        <w:t xml:space="preserve"> alien species are one of the main direct drivers of biodiversity loss. In some ecosystems, such as islands, invasive alien species (IAS) are the leading cause of biodiversity decline. Invasive alien species affect biodiversity by competing with native species for resources, by direct predation or by introducing pathogens. They also modify the composition and structure of ecosystems, reducing the services they provide. In addition to their environmental impacts, invasive alien species pose a threat to food security, human health and economic activities. Globalization and an associated increase in human-mediated activities, such as international transport, trade and tourism, have made the movement of species beyond natural bio-geographical barriers easier and quicker, by creating new introduction pathways. Due to the wide and crosscutting impacts of IAS, including environmental, economic, health, social and cultural impacts, it is necessary to strengthen collaboration across sectors and government agencies at all levels and areas to ensure that this threat is managed effectively.</w:t>
      </w:r>
    </w:p>
    <w:p w14:paraId="5C1B2F92" w14:textId="77777777" w:rsidR="000A7837" w:rsidRPr="00ED7E61" w:rsidRDefault="000A7837" w:rsidP="000A7837">
      <w:pPr>
        <w:pStyle w:val="CBDNormalNumber"/>
        <w:numPr>
          <w:ilvl w:val="0"/>
          <w:numId w:val="75"/>
        </w:numPr>
        <w:ind w:left="567" w:firstLine="0"/>
      </w:pPr>
      <w:r w:rsidRPr="00ED7E61">
        <w:t xml:space="preserve">Governments have an important role to play in setting the regulatory landscape to support institutions in reducing the impacts of IAS. Business as usual practices have led to </w:t>
      </w:r>
      <w:proofErr w:type="gramStart"/>
      <w:r w:rsidRPr="00ED7E61">
        <w:t>a large number of</w:t>
      </w:r>
      <w:proofErr w:type="gramEnd"/>
      <w:r w:rsidRPr="00ED7E61">
        <w:t xml:space="preserve"> species being introduced to habitats where they have had significant impact on local biodiversity. Regulations, such as those on ballast water emptying, and appropriate resources to enforce them have a proven effect on reducing the rates of IAS establishment. Specifically, this indicator reports on the number of countries that have adopted regulation, processes and measures, and allocated resources, to reduce the impact of IAS.</w:t>
      </w:r>
    </w:p>
    <w:p w14:paraId="19FCCB7C" w14:textId="77777777" w:rsidR="000A7837" w:rsidRPr="0049615A" w:rsidRDefault="000A7837" w:rsidP="0049615A">
      <w:pPr>
        <w:pStyle w:val="paragraph"/>
        <w:pBdr>
          <w:bottom w:val="single" w:sz="4" w:space="4" w:color="000000"/>
        </w:pBdr>
        <w:spacing w:before="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Definitions Concepts and Classifications</w:t>
      </w:r>
    </w:p>
    <w:p w14:paraId="18631309" w14:textId="77777777" w:rsidR="000A7837" w:rsidRPr="00ED7E61" w:rsidRDefault="000A7837" w:rsidP="000A7837">
      <w:pPr>
        <w:pStyle w:val="CBDNormalNumber"/>
        <w:numPr>
          <w:ilvl w:val="0"/>
          <w:numId w:val="75"/>
        </w:numPr>
        <w:ind w:left="567" w:firstLine="0"/>
        <w:jc w:val="left"/>
      </w:pPr>
      <w:r w:rsidRPr="00ED7E61">
        <w:t>Impact of alien invasive species: Impacts are changes to nature, nature’s contributions to people and/or good quality of life. Impacts can be observed or unobserved. Generally, negative impacts become more apparent and problematic when invasive alien species are well established, widespread and present for a long time. Along with their adverse effects, some invasive alien species may have positive impacts providing benefits to some people.</w:t>
      </w:r>
    </w:p>
    <w:p w14:paraId="2BDE0282" w14:textId="77777777" w:rsidR="000A7837" w:rsidRPr="00ED7E61" w:rsidRDefault="000A7837" w:rsidP="000A7837">
      <w:pPr>
        <w:pStyle w:val="CBDNormalNumber"/>
        <w:numPr>
          <w:ilvl w:val="0"/>
          <w:numId w:val="75"/>
        </w:numPr>
        <w:ind w:left="567" w:firstLine="0"/>
        <w:jc w:val="left"/>
        <w:rPr>
          <w:rFonts w:asciiTheme="majorBidi" w:hAnsiTheme="majorBidi" w:cstheme="majorBidi"/>
          <w:color w:val="000000" w:themeColor="text1"/>
        </w:rPr>
      </w:pPr>
      <w:r w:rsidRPr="00ED7E61">
        <w:rPr>
          <w:rFonts w:asciiTheme="majorBidi" w:hAnsiTheme="majorBidi" w:cstheme="majorBidi"/>
          <w:color w:val="000000" w:themeColor="text1"/>
        </w:rPr>
        <w:t xml:space="preserve">Alien invasive species: </w:t>
      </w:r>
      <w:r w:rsidRPr="00ED7E61">
        <w:rPr>
          <w:rFonts w:asciiTheme="majorBidi" w:hAnsiTheme="majorBidi" w:cstheme="majorBidi"/>
        </w:rPr>
        <w:t>An alien species whose introduction and/or spread threaten biological diversity.</w:t>
      </w:r>
    </w:p>
    <w:p w14:paraId="7F12FE94" w14:textId="77777777" w:rsidR="000A7837" w:rsidRPr="00ED7E61" w:rsidRDefault="000A7837" w:rsidP="000A7837">
      <w:pPr>
        <w:pStyle w:val="CBDNormalNumber"/>
        <w:numPr>
          <w:ilvl w:val="0"/>
          <w:numId w:val="75"/>
        </w:numPr>
        <w:ind w:left="567" w:firstLine="0"/>
        <w:jc w:val="left"/>
        <w:rPr>
          <w:rFonts w:asciiTheme="majorBidi" w:eastAsia="Garamond" w:hAnsiTheme="majorBidi" w:cstheme="majorBidi"/>
        </w:rPr>
      </w:pPr>
      <w:r w:rsidRPr="00ED7E61">
        <w:rPr>
          <w:rFonts w:asciiTheme="majorBidi" w:hAnsiTheme="majorBidi" w:cstheme="majorBidi"/>
          <w:color w:val="000000" w:themeColor="text1"/>
        </w:rPr>
        <w:t xml:space="preserve">Establishment: </w:t>
      </w:r>
      <w:r w:rsidRPr="00ED7E61">
        <w:rPr>
          <w:rFonts w:asciiTheme="majorBidi" w:hAnsiTheme="majorBidi" w:cstheme="majorBidi"/>
        </w:rPr>
        <w:t>Production of a viable, self-sustaining population.</w:t>
      </w:r>
    </w:p>
    <w:p w14:paraId="16BD6D4D" w14:textId="77777777" w:rsidR="000A7837" w:rsidRPr="00ED7E61" w:rsidRDefault="000A7837" w:rsidP="000A7837">
      <w:pPr>
        <w:pStyle w:val="CBDNormalNumber"/>
        <w:numPr>
          <w:ilvl w:val="0"/>
          <w:numId w:val="75"/>
        </w:numPr>
        <w:tabs>
          <w:tab w:val="clear" w:pos="567"/>
          <w:tab w:val="clear" w:pos="1134"/>
          <w:tab w:val="clear" w:pos="1701"/>
          <w:tab w:val="left" w:pos="560"/>
          <w:tab w:val="left" w:pos="1120"/>
          <w:tab w:val="left" w:pos="1680"/>
        </w:tabs>
        <w:ind w:left="567" w:firstLine="0"/>
        <w:jc w:val="left"/>
        <w:rPr>
          <w:rFonts w:asciiTheme="majorBidi" w:hAnsiTheme="majorBidi" w:cstheme="majorBidi"/>
          <w:lang w:val="en-US"/>
        </w:rPr>
      </w:pPr>
      <w:r w:rsidRPr="00ED7E61">
        <w:rPr>
          <w:rFonts w:asciiTheme="majorBidi" w:hAnsiTheme="majorBidi" w:cstheme="majorBidi"/>
          <w:color w:val="000000" w:themeColor="text1"/>
        </w:rPr>
        <w:lastRenderedPageBreak/>
        <w:t xml:space="preserve">Control: </w:t>
      </w:r>
      <w:r w:rsidRPr="00ED7E61">
        <w:rPr>
          <w:rFonts w:asciiTheme="majorBidi" w:hAnsiTheme="majorBidi" w:cstheme="majorBidi"/>
          <w:lang w:val="en-US"/>
        </w:rPr>
        <w:t>Direct action(s) taken to reduce or suppress the distribution, abundance, spread and impacts of invasive alien species within a defined geographic area (FAO, 1995)</w:t>
      </w:r>
    </w:p>
    <w:p w14:paraId="7C16EE6C" w14:textId="77777777" w:rsidR="000A7837" w:rsidRPr="00C76FBC" w:rsidRDefault="000A7837" w:rsidP="000A7837">
      <w:pPr>
        <w:pStyle w:val="CBDNormalNumber"/>
        <w:numPr>
          <w:ilvl w:val="0"/>
          <w:numId w:val="75"/>
        </w:numPr>
        <w:ind w:left="567" w:firstLine="0"/>
        <w:jc w:val="left"/>
        <w:rPr>
          <w:rFonts w:asciiTheme="majorBidi" w:hAnsiTheme="majorBidi" w:cstheme="majorBidi"/>
          <w:lang w:val="en-US"/>
        </w:rPr>
      </w:pPr>
      <w:r w:rsidRPr="00ED7E61">
        <w:rPr>
          <w:rFonts w:asciiTheme="majorBidi" w:hAnsiTheme="majorBidi" w:cstheme="majorBidi"/>
          <w:color w:val="000000" w:themeColor="text1"/>
        </w:rPr>
        <w:t xml:space="preserve">Eradicate: </w:t>
      </w:r>
      <w:r w:rsidRPr="00ED7E61">
        <w:rPr>
          <w:rFonts w:asciiTheme="majorBidi" w:hAnsiTheme="majorBidi" w:cstheme="majorBidi"/>
        </w:rPr>
        <w:t>E</w:t>
      </w:r>
      <w:proofErr w:type="spellStart"/>
      <w:r w:rsidRPr="00ED7E61">
        <w:rPr>
          <w:rFonts w:asciiTheme="majorBidi" w:hAnsiTheme="majorBidi" w:cstheme="majorBidi"/>
          <w:lang w:val="en-US"/>
        </w:rPr>
        <w:t>liminate</w:t>
      </w:r>
      <w:proofErr w:type="spellEnd"/>
      <w:r w:rsidRPr="00ED7E61">
        <w:rPr>
          <w:rFonts w:asciiTheme="majorBidi" w:hAnsiTheme="majorBidi" w:cstheme="majorBidi"/>
          <w:lang w:val="en-US"/>
        </w:rPr>
        <w:t xml:space="preserve">/extirpate an invasive alien species from a defined geographic area even in the absence of all preventive measures obviating the necessity for further control measures (Dowdle, 1998). The </w:t>
      </w:r>
      <w:proofErr w:type="gramStart"/>
      <w:r w:rsidRPr="00ED7E61">
        <w:rPr>
          <w:rFonts w:asciiTheme="majorBidi" w:hAnsiTheme="majorBidi" w:cstheme="majorBidi"/>
          <w:lang w:val="en-US"/>
        </w:rPr>
        <w:t>time period</w:t>
      </w:r>
      <w:proofErr w:type="gramEnd"/>
      <w:r w:rsidRPr="00ED7E61">
        <w:rPr>
          <w:rFonts w:asciiTheme="majorBidi" w:hAnsiTheme="majorBidi" w:cstheme="majorBidi"/>
          <w:lang w:val="en-US"/>
        </w:rPr>
        <w:t xml:space="preserve"> after which an invasive alien species can be considered eradicated depends on the species and location.</w:t>
      </w:r>
    </w:p>
    <w:p w14:paraId="16C5A211" w14:textId="77777777" w:rsidR="000A7837" w:rsidRPr="0049615A" w:rsidRDefault="000A7837" w:rsidP="0049615A">
      <w:pPr>
        <w:pStyle w:val="paragraph"/>
        <w:pBdr>
          <w:bottom w:val="single" w:sz="4" w:space="4" w:color="000000"/>
        </w:pBdr>
        <w:spacing w:before="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Method of Computation</w:t>
      </w:r>
    </w:p>
    <w:p w14:paraId="36E73154" w14:textId="77777777" w:rsidR="000A7837" w:rsidRPr="00ED7E61" w:rsidRDefault="000A7837" w:rsidP="000A7837">
      <w:pPr>
        <w:pStyle w:val="CBDNormalNumber"/>
        <w:numPr>
          <w:ilvl w:val="0"/>
          <w:numId w:val="75"/>
        </w:numPr>
        <w:ind w:left="567" w:firstLine="0"/>
        <w:jc w:val="left"/>
        <w:rPr>
          <w:rFonts w:asciiTheme="majorBidi" w:hAnsiTheme="majorBidi" w:cstheme="majorBidi"/>
          <w:color w:val="000000" w:themeColor="text1"/>
        </w:rPr>
      </w:pPr>
      <w:r w:rsidRPr="00ED7E61">
        <w:rPr>
          <w:rFonts w:asciiTheme="majorBidi" w:hAnsiTheme="majorBidi" w:cstheme="majorBidi"/>
          <w:color w:val="000000" w:themeColor="text1"/>
        </w:rPr>
        <w:t>This indicator is a binary indicator and must be compiled from the answers to three questions:</w:t>
      </w:r>
    </w:p>
    <w:p w14:paraId="5E5C4479" w14:textId="77777777" w:rsidR="000A7837" w:rsidRPr="00ED7E61" w:rsidRDefault="000A7837" w:rsidP="000A7837">
      <w:pPr>
        <w:pStyle w:val="CBDNormalNumber"/>
        <w:numPr>
          <w:ilvl w:val="1"/>
          <w:numId w:val="75"/>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6.1 Does your country have regulations and processes empowering relevant institutions to implement the measures necessary for a reduction of the introduction and impact of invasive alien species?</w:t>
      </w:r>
    </w:p>
    <w:p w14:paraId="14BBB173" w14:textId="77777777" w:rsidR="000A7837" w:rsidRPr="00ED7E61" w:rsidRDefault="000A7837" w:rsidP="000A7837">
      <w:pPr>
        <w:pStyle w:val="CBDNormalNumber"/>
        <w:numPr>
          <w:ilvl w:val="1"/>
          <w:numId w:val="75"/>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6.2 Does your country have measures in place for preventing the introduction and establishment of invasive alien species?</w:t>
      </w:r>
    </w:p>
    <w:p w14:paraId="7F9333EF" w14:textId="77777777" w:rsidR="000A7837" w:rsidRPr="00ED7E61" w:rsidRDefault="000A7837" w:rsidP="000A7837">
      <w:pPr>
        <w:pStyle w:val="CBDNormalNumber"/>
        <w:numPr>
          <w:ilvl w:val="1"/>
          <w:numId w:val="75"/>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eastAsiaTheme="majorEastAsia"/>
        </w:rPr>
        <w:t xml:space="preserve">6.3 </w:t>
      </w:r>
      <w:r w:rsidRPr="00ED7E61">
        <w:rPr>
          <w:rStyle w:val="normaltextrun"/>
          <w:rFonts w:asciiTheme="majorBidi" w:eastAsiaTheme="majorEastAsia" w:hAnsiTheme="majorBidi" w:cstheme="majorBidi"/>
        </w:rPr>
        <w:t>Does your country have measures in place for eradicating or controlling invasive alien species?</w:t>
      </w:r>
    </w:p>
    <w:p w14:paraId="4D3C49A4" w14:textId="77777777" w:rsidR="000A7837" w:rsidRPr="00ED7E61" w:rsidRDefault="000A7837" w:rsidP="000A7837">
      <w:pPr>
        <w:pStyle w:val="CBDNormalNumber"/>
        <w:numPr>
          <w:ilvl w:val="0"/>
          <w:numId w:val="75"/>
        </w:numPr>
        <w:ind w:left="567" w:firstLine="0"/>
        <w:jc w:val="left"/>
        <w:rPr>
          <w:rFonts w:asciiTheme="majorBidi" w:hAnsiTheme="majorBidi" w:cstheme="majorBidi"/>
          <w:color w:val="000000" w:themeColor="text1"/>
        </w:rPr>
      </w:pPr>
      <w:r w:rsidRPr="00ED7E61">
        <w:rPr>
          <w:rFonts w:asciiTheme="majorBidi" w:hAnsiTheme="majorBidi" w:cstheme="majorBidi"/>
          <w:color w:val="000000" w:themeColor="text1"/>
        </w:rPr>
        <w:t>There are four possible answers to each question</w:t>
      </w:r>
      <w:r w:rsidRPr="00ED7E61">
        <w:rPr>
          <w:rStyle w:val="FootnoteReference"/>
          <w:rFonts w:asciiTheme="majorBidi" w:hAnsiTheme="majorBidi" w:cstheme="majorBidi"/>
          <w:color w:val="000000" w:themeColor="text1"/>
        </w:rPr>
        <w:footnoteReference w:id="24"/>
      </w:r>
      <w:r w:rsidRPr="00ED7E61">
        <w:rPr>
          <w:rFonts w:asciiTheme="majorBidi" w:hAnsiTheme="majorBidi" w:cstheme="majorBidi"/>
          <w:color w:val="000000" w:themeColor="text1"/>
        </w:rPr>
        <w:t>:</w:t>
      </w:r>
    </w:p>
    <w:p w14:paraId="1CE1EF1F" w14:textId="77777777" w:rsidR="000A7837" w:rsidRPr="00ED7E61" w:rsidRDefault="000A7837" w:rsidP="000A7837">
      <w:pPr>
        <w:pStyle w:val="CBDNormalNumber"/>
        <w:numPr>
          <w:ilvl w:val="1"/>
          <w:numId w:val="75"/>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No</w:t>
      </w:r>
    </w:p>
    <w:p w14:paraId="229F4A3C" w14:textId="77777777" w:rsidR="000A7837" w:rsidRPr="00ED7E61" w:rsidRDefault="000A7837" w:rsidP="000A7837">
      <w:pPr>
        <w:pStyle w:val="CBDNormalNumber"/>
        <w:numPr>
          <w:ilvl w:val="1"/>
          <w:numId w:val="75"/>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Under development</w:t>
      </w:r>
    </w:p>
    <w:p w14:paraId="53EFAEB2" w14:textId="77777777" w:rsidR="000A7837" w:rsidRPr="00ED7E61" w:rsidRDefault="000A7837" w:rsidP="000A7837">
      <w:pPr>
        <w:pStyle w:val="CBDNormalNumber"/>
        <w:numPr>
          <w:ilvl w:val="1"/>
          <w:numId w:val="75"/>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Partially</w:t>
      </w:r>
    </w:p>
    <w:p w14:paraId="2D0DC6C5" w14:textId="77777777" w:rsidR="000A7837" w:rsidRPr="00C76FBC" w:rsidRDefault="000A7837" w:rsidP="000A7837">
      <w:pPr>
        <w:pStyle w:val="CBDNormalNumber"/>
        <w:numPr>
          <w:ilvl w:val="1"/>
          <w:numId w:val="75"/>
        </w:numPr>
        <w:tabs>
          <w:tab w:val="clear" w:pos="567"/>
          <w:tab w:val="clear" w:pos="1134"/>
          <w:tab w:val="clear" w:pos="1701"/>
          <w:tab w:val="clear" w:pos="2268"/>
          <w:tab w:val="left" w:pos="1985"/>
        </w:tabs>
        <w:ind w:left="1276" w:firstLine="56"/>
        <w:rPr>
          <w:rFonts w:eastAsiaTheme="majorEastAsia"/>
        </w:rPr>
      </w:pPr>
      <w:r w:rsidRPr="00ED7E61">
        <w:rPr>
          <w:rStyle w:val="normaltextrun"/>
          <w:rFonts w:eastAsiaTheme="majorEastAsia"/>
        </w:rPr>
        <w:t>Fully</w:t>
      </w:r>
    </w:p>
    <w:p w14:paraId="048F40D2" w14:textId="2A15127F" w:rsidR="000A7837" w:rsidRPr="00ED7E61" w:rsidRDefault="000A7837" w:rsidP="000A7837">
      <w:pPr>
        <w:pStyle w:val="CBDNormalNumber"/>
        <w:numPr>
          <w:ilvl w:val="0"/>
          <w:numId w:val="75"/>
        </w:numPr>
        <w:ind w:left="567" w:firstLine="0"/>
        <w:jc w:val="left"/>
        <w:rPr>
          <w:rFonts w:asciiTheme="majorBidi" w:hAnsiTheme="majorBidi" w:cstheme="majorBidi"/>
          <w:color w:val="000000"/>
          <w:lang w:val="en-US"/>
        </w:rPr>
      </w:pPr>
      <w:r w:rsidRPr="00ED7E61">
        <w:rPr>
          <w:rFonts w:asciiTheme="majorBidi" w:hAnsiTheme="majorBidi" w:cstheme="majorBidi"/>
          <w:color w:val="000000"/>
          <w:lang w:val="en-US"/>
        </w:rPr>
        <w:t>A “</w:t>
      </w:r>
      <w:r w:rsidRPr="00FB1598">
        <w:rPr>
          <w:rFonts w:asciiTheme="majorBidi" w:hAnsiTheme="majorBidi" w:cstheme="majorBidi"/>
          <w:i/>
          <w:iCs/>
          <w:color w:val="000000"/>
          <w:lang w:val="en-US"/>
        </w:rPr>
        <w:t>No</w:t>
      </w:r>
      <w:r w:rsidRPr="00ED7E61">
        <w:rPr>
          <w:rFonts w:asciiTheme="majorBidi" w:hAnsiTheme="majorBidi" w:cstheme="majorBidi"/>
          <w:color w:val="000000"/>
          <w:lang w:val="en-US"/>
        </w:rPr>
        <w:t xml:space="preserve">” answer implies that Parties have not put in place any regulation nor processes to reduce the introduction and impact of IAS (6.1) nor measures to prevent the introduction and establishment of IAS (6.2) nor for eradicating and controlling IAS (6.3). </w:t>
      </w:r>
      <w:proofErr w:type="gramStart"/>
      <w:r w:rsidRPr="00ED7E61">
        <w:rPr>
          <w:rFonts w:asciiTheme="majorBidi" w:hAnsiTheme="majorBidi" w:cstheme="majorBidi"/>
          <w:color w:val="000000"/>
          <w:lang w:val="en-US"/>
        </w:rPr>
        <w:t>Therefore</w:t>
      </w:r>
      <w:proofErr w:type="gramEnd"/>
      <w:r w:rsidRPr="00ED7E61">
        <w:rPr>
          <w:rFonts w:asciiTheme="majorBidi" w:hAnsiTheme="majorBidi" w:cstheme="majorBidi"/>
          <w:color w:val="000000"/>
          <w:lang w:val="en-US"/>
        </w:rPr>
        <w:t xml:space="preserve"> no regulations nor </w:t>
      </w:r>
      <w:proofErr w:type="gramStart"/>
      <w:r w:rsidRPr="00ED7E61">
        <w:rPr>
          <w:rFonts w:asciiTheme="majorBidi" w:hAnsiTheme="majorBidi" w:cstheme="majorBidi"/>
          <w:color w:val="000000"/>
          <w:lang w:val="en-US"/>
        </w:rPr>
        <w:t>policy measures</w:t>
      </w:r>
      <w:proofErr w:type="gramEnd"/>
      <w:r w:rsidRPr="00ED7E61">
        <w:rPr>
          <w:rFonts w:asciiTheme="majorBidi" w:hAnsiTheme="majorBidi" w:cstheme="majorBidi"/>
          <w:color w:val="000000"/>
          <w:lang w:val="en-US"/>
        </w:rPr>
        <w:t xml:space="preserve"> exist in the country for the specific requirements of each </w:t>
      </w:r>
      <w:proofErr w:type="gramStart"/>
      <w:r w:rsidRPr="00ED7E61">
        <w:rPr>
          <w:rFonts w:asciiTheme="majorBidi" w:hAnsiTheme="majorBidi" w:cstheme="majorBidi"/>
          <w:color w:val="000000"/>
          <w:lang w:val="en-US"/>
        </w:rPr>
        <w:t>question</w:t>
      </w:r>
      <w:proofErr w:type="gramEnd"/>
      <w:r w:rsidRPr="00ED7E61">
        <w:rPr>
          <w:rFonts w:asciiTheme="majorBidi" w:hAnsiTheme="majorBidi" w:cstheme="majorBidi"/>
          <w:color w:val="000000"/>
          <w:lang w:val="en-US"/>
        </w:rPr>
        <w:t xml:space="preserve"> </w:t>
      </w:r>
      <w:r w:rsidR="00A63277">
        <w:rPr>
          <w:rFonts w:asciiTheme="majorBidi" w:hAnsiTheme="majorBidi" w:cstheme="majorBidi"/>
          <w:color w:val="000000"/>
          <w:lang w:val="en-US"/>
        </w:rPr>
        <w:t xml:space="preserve">and </w:t>
      </w:r>
      <w:r w:rsidRPr="00ED7E61">
        <w:rPr>
          <w:rFonts w:asciiTheme="majorBidi" w:hAnsiTheme="majorBidi" w:cstheme="majorBidi"/>
          <w:color w:val="000000"/>
          <w:lang w:val="en-US"/>
        </w:rPr>
        <w:t xml:space="preserve">none have been proposed. </w:t>
      </w:r>
    </w:p>
    <w:p w14:paraId="06B6762F" w14:textId="77777777" w:rsidR="000A7837" w:rsidRPr="00ED7E61" w:rsidRDefault="000A7837" w:rsidP="000A7837">
      <w:pPr>
        <w:pStyle w:val="CBDNormalNumber"/>
        <w:numPr>
          <w:ilvl w:val="0"/>
          <w:numId w:val="75"/>
        </w:numPr>
        <w:ind w:left="567" w:firstLine="0"/>
        <w:jc w:val="left"/>
        <w:rPr>
          <w:color w:val="000000" w:themeColor="text1"/>
        </w:rPr>
      </w:pPr>
      <w:r w:rsidRPr="00ED7E61">
        <w:t>An “</w:t>
      </w:r>
      <w:r w:rsidRPr="00FB1598">
        <w:rPr>
          <w:i/>
          <w:iCs/>
        </w:rPr>
        <w:t>Under development</w:t>
      </w:r>
      <w:r w:rsidRPr="00ED7E61">
        <w:t xml:space="preserve">” answer implies a concerted effort at the national level to design and implement </w:t>
      </w:r>
      <w:r w:rsidRPr="00ED7E61">
        <w:rPr>
          <w:color w:val="000000" w:themeColor="text1"/>
        </w:rPr>
        <w:t>regulation on reduction of introduction and impacts</w:t>
      </w:r>
      <w:r w:rsidRPr="00ED7E61">
        <w:t xml:space="preserve"> (</w:t>
      </w:r>
      <w:r w:rsidRPr="00ED7E61">
        <w:rPr>
          <w:color w:val="000000" w:themeColor="text1"/>
        </w:rPr>
        <w:t>6.1</w:t>
      </w:r>
      <w:r w:rsidRPr="00ED7E61">
        <w:t xml:space="preserve">), prevention of introduction and establishment (6.2) or </w:t>
      </w:r>
      <w:r w:rsidRPr="00ED7E61">
        <w:rPr>
          <w:color w:val="000000" w:themeColor="text1"/>
        </w:rPr>
        <w:t>eradication and control of IAS</w:t>
      </w:r>
      <w:r w:rsidRPr="00ED7E61">
        <w:t xml:space="preserve"> (</w:t>
      </w:r>
      <w:r w:rsidRPr="00ED7E61">
        <w:rPr>
          <w:color w:val="000000" w:themeColor="text1"/>
        </w:rPr>
        <w:t>6.3</w:t>
      </w:r>
      <w:r w:rsidRPr="00ED7E61">
        <w:t xml:space="preserve">). For each of these items in turn, national governments must be in the design stage of such measures (e.g. </w:t>
      </w:r>
      <w:r w:rsidRPr="00ED7E61">
        <w:rPr>
          <w:color w:val="000000" w:themeColor="text1"/>
        </w:rPr>
        <w:t>a bill or measures have been proposed</w:t>
      </w:r>
      <w:r w:rsidRPr="00ED7E61">
        <w:t xml:space="preserve">) but none of them have passed nor been implemented yet. The development of these measures must involve legal or governmental </w:t>
      </w:r>
      <w:r w:rsidRPr="00ED7E61">
        <w:rPr>
          <w:color w:val="000000" w:themeColor="text1"/>
        </w:rPr>
        <w:t xml:space="preserve">bodies </w:t>
      </w:r>
      <w:r w:rsidRPr="00ED7E61">
        <w:t>with the authority to implement the proposed measures.</w:t>
      </w:r>
    </w:p>
    <w:p w14:paraId="20E09DE7" w14:textId="77777777" w:rsidR="000A7837" w:rsidRPr="00ED7E61" w:rsidRDefault="000A7837" w:rsidP="000A7837">
      <w:pPr>
        <w:pStyle w:val="CBDNormalNumber"/>
        <w:numPr>
          <w:ilvl w:val="0"/>
          <w:numId w:val="75"/>
        </w:numPr>
        <w:ind w:left="567" w:firstLine="0"/>
        <w:jc w:val="left"/>
      </w:pPr>
      <w:r w:rsidRPr="00ED7E61">
        <w:t>A “</w:t>
      </w:r>
      <w:r w:rsidRPr="00FB1598">
        <w:rPr>
          <w:i/>
          <w:iCs/>
        </w:rPr>
        <w:t>Partially</w:t>
      </w:r>
      <w:r w:rsidRPr="00ED7E61">
        <w:t>” answer implies that only some of the elements in the question have been fulfilled. That is:</w:t>
      </w:r>
    </w:p>
    <w:p w14:paraId="64165C91" w14:textId="77777777" w:rsidR="000A7837" w:rsidRPr="00ED7E61" w:rsidRDefault="000A7837" w:rsidP="000A7837">
      <w:pPr>
        <w:pStyle w:val="CBDNormalNumber"/>
        <w:numPr>
          <w:ilvl w:val="1"/>
          <w:numId w:val="75"/>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regulation or processes have been put in place but not both (6.1) </w:t>
      </w:r>
    </w:p>
    <w:p w14:paraId="48EA029D" w14:textId="77777777" w:rsidR="000A7837" w:rsidRPr="00ED7E61" w:rsidRDefault="000A7837" w:rsidP="000A7837">
      <w:pPr>
        <w:pStyle w:val="CBDNormalNumber"/>
        <w:numPr>
          <w:ilvl w:val="1"/>
          <w:numId w:val="75"/>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measures are in place to reduce introduction or impact of IAS but not both (6.1)</w:t>
      </w:r>
    </w:p>
    <w:p w14:paraId="54731601" w14:textId="77777777" w:rsidR="000A7837" w:rsidRPr="00ED7E61" w:rsidRDefault="000A7837" w:rsidP="000A7837">
      <w:pPr>
        <w:pStyle w:val="CBDNormalNumber"/>
        <w:numPr>
          <w:ilvl w:val="1"/>
          <w:numId w:val="75"/>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measures are in place to prevent introduction or establishment of IAS but not both (6.2)</w:t>
      </w:r>
    </w:p>
    <w:p w14:paraId="5E1FFD74" w14:textId="77777777" w:rsidR="000A7837" w:rsidRPr="00ED7E61" w:rsidRDefault="000A7837" w:rsidP="000A7837">
      <w:pPr>
        <w:pStyle w:val="CBDNormalNumber"/>
        <w:numPr>
          <w:ilvl w:val="1"/>
          <w:numId w:val="75"/>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measures are in place to eradicate or control some IAS (6.3)</w:t>
      </w:r>
    </w:p>
    <w:p w14:paraId="0C4B23DC" w14:textId="77777777" w:rsidR="000A7837" w:rsidRPr="00ED7E61" w:rsidRDefault="000A7837" w:rsidP="000A7837">
      <w:pPr>
        <w:pStyle w:val="CBDNormalNumber"/>
        <w:numPr>
          <w:ilvl w:val="0"/>
          <w:numId w:val="75"/>
        </w:numPr>
        <w:ind w:left="567" w:firstLine="0"/>
        <w:jc w:val="left"/>
        <w:rPr>
          <w:rFonts w:asciiTheme="majorBidi" w:hAnsiTheme="majorBidi" w:cstheme="majorBidi"/>
          <w:color w:val="000000" w:themeColor="text1"/>
          <w:lang w:val="en-US"/>
        </w:rPr>
      </w:pPr>
      <w:r w:rsidRPr="00ED7E61">
        <w:rPr>
          <w:rFonts w:asciiTheme="majorBidi" w:hAnsiTheme="majorBidi" w:cstheme="majorBidi"/>
          <w:color w:val="000000" w:themeColor="text1"/>
          <w:lang w:val="en-US"/>
        </w:rPr>
        <w:t xml:space="preserve">If any one of the above has been put in place, then partial achievement has been reached. Additionally, in the case where a subnational authority may have put in place </w:t>
      </w:r>
      <w:proofErr w:type="gramStart"/>
      <w:r w:rsidRPr="00ED7E61">
        <w:rPr>
          <w:rFonts w:asciiTheme="majorBidi" w:hAnsiTheme="majorBidi" w:cstheme="majorBidi"/>
          <w:color w:val="000000" w:themeColor="text1"/>
          <w:lang w:val="en-US"/>
        </w:rPr>
        <w:t>both of the measures</w:t>
      </w:r>
      <w:proofErr w:type="gramEnd"/>
      <w:r w:rsidRPr="00ED7E61">
        <w:rPr>
          <w:rFonts w:asciiTheme="majorBidi" w:hAnsiTheme="majorBidi" w:cstheme="majorBidi"/>
          <w:color w:val="000000" w:themeColor="text1"/>
          <w:lang w:val="en-US"/>
        </w:rPr>
        <w:t xml:space="preserve"> </w:t>
      </w:r>
      <w:r w:rsidRPr="00ED7E61">
        <w:rPr>
          <w:rFonts w:asciiTheme="majorBidi" w:hAnsiTheme="majorBidi" w:cstheme="majorBidi"/>
          <w:color w:val="000000" w:themeColor="text1"/>
          <w:lang w:val="en-US"/>
        </w:rPr>
        <w:lastRenderedPageBreak/>
        <w:t>listed in questions 6.1 or 6.2 or to eradicate or control all IAS (6.3) in its area of jurisdiction, Parties may also select “</w:t>
      </w:r>
      <w:r w:rsidRPr="00FB1598">
        <w:rPr>
          <w:rFonts w:asciiTheme="majorBidi" w:hAnsiTheme="majorBidi" w:cstheme="majorBidi"/>
          <w:i/>
          <w:iCs/>
          <w:color w:val="000000" w:themeColor="text1"/>
          <w:lang w:val="en-US"/>
        </w:rPr>
        <w:t>Partially</w:t>
      </w:r>
      <w:r w:rsidRPr="00ED7E61">
        <w:rPr>
          <w:rFonts w:asciiTheme="majorBidi" w:hAnsiTheme="majorBidi" w:cstheme="majorBidi"/>
          <w:color w:val="000000" w:themeColor="text1"/>
          <w:lang w:val="en-US"/>
        </w:rPr>
        <w:t>” to represent the efforts being done in their country. In this case however, partial achievement of a question at the subnational level does not reach the threshold for Parties to select “</w:t>
      </w:r>
      <w:r w:rsidRPr="00FB1598">
        <w:rPr>
          <w:rFonts w:asciiTheme="majorBidi" w:hAnsiTheme="majorBidi" w:cstheme="majorBidi"/>
          <w:i/>
          <w:iCs/>
          <w:color w:val="000000" w:themeColor="text1"/>
          <w:lang w:val="en-US"/>
        </w:rPr>
        <w:t>Partially</w:t>
      </w:r>
      <w:r w:rsidRPr="00ED7E61">
        <w:rPr>
          <w:rFonts w:asciiTheme="majorBidi" w:hAnsiTheme="majorBidi" w:cstheme="majorBidi"/>
          <w:color w:val="000000" w:themeColor="text1"/>
          <w:lang w:val="en-US"/>
        </w:rPr>
        <w:t>” and Parties should revert to the “</w:t>
      </w:r>
      <w:r w:rsidRPr="00FB1598">
        <w:rPr>
          <w:rFonts w:asciiTheme="majorBidi" w:hAnsiTheme="majorBidi" w:cstheme="majorBidi"/>
          <w:i/>
          <w:iCs/>
          <w:color w:val="000000" w:themeColor="text1"/>
          <w:lang w:val="en-US"/>
        </w:rPr>
        <w:t>Under development</w:t>
      </w:r>
      <w:r w:rsidRPr="00ED7E61">
        <w:rPr>
          <w:rFonts w:asciiTheme="majorBidi" w:hAnsiTheme="majorBidi" w:cstheme="majorBidi"/>
          <w:color w:val="000000" w:themeColor="text1"/>
          <w:lang w:val="en-US"/>
        </w:rPr>
        <w:t>” answer.</w:t>
      </w:r>
    </w:p>
    <w:p w14:paraId="39AB64CC" w14:textId="77777777" w:rsidR="000A7837" w:rsidRPr="00ED7E61" w:rsidRDefault="000A7837" w:rsidP="000A7837">
      <w:pPr>
        <w:pStyle w:val="CBDNormalNumber"/>
        <w:numPr>
          <w:ilvl w:val="0"/>
          <w:numId w:val="75"/>
        </w:numPr>
        <w:ind w:left="567" w:firstLine="0"/>
        <w:jc w:val="left"/>
        <w:rPr>
          <w:rFonts w:asciiTheme="majorBidi" w:hAnsiTheme="majorBidi" w:cstheme="majorBidi"/>
          <w:color w:val="000000" w:themeColor="text1"/>
          <w:lang w:val="en-US"/>
        </w:rPr>
      </w:pPr>
      <w:r w:rsidRPr="00ED7E61">
        <w:rPr>
          <w:rFonts w:asciiTheme="majorBidi" w:hAnsiTheme="majorBidi" w:cstheme="majorBidi"/>
          <w:color w:val="000000" w:themeColor="text1"/>
          <w:lang w:val="en-US"/>
        </w:rPr>
        <w:t>A “</w:t>
      </w:r>
      <w:r w:rsidRPr="00FB1598">
        <w:rPr>
          <w:rFonts w:asciiTheme="majorBidi" w:hAnsiTheme="majorBidi" w:cstheme="majorBidi"/>
          <w:i/>
          <w:iCs/>
          <w:color w:val="000000" w:themeColor="text1"/>
          <w:lang w:val="en-US"/>
        </w:rPr>
        <w:t>Fully</w:t>
      </w:r>
      <w:r w:rsidRPr="00ED7E61">
        <w:rPr>
          <w:rFonts w:asciiTheme="majorBidi" w:hAnsiTheme="majorBidi" w:cstheme="majorBidi"/>
          <w:color w:val="000000" w:themeColor="text1"/>
          <w:lang w:val="en-US"/>
        </w:rPr>
        <w:t>” answer implies that all the conditions outlined in “</w:t>
      </w:r>
      <w:r w:rsidRPr="00FB1598">
        <w:rPr>
          <w:rFonts w:asciiTheme="majorBidi" w:hAnsiTheme="majorBidi" w:cstheme="majorBidi"/>
          <w:i/>
          <w:iCs/>
          <w:color w:val="000000" w:themeColor="text1"/>
          <w:lang w:val="en-US"/>
        </w:rPr>
        <w:t>Partially</w:t>
      </w:r>
      <w:r w:rsidRPr="00ED7E61">
        <w:rPr>
          <w:rFonts w:asciiTheme="majorBidi" w:hAnsiTheme="majorBidi" w:cstheme="majorBidi"/>
          <w:color w:val="000000" w:themeColor="text1"/>
          <w:lang w:val="en-US"/>
        </w:rPr>
        <w:t>” have been met. Namely, for 6.1 that both regulation and processes are in place to empower institutions in reducing both introduction and the impact of IAS and for 6.2 that measures are in place to prevent the introduction and establishment of IAS. For 6.3 measures are in place to control or eradicate all IAS of particular concern for the Party. If any one element is missing, then only partial achievement has been reached. For all questions, the regulations, processes and measures must be in place at the national level. All measures put in place by governments need to be resourced (financial and human) to count as “</w:t>
      </w:r>
      <w:r w:rsidRPr="00FB1598">
        <w:rPr>
          <w:rFonts w:asciiTheme="majorBidi" w:hAnsiTheme="majorBidi" w:cstheme="majorBidi"/>
          <w:i/>
          <w:iCs/>
          <w:color w:val="000000" w:themeColor="text1"/>
          <w:lang w:val="en-US"/>
        </w:rPr>
        <w:t>Fully</w:t>
      </w:r>
      <w:r w:rsidRPr="00ED7E61">
        <w:rPr>
          <w:rFonts w:asciiTheme="majorBidi" w:hAnsiTheme="majorBidi" w:cstheme="majorBidi"/>
          <w:color w:val="000000" w:themeColor="text1"/>
          <w:lang w:val="en-US"/>
        </w:rPr>
        <w:t>”.</w:t>
      </w:r>
    </w:p>
    <w:p w14:paraId="7F46B096" w14:textId="77777777" w:rsidR="000A7837" w:rsidRPr="00ED7E61" w:rsidRDefault="000A7837" w:rsidP="000A78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45E85559" w14:textId="0830CF11" w:rsidR="00D311B8" w:rsidRPr="00ED7E61" w:rsidRDefault="00D311B8" w:rsidP="00395866">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12CA856B" w14:textId="051E009A" w:rsidR="00756F0F" w:rsidRPr="00ED7E61" w:rsidRDefault="002946B5" w:rsidP="00501E19">
      <w:pPr>
        <w:pStyle w:val="Heading3"/>
      </w:pPr>
      <w:bookmarkStart w:id="38" w:name="_Toc233278571"/>
      <w:r w:rsidRPr="00ED7E61">
        <w:rPr>
          <w:rStyle w:val="normaltextrun"/>
        </w:rPr>
        <w:lastRenderedPageBreak/>
        <w:t>7.1 Index of coastal eutrophication potential</w:t>
      </w:r>
      <w:r w:rsidR="00CE2041" w:rsidRPr="00ED7E61">
        <w:rPr>
          <w:rStyle w:val="FootnoteReference"/>
        </w:rPr>
        <w:footnoteReference w:id="25"/>
      </w:r>
      <w:bookmarkEnd w:id="38"/>
      <w:r w:rsidR="00756F0F" w:rsidRPr="00ED7E61">
        <w:rPr>
          <w:rStyle w:val="normaltextrun"/>
        </w:rPr>
        <w:t> </w:t>
      </w:r>
      <w:r w:rsidR="00756F0F" w:rsidRPr="00ED7E61">
        <w:rPr>
          <w:rStyle w:val="eop"/>
        </w:rPr>
        <w:t> </w:t>
      </w:r>
    </w:p>
    <w:p w14:paraId="7E6D1CD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3AF8E63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b/>
          <w:bCs/>
          <w:sz w:val="22"/>
          <w:szCs w:val="22"/>
        </w:rPr>
        <w:t> </w:t>
      </w:r>
    </w:p>
    <w:p w14:paraId="79A55C3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shd w:val="clear" w:color="auto" w:fill="FFFFFF"/>
          <w:lang w:val="en-GB"/>
        </w:rPr>
        <w:t>7.1 Index of coastal eutrophication potential</w:t>
      </w:r>
      <w:r w:rsidRPr="00ED7E61">
        <w:rPr>
          <w:rStyle w:val="eop"/>
          <w:rFonts w:asciiTheme="majorBidi" w:eastAsiaTheme="majorEastAsia" w:hAnsiTheme="majorBidi" w:cstheme="majorBidi"/>
          <w:sz w:val="22"/>
          <w:szCs w:val="22"/>
        </w:rPr>
        <w:t> </w:t>
      </w:r>
    </w:p>
    <w:p w14:paraId="57CEC02E" w14:textId="77777777" w:rsidR="00756F0F" w:rsidRPr="00ED7E61" w:rsidRDefault="00756F0F" w:rsidP="00471715">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b/>
          <w:bCs/>
          <w:sz w:val="22"/>
          <w:szCs w:val="22"/>
        </w:rPr>
        <w:t> </w:t>
      </w:r>
    </w:p>
    <w:p w14:paraId="03814F6F" w14:textId="121073F4" w:rsidR="00775978" w:rsidRPr="00ED7E61" w:rsidRDefault="00441E4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Pr>
          <w:rStyle w:val="normaltextrun"/>
          <w:rFonts w:asciiTheme="majorBidi" w:eastAsiaTheme="majorEastAsia" w:hAnsiTheme="majorBidi" w:cstheme="majorBidi"/>
          <w:sz w:val="22"/>
          <w:szCs w:val="22"/>
          <w:lang w:val="en-GB"/>
        </w:rPr>
        <w:t>January</w:t>
      </w:r>
      <w:r w:rsidRPr="00ED7E61">
        <w:rPr>
          <w:rStyle w:val="normaltextrun"/>
          <w:rFonts w:asciiTheme="majorBidi" w:eastAsiaTheme="majorEastAsia" w:hAnsiTheme="majorBidi" w:cstheme="majorBidi"/>
          <w:sz w:val="22"/>
          <w:szCs w:val="22"/>
          <w:lang w:val="en-GB"/>
        </w:rPr>
        <w:t xml:space="preserve"> </w:t>
      </w:r>
      <w:r w:rsidR="00775978" w:rsidRPr="00ED7E61">
        <w:rPr>
          <w:rStyle w:val="normaltextrun"/>
          <w:rFonts w:asciiTheme="majorBidi" w:eastAsiaTheme="majorEastAsia" w:hAnsiTheme="majorBidi" w:cstheme="majorBidi"/>
          <w:sz w:val="22"/>
          <w:szCs w:val="22"/>
          <w:lang w:val="en-GB"/>
        </w:rPr>
        <w:t>202</w:t>
      </w:r>
      <w:r>
        <w:rPr>
          <w:rStyle w:val="normaltextrun"/>
          <w:rFonts w:asciiTheme="majorBidi" w:eastAsiaTheme="majorEastAsia" w:hAnsiTheme="majorBidi" w:cstheme="majorBidi"/>
          <w:sz w:val="22"/>
          <w:szCs w:val="22"/>
          <w:lang w:val="en-GB"/>
        </w:rPr>
        <w:t>6</w:t>
      </w:r>
      <w:r w:rsidR="00775978" w:rsidRPr="00ED7E61">
        <w:rPr>
          <w:rStyle w:val="normaltextrun"/>
          <w:rFonts w:asciiTheme="majorBidi" w:eastAsiaTheme="majorEastAsia" w:hAnsiTheme="majorBidi" w:cstheme="majorBidi"/>
          <w:sz w:val="22"/>
          <w:szCs w:val="22"/>
          <w:lang w:val="en-GB"/>
        </w:rPr>
        <w:t xml:space="preserve"> </w:t>
      </w:r>
    </w:p>
    <w:p w14:paraId="3799163C" w14:textId="4A2B8B06" w:rsidR="00756F0F" w:rsidRPr="00ED7E61" w:rsidRDefault="00756F0F" w:rsidP="00471715">
      <w:pPr>
        <w:pStyle w:val="paragraph"/>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b/>
          <w:bCs/>
          <w:sz w:val="22"/>
          <w:szCs w:val="22"/>
        </w:rPr>
        <w:t> </w:t>
      </w:r>
    </w:p>
    <w:p w14:paraId="06F6DD48" w14:textId="77777777" w:rsidR="00756F0F" w:rsidRPr="00ED7E61" w:rsidRDefault="00756F0F" w:rsidP="0047171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4793D2B2"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0D06D1B5" w14:textId="77777777" w:rsidR="00756F0F" w:rsidRPr="00ED7E61" w:rsidRDefault="00756F0F" w:rsidP="0047171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59A7B477" w14:textId="452DF939"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shd w:val="clear" w:color="auto" w:fill="FFFFFF"/>
          <w:lang w:val="en-GB"/>
        </w:rPr>
        <w:t>Target 7: 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 </w:t>
      </w:r>
      <w:r w:rsidRPr="00ED7E61">
        <w:rPr>
          <w:rStyle w:val="eop"/>
          <w:rFonts w:asciiTheme="majorBidi" w:eastAsiaTheme="majorEastAsia" w:hAnsiTheme="majorBidi" w:cstheme="majorBidi"/>
          <w:sz w:val="22"/>
          <w:szCs w:val="22"/>
        </w:rPr>
        <w:t> </w:t>
      </w:r>
    </w:p>
    <w:p w14:paraId="11C31D6A" w14:textId="77777777" w:rsidR="00756F0F" w:rsidRPr="00ED7E61" w:rsidRDefault="00756F0F" w:rsidP="00471715">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5375E4EB" w14:textId="6318B2D0" w:rsidR="00756F0F" w:rsidRPr="00921920" w:rsidRDefault="00756F0F" w:rsidP="00B10F0C">
      <w:pPr>
        <w:pStyle w:val="CBDNormalNumber"/>
        <w:numPr>
          <w:ilvl w:val="0"/>
          <w:numId w:val="76"/>
        </w:numPr>
        <w:tabs>
          <w:tab w:val="clear" w:pos="1701"/>
        </w:tabs>
        <w:ind w:left="567" w:firstLine="0"/>
        <w:rPr>
          <w:rFonts w:asciiTheme="majorBidi" w:hAnsiTheme="majorBidi" w:cstheme="majorBidi"/>
          <w:color w:val="000000" w:themeColor="text1"/>
          <w:lang w:val="en-US"/>
        </w:rPr>
      </w:pPr>
      <w:r w:rsidRPr="00ED7E61">
        <w:rPr>
          <w:color w:val="000000" w:themeColor="text1"/>
          <w:lang w:val="en-US"/>
        </w:rPr>
        <w:t>Coastal areas are areas of high productivity where inputs from land, sea, air and people converge. With over 40 percent of the human population residing in coastal areas, ecosystem degradation in these areas can have disproportionate effects on society (IGOS, 2006). One of the largest pressures on coastal environments is eutrophication, resulting primarily from land-based nutrient input from agricultural runoff and domestic wastewater discharge. Coastal eutrophication can lead to serious damage to marine ecosystems and vital sea habitats and can cause the spread of harmful algal blooms.  </w:t>
      </w:r>
    </w:p>
    <w:p w14:paraId="6CDBE6E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4B37375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2051E5D6"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The</w:t>
      </w:r>
      <w:r w:rsidRPr="00ED7E61">
        <w:rPr>
          <w:rStyle w:val="normaltextrun"/>
          <w:rFonts w:asciiTheme="majorBidi" w:eastAsiaTheme="majorEastAsia" w:hAnsiTheme="majorBidi" w:cstheme="majorBidi"/>
        </w:rPr>
        <w:t xml:space="preserve"> indicator is a subset of the indicators used for SDG 14.1.1. The indicator </w:t>
      </w:r>
      <w:r w:rsidRPr="00ED7E61">
        <w:rPr>
          <w:rStyle w:val="normaltextrun"/>
          <w:rFonts w:asciiTheme="majorBidi" w:eastAsiaTheme="majorEastAsia" w:hAnsiTheme="majorBidi" w:cstheme="majorBidi"/>
          <w:color w:val="000000"/>
        </w:rPr>
        <w:t>aims to measure the contribution to coastal eutrophication from countries and the state of coastal eutrophication. Therefore, two levels of indicators are recommended</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00EAFA31" w14:textId="77777777" w:rsidR="00756F0F" w:rsidRPr="00ED7E61" w:rsidRDefault="00756F0F" w:rsidP="00B10F0C">
      <w:pPr>
        <w:pStyle w:val="CBDNormalNumber"/>
        <w:numPr>
          <w:ilvl w:val="1"/>
          <w:numId w:val="76"/>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Level 1: Globally available data from earth observations and modelling </w:t>
      </w:r>
      <w:r w:rsidRPr="00ED7E61">
        <w:rPr>
          <w:rStyle w:val="normaltextrun"/>
        </w:rPr>
        <w:t> </w:t>
      </w:r>
    </w:p>
    <w:p w14:paraId="518CED29" w14:textId="77777777" w:rsidR="00756F0F" w:rsidRPr="00ED7E61" w:rsidRDefault="00756F0F" w:rsidP="00B10F0C">
      <w:pPr>
        <w:pStyle w:val="CBDNormalNumber"/>
        <w:numPr>
          <w:ilvl w:val="1"/>
          <w:numId w:val="76"/>
        </w:numPr>
        <w:tabs>
          <w:tab w:val="clear" w:pos="567"/>
          <w:tab w:val="clear" w:pos="1134"/>
          <w:tab w:val="clear" w:pos="2268"/>
          <w:tab w:val="left" w:pos="1985"/>
        </w:tabs>
        <w:ind w:left="567" w:firstLine="567"/>
        <w:rPr>
          <w:rStyle w:val="normaltextrun"/>
        </w:rPr>
      </w:pPr>
      <w:r w:rsidRPr="00ED7E61">
        <w:rPr>
          <w:rStyle w:val="normaltextrun"/>
          <w:rFonts w:eastAsiaTheme="majorEastAsia"/>
        </w:rPr>
        <w:t>Level 2: National data collected from countries (through the relevant Regional Seas Programme where applicable, that is, for countries that are a member of a Regional Seas Programme) </w:t>
      </w:r>
      <w:r w:rsidRPr="00ED7E61">
        <w:rPr>
          <w:rStyle w:val="normaltextrun"/>
        </w:rPr>
        <w:t> </w:t>
      </w:r>
    </w:p>
    <w:p w14:paraId="3A8267EA" w14:textId="77777777" w:rsidR="00BC612D" w:rsidRPr="00ED7E61" w:rsidRDefault="00BC612D" w:rsidP="00395866">
      <w:pPr>
        <w:pStyle w:val="paragraph"/>
        <w:spacing w:before="0" w:beforeAutospacing="0" w:after="0" w:afterAutospacing="0"/>
        <w:textAlignment w:val="baseline"/>
        <w:rPr>
          <w:rFonts w:asciiTheme="majorBidi" w:hAnsiTheme="majorBidi" w:cstheme="majorBid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15"/>
        <w:gridCol w:w="1050"/>
        <w:gridCol w:w="1035"/>
      </w:tblGrid>
      <w:tr w:rsidR="00756F0F" w:rsidRPr="00921920" w14:paraId="3B042A29" w14:textId="77777777" w:rsidTr="00756F0F">
        <w:trPr>
          <w:trHeight w:val="300"/>
        </w:trPr>
        <w:tc>
          <w:tcPr>
            <w:tcW w:w="6915" w:type="dxa"/>
            <w:tcBorders>
              <w:top w:val="single" w:sz="6" w:space="0" w:color="666666"/>
              <w:left w:val="single" w:sz="6" w:space="0" w:color="666666"/>
              <w:bottom w:val="single" w:sz="12" w:space="0" w:color="666666"/>
              <w:right w:val="single" w:sz="6" w:space="0" w:color="666666"/>
            </w:tcBorders>
            <w:hideMark/>
          </w:tcPr>
          <w:p w14:paraId="2673230D" w14:textId="77777777" w:rsidR="00756F0F" w:rsidRPr="00921920" w:rsidRDefault="00756F0F" w:rsidP="00395866">
            <w:pPr>
              <w:pStyle w:val="paragraph"/>
              <w:spacing w:before="0" w:beforeAutospacing="0" w:after="0" w:afterAutospacing="0"/>
              <w:jc w:val="center"/>
              <w:textAlignment w:val="baseline"/>
              <w:rPr>
                <w:rFonts w:asciiTheme="majorBidi" w:hAnsiTheme="majorBidi" w:cstheme="majorBidi"/>
                <w:i/>
                <w:iCs/>
                <w:color w:val="000000"/>
                <w:sz w:val="22"/>
                <w:szCs w:val="22"/>
              </w:rPr>
            </w:pPr>
            <w:r w:rsidRPr="00921920">
              <w:rPr>
                <w:rStyle w:val="normaltextrun"/>
                <w:rFonts w:asciiTheme="majorBidi" w:eastAsiaTheme="majorEastAsia" w:hAnsiTheme="majorBidi" w:cstheme="majorBidi"/>
                <w:i/>
                <w:iCs/>
                <w:color w:val="000000"/>
                <w:sz w:val="22"/>
                <w:szCs w:val="22"/>
                <w:lang w:val="en-GB"/>
              </w:rPr>
              <w:t>Monitoring parameters</w:t>
            </w:r>
            <w:r w:rsidRPr="00921920">
              <w:rPr>
                <w:rStyle w:val="eop"/>
                <w:rFonts w:asciiTheme="majorBidi" w:eastAsiaTheme="majorEastAsia" w:hAnsiTheme="majorBidi" w:cstheme="majorBidi"/>
                <w:i/>
                <w:iCs/>
                <w:color w:val="000000"/>
                <w:sz w:val="22"/>
                <w:szCs w:val="22"/>
              </w:rPr>
              <w:t> </w:t>
            </w:r>
          </w:p>
        </w:tc>
        <w:tc>
          <w:tcPr>
            <w:tcW w:w="1050" w:type="dxa"/>
            <w:tcBorders>
              <w:top w:val="single" w:sz="6" w:space="0" w:color="666666"/>
              <w:left w:val="single" w:sz="6" w:space="0" w:color="666666"/>
              <w:bottom w:val="single" w:sz="12" w:space="0" w:color="666666"/>
              <w:right w:val="single" w:sz="6" w:space="0" w:color="666666"/>
            </w:tcBorders>
            <w:hideMark/>
          </w:tcPr>
          <w:p w14:paraId="2A1470E8" w14:textId="77777777" w:rsidR="00756F0F" w:rsidRPr="00921920" w:rsidRDefault="00756F0F" w:rsidP="00395866">
            <w:pPr>
              <w:pStyle w:val="paragraph"/>
              <w:spacing w:before="0" w:beforeAutospacing="0" w:after="0" w:afterAutospacing="0"/>
              <w:jc w:val="center"/>
              <w:textAlignment w:val="baseline"/>
              <w:rPr>
                <w:rFonts w:asciiTheme="majorBidi" w:hAnsiTheme="majorBidi" w:cstheme="majorBidi"/>
                <w:i/>
                <w:iCs/>
                <w:color w:val="000000"/>
                <w:sz w:val="22"/>
                <w:szCs w:val="22"/>
              </w:rPr>
            </w:pPr>
            <w:r w:rsidRPr="00921920">
              <w:rPr>
                <w:rStyle w:val="normaltextrun"/>
                <w:rFonts w:asciiTheme="majorBidi" w:eastAsiaTheme="majorEastAsia" w:hAnsiTheme="majorBidi" w:cstheme="majorBidi"/>
                <w:i/>
                <w:iCs/>
                <w:color w:val="000000"/>
                <w:sz w:val="22"/>
                <w:szCs w:val="22"/>
                <w:lang w:val="en-GB"/>
              </w:rPr>
              <w:t>Level 1</w:t>
            </w:r>
            <w:r w:rsidRPr="00921920">
              <w:rPr>
                <w:rStyle w:val="eop"/>
                <w:rFonts w:asciiTheme="majorBidi" w:eastAsiaTheme="majorEastAsia" w:hAnsiTheme="majorBidi" w:cstheme="majorBidi"/>
                <w:i/>
                <w:iCs/>
                <w:color w:val="000000"/>
                <w:sz w:val="22"/>
                <w:szCs w:val="22"/>
              </w:rPr>
              <w:t> </w:t>
            </w:r>
          </w:p>
        </w:tc>
        <w:tc>
          <w:tcPr>
            <w:tcW w:w="1035" w:type="dxa"/>
            <w:tcBorders>
              <w:top w:val="single" w:sz="6" w:space="0" w:color="666666"/>
              <w:left w:val="single" w:sz="6" w:space="0" w:color="666666"/>
              <w:bottom w:val="single" w:sz="12" w:space="0" w:color="666666"/>
              <w:right w:val="single" w:sz="6" w:space="0" w:color="666666"/>
            </w:tcBorders>
            <w:hideMark/>
          </w:tcPr>
          <w:p w14:paraId="6D3C3D2F" w14:textId="77777777" w:rsidR="00756F0F" w:rsidRPr="00921920" w:rsidRDefault="00756F0F" w:rsidP="00395866">
            <w:pPr>
              <w:pStyle w:val="paragraph"/>
              <w:spacing w:before="0" w:beforeAutospacing="0" w:after="0" w:afterAutospacing="0"/>
              <w:jc w:val="center"/>
              <w:textAlignment w:val="baseline"/>
              <w:rPr>
                <w:rFonts w:asciiTheme="majorBidi" w:hAnsiTheme="majorBidi" w:cstheme="majorBidi"/>
                <w:i/>
                <w:iCs/>
                <w:color w:val="000000"/>
                <w:sz w:val="22"/>
                <w:szCs w:val="22"/>
              </w:rPr>
            </w:pPr>
            <w:r w:rsidRPr="00921920">
              <w:rPr>
                <w:rStyle w:val="normaltextrun"/>
                <w:rFonts w:asciiTheme="majorBidi" w:eastAsiaTheme="majorEastAsia" w:hAnsiTheme="majorBidi" w:cstheme="majorBidi"/>
                <w:i/>
                <w:iCs/>
                <w:color w:val="000000"/>
                <w:sz w:val="22"/>
                <w:szCs w:val="22"/>
                <w:lang w:val="en-GB"/>
              </w:rPr>
              <w:t>Level 2</w:t>
            </w:r>
            <w:r w:rsidRPr="00921920">
              <w:rPr>
                <w:rStyle w:val="eop"/>
                <w:rFonts w:asciiTheme="majorBidi" w:eastAsiaTheme="majorEastAsia" w:hAnsiTheme="majorBidi" w:cstheme="majorBidi"/>
                <w:i/>
                <w:iCs/>
                <w:color w:val="000000"/>
                <w:sz w:val="22"/>
                <w:szCs w:val="22"/>
              </w:rPr>
              <w:t> </w:t>
            </w:r>
          </w:p>
        </w:tc>
      </w:tr>
      <w:tr w:rsidR="00756F0F" w:rsidRPr="00ED7E61" w14:paraId="5559FAD9" w14:textId="77777777" w:rsidTr="00756F0F">
        <w:trPr>
          <w:trHeight w:val="300"/>
        </w:trPr>
        <w:tc>
          <w:tcPr>
            <w:tcW w:w="6915" w:type="dxa"/>
            <w:tcBorders>
              <w:top w:val="single" w:sz="6" w:space="0" w:color="666666"/>
              <w:left w:val="single" w:sz="6" w:space="0" w:color="666666"/>
              <w:bottom w:val="single" w:sz="6" w:space="0" w:color="666666"/>
              <w:right w:val="single" w:sz="6" w:space="0" w:color="666666"/>
            </w:tcBorders>
            <w:shd w:val="clear" w:color="auto" w:fill="CCCCCC"/>
            <w:hideMark/>
          </w:tcPr>
          <w:p w14:paraId="29D24AE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rPr>
            </w:pPr>
            <w:r w:rsidRPr="00ED7E61">
              <w:rPr>
                <w:rStyle w:val="normaltextrun"/>
                <w:rFonts w:asciiTheme="majorBidi" w:eastAsiaTheme="majorEastAsia" w:hAnsiTheme="majorBidi" w:cstheme="majorBidi"/>
                <w:b/>
                <w:bCs/>
                <w:color w:val="000000"/>
                <w:sz w:val="22"/>
                <w:szCs w:val="22"/>
                <w:lang w:val="en-US"/>
              </w:rPr>
              <w:t>Indicator for Coastal Eutrophication Potential (N and P loading)</w:t>
            </w:r>
            <w:r w:rsidRPr="00ED7E61">
              <w:rPr>
                <w:rStyle w:val="eop"/>
                <w:rFonts w:asciiTheme="majorBidi" w:eastAsiaTheme="majorEastAsia" w:hAnsiTheme="majorBidi" w:cstheme="majorBidi"/>
                <w:b/>
                <w:bCs/>
                <w:color w:val="000000"/>
                <w:sz w:val="22"/>
                <w:szCs w:val="22"/>
              </w:rPr>
              <w:t> </w:t>
            </w:r>
          </w:p>
        </w:tc>
        <w:tc>
          <w:tcPr>
            <w:tcW w:w="1050" w:type="dxa"/>
            <w:tcBorders>
              <w:top w:val="single" w:sz="6" w:space="0" w:color="666666"/>
              <w:left w:val="single" w:sz="6" w:space="0" w:color="666666"/>
              <w:bottom w:val="single" w:sz="6" w:space="0" w:color="666666"/>
              <w:right w:val="single" w:sz="6" w:space="0" w:color="666666"/>
            </w:tcBorders>
            <w:shd w:val="clear" w:color="auto" w:fill="CCCCCC"/>
            <w:hideMark/>
          </w:tcPr>
          <w:p w14:paraId="03912C62"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rPr>
            </w:pPr>
            <w:r w:rsidRPr="00ED7E61">
              <w:rPr>
                <w:rStyle w:val="normaltextrun"/>
                <w:rFonts w:asciiTheme="majorBidi" w:eastAsiaTheme="majorEastAsia" w:hAnsiTheme="majorBidi" w:cstheme="majorBidi"/>
                <w:color w:val="000000"/>
                <w:sz w:val="22"/>
                <w:szCs w:val="22"/>
                <w:lang w:val="en-GB"/>
              </w:rPr>
              <w:t>X</w:t>
            </w:r>
            <w:r w:rsidRPr="00ED7E61">
              <w:rPr>
                <w:rStyle w:val="eop"/>
                <w:rFonts w:asciiTheme="majorBidi" w:eastAsiaTheme="majorEastAsia" w:hAnsiTheme="majorBidi" w:cstheme="majorBidi"/>
                <w:color w:val="000000"/>
                <w:sz w:val="22"/>
                <w:szCs w:val="22"/>
              </w:rPr>
              <w:t> </w:t>
            </w:r>
          </w:p>
        </w:tc>
        <w:tc>
          <w:tcPr>
            <w:tcW w:w="1035" w:type="dxa"/>
            <w:tcBorders>
              <w:top w:val="single" w:sz="6" w:space="0" w:color="666666"/>
              <w:left w:val="single" w:sz="6" w:space="0" w:color="666666"/>
              <w:bottom w:val="single" w:sz="6" w:space="0" w:color="666666"/>
              <w:right w:val="single" w:sz="6" w:space="0" w:color="666666"/>
            </w:tcBorders>
            <w:shd w:val="clear" w:color="auto" w:fill="CCCCCC"/>
            <w:hideMark/>
          </w:tcPr>
          <w:p w14:paraId="73606D9C"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rPr>
            </w:pPr>
            <w:r w:rsidRPr="00ED7E61">
              <w:rPr>
                <w:rStyle w:val="eop"/>
                <w:rFonts w:asciiTheme="majorBidi" w:eastAsiaTheme="majorEastAsia" w:hAnsiTheme="majorBidi" w:cstheme="majorBidi"/>
                <w:color w:val="000000"/>
                <w:sz w:val="22"/>
                <w:szCs w:val="22"/>
              </w:rPr>
              <w:t> </w:t>
            </w:r>
          </w:p>
        </w:tc>
      </w:tr>
      <w:tr w:rsidR="00756F0F" w:rsidRPr="00ED7E61" w14:paraId="04831E1D" w14:textId="77777777" w:rsidTr="00756F0F">
        <w:trPr>
          <w:trHeight w:val="300"/>
        </w:trPr>
        <w:tc>
          <w:tcPr>
            <w:tcW w:w="6915" w:type="dxa"/>
            <w:tcBorders>
              <w:top w:val="single" w:sz="6" w:space="0" w:color="666666"/>
              <w:left w:val="single" w:sz="6" w:space="0" w:color="666666"/>
              <w:bottom w:val="single" w:sz="6" w:space="0" w:color="666666"/>
              <w:right w:val="single" w:sz="6" w:space="0" w:color="666666"/>
            </w:tcBorders>
            <w:hideMark/>
          </w:tcPr>
          <w:p w14:paraId="77F9365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rPr>
            </w:pPr>
            <w:r w:rsidRPr="00ED7E61">
              <w:rPr>
                <w:rStyle w:val="normaltextrun"/>
                <w:rFonts w:asciiTheme="majorBidi" w:eastAsiaTheme="majorEastAsia" w:hAnsiTheme="majorBidi" w:cstheme="majorBidi"/>
                <w:b/>
                <w:bCs/>
                <w:color w:val="000000"/>
                <w:sz w:val="22"/>
                <w:szCs w:val="22"/>
                <w:lang w:val="en-US"/>
              </w:rPr>
              <w:t>National modelling of indicator for Coastal Eutrophication Potential (ICEP) </w:t>
            </w:r>
            <w:r w:rsidRPr="00ED7E61">
              <w:rPr>
                <w:rStyle w:val="eop"/>
                <w:rFonts w:asciiTheme="majorBidi" w:eastAsiaTheme="majorEastAsia" w:hAnsiTheme="majorBidi" w:cstheme="majorBidi"/>
                <w:b/>
                <w:bCs/>
                <w:color w:val="000000"/>
                <w:sz w:val="22"/>
                <w:szCs w:val="22"/>
              </w:rPr>
              <w:t> </w:t>
            </w:r>
          </w:p>
        </w:tc>
        <w:tc>
          <w:tcPr>
            <w:tcW w:w="1050" w:type="dxa"/>
            <w:tcBorders>
              <w:top w:val="single" w:sz="6" w:space="0" w:color="666666"/>
              <w:left w:val="single" w:sz="6" w:space="0" w:color="666666"/>
              <w:bottom w:val="single" w:sz="6" w:space="0" w:color="666666"/>
              <w:right w:val="single" w:sz="6" w:space="0" w:color="666666"/>
            </w:tcBorders>
            <w:hideMark/>
          </w:tcPr>
          <w:p w14:paraId="2EA77E54"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rPr>
            </w:pPr>
            <w:r w:rsidRPr="00ED7E61">
              <w:rPr>
                <w:rStyle w:val="eop"/>
                <w:rFonts w:asciiTheme="majorBidi" w:eastAsiaTheme="majorEastAsia" w:hAnsiTheme="majorBidi" w:cstheme="majorBidi"/>
                <w:color w:val="000000"/>
                <w:sz w:val="22"/>
                <w:szCs w:val="22"/>
              </w:rPr>
              <w:t> </w:t>
            </w:r>
          </w:p>
        </w:tc>
        <w:tc>
          <w:tcPr>
            <w:tcW w:w="1035" w:type="dxa"/>
            <w:tcBorders>
              <w:top w:val="single" w:sz="6" w:space="0" w:color="666666"/>
              <w:left w:val="single" w:sz="6" w:space="0" w:color="666666"/>
              <w:bottom w:val="single" w:sz="6" w:space="0" w:color="666666"/>
              <w:right w:val="single" w:sz="6" w:space="0" w:color="666666"/>
            </w:tcBorders>
            <w:hideMark/>
          </w:tcPr>
          <w:p w14:paraId="6AA62FC2"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rPr>
            </w:pPr>
            <w:r w:rsidRPr="00ED7E61">
              <w:rPr>
                <w:rStyle w:val="normaltextrun"/>
                <w:rFonts w:asciiTheme="majorBidi" w:eastAsiaTheme="majorEastAsia" w:hAnsiTheme="majorBidi" w:cstheme="majorBidi"/>
                <w:color w:val="000000"/>
                <w:sz w:val="22"/>
                <w:szCs w:val="22"/>
                <w:lang w:val="en-GB"/>
              </w:rPr>
              <w:t>X</w:t>
            </w:r>
            <w:r w:rsidRPr="00ED7E61">
              <w:rPr>
                <w:rStyle w:val="eop"/>
                <w:rFonts w:asciiTheme="majorBidi" w:eastAsiaTheme="majorEastAsia" w:hAnsiTheme="majorBidi" w:cstheme="majorBidi"/>
                <w:color w:val="000000"/>
                <w:sz w:val="22"/>
                <w:szCs w:val="22"/>
              </w:rPr>
              <w:t> </w:t>
            </w:r>
          </w:p>
        </w:tc>
      </w:tr>
    </w:tbl>
    <w:p w14:paraId="299F41E8" w14:textId="77777777" w:rsidR="00BC612D" w:rsidRPr="00ED7E61" w:rsidRDefault="00BC612D"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p>
    <w:p w14:paraId="352702F2" w14:textId="37D9625C"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lastRenderedPageBreak/>
        <w:t>Unit</w:t>
      </w:r>
      <w:r w:rsidRPr="00ED7E61">
        <w:rPr>
          <w:rStyle w:val="normaltextrun"/>
          <w:rFonts w:asciiTheme="majorBidi" w:eastAsiaTheme="majorEastAsia" w:hAnsiTheme="majorBidi" w:cstheme="majorBidi"/>
        </w:rPr>
        <w:t xml:space="preserve"> of measure: Indicator for Coastal Eutrophication Potential (ICEP): kilograms of carbon (from algae biomass) per square kilometre of river basin area per day (kg C km</w:t>
      </w:r>
      <w:r w:rsidRPr="00ED7E61">
        <w:rPr>
          <w:rStyle w:val="normaltextrun"/>
          <w:rFonts w:asciiTheme="majorBidi" w:eastAsiaTheme="majorEastAsia" w:hAnsiTheme="majorBidi" w:cstheme="majorBidi"/>
          <w:vertAlign w:val="superscript"/>
        </w:rPr>
        <w:t>-2</w:t>
      </w:r>
      <w:r w:rsidRPr="00ED7E61">
        <w:rPr>
          <w:rStyle w:val="normaltextrun"/>
          <w:rFonts w:asciiTheme="majorBidi" w:eastAsiaTheme="majorEastAsia" w:hAnsiTheme="majorBidi" w:cstheme="majorBidi"/>
        </w:rPr>
        <w:t xml:space="preserve"> day</w:t>
      </w:r>
      <w:r w:rsidRPr="00ED7E61">
        <w:rPr>
          <w:rStyle w:val="normaltextrun"/>
          <w:rFonts w:asciiTheme="majorBidi" w:eastAsiaTheme="majorEastAsia" w:hAnsiTheme="majorBidi" w:cstheme="majorBidi"/>
          <w:vertAlign w:val="superscript"/>
        </w:rPr>
        <w:t>-1</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34A8D18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4B7B438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Level 1: Indicator for coastal eutrophication potential</w:t>
      </w:r>
      <w:r w:rsidRPr="00ED7E61">
        <w:rPr>
          <w:rStyle w:val="eop"/>
          <w:rFonts w:asciiTheme="majorBidi" w:eastAsiaTheme="majorEastAsia" w:hAnsiTheme="majorBidi" w:cstheme="majorBidi"/>
          <w:sz w:val="22"/>
          <w:szCs w:val="22"/>
        </w:rPr>
        <w:t> </w:t>
      </w:r>
    </w:p>
    <w:p w14:paraId="10ED396A" w14:textId="73302AD3" w:rsidR="00694186" w:rsidRPr="00ED7E61" w:rsidRDefault="00756F0F" w:rsidP="00B10F0C">
      <w:pPr>
        <w:pStyle w:val="CBDNormalNumber"/>
        <w:numPr>
          <w:ilvl w:val="0"/>
          <w:numId w:val="76"/>
        </w:numPr>
        <w:ind w:left="567" w:firstLine="0"/>
        <w:rPr>
          <w:rFonts w:asciiTheme="majorBidi" w:hAnsiTheme="majorBidi" w:cstheme="majorBidi"/>
        </w:rPr>
      </w:pPr>
      <w:r w:rsidRPr="00ED7E61">
        <w:rPr>
          <w:color w:val="000000" w:themeColor="text1"/>
          <w:lang w:val="en-US"/>
        </w:rPr>
        <w:t>This</w:t>
      </w:r>
      <w:r w:rsidRPr="00ED7E61">
        <w:rPr>
          <w:rStyle w:val="normaltextrun"/>
          <w:rFonts w:asciiTheme="majorBidi" w:eastAsiaTheme="majorEastAsia" w:hAnsiTheme="majorBidi" w:cstheme="majorBidi"/>
        </w:rPr>
        <w:t xml:space="preserve"> indicator is based on loads and ratios of nitrogen, phosphorous and silica delivered by rivers to coastal waters (Garnier et al. 2010), which contribute to the ICEP. The basis for these loads is collected from land-based assessments of land use including fertilizer use, population density, socioeconomic factors and other contributors to nutrient pollution runoff. Given the land-based nature of the indicator, it provides a modelled number indicating the risk of coastal eutrophication at a specific river mouth. The indicator can be further developed by incorporating </w:t>
      </w:r>
      <w:r w:rsidRPr="00ED7E61">
        <w:rPr>
          <w:rStyle w:val="normaltextrun"/>
          <w:rFonts w:asciiTheme="majorBidi" w:eastAsiaTheme="majorEastAsia" w:hAnsiTheme="majorBidi" w:cstheme="majorBidi"/>
          <w:i/>
          <w:iCs/>
        </w:rPr>
        <w:t>in situ</w:t>
      </w:r>
      <w:r w:rsidRPr="00ED7E61">
        <w:rPr>
          <w:rStyle w:val="normaltextrun"/>
          <w:rFonts w:asciiTheme="majorBidi" w:eastAsiaTheme="majorEastAsia" w:hAnsiTheme="majorBidi" w:cstheme="majorBidi"/>
        </w:rPr>
        <w:t xml:space="preserve"> monitoring to evaluate the dispersion of concentrations of nitrogen, phosphorous and silica to ground-truth the index. The indicator assumes that excess concentrations of nitrogen or phosphorus relative to silica will result in increased growth of potentially harmful algae (ICEP &gt; 0). ICEP is expressed in kilograms of carbon (from algae biomass) per square kilometre of river basin area per day (kg C km</w:t>
      </w:r>
      <w:r w:rsidRPr="00ED7E61">
        <w:rPr>
          <w:rStyle w:val="normaltextrun"/>
          <w:rFonts w:asciiTheme="majorBidi" w:eastAsiaTheme="majorEastAsia" w:hAnsiTheme="majorBidi" w:cstheme="majorBidi"/>
          <w:vertAlign w:val="superscript"/>
        </w:rPr>
        <w:t>-2</w:t>
      </w:r>
      <w:r w:rsidRPr="00ED7E61">
        <w:rPr>
          <w:rStyle w:val="normaltextrun"/>
          <w:rFonts w:asciiTheme="majorBidi" w:eastAsiaTheme="majorEastAsia" w:hAnsiTheme="majorBidi" w:cstheme="majorBidi"/>
        </w:rPr>
        <w:t xml:space="preserve"> day</w:t>
      </w:r>
      <w:r w:rsidRPr="00ED7E61">
        <w:rPr>
          <w:rStyle w:val="normaltextrun"/>
          <w:rFonts w:asciiTheme="majorBidi" w:eastAsiaTheme="majorEastAsia" w:hAnsiTheme="majorBidi" w:cstheme="majorBidi"/>
          <w:vertAlign w:val="superscript"/>
        </w:rPr>
        <w:t>-1</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145D398B" w14:textId="77777777" w:rsidR="00756F0F" w:rsidRPr="00ED7E61" w:rsidRDefault="00756F0F" w:rsidP="00B10F0C">
      <w:pPr>
        <w:pStyle w:val="CBDNormalNumber"/>
        <w:numPr>
          <w:ilvl w:val="0"/>
          <w:numId w:val="76"/>
        </w:numPr>
        <w:ind w:left="567" w:firstLine="0"/>
        <w:jc w:val="left"/>
        <w:rPr>
          <w:rStyle w:val="eop"/>
          <w:rFonts w:asciiTheme="majorBidi" w:eastAsiaTheme="majorEastAsia" w:hAnsiTheme="majorBidi" w:cstheme="majorBidi"/>
        </w:rPr>
      </w:pPr>
      <w:r w:rsidRPr="00ED7E61">
        <w:rPr>
          <w:rStyle w:val="normaltextrun"/>
          <w:rFonts w:asciiTheme="majorBidi" w:eastAsiaTheme="majorEastAsia" w:hAnsiTheme="majorBidi" w:cstheme="majorBidi"/>
        </w:rPr>
        <w:t>The ICEP model is calculated using one of two equations depending on whether nitrogen or phosphorus is limiting. The equations (Billen and Garnier 2007) are:</w:t>
      </w:r>
      <w:r w:rsidRPr="00ED7E61">
        <w:rPr>
          <w:rStyle w:val="eop"/>
          <w:rFonts w:asciiTheme="majorBidi" w:eastAsiaTheme="majorEastAsia" w:hAnsiTheme="majorBidi" w:cstheme="majorBidi"/>
        </w:rPr>
        <w:t> </w:t>
      </w:r>
    </w:p>
    <w:p w14:paraId="099ED2B8" w14:textId="77777777" w:rsidR="00930B9B" w:rsidRPr="00ED7E61" w:rsidRDefault="00930B9B" w:rsidP="00930B9B">
      <w:pPr>
        <w:pStyle w:val="MText"/>
        <w:spacing w:after="240"/>
        <w:rPr>
          <w:rFonts w:ascii="Calibri" w:hAnsi="Calibri" w:cs="Calibri"/>
          <w:i/>
          <w:color w:val="auto"/>
          <w:sz w:val="20"/>
          <w:szCs w:val="20"/>
        </w:rPr>
      </w:pPr>
      <m:oMathPara>
        <m:oMath>
          <m:r>
            <w:rPr>
              <w:rFonts w:ascii="Cambria Math" w:hAnsi="Cambria Math" w:cs="Calibri"/>
              <w:color w:val="auto"/>
              <w:sz w:val="20"/>
              <w:szCs w:val="20"/>
            </w:rPr>
            <m:t xml:space="preserve">ICEP </m:t>
          </m:r>
          <m:d>
            <m:dPr>
              <m:ctrlPr>
                <w:rPr>
                  <w:rFonts w:ascii="Cambria Math" w:hAnsi="Cambria Math" w:cs="Calibri"/>
                  <w:i/>
                  <w:color w:val="auto"/>
                  <w:sz w:val="20"/>
                  <w:szCs w:val="20"/>
                </w:rPr>
              </m:ctrlPr>
            </m:dPr>
            <m:e>
              <m:r>
                <w:rPr>
                  <w:rFonts w:ascii="Cambria Math" w:hAnsi="Cambria Math" w:cs="Calibri"/>
                  <w:color w:val="auto"/>
                  <w:sz w:val="20"/>
                  <w:szCs w:val="20"/>
                </w:rPr>
                <m:t>N limiting</m:t>
              </m:r>
            </m:e>
          </m:d>
          <m:r>
            <w:rPr>
              <w:rFonts w:ascii="Cambria Math" w:hAnsi="Cambria Math" w:cs="Calibri"/>
              <w:color w:val="auto"/>
              <w:sz w:val="20"/>
              <w:szCs w:val="20"/>
            </w:rPr>
            <m:t>= [NFlx/(14*16)-SiFlx/(28*20)]*106*12</m:t>
          </m:r>
        </m:oMath>
      </m:oMathPara>
    </w:p>
    <w:p w14:paraId="2D069531" w14:textId="77777777" w:rsidR="00930B9B" w:rsidRPr="00ED7E61" w:rsidRDefault="00930B9B" w:rsidP="00930B9B">
      <w:pPr>
        <w:pStyle w:val="MText"/>
        <w:spacing w:after="240"/>
        <w:rPr>
          <w:rFonts w:ascii="Calibri" w:hAnsi="Calibri" w:cs="Calibri"/>
          <w:i/>
          <w:iCs/>
          <w:color w:val="auto"/>
          <w:sz w:val="20"/>
          <w:szCs w:val="20"/>
        </w:rPr>
      </w:pPr>
      <m:oMathPara>
        <m:oMath>
          <m:r>
            <w:rPr>
              <w:rFonts w:ascii="Cambria Math" w:hAnsi="Cambria Math" w:cs="Calibri"/>
              <w:color w:val="auto"/>
              <w:sz w:val="20"/>
              <w:szCs w:val="20"/>
            </w:rPr>
            <m:t>ICEP (P limiting) = [PFlx/31 - SiFlx/(28*20)]*106*12</m:t>
          </m:r>
        </m:oMath>
      </m:oMathPara>
    </w:p>
    <w:p w14:paraId="7B279D45" w14:textId="77777777" w:rsidR="00756F0F" w:rsidRPr="00ED7E61" w:rsidRDefault="00756F0F" w:rsidP="005B0D1E">
      <w:pPr>
        <w:pStyle w:val="paragraph"/>
        <w:spacing w:before="0" w:beforeAutospacing="0" w:after="0" w:afterAutospacing="0"/>
        <w:ind w:left="567"/>
        <w:textAlignment w:val="baseline"/>
        <w:rPr>
          <w:rFonts w:asciiTheme="majorBidi" w:hAnsiTheme="majorBidi" w:cstheme="majorBidi"/>
          <w:color w:val="000000" w:themeColor="text1"/>
          <w:sz w:val="22"/>
          <w:szCs w:val="22"/>
        </w:rPr>
      </w:pPr>
      <w:r w:rsidRPr="00ED7E61">
        <w:rPr>
          <w:rStyle w:val="normaltextrun"/>
          <w:rFonts w:asciiTheme="majorBidi" w:eastAsiaTheme="majorEastAsia" w:hAnsiTheme="majorBidi" w:cstheme="majorBidi"/>
          <w:color w:val="000000" w:themeColor="text1"/>
          <w:sz w:val="22"/>
          <w:szCs w:val="22"/>
          <w:lang w:val="en-GB"/>
        </w:rPr>
        <w:t xml:space="preserve">where </w:t>
      </w:r>
      <w:proofErr w:type="spellStart"/>
      <w:r w:rsidRPr="00ED7E61">
        <w:rPr>
          <w:rStyle w:val="normaltextrun"/>
          <w:rFonts w:asciiTheme="majorBidi" w:eastAsiaTheme="majorEastAsia" w:hAnsiTheme="majorBidi" w:cstheme="majorBidi"/>
          <w:i/>
          <w:iCs/>
          <w:color w:val="000000" w:themeColor="text1"/>
          <w:sz w:val="22"/>
          <w:szCs w:val="22"/>
          <w:lang w:val="en-GB"/>
        </w:rPr>
        <w:t>PFlx</w:t>
      </w:r>
      <w:proofErr w:type="spellEnd"/>
      <w:r w:rsidRPr="00ED7E61">
        <w:rPr>
          <w:rStyle w:val="normaltextrun"/>
          <w:rFonts w:asciiTheme="majorBidi" w:eastAsiaTheme="majorEastAsia" w:hAnsiTheme="majorBidi" w:cstheme="majorBidi"/>
          <w:i/>
          <w:iCs/>
          <w:color w:val="000000" w:themeColor="text1"/>
          <w:sz w:val="22"/>
          <w:szCs w:val="22"/>
          <w:lang w:val="en-GB"/>
        </w:rPr>
        <w:t xml:space="preserve">, </w:t>
      </w:r>
      <w:proofErr w:type="spellStart"/>
      <w:r w:rsidRPr="00ED7E61">
        <w:rPr>
          <w:rStyle w:val="normaltextrun"/>
          <w:rFonts w:asciiTheme="majorBidi" w:eastAsiaTheme="majorEastAsia" w:hAnsiTheme="majorBidi" w:cstheme="majorBidi"/>
          <w:i/>
          <w:iCs/>
          <w:color w:val="000000" w:themeColor="text1"/>
          <w:sz w:val="22"/>
          <w:szCs w:val="22"/>
          <w:lang w:val="en-GB"/>
        </w:rPr>
        <w:t>NFlx</w:t>
      </w:r>
      <w:proofErr w:type="spellEnd"/>
      <w:r w:rsidRPr="00ED7E61">
        <w:rPr>
          <w:rStyle w:val="normaltextrun"/>
          <w:rFonts w:asciiTheme="majorBidi" w:eastAsiaTheme="majorEastAsia" w:hAnsiTheme="majorBidi" w:cstheme="majorBidi"/>
          <w:color w:val="000000" w:themeColor="text1"/>
          <w:sz w:val="22"/>
          <w:szCs w:val="22"/>
          <w:lang w:val="en-GB"/>
        </w:rPr>
        <w:t xml:space="preserve"> and </w:t>
      </w:r>
      <w:proofErr w:type="spellStart"/>
      <w:r w:rsidRPr="00ED7E61">
        <w:rPr>
          <w:rStyle w:val="normaltextrun"/>
          <w:rFonts w:asciiTheme="majorBidi" w:eastAsiaTheme="majorEastAsia" w:hAnsiTheme="majorBidi" w:cstheme="majorBidi"/>
          <w:i/>
          <w:iCs/>
          <w:color w:val="000000" w:themeColor="text1"/>
          <w:sz w:val="22"/>
          <w:szCs w:val="22"/>
          <w:lang w:val="en-GB"/>
        </w:rPr>
        <w:t>SiFlx</w:t>
      </w:r>
      <w:proofErr w:type="spellEnd"/>
      <w:r w:rsidRPr="00ED7E61">
        <w:rPr>
          <w:rStyle w:val="normaltextrun"/>
          <w:rFonts w:asciiTheme="majorBidi" w:eastAsiaTheme="majorEastAsia" w:hAnsiTheme="majorBidi" w:cstheme="majorBidi"/>
          <w:color w:val="000000" w:themeColor="text1"/>
          <w:sz w:val="22"/>
          <w:szCs w:val="22"/>
          <w:lang w:val="en-GB"/>
        </w:rPr>
        <w:t xml:space="preserve"> are respectively the mean specific values of total nitrogen, total phosphorus and dissolved silica delivered at the mouth of the river basin, expressed in </w:t>
      </w:r>
      <w:r w:rsidRPr="00ED7E61">
        <w:rPr>
          <w:rStyle w:val="normaltextrun"/>
          <w:rFonts w:asciiTheme="majorBidi" w:eastAsiaTheme="majorEastAsia" w:hAnsiTheme="majorBidi" w:cstheme="majorBidi"/>
          <w:i/>
          <w:iCs/>
          <w:color w:val="000000" w:themeColor="text1"/>
          <w:sz w:val="22"/>
          <w:szCs w:val="22"/>
          <w:lang w:val="en-GB"/>
        </w:rPr>
        <w:t>kg P km</w:t>
      </w:r>
      <w:r w:rsidRPr="00ED7E61">
        <w:rPr>
          <w:rStyle w:val="normaltextrun"/>
          <w:rFonts w:asciiTheme="majorBidi" w:eastAsiaTheme="majorEastAsia" w:hAnsiTheme="majorBidi" w:cstheme="majorBidi"/>
          <w:i/>
          <w:iCs/>
          <w:color w:val="000000" w:themeColor="text1"/>
          <w:sz w:val="22"/>
          <w:szCs w:val="22"/>
          <w:vertAlign w:val="superscript"/>
          <w:lang w:val="en-GB"/>
        </w:rPr>
        <w:t>-2</w:t>
      </w:r>
      <w:r w:rsidRPr="00ED7E61">
        <w:rPr>
          <w:rStyle w:val="normaltextrun"/>
          <w:rFonts w:asciiTheme="majorBidi" w:eastAsiaTheme="majorEastAsia" w:hAnsiTheme="majorBidi" w:cstheme="majorBidi"/>
          <w:i/>
          <w:iCs/>
          <w:color w:val="000000" w:themeColor="text1"/>
          <w:sz w:val="22"/>
          <w:szCs w:val="22"/>
          <w:lang w:val="en-GB"/>
        </w:rPr>
        <w:t xml:space="preserve"> day</w:t>
      </w:r>
      <w:r w:rsidRPr="00ED7E61">
        <w:rPr>
          <w:rStyle w:val="normaltextrun"/>
          <w:rFonts w:asciiTheme="majorBidi" w:eastAsiaTheme="majorEastAsia" w:hAnsiTheme="majorBidi" w:cstheme="majorBidi"/>
          <w:i/>
          <w:iCs/>
          <w:color w:val="000000" w:themeColor="text1"/>
          <w:sz w:val="22"/>
          <w:szCs w:val="22"/>
          <w:vertAlign w:val="superscript"/>
          <w:lang w:val="en-GB"/>
        </w:rPr>
        <w:t>-1</w:t>
      </w:r>
      <w:r w:rsidRPr="00ED7E61">
        <w:rPr>
          <w:rStyle w:val="normaltextrun"/>
          <w:rFonts w:asciiTheme="majorBidi" w:eastAsiaTheme="majorEastAsia" w:hAnsiTheme="majorBidi" w:cstheme="majorBidi"/>
          <w:color w:val="000000" w:themeColor="text1"/>
          <w:sz w:val="22"/>
          <w:szCs w:val="22"/>
          <w:lang w:val="en-GB"/>
        </w:rPr>
        <w:t xml:space="preserve">, in </w:t>
      </w:r>
      <w:r w:rsidRPr="00ED7E61">
        <w:rPr>
          <w:rStyle w:val="normaltextrun"/>
          <w:rFonts w:asciiTheme="majorBidi" w:eastAsiaTheme="majorEastAsia" w:hAnsiTheme="majorBidi" w:cstheme="majorBidi"/>
          <w:i/>
          <w:iCs/>
          <w:color w:val="000000" w:themeColor="text1"/>
          <w:sz w:val="22"/>
          <w:szCs w:val="22"/>
          <w:lang w:val="en-GB"/>
        </w:rPr>
        <w:t>kg N km</w:t>
      </w:r>
      <w:r w:rsidRPr="00ED7E61">
        <w:rPr>
          <w:rStyle w:val="normaltextrun"/>
          <w:rFonts w:asciiTheme="majorBidi" w:eastAsiaTheme="majorEastAsia" w:hAnsiTheme="majorBidi" w:cstheme="majorBidi"/>
          <w:i/>
          <w:iCs/>
          <w:color w:val="000000" w:themeColor="text1"/>
          <w:sz w:val="22"/>
          <w:szCs w:val="22"/>
          <w:vertAlign w:val="superscript"/>
          <w:lang w:val="en-GB"/>
        </w:rPr>
        <w:t>-2</w:t>
      </w:r>
      <w:r w:rsidRPr="00ED7E61">
        <w:rPr>
          <w:rStyle w:val="normaltextrun"/>
          <w:rFonts w:asciiTheme="majorBidi" w:eastAsiaTheme="majorEastAsia" w:hAnsiTheme="majorBidi" w:cstheme="majorBidi"/>
          <w:i/>
          <w:iCs/>
          <w:color w:val="000000" w:themeColor="text1"/>
          <w:sz w:val="22"/>
          <w:szCs w:val="22"/>
          <w:lang w:val="en-GB"/>
        </w:rPr>
        <w:t xml:space="preserve"> day</w:t>
      </w:r>
      <w:r w:rsidRPr="00ED7E61">
        <w:rPr>
          <w:rStyle w:val="normaltextrun"/>
          <w:rFonts w:asciiTheme="majorBidi" w:eastAsiaTheme="majorEastAsia" w:hAnsiTheme="majorBidi" w:cstheme="majorBidi"/>
          <w:i/>
          <w:iCs/>
          <w:color w:val="000000" w:themeColor="text1"/>
          <w:sz w:val="22"/>
          <w:szCs w:val="22"/>
          <w:vertAlign w:val="superscript"/>
          <w:lang w:val="en-GB"/>
        </w:rPr>
        <w:t>-1</w:t>
      </w:r>
      <w:r w:rsidRPr="00ED7E61">
        <w:rPr>
          <w:rStyle w:val="normaltextrun"/>
          <w:rFonts w:asciiTheme="majorBidi" w:eastAsiaTheme="majorEastAsia" w:hAnsiTheme="majorBidi" w:cstheme="majorBidi"/>
          <w:color w:val="000000" w:themeColor="text1"/>
          <w:sz w:val="22"/>
          <w:szCs w:val="22"/>
          <w:lang w:val="en-GB"/>
        </w:rPr>
        <w:t xml:space="preserve"> and </w:t>
      </w:r>
      <w:r w:rsidRPr="00ED7E61">
        <w:rPr>
          <w:rStyle w:val="normaltextrun"/>
          <w:rFonts w:asciiTheme="majorBidi" w:eastAsiaTheme="majorEastAsia" w:hAnsiTheme="majorBidi" w:cstheme="majorBidi"/>
          <w:i/>
          <w:iCs/>
          <w:color w:val="000000" w:themeColor="text1"/>
          <w:sz w:val="22"/>
          <w:szCs w:val="22"/>
          <w:lang w:val="en-GB"/>
        </w:rPr>
        <w:t>in kg Si km</w:t>
      </w:r>
      <w:r w:rsidRPr="00ED7E61">
        <w:rPr>
          <w:rStyle w:val="normaltextrun"/>
          <w:rFonts w:asciiTheme="majorBidi" w:eastAsiaTheme="majorEastAsia" w:hAnsiTheme="majorBidi" w:cstheme="majorBidi"/>
          <w:i/>
          <w:iCs/>
          <w:color w:val="000000" w:themeColor="text1"/>
          <w:sz w:val="22"/>
          <w:szCs w:val="22"/>
          <w:vertAlign w:val="superscript"/>
          <w:lang w:val="en-GB"/>
        </w:rPr>
        <w:t>-2</w:t>
      </w:r>
      <w:r w:rsidRPr="00ED7E61">
        <w:rPr>
          <w:rStyle w:val="normaltextrun"/>
          <w:rFonts w:asciiTheme="majorBidi" w:eastAsiaTheme="majorEastAsia" w:hAnsiTheme="majorBidi" w:cstheme="majorBidi"/>
          <w:i/>
          <w:iCs/>
          <w:color w:val="000000" w:themeColor="text1"/>
          <w:sz w:val="22"/>
          <w:szCs w:val="22"/>
          <w:lang w:val="en-GB"/>
        </w:rPr>
        <w:t xml:space="preserve"> day</w:t>
      </w:r>
      <w:r w:rsidRPr="00ED7E61">
        <w:rPr>
          <w:rStyle w:val="normaltextrun"/>
          <w:rFonts w:asciiTheme="majorBidi" w:eastAsiaTheme="majorEastAsia" w:hAnsiTheme="majorBidi" w:cstheme="majorBidi"/>
          <w:i/>
          <w:iCs/>
          <w:color w:val="000000" w:themeColor="text1"/>
          <w:sz w:val="22"/>
          <w:szCs w:val="22"/>
          <w:vertAlign w:val="superscript"/>
          <w:lang w:val="en-GB"/>
        </w:rPr>
        <w:t>-1</w:t>
      </w:r>
      <w:r w:rsidRPr="00ED7E61">
        <w:rPr>
          <w:rStyle w:val="normaltextrun"/>
          <w:rFonts w:asciiTheme="majorBidi" w:eastAsiaTheme="majorEastAsia" w:hAnsiTheme="majorBidi" w:cstheme="majorBidi"/>
          <w:color w:val="000000" w:themeColor="text1"/>
          <w:sz w:val="22"/>
          <w:szCs w:val="22"/>
          <w:lang w:val="en-GB"/>
        </w:rPr>
        <w:t>.</w:t>
      </w:r>
      <w:r w:rsidRPr="00ED7E61">
        <w:rPr>
          <w:rStyle w:val="eop"/>
          <w:rFonts w:asciiTheme="majorBidi" w:eastAsiaTheme="majorEastAsia" w:hAnsiTheme="majorBidi" w:cstheme="majorBidi"/>
          <w:color w:val="000000" w:themeColor="text1"/>
          <w:sz w:val="22"/>
          <w:szCs w:val="22"/>
        </w:rPr>
        <w:t> </w:t>
      </w:r>
    </w:p>
    <w:p w14:paraId="09DAECDB" w14:textId="77777777" w:rsidR="00694186" w:rsidRPr="00ED7E61" w:rsidRDefault="00694186" w:rsidP="00395866">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39C95E9F" w14:textId="0F74AB43"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Level 2: National ICEP modelling </w:t>
      </w:r>
      <w:r w:rsidRPr="00ED7E61">
        <w:rPr>
          <w:rStyle w:val="eop"/>
          <w:rFonts w:asciiTheme="majorBidi" w:eastAsiaTheme="majorEastAsia" w:hAnsiTheme="majorBidi" w:cstheme="majorBidi"/>
          <w:sz w:val="22"/>
          <w:szCs w:val="22"/>
        </w:rPr>
        <w:t> </w:t>
      </w:r>
    </w:p>
    <w:p w14:paraId="7D3FCBA8"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Existing</w:t>
      </w:r>
      <w:r w:rsidRPr="00ED7E61">
        <w:rPr>
          <w:rStyle w:val="normaltextrun"/>
          <w:rFonts w:asciiTheme="majorBidi" w:eastAsiaTheme="majorEastAsia" w:hAnsiTheme="majorBidi" w:cstheme="majorBidi"/>
        </w:rPr>
        <w:t xml:space="preserve"> ICEP modelling at the national level is limited but could be further developed following the model of a current study analysing basin level data in Chinese rivers (</w:t>
      </w:r>
      <w:proofErr w:type="spellStart"/>
      <w:r w:rsidRPr="00ED7E61">
        <w:rPr>
          <w:rStyle w:val="normaltextrun"/>
          <w:rFonts w:asciiTheme="majorBidi" w:eastAsiaTheme="majorEastAsia" w:hAnsiTheme="majorBidi" w:cstheme="majorBidi"/>
        </w:rPr>
        <w:t>Strokal</w:t>
      </w:r>
      <w:proofErr w:type="spellEnd"/>
      <w:r w:rsidRPr="00ED7E61">
        <w:rPr>
          <w:rStyle w:val="normaltextrun"/>
          <w:rFonts w:asciiTheme="majorBidi" w:eastAsiaTheme="majorEastAsia" w:hAnsiTheme="majorBidi" w:cstheme="majorBidi"/>
        </w:rPr>
        <w:t xml:space="preserve"> et al. 2016). The study utilises Global NEWS – 2 (Nutrient Export from </w:t>
      </w:r>
      <w:proofErr w:type="spellStart"/>
      <w:r w:rsidRPr="00ED7E61">
        <w:rPr>
          <w:rStyle w:val="normaltextrun"/>
          <w:rFonts w:asciiTheme="majorBidi" w:eastAsiaTheme="majorEastAsia" w:hAnsiTheme="majorBidi" w:cstheme="majorBidi"/>
        </w:rPr>
        <w:t>WaterSheds</w:t>
      </w:r>
      <w:proofErr w:type="spellEnd"/>
      <w:r w:rsidRPr="00ED7E61">
        <w:rPr>
          <w:rStyle w:val="normaltextrun"/>
          <w:rFonts w:asciiTheme="majorBidi" w:eastAsiaTheme="majorEastAsia" w:hAnsiTheme="majorBidi" w:cstheme="majorBidi"/>
        </w:rPr>
        <w:t>) and Nutrient flows in Food chains, Environment and Resources use (NUFER) as models. The Global NEWS-2 model is basin-scale and quantifies river export of various nutrients (nitrogen, phosphorus, carbon and silica) in multiple forms (dissolved inorganic, dissolved organic and particulate) as functions of human activities on land and basin characteristics (</w:t>
      </w:r>
      <w:proofErr w:type="spellStart"/>
      <w:r w:rsidRPr="00ED7E61">
        <w:rPr>
          <w:rStyle w:val="normaltextrun"/>
          <w:rFonts w:asciiTheme="majorBidi" w:eastAsiaTheme="majorEastAsia" w:hAnsiTheme="majorBidi" w:cstheme="majorBidi"/>
        </w:rPr>
        <w:t>Strokal</w:t>
      </w:r>
      <w:proofErr w:type="spellEnd"/>
      <w:r w:rsidRPr="00ED7E61">
        <w:rPr>
          <w:rStyle w:val="normaltextrun"/>
          <w:rFonts w:asciiTheme="majorBidi" w:eastAsiaTheme="majorEastAsia" w:hAnsiTheme="majorBidi" w:cstheme="majorBidi"/>
        </w:rPr>
        <w:t xml:space="preserve"> et al. 2016). Furthermore, the model shows past and future trends.</w:t>
      </w:r>
      <w:r w:rsidRPr="00ED7E61">
        <w:rPr>
          <w:rStyle w:val="eop"/>
          <w:rFonts w:asciiTheme="majorBidi" w:eastAsiaTheme="majorEastAsia" w:hAnsiTheme="majorBidi" w:cstheme="majorBidi"/>
        </w:rPr>
        <w:t> </w:t>
      </w:r>
    </w:p>
    <w:p w14:paraId="1374DA54"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A full methodology for this indicator is available in the “</w:t>
      </w:r>
      <w:r w:rsidRPr="00FB1598">
        <w:rPr>
          <w:i/>
          <w:iCs/>
          <w:color w:val="000000" w:themeColor="text1"/>
          <w:lang w:val="en-US"/>
        </w:rPr>
        <w:t>Global Manual on Ocean Statistics for Measuring SDG 14.1.1, 14.2.1 and 14.5.1</w:t>
      </w:r>
      <w:r w:rsidRPr="00ED7E61">
        <w:rPr>
          <w:color w:val="000000" w:themeColor="text1"/>
          <w:lang w:val="en-US"/>
        </w:rPr>
        <w:t>”.  </w:t>
      </w:r>
    </w:p>
    <w:p w14:paraId="04E88A62"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811781D"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National data are collected through the Regional Seas Programmes to reduce the reporting burden on countries. For countries that are not included in the Regional Seas Programme, UNEP contacts countries directly. For globally derived data, UNEP has established a partnership with NOAA and GEO Blue Planet and the Global Nutrient Management System (GNMS) to facilitate the production of global data products. </w:t>
      </w:r>
    </w:p>
    <w:p w14:paraId="0139D85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232C3E7F"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The</w:t>
      </w:r>
      <w:r w:rsidRPr="00ED7E61">
        <w:rPr>
          <w:rStyle w:val="normaltextrun"/>
          <w:rFonts w:asciiTheme="majorBidi" w:eastAsiaTheme="majorEastAsia" w:hAnsiTheme="majorBidi" w:cstheme="majorBidi"/>
        </w:rPr>
        <w:t xml:space="preserve"> methodology for this indicator is published under the following link: </w:t>
      </w:r>
      <w:hyperlink r:id="rId376" w:tgtFrame="_blank" w:history="1">
        <w:r w:rsidRPr="00ED7E61">
          <w:rPr>
            <w:rStyle w:val="normaltextrun"/>
            <w:rFonts w:asciiTheme="majorBidi" w:eastAsiaTheme="majorEastAsia" w:hAnsiTheme="majorBidi" w:cstheme="majorBidi"/>
            <w:color w:val="467886"/>
            <w:u w:val="single"/>
          </w:rPr>
          <w:t>https://wedocs.unep.org/bitstream/handle/20.500.11822/35086/USO.pdf?sequence=3&amp;isAllowed=y</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736641E9"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The</w:t>
      </w:r>
      <w:r w:rsidRPr="00ED7E61">
        <w:rPr>
          <w:rStyle w:val="normaltextrun"/>
          <w:rFonts w:asciiTheme="majorBidi" w:eastAsiaTheme="majorEastAsia" w:hAnsiTheme="majorBidi" w:cstheme="majorBidi"/>
        </w:rPr>
        <w:t xml:space="preserve"> data for this indicator is also available on the UN SDG Global database:  </w:t>
      </w:r>
      <w:hyperlink r:id="rId377" w:tgtFrame="_blank" w:history="1">
        <w:r w:rsidRPr="00ED7E61">
          <w:rPr>
            <w:rStyle w:val="normaltextrun"/>
            <w:rFonts w:asciiTheme="majorBidi" w:eastAsiaTheme="majorEastAsia" w:hAnsiTheme="majorBidi" w:cstheme="majorBidi"/>
            <w:color w:val="467886"/>
            <w:u w:val="single"/>
          </w:rPr>
          <w:t>https://unstats.un.org/sdgs/dataportal/database</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34FB80B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lastRenderedPageBreak/>
        <w:t>5e. Data sources</w:t>
      </w:r>
      <w:r w:rsidRPr="00ED7E61">
        <w:rPr>
          <w:rStyle w:val="eop"/>
          <w:rFonts w:asciiTheme="majorBidi" w:eastAsiaTheme="majorEastAsia" w:hAnsiTheme="majorBidi" w:cstheme="majorBidi"/>
          <w:sz w:val="22"/>
          <w:szCs w:val="22"/>
        </w:rPr>
        <w:t> </w:t>
      </w:r>
    </w:p>
    <w:p w14:paraId="2F84DDE5"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1 indicators: </w:t>
      </w:r>
    </w:p>
    <w:p w14:paraId="17415AA2" w14:textId="77777777"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models, which are based on official data from national governments as collected from UN organizations.</w:t>
      </w:r>
      <w:r w:rsidRPr="00ED7E61">
        <w:rPr>
          <w:rStyle w:val="normaltextrun"/>
        </w:rPr>
        <w:t> </w:t>
      </w:r>
    </w:p>
    <w:p w14:paraId="413EB46B"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2 indicators: </w:t>
      </w:r>
    </w:p>
    <w:p w14:paraId="11A48B06" w14:textId="4E4F6FF7" w:rsidR="00756F0F" w:rsidRPr="004C0D25" w:rsidRDefault="00756F0F" w:rsidP="00B10F0C">
      <w:pPr>
        <w:pStyle w:val="CBDNormalNumber"/>
        <w:numPr>
          <w:ilvl w:val="1"/>
          <w:numId w:val="76"/>
        </w:numPr>
        <w:tabs>
          <w:tab w:val="clear" w:pos="567"/>
          <w:tab w:val="clear" w:pos="1134"/>
          <w:tab w:val="clear" w:pos="1701"/>
          <w:tab w:val="clear" w:pos="2268"/>
          <w:tab w:val="left" w:pos="1985"/>
        </w:tabs>
        <w:ind w:left="1276" w:firstLine="56"/>
        <w:rPr>
          <w:rFonts w:eastAsiaTheme="majorEastAsia"/>
        </w:rPr>
      </w:pPr>
      <w:r w:rsidRPr="00ED7E61">
        <w:rPr>
          <w:rStyle w:val="normaltextrun"/>
          <w:rFonts w:eastAsiaTheme="majorEastAsia"/>
        </w:rPr>
        <w:t>Data provided by national governments.</w:t>
      </w:r>
      <w:r w:rsidRPr="00ED7E61">
        <w:rPr>
          <w:rStyle w:val="normaltextrun"/>
        </w:rPr>
        <w:t> </w:t>
      </w:r>
    </w:p>
    <w:p w14:paraId="70760F2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7C2FA720" w14:textId="2D937024"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1 indicators:</w:t>
      </w:r>
    </w:p>
    <w:p w14:paraId="4B2B68BE" w14:textId="77777777"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ICEP has been calculated for large marine ecosystems. River-basin scale information is expected in 2024. National models will be available beginning in late 2024 with the release of guidance from UNEP for preparing national models.</w:t>
      </w:r>
      <w:r w:rsidRPr="00ED7E61">
        <w:rPr>
          <w:rStyle w:val="normaltextrun"/>
        </w:rPr>
        <w:t> </w:t>
      </w:r>
    </w:p>
    <w:p w14:paraId="5B5E0D13"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2 indicators:  </w:t>
      </w:r>
    </w:p>
    <w:p w14:paraId="422879C1" w14:textId="1C3D1AB4"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The first UNEP data collection </w:t>
      </w:r>
      <w:r w:rsidR="00384029">
        <w:rPr>
          <w:rStyle w:val="normaltextrun"/>
          <w:rFonts w:eastAsiaTheme="majorEastAsia"/>
        </w:rPr>
        <w:t>was carried out</w:t>
      </w:r>
      <w:r w:rsidRPr="00ED7E61">
        <w:rPr>
          <w:rStyle w:val="normaltextrun"/>
          <w:rFonts w:eastAsiaTheme="majorEastAsia"/>
        </w:rPr>
        <w:t xml:space="preserve"> </w:t>
      </w:r>
      <w:r w:rsidR="00384029">
        <w:rPr>
          <w:rStyle w:val="normaltextrun"/>
          <w:rFonts w:eastAsiaTheme="majorEastAsia"/>
        </w:rPr>
        <w:t xml:space="preserve">in </w:t>
      </w:r>
      <w:r w:rsidRPr="00ED7E61">
        <w:rPr>
          <w:rStyle w:val="normaltextrun"/>
          <w:rFonts w:eastAsiaTheme="majorEastAsia"/>
        </w:rPr>
        <w:t>2023</w:t>
      </w:r>
      <w:r w:rsidR="00384029">
        <w:rPr>
          <w:rStyle w:val="normaltextrun"/>
          <w:rFonts w:eastAsiaTheme="majorEastAsia"/>
        </w:rPr>
        <w:t xml:space="preserve"> and nutrient data (TN, TP and DSI) is available by sampling stations from 2000 to 2022</w:t>
      </w:r>
      <w:r w:rsidRPr="00ED7E61">
        <w:rPr>
          <w:rStyle w:val="normaltextrun"/>
          <w:rFonts w:eastAsiaTheme="majorEastAsia"/>
        </w:rPr>
        <w:t>. After that, data collection will be synchronised with the Regional Seas data collection calendar.</w:t>
      </w:r>
      <w:r w:rsidRPr="00ED7E61">
        <w:rPr>
          <w:rStyle w:val="normaltextrun"/>
        </w:rPr>
        <w:t> </w:t>
      </w:r>
    </w:p>
    <w:p w14:paraId="25D3B18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454DC49C"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For</w:t>
      </w:r>
      <w:r w:rsidRPr="00ED7E61">
        <w:rPr>
          <w:rStyle w:val="normaltextrun"/>
          <w:rFonts w:asciiTheme="majorBidi" w:eastAsiaTheme="majorEastAsia" w:hAnsiTheme="majorBidi" w:cstheme="majorBidi"/>
        </w:rPr>
        <w:t xml:space="preserve"> Level 1 indicator: </w:t>
      </w:r>
      <w:r w:rsidRPr="00ED7E61">
        <w:rPr>
          <w:rStyle w:val="eop"/>
          <w:rFonts w:asciiTheme="majorBidi" w:eastAsiaTheme="majorEastAsia" w:hAnsiTheme="majorBidi" w:cstheme="majorBidi"/>
        </w:rPr>
        <w:t> </w:t>
      </w:r>
    </w:p>
    <w:p w14:paraId="537C5C3A" w14:textId="77777777"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ICEP: 1900-2015: data are available for Global large marine ecosystems (LMEs) and River Basins. Data are available for N loading, not P loading.</w:t>
      </w:r>
      <w:r w:rsidRPr="00ED7E61">
        <w:rPr>
          <w:rStyle w:val="normaltextrun"/>
        </w:rPr>
        <w:t> </w:t>
      </w:r>
    </w:p>
    <w:p w14:paraId="64EB08D1"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2 indicator:  </w:t>
      </w:r>
    </w:p>
    <w:p w14:paraId="27BE1B69" w14:textId="0D8F76B1"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The first UNEP data collection </w:t>
      </w:r>
      <w:r w:rsidR="00C3279C">
        <w:rPr>
          <w:rStyle w:val="normaltextrun"/>
          <w:rFonts w:eastAsiaTheme="majorEastAsia"/>
        </w:rPr>
        <w:t xml:space="preserve">was carried out </w:t>
      </w:r>
      <w:r w:rsidRPr="00ED7E61">
        <w:rPr>
          <w:rStyle w:val="normaltextrun"/>
          <w:rFonts w:eastAsiaTheme="majorEastAsia"/>
        </w:rPr>
        <w:t>in 2023</w:t>
      </w:r>
      <w:r w:rsidR="00C3279C">
        <w:rPr>
          <w:rStyle w:val="normaltextrun"/>
          <w:rFonts w:eastAsiaTheme="majorEastAsia"/>
        </w:rPr>
        <w:t xml:space="preserve"> and nutrients data (TN, TP and DSI) is available by sampling stations from 200-2022</w:t>
      </w:r>
      <w:r w:rsidRPr="00ED7E61">
        <w:rPr>
          <w:rStyle w:val="normaltextrun"/>
          <w:rFonts w:eastAsiaTheme="majorEastAsia"/>
        </w:rPr>
        <w:t xml:space="preserve">. The plan is to align the data collection with Regional Seas every 4 </w:t>
      </w:r>
      <w:proofErr w:type="gramStart"/>
      <w:r w:rsidRPr="00ED7E61">
        <w:rPr>
          <w:rStyle w:val="normaltextrun"/>
          <w:rFonts w:eastAsiaTheme="majorEastAsia"/>
        </w:rPr>
        <w:t>years</w:t>
      </w:r>
      <w:proofErr w:type="gramEnd"/>
      <w:r w:rsidRPr="00ED7E61">
        <w:rPr>
          <w:rStyle w:val="normaltextrun"/>
          <w:rFonts w:eastAsiaTheme="majorEastAsia"/>
        </w:rPr>
        <w:t xml:space="preserve"> and the data will be yearly data, as used for SDG 14.1.1.</w:t>
      </w:r>
      <w:r w:rsidRPr="00ED7E61">
        <w:rPr>
          <w:rStyle w:val="normaltextrun"/>
        </w:rPr>
        <w:t> </w:t>
      </w:r>
    </w:p>
    <w:p w14:paraId="432E4AA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61F3F69C"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1 data:  </w:t>
      </w:r>
    </w:p>
    <w:p w14:paraId="6748B31C" w14:textId="77777777"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Fonts w:asciiTheme="majorBidi" w:hAnsiTheme="majorBidi" w:cstheme="majorBidi"/>
          <w:color w:val="4A4A4A"/>
        </w:rPr>
      </w:pPr>
      <w:r w:rsidRPr="00ED7E61">
        <w:rPr>
          <w:rStyle w:val="normaltextrun"/>
          <w:rFonts w:eastAsiaTheme="majorEastAsia"/>
        </w:rPr>
        <w:t>Geo Blue Planet, NOAA, Esri, IOC-UNESCO.</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6B0C1D59"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2 data: </w:t>
      </w:r>
    </w:p>
    <w:p w14:paraId="4ACED9EA" w14:textId="77777777"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National governments, through the Regional Seas, or directly to UNEP.</w:t>
      </w:r>
      <w:r w:rsidRPr="00ED7E61">
        <w:rPr>
          <w:rStyle w:val="normaltextrun"/>
        </w:rPr>
        <w:t> </w:t>
      </w:r>
    </w:p>
    <w:p w14:paraId="7C8AC62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72E02EA3"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United Nations Environment Programme (UNEP), in collaboration with partners mentioned in the other sections of this metadata. </w:t>
      </w:r>
    </w:p>
    <w:p w14:paraId="1D6A223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5077975B" w14:textId="77777777" w:rsidR="00C978E1" w:rsidRPr="0081287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Level 2 Data for ICEP</w:t>
      </w:r>
      <w:r w:rsidR="00C52A73">
        <w:rPr>
          <w:color w:val="000000" w:themeColor="text1"/>
          <w:lang w:val="en-US"/>
        </w:rPr>
        <w:t>:</w:t>
      </w:r>
    </w:p>
    <w:p w14:paraId="0BAF93B1" w14:textId="53C90D6F" w:rsidR="00756F0F" w:rsidRPr="00812871" w:rsidRDefault="00756F0F" w:rsidP="00812871">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812871">
        <w:rPr>
          <w:rStyle w:val="normaltextrun"/>
          <w:rFonts w:eastAsiaTheme="majorEastAsia"/>
        </w:rPr>
        <w:t xml:space="preserve"> </w:t>
      </w:r>
      <w:r w:rsidR="00C52A73" w:rsidRPr="00812871">
        <w:rPr>
          <w:rStyle w:val="normaltextrun"/>
          <w:rFonts w:eastAsiaTheme="majorEastAsia"/>
        </w:rPr>
        <w:t xml:space="preserve">Total Nitrogen, Toal Phosphorus and Dissolved Silica data is now available for some </w:t>
      </w:r>
      <w:proofErr w:type="gramStart"/>
      <w:r w:rsidR="00C52A73" w:rsidRPr="00812871">
        <w:rPr>
          <w:rStyle w:val="normaltextrun"/>
          <w:rFonts w:eastAsiaTheme="majorEastAsia"/>
        </w:rPr>
        <w:t>countries  in</w:t>
      </w:r>
      <w:proofErr w:type="gramEnd"/>
      <w:r w:rsidR="00C52A73" w:rsidRPr="00812871">
        <w:rPr>
          <w:rStyle w:val="normaltextrun"/>
          <w:rFonts w:eastAsiaTheme="majorEastAsia"/>
        </w:rPr>
        <w:t xml:space="preserve"> the UN SDG Global database under SDG Indicator 14.1.1, however the ICEP data is not yet available.</w:t>
      </w:r>
    </w:p>
    <w:p w14:paraId="69C19C81" w14:textId="77777777"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With the use of the index of coastal eutrophication potential (ICEP), freshwater pollution is not addressed; the ICEP is only a marine indicator. There are two related SDG indicators which may be considered as options to supplement national reporting: SDG 6.6.1 </w:t>
      </w:r>
      <w:r w:rsidRPr="00ED7E61">
        <w:rPr>
          <w:rStyle w:val="normaltextrun"/>
          <w:rFonts w:eastAsiaTheme="majorEastAsia"/>
        </w:rPr>
        <w:lastRenderedPageBreak/>
        <w:t xml:space="preserve">looking at trophic state and turbidity, using </w:t>
      </w:r>
      <w:proofErr w:type="spellStart"/>
      <w:r w:rsidRPr="00ED7E61">
        <w:rPr>
          <w:rStyle w:val="normaltextrun"/>
          <w:rFonts w:eastAsiaTheme="majorEastAsia"/>
        </w:rPr>
        <w:t>chl</w:t>
      </w:r>
      <w:proofErr w:type="spellEnd"/>
      <w:r w:rsidRPr="00ED7E61">
        <w:rPr>
          <w:rStyle w:val="normaltextrun"/>
          <w:rFonts w:eastAsiaTheme="majorEastAsia"/>
        </w:rPr>
        <w:t xml:space="preserve"> a, and SDG 6.3.2 on quality of freshwater (for which there are plans to integrate information from citizen science monitoring).</w:t>
      </w:r>
      <w:r w:rsidRPr="00ED7E61">
        <w:rPr>
          <w:rStyle w:val="normaltextrun"/>
        </w:rPr>
        <w:t> </w:t>
      </w:r>
    </w:p>
    <w:p w14:paraId="439DEB5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1C5A205B"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1 data:  </w:t>
      </w:r>
    </w:p>
    <w:p w14:paraId="4897FBEE" w14:textId="77777777" w:rsidR="00756F0F" w:rsidRPr="00ED7E61" w:rsidRDefault="00756F0F" w:rsidP="004C0D25">
      <w:pPr>
        <w:pStyle w:val="CBDNormalNumber"/>
        <w:tabs>
          <w:tab w:val="clear" w:pos="567"/>
          <w:tab w:val="clear" w:pos="1134"/>
          <w:tab w:val="clear" w:pos="1701"/>
          <w:tab w:val="clear" w:pos="2268"/>
          <w:tab w:val="left" w:pos="1985"/>
        </w:tabs>
        <w:ind w:left="1332"/>
        <w:rPr>
          <w:rStyle w:val="normaltextrun"/>
          <w:rFonts w:eastAsiaTheme="majorEastAsia"/>
        </w:rPr>
      </w:pPr>
      <w:r w:rsidRPr="00ED7E61">
        <w:rPr>
          <w:rStyle w:val="normaltextrun"/>
          <w:rFonts w:eastAsiaTheme="majorEastAsia"/>
        </w:rPr>
        <w:t>Not applicable.</w:t>
      </w:r>
      <w:r w:rsidRPr="00ED7E61">
        <w:rPr>
          <w:rStyle w:val="normaltextrun"/>
        </w:rPr>
        <w:t> </w:t>
      </w:r>
    </w:p>
    <w:p w14:paraId="09A8AE22"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2 data:  </w:t>
      </w:r>
    </w:p>
    <w:p w14:paraId="272D0B92" w14:textId="77777777" w:rsidR="00756F0F" w:rsidRPr="00ED7E61" w:rsidRDefault="00756F0F" w:rsidP="004C0D25">
      <w:pPr>
        <w:pStyle w:val="CBDNormalNumber"/>
        <w:tabs>
          <w:tab w:val="clear" w:pos="567"/>
          <w:tab w:val="clear" w:pos="1134"/>
          <w:tab w:val="clear" w:pos="1701"/>
          <w:tab w:val="clear" w:pos="2268"/>
          <w:tab w:val="left" w:pos="1985"/>
        </w:tabs>
        <w:ind w:left="1332"/>
        <w:rPr>
          <w:rStyle w:val="normaltextrun"/>
          <w:rFonts w:eastAsiaTheme="majorEastAsia"/>
        </w:rPr>
      </w:pPr>
      <w:r w:rsidRPr="00ED7E61">
        <w:rPr>
          <w:rStyle w:val="normaltextrun"/>
          <w:rFonts w:eastAsiaTheme="majorEastAsia"/>
        </w:rPr>
        <w:t>The United Nations Environment Programme (UNEP) and the Regional Seas do not make any estimation or imputation for missing values, so the number of data points provided are actual country data.</w:t>
      </w:r>
      <w:r w:rsidRPr="00ED7E61">
        <w:rPr>
          <w:rStyle w:val="normaltextrun"/>
        </w:rPr>
        <w:t> </w:t>
      </w:r>
    </w:p>
    <w:p w14:paraId="0621A2E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5372461D" w14:textId="77777777" w:rsidR="00756F0F" w:rsidRPr="00ED7E61" w:rsidRDefault="00756F0F" w:rsidP="007F3D0B">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61F89F19" w14:textId="77777777" w:rsidR="00756F0F" w:rsidRPr="00ED7E61" w:rsidRDefault="00756F0F" w:rsidP="004C0D25">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 </w:t>
      </w:r>
      <w:r w:rsidRPr="00ED7E61">
        <w:rPr>
          <w:rStyle w:val="eop"/>
          <w:rFonts w:asciiTheme="majorBidi" w:eastAsiaTheme="majorEastAsia" w:hAnsiTheme="majorBidi" w:cstheme="majorBidi"/>
          <w:sz w:val="22"/>
          <w:szCs w:val="22"/>
        </w:rPr>
        <w:t> </w:t>
      </w:r>
    </w:p>
    <w:p w14:paraId="19FC76BF" w14:textId="77777777" w:rsidR="00756F0F" w:rsidRPr="00ED7E61" w:rsidRDefault="00756F0F" w:rsidP="004C0D25">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National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0564501D"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Scale of data disaggregation/aggregation: Regional and national level. *Sub-national level can also be derived upon request.  </w:t>
      </w:r>
    </w:p>
    <w:p w14:paraId="74620A06" w14:textId="77777777"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regional scale indicator can be disaggregated to national level: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70278FCC" w14:textId="77777777"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National data is collated to form global indicator: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38C47C9F" w14:textId="77777777" w:rsidR="00756F0F" w:rsidRPr="00ED7E61" w:rsidRDefault="00756F0F" w:rsidP="00B10F0C">
      <w:pPr>
        <w:pStyle w:val="CBDNormalNumber"/>
        <w:numPr>
          <w:ilvl w:val="1"/>
          <w:numId w:val="7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LMEs and River Basins scale indicator: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64EDAEC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0D582D3E"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The</w:t>
      </w:r>
      <w:r w:rsidRPr="00ED7E61">
        <w:rPr>
          <w:rStyle w:val="normaltextrun"/>
          <w:rFonts w:asciiTheme="majorBidi" w:eastAsiaTheme="majorEastAsia" w:hAnsiTheme="majorBidi" w:cstheme="majorBidi"/>
        </w:rPr>
        <w:t xml:space="preserve"> methodology for global (Level 1) and national (Level 2) indicators</w:t>
      </w:r>
      <w:r w:rsidRPr="00ED7E61">
        <w:rPr>
          <w:rStyle w:val="normaltextrun"/>
          <w:rFonts w:asciiTheme="majorBidi" w:eastAsiaTheme="majorEastAsia" w:hAnsiTheme="majorBidi" w:cstheme="majorBidi"/>
          <w:i/>
          <w:iCs/>
        </w:rPr>
        <w:t xml:space="preserve"> </w:t>
      </w:r>
      <w:r w:rsidRPr="00ED7E61">
        <w:rPr>
          <w:rStyle w:val="normaltextrun"/>
          <w:rFonts w:asciiTheme="majorBidi" w:eastAsiaTheme="majorEastAsia" w:hAnsiTheme="majorBidi" w:cstheme="majorBidi"/>
        </w:rPr>
        <w:t xml:space="preserve">(Global Manual on Ocean Statistics for Measuring SDG 14.1.1, 14.2.1 and 14.5.1) is available at the following link: </w:t>
      </w:r>
      <w:hyperlink r:id="rId378" w:tgtFrame="_blank" w:history="1">
        <w:r w:rsidRPr="00ED7E61">
          <w:rPr>
            <w:rStyle w:val="normaltextrun"/>
            <w:rFonts w:asciiTheme="majorBidi" w:eastAsiaTheme="majorEastAsia" w:hAnsiTheme="majorBidi" w:cstheme="majorBidi"/>
            <w:color w:val="467886"/>
            <w:u w:val="single"/>
          </w:rPr>
          <w:t>https://wedocs.unep.org/handle/20.500.11822/35086</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0ACC6889"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UNEP</w:t>
      </w:r>
      <w:r w:rsidRPr="00ED7E61">
        <w:rPr>
          <w:rStyle w:val="normaltextrun"/>
          <w:rFonts w:asciiTheme="majorBidi" w:eastAsiaTheme="majorEastAsia" w:hAnsiTheme="majorBidi" w:cstheme="majorBidi"/>
        </w:rPr>
        <w:t xml:space="preserve"> is preparing guidance for the development of national modelled values of the ICEP. Some countries are not coastal but do contribute to coastal nutrient loads via watersheds; however, the ICEP models are only designed for countries with mouths of river(s).  </w:t>
      </w:r>
      <w:r w:rsidRPr="00ED7E61">
        <w:rPr>
          <w:rStyle w:val="eop"/>
          <w:rFonts w:asciiTheme="majorBidi" w:eastAsiaTheme="majorEastAsia" w:hAnsiTheme="majorBidi" w:cstheme="majorBidi"/>
        </w:rPr>
        <w:t> </w:t>
      </w:r>
    </w:p>
    <w:p w14:paraId="5ED30E68"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The</w:t>
      </w:r>
      <w:r w:rsidRPr="00ED7E61">
        <w:rPr>
          <w:rStyle w:val="normaltextrun"/>
          <w:rFonts w:asciiTheme="majorBidi" w:eastAsiaTheme="majorEastAsia" w:hAnsiTheme="majorBidi" w:cstheme="majorBidi"/>
        </w:rPr>
        <w:t xml:space="preserve"> national level data for this indicator will be data collected from countries and will measure the ICEP at the mouth of rivers in those countries. Modelled data will not be used unless countries are not able to measure ICEP; it is not yet clear if the use of modelled data will cover landlocked countries.</w:t>
      </w:r>
      <w:r w:rsidRPr="00ED7E61">
        <w:rPr>
          <w:rStyle w:val="eop"/>
          <w:rFonts w:asciiTheme="majorBidi" w:eastAsiaTheme="majorEastAsia" w:hAnsiTheme="majorBidi" w:cstheme="majorBidi"/>
        </w:rPr>
        <w:t> </w:t>
      </w:r>
    </w:p>
    <w:p w14:paraId="61DCA64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68E43E0C" w14:textId="588EA846"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For</w:t>
      </w:r>
      <w:r w:rsidRPr="00ED7E61">
        <w:rPr>
          <w:rStyle w:val="normaltextrun"/>
          <w:rFonts w:asciiTheme="majorBidi" w:eastAsiaTheme="majorEastAsia" w:hAnsiTheme="majorBidi" w:cstheme="majorBidi"/>
        </w:rPr>
        <w:t xml:space="preserve"> Level 1</w:t>
      </w:r>
      <w:r w:rsidR="007F3D0B">
        <w:rPr>
          <w:rStyle w:val="normaltextrun"/>
          <w:rFonts w:asciiTheme="majorBidi" w:eastAsiaTheme="majorEastAsia" w:hAnsiTheme="majorBidi" w:cstheme="majorBidi"/>
        </w:rPr>
        <w:t>:</w:t>
      </w:r>
    </w:p>
    <w:p w14:paraId="172D320C" w14:textId="1B3AEF1A" w:rsidR="00756F0F" w:rsidRPr="00ED7E61" w:rsidRDefault="007F3D0B" w:rsidP="007F3D0B">
      <w:pPr>
        <w:pStyle w:val="CBDNormalNumber"/>
        <w:tabs>
          <w:tab w:val="clear" w:pos="567"/>
          <w:tab w:val="clear" w:pos="1134"/>
          <w:tab w:val="clear" w:pos="1701"/>
          <w:tab w:val="clear" w:pos="2268"/>
          <w:tab w:val="left" w:pos="1985"/>
        </w:tabs>
        <w:ind w:left="1332"/>
        <w:rPr>
          <w:rStyle w:val="normaltextrun"/>
          <w:rFonts w:eastAsiaTheme="majorEastAsia"/>
        </w:rPr>
      </w:pPr>
      <w:r>
        <w:rPr>
          <w:rStyle w:val="normaltextrun"/>
          <w:rFonts w:eastAsiaTheme="majorEastAsia"/>
        </w:rPr>
        <w:t>G</w:t>
      </w:r>
      <w:r w:rsidR="00756F0F" w:rsidRPr="00ED7E61">
        <w:rPr>
          <w:rStyle w:val="normaltextrun"/>
          <w:rFonts w:eastAsiaTheme="majorEastAsia"/>
        </w:rPr>
        <w:t>lobal models are used. </w:t>
      </w:r>
      <w:r w:rsidR="00756F0F" w:rsidRPr="00ED7E61">
        <w:rPr>
          <w:rStyle w:val="normaltextrun"/>
        </w:rPr>
        <w:t> </w:t>
      </w:r>
    </w:p>
    <w:p w14:paraId="3BE5A81D" w14:textId="68000850"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For Level 2</w:t>
      </w:r>
      <w:r w:rsidR="007F3D0B">
        <w:rPr>
          <w:color w:val="000000" w:themeColor="text1"/>
          <w:lang w:val="en-US"/>
        </w:rPr>
        <w:t>:</w:t>
      </w:r>
    </w:p>
    <w:p w14:paraId="746F2B63" w14:textId="4E28B911" w:rsidR="00756F0F" w:rsidRPr="00ED7E61" w:rsidRDefault="007F3D0B" w:rsidP="007F3D0B">
      <w:pPr>
        <w:pStyle w:val="CBDNormalNumber"/>
        <w:tabs>
          <w:tab w:val="clear" w:pos="567"/>
          <w:tab w:val="clear" w:pos="1134"/>
          <w:tab w:val="clear" w:pos="1701"/>
          <w:tab w:val="clear" w:pos="2268"/>
          <w:tab w:val="left" w:pos="1985"/>
        </w:tabs>
        <w:ind w:left="1332"/>
        <w:rPr>
          <w:rStyle w:val="normaltextrun"/>
          <w:rFonts w:eastAsiaTheme="majorEastAsia"/>
        </w:rPr>
      </w:pPr>
      <w:r>
        <w:rPr>
          <w:rStyle w:val="normaltextrun"/>
          <w:rFonts w:eastAsiaTheme="majorEastAsia"/>
        </w:rPr>
        <w:t>N</w:t>
      </w:r>
      <w:r w:rsidR="00756F0F" w:rsidRPr="00ED7E61">
        <w:rPr>
          <w:rStyle w:val="normaltextrun"/>
          <w:rFonts w:eastAsiaTheme="majorEastAsia"/>
        </w:rPr>
        <w:t>ational data is used. National level models of the index of coastal eutrophication will be initiated beginning in 2024.</w:t>
      </w:r>
      <w:r w:rsidR="00756F0F" w:rsidRPr="00ED7E61">
        <w:rPr>
          <w:rStyle w:val="normaltextrun"/>
        </w:rPr>
        <w:t> </w:t>
      </w:r>
    </w:p>
    <w:p w14:paraId="67E0606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25DF884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0B7B76AB"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The</w:t>
      </w:r>
      <w:r w:rsidRPr="00ED7E61">
        <w:rPr>
          <w:rStyle w:val="normaltextrun"/>
          <w:rFonts w:asciiTheme="majorBidi" w:eastAsiaTheme="majorEastAsia" w:hAnsiTheme="majorBidi" w:cstheme="majorBidi"/>
        </w:rPr>
        <w:t xml:space="preserve"> methodology for global (Level 1) and national (Level 2) indicators</w:t>
      </w:r>
      <w:r w:rsidRPr="00ED7E61">
        <w:rPr>
          <w:rStyle w:val="normaltextrun"/>
          <w:rFonts w:asciiTheme="majorBidi" w:eastAsiaTheme="majorEastAsia" w:hAnsiTheme="majorBidi" w:cstheme="majorBidi"/>
          <w:i/>
          <w:iCs/>
        </w:rPr>
        <w:t xml:space="preserve"> </w:t>
      </w:r>
      <w:r w:rsidRPr="00ED7E61">
        <w:rPr>
          <w:rStyle w:val="normaltextrun"/>
          <w:rFonts w:asciiTheme="majorBidi" w:eastAsiaTheme="majorEastAsia" w:hAnsiTheme="majorBidi" w:cstheme="majorBidi"/>
        </w:rPr>
        <w:t xml:space="preserve">(Global Manual on Ocean Statistics for Measuring SDG 14.1.1, 14.2.1 and 14.5.1) is available at the following link: </w:t>
      </w:r>
      <w:hyperlink r:id="rId379" w:tgtFrame="_blank" w:history="1">
        <w:r w:rsidRPr="00ED7E61">
          <w:rPr>
            <w:rStyle w:val="normaltextrun"/>
            <w:rFonts w:asciiTheme="majorBidi" w:eastAsiaTheme="majorEastAsia" w:hAnsiTheme="majorBidi" w:cstheme="majorBidi"/>
            <w:color w:val="467886"/>
            <w:u w:val="single"/>
          </w:rPr>
          <w:t>https://wedocs.unep.org/handle/20.500.11822/35086</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1A84290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5B27DAFF"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lastRenderedPageBreak/>
        <w:t>UN</w:t>
      </w:r>
      <w:r w:rsidRPr="00ED7E61">
        <w:rPr>
          <w:rStyle w:val="normaltextrun"/>
          <w:rFonts w:asciiTheme="majorBidi" w:eastAsiaTheme="majorEastAsia" w:hAnsiTheme="majorBidi" w:cstheme="majorBidi"/>
        </w:rPr>
        <w:t xml:space="preserve"> Environment will continue to provide regional (at the scale of large marine ecosystems and at the scale of basins) data for the ICEP values. UNEP is working (starting in 2024) to provide national </w:t>
      </w:r>
      <w:proofErr w:type="spellStart"/>
      <w:r w:rsidRPr="00ED7E61">
        <w:rPr>
          <w:rStyle w:val="normaltextrun"/>
          <w:rFonts w:asciiTheme="majorBidi" w:eastAsiaTheme="majorEastAsia" w:hAnsiTheme="majorBidi" w:cstheme="majorBidi"/>
        </w:rPr>
        <w:t>modeled</w:t>
      </w:r>
      <w:proofErr w:type="spellEnd"/>
      <w:r w:rsidRPr="00ED7E61">
        <w:rPr>
          <w:rStyle w:val="normaltextrun"/>
          <w:rFonts w:asciiTheme="majorBidi" w:eastAsiaTheme="majorEastAsia" w:hAnsiTheme="majorBidi" w:cstheme="majorBidi"/>
        </w:rPr>
        <w:t xml:space="preserve"> values for ICEP, and it is these national values that will be used to feed into CBD reporting.</w:t>
      </w:r>
      <w:r w:rsidRPr="00ED7E61">
        <w:rPr>
          <w:rStyle w:val="eop"/>
          <w:rFonts w:asciiTheme="majorBidi" w:eastAsiaTheme="majorEastAsia" w:hAnsiTheme="majorBidi" w:cstheme="majorBidi"/>
        </w:rPr>
        <w:t> </w:t>
      </w:r>
    </w:p>
    <w:p w14:paraId="23094B7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36A10479" w14:textId="631550CF"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National data collection through the Regional Seas already exists for many Regional Seas</w:t>
      </w:r>
      <w:r w:rsidR="00A1050D">
        <w:rPr>
          <w:color w:val="000000" w:themeColor="text1"/>
          <w:lang w:val="en-US"/>
        </w:rPr>
        <w:t xml:space="preserve"> and directly from countries; </w:t>
      </w:r>
      <w:r w:rsidR="003766C3">
        <w:rPr>
          <w:color w:val="000000" w:themeColor="text1"/>
          <w:lang w:val="en-US"/>
        </w:rPr>
        <w:t xml:space="preserve">the nutrients data was </w:t>
      </w:r>
      <w:r w:rsidRPr="00ED7E61">
        <w:rPr>
          <w:color w:val="000000" w:themeColor="text1"/>
          <w:lang w:val="en-US"/>
        </w:rPr>
        <w:t>compiled for SDG reporting in 2023</w:t>
      </w:r>
      <w:r w:rsidR="003766C3">
        <w:rPr>
          <w:color w:val="000000" w:themeColor="text1"/>
          <w:lang w:val="en-US"/>
        </w:rPr>
        <w:t xml:space="preserve"> and reported in the UN SDG Global database in 2024</w:t>
      </w:r>
      <w:r w:rsidRPr="00ED7E61">
        <w:rPr>
          <w:color w:val="000000" w:themeColor="text1"/>
          <w:lang w:val="en-US"/>
        </w:rPr>
        <w:t>. </w:t>
      </w:r>
    </w:p>
    <w:p w14:paraId="5A35738B" w14:textId="382915A4" w:rsidR="00756F0F" w:rsidRPr="00ED7E61" w:rsidRDefault="00756F0F" w:rsidP="00812871">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7. Other MEAs, processes and organi</w:t>
      </w:r>
      <w:r w:rsidR="00B10F0C">
        <w:rPr>
          <w:rStyle w:val="normaltextrun"/>
          <w:rFonts w:asciiTheme="majorBidi" w:eastAsiaTheme="majorEastAsia" w:hAnsiTheme="majorBidi" w:cstheme="majorBidi"/>
          <w:b/>
          <w:bCs/>
          <w:sz w:val="22"/>
          <w:szCs w:val="22"/>
        </w:rPr>
        <w:t>z</w:t>
      </w:r>
      <w:r w:rsidRPr="00ED7E61">
        <w:rPr>
          <w:rStyle w:val="normaltextrun"/>
          <w:rFonts w:asciiTheme="majorBidi" w:eastAsiaTheme="majorEastAsia" w:hAnsiTheme="majorBidi" w:cstheme="majorBidi"/>
          <w:b/>
          <w:bCs/>
          <w:sz w:val="22"/>
          <w:szCs w:val="22"/>
        </w:rPr>
        <w:t>ations</w:t>
      </w:r>
      <w:r w:rsidRPr="00ED7E61">
        <w:rPr>
          <w:rStyle w:val="eop"/>
          <w:rFonts w:asciiTheme="majorBidi" w:eastAsiaTheme="majorEastAsia" w:hAnsiTheme="majorBidi" w:cstheme="majorBidi"/>
          <w:sz w:val="22"/>
          <w:szCs w:val="22"/>
        </w:rPr>
        <w:t> </w:t>
      </w:r>
    </w:p>
    <w:p w14:paraId="0C479E95" w14:textId="77777777" w:rsidR="00756F0F" w:rsidRPr="00ED7E61" w:rsidRDefault="00756F0F" w:rsidP="00812871">
      <w:pPr>
        <w:pStyle w:val="CBDNormalNumber"/>
        <w:numPr>
          <w:ilvl w:val="0"/>
          <w:numId w:val="76"/>
        </w:numPr>
        <w:ind w:left="567" w:firstLine="0"/>
        <w:jc w:val="left"/>
        <w:rPr>
          <w:rFonts w:asciiTheme="majorBidi" w:hAnsiTheme="majorBidi" w:cstheme="majorBidi"/>
          <w:color w:val="000000"/>
        </w:rPr>
      </w:pPr>
      <w:r w:rsidRPr="00812871">
        <w:rPr>
          <w:color w:val="000000" w:themeColor="text1"/>
        </w:rPr>
        <w:t>Sustainable Development Goals (SDG): indicator 14.1.1 (a) Index of coastal eutrophication</w:t>
      </w:r>
      <w:r w:rsidRPr="00812871">
        <w:rPr>
          <w:color w:val="000000" w:themeColor="text1"/>
          <w:lang w:val="en-US"/>
        </w:rPr>
        <w:t> </w:t>
      </w:r>
    </w:p>
    <w:p w14:paraId="0B8F5631" w14:textId="406C0545"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14EA3AE5" w14:textId="77777777"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A geospatial disaggregation of the state of pollution is proposed. For the ICEP loading indicators, this disaggregation should be at the sub-basin level. </w:t>
      </w:r>
    </w:p>
    <w:p w14:paraId="78E2134B" w14:textId="04BFF6FD" w:rsidR="00756F0F" w:rsidRPr="00ED7E61" w:rsidRDefault="00756F0F" w:rsidP="00B10F0C">
      <w:pPr>
        <w:pStyle w:val="CBDNormalNumber"/>
        <w:numPr>
          <w:ilvl w:val="0"/>
          <w:numId w:val="76"/>
        </w:numPr>
        <w:ind w:left="567" w:firstLine="0"/>
        <w:jc w:val="left"/>
        <w:rPr>
          <w:color w:val="000000" w:themeColor="text1"/>
          <w:lang w:val="en-US"/>
        </w:rPr>
      </w:pPr>
      <w:r w:rsidRPr="00ED7E61">
        <w:rPr>
          <w:color w:val="000000" w:themeColor="text1"/>
          <w:lang w:val="en-US"/>
        </w:rPr>
        <w:t xml:space="preserve">The processes of assessing and reporting on this indicator should be inclusive, following the approach outlined in Section C for implementing </w:t>
      </w:r>
      <w:proofErr w:type="gramStart"/>
      <w:r w:rsidRPr="00ED7E61">
        <w:rPr>
          <w:color w:val="000000" w:themeColor="text1"/>
          <w:lang w:val="en-US"/>
        </w:rPr>
        <w:t>the GBF</w:t>
      </w:r>
      <w:proofErr w:type="gramEnd"/>
      <w:r w:rsidRPr="00ED7E61">
        <w:rPr>
          <w:color w:val="000000" w:themeColor="text1"/>
          <w:lang w:val="en-US"/>
        </w:rPr>
        <w:t xml:space="preserve">. The planned data collection for this ICEP indicator does not collect or permit disaggregation by gender or </w:t>
      </w:r>
      <w:r w:rsidR="00B929B4">
        <w:rPr>
          <w:rStyle w:val="normaltextrun"/>
          <w:rFonts w:asciiTheme="majorBidi" w:eastAsiaTheme="majorEastAsia" w:hAnsiTheme="majorBidi" w:cstheme="majorBidi"/>
          <w:color w:val="000000"/>
          <w:lang w:val="en-AU"/>
        </w:rPr>
        <w:t>i</w:t>
      </w:r>
      <w:r w:rsidR="00B929B4" w:rsidRPr="00ED7E61">
        <w:rPr>
          <w:rStyle w:val="normaltextrun"/>
          <w:rFonts w:asciiTheme="majorBidi" w:eastAsiaTheme="majorEastAsia" w:hAnsiTheme="majorBidi" w:cstheme="majorBidi"/>
          <w:color w:val="000000"/>
          <w:lang w:val="en-AU"/>
        </w:rPr>
        <w:t xml:space="preserve">ndigenous </w:t>
      </w:r>
      <w:r w:rsidR="00B929B4">
        <w:rPr>
          <w:rStyle w:val="normaltextrun"/>
          <w:rFonts w:asciiTheme="majorBidi" w:eastAsiaTheme="majorEastAsia" w:hAnsiTheme="majorBidi" w:cstheme="majorBidi"/>
          <w:color w:val="000000"/>
          <w:lang w:val="en-AU"/>
        </w:rPr>
        <w:t>p</w:t>
      </w:r>
      <w:r w:rsidR="00B929B4" w:rsidRPr="00ED7E61">
        <w:rPr>
          <w:rStyle w:val="normaltextrun"/>
          <w:rFonts w:asciiTheme="majorBidi" w:eastAsiaTheme="majorEastAsia" w:hAnsiTheme="majorBidi" w:cstheme="majorBidi"/>
          <w:color w:val="000000"/>
          <w:lang w:val="en-AU"/>
        </w:rPr>
        <w:t xml:space="preserve">eoples and </w:t>
      </w:r>
      <w:r w:rsidR="00B929B4">
        <w:rPr>
          <w:rStyle w:val="normaltextrun"/>
          <w:rFonts w:asciiTheme="majorBidi" w:eastAsiaTheme="majorEastAsia" w:hAnsiTheme="majorBidi" w:cstheme="majorBidi"/>
          <w:color w:val="000000"/>
          <w:lang w:val="en-AU"/>
        </w:rPr>
        <w:t>l</w:t>
      </w:r>
      <w:r w:rsidR="00B929B4" w:rsidRPr="00ED7E61">
        <w:rPr>
          <w:rStyle w:val="normaltextrun"/>
          <w:rFonts w:asciiTheme="majorBidi" w:eastAsiaTheme="majorEastAsia" w:hAnsiTheme="majorBidi" w:cstheme="majorBidi"/>
          <w:color w:val="000000"/>
          <w:lang w:val="en-AU"/>
        </w:rPr>
        <w:t xml:space="preserve">ocal </w:t>
      </w:r>
      <w:r w:rsidR="00B929B4">
        <w:rPr>
          <w:rStyle w:val="normaltextrun"/>
          <w:rFonts w:asciiTheme="majorBidi" w:eastAsiaTheme="majorEastAsia" w:hAnsiTheme="majorBidi" w:cstheme="majorBidi"/>
          <w:color w:val="000000"/>
          <w:lang w:val="en-AU"/>
        </w:rPr>
        <w:t>c</w:t>
      </w:r>
      <w:r w:rsidR="00B929B4" w:rsidRPr="00ED7E61">
        <w:rPr>
          <w:rStyle w:val="normaltextrun"/>
          <w:rFonts w:asciiTheme="majorBidi" w:eastAsiaTheme="majorEastAsia" w:hAnsiTheme="majorBidi" w:cstheme="majorBidi"/>
          <w:color w:val="000000"/>
          <w:lang w:val="en-AU"/>
        </w:rPr>
        <w:t>ommunities</w:t>
      </w:r>
      <w:r w:rsidRPr="00ED7E61">
        <w:rPr>
          <w:color w:val="000000" w:themeColor="text1"/>
          <w:lang w:val="en-US"/>
        </w:rPr>
        <w:t>. The indicator does not assess the impact of pollution; rather, the indicator relies on environmental measurements or models of nutrient levels, human population levels, agricultural chemical use and other contributors to nutrient pollution runoff.   </w:t>
      </w:r>
    </w:p>
    <w:p w14:paraId="140B159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indicators</w:t>
      </w:r>
      <w:r w:rsidRPr="00ED7E61">
        <w:rPr>
          <w:rStyle w:val="eop"/>
          <w:rFonts w:asciiTheme="majorBidi" w:eastAsiaTheme="majorEastAsia" w:hAnsiTheme="majorBidi" w:cstheme="majorBidi"/>
          <w:sz w:val="22"/>
          <w:szCs w:val="22"/>
        </w:rPr>
        <w:t> </w:t>
      </w:r>
    </w:p>
    <w:p w14:paraId="0848FB22" w14:textId="77777777" w:rsidR="00756F0F" w:rsidRPr="00ED7E61" w:rsidRDefault="00756F0F" w:rsidP="006D3A5D">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i/>
          <w:iCs/>
        </w:rPr>
        <w:t>N/A</w:t>
      </w:r>
      <w:r w:rsidRPr="00ED7E61">
        <w:rPr>
          <w:rStyle w:val="eop"/>
          <w:rFonts w:asciiTheme="majorBidi" w:eastAsiaTheme="majorEastAsia" w:hAnsiTheme="majorBidi" w:cstheme="majorBidi"/>
        </w:rPr>
        <w:t> </w:t>
      </w:r>
    </w:p>
    <w:p w14:paraId="72D70BA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3EE82B97" w14:textId="3D03146A" w:rsidR="00756F0F" w:rsidRPr="006D3A5D"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6D3A5D">
        <w:rPr>
          <w:rStyle w:val="normaltextrun"/>
          <w:rFonts w:asciiTheme="majorBidi" w:eastAsiaTheme="majorEastAsia" w:hAnsiTheme="majorBidi" w:cstheme="majorBidi"/>
          <w:b/>
          <w:bCs/>
          <w:sz w:val="22"/>
          <w:szCs w:val="22"/>
        </w:rPr>
        <w:t>10a. Organi</w:t>
      </w:r>
      <w:r w:rsidR="006D3A5D" w:rsidRPr="006D3A5D">
        <w:rPr>
          <w:rStyle w:val="normaltextrun"/>
          <w:rFonts w:asciiTheme="majorBidi" w:eastAsiaTheme="majorEastAsia" w:hAnsiTheme="majorBidi" w:cstheme="majorBidi"/>
          <w:b/>
          <w:bCs/>
          <w:sz w:val="22"/>
          <w:szCs w:val="22"/>
        </w:rPr>
        <w:t>z</w:t>
      </w:r>
      <w:r w:rsidRPr="006D3A5D">
        <w:rPr>
          <w:rStyle w:val="normaltextrun"/>
          <w:rFonts w:asciiTheme="majorBidi" w:eastAsiaTheme="majorEastAsia" w:hAnsiTheme="majorBidi" w:cstheme="majorBidi"/>
          <w:b/>
          <w:bCs/>
          <w:sz w:val="22"/>
          <w:szCs w:val="22"/>
        </w:rPr>
        <w:t>ation </w:t>
      </w:r>
      <w:r w:rsidRPr="006D3A5D">
        <w:rPr>
          <w:rStyle w:val="eop"/>
          <w:rFonts w:asciiTheme="majorBidi" w:eastAsiaTheme="majorEastAsia" w:hAnsiTheme="majorBidi" w:cstheme="majorBidi"/>
          <w:sz w:val="22"/>
          <w:szCs w:val="22"/>
        </w:rPr>
        <w:t> </w:t>
      </w:r>
    </w:p>
    <w:p w14:paraId="6BDD12CC" w14:textId="77777777" w:rsidR="00756F0F" w:rsidRPr="00ED7E61" w:rsidRDefault="00756F0F" w:rsidP="006D3A5D">
      <w:pPr>
        <w:pStyle w:val="CBDNormalNumber"/>
        <w:ind w:left="567"/>
        <w:jc w:val="left"/>
        <w:rPr>
          <w:color w:val="000000" w:themeColor="text1"/>
          <w:lang w:val="en-US"/>
        </w:rPr>
      </w:pPr>
      <w:r w:rsidRPr="00ED7E61">
        <w:rPr>
          <w:color w:val="000000" w:themeColor="text1"/>
          <w:lang w:val="en-US"/>
        </w:rPr>
        <w:t>United Nations Environment Programme (UNEP) </w:t>
      </w:r>
    </w:p>
    <w:p w14:paraId="1B271F3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46E615D7" w14:textId="77777777" w:rsidR="00756F0F" w:rsidRPr="00ED7E61" w:rsidRDefault="00756F0F" w:rsidP="00B10F0C">
      <w:pPr>
        <w:pStyle w:val="CBDNormalNumber"/>
        <w:numPr>
          <w:ilvl w:val="0"/>
          <w:numId w:val="76"/>
        </w:numPr>
        <w:ind w:left="567" w:firstLine="0"/>
        <w:jc w:val="left"/>
        <w:rPr>
          <w:rFonts w:asciiTheme="majorBidi" w:hAnsiTheme="majorBidi" w:cstheme="majorBidi"/>
        </w:rPr>
      </w:pPr>
      <w:r w:rsidRPr="00ED7E61">
        <w:rPr>
          <w:color w:val="000000" w:themeColor="text1"/>
          <w:lang w:val="en-US"/>
        </w:rPr>
        <w:t>Dany</w:t>
      </w:r>
      <w:r w:rsidRPr="00ED7E61">
        <w:rPr>
          <w:rStyle w:val="normaltextrun"/>
          <w:rFonts w:asciiTheme="majorBidi" w:eastAsiaTheme="majorEastAsia" w:hAnsiTheme="majorBidi" w:cstheme="majorBidi"/>
        </w:rPr>
        <w:t xml:space="preserve"> Ghafari, (</w:t>
      </w:r>
      <w:hyperlink r:id="rId380" w:tgtFrame="_blank" w:history="1">
        <w:r w:rsidRPr="00ED7E61">
          <w:rPr>
            <w:rStyle w:val="normaltextrun"/>
            <w:rFonts w:asciiTheme="majorBidi" w:eastAsiaTheme="majorEastAsia" w:hAnsiTheme="majorBidi" w:cstheme="majorBidi"/>
            <w:color w:val="000000" w:themeColor="text1"/>
            <w:u w:val="single"/>
            <w:lang w:val="en-US"/>
          </w:rPr>
          <w:t>dany</w:t>
        </w:r>
        <w:r w:rsidRPr="00ED7E61">
          <w:rPr>
            <w:rStyle w:val="normaltextrun"/>
            <w:rFonts w:asciiTheme="majorBidi" w:eastAsiaTheme="majorEastAsia" w:hAnsiTheme="majorBidi" w:cstheme="majorBidi"/>
            <w:color w:val="467886"/>
            <w:u w:val="single"/>
          </w:rPr>
          <w:t>.ghafari@un.org</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03E0B92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w:t>
      </w:r>
      <w:r w:rsidRPr="00ED7E61">
        <w:rPr>
          <w:rStyle w:val="eop"/>
          <w:rFonts w:asciiTheme="majorBidi" w:eastAsiaTheme="majorEastAsia" w:hAnsiTheme="majorBidi" w:cstheme="majorBidi"/>
          <w:sz w:val="22"/>
          <w:szCs w:val="22"/>
        </w:rPr>
        <w:t> </w:t>
      </w:r>
    </w:p>
    <w:p w14:paraId="5F2C54D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Website</w:t>
      </w:r>
      <w:r w:rsidRPr="00ED7E61">
        <w:rPr>
          <w:rStyle w:val="eop"/>
          <w:rFonts w:asciiTheme="majorBidi" w:eastAsiaTheme="majorEastAsia" w:hAnsiTheme="majorBidi" w:cstheme="majorBidi"/>
          <w:sz w:val="22"/>
          <w:szCs w:val="22"/>
        </w:rPr>
        <w:t> </w:t>
      </w:r>
    </w:p>
    <w:p w14:paraId="507453DF" w14:textId="083C2F5B" w:rsidR="0008065B" w:rsidRPr="0008065B" w:rsidRDefault="00756F0F" w:rsidP="0008065B">
      <w:pPr>
        <w:pStyle w:val="CBDNormalNumber"/>
        <w:ind w:left="567"/>
        <w:jc w:val="left"/>
        <w:rPr>
          <w:rFonts w:asciiTheme="majorBidi" w:hAnsiTheme="majorBidi" w:cstheme="majorBidi"/>
        </w:rPr>
      </w:pPr>
      <w:r w:rsidRPr="0008065B">
        <w:rPr>
          <w:color w:val="000000" w:themeColor="text1"/>
          <w:lang w:val="en-US"/>
        </w:rPr>
        <w:t>Regional</w:t>
      </w:r>
      <w:r w:rsidRPr="0008065B">
        <w:rPr>
          <w:rStyle w:val="normaltextrun"/>
          <w:rFonts w:asciiTheme="majorBidi" w:eastAsiaTheme="majorEastAsia" w:hAnsiTheme="majorBidi" w:cstheme="majorBidi"/>
        </w:rPr>
        <w:t xml:space="preserve"> Seas website: </w:t>
      </w:r>
      <w:r w:rsidR="0008065B" w:rsidRPr="004935E5">
        <w:t>https://www.unep.org/topics/ocean-seas-and-coasts/regional-seas-programme</w:t>
      </w:r>
      <w:r w:rsidR="0008065B" w:rsidRPr="0008065B">
        <w:rPr>
          <w:rStyle w:val="eop"/>
          <w:rFonts w:asciiTheme="majorBidi" w:eastAsiaTheme="majorEastAsia" w:hAnsiTheme="majorBidi" w:cstheme="majorBidi"/>
          <w:color w:val="467886"/>
        </w:rPr>
        <w:t> </w:t>
      </w:r>
    </w:p>
    <w:p w14:paraId="42C00BCF" w14:textId="672B45B7" w:rsidR="00756F0F" w:rsidRPr="00ED7E61" w:rsidRDefault="00756F0F" w:rsidP="006D3A5D">
      <w:pPr>
        <w:pStyle w:val="CBDNormalNumber"/>
        <w:ind w:left="567"/>
        <w:jc w:val="left"/>
        <w:rPr>
          <w:rFonts w:asciiTheme="majorBidi" w:hAnsiTheme="majorBidi" w:cstheme="majorBidi"/>
        </w:rPr>
      </w:pPr>
    </w:p>
    <w:p w14:paraId="5C91CB2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References</w:t>
      </w:r>
      <w:r w:rsidRPr="00ED7E61">
        <w:rPr>
          <w:rStyle w:val="eop"/>
          <w:rFonts w:asciiTheme="majorBidi" w:eastAsiaTheme="majorEastAsia" w:hAnsiTheme="majorBidi" w:cstheme="majorBidi"/>
          <w:sz w:val="22"/>
          <w:szCs w:val="22"/>
        </w:rPr>
        <w:t> </w:t>
      </w:r>
    </w:p>
    <w:p w14:paraId="16E52A0D" w14:textId="77777777" w:rsidR="00155E2F" w:rsidRPr="00ED7E61" w:rsidRDefault="00155E2F" w:rsidP="00155E2F">
      <w:pPr>
        <w:pStyle w:val="CBDNormalNumber"/>
        <w:ind w:left="567"/>
        <w:jc w:val="left"/>
        <w:rPr>
          <w:rFonts w:asciiTheme="majorBidi" w:hAnsiTheme="majorBidi" w:cstheme="majorBidi"/>
        </w:rPr>
      </w:pPr>
      <w:r w:rsidRPr="004935E5">
        <w:rPr>
          <w:color w:val="000000" w:themeColor="text1"/>
          <w:lang w:val="en-US"/>
        </w:rPr>
        <w:t>United Nations Environment Programme</w:t>
      </w:r>
      <w:r w:rsidRPr="004935E5" w:rsidDel="004935E5">
        <w:rPr>
          <w:color w:val="000000" w:themeColor="text1"/>
          <w:lang w:val="en-US"/>
        </w:rPr>
        <w:t xml:space="preserve"> </w:t>
      </w:r>
      <w:r w:rsidRPr="00ED7E61">
        <w:rPr>
          <w:rStyle w:val="normaltextrun"/>
          <w:rFonts w:asciiTheme="majorBidi" w:eastAsiaTheme="majorEastAsia" w:hAnsiTheme="majorBidi" w:cstheme="majorBidi"/>
        </w:rPr>
        <w:t>(20</w:t>
      </w:r>
      <w:r>
        <w:rPr>
          <w:rStyle w:val="normaltextrun"/>
          <w:rFonts w:asciiTheme="majorBidi" w:eastAsiaTheme="majorEastAsia" w:hAnsiTheme="majorBidi" w:cstheme="majorBidi"/>
        </w:rPr>
        <w:t>21</w:t>
      </w:r>
      <w:r w:rsidRPr="00ED7E61">
        <w:rPr>
          <w:rStyle w:val="normaltextrun"/>
          <w:rFonts w:asciiTheme="majorBidi" w:eastAsiaTheme="majorEastAsia" w:hAnsiTheme="majorBidi" w:cstheme="majorBidi"/>
        </w:rPr>
        <w:t xml:space="preserve">). </w:t>
      </w:r>
      <w:r w:rsidRPr="004935E5">
        <w:rPr>
          <w:rStyle w:val="normaltextrun"/>
          <w:rFonts w:asciiTheme="majorBidi" w:eastAsiaTheme="majorEastAsia" w:hAnsiTheme="majorBidi" w:cstheme="majorBidi"/>
        </w:rPr>
        <w:t>Understanding the State of the Ocean: A Global Manual on Measuring SDG 14.1.1, SDG 14.2.1 and SDG 14.5.1</w:t>
      </w:r>
      <w:r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lang w:val="en-US"/>
        </w:rPr>
        <w:t xml:space="preserve">Nairobi (Kenya): </w:t>
      </w:r>
      <w:r w:rsidRPr="004935E5">
        <w:rPr>
          <w:rStyle w:val="normaltextrun"/>
          <w:rFonts w:asciiTheme="majorBidi" w:eastAsiaTheme="majorEastAsia" w:hAnsiTheme="majorBidi" w:cstheme="majorBidi"/>
          <w:lang w:val="en-US"/>
        </w:rPr>
        <w:t>United Nations Environment Programme</w:t>
      </w:r>
      <w:r w:rsidRPr="00ED7E61">
        <w:rPr>
          <w:rStyle w:val="normaltextrun"/>
          <w:rFonts w:asciiTheme="majorBidi" w:eastAsiaTheme="majorEastAsia" w:hAnsiTheme="majorBidi" w:cstheme="majorBidi"/>
          <w:lang w:val="en-US"/>
        </w:rPr>
        <w:t xml:space="preserve">. 46 pp. plus </w:t>
      </w:r>
      <w:r>
        <w:rPr>
          <w:rStyle w:val="normaltextrun"/>
          <w:rFonts w:asciiTheme="majorBidi" w:eastAsiaTheme="majorEastAsia" w:hAnsiTheme="majorBidi" w:cstheme="majorBidi"/>
          <w:lang w:val="en-US"/>
        </w:rPr>
        <w:t>three</w:t>
      </w:r>
      <w:r w:rsidRPr="00ED7E61">
        <w:rPr>
          <w:rStyle w:val="normaltextrun"/>
          <w:rFonts w:asciiTheme="majorBidi" w:eastAsiaTheme="majorEastAsia" w:hAnsiTheme="majorBidi" w:cstheme="majorBidi"/>
          <w:lang w:val="en-US"/>
        </w:rPr>
        <w:t xml:space="preserve"> appendices.</w:t>
      </w:r>
      <w:r w:rsidRPr="00ED7E61">
        <w:rPr>
          <w:rStyle w:val="eop"/>
          <w:rFonts w:asciiTheme="majorBidi" w:eastAsiaTheme="majorEastAsia" w:hAnsiTheme="majorBidi" w:cstheme="majorBidi"/>
        </w:rPr>
        <w:t> </w:t>
      </w:r>
    </w:p>
    <w:p w14:paraId="3AC48611" w14:textId="73EF5120" w:rsidR="00694186" w:rsidRPr="00ED7E61" w:rsidRDefault="00756F0F" w:rsidP="006D3A5D">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lang w:val="en-US"/>
        </w:rPr>
        <w:t xml:space="preserve">Wang, M., X. Liu, L. Jiang and S. Son (2017), The VIIRS Ocean Color Product Algorithm Theoretical Basis Document, National Oceanic and Atmospheric Administration, National Environmental Satellite and Data Information Service, 68 pp., </w:t>
      </w:r>
      <w:proofErr w:type="spellStart"/>
      <w:r w:rsidRPr="00ED7E61">
        <w:rPr>
          <w:rStyle w:val="normaltextrun"/>
          <w:rFonts w:asciiTheme="majorBidi" w:eastAsiaTheme="majorEastAsia" w:hAnsiTheme="majorBidi" w:cstheme="majorBidi"/>
          <w:lang w:val="en-US"/>
        </w:rPr>
        <w:t>doi</w:t>
      </w:r>
      <w:proofErr w:type="spellEnd"/>
      <w:r w:rsidRPr="00ED7E61">
        <w:rPr>
          <w:rStyle w:val="normaltextrun"/>
          <w:rFonts w:asciiTheme="majorBidi" w:eastAsiaTheme="majorEastAsia" w:hAnsiTheme="majorBidi" w:cstheme="majorBidi"/>
          <w:lang w:val="en-US"/>
        </w:rPr>
        <w:t>: TBD.</w:t>
      </w:r>
      <w:r w:rsidRPr="00ED7E61">
        <w:rPr>
          <w:rStyle w:val="eop"/>
          <w:rFonts w:asciiTheme="majorBidi" w:eastAsiaTheme="majorEastAsia" w:hAnsiTheme="majorBidi" w:cstheme="majorBidi"/>
        </w:rPr>
        <w:t> </w:t>
      </w:r>
    </w:p>
    <w:p w14:paraId="518BB65A" w14:textId="01DDF415" w:rsidR="00694186" w:rsidRPr="00ED7E61" w:rsidRDefault="00756F0F" w:rsidP="006D3A5D">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lang w:val="en-US"/>
        </w:rPr>
        <w:t xml:space="preserve">Wang, M., X. Liu, L. Jiang, S. Son, J. Sun, W. Shi, L. Tan, P. Naik, K. </w:t>
      </w:r>
      <w:proofErr w:type="spellStart"/>
      <w:r w:rsidRPr="00ED7E61">
        <w:rPr>
          <w:rStyle w:val="normaltextrun"/>
          <w:rFonts w:asciiTheme="majorBidi" w:eastAsiaTheme="majorEastAsia" w:hAnsiTheme="majorBidi" w:cstheme="majorBidi"/>
          <w:lang w:val="en-US"/>
        </w:rPr>
        <w:t>Mikelsons</w:t>
      </w:r>
      <w:proofErr w:type="spellEnd"/>
      <w:r w:rsidRPr="00ED7E61">
        <w:rPr>
          <w:rStyle w:val="normaltextrun"/>
          <w:rFonts w:asciiTheme="majorBidi" w:eastAsiaTheme="majorEastAsia" w:hAnsiTheme="majorBidi" w:cstheme="majorBidi"/>
          <w:lang w:val="en-US"/>
        </w:rPr>
        <w:t xml:space="preserve">, X. Wang and V. Lance (2014), Evaluation of VIIRS Ocean Color Products, Proc. SPIE 9261, 92610E, </w:t>
      </w:r>
      <w:proofErr w:type="spellStart"/>
      <w:r w:rsidRPr="00ED7E61">
        <w:rPr>
          <w:rStyle w:val="normaltextrun"/>
          <w:rFonts w:asciiTheme="majorBidi" w:eastAsiaTheme="majorEastAsia" w:hAnsiTheme="majorBidi" w:cstheme="majorBidi"/>
          <w:lang w:val="en-US"/>
        </w:rPr>
        <w:t>doi</w:t>
      </w:r>
      <w:proofErr w:type="spellEnd"/>
      <w:r w:rsidRPr="00ED7E61">
        <w:rPr>
          <w:rStyle w:val="normaltextrun"/>
          <w:rFonts w:asciiTheme="majorBidi" w:eastAsiaTheme="majorEastAsia" w:hAnsiTheme="majorBidi" w:cstheme="majorBidi"/>
          <w:lang w:val="en-US"/>
        </w:rPr>
        <w:t>: 10.1117/12.2069251.</w:t>
      </w:r>
      <w:r w:rsidRPr="00ED7E61">
        <w:rPr>
          <w:rStyle w:val="eop"/>
          <w:rFonts w:asciiTheme="majorBidi" w:eastAsiaTheme="majorEastAsia" w:hAnsiTheme="majorBidi" w:cstheme="majorBidi"/>
        </w:rPr>
        <w:t> </w:t>
      </w:r>
    </w:p>
    <w:p w14:paraId="6E13A5FF" w14:textId="219C27DB" w:rsidR="00694186" w:rsidRPr="00ED7E61" w:rsidRDefault="00756F0F" w:rsidP="006D3A5D">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lang w:val="en-US"/>
        </w:rPr>
        <w:lastRenderedPageBreak/>
        <w:t xml:space="preserve">Stumpf, Richard P., Holderied, Kristine, Sinclair, Mark, (2003), Determination of water depth with high-resolution satellite imagery over variable bottom types, Limnology and Oceanography, 1, part, 2, </w:t>
      </w:r>
      <w:proofErr w:type="spellStart"/>
      <w:r w:rsidRPr="00ED7E61">
        <w:rPr>
          <w:rStyle w:val="normaltextrun"/>
          <w:rFonts w:asciiTheme="majorBidi" w:eastAsiaTheme="majorEastAsia" w:hAnsiTheme="majorBidi" w:cstheme="majorBidi"/>
          <w:lang w:val="en-US"/>
        </w:rPr>
        <w:t>doi</w:t>
      </w:r>
      <w:proofErr w:type="spellEnd"/>
      <w:r w:rsidRPr="00ED7E61">
        <w:rPr>
          <w:rStyle w:val="normaltextrun"/>
          <w:rFonts w:asciiTheme="majorBidi" w:eastAsiaTheme="majorEastAsia" w:hAnsiTheme="majorBidi" w:cstheme="majorBidi"/>
          <w:lang w:val="en-US"/>
        </w:rPr>
        <w:t>: 10.4319/lo.2003.48.1_part_2.0547</w:t>
      </w:r>
      <w:r w:rsidRPr="00ED7E61">
        <w:rPr>
          <w:rStyle w:val="eop"/>
          <w:rFonts w:asciiTheme="majorBidi" w:eastAsiaTheme="majorEastAsia" w:hAnsiTheme="majorBidi" w:cstheme="majorBidi"/>
        </w:rPr>
        <w:t> </w:t>
      </w:r>
    </w:p>
    <w:p w14:paraId="0BB3FE68" w14:textId="2E7E950D" w:rsidR="00694186" w:rsidRPr="00ED7E61" w:rsidRDefault="00756F0F" w:rsidP="006D3A5D">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 xml:space="preserve">Garnier, J., </w:t>
      </w:r>
      <w:proofErr w:type="spellStart"/>
      <w:r w:rsidRPr="00ED7E61">
        <w:rPr>
          <w:rStyle w:val="normaltextrun"/>
          <w:rFonts w:asciiTheme="majorBidi" w:eastAsiaTheme="majorEastAsia" w:hAnsiTheme="majorBidi" w:cstheme="majorBidi"/>
        </w:rPr>
        <w:t>Beusen</w:t>
      </w:r>
      <w:proofErr w:type="spellEnd"/>
      <w:r w:rsidRPr="00ED7E61">
        <w:rPr>
          <w:rStyle w:val="normaltextrun"/>
          <w:rFonts w:asciiTheme="majorBidi" w:eastAsiaTheme="majorEastAsia" w:hAnsiTheme="majorBidi" w:cstheme="majorBidi"/>
        </w:rPr>
        <w:t>, A., Thieu, V., Billen, G. and Bouwman, L. (2010) N</w:t>
      </w:r>
      <w:proofErr w:type="gramStart"/>
      <w:r w:rsidRPr="00ED7E61">
        <w:rPr>
          <w:rStyle w:val="normaltextrun"/>
          <w:rFonts w:asciiTheme="majorBidi" w:eastAsiaTheme="majorEastAsia" w:hAnsiTheme="majorBidi" w:cstheme="majorBidi"/>
        </w:rPr>
        <w:t>:P:Si</w:t>
      </w:r>
      <w:proofErr w:type="gramEnd"/>
      <w:r w:rsidRPr="00ED7E61">
        <w:rPr>
          <w:rStyle w:val="normaltextrun"/>
          <w:rFonts w:asciiTheme="majorBidi" w:eastAsiaTheme="majorEastAsia" w:hAnsiTheme="majorBidi" w:cstheme="majorBidi"/>
        </w:rPr>
        <w:t xml:space="preserve"> nutrient export ratios and ecological consequences in coastal seas evaluated by the ICEP approach</w:t>
      </w:r>
      <w:r w:rsidRPr="00ED7E61">
        <w:rPr>
          <w:rStyle w:val="eop"/>
          <w:rFonts w:asciiTheme="majorBidi" w:eastAsiaTheme="majorEastAsia" w:hAnsiTheme="majorBidi" w:cstheme="majorBidi"/>
        </w:rPr>
        <w:t> </w:t>
      </w:r>
    </w:p>
    <w:p w14:paraId="445636C9" w14:textId="7337025B" w:rsidR="00694186" w:rsidRPr="00ED7E61" w:rsidRDefault="00756F0F" w:rsidP="006D3A5D">
      <w:pPr>
        <w:pStyle w:val="CBDNormalNumber"/>
        <w:ind w:left="567"/>
        <w:jc w:val="left"/>
        <w:rPr>
          <w:rFonts w:asciiTheme="majorBidi" w:hAnsiTheme="majorBidi" w:cstheme="majorBidi"/>
        </w:rPr>
      </w:pPr>
      <w:r w:rsidRPr="00ED7E61">
        <w:rPr>
          <w:rStyle w:val="normaltextrun"/>
          <w:rFonts w:asciiTheme="majorBidi" w:eastAsiaTheme="majorEastAsia" w:hAnsiTheme="majorBidi" w:cstheme="majorBidi"/>
        </w:rPr>
        <w:t xml:space="preserve">Billen, G. and Garnier, J.  (2007) River basin nutrient delivery to the coastal sea: Assessing its potential to sustain new production of non-siliceous algae </w:t>
      </w:r>
      <w:r w:rsidRPr="00ED7E61">
        <w:rPr>
          <w:rStyle w:val="normaltextrun"/>
          <w:rFonts w:asciiTheme="majorBidi" w:eastAsiaTheme="majorEastAsia" w:hAnsiTheme="majorBidi" w:cstheme="majorBidi"/>
          <w:i/>
          <w:iCs/>
        </w:rPr>
        <w:t>Marine Chemistry 106(1-2):148-160</w:t>
      </w:r>
      <w:r w:rsidRPr="00ED7E61">
        <w:rPr>
          <w:rStyle w:val="eop"/>
          <w:rFonts w:asciiTheme="majorBidi" w:eastAsiaTheme="majorEastAsia" w:hAnsiTheme="majorBidi" w:cstheme="majorBidi"/>
        </w:rPr>
        <w:t> </w:t>
      </w:r>
    </w:p>
    <w:p w14:paraId="5C22FE6C" w14:textId="01671D69" w:rsidR="00694186" w:rsidRPr="00ED7E61" w:rsidRDefault="00756F0F" w:rsidP="006D3A5D">
      <w:pPr>
        <w:pStyle w:val="CBDNormalNumber"/>
        <w:ind w:left="567"/>
        <w:jc w:val="left"/>
        <w:rPr>
          <w:rFonts w:asciiTheme="majorBidi" w:hAnsiTheme="majorBidi" w:cstheme="majorBidi"/>
        </w:rPr>
      </w:pPr>
      <w:proofErr w:type="spellStart"/>
      <w:r w:rsidRPr="00ED7E61">
        <w:rPr>
          <w:rStyle w:val="normaltextrun"/>
          <w:rFonts w:asciiTheme="majorBidi" w:eastAsiaTheme="majorEastAsia" w:hAnsiTheme="majorBidi" w:cstheme="majorBidi"/>
        </w:rPr>
        <w:t>Sathyendranath</w:t>
      </w:r>
      <w:proofErr w:type="spellEnd"/>
      <w:r w:rsidRPr="00ED7E61">
        <w:rPr>
          <w:rStyle w:val="normaltextrun"/>
          <w:rFonts w:asciiTheme="majorBidi" w:eastAsiaTheme="majorEastAsia" w:hAnsiTheme="majorBidi" w:cstheme="majorBidi"/>
        </w:rPr>
        <w:t xml:space="preserve"> S., Grant M., Brewin R.J.W., Brockmann C., </w:t>
      </w:r>
      <w:proofErr w:type="spellStart"/>
      <w:r w:rsidRPr="00ED7E61">
        <w:rPr>
          <w:rStyle w:val="normaltextrun"/>
          <w:rFonts w:asciiTheme="majorBidi" w:eastAsiaTheme="majorEastAsia" w:hAnsiTheme="majorBidi" w:cstheme="majorBidi"/>
        </w:rPr>
        <w:t>Brotas</w:t>
      </w:r>
      <w:proofErr w:type="spellEnd"/>
      <w:r w:rsidRPr="00ED7E61">
        <w:rPr>
          <w:rStyle w:val="normaltextrun"/>
          <w:rFonts w:asciiTheme="majorBidi" w:eastAsiaTheme="majorEastAsia" w:hAnsiTheme="majorBidi" w:cstheme="majorBidi"/>
        </w:rPr>
        <w:t xml:space="preserve"> V., Chuprin A., </w:t>
      </w:r>
      <w:proofErr w:type="spellStart"/>
      <w:r w:rsidRPr="00ED7E61">
        <w:rPr>
          <w:rStyle w:val="normaltextrun"/>
          <w:rFonts w:asciiTheme="majorBidi" w:eastAsiaTheme="majorEastAsia" w:hAnsiTheme="majorBidi" w:cstheme="majorBidi"/>
        </w:rPr>
        <w:t>Doerffer</w:t>
      </w:r>
      <w:proofErr w:type="spellEnd"/>
      <w:r w:rsidRPr="00ED7E61">
        <w:rPr>
          <w:rStyle w:val="normaltextrun"/>
          <w:rFonts w:asciiTheme="majorBidi" w:eastAsiaTheme="majorEastAsia" w:hAnsiTheme="majorBidi" w:cstheme="majorBidi"/>
        </w:rPr>
        <w:t xml:space="preserve"> R., Dowell M., Farman A., Groom S., et al. ESA Ocean Colour Climate Change Initiative (</w:t>
      </w:r>
      <w:proofErr w:type="spellStart"/>
      <w:r w:rsidRPr="00ED7E61">
        <w:rPr>
          <w:rStyle w:val="normaltextrun"/>
          <w:rFonts w:asciiTheme="majorBidi" w:eastAsiaTheme="majorEastAsia" w:hAnsiTheme="majorBidi" w:cstheme="majorBidi"/>
        </w:rPr>
        <w:t>Ocean_Colour_cci</w:t>
      </w:r>
      <w:proofErr w:type="spellEnd"/>
      <w:r w:rsidRPr="00ED7E61">
        <w:rPr>
          <w:rStyle w:val="normaltextrun"/>
          <w:rFonts w:asciiTheme="majorBidi" w:eastAsiaTheme="majorEastAsia" w:hAnsiTheme="majorBidi" w:cstheme="majorBidi"/>
        </w:rPr>
        <w:t xml:space="preserve">): Version 3.1 Data. </w:t>
      </w:r>
      <w:r w:rsidRPr="00ED7E61">
        <w:rPr>
          <w:rStyle w:val="normaltextrun"/>
          <w:rFonts w:asciiTheme="majorBidi" w:eastAsiaTheme="majorEastAsia" w:hAnsiTheme="majorBidi" w:cstheme="majorBidi"/>
          <w:i/>
          <w:iCs/>
        </w:rPr>
        <w:t>Centre for Environmental Data Analysis; Harwell, UK: 2018. Technical Report.</w:t>
      </w:r>
      <w:r w:rsidRPr="00ED7E61">
        <w:rPr>
          <w:rStyle w:val="eop"/>
          <w:rFonts w:asciiTheme="majorBidi" w:eastAsiaTheme="majorEastAsia" w:hAnsiTheme="majorBidi" w:cstheme="majorBidi"/>
        </w:rPr>
        <w:t> </w:t>
      </w:r>
    </w:p>
    <w:p w14:paraId="2527A3AA" w14:textId="77777777" w:rsidR="00756F0F" w:rsidRPr="00ED7E61" w:rsidRDefault="00756F0F" w:rsidP="006D3A5D">
      <w:pPr>
        <w:pStyle w:val="CBDNormalNumber"/>
        <w:ind w:left="567"/>
        <w:jc w:val="left"/>
        <w:rPr>
          <w:rFonts w:asciiTheme="majorBidi" w:hAnsiTheme="majorBidi" w:cstheme="majorBidi"/>
        </w:rPr>
      </w:pPr>
      <w:proofErr w:type="spellStart"/>
      <w:r w:rsidRPr="00ED7E61">
        <w:rPr>
          <w:rStyle w:val="normaltextrun"/>
          <w:rFonts w:asciiTheme="majorBidi" w:eastAsiaTheme="majorEastAsia" w:hAnsiTheme="majorBidi" w:cstheme="majorBidi"/>
        </w:rPr>
        <w:t>Strokal</w:t>
      </w:r>
      <w:proofErr w:type="spellEnd"/>
      <w:r w:rsidRPr="00ED7E61">
        <w:rPr>
          <w:rStyle w:val="normaltextrun"/>
          <w:rFonts w:asciiTheme="majorBidi" w:eastAsiaTheme="majorEastAsia" w:hAnsiTheme="majorBidi" w:cstheme="majorBidi"/>
        </w:rPr>
        <w:t xml:space="preserve">, M., Kroeze, C., Wang, M., and Ma, L. (2016) Reducing future river export of nutrients to coastal waters of China in optimistic scenarios </w:t>
      </w:r>
      <w:r w:rsidRPr="00ED7E61">
        <w:rPr>
          <w:rStyle w:val="normaltextrun"/>
          <w:rFonts w:asciiTheme="majorBidi" w:eastAsiaTheme="majorEastAsia" w:hAnsiTheme="majorBidi" w:cstheme="majorBidi"/>
          <w:i/>
          <w:iCs/>
        </w:rPr>
        <w:t>Science of the Total Environment 579.</w:t>
      </w:r>
      <w:r w:rsidRPr="00ED7E61">
        <w:rPr>
          <w:rStyle w:val="eop"/>
          <w:rFonts w:asciiTheme="majorBidi" w:eastAsiaTheme="majorEastAsia" w:hAnsiTheme="majorBidi" w:cstheme="majorBidi"/>
        </w:rPr>
        <w:t> </w:t>
      </w:r>
    </w:p>
    <w:p w14:paraId="7CBE67C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12. Graphs and diagrams </w:t>
      </w:r>
      <w:r w:rsidRPr="00ED7E61">
        <w:rPr>
          <w:rStyle w:val="eop"/>
          <w:rFonts w:asciiTheme="majorBidi" w:eastAsiaTheme="majorEastAsia" w:hAnsiTheme="majorBidi" w:cstheme="majorBidi"/>
          <w:sz w:val="22"/>
          <w:szCs w:val="22"/>
        </w:rPr>
        <w:t> </w:t>
      </w:r>
    </w:p>
    <w:p w14:paraId="2F9F3D64" w14:textId="77777777" w:rsidR="00756F0F" w:rsidRPr="00ED7E61" w:rsidRDefault="00756F0F" w:rsidP="006D3A5D">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0B02FCE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1EE90D8" w14:textId="77777777" w:rsidR="00D311B8" w:rsidRPr="00ED7E61" w:rsidRDefault="00D311B8" w:rsidP="00395866">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0CADAA2D" w14:textId="298CB3BD" w:rsidR="00756F0F" w:rsidRDefault="002946B5" w:rsidP="00501E19">
      <w:pPr>
        <w:pStyle w:val="Heading3"/>
        <w:rPr>
          <w:rStyle w:val="normaltextrun"/>
        </w:rPr>
      </w:pPr>
      <w:bookmarkStart w:id="39" w:name="_Toc233278572"/>
      <w:r w:rsidRPr="006776DD">
        <w:rPr>
          <w:rStyle w:val="normaltextrun"/>
        </w:rPr>
        <w:lastRenderedPageBreak/>
        <w:t xml:space="preserve">7.2 </w:t>
      </w:r>
      <w:r w:rsidR="006776DD" w:rsidRPr="006776DD">
        <w:rPr>
          <w:rStyle w:val="normaltextrun"/>
        </w:rPr>
        <w:t>Pesticide environment concentration and/or aggregated total applied toxicity</w:t>
      </w:r>
      <w:bookmarkEnd w:id="39"/>
    </w:p>
    <w:p w14:paraId="06ACDDB3" w14:textId="341A217B" w:rsidR="00C80E30" w:rsidRDefault="00EC36CD" w:rsidP="007A5B4A">
      <w:pPr>
        <w:pStyle w:val="CBDNormalNumber"/>
        <w:numPr>
          <w:ilvl w:val="0"/>
          <w:numId w:val="77"/>
        </w:numPr>
        <w:ind w:left="567" w:firstLine="0"/>
      </w:pPr>
      <w:r>
        <w:t xml:space="preserve">In decision 16/31 Parties identified </w:t>
      </w:r>
      <w:r w:rsidRPr="001036A4">
        <w:t xml:space="preserve">pesticide environment concentration and/or aggregated total applied toxicity as headline indicators for </w:t>
      </w:r>
      <w:r w:rsidR="00F0663A" w:rsidRPr="001036A4">
        <w:t xml:space="preserve">Target 7. </w:t>
      </w:r>
      <w:r w:rsidR="00935B45" w:rsidRPr="00EC36CD">
        <w:t>Parties may choose to report on pesticide environment concentration and/or aggregated total applied toxicity headline indicator, depending on the availability of methodology and in accordance with their national circumstances and technical capacities.</w:t>
      </w:r>
      <w:r w:rsidR="007A5B4A">
        <w:t xml:space="preserve"> </w:t>
      </w:r>
      <w:r w:rsidR="00935B45" w:rsidRPr="001036A4">
        <w:t>Note that t</w:t>
      </w:r>
      <w:r w:rsidR="00F0663A" w:rsidRPr="001036A4">
        <w:t xml:space="preserve">he Ad hoc Technical Expert Group </w:t>
      </w:r>
      <w:r w:rsidR="006A3C96" w:rsidRPr="001036A4">
        <w:t>established to support the further development and operationalization of the monitoring framework</w:t>
      </w:r>
      <w:r w:rsidR="00E850C6" w:rsidRPr="001036A4">
        <w:t xml:space="preserve"> </w:t>
      </w:r>
      <w:r w:rsidR="00935B45" w:rsidRPr="001036A4">
        <w:t xml:space="preserve">only developed metadata for the indicator </w:t>
      </w:r>
      <w:r w:rsidR="00E850C6" w:rsidRPr="001036A4">
        <w:t>aggregated total applied toxicity</w:t>
      </w:r>
      <w:r w:rsidR="00935B45" w:rsidRPr="001036A4">
        <w:t xml:space="preserve"> </w:t>
      </w:r>
      <w:r w:rsidR="008C35F0">
        <w:t>which</w:t>
      </w:r>
      <w:r w:rsidR="008C35F0" w:rsidRPr="001036A4">
        <w:t xml:space="preserve"> </w:t>
      </w:r>
      <w:r w:rsidR="00935B45" w:rsidRPr="001036A4">
        <w:t xml:space="preserve">is provided below. </w:t>
      </w:r>
      <w:r w:rsidR="008904D0">
        <w:t xml:space="preserve">Metadata for the indicator pesticide environment concentration is not currently available. </w:t>
      </w:r>
    </w:p>
    <w:p w14:paraId="5C12E60F" w14:textId="77777777" w:rsidR="00501E19" w:rsidRPr="00ED7E61" w:rsidRDefault="00501E19"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5615695B" w14:textId="29D14363"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b/>
          <w:bCs/>
          <w:sz w:val="22"/>
          <w:szCs w:val="22"/>
        </w:rPr>
        <w:t> </w:t>
      </w:r>
    </w:p>
    <w:p w14:paraId="0E77B0E3"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7.2 Aggregated Total Applied Toxicity (ATAT)</w:t>
      </w:r>
      <w:r w:rsidRPr="00ED7E61">
        <w:rPr>
          <w:rStyle w:val="eop"/>
          <w:rFonts w:asciiTheme="majorBidi" w:eastAsiaTheme="majorEastAsia" w:hAnsiTheme="majorBidi" w:cstheme="majorBidi"/>
          <w:sz w:val="22"/>
          <w:szCs w:val="22"/>
        </w:rPr>
        <w:t> </w:t>
      </w:r>
    </w:p>
    <w:p w14:paraId="20C9AC5D" w14:textId="77777777" w:rsidR="00756F0F" w:rsidRPr="00ED7E61" w:rsidRDefault="00756F0F" w:rsidP="00650586">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b/>
          <w:bCs/>
          <w:sz w:val="22"/>
          <w:szCs w:val="22"/>
        </w:rPr>
        <w:t> </w:t>
      </w:r>
    </w:p>
    <w:p w14:paraId="73E63297" w14:textId="35127469" w:rsidR="00756F0F" w:rsidRPr="00ED7E61" w:rsidRDefault="00A02731" w:rsidP="00395866">
      <w:pPr>
        <w:pStyle w:val="paragraph"/>
        <w:spacing w:before="0" w:beforeAutospacing="0" w:after="0" w:afterAutospacing="0"/>
        <w:textAlignment w:val="baseline"/>
        <w:rPr>
          <w:rFonts w:asciiTheme="majorBidi" w:hAnsiTheme="majorBidi" w:cstheme="majorBidi"/>
          <w:sz w:val="22"/>
          <w:szCs w:val="22"/>
        </w:rPr>
      </w:pPr>
      <w:proofErr w:type="gramStart"/>
      <w:r>
        <w:rPr>
          <w:rStyle w:val="normaltextrun"/>
          <w:rFonts w:asciiTheme="majorBidi" w:eastAsiaTheme="majorEastAsia" w:hAnsiTheme="majorBidi" w:cstheme="majorBidi"/>
          <w:sz w:val="22"/>
          <w:szCs w:val="22"/>
          <w:lang w:val="en-GB"/>
        </w:rPr>
        <w:t xml:space="preserve">March </w:t>
      </w:r>
      <w:r w:rsidR="006B30FE" w:rsidRPr="00ED7E61">
        <w:rPr>
          <w:rStyle w:val="normaltextrun"/>
          <w:rFonts w:asciiTheme="majorBidi" w:eastAsiaTheme="majorEastAsia" w:hAnsiTheme="majorBidi" w:cstheme="majorBidi"/>
          <w:sz w:val="22"/>
          <w:szCs w:val="22"/>
          <w:lang w:val="en-GB"/>
        </w:rPr>
        <w:t xml:space="preserve"> </w:t>
      </w:r>
      <w:r>
        <w:rPr>
          <w:rStyle w:val="normaltextrun"/>
          <w:rFonts w:asciiTheme="majorBidi" w:eastAsiaTheme="majorEastAsia" w:hAnsiTheme="majorBidi" w:cstheme="majorBidi"/>
          <w:sz w:val="22"/>
          <w:szCs w:val="22"/>
          <w:lang w:val="en-GB"/>
        </w:rPr>
        <w:t>2026</w:t>
      </w:r>
      <w:proofErr w:type="gramEnd"/>
      <w:r w:rsidR="00756F0F" w:rsidRPr="00ED7E61">
        <w:rPr>
          <w:rStyle w:val="eop"/>
          <w:rFonts w:asciiTheme="majorBidi" w:eastAsiaTheme="majorEastAsia" w:hAnsiTheme="majorBidi" w:cstheme="majorBidi"/>
          <w:sz w:val="22"/>
          <w:szCs w:val="22"/>
        </w:rPr>
        <w:t> </w:t>
      </w:r>
    </w:p>
    <w:p w14:paraId="612FBDA5" w14:textId="77777777" w:rsidR="00756F0F" w:rsidRPr="00ED7E61" w:rsidRDefault="00756F0F" w:rsidP="00650586">
      <w:pPr>
        <w:pStyle w:val="paragraph"/>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b/>
          <w:bCs/>
          <w:sz w:val="22"/>
          <w:szCs w:val="22"/>
        </w:rPr>
        <w:t> </w:t>
      </w:r>
    </w:p>
    <w:p w14:paraId="7F8B474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42BD5EC0" w14:textId="77777777" w:rsidR="00CF4954" w:rsidRDefault="00756F0F" w:rsidP="00650586">
      <w:pPr>
        <w:pStyle w:val="paragraph"/>
        <w:spacing w:before="0" w:beforeAutospacing="0" w:after="0" w:afterAutospacing="0"/>
        <w:ind w:left="567"/>
        <w:textAlignment w:val="baseline"/>
        <w:rPr>
          <w:rStyle w:val="normaltextrun"/>
          <w:rFonts w:asciiTheme="majorBidi" w:eastAsiaTheme="majorEastAsia" w:hAnsiTheme="majorBidi" w:cstheme="majorBidi"/>
          <w:i/>
          <w:iCs/>
          <w:sz w:val="22"/>
          <w:szCs w:val="22"/>
          <w:lang w:val="en-GB"/>
        </w:rPr>
      </w:pPr>
      <w:r w:rsidRPr="00ED7E61">
        <w:rPr>
          <w:rStyle w:val="normaltextrun"/>
          <w:rFonts w:asciiTheme="majorBidi" w:eastAsiaTheme="majorEastAsia" w:hAnsiTheme="majorBidi" w:cstheme="majorBidi"/>
          <w:i/>
          <w:iCs/>
          <w:sz w:val="22"/>
          <w:szCs w:val="22"/>
          <w:lang w:val="en-GB"/>
        </w:rPr>
        <w:t>N/A</w:t>
      </w:r>
    </w:p>
    <w:p w14:paraId="2CE086CC" w14:textId="77777777" w:rsidR="00CF4954" w:rsidRPr="00CF4954" w:rsidRDefault="00CF4954" w:rsidP="00CF4954">
      <w:pPr>
        <w:pStyle w:val="paragraph"/>
        <w:pBdr>
          <w:bottom w:val="single" w:sz="4" w:space="1" w:color="000000"/>
        </w:pBdr>
        <w:spacing w:before="0" w:beforeAutospacing="0" w:after="0" w:afterAutospacing="0"/>
        <w:textAlignment w:val="baseline"/>
        <w:rPr>
          <w:rStyle w:val="normaltextrun"/>
          <w:b/>
          <w:bCs/>
        </w:rPr>
      </w:pPr>
      <w:r w:rsidRPr="00CF4954">
        <w:rPr>
          <w:rStyle w:val="normaltextrun"/>
          <w:b/>
          <w:bCs/>
        </w:rPr>
        <w:t>3b. Target  </w:t>
      </w:r>
    </w:p>
    <w:p w14:paraId="3CA00C03" w14:textId="77777777" w:rsidR="00CF4954" w:rsidRPr="00CF4954" w:rsidRDefault="00CF4954" w:rsidP="00CF4954">
      <w:pPr>
        <w:pStyle w:val="paragraph"/>
        <w:ind w:left="567"/>
        <w:textAlignment w:val="baseline"/>
        <w:rPr>
          <w:rFonts w:asciiTheme="majorBidi" w:eastAsiaTheme="majorEastAsia" w:hAnsiTheme="majorBidi" w:cstheme="majorBidi"/>
          <w:sz w:val="22"/>
          <w:szCs w:val="22"/>
          <w:lang w:val="en-US"/>
        </w:rPr>
      </w:pPr>
      <w:r w:rsidRPr="00CF4954">
        <w:rPr>
          <w:rFonts w:asciiTheme="majorBidi" w:eastAsiaTheme="majorEastAsia" w:hAnsiTheme="majorBidi" w:cstheme="majorBidi"/>
          <w:sz w:val="22"/>
          <w:szCs w:val="22"/>
          <w:lang w:val="en-US"/>
        </w:rPr>
        <w:t xml:space="preserve">Target 7: 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 </w:t>
      </w:r>
    </w:p>
    <w:p w14:paraId="1ED56401" w14:textId="4940FED5" w:rsidR="00CF4954" w:rsidRPr="00CF4954" w:rsidRDefault="00CF4954" w:rsidP="00CF4954">
      <w:pPr>
        <w:pStyle w:val="paragraph"/>
        <w:ind w:left="567"/>
        <w:textAlignment w:val="baseline"/>
        <w:rPr>
          <w:rFonts w:asciiTheme="majorBidi" w:eastAsiaTheme="majorEastAsia" w:hAnsiTheme="majorBidi" w:cstheme="majorBidi"/>
          <w:sz w:val="22"/>
          <w:szCs w:val="22"/>
          <w:lang w:val="en-US"/>
        </w:rPr>
      </w:pPr>
      <w:r w:rsidRPr="00CF4954">
        <w:rPr>
          <w:rFonts w:asciiTheme="majorBidi" w:eastAsiaTheme="majorEastAsia" w:hAnsiTheme="majorBidi" w:cstheme="majorBidi"/>
          <w:sz w:val="22"/>
          <w:szCs w:val="22"/>
          <w:lang w:val="en-US"/>
        </w:rPr>
        <w:t>This headline indicator addresses target</w:t>
      </w:r>
      <w:r w:rsidR="00966797">
        <w:rPr>
          <w:rFonts w:asciiTheme="majorBidi" w:eastAsiaTheme="majorEastAsia" w:hAnsiTheme="majorBidi" w:cstheme="majorBidi"/>
          <w:sz w:val="22"/>
          <w:szCs w:val="22"/>
          <w:lang w:val="en-US"/>
        </w:rPr>
        <w:t xml:space="preserve"> element</w:t>
      </w:r>
      <w:r w:rsidRPr="00CF4954">
        <w:rPr>
          <w:rFonts w:asciiTheme="majorBidi" w:eastAsiaTheme="majorEastAsia" w:hAnsiTheme="majorBidi" w:cstheme="majorBidi"/>
          <w:sz w:val="22"/>
          <w:szCs w:val="22"/>
          <w:lang w:val="en-US"/>
        </w:rPr>
        <w:t xml:space="preserve"> b</w:t>
      </w:r>
      <w:r w:rsidR="00EF06AB">
        <w:rPr>
          <w:rFonts w:asciiTheme="majorBidi" w:eastAsiaTheme="majorEastAsia" w:hAnsiTheme="majorBidi" w:cstheme="majorBidi"/>
          <w:sz w:val="22"/>
          <w:szCs w:val="22"/>
          <w:lang w:val="en-US"/>
        </w:rPr>
        <w:t>.</w:t>
      </w:r>
      <w:r w:rsidRPr="00CF4954">
        <w:rPr>
          <w:rFonts w:asciiTheme="majorBidi" w:eastAsiaTheme="majorEastAsia" w:hAnsiTheme="majorBidi" w:cstheme="majorBidi"/>
          <w:sz w:val="22"/>
          <w:szCs w:val="22"/>
          <w:lang w:val="en-US"/>
        </w:rPr>
        <w:t xml:space="preserve"> </w:t>
      </w:r>
      <w:r w:rsidR="00EF06AB">
        <w:rPr>
          <w:rFonts w:asciiTheme="majorBidi" w:eastAsiaTheme="majorEastAsia" w:hAnsiTheme="majorBidi" w:cstheme="majorBidi"/>
          <w:sz w:val="22"/>
          <w:szCs w:val="22"/>
          <w:lang w:val="en-US"/>
        </w:rPr>
        <w:t>F</w:t>
      </w:r>
      <w:r w:rsidRPr="00CF4954">
        <w:rPr>
          <w:rFonts w:asciiTheme="majorBidi" w:eastAsiaTheme="majorEastAsia" w:hAnsiTheme="majorBidi" w:cstheme="majorBidi"/>
          <w:sz w:val="22"/>
          <w:szCs w:val="22"/>
          <w:lang w:val="en-US"/>
        </w:rPr>
        <w:t>or information on the headline indicator related to target</w:t>
      </w:r>
      <w:r w:rsidR="00EF06AB">
        <w:rPr>
          <w:rFonts w:asciiTheme="majorBidi" w:eastAsiaTheme="majorEastAsia" w:hAnsiTheme="majorBidi" w:cstheme="majorBidi"/>
          <w:sz w:val="22"/>
          <w:szCs w:val="22"/>
          <w:lang w:val="en-US"/>
        </w:rPr>
        <w:t xml:space="preserve"> element (a) </w:t>
      </w:r>
      <w:r w:rsidRPr="00CF4954">
        <w:rPr>
          <w:rFonts w:asciiTheme="majorBidi" w:eastAsiaTheme="majorEastAsia" w:hAnsiTheme="majorBidi" w:cstheme="majorBidi"/>
          <w:sz w:val="22"/>
          <w:szCs w:val="22"/>
          <w:lang w:val="en-US"/>
        </w:rPr>
        <w:t>see</w:t>
      </w:r>
      <w:r w:rsidR="000E13D2">
        <w:rPr>
          <w:rFonts w:asciiTheme="majorBidi" w:eastAsiaTheme="majorEastAsia" w:hAnsiTheme="majorBidi" w:cstheme="majorBidi"/>
          <w:sz w:val="22"/>
          <w:szCs w:val="22"/>
          <w:lang w:val="en-US"/>
        </w:rPr>
        <w:t xml:space="preserve"> headline indicator </w:t>
      </w:r>
      <w:proofErr w:type="gramStart"/>
      <w:r w:rsidR="000E13D2">
        <w:rPr>
          <w:rFonts w:asciiTheme="majorBidi" w:eastAsiaTheme="majorEastAsia" w:hAnsiTheme="majorBidi" w:cstheme="majorBidi"/>
          <w:sz w:val="22"/>
          <w:szCs w:val="22"/>
          <w:lang w:val="en-US"/>
        </w:rPr>
        <w:t xml:space="preserve">7.1 </w:t>
      </w:r>
      <w:r w:rsidRPr="00CF4954">
        <w:rPr>
          <w:rFonts w:asciiTheme="majorBidi" w:eastAsiaTheme="majorEastAsia" w:hAnsiTheme="majorBidi" w:cstheme="majorBidi"/>
          <w:sz w:val="22"/>
          <w:szCs w:val="22"/>
          <w:lang w:val="en-US"/>
        </w:rPr>
        <w:t xml:space="preserve"> ‘</w:t>
      </w:r>
      <w:proofErr w:type="gramEnd"/>
      <w:r w:rsidRPr="00CF4954">
        <w:rPr>
          <w:rFonts w:asciiTheme="majorBidi" w:eastAsiaTheme="majorEastAsia" w:hAnsiTheme="majorBidi" w:cstheme="majorBidi"/>
          <w:sz w:val="22"/>
          <w:szCs w:val="22"/>
          <w:lang w:val="en-US"/>
        </w:rPr>
        <w:t>index of coastal eutrophication potential’).</w:t>
      </w:r>
    </w:p>
    <w:p w14:paraId="1D3A043A" w14:textId="03B7A756" w:rsidR="00756F0F" w:rsidRPr="00ED7E61" w:rsidRDefault="00756F0F" w:rsidP="00650586">
      <w:pPr>
        <w:pStyle w:val="paragraph"/>
        <w:spacing w:before="0" w:beforeAutospacing="0" w:after="0" w:afterAutospacing="0"/>
        <w:ind w:left="567"/>
        <w:textAlignment w:val="baseline"/>
        <w:rPr>
          <w:rFonts w:asciiTheme="majorBidi" w:hAnsiTheme="majorBidi" w:cstheme="majorBidi"/>
          <w:sz w:val="22"/>
          <w:szCs w:val="22"/>
        </w:rPr>
      </w:pPr>
    </w:p>
    <w:p w14:paraId="276255EF"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7EDDA9C6" w14:textId="77777777" w:rsidR="00DA0475" w:rsidRPr="00DA0475" w:rsidRDefault="00DA0475" w:rsidP="0067555D">
      <w:pPr>
        <w:pStyle w:val="CBDNormalNumber"/>
        <w:numPr>
          <w:ilvl w:val="0"/>
          <w:numId w:val="77"/>
        </w:numPr>
        <w:ind w:left="567" w:firstLine="0"/>
      </w:pPr>
      <w:r w:rsidRPr="00DA0475">
        <w:t xml:space="preserve">Chemical pollution can have considerable impacts on ecosystems and biodiversity </w:t>
      </w:r>
      <w:r w:rsidRPr="00DA0475">
        <w:fldChar w:fldCharType="begin">
          <w:fldData xml:space="preserve">PEVuZE5vdGU+PENpdGU+PEF1dGhvcj5CcmFkbGV5PC9BdXRob3I+PFllYXI+MjAyMDwvWWVhcj48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</w:fldData>
        </w:fldChar>
      </w:r>
      <w:r w:rsidRPr="00DA0475">
        <w:instrText xml:space="preserve"> ADDIN EN.CITE </w:instrText>
      </w:r>
      <w:r w:rsidRPr="00DA0475">
        <w:fldChar w:fldCharType="begin">
          <w:fldData xml:space="preserve">PEVuZE5vdGU+PENpdGU+PEF1dGhvcj5CcmFkbGV5PC9BdXRob3I+PFllYXI+MjAyMDwvWWVhcj48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</w:fldData>
        </w:fldChar>
      </w:r>
      <w:r w:rsidRPr="00DA0475">
        <w:instrText xml:space="preserve"> ADDIN EN.CITE.DATA </w:instrText>
      </w:r>
      <w:r w:rsidRPr="00DA0475">
        <w:fldChar w:fldCharType="end"/>
      </w:r>
      <w:r w:rsidRPr="00DA0475">
        <w:fldChar w:fldCharType="separate"/>
      </w:r>
      <w:r w:rsidRPr="00DA0475">
        <w:t>[1-8]</w:t>
      </w:r>
      <w:r w:rsidRPr="00DA0475">
        <w:fldChar w:fldCharType="end"/>
      </w:r>
      <w:r w:rsidRPr="00DA0475">
        <w:t xml:space="preserve">. Pesticides have a propensity for pollution risks due to their outdoor application and their resulting transport into non-target habitats and ecosystems, such as surface waters or field margins </w:t>
      </w:r>
      <w:r w:rsidRPr="00DA0475">
        <w:fldChar w:fldCharType="begin">
          <w:fldData xml:space="preserve">PEVuZE5vdGU+PENpdGU+PEF1dGhvcj5BbXVzYTwvQXV0aG9yPjxZZWFyPjIwMjE8L1llYXI+PFJl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</w:fldData>
        </w:fldChar>
      </w:r>
      <w:r w:rsidRPr="00DA0475">
        <w:instrText xml:space="preserve"> ADDIN EN.CITE </w:instrText>
      </w:r>
      <w:r w:rsidRPr="00DA0475">
        <w:fldChar w:fldCharType="begin">
          <w:fldData xml:space="preserve">PEVuZE5vdGU+PENpdGU+PEF1dGhvcj5BbXVzYTwvQXV0aG9yPjxZZWFyPjIwMjE8L1llYXI+PFJl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</w:fldData>
        </w:fldChar>
      </w:r>
      <w:r w:rsidRPr="00DA0475">
        <w:instrText xml:space="preserve"> ADDIN EN.CITE.DATA </w:instrText>
      </w:r>
      <w:r w:rsidRPr="00DA0475">
        <w:fldChar w:fldCharType="end"/>
      </w:r>
      <w:r w:rsidRPr="00DA0475">
        <w:fldChar w:fldCharType="separate"/>
      </w:r>
      <w:r w:rsidRPr="00DA0475">
        <w:t>[2,6,9-26]</w:t>
      </w:r>
      <w:r w:rsidRPr="00DA0475">
        <w:fldChar w:fldCharType="end"/>
      </w:r>
      <w:r w:rsidRPr="00DA0475">
        <w:t xml:space="preserve">. Pollution risks tend to increase with the amounts of pesticides being used. An indicator of pesticide pollution risks should, therefore, </w:t>
      </w:r>
      <w:proofErr w:type="gramStart"/>
      <w:r w:rsidRPr="00DA0475">
        <w:t>take into account</w:t>
      </w:r>
      <w:proofErr w:type="gramEnd"/>
      <w:r w:rsidRPr="00DA0475">
        <w:t xml:space="preserve"> pesticide use.</w:t>
      </w:r>
    </w:p>
    <w:p w14:paraId="18C700CD" w14:textId="1D7BA65D" w:rsidR="00DA0475" w:rsidRPr="00DA0475" w:rsidRDefault="00DA0475" w:rsidP="0067555D">
      <w:pPr>
        <w:pStyle w:val="CBDNormalNumber"/>
        <w:numPr>
          <w:ilvl w:val="0"/>
          <w:numId w:val="77"/>
        </w:numPr>
        <w:ind w:left="567" w:firstLine="0"/>
      </w:pPr>
      <w:r w:rsidRPr="00DA0475">
        <w:t xml:space="preserve">Individual pesticide active ingredients affect different components of biodiversity, including different non-target species, to dissimilar degrees </w:t>
      </w:r>
      <w:r w:rsidRPr="00DA0475">
        <w:fldChar w:fldCharType="begin">
          <w:fldData xml:space="preserve">PEVuZE5vdGU+PENpdGU+PEF1dGhvcj5CdWI8L0F1dGhvcj48WWVhcj4yMDIzPC9ZZWFyPjxSZWNO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</w:fldData>
        </w:fldChar>
      </w:r>
      <w:r w:rsidRPr="00DA0475">
        <w:instrText xml:space="preserve"> ADDIN EN.CITE </w:instrText>
      </w:r>
      <w:r w:rsidRPr="00DA0475">
        <w:fldChar w:fldCharType="begin">
          <w:fldData xml:space="preserve">PEVuZE5vdGU+PENpdGU+PEF1dGhvcj5CdWI8L0F1dGhvcj48WWVhcj4yMDIzPC9ZZWFyPjxSZWNO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</w:fldData>
        </w:fldChar>
      </w:r>
      <w:r w:rsidRPr="00DA0475">
        <w:instrText xml:space="preserve"> ADDIN EN.CITE.DATA </w:instrText>
      </w:r>
      <w:r w:rsidRPr="00DA0475">
        <w:fldChar w:fldCharType="end"/>
      </w:r>
      <w:r w:rsidRPr="00DA0475">
        <w:fldChar w:fldCharType="separate"/>
      </w:r>
      <w:r w:rsidRPr="00DA0475">
        <w:t>[25,27-30]</w:t>
      </w:r>
      <w:r w:rsidRPr="00DA0475">
        <w:fldChar w:fldCharType="end"/>
      </w:r>
      <w:r w:rsidRPr="00DA0475">
        <w:t xml:space="preserve">. This is expressed as the toxicity of the pesticide for the </w:t>
      </w:r>
      <w:proofErr w:type="gramStart"/>
      <w:r w:rsidRPr="00DA0475">
        <w:t>particular species</w:t>
      </w:r>
      <w:proofErr w:type="gramEnd"/>
      <w:r w:rsidRPr="00DA0475">
        <w:t xml:space="preserve"> or species group. For example, some pesticides are highly toxic to pollinators, whereas others are toxic to aquatic plants. Because toxicities vary, even among chemical compounds belonging to the same pesticide type (e.g., fungicides, herbicides, insecticides) or pesticide class (e.g., based on chemical structure or mode of action), then pesticide use has to be tracked per individual pesticide active ingredient: Total pesticide </w:t>
      </w:r>
      <w:r w:rsidR="008C35F0">
        <w:t>use</w:t>
      </w:r>
      <w:r w:rsidR="008C35F0" w:rsidRPr="00DA0475">
        <w:t xml:space="preserve"> </w:t>
      </w:r>
      <w:r w:rsidRPr="00DA0475">
        <w:t xml:space="preserve">or use per type or class is not sufficient </w:t>
      </w:r>
      <w:r w:rsidRPr="00DA0475">
        <w:fldChar w:fldCharType="begin">
          <w:fldData xml:space="preserve">PEVuZE5vdGU+PENpdGU+PEF1dGhvcj5TY2h1bHo8L0F1dGhvcj48WWVhcj4yMDIxPC9ZZWFyPjxS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==
</w:fldData>
        </w:fldChar>
      </w:r>
      <w:r w:rsidRPr="00DA0475">
        <w:instrText xml:space="preserve"> ADDIN EN.CITE </w:instrText>
      </w:r>
      <w:r w:rsidRPr="00DA0475">
        <w:fldChar w:fldCharType="begin">
          <w:fldData xml:space="preserve">PEVuZE5vdGU+PENpdGU+PEF1dGhvcj5TY2h1bHo8L0F1dGhvcj48WWVhcj4yMDIxPC9ZZWFyPjxS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==
</w:fldData>
        </w:fldChar>
      </w:r>
      <w:r w:rsidRPr="00DA0475">
        <w:instrText xml:space="preserve"> ADDIN EN.CITE.DATA </w:instrText>
      </w:r>
      <w:r w:rsidRPr="00DA0475">
        <w:fldChar w:fldCharType="end"/>
      </w:r>
      <w:r w:rsidRPr="00DA0475">
        <w:fldChar w:fldCharType="separate"/>
      </w:r>
      <w:r w:rsidRPr="00DA0475">
        <w:t>[28,29]</w:t>
      </w:r>
      <w:r w:rsidRPr="00DA0475">
        <w:fldChar w:fldCharType="end"/>
      </w:r>
      <w:r w:rsidRPr="00DA0475">
        <w:t>.</w:t>
      </w:r>
    </w:p>
    <w:p w14:paraId="2576734B" w14:textId="77777777" w:rsidR="00DA0475" w:rsidRPr="00DA0475" w:rsidRDefault="00DA0475" w:rsidP="0067555D">
      <w:pPr>
        <w:pStyle w:val="CBDNormalNumber"/>
        <w:numPr>
          <w:ilvl w:val="0"/>
          <w:numId w:val="77"/>
        </w:numPr>
        <w:ind w:left="567" w:firstLine="0"/>
      </w:pPr>
      <w:r w:rsidRPr="00DA0475">
        <w:t xml:space="preserve">The headline indicator should ensure that a broad range of species are covered to protect </w:t>
      </w:r>
      <w:proofErr w:type="gramStart"/>
      <w:r w:rsidRPr="00DA0475">
        <w:t>biodiversity as a whole</w:t>
      </w:r>
      <w:proofErr w:type="gramEnd"/>
      <w:r w:rsidRPr="00DA0475">
        <w:t>. The indicator should reflect progress towards target 7b, but over-</w:t>
      </w:r>
      <w:r w:rsidRPr="00DA0475">
        <w:lastRenderedPageBreak/>
        <w:t>achievement of the target for some species or species groups should not be allowed to compensate for underachievement related to other species or species groups.</w:t>
      </w:r>
    </w:p>
    <w:p w14:paraId="4C31CE46" w14:textId="43F1466E" w:rsidR="00DA0475" w:rsidRPr="00DA0475" w:rsidRDefault="00DA0475" w:rsidP="0067555D">
      <w:pPr>
        <w:pStyle w:val="CBDNormalNumber"/>
        <w:numPr>
          <w:ilvl w:val="0"/>
          <w:numId w:val="77"/>
        </w:numPr>
        <w:ind w:left="567" w:firstLine="0"/>
      </w:pPr>
      <w:r w:rsidRPr="00DA0475">
        <w:t xml:space="preserve">A low availability of pesticide </w:t>
      </w:r>
      <w:r w:rsidR="008C35F0">
        <w:t>use</w:t>
      </w:r>
      <w:r w:rsidR="008C35F0" w:rsidRPr="00DA0475">
        <w:t xml:space="preserve"> </w:t>
      </w:r>
      <w:r w:rsidRPr="00DA0475">
        <w:t xml:space="preserve">data limits the estimation of pesticide pollution risks. Pesticide </w:t>
      </w:r>
      <w:r w:rsidR="008C35F0">
        <w:t>use</w:t>
      </w:r>
      <w:r w:rsidR="008C35F0" w:rsidRPr="00DA0475">
        <w:t xml:space="preserve"> </w:t>
      </w:r>
      <w:r w:rsidRPr="00DA0475">
        <w:t xml:space="preserve">data is not publicly available for many countries </w:t>
      </w:r>
      <w:r w:rsidRPr="00DA0475">
        <w:fldChar w:fldCharType="begin"/>
      </w:r>
      <w:r w:rsidRPr="00DA0475">
        <w:instrText xml:space="preserve"> ADDIN EN.CITE &lt;EndNote&gt;&lt;Cite&gt;&lt;Author&gt;van den Berg&lt;/Author&gt;&lt;Year&gt;2020&lt;/Year&gt;&lt;RecNum&gt;29&lt;/RecNum&gt;&lt;DisplayText&gt;&lt;style size="10"&gt;[31]&lt;/style&gt;&lt;/DisplayText&gt;&lt;record&gt;&lt;rec-number&gt;29&lt;/rec-number&gt;&lt;foreign-keys&gt;&lt;key app="EN" db-id="t9fvwxa9txt2zxe55d1xfp0opvvvr92xx29e" timestamp="1773228358"&gt;29&lt;/key&gt;&lt;/foreign-keys&gt;&lt;ref-type name="Journal Article"&gt;17&lt;/ref-type&gt;&lt;contributors&gt;&lt;authors&gt;&lt;author&gt;van den Berg, Henk&lt;/author&gt;&lt;author&gt;Gu, Baogen&lt;/author&gt;&lt;author&gt;Grenier, Beatrice&lt;/author&gt;&lt;author&gt;Kohlschmid, Eva&lt;/author&gt;&lt;author&gt;Al-Eryani, Samira&lt;/author&gt;&lt;author&gt;da Silva Bezerra, Haroldo Sergio&lt;/author&gt;&lt;author&gt;Nagpal, Bhupender N.&lt;/author&gt;&lt;author&gt;Chanda, Emmanuel&lt;/author&gt;&lt;author&gt;Gasimov, Elkhan&lt;/author&gt;&lt;author&gt;Velayudhan, Raman&lt;/author&gt;&lt;author&gt;Yadav, Rajpal S.&lt;/author&gt;&lt;/authors&gt;&lt;/contributors&gt;&lt;titles&gt;&lt;title&gt;Pesticide lifecycle management in agriculture and public health: Where are the gaps?&lt;/title&gt;&lt;secondary-title&gt;Science of The Total Environment&lt;/secondary-title&gt;&lt;/titles&gt;&lt;periodical&gt;&lt;full-title&gt;Science of The Total Environment&lt;/full-title&gt;&lt;/periodical&gt;&lt;pages&gt;140598&lt;/pages&gt;&lt;volume&gt;742&lt;/volume&gt;&lt;keywords&gt;&lt;keyword&gt;Insecticide resistance&lt;/keyword&gt;&lt;keyword&gt;Pest control&lt;/keyword&gt;&lt;keyword&gt;Pesticide management&lt;/keyword&gt;&lt;keyword&gt;Lifecycle management&lt;/keyword&gt;&lt;keyword&gt;Risk reduction&lt;/keyword&gt;&lt;keyword&gt;Vector control&lt;/keyword&gt;&lt;/keywords&gt;&lt;dates&gt;&lt;year&gt;2020&lt;/year&gt;&lt;pub-dates&gt;&lt;date&gt;2020/11/10/&lt;/date&gt;&lt;/pub-dates&gt;&lt;/dates&gt;&lt;isbn&gt;0048-9697&lt;/isbn&gt;&lt;urls&gt;&lt;related-urls&gt;&lt;url&gt;https://www.sciencedirect.com/science/article/pii/S0048969720341206&lt;/url&gt;&lt;/related-urls&gt;&lt;/urls&gt;&lt;electronic-resource-num&gt;https://doi.org/10.1016/j.scitotenv.2020.140598&lt;/electronic-resource-num&gt;&lt;/record&gt;&lt;/Cite&gt;&lt;/EndNote&gt;</w:instrText>
      </w:r>
      <w:r w:rsidRPr="00DA0475">
        <w:fldChar w:fldCharType="separate"/>
      </w:r>
      <w:r w:rsidRPr="00DA0475">
        <w:t>[31]</w:t>
      </w:r>
      <w:r w:rsidRPr="00DA0475">
        <w:fldChar w:fldCharType="end"/>
      </w:r>
      <w:r w:rsidRPr="00DA0475">
        <w:t xml:space="preserve">. In such cases, use </w:t>
      </w:r>
      <w:proofErr w:type="gramStart"/>
      <w:r w:rsidRPr="00DA0475">
        <w:t>has to</w:t>
      </w:r>
      <w:proofErr w:type="gramEnd"/>
      <w:r w:rsidRPr="00DA0475">
        <w:t xml:space="preserve"> be estimated from sales, import, export and production data. National indicators established in some countries incorporate additional data for the estimation of pollution risks </w:t>
      </w:r>
      <w:r w:rsidRPr="00DA0475">
        <w:fldChar w:fldCharType="begin">
          <w:fldData xml:space="preserve">PEVuZE5vdGU+PENpdGU+PEF1dGhvcj5Ccm93bjwvQXV0aG9yPjxZZWFyPjIwMDM8L1llYXI+PFJl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</w:fldData>
        </w:fldChar>
      </w:r>
      <w:r w:rsidRPr="00DA0475">
        <w:instrText xml:space="preserve"> ADDIN EN.CITE </w:instrText>
      </w:r>
      <w:r w:rsidRPr="00DA0475">
        <w:fldChar w:fldCharType="begin">
          <w:fldData xml:space="preserve">PEVuZE5vdGU+PENpdGU+PEF1dGhvcj5Ccm93bjwvQXV0aG9yPjxZZWFyPjIwMDM8L1llYXI+PFJl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</w:fldData>
        </w:fldChar>
      </w:r>
      <w:r w:rsidRPr="00DA0475">
        <w:instrText xml:space="preserve"> ADDIN EN.CITE.DATA </w:instrText>
      </w:r>
      <w:r w:rsidRPr="00DA0475">
        <w:fldChar w:fldCharType="end"/>
      </w:r>
      <w:r w:rsidRPr="00DA0475">
        <w:fldChar w:fldCharType="separate"/>
      </w:r>
      <w:r w:rsidRPr="00DA0475">
        <w:t>[19,32-39]</w:t>
      </w:r>
      <w:r w:rsidRPr="00DA0475">
        <w:fldChar w:fldCharType="end"/>
      </w:r>
      <w:r w:rsidRPr="00DA0475">
        <w:t xml:space="preserve">, but their high requirements for data and analytical capacity make them unsuited as global headline indicators. Aggregated Total Applied Toxicity (ATAT) builds on Total Applied Toxicity (TAT </w:t>
      </w:r>
      <w:r w:rsidRPr="00DA0475">
        <w:fldChar w:fldCharType="begin"/>
      </w:r>
      <w:r w:rsidRPr="00DA0475">
        <w:instrText xml:space="preserve"> ADDIN EN.CITE &lt;EndNote&gt;&lt;Cite&gt;&lt;Author&gt;Schulz&lt;/Author&gt;&lt;Year&gt;2021&lt;/Year&gt;&lt;RecNum&gt;30&lt;/RecNum&gt;&lt;DisplayText&gt;&lt;style size="10"&gt;[28]&lt;/style&gt;&lt;/DisplayText&gt;&lt;record&gt;&lt;rec-number&gt;30&lt;/rec-number&gt;&lt;foreign-keys&gt;&lt;key app="EN" db-id="t9fvwxa9txt2zxe55d1xfp0opvvvr92xx29e" timestamp="1773228402"&gt;30&lt;/key&gt;&lt;/foreign-keys&gt;&lt;ref-type name="Journal Article"&gt;17&lt;/ref-type&gt;&lt;contributors&gt;&lt;authors&gt;&lt;author&gt;Schulz, Ralf&lt;/author&gt;&lt;author&gt;Bub, Sascha&lt;/author&gt;&lt;author&gt;Petschick, Lara L.&lt;/author&gt;&lt;author&gt;Stehle, Sebastian&lt;/author&gt;&lt;author&gt;Wolfram, Jakob&lt;/author&gt;&lt;/authors&gt;&lt;/contributors&gt;&lt;titles&gt;&lt;title&gt;Applied pesticide toxicity shifts toward plants and invertebrates, even in GM crops&lt;/title&gt;&lt;secondary-title&gt;Science&lt;/secondary-title&gt;&lt;/titles&gt;&lt;periodical&gt;&lt;full-title&gt;Science&lt;/full-title&gt;&lt;/periodical&gt;&lt;pages&gt;81-84&lt;/pages&gt;&lt;volume&gt;372&lt;/volume&gt;&lt;number&gt;6537&lt;/number&gt;&lt;dates&gt;&lt;year&gt;2021&lt;/year&gt;&lt;/dates&gt;&lt;urls&gt;&lt;related-urls&gt;&lt;url&gt;https://www.science.org/doi/abs/10.1126/science.abe1148&lt;/url&gt;&lt;/related-urls&gt;&lt;/urls&gt;&lt;electronic-resource-num&gt;doi:10.1126/science.abe1148&lt;/electronic-resource-num&gt;&lt;/record&gt;&lt;/Cite&gt;&lt;/EndNote&gt;</w:instrText>
      </w:r>
      <w:r w:rsidRPr="00DA0475">
        <w:fldChar w:fldCharType="separate"/>
      </w:r>
      <w:r w:rsidRPr="00DA0475">
        <w:t>[28]</w:t>
      </w:r>
      <w:r w:rsidRPr="00DA0475">
        <w:fldChar w:fldCharType="end"/>
      </w:r>
      <w:r w:rsidRPr="00DA0475">
        <w:t xml:space="preserve">), which requires only active ingredients </w:t>
      </w:r>
      <w:r w:rsidR="002F67D3">
        <w:t>use</w:t>
      </w:r>
      <w:r w:rsidR="002F67D3" w:rsidRPr="00DA0475">
        <w:t xml:space="preserve"> </w:t>
      </w:r>
      <w:r w:rsidRPr="00DA0475">
        <w:t>and related toxicities as input data. TAT uses compound-specific pesticide toxicities as a weighting factor for the amounts of each applied pesticide in a country. The ATAT incorporates TATs for a range of species groups by pesticides used in agriculture, considered proxies for pesticide risk to non-target species [24,28,29], and assesses changes across TATs relative to an established target and baseline.</w:t>
      </w:r>
    </w:p>
    <w:p w14:paraId="2DC33EF4" w14:textId="77777777" w:rsidR="00DA0475" w:rsidRPr="00DA0475" w:rsidRDefault="00DA0475" w:rsidP="0067555D">
      <w:pPr>
        <w:pStyle w:val="CBDNormalNumber"/>
        <w:numPr>
          <w:ilvl w:val="0"/>
          <w:numId w:val="77"/>
        </w:numPr>
        <w:ind w:left="567" w:firstLine="0"/>
      </w:pPr>
      <w:r w:rsidRPr="00DA0475">
        <w:t xml:space="preserve">Currently, pesticide pollution cannot be comprehensively monitored directly. Even with established monitoring programs </w:t>
      </w:r>
      <w:bookmarkStart w:id="40" w:name="_Hlk223427226"/>
      <w:r w:rsidRPr="00DA0475">
        <w:fldChar w:fldCharType="begin">
          <w:fldData xml:space="preserve">PEVuZE5vdGU+PENpdGU+PEF1dGhvcj5DZW50YW5uaTwvQXV0aG9yPjxZZWFyPjIwMjM8L1llYXI+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</w:fldData>
        </w:fldChar>
      </w:r>
      <w:r w:rsidRPr="00DA0475">
        <w:instrText xml:space="preserve"> ADDIN EN.CITE </w:instrText>
      </w:r>
      <w:r w:rsidRPr="00DA0475">
        <w:fldChar w:fldCharType="begin">
          <w:fldData xml:space="preserve">PEVuZE5vdGU+PENpdGU+PEF1dGhvcj5DZW50YW5uaTwvQXV0aG9yPjxZZWFyPjIwMjM8L1llYXI+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</w:fldData>
        </w:fldChar>
      </w:r>
      <w:r w:rsidRPr="00DA0475">
        <w:instrText xml:space="preserve"> ADDIN EN.CITE.DATA </w:instrText>
      </w:r>
      <w:r w:rsidRPr="00DA0475">
        <w:fldChar w:fldCharType="end"/>
      </w:r>
      <w:r w:rsidRPr="00DA0475">
        <w:fldChar w:fldCharType="separate"/>
      </w:r>
      <w:r w:rsidRPr="00DA0475">
        <w:t>[12,15,22,23,40-42]</w:t>
      </w:r>
      <w:r w:rsidRPr="00DA0475">
        <w:fldChar w:fldCharType="end"/>
      </w:r>
      <w:bookmarkEnd w:id="40"/>
      <w:r w:rsidRPr="00DA0475">
        <w:t xml:space="preserve">, the limitations of on-site pesticide monitoring in different environmental compartments (e.g., surface water, soil, atmosphere) hinders comprehensive and accurate risk evaluations at large spatial scales </w:t>
      </w:r>
      <w:r w:rsidRPr="00DA0475">
        <w:fldChar w:fldCharType="begin"/>
      </w:r>
      <w:r w:rsidRPr="00DA0475">
        <w:instrText xml:space="preserve"> ADDIN EN.CITE &lt;EndNote&gt;&lt;Cite&gt;&lt;Author&gt;Bub&lt;/Author&gt;&lt;Year&gt;2025&lt;/Year&gt;&lt;RecNum&gt;59&lt;/RecNum&gt;&lt;DisplayText&gt;&lt;style size="10"&gt;[11]&lt;/style&gt;&lt;/DisplayText&gt;&lt;record&gt;&lt;rec-number&gt;59&lt;/rec-number&gt;&lt;foreign-keys&gt;&lt;key app="EN" db-id="t9fvwxa9txt2zxe55d1xfp0opvvvr92xx29e" timestamp="1773229295"&gt;59&lt;/key&gt;&lt;/foreign-keys&gt;&lt;ref-type name="Journal Article"&gt;17&lt;/ref-type&gt;&lt;contributors&gt;&lt;authors&gt;&lt;author&gt;Bub, Sascha&lt;/author&gt;&lt;author&gt;Petschick, Lara L.&lt;/author&gt;&lt;author&gt;Stehle, Sebastian&lt;/author&gt;&lt;author&gt;Wolfram, Jakob&lt;/author&gt;&lt;author&gt;Schulz, Ralf&lt;/author&gt;&lt;/authors&gt;&lt;/contributors&gt;&lt;titles&gt;&lt;title&gt;Limitations of chemical monitoring hinder aquatic risk evaluations on the macroscale&lt;/title&gt;&lt;secondary-title&gt;Science&lt;/secondary-title&gt;&lt;/titles&gt;&lt;periodical&gt;&lt;full-title&gt;Science&lt;/full-title&gt;&lt;/periodical&gt;&lt;pages&gt;1301-1305&lt;/pages&gt;&lt;volume&gt;388&lt;/volume&gt;&lt;number&gt;6753&lt;/number&gt;&lt;dates&gt;&lt;year&gt;2025&lt;/year&gt;&lt;/dates&gt;&lt;urls&gt;&lt;related-urls&gt;&lt;url&gt;https://www.science.org/doi/abs/10.1126/science.adn5356&lt;/url&gt;&lt;/related-urls&gt;&lt;/urls&gt;&lt;electronic-resource-num&gt;doi:10.1126/science.adn5356&lt;/electronic-resource-num&gt;&lt;/record&gt;&lt;/Cite&gt;&lt;/EndNote&gt;</w:instrText>
      </w:r>
      <w:r w:rsidRPr="00DA0475">
        <w:fldChar w:fldCharType="separate"/>
      </w:r>
      <w:r w:rsidRPr="00DA0475">
        <w:t>[11]</w:t>
      </w:r>
      <w:r w:rsidRPr="00DA0475">
        <w:fldChar w:fldCharType="end"/>
      </w:r>
      <w:r w:rsidRPr="00DA0475">
        <w:t>.</w:t>
      </w:r>
    </w:p>
    <w:p w14:paraId="3652E338" w14:textId="77777777" w:rsidR="00DA0475" w:rsidRPr="00DA0475" w:rsidRDefault="00DA0475" w:rsidP="0067555D">
      <w:pPr>
        <w:pStyle w:val="CBDNormalNumber"/>
        <w:numPr>
          <w:ilvl w:val="0"/>
          <w:numId w:val="77"/>
        </w:numPr>
        <w:ind w:left="567" w:firstLine="0"/>
      </w:pPr>
      <w:r w:rsidRPr="00DA0475">
        <w:t>In many instances, pollution risks associated with other highly hazardous chemicals, other than pesticides, do not emerge from direct outdoor applications. This headline indicator cannot track pollution risks from these chemicals. Complementary indicators may be developed to track the target for these chemicals.</w:t>
      </w:r>
    </w:p>
    <w:p w14:paraId="22C67962" w14:textId="77777777" w:rsidR="00697090" w:rsidRPr="00ED7E61" w:rsidRDefault="00697090" w:rsidP="00697090">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332B6724" w14:textId="77777777" w:rsidR="00697090" w:rsidRPr="00ED7E61" w:rsidRDefault="00697090" w:rsidP="00650586">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17FA0080" w14:textId="77777777" w:rsidR="009E5FDE" w:rsidRDefault="009E5FDE" w:rsidP="002003C0">
      <w:pPr>
        <w:pStyle w:val="CBDNormalNumber"/>
        <w:numPr>
          <w:ilvl w:val="0"/>
          <w:numId w:val="77"/>
        </w:numPr>
        <w:ind w:left="567" w:firstLine="0"/>
      </w:pPr>
      <w:r w:rsidRPr="002003C0">
        <w:t xml:space="preserve">Pesticides are any substance or mixture of substances—chemical or biological—intended to repel, destroy, or control pests, including vectors of human or animal disease, unwanted species of plants or animals causing harm during production, processing, storage, or transport of food and agricultural commodities </w:t>
      </w:r>
      <w:r w:rsidRPr="002003C0">
        <w:fldChar w:fldCharType="begin"/>
      </w:r>
      <w:r w:rsidRPr="002003C0">
        <w:instrText xml:space="preserve"> ADDIN EN.CITE &lt;EndNote&gt;&lt;Cite&gt;&lt;Author&gt;World Health Organisation and Food and Agricultur Organisation of the United Nations&lt;/Author&gt;&lt;Year&gt;2014&lt;/Year&gt;&lt;RecNum&gt;66&lt;/RecNum&gt;&lt;DisplayText&gt;&lt;style size="10"&gt;[43]&lt;/style&gt;&lt;/DisplayText&gt;&lt;record&gt;&lt;rec-number&gt;66&lt;/rec-number&gt;&lt;foreign-keys&gt;&lt;key app="EN" db-id="t9fvwxa9txt2zxe55d1xfp0opvvvr92xx29e" timestamp="1773230462"&gt;66&lt;/key&gt;&lt;/foreign-keys&gt;&lt;ref-type name="Web Page"&gt;12&lt;/ref-type&gt;&lt;contributors&gt;&lt;authors&gt;&lt;author&gt;World Health Organisation and Food and Agricultur Organisation of the United Nations,&lt;/author&gt;&lt;/authors&gt;&lt;/contributors&gt;&lt;titles&gt;&lt;title&gt;International code of conduct on pesticide management: guidelines on pesticide legislation&lt;/title&gt;&lt;/titles&gt;&lt;dates&gt;&lt;year&gt;2014&lt;/year&gt;&lt;/dates&gt;&lt;urls&gt;&lt;related-urls&gt;&lt;url&gt;https://apps.who.int/iris/bitstream/handle/10665/195648/9789241509671_eng.pdf?sequence=1 &lt;/url&gt;&lt;/related-urls&gt;&lt;/urls&gt;&lt;/record&gt;&lt;/Cite&gt;&lt;/EndNote&gt;</w:instrText>
      </w:r>
      <w:r w:rsidRPr="002003C0">
        <w:fldChar w:fldCharType="separate"/>
      </w:r>
      <w:r w:rsidRPr="002003C0">
        <w:t>[43]</w:t>
      </w:r>
      <w:r w:rsidRPr="002003C0">
        <w:fldChar w:fldCharType="end"/>
      </w:r>
      <w:r w:rsidRPr="002003C0">
        <w:t xml:space="preserve">. </w:t>
      </w:r>
      <w:r>
        <w:t xml:space="preserve">Pesticides are understood here as active ingredients, i.e., chemical compounds, and not as products. Approximately 600 pesticides, for which toxicity data are available for a large number of species groups </w:t>
      </w:r>
      <w:r>
        <w:fldChar w:fldCharType="begin"/>
      </w:r>
      <w:r>
        <w:instrText xml:space="preserve"> ADDIN EN.CITE &lt;EndNote&gt;&lt;Cite&gt;&lt;Author&gt;Wolfram&lt;/Author&gt;&lt;Year&gt;2026&lt;/Year&gt;&lt;RecNum&gt;65&lt;/RecNum&gt;&lt;DisplayText&gt;&lt;style size="10"&gt;[29]&lt;/style&gt;&lt;/DisplayText&gt;&lt;record&gt;&lt;rec-number&gt;65&lt;/rec-number&gt;&lt;foreign-keys&gt;&lt;key app="EN" db-id="t9fvwxa9txt2zxe55d1xfp0opvvvr92xx29e" timestamp="1773229451"&gt;65&lt;/key&gt;&lt;/foreign-keys&gt;&lt;ref-type name="Journal Article"&gt;17&lt;/ref-type&gt;&lt;contributors&gt;&lt;authors&gt;&lt;author&gt;Wolfram, Jakob&lt;/author&gt;&lt;author&gt;Bussen, Dino&lt;/author&gt;&lt;author&gt;Bub, Sascha&lt;/author&gt;&lt;author&gt;Petschick, Lara L.&lt;/author&gt;&lt;author&gt;Herrmann, Larissa Z.&lt;/author&gt;&lt;author&gt;Schulz, Ralf&lt;/author&gt;&lt;/authors&gt;&lt;/contributors&gt;&lt;titles&gt;&lt;title&gt;Increasing applied pesticide toxicity trends counteract the global reduction target to safeguard biodiversity&lt;/title&gt;&lt;secondary-title&gt;Science&lt;/secondary-title&gt;&lt;/titles&gt;&lt;periodical&gt;&lt;full-title&gt;Science&lt;/full-title&gt;&lt;/periodical&gt;&lt;pages&gt;616-621&lt;/pages&gt;&lt;volume&gt;391&lt;/volume&gt;&lt;number&gt;6785&lt;/number&gt;&lt;dates&gt;&lt;year&gt;2026&lt;/year&gt;&lt;/dates&gt;&lt;urls&gt;&lt;related-urls&gt;&lt;url&gt;https://www.science.org/doi/abs/10.1126/science.aea8602&lt;/url&gt;&lt;/related-urls&gt;&lt;/urls&gt;&lt;electronic-resource-num&gt;doi:10.1126/science.aea8602&lt;/electronic-resource-num&gt;&lt;/record&gt;&lt;/Cite&gt;&lt;/EndNote&gt;</w:instrText>
      </w:r>
      <w:r>
        <w:fldChar w:fldCharType="separate"/>
      </w:r>
      <w:r w:rsidRPr="002003C0">
        <w:t>[29]</w:t>
      </w:r>
      <w:r>
        <w:fldChar w:fldCharType="end"/>
      </w:r>
      <w:r>
        <w:t xml:space="preserve">, form the basis for ATAT calculations in each country (see 5e Data sources). These include pesticides of various types (e.g., fungicides, herbicides, insecticides) that are mainly synthetic chemicals and mainly used outdoors. </w:t>
      </w:r>
    </w:p>
    <w:p w14:paraId="6CF1E160" w14:textId="1A27D470" w:rsidR="009E5FDE" w:rsidRDefault="009E5FDE" w:rsidP="002003C0">
      <w:pPr>
        <w:pStyle w:val="CBDNormalNumber"/>
        <w:numPr>
          <w:ilvl w:val="0"/>
          <w:numId w:val="77"/>
        </w:numPr>
        <w:ind w:left="567" w:firstLine="0"/>
      </w:pPr>
      <w:r>
        <w:t xml:space="preserve">Pesticide use is the amount of a pesticide active ingredient (in kg) applied within a country and a year. Where this </w:t>
      </w:r>
      <w:r w:rsidR="00C13BB0">
        <w:t xml:space="preserve">use </w:t>
      </w:r>
      <w:r>
        <w:t>data is not available through government records or survey-based market research, it can be estimated using sales, import, export, and production data. Only outdoor pesticide use</w:t>
      </w:r>
      <w:r w:rsidR="00C13BB0">
        <w:t>, including seed treatments,</w:t>
      </w:r>
      <w:r>
        <w:t xml:space="preserve"> should be included in ATAT calculations; other uses, for example in greenhouses or storage, should be excluded. When outdoor uses are not reported separately for pesticides that are mainly used outdoors, then these pesticides should also be included for ATAT calculations.</w:t>
      </w:r>
    </w:p>
    <w:p w14:paraId="16600688" w14:textId="77777777" w:rsidR="009E5FDE" w:rsidRDefault="009E5FDE" w:rsidP="002003C0">
      <w:pPr>
        <w:pStyle w:val="CBDNormalNumber"/>
        <w:numPr>
          <w:ilvl w:val="0"/>
          <w:numId w:val="77"/>
        </w:numPr>
        <w:ind w:left="567" w:firstLine="0"/>
      </w:pPr>
      <w:r>
        <w:t xml:space="preserve">A range of species groups, each with species that have similar taxonomic or functional properties, represent the species diversity component of biodiversity </w:t>
      </w:r>
      <w:r>
        <w:fldChar w:fldCharType="begin"/>
      </w:r>
      <w:r>
        <w:instrText xml:space="preserve"> ADDIN EN.CITE &lt;EndNote&gt;&lt;Cite&gt;&lt;Author&gt;Wolfram&lt;/Author&gt;&lt;Year&gt;2026&lt;/Year&gt;&lt;RecNum&gt;65&lt;/RecNum&gt;&lt;DisplayText&gt;&lt;style size="10"&gt;[29]&lt;/style&gt;&lt;/DisplayText&gt;&lt;record&gt;&lt;rec-number&gt;65&lt;/rec-number&gt;&lt;foreign-keys&gt;&lt;key app="EN" db-id="t9fvwxa9txt2zxe55d1xfp0opvvvr92xx29e" timestamp="1773229451"&gt;65&lt;/key&gt;&lt;/foreign-keys&gt;&lt;ref-type name="Journal Article"&gt;17&lt;/ref-type&gt;&lt;contributors&gt;&lt;authors&gt;&lt;author&gt;Wolfram, Jakob&lt;/author&gt;&lt;author&gt;Bussen, Dino&lt;/author&gt;&lt;author&gt;Bub, Sascha&lt;/author&gt;&lt;author&gt;Petschick, Lara L.&lt;/author&gt;&lt;author&gt;Herrmann, Larissa Z.&lt;/author&gt;&lt;author&gt;Schulz, Ralf&lt;/author&gt;&lt;/authors&gt;&lt;/contributors&gt;&lt;titles&gt;&lt;title&gt;Increasing applied pesticide toxicity trends counteract the global reduction target to safeguard biodiversity&lt;/title&gt;&lt;secondary-title&gt;Science&lt;/secondary-title&gt;&lt;/titles&gt;&lt;periodical&gt;&lt;full-title&gt;Science&lt;/full-title&gt;&lt;/periodical&gt;&lt;pages&gt;616-621&lt;/pages&gt;&lt;volume&gt;391&lt;/volume&gt;&lt;number&gt;6785&lt;/number&gt;&lt;dates&gt;&lt;year&gt;2026&lt;/year&gt;&lt;/dates&gt;&lt;urls&gt;&lt;related-urls&gt;&lt;url&gt;https://www.science.org/doi/abs/10.1126/science.aea8602&lt;/url&gt;&lt;/related-urls&gt;&lt;/urls&gt;&lt;electronic-resource-num&gt;doi:10.1126/science.aea8602&lt;/electronic-resource-num&gt;&lt;/record&gt;&lt;/Cite&gt;&lt;/EndNote&gt;</w:instrText>
      </w:r>
      <w:r>
        <w:fldChar w:fldCharType="separate"/>
      </w:r>
      <w:r w:rsidRPr="002003C0">
        <w:t>[29]</w:t>
      </w:r>
      <w:r>
        <w:fldChar w:fldCharType="end"/>
      </w:r>
      <w:r>
        <w:t xml:space="preserve">. Together, these groups are considered as the broadest possible representation of biodiversity in the context of species groups for which pesticide toxicity data are available. Species groups are defined during pesticide risk assessments in countries that implement pesticide regulatory frameworks. The ATAT uses a set of nine species groups that are commonly considered under pesticide regulatory frameworks, these are: aquatic invertebrates, aquatic plants, fish, terrestrial arthropods (excluding pollinators), pollinators, birds, mammals, soil organisms and terrestrial plants. An advantage of considering different species groups is the possibility to identify leverage points for effective management decisions, such as substituting more toxic with less toxic pesticide alternatives </w:t>
      </w:r>
      <w:r>
        <w:fldChar w:fldCharType="begin"/>
      </w:r>
      <w:r>
        <w:instrText xml:space="preserve"> ADDIN EN.CITE &lt;EndNote&gt;&lt;Cite&gt;&lt;Author&gt;Wolfram&lt;/Author&gt;&lt;Year&gt;2026&lt;/Year&gt;&lt;RecNum&gt;65&lt;/RecNum&gt;&lt;DisplayText&gt;&lt;style size="10"&gt;[29]&lt;/style&gt;&lt;/DisplayText&gt;&lt;record&gt;&lt;rec-number&gt;65&lt;/rec-number&gt;&lt;foreign-keys&gt;&lt;key app="EN" db-id="t9fvwxa9txt2zxe55d1xfp0opvvvr92xx29e" timestamp="1773229451"&gt;65&lt;/key&gt;&lt;/foreign-keys&gt;&lt;ref-type name="Journal Article"&gt;17&lt;/ref-type&gt;&lt;contributors&gt;&lt;authors&gt;&lt;author&gt;Wolfram, Jakob&lt;/author&gt;&lt;author&gt;Bussen, Dino&lt;/author&gt;&lt;author&gt;Bub, Sascha&lt;/author&gt;&lt;author&gt;Petschick, Lara L.&lt;/author&gt;&lt;author&gt;Herrmann, Larissa Z.&lt;/author&gt;&lt;author&gt;Schulz, Ralf&lt;/author&gt;&lt;/authors&gt;&lt;/contributors&gt;&lt;titles&gt;&lt;title&gt;Increasing applied pesticide toxicity trends counteract the global reduction target to safeguard biodiversity&lt;/title&gt;&lt;secondary-title&gt;Science&lt;/secondary-title&gt;&lt;/titles&gt;&lt;periodical&gt;&lt;full-title&gt;Science&lt;/full-title&gt;&lt;/periodical&gt;&lt;pages&gt;616-621&lt;/pages&gt;&lt;volume&gt;391&lt;/volume&gt;&lt;number&gt;6785&lt;/number&gt;&lt;dates&gt;&lt;year&gt;2026&lt;/year&gt;&lt;/dates&gt;&lt;urls&gt;&lt;related-urls&gt;&lt;url&gt;https://www.science.org/doi/abs/10.1126/science.aea8602&lt;/url&gt;&lt;/related-urls&gt;&lt;/urls&gt;&lt;electronic-resource-num&gt;doi:10.1126/science.aea8602&lt;/electronic-resource-num&gt;&lt;/record&gt;&lt;/Cite&gt;&lt;/EndNote&gt;</w:instrText>
      </w:r>
      <w:r>
        <w:fldChar w:fldCharType="separate"/>
      </w:r>
      <w:r w:rsidRPr="002003C0">
        <w:t>[29]</w:t>
      </w:r>
      <w:r>
        <w:fldChar w:fldCharType="end"/>
      </w:r>
      <w:r>
        <w:t>. Further details regarding the coverage of species groups are provided in section 5e.</w:t>
      </w:r>
    </w:p>
    <w:p w14:paraId="7CE73D2F" w14:textId="77777777" w:rsidR="009E5FDE" w:rsidRDefault="009E5FDE" w:rsidP="002003C0">
      <w:pPr>
        <w:pStyle w:val="CBDNormalNumber"/>
        <w:numPr>
          <w:ilvl w:val="0"/>
          <w:numId w:val="77"/>
        </w:numPr>
        <w:ind w:left="567" w:firstLine="0"/>
      </w:pPr>
      <w:r>
        <w:lastRenderedPageBreak/>
        <w:t xml:space="preserve">Regulatory frameworks have been established in some countries and regions to proactively evaluate and manage risks from pesticide use. Within these frameworks, considerable information on pesticide toxicities is accumulated with a high level of standardization, allowing comparisons of acute or chronic toxicity data between </w:t>
      </w:r>
      <w:proofErr w:type="gramStart"/>
      <w:r>
        <w:t>a large number of</w:t>
      </w:r>
      <w:proofErr w:type="gramEnd"/>
      <w:r>
        <w:t xml:space="preserve"> pesticides. Data and methodologies from regulatory frameworks, harmonized for global representativeness, are the main source of toxicity estimates for ATAT calculations. The toxicity of a pesticide refers to the amount of pesticide in a medium (or organism) that results in specific effects, commonly derived from laboratory tests </w:t>
      </w:r>
      <w:r>
        <w:fldChar w:fldCharType="begin">
          <w:fldData xml:space="preserve">PEVuZE5vdGU+PENpdGU+PEF1dGhvcj5MZXdpczwvQXV0aG9yPjxZZWFyPjIwMjE8L1llYXI+PFJl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</w:fldData>
        </w:fldChar>
      </w:r>
      <w:r>
        <w:instrText xml:space="preserve"> ADDIN EN.CITE </w:instrText>
      </w:r>
      <w:r>
        <w:fldChar w:fldCharType="begin">
          <w:fldData xml:space="preserve">PEVuZE5vdGU+PENpdGU+PEF1dGhvcj5MZXdpczwvQXV0aG9yPjxZZWFyPjIwMjE8L1llYXI+PFJl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</w:fldData>
        </w:fldChar>
      </w:r>
      <w:r>
        <w:instrText xml:space="preserve"> ADDIN EN.CITE.DATA </w:instrText>
      </w:r>
      <w:r>
        <w:fldChar w:fldCharType="end"/>
      </w:r>
      <w:r>
        <w:fldChar w:fldCharType="separate"/>
      </w:r>
      <w:r w:rsidRPr="002003C0">
        <w:t>[28,35,44]</w:t>
      </w:r>
      <w:r>
        <w:fldChar w:fldCharType="end"/>
      </w:r>
      <w:r>
        <w:t>. Toxicities are expressed as a single value for each pesticide active ingredient for a species (where data is available, toxicities for adjuvants, solvents or other pesticide components can be included). ATAT calculations for all countries will use the same set of toxicity values in the form of Regulatory Threshold Levels (RTLs [23]). These RTL values are derived by (</w:t>
      </w:r>
      <w:proofErr w:type="spellStart"/>
      <w:r>
        <w:t>i</w:t>
      </w:r>
      <w:proofErr w:type="spellEnd"/>
      <w:r>
        <w:t>) collating acute and chronic ecotoxicity endpoint values (e.g., LC</w:t>
      </w:r>
      <w:r w:rsidRPr="002003C0">
        <w:t>₅₀</w:t>
      </w:r>
      <w:r>
        <w:t>, EC</w:t>
      </w:r>
      <w:r w:rsidRPr="002003C0">
        <w:t>₅₀</w:t>
      </w:r>
      <w:r>
        <w:t xml:space="preserve">, NOEC, etc.) for each pesticide active ingredient for each species within a group; (ii) applying methodologies in established regulatory frameworks, such as safety factors </w:t>
      </w:r>
      <w:r>
        <w:fldChar w:fldCharType="begin"/>
      </w:r>
      <w:r>
        <w:instrText xml:space="preserve"> ADDIN EN.CITE &lt;EndNote&gt;&lt;Cite&gt;&lt;Author&gt;Stehle&lt;/Author&gt;&lt;Year&gt;2015&lt;/Year&gt;&lt;RecNum&gt;6&lt;/RecNum&gt;&lt;DisplayText&gt;&lt;style size="10"&gt;[22,23]&lt;/style&gt;&lt;/DisplayText&gt;&lt;record&gt;&lt;rec-number&gt;6&lt;/rec-number&gt;&lt;foreign-keys&gt;&lt;key app="EN" db-id="t9fvwxa9txt2zxe55d1xfp0opvvvr92xx29e" timestamp="1773227608"&gt;6&lt;/key&gt;&lt;/foreign-keys&gt;&lt;ref-type name="Journal Article"&gt;17&lt;/ref-type&gt;&lt;contributors&gt;&lt;authors&gt;&lt;author&gt;Stehle, Sebastian&lt;/author&gt;&lt;author&gt;Schulz, Ralf&lt;/author&gt;&lt;/authors&gt;&lt;/contributors&gt;&lt;titles&gt;&lt;title&gt;Pesticide authorization in the EU—environment unprotected?&lt;/title&gt;&lt;secondary-title&gt;Environmental Science and Pollution Research&lt;/secondary-title&gt;&lt;/titles&gt;&lt;periodical&gt;&lt;full-title&gt;Environmental Science and Pollution Research&lt;/full-title&gt;&lt;/periodical&gt;&lt;pages&gt;19632-19647&lt;/pages&gt;&lt;volume&gt;22&lt;/volume&gt;&lt;number&gt;24&lt;/number&gt;&lt;dates&gt;&lt;year&gt;2015&lt;/year&gt;&lt;pub-dates&gt;&lt;date&gt;2015/12/01&lt;/date&gt;&lt;/pub-dates&gt;&lt;/dates&gt;&lt;isbn&gt;1614-7499&lt;/isbn&gt;&lt;urls&gt;&lt;related-urls&gt;&lt;url&gt;https://doi.org/10.1007/s11356-015-5148-5&lt;/url&gt;&lt;/related-urls&gt;&lt;/urls&gt;&lt;electronic-resource-num&gt;10.1007/s11356-015-5148-5&lt;/electronic-resource-num&gt;&lt;/record&gt;&lt;/Cite&gt;&lt;Cite&gt;&lt;Author&gt;Stehle&lt;/Author&gt;&lt;Year&gt;2015&lt;/Year&gt;&lt;RecNum&gt;50&lt;/RecNum&gt;&lt;record&gt;&lt;rec-number&gt;50&lt;/rec-number&gt;&lt;foreign-keys&gt;&lt;key app="EN" db-id="t9fvwxa9txt2zxe55d1xfp0opvvvr92xx29e" timestamp="1773229022"&gt;50&lt;/key&gt;&lt;/foreign-keys&gt;&lt;ref-type name="Journal Article"&gt;17&lt;/ref-type&gt;&lt;contributors&gt;&lt;authors&gt;&lt;author&gt;Stehle, Sebastian&lt;/author&gt;&lt;author&gt;Schulz, Ralf&lt;/author&gt;&lt;/authors&gt;&lt;/contributors&gt;&lt;titles&gt;&lt;title&gt;Agricultural insecticides threaten surface waters at the global scale&lt;/title&gt;&lt;secondary-title&gt;Proceedings of the National Academy of Sciences&lt;/secondary-title&gt;&lt;/titles&gt;&lt;periodical&gt;&lt;full-title&gt;Proceedings of the National Academy of Sciences&lt;/full-title&gt;&lt;/periodical&gt;&lt;pages&gt;5750-5755&lt;/pages&gt;&lt;volume&gt;112&lt;/volume&gt;&lt;number&gt;18&lt;/number&gt;&lt;dates&gt;&lt;year&gt;2015&lt;/year&gt;&lt;/dates&gt;&lt;urls&gt;&lt;related-urls&gt;&lt;url&gt;https://www.pnas.org/doi/abs/10.1073/pnas.1500232112&lt;/url&gt;&lt;/related-urls&gt;&lt;/urls&gt;&lt;electronic-resource-num&gt;doi:10.1073/pnas.1500232112&lt;/electronic-resource-num&gt;&lt;/record&gt;&lt;/Cite&gt;&lt;/EndNote&gt;</w:instrText>
      </w:r>
      <w:r>
        <w:fldChar w:fldCharType="separate"/>
      </w:r>
      <w:r w:rsidRPr="002003C0">
        <w:t>[22,23]</w:t>
      </w:r>
      <w:r>
        <w:fldChar w:fldCharType="end"/>
      </w:r>
      <w:r>
        <w:t xml:space="preserve">; and (iii) selecting the worst case value (after applying safety factors) as the RTL. </w:t>
      </w:r>
    </w:p>
    <w:p w14:paraId="4E23339A" w14:textId="729E758E" w:rsidR="009E5FDE" w:rsidRDefault="009E5FDE" w:rsidP="003272C5">
      <w:pPr>
        <w:pStyle w:val="CBDNormalNumber"/>
        <w:numPr>
          <w:ilvl w:val="0"/>
          <w:numId w:val="77"/>
        </w:numPr>
        <w:ind w:left="567" w:firstLine="0"/>
      </w:pPr>
      <w:r>
        <w:t xml:space="preserve">Total Applied Toxicity (TAT </w:t>
      </w:r>
      <w:r>
        <w:fldChar w:fldCharType="begin"/>
      </w:r>
      <w:r>
        <w:instrText xml:space="preserve"> ADDIN EN.CITE &lt;EndNote&gt;&lt;Cite&gt;&lt;Author&gt;Schulz&lt;/Author&gt;&lt;Year&gt;2021&lt;/Year&gt;&lt;RecNum&gt;30&lt;/RecNum&gt;&lt;DisplayText&gt;&lt;style size="10"&gt;[28]&lt;/style&gt;&lt;/DisplayText&gt;&lt;record&gt;&lt;rec-number&gt;30&lt;/rec-number&gt;&lt;foreign-keys&gt;&lt;key app="EN" db-id="t9fvwxa9txt2zxe55d1xfp0opvvvr92xx29e" timestamp="1773228402"&gt;30&lt;/key&gt;&lt;/foreign-keys&gt;&lt;ref-type name="Journal Article"&gt;17&lt;/ref-type&gt;&lt;contributors&gt;&lt;authors&gt;&lt;author&gt;Schulz, Ralf&lt;/author&gt;&lt;author&gt;Bub, Sascha&lt;/author&gt;&lt;author&gt;Petschick, Lara L.&lt;/author&gt;&lt;author&gt;Stehle, Sebastian&lt;/author&gt;&lt;author&gt;Wolfram, Jakob&lt;/author&gt;&lt;/authors&gt;&lt;/contributors&gt;&lt;titles&gt;&lt;title&gt;Applied pesticide toxicity shifts toward plants and invertebrates, even in GM crops&lt;/title&gt;&lt;secondary-title&gt;Science&lt;/secondary-title&gt;&lt;/titles&gt;&lt;periodical&gt;&lt;full-title&gt;Science&lt;/full-title&gt;&lt;/periodical&gt;&lt;pages&gt;81-84&lt;/pages&gt;&lt;volume&gt;372&lt;/volume&gt;&lt;number&gt;6537&lt;/number&gt;&lt;dates&gt;&lt;year&gt;2021&lt;/year&gt;&lt;/dates&gt;&lt;urls&gt;&lt;related-urls&gt;&lt;url&gt;https://www.science.org/doi/abs/10.1126/science.abe1148&lt;/url&gt;&lt;/related-urls&gt;&lt;/urls&gt;&lt;electronic-resource-num&gt;doi:10.1126/science.abe1148&lt;/electronic-resource-num&gt;&lt;/record&gt;&lt;/Cite&gt;&lt;/EndNote&gt;</w:instrText>
      </w:r>
      <w:r>
        <w:fldChar w:fldCharType="separate"/>
      </w:r>
      <w:r w:rsidRPr="002003C0">
        <w:t>[28]</w:t>
      </w:r>
      <w:r>
        <w:fldChar w:fldCharType="end"/>
      </w:r>
      <w:r>
        <w:t xml:space="preserve">) is a measure that sums up weighted pesticide use (in kg) in a country and year, whereby each amount of pesticide used is weighted by the respective pesticide’s toxicity (RTL) for a species group (in different units, e.g., </w:t>
      </w:r>
      <w:r w:rsidR="003272C5" w:rsidRPr="003272C5">
        <w:rPr>
          <w:lang w:val="en-CA"/>
        </w:rPr>
        <w:t>μ</w:t>
      </w:r>
      <w:r>
        <w:t xml:space="preserve">g/L for aquatic invertebrates or </w:t>
      </w:r>
      <w:r w:rsidR="003272C5" w:rsidRPr="003272C5">
        <w:rPr>
          <w:lang w:val="en-CA"/>
        </w:rPr>
        <w:t>μ</w:t>
      </w:r>
      <w:r>
        <w:t>g/individuum for pollinators). There is one TAT value per country, year and species group (</w:t>
      </w:r>
      <w:r w:rsidRPr="002003C0">
        <w:t xml:space="preserve">n </w:t>
      </w:r>
      <w:r>
        <w:t>= 9). TAT values for different species groups cannot be compared directly.</w:t>
      </w:r>
    </w:p>
    <w:p w14:paraId="2A9CFCBD" w14:textId="2962A3A1" w:rsidR="00AD27F2" w:rsidRDefault="009E5FDE" w:rsidP="00AD27F2">
      <w:pPr>
        <w:pStyle w:val="CBDNormalNumber"/>
        <w:numPr>
          <w:ilvl w:val="0"/>
          <w:numId w:val="77"/>
        </w:numPr>
        <w:ind w:left="567" w:firstLine="0"/>
      </w:pPr>
      <w:r>
        <w:t xml:space="preserve">Aggregated Total Applied Toxicity (ATAT) summarizes the TAT </w:t>
      </w:r>
      <w:r w:rsidR="003272C5">
        <w:t xml:space="preserve">values </w:t>
      </w:r>
      <w:r>
        <w:t>for the nine species groups calculated for a country and year into a single value. It does so by comparing the TAT values to baseline TAT values, allowing the indicator to track progress against the targeted reduction (i.e., 50% according to target 7b) per species group. This yields a relative measure, e.g., a value of 100 indicates that the TAT equals the baseline TAT, a value of 50 that the TAT was reduced to 50% of the baseline TAT. The ATAT is calculated as the average of the nine TATs, but it also ensures that the value indicating target achievement (= 50) can only be reached if all species groups are covered (see paragraph 3 above). There is one ATAT value per country and year.</w:t>
      </w:r>
    </w:p>
    <w:p w14:paraId="2ECC8501" w14:textId="4398BBB1" w:rsidR="00B5443D" w:rsidRDefault="00B5443D" w:rsidP="00B5443D">
      <w:pPr>
        <w:pStyle w:val="CBDNormalNumber"/>
        <w:ind w:left="567"/>
      </w:pPr>
      <w:r w:rsidRPr="002003C0">
        <w:rPr>
          <w:rStyle w:val="normaltextrun"/>
          <w:b/>
          <w:bCs/>
          <w:lang w:val="en-CA"/>
        </w:rPr>
        <w:t> </w:t>
      </w:r>
      <w:r w:rsidRPr="00ED7E61">
        <w:rPr>
          <w:rStyle w:val="normaltextrun"/>
          <w:rFonts w:asciiTheme="majorBidi" w:eastAsiaTheme="majorEastAsia" w:hAnsiTheme="majorBidi" w:cstheme="majorBidi"/>
          <w:b/>
          <w:bCs/>
        </w:rPr>
        <w:t>5b. Method of computation</w:t>
      </w:r>
      <w:r w:rsidRPr="002003C0">
        <w:rPr>
          <w:rStyle w:val="normaltextrun"/>
          <w:b/>
          <w:bCs/>
        </w:rPr>
        <w:t> </w:t>
      </w:r>
    </w:p>
    <w:p w14:paraId="575AF180" w14:textId="77777777" w:rsidR="0008283E" w:rsidRDefault="00366A1F" w:rsidP="00135362">
      <w:pPr>
        <w:pStyle w:val="CBDNormalNumber"/>
        <w:numPr>
          <w:ilvl w:val="0"/>
          <w:numId w:val="77"/>
        </w:numPr>
        <w:ind w:left="567" w:firstLine="0"/>
      </w:pPr>
      <w:r w:rsidRPr="00135362">
        <w:t xml:space="preserve">The calculation of TAT for species group </w:t>
      </w:r>
      <w:proofErr w:type="spellStart"/>
      <w:r w:rsidRPr="00E42B30">
        <w:rPr>
          <w:i/>
          <w:iCs/>
        </w:rPr>
        <w:t>sp</w:t>
      </w:r>
      <w:proofErr w:type="spellEnd"/>
      <w:r w:rsidRPr="00135362">
        <w:t xml:space="preserve"> and year </w:t>
      </w:r>
      <w:r w:rsidRPr="00E42B30">
        <w:rPr>
          <w:i/>
          <w:iCs/>
        </w:rPr>
        <w:t>t</w:t>
      </w:r>
      <w:r w:rsidRPr="00135362">
        <w:t xml:space="preserve"> was described by Schulz et al. (2021)</w:t>
      </w:r>
      <w:r w:rsidRPr="00135362">
        <w:fldChar w:fldCharType="begin"/>
      </w:r>
      <w:r w:rsidRPr="00135362">
        <w:instrText xml:space="preserve"> ADDIN EN.CITE &lt;EndNote&gt;&lt;Cite&gt;&lt;Author&gt;Schulz&lt;/Author&gt;&lt;Year&gt;2021&lt;/Year&gt;&lt;RecNum&gt;30&lt;/RecNum&gt;&lt;DisplayText&gt;&lt;style size="10"&gt;[28]&lt;/style&gt;&lt;/DisplayText&gt;&lt;record&gt;&lt;rec-number&gt;30&lt;/rec-number&gt;&lt;foreign-keys&gt;&lt;key app="EN" db-id="t9fvwxa9txt2zxe55d1xfp0opvvvr92xx29e" timestamp="1773228402"&gt;30&lt;/key&gt;&lt;/foreign-keys&gt;&lt;ref-type name="Journal Article"&gt;17&lt;/ref-type&gt;&lt;contributors&gt;&lt;authors&gt;&lt;author&gt;Schulz, Ralf&lt;/author&gt;&lt;author&gt;Bub, Sascha&lt;/author&gt;&lt;author&gt;Petschick, Lara L.&lt;/author&gt;&lt;author&gt;Stehle, Sebastian&lt;/author&gt;&lt;author&gt;Wolfram, Jakob&lt;/author&gt;&lt;/authors&gt;&lt;/contributors&gt;&lt;titles&gt;&lt;title&gt;Applied pesticide toxicity shifts toward plants and invertebrates, even in GM crops&lt;/title&gt;&lt;secondary-title&gt;Science&lt;/secondary-title&gt;&lt;/titles&gt;&lt;periodical&gt;&lt;full-title&gt;Science&lt;/full-title&gt;&lt;/periodical&gt;&lt;pages&gt;81-84&lt;/pages&gt;&lt;volume&gt;372&lt;/volume&gt;&lt;number&gt;6537&lt;/number&gt;&lt;dates&gt;&lt;year&gt;2021&lt;/year&gt;&lt;/dates&gt;&lt;urls&gt;&lt;related-urls&gt;&lt;url&gt;https://www.science.org/doi/abs/10.1126/science.abe1148&lt;/url&gt;&lt;/related-urls&gt;&lt;/urls&gt;&lt;electronic-resource-num&gt;doi:10.1126/science.abe1148&lt;/electronic-resource-num&gt;&lt;/record&gt;&lt;/Cite&gt;&lt;/EndNote&gt;</w:instrText>
      </w:r>
      <w:r w:rsidRPr="00135362">
        <w:fldChar w:fldCharType="separate"/>
      </w:r>
      <w:r w:rsidRPr="00135362">
        <w:t>[28]</w:t>
      </w:r>
      <w:r w:rsidRPr="00135362">
        <w:fldChar w:fldCharType="end"/>
      </w:r>
      <w:r w:rsidRPr="00135362">
        <w:t xml:space="preserve"> as:</w:t>
      </w:r>
    </w:p>
    <w:p w14:paraId="4B63C061" w14:textId="49835EE1" w:rsidR="00E42B30" w:rsidRDefault="00000000" w:rsidP="00E42B30">
      <w:pPr>
        <w:pStyle w:val="CBDNormalNumber"/>
        <w:ind w:left="567"/>
      </w:pPr>
      <m:oMathPara>
        <m:oMath>
          <m:m>
            <m:mPr>
              <m:mcs>
                <m:mc>
                  <m:mcPr>
                    <m:count m:val="2"/>
                    <m:mcJc m:val="center"/>
                  </m:mcPr>
                </m:mc>
              </m:mcs>
              <m:ctrlPr>
                <w:rPr>
                  <w:rFonts w:ascii="Cambria Math" w:hAnsi="Cambria Math"/>
                  <w:i/>
                  <w:lang w:val="en-CA"/>
                </w:rPr>
              </m:ctrlPr>
            </m:mPr>
            <m:mr>
              <m:e>
                <m:sSub>
                  <m:sSubPr>
                    <m:ctrlPr>
                      <w:rPr>
                        <w:rFonts w:ascii="Cambria Math" w:hAnsi="Cambria Math"/>
                        <w:i/>
                        <w:lang w:val="en-CA"/>
                      </w:rPr>
                    </m:ctrlPr>
                  </m:sSubPr>
                  <m:e>
                    <m:r>
                      <w:rPr>
                        <w:rFonts w:ascii="Cambria Math" w:hAnsi="Cambria Math"/>
                        <w:lang w:val="en-CA"/>
                      </w:rPr>
                      <m:t>TAT</m:t>
                    </m:r>
                  </m:e>
                  <m:sub>
                    <m:r>
                      <w:rPr>
                        <w:rFonts w:ascii="Cambria Math" w:hAnsi="Cambria Math"/>
                        <w:lang w:val="en-CA"/>
                      </w:rPr>
                      <m:t>sp,t</m:t>
                    </m:r>
                  </m:sub>
                </m:sSub>
                <m:r>
                  <w:rPr>
                    <w:rFonts w:ascii="Cambria Math" w:hAnsi="Cambria Math"/>
                    <w:lang w:val="en-CA"/>
                  </w:rPr>
                  <m:t>=</m:t>
                </m:r>
                <m:nary>
                  <m:naryPr>
                    <m:chr m:val="∑"/>
                    <m:ctrlPr>
                      <w:rPr>
                        <w:rFonts w:ascii="Cambria Math" w:hAnsi="Cambria Math"/>
                        <w:i/>
                        <w:lang w:val="en-CA"/>
                      </w:rPr>
                    </m:ctrlPr>
                  </m:naryPr>
                  <m:sub>
                    <m:r>
                      <w:rPr>
                        <w:rFonts w:ascii="Cambria Math" w:hAnsi="Cambria Math"/>
                        <w:lang w:val="en-CA"/>
                      </w:rPr>
                      <m:t>s</m:t>
                    </m:r>
                  </m:sub>
                  <m:sup>
                    <m:r>
                      <w:rPr>
                        <w:rFonts w:ascii="Cambria Math" w:hAnsi="Cambria Math"/>
                        <w:lang w:val="en-CA"/>
                      </w:rPr>
                      <m:t>n</m:t>
                    </m:r>
                  </m:sup>
                  <m:e>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m</m:t>
                            </m:r>
                          </m:e>
                          <m:sub>
                            <m:r>
                              <w:rPr>
                                <w:rFonts w:ascii="Cambria Math" w:hAnsi="Cambria Math"/>
                                <w:lang w:val="en-CA"/>
                              </w:rPr>
                              <m:t>s,t</m:t>
                            </m:r>
                          </m:sub>
                        </m:sSub>
                      </m:num>
                      <m:den>
                        <m:sSub>
                          <m:sSubPr>
                            <m:ctrlPr>
                              <w:rPr>
                                <w:rFonts w:ascii="Cambria Math" w:hAnsi="Cambria Math"/>
                                <w:i/>
                                <w:lang w:val="en-CA"/>
                              </w:rPr>
                            </m:ctrlPr>
                          </m:sSubPr>
                          <m:e>
                            <m:r>
                              <w:rPr>
                                <w:rFonts w:ascii="Cambria Math" w:hAnsi="Cambria Math"/>
                                <w:lang w:val="en-CA"/>
                              </w:rPr>
                              <m:t>RTL</m:t>
                            </m:r>
                          </m:e>
                          <m:sub>
                            <m:r>
                              <w:rPr>
                                <w:rFonts w:ascii="Cambria Math" w:hAnsi="Cambria Math"/>
                                <w:lang w:val="en-CA"/>
                              </w:rPr>
                              <m:t>s,sp</m:t>
                            </m:r>
                          </m:sub>
                        </m:sSub>
                      </m:den>
                    </m:f>
                  </m:e>
                </m:nary>
              </m:e>
              <m:e>
                <m:r>
                  <w:rPr>
                    <w:rFonts w:ascii="Cambria Math" w:hAnsi="Cambria Math"/>
                    <w:lang w:val="en-CA"/>
                  </w:rPr>
                  <m:t>(1)</m:t>
                </m:r>
              </m:e>
            </m:mr>
          </m:m>
        </m:oMath>
      </m:oMathPara>
    </w:p>
    <w:p w14:paraId="3E1002A9" w14:textId="0F6A8725" w:rsidR="0008283E" w:rsidRDefault="00366A1F" w:rsidP="00C95BC5">
      <w:pPr>
        <w:pStyle w:val="CBDNormalNumber"/>
        <w:ind w:left="567"/>
      </w:pPr>
      <w:r w:rsidRPr="00366A1F">
        <w:t xml:space="preserve">where the </w:t>
      </w:r>
      <m:oMath>
        <m:sSub>
          <m:sSubPr>
            <m:ctrlPr>
              <w:rPr>
                <w:rFonts w:ascii="Cambria Math" w:hAnsi="Cambria Math"/>
              </w:rPr>
            </m:ctrlPr>
          </m:sSubPr>
          <m:e>
            <m:r>
              <w:rPr>
                <w:rFonts w:ascii="Cambria Math" w:hAnsi="Cambria Math"/>
              </w:rPr>
              <m:t>TAT</m:t>
            </m:r>
          </m:e>
          <m:sub>
            <m:r>
              <w:rPr>
                <w:rFonts w:ascii="Cambria Math" w:hAnsi="Cambria Math"/>
              </w:rPr>
              <m:t>sp</m:t>
            </m:r>
            <m:r>
              <m:rPr>
                <m:sty m:val="p"/>
              </m:rPr>
              <w:rPr>
                <w:rFonts w:ascii="Cambria Math" w:hAnsi="Cambria Math"/>
              </w:rPr>
              <m:t>,</m:t>
            </m:r>
            <m:r>
              <w:rPr>
                <w:rFonts w:ascii="Cambria Math" w:hAnsi="Cambria Math"/>
              </w:rPr>
              <m:t>t</m:t>
            </m:r>
          </m:sub>
        </m:sSub>
      </m:oMath>
      <w:r w:rsidRPr="00366A1F">
        <w:t xml:space="preserve"> is the sum of the mass m of a pesticide s applied within one year divided by the toxicity of the pesticide (RTL, Regulatory Threshold Level) for a species group sp. TAT is summed up over n pesticides (up to, about 600 required for ATAT calculations). With nine species groups, each country calculates nine TAT values per year.</w:t>
      </w:r>
      <w:r w:rsidR="00C95BC5" w:rsidRPr="00C95BC5">
        <w:rPr>
          <w:rFonts w:eastAsia="Times New Roman"/>
          <w:sz w:val="24"/>
          <w:szCs w:val="24"/>
          <w:lang w:val="en-CA"/>
        </w:rPr>
        <w:t xml:space="preserve"> </w:t>
      </w:r>
      <w:r w:rsidR="00C95BC5" w:rsidRPr="00C95BC5">
        <w:rPr>
          <w:lang w:val="en-CA"/>
        </w:rPr>
        <w:t>A set of RTLs will be made available to be used for this equation.</w:t>
      </w:r>
    </w:p>
    <w:p w14:paraId="09A77B80" w14:textId="77777777" w:rsidR="0008283E" w:rsidRDefault="00366A1F" w:rsidP="00135362">
      <w:pPr>
        <w:pStyle w:val="CBDNormalNumber"/>
        <w:numPr>
          <w:ilvl w:val="0"/>
          <w:numId w:val="77"/>
        </w:numPr>
        <w:ind w:left="567" w:firstLine="0"/>
      </w:pPr>
      <w:r w:rsidRPr="00366A1F">
        <w:t>A baseline TAT per species group represents the status of the TAT at the beginning of the decade. This is calculated as the arithmetic mean of TAT values for the number of years T for which data is available during the period between 2011 and 2020, inclusive (equation 2). Whereas 10 full years of data is recommended, if data availability does not allow the calculation of TAT for the ten years prior to 2021, then a different number of consecutive years can be used to calculate the baseline TAT; however, this should not be less than three. Each country is required to calculate a baseline TAT per species group (i.e., nine in total). The baseline TAT is calculated as:</w:t>
      </w:r>
    </w:p>
    <w:p w14:paraId="50F0CF70" w14:textId="4C9FA6D4" w:rsidR="00307E63" w:rsidRDefault="00000000" w:rsidP="00307E63">
      <w:pPr>
        <w:pStyle w:val="CBDNormalNumber"/>
        <w:ind w:left="567"/>
      </w:pPr>
      <m:oMathPara>
        <m:oMath>
          <m:m>
            <m:mPr>
              <m:mcs>
                <m:mc>
                  <m:mcPr>
                    <m:count m:val="2"/>
                    <m:mcJc m:val="center"/>
                  </m:mcPr>
                </m:mc>
              </m:mcs>
              <m:ctrlPr>
                <w:rPr>
                  <w:rFonts w:ascii="Cambria Math" w:hAnsi="Cambria Math"/>
                  <w:i/>
                  <w:lang w:val="en-CA"/>
                </w:rPr>
              </m:ctrlPr>
            </m:mPr>
            <m:mr>
              <m:e>
                <m:sSub>
                  <m:sSubPr>
                    <m:ctrlPr>
                      <w:rPr>
                        <w:rFonts w:ascii="Cambria Math" w:hAnsi="Cambria Math"/>
                        <w:i/>
                        <w:lang w:val="en-CA"/>
                      </w:rPr>
                    </m:ctrlPr>
                  </m:sSubPr>
                  <m:e>
                    <m:acc>
                      <m:accPr>
                        <m:chr m:val="̅"/>
                        <m:ctrlPr>
                          <w:rPr>
                            <w:rFonts w:ascii="Cambria Math" w:hAnsi="Cambria Math"/>
                            <w:i/>
                            <w:lang w:val="en-CA"/>
                          </w:rPr>
                        </m:ctrlPr>
                      </m:accPr>
                      <m:e>
                        <m:r>
                          <w:rPr>
                            <w:rFonts w:ascii="Cambria Math" w:hAnsi="Cambria Math"/>
                            <w:lang w:val="en-CA"/>
                          </w:rPr>
                          <m:t>TAT</m:t>
                        </m:r>
                      </m:e>
                    </m:acc>
                  </m:e>
                  <m:sub>
                    <m:r>
                      <w:rPr>
                        <w:rFonts w:ascii="Cambria Math" w:hAnsi="Cambria Math"/>
                        <w:lang w:val="en-CA"/>
                      </w:rPr>
                      <m:t>base,sp</m:t>
                    </m:r>
                  </m:sub>
                </m:sSub>
                <m:r>
                  <w:rPr>
                    <w:rFonts w:ascii="Cambria Math" w:hAnsi="Cambria Math"/>
                    <w:lang w:val="en-CA"/>
                  </w:rPr>
                  <m:t>=</m:t>
                </m:r>
                <m:f>
                  <m:fPr>
                    <m:ctrlPr>
                      <w:rPr>
                        <w:rFonts w:ascii="Cambria Math" w:hAnsi="Cambria Math"/>
                        <w:i/>
                        <w:lang w:val="en-CA"/>
                      </w:rPr>
                    </m:ctrlPr>
                  </m:fPr>
                  <m:num>
                    <m:r>
                      <w:rPr>
                        <w:rFonts w:ascii="Cambria Math" w:hAnsi="Cambria Math"/>
                        <w:lang w:val="en-CA"/>
                      </w:rPr>
                      <m:t>1</m:t>
                    </m:r>
                  </m:num>
                  <m:den>
                    <m:r>
                      <w:rPr>
                        <w:rFonts w:ascii="Cambria Math" w:hAnsi="Cambria Math"/>
                        <w:lang w:val="en-CA"/>
                      </w:rPr>
                      <m:t>T</m:t>
                    </m:r>
                  </m:den>
                </m:f>
                <m:r>
                  <w:rPr>
                    <w:rFonts w:ascii="Cambria Math" w:hAnsi="Cambria Math"/>
                    <w:lang w:val="en-CA"/>
                  </w:rPr>
                  <m:t xml:space="preserve"> </m:t>
                </m:r>
                <m:nary>
                  <m:naryPr>
                    <m:chr m:val="∑"/>
                    <m:ctrlPr>
                      <w:rPr>
                        <w:rFonts w:ascii="Cambria Math" w:hAnsi="Cambria Math"/>
                        <w:i/>
                        <w:lang w:val="en-CA"/>
                      </w:rPr>
                    </m:ctrlPr>
                  </m:naryPr>
                  <m:sub/>
                  <m:sup/>
                  <m:e>
                    <m:sSub>
                      <m:sSubPr>
                        <m:ctrlPr>
                          <w:rPr>
                            <w:rFonts w:ascii="Cambria Math" w:hAnsi="Cambria Math"/>
                            <w:i/>
                            <w:lang w:val="en-CA"/>
                          </w:rPr>
                        </m:ctrlPr>
                      </m:sSubPr>
                      <m:e>
                        <m:r>
                          <w:rPr>
                            <w:rFonts w:ascii="Cambria Math" w:hAnsi="Cambria Math"/>
                            <w:lang w:val="en-CA"/>
                          </w:rPr>
                          <m:t>TAT</m:t>
                        </m:r>
                      </m:e>
                      <m:sub>
                        <m:r>
                          <w:rPr>
                            <w:rFonts w:ascii="Cambria Math" w:hAnsi="Cambria Math"/>
                            <w:lang w:val="en-CA"/>
                          </w:rPr>
                          <m:t>sp,t</m:t>
                        </m:r>
                      </m:sub>
                    </m:sSub>
                  </m:e>
                </m:nary>
              </m:e>
              <m:e>
                <m:r>
                  <w:rPr>
                    <w:rFonts w:ascii="Cambria Math" w:hAnsi="Cambria Math"/>
                    <w:lang w:val="en-CA"/>
                  </w:rPr>
                  <m:t>(2)</m:t>
                </m:r>
              </m:e>
            </m:mr>
          </m:m>
        </m:oMath>
      </m:oMathPara>
    </w:p>
    <w:p w14:paraId="17E2C51B" w14:textId="77777777" w:rsidR="0008283E" w:rsidRDefault="00135362" w:rsidP="00135362">
      <w:pPr>
        <w:pStyle w:val="CBDNormalNumber"/>
        <w:numPr>
          <w:ilvl w:val="0"/>
          <w:numId w:val="77"/>
        </w:numPr>
        <w:ind w:left="567" w:firstLine="0"/>
      </w:pPr>
      <w:r w:rsidRPr="00366A1F">
        <w:lastRenderedPageBreak/>
        <w:t>TAT values calculated per species group need to be expressed relative to the respective baseline TAT (TAT index, equation 3). The proportion between TAT and baseline TAT is scaled by a factor of 100 so that a value of 100 indicates that the TAT equals the baseline TAT, and a value of 50 means that the TAT is half the baseline TAT (= target achievement).</w:t>
      </w:r>
    </w:p>
    <w:p w14:paraId="4E565179" w14:textId="73CC360D" w:rsidR="00647CF1" w:rsidRDefault="00000000" w:rsidP="00647CF1">
      <w:pPr>
        <w:pStyle w:val="CBDNormalNumber"/>
        <w:ind w:left="567"/>
      </w:pPr>
      <m:oMathPara>
        <m:oMath>
          <m:m>
            <m:mPr>
              <m:mcs>
                <m:mc>
                  <m:mcPr>
                    <m:count m:val="2"/>
                    <m:mcJc m:val="center"/>
                  </m:mcPr>
                </m:mc>
              </m:mcs>
              <m:ctrlPr>
                <w:rPr>
                  <w:rFonts w:ascii="Cambria Math" w:hAnsi="Cambria Math"/>
                  <w:i/>
                  <w:lang w:val="en-CA"/>
                </w:rPr>
              </m:ctrlPr>
            </m:mPr>
            <m:mr>
              <m:e>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TAT</m:t>
                        </m:r>
                      </m:e>
                    </m:acc>
                  </m:e>
                  <m:sub>
                    <m:r>
                      <w:rPr>
                        <w:rFonts w:ascii="Cambria Math" w:hAnsi="Cambria Math"/>
                        <w:lang w:val="en-CA"/>
                      </w:rPr>
                      <m:t>sp,t</m:t>
                    </m:r>
                  </m:sub>
                </m:sSub>
                <m:r>
                  <w:rPr>
                    <w:rFonts w:ascii="Cambria Math" w:hAnsi="Cambria Math"/>
                    <w:lang w:val="en-CA"/>
                  </w:rPr>
                  <m:t xml:space="preserve">=100 </m:t>
                </m:r>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TAT</m:t>
                        </m:r>
                      </m:e>
                      <m:sub>
                        <m:r>
                          <w:rPr>
                            <w:rFonts w:ascii="Cambria Math" w:hAnsi="Cambria Math"/>
                            <w:lang w:val="en-CA"/>
                          </w:rPr>
                          <m:t>sp,t</m:t>
                        </m:r>
                      </m:sub>
                    </m:sSub>
                  </m:num>
                  <m:den>
                    <m:sSub>
                      <m:sSubPr>
                        <m:ctrlPr>
                          <w:rPr>
                            <w:rFonts w:ascii="Cambria Math" w:hAnsi="Cambria Math"/>
                            <w:i/>
                            <w:lang w:val="en-CA"/>
                          </w:rPr>
                        </m:ctrlPr>
                      </m:sSubPr>
                      <m:e>
                        <m:r>
                          <w:rPr>
                            <w:rFonts w:ascii="Cambria Math" w:hAnsi="Cambria Math"/>
                            <w:lang w:val="en-CA"/>
                          </w:rPr>
                          <m:t>TAT</m:t>
                        </m:r>
                      </m:e>
                      <m:sub>
                        <m:r>
                          <w:rPr>
                            <w:rFonts w:ascii="Cambria Math" w:hAnsi="Cambria Math"/>
                            <w:lang w:val="en-CA"/>
                          </w:rPr>
                          <m:t>base,sp</m:t>
                        </m:r>
                      </m:sub>
                    </m:sSub>
                  </m:den>
                </m:f>
              </m:e>
              <m:e>
                <m:r>
                  <w:rPr>
                    <w:rFonts w:ascii="Cambria Math" w:hAnsi="Cambria Math"/>
                    <w:lang w:val="en-CA"/>
                  </w:rPr>
                  <m:t>(3)</m:t>
                </m:r>
              </m:e>
            </m:mr>
          </m:m>
        </m:oMath>
      </m:oMathPara>
    </w:p>
    <w:p w14:paraId="0D1F482B" w14:textId="522D6821" w:rsidR="0008283E" w:rsidRDefault="00135362" w:rsidP="00135362">
      <w:pPr>
        <w:pStyle w:val="CBDNormalNumber"/>
        <w:numPr>
          <w:ilvl w:val="0"/>
          <w:numId w:val="77"/>
        </w:numPr>
        <w:ind w:left="567" w:firstLine="0"/>
      </w:pPr>
      <w:r w:rsidRPr="00135362">
        <w:t>T</w:t>
      </w:r>
      <w:r w:rsidRPr="00366A1F">
        <w:t xml:space="preserve">he ATAT value for a country and year is calculated according to equation 4. </w:t>
      </w:r>
      <w:r w:rsidR="00F65B92">
        <w:t xml:space="preserve">ATAT </w:t>
      </w:r>
      <w:r w:rsidRPr="00366A1F">
        <w:t>is expressed as the average TAT index over all nine species groups</w:t>
      </w:r>
      <w:r w:rsidR="007F2188">
        <w:t xml:space="preserve"> as:</w:t>
      </w:r>
    </w:p>
    <w:p w14:paraId="5C2049C0" w14:textId="663CD51C" w:rsidR="00A2431C" w:rsidRDefault="00000000" w:rsidP="00A2431C">
      <w:pPr>
        <w:pStyle w:val="CBDNormalNumber"/>
        <w:ind w:left="567"/>
      </w:pPr>
      <m:oMathPara>
        <m:oMath>
          <m:m>
            <m:mPr>
              <m:mcs>
                <m:mc>
                  <m:mcPr>
                    <m:count m:val="2"/>
                    <m:mcJc m:val="center"/>
                  </m:mcPr>
                </m:mc>
              </m:mcs>
              <m:ctrlPr>
                <w:rPr>
                  <w:rFonts w:ascii="Cambria Math" w:hAnsi="Cambria Math"/>
                  <w:i/>
                  <w:lang w:val="en-CA"/>
                </w:rPr>
              </m:ctrlPr>
            </m:mPr>
            <m:mr>
              <m:e>
                <m:sSub>
                  <m:sSubPr>
                    <m:ctrlPr>
                      <w:rPr>
                        <w:rFonts w:ascii="Cambria Math" w:hAnsi="Cambria Math"/>
                        <w:i/>
                        <w:lang w:val="en-CA"/>
                      </w:rPr>
                    </m:ctrlPr>
                  </m:sSubPr>
                  <m:e>
                    <m:r>
                      <w:rPr>
                        <w:rFonts w:ascii="Cambria Math" w:hAnsi="Cambria Math"/>
                        <w:lang w:val="en-CA"/>
                      </w:rPr>
                      <m:t>ATAT</m:t>
                    </m:r>
                  </m:e>
                  <m:sub>
                    <m:r>
                      <w:rPr>
                        <w:rFonts w:ascii="Cambria Math" w:hAnsi="Cambria Math"/>
                        <w:lang w:val="en-CA"/>
                      </w:rPr>
                      <m:t>t</m:t>
                    </m:r>
                  </m:sub>
                </m:sSub>
                <m:r>
                  <w:rPr>
                    <w:rFonts w:ascii="Cambria Math" w:hAnsi="Cambria Math"/>
                    <w:lang w:val="en-CA"/>
                  </w:rPr>
                  <m:t xml:space="preserve">= </m:t>
                </m:r>
                <m:f>
                  <m:fPr>
                    <m:ctrlPr>
                      <w:rPr>
                        <w:rFonts w:ascii="Cambria Math" w:hAnsi="Cambria Math"/>
                        <w:i/>
                        <w:lang w:val="en-CA"/>
                      </w:rPr>
                    </m:ctrlPr>
                  </m:fPr>
                  <m:num>
                    <m:r>
                      <w:rPr>
                        <w:rFonts w:ascii="Cambria Math" w:hAnsi="Cambria Math"/>
                        <w:lang w:val="en-CA"/>
                      </w:rPr>
                      <m:t>1</m:t>
                    </m:r>
                  </m:num>
                  <m:den>
                    <m:r>
                      <w:rPr>
                        <w:rFonts w:ascii="Cambria Math" w:hAnsi="Cambria Math"/>
                        <w:lang w:val="en-CA"/>
                      </w:rPr>
                      <m:t>9</m:t>
                    </m:r>
                  </m:den>
                </m:f>
                <m:r>
                  <w:rPr>
                    <w:rFonts w:ascii="Cambria Math" w:hAnsi="Cambria Math"/>
                    <w:lang w:val="en-CA"/>
                  </w:rPr>
                  <m:t xml:space="preserve"> </m:t>
                </m:r>
                <m:nary>
                  <m:naryPr>
                    <m:chr m:val="∑"/>
                    <m:limLoc m:val="undOvr"/>
                    <m:ctrlPr>
                      <w:rPr>
                        <w:rFonts w:ascii="Cambria Math" w:hAnsi="Cambria Math"/>
                        <w:i/>
                        <w:lang w:val="en-CA"/>
                      </w:rPr>
                    </m:ctrlPr>
                  </m:naryPr>
                  <m:sub>
                    <m:r>
                      <w:rPr>
                        <w:rFonts w:ascii="Cambria Math" w:hAnsi="Cambria Math"/>
                        <w:lang w:val="en-CA"/>
                      </w:rPr>
                      <m:t>sp=1</m:t>
                    </m:r>
                  </m:sub>
                  <m:sup>
                    <m:r>
                      <w:rPr>
                        <w:rFonts w:ascii="Cambria Math" w:hAnsi="Cambria Math"/>
                        <w:lang w:val="en-CA"/>
                      </w:rPr>
                      <m:t>9</m:t>
                    </m:r>
                  </m:sup>
                  <m:e>
                    <m:d>
                      <m:dPr>
                        <m:begChr m:val="{"/>
                        <m:endChr m:val=""/>
                        <m:ctrlPr>
                          <w:rPr>
                            <w:rFonts w:ascii="Cambria Math" w:hAnsi="Cambria Math"/>
                            <w:i/>
                            <w:lang w:val="en-CA"/>
                          </w:rPr>
                        </m:ctrlPr>
                      </m:dPr>
                      <m:e>
                        <m:m>
                          <m:mPr>
                            <m:mcs>
                              <m:mc>
                                <m:mcPr>
                                  <m:count m:val="1"/>
                                  <m:mcJc m:val="center"/>
                                </m:mcPr>
                              </m:mc>
                            </m:mcs>
                            <m:ctrlPr>
                              <w:rPr>
                                <w:rFonts w:ascii="Cambria Math" w:hAnsi="Cambria Math"/>
                                <w:i/>
                                <w:lang w:val="en-CA"/>
                              </w:rPr>
                            </m:ctrlPr>
                          </m:mPr>
                          <m:mr>
                            <m:e>
                              <m:m>
                                <m:mPr>
                                  <m:mcs>
                                    <m:mc>
                                      <m:mcPr>
                                        <m:count m:val="2"/>
                                        <m:mcJc m:val="center"/>
                                      </m:mcPr>
                                    </m:mc>
                                  </m:mcs>
                                  <m:ctrlPr>
                                    <w:rPr>
                                      <w:rFonts w:ascii="Cambria Math" w:hAnsi="Cambria Math"/>
                                      <w:i/>
                                      <w:lang w:val="en-CA"/>
                                    </w:rPr>
                                  </m:ctrlPr>
                                </m:mPr>
                                <m:mr>
                                  <m:e>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 xml:space="preserve"> TAT</m:t>
                                            </m:r>
                                          </m:e>
                                        </m:acc>
                                      </m:e>
                                      <m:sub>
                                        <m:r>
                                          <w:rPr>
                                            <w:rFonts w:ascii="Cambria Math" w:hAnsi="Cambria Math"/>
                                            <w:lang w:val="en-CA"/>
                                          </w:rPr>
                                          <m:t>sp,t</m:t>
                                        </m:r>
                                      </m:sub>
                                    </m:sSub>
                                    <m:r>
                                      <w:rPr>
                                        <w:rFonts w:ascii="Cambria Math" w:hAnsi="Cambria Math"/>
                                        <w:lang w:val="en-CA"/>
                                      </w:rPr>
                                      <m:t>,</m:t>
                                    </m:r>
                                  </m:e>
                                  <m:e>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TAT</m:t>
                                            </m:r>
                                          </m:e>
                                        </m:acc>
                                      </m:e>
                                      <m:sub>
                                        <m:r>
                                          <w:rPr>
                                            <w:rFonts w:ascii="Cambria Math" w:hAnsi="Cambria Math"/>
                                            <w:lang w:val="en-CA"/>
                                          </w:rPr>
                                          <m:t>sp,t</m:t>
                                        </m:r>
                                      </m:sub>
                                    </m:sSub>
                                    <m:r>
                                      <w:rPr>
                                        <w:rFonts w:ascii="Cambria Math" w:hAnsi="Cambria Math"/>
                                        <w:lang w:val="en-CA"/>
                                      </w:rPr>
                                      <m:t>&gt;50</m:t>
                                    </m:r>
                                  </m:e>
                                </m:mr>
                              </m:m>
                            </m:e>
                          </m:mr>
                          <m:mr>
                            <m:e>
                              <m:r>
                                <w:rPr>
                                  <w:rFonts w:ascii="Cambria Math" w:hAnsi="Cambria Math"/>
                                  <w:lang w:val="en-CA"/>
                                </w:rPr>
                                <m:t xml:space="preserve">          </m:t>
                              </m:r>
                              <m:m>
                                <m:mPr>
                                  <m:mcs>
                                    <m:mc>
                                      <m:mcPr>
                                        <m:count m:val="2"/>
                                        <m:mcJc m:val="center"/>
                                      </m:mcPr>
                                    </m:mc>
                                  </m:mcs>
                                  <m:ctrlPr>
                                    <w:rPr>
                                      <w:rFonts w:ascii="Cambria Math" w:hAnsi="Cambria Math"/>
                                      <w:i/>
                                      <w:lang w:val="en-CA"/>
                                    </w:rPr>
                                  </m:ctrlPr>
                                </m:mPr>
                                <m:mr>
                                  <m:e>
                                    <m:r>
                                      <w:rPr>
                                        <w:rFonts w:ascii="Cambria Math" w:hAnsi="Cambria Math"/>
                                        <w:lang w:val="en-CA"/>
                                      </w:rPr>
                                      <m:t>50,</m:t>
                                    </m:r>
                                  </m:e>
                                  <m:e>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TAT</m:t>
                                            </m:r>
                                          </m:e>
                                        </m:acc>
                                      </m:e>
                                      <m:sub>
                                        <m:r>
                                          <w:rPr>
                                            <w:rFonts w:ascii="Cambria Math" w:hAnsi="Cambria Math"/>
                                            <w:lang w:val="en-CA"/>
                                          </w:rPr>
                                          <m:t>sp,t</m:t>
                                        </m:r>
                                      </m:sub>
                                    </m:sSub>
                                    <m:r>
                                      <w:rPr>
                                        <w:rFonts w:ascii="Cambria Math" w:hAnsi="Cambria Math"/>
                                        <w:lang w:val="en-CA"/>
                                      </w:rPr>
                                      <m:t>≤50</m:t>
                                    </m:r>
                                  </m:e>
                                </m:mr>
                              </m:m>
                            </m:e>
                          </m:mr>
                        </m:m>
                      </m:e>
                    </m:d>
                  </m:e>
                </m:nary>
              </m:e>
              <m:e>
                <m:r>
                  <w:rPr>
                    <w:rFonts w:ascii="Cambria Math" w:hAnsi="Cambria Math"/>
                    <w:lang w:val="en-CA"/>
                  </w:rPr>
                  <m:t>(4)</m:t>
                </m:r>
              </m:e>
            </m:mr>
          </m:m>
        </m:oMath>
      </m:oMathPara>
    </w:p>
    <w:p w14:paraId="4B9DDBDE" w14:textId="33008AC3" w:rsidR="00135362" w:rsidRPr="00135362" w:rsidRDefault="007F2188" w:rsidP="00730A78">
      <w:pPr>
        <w:pStyle w:val="CBDNormalNumber"/>
        <w:ind w:left="567"/>
      </w:pPr>
      <w:r>
        <w:t>Individual TAT</w:t>
      </w:r>
      <w:r w:rsidR="004B4BA1">
        <w:t xml:space="preserve"> indexes of less than 50 are capped at 50. This ensures that the overall reduction covers all species groups and thereby represents the diversity </w:t>
      </w:r>
      <w:r w:rsidR="008045EC">
        <w:t xml:space="preserve">component of biodiversity (see paragraph </w:t>
      </w:r>
      <w:r w:rsidR="00FA5F94">
        <w:t>4</w:t>
      </w:r>
      <w:r w:rsidR="008045EC">
        <w:t xml:space="preserve"> above)</w:t>
      </w:r>
    </w:p>
    <w:p w14:paraId="24B5CF0E" w14:textId="77777777" w:rsidR="00135362" w:rsidRPr="00135362" w:rsidRDefault="00135362" w:rsidP="00135362">
      <w:pPr>
        <w:pStyle w:val="CBDNormalNumber"/>
        <w:pBdr>
          <w:bottom w:val="single" w:sz="4" w:space="1" w:color="000000"/>
        </w:pBdr>
        <w:spacing w:before="0" w:after="0"/>
        <w:ind w:left="567"/>
        <w:textAlignment w:val="baseline"/>
        <w:rPr>
          <w:rFonts w:asciiTheme="majorBidi" w:hAnsiTheme="majorBidi" w:cstheme="majorBidi"/>
        </w:rPr>
      </w:pPr>
    </w:p>
    <w:p w14:paraId="41F95722" w14:textId="2BC7A29B" w:rsidR="00697090" w:rsidRPr="00135362" w:rsidRDefault="00697090" w:rsidP="00135362">
      <w:pPr>
        <w:pStyle w:val="CBDNormalNumber"/>
        <w:pBdr>
          <w:bottom w:val="single" w:sz="4" w:space="1" w:color="000000"/>
        </w:pBdr>
        <w:spacing w:before="0" w:after="0"/>
        <w:ind w:left="567"/>
        <w:textAlignment w:val="baseline"/>
        <w:rPr>
          <w:rFonts w:asciiTheme="majorBidi" w:hAnsiTheme="majorBidi" w:cstheme="majorBidi"/>
        </w:rPr>
      </w:pPr>
      <w:r w:rsidRPr="00135362">
        <w:rPr>
          <w:rStyle w:val="normaltextrun"/>
          <w:rFonts w:asciiTheme="majorBidi" w:eastAsiaTheme="majorEastAsia" w:hAnsiTheme="majorBidi" w:cstheme="majorBidi"/>
          <w:b/>
          <w:bCs/>
        </w:rPr>
        <w:t>5c. Data collection method</w:t>
      </w:r>
      <w:r w:rsidRPr="00135362">
        <w:rPr>
          <w:rStyle w:val="normaltextrun"/>
          <w:rFonts w:asciiTheme="majorBidi" w:eastAsiaTheme="majorEastAsia" w:hAnsiTheme="majorBidi" w:cstheme="majorBidi"/>
        </w:rPr>
        <w:t> </w:t>
      </w:r>
      <w:r w:rsidRPr="00135362">
        <w:rPr>
          <w:rStyle w:val="eop"/>
          <w:rFonts w:asciiTheme="majorBidi" w:eastAsiaTheme="majorEastAsia" w:hAnsiTheme="majorBidi" w:cstheme="majorBidi"/>
        </w:rPr>
        <w:t> </w:t>
      </w:r>
    </w:p>
    <w:p w14:paraId="6180A136" w14:textId="2A267D6F" w:rsidR="00024406" w:rsidRDefault="00024406" w:rsidP="00024406">
      <w:pPr>
        <w:pStyle w:val="CBDNormalNumber"/>
        <w:numPr>
          <w:ilvl w:val="0"/>
          <w:numId w:val="77"/>
        </w:numPr>
        <w:ind w:left="567" w:firstLine="0"/>
      </w:pPr>
      <w:r w:rsidRPr="00024406">
        <w:t xml:space="preserve">Each country can calculate yearly ATAT values using national </w:t>
      </w:r>
      <w:r w:rsidR="00E949A5">
        <w:t>data</w:t>
      </w:r>
      <w:r w:rsidR="00E949A5" w:rsidRPr="00024406">
        <w:t xml:space="preserve"> </w:t>
      </w:r>
      <w:r w:rsidRPr="00024406">
        <w:t xml:space="preserve">on pesticide outdoor </w:t>
      </w:r>
      <w:r w:rsidR="00E949A5">
        <w:t>use by active ingredient</w:t>
      </w:r>
      <w:r w:rsidRPr="00024406">
        <w:t xml:space="preserve">. Where such data is unavailable at an active-ingredient level, pesticide </w:t>
      </w:r>
      <w:r w:rsidR="00143829">
        <w:t>use</w:t>
      </w:r>
      <w:r w:rsidR="00143829" w:rsidRPr="00024406">
        <w:t xml:space="preserve"> </w:t>
      </w:r>
      <w:r w:rsidRPr="00024406">
        <w:t>can be estimated based on</w:t>
      </w:r>
      <w:r w:rsidR="00143829">
        <w:t>, in order of preference,</w:t>
      </w:r>
      <w:r w:rsidRPr="00024406">
        <w:t xml:space="preserve"> </w:t>
      </w:r>
      <w:r w:rsidR="00143829">
        <w:t xml:space="preserve">(1) </w:t>
      </w:r>
      <w:r w:rsidRPr="00024406">
        <w:t xml:space="preserve">sales, </w:t>
      </w:r>
      <w:r w:rsidR="002A6679">
        <w:t xml:space="preserve">(2) </w:t>
      </w:r>
      <w:r w:rsidRPr="00024406">
        <w:t>imports (= amounts of individual active ingredients imported into the country in kg), plus production (= amounts of individual active ingredients produced in the country in kg), minus exports (= amounts of individual active ingredients exported from the country in kg)</w:t>
      </w:r>
      <w:r w:rsidR="00655CDF">
        <w:t xml:space="preserve"> or (3) </w:t>
      </w:r>
      <w:r w:rsidR="00507A45" w:rsidRPr="005A1AB9">
        <w:rPr>
          <w:rStyle w:val="0Numberedparagraphcharacter"/>
        </w:rPr>
        <w:t xml:space="preserve">based on applied area (including </w:t>
      </w:r>
      <w:r w:rsidR="00507A45">
        <w:rPr>
          <w:rStyle w:val="0Numberedparagraphcharacter"/>
        </w:rPr>
        <w:t>agricultural land,</w:t>
      </w:r>
      <w:r w:rsidR="00507A45" w:rsidRPr="005A1AB9" w:rsidDel="005A1AB9">
        <w:rPr>
          <w:rStyle w:val="0Numberedparagraphcharacter"/>
        </w:rPr>
        <w:t xml:space="preserve"> </w:t>
      </w:r>
      <w:r w:rsidR="00507A45" w:rsidRPr="005A1AB9">
        <w:rPr>
          <w:rStyle w:val="0Numberedparagraphcharacter"/>
        </w:rPr>
        <w:t>treated forests, locust control, vector management, aquaculture, etc.) and application rates</w:t>
      </w:r>
      <w:r w:rsidR="00507A45">
        <w:rPr>
          <w:rStyle w:val="0Numberedparagraphcharacter"/>
        </w:rPr>
        <w:t xml:space="preserve"> (see 5e Data sources)</w:t>
      </w:r>
      <w:r w:rsidR="00507A45" w:rsidRPr="005A1AB9">
        <w:rPr>
          <w:rStyle w:val="0Numberedparagraphcharacter"/>
        </w:rPr>
        <w:t>.</w:t>
      </w:r>
      <w:r w:rsidR="00507A45">
        <w:rPr>
          <w:rStyle w:val="0Numberedparagraphcharacter"/>
        </w:rPr>
        <w:t xml:space="preserve"> </w:t>
      </w:r>
      <w:r w:rsidR="00507A45" w:rsidRPr="005A1AB9">
        <w:t>The method of pesticide use data collection should be indicated at the time of reporting.</w:t>
      </w:r>
    </w:p>
    <w:p w14:paraId="40700DBB"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25CBA390" w14:textId="183E3A31" w:rsidR="00697090" w:rsidRPr="00ED7E61" w:rsidRDefault="00DA76EB" w:rsidP="00DA76EB">
      <w:pPr>
        <w:pStyle w:val="CBDNormalNumber"/>
        <w:numPr>
          <w:ilvl w:val="0"/>
          <w:numId w:val="77"/>
        </w:numPr>
        <w:ind w:left="567" w:firstLine="0"/>
      </w:pPr>
      <w:r>
        <w:t>The methodology for calculating TAT is available as supplementary information in a paper by Schulz et al. (2021)</w:t>
      </w:r>
      <w:r>
        <w:fldChar w:fldCharType="begin"/>
      </w:r>
      <w:r>
        <w:instrText xml:space="preserve"> ADDIN EN.CITE &lt;EndNote&gt;&lt;Cite&gt;&lt;Author&gt;Schulz&lt;/Author&gt;&lt;Year&gt;2021&lt;/Year&gt;&lt;RecNum&gt;30&lt;/RecNum&gt;&lt;DisplayText&gt;&lt;style size="10"&gt;[28]&lt;/style&gt;&lt;/DisplayText&gt;&lt;record&gt;&lt;rec-number&gt;30&lt;/rec-number&gt;&lt;foreign-keys&gt;&lt;key app="EN" db-id="t9fvwxa9txt2zxe55d1xfp0opvvvr92xx29e" timestamp="1773228402"&gt;30&lt;/key&gt;&lt;/foreign-keys&gt;&lt;ref-type name="Journal Article"&gt;17&lt;/ref-type&gt;&lt;contributors&gt;&lt;authors&gt;&lt;author&gt;Schulz, Ralf&lt;/author&gt;&lt;author&gt;Bub, Sascha&lt;/author&gt;&lt;author&gt;Petschick, Lara L.&lt;/author&gt;&lt;author&gt;Stehle, Sebastian&lt;/author&gt;&lt;author&gt;Wolfram, Jakob&lt;/author&gt;&lt;/authors&gt;&lt;/contributors&gt;&lt;titles&gt;&lt;title&gt;Applied pesticide toxicity shifts toward plants and invertebrates, even in GM crops&lt;/title&gt;&lt;secondary-title&gt;Science&lt;/secondary-title&gt;&lt;/titles&gt;&lt;periodical&gt;&lt;full-title&gt;Science&lt;/full-title&gt;&lt;/periodical&gt;&lt;pages&gt;81-84&lt;/pages&gt;&lt;volume&gt;372&lt;/volume&gt;&lt;number&gt;6537&lt;/number&gt;&lt;dates&gt;&lt;year&gt;2021&lt;/year&gt;&lt;/dates&gt;&lt;urls&gt;&lt;related-urls&gt;&lt;url&gt;https://www.science.org/doi/abs/10.1126/science.abe1148&lt;/url&gt;&lt;/related-urls&gt;&lt;/urls&gt;&lt;electronic-resource-num&gt;doi:10.1126/science.abe1148&lt;/electronic-resource-num&gt;&lt;/record&gt;&lt;/Cite&gt;&lt;/EndNote&gt;</w:instrText>
      </w:r>
      <w:r>
        <w:fldChar w:fldCharType="separate"/>
      </w:r>
      <w:r w:rsidRPr="00DA76EB">
        <w:t>[28]</w:t>
      </w:r>
      <w:r>
        <w:fldChar w:fldCharType="end"/>
      </w:r>
      <w:r>
        <w:t xml:space="preserve">. The method has already been applied to compare trends in environmental toxicity for key species groups across countries and years </w:t>
      </w:r>
      <w:r>
        <w:fldChar w:fldCharType="begin">
          <w:fldData xml:space="preserve">PEVuZE5vdGU+PENpdGU+PEF1dGhvcj5CdWI8L0F1dGhvcj48WWVhcj4yMDIzPC9ZZWFyPjxSZWNO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</w:fldData>
        </w:fldChar>
      </w:r>
      <w:r>
        <w:instrText xml:space="preserve"> ADDIN EN.CITE </w:instrText>
      </w:r>
      <w:r>
        <w:fldChar w:fldCharType="begin">
          <w:fldData xml:space="preserve">PEVuZE5vdGU+PENpdGU+PEF1dGhvcj5CdWI8L0F1dGhvcj48WWVhcj4yMDIzPC9ZZWFyPjxSZWNO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</w:fldData>
        </w:fldChar>
      </w:r>
      <w:r>
        <w:instrText xml:space="preserve"> ADDIN EN.CITE.DATA </w:instrText>
      </w:r>
      <w:r>
        <w:fldChar w:fldCharType="end"/>
      </w:r>
      <w:r>
        <w:fldChar w:fldCharType="separate"/>
      </w:r>
      <w:r w:rsidRPr="00DA76EB">
        <w:t>[25,27-29,46]</w:t>
      </w:r>
      <w:r>
        <w:fldChar w:fldCharType="end"/>
      </w:r>
      <w:r>
        <w:t xml:space="preserve">. The ATAT builds on the TAT by recommending standard inputs to be used, including species groups, pesticide </w:t>
      </w:r>
      <w:r w:rsidR="00640F55">
        <w:t>use</w:t>
      </w:r>
      <w:r>
        <w:t>, and toxicities to allow comparisons between regions, countries and years.</w:t>
      </w:r>
    </w:p>
    <w:p w14:paraId="104EA2FB"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41ADFB69" w14:textId="3D2DC725" w:rsidR="00AA7380" w:rsidRPr="00AA7380" w:rsidRDefault="00AA7380" w:rsidP="00AA7380">
      <w:pPr>
        <w:pStyle w:val="CBDNormalNumber"/>
        <w:numPr>
          <w:ilvl w:val="0"/>
          <w:numId w:val="77"/>
        </w:numPr>
        <w:ind w:left="567" w:firstLine="0"/>
      </w:pPr>
      <w:r w:rsidRPr="00AA7380">
        <w:t xml:space="preserve">ATAT calculations require national/country data on the </w:t>
      </w:r>
      <w:r w:rsidR="00640F55">
        <w:t>use</w:t>
      </w:r>
      <w:r w:rsidR="00640F55" w:rsidRPr="00AA7380">
        <w:t xml:space="preserve"> </w:t>
      </w:r>
      <w:r w:rsidRPr="00AA7380">
        <w:t xml:space="preserve">of pesticide active ingredients. Disaggregated, open-source, national statistics on pesticide </w:t>
      </w:r>
      <w:r w:rsidR="00640F55">
        <w:t>use</w:t>
      </w:r>
      <w:r w:rsidR="00640F55" w:rsidRPr="00AA7380">
        <w:t xml:space="preserve"> </w:t>
      </w:r>
      <w:r w:rsidRPr="00AA7380">
        <w:t xml:space="preserve">are not accessible in many countries; however, data on pesticide </w:t>
      </w:r>
      <w:r w:rsidR="00640F55">
        <w:t>use</w:t>
      </w:r>
      <w:r w:rsidR="00640F55" w:rsidRPr="00AA7380">
        <w:t xml:space="preserve"> </w:t>
      </w:r>
      <w:r w:rsidRPr="00AA7380">
        <w:t xml:space="preserve">by type are generally recorded on an annual basis in many countries, if not publicly reported. Data on pesticide </w:t>
      </w:r>
      <w:r w:rsidR="00640F55">
        <w:t>use</w:t>
      </w:r>
      <w:r w:rsidR="00640F55" w:rsidRPr="00AA7380">
        <w:t xml:space="preserve"> </w:t>
      </w:r>
      <w:r w:rsidRPr="00AA7380">
        <w:t xml:space="preserve">are reported </w:t>
      </w:r>
      <w:r w:rsidR="00640F55">
        <w:t xml:space="preserve">by countries </w:t>
      </w:r>
      <w:r w:rsidRPr="00AA7380">
        <w:t>in an aggregated form (</w:t>
      </w:r>
      <w:r w:rsidR="008807E8">
        <w:t>by chemical group and pesticide type by country</w:t>
      </w:r>
      <w:r w:rsidRPr="00AA7380">
        <w:t xml:space="preserve">) to FAO and </w:t>
      </w:r>
      <w:r w:rsidR="00B322DC">
        <w:t xml:space="preserve">disseminated through FAOSTAT </w:t>
      </w:r>
      <w:r w:rsidR="00DE3090" w:rsidRPr="006138EF">
        <w:rPr>
          <w:noProof/>
          <w:sz w:val="20"/>
        </w:rPr>
        <w:t>[46</w:t>
      </w:r>
      <w:r w:rsidR="00DE3090">
        <w:rPr>
          <w:noProof/>
          <w:sz w:val="20"/>
        </w:rPr>
        <w:t xml:space="preserve">]. </w:t>
      </w:r>
      <w:r w:rsidR="00DE3090">
        <w:t xml:space="preserve">Some </w:t>
      </w:r>
      <w:r w:rsidRPr="00AA7380">
        <w:t xml:space="preserve">countries publicly report pesticide </w:t>
      </w:r>
      <w:r w:rsidR="00DE3090">
        <w:t>use</w:t>
      </w:r>
      <w:r w:rsidRPr="00AA7380">
        <w:t xml:space="preserve">, sales or trade through government ministries. Where necessary, national biodiversity coordinators can source information on pesticide </w:t>
      </w:r>
      <w:r w:rsidR="00780E4B">
        <w:t>use</w:t>
      </w:r>
      <w:r w:rsidR="00780E4B" w:rsidRPr="00AA7380">
        <w:t xml:space="preserve"> </w:t>
      </w:r>
      <w:r w:rsidRPr="00AA7380">
        <w:t xml:space="preserve">from relevant ministries, or estimate </w:t>
      </w:r>
      <w:r w:rsidR="00780E4B">
        <w:t>use</w:t>
      </w:r>
      <w:r w:rsidR="00780E4B" w:rsidRPr="00AA7380">
        <w:t xml:space="preserve"> </w:t>
      </w:r>
      <w:r w:rsidRPr="00AA7380">
        <w:t>based on available sales, import, export and production data as outlined in section 5c.</w:t>
      </w:r>
    </w:p>
    <w:p w14:paraId="57A00F10" w14:textId="7F51FFCA" w:rsidR="00042130" w:rsidRDefault="00B32CC2" w:rsidP="00812871">
      <w:pPr>
        <w:pStyle w:val="CBDNormalNumber"/>
        <w:numPr>
          <w:ilvl w:val="0"/>
          <w:numId w:val="77"/>
        </w:numPr>
        <w:ind w:left="567" w:firstLine="0"/>
      </w:pPr>
      <w:r w:rsidRPr="005A1AB9">
        <w:t xml:space="preserve">Forestry and agricultural areas, disaggregated by crop or livestock species, are often collected on an annual basis by agricultural or trade ministries. </w:t>
      </w:r>
      <w:r w:rsidR="00AA7380" w:rsidRPr="00AA7380">
        <w:t xml:space="preserve">Data on crop production (crop types, </w:t>
      </w:r>
      <w:r>
        <w:t>harvested area</w:t>
      </w:r>
      <w:r w:rsidR="00AA7380" w:rsidRPr="00AA7380">
        <w:t xml:space="preserve">, yields), required for improved pesticide </w:t>
      </w:r>
      <w:r>
        <w:t>use</w:t>
      </w:r>
      <w:r w:rsidRPr="00AA7380">
        <w:t xml:space="preserve"> </w:t>
      </w:r>
      <w:r w:rsidR="00AA7380" w:rsidRPr="00AA7380">
        <w:t xml:space="preserve">estimates, in cases where </w:t>
      </w:r>
      <w:r w:rsidR="003E6EA8">
        <w:t>use</w:t>
      </w:r>
      <w:r w:rsidR="003E6EA8" w:rsidRPr="00AA7380">
        <w:t xml:space="preserve"> </w:t>
      </w:r>
      <w:r w:rsidR="00AA7380" w:rsidRPr="00AA7380">
        <w:t xml:space="preserve">and sales data are absent, are available for most countries from FAOSTAT. </w:t>
      </w:r>
      <w:r w:rsidR="003E6EA8">
        <w:t xml:space="preserve">Some data may </w:t>
      </w:r>
      <w:r w:rsidR="00AA7380" w:rsidRPr="00AA7380">
        <w:t xml:space="preserve">also </w:t>
      </w:r>
      <w:r w:rsidR="002C37A8">
        <w:t xml:space="preserve">be </w:t>
      </w:r>
      <w:r w:rsidR="00AA7380" w:rsidRPr="00AA7380">
        <w:t xml:space="preserve">available through national reporting authorities, often in a more disaggregated form. </w:t>
      </w:r>
      <w:r w:rsidR="00042130" w:rsidRPr="005A1AB9">
        <w:t xml:space="preserve">Commercial pesticide use data based on surveys might be another source of data </w:t>
      </w:r>
      <w:r w:rsidR="00042130" w:rsidRPr="00812871">
        <w:t>[29]</w:t>
      </w:r>
      <w:r w:rsidR="00042130" w:rsidRPr="005A1AB9">
        <w:t>.</w:t>
      </w:r>
      <w:r w:rsidR="00E46A24">
        <w:t xml:space="preserve"> </w:t>
      </w:r>
      <w:r w:rsidR="00E46A24" w:rsidRPr="005A1AB9" w:rsidDel="00B67056">
        <w:t xml:space="preserve">To avoid differences in the parameters used during calculation of ATATs and, thereby, possible biases during the calculations, countries will </w:t>
      </w:r>
      <w:r w:rsidR="00E46A24" w:rsidRPr="005A1AB9" w:rsidDel="00B67056">
        <w:lastRenderedPageBreak/>
        <w:t xml:space="preserve">need to apply a standard set of RTL values (for each active ingredient for each species group) that are deemed suitable for the global indicator. These RTLs </w:t>
      </w:r>
      <w:r w:rsidR="00E46A24">
        <w:t xml:space="preserve">will be made available </w:t>
      </w:r>
      <w:r w:rsidR="00E46A24" w:rsidRPr="005A1AB9" w:rsidDel="00B67056">
        <w:t>to end users</w:t>
      </w:r>
      <w:r w:rsidR="00E46A24">
        <w:t>.</w:t>
      </w:r>
    </w:p>
    <w:p w14:paraId="4A92B686" w14:textId="326EC263" w:rsidR="00AA7380" w:rsidRPr="00AA7380" w:rsidRDefault="00AA7380" w:rsidP="00812871">
      <w:pPr>
        <w:pStyle w:val="CBDNormalNumber"/>
        <w:ind w:left="567"/>
      </w:pPr>
    </w:p>
    <w:p w14:paraId="2B5F541C" w14:textId="269B4161" w:rsidR="00CC641D" w:rsidRDefault="00E46A24" w:rsidP="00AA7380">
      <w:pPr>
        <w:pStyle w:val="CBDNormalNumber"/>
        <w:numPr>
          <w:ilvl w:val="0"/>
          <w:numId w:val="77"/>
        </w:numPr>
        <w:ind w:left="567" w:firstLine="0"/>
      </w:pPr>
      <w:r>
        <w:t>Further d</w:t>
      </w:r>
      <w:r w:rsidR="00AA7380" w:rsidRPr="00AA7380">
        <w:t xml:space="preserve">ata on pesticide toxicity is freely available through the Pesticide Properties </w:t>
      </w:r>
      <w:proofErr w:type="spellStart"/>
      <w:r w:rsidR="00AA7380" w:rsidRPr="00AA7380">
        <w:t>DataBase</w:t>
      </w:r>
      <w:proofErr w:type="spellEnd"/>
      <w:r w:rsidR="00AA7380" w:rsidRPr="00AA7380">
        <w:t xml:space="preserve"> (PPDB). The PPDB holds data for circa 2,500 pesticide active substances and over 700 metabolites, with circa 320 parameters (e.g., toxicity, biodiversity risk assessments, etc.) stored for each substance </w:t>
      </w:r>
      <w:r w:rsidR="002C37CF" w:rsidRPr="00B06E47">
        <w:rPr>
          <w:sz w:val="20"/>
          <w:szCs w:val="20"/>
        </w:rPr>
        <w:t>[44</w:t>
      </w:r>
      <w:r w:rsidR="00AA7380" w:rsidRPr="00AA7380">
        <w:t xml:space="preserve">. The PPDB is publicly available and is used worldwide to support pesticide risk assessments, models and indicators, policy focused monitoring exercises, and general research. </w:t>
      </w:r>
    </w:p>
    <w:p w14:paraId="32FFF7BB" w14:textId="6E0025D4" w:rsidR="00697090" w:rsidRPr="00ED7E61" w:rsidRDefault="00220FC3"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A6F84">
        <w:t xml:space="preserve">The PEST-CHEMGRIDS dataset [37] provides a publicly accessible, georeferenced dataset of pesticide application rates specific to major and aggregated crops. CROPGRIDS is a global georeferenced dataset providing the distribution, harvested area, and physical area of crops </w:t>
      </w:r>
      <w:r w:rsidRPr="003A6F84">
        <w:rPr>
          <w:rFonts w:eastAsia="SimSun"/>
          <w:sz w:val="22"/>
          <w:szCs w:val="22"/>
          <w:lang w:val="en-GB"/>
        </w:rPr>
        <w:fldChar w:fldCharType="begin"/>
      </w:r>
      <w:r>
        <w:instrText xml:space="preserve"> ADDIN EN.CITE &lt;EndNote&gt;&lt;Cite&gt;&lt;Author&gt;Maggi&lt;/Author&gt;&lt;Year&gt;2019&lt;/Year&gt;&lt;RecNum&gt;5&lt;/RecNum&gt;&lt;DisplayText&gt;&lt;style size="10"&gt;[37,47]&lt;/style&gt;&lt;/DisplayText&gt;&lt;record&gt;&lt;rec-number&gt;5&lt;/rec-number&gt;&lt;foreign-keys&gt;&lt;key app="EN" db-id="t9fvwxa9txt2zxe55d1xfp0opvvvr92xx29e" timestamp="1773227579"&gt;5&lt;/key&gt;&lt;/foreign-keys&gt;&lt;ref-type name="Journal Article"&gt;17&lt;/ref-type&gt;&lt;contributors&gt;&lt;authors&gt;&lt;author&gt;Maggi, Federico&lt;/author&gt;&lt;author&gt;Tang, Fiona H. M.&lt;/author&gt;&lt;author&gt;la Cecilia, Daniele&lt;/author&gt;&lt;author&gt;McBratney, Alexander&lt;/author&gt;&lt;/authors&gt;&lt;/contributors&gt;&lt;titles&gt;&lt;title&gt;PEST-CHEMGRIDS, global gridded maps of the top 20 crop-specific pesticide application rates from 2015 to 2025&lt;/title&gt;&lt;secondary-title&gt;Scientific Data&lt;/secondary-title&gt;&lt;/titles&gt;&lt;periodical&gt;&lt;full-title&gt;Scientific Data&lt;/full-title&gt;&lt;/periodical&gt;&lt;pages&gt;170&lt;/pages&gt;&lt;volume&gt;6&lt;/volume&gt;&lt;number&gt;1&lt;/number&gt;&lt;dates&gt;&lt;year&gt;2019&lt;/year&gt;&lt;pub-dates&gt;&lt;date&gt;2019/09/12&lt;/date&gt;&lt;/pub-dates&gt;&lt;/dates&gt;&lt;isbn&gt;2052-4463&lt;/isbn&gt;&lt;urls&gt;&lt;related-urls&gt;&lt;url&gt;https://doi.org/10.1038/s41597-019-0169-4&lt;/url&gt;&lt;/related-urls&gt;&lt;/urls&gt;&lt;electronic-resource-num&gt;10.1038/s41597-019-0169-4&lt;/electronic-resource-num&gt;&lt;/record&gt;&lt;/Cite&gt;&lt;Cite&gt;&lt;Author&gt;Tang&lt;/Author&gt;&lt;Year&gt;2023&lt;/Year&gt;&lt;RecNum&gt;56&lt;/RecNum&gt;&lt;record&gt;&lt;rec-number&gt;56&lt;/rec-number&gt;&lt;foreign-keys&gt;&lt;key app="EN" db-id="t9fvwxa9txt2zxe55d1xfp0opvvvr92xx29e" timestamp="1773229203"&gt;56&lt;/key&gt;&lt;/foreign-keys&gt;&lt;ref-type name="Journal Article"&gt;17&lt;/ref-type&gt;&lt;contributors&gt;&lt;authors&gt;&lt;author&gt;Tang, Fiona HM&lt;/author&gt;&lt;author&gt;Nguyen, Thu Ha&lt;/author&gt;&lt;author&gt;Conchedda, Giulia&lt;/author&gt;&lt;author&gt;Casse, Leon&lt;/author&gt;&lt;author&gt;Tubiello, Francesco N&lt;/author&gt;&lt;author&gt;Maggi, Federico&lt;/author&gt;&lt;/authors&gt;&lt;/contributors&gt;&lt;titles&gt;&lt;title&gt;CROPGRIDS: A global geo-referenced dataset of 173 crops circa 2020&lt;/title&gt;&lt;secondary-title&gt;Earth System Science Data Discussions&lt;/secondary-title&gt;&lt;/titles&gt;&lt;periodical&gt;&lt;full-title&gt;Earth System Science Data Discussions&lt;/full-title&gt;&lt;/periodical&gt;&lt;pages&gt;1-22&lt;/pages&gt;&lt;volume&gt;2023&lt;/volume&gt;&lt;dates&gt;&lt;year&gt;2023&lt;/year&gt;&lt;/dates&gt;&lt;isbn&gt;1866-3591&lt;/isbn&gt;&lt;urls&gt;&lt;/urls&gt;&lt;/record&gt;&lt;/Cite&gt;&lt;/EndNote&gt;</w:instrText>
      </w:r>
      <w:r w:rsidRPr="003A6F84">
        <w:rPr>
          <w:rFonts w:eastAsia="SimSun"/>
          <w:sz w:val="22"/>
          <w:szCs w:val="22"/>
          <w:lang w:val="en-GB"/>
        </w:rPr>
        <w:fldChar w:fldCharType="separate"/>
      </w:r>
      <w:r w:rsidRPr="006138EF">
        <w:rPr>
          <w:noProof/>
          <w:sz w:val="20"/>
        </w:rPr>
        <w:t>[37,47]</w:t>
      </w:r>
      <w:r w:rsidRPr="003A6F84">
        <w:rPr>
          <w:rFonts w:eastAsia="SimSun"/>
          <w:sz w:val="22"/>
          <w:szCs w:val="22"/>
          <w:lang w:val="en-GB"/>
        </w:rPr>
        <w:fldChar w:fldCharType="end"/>
      </w:r>
      <w:r w:rsidRPr="003A6F84">
        <w:t>.</w:t>
      </w:r>
      <w:r w:rsidR="00697090" w:rsidRPr="00ED7E61">
        <w:rPr>
          <w:rStyle w:val="normaltextrun"/>
          <w:rFonts w:asciiTheme="majorBidi" w:eastAsiaTheme="majorEastAsia" w:hAnsiTheme="majorBidi" w:cstheme="majorBidi"/>
          <w:b/>
          <w:bCs/>
          <w:sz w:val="22"/>
          <w:szCs w:val="22"/>
          <w:lang w:val="en-GB"/>
        </w:rPr>
        <w:t>5f. Availability and release calendar</w:t>
      </w:r>
      <w:r w:rsidR="00697090" w:rsidRPr="00ED7E61">
        <w:rPr>
          <w:rStyle w:val="eop"/>
          <w:rFonts w:asciiTheme="majorBidi" w:eastAsiaTheme="majorEastAsia" w:hAnsiTheme="majorBidi" w:cstheme="majorBidi"/>
          <w:sz w:val="22"/>
          <w:szCs w:val="22"/>
        </w:rPr>
        <w:t> </w:t>
      </w:r>
    </w:p>
    <w:p w14:paraId="6CF3DF3F" w14:textId="77777777" w:rsidR="006F3195" w:rsidRDefault="006F3195" w:rsidP="006F3195">
      <w:pPr>
        <w:pStyle w:val="CBDNormalNumber"/>
        <w:numPr>
          <w:ilvl w:val="0"/>
          <w:numId w:val="77"/>
        </w:numPr>
        <w:ind w:left="567" w:firstLine="0"/>
      </w:pPr>
      <w:r>
        <w:t xml:space="preserve">The ATAT indicator was proposed by a group of technical and policy experts at a dedicated meeting in FAO (Rome) in January 2024 as a robust indicator that meets the criteria for tracking risk reduction to biodiversity from pesticides. Whereas TAT was already available for use, the methodology for aggregating TAT values for a range of species groups was not yet finalized. The equations for ATAT calculation as presented above have subsequently been developed together with a group of experts in pesticide risk indicators to be made available at SBSTTA-28. </w:t>
      </w:r>
    </w:p>
    <w:p w14:paraId="39815E6C" w14:textId="6B8C551B" w:rsidR="006F3195" w:rsidRPr="00ED7E61" w:rsidRDefault="006F3195" w:rsidP="000F54B1">
      <w:pPr>
        <w:pStyle w:val="CBDNormalNumber"/>
        <w:numPr>
          <w:ilvl w:val="0"/>
          <w:numId w:val="77"/>
        </w:numPr>
        <w:ind w:left="567" w:firstLine="0"/>
      </w:pPr>
      <w:r>
        <w:t xml:space="preserve">Following extensive testing of the TAT and ATAT methodologies by the group of experts and facilitated through FAO, a final methodology and protocol for the application of ATAT relevant to indicator 7.2 was submitted to the CBD in March 2026. The methodology, based on pesticide </w:t>
      </w:r>
      <w:r w:rsidR="00220FC3">
        <w:t>use</w:t>
      </w:r>
      <w:r>
        <w:t xml:space="preserve">, and recognizing that some countries might estimate </w:t>
      </w:r>
      <w:r w:rsidR="00693920">
        <w:t xml:space="preserve">use </w:t>
      </w:r>
      <w:r>
        <w:t>based on sales or trade data, inherently incorporates crop, forest and other production areas, and therefore, does not require normalization by area for the purposes of the indicator. Furthermore, based on the availability of pesticide toxicity data and the underlying laboratory methods used to estimate toxicities, including the exposure of a limited number of test/target species as recommended by relevant testing authorities (e.g., OECD), the methodology does not apply weightings based on priorities, endemicities or species richness, to any of the nine species groups used as indicator taxa. Furthermore, although pesticide (active ingredient)-specific data is sometimes incomplete to varying degrees across indicator taxa; the selected species groups have been recommended to allow a broad overview of potential component risks related to the full range of pesticide types (i.e., herbicides, insecticides, fungicides, etc.).</w:t>
      </w:r>
    </w:p>
    <w:p w14:paraId="55F040EE"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76E02FEC" w14:textId="6B084B19" w:rsidR="007A3904" w:rsidRPr="007A3904" w:rsidRDefault="007A3904" w:rsidP="007A3904">
      <w:pPr>
        <w:pStyle w:val="CBDNormalNumber"/>
        <w:numPr>
          <w:ilvl w:val="0"/>
          <w:numId w:val="77"/>
        </w:numPr>
        <w:ind w:left="567" w:firstLine="0"/>
      </w:pPr>
      <w:r>
        <w:t xml:space="preserve">The 2011-2020 baseline should be provided during initial reporting (see section 5b) with comparative risks and risk reductions for each year reported from 2022 to 2030. To avoid biases, all parameters used to calculate baseline values must concur with parameters used during the calculation of annual ATATs. </w:t>
      </w:r>
    </w:p>
    <w:p w14:paraId="03EA00C7" w14:textId="3835F55F" w:rsidR="007A3904" w:rsidRPr="00ED7E61" w:rsidRDefault="007A3904" w:rsidP="00F90F5F">
      <w:pPr>
        <w:pStyle w:val="CBDNormalNumber"/>
        <w:numPr>
          <w:ilvl w:val="0"/>
          <w:numId w:val="77"/>
        </w:numPr>
        <w:ind w:left="567" w:firstLine="0"/>
      </w:pPr>
      <w:r>
        <w:t xml:space="preserve">Changes to national protocols for collecting data on pesticide use (or data on pesticide trade where </w:t>
      </w:r>
      <w:r w:rsidR="00681BCA">
        <w:t xml:space="preserve">use </w:t>
      </w:r>
      <w:r>
        <w:t>is estimated) may occur over the baseline years (2011-2020) or during the reporting period (2022-2030). Protocol changes can disproportionately affect the estimated total toxicities for certain species groups, thereby distorting the component contributions to the overall ATAT values. Data collection protocols should be standardized across the reporting periods; however, if changes to protocols do occur, their effects on each species group should be investigated (i.e., pre- and post-change), noted and accommodated through a reassessment of the data to ensure standardization across reported years. Changes in data collection should be recorded by relevant national reporting authorities to better inform potential risk mitigation actions.</w:t>
      </w:r>
    </w:p>
    <w:p w14:paraId="4A65F64C"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544BBF0F" w14:textId="6A7C699C" w:rsidR="00567DE9" w:rsidRDefault="00567DE9" w:rsidP="00567DE9">
      <w:pPr>
        <w:pStyle w:val="CBDNormalNumber"/>
        <w:numPr>
          <w:ilvl w:val="0"/>
          <w:numId w:val="77"/>
        </w:numPr>
        <w:ind w:left="567" w:firstLine="0"/>
      </w:pPr>
      <w:r>
        <w:t xml:space="preserve">Data on pesticide </w:t>
      </w:r>
      <w:r w:rsidR="00681BCA">
        <w:t xml:space="preserve">use </w:t>
      </w:r>
      <w:r>
        <w:t xml:space="preserve">may be available through national governments. Pesticide </w:t>
      </w:r>
      <w:r w:rsidR="00681BCA">
        <w:t xml:space="preserve">use </w:t>
      </w:r>
      <w:r>
        <w:t xml:space="preserve">data is sometimes available through trade and commodities agencies, including private sector agents. Where </w:t>
      </w:r>
      <w:r>
        <w:lastRenderedPageBreak/>
        <w:t xml:space="preserve">pesticide </w:t>
      </w:r>
      <w:r w:rsidR="00681BCA">
        <w:t xml:space="preserve">use </w:t>
      </w:r>
      <w:r>
        <w:t xml:space="preserve">is estimated, data on pesticide trade, including import, export and production may be available through relevant government authorities, including customs, ministries of trade and/or industry. Monash University and the University of Sydney can provide pesticide </w:t>
      </w:r>
      <w:r w:rsidR="00681BCA">
        <w:t xml:space="preserve">use </w:t>
      </w:r>
      <w:r>
        <w:t>estimation services to countries. Data on crop production, including acreage, is available through relevant ministries, including agriculture, forestry, and others. FAOSTAT maintains a publicly accessible database on crop production by country. The RTL values needed to calculate the ATAT will be made available to end users (e.g., via the PPDB). These values must be used by all countries when calculating their ATAT.</w:t>
      </w:r>
    </w:p>
    <w:p w14:paraId="633EB257" w14:textId="77777777" w:rsidR="00567DE9" w:rsidRPr="00ED7E61" w:rsidRDefault="00567DE9" w:rsidP="0032275D">
      <w:pPr>
        <w:pStyle w:val="CBDNormalNumber"/>
        <w:ind w:left="567"/>
      </w:pPr>
    </w:p>
    <w:p w14:paraId="464A6096"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550A7D5A" w14:textId="0A21BEF9" w:rsidR="00215AC7" w:rsidRDefault="00215AC7" w:rsidP="00215AC7">
      <w:pPr>
        <w:pStyle w:val="CBDNormalNumber"/>
        <w:numPr>
          <w:ilvl w:val="0"/>
          <w:numId w:val="77"/>
        </w:numPr>
        <w:ind w:left="567" w:firstLine="0"/>
      </w:pPr>
      <w:r>
        <w:t>ATATs are reported to the CBD by relevant national authorities. It is recommended that the data used to calculate TATs and ATATs is maintained by each country's authority. Individual TAT</w:t>
      </w:r>
      <w:r w:rsidR="00791A31">
        <w:t xml:space="preserve"> value</w:t>
      </w:r>
      <w:r>
        <w:t>s as well as the contributions to TAT</w:t>
      </w:r>
      <w:r w:rsidR="00791A31">
        <w:t xml:space="preserve"> value</w:t>
      </w:r>
      <w:r>
        <w:t>s by specific pesticide active ingredients represent important component indicators that can support the drafting of risk mitigation plans. For example, the top five pesticide active ingredient contributors to overall TAT values can be noted to develop regional and/or national strategies for risk mitigation.</w:t>
      </w:r>
    </w:p>
    <w:p w14:paraId="4545ECE3" w14:textId="77777777" w:rsidR="0032275D" w:rsidRPr="00ED7E61" w:rsidRDefault="0032275D" w:rsidP="0032275D">
      <w:pPr>
        <w:pStyle w:val="0Numberedparagraph"/>
        <w:numPr>
          <w:ilvl w:val="0"/>
          <w:numId w:val="0"/>
        </w:numPr>
        <w:ind w:left="567"/>
      </w:pPr>
    </w:p>
    <w:p w14:paraId="711F165B"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6F1F5363" w14:textId="77777777" w:rsidR="00571137" w:rsidRDefault="00571137" w:rsidP="00571137">
      <w:pPr>
        <w:pStyle w:val="CBDNormalNumber"/>
        <w:numPr>
          <w:ilvl w:val="0"/>
          <w:numId w:val="77"/>
        </w:numPr>
        <w:ind w:left="567" w:firstLine="0"/>
      </w:pPr>
      <w:r w:rsidRPr="00571137">
        <w:t>The indicator is non-cumulative and not dynamic in time—that is, it does not consider the effects of accumulated pesticides and their degradation products in the environment over time and thus may not fully capture the pervasiveness of active ingredients in the environment, or their residence times, byproducts and pathways.</w:t>
      </w:r>
    </w:p>
    <w:p w14:paraId="786B231A" w14:textId="77777777" w:rsidR="00571137" w:rsidRDefault="00571137" w:rsidP="00571137">
      <w:pPr>
        <w:pStyle w:val="CBDNormalNumber"/>
        <w:numPr>
          <w:ilvl w:val="0"/>
          <w:numId w:val="77"/>
        </w:numPr>
        <w:ind w:left="567" w:firstLine="0"/>
      </w:pPr>
      <w:r w:rsidRPr="00571137">
        <w:t xml:space="preserve">The indicator does not account for the synergistic or antagonistic effects of pesticide mixtures, which are currently poorly documented and for which useful toxicity data is largely unavailable.  </w:t>
      </w:r>
    </w:p>
    <w:p w14:paraId="41234282" w14:textId="41EC6FB2" w:rsidR="00571137" w:rsidRDefault="00571137" w:rsidP="00571137">
      <w:pPr>
        <w:pStyle w:val="CBDNormalNumber"/>
        <w:numPr>
          <w:ilvl w:val="0"/>
          <w:numId w:val="77"/>
        </w:numPr>
        <w:ind w:left="567" w:firstLine="0"/>
      </w:pPr>
      <w:r w:rsidRPr="00571137">
        <w:t>The indicator omits illegally traded and illegally used pesticides for which information is largely unavailable</w:t>
      </w:r>
      <w:proofErr w:type="gramStart"/>
      <w:r w:rsidRPr="00571137">
        <w:t>, in particular, the</w:t>
      </w:r>
      <w:proofErr w:type="gramEnd"/>
      <w:r w:rsidRPr="00571137">
        <w:t xml:space="preserve"> indicator cannot include non-reported </w:t>
      </w:r>
      <w:r w:rsidR="00EE358A">
        <w:t>use</w:t>
      </w:r>
      <w:r w:rsidR="00EE358A" w:rsidRPr="00571137">
        <w:t xml:space="preserve"> </w:t>
      </w:r>
      <w:r w:rsidRPr="00571137">
        <w:t xml:space="preserve">of banned pesticides – many of which have severe impacts on key species groups.  </w:t>
      </w:r>
    </w:p>
    <w:p w14:paraId="0FD8DBFF" w14:textId="77777777" w:rsidR="00571137" w:rsidRDefault="00571137" w:rsidP="00571137">
      <w:pPr>
        <w:pStyle w:val="CBDNormalNumber"/>
        <w:numPr>
          <w:ilvl w:val="0"/>
          <w:numId w:val="77"/>
        </w:numPr>
        <w:ind w:left="567" w:firstLine="0"/>
      </w:pPr>
      <w:r w:rsidRPr="00571137">
        <w:t xml:space="preserve">The indicator does not include the detrimental effects of obsolete pesticide stocks in nations; these are often inadequately stored and can have severe adverse effects on biodiversity and ecosystems.  </w:t>
      </w:r>
    </w:p>
    <w:p w14:paraId="7635E31B" w14:textId="2685DA54" w:rsidR="00571137" w:rsidRDefault="00571137" w:rsidP="00571137">
      <w:pPr>
        <w:pStyle w:val="CBDNormalNumber"/>
        <w:numPr>
          <w:ilvl w:val="0"/>
          <w:numId w:val="77"/>
        </w:numPr>
        <w:ind w:left="567" w:firstLine="0"/>
      </w:pPr>
      <w:r w:rsidRPr="00571137">
        <w:t xml:space="preserve">The indicator does not address risk mitigation measures such as avoiding pesticide drift, avoiding riverine habitats, avoiding bird and fish breeding seasons, maintaining distances from water bodies, etc.; it assumes that pesticide transport into non-target ecosystems largely depends on </w:t>
      </w:r>
      <w:r w:rsidR="00EE358A">
        <w:t>use</w:t>
      </w:r>
      <w:r w:rsidRPr="00571137">
        <w:t xml:space="preserve">, as indicated by many studies (see section 4. Rationale).     </w:t>
      </w:r>
    </w:p>
    <w:p w14:paraId="0E27B986" w14:textId="77777777" w:rsidR="00571137" w:rsidRDefault="00571137" w:rsidP="00571137">
      <w:pPr>
        <w:pStyle w:val="CBDNormalNumber"/>
        <w:numPr>
          <w:ilvl w:val="0"/>
          <w:numId w:val="77"/>
        </w:numPr>
        <w:ind w:left="567" w:firstLine="0"/>
      </w:pPr>
      <w:r w:rsidRPr="00571137">
        <w:t xml:space="preserve">The indicator does not incorporate cascade effects whereby pesticide impacts on one species, or a group of species, has detrimental effects on other community components (species or species groups) despite minimal direct pesticide impacts on the latter (e.g., herbicide impacts on flowering plants affect specialized pollinators or pesticide impacts on chironomid larvae affect fish).  </w:t>
      </w:r>
    </w:p>
    <w:p w14:paraId="322D4C93" w14:textId="77777777" w:rsidR="00571137" w:rsidRDefault="00571137" w:rsidP="00571137">
      <w:pPr>
        <w:pStyle w:val="CBDNormalNumber"/>
        <w:numPr>
          <w:ilvl w:val="0"/>
          <w:numId w:val="77"/>
        </w:numPr>
        <w:ind w:left="567" w:firstLine="0"/>
      </w:pPr>
      <w:r w:rsidRPr="00571137">
        <w:t xml:space="preserve">The indicator is based on pesticide toxicities to species groups as indicated from mainly laboratory studies using recommended target species; it does not apply weightings for rare or endangered species or species that are endemic to specific countries.  </w:t>
      </w:r>
    </w:p>
    <w:p w14:paraId="6212C948" w14:textId="0AE945F4" w:rsidR="00571137" w:rsidRPr="00571137" w:rsidRDefault="00571137" w:rsidP="00571137">
      <w:pPr>
        <w:pStyle w:val="CBDNormalNumber"/>
        <w:numPr>
          <w:ilvl w:val="0"/>
          <w:numId w:val="77"/>
        </w:numPr>
        <w:ind w:left="567" w:firstLine="0"/>
      </w:pPr>
      <w:r w:rsidRPr="00571137">
        <w:t xml:space="preserve">The indicator does not include coastal and marine habitats and possible detrimental effects to marine organisms.  </w:t>
      </w:r>
    </w:p>
    <w:p w14:paraId="34129DBC" w14:textId="77777777" w:rsidR="00571137" w:rsidRPr="00ED7E61" w:rsidRDefault="00571137" w:rsidP="00571137">
      <w:pPr>
        <w:pStyle w:val="CBDNormalNumber"/>
        <w:ind w:left="567"/>
      </w:pPr>
    </w:p>
    <w:p w14:paraId="441CB658"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5EA3FF15" w14:textId="78159A1C" w:rsidR="00B069E6" w:rsidRDefault="00B069E6" w:rsidP="00B069E6">
      <w:pPr>
        <w:pStyle w:val="CBDNormalNumber"/>
        <w:numPr>
          <w:ilvl w:val="0"/>
          <w:numId w:val="77"/>
        </w:numPr>
        <w:ind w:left="567" w:firstLine="0"/>
      </w:pPr>
      <w:r>
        <w:lastRenderedPageBreak/>
        <w:t xml:space="preserve">Data on pesticide </w:t>
      </w:r>
      <w:r w:rsidR="00371B50">
        <w:t xml:space="preserve">use </w:t>
      </w:r>
      <w:r>
        <w:t xml:space="preserve">if unavailable, can be substituted using the hierarchical approach outlined in section 5c (data collection methods). Reporting authorities are encouraged to maintain clear records of methods and calculations in such cases; this will better inform relevant national authorities when drafting risk mitigation actions. </w:t>
      </w:r>
    </w:p>
    <w:p w14:paraId="453C861D" w14:textId="77777777" w:rsidR="00697090" w:rsidRPr="00ED7E61" w:rsidRDefault="00697090" w:rsidP="00697090">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3DF1EA44" w14:textId="77777777" w:rsidR="00697090" w:rsidRPr="00ED7E61" w:rsidRDefault="00697090" w:rsidP="00181CB0">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04B5037B" w14:textId="77777777" w:rsidR="00697090" w:rsidRPr="00ED7E61" w:rsidRDefault="00697090" w:rsidP="00181CB0">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 </w:t>
      </w:r>
      <w:r w:rsidRPr="00ED7E61">
        <w:rPr>
          <w:rStyle w:val="eop"/>
          <w:rFonts w:asciiTheme="majorBidi" w:eastAsiaTheme="majorEastAsia" w:hAnsiTheme="majorBidi" w:cstheme="majorBidi"/>
          <w:sz w:val="22"/>
          <w:szCs w:val="22"/>
        </w:rPr>
        <w:t> </w:t>
      </w:r>
    </w:p>
    <w:p w14:paraId="2F5331D1" w14:textId="77777777" w:rsidR="00697090" w:rsidRPr="00ED7E61" w:rsidRDefault="00697090" w:rsidP="00181CB0">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National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25AAF83E" w14:textId="77777777" w:rsidR="00697090" w:rsidRPr="00ED7E61" w:rsidRDefault="00697090" w:rsidP="00B10F0C">
      <w:pPr>
        <w:pStyle w:val="CBDNormalNumber"/>
        <w:numPr>
          <w:ilvl w:val="0"/>
          <w:numId w:val="77"/>
        </w:numPr>
        <w:ind w:left="567" w:firstLine="0"/>
      </w:pPr>
      <w:r w:rsidRPr="00ED7E61">
        <w:t>Scale of data disaggregation/aggregation: Aggregated by pesticide active ingredients, species and species groups, and crop production areas (including plantation forestry and pastures) or application areas (in the case of public health pesticides) </w:t>
      </w:r>
    </w:p>
    <w:p w14:paraId="28B92097" w14:textId="77777777" w:rsidR="00E745D7" w:rsidRDefault="00E745D7" w:rsidP="00E745D7">
      <w:pPr>
        <w:numPr>
          <w:ilvl w:val="0"/>
          <w:numId w:val="293"/>
        </w:numPr>
        <w:rPr>
          <w:sz w:val="22"/>
          <w:szCs w:val="22"/>
          <w:lang w:val="en-US"/>
        </w:rPr>
      </w:pPr>
      <w:r>
        <w:rPr>
          <w:sz w:val="22"/>
          <w:szCs w:val="22"/>
          <w:lang w:val="en-US"/>
        </w:rPr>
        <w:t xml:space="preserve">Global / regional scale </w:t>
      </w:r>
      <w:proofErr w:type="gramStart"/>
      <w:r>
        <w:rPr>
          <w:sz w:val="22"/>
          <w:szCs w:val="22"/>
          <w:lang w:val="en-US"/>
        </w:rPr>
        <w:t>indicator</w:t>
      </w:r>
      <w:proofErr w:type="gramEnd"/>
      <w:r>
        <w:rPr>
          <w:sz w:val="22"/>
          <w:szCs w:val="22"/>
          <w:lang w:val="en-US"/>
        </w:rPr>
        <w:t xml:space="preserve"> can be disaggregated to national level: ​</w:t>
      </w:r>
      <w:r>
        <w:rPr>
          <w:rFonts w:ascii="Segoe UI Symbol" w:hAnsi="Segoe UI Symbol" w:cs="Segoe UI Symbol"/>
          <w:sz w:val="22"/>
          <w:szCs w:val="22"/>
          <w:lang w:val="en-US"/>
        </w:rPr>
        <w:t>☒</w:t>
      </w:r>
      <w:r>
        <w:rPr>
          <w:sz w:val="22"/>
          <w:szCs w:val="22"/>
          <w:lang w:val="en-US"/>
        </w:rPr>
        <w:t>​ </w:t>
      </w:r>
    </w:p>
    <w:p w14:paraId="61241380" w14:textId="77777777" w:rsidR="00E745D7" w:rsidRDefault="00E745D7" w:rsidP="00E745D7">
      <w:pPr>
        <w:numPr>
          <w:ilvl w:val="0"/>
          <w:numId w:val="293"/>
        </w:numPr>
        <w:rPr>
          <w:sz w:val="22"/>
          <w:szCs w:val="22"/>
          <w:lang w:val="en-US"/>
        </w:rPr>
      </w:pPr>
      <w:r>
        <w:rPr>
          <w:sz w:val="22"/>
          <w:szCs w:val="22"/>
          <w:lang w:val="en-US"/>
        </w:rPr>
        <w:t>National data is collated to form global indicator: ​</w:t>
      </w:r>
      <w:r>
        <w:rPr>
          <w:rFonts w:ascii="Segoe UI Symbol" w:hAnsi="Segoe UI Symbol" w:cs="Segoe UI Symbol"/>
          <w:sz w:val="22"/>
          <w:szCs w:val="22"/>
          <w:lang w:val="en-US"/>
        </w:rPr>
        <w:t>☒</w:t>
      </w:r>
      <w:r>
        <w:rPr>
          <w:sz w:val="22"/>
          <w:szCs w:val="22"/>
          <w:lang w:val="en-US"/>
        </w:rPr>
        <w:t>​ </w:t>
      </w:r>
    </w:p>
    <w:p w14:paraId="400CFCC0" w14:textId="6FC61CF4" w:rsidR="00E745D7" w:rsidRDefault="00E745D7" w:rsidP="00E745D7">
      <w:pPr>
        <w:numPr>
          <w:ilvl w:val="0"/>
          <w:numId w:val="293"/>
        </w:numPr>
        <w:rPr>
          <w:sz w:val="22"/>
          <w:szCs w:val="22"/>
          <w:lang w:val="en-US"/>
        </w:rPr>
      </w:pPr>
      <w:r>
        <w:rPr>
          <w:sz w:val="22"/>
          <w:szCs w:val="22"/>
          <w:lang w:val="en-US"/>
        </w:rPr>
        <w:t xml:space="preserve">National data may be disaggregated to crops or regions if </w:t>
      </w:r>
      <w:r w:rsidR="00371B50">
        <w:rPr>
          <w:sz w:val="22"/>
          <w:szCs w:val="22"/>
          <w:lang w:val="en-US"/>
        </w:rPr>
        <w:t xml:space="preserve">use </w:t>
      </w:r>
      <w:r>
        <w:rPr>
          <w:sz w:val="22"/>
          <w:szCs w:val="22"/>
          <w:lang w:val="en-US"/>
        </w:rPr>
        <w:t xml:space="preserve">data at the respective </w:t>
      </w:r>
      <w:proofErr w:type="gramStart"/>
      <w:r>
        <w:rPr>
          <w:sz w:val="22"/>
          <w:szCs w:val="22"/>
          <w:lang w:val="en-US"/>
        </w:rPr>
        <w:t>resolution</w:t>
      </w:r>
      <w:proofErr w:type="gramEnd"/>
      <w:r>
        <w:rPr>
          <w:sz w:val="22"/>
          <w:szCs w:val="22"/>
          <w:lang w:val="en-US"/>
        </w:rPr>
        <w:t xml:space="preserve"> are available to guide mitigation measures at the regional level: ​</w:t>
      </w:r>
      <w:r>
        <w:rPr>
          <w:rFonts w:ascii="Segoe UI Symbol" w:hAnsi="Segoe UI Symbol" w:cs="Segoe UI Symbol"/>
          <w:sz w:val="22"/>
          <w:szCs w:val="22"/>
          <w:lang w:val="en-US"/>
        </w:rPr>
        <w:t>☒</w:t>
      </w:r>
      <w:r>
        <w:rPr>
          <w:sz w:val="22"/>
          <w:szCs w:val="22"/>
          <w:lang w:val="en-US"/>
        </w:rPr>
        <w:t>​ </w:t>
      </w:r>
    </w:p>
    <w:p w14:paraId="7E70A260" w14:textId="77777777" w:rsidR="00E745D7" w:rsidRDefault="00E745D7" w:rsidP="00E745D7">
      <w:pPr>
        <w:ind w:left="1584"/>
        <w:rPr>
          <w:sz w:val="22"/>
          <w:szCs w:val="22"/>
          <w:lang w:val="en-US"/>
        </w:rPr>
      </w:pPr>
    </w:p>
    <w:p w14:paraId="47530602"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1B07510B" w14:textId="316D50AC" w:rsidR="00FA1487" w:rsidRPr="00ED7E61" w:rsidRDefault="00B1331D" w:rsidP="00B71DAD">
      <w:pPr>
        <w:pStyle w:val="CBDNormalNumber"/>
        <w:numPr>
          <w:ilvl w:val="0"/>
          <w:numId w:val="77"/>
        </w:numPr>
        <w:ind w:left="567" w:firstLine="0"/>
      </w:pPr>
      <w:r>
        <w:t>Indicator characteristics and calculations are available for national authorities in papers published by Schulz et al. (2021)</w:t>
      </w:r>
      <w:r>
        <w:fldChar w:fldCharType="begin"/>
      </w:r>
      <w:r>
        <w:instrText xml:space="preserve"> ADDIN EN.CITE &lt;EndNote&gt;&lt;Cite&gt;&lt;Author&gt;Schulz&lt;/Author&gt;&lt;Year&gt;2021&lt;/Year&gt;&lt;RecNum&gt;30&lt;/RecNum&gt;&lt;DisplayText&gt;&lt;style size="10"&gt;[28]&lt;/style&gt;&lt;/DisplayText&gt;&lt;record&gt;&lt;rec-number&gt;30&lt;/rec-number&gt;&lt;foreign-keys&gt;&lt;key app="EN" db-id="t9fvwxa9txt2zxe55d1xfp0opvvvr92xx29e" timestamp="1773228402"&gt;30&lt;/key&gt;&lt;/foreign-keys&gt;&lt;ref-type name="Journal Article"&gt;17&lt;/ref-type&gt;&lt;contributors&gt;&lt;authors&gt;&lt;author&gt;Schulz, Ralf&lt;/author&gt;&lt;author&gt;Bub, Sascha&lt;/author&gt;&lt;author&gt;Petschick, Lara L.&lt;/author&gt;&lt;author&gt;Stehle, Sebastian&lt;/author&gt;&lt;author&gt;Wolfram, Jakob&lt;/author&gt;&lt;/authors&gt;&lt;/contributors&gt;&lt;titles&gt;&lt;title&gt;Applied pesticide toxicity shifts toward plants and invertebrates, even in GM crops&lt;/title&gt;&lt;secondary-title&gt;Science&lt;/secondary-title&gt;&lt;/titles&gt;&lt;periodical&gt;&lt;full-title&gt;Science&lt;/full-title&gt;&lt;/periodical&gt;&lt;pages&gt;81-84&lt;/pages&gt;&lt;volume&gt;372&lt;/volume&gt;&lt;number&gt;6537&lt;/number&gt;&lt;dates&gt;&lt;year&gt;2021&lt;/year&gt;&lt;/dates&gt;&lt;urls&gt;&lt;related-urls&gt;&lt;url&gt;https://www.science.org/doi/abs/10.1126/science.abe1148&lt;/url&gt;&lt;/related-urls&gt;&lt;/urls&gt;&lt;electronic-resource-num&gt;doi:10.1126/science.abe1148&lt;/electronic-resource-num&gt;&lt;/record&gt;&lt;/Cite&gt;&lt;/EndNote&gt;</w:instrText>
      </w:r>
      <w:r>
        <w:fldChar w:fldCharType="separate"/>
      </w:r>
      <w:r w:rsidRPr="00B1331D">
        <w:t>[28]</w:t>
      </w:r>
      <w:r>
        <w:fldChar w:fldCharType="end"/>
      </w:r>
      <w:r>
        <w:t>, Bub et al (2023)</w:t>
      </w:r>
      <w:r>
        <w:fldChar w:fldCharType="begin"/>
      </w:r>
      <w:r>
        <w:instrText xml:space="preserve"> ADDIN EN.CITE &lt;EndNote&gt;&lt;Cite&gt;&lt;Author&gt;Bub&lt;/Author&gt;&lt;Year&gt;2023&lt;/Year&gt;&lt;RecNum&gt;31&lt;/RecNum&gt;&lt;DisplayText&gt;&lt;style size="10"&gt;[27]&lt;/style&gt;&lt;/DisplayText&gt;&lt;record&gt;&lt;rec-number&gt;31&lt;/rec-number&gt;&lt;foreign-keys&gt;&lt;key app="EN" db-id="t9fvwxa9txt2zxe55d1xfp0opvvvr92xx29e" timestamp="1773228430"&gt;31&lt;/key&gt;&lt;/foreign-keys&gt;&lt;ref-type name="Journal Article"&gt;17&lt;/ref-type&gt;&lt;contributors&gt;&lt;authors&gt;&lt;author&gt;Bub, Sascha&lt;/author&gt;&lt;author&gt;Wolfram, Jakob&lt;/author&gt;&lt;author&gt;Petschick, Lara L.&lt;/author&gt;&lt;author&gt;Stehle, Sebastian&lt;/author&gt;&lt;author&gt;Schulz, Ralf&lt;/author&gt;&lt;/authors&gt;&lt;/contributors&gt;&lt;titles&gt;&lt;title&gt;Trends of Total Applied Pesticide Toxicity in German Agriculture&lt;/title&gt;&lt;secondary-title&gt;Environmental Science &amp;amp; Technology&lt;/secondary-title&gt;&lt;/titles&gt;&lt;periodical&gt;&lt;full-title&gt;Environmental Science &amp;amp; Technology&lt;/full-title&gt;&lt;/periodical&gt;&lt;pages&gt;852-861&lt;/pages&gt;&lt;volume&gt;57&lt;/volume&gt;&lt;number&gt;1&lt;/number&gt;&lt;dates&gt;&lt;year&gt;2023&lt;/year&gt;&lt;pub-dates&gt;&lt;date&gt;2023/01/10&lt;/date&gt;&lt;/pub-dates&gt;&lt;/dates&gt;&lt;publisher&gt;American Chemical Society&lt;/publisher&gt;&lt;isbn&gt;0013-936X&lt;/isbn&gt;&lt;urls&gt;&lt;related-urls&gt;&lt;url&gt;https://doi.org/10.1021/acs.est.2c07251&lt;/url&gt;&lt;/related-urls&gt;&lt;/urls&gt;&lt;electronic-resource-num&gt;10.1021/acs.est.2c07251&lt;/electronic-resource-num&gt;&lt;/record&gt;&lt;/Cite&gt;&lt;/EndNote&gt;</w:instrText>
      </w:r>
      <w:r>
        <w:fldChar w:fldCharType="separate"/>
      </w:r>
      <w:r w:rsidRPr="00B1331D">
        <w:t>[27]</w:t>
      </w:r>
      <w:r>
        <w:fldChar w:fldCharType="end"/>
      </w:r>
      <w:r>
        <w:t xml:space="preserve"> and Wolfram et al. (2023)</w:t>
      </w:r>
      <w:r>
        <w:fldChar w:fldCharType="begin"/>
      </w:r>
      <w:r>
        <w:instrText xml:space="preserve"> ADDIN EN.CITE &lt;EndNote&gt;&lt;Cite&gt;&lt;Author&gt;Wolfram&lt;/Author&gt;&lt;Year&gt;2023&lt;/Year&gt;&lt;RecNum&gt;7&lt;/RecNum&gt;&lt;DisplayText&gt;&lt;style size="10"&gt;[25]&lt;/style&gt;&lt;/DisplayText&gt;&lt;record&gt;&lt;rec-number&gt;7&lt;/rec-number&gt;&lt;foreign-keys&gt;&lt;key app="EN" db-id="t9fvwxa9txt2zxe55d1xfp0opvvvr92xx29e" timestamp="1773227634"&gt;7&lt;/key&gt;&lt;/foreign-keys&gt;&lt;ref-type name="Journal Article"&gt;17&lt;/ref-type&gt;&lt;contributors&gt;&lt;authors&gt;&lt;author&gt;Wolfram, Jakob&lt;/author&gt;&lt;author&gt;Bub, Sascha&lt;/author&gt;&lt;author&gt;Petschick, Lara L.&lt;/author&gt;&lt;author&gt;Schemmer, Anna&lt;/author&gt;&lt;author&gt;Stehle, Sebastian&lt;/author&gt;&lt;author&gt;Schulz, Ralf&lt;/author&gt;&lt;/authors&gt;&lt;/contributors&gt;&lt;titles&gt;&lt;title&gt;Pesticide occurrence in protected surface waters in nature conservation areas of Germany&lt;/title&gt;&lt;secondary-title&gt;Science of The Total Environment&lt;/secondary-title&gt;&lt;/titles&gt;&lt;periodical&gt;&lt;full-title&gt;Science of The Total Environment&lt;/full-title&gt;&lt;/periodical&gt;&lt;pages&gt;160074&lt;/pages&gt;&lt;volume&gt;858&lt;/volume&gt;&lt;keywords&gt;&lt;keyword&gt;Environmental risks&lt;/keyword&gt;&lt;keyword&gt;Monitoring&lt;/keyword&gt;&lt;keyword&gt;Aquatic ecosystems&lt;/keyword&gt;&lt;keyword&gt;Contaminant transport&lt;/keyword&gt;&lt;keyword&gt;Biodiversity&lt;/keyword&gt;&lt;keyword&gt;Agriculture&lt;/keyword&gt;&lt;/keywords&gt;&lt;dates&gt;&lt;year&gt;2023&lt;/year&gt;&lt;pub-dates&gt;&lt;date&gt;2023/02/01/&lt;/date&gt;&lt;/pub-dates&gt;&lt;/dates&gt;&lt;isbn&gt;0048-9697&lt;/isbn&gt;&lt;urls&gt;&lt;related-urls&gt;&lt;url&gt;https://www.sciencedirect.com/science/article/pii/S0048969722071741&lt;/url&gt;&lt;/related-urls&gt;&lt;/urls&gt;&lt;electronic-resource-num&gt;https://doi.org/10.1016/j.scitotenv.2022.160074&lt;/electronic-resource-num&gt;&lt;/record&gt;&lt;/Cite&gt;&lt;/EndNote&gt;</w:instrText>
      </w:r>
      <w:r>
        <w:fldChar w:fldCharType="separate"/>
      </w:r>
      <w:r w:rsidRPr="00B1331D">
        <w:t>[25]</w:t>
      </w:r>
      <w:r>
        <w:fldChar w:fldCharType="end"/>
      </w:r>
      <w:r>
        <w:t xml:space="preserve">. Data to calculate the indicator is available at national levels including, in many cases, to calculate the baseline indicator (2011-2020) using historical data </w:t>
      </w:r>
      <w:r w:rsidRPr="00B1331D">
        <w:t>[29]</w:t>
      </w:r>
      <w:r>
        <w:t xml:space="preserve">. Annual TATs for individual species groups are recommended as useful complementary indicators that can inform on risk mitigation actions. </w:t>
      </w:r>
    </w:p>
    <w:p w14:paraId="29C05E1D" w14:textId="62868343"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1CC73C7D" w14:textId="77777777" w:rsidR="00D51853" w:rsidRDefault="00D51853" w:rsidP="00D51853">
      <w:pPr>
        <w:pStyle w:val="CBDNormalNumber"/>
        <w:numPr>
          <w:ilvl w:val="0"/>
          <w:numId w:val="77"/>
        </w:numPr>
        <w:ind w:left="567" w:firstLine="0"/>
      </w:pPr>
      <w:r>
        <w:t>ATAT is a relative measure, expressed as percentage change against the baseline; as such it allows for convenient aggregation at the global level. </w:t>
      </w:r>
    </w:p>
    <w:p w14:paraId="53E7524E" w14:textId="2A96B99F" w:rsidR="00697090" w:rsidRPr="00ED7E61" w:rsidRDefault="00697090" w:rsidP="00D51853">
      <w:pPr>
        <w:pStyle w:val="CBDNormalNumber"/>
        <w:ind w:left="567"/>
      </w:pPr>
    </w:p>
    <w:p w14:paraId="6C4D5705"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6E104F1A" w14:textId="77777777" w:rsidR="00697090" w:rsidRPr="00ED7E61" w:rsidRDefault="00697090" w:rsidP="00697090">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26FB9B2F" w14:textId="35808C93" w:rsidR="00B117CD" w:rsidRPr="00B117CD" w:rsidRDefault="00B117CD" w:rsidP="00B117CD">
      <w:pPr>
        <w:pStyle w:val="CBDNormalNumber"/>
        <w:numPr>
          <w:ilvl w:val="0"/>
          <w:numId w:val="77"/>
        </w:numPr>
        <w:ind w:left="567" w:firstLine="0"/>
        <w:rPr>
          <w:lang w:val="en-US"/>
        </w:rPr>
      </w:pPr>
      <w:r w:rsidRPr="00B117CD">
        <w:rPr>
          <w:lang w:val="en-US"/>
        </w:rPr>
        <w:t>The methodology for TAT and its application in comparing environmental toxicities between regions and over time has been published by Schulz et al. (</w:t>
      </w:r>
      <w:sdt>
        <w:sdtPr>
          <w:rPr>
            <w:lang w:val="en-US"/>
          </w:rPr>
          <w:tag w:val="goog_rdk_322"/>
          <w:id w:val="714208025"/>
        </w:sdtPr>
        <w:sdtContent>
          <w:r w:rsidRPr="00B117CD">
            <w:rPr>
              <w:lang w:val="en-US"/>
            </w:rPr>
            <w:t>2021</w:t>
          </w:r>
        </w:sdtContent>
      </w:sdt>
      <w:r w:rsidRPr="00B117CD">
        <w:rPr>
          <w:lang w:val="en-US"/>
        </w:rPr>
        <w:t>)</w:t>
      </w:r>
      <w:r w:rsidRPr="00B117CD">
        <w:rPr>
          <w:lang w:val="en-US"/>
        </w:rPr>
        <w:fldChar w:fldCharType="begin"/>
      </w:r>
      <w:r w:rsidRPr="00B117CD">
        <w:rPr>
          <w:lang w:val="en-US"/>
        </w:rPr>
        <w:instrText xml:space="preserve"> ADDIN EN.CITE &lt;EndNote&gt;&lt;Cite&gt;&lt;Author&gt;Schulz&lt;/Author&gt;&lt;Year&gt;2021&lt;/Year&gt;&lt;RecNum&gt;30&lt;/RecNum&gt;&lt;DisplayText&gt;&lt;style size="10"&gt;[28]&lt;/style&gt;&lt;/DisplayText&gt;&lt;record&gt;&lt;rec-number&gt;30&lt;/rec-number&gt;&lt;foreign-keys&gt;&lt;key app="EN" db-id="t9fvwxa9txt2zxe55d1xfp0opvvvr92xx29e" timestamp="1773228402"&gt;30&lt;/key&gt;&lt;/foreign-keys&gt;&lt;ref-type name="Journal Article"&gt;17&lt;/ref-type&gt;&lt;contributors&gt;&lt;authors&gt;&lt;author&gt;Schulz, Ralf&lt;/author&gt;&lt;author&gt;Bub, Sascha&lt;/author&gt;&lt;author&gt;Petschick, Lara L.&lt;/author&gt;&lt;author&gt;Stehle, Sebastian&lt;/author&gt;&lt;author&gt;Wolfram, Jakob&lt;/author&gt;&lt;/authors&gt;&lt;/contributors&gt;&lt;titles&gt;&lt;title&gt;Applied pesticide toxicity shifts toward plants and invertebrates, even in GM crops&lt;/title&gt;&lt;secondary-title&gt;Science&lt;/secondary-title&gt;&lt;/titles&gt;&lt;periodical&gt;&lt;full-title&gt;Science&lt;/full-title&gt;&lt;/periodical&gt;&lt;pages&gt;81-84&lt;/pages&gt;&lt;volume&gt;372&lt;/volume&gt;&lt;number&gt;6537&lt;/number&gt;&lt;dates&gt;&lt;year&gt;2021&lt;/year&gt;&lt;/dates&gt;&lt;urls&gt;&lt;related-urls&gt;&lt;url&gt;https://www.science.org/doi/abs/10.1126/science.abe1148&lt;/url&gt;&lt;/related-urls&gt;&lt;/urls&gt;&lt;electronic-resource-num&gt;doi:10.1126/science.abe1148&lt;/electronic-resource-num&gt;&lt;/record&gt;&lt;/Cite&gt;&lt;/EndNote&gt;</w:instrText>
      </w:r>
      <w:r w:rsidRPr="00B117CD">
        <w:rPr>
          <w:lang w:val="en-US"/>
        </w:rPr>
        <w:fldChar w:fldCharType="separate"/>
      </w:r>
      <w:r w:rsidRPr="00B117CD">
        <w:rPr>
          <w:lang w:val="en-US"/>
        </w:rPr>
        <w:t>[28]</w:t>
      </w:r>
      <w:r w:rsidRPr="00B117CD">
        <w:fldChar w:fldCharType="end"/>
      </w:r>
      <w:r w:rsidRPr="00B117CD">
        <w:rPr>
          <w:lang w:val="en-US"/>
        </w:rPr>
        <w:t>.</w:t>
      </w:r>
    </w:p>
    <w:p w14:paraId="57DDF042" w14:textId="77777777" w:rsidR="00697090" w:rsidRPr="00ED7E61" w:rsidRDefault="00697090" w:rsidP="00697090">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7856FA54" w14:textId="40E20E22" w:rsidR="00697090" w:rsidRPr="00ED7E61" w:rsidRDefault="009528B8" w:rsidP="00B10F0C">
      <w:pPr>
        <w:pStyle w:val="CBDNormalNumber"/>
        <w:numPr>
          <w:ilvl w:val="0"/>
          <w:numId w:val="77"/>
        </w:numPr>
        <w:ind w:left="567" w:firstLine="0"/>
      </w:pPr>
      <w:r>
        <w:t>None</w:t>
      </w:r>
    </w:p>
    <w:p w14:paraId="76F91F02" w14:textId="4C6D40BE" w:rsidR="00697090" w:rsidRPr="00ED7E61" w:rsidRDefault="00697090" w:rsidP="006233E3">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1BD294A3" w14:textId="6BB2CC83" w:rsidR="00250304" w:rsidRPr="00ED7E61" w:rsidRDefault="009528B8" w:rsidP="00B10F0C">
      <w:pPr>
        <w:pStyle w:val="CBDNormalNumber"/>
        <w:numPr>
          <w:ilvl w:val="0"/>
          <w:numId w:val="77"/>
        </w:numPr>
        <w:ind w:left="567" w:firstLine="0"/>
      </w:pPr>
      <w:r>
        <w:t>The ATAT will be reported by Parties choosing to use this indicator through their national reports.</w:t>
      </w:r>
    </w:p>
    <w:p w14:paraId="67B2831A" w14:textId="1D27763C" w:rsidR="00697090" w:rsidRPr="00812871" w:rsidRDefault="00697090" w:rsidP="00812871">
      <w:pPr>
        <w:pStyle w:val="paragraph"/>
        <w:pBdr>
          <w:bottom w:val="single" w:sz="4" w:space="1" w:color="000000"/>
        </w:pBdr>
        <w:spacing w:before="120" w:beforeAutospacing="0" w:after="0" w:afterAutospacing="0"/>
        <w:textAlignment w:val="baseline"/>
        <w:rPr>
          <w:rStyle w:val="normaltextrun"/>
          <w:rFonts w:eastAsiaTheme="majorEastAsia"/>
          <w:b/>
          <w:bCs/>
        </w:rPr>
      </w:pPr>
      <w:r w:rsidRPr="00ED7E61">
        <w:rPr>
          <w:rStyle w:val="normaltextrun"/>
          <w:rFonts w:asciiTheme="majorBidi" w:eastAsiaTheme="majorEastAsia" w:hAnsiTheme="majorBidi" w:cstheme="majorBidi"/>
          <w:b/>
          <w:bCs/>
          <w:sz w:val="22"/>
          <w:szCs w:val="22"/>
        </w:rPr>
        <w:t>7. Other MEAs, processes and organi</w:t>
      </w:r>
      <w:r w:rsidR="00B10F0C">
        <w:rPr>
          <w:rStyle w:val="normaltextrun"/>
          <w:rFonts w:asciiTheme="majorBidi" w:eastAsiaTheme="majorEastAsia" w:hAnsiTheme="majorBidi" w:cstheme="majorBidi"/>
          <w:b/>
          <w:bCs/>
          <w:sz w:val="22"/>
          <w:szCs w:val="22"/>
        </w:rPr>
        <w:t>z</w:t>
      </w:r>
      <w:r w:rsidRPr="00ED7E61">
        <w:rPr>
          <w:rStyle w:val="normaltextrun"/>
          <w:rFonts w:asciiTheme="majorBidi" w:eastAsiaTheme="majorEastAsia" w:hAnsiTheme="majorBidi" w:cstheme="majorBidi"/>
          <w:b/>
          <w:bCs/>
          <w:sz w:val="22"/>
          <w:szCs w:val="22"/>
        </w:rPr>
        <w:t>ations</w:t>
      </w:r>
      <w:r w:rsidRPr="00812871">
        <w:rPr>
          <w:rStyle w:val="normaltextrun"/>
          <w:rFonts w:eastAsiaTheme="majorEastAsia"/>
          <w:b/>
          <w:bCs/>
        </w:rPr>
        <w:t> </w:t>
      </w:r>
    </w:p>
    <w:p w14:paraId="1213B574" w14:textId="77777777" w:rsidR="001F7747" w:rsidRDefault="001F7747" w:rsidP="001F7747">
      <w:pPr>
        <w:pStyle w:val="CBDNormalNumber"/>
        <w:numPr>
          <w:ilvl w:val="0"/>
          <w:numId w:val="77"/>
        </w:numPr>
        <w:ind w:left="567" w:firstLine="0"/>
      </w:pPr>
      <w:r>
        <w:t>ATAT complements SDG 6 and SDG 15, which currently has an emphasis on protected lands and waters; directly contributes to monitoring hazardous pesticide risk reduction under the Global Framework on Chemicals (GFC) target A7 and supports related targets under the Framework (e.g., A5, B6 and D5); IPBES (global and regional assessments, thematic assessments and sustainability); contributes to monitoring implementation of Stockholm, Rotterdam, Basel and Minamata Conventions and the Montreal Protocol. The component indicator</w:t>
      </w:r>
      <w:sdt>
        <w:sdtPr>
          <w:tag w:val="goog_rdk_348"/>
          <w:id w:val="-212123365"/>
        </w:sdtPr>
        <w:sdtContent>
          <w:r>
            <w:t>s</w:t>
          </w:r>
        </w:sdtContent>
      </w:sdt>
      <w:r>
        <w:t xml:space="preserve"> further support other key international agreements and mechanisms that address pesticide management.  </w:t>
      </w:r>
    </w:p>
    <w:p w14:paraId="4324DDA4" w14:textId="77777777" w:rsidR="001F7747" w:rsidRPr="00ED7E61" w:rsidRDefault="001F7747" w:rsidP="001F7747">
      <w:pPr>
        <w:pStyle w:val="CBDNormalNumber"/>
        <w:ind w:left="567"/>
      </w:pPr>
    </w:p>
    <w:p w14:paraId="54CDCF83" w14:textId="466F23A7" w:rsidR="00697090" w:rsidRPr="00ED7E61" w:rsidRDefault="00697090" w:rsidP="00181CB0">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lastRenderedPageBreak/>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20A25F7D" w14:textId="7314E888" w:rsidR="00617752" w:rsidRPr="00ED7E61" w:rsidRDefault="00617752" w:rsidP="007D55AF">
      <w:pPr>
        <w:pStyle w:val="CBDNormalNumber"/>
        <w:numPr>
          <w:ilvl w:val="0"/>
          <w:numId w:val="77"/>
        </w:numPr>
        <w:ind w:left="567" w:firstLine="0"/>
      </w:pPr>
      <w:r>
        <w:t xml:space="preserve">The ATAT indicator can be disaggregated by pesticide types (herbicide, insecticide, molluscicide, fungicide, etc.) and their relative contributions to reducing toxicities to all </w:t>
      </w:r>
      <w:sdt>
        <w:sdtPr>
          <w:tag w:val="goog_rdk_355"/>
          <w:id w:val="1896266876"/>
        </w:sdtPr>
        <w:sdtContent>
          <w:r>
            <w:t>species groups against the baseline</w:t>
          </w:r>
        </w:sdtContent>
      </w:sdt>
      <w:r>
        <w:t xml:space="preserve">. Disaggregation of ATAT by changes due to </w:t>
      </w:r>
      <w:r w:rsidR="00371B50">
        <w:t xml:space="preserve">use </w:t>
      </w:r>
      <w:r>
        <w:t xml:space="preserve">of nationally listed highly hazardous pesticides (e.g., those listed under international agreements or with human carcinogenic, mutagenic and adverse effects on reproduction) and the transition to safer alternatives will also be possible. Disaggregation to the component indicators, especially TAT, is necessary to inform policy decisions and/or actions on risk mitigation. Disaggregation to crops or regions within a country is an option, </w:t>
      </w:r>
      <w:proofErr w:type="gramStart"/>
      <w:r>
        <w:t>provided that</w:t>
      </w:r>
      <w:proofErr w:type="gramEnd"/>
      <w:r>
        <w:t xml:space="preserve"> </w:t>
      </w:r>
      <w:r w:rsidR="00371B50">
        <w:t xml:space="preserve">use </w:t>
      </w:r>
      <w:r>
        <w:t>data at the respective resolution are available, to guide mitigation measures.</w:t>
      </w:r>
    </w:p>
    <w:p w14:paraId="43AD0011"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indicators</w:t>
      </w:r>
      <w:r w:rsidRPr="00ED7E61">
        <w:rPr>
          <w:rStyle w:val="eop"/>
          <w:rFonts w:asciiTheme="majorBidi" w:eastAsiaTheme="majorEastAsia" w:hAnsiTheme="majorBidi" w:cstheme="majorBidi"/>
          <w:sz w:val="22"/>
          <w:szCs w:val="22"/>
        </w:rPr>
        <w:t> </w:t>
      </w:r>
    </w:p>
    <w:p w14:paraId="4D94F525" w14:textId="2EE7A82F" w:rsidR="0009191F" w:rsidRPr="00ED7E61" w:rsidRDefault="0009191F" w:rsidP="009341BF">
      <w:pPr>
        <w:pStyle w:val="CBDNormalNumber"/>
        <w:numPr>
          <w:ilvl w:val="0"/>
          <w:numId w:val="77"/>
        </w:numPr>
        <w:ind w:left="567" w:firstLine="0"/>
      </w:pPr>
      <w:r>
        <w:t xml:space="preserve">The ATAT will complement monitoring of Goal B and the implementation of targets 9, 10, 11, 15, and 18 of the Kunming-Montreal GBF and indicators 10.2 </w:t>
      </w:r>
      <w:sdt>
        <w:sdtPr>
          <w:tag w:val="goog_rdk_364"/>
          <w:id w:val="-1048537740"/>
        </w:sdtPr>
        <w:sdtContent>
          <w:r>
            <w:t>‘</w:t>
          </w:r>
        </w:sdtContent>
      </w:sdt>
      <w:r>
        <w:t>progress towards sustainable forest management</w:t>
      </w:r>
      <w:sdt>
        <w:sdtPr>
          <w:tag w:val="goog_rdk_365"/>
          <w:id w:val="1183376625"/>
        </w:sdtPr>
        <w:sdtContent>
          <w:r>
            <w:t>’</w:t>
          </w:r>
        </w:sdtContent>
      </w:sdt>
      <w:r>
        <w:t xml:space="preserve"> and 18.2 </w:t>
      </w:r>
      <w:sdt>
        <w:sdtPr>
          <w:tag w:val="goog_rdk_367"/>
          <w:id w:val="-998849942"/>
        </w:sdtPr>
        <w:sdtContent>
          <w:r>
            <w:t xml:space="preserve">‘value </w:t>
          </w:r>
        </w:sdtContent>
      </w:sdt>
      <w:r>
        <w:t>of subsidies and other incentives harmful to biodiversity, that have been eliminated, phased out or reformed</w:t>
      </w:r>
      <w:sdt>
        <w:sdtPr>
          <w:tag w:val="goog_rdk_368"/>
          <w:id w:val="225606107"/>
        </w:sdtPr>
        <w:sdtContent>
          <w:r>
            <w:t>’</w:t>
          </w:r>
        </w:sdtContent>
      </w:sdt>
      <w:r>
        <w:t>.  </w:t>
      </w:r>
    </w:p>
    <w:p w14:paraId="31DCBCDE" w14:textId="65DB3745" w:rsidR="00697090" w:rsidRPr="00ED7E61" w:rsidRDefault="00697090" w:rsidP="006233E3">
      <w:pPr>
        <w:pStyle w:val="paragraph"/>
        <w:spacing w:before="0" w:beforeAutospacing="0" w:after="0" w:afterAutospacing="0"/>
        <w:textAlignment w:val="baseline"/>
        <w:rPr>
          <w:rFonts w:asciiTheme="majorBidi" w:hAnsiTheme="majorBidi" w:cstheme="majorBidi"/>
          <w:sz w:val="22"/>
          <w:szCs w:val="22"/>
          <w:lang w:val="en-GB"/>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lang w:val="en-GB"/>
        </w:rPr>
        <w:t> </w:t>
      </w:r>
    </w:p>
    <w:p w14:paraId="7C466850" w14:textId="6BF341B4"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181CB0">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341CB2D5" w14:textId="77777777" w:rsidR="00697090" w:rsidRPr="00ED7E61" w:rsidRDefault="00697090" w:rsidP="00181CB0">
      <w:pPr>
        <w:pStyle w:val="CBDNormalNumber"/>
        <w:ind w:left="567"/>
      </w:pPr>
      <w:r w:rsidRPr="00ED7E61">
        <w:t>Food and Agriculture Organization (FAO) </w:t>
      </w:r>
    </w:p>
    <w:p w14:paraId="4C057343"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0823C209" w14:textId="77777777" w:rsidR="00697090" w:rsidRPr="00ED7E61" w:rsidRDefault="00697090" w:rsidP="00181CB0">
      <w:pPr>
        <w:pStyle w:val="CBDNormalNumber"/>
        <w:ind w:left="567"/>
      </w:pPr>
      <w:r w:rsidRPr="00ED7E61">
        <w:t>Kim-Anh Tempelman (</w:t>
      </w:r>
      <w:hyperlink r:id="rId381" w:tgtFrame="_blank" w:history="1">
        <w:r w:rsidRPr="00ED7E61">
          <w:t>kimanh.tempelman@fao.org</w:t>
        </w:r>
      </w:hyperlink>
      <w:r w:rsidRPr="00ED7E61">
        <w:t>) </w:t>
      </w:r>
    </w:p>
    <w:p w14:paraId="5ED78DF0"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w:t>
      </w:r>
      <w:r w:rsidRPr="00ED7E61">
        <w:rPr>
          <w:rStyle w:val="eop"/>
          <w:rFonts w:asciiTheme="majorBidi" w:eastAsiaTheme="majorEastAsia" w:hAnsiTheme="majorBidi" w:cstheme="majorBidi"/>
          <w:sz w:val="22"/>
          <w:szCs w:val="22"/>
        </w:rPr>
        <w:t> </w:t>
      </w:r>
    </w:p>
    <w:p w14:paraId="12A21EE3" w14:textId="77777777" w:rsidR="00B55A3B" w:rsidRPr="00812871" w:rsidRDefault="00B55A3B" w:rsidP="00B55A3B">
      <w:pPr>
        <w:pStyle w:val="EndNoteBibliography"/>
        <w:ind w:left="720" w:hanging="720"/>
        <w:rPr>
          <w:rFonts w:ascii="Times New Roman" w:hAnsi="Times New Roman" w:cs="Times New Roman"/>
          <w:sz w:val="22"/>
          <w:szCs w:val="22"/>
        </w:rPr>
      </w:pPr>
      <w:r w:rsidRPr="00264BA4">
        <w:rPr>
          <w:rFonts w:ascii="Times New Roman" w:hAnsi="Times New Roman" w:cs="Times New Roman"/>
          <w:noProof/>
          <w:sz w:val="22"/>
          <w:szCs w:val="22"/>
        </w:rPr>
        <w:fldChar w:fldCharType="begin"/>
      </w:r>
      <w:r w:rsidRPr="00812871">
        <w:rPr>
          <w:rFonts w:ascii="Times New Roman" w:hAnsi="Times New Roman" w:cs="Times New Roman"/>
          <w:sz w:val="22"/>
          <w:szCs w:val="22"/>
        </w:rPr>
        <w:instrText xml:space="preserve"> ADDIN EN.REFLIST </w:instrText>
      </w:r>
      <w:r w:rsidRPr="00264BA4">
        <w:rPr>
          <w:rFonts w:ascii="Times New Roman" w:hAnsi="Times New Roman" w:cs="Times New Roman"/>
          <w:noProof/>
          <w:sz w:val="22"/>
          <w:szCs w:val="22"/>
        </w:rPr>
        <w:fldChar w:fldCharType="separate"/>
      </w:r>
      <w:r w:rsidRPr="00812871">
        <w:rPr>
          <w:rFonts w:ascii="Times New Roman" w:hAnsi="Times New Roman" w:cs="Times New Roman"/>
          <w:sz w:val="22"/>
          <w:szCs w:val="22"/>
        </w:rPr>
        <w:t>1.</w:t>
      </w:r>
      <w:r w:rsidRPr="00812871">
        <w:rPr>
          <w:rFonts w:ascii="Times New Roman" w:hAnsi="Times New Roman" w:cs="Times New Roman"/>
          <w:sz w:val="22"/>
          <w:szCs w:val="22"/>
        </w:rPr>
        <w:tab/>
        <w:t xml:space="preserve">Bradley, P.M.; Romanok, K.M.; Duncan, J.R.; Battaglin, W.A.; Clark, J.M.; Hladik, M.L.; Huffman, B.J.; Iwanowicz, L.R.; Journey, C.A.; Smalling, K.L. Exposure and potential effects of pesticides and pharmaceuticals in protected streams of the US National park Service southeast region.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2020</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704</w:t>
      </w:r>
      <w:r w:rsidRPr="00812871">
        <w:rPr>
          <w:rFonts w:ascii="Times New Roman" w:hAnsi="Times New Roman" w:cs="Times New Roman"/>
          <w:sz w:val="22"/>
          <w:szCs w:val="22"/>
        </w:rPr>
        <w:t>, 135431, doi:https://doi.org/10.1016/j.scitotenv.2019.135431.</w:t>
      </w:r>
    </w:p>
    <w:p w14:paraId="70879911"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w:t>
      </w:r>
      <w:r w:rsidRPr="00812871">
        <w:rPr>
          <w:rFonts w:ascii="Times New Roman" w:hAnsi="Times New Roman" w:cs="Times New Roman"/>
          <w:sz w:val="22"/>
          <w:szCs w:val="22"/>
        </w:rPr>
        <w:tab/>
        <w:t xml:space="preserve">Geiger, F.; Bengtsson, J.; Berendse, F.; Weisser, W.W.; Emmerson, M.; Morales, M.B.; Ceryngier, P.; Liira, J.; Tscharntke, T.; Winqvist, C.; et al. Persistent negative effects of pesticides on biodiversity and biological control potential on European farmland. </w:t>
      </w:r>
      <w:r w:rsidRPr="00812871">
        <w:rPr>
          <w:rFonts w:ascii="Times New Roman" w:hAnsi="Times New Roman" w:cs="Times New Roman"/>
          <w:i/>
          <w:sz w:val="22"/>
          <w:szCs w:val="22"/>
        </w:rPr>
        <w:t xml:space="preserve">Basic and Applied Ecology </w:t>
      </w:r>
      <w:r w:rsidRPr="00812871">
        <w:rPr>
          <w:rFonts w:ascii="Times New Roman" w:hAnsi="Times New Roman" w:cs="Times New Roman"/>
          <w:b/>
          <w:sz w:val="22"/>
          <w:szCs w:val="22"/>
        </w:rPr>
        <w:t>2010</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11</w:t>
      </w:r>
      <w:r w:rsidRPr="00812871">
        <w:rPr>
          <w:rFonts w:ascii="Times New Roman" w:hAnsi="Times New Roman" w:cs="Times New Roman"/>
          <w:sz w:val="22"/>
          <w:szCs w:val="22"/>
        </w:rPr>
        <w:t>, 97-105, doi:https://doi.org/10.1016/j.baae.2009.12.001.</w:t>
      </w:r>
    </w:p>
    <w:p w14:paraId="1D0820A2"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w:t>
      </w:r>
      <w:r w:rsidRPr="00812871">
        <w:rPr>
          <w:rFonts w:ascii="Times New Roman" w:hAnsi="Times New Roman" w:cs="Times New Roman"/>
          <w:sz w:val="22"/>
          <w:szCs w:val="22"/>
        </w:rPr>
        <w:tab/>
        <w:t xml:space="preserve">Larsen, A.E.; Farrant, D.N.; MacDonald, A.J. Spatiotemporal overlap of pesticide use and species richness hotspots in California. </w:t>
      </w:r>
      <w:r w:rsidRPr="00812871">
        <w:rPr>
          <w:rFonts w:ascii="Times New Roman" w:hAnsi="Times New Roman" w:cs="Times New Roman"/>
          <w:i/>
          <w:sz w:val="22"/>
          <w:szCs w:val="22"/>
        </w:rPr>
        <w:t xml:space="preserve">Agriculture, Ecosystems &amp; Environment </w:t>
      </w:r>
      <w:r w:rsidRPr="00812871">
        <w:rPr>
          <w:rFonts w:ascii="Times New Roman" w:hAnsi="Times New Roman" w:cs="Times New Roman"/>
          <w:b/>
          <w:sz w:val="22"/>
          <w:szCs w:val="22"/>
        </w:rPr>
        <w:t>2020</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289</w:t>
      </w:r>
      <w:r w:rsidRPr="00812871">
        <w:rPr>
          <w:rFonts w:ascii="Times New Roman" w:hAnsi="Times New Roman" w:cs="Times New Roman"/>
          <w:sz w:val="22"/>
          <w:szCs w:val="22"/>
        </w:rPr>
        <w:t>, 106741, doi:https://doi.org/10.1016/j.agee.2019.106741.</w:t>
      </w:r>
    </w:p>
    <w:p w14:paraId="5BD89947"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4.</w:t>
      </w:r>
      <w:r w:rsidRPr="00812871">
        <w:rPr>
          <w:rFonts w:ascii="Times New Roman" w:hAnsi="Times New Roman" w:cs="Times New Roman"/>
          <w:sz w:val="22"/>
          <w:szCs w:val="22"/>
        </w:rPr>
        <w:tab/>
        <w:t xml:space="preserve">Li, J.; Hou, L.; Liu, N.; Rao, K.; Zheng, J.; Xu, J.; Giesy, J.P.; Jin, X. A decade-long meta-analysis of risks posed by pesticides in Chinese surface waters. </w:t>
      </w:r>
      <w:r w:rsidRPr="00812871">
        <w:rPr>
          <w:rFonts w:ascii="Times New Roman" w:hAnsi="Times New Roman" w:cs="Times New Roman"/>
          <w:i/>
          <w:sz w:val="22"/>
          <w:szCs w:val="22"/>
        </w:rPr>
        <w:t xml:space="preserve">Journal of Environmental Management </w:t>
      </w:r>
      <w:r w:rsidRPr="00812871">
        <w:rPr>
          <w:rFonts w:ascii="Times New Roman" w:hAnsi="Times New Roman" w:cs="Times New Roman"/>
          <w:b/>
          <w:sz w:val="22"/>
          <w:szCs w:val="22"/>
        </w:rPr>
        <w:t>2025</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387</w:t>
      </w:r>
      <w:r w:rsidRPr="00812871">
        <w:rPr>
          <w:rFonts w:ascii="Times New Roman" w:hAnsi="Times New Roman" w:cs="Times New Roman"/>
          <w:sz w:val="22"/>
          <w:szCs w:val="22"/>
        </w:rPr>
        <w:t>, 125898, doi:https://doi.org/10.1016/j.jenvman.2025.125898.</w:t>
      </w:r>
    </w:p>
    <w:p w14:paraId="1F7D1C00"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5.</w:t>
      </w:r>
      <w:r w:rsidRPr="00812871">
        <w:rPr>
          <w:rFonts w:ascii="Times New Roman" w:hAnsi="Times New Roman" w:cs="Times New Roman"/>
          <w:sz w:val="22"/>
          <w:szCs w:val="22"/>
        </w:rPr>
        <w:tab/>
        <w:t xml:space="preserve">Liess, M.; Liebmann, L.; Vormeier, P.; Weisner, O.; Altenburger, R.; Borchardt, D.; Brack, W.; Chatzinotas, A.; Escher, B.; Foit, K.; et al. Pesticides are the dominant stressors for vulnerable insects in lowland streams. </w:t>
      </w:r>
      <w:r w:rsidRPr="00812871">
        <w:rPr>
          <w:rFonts w:ascii="Times New Roman" w:hAnsi="Times New Roman" w:cs="Times New Roman"/>
          <w:i/>
          <w:sz w:val="22"/>
          <w:szCs w:val="22"/>
        </w:rPr>
        <w:t xml:space="preserve">Water Research </w:t>
      </w:r>
      <w:r w:rsidRPr="00812871">
        <w:rPr>
          <w:rFonts w:ascii="Times New Roman" w:hAnsi="Times New Roman" w:cs="Times New Roman"/>
          <w:b/>
          <w:sz w:val="22"/>
          <w:szCs w:val="22"/>
        </w:rPr>
        <w:t>2021</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201</w:t>
      </w:r>
      <w:r w:rsidRPr="00812871">
        <w:rPr>
          <w:rFonts w:ascii="Times New Roman" w:hAnsi="Times New Roman" w:cs="Times New Roman"/>
          <w:sz w:val="22"/>
          <w:szCs w:val="22"/>
        </w:rPr>
        <w:t>, 117262, doi:https://doi.org/10.1016/j.watres.2021.117262.</w:t>
      </w:r>
    </w:p>
    <w:p w14:paraId="1DA7F25C"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6.</w:t>
      </w:r>
      <w:r w:rsidRPr="00812871">
        <w:rPr>
          <w:rFonts w:ascii="Times New Roman" w:hAnsi="Times New Roman" w:cs="Times New Roman"/>
          <w:sz w:val="22"/>
          <w:szCs w:val="22"/>
        </w:rPr>
        <w:tab/>
        <w:t xml:space="preserve">Sánchez-Bayo, F.; Wyckhuys, K.A.G. Worldwide decline of the entomofauna: A review of its drivers. </w:t>
      </w:r>
      <w:r w:rsidRPr="00812871">
        <w:rPr>
          <w:rFonts w:ascii="Times New Roman" w:hAnsi="Times New Roman" w:cs="Times New Roman"/>
          <w:i/>
          <w:sz w:val="22"/>
          <w:szCs w:val="22"/>
        </w:rPr>
        <w:t xml:space="preserve">Biological Conservation </w:t>
      </w:r>
      <w:r w:rsidRPr="00812871">
        <w:rPr>
          <w:rFonts w:ascii="Times New Roman" w:hAnsi="Times New Roman" w:cs="Times New Roman"/>
          <w:b/>
          <w:sz w:val="22"/>
          <w:szCs w:val="22"/>
        </w:rPr>
        <w:t>2019</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232</w:t>
      </w:r>
      <w:r w:rsidRPr="00812871">
        <w:rPr>
          <w:rFonts w:ascii="Times New Roman" w:hAnsi="Times New Roman" w:cs="Times New Roman"/>
          <w:sz w:val="22"/>
          <w:szCs w:val="22"/>
        </w:rPr>
        <w:t>, 8-27, doi:https://doi.org/10.1016/j.biocon.2019.01.020.</w:t>
      </w:r>
    </w:p>
    <w:p w14:paraId="4F097C67"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7.</w:t>
      </w:r>
      <w:r w:rsidRPr="00812871">
        <w:rPr>
          <w:rFonts w:ascii="Times New Roman" w:hAnsi="Times New Roman" w:cs="Times New Roman"/>
          <w:sz w:val="22"/>
          <w:szCs w:val="22"/>
        </w:rPr>
        <w:tab/>
        <w:t xml:space="preserve">Schiesari, L.; Waichman, A.; Brock, T.; Adams, C.; Grillitsch, B. Pesticide use and biodiversity conservation in the Amazonian agricultural frontier. </w:t>
      </w:r>
      <w:r w:rsidRPr="00812871">
        <w:rPr>
          <w:rFonts w:ascii="Times New Roman" w:hAnsi="Times New Roman" w:cs="Times New Roman"/>
          <w:i/>
          <w:sz w:val="22"/>
          <w:szCs w:val="22"/>
        </w:rPr>
        <w:t xml:space="preserve">Philosophical Transactions of the Royal Society B: Biological Sciences </w:t>
      </w:r>
      <w:r w:rsidRPr="00812871">
        <w:rPr>
          <w:rFonts w:ascii="Times New Roman" w:hAnsi="Times New Roman" w:cs="Times New Roman"/>
          <w:b/>
          <w:sz w:val="22"/>
          <w:szCs w:val="22"/>
        </w:rPr>
        <w:t>2013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368</w:t>
      </w:r>
      <w:r w:rsidRPr="00812871">
        <w:rPr>
          <w:rFonts w:ascii="Times New Roman" w:hAnsi="Times New Roman" w:cs="Times New Roman"/>
          <w:sz w:val="22"/>
          <w:szCs w:val="22"/>
        </w:rPr>
        <w:t>, 20120378, doi:10.1098/rstb.2012.0378.</w:t>
      </w:r>
    </w:p>
    <w:p w14:paraId="39F6521C"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8.</w:t>
      </w:r>
      <w:r w:rsidRPr="00812871">
        <w:rPr>
          <w:rFonts w:ascii="Times New Roman" w:hAnsi="Times New Roman" w:cs="Times New Roman"/>
          <w:sz w:val="22"/>
          <w:szCs w:val="22"/>
        </w:rPr>
        <w:tab/>
        <w:t xml:space="preserve">Wagner, D.L.; Grames, E.M.; Forister, M.L.; Berenbaum, M.R.; Stopak, D. Insect decline in the Anthropocene: Death by a thousand cuts. </w:t>
      </w:r>
      <w:r w:rsidRPr="00812871">
        <w:rPr>
          <w:rFonts w:ascii="Times New Roman" w:hAnsi="Times New Roman" w:cs="Times New Roman"/>
          <w:i/>
          <w:sz w:val="22"/>
          <w:szCs w:val="22"/>
        </w:rPr>
        <w:t xml:space="preserve">Proceedings of the National Academy of Sciences </w:t>
      </w:r>
      <w:r w:rsidRPr="00812871">
        <w:rPr>
          <w:rFonts w:ascii="Times New Roman" w:hAnsi="Times New Roman" w:cs="Times New Roman"/>
          <w:b/>
          <w:sz w:val="22"/>
          <w:szCs w:val="22"/>
        </w:rPr>
        <w:t>2021</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118</w:t>
      </w:r>
      <w:r w:rsidRPr="00812871">
        <w:rPr>
          <w:rFonts w:ascii="Times New Roman" w:hAnsi="Times New Roman" w:cs="Times New Roman"/>
          <w:sz w:val="22"/>
          <w:szCs w:val="22"/>
        </w:rPr>
        <w:t>, e2023989118, doi:doi:10.1073/pnas.2023989118.</w:t>
      </w:r>
    </w:p>
    <w:p w14:paraId="39B8DC15"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lastRenderedPageBreak/>
        <w:t>9.</w:t>
      </w:r>
      <w:r w:rsidRPr="00812871">
        <w:rPr>
          <w:rFonts w:ascii="Times New Roman" w:hAnsi="Times New Roman" w:cs="Times New Roman"/>
          <w:sz w:val="22"/>
          <w:szCs w:val="22"/>
        </w:rPr>
        <w:tab/>
        <w:t xml:space="preserve">Amusa, C.; Rothman, J.; Odongo, S.; Matovu, H.; Ssebugere, P.; Baranga, D.; Sillanpää, M. The endangered African Great Ape: Pesticide residues in soil and plants consumed by Mountain Gorillas (Gorilla beringei) in Bwindi Impenetrable National Park, East Africa.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2021</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758</w:t>
      </w:r>
      <w:r w:rsidRPr="00812871">
        <w:rPr>
          <w:rFonts w:ascii="Times New Roman" w:hAnsi="Times New Roman" w:cs="Times New Roman"/>
          <w:sz w:val="22"/>
          <w:szCs w:val="22"/>
        </w:rPr>
        <w:t>, 143692, doi:https://doi.org/10.1016/j.scitotenv.2020.143692.</w:t>
      </w:r>
    </w:p>
    <w:p w14:paraId="03DFD84A"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10.</w:t>
      </w:r>
      <w:r w:rsidRPr="00812871">
        <w:rPr>
          <w:rFonts w:ascii="Times New Roman" w:hAnsi="Times New Roman" w:cs="Times New Roman"/>
          <w:sz w:val="22"/>
          <w:szCs w:val="22"/>
        </w:rPr>
        <w:tab/>
        <w:t xml:space="preserve">Beketov, M.A.; Kefford, B.J.; Schäfer, R.B.; Liess, M. Pesticides reduce regional biodiversity of stream invertebrates. </w:t>
      </w:r>
      <w:r w:rsidRPr="00812871">
        <w:rPr>
          <w:rFonts w:ascii="Times New Roman" w:hAnsi="Times New Roman" w:cs="Times New Roman"/>
          <w:i/>
          <w:sz w:val="22"/>
          <w:szCs w:val="22"/>
        </w:rPr>
        <w:t xml:space="preserve">Proceedings of the National Academy of Sciences </w:t>
      </w:r>
      <w:r w:rsidRPr="00812871">
        <w:rPr>
          <w:rFonts w:ascii="Times New Roman" w:hAnsi="Times New Roman" w:cs="Times New Roman"/>
          <w:b/>
          <w:sz w:val="22"/>
          <w:szCs w:val="22"/>
        </w:rPr>
        <w:t>2013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110</w:t>
      </w:r>
      <w:r w:rsidRPr="00812871">
        <w:rPr>
          <w:rFonts w:ascii="Times New Roman" w:hAnsi="Times New Roman" w:cs="Times New Roman"/>
          <w:sz w:val="22"/>
          <w:szCs w:val="22"/>
        </w:rPr>
        <w:t>, 11039-11043, doi:doi:10.1073/pnas.1305618110.</w:t>
      </w:r>
    </w:p>
    <w:p w14:paraId="3D794D60"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11.</w:t>
      </w:r>
      <w:r w:rsidRPr="00812871">
        <w:rPr>
          <w:rFonts w:ascii="Times New Roman" w:hAnsi="Times New Roman" w:cs="Times New Roman"/>
          <w:sz w:val="22"/>
          <w:szCs w:val="22"/>
        </w:rPr>
        <w:tab/>
        <w:t xml:space="preserve">Bub, S.; Petschick, L.L.; Stehle, S.; Wolfram, J.; Schulz, R. Limitations of chemical monitoring hinder aquatic risk evaluations on the macroscale. </w:t>
      </w:r>
      <w:r w:rsidRPr="00812871">
        <w:rPr>
          <w:rFonts w:ascii="Times New Roman" w:hAnsi="Times New Roman" w:cs="Times New Roman"/>
          <w:i/>
          <w:sz w:val="22"/>
          <w:szCs w:val="22"/>
        </w:rPr>
        <w:t xml:space="preserve">Science </w:t>
      </w:r>
      <w:r w:rsidRPr="00812871">
        <w:rPr>
          <w:rFonts w:ascii="Times New Roman" w:hAnsi="Times New Roman" w:cs="Times New Roman"/>
          <w:b/>
          <w:sz w:val="22"/>
          <w:szCs w:val="22"/>
        </w:rPr>
        <w:t>2025</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388</w:t>
      </w:r>
      <w:r w:rsidRPr="00812871">
        <w:rPr>
          <w:rFonts w:ascii="Times New Roman" w:hAnsi="Times New Roman" w:cs="Times New Roman"/>
          <w:sz w:val="22"/>
          <w:szCs w:val="22"/>
        </w:rPr>
        <w:t>, 1301-1305, doi:doi:10.1126/science.adn5356.</w:t>
      </w:r>
    </w:p>
    <w:p w14:paraId="719A2215"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12.</w:t>
      </w:r>
      <w:r w:rsidRPr="00812871">
        <w:rPr>
          <w:rFonts w:ascii="Times New Roman" w:hAnsi="Times New Roman" w:cs="Times New Roman"/>
          <w:sz w:val="22"/>
          <w:szCs w:val="22"/>
        </w:rPr>
        <w:tab/>
        <w:t xml:space="preserve">Desrochers, D.; Prosser, R.S.; Hanson, M.L.; Rodríguez-Gil, J.L. Exposure Assessment of Pesticides in Surface Waters of Ontario, Canada Reveals Low Probability of Exceeding Acute Regulatory Thresholds. </w:t>
      </w:r>
      <w:r w:rsidRPr="00812871">
        <w:rPr>
          <w:rFonts w:ascii="Times New Roman" w:hAnsi="Times New Roman" w:cs="Times New Roman"/>
          <w:i/>
          <w:sz w:val="22"/>
          <w:szCs w:val="22"/>
        </w:rPr>
        <w:t xml:space="preserve">Bulletin of Environmental Contamination and Toxicology </w:t>
      </w:r>
      <w:r w:rsidRPr="00812871">
        <w:rPr>
          <w:rFonts w:ascii="Times New Roman" w:hAnsi="Times New Roman" w:cs="Times New Roman"/>
          <w:b/>
          <w:sz w:val="22"/>
          <w:szCs w:val="22"/>
        </w:rPr>
        <w:t>2024</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112</w:t>
      </w:r>
      <w:r w:rsidRPr="00812871">
        <w:rPr>
          <w:rFonts w:ascii="Times New Roman" w:hAnsi="Times New Roman" w:cs="Times New Roman"/>
          <w:sz w:val="22"/>
          <w:szCs w:val="22"/>
        </w:rPr>
        <w:t>, 53, doi:10.1007/s00128-024-03879-w.</w:t>
      </w:r>
    </w:p>
    <w:p w14:paraId="411A6109"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13.</w:t>
      </w:r>
      <w:r w:rsidRPr="00812871">
        <w:rPr>
          <w:rFonts w:ascii="Times New Roman" w:hAnsi="Times New Roman" w:cs="Times New Roman"/>
          <w:sz w:val="22"/>
          <w:szCs w:val="22"/>
        </w:rPr>
        <w:tab/>
        <w:t xml:space="preserve">Ernst, F.; Alonso, B.; Colazzo, M.; Pareja, L.; Cesio, V.; Pereira, A.; Márquez, A.; Errico, E.; Segura, A.M.; Heinzen, H.; et al. Occurrence of pesticide residues in fish from south American rainfed agroecosystems.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2018</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631-632</w:t>
      </w:r>
      <w:r w:rsidRPr="00812871">
        <w:rPr>
          <w:rFonts w:ascii="Times New Roman" w:hAnsi="Times New Roman" w:cs="Times New Roman"/>
          <w:sz w:val="22"/>
          <w:szCs w:val="22"/>
        </w:rPr>
        <w:t>, 169-179, doi:https://doi.org/10.1016/j.scitotenv.2018.02.320.</w:t>
      </w:r>
    </w:p>
    <w:p w14:paraId="2C097535"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14.</w:t>
      </w:r>
      <w:r w:rsidRPr="00812871">
        <w:rPr>
          <w:rFonts w:ascii="Times New Roman" w:hAnsi="Times New Roman" w:cs="Times New Roman"/>
          <w:sz w:val="22"/>
          <w:szCs w:val="22"/>
        </w:rPr>
        <w:tab/>
        <w:t xml:space="preserve">Houbraken, M.; Habimana, V.; Senaeve, D.; López-Dávila, E.; Spanoghe, P. Multi-residue determination and ecological risk assessment of pesticides in the lakes of Rwanda.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2017</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576</w:t>
      </w:r>
      <w:r w:rsidRPr="00812871">
        <w:rPr>
          <w:rFonts w:ascii="Times New Roman" w:hAnsi="Times New Roman" w:cs="Times New Roman"/>
          <w:sz w:val="22"/>
          <w:szCs w:val="22"/>
        </w:rPr>
        <w:t>, 888-894, doi:https://doi.org/10.1016/j.scitotenv.2016.10.127.</w:t>
      </w:r>
    </w:p>
    <w:p w14:paraId="01E22B0E"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15.</w:t>
      </w:r>
      <w:r w:rsidRPr="00812871">
        <w:rPr>
          <w:rFonts w:ascii="Times New Roman" w:hAnsi="Times New Roman" w:cs="Times New Roman"/>
          <w:sz w:val="22"/>
          <w:szCs w:val="22"/>
        </w:rPr>
        <w:tab/>
        <w:t xml:space="preserve">Knauer, K. Pesticides in surface waters: a comparison with regulatory acceptable concentrations (RACs) determined in the authorization process and consideration for regulation. </w:t>
      </w:r>
      <w:r w:rsidRPr="00812871">
        <w:rPr>
          <w:rFonts w:ascii="Times New Roman" w:hAnsi="Times New Roman" w:cs="Times New Roman"/>
          <w:i/>
          <w:sz w:val="22"/>
          <w:szCs w:val="22"/>
        </w:rPr>
        <w:t xml:space="preserve">Environmental Sciences Europe </w:t>
      </w:r>
      <w:r w:rsidRPr="00812871">
        <w:rPr>
          <w:rFonts w:ascii="Times New Roman" w:hAnsi="Times New Roman" w:cs="Times New Roman"/>
          <w:b/>
          <w:sz w:val="22"/>
          <w:szCs w:val="22"/>
        </w:rPr>
        <w:t>2016</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28</w:t>
      </w:r>
      <w:r w:rsidRPr="00812871">
        <w:rPr>
          <w:rFonts w:ascii="Times New Roman" w:hAnsi="Times New Roman" w:cs="Times New Roman"/>
          <w:sz w:val="22"/>
          <w:szCs w:val="22"/>
        </w:rPr>
        <w:t>, 13, doi:10.1186/s12302-016-0083-8.</w:t>
      </w:r>
    </w:p>
    <w:p w14:paraId="5C9A5F6C"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16.</w:t>
      </w:r>
      <w:r w:rsidRPr="00812871">
        <w:rPr>
          <w:rFonts w:ascii="Times New Roman" w:hAnsi="Times New Roman" w:cs="Times New Roman"/>
          <w:sz w:val="22"/>
          <w:szCs w:val="22"/>
        </w:rPr>
        <w:tab/>
        <w:t xml:space="preserve">Lechenet, M.; Dessaint, F.; Py, G.; Makowski, D.; Munier-Jolain, N. Reducing pesticide use while preserving crop productivity and profitability on arable farms. </w:t>
      </w:r>
      <w:r w:rsidRPr="00812871">
        <w:rPr>
          <w:rFonts w:ascii="Times New Roman" w:hAnsi="Times New Roman" w:cs="Times New Roman"/>
          <w:i/>
          <w:sz w:val="22"/>
          <w:szCs w:val="22"/>
        </w:rPr>
        <w:t xml:space="preserve">Nature Plants </w:t>
      </w:r>
      <w:r w:rsidRPr="00812871">
        <w:rPr>
          <w:rFonts w:ascii="Times New Roman" w:hAnsi="Times New Roman" w:cs="Times New Roman"/>
          <w:b/>
          <w:sz w:val="22"/>
          <w:szCs w:val="22"/>
        </w:rPr>
        <w:t>2017</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3</w:t>
      </w:r>
      <w:r w:rsidRPr="00812871">
        <w:rPr>
          <w:rFonts w:ascii="Times New Roman" w:hAnsi="Times New Roman" w:cs="Times New Roman"/>
          <w:sz w:val="22"/>
          <w:szCs w:val="22"/>
        </w:rPr>
        <w:t>, 17008, doi:10.1038/nplants.2017.8.</w:t>
      </w:r>
    </w:p>
    <w:p w14:paraId="294B99F0"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17.</w:t>
      </w:r>
      <w:r w:rsidRPr="00812871">
        <w:rPr>
          <w:rFonts w:ascii="Times New Roman" w:hAnsi="Times New Roman" w:cs="Times New Roman"/>
          <w:sz w:val="22"/>
          <w:szCs w:val="22"/>
        </w:rPr>
        <w:tab/>
        <w:t xml:space="preserve">Maggi, F.; la Cecilia, D.; Tang, F.H.M.; McBratney, A. The global environmental hazard of glyphosate use.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2020</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717</w:t>
      </w:r>
      <w:r w:rsidRPr="00812871">
        <w:rPr>
          <w:rFonts w:ascii="Times New Roman" w:hAnsi="Times New Roman" w:cs="Times New Roman"/>
          <w:sz w:val="22"/>
          <w:szCs w:val="22"/>
        </w:rPr>
        <w:t>, 137167, doi:https://doi.org/10.1016/j.scitotenv.2020.137167.</w:t>
      </w:r>
    </w:p>
    <w:p w14:paraId="545D65A7"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18.</w:t>
      </w:r>
      <w:r w:rsidRPr="00812871">
        <w:rPr>
          <w:rFonts w:ascii="Times New Roman" w:hAnsi="Times New Roman" w:cs="Times New Roman"/>
          <w:sz w:val="22"/>
          <w:szCs w:val="22"/>
        </w:rPr>
        <w:tab/>
        <w:t xml:space="preserve">Maggi, F.; Tang, F.H.M. Estimated decline in global earthworm population size caused by pesticide residue in soil. </w:t>
      </w:r>
      <w:r w:rsidRPr="00812871">
        <w:rPr>
          <w:rFonts w:ascii="Times New Roman" w:hAnsi="Times New Roman" w:cs="Times New Roman"/>
          <w:i/>
          <w:sz w:val="22"/>
          <w:szCs w:val="22"/>
        </w:rPr>
        <w:t xml:space="preserve">Soil Security </w:t>
      </w:r>
      <w:r w:rsidRPr="00812871">
        <w:rPr>
          <w:rFonts w:ascii="Times New Roman" w:hAnsi="Times New Roman" w:cs="Times New Roman"/>
          <w:b/>
          <w:sz w:val="22"/>
          <w:szCs w:val="22"/>
        </w:rPr>
        <w:t>2021</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5</w:t>
      </w:r>
      <w:r w:rsidRPr="00812871">
        <w:rPr>
          <w:rFonts w:ascii="Times New Roman" w:hAnsi="Times New Roman" w:cs="Times New Roman"/>
          <w:sz w:val="22"/>
          <w:szCs w:val="22"/>
        </w:rPr>
        <w:t>, 100014, doi:https://doi.org/10.1016/j.soisec.2021.100014.</w:t>
      </w:r>
    </w:p>
    <w:p w14:paraId="1E118CDD"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19.</w:t>
      </w:r>
      <w:r w:rsidRPr="00812871">
        <w:rPr>
          <w:rFonts w:ascii="Times New Roman" w:hAnsi="Times New Roman" w:cs="Times New Roman"/>
          <w:sz w:val="22"/>
          <w:szCs w:val="22"/>
        </w:rPr>
        <w:tab/>
        <w:t xml:space="preserve">Maggi, F.; Tang, F.H.M.; Tubiello, F.N. Agricultural pesticide land budget and river discharge to oceans. </w:t>
      </w:r>
      <w:r w:rsidRPr="00812871">
        <w:rPr>
          <w:rFonts w:ascii="Times New Roman" w:hAnsi="Times New Roman" w:cs="Times New Roman"/>
          <w:i/>
          <w:sz w:val="22"/>
          <w:szCs w:val="22"/>
        </w:rPr>
        <w:t xml:space="preserve">Nature </w:t>
      </w:r>
      <w:r w:rsidRPr="00812871">
        <w:rPr>
          <w:rFonts w:ascii="Times New Roman" w:hAnsi="Times New Roman" w:cs="Times New Roman"/>
          <w:b/>
          <w:sz w:val="22"/>
          <w:szCs w:val="22"/>
        </w:rPr>
        <w:t>2023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620</w:t>
      </w:r>
      <w:r w:rsidRPr="00812871">
        <w:rPr>
          <w:rFonts w:ascii="Times New Roman" w:hAnsi="Times New Roman" w:cs="Times New Roman"/>
          <w:sz w:val="22"/>
          <w:szCs w:val="22"/>
        </w:rPr>
        <w:t>, 1013-1017, doi:10.1038/s41586-023-06296-x.</w:t>
      </w:r>
    </w:p>
    <w:p w14:paraId="2255C1EB"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20.</w:t>
      </w:r>
      <w:r w:rsidRPr="00812871">
        <w:rPr>
          <w:rFonts w:ascii="Times New Roman" w:hAnsi="Times New Roman" w:cs="Times New Roman"/>
          <w:sz w:val="22"/>
          <w:szCs w:val="22"/>
        </w:rPr>
        <w:tab/>
        <w:t xml:space="preserve">Mello, J.L.; Cardoso, B.N.; Colombo-Corbi, V.; Corbi, J.J. Effects of Agrochemicals on Freshwater Macroinvertebrates: Challenges and Perspectives from Southeastern Brazil. </w:t>
      </w:r>
      <w:r w:rsidRPr="00812871">
        <w:rPr>
          <w:rFonts w:ascii="Times New Roman" w:hAnsi="Times New Roman" w:cs="Times New Roman"/>
          <w:i/>
          <w:sz w:val="22"/>
          <w:szCs w:val="22"/>
        </w:rPr>
        <w:t xml:space="preserve">Limnology and Oceanography Bulletin </w:t>
      </w:r>
      <w:r w:rsidRPr="00812871">
        <w:rPr>
          <w:rFonts w:ascii="Times New Roman" w:hAnsi="Times New Roman" w:cs="Times New Roman"/>
          <w:b/>
          <w:sz w:val="22"/>
          <w:szCs w:val="22"/>
        </w:rPr>
        <w:t>2019</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28</w:t>
      </w:r>
      <w:r w:rsidRPr="00812871">
        <w:rPr>
          <w:rFonts w:ascii="Times New Roman" w:hAnsi="Times New Roman" w:cs="Times New Roman"/>
          <w:sz w:val="22"/>
          <w:szCs w:val="22"/>
        </w:rPr>
        <w:t>, 1-4, doi:https://doi.org/10.1002/lob.10284.</w:t>
      </w:r>
    </w:p>
    <w:p w14:paraId="4EFD20B9"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21.</w:t>
      </w:r>
      <w:r w:rsidRPr="00812871">
        <w:rPr>
          <w:rFonts w:ascii="Times New Roman" w:hAnsi="Times New Roman" w:cs="Times New Roman"/>
          <w:sz w:val="22"/>
          <w:szCs w:val="22"/>
        </w:rPr>
        <w:tab/>
        <w:t xml:space="preserve">Oliveira, A.H.B.; Cavalcante, R.M.; Duaví, W.C.; Fernandes, G.M.; Nascimento, R.F.; Queiroz, M.E.L.R.; Mendonça, K.V. The legacy of organochlorine pesticide usage in a tropical semi-arid region (Jaguaribe River, Ceará, Brazil): Implications of the influence of sediment parameters on occurrence, distribution and fate.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2016</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542</w:t>
      </w:r>
      <w:r w:rsidRPr="00812871">
        <w:rPr>
          <w:rFonts w:ascii="Times New Roman" w:hAnsi="Times New Roman" w:cs="Times New Roman"/>
          <w:sz w:val="22"/>
          <w:szCs w:val="22"/>
        </w:rPr>
        <w:t>, 254-263, doi:https://doi.org/10.1016/j.scitotenv.2015.10.058.</w:t>
      </w:r>
    </w:p>
    <w:p w14:paraId="5FDD3691"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22.</w:t>
      </w:r>
      <w:r w:rsidRPr="00812871">
        <w:rPr>
          <w:rFonts w:ascii="Times New Roman" w:hAnsi="Times New Roman" w:cs="Times New Roman"/>
          <w:sz w:val="22"/>
          <w:szCs w:val="22"/>
        </w:rPr>
        <w:tab/>
        <w:t xml:space="preserve">Stehle, S.; Schulz, R. Pesticide authorization in the EU—environment unprotected? </w:t>
      </w:r>
      <w:r w:rsidRPr="00812871">
        <w:rPr>
          <w:rFonts w:ascii="Times New Roman" w:hAnsi="Times New Roman" w:cs="Times New Roman"/>
          <w:i/>
          <w:sz w:val="22"/>
          <w:szCs w:val="22"/>
        </w:rPr>
        <w:t xml:space="preserve">Environmental Science and Pollution Research </w:t>
      </w:r>
      <w:r w:rsidRPr="00812871">
        <w:rPr>
          <w:rFonts w:ascii="Times New Roman" w:hAnsi="Times New Roman" w:cs="Times New Roman"/>
          <w:b/>
          <w:sz w:val="22"/>
          <w:szCs w:val="22"/>
        </w:rPr>
        <w:t>2015</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22</w:t>
      </w:r>
      <w:r w:rsidRPr="00812871">
        <w:rPr>
          <w:rFonts w:ascii="Times New Roman" w:hAnsi="Times New Roman" w:cs="Times New Roman"/>
          <w:sz w:val="22"/>
          <w:szCs w:val="22"/>
        </w:rPr>
        <w:t>, 19632-19647, doi:10.1007/s11356-015-5148-5.</w:t>
      </w:r>
    </w:p>
    <w:p w14:paraId="44833EF4"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23.</w:t>
      </w:r>
      <w:r w:rsidRPr="00812871">
        <w:rPr>
          <w:rFonts w:ascii="Times New Roman" w:hAnsi="Times New Roman" w:cs="Times New Roman"/>
          <w:sz w:val="22"/>
          <w:szCs w:val="22"/>
        </w:rPr>
        <w:tab/>
        <w:t xml:space="preserve">Stehle, S.; Schulz, R. Agricultural insecticides threaten surface waters at the global scale. </w:t>
      </w:r>
      <w:r w:rsidRPr="00812871">
        <w:rPr>
          <w:rFonts w:ascii="Times New Roman" w:hAnsi="Times New Roman" w:cs="Times New Roman"/>
          <w:i/>
          <w:sz w:val="22"/>
          <w:szCs w:val="22"/>
        </w:rPr>
        <w:t xml:space="preserve">Proceedings of the National Academy of Sciences </w:t>
      </w:r>
      <w:r w:rsidRPr="00812871">
        <w:rPr>
          <w:rFonts w:ascii="Times New Roman" w:hAnsi="Times New Roman" w:cs="Times New Roman"/>
          <w:b/>
          <w:sz w:val="22"/>
          <w:szCs w:val="22"/>
        </w:rPr>
        <w:t>2015</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112</w:t>
      </w:r>
      <w:r w:rsidRPr="00812871">
        <w:rPr>
          <w:rFonts w:ascii="Times New Roman" w:hAnsi="Times New Roman" w:cs="Times New Roman"/>
          <w:sz w:val="22"/>
          <w:szCs w:val="22"/>
        </w:rPr>
        <w:t>, 5750-5755, doi:doi:10.1073/pnas.1500232112.</w:t>
      </w:r>
    </w:p>
    <w:p w14:paraId="7A12EE27"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24.</w:t>
      </w:r>
      <w:r w:rsidRPr="00812871">
        <w:rPr>
          <w:rFonts w:ascii="Times New Roman" w:hAnsi="Times New Roman" w:cs="Times New Roman"/>
          <w:sz w:val="22"/>
          <w:szCs w:val="22"/>
        </w:rPr>
        <w:tab/>
        <w:t xml:space="preserve">Tang, F.H.M.; Lenzen, M.; McBratney, A.; Maggi, F. Risk of pesticide pollution at the global scale. </w:t>
      </w:r>
      <w:r w:rsidRPr="00812871">
        <w:rPr>
          <w:rFonts w:ascii="Times New Roman" w:hAnsi="Times New Roman" w:cs="Times New Roman"/>
          <w:i/>
          <w:sz w:val="22"/>
          <w:szCs w:val="22"/>
        </w:rPr>
        <w:t xml:space="preserve">Nature Geoscience </w:t>
      </w:r>
      <w:r w:rsidRPr="00812871">
        <w:rPr>
          <w:rFonts w:ascii="Times New Roman" w:hAnsi="Times New Roman" w:cs="Times New Roman"/>
          <w:b/>
          <w:sz w:val="22"/>
          <w:szCs w:val="22"/>
        </w:rPr>
        <w:t>2021</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14</w:t>
      </w:r>
      <w:r w:rsidRPr="00812871">
        <w:rPr>
          <w:rFonts w:ascii="Times New Roman" w:hAnsi="Times New Roman" w:cs="Times New Roman"/>
          <w:sz w:val="22"/>
          <w:szCs w:val="22"/>
        </w:rPr>
        <w:t>, 206-210, doi:10.1038/s41561-021-00712-5.</w:t>
      </w:r>
    </w:p>
    <w:p w14:paraId="4347545D"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lastRenderedPageBreak/>
        <w:t>25.</w:t>
      </w:r>
      <w:r w:rsidRPr="00812871">
        <w:rPr>
          <w:rFonts w:ascii="Times New Roman" w:hAnsi="Times New Roman" w:cs="Times New Roman"/>
          <w:sz w:val="22"/>
          <w:szCs w:val="22"/>
        </w:rPr>
        <w:tab/>
        <w:t xml:space="preserve">Wolfram, J.; Bub, S.; Petschick, L.L.; Schemmer, A.; Stehle, S.; Schulz, R. Pesticide occurrence in protected surface waters in nature conservation areas of Germany.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2023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858</w:t>
      </w:r>
      <w:r w:rsidRPr="00812871">
        <w:rPr>
          <w:rFonts w:ascii="Times New Roman" w:hAnsi="Times New Roman" w:cs="Times New Roman"/>
          <w:sz w:val="22"/>
          <w:szCs w:val="22"/>
        </w:rPr>
        <w:t>, 160074, doi:https://doi.org/10.1016/j.scitotenv.2022.160074.</w:t>
      </w:r>
    </w:p>
    <w:p w14:paraId="227C59EA"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26.</w:t>
      </w:r>
      <w:r w:rsidRPr="00812871">
        <w:rPr>
          <w:rFonts w:ascii="Times New Roman" w:hAnsi="Times New Roman" w:cs="Times New Roman"/>
          <w:sz w:val="22"/>
          <w:szCs w:val="22"/>
        </w:rPr>
        <w:tab/>
        <w:t xml:space="preserve">Rumohr, Q.; Baden, C.U.; Bergtold, M.; Marx, M.T.; Oellers, J.; Schade, M.; Toschki, A.; Maus, C. Drivers and pressures behind insect decline in Central and Western Europe based on long-term monitoring data. </w:t>
      </w:r>
      <w:r w:rsidRPr="00812871">
        <w:rPr>
          <w:rFonts w:ascii="Times New Roman" w:hAnsi="Times New Roman" w:cs="Times New Roman"/>
          <w:i/>
          <w:sz w:val="22"/>
          <w:szCs w:val="22"/>
        </w:rPr>
        <w:t xml:space="preserve">PLOS ONE </w:t>
      </w:r>
      <w:r w:rsidRPr="00812871">
        <w:rPr>
          <w:rFonts w:ascii="Times New Roman" w:hAnsi="Times New Roman" w:cs="Times New Roman"/>
          <w:b/>
          <w:sz w:val="22"/>
          <w:szCs w:val="22"/>
        </w:rPr>
        <w:t>2023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18</w:t>
      </w:r>
      <w:r w:rsidRPr="00812871">
        <w:rPr>
          <w:rFonts w:ascii="Times New Roman" w:hAnsi="Times New Roman" w:cs="Times New Roman"/>
          <w:sz w:val="22"/>
          <w:szCs w:val="22"/>
        </w:rPr>
        <w:t>, e0289565, doi:10.1371/journal.pone.0289565.</w:t>
      </w:r>
    </w:p>
    <w:p w14:paraId="17922F97"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27.</w:t>
      </w:r>
      <w:r w:rsidRPr="00812871">
        <w:rPr>
          <w:rFonts w:ascii="Times New Roman" w:hAnsi="Times New Roman" w:cs="Times New Roman"/>
          <w:sz w:val="22"/>
          <w:szCs w:val="22"/>
        </w:rPr>
        <w:tab/>
        <w:t xml:space="preserve">Bub, S.; Wolfram, J.; Petschick, L.L.; Stehle, S.; Schulz, R. Trends of Total Applied Pesticide Toxicity in German Agriculture. </w:t>
      </w:r>
      <w:r w:rsidRPr="00812871">
        <w:rPr>
          <w:rFonts w:ascii="Times New Roman" w:hAnsi="Times New Roman" w:cs="Times New Roman"/>
          <w:i/>
          <w:sz w:val="22"/>
          <w:szCs w:val="22"/>
        </w:rPr>
        <w:t xml:space="preserve">Environmental Science &amp; Technology </w:t>
      </w:r>
      <w:r w:rsidRPr="00812871">
        <w:rPr>
          <w:rFonts w:ascii="Times New Roman" w:hAnsi="Times New Roman" w:cs="Times New Roman"/>
          <w:b/>
          <w:sz w:val="22"/>
          <w:szCs w:val="22"/>
        </w:rPr>
        <w:t>2023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57</w:t>
      </w:r>
      <w:r w:rsidRPr="00812871">
        <w:rPr>
          <w:rFonts w:ascii="Times New Roman" w:hAnsi="Times New Roman" w:cs="Times New Roman"/>
          <w:sz w:val="22"/>
          <w:szCs w:val="22"/>
        </w:rPr>
        <w:t>, 852-861, doi:10.1021/acs.est.2c07251.</w:t>
      </w:r>
    </w:p>
    <w:p w14:paraId="5E387591"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28.</w:t>
      </w:r>
      <w:r w:rsidRPr="00812871">
        <w:rPr>
          <w:rFonts w:ascii="Times New Roman" w:hAnsi="Times New Roman" w:cs="Times New Roman"/>
          <w:sz w:val="22"/>
          <w:szCs w:val="22"/>
        </w:rPr>
        <w:tab/>
        <w:t xml:space="preserve">Schulz, R.; Bub, S.; Petschick, L.L.; Stehle, S.; Wolfram, J. Applied pesticide toxicity shifts toward plants and invertebrates, even in GM crops. </w:t>
      </w:r>
      <w:r w:rsidRPr="00812871">
        <w:rPr>
          <w:rFonts w:ascii="Times New Roman" w:hAnsi="Times New Roman" w:cs="Times New Roman"/>
          <w:i/>
          <w:sz w:val="22"/>
          <w:szCs w:val="22"/>
        </w:rPr>
        <w:t xml:space="preserve">Science </w:t>
      </w:r>
      <w:r w:rsidRPr="00812871">
        <w:rPr>
          <w:rFonts w:ascii="Times New Roman" w:hAnsi="Times New Roman" w:cs="Times New Roman"/>
          <w:b/>
          <w:sz w:val="22"/>
          <w:szCs w:val="22"/>
        </w:rPr>
        <w:t>2021</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372</w:t>
      </w:r>
      <w:r w:rsidRPr="00812871">
        <w:rPr>
          <w:rFonts w:ascii="Times New Roman" w:hAnsi="Times New Roman" w:cs="Times New Roman"/>
          <w:sz w:val="22"/>
          <w:szCs w:val="22"/>
        </w:rPr>
        <w:t>, 81-84, doi:doi:10.1126/science.abe1148.</w:t>
      </w:r>
    </w:p>
    <w:p w14:paraId="370320FB"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29.</w:t>
      </w:r>
      <w:r w:rsidRPr="00812871">
        <w:rPr>
          <w:rFonts w:ascii="Times New Roman" w:hAnsi="Times New Roman" w:cs="Times New Roman"/>
          <w:sz w:val="22"/>
          <w:szCs w:val="22"/>
        </w:rPr>
        <w:tab/>
        <w:t xml:space="preserve">Wolfram, J.; Bussen, D.; Bub, S.; Petschick, L.L.; Herrmann, L.Z.; Schulz, R. Increasing applied pesticide toxicity trends counteract the global reduction target to safeguard biodiversity. </w:t>
      </w:r>
      <w:r w:rsidRPr="00812871">
        <w:rPr>
          <w:rFonts w:ascii="Times New Roman" w:hAnsi="Times New Roman" w:cs="Times New Roman"/>
          <w:i/>
          <w:sz w:val="22"/>
          <w:szCs w:val="22"/>
        </w:rPr>
        <w:t xml:space="preserve">Science </w:t>
      </w:r>
      <w:r w:rsidRPr="00812871">
        <w:rPr>
          <w:rFonts w:ascii="Times New Roman" w:hAnsi="Times New Roman" w:cs="Times New Roman"/>
          <w:b/>
          <w:sz w:val="22"/>
          <w:szCs w:val="22"/>
        </w:rPr>
        <w:t>2026</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391</w:t>
      </w:r>
      <w:r w:rsidRPr="00812871">
        <w:rPr>
          <w:rFonts w:ascii="Times New Roman" w:hAnsi="Times New Roman" w:cs="Times New Roman"/>
          <w:sz w:val="22"/>
          <w:szCs w:val="22"/>
        </w:rPr>
        <w:t>, 616-621, doi:doi:10.1126/science.aea8602.</w:t>
      </w:r>
    </w:p>
    <w:p w14:paraId="0E1506D7"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30.</w:t>
      </w:r>
      <w:r w:rsidRPr="00812871">
        <w:rPr>
          <w:rFonts w:ascii="Times New Roman" w:hAnsi="Times New Roman" w:cs="Times New Roman"/>
          <w:sz w:val="22"/>
          <w:szCs w:val="22"/>
        </w:rPr>
        <w:tab/>
        <w:t xml:space="preserve">Yasuda, M.; Sakamoto, Y.; Goka, K.; Nagamitsu, T.; Taki, H. Insecticide Susceptibility in Asian Honey Bees (Apis cerana (Hymenoptera: Apidae)) and Implications for Wild Honey Bees in Asia. </w:t>
      </w:r>
      <w:r w:rsidRPr="00812871">
        <w:rPr>
          <w:rFonts w:ascii="Times New Roman" w:hAnsi="Times New Roman" w:cs="Times New Roman"/>
          <w:i/>
          <w:sz w:val="22"/>
          <w:szCs w:val="22"/>
        </w:rPr>
        <w:t xml:space="preserve">Journal of Economic Entomology </w:t>
      </w:r>
      <w:r w:rsidRPr="00812871">
        <w:rPr>
          <w:rFonts w:ascii="Times New Roman" w:hAnsi="Times New Roman" w:cs="Times New Roman"/>
          <w:b/>
          <w:sz w:val="22"/>
          <w:szCs w:val="22"/>
        </w:rPr>
        <w:t>2017</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110</w:t>
      </w:r>
      <w:r w:rsidRPr="00812871">
        <w:rPr>
          <w:rFonts w:ascii="Times New Roman" w:hAnsi="Times New Roman" w:cs="Times New Roman"/>
          <w:sz w:val="22"/>
          <w:szCs w:val="22"/>
        </w:rPr>
        <w:t>, 447-452, doi:10.1093/jee/tox032.</w:t>
      </w:r>
    </w:p>
    <w:p w14:paraId="57B42EC9"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31.</w:t>
      </w:r>
      <w:r w:rsidRPr="00812871">
        <w:rPr>
          <w:rFonts w:ascii="Times New Roman" w:hAnsi="Times New Roman" w:cs="Times New Roman"/>
          <w:sz w:val="22"/>
          <w:szCs w:val="22"/>
        </w:rPr>
        <w:tab/>
        <w:t xml:space="preserve">van den Berg, H.; Gu, B.; Grenier, B.; Kohlschmid, E.; Al-Eryani, S.; da Silva Bezerra, H.S.; Nagpal, B.N.; Chanda, E.; Gasimov, E.; Velayudhan, R.; et al. Pesticide lifecycle management in agriculture and public health: Where are the gaps?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2020</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742</w:t>
      </w:r>
      <w:r w:rsidRPr="00812871">
        <w:rPr>
          <w:rFonts w:ascii="Times New Roman" w:hAnsi="Times New Roman" w:cs="Times New Roman"/>
          <w:sz w:val="22"/>
          <w:szCs w:val="22"/>
        </w:rPr>
        <w:t>, 140598, doi:https://doi.org/10.1016/j.scitotenv.2020.140598.</w:t>
      </w:r>
    </w:p>
    <w:p w14:paraId="3673B634"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32.</w:t>
      </w:r>
      <w:r w:rsidRPr="00812871">
        <w:rPr>
          <w:rFonts w:ascii="Times New Roman" w:hAnsi="Times New Roman" w:cs="Times New Roman"/>
          <w:sz w:val="22"/>
          <w:szCs w:val="22"/>
        </w:rPr>
        <w:tab/>
        <w:t xml:space="preserve">Brown, C.; Hart, A.; Lewis, K.; Dubus, I. p-EMA (I): simulating the environmental fate of pesticides for a farm-level risk assessment system. </w:t>
      </w:r>
      <w:r w:rsidRPr="00812871">
        <w:rPr>
          <w:rFonts w:ascii="Times New Roman" w:hAnsi="Times New Roman" w:cs="Times New Roman"/>
          <w:i/>
          <w:sz w:val="22"/>
          <w:szCs w:val="22"/>
        </w:rPr>
        <w:t xml:space="preserve">Agronomie </w:t>
      </w:r>
      <w:r w:rsidRPr="00812871">
        <w:rPr>
          <w:rFonts w:ascii="Times New Roman" w:hAnsi="Times New Roman" w:cs="Times New Roman"/>
          <w:b/>
          <w:sz w:val="22"/>
          <w:szCs w:val="22"/>
        </w:rPr>
        <w:t>2003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23</w:t>
      </w:r>
      <w:r w:rsidRPr="00812871">
        <w:rPr>
          <w:rFonts w:ascii="Times New Roman" w:hAnsi="Times New Roman" w:cs="Times New Roman"/>
          <w:sz w:val="22"/>
          <w:szCs w:val="22"/>
        </w:rPr>
        <w:t>, 67-74, doi:10.1051/agro:2002074.</w:t>
      </w:r>
    </w:p>
    <w:p w14:paraId="1021B2EC"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33.</w:t>
      </w:r>
      <w:r w:rsidRPr="00812871">
        <w:rPr>
          <w:rFonts w:ascii="Times New Roman" w:hAnsi="Times New Roman" w:cs="Times New Roman"/>
          <w:sz w:val="22"/>
          <w:szCs w:val="22"/>
        </w:rPr>
        <w:tab/>
        <w:t xml:space="preserve">Hart, A.; Brown, C.; Lewis, K.; Tzilivakis, J. p-EMA (II): evaluating ecological risks of pesticides for a farm-level risk assessment system. </w:t>
      </w:r>
      <w:r w:rsidRPr="00812871">
        <w:rPr>
          <w:rFonts w:ascii="Times New Roman" w:hAnsi="Times New Roman" w:cs="Times New Roman"/>
          <w:i/>
          <w:sz w:val="22"/>
          <w:szCs w:val="22"/>
        </w:rPr>
        <w:t xml:space="preserve">Agronomie </w:t>
      </w:r>
      <w:r w:rsidRPr="00812871">
        <w:rPr>
          <w:rFonts w:ascii="Times New Roman" w:hAnsi="Times New Roman" w:cs="Times New Roman"/>
          <w:b/>
          <w:sz w:val="22"/>
          <w:szCs w:val="22"/>
        </w:rPr>
        <w:t>2003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23</w:t>
      </w:r>
      <w:r w:rsidRPr="00812871">
        <w:rPr>
          <w:rFonts w:ascii="Times New Roman" w:hAnsi="Times New Roman" w:cs="Times New Roman"/>
          <w:sz w:val="22"/>
          <w:szCs w:val="22"/>
        </w:rPr>
        <w:t>, 75-84, doi:10.1051/agro:2002075.</w:t>
      </w:r>
    </w:p>
    <w:p w14:paraId="77D9CCE4"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34.</w:t>
      </w:r>
      <w:r w:rsidRPr="00812871">
        <w:rPr>
          <w:rFonts w:ascii="Times New Roman" w:hAnsi="Times New Roman" w:cs="Times New Roman"/>
          <w:sz w:val="22"/>
          <w:szCs w:val="22"/>
        </w:rPr>
        <w:tab/>
        <w:t xml:space="preserve">Lewis, K.; Brown, C.; Hart, A.; Tzilivakis, J. p-EMA (III): overview and application of a software system designed to assess the environmental risk of agricultural pesticides. </w:t>
      </w:r>
      <w:r w:rsidRPr="00812871">
        <w:rPr>
          <w:rFonts w:ascii="Times New Roman" w:hAnsi="Times New Roman" w:cs="Times New Roman"/>
          <w:i/>
          <w:sz w:val="22"/>
          <w:szCs w:val="22"/>
        </w:rPr>
        <w:t xml:space="preserve">Agronomie </w:t>
      </w:r>
      <w:r w:rsidRPr="00812871">
        <w:rPr>
          <w:rFonts w:ascii="Times New Roman" w:hAnsi="Times New Roman" w:cs="Times New Roman"/>
          <w:b/>
          <w:sz w:val="22"/>
          <w:szCs w:val="22"/>
        </w:rPr>
        <w:t>2003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23</w:t>
      </w:r>
      <w:r w:rsidRPr="00812871">
        <w:rPr>
          <w:rFonts w:ascii="Times New Roman" w:hAnsi="Times New Roman" w:cs="Times New Roman"/>
          <w:sz w:val="22"/>
          <w:szCs w:val="22"/>
        </w:rPr>
        <w:t>, 85-96.</w:t>
      </w:r>
    </w:p>
    <w:p w14:paraId="799639C4"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35.</w:t>
      </w:r>
      <w:r w:rsidRPr="00812871">
        <w:rPr>
          <w:rFonts w:ascii="Times New Roman" w:hAnsi="Times New Roman" w:cs="Times New Roman"/>
          <w:sz w:val="22"/>
          <w:szCs w:val="22"/>
        </w:rPr>
        <w:tab/>
        <w:t xml:space="preserve">Lewis, K.; Rainford, J.; Tzilivakis, J.; Garthwaite, D. Application of the Danish pesticide load indicator to arable agriculture in the United Kingdom. </w:t>
      </w:r>
      <w:r w:rsidRPr="00812871">
        <w:rPr>
          <w:rFonts w:ascii="Times New Roman" w:hAnsi="Times New Roman" w:cs="Times New Roman"/>
          <w:i/>
          <w:sz w:val="22"/>
          <w:szCs w:val="22"/>
        </w:rPr>
        <w:t xml:space="preserve">Journal of Environmental Quality </w:t>
      </w:r>
      <w:r w:rsidRPr="00812871">
        <w:rPr>
          <w:rFonts w:ascii="Times New Roman" w:hAnsi="Times New Roman" w:cs="Times New Roman"/>
          <w:b/>
          <w:sz w:val="22"/>
          <w:szCs w:val="22"/>
        </w:rPr>
        <w:t>2021</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50</w:t>
      </w:r>
      <w:r w:rsidRPr="00812871">
        <w:rPr>
          <w:rFonts w:ascii="Times New Roman" w:hAnsi="Times New Roman" w:cs="Times New Roman"/>
          <w:sz w:val="22"/>
          <w:szCs w:val="22"/>
        </w:rPr>
        <w:t>, 1110-1122, doi:https://doi.org/10.1002/jeq2.20262.</w:t>
      </w:r>
    </w:p>
    <w:p w14:paraId="1333069F"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36.</w:t>
      </w:r>
      <w:r w:rsidRPr="00812871">
        <w:rPr>
          <w:rFonts w:ascii="Times New Roman" w:hAnsi="Times New Roman" w:cs="Times New Roman"/>
          <w:sz w:val="22"/>
          <w:szCs w:val="22"/>
        </w:rPr>
        <w:tab/>
        <w:t xml:space="preserve">Maggi, F.; Tang, F.H.M.; Black, A.J.; Marks, G.B.; McBratney, A. The pesticide health risk index - An application to the world's countries.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2021</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801</w:t>
      </w:r>
      <w:r w:rsidRPr="00812871">
        <w:rPr>
          <w:rFonts w:ascii="Times New Roman" w:hAnsi="Times New Roman" w:cs="Times New Roman"/>
          <w:sz w:val="22"/>
          <w:szCs w:val="22"/>
        </w:rPr>
        <w:t>, 149731, doi:https://doi.org/10.1016/j.scitotenv.2021.149731.</w:t>
      </w:r>
    </w:p>
    <w:p w14:paraId="2791C353"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37.</w:t>
      </w:r>
      <w:r w:rsidRPr="00812871">
        <w:rPr>
          <w:rFonts w:ascii="Times New Roman" w:hAnsi="Times New Roman" w:cs="Times New Roman"/>
          <w:sz w:val="22"/>
          <w:szCs w:val="22"/>
        </w:rPr>
        <w:tab/>
        <w:t xml:space="preserve">Maggi, F.; Tang, F.H.M.; la Cecilia, D.; McBratney, A. PEST-CHEMGRIDS, global gridded maps of the top 20 crop-specific pesticide application rates from 2015 to 2025. </w:t>
      </w:r>
      <w:r w:rsidRPr="00812871">
        <w:rPr>
          <w:rFonts w:ascii="Times New Roman" w:hAnsi="Times New Roman" w:cs="Times New Roman"/>
          <w:i/>
          <w:sz w:val="22"/>
          <w:szCs w:val="22"/>
        </w:rPr>
        <w:t xml:space="preserve">Scientific Data </w:t>
      </w:r>
      <w:r w:rsidRPr="00812871">
        <w:rPr>
          <w:rFonts w:ascii="Times New Roman" w:hAnsi="Times New Roman" w:cs="Times New Roman"/>
          <w:b/>
          <w:sz w:val="22"/>
          <w:szCs w:val="22"/>
        </w:rPr>
        <w:t>2019</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6</w:t>
      </w:r>
      <w:r w:rsidRPr="00812871">
        <w:rPr>
          <w:rFonts w:ascii="Times New Roman" w:hAnsi="Times New Roman" w:cs="Times New Roman"/>
          <w:sz w:val="22"/>
          <w:szCs w:val="22"/>
        </w:rPr>
        <w:t>, 170, doi:10.1038/s41597-019-0169-4.</w:t>
      </w:r>
    </w:p>
    <w:p w14:paraId="1DFF1E85"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38.</w:t>
      </w:r>
      <w:r w:rsidRPr="00812871">
        <w:rPr>
          <w:rFonts w:ascii="Times New Roman" w:hAnsi="Times New Roman" w:cs="Times New Roman"/>
          <w:sz w:val="22"/>
          <w:szCs w:val="22"/>
        </w:rPr>
        <w:tab/>
        <w:t xml:space="preserve">Möhring, N.; Gaba, S.; Finger, R. Quantity based indicators fail to identify extreme pesticide risks.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2019</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646</w:t>
      </w:r>
      <w:r w:rsidRPr="00812871">
        <w:rPr>
          <w:rFonts w:ascii="Times New Roman" w:hAnsi="Times New Roman" w:cs="Times New Roman"/>
          <w:sz w:val="22"/>
          <w:szCs w:val="22"/>
        </w:rPr>
        <w:t>, 503-523, doi:https://doi.org/10.1016/j.scitotenv.2018.07.287.</w:t>
      </w:r>
    </w:p>
    <w:p w14:paraId="5F42A636"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39.</w:t>
      </w:r>
      <w:r w:rsidRPr="00812871">
        <w:rPr>
          <w:rFonts w:ascii="Times New Roman" w:hAnsi="Times New Roman" w:cs="Times New Roman"/>
          <w:sz w:val="22"/>
          <w:szCs w:val="22"/>
        </w:rPr>
        <w:tab/>
        <w:t xml:space="preserve">Trevisan, M.; Di Guardo, A.; Balderacchi, M. An environmental indicator to drive sustainable pest management practices. </w:t>
      </w:r>
      <w:r w:rsidRPr="00812871">
        <w:rPr>
          <w:rFonts w:ascii="Times New Roman" w:hAnsi="Times New Roman" w:cs="Times New Roman"/>
          <w:i/>
          <w:sz w:val="22"/>
          <w:szCs w:val="22"/>
        </w:rPr>
        <w:t xml:space="preserve">Environmental Modelling &amp; Software </w:t>
      </w:r>
      <w:r w:rsidRPr="00812871">
        <w:rPr>
          <w:rFonts w:ascii="Times New Roman" w:hAnsi="Times New Roman" w:cs="Times New Roman"/>
          <w:b/>
          <w:sz w:val="22"/>
          <w:szCs w:val="22"/>
        </w:rPr>
        <w:t>2009</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24</w:t>
      </w:r>
      <w:r w:rsidRPr="00812871">
        <w:rPr>
          <w:rFonts w:ascii="Times New Roman" w:hAnsi="Times New Roman" w:cs="Times New Roman"/>
          <w:sz w:val="22"/>
          <w:szCs w:val="22"/>
        </w:rPr>
        <w:t>, 994-1002, doi:https://doi.org/10.1016/j.envsoft.2008.12.008.</w:t>
      </w:r>
    </w:p>
    <w:p w14:paraId="1AEF53EA"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40.</w:t>
      </w:r>
      <w:r w:rsidRPr="00812871">
        <w:rPr>
          <w:rFonts w:ascii="Times New Roman" w:hAnsi="Times New Roman" w:cs="Times New Roman"/>
          <w:sz w:val="22"/>
          <w:szCs w:val="22"/>
        </w:rPr>
        <w:tab/>
        <w:t xml:space="preserve">Centanni, M.; Ricci, G.F.; De Girolamo, A.M.; Romano, G.; Gentile, F. A review of modeling pesticides in freshwaters: Current status, progress achieved and desirable improvements. </w:t>
      </w:r>
      <w:r w:rsidRPr="00812871">
        <w:rPr>
          <w:rFonts w:ascii="Times New Roman" w:hAnsi="Times New Roman" w:cs="Times New Roman"/>
          <w:i/>
          <w:sz w:val="22"/>
          <w:szCs w:val="22"/>
        </w:rPr>
        <w:t xml:space="preserve">Environmental Pollution </w:t>
      </w:r>
      <w:r w:rsidRPr="00812871">
        <w:rPr>
          <w:rFonts w:ascii="Times New Roman" w:hAnsi="Times New Roman" w:cs="Times New Roman"/>
          <w:b/>
          <w:sz w:val="22"/>
          <w:szCs w:val="22"/>
        </w:rPr>
        <w:t>2023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316</w:t>
      </w:r>
      <w:r w:rsidRPr="00812871">
        <w:rPr>
          <w:rFonts w:ascii="Times New Roman" w:hAnsi="Times New Roman" w:cs="Times New Roman"/>
          <w:sz w:val="22"/>
          <w:szCs w:val="22"/>
        </w:rPr>
        <w:t>, 120553, doi:https://doi.org/10.1016/j.envpol.2022.120553.</w:t>
      </w:r>
    </w:p>
    <w:p w14:paraId="6A72F9DE"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41.</w:t>
      </w:r>
      <w:r w:rsidRPr="00812871">
        <w:rPr>
          <w:rFonts w:ascii="Times New Roman" w:hAnsi="Times New Roman" w:cs="Times New Roman"/>
          <w:sz w:val="22"/>
          <w:szCs w:val="22"/>
        </w:rPr>
        <w:tab/>
        <w:t xml:space="preserve">Ramírez-Morales, D.; Pérez-Villanueva, M.E.; Chin-Pampillo, J.S.; Aguilar-Mora, P.; Arias-Mora, V.; Masís-Mora, M. Pesticide occurrence and water quality assessment from an agriculturally influenced Latin-American tropical region. </w:t>
      </w:r>
      <w:r w:rsidRPr="00812871">
        <w:rPr>
          <w:rFonts w:ascii="Times New Roman" w:hAnsi="Times New Roman" w:cs="Times New Roman"/>
          <w:i/>
          <w:sz w:val="22"/>
          <w:szCs w:val="22"/>
        </w:rPr>
        <w:t xml:space="preserve">Chemosphere </w:t>
      </w:r>
      <w:r w:rsidRPr="00812871">
        <w:rPr>
          <w:rFonts w:ascii="Times New Roman" w:hAnsi="Times New Roman" w:cs="Times New Roman"/>
          <w:b/>
          <w:sz w:val="22"/>
          <w:szCs w:val="22"/>
        </w:rPr>
        <w:t>2021</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262</w:t>
      </w:r>
      <w:r w:rsidRPr="00812871">
        <w:rPr>
          <w:rFonts w:ascii="Times New Roman" w:hAnsi="Times New Roman" w:cs="Times New Roman"/>
          <w:sz w:val="22"/>
          <w:szCs w:val="22"/>
        </w:rPr>
        <w:t>, 127851, doi:https://doi.org/10.1016/j.chemosphere.2020.127851.</w:t>
      </w:r>
    </w:p>
    <w:p w14:paraId="57E8ACE3"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lastRenderedPageBreak/>
        <w:t>42.</w:t>
      </w:r>
      <w:r w:rsidRPr="00812871">
        <w:rPr>
          <w:rFonts w:ascii="Times New Roman" w:hAnsi="Times New Roman" w:cs="Times New Roman"/>
          <w:sz w:val="22"/>
          <w:szCs w:val="22"/>
        </w:rPr>
        <w:tab/>
        <w:t xml:space="preserve">Toan, P.V.; Sebesvari, Z.; Bläsing, M.; Rosendahl, I.; Renaud, F.G. Pesticide management and their residues in sediments and surface and drinking water in the Mekong Delta, Vietnam. </w:t>
      </w:r>
      <w:r w:rsidRPr="00812871">
        <w:rPr>
          <w:rFonts w:ascii="Times New Roman" w:hAnsi="Times New Roman" w:cs="Times New Roman"/>
          <w:i/>
          <w:sz w:val="22"/>
          <w:szCs w:val="22"/>
        </w:rPr>
        <w:t xml:space="preserve">Science of The Total Environment </w:t>
      </w:r>
      <w:r w:rsidRPr="00812871">
        <w:rPr>
          <w:rFonts w:ascii="Times New Roman" w:hAnsi="Times New Roman" w:cs="Times New Roman"/>
          <w:b/>
          <w:sz w:val="22"/>
          <w:szCs w:val="22"/>
        </w:rPr>
        <w:t>2013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452-453</w:t>
      </w:r>
      <w:r w:rsidRPr="00812871">
        <w:rPr>
          <w:rFonts w:ascii="Times New Roman" w:hAnsi="Times New Roman" w:cs="Times New Roman"/>
          <w:sz w:val="22"/>
          <w:szCs w:val="22"/>
        </w:rPr>
        <w:t>, 28-39, doi:https://doi.org/10.1016/j.scitotenv.2013.02.026.</w:t>
      </w:r>
    </w:p>
    <w:p w14:paraId="143D683E"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43.</w:t>
      </w:r>
      <w:r w:rsidRPr="00812871">
        <w:rPr>
          <w:rFonts w:ascii="Times New Roman" w:hAnsi="Times New Roman" w:cs="Times New Roman"/>
          <w:sz w:val="22"/>
          <w:szCs w:val="22"/>
        </w:rPr>
        <w:tab/>
        <w:t xml:space="preserve">World Health Organisation and Food and Agricultur Organisation of the United Nations. International code of conduct on pesticide management: guidelines on pesticide legislation. Available online: https://apps.who.int/iris/bitstream/handle/10665/195648/9789241509671_eng.pdf?sequence=1 (accessed on </w:t>
      </w:r>
    </w:p>
    <w:p w14:paraId="12D4DBF5"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44.</w:t>
      </w:r>
      <w:r w:rsidRPr="00812871">
        <w:rPr>
          <w:rFonts w:ascii="Times New Roman" w:hAnsi="Times New Roman" w:cs="Times New Roman"/>
          <w:sz w:val="22"/>
          <w:szCs w:val="22"/>
        </w:rPr>
        <w:tab/>
        <w:t xml:space="preserve">Lewis, K.A.; Tzilivakis, J.; Warner, D.J.; Green, A. An international database for pesticide risk assessments and management. </w:t>
      </w:r>
      <w:r w:rsidRPr="00812871">
        <w:rPr>
          <w:rFonts w:ascii="Times New Roman" w:hAnsi="Times New Roman" w:cs="Times New Roman"/>
          <w:i/>
          <w:sz w:val="22"/>
          <w:szCs w:val="22"/>
        </w:rPr>
        <w:t xml:space="preserve">Human and Ecological Risk Assessment: An International Journal </w:t>
      </w:r>
      <w:r w:rsidRPr="00812871">
        <w:rPr>
          <w:rFonts w:ascii="Times New Roman" w:hAnsi="Times New Roman" w:cs="Times New Roman"/>
          <w:b/>
          <w:sz w:val="22"/>
          <w:szCs w:val="22"/>
        </w:rPr>
        <w:t>2016</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22</w:t>
      </w:r>
      <w:r w:rsidRPr="00812871">
        <w:rPr>
          <w:rFonts w:ascii="Times New Roman" w:hAnsi="Times New Roman" w:cs="Times New Roman"/>
          <w:sz w:val="22"/>
          <w:szCs w:val="22"/>
        </w:rPr>
        <w:t>, 1050-1064, doi:10.1080/10807039.2015.1133242.</w:t>
      </w:r>
    </w:p>
    <w:p w14:paraId="0B06F9C8"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45.</w:t>
      </w:r>
      <w:r w:rsidRPr="00812871">
        <w:rPr>
          <w:rFonts w:ascii="Times New Roman" w:hAnsi="Times New Roman" w:cs="Times New Roman"/>
          <w:sz w:val="22"/>
          <w:szCs w:val="22"/>
        </w:rPr>
        <w:tab/>
        <w:t xml:space="preserve">Love, M.; Magarey, R.D.; Holderman, B.L.; Carley, D.S.; Maggi, F.; Singer, N. Tracking sustainability in crop pest management in the United States using an eco-efficiency index. </w:t>
      </w:r>
      <w:r w:rsidRPr="00812871">
        <w:rPr>
          <w:rFonts w:ascii="Times New Roman" w:hAnsi="Times New Roman" w:cs="Times New Roman"/>
          <w:i/>
          <w:sz w:val="22"/>
          <w:szCs w:val="22"/>
        </w:rPr>
        <w:t xml:space="preserve">Frontiers in Insect Science </w:t>
      </w:r>
      <w:r w:rsidRPr="00812871">
        <w:rPr>
          <w:rFonts w:ascii="Times New Roman" w:hAnsi="Times New Roman" w:cs="Times New Roman"/>
          <w:b/>
          <w:sz w:val="22"/>
          <w:szCs w:val="22"/>
        </w:rPr>
        <w:t>2025</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Volume 5 - 2025</w:t>
      </w:r>
      <w:r w:rsidRPr="00812871">
        <w:rPr>
          <w:rFonts w:ascii="Times New Roman" w:hAnsi="Times New Roman" w:cs="Times New Roman"/>
          <w:sz w:val="22"/>
          <w:szCs w:val="22"/>
        </w:rPr>
        <w:t>, doi:10.3389/finsc.2025.1582496.</w:t>
      </w:r>
    </w:p>
    <w:p w14:paraId="25A934D7"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46.</w:t>
      </w:r>
      <w:r w:rsidRPr="00812871">
        <w:rPr>
          <w:rFonts w:ascii="Times New Roman" w:hAnsi="Times New Roman" w:cs="Times New Roman"/>
          <w:sz w:val="22"/>
          <w:szCs w:val="22"/>
        </w:rPr>
        <w:tab/>
        <w:t xml:space="preserve">FAO. </w:t>
      </w:r>
      <w:r w:rsidRPr="00812871">
        <w:rPr>
          <w:rFonts w:ascii="Times New Roman" w:hAnsi="Times New Roman" w:cs="Times New Roman"/>
          <w:i/>
          <w:sz w:val="22"/>
          <w:szCs w:val="22"/>
        </w:rPr>
        <w:t>Pesticides use and trade – 1990–2023</w:t>
      </w:r>
      <w:r w:rsidRPr="00812871">
        <w:rPr>
          <w:rFonts w:ascii="Times New Roman" w:hAnsi="Times New Roman" w:cs="Times New Roman"/>
          <w:sz w:val="22"/>
          <w:szCs w:val="22"/>
        </w:rPr>
        <w:t>; 109: Rome, Italy, 2025.</w:t>
      </w:r>
    </w:p>
    <w:p w14:paraId="675CE502" w14:textId="77777777" w:rsidR="00B55A3B" w:rsidRPr="00812871" w:rsidRDefault="00B55A3B" w:rsidP="00B55A3B">
      <w:pPr>
        <w:pStyle w:val="EndNoteBibliography"/>
        <w:ind w:left="720" w:hanging="720"/>
        <w:rPr>
          <w:rFonts w:ascii="Times New Roman" w:hAnsi="Times New Roman" w:cs="Times New Roman"/>
          <w:sz w:val="22"/>
          <w:szCs w:val="22"/>
        </w:rPr>
      </w:pPr>
      <w:r w:rsidRPr="00812871">
        <w:rPr>
          <w:rFonts w:ascii="Times New Roman" w:hAnsi="Times New Roman" w:cs="Times New Roman"/>
          <w:sz w:val="22"/>
          <w:szCs w:val="22"/>
        </w:rPr>
        <w:t>47.</w:t>
      </w:r>
      <w:r w:rsidRPr="00812871">
        <w:rPr>
          <w:rFonts w:ascii="Times New Roman" w:hAnsi="Times New Roman" w:cs="Times New Roman"/>
          <w:sz w:val="22"/>
          <w:szCs w:val="22"/>
        </w:rPr>
        <w:tab/>
        <w:t xml:space="preserve">Tang, F.H.; Nguyen, T.H.; Conchedda, G.; Casse, L.; Tubiello, F.N.; Maggi, F. CROPGRIDS: A global geo-referenced dataset of 173 crops circa 2020. </w:t>
      </w:r>
      <w:r w:rsidRPr="00812871">
        <w:rPr>
          <w:rFonts w:ascii="Times New Roman" w:hAnsi="Times New Roman" w:cs="Times New Roman"/>
          <w:i/>
          <w:sz w:val="22"/>
          <w:szCs w:val="22"/>
        </w:rPr>
        <w:t xml:space="preserve">Earth System Science Data Discussions </w:t>
      </w:r>
      <w:r w:rsidRPr="00812871">
        <w:rPr>
          <w:rFonts w:ascii="Times New Roman" w:hAnsi="Times New Roman" w:cs="Times New Roman"/>
          <w:b/>
          <w:sz w:val="22"/>
          <w:szCs w:val="22"/>
        </w:rPr>
        <w:t>2023</w:t>
      </w:r>
      <w:r w:rsidRPr="00812871">
        <w:rPr>
          <w:rFonts w:ascii="Times New Roman" w:hAnsi="Times New Roman" w:cs="Times New Roman"/>
          <w:sz w:val="22"/>
          <w:szCs w:val="22"/>
        </w:rPr>
        <w:t xml:space="preserve">, </w:t>
      </w:r>
      <w:r w:rsidRPr="00812871">
        <w:rPr>
          <w:rFonts w:ascii="Times New Roman" w:hAnsi="Times New Roman" w:cs="Times New Roman"/>
          <w:i/>
          <w:sz w:val="22"/>
          <w:szCs w:val="22"/>
        </w:rPr>
        <w:t>2023</w:t>
      </w:r>
      <w:r w:rsidRPr="00812871">
        <w:rPr>
          <w:rFonts w:ascii="Times New Roman" w:hAnsi="Times New Roman" w:cs="Times New Roman"/>
          <w:sz w:val="22"/>
          <w:szCs w:val="22"/>
        </w:rPr>
        <w:t>, 1-22.</w:t>
      </w:r>
    </w:p>
    <w:p w14:paraId="550C7176" w14:textId="1B44947E" w:rsidR="00697090" w:rsidRPr="00ED7E61" w:rsidRDefault="00B55A3B" w:rsidP="00FB1598">
      <w:pPr>
        <w:rPr>
          <w:rStyle w:val="eop"/>
          <w:rFonts w:asciiTheme="majorBidi" w:eastAsiaTheme="majorEastAsia" w:hAnsiTheme="majorBidi" w:cstheme="majorBidi"/>
          <w:sz w:val="22"/>
          <w:szCs w:val="22"/>
          <w:lang w:val="en-GB"/>
        </w:rPr>
      </w:pPr>
      <w:r w:rsidRPr="00264BA4">
        <w:rPr>
          <w:sz w:val="22"/>
          <w:szCs w:val="22"/>
          <w:lang w:val="en-US"/>
        </w:rPr>
        <w:fldChar w:fldCharType="end"/>
      </w:r>
    </w:p>
    <w:p w14:paraId="040D03B9" w14:textId="77777777" w:rsidR="00697090" w:rsidRPr="00ED7E61" w:rsidRDefault="00697090" w:rsidP="00697090">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12. Graphs and diagrams </w:t>
      </w:r>
      <w:r w:rsidRPr="00ED7E61">
        <w:rPr>
          <w:rStyle w:val="eop"/>
          <w:rFonts w:asciiTheme="majorBidi" w:eastAsiaTheme="majorEastAsia" w:hAnsiTheme="majorBidi" w:cstheme="majorBidi"/>
          <w:sz w:val="22"/>
          <w:szCs w:val="22"/>
        </w:rPr>
        <w:t> </w:t>
      </w:r>
    </w:p>
    <w:p w14:paraId="02547573" w14:textId="77777777" w:rsidR="00697090" w:rsidRPr="00ED7E61" w:rsidRDefault="00697090" w:rsidP="00697090">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5D81A9B0" w14:textId="6026A2EE" w:rsidR="004C332E" w:rsidRDefault="008237F6" w:rsidP="007A5B4A">
      <w:pPr>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br w:type="page"/>
      </w:r>
    </w:p>
    <w:p w14:paraId="67AA15F6" w14:textId="62A7B021" w:rsidR="004C332E" w:rsidRPr="00ED7E61" w:rsidRDefault="004C332E" w:rsidP="004C332E">
      <w:pPr>
        <w:pStyle w:val="Heading3"/>
      </w:pPr>
      <w:bookmarkStart w:id="41" w:name="_Toc178285864"/>
      <w:bookmarkStart w:id="42" w:name="_Toc233278573"/>
      <w:r>
        <w:rPr>
          <w:rStyle w:val="normaltextrun"/>
        </w:rPr>
        <w:lastRenderedPageBreak/>
        <w:t>Binary</w:t>
      </w:r>
      <w:r w:rsidRPr="00ED7E61">
        <w:rPr>
          <w:rStyle w:val="normaltextrun"/>
        </w:rPr>
        <w:t xml:space="preserve"> indicator 8.b</w:t>
      </w:r>
      <w:bookmarkEnd w:id="41"/>
      <w:bookmarkEnd w:id="42"/>
      <w:r w:rsidRPr="00ED7E61">
        <w:rPr>
          <w:rStyle w:val="normaltextrun"/>
        </w:rPr>
        <w:t> </w:t>
      </w:r>
      <w:r w:rsidRPr="00ED7E61">
        <w:rPr>
          <w:rStyle w:val="eop"/>
        </w:rPr>
        <w:t> </w:t>
      </w:r>
    </w:p>
    <w:p w14:paraId="03196420" w14:textId="77777777" w:rsidR="004C332E" w:rsidRPr="00ED7E61" w:rsidRDefault="004C332E" w:rsidP="004C332E">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0022C65E" w14:textId="77777777" w:rsidR="004C332E" w:rsidRPr="0049615A" w:rsidRDefault="004C332E" w:rsidP="0049615A">
      <w:pPr>
        <w:pStyle w:val="paragraph"/>
        <w:pBdr>
          <w:bottom w:val="single" w:sz="4" w:space="1" w:color="000000"/>
        </w:pBdr>
        <w:spacing w:before="0" w:beforeAutospacing="0" w:after="0" w:afterAutospacing="0"/>
        <w:textAlignment w:val="baseline"/>
        <w:rPr>
          <w:rStyle w:val="normaltextrun"/>
          <w:rFonts w:eastAsiaTheme="majorEastAsia"/>
          <w:b/>
          <w:bCs/>
        </w:rPr>
      </w:pPr>
      <w:r w:rsidRPr="0049615A">
        <w:rPr>
          <w:rStyle w:val="normaltextrun"/>
          <w:rFonts w:eastAsiaTheme="majorEastAsia"/>
        </w:rPr>
        <w:t>Full Indicator Name</w:t>
      </w:r>
    </w:p>
    <w:p w14:paraId="5120B41B" w14:textId="77777777" w:rsidR="004C332E" w:rsidRPr="00ED7E61" w:rsidRDefault="004C332E" w:rsidP="004C332E">
      <w:pPr>
        <w:jc w:val="both"/>
        <w:rPr>
          <w:rFonts w:asciiTheme="majorBidi" w:hAnsiTheme="majorBidi" w:cstheme="majorBidi"/>
          <w:sz w:val="22"/>
          <w:szCs w:val="22"/>
        </w:rPr>
      </w:pPr>
      <w:r w:rsidRPr="00ED7E61">
        <w:rPr>
          <w:rFonts w:asciiTheme="majorBidi" w:hAnsiTheme="majorBidi" w:cstheme="majorBidi"/>
          <w:color w:val="000000" w:themeColor="text1"/>
          <w:sz w:val="22"/>
          <w:szCs w:val="22"/>
          <w:lang w:val="en-GB"/>
        </w:rPr>
        <w:t>Number of countries with policies to minimize the impact of climate change and ocean acidification on biodiversity and to minimize negative and foster positive impacts of climate action on biodiversity.</w:t>
      </w:r>
    </w:p>
    <w:p w14:paraId="6EAA43DF" w14:textId="77777777" w:rsidR="004C332E" w:rsidRPr="00ED7E61" w:rsidRDefault="004C332E" w:rsidP="004C332E">
      <w:pPr>
        <w:jc w:val="both"/>
        <w:rPr>
          <w:rFonts w:asciiTheme="majorBidi" w:hAnsiTheme="majorBidi" w:cstheme="majorBidi"/>
          <w:sz w:val="22"/>
          <w:szCs w:val="22"/>
        </w:rPr>
      </w:pPr>
    </w:p>
    <w:p w14:paraId="14FAAA51" w14:textId="77777777" w:rsidR="004C332E" w:rsidRPr="0049615A" w:rsidRDefault="004C332E" w:rsidP="0049615A">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49615A">
        <w:rPr>
          <w:rStyle w:val="normaltextrun"/>
          <w:rFonts w:eastAsiaTheme="majorEastAsia"/>
          <w:b/>
          <w:bCs/>
        </w:rPr>
        <w:t>Goals and Targets Addressed</w:t>
      </w:r>
    </w:p>
    <w:p w14:paraId="6D2A5FA2" w14:textId="77777777" w:rsidR="004C332E" w:rsidRPr="00ED7E61" w:rsidRDefault="004C332E" w:rsidP="004C332E">
      <w:pPr>
        <w:jc w:val="both"/>
        <w:rPr>
          <w:rFonts w:asciiTheme="majorBidi" w:hAnsiTheme="majorBidi" w:cstheme="majorBidi"/>
          <w:sz w:val="22"/>
          <w:szCs w:val="22"/>
        </w:rPr>
      </w:pPr>
    </w:p>
    <w:p w14:paraId="5A94C5FE" w14:textId="464B5348" w:rsidR="004C332E" w:rsidRPr="00ED7E61" w:rsidRDefault="004C332E" w:rsidP="004C332E">
      <w:pPr>
        <w:jc w:val="both"/>
        <w:rPr>
          <w:rFonts w:asciiTheme="majorBidi" w:hAnsiTheme="majorBidi" w:cstheme="majorBidi"/>
          <w:sz w:val="22"/>
          <w:szCs w:val="22"/>
        </w:rPr>
      </w:pPr>
      <w:r w:rsidRPr="00ED7E61">
        <w:rPr>
          <w:rFonts w:asciiTheme="majorBidi" w:hAnsiTheme="majorBidi" w:cstheme="majorBidi"/>
          <w:sz w:val="22"/>
          <w:szCs w:val="22"/>
        </w:rPr>
        <w:t>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p w14:paraId="187C9411" w14:textId="77777777" w:rsidR="004C332E" w:rsidRPr="0049615A" w:rsidRDefault="004C332E" w:rsidP="0049615A">
      <w:pPr>
        <w:pStyle w:val="paragraph"/>
        <w:pBdr>
          <w:bottom w:val="single" w:sz="4" w:space="1" w:color="000000"/>
        </w:pBdr>
        <w:spacing w:before="0" w:beforeAutospacing="0" w:after="0" w:afterAutospacing="0"/>
        <w:textAlignment w:val="baseline"/>
        <w:rPr>
          <w:rStyle w:val="normaltextrun"/>
          <w:rFonts w:eastAsiaTheme="majorEastAsia"/>
          <w:b/>
          <w:bCs/>
        </w:rPr>
      </w:pPr>
      <w:r w:rsidRPr="0049615A">
        <w:rPr>
          <w:rStyle w:val="normaltextrun"/>
          <w:rFonts w:eastAsiaTheme="majorEastAsia"/>
          <w:b/>
          <w:bCs/>
        </w:rPr>
        <w:t>Rationale</w:t>
      </w:r>
    </w:p>
    <w:p w14:paraId="7E490E23" w14:textId="77777777" w:rsidR="004C332E" w:rsidRPr="00ED7E61" w:rsidRDefault="004C332E" w:rsidP="004C332E">
      <w:pPr>
        <w:pStyle w:val="CBDNormalNumber"/>
        <w:numPr>
          <w:ilvl w:val="0"/>
          <w:numId w:val="78"/>
        </w:numPr>
        <w:tabs>
          <w:tab w:val="clear" w:pos="1701"/>
        </w:tabs>
        <w:ind w:left="567" w:hanging="24"/>
        <w:rPr>
          <w:rFonts w:asciiTheme="majorBidi" w:hAnsiTheme="majorBidi" w:cstheme="majorBidi"/>
        </w:rPr>
      </w:pPr>
      <w:r w:rsidRPr="00ED7E61">
        <w:t>Climate</w:t>
      </w:r>
      <w:r w:rsidRPr="00ED7E61">
        <w:rPr>
          <w:rFonts w:asciiTheme="majorBidi" w:hAnsiTheme="majorBidi" w:cstheme="majorBidi"/>
        </w:rPr>
        <w:t xml:space="preserve"> change is one of the main direct drivers of biodiversity loss. In addition to climate change, rising atmospheric carbon dioxide concentrations have also resulted in ocean acidification. Seawater pH can be further reduced by other processes, such as the decomposition of organic material, aspects of nitrogen cycling and inputs of acidic pollutants. Various mitigation, adaptation and disaster risk reduction measures, including nature-based solutions and/or ecosystem-based approaches, have the potential to increase the resilience of ecosystems and human livelihoods to the impacts of climate change and ocean acidification, including reducing emissions from deforestation and other land-use changes, managing inputs of organic material and nutrients to the marine environment and by enhancing natural carbon sinks. These approaches can also deliver numerous social, economic and environmental co-benefits. </w:t>
      </w:r>
    </w:p>
    <w:p w14:paraId="53B05D3C" w14:textId="77777777" w:rsidR="004C332E" w:rsidRPr="00181CB0" w:rsidRDefault="004C332E" w:rsidP="004C332E">
      <w:pPr>
        <w:pStyle w:val="CBDNormalNumber"/>
        <w:numPr>
          <w:ilvl w:val="0"/>
          <w:numId w:val="78"/>
        </w:numPr>
        <w:ind w:left="567" w:firstLine="0"/>
      </w:pPr>
      <w:r w:rsidRPr="00ED7E61">
        <w:t xml:space="preserve">However, while some climate actions have demonstrated beneficial effects on biodiversity (e.g. increased habitat availability from tree planting or mangrove and seagrass restoration) others </w:t>
      </w:r>
      <w:r>
        <w:t>can</w:t>
      </w:r>
      <w:r w:rsidRPr="00ED7E61">
        <w:t xml:space="preserve"> have strongly negative effects (e.g. terrestrial or deep-sea mining for rare metals currently used in electric batteries). </w:t>
      </w:r>
      <w:r>
        <w:t>S</w:t>
      </w:r>
      <w:r w:rsidRPr="00ED7E61">
        <w:t>ome proposed climate mitigation strategies, such as marine Carbon Dioxide Removal (</w:t>
      </w:r>
      <w:proofErr w:type="spellStart"/>
      <w:r w:rsidRPr="00ED7E61">
        <w:t>mCDR</w:t>
      </w:r>
      <w:proofErr w:type="spellEnd"/>
      <w:r w:rsidRPr="00ED7E61">
        <w:t xml:space="preserve">), </w:t>
      </w:r>
      <w:r>
        <w:t xml:space="preserve">also </w:t>
      </w:r>
      <w:r w:rsidRPr="00ED7E61">
        <w:t>have the potential to exacerbate the scale and rate of ocean acidification. Therefore, it is important to ensure that negative impacts of climate action on biodiversity are avoided as much as possible whilst positive impacts are promoted. Therefore, policies to fight climate change and ocean acidification must be considerate of biodiversity. As such, this indicator tracks progress towards the national implementation of policies that reduce the impact of climate change and ocean acidification on biodiversity whilst minimizing negative impacts and fostering positive impacts of climate action on biodiversity.</w:t>
      </w:r>
    </w:p>
    <w:p w14:paraId="2FF59ED7" w14:textId="6CC565E0" w:rsidR="004C332E" w:rsidRPr="0049615A" w:rsidRDefault="004C332E" w:rsidP="0049615A">
      <w:pPr>
        <w:pStyle w:val="paragraph"/>
        <w:pBdr>
          <w:bottom w:val="single" w:sz="4" w:space="1" w:color="000000"/>
        </w:pBdr>
        <w:spacing w:before="0" w:beforeAutospacing="0" w:after="0" w:afterAutospacing="0"/>
        <w:textAlignment w:val="baseline"/>
        <w:rPr>
          <w:rStyle w:val="normaltextrun"/>
          <w:rFonts w:eastAsiaTheme="majorEastAsia"/>
          <w:b/>
          <w:bCs/>
        </w:rPr>
      </w:pPr>
      <w:r w:rsidRPr="0049615A">
        <w:rPr>
          <w:rStyle w:val="normaltextrun"/>
          <w:rFonts w:eastAsiaTheme="majorEastAsia"/>
          <w:b/>
          <w:bCs/>
        </w:rPr>
        <w:t xml:space="preserve">Definitions Concepts </w:t>
      </w:r>
      <w:r w:rsidR="001873C0" w:rsidRPr="0049615A">
        <w:rPr>
          <w:rStyle w:val="normaltextrun"/>
          <w:rFonts w:eastAsiaTheme="majorEastAsia"/>
          <w:b/>
          <w:bCs/>
        </w:rPr>
        <w:t>a</w:t>
      </w:r>
      <w:r w:rsidRPr="0049615A">
        <w:rPr>
          <w:rStyle w:val="normaltextrun"/>
          <w:rFonts w:eastAsiaTheme="majorEastAsia"/>
          <w:b/>
          <w:bCs/>
        </w:rPr>
        <w:t>nd Classifications</w:t>
      </w:r>
    </w:p>
    <w:p w14:paraId="074B167B"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Adaptation: Adjustment in natural or human systems in response to actual or expected climatic stimuli or their effects, which moderates harm or exploits beneficial opportunities.</w:t>
      </w:r>
    </w:p>
    <w:p w14:paraId="66AA31FD"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 xml:space="preserve">Mitigation: A human intervention to reduce the drivers of climate change and ocean </w:t>
      </w:r>
      <w:proofErr w:type="gramStart"/>
      <w:r w:rsidRPr="00ED7E61">
        <w:rPr>
          <w:rFonts w:asciiTheme="majorBidi" w:hAnsiTheme="majorBidi" w:cstheme="majorBidi"/>
        </w:rPr>
        <w:t>acidification, or</w:t>
      </w:r>
      <w:proofErr w:type="gramEnd"/>
      <w:r w:rsidRPr="00ED7E61">
        <w:rPr>
          <w:rFonts w:asciiTheme="majorBidi" w:hAnsiTheme="majorBidi" w:cstheme="majorBidi"/>
        </w:rPr>
        <w:t xml:space="preserve"> enhance the sinks of greenhouse gases.</w:t>
      </w:r>
    </w:p>
    <w:p w14:paraId="2A4CB7CA"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 xml:space="preserve">Disaster risk reduction: The concept and practice of reducing disaster risks through systematic efforts to </w:t>
      </w:r>
      <w:proofErr w:type="spellStart"/>
      <w:r w:rsidRPr="00ED7E61">
        <w:rPr>
          <w:rFonts w:asciiTheme="majorBidi" w:hAnsiTheme="majorBidi" w:cstheme="majorBidi"/>
        </w:rPr>
        <w:t>analyze</w:t>
      </w:r>
      <w:proofErr w:type="spellEnd"/>
      <w:r w:rsidRPr="00ED7E61">
        <w:rPr>
          <w:rFonts w:asciiTheme="majorBidi" w:hAnsiTheme="majorBidi" w:cstheme="majorBidi"/>
        </w:rPr>
        <w:t xml:space="preserve"> and manage the causal factors of disasters, including through reduced exposure to hazards, lessened vulnerability of people and property, evidence-based management of land and the environment, and improved preparedness for adverse events.</w:t>
      </w:r>
    </w:p>
    <w:p w14:paraId="5C33840B"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 xml:space="preserve">Climate change:  The United Nations Framework Convention on Climate Change (UNFCCC), in its Article 1, defines climate change as: </w:t>
      </w:r>
      <w:r>
        <w:rPr>
          <w:rFonts w:asciiTheme="majorBidi" w:hAnsiTheme="majorBidi" w:cstheme="majorBidi"/>
        </w:rPr>
        <w:t>“</w:t>
      </w:r>
      <w:r w:rsidRPr="00FB1598">
        <w:rPr>
          <w:rFonts w:asciiTheme="majorBidi" w:hAnsiTheme="majorBidi" w:cstheme="majorBidi"/>
          <w:i/>
          <w:iCs/>
        </w:rPr>
        <w:t>a change of climate which is attributed directly or indirectly to human activity that alters the composition of the global atmosphere and which is in addition to natural climate variability observed over comparable time periods</w:t>
      </w:r>
      <w:r>
        <w:rPr>
          <w:rFonts w:asciiTheme="majorBidi" w:hAnsiTheme="majorBidi" w:cstheme="majorBidi"/>
        </w:rPr>
        <w:t>”</w:t>
      </w:r>
      <w:r w:rsidRPr="00ED7E61">
        <w:rPr>
          <w:rFonts w:asciiTheme="majorBidi" w:hAnsiTheme="majorBidi" w:cstheme="majorBidi"/>
        </w:rPr>
        <w:t xml:space="preserve">. </w:t>
      </w:r>
    </w:p>
    <w:p w14:paraId="3F5D74A9"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lastRenderedPageBreak/>
        <w:t xml:space="preserve">Ocean acidification: Ongoing reduction in the pH of the ocean, caused primarily by the uptake of carbon dioxide (CO2) from the atmosphere, but can also be exacerbated by local processes, such as the decomposition of organic material, microbial processes involved in nitrogen cycling and acidic wastewater discharge. </w:t>
      </w:r>
    </w:p>
    <w:p w14:paraId="7F5148FD"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 xml:space="preserve">Minimize the impact of climate change and ocean acidification on biodiversity: This requires action to reduce the severity and rate of climate change and ocean acidification by reducing greenhouse gas emissions and managing any additional local factors or drivers. It also requires action to increase the resilience to, or reduce the sensitivity of, biodiversity to the effects of climate change and ocean acidification. These actions may include nature-based solutions and ecosystem-based approaches, as well as considerations such as the siting of protected and conserved areas and species recovery programmes to </w:t>
      </w:r>
      <w:proofErr w:type="gramStart"/>
      <w:r w:rsidRPr="00ED7E61">
        <w:rPr>
          <w:rFonts w:asciiTheme="majorBidi" w:hAnsiTheme="majorBidi" w:cstheme="majorBidi"/>
        </w:rPr>
        <w:t>take into account</w:t>
      </w:r>
      <w:proofErr w:type="gramEnd"/>
      <w:r w:rsidRPr="00ED7E61">
        <w:rPr>
          <w:rFonts w:asciiTheme="majorBidi" w:hAnsiTheme="majorBidi" w:cstheme="majorBidi"/>
        </w:rPr>
        <w:t xml:space="preserve"> climate change and ocean acidification.</w:t>
      </w:r>
    </w:p>
    <w:p w14:paraId="6C6A0AB1"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 xml:space="preserve">Minimizing negative and fostering positive impacts of climate action on biodiversity: While efforts and activities to address climate change could have the potential to generate significant positive impacts on biodiversity and those dependent on it, they could also unintentionally result in negative impacts if they are not appropriately designed and implemented. The potential benefits for, and risks to, biodiversity from specific climate actions should be assessed and understood prior to implementation. Once implemented, climate action should include effective monitoring, reporting and verification procedures. Taking into consideration biodiversity when designing, implementing and monitoring climate change adaptation and mitigation activities, can both deliver multiple benefits, </w:t>
      </w:r>
      <w:proofErr w:type="gramStart"/>
      <w:r w:rsidRPr="00ED7E61">
        <w:rPr>
          <w:rFonts w:asciiTheme="majorBidi" w:hAnsiTheme="majorBidi" w:cstheme="majorBidi"/>
        </w:rPr>
        <w:t>and also</w:t>
      </w:r>
      <w:proofErr w:type="gramEnd"/>
      <w:r w:rsidRPr="00ED7E61">
        <w:rPr>
          <w:rFonts w:asciiTheme="majorBidi" w:hAnsiTheme="majorBidi" w:cstheme="majorBidi"/>
        </w:rPr>
        <w:t xml:space="preserve"> contribute to avoiding negative impacts of the activities on biodiversity and ecosystems.</w:t>
      </w:r>
    </w:p>
    <w:p w14:paraId="3B292103"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Climate action: Climate action refers to efforts taken to combat climate change and its impacts. These efforts include, but are not limited to, reducing greenhouse gas emissions to the atmosphere, reducing concentrations of greenhouse gasses in the atmosphere or ocean (reversing the associated effects of greenhouse gases (e.g. by enhancing ocean alkalinity), and/or taking action to build resilience or promote adaptation.</w:t>
      </w:r>
    </w:p>
    <w:p w14:paraId="33E43B8B"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 xml:space="preserve">Resilience: The capacity of a system to absorb disturbance and reorganize while undergoing change </w:t>
      </w:r>
      <w:proofErr w:type="gramStart"/>
      <w:r w:rsidRPr="00ED7E61">
        <w:rPr>
          <w:rFonts w:asciiTheme="majorBidi" w:hAnsiTheme="majorBidi" w:cstheme="majorBidi"/>
        </w:rPr>
        <w:t>so as to</w:t>
      </w:r>
      <w:proofErr w:type="gramEnd"/>
      <w:r w:rsidRPr="00ED7E61">
        <w:rPr>
          <w:rFonts w:asciiTheme="majorBidi" w:hAnsiTheme="majorBidi" w:cstheme="majorBidi"/>
        </w:rPr>
        <w:t xml:space="preserve"> still retain essentially the same function, structure, identity, and </w:t>
      </w:r>
      <w:proofErr w:type="gramStart"/>
      <w:r w:rsidRPr="00ED7E61">
        <w:rPr>
          <w:rFonts w:asciiTheme="majorBidi" w:hAnsiTheme="majorBidi" w:cstheme="majorBidi"/>
        </w:rPr>
        <w:t>feedbacks</w:t>
      </w:r>
      <w:proofErr w:type="gramEnd"/>
      <w:r w:rsidRPr="00ED7E61">
        <w:rPr>
          <w:rFonts w:asciiTheme="majorBidi" w:hAnsiTheme="majorBidi" w:cstheme="majorBidi"/>
        </w:rPr>
        <w:t xml:space="preserve"> (Walker et al. 2004). A concept initially developed and applied in ecology, which progressively gained usage in the social and environmental sciences.</w:t>
      </w:r>
    </w:p>
    <w:p w14:paraId="55CD19F6" w14:textId="77777777" w:rsidR="004C332E" w:rsidRPr="0049615A" w:rsidRDefault="004C332E" w:rsidP="0049615A">
      <w:pPr>
        <w:pStyle w:val="paragraph"/>
        <w:pBdr>
          <w:bottom w:val="single" w:sz="4" w:space="1" w:color="000000"/>
        </w:pBdr>
        <w:spacing w:before="0" w:beforeAutospacing="0" w:after="0" w:afterAutospacing="0"/>
        <w:textAlignment w:val="baseline"/>
        <w:rPr>
          <w:rStyle w:val="normaltextrun"/>
          <w:rFonts w:eastAsiaTheme="majorEastAsia"/>
          <w:b/>
          <w:bCs/>
        </w:rPr>
      </w:pPr>
      <w:r w:rsidRPr="0049615A">
        <w:rPr>
          <w:rStyle w:val="normaltextrun"/>
          <w:rFonts w:eastAsiaTheme="majorEastAsia"/>
          <w:b/>
          <w:bCs/>
        </w:rPr>
        <w:t>Method of Computation</w:t>
      </w:r>
    </w:p>
    <w:p w14:paraId="3869E3BC"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This indicator is a binary indicator and must be compiled from the answers to nine questions:</w:t>
      </w:r>
    </w:p>
    <w:p w14:paraId="51527651"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8.1 Does your country’s national biodiversity strategy and action plan include actions to prevent or minimize the impacts of the following (select all that apply)</w:t>
      </w:r>
    </w:p>
    <w:p w14:paraId="6391E527"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8.2 Do your country’s climate change policies address the impacts of climate change on biodiversity?</w:t>
      </w:r>
    </w:p>
    <w:p w14:paraId="6F11004D"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8.3 Do your country’s other policies address the impacts of climate change on biodiversity? </w:t>
      </w:r>
    </w:p>
    <w:p w14:paraId="7A4582D4"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8.4 Do your country’s other policies address the impacts of ocean acidification on biodiversity?</w:t>
      </w:r>
    </w:p>
    <w:p w14:paraId="57B8FEC4"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rFonts w:asciiTheme="majorBidi" w:hAnsiTheme="majorBidi" w:cstheme="majorBidi"/>
          <w:color w:val="000000"/>
          <w:shd w:val="clear" w:color="auto" w:fill="FFFFFF"/>
        </w:rPr>
      </w:pPr>
      <w:r w:rsidRPr="00ED7E61">
        <w:t xml:space="preserve">8.5 </w:t>
      </w:r>
      <w:r w:rsidRPr="00ED7E61">
        <w:rPr>
          <w:rStyle w:val="normaltextrun"/>
          <w:rFonts w:asciiTheme="majorBidi" w:hAnsiTheme="majorBidi"/>
          <w:color w:val="000000"/>
          <w:shd w:val="clear" w:color="auto" w:fill="FFFFFF"/>
        </w:rPr>
        <w:t xml:space="preserve">Are </w:t>
      </w:r>
      <w:r w:rsidRPr="00ED7E61">
        <w:rPr>
          <w:rStyle w:val="normaltextrun"/>
          <w:rFonts w:asciiTheme="majorBidi" w:hAnsiTheme="majorBidi" w:cstheme="majorBidi"/>
          <w:color w:val="000000" w:themeColor="text1"/>
        </w:rPr>
        <w:t>the impacts of climate</w:t>
      </w:r>
      <w:r w:rsidRPr="00ED7E61">
        <w:rPr>
          <w:rStyle w:val="normaltextrun"/>
          <w:rFonts w:asciiTheme="majorBidi" w:hAnsiTheme="majorBidi"/>
          <w:color w:val="000000" w:themeColor="text1"/>
        </w:rPr>
        <w:t xml:space="preserve"> change </w:t>
      </w:r>
      <w:r w:rsidRPr="00ED7E61">
        <w:rPr>
          <w:rStyle w:val="normaltextrun"/>
          <w:rFonts w:asciiTheme="majorBidi" w:hAnsiTheme="majorBidi"/>
          <w:color w:val="000000"/>
          <w:shd w:val="clear" w:color="auto" w:fill="FFFFFF"/>
        </w:rPr>
        <w:t>on biodiversity</w:t>
      </w:r>
      <w:r w:rsidRPr="00ED7E61">
        <w:rPr>
          <w:rStyle w:val="normaltextrun"/>
          <w:rFonts w:asciiTheme="majorBidi" w:hAnsiTheme="majorBidi" w:cstheme="majorBidi"/>
          <w:color w:val="000000"/>
          <w:shd w:val="clear" w:color="auto" w:fill="FFFFFF"/>
        </w:rPr>
        <w:t xml:space="preserve"> monitored and reported on?</w:t>
      </w:r>
    </w:p>
    <w:p w14:paraId="6F1299DD"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rFonts w:asciiTheme="majorBidi" w:hAnsiTheme="majorBidi" w:cstheme="majorBidi"/>
          <w:color w:val="000000"/>
          <w:shd w:val="clear" w:color="auto" w:fill="FFFFFF"/>
        </w:rPr>
      </w:pPr>
      <w:r w:rsidRPr="00ED7E61">
        <w:rPr>
          <w:lang w:val="en-US"/>
        </w:rPr>
        <w:t xml:space="preserve">8.6 </w:t>
      </w:r>
      <w:r w:rsidRPr="00ED7E61">
        <w:rPr>
          <w:rStyle w:val="normaltextrun"/>
          <w:rFonts w:asciiTheme="majorBidi" w:hAnsiTheme="majorBidi"/>
          <w:color w:val="000000"/>
          <w:shd w:val="clear" w:color="auto" w:fill="FFFFFF"/>
        </w:rPr>
        <w:t xml:space="preserve">Are </w:t>
      </w:r>
      <w:r w:rsidRPr="00ED7E61">
        <w:rPr>
          <w:rStyle w:val="normaltextrun"/>
          <w:rFonts w:asciiTheme="majorBidi" w:hAnsiTheme="majorBidi" w:cstheme="majorBidi"/>
          <w:color w:val="000000" w:themeColor="text1"/>
        </w:rPr>
        <w:t>the impacts of ocean acidification</w:t>
      </w:r>
      <w:r w:rsidRPr="00ED7E61">
        <w:rPr>
          <w:rStyle w:val="normaltextrun"/>
          <w:rFonts w:asciiTheme="majorBidi" w:hAnsiTheme="majorBidi"/>
          <w:color w:val="000000" w:themeColor="text1"/>
        </w:rPr>
        <w:t xml:space="preserve"> </w:t>
      </w:r>
      <w:r w:rsidRPr="00ED7E61">
        <w:rPr>
          <w:rStyle w:val="normaltextrun"/>
          <w:rFonts w:asciiTheme="majorBidi" w:hAnsiTheme="majorBidi"/>
          <w:color w:val="000000"/>
          <w:shd w:val="clear" w:color="auto" w:fill="FFFFFF"/>
        </w:rPr>
        <w:t>on biodiversity</w:t>
      </w:r>
      <w:r w:rsidRPr="00ED7E61">
        <w:rPr>
          <w:rStyle w:val="normaltextrun"/>
          <w:rFonts w:asciiTheme="majorBidi" w:hAnsiTheme="majorBidi" w:cstheme="majorBidi"/>
          <w:color w:val="000000"/>
          <w:shd w:val="clear" w:color="auto" w:fill="FFFFFF"/>
        </w:rPr>
        <w:t xml:space="preserve"> monitored and reported on?</w:t>
      </w:r>
    </w:p>
    <w:p w14:paraId="37A5AC5F"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rFonts w:asciiTheme="majorBidi" w:hAnsiTheme="majorBidi" w:cstheme="majorBidi"/>
          <w:color w:val="000000"/>
          <w:shd w:val="clear" w:color="auto" w:fill="FFFFFF"/>
        </w:rPr>
      </w:pPr>
      <w:r w:rsidRPr="00ED7E61">
        <w:rPr>
          <w:rStyle w:val="normaltextrun"/>
          <w:rFonts w:asciiTheme="majorBidi" w:hAnsiTheme="majorBidi" w:cstheme="majorBidi"/>
          <w:color w:val="000000"/>
          <w:shd w:val="clear" w:color="auto" w:fill="FFFFFF"/>
        </w:rPr>
        <w:t xml:space="preserve">8.7 </w:t>
      </w:r>
      <w:r w:rsidRPr="00ED7E61">
        <w:rPr>
          <w:rStyle w:val="normaltextrun"/>
          <w:rFonts w:asciiTheme="majorBidi" w:hAnsiTheme="majorBidi" w:cstheme="majorBidi"/>
        </w:rPr>
        <w:t xml:space="preserve">Do your country’s policies or action plans </w:t>
      </w:r>
      <w:r w:rsidRPr="00ED7E61">
        <w:rPr>
          <w:rStyle w:val="normaltextrun"/>
          <w:rFonts w:asciiTheme="majorBidi" w:hAnsiTheme="majorBidi"/>
          <w:color w:val="000000" w:themeColor="text1"/>
        </w:rPr>
        <w:t xml:space="preserve">on the impact of climate change and ocean acidification </w:t>
      </w:r>
      <w:r w:rsidRPr="00ED7E61">
        <w:rPr>
          <w:rStyle w:val="normaltextrun"/>
          <w:rFonts w:asciiTheme="majorBidi" w:hAnsiTheme="majorBidi" w:cstheme="majorBidi"/>
        </w:rPr>
        <w:t>contain the following types of actions designed to increase biodiversity resilience or reduce impacts (s</w:t>
      </w:r>
      <w:r w:rsidRPr="00ED7E61">
        <w:rPr>
          <w:rStyle w:val="normaltextrun"/>
          <w:rFonts w:asciiTheme="majorBidi" w:hAnsiTheme="majorBidi" w:cstheme="majorBidi"/>
          <w:color w:val="000000"/>
          <w:shd w:val="clear" w:color="auto" w:fill="FFFFFF"/>
        </w:rPr>
        <w:t>elect all that apply)</w:t>
      </w:r>
    </w:p>
    <w:p w14:paraId="69D2805E"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rFonts w:asciiTheme="majorBidi" w:hAnsiTheme="majorBidi" w:cstheme="majorBidi"/>
          <w:color w:val="000000" w:themeColor="text1"/>
        </w:rPr>
      </w:pPr>
      <w:r w:rsidRPr="00ED7E61">
        <w:rPr>
          <w:rStyle w:val="normaltextrun"/>
          <w:rFonts w:asciiTheme="majorBidi" w:hAnsiTheme="majorBidi" w:cstheme="majorBidi"/>
          <w:color w:val="000000"/>
          <w:shd w:val="clear" w:color="auto" w:fill="FFFFFF"/>
        </w:rPr>
        <w:lastRenderedPageBreak/>
        <w:t xml:space="preserve">8.8 </w:t>
      </w:r>
      <w:r w:rsidRPr="00ED7E61">
        <w:rPr>
          <w:rStyle w:val="normaltextrun"/>
          <w:rFonts w:asciiTheme="majorBidi" w:hAnsiTheme="majorBidi" w:cstheme="majorBidi"/>
          <w:color w:val="000000" w:themeColor="text1"/>
        </w:rPr>
        <w:t>Are measures included in your country’s policies or actions plans to minimize the negative impacts of climate actions on biodiversity?</w:t>
      </w:r>
    </w:p>
    <w:p w14:paraId="4B937768"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lang w:val="en-US"/>
        </w:rPr>
      </w:pPr>
      <w:r w:rsidRPr="00ED7E61">
        <w:rPr>
          <w:rStyle w:val="normaltextrun"/>
          <w:rFonts w:asciiTheme="majorBidi" w:hAnsiTheme="majorBidi" w:cstheme="majorBidi"/>
          <w:color w:val="000000" w:themeColor="text1"/>
        </w:rPr>
        <w:t>8.9 Are measures included in your country’s policies or actions plans to foster positive impacts of climate actions on biodiversity?</w:t>
      </w:r>
    </w:p>
    <w:p w14:paraId="7358A1C7"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There are three possible answers to question 8.1</w:t>
      </w:r>
      <w:r w:rsidRPr="00ED7E61">
        <w:rPr>
          <w:rStyle w:val="FootnoteReference"/>
          <w:rFonts w:asciiTheme="majorBidi" w:hAnsiTheme="majorBidi" w:cstheme="majorBidi"/>
        </w:rPr>
        <w:footnoteReference w:id="26"/>
      </w:r>
      <w:r w:rsidRPr="00ED7E61">
        <w:rPr>
          <w:rFonts w:asciiTheme="majorBidi" w:hAnsiTheme="majorBidi" w:cstheme="majorBidi"/>
        </w:rPr>
        <w:t>:</w:t>
      </w:r>
    </w:p>
    <w:p w14:paraId="2A4336B2"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color w:val="000000"/>
          <w:shd w:val="clear" w:color="auto" w:fill="FFFFFF"/>
        </w:rPr>
      </w:pPr>
      <w:r w:rsidRPr="00ED7E61">
        <w:rPr>
          <w:rStyle w:val="normaltextrun"/>
          <w:color w:val="000000"/>
          <w:shd w:val="clear" w:color="auto" w:fill="FFFFFF"/>
        </w:rPr>
        <w:t>Climate change</w:t>
      </w:r>
    </w:p>
    <w:p w14:paraId="6F96179D"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color w:val="000000"/>
          <w:shd w:val="clear" w:color="auto" w:fill="FFFFFF"/>
        </w:rPr>
      </w:pPr>
      <w:r w:rsidRPr="00ED7E61">
        <w:rPr>
          <w:rStyle w:val="normaltextrun"/>
          <w:color w:val="000000"/>
          <w:shd w:val="clear" w:color="auto" w:fill="FFFFFF"/>
        </w:rPr>
        <w:t>Ocean acidification</w:t>
      </w:r>
    </w:p>
    <w:p w14:paraId="6C14D0C7"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color w:val="000000"/>
          <w:shd w:val="clear" w:color="auto" w:fill="FFFFFF"/>
        </w:rPr>
      </w:pPr>
      <w:r w:rsidRPr="00ED7E61">
        <w:rPr>
          <w:rStyle w:val="normaltextrun"/>
          <w:color w:val="000000"/>
          <w:shd w:val="clear" w:color="auto" w:fill="FFFFFF"/>
        </w:rPr>
        <w:t>None of the above</w:t>
      </w:r>
    </w:p>
    <w:p w14:paraId="759A4E1D"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Each of the answers here is to be chosen using a “</w:t>
      </w:r>
      <w:r w:rsidRPr="00FB1598">
        <w:rPr>
          <w:rFonts w:asciiTheme="majorBidi" w:hAnsiTheme="majorBidi" w:cstheme="majorBidi"/>
          <w:i/>
          <w:iCs/>
        </w:rPr>
        <w:t>select all that apply</w:t>
      </w:r>
      <w:r w:rsidRPr="00ED7E61">
        <w:rPr>
          <w:rFonts w:asciiTheme="majorBidi" w:hAnsiTheme="majorBidi" w:cstheme="majorBidi"/>
        </w:rPr>
        <w:t>” approach. Namely, if a country’s national biodiversity strategy and action plan (NBSAP) includes actions to prevent or minimize the impact of climate change and/or ocean acidification then select the option to which these apply. In other words, select each option for which the answer to 8.1 is “</w:t>
      </w:r>
      <w:r w:rsidRPr="00FB1598">
        <w:rPr>
          <w:rFonts w:asciiTheme="majorBidi" w:hAnsiTheme="majorBidi" w:cstheme="majorBidi"/>
          <w:i/>
          <w:iCs/>
        </w:rPr>
        <w:t>Yes</w:t>
      </w:r>
      <w:r w:rsidRPr="00ED7E61">
        <w:rPr>
          <w:rFonts w:asciiTheme="majorBidi" w:hAnsiTheme="majorBidi" w:cstheme="majorBidi"/>
        </w:rPr>
        <w:t>”. If the NBSAP does not include actions to prevent or minimize the impact of neither climate change nor ocean acidification select “</w:t>
      </w:r>
      <w:r w:rsidRPr="00FB1598">
        <w:rPr>
          <w:rFonts w:asciiTheme="majorBidi" w:hAnsiTheme="majorBidi" w:cstheme="majorBidi"/>
          <w:i/>
          <w:iCs/>
        </w:rPr>
        <w:t>None of the above</w:t>
      </w:r>
      <w:r w:rsidRPr="00ED7E61">
        <w:rPr>
          <w:rFonts w:asciiTheme="majorBidi" w:hAnsiTheme="majorBidi" w:cstheme="majorBidi"/>
        </w:rPr>
        <w:t>”. In this question, it is understood that an NBSAP exists, it has been adopted and it meets the criteria for 8.1. Note that if a country is landlocked, answer (b) is deemed not applicable.</w:t>
      </w:r>
    </w:p>
    <w:p w14:paraId="3BB39710" w14:textId="77777777" w:rsidR="004C332E" w:rsidRPr="00ED7E61" w:rsidRDefault="004C332E" w:rsidP="004C332E">
      <w:pPr>
        <w:pStyle w:val="CBDNormalNumber"/>
        <w:numPr>
          <w:ilvl w:val="0"/>
          <w:numId w:val="78"/>
        </w:numPr>
        <w:ind w:left="567" w:firstLine="0"/>
        <w:rPr>
          <w:rFonts w:asciiTheme="majorBidi" w:hAnsiTheme="majorBidi" w:cstheme="majorBidi"/>
        </w:rPr>
      </w:pPr>
      <w:r w:rsidRPr="00ED7E61">
        <w:rPr>
          <w:rFonts w:asciiTheme="majorBidi" w:hAnsiTheme="majorBidi" w:cstheme="majorBidi"/>
        </w:rPr>
        <w:t>There are four possible answers to questions 8.2, 8.3, 8.4, 8.5, 8.6, 8.8 and 8.9</w:t>
      </w:r>
      <w:r w:rsidRPr="00ED7E61">
        <w:rPr>
          <w:rStyle w:val="FootnoteReference"/>
          <w:rFonts w:asciiTheme="majorBidi" w:hAnsiTheme="majorBidi" w:cstheme="majorBidi"/>
        </w:rPr>
        <w:footnoteReference w:id="27"/>
      </w:r>
      <w:r w:rsidRPr="00ED7E61">
        <w:rPr>
          <w:rFonts w:asciiTheme="majorBidi" w:hAnsiTheme="majorBidi" w:cstheme="majorBidi"/>
        </w:rPr>
        <w:t>:</w:t>
      </w:r>
    </w:p>
    <w:p w14:paraId="73B70345"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No</w:t>
      </w:r>
    </w:p>
    <w:p w14:paraId="4F0572B0"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Under development</w:t>
      </w:r>
    </w:p>
    <w:p w14:paraId="1F0DB743"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Partially</w:t>
      </w:r>
    </w:p>
    <w:p w14:paraId="6C3C3956"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Fully</w:t>
      </w:r>
    </w:p>
    <w:p w14:paraId="5D709AB1" w14:textId="77777777" w:rsidR="004C332E" w:rsidRPr="00ED7E61" w:rsidRDefault="004C332E" w:rsidP="004C332E">
      <w:pPr>
        <w:pStyle w:val="CBDNormalNumber"/>
        <w:numPr>
          <w:ilvl w:val="0"/>
          <w:numId w:val="78"/>
        </w:numPr>
        <w:ind w:left="567" w:firstLine="0"/>
        <w:rPr>
          <w:rFonts w:asciiTheme="majorBidi" w:hAnsiTheme="majorBidi" w:cstheme="majorBidi"/>
          <w:lang w:val="en-US"/>
        </w:rPr>
      </w:pPr>
      <w:r w:rsidRPr="00ED7E61">
        <w:rPr>
          <w:rFonts w:asciiTheme="majorBidi" w:hAnsiTheme="majorBidi" w:cstheme="majorBidi"/>
          <w:color w:val="000000"/>
          <w:lang w:val="en-US"/>
        </w:rPr>
        <w:t>A “</w:t>
      </w:r>
      <w:r w:rsidRPr="00FB1598">
        <w:rPr>
          <w:rFonts w:asciiTheme="majorBidi" w:hAnsiTheme="majorBidi" w:cstheme="majorBidi"/>
          <w:i/>
          <w:iCs/>
          <w:color w:val="000000"/>
          <w:lang w:val="en-US"/>
        </w:rPr>
        <w:t>No</w:t>
      </w:r>
      <w:r w:rsidRPr="00ED7E61">
        <w:rPr>
          <w:rFonts w:asciiTheme="majorBidi" w:hAnsiTheme="majorBidi" w:cstheme="majorBidi"/>
          <w:color w:val="000000"/>
          <w:lang w:val="en-US"/>
        </w:rPr>
        <w:t xml:space="preserve">” answer implies that there is no mention nor consideration of the impacts of climate change on biodiversity in national policies on climate change (8.2) nor any consideration of the impacts of climate change (8.3) nor ocean acidification (8.4) on biodiversity in any other national policy. Current policy on climate change or other may be at any level of implementation (from draft to law) yet it fails to specifically address impacts on biodiversity. Additionally, no monitoring of the impacts of climate change (8.5) nor ocean acidification (8.6) on biodiversity is ongoing. Moreover, no </w:t>
      </w:r>
      <w:r w:rsidRPr="00ED7E61">
        <w:rPr>
          <w:rFonts w:asciiTheme="majorBidi" w:eastAsia="Garamond" w:hAnsiTheme="majorBidi" w:cstheme="majorBidi"/>
          <w:color w:val="000000" w:themeColor="text1"/>
        </w:rPr>
        <w:t>measures are included in national policies nor action plans to minimize negative impacts (8.8) and foster positive impacts (8.9) of climate actions on biodiversity.</w:t>
      </w:r>
    </w:p>
    <w:p w14:paraId="43EB5B48" w14:textId="77777777" w:rsidR="004C332E" w:rsidRPr="00ED7E61" w:rsidRDefault="004C332E" w:rsidP="004C332E">
      <w:pPr>
        <w:pStyle w:val="CBDNormalNumber"/>
        <w:numPr>
          <w:ilvl w:val="0"/>
          <w:numId w:val="78"/>
        </w:numPr>
        <w:ind w:left="567" w:firstLine="0"/>
        <w:rPr>
          <w:rFonts w:asciiTheme="majorBidi" w:hAnsiTheme="majorBidi" w:cstheme="majorBidi"/>
          <w:color w:val="000000" w:themeColor="text1"/>
          <w:lang w:val="en-US"/>
        </w:rPr>
      </w:pPr>
      <w:r w:rsidRPr="00ED7E61">
        <w:rPr>
          <w:rFonts w:asciiTheme="majorBidi" w:hAnsiTheme="majorBidi" w:cstheme="majorBidi"/>
          <w:color w:val="000000"/>
          <w:lang w:val="en-US"/>
        </w:rPr>
        <w:t>An “</w:t>
      </w:r>
      <w:r w:rsidRPr="00FB1598">
        <w:rPr>
          <w:rFonts w:asciiTheme="majorBidi" w:hAnsiTheme="majorBidi" w:cstheme="majorBidi"/>
          <w:i/>
          <w:iCs/>
          <w:color w:val="000000"/>
          <w:lang w:val="en-US"/>
        </w:rPr>
        <w:t>Under development</w:t>
      </w:r>
      <w:r w:rsidRPr="00ED7E61">
        <w:rPr>
          <w:rFonts w:asciiTheme="majorBidi" w:hAnsiTheme="majorBidi" w:cstheme="majorBidi"/>
          <w:color w:val="000000"/>
          <w:lang w:val="en-US"/>
        </w:rPr>
        <w:t xml:space="preserve">” answer implies a concerted effort at the national level to include the impacts of climate change on biodiversity in climate (8.2) and other policy (8.3), to include the impacts of ocean acidification on biodiversity in policy (8.4), to start monitoring and reporting on these impacts (8.5 and 8.6) or to put measures in place </w:t>
      </w:r>
      <w:r w:rsidRPr="00ED7E61">
        <w:rPr>
          <w:rFonts w:asciiTheme="majorBidi" w:eastAsia="Garamond" w:hAnsiTheme="majorBidi" w:cstheme="majorBidi"/>
          <w:color w:val="000000" w:themeColor="text1"/>
        </w:rPr>
        <w:t>to minimize negative impacts (8.8) and foster positive impacts (8.9) of climate actions on biodiversity</w:t>
      </w:r>
      <w:r w:rsidRPr="00ED7E61">
        <w:rPr>
          <w:rFonts w:asciiTheme="majorBidi" w:hAnsiTheme="majorBidi" w:cstheme="majorBidi"/>
          <w:color w:val="000000"/>
          <w:lang w:val="en-US"/>
        </w:rPr>
        <w:t>. New climate or other policy drafts including biodiversity, or amendments to current policy to include biodiversity, may have been proposed, but these have not been accepted nor implemented yet. Additionally, monitoring programs and reporting systems may be in the design phase or be completed and accepted but not resourced, and therefore have not begun. Finally, new measures to account for biodiversity in climate action may have been designed and/or proposed but not yet implemented.</w:t>
      </w:r>
    </w:p>
    <w:p w14:paraId="3719B0F9" w14:textId="77777777" w:rsidR="004C332E" w:rsidRPr="00ED7E61" w:rsidRDefault="004C332E" w:rsidP="004C332E">
      <w:pPr>
        <w:pStyle w:val="CBDNormalNumber"/>
        <w:numPr>
          <w:ilvl w:val="0"/>
          <w:numId w:val="78"/>
        </w:numPr>
        <w:ind w:left="567" w:firstLine="0"/>
        <w:rPr>
          <w:rFonts w:asciiTheme="majorBidi" w:hAnsiTheme="majorBidi" w:cstheme="majorBidi"/>
          <w:color w:val="000000"/>
          <w:lang w:val="en-US"/>
        </w:rPr>
      </w:pPr>
      <w:r w:rsidRPr="00ED7E61">
        <w:rPr>
          <w:rFonts w:asciiTheme="majorBidi" w:hAnsiTheme="majorBidi" w:cstheme="majorBidi"/>
          <w:color w:val="000000"/>
          <w:lang w:val="en-US"/>
        </w:rPr>
        <w:t>A “</w:t>
      </w:r>
      <w:r w:rsidRPr="00FB1598">
        <w:rPr>
          <w:rFonts w:asciiTheme="majorBidi" w:hAnsiTheme="majorBidi" w:cstheme="majorBidi"/>
          <w:i/>
          <w:iCs/>
          <w:color w:val="000000"/>
          <w:lang w:val="en-US"/>
        </w:rPr>
        <w:t>Partially</w:t>
      </w:r>
      <w:r w:rsidRPr="00ED7E61">
        <w:rPr>
          <w:rFonts w:asciiTheme="majorBidi" w:hAnsiTheme="majorBidi" w:cstheme="majorBidi"/>
          <w:color w:val="000000"/>
          <w:lang w:val="en-US"/>
        </w:rPr>
        <w:t xml:space="preserve">” answer implies that: </w:t>
      </w:r>
    </w:p>
    <w:p w14:paraId="6FA715CC"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lastRenderedPageBreak/>
        <w:t>a country’s climate (8.2) or other (8.3) policies address some the impacts of climate change on biodiversity but not all, or addresses all the impacts of climate change but only on some aspects of biodiversity (e.g. species diversity)</w:t>
      </w:r>
    </w:p>
    <w:p w14:paraId="77FC2F0A"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a country’s policies address some of the impacts of ocean acidification on biodiversity (8.4) but not all, or addresses all the impacts of ocean acidification but only on some aspects of biodiversity (e.g. species diversity)</w:t>
      </w:r>
    </w:p>
    <w:p w14:paraId="20A57D42"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 xml:space="preserve">some or all the impacts of climate change on some or all of biodiversity are being monitored and/or reported (8.5) </w:t>
      </w:r>
    </w:p>
    <w:p w14:paraId="07C312BD"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 xml:space="preserve">some or all the impacts of ocean acidification on some or all of biodiversity are being monitored and/or reported (8.6) </w:t>
      </w:r>
    </w:p>
    <w:p w14:paraId="61B29441"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measures are in place to minimize some of the negative impacts of climate actions on biodiversity (8.8) but not all, or to minimize all negative impacts of climate actions but only on some aspects of biodiversity (e.g. species diversity)</w:t>
      </w:r>
    </w:p>
    <w:p w14:paraId="1AEE7947"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measures are in place to foster positive impacts of climate actions on biodiversity (8.9) but not all, or to foster all positive impacts of climate actions but only on some aspects of biodiversity (e.g. species diversity)</w:t>
      </w:r>
    </w:p>
    <w:p w14:paraId="49AF4F57" w14:textId="77777777" w:rsidR="004C332E" w:rsidRPr="00ED7E61" w:rsidRDefault="004C332E" w:rsidP="004C332E">
      <w:pPr>
        <w:pStyle w:val="CBDNormalNumber"/>
        <w:numPr>
          <w:ilvl w:val="0"/>
          <w:numId w:val="78"/>
        </w:numPr>
        <w:ind w:left="567" w:firstLine="0"/>
        <w:rPr>
          <w:rFonts w:asciiTheme="majorBidi" w:hAnsiTheme="majorBidi" w:cstheme="majorBidi"/>
          <w:color w:val="000000"/>
          <w:lang w:val="en-US"/>
        </w:rPr>
      </w:pPr>
      <w:r w:rsidRPr="00ED7E61">
        <w:rPr>
          <w:rFonts w:asciiTheme="majorBidi" w:hAnsiTheme="majorBidi" w:cstheme="majorBidi"/>
          <w:color w:val="000000"/>
          <w:lang w:val="en-US"/>
        </w:rPr>
        <w:t>If any one of the cases outlined applies, only partial achievement has been reached.</w:t>
      </w:r>
    </w:p>
    <w:p w14:paraId="65839F6F" w14:textId="77777777" w:rsidR="004C332E" w:rsidRPr="00ED7E61" w:rsidRDefault="004C332E" w:rsidP="004C332E">
      <w:pPr>
        <w:pStyle w:val="CBDNormalNumber"/>
        <w:numPr>
          <w:ilvl w:val="0"/>
          <w:numId w:val="78"/>
        </w:numPr>
        <w:ind w:left="567" w:firstLine="0"/>
        <w:rPr>
          <w:rFonts w:asciiTheme="majorBidi" w:hAnsiTheme="majorBidi" w:cstheme="majorBidi"/>
          <w:color w:val="000000"/>
          <w:lang w:val="en-US"/>
        </w:rPr>
      </w:pPr>
      <w:r w:rsidRPr="00ED7E61">
        <w:rPr>
          <w:rFonts w:asciiTheme="majorBidi" w:hAnsiTheme="majorBidi" w:cstheme="majorBidi"/>
          <w:color w:val="000000"/>
          <w:lang w:val="en-US"/>
        </w:rPr>
        <w:t>A “</w:t>
      </w:r>
      <w:r w:rsidRPr="00FB1598">
        <w:rPr>
          <w:rFonts w:asciiTheme="majorBidi" w:hAnsiTheme="majorBidi" w:cstheme="majorBidi"/>
          <w:i/>
          <w:iCs/>
          <w:color w:val="000000"/>
          <w:lang w:val="en-US"/>
        </w:rPr>
        <w:t>Fully</w:t>
      </w:r>
      <w:r w:rsidRPr="00ED7E61">
        <w:rPr>
          <w:rFonts w:asciiTheme="majorBidi" w:hAnsiTheme="majorBidi" w:cstheme="majorBidi"/>
          <w:color w:val="000000"/>
          <w:lang w:val="en-US"/>
        </w:rPr>
        <w:t>” answer implies that all the conditions outlined in “</w:t>
      </w:r>
      <w:r w:rsidRPr="00FB1598">
        <w:rPr>
          <w:rFonts w:asciiTheme="majorBidi" w:hAnsiTheme="majorBidi" w:cstheme="majorBidi"/>
          <w:i/>
          <w:iCs/>
          <w:color w:val="000000"/>
          <w:lang w:val="en-US"/>
        </w:rPr>
        <w:t>Partially</w:t>
      </w:r>
      <w:r w:rsidRPr="00ED7E61">
        <w:rPr>
          <w:rFonts w:asciiTheme="majorBidi" w:hAnsiTheme="majorBidi" w:cstheme="majorBidi"/>
          <w:color w:val="000000"/>
          <w:lang w:val="en-US"/>
        </w:rPr>
        <w:t>” have been met. Namely that all the impacts of climate change on biodiversity are addressed in national climate (8.2) and other (8.3) policy, that all impacts of ocean acidification on biodiversity are addressed in national policy (8.4), that monitoring and reporting on both these impacts on biodiversity is resourced and ongoing (8.5 and 8.6) and that measures are in place to both minimize all negative impacts (8.8) and foster all positive impacts of climate actions on biodiversity (8.9).</w:t>
      </w:r>
    </w:p>
    <w:p w14:paraId="05885592" w14:textId="77777777" w:rsidR="004C332E" w:rsidRPr="00ED7E61" w:rsidRDefault="004C332E" w:rsidP="004C332E">
      <w:pPr>
        <w:pStyle w:val="CBDNormalNumber"/>
        <w:numPr>
          <w:ilvl w:val="0"/>
          <w:numId w:val="78"/>
        </w:numPr>
        <w:ind w:left="567" w:firstLine="0"/>
        <w:rPr>
          <w:rFonts w:asciiTheme="majorBidi" w:hAnsiTheme="majorBidi" w:cstheme="majorBidi"/>
          <w:color w:val="000000"/>
          <w:lang w:val="en-US"/>
        </w:rPr>
      </w:pPr>
      <w:r w:rsidRPr="00ED7E61">
        <w:rPr>
          <w:rFonts w:asciiTheme="majorBidi" w:hAnsiTheme="majorBidi" w:cstheme="majorBidi"/>
          <w:color w:val="000000"/>
          <w:lang w:val="en-US"/>
        </w:rPr>
        <w:t>There are seven possible answers to question 8.7:</w:t>
      </w:r>
    </w:p>
    <w:p w14:paraId="5A477943"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Mitigation</w:t>
      </w:r>
    </w:p>
    <w:p w14:paraId="0303D42A"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Adaptation</w:t>
      </w:r>
    </w:p>
    <w:p w14:paraId="44EEF40C"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Disaster risk reduction</w:t>
      </w:r>
    </w:p>
    <w:p w14:paraId="1E155152"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Nature-based solutions and/or ecosystem-based approaches</w:t>
      </w:r>
    </w:p>
    <w:p w14:paraId="32DD82EB"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Policies to minimize negative and foster positive impacts of climate action on biodiversity</w:t>
      </w:r>
    </w:p>
    <w:p w14:paraId="76F439D3"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Other</w:t>
      </w:r>
    </w:p>
    <w:p w14:paraId="125B464C" w14:textId="77777777" w:rsidR="004C332E" w:rsidRPr="00ED7E61" w:rsidRDefault="004C332E" w:rsidP="004C332E">
      <w:pPr>
        <w:pStyle w:val="CBDNormalNumber"/>
        <w:numPr>
          <w:ilvl w:val="1"/>
          <w:numId w:val="78"/>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None of the above</w:t>
      </w:r>
    </w:p>
    <w:p w14:paraId="52A481CA" w14:textId="77777777" w:rsidR="004C332E" w:rsidRPr="00ED7E61" w:rsidRDefault="004C332E" w:rsidP="004C332E">
      <w:pPr>
        <w:pStyle w:val="CBDNormalNumber"/>
        <w:numPr>
          <w:ilvl w:val="0"/>
          <w:numId w:val="78"/>
        </w:numPr>
        <w:ind w:left="567" w:firstLine="0"/>
        <w:rPr>
          <w:rFonts w:asciiTheme="majorBidi" w:hAnsiTheme="majorBidi" w:cstheme="majorBidi"/>
          <w:color w:val="000000"/>
          <w:lang w:val="en-US"/>
        </w:rPr>
      </w:pPr>
      <w:r w:rsidRPr="00ED7E61">
        <w:rPr>
          <w:rFonts w:asciiTheme="majorBidi" w:hAnsiTheme="majorBidi" w:cstheme="majorBidi"/>
          <w:color w:val="000000"/>
          <w:lang w:val="en-US"/>
        </w:rPr>
        <w:t>Each of the answers here is to be chosen using a “</w:t>
      </w:r>
      <w:r w:rsidRPr="00FB1598">
        <w:rPr>
          <w:rFonts w:asciiTheme="majorBidi" w:hAnsiTheme="majorBidi" w:cstheme="majorBidi"/>
          <w:i/>
          <w:iCs/>
          <w:color w:val="000000"/>
          <w:lang w:val="en-US"/>
        </w:rPr>
        <w:t>select all that apply</w:t>
      </w:r>
      <w:r w:rsidRPr="00ED7E61">
        <w:rPr>
          <w:rFonts w:asciiTheme="majorBidi" w:hAnsiTheme="majorBidi" w:cstheme="majorBidi"/>
          <w:color w:val="000000"/>
          <w:lang w:val="en-US"/>
        </w:rPr>
        <w:t>” approach. Namely, if a country’s action plans, policies or strategies on the impacts of climate change and ocean acidification contain actions on mitigation, adaptation, disaster risk reduction, nature-based solutions and/or ecosystem-based approaches, policies to minimize negative and foster positive impacts of climate action on biodiversity or other to increase biodiversity resilience or reduce impacts, then select the option(s) which apply. In other words, select each option for which the answer to 8.7 is “</w:t>
      </w:r>
      <w:r w:rsidRPr="00FB1598">
        <w:rPr>
          <w:rFonts w:asciiTheme="majorBidi" w:hAnsiTheme="majorBidi" w:cstheme="majorBidi"/>
          <w:i/>
          <w:iCs/>
          <w:color w:val="000000"/>
          <w:lang w:val="en-US"/>
        </w:rPr>
        <w:t>Yes</w:t>
      </w:r>
      <w:r w:rsidRPr="00ED7E61">
        <w:rPr>
          <w:rFonts w:asciiTheme="majorBidi" w:hAnsiTheme="majorBidi" w:cstheme="majorBidi"/>
          <w:color w:val="000000"/>
          <w:lang w:val="en-US"/>
        </w:rPr>
        <w:t>”. In the case that “</w:t>
      </w:r>
      <w:r w:rsidRPr="00FB1598">
        <w:rPr>
          <w:rFonts w:asciiTheme="majorBidi" w:hAnsiTheme="majorBidi" w:cstheme="majorBidi"/>
          <w:i/>
          <w:iCs/>
          <w:color w:val="000000"/>
          <w:lang w:val="en-US"/>
        </w:rPr>
        <w:t>Others</w:t>
      </w:r>
      <w:r w:rsidRPr="00ED7E61">
        <w:rPr>
          <w:rFonts w:asciiTheme="majorBidi" w:hAnsiTheme="majorBidi" w:cstheme="majorBidi"/>
          <w:color w:val="000000"/>
          <w:lang w:val="en-US"/>
        </w:rPr>
        <w:t>” is selected, please specify what this refers to in the free text section. If policies or action plans on the impact of climate change and ocean acidification do not contain any of the actions listed, select “</w:t>
      </w:r>
      <w:r w:rsidRPr="00FB1598">
        <w:rPr>
          <w:rFonts w:asciiTheme="majorBidi" w:hAnsiTheme="majorBidi" w:cstheme="majorBidi"/>
          <w:i/>
          <w:iCs/>
          <w:color w:val="000000"/>
          <w:lang w:val="en-US"/>
        </w:rPr>
        <w:t>None of the above</w:t>
      </w:r>
      <w:r w:rsidRPr="00ED7E61">
        <w:rPr>
          <w:rFonts w:asciiTheme="majorBidi" w:hAnsiTheme="majorBidi" w:cstheme="majorBidi"/>
          <w:color w:val="000000"/>
          <w:lang w:val="en-US"/>
        </w:rPr>
        <w:t xml:space="preserve">”. In this question, it is understood that nations have plans to tackle climate change and ocean acidification and </w:t>
      </w:r>
      <w:proofErr w:type="gramStart"/>
      <w:r w:rsidRPr="00ED7E61">
        <w:rPr>
          <w:rFonts w:asciiTheme="majorBidi" w:hAnsiTheme="majorBidi" w:cstheme="majorBidi"/>
          <w:color w:val="000000"/>
          <w:lang w:val="en-US"/>
        </w:rPr>
        <w:t>asks</w:t>
      </w:r>
      <w:proofErr w:type="gramEnd"/>
      <w:r w:rsidRPr="00ED7E61">
        <w:rPr>
          <w:rFonts w:asciiTheme="majorBidi" w:hAnsiTheme="majorBidi" w:cstheme="majorBidi"/>
          <w:color w:val="000000"/>
          <w:lang w:val="en-US"/>
        </w:rPr>
        <w:t xml:space="preserve"> whether these actions are also designed to increase biodiversity resilience or not.</w:t>
      </w:r>
    </w:p>
    <w:p w14:paraId="6BF69907" w14:textId="34E2025E" w:rsidR="0073229E" w:rsidRDefault="0073229E">
      <w:pPr>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br w:type="page"/>
      </w:r>
    </w:p>
    <w:p w14:paraId="3E58B753" w14:textId="1D172EEC" w:rsidR="0073229E" w:rsidRPr="00181CB0" w:rsidRDefault="0073229E" w:rsidP="0073229E">
      <w:pPr>
        <w:pStyle w:val="Heading3"/>
      </w:pPr>
      <w:bookmarkStart w:id="43" w:name="_Toc178285865"/>
      <w:bookmarkStart w:id="44" w:name="_Toc233278574"/>
      <w:r w:rsidRPr="00ED7E61">
        <w:lastRenderedPageBreak/>
        <w:t>9.1 Benefits from the sustainable use of wild species</w:t>
      </w:r>
      <w:bookmarkEnd w:id="43"/>
      <w:bookmarkEnd w:id="44"/>
    </w:p>
    <w:p w14:paraId="6C7DCF1B" w14:textId="77777777" w:rsidR="0073229E" w:rsidRPr="00ED7E61" w:rsidRDefault="0073229E" w:rsidP="0073229E">
      <w:pPr>
        <w:pStyle w:val="CBDNormalNumber"/>
        <w:numPr>
          <w:ilvl w:val="0"/>
          <w:numId w:val="79"/>
        </w:numPr>
        <w:tabs>
          <w:tab w:val="clear" w:pos="1701"/>
        </w:tabs>
        <w:ind w:left="567" w:firstLine="0"/>
        <w:rPr>
          <w:rFonts w:asciiTheme="majorBidi" w:hAnsiTheme="majorBidi" w:cstheme="majorBidi"/>
          <w:color w:val="000000"/>
          <w:lang w:val="en-US"/>
        </w:rPr>
      </w:pPr>
      <w:r w:rsidRPr="00ED7E61">
        <w:rPr>
          <w:rFonts w:asciiTheme="majorBidi" w:hAnsiTheme="majorBidi" w:cstheme="majorBidi"/>
          <w:color w:val="000000"/>
          <w:lang w:val="en-US"/>
        </w:rPr>
        <w:t xml:space="preserve">The monitoring framework for the Kunming-Montreal Global Biodiversity Framework (GBF) adopted by the 15th meeting of the Conference of Parties (COP 15) included a list of indicators to monitor the goals and targets of the GBF as contained in </w:t>
      </w:r>
      <w:hyperlink r:id="rId382" w:history="1">
        <w:r w:rsidRPr="00ED7E61">
          <w:rPr>
            <w:color w:val="000000"/>
            <w:lang w:val="en-US"/>
          </w:rPr>
          <w:t>decision 15/5</w:t>
        </w:r>
      </w:hyperlink>
      <w:r w:rsidRPr="00ED7E61">
        <w:rPr>
          <w:rFonts w:asciiTheme="majorBidi" w:hAnsiTheme="majorBidi" w:cstheme="majorBidi"/>
          <w:color w:val="000000"/>
          <w:lang w:val="en-US"/>
        </w:rPr>
        <w:t xml:space="preserve"> of the COP 15. This list includes the headline indicator 9.1 Benefits from the sustainable use of wild species to monitor Target 9 of the convention, namely:</w:t>
      </w:r>
    </w:p>
    <w:p w14:paraId="317F247D" w14:textId="77777777" w:rsidR="0073229E" w:rsidRPr="00ED7E61" w:rsidRDefault="0073229E" w:rsidP="0073229E">
      <w:pPr>
        <w:pStyle w:val="CBDNormalNumber"/>
        <w:tabs>
          <w:tab w:val="clear" w:pos="567"/>
          <w:tab w:val="clear" w:pos="1134"/>
          <w:tab w:val="clear" w:pos="1701"/>
          <w:tab w:val="clear" w:pos="2268"/>
          <w:tab w:val="left" w:pos="1985"/>
        </w:tabs>
        <w:ind w:left="1332"/>
        <w:rPr>
          <w:rStyle w:val="normaltextrun"/>
          <w:shd w:val="clear" w:color="auto" w:fill="FFFFFF"/>
        </w:rPr>
      </w:pPr>
      <w:r w:rsidRPr="00ED7E61">
        <w:rPr>
          <w:rStyle w:val="normaltextrun"/>
          <w:shd w:val="clear" w:color="auto" w:fill="FFFFFF"/>
        </w:rPr>
        <w:t>Target 9. Manage Wild Species Sustainably to Benefit People</w:t>
      </w:r>
      <w:r w:rsidRPr="00ED7E61">
        <w:rPr>
          <w:rStyle w:val="normaltextrun"/>
          <w:shd w:val="clear" w:color="auto" w:fill="FFFFFF"/>
        </w:rPr>
        <w:br/>
        <w:t xml:space="preserve">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 </w:t>
      </w:r>
    </w:p>
    <w:p w14:paraId="75A7959D" w14:textId="77777777" w:rsidR="0073229E" w:rsidRPr="00ED7E61" w:rsidRDefault="0073229E" w:rsidP="0073229E">
      <w:pPr>
        <w:pStyle w:val="CBDNormalNumber"/>
        <w:numPr>
          <w:ilvl w:val="0"/>
          <w:numId w:val="79"/>
        </w:numPr>
        <w:ind w:left="567" w:firstLine="0"/>
        <w:rPr>
          <w:rFonts w:asciiTheme="majorBidi" w:hAnsiTheme="majorBidi" w:cstheme="majorBidi"/>
        </w:rPr>
      </w:pPr>
      <w:r w:rsidRPr="00ED7E61">
        <w:rPr>
          <w:rFonts w:asciiTheme="majorBidi" w:hAnsiTheme="majorBidi" w:cstheme="majorBidi"/>
          <w:color w:val="000000"/>
          <w:lang w:val="en-US"/>
        </w:rPr>
        <w:t>Indicator</w:t>
      </w:r>
      <w:r w:rsidRPr="00ED7E61">
        <w:rPr>
          <w:rFonts w:asciiTheme="majorBidi" w:hAnsiTheme="majorBidi" w:cstheme="majorBidi"/>
        </w:rPr>
        <w:t xml:space="preserve"> 9.1 was initially understood as a possible disaggregation of indicator B.1 S</w:t>
      </w:r>
      <w:r w:rsidRPr="00ED7E61">
        <w:rPr>
          <w:rFonts w:asciiTheme="majorBidi" w:hAnsiTheme="majorBidi" w:cstheme="majorBidi"/>
          <w:i/>
          <w:iCs/>
        </w:rPr>
        <w:t>ervices provided by ecosystems</w:t>
      </w:r>
      <w:r w:rsidRPr="00ED7E61">
        <w:rPr>
          <w:rFonts w:asciiTheme="majorBidi" w:hAnsiTheme="majorBidi" w:cstheme="majorBidi"/>
        </w:rPr>
        <w:t xml:space="preserve">, since benefits derived from the use of wild species can be measured through the ecosystem service accounts in indicator B.1 under Goal B. Although for indicator B.1 parties are encouraged to flag, when possible, if ecosystem services are used above certain sustainability thresholds, the sustainable use of ecosystem services is not the primary focus of indicator B.1 while it is a prerequisite for the adequate monitoring of target 9 (indicator 9.1). </w:t>
      </w:r>
    </w:p>
    <w:p w14:paraId="3923AFCE" w14:textId="77777777" w:rsidR="0073229E" w:rsidRPr="00ED7E61" w:rsidRDefault="0073229E" w:rsidP="0073229E">
      <w:pPr>
        <w:pStyle w:val="CBDNormalNumber"/>
        <w:numPr>
          <w:ilvl w:val="0"/>
          <w:numId w:val="79"/>
        </w:numPr>
        <w:ind w:left="567" w:firstLine="0"/>
        <w:rPr>
          <w:rFonts w:asciiTheme="majorBidi" w:hAnsiTheme="majorBidi" w:cstheme="majorBidi"/>
        </w:rPr>
      </w:pPr>
      <w:r w:rsidRPr="00ED7E61">
        <w:rPr>
          <w:rFonts w:asciiTheme="majorBidi" w:hAnsiTheme="majorBidi" w:cstheme="majorBidi"/>
        </w:rPr>
        <w:t>The AHTEG, at its 6</w:t>
      </w:r>
      <w:r w:rsidRPr="00ED7E61">
        <w:rPr>
          <w:rFonts w:asciiTheme="majorBidi" w:hAnsiTheme="majorBidi" w:cstheme="majorBidi"/>
          <w:vertAlign w:val="superscript"/>
        </w:rPr>
        <w:t>th</w:t>
      </w:r>
      <w:r w:rsidRPr="00ED7E61">
        <w:rPr>
          <w:rFonts w:asciiTheme="majorBidi" w:hAnsiTheme="majorBidi" w:cstheme="majorBidi"/>
        </w:rPr>
        <w:t xml:space="preserve"> meeting in March 2024, discussed indicator 9.1 and acknowledged that in practice it is difficult to capture the benefits from the sustainable use of wild species. Various options for indicator 9.1 were considered, including a binary indicator, however, the AHTEG, recognizing the importance of this indicator, agreed to maintain it as a headline indicator for Target 9, noting that more work is needed in order to provide a methodology that allows the sustainability assessment aspect of the use of ecosystem services. As such, it is suggested that Goal B1 and Target 9 use the same indicator for reporting purposes. </w:t>
      </w:r>
    </w:p>
    <w:p w14:paraId="291C50C6" w14:textId="77777777" w:rsidR="0073229E" w:rsidRPr="00ED7E61" w:rsidRDefault="0073229E" w:rsidP="0073229E">
      <w:pPr>
        <w:pStyle w:val="CBDNormalNumber"/>
        <w:numPr>
          <w:ilvl w:val="0"/>
          <w:numId w:val="79"/>
        </w:numPr>
        <w:ind w:left="567" w:firstLine="0"/>
      </w:pPr>
      <w:r w:rsidRPr="00ED7E61">
        <w:rPr>
          <w:rFonts w:asciiTheme="majorBidi" w:hAnsiTheme="majorBidi" w:cstheme="majorBidi"/>
          <w:color w:val="000000"/>
          <w:lang w:val="en-US"/>
        </w:rPr>
        <w:t>The</w:t>
      </w:r>
      <w:r w:rsidRPr="00ED7E61">
        <w:t xml:space="preserve"> AHTEG also noted that the benefits from the sustainable use of the wild species are undoubtedly enormous, especially to indigenous people</w:t>
      </w:r>
      <w:r>
        <w:t>s</w:t>
      </w:r>
      <w:r w:rsidRPr="00ED7E61">
        <w:t xml:space="preserve"> and local communities. However, to monitor progress towards “</w:t>
      </w:r>
      <w:r w:rsidRPr="00FB1598">
        <w:rPr>
          <w:i/>
          <w:iCs/>
        </w:rPr>
        <w:t>ensuring that the management and use of wild species are sustainable</w:t>
      </w:r>
      <w:r w:rsidRPr="00ED7E61">
        <w:t xml:space="preserve">”, it is important to measure if the overall use of wild species is sustainable or not rather than only looking at the benefits from the sustainable use. Once the sustainable use of wild species is guaranteed, then, it would be possible to assess the benefits provided, as well as the beneficiaries or users through ecosystem service accounts. </w:t>
      </w:r>
    </w:p>
    <w:p w14:paraId="3E5374BA" w14:textId="77777777" w:rsidR="0073229E" w:rsidRPr="00ED7E61" w:rsidRDefault="0073229E" w:rsidP="0073229E">
      <w:pPr>
        <w:pStyle w:val="CBDNormalNumber"/>
        <w:numPr>
          <w:ilvl w:val="0"/>
          <w:numId w:val="79"/>
        </w:numPr>
        <w:ind w:left="567" w:firstLine="0"/>
        <w:rPr>
          <w:rFonts w:asciiTheme="majorBidi" w:hAnsiTheme="majorBidi" w:cstheme="majorBidi"/>
        </w:rPr>
      </w:pPr>
      <w:r w:rsidRPr="00ED7E61">
        <w:rPr>
          <w:rFonts w:asciiTheme="majorBidi" w:hAnsiTheme="majorBidi" w:cstheme="majorBidi"/>
        </w:rPr>
        <w:t>Indicator B.1 may provide relevant information toward target 9 on the overall use of wild if ecosystem services, such as “</w:t>
      </w:r>
      <w:r w:rsidRPr="00FB1598">
        <w:rPr>
          <w:rFonts w:asciiTheme="majorBidi" w:hAnsiTheme="majorBidi" w:cstheme="majorBidi"/>
          <w:i/>
          <w:iCs/>
        </w:rPr>
        <w:t>Wild animals, plants and other biomass provisioning services</w:t>
      </w:r>
      <w:r w:rsidRPr="00ED7E61">
        <w:rPr>
          <w:rFonts w:asciiTheme="majorBidi" w:hAnsiTheme="majorBidi" w:cstheme="majorBidi"/>
        </w:rPr>
        <w:t>” “</w:t>
      </w:r>
      <w:r w:rsidRPr="00FB1598">
        <w:rPr>
          <w:rFonts w:asciiTheme="majorBidi" w:hAnsiTheme="majorBidi" w:cstheme="majorBidi"/>
          <w:i/>
          <w:iCs/>
        </w:rPr>
        <w:t>Wild fish and other natural aquatic biomass provisioning services</w:t>
      </w:r>
      <w:r w:rsidRPr="00ED7E61">
        <w:rPr>
          <w:rFonts w:asciiTheme="majorBidi" w:hAnsiTheme="majorBidi" w:cstheme="majorBidi"/>
        </w:rPr>
        <w:t>” or “</w:t>
      </w:r>
      <w:r w:rsidRPr="00FB1598">
        <w:rPr>
          <w:rFonts w:asciiTheme="majorBidi" w:hAnsiTheme="majorBidi" w:cstheme="majorBidi"/>
          <w:i/>
          <w:iCs/>
        </w:rPr>
        <w:t>Recreation-related services</w:t>
      </w:r>
      <w:r w:rsidRPr="00ED7E61">
        <w:rPr>
          <w:rFonts w:asciiTheme="majorBidi" w:hAnsiTheme="majorBidi" w:cstheme="majorBidi"/>
        </w:rPr>
        <w:t>” are included in the reporting under B.1.</w:t>
      </w:r>
    </w:p>
    <w:p w14:paraId="702B7530" w14:textId="7B57A234" w:rsidR="002946B5" w:rsidRPr="00ED7E61" w:rsidRDefault="002946B5" w:rsidP="00395866">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1F2CD48C" w14:textId="6742515E" w:rsidR="00756F0F" w:rsidRDefault="002946B5" w:rsidP="00501E19">
      <w:pPr>
        <w:pStyle w:val="Heading3"/>
        <w:rPr>
          <w:rStyle w:val="eop"/>
        </w:rPr>
      </w:pPr>
      <w:bookmarkStart w:id="45" w:name="_Toc233278575"/>
      <w:r w:rsidRPr="00ED7E61">
        <w:rPr>
          <w:rStyle w:val="normaltextrun"/>
        </w:rPr>
        <w:lastRenderedPageBreak/>
        <w:t>9.2 Percentage of the population in traditional occupations</w:t>
      </w:r>
      <w:bookmarkEnd w:id="45"/>
      <w:r w:rsidR="00756F0F" w:rsidRPr="00ED7E61">
        <w:rPr>
          <w:rStyle w:val="normaltextrun"/>
        </w:rPr>
        <w:t> </w:t>
      </w:r>
      <w:r w:rsidR="00756F0F" w:rsidRPr="00ED7E61">
        <w:rPr>
          <w:rStyle w:val="eop"/>
        </w:rPr>
        <w:t> </w:t>
      </w:r>
    </w:p>
    <w:p w14:paraId="15E2D03C"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395B4B5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sz w:val="22"/>
          <w:szCs w:val="22"/>
        </w:rPr>
        <w:t> </w:t>
      </w:r>
    </w:p>
    <w:p w14:paraId="7E651AC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9.2 Percentage of the population in traditional occupations</w:t>
      </w:r>
      <w:r w:rsidRPr="00ED7E61">
        <w:rPr>
          <w:rStyle w:val="eop"/>
          <w:rFonts w:asciiTheme="majorBidi" w:eastAsiaTheme="majorEastAsia" w:hAnsiTheme="majorBidi" w:cstheme="majorBidi"/>
          <w:sz w:val="22"/>
          <w:szCs w:val="22"/>
        </w:rPr>
        <w:t> </w:t>
      </w:r>
    </w:p>
    <w:p w14:paraId="07C0E830"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Traditional Knowledge - Status and trends in the practice of traditional occupations</w:t>
      </w:r>
      <w:r w:rsidRPr="00ED7E61">
        <w:rPr>
          <w:rStyle w:val="eop"/>
          <w:rFonts w:asciiTheme="majorBidi" w:eastAsiaTheme="majorEastAsia" w:hAnsiTheme="majorBidi" w:cstheme="majorBidi"/>
          <w:sz w:val="22"/>
          <w:szCs w:val="22"/>
        </w:rPr>
        <w:t> </w:t>
      </w:r>
    </w:p>
    <w:p w14:paraId="0E982D37" w14:textId="77777777" w:rsidR="00756F0F" w:rsidRPr="00ED7E61" w:rsidRDefault="00756F0F" w:rsidP="00B10F0C">
      <w:pPr>
        <w:pStyle w:val="CBDNormalNumber"/>
        <w:numPr>
          <w:ilvl w:val="0"/>
          <w:numId w:val="79"/>
        </w:numPr>
        <w:ind w:left="567" w:firstLine="0"/>
        <w:rPr>
          <w:rFonts w:asciiTheme="majorBidi" w:hAnsiTheme="majorBidi" w:cstheme="majorBidi"/>
        </w:rPr>
      </w:pPr>
      <w:r w:rsidRPr="00ED7E61">
        <w:rPr>
          <w:color w:val="000000"/>
          <w:lang w:val="en-US"/>
        </w:rPr>
        <w:t>Discussion</w:t>
      </w:r>
      <w:r w:rsidRPr="00ED7E61">
        <w:rPr>
          <w:rStyle w:val="normaltextrun"/>
          <w:rFonts w:asciiTheme="majorBidi" w:eastAsiaTheme="majorEastAsia" w:hAnsiTheme="majorBidi" w:cstheme="majorBidi"/>
        </w:rPr>
        <w:t xml:space="preserve"> will need to take place for the further development and operationalization of this indicator, including suggestions for a more suitable indicator name (see rationale in section 4).  </w:t>
      </w:r>
      <w:r w:rsidRPr="00ED7E61">
        <w:rPr>
          <w:rStyle w:val="eop"/>
          <w:rFonts w:asciiTheme="majorBidi" w:eastAsiaTheme="majorEastAsia" w:hAnsiTheme="majorBidi" w:cstheme="majorBidi"/>
        </w:rPr>
        <w:t> </w:t>
      </w:r>
    </w:p>
    <w:p w14:paraId="7F0B5E2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sz w:val="22"/>
          <w:szCs w:val="22"/>
        </w:rPr>
        <w:t> </w:t>
      </w:r>
    </w:p>
    <w:p w14:paraId="72283A29" w14:textId="311FD190" w:rsidR="00756F0F" w:rsidRPr="00ED7E61" w:rsidRDefault="00583572"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lang w:val="en-GB"/>
        </w:rPr>
        <w:t xml:space="preserve">March </w:t>
      </w:r>
      <w:r w:rsidR="00AD6BE9">
        <w:rPr>
          <w:rStyle w:val="normaltextrun"/>
          <w:rFonts w:asciiTheme="majorBidi" w:eastAsiaTheme="majorEastAsia" w:hAnsiTheme="majorBidi" w:cstheme="majorBidi"/>
          <w:sz w:val="22"/>
          <w:szCs w:val="22"/>
          <w:lang w:val="en-GB"/>
        </w:rPr>
        <w:t>2026</w:t>
      </w:r>
      <w:r w:rsidR="00756F0F" w:rsidRPr="00ED7E61">
        <w:rPr>
          <w:rStyle w:val="eop"/>
          <w:rFonts w:asciiTheme="majorBidi" w:eastAsiaTheme="majorEastAsia" w:hAnsiTheme="majorBidi" w:cstheme="majorBidi"/>
          <w:sz w:val="22"/>
          <w:szCs w:val="22"/>
        </w:rPr>
        <w:t> </w:t>
      </w:r>
    </w:p>
    <w:p w14:paraId="0C4C2D0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sz w:val="22"/>
          <w:szCs w:val="22"/>
        </w:rPr>
        <w:t> </w:t>
      </w:r>
    </w:p>
    <w:p w14:paraId="61695D2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sz w:val="22"/>
          <w:szCs w:val="22"/>
        </w:rPr>
        <w:t> </w:t>
      </w:r>
    </w:p>
    <w:p w14:paraId="2227B70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68A545C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sz w:val="22"/>
          <w:szCs w:val="22"/>
        </w:rPr>
        <w:t> </w:t>
      </w:r>
    </w:p>
    <w:p w14:paraId="2773EDD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Headline indicator for 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r w:rsidRPr="00ED7E61">
        <w:rPr>
          <w:rStyle w:val="normaltextrun"/>
          <w:rFonts w:asciiTheme="majorBidi" w:eastAsiaTheme="majorEastAsia" w:hAnsiTheme="majorBidi" w:cstheme="majorBidi"/>
          <w:i/>
          <w:iCs/>
          <w:sz w:val="22"/>
          <w:szCs w:val="22"/>
          <w:shd w:val="clear" w:color="auto" w:fill="FFFFFF"/>
          <w:lang w:val="en-GB"/>
        </w:rPr>
        <w:t>.</w:t>
      </w:r>
      <w:r w:rsidRPr="00ED7E61">
        <w:rPr>
          <w:rStyle w:val="eop"/>
          <w:rFonts w:asciiTheme="majorBidi" w:eastAsiaTheme="majorEastAsia" w:hAnsiTheme="majorBidi" w:cstheme="majorBidi"/>
          <w:sz w:val="22"/>
          <w:szCs w:val="22"/>
        </w:rPr>
        <w:t> </w:t>
      </w:r>
    </w:p>
    <w:p w14:paraId="2579250F" w14:textId="77777777" w:rsidR="00756F0F" w:rsidRPr="00ED7E61" w:rsidRDefault="00756F0F" w:rsidP="00181CB0">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4. Rationale</w:t>
      </w:r>
      <w:r w:rsidRPr="00ED7E61">
        <w:rPr>
          <w:rStyle w:val="eop"/>
          <w:rFonts w:asciiTheme="majorBidi" w:eastAsiaTheme="majorEastAsia" w:hAnsiTheme="majorBidi" w:cstheme="majorBidi"/>
          <w:sz w:val="22"/>
          <w:szCs w:val="22"/>
        </w:rPr>
        <w:t> </w:t>
      </w:r>
    </w:p>
    <w:p w14:paraId="338F67E6" w14:textId="77777777" w:rsidR="00756F0F" w:rsidRPr="00ED7E61" w:rsidRDefault="00756F0F" w:rsidP="00B10F0C">
      <w:pPr>
        <w:pStyle w:val="CBDNormalNumber"/>
        <w:numPr>
          <w:ilvl w:val="0"/>
          <w:numId w:val="80"/>
        </w:numPr>
        <w:tabs>
          <w:tab w:val="clear" w:pos="1701"/>
        </w:tabs>
        <w:ind w:left="567" w:hanging="24"/>
        <w:rPr>
          <w:rFonts w:asciiTheme="majorBidi" w:hAnsiTheme="majorBidi" w:cstheme="majorBidi"/>
          <w:color w:val="000000"/>
          <w:lang w:val="en-US"/>
        </w:rPr>
      </w:pPr>
      <w:r w:rsidRPr="00ED7E61">
        <w:rPr>
          <w:color w:val="000000"/>
          <w:lang w:val="en-US"/>
        </w:rPr>
        <w:t xml:space="preserve">Actions to implement Target 9 need to </w:t>
      </w:r>
      <w:proofErr w:type="gramStart"/>
      <w:r w:rsidRPr="00ED7E61">
        <w:rPr>
          <w:color w:val="000000"/>
          <w:lang w:val="en-US"/>
        </w:rPr>
        <w:t>take into account</w:t>
      </w:r>
      <w:proofErr w:type="gramEnd"/>
      <w:r w:rsidRPr="00ED7E61">
        <w:rPr>
          <w:color w:val="000000"/>
          <w:lang w:val="en-US"/>
        </w:rPr>
        <w:t xml:space="preserve"> indigenous and local systems for the control, use and management of natural resources and seek to protect and encourage these. The practice of traditional occupations is a key </w:t>
      </w:r>
      <w:proofErr w:type="gramStart"/>
      <w:r w:rsidRPr="00ED7E61">
        <w:rPr>
          <w:color w:val="000000"/>
          <w:lang w:val="en-US"/>
        </w:rPr>
        <w:t>a</w:t>
      </w:r>
      <w:proofErr w:type="gramEnd"/>
      <w:r w:rsidRPr="00ED7E61">
        <w:rPr>
          <w:color w:val="000000"/>
          <w:lang w:val="en-US"/>
        </w:rPr>
        <w:t xml:space="preserve"> element of this which is not only essential to the spiritual, cultural, social and economic wellbeing of Indigenous Peoples and local communities but also a key element in ensuring that the management and use of wild species is sustainable.  </w:t>
      </w:r>
    </w:p>
    <w:p w14:paraId="1F91A5EB"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color w:val="000000"/>
          <w:lang w:val="en-US"/>
        </w:rPr>
        <w:t>The</w:t>
      </w:r>
      <w:r w:rsidRPr="00ED7E61">
        <w:rPr>
          <w:rStyle w:val="normaltextrun"/>
          <w:rFonts w:asciiTheme="majorBidi" w:eastAsiaTheme="majorEastAsia" w:hAnsiTheme="majorBidi" w:cstheme="majorBidi"/>
        </w:rPr>
        <w:t xml:space="preserve"> traditional knowledge indicator on “</w:t>
      </w:r>
      <w:r w:rsidRPr="00FB1598">
        <w:rPr>
          <w:rStyle w:val="normaltextrun"/>
          <w:rFonts w:asciiTheme="majorBidi" w:eastAsiaTheme="majorEastAsia" w:hAnsiTheme="majorBidi" w:cstheme="majorBidi"/>
          <w:i/>
          <w:iCs/>
        </w:rPr>
        <w:t>Status and trends in the practice of traditional occupations</w:t>
      </w:r>
      <w:r w:rsidRPr="00ED7E61">
        <w:rPr>
          <w:rStyle w:val="normaltextrun"/>
          <w:rFonts w:asciiTheme="majorBidi" w:eastAsiaTheme="majorEastAsia" w:hAnsiTheme="majorBidi" w:cstheme="majorBidi"/>
        </w:rPr>
        <w:t>” was adopted by COP-13 in 2016. COP-15 adopted a related but (slightly) different indicator as headline indicator for Target 9. “</w:t>
      </w:r>
      <w:r w:rsidRPr="00FB1598">
        <w:rPr>
          <w:rStyle w:val="normaltextrun"/>
          <w:rFonts w:asciiTheme="majorBidi" w:eastAsiaTheme="majorEastAsia" w:hAnsiTheme="majorBidi" w:cstheme="majorBidi"/>
          <w:i/>
          <w:iCs/>
        </w:rPr>
        <w:t>Percentage of the population in traditional occupations</w:t>
      </w:r>
      <w:r w:rsidRPr="00ED7E61">
        <w:rPr>
          <w:rStyle w:val="normaltextrun"/>
          <w:rFonts w:asciiTheme="majorBidi" w:eastAsiaTheme="majorEastAsia" w:hAnsiTheme="majorBidi" w:cstheme="majorBidi"/>
        </w:rPr>
        <w:t>”. Discussion has started on how best to further develop and operationalize this indicator.</w:t>
      </w:r>
      <w:r w:rsidRPr="00ED7E61">
        <w:rPr>
          <w:rStyle w:val="eop"/>
          <w:rFonts w:asciiTheme="majorBidi" w:eastAsiaTheme="majorEastAsia" w:hAnsiTheme="majorBidi" w:cstheme="majorBidi"/>
        </w:rPr>
        <w:t> </w:t>
      </w:r>
    </w:p>
    <w:p w14:paraId="3196E72A" w14:textId="142CED4A" w:rsidR="00756F0F" w:rsidRPr="00ED7E61" w:rsidRDefault="00756F0F" w:rsidP="00B10F0C">
      <w:pPr>
        <w:pStyle w:val="CBDNormalNumber"/>
        <w:numPr>
          <w:ilvl w:val="0"/>
          <w:numId w:val="80"/>
        </w:numPr>
        <w:ind w:left="567" w:firstLine="0"/>
        <w:rPr>
          <w:rFonts w:asciiTheme="majorBidi" w:hAnsiTheme="majorBidi" w:cstheme="majorBidi"/>
        </w:rPr>
      </w:pPr>
      <w:r w:rsidRPr="00ED7E61">
        <w:rPr>
          <w:rStyle w:val="normaltextrun"/>
          <w:rFonts w:asciiTheme="majorBidi" w:eastAsiaTheme="majorEastAsia" w:hAnsiTheme="majorBidi" w:cstheme="majorBidi"/>
        </w:rPr>
        <w:t>A potential computation by “</w:t>
      </w:r>
      <w:r w:rsidRPr="00FB1598">
        <w:rPr>
          <w:rStyle w:val="normaltextrun"/>
          <w:rFonts w:asciiTheme="majorBidi" w:eastAsiaTheme="majorEastAsia" w:hAnsiTheme="majorBidi" w:cstheme="majorBidi"/>
          <w:i/>
          <w:iCs/>
        </w:rPr>
        <w:t>dividing the number of Indigenous People (IP) practicing traditional occupations by the total number of working age indigenous people in a country</w:t>
      </w:r>
      <w:r w:rsidRPr="00ED7E61">
        <w:rPr>
          <w:rStyle w:val="normaltextrun"/>
          <w:rFonts w:asciiTheme="majorBidi" w:eastAsiaTheme="majorEastAsia" w:hAnsiTheme="majorBidi" w:cstheme="majorBidi"/>
        </w:rPr>
        <w:t xml:space="preserve">” was originally proposed in the technical paper on </w:t>
      </w:r>
      <w:r w:rsidRPr="00ED7E61">
        <w:rPr>
          <w:rStyle w:val="normaltextrun"/>
          <w:rFonts w:asciiTheme="majorBidi" w:eastAsiaTheme="majorEastAsia" w:hAnsiTheme="majorBidi" w:cstheme="majorBidi"/>
          <w:i/>
          <w:iCs/>
        </w:rPr>
        <w:t>Traditional Occupations of Indigenous and Tribal Peoples in Labour Statistics,</w:t>
      </w:r>
      <w:r w:rsidRPr="00ED7E61">
        <w:rPr>
          <w:rStyle w:val="normaltextrun"/>
          <w:rFonts w:asciiTheme="majorBidi" w:eastAsiaTheme="majorEastAsia" w:hAnsiTheme="majorBidi" w:cstheme="majorBidi"/>
        </w:rPr>
        <w:t xml:space="preserve"> </w:t>
      </w:r>
      <w:r w:rsidR="008F2372">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Geneva. International Labour Office,</w:t>
      </w:r>
      <w:r w:rsidR="008F2372">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2023). However, based on existing data, it is not yet possible (beyond pilot studies) to measure this indicator on a global and national level due to the lack of identifiers for Indigenous Peoples in countries’ census processes. The international Labour Organization (ILO) observed that “</w:t>
      </w:r>
      <w:r w:rsidRPr="00ED7E61">
        <w:rPr>
          <w:rStyle w:val="normaltextrun"/>
          <w:rFonts w:asciiTheme="majorBidi" w:eastAsiaTheme="majorEastAsia" w:hAnsiTheme="majorBidi" w:cstheme="majorBidi"/>
          <w:i/>
          <w:iCs/>
        </w:rPr>
        <w:t>Comprehensive official statistics on traditional occupations are rarely available, partly owing to the continuing poor visibility of indigenous and tribal peoples in official statistics, and partly owing to the absence of an agreed definition of traditional occupations for statistical purposes.</w:t>
      </w:r>
      <w:r w:rsidRPr="00FB1598">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052EF1FB" w14:textId="1119B9E1" w:rsidR="00756F0F" w:rsidRPr="00ED7E61" w:rsidRDefault="00756F0F" w:rsidP="00B10F0C">
      <w:pPr>
        <w:pStyle w:val="CBDNormalNumber"/>
        <w:numPr>
          <w:ilvl w:val="0"/>
          <w:numId w:val="80"/>
        </w:numPr>
        <w:ind w:left="567" w:firstLine="0"/>
        <w:rPr>
          <w:rFonts w:asciiTheme="majorBidi" w:hAnsiTheme="majorBidi" w:cstheme="majorBidi"/>
        </w:rPr>
      </w:pPr>
      <w:r w:rsidRPr="00ED7E61">
        <w:rPr>
          <w:color w:val="000000"/>
          <w:lang w:val="en-US"/>
        </w:rPr>
        <w:t>We</w:t>
      </w:r>
      <w:r w:rsidRPr="00ED7E61">
        <w:rPr>
          <w:rStyle w:val="normaltextrun"/>
          <w:rFonts w:asciiTheme="majorBidi" w:eastAsiaTheme="majorEastAsia" w:hAnsiTheme="majorBidi" w:cstheme="majorBidi"/>
        </w:rPr>
        <w:t xml:space="preserve"> therefore propose that this indicator could be measured across scales (from local to global) </w:t>
      </w:r>
      <w:proofErr w:type="gramStart"/>
      <w:r w:rsidRPr="00ED7E61">
        <w:rPr>
          <w:rStyle w:val="normaltextrun"/>
          <w:rFonts w:asciiTheme="majorBidi" w:eastAsiaTheme="majorEastAsia" w:hAnsiTheme="majorBidi" w:cstheme="majorBidi"/>
        </w:rPr>
        <w:t>through the use of</w:t>
      </w:r>
      <w:proofErr w:type="gramEnd"/>
      <w:r w:rsidRPr="00ED7E61">
        <w:rPr>
          <w:rStyle w:val="normaltextrun"/>
          <w:rFonts w:asciiTheme="majorBidi" w:eastAsiaTheme="majorEastAsia" w:hAnsiTheme="majorBidi" w:cstheme="majorBidi"/>
        </w:rPr>
        <w:t xml:space="preserve"> structural, process and outcome indicators generated through </w:t>
      </w:r>
      <w:r w:rsidR="00140474" w:rsidRPr="00ED7E61">
        <w:rPr>
          <w:rFonts w:asciiTheme="majorBidi" w:hAnsiTheme="majorBidi" w:cstheme="majorBidi"/>
        </w:rPr>
        <w:t>Community Based Monitoring and Information Systems (</w:t>
      </w:r>
      <w:r w:rsidRPr="00ED7E61">
        <w:rPr>
          <w:rStyle w:val="normaltextrun"/>
          <w:rFonts w:asciiTheme="majorBidi" w:eastAsiaTheme="majorEastAsia" w:hAnsiTheme="majorBidi" w:cstheme="majorBidi"/>
        </w:rPr>
        <w:t>CBMIS</w:t>
      </w:r>
      <w:r w:rsidR="00140474"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combined with binary </w:t>
      </w:r>
      <w:proofErr w:type="gramStart"/>
      <w:r w:rsidRPr="00ED7E61">
        <w:rPr>
          <w:rStyle w:val="normaltextrun"/>
          <w:rFonts w:asciiTheme="majorBidi" w:eastAsiaTheme="majorEastAsia" w:hAnsiTheme="majorBidi" w:cstheme="majorBidi"/>
        </w:rPr>
        <w:t>indicators</w:t>
      </w:r>
      <w:r w:rsidR="00603779">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w:t>
      </w:r>
      <w:proofErr w:type="gramEnd"/>
      <w:r w:rsidRPr="00ED7E61">
        <w:rPr>
          <w:rStyle w:val="eop"/>
          <w:rFonts w:asciiTheme="majorBidi" w:eastAsiaTheme="majorEastAsia" w:hAnsiTheme="majorBidi" w:cstheme="majorBidi"/>
        </w:rPr>
        <w:t> </w:t>
      </w:r>
    </w:p>
    <w:p w14:paraId="7505D4BD"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color w:val="000000"/>
          <w:lang w:val="en-US"/>
        </w:rPr>
        <w:t>Potential</w:t>
      </w:r>
      <w:r w:rsidRPr="00ED7E61">
        <w:rPr>
          <w:rStyle w:val="normaltextrun"/>
          <w:rFonts w:asciiTheme="majorBidi" w:eastAsiaTheme="majorEastAsia" w:hAnsiTheme="majorBidi" w:cstheme="majorBidi"/>
        </w:rPr>
        <w:t xml:space="preserve"> titles for the indicator include:</w:t>
      </w:r>
      <w:r w:rsidRPr="00ED7E61">
        <w:rPr>
          <w:rStyle w:val="eop"/>
          <w:rFonts w:asciiTheme="majorBidi" w:eastAsiaTheme="majorEastAsia" w:hAnsiTheme="majorBidi" w:cstheme="majorBidi"/>
        </w:rPr>
        <w:t> </w:t>
      </w:r>
    </w:p>
    <w:p w14:paraId="7BBF5D74" w14:textId="77777777" w:rsidR="00756F0F" w:rsidRPr="00ED7E61" w:rsidRDefault="00756F0F" w:rsidP="00B10F0C">
      <w:pPr>
        <w:pStyle w:val="CBDNormalNumber"/>
        <w:numPr>
          <w:ilvl w:val="1"/>
          <w:numId w:val="80"/>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Number of countries/programmes/processes supporting customary sustainable use of indigenous peoples and local communities </w:t>
      </w:r>
    </w:p>
    <w:p w14:paraId="777122A6" w14:textId="77777777" w:rsidR="00756F0F" w:rsidRPr="00ED7E61" w:rsidRDefault="00756F0F" w:rsidP="00B10F0C">
      <w:pPr>
        <w:pStyle w:val="CBDNormalNumber"/>
        <w:numPr>
          <w:ilvl w:val="1"/>
          <w:numId w:val="80"/>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Number of Indigenous Peoples and local communities with plans for customary sustainable use/support for traditional occupations </w:t>
      </w:r>
    </w:p>
    <w:p w14:paraId="41727199" w14:textId="22FC9A5F" w:rsidR="00756F0F" w:rsidRDefault="00756F0F" w:rsidP="00B10F0C">
      <w:pPr>
        <w:pStyle w:val="CBDNormalNumber"/>
        <w:numPr>
          <w:ilvl w:val="0"/>
          <w:numId w:val="80"/>
        </w:numPr>
        <w:ind w:left="567" w:firstLine="0"/>
        <w:rPr>
          <w:color w:val="000000"/>
          <w:lang w:val="en-US"/>
        </w:rPr>
      </w:pPr>
      <w:r w:rsidRPr="00ED7E61">
        <w:rPr>
          <w:color w:val="000000"/>
          <w:lang w:val="en-US"/>
        </w:rPr>
        <w:t xml:space="preserve">These aspects and proposals will need to be </w:t>
      </w:r>
      <w:r w:rsidR="0060355F">
        <w:rPr>
          <w:color w:val="000000"/>
          <w:lang w:val="en-US"/>
        </w:rPr>
        <w:t xml:space="preserve">further </w:t>
      </w:r>
      <w:r w:rsidRPr="00ED7E61">
        <w:rPr>
          <w:color w:val="000000"/>
          <w:lang w:val="en-US"/>
        </w:rPr>
        <w:t>discussed and agreed. </w:t>
      </w:r>
    </w:p>
    <w:p w14:paraId="1DBE8FEE" w14:textId="77777777" w:rsidR="004253D1" w:rsidRPr="00181CB0" w:rsidRDefault="004253D1" w:rsidP="00812871">
      <w:pPr>
        <w:pStyle w:val="CBDNormalNumber"/>
        <w:ind w:left="567"/>
        <w:rPr>
          <w:color w:val="000000"/>
          <w:lang w:val="en-US"/>
        </w:rPr>
      </w:pPr>
    </w:p>
    <w:p w14:paraId="5E7CC68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 Definitions, concepts and classifications</w:t>
      </w:r>
      <w:r w:rsidRPr="00ED7E61">
        <w:rPr>
          <w:rStyle w:val="eop"/>
          <w:rFonts w:asciiTheme="majorBidi" w:eastAsiaTheme="majorEastAsia" w:hAnsiTheme="majorBidi" w:cstheme="majorBidi"/>
          <w:sz w:val="22"/>
          <w:szCs w:val="22"/>
        </w:rPr>
        <w:t> </w:t>
      </w:r>
    </w:p>
    <w:p w14:paraId="73DA3CD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5a. Definition: </w:t>
      </w:r>
      <w:r w:rsidRPr="00ED7E61">
        <w:rPr>
          <w:rStyle w:val="eop"/>
          <w:rFonts w:asciiTheme="majorBidi" w:eastAsiaTheme="majorEastAsia" w:hAnsiTheme="majorBidi" w:cstheme="majorBidi"/>
          <w:sz w:val="22"/>
          <w:szCs w:val="22"/>
        </w:rPr>
        <w:t> </w:t>
      </w:r>
    </w:p>
    <w:p w14:paraId="165C8BE7"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color w:val="000000"/>
          <w:lang w:val="en-US"/>
        </w:rPr>
        <w:t>Traditional</w:t>
      </w:r>
      <w:r w:rsidRPr="00ED7E61">
        <w:rPr>
          <w:rStyle w:val="normaltextrun"/>
          <w:rFonts w:asciiTheme="majorBidi" w:eastAsiaTheme="majorEastAsia" w:hAnsiTheme="majorBidi" w:cstheme="majorBidi"/>
        </w:rPr>
        <w:t xml:space="preserve"> occupations are generally understood as the activities that indigenous and tribal peoples have traditionally undertaken to provide for their subsistence needs and livelihoods. The practice of these occupations relies on intimate knowledge of ancestral lands, the environment, and natural resources passed on from generation to generation. These occupations and the skills and knowledge underlying them are not static. They have evolved over time and will continue to do so. The concept of traditional occupations to be measured in statistics should not therefore be limited to the economic and cultural activities that indigenous peoples have traditionally undertaken in the past, but should also embrace other occupations in which indigenous peoples are using their traditional knowledge today and will do so in the future, for example in life sciences, climate research and tourism. </w:t>
      </w:r>
      <w:r w:rsidRPr="00ED7E61">
        <w:rPr>
          <w:rStyle w:val="eop"/>
          <w:rFonts w:asciiTheme="majorBidi" w:eastAsiaTheme="majorEastAsia" w:hAnsiTheme="majorBidi" w:cstheme="majorBidi"/>
        </w:rPr>
        <w:t> </w:t>
      </w:r>
    </w:p>
    <w:p w14:paraId="776FCC32"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color w:val="000000"/>
          <w:lang w:val="en-US"/>
        </w:rPr>
        <w:t>The</w:t>
      </w:r>
      <w:r w:rsidRPr="00ED7E61">
        <w:rPr>
          <w:rStyle w:val="normaltextrun"/>
          <w:rFonts w:asciiTheme="majorBidi" w:eastAsiaTheme="majorEastAsia" w:hAnsiTheme="majorBidi" w:cstheme="majorBidi"/>
        </w:rPr>
        <w:t xml:space="preserve"> concept of work adopted in 2013 by the 19th International Conference of Labour Statisticians for the purposes of official statistics is very broad and includes any activity performed by persons of any sex and age to produce goods or to provide services for use by others or for own use. Traditional occupations may be practised in any of the forms of work recognized in official labour statistics, including own-use production work, employment for pay or profit, unpaid trainee work, volunteer work, and other work activities. </w:t>
      </w:r>
      <w:r w:rsidRPr="00ED7E61">
        <w:rPr>
          <w:rStyle w:val="eop"/>
          <w:rFonts w:asciiTheme="majorBidi" w:eastAsiaTheme="majorEastAsia" w:hAnsiTheme="majorBidi" w:cstheme="majorBidi"/>
        </w:rPr>
        <w:t> </w:t>
      </w:r>
    </w:p>
    <w:p w14:paraId="16F98B9C"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color w:val="000000"/>
          <w:lang w:val="en-US"/>
        </w:rPr>
        <w:t>For</w:t>
      </w:r>
      <w:r w:rsidRPr="00ED7E61">
        <w:rPr>
          <w:rStyle w:val="normaltextrun"/>
          <w:rFonts w:asciiTheme="majorBidi" w:eastAsiaTheme="majorEastAsia" w:hAnsiTheme="majorBidi" w:cstheme="majorBidi"/>
        </w:rPr>
        <w:t xml:space="preserve"> the purposes of this indicator, traditional occupations </w:t>
      </w:r>
      <w:proofErr w:type="gramStart"/>
      <w:r w:rsidRPr="00ED7E61">
        <w:rPr>
          <w:rStyle w:val="normaltextrun"/>
          <w:rFonts w:asciiTheme="majorBidi" w:eastAsiaTheme="majorEastAsia" w:hAnsiTheme="majorBidi" w:cstheme="majorBidi"/>
        </w:rPr>
        <w:t>is</w:t>
      </w:r>
      <w:proofErr w:type="gramEnd"/>
      <w:r w:rsidRPr="00ED7E61">
        <w:rPr>
          <w:rStyle w:val="normaltextrun"/>
          <w:rFonts w:asciiTheme="majorBidi" w:eastAsiaTheme="majorEastAsia" w:hAnsiTheme="majorBidi" w:cstheme="majorBidi"/>
        </w:rPr>
        <w:t xml:space="preserve"> defined as: </w:t>
      </w:r>
      <w:r w:rsidRPr="00ED7E61">
        <w:rPr>
          <w:rStyle w:val="eop"/>
          <w:rFonts w:asciiTheme="majorBidi" w:eastAsiaTheme="majorEastAsia" w:hAnsiTheme="majorBidi" w:cstheme="majorBidi"/>
        </w:rPr>
        <w:t> </w:t>
      </w:r>
    </w:p>
    <w:p w14:paraId="7E6D9372" w14:textId="77777777" w:rsidR="00756F0F" w:rsidRPr="00ED7E61" w:rsidRDefault="00756F0F" w:rsidP="00B10F0C">
      <w:pPr>
        <w:pStyle w:val="CBDNormalNumber"/>
        <w:numPr>
          <w:ilvl w:val="1"/>
          <w:numId w:val="80"/>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shd w:val="clear" w:color="auto" w:fill="FFFFFF"/>
        </w:rPr>
        <w:t>Traditional</w:t>
      </w:r>
      <w:r w:rsidRPr="00ED7E61">
        <w:rPr>
          <w:rStyle w:val="normaltextrun"/>
          <w:rFonts w:asciiTheme="majorBidi" w:eastAsiaTheme="majorEastAsia" w:hAnsiTheme="majorBidi" w:cstheme="majorBidi"/>
        </w:rPr>
        <w:t xml:space="preserve"> occupations are occupations in which indigenous knowledge, cultural practices, innovations and technologies may influence the way the work is performed, if the work is performed by a person who identifies as belonging to an indigenous or tribal group. Indigenous knowledge refers to the constantly evolving information, skills, practices, science and technology passed from generation to generation within an indigenous or tribal group. The work performed in traditional occupations embraces production of goods and services for own use and other forms of unpaid work including volunteer work and unpaid trainee work, as well as employment for pay or profit. </w:t>
      </w:r>
      <w:r w:rsidRPr="00ED7E61">
        <w:rPr>
          <w:rStyle w:val="eop"/>
          <w:rFonts w:asciiTheme="majorBidi" w:eastAsiaTheme="majorEastAsia" w:hAnsiTheme="majorBidi" w:cstheme="majorBidi"/>
        </w:rPr>
        <w:t> </w:t>
      </w:r>
    </w:p>
    <w:p w14:paraId="4CBE69F5"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color w:val="000000"/>
          <w:lang w:val="en-US"/>
        </w:rPr>
        <w:t>For</w:t>
      </w:r>
      <w:r w:rsidRPr="00ED7E61">
        <w:rPr>
          <w:rStyle w:val="normaltextrun"/>
          <w:rFonts w:asciiTheme="majorBidi" w:eastAsiaTheme="majorEastAsia" w:hAnsiTheme="majorBidi" w:cstheme="majorBidi"/>
        </w:rPr>
        <w:t xml:space="preserve"> the operational measurement of traditional occupations, it is necessary to reflect this definition in terms of a set of occupations defined in a classification of occupations used for the compilation of official labour statistics. </w:t>
      </w:r>
      <w:r w:rsidRPr="00ED7E61">
        <w:rPr>
          <w:rStyle w:val="eop"/>
          <w:rFonts w:asciiTheme="majorBidi" w:eastAsiaTheme="majorEastAsia" w:hAnsiTheme="majorBidi" w:cstheme="majorBidi"/>
        </w:rPr>
        <w:t> </w:t>
      </w:r>
    </w:p>
    <w:p w14:paraId="3FF3CB6C"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color w:val="000000"/>
          <w:lang w:val="en-US"/>
        </w:rPr>
        <w:t>The</w:t>
      </w:r>
      <w:r w:rsidRPr="00ED7E61">
        <w:rPr>
          <w:rStyle w:val="normaltextrun"/>
          <w:rFonts w:asciiTheme="majorBidi" w:eastAsiaTheme="majorEastAsia" w:hAnsiTheme="majorBidi" w:cstheme="majorBidi"/>
        </w:rPr>
        <w:t xml:space="preserve"> International Standard Classification of Occupations (ISCO-08) provides a system for classifying and aggregating occupational information obtained by means of statistical censuses and surveys, as well as from administrative records (see annex 1). Many national classifications are based on ISCO-08 or on its predecessor, ISCO-88. Some countries have national occupation classifications that are not based on ISCO, but in most cases it is possible to map data from detailed levels of the national classification to a relatively detailed level of ISCO08. In countries that have not developed their own national classifications, a version of ISCO may be used directly. ISCO-08 is a four-level, hierarchically structured classification that allows all jobs in the world to be classified into </w:t>
      </w:r>
      <w:proofErr w:type="gramStart"/>
      <w:r w:rsidRPr="00ED7E61">
        <w:rPr>
          <w:rStyle w:val="normaltextrun"/>
          <w:rFonts w:asciiTheme="majorBidi" w:eastAsiaTheme="majorEastAsia" w:hAnsiTheme="majorBidi" w:cstheme="majorBidi"/>
        </w:rPr>
        <w:t>436 unit</w:t>
      </w:r>
      <w:proofErr w:type="gramEnd"/>
      <w:r w:rsidRPr="00ED7E61">
        <w:rPr>
          <w:rStyle w:val="normaltextrun"/>
          <w:rFonts w:asciiTheme="majorBidi" w:eastAsiaTheme="majorEastAsia" w:hAnsiTheme="majorBidi" w:cstheme="majorBidi"/>
        </w:rPr>
        <w:t xml:space="preserve"> groups. These groups form the most detailed level of the classification structure and are aggregated into 130 minor groups, 43 sub-major groups and 10 major groups, </w:t>
      </w:r>
      <w:proofErr w:type="gramStart"/>
      <w:r w:rsidRPr="00ED7E61">
        <w:rPr>
          <w:rStyle w:val="normaltextrun"/>
          <w:rFonts w:asciiTheme="majorBidi" w:eastAsiaTheme="majorEastAsia" w:hAnsiTheme="majorBidi" w:cstheme="majorBidi"/>
        </w:rPr>
        <w:t>on the basis of</w:t>
      </w:r>
      <w:proofErr w:type="gramEnd"/>
      <w:r w:rsidRPr="00ED7E61">
        <w:rPr>
          <w:rStyle w:val="normaltextrun"/>
          <w:rFonts w:asciiTheme="majorBidi" w:eastAsiaTheme="majorEastAsia" w:hAnsiTheme="majorBidi" w:cstheme="majorBidi"/>
        </w:rPr>
        <w:t xml:space="preserve"> their similarity in terms of the skill level and skill specialization required for the jobs. This allows the production of relatively detailed internationally comparable data as well as summary information for only ten groups at the highest level of aggregation. A subset of these unit groups (see annex) are used to identify jobs which could be considered as traditional occupations. However national occupation classification schemes may frequently identify specific occupations that fit within the definition of traditional occupations that are not separately identified in ISCO. It would be preferable in such cases, therefore, to identify the groups in the national classification that fit the definition of traditional occupations, using the agreed list of ISCO groups as guidance.</w:t>
      </w:r>
      <w:r w:rsidRPr="00ED7E61">
        <w:rPr>
          <w:rStyle w:val="eop"/>
          <w:rFonts w:asciiTheme="majorBidi" w:eastAsiaTheme="majorEastAsia" w:hAnsiTheme="majorBidi" w:cstheme="majorBidi"/>
        </w:rPr>
        <w:t> </w:t>
      </w:r>
    </w:p>
    <w:p w14:paraId="06CFCBE6"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color w:val="000000"/>
          <w:lang w:val="en-US"/>
        </w:rPr>
        <w:lastRenderedPageBreak/>
        <w:t>There</w:t>
      </w:r>
      <w:r w:rsidRPr="00ED7E61">
        <w:rPr>
          <w:rStyle w:val="normaltextrun"/>
          <w:rFonts w:asciiTheme="majorBidi" w:eastAsiaTheme="majorEastAsia" w:hAnsiTheme="majorBidi" w:cstheme="majorBidi"/>
        </w:rPr>
        <w:t xml:space="preserve"> is no internally agreed definition of “</w:t>
      </w:r>
      <w:r w:rsidRPr="00FB1598">
        <w:rPr>
          <w:rStyle w:val="normaltextrun"/>
          <w:rFonts w:asciiTheme="majorBidi" w:eastAsiaTheme="majorEastAsia" w:hAnsiTheme="majorBidi" w:cstheme="majorBidi"/>
          <w:i/>
          <w:iCs/>
        </w:rPr>
        <w:t>indigenous peoples</w:t>
      </w:r>
      <w:r w:rsidRPr="00ED7E61">
        <w:rPr>
          <w:rStyle w:val="normaltextrun"/>
          <w:rFonts w:asciiTheme="majorBidi" w:eastAsiaTheme="majorEastAsia" w:hAnsiTheme="majorBidi" w:cstheme="majorBidi"/>
        </w:rPr>
        <w:t>”. However, individuals belonging to such a group would generally have an ancestral connection to the group and self-identify as a member of that group. The most appropriate approach to the design of questions to identify such people will vary between countries and regions depending on cultural perceptions about concepts of ethnicity and indigeneity, and the number and nature of the ethnic groups that need to be identified. </w:t>
      </w:r>
      <w:r w:rsidRPr="00ED7E61">
        <w:rPr>
          <w:rStyle w:val="eop"/>
          <w:rFonts w:asciiTheme="majorBidi" w:eastAsiaTheme="majorEastAsia" w:hAnsiTheme="majorBidi" w:cstheme="majorBidi"/>
        </w:rPr>
        <w:t> </w:t>
      </w:r>
    </w:p>
    <w:p w14:paraId="6CCDEBFA"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rStyle w:val="normaltextrun"/>
          <w:rFonts w:asciiTheme="majorBidi" w:eastAsiaTheme="majorEastAsia" w:hAnsiTheme="majorBidi" w:cstheme="majorBidi"/>
        </w:rPr>
        <w:t>Many countries already have their own definitions or criteria, and information is generally collected through national census or surveys. Such national data collection exercises can be used to calculate the indicator.  </w:t>
      </w:r>
      <w:r w:rsidRPr="00ED7E61">
        <w:rPr>
          <w:rStyle w:val="eop"/>
          <w:rFonts w:asciiTheme="majorBidi" w:eastAsiaTheme="majorEastAsia" w:hAnsiTheme="majorBidi" w:cstheme="majorBidi"/>
        </w:rPr>
        <w:t> </w:t>
      </w:r>
    </w:p>
    <w:p w14:paraId="32E2C33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5b. Method of computation</w:t>
      </w:r>
      <w:r w:rsidRPr="00ED7E61">
        <w:rPr>
          <w:rStyle w:val="eop"/>
          <w:rFonts w:asciiTheme="majorBidi" w:eastAsiaTheme="majorEastAsia" w:hAnsiTheme="majorBidi" w:cstheme="majorBidi"/>
          <w:sz w:val="22"/>
          <w:szCs w:val="22"/>
        </w:rPr>
        <w:t> </w:t>
      </w:r>
    </w:p>
    <w:p w14:paraId="6F613307" w14:textId="025BE4DD"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color w:val="000000"/>
        </w:rPr>
      </w:pPr>
      <w:r w:rsidRPr="00ED7E61">
        <w:rPr>
          <w:rStyle w:val="normaltextrun"/>
          <w:rFonts w:asciiTheme="majorBidi" w:eastAsiaTheme="majorEastAsia" w:hAnsiTheme="majorBidi" w:cstheme="majorBidi"/>
        </w:rPr>
        <w:t xml:space="preserve">The indicator will need to be measured across scales. Using the binary question below could be the first step to compute the indicator. </w:t>
      </w:r>
      <w:r w:rsidR="008D3953">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 xml:space="preserve">ountries could </w:t>
      </w:r>
      <w:r w:rsidR="008D3953">
        <w:rPr>
          <w:rStyle w:val="normaltextrun"/>
          <w:rFonts w:asciiTheme="majorBidi" w:eastAsiaTheme="majorEastAsia" w:hAnsiTheme="majorBidi" w:cstheme="majorBidi"/>
        </w:rPr>
        <w:t xml:space="preserve">also </w:t>
      </w:r>
      <w:r w:rsidRPr="00ED7E61">
        <w:rPr>
          <w:rStyle w:val="normaltextrun"/>
          <w:rFonts w:asciiTheme="majorBidi" w:eastAsiaTheme="majorEastAsia" w:hAnsiTheme="majorBidi" w:cstheme="majorBidi"/>
        </w:rPr>
        <w:t xml:space="preserve">be asked whether they offer programs focused on indigenous peoples and local communities engaged in traditional occupations. It is still to be determined if the question about programs will include the topics of some/co-management/full management of lands by </w:t>
      </w:r>
      <w:r w:rsidR="00E66AF2">
        <w:rPr>
          <w:rStyle w:val="normaltextrun"/>
          <w:rFonts w:asciiTheme="majorBidi" w:eastAsiaTheme="majorEastAsia" w:hAnsiTheme="majorBidi" w:cstheme="majorBidi"/>
        </w:rPr>
        <w:t>indigenous peoples</w:t>
      </w:r>
      <w:r w:rsidR="00E66AF2"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and </w:t>
      </w:r>
      <w:r w:rsidR="00E66AF2">
        <w:rPr>
          <w:rStyle w:val="normaltextrun"/>
          <w:rFonts w:asciiTheme="majorBidi" w:eastAsiaTheme="majorEastAsia" w:hAnsiTheme="majorBidi" w:cstheme="majorBidi"/>
        </w:rPr>
        <w:t>local communities</w:t>
      </w:r>
      <w:r w:rsidRPr="00ED7E61">
        <w:rPr>
          <w:rStyle w:val="normaltextrun"/>
          <w:rFonts w:asciiTheme="majorBidi" w:eastAsiaTheme="majorEastAsia" w:hAnsiTheme="majorBidi" w:cstheme="majorBidi"/>
        </w:rPr>
        <w:t xml:space="preserve">, use of Indigenous </w:t>
      </w:r>
      <w:r w:rsidR="008D3953" w:rsidRPr="00ED7E61">
        <w:rPr>
          <w:rStyle w:val="normaltextrun"/>
          <w:rFonts w:asciiTheme="majorBidi" w:eastAsiaTheme="majorEastAsia" w:hAnsiTheme="majorBidi" w:cstheme="majorBidi"/>
        </w:rPr>
        <w:t>Knowledge</w:t>
      </w:r>
      <w:r w:rsidRPr="00ED7E61">
        <w:rPr>
          <w:rStyle w:val="normaltextrun"/>
          <w:rFonts w:asciiTheme="majorBidi" w:eastAsiaTheme="majorEastAsia" w:hAnsiTheme="majorBidi" w:cstheme="majorBidi"/>
        </w:rPr>
        <w:t xml:space="preserve"> (IK) in land management, access to traditional foods, education policies promoting the learning of </w:t>
      </w:r>
      <w:r w:rsidR="003B3DBC">
        <w:rPr>
          <w:rStyle w:val="normaltextrun"/>
          <w:rFonts w:asciiTheme="majorBidi" w:eastAsiaTheme="majorEastAsia" w:hAnsiTheme="majorBidi" w:cstheme="majorBidi"/>
        </w:rPr>
        <w:t>indigenous peoples</w:t>
      </w:r>
      <w:r w:rsidR="003B3DBC"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and IK, and tourism. Similar questions asked for the land tenure and language indicators could also demonstrate the support of the right of traditional occupations. Case studies and community- based monitoring and information systems would allow countries to demonstrate if countries are upholding their customary sustainable use laws and policies and programs are achieving their goals. However, the exact computation is still to be determined.</w:t>
      </w:r>
      <w:r w:rsidRPr="00ED7E61">
        <w:rPr>
          <w:rStyle w:val="eop"/>
          <w:rFonts w:asciiTheme="majorBidi" w:eastAsiaTheme="majorEastAsia" w:hAnsiTheme="majorBidi" w:cstheme="majorBidi"/>
        </w:rPr>
        <w:t> </w:t>
      </w:r>
      <w:r w:rsidRPr="00ED7E61">
        <w:rPr>
          <w:rStyle w:val="normaltextrun"/>
          <w:rFonts w:asciiTheme="majorBidi" w:eastAsiaTheme="majorEastAsia" w:hAnsiTheme="majorBidi" w:cstheme="majorBidi"/>
          <w:color w:val="000000"/>
        </w:rPr>
        <w:t> </w:t>
      </w:r>
    </w:p>
    <w:p w14:paraId="7EEF76D2" w14:textId="77777777" w:rsidR="00756F0F" w:rsidRPr="00ED7E61" w:rsidRDefault="00756F0F" w:rsidP="00B10F0C">
      <w:pPr>
        <w:pStyle w:val="CBDNormalNumber"/>
        <w:numPr>
          <w:ilvl w:val="0"/>
          <w:numId w:val="80"/>
        </w:numPr>
        <w:ind w:left="567" w:firstLine="0"/>
        <w:rPr>
          <w:rFonts w:asciiTheme="majorBidi" w:hAnsiTheme="majorBidi" w:cstheme="majorBidi"/>
        </w:rPr>
      </w:pPr>
      <w:r w:rsidRPr="00ED7E61">
        <w:rPr>
          <w:rStyle w:val="normaltextrun"/>
          <w:rFonts w:asciiTheme="majorBidi" w:eastAsiaTheme="majorEastAsia" w:hAnsiTheme="majorBidi" w:cstheme="majorBidi"/>
        </w:rPr>
        <w:t>Global:</w:t>
      </w:r>
      <w:r w:rsidRPr="00ED7E61">
        <w:rPr>
          <w:rStyle w:val="eop"/>
          <w:rFonts w:asciiTheme="majorBidi" w:eastAsiaTheme="majorEastAsia" w:hAnsiTheme="majorBidi" w:cstheme="majorBidi"/>
        </w:rPr>
        <w:t> </w:t>
      </w:r>
    </w:p>
    <w:p w14:paraId="43AE4A0E" w14:textId="5D618061" w:rsidR="00756F0F" w:rsidRPr="00ED7E61" w:rsidRDefault="00756F0F" w:rsidP="00181CB0">
      <w:pPr>
        <w:pStyle w:val="CBDNormalNumber"/>
        <w:tabs>
          <w:tab w:val="clear" w:pos="567"/>
          <w:tab w:val="clear" w:pos="1134"/>
          <w:tab w:val="clear" w:pos="1701"/>
          <w:tab w:val="clear" w:pos="2268"/>
          <w:tab w:val="left" w:pos="1985"/>
        </w:tabs>
        <w:ind w:left="1332"/>
        <w:rPr>
          <w:rFonts w:asciiTheme="majorBidi" w:hAnsiTheme="majorBidi" w:cstheme="majorBidi"/>
        </w:rPr>
      </w:pPr>
      <w:r w:rsidRPr="00ED7E61">
        <w:rPr>
          <w:rStyle w:val="normaltextrun"/>
          <w:shd w:val="clear" w:color="auto" w:fill="FFFFFF"/>
        </w:rPr>
        <w:t>Data</w:t>
      </w:r>
      <w:r w:rsidRPr="00ED7E61">
        <w:rPr>
          <w:rStyle w:val="normaltextrun"/>
          <w:rFonts w:asciiTheme="majorBidi" w:eastAsiaTheme="majorEastAsia" w:hAnsiTheme="majorBidi" w:cstheme="majorBidi"/>
        </w:rPr>
        <w:t xml:space="preserve"> collection found there was very little standardized data about </w:t>
      </w:r>
      <w:r w:rsidR="008D3953">
        <w:rPr>
          <w:rStyle w:val="normaltextrun"/>
          <w:rFonts w:asciiTheme="majorBidi" w:eastAsiaTheme="majorEastAsia" w:hAnsiTheme="majorBidi" w:cstheme="majorBidi"/>
        </w:rPr>
        <w:t>i</w:t>
      </w:r>
      <w:r w:rsidRPr="00ED7E61">
        <w:rPr>
          <w:rStyle w:val="normaltextrun"/>
          <w:rFonts w:asciiTheme="majorBidi" w:eastAsiaTheme="majorEastAsia" w:hAnsiTheme="majorBidi" w:cstheme="majorBidi"/>
        </w:rPr>
        <w:t xml:space="preserve">ndigenous </w:t>
      </w:r>
      <w:r w:rsidR="008D3953">
        <w:rPr>
          <w:rStyle w:val="normaltextrun"/>
          <w:rFonts w:asciiTheme="majorBidi" w:eastAsiaTheme="majorEastAsia" w:hAnsiTheme="majorBidi" w:cstheme="majorBidi"/>
        </w:rPr>
        <w:t>p</w:t>
      </w:r>
      <w:r w:rsidRPr="00ED7E61">
        <w:rPr>
          <w:rStyle w:val="normaltextrun"/>
          <w:rFonts w:asciiTheme="majorBidi" w:eastAsiaTheme="majorEastAsia" w:hAnsiTheme="majorBidi" w:cstheme="majorBidi"/>
        </w:rPr>
        <w:t xml:space="preserve">eoples and </w:t>
      </w:r>
      <w:r w:rsidR="008D3953">
        <w:rPr>
          <w:rStyle w:val="normaltextrun"/>
          <w:rFonts w:asciiTheme="majorBidi" w:eastAsiaTheme="majorEastAsia" w:hAnsiTheme="majorBidi" w:cstheme="majorBidi"/>
        </w:rPr>
        <w:t>l</w:t>
      </w:r>
      <w:r w:rsidRPr="00ED7E61">
        <w:rPr>
          <w:rStyle w:val="normaltextrun"/>
          <w:rFonts w:asciiTheme="majorBidi" w:eastAsiaTheme="majorEastAsia" w:hAnsiTheme="majorBidi" w:cstheme="majorBidi"/>
        </w:rPr>
        <w:t xml:space="preserve">ocal </w:t>
      </w:r>
      <w:r w:rsidR="008D3953">
        <w:rPr>
          <w:rStyle w:val="normaltextrun"/>
          <w:rFonts w:asciiTheme="majorBidi" w:eastAsiaTheme="majorEastAsia" w:hAnsiTheme="majorBidi" w:cstheme="majorBidi"/>
        </w:rPr>
        <w:t>c</w:t>
      </w:r>
      <w:r w:rsidRPr="00ED7E61">
        <w:rPr>
          <w:rStyle w:val="normaltextrun"/>
          <w:rFonts w:asciiTheme="majorBidi" w:eastAsiaTheme="majorEastAsia" w:hAnsiTheme="majorBidi" w:cstheme="majorBidi"/>
        </w:rPr>
        <w:t>ommunities and traditional occupations </w:t>
      </w:r>
      <w:r w:rsidRPr="00ED7E61">
        <w:rPr>
          <w:rStyle w:val="eop"/>
          <w:rFonts w:asciiTheme="majorBidi" w:eastAsiaTheme="majorEastAsia" w:hAnsiTheme="majorBidi" w:cstheme="majorBidi"/>
        </w:rPr>
        <w:t> </w:t>
      </w:r>
    </w:p>
    <w:p w14:paraId="105BC6FE" w14:textId="77777777"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National</w:t>
      </w:r>
      <w:r w:rsidRPr="00ED7E61">
        <w:rPr>
          <w:rStyle w:val="eop"/>
          <w:rFonts w:asciiTheme="majorBidi" w:eastAsiaTheme="majorEastAsia" w:hAnsiTheme="majorBidi" w:cstheme="majorBidi"/>
        </w:rPr>
        <w:t> </w:t>
      </w:r>
    </w:p>
    <w:p w14:paraId="2BEDB1D3" w14:textId="68EBE892" w:rsidR="00756F0F" w:rsidRPr="00ED7E61" w:rsidRDefault="00756F0F" w:rsidP="00181CB0">
      <w:pPr>
        <w:pStyle w:val="CBDNormalNumber"/>
        <w:tabs>
          <w:tab w:val="clear" w:pos="567"/>
          <w:tab w:val="clear" w:pos="1134"/>
          <w:tab w:val="clear" w:pos="1701"/>
          <w:tab w:val="clear" w:pos="2268"/>
          <w:tab w:val="left" w:pos="1985"/>
        </w:tabs>
        <w:ind w:left="1332"/>
        <w:rPr>
          <w:rStyle w:val="normaltextrun"/>
          <w:shd w:val="clear" w:color="auto" w:fill="FFFFFF"/>
        </w:rPr>
      </w:pPr>
      <w:r w:rsidRPr="00ED7E61">
        <w:rPr>
          <w:rStyle w:val="normaltextrun"/>
          <w:shd w:val="clear" w:color="auto" w:fill="FFFFFF"/>
        </w:rPr>
        <w:t xml:space="preserve">Between the discussions with the staff of the International Labour Office and their 2023 Traditional Occupations of Indigenous and Tribal Peoples in Labour Statistics it became clear due to the lack of inclusion of </w:t>
      </w:r>
      <w:r w:rsidR="00E910FA">
        <w:rPr>
          <w:rStyle w:val="normaltextrun"/>
          <w:shd w:val="clear" w:color="auto" w:fill="FFFFFF"/>
        </w:rPr>
        <w:t>indigenous peoples</w:t>
      </w:r>
      <w:r w:rsidR="00E910FA" w:rsidRPr="00ED7E61">
        <w:rPr>
          <w:rStyle w:val="normaltextrun"/>
          <w:shd w:val="clear" w:color="auto" w:fill="FFFFFF"/>
        </w:rPr>
        <w:t xml:space="preserve"> </w:t>
      </w:r>
      <w:r w:rsidRPr="00ED7E61">
        <w:rPr>
          <w:rStyle w:val="normaltextrun"/>
          <w:shd w:val="clear" w:color="auto" w:fill="FFFFFF"/>
        </w:rPr>
        <w:t xml:space="preserve">and </w:t>
      </w:r>
      <w:r w:rsidR="00E910FA">
        <w:rPr>
          <w:rStyle w:val="normaltextrun"/>
          <w:shd w:val="clear" w:color="auto" w:fill="FFFFFF"/>
        </w:rPr>
        <w:t>l</w:t>
      </w:r>
      <w:r w:rsidRPr="00ED7E61">
        <w:rPr>
          <w:rStyle w:val="normaltextrun"/>
          <w:shd w:val="clear" w:color="auto" w:fill="FFFFFF"/>
        </w:rPr>
        <w:t xml:space="preserve">ocal </w:t>
      </w:r>
      <w:r w:rsidR="00E910FA">
        <w:rPr>
          <w:rStyle w:val="normaltextrun"/>
          <w:shd w:val="clear" w:color="auto" w:fill="FFFFFF"/>
        </w:rPr>
        <w:t>c</w:t>
      </w:r>
      <w:r w:rsidRPr="00ED7E61">
        <w:rPr>
          <w:rStyle w:val="normaltextrun"/>
          <w:shd w:val="clear" w:color="auto" w:fill="FFFFFF"/>
        </w:rPr>
        <w:t xml:space="preserve">ommunities (LC) in countries’ census processes it is difficult to measure this indicator on a global and national level. </w:t>
      </w:r>
      <w:proofErr w:type="gramStart"/>
      <w:r w:rsidRPr="00ED7E61">
        <w:rPr>
          <w:rStyle w:val="normaltextrun"/>
          <w:shd w:val="clear" w:color="auto" w:fill="FFFFFF"/>
        </w:rPr>
        <w:t>Instead</w:t>
      </w:r>
      <w:proofErr w:type="gramEnd"/>
      <w:r w:rsidRPr="00ED7E61">
        <w:rPr>
          <w:rStyle w:val="normaltextrun"/>
          <w:shd w:val="clear" w:color="auto" w:fill="FFFFFF"/>
        </w:rPr>
        <w:t xml:space="preserve"> as described above of other possible ways to compute this indicator.  </w:t>
      </w:r>
    </w:p>
    <w:p w14:paraId="58CBC44B" w14:textId="77777777"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Community</w:t>
      </w:r>
      <w:r w:rsidRPr="00ED7E61">
        <w:rPr>
          <w:rStyle w:val="eop"/>
          <w:rFonts w:asciiTheme="majorBidi" w:eastAsiaTheme="majorEastAsia" w:hAnsiTheme="majorBidi" w:cstheme="majorBidi"/>
        </w:rPr>
        <w:t> </w:t>
      </w:r>
    </w:p>
    <w:p w14:paraId="1C364684" w14:textId="3D461337" w:rsidR="00756F0F" w:rsidRPr="00ED7E61" w:rsidRDefault="00756F0F" w:rsidP="00CD72DE">
      <w:pPr>
        <w:pStyle w:val="CBDNormalNumber"/>
        <w:tabs>
          <w:tab w:val="clear" w:pos="567"/>
          <w:tab w:val="clear" w:pos="1134"/>
          <w:tab w:val="clear" w:pos="1701"/>
          <w:tab w:val="clear" w:pos="2268"/>
          <w:tab w:val="left" w:pos="1985"/>
        </w:tabs>
        <w:ind w:left="1332"/>
        <w:rPr>
          <w:rStyle w:val="normaltextrun"/>
          <w:shd w:val="clear" w:color="auto" w:fill="FFFFFF"/>
        </w:rPr>
      </w:pPr>
      <w:r w:rsidRPr="00ED7E61">
        <w:rPr>
          <w:rStyle w:val="normaltextrun"/>
          <w:shd w:val="clear" w:color="auto" w:fill="FFFFFF"/>
        </w:rPr>
        <w:t>Data collection demonstrated there are available sources of community -based monitoring and information systems and case studies that could provide both quantitative and qualitative date</w:t>
      </w:r>
      <w:r w:rsidR="00CD72DE">
        <w:rPr>
          <w:rStyle w:val="normaltextrun"/>
          <w:shd w:val="clear" w:color="auto" w:fill="FFFFFF"/>
        </w:rPr>
        <w:t xml:space="preserve">. </w:t>
      </w:r>
    </w:p>
    <w:p w14:paraId="693C048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3E8783D1" w14:textId="445BE738" w:rsidR="00756F0F" w:rsidRPr="00812871" w:rsidRDefault="00756F0F" w:rsidP="00B10F0C">
      <w:pPr>
        <w:pStyle w:val="CBDNormalNumber"/>
        <w:numPr>
          <w:ilvl w:val="0"/>
          <w:numId w:val="80"/>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rPr>
        <w:t>Forest Peoples Program (FPP) collaborated with a team at the University of Michigan (UM) to research what data is available about traditional occupations, what are the themes, and how is the data presented. After multiple meetings and including a meeting with FPP staff and International Labor Office staff the UM team decided to create a spreadsheet and focus on four resources to research. The four resources included the Indigenous Navigator (found 39 entries that matched the key word searches), Local Biodiversity Outlook (49 different case studies/</w:t>
      </w:r>
      <w:proofErr w:type="gramStart"/>
      <w:r w:rsidRPr="00ED7E61">
        <w:rPr>
          <w:rStyle w:val="normaltextrun"/>
          <w:rFonts w:asciiTheme="majorBidi" w:eastAsiaTheme="majorEastAsia" w:hAnsiTheme="majorBidi" w:cstheme="majorBidi"/>
        </w:rPr>
        <w:t>community based</w:t>
      </w:r>
      <w:proofErr w:type="gramEnd"/>
      <w:r w:rsidRPr="00ED7E61">
        <w:rPr>
          <w:rStyle w:val="normaltextrun"/>
          <w:rFonts w:asciiTheme="majorBidi" w:eastAsiaTheme="majorEastAsia" w:hAnsiTheme="majorBidi" w:cstheme="majorBidi"/>
        </w:rPr>
        <w:t xml:space="preserve"> monitoring and information systems entries), academic articles (51 articles found and used Google Scholar), and media sources (10 sources found, but limited time spent on search. The UM team used agreed-upon keywords for searches like livelihoods, co-management, traditional occupation, and subsistence. </w:t>
      </w:r>
      <w:r w:rsidR="008D3953">
        <w:rPr>
          <w:rStyle w:val="normaltextrun"/>
          <w:rFonts w:asciiTheme="majorBidi" w:eastAsiaTheme="majorEastAsia" w:hAnsiTheme="majorBidi" w:cstheme="majorBidi"/>
        </w:rPr>
        <w:t>Y</w:t>
      </w:r>
      <w:r w:rsidRPr="00ED7E61">
        <w:rPr>
          <w:rStyle w:val="normaltextrun"/>
          <w:rFonts w:asciiTheme="majorBidi" w:eastAsiaTheme="majorEastAsia" w:hAnsiTheme="majorBidi" w:cstheme="majorBidi"/>
        </w:rPr>
        <w:t xml:space="preserve">ears parameters for searches were 2011-2023. They produced </w:t>
      </w:r>
      <w:r w:rsidR="008D3953">
        <w:rPr>
          <w:rStyle w:val="normaltextrun"/>
          <w:rFonts w:asciiTheme="majorBidi" w:eastAsiaTheme="majorEastAsia" w:hAnsiTheme="majorBidi" w:cstheme="majorBidi"/>
        </w:rPr>
        <w:t xml:space="preserve">a </w:t>
      </w:r>
      <w:r w:rsidRPr="00ED7E61">
        <w:rPr>
          <w:rStyle w:val="normaltextrun"/>
          <w:rFonts w:asciiTheme="majorBidi" w:eastAsiaTheme="majorEastAsia" w:hAnsiTheme="majorBidi" w:cstheme="majorBidi"/>
        </w:rPr>
        <w:t>spreadsheet</w:t>
      </w:r>
      <w:r w:rsidR="008D3953">
        <w:rPr>
          <w:rStyle w:val="FootnoteReference"/>
          <w:rFonts w:asciiTheme="majorBidi" w:eastAsiaTheme="majorEastAsia" w:hAnsiTheme="majorBidi" w:cstheme="majorBidi"/>
        </w:rPr>
        <w:footnoteReference w:id="28"/>
      </w:r>
      <w:r w:rsidRPr="00ED7E61">
        <w:rPr>
          <w:rStyle w:val="normaltextrun"/>
          <w:rFonts w:asciiTheme="majorBidi" w:eastAsiaTheme="majorEastAsia" w:hAnsiTheme="majorBidi" w:cstheme="majorBidi"/>
        </w:rPr>
        <w:t xml:space="preserve">, which </w:t>
      </w:r>
      <w:r w:rsidRPr="00ED7E61">
        <w:rPr>
          <w:rStyle w:val="normaltextrun"/>
          <w:rFonts w:asciiTheme="majorBidi" w:eastAsiaTheme="majorEastAsia" w:hAnsiTheme="majorBidi" w:cstheme="majorBidi"/>
        </w:rPr>
        <w:lastRenderedPageBreak/>
        <w:t>includes 43 countries, which means the country appeared in at least one of the four search areas and sometimes more than one. </w:t>
      </w:r>
      <w:r w:rsidRPr="00ED7E61">
        <w:rPr>
          <w:rStyle w:val="eop"/>
          <w:rFonts w:asciiTheme="majorBidi" w:eastAsiaTheme="majorEastAsia" w:hAnsiTheme="majorBidi" w:cstheme="majorBidi"/>
        </w:rPr>
        <w:t> </w:t>
      </w:r>
    </w:p>
    <w:p w14:paraId="0B5AC9C9" w14:textId="77777777" w:rsidR="00EC3B5C" w:rsidRPr="00ED7E61" w:rsidRDefault="00EC3B5C" w:rsidP="00812871">
      <w:pPr>
        <w:pStyle w:val="CBDNormalNumber"/>
        <w:shd w:val="clear" w:color="auto" w:fill="FFFFFF"/>
        <w:ind w:left="567"/>
        <w:rPr>
          <w:rFonts w:asciiTheme="majorBidi" w:hAnsiTheme="majorBidi" w:cstheme="majorBidi"/>
        </w:rPr>
      </w:pPr>
    </w:p>
    <w:p w14:paraId="6A4A2426" w14:textId="74FBB968" w:rsidR="00756F0F" w:rsidRPr="00ED7E61" w:rsidRDefault="00756F0F" w:rsidP="005B0D1E">
      <w:pPr>
        <w:pStyle w:val="paragraph"/>
        <w:spacing w:before="0" w:beforeAutospacing="0" w:after="0" w:afterAutospacing="0"/>
        <w:textAlignment w:val="baseline"/>
        <w:rPr>
          <w:rStyle w:val="normaltextrun"/>
          <w:rFonts w:eastAsiaTheme="majorEastAsia"/>
          <w:lang w:val="en-GB"/>
        </w:rPr>
      </w:pPr>
      <w:r w:rsidRPr="00ED7E61">
        <w:rPr>
          <w:rStyle w:val="normaltextrun"/>
          <w:rFonts w:asciiTheme="majorBidi" w:eastAsiaTheme="majorEastAsia" w:hAnsiTheme="majorBidi" w:cstheme="majorBidi"/>
          <w:b/>
          <w:bCs/>
          <w:sz w:val="22"/>
          <w:szCs w:val="22"/>
          <w:lang w:val="en-GB"/>
        </w:rPr>
        <w:t xml:space="preserve">5d. Accessibility </w:t>
      </w:r>
      <w:r w:rsidRPr="00ED7E61">
        <w:rPr>
          <w:rStyle w:val="normaltextrun"/>
          <w:rFonts w:asciiTheme="majorBidi" w:eastAsiaTheme="majorEastAsia" w:hAnsiTheme="majorBidi" w:cstheme="majorBidi"/>
          <w:sz w:val="22"/>
          <w:szCs w:val="22"/>
          <w:lang w:val="en-GB"/>
        </w:rPr>
        <w:t>of methodology</w:t>
      </w:r>
      <w:r w:rsidRPr="00ED7E61">
        <w:rPr>
          <w:rStyle w:val="normaltextrun"/>
          <w:rFonts w:eastAsiaTheme="majorEastAsia"/>
          <w:lang w:val="en-GB"/>
        </w:rPr>
        <w:t> </w:t>
      </w:r>
    </w:p>
    <w:p w14:paraId="3959AF3B" w14:textId="43716606"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methodology </w:t>
      </w:r>
      <w:r w:rsidR="006D4820">
        <w:rPr>
          <w:rStyle w:val="normaltextrun"/>
          <w:rFonts w:asciiTheme="majorBidi" w:eastAsiaTheme="majorEastAsia" w:hAnsiTheme="majorBidi" w:cstheme="majorBidi"/>
        </w:rPr>
        <w:t xml:space="preserve">by the </w:t>
      </w:r>
      <w:r w:rsidR="000544CB">
        <w:rPr>
          <w:rStyle w:val="normaltextrun"/>
          <w:rFonts w:asciiTheme="majorBidi" w:eastAsiaTheme="majorEastAsia" w:hAnsiTheme="majorBidi" w:cstheme="majorBidi"/>
        </w:rPr>
        <w:t xml:space="preserve">team at the University of Michigan </w:t>
      </w:r>
      <w:r w:rsidRPr="00ED7E61">
        <w:rPr>
          <w:rStyle w:val="normaltextrun"/>
          <w:rFonts w:asciiTheme="majorBidi" w:eastAsiaTheme="majorEastAsia" w:hAnsiTheme="majorBidi" w:cstheme="majorBidi"/>
        </w:rPr>
        <w:t xml:space="preserve">is not currently published in a peer-reviewed location. The spreadsheet </w:t>
      </w:r>
      <w:r w:rsidR="000544CB">
        <w:rPr>
          <w:rStyle w:val="normaltextrun"/>
          <w:rFonts w:asciiTheme="majorBidi" w:eastAsiaTheme="majorEastAsia" w:hAnsiTheme="majorBidi" w:cstheme="majorBidi"/>
        </w:rPr>
        <w:t xml:space="preserve">they produced </w:t>
      </w:r>
      <w:r w:rsidRPr="00ED7E61">
        <w:rPr>
          <w:rStyle w:val="normaltextrun"/>
          <w:rFonts w:asciiTheme="majorBidi" w:eastAsiaTheme="majorEastAsia" w:hAnsiTheme="majorBidi" w:cstheme="majorBidi"/>
        </w:rPr>
        <w:t>is open to anyone with a link and there are further links in the spreadsheet to the four different types of research areas. However, some of the academic articles are not open source and behind a paywall. People can access the websites</w:t>
      </w:r>
      <w:r w:rsidR="00DA2D37">
        <w:rPr>
          <w:rStyle w:val="normaltextrun"/>
          <w:rFonts w:asciiTheme="majorBidi" w:eastAsiaTheme="majorEastAsia" w:hAnsiTheme="majorBidi" w:cstheme="majorBidi"/>
        </w:rPr>
        <w:t xml:space="preserve"> and public data</w:t>
      </w:r>
      <w:r w:rsidRPr="00ED7E61">
        <w:rPr>
          <w:rStyle w:val="normaltextrun"/>
          <w:rFonts w:asciiTheme="majorBidi" w:eastAsiaTheme="majorEastAsia" w:hAnsiTheme="majorBidi" w:cstheme="majorBidi"/>
        </w:rPr>
        <w:t xml:space="preserve"> of the Indigenous Navigator and the Local Biodiversity Outlook on their own</w:t>
      </w:r>
      <w:r w:rsidR="00DA2D37">
        <w:rPr>
          <w:rStyle w:val="normaltextrun"/>
          <w:rFonts w:asciiTheme="majorBidi" w:eastAsiaTheme="majorEastAsia" w:hAnsiTheme="majorBidi" w:cstheme="majorBidi"/>
        </w:rPr>
        <w:t>, including the data and methodology submissions produced by the Indigenous Navigator consortium in February 2026</w:t>
      </w:r>
      <w:r w:rsidRPr="00ED7E61">
        <w:rPr>
          <w:rStyle w:val="normaltextrun"/>
          <w:rFonts w:asciiTheme="majorBidi" w:eastAsiaTheme="majorEastAsia" w:hAnsiTheme="majorBidi" w:cstheme="majorBidi"/>
        </w:rPr>
        <w:t xml:space="preserve">. A 2023 discussion paper </w:t>
      </w:r>
      <w:r w:rsidRPr="00ED7E61">
        <w:rPr>
          <w:rStyle w:val="normaltextrun"/>
          <w:rFonts w:asciiTheme="majorBidi" w:eastAsiaTheme="majorEastAsia" w:hAnsiTheme="majorBidi" w:cstheme="majorBidi"/>
          <w:i/>
          <w:iCs/>
        </w:rPr>
        <w:t>Traditional Occupations of Indigenous and Tribal Peoples in Labour Statistics</w:t>
      </w:r>
      <w:r w:rsidRPr="00ED7E61">
        <w:rPr>
          <w:rStyle w:val="normaltextrun"/>
          <w:rFonts w:asciiTheme="majorBidi" w:eastAsiaTheme="majorEastAsia" w:hAnsiTheme="majorBidi" w:cstheme="majorBidi"/>
        </w:rPr>
        <w:t xml:space="preserve"> has been prepared by the International Labour Organization which provides further information, including on the limitations of this approach (T</w:t>
      </w:r>
      <w:r w:rsidRPr="00ED7E61">
        <w:rPr>
          <w:rStyle w:val="normaltextrun"/>
          <w:rFonts w:asciiTheme="majorBidi" w:eastAsiaTheme="majorEastAsia" w:hAnsiTheme="majorBidi" w:cstheme="majorBidi"/>
          <w:i/>
          <w:iCs/>
        </w:rPr>
        <w:t>raditional Occupations of Indigenous and Tribal Peoples in Labour Statistics</w:t>
      </w:r>
      <w:r w:rsidRPr="00ED7E61">
        <w:rPr>
          <w:rStyle w:val="normaltextrun"/>
          <w:rFonts w:asciiTheme="majorBidi" w:eastAsiaTheme="majorEastAsia" w:hAnsiTheme="majorBidi" w:cstheme="majorBidi"/>
        </w:rPr>
        <w:t>. Geneva: International Labour Office, 2023).</w:t>
      </w:r>
      <w:r w:rsidRPr="00ED7E61">
        <w:rPr>
          <w:rStyle w:val="eop"/>
          <w:rFonts w:asciiTheme="majorBidi" w:eastAsiaTheme="majorEastAsia" w:hAnsiTheme="majorBidi" w:cstheme="majorBidi"/>
        </w:rPr>
        <w:t> </w:t>
      </w:r>
    </w:p>
    <w:p w14:paraId="40A433B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3A08DF12" w14:textId="77777777" w:rsidR="001B6CDD" w:rsidRPr="00812871" w:rsidRDefault="00756F0F" w:rsidP="00B10F0C">
      <w:pPr>
        <w:pStyle w:val="CBDNormalNumber"/>
        <w:numPr>
          <w:ilvl w:val="0"/>
          <w:numId w:val="80"/>
        </w:numPr>
        <w:shd w:val="clear" w:color="auto" w:fill="FFFFFF"/>
        <w:ind w:left="567" w:firstLine="0"/>
        <w:rPr>
          <w:rStyle w:val="normaltextrun"/>
          <w:rFonts w:asciiTheme="majorBidi" w:hAnsiTheme="majorBidi" w:cstheme="majorBidi"/>
        </w:rPr>
      </w:pPr>
      <w:r w:rsidRPr="00ED7E61">
        <w:rPr>
          <w:rStyle w:val="normaltextrun"/>
          <w:rFonts w:asciiTheme="majorBidi" w:eastAsiaTheme="majorEastAsia" w:hAnsiTheme="majorBidi" w:cstheme="majorBidi"/>
        </w:rPr>
        <w:t xml:space="preserve">The data collected so far included data and information from </w:t>
      </w:r>
      <w:r w:rsidR="001B6CDD">
        <w:rPr>
          <w:rStyle w:val="normaltextrun"/>
          <w:rFonts w:asciiTheme="majorBidi" w:eastAsiaTheme="majorEastAsia" w:hAnsiTheme="majorBidi" w:cstheme="majorBidi"/>
        </w:rPr>
        <w:t>a range of sources including:</w:t>
      </w:r>
    </w:p>
    <w:p w14:paraId="0C90CC59" w14:textId="77777777" w:rsidR="00352105" w:rsidRDefault="00352105" w:rsidP="00352105">
      <w:pPr>
        <w:pStyle w:val="CBDNormalNumber"/>
        <w:numPr>
          <w:ilvl w:val="1"/>
          <w:numId w:val="80"/>
        </w:numPr>
        <w:shd w:val="clear" w:color="auto" w:fill="FFFFFF"/>
        <w:rPr>
          <w:rStyle w:val="normaltextrun"/>
          <w:rFonts w:asciiTheme="majorBidi" w:hAnsiTheme="majorBidi" w:cstheme="majorBidi"/>
        </w:rPr>
      </w:pPr>
      <w:r>
        <w:rPr>
          <w:rStyle w:val="normaltextrun"/>
        </w:rPr>
        <w:t xml:space="preserve">The Indigenous Navigator: a global, rights-based monitoring framework coordinated by IWGIA and implemented by Indigenous organizations and communities. It provides structured, community-generated data on traditional occupations, including identification and classification of occupations, 20-year trends, gender-disaggregated participation, barriers and enabling conditions (e.g., land tenure, FPIC, market access), and national-level policy indicators. The Indigenous Navigator has conducted over 300 community surveys and national questionnaires across 30 countries, with data publicly accessible at https://indigenousnavigator.org/data-explorer/2. </w:t>
      </w:r>
    </w:p>
    <w:p w14:paraId="3D603131" w14:textId="77777777" w:rsidR="00352105" w:rsidRDefault="00352105" w:rsidP="00352105">
      <w:pPr>
        <w:pStyle w:val="CBDNormalNumber"/>
        <w:numPr>
          <w:ilvl w:val="1"/>
          <w:numId w:val="80"/>
        </w:numPr>
        <w:shd w:val="clear" w:color="auto" w:fill="FFFFFF"/>
      </w:pPr>
      <w:r>
        <w:rPr>
          <w:rStyle w:val="normaltextrun"/>
        </w:rPr>
        <w:t xml:space="preserve">The ILO’s 2023 report, Traditional Occupations of Indigenous and Tribal Peoples in Labour Statistics, which includes micro-analyses of multiple countries and highlights the limitations of current labour force data in capturing Indigenous traditional </w:t>
      </w:r>
      <w:proofErr w:type="gramStart"/>
      <w:r>
        <w:rPr>
          <w:rStyle w:val="normaltextrun"/>
        </w:rPr>
        <w:t>occupations..</w:t>
      </w:r>
      <w:proofErr w:type="gramEnd"/>
      <w:r>
        <w:rPr>
          <w:rStyle w:val="eop"/>
          <w:rFonts w:asciiTheme="majorBidi" w:hAnsiTheme="majorBidi"/>
        </w:rPr>
        <w:t> </w:t>
      </w:r>
    </w:p>
    <w:p w14:paraId="338156E4" w14:textId="7B6F2735" w:rsidR="00352105" w:rsidRPr="00812871" w:rsidRDefault="00352105">
      <w:pPr>
        <w:pStyle w:val="CBDNormalNumber"/>
        <w:numPr>
          <w:ilvl w:val="0"/>
          <w:numId w:val="80"/>
        </w:numPr>
        <w:shd w:val="clear" w:color="auto" w:fill="FFFFFF"/>
        <w:rPr>
          <w:rStyle w:val="normaltextrun"/>
          <w:rFonts w:asciiTheme="majorBidi" w:hAnsiTheme="majorBidi" w:cstheme="majorBidi"/>
        </w:rPr>
      </w:pPr>
      <w:r>
        <w:rPr>
          <w:rStyle w:val="normaltextrun"/>
        </w:rPr>
        <w:t>Indigenous-led organizations, such as the Inuit Circumpolar Council-Alaska and others participating in the Indigenous Navigator Consortium, such as Asia Indigenous Peoples Pact, contribute case studies and community-based monitoring data that support the application and contextualization of this indicator and monitoring of customary sustainable use more broadly. These sources provide data on the lived realities and evolving practices of Indigenous Peoples and local communities in relation to traditional occupations. </w:t>
      </w:r>
      <w:r>
        <w:rPr>
          <w:rStyle w:val="eop"/>
          <w:rFonts w:asciiTheme="majorBidi" w:hAnsiTheme="majorBidi"/>
        </w:rPr>
        <w:t> </w:t>
      </w:r>
    </w:p>
    <w:p w14:paraId="78A66BFF" w14:textId="2493A1C3"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238A042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00CE4961" w14:textId="2DEF0351" w:rsidR="00756F0F" w:rsidRPr="00812871" w:rsidRDefault="00756F0F" w:rsidP="00B10F0C">
      <w:pPr>
        <w:pStyle w:val="CBDNormalNumber"/>
        <w:numPr>
          <w:ilvl w:val="0"/>
          <w:numId w:val="80"/>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rPr>
        <w:t xml:space="preserve">The </w:t>
      </w:r>
      <w:r w:rsidR="00352105">
        <w:rPr>
          <w:rStyle w:val="normaltextrun"/>
          <w:rFonts w:asciiTheme="majorBidi" w:eastAsiaTheme="majorEastAsia" w:hAnsiTheme="majorBidi" w:cstheme="majorBidi"/>
        </w:rPr>
        <w:t xml:space="preserve">percentage </w:t>
      </w:r>
      <w:r w:rsidRPr="00ED7E61">
        <w:rPr>
          <w:rStyle w:val="normaltextrun"/>
          <w:rFonts w:asciiTheme="majorBidi" w:eastAsiaTheme="majorEastAsia" w:hAnsiTheme="majorBidi" w:cstheme="majorBidi"/>
        </w:rPr>
        <w:t>indicator is currently in development. The global monitoring process for this indicator, the update frequency and release calendar are currently under development. The year when the first round of data will be ready is pending.</w:t>
      </w:r>
      <w:r w:rsidRPr="00ED7E61">
        <w:rPr>
          <w:rStyle w:val="eop"/>
          <w:rFonts w:asciiTheme="majorBidi" w:eastAsiaTheme="majorEastAsia" w:hAnsiTheme="majorBidi" w:cstheme="majorBidi"/>
        </w:rPr>
        <w:t> </w:t>
      </w:r>
    </w:p>
    <w:p w14:paraId="0E3B731A" w14:textId="77777777" w:rsidR="00AF231C" w:rsidRPr="00ED7E61" w:rsidRDefault="00AF231C" w:rsidP="00B10F0C">
      <w:pPr>
        <w:pStyle w:val="CBDNormalNumber"/>
        <w:numPr>
          <w:ilvl w:val="0"/>
          <w:numId w:val="80"/>
        </w:numPr>
        <w:shd w:val="clear" w:color="auto" w:fill="FFFFFF"/>
        <w:ind w:left="567" w:firstLine="0"/>
        <w:rPr>
          <w:rFonts w:asciiTheme="majorBidi" w:hAnsiTheme="majorBidi" w:cstheme="majorBidi"/>
        </w:rPr>
      </w:pPr>
    </w:p>
    <w:p w14:paraId="04E1AF5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1111AD6" w14:textId="77777777" w:rsidR="00756F0F" w:rsidRPr="00812871" w:rsidRDefault="00756F0F" w:rsidP="00B10F0C">
      <w:pPr>
        <w:pStyle w:val="CBDNormalNumber"/>
        <w:numPr>
          <w:ilvl w:val="0"/>
          <w:numId w:val="80"/>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rPr>
        <w:t>The indicator is under development. To be determined. The University of Michigan team researched from the years 2011-2023</w:t>
      </w:r>
      <w:r w:rsidRPr="00ED7E61">
        <w:rPr>
          <w:rStyle w:val="eop"/>
          <w:rFonts w:asciiTheme="majorBidi" w:eastAsiaTheme="majorEastAsia" w:hAnsiTheme="majorBidi" w:cstheme="majorBidi"/>
        </w:rPr>
        <w:t> </w:t>
      </w:r>
    </w:p>
    <w:p w14:paraId="4720284B" w14:textId="77777777" w:rsidR="0025176E" w:rsidRPr="00ED7E61" w:rsidRDefault="0025176E" w:rsidP="00812871">
      <w:pPr>
        <w:pStyle w:val="CBDNormalNumber"/>
        <w:shd w:val="clear" w:color="auto" w:fill="FFFFFF"/>
        <w:ind w:left="567"/>
        <w:rPr>
          <w:rFonts w:asciiTheme="majorBidi" w:hAnsiTheme="majorBidi" w:cstheme="majorBidi"/>
        </w:rPr>
      </w:pPr>
    </w:p>
    <w:p w14:paraId="683F74D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lastRenderedPageBreak/>
        <w:t>5h. Data providers</w:t>
      </w:r>
      <w:r w:rsidRPr="00ED7E61">
        <w:rPr>
          <w:rStyle w:val="eop"/>
          <w:rFonts w:asciiTheme="majorBidi" w:eastAsiaTheme="majorEastAsia" w:hAnsiTheme="majorBidi" w:cstheme="majorBidi"/>
          <w:sz w:val="22"/>
          <w:szCs w:val="22"/>
        </w:rPr>
        <w:t> </w:t>
      </w:r>
    </w:p>
    <w:p w14:paraId="657248AD" w14:textId="77777777" w:rsidR="00756F0F" w:rsidRPr="00ED7E61" w:rsidRDefault="00756F0F" w:rsidP="00181CB0">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International Labor Organization (ILO)</w:t>
      </w:r>
      <w:r w:rsidRPr="00ED7E61">
        <w:rPr>
          <w:rStyle w:val="normaltextrun"/>
        </w:rPr>
        <w:t> </w:t>
      </w:r>
    </w:p>
    <w:p w14:paraId="6C5AF641" w14:textId="77777777" w:rsidR="00756F0F" w:rsidRPr="00ED7E61" w:rsidRDefault="00756F0F" w:rsidP="00181CB0">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 xml:space="preserve">Indigenous Navigator supported by IWGIA, </w:t>
      </w:r>
      <w:proofErr w:type="spellStart"/>
      <w:r w:rsidRPr="00ED7E61">
        <w:rPr>
          <w:rStyle w:val="normaltextrun"/>
          <w:rFonts w:asciiTheme="majorBidi" w:eastAsiaTheme="majorEastAsia" w:hAnsiTheme="majorBidi" w:cstheme="majorBidi"/>
        </w:rPr>
        <w:t>Tebtebba</w:t>
      </w:r>
      <w:proofErr w:type="spellEnd"/>
      <w:r w:rsidRPr="00ED7E61">
        <w:rPr>
          <w:rStyle w:val="normaltextrun"/>
          <w:rFonts w:asciiTheme="majorBidi" w:eastAsiaTheme="majorEastAsia" w:hAnsiTheme="majorBidi" w:cstheme="majorBidi"/>
        </w:rPr>
        <w:t>, AIPP, Forest Peoples Programme and the Danish Institute for Human Rights, with the support of the European Union </w:t>
      </w:r>
      <w:r w:rsidRPr="00ED7E61">
        <w:rPr>
          <w:rStyle w:val="normaltextrun"/>
        </w:rPr>
        <w:t> </w:t>
      </w:r>
    </w:p>
    <w:p w14:paraId="78A5FA8B" w14:textId="4EC62E17" w:rsidR="00756F0F" w:rsidRPr="00ED7E61" w:rsidRDefault="00756F0F" w:rsidP="00181CB0">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Local Biodiversity Outlook International Indigenous Forum on Biodiversity, Indigenous Women’s Biodiversity Network, Forest Peoples Program</w:t>
      </w:r>
      <w:r w:rsidR="00A221B8">
        <w:rPr>
          <w:rStyle w:val="normaltextrun"/>
          <w:rFonts w:asciiTheme="majorBidi" w:eastAsiaTheme="majorEastAsia" w:hAnsiTheme="majorBidi" w:cstheme="majorBidi"/>
        </w:rPr>
        <w:t>m</w:t>
      </w:r>
      <w:r w:rsidRPr="00ED7E61">
        <w:rPr>
          <w:rStyle w:val="normaltextrun"/>
          <w:rFonts w:asciiTheme="majorBidi" w:eastAsiaTheme="majorEastAsia" w:hAnsiTheme="majorBidi" w:cstheme="majorBidi"/>
        </w:rPr>
        <w:t>e</w:t>
      </w:r>
      <w:r w:rsidRPr="00ED7E61">
        <w:rPr>
          <w:rStyle w:val="normaltextrun"/>
        </w:rPr>
        <w:t> </w:t>
      </w:r>
    </w:p>
    <w:p w14:paraId="1289AC19" w14:textId="77777777" w:rsidR="00756F0F" w:rsidRPr="00ED7E61" w:rsidRDefault="00756F0F" w:rsidP="00181CB0">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Media– Mongabay, WWF, Vox, Grist, UNESCO, and IISD</w:t>
      </w:r>
      <w:r w:rsidRPr="00ED7E61">
        <w:rPr>
          <w:rStyle w:val="normaltextrun"/>
        </w:rPr>
        <w:t> </w:t>
      </w:r>
    </w:p>
    <w:p w14:paraId="469BE976" w14:textId="77777777" w:rsidR="00756F0F" w:rsidRPr="00ED7E61" w:rsidRDefault="00756F0F" w:rsidP="00181CB0">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 xml:space="preserve">Academic Journals-Biological Conservation, </w:t>
      </w:r>
      <w:proofErr w:type="spellStart"/>
      <w:proofErr w:type="gramStart"/>
      <w:r w:rsidRPr="00ED7E61">
        <w:rPr>
          <w:rStyle w:val="normaltextrun"/>
          <w:rFonts w:asciiTheme="majorBidi" w:eastAsiaTheme="majorEastAsia" w:hAnsiTheme="majorBidi" w:cstheme="majorBidi"/>
        </w:rPr>
        <w:t>Forests,The</w:t>
      </w:r>
      <w:proofErr w:type="spellEnd"/>
      <w:proofErr w:type="gramEnd"/>
      <w:r w:rsidRPr="00ED7E61">
        <w:rPr>
          <w:rStyle w:val="normaltextrun"/>
          <w:rFonts w:asciiTheme="majorBidi" w:eastAsiaTheme="majorEastAsia" w:hAnsiTheme="majorBidi" w:cstheme="majorBidi"/>
        </w:rPr>
        <w:t xml:space="preserve"> International Journal of Climate Change: Impacts and Responses, Health &amp; Place, Development and Change, Marine Policy, Forest Ecology and Management, Identities, Journal of Ethnobiology and Ethnomedicine, Habitat International, BMC Public Health, International Journal for Equity in Health, and more</w:t>
      </w:r>
      <w:r w:rsidRPr="00ED7E61">
        <w:rPr>
          <w:rStyle w:val="normaltextrun"/>
        </w:rPr>
        <w:t> </w:t>
      </w:r>
    </w:p>
    <w:p w14:paraId="66583E6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25F4D96" w14:textId="75985EC8" w:rsidR="00756F0F" w:rsidRPr="00ED7E61" w:rsidRDefault="00756F0F" w:rsidP="006C6D97">
      <w:pPr>
        <w:pStyle w:val="CBDNormalNumber"/>
        <w:numPr>
          <w:ilvl w:val="0"/>
          <w:numId w:val="80"/>
        </w:numPr>
        <w:shd w:val="clear" w:color="auto" w:fill="FFFFFF"/>
        <w:ind w:left="567" w:firstLine="0"/>
        <w:rPr>
          <w:rFonts w:asciiTheme="majorBidi" w:hAnsiTheme="majorBidi" w:cstheme="majorBidi"/>
        </w:rPr>
      </w:pPr>
      <w:proofErr w:type="gramStart"/>
      <w:r w:rsidRPr="00ED7E61">
        <w:rPr>
          <w:rStyle w:val="normaltextrun"/>
          <w:rFonts w:asciiTheme="majorBidi" w:eastAsiaTheme="majorEastAsia" w:hAnsiTheme="majorBidi" w:cstheme="majorBidi"/>
        </w:rPr>
        <w:t>The Forest Peoples Programme (FPP),</w:t>
      </w:r>
      <w:proofErr w:type="gramEnd"/>
      <w:r w:rsidRPr="00ED7E61">
        <w:rPr>
          <w:rStyle w:val="normaltextrun"/>
          <w:rFonts w:asciiTheme="majorBidi" w:eastAsiaTheme="majorEastAsia" w:hAnsiTheme="majorBidi" w:cstheme="majorBidi"/>
        </w:rPr>
        <w:t xml:space="preserve"> are leading the development of the indicator, together with</w:t>
      </w:r>
      <w:r w:rsidR="006C6D97">
        <w:rPr>
          <w:rStyle w:val="normaltextrun"/>
          <w:rFonts w:asciiTheme="majorBidi" w:eastAsiaTheme="majorEastAsia" w:hAnsiTheme="majorBidi" w:cstheme="majorBidi"/>
        </w:rPr>
        <w:t xml:space="preserve"> </w:t>
      </w:r>
      <w:r w:rsidR="006C6D97" w:rsidRPr="006C6D97">
        <w:rPr>
          <w:rFonts w:asciiTheme="majorBidi" w:eastAsiaTheme="majorEastAsia" w:hAnsiTheme="majorBidi" w:cstheme="majorBidi"/>
          <w:lang w:val="en-CA"/>
        </w:rPr>
        <w:t xml:space="preserve">the Indigenous Navigator </w:t>
      </w:r>
      <w:proofErr w:type="gramStart"/>
      <w:r w:rsidR="006C6D97" w:rsidRPr="006C6D97">
        <w:rPr>
          <w:rFonts w:asciiTheme="majorBidi" w:eastAsiaTheme="majorEastAsia" w:hAnsiTheme="majorBidi" w:cstheme="majorBidi"/>
          <w:lang w:val="en-CA"/>
        </w:rPr>
        <w:t xml:space="preserve">consortium, </w:t>
      </w:r>
      <w:r w:rsidRPr="00ED7E61">
        <w:rPr>
          <w:rStyle w:val="normaltextrun"/>
          <w:rFonts w:asciiTheme="majorBidi" w:eastAsiaTheme="majorEastAsia" w:hAnsiTheme="majorBidi" w:cstheme="majorBidi"/>
        </w:rPr>
        <w:t xml:space="preserve"> the</w:t>
      </w:r>
      <w:proofErr w:type="gramEnd"/>
      <w:r w:rsidRPr="00ED7E61">
        <w:rPr>
          <w:rStyle w:val="normaltextrun"/>
          <w:rFonts w:asciiTheme="majorBidi" w:eastAsiaTheme="majorEastAsia" w:hAnsiTheme="majorBidi" w:cstheme="majorBidi"/>
        </w:rPr>
        <w:t xml:space="preserve"> International Labor Organization (ILO) and the team from the University of Michigan.  [To be determined] would be a potential custodian for the indicator working in collaboration with CBD Secretariat. </w:t>
      </w:r>
      <w:r w:rsidRPr="00ED7E61">
        <w:rPr>
          <w:rStyle w:val="eop"/>
          <w:rFonts w:asciiTheme="majorBidi" w:eastAsiaTheme="majorEastAsia" w:hAnsiTheme="majorBidi" w:cstheme="majorBidi"/>
        </w:rPr>
        <w:t> </w:t>
      </w:r>
    </w:p>
    <w:p w14:paraId="7D304E9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55C11720" w14:textId="63D3E042" w:rsidR="00C93B0B"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indicator is under development. To be determined.</w:t>
      </w:r>
      <w:r w:rsidRPr="00ED7E61">
        <w:rPr>
          <w:rStyle w:val="eop"/>
          <w:rFonts w:asciiTheme="majorBidi" w:eastAsiaTheme="majorEastAsia" w:hAnsiTheme="majorBidi" w:cstheme="majorBidi"/>
        </w:rPr>
        <w:t> </w:t>
      </w:r>
    </w:p>
    <w:p w14:paraId="747BBA2F" w14:textId="1C3B4B8D" w:rsidR="00C93B0B"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Overall, there is a lack of national statistics for traditional occupations. Part of this comes from the lack of questions asking if someone is Indigenous national censuses (ILO 2023). Even if </w:t>
      </w:r>
      <w:r w:rsidR="006C6D97">
        <w:rPr>
          <w:rStyle w:val="normaltextrun"/>
          <w:rFonts w:asciiTheme="majorBidi" w:eastAsiaTheme="majorEastAsia" w:hAnsiTheme="majorBidi" w:cstheme="majorBidi"/>
        </w:rPr>
        <w:t>indigenous peoples</w:t>
      </w:r>
      <w:r w:rsidR="006C6D97"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are included in the national census the population is too small to be considered statistically significant.  In their 2023 report ILO recommends microdata analysis, </w:t>
      </w:r>
      <w:r w:rsidR="005068D9" w:rsidRPr="00ED7E61">
        <w:rPr>
          <w:rStyle w:val="normaltextrun"/>
          <w:rFonts w:asciiTheme="majorBidi" w:eastAsiaTheme="majorEastAsia" w:hAnsiTheme="majorBidi" w:cstheme="majorBidi"/>
        </w:rPr>
        <w:t>labour</w:t>
      </w:r>
      <w:r w:rsidRPr="00ED7E61">
        <w:rPr>
          <w:rStyle w:val="normaltextrun"/>
          <w:rFonts w:asciiTheme="majorBidi" w:eastAsiaTheme="majorEastAsia" w:hAnsiTheme="majorBidi" w:cstheme="majorBidi"/>
        </w:rPr>
        <w:t xml:space="preserve"> force survey, surveys targeting Indigenous Peoples, time-use surveys, population census, economic data collections, and administrative records to create a statistically significant measure.</w:t>
      </w:r>
    </w:p>
    <w:p w14:paraId="38260649" w14:textId="62D66030" w:rsidR="00C93B0B" w:rsidRPr="00812871" w:rsidRDefault="00756F0F" w:rsidP="00B16690">
      <w:pPr>
        <w:pStyle w:val="CBDNormalNumber"/>
        <w:numPr>
          <w:ilvl w:val="0"/>
          <w:numId w:val="80"/>
        </w:numPr>
        <w:shd w:val="clear" w:color="auto" w:fill="FFFFFF"/>
        <w:ind w:left="567" w:firstLine="0"/>
        <w:rPr>
          <w:rStyle w:val="normaltextrun"/>
          <w:rFonts w:eastAsiaTheme="majorEastAsia"/>
        </w:rPr>
      </w:pPr>
      <w:r w:rsidRPr="00B16690">
        <w:rPr>
          <w:rStyle w:val="normaltextrun"/>
          <w:rFonts w:asciiTheme="majorBidi" w:eastAsiaTheme="majorEastAsia" w:hAnsiTheme="majorBidi" w:cstheme="majorBidi"/>
        </w:rPr>
        <w:t xml:space="preserve">The data currently includes 43 countries. The Indigenous Navigator currently covers 30 countries with national partners using the Indigenous Navigator surveys with </w:t>
      </w:r>
      <w:r w:rsidR="006C6D97" w:rsidRPr="00B16690">
        <w:rPr>
          <w:rStyle w:val="normaltextrun"/>
          <w:rFonts w:asciiTheme="majorBidi" w:eastAsiaTheme="majorEastAsia" w:hAnsiTheme="majorBidi" w:cstheme="majorBidi"/>
        </w:rPr>
        <w:t>5</w:t>
      </w:r>
      <w:r w:rsidRPr="00B16690">
        <w:rPr>
          <w:rStyle w:val="normaltextrun"/>
          <w:rFonts w:asciiTheme="majorBidi" w:eastAsiaTheme="majorEastAsia" w:hAnsiTheme="majorBidi" w:cstheme="majorBidi"/>
        </w:rPr>
        <w:t xml:space="preserve">00 </w:t>
      </w:r>
      <w:r w:rsidR="005068D9" w:rsidRPr="00B16690">
        <w:rPr>
          <w:rStyle w:val="normaltextrun"/>
          <w:rFonts w:asciiTheme="majorBidi" w:eastAsiaTheme="majorEastAsia" w:hAnsiTheme="majorBidi" w:cstheme="majorBidi"/>
        </w:rPr>
        <w:t>communities</w:t>
      </w:r>
      <w:r w:rsidRPr="00B16690">
        <w:rPr>
          <w:rStyle w:val="normaltextrun"/>
          <w:rFonts w:asciiTheme="majorBidi" w:eastAsiaTheme="majorEastAsia" w:hAnsiTheme="majorBidi" w:cstheme="majorBidi"/>
        </w:rPr>
        <w:t>.</w:t>
      </w:r>
      <w:r w:rsidR="00B16690" w:rsidRPr="00812871">
        <w:rPr>
          <w:rStyle w:val="normaltextrun"/>
        </w:rPr>
        <w:t xml:space="preserve"> </w:t>
      </w:r>
      <w:r w:rsidR="00B16690" w:rsidRPr="00812871">
        <w:rPr>
          <w:rStyle w:val="normaltextrun"/>
          <w:rFonts w:eastAsiaTheme="majorEastAsia"/>
        </w:rPr>
        <w:footnoteReference w:id="29"/>
      </w:r>
      <w:r w:rsidR="00B16690" w:rsidRPr="00812871">
        <w:rPr>
          <w:rStyle w:val="normaltextrun"/>
          <w:rFonts w:eastAsiaTheme="majorEastAsia"/>
        </w:rPr>
        <w:t xml:space="preserve"> </w:t>
      </w:r>
      <w:r w:rsidRPr="00B16690">
        <w:rPr>
          <w:rStyle w:val="normaltextrun"/>
          <w:rFonts w:asciiTheme="majorBidi" w:eastAsiaTheme="majorEastAsia" w:hAnsiTheme="majorBidi" w:cstheme="majorBidi"/>
        </w:rPr>
        <w:t xml:space="preserve">In the Local Biodiversity Outlook just over 20 countries’ case studies met the research criteria. There are many more countries signed on to the CBD. To further develop and operationalize this indicator it should be decided what sources are approved to use their case studies and </w:t>
      </w:r>
      <w:proofErr w:type="gramStart"/>
      <w:r w:rsidRPr="00B16690">
        <w:rPr>
          <w:rStyle w:val="normaltextrun"/>
          <w:rFonts w:asciiTheme="majorBidi" w:eastAsiaTheme="majorEastAsia" w:hAnsiTheme="majorBidi" w:cstheme="majorBidi"/>
        </w:rPr>
        <w:t>community based</w:t>
      </w:r>
      <w:proofErr w:type="gramEnd"/>
      <w:r w:rsidRPr="00B16690">
        <w:rPr>
          <w:rStyle w:val="normaltextrun"/>
          <w:rFonts w:asciiTheme="majorBidi" w:eastAsiaTheme="majorEastAsia" w:hAnsiTheme="majorBidi" w:cstheme="majorBidi"/>
        </w:rPr>
        <w:t xml:space="preserve"> monitoring and information systems. </w:t>
      </w:r>
      <w:r w:rsidRPr="00812871">
        <w:rPr>
          <w:rStyle w:val="normaltextrun"/>
        </w:rPr>
        <w:t> </w:t>
      </w:r>
    </w:p>
    <w:p w14:paraId="6FF55B67" w14:textId="5B2A3279"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definition of traditional occupation</w:t>
      </w:r>
      <w:r w:rsidR="002A2F4F">
        <w:rPr>
          <w:rStyle w:val="normaltextrun"/>
          <w:rFonts w:asciiTheme="majorBidi" w:eastAsiaTheme="majorEastAsia" w:hAnsiTheme="majorBidi" w:cstheme="majorBidi"/>
        </w:rPr>
        <w:t>s</w:t>
      </w:r>
      <w:r w:rsidRPr="00ED7E61">
        <w:rPr>
          <w:rStyle w:val="normaltextrun"/>
          <w:rFonts w:asciiTheme="majorBidi" w:eastAsiaTheme="majorEastAsia" w:hAnsiTheme="majorBidi" w:cstheme="majorBidi"/>
        </w:rPr>
        <w:t xml:space="preserve"> is broad</w:t>
      </w:r>
      <w:r w:rsidR="002A2F4F">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so the</w:t>
      </w:r>
      <w:r w:rsidR="002A2F4F">
        <w:rPr>
          <w:rStyle w:val="normaltextrun"/>
          <w:rFonts w:asciiTheme="majorBidi" w:eastAsiaTheme="majorEastAsia" w:hAnsiTheme="majorBidi" w:cstheme="majorBidi"/>
        </w:rPr>
        <w:t xml:space="preserve"> team at the University of Michigan, in their</w:t>
      </w:r>
      <w:r w:rsidRPr="00ED7E61">
        <w:rPr>
          <w:rStyle w:val="normaltextrun"/>
          <w:rFonts w:asciiTheme="majorBidi" w:eastAsiaTheme="majorEastAsia" w:hAnsiTheme="majorBidi" w:cstheme="majorBidi"/>
        </w:rPr>
        <w:t xml:space="preserve"> data </w:t>
      </w:r>
      <w:r w:rsidR="002A2F4F">
        <w:rPr>
          <w:rStyle w:val="normaltextrun"/>
          <w:rFonts w:asciiTheme="majorBidi" w:eastAsiaTheme="majorEastAsia" w:hAnsiTheme="majorBidi" w:cstheme="majorBidi"/>
        </w:rPr>
        <w:t>compilation</w:t>
      </w:r>
      <w:r w:rsidR="002A2F4F"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narrowed down what occupatio</w:t>
      </w:r>
      <w:r w:rsidR="002A2F4F">
        <w:rPr>
          <w:rStyle w:val="normaltextrun"/>
          <w:rFonts w:asciiTheme="majorBidi" w:eastAsiaTheme="majorEastAsia" w:hAnsiTheme="majorBidi" w:cstheme="majorBidi"/>
        </w:rPr>
        <w:t>ns</w:t>
      </w:r>
      <w:r w:rsidRPr="00ED7E61">
        <w:rPr>
          <w:rStyle w:val="normaltextrun"/>
          <w:rFonts w:asciiTheme="majorBidi" w:eastAsiaTheme="majorEastAsia" w:hAnsiTheme="majorBidi" w:cstheme="majorBidi"/>
        </w:rPr>
        <w:t xml:space="preserve"> to </w:t>
      </w:r>
      <w:r w:rsidR="00534D91">
        <w:rPr>
          <w:rStyle w:val="normaltextrun"/>
          <w:rFonts w:asciiTheme="majorBidi" w:eastAsiaTheme="majorEastAsia" w:hAnsiTheme="majorBidi" w:cstheme="majorBidi"/>
        </w:rPr>
        <w:t xml:space="preserve">include in the </w:t>
      </w:r>
      <w:r w:rsidRPr="00ED7E61">
        <w:rPr>
          <w:rStyle w:val="normaltextrun"/>
          <w:rFonts w:asciiTheme="majorBidi" w:eastAsiaTheme="majorEastAsia" w:hAnsiTheme="majorBidi" w:cstheme="majorBidi"/>
        </w:rPr>
        <w:t>research. Those occupations</w:t>
      </w:r>
      <w:r w:rsidR="00C7251A">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focused on agricultural, forestry and fishery labourers, education, health, and tourism. The occupation research is a brief </w:t>
      </w:r>
      <w:proofErr w:type="gramStart"/>
      <w:r w:rsidRPr="00ED7E61">
        <w:rPr>
          <w:rStyle w:val="normaltextrun"/>
          <w:rFonts w:asciiTheme="majorBidi" w:eastAsiaTheme="majorEastAsia" w:hAnsiTheme="majorBidi" w:cstheme="majorBidi"/>
        </w:rPr>
        <w:t>summary</w:t>
      </w:r>
      <w:proofErr w:type="gramEnd"/>
      <w:r w:rsidRPr="00ED7E61">
        <w:rPr>
          <w:rStyle w:val="normaltextrun"/>
          <w:rFonts w:asciiTheme="majorBidi" w:eastAsiaTheme="majorEastAsia" w:hAnsiTheme="majorBidi" w:cstheme="majorBidi"/>
        </w:rPr>
        <w:t xml:space="preserve"> and more research could be conducted and data gather. Also</w:t>
      </w:r>
      <w:r w:rsidR="00C7251A">
        <w:rPr>
          <w:rStyle w:val="normaltextrun"/>
          <w:rFonts w:asciiTheme="majorBidi" w:eastAsiaTheme="majorEastAsia" w:hAnsiTheme="majorBidi" w:cstheme="majorBidi"/>
        </w:rPr>
        <w:t xml:space="preserve">, the analysis </w:t>
      </w:r>
      <w:r w:rsidRPr="00ED7E61">
        <w:rPr>
          <w:rStyle w:val="normaltextrun"/>
          <w:rFonts w:asciiTheme="majorBidi" w:eastAsiaTheme="majorEastAsia" w:hAnsiTheme="majorBidi" w:cstheme="majorBidi"/>
        </w:rPr>
        <w:t>excludes other possible occupations.</w:t>
      </w:r>
      <w:r w:rsidRPr="00ED7E61">
        <w:rPr>
          <w:rStyle w:val="eop"/>
          <w:rFonts w:asciiTheme="majorBidi" w:eastAsiaTheme="majorEastAsia" w:hAnsiTheme="majorBidi" w:cstheme="majorBidi"/>
        </w:rPr>
        <w:t> </w:t>
      </w:r>
    </w:p>
    <w:p w14:paraId="32C07A2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5k. Treatment of missing values</w:t>
      </w:r>
      <w:r w:rsidRPr="00ED7E61">
        <w:rPr>
          <w:rStyle w:val="eop"/>
          <w:rFonts w:asciiTheme="majorBidi" w:eastAsiaTheme="majorEastAsia" w:hAnsiTheme="majorBidi" w:cstheme="majorBidi"/>
          <w:sz w:val="22"/>
          <w:szCs w:val="22"/>
        </w:rPr>
        <w:t> </w:t>
      </w:r>
    </w:p>
    <w:p w14:paraId="1D19F345" w14:textId="77777777" w:rsidR="00756F0F" w:rsidRPr="00812871" w:rsidRDefault="00756F0F" w:rsidP="00B10F0C">
      <w:pPr>
        <w:pStyle w:val="CBDNormalNumber"/>
        <w:numPr>
          <w:ilvl w:val="0"/>
          <w:numId w:val="80"/>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rPr>
        <w:t>The indicator is under development. To be determined.</w:t>
      </w:r>
      <w:r w:rsidRPr="00ED7E61">
        <w:rPr>
          <w:rStyle w:val="eop"/>
          <w:rFonts w:asciiTheme="majorBidi" w:eastAsiaTheme="majorEastAsia" w:hAnsiTheme="majorBidi" w:cstheme="majorBidi"/>
        </w:rPr>
        <w:t> </w:t>
      </w:r>
    </w:p>
    <w:p w14:paraId="3173400A" w14:textId="77777777" w:rsidR="00127DCF" w:rsidRPr="00ED7E61" w:rsidRDefault="00127DCF" w:rsidP="00812871">
      <w:pPr>
        <w:pStyle w:val="CBDNormalNumber"/>
        <w:shd w:val="clear" w:color="auto" w:fill="FFFFFF"/>
        <w:ind w:left="567"/>
        <w:rPr>
          <w:rFonts w:asciiTheme="majorBidi" w:hAnsiTheme="majorBidi" w:cstheme="majorBidi"/>
        </w:rPr>
      </w:pPr>
    </w:p>
    <w:p w14:paraId="0796692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 Scale</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304C8A6E" w14:textId="77777777" w:rsidR="00756F0F" w:rsidRPr="00ED7E61" w:rsidRDefault="00756F0F" w:rsidP="00B554B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sz w:val="22"/>
          <w:szCs w:val="22"/>
        </w:rPr>
        <w:t> </w:t>
      </w:r>
    </w:p>
    <w:p w14:paraId="03677D93" w14:textId="77777777" w:rsidR="00756F0F" w:rsidRPr="00812871" w:rsidRDefault="00756F0F" w:rsidP="00B10F0C">
      <w:pPr>
        <w:pStyle w:val="CBDNormalNumber"/>
        <w:numPr>
          <w:ilvl w:val="0"/>
          <w:numId w:val="80"/>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rPr>
        <w:lastRenderedPageBreak/>
        <w:t>The indicator data will be more qualitative for the time being before it can be scaled to a global level. </w:t>
      </w:r>
      <w:r w:rsidRPr="00ED7E61">
        <w:rPr>
          <w:rStyle w:val="eop"/>
          <w:rFonts w:asciiTheme="majorBidi" w:eastAsiaTheme="majorEastAsia" w:hAnsiTheme="majorBidi" w:cstheme="majorBidi"/>
        </w:rPr>
        <w:t> </w:t>
      </w:r>
    </w:p>
    <w:p w14:paraId="2C80CF79" w14:textId="77777777" w:rsidR="007E17E2" w:rsidRPr="00ED7E61" w:rsidRDefault="007E17E2" w:rsidP="00812871">
      <w:pPr>
        <w:pStyle w:val="CBDNormalNumber"/>
        <w:shd w:val="clear" w:color="auto" w:fill="FFFFFF"/>
        <w:ind w:left="567"/>
        <w:rPr>
          <w:rFonts w:asciiTheme="majorBidi" w:hAnsiTheme="majorBidi" w:cstheme="majorBidi"/>
        </w:rPr>
      </w:pPr>
    </w:p>
    <w:p w14:paraId="73A4CF69" w14:textId="48550CA8" w:rsidR="00756F0F" w:rsidRPr="00ED7E61" w:rsidRDefault="00756F0F" w:rsidP="005B0D1E">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sz w:val="22"/>
          <w:szCs w:val="22"/>
        </w:rPr>
        <w:t> </w:t>
      </w:r>
    </w:p>
    <w:p w14:paraId="14B5DA38" w14:textId="77777777" w:rsidR="00756F0F" w:rsidRPr="00812871" w:rsidRDefault="00756F0F" w:rsidP="00B10F0C">
      <w:pPr>
        <w:pStyle w:val="CBDNormalNumber"/>
        <w:numPr>
          <w:ilvl w:val="0"/>
          <w:numId w:val="80"/>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rPr>
        <w:t>The indicator is under development.</w:t>
      </w:r>
      <w:r w:rsidRPr="00ED7E61">
        <w:rPr>
          <w:rStyle w:val="eop"/>
          <w:rFonts w:asciiTheme="majorBidi" w:eastAsiaTheme="majorEastAsia" w:hAnsiTheme="majorBidi" w:cstheme="majorBidi"/>
        </w:rPr>
        <w:t> </w:t>
      </w:r>
    </w:p>
    <w:p w14:paraId="1F815F8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6c. Sources of differences between global and national figures</w:t>
      </w:r>
      <w:r w:rsidRPr="00ED7E61">
        <w:rPr>
          <w:rStyle w:val="eop"/>
          <w:rFonts w:asciiTheme="majorBidi" w:eastAsiaTheme="majorEastAsia" w:hAnsiTheme="majorBidi" w:cstheme="majorBidi"/>
          <w:sz w:val="22"/>
          <w:szCs w:val="22"/>
        </w:rPr>
        <w:t> </w:t>
      </w:r>
    </w:p>
    <w:p w14:paraId="413B6975" w14:textId="77777777" w:rsidR="00756F0F" w:rsidRPr="00812871" w:rsidRDefault="00756F0F" w:rsidP="00B10F0C">
      <w:pPr>
        <w:pStyle w:val="CBDNormalNumber"/>
        <w:numPr>
          <w:ilvl w:val="0"/>
          <w:numId w:val="80"/>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rPr>
        <w:t xml:space="preserve">The indicator is under </w:t>
      </w:r>
      <w:proofErr w:type="gramStart"/>
      <w:r w:rsidRPr="00ED7E61">
        <w:rPr>
          <w:rStyle w:val="normaltextrun"/>
          <w:rFonts w:asciiTheme="majorBidi" w:eastAsiaTheme="majorEastAsia" w:hAnsiTheme="majorBidi" w:cstheme="majorBidi"/>
        </w:rPr>
        <w:t>development</w:t>
      </w:r>
      <w:proofErr w:type="gramEnd"/>
      <w:r w:rsidRPr="00ED7E61">
        <w:rPr>
          <w:rStyle w:val="normaltextrun"/>
          <w:rFonts w:asciiTheme="majorBidi" w:eastAsiaTheme="majorEastAsia" w:hAnsiTheme="majorBidi" w:cstheme="majorBidi"/>
        </w:rPr>
        <w:t xml:space="preserve"> but no discrepancies are anticipated given the data collection method.</w:t>
      </w:r>
      <w:r w:rsidRPr="00ED7E61">
        <w:rPr>
          <w:rStyle w:val="eop"/>
          <w:rFonts w:asciiTheme="majorBidi" w:eastAsiaTheme="majorEastAsia" w:hAnsiTheme="majorBidi" w:cstheme="majorBidi"/>
        </w:rPr>
        <w:t> </w:t>
      </w:r>
    </w:p>
    <w:p w14:paraId="3243EA63" w14:textId="77777777" w:rsidR="00604697" w:rsidRPr="00ED7E61" w:rsidRDefault="00604697" w:rsidP="00812871">
      <w:pPr>
        <w:pStyle w:val="CBDNormalNumber"/>
        <w:shd w:val="clear" w:color="auto" w:fill="FFFFFF"/>
        <w:ind w:left="567"/>
        <w:rPr>
          <w:rFonts w:asciiTheme="majorBidi" w:hAnsiTheme="majorBidi" w:cstheme="majorBidi"/>
        </w:rPr>
      </w:pPr>
    </w:p>
    <w:p w14:paraId="1F49810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sz w:val="22"/>
          <w:szCs w:val="22"/>
        </w:rPr>
        <w:t> </w:t>
      </w:r>
    </w:p>
    <w:p w14:paraId="61E8978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6d.1 Description of the methodology</w:t>
      </w:r>
      <w:r w:rsidRPr="00ED7E61">
        <w:rPr>
          <w:rStyle w:val="eop"/>
          <w:rFonts w:asciiTheme="majorBidi" w:eastAsiaTheme="majorEastAsia" w:hAnsiTheme="majorBidi" w:cstheme="majorBidi"/>
          <w:sz w:val="22"/>
          <w:szCs w:val="22"/>
        </w:rPr>
        <w:t> </w:t>
      </w:r>
    </w:p>
    <w:p w14:paraId="33090A27" w14:textId="77777777"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Regional and global estimates are produced by aggregating country-level data.</w:t>
      </w:r>
      <w:r w:rsidRPr="00ED7E61">
        <w:rPr>
          <w:rStyle w:val="eop"/>
          <w:rFonts w:asciiTheme="majorBidi" w:eastAsiaTheme="majorEastAsia" w:hAnsiTheme="majorBidi" w:cstheme="majorBidi"/>
        </w:rPr>
        <w:t> </w:t>
      </w:r>
    </w:p>
    <w:p w14:paraId="6B098A8B" w14:textId="0849BF92" w:rsidR="00756F0F" w:rsidRPr="00ED7E61" w:rsidRDefault="00756F0F" w:rsidP="00C93B0B">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i/>
          <w:iCs/>
          <w:sz w:val="22"/>
          <w:szCs w:val="22"/>
          <w:lang w:val="en-GB"/>
        </w:rPr>
        <w:t>6d.2 Additional methodological details</w:t>
      </w:r>
      <w:r w:rsidRPr="00ED7E61">
        <w:rPr>
          <w:rStyle w:val="eop"/>
          <w:rFonts w:asciiTheme="majorBidi" w:eastAsiaTheme="majorEastAsia" w:hAnsiTheme="majorBidi" w:cstheme="majorBidi"/>
          <w:sz w:val="22"/>
          <w:szCs w:val="22"/>
        </w:rPr>
        <w:t> </w:t>
      </w:r>
    </w:p>
    <w:p w14:paraId="6814ED68" w14:textId="77777777" w:rsidR="00756F0F" w:rsidRPr="00ED7E61" w:rsidRDefault="00756F0F" w:rsidP="00B554B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i/>
          <w:iCs/>
        </w:rPr>
        <w:t>N/A</w:t>
      </w:r>
      <w:r w:rsidRPr="00ED7E61">
        <w:rPr>
          <w:rStyle w:val="eop"/>
          <w:rFonts w:asciiTheme="majorBidi" w:eastAsiaTheme="majorEastAsia" w:hAnsiTheme="majorBidi" w:cstheme="majorBidi"/>
        </w:rPr>
        <w:t> </w:t>
      </w:r>
    </w:p>
    <w:p w14:paraId="05E492D0"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6d.3 Description of the mechanism for collecting data from countries</w:t>
      </w:r>
      <w:r w:rsidRPr="00ED7E61">
        <w:rPr>
          <w:rStyle w:val="eop"/>
          <w:rFonts w:asciiTheme="majorBidi" w:eastAsiaTheme="majorEastAsia" w:hAnsiTheme="majorBidi" w:cstheme="majorBidi"/>
          <w:sz w:val="22"/>
          <w:szCs w:val="22"/>
        </w:rPr>
        <w:t> </w:t>
      </w:r>
    </w:p>
    <w:p w14:paraId="2CE0FBD9" w14:textId="77777777"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i/>
          <w:iCs/>
        </w:rPr>
        <w:t>The</w:t>
      </w:r>
      <w:r w:rsidRPr="00ED7E61">
        <w:rPr>
          <w:rStyle w:val="normaltextrun"/>
          <w:rFonts w:asciiTheme="majorBidi" w:eastAsiaTheme="majorEastAsia" w:hAnsiTheme="majorBidi" w:cstheme="majorBidi"/>
        </w:rPr>
        <w:t xml:space="preserve"> data for the indicator would be collected across the national and community scales. </w:t>
      </w:r>
      <w:r w:rsidRPr="00ED7E61">
        <w:rPr>
          <w:rStyle w:val="eop"/>
          <w:rFonts w:asciiTheme="majorBidi" w:eastAsiaTheme="majorEastAsia" w:hAnsiTheme="majorBidi" w:cstheme="majorBidi"/>
        </w:rPr>
        <w:t> </w:t>
      </w:r>
    </w:p>
    <w:p w14:paraId="4E2A75D8" w14:textId="77777777" w:rsidR="00756F0F" w:rsidRPr="00812871" w:rsidRDefault="00756F0F" w:rsidP="00812871">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ED7E61">
        <w:rPr>
          <w:rStyle w:val="normaltextrun"/>
          <w:rFonts w:asciiTheme="majorBidi" w:eastAsiaTheme="majorEastAsia" w:hAnsiTheme="majorBidi" w:cstheme="majorBidi"/>
          <w:b/>
          <w:bCs/>
          <w:sz w:val="22"/>
          <w:szCs w:val="22"/>
          <w:lang w:val="en-GB"/>
        </w:rPr>
        <w:t>7. Other MEAs, processes and organisations</w:t>
      </w:r>
      <w:r w:rsidRPr="00812871">
        <w:rPr>
          <w:rStyle w:val="normaltextrun"/>
          <w:rFonts w:eastAsiaTheme="majorEastAsia"/>
          <w:b/>
          <w:bCs/>
          <w:lang w:val="en-GB"/>
        </w:rPr>
        <w:t> </w:t>
      </w:r>
    </w:p>
    <w:p w14:paraId="33B23BB1" w14:textId="77777777"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indicator was adopted by the Conference of the Parties to the Convention on Biological Diversity through </w:t>
      </w:r>
      <w:hyperlink r:id="rId383" w:tgtFrame="_blank" w:history="1">
        <w:r w:rsidRPr="00ED7E61">
          <w:rPr>
            <w:rStyle w:val="normaltextrun"/>
            <w:rFonts w:asciiTheme="majorBidi" w:eastAsiaTheme="majorEastAsia" w:hAnsiTheme="majorBidi" w:cstheme="majorBidi"/>
            <w:color w:val="0563C1"/>
            <w:u w:val="single"/>
          </w:rPr>
          <w:t>decision X/43</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2026EE03" w14:textId="77777777" w:rsidR="003C207F" w:rsidRDefault="003C207F" w:rsidP="00B554BF">
      <w:pPr>
        <w:pStyle w:val="paragraph"/>
        <w:pBdr>
          <w:bottom w:val="single" w:sz="4" w:space="1" w:color="000000"/>
        </w:pBdr>
        <w:spacing w:before="120" w:beforeAutospacing="0" w:after="0" w:afterAutospacing="0"/>
        <w:textAlignment w:val="baseline"/>
        <w:rPr>
          <w:rStyle w:val="normaltextrun"/>
          <w:rFonts w:asciiTheme="majorBidi" w:eastAsiaTheme="majorEastAsia" w:hAnsiTheme="majorBidi" w:cstheme="majorBidi"/>
          <w:b/>
          <w:bCs/>
          <w:sz w:val="22"/>
          <w:szCs w:val="22"/>
          <w:lang w:val="en-GB"/>
        </w:rPr>
      </w:pPr>
    </w:p>
    <w:p w14:paraId="02AC50FF" w14:textId="43DD698C" w:rsidR="00756F0F" w:rsidRPr="00ED7E61" w:rsidRDefault="00756F0F" w:rsidP="00B554B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 xml:space="preserve">8. </w:t>
      </w:r>
      <w:r w:rsidR="00047A98" w:rsidRPr="00ED7E61">
        <w:rPr>
          <w:rStyle w:val="normaltextrun"/>
          <w:rFonts w:asciiTheme="majorBidi" w:eastAsiaTheme="majorEastAsia" w:hAnsiTheme="majorBidi" w:cstheme="majorBidi"/>
          <w:b/>
          <w:bCs/>
          <w:sz w:val="22"/>
          <w:szCs w:val="22"/>
          <w:lang w:val="en-GB"/>
        </w:rPr>
        <w:t xml:space="preserve">Possible </w:t>
      </w:r>
      <w:proofErr w:type="spellStart"/>
      <w:r w:rsidRPr="00ED7E61">
        <w:rPr>
          <w:rStyle w:val="normaltextrun"/>
          <w:rFonts w:asciiTheme="majorBidi" w:eastAsiaTheme="majorEastAsia" w:hAnsiTheme="majorBidi" w:cstheme="majorBidi"/>
          <w:b/>
          <w:bCs/>
          <w:sz w:val="22"/>
          <w:szCs w:val="22"/>
          <w:lang w:val="en-GB"/>
        </w:rPr>
        <w:t>Disaggregation</w:t>
      </w:r>
      <w:r w:rsidR="00047A98" w:rsidRPr="00ED7E61">
        <w:rPr>
          <w:rStyle w:val="normaltextrun"/>
          <w:rFonts w:asciiTheme="majorBidi" w:eastAsiaTheme="majorEastAsia" w:hAnsiTheme="majorBidi" w:cstheme="majorBidi"/>
          <w:b/>
          <w:bCs/>
          <w:sz w:val="22"/>
          <w:szCs w:val="22"/>
          <w:lang w:val="en-GB"/>
        </w:rPr>
        <w:t>s</w:t>
      </w:r>
      <w:proofErr w:type="spellEnd"/>
      <w:r w:rsidRPr="00ED7E61">
        <w:rPr>
          <w:rStyle w:val="eop"/>
          <w:rFonts w:asciiTheme="majorBidi" w:eastAsiaTheme="majorEastAsia" w:hAnsiTheme="majorBidi" w:cstheme="majorBidi"/>
          <w:sz w:val="22"/>
          <w:szCs w:val="22"/>
        </w:rPr>
        <w:t> </w:t>
      </w:r>
    </w:p>
    <w:p w14:paraId="27ABECED" w14:textId="1046FB57"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Disaggregation could be possible through case studies and </w:t>
      </w:r>
      <w:proofErr w:type="gramStart"/>
      <w:r w:rsidRPr="00ED7E61">
        <w:rPr>
          <w:rStyle w:val="normaltextrun"/>
          <w:rFonts w:asciiTheme="majorBidi" w:eastAsiaTheme="majorEastAsia" w:hAnsiTheme="majorBidi" w:cstheme="majorBidi"/>
        </w:rPr>
        <w:t>community based</w:t>
      </w:r>
      <w:proofErr w:type="gramEnd"/>
      <w:r w:rsidRPr="00ED7E61">
        <w:rPr>
          <w:rStyle w:val="normaltextrun"/>
          <w:rFonts w:asciiTheme="majorBidi" w:eastAsiaTheme="majorEastAsia" w:hAnsiTheme="majorBidi" w:cstheme="majorBidi"/>
        </w:rPr>
        <w:t xml:space="preserve"> monitoring and information systems based on the data provided by the communities. </w:t>
      </w:r>
      <w:r w:rsidRPr="00ED7E61">
        <w:rPr>
          <w:rStyle w:val="eop"/>
          <w:rFonts w:asciiTheme="majorBidi" w:eastAsiaTheme="majorEastAsia" w:hAnsiTheme="majorBidi" w:cstheme="majorBidi"/>
        </w:rPr>
        <w:t> </w:t>
      </w:r>
    </w:p>
    <w:p w14:paraId="09AD12F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color w:val="000000"/>
          <w:sz w:val="22"/>
          <w:szCs w:val="22"/>
          <w:lang w:val="en-GB"/>
        </w:rPr>
        <w:t>9. Related goals, targets and indicators</w:t>
      </w:r>
      <w:r w:rsidRPr="00ED7E61">
        <w:rPr>
          <w:rStyle w:val="eop"/>
          <w:rFonts w:asciiTheme="majorBidi" w:eastAsiaTheme="majorEastAsia" w:hAnsiTheme="majorBidi" w:cstheme="majorBidi"/>
          <w:color w:val="000000"/>
          <w:sz w:val="22"/>
          <w:szCs w:val="22"/>
        </w:rPr>
        <w:t> </w:t>
      </w:r>
    </w:p>
    <w:p w14:paraId="4FBDA0E4" w14:textId="77777777"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Depending on the finalization of the indicator, it may be relevant to goal B as well as several other targets, particularly targets 1, 3, 5, 9, 10, 11, 19, and 22, 23. </w:t>
      </w:r>
      <w:r w:rsidRPr="00ED7E61">
        <w:rPr>
          <w:rStyle w:val="eop"/>
          <w:rFonts w:asciiTheme="majorBidi" w:eastAsiaTheme="majorEastAsia" w:hAnsiTheme="majorBidi" w:cstheme="majorBidi"/>
        </w:rPr>
        <w:t> </w:t>
      </w:r>
    </w:p>
    <w:p w14:paraId="38D21AC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6F5A16DD" w14:textId="2F4CC68E" w:rsidR="00756F0F" w:rsidRPr="00ED7E61" w:rsidRDefault="00756F0F" w:rsidP="00C87939">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C87939">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6E2BFC91" w14:textId="77777777" w:rsidR="00756F0F" w:rsidRPr="00ED7E61" w:rsidRDefault="00756F0F" w:rsidP="00B10F0C">
      <w:pPr>
        <w:pStyle w:val="CBDNormalNumber"/>
        <w:numPr>
          <w:ilvl w:val="0"/>
          <w:numId w:val="80"/>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Indicator under development. To be determined. </w:t>
      </w:r>
      <w:r w:rsidRPr="00ED7E61">
        <w:rPr>
          <w:rStyle w:val="eop"/>
          <w:rFonts w:asciiTheme="majorBidi" w:eastAsiaTheme="majorEastAsia" w:hAnsiTheme="majorBidi" w:cstheme="majorBidi"/>
        </w:rPr>
        <w:t> </w:t>
      </w:r>
    </w:p>
    <w:p w14:paraId="2885304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156FA747" w14:textId="72EF2B84" w:rsidR="00C93B0B" w:rsidRPr="00ED7E61" w:rsidRDefault="00756F0F" w:rsidP="00D45252">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Indicator under development. To be determined. </w:t>
      </w:r>
      <w:r w:rsidRPr="00ED7E61">
        <w:rPr>
          <w:rStyle w:val="eop"/>
          <w:rFonts w:asciiTheme="majorBidi" w:eastAsiaTheme="majorEastAsia" w:hAnsiTheme="majorBidi" w:cstheme="majorBidi"/>
        </w:rPr>
        <w:t> </w:t>
      </w:r>
    </w:p>
    <w:p w14:paraId="2B6F4341" w14:textId="56BB78CA" w:rsidR="00C93B0B" w:rsidRPr="00ED7E61" w:rsidRDefault="002F1008" w:rsidP="00D45252">
      <w:pPr>
        <w:pStyle w:val="CBDNormalNumber"/>
        <w:shd w:val="clear" w:color="auto" w:fill="FFFFFF"/>
        <w:ind w:left="567"/>
        <w:rPr>
          <w:rFonts w:asciiTheme="majorBidi" w:hAnsiTheme="majorBidi" w:cstheme="majorBidi"/>
        </w:rPr>
      </w:pPr>
      <w:proofErr w:type="gramStart"/>
      <w:r w:rsidRPr="00ED7E61">
        <w:rPr>
          <w:rStyle w:val="normaltextrun"/>
          <w:rFonts w:asciiTheme="majorBidi" w:eastAsiaTheme="majorEastAsia" w:hAnsiTheme="majorBidi" w:cstheme="majorBidi"/>
        </w:rPr>
        <w:t>Q”apaj</w:t>
      </w:r>
      <w:proofErr w:type="gramEnd"/>
      <w:r w:rsidRPr="00ED7E61">
        <w:rPr>
          <w:rStyle w:val="normaltextrun"/>
          <w:rFonts w:asciiTheme="majorBidi" w:eastAsiaTheme="majorEastAsia" w:hAnsiTheme="majorBidi" w:cstheme="majorBidi"/>
        </w:rPr>
        <w:t xml:space="preserve"> Conde, Secretariat of the Convention on Biological Diversity (qapaj.conde@un.org)</w:t>
      </w:r>
    </w:p>
    <w:p w14:paraId="0496774D" w14:textId="4869F33D" w:rsidR="00A829C8" w:rsidRDefault="00A829C8" w:rsidP="00C93B0B">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t xml:space="preserve">11. Ongoing work to further operationalize the indicator and </w:t>
      </w:r>
      <w:r w:rsidR="00C4011D">
        <w:rPr>
          <w:rStyle w:val="normaltextrun"/>
          <w:rFonts w:asciiTheme="majorBidi" w:eastAsiaTheme="majorEastAsia" w:hAnsiTheme="majorBidi" w:cstheme="majorBidi"/>
          <w:b/>
          <w:bCs/>
          <w:sz w:val="22"/>
          <w:szCs w:val="22"/>
          <w:lang w:val="en-GB"/>
        </w:rPr>
        <w:t xml:space="preserve">related </w:t>
      </w:r>
      <w:r>
        <w:rPr>
          <w:rStyle w:val="normaltextrun"/>
          <w:rFonts w:asciiTheme="majorBidi" w:eastAsiaTheme="majorEastAsia" w:hAnsiTheme="majorBidi" w:cstheme="majorBidi"/>
          <w:b/>
          <w:bCs/>
          <w:sz w:val="22"/>
          <w:szCs w:val="22"/>
          <w:lang w:val="en-GB"/>
        </w:rPr>
        <w:t xml:space="preserve">considerations </w:t>
      </w:r>
    </w:p>
    <w:p w14:paraId="4AD78211" w14:textId="71F4B1F8" w:rsidR="004F18D0" w:rsidRPr="00812871" w:rsidRDefault="004F18D0" w:rsidP="00812871">
      <w:pPr>
        <w:pStyle w:val="CBDNormalNumber"/>
        <w:numPr>
          <w:ilvl w:val="0"/>
          <w:numId w:val="80"/>
        </w:numPr>
        <w:shd w:val="clear" w:color="auto" w:fill="FFFFFF"/>
        <w:ind w:left="567" w:firstLine="0"/>
        <w:rPr>
          <w:rStyle w:val="normaltextrun"/>
          <w:rFonts w:asciiTheme="majorBidi" w:eastAsiaTheme="majorEastAsia" w:hAnsiTheme="majorBidi" w:cstheme="majorBidi"/>
        </w:rPr>
      </w:pPr>
      <w:r w:rsidRPr="00812871">
        <w:rPr>
          <w:rStyle w:val="normaltextrun"/>
          <w:rFonts w:asciiTheme="majorBidi" w:eastAsiaTheme="majorEastAsia" w:hAnsiTheme="majorBidi" w:cstheme="majorBidi"/>
        </w:rPr>
        <w:t xml:space="preserve">The </w:t>
      </w:r>
      <w:r w:rsidR="00363167" w:rsidRPr="00812871">
        <w:rPr>
          <w:rStyle w:val="normaltextrun"/>
          <w:rFonts w:asciiTheme="majorBidi" w:eastAsiaTheme="majorEastAsia" w:hAnsiTheme="majorBidi" w:cstheme="majorBidi"/>
        </w:rPr>
        <w:t xml:space="preserve">Indigenous Navigator and its partners have </w:t>
      </w:r>
      <w:r w:rsidR="003D7869" w:rsidRPr="00812871">
        <w:rPr>
          <w:rStyle w:val="normaltextrun"/>
          <w:rFonts w:asciiTheme="majorBidi" w:eastAsiaTheme="majorEastAsia" w:hAnsiTheme="majorBidi" w:cstheme="majorBidi"/>
        </w:rPr>
        <w:t>undertaken further work to support the development of the metadata for the indicator</w:t>
      </w:r>
      <w:r w:rsidR="001A7175">
        <w:rPr>
          <w:rStyle w:val="normaltextrun"/>
          <w:rFonts w:asciiTheme="majorBidi" w:eastAsiaTheme="majorEastAsia" w:hAnsiTheme="majorBidi" w:cstheme="majorBidi"/>
        </w:rPr>
        <w:t>.</w:t>
      </w:r>
      <w:r w:rsidR="00835178">
        <w:rPr>
          <w:rStyle w:val="FootnoteReference"/>
          <w:rFonts w:asciiTheme="majorBidi" w:hAnsiTheme="majorBidi"/>
        </w:rPr>
        <w:footnoteReference w:id="30"/>
      </w:r>
      <w:r w:rsidR="00835178">
        <w:rPr>
          <w:rStyle w:val="eop"/>
          <w:rFonts w:asciiTheme="majorBidi" w:hAnsiTheme="majorBidi"/>
        </w:rPr>
        <w:t> </w:t>
      </w:r>
      <w:r w:rsidR="003D7869" w:rsidRPr="00812871">
        <w:rPr>
          <w:rStyle w:val="normaltextrun"/>
          <w:rFonts w:asciiTheme="majorBidi" w:eastAsiaTheme="majorEastAsia" w:hAnsiTheme="majorBidi" w:cstheme="majorBidi"/>
        </w:rPr>
        <w:t xml:space="preserve"> </w:t>
      </w:r>
      <w:r w:rsidR="00D3754D">
        <w:rPr>
          <w:rStyle w:val="normaltextrun"/>
          <w:rFonts w:asciiTheme="majorBidi" w:eastAsiaTheme="majorEastAsia" w:hAnsiTheme="majorBidi" w:cstheme="majorBidi"/>
        </w:rPr>
        <w:t>Th</w:t>
      </w:r>
      <w:r w:rsidR="00CA4936">
        <w:rPr>
          <w:rStyle w:val="normaltextrun"/>
          <w:rFonts w:asciiTheme="majorBidi" w:eastAsiaTheme="majorEastAsia" w:hAnsiTheme="majorBidi" w:cstheme="majorBidi"/>
        </w:rPr>
        <w:t xml:space="preserve">ey have </w:t>
      </w:r>
      <w:r w:rsidR="00D3754D">
        <w:rPr>
          <w:rStyle w:val="normaltextrun"/>
          <w:rFonts w:asciiTheme="majorBidi" w:eastAsiaTheme="majorEastAsia" w:hAnsiTheme="majorBidi" w:cstheme="majorBidi"/>
        </w:rPr>
        <w:t xml:space="preserve">identified several issues which will need to </w:t>
      </w:r>
      <w:r w:rsidR="00CA4936">
        <w:rPr>
          <w:rStyle w:val="normaltextrun"/>
          <w:rFonts w:asciiTheme="majorBidi" w:eastAsiaTheme="majorEastAsia" w:hAnsiTheme="majorBidi" w:cstheme="majorBidi"/>
        </w:rPr>
        <w:t xml:space="preserve">be addressed or </w:t>
      </w:r>
      <w:r w:rsidR="007D1678">
        <w:rPr>
          <w:rStyle w:val="normaltextrun"/>
          <w:rFonts w:asciiTheme="majorBidi" w:eastAsiaTheme="majorEastAsia" w:hAnsiTheme="majorBidi" w:cstheme="majorBidi"/>
        </w:rPr>
        <w:t xml:space="preserve">be </w:t>
      </w:r>
      <w:r w:rsidR="00CA4936">
        <w:rPr>
          <w:rStyle w:val="normaltextrun"/>
          <w:rFonts w:asciiTheme="majorBidi" w:eastAsiaTheme="majorEastAsia" w:hAnsiTheme="majorBidi" w:cstheme="majorBidi"/>
        </w:rPr>
        <w:t>taken into consider</w:t>
      </w:r>
      <w:r w:rsidR="00BD3586">
        <w:rPr>
          <w:rStyle w:val="normaltextrun"/>
          <w:rFonts w:asciiTheme="majorBidi" w:eastAsiaTheme="majorEastAsia" w:hAnsiTheme="majorBidi" w:cstheme="majorBidi"/>
        </w:rPr>
        <w:t>ation as the metadata is developed and operationalized:</w:t>
      </w:r>
    </w:p>
    <w:p w14:paraId="505B25DB" w14:textId="45894C24" w:rsidR="00A75DCC" w:rsidRPr="00A355D9" w:rsidRDefault="00A75DCC" w:rsidP="00A75DCC">
      <w:pPr>
        <w:pStyle w:val="CBDNormalNumber"/>
        <w:numPr>
          <w:ilvl w:val="1"/>
          <w:numId w:val="80"/>
        </w:numPr>
        <w:shd w:val="clear" w:color="auto" w:fill="FFFFFF"/>
        <w:rPr>
          <w:rStyle w:val="normaltextrun"/>
          <w:rFonts w:asciiTheme="majorBidi" w:hAnsiTheme="majorBidi" w:cstheme="majorBidi"/>
        </w:rPr>
      </w:pPr>
      <w:r w:rsidRPr="00A355D9">
        <w:rPr>
          <w:rStyle w:val="normaltextrun"/>
          <w:rFonts w:asciiTheme="majorBidi" w:eastAsiaTheme="majorEastAsia" w:hAnsiTheme="majorBidi" w:cstheme="majorBidi"/>
        </w:rPr>
        <w:lastRenderedPageBreak/>
        <w:t>In line with the guidance of the Ad Hoc Technical Expert Group on Indicators, a multi</w:t>
      </w:r>
      <w:r w:rsidRPr="00A355D9">
        <w:rPr>
          <w:rStyle w:val="normaltextrun"/>
          <w:rFonts w:asciiTheme="majorBidi" w:eastAsiaTheme="majorEastAsia" w:hAnsiTheme="majorBidi" w:cstheme="majorBidi"/>
        </w:rPr>
        <w:noBreakHyphen/>
        <w:t xml:space="preserve">scale approach </w:t>
      </w:r>
      <w:r w:rsidRPr="00DA16F6">
        <w:rPr>
          <w:rStyle w:val="normaltextrun"/>
          <w:rFonts w:asciiTheme="majorBidi" w:eastAsiaTheme="majorEastAsia" w:hAnsiTheme="majorBidi" w:cstheme="majorBidi"/>
        </w:rPr>
        <w:t xml:space="preserve">which </w:t>
      </w:r>
      <w:r w:rsidRPr="00A355D9">
        <w:rPr>
          <w:rStyle w:val="normaltextrun"/>
          <w:rFonts w:asciiTheme="majorBidi" w:eastAsiaTheme="majorEastAsia" w:hAnsiTheme="majorBidi" w:cstheme="majorBidi"/>
        </w:rPr>
        <w:t>combin</w:t>
      </w:r>
      <w:r w:rsidRPr="00DA16F6">
        <w:rPr>
          <w:rStyle w:val="normaltextrun"/>
          <w:rFonts w:asciiTheme="majorBidi" w:eastAsiaTheme="majorEastAsia" w:hAnsiTheme="majorBidi" w:cstheme="majorBidi"/>
        </w:rPr>
        <w:t>es</w:t>
      </w:r>
      <w:r w:rsidRPr="00A355D9">
        <w:rPr>
          <w:rStyle w:val="normaltextrun"/>
          <w:rFonts w:asciiTheme="majorBidi" w:eastAsiaTheme="majorEastAsia" w:hAnsiTheme="majorBidi" w:cstheme="majorBidi"/>
        </w:rPr>
        <w:t xml:space="preserve"> official labour statistics with </w:t>
      </w:r>
      <w:r w:rsidR="00524F60">
        <w:rPr>
          <w:rStyle w:val="normaltextrun"/>
          <w:rFonts w:asciiTheme="majorBidi" w:eastAsiaTheme="majorEastAsia" w:hAnsiTheme="majorBidi" w:cstheme="majorBidi"/>
        </w:rPr>
        <w:t>i</w:t>
      </w:r>
      <w:r w:rsidRPr="00A355D9">
        <w:rPr>
          <w:rStyle w:val="normaltextrun"/>
          <w:rFonts w:asciiTheme="majorBidi" w:eastAsiaTheme="majorEastAsia" w:hAnsiTheme="majorBidi" w:cstheme="majorBidi"/>
        </w:rPr>
        <w:t>ndigenous</w:t>
      </w:r>
      <w:r w:rsidRPr="00A355D9">
        <w:rPr>
          <w:rStyle w:val="normaltextrun"/>
          <w:rFonts w:asciiTheme="majorBidi" w:eastAsiaTheme="majorEastAsia" w:hAnsiTheme="majorBidi" w:cstheme="majorBidi"/>
        </w:rPr>
        <w:noBreakHyphen/>
        <w:t>led community</w:t>
      </w:r>
      <w:r w:rsidRPr="00A355D9">
        <w:rPr>
          <w:rStyle w:val="normaltextrun"/>
          <w:rFonts w:asciiTheme="majorBidi" w:eastAsiaTheme="majorEastAsia" w:hAnsiTheme="majorBidi" w:cstheme="majorBidi"/>
        </w:rPr>
        <w:noBreakHyphen/>
        <w:t>based monitoring and information systems</w:t>
      </w:r>
      <w:r w:rsidRPr="00DA16F6">
        <w:rPr>
          <w:rStyle w:val="normaltextrun"/>
          <w:rFonts w:asciiTheme="majorBidi" w:eastAsiaTheme="majorEastAsia" w:hAnsiTheme="majorBidi" w:cstheme="majorBidi"/>
        </w:rPr>
        <w:t>, is likely to be required to operationalize the indicator</w:t>
      </w:r>
      <w:r w:rsidRPr="00A355D9">
        <w:rPr>
          <w:rStyle w:val="normaltextrun"/>
          <w:rFonts w:asciiTheme="majorBidi" w:eastAsiaTheme="majorEastAsia" w:hAnsiTheme="majorBidi" w:cstheme="majorBidi"/>
        </w:rPr>
        <w:t xml:space="preserve">. Such an approach would enhance the indicator’s relevance, while ensuring that nationally reported data are contextualized </w:t>
      </w:r>
      <w:r w:rsidRPr="00DA16F6">
        <w:rPr>
          <w:rStyle w:val="normaltextrun"/>
          <w:rFonts w:asciiTheme="majorBidi" w:eastAsiaTheme="majorEastAsia" w:hAnsiTheme="majorBidi" w:cstheme="majorBidi"/>
        </w:rPr>
        <w:t>with</w:t>
      </w:r>
      <w:r w:rsidRPr="00A355D9">
        <w:rPr>
          <w:rStyle w:val="normaltextrun"/>
          <w:rFonts w:asciiTheme="majorBidi" w:eastAsiaTheme="majorEastAsia" w:hAnsiTheme="majorBidi" w:cstheme="majorBidi"/>
        </w:rPr>
        <w:t xml:space="preserve"> community</w:t>
      </w:r>
      <w:r w:rsidRPr="00A355D9">
        <w:rPr>
          <w:rStyle w:val="normaltextrun"/>
          <w:rFonts w:asciiTheme="majorBidi" w:eastAsiaTheme="majorEastAsia" w:hAnsiTheme="majorBidi" w:cstheme="majorBidi"/>
        </w:rPr>
        <w:noBreakHyphen/>
        <w:t xml:space="preserve">generated </w:t>
      </w:r>
      <w:r w:rsidRPr="00DA16F6">
        <w:rPr>
          <w:rStyle w:val="normaltextrun"/>
          <w:rFonts w:asciiTheme="majorBidi" w:eastAsiaTheme="majorEastAsia" w:hAnsiTheme="majorBidi" w:cstheme="majorBidi"/>
        </w:rPr>
        <w:t>information</w:t>
      </w:r>
      <w:r w:rsidRPr="00A355D9">
        <w:rPr>
          <w:rStyle w:val="normaltextrun"/>
          <w:rFonts w:asciiTheme="majorBidi" w:eastAsiaTheme="majorEastAsia" w:hAnsiTheme="majorBidi" w:cstheme="majorBidi"/>
        </w:rPr>
        <w:t>.</w:t>
      </w:r>
      <w:r w:rsidRPr="00DA16F6">
        <w:rPr>
          <w:rStyle w:val="normaltextrun"/>
          <w:rFonts w:asciiTheme="majorBidi" w:eastAsiaTheme="majorEastAsia" w:hAnsiTheme="majorBidi" w:cstheme="majorBidi"/>
        </w:rPr>
        <w:t xml:space="preserve"> </w:t>
      </w:r>
      <w:r w:rsidRPr="00DA16F6">
        <w:rPr>
          <w:rStyle w:val="normaltextrun"/>
          <w:rFonts w:eastAsiaTheme="majorEastAsia"/>
        </w:rPr>
        <w:t xml:space="preserve">Community-level data may also reflect more nuanced or locally defined understandings of traditional occupations, which may not always align with national classifications. </w:t>
      </w:r>
    </w:p>
    <w:p w14:paraId="35484EA7" w14:textId="77777777" w:rsidR="00FE276C" w:rsidRDefault="00FE276C" w:rsidP="00FE276C">
      <w:pPr>
        <w:pStyle w:val="CBDNormalNumber"/>
        <w:numPr>
          <w:ilvl w:val="1"/>
          <w:numId w:val="80"/>
        </w:numPr>
        <w:shd w:val="clear" w:color="auto" w:fill="FFFFFF"/>
        <w:rPr>
          <w:rStyle w:val="normaltextrun"/>
          <w:rFonts w:asciiTheme="majorBidi" w:eastAsiaTheme="majorEastAsia" w:hAnsiTheme="majorBidi" w:cstheme="majorBidi"/>
        </w:rPr>
      </w:pPr>
      <w:r w:rsidRPr="007052D9">
        <w:rPr>
          <w:rStyle w:val="normaltextrun"/>
          <w:rFonts w:eastAsiaTheme="majorEastAsia"/>
        </w:rPr>
        <w:t xml:space="preserve">National and regional production of the indicator should integrate both official labour statistics and community-based monitoring data. </w:t>
      </w:r>
      <w:r w:rsidRPr="007052D9">
        <w:rPr>
          <w:rStyle w:val="normaltextrun"/>
          <w:rFonts w:asciiTheme="majorBidi" w:eastAsiaTheme="majorEastAsia" w:hAnsiTheme="majorBidi" w:cstheme="majorBidi"/>
        </w:rPr>
        <w:t xml:space="preserve">The increasing availability of </w:t>
      </w:r>
      <w:r>
        <w:rPr>
          <w:rStyle w:val="normaltextrun"/>
          <w:rFonts w:asciiTheme="majorBidi" w:eastAsiaTheme="majorEastAsia" w:hAnsiTheme="majorBidi" w:cstheme="majorBidi"/>
        </w:rPr>
        <w:t>data from</w:t>
      </w:r>
      <w:r w:rsidRPr="007052D9">
        <w:rPr>
          <w:rStyle w:val="normaltextrun"/>
          <w:rFonts w:asciiTheme="majorBidi" w:eastAsiaTheme="majorEastAsia" w:hAnsiTheme="majorBidi" w:cstheme="majorBidi"/>
        </w:rPr>
        <w:t xml:space="preserve"> </w:t>
      </w:r>
      <w:r>
        <w:rPr>
          <w:rStyle w:val="normaltextrun"/>
          <w:rFonts w:asciiTheme="majorBidi" w:eastAsiaTheme="majorEastAsia" w:hAnsiTheme="majorBidi" w:cstheme="majorBidi"/>
        </w:rPr>
        <w:t>community-based monitoring systems</w:t>
      </w:r>
      <w:r w:rsidRPr="007052D9">
        <w:rPr>
          <w:rStyle w:val="normaltextrun"/>
          <w:rFonts w:asciiTheme="majorBidi" w:eastAsiaTheme="majorEastAsia" w:hAnsiTheme="majorBidi" w:cstheme="majorBidi"/>
        </w:rPr>
        <w:t xml:space="preserve"> data, presents an opportunity to </w:t>
      </w:r>
      <w:r>
        <w:rPr>
          <w:rStyle w:val="normaltextrun"/>
          <w:rFonts w:asciiTheme="majorBidi" w:eastAsiaTheme="majorEastAsia" w:hAnsiTheme="majorBidi" w:cstheme="majorBidi"/>
        </w:rPr>
        <w:t xml:space="preserve">improve and enhance the data which is available to use in the calculation of this indicator. </w:t>
      </w:r>
      <w:r w:rsidRPr="007052D9">
        <w:rPr>
          <w:rStyle w:val="normaltextrun"/>
          <w:rFonts w:asciiTheme="majorBidi" w:eastAsiaTheme="majorEastAsia" w:hAnsiTheme="majorBidi" w:cstheme="majorBidi"/>
        </w:rPr>
        <w:t>At the same time, further methodological work is required to address differences between community</w:t>
      </w:r>
      <w:r w:rsidRPr="007052D9">
        <w:rPr>
          <w:rStyle w:val="normaltextrun"/>
          <w:rFonts w:asciiTheme="majorBidi" w:eastAsiaTheme="majorEastAsia" w:hAnsiTheme="majorBidi" w:cstheme="majorBidi"/>
        </w:rPr>
        <w:noBreakHyphen/>
        <w:t>defined traditional occupations and national or international labour classifications.</w:t>
      </w:r>
    </w:p>
    <w:p w14:paraId="78EE2CD2" w14:textId="102B936E" w:rsidR="00CF2B60" w:rsidRPr="00812871" w:rsidRDefault="00541384" w:rsidP="000406AD">
      <w:pPr>
        <w:pStyle w:val="CBDNormalNumber"/>
        <w:numPr>
          <w:ilvl w:val="1"/>
          <w:numId w:val="80"/>
        </w:numPr>
        <w:shd w:val="clear" w:color="auto" w:fill="FFFFFF"/>
        <w:rPr>
          <w:rStyle w:val="normaltextrun"/>
          <w:rFonts w:eastAsiaTheme="majorEastAsia"/>
        </w:rPr>
      </w:pPr>
      <w:r w:rsidRPr="00812871">
        <w:rPr>
          <w:rStyle w:val="normaltextrun"/>
          <w:rFonts w:asciiTheme="majorBidi" w:eastAsiaTheme="majorEastAsia" w:hAnsiTheme="majorBidi" w:cstheme="majorBidi"/>
        </w:rPr>
        <w:t xml:space="preserve">At present, the indicator is not computable in many national contexts due to the limited availability of labour statistics disaggregated by </w:t>
      </w:r>
      <w:r w:rsidR="007D1678">
        <w:rPr>
          <w:rStyle w:val="normaltextrun"/>
          <w:rFonts w:asciiTheme="majorBidi" w:eastAsiaTheme="majorEastAsia" w:hAnsiTheme="majorBidi" w:cstheme="majorBidi"/>
        </w:rPr>
        <w:t>i</w:t>
      </w:r>
      <w:r w:rsidRPr="00812871">
        <w:rPr>
          <w:rStyle w:val="normaltextrun"/>
          <w:rFonts w:asciiTheme="majorBidi" w:eastAsiaTheme="majorEastAsia" w:hAnsiTheme="majorBidi" w:cstheme="majorBidi"/>
        </w:rPr>
        <w:t xml:space="preserve">ndigenous </w:t>
      </w:r>
      <w:r w:rsidR="007D1678">
        <w:rPr>
          <w:rStyle w:val="normaltextrun"/>
          <w:rFonts w:asciiTheme="majorBidi" w:eastAsiaTheme="majorEastAsia" w:hAnsiTheme="majorBidi" w:cstheme="majorBidi"/>
        </w:rPr>
        <w:t>p</w:t>
      </w:r>
      <w:r w:rsidRPr="00812871">
        <w:rPr>
          <w:rStyle w:val="normaltextrun"/>
          <w:rFonts w:asciiTheme="majorBidi" w:eastAsiaTheme="majorEastAsia" w:hAnsiTheme="majorBidi" w:cstheme="majorBidi"/>
        </w:rPr>
        <w:t xml:space="preserve">eoples and local communities. </w:t>
      </w:r>
      <w:r w:rsidR="0010794C" w:rsidRPr="00790F5D">
        <w:rPr>
          <w:rStyle w:val="normaltextrun"/>
          <w:rFonts w:asciiTheme="majorBidi" w:eastAsiaTheme="majorEastAsia" w:hAnsiTheme="majorBidi" w:cstheme="majorBidi"/>
        </w:rPr>
        <w:t>This data limitation could potentially be addressed</w:t>
      </w:r>
      <w:r w:rsidR="00687A62" w:rsidRPr="00812871">
        <w:rPr>
          <w:rStyle w:val="normaltextrun"/>
          <w:rFonts w:asciiTheme="majorBidi" w:eastAsiaTheme="majorEastAsia" w:hAnsiTheme="majorBidi" w:cstheme="majorBidi"/>
        </w:rPr>
        <w:t xml:space="preserve"> by supplementing official data with community-based monitoring data, such as those generated through </w:t>
      </w:r>
      <w:r w:rsidR="007D1678" w:rsidRPr="007E1F72">
        <w:rPr>
          <w:rStyle w:val="normaltextrun"/>
          <w:rFonts w:asciiTheme="majorBidi" w:eastAsiaTheme="majorEastAsia" w:hAnsiTheme="majorBidi" w:cstheme="majorBidi"/>
        </w:rPr>
        <w:t xml:space="preserve">community-based </w:t>
      </w:r>
      <w:proofErr w:type="gramStart"/>
      <w:r w:rsidR="007D1678" w:rsidRPr="007E1F72">
        <w:rPr>
          <w:rStyle w:val="normaltextrun"/>
          <w:rFonts w:asciiTheme="majorBidi" w:eastAsiaTheme="majorEastAsia" w:hAnsiTheme="majorBidi" w:cstheme="majorBidi"/>
        </w:rPr>
        <w:t xml:space="preserve">monitoring </w:t>
      </w:r>
      <w:r w:rsidR="007D1678">
        <w:rPr>
          <w:rStyle w:val="normaltextrun"/>
          <w:rFonts w:asciiTheme="majorBidi" w:eastAsiaTheme="majorEastAsia" w:hAnsiTheme="majorBidi" w:cstheme="majorBidi"/>
        </w:rPr>
        <w:t xml:space="preserve"> systems</w:t>
      </w:r>
      <w:proofErr w:type="gramEnd"/>
      <w:r w:rsidR="00F463DB">
        <w:rPr>
          <w:rStyle w:val="normaltextrun"/>
          <w:rFonts w:asciiTheme="majorBidi" w:eastAsiaTheme="majorEastAsia" w:hAnsiTheme="majorBidi" w:cstheme="majorBidi"/>
        </w:rPr>
        <w:t xml:space="preserve"> such as </w:t>
      </w:r>
      <w:r w:rsidR="00687A62" w:rsidRPr="00812871">
        <w:rPr>
          <w:rStyle w:val="normaltextrun"/>
          <w:rFonts w:asciiTheme="majorBidi" w:eastAsiaTheme="majorEastAsia" w:hAnsiTheme="majorBidi" w:cstheme="majorBidi"/>
        </w:rPr>
        <w:t xml:space="preserve">the Indigenous Navigator. </w:t>
      </w:r>
      <w:r w:rsidR="00790F5D" w:rsidRPr="00812871">
        <w:rPr>
          <w:rStyle w:val="normaltextrun"/>
          <w:rFonts w:asciiTheme="majorBidi" w:eastAsiaTheme="majorEastAsia" w:hAnsiTheme="majorBidi" w:cstheme="majorBidi"/>
        </w:rPr>
        <w:t>The Indigenous Navigator’s methodology includes gender-disaggregated data, enabling countries to report on qualitative data on the distinct experiences of women and men in traditional occupations.  </w:t>
      </w:r>
      <w:r w:rsidR="000406AD" w:rsidRPr="007E1F72">
        <w:rPr>
          <w:rStyle w:val="normaltextrun"/>
          <w:rFonts w:asciiTheme="majorBidi" w:eastAsiaTheme="majorEastAsia" w:hAnsiTheme="majorBidi" w:cstheme="majorBidi"/>
        </w:rPr>
        <w:t>The Indigenous Navigator has conducted standardized surveys in over 30 countries, with more than 500 communities participating. These surveys provide structured data on traditional occupations, including identification, trends, barriers, and enabling conditions, and can be used to complement national-level data collection efforts. </w:t>
      </w:r>
      <w:r w:rsidR="000406AD" w:rsidRPr="007E1F72">
        <w:rPr>
          <w:rStyle w:val="normaltextrun"/>
          <w:rFonts w:eastAsiaTheme="majorEastAsia" w:cstheme="majorBidi"/>
        </w:rPr>
        <w:t> In February 2026, the Indigenous Navigator produced a summary analysis of this data.</w:t>
      </w:r>
    </w:p>
    <w:p w14:paraId="25E02F24" w14:textId="1ED9709A" w:rsidR="00FE276C" w:rsidRDefault="00790F5D" w:rsidP="00FE276C">
      <w:pPr>
        <w:pStyle w:val="CBDNormalNumber"/>
        <w:numPr>
          <w:ilvl w:val="1"/>
          <w:numId w:val="80"/>
        </w:numPr>
        <w:shd w:val="clear" w:color="auto" w:fill="FFFFFF"/>
        <w:rPr>
          <w:rStyle w:val="normaltextrun"/>
          <w:rFonts w:asciiTheme="majorBidi" w:hAnsiTheme="majorBidi" w:cstheme="majorBidi"/>
        </w:rPr>
      </w:pPr>
      <w:r w:rsidRPr="00812871">
        <w:rPr>
          <w:rStyle w:val="normaltextrun"/>
          <w:rFonts w:asciiTheme="majorBidi" w:eastAsiaTheme="majorEastAsia" w:hAnsiTheme="majorBidi" w:cstheme="majorBidi"/>
        </w:rPr>
        <w:t>D</w:t>
      </w:r>
      <w:r w:rsidR="00687A62" w:rsidRPr="00812871">
        <w:rPr>
          <w:rStyle w:val="normaltextrun"/>
          <w:rFonts w:asciiTheme="majorBidi" w:eastAsiaTheme="majorEastAsia" w:hAnsiTheme="majorBidi" w:cstheme="majorBidi"/>
        </w:rPr>
        <w:t>ata</w:t>
      </w:r>
      <w:r w:rsidRPr="00812871">
        <w:rPr>
          <w:rStyle w:val="normaltextrun"/>
          <w:rFonts w:asciiTheme="majorBidi" w:eastAsiaTheme="majorEastAsia" w:hAnsiTheme="majorBidi" w:cstheme="majorBidi"/>
        </w:rPr>
        <w:t xml:space="preserve"> provided through </w:t>
      </w:r>
      <w:r w:rsidR="00F463DB" w:rsidRPr="007E1F72">
        <w:rPr>
          <w:rStyle w:val="normaltextrun"/>
          <w:rFonts w:asciiTheme="majorBidi" w:eastAsiaTheme="majorEastAsia" w:hAnsiTheme="majorBidi" w:cstheme="majorBidi"/>
        </w:rPr>
        <w:t xml:space="preserve">community-based monitoring </w:t>
      </w:r>
      <w:r w:rsidR="00F463DB">
        <w:rPr>
          <w:rStyle w:val="normaltextrun"/>
          <w:rFonts w:asciiTheme="majorBidi" w:eastAsiaTheme="majorEastAsia" w:hAnsiTheme="majorBidi" w:cstheme="majorBidi"/>
        </w:rPr>
        <w:t xml:space="preserve">systems </w:t>
      </w:r>
      <w:r w:rsidR="00687A62" w:rsidRPr="00812871">
        <w:rPr>
          <w:rStyle w:val="normaltextrun"/>
          <w:rFonts w:asciiTheme="majorBidi" w:eastAsiaTheme="majorEastAsia" w:hAnsiTheme="majorBidi" w:cstheme="majorBidi"/>
        </w:rPr>
        <w:t>can provide insights into the status and trends of traditional occupations, particularly where national data are unavailable or statistically insignificant. S</w:t>
      </w:r>
      <w:r w:rsidR="00C53150" w:rsidRPr="00812871">
        <w:rPr>
          <w:rStyle w:val="normaltextrun"/>
          <w:rFonts w:asciiTheme="majorBidi" w:eastAsiaTheme="majorEastAsia" w:hAnsiTheme="majorBidi" w:cstheme="majorBidi"/>
        </w:rPr>
        <w:t xml:space="preserve">ince the metadata was initially prepared, the Indigenous Navigator has developed and released a high-level analysis of </w:t>
      </w:r>
      <w:r w:rsidR="003B0253">
        <w:rPr>
          <w:rStyle w:val="normaltextrun"/>
          <w:rFonts w:asciiTheme="majorBidi" w:eastAsiaTheme="majorEastAsia" w:hAnsiTheme="majorBidi" w:cstheme="majorBidi"/>
        </w:rPr>
        <w:t>its</w:t>
      </w:r>
      <w:r w:rsidR="00C53150" w:rsidRPr="00812871">
        <w:rPr>
          <w:rStyle w:val="normaltextrun"/>
          <w:rFonts w:asciiTheme="majorBidi" w:eastAsiaTheme="majorEastAsia" w:hAnsiTheme="majorBidi" w:cstheme="majorBidi"/>
        </w:rPr>
        <w:t xml:space="preserve"> methodology and data relevant to the indicator which can further inform the development of the indicator. This includes information on the possible the role of complementary community</w:t>
      </w:r>
      <w:r w:rsidR="00C53150" w:rsidRPr="00812871">
        <w:rPr>
          <w:rStyle w:val="normaltextrun"/>
          <w:rFonts w:asciiTheme="majorBidi" w:eastAsiaTheme="majorEastAsia" w:hAnsiTheme="majorBidi" w:cstheme="majorBidi"/>
        </w:rPr>
        <w:noBreakHyphen/>
        <w:t>based evidence on status and trends, gender</w:t>
      </w:r>
      <w:r w:rsidR="00C53150" w:rsidRPr="00812871">
        <w:rPr>
          <w:rStyle w:val="normaltextrun"/>
          <w:rFonts w:asciiTheme="majorBidi" w:eastAsiaTheme="majorEastAsia" w:hAnsiTheme="majorBidi" w:cstheme="majorBidi"/>
        </w:rPr>
        <w:noBreakHyphen/>
        <w:t>disaggregated insights, and barriers and enablers for traditional occupations, which can inform national reporting and contextual understanding.</w:t>
      </w:r>
    </w:p>
    <w:p w14:paraId="2CEB2B1D" w14:textId="1A8436AE" w:rsidR="00A35036" w:rsidRPr="00812871" w:rsidRDefault="00D10674" w:rsidP="00812871">
      <w:pPr>
        <w:pStyle w:val="CBDNormalNumber"/>
        <w:numPr>
          <w:ilvl w:val="1"/>
          <w:numId w:val="80"/>
        </w:numPr>
        <w:shd w:val="clear" w:color="auto" w:fill="FFFFFF"/>
        <w:rPr>
          <w:rFonts w:asciiTheme="majorBidi" w:hAnsiTheme="majorBidi" w:cstheme="majorBidi"/>
        </w:rPr>
      </w:pPr>
      <w:r w:rsidRPr="00FE276C">
        <w:rPr>
          <w:rStyle w:val="normaltextrun"/>
          <w:rFonts w:asciiTheme="majorBidi" w:eastAsiaTheme="majorEastAsia" w:hAnsiTheme="majorBidi" w:cstheme="majorBidi"/>
        </w:rPr>
        <w:t xml:space="preserve">The </w:t>
      </w:r>
      <w:r w:rsidR="00541384" w:rsidRPr="00812871">
        <w:rPr>
          <w:rStyle w:val="normaltextrun"/>
          <w:rFonts w:asciiTheme="majorBidi" w:eastAsiaTheme="majorEastAsia" w:hAnsiTheme="majorBidi" w:cstheme="majorBidi"/>
        </w:rPr>
        <w:t xml:space="preserve">effective operationalization of the indicator will depend on sustained collaboration with </w:t>
      </w:r>
      <w:r w:rsidRPr="00FE276C">
        <w:rPr>
          <w:rStyle w:val="normaltextrun"/>
          <w:rFonts w:asciiTheme="majorBidi" w:eastAsiaTheme="majorEastAsia" w:hAnsiTheme="majorBidi" w:cstheme="majorBidi"/>
        </w:rPr>
        <w:t>i</w:t>
      </w:r>
      <w:r w:rsidR="00541384" w:rsidRPr="00812871">
        <w:rPr>
          <w:rStyle w:val="normaltextrun"/>
          <w:rFonts w:asciiTheme="majorBidi" w:eastAsiaTheme="majorEastAsia" w:hAnsiTheme="majorBidi" w:cstheme="majorBidi"/>
        </w:rPr>
        <w:t xml:space="preserve">ndigenous </w:t>
      </w:r>
      <w:r w:rsidRPr="00FE276C">
        <w:rPr>
          <w:rStyle w:val="normaltextrun"/>
          <w:rFonts w:asciiTheme="majorBidi" w:eastAsiaTheme="majorEastAsia" w:hAnsiTheme="majorBidi" w:cstheme="majorBidi"/>
        </w:rPr>
        <w:t>p</w:t>
      </w:r>
      <w:r w:rsidR="00541384" w:rsidRPr="00812871">
        <w:rPr>
          <w:rStyle w:val="normaltextrun"/>
          <w:rFonts w:asciiTheme="majorBidi" w:eastAsiaTheme="majorEastAsia" w:hAnsiTheme="majorBidi" w:cstheme="majorBidi"/>
        </w:rPr>
        <w:t xml:space="preserve">eoples </w:t>
      </w:r>
      <w:r w:rsidRPr="00FE276C">
        <w:rPr>
          <w:rStyle w:val="normaltextrun"/>
          <w:rFonts w:asciiTheme="majorBidi" w:eastAsiaTheme="majorEastAsia" w:hAnsiTheme="majorBidi" w:cstheme="majorBidi"/>
        </w:rPr>
        <w:t xml:space="preserve">and local communities </w:t>
      </w:r>
      <w:r w:rsidR="00541384" w:rsidRPr="00812871">
        <w:rPr>
          <w:rStyle w:val="normaltextrun"/>
          <w:rFonts w:asciiTheme="majorBidi" w:eastAsiaTheme="majorEastAsia" w:hAnsiTheme="majorBidi" w:cstheme="majorBidi"/>
        </w:rPr>
        <w:t xml:space="preserve">as well as on the systematic consideration of enabling policy, legal, and institutional frameworks </w:t>
      </w:r>
    </w:p>
    <w:p w14:paraId="2CB7B8EE" w14:textId="43ECD13F" w:rsidR="00756F0F" w:rsidRPr="00ED7E61" w:rsidRDefault="00756F0F" w:rsidP="00C93B0B">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t>1</w:t>
      </w:r>
      <w:r w:rsidR="00A829C8">
        <w:rPr>
          <w:rStyle w:val="normaltextrun"/>
          <w:rFonts w:asciiTheme="majorBidi" w:eastAsiaTheme="majorEastAsia" w:hAnsiTheme="majorBidi" w:cstheme="majorBidi"/>
          <w:b/>
          <w:bCs/>
          <w:sz w:val="22"/>
          <w:szCs w:val="22"/>
          <w:lang w:val="en-GB"/>
        </w:rPr>
        <w:t>2</w:t>
      </w:r>
      <w:r w:rsidRPr="00ED7E61">
        <w:rPr>
          <w:rStyle w:val="normaltextrun"/>
          <w:rFonts w:asciiTheme="majorBidi" w:eastAsiaTheme="majorEastAsia" w:hAnsiTheme="majorBidi" w:cstheme="majorBidi"/>
          <w:b/>
          <w:bCs/>
          <w:sz w:val="22"/>
          <w:szCs w:val="22"/>
          <w:lang w:val="en-GB"/>
        </w:rPr>
        <w:t>. References</w:t>
      </w:r>
      <w:r w:rsidRPr="00ED7E61">
        <w:rPr>
          <w:rStyle w:val="normaltextrun"/>
          <w:rFonts w:eastAsiaTheme="majorEastAsia"/>
          <w:b/>
          <w:bCs/>
          <w:lang w:val="en-GB"/>
        </w:rPr>
        <w:t> </w:t>
      </w:r>
    </w:p>
    <w:p w14:paraId="1F3E588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shd w:val="clear" w:color="auto" w:fill="FFFFFF"/>
          <w:lang w:val="en-GB"/>
        </w:rPr>
        <w:t>Websites</w:t>
      </w:r>
      <w:r w:rsidRPr="00ED7E61">
        <w:rPr>
          <w:rStyle w:val="eop"/>
          <w:rFonts w:asciiTheme="majorBidi" w:eastAsiaTheme="majorEastAsia" w:hAnsiTheme="majorBidi" w:cstheme="majorBidi"/>
          <w:sz w:val="22"/>
          <w:szCs w:val="22"/>
        </w:rPr>
        <w:t> </w:t>
      </w:r>
    </w:p>
    <w:p w14:paraId="09B891DC" w14:textId="164346F3" w:rsidR="00C93B0B" w:rsidRPr="009E462F" w:rsidRDefault="00756F0F" w:rsidP="00D45252">
      <w:pPr>
        <w:pStyle w:val="CBDNormalNumber"/>
        <w:shd w:val="clear" w:color="auto" w:fill="FFFFFF"/>
        <w:ind w:left="567"/>
        <w:rPr>
          <w:rFonts w:asciiTheme="majorBidi" w:hAnsiTheme="majorBidi" w:cstheme="majorBidi"/>
          <w:lang w:val="en-US"/>
        </w:rPr>
      </w:pPr>
      <w:r w:rsidRPr="009E462F">
        <w:rPr>
          <w:rStyle w:val="normaltextrun"/>
          <w:rFonts w:asciiTheme="majorBidi" w:eastAsiaTheme="majorEastAsia" w:hAnsiTheme="majorBidi" w:cstheme="majorBidi"/>
          <w:lang w:val="en-US"/>
        </w:rPr>
        <w:t>Indigenous</w:t>
      </w:r>
      <w:r w:rsidRPr="009E462F">
        <w:rPr>
          <w:rStyle w:val="normaltextrun"/>
          <w:rFonts w:asciiTheme="majorBidi" w:eastAsiaTheme="majorEastAsia" w:hAnsiTheme="majorBidi" w:cstheme="majorBidi"/>
          <w:shd w:val="clear" w:color="auto" w:fill="FFFFFF"/>
          <w:lang w:val="en-US"/>
        </w:rPr>
        <w:t xml:space="preserve"> Navigator:</w:t>
      </w:r>
      <w:hyperlink r:id="rId384" w:tgtFrame="_blank" w:history="1">
        <w:r w:rsidRPr="009E462F">
          <w:rPr>
            <w:rStyle w:val="normaltextrun"/>
            <w:rFonts w:asciiTheme="majorBidi" w:eastAsiaTheme="majorEastAsia" w:hAnsiTheme="majorBidi" w:cstheme="majorBidi"/>
            <w:color w:val="0000FF"/>
            <w:shd w:val="clear" w:color="auto" w:fill="FFFFFF"/>
            <w:lang w:val="en-US"/>
          </w:rPr>
          <w:t xml:space="preserve"> </w:t>
        </w:r>
      </w:hyperlink>
      <w:hyperlink r:id="rId385" w:tgtFrame="_blank" w:history="1">
        <w:r w:rsidRPr="009E462F">
          <w:rPr>
            <w:rStyle w:val="normaltextrun"/>
            <w:rFonts w:asciiTheme="majorBidi" w:eastAsiaTheme="majorEastAsia" w:hAnsiTheme="majorBidi" w:cstheme="majorBidi"/>
            <w:color w:val="1155CC"/>
            <w:u w:val="single"/>
            <w:shd w:val="clear" w:color="auto" w:fill="FFFFFF"/>
            <w:lang w:val="en-US"/>
          </w:rPr>
          <w:t>https://indigenousnavigator.org/</w:t>
        </w:r>
      </w:hyperlink>
      <w:r w:rsidRPr="009E462F">
        <w:rPr>
          <w:rStyle w:val="eop"/>
          <w:rFonts w:asciiTheme="majorBidi" w:eastAsiaTheme="majorEastAsia" w:hAnsiTheme="majorBidi" w:cstheme="majorBidi"/>
          <w:color w:val="1155CC"/>
          <w:lang w:val="en-US"/>
        </w:rPr>
        <w:t> </w:t>
      </w:r>
    </w:p>
    <w:p w14:paraId="5DF46532" w14:textId="03FA9A6D" w:rsidR="00C93B0B" w:rsidRPr="00ED7E61" w:rsidRDefault="00756F0F" w:rsidP="00D45252">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shd w:val="clear" w:color="auto" w:fill="FFFFFF"/>
        </w:rPr>
        <w:t xml:space="preserve">Local Biodiversity Outlook: </w:t>
      </w:r>
      <w:hyperlink r:id="rId386" w:tgtFrame="_blank" w:history="1">
        <w:r w:rsidRPr="00ED7E61">
          <w:rPr>
            <w:rStyle w:val="normaltextrun"/>
            <w:rFonts w:asciiTheme="majorBidi" w:eastAsiaTheme="majorEastAsia" w:hAnsiTheme="majorBidi" w:cstheme="majorBidi"/>
            <w:color w:val="467886"/>
            <w:u w:val="single"/>
            <w:shd w:val="clear" w:color="auto" w:fill="FFFFFF"/>
          </w:rPr>
          <w:t>https://localbiodiversityoutlooks.net</w:t>
        </w:r>
      </w:hyperlink>
      <w:r w:rsidRPr="00ED7E61">
        <w:rPr>
          <w:rStyle w:val="normaltextrun"/>
          <w:rFonts w:asciiTheme="majorBidi" w:eastAsiaTheme="majorEastAsia" w:hAnsiTheme="majorBidi" w:cstheme="majorBidi"/>
          <w:shd w:val="clear" w:color="auto" w:fill="FFFFFF"/>
        </w:rPr>
        <w:t> </w:t>
      </w:r>
      <w:r w:rsidRPr="00ED7E61">
        <w:rPr>
          <w:rStyle w:val="eop"/>
          <w:rFonts w:asciiTheme="majorBidi" w:eastAsiaTheme="majorEastAsia" w:hAnsiTheme="majorBidi" w:cstheme="majorBidi"/>
        </w:rPr>
        <w:t> </w:t>
      </w:r>
    </w:p>
    <w:p w14:paraId="505730CC" w14:textId="22B26EC1" w:rsidR="00C93B0B" w:rsidRPr="00ED7E61" w:rsidRDefault="00756F0F" w:rsidP="00D45252">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i/>
          <w:iCs/>
        </w:rPr>
        <w:t>Traditional Occupations of Indigenous and Tribal Peoples in Labour Statistics</w:t>
      </w:r>
      <w:r w:rsidRPr="00ED7E61">
        <w:rPr>
          <w:rStyle w:val="normaltextrun"/>
          <w:rFonts w:asciiTheme="majorBidi" w:eastAsiaTheme="majorEastAsia" w:hAnsiTheme="majorBidi" w:cstheme="majorBidi"/>
        </w:rPr>
        <w:t xml:space="preserve">, Geneva: International Labour Office, 2023: </w:t>
      </w:r>
      <w:hyperlink r:id="rId387" w:tgtFrame="_blank" w:history="1">
        <w:r w:rsidRPr="00ED7E61">
          <w:rPr>
            <w:rStyle w:val="normaltextrun"/>
            <w:rFonts w:asciiTheme="majorBidi" w:eastAsiaTheme="majorEastAsia" w:hAnsiTheme="majorBidi" w:cstheme="majorBidi"/>
            <w:color w:val="1155CC"/>
            <w:u w:val="single"/>
          </w:rPr>
          <w:t>https://www.ilo.org/global/publications/WCMS_862144/lang--</w:t>
        </w:r>
        <w:proofErr w:type="spellStart"/>
        <w:r w:rsidRPr="00ED7E61">
          <w:rPr>
            <w:rStyle w:val="normaltextrun"/>
            <w:rFonts w:asciiTheme="majorBidi" w:eastAsiaTheme="majorEastAsia" w:hAnsiTheme="majorBidi" w:cstheme="majorBidi"/>
            <w:color w:val="1155CC"/>
            <w:u w:val="single"/>
          </w:rPr>
          <w:t>en</w:t>
        </w:r>
        <w:proofErr w:type="spellEnd"/>
        <w:r w:rsidRPr="00ED7E61">
          <w:rPr>
            <w:rStyle w:val="normaltextrun"/>
            <w:rFonts w:asciiTheme="majorBidi" w:eastAsiaTheme="majorEastAsia" w:hAnsiTheme="majorBidi" w:cstheme="majorBidi"/>
            <w:color w:val="1155CC"/>
            <w:u w:val="single"/>
          </w:rPr>
          <w:t>/index.htm</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5616941C" w14:textId="77777777" w:rsidR="00756F0F" w:rsidRPr="00ED7E61" w:rsidRDefault="00756F0F" w:rsidP="00D45252">
      <w:pPr>
        <w:pStyle w:val="CBDNormalNumber"/>
        <w:shd w:val="clear" w:color="auto" w:fill="FFFFFF"/>
        <w:ind w:left="567"/>
        <w:rPr>
          <w:rFonts w:asciiTheme="majorBidi" w:hAnsiTheme="majorBidi" w:cstheme="majorBidi"/>
        </w:rPr>
      </w:pPr>
      <w:hyperlink r:id="rId388" w:tgtFrame="_blank" w:history="1">
        <w:r w:rsidRPr="00ED7E61">
          <w:rPr>
            <w:rStyle w:val="normaltextrun"/>
            <w:rFonts w:asciiTheme="majorBidi" w:eastAsiaTheme="majorEastAsia" w:hAnsiTheme="majorBidi" w:cstheme="majorBidi"/>
            <w:color w:val="1155CC"/>
            <w:u w:val="single"/>
          </w:rPr>
          <w:t>Team from University of Michigan's Spreadsheet</w:t>
        </w:r>
      </w:hyperlink>
      <w:r w:rsidRPr="00ED7E61">
        <w:rPr>
          <w:rStyle w:val="eop"/>
          <w:rFonts w:asciiTheme="majorBidi" w:eastAsiaTheme="majorEastAsia" w:hAnsiTheme="majorBidi" w:cstheme="majorBidi"/>
        </w:rPr>
        <w:t> </w:t>
      </w:r>
    </w:p>
    <w:p w14:paraId="3B3CE2F8" w14:textId="6F2432B4"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lastRenderedPageBreak/>
        <w:t>1</w:t>
      </w:r>
      <w:r w:rsidR="00A829C8">
        <w:rPr>
          <w:rStyle w:val="normaltextrun"/>
          <w:rFonts w:asciiTheme="majorBidi" w:eastAsiaTheme="majorEastAsia" w:hAnsiTheme="majorBidi" w:cstheme="majorBidi"/>
          <w:b/>
          <w:bCs/>
          <w:sz w:val="22"/>
          <w:szCs w:val="22"/>
          <w:lang w:val="en-GB"/>
        </w:rPr>
        <w:t>3</w:t>
      </w:r>
      <w:r w:rsidRPr="00ED7E61">
        <w:rPr>
          <w:rStyle w:val="normaltextrun"/>
          <w:rFonts w:asciiTheme="majorBidi" w:eastAsiaTheme="majorEastAsia" w:hAnsiTheme="majorBidi" w:cstheme="majorBidi"/>
          <w:b/>
          <w:bCs/>
          <w:sz w:val="22"/>
          <w:szCs w:val="22"/>
          <w:lang w:val="en-GB"/>
        </w:rPr>
        <w:t>. Graphs and diagrams</w:t>
      </w:r>
      <w:r w:rsidRPr="00ED7E61">
        <w:rPr>
          <w:rStyle w:val="eop"/>
          <w:rFonts w:asciiTheme="majorBidi" w:eastAsiaTheme="majorEastAsia" w:hAnsiTheme="majorBidi" w:cstheme="majorBidi"/>
          <w:sz w:val="22"/>
          <w:szCs w:val="22"/>
        </w:rPr>
        <w:t> </w:t>
      </w:r>
    </w:p>
    <w:p w14:paraId="29DC140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4B802E94" w14:textId="77777777" w:rsidR="00756F0F" w:rsidRPr="000C7B63" w:rsidRDefault="00756F0F" w:rsidP="0001254A">
      <w:pPr>
        <w:pStyle w:val="paragraph"/>
        <w:pBdr>
          <w:bottom w:val="single" w:sz="8" w:space="1" w:color="auto"/>
        </w:pBdr>
        <w:spacing w:before="240" w:beforeAutospacing="0" w:after="0" w:afterAutospacing="0"/>
        <w:textAlignment w:val="baseline"/>
        <w:rPr>
          <w:rFonts w:asciiTheme="majorBidi" w:hAnsiTheme="majorBidi" w:cstheme="majorBidi"/>
          <w:b/>
          <w:bCs/>
          <w:sz w:val="22"/>
          <w:szCs w:val="22"/>
        </w:rPr>
      </w:pPr>
      <w:r w:rsidRPr="00B568F4">
        <w:rPr>
          <w:rStyle w:val="normaltextrun"/>
          <w:rFonts w:asciiTheme="majorBidi" w:eastAsiaTheme="majorEastAsia" w:hAnsiTheme="majorBidi" w:cstheme="majorBidi"/>
          <w:b/>
          <w:bCs/>
          <w:sz w:val="22"/>
          <w:szCs w:val="22"/>
          <w:lang w:val="en-GB"/>
        </w:rPr>
        <w:t>Annex 1</w:t>
      </w:r>
      <w:r w:rsidRPr="000C7B63">
        <w:rPr>
          <w:rStyle w:val="eop"/>
          <w:rFonts w:asciiTheme="majorBidi" w:eastAsiaTheme="majorEastAsia" w:hAnsiTheme="majorBidi" w:cstheme="majorBidi"/>
          <w:b/>
          <w:bCs/>
          <w:sz w:val="22"/>
          <w:szCs w:val="22"/>
        </w:rPr>
        <w:t> </w:t>
      </w:r>
    </w:p>
    <w:p w14:paraId="3A8B236C" w14:textId="004353C1" w:rsidR="00C93B0B" w:rsidRPr="00ED7E61" w:rsidRDefault="00756F0F" w:rsidP="00B10F0C">
      <w:pPr>
        <w:pStyle w:val="CBDNormalNumber"/>
        <w:numPr>
          <w:ilvl w:val="0"/>
          <w:numId w:val="83"/>
        </w:numPr>
        <w:shd w:val="clear" w:color="auto" w:fill="FFFFFF"/>
        <w:tabs>
          <w:tab w:val="clear" w:pos="1701"/>
        </w:tabs>
        <w:ind w:left="567" w:hanging="24"/>
        <w:rPr>
          <w:rFonts w:asciiTheme="majorBidi" w:hAnsiTheme="majorBidi" w:cstheme="majorBidi"/>
        </w:rPr>
      </w:pPr>
      <w:r w:rsidRPr="00ED7E61">
        <w:rPr>
          <w:rStyle w:val="normaltextrun"/>
          <w:rFonts w:asciiTheme="majorBidi" w:eastAsiaTheme="majorEastAsia" w:hAnsiTheme="majorBidi" w:cstheme="majorBidi"/>
        </w:rPr>
        <w:t>ISCO-08 groups to be used for operational measurement of traditional occupations when information on the use of indigenous knowledge at work is not directly available. </w:t>
      </w:r>
      <w:r w:rsidRPr="00ED7E61">
        <w:rPr>
          <w:rStyle w:val="eop"/>
          <w:rFonts w:asciiTheme="majorBidi" w:eastAsiaTheme="majorEastAsia" w:hAnsiTheme="majorBidi" w:cstheme="majorBidi"/>
        </w:rPr>
        <w:t> </w:t>
      </w:r>
    </w:p>
    <w:p w14:paraId="36429405" w14:textId="42A26C84" w:rsidR="00C93B0B" w:rsidRPr="00ED7E61" w:rsidRDefault="00756F0F" w:rsidP="00B10F0C">
      <w:pPr>
        <w:pStyle w:val="CBDNormalNumber"/>
        <w:numPr>
          <w:ilvl w:val="0"/>
          <w:numId w:val="8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Unit groups</w:t>
      </w:r>
      <w:r w:rsidR="00C93B0B"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The following ISCO-</w:t>
      </w:r>
      <w:proofErr w:type="gramStart"/>
      <w:r w:rsidRPr="00ED7E61">
        <w:rPr>
          <w:rStyle w:val="normaltextrun"/>
          <w:rFonts w:asciiTheme="majorBidi" w:eastAsiaTheme="majorEastAsia" w:hAnsiTheme="majorBidi" w:cstheme="majorBidi"/>
        </w:rPr>
        <w:t>08 unit</w:t>
      </w:r>
      <w:proofErr w:type="gramEnd"/>
      <w:r w:rsidRPr="00ED7E61">
        <w:rPr>
          <w:rStyle w:val="normaltextrun"/>
          <w:rFonts w:asciiTheme="majorBidi" w:eastAsiaTheme="majorEastAsia" w:hAnsiTheme="majorBidi" w:cstheme="majorBidi"/>
        </w:rPr>
        <w:t xml:space="preserve"> groups could be used or help guide relevant categories in national occupation classification schemes. In addition, all unit groups in sub-major group 92 (Agricultural, forestry and fishery labourers) should be included if the status in employment of the indigenous worker is employer, independent worker without employees (own-account worker), or contributing family worker</w:t>
      </w:r>
      <w:r w:rsidR="00C93B0B"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0759DF4D" w14:textId="156B1D31" w:rsidR="00C93B0B"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1113 Traditional Chiefs and Heads of Villages  </w:t>
      </w:r>
    </w:p>
    <w:p w14:paraId="47471088"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2131 Biologists, Botanists, Zoologists and Related Professionals  </w:t>
      </w:r>
    </w:p>
    <w:p w14:paraId="0C520554"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2132 Farming, Forestry and Fisheries Advisers  </w:t>
      </w:r>
    </w:p>
    <w:p w14:paraId="41A32BC7"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2133 Environmental Protection Professionals  </w:t>
      </w:r>
    </w:p>
    <w:p w14:paraId="2BD336FA"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2230 Traditional and complementary medical practitioners  </w:t>
      </w:r>
    </w:p>
    <w:p w14:paraId="60F0EBCF"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2341 Primary School Teachers  </w:t>
      </w:r>
    </w:p>
    <w:p w14:paraId="15935FFC"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2342 Early Childhood Educators  </w:t>
      </w:r>
    </w:p>
    <w:p w14:paraId="51D5FCB8"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2354 Other Music Teachers  </w:t>
      </w:r>
    </w:p>
    <w:p w14:paraId="194D0533"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2355 Other Arts Teachers  </w:t>
      </w:r>
    </w:p>
    <w:p w14:paraId="3ACD2DA6"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2641 Authors and Related Writers  </w:t>
      </w:r>
    </w:p>
    <w:p w14:paraId="6C5D1504"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2642 Journalists  </w:t>
      </w:r>
    </w:p>
    <w:p w14:paraId="49FC20E1"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2643 Translators, Interpreters and Other Linguists  </w:t>
      </w:r>
    </w:p>
    <w:p w14:paraId="68863D44"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2651 Visual Artists  </w:t>
      </w:r>
    </w:p>
    <w:p w14:paraId="00E93844"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2652 Musicians, Singers and Composers  </w:t>
      </w:r>
    </w:p>
    <w:p w14:paraId="0E204506"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2653 Dancers and Choreographers  </w:t>
      </w:r>
    </w:p>
    <w:p w14:paraId="0704B321"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2654 Film, Stage and Related Directors and Producers  </w:t>
      </w:r>
    </w:p>
    <w:p w14:paraId="5A589D97"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2655 Actors  </w:t>
      </w:r>
    </w:p>
    <w:p w14:paraId="14A28C94"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2656 Announcers on Radio, Television and Other Media  </w:t>
      </w:r>
    </w:p>
    <w:p w14:paraId="3AF7B5F9"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2659 Creative and Performing Artists Not Elsewhere Classified  </w:t>
      </w:r>
    </w:p>
    <w:p w14:paraId="4C0CF1BD"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3141 Life Science Technicians (excluding Medical)  </w:t>
      </w:r>
    </w:p>
    <w:p w14:paraId="27A2C929"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3142 Agricultural Technicians  </w:t>
      </w:r>
    </w:p>
    <w:p w14:paraId="2B0BFA25"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3143 Forestry Technicians  </w:t>
      </w:r>
    </w:p>
    <w:p w14:paraId="05882587"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3230 Traditional and Complementary Medicine Associate Professionals  </w:t>
      </w:r>
    </w:p>
    <w:p w14:paraId="5314557A"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3413 Religious Associate Professionals  </w:t>
      </w:r>
    </w:p>
    <w:p w14:paraId="4E201451"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3434 Chefs  </w:t>
      </w:r>
    </w:p>
    <w:p w14:paraId="3FB84FF3"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5113 Travel Guides  </w:t>
      </w:r>
    </w:p>
    <w:p w14:paraId="1CE00608"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5120 Cooks  </w:t>
      </w:r>
    </w:p>
    <w:p w14:paraId="595411D5"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5311 Child Care Workers  </w:t>
      </w:r>
    </w:p>
    <w:p w14:paraId="093D09AD"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lastRenderedPageBreak/>
        <w:t>5312 Teachers’ Aides  </w:t>
      </w:r>
    </w:p>
    <w:p w14:paraId="05A8D78A"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6111 Field Crop and Vegetable Growers  </w:t>
      </w:r>
    </w:p>
    <w:p w14:paraId="39618A9F"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6112 Tree and Shrub Crop Growers </w:t>
      </w:r>
    </w:p>
    <w:p w14:paraId="6E0FC628"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6113 Gardeners; Horticultural and Nursery Growers  </w:t>
      </w:r>
    </w:p>
    <w:p w14:paraId="6E31E8E9"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6114 Mixed Crop Growers  </w:t>
      </w:r>
    </w:p>
    <w:p w14:paraId="0BC12091"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6121 Livestock and Dairy Producers </w:t>
      </w:r>
    </w:p>
    <w:p w14:paraId="0B0B2023"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 6122 Poultry Producers  </w:t>
      </w:r>
    </w:p>
    <w:p w14:paraId="44DCA0CD"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6123 Apiarists and Sericulturists </w:t>
      </w:r>
    </w:p>
    <w:p w14:paraId="5F11BA41"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 6129 Animal Producers Not Elsewhere Classified </w:t>
      </w:r>
    </w:p>
    <w:p w14:paraId="46232B07"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 6130 Mixed Crop and Animal Producers  </w:t>
      </w:r>
    </w:p>
    <w:p w14:paraId="4E367619"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6210 Forestry and Related Workers  </w:t>
      </w:r>
    </w:p>
    <w:p w14:paraId="1A5D6CA9"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6221 Aquaculture Workers  </w:t>
      </w:r>
    </w:p>
    <w:p w14:paraId="0D1E3F21"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6222 Inland and Coastal Waters Fishery Workers  </w:t>
      </w:r>
    </w:p>
    <w:p w14:paraId="5C687D26"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6223 Deep-sea Fishery Workers  </w:t>
      </w:r>
    </w:p>
    <w:p w14:paraId="2F96026F"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6224 Hunters and Trappers  </w:t>
      </w:r>
    </w:p>
    <w:p w14:paraId="28E817D2"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6310 Subsistence Crop Farmers  </w:t>
      </w:r>
    </w:p>
    <w:p w14:paraId="6AE68F4E"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6320 Subsistence Livestock Farmers  </w:t>
      </w:r>
    </w:p>
    <w:p w14:paraId="2A149022"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6330 Subsistence Mixed Crop and Livestock Farmers  </w:t>
      </w:r>
    </w:p>
    <w:p w14:paraId="71EA384C"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6340 Subsistence Fishers, Hunters, Trappers and Gatherers  </w:t>
      </w:r>
    </w:p>
    <w:p w14:paraId="417EB48B"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7111 House Builders  </w:t>
      </w:r>
    </w:p>
    <w:p w14:paraId="34E118EE"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7115 Carpenters and Joiners [includes wooden boat builders]  </w:t>
      </w:r>
    </w:p>
    <w:p w14:paraId="3A863389"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7312 Musical Instrument Makers and Tuners  </w:t>
      </w:r>
    </w:p>
    <w:p w14:paraId="4973D6C6"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7313 Jewellery and Precious Metal Workers </w:t>
      </w:r>
    </w:p>
    <w:p w14:paraId="7C03591F"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 7314 Potters and Related Workers  </w:t>
      </w:r>
    </w:p>
    <w:p w14:paraId="277EE962"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7315 Glass Makers, Cutters, Grinders and Finishers  </w:t>
      </w:r>
    </w:p>
    <w:p w14:paraId="4ACC1677"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7316 Signwriters, Decorative Painters, Engravers and Etchers  </w:t>
      </w:r>
    </w:p>
    <w:p w14:paraId="1286A01C"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7317 Handicraft Workers in Wood, Basketry and Related Materials  </w:t>
      </w:r>
    </w:p>
    <w:p w14:paraId="51B91395"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7318 Handicraft Workers in Textile, Leather and Related Materials.  </w:t>
      </w:r>
    </w:p>
    <w:p w14:paraId="44312AEC"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7511 Butchers, Fishmongers and Related Food Preparers  </w:t>
      </w:r>
    </w:p>
    <w:p w14:paraId="2D4879E0"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7512 Bakers, Pastry-cooks and Confectionery Makers  </w:t>
      </w:r>
    </w:p>
    <w:p w14:paraId="50784D8E"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7513 Dairy Products Makers  </w:t>
      </w:r>
    </w:p>
    <w:p w14:paraId="32442FDB"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7514 Fruit, Vegetable and Related Preservers  </w:t>
      </w:r>
    </w:p>
    <w:p w14:paraId="7CECB447"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7531 Tailors, Dressmakers, Furriers and Hatters  </w:t>
      </w:r>
    </w:p>
    <w:p w14:paraId="1FCD1230"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7535 Pelt Dressers, Tanners and Fellmongers  </w:t>
      </w:r>
    </w:p>
    <w:p w14:paraId="193F81CC"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7536 Shoemakers and Related Workers  </w:t>
      </w:r>
    </w:p>
    <w:p w14:paraId="34633817"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9624 Water and Firewood Collectors. </w:t>
      </w:r>
    </w:p>
    <w:p w14:paraId="050E2946" w14:textId="0DF0D9DB" w:rsidR="00756F0F" w:rsidRPr="00ED7E61" w:rsidRDefault="00756F0F" w:rsidP="00B10F0C">
      <w:pPr>
        <w:pStyle w:val="CBDNormalNumber"/>
        <w:numPr>
          <w:ilvl w:val="0"/>
          <w:numId w:val="83"/>
        </w:numPr>
        <w:shd w:val="clear" w:color="auto" w:fill="FFFFFF"/>
        <w:ind w:left="567" w:firstLine="0"/>
        <w:rPr>
          <w:rStyle w:val="normaltextrun"/>
          <w:shd w:val="clear" w:color="auto" w:fill="FFFFFF"/>
        </w:rPr>
      </w:pPr>
      <w:r w:rsidRPr="00ED7E61">
        <w:rPr>
          <w:rStyle w:val="normaltextrun"/>
          <w:rFonts w:asciiTheme="majorBidi" w:eastAsiaTheme="majorEastAsia" w:hAnsiTheme="majorBidi" w:cstheme="majorBidi"/>
        </w:rPr>
        <w:lastRenderedPageBreak/>
        <w:t>Minor groups </w:t>
      </w:r>
      <w:r w:rsidR="00C93B0B" w:rsidRPr="00ED7E61">
        <w:rPr>
          <w:rStyle w:val="normaltextrun"/>
          <w:shd w:val="clear" w:color="auto" w:fill="FFFFFF"/>
        </w:rPr>
        <w:t xml:space="preserve">- </w:t>
      </w:r>
      <w:r w:rsidRPr="00ED7E61">
        <w:rPr>
          <w:rStyle w:val="normaltextrun"/>
          <w:shd w:val="clear" w:color="auto" w:fill="FFFFFF"/>
        </w:rPr>
        <w:t xml:space="preserve">When data are only available at the ISCO-08 minor group (3-digit) level, indigenous persons employed in the following groups should </w:t>
      </w:r>
      <w:proofErr w:type="gramStart"/>
      <w:r w:rsidRPr="00ED7E61">
        <w:rPr>
          <w:rStyle w:val="normaltextrun"/>
          <w:shd w:val="clear" w:color="auto" w:fill="FFFFFF"/>
        </w:rPr>
        <w:t>be considered to be</w:t>
      </w:r>
      <w:proofErr w:type="gramEnd"/>
      <w:r w:rsidRPr="00ED7E61">
        <w:rPr>
          <w:rStyle w:val="normaltextrun"/>
          <w:shd w:val="clear" w:color="auto" w:fill="FFFFFF"/>
        </w:rPr>
        <w:t xml:space="preserve"> practising traditional occupations</w:t>
      </w:r>
      <w:r w:rsidR="00C93B0B" w:rsidRPr="00ED7E61">
        <w:rPr>
          <w:rStyle w:val="normaltextrun"/>
          <w:shd w:val="clear" w:color="auto" w:fill="FFFFFF"/>
        </w:rPr>
        <w:t>:</w:t>
      </w:r>
      <w:r w:rsidRPr="00ED7E61">
        <w:rPr>
          <w:rStyle w:val="normaltextrun"/>
          <w:shd w:val="clear" w:color="auto" w:fill="FFFFFF"/>
        </w:rPr>
        <w:t> </w:t>
      </w:r>
    </w:p>
    <w:p w14:paraId="0B5202BA"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213 Life Science Professionals  </w:t>
      </w:r>
    </w:p>
    <w:p w14:paraId="643F580F"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264 Authors, Journalists and Linguists  </w:t>
      </w:r>
    </w:p>
    <w:p w14:paraId="6D222405"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265 Creative and Performing Artists  </w:t>
      </w:r>
    </w:p>
    <w:p w14:paraId="51CCB539"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323 Traditional and Complementary Medicine Associate Professionals  </w:t>
      </w:r>
    </w:p>
    <w:p w14:paraId="35512AA4"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611 Market Gardeners and Crop Growers  </w:t>
      </w:r>
    </w:p>
    <w:p w14:paraId="05DDB4BE"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612 Animal Producers  </w:t>
      </w:r>
    </w:p>
    <w:p w14:paraId="256B845D"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613 Mixed Crop and Animal Producers </w:t>
      </w:r>
    </w:p>
    <w:p w14:paraId="28C1A520"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 621 Forestry and Related Workers  </w:t>
      </w:r>
    </w:p>
    <w:p w14:paraId="27E87F17"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622 Fishery Workers, Hunters and Trappers  </w:t>
      </w:r>
    </w:p>
    <w:p w14:paraId="1D604D41"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631 Subsistence Crop Farmers  </w:t>
      </w:r>
    </w:p>
    <w:p w14:paraId="12807D6C"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632 Subsistence Livestock Farmers  </w:t>
      </w:r>
    </w:p>
    <w:p w14:paraId="665864A9"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633 Subsistence Mixed Crop and Livestock Farmers  </w:t>
      </w:r>
    </w:p>
    <w:p w14:paraId="681A8BB9"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634 Subsistence Fishers, Hunters, Trappers and Gatherers  </w:t>
      </w:r>
    </w:p>
    <w:p w14:paraId="5D6F1A5D"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731 Handicraft Workers </w:t>
      </w:r>
    </w:p>
    <w:p w14:paraId="0A5339AE"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 921 Agricultural, Forestry and Fishery Labourers (only if status in employment is employer, independent worker without employees (own-account worker), or contributing family worker). </w:t>
      </w:r>
    </w:p>
    <w:p w14:paraId="4D6CBC57" w14:textId="6CDE2EA0" w:rsidR="00756F0F" w:rsidRPr="00ED7E61" w:rsidRDefault="00756F0F" w:rsidP="00B10F0C">
      <w:pPr>
        <w:pStyle w:val="CBDNormalNumber"/>
        <w:numPr>
          <w:ilvl w:val="0"/>
          <w:numId w:val="83"/>
        </w:numPr>
        <w:shd w:val="clear" w:color="auto" w:fill="FFFFFF"/>
        <w:ind w:left="567" w:firstLine="0"/>
        <w:rPr>
          <w:rStyle w:val="normaltextrun"/>
          <w:shd w:val="clear" w:color="auto" w:fill="FFFFFF"/>
        </w:rPr>
      </w:pPr>
      <w:r w:rsidRPr="00ED7E61">
        <w:rPr>
          <w:rStyle w:val="normaltextrun"/>
          <w:rFonts w:asciiTheme="majorBidi" w:eastAsiaTheme="majorEastAsia" w:hAnsiTheme="majorBidi" w:cstheme="majorBidi"/>
        </w:rPr>
        <w:t xml:space="preserve">Sub-major </w:t>
      </w:r>
      <w:proofErr w:type="gramStart"/>
      <w:r w:rsidRPr="00ED7E61">
        <w:rPr>
          <w:rStyle w:val="normaltextrun"/>
          <w:rFonts w:asciiTheme="majorBidi" w:eastAsiaTheme="majorEastAsia" w:hAnsiTheme="majorBidi" w:cstheme="majorBidi"/>
        </w:rPr>
        <w:t>groups </w:t>
      </w:r>
      <w:r w:rsidRPr="00ED7E61">
        <w:rPr>
          <w:rStyle w:val="normaltextrun"/>
        </w:rPr>
        <w:t> </w:t>
      </w:r>
      <w:r w:rsidR="00C93B0B" w:rsidRPr="00ED7E61">
        <w:rPr>
          <w:rStyle w:val="normaltextrun"/>
          <w:shd w:val="clear" w:color="auto" w:fill="FFFFFF"/>
        </w:rPr>
        <w:t>-</w:t>
      </w:r>
      <w:proofErr w:type="gramEnd"/>
      <w:r w:rsidR="00C93B0B" w:rsidRPr="00ED7E61">
        <w:rPr>
          <w:rStyle w:val="normaltextrun"/>
          <w:shd w:val="clear" w:color="auto" w:fill="FFFFFF"/>
        </w:rPr>
        <w:t xml:space="preserve"> </w:t>
      </w:r>
      <w:r w:rsidRPr="00ED7E61">
        <w:rPr>
          <w:rStyle w:val="normaltextrun"/>
          <w:shd w:val="clear" w:color="auto" w:fill="FFFFFF"/>
        </w:rPr>
        <w:t xml:space="preserve">When data are only available at the ISCO-08 sub-major group (2-digit) level, indigenous persons employed in the following groups should </w:t>
      </w:r>
      <w:proofErr w:type="gramStart"/>
      <w:r w:rsidRPr="00ED7E61">
        <w:rPr>
          <w:rStyle w:val="normaltextrun"/>
          <w:shd w:val="clear" w:color="auto" w:fill="FFFFFF"/>
        </w:rPr>
        <w:t>be considered to be</w:t>
      </w:r>
      <w:proofErr w:type="gramEnd"/>
      <w:r w:rsidRPr="00ED7E61">
        <w:rPr>
          <w:rStyle w:val="normaltextrun"/>
          <w:shd w:val="clear" w:color="auto" w:fill="FFFFFF"/>
        </w:rPr>
        <w:t xml:space="preserve"> practising traditional occupations.  </w:t>
      </w:r>
    </w:p>
    <w:p w14:paraId="5F824074"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61 Market-oriented Skilled Agricultural Workers  </w:t>
      </w:r>
    </w:p>
    <w:p w14:paraId="22EF7CBB"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63 Subsistence Farmers, Fishers, Hunters and Gatherers  </w:t>
      </w:r>
    </w:p>
    <w:p w14:paraId="5890DC90" w14:textId="77777777" w:rsidR="00756F0F" w:rsidRPr="00ED7E61" w:rsidRDefault="00756F0F" w:rsidP="00B10F0C">
      <w:pPr>
        <w:pStyle w:val="CBDNormalNumber"/>
        <w:numPr>
          <w:ilvl w:val="1"/>
          <w:numId w:val="83"/>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92 Agricultural, Forestry and Fishery Labourers (only if status in employment is employer, independent worker without employees (own-account worker)</w:t>
      </w:r>
      <w:proofErr w:type="gramStart"/>
      <w:r w:rsidRPr="00ED7E61">
        <w:rPr>
          <w:rStyle w:val="normaltextrun"/>
          <w:shd w:val="clear" w:color="auto" w:fill="FFFFFF"/>
        </w:rPr>
        <w:t>, ,</w:t>
      </w:r>
      <w:proofErr w:type="gramEnd"/>
      <w:r w:rsidRPr="00ED7E61">
        <w:rPr>
          <w:rStyle w:val="normaltextrun"/>
          <w:shd w:val="clear" w:color="auto" w:fill="FFFFFF"/>
        </w:rPr>
        <w:t xml:space="preserve"> or contributing family worker) </w:t>
      </w:r>
    </w:p>
    <w:p w14:paraId="486A56DB" w14:textId="080A071E" w:rsidR="009E4C3B" w:rsidRDefault="00756F0F"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r w:rsidRPr="00ED7E61">
        <w:rPr>
          <w:rStyle w:val="eop"/>
          <w:rFonts w:asciiTheme="majorBidi" w:eastAsiaTheme="majorEastAsia" w:hAnsiTheme="majorBidi" w:cstheme="majorBidi"/>
          <w:sz w:val="22"/>
          <w:szCs w:val="22"/>
        </w:rPr>
        <w:t> </w:t>
      </w:r>
    </w:p>
    <w:p w14:paraId="03BFB9EF" w14:textId="77777777" w:rsidR="009E4C3B" w:rsidRDefault="009E4C3B">
      <w:pPr>
        <w:rPr>
          <w:rStyle w:val="eop"/>
          <w:rFonts w:asciiTheme="majorBidi" w:eastAsiaTheme="majorEastAsia" w:hAnsiTheme="majorBidi" w:cstheme="majorBidi"/>
          <w:sz w:val="22"/>
          <w:szCs w:val="22"/>
        </w:rPr>
      </w:pPr>
      <w:r>
        <w:rPr>
          <w:rStyle w:val="eop"/>
          <w:rFonts w:asciiTheme="majorBidi" w:eastAsiaTheme="majorEastAsia" w:hAnsiTheme="majorBidi" w:cstheme="majorBidi"/>
          <w:sz w:val="22"/>
          <w:szCs w:val="22"/>
        </w:rPr>
        <w:br w:type="page"/>
      </w:r>
    </w:p>
    <w:p w14:paraId="1160FCB6" w14:textId="23AC121F" w:rsidR="00E17842" w:rsidRPr="00ED7E61" w:rsidRDefault="00E17842" w:rsidP="00E17842">
      <w:pPr>
        <w:pStyle w:val="Heading3"/>
      </w:pPr>
      <w:bookmarkStart w:id="46" w:name="_Toc178285867"/>
      <w:bookmarkStart w:id="47" w:name="_Toc233278576"/>
      <w:r>
        <w:rPr>
          <w:rStyle w:val="normaltextrun"/>
        </w:rPr>
        <w:lastRenderedPageBreak/>
        <w:t>Binary</w:t>
      </w:r>
      <w:r w:rsidRPr="00ED7E61">
        <w:rPr>
          <w:rStyle w:val="normaltextrun"/>
        </w:rPr>
        <w:t xml:space="preserve"> indicator 9.b</w:t>
      </w:r>
      <w:bookmarkEnd w:id="46"/>
      <w:bookmarkEnd w:id="47"/>
      <w:r w:rsidRPr="00ED7E61">
        <w:rPr>
          <w:rStyle w:val="normaltextrun"/>
        </w:rPr>
        <w:t> </w:t>
      </w:r>
      <w:r w:rsidRPr="00ED7E61">
        <w:rPr>
          <w:rStyle w:val="eop"/>
        </w:rPr>
        <w:t> </w:t>
      </w:r>
    </w:p>
    <w:p w14:paraId="50CB8717" w14:textId="77777777" w:rsidR="00E17842" w:rsidRPr="00ED7E61" w:rsidRDefault="00E17842" w:rsidP="00E17842">
      <w:pPr>
        <w:jc w:val="both"/>
        <w:rPr>
          <w:rFonts w:asciiTheme="majorBidi" w:hAnsiTheme="majorBidi" w:cstheme="majorBidi"/>
          <w:b/>
          <w:bCs/>
          <w:sz w:val="22"/>
          <w:szCs w:val="22"/>
        </w:rPr>
      </w:pPr>
    </w:p>
    <w:p w14:paraId="2B0A674E" w14:textId="77777777" w:rsidR="00E17842" w:rsidRPr="0049615A" w:rsidRDefault="00E17842" w:rsidP="0049615A">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49615A">
        <w:rPr>
          <w:rStyle w:val="normaltextrun"/>
          <w:rFonts w:eastAsiaTheme="majorEastAsia"/>
          <w:b/>
          <w:bCs/>
          <w:lang w:val="en-GB"/>
        </w:rPr>
        <w:t>Full Indicator Name</w:t>
      </w:r>
    </w:p>
    <w:p w14:paraId="4929EF08" w14:textId="77777777" w:rsidR="00E17842" w:rsidRPr="00ED7E61" w:rsidRDefault="00E17842" w:rsidP="00E17842">
      <w:pPr>
        <w:jc w:val="both"/>
        <w:rPr>
          <w:rFonts w:asciiTheme="majorBidi" w:hAnsiTheme="majorBidi" w:cstheme="majorBidi"/>
          <w:sz w:val="22"/>
          <w:szCs w:val="22"/>
        </w:rPr>
      </w:pPr>
      <w:r w:rsidRPr="00ED7E61">
        <w:rPr>
          <w:rFonts w:asciiTheme="majorBidi" w:hAnsiTheme="majorBidi" w:cstheme="majorBidi"/>
          <w:color w:val="000000" w:themeColor="text1"/>
          <w:sz w:val="22"/>
          <w:szCs w:val="22"/>
        </w:rPr>
        <w:t xml:space="preserve">Number of countries with policies to manage the use in wild species sustainably, providing social, economic and environmental benefits for people, and to protect and encourage customary sustainable use by indigenous peoples and local communities </w:t>
      </w:r>
    </w:p>
    <w:p w14:paraId="68C3DB9F" w14:textId="77777777" w:rsidR="00E17842" w:rsidRPr="00ED7E61" w:rsidRDefault="00E17842" w:rsidP="00E17842">
      <w:pPr>
        <w:jc w:val="both"/>
        <w:rPr>
          <w:rFonts w:asciiTheme="majorBidi" w:hAnsiTheme="majorBidi" w:cstheme="majorBidi"/>
          <w:sz w:val="22"/>
          <w:szCs w:val="22"/>
        </w:rPr>
      </w:pPr>
    </w:p>
    <w:p w14:paraId="3CCD5B2C" w14:textId="77777777" w:rsidR="00E17842" w:rsidRPr="0049615A" w:rsidRDefault="00E17842" w:rsidP="0049615A">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Goals and Targets Addressed</w:t>
      </w:r>
    </w:p>
    <w:p w14:paraId="0AA48DAC" w14:textId="77777777" w:rsidR="0049615A" w:rsidRDefault="0049615A" w:rsidP="00E17842">
      <w:pPr>
        <w:jc w:val="both"/>
        <w:rPr>
          <w:rFonts w:asciiTheme="majorBidi" w:hAnsiTheme="majorBidi" w:cstheme="majorBidi"/>
          <w:b/>
          <w:bCs/>
          <w:sz w:val="22"/>
          <w:szCs w:val="22"/>
        </w:rPr>
      </w:pPr>
    </w:p>
    <w:p w14:paraId="37DBFCFA" w14:textId="5E8E0D64" w:rsidR="00E17842" w:rsidRPr="00ED7E61" w:rsidRDefault="00E17842" w:rsidP="00E17842">
      <w:pPr>
        <w:jc w:val="both"/>
        <w:rPr>
          <w:rFonts w:asciiTheme="majorBidi" w:hAnsiTheme="majorBidi" w:cstheme="majorBidi"/>
          <w:b/>
          <w:bCs/>
          <w:sz w:val="22"/>
          <w:szCs w:val="22"/>
        </w:rPr>
      </w:pPr>
      <w:r w:rsidRPr="00ED7E61">
        <w:rPr>
          <w:rFonts w:asciiTheme="majorBidi" w:hAnsiTheme="majorBidi" w:cstheme="majorBidi"/>
          <w:b/>
          <w:bCs/>
          <w:sz w:val="22"/>
          <w:szCs w:val="22"/>
        </w:rPr>
        <w:t>Target</w:t>
      </w:r>
    </w:p>
    <w:p w14:paraId="0D84C968" w14:textId="54B8BC8C" w:rsidR="00E17842" w:rsidRPr="00ED7E61" w:rsidRDefault="00E17842" w:rsidP="00E17842">
      <w:pPr>
        <w:jc w:val="both"/>
        <w:rPr>
          <w:rFonts w:asciiTheme="majorBidi" w:hAnsiTheme="majorBidi" w:cstheme="majorBidi"/>
          <w:sz w:val="22"/>
          <w:szCs w:val="22"/>
        </w:rPr>
      </w:pPr>
      <w:r w:rsidRPr="00ED7E61">
        <w:rPr>
          <w:rFonts w:asciiTheme="majorBidi" w:hAnsiTheme="majorBidi" w:cstheme="majorBidi"/>
          <w:sz w:val="22"/>
          <w:szCs w:val="22"/>
        </w:rPr>
        <w:t>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3A2F524E" w14:textId="77777777" w:rsidR="00E17842" w:rsidRPr="00ED7E61" w:rsidRDefault="00E17842" w:rsidP="00E17842">
      <w:pPr>
        <w:jc w:val="both"/>
        <w:rPr>
          <w:rFonts w:asciiTheme="majorBidi" w:hAnsiTheme="majorBidi" w:cstheme="majorBidi"/>
          <w:sz w:val="22"/>
          <w:szCs w:val="22"/>
        </w:rPr>
      </w:pPr>
    </w:p>
    <w:p w14:paraId="447544AA" w14:textId="77777777" w:rsidR="00E17842" w:rsidRPr="0049615A" w:rsidRDefault="00E17842" w:rsidP="0049615A">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Rationale</w:t>
      </w:r>
    </w:p>
    <w:p w14:paraId="61D80ECA" w14:textId="77777777" w:rsidR="00E17842" w:rsidRPr="00ED7E61" w:rsidRDefault="00E17842" w:rsidP="00E17842">
      <w:pPr>
        <w:pStyle w:val="CBDNormalNumber"/>
        <w:numPr>
          <w:ilvl w:val="0"/>
          <w:numId w:val="81"/>
        </w:numPr>
        <w:shd w:val="clear" w:color="auto" w:fill="FFFFFF"/>
        <w:tabs>
          <w:tab w:val="clear" w:pos="1701"/>
        </w:tabs>
        <w:ind w:left="567" w:firstLine="0"/>
        <w:rPr>
          <w:rFonts w:asciiTheme="majorBidi" w:hAnsiTheme="majorBidi" w:cstheme="majorBidi"/>
        </w:rPr>
      </w:pPr>
      <w:r w:rsidRPr="00ED7E61">
        <w:rPr>
          <w:rStyle w:val="normaltextrun"/>
          <w:rFonts w:eastAsiaTheme="majorEastAsia"/>
        </w:rPr>
        <w:t>Biodiversity</w:t>
      </w:r>
      <w:r w:rsidRPr="00ED7E61">
        <w:rPr>
          <w:rFonts w:asciiTheme="majorBidi" w:hAnsiTheme="majorBidi" w:cstheme="majorBidi"/>
        </w:rPr>
        <w:t xml:space="preserve"> is the source of many goods and services on which people depend. The maintenance, in quantity and quality, of the benefits provided by biodiversity offers an important incentive for the conservation and sustainable use of biodiversity. It will not be possible to reach the 2050 Vision if the benefits provided by biodiversity, particularly those related to nutrition, food security, livelihoods, health and well-being, are not ensured. The </w:t>
      </w:r>
      <w:proofErr w:type="gramStart"/>
      <w:r w:rsidRPr="00ED7E61">
        <w:rPr>
          <w:rFonts w:asciiTheme="majorBidi" w:hAnsiTheme="majorBidi" w:cstheme="majorBidi"/>
        </w:rPr>
        <w:t>main focus</w:t>
      </w:r>
      <w:proofErr w:type="gramEnd"/>
      <w:r w:rsidRPr="00ED7E61">
        <w:rPr>
          <w:rFonts w:asciiTheme="majorBidi" w:hAnsiTheme="majorBidi" w:cstheme="majorBidi"/>
        </w:rPr>
        <w:t xml:space="preserve"> of this target is ensuring that the management and use of wild species is sustainable for the benefit of people.</w:t>
      </w:r>
    </w:p>
    <w:p w14:paraId="38BC3DD7" w14:textId="77777777" w:rsidR="00E17842" w:rsidRPr="00437DF0" w:rsidRDefault="00E17842" w:rsidP="00E17842">
      <w:pPr>
        <w:pStyle w:val="CBDNormalNumber"/>
        <w:numPr>
          <w:ilvl w:val="0"/>
          <w:numId w:val="81"/>
        </w:numPr>
        <w:shd w:val="clear" w:color="auto" w:fill="FFFFFF"/>
        <w:ind w:left="567" w:firstLine="0"/>
      </w:pPr>
      <w:r w:rsidRPr="00ED7E61">
        <w:t>Governments have a major role to play in ensuring that biodiversity is sustainably used and managed and that benefits are fairly shared between people. Through the passing of laws and legislation, governments can regulate how biodiversity is used and traded to protect species and ensure sustainable social, economic and environmental benefits for people. As such, this indicator tracks the existence of policies put in place to sustainably use, manage and trade wild species whilst protecting customary sustainable use by indigenous peoples and local communities.</w:t>
      </w:r>
    </w:p>
    <w:p w14:paraId="289D2E82" w14:textId="77777777" w:rsidR="00E17842" w:rsidRPr="0049615A" w:rsidRDefault="00E17842" w:rsidP="0049615A">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Definitions Concepts and Classifications</w:t>
      </w:r>
    </w:p>
    <w:p w14:paraId="00B1D509" w14:textId="77777777" w:rsidR="00E17842" w:rsidRPr="00ED7E61" w:rsidRDefault="00E17842" w:rsidP="00E17842">
      <w:pPr>
        <w:pStyle w:val="CBDNormalNumber"/>
        <w:numPr>
          <w:ilvl w:val="0"/>
          <w:numId w:val="81"/>
        </w:numPr>
        <w:shd w:val="clear" w:color="auto" w:fill="FFFFFF"/>
        <w:ind w:left="567" w:firstLine="0"/>
        <w:rPr>
          <w:rFonts w:asciiTheme="majorBidi" w:hAnsiTheme="majorBidi" w:cstheme="majorBidi"/>
          <w:lang w:val="en-US"/>
        </w:rPr>
      </w:pPr>
      <w:r w:rsidRPr="00ED7E61">
        <w:rPr>
          <w:rStyle w:val="normaltextrun"/>
          <w:rFonts w:eastAsiaTheme="majorEastAsia"/>
        </w:rPr>
        <w:t>Biodiversity</w:t>
      </w:r>
      <w:r w:rsidRPr="00ED7E61">
        <w:rPr>
          <w:rFonts w:asciiTheme="majorBidi" w:hAnsiTheme="majorBidi" w:cstheme="majorBidi"/>
          <w:i/>
          <w:iCs/>
          <w:color w:val="000000" w:themeColor="text1"/>
        </w:rPr>
        <w:t>-based products and services</w:t>
      </w:r>
      <w:r w:rsidRPr="00ED7E61">
        <w:rPr>
          <w:rFonts w:asciiTheme="majorBidi" w:hAnsiTheme="majorBidi" w:cstheme="majorBidi"/>
          <w:color w:val="000000" w:themeColor="text1"/>
        </w:rPr>
        <w:t xml:space="preserve">: </w:t>
      </w:r>
      <w:r w:rsidRPr="00ED7E61">
        <w:rPr>
          <w:rFonts w:asciiTheme="majorBidi" w:hAnsiTheme="majorBidi" w:cstheme="majorBidi"/>
          <w:lang w:val="en-US"/>
        </w:rPr>
        <w:t xml:space="preserve">Biodiversity-based </w:t>
      </w:r>
      <w:r w:rsidRPr="00ED7E61">
        <w:rPr>
          <w:rFonts w:asciiTheme="majorBidi" w:hAnsiTheme="majorBidi" w:cstheme="majorBidi"/>
        </w:rPr>
        <w:t>commercial and non-commercial actions and</w:t>
      </w:r>
      <w:r w:rsidRPr="00ED7E61">
        <w:rPr>
          <w:rFonts w:asciiTheme="majorBidi" w:hAnsiTheme="majorBidi" w:cstheme="majorBidi"/>
          <w:lang w:val="en-US"/>
        </w:rPr>
        <w:t xml:space="preserve"> products result from the collection, production or transformation of biological resources. They are found in industries as varied as food and beverage, cosmetics, pharmaceuticals, paper, textiles, energy, and handicrafts. Services based on biodiversity are those that derive value from genetic resources, species and ecosystems, such as nature-based tourism, pollination, and water treatment. The sustainable production, use and trade of biodiversity-derived products and services provide developing countries with valuable opportunities for biodiversity conservation, poverty reduction, economic diversification, value addition, improved livelihoods, and the empowerment of vulnerable groups, including women and ethnic minorities. (</w:t>
      </w:r>
      <w:hyperlink r:id="rId389">
        <w:r w:rsidRPr="00ED7E61">
          <w:rPr>
            <w:rStyle w:val="Hyperlink"/>
            <w:rFonts w:asciiTheme="majorBidi" w:eastAsiaTheme="majorEastAsia" w:hAnsiTheme="majorBidi" w:cstheme="majorBidi"/>
            <w:lang w:val="en-US"/>
          </w:rPr>
          <w:t xml:space="preserve">UN, Implications of COVID-19 for Biodiversity-based Products and Services, including </w:t>
        </w:r>
        <w:proofErr w:type="spellStart"/>
        <w:r w:rsidRPr="00ED7E61">
          <w:rPr>
            <w:rStyle w:val="Hyperlink"/>
            <w:rFonts w:asciiTheme="majorBidi" w:eastAsiaTheme="majorEastAsia" w:hAnsiTheme="majorBidi" w:cstheme="majorBidi"/>
            <w:lang w:val="en-US"/>
          </w:rPr>
          <w:t>BioTrade</w:t>
        </w:r>
        <w:proofErr w:type="spellEnd"/>
      </w:hyperlink>
      <w:r w:rsidRPr="00ED7E61">
        <w:rPr>
          <w:rFonts w:asciiTheme="majorBidi" w:hAnsiTheme="majorBidi" w:cstheme="majorBidi"/>
          <w:lang w:val="en-US"/>
        </w:rPr>
        <w:t>)</w:t>
      </w:r>
    </w:p>
    <w:p w14:paraId="414670AB" w14:textId="77777777" w:rsidR="00E17842" w:rsidRPr="00ED7E61" w:rsidRDefault="00E17842" w:rsidP="00E17842">
      <w:pPr>
        <w:pStyle w:val="CBDNormalNumber"/>
        <w:numPr>
          <w:ilvl w:val="0"/>
          <w:numId w:val="81"/>
        </w:numPr>
        <w:shd w:val="clear" w:color="auto" w:fill="FFFFFF"/>
        <w:ind w:left="567" w:firstLine="0"/>
        <w:rPr>
          <w:rFonts w:asciiTheme="majorBidi" w:hAnsiTheme="majorBidi" w:cstheme="majorBidi"/>
          <w:lang w:val="en-US"/>
        </w:rPr>
      </w:pPr>
      <w:r w:rsidRPr="00ED7E61">
        <w:rPr>
          <w:rFonts w:asciiTheme="majorBidi" w:hAnsiTheme="majorBidi" w:cstheme="majorBidi"/>
          <w:i/>
          <w:iCs/>
        </w:rPr>
        <w:t>Trade in wild species</w:t>
      </w:r>
      <w:r w:rsidRPr="00ED7E61">
        <w:rPr>
          <w:rFonts w:asciiTheme="majorBidi" w:hAnsiTheme="majorBidi" w:cstheme="majorBidi"/>
        </w:rPr>
        <w:t xml:space="preserve">: </w:t>
      </w:r>
      <w:r w:rsidRPr="00ED7E61">
        <w:rPr>
          <w:rFonts w:asciiTheme="majorBidi" w:hAnsiTheme="majorBidi" w:cstheme="majorBidi"/>
          <w:lang w:val="en-US"/>
        </w:rPr>
        <w:t>The selling or trading (i.e. selling of dead or living wildlife and/or products derived from them) of wild species for food and non-food purposes, such as for clothing, medicinal, cultural, scientific, recreational and work-related uses. Adapted from “</w:t>
      </w:r>
      <w:r w:rsidRPr="00FB1598">
        <w:rPr>
          <w:rFonts w:asciiTheme="majorBidi" w:hAnsiTheme="majorBidi" w:cstheme="majorBidi"/>
          <w:i/>
          <w:iCs/>
          <w:lang w:val="en-US"/>
        </w:rPr>
        <w:t>Trade and use</w:t>
      </w:r>
      <w:r w:rsidRPr="00ED7E61">
        <w:rPr>
          <w:rFonts w:asciiTheme="majorBidi" w:hAnsiTheme="majorBidi" w:cstheme="majorBidi"/>
          <w:lang w:val="en-US"/>
        </w:rPr>
        <w:t>”</w:t>
      </w:r>
    </w:p>
    <w:p w14:paraId="465D2504" w14:textId="77777777" w:rsidR="00E17842" w:rsidRPr="00ED7E61" w:rsidRDefault="00E17842" w:rsidP="00E17842">
      <w:pPr>
        <w:pStyle w:val="CBDNormalNumber"/>
        <w:numPr>
          <w:ilvl w:val="0"/>
          <w:numId w:val="81"/>
        </w:numPr>
        <w:shd w:val="clear" w:color="auto" w:fill="FFFFFF"/>
        <w:ind w:left="567" w:firstLine="0"/>
        <w:rPr>
          <w:rFonts w:asciiTheme="majorBidi" w:hAnsiTheme="majorBidi" w:cstheme="majorBidi"/>
          <w:lang w:val="en-US"/>
        </w:rPr>
      </w:pPr>
      <w:r w:rsidRPr="00ED7E61">
        <w:rPr>
          <w:rFonts w:asciiTheme="majorBidi" w:hAnsiTheme="majorBidi" w:cstheme="majorBidi"/>
          <w:i/>
          <w:iCs/>
        </w:rPr>
        <w:t>Wild species</w:t>
      </w:r>
      <w:r w:rsidRPr="00ED7E61">
        <w:rPr>
          <w:rFonts w:asciiTheme="majorBidi" w:hAnsiTheme="majorBidi" w:cstheme="majorBidi"/>
        </w:rPr>
        <w:t xml:space="preserve">: Populations of any species that have not been domesticated through multigenerational selection for </w:t>
      </w:r>
      <w:proofErr w:type="gramStart"/>
      <w:r w:rsidRPr="00ED7E61">
        <w:rPr>
          <w:rFonts w:asciiTheme="majorBidi" w:hAnsiTheme="majorBidi" w:cstheme="majorBidi"/>
        </w:rPr>
        <w:t>particular traits</w:t>
      </w:r>
      <w:proofErr w:type="gramEnd"/>
      <w:r w:rsidRPr="00ED7E61">
        <w:rPr>
          <w:rFonts w:asciiTheme="majorBidi" w:hAnsiTheme="majorBidi" w:cstheme="majorBidi"/>
        </w:rPr>
        <w:t>, and which can survive independently of human intervention that may occur in any environment. This does not imply a complete absence of human management and recognizes various intermediate states between wild and domesticated.</w:t>
      </w:r>
    </w:p>
    <w:p w14:paraId="7E61E809" w14:textId="77777777" w:rsidR="00E17842" w:rsidRPr="00ED7E61" w:rsidRDefault="00E17842" w:rsidP="00E17842">
      <w:pPr>
        <w:pStyle w:val="CBDNormalNumber"/>
        <w:numPr>
          <w:ilvl w:val="0"/>
          <w:numId w:val="81"/>
        </w:numPr>
        <w:shd w:val="clear" w:color="auto" w:fill="FFFFFF"/>
        <w:ind w:left="567" w:firstLine="0"/>
        <w:rPr>
          <w:rFonts w:asciiTheme="majorBidi" w:hAnsiTheme="majorBidi" w:cstheme="majorBidi"/>
        </w:rPr>
      </w:pPr>
      <w:r w:rsidRPr="00ED7E61">
        <w:rPr>
          <w:rFonts w:asciiTheme="majorBidi" w:hAnsiTheme="majorBidi" w:cstheme="majorBidi"/>
          <w:i/>
          <w:iCs/>
        </w:rPr>
        <w:lastRenderedPageBreak/>
        <w:t>Customary sustainable use by indigenous peoples and local communities</w:t>
      </w:r>
      <w:r w:rsidRPr="00ED7E61">
        <w:rPr>
          <w:rFonts w:asciiTheme="majorBidi" w:hAnsiTheme="majorBidi" w:cstheme="majorBidi"/>
        </w:rPr>
        <w:t xml:space="preserve">: Actions to implement this target should </w:t>
      </w:r>
      <w:proofErr w:type="gramStart"/>
      <w:r w:rsidRPr="00ED7E61">
        <w:rPr>
          <w:rFonts w:asciiTheme="majorBidi" w:hAnsiTheme="majorBidi" w:cstheme="majorBidi"/>
        </w:rPr>
        <w:t>take into account</w:t>
      </w:r>
      <w:proofErr w:type="gramEnd"/>
      <w:r w:rsidRPr="00ED7E61">
        <w:rPr>
          <w:rFonts w:asciiTheme="majorBidi" w:hAnsiTheme="majorBidi" w:cstheme="majorBidi"/>
        </w:rPr>
        <w:t xml:space="preserve"> indigenous and local systems for the control, use and management of natural resources and seek to protect and encourage these. Customary use of biological resources includes spiritual, cultural, economic and subsistence functions.</w:t>
      </w:r>
    </w:p>
    <w:p w14:paraId="0D0F9C74" w14:textId="77777777" w:rsidR="00E17842" w:rsidRPr="00ED7E61" w:rsidRDefault="00E17842" w:rsidP="00E17842">
      <w:pPr>
        <w:pStyle w:val="CBDNormalNumber"/>
        <w:numPr>
          <w:ilvl w:val="0"/>
          <w:numId w:val="81"/>
        </w:numPr>
        <w:shd w:val="clear" w:color="auto" w:fill="FFFFFF"/>
        <w:ind w:left="567" w:firstLine="0"/>
        <w:rPr>
          <w:rFonts w:asciiTheme="majorBidi" w:hAnsiTheme="majorBidi" w:cstheme="majorBidi"/>
        </w:rPr>
      </w:pPr>
      <w:r w:rsidRPr="00ED7E61">
        <w:rPr>
          <w:rFonts w:asciiTheme="majorBidi" w:hAnsiTheme="majorBidi" w:cstheme="majorBidi"/>
          <w:i/>
          <w:iCs/>
        </w:rPr>
        <w:t>Social, economic and environmental benefits</w:t>
      </w:r>
      <w:r w:rsidRPr="00ED7E61">
        <w:rPr>
          <w:rFonts w:asciiTheme="majorBidi" w:hAnsiTheme="majorBidi" w:cstheme="majorBidi"/>
        </w:rPr>
        <w:t xml:space="preserve">: Wild terrestrial, freshwater and marine species contribute to human well-being in multiple ways, including by providing nutrition, food security, medicines and livelihoods. The use and management of wild species needs to consider the various social, economic and environmental benefits provided by wild species to people. The target further specifies that particular attention should be given to those people living in vulnerable situations and for whom wild species are particularly important to their well-being as they may be engaged in biodiversity-based economic </w:t>
      </w:r>
      <w:proofErr w:type="gramStart"/>
      <w:r w:rsidRPr="00ED7E61">
        <w:rPr>
          <w:rFonts w:asciiTheme="majorBidi" w:hAnsiTheme="majorBidi" w:cstheme="majorBidi"/>
        </w:rPr>
        <w:t>activities, or</w:t>
      </w:r>
      <w:proofErr w:type="gramEnd"/>
      <w:r w:rsidRPr="00ED7E61">
        <w:rPr>
          <w:rFonts w:asciiTheme="majorBidi" w:hAnsiTheme="majorBidi" w:cstheme="majorBidi"/>
        </w:rPr>
        <w:t xml:space="preserve"> rely on </w:t>
      </w:r>
      <w:proofErr w:type="gramStart"/>
      <w:r w:rsidRPr="00ED7E61">
        <w:rPr>
          <w:rFonts w:asciiTheme="majorBidi" w:hAnsiTheme="majorBidi" w:cstheme="majorBidi"/>
        </w:rPr>
        <w:t>biodiversity based</w:t>
      </w:r>
      <w:proofErr w:type="gramEnd"/>
      <w:r w:rsidRPr="00ED7E61">
        <w:rPr>
          <w:rFonts w:asciiTheme="majorBidi" w:hAnsiTheme="majorBidi" w:cstheme="majorBidi"/>
        </w:rPr>
        <w:t xml:space="preserve"> products and services.</w:t>
      </w:r>
    </w:p>
    <w:p w14:paraId="2AF1D94C" w14:textId="77777777" w:rsidR="00E17842" w:rsidRPr="00ED7E61" w:rsidRDefault="00E17842" w:rsidP="00E17842">
      <w:pPr>
        <w:pStyle w:val="CBDNormalNumber"/>
        <w:numPr>
          <w:ilvl w:val="0"/>
          <w:numId w:val="81"/>
        </w:numPr>
        <w:shd w:val="clear" w:color="auto" w:fill="FFFFFF"/>
        <w:ind w:left="567" w:firstLine="0"/>
        <w:rPr>
          <w:rFonts w:asciiTheme="majorBidi" w:hAnsiTheme="majorBidi" w:cstheme="majorBidi"/>
        </w:rPr>
      </w:pPr>
      <w:r w:rsidRPr="00ED7E61">
        <w:rPr>
          <w:rFonts w:asciiTheme="majorBidi" w:hAnsiTheme="majorBidi" w:cstheme="majorBidi"/>
          <w:i/>
          <w:iCs/>
        </w:rPr>
        <w:t>Sustainable use</w:t>
      </w:r>
      <w:r w:rsidRPr="00ED7E61">
        <w:rPr>
          <w:rFonts w:asciiTheme="majorBidi" w:hAnsiTheme="majorBidi" w:cstheme="majorBidi"/>
        </w:rPr>
        <w:t>: The use of components of biological diversity in a way and at a rate that does not lead to the long-term decline of biological diversity, thereby maintaining its potential to meet the needs and aspirations of present and future generations.</w:t>
      </w:r>
    </w:p>
    <w:p w14:paraId="1B29F335" w14:textId="77777777" w:rsidR="00E17842" w:rsidRPr="0049615A" w:rsidRDefault="00E17842" w:rsidP="0049615A">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49615A">
        <w:rPr>
          <w:rStyle w:val="normaltextrun"/>
          <w:rFonts w:eastAsiaTheme="majorEastAsia"/>
          <w:b/>
          <w:bCs/>
          <w:lang w:val="en-GB"/>
        </w:rPr>
        <w:t>Method of Computation</w:t>
      </w:r>
    </w:p>
    <w:p w14:paraId="3363ED61" w14:textId="1A54F93E" w:rsidR="00E17842" w:rsidRPr="00ED7E61" w:rsidRDefault="00E17842" w:rsidP="00E17842">
      <w:pPr>
        <w:pStyle w:val="CBDNormalNumber"/>
        <w:numPr>
          <w:ilvl w:val="0"/>
          <w:numId w:val="81"/>
        </w:numPr>
        <w:shd w:val="clear" w:color="auto" w:fill="FFFFFF"/>
        <w:ind w:left="567" w:firstLine="0"/>
        <w:rPr>
          <w:rFonts w:asciiTheme="majorBidi" w:hAnsiTheme="majorBidi" w:cstheme="majorBidi"/>
        </w:rPr>
      </w:pPr>
      <w:r w:rsidRPr="00ED7E61">
        <w:rPr>
          <w:rFonts w:asciiTheme="majorBidi" w:hAnsiTheme="majorBidi" w:cstheme="majorBidi"/>
        </w:rPr>
        <w:t xml:space="preserve">This indicator is a binary indicator and must be compiled from the answers to </w:t>
      </w:r>
      <w:r w:rsidR="00B16903">
        <w:rPr>
          <w:rFonts w:asciiTheme="majorBidi" w:hAnsiTheme="majorBidi" w:cstheme="majorBidi"/>
        </w:rPr>
        <w:t>four</w:t>
      </w:r>
      <w:r w:rsidRPr="00ED7E61">
        <w:rPr>
          <w:rFonts w:asciiTheme="majorBidi" w:hAnsiTheme="majorBidi" w:cstheme="majorBidi"/>
        </w:rPr>
        <w:t xml:space="preserve"> questions:</w:t>
      </w:r>
    </w:p>
    <w:p w14:paraId="1B9673C3" w14:textId="77777777" w:rsidR="00E17842" w:rsidRPr="00ED7E61" w:rsidRDefault="00E17842" w:rsidP="00E17842">
      <w:pPr>
        <w:pStyle w:val="CBDNormalNumber"/>
        <w:numPr>
          <w:ilvl w:val="1"/>
          <w:numId w:val="81"/>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9.1 Does your country have legal instruments or other policy frameworks or administrative measures for the sustainable management and use of wild species?</w:t>
      </w:r>
    </w:p>
    <w:p w14:paraId="75E3CB4A" w14:textId="77777777" w:rsidR="00E17842" w:rsidRPr="00ED7E61" w:rsidRDefault="00E17842" w:rsidP="00E17842">
      <w:pPr>
        <w:pStyle w:val="CBDNormalNumber"/>
        <w:numPr>
          <w:ilvl w:val="1"/>
          <w:numId w:val="81"/>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9.2 Does your country monitor the sustainable management and use of wild species?</w:t>
      </w:r>
    </w:p>
    <w:p w14:paraId="377281A2" w14:textId="2FDA1B92" w:rsidR="00E17842" w:rsidRPr="00ED7E61" w:rsidRDefault="00E17842" w:rsidP="00C66AFE">
      <w:pPr>
        <w:pStyle w:val="CBDNormalNumber"/>
        <w:numPr>
          <w:ilvl w:val="1"/>
          <w:numId w:val="81"/>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9.</w:t>
      </w:r>
      <w:r w:rsidR="00B16903">
        <w:rPr>
          <w:rStyle w:val="normaltextrun"/>
          <w:shd w:val="clear" w:color="auto" w:fill="FFFFFF"/>
        </w:rPr>
        <w:t xml:space="preserve">3 </w:t>
      </w:r>
      <w:r w:rsidRPr="00ED7E61">
        <w:rPr>
          <w:rStyle w:val="normaltextrun"/>
          <w:shd w:val="clear" w:color="auto" w:fill="FFFFFF"/>
        </w:rPr>
        <w:t xml:space="preserve">Does your country monitor the social, economic and environmental benefits derived from the use of wild species for people, </w:t>
      </w:r>
      <w:proofErr w:type="gramStart"/>
      <w:r w:rsidRPr="00ED7E61">
        <w:rPr>
          <w:rStyle w:val="normaltextrun"/>
          <w:shd w:val="clear" w:color="auto" w:fill="FFFFFF"/>
        </w:rPr>
        <w:t>in particular</w:t>
      </w:r>
      <w:proofErr w:type="gramEnd"/>
      <w:r w:rsidRPr="00ED7E61">
        <w:rPr>
          <w:rStyle w:val="normaltextrun"/>
          <w:shd w:val="clear" w:color="auto" w:fill="FFFFFF"/>
        </w:rPr>
        <w:t xml:space="preserve"> those in vulnerable situations and most dependent on biodiversity?</w:t>
      </w:r>
      <w:r w:rsidRPr="00ED7E61" w:rsidDel="00287E4F">
        <w:rPr>
          <w:rStyle w:val="normaltextrun"/>
          <w:shd w:val="clear" w:color="auto" w:fill="FFFFFF"/>
        </w:rPr>
        <w:t xml:space="preserve"> </w:t>
      </w:r>
      <w:r w:rsidR="00C66AFE" w:rsidRPr="00C66AFE">
        <w:rPr>
          <w:shd w:val="clear" w:color="auto" w:fill="FFFFFF"/>
          <w:lang w:val="en-CA"/>
        </w:rPr>
        <w:t>(Select all that apply)</w:t>
      </w:r>
    </w:p>
    <w:p w14:paraId="3EE404CF" w14:textId="0F4B4ECD" w:rsidR="00E17842" w:rsidRPr="00ED7E61" w:rsidRDefault="00E17842" w:rsidP="00E17842">
      <w:pPr>
        <w:pStyle w:val="CBDNormalNumber"/>
        <w:numPr>
          <w:ilvl w:val="1"/>
          <w:numId w:val="81"/>
        </w:numPr>
        <w:tabs>
          <w:tab w:val="clear" w:pos="567"/>
          <w:tab w:val="clear" w:pos="1134"/>
          <w:tab w:val="clear" w:pos="1701"/>
          <w:tab w:val="clear" w:pos="2268"/>
          <w:tab w:val="left" w:pos="1985"/>
        </w:tabs>
        <w:ind w:left="1276" w:firstLine="56"/>
        <w:rPr>
          <w:rStyle w:val="normaltextrun"/>
        </w:rPr>
      </w:pPr>
      <w:r w:rsidRPr="00ED7E61">
        <w:rPr>
          <w:rStyle w:val="normaltextrun"/>
          <w:shd w:val="clear" w:color="auto" w:fill="FFFFFF"/>
        </w:rPr>
        <w:t>9.</w:t>
      </w:r>
      <w:r w:rsidR="00C66AFE">
        <w:rPr>
          <w:rStyle w:val="normaltextrun"/>
          <w:shd w:val="clear" w:color="auto" w:fill="FFFFFF"/>
        </w:rPr>
        <w:t>4</w:t>
      </w:r>
      <w:r w:rsidRPr="00ED7E61">
        <w:rPr>
          <w:rStyle w:val="normaltextrun"/>
          <w:shd w:val="clear" w:color="auto" w:fill="FFFFFF"/>
        </w:rPr>
        <w:t xml:space="preserve"> Does your country have legal instruments or other policy frameworks to protect and encourage the customary sustainable use of biodiversity by indigenous peoples and local communities, for example, the plan of action on customary sustainable use of biological diversity or other relevant initiatives?</w:t>
      </w:r>
    </w:p>
    <w:p w14:paraId="4C9954B0" w14:textId="0995FC18" w:rsidR="00E17842" w:rsidRPr="00ED7E61" w:rsidRDefault="00E17842" w:rsidP="00E17842">
      <w:pPr>
        <w:pStyle w:val="CBDNormalNumber"/>
        <w:numPr>
          <w:ilvl w:val="0"/>
          <w:numId w:val="81"/>
        </w:numPr>
        <w:shd w:val="clear" w:color="auto" w:fill="FFFFFF"/>
        <w:ind w:left="567" w:firstLine="0"/>
        <w:rPr>
          <w:rFonts w:asciiTheme="majorBidi" w:hAnsiTheme="majorBidi" w:cstheme="majorBidi"/>
        </w:rPr>
      </w:pPr>
      <w:r w:rsidRPr="00ED7E61">
        <w:rPr>
          <w:rFonts w:asciiTheme="majorBidi" w:hAnsiTheme="majorBidi" w:cstheme="majorBidi"/>
        </w:rPr>
        <w:t>There are four possible answers to questions:</w:t>
      </w:r>
    </w:p>
    <w:p w14:paraId="3152B576" w14:textId="77777777" w:rsidR="00E17842" w:rsidRPr="00ED7E61" w:rsidRDefault="00E17842" w:rsidP="00E17842">
      <w:pPr>
        <w:pStyle w:val="CBDNormalNumber"/>
        <w:numPr>
          <w:ilvl w:val="1"/>
          <w:numId w:val="81"/>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No</w:t>
      </w:r>
    </w:p>
    <w:p w14:paraId="4D083B52" w14:textId="77777777" w:rsidR="00E17842" w:rsidRPr="00ED7E61" w:rsidRDefault="00E17842" w:rsidP="00E17842">
      <w:pPr>
        <w:pStyle w:val="CBDNormalNumber"/>
        <w:numPr>
          <w:ilvl w:val="1"/>
          <w:numId w:val="81"/>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Under development</w:t>
      </w:r>
    </w:p>
    <w:p w14:paraId="4FD88F41" w14:textId="77777777" w:rsidR="00E17842" w:rsidRPr="00ED7E61" w:rsidRDefault="00E17842" w:rsidP="00E17842">
      <w:pPr>
        <w:pStyle w:val="CBDNormalNumber"/>
        <w:numPr>
          <w:ilvl w:val="1"/>
          <w:numId w:val="81"/>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Partially</w:t>
      </w:r>
    </w:p>
    <w:p w14:paraId="41FCA1FB" w14:textId="77777777" w:rsidR="00E17842" w:rsidRPr="00ED7E61" w:rsidRDefault="00E17842" w:rsidP="00E17842">
      <w:pPr>
        <w:pStyle w:val="CBDNormalNumber"/>
        <w:numPr>
          <w:ilvl w:val="1"/>
          <w:numId w:val="81"/>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Fully</w:t>
      </w:r>
    </w:p>
    <w:p w14:paraId="13DEED35" w14:textId="77E66DAD" w:rsidR="00E17842" w:rsidRPr="00ED7E61" w:rsidRDefault="00E17842" w:rsidP="00E17842">
      <w:pPr>
        <w:pStyle w:val="CBDNormalNumber"/>
        <w:numPr>
          <w:ilvl w:val="0"/>
          <w:numId w:val="81"/>
        </w:numPr>
        <w:shd w:val="clear" w:color="auto" w:fill="FFFFFF"/>
        <w:ind w:left="567" w:firstLine="0"/>
        <w:rPr>
          <w:rFonts w:asciiTheme="majorBidi" w:hAnsiTheme="majorBidi" w:cstheme="majorBidi"/>
        </w:rPr>
      </w:pPr>
      <w:r w:rsidRPr="00ED7E61">
        <w:rPr>
          <w:rFonts w:asciiTheme="majorBidi" w:hAnsiTheme="majorBidi" w:cstheme="majorBidi"/>
        </w:rPr>
        <w:t>A “</w:t>
      </w:r>
      <w:r w:rsidRPr="00FB1598">
        <w:rPr>
          <w:rFonts w:asciiTheme="majorBidi" w:hAnsiTheme="majorBidi" w:cstheme="majorBidi"/>
          <w:i/>
          <w:iCs/>
        </w:rPr>
        <w:t>No</w:t>
      </w:r>
      <w:r w:rsidRPr="00ED7E61">
        <w:rPr>
          <w:rFonts w:asciiTheme="majorBidi" w:hAnsiTheme="majorBidi" w:cstheme="majorBidi"/>
        </w:rPr>
        <w:t xml:space="preserve">” answer implies that there are currently no legal instruments nor policy frameworks or administrative measures in place for the sustainable management and use of wild species (9.1), no monitoring of sustainable management and use of wild species (9.2) no </w:t>
      </w:r>
      <w:r>
        <w:rPr>
          <w:rFonts w:asciiTheme="majorBidi" w:hAnsiTheme="majorBidi" w:cstheme="majorBidi"/>
        </w:rPr>
        <w:t xml:space="preserve">monitoring </w:t>
      </w:r>
      <w:r w:rsidRPr="00ED7E61">
        <w:rPr>
          <w:rFonts w:asciiTheme="majorBidi" w:hAnsiTheme="majorBidi" w:cstheme="majorBidi"/>
        </w:rPr>
        <w:t>of any of the benefits derived from the use of wild species (9.</w:t>
      </w:r>
      <w:r w:rsidR="00D82744">
        <w:rPr>
          <w:rFonts w:asciiTheme="majorBidi" w:hAnsiTheme="majorBidi" w:cstheme="majorBidi"/>
        </w:rPr>
        <w:t>3</w:t>
      </w:r>
      <w:r w:rsidRPr="00ED7E61">
        <w:rPr>
          <w:rFonts w:asciiTheme="majorBidi" w:hAnsiTheme="majorBidi" w:cstheme="majorBidi"/>
        </w:rPr>
        <w:t>) and there are no legal instruments nor other policy frameworks in place to protect and encourage customary sustainable use of biodiversity by indigenous peoples and local communities (9.</w:t>
      </w:r>
      <w:r w:rsidR="00D82744">
        <w:rPr>
          <w:rFonts w:asciiTheme="majorBidi" w:hAnsiTheme="majorBidi" w:cstheme="majorBidi"/>
        </w:rPr>
        <w:t>4</w:t>
      </w:r>
      <w:r w:rsidRPr="00ED7E61">
        <w:rPr>
          <w:rFonts w:asciiTheme="majorBidi" w:hAnsiTheme="majorBidi" w:cstheme="majorBidi"/>
        </w:rPr>
        <w:t>). In all cases, there are no national-level efforts to legislate or monitor the management and sustainable use of wild species.</w:t>
      </w:r>
    </w:p>
    <w:p w14:paraId="6A3EC79E" w14:textId="77777777" w:rsidR="00E17842" w:rsidRPr="00ED7E61" w:rsidRDefault="00E17842" w:rsidP="00E17842">
      <w:pPr>
        <w:pStyle w:val="CBDNormalNumber"/>
        <w:numPr>
          <w:ilvl w:val="0"/>
          <w:numId w:val="81"/>
        </w:numPr>
        <w:shd w:val="clear" w:color="auto" w:fill="FFFFFF"/>
        <w:ind w:left="567" w:firstLine="0"/>
        <w:rPr>
          <w:color w:val="000000"/>
        </w:rPr>
      </w:pPr>
      <w:r w:rsidRPr="00ED7E61">
        <w:rPr>
          <w:color w:val="000000"/>
        </w:rPr>
        <w:t>An “</w:t>
      </w:r>
      <w:r w:rsidRPr="00FB1598">
        <w:rPr>
          <w:i/>
          <w:iCs/>
          <w:color w:val="000000"/>
        </w:rPr>
        <w:t>Under development</w:t>
      </w:r>
      <w:r w:rsidRPr="00ED7E61">
        <w:rPr>
          <w:color w:val="000000"/>
        </w:rPr>
        <w:t>” answer implies a concerted effort at the national level to:</w:t>
      </w:r>
    </w:p>
    <w:p w14:paraId="057CEF8A" w14:textId="77777777"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design legal instruments, policy frameworks or administrative measures for the sustainable management and use of wild species (9.1).</w:t>
      </w:r>
    </w:p>
    <w:p w14:paraId="24FE2D44" w14:textId="77777777"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monitor the sustainable management and use of wild species (9.2) by designing a monitoring program and strategy and mobilizing resources to begin data collection.</w:t>
      </w:r>
    </w:p>
    <w:p w14:paraId="461B6305" w14:textId="6EB7DFA1"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lastRenderedPageBreak/>
        <w:t xml:space="preserve">monitor the social, economic and environmental benefits derived from the use of wild species for people, </w:t>
      </w:r>
      <w:proofErr w:type="gramStart"/>
      <w:r w:rsidRPr="00ED7E61">
        <w:rPr>
          <w:rStyle w:val="normaltextrun"/>
          <w:shd w:val="clear" w:color="auto" w:fill="FFFFFF"/>
        </w:rPr>
        <w:t>in particular</w:t>
      </w:r>
      <w:proofErr w:type="gramEnd"/>
      <w:r w:rsidRPr="00ED7E61">
        <w:rPr>
          <w:rStyle w:val="normaltextrun"/>
          <w:shd w:val="clear" w:color="auto" w:fill="FFFFFF"/>
        </w:rPr>
        <w:t xml:space="preserve"> those in vulnerable situations and most dependent on biodiversity (9.</w:t>
      </w:r>
      <w:r w:rsidR="00D82744">
        <w:rPr>
          <w:rStyle w:val="normaltextrun"/>
          <w:shd w:val="clear" w:color="auto" w:fill="FFFFFF"/>
        </w:rPr>
        <w:t>3</w:t>
      </w:r>
      <w:r w:rsidRPr="00ED7E61">
        <w:rPr>
          <w:rStyle w:val="normaltextrun"/>
          <w:shd w:val="clear" w:color="auto" w:fill="FFFFFF"/>
        </w:rPr>
        <w:t>), by designing a monitoring program and strategy and mobilizing resources to begin data collection.</w:t>
      </w:r>
    </w:p>
    <w:p w14:paraId="23B27E13" w14:textId="465BD89A"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 xml:space="preserve">design legal instruments or other policy frameworks to protect and encourage customary sustainable use of biodiversity by </w:t>
      </w:r>
      <w:r>
        <w:rPr>
          <w:rStyle w:val="normaltextrun"/>
          <w:rFonts w:asciiTheme="majorBidi" w:eastAsiaTheme="majorEastAsia" w:hAnsiTheme="majorBidi" w:cstheme="majorBidi"/>
          <w:color w:val="000000"/>
          <w:lang w:val="en-AU"/>
        </w:rPr>
        <w:t>i</w:t>
      </w:r>
      <w:r w:rsidRPr="00ED7E61">
        <w:rPr>
          <w:rStyle w:val="normaltextrun"/>
          <w:rFonts w:asciiTheme="majorBidi" w:eastAsiaTheme="majorEastAsia" w:hAnsiTheme="majorBidi" w:cstheme="majorBidi"/>
          <w:color w:val="000000"/>
          <w:lang w:val="en-AU"/>
        </w:rPr>
        <w:t xml:space="preserve">ndigenous </w:t>
      </w:r>
      <w:r>
        <w:rPr>
          <w:rStyle w:val="normaltextrun"/>
          <w:rFonts w:asciiTheme="majorBidi" w:eastAsiaTheme="majorEastAsia" w:hAnsiTheme="majorBidi" w:cstheme="majorBidi"/>
          <w:color w:val="000000"/>
          <w:lang w:val="en-AU"/>
        </w:rPr>
        <w:t>p</w:t>
      </w:r>
      <w:r w:rsidRPr="00ED7E61">
        <w:rPr>
          <w:rStyle w:val="normaltextrun"/>
          <w:rFonts w:asciiTheme="majorBidi" w:eastAsiaTheme="majorEastAsia" w:hAnsiTheme="majorBidi" w:cstheme="majorBidi"/>
          <w:color w:val="000000"/>
          <w:lang w:val="en-AU"/>
        </w:rPr>
        <w:t xml:space="preserve">eoples and </w:t>
      </w:r>
      <w:r>
        <w:rPr>
          <w:rStyle w:val="normaltextrun"/>
          <w:rFonts w:asciiTheme="majorBidi" w:eastAsiaTheme="majorEastAsia" w:hAnsiTheme="majorBidi" w:cstheme="majorBidi"/>
          <w:color w:val="000000"/>
          <w:lang w:val="en-AU"/>
        </w:rPr>
        <w:t>l</w:t>
      </w:r>
      <w:r w:rsidRPr="00ED7E61">
        <w:rPr>
          <w:rStyle w:val="normaltextrun"/>
          <w:rFonts w:asciiTheme="majorBidi" w:eastAsiaTheme="majorEastAsia" w:hAnsiTheme="majorBidi" w:cstheme="majorBidi"/>
          <w:color w:val="000000"/>
          <w:lang w:val="en-AU"/>
        </w:rPr>
        <w:t xml:space="preserve">ocal </w:t>
      </w:r>
      <w:r>
        <w:rPr>
          <w:rStyle w:val="normaltextrun"/>
          <w:rFonts w:asciiTheme="majorBidi" w:eastAsiaTheme="majorEastAsia" w:hAnsiTheme="majorBidi" w:cstheme="majorBidi"/>
          <w:color w:val="000000"/>
          <w:lang w:val="en-AU"/>
        </w:rPr>
        <w:t>c</w:t>
      </w:r>
      <w:r w:rsidRPr="00ED7E61">
        <w:rPr>
          <w:rStyle w:val="normaltextrun"/>
          <w:rFonts w:asciiTheme="majorBidi" w:eastAsiaTheme="majorEastAsia" w:hAnsiTheme="majorBidi" w:cstheme="majorBidi"/>
          <w:color w:val="000000"/>
          <w:lang w:val="en-AU"/>
        </w:rPr>
        <w:t>ommunities</w:t>
      </w:r>
      <w:r w:rsidRPr="00ED7E61">
        <w:rPr>
          <w:rStyle w:val="normaltextrun"/>
          <w:shd w:val="clear" w:color="auto" w:fill="FFFFFF"/>
        </w:rPr>
        <w:t xml:space="preserve"> (9.</w:t>
      </w:r>
      <w:r w:rsidR="00D82744">
        <w:rPr>
          <w:rStyle w:val="normaltextrun"/>
          <w:shd w:val="clear" w:color="auto" w:fill="FFFFFF"/>
        </w:rPr>
        <w:t>4</w:t>
      </w:r>
      <w:r w:rsidRPr="00ED7E61">
        <w:rPr>
          <w:rStyle w:val="normaltextrun"/>
          <w:shd w:val="clear" w:color="auto" w:fill="FFFFFF"/>
        </w:rPr>
        <w:t>).</w:t>
      </w:r>
    </w:p>
    <w:p w14:paraId="119B6EC7" w14:textId="77777777" w:rsidR="00E17842" w:rsidRPr="00ED7E61" w:rsidRDefault="00E17842" w:rsidP="00E17842">
      <w:pPr>
        <w:pStyle w:val="CBDNormalNumber"/>
        <w:numPr>
          <w:ilvl w:val="0"/>
          <w:numId w:val="81"/>
        </w:numPr>
        <w:shd w:val="clear" w:color="auto" w:fill="FFFFFF"/>
        <w:ind w:left="567" w:firstLine="0"/>
        <w:rPr>
          <w:color w:val="000000"/>
        </w:rPr>
      </w:pPr>
      <w:r w:rsidRPr="00ED7E61">
        <w:rPr>
          <w:color w:val="000000"/>
        </w:rPr>
        <w:t xml:space="preserve">In each of these cases, legal, policy and administrative frameworks may be in the draft stages and awaiting ratification. </w:t>
      </w:r>
      <w:bookmarkStart w:id="48" w:name="_Int_jBEzTSLd"/>
      <w:r w:rsidRPr="00ED7E61">
        <w:rPr>
          <w:color w:val="000000"/>
        </w:rPr>
        <w:t>Resources may also be in the process of being mobilized to support these frameworks.</w:t>
      </w:r>
      <w:bookmarkEnd w:id="48"/>
      <w:r w:rsidRPr="00ED7E61">
        <w:rPr>
          <w:color w:val="000000"/>
        </w:rPr>
        <w:t xml:space="preserve"> Importantly, these processes must be ongoing at the national level and backed by governmental bodies with implementation authority.</w:t>
      </w:r>
    </w:p>
    <w:p w14:paraId="12F593E6" w14:textId="77777777" w:rsidR="00E17842" w:rsidRPr="00ED7E61" w:rsidRDefault="00E17842" w:rsidP="00E17842">
      <w:pPr>
        <w:pStyle w:val="CBDNormalNumber"/>
        <w:numPr>
          <w:ilvl w:val="0"/>
          <w:numId w:val="81"/>
        </w:numPr>
        <w:shd w:val="clear" w:color="auto" w:fill="FFFFFF"/>
        <w:ind w:left="567" w:firstLine="0"/>
      </w:pPr>
      <w:r w:rsidRPr="00ED7E61">
        <w:t>A “</w:t>
      </w:r>
      <w:r w:rsidRPr="00FB1598">
        <w:rPr>
          <w:i/>
          <w:iCs/>
        </w:rPr>
        <w:t>Partially</w:t>
      </w:r>
      <w:r w:rsidRPr="00ED7E61">
        <w:t xml:space="preserve">” answer implies that: </w:t>
      </w:r>
    </w:p>
    <w:p w14:paraId="72379C98" w14:textId="77777777"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legal, policy or administrative frameworks for the sustainable management or use of some wild species are in place (9.1).</w:t>
      </w:r>
    </w:p>
    <w:p w14:paraId="5A7F5C58" w14:textId="77777777"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 xml:space="preserve">monitoring of sustainable management or use of wild species has begun but does not cover all wild species or uses (9.2). </w:t>
      </w:r>
    </w:p>
    <w:p w14:paraId="63066FD0" w14:textId="28771A5C"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monitoring of the social, economic or environmental benefits derived from the use of wild species for people (9.</w:t>
      </w:r>
      <w:r w:rsidR="00D82744">
        <w:rPr>
          <w:rStyle w:val="normaltextrun"/>
          <w:shd w:val="clear" w:color="auto" w:fill="FFFFFF"/>
        </w:rPr>
        <w:t>3</w:t>
      </w:r>
      <w:r w:rsidRPr="00ED7E61">
        <w:rPr>
          <w:rStyle w:val="normaltextrun"/>
          <w:shd w:val="clear" w:color="auto" w:fill="FFFFFF"/>
        </w:rPr>
        <w:t>) has begun but does not cover all three types of benefits or only accounts for some uses and wild species and/or does not consider those in vulnerable situations and most dependent on biodiversity.</w:t>
      </w:r>
    </w:p>
    <w:p w14:paraId="08FC6239" w14:textId="3C22C209"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 xml:space="preserve">legal instruments or other policy frameworks to protect or encourage some types of customary sustainable use of biodiversity by </w:t>
      </w:r>
      <w:r>
        <w:rPr>
          <w:rStyle w:val="normaltextrun"/>
          <w:rFonts w:asciiTheme="majorBidi" w:eastAsiaTheme="majorEastAsia" w:hAnsiTheme="majorBidi" w:cstheme="majorBidi"/>
          <w:color w:val="000000"/>
          <w:lang w:val="en-AU"/>
        </w:rPr>
        <w:t>i</w:t>
      </w:r>
      <w:r w:rsidRPr="00ED7E61">
        <w:rPr>
          <w:rStyle w:val="normaltextrun"/>
          <w:rFonts w:asciiTheme="majorBidi" w:eastAsiaTheme="majorEastAsia" w:hAnsiTheme="majorBidi" w:cstheme="majorBidi"/>
          <w:color w:val="000000"/>
          <w:lang w:val="en-AU"/>
        </w:rPr>
        <w:t xml:space="preserve">ndigenous </w:t>
      </w:r>
      <w:r>
        <w:rPr>
          <w:rStyle w:val="normaltextrun"/>
          <w:rFonts w:asciiTheme="majorBidi" w:eastAsiaTheme="majorEastAsia" w:hAnsiTheme="majorBidi" w:cstheme="majorBidi"/>
          <w:color w:val="000000"/>
          <w:lang w:val="en-AU"/>
        </w:rPr>
        <w:t>p</w:t>
      </w:r>
      <w:r w:rsidRPr="00ED7E61">
        <w:rPr>
          <w:rStyle w:val="normaltextrun"/>
          <w:rFonts w:asciiTheme="majorBidi" w:eastAsiaTheme="majorEastAsia" w:hAnsiTheme="majorBidi" w:cstheme="majorBidi"/>
          <w:color w:val="000000"/>
          <w:lang w:val="en-AU"/>
        </w:rPr>
        <w:t xml:space="preserve">eoples and </w:t>
      </w:r>
      <w:r>
        <w:rPr>
          <w:rStyle w:val="normaltextrun"/>
          <w:rFonts w:asciiTheme="majorBidi" w:eastAsiaTheme="majorEastAsia" w:hAnsiTheme="majorBidi" w:cstheme="majorBidi"/>
          <w:color w:val="000000"/>
          <w:lang w:val="en-AU"/>
        </w:rPr>
        <w:t>l</w:t>
      </w:r>
      <w:r w:rsidRPr="00ED7E61">
        <w:rPr>
          <w:rStyle w:val="normaltextrun"/>
          <w:rFonts w:asciiTheme="majorBidi" w:eastAsiaTheme="majorEastAsia" w:hAnsiTheme="majorBidi" w:cstheme="majorBidi"/>
          <w:color w:val="000000"/>
          <w:lang w:val="en-AU"/>
        </w:rPr>
        <w:t xml:space="preserve">ocal </w:t>
      </w:r>
      <w:r>
        <w:rPr>
          <w:rStyle w:val="normaltextrun"/>
          <w:rFonts w:asciiTheme="majorBidi" w:eastAsiaTheme="majorEastAsia" w:hAnsiTheme="majorBidi" w:cstheme="majorBidi"/>
          <w:color w:val="000000"/>
          <w:lang w:val="en-AU"/>
        </w:rPr>
        <w:t>c</w:t>
      </w:r>
      <w:r w:rsidRPr="00ED7E61">
        <w:rPr>
          <w:rStyle w:val="normaltextrun"/>
          <w:rFonts w:asciiTheme="majorBidi" w:eastAsiaTheme="majorEastAsia" w:hAnsiTheme="majorBidi" w:cstheme="majorBidi"/>
          <w:color w:val="000000"/>
          <w:lang w:val="en-AU"/>
        </w:rPr>
        <w:t>ommunities</w:t>
      </w:r>
      <w:r w:rsidRPr="00ED7E61">
        <w:rPr>
          <w:rStyle w:val="normaltextrun"/>
          <w:shd w:val="clear" w:color="auto" w:fill="FFFFFF"/>
        </w:rPr>
        <w:t xml:space="preserve"> (9.</w:t>
      </w:r>
      <w:r w:rsidR="00D82744">
        <w:rPr>
          <w:rStyle w:val="normaltextrun"/>
          <w:shd w:val="clear" w:color="auto" w:fill="FFFFFF"/>
        </w:rPr>
        <w:t>4</w:t>
      </w:r>
      <w:r w:rsidRPr="00ED7E61">
        <w:rPr>
          <w:rStyle w:val="normaltextrun"/>
          <w:shd w:val="clear" w:color="auto" w:fill="FFFFFF"/>
        </w:rPr>
        <w:t xml:space="preserve">) are in place. </w:t>
      </w:r>
    </w:p>
    <w:p w14:paraId="5550C826" w14:textId="77777777" w:rsidR="00E17842" w:rsidRPr="00ED7E61" w:rsidRDefault="00E17842" w:rsidP="00E17842">
      <w:pPr>
        <w:pStyle w:val="CBDNormalNumber"/>
        <w:numPr>
          <w:ilvl w:val="0"/>
          <w:numId w:val="81"/>
        </w:numPr>
        <w:shd w:val="clear" w:color="auto" w:fill="FFFFFF"/>
        <w:ind w:left="567" w:firstLine="0"/>
        <w:rPr>
          <w:color w:val="000000"/>
        </w:rPr>
      </w:pPr>
      <w:r w:rsidRPr="00ED7E61">
        <w:rPr>
          <w:color w:val="000000"/>
        </w:rPr>
        <w:t>In all these cases, government initiatives are resourced and implemented but they do not address the entirety of the question’s asks. If any one of the cases outlined above applies, only partial achievement has been reached.</w:t>
      </w:r>
    </w:p>
    <w:p w14:paraId="171B306D" w14:textId="77777777" w:rsidR="00E17842" w:rsidRPr="00ED7E61" w:rsidRDefault="00E17842" w:rsidP="00E17842">
      <w:pPr>
        <w:pStyle w:val="CBDNormalNumber"/>
        <w:numPr>
          <w:ilvl w:val="0"/>
          <w:numId w:val="81"/>
        </w:numPr>
        <w:shd w:val="clear" w:color="auto" w:fill="FFFFFF"/>
        <w:ind w:left="567" w:firstLine="0"/>
        <w:rPr>
          <w:color w:val="000000"/>
        </w:rPr>
      </w:pPr>
      <w:r w:rsidRPr="00ED7E61">
        <w:rPr>
          <w:color w:val="000000"/>
        </w:rPr>
        <w:t>A “</w:t>
      </w:r>
      <w:r w:rsidRPr="00FB1598">
        <w:rPr>
          <w:i/>
          <w:iCs/>
          <w:color w:val="000000"/>
        </w:rPr>
        <w:t>Fully</w:t>
      </w:r>
      <w:r w:rsidRPr="00ED7E61">
        <w:rPr>
          <w:color w:val="000000"/>
        </w:rPr>
        <w:t>” answer implies that all the conditions outlined in “</w:t>
      </w:r>
      <w:r w:rsidRPr="00FB1598">
        <w:rPr>
          <w:i/>
          <w:iCs/>
          <w:color w:val="000000"/>
        </w:rPr>
        <w:t>Partially</w:t>
      </w:r>
      <w:r w:rsidRPr="00ED7E61">
        <w:rPr>
          <w:color w:val="000000"/>
        </w:rPr>
        <w:t xml:space="preserve">” have been met. Namely that: </w:t>
      </w:r>
    </w:p>
    <w:p w14:paraId="091D782E" w14:textId="77777777"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legal, policy or administrative frameworks for both the sustainable management and all types of use of wild species are in place (9.1),</w:t>
      </w:r>
    </w:p>
    <w:p w14:paraId="4A982120" w14:textId="77777777"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monitoring of sustainable management or use of wild species has begun and covers all wild species and uses (9.2).</w:t>
      </w:r>
    </w:p>
    <w:p w14:paraId="493BAD1B" w14:textId="3DEF22C0"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monitoring of the social, economic or environmental benefits derived from the use of wild species for people (9.</w:t>
      </w:r>
      <w:r w:rsidR="00933046">
        <w:rPr>
          <w:rStyle w:val="normaltextrun"/>
          <w:shd w:val="clear" w:color="auto" w:fill="FFFFFF"/>
        </w:rPr>
        <w:t>3</w:t>
      </w:r>
      <w:r w:rsidRPr="00ED7E61">
        <w:rPr>
          <w:rStyle w:val="normaltextrun"/>
          <w:shd w:val="clear" w:color="auto" w:fill="FFFFFF"/>
        </w:rPr>
        <w:t>) has begun and covers all three types of benefits, accounts for all uses and wild species, and considers those in vulnerable situations and most dependent on biodiversity.</w:t>
      </w:r>
    </w:p>
    <w:p w14:paraId="116CAE8B" w14:textId="0A4896BB" w:rsidR="00E17842" w:rsidRPr="00ED7E61" w:rsidRDefault="00E17842" w:rsidP="00E17842">
      <w:pPr>
        <w:pStyle w:val="CBDNormalNumber"/>
        <w:numPr>
          <w:ilvl w:val="1"/>
          <w:numId w:val="81"/>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 xml:space="preserve">legal instruments or other policy frameworks to both protect and encourage all types of customary sustainable use of biodiversity by </w:t>
      </w:r>
      <w:r>
        <w:rPr>
          <w:rStyle w:val="normaltextrun"/>
          <w:rFonts w:asciiTheme="majorBidi" w:eastAsiaTheme="majorEastAsia" w:hAnsiTheme="majorBidi" w:cstheme="majorBidi"/>
          <w:color w:val="000000"/>
          <w:lang w:val="en-AU"/>
        </w:rPr>
        <w:t>i</w:t>
      </w:r>
      <w:r w:rsidRPr="00ED7E61">
        <w:rPr>
          <w:rStyle w:val="normaltextrun"/>
          <w:rFonts w:asciiTheme="majorBidi" w:eastAsiaTheme="majorEastAsia" w:hAnsiTheme="majorBidi" w:cstheme="majorBidi"/>
          <w:color w:val="000000"/>
          <w:lang w:val="en-AU"/>
        </w:rPr>
        <w:t xml:space="preserve">ndigenous </w:t>
      </w:r>
      <w:r>
        <w:rPr>
          <w:rStyle w:val="normaltextrun"/>
          <w:rFonts w:asciiTheme="majorBidi" w:eastAsiaTheme="majorEastAsia" w:hAnsiTheme="majorBidi" w:cstheme="majorBidi"/>
          <w:color w:val="000000"/>
          <w:lang w:val="en-AU"/>
        </w:rPr>
        <w:t>p</w:t>
      </w:r>
      <w:r w:rsidRPr="00ED7E61">
        <w:rPr>
          <w:rStyle w:val="normaltextrun"/>
          <w:rFonts w:asciiTheme="majorBidi" w:eastAsiaTheme="majorEastAsia" w:hAnsiTheme="majorBidi" w:cstheme="majorBidi"/>
          <w:color w:val="000000"/>
          <w:lang w:val="en-AU"/>
        </w:rPr>
        <w:t xml:space="preserve">eoples and </w:t>
      </w:r>
      <w:r>
        <w:rPr>
          <w:rStyle w:val="normaltextrun"/>
          <w:rFonts w:asciiTheme="majorBidi" w:eastAsiaTheme="majorEastAsia" w:hAnsiTheme="majorBidi" w:cstheme="majorBidi"/>
          <w:color w:val="000000"/>
          <w:lang w:val="en-AU"/>
        </w:rPr>
        <w:t>l</w:t>
      </w:r>
      <w:r w:rsidRPr="00ED7E61">
        <w:rPr>
          <w:rStyle w:val="normaltextrun"/>
          <w:rFonts w:asciiTheme="majorBidi" w:eastAsiaTheme="majorEastAsia" w:hAnsiTheme="majorBidi" w:cstheme="majorBidi"/>
          <w:color w:val="000000"/>
          <w:lang w:val="en-AU"/>
        </w:rPr>
        <w:t xml:space="preserve">ocal </w:t>
      </w:r>
      <w:r>
        <w:rPr>
          <w:rStyle w:val="normaltextrun"/>
          <w:rFonts w:asciiTheme="majorBidi" w:eastAsiaTheme="majorEastAsia" w:hAnsiTheme="majorBidi" w:cstheme="majorBidi"/>
          <w:color w:val="000000"/>
          <w:lang w:val="en-AU"/>
        </w:rPr>
        <w:t>c</w:t>
      </w:r>
      <w:r w:rsidRPr="00ED7E61">
        <w:rPr>
          <w:rStyle w:val="normaltextrun"/>
          <w:rFonts w:asciiTheme="majorBidi" w:eastAsiaTheme="majorEastAsia" w:hAnsiTheme="majorBidi" w:cstheme="majorBidi"/>
          <w:color w:val="000000"/>
          <w:lang w:val="en-AU"/>
        </w:rPr>
        <w:t xml:space="preserve">ommunities </w:t>
      </w:r>
      <w:r w:rsidRPr="00ED7E61">
        <w:rPr>
          <w:rStyle w:val="normaltextrun"/>
          <w:shd w:val="clear" w:color="auto" w:fill="FFFFFF"/>
        </w:rPr>
        <w:t>(9.</w:t>
      </w:r>
      <w:r w:rsidR="00933046">
        <w:rPr>
          <w:rStyle w:val="normaltextrun"/>
          <w:shd w:val="clear" w:color="auto" w:fill="FFFFFF"/>
        </w:rPr>
        <w:t>4</w:t>
      </w:r>
      <w:r w:rsidRPr="00ED7E61">
        <w:rPr>
          <w:rStyle w:val="normaltextrun"/>
          <w:shd w:val="clear" w:color="auto" w:fill="FFFFFF"/>
        </w:rPr>
        <w:t xml:space="preserve">) are in place. </w:t>
      </w:r>
    </w:p>
    <w:p w14:paraId="1170B3C9" w14:textId="77777777" w:rsidR="00E17842" w:rsidRPr="00ED7E61" w:rsidRDefault="00E17842" w:rsidP="00E17842">
      <w:pPr>
        <w:pStyle w:val="CBDNormalNumber"/>
        <w:numPr>
          <w:ilvl w:val="0"/>
          <w:numId w:val="81"/>
        </w:numPr>
        <w:shd w:val="clear" w:color="auto" w:fill="FFFFFF"/>
        <w:ind w:left="567" w:firstLine="0"/>
        <w:rPr>
          <w:color w:val="000000"/>
        </w:rPr>
      </w:pPr>
      <w:r w:rsidRPr="00ED7E61">
        <w:rPr>
          <w:color w:val="000000"/>
        </w:rPr>
        <w:t>Note that all these frameworks and legislations must be established at the national level and be appropriately resourced (financial and human).</w:t>
      </w:r>
    </w:p>
    <w:p w14:paraId="2BADDCB8" w14:textId="1D579DB6" w:rsidR="00E17842" w:rsidRPr="00ED7E61" w:rsidRDefault="00933046" w:rsidP="00100F84">
      <w:pPr>
        <w:pStyle w:val="CBDNormalNumber"/>
        <w:numPr>
          <w:ilvl w:val="0"/>
          <w:numId w:val="81"/>
        </w:numPr>
        <w:shd w:val="clear" w:color="auto" w:fill="FFFFFF"/>
        <w:ind w:left="567" w:firstLine="0"/>
        <w:rPr>
          <w:rFonts w:asciiTheme="majorBidi" w:eastAsia="Garamond" w:hAnsiTheme="majorBidi" w:cstheme="majorBidi"/>
          <w:color w:val="000000" w:themeColor="text1"/>
          <w:lang w:val="en-US"/>
        </w:rPr>
      </w:pPr>
      <w:r>
        <w:rPr>
          <w:rFonts w:asciiTheme="majorBidi" w:eastAsia="Garamond" w:hAnsiTheme="majorBidi" w:cstheme="majorBidi"/>
          <w:color w:val="000000" w:themeColor="text1"/>
          <w:lang w:val="en-US"/>
        </w:rPr>
        <w:t xml:space="preserve">For question </w:t>
      </w:r>
      <w:r w:rsidR="00E17842" w:rsidRPr="00ED7E61">
        <w:rPr>
          <w:rFonts w:asciiTheme="majorBidi" w:eastAsia="Garamond" w:hAnsiTheme="majorBidi" w:cstheme="majorBidi"/>
          <w:color w:val="000000" w:themeColor="text1"/>
          <w:lang w:val="en-US"/>
        </w:rPr>
        <w:t>9.3</w:t>
      </w:r>
      <w:r w:rsidR="001A6E30">
        <w:rPr>
          <w:rFonts w:asciiTheme="majorBidi" w:eastAsia="Garamond" w:hAnsiTheme="majorBidi" w:cstheme="majorBidi"/>
          <w:color w:val="000000" w:themeColor="text1"/>
          <w:lang w:val="en-US"/>
        </w:rPr>
        <w:t>, if the answer “fully” or “partially” is selected</w:t>
      </w:r>
      <w:r w:rsidR="00C31FC9">
        <w:rPr>
          <w:rFonts w:asciiTheme="majorBidi" w:eastAsia="Garamond" w:hAnsiTheme="majorBidi" w:cstheme="majorBidi"/>
          <w:color w:val="000000" w:themeColor="text1"/>
          <w:lang w:val="en-US"/>
        </w:rPr>
        <w:t xml:space="preserve">, Parties will be asked to identify which </w:t>
      </w:r>
      <w:r w:rsidR="007E137B">
        <w:rPr>
          <w:rFonts w:asciiTheme="majorBidi" w:eastAsia="Garamond" w:hAnsiTheme="majorBidi" w:cstheme="majorBidi"/>
          <w:color w:val="000000" w:themeColor="text1"/>
          <w:lang w:val="en-US"/>
        </w:rPr>
        <w:t xml:space="preserve">of the following </w:t>
      </w:r>
      <w:r w:rsidR="00C31FC9">
        <w:rPr>
          <w:rFonts w:asciiTheme="majorBidi" w:eastAsia="Garamond" w:hAnsiTheme="majorBidi" w:cstheme="majorBidi"/>
          <w:color w:val="000000" w:themeColor="text1"/>
          <w:lang w:val="en-US"/>
        </w:rPr>
        <w:t>groups of</w:t>
      </w:r>
      <w:r w:rsidR="00100F84" w:rsidRPr="00100F84">
        <w:rPr>
          <w:rFonts w:asciiTheme="majorBidi" w:eastAsia="Garamond" w:hAnsiTheme="majorBidi" w:cstheme="majorBidi"/>
          <w:color w:val="000000" w:themeColor="text1"/>
          <w:lang w:val="en-CA"/>
        </w:rPr>
        <w:t xml:space="preserve"> people</w:t>
      </w:r>
      <w:r w:rsidR="00C31FC9">
        <w:rPr>
          <w:rFonts w:asciiTheme="majorBidi" w:eastAsia="Garamond" w:hAnsiTheme="majorBidi" w:cstheme="majorBidi"/>
          <w:color w:val="000000" w:themeColor="text1"/>
          <w:lang w:val="en-CA"/>
        </w:rPr>
        <w:t xml:space="preserve"> this </w:t>
      </w:r>
      <w:r w:rsidR="00856282">
        <w:rPr>
          <w:rFonts w:asciiTheme="majorBidi" w:eastAsia="Garamond" w:hAnsiTheme="majorBidi" w:cstheme="majorBidi"/>
          <w:color w:val="000000" w:themeColor="text1"/>
          <w:lang w:val="en-CA"/>
        </w:rPr>
        <w:t>applies to</w:t>
      </w:r>
      <w:r w:rsidR="00E17842" w:rsidRPr="00ED7E61">
        <w:rPr>
          <w:rFonts w:asciiTheme="majorBidi" w:eastAsia="Garamond" w:hAnsiTheme="majorBidi" w:cstheme="majorBidi"/>
          <w:color w:val="000000" w:themeColor="text1"/>
          <w:lang w:val="en-US"/>
        </w:rPr>
        <w:t>:</w:t>
      </w:r>
    </w:p>
    <w:p w14:paraId="4D8BAA4B" w14:textId="77777777" w:rsidR="00336472" w:rsidRPr="00812871" w:rsidRDefault="00336472" w:rsidP="00336472">
      <w:pPr>
        <w:pStyle w:val="CBDNormalNumber"/>
        <w:numPr>
          <w:ilvl w:val="1"/>
          <w:numId w:val="81"/>
        </w:numPr>
        <w:tabs>
          <w:tab w:val="clear" w:pos="567"/>
          <w:tab w:val="clear" w:pos="1134"/>
          <w:tab w:val="clear" w:pos="1701"/>
          <w:tab w:val="clear" w:pos="2268"/>
          <w:tab w:val="left" w:pos="1985"/>
        </w:tabs>
        <w:ind w:left="1276" w:firstLine="56"/>
        <w:rPr>
          <w:shd w:val="clear" w:color="auto" w:fill="FFFFFF"/>
        </w:rPr>
      </w:pPr>
      <w:r w:rsidRPr="00336472">
        <w:rPr>
          <w:shd w:val="clear" w:color="auto" w:fill="FFFFFF"/>
          <w:lang w:val="en-CA"/>
        </w:rPr>
        <w:t xml:space="preserve">Women and girls </w:t>
      </w:r>
    </w:p>
    <w:p w14:paraId="5DC5F178" w14:textId="77777777" w:rsidR="00336472" w:rsidRPr="00812871" w:rsidRDefault="00336472" w:rsidP="00336472">
      <w:pPr>
        <w:pStyle w:val="CBDNormalNumber"/>
        <w:numPr>
          <w:ilvl w:val="1"/>
          <w:numId w:val="81"/>
        </w:numPr>
        <w:tabs>
          <w:tab w:val="clear" w:pos="567"/>
          <w:tab w:val="clear" w:pos="1134"/>
          <w:tab w:val="clear" w:pos="1701"/>
          <w:tab w:val="clear" w:pos="2268"/>
          <w:tab w:val="left" w:pos="1985"/>
        </w:tabs>
        <w:ind w:left="1276" w:firstLine="56"/>
        <w:rPr>
          <w:shd w:val="clear" w:color="auto" w:fill="FFFFFF"/>
        </w:rPr>
      </w:pPr>
      <w:r w:rsidRPr="00336472">
        <w:rPr>
          <w:shd w:val="clear" w:color="auto" w:fill="FFFFFF"/>
          <w:lang w:val="en-CA"/>
        </w:rPr>
        <w:t>Children and youth</w:t>
      </w:r>
    </w:p>
    <w:p w14:paraId="27FC1EFF" w14:textId="77777777" w:rsidR="00336472" w:rsidRPr="00812871" w:rsidRDefault="00336472" w:rsidP="00336472">
      <w:pPr>
        <w:pStyle w:val="CBDNormalNumber"/>
        <w:numPr>
          <w:ilvl w:val="1"/>
          <w:numId w:val="81"/>
        </w:numPr>
        <w:tabs>
          <w:tab w:val="clear" w:pos="567"/>
          <w:tab w:val="clear" w:pos="1134"/>
          <w:tab w:val="clear" w:pos="1701"/>
          <w:tab w:val="clear" w:pos="2268"/>
          <w:tab w:val="left" w:pos="1985"/>
        </w:tabs>
        <w:ind w:left="1276" w:firstLine="56"/>
        <w:rPr>
          <w:shd w:val="clear" w:color="auto" w:fill="FFFFFF"/>
        </w:rPr>
      </w:pPr>
      <w:r w:rsidRPr="00336472">
        <w:rPr>
          <w:shd w:val="clear" w:color="auto" w:fill="FFFFFF"/>
          <w:lang w:val="en-CA"/>
        </w:rPr>
        <w:t>People with disabilities</w:t>
      </w:r>
    </w:p>
    <w:p w14:paraId="47734184" w14:textId="0D79DF05" w:rsidR="00E17842" w:rsidRPr="00812871" w:rsidRDefault="00336472" w:rsidP="007E137B">
      <w:pPr>
        <w:pStyle w:val="CBDNormalNumber"/>
        <w:numPr>
          <w:ilvl w:val="1"/>
          <w:numId w:val="81"/>
        </w:numPr>
        <w:tabs>
          <w:tab w:val="clear" w:pos="567"/>
          <w:tab w:val="clear" w:pos="1134"/>
          <w:tab w:val="clear" w:pos="1701"/>
          <w:tab w:val="clear" w:pos="2268"/>
          <w:tab w:val="left" w:pos="1985"/>
        </w:tabs>
        <w:ind w:left="1276" w:firstLine="56"/>
        <w:rPr>
          <w:shd w:val="clear" w:color="auto" w:fill="FFFFFF"/>
        </w:rPr>
      </w:pPr>
      <w:r w:rsidRPr="00336472">
        <w:rPr>
          <w:shd w:val="clear" w:color="auto" w:fill="FFFFFF"/>
          <w:lang w:val="en-CA"/>
        </w:rPr>
        <w:lastRenderedPageBreak/>
        <w:t>Indigenous peoples and local communities</w:t>
      </w:r>
    </w:p>
    <w:p w14:paraId="5193F151" w14:textId="0AF7D7F7" w:rsidR="007E137B" w:rsidRPr="00812871" w:rsidRDefault="008F589D" w:rsidP="00812871">
      <w:pPr>
        <w:pStyle w:val="CBDNormalNumber"/>
        <w:shd w:val="clear" w:color="auto" w:fill="FFFFFF"/>
        <w:ind w:left="567"/>
        <w:rPr>
          <w:rFonts w:eastAsia="Garamond"/>
          <w:color w:val="000000" w:themeColor="text1"/>
          <w:lang w:val="en-US"/>
        </w:rPr>
      </w:pPr>
      <w:r>
        <w:rPr>
          <w:rFonts w:asciiTheme="majorBidi" w:eastAsia="Garamond" w:hAnsiTheme="majorBidi" w:cstheme="majorBidi"/>
          <w:color w:val="000000" w:themeColor="text1"/>
          <w:lang w:val="en-US"/>
        </w:rPr>
        <w:tab/>
      </w:r>
      <w:r w:rsidR="007E137B" w:rsidRPr="00812871">
        <w:rPr>
          <w:rFonts w:asciiTheme="majorBidi" w:eastAsia="Garamond" w:hAnsiTheme="majorBidi" w:cstheme="majorBidi"/>
          <w:color w:val="000000" w:themeColor="text1"/>
          <w:lang w:val="en-US"/>
        </w:rPr>
        <w:t>In responding to the question Parties will be able to select all the groups that apply.</w:t>
      </w:r>
    </w:p>
    <w:p w14:paraId="023A0CCF" w14:textId="77777777" w:rsidR="00756F0F" w:rsidRPr="00812871"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p>
    <w:p w14:paraId="2CF23181" w14:textId="77777777" w:rsidR="00244419" w:rsidRDefault="00244419">
      <w:pPr>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br w:type="page"/>
      </w:r>
    </w:p>
    <w:p w14:paraId="1C09232D" w14:textId="5ABA14E8" w:rsidR="00244419" w:rsidRPr="00ED7E61" w:rsidRDefault="00244419" w:rsidP="00244419">
      <w:pPr>
        <w:pStyle w:val="Heading3"/>
      </w:pPr>
      <w:bookmarkStart w:id="49" w:name="_Toc178285868"/>
      <w:bookmarkStart w:id="50" w:name="_Toc233278577"/>
      <w:r w:rsidRPr="00ED7E61">
        <w:rPr>
          <w:rStyle w:val="normaltextrun"/>
        </w:rPr>
        <w:lastRenderedPageBreak/>
        <w:t>10.1 Proportion of agricultural area under productive and sustainable agriculture</w:t>
      </w:r>
      <w:r w:rsidRPr="00ED7E61">
        <w:rPr>
          <w:rStyle w:val="FootnoteReference"/>
        </w:rPr>
        <w:footnoteReference w:id="31"/>
      </w:r>
      <w:bookmarkEnd w:id="49"/>
      <w:bookmarkEnd w:id="50"/>
      <w:r w:rsidRPr="00ED7E61">
        <w:rPr>
          <w:rStyle w:val="normaltextrun"/>
        </w:rPr>
        <w:t> </w:t>
      </w:r>
      <w:r w:rsidRPr="00ED7E61">
        <w:rPr>
          <w:rStyle w:val="eop"/>
        </w:rPr>
        <w:t> </w:t>
      </w:r>
    </w:p>
    <w:p w14:paraId="25972E98" w14:textId="77777777" w:rsidR="00244419" w:rsidRPr="00ED7E61" w:rsidRDefault="00244419" w:rsidP="00244419">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33E34E5E"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32423B20" w14:textId="77777777" w:rsidR="00244419" w:rsidRPr="00ED7E61" w:rsidRDefault="00244419" w:rsidP="00244419">
      <w:pPr>
        <w:pStyle w:val="paragraph"/>
        <w:spacing w:before="0" w:beforeAutospacing="0" w:after="0" w:afterAutospacing="0"/>
        <w:ind w:right="-21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shd w:val="clear" w:color="auto" w:fill="FFFFFF"/>
          <w:lang w:val="en-GB"/>
        </w:rPr>
        <w:t>10.1 Proportion of agricultural area under productive and sustainable agriculture</w:t>
      </w:r>
      <w:r w:rsidRPr="00ED7E61">
        <w:rPr>
          <w:rStyle w:val="eop"/>
          <w:rFonts w:asciiTheme="majorBidi" w:eastAsiaTheme="majorEastAsia" w:hAnsiTheme="majorBidi" w:cstheme="majorBidi"/>
          <w:sz w:val="22"/>
          <w:szCs w:val="22"/>
        </w:rPr>
        <w:t> </w:t>
      </w:r>
    </w:p>
    <w:p w14:paraId="31E2FF56" w14:textId="77777777" w:rsidR="00244419" w:rsidRPr="00ED7E61" w:rsidRDefault="00244419" w:rsidP="00244419">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6C6A4F5F"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September</w:t>
      </w:r>
      <w:r w:rsidRPr="00ED7E61">
        <w:rPr>
          <w:rStyle w:val="normaltextrun"/>
          <w:rFonts w:asciiTheme="majorBidi" w:eastAsiaTheme="majorEastAsia" w:hAnsiTheme="majorBidi" w:cstheme="majorBidi"/>
          <w:sz w:val="22"/>
          <w:szCs w:val="22"/>
        </w:rPr>
        <w:t xml:space="preserve"> 2024</w:t>
      </w:r>
    </w:p>
    <w:p w14:paraId="4573D424" w14:textId="77777777" w:rsidR="00244419" w:rsidRPr="00ED7E61" w:rsidRDefault="00244419" w:rsidP="00244419">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079E40D3" w14:textId="77777777" w:rsidR="00244419" w:rsidRPr="00ED7E61" w:rsidRDefault="00244419" w:rsidP="00244419">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5D2986AA" w14:textId="77777777" w:rsidR="00244419" w:rsidRPr="00ED7E61" w:rsidRDefault="00244419" w:rsidP="00244419">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1D200173" w14:textId="77777777" w:rsidR="00244419" w:rsidRPr="00ED7E61" w:rsidRDefault="00244419" w:rsidP="00244419">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6FE45C83" w14:textId="4BE4BC76"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Target 10. 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r w:rsidRPr="00ED7E61">
        <w:rPr>
          <w:rStyle w:val="eop"/>
          <w:rFonts w:asciiTheme="majorBidi" w:eastAsiaTheme="majorEastAsia" w:hAnsiTheme="majorBidi" w:cstheme="majorBidi"/>
          <w:sz w:val="22"/>
          <w:szCs w:val="22"/>
        </w:rPr>
        <w:t> </w:t>
      </w:r>
    </w:p>
    <w:p w14:paraId="26BDEF39" w14:textId="77777777" w:rsidR="00244419" w:rsidRPr="00ED7E61" w:rsidRDefault="00244419" w:rsidP="00244419">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5F8F2B42" w14:textId="77777777" w:rsidR="00244419" w:rsidRPr="00ED7E61" w:rsidRDefault="00244419" w:rsidP="00244419">
      <w:pPr>
        <w:pStyle w:val="CBDNormalNumber"/>
        <w:numPr>
          <w:ilvl w:val="0"/>
          <w:numId w:val="82"/>
        </w:numPr>
        <w:shd w:val="clear" w:color="auto" w:fill="FFFFFF"/>
        <w:tabs>
          <w:tab w:val="clear" w:pos="1701"/>
        </w:tabs>
        <w:ind w:left="567" w:hanging="24"/>
        <w:rPr>
          <w:rFonts w:asciiTheme="majorBidi" w:eastAsia="Garamond" w:hAnsiTheme="majorBidi" w:cstheme="majorBidi"/>
          <w:color w:val="000000" w:themeColor="text1"/>
          <w:lang w:val="en-US"/>
        </w:rPr>
      </w:pPr>
      <w:r w:rsidRPr="00ED7E61">
        <w:rPr>
          <w:rFonts w:eastAsia="Garamond"/>
          <w:color w:val="000000" w:themeColor="text1"/>
          <w:lang w:val="en-US"/>
        </w:rPr>
        <w:t xml:space="preserve">The approaches to framing and defining sustainable agriculture vary in terms of their coverage of the three primary dimensions of sustainability, i.e. economic, environmental and social, and in terms of the scale that is used to assess sustainability, i.e. </w:t>
      </w:r>
      <w:proofErr w:type="gramStart"/>
      <w:r w:rsidRPr="00ED7E61">
        <w:rPr>
          <w:rFonts w:eastAsia="Garamond"/>
          <w:color w:val="000000" w:themeColor="text1"/>
          <w:lang w:val="en-US"/>
        </w:rPr>
        <w:t>from field and farm scales,</w:t>
      </w:r>
      <w:proofErr w:type="gramEnd"/>
      <w:r w:rsidRPr="00ED7E61">
        <w:rPr>
          <w:rFonts w:eastAsia="Garamond"/>
          <w:color w:val="000000" w:themeColor="text1"/>
          <w:lang w:val="en-US"/>
        </w:rPr>
        <w:t xml:space="preserve"> to national and global scales. Some approaches consider different features of sustainability, for example whether current practices are economically feasible, environmentally friendly and socially desirable. Other approaches focus on </w:t>
      </w:r>
      <w:proofErr w:type="gramStart"/>
      <w:r w:rsidRPr="00ED7E61">
        <w:rPr>
          <w:rFonts w:eastAsia="Garamond"/>
          <w:color w:val="000000" w:themeColor="text1"/>
          <w:lang w:val="en-US"/>
        </w:rPr>
        <w:t>particular practices</w:t>
      </w:r>
      <w:proofErr w:type="gramEnd"/>
      <w:r w:rsidRPr="00ED7E61">
        <w:rPr>
          <w:rFonts w:eastAsia="Garamond"/>
          <w:color w:val="000000" w:themeColor="text1"/>
          <w:lang w:val="en-US"/>
        </w:rPr>
        <w:t xml:space="preserve"> such as organic, regenerative or low-input agriculture and can equate these with sustainable agriculture. The conclusion from a literature review associated with the methodological development of this indicator is that the multi-dimensional approach developed by FAO in 1988 is a meaningful framing of the concept. Thus, sustainable agriculture can be considered as “</w:t>
      </w:r>
      <w:r w:rsidRPr="00FB1598">
        <w:rPr>
          <w:rFonts w:eastAsia="Garamond"/>
          <w:i/>
          <w:iCs/>
          <w:color w:val="000000" w:themeColor="text1"/>
          <w:lang w:val="en-US"/>
        </w:rPr>
        <w:t>the management and conservation of the natural resource base, and the orientation of technological and institutional change in such a manner as to ensure the attainment and continued satisfaction of human needs for present and future generation. Such development (in agriculture, forestry and fishing etc.) conserves land, water, plant and animal genetic resources, environmentally non-degrading, technically appropriate, economically viable and socially acceptable</w:t>
      </w:r>
      <w:r w:rsidRPr="00ED7E61">
        <w:rPr>
          <w:rFonts w:eastAsia="Garamond"/>
          <w:color w:val="000000" w:themeColor="text1"/>
          <w:lang w:val="en-US"/>
        </w:rPr>
        <w:t>.” (FAO, 1988) </w:t>
      </w:r>
    </w:p>
    <w:p w14:paraId="127B5CBE"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21A1AFBB"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52DF5014" w14:textId="77777777" w:rsidR="00244419" w:rsidRPr="00ED7E61" w:rsidRDefault="00244419" w:rsidP="00244419">
      <w:pPr>
        <w:pStyle w:val="CBDNormalNumber"/>
        <w:numPr>
          <w:ilvl w:val="0"/>
          <w:numId w:val="82"/>
        </w:numPr>
        <w:shd w:val="clear" w:color="auto" w:fill="FFFFFF"/>
        <w:ind w:left="567" w:firstLine="0"/>
        <w:rPr>
          <w:rFonts w:eastAsia="Garamond"/>
          <w:color w:val="000000" w:themeColor="text1"/>
          <w:lang w:val="en-US"/>
        </w:rPr>
      </w:pPr>
      <w:r w:rsidRPr="00ED7E61">
        <w:rPr>
          <w:rFonts w:eastAsia="Garamond"/>
          <w:color w:val="000000" w:themeColor="text1"/>
          <w:lang w:val="en-US"/>
        </w:rPr>
        <w:t>The indicator is defined by the formula: </w:t>
      </w:r>
    </w:p>
    <w:p w14:paraId="5C10037A" w14:textId="77777777" w:rsidR="00244419" w:rsidRPr="007A5A7E" w:rsidRDefault="00244419" w:rsidP="00244419">
      <w:pPr>
        <w:pStyle w:val="paragraph"/>
        <w:spacing w:before="0" w:beforeAutospacing="0" w:after="0" w:afterAutospacing="0"/>
        <w:textAlignment w:val="baseline"/>
        <w:rPr>
          <w:sz w:val="22"/>
          <w:szCs w:val="22"/>
        </w:rPr>
      </w:pPr>
      <w:r w:rsidRPr="007A5A7E">
        <w:rPr>
          <w:rStyle w:val="normaltextrun"/>
          <w:rFonts w:ascii="Cambria Math" w:eastAsiaTheme="majorEastAsia" w:hAnsi="Cambria Math" w:cs="Cambria Math"/>
          <w:sz w:val="22"/>
          <w:szCs w:val="22"/>
          <w:lang w:val="en-GB"/>
        </w:rPr>
        <w:t>𝐴𝑟𝑒𝑎</w:t>
      </w:r>
      <w:r w:rsidRPr="007A5A7E">
        <w:rPr>
          <w:rStyle w:val="normaltextrun"/>
          <w:rFonts w:eastAsiaTheme="majorEastAsia"/>
          <w:sz w:val="22"/>
          <w:szCs w:val="22"/>
          <w:lang w:val="en-GB"/>
        </w:rPr>
        <w:t xml:space="preserve"> </w:t>
      </w:r>
      <w:r w:rsidRPr="007A5A7E">
        <w:rPr>
          <w:rStyle w:val="normaltextrun"/>
          <w:rFonts w:ascii="Cambria Math" w:eastAsiaTheme="majorEastAsia" w:hAnsi="Cambria Math" w:cs="Cambria Math"/>
          <w:sz w:val="22"/>
          <w:szCs w:val="22"/>
          <w:lang w:val="en-GB"/>
        </w:rPr>
        <w:t>𝑢𝑛𝑑𝑒𝑟</w:t>
      </w:r>
      <w:r w:rsidRPr="007A5A7E">
        <w:rPr>
          <w:rStyle w:val="normaltextrun"/>
          <w:rFonts w:eastAsiaTheme="majorEastAsia"/>
          <w:sz w:val="22"/>
          <w:szCs w:val="22"/>
          <w:lang w:val="en-GB"/>
        </w:rPr>
        <w:t xml:space="preserve"> </w:t>
      </w:r>
      <w:r w:rsidRPr="007A5A7E">
        <w:rPr>
          <w:rStyle w:val="normaltextrun"/>
          <w:rFonts w:ascii="Cambria Math" w:eastAsiaTheme="majorEastAsia" w:hAnsi="Cambria Math" w:cs="Cambria Math"/>
          <w:sz w:val="22"/>
          <w:szCs w:val="22"/>
          <w:lang w:val="en-GB"/>
        </w:rPr>
        <w:t>𝑝𝑟𝑜𝑑𝑢𝑐𝑡𝑖𝑣𝑒</w:t>
      </w:r>
      <w:r w:rsidRPr="007A5A7E">
        <w:rPr>
          <w:rStyle w:val="normaltextrun"/>
          <w:rFonts w:eastAsiaTheme="majorEastAsia"/>
          <w:sz w:val="22"/>
          <w:szCs w:val="22"/>
          <w:lang w:val="en-GB"/>
        </w:rPr>
        <w:t xml:space="preserve"> </w:t>
      </w:r>
      <w:r w:rsidRPr="007A5A7E">
        <w:rPr>
          <w:rStyle w:val="normaltextrun"/>
          <w:rFonts w:ascii="Cambria Math" w:eastAsiaTheme="majorEastAsia" w:hAnsi="Cambria Math" w:cs="Cambria Math"/>
          <w:sz w:val="22"/>
          <w:szCs w:val="22"/>
          <w:lang w:val="en-GB"/>
        </w:rPr>
        <w:t>𝑎𝑛𝑑</w:t>
      </w:r>
      <w:r w:rsidRPr="007A5A7E">
        <w:rPr>
          <w:rStyle w:val="normaltextrun"/>
          <w:rFonts w:eastAsiaTheme="majorEastAsia"/>
          <w:sz w:val="22"/>
          <w:szCs w:val="22"/>
          <w:lang w:val="en-GB"/>
        </w:rPr>
        <w:t xml:space="preserve"> </w:t>
      </w:r>
      <w:r w:rsidRPr="007A5A7E">
        <w:rPr>
          <w:rStyle w:val="normaltextrun"/>
          <w:rFonts w:ascii="Cambria Math" w:eastAsiaTheme="majorEastAsia" w:hAnsi="Cambria Math" w:cs="Cambria Math"/>
          <w:sz w:val="22"/>
          <w:szCs w:val="22"/>
          <w:lang w:val="en-GB"/>
        </w:rPr>
        <w:t>𝑠𝑢𝑠𝑡𝑎𝑖𝑛𝑎𝑏𝑙𝑒</w:t>
      </w:r>
      <w:r w:rsidRPr="007A5A7E">
        <w:rPr>
          <w:rStyle w:val="normaltextrun"/>
          <w:rFonts w:eastAsiaTheme="majorEastAsia"/>
          <w:sz w:val="22"/>
          <w:szCs w:val="22"/>
          <w:lang w:val="en-GB"/>
        </w:rPr>
        <w:t xml:space="preserve"> </w:t>
      </w:r>
      <w:r w:rsidRPr="007A5A7E">
        <w:rPr>
          <w:rStyle w:val="normaltextrun"/>
          <w:rFonts w:ascii="Cambria Math" w:eastAsiaTheme="majorEastAsia" w:hAnsi="Cambria Math" w:cs="Cambria Math"/>
          <w:sz w:val="22"/>
          <w:szCs w:val="22"/>
          <w:lang w:val="en-GB"/>
        </w:rPr>
        <w:t>𝑎𝑔𝑟𝑖𝑐𝑢𝑙𝑡𝑢𝑟𝑒</w:t>
      </w:r>
      <w:r w:rsidRPr="007A5A7E">
        <w:rPr>
          <w:rStyle w:val="normaltextrun"/>
          <w:rFonts w:eastAsiaTheme="majorEastAsia"/>
          <w:sz w:val="22"/>
          <w:szCs w:val="22"/>
          <w:lang w:val="en-GB"/>
        </w:rPr>
        <w:t xml:space="preserve"> /</w:t>
      </w:r>
      <w:r w:rsidRPr="007A5A7E">
        <w:rPr>
          <w:rStyle w:val="normaltextrun"/>
          <w:rFonts w:ascii="Cambria Math" w:eastAsiaTheme="majorEastAsia" w:hAnsi="Cambria Math" w:cs="Cambria Math"/>
          <w:sz w:val="22"/>
          <w:szCs w:val="22"/>
          <w:lang w:val="en-GB"/>
        </w:rPr>
        <w:t>𝐴𝑔𝑟𝑖𝑐𝑢𝑙𝑡𝑢𝑟𝑎𝑙</w:t>
      </w:r>
      <w:r w:rsidRPr="007A5A7E">
        <w:rPr>
          <w:rStyle w:val="normaltextrun"/>
          <w:rFonts w:eastAsiaTheme="majorEastAsia"/>
          <w:sz w:val="22"/>
          <w:szCs w:val="22"/>
          <w:lang w:val="en-GB"/>
        </w:rPr>
        <w:t xml:space="preserve"> </w:t>
      </w:r>
      <w:r w:rsidRPr="007A5A7E">
        <w:rPr>
          <w:rStyle w:val="normaltextrun"/>
          <w:rFonts w:ascii="Cambria Math" w:eastAsiaTheme="majorEastAsia" w:hAnsi="Cambria Math" w:cs="Cambria Math"/>
          <w:sz w:val="22"/>
          <w:szCs w:val="22"/>
          <w:lang w:val="en-GB"/>
        </w:rPr>
        <w:t>𝑙𝑎𝑛𝑑</w:t>
      </w:r>
      <w:r w:rsidRPr="007A5A7E">
        <w:rPr>
          <w:rStyle w:val="normaltextrun"/>
          <w:rFonts w:eastAsiaTheme="majorEastAsia"/>
          <w:sz w:val="22"/>
          <w:szCs w:val="22"/>
          <w:lang w:val="en-GB"/>
        </w:rPr>
        <w:t xml:space="preserve"> </w:t>
      </w:r>
      <w:r w:rsidRPr="007A5A7E">
        <w:rPr>
          <w:rStyle w:val="normaltextrun"/>
          <w:rFonts w:ascii="Cambria Math" w:eastAsiaTheme="majorEastAsia" w:hAnsi="Cambria Math" w:cs="Cambria Math"/>
          <w:sz w:val="22"/>
          <w:szCs w:val="22"/>
          <w:lang w:val="en-GB"/>
        </w:rPr>
        <w:t>𝑎𝑟𝑒𝑎</w:t>
      </w:r>
    </w:p>
    <w:p w14:paraId="6D6254F5" w14:textId="77777777" w:rsidR="00244419" w:rsidRPr="00ED7E61" w:rsidRDefault="00244419" w:rsidP="00244419">
      <w:pPr>
        <w:pStyle w:val="CBDNormalNumber"/>
        <w:numPr>
          <w:ilvl w:val="0"/>
          <w:numId w:val="82"/>
        </w:numPr>
        <w:shd w:val="clear" w:color="auto" w:fill="FFFFFF"/>
        <w:ind w:left="567" w:firstLine="0"/>
        <w:rPr>
          <w:rFonts w:eastAsia="Garamond"/>
          <w:color w:val="000000" w:themeColor="text1"/>
          <w:lang w:val="en-US"/>
        </w:rPr>
      </w:pPr>
      <w:r w:rsidRPr="00ED7E61">
        <w:rPr>
          <w:rFonts w:eastAsia="Garamond"/>
          <w:color w:val="000000" w:themeColor="text1"/>
          <w:lang w:val="en-US"/>
        </w:rPr>
        <w:t>This implies the need to measure both the extent of land under productive and sustainable agriculture (the numerator), as well as the extent of agriculture land area (the denominator).  </w:t>
      </w:r>
    </w:p>
    <w:p w14:paraId="70621B95" w14:textId="77777777" w:rsidR="00244419" w:rsidRPr="00ED7E61" w:rsidRDefault="00244419" w:rsidP="00244419">
      <w:pPr>
        <w:pStyle w:val="CBDNormalNumber"/>
        <w:numPr>
          <w:ilvl w:val="0"/>
          <w:numId w:val="82"/>
        </w:numPr>
        <w:shd w:val="clear" w:color="auto" w:fill="FFFFFF"/>
        <w:ind w:left="567" w:firstLine="0"/>
        <w:rPr>
          <w:rFonts w:eastAsia="Garamond"/>
          <w:color w:val="000000" w:themeColor="text1"/>
          <w:lang w:val="en-US"/>
        </w:rPr>
      </w:pPr>
      <w:r w:rsidRPr="00ED7E61">
        <w:rPr>
          <w:rFonts w:eastAsia="Garamond"/>
          <w:color w:val="000000" w:themeColor="text1"/>
          <w:lang w:val="en-US"/>
        </w:rPr>
        <w:lastRenderedPageBreak/>
        <w:t>The numerator captures the three dimensions of sustainable production: environmental, economic and social. It corresponds to agricultural land area of the farms that satisfy the sustainability criteria of the 11 sub-indicators selected across all three dimensions</w:t>
      </w:r>
      <w:r w:rsidRPr="00FB1598">
        <w:rPr>
          <w:rFonts w:eastAsia="Garamond"/>
          <w:color w:val="000000" w:themeColor="text1"/>
          <w:vertAlign w:val="superscript"/>
          <w:lang w:val="en-US"/>
        </w:rPr>
        <w:footnoteReference w:id="32"/>
      </w:r>
      <w:r>
        <w:rPr>
          <w:rFonts w:eastAsia="Garamond"/>
          <w:color w:val="000000" w:themeColor="text1"/>
          <w:lang w:val="en-US"/>
        </w:rPr>
        <w:t xml:space="preserve">. </w:t>
      </w:r>
    </w:p>
    <w:p w14:paraId="7EC92893" w14:textId="77777777" w:rsidR="00244419" w:rsidRPr="00ED7E61" w:rsidRDefault="00244419" w:rsidP="00244419">
      <w:pPr>
        <w:pStyle w:val="CBDNormalNumber"/>
        <w:numPr>
          <w:ilvl w:val="0"/>
          <w:numId w:val="82"/>
        </w:numPr>
        <w:shd w:val="clear" w:color="auto" w:fill="FFFFFF"/>
        <w:ind w:left="567" w:firstLine="0"/>
        <w:rPr>
          <w:rFonts w:eastAsia="Garamond"/>
          <w:color w:val="000000" w:themeColor="text1"/>
          <w:lang w:val="en-US"/>
        </w:rPr>
      </w:pPr>
      <w:r w:rsidRPr="00ED7E61">
        <w:rPr>
          <w:rFonts w:eastAsia="Garamond"/>
          <w:color w:val="000000" w:themeColor="text1"/>
          <w:lang w:val="en-US"/>
        </w:rPr>
        <w:t>The denominator in turn the sum of agricultural land area (as defined by FAO) utilized by agricultural holdings that are owned (excluding rented-out), rented-in, leased, sharecropped or borrowed. State or communal land used by farm holdings is not included. Please see the methodological document</w:t>
      </w:r>
      <w:r w:rsidRPr="00FB1598">
        <w:rPr>
          <w:rFonts w:eastAsia="Garamond"/>
          <w:color w:val="000000" w:themeColor="text1"/>
          <w:vertAlign w:val="superscript"/>
          <w:lang w:val="en-US"/>
        </w:rPr>
        <w:footnoteReference w:id="33"/>
      </w:r>
      <w:r w:rsidRPr="00ED7E61">
        <w:rPr>
          <w:rFonts w:eastAsia="Garamond"/>
          <w:color w:val="000000" w:themeColor="text1"/>
          <w:lang w:val="en-US"/>
        </w:rPr>
        <w:t xml:space="preserve"> prepared by FAO for a more detailed explanation.  </w:t>
      </w:r>
    </w:p>
    <w:p w14:paraId="06267C94"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scope of the indicator is the agricultural farm holding, and more precisely the agricultural land area of the farm holdings, i.e. land used primarily to grow crops and raise livestock. This choice of scope is fully consistent with the intended use of a country’s agricultural land area as the denominator of the aggregate indicator. Specifically, the following are:</w:t>
      </w:r>
      <w:r w:rsidRPr="00ED7E61">
        <w:rPr>
          <w:rStyle w:val="eop"/>
          <w:rFonts w:asciiTheme="majorBidi" w:eastAsiaTheme="majorEastAsia" w:hAnsiTheme="majorBidi" w:cstheme="majorBidi"/>
        </w:rPr>
        <w:t> </w:t>
      </w:r>
    </w:p>
    <w:p w14:paraId="0D85DFE8"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Included within scope:</w:t>
      </w:r>
      <w:r w:rsidRPr="00ED7E61">
        <w:rPr>
          <w:rStyle w:val="eop"/>
          <w:rFonts w:asciiTheme="majorBidi" w:eastAsiaTheme="majorEastAsia" w:hAnsiTheme="majorBidi" w:cstheme="majorBidi"/>
        </w:rPr>
        <w:t> </w:t>
      </w:r>
    </w:p>
    <w:p w14:paraId="63EB8C37"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Intensive and extensive crops and livestock production systems.  </w:t>
      </w:r>
    </w:p>
    <w:p w14:paraId="5E6EF804"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Subsistence agriculture. </w:t>
      </w:r>
    </w:p>
    <w:p w14:paraId="622D89B8"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State and common land when used exclusively and managed by the farm holdings. </w:t>
      </w:r>
    </w:p>
    <w:p w14:paraId="080930A3" w14:textId="77777777" w:rsidR="00244419"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 xml:space="preserve">Food and non-food crops and livestock products (e.g. tobacco, cotton, and sheep wool). </w:t>
      </w:r>
    </w:p>
    <w:p w14:paraId="639B9A0E"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Crops grown for fodder or for energy purposes.  </w:t>
      </w:r>
    </w:p>
    <w:p w14:paraId="6371F7CE"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proofErr w:type="spellStart"/>
      <w:r w:rsidRPr="00ED7E61">
        <w:rPr>
          <w:rStyle w:val="normaltextrun"/>
          <w:shd w:val="clear" w:color="auto" w:fill="FFFFFF"/>
        </w:rPr>
        <w:t>Agro</w:t>
      </w:r>
      <w:proofErr w:type="spellEnd"/>
      <w:r w:rsidRPr="00ED7E61">
        <w:rPr>
          <w:rStyle w:val="normaltextrun"/>
          <w:shd w:val="clear" w:color="auto" w:fill="FFFFFF"/>
        </w:rPr>
        <w:t>-forestry (trees on the agriculture land areas of the farm) and Aquaculture, to the extent that it takes place within the agricultural land area of the farm as secondary activities. For example, rice fish farming and similar systems.  </w:t>
      </w:r>
    </w:p>
    <w:p w14:paraId="263C892E" w14:textId="77777777" w:rsidR="00244419" w:rsidRPr="00ED7E61" w:rsidRDefault="00244419" w:rsidP="00244419">
      <w:pPr>
        <w:pStyle w:val="CBDNormalNumber"/>
        <w:numPr>
          <w:ilvl w:val="0"/>
          <w:numId w:val="82"/>
        </w:numPr>
        <w:shd w:val="clear" w:color="auto" w:fill="FFFFFF"/>
        <w:ind w:left="567" w:firstLine="0"/>
        <w:rPr>
          <w:rFonts w:eastAsia="Garamond"/>
          <w:color w:val="000000" w:themeColor="text1"/>
          <w:lang w:val="en-US"/>
        </w:rPr>
      </w:pPr>
      <w:r w:rsidRPr="00ED7E61">
        <w:rPr>
          <w:rFonts w:eastAsia="Garamond"/>
          <w:color w:val="000000" w:themeColor="text1"/>
          <w:lang w:val="en-US"/>
        </w:rPr>
        <w:t>Excluded from scope:  </w:t>
      </w:r>
    </w:p>
    <w:p w14:paraId="7B678066" w14:textId="77777777" w:rsidR="00244419" w:rsidRPr="00ED7E61" w:rsidRDefault="00244419" w:rsidP="00244419">
      <w:pPr>
        <w:pStyle w:val="CBDNormalNumber"/>
        <w:numPr>
          <w:ilvl w:val="1"/>
          <w:numId w:val="82"/>
        </w:numPr>
        <w:tabs>
          <w:tab w:val="clear" w:pos="567"/>
          <w:tab w:val="clear" w:pos="1134"/>
          <w:tab w:val="clear" w:pos="2268"/>
          <w:tab w:val="left" w:pos="1985"/>
        </w:tabs>
        <w:ind w:left="1134" w:firstLine="56"/>
        <w:rPr>
          <w:rStyle w:val="normaltextrun"/>
          <w:shd w:val="clear" w:color="auto" w:fill="FFFFFF"/>
        </w:rPr>
      </w:pPr>
      <w:r w:rsidRPr="00ED7E61">
        <w:rPr>
          <w:rStyle w:val="normaltextrun"/>
          <w:shd w:val="clear" w:color="auto" w:fill="FFFFFF"/>
        </w:rPr>
        <w:t>State and common land not used exclusively by the farm holding.  </w:t>
      </w:r>
    </w:p>
    <w:p w14:paraId="4CB5CF53" w14:textId="77777777" w:rsidR="00244419" w:rsidRPr="00ED7E61" w:rsidRDefault="00244419" w:rsidP="00244419">
      <w:pPr>
        <w:pStyle w:val="CBDNormalNumber"/>
        <w:numPr>
          <w:ilvl w:val="1"/>
          <w:numId w:val="82"/>
        </w:numPr>
        <w:tabs>
          <w:tab w:val="clear" w:pos="567"/>
          <w:tab w:val="clear" w:pos="1134"/>
          <w:tab w:val="clear" w:pos="2268"/>
          <w:tab w:val="left" w:pos="1985"/>
        </w:tabs>
        <w:ind w:left="1134" w:firstLine="56"/>
        <w:rPr>
          <w:rStyle w:val="normaltextrun"/>
          <w:shd w:val="clear" w:color="auto" w:fill="FFFFFF"/>
        </w:rPr>
      </w:pPr>
      <w:r w:rsidRPr="00ED7E61">
        <w:rPr>
          <w:rStyle w:val="normaltextrun"/>
          <w:shd w:val="clear" w:color="auto" w:fill="FFFFFF"/>
        </w:rPr>
        <w:t>Nomadic pastoralism.  </w:t>
      </w:r>
    </w:p>
    <w:p w14:paraId="75DF902C" w14:textId="77777777" w:rsidR="00244419" w:rsidRPr="00ED7E61" w:rsidRDefault="00244419" w:rsidP="00244419">
      <w:pPr>
        <w:pStyle w:val="CBDNormalNumber"/>
        <w:numPr>
          <w:ilvl w:val="1"/>
          <w:numId w:val="82"/>
        </w:numPr>
        <w:tabs>
          <w:tab w:val="clear" w:pos="567"/>
          <w:tab w:val="clear" w:pos="1134"/>
          <w:tab w:val="clear" w:pos="2268"/>
          <w:tab w:val="left" w:pos="1985"/>
        </w:tabs>
        <w:ind w:left="1134" w:firstLine="56"/>
        <w:rPr>
          <w:rStyle w:val="normaltextrun"/>
          <w:shd w:val="clear" w:color="auto" w:fill="FFFFFF"/>
        </w:rPr>
      </w:pPr>
      <w:r w:rsidRPr="00ED7E61">
        <w:rPr>
          <w:rStyle w:val="normaltextrun"/>
          <w:shd w:val="clear" w:color="auto" w:fill="FFFFFF"/>
        </w:rPr>
        <w:t>Production from gardens and backyards. Production from hobby farms  </w:t>
      </w:r>
    </w:p>
    <w:p w14:paraId="1CAACCD7" w14:textId="77777777" w:rsidR="00244419" w:rsidRPr="00ED7E61" w:rsidRDefault="00244419" w:rsidP="00244419">
      <w:pPr>
        <w:pStyle w:val="CBDNormalNumber"/>
        <w:numPr>
          <w:ilvl w:val="1"/>
          <w:numId w:val="82"/>
        </w:numPr>
        <w:tabs>
          <w:tab w:val="clear" w:pos="567"/>
          <w:tab w:val="clear" w:pos="1134"/>
          <w:tab w:val="clear" w:pos="2268"/>
          <w:tab w:val="left" w:pos="1985"/>
        </w:tabs>
        <w:ind w:left="1134" w:firstLine="56"/>
        <w:rPr>
          <w:rStyle w:val="normaltextrun"/>
          <w:shd w:val="clear" w:color="auto" w:fill="FFFFFF"/>
        </w:rPr>
      </w:pPr>
      <w:r w:rsidRPr="00ED7E61">
        <w:rPr>
          <w:rStyle w:val="normaltextrun"/>
          <w:shd w:val="clear" w:color="auto" w:fill="FFFFFF"/>
        </w:rPr>
        <w:t>Holdings focusing exclusively on aquaculture.  </w:t>
      </w:r>
    </w:p>
    <w:p w14:paraId="5F811A76" w14:textId="77777777" w:rsidR="00244419" w:rsidRPr="00ED7E61" w:rsidRDefault="00244419" w:rsidP="00244419">
      <w:pPr>
        <w:pStyle w:val="CBDNormalNumber"/>
        <w:numPr>
          <w:ilvl w:val="1"/>
          <w:numId w:val="82"/>
        </w:numPr>
        <w:tabs>
          <w:tab w:val="clear" w:pos="567"/>
          <w:tab w:val="clear" w:pos="1134"/>
          <w:tab w:val="clear" w:pos="2268"/>
          <w:tab w:val="left" w:pos="1985"/>
        </w:tabs>
        <w:ind w:left="1134" w:firstLine="56"/>
        <w:rPr>
          <w:rStyle w:val="normaltextrun"/>
          <w:shd w:val="clear" w:color="auto" w:fill="FFFFFF"/>
        </w:rPr>
      </w:pPr>
      <w:r w:rsidRPr="00ED7E61">
        <w:rPr>
          <w:rStyle w:val="normaltextrun"/>
          <w:shd w:val="clear" w:color="auto" w:fill="FFFFFF"/>
        </w:rPr>
        <w:t>Holdings focusing exclusively on forestry.  </w:t>
      </w:r>
    </w:p>
    <w:p w14:paraId="76E11035" w14:textId="77777777" w:rsidR="00244419" w:rsidRPr="00ED7E61" w:rsidRDefault="00244419" w:rsidP="00244419">
      <w:pPr>
        <w:pStyle w:val="CBDNormalNumber"/>
        <w:numPr>
          <w:ilvl w:val="1"/>
          <w:numId w:val="82"/>
        </w:numPr>
        <w:tabs>
          <w:tab w:val="clear" w:pos="567"/>
          <w:tab w:val="clear" w:pos="1134"/>
          <w:tab w:val="clear" w:pos="2268"/>
          <w:tab w:val="left" w:pos="1985"/>
        </w:tabs>
        <w:ind w:left="1134" w:firstLine="56"/>
        <w:rPr>
          <w:rStyle w:val="eop"/>
          <w:rFonts w:asciiTheme="majorBidi" w:hAnsiTheme="majorBidi" w:cstheme="majorBidi"/>
        </w:rPr>
      </w:pPr>
      <w:r w:rsidRPr="00ED7E61">
        <w:rPr>
          <w:rStyle w:val="normaltextrun"/>
          <w:shd w:val="clear" w:color="auto" w:fill="FFFFFF"/>
        </w:rPr>
        <w:t>Food harvested from the wild. </w:t>
      </w:r>
    </w:p>
    <w:p w14:paraId="3337BE4F" w14:textId="77777777" w:rsidR="00244419" w:rsidRPr="00ED7E61" w:rsidRDefault="00244419" w:rsidP="00244419">
      <w:pPr>
        <w:pStyle w:val="CBDNormalNumber"/>
        <w:numPr>
          <w:ilvl w:val="0"/>
          <w:numId w:val="82"/>
        </w:numPr>
        <w:shd w:val="clear" w:color="auto" w:fill="FFFFFF"/>
        <w:ind w:left="567" w:firstLine="0"/>
        <w:rPr>
          <w:rFonts w:eastAsia="Garamond"/>
          <w:color w:val="000000" w:themeColor="text1"/>
          <w:lang w:val="en-US"/>
        </w:rPr>
      </w:pPr>
      <w:r w:rsidRPr="00ED7E61">
        <w:rPr>
          <w:rFonts w:eastAsia="Garamond"/>
          <w:color w:val="000000" w:themeColor="text1"/>
          <w:lang w:val="en-US"/>
        </w:rPr>
        <w:t xml:space="preserve">Concepts: The literature review (Hayati, 2017) identified </w:t>
      </w:r>
      <w:proofErr w:type="gramStart"/>
      <w:r w:rsidRPr="00ED7E61">
        <w:rPr>
          <w:rFonts w:eastAsia="Garamond"/>
          <w:color w:val="000000" w:themeColor="text1"/>
          <w:lang w:val="en-US"/>
        </w:rPr>
        <w:t>a large number of</w:t>
      </w:r>
      <w:proofErr w:type="gramEnd"/>
      <w:r w:rsidRPr="00ED7E61">
        <w:rPr>
          <w:rFonts w:eastAsia="Garamond"/>
          <w:color w:val="000000" w:themeColor="text1"/>
          <w:lang w:val="en-US"/>
        </w:rPr>
        <w:t xml:space="preserve"> potential sustainability themes across the three dimensions of sustainability and, for each theme, usually </w:t>
      </w:r>
      <w:proofErr w:type="gramStart"/>
      <w:r w:rsidRPr="00ED7E61">
        <w:rPr>
          <w:rFonts w:eastAsia="Garamond"/>
          <w:color w:val="000000" w:themeColor="text1"/>
          <w:lang w:val="en-US"/>
        </w:rPr>
        <w:t>a large number of</w:t>
      </w:r>
      <w:proofErr w:type="gramEnd"/>
      <w:r w:rsidRPr="00ED7E61">
        <w:rPr>
          <w:rFonts w:eastAsia="Garamond"/>
          <w:color w:val="000000" w:themeColor="text1"/>
          <w:lang w:val="en-US"/>
        </w:rPr>
        <w:t xml:space="preserve"> possible sub</w:t>
      </w:r>
      <w:r>
        <w:rPr>
          <w:rFonts w:eastAsia="Garamond"/>
          <w:color w:val="000000" w:themeColor="text1"/>
          <w:lang w:val="en-US"/>
        </w:rPr>
        <w:t>-</w:t>
      </w:r>
      <w:r w:rsidRPr="00ED7E61">
        <w:rPr>
          <w:rFonts w:eastAsia="Garamond"/>
          <w:color w:val="000000" w:themeColor="text1"/>
          <w:lang w:val="en-US"/>
        </w:rPr>
        <w:t>indicators. The key considerations in the selection of themes are relevance and measurability. In terms of relevance, the relationship between the associated sub-indicator and sustainable agriculture outcomes at farm level should be strong. Following this approach, only sub-indicators that are responsive to farm level policies aimed at improving sustainable agriculture are considered. In terms of measurability, only a “</w:t>
      </w:r>
      <w:r w:rsidRPr="00FB1598">
        <w:rPr>
          <w:rFonts w:eastAsia="Garamond"/>
          <w:i/>
          <w:iCs/>
          <w:color w:val="000000" w:themeColor="text1"/>
          <w:lang w:val="en-US"/>
        </w:rPr>
        <w:t>core</w:t>
      </w:r>
      <w:r w:rsidRPr="00ED7E61">
        <w:rPr>
          <w:rFonts w:eastAsia="Garamond"/>
          <w:color w:val="000000" w:themeColor="text1"/>
          <w:lang w:val="en-US"/>
        </w:rPr>
        <w:t xml:space="preserve">” set of themes and sub-indicators for which measurement and reporting is expected in </w:t>
      </w:r>
      <w:proofErr w:type="gramStart"/>
      <w:r w:rsidRPr="00ED7E61">
        <w:rPr>
          <w:rFonts w:eastAsia="Garamond"/>
          <w:color w:val="000000" w:themeColor="text1"/>
          <w:lang w:val="en-US"/>
        </w:rPr>
        <w:t>the majority of</w:t>
      </w:r>
      <w:proofErr w:type="gramEnd"/>
      <w:r w:rsidRPr="00ED7E61">
        <w:rPr>
          <w:rFonts w:eastAsia="Garamond"/>
          <w:color w:val="000000" w:themeColor="text1"/>
          <w:lang w:val="en-US"/>
        </w:rPr>
        <w:t xml:space="preserve"> countries are selected. </w:t>
      </w:r>
    </w:p>
    <w:p w14:paraId="7C8CBCAE" w14:textId="77777777" w:rsidR="00244419" w:rsidRPr="00ED7E61" w:rsidRDefault="00244419" w:rsidP="00244419">
      <w:pPr>
        <w:pStyle w:val="CBDNormalNumber"/>
        <w:numPr>
          <w:ilvl w:val="0"/>
          <w:numId w:val="82"/>
        </w:numPr>
        <w:shd w:val="clear" w:color="auto" w:fill="FFFFFF"/>
        <w:ind w:left="567" w:firstLine="0"/>
      </w:pPr>
      <w:r w:rsidRPr="00ED7E61">
        <w:t xml:space="preserve">A key aspect of all approaches to measuring sustainable agriculture is the recognition that sustainability is a multi-dimensional concept, and that these multiple dimensions need to be reflected </w:t>
      </w:r>
      <w:r w:rsidRPr="00ED7E61">
        <w:lastRenderedPageBreak/>
        <w:t xml:space="preserve">in the construction of the indicator. This implies that SDG indicator 2.4.1 must be based on a set of sub-indicators that cover these three dimensions. </w:t>
      </w:r>
    </w:p>
    <w:p w14:paraId="3E2F5333" w14:textId="77777777" w:rsidR="00244419" w:rsidRPr="00ED7E61" w:rsidRDefault="00244419" w:rsidP="00244419">
      <w:pPr>
        <w:pStyle w:val="CBDNormalNumber"/>
        <w:numPr>
          <w:ilvl w:val="0"/>
          <w:numId w:val="82"/>
        </w:numPr>
        <w:shd w:val="clear" w:color="auto" w:fill="FFFFFF"/>
        <w:ind w:left="567" w:firstLine="0"/>
      </w:pPr>
      <w:r w:rsidRPr="00ED7E61">
        <w:t xml:space="preserve">Through a consultative process that has lasted over two years, 11 themes and sub-indicators have been identified, which make up SDG 2.4.1. </w:t>
      </w:r>
    </w:p>
    <w:p w14:paraId="3897AC43"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sidRPr="00ED7E61">
        <w:rPr>
          <w:rFonts w:asciiTheme="majorBidi" w:hAnsiTheme="majorBidi" w:cstheme="majorBidi"/>
          <w:noProof/>
          <w:sz w:val="22"/>
          <w:szCs w:val="22"/>
          <w:lang w:val="fr-FR" w:eastAsia="fr-FR"/>
        </w:rPr>
        <w:drawing>
          <wp:inline distT="0" distB="0" distL="0" distR="0" wp14:anchorId="3D409AFE" wp14:editId="7286C448">
            <wp:extent cx="5762625" cy="2476500"/>
            <wp:effectExtent l="0" t="0" r="9525" b="0"/>
            <wp:docPr id="511147328" name="Picture 1" descr="A table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47328" name="Picture 1" descr="A table with text and images&#10;&#10;Description automatically generated with medium confidence"/>
                    <pic:cNvPicPr/>
                  </pic:nvPicPr>
                  <pic:blipFill rotWithShape="1">
                    <a:blip r:embed="rId390"/>
                    <a:srcRect t="1887"/>
                    <a:stretch/>
                  </pic:blipFill>
                  <pic:spPr bwMode="auto">
                    <a:xfrm>
                      <a:off x="0" y="0"/>
                      <a:ext cx="5762625" cy="2476500"/>
                    </a:xfrm>
                    <a:prstGeom prst="rect">
                      <a:avLst/>
                    </a:prstGeom>
                    <a:ln>
                      <a:noFill/>
                    </a:ln>
                    <a:extLst>
                      <a:ext uri="{53640926-AAD7-44D8-BBD7-CCE9431645EC}">
                        <a14:shadowObscured xmlns:a14="http://schemas.microsoft.com/office/drawing/2010/main"/>
                      </a:ext>
                    </a:extLst>
                  </pic:spPr>
                </pic:pic>
              </a:graphicData>
            </a:graphic>
          </wp:inline>
        </w:drawing>
      </w:r>
    </w:p>
    <w:p w14:paraId="2DB84CEC"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p>
    <w:p w14:paraId="126BD79F"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sidRPr="00ED7E61">
        <w:rPr>
          <w:rFonts w:asciiTheme="majorBidi" w:hAnsiTheme="majorBidi" w:cstheme="majorBidi"/>
          <w:sz w:val="22"/>
          <w:szCs w:val="22"/>
        </w:rPr>
        <w:t>Please see the annex of the official metadata sheet (</w:t>
      </w:r>
      <w:hyperlink r:id="rId391" w:history="1">
        <w:r w:rsidRPr="00ED7E61">
          <w:rPr>
            <w:rStyle w:val="Hyperlink"/>
            <w:rFonts w:asciiTheme="majorBidi" w:hAnsiTheme="majorBidi" w:cstheme="majorBidi"/>
            <w:sz w:val="22"/>
            <w:szCs w:val="22"/>
          </w:rPr>
          <w:t>https://unstats.un.org/sdgs/metadata/files/Metadata-02-04-01.pdf</w:t>
        </w:r>
      </w:hyperlink>
      <w:r w:rsidRPr="00ED7E61">
        <w:rPr>
          <w:rFonts w:asciiTheme="majorBidi" w:hAnsiTheme="majorBidi" w:cstheme="majorBidi"/>
          <w:sz w:val="22"/>
          <w:szCs w:val="22"/>
        </w:rPr>
        <w:t>) for a detailed description of the sub-indicators.</w:t>
      </w:r>
    </w:p>
    <w:p w14:paraId="4E3BB917"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p>
    <w:p w14:paraId="64388863"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67D5206B"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t>Steps undertaken to develop the methodology of the indicator include:</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76499CA2"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 xml:space="preserve">Determining the scope of the indicator: The scope of </w:t>
      </w:r>
      <w:r>
        <w:rPr>
          <w:rStyle w:val="normaltextrun"/>
          <w:shd w:val="clear" w:color="auto" w:fill="FFFFFF"/>
        </w:rPr>
        <w:t>i</w:t>
      </w:r>
      <w:r w:rsidRPr="00ED7E61">
        <w:rPr>
          <w:rStyle w:val="normaltextrun"/>
          <w:shd w:val="clear" w:color="auto" w:fill="FFFFFF"/>
        </w:rPr>
        <w:t>ndicator is the agricultural farm holdings, and more precisely the agricultural land area of the farm holdings, i.e. land used primarily to grow crops and raise livestock. Forestry, fisheries and aquaculture activities may be included to the extent that they are secondary activities conducted on the agricultural area of the farm holdings, for example rice fish farming and similar systems </w:t>
      </w:r>
    </w:p>
    <w:p w14:paraId="010AE50C"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Determining the dimensions to be covered: Indicator includes environmental, economic and social dimensions in the sustainability assessment. </w:t>
      </w:r>
    </w:p>
    <w:p w14:paraId="1A01A9F2"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Choosing the scale for the sustainability assessment: Indicator is farm level with aggregation to higher levels. </w:t>
      </w:r>
    </w:p>
    <w:p w14:paraId="4CE15F50"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Selecting the data collection instrument(s). It is recommended that indicator be collected through a farm survey. </w:t>
      </w:r>
    </w:p>
    <w:p w14:paraId="7D126074"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 xml:space="preserve">Selecting the themes within each </w:t>
      </w:r>
      <w:proofErr w:type="gramStart"/>
      <w:r w:rsidRPr="00ED7E61">
        <w:rPr>
          <w:rStyle w:val="normaltextrun"/>
          <w:shd w:val="clear" w:color="auto" w:fill="FFFFFF"/>
        </w:rPr>
        <w:t>dimension, and</w:t>
      </w:r>
      <w:proofErr w:type="gramEnd"/>
      <w:r w:rsidRPr="00ED7E61">
        <w:rPr>
          <w:rStyle w:val="normaltextrun"/>
          <w:shd w:val="clear" w:color="auto" w:fill="FFFFFF"/>
        </w:rPr>
        <w:t xml:space="preserve"> choosing a sub-indicator for each theme. The sub-indicators should satisfy </w:t>
      </w:r>
      <w:proofErr w:type="gramStart"/>
      <w:r w:rsidRPr="00ED7E61">
        <w:rPr>
          <w:rStyle w:val="normaltextrun"/>
          <w:shd w:val="clear" w:color="auto" w:fill="FFFFFF"/>
        </w:rPr>
        <w:t>a number of</w:t>
      </w:r>
      <w:proofErr w:type="gramEnd"/>
      <w:r w:rsidRPr="00ED7E61">
        <w:rPr>
          <w:rStyle w:val="normaltextrun"/>
          <w:shd w:val="clear" w:color="auto" w:fill="FFFFFF"/>
        </w:rPr>
        <w:t xml:space="preserve"> sustainability criteria (described in annex 1 for each sub-indicator in the methodological document</w:t>
      </w:r>
      <w:r>
        <w:rPr>
          <w:rStyle w:val="FootnoteReference"/>
          <w:shd w:val="clear" w:color="auto" w:fill="FFFFFF"/>
        </w:rPr>
        <w:footnoteReference w:id="34"/>
      </w:r>
      <w:r w:rsidRPr="00ED7E61">
        <w:rPr>
          <w:rStyle w:val="normaltextrun"/>
          <w:shd w:val="clear" w:color="auto" w:fill="FFFFFF"/>
        </w:rPr>
        <w:t>). </w:t>
      </w:r>
    </w:p>
    <w:p w14:paraId="450B4950"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 xml:space="preserve">Assessing sustainability performance at farm level for each sub-indicator: Specific sustainability criteria are applied </w:t>
      </w:r>
      <w:proofErr w:type="gramStart"/>
      <w:r w:rsidRPr="00ED7E61">
        <w:rPr>
          <w:rStyle w:val="normaltextrun"/>
          <w:shd w:val="clear" w:color="auto" w:fill="FFFFFF"/>
        </w:rPr>
        <w:t>in order to</w:t>
      </w:r>
      <w:proofErr w:type="gramEnd"/>
      <w:r w:rsidRPr="00ED7E61">
        <w:rPr>
          <w:rStyle w:val="normaltextrun"/>
          <w:shd w:val="clear" w:color="auto" w:fill="FFFFFF"/>
        </w:rPr>
        <w:t xml:space="preserve"> assess the sustainability level of the farm for each theme according to the respective sub-indicators.  </w:t>
      </w:r>
    </w:p>
    <w:p w14:paraId="5D084F9D"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t>Deciding the periodicity of monitoring the indicator. It is recommended to be collected at least every three years.  </w:t>
      </w:r>
    </w:p>
    <w:p w14:paraId="22E313CD" w14:textId="77777777" w:rsidR="00244419" w:rsidRPr="00ED7E61" w:rsidRDefault="00244419" w:rsidP="00244419">
      <w:pPr>
        <w:pStyle w:val="CBDNormalNumber"/>
        <w:numPr>
          <w:ilvl w:val="1"/>
          <w:numId w:val="82"/>
        </w:numPr>
        <w:tabs>
          <w:tab w:val="clear" w:pos="567"/>
          <w:tab w:val="clear" w:pos="1134"/>
          <w:tab w:val="clear" w:pos="2268"/>
          <w:tab w:val="left" w:pos="1985"/>
        </w:tabs>
        <w:ind w:left="567" w:firstLine="567"/>
        <w:rPr>
          <w:rStyle w:val="normaltextrun"/>
          <w:shd w:val="clear" w:color="auto" w:fill="FFFFFF"/>
        </w:rPr>
      </w:pPr>
      <w:r w:rsidRPr="00ED7E61">
        <w:rPr>
          <w:rStyle w:val="normaltextrun"/>
          <w:shd w:val="clear" w:color="auto" w:fill="FFFFFF"/>
        </w:rPr>
        <w:lastRenderedPageBreak/>
        <w:t>Modality of reporting the indicator. The set of sub-indicators are presented in the form of a dashboard. The dashboard approach offers a response in terms of measuring sustainability at farm level and aggregating it at national level. </w:t>
      </w:r>
    </w:p>
    <w:p w14:paraId="7C7B6A2C"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t>The</w:t>
      </w:r>
      <w:r w:rsidRPr="00ED7E61">
        <w:rPr>
          <w:rStyle w:val="normaltextrun"/>
          <w:rFonts w:asciiTheme="majorBidi" w:eastAsiaTheme="majorEastAsia" w:hAnsiTheme="majorBidi" w:cstheme="majorBidi"/>
        </w:rPr>
        <w:t xml:space="preserve"> methodology proposes reporting of indicator through a national-level dashboard, presenting the different sub-indicators together but independently. The dashboard approach offers several advantages, including the possibility of combining data from different sources and identification of critical sustainability issues, facilitating the search for a balance between the three sustainability dimensions. As a result, countries can easily visualize their performance in terms of the different sustainability dimensions and </w:t>
      </w:r>
      <w:proofErr w:type="gramStart"/>
      <w:r w:rsidRPr="00ED7E61">
        <w:rPr>
          <w:rStyle w:val="normaltextrun"/>
          <w:rFonts w:asciiTheme="majorBidi" w:eastAsiaTheme="majorEastAsia" w:hAnsiTheme="majorBidi" w:cstheme="majorBidi"/>
        </w:rPr>
        <w:t>themes, and</w:t>
      </w:r>
      <w:proofErr w:type="gramEnd"/>
      <w:r w:rsidRPr="00ED7E61">
        <w:rPr>
          <w:rStyle w:val="normaltextrun"/>
          <w:rFonts w:asciiTheme="majorBidi" w:eastAsiaTheme="majorEastAsia" w:hAnsiTheme="majorBidi" w:cstheme="majorBidi"/>
        </w:rPr>
        <w:t xml:space="preserve"> understand where policy efforts can be focused for future improvements.</w:t>
      </w:r>
      <w:r w:rsidRPr="00ED7E61">
        <w:rPr>
          <w:rStyle w:val="eop"/>
          <w:rFonts w:asciiTheme="majorBidi" w:eastAsiaTheme="majorEastAsia" w:hAnsiTheme="majorBidi" w:cstheme="majorBidi"/>
        </w:rPr>
        <w:t> </w:t>
      </w:r>
    </w:p>
    <w:p w14:paraId="25A51DDC"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Computation of results and construction of the dashboard are performed for each sub-indicator separately using the </w:t>
      </w:r>
      <w:r>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traffic light</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approach already defined for each sub-indicator: aggregation at national level is performed for each sub-indicator independently, by summing the agricultural land area of each agricultural holdings by sustainability category (red, yellow or green), and reporting the resulting national total as percentage of the total national agricultural land area of all agricultural farm holdings in the country. In practice, the reported value of</w:t>
      </w:r>
      <w:r>
        <w:rPr>
          <w:rStyle w:val="normaltextrun"/>
          <w:rFonts w:asciiTheme="majorBidi" w:eastAsiaTheme="majorEastAsia" w:hAnsiTheme="majorBidi" w:cstheme="majorBidi"/>
        </w:rPr>
        <w:t xml:space="preserve"> the</w:t>
      </w:r>
      <w:r w:rsidRPr="00ED7E61">
        <w:rPr>
          <w:rStyle w:val="normaltextrun"/>
          <w:rFonts w:asciiTheme="majorBidi" w:eastAsiaTheme="majorEastAsia" w:hAnsiTheme="majorBidi" w:cstheme="majorBidi"/>
        </w:rPr>
        <w:t xml:space="preserve"> </w:t>
      </w:r>
      <w:r>
        <w:rPr>
          <w:rStyle w:val="normaltextrun"/>
          <w:rFonts w:asciiTheme="majorBidi" w:eastAsiaTheme="majorEastAsia" w:hAnsiTheme="majorBidi" w:cstheme="majorBidi"/>
        </w:rPr>
        <w:t>i</w:t>
      </w:r>
      <w:r w:rsidRPr="00ED7E61">
        <w:rPr>
          <w:rStyle w:val="normaltextrun"/>
          <w:rFonts w:asciiTheme="majorBidi" w:eastAsiaTheme="majorEastAsia" w:hAnsiTheme="majorBidi" w:cstheme="majorBidi"/>
        </w:rPr>
        <w:t>ndicator is determined by the results of most limiting sub-indicator in terms of sustainability performance.</w:t>
      </w:r>
      <w:r w:rsidRPr="00ED7E61">
        <w:rPr>
          <w:rStyle w:val="eop"/>
          <w:rFonts w:asciiTheme="majorBidi" w:eastAsiaTheme="majorEastAsia" w:hAnsiTheme="majorBidi" w:cstheme="majorBidi"/>
        </w:rPr>
        <w:t> </w:t>
      </w:r>
    </w:p>
    <w:p w14:paraId="4A774EC6"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5E15D134"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A questionnaire </w:t>
      </w:r>
      <w:r>
        <w:rPr>
          <w:rStyle w:val="normaltextrun"/>
          <w:rFonts w:asciiTheme="majorBidi" w:eastAsiaTheme="majorEastAsia" w:hAnsiTheme="majorBidi" w:cstheme="majorBidi"/>
        </w:rPr>
        <w:t>has been</w:t>
      </w:r>
      <w:r w:rsidRPr="00ED7E61">
        <w:rPr>
          <w:rStyle w:val="normaltextrun"/>
          <w:rFonts w:asciiTheme="majorBidi" w:eastAsiaTheme="majorEastAsia" w:hAnsiTheme="majorBidi" w:cstheme="majorBidi"/>
        </w:rPr>
        <w:t xml:space="preserve"> sent to all countries annually since 2020 (http://www.fao.org/sustainabledevelopment-goals/indicators/241/en/). Furthermore, </w:t>
      </w:r>
      <w:proofErr w:type="gramStart"/>
      <w:r w:rsidRPr="00ED7E61">
        <w:rPr>
          <w:rStyle w:val="normaltextrun"/>
          <w:rFonts w:asciiTheme="majorBidi" w:eastAsiaTheme="majorEastAsia" w:hAnsiTheme="majorBidi" w:cstheme="majorBidi"/>
        </w:rPr>
        <w:t>in order to</w:t>
      </w:r>
      <w:proofErr w:type="gramEnd"/>
      <w:r w:rsidRPr="00ED7E61">
        <w:rPr>
          <w:rStyle w:val="normaltextrun"/>
          <w:rFonts w:asciiTheme="majorBidi" w:eastAsiaTheme="majorEastAsia" w:hAnsiTheme="majorBidi" w:cstheme="majorBidi"/>
        </w:rPr>
        <w:t xml:space="preserve"> facilitate data collection by countries, a data collection module</w:t>
      </w:r>
      <w:r w:rsidRPr="00ED7E61">
        <w:rPr>
          <w:rStyle w:val="FootnoteReference"/>
          <w:rFonts w:asciiTheme="majorBidi" w:eastAsiaTheme="majorEastAsia" w:hAnsiTheme="majorBidi" w:cstheme="majorBidi"/>
        </w:rPr>
        <w:footnoteReference w:id="35"/>
      </w:r>
      <w:r w:rsidRPr="00ED7E61">
        <w:rPr>
          <w:rStyle w:val="normaltextrun"/>
          <w:rFonts w:asciiTheme="majorBidi" w:eastAsiaTheme="majorEastAsia" w:hAnsiTheme="majorBidi" w:cstheme="majorBidi"/>
        </w:rPr>
        <w:t xml:space="preserve"> has been designed, which contains the core set of questions necessary to obtain the data for the indicator. If farm surveys already exist within a country, these questions can be integrated into existing instruments </w:t>
      </w:r>
      <w:proofErr w:type="gramStart"/>
      <w:r w:rsidRPr="00ED7E61">
        <w:rPr>
          <w:rStyle w:val="normaltextrun"/>
          <w:rFonts w:asciiTheme="majorBidi" w:eastAsiaTheme="majorEastAsia" w:hAnsiTheme="majorBidi" w:cstheme="majorBidi"/>
        </w:rPr>
        <w:t>in order to</w:t>
      </w:r>
      <w:proofErr w:type="gramEnd"/>
      <w:r w:rsidRPr="00ED7E61">
        <w:rPr>
          <w:rStyle w:val="normaltextrun"/>
          <w:rFonts w:asciiTheme="majorBidi" w:eastAsiaTheme="majorEastAsia" w:hAnsiTheme="majorBidi" w:cstheme="majorBidi"/>
        </w:rPr>
        <w:t xml:space="preserve"> minimize the burden to national statistical offices in data collection. </w:t>
      </w:r>
      <w:r w:rsidRPr="00ED7E61">
        <w:rPr>
          <w:rStyle w:val="eop"/>
          <w:rFonts w:asciiTheme="majorBidi" w:eastAsiaTheme="majorEastAsia" w:hAnsiTheme="majorBidi" w:cstheme="majorBidi"/>
        </w:rPr>
        <w:t> </w:t>
      </w:r>
    </w:p>
    <w:p w14:paraId="0607987A"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All data collection activities will be done through the National Statistical Office (NSO) or the offices designated (Ministry of Agriculture in some countries) to collect data for this indicator. FAO, together with the Global Strategy to improve Agriculture and Rural Statistics (GSARS), have developed the capacity development material necessary for this indicator, including a methodological guide</w:t>
      </w:r>
      <w:r w:rsidRPr="00ED7E61">
        <w:rPr>
          <w:rStyle w:val="FootnoteReference"/>
          <w:rFonts w:asciiTheme="majorBidi" w:eastAsiaTheme="majorEastAsia" w:hAnsiTheme="majorBidi" w:cstheme="majorBidi"/>
        </w:rPr>
        <w:footnoteReference w:id="36"/>
      </w:r>
      <w:r w:rsidRPr="00ED7E61">
        <w:rPr>
          <w:rStyle w:val="normaltextrun"/>
          <w:rFonts w:asciiTheme="majorBidi" w:eastAsiaTheme="majorEastAsia" w:hAnsiTheme="majorBidi" w:cstheme="majorBidi"/>
        </w:rPr>
        <w:t>, an enumerator manual</w:t>
      </w:r>
      <w:r w:rsidRPr="00ED7E61">
        <w:rPr>
          <w:rStyle w:val="FootnoteReference"/>
          <w:rFonts w:asciiTheme="majorBidi" w:eastAsiaTheme="majorEastAsia" w:hAnsiTheme="majorBidi" w:cstheme="majorBidi"/>
        </w:rPr>
        <w:footnoteReference w:id="37"/>
      </w:r>
      <w:r w:rsidRPr="00ED7E61">
        <w:rPr>
          <w:rStyle w:val="normaltextrun"/>
          <w:rFonts w:asciiTheme="majorBidi" w:eastAsiaTheme="majorEastAsia" w:hAnsiTheme="majorBidi" w:cstheme="majorBidi"/>
        </w:rPr>
        <w:t>, data entry guidelines</w:t>
      </w:r>
      <w:r w:rsidRPr="00ED7E61">
        <w:rPr>
          <w:rStyle w:val="FootnoteReference"/>
          <w:rFonts w:asciiTheme="majorBidi" w:eastAsiaTheme="majorEastAsia" w:hAnsiTheme="majorBidi" w:cstheme="majorBidi"/>
        </w:rPr>
        <w:footnoteReference w:id="38"/>
      </w:r>
      <w:r w:rsidRPr="00ED7E61">
        <w:rPr>
          <w:rStyle w:val="normaltextrun"/>
          <w:rFonts w:asciiTheme="majorBidi" w:eastAsiaTheme="majorEastAsia" w:hAnsiTheme="majorBidi" w:cstheme="majorBidi"/>
        </w:rPr>
        <w:t>, calculation procedure document</w:t>
      </w:r>
      <w:r w:rsidRPr="00ED7E61">
        <w:rPr>
          <w:rStyle w:val="FootnoteReference"/>
          <w:rFonts w:asciiTheme="majorBidi" w:eastAsiaTheme="majorEastAsia" w:hAnsiTheme="majorBidi" w:cstheme="majorBidi"/>
        </w:rPr>
        <w:footnoteReference w:id="39"/>
      </w:r>
      <w:r w:rsidRPr="00ED7E61">
        <w:rPr>
          <w:rStyle w:val="normaltextrun"/>
          <w:rFonts w:asciiTheme="majorBidi" w:eastAsiaTheme="majorEastAsia" w:hAnsiTheme="majorBidi" w:cstheme="majorBidi"/>
        </w:rPr>
        <w:t>, sampling guidance</w:t>
      </w:r>
      <w:r w:rsidRPr="00ED7E61">
        <w:rPr>
          <w:rStyle w:val="FootnoteReference"/>
          <w:rFonts w:asciiTheme="majorBidi" w:eastAsiaTheme="majorEastAsia" w:hAnsiTheme="majorBidi" w:cstheme="majorBidi"/>
        </w:rPr>
        <w:footnoteReference w:id="40"/>
      </w:r>
      <w:r w:rsidRPr="00ED7E61">
        <w:rPr>
          <w:rStyle w:val="normaltextrun"/>
          <w:rFonts w:asciiTheme="majorBidi" w:eastAsiaTheme="majorEastAsia" w:hAnsiTheme="majorBidi" w:cstheme="majorBidi"/>
        </w:rPr>
        <w:t xml:space="preserve"> and an e-learning course</w:t>
      </w:r>
      <w:r w:rsidRPr="00ED7E61">
        <w:rPr>
          <w:rStyle w:val="FootnoteReference"/>
          <w:rFonts w:asciiTheme="majorBidi" w:eastAsiaTheme="majorEastAsia" w:hAnsiTheme="majorBidi" w:cstheme="majorBidi"/>
        </w:rPr>
        <w:footnoteReference w:id="41"/>
      </w:r>
      <w:r w:rsidRPr="00ED7E61">
        <w:rPr>
          <w:rStyle w:val="normaltextrun"/>
          <w:rFonts w:asciiTheme="majorBidi" w:eastAsiaTheme="majorEastAsia" w:hAnsiTheme="majorBidi" w:cstheme="majorBidi"/>
        </w:rPr>
        <w:t xml:space="preserve"> to train country NSO and other relevant staff on the indicator.</w:t>
      </w:r>
      <w:r w:rsidRPr="00ED7E61">
        <w:rPr>
          <w:rStyle w:val="eop"/>
          <w:rFonts w:asciiTheme="majorBidi" w:eastAsiaTheme="majorEastAsia" w:hAnsiTheme="majorBidi" w:cstheme="majorBidi"/>
        </w:rPr>
        <w:t> </w:t>
      </w:r>
    </w:p>
    <w:p w14:paraId="6C7138F7"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4EA341DB"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methodological, support documents, update on capacity development activities etc. can be found at this link: https://www.fao.org/sustainable-development-goals-data-portal/data/indicators/Indicator2.4.1-proportion-of-agricultural-area-under-productive-and-sustainable-agriculture/en</w:t>
      </w:r>
    </w:p>
    <w:p w14:paraId="68225E93"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09931C73"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proofErr w:type="gramStart"/>
      <w:r w:rsidRPr="00ED7E61">
        <w:rPr>
          <w:rStyle w:val="normaltextrun"/>
          <w:rFonts w:asciiTheme="majorBidi" w:eastAsiaTheme="majorEastAsia" w:hAnsiTheme="majorBidi" w:cstheme="majorBidi"/>
        </w:rPr>
        <w:t>In order to</w:t>
      </w:r>
      <w:proofErr w:type="gramEnd"/>
      <w:r w:rsidRPr="00ED7E61">
        <w:rPr>
          <w:rStyle w:val="normaltextrun"/>
          <w:rFonts w:asciiTheme="majorBidi" w:eastAsiaTheme="majorEastAsia" w:hAnsiTheme="majorBidi" w:cstheme="majorBidi"/>
        </w:rPr>
        <w:t xml:space="preserve"> propose a manageable and cost-effective solution, a requirement stressed by several countries during the consultations, the methodology offers a single data collection instrument for all sub-indicators: the farm survey.</w:t>
      </w:r>
      <w:r w:rsidRPr="00ED7E61">
        <w:rPr>
          <w:rStyle w:val="eop"/>
          <w:rFonts w:asciiTheme="majorBidi" w:eastAsiaTheme="majorEastAsia" w:hAnsiTheme="majorBidi" w:cstheme="majorBidi"/>
        </w:rPr>
        <w:t> </w:t>
      </w:r>
    </w:p>
    <w:p w14:paraId="6BB72298"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In the process of capacity development, several countries have suggested using existing data sources or alternative data sources on the grounds that these instruments can be more cost-effective and sometimes provide more reliable results than farm surveys. These instruments include remote sensing, GIS, models, agricultural surveys, household surveys, administrative data or environmental monitoring systems. </w:t>
      </w:r>
      <w:r w:rsidRPr="00ED7E61">
        <w:rPr>
          <w:rStyle w:val="eop"/>
          <w:rFonts w:asciiTheme="majorBidi" w:eastAsiaTheme="majorEastAsia" w:hAnsiTheme="majorBidi" w:cstheme="majorBidi"/>
        </w:rPr>
        <w:t> </w:t>
      </w:r>
    </w:p>
    <w:p w14:paraId="6BB7119C"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Often, environmental data are collected through environmental monitoring systems, including remote sensing. Yet many countries do not have the capacity or resources to do so, and therefore these data are sparse or non-existent. </w:t>
      </w:r>
      <w:r w:rsidRPr="00ED7E61">
        <w:rPr>
          <w:rStyle w:val="eop"/>
          <w:rFonts w:asciiTheme="majorBidi" w:eastAsiaTheme="majorEastAsia" w:hAnsiTheme="majorBidi" w:cstheme="majorBidi"/>
        </w:rPr>
        <w:t> </w:t>
      </w:r>
    </w:p>
    <w:p w14:paraId="692B7931"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methodology considers the possibility to use such instruments, subject to a series of criteria to ensure data quality and international comparability. Other data sources may also be used to complement and/or validate farm survey results. The methodology note also recommends that countries complement the farm survey with a monitoring system that can measure the impact of agriculture on the environment (soil, water, fertilizer and pesticide pollution, biodiversity, etc.) and on health (pesticides residues in food and human bodies). This will provide additional information and help crosscheck the robustness of the indicator </w:t>
      </w:r>
      <w:proofErr w:type="gramStart"/>
      <w:r w:rsidRPr="00ED7E61">
        <w:rPr>
          <w:rStyle w:val="normaltextrun"/>
          <w:rFonts w:asciiTheme="majorBidi" w:eastAsiaTheme="majorEastAsia" w:hAnsiTheme="majorBidi" w:cstheme="majorBidi"/>
        </w:rPr>
        <w:t>with regard to</w:t>
      </w:r>
      <w:proofErr w:type="gramEnd"/>
      <w:r w:rsidRPr="00ED7E61">
        <w:rPr>
          <w:rStyle w:val="normaltextrun"/>
          <w:rFonts w:asciiTheme="majorBidi" w:eastAsiaTheme="majorEastAsia" w:hAnsiTheme="majorBidi" w:cstheme="majorBidi"/>
        </w:rPr>
        <w:t xml:space="preserve"> the environmental dimension of sustainability. In this respect, FAO has initiated work streams on alternative data sources to improve reporting of the indicator. In addition, FAO has also commenced development of a proxy approach to report on the indicator as an interim solution to bridge the data gaps while countries get ready to adopt and implement the farm </w:t>
      </w:r>
      <w:proofErr w:type="gramStart"/>
      <w:r w:rsidRPr="00ED7E61">
        <w:rPr>
          <w:rStyle w:val="normaltextrun"/>
          <w:rFonts w:asciiTheme="majorBidi" w:eastAsiaTheme="majorEastAsia" w:hAnsiTheme="majorBidi" w:cstheme="majorBidi"/>
        </w:rPr>
        <w:t>survey based</w:t>
      </w:r>
      <w:proofErr w:type="gramEnd"/>
      <w:r w:rsidRPr="00ED7E61">
        <w:rPr>
          <w:rStyle w:val="normaltextrun"/>
          <w:rFonts w:asciiTheme="majorBidi" w:eastAsiaTheme="majorEastAsia" w:hAnsiTheme="majorBidi" w:cstheme="majorBidi"/>
        </w:rPr>
        <w:t xml:space="preserve"> methodology. The proxy approach is under development, once the proposal is finalized, tested and approved and endorsed by IAEG-SDG, it will be shared with member states.</w:t>
      </w:r>
      <w:r w:rsidRPr="00ED7E61">
        <w:rPr>
          <w:rStyle w:val="eop"/>
          <w:rFonts w:asciiTheme="majorBidi" w:eastAsiaTheme="majorEastAsia" w:hAnsiTheme="majorBidi" w:cstheme="majorBidi"/>
        </w:rPr>
        <w:t> </w:t>
      </w:r>
    </w:p>
    <w:p w14:paraId="43D53FD1"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66FE07CB" w14:textId="77777777" w:rsidR="00244419" w:rsidRPr="00ED7E61" w:rsidRDefault="00244419" w:rsidP="00244419">
      <w:pPr>
        <w:pStyle w:val="CBDNormalNumber"/>
        <w:numPr>
          <w:ilvl w:val="0"/>
          <w:numId w:val="82"/>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Although new data may not be available annually for each country, all new information are expected to be released annually through FAO SDG portal and UNSD.</w:t>
      </w:r>
      <w:r w:rsidRPr="00ED7E61">
        <w:rPr>
          <w:rStyle w:val="normaltextrun"/>
        </w:rPr>
        <w:t> </w:t>
      </w:r>
    </w:p>
    <w:p w14:paraId="3A7DF2E7"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0CDC60F0" w14:textId="77777777" w:rsidR="00244419" w:rsidRPr="00ED7E61" w:rsidRDefault="00244419" w:rsidP="00244419">
      <w:pPr>
        <w:pStyle w:val="CBDNormalNumber"/>
        <w:numPr>
          <w:ilvl w:val="0"/>
          <w:numId w:val="82"/>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 xml:space="preserve">Indicator measures progress towards more sustainable and productive agriculture over a </w:t>
      </w:r>
      <w:proofErr w:type="gramStart"/>
      <w:r w:rsidRPr="00ED7E61">
        <w:rPr>
          <w:rStyle w:val="normaltextrun"/>
          <w:rFonts w:asciiTheme="majorBidi" w:eastAsiaTheme="majorEastAsia" w:hAnsiTheme="majorBidi" w:cstheme="majorBidi"/>
        </w:rPr>
        <w:t>three year</w:t>
      </w:r>
      <w:proofErr w:type="gramEnd"/>
      <w:r w:rsidRPr="00ED7E61">
        <w:rPr>
          <w:rStyle w:val="normaltextrun"/>
          <w:rFonts w:asciiTheme="majorBidi" w:eastAsiaTheme="majorEastAsia" w:hAnsiTheme="majorBidi" w:cstheme="majorBidi"/>
        </w:rPr>
        <w:t xml:space="preserve"> periodicity because for many sub-indicators, it is likely that changes will be relatively limited from one year to another. Furthermore, the 3-year periodicity will enable countries to have three data points on the indicator before 2030.</w:t>
      </w:r>
      <w:r w:rsidRPr="00ED7E61">
        <w:rPr>
          <w:rStyle w:val="normaltextrun"/>
        </w:rPr>
        <w:t> </w:t>
      </w:r>
    </w:p>
    <w:p w14:paraId="7D7F8291"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1FC0FB66" w14:textId="77777777" w:rsidR="00244419" w:rsidRPr="00ED7E61" w:rsidRDefault="00244419" w:rsidP="00244419">
      <w:pPr>
        <w:pStyle w:val="CBDNormalNumber"/>
        <w:numPr>
          <w:ilvl w:val="0"/>
          <w:numId w:val="82"/>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National Statistical Offices, Ministries of Agriculture or national offices designated by countries will be responsible for collecting and reporting data for this indicator,</w:t>
      </w:r>
      <w:r w:rsidRPr="00ED7E61">
        <w:rPr>
          <w:rStyle w:val="normaltextrun"/>
        </w:rPr>
        <w:t> </w:t>
      </w:r>
    </w:p>
    <w:p w14:paraId="4979424F"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eop"/>
          <w:rFonts w:asciiTheme="majorBidi" w:eastAsiaTheme="majorEastAsia" w:hAnsiTheme="majorBidi" w:cstheme="majorBidi"/>
          <w:sz w:val="22"/>
          <w:szCs w:val="22"/>
        </w:rPr>
        <w:t> </w:t>
      </w:r>
    </w:p>
    <w:p w14:paraId="4BF1AAC3" w14:textId="77777777" w:rsidR="00244419" w:rsidRPr="00ED7E61" w:rsidRDefault="00244419" w:rsidP="00244419">
      <w:pPr>
        <w:pStyle w:val="CBDNormalNumber"/>
        <w:numPr>
          <w:ilvl w:val="0"/>
          <w:numId w:val="82"/>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National Statistical Offices or designated offices within countries will be responsible for collecting and compiling data for this indicator. They will in turn report to FAO, which provides capacity development, conducts quality control and disseminates the information through the FAO SDG portal. FAO will in turn report the regional and global estimates to the international statistical community and UNSD.</w:t>
      </w:r>
      <w:r w:rsidRPr="00ED7E61">
        <w:rPr>
          <w:rStyle w:val="normaltextrun"/>
        </w:rPr>
        <w:t> </w:t>
      </w:r>
    </w:p>
    <w:p w14:paraId="1130E16B"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1B4492E6" w14:textId="77777777" w:rsidR="00244419" w:rsidRPr="00ED7E61" w:rsidRDefault="00244419" w:rsidP="00244419">
      <w:pPr>
        <w:pStyle w:val="CBDNormalNumber"/>
        <w:numPr>
          <w:ilvl w:val="0"/>
          <w:numId w:val="82"/>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The indicator is new and complex and thus current data coverage of the indicator is low. Few countries have reported the entire dashboard, several reported a sub-set of the sub-</w:t>
      </w:r>
      <w:proofErr w:type="gramStart"/>
      <w:r w:rsidRPr="00ED7E61">
        <w:rPr>
          <w:rStyle w:val="normaltextrun"/>
          <w:rFonts w:asciiTheme="majorBidi" w:eastAsiaTheme="majorEastAsia" w:hAnsiTheme="majorBidi" w:cstheme="majorBidi"/>
        </w:rPr>
        <w:t>indicators</w:t>
      </w:r>
      <w:proofErr w:type="gramEnd"/>
      <w:r w:rsidRPr="00ED7E61">
        <w:rPr>
          <w:rStyle w:val="normaltextrun"/>
          <w:rFonts w:asciiTheme="majorBidi" w:eastAsiaTheme="majorEastAsia" w:hAnsiTheme="majorBidi" w:cstheme="majorBidi"/>
        </w:rPr>
        <w:t xml:space="preserve"> and the majority have yet to provide data. The data coverage will improve over time (in the short to medium term), thanks to the capacity development efforts that include both regional and national trainings and bilateral technical assistance to member states. </w:t>
      </w:r>
      <w:r w:rsidRPr="00ED7E61">
        <w:rPr>
          <w:rStyle w:val="normaltextrun"/>
        </w:rPr>
        <w:t> </w:t>
      </w:r>
    </w:p>
    <w:p w14:paraId="30C450E8"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76609577" w14:textId="77777777" w:rsidR="00244419" w:rsidRPr="00ED7E61" w:rsidRDefault="00244419" w:rsidP="00244419">
      <w:pPr>
        <w:pStyle w:val="CBDNormalNumber"/>
        <w:numPr>
          <w:ilvl w:val="0"/>
          <w:numId w:val="82"/>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lastRenderedPageBreak/>
        <w:t xml:space="preserve">Partial non-response at individual level (farm holding) will be imputed using appropriate statistical techniques, such as nearest-neighbour algorithms. The decision on whether to impute or not and the choice of the method is a function of the nature of the variable to impute and the amount and type of data available for the imputation, such as the availability of auxiliary data coming from different sources (e.g. surveys, administrative information). It is important to clearly distinguish missing data from non-applicable events. As specified above and in the sub-indicator methodology sheets, some sub-indicators can be recorded as </w:t>
      </w:r>
      <w:r>
        <w:rPr>
          <w:rStyle w:val="normaltextrun"/>
          <w:rFonts w:asciiTheme="majorBidi" w:eastAsiaTheme="majorEastAsia" w:hAnsiTheme="majorBidi" w:cstheme="majorBidi"/>
        </w:rPr>
        <w:t>“</w:t>
      </w:r>
      <w:r>
        <w:rPr>
          <w:rStyle w:val="normaltextrun"/>
          <w:rFonts w:asciiTheme="majorBidi" w:eastAsiaTheme="majorEastAsia" w:hAnsiTheme="majorBidi" w:cstheme="majorBidi"/>
          <w:i/>
          <w:iCs/>
        </w:rPr>
        <w:t>N</w:t>
      </w:r>
      <w:r w:rsidRPr="00FB1598">
        <w:rPr>
          <w:rStyle w:val="normaltextrun"/>
          <w:rFonts w:asciiTheme="majorBidi" w:eastAsiaTheme="majorEastAsia" w:hAnsiTheme="majorBidi" w:cstheme="majorBidi"/>
          <w:i/>
          <w:iCs/>
        </w:rPr>
        <w:t>ot applicable</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for a given farm. In this case, the farm will be considered sustainable from the perspective of the given sub-indicators.</w:t>
      </w:r>
      <w:r w:rsidRPr="00ED7E61">
        <w:rPr>
          <w:rStyle w:val="normaltextrun"/>
        </w:rPr>
        <w:t> </w:t>
      </w:r>
    </w:p>
    <w:p w14:paraId="7252F77B"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73ED1042" w14:textId="77777777" w:rsidR="00244419" w:rsidRPr="00ED7E61" w:rsidRDefault="00244419" w:rsidP="00244419">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6895A770" w14:textId="77777777" w:rsidR="00244419" w:rsidRPr="00ED7E61" w:rsidRDefault="00244419" w:rsidP="00244419">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eop"/>
          <w:rFonts w:asciiTheme="majorBidi" w:eastAsiaTheme="majorEastAsia" w:hAnsiTheme="majorBidi" w:cstheme="majorBidi"/>
          <w:sz w:val="22"/>
          <w:szCs w:val="22"/>
        </w:rPr>
        <w:t> </w:t>
      </w:r>
    </w:p>
    <w:p w14:paraId="50457071" w14:textId="77777777" w:rsidR="00244419" w:rsidRPr="00ED7E61" w:rsidRDefault="00244419" w:rsidP="00244419">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 </w:t>
      </w: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National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12F78974" w14:textId="77777777" w:rsidR="00244419" w:rsidRPr="00ED7E61" w:rsidRDefault="00244419" w:rsidP="00244419">
      <w:pPr>
        <w:pStyle w:val="CBDNormalNumber"/>
        <w:numPr>
          <w:ilvl w:val="0"/>
          <w:numId w:val="82"/>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Scale of data disaggregation/aggregation: </w:t>
      </w:r>
      <w:r w:rsidRPr="00ED7E61">
        <w:rPr>
          <w:rStyle w:val="normaltextrun"/>
        </w:rPr>
        <w:t> </w:t>
      </w:r>
    </w:p>
    <w:p w14:paraId="3D60D7EB" w14:textId="77777777" w:rsidR="00244419" w:rsidRPr="00ED7E61" w:rsidRDefault="00244419" w:rsidP="00244419">
      <w:pPr>
        <w:pStyle w:val="CBDNormalNumber"/>
        <w:numPr>
          <w:ilvl w:val="1"/>
          <w:numId w:val="82"/>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Global/ regional scale indicator can be disaggregated to national level: ​</w:t>
      </w:r>
      <w:r w:rsidRPr="00ED7E61">
        <w:rPr>
          <w:rStyle w:val="normaltextrun"/>
          <w:rFonts w:ascii="Segoe UI Symbol" w:hAnsi="Segoe UI Symbol" w:cs="Segoe UI Symbol"/>
          <w:shd w:val="clear" w:color="auto" w:fill="FFFFFF"/>
        </w:rPr>
        <w:t>☐</w:t>
      </w:r>
      <w:r w:rsidRPr="00ED7E61">
        <w:rPr>
          <w:rStyle w:val="normaltextrun"/>
          <w:shd w:val="clear" w:color="auto" w:fill="FFFFFF"/>
        </w:rPr>
        <w:t>​ </w:t>
      </w:r>
    </w:p>
    <w:p w14:paraId="474835BA" w14:textId="77777777" w:rsidR="00244419" w:rsidRPr="00ED7E61" w:rsidRDefault="00244419" w:rsidP="00244419">
      <w:pPr>
        <w:pStyle w:val="CBDNormalNumber"/>
        <w:numPr>
          <w:ilvl w:val="1"/>
          <w:numId w:val="82"/>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National data is collated to form global indicator: ​</w:t>
      </w:r>
      <w:r w:rsidRPr="00ED7E61">
        <w:rPr>
          <w:rStyle w:val="normaltextrun"/>
          <w:rFonts w:ascii="Segoe UI Symbol" w:hAnsi="Segoe UI Symbol" w:cs="Segoe UI Symbol"/>
          <w:shd w:val="clear" w:color="auto" w:fill="FFFFFF"/>
        </w:rPr>
        <w:t>☒</w:t>
      </w:r>
      <w:r w:rsidRPr="00ED7E61">
        <w:rPr>
          <w:rStyle w:val="normaltextrun"/>
          <w:shd w:val="clear" w:color="auto" w:fill="FFFFFF"/>
        </w:rPr>
        <w:t>​ </w:t>
      </w:r>
    </w:p>
    <w:p w14:paraId="3841F4DE"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555BA963" w14:textId="77777777" w:rsidR="00244419" w:rsidRPr="00ED7E61" w:rsidRDefault="00244419" w:rsidP="00244419">
      <w:pPr>
        <w:pStyle w:val="paragraph"/>
        <w:spacing w:before="120" w:beforeAutospacing="0" w:after="120" w:afterAutospacing="0"/>
        <w:ind w:left="567"/>
        <w:textAlignment w:val="baseline"/>
        <w:rPr>
          <w:rFonts w:asciiTheme="majorBidi" w:hAnsiTheme="majorBidi" w:cstheme="majorBidi"/>
          <w:sz w:val="22"/>
          <w:szCs w:val="22"/>
        </w:rPr>
      </w:pPr>
      <w:hyperlink r:id="rId392" w:tgtFrame="_blank" w:history="1">
        <w:r>
          <w:rPr>
            <w:rStyle w:val="normaltextrun"/>
            <w:rFonts w:asciiTheme="majorBidi" w:eastAsiaTheme="majorEastAsia" w:hAnsiTheme="majorBidi" w:cstheme="majorBidi"/>
            <w:color w:val="467886"/>
            <w:sz w:val="22"/>
            <w:szCs w:val="22"/>
            <w:u w:val="single"/>
            <w:lang w:val="en-GB"/>
          </w:rPr>
          <w:t>www.fao.org/3/ca7154en/ca7154en.pdf</w:t>
        </w:r>
      </w:hyperlink>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387E1268"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5794F8A5"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Fonts w:asciiTheme="majorBidi" w:hAnsiTheme="majorBidi" w:cstheme="majorBidi"/>
        </w:rPr>
        <w:t>Data on the official SDG indicator 2.4.1 is currently scarce, as countries still build their capacity to adapt their agricultural surveys to collect the necessary information. As a provisional, stop-gap solution, the UN Statistical Commission has approved the use of a proxy (https://unstats.un.org/UNSDWebsite/statcom/session_55/documents/2024-36-FinalReport-E.pdf) for monitoring progress towards productive and sustainable agriculture, based on widely available national-level statistics. The proxy consists of seven sub-indicators capturing the three dimensions of sustainability (environmental, economic and social) in the agricultural sphere and shall be used as a “</w:t>
      </w:r>
      <w:r w:rsidRPr="00FB1598">
        <w:rPr>
          <w:rFonts w:asciiTheme="majorBidi" w:hAnsiTheme="majorBidi" w:cstheme="majorBidi"/>
          <w:i/>
          <w:iCs/>
        </w:rPr>
        <w:t>practical interim solution</w:t>
      </w:r>
      <w:r w:rsidRPr="00ED7E61">
        <w:rPr>
          <w:rFonts w:asciiTheme="majorBidi" w:hAnsiTheme="majorBidi" w:cstheme="majorBidi"/>
        </w:rPr>
        <w:t>” while FAO continues to work with countries “</w:t>
      </w:r>
      <w:r w:rsidRPr="00FB1598">
        <w:rPr>
          <w:rFonts w:asciiTheme="majorBidi" w:hAnsiTheme="majorBidi" w:cstheme="majorBidi"/>
          <w:i/>
          <w:iCs/>
        </w:rPr>
        <w:t>to strengthen capacity-building activities for the official indicator</w:t>
      </w:r>
      <w:r w:rsidRPr="00ED7E61">
        <w:rPr>
          <w:rFonts w:asciiTheme="majorBidi" w:hAnsiTheme="majorBidi" w:cstheme="majorBidi"/>
        </w:rPr>
        <w:t>”. For information on the SDG Indicator 2.4.1 Proxy "</w:t>
      </w:r>
      <w:r w:rsidRPr="00FB1598">
        <w:rPr>
          <w:rFonts w:asciiTheme="majorBidi" w:hAnsiTheme="majorBidi" w:cstheme="majorBidi"/>
          <w:i/>
          <w:iCs/>
        </w:rPr>
        <w:t>Progress towards productive and sustainable agriculture</w:t>
      </w:r>
      <w:r w:rsidRPr="00ED7E61">
        <w:rPr>
          <w:rFonts w:asciiTheme="majorBidi" w:hAnsiTheme="majorBidi" w:cstheme="majorBidi"/>
        </w:rPr>
        <w:t xml:space="preserve">", please see  </w:t>
      </w:r>
      <w:hyperlink r:id="rId393" w:history="1">
        <w:r>
          <w:rPr>
            <w:rStyle w:val="Hyperlink"/>
            <w:rFonts w:asciiTheme="majorBidi" w:hAnsiTheme="majorBidi" w:cstheme="majorBidi"/>
          </w:rPr>
          <w:t>www.fao.org/sustainable-development-goals-data-portal/data/indicators/indicator-241-proxy-progress-towards-productive-and-sustainable-agriculture/en</w:t>
        </w:r>
      </w:hyperlink>
      <w:r w:rsidRPr="00ED7E61">
        <w:rPr>
          <w:rFonts w:asciiTheme="majorBidi" w:hAnsiTheme="majorBidi" w:cstheme="majorBidi"/>
        </w:rPr>
        <w:t>.</w:t>
      </w:r>
      <w:r>
        <w:rPr>
          <w:rFonts w:asciiTheme="majorBidi" w:hAnsiTheme="majorBidi" w:cstheme="majorBidi"/>
        </w:rPr>
        <w:t xml:space="preserve"> </w:t>
      </w:r>
    </w:p>
    <w:p w14:paraId="0913BC1E"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55248D22"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76474111"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t>The</w:t>
      </w:r>
      <w:r w:rsidRPr="00ED7E61">
        <w:rPr>
          <w:rStyle w:val="normaltextrun"/>
          <w:rFonts w:asciiTheme="majorBidi" w:eastAsiaTheme="majorEastAsia" w:hAnsiTheme="majorBidi" w:cstheme="majorBidi"/>
        </w:rPr>
        <w:t xml:space="preserve"> indicator methodology proposes reporting of the indicator through a national-level dashboard, presenting the different sub-indicators together but independently. </w:t>
      </w:r>
      <w:r w:rsidRPr="00ED7E61">
        <w:rPr>
          <w:rStyle w:val="eop"/>
          <w:rFonts w:asciiTheme="majorBidi" w:eastAsiaTheme="majorEastAsia" w:hAnsiTheme="majorBidi" w:cstheme="majorBidi"/>
        </w:rPr>
        <w:t> </w:t>
      </w:r>
    </w:p>
    <w:p w14:paraId="269822B6"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Computation of results and construction of the dashboard are performed for each sub-indicator separately using the </w:t>
      </w:r>
      <w:r>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traffic light</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approach already defined for each sub-indicator. In practice, the reported value of the indicator is determined by the results of the most limiting sub-indicator in terms of sustainability performance.</w:t>
      </w:r>
      <w:r w:rsidRPr="00ED7E61">
        <w:rPr>
          <w:rStyle w:val="eop"/>
          <w:rFonts w:asciiTheme="majorBidi" w:eastAsiaTheme="majorEastAsia" w:hAnsiTheme="majorBidi" w:cstheme="majorBidi"/>
        </w:rPr>
        <w:t> </w:t>
      </w:r>
    </w:p>
    <w:p w14:paraId="35786B92"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67C39681"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t>Several</w:t>
      </w:r>
      <w:r w:rsidRPr="00ED7E61">
        <w:rPr>
          <w:rStyle w:val="normaltextrun"/>
          <w:rFonts w:asciiTheme="majorBidi" w:eastAsiaTheme="majorEastAsia" w:hAnsiTheme="majorBidi" w:cstheme="majorBidi"/>
        </w:rPr>
        <w:t xml:space="preserve"> levels of analysis will be undertaken with the data received from member countries. Time series of unsustainability for the entire world (both % and area) will allow progress towards a sustainable agriculture worldwide to be measured and tracked. Charts by regions will show the % of unsustainability comparing the results of the same triennium, comparison will be done also analysing the results of three country groups: developed economies, economies in transition, and developing economies. A map will be used to display the % of unsustainability, considering a given year or </w:t>
      </w:r>
      <w:r w:rsidRPr="00ED7E61">
        <w:rPr>
          <w:rStyle w:val="normaltextrun"/>
          <w:rFonts w:asciiTheme="majorBidi" w:eastAsiaTheme="majorEastAsia" w:hAnsiTheme="majorBidi" w:cstheme="majorBidi"/>
        </w:rPr>
        <w:lastRenderedPageBreak/>
        <w:t>triennium, to have an immediate visualization of the most critical countries. A similar map will show the distance to the target of sustainability.</w:t>
      </w:r>
      <w:r w:rsidRPr="00ED7E61">
        <w:rPr>
          <w:rStyle w:val="eop"/>
          <w:rFonts w:asciiTheme="majorBidi" w:eastAsiaTheme="majorEastAsia" w:hAnsiTheme="majorBidi" w:cstheme="majorBidi"/>
        </w:rPr>
        <w:t> </w:t>
      </w:r>
    </w:p>
    <w:p w14:paraId="5571C43B"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0881DE75"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t>National</w:t>
      </w:r>
      <w:r w:rsidRPr="00ED7E61">
        <w:rPr>
          <w:rStyle w:val="normaltextrun"/>
          <w:rFonts w:asciiTheme="majorBidi" w:eastAsiaTheme="majorEastAsia" w:hAnsiTheme="majorBidi" w:cstheme="majorBidi"/>
        </w:rPr>
        <w:t xml:space="preserve"> Statistical Offices, Ministries of Agriculture or designated offices within countries will be responsible for collecting and compiling data for this indicator. They will in turn report to FAO who will conduct quality control and disseminate the information through FAO SDG portal. FAO will in turn report to the international statistical community and UNSD.</w:t>
      </w:r>
      <w:r w:rsidRPr="00ED7E61">
        <w:rPr>
          <w:rStyle w:val="eop"/>
          <w:rFonts w:asciiTheme="majorBidi" w:eastAsiaTheme="majorEastAsia" w:hAnsiTheme="majorBidi" w:cstheme="majorBidi"/>
        </w:rPr>
        <w:t> </w:t>
      </w:r>
    </w:p>
    <w:p w14:paraId="793FEBDE"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A questionnaire is sent by email to all countries annually since 2020 (</w:t>
      </w:r>
      <w:r w:rsidRPr="00ED7E61">
        <w:rPr>
          <w:rFonts w:asciiTheme="majorBidi" w:eastAsiaTheme="majorEastAsia" w:hAnsiTheme="majorBidi" w:cstheme="majorBidi"/>
          <w:color w:val="467886"/>
          <w:u w:val="single"/>
          <w:lang w:val="en-US"/>
        </w:rPr>
        <w:t>https://www.fao.org/fileadmin/user_upload/faoweb/statistics/questionnaires/SDG_Indicator_241_Agricultural_Sustainability_EN.xlsx</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24489AC9"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email is sent to the National focal point relevant to the indicator, National focal point for generic SDG and Heads of NSO. With copy to FAO Representative, Country, Regional and Sub-regional offices, FAO Regional Statisticians in the Region and in the Sub-regional offices, staff officially nominated to be in “</w:t>
      </w:r>
      <w:r w:rsidRPr="00FB1598">
        <w:rPr>
          <w:rStyle w:val="normaltextrun"/>
          <w:rFonts w:asciiTheme="majorBidi" w:eastAsiaTheme="majorEastAsia" w:hAnsiTheme="majorBidi" w:cstheme="majorBidi"/>
          <w:i/>
          <w:iCs/>
        </w:rPr>
        <w:t>CC</w:t>
      </w:r>
      <w:r w:rsidRPr="00ED7E61">
        <w:rPr>
          <w:rStyle w:val="normaltextrun"/>
          <w:rFonts w:asciiTheme="majorBidi" w:eastAsiaTheme="majorEastAsia" w:hAnsiTheme="majorBidi" w:cstheme="majorBidi"/>
        </w:rPr>
        <w:t>” of all indicator communications and ESS-Registry, with a deadline for returning the filled in questionnaire within 4 weeks. </w:t>
      </w:r>
      <w:r w:rsidRPr="00ED7E61">
        <w:rPr>
          <w:rStyle w:val="eop"/>
          <w:rFonts w:asciiTheme="majorBidi" w:eastAsiaTheme="majorEastAsia" w:hAnsiTheme="majorBidi" w:cstheme="majorBidi"/>
        </w:rPr>
        <w:t> </w:t>
      </w:r>
    </w:p>
    <w:p w14:paraId="1066E3AB"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Special cases for Bahrain, Brazil, Cuba, Iran (Islamic Republic of), Nicaragua, Oman, Saudi Arabia, Venezuela (Bolivarian Republic of), </w:t>
      </w:r>
      <w:r w:rsidRPr="00ED7E61">
        <w:rPr>
          <w:rFonts w:asciiTheme="majorBidi" w:eastAsiaTheme="majorEastAsia" w:hAnsiTheme="majorBidi" w:cstheme="majorBidi"/>
          <w:lang w:val="en-US"/>
        </w:rPr>
        <w:t xml:space="preserve">Yemen, Myanmar, Afghanistan </w:t>
      </w:r>
      <w:r w:rsidRPr="00ED7E61">
        <w:rPr>
          <w:rStyle w:val="normaltextrun"/>
          <w:rFonts w:asciiTheme="majorBidi" w:eastAsiaTheme="majorEastAsia" w:hAnsiTheme="majorBidi" w:cstheme="majorBidi"/>
        </w:rPr>
        <w:t>for which the dispatch will be addressed according to the “</w:t>
      </w:r>
      <w:r w:rsidRPr="00FB1598">
        <w:rPr>
          <w:rStyle w:val="normaltextrun"/>
          <w:rFonts w:asciiTheme="majorBidi" w:eastAsiaTheme="majorEastAsia" w:hAnsiTheme="majorBidi" w:cstheme="majorBidi"/>
          <w:i/>
          <w:iCs/>
        </w:rPr>
        <w:t>Data Collection Phase</w:t>
      </w:r>
      <w:r w:rsidRPr="00ED7E61">
        <w:rPr>
          <w:rStyle w:val="normaltextrun"/>
          <w:rFonts w:asciiTheme="majorBidi" w:eastAsiaTheme="majorEastAsia" w:hAnsiTheme="majorBidi" w:cstheme="majorBidi"/>
        </w:rPr>
        <w:t xml:space="preserve">” guidelines (Statistical Standard Series, endorsed by the IDWG-TTF on Statistics, 15 November 2019, </w:t>
      </w:r>
      <w:r w:rsidRPr="00ED7E61">
        <w:rPr>
          <w:rFonts w:asciiTheme="majorBidi" w:eastAsiaTheme="majorEastAsia" w:hAnsiTheme="majorBidi" w:cstheme="majorBidi"/>
          <w:lang w:val="en-US"/>
        </w:rPr>
        <w:t>Revised 16 June 2023</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5638D802"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Once the questionnaires are received a validation process is done through the check of the person who replied with the questionnaire returned: indicator focal point / FAO local office / Regional Statistician might be contacted to clarify if the questionnaire returned is considered valid or not.</w:t>
      </w:r>
      <w:r w:rsidRPr="00ED7E61">
        <w:rPr>
          <w:rStyle w:val="eop"/>
          <w:rFonts w:asciiTheme="majorBidi" w:eastAsiaTheme="majorEastAsia" w:hAnsiTheme="majorBidi" w:cstheme="majorBidi"/>
        </w:rPr>
        <w:t> </w:t>
      </w:r>
    </w:p>
    <w:p w14:paraId="5DC3AA1A"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received questionnaires are analysed in all their parts. Namely, checking individually, both manually and automatically through an R script, standard rules (unit, text out of the spaces, time series, outliers, inconsistencies, anomalies, missing data).</w:t>
      </w:r>
      <w:r w:rsidRPr="00ED7E61">
        <w:rPr>
          <w:rStyle w:val="eop"/>
          <w:rFonts w:asciiTheme="majorBidi" w:eastAsiaTheme="majorEastAsia" w:hAnsiTheme="majorBidi" w:cstheme="majorBidi"/>
        </w:rPr>
        <w:t> </w:t>
      </w:r>
    </w:p>
    <w:p w14:paraId="36619E6F" w14:textId="77777777" w:rsidR="00244419" w:rsidRPr="00812871" w:rsidRDefault="00244419" w:rsidP="00812871">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812871">
        <w:rPr>
          <w:rStyle w:val="normaltextrun"/>
          <w:rFonts w:asciiTheme="majorBidi" w:eastAsiaTheme="majorEastAsia" w:hAnsiTheme="majorBidi" w:cstheme="majorBidi"/>
          <w:b/>
          <w:bCs/>
          <w:sz w:val="22"/>
          <w:szCs w:val="22"/>
          <w:lang w:val="en-GB"/>
        </w:rPr>
        <w:t>7. Other MEAs, processes and organisations</w:t>
      </w:r>
      <w:r w:rsidRPr="00812871">
        <w:rPr>
          <w:rStyle w:val="normaltextrun"/>
          <w:rFonts w:eastAsiaTheme="majorEastAsia"/>
          <w:b/>
          <w:bCs/>
          <w:lang w:val="en-GB"/>
        </w:rPr>
        <w:t> </w:t>
      </w:r>
    </w:p>
    <w:p w14:paraId="5A07CCE2" w14:textId="16C38485" w:rsidR="00244419" w:rsidRPr="00ED7E61" w:rsidRDefault="00244419" w:rsidP="00244419">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p>
    <w:p w14:paraId="784BDBA8" w14:textId="77777777" w:rsidR="00244419" w:rsidRPr="00ED7E61" w:rsidRDefault="00244419" w:rsidP="00244419">
      <w:pPr>
        <w:pStyle w:val="CBDNormalNumber"/>
        <w:numPr>
          <w:ilvl w:val="0"/>
          <w:numId w:val="82"/>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The indicator is the Sustainable Development Goal (SDG) indicator 2.4.1 and is linked with SDG Goal 2 and targets 2.3.1, 2.4.1, 2.3.2 and 5.a.1</w:t>
      </w:r>
      <w:r w:rsidRPr="00ED7E61">
        <w:rPr>
          <w:rStyle w:val="normaltextrun"/>
        </w:rPr>
        <w:t> </w:t>
      </w:r>
    </w:p>
    <w:p w14:paraId="3C96CC10" w14:textId="3945993C" w:rsidR="00244419" w:rsidRPr="00ED7E61" w:rsidRDefault="00244419" w:rsidP="00244419">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49615A" w:rsidRPr="00ED7E61">
        <w:rPr>
          <w:rStyle w:val="normaltextrun"/>
          <w:rFonts w:asciiTheme="majorBidi" w:eastAsiaTheme="majorEastAsia" w:hAnsiTheme="majorBidi" w:cstheme="majorBidi"/>
          <w:b/>
          <w:bCs/>
          <w:sz w:val="22"/>
          <w:szCs w:val="22"/>
        </w:rPr>
        <w:t>Possible</w:t>
      </w:r>
      <w:r w:rsidRPr="00ED7E61">
        <w:rPr>
          <w:rStyle w:val="normaltextrun"/>
          <w:rFonts w:asciiTheme="majorBidi" w:eastAsiaTheme="majorEastAsia" w:hAnsiTheme="majorBidi" w:cstheme="majorBidi"/>
          <w:b/>
          <w:bCs/>
          <w:sz w:val="22"/>
          <w:szCs w:val="22"/>
        </w:rPr>
        <w:t xml:space="preserve"> </w:t>
      </w:r>
      <w:proofErr w:type="spellStart"/>
      <w:r w:rsidRPr="00ED7E61">
        <w:rPr>
          <w:rStyle w:val="normaltextrun"/>
          <w:rFonts w:asciiTheme="majorBidi" w:eastAsiaTheme="majorEastAsia" w:hAnsiTheme="majorBidi" w:cstheme="majorBidi"/>
          <w:b/>
          <w:bCs/>
          <w:sz w:val="22"/>
          <w:szCs w:val="22"/>
        </w:rPr>
        <w:t>Disaggregations</w:t>
      </w:r>
      <w:proofErr w:type="spellEnd"/>
      <w:r w:rsidRPr="00ED7E61">
        <w:rPr>
          <w:rStyle w:val="eop"/>
          <w:rFonts w:asciiTheme="majorBidi" w:eastAsiaTheme="majorEastAsia" w:hAnsiTheme="majorBidi" w:cstheme="majorBidi"/>
          <w:sz w:val="22"/>
          <w:szCs w:val="22"/>
        </w:rPr>
        <w:t> </w:t>
      </w:r>
    </w:p>
    <w:p w14:paraId="001F5E5A" w14:textId="77777777" w:rsidR="00244419" w:rsidRPr="00ED7E61" w:rsidRDefault="00244419" w:rsidP="00244419">
      <w:pPr>
        <w:pStyle w:val="CBDNormalNumber"/>
        <w:numPr>
          <w:ilvl w:val="0"/>
          <w:numId w:val="82"/>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Proposed disaggregation:</w:t>
      </w:r>
      <w:r w:rsidRPr="00ED7E61">
        <w:rPr>
          <w:rStyle w:val="normaltextrun"/>
        </w:rPr>
        <w:t> </w:t>
      </w:r>
    </w:p>
    <w:p w14:paraId="4E7362AF" w14:textId="77777777" w:rsidR="00244419" w:rsidRPr="00ED7E61" w:rsidRDefault="00244419" w:rsidP="00244419">
      <w:pPr>
        <w:pStyle w:val="CBDNormalNumber"/>
        <w:numPr>
          <w:ilvl w:val="1"/>
          <w:numId w:val="82"/>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Household and non-household sector farms </w:t>
      </w:r>
    </w:p>
    <w:p w14:paraId="3B9DB210" w14:textId="77777777" w:rsidR="00244419" w:rsidRPr="00ED7E61" w:rsidRDefault="00244419" w:rsidP="00244419">
      <w:pPr>
        <w:pStyle w:val="CBDNormalNumber"/>
        <w:numPr>
          <w:ilvl w:val="1"/>
          <w:numId w:val="82"/>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Crops, livestock and mixed </w:t>
      </w:r>
    </w:p>
    <w:p w14:paraId="2BC4D38D" w14:textId="77777777" w:rsidR="00244419" w:rsidRPr="00ED7E61" w:rsidRDefault="00244419" w:rsidP="00244419">
      <w:pPr>
        <w:pStyle w:val="CBDNormalNumber"/>
        <w:numPr>
          <w:ilvl w:val="1"/>
          <w:numId w:val="82"/>
        </w:numPr>
        <w:tabs>
          <w:tab w:val="clear" w:pos="567"/>
          <w:tab w:val="clear" w:pos="1134"/>
          <w:tab w:val="clear" w:pos="1701"/>
          <w:tab w:val="clear" w:pos="2268"/>
          <w:tab w:val="left" w:pos="1985"/>
        </w:tabs>
        <w:ind w:left="1276" w:firstLine="56"/>
        <w:rPr>
          <w:rStyle w:val="normaltextrun"/>
          <w:shd w:val="clear" w:color="auto" w:fill="FFFFFF"/>
        </w:rPr>
      </w:pPr>
      <w:r w:rsidRPr="00ED7E61">
        <w:rPr>
          <w:rStyle w:val="normaltextrun"/>
          <w:shd w:val="clear" w:color="auto" w:fill="FFFFFF"/>
        </w:rPr>
        <w:t>Irrigated and non-irrigated  </w:t>
      </w:r>
    </w:p>
    <w:p w14:paraId="38F4837E" w14:textId="77777777" w:rsidR="00244419" w:rsidRPr="00ED7E61" w:rsidRDefault="00244419" w:rsidP="00244419">
      <w:pPr>
        <w:pStyle w:val="CBDNormalNumber"/>
        <w:numPr>
          <w:ilvl w:val="0"/>
          <w:numId w:val="82"/>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Although not a mandatory variable for international reporting for SDG 2.4.1, the indicator can in principle be disaggregated by gender of the farm holder. This information is </w:t>
      </w:r>
      <w:proofErr w:type="gramStart"/>
      <w:r w:rsidRPr="00ED7E61">
        <w:rPr>
          <w:rStyle w:val="normaltextrun"/>
          <w:rFonts w:asciiTheme="majorBidi" w:eastAsiaTheme="majorEastAsia" w:hAnsiTheme="majorBidi" w:cstheme="majorBidi"/>
        </w:rPr>
        <w:t>not, and</w:t>
      </w:r>
      <w:proofErr w:type="gramEnd"/>
      <w:r w:rsidRPr="00ED7E61">
        <w:rPr>
          <w:rStyle w:val="normaltextrun"/>
          <w:rFonts w:asciiTheme="majorBidi" w:eastAsiaTheme="majorEastAsia" w:hAnsiTheme="majorBidi" w:cstheme="majorBidi"/>
        </w:rPr>
        <w:t xml:space="preserve"> will not be publicly available as a default in FAO and UNSD databases and reporting systems. Nevertheless, a question on gender disaggregation of data is incorporated into the SDG 2.4.1 questionnaire, accompanied by guidance for countries to collect and report information on the gender of the holder of the agriculture holding. Therefore, for national policy-making purposes, the country has the necessary tools, guidance and thus the capability to produce disaggregated estimates by gender should countries wish to collect and report sex-disaggregated data on 2.4.1 at the national level.</w:t>
      </w:r>
      <w:r w:rsidRPr="00ED7E61">
        <w:rPr>
          <w:rStyle w:val="eop"/>
          <w:rFonts w:asciiTheme="majorBidi" w:eastAsiaTheme="majorEastAsia" w:hAnsiTheme="majorBidi" w:cstheme="majorBidi"/>
        </w:rPr>
        <w:t> </w:t>
      </w:r>
    </w:p>
    <w:p w14:paraId="17654641"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2344D80C" w14:textId="77777777" w:rsidR="00244419" w:rsidRPr="00ED7E61" w:rsidRDefault="00244419" w:rsidP="00244419">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lastRenderedPageBreak/>
        <w:t>N/A</w:t>
      </w:r>
      <w:r w:rsidRPr="00ED7E61">
        <w:rPr>
          <w:rStyle w:val="normaltextrun"/>
        </w:rPr>
        <w:t> </w:t>
      </w:r>
    </w:p>
    <w:p w14:paraId="23211330" w14:textId="77777777" w:rsidR="00244419" w:rsidRPr="00ED7E61" w:rsidRDefault="00244419" w:rsidP="00244419">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46E9CF36"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12BF1BFE" w14:textId="77777777" w:rsidR="00244419" w:rsidRPr="00ED7E61" w:rsidRDefault="00244419" w:rsidP="00244419">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Food and Agriculture Organisation (FAO) Statistics Division, Agri-environment team</w:t>
      </w:r>
      <w:r w:rsidRPr="00ED7E61">
        <w:rPr>
          <w:rStyle w:val="eop"/>
          <w:rFonts w:asciiTheme="majorBidi" w:eastAsiaTheme="majorEastAsia" w:hAnsiTheme="majorBidi" w:cstheme="majorBidi"/>
        </w:rPr>
        <w:t> </w:t>
      </w:r>
    </w:p>
    <w:p w14:paraId="48A19CCA" w14:textId="77777777" w:rsidR="00244419" w:rsidRPr="00BE1FDC"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es-ES"/>
        </w:rPr>
      </w:pPr>
      <w:r w:rsidRPr="00BE1FDC">
        <w:rPr>
          <w:rStyle w:val="normaltextrun"/>
          <w:rFonts w:asciiTheme="majorBidi" w:eastAsiaTheme="majorEastAsia" w:hAnsiTheme="majorBidi" w:cstheme="majorBidi"/>
          <w:b/>
          <w:bCs/>
          <w:sz w:val="22"/>
          <w:szCs w:val="22"/>
          <w:lang w:val="es-ES"/>
        </w:rPr>
        <w:t xml:space="preserve">10b. </w:t>
      </w:r>
      <w:proofErr w:type="spellStart"/>
      <w:r w:rsidRPr="00BE1FDC">
        <w:rPr>
          <w:rStyle w:val="normaltextrun"/>
          <w:rFonts w:asciiTheme="majorBidi" w:eastAsiaTheme="majorEastAsia" w:hAnsiTheme="majorBidi" w:cstheme="majorBidi"/>
          <w:b/>
          <w:bCs/>
          <w:sz w:val="22"/>
          <w:szCs w:val="22"/>
          <w:lang w:val="es-ES"/>
        </w:rPr>
        <w:t>Contact</w:t>
      </w:r>
      <w:proofErr w:type="spellEnd"/>
      <w:r w:rsidRPr="00BE1FDC">
        <w:rPr>
          <w:rStyle w:val="normaltextrun"/>
          <w:rFonts w:asciiTheme="majorBidi" w:eastAsiaTheme="majorEastAsia" w:hAnsiTheme="majorBidi" w:cstheme="majorBidi"/>
          <w:b/>
          <w:bCs/>
          <w:sz w:val="22"/>
          <w:szCs w:val="22"/>
          <w:lang w:val="es-ES"/>
        </w:rPr>
        <w:t xml:space="preserve"> </w:t>
      </w:r>
      <w:proofErr w:type="spellStart"/>
      <w:r w:rsidRPr="00BE1FDC">
        <w:rPr>
          <w:rStyle w:val="normaltextrun"/>
          <w:rFonts w:asciiTheme="majorBidi" w:eastAsiaTheme="majorEastAsia" w:hAnsiTheme="majorBidi" w:cstheme="majorBidi"/>
          <w:b/>
          <w:bCs/>
          <w:sz w:val="22"/>
          <w:szCs w:val="22"/>
          <w:lang w:val="es-ES"/>
        </w:rPr>
        <w:t>person</w:t>
      </w:r>
      <w:proofErr w:type="spellEnd"/>
      <w:r w:rsidRPr="00BE1FDC">
        <w:rPr>
          <w:rStyle w:val="normaltextrun"/>
          <w:rFonts w:asciiTheme="majorBidi" w:eastAsiaTheme="majorEastAsia" w:hAnsiTheme="majorBidi" w:cstheme="majorBidi"/>
          <w:b/>
          <w:bCs/>
          <w:sz w:val="22"/>
          <w:szCs w:val="22"/>
          <w:lang w:val="es-ES"/>
        </w:rPr>
        <w:t>(s)</w:t>
      </w:r>
      <w:r w:rsidRPr="00BE1FDC">
        <w:rPr>
          <w:rStyle w:val="eop"/>
          <w:rFonts w:asciiTheme="majorBidi" w:eastAsiaTheme="majorEastAsia" w:hAnsiTheme="majorBidi" w:cstheme="majorBidi"/>
          <w:sz w:val="22"/>
          <w:szCs w:val="22"/>
          <w:lang w:val="es-ES"/>
        </w:rPr>
        <w:t> </w:t>
      </w:r>
    </w:p>
    <w:p w14:paraId="7B08D017" w14:textId="77777777" w:rsidR="00244419" w:rsidRPr="00ED7E61" w:rsidRDefault="00244419" w:rsidP="00244419">
      <w:pPr>
        <w:pStyle w:val="CBDNormalNumber"/>
        <w:shd w:val="clear" w:color="auto" w:fill="FFFFFF"/>
        <w:ind w:left="567"/>
        <w:rPr>
          <w:rFonts w:asciiTheme="majorBidi" w:hAnsiTheme="majorBidi" w:cstheme="majorBidi"/>
          <w:lang w:val="es-ES"/>
        </w:rPr>
      </w:pPr>
      <w:r w:rsidRPr="00ED7E61">
        <w:rPr>
          <w:rStyle w:val="normaltextrun"/>
          <w:rFonts w:asciiTheme="majorBidi" w:eastAsiaTheme="majorEastAsia" w:hAnsiTheme="majorBidi" w:cstheme="majorBidi"/>
          <w:lang w:val="es-ES"/>
        </w:rPr>
        <w:t xml:space="preserve">Francesco Nicola </w:t>
      </w:r>
      <w:proofErr w:type="gramStart"/>
      <w:r w:rsidRPr="00ED7E61">
        <w:rPr>
          <w:rStyle w:val="normaltextrun"/>
          <w:rFonts w:asciiTheme="majorBidi" w:eastAsiaTheme="majorEastAsia" w:hAnsiTheme="majorBidi" w:cstheme="majorBidi"/>
          <w:lang w:val="es-ES"/>
        </w:rPr>
        <w:t>Tubiello :</w:t>
      </w:r>
      <w:proofErr w:type="gramEnd"/>
      <w:r w:rsidRPr="00ED7E61">
        <w:rPr>
          <w:rStyle w:val="normaltextrun"/>
          <w:rFonts w:asciiTheme="majorBidi" w:eastAsiaTheme="majorEastAsia" w:hAnsiTheme="majorBidi" w:cstheme="majorBidi"/>
          <w:lang w:val="es-ES"/>
        </w:rPr>
        <w:t xml:space="preserve"> (</w:t>
      </w:r>
      <w:hyperlink r:id="rId394" w:tgtFrame="_blank" w:history="1">
        <w:r w:rsidRPr="00ED7E61">
          <w:rPr>
            <w:rStyle w:val="normaltextrun"/>
            <w:rFonts w:asciiTheme="majorBidi" w:eastAsiaTheme="majorEastAsia" w:hAnsiTheme="majorBidi" w:cstheme="majorBidi"/>
            <w:color w:val="467886"/>
            <w:u w:val="single"/>
            <w:shd w:val="clear" w:color="auto" w:fill="FFFFFF"/>
            <w:lang w:val="es-CO"/>
          </w:rPr>
          <w:t>Francesco.Tubiello@fao.org</w:t>
        </w:r>
      </w:hyperlink>
      <w:r w:rsidRPr="00ED7E61">
        <w:rPr>
          <w:rStyle w:val="normaltextrun"/>
          <w:rFonts w:asciiTheme="majorBidi" w:eastAsiaTheme="majorEastAsia" w:hAnsiTheme="majorBidi" w:cstheme="majorBidi"/>
          <w:color w:val="545454"/>
          <w:shd w:val="clear" w:color="auto" w:fill="FFFFFF"/>
          <w:lang w:val="es-CO"/>
        </w:rPr>
        <w:t>)</w:t>
      </w:r>
      <w:r w:rsidRPr="00ED7E61">
        <w:rPr>
          <w:rStyle w:val="eop"/>
          <w:rFonts w:asciiTheme="majorBidi" w:eastAsiaTheme="majorEastAsia" w:hAnsiTheme="majorBidi" w:cstheme="majorBidi"/>
          <w:color w:val="545454"/>
          <w:lang w:val="es-ES"/>
        </w:rPr>
        <w:t> </w:t>
      </w:r>
    </w:p>
    <w:p w14:paraId="1C23F2FA" w14:textId="77777777" w:rsidR="00244419" w:rsidRPr="00ED7E61" w:rsidRDefault="00244419" w:rsidP="00244419">
      <w:pPr>
        <w:pStyle w:val="CBDNormalNumber"/>
        <w:shd w:val="clear" w:color="auto" w:fill="FFFFFF"/>
        <w:ind w:left="567"/>
        <w:rPr>
          <w:rStyle w:val="eop"/>
          <w:rFonts w:asciiTheme="majorBidi" w:eastAsiaTheme="majorEastAsia" w:hAnsiTheme="majorBidi" w:cstheme="majorBidi"/>
          <w:lang w:val="es-ES"/>
        </w:rPr>
      </w:pPr>
      <w:r w:rsidRPr="00ED7E61">
        <w:rPr>
          <w:rStyle w:val="normaltextrun"/>
          <w:rFonts w:asciiTheme="majorBidi" w:eastAsiaTheme="majorEastAsia" w:hAnsiTheme="majorBidi" w:cstheme="majorBidi"/>
          <w:lang w:val="es-ES"/>
        </w:rPr>
        <w:t xml:space="preserve">Arbab </w:t>
      </w:r>
      <w:proofErr w:type="spellStart"/>
      <w:r w:rsidRPr="00ED7E61">
        <w:rPr>
          <w:rStyle w:val="normaltextrun"/>
          <w:rFonts w:asciiTheme="majorBidi" w:eastAsiaTheme="majorEastAsia" w:hAnsiTheme="majorBidi" w:cstheme="majorBidi"/>
          <w:lang w:val="es-ES"/>
        </w:rPr>
        <w:t>Asfandiyar</w:t>
      </w:r>
      <w:proofErr w:type="spellEnd"/>
      <w:r w:rsidRPr="00ED7E61">
        <w:rPr>
          <w:rStyle w:val="normaltextrun"/>
          <w:rFonts w:asciiTheme="majorBidi" w:eastAsiaTheme="majorEastAsia" w:hAnsiTheme="majorBidi" w:cstheme="majorBidi"/>
          <w:lang w:val="es-ES"/>
        </w:rPr>
        <w:t xml:space="preserve"> Khan: (</w:t>
      </w:r>
      <w:hyperlink r:id="rId395" w:history="1">
        <w:r w:rsidRPr="00ED7E61">
          <w:rPr>
            <w:rStyle w:val="Hyperlink"/>
            <w:rFonts w:asciiTheme="majorBidi" w:eastAsiaTheme="majorEastAsia" w:hAnsiTheme="majorBidi" w:cstheme="majorBidi"/>
            <w:lang w:val="es-ES"/>
          </w:rPr>
          <w:t>Arbab.Khan@fao.org</w:t>
        </w:r>
      </w:hyperlink>
      <w:r w:rsidRPr="00ED7E61">
        <w:rPr>
          <w:rStyle w:val="normaltextrun"/>
          <w:rFonts w:asciiTheme="majorBidi" w:eastAsiaTheme="majorEastAsia" w:hAnsiTheme="majorBidi" w:cstheme="majorBidi"/>
          <w:lang w:val="es-ES"/>
        </w:rPr>
        <w:t>) </w:t>
      </w:r>
      <w:r w:rsidRPr="00ED7E61">
        <w:rPr>
          <w:rStyle w:val="eop"/>
          <w:rFonts w:asciiTheme="majorBidi" w:eastAsiaTheme="majorEastAsia" w:hAnsiTheme="majorBidi" w:cstheme="majorBidi"/>
          <w:lang w:val="es-ES"/>
        </w:rPr>
        <w:t> </w:t>
      </w:r>
    </w:p>
    <w:p w14:paraId="2A2D1499" w14:textId="77777777" w:rsidR="00244419" w:rsidRPr="00ED7E61" w:rsidRDefault="00244419" w:rsidP="00244419">
      <w:pPr>
        <w:pStyle w:val="CBDNormalNumber"/>
        <w:shd w:val="clear" w:color="auto" w:fill="FFFFFF"/>
        <w:ind w:left="567"/>
        <w:rPr>
          <w:rFonts w:asciiTheme="majorBidi" w:hAnsiTheme="majorBidi" w:cstheme="majorBidi"/>
          <w:lang w:val="es-ES"/>
        </w:rPr>
      </w:pPr>
      <w:r w:rsidRPr="00ED7E61">
        <w:rPr>
          <w:rFonts w:asciiTheme="majorBidi" w:hAnsiTheme="majorBidi" w:cstheme="majorBidi"/>
          <w:lang w:val="es-ES"/>
        </w:rPr>
        <w:t>SDG241-Indicator@fao.org</w:t>
      </w:r>
    </w:p>
    <w:p w14:paraId="1E7BF8C4"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es-ES"/>
        </w:rPr>
      </w:pPr>
      <w:r w:rsidRPr="00ED7E61">
        <w:rPr>
          <w:rStyle w:val="normaltextrun"/>
          <w:rFonts w:asciiTheme="majorBidi" w:eastAsiaTheme="majorEastAsia" w:hAnsiTheme="majorBidi" w:cstheme="majorBidi"/>
          <w:b/>
          <w:bCs/>
          <w:sz w:val="22"/>
          <w:szCs w:val="22"/>
          <w:lang w:val="es-ES"/>
        </w:rPr>
        <w:t xml:space="preserve">11. </w:t>
      </w:r>
      <w:proofErr w:type="spellStart"/>
      <w:r w:rsidRPr="00ED7E61">
        <w:rPr>
          <w:rStyle w:val="normaltextrun"/>
          <w:rFonts w:asciiTheme="majorBidi" w:eastAsiaTheme="majorEastAsia" w:hAnsiTheme="majorBidi" w:cstheme="majorBidi"/>
          <w:b/>
          <w:bCs/>
          <w:sz w:val="22"/>
          <w:szCs w:val="22"/>
          <w:lang w:val="es-ES"/>
        </w:rPr>
        <w:t>References</w:t>
      </w:r>
      <w:proofErr w:type="spellEnd"/>
      <w:r w:rsidRPr="00ED7E61">
        <w:rPr>
          <w:rStyle w:val="eop"/>
          <w:rFonts w:asciiTheme="majorBidi" w:eastAsiaTheme="majorEastAsia" w:hAnsiTheme="majorBidi" w:cstheme="majorBidi"/>
          <w:sz w:val="22"/>
          <w:szCs w:val="22"/>
          <w:lang w:val="es-ES"/>
        </w:rPr>
        <w:t> </w:t>
      </w:r>
    </w:p>
    <w:p w14:paraId="1503401C" w14:textId="77777777" w:rsidR="00244419" w:rsidRPr="00ED7E61" w:rsidRDefault="00244419" w:rsidP="00244419">
      <w:pPr>
        <w:pStyle w:val="CBDNormalNumber"/>
        <w:shd w:val="clear" w:color="auto" w:fill="FFFFFF"/>
        <w:ind w:left="567"/>
        <w:rPr>
          <w:rFonts w:asciiTheme="majorBidi" w:hAnsiTheme="majorBidi" w:cstheme="majorBidi"/>
          <w:lang w:val="es-ES"/>
        </w:rPr>
      </w:pPr>
      <w:hyperlink r:id="rId396" w:history="1">
        <w:r w:rsidRPr="004C58D6">
          <w:rPr>
            <w:rStyle w:val="Hyperlink"/>
            <w:rFonts w:asciiTheme="majorBidi" w:eastAsiaTheme="majorEastAsia" w:hAnsiTheme="majorBidi" w:cstheme="majorBidi"/>
            <w:lang w:val="es-ES"/>
          </w:rPr>
          <w:t>https</w:t>
        </w:r>
        <w:r w:rsidRPr="004C58D6">
          <w:rPr>
            <w:rStyle w:val="Hyperlink"/>
            <w:lang w:val="es-ES"/>
          </w:rPr>
          <w:t>://www.fao.org/sustainable-development-goals-data-portal/data/indicators/Indicator2.4.1-proportion-of-agricultural-area-under-productive-and-sustainable-agriculture/en</w:t>
        </w:r>
      </w:hyperlink>
    </w:p>
    <w:p w14:paraId="38BF41E5" w14:textId="77777777" w:rsidR="00244419" w:rsidRPr="00ED7E61" w:rsidRDefault="00244419" w:rsidP="00244419">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12. Graphs and diagrams</w:t>
      </w:r>
      <w:r w:rsidRPr="00ED7E61">
        <w:rPr>
          <w:rStyle w:val="eop"/>
          <w:rFonts w:asciiTheme="majorBidi" w:eastAsiaTheme="majorEastAsia" w:hAnsiTheme="majorBidi" w:cstheme="majorBidi"/>
          <w:sz w:val="22"/>
          <w:szCs w:val="22"/>
        </w:rPr>
        <w:t> </w:t>
      </w:r>
    </w:p>
    <w:p w14:paraId="1C4FD239" w14:textId="77777777" w:rsidR="00244419" w:rsidRPr="00ED7E61" w:rsidRDefault="00244419" w:rsidP="00244419">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58744E4B" w14:textId="0B85CE63" w:rsidR="00756F0F" w:rsidRPr="00ED7E61" w:rsidRDefault="004F77DE" w:rsidP="00501E19">
      <w:pPr>
        <w:pStyle w:val="Heading3"/>
      </w:pPr>
      <w:bookmarkStart w:id="51" w:name="_Toc233278578"/>
      <w:r w:rsidRPr="00ED7E61">
        <w:rPr>
          <w:rStyle w:val="normaltextrun"/>
        </w:rPr>
        <w:t>10.2 Progress towards sustainable forest management</w:t>
      </w:r>
      <w:r w:rsidR="00B668FA" w:rsidRPr="00ED7E61">
        <w:rPr>
          <w:rStyle w:val="FootnoteReference"/>
        </w:rPr>
        <w:footnoteReference w:id="42"/>
      </w:r>
      <w:bookmarkEnd w:id="51"/>
      <w:r w:rsidR="00756F0F" w:rsidRPr="00ED7E61">
        <w:rPr>
          <w:rStyle w:val="normaltextrun"/>
        </w:rPr>
        <w:t> </w:t>
      </w:r>
      <w:r w:rsidR="00756F0F" w:rsidRPr="00ED7E61">
        <w:rPr>
          <w:rStyle w:val="eop"/>
        </w:rPr>
        <w:t> </w:t>
      </w:r>
    </w:p>
    <w:p w14:paraId="08C89AA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12E29E8A" w14:textId="77777777" w:rsidR="00756F0F" w:rsidRPr="00ED7E61" w:rsidRDefault="00756F0F" w:rsidP="00395866">
      <w:pPr>
        <w:pStyle w:val="paragraph"/>
        <w:spacing w:before="0" w:beforeAutospacing="0" w:after="0" w:afterAutospacing="0"/>
        <w:ind w:right="-21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shd w:val="clear" w:color="auto" w:fill="FFFFFF"/>
          <w:lang w:val="en-GB"/>
        </w:rPr>
        <w:t>10.2 Progress towards sustainable forest management</w:t>
      </w:r>
      <w:r w:rsidRPr="00ED7E61">
        <w:rPr>
          <w:rStyle w:val="eop"/>
          <w:rFonts w:asciiTheme="majorBidi" w:eastAsiaTheme="majorEastAsia" w:hAnsiTheme="majorBidi" w:cstheme="majorBidi"/>
          <w:sz w:val="22"/>
          <w:szCs w:val="22"/>
        </w:rPr>
        <w:t> </w:t>
      </w:r>
    </w:p>
    <w:p w14:paraId="1AE8E240" w14:textId="77777777" w:rsidR="00756F0F" w:rsidRPr="00ED7E61" w:rsidRDefault="00756F0F" w:rsidP="00BF0E81">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733C5F5E" w14:textId="10CC47E4" w:rsidR="00756F0F" w:rsidRPr="00ED7E61" w:rsidRDefault="00E45CAE"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lang w:val="en-GB"/>
        </w:rPr>
        <w:t>February</w:t>
      </w:r>
      <w:r w:rsidRPr="00ED7E61">
        <w:rPr>
          <w:rStyle w:val="normaltextrun"/>
          <w:rFonts w:asciiTheme="majorBidi" w:eastAsiaTheme="majorEastAsia" w:hAnsiTheme="majorBidi" w:cstheme="majorBidi"/>
          <w:sz w:val="22"/>
          <w:szCs w:val="22"/>
          <w:lang w:val="en-GB"/>
        </w:rPr>
        <w:t xml:space="preserve"> </w:t>
      </w:r>
      <w:r w:rsidR="00775978" w:rsidRPr="00ED7E61">
        <w:rPr>
          <w:rStyle w:val="normaltextrun"/>
          <w:rFonts w:asciiTheme="majorBidi" w:eastAsiaTheme="majorEastAsia" w:hAnsiTheme="majorBidi" w:cstheme="majorBidi"/>
          <w:sz w:val="22"/>
          <w:szCs w:val="22"/>
          <w:lang w:val="en-GB"/>
        </w:rPr>
        <w:t>202</w:t>
      </w:r>
      <w:r>
        <w:rPr>
          <w:rStyle w:val="normaltextrun"/>
          <w:rFonts w:asciiTheme="majorBidi" w:eastAsiaTheme="majorEastAsia" w:hAnsiTheme="majorBidi" w:cstheme="majorBidi"/>
          <w:sz w:val="22"/>
          <w:szCs w:val="22"/>
          <w:lang w:val="en-GB"/>
        </w:rPr>
        <w:t>6</w:t>
      </w:r>
      <w:r w:rsidR="00756F0F" w:rsidRPr="00ED7E61">
        <w:rPr>
          <w:rStyle w:val="eop"/>
          <w:rFonts w:asciiTheme="majorBidi" w:eastAsiaTheme="majorEastAsia" w:hAnsiTheme="majorBidi" w:cstheme="majorBidi"/>
          <w:sz w:val="22"/>
          <w:szCs w:val="22"/>
        </w:rPr>
        <w:t> </w:t>
      </w:r>
    </w:p>
    <w:p w14:paraId="6E237E7D" w14:textId="77777777" w:rsidR="00756F0F" w:rsidRPr="00ED7E61" w:rsidRDefault="00756F0F" w:rsidP="00BF0E81">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62B861D7" w14:textId="77777777" w:rsidR="00756F0F" w:rsidRPr="00ED7E61" w:rsidRDefault="00756F0F" w:rsidP="00BF0E81">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568E6C9D" w14:textId="77777777" w:rsidR="00756F0F" w:rsidRPr="00ED7E61" w:rsidRDefault="00756F0F" w:rsidP="00BF0E81">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30E9B860" w14:textId="77777777" w:rsidR="00756F0F" w:rsidRPr="00ED7E61" w:rsidRDefault="00756F0F" w:rsidP="00BF0E81">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p w14:paraId="1152FF9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Headline indicator for Target 10. 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r w:rsidRPr="00ED7E61">
        <w:rPr>
          <w:rStyle w:val="eop"/>
          <w:rFonts w:asciiTheme="majorBidi" w:eastAsiaTheme="majorEastAsia" w:hAnsiTheme="majorBidi" w:cstheme="majorBidi"/>
          <w:sz w:val="22"/>
          <w:szCs w:val="22"/>
        </w:rPr>
        <w:t> </w:t>
      </w:r>
    </w:p>
    <w:p w14:paraId="3823E69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4822AEFB" w14:textId="7E911592" w:rsidR="009925BD" w:rsidRPr="00ED7E61" w:rsidRDefault="00756F0F" w:rsidP="00B10F0C">
      <w:pPr>
        <w:pStyle w:val="CBDNormalNumber"/>
        <w:numPr>
          <w:ilvl w:val="0"/>
          <w:numId w:val="84"/>
        </w:numPr>
        <w:shd w:val="clear" w:color="auto" w:fill="FFFFFF"/>
        <w:tabs>
          <w:tab w:val="clear" w:pos="1701"/>
        </w:tabs>
        <w:ind w:left="567" w:firstLine="0"/>
        <w:rPr>
          <w:rStyle w:val="normaltextrun"/>
          <w:rFonts w:eastAsiaTheme="majorEastAsia"/>
        </w:rPr>
      </w:pPr>
      <w:r w:rsidRPr="00ED7E61">
        <w:rPr>
          <w:rStyle w:val="normaltextrun"/>
          <w:rFonts w:asciiTheme="majorBidi" w:eastAsiaTheme="majorEastAsia" w:hAnsiTheme="majorBidi" w:cstheme="majorBidi"/>
        </w:rPr>
        <w:t>This indicator aims to monitor the progress towards sustainable forest management (SFM) which is a central concept for Target 10. </w:t>
      </w:r>
      <w:r w:rsidRPr="00ED7E61">
        <w:rPr>
          <w:rStyle w:val="normaltextrun"/>
        </w:rPr>
        <w:t> </w:t>
      </w:r>
    </w:p>
    <w:p w14:paraId="19C041FF" w14:textId="77777777"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 xml:space="preserve">The definition of SFM by the UN General Assembly contains several key aspects, notably that sustainable forest management is a concept which varies over time and between countries, whose circumstances – ecological, social and economic – vary widely, but that it should always address a wide range of forest values, including economic, social and environmental values, and take intergenerational equity into account. Clearly a simple measure of forest area is insufficient to monitor sustainable forest </w:t>
      </w:r>
      <w:proofErr w:type="gramStart"/>
      <w:r w:rsidRPr="00ED7E61">
        <w:rPr>
          <w:rStyle w:val="normaltextrun"/>
          <w:rFonts w:asciiTheme="majorBidi" w:eastAsiaTheme="majorEastAsia" w:hAnsiTheme="majorBidi" w:cstheme="majorBidi"/>
          <w:color w:val="242424"/>
        </w:rPr>
        <w:t>management as a whole</w:t>
      </w:r>
      <w:proofErr w:type="gramEnd"/>
      <w:r w:rsidRPr="00ED7E61">
        <w:rPr>
          <w:rStyle w:val="normaltextrun"/>
          <w:rFonts w:asciiTheme="majorBidi" w:eastAsiaTheme="majorEastAsia" w:hAnsiTheme="majorBidi" w:cstheme="majorBidi"/>
          <w:color w:val="242424"/>
        </w:rPr>
        <w:t>. The significance of the five sub-indicators can be briefly explained as follows: </w:t>
      </w:r>
      <w:r w:rsidRPr="00ED7E61">
        <w:rPr>
          <w:rStyle w:val="eop"/>
          <w:rFonts w:asciiTheme="majorBidi" w:eastAsiaTheme="majorEastAsia" w:hAnsiTheme="majorBidi" w:cstheme="majorBidi"/>
          <w:color w:val="242424"/>
        </w:rPr>
        <w:t> </w:t>
      </w:r>
    </w:p>
    <w:p w14:paraId="51C18D60" w14:textId="0B777D30" w:rsidR="009925BD" w:rsidRPr="00ED7E61" w:rsidRDefault="00756F0F" w:rsidP="00B10F0C">
      <w:pPr>
        <w:pStyle w:val="CBDNormalNumber"/>
        <w:numPr>
          <w:ilvl w:val="1"/>
          <w:numId w:val="84"/>
        </w:numPr>
        <w:tabs>
          <w:tab w:val="clear" w:pos="567"/>
          <w:tab w:val="clear" w:pos="1134"/>
          <w:tab w:val="clear" w:pos="2268"/>
          <w:tab w:val="left" w:pos="1985"/>
        </w:tabs>
        <w:ind w:left="567" w:firstLine="567"/>
        <w:rPr>
          <w:rFonts w:asciiTheme="majorBidi" w:hAnsiTheme="majorBidi" w:cstheme="majorBidi"/>
        </w:rPr>
      </w:pPr>
      <w:r w:rsidRPr="00ED7E61">
        <w:rPr>
          <w:rStyle w:val="normaltextrun"/>
          <w:shd w:val="clear" w:color="auto" w:fill="FFFFFF"/>
        </w:rPr>
        <w:t>Trends</w:t>
      </w:r>
      <w:r w:rsidRPr="00ED7E61">
        <w:rPr>
          <w:rStyle w:val="normaltextrun"/>
          <w:rFonts w:asciiTheme="majorBidi" w:eastAsiaTheme="majorEastAsia" w:hAnsiTheme="majorBidi" w:cstheme="majorBidi"/>
          <w:color w:val="242424"/>
        </w:rPr>
        <w:t xml:space="preserve"> in forest area are crucial for monitoring SFM. The first sub-indicator focuses on both the direction of change (whether there is a loss or gain in forest area) and how the change rate </w:t>
      </w:r>
      <w:r w:rsidRPr="00ED7E61">
        <w:rPr>
          <w:rStyle w:val="normaltextrun"/>
          <w:rFonts w:asciiTheme="majorBidi" w:eastAsiaTheme="majorEastAsia" w:hAnsiTheme="majorBidi" w:cstheme="majorBidi"/>
          <w:color w:val="242424"/>
        </w:rPr>
        <w:lastRenderedPageBreak/>
        <w:t>varies over time; the latter is important to capture progress among countries that are losing forest area but have managed to reduce the rate of annual forest area loss. </w:t>
      </w:r>
      <w:r w:rsidRPr="00ED7E61">
        <w:rPr>
          <w:rStyle w:val="eop"/>
          <w:rFonts w:asciiTheme="majorBidi" w:eastAsiaTheme="majorEastAsia" w:hAnsiTheme="majorBidi" w:cstheme="majorBidi"/>
          <w:color w:val="242424"/>
        </w:rPr>
        <w:t> </w:t>
      </w:r>
    </w:p>
    <w:p w14:paraId="64D56A2C" w14:textId="722E3CC2" w:rsidR="009925BD" w:rsidRPr="00ED7E61" w:rsidRDefault="00756F0F" w:rsidP="00B10F0C">
      <w:pPr>
        <w:pStyle w:val="CBDNormalNumber"/>
        <w:numPr>
          <w:ilvl w:val="1"/>
          <w:numId w:val="84"/>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242424"/>
        </w:rPr>
        <w:t>Changes in the above-ground biomass stock in forest indicate the balance between gains in biomass stock due to forest growth and losses due to wood removals, natural losses, fire, wind, pests and diseases. At country level and over a longer period, sustainable forest management would imply a stable or increasing biomass stock per hectare, while a long-term reduction of biomass stock per hectare would imply either unsustainable management of the forests and degradation or unexpected major losses due to fire, wind, pests or diseases. </w:t>
      </w:r>
      <w:r w:rsidRPr="00ED7E61">
        <w:rPr>
          <w:rStyle w:val="eop"/>
          <w:rFonts w:asciiTheme="majorBidi" w:eastAsiaTheme="majorEastAsia" w:hAnsiTheme="majorBidi" w:cstheme="majorBidi"/>
          <w:color w:val="242424"/>
        </w:rPr>
        <w:t> </w:t>
      </w:r>
    </w:p>
    <w:p w14:paraId="1850235D" w14:textId="4A009695" w:rsidR="009925BD" w:rsidRPr="00ED7E61" w:rsidRDefault="00756F0F" w:rsidP="00B10F0C">
      <w:pPr>
        <w:pStyle w:val="CBDNormalNumber"/>
        <w:numPr>
          <w:ilvl w:val="1"/>
          <w:numId w:val="84"/>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242424"/>
        </w:rPr>
        <w:t>The change in forest area within legally protected areas is a proxy for trends in conservation of forest biodiversity as well as cultural and spiritual values of forests and thus a clear indication of the political will to protect and conserve forests. This indicator is related to GBF Target 3 which calls for each country to conserve at least 30 per cent of terrestrial and inland water areas. </w:t>
      </w:r>
      <w:r w:rsidRPr="00ED7E61">
        <w:rPr>
          <w:rStyle w:val="eop"/>
          <w:rFonts w:asciiTheme="majorBidi" w:eastAsiaTheme="majorEastAsia" w:hAnsiTheme="majorBidi" w:cstheme="majorBidi"/>
          <w:color w:val="242424"/>
        </w:rPr>
        <w:t> </w:t>
      </w:r>
    </w:p>
    <w:p w14:paraId="0D1E1439" w14:textId="3E5C5358" w:rsidR="009925BD" w:rsidRPr="00ED7E61" w:rsidRDefault="00756F0F" w:rsidP="00B10F0C">
      <w:pPr>
        <w:pStyle w:val="CBDNormalNumber"/>
        <w:numPr>
          <w:ilvl w:val="1"/>
          <w:numId w:val="84"/>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242424"/>
        </w:rPr>
        <w:t>The fourth sub-indicator looks at the forest area that is under a long-term forest management plan. The existence of a documented forest management plan is the basis for long term and sustainable management of the forest resources for a variety of management objectives</w:t>
      </w:r>
      <w:r w:rsidR="00FD5BB5">
        <w:rPr>
          <w:rStyle w:val="normaltextrun"/>
          <w:rFonts w:asciiTheme="majorBidi" w:eastAsiaTheme="majorEastAsia" w:hAnsiTheme="majorBidi" w:cstheme="majorBidi"/>
          <w:color w:val="242424"/>
        </w:rPr>
        <w:t xml:space="preserve">, for instance any combination of development of </w:t>
      </w:r>
      <w:r w:rsidRPr="00ED7E61">
        <w:rPr>
          <w:rStyle w:val="normaltextrun"/>
          <w:rFonts w:asciiTheme="majorBidi" w:eastAsiaTheme="majorEastAsia" w:hAnsiTheme="majorBidi" w:cstheme="majorBidi"/>
          <w:color w:val="242424"/>
        </w:rPr>
        <w:t>wood and non-wood forest products, protection of soil and water, biodiversity conservation, social and cultural use, and a combination of two or several of these. An increasing area under forest management plan</w:t>
      </w:r>
      <w:r w:rsidR="00FD4920">
        <w:rPr>
          <w:rStyle w:val="normaltextrun"/>
          <w:rFonts w:asciiTheme="majorBidi" w:eastAsiaTheme="majorEastAsia" w:hAnsiTheme="majorBidi" w:cstheme="majorBidi"/>
          <w:color w:val="242424"/>
        </w:rPr>
        <w:t>ning can</w:t>
      </w:r>
      <w:r w:rsidRPr="00ED7E61">
        <w:rPr>
          <w:rStyle w:val="normaltextrun"/>
          <w:rFonts w:asciiTheme="majorBidi" w:eastAsiaTheme="majorEastAsia" w:hAnsiTheme="majorBidi" w:cstheme="majorBidi"/>
          <w:color w:val="242424"/>
        </w:rPr>
        <w:t xml:space="preserve"> therefore </w:t>
      </w:r>
      <w:r w:rsidR="00FD4920">
        <w:rPr>
          <w:rStyle w:val="normaltextrun"/>
          <w:rFonts w:asciiTheme="majorBidi" w:eastAsiaTheme="majorEastAsia" w:hAnsiTheme="majorBidi" w:cstheme="majorBidi"/>
          <w:color w:val="242424"/>
        </w:rPr>
        <w:t>be</w:t>
      </w:r>
      <w:r w:rsidR="00FD4920" w:rsidRPr="00ED7E61">
        <w:rPr>
          <w:rStyle w:val="normaltextrun"/>
          <w:rFonts w:asciiTheme="majorBidi" w:eastAsiaTheme="majorEastAsia" w:hAnsiTheme="majorBidi" w:cstheme="majorBidi"/>
          <w:color w:val="242424"/>
        </w:rPr>
        <w:t xml:space="preserve"> </w:t>
      </w:r>
      <w:r w:rsidR="00AA3929">
        <w:rPr>
          <w:rStyle w:val="normaltextrun"/>
          <w:rFonts w:asciiTheme="majorBidi" w:eastAsiaTheme="majorEastAsia" w:hAnsiTheme="majorBidi" w:cstheme="majorBidi"/>
          <w:color w:val="242424"/>
        </w:rPr>
        <w:t xml:space="preserve">an </w:t>
      </w:r>
      <w:r w:rsidRPr="00ED7E61">
        <w:rPr>
          <w:rStyle w:val="normaltextrun"/>
          <w:rFonts w:asciiTheme="majorBidi" w:eastAsiaTheme="majorEastAsia" w:hAnsiTheme="majorBidi" w:cstheme="majorBidi"/>
          <w:color w:val="242424"/>
        </w:rPr>
        <w:t>indicat</w:t>
      </w:r>
      <w:r w:rsidR="00AA3929">
        <w:rPr>
          <w:rStyle w:val="normaltextrun"/>
          <w:rFonts w:asciiTheme="majorBidi" w:eastAsiaTheme="majorEastAsia" w:hAnsiTheme="majorBidi" w:cstheme="majorBidi"/>
          <w:color w:val="242424"/>
        </w:rPr>
        <w:t>i</w:t>
      </w:r>
      <w:r w:rsidRPr="00ED7E61">
        <w:rPr>
          <w:rStyle w:val="normaltextrun"/>
          <w:rFonts w:asciiTheme="majorBidi" w:eastAsiaTheme="majorEastAsia" w:hAnsiTheme="majorBidi" w:cstheme="majorBidi"/>
          <w:color w:val="242424"/>
        </w:rPr>
        <w:t>o</w:t>
      </w:r>
      <w:r w:rsidR="00AA3929">
        <w:rPr>
          <w:rStyle w:val="normaltextrun"/>
          <w:rFonts w:asciiTheme="majorBidi" w:eastAsiaTheme="majorEastAsia" w:hAnsiTheme="majorBidi" w:cstheme="majorBidi"/>
          <w:color w:val="242424"/>
        </w:rPr>
        <w:t>n</w:t>
      </w:r>
      <w:r w:rsidRPr="00ED7E61">
        <w:rPr>
          <w:rStyle w:val="normaltextrun"/>
          <w:rFonts w:asciiTheme="majorBidi" w:eastAsiaTheme="majorEastAsia" w:hAnsiTheme="majorBidi" w:cstheme="majorBidi"/>
          <w:color w:val="242424"/>
        </w:rPr>
        <w:t xml:space="preserve"> of progress towards sustainable forest management. </w:t>
      </w:r>
      <w:r w:rsidRPr="00ED7E61">
        <w:rPr>
          <w:rStyle w:val="eop"/>
          <w:rFonts w:asciiTheme="majorBidi" w:eastAsiaTheme="majorEastAsia" w:hAnsiTheme="majorBidi" w:cstheme="majorBidi"/>
          <w:color w:val="242424"/>
        </w:rPr>
        <w:t> </w:t>
      </w:r>
    </w:p>
    <w:p w14:paraId="730F1086" w14:textId="1A90544C"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242424"/>
        </w:rPr>
        <w:t xml:space="preserve">The fifth sub-indicator is the forest area that is certified by an independently verified forest management certification scheme. Such certification schemes </w:t>
      </w:r>
      <w:r w:rsidR="00AA3929">
        <w:rPr>
          <w:rStyle w:val="normaltextrun"/>
          <w:rFonts w:asciiTheme="majorBidi" w:eastAsiaTheme="majorEastAsia" w:hAnsiTheme="majorBidi" w:cstheme="majorBidi"/>
          <w:color w:val="242424"/>
        </w:rPr>
        <w:t xml:space="preserve">usually </w:t>
      </w:r>
      <w:r w:rsidRPr="00ED7E61">
        <w:rPr>
          <w:rStyle w:val="normaltextrun"/>
          <w:rFonts w:asciiTheme="majorBidi" w:eastAsiaTheme="majorEastAsia" w:hAnsiTheme="majorBidi" w:cstheme="majorBidi"/>
          <w:color w:val="242424"/>
        </w:rPr>
        <w:t xml:space="preserve">apply </w:t>
      </w:r>
      <w:r w:rsidR="00AA3929">
        <w:rPr>
          <w:rStyle w:val="normaltextrun"/>
          <w:rFonts w:asciiTheme="majorBidi" w:eastAsiaTheme="majorEastAsia" w:hAnsiTheme="majorBidi" w:cstheme="majorBidi"/>
          <w:color w:val="242424"/>
        </w:rPr>
        <w:t xml:space="preserve">higher </w:t>
      </w:r>
      <w:r w:rsidRPr="00ED7E61">
        <w:rPr>
          <w:rStyle w:val="normaltextrun"/>
          <w:rFonts w:asciiTheme="majorBidi" w:eastAsiaTheme="majorEastAsia" w:hAnsiTheme="majorBidi" w:cstheme="majorBidi"/>
          <w:color w:val="242424"/>
        </w:rPr>
        <w:t>standards than those established by countries’ own normative frameworks, and compliance is verified by an independent and accredited certifier. An increase in certified forest area therefore provides an additional indication of progress towards sustainable forest management. It should</w:t>
      </w:r>
      <w:r w:rsidR="00D42495">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 xml:space="preserve"> however</w:t>
      </w:r>
      <w:r w:rsidR="00D42495">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 xml:space="preserve"> be noted that there are significant areas of sustainably managed forest </w:t>
      </w:r>
      <w:r w:rsidR="00D42495">
        <w:rPr>
          <w:rStyle w:val="normaltextrun"/>
          <w:rFonts w:asciiTheme="majorBidi" w:eastAsiaTheme="majorEastAsia" w:hAnsiTheme="majorBidi" w:cstheme="majorBidi"/>
          <w:color w:val="242424"/>
        </w:rPr>
        <w:t>that</w:t>
      </w:r>
      <w:r w:rsidR="00D42495" w:rsidRPr="00ED7E61">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are not certified, either because their owners have chosen not to seek certification (which is voluntary and market-based) or because no credible or affordable certification scheme is in place for that area.</w:t>
      </w:r>
      <w:r w:rsidRPr="00ED7E61">
        <w:rPr>
          <w:rStyle w:val="eop"/>
          <w:rFonts w:asciiTheme="majorBidi" w:eastAsiaTheme="majorEastAsia" w:hAnsiTheme="majorBidi" w:cstheme="majorBidi"/>
          <w:color w:val="242424"/>
        </w:rPr>
        <w:t> </w:t>
      </w:r>
    </w:p>
    <w:p w14:paraId="23F9DBF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4378732A" w14:textId="77777777" w:rsidR="00756F0F" w:rsidRPr="00ED7E61" w:rsidRDefault="00756F0F" w:rsidP="00BF0E81">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7EE6E354" w14:textId="77777777" w:rsidR="00756F0F" w:rsidRPr="00ED7E61" w:rsidRDefault="00756F0F" w:rsidP="00BF0E81">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Indicator definition</w:t>
      </w:r>
      <w:r w:rsidRPr="00ED7E61">
        <w:rPr>
          <w:rStyle w:val="eop"/>
          <w:rFonts w:asciiTheme="majorBidi" w:eastAsiaTheme="majorEastAsia" w:hAnsiTheme="majorBidi" w:cstheme="majorBidi"/>
          <w:sz w:val="22"/>
          <w:szCs w:val="22"/>
        </w:rPr>
        <w:t> </w:t>
      </w:r>
    </w:p>
    <w:p w14:paraId="7AABFBE2"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Sustainable forest management</w:t>
      </w:r>
      <w:r w:rsidRPr="00ED7E61">
        <w:rPr>
          <w:rStyle w:val="normaltextrun"/>
          <w:rFonts w:asciiTheme="majorBidi" w:eastAsiaTheme="majorEastAsia" w:hAnsiTheme="majorBidi" w:cstheme="majorBidi"/>
        </w:rPr>
        <w:t>” (SFM) has been formally defined, by the UN General Assembly, as follows:</w:t>
      </w:r>
      <w:r w:rsidRPr="00ED7E61">
        <w:rPr>
          <w:rStyle w:val="normaltextrun"/>
        </w:rPr>
        <w:t> </w:t>
      </w:r>
    </w:p>
    <w:p w14:paraId="32EAFC5F" w14:textId="77777777" w:rsidR="00756F0F" w:rsidRPr="00ED7E61" w:rsidRDefault="00756F0F" w:rsidP="005B0D1E">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color w:val="242424"/>
          <w:sz w:val="22"/>
          <w:szCs w:val="22"/>
          <w:lang w:val="en-GB"/>
        </w:rPr>
        <w:t>[a] dynamic and evolving concept [that] aims to maintain and enhance the economic, social and environmental values of all types of forests, for the benefit of present and future generations</w:t>
      </w:r>
      <w:r w:rsidRPr="00ED7E61">
        <w:rPr>
          <w:rStyle w:val="normaltextrun"/>
          <w:rFonts w:asciiTheme="majorBidi" w:eastAsiaTheme="majorEastAsia" w:hAnsiTheme="majorBidi" w:cstheme="majorBidi"/>
          <w:color w:val="242424"/>
          <w:sz w:val="22"/>
          <w:szCs w:val="22"/>
          <w:lang w:val="en-GB"/>
        </w:rPr>
        <w:t>” (Resolution A/RES/62/98)</w:t>
      </w:r>
      <w:r w:rsidRPr="00ED7E61">
        <w:rPr>
          <w:rStyle w:val="eop"/>
          <w:rFonts w:asciiTheme="majorBidi" w:eastAsiaTheme="majorEastAsia" w:hAnsiTheme="majorBidi" w:cstheme="majorBidi"/>
          <w:color w:val="242424"/>
          <w:sz w:val="22"/>
          <w:szCs w:val="22"/>
        </w:rPr>
        <w:t> </w:t>
      </w:r>
    </w:p>
    <w:p w14:paraId="7BE0984F" w14:textId="6B77C3C0" w:rsidR="00756F0F" w:rsidRPr="00ED7E61" w:rsidRDefault="00756F0F" w:rsidP="00B10F0C">
      <w:pPr>
        <w:pStyle w:val="CBDNormalNumber"/>
        <w:numPr>
          <w:ilvl w:val="0"/>
          <w:numId w:val="8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The indicator is composed of five sub-indicators that measure progress towards all dimensions of sustainable forest management. The environmental values of forests are covered by three sub-indicators focused on the extension of forest area, biomass within the forest area and protection and maintenance of biological diversity, and of natural and associated cultural resources. Social and economic values of forests are reconciled with environmental values through sustainable management plans. The sub</w:t>
      </w:r>
      <w:r w:rsidR="00D56314">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indicator provides further qualification to the management of forest areas, by assessing areas which are independently verified for compliance with a set of national or international standards.</w:t>
      </w:r>
      <w:r w:rsidRPr="00ED7E61">
        <w:rPr>
          <w:rStyle w:val="normaltextrun"/>
        </w:rPr>
        <w:t> </w:t>
      </w:r>
    </w:p>
    <w:p w14:paraId="723FF9B2"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The sub-indicators are:</w:t>
      </w:r>
      <w:r w:rsidRPr="00ED7E61">
        <w:rPr>
          <w:rStyle w:val="normaltextrun"/>
        </w:rPr>
        <w:t> </w:t>
      </w:r>
    </w:p>
    <w:p w14:paraId="1B5B0A31"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Annual forest area change rate </w:t>
      </w:r>
      <w:r w:rsidRPr="00ED7E61">
        <w:rPr>
          <w:rStyle w:val="normaltextrun"/>
        </w:rPr>
        <w:t> </w:t>
      </w:r>
    </w:p>
    <w:p w14:paraId="0EA2BC44"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Above-ground biomass in forest</w:t>
      </w:r>
      <w:r w:rsidRPr="00ED7E61">
        <w:rPr>
          <w:rStyle w:val="normaltextrun"/>
        </w:rPr>
        <w:t> </w:t>
      </w:r>
    </w:p>
    <w:p w14:paraId="141D349A"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lastRenderedPageBreak/>
        <w:t>Proportion of forest area within legally established protected areas </w:t>
      </w:r>
      <w:r w:rsidRPr="00ED7E61">
        <w:rPr>
          <w:rStyle w:val="normaltextrun"/>
        </w:rPr>
        <w:t> </w:t>
      </w:r>
    </w:p>
    <w:p w14:paraId="3F77BEC1"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Proportion of forest area under a long-term management plan</w:t>
      </w:r>
      <w:r w:rsidRPr="00ED7E61">
        <w:rPr>
          <w:rStyle w:val="normaltextrun"/>
        </w:rPr>
        <w:t> </w:t>
      </w:r>
    </w:p>
    <w:p w14:paraId="6FDDBE8A"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Forest area under an independently verified forest management certification scheme</w:t>
      </w:r>
      <w:r w:rsidRPr="00ED7E61">
        <w:rPr>
          <w:rStyle w:val="normaltextrun"/>
        </w:rPr>
        <w:t> </w:t>
      </w:r>
    </w:p>
    <w:p w14:paraId="28E39877" w14:textId="77777777"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 xml:space="preserve">A </w:t>
      </w:r>
      <w:r w:rsidRPr="00ED7E61">
        <w:rPr>
          <w:rStyle w:val="normaltextrun"/>
          <w:rFonts w:asciiTheme="majorBidi" w:eastAsiaTheme="majorEastAsia" w:hAnsiTheme="majorBidi" w:cstheme="majorBidi"/>
        </w:rPr>
        <w:t>dashboard</w:t>
      </w:r>
      <w:r w:rsidRPr="00ED7E61">
        <w:rPr>
          <w:rStyle w:val="normaltextrun"/>
          <w:rFonts w:asciiTheme="majorBidi" w:eastAsiaTheme="majorEastAsia" w:hAnsiTheme="majorBidi" w:cstheme="majorBidi"/>
          <w:color w:val="242424"/>
        </w:rPr>
        <w:t xml:space="preserve"> is used to assess progress related to the five sub-indicators. The adoption of the dashboard approach aims at ensuring consideration of all dimensions of sustainable forest management and provides for clear view of areas where progress has been achieved.</w:t>
      </w:r>
      <w:r w:rsidRPr="00ED7E61">
        <w:rPr>
          <w:rStyle w:val="eop"/>
          <w:rFonts w:asciiTheme="majorBidi" w:eastAsiaTheme="majorEastAsia" w:hAnsiTheme="majorBidi" w:cstheme="majorBidi"/>
          <w:color w:val="242424"/>
        </w:rPr>
        <w:t> </w:t>
      </w:r>
    </w:p>
    <w:p w14:paraId="3E5CC919" w14:textId="77777777" w:rsidR="00756F0F" w:rsidRPr="00ED7E61" w:rsidRDefault="00756F0F" w:rsidP="001F68D7">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b/>
          <w:bCs/>
          <w:color w:val="000000"/>
          <w:lang w:val="en-AU"/>
        </w:rPr>
        <w:t>Other key concepts and definitions:</w:t>
      </w:r>
      <w:r w:rsidRPr="00ED7E61">
        <w:rPr>
          <w:rStyle w:val="eop"/>
          <w:rFonts w:asciiTheme="majorBidi" w:eastAsiaTheme="majorEastAsia" w:hAnsiTheme="majorBidi" w:cstheme="majorBidi"/>
          <w:color w:val="000000"/>
        </w:rPr>
        <w:t> </w:t>
      </w:r>
    </w:p>
    <w:p w14:paraId="3104D481" w14:textId="77777777" w:rsidR="00676500" w:rsidRPr="0081287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Forest Land spanning more than 0.5 hectares with trees higher than 5 meters and a canopy cover of more than 10 percent, or trees able to reach these thresholds in situ. It does not include land that is predominantly under agricultural or urban land use</w:t>
      </w:r>
      <w:r w:rsidR="00676500">
        <w:rPr>
          <w:rStyle w:val="normaltextrun"/>
          <w:rFonts w:asciiTheme="majorBidi" w:eastAsiaTheme="majorEastAsia" w:hAnsiTheme="majorBidi" w:cstheme="majorBidi"/>
          <w:color w:val="242424"/>
        </w:rPr>
        <w:t xml:space="preserve">. </w:t>
      </w:r>
    </w:p>
    <w:p w14:paraId="089BA2F2" w14:textId="2DFE9C83" w:rsidR="00756F0F" w:rsidRPr="00ED7E61" w:rsidRDefault="00676500" w:rsidP="00B10F0C">
      <w:pPr>
        <w:pStyle w:val="CBDNormalNumber"/>
        <w:numPr>
          <w:ilvl w:val="0"/>
          <w:numId w:val="84"/>
        </w:numPr>
        <w:shd w:val="clear" w:color="auto" w:fill="FFFFFF"/>
        <w:ind w:left="567" w:firstLine="0"/>
        <w:rPr>
          <w:rStyle w:val="normaltextrun"/>
          <w:rFonts w:eastAsiaTheme="majorEastAsia"/>
          <w:color w:val="242424"/>
        </w:rPr>
      </w:pPr>
      <w:r>
        <w:rPr>
          <w:rStyle w:val="normaltextrun"/>
          <w:rFonts w:asciiTheme="majorBidi" w:eastAsiaTheme="majorEastAsia" w:hAnsiTheme="majorBidi" w:cstheme="majorBidi"/>
          <w:color w:val="242424"/>
        </w:rPr>
        <w:t>Explanatory notes:</w:t>
      </w:r>
      <w:r w:rsidR="00756F0F" w:rsidRPr="00ED7E61">
        <w:rPr>
          <w:rStyle w:val="normaltextrun"/>
        </w:rPr>
        <w:t> </w:t>
      </w:r>
    </w:p>
    <w:p w14:paraId="55C6CFBE" w14:textId="6A2B803E"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Forest is determined both by the presence of trees and the absence of other predominant land uses. The trees should be able to reach a minimum height of 5 meters</w:t>
      </w:r>
      <w:r w:rsidR="00676500">
        <w:rPr>
          <w:rStyle w:val="normaltextrun"/>
          <w:rFonts w:asciiTheme="majorBidi" w:eastAsiaTheme="majorEastAsia" w:hAnsiTheme="majorBidi" w:cstheme="majorBidi"/>
          <w:color w:val="242424"/>
        </w:rPr>
        <w:t xml:space="preserve"> </w:t>
      </w:r>
      <w:r w:rsidR="00676500" w:rsidRPr="00812871">
        <w:rPr>
          <w:rStyle w:val="normaltextrun"/>
          <w:rFonts w:asciiTheme="majorBidi" w:eastAsiaTheme="majorEastAsia" w:hAnsiTheme="majorBidi" w:cstheme="majorBidi"/>
          <w:i/>
          <w:iCs/>
          <w:color w:val="242424"/>
        </w:rPr>
        <w:t>in situ</w:t>
      </w:r>
      <w:r w:rsidRPr="00ED7E61">
        <w:rPr>
          <w:rStyle w:val="normaltextrun"/>
          <w:rFonts w:asciiTheme="majorBidi" w:eastAsiaTheme="majorEastAsia" w:hAnsiTheme="majorBidi" w:cstheme="majorBidi"/>
          <w:color w:val="242424"/>
        </w:rPr>
        <w:t>.</w:t>
      </w:r>
      <w:r w:rsidRPr="00ED7E61">
        <w:rPr>
          <w:rStyle w:val="normaltextrun"/>
        </w:rPr>
        <w:t> </w:t>
      </w:r>
    </w:p>
    <w:p w14:paraId="471C7DD8" w14:textId="3DDF6B12"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Includes areas with young trees that have not yet reached but which are expected to reach a canopy cover of 10 percent and tree height of 5 meters. It also includes areas that are temporarily unstocked due to clear-cutting as part of a forest management practice or natural disasters, and which are expected to be regenerated within 5 years. Local conditions may, in exceptional cases, justify that a longer time frame is used.</w:t>
      </w:r>
      <w:r w:rsidRPr="00ED7E61">
        <w:rPr>
          <w:rStyle w:val="normaltextrun"/>
        </w:rPr>
        <w:t> </w:t>
      </w:r>
    </w:p>
    <w:p w14:paraId="2B14AECC" w14:textId="77777777"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Includes forest roads, firebreaks and other small open areas; forest in national parks, nature reserves and other protected areas such as those of specific environmental, scientific, historical, cultural or spiritual interest.</w:t>
      </w:r>
      <w:r w:rsidRPr="00ED7E61">
        <w:rPr>
          <w:rStyle w:val="normaltextrun"/>
        </w:rPr>
        <w:t> </w:t>
      </w:r>
    </w:p>
    <w:p w14:paraId="53828E17" w14:textId="77777777"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Includes windbreaks, shelterbelts and corridors of trees with an area of more than 0.5 hectares and width of more than 20 meters.</w:t>
      </w:r>
      <w:r w:rsidRPr="00ED7E61">
        <w:rPr>
          <w:rStyle w:val="normaltextrun"/>
        </w:rPr>
        <w:t> </w:t>
      </w:r>
    </w:p>
    <w:p w14:paraId="5291FB38" w14:textId="118FEB6C"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Includes abandon</w:t>
      </w:r>
      <w:r w:rsidR="00676500">
        <w:rPr>
          <w:rStyle w:val="normaltextrun"/>
          <w:rFonts w:asciiTheme="majorBidi" w:eastAsiaTheme="majorEastAsia" w:hAnsiTheme="majorBidi" w:cstheme="majorBidi"/>
          <w:color w:val="242424"/>
        </w:rPr>
        <w:t xml:space="preserve">ed </w:t>
      </w:r>
      <w:r w:rsidRPr="00ED7E61">
        <w:rPr>
          <w:rStyle w:val="normaltextrun"/>
          <w:rFonts w:asciiTheme="majorBidi" w:eastAsiaTheme="majorEastAsia" w:hAnsiTheme="majorBidi" w:cstheme="majorBidi"/>
          <w:color w:val="242424"/>
        </w:rPr>
        <w:t>shifting cultivation land with a regeneration of trees that have, or are expected to reach, a canopy cover of 10 percent and tree height of 5 meters.</w:t>
      </w:r>
      <w:r w:rsidRPr="00ED7E61">
        <w:rPr>
          <w:rStyle w:val="normaltextrun"/>
        </w:rPr>
        <w:t> </w:t>
      </w:r>
    </w:p>
    <w:p w14:paraId="455F7EA4" w14:textId="77777777"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Includes areas with mangroves in tidal zones, </w:t>
      </w:r>
      <w:proofErr w:type="gramStart"/>
      <w:r w:rsidRPr="00ED7E61">
        <w:rPr>
          <w:rStyle w:val="normaltextrun"/>
          <w:rFonts w:asciiTheme="majorBidi" w:eastAsiaTheme="majorEastAsia" w:hAnsiTheme="majorBidi" w:cstheme="majorBidi"/>
          <w:color w:val="242424"/>
        </w:rPr>
        <w:t>regardless</w:t>
      </w:r>
      <w:proofErr w:type="gramEnd"/>
      <w:r w:rsidRPr="00ED7E61">
        <w:rPr>
          <w:rStyle w:val="normaltextrun"/>
          <w:rFonts w:asciiTheme="majorBidi" w:eastAsiaTheme="majorEastAsia" w:hAnsiTheme="majorBidi" w:cstheme="majorBidi"/>
          <w:color w:val="242424"/>
        </w:rPr>
        <w:t xml:space="preserve"> whether this area is classified as land area or not.</w:t>
      </w:r>
      <w:r w:rsidRPr="00ED7E61">
        <w:rPr>
          <w:rStyle w:val="normaltextrun"/>
        </w:rPr>
        <w:t> </w:t>
      </w:r>
    </w:p>
    <w:p w14:paraId="7B8A379C" w14:textId="77777777"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Includes rubberwood, cork oak and Christmas tree plantations.</w:t>
      </w:r>
      <w:r w:rsidRPr="00ED7E61">
        <w:rPr>
          <w:rStyle w:val="normaltextrun"/>
        </w:rPr>
        <w:t> </w:t>
      </w:r>
    </w:p>
    <w:p w14:paraId="00845A4E" w14:textId="77777777" w:rsidR="00756F0F" w:rsidRPr="0081287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Includes areas with bamboo and palms </w:t>
      </w:r>
      <w:proofErr w:type="gramStart"/>
      <w:r w:rsidRPr="00ED7E61">
        <w:rPr>
          <w:rStyle w:val="normaltextrun"/>
          <w:rFonts w:asciiTheme="majorBidi" w:eastAsiaTheme="majorEastAsia" w:hAnsiTheme="majorBidi" w:cstheme="majorBidi"/>
          <w:color w:val="242424"/>
        </w:rPr>
        <w:t>provided that</w:t>
      </w:r>
      <w:proofErr w:type="gramEnd"/>
      <w:r w:rsidRPr="00ED7E61">
        <w:rPr>
          <w:rStyle w:val="normaltextrun"/>
          <w:rFonts w:asciiTheme="majorBidi" w:eastAsiaTheme="majorEastAsia" w:hAnsiTheme="majorBidi" w:cstheme="majorBidi"/>
          <w:color w:val="242424"/>
        </w:rPr>
        <w:t xml:space="preserve"> land use, height and canopy cover criteria are met.</w:t>
      </w:r>
      <w:r w:rsidRPr="00ED7E61">
        <w:rPr>
          <w:rStyle w:val="normaltextrun"/>
        </w:rPr>
        <w:t> </w:t>
      </w:r>
    </w:p>
    <w:p w14:paraId="05D8327F" w14:textId="48FDF4D2" w:rsidR="006909B9" w:rsidRPr="00ED7E61" w:rsidRDefault="006909B9"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Pr>
          <w:rStyle w:val="normaltextrun"/>
        </w:rPr>
        <w:t>Includes areas outside of legally designated forest land which meet the definition of “forest”.</w:t>
      </w:r>
    </w:p>
    <w:p w14:paraId="708914E9" w14:textId="77777777"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Excludes tree stands in agricultural production systems, such as fruit tree plantations, oil palm plantations, olive orchards and agroforestry systems when crops are grown under tree cover. Note: Some agroforestry systems such as the “</w:t>
      </w:r>
      <w:proofErr w:type="spellStart"/>
      <w:r w:rsidRPr="00FB1598">
        <w:rPr>
          <w:rStyle w:val="normaltextrun"/>
          <w:rFonts w:asciiTheme="majorBidi" w:eastAsiaTheme="majorEastAsia" w:hAnsiTheme="majorBidi" w:cstheme="majorBidi"/>
          <w:i/>
          <w:iCs/>
          <w:color w:val="242424"/>
        </w:rPr>
        <w:t>Taungya</w:t>
      </w:r>
      <w:proofErr w:type="spellEnd"/>
      <w:r w:rsidRPr="00ED7E61">
        <w:rPr>
          <w:rStyle w:val="normaltextrun"/>
          <w:rFonts w:asciiTheme="majorBidi" w:eastAsiaTheme="majorEastAsia" w:hAnsiTheme="majorBidi" w:cstheme="majorBidi"/>
          <w:color w:val="242424"/>
        </w:rPr>
        <w:t>” system where crops are grown only during the first years of the forest rotation should be classified as forest.</w:t>
      </w:r>
      <w:r w:rsidRPr="00ED7E61">
        <w:rPr>
          <w:rStyle w:val="normaltextrun"/>
        </w:rPr>
        <w:t> </w:t>
      </w:r>
    </w:p>
    <w:p w14:paraId="55F41FC9" w14:textId="1F2663FB"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Above-ground biomass</w:t>
      </w:r>
      <w:r w:rsidR="006909B9">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 xml:space="preserve"> All biomass</w:t>
      </w:r>
      <w:r w:rsidR="00717B67">
        <w:rPr>
          <w:rStyle w:val="normaltextrun"/>
          <w:rFonts w:asciiTheme="majorBidi" w:eastAsiaTheme="majorEastAsia" w:hAnsiTheme="majorBidi" w:cstheme="majorBidi"/>
          <w:color w:val="242424"/>
        </w:rPr>
        <w:t xml:space="preserve"> of living vegetation, both woody and herbaceous,</w:t>
      </w:r>
      <w:r w:rsidRPr="00ED7E61">
        <w:rPr>
          <w:rStyle w:val="normaltextrun"/>
          <w:rFonts w:asciiTheme="majorBidi" w:eastAsiaTheme="majorEastAsia" w:hAnsiTheme="majorBidi" w:cstheme="majorBidi"/>
          <w:color w:val="242424"/>
        </w:rPr>
        <w:t xml:space="preserve"> above the soil including stem, stump, branches, bark, seeds, and foliage</w:t>
      </w:r>
      <w:r w:rsidR="00521047">
        <w:rPr>
          <w:rStyle w:val="normaltextrun"/>
          <w:rFonts w:asciiTheme="majorBidi" w:eastAsiaTheme="majorEastAsia" w:hAnsiTheme="majorBidi" w:cstheme="majorBidi"/>
          <w:color w:val="242424"/>
        </w:rPr>
        <w:t>.</w:t>
      </w:r>
      <w:r w:rsidRPr="00ED7E61">
        <w:rPr>
          <w:rStyle w:val="normaltextrun"/>
        </w:rPr>
        <w:t> </w:t>
      </w:r>
    </w:p>
    <w:p w14:paraId="1174520A" w14:textId="1DC93D80" w:rsidR="00756F0F" w:rsidRPr="00812871" w:rsidRDefault="00521047" w:rsidP="00812871">
      <w:pPr>
        <w:pStyle w:val="CBDNormalNumber"/>
        <w:numPr>
          <w:ilvl w:val="1"/>
          <w:numId w:val="84"/>
        </w:numPr>
        <w:shd w:val="clear" w:color="auto" w:fill="FFFFFF"/>
        <w:tabs>
          <w:tab w:val="clear" w:pos="2268"/>
          <w:tab w:val="left" w:pos="1560"/>
        </w:tabs>
        <w:ind w:left="1560" w:hanging="426"/>
        <w:rPr>
          <w:rStyle w:val="normaltextrun"/>
          <w:rFonts w:asciiTheme="majorBidi" w:eastAsiaTheme="majorEastAsia" w:hAnsiTheme="majorBidi" w:cstheme="majorBidi"/>
          <w:color w:val="242424"/>
        </w:rPr>
      </w:pPr>
      <w:r>
        <w:rPr>
          <w:rStyle w:val="normaltextrun"/>
          <w:rFonts w:asciiTheme="majorBidi" w:eastAsiaTheme="majorEastAsia" w:hAnsiTheme="majorBidi" w:cstheme="majorBidi"/>
          <w:color w:val="242424"/>
        </w:rPr>
        <w:t xml:space="preserve">Explanatory note: </w:t>
      </w:r>
      <w:r w:rsidR="00756F0F" w:rsidRPr="00ED7E61">
        <w:rPr>
          <w:rStyle w:val="normaltextrun"/>
          <w:rFonts w:asciiTheme="majorBidi" w:eastAsiaTheme="majorEastAsia" w:hAnsiTheme="majorBidi" w:cstheme="majorBidi"/>
          <w:color w:val="242424"/>
        </w:rPr>
        <w:t>In cases where forest understorey is a relatively small component of the above</w:t>
      </w:r>
      <w:r w:rsidR="00D56314">
        <w:rPr>
          <w:rStyle w:val="normaltextrun"/>
          <w:rFonts w:asciiTheme="majorBidi" w:eastAsiaTheme="majorEastAsia" w:hAnsiTheme="majorBidi" w:cstheme="majorBidi"/>
          <w:color w:val="242424"/>
        </w:rPr>
        <w:t xml:space="preserve"> </w:t>
      </w:r>
      <w:r w:rsidR="00756F0F" w:rsidRPr="00ED7E61">
        <w:rPr>
          <w:rStyle w:val="normaltextrun"/>
          <w:rFonts w:asciiTheme="majorBidi" w:eastAsiaTheme="majorEastAsia" w:hAnsiTheme="majorBidi" w:cstheme="majorBidi"/>
          <w:color w:val="242424"/>
        </w:rPr>
        <w:t>ground biomass carbon pool, it is acceptable to exclude it, provided this is done in a consistent manner throughout the inventory time series.</w:t>
      </w:r>
      <w:r w:rsidR="00756F0F" w:rsidRPr="00812871">
        <w:rPr>
          <w:rStyle w:val="normaltextrun"/>
          <w:rFonts w:asciiTheme="majorBidi" w:eastAsiaTheme="majorEastAsia" w:hAnsiTheme="majorBidi" w:cstheme="majorBidi"/>
          <w:color w:val="242424"/>
        </w:rPr>
        <w:t> </w:t>
      </w:r>
    </w:p>
    <w:p w14:paraId="367C1250" w14:textId="43887381"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Protected areas</w:t>
      </w:r>
      <w:r w:rsidR="00896506">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 xml:space="preserve"> Areas especially dedicated to the protection and maintenance of biological diversity, and of natural and associated cultural resources, and managed through legal or other effective means.</w:t>
      </w:r>
      <w:r w:rsidRPr="00ED7E61">
        <w:rPr>
          <w:rStyle w:val="normaltextrun"/>
        </w:rPr>
        <w:t> </w:t>
      </w:r>
    </w:p>
    <w:p w14:paraId="6CE300D8" w14:textId="77777777" w:rsidR="0017799E" w:rsidRPr="0081287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lastRenderedPageBreak/>
        <w:t>Forest area within protected areas Forest area within formally established protected areas independently of the purpose for which the protected areas were established</w:t>
      </w:r>
      <w:r w:rsidR="0017799E">
        <w:rPr>
          <w:rStyle w:val="normaltextrun"/>
          <w:rFonts w:asciiTheme="majorBidi" w:eastAsiaTheme="majorEastAsia" w:hAnsiTheme="majorBidi" w:cstheme="majorBidi"/>
          <w:color w:val="242424"/>
        </w:rPr>
        <w:t>.</w:t>
      </w:r>
    </w:p>
    <w:p w14:paraId="50D7683E" w14:textId="1ED64890" w:rsidR="00756F0F" w:rsidRPr="0017799E" w:rsidRDefault="0017799E">
      <w:pPr>
        <w:pStyle w:val="CBDNormalNumber"/>
        <w:numPr>
          <w:ilvl w:val="0"/>
          <w:numId w:val="84"/>
        </w:numPr>
        <w:shd w:val="clear" w:color="auto" w:fill="FFFFFF"/>
        <w:rPr>
          <w:rStyle w:val="normaltextrun"/>
          <w:rFonts w:eastAsiaTheme="majorEastAsia"/>
          <w:color w:val="242424"/>
        </w:rPr>
      </w:pPr>
      <w:r>
        <w:rPr>
          <w:rStyle w:val="normaltextrun"/>
          <w:color w:val="242424"/>
        </w:rPr>
        <w:t xml:space="preserve">Explanatory notes: </w:t>
      </w:r>
      <w:r w:rsidR="00756F0F" w:rsidRPr="0017799E">
        <w:rPr>
          <w:rStyle w:val="normaltextrun"/>
          <w:rFonts w:asciiTheme="majorBidi" w:eastAsiaTheme="majorEastAsia" w:hAnsiTheme="majorBidi" w:cstheme="majorBidi"/>
          <w:color w:val="242424"/>
        </w:rPr>
        <w:t> </w:t>
      </w:r>
      <w:r w:rsidR="00756F0F" w:rsidRPr="00ED7E61">
        <w:rPr>
          <w:rStyle w:val="normaltextrun"/>
        </w:rPr>
        <w:t> </w:t>
      </w:r>
    </w:p>
    <w:p w14:paraId="72C702EA"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Includes IUCN Categories I – IV</w:t>
      </w:r>
      <w:r w:rsidRPr="00ED7E61">
        <w:rPr>
          <w:rStyle w:val="normaltextrun"/>
        </w:rPr>
        <w:t> </w:t>
      </w:r>
    </w:p>
    <w:p w14:paraId="57C7B687" w14:textId="77777777" w:rsidR="00756F0F" w:rsidRPr="0081287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Excludes IUCN Categories V-VI</w:t>
      </w:r>
      <w:r w:rsidRPr="00ED7E61">
        <w:rPr>
          <w:rStyle w:val="normaltextrun"/>
        </w:rPr>
        <w:t> </w:t>
      </w:r>
    </w:p>
    <w:p w14:paraId="1E93CA50" w14:textId="43B8209E" w:rsidR="00907FA0" w:rsidRPr="00907FA0" w:rsidRDefault="00907FA0" w:rsidP="00812871">
      <w:pPr>
        <w:pStyle w:val="CBDNormalNumber"/>
        <w:numPr>
          <w:ilvl w:val="1"/>
          <w:numId w:val="84"/>
        </w:numPr>
        <w:tabs>
          <w:tab w:val="clear" w:pos="567"/>
          <w:tab w:val="clear" w:pos="1134"/>
          <w:tab w:val="clear" w:pos="1701"/>
          <w:tab w:val="clear" w:pos="2268"/>
          <w:tab w:val="left" w:pos="1985"/>
        </w:tabs>
        <w:ind w:left="1985" w:hanging="709"/>
        <w:rPr>
          <w:rStyle w:val="normaltextrun"/>
          <w:rFonts w:eastAsiaTheme="majorEastAsia"/>
          <w:color w:val="242424"/>
        </w:rPr>
      </w:pPr>
      <w:r>
        <w:rPr>
          <w:rStyle w:val="normaltextrun"/>
          <w:color w:val="242424"/>
        </w:rPr>
        <w:t>Includes forest area within legally established protected areas whose IUCN category is unknown.</w:t>
      </w:r>
    </w:p>
    <w:p w14:paraId="4B2DA222" w14:textId="1DAA6E84" w:rsidR="00E756E7" w:rsidRPr="0081287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Forest area with</w:t>
      </w:r>
      <w:r w:rsidR="001C7291">
        <w:rPr>
          <w:rStyle w:val="normaltextrun"/>
          <w:rFonts w:asciiTheme="majorBidi" w:eastAsiaTheme="majorEastAsia" w:hAnsiTheme="majorBidi" w:cstheme="majorBidi"/>
          <w:color w:val="242424"/>
        </w:rPr>
        <w:t xml:space="preserve"> long-term</w:t>
      </w:r>
      <w:r w:rsidRPr="00ED7E61">
        <w:rPr>
          <w:rStyle w:val="normaltextrun"/>
          <w:rFonts w:asciiTheme="majorBidi" w:eastAsiaTheme="majorEastAsia" w:hAnsiTheme="majorBidi" w:cstheme="majorBidi"/>
          <w:color w:val="242424"/>
        </w:rPr>
        <w:t xml:space="preserve"> management plan</w:t>
      </w:r>
      <w:r w:rsidR="003A19D9">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 xml:space="preserve"> </w:t>
      </w:r>
      <w:r w:rsidR="003A19D9">
        <w:rPr>
          <w:rStyle w:val="normaltextrun"/>
          <w:rFonts w:asciiTheme="majorBidi" w:eastAsiaTheme="majorEastAsia" w:hAnsiTheme="majorBidi" w:cstheme="majorBidi"/>
          <w:color w:val="242424"/>
        </w:rPr>
        <w:t>F</w:t>
      </w:r>
      <w:r w:rsidRPr="00ED7E61">
        <w:rPr>
          <w:rStyle w:val="normaltextrun"/>
          <w:rFonts w:asciiTheme="majorBidi" w:eastAsiaTheme="majorEastAsia" w:hAnsiTheme="majorBidi" w:cstheme="majorBidi"/>
          <w:color w:val="242424"/>
        </w:rPr>
        <w:t>orest area that has a long-term</w:t>
      </w:r>
      <w:r w:rsidR="008E3F0E">
        <w:rPr>
          <w:rStyle w:val="normaltextrun"/>
          <w:rFonts w:asciiTheme="majorBidi" w:eastAsiaTheme="majorEastAsia" w:hAnsiTheme="majorBidi" w:cstheme="majorBidi"/>
          <w:color w:val="242424"/>
        </w:rPr>
        <w:t xml:space="preserve"> (ten years or more)</w:t>
      </w:r>
      <w:r w:rsidRPr="00ED7E61">
        <w:rPr>
          <w:rStyle w:val="normaltextrun"/>
          <w:rFonts w:asciiTheme="majorBidi" w:eastAsiaTheme="majorEastAsia" w:hAnsiTheme="majorBidi" w:cstheme="majorBidi"/>
          <w:color w:val="242424"/>
        </w:rPr>
        <w:t xml:space="preserve"> documented management plan, aiming at defined management goals, </w:t>
      </w:r>
      <w:r w:rsidR="00644071">
        <w:rPr>
          <w:rStyle w:val="normaltextrun"/>
          <w:rFonts w:asciiTheme="majorBidi" w:eastAsiaTheme="majorEastAsia" w:hAnsiTheme="majorBidi" w:cstheme="majorBidi"/>
          <w:color w:val="242424"/>
        </w:rPr>
        <w:t xml:space="preserve">and </w:t>
      </w:r>
      <w:r w:rsidRPr="00ED7E61">
        <w:rPr>
          <w:rStyle w:val="normaltextrun"/>
          <w:rFonts w:asciiTheme="majorBidi" w:eastAsiaTheme="majorEastAsia" w:hAnsiTheme="majorBidi" w:cstheme="majorBidi"/>
          <w:color w:val="242424"/>
        </w:rPr>
        <w:t>which is periodically revised</w:t>
      </w:r>
      <w:r w:rsidR="00644071">
        <w:rPr>
          <w:rStyle w:val="normaltextrun"/>
          <w:rFonts w:asciiTheme="majorBidi" w:eastAsiaTheme="majorEastAsia" w:hAnsiTheme="majorBidi" w:cstheme="majorBidi"/>
          <w:color w:val="242424"/>
        </w:rPr>
        <w:t xml:space="preserve">. </w:t>
      </w:r>
    </w:p>
    <w:p w14:paraId="23B24C0F" w14:textId="2E5E8C41" w:rsidR="00756F0F" w:rsidRPr="00ED7E61" w:rsidRDefault="00E756E7" w:rsidP="00B10F0C">
      <w:pPr>
        <w:pStyle w:val="CBDNormalNumber"/>
        <w:numPr>
          <w:ilvl w:val="0"/>
          <w:numId w:val="84"/>
        </w:numPr>
        <w:shd w:val="clear" w:color="auto" w:fill="FFFFFF"/>
        <w:ind w:left="567" w:firstLine="0"/>
        <w:rPr>
          <w:rStyle w:val="normaltextrun"/>
          <w:rFonts w:eastAsiaTheme="majorEastAsia"/>
          <w:color w:val="242424"/>
        </w:rPr>
      </w:pPr>
      <w:r>
        <w:rPr>
          <w:rStyle w:val="normaltextrun"/>
          <w:rFonts w:asciiTheme="majorBidi" w:eastAsiaTheme="majorEastAsia" w:hAnsiTheme="majorBidi" w:cstheme="majorBidi"/>
          <w:color w:val="242424"/>
        </w:rPr>
        <w:t>Explanatory notes:</w:t>
      </w:r>
      <w:r w:rsidR="00756F0F" w:rsidRPr="00ED7E61">
        <w:rPr>
          <w:rStyle w:val="normaltextrun"/>
        </w:rPr>
        <w:t> </w:t>
      </w:r>
    </w:p>
    <w:p w14:paraId="0A1CAE53" w14:textId="77777777"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A forest area with management plan may refer to forest management unit level or aggregated forest management unit level (forest blocks, farms, enterprises, watersheds, municipalities, or wider units).</w:t>
      </w:r>
      <w:r w:rsidRPr="00ED7E61">
        <w:rPr>
          <w:rStyle w:val="normaltextrun"/>
        </w:rPr>
        <w:t> </w:t>
      </w:r>
    </w:p>
    <w:p w14:paraId="09585596" w14:textId="7C376C55"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A management plan </w:t>
      </w:r>
      <w:r w:rsidR="00E756E7">
        <w:rPr>
          <w:rStyle w:val="normaltextrun"/>
          <w:rFonts w:asciiTheme="majorBidi" w:eastAsiaTheme="majorEastAsia" w:hAnsiTheme="majorBidi" w:cstheme="majorBidi"/>
          <w:color w:val="242424"/>
        </w:rPr>
        <w:t>may</w:t>
      </w:r>
      <w:r w:rsidR="00E756E7" w:rsidRPr="00ED7E61">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include adequate detail</w:t>
      </w:r>
      <w:r w:rsidR="00E756E7">
        <w:rPr>
          <w:rStyle w:val="normaltextrun"/>
          <w:rFonts w:asciiTheme="majorBidi" w:eastAsiaTheme="majorEastAsia" w:hAnsiTheme="majorBidi" w:cstheme="majorBidi"/>
          <w:color w:val="242424"/>
        </w:rPr>
        <w:t>s</w:t>
      </w:r>
      <w:r w:rsidRPr="00ED7E61">
        <w:rPr>
          <w:rStyle w:val="normaltextrun"/>
          <w:rFonts w:asciiTheme="majorBidi" w:eastAsiaTheme="majorEastAsia" w:hAnsiTheme="majorBidi" w:cstheme="majorBidi"/>
          <w:color w:val="242424"/>
        </w:rPr>
        <w:t xml:space="preserve"> on operations planned for individual operational units (stands or compartments) but may also </w:t>
      </w:r>
      <w:r w:rsidR="00E756E7">
        <w:rPr>
          <w:rStyle w:val="normaltextrun"/>
          <w:rFonts w:asciiTheme="majorBidi" w:eastAsiaTheme="majorEastAsia" w:hAnsiTheme="majorBidi" w:cstheme="majorBidi"/>
          <w:color w:val="242424"/>
        </w:rPr>
        <w:t xml:space="preserve">be limited to </w:t>
      </w:r>
      <w:r w:rsidRPr="00ED7E61">
        <w:rPr>
          <w:rStyle w:val="normaltextrun"/>
          <w:rFonts w:asciiTheme="majorBidi" w:eastAsiaTheme="majorEastAsia" w:hAnsiTheme="majorBidi" w:cstheme="majorBidi"/>
          <w:color w:val="242424"/>
        </w:rPr>
        <w:t>provide general strategies and activities planned to reach management goals.</w:t>
      </w:r>
      <w:r w:rsidRPr="00ED7E61">
        <w:rPr>
          <w:rStyle w:val="normaltextrun"/>
        </w:rPr>
        <w:t> </w:t>
      </w:r>
    </w:p>
    <w:p w14:paraId="1CD80E25" w14:textId="77777777" w:rsidR="00756F0F" w:rsidRPr="0081287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Includes forest area in protected areas with management plan.</w:t>
      </w:r>
      <w:r w:rsidRPr="00ED7E61">
        <w:rPr>
          <w:rStyle w:val="normaltextrun"/>
        </w:rPr>
        <w:t> </w:t>
      </w:r>
    </w:p>
    <w:p w14:paraId="22973D47" w14:textId="5A64D915" w:rsidR="00E756E7" w:rsidRPr="00ED7E61" w:rsidRDefault="00E756E7"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Pr>
          <w:rStyle w:val="normaltextrun"/>
        </w:rPr>
        <w:t>Includes continuously updated management plans</w:t>
      </w:r>
    </w:p>
    <w:p w14:paraId="27A37331" w14:textId="49058B6A" w:rsidR="00756F0F" w:rsidRPr="00ED7E61" w:rsidRDefault="00FB6D3B" w:rsidP="00B10F0C">
      <w:pPr>
        <w:pStyle w:val="CBDNormalNumber"/>
        <w:numPr>
          <w:ilvl w:val="0"/>
          <w:numId w:val="84"/>
        </w:numPr>
        <w:shd w:val="clear" w:color="auto" w:fill="FFFFFF"/>
        <w:ind w:left="567" w:firstLine="0"/>
        <w:rPr>
          <w:rStyle w:val="normaltextrun"/>
          <w:rFonts w:eastAsiaTheme="majorEastAsia"/>
          <w:color w:val="242424"/>
        </w:rPr>
      </w:pPr>
      <w:r>
        <w:rPr>
          <w:rStyle w:val="normaltextrun"/>
          <w:rFonts w:asciiTheme="majorBidi" w:eastAsiaTheme="majorEastAsia" w:hAnsiTheme="majorBidi" w:cstheme="majorBidi"/>
          <w:color w:val="242424"/>
        </w:rPr>
        <w:t>Forest area under i</w:t>
      </w:r>
      <w:r w:rsidR="00756F0F" w:rsidRPr="00ED7E61">
        <w:rPr>
          <w:rStyle w:val="normaltextrun"/>
          <w:rFonts w:asciiTheme="majorBidi" w:eastAsiaTheme="majorEastAsia" w:hAnsiTheme="majorBidi" w:cstheme="majorBidi"/>
          <w:color w:val="242424"/>
        </w:rPr>
        <w:t>ndependently verified forest management certification</w:t>
      </w:r>
      <w:r w:rsidR="004F4832">
        <w:rPr>
          <w:rStyle w:val="normaltextrun"/>
          <w:rFonts w:asciiTheme="majorBidi" w:eastAsiaTheme="majorEastAsia" w:hAnsiTheme="majorBidi" w:cstheme="majorBidi"/>
          <w:color w:val="242424"/>
        </w:rPr>
        <w:t xml:space="preserve">: </w:t>
      </w:r>
      <w:r w:rsidR="00756F0F" w:rsidRPr="00ED7E61">
        <w:rPr>
          <w:rStyle w:val="normaltextrun"/>
          <w:rFonts w:asciiTheme="majorBidi" w:eastAsiaTheme="majorEastAsia" w:hAnsiTheme="majorBidi" w:cstheme="majorBidi"/>
          <w:color w:val="242424"/>
        </w:rPr>
        <w:t xml:space="preserve"> </w:t>
      </w:r>
      <w:r w:rsidR="004F4832">
        <w:rPr>
          <w:rStyle w:val="normaltextrun"/>
          <w:rFonts w:asciiTheme="majorBidi" w:eastAsiaTheme="majorEastAsia" w:hAnsiTheme="majorBidi" w:cstheme="majorBidi"/>
          <w:color w:val="242424"/>
        </w:rPr>
        <w:t>F</w:t>
      </w:r>
      <w:r w:rsidR="00756F0F" w:rsidRPr="00ED7E61">
        <w:rPr>
          <w:rStyle w:val="normaltextrun"/>
          <w:rFonts w:asciiTheme="majorBidi" w:eastAsiaTheme="majorEastAsia" w:hAnsiTheme="majorBidi" w:cstheme="majorBidi"/>
          <w:color w:val="242424"/>
        </w:rPr>
        <w:t>orest area certified under a forest management certification scheme with published standards and is independently verified by a third-party.</w:t>
      </w:r>
      <w:r w:rsidR="00756F0F" w:rsidRPr="00ED7E61">
        <w:rPr>
          <w:rStyle w:val="normaltextrun"/>
        </w:rPr>
        <w:t> </w:t>
      </w:r>
    </w:p>
    <w:p w14:paraId="4486D8C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242424"/>
          <w:sz w:val="22"/>
          <w:szCs w:val="22"/>
          <w:lang w:val="en-GB"/>
        </w:rPr>
        <w:t>Units of measure</w:t>
      </w:r>
      <w:r w:rsidRPr="00ED7E61">
        <w:rPr>
          <w:rStyle w:val="eop"/>
          <w:rFonts w:asciiTheme="majorBidi" w:eastAsiaTheme="majorEastAsia" w:hAnsiTheme="majorBidi" w:cstheme="majorBidi"/>
          <w:color w:val="242424"/>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90"/>
        <w:gridCol w:w="2310"/>
      </w:tblGrid>
      <w:tr w:rsidR="00756F0F" w:rsidRPr="001F68D7" w14:paraId="448B10A1"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hideMark/>
          </w:tcPr>
          <w:p w14:paraId="0437D438" w14:textId="77777777" w:rsidR="00756F0F" w:rsidRPr="001F68D7" w:rsidRDefault="00756F0F" w:rsidP="00395866">
            <w:pPr>
              <w:pStyle w:val="paragraph"/>
              <w:spacing w:before="0" w:beforeAutospacing="0" w:after="0" w:afterAutospacing="0"/>
              <w:textAlignment w:val="baseline"/>
              <w:rPr>
                <w:rFonts w:asciiTheme="majorBidi" w:hAnsiTheme="majorBidi" w:cstheme="majorBidi"/>
                <w:i/>
                <w:iCs/>
                <w:sz w:val="22"/>
                <w:szCs w:val="22"/>
              </w:rPr>
            </w:pPr>
            <w:r w:rsidRPr="001F68D7">
              <w:rPr>
                <w:rStyle w:val="normaltextrun"/>
                <w:rFonts w:asciiTheme="majorBidi" w:eastAsiaTheme="majorEastAsia" w:hAnsiTheme="majorBidi" w:cstheme="majorBidi"/>
                <w:i/>
                <w:iCs/>
                <w:sz w:val="22"/>
                <w:szCs w:val="22"/>
                <w:lang w:val="en-GB"/>
              </w:rPr>
              <w:t>SUB-INDICATOR</w:t>
            </w:r>
            <w:r w:rsidRPr="001F68D7">
              <w:rPr>
                <w:rStyle w:val="eop"/>
                <w:rFonts w:asciiTheme="majorBidi" w:eastAsiaTheme="majorEastAsia" w:hAnsiTheme="majorBidi" w:cstheme="majorBidi"/>
                <w:i/>
                <w:iCs/>
                <w:sz w:val="22"/>
                <w:szCs w:val="22"/>
              </w:rPr>
              <w:t> </w:t>
            </w:r>
          </w:p>
        </w:tc>
        <w:tc>
          <w:tcPr>
            <w:tcW w:w="2310" w:type="dxa"/>
            <w:tcBorders>
              <w:top w:val="single" w:sz="6" w:space="0" w:color="auto"/>
              <w:left w:val="single" w:sz="6" w:space="0" w:color="auto"/>
              <w:bottom w:val="single" w:sz="6" w:space="0" w:color="auto"/>
              <w:right w:val="single" w:sz="6" w:space="0" w:color="auto"/>
            </w:tcBorders>
            <w:hideMark/>
          </w:tcPr>
          <w:p w14:paraId="6CD50E1B" w14:textId="77777777" w:rsidR="00756F0F" w:rsidRPr="001F68D7" w:rsidRDefault="00756F0F" w:rsidP="00395866">
            <w:pPr>
              <w:pStyle w:val="paragraph"/>
              <w:spacing w:before="0" w:beforeAutospacing="0" w:after="0" w:afterAutospacing="0"/>
              <w:textAlignment w:val="baseline"/>
              <w:rPr>
                <w:rFonts w:asciiTheme="majorBidi" w:hAnsiTheme="majorBidi" w:cstheme="majorBidi"/>
                <w:i/>
                <w:iCs/>
                <w:sz w:val="22"/>
                <w:szCs w:val="22"/>
              </w:rPr>
            </w:pPr>
            <w:r w:rsidRPr="001F68D7">
              <w:rPr>
                <w:rStyle w:val="normaltextrun"/>
                <w:rFonts w:asciiTheme="majorBidi" w:eastAsiaTheme="majorEastAsia" w:hAnsiTheme="majorBidi" w:cstheme="majorBidi"/>
                <w:i/>
                <w:iCs/>
                <w:sz w:val="22"/>
                <w:szCs w:val="22"/>
                <w:lang w:val="en-GB"/>
              </w:rPr>
              <w:t>UNIT</w:t>
            </w:r>
            <w:r w:rsidRPr="001F68D7">
              <w:rPr>
                <w:rStyle w:val="eop"/>
                <w:rFonts w:asciiTheme="majorBidi" w:eastAsiaTheme="majorEastAsia" w:hAnsiTheme="majorBidi" w:cstheme="majorBidi"/>
                <w:i/>
                <w:iCs/>
                <w:sz w:val="22"/>
                <w:szCs w:val="22"/>
              </w:rPr>
              <w:t> </w:t>
            </w:r>
          </w:p>
        </w:tc>
      </w:tr>
      <w:tr w:rsidR="00756F0F" w:rsidRPr="00ED7E61" w14:paraId="7D0DF881"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hideMark/>
          </w:tcPr>
          <w:p w14:paraId="2609BCD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Annual forest area change rate</w:t>
            </w:r>
            <w:r w:rsidRPr="00ED7E61">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hideMark/>
          </w:tcPr>
          <w:p w14:paraId="5E9E617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Percent (%)</w:t>
            </w:r>
            <w:r w:rsidRPr="00ED7E61">
              <w:rPr>
                <w:rStyle w:val="eop"/>
                <w:rFonts w:asciiTheme="majorBidi" w:eastAsiaTheme="majorEastAsia" w:hAnsiTheme="majorBidi" w:cstheme="majorBidi"/>
                <w:sz w:val="22"/>
                <w:szCs w:val="22"/>
              </w:rPr>
              <w:t> </w:t>
            </w:r>
          </w:p>
        </w:tc>
      </w:tr>
      <w:tr w:rsidR="00756F0F" w:rsidRPr="00ED7E61" w14:paraId="3632E99D"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hideMark/>
          </w:tcPr>
          <w:p w14:paraId="1C036AB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Above-ground biomass in forest</w:t>
            </w:r>
            <w:r w:rsidRPr="00ED7E61">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hideMark/>
          </w:tcPr>
          <w:p w14:paraId="4A22DAD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Tonnes per hectare</w:t>
            </w:r>
            <w:r w:rsidRPr="00ED7E61">
              <w:rPr>
                <w:rStyle w:val="eop"/>
                <w:rFonts w:asciiTheme="majorBidi" w:eastAsiaTheme="majorEastAsia" w:hAnsiTheme="majorBidi" w:cstheme="majorBidi"/>
                <w:sz w:val="22"/>
                <w:szCs w:val="22"/>
              </w:rPr>
              <w:t> </w:t>
            </w:r>
          </w:p>
        </w:tc>
      </w:tr>
      <w:tr w:rsidR="00756F0F" w:rsidRPr="00ED7E61" w14:paraId="7ECC4FA4"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hideMark/>
          </w:tcPr>
          <w:p w14:paraId="5A38EEA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Proportion of forest area within legally established protected areas</w:t>
            </w:r>
            <w:r w:rsidRPr="00ED7E61">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hideMark/>
          </w:tcPr>
          <w:p w14:paraId="55281C23"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Percent (%)</w:t>
            </w:r>
            <w:r w:rsidRPr="00ED7E61">
              <w:rPr>
                <w:rStyle w:val="eop"/>
                <w:rFonts w:asciiTheme="majorBidi" w:eastAsiaTheme="majorEastAsia" w:hAnsiTheme="majorBidi" w:cstheme="majorBidi"/>
                <w:sz w:val="22"/>
                <w:szCs w:val="22"/>
              </w:rPr>
              <w:t> </w:t>
            </w:r>
          </w:p>
        </w:tc>
      </w:tr>
      <w:tr w:rsidR="00756F0F" w:rsidRPr="00ED7E61" w14:paraId="76E7A032"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hideMark/>
          </w:tcPr>
          <w:p w14:paraId="7F183A1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Proportion of forest area under a long-term forest management plan </w:t>
            </w:r>
            <w:r w:rsidRPr="00ED7E61">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hideMark/>
          </w:tcPr>
          <w:p w14:paraId="5F7A6E5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Percent (%)</w:t>
            </w:r>
            <w:r w:rsidRPr="00ED7E61">
              <w:rPr>
                <w:rStyle w:val="eop"/>
                <w:rFonts w:asciiTheme="majorBidi" w:eastAsiaTheme="majorEastAsia" w:hAnsiTheme="majorBidi" w:cstheme="majorBidi"/>
                <w:sz w:val="22"/>
                <w:szCs w:val="22"/>
              </w:rPr>
              <w:t> </w:t>
            </w:r>
          </w:p>
        </w:tc>
      </w:tr>
      <w:tr w:rsidR="00756F0F" w:rsidRPr="00ED7E61" w14:paraId="03D1EFA9"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hideMark/>
          </w:tcPr>
          <w:p w14:paraId="2EF99EE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Forest area under an independently verified forest management certification scheme</w:t>
            </w:r>
            <w:r w:rsidRPr="00ED7E61">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hideMark/>
          </w:tcPr>
          <w:p w14:paraId="39516D1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1000 hectares</w:t>
            </w:r>
            <w:r w:rsidRPr="00ED7E61">
              <w:rPr>
                <w:rStyle w:val="eop"/>
                <w:rFonts w:asciiTheme="majorBidi" w:eastAsiaTheme="majorEastAsia" w:hAnsiTheme="majorBidi" w:cstheme="majorBidi"/>
                <w:sz w:val="22"/>
                <w:szCs w:val="22"/>
              </w:rPr>
              <w:t> </w:t>
            </w:r>
          </w:p>
        </w:tc>
      </w:tr>
    </w:tbl>
    <w:p w14:paraId="27E3C8A3" w14:textId="77777777" w:rsidR="00756F0F" w:rsidRPr="00ED7E61" w:rsidRDefault="00756F0F" w:rsidP="001F68D7">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6894EF6D" w14:textId="74C2398C"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National data on forest area, biomass stock, forest area within protected areas, and forest area under </w:t>
      </w:r>
      <w:r w:rsidR="004F4832">
        <w:rPr>
          <w:rStyle w:val="normaltextrun"/>
          <w:rFonts w:asciiTheme="majorBidi" w:eastAsiaTheme="majorEastAsia" w:hAnsiTheme="majorBidi" w:cstheme="majorBidi"/>
          <w:color w:val="242424"/>
        </w:rPr>
        <w:t xml:space="preserve">a long-term </w:t>
      </w:r>
      <w:r w:rsidRPr="00ED7E61">
        <w:rPr>
          <w:rStyle w:val="normaltextrun"/>
          <w:rFonts w:asciiTheme="majorBidi" w:eastAsiaTheme="majorEastAsia" w:hAnsiTheme="majorBidi" w:cstheme="majorBidi"/>
          <w:color w:val="242424"/>
        </w:rPr>
        <w:t xml:space="preserve">management plan are reported directly by countries to FAO for pre-established reference years. Based on the country reported data, FAO then makes country-level estimates of the </w:t>
      </w:r>
      <w:r w:rsidR="004F4832">
        <w:rPr>
          <w:rStyle w:val="normaltextrun"/>
          <w:rFonts w:asciiTheme="majorBidi" w:eastAsiaTheme="majorEastAsia" w:hAnsiTheme="majorBidi" w:cstheme="majorBidi"/>
          <w:color w:val="242424"/>
        </w:rPr>
        <w:t xml:space="preserve">annual </w:t>
      </w:r>
      <w:r w:rsidRPr="00ED7E61">
        <w:rPr>
          <w:rStyle w:val="normaltextrun"/>
          <w:rFonts w:asciiTheme="majorBidi" w:eastAsiaTheme="majorEastAsia" w:hAnsiTheme="majorBidi" w:cstheme="majorBidi"/>
          <w:color w:val="242424"/>
        </w:rPr>
        <w:t>forest area change rate using the compound interest formula. The proportion of forest area within protected area</w:t>
      </w:r>
      <w:r w:rsidR="004F4832">
        <w:rPr>
          <w:rStyle w:val="normaltextrun"/>
          <w:rFonts w:asciiTheme="majorBidi" w:eastAsiaTheme="majorEastAsia" w:hAnsiTheme="majorBidi" w:cstheme="majorBidi"/>
          <w:color w:val="242424"/>
        </w:rPr>
        <w:t>s</w:t>
      </w:r>
      <w:r w:rsidRPr="00ED7E61">
        <w:rPr>
          <w:rStyle w:val="normaltextrun"/>
          <w:rFonts w:asciiTheme="majorBidi" w:eastAsiaTheme="majorEastAsia" w:hAnsiTheme="majorBidi" w:cstheme="majorBidi"/>
          <w:color w:val="242424"/>
        </w:rPr>
        <w:t xml:space="preserve"> and under</w:t>
      </w:r>
      <w:r w:rsidR="004F4832">
        <w:rPr>
          <w:rStyle w:val="normaltextrun"/>
          <w:rFonts w:asciiTheme="majorBidi" w:eastAsiaTheme="majorEastAsia" w:hAnsiTheme="majorBidi" w:cstheme="majorBidi"/>
          <w:color w:val="242424"/>
        </w:rPr>
        <w:t xml:space="preserve"> a</w:t>
      </w:r>
      <w:r w:rsidRPr="00ED7E61">
        <w:rPr>
          <w:rStyle w:val="normaltextrun"/>
          <w:rFonts w:asciiTheme="majorBidi" w:eastAsiaTheme="majorEastAsia" w:hAnsiTheme="majorBidi" w:cstheme="majorBidi"/>
          <w:color w:val="242424"/>
        </w:rPr>
        <w:t xml:space="preserve"> management plan is calculated using the reported areas for each reference year and the forest area for year 2015.</w:t>
      </w:r>
      <w:r w:rsidRPr="00ED7E61">
        <w:rPr>
          <w:rStyle w:val="normaltextrun"/>
        </w:rPr>
        <w:t> </w:t>
      </w:r>
    </w:p>
    <w:p w14:paraId="34B21D1D" w14:textId="15F2ED88"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Data on forest area under an independently verified forest management certification scheme are reported to FAO by the head offices of </w:t>
      </w:r>
      <w:r w:rsidR="004F4832">
        <w:rPr>
          <w:rStyle w:val="normaltextrun"/>
          <w:rFonts w:asciiTheme="majorBidi" w:eastAsiaTheme="majorEastAsia" w:hAnsiTheme="majorBidi" w:cstheme="majorBidi"/>
          <w:color w:val="242424"/>
        </w:rPr>
        <w:t>th</w:t>
      </w:r>
      <w:r w:rsidR="0061717F">
        <w:rPr>
          <w:rStyle w:val="normaltextrun"/>
          <w:rFonts w:asciiTheme="majorBidi" w:eastAsiaTheme="majorEastAsia" w:hAnsiTheme="majorBidi" w:cstheme="majorBidi"/>
          <w:color w:val="242424"/>
        </w:rPr>
        <w:t>e</w:t>
      </w:r>
      <w:r w:rsidR="004F4832">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respective forest certification scheme</w:t>
      </w:r>
      <w:r w:rsidR="0061717F">
        <w:rPr>
          <w:rStyle w:val="normaltextrun"/>
          <w:rFonts w:asciiTheme="majorBidi" w:eastAsiaTheme="majorEastAsia" w:hAnsiTheme="majorBidi" w:cstheme="majorBidi"/>
          <w:color w:val="242424"/>
        </w:rPr>
        <w:t>s, who jointly adjust the figures to correct for any double counting</w:t>
      </w:r>
      <w:r w:rsidRPr="00ED7E61">
        <w:rPr>
          <w:rStyle w:val="normaltextrun"/>
          <w:rFonts w:asciiTheme="majorBidi" w:eastAsiaTheme="majorEastAsia" w:hAnsiTheme="majorBidi" w:cstheme="majorBidi"/>
          <w:color w:val="242424"/>
        </w:rPr>
        <w:t xml:space="preserve">. </w:t>
      </w:r>
    </w:p>
    <w:p w14:paraId="3013A652"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No dashboard traffic lights are made at country level.</w:t>
      </w:r>
      <w:r w:rsidRPr="00ED7E61">
        <w:rPr>
          <w:rStyle w:val="normaltextrun"/>
        </w:rPr>
        <w:t> </w:t>
      </w:r>
    </w:p>
    <w:p w14:paraId="7CE067E2"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47FE4FF9"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Sub-indicators 1 to 4</w:t>
      </w:r>
      <w:r w:rsidRPr="00ED7E61">
        <w:rPr>
          <w:rStyle w:val="normaltextrun"/>
        </w:rPr>
        <w:t> </w:t>
      </w:r>
    </w:p>
    <w:p w14:paraId="024EDB80" w14:textId="238F2737"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lastRenderedPageBreak/>
        <w:t xml:space="preserve">Data on these sub-indicators are collected through FAO’s Global Forest Resources Assessment (FRA) programme. Officially nominated national correspondents and their teams prepare the country reports for the assessment. Some prepare more than one report as they also report on dependent territories. For </w:t>
      </w:r>
      <w:r w:rsidR="003354A1">
        <w:rPr>
          <w:rStyle w:val="normaltextrun"/>
          <w:rFonts w:asciiTheme="majorBidi" w:eastAsiaTheme="majorEastAsia" w:hAnsiTheme="majorBidi" w:cstheme="majorBidi"/>
          <w:color w:val="242424"/>
        </w:rPr>
        <w:t>those</w:t>
      </w:r>
      <w:r w:rsidR="003354A1" w:rsidRPr="00ED7E61">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remaining countries and territories where no information is provided, a report is prepared by FAO using existing information and a literature search.</w:t>
      </w:r>
      <w:r w:rsidRPr="00ED7E61">
        <w:rPr>
          <w:rStyle w:val="normaltextrun"/>
        </w:rPr>
        <w:t> </w:t>
      </w:r>
    </w:p>
    <w:p w14:paraId="26478163" w14:textId="45E03449" w:rsidR="00756F0F" w:rsidRPr="00ED7E61" w:rsidRDefault="00756F0F"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All data are provided to FAO by countries in the form of a country report through an online platform following a standard format, </w:t>
      </w:r>
      <w:r w:rsidR="003354A1">
        <w:rPr>
          <w:rStyle w:val="normaltextrun"/>
          <w:rFonts w:asciiTheme="majorBidi" w:eastAsiaTheme="majorEastAsia" w:hAnsiTheme="majorBidi" w:cstheme="majorBidi"/>
          <w:color w:val="242424"/>
        </w:rPr>
        <w:t>that</w:t>
      </w:r>
      <w:r w:rsidR="003354A1" w:rsidRPr="00ED7E61">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includes the original data and reference sources and descriptions of how these have been used to estimate the forest area for different points in time. The online platform was used for all data entry, review and quality control.</w:t>
      </w:r>
      <w:r w:rsidRPr="00ED7E61">
        <w:rPr>
          <w:rStyle w:val="normaltextrun"/>
        </w:rPr>
        <w:t> </w:t>
      </w:r>
    </w:p>
    <w:p w14:paraId="203B7C2D" w14:textId="1E495592" w:rsidR="00756F0F" w:rsidRPr="00ED7E61" w:rsidRDefault="003354A1" w:rsidP="00B10F0C">
      <w:pPr>
        <w:pStyle w:val="CBDNormalNumber"/>
        <w:numPr>
          <w:ilvl w:val="1"/>
          <w:numId w:val="84"/>
        </w:numPr>
        <w:tabs>
          <w:tab w:val="clear" w:pos="567"/>
          <w:tab w:val="clear" w:pos="1134"/>
          <w:tab w:val="clear" w:pos="2268"/>
          <w:tab w:val="left" w:pos="1985"/>
        </w:tabs>
        <w:ind w:left="567" w:firstLine="567"/>
        <w:rPr>
          <w:rStyle w:val="normaltextrun"/>
          <w:rFonts w:eastAsiaTheme="majorEastAsia"/>
          <w:color w:val="242424"/>
        </w:rPr>
      </w:pPr>
      <w:r>
        <w:rPr>
          <w:rStyle w:val="normaltextrun"/>
          <w:rFonts w:asciiTheme="majorBidi" w:eastAsiaTheme="majorEastAsia" w:hAnsiTheme="majorBidi" w:cstheme="majorBidi"/>
          <w:color w:val="242424"/>
        </w:rPr>
        <w:t>To</w:t>
      </w:r>
      <w:r w:rsidR="00756F0F" w:rsidRPr="00ED7E61">
        <w:rPr>
          <w:rStyle w:val="normaltextrun"/>
          <w:rFonts w:asciiTheme="majorBidi" w:eastAsiaTheme="majorEastAsia" w:hAnsiTheme="majorBidi" w:cstheme="majorBidi"/>
          <w:color w:val="242424"/>
        </w:rPr>
        <w:t xml:space="preserve"> obtain internationally comparable data, countries are requested to provide national categories and definitions</w:t>
      </w:r>
      <w:r>
        <w:rPr>
          <w:rStyle w:val="normaltextrun"/>
          <w:rFonts w:asciiTheme="majorBidi" w:eastAsiaTheme="majorEastAsia" w:hAnsiTheme="majorBidi" w:cstheme="majorBidi"/>
          <w:color w:val="242424"/>
        </w:rPr>
        <w:t>. In</w:t>
      </w:r>
      <w:r w:rsidR="00756F0F" w:rsidRPr="00ED7E61">
        <w:rPr>
          <w:rStyle w:val="normaltextrun"/>
          <w:rFonts w:asciiTheme="majorBidi" w:eastAsiaTheme="majorEastAsia" w:hAnsiTheme="majorBidi" w:cstheme="majorBidi"/>
          <w:color w:val="242424"/>
        </w:rPr>
        <w:t xml:space="preserve"> case</w:t>
      </w:r>
      <w:r>
        <w:rPr>
          <w:rStyle w:val="normaltextrun"/>
          <w:rFonts w:asciiTheme="majorBidi" w:eastAsiaTheme="majorEastAsia" w:hAnsiTheme="majorBidi" w:cstheme="majorBidi"/>
          <w:color w:val="242424"/>
        </w:rPr>
        <w:t xml:space="preserve"> where</w:t>
      </w:r>
      <w:r w:rsidR="00756F0F" w:rsidRPr="00ED7E61">
        <w:rPr>
          <w:rStyle w:val="normaltextrun"/>
          <w:rFonts w:asciiTheme="majorBidi" w:eastAsiaTheme="majorEastAsia" w:hAnsiTheme="majorBidi" w:cstheme="majorBidi"/>
          <w:color w:val="242424"/>
        </w:rPr>
        <w:t xml:space="preserve"> these </w:t>
      </w:r>
      <w:proofErr w:type="spellStart"/>
      <w:r w:rsidR="00756F0F" w:rsidRPr="00ED7E61">
        <w:rPr>
          <w:rStyle w:val="normaltextrun"/>
          <w:rFonts w:asciiTheme="majorBidi" w:eastAsiaTheme="majorEastAsia" w:hAnsiTheme="majorBidi" w:cstheme="majorBidi"/>
          <w:color w:val="242424"/>
        </w:rPr>
        <w:t>differ</w:t>
      </w:r>
      <w:r w:rsidR="009718FA">
        <w:rPr>
          <w:rStyle w:val="normaltextrun"/>
          <w:rFonts w:asciiTheme="majorBidi" w:eastAsiaTheme="majorEastAsia" w:hAnsiTheme="majorBidi" w:cstheme="majorBidi"/>
          <w:color w:val="242424"/>
        </w:rPr>
        <w:t>from</w:t>
      </w:r>
      <w:proofErr w:type="spellEnd"/>
      <w:r w:rsidR="00756F0F" w:rsidRPr="00ED7E61">
        <w:rPr>
          <w:rStyle w:val="normaltextrun"/>
          <w:rFonts w:asciiTheme="majorBidi" w:eastAsiaTheme="majorEastAsia" w:hAnsiTheme="majorBidi" w:cstheme="majorBidi"/>
          <w:color w:val="242424"/>
        </w:rPr>
        <w:t xml:space="preserve"> the FAO categories and definitions, countries are requested to perform a reclassification of national data to correspond to the FAO categories and definitions and to document this step in the country report. Countries are also requested to use interpolation or extrapolation of national data to provide estimates for the specific reporting years.</w:t>
      </w:r>
      <w:r w:rsidR="00756F0F" w:rsidRPr="00ED7E61">
        <w:rPr>
          <w:rStyle w:val="normaltextrun"/>
        </w:rPr>
        <w:t> </w:t>
      </w:r>
    </w:p>
    <w:p w14:paraId="25178039"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Sub-indicator 5</w:t>
      </w:r>
      <w:r w:rsidRPr="00ED7E61">
        <w:rPr>
          <w:rStyle w:val="normaltextrun"/>
        </w:rPr>
        <w:t> </w:t>
      </w:r>
    </w:p>
    <w:p w14:paraId="119ED530" w14:textId="77777777" w:rsidR="00756F0F" w:rsidRPr="00ED7E61" w:rsidRDefault="00756F0F" w:rsidP="001F68D7">
      <w:pPr>
        <w:pStyle w:val="CBDNormalNumber"/>
        <w:tabs>
          <w:tab w:val="clear" w:pos="567"/>
          <w:tab w:val="clear" w:pos="1134"/>
          <w:tab w:val="clear" w:pos="1701"/>
          <w:tab w:val="clear" w:pos="2268"/>
          <w:tab w:val="left" w:pos="1985"/>
        </w:tabs>
        <w:ind w:left="1332"/>
        <w:rPr>
          <w:rStyle w:val="normaltextrun"/>
          <w:rFonts w:eastAsiaTheme="majorEastAsia"/>
          <w:color w:val="242424"/>
        </w:rPr>
      </w:pPr>
      <w:r w:rsidRPr="00ED7E61">
        <w:rPr>
          <w:rStyle w:val="normaltextrun"/>
          <w:rFonts w:asciiTheme="majorBidi" w:eastAsiaTheme="majorEastAsia" w:hAnsiTheme="majorBidi" w:cstheme="majorBidi"/>
          <w:color w:val="242424"/>
        </w:rPr>
        <w:t>Data are annually reported by the certification bodies to FAO and consolidated into estimates of total certified forest area, which are made available to the countries through the FRA platform where country officials can view the data that are being submitted.</w:t>
      </w:r>
      <w:r w:rsidRPr="00ED7E61">
        <w:rPr>
          <w:rStyle w:val="normaltextrun"/>
        </w:rPr>
        <w:t> </w:t>
      </w:r>
    </w:p>
    <w:p w14:paraId="6C628F35" w14:textId="23D74887" w:rsidR="00756F0F" w:rsidRPr="00ED7E61" w:rsidRDefault="00756F0F" w:rsidP="005B0D1E">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1C1CD8C5" w14:textId="77777777"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The methodology for the SDG 15.2.1 indicator is published in SDG indicators metadata on UNSD website at  </w:t>
      </w:r>
      <w:hyperlink r:id="rId397" w:tgtFrame="_blank" w:history="1">
        <w:r w:rsidRPr="00ED7E61">
          <w:rPr>
            <w:rStyle w:val="normaltextrun"/>
            <w:rFonts w:asciiTheme="majorBidi" w:eastAsiaTheme="majorEastAsia" w:hAnsiTheme="majorBidi" w:cstheme="majorBidi"/>
            <w:color w:val="1876BA"/>
            <w:u w:val="single"/>
          </w:rPr>
          <w:t>https://unstats.un.org/sdgs/metadata/</w:t>
        </w:r>
      </w:hyperlink>
      <w:r w:rsidRPr="00ED7E61">
        <w:rPr>
          <w:rStyle w:val="eop"/>
          <w:rFonts w:asciiTheme="majorBidi" w:eastAsiaTheme="majorEastAsia" w:hAnsiTheme="majorBidi" w:cstheme="majorBidi"/>
          <w:color w:val="242424"/>
        </w:rPr>
        <w:t> </w:t>
      </w:r>
    </w:p>
    <w:p w14:paraId="19B4C26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4693A6AA"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Sub-indicators 1 to 4</w:t>
      </w:r>
      <w:r w:rsidRPr="00ED7E61">
        <w:rPr>
          <w:rStyle w:val="normaltextrun"/>
        </w:rPr>
        <w:t> </w:t>
      </w:r>
    </w:p>
    <w:p w14:paraId="296DA425" w14:textId="064670CE"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Data are collected by FAO through the Global Forest Resources Assessment (FRA). Assessments have been carried out at regular intervals since 1946 and are now produced every five years. The latest of these assessments, FRA 202</w:t>
      </w:r>
      <w:r w:rsidR="0084254B">
        <w:rPr>
          <w:rStyle w:val="normaltextrun"/>
          <w:rFonts w:asciiTheme="majorBidi" w:eastAsiaTheme="majorEastAsia" w:hAnsiTheme="majorBidi" w:cstheme="majorBidi"/>
          <w:color w:val="242424"/>
        </w:rPr>
        <w:t>5</w:t>
      </w:r>
      <w:r w:rsidRPr="00ED7E61">
        <w:rPr>
          <w:rStyle w:val="normaltextrun"/>
          <w:rFonts w:asciiTheme="majorBidi" w:eastAsiaTheme="majorEastAsia" w:hAnsiTheme="majorBidi" w:cstheme="majorBidi"/>
          <w:color w:val="242424"/>
        </w:rPr>
        <w:t xml:space="preserve">, contains information for 236 countries and territories on </w:t>
      </w:r>
      <w:r w:rsidR="0084254B">
        <w:rPr>
          <w:rStyle w:val="normaltextrun"/>
          <w:rFonts w:asciiTheme="majorBidi" w:eastAsiaTheme="majorEastAsia" w:hAnsiTheme="majorBidi" w:cstheme="majorBidi"/>
          <w:color w:val="242424"/>
        </w:rPr>
        <w:t xml:space="preserve">around 50 </w:t>
      </w:r>
      <w:r w:rsidRPr="00ED7E61">
        <w:rPr>
          <w:rStyle w:val="normaltextrun"/>
          <w:rFonts w:asciiTheme="majorBidi" w:eastAsiaTheme="majorEastAsia" w:hAnsiTheme="majorBidi" w:cstheme="majorBidi"/>
          <w:color w:val="242424"/>
        </w:rPr>
        <w:t xml:space="preserve">variables related to the extent of forests, their conditions, uses and </w:t>
      </w:r>
      <w:r w:rsidR="0084254B">
        <w:rPr>
          <w:rStyle w:val="normaltextrun"/>
          <w:rFonts w:asciiTheme="majorBidi" w:eastAsiaTheme="majorEastAsia" w:hAnsiTheme="majorBidi" w:cstheme="majorBidi"/>
          <w:color w:val="242424"/>
        </w:rPr>
        <w:t>management</w:t>
      </w:r>
      <w:r w:rsidR="0084254B" w:rsidRPr="00ED7E61">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for several points in time.</w:t>
      </w:r>
      <w:r w:rsidRPr="00ED7E61">
        <w:rPr>
          <w:rStyle w:val="normaltextrun"/>
        </w:rPr>
        <w:t> </w:t>
      </w:r>
    </w:p>
    <w:p w14:paraId="00B7734A"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Sub-indicator 5</w:t>
      </w:r>
      <w:r w:rsidRPr="00ED7E61">
        <w:rPr>
          <w:rStyle w:val="normaltextrun"/>
        </w:rPr>
        <w:t> </w:t>
      </w:r>
    </w:p>
    <w:p w14:paraId="18CE928F"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Currently, forest certification by the Forest Stewardship Council (FSC) and the Programme for the Endorsement of Forest Certification (PEFC) are included in the data submissions. The latter includes several national/regional certification schemes that have been endorsed according to the PEFC standards.</w:t>
      </w:r>
      <w:r w:rsidRPr="00ED7E61">
        <w:rPr>
          <w:rStyle w:val="normaltextrun"/>
        </w:rPr>
        <w:t> </w:t>
      </w:r>
    </w:p>
    <w:p w14:paraId="47D94607" w14:textId="70A7DC72"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Data on forest certification are submitted annually to FAO by the head offices of the respective forest certification scheme. Data include the area certified by each scheme, as well as areas that are double</w:t>
      </w:r>
      <w:r w:rsidR="00A647B7">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certified</w:t>
      </w:r>
      <w:r w:rsidR="00A647B7">
        <w:rPr>
          <w:rStyle w:val="normaltextrun"/>
          <w:rFonts w:asciiTheme="majorBidi" w:eastAsiaTheme="majorEastAsia" w:hAnsiTheme="majorBidi" w:cstheme="majorBidi"/>
          <w:color w:val="242424"/>
        </w:rPr>
        <w:t>, which means areas certified</w:t>
      </w:r>
      <w:r w:rsidRPr="00ED7E61">
        <w:rPr>
          <w:rStyle w:val="normaltextrun"/>
          <w:rFonts w:asciiTheme="majorBidi" w:eastAsiaTheme="majorEastAsia" w:hAnsiTheme="majorBidi" w:cstheme="majorBidi"/>
          <w:color w:val="242424"/>
        </w:rPr>
        <w:t xml:space="preserve"> by</w:t>
      </w:r>
      <w:r w:rsidR="00A647B7">
        <w:rPr>
          <w:rStyle w:val="normaltextrun"/>
          <w:rFonts w:asciiTheme="majorBidi" w:eastAsiaTheme="majorEastAsia" w:hAnsiTheme="majorBidi" w:cstheme="majorBidi"/>
          <w:color w:val="242424"/>
        </w:rPr>
        <w:t xml:space="preserve"> </w:t>
      </w:r>
      <w:proofErr w:type="gramStart"/>
      <w:r w:rsidR="00A647B7">
        <w:rPr>
          <w:rStyle w:val="normaltextrun"/>
          <w:rFonts w:asciiTheme="majorBidi" w:eastAsiaTheme="majorEastAsia" w:hAnsiTheme="majorBidi" w:cstheme="majorBidi"/>
          <w:color w:val="242424"/>
        </w:rPr>
        <w:t>both of the</w:t>
      </w:r>
      <w:r w:rsidRPr="00ED7E61">
        <w:rPr>
          <w:rStyle w:val="normaltextrun"/>
          <w:rFonts w:asciiTheme="majorBidi" w:eastAsiaTheme="majorEastAsia" w:hAnsiTheme="majorBidi" w:cstheme="majorBidi"/>
          <w:color w:val="242424"/>
        </w:rPr>
        <w:t xml:space="preserve"> schemes</w:t>
      </w:r>
      <w:proofErr w:type="gramEnd"/>
      <w:r w:rsidRPr="00ED7E61">
        <w:rPr>
          <w:rStyle w:val="normaltextrun"/>
          <w:rFonts w:asciiTheme="majorBidi" w:eastAsiaTheme="majorEastAsia" w:hAnsiTheme="majorBidi" w:cstheme="majorBidi"/>
          <w:color w:val="242424"/>
        </w:rPr>
        <w:t>. That allows for estimating the total certified forest area, adjusted for double certified area.</w:t>
      </w:r>
      <w:r w:rsidRPr="00ED7E61">
        <w:rPr>
          <w:rStyle w:val="normaltextrun"/>
        </w:rPr>
        <w:t> </w:t>
      </w:r>
    </w:p>
    <w:p w14:paraId="756043D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650CBE74" w14:textId="58D91A7E" w:rsidR="000A775B" w:rsidRPr="00812871" w:rsidRDefault="00245E75" w:rsidP="00B10F0C">
      <w:pPr>
        <w:pStyle w:val="CBDNormalNumber"/>
        <w:numPr>
          <w:ilvl w:val="0"/>
          <w:numId w:val="84"/>
        </w:numPr>
        <w:shd w:val="clear" w:color="auto" w:fill="FFFFFF"/>
        <w:ind w:left="567" w:firstLine="0"/>
        <w:rPr>
          <w:rStyle w:val="normaltextrun"/>
          <w:rFonts w:eastAsiaTheme="majorEastAsia"/>
          <w:color w:val="242424"/>
        </w:rPr>
      </w:pPr>
      <w:r>
        <w:rPr>
          <w:rStyle w:val="normaltextrun"/>
          <w:rFonts w:asciiTheme="majorBidi" w:eastAsiaTheme="majorEastAsia" w:hAnsiTheme="majorBidi" w:cstheme="majorBidi"/>
          <w:color w:val="242424"/>
        </w:rPr>
        <w:t xml:space="preserve">The complete dataset, featuring </w:t>
      </w:r>
      <w:r w:rsidR="00756F0F" w:rsidRPr="00ED7E61">
        <w:rPr>
          <w:rStyle w:val="normaltextrun"/>
          <w:rFonts w:asciiTheme="majorBidi" w:eastAsiaTheme="majorEastAsia" w:hAnsiTheme="majorBidi" w:cstheme="majorBidi"/>
          <w:color w:val="242424"/>
        </w:rPr>
        <w:t xml:space="preserve">updated time series and </w:t>
      </w:r>
      <w:r>
        <w:rPr>
          <w:rStyle w:val="normaltextrun"/>
          <w:rFonts w:asciiTheme="majorBidi" w:eastAsiaTheme="majorEastAsia" w:hAnsiTheme="majorBidi" w:cstheme="majorBidi"/>
          <w:color w:val="242424"/>
        </w:rPr>
        <w:t>data for the year 2025</w:t>
      </w:r>
      <w:r w:rsidR="00756F0F" w:rsidRPr="00ED7E61">
        <w:rPr>
          <w:rStyle w:val="normaltextrun"/>
          <w:rFonts w:asciiTheme="majorBidi" w:eastAsiaTheme="majorEastAsia" w:hAnsiTheme="majorBidi" w:cstheme="majorBidi"/>
          <w:color w:val="242424"/>
        </w:rPr>
        <w:t xml:space="preserve"> was released in 202</w:t>
      </w:r>
      <w:r w:rsidR="000A775B">
        <w:rPr>
          <w:rStyle w:val="normaltextrun"/>
          <w:rFonts w:asciiTheme="majorBidi" w:eastAsiaTheme="majorEastAsia" w:hAnsiTheme="majorBidi" w:cstheme="majorBidi"/>
          <w:color w:val="242424"/>
        </w:rPr>
        <w:t>5</w:t>
      </w:r>
      <w:r w:rsidR="00756F0F" w:rsidRPr="00ED7E61">
        <w:rPr>
          <w:rStyle w:val="normaltextrun"/>
          <w:rFonts w:asciiTheme="majorBidi" w:eastAsiaTheme="majorEastAsia" w:hAnsiTheme="majorBidi" w:cstheme="majorBidi"/>
          <w:color w:val="242424"/>
        </w:rPr>
        <w:t xml:space="preserve"> as part of FRA 202</w:t>
      </w:r>
      <w:r w:rsidR="000A775B">
        <w:rPr>
          <w:rStyle w:val="normaltextrun"/>
          <w:rFonts w:asciiTheme="majorBidi" w:eastAsiaTheme="majorEastAsia" w:hAnsiTheme="majorBidi" w:cstheme="majorBidi"/>
          <w:color w:val="242424"/>
        </w:rPr>
        <w:t>5</w:t>
      </w:r>
      <w:r w:rsidR="00756F0F" w:rsidRPr="00ED7E61">
        <w:rPr>
          <w:rStyle w:val="normaltextrun"/>
          <w:rFonts w:asciiTheme="majorBidi" w:eastAsiaTheme="majorEastAsia" w:hAnsiTheme="majorBidi" w:cstheme="majorBidi"/>
          <w:color w:val="242424"/>
        </w:rPr>
        <w:t xml:space="preserve"> dataset. </w:t>
      </w:r>
    </w:p>
    <w:p w14:paraId="6CED2D77" w14:textId="77777777" w:rsidR="00C712E2" w:rsidRDefault="00C712E2" w:rsidP="00812871">
      <w:pPr>
        <w:pStyle w:val="CBDNormalNumber"/>
        <w:numPr>
          <w:ilvl w:val="0"/>
          <w:numId w:val="84"/>
        </w:numPr>
        <w:shd w:val="clear" w:color="auto" w:fill="FFFFFF"/>
        <w:tabs>
          <w:tab w:val="clear" w:pos="1701"/>
          <w:tab w:val="clear" w:pos="2268"/>
        </w:tabs>
        <w:ind w:left="567" w:firstLine="0"/>
        <w:rPr>
          <w:rStyle w:val="normaltextrun"/>
          <w:rFonts w:eastAsiaTheme="majorEastAsia"/>
          <w:color w:val="242424"/>
        </w:rPr>
      </w:pPr>
      <w:r>
        <w:rPr>
          <w:rStyle w:val="normaltextrun"/>
          <w:color w:val="242424"/>
        </w:rPr>
        <w:t xml:space="preserve">Data from countries that voluntarily updated their national reports before the end of September are included in the reports of the following year. </w:t>
      </w:r>
    </w:p>
    <w:p w14:paraId="7D76EF8F" w14:textId="3380312E" w:rsidR="008D3527" w:rsidRPr="00812871" w:rsidRDefault="00C712E2" w:rsidP="00B10F0C">
      <w:pPr>
        <w:pStyle w:val="CBDNormalNumber"/>
        <w:numPr>
          <w:ilvl w:val="0"/>
          <w:numId w:val="84"/>
        </w:numPr>
        <w:shd w:val="clear" w:color="auto" w:fill="FFFFFF"/>
        <w:ind w:left="567" w:firstLine="0"/>
        <w:rPr>
          <w:rStyle w:val="normaltextrun"/>
          <w:rFonts w:eastAsiaTheme="majorEastAsia"/>
          <w:color w:val="242424"/>
        </w:rPr>
      </w:pPr>
      <w:r>
        <w:rPr>
          <w:rStyle w:val="normaltextrun"/>
          <w:rFonts w:asciiTheme="majorBidi" w:eastAsiaTheme="majorEastAsia" w:hAnsiTheme="majorBidi" w:cstheme="majorBidi"/>
          <w:color w:val="242424"/>
        </w:rPr>
        <w:t>The n</w:t>
      </w:r>
      <w:r w:rsidR="00756F0F" w:rsidRPr="00ED7E61">
        <w:rPr>
          <w:rStyle w:val="normaltextrun"/>
          <w:rFonts w:asciiTheme="majorBidi" w:eastAsiaTheme="majorEastAsia" w:hAnsiTheme="majorBidi" w:cstheme="majorBidi"/>
          <w:color w:val="242424"/>
        </w:rPr>
        <w:t>ext release of a complete</w:t>
      </w:r>
      <w:r>
        <w:rPr>
          <w:rStyle w:val="normaltextrun"/>
          <w:rFonts w:asciiTheme="majorBidi" w:eastAsiaTheme="majorEastAsia" w:hAnsiTheme="majorBidi" w:cstheme="majorBidi"/>
          <w:color w:val="242424"/>
        </w:rPr>
        <w:t>ly updated</w:t>
      </w:r>
      <w:r w:rsidR="00756F0F" w:rsidRPr="00ED7E61">
        <w:rPr>
          <w:rStyle w:val="normaltextrun"/>
          <w:rFonts w:asciiTheme="majorBidi" w:eastAsiaTheme="majorEastAsia" w:hAnsiTheme="majorBidi" w:cstheme="majorBidi"/>
          <w:color w:val="242424"/>
        </w:rPr>
        <w:t xml:space="preserve"> FRA dataset is scheduled for </w:t>
      </w:r>
      <w:r w:rsidRPr="00ED7E61">
        <w:rPr>
          <w:rStyle w:val="normaltextrun"/>
          <w:rFonts w:asciiTheme="majorBidi" w:eastAsiaTheme="majorEastAsia" w:hAnsiTheme="majorBidi" w:cstheme="majorBidi"/>
          <w:color w:val="242424"/>
        </w:rPr>
        <w:t>20</w:t>
      </w:r>
      <w:r>
        <w:rPr>
          <w:rStyle w:val="normaltextrun"/>
          <w:rFonts w:asciiTheme="majorBidi" w:eastAsiaTheme="majorEastAsia" w:hAnsiTheme="majorBidi" w:cstheme="majorBidi"/>
          <w:color w:val="242424"/>
        </w:rPr>
        <w:t>30</w:t>
      </w:r>
      <w:r w:rsidR="00756F0F" w:rsidRPr="00ED7E61">
        <w:rPr>
          <w:rStyle w:val="normaltextrun"/>
          <w:rFonts w:asciiTheme="majorBidi" w:eastAsiaTheme="majorEastAsia" w:hAnsiTheme="majorBidi" w:cstheme="majorBidi"/>
          <w:color w:val="242424"/>
        </w:rPr>
        <w:t xml:space="preserve">. </w:t>
      </w:r>
    </w:p>
    <w:p w14:paraId="091831D5" w14:textId="363DD73C"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Data on forest certification is updated annually.</w:t>
      </w:r>
      <w:r w:rsidRPr="00ED7E61">
        <w:rPr>
          <w:rStyle w:val="normaltextrun"/>
        </w:rPr>
        <w:t> </w:t>
      </w:r>
    </w:p>
    <w:p w14:paraId="003C62DE"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lastRenderedPageBreak/>
        <w:t>Data availability:</w:t>
      </w:r>
      <w:r w:rsidRPr="00ED7E61">
        <w:rPr>
          <w:rStyle w:val="normaltextrun"/>
        </w:rPr>
        <w:t> </w:t>
      </w:r>
    </w:p>
    <w:p w14:paraId="0ABA7F65" w14:textId="006F3849" w:rsidR="00756F0F" w:rsidRPr="00ED7E61" w:rsidRDefault="008D3527" w:rsidP="00812871">
      <w:pPr>
        <w:pStyle w:val="CBDNormalNumber"/>
        <w:tabs>
          <w:tab w:val="clear" w:pos="567"/>
          <w:tab w:val="clear" w:pos="1134"/>
          <w:tab w:val="clear" w:pos="1701"/>
          <w:tab w:val="clear" w:pos="2268"/>
          <w:tab w:val="left" w:pos="1985"/>
        </w:tabs>
        <w:rPr>
          <w:rFonts w:asciiTheme="majorBidi" w:hAnsiTheme="majorBidi" w:cstheme="majorBidi"/>
        </w:rPr>
      </w:pPr>
      <w:r>
        <w:rPr>
          <w:rStyle w:val="normaltextrun"/>
          <w:rFonts w:asciiTheme="majorBidi" w:eastAsiaTheme="majorEastAsia" w:hAnsiTheme="majorBidi" w:cstheme="majorBidi"/>
          <w:color w:val="242424"/>
        </w:rPr>
        <w:t>D</w:t>
      </w:r>
      <w:r w:rsidR="00756F0F" w:rsidRPr="00ED7E61">
        <w:rPr>
          <w:rStyle w:val="normaltextrun"/>
          <w:rFonts w:asciiTheme="majorBidi" w:eastAsiaTheme="majorEastAsia" w:hAnsiTheme="majorBidi" w:cstheme="majorBidi"/>
          <w:color w:val="242424"/>
        </w:rPr>
        <w:t xml:space="preserve">ata </w:t>
      </w:r>
      <w:r>
        <w:rPr>
          <w:rStyle w:val="normaltextrun"/>
          <w:rFonts w:asciiTheme="majorBidi" w:eastAsiaTheme="majorEastAsia" w:hAnsiTheme="majorBidi" w:cstheme="majorBidi"/>
          <w:color w:val="242424"/>
        </w:rPr>
        <w:t xml:space="preserve">are available </w:t>
      </w:r>
      <w:r w:rsidR="00756F0F" w:rsidRPr="00ED7E61">
        <w:rPr>
          <w:rStyle w:val="normaltextrun"/>
          <w:rFonts w:asciiTheme="majorBidi" w:eastAsiaTheme="majorEastAsia" w:hAnsiTheme="majorBidi" w:cstheme="majorBidi"/>
          <w:color w:val="242424"/>
        </w:rPr>
        <w:t>from 236 countries and territories. </w:t>
      </w:r>
      <w:r w:rsidR="00756F0F" w:rsidRPr="00ED7E61">
        <w:rPr>
          <w:rStyle w:val="normaltextrun"/>
        </w:rPr>
        <w:t> </w:t>
      </w:r>
      <w:r w:rsidRPr="00ED7E61" w:rsidDel="008D3527">
        <w:rPr>
          <w:rStyle w:val="normaltextrun"/>
          <w:rFonts w:eastAsiaTheme="majorEastAsia"/>
          <w:color w:val="242424"/>
        </w:rPr>
        <w:t xml:space="preserve"> </w:t>
      </w:r>
      <w:r w:rsidR="00756F0F" w:rsidRPr="00ED7E61">
        <w:rPr>
          <w:rStyle w:val="normaltextrun"/>
          <w:rFonts w:asciiTheme="majorBidi" w:eastAsiaTheme="majorEastAsia" w:hAnsiTheme="majorBidi" w:cstheme="majorBidi"/>
          <w:b/>
          <w:bCs/>
        </w:rPr>
        <w:t>5g. Time series</w:t>
      </w:r>
      <w:r w:rsidR="00756F0F" w:rsidRPr="00ED7E61">
        <w:rPr>
          <w:rStyle w:val="normaltextrun"/>
          <w:rFonts w:asciiTheme="majorBidi" w:eastAsiaTheme="majorEastAsia" w:hAnsiTheme="majorBidi" w:cstheme="majorBidi"/>
        </w:rPr>
        <w:t> </w:t>
      </w:r>
      <w:r w:rsidR="00756F0F" w:rsidRPr="00ED7E61">
        <w:rPr>
          <w:rStyle w:val="eop"/>
          <w:rFonts w:asciiTheme="majorBidi" w:eastAsiaTheme="majorEastAsia" w:hAnsiTheme="majorBidi" w:cstheme="majorBidi"/>
        </w:rPr>
        <w:t> </w:t>
      </w:r>
    </w:p>
    <w:p w14:paraId="2FB5F1E7" w14:textId="32DF5DB4" w:rsidR="00756F0F" w:rsidRPr="00ED7E61" w:rsidRDefault="00EC2F2F" w:rsidP="00B10F0C">
      <w:pPr>
        <w:pStyle w:val="CBDNormalNumber"/>
        <w:numPr>
          <w:ilvl w:val="0"/>
          <w:numId w:val="84"/>
        </w:numPr>
        <w:shd w:val="clear" w:color="auto" w:fill="FFFFFF"/>
        <w:ind w:left="567" w:firstLine="0"/>
        <w:rPr>
          <w:rStyle w:val="normaltextrun"/>
          <w:rFonts w:eastAsiaTheme="majorEastAsia"/>
          <w:color w:val="242424"/>
        </w:rPr>
      </w:pPr>
      <w:r>
        <w:rPr>
          <w:rStyle w:val="normaltextrun"/>
          <w:rFonts w:asciiTheme="majorBidi" w:eastAsiaTheme="majorEastAsia" w:hAnsiTheme="majorBidi" w:cstheme="majorBidi"/>
          <w:color w:val="242424"/>
        </w:rPr>
        <w:t>S</w:t>
      </w:r>
      <w:r w:rsidR="00756F0F" w:rsidRPr="00ED7E61">
        <w:rPr>
          <w:rStyle w:val="normaltextrun"/>
          <w:rFonts w:asciiTheme="majorBidi" w:eastAsiaTheme="majorEastAsia" w:hAnsiTheme="majorBidi" w:cstheme="majorBidi"/>
          <w:color w:val="242424"/>
        </w:rPr>
        <w:t>ub-indicators 1 to 4</w:t>
      </w:r>
      <w:r>
        <w:rPr>
          <w:rStyle w:val="normaltextrun"/>
          <w:rFonts w:asciiTheme="majorBidi" w:eastAsiaTheme="majorEastAsia" w:hAnsiTheme="majorBidi" w:cstheme="majorBidi"/>
          <w:color w:val="242424"/>
        </w:rPr>
        <w:t>:</w:t>
      </w:r>
      <w:r w:rsidR="00756F0F" w:rsidRPr="00ED7E61">
        <w:rPr>
          <w:rStyle w:val="normaltextrun"/>
        </w:rPr>
        <w:t> </w:t>
      </w:r>
    </w:p>
    <w:p w14:paraId="720DE4D6" w14:textId="3E1A9CE8" w:rsidR="00756F0F" w:rsidRPr="00812871" w:rsidRDefault="00295CBB" w:rsidP="00812871">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Pr>
          <w:rStyle w:val="normaltextrun"/>
          <w:rFonts w:asciiTheme="majorBidi" w:eastAsiaTheme="majorEastAsia" w:hAnsiTheme="majorBidi" w:cstheme="majorBidi"/>
          <w:color w:val="242424"/>
        </w:rPr>
        <w:t xml:space="preserve">1990, </w:t>
      </w:r>
      <w:r w:rsidR="00756F0F" w:rsidRPr="00ED7E61">
        <w:rPr>
          <w:rStyle w:val="normaltextrun"/>
          <w:rFonts w:asciiTheme="majorBidi" w:eastAsiaTheme="majorEastAsia" w:hAnsiTheme="majorBidi" w:cstheme="majorBidi"/>
          <w:color w:val="242424"/>
        </w:rPr>
        <w:t xml:space="preserve">2000, 2010, </w:t>
      </w:r>
      <w:proofErr w:type="gramStart"/>
      <w:r w:rsidR="00756F0F" w:rsidRPr="00ED7E61">
        <w:rPr>
          <w:rStyle w:val="normaltextrun"/>
          <w:rFonts w:asciiTheme="majorBidi" w:eastAsiaTheme="majorEastAsia" w:hAnsiTheme="majorBidi" w:cstheme="majorBidi"/>
          <w:color w:val="242424"/>
        </w:rPr>
        <w:t>2015,  2020</w:t>
      </w:r>
      <w:proofErr w:type="gramEnd"/>
      <w:r>
        <w:rPr>
          <w:rStyle w:val="normaltextrun"/>
          <w:rFonts w:asciiTheme="majorBidi" w:eastAsiaTheme="majorEastAsia" w:hAnsiTheme="majorBidi" w:cstheme="majorBidi"/>
          <w:color w:val="242424"/>
        </w:rPr>
        <w:t>, 2025</w:t>
      </w:r>
      <w:r w:rsidR="00756F0F" w:rsidRPr="00812871">
        <w:rPr>
          <w:rStyle w:val="normaltextrun"/>
        </w:rPr>
        <w:t> </w:t>
      </w:r>
    </w:p>
    <w:p w14:paraId="1A10CF3E" w14:textId="7D103293" w:rsidR="00756F0F" w:rsidRPr="00ED7E61" w:rsidRDefault="00EC2F2F" w:rsidP="00B10F0C">
      <w:pPr>
        <w:pStyle w:val="CBDNormalNumber"/>
        <w:numPr>
          <w:ilvl w:val="0"/>
          <w:numId w:val="84"/>
        </w:numPr>
        <w:shd w:val="clear" w:color="auto" w:fill="FFFFFF"/>
        <w:ind w:left="567" w:firstLine="0"/>
        <w:rPr>
          <w:rStyle w:val="normaltextrun"/>
          <w:rFonts w:eastAsiaTheme="majorEastAsia"/>
          <w:color w:val="242424"/>
        </w:rPr>
      </w:pPr>
      <w:r>
        <w:rPr>
          <w:rStyle w:val="normaltextrun"/>
          <w:rFonts w:asciiTheme="majorBidi" w:eastAsiaTheme="majorEastAsia" w:hAnsiTheme="majorBidi" w:cstheme="majorBidi"/>
          <w:color w:val="242424"/>
        </w:rPr>
        <w:t>S</w:t>
      </w:r>
      <w:r w:rsidR="00756F0F" w:rsidRPr="00ED7E61">
        <w:rPr>
          <w:rStyle w:val="normaltextrun"/>
          <w:rFonts w:asciiTheme="majorBidi" w:eastAsiaTheme="majorEastAsia" w:hAnsiTheme="majorBidi" w:cstheme="majorBidi"/>
          <w:color w:val="242424"/>
        </w:rPr>
        <w:t>ub-indicator 5</w:t>
      </w:r>
      <w:r>
        <w:rPr>
          <w:rStyle w:val="normaltextrun"/>
        </w:rPr>
        <w:t>:</w:t>
      </w:r>
    </w:p>
    <w:p w14:paraId="11EB4DC6" w14:textId="29905DCF" w:rsidR="00756F0F" w:rsidRPr="00812871" w:rsidRDefault="00295CBB" w:rsidP="00812871">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Pr>
          <w:rStyle w:val="normaltextrun"/>
          <w:rFonts w:asciiTheme="majorBidi" w:eastAsiaTheme="majorEastAsia" w:hAnsiTheme="majorBidi" w:cstheme="majorBidi"/>
          <w:color w:val="242424"/>
        </w:rPr>
        <w:t>1990</w:t>
      </w:r>
      <w:r w:rsidR="00E97F6D">
        <w:rPr>
          <w:rStyle w:val="normaltextrun"/>
          <w:rFonts w:asciiTheme="majorBidi" w:eastAsiaTheme="majorEastAsia" w:hAnsiTheme="majorBidi" w:cstheme="majorBidi"/>
          <w:color w:val="242424"/>
        </w:rPr>
        <w:t xml:space="preserve">, </w:t>
      </w:r>
      <w:r w:rsidR="00756F0F" w:rsidRPr="00ED7E61">
        <w:rPr>
          <w:rStyle w:val="normaltextrun"/>
          <w:rFonts w:asciiTheme="majorBidi" w:eastAsiaTheme="majorEastAsia" w:hAnsiTheme="majorBidi" w:cstheme="majorBidi"/>
          <w:color w:val="242424"/>
        </w:rPr>
        <w:t>2000, 2010, 2015, and every year since</w:t>
      </w:r>
      <w:r w:rsidR="00756F0F" w:rsidRPr="00812871">
        <w:rPr>
          <w:rStyle w:val="normaltextrun"/>
        </w:rPr>
        <w:t> </w:t>
      </w:r>
    </w:p>
    <w:p w14:paraId="0B136D0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0349DBE4" w14:textId="71712A2F" w:rsidR="00756F0F" w:rsidRPr="00ED7E61" w:rsidRDefault="00EC2F2F" w:rsidP="00B10F0C">
      <w:pPr>
        <w:pStyle w:val="CBDNormalNumber"/>
        <w:numPr>
          <w:ilvl w:val="0"/>
          <w:numId w:val="84"/>
        </w:numPr>
        <w:shd w:val="clear" w:color="auto" w:fill="FFFFFF"/>
        <w:ind w:left="567" w:firstLine="0"/>
        <w:rPr>
          <w:rStyle w:val="normaltextrun"/>
          <w:rFonts w:eastAsiaTheme="majorEastAsia"/>
          <w:color w:val="242424"/>
        </w:rPr>
      </w:pPr>
      <w:r>
        <w:rPr>
          <w:rStyle w:val="normaltextrun"/>
          <w:rFonts w:asciiTheme="majorBidi" w:eastAsiaTheme="majorEastAsia" w:hAnsiTheme="majorBidi" w:cstheme="majorBidi"/>
          <w:color w:val="242424"/>
        </w:rPr>
        <w:t>S</w:t>
      </w:r>
      <w:r w:rsidR="00756F0F" w:rsidRPr="00ED7E61">
        <w:rPr>
          <w:rStyle w:val="normaltextrun"/>
          <w:rFonts w:asciiTheme="majorBidi" w:eastAsiaTheme="majorEastAsia" w:hAnsiTheme="majorBidi" w:cstheme="majorBidi"/>
          <w:color w:val="242424"/>
        </w:rPr>
        <w:t>ub-indicators 1 to 4 </w:t>
      </w:r>
      <w:r w:rsidR="00756F0F" w:rsidRPr="00ED7E61">
        <w:rPr>
          <w:rStyle w:val="normaltextrun"/>
        </w:rPr>
        <w:t> </w:t>
      </w:r>
    </w:p>
    <w:p w14:paraId="43857E76" w14:textId="5C65276C" w:rsidR="00756F0F" w:rsidRPr="00ED7E61" w:rsidRDefault="00EC2F2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Pr>
          <w:rStyle w:val="normaltextrun"/>
          <w:rFonts w:asciiTheme="majorBidi" w:eastAsiaTheme="majorEastAsia" w:hAnsiTheme="majorBidi" w:cstheme="majorBidi"/>
          <w:color w:val="242424"/>
        </w:rPr>
        <w:t xml:space="preserve">The data are </w:t>
      </w:r>
      <w:r w:rsidR="00756F0F" w:rsidRPr="00ED7E61">
        <w:rPr>
          <w:rStyle w:val="normaltextrun"/>
          <w:rFonts w:asciiTheme="majorBidi" w:eastAsiaTheme="majorEastAsia" w:hAnsiTheme="majorBidi" w:cstheme="majorBidi"/>
          <w:color w:val="242424"/>
        </w:rPr>
        <w:t xml:space="preserve">provided by the countries through a global network of officially nominated national correspondents. For </w:t>
      </w:r>
      <w:r w:rsidR="00055957">
        <w:rPr>
          <w:rStyle w:val="normaltextrun"/>
          <w:rFonts w:asciiTheme="majorBidi" w:eastAsiaTheme="majorEastAsia" w:hAnsiTheme="majorBidi" w:cstheme="majorBidi"/>
          <w:color w:val="242424"/>
        </w:rPr>
        <w:t>those</w:t>
      </w:r>
      <w:r w:rsidR="00055957" w:rsidRPr="00ED7E61">
        <w:rPr>
          <w:rStyle w:val="normaltextrun"/>
          <w:rFonts w:asciiTheme="majorBidi" w:eastAsiaTheme="majorEastAsia" w:hAnsiTheme="majorBidi" w:cstheme="majorBidi"/>
          <w:color w:val="242424"/>
        </w:rPr>
        <w:t xml:space="preserve"> </w:t>
      </w:r>
      <w:r w:rsidR="00756F0F" w:rsidRPr="00ED7E61">
        <w:rPr>
          <w:rStyle w:val="normaltextrun"/>
          <w:rFonts w:asciiTheme="majorBidi" w:eastAsiaTheme="majorEastAsia" w:hAnsiTheme="majorBidi" w:cstheme="majorBidi"/>
          <w:color w:val="242424"/>
        </w:rPr>
        <w:t xml:space="preserve">countries and territories </w:t>
      </w:r>
      <w:r w:rsidR="00055957">
        <w:rPr>
          <w:rStyle w:val="normaltextrun"/>
          <w:rFonts w:asciiTheme="majorBidi" w:eastAsiaTheme="majorEastAsia" w:hAnsiTheme="majorBidi" w:cstheme="majorBidi"/>
          <w:color w:val="242424"/>
        </w:rPr>
        <w:t>that</w:t>
      </w:r>
      <w:r w:rsidR="00055957" w:rsidRPr="00ED7E61">
        <w:rPr>
          <w:rStyle w:val="normaltextrun"/>
          <w:rFonts w:asciiTheme="majorBidi" w:eastAsiaTheme="majorEastAsia" w:hAnsiTheme="majorBidi" w:cstheme="majorBidi"/>
          <w:color w:val="242424"/>
        </w:rPr>
        <w:t xml:space="preserve"> </w:t>
      </w:r>
      <w:r w:rsidR="00756F0F" w:rsidRPr="00ED7E61">
        <w:rPr>
          <w:rStyle w:val="normaltextrun"/>
          <w:rFonts w:asciiTheme="majorBidi" w:eastAsiaTheme="majorEastAsia" w:hAnsiTheme="majorBidi" w:cstheme="majorBidi"/>
          <w:color w:val="242424"/>
        </w:rPr>
        <w:t xml:space="preserve">do not have a national correspondent, a report is prepared by FAO using </w:t>
      </w:r>
      <w:proofErr w:type="gramStart"/>
      <w:r w:rsidR="00756F0F" w:rsidRPr="00ED7E61">
        <w:rPr>
          <w:rStyle w:val="normaltextrun"/>
          <w:rFonts w:asciiTheme="majorBidi" w:eastAsiaTheme="majorEastAsia" w:hAnsiTheme="majorBidi" w:cstheme="majorBidi"/>
          <w:color w:val="242424"/>
        </w:rPr>
        <w:t>previously</w:t>
      </w:r>
      <w:r w:rsidR="00055957">
        <w:rPr>
          <w:rStyle w:val="normaltextrun"/>
          <w:rFonts w:asciiTheme="majorBidi" w:eastAsiaTheme="majorEastAsia" w:hAnsiTheme="majorBidi" w:cstheme="majorBidi"/>
          <w:color w:val="242424"/>
        </w:rPr>
        <w:t>-</w:t>
      </w:r>
      <w:r w:rsidR="00756F0F" w:rsidRPr="00ED7E61">
        <w:rPr>
          <w:rStyle w:val="normaltextrun"/>
          <w:rFonts w:asciiTheme="majorBidi" w:eastAsiaTheme="majorEastAsia" w:hAnsiTheme="majorBidi" w:cstheme="majorBidi"/>
          <w:color w:val="242424"/>
        </w:rPr>
        <w:t>reported</w:t>
      </w:r>
      <w:proofErr w:type="gramEnd"/>
      <w:r w:rsidR="00756F0F" w:rsidRPr="00ED7E61">
        <w:rPr>
          <w:rStyle w:val="normaltextrun"/>
          <w:rFonts w:asciiTheme="majorBidi" w:eastAsiaTheme="majorEastAsia" w:hAnsiTheme="majorBidi" w:cstheme="majorBidi"/>
          <w:color w:val="242424"/>
        </w:rPr>
        <w:t xml:space="preserve"> information, literature search, remote sensing or their combination.</w:t>
      </w:r>
      <w:r w:rsidR="00756F0F" w:rsidRPr="00ED7E61">
        <w:rPr>
          <w:rStyle w:val="normaltextrun"/>
        </w:rPr>
        <w:t> </w:t>
      </w:r>
    </w:p>
    <w:p w14:paraId="73515D64" w14:textId="2FA64B9A" w:rsidR="00756F0F" w:rsidRPr="00ED7E61" w:rsidRDefault="00055957" w:rsidP="00B10F0C">
      <w:pPr>
        <w:pStyle w:val="CBDNormalNumber"/>
        <w:numPr>
          <w:ilvl w:val="0"/>
          <w:numId w:val="84"/>
        </w:numPr>
        <w:shd w:val="clear" w:color="auto" w:fill="FFFFFF"/>
        <w:ind w:left="567" w:firstLine="0"/>
        <w:rPr>
          <w:rStyle w:val="normaltextrun"/>
          <w:rFonts w:eastAsiaTheme="majorEastAsia"/>
          <w:color w:val="242424"/>
        </w:rPr>
      </w:pPr>
      <w:r>
        <w:rPr>
          <w:rStyle w:val="normaltextrun"/>
          <w:rFonts w:asciiTheme="majorBidi" w:eastAsiaTheme="majorEastAsia" w:hAnsiTheme="majorBidi" w:cstheme="majorBidi"/>
          <w:color w:val="242424"/>
        </w:rPr>
        <w:t>S</w:t>
      </w:r>
      <w:r w:rsidR="00756F0F" w:rsidRPr="00ED7E61">
        <w:rPr>
          <w:rStyle w:val="normaltextrun"/>
          <w:rFonts w:asciiTheme="majorBidi" w:eastAsiaTheme="majorEastAsia" w:hAnsiTheme="majorBidi" w:cstheme="majorBidi"/>
          <w:color w:val="242424"/>
        </w:rPr>
        <w:t>ub-indicator 5, </w:t>
      </w:r>
      <w:r w:rsidR="00756F0F" w:rsidRPr="00ED7E61">
        <w:rPr>
          <w:rStyle w:val="normaltextrun"/>
        </w:rPr>
        <w:t> </w:t>
      </w:r>
    </w:p>
    <w:p w14:paraId="1378C515" w14:textId="6F505875" w:rsidR="00756F0F" w:rsidRPr="00ED7E61" w:rsidRDefault="00055957"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Pr>
          <w:rStyle w:val="normaltextrun"/>
          <w:rFonts w:asciiTheme="majorBidi" w:eastAsiaTheme="majorEastAsia" w:hAnsiTheme="majorBidi" w:cstheme="majorBidi"/>
          <w:color w:val="242424"/>
        </w:rPr>
        <w:t>F</w:t>
      </w:r>
      <w:r w:rsidR="00756F0F" w:rsidRPr="00ED7E61">
        <w:rPr>
          <w:rStyle w:val="normaltextrun"/>
          <w:rFonts w:asciiTheme="majorBidi" w:eastAsiaTheme="majorEastAsia" w:hAnsiTheme="majorBidi" w:cstheme="majorBidi"/>
          <w:color w:val="242424"/>
        </w:rPr>
        <w:t xml:space="preserve">orest certification, data are provided by </w:t>
      </w:r>
      <w:r w:rsidR="00D178BC">
        <w:rPr>
          <w:rStyle w:val="normaltextrun"/>
          <w:rFonts w:asciiTheme="majorBidi" w:eastAsiaTheme="majorEastAsia" w:hAnsiTheme="majorBidi" w:cstheme="majorBidi"/>
          <w:color w:val="242424"/>
        </w:rPr>
        <w:t xml:space="preserve">the </w:t>
      </w:r>
      <w:r w:rsidR="00756F0F" w:rsidRPr="00ED7E61">
        <w:rPr>
          <w:rStyle w:val="normaltextrun"/>
          <w:rFonts w:asciiTheme="majorBidi" w:eastAsiaTheme="majorEastAsia" w:hAnsiTheme="majorBidi" w:cstheme="majorBidi"/>
          <w:color w:val="242424"/>
        </w:rPr>
        <w:t xml:space="preserve">head offices of </w:t>
      </w:r>
      <w:r w:rsidR="00D178BC">
        <w:rPr>
          <w:rStyle w:val="normaltextrun"/>
          <w:rFonts w:asciiTheme="majorBidi" w:eastAsiaTheme="majorEastAsia" w:hAnsiTheme="majorBidi" w:cstheme="majorBidi"/>
          <w:color w:val="242424"/>
        </w:rPr>
        <w:t xml:space="preserve">the </w:t>
      </w:r>
      <w:r w:rsidR="00756F0F" w:rsidRPr="00ED7E61">
        <w:rPr>
          <w:rStyle w:val="normaltextrun"/>
          <w:rFonts w:asciiTheme="majorBidi" w:eastAsiaTheme="majorEastAsia" w:hAnsiTheme="majorBidi" w:cstheme="majorBidi"/>
          <w:color w:val="242424"/>
        </w:rPr>
        <w:t>respective forest certification scheme</w:t>
      </w:r>
      <w:r w:rsidR="00D178BC">
        <w:rPr>
          <w:rStyle w:val="normaltextrun"/>
          <w:rFonts w:asciiTheme="majorBidi" w:eastAsiaTheme="majorEastAsia" w:hAnsiTheme="majorBidi" w:cstheme="majorBidi"/>
          <w:color w:val="242424"/>
        </w:rPr>
        <w:t>s</w:t>
      </w:r>
      <w:r w:rsidR="00756F0F" w:rsidRPr="00ED7E61">
        <w:rPr>
          <w:rStyle w:val="normaltextrun"/>
          <w:rFonts w:asciiTheme="majorBidi" w:eastAsiaTheme="majorEastAsia" w:hAnsiTheme="majorBidi" w:cstheme="majorBidi"/>
          <w:color w:val="242424"/>
        </w:rPr>
        <w:t>.</w:t>
      </w:r>
      <w:r w:rsidR="00756F0F" w:rsidRPr="00ED7E61">
        <w:rPr>
          <w:rStyle w:val="normaltextrun"/>
        </w:rPr>
        <w:t> </w:t>
      </w:r>
    </w:p>
    <w:p w14:paraId="1B2D84EE"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5i. Data compilers</w:t>
      </w:r>
      <w:r w:rsidRPr="00ED7E61">
        <w:rPr>
          <w:rStyle w:val="normaltextrun"/>
          <w:color w:val="242424"/>
        </w:rPr>
        <w:t> </w:t>
      </w:r>
    </w:p>
    <w:p w14:paraId="3C51712F"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Food and Agriculture Organization of the United Nations (FAO)</w:t>
      </w:r>
      <w:r w:rsidRPr="00ED7E61">
        <w:rPr>
          <w:rStyle w:val="normaltextrun"/>
        </w:rPr>
        <w:t> </w:t>
      </w:r>
    </w:p>
    <w:p w14:paraId="1B6FDFE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3F834CF5" w14:textId="04ECF4EA" w:rsidR="00A86A1C" w:rsidRDefault="00A86A1C" w:rsidP="00812871">
      <w:pPr>
        <w:pStyle w:val="CBDNormalNumber"/>
        <w:numPr>
          <w:ilvl w:val="0"/>
          <w:numId w:val="84"/>
        </w:numPr>
        <w:shd w:val="clear" w:color="auto" w:fill="FFFFFF"/>
        <w:ind w:hanging="1017"/>
        <w:rPr>
          <w:rFonts w:asciiTheme="majorBidi" w:hAnsiTheme="majorBidi" w:cstheme="majorBidi"/>
        </w:rPr>
      </w:pPr>
      <w:r>
        <w:rPr>
          <w:rStyle w:val="normaltextrun"/>
          <w:color w:val="242424"/>
        </w:rPr>
        <w:t>Data are available for 236 countries and territories, for one or more of the sub-indicators.</w:t>
      </w:r>
    </w:p>
    <w:p w14:paraId="33E5F9D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18AE9482" w14:textId="19744588"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At country level</w:t>
      </w:r>
      <w:r w:rsidR="006A112D">
        <w:rPr>
          <w:rStyle w:val="normaltextrun"/>
        </w:rPr>
        <w:t>:</w:t>
      </w:r>
    </w:p>
    <w:p w14:paraId="7C840C2D" w14:textId="7F0F9ED8" w:rsidR="00756F0F" w:rsidRPr="00812871" w:rsidRDefault="00756F0F" w:rsidP="00812871">
      <w:pPr>
        <w:pStyle w:val="CBDNormalNumber"/>
        <w:numPr>
          <w:ilvl w:val="1"/>
          <w:numId w:val="84"/>
        </w:numPr>
        <w:tabs>
          <w:tab w:val="clear" w:pos="567"/>
          <w:tab w:val="clear" w:pos="1134"/>
          <w:tab w:val="clear" w:pos="1701"/>
          <w:tab w:val="clear" w:pos="2268"/>
          <w:tab w:val="left" w:pos="1985"/>
        </w:tabs>
        <w:ind w:left="1276" w:firstLine="56"/>
        <w:rPr>
          <w:rStyle w:val="normaltextrun"/>
          <w:rFonts w:asciiTheme="majorBidi" w:eastAsiaTheme="majorEastAsia" w:hAnsiTheme="majorBidi" w:cstheme="majorBidi"/>
          <w:color w:val="242424"/>
        </w:rPr>
      </w:pPr>
      <w:r w:rsidRPr="00ED7E61">
        <w:rPr>
          <w:rStyle w:val="normaltextrun"/>
          <w:rFonts w:asciiTheme="majorBidi" w:eastAsiaTheme="majorEastAsia" w:hAnsiTheme="majorBidi" w:cstheme="majorBidi"/>
          <w:color w:val="242424"/>
        </w:rPr>
        <w:t xml:space="preserve">For countries and territories where no information was provided to FAO for FRA </w:t>
      </w:r>
      <w:r w:rsidR="00DE79B7">
        <w:rPr>
          <w:rStyle w:val="normaltextrun"/>
          <w:rFonts w:asciiTheme="majorBidi" w:eastAsiaTheme="majorEastAsia" w:hAnsiTheme="majorBidi" w:cstheme="majorBidi"/>
          <w:color w:val="242424"/>
        </w:rPr>
        <w:t>2025</w:t>
      </w:r>
      <w:r w:rsidR="00DE79B7" w:rsidRPr="00ED7E61">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w:t>
      </w:r>
      <w:r w:rsidR="00DE79B7">
        <w:rPr>
          <w:rStyle w:val="normaltextrun"/>
          <w:rFonts w:asciiTheme="majorBidi" w:eastAsiaTheme="majorEastAsia" w:hAnsiTheme="majorBidi" w:cstheme="majorBidi"/>
          <w:color w:val="242424"/>
        </w:rPr>
        <w:t>42</w:t>
      </w:r>
      <w:r w:rsidR="00DE79B7" w:rsidRPr="00ED7E61">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 xml:space="preserve">countries and territories representing </w:t>
      </w:r>
      <w:r w:rsidR="00DF1C42">
        <w:rPr>
          <w:rStyle w:val="normaltextrun"/>
          <w:rFonts w:asciiTheme="majorBidi" w:eastAsiaTheme="majorEastAsia" w:hAnsiTheme="majorBidi" w:cstheme="majorBidi"/>
          <w:color w:val="242424"/>
        </w:rPr>
        <w:t>1.6</w:t>
      </w:r>
      <w:r w:rsidRPr="00ED7E61">
        <w:rPr>
          <w:rStyle w:val="normaltextrun"/>
          <w:rFonts w:asciiTheme="majorBidi" w:eastAsiaTheme="majorEastAsia" w:hAnsiTheme="majorBidi" w:cstheme="majorBidi"/>
          <w:color w:val="242424"/>
        </w:rPr>
        <w:t xml:space="preserve"> percent of the global forest area</w:t>
      </w:r>
      <w:r w:rsidR="00DF1C42">
        <w:rPr>
          <w:rStyle w:val="normaltextrun"/>
          <w:rFonts w:asciiTheme="majorBidi" w:eastAsiaTheme="majorEastAsia" w:hAnsiTheme="majorBidi" w:cstheme="majorBidi"/>
          <w:color w:val="242424"/>
        </w:rPr>
        <w:t xml:space="preserve"> in 2025</w:t>
      </w:r>
      <w:r w:rsidRPr="00ED7E61">
        <w:rPr>
          <w:rStyle w:val="normaltextrun"/>
          <w:rFonts w:asciiTheme="majorBidi" w:eastAsiaTheme="majorEastAsia" w:hAnsiTheme="majorBidi" w:cstheme="majorBidi"/>
          <w:color w:val="242424"/>
        </w:rPr>
        <w:t xml:space="preserve">), FAO </w:t>
      </w:r>
      <w:r w:rsidR="00DF1C42">
        <w:rPr>
          <w:rStyle w:val="normaltextrun"/>
          <w:rFonts w:asciiTheme="majorBidi" w:eastAsiaTheme="majorEastAsia" w:hAnsiTheme="majorBidi" w:cstheme="majorBidi"/>
          <w:color w:val="242424"/>
        </w:rPr>
        <w:t xml:space="preserve">made estimates based on </w:t>
      </w:r>
      <w:r w:rsidRPr="00ED7E61">
        <w:rPr>
          <w:rStyle w:val="normaltextrun"/>
          <w:rFonts w:asciiTheme="majorBidi" w:eastAsiaTheme="majorEastAsia" w:hAnsiTheme="majorBidi" w:cstheme="majorBidi"/>
          <w:color w:val="242424"/>
        </w:rPr>
        <w:t xml:space="preserve">existing information </w:t>
      </w:r>
      <w:r w:rsidR="00047CC6">
        <w:rPr>
          <w:rStyle w:val="normaltextrun"/>
          <w:rFonts w:asciiTheme="majorBidi" w:eastAsiaTheme="majorEastAsia" w:hAnsiTheme="majorBidi" w:cstheme="majorBidi"/>
          <w:color w:val="242424"/>
        </w:rPr>
        <w:t xml:space="preserve">or </w:t>
      </w:r>
      <w:r w:rsidRPr="00ED7E61">
        <w:rPr>
          <w:rStyle w:val="normaltextrun"/>
          <w:rFonts w:asciiTheme="majorBidi" w:eastAsiaTheme="majorEastAsia" w:hAnsiTheme="majorBidi" w:cstheme="majorBidi"/>
          <w:color w:val="242424"/>
        </w:rPr>
        <w:t xml:space="preserve">from previous assessments, literature search, remote sensing or </w:t>
      </w:r>
      <w:r w:rsidR="000101BA">
        <w:rPr>
          <w:rStyle w:val="normaltextrun"/>
          <w:rFonts w:asciiTheme="majorBidi" w:eastAsiaTheme="majorEastAsia" w:hAnsiTheme="majorBidi" w:cstheme="majorBidi"/>
          <w:color w:val="242424"/>
        </w:rPr>
        <w:t xml:space="preserve">from </w:t>
      </w:r>
      <w:r w:rsidRPr="00ED7E61">
        <w:rPr>
          <w:rStyle w:val="normaltextrun"/>
          <w:rFonts w:asciiTheme="majorBidi" w:eastAsiaTheme="majorEastAsia" w:hAnsiTheme="majorBidi" w:cstheme="majorBidi"/>
          <w:color w:val="242424"/>
        </w:rPr>
        <w:t xml:space="preserve">a combination of </w:t>
      </w:r>
      <w:r w:rsidR="00047246">
        <w:rPr>
          <w:rStyle w:val="normaltextrun"/>
          <w:rFonts w:asciiTheme="majorBidi" w:eastAsiaTheme="majorEastAsia" w:hAnsiTheme="majorBidi" w:cstheme="majorBidi"/>
          <w:color w:val="242424"/>
        </w:rPr>
        <w:t>these</w:t>
      </w:r>
      <w:r w:rsidRPr="00ED7E61">
        <w:rPr>
          <w:rStyle w:val="normaltextrun"/>
          <w:rFonts w:asciiTheme="majorBidi" w:eastAsiaTheme="majorEastAsia" w:hAnsiTheme="majorBidi" w:cstheme="majorBidi"/>
          <w:color w:val="242424"/>
        </w:rPr>
        <w:t>.</w:t>
      </w:r>
      <w:r w:rsidRPr="00812871">
        <w:rPr>
          <w:rStyle w:val="normaltextrun"/>
          <w:rFonts w:asciiTheme="majorBidi" w:eastAsiaTheme="majorEastAsia" w:hAnsiTheme="majorBidi" w:cstheme="majorBidi"/>
          <w:color w:val="242424"/>
        </w:rPr>
        <w:t> </w:t>
      </w:r>
      <w:r w:rsidR="00047246" w:rsidRPr="00812871">
        <w:rPr>
          <w:rStyle w:val="normaltextrun"/>
          <w:rFonts w:asciiTheme="majorBidi" w:eastAsiaTheme="majorEastAsia" w:hAnsiTheme="majorBidi" w:cstheme="majorBidi"/>
          <w:color w:val="242424"/>
        </w:rPr>
        <w:t>For any missing values remaining after this step, including for countries and territories not in FAO FRA, the values are given as “Not Available” in the country-level sub-indicator data.</w:t>
      </w:r>
    </w:p>
    <w:p w14:paraId="116DA32E" w14:textId="2D941EB5"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At regional and global levels</w:t>
      </w:r>
      <w:r w:rsidR="006A112D">
        <w:rPr>
          <w:rStyle w:val="eop"/>
          <w:rFonts w:asciiTheme="majorBidi" w:eastAsiaTheme="majorEastAsia" w:hAnsiTheme="majorBidi" w:cstheme="majorBidi"/>
          <w:color w:val="242424"/>
        </w:rPr>
        <w:t>:</w:t>
      </w:r>
    </w:p>
    <w:p w14:paraId="12858D35" w14:textId="77777777" w:rsidR="00654A8D" w:rsidRPr="00812871" w:rsidRDefault="00654A8D" w:rsidP="00812871">
      <w:pPr>
        <w:pStyle w:val="CBDNormalNumber"/>
        <w:numPr>
          <w:ilvl w:val="1"/>
          <w:numId w:val="84"/>
        </w:numPr>
        <w:tabs>
          <w:tab w:val="clear" w:pos="567"/>
          <w:tab w:val="clear" w:pos="1134"/>
          <w:tab w:val="clear" w:pos="1701"/>
          <w:tab w:val="clear" w:pos="2268"/>
          <w:tab w:val="left" w:pos="1985"/>
        </w:tabs>
        <w:ind w:left="1276" w:firstLine="56"/>
        <w:rPr>
          <w:rStyle w:val="normaltextrun"/>
          <w:rFonts w:asciiTheme="majorBidi" w:eastAsiaTheme="majorEastAsia" w:hAnsiTheme="majorBidi" w:cstheme="majorBidi"/>
          <w:color w:val="242424"/>
        </w:rPr>
      </w:pPr>
      <w:r w:rsidRPr="00812871">
        <w:rPr>
          <w:rStyle w:val="normaltextrun"/>
          <w:rFonts w:asciiTheme="majorBidi" w:eastAsiaTheme="majorEastAsia" w:hAnsiTheme="majorBidi" w:cstheme="majorBidi"/>
          <w:color w:val="242424"/>
        </w:rPr>
        <w:t xml:space="preserve">Before aggregating country-level above-ground biomass data, protected area data, or area under a management plan data up to regional and global levels, missing values for countries and territories in FAO FRA 2025 that did not already have FAO estimates (see above) were imputed. </w:t>
      </w:r>
    </w:p>
    <w:p w14:paraId="2886E556" w14:textId="77777777" w:rsidR="00654A8D" w:rsidRPr="00812871" w:rsidRDefault="00654A8D" w:rsidP="00812871">
      <w:pPr>
        <w:pStyle w:val="CBDNormalNumber"/>
        <w:numPr>
          <w:ilvl w:val="1"/>
          <w:numId w:val="84"/>
        </w:numPr>
        <w:tabs>
          <w:tab w:val="clear" w:pos="567"/>
          <w:tab w:val="clear" w:pos="1134"/>
          <w:tab w:val="clear" w:pos="1701"/>
          <w:tab w:val="clear" w:pos="2268"/>
          <w:tab w:val="left" w:pos="1985"/>
        </w:tabs>
        <w:ind w:left="1276" w:firstLine="56"/>
        <w:rPr>
          <w:rStyle w:val="normaltextrun"/>
          <w:rFonts w:asciiTheme="majorBidi" w:eastAsiaTheme="majorEastAsia" w:hAnsiTheme="majorBidi" w:cstheme="majorBidi"/>
          <w:color w:val="242424"/>
        </w:rPr>
      </w:pPr>
      <w:r w:rsidRPr="00812871">
        <w:rPr>
          <w:rStyle w:val="normaltextrun"/>
          <w:rFonts w:asciiTheme="majorBidi" w:eastAsiaTheme="majorEastAsia" w:hAnsiTheme="majorBidi" w:cstheme="majorBidi"/>
          <w:color w:val="242424"/>
        </w:rPr>
        <w:t xml:space="preserve">Above-ground biomass in forest: Some countries and territories had partial above-ground biomass time series with missing values for some reference years. Where FAO FRA data on the change rate in growing stock and partial above-ground were available for a country or territory, they were combined to create a full imputed time series. For countries and territories with no above-ground biomass data, estimated above-ground biomass per hectare values were multiplied by the forest area time series for the country or territory. In a few cases, the estimated per hectare values were the FAO FRA values for a nearby or otherwise similar country or territory. In other cases, the estimated per hectare values were the mean of FAO FRA values for countries and territories in the same FRA subregional grouping. </w:t>
      </w:r>
    </w:p>
    <w:p w14:paraId="19619CC4" w14:textId="39C6CF22" w:rsidR="00756F0F" w:rsidRPr="00ED7E61" w:rsidRDefault="00654A8D" w:rsidP="00395866">
      <w:pPr>
        <w:pStyle w:val="paragraph"/>
        <w:spacing w:before="0" w:beforeAutospacing="0" w:after="0" w:afterAutospacing="0"/>
        <w:textAlignment w:val="baseline"/>
        <w:rPr>
          <w:rFonts w:asciiTheme="majorBidi" w:hAnsiTheme="majorBidi" w:cstheme="majorBidi"/>
          <w:sz w:val="22"/>
          <w:szCs w:val="22"/>
        </w:rPr>
      </w:pPr>
      <w:r w:rsidRPr="00812871">
        <w:rPr>
          <w:rStyle w:val="normaltextrun"/>
          <w:rFonts w:asciiTheme="majorBidi" w:eastAsiaTheme="majorEastAsia" w:hAnsiTheme="majorBidi" w:cstheme="majorBidi"/>
          <w:color w:val="242424"/>
          <w:sz w:val="22"/>
          <w:szCs w:val="22"/>
          <w:lang w:val="en-GB"/>
        </w:rPr>
        <w:lastRenderedPageBreak/>
        <w:t>Proportion of forest area within legally established protected and under a long-term management plan: Some countries and territories had partial protected area or area under management plan time series. Where a country or territory had a missing value in the earliest reference year, it was imputed using the value from the second earliest reference year (if not missing). Where there was a missing value in the latest reference year, it was imputed using the value from the second latest reference year (if not missing).</w:t>
      </w:r>
      <w:r w:rsidRPr="00ED7E61" w:rsidDel="00654A8D">
        <w:rPr>
          <w:rStyle w:val="normaltextrun"/>
          <w:rFonts w:asciiTheme="majorBidi" w:eastAsiaTheme="majorEastAsia" w:hAnsiTheme="majorBidi" w:cstheme="majorBidi"/>
          <w:color w:val="242424"/>
        </w:rPr>
        <w:t xml:space="preserve"> </w:t>
      </w:r>
      <w:r w:rsidR="00756F0F" w:rsidRPr="00ED7E61">
        <w:rPr>
          <w:rStyle w:val="normaltextrun"/>
          <w:rFonts w:asciiTheme="majorBidi" w:eastAsiaTheme="majorEastAsia" w:hAnsiTheme="majorBidi" w:cstheme="majorBidi"/>
          <w:b/>
          <w:bCs/>
          <w:sz w:val="22"/>
          <w:szCs w:val="22"/>
        </w:rPr>
        <w:t>6. Scale</w:t>
      </w:r>
      <w:r w:rsidR="00756F0F" w:rsidRPr="00ED7E61">
        <w:rPr>
          <w:rStyle w:val="normaltextrun"/>
          <w:rFonts w:asciiTheme="majorBidi" w:eastAsiaTheme="majorEastAsia" w:hAnsiTheme="majorBidi" w:cstheme="majorBidi"/>
          <w:sz w:val="22"/>
          <w:szCs w:val="22"/>
        </w:rPr>
        <w:t> </w:t>
      </w:r>
      <w:r w:rsidR="00756F0F" w:rsidRPr="00ED7E61">
        <w:rPr>
          <w:rStyle w:val="eop"/>
          <w:rFonts w:asciiTheme="majorBidi" w:eastAsiaTheme="majorEastAsia" w:hAnsiTheme="majorBidi" w:cstheme="majorBidi"/>
          <w:sz w:val="22"/>
          <w:szCs w:val="22"/>
        </w:rPr>
        <w:t> </w:t>
      </w:r>
    </w:p>
    <w:p w14:paraId="50C7BC21" w14:textId="77777777" w:rsidR="00756F0F" w:rsidRPr="00ED7E61" w:rsidRDefault="00756F0F" w:rsidP="006A112D">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19892F48" w14:textId="77777777" w:rsidR="00756F0F" w:rsidRPr="00ED7E61" w:rsidRDefault="00756F0F" w:rsidP="006A112D">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eop"/>
          <w:rFonts w:asciiTheme="majorBidi" w:eastAsiaTheme="majorEastAsia" w:hAnsiTheme="majorBidi" w:cstheme="majorBidi"/>
          <w:sz w:val="22"/>
          <w:szCs w:val="22"/>
        </w:rPr>
        <w:t> </w:t>
      </w:r>
    </w:p>
    <w:p w14:paraId="3EE7A935" w14:textId="77777777" w:rsidR="00756F0F" w:rsidRPr="00ED7E61" w:rsidRDefault="00756F0F" w:rsidP="006A112D">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 </w:t>
      </w: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National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58533E1A" w14:textId="77777777"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Scale of data disaggregation/aggregation: </w:t>
      </w:r>
      <w:r w:rsidRPr="00ED7E61">
        <w:rPr>
          <w:rStyle w:val="normaltextrun"/>
          <w:color w:val="242424"/>
        </w:rPr>
        <w:t> </w:t>
      </w:r>
    </w:p>
    <w:p w14:paraId="0C826236"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Global/ regional scale indicator can be disaggregated to national level: </w:t>
      </w:r>
      <w:r w:rsidRPr="00ED7E61">
        <w:rPr>
          <w:rStyle w:val="normaltextrun"/>
          <w:rFonts w:eastAsiaTheme="majorEastAsia"/>
          <w:color w:val="242424"/>
        </w:rPr>
        <w:t>​</w:t>
      </w:r>
      <w:r w:rsidRPr="00ED7E61">
        <w:rPr>
          <w:rStyle w:val="normaltextrun"/>
          <w:rFonts w:ascii="Segoe UI Symbol" w:eastAsiaTheme="majorEastAsia" w:hAnsi="Segoe UI Symbol" w:cs="Segoe UI Symbol"/>
          <w:color w:val="242424"/>
        </w:rPr>
        <w:t>☐</w:t>
      </w:r>
      <w:r w:rsidRPr="00ED7E61">
        <w:rPr>
          <w:rStyle w:val="normaltextrun"/>
          <w:rFonts w:eastAsiaTheme="majorEastAsia"/>
          <w:color w:val="242424"/>
        </w:rPr>
        <w:t>​</w:t>
      </w:r>
      <w:r w:rsidRPr="00ED7E61">
        <w:rPr>
          <w:rStyle w:val="normaltextrun"/>
          <w:color w:val="242424"/>
        </w:rPr>
        <w:t> </w:t>
      </w:r>
    </w:p>
    <w:p w14:paraId="00FE6147" w14:textId="77777777" w:rsidR="00756F0F" w:rsidRPr="00ED7E61" w:rsidRDefault="00756F0F" w:rsidP="00B10F0C">
      <w:pPr>
        <w:pStyle w:val="CBDNormalNumber"/>
        <w:numPr>
          <w:ilvl w:val="1"/>
          <w:numId w:val="84"/>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National data is collated to form global indicator: </w:t>
      </w:r>
      <w:r w:rsidRPr="00ED7E61">
        <w:rPr>
          <w:rStyle w:val="normaltextrun"/>
          <w:rFonts w:eastAsiaTheme="majorEastAsia"/>
          <w:color w:val="242424"/>
        </w:rPr>
        <w:t>​</w:t>
      </w:r>
      <w:r w:rsidRPr="00ED7E61">
        <w:rPr>
          <w:rStyle w:val="normaltextrun"/>
          <w:rFonts w:ascii="Segoe UI Symbol" w:eastAsiaTheme="majorEastAsia" w:hAnsi="Segoe UI Symbol" w:cs="Segoe UI Symbol"/>
          <w:color w:val="242424"/>
        </w:rPr>
        <w:t>☒</w:t>
      </w:r>
      <w:r w:rsidRPr="00ED7E61">
        <w:rPr>
          <w:rStyle w:val="normaltextrun"/>
          <w:rFonts w:eastAsiaTheme="majorEastAsia"/>
          <w:color w:val="242424"/>
        </w:rPr>
        <w:t>​</w:t>
      </w:r>
      <w:r w:rsidRPr="00ED7E61">
        <w:rPr>
          <w:rStyle w:val="normaltextrun"/>
          <w:color w:val="242424"/>
        </w:rPr>
        <w:t> </w:t>
      </w:r>
    </w:p>
    <w:p w14:paraId="39E681F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64B40631" w14:textId="4AA0F719" w:rsidR="00756F0F" w:rsidRPr="003E0AB2" w:rsidRDefault="00756F0F" w:rsidP="00F90F5F">
      <w:pPr>
        <w:pStyle w:val="CBDNormalNumber"/>
        <w:numPr>
          <w:ilvl w:val="0"/>
          <w:numId w:val="84"/>
        </w:numPr>
        <w:shd w:val="clear" w:color="auto" w:fill="FFFFFF"/>
        <w:ind w:left="567" w:firstLine="0"/>
        <w:rPr>
          <w:rFonts w:asciiTheme="majorBidi" w:hAnsiTheme="majorBidi" w:cstheme="majorBidi"/>
        </w:rPr>
      </w:pPr>
      <w:r w:rsidRPr="003E0AB2">
        <w:rPr>
          <w:rStyle w:val="normaltextrun"/>
          <w:rFonts w:asciiTheme="majorBidi" w:eastAsiaTheme="majorEastAsia" w:hAnsiTheme="majorBidi" w:cstheme="majorBidi"/>
          <w:color w:val="242424"/>
        </w:rPr>
        <w:t xml:space="preserve">Detailed methodology and guidance on how to prepare the country reports through an online reporting platform and </w:t>
      </w:r>
      <w:r w:rsidR="001E7CB2" w:rsidRPr="003E0AB2">
        <w:rPr>
          <w:rStyle w:val="normaltextrun"/>
          <w:rFonts w:asciiTheme="majorBidi" w:eastAsiaTheme="majorEastAsia" w:hAnsiTheme="majorBidi" w:cstheme="majorBidi"/>
          <w:color w:val="242424"/>
        </w:rPr>
        <w:t xml:space="preserve">on how </w:t>
      </w:r>
      <w:r w:rsidRPr="003E0AB2">
        <w:rPr>
          <w:rStyle w:val="normaltextrun"/>
          <w:rFonts w:asciiTheme="majorBidi" w:eastAsiaTheme="majorEastAsia" w:hAnsiTheme="majorBidi" w:cstheme="majorBidi"/>
          <w:color w:val="242424"/>
        </w:rPr>
        <w:t xml:space="preserve">to convert national data according to national categories and definitions to FAO’s global categories and definitions </w:t>
      </w:r>
      <w:r w:rsidR="001E7CB2" w:rsidRPr="003E0AB2">
        <w:rPr>
          <w:rStyle w:val="normaltextrun"/>
          <w:rFonts w:asciiTheme="majorBidi" w:eastAsiaTheme="majorEastAsia" w:hAnsiTheme="majorBidi" w:cstheme="majorBidi"/>
          <w:color w:val="242424"/>
        </w:rPr>
        <w:t xml:space="preserve">can be </w:t>
      </w:r>
      <w:r w:rsidRPr="003E0AB2">
        <w:rPr>
          <w:rStyle w:val="normaltextrun"/>
          <w:rFonts w:asciiTheme="majorBidi" w:eastAsiaTheme="majorEastAsia" w:hAnsiTheme="majorBidi" w:cstheme="majorBidi"/>
          <w:color w:val="242424"/>
        </w:rPr>
        <w:t xml:space="preserve">found in the documents </w:t>
      </w:r>
      <w:r w:rsidR="003E0AB2" w:rsidRPr="003E0AB2">
        <w:rPr>
          <w:rFonts w:asciiTheme="majorBidi" w:eastAsiaTheme="majorEastAsia" w:hAnsiTheme="majorBidi" w:cstheme="majorBidi"/>
          <w:color w:val="242424"/>
          <w:lang w:val="en-CA"/>
        </w:rPr>
        <w:t>“</w:t>
      </w:r>
      <w:r w:rsidR="003E0AB2" w:rsidRPr="003E0AB2">
        <w:rPr>
          <w:rFonts w:asciiTheme="majorBidi" w:eastAsiaTheme="majorEastAsia" w:hAnsiTheme="majorBidi" w:cstheme="majorBidi"/>
          <w:i/>
          <w:iCs/>
          <w:color w:val="242424"/>
          <w:lang w:val="en-CA"/>
        </w:rPr>
        <w:t>FRA 2025 Guidelines and Specifications” (www.fao.org/3/I8699EN/i8699en.pdfhttps://openknowledge.fao.org/handle/20.500.14283/cc4690en) and “FRA 2025 Terms and Definitions” (www.fao.org/3/I8661EN/i8661en.pdfhttps://openknowledge.fao.org/handle/20.500.14283/cc4691en).</w:t>
      </w:r>
      <w:r w:rsidR="003E0AB2" w:rsidRPr="003E0AB2">
        <w:rPr>
          <w:rFonts w:asciiTheme="majorBidi" w:eastAsiaTheme="majorEastAsia" w:hAnsiTheme="majorBidi" w:cstheme="majorBidi"/>
          <w:color w:val="242424"/>
          <w:lang w:val="en-CA"/>
        </w:rPr>
        <w:t>. </w:t>
      </w:r>
      <w:r w:rsidR="003E0AB2" w:rsidRPr="003E0AB2" w:rsidDel="003E0AB2">
        <w:rPr>
          <w:rFonts w:asciiTheme="majorBidi" w:eastAsiaTheme="majorEastAsia" w:hAnsiTheme="majorBidi" w:cstheme="majorBidi"/>
          <w:color w:val="242424"/>
          <w:lang w:val="en-CA"/>
        </w:rPr>
        <w:t xml:space="preserve"> </w:t>
      </w:r>
      <w:r w:rsidRPr="003E0AB2">
        <w:rPr>
          <w:rStyle w:val="normaltextrun"/>
          <w:rFonts w:asciiTheme="majorBidi" w:eastAsiaTheme="majorEastAsia" w:hAnsiTheme="majorBidi" w:cstheme="majorBidi"/>
          <w:color w:val="242424"/>
        </w:rPr>
        <w:t>FAO supports the reporting process through capacity development on reporting methodology and remote sensing. The reporting platform provides easy access to relevant and freely available global remote sensing data sets and products.</w:t>
      </w:r>
      <w:r w:rsidRPr="003E0AB2">
        <w:rPr>
          <w:rStyle w:val="eop"/>
          <w:rFonts w:asciiTheme="majorBidi" w:eastAsiaTheme="majorEastAsia" w:hAnsiTheme="majorBidi" w:cstheme="majorBidi"/>
          <w:color w:val="242424"/>
        </w:rPr>
        <w:t> </w:t>
      </w:r>
    </w:p>
    <w:p w14:paraId="695E63A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72193AE2" w14:textId="60BEC8B3" w:rsidR="003C3925" w:rsidRDefault="003C3925" w:rsidP="003C3925">
      <w:pPr>
        <w:pStyle w:val="ListParagraph"/>
        <w:numPr>
          <w:ilvl w:val="0"/>
          <w:numId w:val="84"/>
        </w:numPr>
        <w:shd w:val="clear" w:color="auto" w:fill="FFFFFF"/>
        <w:spacing w:before="120" w:after="120"/>
        <w:ind w:left="567" w:firstLine="0"/>
        <w:rPr>
          <w:rFonts w:asciiTheme="majorBidi" w:hAnsiTheme="majorBidi" w:cstheme="majorBidi"/>
        </w:rPr>
      </w:pPr>
      <w:r>
        <w:rPr>
          <w:rStyle w:val="normaltextrun"/>
          <w:rFonts w:asciiTheme="majorBidi" w:eastAsiaTheme="majorEastAsia" w:hAnsiTheme="majorBidi"/>
          <w:color w:val="242424"/>
          <w:sz w:val="22"/>
          <w:szCs w:val="22"/>
          <w:lang w:val="en-GB"/>
        </w:rPr>
        <w:t xml:space="preserve">Before aggregating country-level above-ground biomass data, protected area data, or area under a management plan data up to regional and global levels, missing values for countries and territories in FAO FRA 2025 that did not already have FAO </w:t>
      </w:r>
      <w:proofErr w:type="gramStart"/>
      <w:r>
        <w:rPr>
          <w:rStyle w:val="normaltextrun"/>
          <w:rFonts w:asciiTheme="majorBidi" w:eastAsiaTheme="majorEastAsia" w:hAnsiTheme="majorBidi"/>
          <w:color w:val="242424"/>
          <w:sz w:val="22"/>
          <w:szCs w:val="22"/>
          <w:lang w:val="en-GB"/>
        </w:rPr>
        <w:t>estimates  were</w:t>
      </w:r>
      <w:proofErr w:type="gramEnd"/>
      <w:r>
        <w:rPr>
          <w:rStyle w:val="normaltextrun"/>
          <w:rFonts w:asciiTheme="majorBidi" w:eastAsiaTheme="majorEastAsia" w:hAnsiTheme="majorBidi"/>
          <w:color w:val="242424"/>
          <w:sz w:val="22"/>
          <w:szCs w:val="22"/>
          <w:lang w:val="en-GB"/>
        </w:rPr>
        <w:t xml:space="preserve"> imputed (see 5k). </w:t>
      </w:r>
    </w:p>
    <w:p w14:paraId="0FC00EB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560224C0"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2B48CD84" w14:textId="77777777" w:rsidR="00756F0F" w:rsidRPr="00ED7E61" w:rsidRDefault="00756F0F" w:rsidP="005D1978">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242424"/>
          <w:sz w:val="22"/>
          <w:szCs w:val="22"/>
          <w:lang w:val="en-GB"/>
        </w:rPr>
        <w:t>Sub-indicator 1 - Annual forest area change rate</w:t>
      </w:r>
      <w:r w:rsidRPr="00ED7E61">
        <w:rPr>
          <w:rStyle w:val="eop"/>
          <w:rFonts w:asciiTheme="majorBidi" w:eastAsiaTheme="majorEastAsia" w:hAnsiTheme="majorBidi" w:cstheme="majorBidi"/>
          <w:color w:val="242424"/>
          <w:sz w:val="22"/>
          <w:szCs w:val="22"/>
        </w:rPr>
        <w:t> </w:t>
      </w:r>
    </w:p>
    <w:p w14:paraId="23010CC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Unit</w:t>
      </w:r>
      <w:r w:rsidRPr="00ED7E61">
        <w:rPr>
          <w:rStyle w:val="normaltextrun"/>
          <w:rFonts w:asciiTheme="majorBidi" w:eastAsiaTheme="majorEastAsia" w:hAnsiTheme="majorBidi" w:cstheme="majorBidi"/>
          <w:color w:val="242424"/>
          <w:sz w:val="22"/>
          <w:szCs w:val="22"/>
          <w:lang w:val="en-GB"/>
        </w:rPr>
        <w:t>: Percent</w:t>
      </w:r>
      <w:r w:rsidRPr="00ED7E61">
        <w:rPr>
          <w:rStyle w:val="eop"/>
          <w:rFonts w:asciiTheme="majorBidi" w:eastAsiaTheme="majorEastAsia" w:hAnsiTheme="majorBidi" w:cstheme="majorBidi"/>
          <w:color w:val="242424"/>
          <w:sz w:val="22"/>
          <w:szCs w:val="22"/>
        </w:rPr>
        <w:t> </w:t>
      </w:r>
    </w:p>
    <w:p w14:paraId="7A542799" w14:textId="2F13D9F5"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Reference period</w:t>
      </w:r>
      <w:r w:rsidRPr="00ED7E61">
        <w:rPr>
          <w:rStyle w:val="normaltextrun"/>
          <w:rFonts w:asciiTheme="majorBidi" w:eastAsiaTheme="majorEastAsia" w:hAnsiTheme="majorBidi" w:cstheme="majorBidi"/>
          <w:color w:val="242424"/>
          <w:sz w:val="22"/>
          <w:szCs w:val="22"/>
          <w:lang w:val="en-GB"/>
        </w:rPr>
        <w:t>: 201</w:t>
      </w:r>
      <w:r w:rsidR="0089720E">
        <w:rPr>
          <w:rStyle w:val="normaltextrun"/>
          <w:rFonts w:asciiTheme="majorBidi" w:eastAsiaTheme="majorEastAsia" w:hAnsiTheme="majorBidi" w:cstheme="majorBidi"/>
          <w:color w:val="242424"/>
          <w:sz w:val="22"/>
          <w:szCs w:val="22"/>
          <w:lang w:val="en-GB"/>
        </w:rPr>
        <w:t>5</w:t>
      </w:r>
      <w:r w:rsidRPr="00ED7E61">
        <w:rPr>
          <w:rStyle w:val="normaltextrun"/>
          <w:rFonts w:asciiTheme="majorBidi" w:eastAsiaTheme="majorEastAsia" w:hAnsiTheme="majorBidi" w:cstheme="majorBidi"/>
          <w:color w:val="242424"/>
          <w:sz w:val="22"/>
          <w:szCs w:val="22"/>
          <w:lang w:val="en-GB"/>
        </w:rPr>
        <w:t>-202</w:t>
      </w:r>
      <w:r w:rsidR="0089720E">
        <w:rPr>
          <w:rStyle w:val="normaltextrun"/>
          <w:rFonts w:asciiTheme="majorBidi" w:eastAsiaTheme="majorEastAsia" w:hAnsiTheme="majorBidi" w:cstheme="majorBidi"/>
          <w:color w:val="242424"/>
          <w:sz w:val="22"/>
          <w:szCs w:val="22"/>
          <w:lang w:val="en-GB"/>
        </w:rPr>
        <w:t>5</w:t>
      </w:r>
      <w:r w:rsidRPr="00ED7E61">
        <w:rPr>
          <w:rStyle w:val="eop"/>
          <w:rFonts w:asciiTheme="majorBidi" w:eastAsiaTheme="majorEastAsia" w:hAnsiTheme="majorBidi" w:cstheme="majorBidi"/>
          <w:color w:val="242424"/>
          <w:sz w:val="22"/>
          <w:szCs w:val="22"/>
        </w:rPr>
        <w:t> </w:t>
      </w:r>
    </w:p>
    <w:p w14:paraId="09801BB6" w14:textId="77777777" w:rsidR="00756F0F" w:rsidRPr="00ED7E61" w:rsidRDefault="00756F0F" w:rsidP="00395866">
      <w:pPr>
        <w:pStyle w:val="paragraph"/>
        <w:spacing w:before="0" w:beforeAutospacing="0" w:after="0" w:afterAutospacing="0"/>
        <w:textAlignment w:val="baseline"/>
        <w:rPr>
          <w:rStyle w:val="eop"/>
          <w:rFonts w:asciiTheme="majorBidi" w:eastAsiaTheme="majorEastAsia" w:hAnsiTheme="majorBidi" w:cstheme="majorBidi"/>
          <w:color w:val="242424"/>
          <w:sz w:val="22"/>
          <w:szCs w:val="22"/>
        </w:rPr>
      </w:pPr>
      <w:r w:rsidRPr="00ED7E61">
        <w:rPr>
          <w:rStyle w:val="normaltextrun"/>
          <w:rFonts w:asciiTheme="majorBidi" w:eastAsiaTheme="majorEastAsia" w:hAnsiTheme="majorBidi" w:cstheme="majorBidi"/>
          <w:color w:val="242424"/>
          <w:sz w:val="22"/>
          <w:szCs w:val="22"/>
          <w:u w:val="single"/>
          <w:lang w:val="en-GB"/>
        </w:rPr>
        <w:t>Method of estimation</w:t>
      </w:r>
      <w:r w:rsidRPr="00ED7E61">
        <w:rPr>
          <w:rStyle w:val="normaltextrun"/>
          <w:rFonts w:asciiTheme="majorBidi" w:eastAsiaTheme="majorEastAsia" w:hAnsiTheme="majorBidi" w:cstheme="majorBidi"/>
          <w:color w:val="242424"/>
          <w:sz w:val="22"/>
          <w:szCs w:val="22"/>
          <w:lang w:val="en-GB"/>
        </w:rPr>
        <w:t>: Compound annual change rate formula as follows:</w:t>
      </w:r>
      <w:r w:rsidRPr="00ED7E61">
        <w:rPr>
          <w:rStyle w:val="eop"/>
          <w:rFonts w:asciiTheme="majorBidi" w:eastAsiaTheme="majorEastAsia" w:hAnsiTheme="majorBidi" w:cstheme="majorBidi"/>
          <w:color w:val="242424"/>
          <w:sz w:val="22"/>
          <w:szCs w:val="22"/>
        </w:rPr>
        <w:t> </w:t>
      </w:r>
    </w:p>
    <w:p w14:paraId="463B14D9" w14:textId="77777777" w:rsidR="0040571C" w:rsidRPr="00ED7E61" w:rsidRDefault="0040571C" w:rsidP="00395866">
      <w:pPr>
        <w:pStyle w:val="paragraph"/>
        <w:spacing w:before="0" w:beforeAutospacing="0" w:after="0" w:afterAutospacing="0"/>
        <w:textAlignment w:val="baseline"/>
        <w:rPr>
          <w:rStyle w:val="eop"/>
          <w:rFonts w:asciiTheme="majorBidi" w:eastAsiaTheme="majorEastAsia" w:hAnsiTheme="majorBidi" w:cstheme="majorBidi"/>
          <w:color w:val="242424"/>
          <w:sz w:val="22"/>
          <w:szCs w:val="22"/>
        </w:rPr>
      </w:pPr>
    </w:p>
    <w:p w14:paraId="5421C121" w14:textId="4144218F" w:rsidR="0040571C" w:rsidRPr="00ED7E61" w:rsidRDefault="0040571C" w:rsidP="005B0D1E">
      <w:pPr>
        <w:pStyle w:val="paragraph"/>
        <w:spacing w:before="0" w:beforeAutospacing="0" w:after="0" w:afterAutospacing="0"/>
        <w:jc w:val="center"/>
        <w:textAlignment w:val="baseline"/>
        <w:rPr>
          <w:rFonts w:asciiTheme="majorBidi" w:hAnsiTheme="majorBidi" w:cstheme="majorBidi"/>
          <w:sz w:val="22"/>
          <w:szCs w:val="22"/>
        </w:rPr>
      </w:pPr>
      <w:r w:rsidRPr="00ED7E61">
        <w:rPr>
          <w:rFonts w:asciiTheme="majorBidi" w:hAnsiTheme="majorBidi" w:cstheme="majorBidi"/>
          <w:noProof/>
          <w:sz w:val="22"/>
          <w:szCs w:val="22"/>
          <w:lang w:val="fr-FR" w:eastAsia="fr-FR"/>
        </w:rPr>
        <w:drawing>
          <wp:inline distT="0" distB="0" distL="0" distR="0" wp14:anchorId="6DC837C0" wp14:editId="350FA18F">
            <wp:extent cx="1949550" cy="533427"/>
            <wp:effectExtent l="0" t="0" r="0" b="0"/>
            <wp:docPr id="2120950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50273" name=""/>
                    <pic:cNvPicPr/>
                  </pic:nvPicPr>
                  <pic:blipFill>
                    <a:blip r:embed="rId398"/>
                    <a:stretch>
                      <a:fillRect/>
                    </a:stretch>
                  </pic:blipFill>
                  <pic:spPr>
                    <a:xfrm>
                      <a:off x="0" y="0"/>
                      <a:ext cx="1949550" cy="533427"/>
                    </a:xfrm>
                    <a:prstGeom prst="rect">
                      <a:avLst/>
                    </a:prstGeom>
                  </pic:spPr>
                </pic:pic>
              </a:graphicData>
            </a:graphic>
          </wp:inline>
        </w:drawing>
      </w:r>
    </w:p>
    <w:p w14:paraId="12B3C3CD" w14:textId="77777777" w:rsidR="00756F0F" w:rsidRPr="00ED7E61"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ED7E61">
        <w:rPr>
          <w:rStyle w:val="eop"/>
          <w:rFonts w:asciiTheme="majorBidi" w:eastAsiaTheme="majorEastAsia" w:hAnsiTheme="majorBidi" w:cstheme="majorBidi"/>
          <w:color w:val="242424"/>
          <w:sz w:val="22"/>
          <w:szCs w:val="22"/>
        </w:rPr>
        <w:t> </w:t>
      </w:r>
    </w:p>
    <w:p w14:paraId="156B492C" w14:textId="77777777" w:rsidR="00756F0F" w:rsidRPr="00ED7E61"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lang w:val="en-GB"/>
        </w:rPr>
        <w:t>where: </w:t>
      </w:r>
      <w:r w:rsidRPr="00ED7E61">
        <w:rPr>
          <w:rStyle w:val="eop"/>
          <w:rFonts w:asciiTheme="majorBidi" w:eastAsiaTheme="majorEastAsia" w:hAnsiTheme="majorBidi" w:cstheme="majorBidi"/>
          <w:color w:val="242424"/>
          <w:sz w:val="22"/>
          <w:szCs w:val="22"/>
        </w:rPr>
        <w:t> </w:t>
      </w:r>
    </w:p>
    <w:p w14:paraId="4FE2CB37" w14:textId="77777777" w:rsidR="00756F0F" w:rsidRPr="00ED7E61" w:rsidRDefault="00756F0F" w:rsidP="00395866">
      <w:pPr>
        <w:pStyle w:val="paragraph"/>
        <w:spacing w:before="0" w:beforeAutospacing="0" w:after="0" w:afterAutospacing="0"/>
        <w:ind w:left="144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color w:val="242424"/>
          <w:sz w:val="22"/>
          <w:szCs w:val="22"/>
          <w:lang w:val="en-GB"/>
        </w:rPr>
        <w:t xml:space="preserve">r </w:t>
      </w:r>
      <w:r w:rsidRPr="00ED7E61">
        <w:rPr>
          <w:rStyle w:val="normaltextrun"/>
          <w:rFonts w:asciiTheme="majorBidi" w:eastAsiaTheme="majorEastAsia" w:hAnsiTheme="majorBidi" w:cstheme="majorBidi"/>
          <w:color w:val="242424"/>
          <w:sz w:val="22"/>
          <w:szCs w:val="22"/>
          <w:lang w:val="en-GB"/>
        </w:rPr>
        <w:t xml:space="preserve">= compound annual change rate for the period </w:t>
      </w:r>
      <w:r w:rsidRPr="00ED7E61">
        <w:rPr>
          <w:rStyle w:val="normaltextrun"/>
          <w:rFonts w:asciiTheme="majorBidi" w:eastAsiaTheme="majorEastAsia" w:hAnsiTheme="majorBidi" w:cstheme="majorBidi"/>
          <w:i/>
          <w:iCs/>
          <w:color w:val="242424"/>
          <w:sz w:val="22"/>
          <w:szCs w:val="22"/>
          <w:lang w:val="en-GB"/>
        </w:rPr>
        <w:t>t</w:t>
      </w:r>
      <w:r w:rsidRPr="00ED7E61">
        <w:rPr>
          <w:rStyle w:val="normaltextrun"/>
          <w:rFonts w:asciiTheme="majorBidi" w:eastAsiaTheme="majorEastAsia" w:hAnsiTheme="majorBidi" w:cstheme="majorBidi"/>
          <w:i/>
          <w:iCs/>
          <w:color w:val="242424"/>
          <w:sz w:val="22"/>
          <w:szCs w:val="22"/>
          <w:vertAlign w:val="subscript"/>
          <w:lang w:val="en-GB"/>
        </w:rPr>
        <w:t>1</w:t>
      </w:r>
      <w:r w:rsidRPr="00ED7E61">
        <w:rPr>
          <w:rStyle w:val="normaltextrun"/>
          <w:rFonts w:asciiTheme="majorBidi" w:eastAsiaTheme="majorEastAsia" w:hAnsiTheme="majorBidi" w:cstheme="majorBidi"/>
          <w:i/>
          <w:iCs/>
          <w:color w:val="242424"/>
          <w:sz w:val="22"/>
          <w:szCs w:val="22"/>
          <w:lang w:val="en-GB"/>
        </w:rPr>
        <w:t xml:space="preserve"> -t</w:t>
      </w:r>
      <w:r w:rsidRPr="00ED7E61">
        <w:rPr>
          <w:rStyle w:val="normaltextrun"/>
          <w:rFonts w:asciiTheme="majorBidi" w:eastAsiaTheme="majorEastAsia" w:hAnsiTheme="majorBidi" w:cstheme="majorBidi"/>
          <w:i/>
          <w:iCs/>
          <w:color w:val="242424"/>
          <w:sz w:val="22"/>
          <w:szCs w:val="22"/>
          <w:vertAlign w:val="subscript"/>
          <w:lang w:val="en-GB"/>
        </w:rPr>
        <w:t>2</w:t>
      </w:r>
      <w:r w:rsidRPr="00ED7E61">
        <w:rPr>
          <w:rStyle w:val="eop"/>
          <w:rFonts w:asciiTheme="majorBidi" w:eastAsiaTheme="majorEastAsia" w:hAnsiTheme="majorBidi" w:cstheme="majorBidi"/>
          <w:color w:val="242424"/>
          <w:sz w:val="22"/>
          <w:szCs w:val="22"/>
        </w:rPr>
        <w:t> </w:t>
      </w:r>
    </w:p>
    <w:p w14:paraId="4A9AD997" w14:textId="77777777" w:rsidR="00756F0F" w:rsidRPr="00ED7E61"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proofErr w:type="spellStart"/>
      <w:r w:rsidRPr="00ED7E61">
        <w:rPr>
          <w:rStyle w:val="normaltextrun"/>
          <w:rFonts w:asciiTheme="majorBidi" w:eastAsiaTheme="majorEastAsia" w:hAnsiTheme="majorBidi" w:cstheme="majorBidi"/>
          <w:i/>
          <w:iCs/>
          <w:color w:val="242424"/>
          <w:sz w:val="22"/>
          <w:szCs w:val="22"/>
          <w:lang w:val="en-GB"/>
        </w:rPr>
        <w:t>t</w:t>
      </w:r>
      <w:r w:rsidRPr="00ED7E61">
        <w:rPr>
          <w:rStyle w:val="normaltextrun"/>
          <w:rFonts w:asciiTheme="majorBidi" w:eastAsiaTheme="majorEastAsia" w:hAnsiTheme="majorBidi" w:cstheme="majorBidi"/>
          <w:i/>
          <w:iCs/>
          <w:color w:val="242424"/>
          <w:sz w:val="22"/>
          <w:szCs w:val="22"/>
          <w:vertAlign w:val="subscript"/>
          <w:lang w:val="en-GB"/>
        </w:rPr>
        <w:t>i</w:t>
      </w:r>
      <w:proofErr w:type="spellEnd"/>
      <w:r w:rsidRPr="00ED7E61">
        <w:rPr>
          <w:rStyle w:val="normaltextrun"/>
          <w:rFonts w:asciiTheme="majorBidi" w:eastAsiaTheme="majorEastAsia" w:hAnsiTheme="majorBidi" w:cstheme="majorBidi"/>
          <w:i/>
          <w:iCs/>
          <w:color w:val="242424"/>
          <w:sz w:val="22"/>
          <w:szCs w:val="22"/>
          <w:lang w:val="en-GB"/>
        </w:rPr>
        <w:t xml:space="preserve"> </w:t>
      </w:r>
      <w:r w:rsidRPr="00ED7E61">
        <w:rPr>
          <w:rStyle w:val="normaltextrun"/>
          <w:rFonts w:asciiTheme="majorBidi" w:eastAsiaTheme="majorEastAsia" w:hAnsiTheme="majorBidi" w:cstheme="majorBidi"/>
          <w:color w:val="242424"/>
          <w:sz w:val="22"/>
          <w:szCs w:val="22"/>
          <w:lang w:val="en-GB"/>
        </w:rPr>
        <w:t xml:space="preserve">= time </w:t>
      </w:r>
      <w:proofErr w:type="spellStart"/>
      <w:r w:rsidRPr="00ED7E61">
        <w:rPr>
          <w:rStyle w:val="normaltextrun"/>
          <w:rFonts w:asciiTheme="majorBidi" w:eastAsiaTheme="majorEastAsia" w:hAnsiTheme="majorBidi" w:cstheme="majorBidi"/>
          <w:color w:val="242424"/>
          <w:sz w:val="22"/>
          <w:szCs w:val="22"/>
          <w:lang w:val="en-GB"/>
        </w:rPr>
        <w:t>i</w:t>
      </w:r>
      <w:proofErr w:type="spellEnd"/>
      <w:r w:rsidRPr="00ED7E61">
        <w:rPr>
          <w:rStyle w:val="normaltextrun"/>
          <w:rFonts w:asciiTheme="majorBidi" w:eastAsiaTheme="majorEastAsia" w:hAnsiTheme="majorBidi" w:cstheme="majorBidi"/>
          <w:color w:val="242424"/>
          <w:sz w:val="22"/>
          <w:szCs w:val="22"/>
          <w:lang w:val="en-GB"/>
        </w:rPr>
        <w:t xml:space="preserve"> (year)</w:t>
      </w:r>
      <w:r w:rsidRPr="00ED7E61">
        <w:rPr>
          <w:rStyle w:val="eop"/>
          <w:rFonts w:asciiTheme="majorBidi" w:eastAsiaTheme="majorEastAsia" w:hAnsiTheme="majorBidi" w:cstheme="majorBidi"/>
          <w:color w:val="242424"/>
          <w:sz w:val="22"/>
          <w:szCs w:val="22"/>
        </w:rPr>
        <w:t> </w:t>
      </w:r>
    </w:p>
    <w:p w14:paraId="319A632D" w14:textId="77777777" w:rsidR="00756F0F" w:rsidRPr="00ED7E61"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color w:val="242424"/>
          <w:sz w:val="22"/>
          <w:szCs w:val="22"/>
          <w:lang w:val="en-GB"/>
        </w:rPr>
        <w:t>AF</w:t>
      </w:r>
      <w:r w:rsidRPr="00ED7E61">
        <w:rPr>
          <w:rStyle w:val="normaltextrun"/>
          <w:rFonts w:asciiTheme="majorBidi" w:eastAsiaTheme="majorEastAsia" w:hAnsiTheme="majorBidi" w:cstheme="majorBidi"/>
          <w:i/>
          <w:iCs/>
          <w:color w:val="242424"/>
          <w:sz w:val="22"/>
          <w:szCs w:val="22"/>
          <w:vertAlign w:val="subscript"/>
          <w:lang w:val="en-GB"/>
        </w:rPr>
        <w:t>t1</w:t>
      </w:r>
      <w:r w:rsidRPr="00ED7E61">
        <w:rPr>
          <w:rStyle w:val="normaltextrun"/>
          <w:rFonts w:asciiTheme="majorBidi" w:eastAsiaTheme="majorEastAsia" w:hAnsiTheme="majorBidi" w:cstheme="majorBidi"/>
          <w:color w:val="242424"/>
          <w:sz w:val="22"/>
          <w:szCs w:val="22"/>
          <w:vertAlign w:val="subscript"/>
          <w:lang w:val="en-GB"/>
        </w:rPr>
        <w:t xml:space="preserve"> </w:t>
      </w:r>
      <w:r w:rsidRPr="00ED7E61">
        <w:rPr>
          <w:rStyle w:val="normaltextrun"/>
          <w:rFonts w:asciiTheme="majorBidi" w:eastAsiaTheme="majorEastAsia" w:hAnsiTheme="majorBidi" w:cstheme="majorBidi"/>
          <w:color w:val="242424"/>
          <w:sz w:val="22"/>
          <w:szCs w:val="22"/>
          <w:lang w:val="en-GB"/>
        </w:rPr>
        <w:t>= forest area at</w:t>
      </w:r>
      <w:r w:rsidRPr="00ED7E61">
        <w:rPr>
          <w:rStyle w:val="normaltextrun"/>
          <w:rFonts w:asciiTheme="majorBidi" w:eastAsiaTheme="majorEastAsia" w:hAnsiTheme="majorBidi" w:cstheme="majorBidi"/>
          <w:i/>
          <w:iCs/>
          <w:color w:val="242424"/>
          <w:sz w:val="22"/>
          <w:szCs w:val="22"/>
          <w:lang w:val="en-GB"/>
        </w:rPr>
        <w:t xml:space="preserve"> t</w:t>
      </w:r>
      <w:r w:rsidRPr="00ED7E61">
        <w:rPr>
          <w:rStyle w:val="normaltextrun"/>
          <w:rFonts w:asciiTheme="majorBidi" w:eastAsiaTheme="majorEastAsia" w:hAnsiTheme="majorBidi" w:cstheme="majorBidi"/>
          <w:i/>
          <w:iCs/>
          <w:color w:val="242424"/>
          <w:sz w:val="22"/>
          <w:szCs w:val="22"/>
          <w:vertAlign w:val="subscript"/>
          <w:lang w:val="en-GB"/>
        </w:rPr>
        <w:t>1</w:t>
      </w:r>
      <w:r w:rsidRPr="00ED7E61">
        <w:rPr>
          <w:rStyle w:val="eop"/>
          <w:rFonts w:asciiTheme="majorBidi" w:eastAsiaTheme="majorEastAsia" w:hAnsiTheme="majorBidi" w:cstheme="majorBidi"/>
          <w:color w:val="242424"/>
          <w:sz w:val="22"/>
          <w:szCs w:val="22"/>
        </w:rPr>
        <w:t> </w:t>
      </w:r>
    </w:p>
    <w:p w14:paraId="0ADB8FB7" w14:textId="77777777" w:rsidR="00756F0F" w:rsidRPr="00ED7E61"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lang w:val="en-GB"/>
        </w:rPr>
        <w:t>AF</w:t>
      </w:r>
      <w:r w:rsidRPr="00ED7E61">
        <w:rPr>
          <w:rStyle w:val="normaltextrun"/>
          <w:rFonts w:asciiTheme="majorBidi" w:eastAsiaTheme="majorEastAsia" w:hAnsiTheme="majorBidi" w:cstheme="majorBidi"/>
          <w:i/>
          <w:iCs/>
          <w:color w:val="242424"/>
          <w:sz w:val="22"/>
          <w:szCs w:val="22"/>
          <w:vertAlign w:val="subscript"/>
          <w:lang w:val="en-GB"/>
        </w:rPr>
        <w:t>t2</w:t>
      </w:r>
      <w:r w:rsidRPr="00ED7E61">
        <w:rPr>
          <w:rStyle w:val="normaltextrun"/>
          <w:rFonts w:asciiTheme="majorBidi" w:eastAsiaTheme="majorEastAsia" w:hAnsiTheme="majorBidi" w:cstheme="majorBidi"/>
          <w:color w:val="242424"/>
          <w:sz w:val="22"/>
          <w:szCs w:val="22"/>
          <w:lang w:val="en-GB"/>
        </w:rPr>
        <w:t xml:space="preserve"> = forest area at</w:t>
      </w:r>
      <w:r w:rsidRPr="00ED7E61">
        <w:rPr>
          <w:rStyle w:val="normaltextrun"/>
          <w:rFonts w:asciiTheme="majorBidi" w:eastAsiaTheme="majorEastAsia" w:hAnsiTheme="majorBidi" w:cstheme="majorBidi"/>
          <w:i/>
          <w:iCs/>
          <w:color w:val="242424"/>
          <w:sz w:val="22"/>
          <w:szCs w:val="22"/>
          <w:lang w:val="en-GB"/>
        </w:rPr>
        <w:t xml:space="preserve"> t</w:t>
      </w:r>
      <w:r w:rsidRPr="00ED7E61">
        <w:rPr>
          <w:rStyle w:val="normaltextrun"/>
          <w:rFonts w:asciiTheme="majorBidi" w:eastAsiaTheme="majorEastAsia" w:hAnsiTheme="majorBidi" w:cstheme="majorBidi"/>
          <w:i/>
          <w:iCs/>
          <w:color w:val="242424"/>
          <w:sz w:val="22"/>
          <w:szCs w:val="22"/>
          <w:vertAlign w:val="subscript"/>
          <w:lang w:val="en-GB"/>
        </w:rPr>
        <w:t>2</w:t>
      </w:r>
      <w:r w:rsidRPr="00ED7E61">
        <w:rPr>
          <w:rStyle w:val="eop"/>
          <w:rFonts w:asciiTheme="majorBidi" w:eastAsiaTheme="majorEastAsia" w:hAnsiTheme="majorBidi" w:cstheme="majorBidi"/>
          <w:color w:val="242424"/>
          <w:sz w:val="22"/>
          <w:szCs w:val="22"/>
        </w:rPr>
        <w:t> </w:t>
      </w:r>
    </w:p>
    <w:p w14:paraId="2425153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Translation to dashboard/traffic light</w:t>
      </w:r>
      <w:r w:rsidRPr="00ED7E61">
        <w:rPr>
          <w:rStyle w:val="eop"/>
          <w:rFonts w:asciiTheme="majorBidi" w:eastAsiaTheme="majorEastAsia" w:hAnsiTheme="majorBidi" w:cstheme="majorBidi"/>
          <w:color w:val="242424"/>
          <w:sz w:val="22"/>
          <w:szCs w:val="22"/>
        </w:rPr>
        <w:t> </w:t>
      </w:r>
    </w:p>
    <w:p w14:paraId="6C0DEBEE" w14:textId="44CA50D9" w:rsidR="0040571C"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The following flowchart explains the logic behind the translation of this indicator to a dashboard/traffic light:</w:t>
      </w:r>
      <w:r w:rsidRPr="00ED7E61">
        <w:rPr>
          <w:rStyle w:val="normaltextrun"/>
        </w:rPr>
        <w:t> </w:t>
      </w:r>
    </w:p>
    <w:p w14:paraId="6FFAB8F4" w14:textId="2C969724" w:rsidR="00756F0F" w:rsidRPr="00ED7E61" w:rsidRDefault="0040571C" w:rsidP="005D1978">
      <w:pPr>
        <w:pStyle w:val="CBDNormalNumber"/>
        <w:shd w:val="clear" w:color="auto" w:fill="FFFFFF"/>
        <w:ind w:left="567"/>
        <w:rPr>
          <w:rFonts w:asciiTheme="majorBidi" w:hAnsiTheme="majorBidi" w:cstheme="majorBidi"/>
        </w:rPr>
      </w:pPr>
      <w:r w:rsidRPr="00ED7E61">
        <w:rPr>
          <w:rStyle w:val="eop"/>
          <w:rFonts w:asciiTheme="majorBidi" w:eastAsiaTheme="majorEastAsia" w:hAnsiTheme="majorBidi" w:cstheme="majorBidi"/>
          <w:noProof/>
          <w:color w:val="242424"/>
          <w:lang w:val="fr-FR" w:eastAsia="fr-FR"/>
        </w:rPr>
        <w:lastRenderedPageBreak/>
        <w:drawing>
          <wp:inline distT="0" distB="0" distL="0" distR="0" wp14:anchorId="2254EF41" wp14:editId="2F6B644F">
            <wp:extent cx="2273417" cy="2902099"/>
            <wp:effectExtent l="0" t="0" r="0" b="0"/>
            <wp:docPr id="1549337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37544" name=""/>
                    <pic:cNvPicPr/>
                  </pic:nvPicPr>
                  <pic:blipFill>
                    <a:blip r:embed="rId399"/>
                    <a:stretch>
                      <a:fillRect/>
                    </a:stretch>
                  </pic:blipFill>
                  <pic:spPr>
                    <a:xfrm>
                      <a:off x="0" y="0"/>
                      <a:ext cx="2273417" cy="2902099"/>
                    </a:xfrm>
                    <a:prstGeom prst="rect">
                      <a:avLst/>
                    </a:prstGeom>
                  </pic:spPr>
                </pic:pic>
              </a:graphicData>
            </a:graphic>
          </wp:inline>
        </w:drawing>
      </w:r>
    </w:p>
    <w:p w14:paraId="00966879" w14:textId="5B02D087"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The forest area change direction is determined by examining the value of the forest area change rate for the most recent period, a negative value indicate a loss of forest area, a zero value means that forest area is stable, and a positive value means that forest area has increased. The change in forest area loss rate is based on a comparison of the annual forest area change rate for the period 201</w:t>
      </w:r>
      <w:r w:rsidR="0089720E">
        <w:rPr>
          <w:rStyle w:val="normaltextrun"/>
          <w:rFonts w:asciiTheme="majorBidi" w:eastAsiaTheme="majorEastAsia" w:hAnsiTheme="majorBidi" w:cstheme="majorBidi"/>
          <w:color w:val="242424"/>
        </w:rPr>
        <w:t>5</w:t>
      </w:r>
      <w:r w:rsidRPr="00ED7E61">
        <w:rPr>
          <w:rStyle w:val="normaltextrun"/>
          <w:rFonts w:asciiTheme="majorBidi" w:eastAsiaTheme="majorEastAsia" w:hAnsiTheme="majorBidi" w:cstheme="majorBidi"/>
          <w:color w:val="242424"/>
        </w:rPr>
        <w:t>-202</w:t>
      </w:r>
      <w:r w:rsidR="0089720E">
        <w:rPr>
          <w:rStyle w:val="normaltextrun"/>
          <w:rFonts w:asciiTheme="majorBidi" w:eastAsiaTheme="majorEastAsia" w:hAnsiTheme="majorBidi" w:cstheme="majorBidi"/>
          <w:color w:val="242424"/>
        </w:rPr>
        <w:t>5</w:t>
      </w:r>
      <w:r w:rsidRPr="00ED7E61">
        <w:rPr>
          <w:rStyle w:val="normaltextrun"/>
          <w:rFonts w:asciiTheme="majorBidi" w:eastAsiaTheme="majorEastAsia" w:hAnsiTheme="majorBidi" w:cstheme="majorBidi"/>
          <w:color w:val="242424"/>
        </w:rPr>
        <w:t xml:space="preserve"> with the annual </w:t>
      </w:r>
      <w:r w:rsidRPr="00ED7E61">
        <w:rPr>
          <w:rStyle w:val="normaltextrun"/>
          <w:rFonts w:asciiTheme="majorBidi" w:eastAsiaTheme="majorEastAsia" w:hAnsiTheme="majorBidi" w:cstheme="majorBidi"/>
          <w:color w:val="242424"/>
          <w:u w:val="single"/>
        </w:rPr>
        <w:t xml:space="preserve">forest area change rate for the period 2000-2010 (baseline). </w:t>
      </w:r>
      <w:r w:rsidRPr="00ED7E61">
        <w:rPr>
          <w:rStyle w:val="normaltextrun"/>
          <w:rFonts w:asciiTheme="majorBidi" w:eastAsiaTheme="majorEastAsia" w:hAnsiTheme="majorBidi" w:cstheme="majorBidi"/>
        </w:rPr>
        <w:t>If forest area change rate is negative (= forest loss) then: annual forest area loss rate = - (annual forest area change rate)</w:t>
      </w:r>
      <w:r w:rsidRPr="00ED7E61">
        <w:rPr>
          <w:rStyle w:val="eop"/>
          <w:rFonts w:asciiTheme="majorBidi" w:eastAsiaTheme="majorEastAsia" w:hAnsiTheme="majorBidi" w:cstheme="majorBidi"/>
        </w:rPr>
        <w:t> </w:t>
      </w:r>
    </w:p>
    <w:p w14:paraId="253298F0"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Comments:</w:t>
      </w:r>
      <w:r w:rsidRPr="00ED7E61">
        <w:rPr>
          <w:rStyle w:val="eop"/>
          <w:rFonts w:asciiTheme="majorBidi" w:eastAsiaTheme="majorEastAsia" w:hAnsiTheme="majorBidi" w:cstheme="majorBidi"/>
          <w:color w:val="242424"/>
          <w:sz w:val="22"/>
          <w:szCs w:val="22"/>
        </w:rPr>
        <w:t> </w:t>
      </w:r>
    </w:p>
    <w:p w14:paraId="212204C2" w14:textId="0A24C41C"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 xml:space="preserve">This traffic light </w:t>
      </w:r>
      <w:r w:rsidR="00691122">
        <w:rPr>
          <w:rStyle w:val="normaltextrun"/>
          <w:rFonts w:asciiTheme="majorBidi" w:eastAsiaTheme="majorEastAsia" w:hAnsiTheme="majorBidi" w:cstheme="majorBidi"/>
          <w:color w:val="242424"/>
        </w:rPr>
        <w:t>accounts for</w:t>
      </w:r>
      <w:r w:rsidRPr="00ED7E61">
        <w:rPr>
          <w:rStyle w:val="normaltextrun"/>
          <w:rFonts w:asciiTheme="majorBidi" w:eastAsiaTheme="majorEastAsia" w:hAnsiTheme="majorBidi" w:cstheme="majorBidi"/>
          <w:color w:val="242424"/>
        </w:rPr>
        <w:t xml:space="preserve"> both the direction of forest area change (if forest area increases or decreases) as well as changes in the rate of forest area loss – the latter </w:t>
      </w:r>
      <w:r w:rsidR="000C1809">
        <w:rPr>
          <w:rStyle w:val="normaltextrun"/>
          <w:rFonts w:asciiTheme="majorBidi" w:eastAsiaTheme="majorEastAsia" w:hAnsiTheme="majorBidi" w:cstheme="majorBidi"/>
          <w:color w:val="242424"/>
        </w:rPr>
        <w:t xml:space="preserve">is an </w:t>
      </w:r>
      <w:r w:rsidRPr="00ED7E61">
        <w:rPr>
          <w:rStyle w:val="normaltextrun"/>
          <w:rFonts w:asciiTheme="majorBidi" w:eastAsiaTheme="majorEastAsia" w:hAnsiTheme="majorBidi" w:cstheme="majorBidi"/>
          <w:color w:val="242424"/>
        </w:rPr>
        <w:t xml:space="preserve">important </w:t>
      </w:r>
      <w:r w:rsidR="000C1809">
        <w:rPr>
          <w:rStyle w:val="normaltextrun"/>
          <w:rFonts w:asciiTheme="majorBidi" w:eastAsiaTheme="majorEastAsia" w:hAnsiTheme="majorBidi" w:cstheme="majorBidi"/>
          <w:color w:val="242424"/>
        </w:rPr>
        <w:t xml:space="preserve">indication </w:t>
      </w:r>
      <w:proofErr w:type="gramStart"/>
      <w:r w:rsidR="000C1809">
        <w:rPr>
          <w:rStyle w:val="normaltextrun"/>
          <w:rFonts w:asciiTheme="majorBidi" w:eastAsiaTheme="majorEastAsia" w:hAnsiTheme="majorBidi" w:cstheme="majorBidi"/>
          <w:color w:val="242424"/>
        </w:rPr>
        <w:t xml:space="preserve">of </w:t>
      </w:r>
      <w:r w:rsidRPr="00ED7E61">
        <w:rPr>
          <w:rStyle w:val="normaltextrun"/>
          <w:rFonts w:asciiTheme="majorBidi" w:eastAsiaTheme="majorEastAsia" w:hAnsiTheme="majorBidi" w:cstheme="majorBidi"/>
          <w:color w:val="242424"/>
        </w:rPr>
        <w:t xml:space="preserve"> progress</w:t>
      </w:r>
      <w:proofErr w:type="gramEnd"/>
      <w:r w:rsidRPr="00ED7E61">
        <w:rPr>
          <w:rStyle w:val="normaltextrun"/>
          <w:rFonts w:asciiTheme="majorBidi" w:eastAsiaTheme="majorEastAsia" w:hAnsiTheme="majorBidi" w:cstheme="majorBidi"/>
          <w:color w:val="242424"/>
        </w:rPr>
        <w:t xml:space="preserve"> among countries that are losing forest area but manag</w:t>
      </w:r>
      <w:r w:rsidR="000C1809">
        <w:rPr>
          <w:rStyle w:val="normaltextrun"/>
          <w:rFonts w:asciiTheme="majorBidi" w:eastAsiaTheme="majorEastAsia" w:hAnsiTheme="majorBidi" w:cstheme="majorBidi"/>
          <w:color w:val="242424"/>
        </w:rPr>
        <w:t>ing</w:t>
      </w:r>
      <w:r w:rsidRPr="00ED7E61">
        <w:rPr>
          <w:rStyle w:val="normaltextrun"/>
          <w:rFonts w:asciiTheme="majorBidi" w:eastAsiaTheme="majorEastAsia" w:hAnsiTheme="majorBidi" w:cstheme="majorBidi"/>
          <w:color w:val="242424"/>
        </w:rPr>
        <w:t xml:space="preserve"> to reduce the loss rate. </w:t>
      </w:r>
      <w:r w:rsidRPr="00ED7E61">
        <w:rPr>
          <w:rStyle w:val="eop"/>
          <w:rFonts w:asciiTheme="majorBidi" w:eastAsiaTheme="majorEastAsia" w:hAnsiTheme="majorBidi" w:cstheme="majorBidi"/>
          <w:color w:val="242424"/>
        </w:rPr>
        <w:t> </w:t>
      </w:r>
    </w:p>
    <w:p w14:paraId="311D5617" w14:textId="4BFDCE46"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The baseline should be updated every 5 years. In 202</w:t>
      </w:r>
      <w:r w:rsidR="008369A3">
        <w:rPr>
          <w:rStyle w:val="normaltextrun"/>
          <w:rFonts w:asciiTheme="majorBidi" w:eastAsiaTheme="majorEastAsia" w:hAnsiTheme="majorBidi" w:cstheme="majorBidi"/>
          <w:color w:val="242424"/>
        </w:rPr>
        <w:t>5</w:t>
      </w:r>
      <w:r w:rsidRPr="00ED7E61">
        <w:rPr>
          <w:rStyle w:val="normaltextrun"/>
          <w:rFonts w:asciiTheme="majorBidi" w:eastAsiaTheme="majorEastAsia" w:hAnsiTheme="majorBidi" w:cstheme="majorBidi"/>
          <w:color w:val="242424"/>
        </w:rPr>
        <w:t xml:space="preserve"> a new baseline was calculated for the period 2000-201</w:t>
      </w:r>
      <w:r w:rsidR="008369A3">
        <w:rPr>
          <w:rStyle w:val="normaltextrun"/>
          <w:rFonts w:asciiTheme="majorBidi" w:eastAsiaTheme="majorEastAsia" w:hAnsiTheme="majorBidi" w:cstheme="majorBidi"/>
          <w:color w:val="242424"/>
        </w:rPr>
        <w:t>5</w:t>
      </w:r>
      <w:r w:rsidRPr="00ED7E61">
        <w:rPr>
          <w:rStyle w:val="normaltextrun"/>
          <w:rFonts w:asciiTheme="majorBidi" w:eastAsiaTheme="majorEastAsia" w:hAnsiTheme="majorBidi" w:cstheme="majorBidi"/>
          <w:color w:val="242424"/>
        </w:rPr>
        <w:t xml:space="preserve"> based on updated country data. </w:t>
      </w:r>
      <w:r w:rsidRPr="00ED7E61">
        <w:rPr>
          <w:rStyle w:val="eop"/>
          <w:rFonts w:asciiTheme="majorBidi" w:eastAsiaTheme="majorEastAsia" w:hAnsiTheme="majorBidi" w:cstheme="majorBidi"/>
          <w:color w:val="242424"/>
        </w:rPr>
        <w:t> </w:t>
      </w:r>
    </w:p>
    <w:p w14:paraId="4D7C76C0"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242424"/>
          <w:sz w:val="22"/>
          <w:szCs w:val="22"/>
          <w:lang w:val="en-GB"/>
        </w:rPr>
        <w:t>Sub-indicator 2 – Above-ground biomass in forest </w:t>
      </w:r>
      <w:r w:rsidRPr="00ED7E61">
        <w:rPr>
          <w:rStyle w:val="eop"/>
          <w:rFonts w:asciiTheme="majorBidi" w:eastAsiaTheme="majorEastAsia" w:hAnsiTheme="majorBidi" w:cstheme="majorBidi"/>
          <w:color w:val="242424"/>
          <w:sz w:val="22"/>
          <w:szCs w:val="22"/>
        </w:rPr>
        <w:t> </w:t>
      </w:r>
    </w:p>
    <w:p w14:paraId="3AE4836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Unit</w:t>
      </w:r>
      <w:r w:rsidRPr="00ED7E61">
        <w:rPr>
          <w:rStyle w:val="normaltextrun"/>
          <w:rFonts w:asciiTheme="majorBidi" w:eastAsiaTheme="majorEastAsia" w:hAnsiTheme="majorBidi" w:cstheme="majorBidi"/>
          <w:color w:val="242424"/>
          <w:sz w:val="22"/>
          <w:szCs w:val="22"/>
          <w:lang w:val="en-GB"/>
        </w:rPr>
        <w:t>: tonnes/hectare</w:t>
      </w:r>
      <w:r w:rsidRPr="00ED7E61">
        <w:rPr>
          <w:rStyle w:val="eop"/>
          <w:rFonts w:asciiTheme="majorBidi" w:eastAsiaTheme="majorEastAsia" w:hAnsiTheme="majorBidi" w:cstheme="majorBidi"/>
          <w:color w:val="242424"/>
          <w:sz w:val="22"/>
          <w:szCs w:val="22"/>
        </w:rPr>
        <w:t> </w:t>
      </w:r>
    </w:p>
    <w:p w14:paraId="6B91A18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Reference year</w:t>
      </w:r>
      <w:r w:rsidRPr="00ED7E61">
        <w:rPr>
          <w:rStyle w:val="normaltextrun"/>
          <w:rFonts w:asciiTheme="majorBidi" w:eastAsiaTheme="majorEastAsia" w:hAnsiTheme="majorBidi" w:cstheme="majorBidi"/>
          <w:color w:val="242424"/>
          <w:sz w:val="22"/>
          <w:szCs w:val="22"/>
          <w:lang w:val="en-GB"/>
        </w:rPr>
        <w:t>: Latest reporting year</w:t>
      </w:r>
      <w:r w:rsidRPr="00ED7E61">
        <w:rPr>
          <w:rStyle w:val="eop"/>
          <w:rFonts w:asciiTheme="majorBidi" w:eastAsiaTheme="majorEastAsia" w:hAnsiTheme="majorBidi" w:cstheme="majorBidi"/>
          <w:color w:val="242424"/>
          <w:sz w:val="22"/>
          <w:szCs w:val="22"/>
        </w:rPr>
        <w:t> </w:t>
      </w:r>
    </w:p>
    <w:p w14:paraId="4CEF21E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Method of estimation</w:t>
      </w:r>
      <w:r w:rsidRPr="00ED7E61">
        <w:rPr>
          <w:rStyle w:val="normaltextrun"/>
          <w:rFonts w:asciiTheme="majorBidi" w:eastAsiaTheme="majorEastAsia" w:hAnsiTheme="majorBidi" w:cstheme="majorBidi"/>
          <w:color w:val="242424"/>
          <w:sz w:val="22"/>
          <w:szCs w:val="22"/>
          <w:lang w:val="en-GB"/>
        </w:rPr>
        <w:t>: Reported directly by countries</w:t>
      </w:r>
      <w:r w:rsidRPr="00ED7E61">
        <w:rPr>
          <w:rStyle w:val="eop"/>
          <w:rFonts w:asciiTheme="majorBidi" w:eastAsiaTheme="majorEastAsia" w:hAnsiTheme="majorBidi" w:cstheme="majorBidi"/>
          <w:color w:val="242424"/>
          <w:sz w:val="22"/>
          <w:szCs w:val="22"/>
        </w:rPr>
        <w:t> </w:t>
      </w:r>
    </w:p>
    <w:p w14:paraId="0CF4244A" w14:textId="77777777" w:rsidR="00756F0F" w:rsidRPr="00ED7E61" w:rsidRDefault="00756F0F" w:rsidP="00395866">
      <w:pPr>
        <w:pStyle w:val="paragraph"/>
        <w:spacing w:before="0" w:beforeAutospacing="0" w:after="0" w:afterAutospacing="0"/>
        <w:textAlignment w:val="baseline"/>
        <w:rPr>
          <w:rStyle w:val="eop"/>
          <w:rFonts w:asciiTheme="majorBidi" w:eastAsiaTheme="majorEastAsia" w:hAnsiTheme="majorBidi" w:cstheme="majorBidi"/>
          <w:color w:val="242424"/>
          <w:sz w:val="22"/>
          <w:szCs w:val="22"/>
        </w:rPr>
      </w:pPr>
      <w:r w:rsidRPr="00ED7E61">
        <w:rPr>
          <w:rStyle w:val="normaltextrun"/>
          <w:rFonts w:asciiTheme="majorBidi" w:eastAsiaTheme="majorEastAsia" w:hAnsiTheme="majorBidi" w:cstheme="majorBidi"/>
          <w:color w:val="242424"/>
          <w:sz w:val="22"/>
          <w:szCs w:val="22"/>
          <w:u w:val="single"/>
          <w:lang w:val="en-GB"/>
        </w:rPr>
        <w:t>Translation to dashboard/traffic light:</w:t>
      </w:r>
      <w:r w:rsidRPr="00ED7E61">
        <w:rPr>
          <w:rStyle w:val="eop"/>
          <w:rFonts w:asciiTheme="majorBidi" w:eastAsiaTheme="majorEastAsia" w:hAnsiTheme="majorBidi" w:cstheme="majorBidi"/>
          <w:color w:val="242424"/>
          <w:sz w:val="22"/>
          <w:szCs w:val="22"/>
        </w:rPr>
        <w:t> </w:t>
      </w:r>
    </w:p>
    <w:p w14:paraId="06DF9DB0" w14:textId="51E310E5" w:rsidR="0040571C" w:rsidRPr="00ED7E61" w:rsidRDefault="0040571C" w:rsidP="005B0D1E">
      <w:pPr>
        <w:pStyle w:val="paragraph"/>
        <w:spacing w:before="0" w:beforeAutospacing="0" w:after="0" w:afterAutospacing="0"/>
        <w:jc w:val="center"/>
        <w:textAlignment w:val="baseline"/>
        <w:rPr>
          <w:rFonts w:asciiTheme="majorBidi" w:hAnsiTheme="majorBidi" w:cstheme="majorBidi"/>
          <w:sz w:val="22"/>
          <w:szCs w:val="22"/>
        </w:rPr>
      </w:pPr>
    </w:p>
    <w:p w14:paraId="0D20D30C" w14:textId="62DF3F53"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The indicator value for the latest reporting year is compared with the indicator value reported for 201</w:t>
      </w:r>
      <w:r w:rsidR="008369A3">
        <w:rPr>
          <w:rStyle w:val="normaltextrun"/>
          <w:rFonts w:asciiTheme="majorBidi" w:eastAsiaTheme="majorEastAsia" w:hAnsiTheme="majorBidi" w:cstheme="majorBidi"/>
          <w:color w:val="242424"/>
        </w:rPr>
        <w:t>5</w:t>
      </w:r>
      <w:r w:rsidRPr="00ED7E61">
        <w:rPr>
          <w:rStyle w:val="normaltextrun"/>
          <w:rFonts w:asciiTheme="majorBidi" w:eastAsiaTheme="majorEastAsia" w:hAnsiTheme="majorBidi" w:cstheme="majorBidi"/>
          <w:color w:val="242424"/>
        </w:rPr>
        <w:t>.</w:t>
      </w:r>
      <w:r w:rsidRPr="00ED7E61">
        <w:rPr>
          <w:rStyle w:val="eop"/>
          <w:rFonts w:asciiTheme="majorBidi" w:eastAsiaTheme="majorEastAsia" w:hAnsiTheme="majorBidi" w:cstheme="majorBidi"/>
          <w:color w:val="242424"/>
        </w:rPr>
        <w:t> </w:t>
      </w:r>
    </w:p>
    <w:p w14:paraId="3F4D349F" w14:textId="298D4293"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The ratio (r) between the current indicator value and the value reported for 201</w:t>
      </w:r>
      <w:r w:rsidR="008369A3">
        <w:rPr>
          <w:rStyle w:val="normaltextrun"/>
          <w:rFonts w:asciiTheme="majorBidi" w:eastAsiaTheme="majorEastAsia" w:hAnsiTheme="majorBidi" w:cstheme="majorBidi"/>
          <w:color w:val="242424"/>
        </w:rPr>
        <w:t>5</w:t>
      </w:r>
      <w:r w:rsidRPr="00ED7E61">
        <w:rPr>
          <w:rStyle w:val="normaltextrun"/>
          <w:rFonts w:asciiTheme="majorBidi" w:eastAsiaTheme="majorEastAsia" w:hAnsiTheme="majorBidi" w:cstheme="majorBidi"/>
          <w:color w:val="242424"/>
        </w:rPr>
        <w:t xml:space="preserve"> is calculated; r&gt;1 means an increase in stock per hectare, r&lt;1 means a decrease while 1 indicates no change. A narrow interval for r has been established to indicate a stable condition, and traffic-light </w:t>
      </w:r>
      <w:r w:rsidR="00C24132" w:rsidRPr="00ED7E61">
        <w:rPr>
          <w:rStyle w:val="normaltextrun"/>
          <w:rFonts w:asciiTheme="majorBidi" w:eastAsiaTheme="majorEastAsia" w:hAnsiTheme="majorBidi" w:cstheme="majorBidi"/>
          <w:color w:val="242424"/>
        </w:rPr>
        <w:t>colours</w:t>
      </w:r>
      <w:r w:rsidRPr="00ED7E61">
        <w:rPr>
          <w:rStyle w:val="normaltextrun"/>
          <w:rFonts w:asciiTheme="majorBidi" w:eastAsiaTheme="majorEastAsia" w:hAnsiTheme="majorBidi" w:cstheme="majorBidi"/>
          <w:color w:val="242424"/>
        </w:rPr>
        <w:t xml:space="preserve"> are assigned as follows:</w:t>
      </w:r>
      <w:r w:rsidRPr="00ED7E61">
        <w:rPr>
          <w:rStyle w:val="eop"/>
          <w:rFonts w:asciiTheme="majorBidi" w:eastAsiaTheme="majorEastAsia" w:hAnsiTheme="majorBidi" w:cstheme="majorBidi"/>
          <w:color w:val="242424"/>
        </w:rPr>
        <w:t> </w:t>
      </w:r>
    </w:p>
    <w:p w14:paraId="0FE8999F" w14:textId="51B1FB1E" w:rsidR="00756F0F" w:rsidRPr="00ED7E61" w:rsidRDefault="0040571C"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Fonts w:asciiTheme="majorBidi" w:hAnsiTheme="majorBidi" w:cstheme="majorBidi"/>
          <w:noProof/>
          <w:sz w:val="22"/>
          <w:szCs w:val="22"/>
          <w:lang w:val="fr-FR" w:eastAsia="fr-FR"/>
        </w:rPr>
        <w:drawing>
          <wp:inline distT="0" distB="0" distL="0" distR="0" wp14:anchorId="33FB8857" wp14:editId="1752E0AB">
            <wp:extent cx="1625684" cy="654084"/>
            <wp:effectExtent l="0" t="0" r="0" b="0"/>
            <wp:docPr id="1077239828"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39828" name="Picture 1" descr="A black text on a white background&#10;&#10;Description automatically generated"/>
                    <pic:cNvPicPr/>
                  </pic:nvPicPr>
                  <pic:blipFill>
                    <a:blip r:embed="rId400"/>
                    <a:stretch>
                      <a:fillRect/>
                    </a:stretch>
                  </pic:blipFill>
                  <pic:spPr>
                    <a:xfrm>
                      <a:off x="0" y="0"/>
                      <a:ext cx="1625684" cy="654084"/>
                    </a:xfrm>
                    <a:prstGeom prst="rect">
                      <a:avLst/>
                    </a:prstGeom>
                  </pic:spPr>
                </pic:pic>
              </a:graphicData>
            </a:graphic>
          </wp:inline>
        </w:drawing>
      </w:r>
      <w:r w:rsidR="00756F0F" w:rsidRPr="00ED7E61">
        <w:rPr>
          <w:rStyle w:val="eop"/>
          <w:rFonts w:asciiTheme="majorBidi" w:eastAsiaTheme="majorEastAsia" w:hAnsiTheme="majorBidi" w:cstheme="majorBidi"/>
          <w:color w:val="242424"/>
          <w:sz w:val="22"/>
          <w:szCs w:val="22"/>
        </w:rPr>
        <w:t> </w:t>
      </w:r>
    </w:p>
    <w:p w14:paraId="695A24C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242424"/>
          <w:sz w:val="22"/>
          <w:szCs w:val="22"/>
          <w:lang w:val="en-GB"/>
        </w:rPr>
        <w:t>Sub-indicator 3 – Proportion of forest area within legally established protected areas</w:t>
      </w:r>
      <w:r w:rsidRPr="00ED7E61">
        <w:rPr>
          <w:rStyle w:val="eop"/>
          <w:rFonts w:asciiTheme="majorBidi" w:eastAsiaTheme="majorEastAsia" w:hAnsiTheme="majorBidi" w:cstheme="majorBidi"/>
          <w:color w:val="242424"/>
          <w:sz w:val="22"/>
          <w:szCs w:val="22"/>
        </w:rPr>
        <w:t> </w:t>
      </w:r>
    </w:p>
    <w:p w14:paraId="4241D31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Unit</w:t>
      </w:r>
      <w:r w:rsidRPr="00ED7E61">
        <w:rPr>
          <w:rStyle w:val="normaltextrun"/>
          <w:rFonts w:asciiTheme="majorBidi" w:eastAsiaTheme="majorEastAsia" w:hAnsiTheme="majorBidi" w:cstheme="majorBidi"/>
          <w:color w:val="242424"/>
          <w:sz w:val="22"/>
          <w:szCs w:val="22"/>
          <w:lang w:val="en-GB"/>
        </w:rPr>
        <w:t>: Percent</w:t>
      </w:r>
      <w:r w:rsidRPr="00ED7E61">
        <w:rPr>
          <w:rStyle w:val="eop"/>
          <w:rFonts w:asciiTheme="majorBidi" w:eastAsiaTheme="majorEastAsia" w:hAnsiTheme="majorBidi" w:cstheme="majorBidi"/>
          <w:color w:val="242424"/>
          <w:sz w:val="22"/>
          <w:szCs w:val="22"/>
        </w:rPr>
        <w:t> </w:t>
      </w:r>
    </w:p>
    <w:p w14:paraId="724BE94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Reference year</w:t>
      </w:r>
      <w:r w:rsidRPr="00ED7E61">
        <w:rPr>
          <w:rStyle w:val="normaltextrun"/>
          <w:rFonts w:asciiTheme="majorBidi" w:eastAsiaTheme="majorEastAsia" w:hAnsiTheme="majorBidi" w:cstheme="majorBidi"/>
          <w:color w:val="242424"/>
          <w:sz w:val="22"/>
          <w:szCs w:val="22"/>
          <w:lang w:val="en-GB"/>
        </w:rPr>
        <w:t>: Latest reporting year</w:t>
      </w:r>
      <w:r w:rsidRPr="00ED7E61">
        <w:rPr>
          <w:rStyle w:val="eop"/>
          <w:rFonts w:asciiTheme="majorBidi" w:eastAsiaTheme="majorEastAsia" w:hAnsiTheme="majorBidi" w:cstheme="majorBidi"/>
          <w:color w:val="242424"/>
          <w:sz w:val="22"/>
          <w:szCs w:val="22"/>
        </w:rPr>
        <w:t> </w:t>
      </w:r>
    </w:p>
    <w:p w14:paraId="654227E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lastRenderedPageBreak/>
        <w:t>Method of estimation</w:t>
      </w:r>
      <w:r w:rsidRPr="00ED7E61">
        <w:rPr>
          <w:rStyle w:val="normaltextrun"/>
          <w:rFonts w:asciiTheme="majorBidi" w:eastAsiaTheme="majorEastAsia" w:hAnsiTheme="majorBidi" w:cstheme="majorBidi"/>
          <w:color w:val="242424"/>
          <w:sz w:val="22"/>
          <w:szCs w:val="22"/>
          <w:lang w:val="en-GB"/>
        </w:rPr>
        <w:t>:</w:t>
      </w:r>
      <w:r w:rsidRPr="00ED7E61">
        <w:rPr>
          <w:rStyle w:val="eop"/>
          <w:rFonts w:asciiTheme="majorBidi" w:eastAsiaTheme="majorEastAsia" w:hAnsiTheme="majorBidi" w:cstheme="majorBidi"/>
          <w:color w:val="242424"/>
          <w:sz w:val="22"/>
          <w:szCs w:val="22"/>
        </w:rPr>
        <w:t> </w:t>
      </w:r>
    </w:p>
    <w:p w14:paraId="3601CFB7" w14:textId="36A5D061" w:rsidR="00756F0F" w:rsidRPr="00ED7E61" w:rsidRDefault="0040571C" w:rsidP="005B0D1E">
      <w:pPr>
        <w:pStyle w:val="paragraph"/>
        <w:spacing w:before="0" w:beforeAutospacing="0" w:after="0" w:afterAutospacing="0"/>
        <w:ind w:firstLine="72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noProof/>
          <w:color w:val="242424"/>
          <w:sz w:val="22"/>
          <w:szCs w:val="22"/>
          <w:lang w:val="fr-FR" w:eastAsia="fr-FR"/>
        </w:rPr>
        <w:drawing>
          <wp:inline distT="0" distB="0" distL="0" distR="0" wp14:anchorId="5BBC5ED5" wp14:editId="42C05A55">
            <wp:extent cx="2101958" cy="520727"/>
            <wp:effectExtent l="0" t="0" r="0" b="0"/>
            <wp:docPr id="891390062" name="Picture 1" descr="A black text with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90062" name="Picture 1" descr="A black text with a black line&#10;&#10;Description automatically generated"/>
                    <pic:cNvPicPr/>
                  </pic:nvPicPr>
                  <pic:blipFill>
                    <a:blip r:embed="rId401"/>
                    <a:stretch>
                      <a:fillRect/>
                    </a:stretch>
                  </pic:blipFill>
                  <pic:spPr>
                    <a:xfrm>
                      <a:off x="0" y="0"/>
                      <a:ext cx="2101958" cy="520727"/>
                    </a:xfrm>
                    <a:prstGeom prst="rect">
                      <a:avLst/>
                    </a:prstGeom>
                  </pic:spPr>
                </pic:pic>
              </a:graphicData>
            </a:graphic>
          </wp:inline>
        </w:drawing>
      </w:r>
    </w:p>
    <w:p w14:paraId="7E8A708D" w14:textId="77777777" w:rsidR="00756F0F" w:rsidRPr="00ED7E61"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lang w:val="en-GB"/>
        </w:rPr>
        <w:t>Where:</w:t>
      </w:r>
      <w:r w:rsidRPr="00ED7E61">
        <w:rPr>
          <w:rStyle w:val="eop"/>
          <w:rFonts w:asciiTheme="majorBidi" w:eastAsiaTheme="majorEastAsia" w:hAnsiTheme="majorBidi" w:cstheme="majorBidi"/>
          <w:color w:val="242424"/>
          <w:sz w:val="22"/>
          <w:szCs w:val="22"/>
        </w:rPr>
        <w:t> </w:t>
      </w:r>
    </w:p>
    <w:p w14:paraId="200CBF98" w14:textId="77777777" w:rsidR="00756F0F" w:rsidRPr="00ED7E61" w:rsidRDefault="00756F0F" w:rsidP="00395866">
      <w:pPr>
        <w:pStyle w:val="paragraph"/>
        <w:spacing w:before="0" w:beforeAutospacing="0" w:after="0" w:afterAutospacing="0"/>
        <w:ind w:firstLine="144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color w:val="242424"/>
          <w:sz w:val="22"/>
          <w:szCs w:val="22"/>
          <w:lang w:val="en-GB"/>
        </w:rPr>
        <w:t xml:space="preserve">AFP </w:t>
      </w:r>
      <w:r w:rsidRPr="00ED7E61">
        <w:rPr>
          <w:rStyle w:val="normaltextrun"/>
          <w:rFonts w:asciiTheme="majorBidi" w:eastAsiaTheme="majorEastAsia" w:hAnsiTheme="majorBidi" w:cstheme="majorBidi"/>
          <w:color w:val="242424"/>
          <w:sz w:val="22"/>
          <w:szCs w:val="22"/>
          <w:lang w:val="en-GB"/>
        </w:rPr>
        <w:t>= Forest area within legally established protected areas</w:t>
      </w:r>
      <w:r w:rsidRPr="00ED7E61">
        <w:rPr>
          <w:rStyle w:val="eop"/>
          <w:rFonts w:asciiTheme="majorBidi" w:eastAsiaTheme="majorEastAsia" w:hAnsiTheme="majorBidi" w:cstheme="majorBidi"/>
          <w:color w:val="242424"/>
          <w:sz w:val="22"/>
          <w:szCs w:val="22"/>
        </w:rPr>
        <w:t> </w:t>
      </w:r>
    </w:p>
    <w:p w14:paraId="241EF320" w14:textId="77777777" w:rsidR="00756F0F" w:rsidRPr="00ED7E61"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color w:val="242424"/>
          <w:sz w:val="22"/>
          <w:szCs w:val="22"/>
          <w:lang w:val="en-GB"/>
        </w:rPr>
        <w:t xml:space="preserve">AF </w:t>
      </w:r>
      <w:r w:rsidRPr="00ED7E61">
        <w:rPr>
          <w:rStyle w:val="normaltextrun"/>
          <w:rFonts w:asciiTheme="majorBidi" w:eastAsiaTheme="majorEastAsia" w:hAnsiTheme="majorBidi" w:cstheme="majorBidi"/>
          <w:color w:val="242424"/>
          <w:sz w:val="22"/>
          <w:szCs w:val="22"/>
          <w:lang w:val="en-GB"/>
        </w:rPr>
        <w:t>= Total forest area</w:t>
      </w:r>
      <w:r w:rsidRPr="00ED7E61">
        <w:rPr>
          <w:rStyle w:val="eop"/>
          <w:rFonts w:asciiTheme="majorBidi" w:eastAsiaTheme="majorEastAsia" w:hAnsiTheme="majorBidi" w:cstheme="majorBidi"/>
          <w:color w:val="242424"/>
          <w:sz w:val="22"/>
          <w:szCs w:val="22"/>
        </w:rPr>
        <w:t> </w:t>
      </w:r>
    </w:p>
    <w:p w14:paraId="5261E25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Translation to dashboard/traffic light:</w:t>
      </w:r>
      <w:r w:rsidRPr="00ED7E61">
        <w:rPr>
          <w:rStyle w:val="eop"/>
          <w:rFonts w:asciiTheme="majorBidi" w:eastAsiaTheme="majorEastAsia" w:hAnsiTheme="majorBidi" w:cstheme="majorBidi"/>
          <w:color w:val="242424"/>
          <w:sz w:val="22"/>
          <w:szCs w:val="22"/>
        </w:rPr>
        <w:t> </w:t>
      </w:r>
    </w:p>
    <w:p w14:paraId="1035545D" w14:textId="2B3FB8B3"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lang w:val="en-GB"/>
        </w:rPr>
        <w:t>The indicator value for latest reporting year is compared with the indicator value reported for 201</w:t>
      </w:r>
      <w:r w:rsidR="008369A3">
        <w:rPr>
          <w:rStyle w:val="normaltextrun"/>
          <w:rFonts w:asciiTheme="majorBidi" w:eastAsiaTheme="majorEastAsia" w:hAnsiTheme="majorBidi" w:cstheme="majorBidi"/>
          <w:color w:val="242424"/>
          <w:sz w:val="22"/>
          <w:szCs w:val="22"/>
          <w:lang w:val="en-GB"/>
        </w:rPr>
        <w:t>5</w:t>
      </w:r>
      <w:r w:rsidRPr="00ED7E61">
        <w:rPr>
          <w:rStyle w:val="normaltextrun"/>
          <w:rFonts w:asciiTheme="majorBidi" w:eastAsiaTheme="majorEastAsia" w:hAnsiTheme="majorBidi" w:cstheme="majorBidi"/>
          <w:color w:val="242424"/>
          <w:sz w:val="22"/>
          <w:szCs w:val="22"/>
          <w:lang w:val="en-GB"/>
        </w:rPr>
        <w:t>.</w:t>
      </w:r>
      <w:r w:rsidRPr="00ED7E61">
        <w:rPr>
          <w:rStyle w:val="eop"/>
          <w:rFonts w:asciiTheme="majorBidi" w:eastAsiaTheme="majorEastAsia" w:hAnsiTheme="majorBidi" w:cstheme="majorBidi"/>
          <w:color w:val="242424"/>
          <w:sz w:val="22"/>
          <w:szCs w:val="22"/>
        </w:rPr>
        <w:t> </w:t>
      </w:r>
    </w:p>
    <w:p w14:paraId="68F23A11" w14:textId="469D86D0" w:rsidR="00756F0F" w:rsidRPr="00ED7E61" w:rsidRDefault="00756F0F" w:rsidP="00B10F0C">
      <w:pPr>
        <w:pStyle w:val="CBDNormalNumber"/>
        <w:numPr>
          <w:ilvl w:val="0"/>
          <w:numId w:val="84"/>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color w:val="242424"/>
        </w:rPr>
        <w:t>The ratio (r) between the current indicator value and the value reported for 201</w:t>
      </w:r>
      <w:r w:rsidR="008369A3">
        <w:rPr>
          <w:rStyle w:val="normaltextrun"/>
          <w:rFonts w:asciiTheme="majorBidi" w:eastAsiaTheme="majorEastAsia" w:hAnsiTheme="majorBidi" w:cstheme="majorBidi"/>
          <w:color w:val="242424"/>
        </w:rPr>
        <w:t>5</w:t>
      </w:r>
      <w:r w:rsidRPr="00ED7E61">
        <w:rPr>
          <w:rStyle w:val="normaltextrun"/>
          <w:rFonts w:asciiTheme="majorBidi" w:eastAsiaTheme="majorEastAsia" w:hAnsiTheme="majorBidi" w:cstheme="majorBidi"/>
          <w:color w:val="242424"/>
        </w:rPr>
        <w:t xml:space="preserve"> is calculated; r&gt;1 means an increase in forest area within protected areas, r&lt;1 means a decrease while 1 indicates no change. A narrow interval for r </w:t>
      </w:r>
      <w:r w:rsidR="008369A3">
        <w:rPr>
          <w:rStyle w:val="normaltextrun"/>
          <w:rFonts w:asciiTheme="majorBidi" w:eastAsiaTheme="majorEastAsia" w:hAnsiTheme="majorBidi" w:cstheme="majorBidi"/>
          <w:color w:val="242424"/>
        </w:rPr>
        <w:t xml:space="preserve">close to 1 </w:t>
      </w:r>
      <w:r w:rsidRPr="00ED7E61">
        <w:rPr>
          <w:rStyle w:val="normaltextrun"/>
          <w:rFonts w:asciiTheme="majorBidi" w:eastAsiaTheme="majorEastAsia" w:hAnsiTheme="majorBidi" w:cstheme="majorBidi"/>
          <w:color w:val="242424"/>
        </w:rPr>
        <w:t xml:space="preserve">has been established to indicate a stable condition, and traffic-light </w:t>
      </w:r>
      <w:r w:rsidR="00C24132" w:rsidRPr="00ED7E61">
        <w:rPr>
          <w:rStyle w:val="normaltextrun"/>
          <w:rFonts w:asciiTheme="majorBidi" w:eastAsiaTheme="majorEastAsia" w:hAnsiTheme="majorBidi" w:cstheme="majorBidi"/>
          <w:color w:val="242424"/>
        </w:rPr>
        <w:t>colours</w:t>
      </w:r>
      <w:r w:rsidRPr="00ED7E61">
        <w:rPr>
          <w:rStyle w:val="normaltextrun"/>
          <w:rFonts w:asciiTheme="majorBidi" w:eastAsiaTheme="majorEastAsia" w:hAnsiTheme="majorBidi" w:cstheme="majorBidi"/>
          <w:color w:val="242424"/>
        </w:rPr>
        <w:t xml:space="preserve"> are assigned as follows:</w:t>
      </w:r>
      <w:r w:rsidRPr="00ED7E61">
        <w:rPr>
          <w:rStyle w:val="eop"/>
          <w:rFonts w:asciiTheme="majorBidi" w:eastAsiaTheme="majorEastAsia" w:hAnsiTheme="majorBidi" w:cstheme="majorBidi"/>
          <w:color w:val="242424"/>
        </w:rPr>
        <w:t> </w:t>
      </w:r>
    </w:p>
    <w:p w14:paraId="0D8BAEDF" w14:textId="3CC27BDE" w:rsidR="0040571C" w:rsidRPr="00ED7E61" w:rsidRDefault="0040571C" w:rsidP="005B0D1E">
      <w:pPr>
        <w:pStyle w:val="CBDNormalNumber"/>
        <w:shd w:val="clear" w:color="auto" w:fill="FFFFFF"/>
        <w:jc w:val="center"/>
        <w:rPr>
          <w:rFonts w:asciiTheme="majorBidi" w:hAnsiTheme="majorBidi" w:cstheme="majorBidi"/>
        </w:rPr>
      </w:pPr>
      <w:r w:rsidRPr="00ED7E61">
        <w:rPr>
          <w:rFonts w:asciiTheme="majorBidi" w:hAnsiTheme="majorBidi" w:cstheme="majorBidi"/>
          <w:noProof/>
          <w:lang w:val="fr-FR" w:eastAsia="fr-FR"/>
        </w:rPr>
        <w:drawing>
          <wp:inline distT="0" distB="0" distL="0" distR="0" wp14:anchorId="0C16C074" wp14:editId="12102F31">
            <wp:extent cx="1568531" cy="685835"/>
            <wp:effectExtent l="0" t="0" r="0" b="0"/>
            <wp:docPr id="780008176" name="Picture 1" descr="A number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008176" name="Picture 1" descr="A number on a white background&#10;&#10;Description automatically generated"/>
                    <pic:cNvPicPr/>
                  </pic:nvPicPr>
                  <pic:blipFill>
                    <a:blip r:embed="rId402"/>
                    <a:stretch>
                      <a:fillRect/>
                    </a:stretch>
                  </pic:blipFill>
                  <pic:spPr>
                    <a:xfrm>
                      <a:off x="0" y="0"/>
                      <a:ext cx="1568531" cy="685835"/>
                    </a:xfrm>
                    <a:prstGeom prst="rect">
                      <a:avLst/>
                    </a:prstGeom>
                  </pic:spPr>
                </pic:pic>
              </a:graphicData>
            </a:graphic>
          </wp:inline>
        </w:drawing>
      </w:r>
    </w:p>
    <w:p w14:paraId="3BF8AA09" w14:textId="77777777" w:rsidR="00756F0F" w:rsidRPr="00ED7E61" w:rsidRDefault="00756F0F" w:rsidP="00BB7BA7">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Comment:</w:t>
      </w:r>
      <w:r w:rsidRPr="00ED7E61">
        <w:rPr>
          <w:rStyle w:val="eop"/>
          <w:rFonts w:asciiTheme="majorBidi" w:eastAsiaTheme="majorEastAsia" w:hAnsiTheme="majorBidi" w:cstheme="majorBidi"/>
          <w:color w:val="242424"/>
          <w:sz w:val="22"/>
          <w:szCs w:val="22"/>
        </w:rPr>
        <w:t> </w:t>
      </w:r>
    </w:p>
    <w:p w14:paraId="4D9FFACD" w14:textId="255BD377"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Using forest area in 2015 as </w:t>
      </w:r>
      <w:r w:rsidR="008369A3">
        <w:rPr>
          <w:rStyle w:val="normaltextrun"/>
          <w:rFonts w:asciiTheme="majorBidi" w:eastAsiaTheme="majorEastAsia" w:hAnsiTheme="majorBidi" w:cstheme="majorBidi"/>
          <w:color w:val="242424"/>
        </w:rPr>
        <w:t xml:space="preserve">the </w:t>
      </w:r>
      <w:r w:rsidRPr="00ED7E61">
        <w:rPr>
          <w:rStyle w:val="normaltextrun"/>
          <w:rFonts w:asciiTheme="majorBidi" w:eastAsiaTheme="majorEastAsia" w:hAnsiTheme="majorBidi" w:cstheme="majorBidi"/>
          <w:color w:val="242424"/>
        </w:rPr>
        <w:t>denominator for estimating this indicator ensures that the time series of percentages reflect</w:t>
      </w:r>
      <w:r w:rsidR="008369A3">
        <w:rPr>
          <w:rStyle w:val="normaltextrun"/>
          <w:rFonts w:asciiTheme="majorBidi" w:eastAsiaTheme="majorEastAsia" w:hAnsiTheme="majorBidi" w:cstheme="majorBidi"/>
          <w:color w:val="242424"/>
        </w:rPr>
        <w:t>s</w:t>
      </w:r>
      <w:r w:rsidRPr="00ED7E61">
        <w:rPr>
          <w:rStyle w:val="normaltextrun"/>
          <w:rFonts w:asciiTheme="majorBidi" w:eastAsiaTheme="majorEastAsia" w:hAnsiTheme="majorBidi" w:cstheme="majorBidi"/>
          <w:color w:val="242424"/>
        </w:rPr>
        <w:t xml:space="preserve"> real changes in the forest area within legally established protected areas and is not affected by changes (losses or gains) in total forest area.</w:t>
      </w:r>
      <w:r w:rsidRPr="00ED7E61">
        <w:rPr>
          <w:rStyle w:val="normaltextrun"/>
        </w:rPr>
        <w:t> </w:t>
      </w:r>
    </w:p>
    <w:p w14:paraId="0D657B0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242424"/>
          <w:sz w:val="22"/>
          <w:szCs w:val="22"/>
          <w:lang w:val="en-GB"/>
        </w:rPr>
        <w:t>Sub-indicator 4 – Proportion of forest area under a long-term forest management plan</w:t>
      </w:r>
      <w:r w:rsidRPr="00ED7E61">
        <w:rPr>
          <w:rStyle w:val="eop"/>
          <w:rFonts w:asciiTheme="majorBidi" w:eastAsiaTheme="majorEastAsia" w:hAnsiTheme="majorBidi" w:cstheme="majorBidi"/>
          <w:color w:val="242424"/>
          <w:sz w:val="22"/>
          <w:szCs w:val="22"/>
        </w:rPr>
        <w:t> </w:t>
      </w:r>
    </w:p>
    <w:p w14:paraId="092D1B8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Unit</w:t>
      </w:r>
      <w:r w:rsidRPr="00ED7E61">
        <w:rPr>
          <w:rStyle w:val="normaltextrun"/>
          <w:rFonts w:asciiTheme="majorBidi" w:eastAsiaTheme="majorEastAsia" w:hAnsiTheme="majorBidi" w:cstheme="majorBidi"/>
          <w:color w:val="242424"/>
          <w:sz w:val="22"/>
          <w:szCs w:val="22"/>
          <w:lang w:val="en-GB"/>
        </w:rPr>
        <w:t>: Percent</w:t>
      </w:r>
      <w:r w:rsidRPr="00ED7E61">
        <w:rPr>
          <w:rStyle w:val="eop"/>
          <w:rFonts w:asciiTheme="majorBidi" w:eastAsiaTheme="majorEastAsia" w:hAnsiTheme="majorBidi" w:cstheme="majorBidi"/>
          <w:color w:val="242424"/>
          <w:sz w:val="22"/>
          <w:szCs w:val="22"/>
        </w:rPr>
        <w:t> </w:t>
      </w:r>
    </w:p>
    <w:p w14:paraId="2286B48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Reference year:</w:t>
      </w:r>
      <w:r w:rsidRPr="00ED7E61">
        <w:rPr>
          <w:rStyle w:val="normaltextrun"/>
          <w:rFonts w:asciiTheme="majorBidi" w:eastAsiaTheme="majorEastAsia" w:hAnsiTheme="majorBidi" w:cstheme="majorBidi"/>
          <w:color w:val="242424"/>
          <w:sz w:val="22"/>
          <w:szCs w:val="22"/>
          <w:lang w:val="en-GB"/>
        </w:rPr>
        <w:t> Latest reporting year</w:t>
      </w:r>
      <w:r w:rsidRPr="00ED7E61">
        <w:rPr>
          <w:rStyle w:val="eop"/>
          <w:rFonts w:asciiTheme="majorBidi" w:eastAsiaTheme="majorEastAsia" w:hAnsiTheme="majorBidi" w:cstheme="majorBidi"/>
          <w:color w:val="242424"/>
          <w:sz w:val="22"/>
          <w:szCs w:val="22"/>
        </w:rPr>
        <w:t> </w:t>
      </w:r>
    </w:p>
    <w:p w14:paraId="24C99E9A" w14:textId="77777777" w:rsidR="00756F0F" w:rsidRPr="00ED7E61" w:rsidRDefault="00756F0F" w:rsidP="00395866">
      <w:pPr>
        <w:pStyle w:val="paragraph"/>
        <w:spacing w:before="0" w:beforeAutospacing="0" w:after="0" w:afterAutospacing="0"/>
        <w:textAlignment w:val="baseline"/>
        <w:rPr>
          <w:rStyle w:val="eop"/>
          <w:rFonts w:asciiTheme="majorBidi" w:eastAsiaTheme="majorEastAsia" w:hAnsiTheme="majorBidi" w:cstheme="majorBidi"/>
          <w:color w:val="242424"/>
          <w:sz w:val="22"/>
          <w:szCs w:val="22"/>
        </w:rPr>
      </w:pPr>
      <w:r w:rsidRPr="00ED7E61">
        <w:rPr>
          <w:rStyle w:val="normaltextrun"/>
          <w:rFonts w:asciiTheme="majorBidi" w:eastAsiaTheme="majorEastAsia" w:hAnsiTheme="majorBidi" w:cstheme="majorBidi"/>
          <w:color w:val="242424"/>
          <w:sz w:val="22"/>
          <w:szCs w:val="22"/>
          <w:u w:val="single"/>
          <w:lang w:val="en-GB"/>
        </w:rPr>
        <w:t>Method of estimation:</w:t>
      </w:r>
      <w:r w:rsidRPr="00ED7E61">
        <w:rPr>
          <w:rStyle w:val="eop"/>
          <w:rFonts w:asciiTheme="majorBidi" w:eastAsiaTheme="majorEastAsia" w:hAnsiTheme="majorBidi" w:cstheme="majorBidi"/>
          <w:color w:val="242424"/>
          <w:sz w:val="22"/>
          <w:szCs w:val="22"/>
        </w:rPr>
        <w:t> </w:t>
      </w:r>
    </w:p>
    <w:p w14:paraId="794DD658" w14:textId="17BF1E1F" w:rsidR="0040571C" w:rsidRPr="00ED7E61" w:rsidRDefault="0040571C" w:rsidP="005B0D1E">
      <w:pPr>
        <w:pStyle w:val="paragraph"/>
        <w:spacing w:before="0" w:beforeAutospacing="0" w:after="0" w:afterAutospacing="0"/>
        <w:jc w:val="center"/>
        <w:textAlignment w:val="baseline"/>
        <w:rPr>
          <w:rFonts w:asciiTheme="majorBidi" w:hAnsiTheme="majorBidi" w:cstheme="majorBidi"/>
          <w:sz w:val="22"/>
          <w:szCs w:val="22"/>
        </w:rPr>
      </w:pPr>
      <w:r w:rsidRPr="00ED7E61">
        <w:rPr>
          <w:rFonts w:asciiTheme="majorBidi" w:hAnsiTheme="majorBidi" w:cstheme="majorBidi"/>
          <w:noProof/>
          <w:sz w:val="22"/>
          <w:szCs w:val="22"/>
          <w:lang w:val="fr-FR" w:eastAsia="fr-FR"/>
        </w:rPr>
        <w:drawing>
          <wp:inline distT="0" distB="0" distL="0" distR="0" wp14:anchorId="19F3482E" wp14:editId="0E81E264">
            <wp:extent cx="2197213" cy="520727"/>
            <wp:effectExtent l="0" t="0" r="0" b="0"/>
            <wp:docPr id="143765066" name="Picture 1" descr="A black text with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65066" name="Picture 1" descr="A black text with a black line&#10;&#10;Description automatically generated"/>
                    <pic:cNvPicPr/>
                  </pic:nvPicPr>
                  <pic:blipFill>
                    <a:blip r:embed="rId403"/>
                    <a:stretch>
                      <a:fillRect/>
                    </a:stretch>
                  </pic:blipFill>
                  <pic:spPr>
                    <a:xfrm>
                      <a:off x="0" y="0"/>
                      <a:ext cx="2197213" cy="520727"/>
                    </a:xfrm>
                    <a:prstGeom prst="rect">
                      <a:avLst/>
                    </a:prstGeom>
                  </pic:spPr>
                </pic:pic>
              </a:graphicData>
            </a:graphic>
          </wp:inline>
        </w:drawing>
      </w:r>
    </w:p>
    <w:p w14:paraId="65D64CD0" w14:textId="77777777" w:rsidR="00756F0F" w:rsidRPr="00ED7E61"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ED7E61">
        <w:rPr>
          <w:rStyle w:val="eop"/>
          <w:rFonts w:asciiTheme="majorBidi" w:eastAsiaTheme="majorEastAsia" w:hAnsiTheme="majorBidi" w:cstheme="majorBidi"/>
          <w:color w:val="242424"/>
          <w:sz w:val="22"/>
          <w:szCs w:val="22"/>
        </w:rPr>
        <w:t> </w:t>
      </w:r>
    </w:p>
    <w:p w14:paraId="694DC3B7" w14:textId="77777777" w:rsidR="00756F0F" w:rsidRPr="00ED7E61"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lang w:val="en-GB"/>
        </w:rPr>
        <w:t>Where:</w:t>
      </w:r>
      <w:r w:rsidRPr="00ED7E61">
        <w:rPr>
          <w:rStyle w:val="eop"/>
          <w:rFonts w:asciiTheme="majorBidi" w:eastAsiaTheme="majorEastAsia" w:hAnsiTheme="majorBidi" w:cstheme="majorBidi"/>
          <w:color w:val="242424"/>
          <w:sz w:val="22"/>
          <w:szCs w:val="22"/>
        </w:rPr>
        <w:t> </w:t>
      </w:r>
    </w:p>
    <w:p w14:paraId="675A42DB" w14:textId="77777777" w:rsidR="00756F0F" w:rsidRPr="00ED7E61"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color w:val="242424"/>
          <w:sz w:val="22"/>
          <w:szCs w:val="22"/>
          <w:lang w:val="en-GB"/>
        </w:rPr>
        <w:t>AFMP</w:t>
      </w:r>
      <w:r w:rsidRPr="00ED7E61">
        <w:rPr>
          <w:rStyle w:val="normaltextrun"/>
          <w:rFonts w:asciiTheme="majorBidi" w:eastAsiaTheme="majorEastAsia" w:hAnsiTheme="majorBidi" w:cstheme="majorBidi"/>
          <w:color w:val="242424"/>
          <w:sz w:val="22"/>
          <w:szCs w:val="22"/>
          <w:lang w:val="en-GB"/>
        </w:rPr>
        <w:t> = Forest area under a long-term management plan</w:t>
      </w:r>
      <w:r w:rsidRPr="00ED7E61">
        <w:rPr>
          <w:rStyle w:val="eop"/>
          <w:rFonts w:asciiTheme="majorBidi" w:eastAsiaTheme="majorEastAsia" w:hAnsiTheme="majorBidi" w:cstheme="majorBidi"/>
          <w:color w:val="242424"/>
          <w:sz w:val="22"/>
          <w:szCs w:val="22"/>
        </w:rPr>
        <w:t> </w:t>
      </w:r>
    </w:p>
    <w:p w14:paraId="0CC3C3AC" w14:textId="77777777" w:rsidR="00756F0F" w:rsidRPr="00ED7E61"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color w:val="242424"/>
          <w:sz w:val="22"/>
          <w:szCs w:val="22"/>
          <w:lang w:val="en-GB"/>
        </w:rPr>
        <w:t>AF</w:t>
      </w:r>
      <w:r w:rsidRPr="00ED7E61">
        <w:rPr>
          <w:rStyle w:val="normaltextrun"/>
          <w:rFonts w:asciiTheme="majorBidi" w:eastAsiaTheme="majorEastAsia" w:hAnsiTheme="majorBidi" w:cstheme="majorBidi"/>
          <w:color w:val="242424"/>
          <w:sz w:val="22"/>
          <w:szCs w:val="22"/>
          <w:lang w:val="en-GB"/>
        </w:rPr>
        <w:t> = Total forest area</w:t>
      </w:r>
      <w:r w:rsidRPr="00ED7E61">
        <w:rPr>
          <w:rStyle w:val="eop"/>
          <w:rFonts w:asciiTheme="majorBidi" w:eastAsiaTheme="majorEastAsia" w:hAnsiTheme="majorBidi" w:cstheme="majorBidi"/>
          <w:color w:val="242424"/>
          <w:sz w:val="22"/>
          <w:szCs w:val="22"/>
        </w:rPr>
        <w:t> </w:t>
      </w:r>
    </w:p>
    <w:p w14:paraId="4D36577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Translation to dashboard/traffic light: </w:t>
      </w:r>
      <w:r w:rsidRPr="00ED7E61">
        <w:rPr>
          <w:rStyle w:val="normaltextrun"/>
          <w:rFonts w:asciiTheme="majorBidi" w:eastAsiaTheme="majorEastAsia" w:hAnsiTheme="majorBidi" w:cstheme="majorBidi"/>
          <w:color w:val="242424"/>
          <w:sz w:val="22"/>
          <w:szCs w:val="22"/>
          <w:lang w:val="en-GB"/>
        </w:rPr>
        <w:t>The indicator value for latest reporting year is compared with the indicator value for previous reporting year for assessment of continuity of progress since last report.</w:t>
      </w:r>
      <w:r w:rsidRPr="00ED7E61">
        <w:rPr>
          <w:rStyle w:val="eop"/>
          <w:rFonts w:asciiTheme="majorBidi" w:eastAsiaTheme="majorEastAsia" w:hAnsiTheme="majorBidi" w:cstheme="majorBidi"/>
          <w:color w:val="242424"/>
          <w:sz w:val="22"/>
          <w:szCs w:val="22"/>
        </w:rPr>
        <w:t> </w:t>
      </w:r>
    </w:p>
    <w:p w14:paraId="38C6D3CA" w14:textId="5B5B70B8" w:rsidR="00756F0F" w:rsidRPr="00ED7E61" w:rsidRDefault="00756F0F" w:rsidP="00395866">
      <w:pPr>
        <w:pStyle w:val="paragraph"/>
        <w:spacing w:before="0" w:beforeAutospacing="0" w:after="0" w:afterAutospacing="0"/>
        <w:textAlignment w:val="baseline"/>
        <w:rPr>
          <w:rStyle w:val="eop"/>
          <w:rFonts w:asciiTheme="majorBidi" w:eastAsiaTheme="majorEastAsia" w:hAnsiTheme="majorBidi" w:cstheme="majorBidi"/>
          <w:color w:val="242424"/>
          <w:sz w:val="22"/>
          <w:szCs w:val="22"/>
        </w:rPr>
      </w:pPr>
      <w:r w:rsidRPr="00ED7E61">
        <w:rPr>
          <w:rStyle w:val="normaltextrun"/>
          <w:rFonts w:asciiTheme="majorBidi" w:eastAsiaTheme="majorEastAsia" w:hAnsiTheme="majorBidi" w:cstheme="majorBidi"/>
          <w:color w:val="242424"/>
          <w:sz w:val="22"/>
          <w:szCs w:val="22"/>
          <w:lang w:val="en-GB"/>
        </w:rPr>
        <w:t xml:space="preserve">The ratio (r) between the current indicator value and the value reported for 2010 is calculated; r&gt;1 means an increase in areas under forest management plan, r&lt;1 means a decrease while 1 indicates no change. A narrow interval for r has been established to indicate a stable condition, and traffic-light </w:t>
      </w:r>
      <w:r w:rsidR="00C24132" w:rsidRPr="00ED7E61">
        <w:rPr>
          <w:rStyle w:val="normaltextrun"/>
          <w:rFonts w:asciiTheme="majorBidi" w:eastAsiaTheme="majorEastAsia" w:hAnsiTheme="majorBidi" w:cstheme="majorBidi"/>
          <w:color w:val="242424"/>
          <w:sz w:val="22"/>
          <w:szCs w:val="22"/>
          <w:lang w:val="en-GB"/>
        </w:rPr>
        <w:t>colours</w:t>
      </w:r>
      <w:r w:rsidRPr="00ED7E61">
        <w:rPr>
          <w:rStyle w:val="normaltextrun"/>
          <w:rFonts w:asciiTheme="majorBidi" w:eastAsiaTheme="majorEastAsia" w:hAnsiTheme="majorBidi" w:cstheme="majorBidi"/>
          <w:color w:val="242424"/>
          <w:sz w:val="22"/>
          <w:szCs w:val="22"/>
          <w:lang w:val="en-GB"/>
        </w:rPr>
        <w:t xml:space="preserve"> are assigned as follows:</w:t>
      </w:r>
      <w:r w:rsidRPr="00ED7E61">
        <w:rPr>
          <w:rStyle w:val="eop"/>
          <w:rFonts w:asciiTheme="majorBidi" w:eastAsiaTheme="majorEastAsia" w:hAnsiTheme="majorBidi" w:cstheme="majorBidi"/>
          <w:color w:val="242424"/>
          <w:sz w:val="22"/>
          <w:szCs w:val="22"/>
        </w:rPr>
        <w:t> </w:t>
      </w:r>
    </w:p>
    <w:p w14:paraId="400EAFFA" w14:textId="637646C7" w:rsidR="0040571C" w:rsidRPr="00ED7E61" w:rsidRDefault="0040571C" w:rsidP="005B0D1E">
      <w:pPr>
        <w:pStyle w:val="paragraph"/>
        <w:spacing w:before="0" w:beforeAutospacing="0" w:after="0" w:afterAutospacing="0"/>
        <w:jc w:val="center"/>
        <w:textAlignment w:val="baseline"/>
        <w:rPr>
          <w:rFonts w:asciiTheme="majorBidi" w:hAnsiTheme="majorBidi" w:cstheme="majorBidi"/>
          <w:sz w:val="22"/>
          <w:szCs w:val="22"/>
        </w:rPr>
      </w:pPr>
      <w:r w:rsidRPr="00ED7E61">
        <w:rPr>
          <w:rFonts w:asciiTheme="majorBidi" w:hAnsiTheme="majorBidi" w:cstheme="majorBidi"/>
          <w:noProof/>
          <w:sz w:val="22"/>
          <w:szCs w:val="22"/>
          <w:lang w:val="fr-FR" w:eastAsia="fr-FR"/>
        </w:rPr>
        <w:drawing>
          <wp:inline distT="0" distB="0" distL="0" distR="0" wp14:anchorId="4B863841" wp14:editId="36CCD762">
            <wp:extent cx="1644735" cy="635033"/>
            <wp:effectExtent l="0" t="0" r="0" b="0"/>
            <wp:docPr id="96264808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48083" name="Picture 1" descr="A black text on a white background&#10;&#10;Description automatically generated"/>
                    <pic:cNvPicPr/>
                  </pic:nvPicPr>
                  <pic:blipFill>
                    <a:blip r:embed="rId404"/>
                    <a:stretch>
                      <a:fillRect/>
                    </a:stretch>
                  </pic:blipFill>
                  <pic:spPr>
                    <a:xfrm>
                      <a:off x="0" y="0"/>
                      <a:ext cx="1644735" cy="635033"/>
                    </a:xfrm>
                    <a:prstGeom prst="rect">
                      <a:avLst/>
                    </a:prstGeom>
                  </pic:spPr>
                </pic:pic>
              </a:graphicData>
            </a:graphic>
          </wp:inline>
        </w:drawing>
      </w:r>
    </w:p>
    <w:p w14:paraId="6EA892A2" w14:textId="77777777" w:rsidR="00756F0F" w:rsidRPr="00ED7E61" w:rsidRDefault="00756F0F" w:rsidP="005B0D1E">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color w:val="242424"/>
          <w:sz w:val="22"/>
          <w:szCs w:val="22"/>
        </w:rPr>
        <w:t> </w:t>
      </w:r>
    </w:p>
    <w:p w14:paraId="540E4D9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Comment:</w:t>
      </w:r>
      <w:r w:rsidRPr="00ED7E61">
        <w:rPr>
          <w:rStyle w:val="eop"/>
          <w:rFonts w:asciiTheme="majorBidi" w:eastAsiaTheme="majorEastAsia" w:hAnsiTheme="majorBidi" w:cstheme="majorBidi"/>
          <w:color w:val="242424"/>
          <w:sz w:val="22"/>
          <w:szCs w:val="22"/>
        </w:rPr>
        <w:t> </w:t>
      </w:r>
    </w:p>
    <w:p w14:paraId="43C41DC8" w14:textId="77777777"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Using forest area in 2015 as denominator for estimating this indicator ensures that the time series of percentages reflect real changes in the forest area under forest management plan and is not affected by changes (losses or gains) in total forest area.</w:t>
      </w:r>
      <w:r w:rsidRPr="00ED7E61">
        <w:rPr>
          <w:rStyle w:val="eop"/>
          <w:rFonts w:asciiTheme="majorBidi" w:eastAsiaTheme="majorEastAsia" w:hAnsiTheme="majorBidi" w:cstheme="majorBidi"/>
          <w:color w:val="242424"/>
        </w:rPr>
        <w:t> </w:t>
      </w:r>
    </w:p>
    <w:p w14:paraId="55B75FC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242424"/>
          <w:sz w:val="22"/>
          <w:szCs w:val="22"/>
          <w:lang w:val="en-GB"/>
        </w:rPr>
        <w:t>Sub-indicator 5 – Forest area under an independently verified forest management certification scheme</w:t>
      </w:r>
      <w:r w:rsidRPr="00ED7E61">
        <w:rPr>
          <w:rStyle w:val="eop"/>
          <w:rFonts w:asciiTheme="majorBidi" w:eastAsiaTheme="majorEastAsia" w:hAnsiTheme="majorBidi" w:cstheme="majorBidi"/>
          <w:color w:val="242424"/>
          <w:sz w:val="22"/>
          <w:szCs w:val="22"/>
        </w:rPr>
        <w:t> </w:t>
      </w:r>
    </w:p>
    <w:p w14:paraId="76E1C16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lastRenderedPageBreak/>
        <w:t>Unit</w:t>
      </w:r>
      <w:r w:rsidRPr="00ED7E61">
        <w:rPr>
          <w:rStyle w:val="normaltextrun"/>
          <w:rFonts w:asciiTheme="majorBidi" w:eastAsiaTheme="majorEastAsia" w:hAnsiTheme="majorBidi" w:cstheme="majorBidi"/>
          <w:color w:val="242424"/>
          <w:sz w:val="22"/>
          <w:szCs w:val="22"/>
          <w:lang w:val="en-GB"/>
        </w:rPr>
        <w:t>: Thousand hectares</w:t>
      </w:r>
      <w:r w:rsidRPr="00ED7E61">
        <w:rPr>
          <w:rStyle w:val="eop"/>
          <w:rFonts w:asciiTheme="majorBidi" w:eastAsiaTheme="majorEastAsia" w:hAnsiTheme="majorBidi" w:cstheme="majorBidi"/>
          <w:color w:val="242424"/>
          <w:sz w:val="22"/>
          <w:szCs w:val="22"/>
        </w:rPr>
        <w:t> </w:t>
      </w:r>
    </w:p>
    <w:p w14:paraId="4DC6BA5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Reference year:</w:t>
      </w:r>
      <w:r w:rsidRPr="00ED7E61">
        <w:rPr>
          <w:rStyle w:val="normaltextrun"/>
          <w:rFonts w:asciiTheme="majorBidi" w:eastAsiaTheme="majorEastAsia" w:hAnsiTheme="majorBidi" w:cstheme="majorBidi"/>
          <w:color w:val="242424"/>
          <w:sz w:val="22"/>
          <w:szCs w:val="22"/>
          <w:lang w:val="en-GB"/>
        </w:rPr>
        <w:t> Latest reporting year (as of June 30)</w:t>
      </w:r>
      <w:r w:rsidRPr="00ED7E61">
        <w:rPr>
          <w:rStyle w:val="eop"/>
          <w:rFonts w:asciiTheme="majorBidi" w:eastAsiaTheme="majorEastAsia" w:hAnsiTheme="majorBidi" w:cstheme="majorBidi"/>
          <w:color w:val="242424"/>
          <w:sz w:val="22"/>
          <w:szCs w:val="22"/>
        </w:rPr>
        <w:t> </w:t>
      </w:r>
    </w:p>
    <w:p w14:paraId="5BE818C9" w14:textId="2449C6F6"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Method of estimation:</w:t>
      </w:r>
      <w:r w:rsidRPr="00ED7E61">
        <w:rPr>
          <w:rStyle w:val="normaltextrun"/>
          <w:rFonts w:asciiTheme="majorBidi" w:eastAsiaTheme="majorEastAsia" w:hAnsiTheme="majorBidi" w:cstheme="majorBidi"/>
          <w:color w:val="242424"/>
          <w:sz w:val="22"/>
          <w:szCs w:val="22"/>
          <w:lang w:val="en-GB"/>
        </w:rPr>
        <w:t xml:space="preserve"> Data </w:t>
      </w:r>
      <w:r w:rsidR="002042FD">
        <w:rPr>
          <w:rStyle w:val="normaltextrun"/>
          <w:rFonts w:asciiTheme="majorBidi" w:eastAsiaTheme="majorEastAsia" w:hAnsiTheme="majorBidi" w:cstheme="majorBidi"/>
          <w:color w:val="242424"/>
          <w:sz w:val="22"/>
          <w:szCs w:val="22"/>
          <w:lang w:val="en-GB"/>
        </w:rPr>
        <w:t>are</w:t>
      </w:r>
      <w:r w:rsidR="002042FD" w:rsidRPr="00ED7E61">
        <w:rPr>
          <w:rStyle w:val="normaltextrun"/>
          <w:rFonts w:asciiTheme="majorBidi" w:eastAsiaTheme="majorEastAsia" w:hAnsiTheme="majorBidi" w:cstheme="majorBidi"/>
          <w:color w:val="242424"/>
          <w:sz w:val="22"/>
          <w:szCs w:val="22"/>
          <w:lang w:val="en-GB"/>
        </w:rPr>
        <w:t xml:space="preserve"> </w:t>
      </w:r>
      <w:r w:rsidRPr="00ED7E61">
        <w:rPr>
          <w:rStyle w:val="normaltextrun"/>
          <w:rFonts w:asciiTheme="majorBidi" w:eastAsiaTheme="majorEastAsia" w:hAnsiTheme="majorBidi" w:cstheme="majorBidi"/>
          <w:color w:val="242424"/>
          <w:sz w:val="22"/>
          <w:szCs w:val="22"/>
          <w:lang w:val="en-GB"/>
        </w:rPr>
        <w:t>collected directly from the databases of each certification scheme and provided to countries for validation.</w:t>
      </w:r>
      <w:r w:rsidRPr="00ED7E61">
        <w:rPr>
          <w:rStyle w:val="eop"/>
          <w:rFonts w:asciiTheme="majorBidi" w:eastAsiaTheme="majorEastAsia" w:hAnsiTheme="majorBidi" w:cstheme="majorBidi"/>
          <w:color w:val="242424"/>
          <w:sz w:val="22"/>
          <w:szCs w:val="22"/>
        </w:rPr>
        <w:t> </w:t>
      </w:r>
    </w:p>
    <w:p w14:paraId="720BCE27" w14:textId="2E78F989"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Translation to dashboard/traffic light:</w:t>
      </w:r>
      <w:r w:rsidRPr="00ED7E61">
        <w:rPr>
          <w:rStyle w:val="normaltextrun"/>
          <w:rFonts w:asciiTheme="majorBidi" w:eastAsiaTheme="majorEastAsia" w:hAnsiTheme="majorBidi" w:cstheme="majorBidi"/>
          <w:color w:val="242424"/>
          <w:sz w:val="22"/>
          <w:szCs w:val="22"/>
          <w:lang w:val="en-GB"/>
        </w:rPr>
        <w:t xml:space="preserve"> The indicator value for latest reporting year is compared with the indicator value for </w:t>
      </w:r>
      <w:r w:rsidR="0037197A">
        <w:rPr>
          <w:rStyle w:val="normaltextrun"/>
          <w:rFonts w:asciiTheme="majorBidi" w:eastAsiaTheme="majorEastAsia" w:hAnsiTheme="majorBidi" w:cstheme="majorBidi"/>
          <w:color w:val="242424"/>
          <w:sz w:val="22"/>
          <w:szCs w:val="22"/>
          <w:lang w:val="en-GB"/>
        </w:rPr>
        <w:t xml:space="preserve">the </w:t>
      </w:r>
      <w:r w:rsidRPr="00ED7E61">
        <w:rPr>
          <w:rStyle w:val="normaltextrun"/>
          <w:rFonts w:asciiTheme="majorBidi" w:eastAsiaTheme="majorEastAsia" w:hAnsiTheme="majorBidi" w:cstheme="majorBidi"/>
          <w:color w:val="242424"/>
          <w:sz w:val="22"/>
          <w:szCs w:val="22"/>
          <w:lang w:val="en-GB"/>
        </w:rPr>
        <w:t>previous reporting year</w:t>
      </w:r>
      <w:r w:rsidR="0037197A">
        <w:rPr>
          <w:rStyle w:val="normaltextrun"/>
          <w:rFonts w:asciiTheme="majorBidi" w:eastAsiaTheme="majorEastAsia" w:hAnsiTheme="majorBidi" w:cstheme="majorBidi"/>
          <w:color w:val="242424"/>
          <w:sz w:val="22"/>
          <w:szCs w:val="22"/>
          <w:lang w:val="en-GB"/>
        </w:rPr>
        <w:t xml:space="preserve">, to </w:t>
      </w:r>
      <w:r w:rsidRPr="00ED7E61">
        <w:rPr>
          <w:rStyle w:val="normaltextrun"/>
          <w:rFonts w:asciiTheme="majorBidi" w:eastAsiaTheme="majorEastAsia" w:hAnsiTheme="majorBidi" w:cstheme="majorBidi"/>
          <w:color w:val="242424"/>
          <w:sz w:val="22"/>
          <w:szCs w:val="22"/>
          <w:lang w:val="en-GB"/>
        </w:rPr>
        <w:t xml:space="preserve">assess continuity of progress since </w:t>
      </w:r>
      <w:r w:rsidR="0037197A">
        <w:rPr>
          <w:rStyle w:val="normaltextrun"/>
          <w:rFonts w:asciiTheme="majorBidi" w:eastAsiaTheme="majorEastAsia" w:hAnsiTheme="majorBidi" w:cstheme="majorBidi"/>
          <w:color w:val="242424"/>
          <w:sz w:val="22"/>
          <w:szCs w:val="22"/>
          <w:lang w:val="en-GB"/>
        </w:rPr>
        <w:t xml:space="preserve">the </w:t>
      </w:r>
      <w:r w:rsidRPr="00ED7E61">
        <w:rPr>
          <w:rStyle w:val="normaltextrun"/>
          <w:rFonts w:asciiTheme="majorBidi" w:eastAsiaTheme="majorEastAsia" w:hAnsiTheme="majorBidi" w:cstheme="majorBidi"/>
          <w:color w:val="242424"/>
          <w:sz w:val="22"/>
          <w:szCs w:val="22"/>
          <w:lang w:val="en-GB"/>
        </w:rPr>
        <w:t>last report.</w:t>
      </w:r>
      <w:r w:rsidRPr="00ED7E61">
        <w:rPr>
          <w:rStyle w:val="eop"/>
          <w:rFonts w:asciiTheme="majorBidi" w:eastAsiaTheme="majorEastAsia" w:hAnsiTheme="majorBidi" w:cstheme="majorBidi"/>
          <w:color w:val="242424"/>
          <w:sz w:val="22"/>
          <w:szCs w:val="22"/>
        </w:rPr>
        <w:t> </w:t>
      </w:r>
    </w:p>
    <w:p w14:paraId="22DABB82" w14:textId="77777777" w:rsidR="0037197A" w:rsidRDefault="0037197A" w:rsidP="00395866">
      <w:pPr>
        <w:pStyle w:val="paragraph"/>
        <w:spacing w:before="0" w:beforeAutospacing="0" w:after="0" w:afterAutospacing="0"/>
        <w:textAlignment w:val="baseline"/>
        <w:rPr>
          <w:rStyle w:val="normaltextrun"/>
          <w:rFonts w:asciiTheme="majorBidi" w:eastAsiaTheme="majorEastAsia" w:hAnsiTheme="majorBidi" w:cstheme="majorBidi"/>
          <w:color w:val="242424"/>
          <w:sz w:val="22"/>
          <w:szCs w:val="22"/>
          <w:lang w:val="en-GB"/>
        </w:rPr>
      </w:pPr>
    </w:p>
    <w:p w14:paraId="49F0A707" w14:textId="28E59E60"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lang w:val="en-GB"/>
        </w:rPr>
        <w:t xml:space="preserve">The ratio (r) between the current indicator value and the previously reported value is calculated; r&gt;1 means an increase in areas under an independent forest management certification scheme, r&lt;1 means a decrease while 1 indicates no change. A small interval for r </w:t>
      </w:r>
      <w:r w:rsidR="0094728F">
        <w:rPr>
          <w:rStyle w:val="normaltextrun"/>
          <w:rFonts w:asciiTheme="majorBidi" w:eastAsiaTheme="majorEastAsia" w:hAnsiTheme="majorBidi" w:cstheme="majorBidi"/>
          <w:color w:val="242424"/>
          <w:sz w:val="22"/>
          <w:szCs w:val="22"/>
          <w:lang w:val="en-GB"/>
        </w:rPr>
        <w:t xml:space="preserve">close to 1 </w:t>
      </w:r>
      <w:r w:rsidRPr="00ED7E61">
        <w:rPr>
          <w:rStyle w:val="normaltextrun"/>
          <w:rFonts w:asciiTheme="majorBidi" w:eastAsiaTheme="majorEastAsia" w:hAnsiTheme="majorBidi" w:cstheme="majorBidi"/>
          <w:color w:val="242424"/>
          <w:sz w:val="22"/>
          <w:szCs w:val="22"/>
          <w:lang w:val="en-GB"/>
        </w:rPr>
        <w:t xml:space="preserve">has been established to indicate a stable condition, and traffic-light </w:t>
      </w:r>
      <w:r w:rsidR="00C24132" w:rsidRPr="00ED7E61">
        <w:rPr>
          <w:rStyle w:val="normaltextrun"/>
          <w:rFonts w:asciiTheme="majorBidi" w:eastAsiaTheme="majorEastAsia" w:hAnsiTheme="majorBidi" w:cstheme="majorBidi"/>
          <w:color w:val="242424"/>
          <w:sz w:val="22"/>
          <w:szCs w:val="22"/>
          <w:lang w:val="en-GB"/>
        </w:rPr>
        <w:t>colours</w:t>
      </w:r>
      <w:r w:rsidRPr="00ED7E61">
        <w:rPr>
          <w:rStyle w:val="normaltextrun"/>
          <w:rFonts w:asciiTheme="majorBidi" w:eastAsiaTheme="majorEastAsia" w:hAnsiTheme="majorBidi" w:cstheme="majorBidi"/>
          <w:color w:val="242424"/>
          <w:sz w:val="22"/>
          <w:szCs w:val="22"/>
          <w:lang w:val="en-GB"/>
        </w:rPr>
        <w:t xml:space="preserve"> are assigned as follows:</w:t>
      </w:r>
      <w:r w:rsidRPr="00ED7E61">
        <w:rPr>
          <w:rStyle w:val="eop"/>
          <w:rFonts w:asciiTheme="majorBidi" w:eastAsiaTheme="majorEastAsia" w:hAnsiTheme="majorBidi" w:cstheme="majorBidi"/>
          <w:color w:val="242424"/>
          <w:sz w:val="22"/>
          <w:szCs w:val="22"/>
        </w:rPr>
        <w:t> </w:t>
      </w:r>
    </w:p>
    <w:p w14:paraId="304490EF" w14:textId="200EEAEE" w:rsidR="00756F0F" w:rsidRPr="00ED7E61" w:rsidRDefault="0040571C" w:rsidP="00395866">
      <w:pPr>
        <w:pStyle w:val="paragraph"/>
        <w:spacing w:before="0" w:beforeAutospacing="0" w:after="0" w:afterAutospacing="0"/>
        <w:ind w:firstLine="72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noProof/>
          <w:color w:val="242424"/>
          <w:sz w:val="22"/>
          <w:szCs w:val="22"/>
          <w:lang w:val="fr-FR" w:eastAsia="fr-FR"/>
        </w:rPr>
        <w:drawing>
          <wp:inline distT="0" distB="0" distL="0" distR="0" wp14:anchorId="77577BBB" wp14:editId="4ACE1B83">
            <wp:extent cx="1530429" cy="685835"/>
            <wp:effectExtent l="0" t="0" r="0" b="0"/>
            <wp:docPr id="1045897140" name="Picture 1" descr="A number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97140" name="Picture 1" descr="A number on a white background&#10;&#10;Description automatically generated"/>
                    <pic:cNvPicPr/>
                  </pic:nvPicPr>
                  <pic:blipFill>
                    <a:blip r:embed="rId405"/>
                    <a:stretch>
                      <a:fillRect/>
                    </a:stretch>
                  </pic:blipFill>
                  <pic:spPr>
                    <a:xfrm>
                      <a:off x="0" y="0"/>
                      <a:ext cx="1530429" cy="685835"/>
                    </a:xfrm>
                    <a:prstGeom prst="rect">
                      <a:avLst/>
                    </a:prstGeom>
                  </pic:spPr>
                </pic:pic>
              </a:graphicData>
            </a:graphic>
          </wp:inline>
        </w:drawing>
      </w:r>
      <w:r w:rsidR="00756F0F" w:rsidRPr="00ED7E61">
        <w:rPr>
          <w:rStyle w:val="eop"/>
          <w:rFonts w:asciiTheme="majorBidi" w:eastAsiaTheme="majorEastAsia" w:hAnsiTheme="majorBidi" w:cstheme="majorBidi"/>
          <w:color w:val="242424"/>
          <w:sz w:val="22"/>
          <w:szCs w:val="22"/>
        </w:rPr>
        <w:t> </w:t>
      </w:r>
    </w:p>
    <w:p w14:paraId="5178EF0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242424"/>
          <w:sz w:val="22"/>
          <w:szCs w:val="22"/>
          <w:u w:val="single"/>
          <w:lang w:val="en-GB"/>
        </w:rPr>
        <w:t>Comments:</w:t>
      </w:r>
      <w:r w:rsidRPr="00ED7E61">
        <w:rPr>
          <w:rStyle w:val="eop"/>
          <w:rFonts w:asciiTheme="majorBidi" w:eastAsiaTheme="majorEastAsia" w:hAnsiTheme="majorBidi" w:cstheme="majorBidi"/>
          <w:color w:val="242424"/>
          <w:sz w:val="22"/>
          <w:szCs w:val="22"/>
        </w:rPr>
        <w:t> </w:t>
      </w:r>
    </w:p>
    <w:p w14:paraId="2777917A" w14:textId="0C921333"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 xml:space="preserve">Using June 30 as the date for reporting, allows the certification bodies to </w:t>
      </w:r>
      <w:r w:rsidR="0094728F">
        <w:rPr>
          <w:rStyle w:val="normaltextrun"/>
          <w:rFonts w:asciiTheme="majorBidi" w:eastAsiaTheme="majorEastAsia" w:hAnsiTheme="majorBidi" w:cstheme="majorBidi"/>
          <w:color w:val="242424"/>
        </w:rPr>
        <w:t>update</w:t>
      </w:r>
      <w:r w:rsidR="0094728F" w:rsidRPr="00ED7E61">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 xml:space="preserve">their databases </w:t>
      </w:r>
      <w:r w:rsidR="0094728F">
        <w:rPr>
          <w:rStyle w:val="normaltextrun"/>
          <w:rFonts w:asciiTheme="majorBidi" w:eastAsiaTheme="majorEastAsia" w:hAnsiTheme="majorBidi" w:cstheme="majorBidi"/>
          <w:color w:val="242424"/>
        </w:rPr>
        <w:t>and then</w:t>
      </w:r>
      <w:r w:rsidRPr="00ED7E61">
        <w:rPr>
          <w:rStyle w:val="normaltextrun"/>
          <w:rFonts w:asciiTheme="majorBidi" w:eastAsiaTheme="majorEastAsia" w:hAnsiTheme="majorBidi" w:cstheme="majorBidi"/>
          <w:color w:val="242424"/>
        </w:rPr>
        <w:t xml:space="preserve"> provide information to FAO by end of the year, </w:t>
      </w:r>
      <w:r w:rsidR="007C2678">
        <w:rPr>
          <w:rStyle w:val="normaltextrun"/>
          <w:rFonts w:asciiTheme="majorBidi" w:eastAsiaTheme="majorEastAsia" w:hAnsiTheme="majorBidi" w:cstheme="majorBidi"/>
          <w:color w:val="242424"/>
        </w:rPr>
        <w:t xml:space="preserve">such that the updated data can </w:t>
      </w:r>
      <w:r w:rsidRPr="00ED7E61">
        <w:rPr>
          <w:rStyle w:val="normaltextrun"/>
          <w:rFonts w:asciiTheme="majorBidi" w:eastAsiaTheme="majorEastAsia" w:hAnsiTheme="majorBidi" w:cstheme="majorBidi"/>
          <w:color w:val="242424"/>
        </w:rPr>
        <w:t xml:space="preserve">be included in the annual </w:t>
      </w:r>
      <w:r w:rsidR="007C2678">
        <w:rPr>
          <w:rStyle w:val="normaltextrun"/>
          <w:rFonts w:asciiTheme="majorBidi" w:eastAsiaTheme="majorEastAsia" w:hAnsiTheme="majorBidi" w:cstheme="majorBidi"/>
          <w:color w:val="242424"/>
        </w:rPr>
        <w:t xml:space="preserve">SDG </w:t>
      </w:r>
      <w:r w:rsidRPr="00ED7E61">
        <w:rPr>
          <w:rStyle w:val="normaltextrun"/>
          <w:rFonts w:asciiTheme="majorBidi" w:eastAsiaTheme="majorEastAsia" w:hAnsiTheme="majorBidi" w:cstheme="majorBidi"/>
          <w:color w:val="242424"/>
        </w:rPr>
        <w:t>reporting in the beginning of the following year.</w:t>
      </w:r>
      <w:r w:rsidRPr="00ED7E61">
        <w:rPr>
          <w:rStyle w:val="eop"/>
          <w:rFonts w:asciiTheme="majorBidi" w:eastAsiaTheme="majorEastAsia" w:hAnsiTheme="majorBidi" w:cstheme="majorBidi"/>
          <w:color w:val="242424"/>
        </w:rPr>
        <w:t> </w:t>
      </w:r>
    </w:p>
    <w:p w14:paraId="3114C14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0448617F" w14:textId="1362E60F" w:rsidR="00756F0F" w:rsidRPr="00ED7E61" w:rsidRDefault="00756F0F" w:rsidP="00B10F0C">
      <w:pPr>
        <w:pStyle w:val="CBDNormalNumber"/>
        <w:numPr>
          <w:ilvl w:val="0"/>
          <w:numId w:val="84"/>
        </w:numPr>
        <w:shd w:val="clear" w:color="auto" w:fill="FFFFFF"/>
        <w:ind w:left="567" w:firstLine="0"/>
        <w:rPr>
          <w:rStyle w:val="normaltextrun"/>
          <w:rFonts w:eastAsiaTheme="majorEastAsia"/>
          <w:color w:val="242424"/>
        </w:rPr>
      </w:pPr>
      <w:r w:rsidRPr="00ED7E61">
        <w:rPr>
          <w:rStyle w:val="normaltextrun"/>
          <w:rFonts w:asciiTheme="majorBidi" w:eastAsiaTheme="majorEastAsia" w:hAnsiTheme="majorBidi" w:cstheme="majorBidi"/>
          <w:color w:val="242424"/>
        </w:rPr>
        <w:t>See above</w:t>
      </w:r>
      <w:r w:rsidR="00F17A66">
        <w:rPr>
          <w:rStyle w:val="normaltextrun"/>
          <w:rFonts w:asciiTheme="majorBidi" w:eastAsiaTheme="majorEastAsia" w:hAnsiTheme="majorBidi" w:cstheme="majorBidi"/>
          <w:color w:val="242424"/>
        </w:rPr>
        <w:t>.</w:t>
      </w:r>
      <w:r w:rsidRPr="00ED7E61">
        <w:rPr>
          <w:rStyle w:val="normaltextrun"/>
        </w:rPr>
        <w:t> </w:t>
      </w:r>
    </w:p>
    <w:p w14:paraId="67D0F34A"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561259E3" w14:textId="77777777"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The data for sub-indicators 1 to 4 are reported to FAO by National Correspondents, national experts officially nominated by the countries to coordinate compilation of data from different national sources. The FRA National Correspondent network currently covers 187 countries and territories. National Correspondents compile country reports using commonly agreed terms and definitions and a standardized reporting methodology. The actual reporting is facilitated by a dedicated online platform, where all the National Correspondents are asked to document data sources and how they computed and reclassified data to comply with the international definitions.</w:t>
      </w:r>
      <w:r w:rsidRPr="00ED7E61">
        <w:rPr>
          <w:rStyle w:val="eop"/>
          <w:rFonts w:asciiTheme="majorBidi" w:eastAsiaTheme="majorEastAsia" w:hAnsiTheme="majorBidi" w:cstheme="majorBidi"/>
          <w:color w:val="242424"/>
        </w:rPr>
        <w:t> </w:t>
      </w:r>
    </w:p>
    <w:p w14:paraId="190F4AE9" w14:textId="77777777"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For sub-indicator 5, forest certification, data are provided by head offices of respective forest certification scheme.</w:t>
      </w:r>
      <w:r w:rsidRPr="00ED7E61">
        <w:rPr>
          <w:rStyle w:val="eop"/>
          <w:rFonts w:asciiTheme="majorBidi" w:eastAsiaTheme="majorEastAsia" w:hAnsiTheme="majorBidi" w:cstheme="majorBidi"/>
          <w:color w:val="242424"/>
        </w:rPr>
        <w:t> </w:t>
      </w:r>
    </w:p>
    <w:p w14:paraId="7AB98044" w14:textId="77777777"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Data reported by countries to FAO are subject to a rigorous review process to ensure correct use of definitions and methodology as well as internal consistency. A comparison is made with past assessments and other existing data sources. Regular contacts between national correspondents and FAO staff by e-mail and regional/sub-regional review workshops form part of this review process.</w:t>
      </w:r>
      <w:r w:rsidRPr="00ED7E61">
        <w:rPr>
          <w:rStyle w:val="eop"/>
          <w:rFonts w:asciiTheme="majorBidi" w:eastAsiaTheme="majorEastAsia" w:hAnsiTheme="majorBidi" w:cstheme="majorBidi"/>
          <w:color w:val="242424"/>
        </w:rPr>
        <w:t> </w:t>
      </w:r>
    </w:p>
    <w:p w14:paraId="397AB6AD" w14:textId="4AFE62C4"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All data submitted by countries to FRA, including the FAO estimates made in case of desk studies, are available at the FRA online platform (</w:t>
      </w:r>
      <w:hyperlink r:id="rId406" w:tgtFrame="_blank" w:history="1">
        <w:r w:rsidRPr="00ED7E61">
          <w:rPr>
            <w:rStyle w:val="normaltextrun"/>
            <w:rFonts w:asciiTheme="majorBidi" w:eastAsiaTheme="majorEastAsia" w:hAnsiTheme="majorBidi" w:cstheme="majorBidi"/>
            <w:color w:val="467886"/>
            <w:u w:val="single"/>
          </w:rPr>
          <w:t>https://fra-data.fao.org</w:t>
        </w:r>
      </w:hyperlink>
      <w:r w:rsidRPr="00ED7E61">
        <w:rPr>
          <w:rStyle w:val="normaltextrun"/>
          <w:rFonts w:asciiTheme="majorBidi" w:eastAsiaTheme="majorEastAsia" w:hAnsiTheme="majorBidi" w:cstheme="majorBidi"/>
          <w:color w:val="242424"/>
        </w:rPr>
        <w:t xml:space="preserve">). The platform also includes the sub-indicators for </w:t>
      </w:r>
      <w:r w:rsidR="00F17A66">
        <w:rPr>
          <w:rStyle w:val="normaltextrun"/>
          <w:rFonts w:asciiTheme="majorBidi" w:eastAsiaTheme="majorEastAsia" w:hAnsiTheme="majorBidi" w:cstheme="majorBidi"/>
          <w:color w:val="242424"/>
        </w:rPr>
        <w:t xml:space="preserve">SDG </w:t>
      </w:r>
      <w:r w:rsidRPr="00ED7E61">
        <w:rPr>
          <w:rStyle w:val="normaltextrun"/>
          <w:rFonts w:asciiTheme="majorBidi" w:eastAsiaTheme="majorEastAsia" w:hAnsiTheme="majorBidi" w:cstheme="majorBidi"/>
          <w:color w:val="242424"/>
        </w:rPr>
        <w:t>15.2.1</w:t>
      </w:r>
      <w:r w:rsidR="00F17A66">
        <w:rPr>
          <w:rStyle w:val="normaltextrun"/>
          <w:rFonts w:asciiTheme="majorBidi" w:eastAsiaTheme="majorEastAsia" w:hAnsiTheme="majorBidi" w:cstheme="majorBidi"/>
          <w:color w:val="242424"/>
        </w:rPr>
        <w:t xml:space="preserve"> indicator</w:t>
      </w:r>
      <w:r w:rsidRPr="00ED7E61">
        <w:rPr>
          <w:rStyle w:val="normaltextrun"/>
          <w:rFonts w:asciiTheme="majorBidi" w:eastAsiaTheme="majorEastAsia" w:hAnsiTheme="majorBidi" w:cstheme="majorBidi"/>
          <w:color w:val="242424"/>
        </w:rPr>
        <w:t>. A request for validation is sent to the respective Head of Forestry before finalization and publishing of data.</w:t>
      </w:r>
      <w:r w:rsidRPr="00ED7E61">
        <w:rPr>
          <w:rStyle w:val="eop"/>
          <w:rFonts w:asciiTheme="majorBidi" w:eastAsiaTheme="majorEastAsia" w:hAnsiTheme="majorBidi" w:cstheme="majorBidi"/>
          <w:color w:val="242424"/>
        </w:rPr>
        <w:t> </w:t>
      </w:r>
    </w:p>
    <w:p w14:paraId="33BEDBFF" w14:textId="77777777" w:rsidR="00756F0F" w:rsidRPr="00812871" w:rsidRDefault="00756F0F" w:rsidP="00812871">
      <w:pPr>
        <w:pStyle w:val="paragraph"/>
        <w:pBdr>
          <w:bottom w:val="single" w:sz="4" w:space="1" w:color="000000"/>
        </w:pBdr>
        <w:spacing w:before="120" w:beforeAutospacing="0" w:after="0" w:afterAutospacing="0"/>
        <w:textAlignment w:val="baseline"/>
        <w:rPr>
          <w:rStyle w:val="normaltextrun"/>
          <w:rFonts w:eastAsiaTheme="majorEastAsia"/>
          <w:b/>
          <w:bCs/>
        </w:rPr>
      </w:pPr>
      <w:r w:rsidRPr="00ED7E61">
        <w:rPr>
          <w:rStyle w:val="normaltextrun"/>
          <w:rFonts w:asciiTheme="majorBidi" w:eastAsiaTheme="majorEastAsia" w:hAnsiTheme="majorBidi" w:cstheme="majorBidi"/>
          <w:b/>
          <w:bCs/>
          <w:sz w:val="22"/>
          <w:szCs w:val="22"/>
        </w:rPr>
        <w:t>7. Other MEAs, processes and organisations</w:t>
      </w:r>
      <w:r w:rsidRPr="00812871">
        <w:rPr>
          <w:rStyle w:val="normaltextrun"/>
          <w:rFonts w:eastAsiaTheme="majorEastAsia"/>
          <w:b/>
          <w:bCs/>
        </w:rPr>
        <w:t> </w:t>
      </w:r>
    </w:p>
    <w:p w14:paraId="7CF40FBE" w14:textId="77777777" w:rsidR="00756F0F" w:rsidRPr="00ED7E61" w:rsidRDefault="00756F0F" w:rsidP="00812871">
      <w:pPr>
        <w:pStyle w:val="CBDNormalNumber"/>
        <w:numPr>
          <w:ilvl w:val="0"/>
          <w:numId w:val="84"/>
        </w:numPr>
        <w:shd w:val="clear" w:color="auto" w:fill="FFFFFF"/>
        <w:ind w:left="567" w:firstLine="0"/>
        <w:rPr>
          <w:rFonts w:asciiTheme="majorBidi" w:hAnsiTheme="majorBidi" w:cstheme="majorBidi"/>
        </w:rPr>
      </w:pPr>
      <w:r w:rsidRPr="00812871">
        <w:rPr>
          <w:rStyle w:val="normaltextrun"/>
          <w:rFonts w:asciiTheme="majorBidi" w:eastAsiaTheme="majorEastAsia" w:hAnsiTheme="majorBidi" w:cstheme="majorBidi"/>
          <w:color w:val="242424"/>
        </w:rPr>
        <w:t>The indicator is the Sustainable Development Goal (SDG) indicator 15.2.1</w:t>
      </w:r>
      <w:r w:rsidRPr="00812871">
        <w:rPr>
          <w:rStyle w:val="normaltextrun"/>
          <w:color w:val="242424"/>
        </w:rPr>
        <w:t> </w:t>
      </w:r>
    </w:p>
    <w:p w14:paraId="46509ACC" w14:textId="68756339" w:rsidR="00756F0F" w:rsidRPr="00ED7E61" w:rsidRDefault="00756F0F" w:rsidP="005D1978">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1D4F4B85" w14:textId="006C2252"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 xml:space="preserve">The FRA guidelines includes data disaggregation by </w:t>
      </w:r>
      <w:r w:rsidR="00C24132">
        <w:rPr>
          <w:rStyle w:val="normaltextrun"/>
          <w:rFonts w:asciiTheme="majorBidi" w:eastAsiaTheme="majorEastAsia" w:hAnsiTheme="majorBidi" w:cstheme="majorBidi"/>
          <w:color w:val="242424"/>
        </w:rPr>
        <w:t>i</w:t>
      </w:r>
      <w:r w:rsidRPr="00ED7E61">
        <w:rPr>
          <w:rStyle w:val="normaltextrun"/>
          <w:rFonts w:asciiTheme="majorBidi" w:eastAsiaTheme="majorEastAsia" w:hAnsiTheme="majorBidi" w:cstheme="majorBidi"/>
          <w:color w:val="242424"/>
        </w:rPr>
        <w:t xml:space="preserve">ndigenous peoples and local communities for forest ownership and management rights. This means countries have the tools and guidance and thus possibly the capability to produce disaggregated estimates by </w:t>
      </w:r>
      <w:r w:rsidR="00B929B4">
        <w:rPr>
          <w:rStyle w:val="normaltextrun"/>
          <w:rFonts w:asciiTheme="majorBidi" w:eastAsiaTheme="majorEastAsia" w:hAnsiTheme="majorBidi" w:cstheme="majorBidi"/>
          <w:color w:val="000000"/>
          <w:lang w:val="en-AU"/>
        </w:rPr>
        <w:t>i</w:t>
      </w:r>
      <w:r w:rsidR="00B929B4" w:rsidRPr="00ED7E61">
        <w:rPr>
          <w:rStyle w:val="normaltextrun"/>
          <w:rFonts w:asciiTheme="majorBidi" w:eastAsiaTheme="majorEastAsia" w:hAnsiTheme="majorBidi" w:cstheme="majorBidi"/>
          <w:color w:val="000000"/>
          <w:lang w:val="en-AU"/>
        </w:rPr>
        <w:t xml:space="preserve">ndigenous </w:t>
      </w:r>
      <w:r w:rsidR="00B929B4">
        <w:rPr>
          <w:rStyle w:val="normaltextrun"/>
          <w:rFonts w:asciiTheme="majorBidi" w:eastAsiaTheme="majorEastAsia" w:hAnsiTheme="majorBidi" w:cstheme="majorBidi"/>
          <w:color w:val="000000"/>
          <w:lang w:val="en-AU"/>
        </w:rPr>
        <w:t>p</w:t>
      </w:r>
      <w:r w:rsidR="00B929B4" w:rsidRPr="00ED7E61">
        <w:rPr>
          <w:rStyle w:val="normaltextrun"/>
          <w:rFonts w:asciiTheme="majorBidi" w:eastAsiaTheme="majorEastAsia" w:hAnsiTheme="majorBidi" w:cstheme="majorBidi"/>
          <w:color w:val="000000"/>
          <w:lang w:val="en-AU"/>
        </w:rPr>
        <w:t xml:space="preserve">eoples and </w:t>
      </w:r>
      <w:r w:rsidR="00B929B4">
        <w:rPr>
          <w:rStyle w:val="normaltextrun"/>
          <w:rFonts w:asciiTheme="majorBidi" w:eastAsiaTheme="majorEastAsia" w:hAnsiTheme="majorBidi" w:cstheme="majorBidi"/>
          <w:color w:val="000000"/>
          <w:lang w:val="en-AU"/>
        </w:rPr>
        <w:t>l</w:t>
      </w:r>
      <w:r w:rsidR="00B929B4" w:rsidRPr="00ED7E61">
        <w:rPr>
          <w:rStyle w:val="normaltextrun"/>
          <w:rFonts w:asciiTheme="majorBidi" w:eastAsiaTheme="majorEastAsia" w:hAnsiTheme="majorBidi" w:cstheme="majorBidi"/>
          <w:color w:val="000000"/>
          <w:lang w:val="en-AU"/>
        </w:rPr>
        <w:t xml:space="preserve">ocal </w:t>
      </w:r>
      <w:r w:rsidR="00B929B4">
        <w:rPr>
          <w:rStyle w:val="normaltextrun"/>
          <w:rFonts w:asciiTheme="majorBidi" w:eastAsiaTheme="majorEastAsia" w:hAnsiTheme="majorBidi" w:cstheme="majorBidi"/>
          <w:color w:val="000000"/>
          <w:lang w:val="en-AU"/>
        </w:rPr>
        <w:t>c</w:t>
      </w:r>
      <w:r w:rsidR="00B929B4" w:rsidRPr="00ED7E61">
        <w:rPr>
          <w:rStyle w:val="normaltextrun"/>
          <w:rFonts w:asciiTheme="majorBidi" w:eastAsiaTheme="majorEastAsia" w:hAnsiTheme="majorBidi" w:cstheme="majorBidi"/>
          <w:color w:val="000000"/>
          <w:lang w:val="en-AU"/>
        </w:rPr>
        <w:t xml:space="preserve">ommunities </w:t>
      </w:r>
      <w:r w:rsidRPr="00ED7E61">
        <w:rPr>
          <w:rStyle w:val="normaltextrun"/>
          <w:rFonts w:asciiTheme="majorBidi" w:eastAsiaTheme="majorEastAsia" w:hAnsiTheme="majorBidi" w:cstheme="majorBidi"/>
          <w:color w:val="242424"/>
        </w:rPr>
        <w:t xml:space="preserve">ownership/management rights (provided countries wish and have the requirement to collect and report data at the national level). Countries are encouraged to report on </w:t>
      </w:r>
      <w:r w:rsidRPr="00ED7E61">
        <w:rPr>
          <w:rStyle w:val="normaltextrun"/>
          <w:rFonts w:asciiTheme="majorBidi" w:eastAsiaTheme="majorEastAsia" w:hAnsiTheme="majorBidi" w:cstheme="majorBidi"/>
          <w:color w:val="242424"/>
        </w:rPr>
        <w:lastRenderedPageBreak/>
        <w:t>the elements related to forest ownership and management rights, noting that these attributes contribute to the long-term effectiveness of forest management. </w:t>
      </w:r>
      <w:r w:rsidRPr="00ED7E61">
        <w:rPr>
          <w:rStyle w:val="eop"/>
          <w:rFonts w:asciiTheme="majorBidi" w:eastAsiaTheme="majorEastAsia" w:hAnsiTheme="majorBidi" w:cstheme="majorBidi"/>
          <w:color w:val="242424"/>
        </w:rPr>
        <w:t> </w:t>
      </w:r>
    </w:p>
    <w:p w14:paraId="0610E4C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5124F690" w14:textId="4F1B2472" w:rsidR="00756F0F" w:rsidRPr="00ED7E61" w:rsidRDefault="00756F0F" w:rsidP="00B10F0C">
      <w:pPr>
        <w:pStyle w:val="CBDNormalNumber"/>
        <w:numPr>
          <w:ilvl w:val="0"/>
          <w:numId w:val="8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242424"/>
        </w:rPr>
        <w:t xml:space="preserve">The indicator is linked to Goal </w:t>
      </w:r>
      <w:proofErr w:type="gramStart"/>
      <w:r w:rsidRPr="00ED7E61">
        <w:rPr>
          <w:rStyle w:val="normaltextrun"/>
          <w:rFonts w:asciiTheme="majorBidi" w:eastAsiaTheme="majorEastAsia" w:hAnsiTheme="majorBidi" w:cstheme="majorBidi"/>
          <w:color w:val="242424"/>
        </w:rPr>
        <w:t>A</w:t>
      </w:r>
      <w:proofErr w:type="gramEnd"/>
      <w:r w:rsidRPr="00ED7E61">
        <w:rPr>
          <w:rStyle w:val="normaltextrun"/>
          <w:rFonts w:asciiTheme="majorBidi" w:eastAsiaTheme="majorEastAsia" w:hAnsiTheme="majorBidi" w:cstheme="majorBidi"/>
          <w:color w:val="242424"/>
        </w:rPr>
        <w:t xml:space="preserve"> Indicator “</w:t>
      </w:r>
      <w:r w:rsidRPr="00FB1598">
        <w:rPr>
          <w:rStyle w:val="normaltextrun"/>
          <w:rFonts w:asciiTheme="majorBidi" w:eastAsiaTheme="majorEastAsia" w:hAnsiTheme="majorBidi" w:cstheme="majorBidi"/>
          <w:i/>
          <w:iCs/>
          <w:color w:val="242424"/>
        </w:rPr>
        <w:t>extent of natural ecosystems by type</w:t>
      </w:r>
      <w:r w:rsidRPr="00ED7E61">
        <w:rPr>
          <w:rStyle w:val="normaltextrun"/>
          <w:rFonts w:asciiTheme="majorBidi" w:eastAsiaTheme="majorEastAsia" w:hAnsiTheme="majorBidi" w:cstheme="majorBidi"/>
          <w:color w:val="242424"/>
        </w:rPr>
        <w:t>” (forest data), and Goal B “</w:t>
      </w:r>
      <w:r w:rsidRPr="00FB1598">
        <w:rPr>
          <w:rStyle w:val="normaltextrun"/>
          <w:rFonts w:asciiTheme="majorBidi" w:eastAsiaTheme="majorEastAsia" w:hAnsiTheme="majorBidi" w:cstheme="majorBidi"/>
          <w:i/>
          <w:iCs/>
          <w:color w:val="242424"/>
        </w:rPr>
        <w:t>Functions and services provided by ecosystems, by service type</w:t>
      </w:r>
      <w:r w:rsidRPr="00ED7E61">
        <w:rPr>
          <w:rStyle w:val="normaltextrun"/>
          <w:rFonts w:asciiTheme="majorBidi" w:eastAsiaTheme="majorEastAsia" w:hAnsiTheme="majorBidi" w:cstheme="majorBidi"/>
          <w:color w:val="242424"/>
        </w:rPr>
        <w:t>.</w:t>
      </w:r>
      <w:r w:rsidR="008B3F8D">
        <w:rPr>
          <w:rStyle w:val="normaltextrun"/>
          <w:rFonts w:asciiTheme="majorBidi" w:eastAsiaTheme="majorEastAsia" w:hAnsiTheme="majorBidi" w:cstheme="majorBidi"/>
          <w:color w:val="242424"/>
        </w:rPr>
        <w:t>”</w:t>
      </w:r>
      <w:r w:rsidRPr="00ED7E61">
        <w:rPr>
          <w:rStyle w:val="eop"/>
          <w:rFonts w:asciiTheme="majorBidi" w:eastAsiaTheme="majorEastAsia" w:hAnsiTheme="majorBidi" w:cstheme="majorBidi"/>
          <w:color w:val="242424"/>
        </w:rPr>
        <w:t> </w:t>
      </w:r>
    </w:p>
    <w:p w14:paraId="1213D77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1E3DD250" w14:textId="29F3D792" w:rsidR="00756F0F" w:rsidRPr="00ED7E61" w:rsidRDefault="00756F0F" w:rsidP="005D1978">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5D1978">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44BA17FC" w14:textId="77777777" w:rsidR="00756F0F" w:rsidRPr="00ED7E61" w:rsidRDefault="00756F0F" w:rsidP="005D1978">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color w:val="242424"/>
        </w:rPr>
        <w:t>Food</w:t>
      </w:r>
      <w:r w:rsidRPr="00ED7E61">
        <w:rPr>
          <w:rStyle w:val="normaltextrun"/>
          <w:rFonts w:asciiTheme="majorBidi" w:eastAsiaTheme="majorEastAsia" w:hAnsiTheme="majorBidi" w:cstheme="majorBidi"/>
        </w:rPr>
        <w:t xml:space="preserve"> and Agriculture Organisation </w:t>
      </w:r>
      <w:r w:rsidRPr="00ED7E61">
        <w:rPr>
          <w:rStyle w:val="normaltextrun"/>
          <w:rFonts w:asciiTheme="majorBidi" w:eastAsiaTheme="majorEastAsia" w:hAnsiTheme="majorBidi" w:cstheme="majorBidi"/>
          <w:color w:val="242424"/>
        </w:rPr>
        <w:t>of the United Nations</w:t>
      </w:r>
      <w:r w:rsidRPr="00ED7E61">
        <w:rPr>
          <w:rStyle w:val="normaltextrun"/>
          <w:rFonts w:asciiTheme="majorBidi" w:eastAsiaTheme="majorEastAsia" w:hAnsiTheme="majorBidi" w:cstheme="majorBidi"/>
        </w:rPr>
        <w:t xml:space="preserve"> (FAO) </w:t>
      </w:r>
      <w:r w:rsidRPr="00ED7E61">
        <w:rPr>
          <w:rStyle w:val="eop"/>
          <w:rFonts w:asciiTheme="majorBidi" w:eastAsiaTheme="majorEastAsia" w:hAnsiTheme="majorBidi" w:cstheme="majorBidi"/>
        </w:rPr>
        <w:t> </w:t>
      </w:r>
    </w:p>
    <w:p w14:paraId="3236FEF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fr-FR"/>
        </w:rPr>
      </w:pPr>
      <w:r w:rsidRPr="00ED7E61">
        <w:rPr>
          <w:rStyle w:val="normaltextrun"/>
          <w:rFonts w:asciiTheme="majorBidi" w:eastAsiaTheme="majorEastAsia" w:hAnsiTheme="majorBidi" w:cstheme="majorBidi"/>
          <w:b/>
          <w:bCs/>
          <w:sz w:val="22"/>
          <w:szCs w:val="22"/>
          <w:lang w:val="fr-FR"/>
        </w:rPr>
        <w:t xml:space="preserve">10b. Contact </w:t>
      </w:r>
      <w:proofErr w:type="spellStart"/>
      <w:r w:rsidRPr="00ED7E61">
        <w:rPr>
          <w:rStyle w:val="normaltextrun"/>
          <w:rFonts w:asciiTheme="majorBidi" w:eastAsiaTheme="majorEastAsia" w:hAnsiTheme="majorBidi" w:cstheme="majorBidi"/>
          <w:b/>
          <w:bCs/>
          <w:sz w:val="22"/>
          <w:szCs w:val="22"/>
          <w:lang w:val="fr-FR"/>
        </w:rPr>
        <w:t>person</w:t>
      </w:r>
      <w:proofErr w:type="spellEnd"/>
      <w:r w:rsidRPr="00ED7E61">
        <w:rPr>
          <w:rStyle w:val="normaltextrun"/>
          <w:rFonts w:asciiTheme="majorBidi" w:eastAsiaTheme="majorEastAsia" w:hAnsiTheme="majorBidi" w:cstheme="majorBidi"/>
          <w:b/>
          <w:bCs/>
          <w:sz w:val="22"/>
          <w:szCs w:val="22"/>
          <w:lang w:val="fr-FR"/>
        </w:rPr>
        <w:t>(s)</w:t>
      </w:r>
      <w:r w:rsidRPr="00ED7E61">
        <w:rPr>
          <w:rStyle w:val="eop"/>
          <w:rFonts w:asciiTheme="majorBidi" w:eastAsiaTheme="majorEastAsia" w:hAnsiTheme="majorBidi" w:cstheme="majorBidi"/>
          <w:sz w:val="22"/>
          <w:szCs w:val="22"/>
          <w:lang w:val="fr-FR"/>
        </w:rPr>
        <w:t> </w:t>
      </w:r>
    </w:p>
    <w:p w14:paraId="02E0B443" w14:textId="26CB2FA6" w:rsidR="00756F0F" w:rsidRPr="00ED7E61" w:rsidRDefault="00756F0F" w:rsidP="00D804E8">
      <w:pPr>
        <w:pStyle w:val="CBDNormalNumber"/>
        <w:shd w:val="clear" w:color="auto" w:fill="FFFFFF"/>
        <w:spacing w:after="0"/>
        <w:ind w:left="567"/>
        <w:rPr>
          <w:rFonts w:asciiTheme="majorBidi" w:hAnsiTheme="majorBidi" w:cstheme="majorBidi"/>
          <w:lang w:val="fr-FR"/>
        </w:rPr>
      </w:pPr>
      <w:r w:rsidRPr="00ED7E61">
        <w:rPr>
          <w:rStyle w:val="eop"/>
          <w:lang w:val="fr-FR"/>
        </w:rPr>
        <w:t>Anne</w:t>
      </w:r>
      <w:r w:rsidRPr="00ED7E61">
        <w:rPr>
          <w:rStyle w:val="normaltextrun"/>
          <w:rFonts w:asciiTheme="majorBidi" w:eastAsiaTheme="majorEastAsia" w:hAnsiTheme="majorBidi" w:cstheme="majorBidi"/>
          <w:color w:val="242424"/>
          <w:lang w:val="fr-FR"/>
        </w:rPr>
        <w:t xml:space="preserve"> Branthomme</w:t>
      </w:r>
      <w:r w:rsidR="00AC25E3" w:rsidRPr="00ED7E61">
        <w:rPr>
          <w:rStyle w:val="normaltextrun"/>
          <w:rFonts w:asciiTheme="majorBidi" w:eastAsiaTheme="majorEastAsia" w:hAnsiTheme="majorBidi" w:cstheme="majorBidi"/>
          <w:color w:val="242424"/>
          <w:lang w:val="fr-FR"/>
        </w:rPr>
        <w:t xml:space="preserve"> </w:t>
      </w:r>
      <w:r w:rsidRPr="00ED7E61">
        <w:rPr>
          <w:rStyle w:val="normaltextrun"/>
          <w:rFonts w:asciiTheme="majorBidi" w:eastAsiaTheme="majorEastAsia" w:hAnsiTheme="majorBidi" w:cstheme="majorBidi"/>
          <w:color w:val="242424"/>
          <w:lang w:val="fr-FR"/>
        </w:rPr>
        <w:t>(</w:t>
      </w:r>
      <w:hyperlink r:id="rId407" w:tgtFrame="_blank" w:history="1">
        <w:r w:rsidRPr="00ED7E61">
          <w:rPr>
            <w:rStyle w:val="normaltextrun"/>
            <w:rFonts w:asciiTheme="majorBidi" w:eastAsiaTheme="majorEastAsia" w:hAnsiTheme="majorBidi" w:cstheme="majorBidi"/>
            <w:color w:val="467886"/>
            <w:u w:val="single"/>
            <w:lang w:val="fr-FR"/>
          </w:rPr>
          <w:t>anne.branthomme@fao.org</w:t>
        </w:r>
      </w:hyperlink>
      <w:r w:rsidRPr="00ED7E61">
        <w:rPr>
          <w:rStyle w:val="normaltextrun"/>
          <w:rFonts w:asciiTheme="majorBidi" w:eastAsiaTheme="majorEastAsia" w:hAnsiTheme="majorBidi" w:cstheme="majorBidi"/>
          <w:color w:val="1876BA"/>
          <w:u w:val="single"/>
          <w:lang w:val="fr-FR"/>
        </w:rPr>
        <w:t>)</w:t>
      </w:r>
      <w:r w:rsidRPr="00ED7E61">
        <w:rPr>
          <w:rStyle w:val="eop"/>
          <w:rFonts w:asciiTheme="majorBidi" w:eastAsiaTheme="majorEastAsia" w:hAnsiTheme="majorBidi" w:cstheme="majorBidi"/>
          <w:color w:val="1876BA"/>
          <w:lang w:val="fr-FR"/>
        </w:rPr>
        <w:t> </w:t>
      </w:r>
    </w:p>
    <w:p w14:paraId="01700FF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fr-FR"/>
        </w:rPr>
      </w:pPr>
      <w:r w:rsidRPr="00ED7E61">
        <w:rPr>
          <w:rStyle w:val="normaltextrun"/>
          <w:rFonts w:asciiTheme="majorBidi" w:eastAsiaTheme="majorEastAsia" w:hAnsiTheme="majorBidi" w:cstheme="majorBidi"/>
          <w:b/>
          <w:bCs/>
          <w:sz w:val="22"/>
          <w:szCs w:val="22"/>
          <w:lang w:val="fr-FR"/>
        </w:rPr>
        <w:t xml:space="preserve">11. </w:t>
      </w:r>
      <w:proofErr w:type="spellStart"/>
      <w:r w:rsidRPr="00ED7E61">
        <w:rPr>
          <w:rStyle w:val="normaltextrun"/>
          <w:rFonts w:asciiTheme="majorBidi" w:eastAsiaTheme="majorEastAsia" w:hAnsiTheme="majorBidi" w:cstheme="majorBidi"/>
          <w:b/>
          <w:bCs/>
          <w:sz w:val="22"/>
          <w:szCs w:val="22"/>
          <w:lang w:val="fr-FR"/>
        </w:rPr>
        <w:t>References</w:t>
      </w:r>
      <w:proofErr w:type="spellEnd"/>
      <w:r w:rsidRPr="00ED7E61">
        <w:rPr>
          <w:rStyle w:val="eop"/>
          <w:rFonts w:asciiTheme="majorBidi" w:eastAsiaTheme="majorEastAsia" w:hAnsiTheme="majorBidi" w:cstheme="majorBidi"/>
          <w:sz w:val="22"/>
          <w:szCs w:val="22"/>
          <w:lang w:val="fr-FR"/>
        </w:rPr>
        <w:t> </w:t>
      </w:r>
    </w:p>
    <w:p w14:paraId="4321FF6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proofErr w:type="spellStart"/>
      <w:proofErr w:type="gramStart"/>
      <w:r w:rsidRPr="00ED7E61">
        <w:rPr>
          <w:rStyle w:val="normaltextrun"/>
          <w:rFonts w:asciiTheme="majorBidi" w:eastAsiaTheme="majorEastAsia" w:hAnsiTheme="majorBidi" w:cstheme="majorBidi"/>
          <w:b/>
          <w:bCs/>
          <w:color w:val="242424"/>
          <w:sz w:val="22"/>
          <w:szCs w:val="22"/>
          <w:lang w:val="fr-FR"/>
        </w:rPr>
        <w:t>Websites</w:t>
      </w:r>
      <w:proofErr w:type="spellEnd"/>
      <w:r w:rsidRPr="00ED7E61">
        <w:rPr>
          <w:rStyle w:val="normaltextrun"/>
          <w:rFonts w:asciiTheme="majorBidi" w:eastAsiaTheme="majorEastAsia" w:hAnsiTheme="majorBidi" w:cstheme="majorBidi"/>
          <w:b/>
          <w:bCs/>
          <w:color w:val="242424"/>
          <w:sz w:val="22"/>
          <w:szCs w:val="22"/>
          <w:lang w:val="fr-FR"/>
        </w:rPr>
        <w:t>:</w:t>
      </w:r>
      <w:proofErr w:type="gramEnd"/>
      <w:r w:rsidRPr="00ED7E61">
        <w:rPr>
          <w:rStyle w:val="eop"/>
          <w:rFonts w:asciiTheme="majorBidi" w:eastAsiaTheme="majorEastAsia" w:hAnsiTheme="majorBidi" w:cstheme="majorBidi"/>
          <w:color w:val="242424"/>
          <w:sz w:val="22"/>
          <w:szCs w:val="22"/>
          <w:lang w:val="fr-FR"/>
        </w:rPr>
        <w:t> </w:t>
      </w:r>
    </w:p>
    <w:p w14:paraId="272A4028" w14:textId="57B90D9F" w:rsidR="00BB7BA7" w:rsidRPr="00ED7E61" w:rsidRDefault="005D1978" w:rsidP="005D1978">
      <w:pPr>
        <w:pStyle w:val="CBDNormalNumber"/>
        <w:shd w:val="clear" w:color="auto" w:fill="FFFFFF"/>
        <w:ind w:left="567"/>
        <w:rPr>
          <w:rFonts w:asciiTheme="majorBidi" w:hAnsiTheme="majorBidi" w:cstheme="majorBidi"/>
          <w:lang w:val="fr-FR"/>
        </w:rPr>
      </w:pPr>
      <w:hyperlink r:id="rId408" w:history="1">
        <w:r w:rsidRPr="004C58D6">
          <w:rPr>
            <w:rStyle w:val="Hyperlink"/>
            <w:lang w:val="fr-FR"/>
          </w:rPr>
          <w:t>http</w:t>
        </w:r>
        <w:r w:rsidRPr="004C58D6">
          <w:rPr>
            <w:rStyle w:val="Hyperlink"/>
            <w:rFonts w:asciiTheme="majorBidi" w:eastAsiaTheme="majorEastAsia" w:hAnsiTheme="majorBidi" w:cstheme="majorBidi"/>
            <w:lang w:val="fr-FR"/>
          </w:rPr>
          <w:t>://www.fao.org/forest-resources-assessment/en/</w:t>
        </w:r>
      </w:hyperlink>
      <w:r w:rsidR="00756F0F" w:rsidRPr="00ED7E61">
        <w:rPr>
          <w:rStyle w:val="eop"/>
          <w:rFonts w:asciiTheme="majorBidi" w:eastAsiaTheme="majorEastAsia" w:hAnsiTheme="majorBidi" w:cstheme="majorBidi"/>
          <w:color w:val="1876BA"/>
          <w:lang w:val="fr-FR"/>
        </w:rPr>
        <w:t> </w:t>
      </w:r>
    </w:p>
    <w:p w14:paraId="158BDB41" w14:textId="46164EF6" w:rsidR="00756F0F" w:rsidRDefault="005D1978" w:rsidP="005D1978">
      <w:pPr>
        <w:pStyle w:val="CBDNormalNumber"/>
        <w:shd w:val="clear" w:color="auto" w:fill="FFFFFF"/>
        <w:ind w:left="567"/>
        <w:rPr>
          <w:rStyle w:val="eop"/>
          <w:rFonts w:asciiTheme="majorBidi" w:eastAsiaTheme="majorEastAsia" w:hAnsiTheme="majorBidi" w:cstheme="majorBidi"/>
          <w:color w:val="242424"/>
          <w:lang w:val="fr-FR"/>
        </w:rPr>
      </w:pPr>
      <w:hyperlink r:id="rId409" w:history="1">
        <w:r w:rsidRPr="004C58D6">
          <w:rPr>
            <w:rStyle w:val="Hyperlink"/>
            <w:lang w:val="fr-FR"/>
          </w:rPr>
          <w:t>https://www.fao.org/sustainable-development-goals-data-portal/data/indicators/1521-sustainable-forest-management/en</w:t>
        </w:r>
      </w:hyperlink>
      <w:r w:rsidR="00756F0F" w:rsidRPr="00ED7E61">
        <w:rPr>
          <w:rStyle w:val="normaltextrun"/>
          <w:rFonts w:asciiTheme="majorBidi" w:eastAsiaTheme="majorEastAsia" w:hAnsiTheme="majorBidi" w:cstheme="majorBidi"/>
          <w:color w:val="242424"/>
          <w:lang w:val="pt-PT"/>
        </w:rPr>
        <w:t> </w:t>
      </w:r>
      <w:r w:rsidR="00756F0F" w:rsidRPr="00ED7E61">
        <w:rPr>
          <w:rStyle w:val="eop"/>
          <w:rFonts w:asciiTheme="majorBidi" w:eastAsiaTheme="majorEastAsia" w:hAnsiTheme="majorBidi" w:cstheme="majorBidi"/>
          <w:color w:val="242424"/>
          <w:lang w:val="fr-FR"/>
        </w:rPr>
        <w:t> </w:t>
      </w:r>
    </w:p>
    <w:p w14:paraId="55ACB994" w14:textId="05E69CCE" w:rsidR="00230216" w:rsidRPr="00812871" w:rsidRDefault="00230216" w:rsidP="00812871">
      <w:pPr>
        <w:pStyle w:val="CBDNormalNumber"/>
        <w:shd w:val="clear" w:color="auto" w:fill="FFFFFF"/>
        <w:ind w:left="567"/>
        <w:rPr>
          <w:rFonts w:asciiTheme="majorBidi" w:hAnsiTheme="majorBidi" w:cstheme="majorBidi"/>
          <w:lang w:val="fr-FR"/>
        </w:rPr>
      </w:pPr>
      <w:hyperlink r:id="rId410" w:history="1">
        <w:r w:rsidRPr="00812871">
          <w:rPr>
            <w:rStyle w:val="Hyperlink"/>
            <w:rFonts w:asciiTheme="majorBidi" w:hAnsiTheme="majorBidi" w:cstheme="majorBidi"/>
            <w:lang w:val="fr-FR"/>
          </w:rPr>
          <w:t>https://fra-data.fao.org/</w:t>
        </w:r>
      </w:hyperlink>
    </w:p>
    <w:p w14:paraId="31670722"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242424"/>
          <w:sz w:val="22"/>
          <w:szCs w:val="22"/>
          <w:lang w:val="en-GB"/>
        </w:rPr>
        <w:t>References:</w:t>
      </w:r>
      <w:r w:rsidRPr="00ED7E61">
        <w:rPr>
          <w:rStyle w:val="eop"/>
          <w:rFonts w:asciiTheme="majorBidi" w:eastAsiaTheme="majorEastAsia" w:hAnsiTheme="majorBidi" w:cstheme="majorBidi"/>
          <w:color w:val="242424"/>
          <w:sz w:val="22"/>
          <w:szCs w:val="22"/>
        </w:rPr>
        <w:t> </w:t>
      </w:r>
    </w:p>
    <w:p w14:paraId="7E0A1EA6" w14:textId="77777777" w:rsidR="001A31BC" w:rsidRDefault="001A31BC" w:rsidP="00812871">
      <w:pPr>
        <w:pStyle w:val="CBDNormalNumber"/>
        <w:shd w:val="clear" w:color="auto" w:fill="FFFFFF"/>
        <w:ind w:left="567"/>
        <w:rPr>
          <w:rStyle w:val="eop"/>
          <w:sz w:val="24"/>
          <w:szCs w:val="24"/>
          <w:lang w:val="en-CA"/>
        </w:rPr>
      </w:pPr>
      <w:r>
        <w:rPr>
          <w:rStyle w:val="eop"/>
        </w:rPr>
        <w:t>FAO. 2023. Global Forest Resources Assessment – FRA 2025</w:t>
      </w:r>
      <w:proofErr w:type="gramStart"/>
      <w:r>
        <w:rPr>
          <w:rStyle w:val="eop"/>
        </w:rPr>
        <w:t>-  Guidelines</w:t>
      </w:r>
      <w:proofErr w:type="gramEnd"/>
      <w:r>
        <w:rPr>
          <w:rStyle w:val="eop"/>
        </w:rPr>
        <w:t xml:space="preserve"> and Specifications.  Forest Resources Assessment Working Paper No.193. Rome.  (</w:t>
      </w:r>
      <w:hyperlink r:id="rId411" w:history="1">
        <w:r w:rsidRPr="001A31BC">
          <w:rPr>
            <w:rStyle w:val="Hyperlink"/>
            <w:color w:val="auto"/>
          </w:rPr>
          <w:t>https://openknowledge.fao.org/handle/20.500.14283/cc4690en</w:t>
        </w:r>
      </w:hyperlink>
      <w:r>
        <w:rPr>
          <w:rStyle w:val="eop"/>
        </w:rPr>
        <w:t>)</w:t>
      </w:r>
    </w:p>
    <w:p w14:paraId="6546C036" w14:textId="77777777" w:rsidR="001A31BC" w:rsidRDefault="001A31BC" w:rsidP="00812871">
      <w:pPr>
        <w:pStyle w:val="CBDNormalNumber"/>
        <w:shd w:val="clear" w:color="auto" w:fill="FFFFFF"/>
        <w:ind w:left="567"/>
        <w:rPr>
          <w:rStyle w:val="eop"/>
        </w:rPr>
      </w:pPr>
      <w:r>
        <w:rPr>
          <w:rStyle w:val="eop"/>
        </w:rPr>
        <w:t>FAO. 2023. Global Forest Resources Assessment – FRA 2025 - Terms and Definitions. Forest Resources Assessment Working Paper No.194. Rome. (</w:t>
      </w:r>
      <w:hyperlink r:id="rId412" w:history="1">
        <w:r>
          <w:rPr>
            <w:rStyle w:val="Hyperlink"/>
            <w:color w:val="auto"/>
          </w:rPr>
          <w:t>https://openknowledge.fao.org/handle/20.500.14283/cc4691en</w:t>
        </w:r>
      </w:hyperlink>
      <w:r>
        <w:rPr>
          <w:rStyle w:val="eop"/>
        </w:rPr>
        <w:t>).</w:t>
      </w:r>
    </w:p>
    <w:p w14:paraId="223CA71D" w14:textId="77777777" w:rsidR="00756F0F" w:rsidRPr="00ED7E61" w:rsidRDefault="00756F0F" w:rsidP="005D1978">
      <w:pPr>
        <w:pStyle w:val="CBDNormalNumber"/>
        <w:shd w:val="clear" w:color="auto" w:fill="FFFFFF"/>
        <w:ind w:left="567"/>
        <w:jc w:val="left"/>
        <w:rPr>
          <w:rFonts w:asciiTheme="majorBidi" w:hAnsiTheme="majorBidi" w:cstheme="majorBidi"/>
        </w:rPr>
      </w:pPr>
      <w:r w:rsidRPr="00ED7E61">
        <w:rPr>
          <w:rStyle w:val="normaltextrun"/>
          <w:rFonts w:asciiTheme="majorBidi" w:eastAsiaTheme="majorEastAsia" w:hAnsiTheme="majorBidi" w:cstheme="majorBidi"/>
          <w:color w:val="242424"/>
        </w:rPr>
        <w:t>United Nations. Resolution adopted by the General Assembly on 17 December 2007 (</w:t>
      </w:r>
      <w:hyperlink r:id="rId413" w:tgtFrame="_blank" w:history="1">
        <w:r w:rsidRPr="00ED7E61">
          <w:rPr>
            <w:rStyle w:val="normaltextrun"/>
            <w:rFonts w:asciiTheme="majorBidi" w:eastAsiaTheme="majorEastAsia" w:hAnsiTheme="majorBidi" w:cstheme="majorBidi"/>
            <w:color w:val="1876BA"/>
            <w:u w:val="single"/>
          </w:rPr>
          <w:t>https://undocs.org/en/A/RES/62/98</w:t>
        </w:r>
      </w:hyperlink>
      <w:r w:rsidRPr="00ED7E61">
        <w:rPr>
          <w:rStyle w:val="normaltextrun"/>
          <w:rFonts w:asciiTheme="majorBidi" w:eastAsiaTheme="majorEastAsia" w:hAnsiTheme="majorBidi" w:cstheme="majorBidi"/>
          <w:color w:val="242424"/>
        </w:rPr>
        <w:t>).</w:t>
      </w:r>
      <w:r w:rsidRPr="00ED7E61">
        <w:rPr>
          <w:rStyle w:val="eop"/>
          <w:rFonts w:asciiTheme="majorBidi" w:eastAsiaTheme="majorEastAsia" w:hAnsiTheme="majorBidi" w:cstheme="majorBidi"/>
          <w:color w:val="242424"/>
        </w:rPr>
        <w:t> </w:t>
      </w:r>
    </w:p>
    <w:p w14:paraId="0BE3B72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12. Graphs and diagrams</w:t>
      </w:r>
      <w:r w:rsidRPr="00ED7E61">
        <w:rPr>
          <w:rStyle w:val="eop"/>
          <w:rFonts w:asciiTheme="majorBidi" w:eastAsiaTheme="majorEastAsia" w:hAnsiTheme="majorBidi" w:cstheme="majorBidi"/>
          <w:sz w:val="22"/>
          <w:szCs w:val="22"/>
        </w:rPr>
        <w:t> </w:t>
      </w:r>
    </w:p>
    <w:p w14:paraId="258245D5" w14:textId="5904AD52" w:rsidR="00D311B8" w:rsidRPr="00D804E8" w:rsidRDefault="00756F0F" w:rsidP="00D804E8">
      <w:pPr>
        <w:pStyle w:val="paragraph"/>
        <w:spacing w:before="0" w:beforeAutospacing="0" w:after="0" w:afterAutospacing="0"/>
        <w:textAlignment w:val="baseline"/>
        <w:rPr>
          <w:rStyle w:val="normaltextrun"/>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r w:rsidR="00D311B8" w:rsidRPr="00ED7E61">
        <w:rPr>
          <w:rStyle w:val="normaltextrun"/>
          <w:rFonts w:asciiTheme="majorBidi" w:eastAsiaTheme="majorEastAsia" w:hAnsiTheme="majorBidi" w:cstheme="majorBidi"/>
          <w:b/>
          <w:bCs/>
          <w:sz w:val="22"/>
          <w:szCs w:val="22"/>
          <w:lang w:val="en-GB"/>
        </w:rPr>
        <w:br w:type="page"/>
      </w:r>
    </w:p>
    <w:p w14:paraId="44FDC09E" w14:textId="1FE28621" w:rsidR="00D311B8" w:rsidRPr="00ED7E61" w:rsidRDefault="00D311B8" w:rsidP="00395866">
      <w:pPr>
        <w:rPr>
          <w:rStyle w:val="normaltextrun"/>
          <w:rFonts w:asciiTheme="majorBidi" w:eastAsiaTheme="majorEastAsia" w:hAnsiTheme="majorBidi" w:cstheme="majorBidi"/>
          <w:b/>
          <w:bCs/>
          <w:sz w:val="22"/>
          <w:szCs w:val="22"/>
          <w:lang w:val="en-GB"/>
        </w:rPr>
      </w:pPr>
    </w:p>
    <w:p w14:paraId="40D3136B" w14:textId="1ACB4E60" w:rsidR="00F3532F" w:rsidRPr="00ED7E61" w:rsidRDefault="00F3532F" w:rsidP="00F3532F">
      <w:pPr>
        <w:pStyle w:val="Heading3"/>
      </w:pPr>
      <w:bookmarkStart w:id="52" w:name="_Toc178285870"/>
      <w:bookmarkStart w:id="53" w:name="_Toc233278579"/>
      <w:r w:rsidRPr="00ED7E61">
        <w:rPr>
          <w:rStyle w:val="normaltextrun"/>
        </w:rPr>
        <w:t>12.1 Average share of the built-up area of cities that is green/blue space for public use for all</w:t>
      </w:r>
      <w:r w:rsidRPr="00ED7E61">
        <w:rPr>
          <w:rStyle w:val="FootnoteReference"/>
        </w:rPr>
        <w:footnoteReference w:id="43"/>
      </w:r>
      <w:bookmarkEnd w:id="52"/>
      <w:bookmarkEnd w:id="53"/>
      <w:r w:rsidRPr="00ED7E61">
        <w:rPr>
          <w:rStyle w:val="normaltextrun"/>
        </w:rPr>
        <w:t> </w:t>
      </w:r>
      <w:r w:rsidRPr="00ED7E61">
        <w:rPr>
          <w:rStyle w:val="eop"/>
        </w:rPr>
        <w:t> </w:t>
      </w:r>
    </w:p>
    <w:p w14:paraId="7C9CBB78" w14:textId="77777777" w:rsidR="00F3532F" w:rsidRPr="00ED7E61" w:rsidRDefault="00F3532F" w:rsidP="00F3532F">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23D0F55D"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sz w:val="22"/>
          <w:szCs w:val="22"/>
        </w:rPr>
        <w:t> </w:t>
      </w:r>
    </w:p>
    <w:p w14:paraId="2261B38C"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shd w:val="clear" w:color="auto" w:fill="FFFFFF"/>
          <w:lang w:val="en-GB"/>
        </w:rPr>
        <w:t>12.1 Average share of the built-up area of cities that is green/blue space for public use for all</w:t>
      </w:r>
      <w:r w:rsidRPr="00ED7E61">
        <w:rPr>
          <w:rStyle w:val="normaltextrun"/>
          <w:rFonts w:asciiTheme="majorBidi" w:eastAsiaTheme="majorEastAsia"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1931D5A2" w14:textId="77777777" w:rsidR="00F3532F" w:rsidRPr="00ED7E61" w:rsidRDefault="00F3532F" w:rsidP="00F3532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sz w:val="22"/>
          <w:szCs w:val="22"/>
        </w:rPr>
        <w:t> </w:t>
      </w:r>
    </w:p>
    <w:p w14:paraId="27DD5E2D" w14:textId="77777777" w:rsidR="00F3532F" w:rsidRPr="00ED7E61" w:rsidRDefault="00F3532F" w:rsidP="00F3532F">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Pr>
          <w:rStyle w:val="normaltextrun"/>
          <w:rFonts w:asciiTheme="majorBidi" w:eastAsiaTheme="majorEastAsia" w:hAnsiTheme="majorBidi" w:cstheme="majorBidi"/>
          <w:sz w:val="22"/>
          <w:szCs w:val="22"/>
        </w:rPr>
        <w:t>September</w:t>
      </w:r>
      <w:r w:rsidRPr="00ED7E61">
        <w:rPr>
          <w:rStyle w:val="normaltextrun"/>
          <w:rFonts w:asciiTheme="majorBidi" w:eastAsiaTheme="majorEastAsia" w:hAnsiTheme="majorBidi" w:cstheme="majorBidi"/>
          <w:sz w:val="22"/>
          <w:szCs w:val="22"/>
        </w:rPr>
        <w:t xml:space="preserve"> 2024</w:t>
      </w:r>
    </w:p>
    <w:p w14:paraId="7272B245"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sz w:val="22"/>
          <w:szCs w:val="22"/>
        </w:rPr>
        <w:t> </w:t>
      </w:r>
    </w:p>
    <w:p w14:paraId="352DFDAC" w14:textId="77777777" w:rsidR="00F3532F" w:rsidRPr="00ED7E61" w:rsidRDefault="00F3532F" w:rsidP="00F3532F">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sz w:val="22"/>
          <w:szCs w:val="22"/>
        </w:rPr>
        <w:t> </w:t>
      </w:r>
    </w:p>
    <w:p w14:paraId="40698C05"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2C2D822C"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sz w:val="22"/>
          <w:szCs w:val="22"/>
        </w:rPr>
        <w:t> </w:t>
      </w:r>
    </w:p>
    <w:p w14:paraId="68E78A1A" w14:textId="7C666C1B"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Target 12:Significantly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r w:rsidRPr="00ED7E61">
        <w:rPr>
          <w:rStyle w:val="eop"/>
          <w:rFonts w:asciiTheme="majorBidi" w:eastAsiaTheme="majorEastAsia" w:hAnsiTheme="majorBidi" w:cstheme="majorBidi"/>
          <w:sz w:val="22"/>
          <w:szCs w:val="22"/>
        </w:rPr>
        <w:t> </w:t>
      </w:r>
    </w:p>
    <w:p w14:paraId="15AA0986"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4. Rationale</w:t>
      </w:r>
    </w:p>
    <w:p w14:paraId="373C19BF" w14:textId="77777777" w:rsidR="00F3532F" w:rsidRPr="00ED7E61" w:rsidRDefault="00F3532F" w:rsidP="00F3532F">
      <w:pPr>
        <w:pStyle w:val="CBDNormalNumber"/>
        <w:numPr>
          <w:ilvl w:val="0"/>
          <w:numId w:val="85"/>
        </w:numPr>
        <w:shd w:val="clear" w:color="auto" w:fill="FFFFFF"/>
        <w:tabs>
          <w:tab w:val="clear" w:pos="1701"/>
        </w:tabs>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value of public spaces is often overlooked or underestimated by policy makers, leaders, citizens and urban developers. There are several reasons for this, such as lack of appreciation of the value of these spaces to the functioning of urban systems and quality of life, prevailing urban planning processes, the </w:t>
      </w:r>
      <w:r w:rsidRPr="00ED7E61">
        <w:rPr>
          <w:rStyle w:val="normaltextrun"/>
          <w:rFonts w:asciiTheme="majorBidi" w:eastAsiaTheme="majorEastAsia" w:hAnsiTheme="majorBidi" w:cstheme="majorBidi"/>
          <w:color w:val="242424"/>
        </w:rPr>
        <w:t>lack</w:t>
      </w:r>
      <w:r w:rsidRPr="00ED7E61">
        <w:rPr>
          <w:rStyle w:val="normaltextrun"/>
          <w:rFonts w:asciiTheme="majorBidi" w:eastAsiaTheme="majorEastAsia" w:hAnsiTheme="majorBidi" w:cstheme="majorBidi"/>
        </w:rPr>
        <w:t xml:space="preserve"> of resources, or understanding or capacity to use public space as a complete, multi-functional urban system. Often the lack of appropriate enabling frameworks, weak political will and the absence of the means of public engagement compound the situation.</w:t>
      </w:r>
      <w:r w:rsidRPr="00ED7E61">
        <w:rPr>
          <w:rStyle w:val="eop"/>
          <w:rFonts w:asciiTheme="majorBidi" w:eastAsiaTheme="majorEastAsia" w:hAnsiTheme="majorBidi" w:cstheme="majorBidi"/>
        </w:rPr>
        <w:t> </w:t>
      </w:r>
    </w:p>
    <w:p w14:paraId="17B4737B"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Sustainable Development Goals (SDGs) have for the first time provided a platform where public spaces can be globally monitored. </w:t>
      </w:r>
      <w:r>
        <w:rPr>
          <w:rStyle w:val="normaltextrun"/>
          <w:rFonts w:asciiTheme="majorBidi" w:eastAsiaTheme="majorEastAsia" w:hAnsiTheme="majorBidi" w:cstheme="majorBidi"/>
        </w:rPr>
        <w:t>SDG i</w:t>
      </w:r>
      <w:r w:rsidRPr="00ED7E61">
        <w:rPr>
          <w:rStyle w:val="normaltextrun"/>
          <w:rFonts w:asciiTheme="majorBidi" w:eastAsiaTheme="majorEastAsia" w:hAnsiTheme="majorBidi" w:cstheme="majorBidi"/>
        </w:rPr>
        <w:t xml:space="preserve">ndicator 11.7.1 measures the share of land allocated to public spaces and the total population with access of these spaces by age, gender and disability. The share of land that a city allocates to streets and open public spaces is not only critical to its </w:t>
      </w:r>
      <w:proofErr w:type="gramStart"/>
      <w:r w:rsidRPr="00ED7E61">
        <w:rPr>
          <w:rStyle w:val="normaltextrun"/>
          <w:rFonts w:asciiTheme="majorBidi" w:eastAsiaTheme="majorEastAsia" w:hAnsiTheme="majorBidi" w:cstheme="majorBidi"/>
        </w:rPr>
        <w:t>productivity, but</w:t>
      </w:r>
      <w:proofErr w:type="gramEnd"/>
      <w:r w:rsidRPr="00ED7E61">
        <w:rPr>
          <w:rStyle w:val="normaltextrun"/>
          <w:rFonts w:asciiTheme="majorBidi" w:eastAsiaTheme="majorEastAsia" w:hAnsiTheme="majorBidi" w:cstheme="majorBidi"/>
        </w:rPr>
        <w:t xml:space="preserve"> also contributes significantly to the social dimensions and health of its population. The size, distribution and quality of a city’s overall public space act as a good indicator of shared prosperity. A well developed and properly designed network of streets increases connectivity, promotes walking and social interactions but also income, gender, race or disability status and one that promotes multiple activities not only encourages their use, but also contributes to the urban character and quality of urban life.</w:t>
      </w:r>
      <w:r w:rsidRPr="00ED7E61">
        <w:rPr>
          <w:rStyle w:val="eop"/>
          <w:rFonts w:asciiTheme="majorBidi" w:eastAsiaTheme="majorEastAsia" w:hAnsiTheme="majorBidi" w:cstheme="majorBidi"/>
        </w:rPr>
        <w:t> </w:t>
      </w:r>
    </w:p>
    <w:p w14:paraId="00BEE6EA"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Cities that improve and sustain the use of public space, including streets, enhance community cohesion, civic identity, and quality of life. A prosperous city develops policies and actions for sustainable use of, and equitable access to public space. In many cities however, there has been neglect of public space - both in quantity and quality, which has been further exacerbated by uncontrolled rapid urbanization which has created disorderly settlement patterns with alarmingly low shares of public space, as well as a dramatic reduction of public spaces. There is a need to expand the ratio of land allocated to public spaces and improve their qualities to make cities and urban areas more efficient, liveable, prosperous, and sustainable. Reclaiming urban spaces for people encourages development of other street activities that bring life to a city. Equally, a well distributed and </w:t>
      </w:r>
      <w:r w:rsidRPr="00ED7E61">
        <w:rPr>
          <w:rStyle w:val="normaltextrun"/>
          <w:rFonts w:asciiTheme="majorBidi" w:eastAsiaTheme="majorEastAsia" w:hAnsiTheme="majorBidi" w:cstheme="majorBidi"/>
        </w:rPr>
        <w:lastRenderedPageBreak/>
        <w:t>hierarchical system of open public spaces that can be accessed by all regardless of is part of how we can humanize our cities and make our streets and public areas more communal.</w:t>
      </w:r>
      <w:r w:rsidRPr="00ED7E61">
        <w:rPr>
          <w:rStyle w:val="eop"/>
          <w:rFonts w:asciiTheme="majorBidi" w:eastAsiaTheme="majorEastAsia" w:hAnsiTheme="majorBidi" w:cstheme="majorBidi"/>
        </w:rPr>
        <w:t> </w:t>
      </w:r>
    </w:p>
    <w:p w14:paraId="36AD5F72"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 Definitions, concepts and classifications</w:t>
      </w:r>
      <w:r w:rsidRPr="00ED7E61">
        <w:rPr>
          <w:rStyle w:val="eop"/>
          <w:rFonts w:asciiTheme="majorBidi" w:eastAsiaTheme="majorEastAsia" w:hAnsiTheme="majorBidi" w:cstheme="majorBidi"/>
          <w:sz w:val="22"/>
          <w:szCs w:val="22"/>
        </w:rPr>
        <w:t> </w:t>
      </w:r>
    </w:p>
    <w:p w14:paraId="34337A59"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5a. Definition: </w:t>
      </w:r>
      <w:r w:rsidRPr="00ED7E61">
        <w:rPr>
          <w:rStyle w:val="eop"/>
          <w:rFonts w:asciiTheme="majorBidi" w:eastAsiaTheme="majorEastAsia" w:hAnsiTheme="majorBidi" w:cstheme="majorBidi"/>
          <w:sz w:val="22"/>
          <w:szCs w:val="22"/>
        </w:rPr>
        <w:t> </w:t>
      </w:r>
    </w:p>
    <w:p w14:paraId="35E976C8"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following is the definition of the SDG 11.7.1 indicator and consequently there could be small variations in the definition for the</w:t>
      </w:r>
      <w:r>
        <w:rPr>
          <w:rStyle w:val="normaltextrun"/>
          <w:rFonts w:asciiTheme="majorBidi" w:eastAsiaTheme="majorEastAsia" w:hAnsiTheme="majorBidi" w:cstheme="majorBidi"/>
        </w:rPr>
        <w:t xml:space="preserve"> “</w:t>
      </w:r>
      <w:r w:rsidRPr="00FB1598">
        <w:rPr>
          <w:rStyle w:val="normaltextrun"/>
          <w:rFonts w:asciiTheme="majorBidi" w:eastAsiaTheme="majorEastAsia" w:hAnsiTheme="majorBidi" w:cstheme="majorBidi"/>
          <w:i/>
          <w:iCs/>
          <w:shd w:val="clear" w:color="auto" w:fill="FFFFFF"/>
        </w:rPr>
        <w:t>Average share of the built-up area of cities that is green/blue space for public use for all</w:t>
      </w:r>
      <w:r>
        <w:rPr>
          <w:rStyle w:val="normaltextrun"/>
          <w:rFonts w:asciiTheme="majorBidi" w:eastAsiaTheme="majorEastAsia" w:hAnsiTheme="majorBidi" w:cstheme="majorBidi"/>
          <w:shd w:val="clear" w:color="auto" w:fill="FFFFFF"/>
        </w:rPr>
        <w:t>”</w:t>
      </w:r>
      <w:r w:rsidRPr="00ED7E61">
        <w:rPr>
          <w:rStyle w:val="normaltextrun"/>
          <w:rFonts w:asciiTheme="majorBidi" w:eastAsiaTheme="majorEastAsia" w:hAnsiTheme="majorBidi" w:cstheme="majorBidi"/>
          <w:shd w:val="clear" w:color="auto" w:fill="FFFFFF"/>
        </w:rPr>
        <w:t>.</w:t>
      </w:r>
      <w:r w:rsidRPr="00ED7E61">
        <w:rPr>
          <w:rStyle w:val="eop"/>
          <w:rFonts w:asciiTheme="majorBidi" w:eastAsiaTheme="majorEastAsia" w:hAnsiTheme="majorBidi" w:cstheme="majorBidi"/>
        </w:rPr>
        <w:t> </w:t>
      </w:r>
    </w:p>
    <w:p w14:paraId="587EB750"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Pr>
          <w:rStyle w:val="normaltextrun"/>
          <w:rFonts w:asciiTheme="majorBidi" w:eastAsiaTheme="majorEastAsia" w:hAnsiTheme="majorBidi" w:cstheme="majorBidi"/>
        </w:rPr>
        <w:t xml:space="preserve">SDG </w:t>
      </w:r>
      <w:r w:rsidRPr="00ED7E61">
        <w:rPr>
          <w:rStyle w:val="normaltextrun"/>
          <w:rFonts w:asciiTheme="majorBidi" w:eastAsiaTheme="majorEastAsia" w:hAnsiTheme="majorBidi" w:cstheme="majorBidi"/>
        </w:rPr>
        <w:t>Indicator 11.7.1 has several interesting concepts that required global consultations and consensus. These include; built-up area, cities, open spaces for public use, etc. As a custodian agency, UN-Habitat has worked on these concepts along with several other partners.</w:t>
      </w:r>
      <w:r w:rsidRPr="00ED7E61">
        <w:rPr>
          <w:rStyle w:val="eop"/>
          <w:rFonts w:asciiTheme="majorBidi" w:eastAsiaTheme="majorEastAsia" w:hAnsiTheme="majorBidi" w:cstheme="majorBidi"/>
        </w:rPr>
        <w:t> </w:t>
      </w:r>
    </w:p>
    <w:p w14:paraId="104B5E0B"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City: A range of accepted definitions of “</w:t>
      </w:r>
      <w:r w:rsidRPr="00FB1598">
        <w:rPr>
          <w:rStyle w:val="normaltextrun"/>
          <w:rFonts w:asciiTheme="majorBidi" w:eastAsiaTheme="majorEastAsia" w:hAnsiTheme="majorBidi" w:cstheme="majorBidi"/>
          <w:i/>
          <w:iCs/>
        </w:rPr>
        <w:t>city</w:t>
      </w:r>
      <w:r w:rsidRPr="00ED7E61">
        <w:rPr>
          <w:rStyle w:val="normaltextrun"/>
          <w:rFonts w:asciiTheme="majorBidi" w:eastAsiaTheme="majorEastAsia" w:hAnsiTheme="majorBidi" w:cstheme="majorBidi"/>
        </w:rPr>
        <w:t>” exist, from those based on population data and extent of the built-up area to those that are based solely on administrative boundaries. These definitions vary within and between nations, complicating the task of international reporting for the SDGs. Definitions of cities, metropolitan areas and urban agglomerations also vary depending on legal, administrative, political, economic or cultural criteria in the respective countries and regions. Since 2016</w:t>
      </w:r>
      <w:r>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UN-Habitat and partners organized global consultations and discussions to narrow down the set of meaningful definitions that would be helpful for the global monitoring and reporting process. Following consultations with 86 member states, the United Nations Statistical Commission, in its 51st Session (March 2020) endorsed the Degree of Urbanisation (DEGURBA) as a workable method to delineate cities, urban and rural areas for international statistical comparisons. This definition combines population size and population density thresholds to classify the entire territory of a country along the urban-rural continuum, and captures the full extent of a city, including the dense neighbourhoods beyond the boundary of the central municipality. DEGURBA is applied in a two-step process: First, 1 km2 grid cells are classified based on population density, contiguity and population size. Subsequently, local units are classified as urban or rural based on the type of grid cells in which majority of their population resides. For the computation of </w:t>
      </w:r>
      <w:r>
        <w:rPr>
          <w:rStyle w:val="normaltextrun"/>
          <w:rFonts w:asciiTheme="majorBidi" w:eastAsiaTheme="majorEastAsia" w:hAnsiTheme="majorBidi" w:cstheme="majorBidi"/>
        </w:rPr>
        <w:t xml:space="preserve">SDG </w:t>
      </w:r>
      <w:r w:rsidRPr="00ED7E61">
        <w:rPr>
          <w:rStyle w:val="normaltextrun"/>
          <w:rFonts w:asciiTheme="majorBidi" w:eastAsiaTheme="majorEastAsia" w:hAnsiTheme="majorBidi" w:cstheme="majorBidi"/>
        </w:rPr>
        <w:t>indicator 11.7.1, built up areas, as the indicator denominator has the same meaning as “</w:t>
      </w:r>
      <w:r w:rsidRPr="00FB1598">
        <w:rPr>
          <w:rStyle w:val="normaltextrun"/>
          <w:rFonts w:asciiTheme="majorBidi" w:eastAsiaTheme="majorEastAsia" w:hAnsiTheme="majorBidi" w:cstheme="majorBidi"/>
          <w:i/>
          <w:iCs/>
        </w:rPr>
        <w:t>city</w:t>
      </w:r>
      <w:r w:rsidRPr="00ED7E61">
        <w:rPr>
          <w:rStyle w:val="normaltextrun"/>
          <w:rFonts w:asciiTheme="majorBidi" w:eastAsiaTheme="majorEastAsia" w:hAnsiTheme="majorBidi" w:cstheme="majorBidi"/>
        </w:rPr>
        <w:t>” (see definition of city above). </w:t>
      </w:r>
      <w:r w:rsidRPr="00ED7E61">
        <w:rPr>
          <w:rStyle w:val="eop"/>
          <w:rFonts w:asciiTheme="majorBidi" w:eastAsiaTheme="majorEastAsia" w:hAnsiTheme="majorBidi" w:cstheme="majorBidi"/>
        </w:rPr>
        <w:t> </w:t>
      </w:r>
    </w:p>
    <w:p w14:paraId="366387A4"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Public space: The Global Public Space toolkit defines Public Space as all places that are publicly owned or of public use, accessible and enjoyable by all, for free and without a profit motive, categorized into streets, open spaces and public facilities. Public space in general is defined as the meeting or gathering places that exist outside the home and workplace that are generally accessible by members of the public, and which foster resident interaction and opportunities for contact and proximity. This definition implies a higher level of community interaction and places a focus on public involvement rather than public ownership or stewardship. </w:t>
      </w:r>
      <w:proofErr w:type="gramStart"/>
      <w:r w:rsidRPr="00ED7E61">
        <w:rPr>
          <w:rStyle w:val="normaltextrun"/>
          <w:rFonts w:asciiTheme="majorBidi" w:eastAsiaTheme="majorEastAsia" w:hAnsiTheme="majorBidi" w:cstheme="majorBidi"/>
        </w:rPr>
        <w:t>For the purpose of</w:t>
      </w:r>
      <w:proofErr w:type="gramEnd"/>
      <w:r w:rsidRPr="00ED7E61">
        <w:rPr>
          <w:rStyle w:val="normaltextrun"/>
          <w:rFonts w:asciiTheme="majorBidi" w:eastAsiaTheme="majorEastAsia" w:hAnsiTheme="majorBidi" w:cstheme="majorBidi"/>
        </w:rPr>
        <w:t xml:space="preserve"> monitoring and reporting on </w:t>
      </w:r>
      <w:r>
        <w:rPr>
          <w:rStyle w:val="normaltextrun"/>
          <w:rFonts w:asciiTheme="majorBidi" w:eastAsiaTheme="majorEastAsia" w:hAnsiTheme="majorBidi" w:cstheme="majorBidi"/>
        </w:rPr>
        <w:t xml:space="preserve">SDG </w:t>
      </w:r>
      <w:r w:rsidRPr="00ED7E61">
        <w:rPr>
          <w:rStyle w:val="normaltextrun"/>
          <w:rFonts w:asciiTheme="majorBidi" w:eastAsiaTheme="majorEastAsia" w:hAnsiTheme="majorBidi" w:cstheme="majorBidi"/>
        </w:rPr>
        <w:t>indicator 11.7.1, public space is defined as all places of public use, accessible by all, and comprises open public space and streets. </w:t>
      </w:r>
      <w:r w:rsidRPr="00ED7E61">
        <w:rPr>
          <w:rStyle w:val="eop"/>
          <w:rFonts w:asciiTheme="majorBidi" w:eastAsiaTheme="majorEastAsia" w:hAnsiTheme="majorBidi" w:cstheme="majorBidi"/>
        </w:rPr>
        <w:t> </w:t>
      </w:r>
    </w:p>
    <w:p w14:paraId="23576889"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Land allocated to streets refers to the total area of the city/urban area that is occupied by all forms of streets (as defined above). This indicator only includes streets available at the time of data collection and excludes proposed networks.</w:t>
      </w:r>
      <w:r w:rsidRPr="00ED7E61">
        <w:rPr>
          <w:rStyle w:val="eop"/>
          <w:rFonts w:asciiTheme="majorBidi" w:eastAsiaTheme="majorEastAsia" w:hAnsiTheme="majorBidi" w:cstheme="majorBidi"/>
        </w:rPr>
        <w:t> </w:t>
      </w:r>
    </w:p>
    <w:p w14:paraId="6B520DF5"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Open public </w:t>
      </w:r>
      <w:proofErr w:type="gramStart"/>
      <w:r w:rsidRPr="00ED7E61">
        <w:rPr>
          <w:rStyle w:val="normaltextrun"/>
          <w:rFonts w:asciiTheme="majorBidi" w:eastAsiaTheme="majorEastAsia" w:hAnsiTheme="majorBidi" w:cstheme="majorBidi"/>
        </w:rPr>
        <w:t>space:</w:t>
      </w:r>
      <w:proofErr w:type="gramEnd"/>
      <w:r w:rsidRPr="00ED7E61">
        <w:rPr>
          <w:rStyle w:val="normaltextrun"/>
          <w:rFonts w:asciiTheme="majorBidi" w:eastAsiaTheme="majorEastAsia" w:hAnsiTheme="majorBidi" w:cstheme="majorBidi"/>
        </w:rPr>
        <w:t xml:space="preserve"> is any open piece of land that is undeveloped or land with no buildings (or other built structures) that is accessible to the public without </w:t>
      </w:r>
      <w:proofErr w:type="gramStart"/>
      <w:r w:rsidRPr="00ED7E61">
        <w:rPr>
          <w:rStyle w:val="normaltextrun"/>
          <w:rFonts w:asciiTheme="majorBidi" w:eastAsiaTheme="majorEastAsia" w:hAnsiTheme="majorBidi" w:cstheme="majorBidi"/>
        </w:rPr>
        <w:t>charge, and</w:t>
      </w:r>
      <w:proofErr w:type="gramEnd"/>
      <w:r w:rsidRPr="00ED7E61">
        <w:rPr>
          <w:rStyle w:val="normaltextrun"/>
          <w:rFonts w:asciiTheme="majorBidi" w:eastAsiaTheme="majorEastAsia" w:hAnsiTheme="majorBidi" w:cstheme="majorBidi"/>
        </w:rPr>
        <w:t xml:space="preserve"> provides recreational areas for residents and helps to enhance the beauty and environmental quality of neighbourhoods.  UN-Habitat recognizes that different cities have different types of open public spaces, which vary in both size and typology. Based on the size of both soft and hard surfaces, open public spaces are broadly classified into six categories: national/metropolitan open spaces, regional/larger city open spaces, district/city open spaces, neighbourhood open spaces, local/pocket open spaces and linear open spaces.  Classification of open public space by typology is described by the function of the space and can </w:t>
      </w:r>
      <w:proofErr w:type="gramStart"/>
      <w:r w:rsidRPr="00ED7E61">
        <w:rPr>
          <w:rStyle w:val="normaltextrun"/>
          <w:rFonts w:asciiTheme="majorBidi" w:eastAsiaTheme="majorEastAsia" w:hAnsiTheme="majorBidi" w:cstheme="majorBidi"/>
        </w:rPr>
        <w:t>include:</w:t>
      </w:r>
      <w:proofErr w:type="gramEnd"/>
      <w:r w:rsidRPr="00ED7E61">
        <w:rPr>
          <w:rStyle w:val="normaltextrun"/>
          <w:rFonts w:asciiTheme="majorBidi" w:eastAsiaTheme="majorEastAsia" w:hAnsiTheme="majorBidi" w:cstheme="majorBidi"/>
        </w:rPr>
        <w:t xml:space="preserve"> green public areas, riparian reserves, parks and urban forests, playground, square, plazas, waterfronts, sports field, community gardens, parklets and pocket parks. </w:t>
      </w:r>
      <w:r w:rsidRPr="00ED7E61">
        <w:rPr>
          <w:rStyle w:val="eop"/>
          <w:rFonts w:asciiTheme="majorBidi" w:eastAsiaTheme="majorEastAsia" w:hAnsiTheme="majorBidi" w:cstheme="majorBidi"/>
        </w:rPr>
        <w:t> </w:t>
      </w:r>
    </w:p>
    <w:p w14:paraId="45EE6711"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 xml:space="preserve">Potential open public space:  the identification of open public spaces across cities can be implemented through, among other sources, analysis of high to very </w:t>
      </w:r>
      <w:proofErr w:type="gramStart"/>
      <w:r w:rsidRPr="00ED7E61">
        <w:rPr>
          <w:rStyle w:val="normaltextrun"/>
          <w:rFonts w:asciiTheme="majorBidi" w:eastAsiaTheme="majorEastAsia" w:hAnsiTheme="majorBidi" w:cstheme="majorBidi"/>
        </w:rPr>
        <w:t>high resolution</w:t>
      </w:r>
      <w:proofErr w:type="gramEnd"/>
      <w:r w:rsidRPr="00ED7E61">
        <w:rPr>
          <w:rStyle w:val="normaltextrun"/>
          <w:rFonts w:asciiTheme="majorBidi" w:eastAsiaTheme="majorEastAsia" w:hAnsiTheme="majorBidi" w:cstheme="majorBidi"/>
        </w:rPr>
        <w:t xml:space="preserve"> satellite imagery, from </w:t>
      </w:r>
      <w:proofErr w:type="gramStart"/>
      <w:r w:rsidRPr="00ED7E61">
        <w:rPr>
          <w:rStyle w:val="normaltextrun"/>
          <w:rFonts w:asciiTheme="majorBidi" w:eastAsiaTheme="majorEastAsia" w:hAnsiTheme="majorBidi" w:cstheme="majorBidi"/>
        </w:rPr>
        <w:t>base-maps</w:t>
      </w:r>
      <w:proofErr w:type="gramEnd"/>
      <w:r w:rsidRPr="00ED7E61">
        <w:rPr>
          <w:rStyle w:val="normaltextrun"/>
          <w:rFonts w:asciiTheme="majorBidi" w:eastAsiaTheme="majorEastAsia" w:hAnsiTheme="majorBidi" w:cstheme="majorBidi"/>
        </w:rPr>
        <w:t xml:space="preserve"> provided by different organizations (e</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g</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OpenStreetMap, Esri, etc</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or as crowd-sourced and volunteered data. While these sources provide important baseline data for</w:t>
      </w:r>
      <w:r>
        <w:rPr>
          <w:rStyle w:val="normaltextrun"/>
          <w:rFonts w:asciiTheme="majorBidi" w:eastAsiaTheme="majorEastAsia" w:hAnsiTheme="majorBidi" w:cstheme="majorBidi"/>
        </w:rPr>
        <w:t xml:space="preserve"> SDG</w:t>
      </w:r>
      <w:r w:rsidRPr="00ED7E61">
        <w:rPr>
          <w:rStyle w:val="normaltextrun"/>
          <w:rFonts w:asciiTheme="majorBidi" w:eastAsiaTheme="majorEastAsia" w:hAnsiTheme="majorBidi" w:cstheme="majorBidi"/>
        </w:rPr>
        <w:t xml:space="preserve"> indicator 11.7.1, some of the identifiable spaces may not meet the criteria of being “</w:t>
      </w:r>
      <w:r w:rsidRPr="00FB1598">
        <w:rPr>
          <w:rStyle w:val="normaltextrun"/>
          <w:rFonts w:asciiTheme="majorBidi" w:eastAsiaTheme="majorEastAsia" w:hAnsiTheme="majorBidi" w:cstheme="majorBidi"/>
          <w:i/>
          <w:iCs/>
        </w:rPr>
        <w:t>accessible to the public without charge</w:t>
      </w:r>
      <w:r w:rsidRPr="00ED7E61">
        <w:rPr>
          <w:rStyle w:val="normaltextrun"/>
          <w:rFonts w:asciiTheme="majorBidi" w:eastAsiaTheme="majorEastAsia" w:hAnsiTheme="majorBidi" w:cstheme="majorBidi"/>
        </w:rPr>
        <w:t>”. The term “</w:t>
      </w:r>
      <w:r w:rsidRPr="00FB1598">
        <w:rPr>
          <w:rStyle w:val="normaltextrun"/>
          <w:rFonts w:asciiTheme="majorBidi" w:eastAsiaTheme="majorEastAsia" w:hAnsiTheme="majorBidi" w:cstheme="majorBidi"/>
          <w:i/>
          <w:iCs/>
        </w:rPr>
        <w:t>potential open public space</w:t>
      </w:r>
      <w:r w:rsidRPr="00ED7E61">
        <w:rPr>
          <w:rStyle w:val="normaltextrun"/>
          <w:rFonts w:asciiTheme="majorBidi" w:eastAsiaTheme="majorEastAsia" w:hAnsiTheme="majorBidi" w:cstheme="majorBidi"/>
        </w:rPr>
        <w:t>” is thus used to refer to open public spaces which are extracted from the above-mentioned sources (based on their spatial character), but which are not yet validated to confirm if they are accessible to the public without charge.</w:t>
      </w:r>
      <w:r w:rsidRPr="00ED7E61">
        <w:rPr>
          <w:rStyle w:val="eop"/>
          <w:rFonts w:asciiTheme="majorBidi" w:eastAsiaTheme="majorEastAsia" w:hAnsiTheme="majorBidi" w:cstheme="majorBidi"/>
        </w:rPr>
        <w:t> </w:t>
      </w:r>
    </w:p>
    <w:p w14:paraId="65F4C2C7"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Streets are defined thoroughfares that are based inside urban areas, towns, cities and neighbourhoods </w:t>
      </w:r>
      <w:proofErr w:type="gramStart"/>
      <w:r w:rsidRPr="00ED7E61">
        <w:rPr>
          <w:rStyle w:val="normaltextrun"/>
          <w:rFonts w:asciiTheme="majorBidi" w:eastAsiaTheme="majorEastAsia" w:hAnsiTheme="majorBidi" w:cstheme="majorBidi"/>
        </w:rPr>
        <w:t>most commonly lined</w:t>
      </w:r>
      <w:proofErr w:type="gramEnd"/>
      <w:r w:rsidRPr="00ED7E61">
        <w:rPr>
          <w:rStyle w:val="normaltextrun"/>
          <w:rFonts w:asciiTheme="majorBidi" w:eastAsiaTheme="majorEastAsia" w:hAnsiTheme="majorBidi" w:cstheme="majorBidi"/>
        </w:rPr>
        <w:t xml:space="preserve"> with houses or buildings used by pedestrians or vehicles </w:t>
      </w:r>
      <w:proofErr w:type="gramStart"/>
      <w:r w:rsidRPr="00ED7E61">
        <w:rPr>
          <w:rStyle w:val="normaltextrun"/>
          <w:rFonts w:asciiTheme="majorBidi" w:eastAsiaTheme="majorEastAsia" w:hAnsiTheme="majorBidi" w:cstheme="majorBidi"/>
        </w:rPr>
        <w:t>in order to</w:t>
      </w:r>
      <w:proofErr w:type="gramEnd"/>
      <w:r w:rsidRPr="00ED7E61">
        <w:rPr>
          <w:rStyle w:val="normaltextrun"/>
          <w:rFonts w:asciiTheme="majorBidi" w:eastAsiaTheme="majorEastAsia" w:hAnsiTheme="majorBidi" w:cstheme="majorBidi"/>
        </w:rPr>
        <w:t xml:space="preserve"> go from one place to another in the city, interact and to earn a livelihood. The main purpose of a street is facilitating movement and enabling public interaction. The following elements are considered as streets </w:t>
      </w:r>
      <w:proofErr w:type="gramStart"/>
      <w:r w:rsidRPr="00ED7E61">
        <w:rPr>
          <w:rStyle w:val="normaltextrun"/>
          <w:rFonts w:asciiTheme="majorBidi" w:eastAsiaTheme="majorEastAsia" w:hAnsiTheme="majorBidi" w:cstheme="majorBidi"/>
        </w:rPr>
        <w:t>space:</w:t>
      </w:r>
      <w:proofErr w:type="gramEnd"/>
      <w:r w:rsidRPr="00ED7E61">
        <w:rPr>
          <w:rStyle w:val="normaltextrun"/>
          <w:rFonts w:asciiTheme="majorBidi" w:eastAsiaTheme="majorEastAsia" w:hAnsiTheme="majorBidi" w:cstheme="majorBidi"/>
        </w:rPr>
        <w:t xml:space="preserve"> Streets, avenues and boulevards, pavements, passages and galleries, Bicycle paths, sidewalks, traffic island, tramways and roundabouts. Elements excluded from street space include plots (either built-up), open space blocks, railways, paved space within parking lots and airports and individual industries.</w:t>
      </w:r>
      <w:r w:rsidRPr="00ED7E61">
        <w:rPr>
          <w:rStyle w:val="eop"/>
          <w:rFonts w:asciiTheme="majorBidi" w:eastAsiaTheme="majorEastAsia" w:hAnsiTheme="majorBidi" w:cstheme="majorBidi"/>
        </w:rPr>
        <w:t> </w:t>
      </w:r>
    </w:p>
    <w:p w14:paraId="79E130B2" w14:textId="77777777" w:rsidR="00F3532F" w:rsidRPr="00D804E8"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For more details and illustrations on the definition of the different types of open spaces considered for </w:t>
      </w:r>
      <w:r>
        <w:rPr>
          <w:rStyle w:val="normaltextrun"/>
          <w:rFonts w:asciiTheme="majorBidi" w:eastAsiaTheme="majorEastAsia" w:hAnsiTheme="majorBidi" w:cstheme="majorBidi"/>
        </w:rPr>
        <w:t xml:space="preserve">SDG </w:t>
      </w:r>
      <w:r w:rsidRPr="00ED7E61">
        <w:rPr>
          <w:rStyle w:val="normaltextrun"/>
          <w:rFonts w:asciiTheme="majorBidi" w:eastAsiaTheme="majorEastAsia" w:hAnsiTheme="majorBidi" w:cstheme="majorBidi"/>
        </w:rPr>
        <w:t xml:space="preserve">indicator 11.7.1 see </w:t>
      </w:r>
      <w:r>
        <w:rPr>
          <w:rStyle w:val="normaltextrun"/>
          <w:rFonts w:asciiTheme="majorBidi" w:eastAsiaTheme="majorEastAsia" w:hAnsiTheme="majorBidi" w:cstheme="majorBidi"/>
        </w:rPr>
        <w:t>the</w:t>
      </w:r>
      <w:r w:rsidRPr="00ED7E61">
        <w:rPr>
          <w:rStyle w:val="normaltextrun"/>
          <w:rFonts w:asciiTheme="majorBidi" w:eastAsiaTheme="majorEastAsia" w:hAnsiTheme="majorBidi" w:cstheme="majorBidi"/>
        </w:rPr>
        <w:t xml:space="preserve"> </w:t>
      </w:r>
      <w:proofErr w:type="gramStart"/>
      <w:r w:rsidRPr="00ED7E61">
        <w:rPr>
          <w:rStyle w:val="normaltextrun"/>
          <w:rFonts w:asciiTheme="majorBidi" w:eastAsiaTheme="majorEastAsia" w:hAnsiTheme="majorBidi" w:cstheme="majorBidi"/>
        </w:rPr>
        <w:t>step by step</w:t>
      </w:r>
      <w:proofErr w:type="gramEnd"/>
      <w:r w:rsidRPr="00ED7E61">
        <w:rPr>
          <w:rStyle w:val="normaltextrun"/>
          <w:rFonts w:asciiTheme="majorBidi" w:eastAsiaTheme="majorEastAsia" w:hAnsiTheme="majorBidi" w:cstheme="majorBidi"/>
        </w:rPr>
        <w:t xml:space="preserve"> training module (</w:t>
      </w:r>
      <w:hyperlink r:id="rId414" w:tgtFrame="_blank" w:history="1">
        <w:r w:rsidRPr="00ED7E61">
          <w:rPr>
            <w:rStyle w:val="normaltextrun"/>
            <w:rFonts w:asciiTheme="majorBidi" w:eastAsiaTheme="majorEastAsia" w:hAnsiTheme="majorBidi" w:cstheme="majorBidi"/>
            <w:color w:val="0000FF"/>
          </w:rPr>
          <w:t>https://unhabitat.org/sites/default/files/2020/07/indicator_11.7.1_training_module_public_space.pdf</w:t>
        </w:r>
      </w:hyperlink>
      <w:r w:rsidRPr="00ED7E61">
        <w:rPr>
          <w:rStyle w:val="normaltextrun"/>
          <w:rFonts w:asciiTheme="majorBidi" w:eastAsiaTheme="majorEastAsia" w:hAnsiTheme="majorBidi" w:cstheme="majorBidi"/>
        </w:rPr>
        <w:t>).</w:t>
      </w:r>
    </w:p>
    <w:p w14:paraId="4F1605CA"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5b. Method of computation</w:t>
      </w:r>
      <w:r w:rsidRPr="00ED7E61">
        <w:rPr>
          <w:rStyle w:val="eop"/>
          <w:rFonts w:asciiTheme="majorBidi" w:eastAsiaTheme="majorEastAsia" w:hAnsiTheme="majorBidi" w:cstheme="majorBidi"/>
          <w:sz w:val="22"/>
          <w:szCs w:val="22"/>
        </w:rPr>
        <w:t> </w:t>
      </w:r>
    </w:p>
    <w:p w14:paraId="1AE8EA3B"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following is the definition of the SDG 11.7.1 indicator and consequently there could be small variations in the definition for </w:t>
      </w:r>
      <w:proofErr w:type="gramStart"/>
      <w:r w:rsidRPr="00ED7E61">
        <w:rPr>
          <w:rStyle w:val="normaltextrun"/>
          <w:rFonts w:asciiTheme="majorBidi" w:eastAsiaTheme="majorEastAsia" w:hAnsiTheme="majorBidi" w:cstheme="majorBidi"/>
        </w:rPr>
        <w:t>the</w:t>
      </w:r>
      <w:r>
        <w:rPr>
          <w:rStyle w:val="normaltextrun"/>
          <w:rFonts w:asciiTheme="majorBidi" w:eastAsiaTheme="majorEastAsia" w:hAnsiTheme="majorBidi" w:cstheme="majorBidi"/>
        </w:rPr>
        <w:t xml:space="preserve"> ”</w:t>
      </w:r>
      <w:r w:rsidRPr="00FB1598">
        <w:rPr>
          <w:rStyle w:val="normaltextrun"/>
          <w:rFonts w:asciiTheme="majorBidi" w:eastAsiaTheme="majorEastAsia" w:hAnsiTheme="majorBidi" w:cstheme="majorBidi"/>
          <w:i/>
          <w:iCs/>
          <w:shd w:val="clear" w:color="auto" w:fill="FFFFFF"/>
        </w:rPr>
        <w:t>Average</w:t>
      </w:r>
      <w:proofErr w:type="gramEnd"/>
      <w:r w:rsidRPr="00FB1598">
        <w:rPr>
          <w:rStyle w:val="normaltextrun"/>
          <w:rFonts w:asciiTheme="majorBidi" w:eastAsiaTheme="majorEastAsia" w:hAnsiTheme="majorBidi" w:cstheme="majorBidi"/>
          <w:i/>
          <w:iCs/>
          <w:shd w:val="clear" w:color="auto" w:fill="FFFFFF"/>
        </w:rPr>
        <w:t xml:space="preserve"> share of the built-up area of cities that is green/blue space for public use for all</w:t>
      </w:r>
      <w:r>
        <w:rPr>
          <w:rStyle w:val="normaltextrun"/>
          <w:rFonts w:asciiTheme="majorBidi" w:eastAsiaTheme="majorEastAsia" w:hAnsiTheme="majorBidi" w:cstheme="majorBidi"/>
          <w:shd w:val="clear" w:color="auto" w:fill="FFFFFF"/>
        </w:rPr>
        <w:t>”</w:t>
      </w:r>
      <w:r w:rsidRPr="00ED7E61">
        <w:rPr>
          <w:rStyle w:val="normaltextrun"/>
          <w:rFonts w:asciiTheme="majorBidi" w:eastAsiaTheme="majorEastAsia" w:hAnsiTheme="majorBidi" w:cstheme="majorBidi"/>
          <w:shd w:val="clear" w:color="auto" w:fill="FFFFFF"/>
        </w:rPr>
        <w:t>.</w:t>
      </w:r>
      <w:r w:rsidRPr="00ED7E61">
        <w:rPr>
          <w:rStyle w:val="eop"/>
          <w:rFonts w:asciiTheme="majorBidi" w:eastAsiaTheme="majorEastAsia" w:hAnsiTheme="majorBidi" w:cstheme="majorBidi"/>
        </w:rPr>
        <w:t> </w:t>
      </w:r>
    </w:p>
    <w:p w14:paraId="746E96B9"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method to estimate the area of public space has been globally piloted in over 600 cities and this follows a series of methodological developments that go back to the last 7 years. The finalized methodology is a three-step process: </w:t>
      </w:r>
      <w:r w:rsidRPr="00ED7E61">
        <w:rPr>
          <w:rStyle w:val="eop"/>
          <w:rFonts w:asciiTheme="majorBidi" w:eastAsiaTheme="majorEastAsia" w:hAnsiTheme="majorBidi" w:cstheme="majorBidi"/>
        </w:rPr>
        <w:t> </w:t>
      </w:r>
    </w:p>
    <w:p w14:paraId="51992760"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Spatial analysis to delimit the city/urban area which will act as the geographical scope for the spatial analysis and indicator computation; </w:t>
      </w:r>
      <w:r w:rsidRPr="00ED7E61">
        <w:rPr>
          <w:rStyle w:val="normaltextrun"/>
          <w:color w:val="242424"/>
        </w:rPr>
        <w:t> </w:t>
      </w:r>
    </w:p>
    <w:p w14:paraId="7B886490"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Spatial analysis to identify potential open public spaces, expert consultations and/or field work to validate data and assess the quality of spaces and calculation of the total area occupied by the verified open public spaces; </w:t>
      </w:r>
      <w:r w:rsidRPr="00ED7E61">
        <w:rPr>
          <w:rStyle w:val="normaltextrun"/>
          <w:color w:val="242424"/>
        </w:rPr>
        <w:t> </w:t>
      </w:r>
    </w:p>
    <w:p w14:paraId="3A86EE96"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Estimation of the total area allocated to streets;</w:t>
      </w:r>
      <w:r w:rsidRPr="00ED7E61">
        <w:rPr>
          <w:rStyle w:val="normaltextrun"/>
          <w:color w:val="242424"/>
        </w:rPr>
        <w:t> </w:t>
      </w:r>
    </w:p>
    <w:p w14:paraId="657BB726"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Estimation of share of population with access to open public spaces within 400 meters walking distance out of the total population in the city/ urban area and disaggregation of the population with access by sex, age and persons with disabilities </w:t>
      </w:r>
      <w:r w:rsidRPr="00ED7E61">
        <w:rPr>
          <w:rStyle w:val="normaltextrun"/>
          <w:color w:val="242424"/>
        </w:rPr>
        <w:t> </w:t>
      </w:r>
    </w:p>
    <w:p w14:paraId="562E11A8" w14:textId="77777777" w:rsidR="00F3532F" w:rsidRPr="00ED7E61" w:rsidRDefault="00F3532F" w:rsidP="00F3532F">
      <w:pPr>
        <w:pStyle w:val="paragraph"/>
        <w:shd w:val="clear" w:color="auto" w:fill="FFFFFF"/>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Spatial analysis to delimit the city/urban area  </w:t>
      </w:r>
      <w:r w:rsidRPr="00ED7E61">
        <w:rPr>
          <w:rStyle w:val="eop"/>
          <w:rFonts w:asciiTheme="majorBidi" w:eastAsiaTheme="majorEastAsia" w:hAnsiTheme="majorBidi" w:cstheme="majorBidi"/>
          <w:sz w:val="22"/>
          <w:szCs w:val="22"/>
        </w:rPr>
        <w:t> </w:t>
      </w:r>
    </w:p>
    <w:p w14:paraId="4068469A"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shd w:val="clear" w:color="auto" w:fill="FFFFFF"/>
        </w:rPr>
        <w:t>Following</w:t>
      </w:r>
      <w:r w:rsidRPr="00ED7E61">
        <w:rPr>
          <w:rStyle w:val="normaltextrun"/>
          <w:rFonts w:asciiTheme="majorBidi" w:eastAsiaTheme="majorEastAsia" w:hAnsiTheme="majorBidi" w:cstheme="majorBidi"/>
        </w:rPr>
        <w:t xml:space="preserve"> consultations with 86 member states, the United Nations Statistical Commission in its 51</w:t>
      </w:r>
      <w:r w:rsidRPr="00ED7E61">
        <w:rPr>
          <w:rStyle w:val="normaltextrun"/>
          <w:rFonts w:asciiTheme="majorBidi" w:eastAsiaTheme="majorEastAsia" w:hAnsiTheme="majorBidi" w:cstheme="majorBidi"/>
          <w:vertAlign w:val="superscript"/>
        </w:rPr>
        <w:t>st</w:t>
      </w:r>
      <w:r w:rsidRPr="00ED7E61">
        <w:rPr>
          <w:rStyle w:val="normaltextrun"/>
          <w:rFonts w:asciiTheme="majorBidi" w:eastAsiaTheme="majorEastAsia" w:hAnsiTheme="majorBidi" w:cstheme="majorBidi"/>
        </w:rPr>
        <w:t xml:space="preserve"> Session (March 2020) endorsed the Degree of Urbanisation (DEGURBA) as a workable method to delineate cities, urban and rural areas for international statistical comparisons. Countries are thus encouraged to adopt this approach, which will help them produce data that is comparable across urban areas within their territories, as well as with urban areas and cities in other countries. More details on DEGURBA and its application are available here:  </w:t>
      </w:r>
      <w:hyperlink r:id="rId415" w:tgtFrame="_blank" w:history="1">
        <w:r w:rsidRPr="00ED7E61">
          <w:rPr>
            <w:rStyle w:val="normaltextrun"/>
            <w:rFonts w:asciiTheme="majorBidi" w:eastAsiaTheme="majorEastAsia" w:hAnsiTheme="majorBidi" w:cstheme="majorBidi"/>
            <w:color w:val="467886"/>
            <w:u w:val="single"/>
            <w:shd w:val="clear" w:color="auto" w:fill="E1E3E6"/>
          </w:rPr>
          <w:t>https://unstats.un.org/unsd/statcom/51st-session/documents/BG-Item3j-Recommendation-E.pdf</w:t>
        </w:r>
      </w:hyperlink>
      <w:r>
        <w:rPr>
          <w:rStyle w:val="normaltextrun"/>
          <w:rFonts w:asciiTheme="majorBidi" w:eastAsiaTheme="majorEastAsia" w:hAnsiTheme="majorBidi" w:cstheme="majorBidi"/>
          <w:color w:val="467886"/>
          <w:u w:val="single"/>
          <w:shd w:val="clear" w:color="auto" w:fill="E1E3E6"/>
        </w:rPr>
        <w:t>.</w:t>
      </w:r>
      <w:r w:rsidRPr="00ED7E61">
        <w:rPr>
          <w:rStyle w:val="eop"/>
          <w:rFonts w:asciiTheme="majorBidi" w:eastAsiaTheme="majorEastAsia" w:hAnsiTheme="majorBidi" w:cstheme="majorBidi"/>
        </w:rPr>
        <w:t> </w:t>
      </w:r>
    </w:p>
    <w:p w14:paraId="7B696359" w14:textId="77777777" w:rsidR="00F3532F" w:rsidRPr="00ED7E61" w:rsidRDefault="00F3532F" w:rsidP="00F3532F">
      <w:pPr>
        <w:pStyle w:val="paragraph"/>
        <w:shd w:val="clear" w:color="auto" w:fill="FFFFFF"/>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Spatial analysis to identify potential open public spaces, ground verification and estimating their total area</w:t>
      </w:r>
      <w:r w:rsidRPr="00ED7E61">
        <w:rPr>
          <w:rStyle w:val="eop"/>
          <w:rFonts w:asciiTheme="majorBidi" w:eastAsiaTheme="majorEastAsia" w:hAnsiTheme="majorBidi" w:cstheme="majorBidi"/>
          <w:sz w:val="22"/>
          <w:szCs w:val="22"/>
        </w:rPr>
        <w:t> </w:t>
      </w:r>
    </w:p>
    <w:p w14:paraId="151552A2"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shd w:val="clear" w:color="auto" w:fill="FFFFFF"/>
        </w:rPr>
        <w:lastRenderedPageBreak/>
        <w:t>This</w:t>
      </w:r>
      <w:r w:rsidRPr="00ED7E61">
        <w:rPr>
          <w:rStyle w:val="normaltextrun"/>
          <w:rFonts w:asciiTheme="majorBidi" w:eastAsiaTheme="majorEastAsia" w:hAnsiTheme="majorBidi" w:cstheme="majorBidi"/>
        </w:rPr>
        <w:t xml:space="preserve"> step involves mapping of potential open public spaces within the urban boundaries defined in step one above and estimation of their area. Identification of potential open public spaces is based on the spatial character of each space and is also informed by existing country/ city land use maps and open space inventories. To compute this component of the indicator, follow these steps:</w:t>
      </w:r>
      <w:r w:rsidRPr="00ED7E61">
        <w:rPr>
          <w:rStyle w:val="eop"/>
          <w:rFonts w:asciiTheme="majorBidi" w:eastAsiaTheme="majorEastAsia" w:hAnsiTheme="majorBidi" w:cstheme="majorBidi"/>
        </w:rPr>
        <w:t> </w:t>
      </w:r>
    </w:p>
    <w:p w14:paraId="6E0FC9B8"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An inventory of Open Public Spaces should be the initial source of information. Additional legal documents, land use plans and other official sources of information can be used to complement the data from the inventory. If the focus urban area or city has a detailed and up-to-date database of its open public spaces, use the information to plot such spaces in GIS software and compute their areas. Where necessary, clean data to remove components which are not applicable in the computation of this sub-indicator (e.g. recreation areas which attract a fee such as golf courses, etc</w:t>
      </w:r>
      <w:r>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 </w:t>
      </w:r>
      <w:r w:rsidRPr="00ED7E61">
        <w:rPr>
          <w:rStyle w:val="normaltextrun"/>
          <w:color w:val="242424"/>
        </w:rPr>
        <w:t> </w:t>
      </w:r>
    </w:p>
    <w:p w14:paraId="6EBA92E0"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Style w:val="normaltextrun"/>
          <w:rFonts w:asciiTheme="majorBidi" w:eastAsiaTheme="majorEastAsia" w:hAnsiTheme="majorBidi" w:cstheme="majorBidi"/>
          <w:color w:val="242424"/>
        </w:rPr>
      </w:pPr>
      <w:r w:rsidRPr="00ED7E61">
        <w:rPr>
          <w:rStyle w:val="normaltextrun"/>
          <w:rFonts w:asciiTheme="majorBidi" w:eastAsiaTheme="majorEastAsia" w:hAnsiTheme="majorBidi" w:cstheme="majorBidi"/>
          <w:color w:val="242424"/>
        </w:rPr>
        <w:t>Since many cities and countries do not have an open public spaces inventory, satellite imagery can be used to extract information on potential open public spaces. The identification of such spaces from imagery should be based on careful evaluation of the character of each space against the known forms of open public spaces within that city / country. High resolution satellite imagery or Google Earth imagery can be used in this analysis. Open data sources such as OpenStreetMap (OSM) have some polygon data on open spaces in many cities. While this data may not be comprehensive for all cities, it can contribute to the data collection efforts and can be explored. </w:t>
      </w:r>
      <w:r w:rsidRPr="00ED7E61">
        <w:rPr>
          <w:rStyle w:val="normaltextrun"/>
          <w:color w:val="242424"/>
        </w:rPr>
        <w:t> </w:t>
      </w:r>
    </w:p>
    <w:p w14:paraId="06A17F1C"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Using the data extracted from step 2 above, undertake validation to remove spaces which are not open for public use (e.g. private non-</w:t>
      </w:r>
      <w:proofErr w:type="gramStart"/>
      <w:r w:rsidRPr="00ED7E61">
        <w:rPr>
          <w:rStyle w:val="normaltextrun"/>
          <w:rFonts w:asciiTheme="majorBidi" w:eastAsiaTheme="majorEastAsia" w:hAnsiTheme="majorBidi" w:cstheme="majorBidi"/>
          <w:color w:val="242424"/>
        </w:rPr>
        <w:t>built up</w:t>
      </w:r>
      <w:proofErr w:type="gramEnd"/>
      <w:r w:rsidRPr="00ED7E61">
        <w:rPr>
          <w:rStyle w:val="normaltextrun"/>
          <w:rFonts w:asciiTheme="majorBidi" w:eastAsiaTheme="majorEastAsia" w:hAnsiTheme="majorBidi" w:cstheme="majorBidi"/>
          <w:color w:val="242424"/>
        </w:rPr>
        <w:t xml:space="preserve"> land within the urban area), or to add new spaces that might have been omitted during the extraction stage. This can be achieved through analysing the character of spaces (e.g. size, shape, land cover, etc</w:t>
      </w:r>
      <w:r>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 comparison of </w:t>
      </w:r>
      <w:r w:rsidRPr="00ED7E61">
        <w:rPr>
          <w:rStyle w:val="normaltextrun"/>
          <w:color w:val="242424"/>
        </w:rPr>
        <w:t> </w:t>
      </w:r>
    </w:p>
    <w:p w14:paraId="7C95FFA7"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identified spaces with known recreational areas within the city or with data from OpenStreetMap, or consultations with city leaders, local civil society groups, community representatives among others. UN-Habitat, in consultation with partners, experts and data producers have developed a detailed tool to facilitate the verification of each space and collection of additional data on the space quality and accessibility. This tool is freely available and allows for on-site definition/ editing of the space’s boundaries. It also contains standard and extended questions which collect data relevant to the indicator, including location of the spaces, their ownership and management, safety, inclusivity and accessibility. This data provides basic information about each space, as well as information relevant for disaggregation - such as access issues linked to age, gender and disabilities, as requested for by the indicator. The tool is dynamic and allows cities to include extra questions which generate information that is useful for their decision making (Tool is available at </w:t>
      </w:r>
      <w:hyperlink r:id="rId416" w:anchor="IGFf6ubq" w:history="1">
        <w:r w:rsidRPr="00192E25">
          <w:rPr>
            <w:rStyle w:val="Hyperlink"/>
            <w:rFonts w:asciiTheme="majorBidi" w:eastAsiaTheme="majorEastAsia" w:hAnsiTheme="majorBidi" w:cstheme="majorBidi"/>
          </w:rPr>
          <w:t>https://ee.kobotoolbox.org/x/#IGFf6ubq</w:t>
        </w:r>
      </w:hyperlink>
      <w:r w:rsidRPr="00ED7E61">
        <w:rPr>
          <w:rStyle w:val="normaltextrun"/>
          <w:rFonts w:asciiTheme="majorBidi" w:eastAsiaTheme="majorEastAsia" w:hAnsiTheme="majorBidi" w:cstheme="majorBidi"/>
          <w:color w:val="242424"/>
        </w:rPr>
        <w:t>).</w:t>
      </w:r>
      <w:r>
        <w:rPr>
          <w:rStyle w:val="normaltextrun"/>
          <w:rFonts w:asciiTheme="majorBidi" w:eastAsiaTheme="majorEastAsia" w:hAnsiTheme="majorBidi" w:cstheme="majorBidi"/>
          <w:color w:val="242424"/>
        </w:rPr>
        <w:t xml:space="preserve"> </w:t>
      </w:r>
      <w:r w:rsidRPr="00ED7E61">
        <w:rPr>
          <w:rStyle w:val="normaltextrun"/>
          <w:rFonts w:asciiTheme="majorBidi" w:eastAsiaTheme="majorEastAsia" w:hAnsiTheme="majorBidi" w:cstheme="majorBidi"/>
          <w:color w:val="242424"/>
        </w:rPr>
        <w:t>It should however be noted that the validation approaches which require primary data collection are capital intensive and may not be feasible for most countries in the short term. Validation based on existing city-level data and continuous stakeholder engagement should thus be adopted since they have been shown to produce reliable results at lower costs.</w:t>
      </w:r>
      <w:r w:rsidRPr="00ED7E61">
        <w:rPr>
          <w:rStyle w:val="normaltextrun"/>
          <w:color w:val="242424"/>
        </w:rPr>
        <w:t> </w:t>
      </w:r>
    </w:p>
    <w:p w14:paraId="217DA97F"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Calculate the total area covered by the verified open public spaces. Once all open public spaces have been verified, calculate their area in GIS or other database management software. The share of land occupied by these spaces is then calculated using the formula:</w:t>
      </w:r>
    </w:p>
    <w:p w14:paraId="6CDC427A" w14:textId="77777777" w:rsidR="00F3532F" w:rsidRPr="00ED7E61" w:rsidRDefault="00F3532F" w:rsidP="00F3532F">
      <w:pPr>
        <w:pStyle w:val="paragraph"/>
        <w:shd w:val="clear" w:color="auto" w:fill="FFFFFF"/>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ED7E61">
        <w:rPr>
          <w:noProof/>
          <w:color w:val="000000"/>
          <w:lang w:val="fr-FR" w:eastAsia="fr-FR"/>
        </w:rPr>
        <w:drawing>
          <wp:inline distT="0" distB="0" distL="0" distR="0" wp14:anchorId="433094EE" wp14:editId="39CE33EC">
            <wp:extent cx="5029200" cy="556260"/>
            <wp:effectExtent l="0" t="0" r="0" b="15240"/>
            <wp:docPr id="1901489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7" r:link="rId418">
                      <a:extLst>
                        <a:ext uri="{28A0092B-C50C-407E-A947-70E740481C1C}">
                          <a14:useLocalDpi xmlns:a14="http://schemas.microsoft.com/office/drawing/2010/main" val="0"/>
                        </a:ext>
                      </a:extLst>
                    </a:blip>
                    <a:srcRect/>
                    <a:stretch>
                      <a:fillRect/>
                    </a:stretch>
                  </pic:blipFill>
                  <pic:spPr bwMode="auto">
                    <a:xfrm>
                      <a:off x="0" y="0"/>
                      <a:ext cx="5029200" cy="556260"/>
                    </a:xfrm>
                    <a:prstGeom prst="rect">
                      <a:avLst/>
                    </a:prstGeom>
                    <a:noFill/>
                    <a:ln>
                      <a:noFill/>
                    </a:ln>
                  </pic:spPr>
                </pic:pic>
              </a:graphicData>
            </a:graphic>
          </wp:inline>
        </w:drawing>
      </w:r>
    </w:p>
    <w:p w14:paraId="58EF3E40" w14:textId="77777777" w:rsidR="00F3532F" w:rsidRPr="00ED7E61" w:rsidRDefault="00F3532F" w:rsidP="00F3532F">
      <w:pPr>
        <w:pStyle w:val="paragraph"/>
        <w:shd w:val="clear" w:color="auto" w:fill="FFFFFF"/>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6D3407DF" w14:textId="77777777" w:rsidR="00F3532F" w:rsidRPr="00ED7E61" w:rsidRDefault="00F3532F" w:rsidP="00F3532F">
      <w:pPr>
        <w:pStyle w:val="paragraph"/>
        <w:shd w:val="clear" w:color="auto" w:fill="FFFFFF"/>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Computation of land allocated to streets (LAS) </w:t>
      </w:r>
      <w:r w:rsidRPr="00ED7E61">
        <w:rPr>
          <w:rStyle w:val="eop"/>
          <w:rFonts w:asciiTheme="majorBidi" w:eastAsiaTheme="majorEastAsia" w:hAnsiTheme="majorBidi" w:cstheme="majorBidi"/>
          <w:sz w:val="22"/>
          <w:szCs w:val="22"/>
        </w:rPr>
        <w:t> </w:t>
      </w:r>
    </w:p>
    <w:p w14:paraId="001EE210" w14:textId="77777777" w:rsidR="00F3532F" w:rsidRPr="00ED7E61" w:rsidRDefault="00F3532F" w:rsidP="00F3532F">
      <w:pPr>
        <w:pStyle w:val="CBDNormalNumber"/>
        <w:numPr>
          <w:ilvl w:val="0"/>
          <w:numId w:val="85"/>
        </w:numPr>
        <w:shd w:val="clear" w:color="auto" w:fill="FFFFFF"/>
        <w:ind w:left="567" w:firstLine="0"/>
        <w:rPr>
          <w:rStyle w:val="normaltextrun"/>
          <w:rFonts w:eastAsiaTheme="majorEastAsia"/>
          <w:shd w:val="clear" w:color="auto" w:fill="FFFFFF"/>
        </w:rPr>
      </w:pPr>
      <w:r w:rsidRPr="00ED7E61">
        <w:rPr>
          <w:rStyle w:val="normaltextrun"/>
          <w:rFonts w:asciiTheme="majorBidi" w:eastAsiaTheme="majorEastAsia" w:hAnsiTheme="majorBidi" w:cstheme="majorBidi"/>
        </w:rPr>
        <w:t>Where</w:t>
      </w:r>
      <w:r w:rsidRPr="00ED7E61">
        <w:rPr>
          <w:rStyle w:val="normaltextrun"/>
          <w:rFonts w:asciiTheme="majorBidi" w:eastAsiaTheme="majorEastAsia" w:hAnsiTheme="majorBidi" w:cstheme="majorBidi"/>
          <w:shd w:val="clear" w:color="auto" w:fill="FFFFFF"/>
        </w:rPr>
        <w:t xml:space="preserve"> street data by width and length fields is available/specified, the following methodology could be used:</w:t>
      </w:r>
      <w:r w:rsidRPr="00ED7E61">
        <w:rPr>
          <w:rStyle w:val="normaltextrun"/>
          <w:shd w:val="clear" w:color="auto" w:fill="FFFFFF"/>
        </w:rPr>
        <w:t> </w:t>
      </w:r>
    </w:p>
    <w:p w14:paraId="3BD33097"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lastRenderedPageBreak/>
        <w:t>Select only the streets included in the city / urban area (or clip streets to the city/urban boundary)</w:t>
      </w:r>
      <w:r w:rsidRPr="00ED7E61">
        <w:rPr>
          <w:rStyle w:val="normaltextrun"/>
          <w:color w:val="242424"/>
        </w:rPr>
        <w:t> </w:t>
      </w:r>
    </w:p>
    <w:p w14:paraId="2FFBF437"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Style w:val="normaltextrun"/>
          <w:rFonts w:eastAsiaTheme="majorEastAsia"/>
          <w:color w:val="242424"/>
        </w:rPr>
      </w:pPr>
      <w:r w:rsidRPr="00ED7E61">
        <w:rPr>
          <w:rStyle w:val="normaltextrun"/>
          <w:rFonts w:asciiTheme="majorBidi" w:eastAsiaTheme="majorEastAsia" w:hAnsiTheme="majorBidi" w:cstheme="majorBidi"/>
          <w:color w:val="242424"/>
        </w:rPr>
        <w:t>From GIS (or alternative software), calculate the total area occupied by each street by multiplying its length with width. Add up all individual street areas to attain the total amount of land occupied all streets within the defined urban area. </w:t>
      </w:r>
      <w:r w:rsidRPr="00ED7E61">
        <w:rPr>
          <w:rStyle w:val="normaltextrun"/>
          <w:color w:val="242424"/>
        </w:rPr>
        <w:t> </w:t>
      </w:r>
    </w:p>
    <w:p w14:paraId="6FD49E4C"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Where detailed data on streets is not available, there is </w:t>
      </w:r>
      <w:r>
        <w:rPr>
          <w:rStyle w:val="normaltextrun"/>
          <w:rFonts w:asciiTheme="majorBidi" w:eastAsiaTheme="majorEastAsia" w:hAnsiTheme="majorBidi" w:cstheme="majorBidi"/>
        </w:rPr>
        <w:t xml:space="preserve">a </w:t>
      </w:r>
      <w:r w:rsidRPr="00ED7E61">
        <w:rPr>
          <w:rStyle w:val="normaltextrun"/>
          <w:rFonts w:asciiTheme="majorBidi" w:eastAsiaTheme="majorEastAsia" w:hAnsiTheme="majorBidi" w:cstheme="majorBidi"/>
        </w:rPr>
        <w:t>need to map out each street line (or the entire area covered by the streets), measure its length and width, which are required for the area computation. For small urban areas, it is possible to manually digitize all streets, but this is more complex for large urban areas and cities. For these large urban areas, an alternative technique for computing land allocated to the streets is one that adopts sampling principles.  An approach that uses the Halton sampling sequence is recommended, specifically because the sequence generates equidistant points, increasing the degree of sample representativeness. To compute LAS using this method, follow the following steps:   </w:t>
      </w:r>
      <w:r w:rsidRPr="00ED7E61">
        <w:rPr>
          <w:rStyle w:val="eop"/>
          <w:rFonts w:asciiTheme="majorBidi" w:eastAsiaTheme="majorEastAsia" w:hAnsiTheme="majorBidi" w:cstheme="majorBidi"/>
        </w:rPr>
        <w:t> </w:t>
      </w:r>
    </w:p>
    <w:p w14:paraId="4AC9ABEA"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color w:val="242424"/>
        </w:rPr>
        <w:t>Using</w:t>
      </w:r>
      <w:r w:rsidRPr="00ED7E61">
        <w:rPr>
          <w:rStyle w:val="normaltextrun"/>
          <w:rFonts w:asciiTheme="majorBidi" w:eastAsiaTheme="majorEastAsia" w:hAnsiTheme="majorBidi" w:cstheme="majorBidi"/>
        </w:rPr>
        <w:t xml:space="preserve"> the urban extent boundary identified earlier, generate a Halton sequence of sample points (Halton sequence refers to quasi-random sequence used to generate points in space that are ex-post evenly spread</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i.e. </w:t>
      </w:r>
      <w:r>
        <w:rPr>
          <w:rStyle w:val="normaltextrun"/>
          <w:rFonts w:asciiTheme="majorBidi" w:eastAsiaTheme="majorEastAsia" w:hAnsiTheme="majorBidi" w:cstheme="majorBidi"/>
        </w:rPr>
        <w:t>e</w:t>
      </w:r>
      <w:r w:rsidRPr="00ED7E61">
        <w:rPr>
          <w:rStyle w:val="normaltextrun"/>
          <w:rFonts w:asciiTheme="majorBidi" w:eastAsiaTheme="majorEastAsia" w:hAnsiTheme="majorBidi" w:cstheme="majorBidi"/>
        </w:rPr>
        <w:t>quidistant). The number of points used for each city varies based on its area.  In large study areas of more than 20 km</w:t>
      </w:r>
      <w:r w:rsidRPr="00ED7E61">
        <w:rPr>
          <w:rStyle w:val="normaltextrun"/>
          <w:rFonts w:asciiTheme="majorBidi" w:eastAsiaTheme="majorEastAsia" w:hAnsiTheme="majorBidi" w:cstheme="majorBidi"/>
          <w:vertAlign w:val="superscript"/>
        </w:rPr>
        <w:t>2</w:t>
      </w:r>
      <w:r w:rsidRPr="00ED7E61">
        <w:rPr>
          <w:rStyle w:val="normaltextrun"/>
          <w:rFonts w:asciiTheme="majorBidi" w:eastAsiaTheme="majorEastAsia" w:hAnsiTheme="majorBidi" w:cstheme="majorBidi"/>
        </w:rPr>
        <w:t>, a density of one circle per hectare is used while in small study areas of less than 20 km</w:t>
      </w:r>
      <w:r w:rsidRPr="00ED7E61">
        <w:rPr>
          <w:rStyle w:val="normaltextrun"/>
          <w:rFonts w:asciiTheme="majorBidi" w:eastAsiaTheme="majorEastAsia" w:hAnsiTheme="majorBidi" w:cstheme="majorBidi"/>
          <w:vertAlign w:val="superscript"/>
        </w:rPr>
        <w:t>2</w:t>
      </w:r>
      <w:r w:rsidRPr="00ED7E61">
        <w:rPr>
          <w:rStyle w:val="normaltextrun"/>
          <w:rFonts w:asciiTheme="majorBidi" w:eastAsiaTheme="majorEastAsia" w:hAnsiTheme="majorBidi" w:cstheme="majorBidi"/>
        </w:rPr>
        <w:t xml:space="preserve"> a density of 0.5 circle per hectare is used.</w:t>
      </w:r>
      <w:r w:rsidRPr="00ED7E61">
        <w:rPr>
          <w:rStyle w:val="eop"/>
          <w:rFonts w:asciiTheme="majorBidi" w:eastAsiaTheme="majorEastAsia" w:hAnsiTheme="majorBidi" w:cstheme="majorBidi"/>
        </w:rPr>
        <w:t> </w:t>
      </w:r>
    </w:p>
    <w:p w14:paraId="35D515D6"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rPr>
        <w:t>Buffer the points to get sample areas with an area of 10 hectares each. </w:t>
      </w:r>
      <w:r w:rsidRPr="00ED7E61">
        <w:rPr>
          <w:rStyle w:val="eop"/>
          <w:rFonts w:asciiTheme="majorBidi" w:eastAsiaTheme="majorEastAsia" w:hAnsiTheme="majorBidi" w:cstheme="majorBidi"/>
        </w:rPr>
        <w:t> </w:t>
      </w:r>
    </w:p>
    <w:p w14:paraId="4AB386D0"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rPr>
        <w:t>Within each 10-hectare sample area, digitize all streets in GIS software and compute the total amount of land they occupy.  </w:t>
      </w:r>
      <w:r w:rsidRPr="00ED7E61">
        <w:rPr>
          <w:rStyle w:val="eop"/>
          <w:rFonts w:asciiTheme="majorBidi" w:eastAsiaTheme="majorEastAsia" w:hAnsiTheme="majorBidi" w:cstheme="majorBidi"/>
        </w:rPr>
        <w:t> </w:t>
      </w:r>
    </w:p>
    <w:p w14:paraId="6447ABC2"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rPr>
        <w:t>Calculate the average land allocated to streets for all sample areas using the following formula:</w:t>
      </w:r>
      <w:r w:rsidRPr="00ED7E61">
        <w:rPr>
          <w:rStyle w:val="eop"/>
          <w:rFonts w:asciiTheme="majorBidi" w:eastAsiaTheme="majorEastAsia" w:hAnsiTheme="majorBidi" w:cstheme="majorBidi"/>
        </w:rPr>
        <w:t> </w:t>
      </w:r>
    </w:p>
    <w:p w14:paraId="2C951548"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Fonts w:ascii="Arial" w:hAnsi="Arial" w:cs="Arial"/>
          <w:lang w:eastAsia="en-GB"/>
        </w:rPr>
      </w:pPr>
      <w:r w:rsidRPr="00ED7E61">
        <w:rPr>
          <w:rFonts w:asciiTheme="majorBidi" w:eastAsiaTheme="majorEastAsia" w:hAnsiTheme="majorBidi" w:cstheme="majorBidi"/>
        </w:rPr>
        <w:t xml:space="preserve">The land allocated to streets = </w:t>
      </w:r>
    </w:p>
    <w:p w14:paraId="6E5E42E5" w14:textId="77777777" w:rsidR="00F3532F" w:rsidRPr="00ED7E61" w:rsidRDefault="00F3532F" w:rsidP="00F3532F">
      <w:pPr>
        <w:pStyle w:val="MText"/>
        <w:spacing w:after="160" w:line="240" w:lineRule="auto"/>
        <w:jc w:val="center"/>
        <w:rPr>
          <w:rFonts w:ascii="Arial" w:hAnsi="Arial" w:cs="Arial"/>
          <w:color w:val="auto"/>
          <w:sz w:val="24"/>
          <w:szCs w:val="24"/>
        </w:rPr>
      </w:pPr>
      <w:r w:rsidRPr="00ED7E61">
        <w:rPr>
          <w:rFonts w:ascii="Arial" w:hAnsi="Arial" w:cs="Arial"/>
          <w:color w:val="auto"/>
          <w:sz w:val="24"/>
          <w:szCs w:val="24"/>
        </w:rPr>
        <w:t xml:space="preserve"> </w:t>
      </w:r>
      <m:oMath>
        <m:f>
          <m:fPr>
            <m:ctrlPr>
              <w:rPr>
                <w:rFonts w:ascii="Cambria Math" w:hAnsi="Cambria Math" w:cs="Arial"/>
                <w:color w:val="auto"/>
                <w:sz w:val="24"/>
                <w:szCs w:val="24"/>
              </w:rPr>
            </m:ctrlPr>
          </m:fPr>
          <m:num>
            <m:r>
              <m:rPr>
                <m:sty m:val="p"/>
              </m:rPr>
              <w:rPr>
                <w:rFonts w:ascii="Cambria Math" w:hAnsi="Cambria Math" w:cs="Arial"/>
                <w:color w:val="auto"/>
                <w:sz w:val="24"/>
                <w:szCs w:val="24"/>
              </w:rPr>
              <m:t>Sum of LAS  from all sampling points</m:t>
            </m:r>
          </m:num>
          <m:den>
            <m:r>
              <m:rPr>
                <m:sty m:val="p"/>
              </m:rPr>
              <w:rPr>
                <w:rFonts w:ascii="Cambria Math" w:hAnsi="Cambria Math" w:cs="Arial"/>
                <w:color w:val="auto"/>
                <w:sz w:val="24"/>
                <w:szCs w:val="24"/>
              </w:rPr>
              <m:t>Number of sampling points</m:t>
            </m:r>
          </m:den>
        </m:f>
      </m:oMath>
    </w:p>
    <w:p w14:paraId="31393FEE" w14:textId="77777777" w:rsidR="00F3532F" w:rsidRPr="00ED7E61" w:rsidRDefault="00F3532F" w:rsidP="00F3532F">
      <w:pPr>
        <w:pStyle w:val="CBDNormalNumber"/>
        <w:numPr>
          <w:ilvl w:val="0"/>
          <w:numId w:val="85"/>
        </w:numPr>
        <w:shd w:val="clear" w:color="auto" w:fill="FFFFFF"/>
        <w:ind w:left="567"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Open-source datasets such as OpenStreetMap (OSM) have a good amount of street data on many cities, which is increasingly being updated and extended to cover new areas. This data can also be used as a starting point to understand the pattern of streets in a city. Upon verification of the OSM street categorization for each city, sampling can be used to estimate the average width of each street category, which can in turn help compute the share of land allocated to streets. </w:t>
      </w:r>
    </w:p>
    <w:p w14:paraId="7C56674C" w14:textId="77777777" w:rsidR="00F3532F" w:rsidRPr="00ED7E61" w:rsidRDefault="00F3532F" w:rsidP="00F3532F">
      <w:pPr>
        <w:pStyle w:val="CBDNormalNumber"/>
        <w:numPr>
          <w:ilvl w:val="0"/>
          <w:numId w:val="85"/>
        </w:numPr>
        <w:shd w:val="clear" w:color="auto" w:fill="FFFFFF"/>
        <w:ind w:left="567"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The final computation of the indicator is done using the formula:</w:t>
      </w:r>
    </w:p>
    <w:p w14:paraId="19C5C6A6" w14:textId="77777777" w:rsidR="00F3532F" w:rsidRPr="00ED7E61" w:rsidRDefault="00F3532F" w:rsidP="00F3532F">
      <w:pPr>
        <w:pStyle w:val="MText"/>
        <w:spacing w:after="160" w:line="240" w:lineRule="auto"/>
        <w:rPr>
          <w:rFonts w:ascii="Arial" w:hAnsi="Arial" w:cs="Arial"/>
          <w:b/>
          <w:color w:val="auto"/>
        </w:rPr>
      </w:pPr>
      <m:oMathPara>
        <m:oMath>
          <m:r>
            <m:rPr>
              <m:sty m:val="b"/>
            </m:rPr>
            <w:rPr>
              <w:rFonts w:ascii="Cambria Math" w:hAnsi="Cambria Math" w:cs="Arial"/>
              <w:color w:val="auto"/>
            </w:rPr>
            <m:t>Share of the built-up area of the city that is open space in public use</m:t>
          </m:r>
          <m:d>
            <m:dPr>
              <m:ctrlPr>
                <w:rPr>
                  <w:rFonts w:ascii="Cambria Math" w:hAnsi="Cambria Math" w:cs="Arial"/>
                  <w:b/>
                  <w:color w:val="auto"/>
                </w:rPr>
              </m:ctrlPr>
            </m:dPr>
            <m:e>
              <m:r>
                <m:rPr>
                  <m:sty m:val="b"/>
                </m:rPr>
                <w:rPr>
                  <w:rFonts w:ascii="Cambria Math" w:hAnsi="Cambria Math" w:cs="Arial"/>
                  <w:color w:val="auto"/>
                </w:rPr>
                <m:t>%</m:t>
              </m:r>
            </m:e>
          </m:d>
        </m:oMath>
      </m:oMathPara>
    </w:p>
    <w:p w14:paraId="5362817B" w14:textId="77777777" w:rsidR="00F3532F" w:rsidRPr="00ED7E61" w:rsidRDefault="00F3532F" w:rsidP="00F3532F">
      <w:pPr>
        <w:pStyle w:val="paragraph"/>
        <w:shd w:val="clear" w:color="auto" w:fill="FFFFFF"/>
        <w:spacing w:before="0" w:beforeAutospacing="0" w:after="0" w:afterAutospacing="0"/>
        <w:ind w:firstLine="720"/>
        <w:textAlignment w:val="baseline"/>
        <w:rPr>
          <w:rFonts w:ascii="Arial" w:hAnsi="Arial" w:cs="Arial"/>
        </w:rPr>
      </w:pPr>
      <m:oMathPara>
        <m:oMath>
          <m:r>
            <m:rPr>
              <m:sty m:val="p"/>
            </m:rPr>
            <w:rPr>
              <w:rFonts w:ascii="Cambria Math" w:hAnsi="Cambria Math" w:cs="Arial"/>
            </w:rPr>
            <m:t>=</m:t>
          </m:r>
          <m:f>
            <m:fPr>
              <m:ctrlPr>
                <w:rPr>
                  <w:rFonts w:ascii="Cambria Math" w:hAnsi="Cambria Math" w:cs="Arial"/>
                </w:rPr>
              </m:ctrlPr>
            </m:fPr>
            <m:num>
              <m:r>
                <m:rPr>
                  <m:sty m:val="b"/>
                </m:rPr>
                <w:rPr>
                  <w:rFonts w:ascii="Cambria Math" w:hAnsi="Cambria Math" w:cs="Arial"/>
                </w:rPr>
                <m:t>Total</m:t>
              </m:r>
              <m:r>
                <m:rPr>
                  <m:sty m:val="p"/>
                </m:rPr>
                <w:rPr>
                  <w:rFonts w:ascii="Cambria Math" w:hAnsi="Cambria Math" w:cs="Arial"/>
                </w:rPr>
                <m:t xml:space="preserve"> </m:t>
              </m:r>
              <m:r>
                <m:rPr>
                  <m:sty m:val="b"/>
                </m:rPr>
                <w:rPr>
                  <w:rFonts w:ascii="Cambria Math" w:hAnsi="Cambria Math" w:cs="Arial"/>
                </w:rPr>
                <m:t>surface</m:t>
              </m:r>
              <m:r>
                <m:rPr>
                  <m:sty m:val="p"/>
                </m:rPr>
                <w:rPr>
                  <w:rFonts w:ascii="Cambria Math" w:hAnsi="Cambria Math" w:cs="Arial"/>
                </w:rPr>
                <m:t xml:space="preserve"> </m:t>
              </m:r>
              <m:r>
                <m:rPr>
                  <m:sty m:val="b"/>
                </m:rPr>
                <w:rPr>
                  <w:rFonts w:ascii="Cambria Math" w:hAnsi="Cambria Math" w:cs="Arial"/>
                </w:rPr>
                <m:t>of</m:t>
              </m:r>
              <m:r>
                <m:rPr>
                  <m:sty m:val="p"/>
                </m:rPr>
                <w:rPr>
                  <w:rFonts w:ascii="Cambria Math" w:hAnsi="Cambria Math" w:cs="Arial"/>
                </w:rPr>
                <m:t xml:space="preserve"> </m:t>
              </m:r>
              <m:r>
                <m:rPr>
                  <m:sty m:val="b"/>
                </m:rPr>
                <w:rPr>
                  <w:rFonts w:ascii="Cambria Math" w:hAnsi="Cambria Math" w:cs="Arial"/>
                </w:rPr>
                <m:t>open</m:t>
              </m:r>
              <m:r>
                <m:rPr>
                  <m:sty m:val="p"/>
                </m:rPr>
                <w:rPr>
                  <w:rFonts w:ascii="Cambria Math" w:hAnsi="Cambria Math" w:cs="Arial"/>
                </w:rPr>
                <m:t xml:space="preserve"> </m:t>
              </m:r>
              <m:r>
                <m:rPr>
                  <m:sty m:val="b"/>
                </m:rPr>
                <w:rPr>
                  <w:rFonts w:ascii="Cambria Math" w:hAnsi="Cambria Math" w:cs="Arial"/>
                </w:rPr>
                <m:t>public</m:t>
              </m:r>
              <m:r>
                <m:rPr>
                  <m:sty m:val="p"/>
                </m:rPr>
                <w:rPr>
                  <w:rFonts w:ascii="Cambria Math" w:hAnsi="Cambria Math" w:cs="Arial"/>
                </w:rPr>
                <m:t xml:space="preserve"> </m:t>
              </m:r>
              <m:r>
                <m:rPr>
                  <m:sty m:val="b"/>
                </m:rPr>
                <w:rPr>
                  <w:rFonts w:ascii="Cambria Math" w:hAnsi="Cambria Math" w:cs="Arial"/>
                </w:rPr>
                <m:t>space</m:t>
              </m:r>
              <m:r>
                <m:rPr>
                  <m:sty m:val="p"/>
                </m:rPr>
                <w:rPr>
                  <w:rFonts w:ascii="Cambria Math" w:hAnsi="Cambria Math" w:cs="Arial"/>
                </w:rPr>
                <m:t>+</m:t>
              </m:r>
              <m:r>
                <m:rPr>
                  <m:sty m:val="b"/>
                </m:rPr>
                <w:rPr>
                  <w:rFonts w:ascii="Cambria Math" w:hAnsi="Cambria Math" w:cs="Arial"/>
                </w:rPr>
                <m:t>Total</m:t>
              </m:r>
              <m:r>
                <m:rPr>
                  <m:sty m:val="p"/>
                </m:rPr>
                <w:rPr>
                  <w:rFonts w:ascii="Cambria Math" w:hAnsi="Cambria Math" w:cs="Arial"/>
                </w:rPr>
                <m:t xml:space="preserve"> </m:t>
              </m:r>
              <m:r>
                <m:rPr>
                  <m:sty m:val="b"/>
                </m:rPr>
                <w:rPr>
                  <w:rFonts w:ascii="Cambria Math" w:hAnsi="Cambria Math" w:cs="Arial"/>
                </w:rPr>
                <m:t>surface</m:t>
              </m:r>
              <m:r>
                <m:rPr>
                  <m:sty m:val="p"/>
                </m:rPr>
                <w:rPr>
                  <w:rFonts w:ascii="Cambria Math" w:hAnsi="Cambria Math" w:cs="Arial"/>
                </w:rPr>
                <m:t xml:space="preserve"> </m:t>
              </m:r>
              <m:r>
                <m:rPr>
                  <m:sty m:val="b"/>
                </m:rPr>
                <w:rPr>
                  <w:rFonts w:ascii="Cambria Math" w:hAnsi="Cambria Math" w:cs="Arial"/>
                </w:rPr>
                <m:t>of</m:t>
              </m:r>
              <m:r>
                <m:rPr>
                  <m:sty m:val="p"/>
                </m:rPr>
                <w:rPr>
                  <w:rFonts w:ascii="Cambria Math" w:hAnsi="Cambria Math" w:cs="Arial"/>
                </w:rPr>
                <m:t xml:space="preserve"> </m:t>
              </m:r>
              <m:r>
                <m:rPr>
                  <m:sty m:val="b"/>
                </m:rPr>
                <w:rPr>
                  <w:rFonts w:ascii="Cambria Math" w:hAnsi="Cambria Math" w:cs="Arial"/>
                </w:rPr>
                <m:t>land</m:t>
              </m:r>
              <m:r>
                <m:rPr>
                  <m:sty m:val="p"/>
                </m:rPr>
                <w:rPr>
                  <w:rFonts w:ascii="Cambria Math" w:hAnsi="Cambria Math" w:cs="Arial"/>
                </w:rPr>
                <m:t xml:space="preserve"> </m:t>
              </m:r>
              <m:r>
                <m:rPr>
                  <m:sty m:val="b"/>
                </m:rPr>
                <w:rPr>
                  <w:rFonts w:ascii="Cambria Math" w:hAnsi="Cambria Math" w:cs="Arial"/>
                </w:rPr>
                <m:t>allocated</m:t>
              </m:r>
              <m:r>
                <m:rPr>
                  <m:sty m:val="p"/>
                </m:rPr>
                <w:rPr>
                  <w:rFonts w:ascii="Cambria Math" w:hAnsi="Cambria Math" w:cs="Arial"/>
                </w:rPr>
                <m:t xml:space="preserve"> </m:t>
              </m:r>
              <m:r>
                <m:rPr>
                  <m:sty m:val="b"/>
                </m:rPr>
                <w:rPr>
                  <w:rFonts w:ascii="Cambria Math" w:hAnsi="Cambria Math" w:cs="Arial"/>
                </w:rPr>
                <m:t>to</m:t>
              </m:r>
              <m:r>
                <m:rPr>
                  <m:sty m:val="p"/>
                </m:rPr>
                <w:rPr>
                  <w:rFonts w:ascii="Cambria Math" w:hAnsi="Cambria Math" w:cs="Arial"/>
                </w:rPr>
                <m:t xml:space="preserve"> </m:t>
              </m:r>
              <m:r>
                <m:rPr>
                  <m:sty m:val="b"/>
                </m:rPr>
                <w:rPr>
                  <w:rFonts w:ascii="Cambria Math" w:hAnsi="Cambria Math" w:cs="Arial"/>
                </w:rPr>
                <m:t>sreets</m:t>
              </m:r>
            </m:num>
            <m:den>
              <m:eqArr>
                <m:eqArrPr>
                  <m:ctrlPr>
                    <w:rPr>
                      <w:rFonts w:ascii="Cambria Math" w:hAnsi="Cambria Math" w:cs="Arial"/>
                    </w:rPr>
                  </m:ctrlPr>
                </m:eqArrPr>
                <m:e>
                  <m:r>
                    <m:rPr>
                      <m:sty m:val="b"/>
                    </m:rPr>
                    <w:rPr>
                      <w:rFonts w:ascii="Cambria Math" w:hAnsi="Cambria Math" w:cs="Arial"/>
                    </w:rPr>
                    <m:t>Total</m:t>
                  </m:r>
                  <m:r>
                    <m:rPr>
                      <m:sty m:val="p"/>
                    </m:rPr>
                    <w:rPr>
                      <w:rFonts w:ascii="Cambria Math" w:hAnsi="Cambria Math" w:cs="Arial"/>
                    </w:rPr>
                    <m:t xml:space="preserve"> </m:t>
                  </m:r>
                  <m:r>
                    <m:rPr>
                      <m:sty m:val="b"/>
                    </m:rPr>
                    <w:rPr>
                      <w:rFonts w:ascii="Cambria Math" w:hAnsi="Cambria Math" w:cs="Arial"/>
                    </w:rPr>
                    <m:t xml:space="preserve">area of the city  </m:t>
                  </m:r>
                </m:e>
                <m:e>
                  <m:r>
                    <m:rPr>
                      <m:sty m:val="p"/>
                    </m:rPr>
                    <w:rPr>
                      <w:rFonts w:ascii="Cambria Math" w:hAnsi="Cambria Math" w:cs="Arial"/>
                    </w:rPr>
                    <m:t xml:space="preserve"> </m:t>
                  </m:r>
                </m:e>
              </m:eqArr>
            </m:den>
          </m:f>
        </m:oMath>
      </m:oMathPara>
    </w:p>
    <w:p w14:paraId="050E27D9" w14:textId="77777777" w:rsidR="00F3532F" w:rsidRPr="00ED7E61" w:rsidRDefault="00F3532F" w:rsidP="00F3532F">
      <w:pPr>
        <w:pStyle w:val="ListParagraph"/>
        <w:autoSpaceDE w:val="0"/>
        <w:autoSpaceDN w:val="0"/>
        <w:adjustRightInd w:val="0"/>
        <w:spacing w:after="160"/>
        <w:ind w:hanging="360"/>
        <w:jc w:val="both"/>
        <w:rPr>
          <w:rStyle w:val="normaltextrun"/>
          <w:rFonts w:asciiTheme="majorBidi" w:eastAsiaTheme="majorEastAsia" w:hAnsiTheme="majorBidi" w:cstheme="majorBidi"/>
          <w:b/>
          <w:bCs/>
          <w:sz w:val="22"/>
          <w:szCs w:val="22"/>
          <w:lang w:val="en-GB"/>
        </w:rPr>
      </w:pPr>
    </w:p>
    <w:p w14:paraId="0B1B7359" w14:textId="77777777" w:rsidR="00F3532F" w:rsidRPr="00ED7E61" w:rsidRDefault="00F3532F" w:rsidP="00F3532F">
      <w:pPr>
        <w:pStyle w:val="ListParagraph"/>
        <w:autoSpaceDE w:val="0"/>
        <w:autoSpaceDN w:val="0"/>
        <w:adjustRightInd w:val="0"/>
        <w:spacing w:after="160"/>
        <w:ind w:hanging="360"/>
        <w:jc w:val="both"/>
        <w:rPr>
          <w:rFonts w:ascii="Arial" w:hAnsi="Arial" w:cs="Arial"/>
          <w:sz w:val="22"/>
          <w:szCs w:val="22"/>
        </w:rPr>
      </w:pPr>
      <w:r w:rsidRPr="00ED7E61">
        <w:rPr>
          <w:rStyle w:val="normaltextrun"/>
          <w:rFonts w:asciiTheme="majorBidi" w:eastAsiaTheme="majorEastAsia" w:hAnsiTheme="majorBidi" w:cstheme="majorBidi"/>
          <w:b/>
          <w:bCs/>
          <w:sz w:val="22"/>
          <w:szCs w:val="22"/>
          <w:lang w:val="en-GB"/>
        </w:rPr>
        <w:t>d) Estimation of share of population with access to open public spaces and disaggregation by population group</w:t>
      </w:r>
      <w:r w:rsidRPr="00ED7E61">
        <w:rPr>
          <w:rStyle w:val="eop"/>
          <w:rFonts w:asciiTheme="majorBidi" w:eastAsiaTheme="majorEastAsia" w:hAnsiTheme="majorBidi" w:cstheme="majorBidi"/>
          <w:sz w:val="22"/>
          <w:szCs w:val="22"/>
        </w:rPr>
        <w:t> </w:t>
      </w:r>
    </w:p>
    <w:p w14:paraId="3724C3B2" w14:textId="77777777" w:rsidR="00F3532F" w:rsidRPr="00ED7E61" w:rsidRDefault="00F3532F" w:rsidP="00F3532F">
      <w:pPr>
        <w:pStyle w:val="CBDNormalNumber"/>
        <w:numPr>
          <w:ilvl w:val="0"/>
          <w:numId w:val="85"/>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To help define an “</w:t>
      </w:r>
      <w:r w:rsidRPr="00FB1598">
        <w:rPr>
          <w:rStyle w:val="normaltextrun"/>
          <w:rFonts w:asciiTheme="majorBidi" w:eastAsiaTheme="majorEastAsia" w:hAnsiTheme="majorBidi" w:cstheme="majorBidi"/>
          <w:i/>
          <w:iCs/>
        </w:rPr>
        <w:t>acceptable walking distance</w:t>
      </w:r>
      <w:r w:rsidRPr="00ED7E61">
        <w:rPr>
          <w:rStyle w:val="normaltextrun"/>
          <w:rFonts w:asciiTheme="majorBidi" w:eastAsiaTheme="majorEastAsia" w:hAnsiTheme="majorBidi" w:cstheme="majorBidi"/>
        </w:rPr>
        <w:t xml:space="preserve">” to </w:t>
      </w:r>
      <w:r>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open public spaces</w:t>
      </w:r>
      <w:r w:rsidRPr="00ED7E61">
        <w:rPr>
          <w:rStyle w:val="normaltextrun"/>
          <w:rFonts w:asciiTheme="majorBidi" w:eastAsiaTheme="majorEastAsia" w:hAnsiTheme="majorBidi" w:cstheme="majorBidi"/>
        </w:rPr>
        <w:t xml:space="preserve">”, UN-Habitat organized a series of consultations with national statistical officers, civil society and community groups, experts in diverse fields, representatives from academia, think tanks, other UN-agencies, and regional commissions among other partners. These consultations, which were held between 2016 and 2018 concluded that a walking distance of 400 meters - equivalent to 5 minutes’ walk </w:t>
      </w:r>
      <w:r>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was a practical and realistic threshold. Based on this, a street network-based service area is drawn around each public </w:t>
      </w:r>
      <w:r w:rsidRPr="00ED7E61">
        <w:rPr>
          <w:rStyle w:val="normaltextrun"/>
          <w:rFonts w:asciiTheme="majorBidi" w:eastAsiaTheme="majorEastAsia" w:hAnsiTheme="majorBidi" w:cstheme="majorBidi"/>
        </w:rPr>
        <w:lastRenderedPageBreak/>
        <w:t>open space, using the 400 meters access threshold. All populations living within the service areas are in turn identified as having access to the public open spaces, based on the following key assumptions:</w:t>
      </w:r>
      <w:r w:rsidRPr="00ED7E61">
        <w:rPr>
          <w:rStyle w:val="normaltextrun"/>
        </w:rPr>
        <w:t> </w:t>
      </w:r>
    </w:p>
    <w:p w14:paraId="18745D81"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 xml:space="preserve">Equal access to each space by all groups of people – i.e. children, the disabled, women, elderly can walk </w:t>
      </w:r>
      <w:proofErr w:type="gramStart"/>
      <w:r w:rsidRPr="00ED7E61">
        <w:rPr>
          <w:rStyle w:val="normaltextrun"/>
          <w:rFonts w:asciiTheme="majorBidi" w:eastAsiaTheme="majorEastAsia" w:hAnsiTheme="majorBidi" w:cstheme="majorBidi"/>
          <w:color w:val="242424"/>
        </w:rPr>
        <w:t>a distance of 400</w:t>
      </w:r>
      <w:proofErr w:type="gramEnd"/>
      <w:r w:rsidRPr="00ED7E61">
        <w:rPr>
          <w:rStyle w:val="normaltextrun"/>
          <w:rFonts w:asciiTheme="majorBidi" w:eastAsiaTheme="majorEastAsia" w:hAnsiTheme="majorBidi" w:cstheme="majorBidi"/>
          <w:color w:val="242424"/>
        </w:rPr>
        <w:t xml:space="preserve"> meters (for 5 minutes) to access the spaces (in actual sense, these will vary significantly by group).</w:t>
      </w:r>
      <w:r w:rsidRPr="00ED7E61">
        <w:rPr>
          <w:rStyle w:val="normaltextrun"/>
          <w:color w:val="242424"/>
        </w:rPr>
        <w:t> </w:t>
      </w:r>
    </w:p>
    <w:p w14:paraId="4333EF89"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All streets are walkable – where existing barriers are known (e.g. un-walkable streets, lack of pedestrian crossings, etc</w:t>
      </w:r>
      <w:r>
        <w:rPr>
          <w:rStyle w:val="normaltextrun"/>
          <w:rFonts w:asciiTheme="majorBidi" w:eastAsiaTheme="majorEastAsia" w:hAnsiTheme="majorBidi" w:cstheme="majorBidi"/>
          <w:color w:val="242424"/>
        </w:rPr>
        <w:t>.</w:t>
      </w:r>
      <w:r w:rsidRPr="00ED7E61">
        <w:rPr>
          <w:rStyle w:val="normaltextrun"/>
          <w:rFonts w:asciiTheme="majorBidi" w:eastAsiaTheme="majorEastAsia" w:hAnsiTheme="majorBidi" w:cstheme="majorBidi"/>
          <w:color w:val="242424"/>
        </w:rPr>
        <w:t>), these can be defined in the delimitation of the space service area. </w:t>
      </w:r>
      <w:r w:rsidRPr="00ED7E61">
        <w:rPr>
          <w:rStyle w:val="normaltextrun"/>
          <w:color w:val="242424"/>
        </w:rPr>
        <w:t> </w:t>
      </w:r>
    </w:p>
    <w:p w14:paraId="3A793429"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All public open spaces have equal area of influence – which is measured as 400 meters along street networks. In real life situations, bigger spaces have a much larger area of influence. </w:t>
      </w:r>
      <w:r w:rsidRPr="00ED7E61">
        <w:rPr>
          <w:rStyle w:val="normaltextrun"/>
          <w:color w:val="242424"/>
        </w:rPr>
        <w:t> </w:t>
      </w:r>
    </w:p>
    <w:p w14:paraId="56D2D71E"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Style w:val="normaltextrun"/>
          <w:rFonts w:eastAsiaTheme="majorEastAsia"/>
          <w:color w:val="242424"/>
        </w:rPr>
      </w:pPr>
      <w:r w:rsidRPr="00ED7E61">
        <w:rPr>
          <w:rStyle w:val="normaltextrun"/>
          <w:rFonts w:asciiTheme="majorBidi" w:eastAsiaTheme="majorEastAsia" w:hAnsiTheme="majorBidi" w:cstheme="majorBidi"/>
          <w:color w:val="242424"/>
        </w:rPr>
        <w:t>All buildings within the service area are habitable, and that the population is equally distributed in all buildings/built up areas </w:t>
      </w:r>
      <w:r w:rsidRPr="00ED7E61">
        <w:rPr>
          <w:rStyle w:val="normaltextrun"/>
          <w:color w:val="242424"/>
        </w:rPr>
        <w:t> </w:t>
      </w:r>
    </w:p>
    <w:p w14:paraId="71938C03" w14:textId="77777777" w:rsidR="00F3532F" w:rsidRPr="00ED7E61" w:rsidRDefault="00F3532F" w:rsidP="00F3532F">
      <w:pPr>
        <w:pStyle w:val="CBDNormalNumber"/>
        <w:numPr>
          <w:ilvl w:val="0"/>
          <w:numId w:val="85"/>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The estimation of total population with access to open public spaces is achieved using the two broad steps described below:</w:t>
      </w:r>
      <w:r w:rsidRPr="00ED7E61">
        <w:rPr>
          <w:rStyle w:val="normaltextrun"/>
        </w:rPr>
        <w:t> </w:t>
      </w:r>
    </w:p>
    <w:p w14:paraId="446F416E"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color w:val="242424"/>
        </w:rPr>
        <w:t>Create 400 meters walking distance service area from each open public along the street network. This requires use of the network analyst tool in GIS software and street data (such as that from City Authorities or from Open Sources such as OpenStreetMap). A network service area is a region that encompasses all accessible areas via the streets network within a specified impedance/distance. The distance in each direction (and in turn the shape of the surface area) varies depending on, among other things, existence of streets, presence of barriers along each route (e.g. lack of foot bridges and turns) and walkability or availability of pedestrian walkways along each street section. In the absence of detailed information on barriers and walkability along each street network, the major assumption in creating the service areas is that all streets are walkable. Since the analysis is done at the city level, local knowledge can be used to exclude streets which are not walkable. The recommendation is to run the service area analysis for each OPS separately then merge all individual service areas to create a continuous service area polygon. Step by step guidance on how to create the service area is provided in the detailed SDG 11.7.1 training module</w:t>
      </w:r>
      <w:r w:rsidRPr="00ED7E61">
        <w:rPr>
          <w:rStyle w:val="normaltextrun"/>
          <w:rFonts w:asciiTheme="majorBidi" w:eastAsiaTheme="majorEastAsia" w:hAnsiTheme="majorBidi" w:cstheme="majorBidi"/>
        </w:rPr>
        <w:t xml:space="preserve"> (</w:t>
      </w:r>
      <w:hyperlink r:id="rId419" w:tgtFrame="_blank" w:history="1">
        <w:r w:rsidRPr="00ED7E61">
          <w:rPr>
            <w:rStyle w:val="normaltextrun"/>
            <w:rFonts w:asciiTheme="majorBidi" w:eastAsiaTheme="majorEastAsia" w:hAnsiTheme="majorBidi" w:cstheme="majorBidi"/>
            <w:color w:val="467886"/>
            <w:u w:val="single"/>
          </w:rPr>
          <w:t>https://unhabitat.org/sites/default/files/2020/07/indicator_11.7.1_training_module_public_space.pdf</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7B2DF9FD"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In GIS, overlay the created service area with high resolution demographic data, which should be disaggregated by age, gender, and disability. The best source of population data for the analysis is individual dwelling or block level total population which is collected by National Statistical Offices through censuses and other surveys. Where this level of population data is not available, or where data is released at large population units, countries are encouraged to create population grids, which can help disaggregate the data from large and different sized census/ population data release units to smaller uniform sized grids. For more details on the available methods for creation of population grids explore the links provided under the references section on “</w:t>
      </w:r>
      <w:r w:rsidRPr="00FB1598">
        <w:rPr>
          <w:rStyle w:val="normaltextrun"/>
          <w:rFonts w:asciiTheme="majorBidi" w:eastAsiaTheme="majorEastAsia" w:hAnsiTheme="majorBidi" w:cstheme="majorBidi"/>
          <w:i/>
          <w:iCs/>
        </w:rPr>
        <w:t>Some population gridding approaches</w:t>
      </w:r>
      <w:r w:rsidRPr="00ED7E61">
        <w:rPr>
          <w:rStyle w:val="normaltextrun"/>
          <w:rFonts w:asciiTheme="majorBidi" w:eastAsiaTheme="majorEastAsia" w:hAnsiTheme="majorBidi" w:cstheme="majorBidi"/>
        </w:rPr>
        <w:t xml:space="preserve">”. A generic description of the different sources of population data for the indicator computation is also provided in the detailed </w:t>
      </w:r>
      <w:r>
        <w:rPr>
          <w:rStyle w:val="normaltextrun"/>
          <w:rFonts w:asciiTheme="majorBidi" w:eastAsiaTheme="majorEastAsia" w:hAnsiTheme="majorBidi" w:cstheme="majorBidi"/>
        </w:rPr>
        <w:t xml:space="preserve">SDG </w:t>
      </w:r>
      <w:proofErr w:type="spellStart"/>
      <w:r w:rsidRPr="00ED7E61">
        <w:rPr>
          <w:rStyle w:val="normaltextrun"/>
          <w:rFonts w:asciiTheme="majorBidi" w:eastAsiaTheme="majorEastAsia" w:hAnsiTheme="majorBidi" w:cstheme="majorBidi"/>
        </w:rPr>
        <w:t>ndicator</w:t>
      </w:r>
      <w:proofErr w:type="spellEnd"/>
      <w:r w:rsidRPr="00ED7E61">
        <w:rPr>
          <w:rStyle w:val="normaltextrun"/>
          <w:rFonts w:asciiTheme="majorBidi" w:eastAsiaTheme="majorEastAsia" w:hAnsiTheme="majorBidi" w:cstheme="majorBidi"/>
        </w:rPr>
        <w:t xml:space="preserve"> 11.7.1 training module (</w:t>
      </w:r>
      <w:hyperlink r:id="rId420" w:tgtFrame="_blank" w:history="1">
        <w:r w:rsidRPr="00ED7E61">
          <w:rPr>
            <w:rStyle w:val="normaltextrun"/>
            <w:rFonts w:asciiTheme="majorBidi" w:eastAsiaTheme="majorEastAsia" w:hAnsiTheme="majorBidi" w:cstheme="majorBidi"/>
            <w:color w:val="467886"/>
            <w:u w:val="single"/>
          </w:rPr>
          <w:t>https://unhabitat.org/sites/default/files/2020/07/indicator_11.7.1_training_module_public_space.pdf</w:t>
        </w:r>
      </w:hyperlink>
      <w:r w:rsidRPr="00ED7E61">
        <w:rPr>
          <w:rStyle w:val="normaltextrun"/>
          <w:rFonts w:asciiTheme="majorBidi" w:eastAsiaTheme="majorEastAsia" w:hAnsiTheme="majorBidi" w:cstheme="majorBidi"/>
        </w:rPr>
        <w:t>).  Once the appropriate source of population data is acquired, the total population with access to open public spaces in the city/urban area will be equal to the population encompassed within the combined service area for all open public spaces, calculated using the formula below</w:t>
      </w:r>
    </w:p>
    <w:p w14:paraId="2DDC67BB" w14:textId="77777777" w:rsidR="00F3532F" w:rsidRPr="00ED7E61" w:rsidRDefault="00F3532F" w:rsidP="00F3532F">
      <w:pPr>
        <w:ind w:left="360"/>
        <w:jc w:val="center"/>
        <w:rPr>
          <w:rFonts w:ascii="Arial" w:hAnsi="Arial" w:cs="Arial"/>
          <w:b/>
        </w:rPr>
      </w:pPr>
      <m:oMathPara>
        <m:oMath>
          <m:r>
            <m:rPr>
              <m:sty m:val="b"/>
            </m:rPr>
            <w:rPr>
              <w:rFonts w:ascii="Cambria Math" w:hAnsi="Cambria Math" w:cs="Arial"/>
            </w:rPr>
            <m:t xml:space="preserve">Share of population with access to open space in public spaces </m:t>
          </m:r>
          <m:d>
            <m:dPr>
              <m:ctrlPr>
                <w:rPr>
                  <w:rFonts w:ascii="Cambria Math" w:hAnsi="Cambria Math" w:cs="Arial"/>
                  <w:b/>
                </w:rPr>
              </m:ctrlPr>
            </m:dPr>
            <m:e>
              <m:r>
                <m:rPr>
                  <m:sty m:val="b"/>
                </m:rPr>
                <w:rPr>
                  <w:rFonts w:ascii="Cambria Math" w:hAnsi="Cambria Math" w:cs="Arial"/>
                </w:rPr>
                <m:t>%</m:t>
              </m:r>
            </m:e>
          </m:d>
        </m:oMath>
      </m:oMathPara>
    </w:p>
    <w:p w14:paraId="7B843E7B" w14:textId="77777777" w:rsidR="00F3532F" w:rsidRPr="00ED7E61" w:rsidRDefault="00F3532F" w:rsidP="00F3532F">
      <w:pPr>
        <w:ind w:left="360"/>
        <w:rPr>
          <w:rFonts w:ascii="Arial" w:hAnsi="Arial" w:cs="Arial"/>
          <w:b/>
        </w:rPr>
      </w:pPr>
      <m:oMathPara>
        <m:oMath>
          <m:r>
            <m:rPr>
              <m:sty m:val="b"/>
            </m:rPr>
            <w:rPr>
              <w:rFonts w:ascii="Cambria Math" w:hAnsi="Cambria Math" w:cs="Arial"/>
            </w:rPr>
            <m:t xml:space="preserve">= </m:t>
          </m:r>
          <m:f>
            <m:fPr>
              <m:ctrlPr>
                <w:rPr>
                  <w:rFonts w:ascii="Cambria Math" w:hAnsi="Cambria Math" w:cs="Arial"/>
                  <w:b/>
                </w:rPr>
              </m:ctrlPr>
            </m:fPr>
            <m:num>
              <m:r>
                <m:rPr>
                  <m:sty m:val="b"/>
                </m:rPr>
                <w:rPr>
                  <w:rFonts w:ascii="Cambria Math" w:hAnsi="Cambria Math" w:cs="Arial"/>
                </w:rPr>
                <m:t>Total population within 400 m service areas</m:t>
              </m:r>
            </m:num>
            <m:den>
              <m:r>
                <m:rPr>
                  <m:sty m:val="b"/>
                </m:rPr>
                <w:rPr>
                  <w:rFonts w:ascii="Cambria Math" w:hAnsi="Cambria Math" w:cs="Arial"/>
                </w:rPr>
                <m:t>Total population within the city/urban extent</m:t>
              </m:r>
              <m:r>
                <w:rPr>
                  <w:rStyle w:val="CommentReference"/>
                  <w:rFonts w:ascii="Cambria Math" w:eastAsiaTheme="majorEastAsia" w:hAnsi="Cambria Math" w:cs="Arial"/>
                </w:rPr>
                <m:t xml:space="preserve"> </m:t>
              </m:r>
            </m:den>
          </m:f>
        </m:oMath>
      </m:oMathPara>
    </w:p>
    <w:p w14:paraId="1B5DF4D0" w14:textId="77777777" w:rsidR="00F3532F" w:rsidRPr="00ED7E61" w:rsidRDefault="00F3532F" w:rsidP="00F3532F">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7E859A6A"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6681BFF4"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The method to estimate the area of public space has been globally piloted in over 600 cities and this follows a series of methodological developments that go back to the last 7 years. The finalized methodology is a three-step process: a) Spatial analysis to delimit the city/urban area which will act as the geographical scope for the spatial analysis and indicator computation; b) Spatial analysis to identify potential open public spaces, expert consultations and/or field work to validate data and assess the quality of spaces, and calculation of the total area occupied by the verified open public spaces; c) Estimation of the total area allocated to streets; d) Estimation of share of population with access to open public spaces within 400 meters walking distance out of the total population in the city/ urban area and disaggregation of the population with access by sex, age and persons with disabilities.</w:t>
      </w:r>
      <w:r w:rsidRPr="00ED7E61">
        <w:rPr>
          <w:rStyle w:val="eop"/>
          <w:rFonts w:asciiTheme="majorBidi" w:eastAsiaTheme="majorEastAsia" w:hAnsiTheme="majorBidi" w:cstheme="majorBidi"/>
        </w:rPr>
        <w:t> </w:t>
      </w:r>
    </w:p>
    <w:p w14:paraId="1AADDFC4"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1B6E19CD"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Methodology for SDG </w:t>
      </w:r>
      <w:r>
        <w:rPr>
          <w:rStyle w:val="normaltextrun"/>
          <w:rFonts w:asciiTheme="majorBidi" w:eastAsiaTheme="majorEastAsia" w:hAnsiTheme="majorBidi" w:cstheme="majorBidi"/>
        </w:rPr>
        <w:t xml:space="preserve">indicator </w:t>
      </w:r>
      <w:r w:rsidRPr="00ED7E61">
        <w:rPr>
          <w:rStyle w:val="normaltextrun"/>
          <w:rFonts w:asciiTheme="majorBidi" w:eastAsiaTheme="majorEastAsia" w:hAnsiTheme="majorBidi" w:cstheme="majorBidi"/>
        </w:rPr>
        <w:t>11.7.1 is available and has been piloted in over 1</w:t>
      </w:r>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000 cities and 123 countries. Data on the indicator is published by UN-Habitat (</w:t>
      </w:r>
      <w:hyperlink r:id="rId421" w:tgtFrame="_blank" w:history="1">
        <w:r w:rsidRPr="00ED7E61">
          <w:rPr>
            <w:rStyle w:val="normaltextrun"/>
            <w:rFonts w:asciiTheme="majorBidi" w:eastAsiaTheme="majorEastAsia" w:hAnsiTheme="majorBidi" w:cstheme="majorBidi"/>
            <w:color w:val="467886"/>
            <w:u w:val="single"/>
          </w:rPr>
          <w:t>https://data.unhabitat.org</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69E09EC5"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6937C87A"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City land use plans, high to very high-resolution satellite imagery (open sources), documentation outlining publicly owned land and community-based maps are the main sources of data.</w:t>
      </w:r>
      <w:r w:rsidRPr="00ED7E61">
        <w:rPr>
          <w:rStyle w:val="eop"/>
          <w:rFonts w:asciiTheme="majorBidi" w:eastAsiaTheme="majorEastAsia" w:hAnsiTheme="majorBidi" w:cstheme="majorBidi"/>
        </w:rPr>
        <w:t> </w:t>
      </w:r>
    </w:p>
    <w:p w14:paraId="1C12D327"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193B490D"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monitoring of the indicator can be repeated at regular intervals of 3-5 years, allowing for three reporting points until the year 2030. However, annual updates to the existing database will be done and hence data releases based on annual updates will be available every year. Monitoring in 3-5-year intervals will allow cities to determine whether the shares of open public space in the built-up areas of cities are increasing significantly over time, as well as deriving the share of the global urban population living in cities where the open public space is below the acceptable minimum.</w:t>
      </w:r>
      <w:r w:rsidRPr="00ED7E61">
        <w:rPr>
          <w:rStyle w:val="eop"/>
          <w:rFonts w:asciiTheme="majorBidi" w:eastAsiaTheme="majorEastAsia" w:hAnsiTheme="majorBidi" w:cstheme="majorBidi"/>
        </w:rPr>
        <w:t> </w:t>
      </w:r>
    </w:p>
    <w:p w14:paraId="126E2EF3"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280BCEBC"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Baseline data on SDG </w:t>
      </w:r>
      <w:r>
        <w:rPr>
          <w:rStyle w:val="normaltextrun"/>
          <w:rFonts w:asciiTheme="majorBidi" w:eastAsiaTheme="majorEastAsia" w:hAnsiTheme="majorBidi" w:cstheme="majorBidi"/>
        </w:rPr>
        <w:t xml:space="preserve">indicator </w:t>
      </w:r>
      <w:r w:rsidRPr="00ED7E61">
        <w:rPr>
          <w:rStyle w:val="normaltextrun"/>
          <w:rFonts w:asciiTheme="majorBidi" w:eastAsiaTheme="majorEastAsia" w:hAnsiTheme="majorBidi" w:cstheme="majorBidi"/>
        </w:rPr>
        <w:t>11.7.1 available for 2020</w:t>
      </w:r>
      <w:r w:rsidRPr="00ED7E61">
        <w:rPr>
          <w:rStyle w:val="eop"/>
          <w:rFonts w:asciiTheme="majorBidi" w:eastAsiaTheme="majorEastAsia" w:hAnsiTheme="majorBidi" w:cstheme="majorBidi"/>
        </w:rPr>
        <w:t> </w:t>
      </w:r>
    </w:p>
    <w:p w14:paraId="6806CD73"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680495BC"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Ministries in charge of urban development, national mapping agencies, national statistical offices</w:t>
      </w:r>
      <w:r w:rsidRPr="00ED7E61">
        <w:rPr>
          <w:rStyle w:val="eop"/>
          <w:rFonts w:asciiTheme="majorBidi" w:eastAsiaTheme="majorEastAsia" w:hAnsiTheme="majorBidi" w:cstheme="majorBidi"/>
        </w:rPr>
        <w:t> </w:t>
      </w:r>
    </w:p>
    <w:p w14:paraId="12F128CA"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48B6788B"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UN-Habitat is the lead agency on the global reporting for this indicator and as such, has since 2016 coordinated the efforts of various partners, on methodological developments and piloting of data collection. Key among these partners have included National Statistical Offices, New York University, ESRI, FAO, UNGGIM, UCLG, Local government departments, the European Commission, UN regional commissions, KTH University-Sweden, Urban Observatories, etc. Working in partnership with these partners, UN-Habitat has undertaken trainings and capacity development activities in cities, countries and regions, which have contributed to enhanced data collection and setting up of systems to monitor and report on the indicator.</w:t>
      </w:r>
      <w:r w:rsidRPr="00ED7E61">
        <w:rPr>
          <w:rStyle w:val="eop"/>
          <w:rFonts w:asciiTheme="majorBidi" w:eastAsiaTheme="majorEastAsia" w:hAnsiTheme="majorBidi" w:cstheme="majorBidi"/>
        </w:rPr>
        <w:t> </w:t>
      </w:r>
    </w:p>
    <w:p w14:paraId="1B3B37F4"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49DE3BBF"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currently available data covers cities and urban areas of different sizes but is not classified by typology of open public space i.e. green, blue and artificial surfaces. A methodology for identifying and classifying green space (shrublands and forest) is being developed and piloted at this time. However, methodology is needed for blue (freshwater or marine) spaces. Other facets of biodiversity are missing, including measures of taxonomic and functional measures of diversity. Protected status should also be added (e.g. protected urban park). </w:t>
      </w:r>
      <w:r w:rsidRPr="00ED7E61">
        <w:rPr>
          <w:rStyle w:val="eop"/>
          <w:rFonts w:asciiTheme="majorBidi" w:eastAsiaTheme="majorEastAsia" w:hAnsiTheme="majorBidi" w:cstheme="majorBidi"/>
        </w:rPr>
        <w:t> </w:t>
      </w:r>
    </w:p>
    <w:p w14:paraId="6DA6D963"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lastRenderedPageBreak/>
        <w:t>5k. Treatment of missing values</w:t>
      </w:r>
      <w:r w:rsidRPr="00ED7E61">
        <w:rPr>
          <w:rStyle w:val="eop"/>
          <w:rFonts w:asciiTheme="majorBidi" w:eastAsiaTheme="majorEastAsia" w:hAnsiTheme="majorBidi" w:cstheme="majorBidi"/>
          <w:sz w:val="22"/>
          <w:szCs w:val="22"/>
        </w:rPr>
        <w:t> </w:t>
      </w:r>
    </w:p>
    <w:p w14:paraId="34EEA45A"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All qualifying cities/countries are expected to fully report on this indicator more consistently following implementation and full roll out of this methodology. In the early years of this indicator, we had data gaps due to no data being collected at the time, as opposed to missing data. In most of the cases, missing values to-date reflect a non-measurement of the indicator for the city. However, because national statistical agencies will report national figures from a complete coverage of all their cities, some cities may take longer to be measured or monitored. As a result, UN-habitat has worked with partners to develop a concept of applying a National Sample of Cities. With this approach, countries will be able to select a nationally representative sample of cities from their system of cities, and these will be used for global monitoring and reporting purposes for the period of the SDGs. The fully developed methodology on this concept has been rolled out and countries that are unable to cover the full spectrum of their cities are already applying this approach. See: </w:t>
      </w:r>
      <w:r w:rsidRPr="00ED7E61">
        <w:rPr>
          <w:rStyle w:val="eop"/>
          <w:rFonts w:asciiTheme="majorBidi" w:eastAsiaTheme="majorEastAsia" w:hAnsiTheme="majorBidi" w:cstheme="majorBidi"/>
        </w:rPr>
        <w:t> </w:t>
      </w:r>
      <w:hyperlink r:id="rId422" w:history="1">
        <w:r w:rsidRPr="00ED7E61">
          <w:rPr>
            <w:rStyle w:val="Hyperlink"/>
          </w:rPr>
          <w:t>https://unhabitat.org/sites/default/files/2020/06/national_sample_of_cities_english.pdf</w:t>
        </w:r>
      </w:hyperlink>
      <w:r w:rsidRPr="00ED7E61">
        <w:rPr>
          <w:rStyle w:val="eop"/>
          <w:rFonts w:asciiTheme="majorBidi" w:eastAsiaTheme="majorEastAsia" w:hAnsiTheme="majorBidi" w:cstheme="majorBidi"/>
        </w:rPr>
        <w:t> </w:t>
      </w:r>
    </w:p>
    <w:p w14:paraId="4223CE10"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 Scale</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72A50C95"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sz w:val="22"/>
          <w:szCs w:val="22"/>
        </w:rPr>
        <w:t> </w:t>
      </w:r>
    </w:p>
    <w:p w14:paraId="40E0A8FD" w14:textId="77777777" w:rsidR="00F3532F" w:rsidRPr="00ED7E61" w:rsidRDefault="00F3532F" w:rsidP="00F3532F">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Scale of application (please check all relevant boxes):</w:t>
      </w:r>
      <w:r w:rsidRPr="00ED7E61">
        <w:rPr>
          <w:rStyle w:val="normaltextrun"/>
          <w:rFonts w:asciiTheme="majorBidi" w:eastAsiaTheme="majorEastAsia" w:hAnsiTheme="majorBidi" w:cstheme="majorBidi"/>
          <w:i/>
          <w:iCs/>
          <w:sz w:val="22"/>
          <w:szCs w:val="22"/>
          <w:lang w:val="en-GB"/>
        </w:rPr>
        <w:t> </w:t>
      </w:r>
      <w:r w:rsidRPr="00ED7E61">
        <w:rPr>
          <w:rStyle w:val="eop"/>
          <w:rFonts w:asciiTheme="majorBidi" w:eastAsiaTheme="majorEastAsia" w:hAnsiTheme="majorBidi" w:cstheme="majorBidi"/>
          <w:sz w:val="22"/>
          <w:szCs w:val="22"/>
        </w:rPr>
        <w:t> </w:t>
      </w:r>
    </w:p>
    <w:p w14:paraId="05BFCB4E" w14:textId="77777777" w:rsidR="00F3532F" w:rsidRPr="00ED7E61" w:rsidRDefault="00F3532F" w:rsidP="00F3532F">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Global: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 xml:space="preserve">Regional: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National</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29E71733" w14:textId="77777777" w:rsidR="00F3532F" w:rsidRPr="00ED7E61" w:rsidRDefault="00F3532F" w:rsidP="00F3532F">
      <w:pPr>
        <w:pStyle w:val="CBDNormalNumber"/>
        <w:tabs>
          <w:tab w:val="clear" w:pos="567"/>
          <w:tab w:val="clear" w:pos="1701"/>
          <w:tab w:val="clear" w:pos="2268"/>
          <w:tab w:val="left" w:pos="1985"/>
        </w:tabs>
        <w:rPr>
          <w:rFonts w:asciiTheme="majorBidi" w:hAnsiTheme="majorBidi" w:cstheme="majorBidi"/>
        </w:rPr>
      </w:pPr>
      <w:r w:rsidRPr="00ED7E61">
        <w:rPr>
          <w:rStyle w:val="normaltextrun"/>
          <w:rFonts w:asciiTheme="majorBidi" w:eastAsiaTheme="majorEastAsia" w:hAnsiTheme="majorBidi" w:cstheme="majorBidi"/>
        </w:rPr>
        <w:t>Scale of data disaggregation/aggregation: </w:t>
      </w:r>
      <w:r w:rsidRPr="00ED7E61">
        <w:rPr>
          <w:rStyle w:val="eop"/>
          <w:rFonts w:asciiTheme="majorBidi" w:eastAsiaTheme="majorEastAsia" w:hAnsiTheme="majorBidi" w:cstheme="majorBidi"/>
        </w:rPr>
        <w:t> </w:t>
      </w:r>
    </w:p>
    <w:p w14:paraId="2171CB48"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rPr>
        <w:t xml:space="preserve">Global/ regional scale indicator can be disaggregated to national level: </w:t>
      </w:r>
      <w:r w:rsidRPr="00ED7E61">
        <w:rPr>
          <w:rStyle w:val="contentcontrolboundarysink"/>
          <w:rFonts w:asciiTheme="majorBidi" w:hAnsiTheme="majorBidi" w:cstheme="majorBidi"/>
        </w:rPr>
        <w:t>​</w:t>
      </w:r>
      <w:r w:rsidRPr="00ED7E61">
        <w:rPr>
          <w:rStyle w:val="normaltextrun"/>
          <w:rFonts w:ascii="Segoe UI Symbol" w:eastAsiaTheme="majorEastAsia" w:hAnsi="Segoe UI Symbol" w:cs="Segoe UI Symbol"/>
        </w:rPr>
        <w:t>☐</w:t>
      </w:r>
      <w:r w:rsidRPr="00ED7E61">
        <w:rPr>
          <w:rStyle w:val="contentcontrolboundarysink"/>
          <w:rFonts w:asciiTheme="majorBidi" w:hAnsiTheme="majorBidi" w:cstheme="majorBidi"/>
        </w:rPr>
        <w:t>​</w:t>
      </w:r>
      <w:r w:rsidRPr="00ED7E61">
        <w:rPr>
          <w:rStyle w:val="eop"/>
          <w:rFonts w:asciiTheme="majorBidi" w:eastAsiaTheme="majorEastAsia" w:hAnsiTheme="majorBidi" w:cstheme="majorBidi"/>
        </w:rPr>
        <w:t> </w:t>
      </w:r>
    </w:p>
    <w:p w14:paraId="25905523" w14:textId="77777777" w:rsidR="00F3532F" w:rsidRPr="00ED7E61" w:rsidRDefault="00F3532F" w:rsidP="00F3532F">
      <w:pPr>
        <w:pStyle w:val="CBDNormalNumber"/>
        <w:numPr>
          <w:ilvl w:val="1"/>
          <w:numId w:val="85"/>
        </w:numPr>
        <w:tabs>
          <w:tab w:val="clear" w:pos="567"/>
          <w:tab w:val="clear" w:pos="1134"/>
          <w:tab w:val="clear" w:pos="1701"/>
          <w:tab w:val="clear" w:pos="2268"/>
          <w:tab w:val="left" w:pos="1985"/>
        </w:tabs>
        <w:ind w:left="1276" w:firstLine="56"/>
        <w:rPr>
          <w:rFonts w:asciiTheme="majorBidi" w:hAnsiTheme="majorBidi" w:cstheme="majorBidi"/>
        </w:rPr>
      </w:pPr>
      <w:r w:rsidRPr="00ED7E61">
        <w:rPr>
          <w:rStyle w:val="normaltextrun"/>
          <w:rFonts w:asciiTheme="majorBidi" w:eastAsiaTheme="majorEastAsia" w:hAnsiTheme="majorBidi" w:cstheme="majorBidi"/>
        </w:rPr>
        <w:t xml:space="preserve">National data is collated to form global indicator: </w:t>
      </w:r>
      <w:r w:rsidRPr="00ED7E61">
        <w:rPr>
          <w:rStyle w:val="contentcontrolboundarysink"/>
          <w:rFonts w:asciiTheme="majorBidi" w:hAnsiTheme="majorBidi" w:cstheme="majorBidi"/>
        </w:rPr>
        <w:t>​</w:t>
      </w:r>
      <w:r w:rsidRPr="00ED7E61">
        <w:rPr>
          <w:rStyle w:val="normaltextrun"/>
          <w:rFonts w:asciiTheme="majorBidi" w:eastAsiaTheme="majorEastAsia" w:hAnsiTheme="majorBidi" w:cstheme="majorBidi"/>
        </w:rPr>
        <w:t xml:space="preserve">: </w:t>
      </w:r>
      <w:r w:rsidRPr="00ED7E61">
        <w:rPr>
          <w:rStyle w:val="contentcontrolboundarysink"/>
          <w:rFonts w:asciiTheme="majorBidi" w:hAnsiTheme="majorBidi" w:cstheme="majorBidi"/>
        </w:rPr>
        <w:t>​</w:t>
      </w:r>
      <w:r w:rsidRPr="00ED7E61">
        <w:rPr>
          <w:rStyle w:val="normaltextrun"/>
          <w:rFonts w:ascii="Segoe UI Symbol" w:eastAsiaTheme="majorEastAsia" w:hAnsi="Segoe UI Symbol" w:cs="Segoe UI Symbol"/>
        </w:rPr>
        <w:t>☐</w:t>
      </w:r>
      <w:r w:rsidRPr="00ED7E61">
        <w:rPr>
          <w:rStyle w:val="contentcontrolboundarysink"/>
          <w:rFonts w:asciiTheme="majorBidi" w:hAnsiTheme="majorBidi" w:cstheme="majorBidi"/>
        </w:rPr>
        <w:t>​​</w:t>
      </w:r>
      <w:r w:rsidRPr="00ED7E61">
        <w:rPr>
          <w:rStyle w:val="eop"/>
          <w:rFonts w:asciiTheme="majorBidi" w:eastAsiaTheme="majorEastAsia" w:hAnsiTheme="majorBidi" w:cstheme="majorBidi"/>
        </w:rPr>
        <w:t> </w:t>
      </w:r>
    </w:p>
    <w:p w14:paraId="2D1EDA3C"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indicator is applicable from city to national and regional/global levels. Measurement is done at the city level (for all cities and/or using a sample of representative cities) from where data can be aggregated to national, regional and global levels. </w:t>
      </w:r>
      <w:r w:rsidRPr="00ED7E61">
        <w:rPr>
          <w:rStyle w:val="eop"/>
          <w:rFonts w:asciiTheme="majorBidi" w:eastAsiaTheme="majorEastAsia" w:hAnsiTheme="majorBidi" w:cstheme="majorBidi"/>
        </w:rPr>
        <w:t> </w:t>
      </w:r>
    </w:p>
    <w:p w14:paraId="13A70452"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sz w:val="22"/>
          <w:szCs w:val="22"/>
        </w:rPr>
        <w:t> </w:t>
      </w:r>
    </w:p>
    <w:p w14:paraId="095D6D13"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Global SDG</w:t>
      </w:r>
      <w:r>
        <w:rPr>
          <w:rStyle w:val="normaltextrun"/>
          <w:rFonts w:asciiTheme="majorBidi" w:eastAsiaTheme="majorEastAsia" w:hAnsiTheme="majorBidi" w:cstheme="majorBidi"/>
        </w:rPr>
        <w:t xml:space="preserve"> indicator</w:t>
      </w:r>
      <w:r w:rsidRPr="00ED7E61">
        <w:rPr>
          <w:rStyle w:val="normaltextrun"/>
          <w:rFonts w:asciiTheme="majorBidi" w:eastAsiaTheme="majorEastAsia" w:hAnsiTheme="majorBidi" w:cstheme="majorBidi"/>
        </w:rPr>
        <w:t xml:space="preserve"> 11.7.1 methodology is applicable to national and local city levels (see </w:t>
      </w:r>
      <w:hyperlink r:id="rId423" w:tgtFrame="_blank" w:history="1">
        <w:r w:rsidRPr="00ED7E61">
          <w:rPr>
            <w:rStyle w:val="normaltextrun"/>
            <w:rFonts w:asciiTheme="majorBidi" w:eastAsiaTheme="majorEastAsia" w:hAnsiTheme="majorBidi" w:cstheme="majorBidi"/>
            <w:color w:val="467886"/>
            <w:u w:val="single"/>
          </w:rPr>
          <w:t>https://unstats.un.org/sdgs/metadata/files/Metadata-11-07-01.pdf</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602E169E"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Since countries have the responsibility to produce data on the indicator, the underlying data is available to them through existing national and local data sharing mechanisms. Data produced through the efforts of international organizations such as UN-Habitat is openly available to countries for use.</w:t>
      </w:r>
      <w:r w:rsidRPr="00ED7E61">
        <w:rPr>
          <w:rStyle w:val="eop"/>
          <w:rFonts w:asciiTheme="majorBidi" w:eastAsiaTheme="majorEastAsia" w:hAnsiTheme="majorBidi" w:cstheme="majorBidi"/>
        </w:rPr>
        <w:t> </w:t>
      </w:r>
    </w:p>
    <w:p w14:paraId="63268563"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6c. Sources of differences between global and national figures</w:t>
      </w:r>
      <w:r w:rsidRPr="00ED7E61">
        <w:rPr>
          <w:rStyle w:val="eop"/>
          <w:rFonts w:asciiTheme="majorBidi" w:eastAsiaTheme="majorEastAsia" w:hAnsiTheme="majorBidi" w:cstheme="majorBidi"/>
          <w:sz w:val="22"/>
          <w:szCs w:val="22"/>
        </w:rPr>
        <w:t> </w:t>
      </w:r>
    </w:p>
    <w:p w14:paraId="57D80692"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Minimal to no differences are likely to emerge for this indicator since measurement is done at the city level, with data aggregated to national, regional then global levels. Data produced by international organizations is to be shared with countries for validation, and nationally produced data will be treated as the most authoritative data. The only likely source of variations may be on the application of the globally harmonized approach to defining cities and urban areas, where countries may choose to use their national definitions as opposed to the harmonized approach. Data for this indicator should thus be accompanied by an explanation on the definition of city/urban area used in the computations. </w:t>
      </w:r>
      <w:r w:rsidRPr="00ED7E61">
        <w:rPr>
          <w:rStyle w:val="eop"/>
          <w:rFonts w:asciiTheme="majorBidi" w:eastAsiaTheme="majorEastAsia" w:hAnsiTheme="majorBidi" w:cstheme="majorBidi"/>
        </w:rPr>
        <w:t> </w:t>
      </w:r>
    </w:p>
    <w:p w14:paraId="1581068D"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sz w:val="22"/>
          <w:szCs w:val="22"/>
        </w:rPr>
        <w:t> </w:t>
      </w:r>
    </w:p>
    <w:p w14:paraId="11E51E33"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6d.1 Description of the methodology</w:t>
      </w:r>
      <w:r w:rsidRPr="00ED7E61">
        <w:rPr>
          <w:rStyle w:val="eop"/>
          <w:rFonts w:asciiTheme="majorBidi" w:eastAsiaTheme="majorEastAsia" w:hAnsiTheme="majorBidi" w:cstheme="majorBidi"/>
          <w:sz w:val="22"/>
          <w:szCs w:val="22"/>
        </w:rPr>
        <w:t> </w:t>
      </w:r>
    </w:p>
    <w:p w14:paraId="1DC44F3D"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Data produced at the city/urban level within each country is aggregated to produce a national value based on the national sample of cities approach developed by UN-Habitat, through which a weighting scheme is developed for each city as a factor of its national representativeness (See: https://unhabitat.org/sites/default/files/2020/06/national_sample_of_cities_english.pdf). The national aggregates from different countries are then used to produce regional and global estimates. </w:t>
      </w:r>
      <w:r w:rsidRPr="00ED7E61">
        <w:rPr>
          <w:rStyle w:val="eop"/>
          <w:rFonts w:asciiTheme="majorBidi" w:eastAsiaTheme="majorEastAsia" w:hAnsiTheme="majorBidi" w:cstheme="majorBidi"/>
        </w:rPr>
        <w:t> </w:t>
      </w:r>
    </w:p>
    <w:p w14:paraId="0F20A04B"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 xml:space="preserve">Anticipating the challenge of limited data availability from countries in the earlier years of the indicator, the global sample of cities developed jointly by UN-Habitat, New York University and the Lincoln Institute of Land Policy presents a consistent approach to producing regional and global aggregates. The global sample of cities includes a list of cities which are representative of all regions and for which data can be produced and used to produce weighted regional and global values on the indicator performance (see </w:t>
      </w:r>
      <w:hyperlink r:id="rId424" w:tgtFrame="_blank" w:history="1">
        <w:r w:rsidRPr="00ED7E61">
          <w:rPr>
            <w:rStyle w:val="normaltextrun"/>
            <w:rFonts w:asciiTheme="majorBidi" w:eastAsiaTheme="majorEastAsia" w:hAnsiTheme="majorBidi" w:cstheme="majorBidi"/>
            <w:color w:val="467886"/>
            <w:u w:val="single"/>
          </w:rPr>
          <w:t>https://www.lincolninst.edu/sites/default/files/pubfiles/atlas-of-urban-expansion-2016-volume-1-full.pdf</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71B21B82"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6d.2 Additional methodological details</w:t>
      </w:r>
      <w:r w:rsidRPr="00ED7E61">
        <w:rPr>
          <w:rStyle w:val="eop"/>
          <w:rFonts w:asciiTheme="majorBidi" w:eastAsiaTheme="majorEastAsia" w:hAnsiTheme="majorBidi" w:cstheme="majorBidi"/>
          <w:sz w:val="22"/>
          <w:szCs w:val="22"/>
        </w:rPr>
        <w:t> </w:t>
      </w:r>
    </w:p>
    <w:p w14:paraId="58D64841" w14:textId="77777777" w:rsidR="00F3532F" w:rsidRPr="00ED7E61" w:rsidRDefault="00F3532F" w:rsidP="00F3532F">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N/A</w:t>
      </w:r>
      <w:r w:rsidRPr="00ED7E61">
        <w:rPr>
          <w:rStyle w:val="normaltextrun"/>
        </w:rPr>
        <w:t> </w:t>
      </w:r>
    </w:p>
    <w:p w14:paraId="2F9ED389"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6d.3 Description of the mechanism for collecting data from countries</w:t>
      </w:r>
      <w:r w:rsidRPr="00ED7E61">
        <w:rPr>
          <w:rStyle w:val="eop"/>
          <w:rFonts w:asciiTheme="majorBidi" w:eastAsiaTheme="majorEastAsia" w:hAnsiTheme="majorBidi" w:cstheme="majorBidi"/>
          <w:sz w:val="22"/>
          <w:szCs w:val="22"/>
        </w:rPr>
        <w:t> </w:t>
      </w:r>
    </w:p>
    <w:p w14:paraId="7B25F426" w14:textId="77777777" w:rsidR="00F3532F" w:rsidRPr="00ED7E61" w:rsidRDefault="00F3532F" w:rsidP="00F3532F">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N/A</w:t>
      </w:r>
      <w:r w:rsidRPr="00ED7E61">
        <w:rPr>
          <w:rStyle w:val="normaltextrun"/>
        </w:rPr>
        <w:t> </w:t>
      </w:r>
    </w:p>
    <w:p w14:paraId="7A145DA5" w14:textId="77777777" w:rsidR="00F3532F" w:rsidRPr="00ED7E61" w:rsidRDefault="00F3532F" w:rsidP="00812871">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7. Other MEAs, processes and organisations</w:t>
      </w:r>
      <w:r w:rsidRPr="00812871">
        <w:rPr>
          <w:rStyle w:val="normaltextrun"/>
          <w:rFonts w:eastAsiaTheme="majorEastAsia"/>
          <w:b/>
          <w:bCs/>
          <w:lang w:val="en-GB"/>
        </w:rPr>
        <w:t> </w:t>
      </w:r>
    </w:p>
    <w:p w14:paraId="58DA9F3C" w14:textId="77777777" w:rsidR="00F3532F" w:rsidRPr="00812871" w:rsidRDefault="00F3532F" w:rsidP="00812871">
      <w:pPr>
        <w:pStyle w:val="CBDNormalNumber"/>
        <w:numPr>
          <w:ilvl w:val="0"/>
          <w:numId w:val="85"/>
        </w:numPr>
        <w:shd w:val="clear" w:color="auto" w:fill="FFFFFF"/>
        <w:ind w:left="567" w:firstLine="0"/>
        <w:rPr>
          <w:rStyle w:val="normaltextrun"/>
          <w:rFonts w:eastAsiaTheme="majorEastAsia"/>
        </w:rPr>
      </w:pPr>
      <w:r w:rsidRPr="00812871">
        <w:rPr>
          <w:rStyle w:val="normaltextrun"/>
          <w:rFonts w:asciiTheme="majorBidi" w:eastAsiaTheme="majorEastAsia" w:hAnsiTheme="majorBidi" w:cstheme="majorBidi"/>
        </w:rPr>
        <w:t>N/A.</w:t>
      </w:r>
      <w:r w:rsidRPr="00812871">
        <w:rPr>
          <w:rStyle w:val="normaltextrun"/>
        </w:rPr>
        <w:t> </w:t>
      </w:r>
    </w:p>
    <w:p w14:paraId="19A746C7" w14:textId="77777777" w:rsidR="00F3532F" w:rsidRPr="00ED7E61" w:rsidRDefault="00F3532F" w:rsidP="00F3532F">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u w:val="single"/>
          <w:lang w:val="en-GB"/>
        </w:rPr>
        <w:t xml:space="preserve">8. Possible </w:t>
      </w:r>
      <w:proofErr w:type="spellStart"/>
      <w:r w:rsidRPr="00ED7E61">
        <w:rPr>
          <w:rStyle w:val="normaltextrun"/>
          <w:rFonts w:asciiTheme="majorBidi" w:eastAsiaTheme="majorEastAsia" w:hAnsiTheme="majorBidi" w:cstheme="majorBidi"/>
          <w:b/>
          <w:bCs/>
          <w:sz w:val="22"/>
          <w:szCs w:val="22"/>
          <w:u w:val="single"/>
          <w:lang w:val="en-GB"/>
        </w:rPr>
        <w:t>Disaggregations</w:t>
      </w:r>
      <w:proofErr w:type="spellEnd"/>
      <w:r w:rsidRPr="00ED7E61">
        <w:rPr>
          <w:rStyle w:val="eop"/>
          <w:rFonts w:asciiTheme="majorBidi" w:eastAsiaTheme="majorEastAsia" w:hAnsiTheme="majorBidi" w:cstheme="majorBidi"/>
          <w:sz w:val="22"/>
          <w:szCs w:val="22"/>
        </w:rPr>
        <w:t> </w:t>
      </w:r>
    </w:p>
    <w:p w14:paraId="415308AD"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Based on availability of high-resolution population data, population with access to open public spaces should be disaggregated by age, gender and disability.</w:t>
      </w:r>
      <w:r w:rsidRPr="00ED7E61">
        <w:rPr>
          <w:rStyle w:val="eop"/>
          <w:rFonts w:asciiTheme="majorBidi" w:eastAsiaTheme="majorEastAsia" w:hAnsiTheme="majorBidi" w:cstheme="majorBidi"/>
        </w:rPr>
        <w:t> </w:t>
      </w:r>
    </w:p>
    <w:p w14:paraId="2980A5A9"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Wherever possible, it would also be useful to have information disaggregated by:</w:t>
      </w:r>
      <w:r w:rsidRPr="00ED7E61">
        <w:rPr>
          <w:rStyle w:val="eop"/>
          <w:rFonts w:asciiTheme="majorBidi" w:eastAsiaTheme="majorEastAsia" w:hAnsiTheme="majorBidi" w:cstheme="majorBidi"/>
        </w:rPr>
        <w:t> </w:t>
      </w:r>
    </w:p>
    <w:p w14:paraId="4760073B"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Location of public spaces (intra-urban) </w:t>
      </w:r>
      <w:r w:rsidRPr="00ED7E61">
        <w:rPr>
          <w:rStyle w:val="eop"/>
          <w:rFonts w:asciiTheme="majorBidi" w:eastAsiaTheme="majorEastAsia" w:hAnsiTheme="majorBidi" w:cstheme="majorBidi"/>
        </w:rPr>
        <w:t> </w:t>
      </w:r>
    </w:p>
    <w:p w14:paraId="4A023D2C"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Quality of the green/blue space by safety, inclusivity, accessibility, greenness, and comfort </w:t>
      </w:r>
      <w:r w:rsidRPr="00ED7E61">
        <w:rPr>
          <w:rStyle w:val="eop"/>
          <w:rFonts w:asciiTheme="majorBidi" w:eastAsiaTheme="majorEastAsia" w:hAnsiTheme="majorBidi" w:cstheme="majorBidi"/>
        </w:rPr>
        <w:t> </w:t>
      </w:r>
    </w:p>
    <w:p w14:paraId="52F1998C"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Type of green/blue space as a share of the city area. This includes a classification of green (e.g. forest, shrub land, grassland) and blue (e.g. wetland, lake, river, mangrove) ecosystem type and extent, and a measure of ecosystem condition. </w:t>
      </w:r>
      <w:r w:rsidRPr="00ED7E61">
        <w:rPr>
          <w:rStyle w:val="eop"/>
          <w:rFonts w:asciiTheme="majorBidi" w:eastAsiaTheme="majorEastAsia" w:hAnsiTheme="majorBidi" w:cstheme="majorBidi"/>
        </w:rPr>
        <w:t> </w:t>
      </w:r>
    </w:p>
    <w:p w14:paraId="199C8487"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Measures of ecosystem functions and services (nature’s contributions to people) to people such as health and wellbeing are needed to reflect this wording in the target.  </w:t>
      </w:r>
      <w:r w:rsidRPr="00ED7E61">
        <w:rPr>
          <w:rStyle w:val="eop"/>
          <w:rFonts w:asciiTheme="majorBidi" w:eastAsiaTheme="majorEastAsia" w:hAnsiTheme="majorBidi" w:cstheme="majorBidi"/>
        </w:rPr>
        <w:t> </w:t>
      </w:r>
    </w:p>
    <w:p w14:paraId="2494DB67"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The share of green/blue space in public use which are universally accessible, particularly for persons with disabilities. </w:t>
      </w:r>
      <w:r w:rsidRPr="00ED7E61">
        <w:rPr>
          <w:rStyle w:val="eop"/>
          <w:rFonts w:asciiTheme="majorBidi" w:eastAsiaTheme="majorEastAsia" w:hAnsiTheme="majorBidi" w:cstheme="majorBidi"/>
        </w:rPr>
        <w:t> </w:t>
      </w:r>
    </w:p>
    <w:p w14:paraId="7DB1C645" w14:textId="77777777" w:rsidR="00F3532F" w:rsidRPr="00ED7E61" w:rsidRDefault="00F3532F" w:rsidP="00F3532F">
      <w:pPr>
        <w:pStyle w:val="CBDNormalNumber"/>
        <w:numPr>
          <w:ilvl w:val="1"/>
          <w:numId w:val="85"/>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Type of human settlements</w:t>
      </w:r>
      <w:r w:rsidRPr="00ED7E61">
        <w:rPr>
          <w:rStyle w:val="eop"/>
          <w:rFonts w:asciiTheme="majorBidi" w:eastAsiaTheme="majorEastAsia" w:hAnsiTheme="majorBidi" w:cstheme="majorBidi"/>
        </w:rPr>
        <w:t> </w:t>
      </w:r>
    </w:p>
    <w:p w14:paraId="28104CB0"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color w:val="000000"/>
          <w:sz w:val="22"/>
          <w:szCs w:val="22"/>
          <w:lang w:val="en-GB"/>
        </w:rPr>
        <w:t>9. Related goals, targets and indicators</w:t>
      </w:r>
      <w:r w:rsidRPr="00ED7E61">
        <w:rPr>
          <w:rStyle w:val="eop"/>
          <w:rFonts w:asciiTheme="majorBidi" w:eastAsiaTheme="majorEastAsia" w:hAnsiTheme="majorBidi" w:cstheme="majorBidi"/>
          <w:color w:val="000000"/>
          <w:sz w:val="22"/>
          <w:szCs w:val="22"/>
        </w:rPr>
        <w:t> </w:t>
      </w:r>
    </w:p>
    <w:p w14:paraId="145ACD16" w14:textId="77777777" w:rsidR="00F3532F" w:rsidRPr="00ED7E61" w:rsidRDefault="00F3532F" w:rsidP="00F3532F">
      <w:pPr>
        <w:pStyle w:val="CBDNormalNumber"/>
        <w:numPr>
          <w:ilvl w:val="0"/>
          <w:numId w:val="85"/>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Indicators for biodiversity used in Goal A are valuable to assessing the contribution of urban green and blue spaces to urban biodiversity targets. Complementary indicators for estimating the integrity, connectivity and resilience of ecosystems are relevant and could be applied to urban ecosystems. Also relevant are indicators for Goal B, such as those to be used for ecosystem services and other contributions of nature to human well-being. </w:t>
      </w:r>
      <w:r w:rsidRPr="00ED7E61">
        <w:rPr>
          <w:rStyle w:val="eop"/>
          <w:rFonts w:asciiTheme="majorBidi" w:eastAsiaTheme="majorEastAsia" w:hAnsiTheme="majorBidi" w:cstheme="majorBidi"/>
        </w:rPr>
        <w:t> </w:t>
      </w:r>
    </w:p>
    <w:p w14:paraId="7A7A93F7" w14:textId="77777777" w:rsidR="00F3532F" w:rsidRPr="009E462F" w:rsidRDefault="00F3532F" w:rsidP="00F3532F">
      <w:pPr>
        <w:pStyle w:val="paragraph"/>
        <w:spacing w:before="0" w:beforeAutospacing="0" w:after="0" w:afterAutospacing="0"/>
        <w:textAlignment w:val="baseline"/>
        <w:rPr>
          <w:rFonts w:asciiTheme="majorBidi" w:hAnsiTheme="majorBidi" w:cstheme="majorBidi"/>
          <w:sz w:val="22"/>
          <w:szCs w:val="22"/>
          <w:lang w:val="en-US"/>
        </w:rPr>
      </w:pPr>
      <w:r w:rsidRPr="00ED7E61">
        <w:rPr>
          <w:rStyle w:val="eop"/>
          <w:rFonts w:asciiTheme="majorBidi" w:eastAsiaTheme="majorEastAsia" w:hAnsiTheme="majorBidi" w:cstheme="majorBidi"/>
          <w:sz w:val="22"/>
          <w:szCs w:val="22"/>
          <w:lang w:val="en-GB"/>
        </w:rPr>
        <w:t> </w:t>
      </w:r>
      <w:r w:rsidRPr="009E462F">
        <w:rPr>
          <w:rStyle w:val="normaltextrun"/>
          <w:rFonts w:asciiTheme="majorBidi" w:eastAsiaTheme="majorEastAsia" w:hAnsiTheme="majorBidi" w:cstheme="majorBidi"/>
          <w:b/>
          <w:bCs/>
          <w:sz w:val="22"/>
          <w:szCs w:val="22"/>
          <w:lang w:val="en-US"/>
        </w:rPr>
        <w:t>10. Data reporter</w:t>
      </w:r>
      <w:r w:rsidRPr="009E462F">
        <w:rPr>
          <w:rStyle w:val="eop"/>
          <w:rFonts w:asciiTheme="majorBidi" w:eastAsiaTheme="majorEastAsia" w:hAnsiTheme="majorBidi" w:cstheme="majorBidi"/>
          <w:sz w:val="22"/>
          <w:szCs w:val="22"/>
          <w:lang w:val="en-US"/>
        </w:rPr>
        <w:t> </w:t>
      </w:r>
    </w:p>
    <w:p w14:paraId="4B8B55CD" w14:textId="77777777" w:rsidR="00F3532F" w:rsidRPr="009E462F" w:rsidRDefault="00F3532F" w:rsidP="00F3532F">
      <w:pPr>
        <w:pStyle w:val="paragraph"/>
        <w:pBdr>
          <w:bottom w:val="single" w:sz="4" w:space="1" w:color="000000"/>
        </w:pBdr>
        <w:spacing w:before="120" w:beforeAutospacing="0" w:after="0" w:afterAutospacing="0"/>
        <w:textAlignment w:val="baseline"/>
        <w:rPr>
          <w:rFonts w:asciiTheme="majorBidi" w:hAnsiTheme="majorBidi" w:cstheme="majorBidi"/>
          <w:sz w:val="22"/>
          <w:szCs w:val="22"/>
          <w:lang w:val="en-US"/>
        </w:rPr>
      </w:pPr>
      <w:r w:rsidRPr="009E462F">
        <w:rPr>
          <w:rStyle w:val="normaltextrun"/>
          <w:rFonts w:asciiTheme="majorBidi" w:eastAsiaTheme="majorEastAsia" w:hAnsiTheme="majorBidi" w:cstheme="majorBidi"/>
          <w:b/>
          <w:bCs/>
          <w:sz w:val="22"/>
          <w:szCs w:val="22"/>
          <w:lang w:val="en-US"/>
        </w:rPr>
        <w:t>10a. Organization </w:t>
      </w:r>
      <w:r w:rsidRPr="009E462F">
        <w:rPr>
          <w:rStyle w:val="eop"/>
          <w:rFonts w:asciiTheme="majorBidi" w:eastAsiaTheme="majorEastAsia" w:hAnsiTheme="majorBidi" w:cstheme="majorBidi"/>
          <w:sz w:val="22"/>
          <w:szCs w:val="22"/>
          <w:lang w:val="en-US"/>
        </w:rPr>
        <w:t> </w:t>
      </w:r>
    </w:p>
    <w:p w14:paraId="3B67890B" w14:textId="77777777" w:rsidR="00F3532F" w:rsidRPr="009E462F" w:rsidRDefault="00F3532F" w:rsidP="00F3532F">
      <w:pPr>
        <w:pStyle w:val="CBDNormalNumber"/>
        <w:shd w:val="clear" w:color="auto" w:fill="FFFFFF"/>
        <w:ind w:left="567"/>
        <w:rPr>
          <w:rFonts w:asciiTheme="majorBidi" w:hAnsiTheme="majorBidi" w:cstheme="majorBidi"/>
          <w:lang w:val="en-US"/>
        </w:rPr>
      </w:pPr>
      <w:r w:rsidRPr="00ED7E61">
        <w:rPr>
          <w:rStyle w:val="normaltextrun"/>
          <w:rFonts w:asciiTheme="majorBidi" w:eastAsiaTheme="majorEastAsia" w:hAnsiTheme="majorBidi" w:cstheme="majorBidi"/>
        </w:rPr>
        <w:t>UN</w:t>
      </w:r>
      <w:r w:rsidRPr="009E462F">
        <w:rPr>
          <w:rStyle w:val="normaltextrun"/>
          <w:rFonts w:asciiTheme="majorBidi" w:eastAsiaTheme="majorEastAsia" w:hAnsiTheme="majorBidi" w:cstheme="majorBidi"/>
          <w:lang w:val="en-US"/>
        </w:rPr>
        <w:t>-Habitat</w:t>
      </w:r>
      <w:r w:rsidRPr="009E462F">
        <w:rPr>
          <w:rStyle w:val="eop"/>
          <w:rFonts w:asciiTheme="majorBidi" w:eastAsiaTheme="majorEastAsia" w:hAnsiTheme="majorBidi" w:cstheme="majorBidi"/>
          <w:lang w:val="en-US"/>
        </w:rPr>
        <w:t> </w:t>
      </w:r>
    </w:p>
    <w:p w14:paraId="0E01303C"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5EA41AFA" w14:textId="77777777" w:rsidR="00F3532F" w:rsidRPr="00ED7E61" w:rsidRDefault="00F3532F" w:rsidP="00F3532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Robert</w:t>
      </w:r>
      <w:r w:rsidRPr="00ED7E61">
        <w:rPr>
          <w:rStyle w:val="normaltextrun"/>
          <w:rFonts w:asciiTheme="majorBidi" w:eastAsiaTheme="majorEastAsia" w:hAnsiTheme="majorBidi" w:cstheme="majorBidi"/>
          <w:shd w:val="clear" w:color="auto" w:fill="FFFFFF"/>
        </w:rPr>
        <w:t xml:space="preserve"> Ndugwa: (</w:t>
      </w:r>
      <w:hyperlink r:id="rId425" w:tgtFrame="_blank" w:history="1">
        <w:r w:rsidRPr="00ED7E61">
          <w:rPr>
            <w:rStyle w:val="normaltextrun"/>
            <w:rFonts w:asciiTheme="majorBidi" w:eastAsiaTheme="majorEastAsia" w:hAnsiTheme="majorBidi" w:cstheme="majorBidi"/>
            <w:color w:val="467886"/>
            <w:u w:val="single"/>
            <w:shd w:val="clear" w:color="auto" w:fill="FFFFFF"/>
          </w:rPr>
          <w:t>robert.ndugwa@un.org</w:t>
        </w:r>
      </w:hyperlink>
      <w:r w:rsidRPr="00ED7E61">
        <w:rPr>
          <w:rStyle w:val="normaltextrun"/>
          <w:rFonts w:asciiTheme="majorBidi" w:eastAsiaTheme="majorEastAsia" w:hAnsiTheme="majorBidi" w:cstheme="majorBidi"/>
          <w:shd w:val="clear" w:color="auto" w:fill="FFFFFF"/>
        </w:rPr>
        <w:t>) </w:t>
      </w:r>
      <w:r w:rsidRPr="00ED7E61">
        <w:rPr>
          <w:rStyle w:val="eop"/>
          <w:rFonts w:asciiTheme="majorBidi" w:eastAsiaTheme="majorEastAsia" w:hAnsiTheme="majorBidi" w:cstheme="majorBidi"/>
        </w:rPr>
        <w:t> </w:t>
      </w:r>
    </w:p>
    <w:p w14:paraId="58ABD6F7"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11. References</w:t>
      </w:r>
      <w:r w:rsidRPr="00ED7E61">
        <w:rPr>
          <w:rStyle w:val="eop"/>
          <w:rFonts w:asciiTheme="majorBidi" w:eastAsiaTheme="majorEastAsia" w:hAnsiTheme="majorBidi" w:cstheme="majorBidi"/>
          <w:sz w:val="22"/>
          <w:szCs w:val="22"/>
        </w:rPr>
        <w:t> </w:t>
      </w:r>
    </w:p>
    <w:p w14:paraId="53629C05" w14:textId="77777777" w:rsidR="00F3532F" w:rsidRPr="00ED7E61" w:rsidRDefault="00F3532F" w:rsidP="00F3532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lastRenderedPageBreak/>
        <w:t xml:space="preserve">Axon Johnson Foundation, Public Spaces and Place making, Future of Places </w:t>
      </w:r>
      <w:hyperlink r:id="rId426" w:tgtFrame="_blank" w:history="1">
        <w:r w:rsidRPr="00ED7E61">
          <w:rPr>
            <w:rStyle w:val="normaltextrun"/>
            <w:rFonts w:asciiTheme="majorBidi" w:eastAsiaTheme="majorEastAsia" w:hAnsiTheme="majorBidi" w:cstheme="majorBidi"/>
            <w:color w:val="467886"/>
            <w:u w:val="single"/>
          </w:rPr>
          <w:t>http://futureofplaces.com</w:t>
        </w:r>
      </w:hyperlink>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090840F0" w14:textId="77777777" w:rsidR="00F3532F" w:rsidRPr="00ED7E61" w:rsidRDefault="00F3532F" w:rsidP="00F3532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UN-Habitat (2013) Streets as Public Spaces and Drivers of Urban Prosperity, Nairobi</w:t>
      </w:r>
      <w:r w:rsidRPr="00ED7E61">
        <w:rPr>
          <w:rStyle w:val="eop"/>
          <w:rFonts w:asciiTheme="majorBidi" w:eastAsiaTheme="majorEastAsia" w:hAnsiTheme="majorBidi" w:cstheme="majorBidi"/>
        </w:rPr>
        <w:t> </w:t>
      </w:r>
    </w:p>
    <w:p w14:paraId="1CAFF7DA" w14:textId="77777777" w:rsidR="00F3532F" w:rsidRPr="00ED7E61" w:rsidRDefault="00F3532F" w:rsidP="00F3532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UN-Habitat (2014) Methodology for Measuring Street Connectivity Index</w:t>
      </w:r>
      <w:r w:rsidRPr="00ED7E61">
        <w:rPr>
          <w:rStyle w:val="eop"/>
          <w:rFonts w:asciiTheme="majorBidi" w:eastAsiaTheme="majorEastAsia" w:hAnsiTheme="majorBidi" w:cstheme="majorBidi"/>
        </w:rPr>
        <w:t> </w:t>
      </w:r>
    </w:p>
    <w:p w14:paraId="25C436AC" w14:textId="77777777" w:rsidR="00F3532F" w:rsidRPr="00ED7E61" w:rsidRDefault="00F3532F" w:rsidP="00F3532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UN-Habitat (2015) Spatial Capital of Saudi Arabian Cities, Street Connectivity as part of City Prosperity Initiative</w:t>
      </w:r>
      <w:r w:rsidRPr="00ED7E61">
        <w:rPr>
          <w:rStyle w:val="eop"/>
          <w:rFonts w:asciiTheme="majorBidi" w:eastAsiaTheme="majorEastAsia" w:hAnsiTheme="majorBidi" w:cstheme="majorBidi"/>
        </w:rPr>
        <w:t> </w:t>
      </w:r>
    </w:p>
    <w:p w14:paraId="73721B1B" w14:textId="77777777" w:rsidR="00F3532F" w:rsidRPr="00ED7E61" w:rsidRDefault="00F3532F" w:rsidP="00F3532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UN-Habitat (2015) Global Public Space Toolkit from Global Principles to Local Policies and Practice</w:t>
      </w:r>
      <w:r w:rsidRPr="00ED7E61">
        <w:rPr>
          <w:rStyle w:val="eop"/>
          <w:rFonts w:asciiTheme="majorBidi" w:eastAsiaTheme="majorEastAsia" w:hAnsiTheme="majorBidi" w:cstheme="majorBidi"/>
        </w:rPr>
        <w:t> </w:t>
      </w:r>
    </w:p>
    <w:p w14:paraId="7B86C49B" w14:textId="77777777" w:rsidR="00F3532F" w:rsidRPr="00ED7E61" w:rsidRDefault="00F3532F" w:rsidP="00F3532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 xml:space="preserve">UN-Habitat (2018). SDG Indicator 11.7.1 Training Module: Public Space. United Nations Human Settlement Programme (UN-Habitat), Nairobi. Available at </w:t>
      </w:r>
      <w:hyperlink r:id="rId427" w:tgtFrame="_blank" w:history="1">
        <w:r w:rsidRPr="00ED7E61">
          <w:rPr>
            <w:rStyle w:val="normaltextrun"/>
            <w:rFonts w:asciiTheme="majorBidi" w:eastAsiaTheme="majorEastAsia" w:hAnsiTheme="majorBidi" w:cstheme="majorBidi"/>
            <w:color w:val="467886"/>
            <w:u w:val="single"/>
          </w:rPr>
          <w:t>https://unhabitat.org/sites/default/files/2020/07/indicator_11.7.1_training_module_public_space.pdf</w:t>
        </w:r>
      </w:hyperlink>
      <w:r w:rsidRPr="00ED7E61">
        <w:rPr>
          <w:rStyle w:val="eop"/>
          <w:rFonts w:asciiTheme="majorBidi" w:eastAsiaTheme="majorEastAsia" w:hAnsiTheme="majorBidi" w:cstheme="majorBidi"/>
        </w:rPr>
        <w:t> </w:t>
      </w:r>
    </w:p>
    <w:p w14:paraId="7C315A6D" w14:textId="77777777" w:rsidR="00F3532F" w:rsidRPr="00ED7E61" w:rsidRDefault="00F3532F" w:rsidP="00F3532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 xml:space="preserve">Kaw, Jon Kher, </w:t>
      </w:r>
      <w:proofErr w:type="spellStart"/>
      <w:r w:rsidRPr="00ED7E61">
        <w:rPr>
          <w:rStyle w:val="normaltextrun"/>
          <w:rFonts w:asciiTheme="majorBidi" w:eastAsiaTheme="majorEastAsia" w:hAnsiTheme="majorBidi" w:cstheme="majorBidi"/>
        </w:rPr>
        <w:t>Hyunji</w:t>
      </w:r>
      <w:proofErr w:type="spellEnd"/>
      <w:r w:rsidRPr="00ED7E61">
        <w:rPr>
          <w:rStyle w:val="normaltextrun"/>
          <w:rFonts w:asciiTheme="majorBidi" w:eastAsiaTheme="majorEastAsia" w:hAnsiTheme="majorBidi" w:cstheme="majorBidi"/>
        </w:rPr>
        <w:t xml:space="preserve"> Lee, and Sameh Wahba, editors. 2020. The Hidden Wealth of Cities: Creating, Financing, and Managing Public Spaces. Washington, DC: World Bank. doi:10.1596/978-1-4648-1449-5. License: Creative Commons Attribution CC BY 3.0 IGO </w:t>
      </w:r>
      <w:r w:rsidRPr="00ED7E61">
        <w:rPr>
          <w:rStyle w:val="eop"/>
          <w:rFonts w:asciiTheme="majorBidi" w:eastAsiaTheme="majorEastAsia" w:hAnsiTheme="majorBidi" w:cstheme="majorBidi"/>
        </w:rPr>
        <w:t> </w:t>
      </w:r>
    </w:p>
    <w:p w14:paraId="0C670C00" w14:textId="77777777" w:rsidR="00F3532F" w:rsidRPr="00ED7E61" w:rsidRDefault="00F3532F" w:rsidP="00F3532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 xml:space="preserve">SDG 11.7.1 metadata, 2020. </w:t>
      </w:r>
      <w:hyperlink r:id="rId428" w:tgtFrame="_blank" w:history="1">
        <w:r w:rsidRPr="00ED7E61">
          <w:rPr>
            <w:rStyle w:val="normaltextrun"/>
            <w:rFonts w:asciiTheme="majorBidi" w:eastAsiaTheme="majorEastAsia" w:hAnsiTheme="majorBidi" w:cstheme="majorBidi"/>
            <w:color w:val="467886"/>
            <w:u w:val="single"/>
          </w:rPr>
          <w:t>https://unstats.un.org/sdgs/metadata/files/Metadata-11-07-01.pdf</w:t>
        </w:r>
      </w:hyperlink>
      <w:r w:rsidRPr="00ED7E61">
        <w:rPr>
          <w:rStyle w:val="eop"/>
          <w:rFonts w:asciiTheme="majorBidi" w:eastAsiaTheme="majorEastAsia" w:hAnsiTheme="majorBidi" w:cstheme="majorBidi"/>
        </w:rPr>
        <w:t> </w:t>
      </w:r>
    </w:p>
    <w:p w14:paraId="68440DFA" w14:textId="77777777" w:rsidR="00F3532F" w:rsidRPr="00ED7E61" w:rsidRDefault="00F3532F" w:rsidP="00F3532F">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12. Graphs and diagrams</w:t>
      </w:r>
      <w:r w:rsidRPr="00ED7E61">
        <w:rPr>
          <w:rStyle w:val="eop"/>
          <w:rFonts w:asciiTheme="majorBidi" w:eastAsiaTheme="majorEastAsia" w:hAnsiTheme="majorBidi" w:cstheme="majorBidi"/>
          <w:sz w:val="22"/>
          <w:szCs w:val="22"/>
        </w:rPr>
        <w:t> </w:t>
      </w:r>
    </w:p>
    <w:p w14:paraId="15D90F95" w14:textId="77777777" w:rsidR="00F3532F" w:rsidRPr="00ED7E61" w:rsidRDefault="00F3532F" w:rsidP="00F3532F">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43377FDA" w14:textId="77777777" w:rsidR="00F3532F" w:rsidRPr="00ED7E61" w:rsidRDefault="00F3532F" w:rsidP="00F3532F">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11D63EEB" w14:textId="77777777" w:rsidR="000244FB" w:rsidRDefault="000244FB">
      <w:pPr>
        <w:rPr>
          <w:rStyle w:val="normaltextrun"/>
        </w:rPr>
      </w:pPr>
      <w:r>
        <w:rPr>
          <w:rStyle w:val="normaltextrun"/>
        </w:rPr>
        <w:br w:type="page"/>
      </w:r>
    </w:p>
    <w:p w14:paraId="545164E0" w14:textId="585E0CCD" w:rsidR="000244FB" w:rsidRPr="00ED7E61" w:rsidRDefault="000244FB" w:rsidP="000244FB">
      <w:pPr>
        <w:pStyle w:val="Heading3"/>
        <w:rPr>
          <w:rStyle w:val="normaltextrun"/>
        </w:rPr>
      </w:pPr>
      <w:bookmarkStart w:id="54" w:name="_Toc233278580"/>
      <w:bookmarkStart w:id="55" w:name="_Toc178285871"/>
      <w:r>
        <w:rPr>
          <w:rStyle w:val="normaltextrun"/>
        </w:rPr>
        <w:lastRenderedPageBreak/>
        <w:t>Binary</w:t>
      </w:r>
      <w:r w:rsidRPr="00ED7E61">
        <w:rPr>
          <w:rStyle w:val="normaltextrun"/>
        </w:rPr>
        <w:t xml:space="preserve"> indicator 12.b</w:t>
      </w:r>
      <w:bookmarkEnd w:id="54"/>
      <w:r w:rsidRPr="00ED7E61">
        <w:rPr>
          <w:rStyle w:val="normaltextrun"/>
        </w:rPr>
        <w:t xml:space="preserve"> </w:t>
      </w:r>
      <w:bookmarkEnd w:id="55"/>
    </w:p>
    <w:p w14:paraId="5197B686" w14:textId="77777777" w:rsidR="000244FB" w:rsidRPr="00ED7E61" w:rsidRDefault="000244FB" w:rsidP="000244FB">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444201A7" w14:textId="77777777" w:rsidR="000244FB" w:rsidRPr="0049615A" w:rsidRDefault="000244FB" w:rsidP="0049615A">
      <w:pPr>
        <w:pStyle w:val="paragraph"/>
        <w:pBdr>
          <w:bottom w:val="single" w:sz="4" w:space="1" w:color="000000"/>
        </w:pBdr>
        <w:spacing w:before="120" w:beforeAutospacing="0" w:after="0" w:afterAutospacing="0"/>
        <w:textAlignment w:val="baseline"/>
        <w:rPr>
          <w:rStyle w:val="normaltextrun"/>
          <w:rFonts w:eastAsiaTheme="majorEastAsia"/>
          <w:u w:val="single"/>
          <w:lang w:val="en-GB"/>
        </w:rPr>
      </w:pPr>
      <w:r w:rsidRPr="0049615A">
        <w:rPr>
          <w:rStyle w:val="normaltextrun"/>
          <w:rFonts w:asciiTheme="majorBidi" w:eastAsiaTheme="majorEastAsia" w:hAnsiTheme="majorBidi" w:cstheme="majorBidi"/>
          <w:b/>
          <w:bCs/>
          <w:sz w:val="22"/>
          <w:szCs w:val="22"/>
          <w:lang w:val="en-GB"/>
        </w:rPr>
        <w:t>Full Indicator Name</w:t>
      </w:r>
    </w:p>
    <w:p w14:paraId="33464EBE" w14:textId="77777777" w:rsidR="000244FB" w:rsidRPr="00ED7E61" w:rsidRDefault="000244FB" w:rsidP="000244FB">
      <w:pPr>
        <w:jc w:val="both"/>
        <w:rPr>
          <w:rFonts w:asciiTheme="majorBidi" w:hAnsiTheme="majorBidi" w:cstheme="majorBidi"/>
          <w:color w:val="000000" w:themeColor="text1"/>
          <w:kern w:val="22"/>
          <w:sz w:val="22"/>
          <w:szCs w:val="22"/>
        </w:rPr>
      </w:pPr>
      <w:r w:rsidRPr="00ED7E61">
        <w:rPr>
          <w:rFonts w:asciiTheme="majorBidi" w:hAnsiTheme="majorBidi" w:cstheme="majorBidi"/>
          <w:color w:val="000000" w:themeColor="text1"/>
          <w:kern w:val="22"/>
          <w:sz w:val="22"/>
          <w:szCs w:val="22"/>
        </w:rPr>
        <w:t>Number of countries with biodiversity-inclusive urban planning referring to green or blue urban spaces.</w:t>
      </w:r>
    </w:p>
    <w:p w14:paraId="2B479828" w14:textId="77777777" w:rsidR="000244FB" w:rsidRPr="00ED7E61" w:rsidRDefault="000244FB" w:rsidP="000244FB">
      <w:pPr>
        <w:jc w:val="both"/>
        <w:rPr>
          <w:rFonts w:asciiTheme="majorBidi" w:hAnsiTheme="majorBidi" w:cstheme="majorBidi"/>
          <w:sz w:val="22"/>
          <w:szCs w:val="22"/>
        </w:rPr>
      </w:pPr>
      <w:r w:rsidRPr="00ED7E61" w:rsidDel="00287E4F">
        <w:rPr>
          <w:rFonts w:asciiTheme="majorBidi" w:hAnsiTheme="majorBidi" w:cstheme="majorBidi"/>
          <w:sz w:val="22"/>
          <w:szCs w:val="22"/>
        </w:rPr>
        <w:t xml:space="preserve"> </w:t>
      </w:r>
    </w:p>
    <w:p w14:paraId="74A4F4CB" w14:textId="77777777" w:rsidR="000244FB" w:rsidRPr="0049615A" w:rsidRDefault="000244FB" w:rsidP="0049615A">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49615A">
        <w:rPr>
          <w:rStyle w:val="normaltextrun"/>
          <w:rFonts w:eastAsiaTheme="majorEastAsia"/>
          <w:b/>
          <w:bCs/>
          <w:lang w:val="en-GB"/>
        </w:rPr>
        <w:t>Goals and Targets Addressed</w:t>
      </w:r>
    </w:p>
    <w:p w14:paraId="77500DC6" w14:textId="77777777" w:rsidR="000244FB" w:rsidRPr="00ED7E61" w:rsidRDefault="000244FB" w:rsidP="000244FB">
      <w:pPr>
        <w:jc w:val="both"/>
        <w:rPr>
          <w:rFonts w:asciiTheme="majorBidi" w:hAnsiTheme="majorBidi" w:cstheme="majorBidi"/>
          <w:b/>
          <w:bCs/>
          <w:sz w:val="22"/>
          <w:szCs w:val="22"/>
        </w:rPr>
      </w:pPr>
    </w:p>
    <w:p w14:paraId="552D52D9" w14:textId="77777777" w:rsidR="000244FB" w:rsidRPr="00ED7E61" w:rsidRDefault="000244FB" w:rsidP="000244FB">
      <w:pPr>
        <w:jc w:val="both"/>
        <w:rPr>
          <w:rFonts w:asciiTheme="majorBidi" w:hAnsiTheme="majorBidi" w:cstheme="majorBidi"/>
          <w:b/>
          <w:bCs/>
          <w:sz w:val="22"/>
          <w:szCs w:val="22"/>
        </w:rPr>
      </w:pPr>
      <w:r w:rsidRPr="00ED7E61">
        <w:rPr>
          <w:rFonts w:asciiTheme="majorBidi" w:hAnsiTheme="majorBidi" w:cstheme="majorBidi"/>
          <w:b/>
          <w:bCs/>
          <w:sz w:val="22"/>
          <w:szCs w:val="22"/>
        </w:rPr>
        <w:t>Goal</w:t>
      </w:r>
    </w:p>
    <w:p w14:paraId="46D03AA7" w14:textId="77777777" w:rsidR="000244FB" w:rsidRPr="00ED7E61" w:rsidRDefault="000244FB" w:rsidP="000244FB">
      <w:pPr>
        <w:jc w:val="both"/>
        <w:rPr>
          <w:rFonts w:asciiTheme="majorBidi" w:hAnsiTheme="majorBidi" w:cstheme="majorBidi"/>
          <w:color w:val="242424"/>
          <w:sz w:val="22"/>
          <w:szCs w:val="22"/>
        </w:rPr>
      </w:pPr>
      <w:r w:rsidRPr="00ED7E61">
        <w:rPr>
          <w:rFonts w:asciiTheme="majorBidi" w:hAnsiTheme="majorBidi" w:cstheme="majorBidi"/>
          <w:color w:val="242424"/>
          <w:sz w:val="22"/>
          <w:szCs w:val="22"/>
        </w:rPr>
        <w:t>Goal A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p>
    <w:p w14:paraId="3D67011E" w14:textId="77777777" w:rsidR="000244FB" w:rsidRPr="00ED7E61" w:rsidRDefault="000244FB" w:rsidP="000244FB">
      <w:pPr>
        <w:jc w:val="both"/>
        <w:rPr>
          <w:rFonts w:asciiTheme="majorBidi" w:hAnsiTheme="majorBidi" w:cstheme="majorBidi"/>
          <w:color w:val="242424"/>
          <w:sz w:val="22"/>
          <w:szCs w:val="22"/>
        </w:rPr>
      </w:pPr>
      <w:r w:rsidRPr="00ED7E61">
        <w:rPr>
          <w:rFonts w:asciiTheme="majorBidi" w:hAnsiTheme="majorBidi" w:cstheme="majorBidi"/>
          <w:color w:val="242424"/>
          <w:sz w:val="22"/>
          <w:szCs w:val="22"/>
        </w:rPr>
        <w:t>Goal B 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p w14:paraId="33A2BDAE" w14:textId="77777777" w:rsidR="000244FB" w:rsidRPr="00ED7E61" w:rsidRDefault="000244FB" w:rsidP="000244FB">
      <w:pPr>
        <w:jc w:val="both"/>
        <w:rPr>
          <w:rFonts w:asciiTheme="majorBidi" w:hAnsiTheme="majorBidi" w:cstheme="majorBidi"/>
          <w:sz w:val="22"/>
          <w:szCs w:val="22"/>
        </w:rPr>
      </w:pPr>
    </w:p>
    <w:p w14:paraId="055397A1" w14:textId="77777777" w:rsidR="000244FB" w:rsidRPr="00ED7E61" w:rsidRDefault="000244FB" w:rsidP="000244FB">
      <w:pPr>
        <w:jc w:val="both"/>
        <w:rPr>
          <w:rFonts w:asciiTheme="majorBidi" w:hAnsiTheme="majorBidi" w:cstheme="majorBidi"/>
          <w:b/>
          <w:bCs/>
          <w:sz w:val="22"/>
          <w:szCs w:val="22"/>
        </w:rPr>
      </w:pPr>
      <w:r w:rsidRPr="00ED7E61">
        <w:rPr>
          <w:rFonts w:asciiTheme="majorBidi" w:hAnsiTheme="majorBidi" w:cstheme="majorBidi"/>
          <w:b/>
          <w:bCs/>
          <w:sz w:val="22"/>
          <w:szCs w:val="22"/>
        </w:rPr>
        <w:t>Target</w:t>
      </w:r>
    </w:p>
    <w:p w14:paraId="72EC9FAD" w14:textId="2CA3A518" w:rsidR="000244FB" w:rsidRPr="00ED7E61" w:rsidRDefault="000244FB" w:rsidP="000244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ED7E61">
        <w:rPr>
          <w:rFonts w:asciiTheme="majorBidi" w:hAnsiTheme="majorBidi" w:cstheme="majorBidi"/>
          <w:sz w:val="22"/>
          <w:szCs w:val="22"/>
        </w:rPr>
        <w:t xml:space="preserve">Target 12. </w:t>
      </w:r>
      <w:r w:rsidRPr="00ED7E61">
        <w:rPr>
          <w:rFonts w:asciiTheme="majorBidi" w:hAnsiTheme="majorBidi" w:cstheme="majorBidi"/>
          <w:color w:val="000000"/>
          <w:sz w:val="22"/>
          <w:szCs w:val="22"/>
          <w:lang w:val="en-US"/>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7AB6A5C8" w14:textId="77777777" w:rsidR="000244FB" w:rsidRPr="00ED7E61" w:rsidRDefault="000244FB" w:rsidP="000244FB">
      <w:pPr>
        <w:jc w:val="both"/>
        <w:rPr>
          <w:rFonts w:asciiTheme="majorBidi" w:hAnsiTheme="majorBidi" w:cstheme="majorBidi"/>
          <w:sz w:val="22"/>
          <w:szCs w:val="22"/>
        </w:rPr>
      </w:pPr>
    </w:p>
    <w:p w14:paraId="4C02E643" w14:textId="77777777" w:rsidR="000244FB" w:rsidRPr="0049615A" w:rsidRDefault="000244FB"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Rationale</w:t>
      </w:r>
    </w:p>
    <w:p w14:paraId="264874E1" w14:textId="77777777" w:rsidR="000244FB" w:rsidRPr="00ED7E61" w:rsidRDefault="000244FB" w:rsidP="000244FB">
      <w:pPr>
        <w:pStyle w:val="CBDNormalNumber"/>
        <w:numPr>
          <w:ilvl w:val="0"/>
          <w:numId w:val="86"/>
        </w:numPr>
        <w:shd w:val="clear" w:color="auto" w:fill="FFFFFF"/>
        <w:tabs>
          <w:tab w:val="clear" w:pos="1701"/>
        </w:tabs>
        <w:ind w:left="567" w:hanging="24"/>
        <w:rPr>
          <w:rFonts w:asciiTheme="majorBidi" w:hAnsiTheme="majorBidi" w:cstheme="majorBidi"/>
        </w:rPr>
      </w:pPr>
      <w:r w:rsidRPr="00ED7E61">
        <w:rPr>
          <w:rStyle w:val="normaltextrun"/>
          <w:rFonts w:eastAsiaTheme="majorEastAsia"/>
        </w:rPr>
        <w:t>Green</w:t>
      </w:r>
      <w:r w:rsidRPr="00ED7E61">
        <w:rPr>
          <w:rFonts w:asciiTheme="majorBidi" w:hAnsiTheme="majorBidi" w:cstheme="majorBidi"/>
        </w:rPr>
        <w:t xml:space="preserve"> and blue spaces have a range of positive effects on human physical and mental well-being. Ensuring the availability and accessibility of such areas is particularly important given that the increasing trend towards urbanization risks separating people further from nature, with potential negative effects on human health and reduced understanding of biodiversity, and the ecosystem services it provides. Further, green and blue spaces can provide important habitat for species, improve habitat connectivity, provide ecosystem services and help mediate extreme events, if managed with such objectives in mind. The target focuses on the importance of biodiversity-inclusive urban planning and making space for nature within built landscapes to improve the health and quality of life for citizens and to reduce the environmental footprint of cities and infrastructure. It also recognizes the dependency of urban communities on well-functioning ecosystems and the importance of spatial planning to reduce the negative impacts on biodiversity of urban expansion, roads and other infrastructure.</w:t>
      </w:r>
    </w:p>
    <w:p w14:paraId="44B89BBA" w14:textId="77777777" w:rsidR="000244FB" w:rsidRPr="00F869E0" w:rsidRDefault="000244FB" w:rsidP="000244FB">
      <w:pPr>
        <w:pStyle w:val="CBDNormalNumber"/>
        <w:numPr>
          <w:ilvl w:val="0"/>
          <w:numId w:val="86"/>
        </w:numPr>
        <w:shd w:val="clear" w:color="auto" w:fill="FFFFFF"/>
        <w:ind w:left="567" w:firstLine="0"/>
        <w:rPr>
          <w:rFonts w:asciiTheme="majorBidi" w:hAnsiTheme="majorBidi" w:cstheme="majorBidi"/>
        </w:rPr>
      </w:pPr>
      <w:r w:rsidRPr="00ED7E61">
        <w:rPr>
          <w:rStyle w:val="normaltextrun"/>
          <w:rFonts w:eastAsiaTheme="majorEastAsia"/>
        </w:rPr>
        <w:t>Poor</w:t>
      </w:r>
      <w:r w:rsidRPr="00ED7E61">
        <w:rPr>
          <w:rFonts w:asciiTheme="majorBidi" w:hAnsiTheme="majorBidi" w:cstheme="majorBidi"/>
        </w:rPr>
        <w:t xml:space="preserve"> urban planning has many negative effects on people, affecting wellbeing, health and social relationships. Effective urban planning on the other hand can improve such outcomes for people and biodiversity. Many cities around the world are actively increasing the amount of green and blue spaces available to promote biodiversity and human wellbeing. There is a need to support such action and encourage biodiversity-inclusive urban planning. This indicator tracks the effort made by cities to improve their urban planning to include the conservation and sustainable use of biodiversity and the provision ecosystem services and nature’s contribution to people.</w:t>
      </w:r>
    </w:p>
    <w:p w14:paraId="793B0D0D" w14:textId="77777777" w:rsidR="000244FB" w:rsidRPr="0049615A" w:rsidRDefault="000244FB"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Definitions Concepts and Classifications</w:t>
      </w:r>
    </w:p>
    <w:p w14:paraId="22C8518A" w14:textId="77777777" w:rsidR="000244FB" w:rsidRPr="00ED7E61" w:rsidRDefault="000244FB" w:rsidP="000244FB">
      <w:pPr>
        <w:pStyle w:val="CBDNormalNumber"/>
        <w:numPr>
          <w:ilvl w:val="0"/>
          <w:numId w:val="86"/>
        </w:numPr>
        <w:shd w:val="clear" w:color="auto" w:fill="FFFFFF"/>
        <w:ind w:left="567" w:firstLine="0"/>
        <w:rPr>
          <w:rFonts w:asciiTheme="majorBidi" w:hAnsiTheme="majorBidi" w:cstheme="majorBidi"/>
          <w:color w:val="000000" w:themeColor="text1"/>
        </w:rPr>
      </w:pPr>
      <w:r w:rsidRPr="00ED7E61">
        <w:rPr>
          <w:rFonts w:asciiTheme="majorBidi" w:hAnsiTheme="majorBidi" w:cstheme="majorBidi"/>
        </w:rPr>
        <w:lastRenderedPageBreak/>
        <w:t>Biodiversity</w:t>
      </w:r>
      <w:r w:rsidRPr="00ED7E61">
        <w:rPr>
          <w:rFonts w:asciiTheme="majorBidi" w:hAnsiTheme="majorBidi" w:cstheme="majorBidi"/>
          <w:color w:val="000000" w:themeColor="text1"/>
        </w:rPr>
        <w:t xml:space="preserve">-inclusive urban planning: </w:t>
      </w:r>
      <w:r w:rsidRPr="00ED7E61">
        <w:rPr>
          <w:rFonts w:asciiTheme="majorBidi" w:hAnsiTheme="majorBidi" w:cstheme="majorBidi"/>
        </w:rPr>
        <w:t>Urban planning is the process that is applied as a way to organize the dynamics of human actions in cities, with the purpose of stipulating guidelines that order spatial occupation through typological patterns of use, mobility, distribution of equipment, services, and natural areas in the territory, in order to provide uniformity in the distribution of the onus and advantages generated by the development of the infrastructures. The planning, furthermore, aims to announce in advance what can be done in the face of solving problems that may hinder the dynamics of functioning that involve cities. The Framework specifically calls for such processes to be biodiversity inclusive.</w:t>
      </w:r>
    </w:p>
    <w:p w14:paraId="79ECDA38" w14:textId="77777777" w:rsidR="000244FB" w:rsidRPr="00ED7E61" w:rsidRDefault="000244FB" w:rsidP="000244FB">
      <w:pPr>
        <w:pStyle w:val="CBDNormalNumber"/>
        <w:numPr>
          <w:ilvl w:val="0"/>
          <w:numId w:val="86"/>
        </w:numPr>
        <w:shd w:val="clear" w:color="auto" w:fill="FFFFFF"/>
        <w:ind w:left="567" w:firstLine="0"/>
        <w:rPr>
          <w:rFonts w:asciiTheme="majorBidi" w:hAnsiTheme="majorBidi" w:cstheme="majorBidi"/>
          <w:color w:val="000000" w:themeColor="text1"/>
        </w:rPr>
      </w:pPr>
      <w:r w:rsidRPr="00ED7E61">
        <w:rPr>
          <w:rFonts w:asciiTheme="majorBidi" w:hAnsiTheme="majorBidi" w:cstheme="majorBidi"/>
          <w:color w:val="000000" w:themeColor="text1"/>
        </w:rPr>
        <w:t>Green and blue spaces: These are areas of vegetation, inland and coastal waters, generally in or near to urban areas and other densely populated areas. The target specifically calls for the area, quality, connectivity, accessibility and benefits from such areas to be increased for the purposes of enhancing native biodiversity, ecological connectivity and integrity, and improve human health and well-being and connection to nature. This could be accomplished in various ways, including by creating new green and blue spaces, better managing existing areas for biodiversity and health outcomes, and ensuring that such areas are accessible to people. </w:t>
      </w:r>
    </w:p>
    <w:p w14:paraId="0E7C944D" w14:textId="77777777" w:rsidR="000244FB" w:rsidRPr="00ED7E61" w:rsidRDefault="000244FB" w:rsidP="000244FB">
      <w:pPr>
        <w:pStyle w:val="CBDNormalNumber"/>
        <w:numPr>
          <w:ilvl w:val="0"/>
          <w:numId w:val="86"/>
        </w:numPr>
        <w:shd w:val="clear" w:color="auto" w:fill="FFFFFF"/>
        <w:ind w:left="567" w:firstLine="0"/>
        <w:rPr>
          <w:rFonts w:asciiTheme="majorBidi" w:hAnsiTheme="majorBidi" w:cstheme="majorBidi"/>
          <w:color w:val="000000" w:themeColor="text1"/>
        </w:rPr>
      </w:pPr>
      <w:r w:rsidRPr="00ED7E61">
        <w:rPr>
          <w:rFonts w:asciiTheme="majorBidi" w:hAnsiTheme="majorBidi" w:cstheme="majorBidi"/>
          <w:color w:val="000000" w:themeColor="text1"/>
        </w:rPr>
        <w:t>Urbanisation</w:t>
      </w:r>
      <w:r w:rsidRPr="00ED7E61">
        <w:rPr>
          <w:rFonts w:asciiTheme="majorBidi" w:hAnsiTheme="majorBidi" w:cstheme="majorBidi"/>
          <w:b/>
          <w:bCs/>
          <w:color w:val="000000" w:themeColor="text1"/>
        </w:rPr>
        <w:t>:</w:t>
      </w:r>
      <w:r w:rsidRPr="00ED7E61">
        <w:rPr>
          <w:rFonts w:asciiTheme="majorBidi" w:hAnsiTheme="majorBidi" w:cstheme="majorBidi"/>
          <w:color w:val="000000" w:themeColor="text1"/>
        </w:rPr>
        <w:t xml:space="preserve"> </w:t>
      </w:r>
      <w:r w:rsidRPr="00ED7E61">
        <w:rPr>
          <w:rFonts w:asciiTheme="majorBidi" w:hAnsiTheme="majorBidi" w:cstheme="majorBidi"/>
          <w:color w:val="000000" w:themeColor="text1"/>
          <w:shd w:val="clear" w:color="auto" w:fill="FFFFFF"/>
        </w:rPr>
        <w:t xml:space="preserve">The increase in the proportion of a population living in urban areas; the process by which </w:t>
      </w:r>
      <w:proofErr w:type="gramStart"/>
      <w:r w:rsidRPr="00ED7E61">
        <w:rPr>
          <w:rFonts w:asciiTheme="majorBidi" w:hAnsiTheme="majorBidi" w:cstheme="majorBidi"/>
          <w:color w:val="000000" w:themeColor="text1"/>
          <w:shd w:val="clear" w:color="auto" w:fill="FFFFFF"/>
        </w:rPr>
        <w:t>a large number of</w:t>
      </w:r>
      <w:proofErr w:type="gramEnd"/>
      <w:r w:rsidRPr="00ED7E61">
        <w:rPr>
          <w:rFonts w:asciiTheme="majorBidi" w:hAnsiTheme="majorBidi" w:cstheme="majorBidi"/>
          <w:color w:val="000000" w:themeColor="text1"/>
          <w:shd w:val="clear" w:color="auto" w:fill="FFFFFF"/>
        </w:rPr>
        <w:t xml:space="preserve"> people becomes permanently concentrated in relatively small areas, forming cities.</w:t>
      </w:r>
    </w:p>
    <w:p w14:paraId="5C520E7C" w14:textId="77777777" w:rsidR="000244FB" w:rsidRPr="00F869E0" w:rsidRDefault="000244FB" w:rsidP="000244FB">
      <w:pPr>
        <w:pStyle w:val="CBDNormalNumber"/>
        <w:numPr>
          <w:ilvl w:val="0"/>
          <w:numId w:val="86"/>
        </w:numPr>
        <w:shd w:val="clear" w:color="auto" w:fill="FFFFFF"/>
        <w:ind w:left="567" w:firstLine="0"/>
        <w:rPr>
          <w:rFonts w:asciiTheme="majorBidi" w:hAnsiTheme="majorBidi" w:cstheme="majorBidi"/>
          <w:color w:val="000000" w:themeColor="text1"/>
        </w:rPr>
      </w:pPr>
      <w:r w:rsidRPr="00ED7E61">
        <w:rPr>
          <w:rFonts w:asciiTheme="majorBidi" w:hAnsiTheme="majorBidi" w:cstheme="majorBidi"/>
          <w:color w:val="000000" w:themeColor="text1"/>
        </w:rPr>
        <w:t xml:space="preserve">Urban and densely populated areas: Variable per country but generally refers to areas highly modified by and for humans where large numbers of people live. United Nations definitions, provided by national statistics offices, by country can be found </w:t>
      </w:r>
      <w:hyperlink r:id="rId429" w:history="1">
        <w:r w:rsidRPr="00ED7E61">
          <w:rPr>
            <w:rStyle w:val="Hyperlink"/>
            <w:rFonts w:asciiTheme="majorBidi" w:eastAsiaTheme="majorEastAsia" w:hAnsiTheme="majorBidi" w:cstheme="majorBidi"/>
            <w:color w:val="0070C0"/>
          </w:rPr>
          <w:t>here</w:t>
        </w:r>
      </w:hyperlink>
      <w:r w:rsidRPr="00ED7E61">
        <w:rPr>
          <w:rFonts w:asciiTheme="majorBidi" w:hAnsiTheme="majorBidi" w:cstheme="majorBidi"/>
          <w:color w:val="000000" w:themeColor="text1"/>
        </w:rPr>
        <w:t>.</w:t>
      </w:r>
    </w:p>
    <w:p w14:paraId="530293F2" w14:textId="77777777" w:rsidR="000244FB" w:rsidRPr="0049615A" w:rsidRDefault="000244FB" w:rsidP="0049615A">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49615A">
        <w:rPr>
          <w:rStyle w:val="normaltextrun"/>
          <w:rFonts w:eastAsiaTheme="majorEastAsia"/>
          <w:b/>
          <w:bCs/>
          <w:lang w:val="en-GB"/>
        </w:rPr>
        <w:t>Method of Computation</w:t>
      </w:r>
    </w:p>
    <w:p w14:paraId="24F29025" w14:textId="77777777" w:rsidR="000244FB" w:rsidRPr="00ED7E61" w:rsidRDefault="000244FB" w:rsidP="000244FB">
      <w:pPr>
        <w:pStyle w:val="CBDNormalNumber"/>
        <w:numPr>
          <w:ilvl w:val="0"/>
          <w:numId w:val="86"/>
        </w:numPr>
        <w:shd w:val="clear" w:color="auto" w:fill="FFFFFF"/>
        <w:ind w:left="567" w:firstLine="0"/>
        <w:rPr>
          <w:rFonts w:asciiTheme="majorBidi" w:hAnsiTheme="majorBidi" w:cstheme="majorBidi"/>
        </w:rPr>
      </w:pPr>
      <w:r w:rsidRPr="00ED7E61">
        <w:rPr>
          <w:rFonts w:asciiTheme="majorBidi" w:hAnsiTheme="majorBidi" w:cstheme="majorBidi"/>
          <w:color w:val="000000" w:themeColor="text1"/>
        </w:rPr>
        <w:t>This</w:t>
      </w:r>
      <w:r w:rsidRPr="00ED7E61">
        <w:rPr>
          <w:rFonts w:asciiTheme="majorBidi" w:hAnsiTheme="majorBidi" w:cstheme="majorBidi"/>
        </w:rPr>
        <w:t xml:space="preserve"> indicator is a binary indicator and must be compiled from the answers to two questions:</w:t>
      </w:r>
    </w:p>
    <w:p w14:paraId="08909E22" w14:textId="77777777" w:rsidR="000244FB" w:rsidRPr="00ED7E61" w:rsidRDefault="000244FB" w:rsidP="000244FB">
      <w:pPr>
        <w:pStyle w:val="CBDNormalNumber"/>
        <w:tabs>
          <w:tab w:val="clear" w:pos="567"/>
          <w:tab w:val="clear" w:pos="1134"/>
          <w:tab w:val="clear" w:pos="1701"/>
          <w:tab w:val="clear" w:pos="2268"/>
          <w:tab w:val="left" w:pos="1985"/>
        </w:tabs>
        <w:ind w:left="1332"/>
        <w:rPr>
          <w:rStyle w:val="normaltextrun"/>
          <w:rFonts w:eastAsiaTheme="majorEastAsia"/>
        </w:rPr>
      </w:pPr>
      <w:r w:rsidRPr="00ED7E61">
        <w:rPr>
          <w:rStyle w:val="normaltextrun"/>
          <w:rFonts w:eastAsiaTheme="majorEastAsia"/>
        </w:rPr>
        <w:t>12.1 Does your country have urban areas under biodiversity-inclusive urban planning that incorporates the management of green or blue spaces for the conservation and sustainable use of biodiversity?</w:t>
      </w:r>
    </w:p>
    <w:p w14:paraId="2F0F24CB" w14:textId="77777777" w:rsidR="000244FB" w:rsidRPr="00ED7E61" w:rsidRDefault="000244FB" w:rsidP="000244FB">
      <w:pPr>
        <w:pStyle w:val="CBDNormalNumber"/>
        <w:tabs>
          <w:tab w:val="clear" w:pos="567"/>
          <w:tab w:val="clear" w:pos="1134"/>
          <w:tab w:val="clear" w:pos="1701"/>
          <w:tab w:val="clear" w:pos="2268"/>
          <w:tab w:val="left" w:pos="1985"/>
        </w:tabs>
        <w:ind w:left="1332"/>
        <w:rPr>
          <w:rStyle w:val="normaltextrun"/>
          <w:rFonts w:eastAsiaTheme="majorEastAsia"/>
        </w:rPr>
      </w:pPr>
      <w:r w:rsidRPr="00ED7E61">
        <w:rPr>
          <w:rStyle w:val="normaltextrun"/>
          <w:rFonts w:eastAsiaTheme="majorEastAsia"/>
        </w:rPr>
        <w:t>12.2 Does your country have urban areas under biodiversity-inclusive urban planning incorporating the management of green or blue spaces for ecosystem services and nature’s contributions to people?</w:t>
      </w:r>
    </w:p>
    <w:p w14:paraId="73033A30" w14:textId="77777777" w:rsidR="000244FB" w:rsidRPr="00ED7E61" w:rsidRDefault="000244FB" w:rsidP="000244FB">
      <w:pPr>
        <w:pStyle w:val="CBDNormalNumber"/>
        <w:numPr>
          <w:ilvl w:val="0"/>
          <w:numId w:val="86"/>
        </w:numPr>
        <w:shd w:val="clear" w:color="auto" w:fill="FFFFFF"/>
        <w:ind w:left="567" w:firstLine="0"/>
        <w:rPr>
          <w:rFonts w:asciiTheme="majorBidi" w:hAnsiTheme="majorBidi" w:cstheme="majorBidi"/>
          <w:color w:val="000000"/>
          <w:lang w:val="en-US"/>
        </w:rPr>
      </w:pPr>
      <w:r w:rsidRPr="00ED7E61">
        <w:rPr>
          <w:rFonts w:asciiTheme="majorBidi" w:hAnsiTheme="majorBidi" w:cstheme="majorBidi"/>
          <w:color w:val="000000" w:themeColor="text1"/>
        </w:rPr>
        <w:t>There</w:t>
      </w:r>
      <w:r w:rsidRPr="00ED7E61">
        <w:rPr>
          <w:rFonts w:asciiTheme="majorBidi" w:hAnsiTheme="majorBidi" w:cstheme="majorBidi"/>
          <w:color w:val="000000"/>
          <w:lang w:val="en-US"/>
        </w:rPr>
        <w:t xml:space="preserve"> are four possible answers to each of these questions</w:t>
      </w:r>
      <w:r w:rsidRPr="00ED7E61">
        <w:rPr>
          <w:rStyle w:val="FootnoteReference"/>
          <w:rFonts w:asciiTheme="majorBidi" w:hAnsiTheme="majorBidi" w:cstheme="majorBidi"/>
          <w:color w:val="000000"/>
          <w:lang w:val="en-US"/>
        </w:rPr>
        <w:footnoteReference w:id="44"/>
      </w:r>
      <w:r w:rsidRPr="00ED7E61">
        <w:rPr>
          <w:rFonts w:asciiTheme="majorBidi" w:hAnsiTheme="majorBidi" w:cstheme="majorBidi"/>
          <w:color w:val="000000"/>
          <w:lang w:val="en-US"/>
        </w:rPr>
        <w:t>:</w:t>
      </w:r>
    </w:p>
    <w:p w14:paraId="5DDC375A" w14:textId="77777777" w:rsidR="000244FB" w:rsidRPr="00ED7E61" w:rsidRDefault="000244FB" w:rsidP="000244FB">
      <w:pPr>
        <w:pStyle w:val="CBDNormalNumber"/>
        <w:numPr>
          <w:ilvl w:val="1"/>
          <w:numId w:val="8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No</w:t>
      </w:r>
    </w:p>
    <w:p w14:paraId="64445188" w14:textId="77777777" w:rsidR="000244FB" w:rsidRPr="00ED7E61" w:rsidRDefault="000244FB" w:rsidP="000244FB">
      <w:pPr>
        <w:pStyle w:val="CBDNormalNumber"/>
        <w:numPr>
          <w:ilvl w:val="1"/>
          <w:numId w:val="8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Under development</w:t>
      </w:r>
    </w:p>
    <w:p w14:paraId="2BF8C671" w14:textId="77777777" w:rsidR="000244FB" w:rsidRPr="00ED7E61" w:rsidRDefault="000244FB" w:rsidP="000244FB">
      <w:pPr>
        <w:pStyle w:val="CBDNormalNumber"/>
        <w:numPr>
          <w:ilvl w:val="1"/>
          <w:numId w:val="8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Partially</w:t>
      </w:r>
    </w:p>
    <w:p w14:paraId="01E1B672" w14:textId="77777777" w:rsidR="000244FB" w:rsidRPr="00ED7E61" w:rsidRDefault="000244FB" w:rsidP="000244FB">
      <w:pPr>
        <w:pStyle w:val="CBDNormalNumber"/>
        <w:numPr>
          <w:ilvl w:val="1"/>
          <w:numId w:val="86"/>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Fully</w:t>
      </w:r>
    </w:p>
    <w:p w14:paraId="4B20DB47" w14:textId="77777777" w:rsidR="000244FB" w:rsidRPr="00ED7E61" w:rsidRDefault="000244FB" w:rsidP="000244FB">
      <w:pPr>
        <w:pStyle w:val="CBDNormalNumber"/>
        <w:numPr>
          <w:ilvl w:val="0"/>
          <w:numId w:val="86"/>
        </w:numPr>
        <w:shd w:val="clear" w:color="auto" w:fill="FFFFFF"/>
        <w:ind w:left="567" w:firstLine="0"/>
        <w:rPr>
          <w:rFonts w:asciiTheme="majorBidi" w:hAnsiTheme="majorBidi" w:cstheme="majorBidi"/>
          <w:color w:val="000000"/>
          <w:lang w:val="en-US"/>
        </w:rPr>
      </w:pPr>
      <w:r w:rsidRPr="00ED7E61">
        <w:rPr>
          <w:rFonts w:asciiTheme="majorBidi" w:hAnsiTheme="majorBidi" w:cstheme="majorBidi"/>
          <w:color w:val="000000"/>
          <w:lang w:val="en-US"/>
        </w:rPr>
        <w:t>A “</w:t>
      </w:r>
      <w:r w:rsidRPr="00FB1598">
        <w:rPr>
          <w:rFonts w:asciiTheme="majorBidi" w:hAnsiTheme="majorBidi" w:cstheme="majorBidi"/>
          <w:i/>
          <w:iCs/>
          <w:color w:val="000000"/>
          <w:lang w:val="en-US"/>
        </w:rPr>
        <w:t>No</w:t>
      </w:r>
      <w:r w:rsidRPr="00ED7E61">
        <w:rPr>
          <w:rFonts w:asciiTheme="majorBidi" w:hAnsiTheme="majorBidi" w:cstheme="majorBidi"/>
          <w:color w:val="000000"/>
          <w:lang w:val="en-US"/>
        </w:rPr>
        <w:t>” answer implies that urban planning strategies within nations contain no wording on biodiversity (12.1) or nature’s contributions to people (12.2) and no effort is being made at the national level to include biodiversity and nature’s contributions to people in urban planning. In the case where some cities are implementing biodiversity-inclusive urban planning voluntarily on an ad hoc basis with no concerted effort at the national level, select “</w:t>
      </w:r>
      <w:r w:rsidRPr="00FB1598">
        <w:rPr>
          <w:rFonts w:asciiTheme="majorBidi" w:hAnsiTheme="majorBidi" w:cstheme="majorBidi"/>
          <w:i/>
          <w:iCs/>
          <w:color w:val="000000"/>
          <w:lang w:val="en-US"/>
        </w:rPr>
        <w:t>No</w:t>
      </w:r>
      <w:r w:rsidRPr="00ED7E61">
        <w:rPr>
          <w:rFonts w:asciiTheme="majorBidi" w:hAnsiTheme="majorBidi" w:cstheme="majorBidi"/>
          <w:color w:val="000000"/>
          <w:lang w:val="en-US"/>
        </w:rPr>
        <w:t>”.</w:t>
      </w:r>
    </w:p>
    <w:p w14:paraId="4688FE8C" w14:textId="77777777" w:rsidR="000244FB" w:rsidRPr="00ED7E61" w:rsidRDefault="000244FB" w:rsidP="000244FB">
      <w:pPr>
        <w:pStyle w:val="CBDNormalNumber"/>
        <w:numPr>
          <w:ilvl w:val="0"/>
          <w:numId w:val="86"/>
        </w:numPr>
        <w:shd w:val="clear" w:color="auto" w:fill="FFFFFF"/>
        <w:ind w:left="567" w:firstLine="0"/>
      </w:pPr>
      <w:r w:rsidRPr="00ED7E61">
        <w:t>An “</w:t>
      </w:r>
      <w:r w:rsidRPr="00FB1598">
        <w:rPr>
          <w:i/>
          <w:iCs/>
        </w:rPr>
        <w:t>Under development</w:t>
      </w:r>
      <w:r w:rsidRPr="00ED7E61">
        <w:t xml:space="preserve">” answer implies a concerted effort at the national level to urge cities to produce new plans that are biodiversity-inclusive, such plans must be improved to specifically include green and blue spaces with the intent to conserve and sustainably use biodiversity (12.1) and improve provisioning of nature’s contributions to people (12.2). A concerted effort must imply that funding is being mobilized to support cities in upgrading their plans, and policies are put in place to </w:t>
      </w:r>
      <w:r w:rsidRPr="00ED7E61">
        <w:lastRenderedPageBreak/>
        <w:t xml:space="preserve">incentivize cities to </w:t>
      </w:r>
      <w:proofErr w:type="gramStart"/>
      <w:r w:rsidRPr="00ED7E61">
        <w:t>take action</w:t>
      </w:r>
      <w:proofErr w:type="gramEnd"/>
      <w:r w:rsidRPr="00ED7E61">
        <w:t xml:space="preserve">. However, the presence of resources and policies on their own is not sufficient to </w:t>
      </w:r>
      <w:proofErr w:type="gramStart"/>
      <w:r w:rsidRPr="00ED7E61">
        <w:t>answer</w:t>
      </w:r>
      <w:proofErr w:type="gramEnd"/>
      <w:r w:rsidRPr="00ED7E61">
        <w:t xml:space="preserve"> “</w:t>
      </w:r>
      <w:r>
        <w:rPr>
          <w:i/>
          <w:iCs/>
        </w:rPr>
        <w:t>U</w:t>
      </w:r>
      <w:r w:rsidRPr="00FB1598">
        <w:rPr>
          <w:i/>
          <w:iCs/>
        </w:rPr>
        <w:t>nder development</w:t>
      </w:r>
      <w:r w:rsidRPr="00ED7E61">
        <w:t>”, cities must be actively applying for or using these resources in developing new biodiversity-inclusive urban plans.</w:t>
      </w:r>
    </w:p>
    <w:p w14:paraId="109A23D8" w14:textId="77777777" w:rsidR="000244FB" w:rsidRPr="00ED7E61" w:rsidRDefault="000244FB" w:rsidP="000244FB">
      <w:pPr>
        <w:pStyle w:val="CBDNormalNumber"/>
        <w:numPr>
          <w:ilvl w:val="0"/>
          <w:numId w:val="86"/>
        </w:numPr>
        <w:shd w:val="clear" w:color="auto" w:fill="FFFFFF"/>
        <w:ind w:left="567" w:firstLine="0"/>
      </w:pPr>
      <w:r w:rsidRPr="00ED7E61">
        <w:t>A “</w:t>
      </w:r>
      <w:r w:rsidRPr="00FB1598">
        <w:rPr>
          <w:i/>
          <w:iCs/>
        </w:rPr>
        <w:t>Partially</w:t>
      </w:r>
      <w:r w:rsidRPr="00ED7E61">
        <w:t>” answer implies that biodiversity-inclusive urban planning is already being done and supported in some cities but not fully. That is:</w:t>
      </w:r>
    </w:p>
    <w:p w14:paraId="045DC6ED" w14:textId="300D0F5A" w:rsidR="000244FB" w:rsidRPr="00ED7E61" w:rsidRDefault="000244FB" w:rsidP="000244FB">
      <w:pPr>
        <w:pStyle w:val="CBDNormalNumber"/>
        <w:numPr>
          <w:ilvl w:val="1"/>
          <w:numId w:val="86"/>
        </w:numPr>
        <w:tabs>
          <w:tab w:val="clear" w:pos="567"/>
          <w:tab w:val="clear" w:pos="1134"/>
          <w:tab w:val="clear" w:pos="2268"/>
          <w:tab w:val="left" w:pos="1985"/>
        </w:tabs>
        <w:ind w:left="567" w:firstLine="567"/>
        <w:rPr>
          <w:rStyle w:val="normaltextrun"/>
          <w:rFonts w:eastAsiaTheme="majorEastAsia"/>
        </w:rPr>
      </w:pPr>
      <w:r>
        <w:rPr>
          <w:rStyle w:val="normaltextrun"/>
          <w:rFonts w:eastAsiaTheme="majorEastAsia"/>
        </w:rPr>
        <w:t>O</w:t>
      </w:r>
      <w:r w:rsidRPr="00ED7E61">
        <w:rPr>
          <w:rStyle w:val="normaltextrun"/>
          <w:rFonts w:eastAsiaTheme="majorEastAsia"/>
        </w:rPr>
        <w:t xml:space="preserve">nly green or blue spaces are being managed but not both (12.1 </w:t>
      </w:r>
      <w:r w:rsidR="00630C0E">
        <w:rPr>
          <w:rStyle w:val="normaltextrun"/>
          <w:rFonts w:eastAsiaTheme="majorEastAsia"/>
        </w:rPr>
        <w:t>and</w:t>
      </w:r>
      <w:r w:rsidRPr="00ED7E61">
        <w:rPr>
          <w:rStyle w:val="normaltextrun"/>
          <w:rFonts w:eastAsiaTheme="majorEastAsia"/>
        </w:rPr>
        <w:t xml:space="preserve"> 12.2)</w:t>
      </w:r>
    </w:p>
    <w:p w14:paraId="1CA52115" w14:textId="77777777" w:rsidR="000244FB" w:rsidRPr="00ED7E61" w:rsidRDefault="000244FB" w:rsidP="000244FB">
      <w:pPr>
        <w:pStyle w:val="CBDNormalNumber"/>
        <w:numPr>
          <w:ilvl w:val="1"/>
          <w:numId w:val="86"/>
        </w:numPr>
        <w:tabs>
          <w:tab w:val="clear" w:pos="567"/>
          <w:tab w:val="clear" w:pos="1134"/>
          <w:tab w:val="clear" w:pos="2268"/>
          <w:tab w:val="left" w:pos="1985"/>
        </w:tabs>
        <w:ind w:left="567" w:firstLine="567"/>
        <w:rPr>
          <w:rStyle w:val="normaltextrun"/>
          <w:rFonts w:eastAsiaTheme="majorEastAsia"/>
        </w:rPr>
      </w:pPr>
      <w:r>
        <w:rPr>
          <w:rStyle w:val="normaltextrun"/>
          <w:rFonts w:eastAsiaTheme="majorEastAsia"/>
        </w:rPr>
        <w:t>B</w:t>
      </w:r>
      <w:r w:rsidRPr="00ED7E61">
        <w:rPr>
          <w:rStyle w:val="normaltextrun"/>
          <w:rFonts w:eastAsiaTheme="majorEastAsia"/>
        </w:rPr>
        <w:t>iodiversity is only being managed for sustainable use but not conservation or vice versa (12.1)</w:t>
      </w:r>
    </w:p>
    <w:p w14:paraId="05F2D1D6" w14:textId="77777777" w:rsidR="000244FB" w:rsidRPr="00ED7E61" w:rsidRDefault="000244FB" w:rsidP="000244FB">
      <w:pPr>
        <w:pStyle w:val="CBDNormalNumber"/>
        <w:numPr>
          <w:ilvl w:val="1"/>
          <w:numId w:val="86"/>
        </w:numPr>
        <w:tabs>
          <w:tab w:val="clear" w:pos="567"/>
          <w:tab w:val="clear" w:pos="1134"/>
          <w:tab w:val="clear" w:pos="2268"/>
          <w:tab w:val="left" w:pos="1985"/>
        </w:tabs>
        <w:ind w:left="567" w:firstLine="567"/>
        <w:rPr>
          <w:rStyle w:val="normaltextrun"/>
          <w:rFonts w:eastAsiaTheme="majorEastAsia"/>
        </w:rPr>
      </w:pPr>
      <w:r>
        <w:rPr>
          <w:rStyle w:val="normaltextrun"/>
          <w:rFonts w:eastAsiaTheme="majorEastAsia"/>
        </w:rPr>
        <w:t>O</w:t>
      </w:r>
      <w:r w:rsidRPr="00ED7E61">
        <w:rPr>
          <w:rStyle w:val="normaltextrun"/>
          <w:rFonts w:eastAsiaTheme="majorEastAsia"/>
        </w:rPr>
        <w:t>nly ecosystem services are being managed but not nature’s contributions to people or vice versa (12.2)</w:t>
      </w:r>
    </w:p>
    <w:p w14:paraId="4F68C2DA" w14:textId="77777777" w:rsidR="000244FB" w:rsidRPr="00ED7E61" w:rsidRDefault="000244FB" w:rsidP="000244FB">
      <w:pPr>
        <w:pStyle w:val="CBDNormalNumber"/>
        <w:numPr>
          <w:ilvl w:val="0"/>
          <w:numId w:val="86"/>
        </w:numPr>
        <w:shd w:val="clear" w:color="auto" w:fill="FFFFFF"/>
        <w:ind w:left="567" w:firstLine="0"/>
        <w:rPr>
          <w:rFonts w:asciiTheme="majorBidi" w:hAnsiTheme="majorBidi" w:cstheme="majorBidi"/>
          <w:color w:val="000000"/>
          <w:lang w:val="en-US"/>
        </w:rPr>
      </w:pPr>
      <w:r w:rsidRPr="00ED7E61">
        <w:t>If</w:t>
      </w:r>
      <w:r w:rsidRPr="00ED7E61">
        <w:rPr>
          <w:rFonts w:asciiTheme="majorBidi" w:hAnsiTheme="majorBidi" w:cstheme="majorBidi"/>
          <w:color w:val="000000"/>
          <w:lang w:val="en-US"/>
        </w:rPr>
        <w:t xml:space="preserve"> any one of the cases outlined above applies, only partial achievement has been reached.</w:t>
      </w:r>
    </w:p>
    <w:p w14:paraId="0108034F" w14:textId="77777777" w:rsidR="000244FB" w:rsidRPr="00ED7E61" w:rsidRDefault="000244FB" w:rsidP="000244FB">
      <w:pPr>
        <w:pStyle w:val="CBDNormalNumber"/>
        <w:numPr>
          <w:ilvl w:val="0"/>
          <w:numId w:val="86"/>
        </w:numPr>
        <w:shd w:val="clear" w:color="auto" w:fill="FFFFFF"/>
        <w:ind w:left="567" w:firstLine="0"/>
        <w:rPr>
          <w:rFonts w:asciiTheme="majorBidi" w:hAnsiTheme="majorBidi" w:cstheme="majorBidi"/>
          <w:color w:val="000000"/>
        </w:rPr>
      </w:pPr>
      <w:r w:rsidRPr="00ED7E61">
        <w:rPr>
          <w:rFonts w:asciiTheme="majorBidi" w:hAnsiTheme="majorBidi" w:cstheme="majorBidi"/>
          <w:color w:val="000000"/>
        </w:rPr>
        <w:t>A “</w:t>
      </w:r>
      <w:r w:rsidRPr="00FB1598">
        <w:rPr>
          <w:rFonts w:asciiTheme="majorBidi" w:hAnsiTheme="majorBidi" w:cstheme="majorBidi"/>
          <w:i/>
          <w:iCs/>
          <w:color w:val="000000"/>
        </w:rPr>
        <w:t>Fully</w:t>
      </w:r>
      <w:r w:rsidRPr="00ED7E61">
        <w:rPr>
          <w:rFonts w:asciiTheme="majorBidi" w:hAnsiTheme="majorBidi" w:cstheme="majorBidi"/>
          <w:color w:val="000000"/>
        </w:rPr>
        <w:t>” answer implies that all the conditions outlined in “</w:t>
      </w:r>
      <w:r w:rsidRPr="00FB1598">
        <w:rPr>
          <w:rFonts w:asciiTheme="majorBidi" w:hAnsiTheme="majorBidi" w:cstheme="majorBidi"/>
          <w:i/>
          <w:iCs/>
          <w:color w:val="000000"/>
        </w:rPr>
        <w:t>Partially</w:t>
      </w:r>
      <w:r w:rsidRPr="00ED7E61">
        <w:rPr>
          <w:rFonts w:asciiTheme="majorBidi" w:hAnsiTheme="majorBidi" w:cstheme="majorBidi"/>
          <w:color w:val="000000"/>
        </w:rPr>
        <w:t>” have been met. Namely that biodiversity-inclusive urban planning it being done and supported in some cities, it includes both green and blue spaces, biodiversity is managed for both conservation and sustainable use (12.1) and ecosystem services and nature’s contributions to people are incorporated (12.2). The minimum number of cities needed to achieve these criteria and answer “</w:t>
      </w:r>
      <w:r w:rsidRPr="00FB1598">
        <w:rPr>
          <w:rFonts w:asciiTheme="majorBidi" w:hAnsiTheme="majorBidi" w:cstheme="majorBidi"/>
          <w:i/>
          <w:iCs/>
          <w:color w:val="000000"/>
        </w:rPr>
        <w:t>Yes</w:t>
      </w:r>
      <w:r w:rsidRPr="00ED7E61">
        <w:rPr>
          <w:rFonts w:asciiTheme="majorBidi" w:hAnsiTheme="majorBidi" w:cstheme="majorBidi"/>
          <w:color w:val="000000"/>
        </w:rPr>
        <w:t>” is 1. However, it is essential that this not be an outlier case but that the city be responding to concerted efforts and policies at the national level, otherwise refer to the description of “</w:t>
      </w:r>
      <w:r w:rsidRPr="00FB1598">
        <w:rPr>
          <w:rFonts w:asciiTheme="majorBidi" w:hAnsiTheme="majorBidi" w:cstheme="majorBidi"/>
          <w:i/>
          <w:iCs/>
          <w:color w:val="000000"/>
        </w:rPr>
        <w:t>No</w:t>
      </w:r>
      <w:r w:rsidRPr="00ED7E61">
        <w:rPr>
          <w:rFonts w:asciiTheme="majorBidi" w:hAnsiTheme="majorBidi" w:cstheme="majorBidi"/>
          <w:color w:val="000000"/>
        </w:rPr>
        <w:t>”.</w:t>
      </w:r>
    </w:p>
    <w:p w14:paraId="1569FABD" w14:textId="77777777" w:rsidR="00630C0E" w:rsidRDefault="00630C0E">
      <w:pPr>
        <w:rPr>
          <w:rStyle w:val="normaltextrun"/>
        </w:rPr>
      </w:pPr>
      <w:r>
        <w:rPr>
          <w:rStyle w:val="normaltextrun"/>
        </w:rPr>
        <w:br w:type="page"/>
      </w:r>
    </w:p>
    <w:p w14:paraId="1AB9EF0E" w14:textId="256699B0" w:rsidR="0095698C" w:rsidRPr="00ED7E61" w:rsidRDefault="0095698C" w:rsidP="0095698C">
      <w:pPr>
        <w:pStyle w:val="Heading3"/>
      </w:pPr>
      <w:bookmarkStart w:id="56" w:name="_Toc233278581"/>
      <w:bookmarkStart w:id="57" w:name="_Toc178285872"/>
      <w:r>
        <w:rPr>
          <w:rStyle w:val="normaltextrun"/>
        </w:rPr>
        <w:lastRenderedPageBreak/>
        <w:t>Binary</w:t>
      </w:r>
      <w:r w:rsidRPr="00ED7E61">
        <w:rPr>
          <w:rStyle w:val="normaltextrun"/>
        </w:rPr>
        <w:t xml:space="preserve"> indicator</w:t>
      </w:r>
      <w:r w:rsidRPr="00ED7E61">
        <w:rPr>
          <w:rStyle w:val="eop"/>
        </w:rPr>
        <w:t> 13.b</w:t>
      </w:r>
      <w:bookmarkEnd w:id="56"/>
      <w:r w:rsidRPr="00ED7E61">
        <w:rPr>
          <w:rStyle w:val="eop"/>
        </w:rPr>
        <w:t xml:space="preserve"> </w:t>
      </w:r>
      <w:bookmarkEnd w:id="57"/>
    </w:p>
    <w:p w14:paraId="6A14A3E8" w14:textId="77777777" w:rsidR="0095698C" w:rsidRPr="00ED7E61" w:rsidRDefault="0095698C" w:rsidP="0095698C">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34E0E17C" w14:textId="77777777" w:rsidR="0095698C" w:rsidRPr="0049615A" w:rsidRDefault="0095698C"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Full Indicator Name</w:t>
      </w:r>
    </w:p>
    <w:p w14:paraId="32372299" w14:textId="681138F0" w:rsidR="0095698C" w:rsidRPr="00A626CF" w:rsidRDefault="0095698C" w:rsidP="0095698C">
      <w:pPr>
        <w:jc w:val="both"/>
        <w:rPr>
          <w:rFonts w:asciiTheme="majorBidi" w:hAnsiTheme="majorBidi" w:cstheme="majorBidi"/>
          <w:sz w:val="22"/>
          <w:szCs w:val="22"/>
        </w:rPr>
      </w:pPr>
      <w:r w:rsidRPr="00ED7E61">
        <w:rPr>
          <w:rFonts w:asciiTheme="majorBidi" w:eastAsia="DengXian" w:hAnsiTheme="majorBidi" w:cstheme="majorBidi"/>
          <w:color w:val="000000" w:themeColor="text1"/>
          <w:kern w:val="22"/>
          <w:sz w:val="22"/>
          <w:szCs w:val="22"/>
          <w:lang w:val="en-GB"/>
        </w:rPr>
        <w:t>Number of countries that have t</w:t>
      </w:r>
      <w:r w:rsidRPr="00ED7E61">
        <w:rPr>
          <w:rFonts w:asciiTheme="majorBidi" w:hAnsiTheme="majorBidi" w:cstheme="majorBidi"/>
          <w:color w:val="000000" w:themeColor="text1"/>
          <w:sz w:val="22"/>
          <w:szCs w:val="22"/>
          <w:lang w:val="en-GB"/>
        </w:rPr>
        <w:t>aken effective legal, policy, administrative and capacity-building measures at all levels, as appropriate, to ensure the fair and equitable sharing of benefits</w:t>
      </w:r>
      <w:r w:rsidRPr="00ED7E61">
        <w:rPr>
          <w:sz w:val="22"/>
          <w:szCs w:val="22"/>
          <w:lang w:val="en-GB"/>
        </w:rPr>
        <w:t xml:space="preserve"> </w:t>
      </w:r>
      <w:r w:rsidRPr="00ED7E61">
        <w:rPr>
          <w:rFonts w:asciiTheme="majorBidi" w:hAnsiTheme="majorBidi" w:cstheme="majorBidi"/>
          <w:color w:val="000000" w:themeColor="text1"/>
          <w:sz w:val="22"/>
          <w:szCs w:val="22"/>
          <w:lang w:val="en-GB"/>
        </w:rPr>
        <w:t>from the utilization of genetic resources and from digital sequence information on genetic resources, as well as traditional knowledge associated with genetic resources.</w:t>
      </w:r>
    </w:p>
    <w:p w14:paraId="0837052D" w14:textId="77777777" w:rsidR="0095698C" w:rsidRPr="0049615A" w:rsidRDefault="0095698C"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Goals and Targets Addressed</w:t>
      </w:r>
    </w:p>
    <w:p w14:paraId="446BE1C2" w14:textId="79388092" w:rsidR="0095698C" w:rsidRPr="00A626CF" w:rsidRDefault="0095698C" w:rsidP="0095698C">
      <w:pPr>
        <w:jc w:val="both"/>
        <w:rPr>
          <w:rFonts w:asciiTheme="majorBidi" w:hAnsiTheme="majorBidi" w:cstheme="majorBidi"/>
          <w:sz w:val="22"/>
          <w:szCs w:val="22"/>
          <w:lang w:val="en-US"/>
        </w:rPr>
      </w:pPr>
      <w:r w:rsidRPr="00ED7E61">
        <w:rPr>
          <w:rFonts w:asciiTheme="majorBidi" w:hAnsiTheme="majorBidi" w:cstheme="majorBidi"/>
          <w:sz w:val="22"/>
          <w:szCs w:val="22"/>
        </w:rPr>
        <w:t>Target 13. 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p w14:paraId="79C0AE42" w14:textId="77777777" w:rsidR="0095698C" w:rsidRPr="0049615A" w:rsidRDefault="0095698C"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Rationale</w:t>
      </w:r>
    </w:p>
    <w:p w14:paraId="6FEA118F" w14:textId="77777777" w:rsidR="0095698C" w:rsidRPr="00ED7E61" w:rsidRDefault="0095698C" w:rsidP="00812871">
      <w:pPr>
        <w:pStyle w:val="CBDNormalNumber"/>
        <w:numPr>
          <w:ilvl w:val="0"/>
          <w:numId w:val="379"/>
        </w:numPr>
        <w:shd w:val="clear" w:color="auto" w:fill="FFFFFF"/>
        <w:tabs>
          <w:tab w:val="clear" w:pos="1701"/>
        </w:tabs>
        <w:ind w:left="567" w:firstLine="0"/>
        <w:rPr>
          <w:rFonts w:asciiTheme="majorBidi" w:hAnsiTheme="majorBidi" w:cstheme="majorBidi"/>
        </w:rPr>
      </w:pPr>
      <w:r w:rsidRPr="00ED7E61">
        <w:t>The</w:t>
      </w:r>
      <w:r w:rsidRPr="00ED7E61">
        <w:rPr>
          <w:rFonts w:asciiTheme="majorBidi" w:hAnsiTheme="majorBidi" w:cstheme="majorBidi"/>
        </w:rPr>
        <w:t xml:space="preserve"> sharing of benefits that arise from the utilization of genetic resources and associated traditional knowledge is one of the three objectives of the Convention and a key pillar for the success of its implementation. It builds an equity dimension among countries providing and using biodiversity with the dual objective of providing incentives for conservation and sustainable use of biodiversity and mobilizing new resources redirected towards biodiversity. Access and benefit-sharing is included in several international instruments. Under the Convention, the framework for the implementation of its third objective is provided in Article 15. In addition, </w:t>
      </w:r>
      <w:hyperlink r:id="rId430">
        <w:r w:rsidRPr="00ED7E61">
          <w:rPr>
            <w:rStyle w:val="Hyperlink"/>
            <w:rFonts w:asciiTheme="majorBidi" w:eastAsiaTheme="majorEastAsia" w:hAnsiTheme="majorBidi" w:cstheme="majorBidi"/>
          </w:rPr>
          <w:t>Article 8(j)</w:t>
        </w:r>
      </w:hyperlink>
      <w:r w:rsidRPr="00ED7E61">
        <w:rPr>
          <w:rFonts w:asciiTheme="majorBidi" w:hAnsiTheme="majorBidi" w:cstheme="majorBidi"/>
        </w:rPr>
        <w:t xml:space="preserve"> contains provision to encourage the equitable sharing of the benefits arising from the utilization of knowledge, innovations and practices of indigenous peoples and local communities embodying traditional lifestyles relevant for conservation and sustainable use of biological diversity. The adoption of the Nagoya Protocol on Access and Benefit Sharing (ABS) created greater legal certainty, clarity and transparency for both users and providers of genetic resources and associated traditional knowledge. At COP 15 in December 2022, Parties agreed to develop a solution for the sharing of benefits arising from the use of digital sequence information (DSI) on genetic resources and established a way forward to advance the consideration of this issue under the Convention.</w:t>
      </w:r>
    </w:p>
    <w:p w14:paraId="01B09742" w14:textId="77777777" w:rsidR="0095698C" w:rsidRPr="00520446" w:rsidRDefault="0095698C" w:rsidP="0095698C">
      <w:pPr>
        <w:pStyle w:val="CBDNormalNumber"/>
        <w:numPr>
          <w:ilvl w:val="0"/>
          <w:numId w:val="379"/>
        </w:numPr>
        <w:shd w:val="clear" w:color="auto" w:fill="FFFFFF"/>
        <w:ind w:left="567" w:firstLine="0"/>
        <w:rPr>
          <w:rFonts w:asciiTheme="majorBidi" w:hAnsiTheme="majorBidi" w:cstheme="majorBidi"/>
        </w:rPr>
      </w:pPr>
      <w:r w:rsidRPr="00ED7E61">
        <w:t>The</w:t>
      </w:r>
      <w:r w:rsidRPr="00ED7E61">
        <w:rPr>
          <w:rFonts w:asciiTheme="majorBidi" w:hAnsiTheme="majorBidi" w:cstheme="majorBidi"/>
        </w:rPr>
        <w:t xml:space="preserve"> implementation of these Articles and of the Nagoya Protocol require active governmental involvement and regulation of genetic resources and their use for the benefit of all members of society. Therefore, one of the main elements of this target is to put in place legal, policy and administrative measures on ABS. As such, this indicator tracks Parties’ progress towards implementing the necessary measures on ABS.</w:t>
      </w:r>
    </w:p>
    <w:p w14:paraId="6EA77FA3" w14:textId="77777777" w:rsidR="0095698C" w:rsidRPr="0049615A" w:rsidRDefault="0095698C"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Definitions Concepts and Classifications</w:t>
      </w:r>
    </w:p>
    <w:p w14:paraId="4FC1F1C9" w14:textId="77777777"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rPr>
      </w:pPr>
      <w:r w:rsidRPr="00ED7E61">
        <w:rPr>
          <w:rFonts w:asciiTheme="majorBidi" w:hAnsiTheme="majorBidi" w:cstheme="majorBidi"/>
        </w:rPr>
        <w:t>Benefits arising from the utilization of genetic resources or traditional knowledge associated with genetic resources: Benefits may include monetary and non-monetary benefits, including but not limited to those listed in the Annex of the Nagoya Protocol.</w:t>
      </w:r>
    </w:p>
    <w:p w14:paraId="5E6593B8" w14:textId="77777777"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rPr>
      </w:pPr>
      <w:r w:rsidRPr="00ED7E61">
        <w:rPr>
          <w:rFonts w:asciiTheme="majorBidi" w:hAnsiTheme="majorBidi" w:cstheme="majorBidi"/>
        </w:rPr>
        <w:t xml:space="preserve">Access and benefit sharing: One of the three objectives of the Convention on Biological Diversity, as set out in its Article 1, is the fair and equitable sharing of the benefits arising out of the utilization of genetic resources, including by appropriate access to genetic resources and by appropriate transfer of relevant technologies, taking into account all rights over those resources and to technologies, and by appropriate funding. The CBD also has several articles (especially Article 15) regarding international aspects of access to genetic resources. Access and benefit-sharing refers to the way in which genetic resources may be accessed, and how the benefits that result from their use are shared between the people or countries using the resources (users) and the people or countries that provide them (providers). In some cases, this also includes valuable traditional knowledge </w:t>
      </w:r>
      <w:r w:rsidRPr="00ED7E61">
        <w:rPr>
          <w:rFonts w:asciiTheme="majorBidi" w:hAnsiTheme="majorBidi" w:cstheme="majorBidi"/>
        </w:rPr>
        <w:lastRenderedPageBreak/>
        <w:t xml:space="preserve">associated with genetic resources that comes from </w:t>
      </w:r>
      <w:r>
        <w:rPr>
          <w:rFonts w:asciiTheme="majorBidi" w:hAnsiTheme="majorBidi" w:cstheme="majorBidi"/>
        </w:rPr>
        <w:t>i</w:t>
      </w:r>
      <w:r w:rsidRPr="00ED7E61">
        <w:rPr>
          <w:rFonts w:asciiTheme="majorBidi" w:hAnsiTheme="majorBidi" w:cstheme="majorBidi"/>
        </w:rPr>
        <w:t xml:space="preserve">ndigenous </w:t>
      </w:r>
      <w:r>
        <w:rPr>
          <w:rFonts w:asciiTheme="majorBidi" w:hAnsiTheme="majorBidi" w:cstheme="majorBidi"/>
        </w:rPr>
        <w:t>p</w:t>
      </w:r>
      <w:r w:rsidRPr="00ED7E61">
        <w:rPr>
          <w:rFonts w:asciiTheme="majorBidi" w:hAnsiTheme="majorBidi" w:cstheme="majorBidi"/>
        </w:rPr>
        <w:t xml:space="preserve">eoples and </w:t>
      </w:r>
      <w:r>
        <w:rPr>
          <w:rFonts w:asciiTheme="majorBidi" w:hAnsiTheme="majorBidi" w:cstheme="majorBidi"/>
        </w:rPr>
        <w:t>l</w:t>
      </w:r>
      <w:r w:rsidRPr="00ED7E61">
        <w:rPr>
          <w:rFonts w:asciiTheme="majorBidi" w:hAnsiTheme="majorBidi" w:cstheme="majorBidi"/>
        </w:rPr>
        <w:t xml:space="preserve">ocal </w:t>
      </w:r>
      <w:r>
        <w:rPr>
          <w:rFonts w:asciiTheme="majorBidi" w:hAnsiTheme="majorBidi" w:cstheme="majorBidi"/>
        </w:rPr>
        <w:t>c</w:t>
      </w:r>
      <w:r w:rsidRPr="00ED7E61">
        <w:rPr>
          <w:rFonts w:asciiTheme="majorBidi" w:hAnsiTheme="majorBidi" w:cstheme="majorBidi"/>
        </w:rPr>
        <w:t>ommunities. The benefits to be shared can be monetary, such as sharing royalties when the resources are used to create a commercial product, or non-monetary, such as the development of research skills and knowledge.</w:t>
      </w:r>
    </w:p>
    <w:p w14:paraId="79E0E2AA" w14:textId="77777777"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rPr>
      </w:pPr>
      <w:r w:rsidRPr="00ED7E61">
        <w:rPr>
          <w:rFonts w:asciiTheme="majorBidi" w:hAnsiTheme="majorBidi" w:cstheme="majorBidi"/>
        </w:rPr>
        <w:t xml:space="preserve">Genetic resources: </w:t>
      </w:r>
      <w:r w:rsidRPr="00ED7E61">
        <w:rPr>
          <w:rFonts w:asciiTheme="majorBidi" w:hAnsiTheme="majorBidi" w:cstheme="majorBidi"/>
          <w:lang w:val="en-US"/>
        </w:rPr>
        <w:t>Genetic resources means genetic material of actual or potential value. (CBD, article 2). Note that genetic material means any material of plant, animal, microbial or other origin containing functional units of heredity.</w:t>
      </w:r>
    </w:p>
    <w:p w14:paraId="43649862" w14:textId="77777777"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rPr>
      </w:pPr>
      <w:r w:rsidRPr="00ED7E61">
        <w:rPr>
          <w:rFonts w:asciiTheme="majorBidi" w:hAnsiTheme="majorBidi" w:cstheme="majorBidi"/>
        </w:rPr>
        <w:t xml:space="preserve">Traditional knowledge: The concept of Traditional Knowledge (TK) in the Convention for Biological Diversity (CBD) has two characteristics. Firstly, CBD defines TK as one kind of knowledge, innovations and practices which is helpful to conservation and sustainable use of biodiversity. Secondly, CBD limits the TK to link with indigenous peoples and local </w:t>
      </w:r>
      <w:proofErr w:type="gramStart"/>
      <w:r w:rsidRPr="00ED7E61">
        <w:rPr>
          <w:rFonts w:asciiTheme="majorBidi" w:hAnsiTheme="majorBidi" w:cstheme="majorBidi"/>
        </w:rPr>
        <w:t>communities  embodying</w:t>
      </w:r>
      <w:proofErr w:type="gramEnd"/>
      <w:r w:rsidRPr="00ED7E61">
        <w:rPr>
          <w:rFonts w:asciiTheme="majorBidi" w:hAnsiTheme="majorBidi" w:cstheme="majorBidi"/>
        </w:rPr>
        <w:t xml:space="preserve"> traditional lifestyles, i.e. these TK were created and preserved by IP</w:t>
      </w:r>
      <w:r w:rsidRPr="00B929B4">
        <w:rPr>
          <w:rStyle w:val="normaltextrun"/>
          <w:rFonts w:asciiTheme="majorBidi" w:eastAsiaTheme="majorEastAsia" w:hAnsiTheme="majorBidi" w:cstheme="majorBidi"/>
          <w:color w:val="000000"/>
          <w:lang w:val="en-AU"/>
        </w:rPr>
        <w:t xml:space="preserve"> </w:t>
      </w:r>
      <w:r>
        <w:rPr>
          <w:rStyle w:val="normaltextrun"/>
          <w:rFonts w:asciiTheme="majorBidi" w:eastAsiaTheme="majorEastAsia" w:hAnsiTheme="majorBidi" w:cstheme="majorBidi"/>
          <w:color w:val="000000"/>
          <w:lang w:val="en-AU"/>
        </w:rPr>
        <w:t>i</w:t>
      </w:r>
      <w:r w:rsidRPr="00ED7E61">
        <w:rPr>
          <w:rStyle w:val="normaltextrun"/>
          <w:rFonts w:asciiTheme="majorBidi" w:eastAsiaTheme="majorEastAsia" w:hAnsiTheme="majorBidi" w:cstheme="majorBidi"/>
          <w:color w:val="000000"/>
          <w:lang w:val="en-AU"/>
        </w:rPr>
        <w:t xml:space="preserve">ndigenous </w:t>
      </w:r>
      <w:r>
        <w:rPr>
          <w:rStyle w:val="normaltextrun"/>
          <w:rFonts w:asciiTheme="majorBidi" w:eastAsiaTheme="majorEastAsia" w:hAnsiTheme="majorBidi" w:cstheme="majorBidi"/>
          <w:color w:val="000000"/>
          <w:lang w:val="en-AU"/>
        </w:rPr>
        <w:t>p</w:t>
      </w:r>
      <w:r w:rsidRPr="00ED7E61">
        <w:rPr>
          <w:rStyle w:val="normaltextrun"/>
          <w:rFonts w:asciiTheme="majorBidi" w:eastAsiaTheme="majorEastAsia" w:hAnsiTheme="majorBidi" w:cstheme="majorBidi"/>
          <w:color w:val="000000"/>
          <w:lang w:val="en-AU"/>
        </w:rPr>
        <w:t xml:space="preserve">eoples and </w:t>
      </w:r>
      <w:r>
        <w:rPr>
          <w:rStyle w:val="normaltextrun"/>
          <w:rFonts w:asciiTheme="majorBidi" w:eastAsiaTheme="majorEastAsia" w:hAnsiTheme="majorBidi" w:cstheme="majorBidi"/>
          <w:color w:val="000000"/>
          <w:lang w:val="en-AU"/>
        </w:rPr>
        <w:t>l</w:t>
      </w:r>
      <w:r w:rsidRPr="00ED7E61">
        <w:rPr>
          <w:rStyle w:val="normaltextrun"/>
          <w:rFonts w:asciiTheme="majorBidi" w:eastAsiaTheme="majorEastAsia" w:hAnsiTheme="majorBidi" w:cstheme="majorBidi"/>
          <w:color w:val="000000"/>
          <w:lang w:val="en-AU"/>
        </w:rPr>
        <w:t xml:space="preserve">ocal </w:t>
      </w:r>
      <w:proofErr w:type="gramStart"/>
      <w:r>
        <w:rPr>
          <w:rStyle w:val="normaltextrun"/>
          <w:rFonts w:asciiTheme="majorBidi" w:eastAsiaTheme="majorEastAsia" w:hAnsiTheme="majorBidi" w:cstheme="majorBidi"/>
          <w:color w:val="000000"/>
          <w:lang w:val="en-AU"/>
        </w:rPr>
        <w:t>c</w:t>
      </w:r>
      <w:r w:rsidRPr="00ED7E61">
        <w:rPr>
          <w:rStyle w:val="normaltextrun"/>
          <w:rFonts w:asciiTheme="majorBidi" w:eastAsiaTheme="majorEastAsia" w:hAnsiTheme="majorBidi" w:cstheme="majorBidi"/>
          <w:color w:val="000000"/>
          <w:lang w:val="en-AU"/>
        </w:rPr>
        <w:t>ommunities</w:t>
      </w:r>
      <w:proofErr w:type="gramEnd"/>
      <w:r w:rsidRPr="00ED7E61">
        <w:rPr>
          <w:rStyle w:val="normaltextrun"/>
          <w:rFonts w:asciiTheme="majorBidi" w:eastAsiaTheme="majorEastAsia" w:hAnsiTheme="majorBidi" w:cstheme="majorBidi"/>
          <w:color w:val="000000"/>
          <w:lang w:val="en-AU"/>
        </w:rPr>
        <w:t xml:space="preserve"> </w:t>
      </w:r>
      <w:r w:rsidRPr="00ED7E61">
        <w:rPr>
          <w:rFonts w:asciiTheme="majorBidi" w:hAnsiTheme="majorBidi" w:cstheme="majorBidi"/>
        </w:rPr>
        <w:t>and they are accumulated, developed and inherited generation by generation.</w:t>
      </w:r>
    </w:p>
    <w:p w14:paraId="0536AE90" w14:textId="77777777" w:rsidR="0095698C" w:rsidRPr="0049615A" w:rsidRDefault="0095698C"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Method of Computation</w:t>
      </w:r>
    </w:p>
    <w:p w14:paraId="1DD37E51" w14:textId="65E55869"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rPr>
      </w:pPr>
      <w:r w:rsidRPr="00ED7E61">
        <w:rPr>
          <w:rFonts w:asciiTheme="majorBidi" w:hAnsiTheme="majorBidi" w:cstheme="majorBidi"/>
        </w:rPr>
        <w:t xml:space="preserve">This indicator is a binary indicator and must be compiled from the answers to </w:t>
      </w:r>
      <w:r w:rsidR="00441B52">
        <w:rPr>
          <w:rFonts w:asciiTheme="majorBidi" w:hAnsiTheme="majorBidi" w:cstheme="majorBidi"/>
        </w:rPr>
        <w:t>seven</w:t>
      </w:r>
      <w:r w:rsidRPr="00ED7E61">
        <w:rPr>
          <w:rFonts w:asciiTheme="majorBidi" w:hAnsiTheme="majorBidi" w:cstheme="majorBidi"/>
        </w:rPr>
        <w:t xml:space="preserve"> questions:</w:t>
      </w:r>
    </w:p>
    <w:p w14:paraId="5932DDE2" w14:textId="6AE432DC" w:rsidR="00094473" w:rsidRPr="00094473" w:rsidRDefault="00094473" w:rsidP="002E2984">
      <w:pPr>
        <w:pStyle w:val="CBDNormalNumber"/>
        <w:numPr>
          <w:ilvl w:val="1"/>
          <w:numId w:val="379"/>
        </w:numPr>
        <w:tabs>
          <w:tab w:val="clear" w:pos="567"/>
          <w:tab w:val="clear" w:pos="1134"/>
          <w:tab w:val="clear" w:pos="2268"/>
          <w:tab w:val="left" w:pos="1985"/>
        </w:tabs>
        <w:ind w:left="567" w:firstLine="567"/>
        <w:rPr>
          <w:rFonts w:eastAsiaTheme="majorEastAsia"/>
        </w:rPr>
      </w:pPr>
      <w:r>
        <w:rPr>
          <w:rFonts w:eastAsiaTheme="majorEastAsia"/>
          <w:lang w:val="en-CA"/>
        </w:rPr>
        <w:t xml:space="preserve">13.1 </w:t>
      </w:r>
      <w:r w:rsidR="002E2984" w:rsidRPr="002E2984">
        <w:rPr>
          <w:rFonts w:eastAsiaTheme="majorEastAsia"/>
          <w:lang w:val="en-CA"/>
        </w:rPr>
        <w:t>Does your country have effective legal, administrative and policy measures to ensure the fair and equitable sharing of benefits that arise from the utilization of genetic resources?</w:t>
      </w:r>
    </w:p>
    <w:p w14:paraId="7AD14E62" w14:textId="77777777" w:rsidR="00F81A13" w:rsidRPr="00F81A13" w:rsidRDefault="00094473" w:rsidP="00094473">
      <w:pPr>
        <w:pStyle w:val="CBDNormalNumber"/>
        <w:numPr>
          <w:ilvl w:val="1"/>
          <w:numId w:val="379"/>
        </w:numPr>
        <w:tabs>
          <w:tab w:val="clear" w:pos="567"/>
          <w:tab w:val="clear" w:pos="1134"/>
          <w:tab w:val="clear" w:pos="2268"/>
          <w:tab w:val="left" w:pos="1985"/>
        </w:tabs>
        <w:ind w:left="567" w:firstLine="567"/>
        <w:rPr>
          <w:rFonts w:eastAsiaTheme="majorEastAsia"/>
        </w:rPr>
      </w:pPr>
      <w:r>
        <w:rPr>
          <w:rFonts w:eastAsiaTheme="majorEastAsia"/>
          <w:lang w:val="en-CA"/>
        </w:rPr>
        <w:t xml:space="preserve">13.2 </w:t>
      </w:r>
      <w:r w:rsidRPr="00094473">
        <w:rPr>
          <w:rFonts w:eastAsiaTheme="majorEastAsia"/>
          <w:lang w:val="en-CA"/>
        </w:rPr>
        <w:t xml:space="preserve">Does your country have capacity-building measures to ensure the fair and equitable sharing of benefits that arise from the utilization of genetic resources? </w:t>
      </w:r>
    </w:p>
    <w:p w14:paraId="163D8DEC" w14:textId="27A66DE3" w:rsidR="00CC3B99" w:rsidRPr="00812871" w:rsidRDefault="00CC3B99" w:rsidP="00F81A13">
      <w:pPr>
        <w:pStyle w:val="CBDNormalNumber"/>
        <w:numPr>
          <w:ilvl w:val="1"/>
          <w:numId w:val="379"/>
        </w:numPr>
        <w:tabs>
          <w:tab w:val="clear" w:pos="567"/>
          <w:tab w:val="clear" w:pos="1134"/>
          <w:tab w:val="clear" w:pos="2268"/>
          <w:tab w:val="left" w:pos="1985"/>
        </w:tabs>
        <w:ind w:left="567" w:firstLine="567"/>
        <w:rPr>
          <w:rFonts w:eastAsiaTheme="majorEastAsia"/>
        </w:rPr>
      </w:pPr>
      <w:r>
        <w:rPr>
          <w:rFonts w:eastAsiaTheme="majorEastAsia"/>
          <w:lang w:val="en-CA"/>
        </w:rPr>
        <w:t xml:space="preserve">13.3 </w:t>
      </w:r>
      <w:r w:rsidR="00F81A13" w:rsidRPr="00F81A13">
        <w:rPr>
          <w:rFonts w:eastAsiaTheme="majorEastAsia"/>
          <w:lang w:val="en-CA"/>
        </w:rPr>
        <w:t>Has your country taken administrative, policy or legislative measures pursuant to the operationalization of the multilateral mechanism in decision 16/2?</w:t>
      </w:r>
    </w:p>
    <w:p w14:paraId="4F5F8640" w14:textId="77777777" w:rsidR="00F81A13" w:rsidRPr="00F81A13" w:rsidRDefault="0095698C" w:rsidP="00F81A13">
      <w:pPr>
        <w:pStyle w:val="CBDNormalNumber"/>
        <w:numPr>
          <w:ilvl w:val="1"/>
          <w:numId w:val="379"/>
        </w:numPr>
        <w:tabs>
          <w:tab w:val="clear" w:pos="567"/>
          <w:tab w:val="clear" w:pos="1134"/>
          <w:tab w:val="clear" w:pos="2268"/>
          <w:tab w:val="left" w:pos="1985"/>
        </w:tabs>
        <w:ind w:left="567" w:firstLine="567"/>
        <w:rPr>
          <w:rFonts w:eastAsiaTheme="majorEastAsia"/>
        </w:rPr>
      </w:pPr>
      <w:r w:rsidRPr="00F81A13">
        <w:rPr>
          <w:rStyle w:val="normaltextrun"/>
          <w:rFonts w:eastAsiaTheme="majorEastAsia"/>
        </w:rPr>
        <w:t>13.4</w:t>
      </w:r>
      <w:r w:rsidR="00B07054" w:rsidRPr="00F81A13">
        <w:rPr>
          <w:rStyle w:val="normaltextrun"/>
          <w:rFonts w:eastAsiaTheme="majorEastAsia"/>
        </w:rPr>
        <w:t xml:space="preserve"> </w:t>
      </w:r>
      <w:r w:rsidR="00F81A13" w:rsidRPr="00F81A13">
        <w:rPr>
          <w:rFonts w:eastAsiaTheme="majorEastAsia"/>
          <w:lang w:val="en-CA"/>
        </w:rPr>
        <w:t>Do the measures mentioned in questions 13.1 and 13.2 include the utilization of traditional knowledge associated with genetic resources?</w:t>
      </w:r>
    </w:p>
    <w:p w14:paraId="575ADF60" w14:textId="67AA25DB" w:rsidR="0086069E" w:rsidRPr="00F81A13" w:rsidRDefault="0095698C" w:rsidP="00F81A13">
      <w:pPr>
        <w:pStyle w:val="CBDNormalNumber"/>
        <w:numPr>
          <w:ilvl w:val="1"/>
          <w:numId w:val="379"/>
        </w:numPr>
        <w:tabs>
          <w:tab w:val="clear" w:pos="567"/>
          <w:tab w:val="clear" w:pos="1134"/>
          <w:tab w:val="clear" w:pos="2268"/>
          <w:tab w:val="left" w:pos="1985"/>
        </w:tabs>
        <w:ind w:left="567" w:firstLine="567"/>
        <w:rPr>
          <w:rStyle w:val="normaltextrun"/>
          <w:rFonts w:eastAsiaTheme="majorEastAsia"/>
        </w:rPr>
      </w:pPr>
      <w:r w:rsidRPr="00F81A13">
        <w:rPr>
          <w:rStyle w:val="normaltextrun"/>
          <w:rFonts w:eastAsiaTheme="majorEastAsia"/>
        </w:rPr>
        <w:t>13.</w:t>
      </w:r>
      <w:r w:rsidR="0086069E" w:rsidRPr="00F81A13">
        <w:rPr>
          <w:rStyle w:val="normaltextrun"/>
          <w:rFonts w:eastAsiaTheme="majorEastAsia"/>
        </w:rPr>
        <w:t xml:space="preserve">5 </w:t>
      </w:r>
      <w:r w:rsidR="00F81A13" w:rsidRPr="00F81A13">
        <w:rPr>
          <w:rFonts w:eastAsiaTheme="majorEastAsia"/>
          <w:lang w:val="en-CA"/>
        </w:rPr>
        <w:t>Does your country monitor the monetary benefits received from the utilization of genetic resources and/or traditional knowledge associated with genetic resources that were accessed from your country?</w:t>
      </w:r>
    </w:p>
    <w:p w14:paraId="0AFDD114" w14:textId="65A59061" w:rsidR="00441B52" w:rsidRDefault="0086069E" w:rsidP="00A767F0">
      <w:pPr>
        <w:pStyle w:val="CBDNormalNumber"/>
        <w:numPr>
          <w:ilvl w:val="1"/>
          <w:numId w:val="379"/>
        </w:numPr>
        <w:tabs>
          <w:tab w:val="clear" w:pos="567"/>
          <w:tab w:val="clear" w:pos="1134"/>
          <w:tab w:val="clear" w:pos="2268"/>
          <w:tab w:val="left" w:pos="1985"/>
        </w:tabs>
        <w:ind w:left="567" w:firstLine="567"/>
        <w:rPr>
          <w:rFonts w:eastAsiaTheme="majorEastAsia"/>
        </w:rPr>
      </w:pPr>
      <w:r>
        <w:rPr>
          <w:rStyle w:val="normaltextrun"/>
          <w:rFonts w:eastAsiaTheme="majorEastAsia"/>
        </w:rPr>
        <w:t xml:space="preserve">13.6 </w:t>
      </w:r>
      <w:r w:rsidR="00A767F0" w:rsidRPr="00A767F0">
        <w:rPr>
          <w:rFonts w:eastAsiaTheme="majorEastAsia"/>
          <w:lang w:val="en-CA"/>
        </w:rPr>
        <w:t xml:space="preserve">Does your country monitor the non-monetary benefits received from the utilization of genetic resources and/or traditional knowledge associated with genetic resources that were accessed from your country? </w:t>
      </w:r>
      <w:r w:rsidRPr="003A23D9">
        <w:rPr>
          <w:rFonts w:eastAsiaTheme="majorEastAsia"/>
          <w:lang w:val="en-CA"/>
        </w:rPr>
        <w:t xml:space="preserve"> </w:t>
      </w:r>
    </w:p>
    <w:p w14:paraId="75AD15CC" w14:textId="1ABE6E66" w:rsidR="00441B52" w:rsidRPr="00812871" w:rsidRDefault="00441B52" w:rsidP="00A767F0">
      <w:pPr>
        <w:pStyle w:val="CBDNormalNumber"/>
        <w:numPr>
          <w:ilvl w:val="1"/>
          <w:numId w:val="379"/>
        </w:numPr>
        <w:tabs>
          <w:tab w:val="clear" w:pos="567"/>
          <w:tab w:val="clear" w:pos="1134"/>
          <w:tab w:val="clear" w:pos="2268"/>
          <w:tab w:val="left" w:pos="1985"/>
        </w:tabs>
        <w:ind w:left="567" w:firstLine="567"/>
        <w:rPr>
          <w:rFonts w:eastAsiaTheme="majorEastAsia"/>
        </w:rPr>
      </w:pPr>
      <w:r>
        <w:rPr>
          <w:rFonts w:eastAsiaTheme="majorEastAsia"/>
          <w:lang w:val="en-CA"/>
        </w:rPr>
        <w:t xml:space="preserve">13.7 </w:t>
      </w:r>
      <w:r w:rsidR="00A767F0" w:rsidRPr="00A767F0">
        <w:rPr>
          <w:rFonts w:eastAsiaTheme="majorEastAsia"/>
          <w:lang w:val="en-CA"/>
        </w:rPr>
        <w:t xml:space="preserve">Does your country have measures to ensure the fair and equitable </w:t>
      </w:r>
      <w:proofErr w:type="spellStart"/>
      <w:r w:rsidR="00A767F0" w:rsidRPr="00A767F0">
        <w:rPr>
          <w:rFonts w:eastAsiaTheme="majorEastAsia"/>
          <w:lang w:val="en-CA"/>
        </w:rPr>
        <w:t>benefitsharing</w:t>
      </w:r>
      <w:proofErr w:type="spellEnd"/>
      <w:r w:rsidR="00A767F0" w:rsidRPr="00A767F0">
        <w:rPr>
          <w:rFonts w:eastAsiaTheme="majorEastAsia"/>
          <w:lang w:val="en-CA"/>
        </w:rPr>
        <w:t xml:space="preserve"> arising from the utilization of genetic resources and/or traditional knowledge associated with genetic resources that were accessed in another country?</w:t>
      </w:r>
    </w:p>
    <w:p w14:paraId="5C888F70" w14:textId="088FAA99" w:rsidR="0095698C" w:rsidRPr="00812871" w:rsidRDefault="0095698C" w:rsidP="00812871">
      <w:pPr>
        <w:pStyle w:val="CBDNormalNumber"/>
        <w:numPr>
          <w:ilvl w:val="1"/>
          <w:numId w:val="379"/>
        </w:numPr>
        <w:tabs>
          <w:tab w:val="clear" w:pos="567"/>
          <w:tab w:val="clear" w:pos="1134"/>
          <w:tab w:val="clear" w:pos="2268"/>
          <w:tab w:val="left" w:pos="1985"/>
        </w:tabs>
        <w:ind w:left="567" w:firstLine="567"/>
        <w:rPr>
          <w:rFonts w:eastAsiaTheme="majorEastAsia"/>
        </w:rPr>
      </w:pPr>
      <w:r w:rsidRPr="003A23D9">
        <w:rPr>
          <w:rFonts w:asciiTheme="majorBidi" w:hAnsiTheme="majorBidi" w:cstheme="majorBidi"/>
        </w:rPr>
        <w:t>There</w:t>
      </w:r>
      <w:r w:rsidRPr="003A23D9">
        <w:rPr>
          <w:rFonts w:asciiTheme="majorBidi" w:hAnsiTheme="majorBidi" w:cstheme="majorBidi"/>
          <w:color w:val="000000"/>
          <w:lang w:val="en-US"/>
        </w:rPr>
        <w:t xml:space="preserve"> are five possible answers to questions 13.1, 13.2, </w:t>
      </w:r>
      <w:r w:rsidR="00A22E70">
        <w:rPr>
          <w:rFonts w:asciiTheme="majorBidi" w:hAnsiTheme="majorBidi" w:cstheme="majorBidi"/>
          <w:color w:val="000000"/>
          <w:lang w:val="en-US"/>
        </w:rPr>
        <w:t xml:space="preserve">13.3, </w:t>
      </w:r>
      <w:r w:rsidRPr="003A23D9">
        <w:rPr>
          <w:rFonts w:asciiTheme="majorBidi" w:hAnsiTheme="majorBidi" w:cstheme="majorBidi"/>
          <w:color w:val="000000"/>
          <w:lang w:val="en-US"/>
        </w:rPr>
        <w:t>13.5</w:t>
      </w:r>
      <w:r w:rsidR="00A22E70">
        <w:rPr>
          <w:rFonts w:asciiTheme="majorBidi" w:hAnsiTheme="majorBidi" w:cstheme="majorBidi"/>
          <w:color w:val="000000"/>
          <w:lang w:val="en-US"/>
        </w:rPr>
        <w:t>, 13.6 and 13.7</w:t>
      </w:r>
      <w:r w:rsidRPr="003A23D9">
        <w:rPr>
          <w:rFonts w:asciiTheme="majorBidi" w:hAnsiTheme="majorBidi" w:cstheme="majorBidi"/>
          <w:color w:val="000000"/>
          <w:lang w:val="en-US"/>
        </w:rPr>
        <w:t>:</w:t>
      </w:r>
    </w:p>
    <w:p w14:paraId="7DF3990B"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No</w:t>
      </w:r>
    </w:p>
    <w:p w14:paraId="054347A4"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Under development</w:t>
      </w:r>
    </w:p>
    <w:p w14:paraId="01200FCF"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Partially</w:t>
      </w:r>
    </w:p>
    <w:p w14:paraId="460B38A3"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Fully</w:t>
      </w:r>
    </w:p>
    <w:p w14:paraId="3788A726"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Fonts w:asciiTheme="majorBidi" w:hAnsiTheme="majorBidi" w:cstheme="majorBidi"/>
          <w:color w:val="000000"/>
          <w:lang w:val="en-US"/>
        </w:rPr>
      </w:pPr>
      <w:r w:rsidRPr="00ED7E61">
        <w:rPr>
          <w:rFonts w:asciiTheme="majorBidi" w:hAnsiTheme="majorBidi" w:cstheme="majorBidi"/>
          <w:color w:val="000000" w:themeColor="text1"/>
          <w:lang w:val="en-US"/>
        </w:rPr>
        <w:t>Not applicable</w:t>
      </w:r>
    </w:p>
    <w:p w14:paraId="10812B42" w14:textId="77777777"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color w:val="000000"/>
          <w:lang w:val="en-US"/>
        </w:rPr>
      </w:pPr>
      <w:r w:rsidRPr="00ED7E61">
        <w:rPr>
          <w:rFonts w:asciiTheme="majorBidi" w:hAnsiTheme="majorBidi" w:cstheme="majorBidi"/>
          <w:color w:val="000000"/>
          <w:lang w:val="en-US"/>
        </w:rPr>
        <w:t>A “</w:t>
      </w:r>
      <w:r w:rsidRPr="00FB1598">
        <w:rPr>
          <w:rFonts w:asciiTheme="majorBidi" w:hAnsiTheme="majorBidi" w:cstheme="majorBidi"/>
          <w:i/>
          <w:iCs/>
          <w:color w:val="000000"/>
          <w:lang w:val="en-US"/>
        </w:rPr>
        <w:t>No</w:t>
      </w:r>
      <w:r w:rsidRPr="00ED7E61">
        <w:rPr>
          <w:rFonts w:asciiTheme="majorBidi" w:hAnsiTheme="majorBidi" w:cstheme="majorBidi"/>
          <w:color w:val="000000"/>
          <w:lang w:val="en-US"/>
        </w:rPr>
        <w:t>” answer implies that:</w:t>
      </w:r>
    </w:p>
    <w:p w14:paraId="46653D45"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no legal, administrative and policy measures to ensure the fair and equitable sharing of benefits that arise from the utilization of genetic resources are in place or operational (13.1). Therefore, no legal, administrative and policy measures exist in the country for ABS.</w:t>
      </w:r>
    </w:p>
    <w:p w14:paraId="34EC660B"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lastRenderedPageBreak/>
        <w:t>no capacity-building measures to ensure the fair and equitable sharing of benefits that arise from the utilization of genetic resources are in place or operational (13.2). Therefore, no capacity-building measures exist in the country for ABS.</w:t>
      </w:r>
    </w:p>
    <w:p w14:paraId="6FF98AA1" w14:textId="4F594416" w:rsidR="0015032A" w:rsidRDefault="00625104" w:rsidP="0015032A">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Pr>
          <w:rStyle w:val="normaltextrun"/>
          <w:rFonts w:eastAsiaTheme="majorEastAsia"/>
        </w:rPr>
        <w:t>You</w:t>
      </w:r>
      <w:r w:rsidR="00AB5479">
        <w:rPr>
          <w:rStyle w:val="normaltextrun"/>
          <w:rFonts w:eastAsiaTheme="majorEastAsia"/>
        </w:rPr>
        <w:t>r</w:t>
      </w:r>
      <w:r>
        <w:rPr>
          <w:rStyle w:val="normaltextrun"/>
          <w:rFonts w:eastAsiaTheme="majorEastAsia"/>
        </w:rPr>
        <w:t xml:space="preserve"> country </w:t>
      </w:r>
      <w:r w:rsidR="008F5A95">
        <w:rPr>
          <w:rStyle w:val="normaltextrun"/>
          <w:rFonts w:eastAsiaTheme="majorEastAsia"/>
        </w:rPr>
        <w:t xml:space="preserve">has not taken any administrative, policy or legislative measures </w:t>
      </w:r>
      <w:r w:rsidR="002A1921">
        <w:rPr>
          <w:rStyle w:val="normaltextrun"/>
          <w:rFonts w:eastAsiaTheme="majorEastAsia"/>
        </w:rPr>
        <w:t>pursuant</w:t>
      </w:r>
      <w:r w:rsidR="008F5A95">
        <w:rPr>
          <w:rStyle w:val="normaltextrun"/>
          <w:rFonts w:eastAsiaTheme="majorEastAsia"/>
        </w:rPr>
        <w:t xml:space="preserve"> the operationalization of the </w:t>
      </w:r>
      <w:r w:rsidR="006F2B22">
        <w:rPr>
          <w:rStyle w:val="normaltextrun"/>
          <w:rFonts w:eastAsiaTheme="majorEastAsia"/>
        </w:rPr>
        <w:t>multilateral</w:t>
      </w:r>
      <w:r w:rsidR="008F5A95">
        <w:rPr>
          <w:rStyle w:val="normaltextrun"/>
          <w:rFonts w:eastAsiaTheme="majorEastAsia"/>
        </w:rPr>
        <w:t xml:space="preserve"> mechanisms in decision 16/2</w:t>
      </w:r>
      <w:r w:rsidR="0095698C" w:rsidRPr="00ED7E61">
        <w:rPr>
          <w:rStyle w:val="normaltextrun"/>
          <w:rFonts w:eastAsiaTheme="majorEastAsia"/>
        </w:rPr>
        <w:t xml:space="preserve"> (13.</w:t>
      </w:r>
      <w:r w:rsidR="006F2B22">
        <w:rPr>
          <w:rStyle w:val="normaltextrun"/>
          <w:rFonts w:eastAsiaTheme="majorEastAsia"/>
        </w:rPr>
        <w:t>3</w:t>
      </w:r>
      <w:r w:rsidR="0095698C" w:rsidRPr="00ED7E61">
        <w:rPr>
          <w:rStyle w:val="normaltextrun"/>
          <w:rFonts w:eastAsiaTheme="majorEastAsia"/>
        </w:rPr>
        <w:t>).</w:t>
      </w:r>
    </w:p>
    <w:p w14:paraId="4150FC2E" w14:textId="41FFF84D" w:rsidR="0015032A" w:rsidRPr="00812871" w:rsidRDefault="0015032A" w:rsidP="0015032A">
      <w:pPr>
        <w:pStyle w:val="CBDNormalNumber"/>
        <w:numPr>
          <w:ilvl w:val="1"/>
          <w:numId w:val="379"/>
        </w:numPr>
        <w:tabs>
          <w:tab w:val="clear" w:pos="567"/>
          <w:tab w:val="clear" w:pos="1134"/>
          <w:tab w:val="clear" w:pos="1701"/>
          <w:tab w:val="clear" w:pos="2268"/>
          <w:tab w:val="left" w:pos="1985"/>
        </w:tabs>
        <w:ind w:left="1276" w:firstLine="56"/>
        <w:rPr>
          <w:rFonts w:eastAsiaTheme="majorEastAsia"/>
        </w:rPr>
      </w:pPr>
      <w:r>
        <w:rPr>
          <w:rStyle w:val="normaltextrun"/>
          <w:rFonts w:eastAsiaTheme="majorEastAsia"/>
        </w:rPr>
        <w:t>Th</w:t>
      </w:r>
      <w:r w:rsidRPr="003A23D9">
        <w:rPr>
          <w:rFonts w:eastAsiaTheme="majorEastAsia"/>
          <w:lang w:val="en-CA"/>
        </w:rPr>
        <w:t>e monetary benefits received from the utilization of genetic resources and/or traditional knowledge associated with genetic resources that were accessed from your country</w:t>
      </w:r>
      <w:r>
        <w:rPr>
          <w:rFonts w:eastAsiaTheme="majorEastAsia"/>
          <w:lang w:val="en-CA"/>
        </w:rPr>
        <w:t xml:space="preserve"> are not monitored (13.5)</w:t>
      </w:r>
    </w:p>
    <w:p w14:paraId="15C45400" w14:textId="5E14CC43" w:rsidR="0015032A" w:rsidRPr="00812871" w:rsidRDefault="006A68CF" w:rsidP="006A68CF">
      <w:pPr>
        <w:pStyle w:val="CBDNormalNumber"/>
        <w:numPr>
          <w:ilvl w:val="1"/>
          <w:numId w:val="379"/>
        </w:numPr>
        <w:tabs>
          <w:tab w:val="clear" w:pos="567"/>
          <w:tab w:val="clear" w:pos="1134"/>
          <w:tab w:val="clear" w:pos="1701"/>
          <w:tab w:val="clear" w:pos="2268"/>
          <w:tab w:val="left" w:pos="1985"/>
        </w:tabs>
        <w:ind w:left="1276" w:firstLine="56"/>
        <w:rPr>
          <w:rFonts w:eastAsiaTheme="majorEastAsia"/>
        </w:rPr>
      </w:pPr>
      <w:r>
        <w:rPr>
          <w:rFonts w:eastAsiaTheme="majorEastAsia"/>
          <w:lang w:val="en-CA"/>
        </w:rPr>
        <w:t>T</w:t>
      </w:r>
      <w:r w:rsidRPr="006A68CF">
        <w:rPr>
          <w:rFonts w:eastAsiaTheme="majorEastAsia"/>
          <w:lang w:val="en-CA"/>
        </w:rPr>
        <w:t>he non-monetary benefits received from the utilization of genetic resources and/or traditional knowledge associated with genetic resources that were accessed from your country</w:t>
      </w:r>
      <w:r>
        <w:rPr>
          <w:rFonts w:eastAsiaTheme="majorEastAsia"/>
          <w:lang w:val="en-CA"/>
        </w:rPr>
        <w:t xml:space="preserve"> are not monitored (13.6)</w:t>
      </w:r>
    </w:p>
    <w:p w14:paraId="2D890A7A" w14:textId="1FF7CDC4" w:rsidR="003A23D9" w:rsidRPr="00812871" w:rsidRDefault="003A23D9" w:rsidP="003A23D9">
      <w:pPr>
        <w:pStyle w:val="CBDNormalNumber"/>
        <w:numPr>
          <w:ilvl w:val="1"/>
          <w:numId w:val="379"/>
        </w:numPr>
        <w:tabs>
          <w:tab w:val="clear" w:pos="567"/>
          <w:tab w:val="clear" w:pos="1134"/>
          <w:tab w:val="clear" w:pos="1701"/>
          <w:tab w:val="clear" w:pos="2268"/>
          <w:tab w:val="left" w:pos="1985"/>
        </w:tabs>
        <w:ind w:left="1276" w:firstLine="56"/>
        <w:rPr>
          <w:rFonts w:eastAsiaTheme="majorEastAsia"/>
        </w:rPr>
      </w:pPr>
      <w:r>
        <w:rPr>
          <w:rFonts w:eastAsiaTheme="majorEastAsia"/>
          <w:lang w:val="en-CA"/>
        </w:rPr>
        <w:t xml:space="preserve">No </w:t>
      </w:r>
      <w:r w:rsidRPr="003A23D9">
        <w:rPr>
          <w:rFonts w:eastAsiaTheme="majorEastAsia"/>
          <w:lang w:val="en-CA"/>
        </w:rPr>
        <w:t>measures to ensure the fair and equitable benefit</w:t>
      </w:r>
      <w:r>
        <w:rPr>
          <w:rFonts w:eastAsiaTheme="majorEastAsia"/>
          <w:lang w:val="en-CA"/>
        </w:rPr>
        <w:t xml:space="preserve"> </w:t>
      </w:r>
      <w:r w:rsidRPr="003A23D9">
        <w:rPr>
          <w:rFonts w:eastAsiaTheme="majorEastAsia"/>
          <w:lang w:val="en-CA"/>
        </w:rPr>
        <w:t>sharing arising from the utilization of genetic resources and/or traditional knowledge associated with genetic resources that were accessed in another country</w:t>
      </w:r>
      <w:r w:rsidR="00A5518F">
        <w:rPr>
          <w:rFonts w:eastAsiaTheme="majorEastAsia"/>
          <w:lang w:val="en-CA"/>
        </w:rPr>
        <w:t xml:space="preserve"> are in place (13.7)</w:t>
      </w:r>
    </w:p>
    <w:p w14:paraId="104136C1" w14:textId="78A732B3" w:rsidR="0095698C" w:rsidRPr="003A23D9" w:rsidRDefault="0095698C" w:rsidP="003A23D9">
      <w:pPr>
        <w:pStyle w:val="CBDNormalNumber"/>
        <w:numPr>
          <w:ilvl w:val="0"/>
          <w:numId w:val="379"/>
        </w:numPr>
        <w:shd w:val="clear" w:color="auto" w:fill="FFFFFF"/>
        <w:ind w:left="567" w:firstLine="0"/>
        <w:rPr>
          <w:rFonts w:asciiTheme="majorBidi" w:hAnsiTheme="majorBidi" w:cstheme="majorBidi"/>
          <w:color w:val="000000"/>
          <w:lang w:val="en-US"/>
        </w:rPr>
      </w:pPr>
      <w:r w:rsidRPr="003A23D9">
        <w:rPr>
          <w:rFonts w:asciiTheme="majorBidi" w:hAnsiTheme="majorBidi" w:cstheme="majorBidi"/>
          <w:color w:val="000000"/>
          <w:lang w:val="en-US"/>
        </w:rPr>
        <w:t>An “</w:t>
      </w:r>
      <w:r w:rsidRPr="00812871">
        <w:rPr>
          <w:rFonts w:asciiTheme="majorBidi" w:hAnsiTheme="majorBidi" w:cstheme="majorBidi"/>
          <w:color w:val="000000"/>
          <w:lang w:val="en-US"/>
        </w:rPr>
        <w:t>Under development</w:t>
      </w:r>
      <w:r w:rsidRPr="003A23D9">
        <w:rPr>
          <w:rFonts w:asciiTheme="majorBidi" w:hAnsiTheme="majorBidi" w:cstheme="majorBidi"/>
          <w:color w:val="000000"/>
          <w:lang w:val="en-US"/>
        </w:rPr>
        <w:t>” answer implies a concerted effort at the national level to:</w:t>
      </w:r>
    </w:p>
    <w:p w14:paraId="30DE5185"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implement legal, administrative and policy measures to ensure the fair and equitable sharing of benefits that arise from the utilization of genetic resources (13.1). </w:t>
      </w:r>
    </w:p>
    <w:p w14:paraId="5BEA3920"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implement capacity-building measures to ensure the fair and equitable sharing of benefits that arise from the utilization of genetic resources (13.2).</w:t>
      </w:r>
    </w:p>
    <w:p w14:paraId="439E6A59" w14:textId="19D77E6D" w:rsidR="0095698C" w:rsidRPr="00ED7E61" w:rsidRDefault="00992C1C" w:rsidP="00992C1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Pr>
          <w:rFonts w:eastAsiaTheme="majorEastAsia"/>
        </w:rPr>
        <w:t xml:space="preserve">implement </w:t>
      </w:r>
      <w:r w:rsidRPr="00992C1C">
        <w:rPr>
          <w:rFonts w:eastAsiaTheme="majorEastAsia"/>
          <w:lang w:val="en-CA"/>
        </w:rPr>
        <w:t xml:space="preserve">administrative, policy or legislative measures pursuant to the operationalization of the multilateral mechanism in decision 16/2 </w:t>
      </w:r>
      <w:r w:rsidR="0095698C" w:rsidRPr="00ED7E61">
        <w:rPr>
          <w:rStyle w:val="normaltextrun"/>
          <w:rFonts w:eastAsiaTheme="majorEastAsia"/>
        </w:rPr>
        <w:t>(13.</w:t>
      </w:r>
      <w:r w:rsidR="0056238E">
        <w:rPr>
          <w:rStyle w:val="normaltextrun"/>
          <w:rFonts w:eastAsiaTheme="majorEastAsia"/>
        </w:rPr>
        <w:t>3</w:t>
      </w:r>
      <w:r w:rsidR="0095698C" w:rsidRPr="00ED7E61">
        <w:rPr>
          <w:rStyle w:val="normaltextrun"/>
          <w:rFonts w:eastAsiaTheme="majorEastAsia"/>
        </w:rPr>
        <w:t xml:space="preserve">). </w:t>
      </w:r>
    </w:p>
    <w:p w14:paraId="2FDF6F06" w14:textId="63616B8E" w:rsidR="00363701" w:rsidRPr="00812871" w:rsidRDefault="00363701" w:rsidP="00363701">
      <w:pPr>
        <w:pStyle w:val="CBDNormalNumber"/>
        <w:numPr>
          <w:ilvl w:val="1"/>
          <w:numId w:val="379"/>
        </w:numPr>
        <w:tabs>
          <w:tab w:val="clear" w:pos="567"/>
          <w:tab w:val="clear" w:pos="1134"/>
          <w:tab w:val="clear" w:pos="1701"/>
          <w:tab w:val="clear" w:pos="2268"/>
          <w:tab w:val="left" w:pos="1985"/>
        </w:tabs>
        <w:ind w:left="1276" w:firstLine="56"/>
        <w:rPr>
          <w:rFonts w:eastAsiaTheme="majorEastAsia"/>
        </w:rPr>
      </w:pPr>
      <w:r w:rsidRPr="00363701">
        <w:rPr>
          <w:rFonts w:eastAsiaTheme="majorEastAsia"/>
          <w:lang w:val="en-CA"/>
        </w:rPr>
        <w:t>monitor the monetary benefits received from the utilization of genetic resources and/or traditional knowledge associated with genetic resources that were accessed from your country</w:t>
      </w:r>
      <w:r>
        <w:rPr>
          <w:rFonts w:eastAsiaTheme="majorEastAsia"/>
          <w:lang w:val="en-CA"/>
        </w:rPr>
        <w:t xml:space="preserve"> (13.5)</w:t>
      </w:r>
    </w:p>
    <w:p w14:paraId="7C5F19DA" w14:textId="4455704D" w:rsidR="00A5046D" w:rsidRPr="00812871" w:rsidRDefault="00A5046D" w:rsidP="00A5046D">
      <w:pPr>
        <w:pStyle w:val="CBDNormalNumber"/>
        <w:numPr>
          <w:ilvl w:val="1"/>
          <w:numId w:val="379"/>
        </w:numPr>
        <w:tabs>
          <w:tab w:val="clear" w:pos="567"/>
          <w:tab w:val="clear" w:pos="1134"/>
          <w:tab w:val="clear" w:pos="1701"/>
          <w:tab w:val="clear" w:pos="2268"/>
          <w:tab w:val="left" w:pos="1985"/>
        </w:tabs>
        <w:ind w:left="1276" w:firstLine="56"/>
        <w:rPr>
          <w:rFonts w:eastAsiaTheme="majorEastAsia"/>
        </w:rPr>
      </w:pPr>
      <w:r w:rsidRPr="00A5046D">
        <w:rPr>
          <w:rFonts w:eastAsiaTheme="majorEastAsia"/>
          <w:lang w:val="en-CA"/>
        </w:rPr>
        <w:t>monitor the non-monetary benefits received from the utilization of genetic resources and/or traditional knowledge associated with genetic resources that were accessed from your country</w:t>
      </w:r>
      <w:r>
        <w:rPr>
          <w:rFonts w:eastAsiaTheme="majorEastAsia"/>
          <w:lang w:val="en-CA"/>
        </w:rPr>
        <w:t xml:space="preserve"> (13.6)</w:t>
      </w:r>
      <w:r w:rsidRPr="00A5046D">
        <w:rPr>
          <w:rFonts w:eastAsiaTheme="majorEastAsia"/>
          <w:lang w:val="en-CA"/>
        </w:rPr>
        <w:t xml:space="preserve"> </w:t>
      </w:r>
    </w:p>
    <w:p w14:paraId="66AA25F7" w14:textId="5314E137" w:rsidR="00A5046D" w:rsidRDefault="00A5046D" w:rsidP="00A5046D">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A5046D">
        <w:rPr>
          <w:rFonts w:eastAsiaTheme="majorEastAsia"/>
          <w:lang w:val="en-CA"/>
        </w:rPr>
        <w:t>measures to ensure the fair and equitable benefit sharing arising from the utilization of genetic resources and/or traditional knowledge associated with genetic resources that were accessed in another country</w:t>
      </w:r>
      <w:r>
        <w:rPr>
          <w:rFonts w:eastAsiaTheme="majorEastAsia"/>
          <w:lang w:val="en-CA"/>
        </w:rPr>
        <w:t xml:space="preserve"> (13.7)</w:t>
      </w:r>
    </w:p>
    <w:p w14:paraId="3A946514" w14:textId="77777777"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color w:val="000000" w:themeColor="text1"/>
          <w:lang w:val="en-US"/>
        </w:rPr>
      </w:pPr>
      <w:r w:rsidRPr="00ED7E61">
        <w:rPr>
          <w:rFonts w:asciiTheme="majorBidi" w:hAnsiTheme="majorBidi" w:cstheme="majorBidi"/>
          <w:color w:val="000000"/>
          <w:lang w:val="en-US"/>
        </w:rPr>
        <w:t>Such</w:t>
      </w:r>
      <w:r w:rsidRPr="00ED7E61">
        <w:rPr>
          <w:rFonts w:asciiTheme="majorBidi" w:hAnsiTheme="majorBidi" w:cstheme="majorBidi"/>
          <w:color w:val="000000" w:themeColor="text1"/>
          <w:lang w:val="en-US"/>
        </w:rPr>
        <w:t xml:space="preserve"> monitoring may be at various stages of development: proposal or accepted, but it is not operational. If there is progress towards monitoring but it is not resourced and ongoing then select this answer.</w:t>
      </w:r>
    </w:p>
    <w:p w14:paraId="69F68156" w14:textId="77777777" w:rsidR="0095698C" w:rsidRPr="00B35280" w:rsidRDefault="0095698C" w:rsidP="0095698C">
      <w:pPr>
        <w:pStyle w:val="CBDNormalNumber"/>
        <w:numPr>
          <w:ilvl w:val="0"/>
          <w:numId w:val="379"/>
        </w:numPr>
        <w:shd w:val="clear" w:color="auto" w:fill="FFFFFF"/>
        <w:ind w:left="567" w:firstLine="0"/>
        <w:rPr>
          <w:rFonts w:asciiTheme="majorBidi" w:hAnsiTheme="majorBidi" w:cstheme="majorBidi"/>
          <w:color w:val="000000"/>
          <w:lang w:val="en-US"/>
        </w:rPr>
      </w:pPr>
      <w:r w:rsidRPr="00B35280">
        <w:rPr>
          <w:rFonts w:asciiTheme="majorBidi" w:hAnsiTheme="majorBidi" w:cstheme="majorBidi"/>
          <w:color w:val="000000"/>
          <w:lang w:val="en-US"/>
        </w:rPr>
        <w:t>A “</w:t>
      </w:r>
      <w:r w:rsidRPr="00B35280">
        <w:rPr>
          <w:rFonts w:asciiTheme="majorBidi" w:hAnsiTheme="majorBidi" w:cstheme="majorBidi"/>
          <w:i/>
          <w:iCs/>
          <w:color w:val="000000"/>
          <w:lang w:val="en-US"/>
        </w:rPr>
        <w:t>Partially</w:t>
      </w:r>
      <w:r w:rsidRPr="00B35280">
        <w:rPr>
          <w:rFonts w:asciiTheme="majorBidi" w:hAnsiTheme="majorBidi" w:cstheme="majorBidi"/>
          <w:color w:val="000000"/>
          <w:lang w:val="en-US"/>
        </w:rPr>
        <w:t>” answer implies that:</w:t>
      </w:r>
    </w:p>
    <w:p w14:paraId="30CCAE9D"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some legal, administrative and policy measures to ensure the fair and equitable sharing of benefits that arise from the utilization of some genetic resources are in place and operational (13.1). If the measures put in place cover only some genetic resources but not all, then only partial achievement has been reached. Additionally, if only a legal, policy or administrative framework is in place, even if it covers all genetic resources, then select this answer.</w:t>
      </w:r>
    </w:p>
    <w:p w14:paraId="375385DE" w14:textId="77777777" w:rsidR="0095698C"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capacity-building measures to ensure the fair and equitable sharing of benefits that arise from the utilization of some genetic resources are in place and operational (13.2). That is, these measures do not apply to all benefits or genetic resources.</w:t>
      </w:r>
    </w:p>
    <w:p w14:paraId="24E02458" w14:textId="26892DD0" w:rsidR="00A82966" w:rsidRPr="00ED7E61" w:rsidRDefault="00E53669" w:rsidP="00A82966">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Pr>
          <w:rFonts w:eastAsiaTheme="majorEastAsia"/>
          <w:lang w:val="en-CA"/>
        </w:rPr>
        <w:t xml:space="preserve">Some </w:t>
      </w:r>
      <w:r w:rsidR="002A1921" w:rsidRPr="002A1921">
        <w:rPr>
          <w:rFonts w:eastAsiaTheme="majorEastAsia"/>
          <w:lang w:val="en-CA"/>
        </w:rPr>
        <w:t>administrative, policy or legislative measures pursuant to the operationalization of the multilateral mechanism in decision 16/2</w:t>
      </w:r>
      <w:r w:rsidR="002A1921">
        <w:rPr>
          <w:rFonts w:eastAsiaTheme="majorEastAsia"/>
          <w:lang w:val="en-CA"/>
        </w:rPr>
        <w:t xml:space="preserve"> </w:t>
      </w:r>
      <w:r w:rsidR="00047781">
        <w:rPr>
          <w:rFonts w:eastAsiaTheme="majorEastAsia"/>
          <w:lang w:val="en-CA"/>
        </w:rPr>
        <w:t>are in place and operational (13.3)</w:t>
      </w:r>
      <w:r>
        <w:rPr>
          <w:rFonts w:eastAsiaTheme="majorEastAsia"/>
          <w:lang w:val="en-CA"/>
        </w:rPr>
        <w:t xml:space="preserve">. </w:t>
      </w:r>
      <w:r w:rsidR="00A82966" w:rsidRPr="00ED7E61">
        <w:rPr>
          <w:rStyle w:val="normaltextrun"/>
          <w:rFonts w:eastAsiaTheme="majorEastAsia"/>
        </w:rPr>
        <w:t xml:space="preserve">If the measures put in place cover </w:t>
      </w:r>
      <w:r w:rsidR="00A82966">
        <w:rPr>
          <w:rStyle w:val="normaltextrun"/>
          <w:rFonts w:eastAsiaTheme="majorEastAsia"/>
        </w:rPr>
        <w:t xml:space="preserve">some aspects of the multilateral mechanism </w:t>
      </w:r>
      <w:r w:rsidR="00A82966" w:rsidRPr="00ED7E61">
        <w:rPr>
          <w:rStyle w:val="normaltextrun"/>
          <w:rFonts w:eastAsiaTheme="majorEastAsia"/>
        </w:rPr>
        <w:t xml:space="preserve">but not </w:t>
      </w:r>
      <w:r w:rsidR="00A82966" w:rsidRPr="00ED7E61">
        <w:rPr>
          <w:rStyle w:val="normaltextrun"/>
          <w:rFonts w:eastAsiaTheme="majorEastAsia"/>
        </w:rPr>
        <w:lastRenderedPageBreak/>
        <w:t xml:space="preserve">all, then only partial achievement has been reached. Additionally, if only a legal, policy or administrative framework is in place, even if it covers all </w:t>
      </w:r>
      <w:r w:rsidR="00E92A2A">
        <w:rPr>
          <w:rStyle w:val="normaltextrun"/>
          <w:rFonts w:eastAsiaTheme="majorEastAsia"/>
        </w:rPr>
        <w:t>aspects of the multilateral mechanism</w:t>
      </w:r>
      <w:r w:rsidR="00A82966" w:rsidRPr="00ED7E61">
        <w:rPr>
          <w:rStyle w:val="normaltextrun"/>
          <w:rFonts w:eastAsiaTheme="majorEastAsia"/>
        </w:rPr>
        <w:t>, select this answer.</w:t>
      </w:r>
    </w:p>
    <w:p w14:paraId="1A435E68" w14:textId="76726693"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monitoring of some monetary benefits from the utilization of genetic resources and/or traditional knowledge associated with some genetic resources (13.</w:t>
      </w:r>
      <w:r w:rsidR="00B35280">
        <w:rPr>
          <w:rStyle w:val="normaltextrun"/>
          <w:rFonts w:eastAsiaTheme="majorEastAsia"/>
        </w:rPr>
        <w:t>5</w:t>
      </w:r>
      <w:r w:rsidRPr="00ED7E61">
        <w:rPr>
          <w:rStyle w:val="normaltextrun"/>
          <w:rFonts w:eastAsiaTheme="majorEastAsia"/>
        </w:rPr>
        <w:t>) is ongoing. That is, data is being collected on part of the monetary benefits and/or only some genetic resources.</w:t>
      </w:r>
    </w:p>
    <w:p w14:paraId="25897D92" w14:textId="337D7FC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monitoring of some non-monetary benefits from the utilization of genetic resources and/or traditional knowledge associated with some genetic resources (13.</w:t>
      </w:r>
      <w:r w:rsidR="00F7259C">
        <w:rPr>
          <w:rStyle w:val="normaltextrun"/>
          <w:rFonts w:eastAsiaTheme="majorEastAsia"/>
        </w:rPr>
        <w:t>6</w:t>
      </w:r>
      <w:r w:rsidRPr="00ED7E61">
        <w:rPr>
          <w:rStyle w:val="normaltextrun"/>
          <w:rFonts w:eastAsiaTheme="majorEastAsia"/>
        </w:rPr>
        <w:t>) is ongoing. That is, data is being collected on part of the non-monetary benefits and/or only some genetic resources.</w:t>
      </w:r>
    </w:p>
    <w:p w14:paraId="26A30FF3" w14:textId="21A44B55"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measures to ensure compliance with domestic access and benefit-sharing of the country of origin for some genetic resources are in place and operational (13.</w:t>
      </w:r>
      <w:r w:rsidR="00F7259C">
        <w:rPr>
          <w:rStyle w:val="normaltextrun"/>
          <w:rFonts w:eastAsiaTheme="majorEastAsia"/>
        </w:rPr>
        <w:t>7</w:t>
      </w:r>
      <w:r w:rsidRPr="00ED7E61">
        <w:rPr>
          <w:rStyle w:val="normaltextrun"/>
          <w:rFonts w:eastAsiaTheme="majorEastAsia"/>
        </w:rPr>
        <w:t>). That is, these measures do not apply to all genetic resources.</w:t>
      </w:r>
    </w:p>
    <w:p w14:paraId="58A7A2CF" w14:textId="77777777"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color w:val="000000"/>
          <w:lang w:val="en-US"/>
        </w:rPr>
      </w:pPr>
      <w:r w:rsidRPr="00ED7E61">
        <w:rPr>
          <w:rFonts w:asciiTheme="majorBidi" w:hAnsiTheme="majorBidi" w:cstheme="majorBidi"/>
          <w:color w:val="000000"/>
          <w:lang w:val="en-US"/>
        </w:rPr>
        <w:t>A “</w:t>
      </w:r>
      <w:r w:rsidRPr="00FB1598">
        <w:rPr>
          <w:rFonts w:asciiTheme="majorBidi" w:hAnsiTheme="majorBidi" w:cstheme="majorBidi"/>
          <w:i/>
          <w:iCs/>
          <w:color w:val="000000"/>
          <w:lang w:val="en-US"/>
        </w:rPr>
        <w:t>Fully</w:t>
      </w:r>
      <w:r w:rsidRPr="00ED7E61">
        <w:rPr>
          <w:rFonts w:asciiTheme="majorBidi" w:hAnsiTheme="majorBidi" w:cstheme="majorBidi"/>
          <w:color w:val="000000"/>
          <w:lang w:val="en-US"/>
        </w:rPr>
        <w:t>” answer implies that all the conditions outlined in “</w:t>
      </w:r>
      <w:r w:rsidRPr="00FB1598">
        <w:rPr>
          <w:rFonts w:asciiTheme="majorBidi" w:hAnsiTheme="majorBidi" w:cstheme="majorBidi"/>
          <w:i/>
          <w:iCs/>
          <w:color w:val="000000"/>
          <w:lang w:val="en-US"/>
        </w:rPr>
        <w:t>Partially</w:t>
      </w:r>
      <w:r w:rsidRPr="00ED7E61">
        <w:rPr>
          <w:rFonts w:asciiTheme="majorBidi" w:hAnsiTheme="majorBidi" w:cstheme="majorBidi"/>
          <w:color w:val="000000"/>
          <w:lang w:val="en-US"/>
        </w:rPr>
        <w:t>” have been met. Namely that:</w:t>
      </w:r>
    </w:p>
    <w:p w14:paraId="321DCE9E"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legal, administrative and policy measures to ensure the fair and equitable sharing of benefits that arise from the utilization of genetic resources are in place and operational (13.1) and that these cover all genetic resources.</w:t>
      </w:r>
    </w:p>
    <w:p w14:paraId="3C8C610F" w14:textId="77777777" w:rsidR="0095698C"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capacity-building measures to ensure the fair and equitable sharing of benefits that arise from the utilization of genetic resources are in place and operational (13.2) and that these cover all genetic resources.</w:t>
      </w:r>
    </w:p>
    <w:p w14:paraId="7D60C23C" w14:textId="46899ECF" w:rsidR="00B13FAD" w:rsidRPr="0066197D" w:rsidRDefault="00B13FAD" w:rsidP="0066197D">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2A1921">
        <w:rPr>
          <w:rFonts w:eastAsiaTheme="majorEastAsia"/>
          <w:lang w:val="en-CA"/>
        </w:rPr>
        <w:t>administrative, policy or legislative measures pursuant to the operationalization of the multilateral mechanism in decision 16/2</w:t>
      </w:r>
      <w:r>
        <w:rPr>
          <w:rFonts w:eastAsiaTheme="majorEastAsia"/>
          <w:lang w:val="en-CA"/>
        </w:rPr>
        <w:t xml:space="preserve"> are in place and operational (13.3)</w:t>
      </w:r>
      <w:r w:rsidR="0066197D">
        <w:rPr>
          <w:rFonts w:eastAsiaTheme="majorEastAsia"/>
          <w:lang w:val="en-CA"/>
        </w:rPr>
        <w:t xml:space="preserve"> and </w:t>
      </w:r>
      <w:r w:rsidRPr="00ED7E61">
        <w:rPr>
          <w:rStyle w:val="normaltextrun"/>
          <w:rFonts w:eastAsiaTheme="majorEastAsia"/>
        </w:rPr>
        <w:t xml:space="preserve">cover all </w:t>
      </w:r>
      <w:r>
        <w:rPr>
          <w:rStyle w:val="normaltextrun"/>
          <w:rFonts w:eastAsiaTheme="majorEastAsia"/>
        </w:rPr>
        <w:t>aspects of the multilateral mechanism</w:t>
      </w:r>
      <w:r w:rsidRPr="00ED7E61">
        <w:rPr>
          <w:rStyle w:val="normaltextrun"/>
          <w:rFonts w:eastAsiaTheme="majorEastAsia"/>
        </w:rPr>
        <w:t>, select this answer.</w:t>
      </w:r>
    </w:p>
    <w:p w14:paraId="7074583C" w14:textId="0D1BFFBC"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monitoring of monetary benefits from the utilization of genetic resources and/or traditional knowledge associated with some genetic resources (13</w:t>
      </w:r>
      <w:r w:rsidR="0066197D">
        <w:rPr>
          <w:rStyle w:val="normaltextrun"/>
          <w:rFonts w:eastAsiaTheme="majorEastAsia"/>
        </w:rPr>
        <w:t>.5</w:t>
      </w:r>
      <w:r w:rsidRPr="00ED7E61">
        <w:rPr>
          <w:rStyle w:val="normaltextrun"/>
          <w:rFonts w:eastAsiaTheme="majorEastAsia"/>
        </w:rPr>
        <w:t>) is ongoing. That is, data is being collected on the monetary benefits of all genetic resources.</w:t>
      </w:r>
    </w:p>
    <w:p w14:paraId="3A69E331" w14:textId="6A53826B"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monitoring of some non-monetary benefits from the utilization of genetic resources and/or traditional knowledge associated with genetic resources (13.</w:t>
      </w:r>
      <w:r w:rsidR="002A3DB2">
        <w:rPr>
          <w:rStyle w:val="normaltextrun"/>
          <w:rFonts w:eastAsiaTheme="majorEastAsia"/>
        </w:rPr>
        <w:t>6</w:t>
      </w:r>
      <w:r w:rsidRPr="00ED7E61">
        <w:rPr>
          <w:rStyle w:val="normaltextrun"/>
          <w:rFonts w:eastAsiaTheme="majorEastAsia"/>
        </w:rPr>
        <w:t>) is ongoing. That is, data is being collected on the non-monetary benefits of all genetic resources.</w:t>
      </w:r>
    </w:p>
    <w:p w14:paraId="0B3DB023" w14:textId="4DC4AA90"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measures to ensure compliance with domestic access and benefit-sharing of the country of origin for genetic resources are in place and operational (13.</w:t>
      </w:r>
      <w:r w:rsidR="002A3DB2">
        <w:rPr>
          <w:rStyle w:val="normaltextrun"/>
          <w:rFonts w:eastAsiaTheme="majorEastAsia"/>
        </w:rPr>
        <w:t>7</w:t>
      </w:r>
      <w:r w:rsidRPr="00ED7E61">
        <w:rPr>
          <w:rStyle w:val="normaltextrun"/>
          <w:rFonts w:eastAsiaTheme="majorEastAsia"/>
        </w:rPr>
        <w:t>). That is, these measures apply to all genetic resources and respective countries of origin.</w:t>
      </w:r>
    </w:p>
    <w:p w14:paraId="589AE051" w14:textId="54C969DD"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color w:val="000000" w:themeColor="text1"/>
          <w:lang w:val="en-US"/>
        </w:rPr>
      </w:pPr>
      <w:r w:rsidRPr="00ED7E61">
        <w:rPr>
          <w:rFonts w:asciiTheme="majorBidi" w:hAnsiTheme="majorBidi" w:cstheme="majorBidi"/>
          <w:color w:val="000000" w:themeColor="text1"/>
          <w:lang w:val="en-US"/>
        </w:rPr>
        <w:t>A “</w:t>
      </w:r>
      <w:r w:rsidRPr="00FB1598">
        <w:rPr>
          <w:rFonts w:asciiTheme="majorBidi" w:hAnsiTheme="majorBidi" w:cstheme="majorBidi"/>
          <w:i/>
          <w:iCs/>
          <w:color w:val="000000" w:themeColor="text1"/>
          <w:lang w:val="en-US"/>
        </w:rPr>
        <w:t>Not applicable</w:t>
      </w:r>
      <w:r w:rsidRPr="00ED7E61">
        <w:rPr>
          <w:rFonts w:asciiTheme="majorBidi" w:hAnsiTheme="majorBidi" w:cstheme="majorBidi"/>
          <w:color w:val="000000" w:themeColor="text1"/>
          <w:lang w:val="en-US"/>
        </w:rPr>
        <w:t xml:space="preserve">” answer can be selected </w:t>
      </w:r>
      <w:r w:rsidR="002A3DB2">
        <w:rPr>
          <w:rFonts w:asciiTheme="majorBidi" w:hAnsiTheme="majorBidi" w:cstheme="majorBidi"/>
          <w:color w:val="000000" w:themeColor="text1"/>
          <w:lang w:val="en-US"/>
        </w:rPr>
        <w:t xml:space="preserve">for each question </w:t>
      </w:r>
      <w:r w:rsidRPr="00ED7E61">
        <w:rPr>
          <w:rFonts w:asciiTheme="majorBidi" w:hAnsiTheme="majorBidi" w:cstheme="majorBidi"/>
          <w:color w:val="000000" w:themeColor="text1"/>
          <w:lang w:val="en-US"/>
        </w:rPr>
        <w:t>by parties who have chosen not to regulate access to genetic resources under Article 6 of the Nagoya Protocol.</w:t>
      </w:r>
    </w:p>
    <w:p w14:paraId="489C66B5" w14:textId="2C14754D" w:rsidR="0095698C" w:rsidRPr="00ED7E61" w:rsidRDefault="0095698C" w:rsidP="0095698C">
      <w:pPr>
        <w:pStyle w:val="CBDNormalNumber"/>
        <w:numPr>
          <w:ilvl w:val="0"/>
          <w:numId w:val="379"/>
        </w:numPr>
        <w:shd w:val="clear" w:color="auto" w:fill="FFFFFF"/>
        <w:ind w:left="567" w:firstLine="0"/>
        <w:rPr>
          <w:rFonts w:asciiTheme="majorBidi" w:eastAsia="Garamond" w:hAnsiTheme="majorBidi" w:cstheme="majorBidi"/>
          <w:color w:val="000000" w:themeColor="text1"/>
          <w:lang w:val="en-US"/>
        </w:rPr>
      </w:pPr>
      <w:r w:rsidRPr="00ED7E61">
        <w:rPr>
          <w:rFonts w:asciiTheme="majorBidi" w:hAnsiTheme="majorBidi" w:cstheme="majorBidi"/>
          <w:color w:val="000000" w:themeColor="text1"/>
          <w:lang w:val="en-US"/>
        </w:rPr>
        <w:t>There</w:t>
      </w:r>
      <w:r w:rsidRPr="00ED7E61">
        <w:rPr>
          <w:rFonts w:asciiTheme="majorBidi" w:eastAsia="Garamond" w:hAnsiTheme="majorBidi" w:cstheme="majorBidi"/>
          <w:color w:val="000000" w:themeColor="text1"/>
          <w:lang w:val="en-US"/>
        </w:rPr>
        <w:t xml:space="preserve"> are three possible answers to question 13.</w:t>
      </w:r>
      <w:r w:rsidR="002A3DB2">
        <w:rPr>
          <w:rFonts w:asciiTheme="majorBidi" w:eastAsia="Garamond" w:hAnsiTheme="majorBidi" w:cstheme="majorBidi"/>
          <w:color w:val="000000" w:themeColor="text1"/>
          <w:lang w:val="en-US"/>
        </w:rPr>
        <w:t>4</w:t>
      </w:r>
      <w:r w:rsidRPr="00ED7E61">
        <w:rPr>
          <w:rStyle w:val="FootnoteReference"/>
          <w:rFonts w:asciiTheme="majorBidi" w:eastAsia="Garamond" w:hAnsiTheme="majorBidi" w:cstheme="majorBidi"/>
          <w:color w:val="000000" w:themeColor="text1"/>
          <w:lang w:val="en-US"/>
        </w:rPr>
        <w:footnoteReference w:id="45"/>
      </w:r>
      <w:r w:rsidRPr="00ED7E61">
        <w:rPr>
          <w:rFonts w:asciiTheme="majorBidi" w:eastAsia="Garamond" w:hAnsiTheme="majorBidi" w:cstheme="majorBidi"/>
          <w:color w:val="000000" w:themeColor="text1"/>
          <w:lang w:val="en-US"/>
        </w:rPr>
        <w:t>:</w:t>
      </w:r>
    </w:p>
    <w:p w14:paraId="331CFB15"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No</w:t>
      </w:r>
    </w:p>
    <w:p w14:paraId="79D9197C"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Yes</w:t>
      </w:r>
    </w:p>
    <w:p w14:paraId="18B3A77B" w14:textId="77777777" w:rsidR="0095698C" w:rsidRPr="00ED7E61" w:rsidRDefault="0095698C" w:rsidP="0095698C">
      <w:pPr>
        <w:pStyle w:val="CBDNormalNumber"/>
        <w:numPr>
          <w:ilvl w:val="1"/>
          <w:numId w:val="37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Not applicable</w:t>
      </w:r>
    </w:p>
    <w:p w14:paraId="3F2CCFDB" w14:textId="7A7A9929"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rPr>
      </w:pPr>
      <w:r w:rsidRPr="00ED7E61">
        <w:rPr>
          <w:rFonts w:asciiTheme="majorBidi" w:eastAsia="Garamond" w:hAnsiTheme="majorBidi" w:cstheme="majorBidi"/>
          <w:color w:val="000000" w:themeColor="text1"/>
          <w:lang w:val="en-US"/>
        </w:rPr>
        <w:t>A “</w:t>
      </w:r>
      <w:r w:rsidRPr="00FB1598">
        <w:rPr>
          <w:rFonts w:asciiTheme="majorBidi" w:eastAsia="Garamond" w:hAnsiTheme="majorBidi" w:cstheme="majorBidi"/>
          <w:i/>
          <w:iCs/>
          <w:color w:val="000000" w:themeColor="text1"/>
          <w:lang w:val="en-US"/>
        </w:rPr>
        <w:t>No</w:t>
      </w:r>
      <w:r w:rsidRPr="00ED7E61">
        <w:rPr>
          <w:rFonts w:asciiTheme="majorBidi" w:eastAsia="Garamond" w:hAnsiTheme="majorBidi" w:cstheme="majorBidi"/>
          <w:color w:val="000000" w:themeColor="text1"/>
          <w:lang w:val="en-US"/>
        </w:rPr>
        <w:t xml:space="preserve">” answer implies that </w:t>
      </w:r>
      <w:r w:rsidRPr="00ED7E61">
        <w:rPr>
          <w:rFonts w:asciiTheme="majorBidi" w:hAnsiTheme="majorBidi" w:cstheme="majorBidi"/>
        </w:rPr>
        <w:t>the framework or measures mentioned in questions 13.1 and 13.2</w:t>
      </w:r>
      <w:r w:rsidR="008150B8">
        <w:rPr>
          <w:rFonts w:asciiTheme="majorBidi" w:hAnsiTheme="majorBidi" w:cstheme="majorBidi"/>
        </w:rPr>
        <w:t xml:space="preserve"> </w:t>
      </w:r>
      <w:r w:rsidRPr="00ED7E61">
        <w:rPr>
          <w:rFonts w:asciiTheme="majorBidi" w:hAnsiTheme="majorBidi" w:cstheme="majorBidi"/>
        </w:rPr>
        <w:t>do not include the utilization of the traditional knowledge associated with genetic resources.</w:t>
      </w:r>
    </w:p>
    <w:p w14:paraId="352EEAE9" w14:textId="578E52AC" w:rsidR="0095698C" w:rsidRPr="00ED7E61" w:rsidRDefault="0095698C" w:rsidP="0095698C">
      <w:pPr>
        <w:pStyle w:val="CBDNormalNumber"/>
        <w:numPr>
          <w:ilvl w:val="0"/>
          <w:numId w:val="379"/>
        </w:numPr>
        <w:shd w:val="clear" w:color="auto" w:fill="FFFFFF"/>
        <w:ind w:left="567" w:firstLine="0"/>
        <w:rPr>
          <w:rFonts w:asciiTheme="majorBidi" w:hAnsiTheme="majorBidi" w:cstheme="majorBidi"/>
        </w:rPr>
      </w:pPr>
      <w:r w:rsidRPr="00ED7E61">
        <w:rPr>
          <w:rFonts w:asciiTheme="majorBidi" w:eastAsia="Garamond" w:hAnsiTheme="majorBidi" w:cstheme="majorBidi"/>
          <w:color w:val="000000" w:themeColor="text1"/>
          <w:lang w:val="en-US"/>
        </w:rPr>
        <w:lastRenderedPageBreak/>
        <w:t>A “</w:t>
      </w:r>
      <w:r w:rsidRPr="00FB1598">
        <w:rPr>
          <w:rFonts w:asciiTheme="majorBidi" w:eastAsia="Garamond" w:hAnsiTheme="majorBidi" w:cstheme="majorBidi"/>
          <w:i/>
          <w:iCs/>
          <w:color w:val="000000" w:themeColor="text1"/>
          <w:lang w:val="en-US"/>
        </w:rPr>
        <w:t>Yes</w:t>
      </w:r>
      <w:r w:rsidRPr="00ED7E61">
        <w:rPr>
          <w:rFonts w:asciiTheme="majorBidi" w:eastAsia="Garamond" w:hAnsiTheme="majorBidi" w:cstheme="majorBidi"/>
          <w:color w:val="000000" w:themeColor="text1"/>
          <w:lang w:val="en-US"/>
        </w:rPr>
        <w:t xml:space="preserve">” answer implies that </w:t>
      </w:r>
      <w:r w:rsidRPr="00ED7E61">
        <w:rPr>
          <w:rFonts w:asciiTheme="majorBidi" w:hAnsiTheme="majorBidi" w:cstheme="majorBidi"/>
        </w:rPr>
        <w:t>the framework or measures mentioned in questions 13.1 and 13.2 do include the utilization of the traditional knowledge associated with genetic resources.</w:t>
      </w:r>
    </w:p>
    <w:p w14:paraId="63F6CB21" w14:textId="77777777" w:rsidR="0095698C" w:rsidRPr="00ED7E61" w:rsidRDefault="0095698C" w:rsidP="0095698C">
      <w:pPr>
        <w:pStyle w:val="CBDNormalNumber"/>
        <w:numPr>
          <w:ilvl w:val="0"/>
          <w:numId w:val="379"/>
        </w:numPr>
        <w:shd w:val="clear" w:color="auto" w:fill="FFFFFF"/>
        <w:ind w:left="567" w:firstLine="0"/>
        <w:rPr>
          <w:color w:val="000000" w:themeColor="text1"/>
          <w:lang w:val="en-US"/>
        </w:rPr>
      </w:pPr>
      <w:r w:rsidRPr="00ED7E61">
        <w:rPr>
          <w:rFonts w:asciiTheme="majorBidi" w:hAnsiTheme="majorBidi" w:cstheme="majorBidi"/>
        </w:rPr>
        <w:t>A “</w:t>
      </w:r>
      <w:r w:rsidRPr="00FB1598">
        <w:rPr>
          <w:rFonts w:asciiTheme="majorBidi" w:hAnsiTheme="majorBidi" w:cstheme="majorBidi"/>
          <w:i/>
          <w:iCs/>
        </w:rPr>
        <w:t>Not applicable</w:t>
      </w:r>
      <w:r w:rsidRPr="00ED7E61">
        <w:rPr>
          <w:rFonts w:asciiTheme="majorBidi" w:hAnsiTheme="majorBidi" w:cstheme="majorBidi"/>
        </w:rPr>
        <w:t>” answer is to be selected by Parties who have chosen not to regulate traditional knowledge associated with genetic resources</w:t>
      </w:r>
      <w:r w:rsidRPr="00ED7E61">
        <w:rPr>
          <w:rFonts w:asciiTheme="majorBidi" w:hAnsiTheme="majorBidi" w:cstheme="majorBidi"/>
          <w:color w:val="000000" w:themeColor="text1"/>
          <w:lang w:val="en-US"/>
        </w:rPr>
        <w:t xml:space="preserve"> under Article 6 of the Nagoya Protocol</w:t>
      </w:r>
      <w:r w:rsidRPr="00ED7E61">
        <w:rPr>
          <w:rFonts w:asciiTheme="majorBidi" w:hAnsiTheme="majorBidi" w:cstheme="majorBidi"/>
        </w:rPr>
        <w:t>.</w:t>
      </w:r>
    </w:p>
    <w:p w14:paraId="4F88A870" w14:textId="77777777" w:rsidR="00791B92" w:rsidRDefault="00791B92">
      <w:pPr>
        <w:rPr>
          <w:rStyle w:val="normaltextrun"/>
        </w:rPr>
      </w:pPr>
      <w:r>
        <w:rPr>
          <w:rStyle w:val="normaltextrun"/>
        </w:rPr>
        <w:br w:type="page"/>
      </w:r>
    </w:p>
    <w:p w14:paraId="7E12DB0E" w14:textId="0A3AA598" w:rsidR="006C615F" w:rsidRPr="00812871" w:rsidRDefault="006C615F" w:rsidP="00812871">
      <w:pPr>
        <w:pStyle w:val="Heading3"/>
        <w:rPr>
          <w:rStyle w:val="normaltextrun"/>
        </w:rPr>
      </w:pPr>
      <w:bookmarkStart w:id="58" w:name="_Toc233278582"/>
      <w:bookmarkStart w:id="59" w:name="_Toc178285873"/>
      <w:r w:rsidRPr="00812871">
        <w:rPr>
          <w:rStyle w:val="normaltextrun"/>
        </w:rPr>
        <w:lastRenderedPageBreak/>
        <w:t>Binary indicator: 14.b</w:t>
      </w:r>
      <w:bookmarkEnd w:id="58"/>
      <w:r w:rsidRPr="00812871">
        <w:rPr>
          <w:rStyle w:val="normaltextrun"/>
        </w:rPr>
        <w:t xml:space="preserve"> </w:t>
      </w:r>
      <w:bookmarkEnd w:id="59"/>
    </w:p>
    <w:p w14:paraId="346A9AF4" w14:textId="77777777" w:rsidR="006C615F" w:rsidRPr="006C615F" w:rsidRDefault="006C615F" w:rsidP="006C615F">
      <w:pPr>
        <w:rPr>
          <w:b/>
          <w:bCs/>
        </w:rPr>
      </w:pPr>
    </w:p>
    <w:p w14:paraId="78C747A5" w14:textId="77777777" w:rsidR="006C615F" w:rsidRPr="0049615A" w:rsidRDefault="006C615F"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Full Indicator Name</w:t>
      </w:r>
    </w:p>
    <w:p w14:paraId="10149050" w14:textId="77777777" w:rsidR="006C615F" w:rsidRPr="006C615F" w:rsidRDefault="006C615F" w:rsidP="006C615F">
      <w:r w:rsidRPr="006C615F">
        <w:t xml:space="preserve">Number of countries integrating biodiversity and its multiple values into policies, regulations, planning, development processes, poverty eradication strategies </w:t>
      </w:r>
      <w:proofErr w:type="gramStart"/>
      <w:r w:rsidRPr="006C615F">
        <w:t>and,</w:t>
      </w:r>
      <w:proofErr w:type="gramEnd"/>
      <w:r w:rsidRPr="006C615F">
        <w:t xml:space="preserve"> as appropriate, national accounts, within and across all levels and across all sectors, and progressively aligning all relevant public and private activities and fiscal and financial flows with the goals and targets of the Framework.</w:t>
      </w:r>
    </w:p>
    <w:p w14:paraId="59D563A7" w14:textId="77777777" w:rsidR="00561EB1" w:rsidRDefault="00561EB1" w:rsidP="006C615F">
      <w:pPr>
        <w:rPr>
          <w:b/>
          <w:bCs/>
        </w:rPr>
      </w:pPr>
    </w:p>
    <w:p w14:paraId="7FF0FAD7" w14:textId="4D1C82DE" w:rsidR="006C615F" w:rsidRPr="0049615A" w:rsidRDefault="006C615F"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Goals and Targets Addressed</w:t>
      </w:r>
    </w:p>
    <w:p w14:paraId="6857899D" w14:textId="77777777" w:rsidR="00561EB1" w:rsidRDefault="00561EB1" w:rsidP="006C615F">
      <w:pPr>
        <w:rPr>
          <w:b/>
          <w:bCs/>
        </w:rPr>
      </w:pPr>
    </w:p>
    <w:p w14:paraId="365A291A" w14:textId="4E409710" w:rsidR="006C615F" w:rsidRPr="006C615F" w:rsidRDefault="006C615F" w:rsidP="006C615F">
      <w:pPr>
        <w:rPr>
          <w:lang w:val="en-US"/>
        </w:rPr>
      </w:pPr>
      <w:r w:rsidRPr="006C615F">
        <w:t>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w:t>
      </w:r>
    </w:p>
    <w:p w14:paraId="3B68654D" w14:textId="77777777" w:rsidR="00561EB1" w:rsidRDefault="00561EB1" w:rsidP="006C615F">
      <w:pPr>
        <w:rPr>
          <w:b/>
          <w:bCs/>
        </w:rPr>
      </w:pPr>
    </w:p>
    <w:p w14:paraId="3BE79047" w14:textId="76B290C2" w:rsidR="006C615F" w:rsidRPr="0049615A" w:rsidRDefault="006C615F"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Rationale</w:t>
      </w:r>
    </w:p>
    <w:p w14:paraId="11410483" w14:textId="77777777" w:rsidR="00561EB1" w:rsidRDefault="006C615F" w:rsidP="00561EB1">
      <w:pPr>
        <w:pStyle w:val="CBDNormalNumber"/>
        <w:numPr>
          <w:ilvl w:val="0"/>
          <w:numId w:val="383"/>
        </w:numPr>
        <w:shd w:val="clear" w:color="auto" w:fill="FFFFFF"/>
        <w:tabs>
          <w:tab w:val="clear" w:pos="1134"/>
          <w:tab w:val="clear" w:pos="1701"/>
          <w:tab w:val="clear" w:pos="2268"/>
          <w:tab w:val="clear" w:pos="2835"/>
          <w:tab w:val="left" w:pos="993"/>
        </w:tabs>
        <w:ind w:left="567" w:firstLine="0"/>
      </w:pPr>
      <w:r w:rsidRPr="00812871">
        <w:t>Article</w:t>
      </w:r>
      <w:r w:rsidRPr="006C615F">
        <w:t xml:space="preserve"> 6 (b) of the Convention calls upon Parties, in accordance with their </w:t>
      </w:r>
      <w:proofErr w:type="gramStart"/>
      <w:r w:rsidRPr="006C615F">
        <w:t>particular conditions</w:t>
      </w:r>
      <w:proofErr w:type="gramEnd"/>
      <w:r w:rsidRPr="006C615F">
        <w:t xml:space="preserve"> and capabilities, to integrate, as far as possible and as appropriate, the conservation and sustainable use of biological diversity into relevant sectoral or cross-sectoral plans, programmes and policies. Such “</w:t>
      </w:r>
      <w:r w:rsidRPr="00812871">
        <w:t>biodiversity mainstreaming</w:t>
      </w:r>
      <w:r w:rsidRPr="006C615F">
        <w:t xml:space="preserve">” seeks to ensure that the multiple biodiversity values are duly </w:t>
      </w:r>
      <w:proofErr w:type="gramStart"/>
      <w:r w:rsidRPr="006C615F">
        <w:t>taken into account</w:t>
      </w:r>
      <w:proofErr w:type="gramEnd"/>
      <w:r w:rsidRPr="006C615F">
        <w:t xml:space="preserve"> in decision- and </w:t>
      </w:r>
      <w:proofErr w:type="gramStart"/>
      <w:r w:rsidRPr="006C615F">
        <w:t>policy-making</w:t>
      </w:r>
      <w:proofErr w:type="gramEnd"/>
      <w:r w:rsidRPr="006C615F">
        <w:t xml:space="preserve"> of private and public actors, across governments, economic sectors and society more broadly. As many (if not most) activities that rely on biodiversity or have an impact on biodiversity are outside of the remit of biodiversity policies, implementing this target is critical for implementing the objectives of the Convention. Nevertheless, the multiple values of biodiversity are not widely reflected in decision-making. Integrating and reflecting the contribution of biodiversity and the ecosystem services it provides in relevant strategies, policies, programmes, and reporting systems is an important element in ensuring that the diverse values of biodiversity and the opportunities derived from its conservation and sustainable use are recognized and reflected in decision-making.</w:t>
      </w:r>
    </w:p>
    <w:p w14:paraId="5F04FE62" w14:textId="301ADA9A" w:rsidR="006C615F" w:rsidRPr="00561EB1" w:rsidRDefault="006C615F" w:rsidP="00812871">
      <w:pPr>
        <w:pStyle w:val="CBDNormalNumber"/>
        <w:numPr>
          <w:ilvl w:val="0"/>
          <w:numId w:val="383"/>
        </w:numPr>
        <w:shd w:val="clear" w:color="auto" w:fill="FFFFFF"/>
        <w:tabs>
          <w:tab w:val="clear" w:pos="1134"/>
          <w:tab w:val="clear" w:pos="1701"/>
          <w:tab w:val="clear" w:pos="2268"/>
          <w:tab w:val="clear" w:pos="2835"/>
          <w:tab w:val="left" w:pos="993"/>
        </w:tabs>
        <w:ind w:left="567" w:firstLine="0"/>
      </w:pPr>
      <w:r w:rsidRPr="00561EB1">
        <w:t>The aim of this target is to ensure that the values of biodiversity are fully reflected or mainstreamed in all relevant decision-making frameworks so that it is given proper attention in decision-making, leading to alignment of all activities, and of all financial flows, with the goals and targets of the framework. As such, this indicator tracks progress towards the full integration of biodiversity and its multiple values into policy, regulation, planning and strategy in both the public and private sectors. Specifically, it asks processes currently account for the multiple values of biodiversity in their design and implementation.</w:t>
      </w:r>
    </w:p>
    <w:p w14:paraId="5D9FD2E3" w14:textId="77777777" w:rsidR="006C615F" w:rsidRPr="0049615A" w:rsidRDefault="006C615F"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Definitions Concepts and Classifications</w:t>
      </w:r>
    </w:p>
    <w:p w14:paraId="78D0D3AA" w14:textId="77777777" w:rsidR="00561EB1" w:rsidRDefault="00561EB1" w:rsidP="006C615F">
      <w:pPr>
        <w:rPr>
          <w:b/>
          <w:bCs/>
        </w:rPr>
      </w:pPr>
    </w:p>
    <w:p w14:paraId="1F6AE092" w14:textId="77777777" w:rsidR="006C615F" w:rsidRPr="00812871" w:rsidRDefault="006C615F" w:rsidP="00812871">
      <w:pPr>
        <w:pStyle w:val="CBDNormalNumber"/>
        <w:numPr>
          <w:ilvl w:val="0"/>
          <w:numId w:val="383"/>
        </w:numPr>
        <w:shd w:val="clear" w:color="auto" w:fill="FFFFFF"/>
        <w:tabs>
          <w:tab w:val="clear" w:pos="1134"/>
          <w:tab w:val="clear" w:pos="1701"/>
          <w:tab w:val="clear" w:pos="2268"/>
          <w:tab w:val="clear" w:pos="2835"/>
          <w:tab w:val="left" w:pos="993"/>
        </w:tabs>
        <w:ind w:left="567" w:firstLine="0"/>
      </w:pPr>
      <w:r w:rsidRPr="00355679">
        <w:t>Multiple values of biodiversity: Biodiversity values include diverse considerations from ecological, genetic, economic, cultural, social, scientific, educational, recreational, aesthetic and intrinsic perspectives. Valuation and values of biodiversity require the recognition of a wide range of worldviews and plural value dimensions of the meaning and importance of nature associated with the quality of human life seen as interdependent in terms of biophysical, sociocultural, economic, health or holistic perspectives.</w:t>
      </w:r>
    </w:p>
    <w:p w14:paraId="5FE360B1" w14:textId="77777777" w:rsidR="00355679" w:rsidRDefault="006C615F" w:rsidP="00355679">
      <w:pPr>
        <w:pStyle w:val="CBDNormalNumber"/>
        <w:numPr>
          <w:ilvl w:val="0"/>
          <w:numId w:val="383"/>
        </w:numPr>
        <w:shd w:val="clear" w:color="auto" w:fill="FFFFFF"/>
        <w:tabs>
          <w:tab w:val="clear" w:pos="1134"/>
          <w:tab w:val="clear" w:pos="1701"/>
          <w:tab w:val="clear" w:pos="2268"/>
          <w:tab w:val="clear" w:pos="2835"/>
          <w:tab w:val="left" w:pos="993"/>
        </w:tabs>
        <w:ind w:left="567" w:firstLine="0"/>
      </w:pPr>
      <w:r w:rsidRPr="006C615F">
        <w:lastRenderedPageBreak/>
        <w:t>Mainstreaming: Biodiversity mainstreaming is generally understood as ensuring that biodiversity, and the services it provides, are appropriately and adequately factored into policies, strategies, plans and practices that rely and have an impact on biodiversity, so that it is conserved and sustainably used. A final definition may be proposed during COP16 as part of the Long-term Strategic Approach to Mainstreaming Biodiversity (see CBD/COP/DEC/15/6).</w:t>
      </w:r>
    </w:p>
    <w:p w14:paraId="419CC607" w14:textId="77777777" w:rsidR="00355679" w:rsidRPr="00812871" w:rsidRDefault="006C615F" w:rsidP="00355679">
      <w:pPr>
        <w:pStyle w:val="CBDNormalNumber"/>
        <w:numPr>
          <w:ilvl w:val="0"/>
          <w:numId w:val="383"/>
        </w:numPr>
        <w:shd w:val="clear" w:color="auto" w:fill="FFFFFF"/>
        <w:tabs>
          <w:tab w:val="clear" w:pos="1134"/>
          <w:tab w:val="clear" w:pos="1701"/>
          <w:tab w:val="clear" w:pos="2268"/>
          <w:tab w:val="clear" w:pos="2835"/>
          <w:tab w:val="left" w:pos="993"/>
        </w:tabs>
        <w:ind w:left="567" w:firstLine="0"/>
      </w:pPr>
      <w:r w:rsidRPr="00355679">
        <w:t xml:space="preserve">Environmental impact assessment: </w:t>
      </w:r>
      <w:r w:rsidRPr="00812871">
        <w:rPr>
          <w:lang w:val="en-US"/>
        </w:rPr>
        <w:t xml:space="preserve">Environmental impact assessment is a process of evaluating the likely environmental impacts of a proposed project or development, </w:t>
      </w:r>
      <w:proofErr w:type="gramStart"/>
      <w:r w:rsidRPr="00812871">
        <w:rPr>
          <w:lang w:val="en-US"/>
        </w:rPr>
        <w:t>taking into account</w:t>
      </w:r>
      <w:proofErr w:type="gramEnd"/>
      <w:r w:rsidRPr="00812871">
        <w:rPr>
          <w:lang w:val="en-US"/>
        </w:rPr>
        <w:t xml:space="preserve"> interrelated socioeconomic, cultural and human-health impacts, both beneficial and adverse.</w:t>
      </w:r>
    </w:p>
    <w:p w14:paraId="33FA1F2F" w14:textId="77777777" w:rsidR="00355679" w:rsidRPr="00812871" w:rsidRDefault="006C615F" w:rsidP="00355679">
      <w:pPr>
        <w:pStyle w:val="CBDNormalNumber"/>
        <w:numPr>
          <w:ilvl w:val="0"/>
          <w:numId w:val="383"/>
        </w:numPr>
        <w:shd w:val="clear" w:color="auto" w:fill="FFFFFF"/>
        <w:tabs>
          <w:tab w:val="clear" w:pos="1134"/>
          <w:tab w:val="clear" w:pos="1701"/>
          <w:tab w:val="clear" w:pos="2268"/>
          <w:tab w:val="clear" w:pos="2835"/>
          <w:tab w:val="left" w:pos="993"/>
        </w:tabs>
        <w:ind w:left="567" w:firstLine="0"/>
      </w:pPr>
      <w:r w:rsidRPr="00812871">
        <w:rPr>
          <w:lang w:val="en-US"/>
        </w:rPr>
        <w:t xml:space="preserve">Environmental economic accounting: A set of national statistical accounts that organize and present statistics on the environment and its relationship with the economy, for example the </w:t>
      </w:r>
      <w:hyperlink r:id="rId431" w:history="1">
        <w:r w:rsidRPr="00355679">
          <w:rPr>
            <w:rStyle w:val="Hyperlink"/>
            <w:lang w:val="en-US"/>
          </w:rPr>
          <w:t>UN SEEA</w:t>
        </w:r>
      </w:hyperlink>
      <w:r w:rsidRPr="00812871">
        <w:rPr>
          <w:lang w:val="en-US"/>
        </w:rPr>
        <w:t>.</w:t>
      </w:r>
    </w:p>
    <w:p w14:paraId="5C27095C" w14:textId="77777777" w:rsidR="00355679" w:rsidRPr="00812871" w:rsidRDefault="006C615F" w:rsidP="00355679">
      <w:pPr>
        <w:pStyle w:val="CBDNormalNumber"/>
        <w:numPr>
          <w:ilvl w:val="0"/>
          <w:numId w:val="383"/>
        </w:numPr>
        <w:shd w:val="clear" w:color="auto" w:fill="FFFFFF"/>
        <w:tabs>
          <w:tab w:val="clear" w:pos="1134"/>
          <w:tab w:val="clear" w:pos="1701"/>
          <w:tab w:val="clear" w:pos="2268"/>
          <w:tab w:val="clear" w:pos="2835"/>
          <w:tab w:val="left" w:pos="993"/>
        </w:tabs>
        <w:ind w:left="567" w:firstLine="0"/>
      </w:pPr>
      <w:r w:rsidRPr="00812871">
        <w:rPr>
          <w:lang w:val="en-US"/>
        </w:rPr>
        <w:t>Poverty eradication strategies: Governmental plans designed, and actions taken in line with the United Nations SDG Goal 1 of “</w:t>
      </w:r>
      <w:r w:rsidRPr="00812871">
        <w:rPr>
          <w:i/>
          <w:iCs/>
          <w:lang w:val="en-US"/>
        </w:rPr>
        <w:t>ending poverty in all its forms everywhere</w:t>
      </w:r>
      <w:r w:rsidRPr="00812871">
        <w:rPr>
          <w:lang w:val="en-US"/>
        </w:rPr>
        <w:t>”.</w:t>
      </w:r>
    </w:p>
    <w:p w14:paraId="6C279B83" w14:textId="77777777" w:rsidR="00355679" w:rsidRPr="00812871" w:rsidRDefault="006C615F" w:rsidP="00355679">
      <w:pPr>
        <w:pStyle w:val="CBDNormalNumber"/>
        <w:numPr>
          <w:ilvl w:val="0"/>
          <w:numId w:val="383"/>
        </w:numPr>
        <w:shd w:val="clear" w:color="auto" w:fill="FFFFFF"/>
        <w:tabs>
          <w:tab w:val="clear" w:pos="1134"/>
          <w:tab w:val="clear" w:pos="1701"/>
          <w:tab w:val="clear" w:pos="2268"/>
          <w:tab w:val="clear" w:pos="2835"/>
          <w:tab w:val="left" w:pos="993"/>
        </w:tabs>
        <w:ind w:left="567" w:firstLine="0"/>
      </w:pPr>
      <w:r w:rsidRPr="00812871">
        <w:rPr>
          <w:lang w:val="en-US"/>
        </w:rPr>
        <w:t>Non-monetary values: The value attributable to an item or a service without relation to any acceptable cash price and for which a fixed or determinable amount of currency is absent (e.g. many ecosystem services, interpersonal good-will, health, etc.).</w:t>
      </w:r>
    </w:p>
    <w:p w14:paraId="548DDD31" w14:textId="2598A611" w:rsidR="006C615F" w:rsidRPr="00355679" w:rsidRDefault="006C615F" w:rsidP="00812871">
      <w:pPr>
        <w:pStyle w:val="CBDNormalNumber"/>
        <w:numPr>
          <w:ilvl w:val="0"/>
          <w:numId w:val="383"/>
        </w:numPr>
        <w:shd w:val="clear" w:color="auto" w:fill="FFFFFF"/>
        <w:tabs>
          <w:tab w:val="clear" w:pos="1134"/>
          <w:tab w:val="clear" w:pos="1701"/>
          <w:tab w:val="clear" w:pos="2268"/>
          <w:tab w:val="clear" w:pos="2835"/>
          <w:tab w:val="left" w:pos="993"/>
        </w:tabs>
        <w:ind w:left="567" w:firstLine="0"/>
      </w:pPr>
      <w:r w:rsidRPr="00812871">
        <w:rPr>
          <w:lang w:val="en-US"/>
        </w:rPr>
        <w:t>Fiscal and financial flows: Financial flows consist of transactions and other flows and represent the movement of money in and out of accounts. Fiscal flows refer to transactions in and out of national treasury accounts.</w:t>
      </w:r>
    </w:p>
    <w:p w14:paraId="616B74B8" w14:textId="77777777" w:rsidR="006C615F" w:rsidRPr="0049615A" w:rsidRDefault="006C615F" w:rsidP="0049615A">
      <w:pPr>
        <w:pStyle w:val="paragraph"/>
        <w:pBdr>
          <w:bottom w:val="single" w:sz="4" w:space="1" w:color="000000"/>
        </w:pBdr>
        <w:spacing w:before="120" w:beforeAutospacing="0" w:after="0" w:afterAutospacing="0"/>
        <w:textAlignment w:val="baseline"/>
        <w:rPr>
          <w:rStyle w:val="normaltextrun"/>
          <w:rFonts w:eastAsiaTheme="majorEastAsia"/>
          <w:b/>
          <w:bCs/>
          <w:lang w:val="en-GB"/>
        </w:rPr>
      </w:pPr>
      <w:r w:rsidRPr="0049615A">
        <w:rPr>
          <w:rStyle w:val="normaltextrun"/>
          <w:rFonts w:eastAsiaTheme="majorEastAsia"/>
          <w:b/>
          <w:bCs/>
          <w:lang w:val="en-GB"/>
        </w:rPr>
        <w:t>Method of Computation</w:t>
      </w:r>
    </w:p>
    <w:p w14:paraId="71F34F0F" w14:textId="77777777" w:rsidR="00900468" w:rsidRDefault="006C615F" w:rsidP="00900468">
      <w:pPr>
        <w:pStyle w:val="CBDNormalNumber"/>
        <w:numPr>
          <w:ilvl w:val="0"/>
          <w:numId w:val="383"/>
        </w:numPr>
        <w:shd w:val="clear" w:color="auto" w:fill="FFFFFF"/>
        <w:tabs>
          <w:tab w:val="clear" w:pos="1134"/>
          <w:tab w:val="clear" w:pos="1701"/>
          <w:tab w:val="clear" w:pos="2268"/>
          <w:tab w:val="clear" w:pos="2835"/>
          <w:tab w:val="left" w:pos="993"/>
        </w:tabs>
        <w:ind w:left="567" w:firstLine="0"/>
        <w:rPr>
          <w:lang w:val="en-US"/>
        </w:rPr>
      </w:pPr>
      <w:r w:rsidRPr="006C615F">
        <w:rPr>
          <w:lang w:val="en-US"/>
        </w:rPr>
        <w:t>This</w:t>
      </w:r>
      <w:r w:rsidRPr="00812871">
        <w:rPr>
          <w:lang w:val="en-US"/>
        </w:rPr>
        <w:t xml:space="preserve"> indicator is a binary indicator and must be compiled from the answers to five questions:</w:t>
      </w:r>
    </w:p>
    <w:p w14:paraId="17DE5130"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t>14.1 Does your country integrate biodiversity and its multiple values into policies, regulations, planning, development processes and poverty eradication strategies at all levels of government?</w:t>
      </w:r>
    </w:p>
    <w:p w14:paraId="35BEC17C"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t>14.2 Does your country use environmental economic accounting to quantify the monetary and non-monetary values of biodiversity?</w:t>
      </w:r>
    </w:p>
    <w:p w14:paraId="70E12978"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t xml:space="preserve">14.3 Does your country integrate biodiversity and its multiple values into policies, regulations, plans and strategies across all sectors </w:t>
      </w:r>
      <w:proofErr w:type="gramStart"/>
      <w:r w:rsidRPr="00900468">
        <w:t>in order to</w:t>
      </w:r>
      <w:proofErr w:type="gramEnd"/>
      <w:r w:rsidRPr="00900468">
        <w:t xml:space="preserve"> ensure their mainstreaming?</w:t>
      </w:r>
    </w:p>
    <w:p w14:paraId="6E0F861A"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t>14.4 Does your country have policies, regulations, plans or strategies in place to progressively align all relevant public and private activities with the goals and targets of the Framework?</w:t>
      </w:r>
    </w:p>
    <w:p w14:paraId="6FF2A509" w14:textId="384A5BC6"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t>14.5 Are policies, regulations, strategies or plans in place to progressively align fiscal and financial flows with the goals and targets of the Framework</w:t>
      </w:r>
      <w:r w:rsidR="00900468">
        <w:t>?</w:t>
      </w:r>
    </w:p>
    <w:p w14:paraId="5891FE74" w14:textId="68C1DAC5" w:rsidR="006C615F" w:rsidRPr="00812871" w:rsidRDefault="006C615F" w:rsidP="00812871">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812871">
        <w:rPr>
          <w:lang w:val="en-US"/>
        </w:rPr>
        <w:t>There are four possible answers to each of these questions</w:t>
      </w:r>
      <w:r w:rsidRPr="006C615F">
        <w:rPr>
          <w:vertAlign w:val="superscript"/>
        </w:rPr>
        <w:footnoteReference w:id="46"/>
      </w:r>
      <w:r w:rsidRPr="00812871">
        <w:rPr>
          <w:lang w:val="en-US"/>
        </w:rPr>
        <w:t>:</w:t>
      </w:r>
    </w:p>
    <w:p w14:paraId="73DB9037" w14:textId="77777777" w:rsidR="006C615F" w:rsidRPr="006C615F" w:rsidRDefault="006C615F" w:rsidP="00812871">
      <w:pPr>
        <w:numPr>
          <w:ilvl w:val="2"/>
          <w:numId w:val="381"/>
        </w:numPr>
        <w:rPr>
          <w:lang w:val="en-GB"/>
        </w:rPr>
      </w:pPr>
      <w:r w:rsidRPr="006C615F">
        <w:rPr>
          <w:lang w:val="en-GB"/>
        </w:rPr>
        <w:t>No</w:t>
      </w:r>
    </w:p>
    <w:p w14:paraId="49387349" w14:textId="77777777" w:rsidR="006C615F" w:rsidRPr="006C615F" w:rsidRDefault="006C615F" w:rsidP="00812871">
      <w:pPr>
        <w:numPr>
          <w:ilvl w:val="2"/>
          <w:numId w:val="381"/>
        </w:numPr>
        <w:rPr>
          <w:lang w:val="en-GB"/>
        </w:rPr>
      </w:pPr>
      <w:r w:rsidRPr="006C615F">
        <w:rPr>
          <w:lang w:val="en-GB"/>
        </w:rPr>
        <w:t>Under development</w:t>
      </w:r>
    </w:p>
    <w:p w14:paraId="15AB812D" w14:textId="77777777" w:rsidR="006C615F" w:rsidRPr="006C615F" w:rsidRDefault="006C615F" w:rsidP="00812871">
      <w:pPr>
        <w:numPr>
          <w:ilvl w:val="2"/>
          <w:numId w:val="381"/>
        </w:numPr>
        <w:rPr>
          <w:lang w:val="en-GB"/>
        </w:rPr>
      </w:pPr>
      <w:r w:rsidRPr="006C615F">
        <w:rPr>
          <w:lang w:val="en-GB"/>
        </w:rPr>
        <w:t>Partially</w:t>
      </w:r>
    </w:p>
    <w:p w14:paraId="6F876407" w14:textId="77777777" w:rsidR="006C615F" w:rsidRPr="006C615F" w:rsidRDefault="006C615F" w:rsidP="00812871">
      <w:pPr>
        <w:numPr>
          <w:ilvl w:val="2"/>
          <w:numId w:val="381"/>
        </w:numPr>
        <w:rPr>
          <w:lang w:val="en-GB"/>
        </w:rPr>
      </w:pPr>
      <w:r w:rsidRPr="006C615F">
        <w:rPr>
          <w:lang w:val="en-GB"/>
        </w:rPr>
        <w:t>Fully</w:t>
      </w:r>
    </w:p>
    <w:p w14:paraId="19EC3B84" w14:textId="77777777" w:rsidR="00900468" w:rsidRDefault="006C615F" w:rsidP="00900468">
      <w:pPr>
        <w:pStyle w:val="CBDNormalNumber"/>
        <w:numPr>
          <w:ilvl w:val="0"/>
          <w:numId w:val="383"/>
        </w:numPr>
        <w:shd w:val="clear" w:color="auto" w:fill="FFFFFF"/>
        <w:tabs>
          <w:tab w:val="clear" w:pos="1134"/>
          <w:tab w:val="clear" w:pos="1701"/>
          <w:tab w:val="clear" w:pos="2268"/>
          <w:tab w:val="clear" w:pos="2835"/>
          <w:tab w:val="left" w:pos="993"/>
        </w:tabs>
        <w:ind w:left="567" w:firstLine="0"/>
        <w:rPr>
          <w:lang w:val="en-US"/>
        </w:rPr>
      </w:pPr>
      <w:r w:rsidRPr="006C615F">
        <w:rPr>
          <w:lang w:val="en-US"/>
        </w:rPr>
        <w:t>A “</w:t>
      </w:r>
      <w:r w:rsidRPr="00900468">
        <w:rPr>
          <w:i/>
          <w:iCs/>
          <w:lang w:val="en-US"/>
        </w:rPr>
        <w:t>No</w:t>
      </w:r>
      <w:r w:rsidRPr="006C615F">
        <w:rPr>
          <w:lang w:val="en-US"/>
        </w:rPr>
        <w:t>” answer implies that:</w:t>
      </w:r>
    </w:p>
    <w:p w14:paraId="6728E49F"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t>biodiversity and its multiple values have not been integrated into any policies, regulations, planning, development processes and poverty eradication strategies at any levels of government (14.1)</w:t>
      </w:r>
    </w:p>
    <w:p w14:paraId="53BAC140"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lastRenderedPageBreak/>
        <w:t>environmental economic accounting is not being done (14.2)</w:t>
      </w:r>
    </w:p>
    <w:p w14:paraId="53A51204"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t xml:space="preserve">biodiversity and its multiple values have not been integrated into any policies, regulations, plans and strategies across any sectors </w:t>
      </w:r>
      <w:proofErr w:type="gramStart"/>
      <w:r w:rsidRPr="00900468">
        <w:t>in order to</w:t>
      </w:r>
      <w:proofErr w:type="gramEnd"/>
      <w:r w:rsidRPr="00900468">
        <w:t xml:space="preserve"> ensure their mainstreaming (14.3)</w:t>
      </w:r>
    </w:p>
    <w:p w14:paraId="56127CFF"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t>there are no policies, regulations, plans or strategies in place to progressively align all relevant private and public activities with the goals and targets of the Framework (14.4)</w:t>
      </w:r>
    </w:p>
    <w:p w14:paraId="2E456E15" w14:textId="60FC9CA6" w:rsidR="006C615F" w:rsidRPr="00812871" w:rsidRDefault="006C615F" w:rsidP="00812871">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900468">
        <w:t>there are no policies, regulations, plans or strategies in place to progressively align fiscal nor financial flows with the goals and targets of the Framework (14.5)</w:t>
      </w:r>
    </w:p>
    <w:p w14:paraId="120E3DB6" w14:textId="77777777" w:rsidR="00900468" w:rsidRDefault="006C615F" w:rsidP="00900468">
      <w:pPr>
        <w:pStyle w:val="CBDNormalNumber"/>
        <w:numPr>
          <w:ilvl w:val="0"/>
          <w:numId w:val="383"/>
        </w:numPr>
        <w:shd w:val="clear" w:color="auto" w:fill="FFFFFF"/>
        <w:tabs>
          <w:tab w:val="clear" w:pos="1134"/>
          <w:tab w:val="clear" w:pos="1701"/>
          <w:tab w:val="clear" w:pos="2268"/>
          <w:tab w:val="clear" w:pos="2835"/>
          <w:tab w:val="left" w:pos="993"/>
        </w:tabs>
        <w:ind w:left="567" w:firstLine="0"/>
        <w:rPr>
          <w:lang w:val="en-US"/>
        </w:rPr>
      </w:pPr>
      <w:r w:rsidRPr="00DE1A62">
        <w:rPr>
          <w:lang w:val="en-US"/>
        </w:rPr>
        <w:t>In all, no progress has been made to draft nor propose policies to further the integration of the multiple values of biodiversity and business-as-usual</w:t>
      </w:r>
      <w:r w:rsidRPr="006C615F">
        <w:rPr>
          <w:lang w:val="en-US"/>
        </w:rPr>
        <w:t xml:space="preserve"> continues to be the approach at all levels of government and across all sectors.</w:t>
      </w:r>
    </w:p>
    <w:p w14:paraId="12ED401E" w14:textId="77777777" w:rsidR="00900468" w:rsidRDefault="006C615F" w:rsidP="00900468">
      <w:pPr>
        <w:pStyle w:val="CBDNormalNumber"/>
        <w:numPr>
          <w:ilvl w:val="0"/>
          <w:numId w:val="383"/>
        </w:numPr>
        <w:shd w:val="clear" w:color="auto" w:fill="FFFFFF"/>
        <w:tabs>
          <w:tab w:val="clear" w:pos="1134"/>
          <w:tab w:val="clear" w:pos="1701"/>
          <w:tab w:val="clear" w:pos="2268"/>
          <w:tab w:val="clear" w:pos="2835"/>
          <w:tab w:val="left" w:pos="993"/>
        </w:tabs>
        <w:ind w:left="567" w:firstLine="0"/>
        <w:rPr>
          <w:lang w:val="en-US"/>
        </w:rPr>
      </w:pPr>
      <w:r w:rsidRPr="00812871">
        <w:rPr>
          <w:lang w:val="en-US"/>
        </w:rPr>
        <w:t>An “</w:t>
      </w:r>
      <w:r w:rsidRPr="00812871">
        <w:rPr>
          <w:i/>
          <w:iCs/>
          <w:lang w:val="en-US"/>
        </w:rPr>
        <w:t>Under development</w:t>
      </w:r>
      <w:r w:rsidRPr="00812871">
        <w:rPr>
          <w:lang w:val="en-US"/>
        </w:rPr>
        <w:t>” answer implies a concerted effort at the national level to:</w:t>
      </w:r>
    </w:p>
    <w:p w14:paraId="56821E63"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begin the process of integrating biodiversity and its multiple values have policies, regulations, planning, development processes and poverty eradication strategies at all levels of government (14.1) for example through the drafting of and proposal of bills.</w:t>
      </w:r>
    </w:p>
    <w:p w14:paraId="2BA06BE0"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the implementation of environmental economic accounting is in process, resources are being allocated (e.g. hiring of statisticians) to begin the first set of environmental economic accounts; non-monetary, monetary or both (14.2).</w:t>
      </w:r>
    </w:p>
    <w:p w14:paraId="32A19AF4"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 xml:space="preserve">begin the process of integrating biodiversity and its multiple values into policies, regulations, plans or strategies across all sectors </w:t>
      </w:r>
      <w:proofErr w:type="gramStart"/>
      <w:r w:rsidRPr="00DE1A62">
        <w:t>in order to</w:t>
      </w:r>
      <w:proofErr w:type="gramEnd"/>
      <w:r w:rsidRPr="00DE1A62">
        <w:t xml:space="preserve"> ensure their mainstreaming (14.3). Progress is being made towards designing and putting forward official national policy.</w:t>
      </w:r>
    </w:p>
    <w:p w14:paraId="5EBABF70" w14:textId="77777777" w:rsidR="00900468" w:rsidRPr="00812871" w:rsidRDefault="006C615F" w:rsidP="00900468">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put in place policies, regulations, plans or strategies to progressively align all relevant private and public activities with the goals and targets of the Framework, these are being drafted and proposed (14.4).</w:t>
      </w:r>
    </w:p>
    <w:p w14:paraId="54B41AC9" w14:textId="0325DDCD" w:rsidR="006C615F" w:rsidRPr="00812871" w:rsidRDefault="006C615F" w:rsidP="00812871">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put in place policies, regulations, plans or strategies to progressively align fiscal or financial flows with the goals and targets of the Framework, theses are being drafted and proposed (14.5).</w:t>
      </w:r>
    </w:p>
    <w:p w14:paraId="1E910D9D" w14:textId="77777777" w:rsidR="00DE1A62" w:rsidRDefault="006C615F" w:rsidP="00DE1A62">
      <w:pPr>
        <w:pStyle w:val="CBDNormalNumber"/>
        <w:numPr>
          <w:ilvl w:val="0"/>
          <w:numId w:val="383"/>
        </w:numPr>
        <w:shd w:val="clear" w:color="auto" w:fill="FFFFFF"/>
        <w:tabs>
          <w:tab w:val="clear" w:pos="1134"/>
          <w:tab w:val="clear" w:pos="1701"/>
          <w:tab w:val="clear" w:pos="2268"/>
          <w:tab w:val="clear" w:pos="2835"/>
          <w:tab w:val="left" w:pos="993"/>
        </w:tabs>
        <w:ind w:left="567" w:firstLine="0"/>
        <w:rPr>
          <w:lang w:val="en-US"/>
        </w:rPr>
      </w:pPr>
      <w:r w:rsidRPr="006C615F">
        <w:rPr>
          <w:lang w:val="en-US"/>
        </w:rPr>
        <w:t>In all cases, clear national efforts can be seen (e.g. draft bills, new regulation, ...) to progress towards the target but these are not yet in place and producing results.</w:t>
      </w:r>
    </w:p>
    <w:p w14:paraId="0AB1EF04" w14:textId="77777777" w:rsidR="00DE1A62" w:rsidRDefault="006C615F" w:rsidP="00DE1A62">
      <w:pPr>
        <w:pStyle w:val="CBDNormalNumber"/>
        <w:numPr>
          <w:ilvl w:val="0"/>
          <w:numId w:val="383"/>
        </w:numPr>
        <w:shd w:val="clear" w:color="auto" w:fill="FFFFFF"/>
        <w:tabs>
          <w:tab w:val="clear" w:pos="1134"/>
          <w:tab w:val="clear" w:pos="1701"/>
          <w:tab w:val="clear" w:pos="2268"/>
          <w:tab w:val="clear" w:pos="2835"/>
          <w:tab w:val="left" w:pos="993"/>
        </w:tabs>
        <w:ind w:left="567" w:firstLine="0"/>
        <w:rPr>
          <w:lang w:val="en-US"/>
        </w:rPr>
      </w:pPr>
      <w:r w:rsidRPr="00812871">
        <w:rPr>
          <w:lang w:val="en-US"/>
        </w:rPr>
        <w:t>A “</w:t>
      </w:r>
      <w:r w:rsidRPr="00812871">
        <w:rPr>
          <w:i/>
          <w:iCs/>
          <w:lang w:val="en-US"/>
        </w:rPr>
        <w:t>Partially</w:t>
      </w:r>
      <w:r w:rsidRPr="00812871">
        <w:rPr>
          <w:lang w:val="en-US"/>
        </w:rPr>
        <w:t>” answer implies that:</w:t>
      </w:r>
    </w:p>
    <w:p w14:paraId="1A17B9B7" w14:textId="77777777" w:rsidR="00DE1A62" w:rsidRPr="00812871" w:rsidRDefault="006C615F" w:rsidP="00DE1A62">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there exist national policies to integrate biodiversity and its multiple values into regulations, planning, development processes and poverty eradication strategies at all levels of government but not all four (14.1). Alternatively, all four are present but not at all levels of government.</w:t>
      </w:r>
    </w:p>
    <w:p w14:paraId="5707D830" w14:textId="77777777" w:rsidR="00DE1A62" w:rsidRPr="00812871" w:rsidRDefault="006C615F" w:rsidP="00DE1A62">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environmental economic accounting is being done but only for monetary or non-monetary accounts, not both, and may only be happening on an irregular ad hoc basis (14.2).</w:t>
      </w:r>
    </w:p>
    <w:p w14:paraId="7529CF4F" w14:textId="77777777" w:rsidR="00DE1A62" w:rsidRPr="00812871" w:rsidRDefault="006C615F" w:rsidP="00DE1A62">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 xml:space="preserve">biodiversity and its multiple values are integrated into policies, regulations, plans or strategies across some sectors </w:t>
      </w:r>
      <w:proofErr w:type="gramStart"/>
      <w:r w:rsidRPr="00DE1A62">
        <w:t>in order to</w:t>
      </w:r>
      <w:proofErr w:type="gramEnd"/>
      <w:r w:rsidRPr="00DE1A62">
        <w:t xml:space="preserve"> ensure their mainstreaming (14.3). That is, there remain sectors for which biodiversity mainstreaming is not supported by policy. Here, Parties may choose to optionally provide a list of sectors, in free text, for which policies are in place.</w:t>
      </w:r>
    </w:p>
    <w:p w14:paraId="010436F0" w14:textId="77777777" w:rsidR="00DE1A62" w:rsidRPr="00812871" w:rsidRDefault="006C615F" w:rsidP="00DE1A62">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lastRenderedPageBreak/>
        <w:t>policies, regulations, plans or strategies are in place to progressively align some relevant private and public activities with some of the goals and targets of the Framework (14.4).</w:t>
      </w:r>
    </w:p>
    <w:p w14:paraId="17570373" w14:textId="7793ED51" w:rsidR="006C615F" w:rsidRPr="00812871" w:rsidRDefault="006C615F" w:rsidP="00812871">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policies, regulations, plans or strategies are in place to progressively align fiscal or financial flows with some of the goals and targets of the Framework (14.5).</w:t>
      </w:r>
    </w:p>
    <w:p w14:paraId="40EF070E" w14:textId="77777777" w:rsidR="00DE1A62" w:rsidRDefault="006C615F" w:rsidP="00DE1A62">
      <w:pPr>
        <w:pStyle w:val="CBDNormalNumber"/>
        <w:numPr>
          <w:ilvl w:val="0"/>
          <w:numId w:val="383"/>
        </w:numPr>
        <w:shd w:val="clear" w:color="auto" w:fill="FFFFFF"/>
        <w:tabs>
          <w:tab w:val="clear" w:pos="1134"/>
          <w:tab w:val="clear" w:pos="1701"/>
          <w:tab w:val="clear" w:pos="2268"/>
          <w:tab w:val="clear" w:pos="2835"/>
          <w:tab w:val="left" w:pos="993"/>
        </w:tabs>
        <w:ind w:left="567" w:firstLine="0"/>
        <w:rPr>
          <w:lang w:val="en-US"/>
        </w:rPr>
      </w:pPr>
      <w:r w:rsidRPr="006C615F">
        <w:rPr>
          <w:lang w:val="en-US"/>
        </w:rPr>
        <w:t>In each case outlined above, some elements implied by the question have not been achieved.</w:t>
      </w:r>
    </w:p>
    <w:p w14:paraId="47DCE219" w14:textId="77777777" w:rsidR="00DE1A62" w:rsidRDefault="006C615F" w:rsidP="00DE1A62">
      <w:pPr>
        <w:pStyle w:val="CBDNormalNumber"/>
        <w:numPr>
          <w:ilvl w:val="0"/>
          <w:numId w:val="383"/>
        </w:numPr>
        <w:shd w:val="clear" w:color="auto" w:fill="FFFFFF"/>
        <w:tabs>
          <w:tab w:val="clear" w:pos="1134"/>
          <w:tab w:val="clear" w:pos="1701"/>
          <w:tab w:val="clear" w:pos="2268"/>
          <w:tab w:val="clear" w:pos="2835"/>
          <w:tab w:val="left" w:pos="993"/>
        </w:tabs>
        <w:ind w:left="567" w:firstLine="0"/>
        <w:rPr>
          <w:lang w:val="en-US"/>
        </w:rPr>
      </w:pPr>
      <w:r w:rsidRPr="00812871">
        <w:rPr>
          <w:lang w:val="en-US"/>
        </w:rPr>
        <w:t>A “</w:t>
      </w:r>
      <w:r w:rsidRPr="00812871">
        <w:rPr>
          <w:i/>
          <w:iCs/>
          <w:lang w:val="en-US"/>
        </w:rPr>
        <w:t>Fully</w:t>
      </w:r>
      <w:r w:rsidRPr="00812871">
        <w:rPr>
          <w:lang w:val="en-US"/>
        </w:rPr>
        <w:t>” answer implies that all the conditions outlined in “</w:t>
      </w:r>
      <w:r w:rsidRPr="00812871">
        <w:rPr>
          <w:i/>
          <w:iCs/>
          <w:lang w:val="en-US"/>
        </w:rPr>
        <w:t>Partially</w:t>
      </w:r>
      <w:r w:rsidRPr="00812871">
        <w:rPr>
          <w:lang w:val="en-US"/>
        </w:rPr>
        <w:t>” have been met. Namely that:</w:t>
      </w:r>
    </w:p>
    <w:p w14:paraId="1594F9C1" w14:textId="77777777" w:rsidR="00DE1A62" w:rsidRPr="00812871" w:rsidRDefault="006C615F" w:rsidP="00DE1A62">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 xml:space="preserve">national policies are in place to integrate biodiversity and its multiple </w:t>
      </w:r>
      <w:proofErr w:type="gramStart"/>
      <w:r w:rsidRPr="00DE1A62">
        <w:t>values  into</w:t>
      </w:r>
      <w:proofErr w:type="gramEnd"/>
      <w:r w:rsidRPr="00DE1A62">
        <w:t xml:space="preserve"> </w:t>
      </w:r>
      <w:bookmarkStart w:id="60" w:name="_Int_sck7KICH"/>
      <w:proofErr w:type="gramStart"/>
      <w:r w:rsidRPr="00DE1A62">
        <w:t>all of</w:t>
      </w:r>
      <w:bookmarkEnd w:id="60"/>
      <w:proofErr w:type="gramEnd"/>
      <w:r w:rsidRPr="00DE1A62">
        <w:t xml:space="preserve"> the following: regulations, planning, development processes and poverty eradication strategies (14.1).</w:t>
      </w:r>
    </w:p>
    <w:p w14:paraId="3DB14E39" w14:textId="77777777" w:rsidR="00DE1A62" w:rsidRPr="00812871" w:rsidRDefault="006C615F" w:rsidP="00DE1A62">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environmental economic accounting is being done regularly for both monetary and non-monetary accounts (14.2).</w:t>
      </w:r>
    </w:p>
    <w:p w14:paraId="66C6D5E3" w14:textId="77777777" w:rsidR="00DE1A62" w:rsidRPr="00812871" w:rsidRDefault="006C615F" w:rsidP="00DE1A62">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 xml:space="preserve">biodiversity and its multiple values are integrated into policies, regulations, plans or strategies across all sectors </w:t>
      </w:r>
      <w:proofErr w:type="gramStart"/>
      <w:r w:rsidRPr="00DE1A62">
        <w:t>in order to</w:t>
      </w:r>
      <w:proofErr w:type="gramEnd"/>
      <w:r w:rsidRPr="00DE1A62">
        <w:t xml:space="preserve"> ensure their mainstreaming (14.3).</w:t>
      </w:r>
    </w:p>
    <w:p w14:paraId="43BC0E7E" w14:textId="77777777" w:rsidR="00DE1A62" w:rsidRPr="00812871" w:rsidRDefault="006C615F" w:rsidP="00DE1A62">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 xml:space="preserve">policies, regulations, plans or strategies are in place to progressively align all relevant private and public activities with </w:t>
      </w:r>
      <w:proofErr w:type="gramStart"/>
      <w:r w:rsidRPr="00DE1A62">
        <w:t>all of</w:t>
      </w:r>
      <w:proofErr w:type="gramEnd"/>
      <w:r w:rsidRPr="00DE1A62">
        <w:t xml:space="preserve"> the goals and targets of the Framework (14.4).</w:t>
      </w:r>
    </w:p>
    <w:p w14:paraId="7FE1777A" w14:textId="247F53BC" w:rsidR="006C615F" w:rsidRPr="00812871" w:rsidRDefault="006C615F" w:rsidP="00812871">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DE1A62">
        <w:t xml:space="preserve">policies, regulations, plans or strategies are in place to progressively align fiscal and financial flows with </w:t>
      </w:r>
      <w:proofErr w:type="gramStart"/>
      <w:r w:rsidRPr="00DE1A62">
        <w:t>all of</w:t>
      </w:r>
      <w:proofErr w:type="gramEnd"/>
      <w:r w:rsidRPr="00DE1A62">
        <w:t xml:space="preserve"> the goals and targets of the Framework (14.5).</w:t>
      </w:r>
    </w:p>
    <w:p w14:paraId="50056A50" w14:textId="1A846C02" w:rsidR="0024553F" w:rsidRPr="003336E3" w:rsidRDefault="0024553F" w:rsidP="00F57520">
      <w:pPr>
        <w:pStyle w:val="CBDNormalNumber"/>
        <w:numPr>
          <w:ilvl w:val="0"/>
          <w:numId w:val="383"/>
        </w:numPr>
        <w:shd w:val="clear" w:color="auto" w:fill="FFFFFF"/>
        <w:tabs>
          <w:tab w:val="clear" w:pos="1134"/>
          <w:tab w:val="clear" w:pos="1701"/>
          <w:tab w:val="clear" w:pos="2268"/>
          <w:tab w:val="clear" w:pos="2835"/>
          <w:tab w:val="left" w:pos="993"/>
        </w:tabs>
        <w:ind w:left="567" w:firstLine="0"/>
        <w:rPr>
          <w:lang w:val="en-US"/>
        </w:rPr>
      </w:pPr>
      <w:r>
        <w:rPr>
          <w:lang w:val="en-US"/>
        </w:rPr>
        <w:t xml:space="preserve">For question 14.3, if a </w:t>
      </w:r>
      <w:r w:rsidR="00081366">
        <w:rPr>
          <w:lang w:val="en-US"/>
        </w:rPr>
        <w:t>Party responds “partially” or “fully”, they may optionally identify</w:t>
      </w:r>
      <w:r w:rsidRPr="00812871">
        <w:rPr>
          <w:lang w:val="en-US"/>
        </w:rPr>
        <w:t xml:space="preserve"> </w:t>
      </w:r>
      <w:r w:rsidR="00F57520">
        <w:rPr>
          <w:lang w:val="en-US"/>
        </w:rPr>
        <w:t xml:space="preserve">the sectors where </w:t>
      </w:r>
      <w:r w:rsidR="00F57520" w:rsidRPr="00F57520">
        <w:rPr>
          <w:lang w:val="en-CA"/>
        </w:rPr>
        <w:t xml:space="preserve">biodiversity and its multiple values </w:t>
      </w:r>
      <w:r w:rsidR="00F57520">
        <w:rPr>
          <w:lang w:val="en-CA"/>
        </w:rPr>
        <w:t xml:space="preserve">have been integrated </w:t>
      </w:r>
      <w:r w:rsidR="00F57520" w:rsidRPr="00F57520">
        <w:rPr>
          <w:lang w:val="en-CA"/>
        </w:rPr>
        <w:t>into policies, regulations, plans and strategies across</w:t>
      </w:r>
      <w:r w:rsidR="003336E3">
        <w:rPr>
          <w:lang w:val="en-CA"/>
        </w:rPr>
        <w:t xml:space="preserve"> by selecting from the following list:</w:t>
      </w:r>
    </w:p>
    <w:p w14:paraId="3ACD3CA9"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 xml:space="preserve">Agriculture </w:t>
      </w:r>
    </w:p>
    <w:p w14:paraId="6A742B80"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Fisheries</w:t>
      </w:r>
    </w:p>
    <w:p w14:paraId="640C2E17"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Forestry</w:t>
      </w:r>
    </w:p>
    <w:p w14:paraId="4B3F0624"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Aquaculture</w:t>
      </w:r>
    </w:p>
    <w:p w14:paraId="567C811A"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Finance</w:t>
      </w:r>
    </w:p>
    <w:p w14:paraId="1CD90423"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Tourism</w:t>
      </w:r>
    </w:p>
    <w:p w14:paraId="7D8B033B"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Health</w:t>
      </w:r>
    </w:p>
    <w:p w14:paraId="7B81E5A8"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Infrastructure</w:t>
      </w:r>
    </w:p>
    <w:p w14:paraId="76025B36"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Energy</w:t>
      </w:r>
    </w:p>
    <w:p w14:paraId="2185EE1D" w14:textId="77777777" w:rsidR="003336E3" w:rsidRP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Mining</w:t>
      </w:r>
      <w:r w:rsidRPr="003336E3">
        <w:rPr>
          <w:rFonts w:eastAsia="Times New Roman"/>
          <w:sz w:val="24"/>
          <w:szCs w:val="24"/>
          <w:lang w:val="en-CA"/>
        </w:rPr>
        <w:t xml:space="preserve"> </w:t>
      </w:r>
      <w:r w:rsidRPr="003336E3">
        <w:rPr>
          <w:lang w:val="en-CA"/>
        </w:rPr>
        <w:t>Manufacturing and processing</w:t>
      </w:r>
    </w:p>
    <w:p w14:paraId="53A30870" w14:textId="310ED81F" w:rsidR="003336E3" w:rsidRDefault="003336E3" w:rsidP="003336E3">
      <w:pPr>
        <w:pStyle w:val="CBDNormalNumber"/>
        <w:numPr>
          <w:ilvl w:val="1"/>
          <w:numId w:val="383"/>
        </w:numPr>
        <w:shd w:val="clear" w:color="auto" w:fill="FFFFFF"/>
        <w:tabs>
          <w:tab w:val="clear" w:pos="1134"/>
          <w:tab w:val="clear" w:pos="1701"/>
          <w:tab w:val="clear" w:pos="2268"/>
          <w:tab w:val="clear" w:pos="2835"/>
          <w:tab w:val="left" w:pos="993"/>
        </w:tabs>
        <w:rPr>
          <w:lang w:val="en-US"/>
        </w:rPr>
      </w:pPr>
      <w:r w:rsidRPr="003336E3">
        <w:rPr>
          <w:lang w:val="en-CA"/>
        </w:rPr>
        <w:t>Other</w:t>
      </w:r>
    </w:p>
    <w:p w14:paraId="5E323195" w14:textId="6B6652F0" w:rsidR="000244FB" w:rsidRDefault="000244FB">
      <w:pPr>
        <w:rPr>
          <w:rStyle w:val="normaltextrun"/>
          <w:rFonts w:asciiTheme="majorBidi" w:eastAsiaTheme="majorEastAsia" w:hAnsiTheme="majorBidi" w:cstheme="majorBidi"/>
          <w:b/>
          <w:sz w:val="28"/>
          <w:szCs w:val="28"/>
        </w:rPr>
      </w:pPr>
      <w:r>
        <w:rPr>
          <w:rStyle w:val="normaltextrun"/>
        </w:rPr>
        <w:br w:type="page"/>
      </w:r>
    </w:p>
    <w:p w14:paraId="5B675204" w14:textId="10503CA9" w:rsidR="00756F0F" w:rsidRPr="00ED7E61" w:rsidRDefault="000E296B" w:rsidP="003B0E8A">
      <w:pPr>
        <w:pStyle w:val="Heading3"/>
        <w:rPr>
          <w:rStyle w:val="Heading3Char"/>
          <w:b/>
        </w:rPr>
      </w:pPr>
      <w:bookmarkStart w:id="61" w:name="_Toc233278583"/>
      <w:r w:rsidRPr="00ED7E61">
        <w:rPr>
          <w:rStyle w:val="normaltextrun"/>
        </w:rPr>
        <w:lastRenderedPageBreak/>
        <w:t>15.1 Number of companies disclosing their biodiversity-related risks, dependencies, and impacts</w:t>
      </w:r>
      <w:bookmarkEnd w:id="61"/>
      <w:r w:rsidRPr="00ED7E61">
        <w:rPr>
          <w:rStyle w:val="normaltextrun"/>
        </w:rPr>
        <w:t xml:space="preserve">  </w:t>
      </w:r>
      <w:r w:rsidR="00756F0F" w:rsidRPr="00ED7E61">
        <w:rPr>
          <w:rStyle w:val="normaltextrun"/>
        </w:rPr>
        <w:t xml:space="preserve"> </w:t>
      </w:r>
    </w:p>
    <w:p w14:paraId="25C25306"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2AF7D26A"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b/>
          <w:bCs/>
          <w:sz w:val="22"/>
          <w:szCs w:val="22"/>
        </w:rPr>
        <w:t> </w:t>
      </w:r>
    </w:p>
    <w:p w14:paraId="0050000F"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sz w:val="22"/>
          <w:szCs w:val="22"/>
          <w:lang w:val="en-AU"/>
        </w:rPr>
        <w:t>15.1 Number of companies disclosing their biodiversity-related risks, dependencies, and impacts </w:t>
      </w:r>
      <w:r w:rsidRPr="00ED7E61">
        <w:rPr>
          <w:rStyle w:val="eop"/>
          <w:rFonts w:asciiTheme="majorBidi" w:eastAsiaTheme="majorEastAsia" w:hAnsiTheme="majorBidi" w:cstheme="majorBidi"/>
          <w:b/>
          <w:bCs/>
          <w:sz w:val="22"/>
          <w:szCs w:val="22"/>
        </w:rPr>
        <w:t> </w:t>
      </w:r>
    </w:p>
    <w:p w14:paraId="181EE0DF" w14:textId="77777777" w:rsidR="00756F0F" w:rsidRPr="00ED7E61" w:rsidRDefault="00756F0F" w:rsidP="004E0302">
      <w:pPr>
        <w:pStyle w:val="paragraph"/>
        <w:pBdr>
          <w:bottom w:val="single" w:sz="4" w:space="1" w:color="000000"/>
        </w:pBdr>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b/>
          <w:bCs/>
          <w:sz w:val="22"/>
          <w:szCs w:val="22"/>
        </w:rPr>
        <w:t> </w:t>
      </w:r>
    </w:p>
    <w:p w14:paraId="73A57EF0" w14:textId="5D83F28A" w:rsidR="00756F0F" w:rsidRPr="00ED7E61" w:rsidRDefault="006B30FE" w:rsidP="00395866">
      <w:pPr>
        <w:pStyle w:val="paragraph"/>
        <w:spacing w:before="0" w:beforeAutospacing="0" w:after="0" w:afterAutospacing="0"/>
        <w:jc w:val="both"/>
        <w:textAlignment w:val="baseline"/>
        <w:rPr>
          <w:rFonts w:asciiTheme="majorBidi" w:hAnsiTheme="majorBidi" w:cstheme="majorBidi"/>
          <w:b/>
          <w:bCs/>
          <w:sz w:val="22"/>
          <w:szCs w:val="22"/>
        </w:rPr>
      </w:pPr>
      <w:r>
        <w:rPr>
          <w:rStyle w:val="normaltextrun"/>
          <w:rFonts w:asciiTheme="majorBidi" w:eastAsiaTheme="majorEastAsia" w:hAnsiTheme="majorBidi" w:cstheme="majorBidi"/>
          <w:sz w:val="22"/>
          <w:szCs w:val="22"/>
          <w:lang w:val="en-AU"/>
        </w:rPr>
        <w:t>September</w:t>
      </w:r>
      <w:r w:rsidRPr="00ED7E61">
        <w:rPr>
          <w:rStyle w:val="normaltextrun"/>
          <w:rFonts w:asciiTheme="majorBidi" w:eastAsiaTheme="majorEastAsia" w:hAnsiTheme="majorBidi" w:cstheme="majorBidi"/>
          <w:sz w:val="22"/>
          <w:szCs w:val="22"/>
          <w:lang w:val="en-AU"/>
        </w:rPr>
        <w:t xml:space="preserve"> </w:t>
      </w:r>
      <w:r w:rsidR="00756F0F" w:rsidRPr="00ED7E61">
        <w:rPr>
          <w:rStyle w:val="normaltextrun"/>
          <w:rFonts w:asciiTheme="majorBidi" w:eastAsiaTheme="majorEastAsia" w:hAnsiTheme="majorBidi" w:cstheme="majorBidi"/>
          <w:sz w:val="22"/>
          <w:szCs w:val="22"/>
          <w:lang w:val="en-AU"/>
        </w:rPr>
        <w:t>2024</w:t>
      </w:r>
      <w:r w:rsidR="00756F0F" w:rsidRPr="00ED7E61">
        <w:rPr>
          <w:rStyle w:val="eop"/>
          <w:rFonts w:asciiTheme="majorBidi" w:eastAsiaTheme="majorEastAsia" w:hAnsiTheme="majorBidi" w:cstheme="majorBidi"/>
          <w:b/>
          <w:bCs/>
          <w:sz w:val="22"/>
          <w:szCs w:val="22"/>
        </w:rPr>
        <w:t> </w:t>
      </w:r>
    </w:p>
    <w:p w14:paraId="2F03A0AD" w14:textId="77777777" w:rsidR="00756F0F" w:rsidRPr="00ED7E61" w:rsidRDefault="00756F0F" w:rsidP="004E0302">
      <w:pPr>
        <w:pStyle w:val="paragraph"/>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b/>
          <w:bCs/>
          <w:sz w:val="22"/>
          <w:szCs w:val="22"/>
        </w:rPr>
        <w:t> </w:t>
      </w:r>
    </w:p>
    <w:p w14:paraId="3937D0A9"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b/>
          <w:bCs/>
          <w:sz w:val="22"/>
          <w:szCs w:val="22"/>
        </w:rPr>
        <w:t> </w:t>
      </w:r>
    </w:p>
    <w:p w14:paraId="2D4CA5A2"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N/A</w:t>
      </w:r>
      <w:r w:rsidRPr="00ED7E61">
        <w:rPr>
          <w:rStyle w:val="eop"/>
          <w:rFonts w:asciiTheme="majorBidi" w:eastAsiaTheme="majorEastAsia" w:hAnsiTheme="majorBidi" w:cstheme="majorBidi"/>
          <w:sz w:val="22"/>
          <w:szCs w:val="22"/>
        </w:rPr>
        <w:t> </w:t>
      </w:r>
    </w:p>
    <w:p w14:paraId="707B0134" w14:textId="77777777" w:rsidR="00756F0F" w:rsidRPr="00ED7E61" w:rsidRDefault="00756F0F" w:rsidP="004E0302">
      <w:pPr>
        <w:pStyle w:val="paragraph"/>
        <w:pBdr>
          <w:bottom w:val="single" w:sz="4" w:space="1" w:color="000000"/>
        </w:pBdr>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b/>
          <w:bCs/>
          <w:sz w:val="22"/>
          <w:szCs w:val="22"/>
        </w:rPr>
        <w:t> </w:t>
      </w:r>
    </w:p>
    <w:p w14:paraId="39EA216D" w14:textId="7FEE4563"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Headline indicator for Target 15</w:t>
      </w:r>
      <w:r w:rsidR="00533D8E" w:rsidRPr="00ED7E61">
        <w:rPr>
          <w:rStyle w:val="normaltextrun"/>
          <w:rFonts w:asciiTheme="majorBidi" w:eastAsiaTheme="majorEastAsia" w:hAnsiTheme="majorBidi" w:cstheme="majorBidi"/>
          <w:sz w:val="22"/>
          <w:szCs w:val="22"/>
        </w:rPr>
        <w:t>:</w:t>
      </w:r>
      <w:r w:rsidRPr="00ED7E61">
        <w:rPr>
          <w:rStyle w:val="normaltextrun"/>
          <w:rFonts w:asciiTheme="majorBidi" w:eastAsiaTheme="majorEastAsia" w:hAnsiTheme="majorBidi" w:cstheme="majorBidi"/>
          <w:sz w:val="22"/>
          <w:szCs w:val="22"/>
        </w:rPr>
        <w:t xml:space="preserve"> Take legal, administrative or policy measures to encourage and enable business, and </w:t>
      </w:r>
      <w:proofErr w:type="gramStart"/>
      <w:r w:rsidRPr="00ED7E61">
        <w:rPr>
          <w:rStyle w:val="normaltextrun"/>
          <w:rFonts w:asciiTheme="majorBidi" w:eastAsiaTheme="majorEastAsia" w:hAnsiTheme="majorBidi" w:cstheme="majorBidi"/>
          <w:sz w:val="22"/>
          <w:szCs w:val="22"/>
        </w:rPr>
        <w:t>in particular to</w:t>
      </w:r>
      <w:proofErr w:type="gramEnd"/>
      <w:r w:rsidRPr="00ED7E61">
        <w:rPr>
          <w:rStyle w:val="normaltextrun"/>
          <w:rFonts w:asciiTheme="majorBidi" w:eastAsiaTheme="majorEastAsia" w:hAnsiTheme="majorBidi" w:cstheme="majorBidi"/>
          <w:sz w:val="22"/>
          <w:szCs w:val="22"/>
        </w:rPr>
        <w:t xml:space="preserve"> ensure that large and transnational companies and financial institutions:</w:t>
      </w:r>
      <w:r w:rsidRPr="00ED7E61">
        <w:rPr>
          <w:rStyle w:val="eop"/>
          <w:rFonts w:asciiTheme="majorBidi" w:eastAsiaTheme="majorEastAsia" w:hAnsiTheme="majorBidi" w:cstheme="majorBidi"/>
          <w:sz w:val="22"/>
          <w:szCs w:val="22"/>
        </w:rPr>
        <w:t> </w:t>
      </w:r>
    </w:p>
    <w:p w14:paraId="66111E0C" w14:textId="77777777" w:rsidR="00756F0F" w:rsidRPr="00ED7E61" w:rsidRDefault="00756F0F" w:rsidP="001C6EE2">
      <w:pPr>
        <w:pStyle w:val="paragraph"/>
        <w:numPr>
          <w:ilvl w:val="0"/>
          <w:numId w:val="4"/>
        </w:numPr>
        <w:spacing w:before="0" w:beforeAutospacing="0" w:after="0" w:afterAutospacing="0"/>
        <w:ind w:left="1080" w:firstLine="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Regularly monitor, assess, and transparently disclose their risks, dependencies and impacts on biodiversity, including with requirements for all large as well as transnational companies and financial institutions along their operations, supply and value chains and portfolios;</w:t>
      </w:r>
      <w:r w:rsidRPr="00ED7E61">
        <w:rPr>
          <w:rStyle w:val="eop"/>
          <w:rFonts w:asciiTheme="majorBidi" w:eastAsiaTheme="majorEastAsia" w:hAnsiTheme="majorBidi" w:cstheme="majorBidi"/>
          <w:sz w:val="22"/>
          <w:szCs w:val="22"/>
        </w:rPr>
        <w:t> </w:t>
      </w:r>
    </w:p>
    <w:p w14:paraId="39BAAF31" w14:textId="77777777" w:rsidR="00756F0F" w:rsidRPr="00ED7E61" w:rsidRDefault="00756F0F" w:rsidP="001C6EE2">
      <w:pPr>
        <w:pStyle w:val="paragraph"/>
        <w:numPr>
          <w:ilvl w:val="0"/>
          <w:numId w:val="5"/>
        </w:numPr>
        <w:spacing w:before="0" w:beforeAutospacing="0" w:after="0" w:afterAutospacing="0"/>
        <w:ind w:left="1080" w:firstLine="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Provide information needed to consumers to promote sustainable consumption patterns;</w:t>
      </w:r>
      <w:r w:rsidRPr="00ED7E61">
        <w:rPr>
          <w:rStyle w:val="eop"/>
          <w:rFonts w:asciiTheme="majorBidi" w:eastAsiaTheme="majorEastAsia" w:hAnsiTheme="majorBidi" w:cstheme="majorBidi"/>
          <w:sz w:val="22"/>
          <w:szCs w:val="22"/>
        </w:rPr>
        <w:t> </w:t>
      </w:r>
    </w:p>
    <w:p w14:paraId="005211EB" w14:textId="77777777" w:rsidR="008C4EAC" w:rsidRPr="00ED7E61" w:rsidRDefault="00756F0F" w:rsidP="001C6EE2">
      <w:pPr>
        <w:pStyle w:val="paragraph"/>
        <w:numPr>
          <w:ilvl w:val="0"/>
          <w:numId w:val="6"/>
        </w:numPr>
        <w:spacing w:before="0" w:beforeAutospacing="0" w:after="0" w:afterAutospacing="0"/>
        <w:ind w:left="1080" w:firstLine="0"/>
        <w:jc w:val="both"/>
        <w:textAlignment w:val="baseline"/>
        <w:rPr>
          <w:rStyle w:val="normaltextrun"/>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Report on compliance with access and benefit-sharing regulations and measures, as applicable; </w:t>
      </w:r>
    </w:p>
    <w:p w14:paraId="49DFB5CE" w14:textId="1735A6F0" w:rsidR="00756F0F" w:rsidRPr="00ED7E61" w:rsidRDefault="00756F0F" w:rsidP="005B0D1E">
      <w:pPr>
        <w:pStyle w:val="paragraph"/>
        <w:spacing w:before="0" w:beforeAutospacing="0" w:after="0" w:afterAutospacing="0"/>
        <w:jc w:val="both"/>
        <w:textAlignment w:val="baseline"/>
        <w:rPr>
          <w:rFonts w:asciiTheme="majorBidi" w:hAnsiTheme="majorBidi" w:cstheme="majorBidi"/>
          <w:sz w:val="22"/>
          <w:szCs w:val="22"/>
        </w:rPr>
      </w:pPr>
      <w:proofErr w:type="gramStart"/>
      <w:r w:rsidRPr="00ED7E61">
        <w:rPr>
          <w:rStyle w:val="normaltextrun"/>
          <w:rFonts w:asciiTheme="majorBidi" w:eastAsiaTheme="majorEastAsia" w:hAnsiTheme="majorBidi" w:cstheme="majorBidi"/>
          <w:sz w:val="22"/>
          <w:szCs w:val="22"/>
        </w:rPr>
        <w:t>in order to</w:t>
      </w:r>
      <w:proofErr w:type="gramEnd"/>
      <w:r w:rsidRPr="00ED7E61">
        <w:rPr>
          <w:rStyle w:val="normaltextrun"/>
          <w:rFonts w:asciiTheme="majorBidi" w:eastAsiaTheme="majorEastAsia" w:hAnsiTheme="majorBidi" w:cstheme="majorBidi"/>
          <w:sz w:val="22"/>
          <w:szCs w:val="22"/>
        </w:rPr>
        <w:t xml:space="preserve"> progressively reduce negative impacts on biodiversity, increase positive impacts, reduce biodiversity-related risks to business and financial institutions, and promote actions to ensure sustainable patterns of production.</w:t>
      </w:r>
      <w:r w:rsidRPr="00ED7E61">
        <w:rPr>
          <w:rStyle w:val="eop"/>
          <w:rFonts w:asciiTheme="majorBidi" w:eastAsiaTheme="majorEastAsia" w:hAnsiTheme="majorBidi" w:cstheme="majorBidi"/>
          <w:sz w:val="22"/>
          <w:szCs w:val="22"/>
        </w:rPr>
        <w:t> </w:t>
      </w:r>
    </w:p>
    <w:p w14:paraId="264E72DC" w14:textId="77777777" w:rsidR="00756F0F" w:rsidRPr="00ED7E61" w:rsidRDefault="00756F0F" w:rsidP="004E0302">
      <w:pPr>
        <w:pStyle w:val="paragraph"/>
        <w:pBdr>
          <w:bottom w:val="single" w:sz="4" w:space="1" w:color="000000"/>
        </w:pBdr>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4. Rationale </w:t>
      </w:r>
      <w:r w:rsidRPr="00ED7E61">
        <w:rPr>
          <w:rStyle w:val="eop"/>
          <w:rFonts w:asciiTheme="majorBidi" w:eastAsiaTheme="majorEastAsia" w:hAnsiTheme="majorBidi" w:cstheme="majorBidi"/>
          <w:b/>
          <w:bCs/>
          <w:sz w:val="22"/>
          <w:szCs w:val="22"/>
        </w:rPr>
        <w:t> </w:t>
      </w:r>
    </w:p>
    <w:p w14:paraId="4D1E8B6E" w14:textId="37BE561C" w:rsidR="00533D8E" w:rsidRPr="00812871" w:rsidRDefault="00756F0F" w:rsidP="00895D92">
      <w:pPr>
        <w:pStyle w:val="CBDNormalNumber"/>
        <w:numPr>
          <w:ilvl w:val="0"/>
          <w:numId w:val="88"/>
        </w:numPr>
        <w:shd w:val="clear" w:color="auto" w:fill="FFFFFF"/>
        <w:ind w:left="567" w:firstLine="0"/>
        <w:rPr>
          <w:rStyle w:val="normaltextrun"/>
          <w:rFonts w:eastAsiaTheme="majorEastAsia"/>
        </w:rPr>
      </w:pPr>
      <w:r w:rsidRPr="00812871">
        <w:rPr>
          <w:rStyle w:val="normaltextrun"/>
          <w:rFonts w:asciiTheme="majorBidi" w:eastAsiaTheme="majorEastAsia" w:hAnsiTheme="majorBidi" w:cstheme="majorBidi"/>
        </w:rPr>
        <w:t>Target</w:t>
      </w:r>
      <w:r w:rsidRPr="001B5E9F">
        <w:rPr>
          <w:rStyle w:val="normaltextrun"/>
          <w:rFonts w:asciiTheme="majorBidi" w:eastAsiaTheme="majorEastAsia" w:hAnsiTheme="majorBidi" w:cstheme="majorBidi"/>
        </w:rPr>
        <w:t xml:space="preserve"> 15 seeks to foster more sustainable patterns of production and financing. It aims to progressively reduce the risks related to biodiversity loss faced by business and finance as well as their negative impacts on biodiversity, and to increase their positive contributions to nature. By reporting on risks, dependencies, and impacts, companies and financial institutions contribute to a broader understanding of how their operations, supply and value chains, and portfolios interact with biodiversity. </w:t>
      </w:r>
      <w:r w:rsidR="00E47A1E" w:rsidRPr="00812871">
        <w:rPr>
          <w:rStyle w:val="normaltextrun"/>
          <w:rFonts w:asciiTheme="majorBidi" w:eastAsiaTheme="majorEastAsia" w:hAnsiTheme="majorBidi" w:cstheme="majorBidi"/>
        </w:rPr>
        <w:t>While comprehensive biodiversity-related disclosure is still under development, several (private sector) reporting and data initiatives have started to emerge. Exemplifying this, the global non-profit CDP</w:t>
      </w:r>
      <w:r w:rsidR="00895D92">
        <w:rPr>
          <w:rStyle w:val="normaltextrun"/>
          <w:rFonts w:asciiTheme="majorBidi" w:eastAsiaTheme="majorEastAsia" w:hAnsiTheme="majorBidi" w:cstheme="majorBidi"/>
        </w:rPr>
        <w:t>, which</w:t>
      </w:r>
      <w:r w:rsidR="00E47A1E" w:rsidRPr="00812871">
        <w:rPr>
          <w:rStyle w:val="normaltextrun"/>
          <w:rFonts w:asciiTheme="majorBidi" w:eastAsiaTheme="majorEastAsia" w:hAnsiTheme="majorBidi" w:cstheme="majorBidi"/>
        </w:rPr>
        <w:t xml:space="preserve"> operates the world’s largest environmental disclosure </w:t>
      </w:r>
      <w:proofErr w:type="gramStart"/>
      <w:r w:rsidR="00E47A1E" w:rsidRPr="00812871">
        <w:rPr>
          <w:rStyle w:val="normaltextrun"/>
          <w:rFonts w:asciiTheme="majorBidi" w:eastAsiaTheme="majorEastAsia" w:hAnsiTheme="majorBidi" w:cstheme="majorBidi"/>
        </w:rPr>
        <w:t>system</w:t>
      </w:r>
      <w:r w:rsidR="00895D92">
        <w:rPr>
          <w:rStyle w:val="normaltextrun"/>
          <w:rFonts w:asciiTheme="majorBidi" w:eastAsiaTheme="majorEastAsia" w:hAnsiTheme="majorBidi" w:cstheme="majorBidi"/>
        </w:rPr>
        <w:t>,</w:t>
      </w:r>
      <w:r w:rsidR="001B5E9F" w:rsidRPr="00812871">
        <w:rPr>
          <w:rStyle w:val="normaltextrun"/>
          <w:rFonts w:asciiTheme="majorBidi" w:eastAsiaTheme="majorEastAsia" w:hAnsiTheme="majorBidi" w:cstheme="majorBidi"/>
        </w:rPr>
        <w:t xml:space="preserve"> </w:t>
      </w:r>
      <w:r w:rsidR="00895D92">
        <w:rPr>
          <w:rStyle w:val="normaltextrun"/>
          <w:rFonts w:asciiTheme="majorBidi" w:eastAsiaTheme="majorEastAsia" w:hAnsiTheme="majorBidi" w:cstheme="majorBidi"/>
        </w:rPr>
        <w:t xml:space="preserve"> </w:t>
      </w:r>
      <w:r w:rsidR="001B5E9F" w:rsidRPr="00812871">
        <w:rPr>
          <w:rStyle w:val="normaltextrun"/>
          <w:rFonts w:asciiTheme="majorBidi" w:eastAsiaTheme="majorEastAsia" w:hAnsiTheme="majorBidi" w:cstheme="majorBidi"/>
        </w:rPr>
        <w:t>provides</w:t>
      </w:r>
      <w:proofErr w:type="gramEnd"/>
      <w:r w:rsidR="001B5E9F" w:rsidRPr="00812871">
        <w:rPr>
          <w:rStyle w:val="normaltextrun"/>
          <w:rFonts w:asciiTheme="majorBidi" w:eastAsiaTheme="majorEastAsia" w:hAnsiTheme="majorBidi" w:cstheme="majorBidi"/>
        </w:rPr>
        <w:t xml:space="preserve"> multi-year standardized datasets on corporate biodiversity-related risks, dependencies, and impacts, which can support implementation and learning for Target 15. </w:t>
      </w:r>
      <w:r w:rsidRPr="001B5E9F">
        <w:rPr>
          <w:rStyle w:val="normaltextrun"/>
          <w:rFonts w:asciiTheme="majorBidi" w:eastAsiaTheme="majorEastAsia" w:hAnsiTheme="majorBidi" w:cstheme="majorBidi"/>
        </w:rPr>
        <w:t xml:space="preserve">This indicator - on disclosing biodiversity-related risks, dependencies, and impacts of businesses and finance - </w:t>
      </w:r>
      <w:r w:rsidR="00872185">
        <w:rPr>
          <w:rStyle w:val="normaltextrun"/>
          <w:rFonts w:asciiTheme="majorBidi" w:eastAsiaTheme="majorEastAsia" w:hAnsiTheme="majorBidi" w:cstheme="majorBidi"/>
        </w:rPr>
        <w:t>helps</w:t>
      </w:r>
      <w:r w:rsidR="00872185" w:rsidRPr="001B5E9F">
        <w:rPr>
          <w:rStyle w:val="normaltextrun"/>
          <w:rFonts w:asciiTheme="majorBidi" w:eastAsiaTheme="majorEastAsia" w:hAnsiTheme="majorBidi" w:cstheme="majorBidi"/>
        </w:rPr>
        <w:t xml:space="preserve"> </w:t>
      </w:r>
      <w:r w:rsidRPr="001B5E9F">
        <w:rPr>
          <w:rStyle w:val="normaltextrun"/>
          <w:rFonts w:asciiTheme="majorBidi" w:eastAsiaTheme="majorEastAsia" w:hAnsiTheme="majorBidi" w:cstheme="majorBidi"/>
        </w:rPr>
        <w:t>address that important information gap</w:t>
      </w:r>
      <w:r w:rsidR="007F1F06">
        <w:rPr>
          <w:rStyle w:val="normaltextrun"/>
          <w:rFonts w:asciiTheme="majorBidi" w:eastAsiaTheme="majorEastAsia" w:hAnsiTheme="majorBidi" w:cstheme="majorBidi"/>
        </w:rPr>
        <w:t xml:space="preserve">s by </w:t>
      </w:r>
      <w:r w:rsidRPr="001B5E9F">
        <w:rPr>
          <w:rStyle w:val="normaltextrun"/>
          <w:rFonts w:asciiTheme="majorBidi" w:eastAsiaTheme="majorEastAsia" w:hAnsiTheme="majorBidi" w:cstheme="majorBidi"/>
        </w:rPr>
        <w:t>encourag</w:t>
      </w:r>
      <w:r w:rsidR="007F1F06">
        <w:rPr>
          <w:rStyle w:val="normaltextrun"/>
          <w:rFonts w:asciiTheme="majorBidi" w:eastAsiaTheme="majorEastAsia" w:hAnsiTheme="majorBidi" w:cstheme="majorBidi"/>
        </w:rPr>
        <w:t>ing</w:t>
      </w:r>
      <w:r w:rsidRPr="001B5E9F">
        <w:rPr>
          <w:rStyle w:val="normaltextrun"/>
          <w:rFonts w:asciiTheme="majorBidi" w:eastAsiaTheme="majorEastAsia" w:hAnsiTheme="majorBidi" w:cstheme="majorBidi"/>
        </w:rPr>
        <w:t xml:space="preserve"> large and transnational companies and financial institutions </w:t>
      </w:r>
      <w:r w:rsidR="007F1F06">
        <w:rPr>
          <w:rStyle w:val="normaltextrun"/>
          <w:rFonts w:asciiTheme="majorBidi" w:eastAsiaTheme="majorEastAsia" w:hAnsiTheme="majorBidi" w:cstheme="majorBidi"/>
        </w:rPr>
        <w:t xml:space="preserve">globally </w:t>
      </w:r>
      <w:r w:rsidRPr="001B5E9F">
        <w:rPr>
          <w:rStyle w:val="normaltextrun"/>
          <w:rFonts w:asciiTheme="majorBidi" w:eastAsiaTheme="majorEastAsia" w:hAnsiTheme="majorBidi" w:cstheme="majorBidi"/>
        </w:rPr>
        <w:t>to assess and recognize their role in biodiversity conservation. This involves assessing the impacts of their activities (or the operations they finance) on biodiversity and analysing the risks posed by biodiversity loss to their operations and supply chains. Subsequently, companies are prompted to take steps to address these identified impacts and risks. </w:t>
      </w:r>
      <w:r w:rsidRPr="00812871">
        <w:rPr>
          <w:rStyle w:val="normaltextrun"/>
        </w:rPr>
        <w:t> </w:t>
      </w:r>
    </w:p>
    <w:p w14:paraId="4F522AA8"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Additionally, through comprehending the interconnections between biodiversity, businesses, and finance, governments can better formulate targeted regulations that address the most pressing challenges and promote sustainable practices. This broader understanding enables governments to identify the areas where regulatory intervention and support are most vital, allowing for the strategic allocation of resources to both mitigate adverse impacts and encourage positive contributions.</w:t>
      </w:r>
      <w:r w:rsidRPr="00ED7E61">
        <w:rPr>
          <w:rStyle w:val="eop"/>
          <w:rFonts w:asciiTheme="majorBidi" w:eastAsiaTheme="majorEastAsia" w:hAnsiTheme="majorBidi" w:cstheme="majorBidi"/>
        </w:rPr>
        <w:t> </w:t>
      </w:r>
    </w:p>
    <w:p w14:paraId="12BB86E7" w14:textId="77777777" w:rsidR="0049615A" w:rsidRPr="0049615A" w:rsidRDefault="0049615A" w:rsidP="0049615A">
      <w:pPr>
        <w:pStyle w:val="paragraph"/>
        <w:pBdr>
          <w:bottom w:val="single" w:sz="4" w:space="1" w:color="000000"/>
        </w:pBdr>
        <w:spacing w:before="120" w:beforeAutospacing="0" w:after="0" w:afterAutospacing="0"/>
        <w:jc w:val="both"/>
        <w:textAlignment w:val="baseline"/>
        <w:rPr>
          <w:rStyle w:val="normaltextrun"/>
          <w:rFonts w:asciiTheme="majorBidi" w:eastAsiaTheme="majorEastAsia" w:hAnsiTheme="majorBidi" w:cstheme="majorBidi"/>
          <w:b/>
          <w:bCs/>
          <w:sz w:val="22"/>
          <w:szCs w:val="22"/>
          <w:lang w:val="en-GB"/>
        </w:rPr>
      </w:pPr>
      <w:r w:rsidRPr="0049615A">
        <w:rPr>
          <w:rStyle w:val="normaltextrun"/>
          <w:rFonts w:asciiTheme="majorBidi" w:eastAsiaTheme="majorEastAsia" w:hAnsiTheme="majorBidi" w:cstheme="majorBidi"/>
          <w:b/>
          <w:bCs/>
          <w:sz w:val="22"/>
          <w:szCs w:val="22"/>
          <w:lang w:val="en-GB"/>
        </w:rPr>
        <w:t>5. Definitions, concepts and classifications </w:t>
      </w:r>
    </w:p>
    <w:p w14:paraId="5999DDAD" w14:textId="77777777" w:rsidR="00756F0F" w:rsidRPr="00ED7E61" w:rsidRDefault="00756F0F" w:rsidP="004E0302">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Indicator definition: </w:t>
      </w:r>
      <w:r w:rsidRPr="00ED7E61">
        <w:rPr>
          <w:rStyle w:val="eop"/>
          <w:rFonts w:asciiTheme="majorBidi" w:eastAsiaTheme="majorEastAsia" w:hAnsiTheme="majorBidi" w:cstheme="majorBidi"/>
          <w:sz w:val="22"/>
          <w:szCs w:val="22"/>
        </w:rPr>
        <w:t> </w:t>
      </w:r>
    </w:p>
    <w:p w14:paraId="7EDA2C15"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This</w:t>
      </w:r>
      <w:r w:rsidRPr="00ED7E61">
        <w:rPr>
          <w:rStyle w:val="normaltextrun"/>
          <w:rFonts w:asciiTheme="majorBidi" w:eastAsiaTheme="majorEastAsia" w:hAnsiTheme="majorBidi" w:cstheme="majorBidi"/>
          <w:lang w:val="en-AU"/>
        </w:rPr>
        <w:t xml:space="preserve"> indicator requests countries to measure the number of </w:t>
      </w:r>
      <w:r w:rsidRPr="00ED7E61">
        <w:rPr>
          <w:rStyle w:val="normaltextrun"/>
          <w:rFonts w:asciiTheme="majorBidi" w:eastAsiaTheme="majorEastAsia" w:hAnsiTheme="majorBidi" w:cstheme="majorBidi"/>
        </w:rPr>
        <w:t xml:space="preserve">large and transnational companies and financial institutions that </w:t>
      </w:r>
      <w:r w:rsidRPr="00ED7E61">
        <w:rPr>
          <w:rStyle w:val="normaltextrun"/>
          <w:rFonts w:asciiTheme="majorBidi" w:eastAsiaTheme="majorEastAsia" w:hAnsiTheme="majorBidi" w:cstheme="majorBidi"/>
          <w:lang w:val="en-AU"/>
        </w:rPr>
        <w:t>disclose information about their interactions with biodiversity in terms of risks, dependencies, and impacts. Companies and financial institutions reporting on these aspects typically disclose information about how their operations, their supply and value chains, or the operations they finance, affect biodiversity, the dependencies they have on biodiversity, and the risks posed by biodiversity loss to their operations and supply chains. </w:t>
      </w:r>
      <w:r w:rsidRPr="00ED7E61">
        <w:rPr>
          <w:rStyle w:val="eop"/>
          <w:rFonts w:asciiTheme="majorBidi" w:eastAsiaTheme="majorEastAsia" w:hAnsiTheme="majorBidi" w:cstheme="majorBidi"/>
        </w:rPr>
        <w:t> </w:t>
      </w:r>
    </w:p>
    <w:p w14:paraId="12DA139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00000"/>
          <w:sz w:val="22"/>
          <w:szCs w:val="22"/>
          <w:lang w:val="en-AU"/>
        </w:rPr>
        <w:t>Other key concepts and definitions:</w:t>
      </w:r>
      <w:r w:rsidRPr="00ED7E61">
        <w:rPr>
          <w:rStyle w:val="eop"/>
          <w:rFonts w:asciiTheme="majorBidi" w:eastAsiaTheme="majorEastAsia" w:hAnsiTheme="majorBidi" w:cstheme="majorBidi"/>
          <w:color w:val="000000"/>
          <w:sz w:val="22"/>
          <w:szCs w:val="22"/>
        </w:rPr>
        <w:t> </w:t>
      </w:r>
    </w:p>
    <w:p w14:paraId="3E745FD3" w14:textId="7E3F65BB" w:rsidR="00533D8E"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Companies</w:t>
      </w:r>
      <w:r w:rsidRPr="00ED7E61">
        <w:rPr>
          <w:rStyle w:val="normaltextrun"/>
          <w:rFonts w:asciiTheme="majorBidi" w:eastAsiaTheme="majorEastAsia" w:hAnsiTheme="majorBidi" w:cstheme="majorBidi"/>
          <w:b/>
          <w:bCs/>
          <w:lang w:val="en-AU"/>
        </w:rPr>
        <w:t>,</w:t>
      </w:r>
      <w:r w:rsidRPr="00ED7E61">
        <w:rPr>
          <w:rStyle w:val="normaltextrun"/>
          <w:rFonts w:asciiTheme="majorBidi" w:eastAsiaTheme="majorEastAsia" w:hAnsiTheme="majorBidi" w:cstheme="majorBidi"/>
          <w:lang w:val="en-AU"/>
        </w:rPr>
        <w:t xml:space="preserve"> under this indicator are understood as enterprises and financial institutions that are nationally recognised as being </w:t>
      </w:r>
      <w:r w:rsidR="00D32683">
        <w:rPr>
          <w:rStyle w:val="normaltextrun"/>
          <w:rFonts w:asciiTheme="majorBidi" w:eastAsiaTheme="majorEastAsia" w:hAnsiTheme="majorBidi" w:cstheme="majorBidi"/>
          <w:lang w:val="en-AU"/>
        </w:rPr>
        <w:t>“</w:t>
      </w:r>
      <w:r w:rsidRPr="00FB1598">
        <w:rPr>
          <w:rStyle w:val="normaltextrun"/>
          <w:rFonts w:asciiTheme="majorBidi" w:eastAsiaTheme="majorEastAsia" w:hAnsiTheme="majorBidi" w:cstheme="majorBidi"/>
          <w:i/>
          <w:iCs/>
          <w:lang w:val="en-AU"/>
        </w:rPr>
        <w:t>large</w:t>
      </w:r>
      <w:r w:rsidR="00D32683">
        <w:rPr>
          <w:rStyle w:val="normaltextrun"/>
          <w:rFonts w:asciiTheme="majorBidi" w:eastAsiaTheme="majorEastAsia" w:hAnsiTheme="majorBidi" w:cstheme="majorBidi"/>
          <w:lang w:val="en-AU"/>
        </w:rPr>
        <w:t>”</w:t>
      </w:r>
      <w:r w:rsidRPr="00ED7E61">
        <w:rPr>
          <w:rStyle w:val="normaltextrun"/>
          <w:rFonts w:asciiTheme="majorBidi" w:eastAsiaTheme="majorEastAsia" w:hAnsiTheme="majorBidi" w:cstheme="majorBidi"/>
          <w:lang w:val="en-AU"/>
        </w:rPr>
        <w:t>.  Alternatively, parties may choose to rely on the World Bank’s definition for SMEs and consequently of large companies. The World Bank defines SMEs as those enterprises with a maximum of 300 employees, $15 million in annual revenue, and $15 million in assets. </w:t>
      </w:r>
      <w:r w:rsidRPr="00ED7E61">
        <w:rPr>
          <w:rStyle w:val="eop"/>
          <w:rFonts w:asciiTheme="majorBidi" w:eastAsiaTheme="majorEastAsia" w:hAnsiTheme="majorBidi" w:cstheme="majorBidi"/>
        </w:rPr>
        <w:t> </w:t>
      </w:r>
    </w:p>
    <w:p w14:paraId="6C9ADFCA" w14:textId="612EA347" w:rsidR="00533D8E"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 xml:space="preserve">While companies often deliver consolidated reports at a group level, it's important to recognize that many of their impacts manifest locally, and some subsidiaries or franchises produce their own sustainability reports. </w:t>
      </w:r>
      <w:proofErr w:type="gramStart"/>
      <w:r w:rsidRPr="00ED7E61">
        <w:rPr>
          <w:rStyle w:val="normaltextrun"/>
          <w:rFonts w:asciiTheme="majorBidi" w:eastAsiaTheme="majorEastAsia" w:hAnsiTheme="majorBidi" w:cstheme="majorBidi"/>
          <w:lang w:val="en-AU"/>
        </w:rPr>
        <w:t>For the purpose of</w:t>
      </w:r>
      <w:proofErr w:type="gramEnd"/>
      <w:r w:rsidRPr="00ED7E61">
        <w:rPr>
          <w:rStyle w:val="normaltextrun"/>
          <w:rFonts w:asciiTheme="majorBidi" w:eastAsiaTheme="majorEastAsia" w:hAnsiTheme="majorBidi" w:cstheme="majorBidi"/>
          <w:lang w:val="en-AU"/>
        </w:rPr>
        <w:t xml:space="preserve"> this indicator, both the group and subsidiary/franchise levels can be counted as distinct entities. Therefore, when using the term "</w:t>
      </w:r>
      <w:r w:rsidRPr="00FB1598">
        <w:rPr>
          <w:rStyle w:val="normaltextrun"/>
          <w:rFonts w:asciiTheme="majorBidi" w:eastAsiaTheme="majorEastAsia" w:hAnsiTheme="majorBidi" w:cstheme="majorBidi"/>
          <w:i/>
          <w:iCs/>
          <w:lang w:val="en-AU"/>
        </w:rPr>
        <w:t>company</w:t>
      </w:r>
      <w:r w:rsidRPr="00ED7E61">
        <w:rPr>
          <w:rStyle w:val="normaltextrun"/>
          <w:rFonts w:asciiTheme="majorBidi" w:eastAsiaTheme="majorEastAsia" w:hAnsiTheme="majorBidi" w:cstheme="majorBidi"/>
          <w:lang w:val="en-AU"/>
        </w:rPr>
        <w:t>" it can refer to either the parent company or a franchise/subsidiary, depending on how they disclose information on biodiversity-related risks, dependencies and impacts.</w:t>
      </w:r>
      <w:r w:rsidRPr="00ED7E61">
        <w:rPr>
          <w:rStyle w:val="eop"/>
          <w:rFonts w:asciiTheme="majorBidi" w:eastAsiaTheme="majorEastAsia" w:hAnsiTheme="majorBidi" w:cstheme="majorBidi"/>
        </w:rPr>
        <w:t> </w:t>
      </w:r>
    </w:p>
    <w:p w14:paraId="368B6AE5" w14:textId="6DB17D3B" w:rsidR="00533D8E" w:rsidRPr="00ED7E61" w:rsidRDefault="00756F0F" w:rsidP="00B10F0C">
      <w:pPr>
        <w:pStyle w:val="CBDNormalNumber"/>
        <w:numPr>
          <w:ilvl w:val="0"/>
          <w:numId w:val="88"/>
        </w:numPr>
        <w:shd w:val="clear" w:color="auto" w:fill="FFFFFF"/>
        <w:ind w:left="567" w:firstLine="0"/>
      </w:pPr>
      <w:r w:rsidRPr="00ED7E61">
        <w:rPr>
          <w:rStyle w:val="normaltextrun"/>
          <w:rFonts w:asciiTheme="majorBidi" w:eastAsiaTheme="majorEastAsia" w:hAnsiTheme="majorBidi" w:cstheme="majorBidi"/>
          <w:lang w:val="en-AU"/>
        </w:rPr>
        <w:t>Disclosing</w:t>
      </w:r>
      <w:r w:rsidRPr="00ED7E61">
        <w:rPr>
          <w:rStyle w:val="normaltextrun"/>
          <w:rFonts w:asciiTheme="majorBidi" w:eastAsiaTheme="majorEastAsia" w:hAnsiTheme="majorBidi" w:cstheme="majorBidi"/>
          <w:i/>
          <w:iCs/>
          <w:lang w:val="en-AU"/>
        </w:rPr>
        <w:t xml:space="preserve">, </w:t>
      </w:r>
      <w:r w:rsidRPr="00ED7E61">
        <w:rPr>
          <w:rStyle w:val="normaltextrun"/>
          <w:rFonts w:asciiTheme="majorBidi" w:eastAsiaTheme="majorEastAsia" w:hAnsiTheme="majorBidi" w:cstheme="majorBidi"/>
          <w:lang w:val="en-AU"/>
        </w:rPr>
        <w:t xml:space="preserve">is understood for this indicator as the act of making information available to the </w:t>
      </w:r>
      <w:proofErr w:type="gramStart"/>
      <w:r w:rsidRPr="00ED7E61">
        <w:rPr>
          <w:rStyle w:val="normaltextrun"/>
          <w:rFonts w:asciiTheme="majorBidi" w:eastAsiaTheme="majorEastAsia" w:hAnsiTheme="majorBidi" w:cstheme="majorBidi"/>
          <w:lang w:val="en-AU"/>
        </w:rPr>
        <w:t>general public</w:t>
      </w:r>
      <w:proofErr w:type="gramEnd"/>
      <w:r w:rsidRPr="00ED7E61">
        <w:rPr>
          <w:rStyle w:val="normaltextrun"/>
          <w:rFonts w:asciiTheme="majorBidi" w:eastAsiaTheme="majorEastAsia" w:hAnsiTheme="majorBidi" w:cstheme="majorBidi"/>
          <w:lang w:val="en-AU"/>
        </w:rPr>
        <w:t xml:space="preserve"> and stakeholders, in a clear and transparent manner. In this context, it means making information publicly available about a company’s impacts and dependencies on biodiversity, and its risks from biodiversity loss.</w:t>
      </w:r>
      <w:r w:rsidRPr="00ED7E61">
        <w:rPr>
          <w:rStyle w:val="eop"/>
          <w:rFonts w:asciiTheme="majorBidi" w:eastAsiaTheme="majorEastAsia" w:hAnsiTheme="majorBidi" w:cstheme="majorBidi"/>
        </w:rPr>
        <w:t> </w:t>
      </w:r>
    </w:p>
    <w:p w14:paraId="60A6E27D"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Biodiversity-related</w:t>
      </w:r>
      <w:r w:rsidRPr="00ED7E61">
        <w:rPr>
          <w:rStyle w:val="normaltextrun"/>
          <w:rFonts w:asciiTheme="majorBidi" w:eastAsiaTheme="majorEastAsia" w:hAnsiTheme="majorBidi" w:cstheme="majorBidi"/>
          <w:b/>
          <w:bCs/>
          <w:i/>
          <w:iCs/>
          <w:lang w:val="en-AU"/>
        </w:rPr>
        <w:t xml:space="preserve"> </w:t>
      </w:r>
      <w:r w:rsidRPr="00ED7E61">
        <w:rPr>
          <w:rStyle w:val="normaltextrun"/>
          <w:rFonts w:asciiTheme="majorBidi" w:eastAsiaTheme="majorEastAsia" w:hAnsiTheme="majorBidi" w:cstheme="majorBidi"/>
          <w:i/>
          <w:iCs/>
          <w:lang w:val="en-AU"/>
        </w:rPr>
        <w:t>risks</w:t>
      </w:r>
      <w:r w:rsidRPr="00ED7E61">
        <w:rPr>
          <w:rStyle w:val="normaltextrun"/>
          <w:rFonts w:asciiTheme="majorBidi" w:eastAsiaTheme="majorEastAsia" w:hAnsiTheme="majorBidi" w:cstheme="majorBidi"/>
          <w:lang w:val="en-AU"/>
        </w:rPr>
        <w:t xml:space="preserve"> to businesses are categorised as:</w:t>
      </w:r>
      <w:r w:rsidRPr="00ED7E61">
        <w:rPr>
          <w:rStyle w:val="eop"/>
          <w:rFonts w:asciiTheme="majorBidi" w:eastAsiaTheme="majorEastAsia" w:hAnsiTheme="majorBidi" w:cstheme="majorBidi"/>
        </w:rPr>
        <w:t> </w:t>
      </w:r>
    </w:p>
    <w:p w14:paraId="7D4BCB6B" w14:textId="553ACDCF"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Ecological risks, i.e. risks related to biodiversity-related ecological impacts and dependencies, linked to biodiversity loss or ecosystems degradation.</w:t>
      </w:r>
      <w:r w:rsidRPr="00ED7E61">
        <w:rPr>
          <w:rStyle w:val="normaltextrun"/>
        </w:rPr>
        <w:t> </w:t>
      </w:r>
    </w:p>
    <w:p w14:paraId="5FC7CB4B"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Liability risks, where parties who have suffered biodiversity-related loss or damage seek compensation for those they hold responsible.</w:t>
      </w:r>
      <w:r w:rsidRPr="00ED7E61">
        <w:rPr>
          <w:rStyle w:val="normaltextrun"/>
        </w:rPr>
        <w:t> </w:t>
      </w:r>
    </w:p>
    <w:p w14:paraId="0ECEED2B"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Risks related to achieve transformative change for biodiversity, including regulatory risks, market risks and financial risks. </w:t>
      </w:r>
      <w:r w:rsidRPr="00ED7E61">
        <w:rPr>
          <w:rStyle w:val="normaltextrun"/>
        </w:rPr>
        <w:t> </w:t>
      </w:r>
    </w:p>
    <w:p w14:paraId="7F6A4878" w14:textId="4884E61A" w:rsidR="00756F0F" w:rsidRPr="00ED7E61" w:rsidRDefault="00756F0F" w:rsidP="005B0D1E">
      <w:pPr>
        <w:pStyle w:val="paragraph"/>
        <w:spacing w:before="0" w:beforeAutospacing="0" w:after="0" w:afterAutospacing="0"/>
        <w:ind w:firstLine="1276"/>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AU"/>
        </w:rPr>
        <w:t>(OECD, Biodiversity: Finance and the Economic and Business Case for Action, 2019)</w:t>
      </w:r>
      <w:r w:rsidRPr="00ED7E61">
        <w:rPr>
          <w:rStyle w:val="eop"/>
          <w:rFonts w:asciiTheme="majorBidi" w:eastAsiaTheme="majorEastAsia" w:hAnsiTheme="majorBidi" w:cstheme="majorBidi"/>
          <w:sz w:val="22"/>
          <w:szCs w:val="22"/>
        </w:rPr>
        <w:t> </w:t>
      </w:r>
    </w:p>
    <w:p w14:paraId="46970E4F" w14:textId="4E83996E"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 xml:space="preserve">Dependencies are aspects of environmental assets and ecosystem services that a person or an organisation relies on to function. A company’s business model, for example, may depend on the ecosystem services of water flow, water quality regulation and the regulation of hazards like fires and floods; provision of suitable habitat for pollinators, who in turn provide a service directly to economies; and carbon sequestration. (Sources: </w:t>
      </w:r>
      <w:hyperlink r:id="rId432" w:tgtFrame="_blank" w:history="1">
        <w:r w:rsidRPr="00ED7E61">
          <w:rPr>
            <w:rStyle w:val="normaltextrun"/>
            <w:rFonts w:asciiTheme="majorBidi" w:eastAsiaTheme="majorEastAsia" w:hAnsiTheme="majorBidi" w:cstheme="majorBidi"/>
            <w:color w:val="467886"/>
            <w:u w:val="single"/>
            <w:lang w:val="en-AU"/>
          </w:rPr>
          <w:t>TNFD Glossary of Key Terms</w:t>
        </w:r>
      </w:hyperlink>
      <w:r w:rsidRPr="00ED7E61">
        <w:rPr>
          <w:rStyle w:val="normaltextrun"/>
          <w:rFonts w:asciiTheme="majorBidi" w:eastAsiaTheme="majorEastAsia" w:hAnsiTheme="majorBidi" w:cstheme="majorBidi"/>
          <w:lang w:val="en-AU"/>
        </w:rPr>
        <w:t xml:space="preserve">, version September 2023, and adapted from Science Based Targets Network (2023) </w:t>
      </w:r>
      <w:hyperlink r:id="rId433" w:tgtFrame="_blank" w:history="1">
        <w:r w:rsidRPr="00ED7E61">
          <w:rPr>
            <w:rStyle w:val="normaltextrun"/>
            <w:rFonts w:asciiTheme="majorBidi" w:eastAsiaTheme="majorEastAsia" w:hAnsiTheme="majorBidi" w:cstheme="majorBidi"/>
            <w:color w:val="467886"/>
            <w:u w:val="single"/>
            <w:lang w:val="en-AU"/>
          </w:rPr>
          <w:t>SBTN Glossary of Terms</w:t>
        </w:r>
      </w:hyperlink>
      <w:r w:rsidRPr="00ED7E61">
        <w:rPr>
          <w:rStyle w:val="normaltextrun"/>
          <w:rFonts w:asciiTheme="majorBidi" w:eastAsiaTheme="majorEastAsia" w:hAnsiTheme="majorBidi" w:cstheme="majorBidi"/>
          <w:lang w:val="en-AU"/>
        </w:rPr>
        <w:t xml:space="preserve"> )</w:t>
      </w:r>
    </w:p>
    <w:p w14:paraId="2C0CCE8F"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Impacts</w:t>
      </w:r>
      <w:r w:rsidRPr="00ED7E61">
        <w:rPr>
          <w:rStyle w:val="normaltextrun"/>
          <w:rFonts w:asciiTheme="majorBidi" w:eastAsiaTheme="majorEastAsia" w:hAnsiTheme="majorBidi" w:cstheme="majorBidi"/>
          <w:b/>
          <w:bCs/>
          <w:lang w:val="en-AU"/>
        </w:rPr>
        <w:t xml:space="preserve"> </w:t>
      </w:r>
      <w:r w:rsidRPr="00ED7E61">
        <w:rPr>
          <w:rStyle w:val="normaltextrun"/>
          <w:rFonts w:asciiTheme="majorBidi" w:eastAsiaTheme="majorEastAsia" w:hAnsiTheme="majorBidi" w:cstheme="majorBidi"/>
          <w:lang w:val="en-AU"/>
        </w:rPr>
        <w:t xml:space="preserve">refer to a change in the state of nature (quality or quantity), which may result in changes to the capacity of nature to provide social and economic functions. Impacts can be positive or negative. They can be the result of an </w:t>
      </w:r>
      <w:proofErr w:type="gramStart"/>
      <w:r w:rsidRPr="00ED7E61">
        <w:rPr>
          <w:rStyle w:val="normaltextrun"/>
          <w:rFonts w:asciiTheme="majorBidi" w:eastAsiaTheme="majorEastAsia" w:hAnsiTheme="majorBidi" w:cstheme="majorBidi"/>
          <w:lang w:val="en-AU"/>
        </w:rPr>
        <w:t>organisation’s</w:t>
      </w:r>
      <w:proofErr w:type="gramEnd"/>
      <w:r w:rsidRPr="00ED7E61">
        <w:rPr>
          <w:rStyle w:val="normaltextrun"/>
          <w:rFonts w:asciiTheme="majorBidi" w:eastAsiaTheme="majorEastAsia" w:hAnsiTheme="majorBidi" w:cstheme="majorBidi"/>
          <w:lang w:val="en-AU"/>
        </w:rPr>
        <w:t xml:space="preserve"> or another party’s actions.</w:t>
      </w:r>
      <w:r w:rsidRPr="00ED7E61">
        <w:rPr>
          <w:rStyle w:val="eop"/>
          <w:rFonts w:asciiTheme="majorBidi" w:eastAsiaTheme="majorEastAsia" w:hAnsiTheme="majorBidi" w:cstheme="majorBidi"/>
        </w:rPr>
        <w:t> </w:t>
      </w:r>
    </w:p>
    <w:p w14:paraId="025CFFF9" w14:textId="77777777" w:rsidR="00756F0F" w:rsidRPr="00ED7E61" w:rsidRDefault="00756F0F" w:rsidP="00B10F0C">
      <w:pPr>
        <w:pStyle w:val="CBDNormalNumber"/>
        <w:numPr>
          <w:ilvl w:val="0"/>
          <w:numId w:val="88"/>
        </w:numPr>
        <w:shd w:val="clear" w:color="auto" w:fill="FFFFFF"/>
        <w:ind w:left="567" w:firstLine="0"/>
        <w:rPr>
          <w:rStyle w:val="normaltextrun"/>
          <w:rFonts w:eastAsiaTheme="majorEastAsia"/>
          <w:lang w:val="en-AU"/>
        </w:rPr>
      </w:pPr>
      <w:r w:rsidRPr="00ED7E61">
        <w:rPr>
          <w:rStyle w:val="normaltextrun"/>
          <w:rFonts w:asciiTheme="majorBidi" w:eastAsiaTheme="majorEastAsia" w:hAnsiTheme="majorBidi" w:cstheme="majorBidi"/>
          <w:lang w:val="en-AU"/>
        </w:rPr>
        <w:t>Impacts may be:</w:t>
      </w:r>
      <w:r w:rsidRPr="00ED7E61">
        <w:rPr>
          <w:rStyle w:val="normaltextrun"/>
          <w:lang w:val="en-AU"/>
        </w:rPr>
        <w:t> </w:t>
      </w:r>
    </w:p>
    <w:p w14:paraId="44D49387" w14:textId="77777777" w:rsidR="00756F0F" w:rsidRPr="00ED7E61" w:rsidRDefault="00756F0F" w:rsidP="00B10F0C">
      <w:pPr>
        <w:pStyle w:val="CBDNormalNumber"/>
        <w:numPr>
          <w:ilvl w:val="1"/>
          <w:numId w:val="8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Direct – a change in the state of nature caused by a business activity with a direct causal link;</w:t>
      </w:r>
      <w:r w:rsidRPr="00ED7E61">
        <w:rPr>
          <w:rStyle w:val="normaltextrun"/>
        </w:rPr>
        <w:t> </w:t>
      </w:r>
    </w:p>
    <w:p w14:paraId="2A2C71FF" w14:textId="77777777" w:rsidR="00756F0F" w:rsidRPr="00ED7E61" w:rsidRDefault="00756F0F" w:rsidP="00B10F0C">
      <w:pPr>
        <w:pStyle w:val="CBDNormalNumber"/>
        <w:numPr>
          <w:ilvl w:val="1"/>
          <w:numId w:val="8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Indirect – a change in the state of nature caused by a business activity with an indirect causal link (e.g. indirectly caused by climate change generated by greenhouse gas emissions); and/or</w:t>
      </w:r>
      <w:r w:rsidRPr="00ED7E61">
        <w:rPr>
          <w:rStyle w:val="normaltextrun"/>
        </w:rPr>
        <w:t> </w:t>
      </w:r>
    </w:p>
    <w:p w14:paraId="061E06DA" w14:textId="77777777" w:rsidR="00756F0F" w:rsidRPr="00ED7E61" w:rsidRDefault="00756F0F" w:rsidP="00B10F0C">
      <w:pPr>
        <w:pStyle w:val="CBDNormalNumber"/>
        <w:numPr>
          <w:ilvl w:val="1"/>
          <w:numId w:val="8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Cumulative – a change in the state of nature (direct or indirect) that occurs due to the interaction of activities of different actors operating in a landscape or freshwater/marine area.</w:t>
      </w:r>
      <w:r w:rsidRPr="00ED7E61">
        <w:rPr>
          <w:rStyle w:val="normaltextrun"/>
        </w:rPr>
        <w:t> </w:t>
      </w:r>
    </w:p>
    <w:p w14:paraId="2831D8AF"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lastRenderedPageBreak/>
        <w:t>5b. Method of computation</w:t>
      </w:r>
      <w:r w:rsidRPr="00ED7E61">
        <w:rPr>
          <w:rStyle w:val="eop"/>
          <w:rFonts w:asciiTheme="majorBidi" w:eastAsiaTheme="majorEastAsia" w:hAnsiTheme="majorBidi" w:cstheme="majorBidi"/>
          <w:b/>
          <w:bCs/>
          <w:sz w:val="22"/>
          <w:szCs w:val="22"/>
        </w:rPr>
        <w:t> </w:t>
      </w:r>
    </w:p>
    <w:p w14:paraId="1B5281C0"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proofErr w:type="gramStart"/>
      <w:r w:rsidRPr="00ED7E61">
        <w:rPr>
          <w:rStyle w:val="normaltextrun"/>
          <w:rFonts w:asciiTheme="majorBidi" w:eastAsiaTheme="majorEastAsia" w:hAnsiTheme="majorBidi" w:cstheme="majorBidi"/>
          <w:lang w:val="en-AU"/>
        </w:rPr>
        <w:t>In order to</w:t>
      </w:r>
      <w:proofErr w:type="gramEnd"/>
      <w:r w:rsidRPr="00ED7E61">
        <w:rPr>
          <w:rStyle w:val="normaltextrun"/>
          <w:rFonts w:asciiTheme="majorBidi" w:eastAsiaTheme="majorEastAsia" w:hAnsiTheme="majorBidi" w:cstheme="majorBidi"/>
          <w:lang w:val="en-AU"/>
        </w:rPr>
        <w:t xml:space="preserve"> be counted under the indicator, companies and financial institutions need to publicly disclose their biodiversity-related risks, impacts and dependencies on a regular basis, and in line with relevant standards, regulations and/or best practices. For example, through disclosure of risks, impacts and dependencies on biodiversity, in line with:</w:t>
      </w:r>
      <w:r w:rsidRPr="00ED7E61">
        <w:rPr>
          <w:rStyle w:val="eop"/>
          <w:rFonts w:asciiTheme="majorBidi" w:eastAsiaTheme="majorEastAsia" w:hAnsiTheme="majorBidi" w:cstheme="majorBidi"/>
        </w:rPr>
        <w:t> </w:t>
      </w:r>
    </w:p>
    <w:p w14:paraId="474863DD" w14:textId="4BF65112" w:rsidR="00756F0F" w:rsidRPr="00ED7E61" w:rsidRDefault="00756F0F" w:rsidP="00B10F0C">
      <w:pPr>
        <w:pStyle w:val="CBDNormalNumber"/>
        <w:numPr>
          <w:ilvl w:val="1"/>
          <w:numId w:val="8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International Standards, e.g. as evolving from the International Sustainability Standards Board </w:t>
      </w:r>
      <w:r w:rsidR="000B668D" w:rsidRPr="00ED7E61">
        <w:rPr>
          <w:rStyle w:val="normaltextrun"/>
          <w:rFonts w:eastAsiaTheme="majorEastAsia"/>
        </w:rPr>
        <w:t>(IFRS, ISSB S1 (global), S2 (climate) and forthcoming S3 on nature)</w:t>
      </w:r>
      <w:r w:rsidR="000B668D" w:rsidRPr="00ED7E61" w:rsidDel="000B668D">
        <w:rPr>
          <w:rStyle w:val="normaltextrun"/>
          <w:rFonts w:eastAsiaTheme="majorEastAsia"/>
        </w:rPr>
        <w:t xml:space="preserve"> </w:t>
      </w:r>
      <w:r w:rsidRPr="00ED7E61">
        <w:rPr>
          <w:rStyle w:val="normaltextrun"/>
        </w:rPr>
        <w:t> </w:t>
      </w:r>
    </w:p>
    <w:p w14:paraId="3F2BE935" w14:textId="4390F555" w:rsidR="00756F0F" w:rsidRPr="00ED7E61" w:rsidRDefault="00756F0F" w:rsidP="00B10F0C">
      <w:pPr>
        <w:pStyle w:val="CBDNormalNumber"/>
        <w:numPr>
          <w:ilvl w:val="1"/>
          <w:numId w:val="8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Regional regulation, e.g. European Union Corporate Sustainability Reporting Directive (CSRD)</w:t>
      </w:r>
      <w:r w:rsidRPr="00ED7E61">
        <w:rPr>
          <w:rStyle w:val="normaltextrun"/>
        </w:rPr>
        <w:t> </w:t>
      </w:r>
    </w:p>
    <w:p w14:paraId="129E5A84" w14:textId="2B2096E5" w:rsidR="00756F0F" w:rsidRPr="00ED7E61" w:rsidRDefault="00756F0F" w:rsidP="00B10F0C">
      <w:pPr>
        <w:pStyle w:val="CBDNormalNumber"/>
        <w:numPr>
          <w:ilvl w:val="1"/>
          <w:numId w:val="8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National regulation, e.g. France Energy and Climate Law (LEC), India’s Business Responsibility and Sustainability Report (BRSR)</w:t>
      </w:r>
      <w:r w:rsidRPr="00ED7E61">
        <w:rPr>
          <w:rStyle w:val="normaltextrun"/>
        </w:rPr>
        <w:t> </w:t>
      </w:r>
    </w:p>
    <w:p w14:paraId="60033FA3" w14:textId="1C49A0F1" w:rsidR="00756F0F" w:rsidRPr="00ED7E61" w:rsidRDefault="00756F0F" w:rsidP="00B10F0C">
      <w:pPr>
        <w:pStyle w:val="CBDNormalNumber"/>
        <w:numPr>
          <w:ilvl w:val="1"/>
          <w:numId w:val="8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Voluntary standards, e.g. Global Reporting Initiative (GRI)</w:t>
      </w:r>
      <w:r w:rsidRPr="00ED7E61">
        <w:rPr>
          <w:rStyle w:val="normaltextrun"/>
        </w:rPr>
        <w:t> </w:t>
      </w:r>
    </w:p>
    <w:p w14:paraId="77AD2734" w14:textId="77777777" w:rsidR="00756F0F" w:rsidRPr="00ED7E61" w:rsidRDefault="00756F0F" w:rsidP="00B10F0C">
      <w:pPr>
        <w:pStyle w:val="CBDNormalNumber"/>
        <w:numPr>
          <w:ilvl w:val="1"/>
          <w:numId w:val="88"/>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Voluntary disclosure frameworks / guidance, e.g. Taskforce for Nature-related Financial Disclosure (TNFD), Science-Based Targets for Nature (SBTN), Biodiversity Disclosure Protocol (South Africa)</w:t>
      </w:r>
      <w:r w:rsidRPr="00ED7E61">
        <w:rPr>
          <w:rStyle w:val="normaltextrun"/>
        </w:rPr>
        <w:t> </w:t>
      </w:r>
    </w:p>
    <w:p w14:paraId="48C5F1AC"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The computation of the indicator involves a straightforward counting process. Any entity that adheres to the "</w:t>
      </w:r>
      <w:r w:rsidRPr="00FB1598">
        <w:rPr>
          <w:rStyle w:val="normaltextrun"/>
          <w:rFonts w:asciiTheme="majorBidi" w:eastAsiaTheme="majorEastAsia" w:hAnsiTheme="majorBidi" w:cstheme="majorBidi"/>
          <w:i/>
          <w:iCs/>
          <w:lang w:val="en-AU"/>
        </w:rPr>
        <w:t>company</w:t>
      </w:r>
      <w:r w:rsidRPr="00ED7E61">
        <w:rPr>
          <w:rStyle w:val="normaltextrun"/>
          <w:rFonts w:asciiTheme="majorBidi" w:eastAsiaTheme="majorEastAsia" w:hAnsiTheme="majorBidi" w:cstheme="majorBidi"/>
          <w:lang w:val="en-AU"/>
        </w:rPr>
        <w:t>" definition (see 5a) and that discloses its biodiversity-related risks, impacts and dependencies, per description above, is counted as a disclosing company within the context of this indicator. </w:t>
      </w:r>
      <w:r w:rsidRPr="00ED7E61">
        <w:rPr>
          <w:rStyle w:val="eop"/>
          <w:rFonts w:asciiTheme="majorBidi" w:eastAsiaTheme="majorEastAsia" w:hAnsiTheme="majorBidi" w:cstheme="majorBidi"/>
        </w:rPr>
        <w:t> </w:t>
      </w:r>
    </w:p>
    <w:p w14:paraId="6CD53005"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5c. Data collection method </w:t>
      </w:r>
      <w:r w:rsidRPr="00ED7E61">
        <w:rPr>
          <w:rStyle w:val="eop"/>
          <w:rFonts w:asciiTheme="majorBidi" w:eastAsiaTheme="majorEastAsia" w:hAnsiTheme="majorBidi" w:cstheme="majorBidi"/>
          <w:b/>
          <w:bCs/>
          <w:sz w:val="22"/>
          <w:szCs w:val="22"/>
        </w:rPr>
        <w:t> </w:t>
      </w:r>
    </w:p>
    <w:p w14:paraId="1D7F4E42" w14:textId="35AB10E1"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Governments have various channels through which they can gather information about which and how many companies and financial institutions disclose information about their biodiversity risks, dependencies, and impacts. It's important for governments to use a combination of approaches to ensure a comprehensive overview of biodiversity disclosures within their country. Collaborative efforts with businesses, industry stakeholders, and civil society can contribute to a more robust and effective monitoring system:</w:t>
      </w:r>
      <w:r w:rsidRPr="00ED7E61">
        <w:rPr>
          <w:rStyle w:val="eop"/>
          <w:rFonts w:asciiTheme="majorBidi" w:eastAsiaTheme="majorEastAsia" w:hAnsiTheme="majorBidi" w:cstheme="majorBidi"/>
        </w:rPr>
        <w:t> </w:t>
      </w:r>
    </w:p>
    <w:p w14:paraId="7F1A92BF" w14:textId="46AA3749" w:rsidR="009D6E5D"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eastAsiaTheme="majorEastAsia"/>
        </w:rPr>
        <w:t>Public</w:t>
      </w:r>
      <w:r w:rsidRPr="00ED7E61">
        <w:rPr>
          <w:rStyle w:val="normaltextrun"/>
          <w:rFonts w:asciiTheme="majorBidi" w:eastAsiaTheme="majorEastAsia" w:hAnsiTheme="majorBidi" w:cstheme="majorBidi"/>
          <w:u w:val="single"/>
          <w:lang w:val="en-AU"/>
        </w:rPr>
        <w:t xml:space="preserve"> </w:t>
      </w:r>
      <w:r w:rsidRPr="00ED7E61">
        <w:rPr>
          <w:rStyle w:val="normaltextrun"/>
          <w:rFonts w:asciiTheme="majorBidi" w:eastAsiaTheme="majorEastAsia" w:hAnsiTheme="majorBidi" w:cstheme="majorBidi"/>
          <w:lang w:val="en-AU"/>
        </w:rPr>
        <w:t>institutions: Governments could engage with (inter)national standard setters, regulators, national ministries, or other public institutions to explore collaboration around collating information on the number of businesses disclosing relevant data. </w:t>
      </w:r>
      <w:r w:rsidRPr="00ED7E61">
        <w:rPr>
          <w:rStyle w:val="eop"/>
          <w:rFonts w:asciiTheme="majorBidi" w:eastAsiaTheme="majorEastAsia" w:hAnsiTheme="majorBidi" w:cstheme="majorBidi"/>
        </w:rPr>
        <w:t> </w:t>
      </w:r>
      <w:r w:rsidRPr="00ED7E61">
        <w:rPr>
          <w:rStyle w:val="normaltextrun"/>
          <w:rFonts w:asciiTheme="majorBidi" w:eastAsiaTheme="majorEastAsia" w:hAnsiTheme="majorBidi" w:cstheme="majorBidi"/>
          <w:lang w:val="en-AU"/>
        </w:rPr>
        <w:t xml:space="preserve">For example, in France, companies send their reports to the Autorité des </w:t>
      </w:r>
      <w:proofErr w:type="spellStart"/>
      <w:r w:rsidRPr="00ED7E61">
        <w:rPr>
          <w:rStyle w:val="normaltextrun"/>
          <w:rFonts w:asciiTheme="majorBidi" w:eastAsiaTheme="majorEastAsia" w:hAnsiTheme="majorBidi" w:cstheme="majorBidi"/>
          <w:lang w:val="en-AU"/>
        </w:rPr>
        <w:t>Marchés</w:t>
      </w:r>
      <w:proofErr w:type="spellEnd"/>
      <w:r w:rsidRPr="00ED7E61">
        <w:rPr>
          <w:rStyle w:val="normaltextrun"/>
          <w:rFonts w:asciiTheme="majorBidi" w:eastAsiaTheme="majorEastAsia" w:hAnsiTheme="majorBidi" w:cstheme="majorBidi"/>
          <w:lang w:val="en-AU"/>
        </w:rPr>
        <w:t xml:space="preserve"> Financiers – AMF, to </w:t>
      </w:r>
      <w:proofErr w:type="gramStart"/>
      <w:r w:rsidRPr="00ED7E61">
        <w:rPr>
          <w:rStyle w:val="normaltextrun"/>
          <w:rFonts w:asciiTheme="majorBidi" w:eastAsiaTheme="majorEastAsia" w:hAnsiTheme="majorBidi" w:cstheme="majorBidi"/>
          <w:lang w:val="en-AU"/>
        </w:rPr>
        <w:t>be in compliance with</w:t>
      </w:r>
      <w:proofErr w:type="gramEnd"/>
      <w:r w:rsidRPr="00ED7E61">
        <w:rPr>
          <w:rStyle w:val="normaltextrun"/>
          <w:rFonts w:asciiTheme="majorBidi" w:eastAsiaTheme="majorEastAsia" w:hAnsiTheme="majorBidi" w:cstheme="majorBidi"/>
          <w:lang w:val="en-AU"/>
        </w:rPr>
        <w:t xml:space="preserve"> the energy-climate law (article 29) requiring asset management companies and financial companies (for their asset management activities) to disclose their nature-related risks, impacts and dependencies. These reports are then sent to ADEME (a public environmental institution), which makes a comparative analysis. </w:t>
      </w:r>
      <w:r w:rsidRPr="00ED7E61">
        <w:rPr>
          <w:rStyle w:val="eop"/>
          <w:rFonts w:asciiTheme="majorBidi" w:eastAsiaTheme="majorEastAsia" w:hAnsiTheme="majorBidi" w:cstheme="majorBidi"/>
        </w:rPr>
        <w:t> </w:t>
      </w:r>
    </w:p>
    <w:p w14:paraId="7B284E45" w14:textId="28FA7AB8" w:rsidR="009D6E5D"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lang w:val="en-AU"/>
        </w:rPr>
        <w:t>International reporting platforms</w:t>
      </w:r>
      <w:r w:rsidRPr="00ED7E61">
        <w:rPr>
          <w:rStyle w:val="normaltextrun"/>
          <w:rFonts w:asciiTheme="majorBidi" w:eastAsiaTheme="majorEastAsia" w:hAnsiTheme="majorBidi" w:cstheme="majorBidi"/>
          <w:u w:val="single"/>
          <w:lang w:val="en-AU"/>
        </w:rPr>
        <w:t>:</w:t>
      </w:r>
      <w:r w:rsidRPr="00ED7E61">
        <w:rPr>
          <w:rStyle w:val="normaltextrun"/>
          <w:rFonts w:asciiTheme="majorBidi" w:eastAsiaTheme="majorEastAsia" w:hAnsiTheme="majorBidi" w:cstheme="majorBidi"/>
          <w:lang w:val="en-AU"/>
        </w:rPr>
        <w:t xml:space="preserve"> </w:t>
      </w:r>
      <w:r w:rsidR="008F4606" w:rsidRPr="00ED7E61">
        <w:rPr>
          <w:rStyle w:val="normaltextrun"/>
          <w:rFonts w:asciiTheme="majorBidi" w:eastAsiaTheme="majorEastAsia" w:hAnsiTheme="majorBidi" w:cstheme="majorBidi"/>
          <w:lang w:val="en-AU"/>
        </w:rPr>
        <w:t>Companies may report on biodiversity disclosures through international reporting and monitoring platforms such as CDP.</w:t>
      </w:r>
      <w:r w:rsidR="001623D1" w:rsidRPr="001623D1">
        <w:rPr>
          <w:lang w:val="en-AU"/>
        </w:rPr>
        <w:t xml:space="preserve"> </w:t>
      </w:r>
      <w:r w:rsidR="001623D1" w:rsidRPr="43C777D2">
        <w:rPr>
          <w:lang w:val="en-AU"/>
        </w:rPr>
        <w:t>CDP’s monitoring of Target 15.1</w:t>
      </w:r>
      <w:r w:rsidR="001623D1" w:rsidRPr="1611AD4C">
        <w:rPr>
          <w:lang w:val="en-AU"/>
        </w:rPr>
        <w:t xml:space="preserve"> is updated annually, and</w:t>
      </w:r>
      <w:r w:rsidR="001623D1" w:rsidRPr="43C777D2">
        <w:rPr>
          <w:lang w:val="en-AU"/>
        </w:rPr>
        <w:t xml:space="preserve"> highlights – at a country level</w:t>
      </w:r>
      <w:r w:rsidR="001623D1">
        <w:rPr>
          <w:lang w:val="en-AU"/>
        </w:rPr>
        <w:t xml:space="preserve"> </w:t>
      </w:r>
      <w:r w:rsidR="001623D1" w:rsidRPr="43C777D2">
        <w:rPr>
          <w:lang w:val="en-AU"/>
        </w:rPr>
        <w:t>– the publicly disclosing organizations that have established processes to identify, assess and manage their nature-related risks, dependencies and impacts.</w:t>
      </w:r>
      <w:r w:rsidR="008F4606" w:rsidRPr="00ED7E61">
        <w:rPr>
          <w:rStyle w:val="normaltextrun"/>
          <w:rFonts w:asciiTheme="majorBidi" w:eastAsiaTheme="majorEastAsia" w:hAnsiTheme="majorBidi" w:cstheme="majorBidi"/>
          <w:lang w:val="en-AU"/>
        </w:rPr>
        <w:t xml:space="preserve"> </w:t>
      </w:r>
      <w:r w:rsidR="00070A85">
        <w:rPr>
          <w:rStyle w:val="normaltextrun"/>
          <w:rFonts w:asciiTheme="majorBidi" w:eastAsiaTheme="majorEastAsia" w:hAnsiTheme="majorBidi" w:cstheme="majorBidi"/>
          <w:lang w:val="en-AU"/>
        </w:rPr>
        <w:t>I</w:t>
      </w:r>
      <w:r w:rsidR="008F4606" w:rsidRPr="00ED7E61">
        <w:rPr>
          <w:rStyle w:val="normaltextrun"/>
          <w:rFonts w:asciiTheme="majorBidi" w:eastAsiaTheme="majorEastAsia" w:hAnsiTheme="majorBidi" w:cstheme="majorBidi"/>
          <w:lang w:val="en-AU"/>
        </w:rPr>
        <w:t xml:space="preserve">nitiatives such as the World Benchmarking Alliance are </w:t>
      </w:r>
      <w:r w:rsidR="00070A85">
        <w:rPr>
          <w:rStyle w:val="normaltextrun"/>
          <w:rFonts w:asciiTheme="majorBidi" w:eastAsiaTheme="majorEastAsia" w:hAnsiTheme="majorBidi" w:cstheme="majorBidi"/>
          <w:lang w:val="en-AU"/>
        </w:rPr>
        <w:t xml:space="preserve">also </w:t>
      </w:r>
      <w:r w:rsidR="008F4606" w:rsidRPr="00ED7E61">
        <w:rPr>
          <w:rStyle w:val="normaltextrun"/>
          <w:rFonts w:asciiTheme="majorBidi" w:eastAsiaTheme="majorEastAsia" w:hAnsiTheme="majorBidi" w:cstheme="majorBidi"/>
          <w:lang w:val="en-AU"/>
        </w:rPr>
        <w:t>instrumental in monitoring organizations and make information publicly available. GRI holds a registry of GRI Standards reports. Governments can explore data-sharing arrangements with such platforms to help assess which companies are disclosing biodiversity-related information – as well as the quality of said disclosure. </w:t>
      </w:r>
      <w:r w:rsidR="008F4606" w:rsidRPr="00ED7E61">
        <w:rPr>
          <w:rStyle w:val="eop"/>
          <w:rFonts w:asciiTheme="majorBidi" w:eastAsiaTheme="majorEastAsia" w:hAnsiTheme="majorBidi" w:cstheme="majorBidi"/>
        </w:rPr>
        <w:t> </w:t>
      </w:r>
    </w:p>
    <w:p w14:paraId="08DD5A74" w14:textId="2CB87FF7" w:rsidR="009D6E5D"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lang w:val="en-AU"/>
        </w:rPr>
        <w:t xml:space="preserve">Framework developers: Organizations providing frameworks and guidance to companies and financial institutions on assessing and disclosing nature related risks, dependencies and impacts (e.g. TNFD and SBTN) may track which companies apply their guidance. For example, </w:t>
      </w:r>
      <w:r w:rsidRPr="00ED7E61">
        <w:rPr>
          <w:rStyle w:val="normaltextrun"/>
          <w:rFonts w:asciiTheme="majorBidi" w:eastAsiaTheme="majorEastAsia" w:hAnsiTheme="majorBidi" w:cstheme="majorBidi"/>
          <w:lang w:val="en-AU"/>
        </w:rPr>
        <w:lastRenderedPageBreak/>
        <w:t>starting in 2025, the TNFD plans to publish information about which organizations are TNFD adopters.</w:t>
      </w:r>
      <w:r w:rsidRPr="00ED7E61">
        <w:rPr>
          <w:rStyle w:val="eop"/>
          <w:rFonts w:asciiTheme="majorBidi" w:eastAsiaTheme="majorEastAsia" w:hAnsiTheme="majorBidi" w:cstheme="majorBidi"/>
        </w:rPr>
        <w:t> </w:t>
      </w:r>
    </w:p>
    <w:p w14:paraId="44E40C15" w14:textId="7AECE140" w:rsidR="009D6E5D"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lang w:val="en-AU"/>
        </w:rPr>
        <w:t>Chambers of Commerce: While specifics can vary by country and local regulations, the Chambers of Commerce often play a key role in the collection and dissemination of certain business documents, including annual reports. The annual reports serve as the main disclosure tool for companies reporting on risks, dependencies, impacts and on biodiversity. </w:t>
      </w:r>
      <w:r w:rsidRPr="00ED7E61">
        <w:rPr>
          <w:rStyle w:val="eop"/>
          <w:rFonts w:asciiTheme="majorBidi" w:eastAsiaTheme="majorEastAsia" w:hAnsiTheme="majorBidi" w:cstheme="majorBidi"/>
        </w:rPr>
        <w:t> </w:t>
      </w:r>
    </w:p>
    <w:p w14:paraId="4CA8C4D2" w14:textId="3D11F2DC" w:rsidR="009D6E5D"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lang w:val="en-AU"/>
        </w:rPr>
        <w:t xml:space="preserve">Industry associations: Industry associations </w:t>
      </w:r>
      <w:r w:rsidR="008F4606" w:rsidRPr="00ED7E61">
        <w:rPr>
          <w:rStyle w:val="normaltextrun"/>
          <w:rFonts w:asciiTheme="majorBidi" w:eastAsiaTheme="majorEastAsia" w:hAnsiTheme="majorBidi" w:cstheme="majorBidi"/>
          <w:lang w:val="en-AU"/>
        </w:rPr>
        <w:t xml:space="preserve">such as World Business Council for Sustainable Development (WCSD), the World Economic Forum (WEF), Business for Nature (B4N), </w:t>
      </w:r>
      <w:r w:rsidRPr="00ED7E61">
        <w:rPr>
          <w:rStyle w:val="normaltextrun"/>
          <w:rFonts w:asciiTheme="majorBidi" w:eastAsiaTheme="majorEastAsia" w:hAnsiTheme="majorBidi" w:cstheme="majorBidi"/>
          <w:lang w:val="en-AU"/>
        </w:rPr>
        <w:t>may promote biodiversity disclosures. Governments can work together with these associations to promote sustainable practices and gain insight into the number of companies disclosing relevant information.</w:t>
      </w:r>
      <w:r w:rsidRPr="00ED7E61">
        <w:rPr>
          <w:rStyle w:val="eop"/>
          <w:rFonts w:asciiTheme="majorBidi" w:eastAsiaTheme="majorEastAsia" w:hAnsiTheme="majorBidi" w:cstheme="majorBidi"/>
        </w:rPr>
        <w:t> </w:t>
      </w:r>
    </w:p>
    <w:p w14:paraId="722243D6" w14:textId="0CD528EE" w:rsidR="009D6E5D"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lang w:val="en-AU"/>
        </w:rPr>
        <w:t>NGOs, IGOs and research organizations: Collaborating with non-governmental organizations (NGOs), and intergovernmental organizations (IGOs) and research institutions can provide governments with valuable insights. These organizations often conduct assessments and gather data on corporate sustainability practices, including biodiversity disclosures. For example, the Global Biodiversity Information Facility (GBIF) facilitates publication and use of private-sector data on biodiversity. This includes the data that companies collect during monitoring and impact assessment activities. Biodiversity data-sharing requirements or recommendations are increasingly becoming part of business and financial standards and best practices, including through the Equator Principles relating to large private financial institutions.</w:t>
      </w:r>
      <w:r w:rsidRPr="00ED7E61">
        <w:rPr>
          <w:rStyle w:val="eop"/>
          <w:rFonts w:asciiTheme="majorBidi" w:eastAsiaTheme="majorEastAsia" w:hAnsiTheme="majorBidi" w:cstheme="majorBidi"/>
        </w:rPr>
        <w:t> </w:t>
      </w:r>
    </w:p>
    <w:p w14:paraId="37F65089" w14:textId="4E08E490" w:rsidR="009D6E5D"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lang w:val="en-AU"/>
        </w:rPr>
        <w:t>Surveys and Recognition Programs: Directly engage with companies through surveys or recognition programs may help gather specific information on biodiversity disclosures. </w:t>
      </w:r>
      <w:r w:rsidRPr="00ED7E61">
        <w:rPr>
          <w:rStyle w:val="eop"/>
          <w:rFonts w:asciiTheme="majorBidi" w:eastAsiaTheme="majorEastAsia" w:hAnsiTheme="majorBidi" w:cstheme="majorBidi"/>
        </w:rPr>
        <w:t> </w:t>
      </w:r>
    </w:p>
    <w:p w14:paraId="440FEC77" w14:textId="053AAC97" w:rsidR="009D6E5D"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lang w:val="en-AU"/>
        </w:rPr>
        <w:t>Corporate filings: Review corporate filings, including annual reports and other regulatory submissions, where companies may provide details about their biodiversity-related practices.</w:t>
      </w:r>
      <w:r w:rsidRPr="00ED7E61">
        <w:rPr>
          <w:rStyle w:val="eop"/>
          <w:rFonts w:asciiTheme="majorBidi" w:eastAsiaTheme="majorEastAsia" w:hAnsiTheme="majorBidi" w:cstheme="majorBidi"/>
        </w:rPr>
        <w:t> </w:t>
      </w:r>
    </w:p>
    <w:p w14:paraId="542968E6" w14:textId="69318008" w:rsidR="009D6E5D"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lang w:val="en-AU"/>
        </w:rPr>
        <w:t>Artificial Intelligence tools / Online data searches: Many companies voluntarily publish sustainability reports or disclose information on their websites. With the help of Artificial Intelligence Tools or web-based searches, governments can review these publicly available documents to identify companies that provide information on biodiversity-related risks, dependencies, and impacts. </w:t>
      </w:r>
      <w:r w:rsidRPr="00ED7E61">
        <w:rPr>
          <w:rStyle w:val="eop"/>
          <w:rFonts w:asciiTheme="majorBidi" w:eastAsiaTheme="majorEastAsia" w:hAnsiTheme="majorBidi" w:cstheme="majorBidi"/>
        </w:rPr>
        <w:t> </w:t>
      </w:r>
    </w:p>
    <w:p w14:paraId="7E739199" w14:textId="77777777" w:rsidR="00756F0F" w:rsidRPr="00ED7E61" w:rsidRDefault="00756F0F" w:rsidP="00B10F0C">
      <w:pPr>
        <w:pStyle w:val="CBDNormalNumber"/>
        <w:numPr>
          <w:ilvl w:val="1"/>
          <w:numId w:val="88"/>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lang w:val="en-AU"/>
        </w:rPr>
        <w:t>UNCTAD / UNEP / UN Global Compact: United Nations Conference on Trade and Development (UNCTAD) and United Nations Environment Programme (UNEP) are the Custodian Agencies for the SDG indicator 12.6.1: Number of companies publishing sustainability reports. Some SDG 12.6.1 indicator data is published on UNEP’s World Environment Situation Room (WESR) website, as well as through UN SDG Indicator Database. Moreover, the United Nations (UN) Global Compact encourages businesses and organizations worldwide to adopt sustainable and socially responsible policies and to report on their implementation. </w:t>
      </w:r>
      <w:r w:rsidRPr="00ED7E61">
        <w:rPr>
          <w:rStyle w:val="eop"/>
          <w:rFonts w:asciiTheme="majorBidi" w:eastAsiaTheme="majorEastAsia" w:hAnsiTheme="majorBidi" w:cstheme="majorBidi"/>
        </w:rPr>
        <w:t> </w:t>
      </w:r>
    </w:p>
    <w:p w14:paraId="15A8C8C6"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5d. Data sources</w:t>
      </w:r>
      <w:r w:rsidRPr="00ED7E61">
        <w:rPr>
          <w:rStyle w:val="eop"/>
          <w:rFonts w:asciiTheme="majorBidi" w:eastAsiaTheme="majorEastAsia" w:hAnsiTheme="majorBidi" w:cstheme="majorBidi"/>
          <w:b/>
          <w:bCs/>
          <w:sz w:val="22"/>
          <w:szCs w:val="22"/>
        </w:rPr>
        <w:t> </w:t>
      </w:r>
    </w:p>
    <w:p w14:paraId="072B08D5" w14:textId="77777777" w:rsidR="00756F0F" w:rsidRPr="00ED7E61" w:rsidRDefault="00756F0F" w:rsidP="004E0302">
      <w:pPr>
        <w:pStyle w:val="CBDNormalNumber"/>
        <w:shd w:val="clear" w:color="auto" w:fill="FFFFFF"/>
        <w:ind w:left="567"/>
        <w:rPr>
          <w:rStyle w:val="normaltextrun"/>
          <w:rFonts w:eastAsiaTheme="majorEastAsia"/>
          <w:lang w:val="en-AU"/>
        </w:rPr>
      </w:pPr>
      <w:r w:rsidRPr="00ED7E61">
        <w:rPr>
          <w:rStyle w:val="normaltextrun"/>
          <w:rFonts w:asciiTheme="majorBidi" w:eastAsiaTheme="majorEastAsia" w:hAnsiTheme="majorBidi" w:cstheme="majorBidi"/>
          <w:lang w:val="en-AU"/>
        </w:rPr>
        <w:t>See section 5c. </w:t>
      </w:r>
      <w:r w:rsidRPr="00ED7E61">
        <w:rPr>
          <w:rStyle w:val="normaltextrun"/>
          <w:lang w:val="en-AU"/>
        </w:rPr>
        <w:t> </w:t>
      </w:r>
    </w:p>
    <w:p w14:paraId="18FE9000"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5e. Data providers</w:t>
      </w:r>
      <w:r w:rsidRPr="00ED7E61">
        <w:rPr>
          <w:rStyle w:val="eop"/>
          <w:rFonts w:asciiTheme="majorBidi" w:eastAsiaTheme="majorEastAsia" w:hAnsiTheme="majorBidi" w:cstheme="majorBidi"/>
          <w:b/>
          <w:bCs/>
          <w:sz w:val="22"/>
          <w:szCs w:val="22"/>
        </w:rPr>
        <w:t> </w:t>
      </w:r>
    </w:p>
    <w:p w14:paraId="78E70173" w14:textId="77777777" w:rsidR="00756F0F" w:rsidRPr="00ED7E61" w:rsidRDefault="00756F0F" w:rsidP="00B10F0C">
      <w:pPr>
        <w:pStyle w:val="CBDNormalNumber"/>
        <w:numPr>
          <w:ilvl w:val="0"/>
          <w:numId w:val="88"/>
        </w:numPr>
        <w:shd w:val="clear" w:color="auto" w:fill="FFFFFF"/>
        <w:ind w:left="567" w:firstLine="0"/>
        <w:rPr>
          <w:rStyle w:val="normaltextrun"/>
          <w:rFonts w:eastAsiaTheme="majorEastAsia"/>
          <w:lang w:val="en-AU"/>
        </w:rPr>
      </w:pPr>
      <w:r w:rsidRPr="00ED7E61">
        <w:rPr>
          <w:rStyle w:val="normaltextrun"/>
          <w:rFonts w:asciiTheme="majorBidi" w:eastAsiaTheme="majorEastAsia" w:hAnsiTheme="majorBidi" w:cstheme="majorBidi"/>
          <w:lang w:val="en-AU"/>
        </w:rPr>
        <w:t>In most countries there are no specific entities tasked with gathering and assessing all relevant information regarding the disclosure of companies' biodiversity-related risks, dependencies and impacts. </w:t>
      </w:r>
      <w:r w:rsidRPr="00ED7E61">
        <w:rPr>
          <w:rStyle w:val="normaltextrun"/>
          <w:lang w:val="en-AU"/>
        </w:rPr>
        <w:t> </w:t>
      </w:r>
    </w:p>
    <w:p w14:paraId="512F947C"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5f. Data compilers </w:t>
      </w:r>
      <w:r w:rsidRPr="00ED7E61">
        <w:rPr>
          <w:rStyle w:val="eop"/>
          <w:rFonts w:asciiTheme="majorBidi" w:eastAsiaTheme="majorEastAsia" w:hAnsiTheme="majorBidi" w:cstheme="majorBidi"/>
          <w:b/>
          <w:bCs/>
          <w:sz w:val="22"/>
          <w:szCs w:val="22"/>
        </w:rPr>
        <w:t> </w:t>
      </w:r>
    </w:p>
    <w:p w14:paraId="29602EB1"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AU"/>
        </w:rPr>
        <w:t>Not identified, see above. </w:t>
      </w:r>
      <w:r w:rsidRPr="00ED7E61">
        <w:rPr>
          <w:rStyle w:val="eop"/>
          <w:rFonts w:asciiTheme="majorBidi" w:eastAsiaTheme="majorEastAsia" w:hAnsiTheme="majorBidi" w:cstheme="majorBidi"/>
          <w:sz w:val="22"/>
          <w:szCs w:val="22"/>
        </w:rPr>
        <w:t> </w:t>
      </w:r>
    </w:p>
    <w:p w14:paraId="69EC0760" w14:textId="77777777" w:rsidR="00756F0F" w:rsidRPr="00ED7E61" w:rsidRDefault="00756F0F" w:rsidP="004E0302">
      <w:pPr>
        <w:pStyle w:val="paragraph"/>
        <w:pBdr>
          <w:bottom w:val="single" w:sz="4" w:space="1" w:color="000000"/>
        </w:pBdr>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5g. Gaps in data coverage</w:t>
      </w:r>
      <w:r w:rsidRPr="00ED7E61">
        <w:rPr>
          <w:rStyle w:val="eop"/>
          <w:rFonts w:asciiTheme="majorBidi" w:eastAsiaTheme="majorEastAsia" w:hAnsiTheme="majorBidi" w:cstheme="majorBidi"/>
          <w:b/>
          <w:bCs/>
          <w:sz w:val="22"/>
          <w:szCs w:val="22"/>
        </w:rPr>
        <w:t> </w:t>
      </w:r>
    </w:p>
    <w:p w14:paraId="1EE3EE3B"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lastRenderedPageBreak/>
        <w:t>Significant data gaps are expected, as most countries lack specific entities tasked with systematically gathering and assessing companies’ disclosures on biodiversity-related risks, dependencies and impacts, risks.</w:t>
      </w:r>
      <w:r w:rsidRPr="00ED7E61">
        <w:rPr>
          <w:rStyle w:val="eop"/>
          <w:rFonts w:asciiTheme="majorBidi" w:eastAsiaTheme="majorEastAsia" w:hAnsiTheme="majorBidi" w:cstheme="majorBidi"/>
        </w:rPr>
        <w:t> </w:t>
      </w:r>
    </w:p>
    <w:p w14:paraId="293706AE"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 Scale </w:t>
      </w:r>
      <w:r w:rsidRPr="00ED7E61">
        <w:rPr>
          <w:rStyle w:val="eop"/>
          <w:rFonts w:asciiTheme="majorBidi" w:eastAsiaTheme="majorEastAsia" w:hAnsiTheme="majorBidi" w:cstheme="majorBidi"/>
          <w:b/>
          <w:bCs/>
          <w:sz w:val="22"/>
          <w:szCs w:val="22"/>
        </w:rPr>
        <w:t> </w:t>
      </w:r>
    </w:p>
    <w:p w14:paraId="3F08125C" w14:textId="77777777" w:rsidR="00756F0F" w:rsidRPr="00ED7E61" w:rsidRDefault="00756F0F" w:rsidP="004E0302">
      <w:pPr>
        <w:pStyle w:val="paragraph"/>
        <w:pBdr>
          <w:bottom w:val="single" w:sz="4" w:space="1" w:color="000000"/>
        </w:pBdr>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b/>
          <w:bCs/>
          <w:sz w:val="22"/>
          <w:szCs w:val="22"/>
        </w:rPr>
        <w:t> </w:t>
      </w:r>
    </w:p>
    <w:p w14:paraId="33B52266"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Scale</w:t>
      </w:r>
      <w:r w:rsidRPr="00ED7E61">
        <w:rPr>
          <w:rStyle w:val="normaltextrun"/>
          <w:rFonts w:asciiTheme="majorBidi" w:eastAsiaTheme="majorEastAsia" w:hAnsiTheme="majorBidi" w:cstheme="majorBidi"/>
        </w:rPr>
        <w:t xml:space="preserve"> of application (please check all relevant boxes):</w:t>
      </w:r>
      <w:r w:rsidRPr="00ED7E61">
        <w:rPr>
          <w:rStyle w:val="normaltextrun"/>
          <w:rFonts w:asciiTheme="majorBidi" w:eastAsiaTheme="majorEastAsia" w:hAnsiTheme="majorBidi" w:cstheme="majorBidi"/>
          <w:i/>
          <w:iCs/>
        </w:rPr>
        <w:t> </w:t>
      </w:r>
      <w:r w:rsidRPr="00ED7E61">
        <w:rPr>
          <w:rStyle w:val="eop"/>
          <w:rFonts w:asciiTheme="majorBidi" w:eastAsiaTheme="majorEastAsia" w:hAnsiTheme="majorBidi" w:cstheme="majorBidi"/>
        </w:rPr>
        <w:t> </w:t>
      </w:r>
    </w:p>
    <w:p w14:paraId="46F567C4" w14:textId="77777777" w:rsidR="00756F0F" w:rsidRPr="00ED7E61" w:rsidRDefault="00756F0F" w:rsidP="004E0302">
      <w:pPr>
        <w:pStyle w:val="paragraph"/>
        <w:spacing w:before="0" w:beforeAutospacing="0" w:after="0" w:afterAutospacing="0"/>
        <w:ind w:left="567"/>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4F9A9355" w14:textId="77777777" w:rsidR="00756F0F" w:rsidRPr="00ED7E61" w:rsidRDefault="00756F0F" w:rsidP="004E0302">
      <w:pPr>
        <w:pStyle w:val="paragraph"/>
        <w:spacing w:before="0" w:beforeAutospacing="0" w:after="0" w:afterAutospacing="0"/>
        <w:ind w:left="567"/>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data disaggregation/aggregation: </w:t>
      </w:r>
      <w:r w:rsidRPr="00ED7E61">
        <w:rPr>
          <w:rStyle w:val="eop"/>
          <w:rFonts w:asciiTheme="majorBidi" w:eastAsiaTheme="majorEastAsia" w:hAnsiTheme="majorBidi" w:cstheme="majorBidi"/>
          <w:sz w:val="22"/>
          <w:szCs w:val="22"/>
        </w:rPr>
        <w:t> </w:t>
      </w:r>
    </w:p>
    <w:p w14:paraId="78130881"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 xml:space="preserve">Global/ regional scale indicator can be disaggregated to national level: </w:t>
      </w:r>
      <w:r w:rsidRPr="00ED7E61">
        <w:rPr>
          <w:rStyle w:val="normaltextrun"/>
          <w:rFonts w:eastAsiaTheme="majorEastAsia"/>
          <w:lang w:val="en-AU"/>
        </w:rPr>
        <w:t>​</w:t>
      </w:r>
      <w:r w:rsidRPr="00ED7E61">
        <w:rPr>
          <w:rStyle w:val="normaltextrun"/>
          <w:rFonts w:ascii="Segoe UI Symbol" w:eastAsiaTheme="majorEastAsia" w:hAnsi="Segoe UI Symbol" w:cs="Segoe UI Symbol"/>
          <w:lang w:val="en-AU"/>
        </w:rPr>
        <w:t>☒</w:t>
      </w:r>
      <w:r w:rsidRPr="00ED7E61">
        <w:rPr>
          <w:rStyle w:val="normaltextrun"/>
          <w:rFonts w:eastAsiaTheme="majorEastAsia"/>
          <w:lang w:val="en-AU"/>
        </w:rPr>
        <w:t>​</w:t>
      </w:r>
      <w:r w:rsidRPr="00ED7E61">
        <w:rPr>
          <w:rStyle w:val="normaltextrun"/>
          <w:lang w:val="en-AU"/>
        </w:rPr>
        <w:t> </w:t>
      </w:r>
    </w:p>
    <w:p w14:paraId="0D3A3AE5"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 xml:space="preserve">National data is collated to form global indicator: </w:t>
      </w:r>
      <w:r w:rsidRPr="00ED7E61">
        <w:rPr>
          <w:rStyle w:val="normaltextrun"/>
          <w:rFonts w:eastAsiaTheme="majorEastAsia"/>
          <w:lang w:val="en-AU"/>
        </w:rPr>
        <w:t>​</w:t>
      </w:r>
      <w:r w:rsidRPr="00ED7E61">
        <w:rPr>
          <w:rStyle w:val="normaltextrun"/>
          <w:rFonts w:ascii="Segoe UI Symbol" w:eastAsiaTheme="majorEastAsia" w:hAnsi="Segoe UI Symbol" w:cs="Segoe UI Symbol"/>
          <w:lang w:val="en-AU"/>
        </w:rPr>
        <w:t>☒</w:t>
      </w:r>
      <w:r w:rsidRPr="00ED7E61">
        <w:rPr>
          <w:rStyle w:val="normaltextrun"/>
          <w:rFonts w:eastAsiaTheme="majorEastAsia"/>
          <w:lang w:val="en-AU"/>
        </w:rPr>
        <w:t>​</w:t>
      </w:r>
      <w:r w:rsidRPr="00ED7E61">
        <w:rPr>
          <w:rStyle w:val="normaltextrun"/>
          <w:lang w:val="en-AU"/>
        </w:rPr>
        <w:t> </w:t>
      </w:r>
    </w:p>
    <w:p w14:paraId="0DF22AC0" w14:textId="77777777" w:rsidR="00756F0F" w:rsidRPr="00ED7E61" w:rsidRDefault="00756F0F" w:rsidP="00812871">
      <w:pPr>
        <w:pStyle w:val="paragraph"/>
        <w:pBdr>
          <w:bottom w:val="single" w:sz="4" w:space="1" w:color="000000"/>
        </w:pBdr>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7. Other MEAs, processes and organisations</w:t>
      </w:r>
      <w:r w:rsidRPr="00ED7E61">
        <w:rPr>
          <w:rStyle w:val="eop"/>
          <w:rFonts w:asciiTheme="majorBidi" w:eastAsiaTheme="majorEastAsia" w:hAnsiTheme="majorBidi" w:cstheme="majorBidi"/>
          <w:b/>
          <w:bCs/>
          <w:sz w:val="22"/>
          <w:szCs w:val="22"/>
        </w:rPr>
        <w:t> </w:t>
      </w:r>
    </w:p>
    <w:p w14:paraId="35F072D6" w14:textId="77777777" w:rsidR="00756F0F" w:rsidRPr="00812871" w:rsidRDefault="00756F0F" w:rsidP="00812871">
      <w:pPr>
        <w:pStyle w:val="CBDNormalNumber"/>
        <w:numPr>
          <w:ilvl w:val="0"/>
          <w:numId w:val="88"/>
        </w:numPr>
        <w:shd w:val="clear" w:color="auto" w:fill="FFFFFF"/>
        <w:ind w:left="567" w:firstLine="0"/>
        <w:rPr>
          <w:rStyle w:val="normaltextrun"/>
          <w:rFonts w:eastAsiaTheme="majorEastAsia"/>
          <w:lang w:val="en-AU"/>
        </w:rPr>
      </w:pPr>
      <w:r w:rsidRPr="00812871">
        <w:rPr>
          <w:rStyle w:val="normaltextrun"/>
          <w:rFonts w:asciiTheme="majorBidi" w:eastAsiaTheme="majorEastAsia" w:hAnsiTheme="majorBidi" w:cstheme="majorBidi"/>
          <w:lang w:val="en-AU"/>
        </w:rPr>
        <w:t>N/A</w:t>
      </w:r>
      <w:r w:rsidRPr="00812871">
        <w:rPr>
          <w:rStyle w:val="normaltextrun"/>
          <w:lang w:val="en-AU"/>
        </w:rPr>
        <w:t> </w:t>
      </w:r>
    </w:p>
    <w:p w14:paraId="2D68903E" w14:textId="276C80C0" w:rsidR="00756F0F" w:rsidRPr="00ED7E61" w:rsidRDefault="00756F0F" w:rsidP="004E0302">
      <w:pPr>
        <w:pStyle w:val="paragraph"/>
        <w:pBdr>
          <w:bottom w:val="single" w:sz="4" w:space="1" w:color="000000"/>
        </w:pBdr>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 xml:space="preserve">8. </w:t>
      </w:r>
      <w:r w:rsidR="00B308A2" w:rsidRPr="00ED7E61">
        <w:rPr>
          <w:rStyle w:val="normaltextrun"/>
          <w:rFonts w:asciiTheme="majorBidi" w:eastAsiaTheme="majorEastAsia" w:hAnsiTheme="majorBidi" w:cstheme="majorBidi"/>
          <w:b/>
          <w:bCs/>
          <w:sz w:val="22"/>
          <w:szCs w:val="22"/>
          <w:lang w:val="en-GB"/>
        </w:rPr>
        <w:t xml:space="preserve">Possible </w:t>
      </w:r>
      <w:proofErr w:type="spellStart"/>
      <w:r w:rsidRPr="00ED7E61">
        <w:rPr>
          <w:rStyle w:val="normaltextrun"/>
          <w:rFonts w:asciiTheme="majorBidi" w:eastAsiaTheme="majorEastAsia" w:hAnsiTheme="majorBidi" w:cstheme="majorBidi"/>
          <w:b/>
          <w:bCs/>
          <w:sz w:val="22"/>
          <w:szCs w:val="22"/>
          <w:lang w:val="en-GB"/>
        </w:rPr>
        <w:t>Disaggregation</w:t>
      </w:r>
      <w:r w:rsidR="00B308A2" w:rsidRPr="00ED7E61">
        <w:rPr>
          <w:rStyle w:val="normaltextrun"/>
          <w:rFonts w:asciiTheme="majorBidi" w:eastAsiaTheme="majorEastAsia" w:hAnsiTheme="majorBidi" w:cstheme="majorBidi"/>
          <w:b/>
          <w:bCs/>
          <w:sz w:val="22"/>
          <w:szCs w:val="22"/>
          <w:lang w:val="en-GB"/>
        </w:rPr>
        <w:t>s</w:t>
      </w:r>
      <w:proofErr w:type="spellEnd"/>
      <w:r w:rsidRPr="00ED7E61">
        <w:rPr>
          <w:rStyle w:val="eop"/>
          <w:rFonts w:asciiTheme="majorBidi" w:eastAsiaTheme="majorEastAsia" w:hAnsiTheme="majorBidi" w:cstheme="majorBidi"/>
          <w:b/>
          <w:bCs/>
          <w:sz w:val="22"/>
          <w:szCs w:val="22"/>
        </w:rPr>
        <w:t> </w:t>
      </w:r>
    </w:p>
    <w:p w14:paraId="1F725857"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 xml:space="preserve">Recommended disaggregation </w:t>
      </w:r>
      <w:proofErr w:type="gramStart"/>
      <w:r w:rsidRPr="00ED7E61">
        <w:rPr>
          <w:rStyle w:val="normaltextrun"/>
          <w:rFonts w:asciiTheme="majorBidi" w:eastAsiaTheme="majorEastAsia" w:hAnsiTheme="majorBidi" w:cstheme="majorBidi"/>
          <w:lang w:val="en-AU"/>
        </w:rPr>
        <w:t>include:</w:t>
      </w:r>
      <w:proofErr w:type="gramEnd"/>
      <w:r w:rsidRPr="00ED7E61">
        <w:rPr>
          <w:rStyle w:val="normaltextrun"/>
          <w:rFonts w:asciiTheme="majorBidi" w:eastAsiaTheme="majorEastAsia" w:hAnsiTheme="majorBidi" w:cstheme="majorBidi"/>
          <w:lang w:val="en-AU"/>
        </w:rPr>
        <w:t xml:space="preserve"> By sector. Aligned with the sector classification proposed by UNCTAD and UNEP for SDG indicator 12.6.1, using the International Standard Industrial Classification of All Economic Activities (ISIC) (first level classification):</w:t>
      </w:r>
      <w:r w:rsidRPr="00ED7E61">
        <w:rPr>
          <w:rStyle w:val="eop"/>
          <w:rFonts w:asciiTheme="majorBidi" w:eastAsiaTheme="majorEastAsia" w:hAnsiTheme="majorBidi" w:cstheme="majorBidi"/>
        </w:rPr>
        <w:t> </w:t>
      </w:r>
    </w:p>
    <w:p w14:paraId="00B3D5D4"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Agriculture, forestry and fishing</w:t>
      </w:r>
      <w:r w:rsidRPr="00ED7E61">
        <w:rPr>
          <w:rStyle w:val="normaltextrun"/>
          <w:lang w:val="en-AU"/>
        </w:rPr>
        <w:t> </w:t>
      </w:r>
    </w:p>
    <w:p w14:paraId="0E1EDFCA"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Mining and quarrying</w:t>
      </w:r>
      <w:r w:rsidRPr="00ED7E61">
        <w:rPr>
          <w:rStyle w:val="normaltextrun"/>
          <w:lang w:val="en-AU"/>
        </w:rPr>
        <w:t> </w:t>
      </w:r>
    </w:p>
    <w:p w14:paraId="517BFD95"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Manufacturing</w:t>
      </w:r>
      <w:r w:rsidRPr="00ED7E61">
        <w:rPr>
          <w:rStyle w:val="normaltextrun"/>
          <w:lang w:val="en-AU"/>
        </w:rPr>
        <w:t> </w:t>
      </w:r>
    </w:p>
    <w:p w14:paraId="1CBC2120"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Electricity, gas, steam and air conditioning supply</w:t>
      </w:r>
      <w:r w:rsidRPr="00ED7E61">
        <w:rPr>
          <w:rStyle w:val="normaltextrun"/>
          <w:lang w:val="en-AU"/>
        </w:rPr>
        <w:t> </w:t>
      </w:r>
    </w:p>
    <w:p w14:paraId="784F7847"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Water supply; sewerage, waste management and remediation activities</w:t>
      </w:r>
      <w:r w:rsidRPr="00ED7E61">
        <w:rPr>
          <w:rStyle w:val="normaltextrun"/>
          <w:lang w:val="en-AU"/>
        </w:rPr>
        <w:t> </w:t>
      </w:r>
    </w:p>
    <w:p w14:paraId="1BC629B7"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Construction</w:t>
      </w:r>
      <w:r w:rsidRPr="00ED7E61">
        <w:rPr>
          <w:rStyle w:val="normaltextrun"/>
          <w:lang w:val="en-AU"/>
        </w:rPr>
        <w:t> </w:t>
      </w:r>
    </w:p>
    <w:p w14:paraId="1C3B16F1"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Wholesale and retail trade; repair of motor vehicles and motorcycles</w:t>
      </w:r>
      <w:r w:rsidRPr="00ED7E61">
        <w:rPr>
          <w:rStyle w:val="normaltextrun"/>
          <w:lang w:val="en-AU"/>
        </w:rPr>
        <w:t> </w:t>
      </w:r>
    </w:p>
    <w:p w14:paraId="21EBDDA4"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Transportation and storage</w:t>
      </w:r>
      <w:r w:rsidRPr="00ED7E61">
        <w:rPr>
          <w:rStyle w:val="normaltextrun"/>
          <w:lang w:val="en-AU"/>
        </w:rPr>
        <w:t> </w:t>
      </w:r>
    </w:p>
    <w:p w14:paraId="70A297FE"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Accommodation and food service activities</w:t>
      </w:r>
      <w:r w:rsidRPr="00ED7E61">
        <w:rPr>
          <w:rStyle w:val="normaltextrun"/>
          <w:lang w:val="en-AU"/>
        </w:rPr>
        <w:t> </w:t>
      </w:r>
    </w:p>
    <w:p w14:paraId="28ADED0D"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Information and communication</w:t>
      </w:r>
      <w:r w:rsidRPr="00ED7E61">
        <w:rPr>
          <w:rStyle w:val="normaltextrun"/>
          <w:lang w:val="en-AU"/>
        </w:rPr>
        <w:t> </w:t>
      </w:r>
    </w:p>
    <w:p w14:paraId="336BD647"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Financial and insurance activities</w:t>
      </w:r>
      <w:r w:rsidRPr="00ED7E61">
        <w:rPr>
          <w:rStyle w:val="normaltextrun"/>
          <w:lang w:val="en-AU"/>
        </w:rPr>
        <w:t> </w:t>
      </w:r>
    </w:p>
    <w:p w14:paraId="4B08315E"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Real estate activities</w:t>
      </w:r>
      <w:r w:rsidRPr="00ED7E61">
        <w:rPr>
          <w:rStyle w:val="normaltextrun"/>
          <w:lang w:val="en-AU"/>
        </w:rPr>
        <w:t> </w:t>
      </w:r>
    </w:p>
    <w:p w14:paraId="145AB93E"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Professional, scientific and technical activities</w:t>
      </w:r>
      <w:r w:rsidRPr="00ED7E61">
        <w:rPr>
          <w:rStyle w:val="normaltextrun"/>
          <w:lang w:val="en-AU"/>
        </w:rPr>
        <w:t> </w:t>
      </w:r>
    </w:p>
    <w:p w14:paraId="77814E0C"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Administrative and support service activities</w:t>
      </w:r>
      <w:r w:rsidRPr="00ED7E61">
        <w:rPr>
          <w:rStyle w:val="normaltextrun"/>
          <w:lang w:val="en-AU"/>
        </w:rPr>
        <w:t> </w:t>
      </w:r>
    </w:p>
    <w:p w14:paraId="369C09FC"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 xml:space="preserve">Public administration and </w:t>
      </w:r>
      <w:proofErr w:type="spellStart"/>
      <w:r w:rsidRPr="00ED7E61">
        <w:rPr>
          <w:rStyle w:val="normaltextrun"/>
          <w:rFonts w:asciiTheme="majorBidi" w:eastAsiaTheme="majorEastAsia" w:hAnsiTheme="majorBidi" w:cstheme="majorBidi"/>
          <w:lang w:val="en-AU"/>
        </w:rPr>
        <w:t>defense</w:t>
      </w:r>
      <w:proofErr w:type="spellEnd"/>
      <w:r w:rsidRPr="00ED7E61">
        <w:rPr>
          <w:rStyle w:val="normaltextrun"/>
          <w:rFonts w:asciiTheme="majorBidi" w:eastAsiaTheme="majorEastAsia" w:hAnsiTheme="majorBidi" w:cstheme="majorBidi"/>
          <w:lang w:val="en-AU"/>
        </w:rPr>
        <w:t>; compulsory social security</w:t>
      </w:r>
      <w:r w:rsidRPr="00ED7E61">
        <w:rPr>
          <w:rStyle w:val="normaltextrun"/>
          <w:lang w:val="en-AU"/>
        </w:rPr>
        <w:t> </w:t>
      </w:r>
    </w:p>
    <w:p w14:paraId="1B37EA7B"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Education</w:t>
      </w:r>
      <w:r w:rsidRPr="00ED7E61">
        <w:rPr>
          <w:rStyle w:val="normaltextrun"/>
          <w:lang w:val="en-AU"/>
        </w:rPr>
        <w:t> </w:t>
      </w:r>
    </w:p>
    <w:p w14:paraId="4B2B33AB"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Human health and social work activities</w:t>
      </w:r>
      <w:r w:rsidRPr="00ED7E61">
        <w:rPr>
          <w:rStyle w:val="normaltextrun"/>
          <w:lang w:val="en-AU"/>
        </w:rPr>
        <w:t> </w:t>
      </w:r>
    </w:p>
    <w:p w14:paraId="536A0FCC"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Arts, entertainment, and recreation</w:t>
      </w:r>
      <w:r w:rsidRPr="00ED7E61">
        <w:rPr>
          <w:rStyle w:val="normaltextrun"/>
          <w:lang w:val="en-AU"/>
        </w:rPr>
        <w:t> </w:t>
      </w:r>
    </w:p>
    <w:p w14:paraId="26ECD56F"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Other service activities</w:t>
      </w:r>
      <w:r w:rsidRPr="00ED7E61">
        <w:rPr>
          <w:rStyle w:val="normaltextrun"/>
          <w:lang w:val="en-AU"/>
        </w:rPr>
        <w:t> </w:t>
      </w:r>
    </w:p>
    <w:p w14:paraId="66C4D25F"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Activities of households as employers; undifferentiated goods- and services-producing activities of households for own use</w:t>
      </w:r>
      <w:r w:rsidRPr="00ED7E61">
        <w:rPr>
          <w:rStyle w:val="normaltextrun"/>
          <w:lang w:val="en-AU"/>
        </w:rPr>
        <w:t> </w:t>
      </w:r>
    </w:p>
    <w:p w14:paraId="27C7788E" w14:textId="77777777" w:rsidR="00756F0F" w:rsidRPr="00ED7E61" w:rsidRDefault="00756F0F" w:rsidP="00B10F0C">
      <w:pPr>
        <w:pStyle w:val="CBDNormalNumber"/>
        <w:numPr>
          <w:ilvl w:val="1"/>
          <w:numId w:val="88"/>
        </w:numPr>
        <w:tabs>
          <w:tab w:val="clear" w:pos="567"/>
          <w:tab w:val="clear" w:pos="1134"/>
          <w:tab w:val="clear" w:pos="1701"/>
          <w:tab w:val="clear" w:pos="2268"/>
          <w:tab w:val="left" w:pos="1985"/>
        </w:tabs>
        <w:ind w:left="1276" w:firstLine="56"/>
        <w:rPr>
          <w:rStyle w:val="normaltextrun"/>
          <w:rFonts w:eastAsiaTheme="majorEastAsia"/>
          <w:lang w:val="en-AU"/>
        </w:rPr>
      </w:pPr>
      <w:r w:rsidRPr="00ED7E61">
        <w:rPr>
          <w:rStyle w:val="normaltextrun"/>
          <w:rFonts w:asciiTheme="majorBidi" w:eastAsiaTheme="majorEastAsia" w:hAnsiTheme="majorBidi" w:cstheme="majorBidi"/>
          <w:lang w:val="en-AU"/>
        </w:rPr>
        <w:t>Activities of extraterritorial organizations and bodies</w:t>
      </w:r>
      <w:r w:rsidRPr="00ED7E61">
        <w:rPr>
          <w:rStyle w:val="normaltextrun"/>
          <w:lang w:val="en-AU"/>
        </w:rPr>
        <w:t> </w:t>
      </w:r>
    </w:p>
    <w:p w14:paraId="2A68A499"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lastRenderedPageBreak/>
        <w:t>9. Related goals, targets and indicators</w:t>
      </w:r>
      <w:r w:rsidRPr="00ED7E61">
        <w:rPr>
          <w:rStyle w:val="eop"/>
          <w:rFonts w:asciiTheme="majorBidi" w:eastAsiaTheme="majorEastAsia" w:hAnsiTheme="majorBidi" w:cstheme="majorBidi"/>
          <w:b/>
          <w:bCs/>
          <w:sz w:val="22"/>
          <w:szCs w:val="22"/>
        </w:rPr>
        <w:t> </w:t>
      </w:r>
    </w:p>
    <w:p w14:paraId="0B7F403A" w14:textId="77777777" w:rsidR="00756F0F" w:rsidRPr="00ED7E61" w:rsidRDefault="00756F0F" w:rsidP="004E0302">
      <w:pPr>
        <w:pStyle w:val="paragraph"/>
        <w:spacing w:before="0" w:beforeAutospacing="0" w:after="0" w:afterAutospacing="0"/>
        <w:ind w:left="567"/>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2BCF9EDA" w14:textId="77777777" w:rsidR="00756F0F" w:rsidRPr="00ED7E61" w:rsidRDefault="00756F0F" w:rsidP="004E0302">
      <w:pPr>
        <w:pStyle w:val="paragraph"/>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b/>
          <w:bCs/>
          <w:sz w:val="22"/>
          <w:szCs w:val="22"/>
        </w:rPr>
        <w:t> </w:t>
      </w:r>
    </w:p>
    <w:p w14:paraId="570DEA5C" w14:textId="32C40695" w:rsidR="00756F0F" w:rsidRPr="00ED7E61" w:rsidRDefault="00756F0F" w:rsidP="004E0302">
      <w:pPr>
        <w:pStyle w:val="paragraph"/>
        <w:pBdr>
          <w:bottom w:val="single" w:sz="4" w:space="1" w:color="000000"/>
        </w:pBdr>
        <w:spacing w:before="12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10a. Organi</w:t>
      </w:r>
      <w:r w:rsidR="004E0302">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b/>
          <w:bCs/>
          <w:sz w:val="22"/>
          <w:szCs w:val="22"/>
        </w:rPr>
        <w:t> </w:t>
      </w:r>
    </w:p>
    <w:p w14:paraId="4BE4AB1B" w14:textId="77777777" w:rsidR="00756F0F"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Not</w:t>
      </w:r>
      <w:r w:rsidRPr="00ED7E61">
        <w:rPr>
          <w:rStyle w:val="normaltextrun"/>
          <w:rFonts w:asciiTheme="majorBidi" w:eastAsiaTheme="majorEastAsia" w:hAnsiTheme="majorBidi" w:cstheme="majorBidi"/>
        </w:rPr>
        <w:t xml:space="preserve"> identified</w:t>
      </w:r>
      <w:r w:rsidRPr="00ED7E61">
        <w:rPr>
          <w:rStyle w:val="eop"/>
          <w:rFonts w:asciiTheme="majorBidi" w:eastAsiaTheme="majorEastAsia" w:hAnsiTheme="majorBidi" w:cstheme="majorBidi"/>
        </w:rPr>
        <w:t> </w:t>
      </w:r>
    </w:p>
    <w:p w14:paraId="1E8502ED"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b/>
          <w:bCs/>
          <w:sz w:val="22"/>
          <w:szCs w:val="22"/>
        </w:rPr>
        <w:t> </w:t>
      </w:r>
    </w:p>
    <w:p w14:paraId="498D00DF" w14:textId="672D6D61" w:rsidR="00B35350" w:rsidRPr="00ED7E61" w:rsidRDefault="00756F0F" w:rsidP="00B10F0C">
      <w:pPr>
        <w:pStyle w:val="CBDNormalNumber"/>
        <w:numPr>
          <w:ilvl w:val="0"/>
          <w:numId w:val="88"/>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lang w:val="en-AU"/>
        </w:rPr>
        <w:t>In</w:t>
      </w:r>
      <w:r w:rsidRPr="00ED7E61">
        <w:rPr>
          <w:rStyle w:val="normaltextrun"/>
          <w:rFonts w:asciiTheme="majorBidi" w:eastAsiaTheme="majorEastAsia" w:hAnsiTheme="majorBidi" w:cstheme="majorBidi"/>
        </w:rPr>
        <w:t xml:space="preserve"> most countries there are no specific entities tasked with gathering and assessing all relevant information regarding the disclosure of companies' biodiversity-related risks, dependencies and impacts. </w:t>
      </w:r>
      <w:r w:rsidRPr="00ED7E61">
        <w:rPr>
          <w:rStyle w:val="eop"/>
          <w:rFonts w:asciiTheme="majorBidi" w:eastAsiaTheme="majorEastAsia" w:hAnsiTheme="majorBidi" w:cstheme="majorBidi"/>
        </w:rPr>
        <w:t> </w:t>
      </w:r>
    </w:p>
    <w:p w14:paraId="2E5B82A7" w14:textId="3EAAFFF8" w:rsidR="00B35350" w:rsidRPr="00ED7E61" w:rsidRDefault="00756F0F" w:rsidP="004E0302">
      <w:pPr>
        <w:pStyle w:val="CBDNormalNumber"/>
        <w:shd w:val="clear" w:color="auto" w:fill="FFFFFF"/>
        <w:ind w:left="567"/>
        <w:rPr>
          <w:rFonts w:asciiTheme="majorBidi" w:hAnsiTheme="majorBidi" w:cstheme="majorBidi"/>
          <w:lang w:val="fr-FR"/>
        </w:rPr>
      </w:pPr>
      <w:r w:rsidRPr="00ED7E61">
        <w:rPr>
          <w:rStyle w:val="normaltextrun"/>
          <w:rFonts w:asciiTheme="majorBidi" w:eastAsiaTheme="majorEastAsia" w:hAnsiTheme="majorBidi" w:cstheme="majorBidi"/>
          <w:lang w:val="fr-FR"/>
        </w:rPr>
        <w:t>Odile Conchou (</w:t>
      </w:r>
      <w:hyperlink r:id="rId434" w:tgtFrame="_blank" w:history="1">
        <w:r w:rsidRPr="00ED7E61">
          <w:rPr>
            <w:rStyle w:val="normaltextrun"/>
            <w:rFonts w:asciiTheme="majorBidi" w:eastAsiaTheme="majorEastAsia" w:hAnsiTheme="majorBidi" w:cstheme="majorBidi"/>
            <w:color w:val="467886"/>
            <w:u w:val="single"/>
            <w:lang w:val="fr-FR"/>
          </w:rPr>
          <w:t>odile.conchou@wanadoo.fr</w:t>
        </w:r>
      </w:hyperlink>
      <w:r w:rsidRPr="00ED7E61">
        <w:rPr>
          <w:rStyle w:val="normaltextrun"/>
          <w:rFonts w:asciiTheme="majorBidi" w:eastAsiaTheme="majorEastAsia" w:hAnsiTheme="majorBidi" w:cstheme="majorBidi"/>
          <w:lang w:val="fr-FR"/>
        </w:rPr>
        <w:t>)</w:t>
      </w:r>
      <w:r w:rsidRPr="00ED7E61">
        <w:rPr>
          <w:rStyle w:val="eop"/>
          <w:rFonts w:asciiTheme="majorBidi" w:eastAsiaTheme="majorEastAsia" w:hAnsiTheme="majorBidi" w:cstheme="majorBidi"/>
          <w:lang w:val="fr-FR"/>
        </w:rPr>
        <w:t> </w:t>
      </w:r>
    </w:p>
    <w:p w14:paraId="72A192F1" w14:textId="7E0BA558" w:rsidR="00B35350" w:rsidRPr="00ED7E61" w:rsidRDefault="00756F0F" w:rsidP="004E0302">
      <w:pPr>
        <w:pStyle w:val="CBDNormalNumber"/>
        <w:shd w:val="clear" w:color="auto" w:fill="FFFFFF"/>
        <w:ind w:left="567"/>
        <w:rPr>
          <w:rFonts w:asciiTheme="majorBidi" w:hAnsiTheme="majorBidi" w:cstheme="majorBidi"/>
          <w:lang w:val="es-ES"/>
        </w:rPr>
      </w:pPr>
      <w:r w:rsidRPr="00ED7E61">
        <w:rPr>
          <w:rStyle w:val="normaltextrun"/>
          <w:rFonts w:asciiTheme="majorBidi" w:eastAsiaTheme="majorEastAsia" w:hAnsiTheme="majorBidi" w:cstheme="majorBidi"/>
          <w:lang w:val="it-IT"/>
        </w:rPr>
        <w:t xml:space="preserve">Macha Kemperman </w:t>
      </w:r>
      <w:r w:rsidRPr="00ED7E61">
        <w:rPr>
          <w:rStyle w:val="normaltextrun"/>
          <w:rFonts w:asciiTheme="majorBidi" w:eastAsiaTheme="majorEastAsia" w:hAnsiTheme="majorBidi" w:cstheme="majorBidi"/>
          <w:lang w:val="es-CO"/>
        </w:rPr>
        <w:t>(</w:t>
      </w:r>
      <w:hyperlink r:id="rId435" w:tgtFrame="_blank" w:history="1">
        <w:r w:rsidRPr="00ED7E61">
          <w:rPr>
            <w:rStyle w:val="normaltextrun"/>
            <w:rFonts w:asciiTheme="majorBidi" w:eastAsiaTheme="majorEastAsia" w:hAnsiTheme="majorBidi" w:cstheme="majorBidi"/>
            <w:color w:val="467886"/>
            <w:u w:val="single"/>
            <w:lang w:val="it-IT"/>
          </w:rPr>
          <w:t>mkemperman@worldbank.org</w:t>
        </w:r>
      </w:hyperlink>
      <w:r w:rsidRPr="00ED7E61">
        <w:rPr>
          <w:rStyle w:val="normaltextrun"/>
          <w:rFonts w:asciiTheme="majorBidi" w:eastAsiaTheme="majorEastAsia" w:hAnsiTheme="majorBidi" w:cstheme="majorBidi"/>
          <w:lang w:val="es-CO"/>
        </w:rPr>
        <w:t>)</w:t>
      </w:r>
      <w:r w:rsidRPr="00ED7E61">
        <w:rPr>
          <w:rStyle w:val="eop"/>
          <w:rFonts w:asciiTheme="majorBidi" w:eastAsiaTheme="majorEastAsia" w:hAnsiTheme="majorBidi" w:cstheme="majorBidi"/>
          <w:lang w:val="es-ES"/>
        </w:rPr>
        <w:t> </w:t>
      </w:r>
    </w:p>
    <w:p w14:paraId="13CB8E19" w14:textId="10C84A64" w:rsidR="00B35350" w:rsidRPr="00ED7E61" w:rsidRDefault="00756F0F" w:rsidP="004E0302">
      <w:pPr>
        <w:pStyle w:val="CBDNormalNumber"/>
        <w:shd w:val="clear" w:color="auto" w:fill="FFFFFF"/>
        <w:ind w:left="567"/>
        <w:rPr>
          <w:rFonts w:asciiTheme="majorBidi" w:hAnsiTheme="majorBidi" w:cstheme="majorBidi"/>
          <w:lang w:val="es-ES"/>
        </w:rPr>
      </w:pPr>
      <w:r w:rsidRPr="00ED7E61">
        <w:rPr>
          <w:rStyle w:val="normaltextrun"/>
          <w:rFonts w:asciiTheme="majorBidi" w:eastAsiaTheme="majorEastAsia" w:hAnsiTheme="majorBidi" w:cstheme="majorBidi"/>
          <w:lang w:val="it-IT"/>
        </w:rPr>
        <w:t xml:space="preserve">Geraldo Fernandes </w:t>
      </w:r>
      <w:r w:rsidRPr="00ED7E61">
        <w:rPr>
          <w:rStyle w:val="normaltextrun"/>
          <w:rFonts w:asciiTheme="majorBidi" w:eastAsiaTheme="majorEastAsia" w:hAnsiTheme="majorBidi" w:cstheme="majorBidi"/>
          <w:lang w:val="es-CO"/>
        </w:rPr>
        <w:t>(</w:t>
      </w:r>
      <w:hyperlink r:id="rId436" w:tgtFrame="_blank" w:history="1">
        <w:r w:rsidRPr="00ED7E61">
          <w:rPr>
            <w:rStyle w:val="normaltextrun"/>
            <w:rFonts w:asciiTheme="majorBidi" w:eastAsiaTheme="majorEastAsia" w:hAnsiTheme="majorBidi" w:cstheme="majorBidi"/>
            <w:color w:val="467886"/>
            <w:u w:val="single"/>
            <w:lang w:val="it-IT"/>
          </w:rPr>
          <w:t>gwf@biodiv.com.br</w:t>
        </w:r>
      </w:hyperlink>
      <w:r w:rsidRPr="00ED7E61">
        <w:rPr>
          <w:rStyle w:val="normaltextrun"/>
          <w:rFonts w:asciiTheme="majorBidi" w:eastAsiaTheme="majorEastAsia" w:hAnsiTheme="majorBidi" w:cstheme="majorBidi"/>
          <w:lang w:val="es-CO"/>
        </w:rPr>
        <w:t>)</w:t>
      </w:r>
      <w:r w:rsidRPr="00ED7E61">
        <w:rPr>
          <w:rStyle w:val="eop"/>
          <w:rFonts w:asciiTheme="majorBidi" w:eastAsiaTheme="majorEastAsia" w:hAnsiTheme="majorBidi" w:cstheme="majorBidi"/>
          <w:lang w:val="es-ES"/>
        </w:rPr>
        <w:t> </w:t>
      </w:r>
    </w:p>
    <w:p w14:paraId="781BFB9D" w14:textId="77777777" w:rsidR="00756F0F" w:rsidRDefault="00756F0F" w:rsidP="004E0302">
      <w:pPr>
        <w:pStyle w:val="CBDNormalNumber"/>
        <w:shd w:val="clear" w:color="auto" w:fill="FFFFFF"/>
        <w:ind w:left="567"/>
        <w:rPr>
          <w:rStyle w:val="eop"/>
          <w:rFonts w:asciiTheme="majorBidi" w:eastAsiaTheme="majorEastAsia" w:hAnsiTheme="majorBidi" w:cstheme="majorBidi"/>
          <w:lang w:val="fi-FI"/>
        </w:rPr>
      </w:pPr>
      <w:r w:rsidRPr="00ED7E61">
        <w:rPr>
          <w:rStyle w:val="normaltextrun"/>
          <w:rFonts w:asciiTheme="majorBidi" w:eastAsiaTheme="majorEastAsia" w:hAnsiTheme="majorBidi" w:cstheme="majorBidi"/>
          <w:lang w:val="fi-FI"/>
        </w:rPr>
        <w:t>Ntakadzeni Tshidada (</w:t>
      </w:r>
      <w:r>
        <w:fldChar w:fldCharType="begin"/>
      </w:r>
      <w:r w:rsidRPr="00812871">
        <w:rPr>
          <w:lang w:val="es-ES"/>
        </w:rPr>
        <w:instrText>HYPERLINK "mailto:n.tshidada@sanbi.org.za" \t "_blank"</w:instrText>
      </w:r>
      <w:r>
        <w:fldChar w:fldCharType="separate"/>
      </w:r>
      <w:r w:rsidRPr="00ED7E61">
        <w:rPr>
          <w:rStyle w:val="normaltextrun"/>
          <w:rFonts w:asciiTheme="majorBidi" w:eastAsiaTheme="majorEastAsia" w:hAnsiTheme="majorBidi" w:cstheme="majorBidi"/>
          <w:color w:val="467886"/>
          <w:u w:val="single"/>
          <w:lang w:val="fi-FI"/>
        </w:rPr>
        <w:t>n.tshidada@sanbi.org.za</w:t>
      </w:r>
      <w:r>
        <w:fldChar w:fldCharType="end"/>
      </w:r>
      <w:r w:rsidRPr="00ED7E61">
        <w:rPr>
          <w:rStyle w:val="normaltextrun"/>
          <w:rFonts w:asciiTheme="majorBidi" w:eastAsiaTheme="majorEastAsia" w:hAnsiTheme="majorBidi" w:cstheme="majorBidi"/>
          <w:lang w:val="fi-FI"/>
        </w:rPr>
        <w:t>)</w:t>
      </w:r>
      <w:r w:rsidRPr="00ED7E61">
        <w:rPr>
          <w:rStyle w:val="eop"/>
          <w:rFonts w:asciiTheme="majorBidi" w:eastAsiaTheme="majorEastAsia" w:hAnsiTheme="majorBidi" w:cstheme="majorBidi"/>
          <w:lang w:val="fi-FI"/>
        </w:rPr>
        <w:t> </w:t>
      </w:r>
    </w:p>
    <w:p w14:paraId="4608B7E0" w14:textId="146034C5" w:rsidR="005C772B" w:rsidRDefault="005C772B" w:rsidP="005C772B">
      <w:pPr>
        <w:ind w:firstLine="567"/>
        <w:rPr>
          <w:lang w:val="fi-FI"/>
        </w:rPr>
      </w:pPr>
      <w:r w:rsidRPr="43C777D2">
        <w:rPr>
          <w:lang w:val="fi-FI"/>
        </w:rPr>
        <w:t>Imogen Stevens-Illert (</w:t>
      </w:r>
      <w:r>
        <w:rPr>
          <w:lang w:val="fi-FI"/>
        </w:rPr>
        <w:fldChar w:fldCharType="begin"/>
      </w:r>
      <w:r>
        <w:rPr>
          <w:lang w:val="fi-FI"/>
        </w:rPr>
        <w:instrText>HYPERLINK "mailto:</w:instrText>
      </w:r>
      <w:r w:rsidRPr="43C777D2">
        <w:rPr>
          <w:lang w:val="fi-FI"/>
        </w:rPr>
        <w:instrText>imogen.stevens@cdp.net</w:instrText>
      </w:r>
      <w:r>
        <w:rPr>
          <w:lang w:val="fi-FI"/>
        </w:rPr>
        <w:instrText>"</w:instrText>
      </w:r>
      <w:r>
        <w:rPr>
          <w:lang w:val="fi-FI"/>
        </w:rPr>
      </w:r>
      <w:r>
        <w:rPr>
          <w:lang w:val="fi-FI"/>
        </w:rPr>
        <w:fldChar w:fldCharType="separate"/>
      </w:r>
      <w:r w:rsidRPr="00AA1F38">
        <w:rPr>
          <w:rStyle w:val="Hyperlink"/>
          <w:lang w:val="fi-FI"/>
        </w:rPr>
        <w:t>imogen.stevens@cdp.net</w:t>
      </w:r>
      <w:r>
        <w:rPr>
          <w:lang w:val="fi-FI"/>
        </w:rPr>
        <w:fldChar w:fldCharType="end"/>
      </w:r>
      <w:r w:rsidRPr="43C777D2">
        <w:rPr>
          <w:lang w:val="fi-FI"/>
        </w:rPr>
        <w:t>)</w:t>
      </w:r>
    </w:p>
    <w:p w14:paraId="0B276667" w14:textId="77777777" w:rsidR="005C772B" w:rsidRPr="00ED7E61" w:rsidRDefault="005C772B" w:rsidP="00812871">
      <w:pPr>
        <w:ind w:firstLine="567"/>
        <w:rPr>
          <w:rFonts w:asciiTheme="majorBidi" w:hAnsiTheme="majorBidi" w:cstheme="majorBidi"/>
          <w:lang w:val="fi-FI"/>
        </w:rPr>
      </w:pPr>
    </w:p>
    <w:p w14:paraId="6490B962" w14:textId="77777777" w:rsidR="00756F0F" w:rsidRPr="00ED7E61"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11. References</w:t>
      </w:r>
      <w:r w:rsidRPr="00ED7E61">
        <w:rPr>
          <w:rStyle w:val="eop"/>
          <w:rFonts w:asciiTheme="majorBidi" w:eastAsiaTheme="majorEastAsia" w:hAnsiTheme="majorBidi" w:cstheme="majorBidi"/>
          <w:b/>
          <w:bCs/>
          <w:sz w:val="22"/>
          <w:szCs w:val="22"/>
        </w:rPr>
        <w:t> </w:t>
      </w:r>
    </w:p>
    <w:p w14:paraId="1F24CE7A"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AU"/>
        </w:rPr>
        <w:t>Websites: </w:t>
      </w:r>
      <w:r w:rsidRPr="00ED7E61">
        <w:rPr>
          <w:rStyle w:val="eop"/>
          <w:rFonts w:asciiTheme="majorBidi" w:eastAsiaTheme="majorEastAsia" w:hAnsiTheme="majorBidi" w:cstheme="majorBidi"/>
          <w:sz w:val="22"/>
          <w:szCs w:val="22"/>
        </w:rPr>
        <w:t> </w:t>
      </w:r>
    </w:p>
    <w:p w14:paraId="71D266DB" w14:textId="67BB676D" w:rsidR="00B35350" w:rsidRPr="00ED7E61" w:rsidRDefault="00756F0F" w:rsidP="00A30F49">
      <w:pPr>
        <w:pStyle w:val="CBDNormalNumber"/>
        <w:shd w:val="clear" w:color="auto" w:fill="FFFFFF"/>
        <w:ind w:left="567"/>
        <w:rPr>
          <w:rFonts w:asciiTheme="majorBidi" w:hAnsiTheme="majorBidi" w:cstheme="majorBidi"/>
        </w:rPr>
      </w:pPr>
      <w:hyperlink r:id="rId437" w:tgtFrame="_blank" w:history="1">
        <w:r w:rsidRPr="00ED7E61">
          <w:rPr>
            <w:rStyle w:val="normaltextrun"/>
            <w:rFonts w:asciiTheme="majorBidi" w:eastAsiaTheme="majorEastAsia" w:hAnsiTheme="majorBidi" w:cstheme="majorBidi"/>
            <w:color w:val="467886"/>
            <w:u w:val="single"/>
            <w:shd w:val="clear" w:color="auto" w:fill="E1E3E6"/>
            <w:lang w:val="en-AU"/>
          </w:rPr>
          <w:t>The Taskforce on Nature-related Financial Disclosures</w:t>
        </w:r>
      </w:hyperlink>
      <w:r w:rsidRPr="00ED7E61">
        <w:rPr>
          <w:rStyle w:val="eop"/>
          <w:rFonts w:asciiTheme="majorBidi" w:eastAsiaTheme="majorEastAsia" w:hAnsiTheme="majorBidi" w:cstheme="majorBidi"/>
          <w:color w:val="467886"/>
        </w:rPr>
        <w:t> </w:t>
      </w:r>
    </w:p>
    <w:p w14:paraId="6F135976" w14:textId="56F27D96" w:rsidR="00B35350" w:rsidRPr="00ED7E61" w:rsidRDefault="00756F0F" w:rsidP="00A30F49">
      <w:pPr>
        <w:pStyle w:val="CBDNormalNumber"/>
        <w:shd w:val="clear" w:color="auto" w:fill="FFFFFF"/>
        <w:ind w:left="567"/>
        <w:rPr>
          <w:rFonts w:asciiTheme="majorBidi" w:hAnsiTheme="majorBidi" w:cstheme="majorBidi"/>
        </w:rPr>
      </w:pPr>
      <w:hyperlink r:id="rId438" w:tgtFrame="_blank" w:history="1">
        <w:r w:rsidRPr="00ED7E61">
          <w:rPr>
            <w:rStyle w:val="normaltextrun"/>
            <w:rFonts w:asciiTheme="majorBidi" w:eastAsiaTheme="majorEastAsia" w:hAnsiTheme="majorBidi" w:cstheme="majorBidi"/>
            <w:color w:val="467886"/>
            <w:u w:val="single"/>
            <w:shd w:val="clear" w:color="auto" w:fill="E1E3E6"/>
            <w:lang w:val="en-AU"/>
          </w:rPr>
          <w:t>The Science Based Target Network</w:t>
        </w:r>
      </w:hyperlink>
      <w:r w:rsidRPr="00ED7E61">
        <w:rPr>
          <w:rStyle w:val="eop"/>
          <w:rFonts w:asciiTheme="majorBidi" w:eastAsiaTheme="majorEastAsia" w:hAnsiTheme="majorBidi" w:cstheme="majorBidi"/>
          <w:color w:val="467886"/>
        </w:rPr>
        <w:t> </w:t>
      </w:r>
    </w:p>
    <w:p w14:paraId="511BED5B" w14:textId="4458162D" w:rsidR="00B35350" w:rsidRPr="00ED7E61" w:rsidRDefault="00756F0F" w:rsidP="00A30F49">
      <w:pPr>
        <w:pStyle w:val="CBDNormalNumber"/>
        <w:shd w:val="clear" w:color="auto" w:fill="FFFFFF"/>
        <w:ind w:left="567"/>
        <w:rPr>
          <w:rFonts w:asciiTheme="majorBidi" w:hAnsiTheme="majorBidi" w:cstheme="majorBidi"/>
        </w:rPr>
      </w:pPr>
      <w:hyperlink r:id="rId439" w:tgtFrame="_blank" w:history="1">
        <w:r w:rsidRPr="00ED7E61">
          <w:rPr>
            <w:rStyle w:val="normaltextrun"/>
            <w:rFonts w:asciiTheme="majorBidi" w:eastAsiaTheme="majorEastAsia" w:hAnsiTheme="majorBidi" w:cstheme="majorBidi"/>
            <w:color w:val="467886"/>
            <w:u w:val="single"/>
            <w:shd w:val="clear" w:color="auto" w:fill="E1E3E6"/>
            <w:lang w:val="en-AU"/>
          </w:rPr>
          <w:t>GRI</w:t>
        </w:r>
      </w:hyperlink>
      <w:r w:rsidRPr="00ED7E61">
        <w:rPr>
          <w:rStyle w:val="eop"/>
          <w:rFonts w:asciiTheme="majorBidi" w:eastAsiaTheme="majorEastAsia" w:hAnsiTheme="majorBidi" w:cstheme="majorBidi"/>
          <w:color w:val="467886"/>
        </w:rPr>
        <w:t> </w:t>
      </w:r>
    </w:p>
    <w:p w14:paraId="703C47DC" w14:textId="13D173E2" w:rsidR="00B35350" w:rsidRPr="00ED7E61" w:rsidRDefault="00756F0F" w:rsidP="00A30F49">
      <w:pPr>
        <w:pStyle w:val="CBDNormalNumber"/>
        <w:shd w:val="clear" w:color="auto" w:fill="FFFFFF"/>
        <w:ind w:left="567"/>
        <w:rPr>
          <w:rFonts w:asciiTheme="majorBidi" w:hAnsiTheme="majorBidi" w:cstheme="majorBidi"/>
        </w:rPr>
      </w:pPr>
      <w:hyperlink r:id="rId440" w:tgtFrame="_blank" w:history="1">
        <w:r w:rsidRPr="00ED7E61">
          <w:rPr>
            <w:rStyle w:val="normaltextrun"/>
            <w:rFonts w:asciiTheme="majorBidi" w:eastAsiaTheme="majorEastAsia" w:hAnsiTheme="majorBidi" w:cstheme="majorBidi"/>
            <w:color w:val="467886"/>
            <w:u w:val="single"/>
            <w:lang w:val="en-AU"/>
          </w:rPr>
          <w:t>UNEP-WESR</w:t>
        </w:r>
      </w:hyperlink>
      <w:r w:rsidRPr="00ED7E61">
        <w:rPr>
          <w:rStyle w:val="eop"/>
          <w:rFonts w:asciiTheme="majorBidi" w:eastAsiaTheme="majorEastAsia" w:hAnsiTheme="majorBidi" w:cstheme="majorBidi"/>
          <w:color w:val="467886"/>
        </w:rPr>
        <w:t> </w:t>
      </w:r>
    </w:p>
    <w:p w14:paraId="79012771" w14:textId="1B7F2417" w:rsidR="00B35350" w:rsidRPr="00ED7E61" w:rsidRDefault="00756F0F" w:rsidP="00A30F49">
      <w:pPr>
        <w:pStyle w:val="CBDNormalNumber"/>
        <w:shd w:val="clear" w:color="auto" w:fill="FFFFFF"/>
        <w:ind w:left="567"/>
        <w:rPr>
          <w:rFonts w:asciiTheme="majorBidi" w:hAnsiTheme="majorBidi" w:cstheme="majorBidi"/>
        </w:rPr>
      </w:pPr>
      <w:hyperlink r:id="rId441" w:tgtFrame="_blank" w:history="1">
        <w:r w:rsidRPr="00ED7E61">
          <w:rPr>
            <w:rStyle w:val="normaltextrun"/>
            <w:rFonts w:asciiTheme="majorBidi" w:eastAsiaTheme="majorEastAsia" w:hAnsiTheme="majorBidi" w:cstheme="majorBidi"/>
            <w:color w:val="467886"/>
            <w:u w:val="single"/>
            <w:lang w:val="en-AU"/>
          </w:rPr>
          <w:t>UNCTAD</w:t>
        </w:r>
      </w:hyperlink>
      <w:r w:rsidRPr="00ED7E61">
        <w:rPr>
          <w:rStyle w:val="eop"/>
          <w:rFonts w:asciiTheme="majorBidi" w:eastAsiaTheme="majorEastAsia" w:hAnsiTheme="majorBidi" w:cstheme="majorBidi"/>
          <w:color w:val="467886"/>
        </w:rPr>
        <w:t> </w:t>
      </w:r>
    </w:p>
    <w:p w14:paraId="57235410" w14:textId="75548C27" w:rsidR="00B35350" w:rsidRPr="00ED7E61" w:rsidRDefault="00756F0F" w:rsidP="00A30F49">
      <w:pPr>
        <w:pStyle w:val="CBDNormalNumber"/>
        <w:shd w:val="clear" w:color="auto" w:fill="FFFFFF"/>
        <w:ind w:left="567"/>
        <w:rPr>
          <w:rFonts w:asciiTheme="majorBidi" w:hAnsiTheme="majorBidi" w:cstheme="majorBidi"/>
        </w:rPr>
      </w:pPr>
      <w:hyperlink r:id="rId442" w:tgtFrame="_blank" w:history="1">
        <w:r w:rsidRPr="00ED7E61">
          <w:rPr>
            <w:rStyle w:val="normaltextrun"/>
            <w:rFonts w:asciiTheme="majorBidi" w:eastAsiaTheme="majorEastAsia" w:hAnsiTheme="majorBidi" w:cstheme="majorBidi"/>
            <w:color w:val="467886"/>
            <w:u w:val="single"/>
            <w:lang w:val="en-AU"/>
          </w:rPr>
          <w:t>UN SDG indicator database; see 12.6.1 report</w:t>
        </w:r>
      </w:hyperlink>
      <w:r w:rsidRPr="00ED7E61">
        <w:rPr>
          <w:rStyle w:val="eop"/>
          <w:rFonts w:asciiTheme="majorBidi" w:eastAsiaTheme="majorEastAsia" w:hAnsiTheme="majorBidi" w:cstheme="majorBidi"/>
          <w:color w:val="467886"/>
        </w:rPr>
        <w:t> </w:t>
      </w:r>
    </w:p>
    <w:p w14:paraId="36C17B6C" w14:textId="77777777" w:rsidR="00983750" w:rsidRPr="002604AE" w:rsidRDefault="00983750" w:rsidP="00812871">
      <w:pPr>
        <w:ind w:firstLine="567"/>
        <w:rPr>
          <w:rStyle w:val="Hyperlink"/>
          <w:rFonts w:eastAsia="SimSun"/>
          <w:sz w:val="22"/>
          <w:szCs w:val="22"/>
          <w:lang w:val="en-GB"/>
        </w:rPr>
      </w:pPr>
      <w:r>
        <w:rPr>
          <w:lang w:val="en-AU"/>
        </w:rPr>
        <w:fldChar w:fldCharType="begin"/>
      </w:r>
      <w:r>
        <w:rPr>
          <w:lang w:val="en-AU"/>
        </w:rPr>
        <w:instrText>HYPERLINK "https://www.cdp.net/en/data/monitoring-gbf"</w:instrText>
      </w:r>
      <w:r>
        <w:rPr>
          <w:lang w:val="en-AU"/>
        </w:rPr>
      </w:r>
      <w:r>
        <w:rPr>
          <w:lang w:val="en-AU"/>
        </w:rPr>
        <w:fldChar w:fldCharType="separate"/>
      </w:r>
      <w:r w:rsidRPr="002604AE">
        <w:rPr>
          <w:rStyle w:val="Hyperlink"/>
          <w:lang w:val="en-AU"/>
        </w:rPr>
        <w:t>CDP</w:t>
      </w:r>
      <w:r w:rsidRPr="002604AE">
        <w:rPr>
          <w:rStyle w:val="Hyperlink"/>
          <w:lang w:val="en-GB"/>
        </w:rPr>
        <w:t> </w:t>
      </w:r>
    </w:p>
    <w:p w14:paraId="4FFB41E2" w14:textId="3E3C68C4" w:rsidR="00B35350" w:rsidRPr="00ED7E61" w:rsidRDefault="00983750" w:rsidP="00A30F49">
      <w:pPr>
        <w:pStyle w:val="CBDNormalNumber"/>
        <w:shd w:val="clear" w:color="auto" w:fill="FFFFFF"/>
        <w:ind w:left="567"/>
        <w:rPr>
          <w:rFonts w:asciiTheme="majorBidi" w:hAnsiTheme="majorBidi" w:cstheme="majorBidi"/>
        </w:rPr>
      </w:pPr>
      <w:r>
        <w:rPr>
          <w:lang w:val="en-AU"/>
        </w:rPr>
        <w:fldChar w:fldCharType="end"/>
      </w:r>
      <w:hyperlink r:id="rId443" w:tgtFrame="_blank" w:history="1">
        <w:r w:rsidR="00756F0F" w:rsidRPr="00ED7E61">
          <w:rPr>
            <w:rStyle w:val="normaltextrun"/>
            <w:rFonts w:asciiTheme="majorBidi" w:eastAsiaTheme="majorEastAsia" w:hAnsiTheme="majorBidi" w:cstheme="majorBidi"/>
            <w:color w:val="467886"/>
            <w:u w:val="single"/>
            <w:shd w:val="clear" w:color="auto" w:fill="E1E3E6"/>
            <w:lang w:val="en-AU"/>
          </w:rPr>
          <w:t>World Benchmarking Alliance</w:t>
        </w:r>
      </w:hyperlink>
      <w:r w:rsidR="00756F0F" w:rsidRPr="00ED7E61">
        <w:rPr>
          <w:rStyle w:val="eop"/>
          <w:rFonts w:asciiTheme="majorBidi" w:eastAsiaTheme="majorEastAsia" w:hAnsiTheme="majorBidi" w:cstheme="majorBidi"/>
          <w:color w:val="467886"/>
        </w:rPr>
        <w:t> </w:t>
      </w:r>
    </w:p>
    <w:p w14:paraId="6FEC4A1E" w14:textId="208790EA" w:rsidR="00B35350" w:rsidRPr="00ED7E61" w:rsidRDefault="00756F0F" w:rsidP="00A30F49">
      <w:pPr>
        <w:pStyle w:val="CBDNormalNumber"/>
        <w:shd w:val="clear" w:color="auto" w:fill="FFFFFF"/>
        <w:ind w:left="567"/>
        <w:rPr>
          <w:rFonts w:asciiTheme="majorBidi" w:hAnsiTheme="majorBidi" w:cstheme="majorBidi"/>
        </w:rPr>
      </w:pPr>
      <w:hyperlink r:id="rId444" w:tgtFrame="_blank" w:history="1">
        <w:r w:rsidRPr="00ED7E61">
          <w:rPr>
            <w:rStyle w:val="normaltextrun"/>
            <w:rFonts w:asciiTheme="majorBidi" w:eastAsiaTheme="majorEastAsia" w:hAnsiTheme="majorBidi" w:cstheme="majorBidi"/>
            <w:color w:val="467886"/>
            <w:u w:val="single"/>
            <w:shd w:val="clear" w:color="auto" w:fill="E1E3E6"/>
            <w:lang w:val="en-AU"/>
          </w:rPr>
          <w:t>UN Global Compact</w:t>
        </w:r>
      </w:hyperlink>
      <w:r w:rsidRPr="00ED7E61">
        <w:rPr>
          <w:rStyle w:val="eop"/>
          <w:rFonts w:asciiTheme="majorBidi" w:eastAsiaTheme="majorEastAsia" w:hAnsiTheme="majorBidi" w:cstheme="majorBidi"/>
          <w:color w:val="467886"/>
        </w:rPr>
        <w:t> </w:t>
      </w:r>
    </w:p>
    <w:p w14:paraId="0034E494" w14:textId="2D487D40" w:rsidR="00B35350" w:rsidRPr="00ED7E61" w:rsidRDefault="00756F0F" w:rsidP="00A30F49">
      <w:pPr>
        <w:pStyle w:val="CBDNormalNumber"/>
        <w:shd w:val="clear" w:color="auto" w:fill="FFFFFF"/>
        <w:ind w:left="567"/>
        <w:rPr>
          <w:rFonts w:asciiTheme="majorBidi" w:hAnsiTheme="majorBidi" w:cstheme="majorBidi"/>
        </w:rPr>
      </w:pPr>
      <w:hyperlink r:id="rId445" w:tgtFrame="_blank" w:history="1">
        <w:r w:rsidRPr="00ED7E61">
          <w:rPr>
            <w:rStyle w:val="normaltextrun"/>
            <w:rFonts w:asciiTheme="majorBidi" w:eastAsiaTheme="majorEastAsia" w:hAnsiTheme="majorBidi" w:cstheme="majorBidi"/>
            <w:color w:val="467886"/>
            <w:u w:val="single"/>
            <w:lang w:val="en-AU"/>
          </w:rPr>
          <w:t>GBIF</w:t>
        </w:r>
      </w:hyperlink>
      <w:r w:rsidRPr="00ED7E61">
        <w:rPr>
          <w:rStyle w:val="eop"/>
          <w:rFonts w:asciiTheme="majorBidi" w:eastAsiaTheme="majorEastAsia" w:hAnsiTheme="majorBidi" w:cstheme="majorBidi"/>
          <w:color w:val="467886"/>
        </w:rPr>
        <w:t> </w:t>
      </w:r>
    </w:p>
    <w:p w14:paraId="0667C6FD" w14:textId="77777777" w:rsidR="00756F0F" w:rsidRDefault="00756F0F" w:rsidP="00A30F49">
      <w:pPr>
        <w:pStyle w:val="CBDNormalNumber"/>
        <w:shd w:val="clear" w:color="auto" w:fill="FFFFFF"/>
        <w:ind w:left="567"/>
        <w:rPr>
          <w:rStyle w:val="eop"/>
          <w:rFonts w:asciiTheme="majorBidi" w:eastAsiaTheme="majorEastAsia" w:hAnsiTheme="majorBidi" w:cstheme="majorBidi"/>
        </w:rPr>
      </w:pPr>
      <w:hyperlink r:id="rId446" w:tgtFrame="_blank" w:history="1">
        <w:r w:rsidRPr="00ED7E61">
          <w:rPr>
            <w:rStyle w:val="normaltextrun"/>
            <w:rFonts w:asciiTheme="majorBidi" w:eastAsiaTheme="majorEastAsia" w:hAnsiTheme="majorBidi" w:cstheme="majorBidi"/>
            <w:color w:val="467886"/>
            <w:u w:val="single"/>
            <w:lang w:val="en-AU"/>
          </w:rPr>
          <w:t>World Business Council for Sustainable Development (WCSD)</w:t>
        </w:r>
      </w:hyperlink>
      <w:r w:rsidRPr="00ED7E61">
        <w:rPr>
          <w:rStyle w:val="eop"/>
          <w:rFonts w:asciiTheme="majorBidi" w:eastAsiaTheme="majorEastAsia" w:hAnsiTheme="majorBidi" w:cstheme="majorBidi"/>
        </w:rPr>
        <w:t> </w:t>
      </w:r>
    </w:p>
    <w:p w14:paraId="763C799B" w14:textId="38AF1C86" w:rsidR="00164670" w:rsidRDefault="006C570C" w:rsidP="00164670">
      <w:pPr>
        <w:pStyle w:val="paragraph"/>
        <w:spacing w:before="0" w:beforeAutospacing="0" w:after="0" w:afterAutospacing="0"/>
        <w:ind w:left="567"/>
        <w:jc w:val="both"/>
        <w:textAlignment w:val="baseline"/>
        <w:rPr>
          <w:rStyle w:val="normaltextrun"/>
          <w:rFonts w:asciiTheme="majorBidi" w:eastAsiaTheme="majorEastAsia" w:hAnsiTheme="majorBidi" w:cstheme="majorBidi"/>
          <w:sz w:val="22"/>
          <w:szCs w:val="22"/>
          <w:lang w:val="en-AU"/>
        </w:rPr>
      </w:pPr>
      <w:r>
        <w:rPr>
          <w:rStyle w:val="normaltextrun"/>
          <w:rFonts w:asciiTheme="majorBidi" w:eastAsiaTheme="majorEastAsia" w:hAnsiTheme="majorBidi" w:cstheme="majorBidi"/>
          <w:sz w:val="22"/>
          <w:szCs w:val="22"/>
          <w:lang w:val="en-AU"/>
        </w:rPr>
        <w:t xml:space="preserve">Taskforce on Nature-related </w:t>
      </w:r>
      <w:proofErr w:type="spellStart"/>
      <w:r>
        <w:rPr>
          <w:rStyle w:val="normaltextrun"/>
          <w:rFonts w:asciiTheme="majorBidi" w:eastAsiaTheme="majorEastAsia" w:hAnsiTheme="majorBidi" w:cstheme="majorBidi"/>
          <w:sz w:val="22"/>
          <w:szCs w:val="22"/>
          <w:lang w:val="en-AU"/>
        </w:rPr>
        <w:t>Fiancial</w:t>
      </w:r>
      <w:proofErr w:type="spellEnd"/>
      <w:r>
        <w:rPr>
          <w:rStyle w:val="normaltextrun"/>
          <w:rFonts w:asciiTheme="majorBidi" w:eastAsiaTheme="majorEastAsia" w:hAnsiTheme="majorBidi" w:cstheme="majorBidi"/>
          <w:sz w:val="22"/>
          <w:szCs w:val="22"/>
          <w:lang w:val="en-AU"/>
        </w:rPr>
        <w:t xml:space="preserve"> Disclosures (2023) </w:t>
      </w:r>
      <w:hyperlink r:id="rId447" w:history="1">
        <w:r w:rsidR="009C4A98" w:rsidRPr="00164670">
          <w:rPr>
            <w:rStyle w:val="Hyperlink"/>
            <w:rFonts w:asciiTheme="majorBidi" w:eastAsiaTheme="majorEastAsia" w:hAnsiTheme="majorBidi" w:cstheme="majorBidi"/>
            <w:sz w:val="22"/>
            <w:szCs w:val="22"/>
          </w:rPr>
          <w:t>Guidance on the identification and assessment of nature-related Issues: The TNFD LEAP approach</w:t>
        </w:r>
      </w:hyperlink>
      <w:r w:rsidR="009C4A98" w:rsidRPr="009C4A98" w:rsidDel="00810D4C">
        <w:rPr>
          <w:rFonts w:asciiTheme="majorBidi" w:eastAsiaTheme="majorEastAsia" w:hAnsiTheme="majorBidi" w:cstheme="majorBidi"/>
          <w:sz w:val="22"/>
          <w:szCs w:val="22"/>
          <w:lang w:val="en-AU"/>
        </w:rPr>
        <w:t xml:space="preserve"> </w:t>
      </w:r>
      <w:r w:rsidR="00682D5A" w:rsidRPr="00ED7E61">
        <w:rPr>
          <w:rStyle w:val="normaltextrun"/>
          <w:rFonts w:asciiTheme="majorBidi" w:eastAsiaTheme="majorEastAsia" w:hAnsiTheme="majorBidi" w:cstheme="majorBidi"/>
          <w:sz w:val="22"/>
          <w:szCs w:val="22"/>
          <w:lang w:val="en-AU"/>
        </w:rPr>
        <w:t>version</w:t>
      </w:r>
      <w:r w:rsidR="009C4A98">
        <w:rPr>
          <w:rStyle w:val="normaltextrun"/>
          <w:rFonts w:asciiTheme="majorBidi" w:eastAsiaTheme="majorEastAsia" w:hAnsiTheme="majorBidi" w:cstheme="majorBidi"/>
          <w:sz w:val="22"/>
          <w:szCs w:val="22"/>
          <w:lang w:val="en-AU"/>
        </w:rPr>
        <w:t xml:space="preserve"> 1.1</w:t>
      </w:r>
      <w:r w:rsidR="00682D5A" w:rsidRPr="00ED7E61">
        <w:rPr>
          <w:rStyle w:val="normaltextrun"/>
          <w:rFonts w:asciiTheme="majorBidi" w:eastAsiaTheme="majorEastAsia" w:hAnsiTheme="majorBidi" w:cstheme="majorBidi"/>
          <w:sz w:val="22"/>
          <w:szCs w:val="22"/>
          <w:lang w:val="en-AU"/>
        </w:rPr>
        <w:t xml:space="preserve"> October 2023; </w:t>
      </w:r>
    </w:p>
    <w:p w14:paraId="161C3FD3" w14:textId="77777777" w:rsidR="00164670" w:rsidRDefault="00164670" w:rsidP="00164670">
      <w:pPr>
        <w:pStyle w:val="paragraph"/>
        <w:spacing w:before="0" w:beforeAutospacing="0" w:after="0" w:afterAutospacing="0"/>
        <w:ind w:left="567"/>
        <w:jc w:val="both"/>
        <w:textAlignment w:val="baseline"/>
        <w:rPr>
          <w:rStyle w:val="normaltextrun"/>
          <w:rFonts w:asciiTheme="majorBidi" w:eastAsiaTheme="majorEastAsia" w:hAnsiTheme="majorBidi" w:cstheme="majorBidi"/>
          <w:sz w:val="22"/>
          <w:szCs w:val="22"/>
          <w:lang w:val="en-AU"/>
        </w:rPr>
      </w:pPr>
    </w:p>
    <w:p w14:paraId="102D247E" w14:textId="77777777" w:rsidR="00164670" w:rsidRDefault="00682D5A" w:rsidP="00164670">
      <w:pPr>
        <w:pStyle w:val="paragraph"/>
        <w:spacing w:before="0" w:beforeAutospacing="0" w:after="0" w:afterAutospacing="0"/>
        <w:ind w:left="567"/>
        <w:jc w:val="both"/>
        <w:textAlignment w:val="baseline"/>
        <w:rPr>
          <w:rStyle w:val="normaltextrun"/>
          <w:rFonts w:asciiTheme="majorBidi" w:eastAsiaTheme="majorEastAsia" w:hAnsiTheme="majorBidi" w:cstheme="majorBidi"/>
          <w:sz w:val="22"/>
          <w:szCs w:val="22"/>
          <w:lang w:val="en-AU"/>
        </w:rPr>
      </w:pPr>
      <w:r w:rsidRPr="00ED7E61">
        <w:rPr>
          <w:rStyle w:val="normaltextrun"/>
          <w:rFonts w:asciiTheme="majorBidi" w:eastAsiaTheme="majorEastAsia" w:hAnsiTheme="majorBidi" w:cstheme="majorBidi"/>
          <w:sz w:val="22"/>
          <w:szCs w:val="22"/>
          <w:lang w:val="en-AU"/>
        </w:rPr>
        <w:t xml:space="preserve">Science Based Targets Network (2023) </w:t>
      </w:r>
      <w:hyperlink r:id="rId448" w:tgtFrame="_blank" w:history="1">
        <w:r w:rsidRPr="00ED7E61">
          <w:rPr>
            <w:rStyle w:val="normaltextrun"/>
            <w:rFonts w:asciiTheme="majorBidi" w:eastAsiaTheme="majorEastAsia" w:hAnsiTheme="majorBidi" w:cstheme="majorBidi"/>
            <w:color w:val="467886"/>
            <w:sz w:val="22"/>
            <w:szCs w:val="22"/>
            <w:u w:val="single"/>
            <w:lang w:val="en-AU"/>
          </w:rPr>
          <w:t>SBTN Glossary of Terms</w:t>
        </w:r>
      </w:hyperlink>
      <w:r w:rsidRPr="00ED7E61">
        <w:rPr>
          <w:rStyle w:val="normaltextrun"/>
          <w:rFonts w:asciiTheme="majorBidi" w:eastAsiaTheme="majorEastAsia" w:hAnsiTheme="majorBidi" w:cstheme="majorBidi"/>
          <w:sz w:val="22"/>
          <w:szCs w:val="22"/>
          <w:lang w:val="en-AU"/>
        </w:rPr>
        <w:t xml:space="preserve">; </w:t>
      </w:r>
    </w:p>
    <w:p w14:paraId="4911FA90" w14:textId="77777777" w:rsidR="00164670" w:rsidRDefault="00164670" w:rsidP="00164670">
      <w:pPr>
        <w:pStyle w:val="paragraph"/>
        <w:spacing w:before="0" w:beforeAutospacing="0" w:after="0" w:afterAutospacing="0"/>
        <w:ind w:left="567"/>
        <w:jc w:val="both"/>
        <w:textAlignment w:val="baseline"/>
        <w:rPr>
          <w:rStyle w:val="normaltextrun"/>
          <w:rFonts w:asciiTheme="majorBidi" w:eastAsiaTheme="majorEastAsia" w:hAnsiTheme="majorBidi" w:cstheme="majorBidi"/>
          <w:sz w:val="22"/>
          <w:szCs w:val="22"/>
          <w:lang w:val="en-AU"/>
        </w:rPr>
      </w:pPr>
    </w:p>
    <w:p w14:paraId="39D43AA7" w14:textId="77777777" w:rsidR="00164670" w:rsidRDefault="00682D5A" w:rsidP="00164670">
      <w:pPr>
        <w:pStyle w:val="paragraph"/>
        <w:spacing w:before="0" w:beforeAutospacing="0" w:after="0" w:afterAutospacing="0"/>
        <w:ind w:left="567"/>
        <w:jc w:val="both"/>
        <w:textAlignment w:val="baseline"/>
        <w:rPr>
          <w:rStyle w:val="normaltextrun"/>
          <w:rFonts w:asciiTheme="majorBidi" w:eastAsiaTheme="majorEastAsia" w:hAnsiTheme="majorBidi" w:cstheme="majorBidi"/>
          <w:sz w:val="22"/>
          <w:szCs w:val="22"/>
          <w:lang w:val="en-AU"/>
        </w:rPr>
      </w:pPr>
      <w:r w:rsidRPr="00ED7E61">
        <w:rPr>
          <w:rStyle w:val="normaltextrun"/>
          <w:rFonts w:asciiTheme="majorBidi" w:eastAsiaTheme="majorEastAsia" w:hAnsiTheme="majorBidi" w:cstheme="majorBidi"/>
          <w:sz w:val="22"/>
          <w:szCs w:val="22"/>
          <w:lang w:val="en-AU"/>
        </w:rPr>
        <w:t xml:space="preserve">Capitals Coalition (2016) </w:t>
      </w:r>
      <w:hyperlink r:id="rId449" w:tgtFrame="_blank" w:history="1">
        <w:r w:rsidRPr="00ED7E61">
          <w:rPr>
            <w:rStyle w:val="normaltextrun"/>
            <w:rFonts w:asciiTheme="majorBidi" w:eastAsiaTheme="majorEastAsia" w:hAnsiTheme="majorBidi" w:cstheme="majorBidi"/>
            <w:color w:val="467886"/>
            <w:sz w:val="22"/>
            <w:szCs w:val="22"/>
            <w:u w:val="single"/>
            <w:lang w:val="en-AU"/>
          </w:rPr>
          <w:t>The Natural Capital Protocol</w:t>
        </w:r>
      </w:hyperlink>
    </w:p>
    <w:p w14:paraId="7212285B" w14:textId="77777777" w:rsidR="00164670" w:rsidRDefault="00164670" w:rsidP="00164670">
      <w:pPr>
        <w:pStyle w:val="paragraph"/>
        <w:spacing w:before="0" w:beforeAutospacing="0" w:after="0" w:afterAutospacing="0"/>
        <w:ind w:left="567"/>
        <w:jc w:val="both"/>
        <w:textAlignment w:val="baseline"/>
        <w:rPr>
          <w:rStyle w:val="normaltextrun"/>
          <w:rFonts w:asciiTheme="majorBidi" w:eastAsiaTheme="majorEastAsia" w:hAnsiTheme="majorBidi" w:cstheme="majorBidi"/>
          <w:sz w:val="22"/>
          <w:szCs w:val="22"/>
          <w:lang w:val="en-AU"/>
        </w:rPr>
      </w:pPr>
    </w:p>
    <w:p w14:paraId="607AE2DD" w14:textId="30E60431" w:rsidR="00682D5A" w:rsidRPr="00812871" w:rsidRDefault="00682D5A" w:rsidP="00812871">
      <w:pPr>
        <w:pStyle w:val="paragraph"/>
        <w:spacing w:before="0" w:beforeAutospacing="0" w:after="0" w:afterAutospacing="0"/>
        <w:ind w:left="567"/>
        <w:jc w:val="both"/>
        <w:textAlignment w:val="baseline"/>
        <w:rPr>
          <w:rFonts w:asciiTheme="majorBidi" w:eastAsiaTheme="majorEastAsia" w:hAnsiTheme="majorBidi" w:cstheme="majorBidi"/>
          <w:sz w:val="22"/>
          <w:szCs w:val="22"/>
          <w:lang w:val="en-AU"/>
        </w:rPr>
      </w:pPr>
      <w:r w:rsidRPr="00ED7E61">
        <w:rPr>
          <w:rStyle w:val="normaltextrun"/>
          <w:rFonts w:asciiTheme="majorBidi" w:eastAsiaTheme="majorEastAsia" w:hAnsiTheme="majorBidi" w:cstheme="majorBidi"/>
          <w:sz w:val="22"/>
          <w:szCs w:val="22"/>
          <w:lang w:val="en-AU"/>
        </w:rPr>
        <w:t xml:space="preserve">Climate Disclosure Standards Board (2021) </w:t>
      </w:r>
      <w:hyperlink r:id="rId450" w:tgtFrame="_blank" w:history="1">
        <w:r w:rsidRPr="00ED7E61">
          <w:rPr>
            <w:rStyle w:val="normaltextrun"/>
            <w:rFonts w:asciiTheme="majorBidi" w:eastAsiaTheme="majorEastAsia" w:hAnsiTheme="majorBidi" w:cstheme="majorBidi"/>
            <w:color w:val="467886"/>
            <w:sz w:val="22"/>
            <w:szCs w:val="22"/>
            <w:u w:val="single"/>
            <w:lang w:val="en-AU"/>
          </w:rPr>
          <w:t>Application guidance for biodiversity-related disclosures</w:t>
        </w:r>
      </w:hyperlink>
      <w:r w:rsidRPr="00ED7E61">
        <w:rPr>
          <w:rStyle w:val="normaltextrun"/>
          <w:rFonts w:asciiTheme="majorBidi" w:eastAsiaTheme="majorEastAsia" w:hAnsiTheme="majorBidi" w:cstheme="majorBidi"/>
          <w:sz w:val="22"/>
          <w:szCs w:val="22"/>
          <w:lang w:val="en-AU"/>
        </w:rPr>
        <w:t>.)</w:t>
      </w:r>
      <w:r w:rsidRPr="00ED7E61">
        <w:rPr>
          <w:rStyle w:val="eop"/>
          <w:rFonts w:asciiTheme="majorBidi" w:eastAsiaTheme="majorEastAsia" w:hAnsiTheme="majorBidi" w:cstheme="majorBidi"/>
          <w:sz w:val="22"/>
          <w:szCs w:val="22"/>
        </w:rPr>
        <w:t> </w:t>
      </w:r>
    </w:p>
    <w:p w14:paraId="679008DC" w14:textId="77777777" w:rsidR="00682D5A" w:rsidRPr="00812871" w:rsidRDefault="00682D5A" w:rsidP="00A30F49">
      <w:pPr>
        <w:pStyle w:val="CBDNormalNumber"/>
        <w:shd w:val="clear" w:color="auto" w:fill="FFFFFF"/>
        <w:ind w:left="567"/>
        <w:rPr>
          <w:rFonts w:asciiTheme="majorBidi" w:hAnsiTheme="majorBidi" w:cstheme="majorBidi"/>
          <w:lang w:val="en-CA"/>
        </w:rPr>
      </w:pPr>
    </w:p>
    <w:p w14:paraId="5649847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12. Graphs and diagrams</w:t>
      </w:r>
      <w:r w:rsidRPr="00ED7E61">
        <w:rPr>
          <w:rStyle w:val="eop"/>
          <w:rFonts w:asciiTheme="majorBidi" w:eastAsiaTheme="majorEastAsia" w:hAnsiTheme="majorBidi" w:cstheme="majorBidi"/>
          <w:sz w:val="22"/>
          <w:szCs w:val="22"/>
        </w:rPr>
        <w:t> </w:t>
      </w:r>
    </w:p>
    <w:p w14:paraId="2E0A06AA" w14:textId="6C6D0D8D" w:rsidR="00756F0F" w:rsidRPr="00ED7E61" w:rsidRDefault="00756F0F" w:rsidP="005B0D1E">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lang w:val="en-AU"/>
        </w:rPr>
        <w:t>N/A</w:t>
      </w:r>
      <w:r w:rsidRPr="00ED7E61">
        <w:rPr>
          <w:rStyle w:val="eop"/>
          <w:rFonts w:asciiTheme="majorBidi" w:eastAsiaTheme="majorEastAsia" w:hAnsiTheme="majorBidi" w:cstheme="majorBidi"/>
          <w:sz w:val="22"/>
          <w:szCs w:val="22"/>
        </w:rPr>
        <w:t> </w:t>
      </w:r>
    </w:p>
    <w:p w14:paraId="515ECF4E" w14:textId="77777777" w:rsidR="00B2395D" w:rsidRDefault="00B2395D">
      <w:pPr>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br w:type="page"/>
      </w:r>
    </w:p>
    <w:p w14:paraId="6DBA8A0D" w14:textId="2F51A702" w:rsidR="00141A13" w:rsidRPr="00812871" w:rsidRDefault="00141A13" w:rsidP="00141A13">
      <w:pPr>
        <w:pStyle w:val="Heading3"/>
        <w:rPr>
          <w:rStyle w:val="normaltextrun"/>
        </w:rPr>
      </w:pPr>
      <w:bookmarkStart w:id="62" w:name="_Toc233278584"/>
      <w:bookmarkStart w:id="63" w:name="_Toc178285875"/>
      <w:r>
        <w:rPr>
          <w:rStyle w:val="normaltextrun"/>
        </w:rPr>
        <w:lastRenderedPageBreak/>
        <w:t>Binary</w:t>
      </w:r>
      <w:r w:rsidRPr="00ED7E61">
        <w:rPr>
          <w:rStyle w:val="normaltextrun"/>
        </w:rPr>
        <w:t xml:space="preserve"> indicator </w:t>
      </w:r>
      <w:r w:rsidRPr="00812871">
        <w:rPr>
          <w:rStyle w:val="normaltextrun"/>
        </w:rPr>
        <w:t>15.b</w:t>
      </w:r>
      <w:bookmarkEnd w:id="62"/>
      <w:r w:rsidRPr="00812871">
        <w:rPr>
          <w:rStyle w:val="normaltextrun"/>
        </w:rPr>
        <w:t xml:space="preserve"> </w:t>
      </w:r>
      <w:bookmarkEnd w:id="63"/>
    </w:p>
    <w:p w14:paraId="284EF9A7" w14:textId="77777777" w:rsidR="00141A13" w:rsidRPr="00ED7E61" w:rsidRDefault="00141A13" w:rsidP="00141A13">
      <w:pPr>
        <w:pStyle w:val="paragraph"/>
        <w:spacing w:before="0" w:beforeAutospacing="0" w:after="0" w:afterAutospacing="0"/>
        <w:jc w:val="center"/>
        <w:textAlignment w:val="baseline"/>
        <w:rPr>
          <w:rStyle w:val="normaltextrun"/>
          <w:rFonts w:asciiTheme="majorBidi" w:eastAsiaTheme="majorEastAsia" w:hAnsiTheme="majorBidi"/>
          <w:b/>
          <w:bCs/>
          <w:sz w:val="22"/>
          <w:szCs w:val="22"/>
        </w:rPr>
      </w:pPr>
    </w:p>
    <w:p w14:paraId="78CC48EA" w14:textId="77777777" w:rsidR="00141A13" w:rsidRPr="00ED7E61" w:rsidRDefault="00141A13" w:rsidP="0049615A">
      <w:pPr>
        <w:pStyle w:val="paragraph"/>
        <w:pBdr>
          <w:bottom w:val="single" w:sz="4" w:space="1" w:color="000000"/>
        </w:pBdr>
        <w:spacing w:before="0" w:beforeAutospacing="0" w:after="0" w:afterAutospacing="0"/>
        <w:jc w:val="both"/>
        <w:textAlignment w:val="baseline"/>
        <w:rPr>
          <w:rFonts w:asciiTheme="majorBidi" w:hAnsiTheme="majorBidi"/>
          <w:sz w:val="22"/>
          <w:szCs w:val="22"/>
        </w:rPr>
      </w:pPr>
      <w:r w:rsidRPr="0049615A">
        <w:rPr>
          <w:rStyle w:val="normaltextrun"/>
          <w:rFonts w:asciiTheme="majorBidi" w:eastAsiaTheme="majorEastAsia" w:hAnsiTheme="majorBidi" w:cstheme="majorBidi"/>
          <w:b/>
          <w:bCs/>
          <w:sz w:val="22"/>
          <w:szCs w:val="22"/>
          <w:lang w:val="en-GB"/>
        </w:rPr>
        <w:t>Full Indicator Name</w:t>
      </w:r>
    </w:p>
    <w:p w14:paraId="501643A0" w14:textId="77777777" w:rsidR="00141A13" w:rsidRPr="00ED7E61" w:rsidRDefault="00141A13" w:rsidP="00141A13">
      <w:pPr>
        <w:jc w:val="both"/>
        <w:rPr>
          <w:rFonts w:asciiTheme="majorBidi" w:hAnsiTheme="majorBidi"/>
          <w:sz w:val="22"/>
          <w:szCs w:val="22"/>
        </w:rPr>
      </w:pPr>
      <w:r w:rsidRPr="00ED7E61">
        <w:rPr>
          <w:rFonts w:asciiTheme="majorBidi" w:hAnsiTheme="majorBidi"/>
          <w:color w:val="000000" w:themeColor="text1"/>
          <w:kern w:val="22"/>
          <w:sz w:val="22"/>
          <w:szCs w:val="22"/>
        </w:rPr>
        <w:t xml:space="preserve">Number of countries with legal, administrative or policy measures </w:t>
      </w:r>
      <w:r w:rsidRPr="00ED7E61">
        <w:rPr>
          <w:rFonts w:asciiTheme="majorBidi" w:hAnsiTheme="majorBidi"/>
          <w:color w:val="000000" w:themeColor="text1"/>
          <w:sz w:val="22"/>
          <w:szCs w:val="22"/>
        </w:rPr>
        <w:t xml:space="preserve">aimed at encouraging and enabling business and financial institutions, and </w:t>
      </w:r>
      <w:proofErr w:type="gramStart"/>
      <w:r w:rsidRPr="00ED7E61">
        <w:rPr>
          <w:rFonts w:asciiTheme="majorBidi" w:hAnsiTheme="majorBidi"/>
          <w:color w:val="000000" w:themeColor="text1"/>
          <w:sz w:val="22"/>
          <w:szCs w:val="22"/>
        </w:rPr>
        <w:t>in particular large</w:t>
      </w:r>
      <w:proofErr w:type="gramEnd"/>
      <w:r w:rsidRPr="00ED7E61">
        <w:rPr>
          <w:rFonts w:asciiTheme="majorBidi" w:hAnsiTheme="majorBidi"/>
          <w:color w:val="000000" w:themeColor="text1"/>
          <w:sz w:val="22"/>
          <w:szCs w:val="22"/>
        </w:rPr>
        <w:t xml:space="preserve"> and transnational companies and financial institutions, to progressively reduce their negative impacts on biodiversity, increase their positive impacts, reduce their biodiversity-related risks and promote actions to ensure sustainable patterns of production.</w:t>
      </w:r>
    </w:p>
    <w:p w14:paraId="012D2C77" w14:textId="77777777" w:rsidR="00141A13" w:rsidRPr="00ED7E61" w:rsidRDefault="00141A13" w:rsidP="00141A13">
      <w:pPr>
        <w:jc w:val="both"/>
        <w:rPr>
          <w:rFonts w:asciiTheme="majorBidi" w:hAnsiTheme="majorBidi"/>
          <w:sz w:val="22"/>
          <w:szCs w:val="22"/>
          <w:lang w:val="en-US"/>
        </w:rPr>
      </w:pPr>
    </w:p>
    <w:p w14:paraId="3D0F94D1" w14:textId="77777777" w:rsidR="00141A13" w:rsidRPr="0049615A" w:rsidRDefault="00141A13" w:rsidP="0049615A">
      <w:pPr>
        <w:pStyle w:val="paragraph"/>
        <w:pBdr>
          <w:bottom w:val="single" w:sz="4" w:space="1" w:color="000000"/>
        </w:pBdr>
        <w:spacing w:before="0" w:beforeAutospacing="0" w:after="0" w:afterAutospacing="0"/>
        <w:jc w:val="both"/>
        <w:textAlignment w:val="baseline"/>
        <w:rPr>
          <w:rFonts w:asciiTheme="majorBidi" w:hAnsiTheme="majorBidi"/>
          <w:b/>
          <w:bCs/>
          <w:sz w:val="22"/>
          <w:szCs w:val="22"/>
        </w:rPr>
      </w:pPr>
      <w:r w:rsidRPr="0049615A">
        <w:rPr>
          <w:rStyle w:val="normaltextrun"/>
          <w:rFonts w:eastAsiaTheme="majorEastAsia" w:cstheme="majorBidi"/>
          <w:b/>
          <w:bCs/>
          <w:lang w:val="en-GB"/>
        </w:rPr>
        <w:t>Goals and Targets Addressed</w:t>
      </w:r>
    </w:p>
    <w:p w14:paraId="7BDD12AE" w14:textId="77777777" w:rsidR="00141A13" w:rsidRDefault="00141A13" w:rsidP="00141A13">
      <w:pPr>
        <w:jc w:val="both"/>
        <w:rPr>
          <w:rFonts w:asciiTheme="majorBidi" w:hAnsiTheme="majorBidi"/>
          <w:b/>
          <w:bCs/>
          <w:sz w:val="22"/>
          <w:szCs w:val="22"/>
        </w:rPr>
      </w:pPr>
    </w:p>
    <w:p w14:paraId="38B2DC7B" w14:textId="002A5E37" w:rsidR="00141A13" w:rsidRPr="00ED7E61" w:rsidRDefault="00141A13" w:rsidP="00141A13">
      <w:pPr>
        <w:jc w:val="both"/>
        <w:rPr>
          <w:rFonts w:asciiTheme="majorBidi" w:hAnsiTheme="majorBidi"/>
          <w:sz w:val="22"/>
          <w:szCs w:val="22"/>
        </w:rPr>
      </w:pPr>
      <w:r w:rsidRPr="00ED7E61">
        <w:rPr>
          <w:rFonts w:asciiTheme="majorBidi" w:hAnsiTheme="majorBidi"/>
          <w:sz w:val="22"/>
          <w:szCs w:val="22"/>
        </w:rPr>
        <w:t xml:space="preserve">Target 15. Take legal, administrative or policy measures to encourage and enable business, and </w:t>
      </w:r>
      <w:proofErr w:type="gramStart"/>
      <w:r w:rsidRPr="00ED7E61">
        <w:rPr>
          <w:rFonts w:asciiTheme="majorBidi" w:hAnsiTheme="majorBidi"/>
          <w:sz w:val="22"/>
          <w:szCs w:val="22"/>
        </w:rPr>
        <w:t>in particular to</w:t>
      </w:r>
      <w:proofErr w:type="gramEnd"/>
      <w:r w:rsidRPr="00ED7E61">
        <w:rPr>
          <w:rFonts w:asciiTheme="majorBidi" w:hAnsiTheme="majorBidi"/>
          <w:sz w:val="22"/>
          <w:szCs w:val="22"/>
        </w:rPr>
        <w:t xml:space="preserve"> ensure that large and transnational companies and financial institutions:</w:t>
      </w:r>
    </w:p>
    <w:p w14:paraId="40C12696" w14:textId="77777777" w:rsidR="00141A13" w:rsidRPr="00ED7E61" w:rsidRDefault="00141A13" w:rsidP="00141A13">
      <w:pPr>
        <w:ind w:firstLine="720"/>
        <w:jc w:val="both"/>
        <w:rPr>
          <w:rFonts w:asciiTheme="majorBidi" w:hAnsiTheme="majorBidi"/>
          <w:sz w:val="22"/>
          <w:szCs w:val="22"/>
        </w:rPr>
      </w:pPr>
      <w:r w:rsidRPr="00ED7E61">
        <w:rPr>
          <w:rFonts w:asciiTheme="majorBidi" w:hAnsiTheme="majorBidi"/>
          <w:sz w:val="22"/>
          <w:szCs w:val="22"/>
        </w:rPr>
        <w:t>(a) 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4CF22268" w14:textId="77777777" w:rsidR="00141A13" w:rsidRPr="00ED7E61" w:rsidRDefault="00141A13" w:rsidP="00141A13">
      <w:pPr>
        <w:ind w:firstLine="720"/>
        <w:jc w:val="both"/>
        <w:rPr>
          <w:rFonts w:asciiTheme="majorBidi" w:hAnsiTheme="majorBidi"/>
          <w:sz w:val="22"/>
          <w:szCs w:val="22"/>
        </w:rPr>
      </w:pPr>
      <w:r w:rsidRPr="00ED7E61">
        <w:rPr>
          <w:rFonts w:asciiTheme="majorBidi" w:hAnsiTheme="majorBidi"/>
          <w:sz w:val="22"/>
          <w:szCs w:val="22"/>
        </w:rPr>
        <w:t>(b) Provide information needed to consumers to promote sustainable consumption patterns;</w:t>
      </w:r>
    </w:p>
    <w:p w14:paraId="001EC86D" w14:textId="77777777" w:rsidR="00141A13" w:rsidRPr="00ED7E61" w:rsidRDefault="00141A13" w:rsidP="00141A13">
      <w:pPr>
        <w:ind w:firstLine="720"/>
        <w:jc w:val="both"/>
        <w:rPr>
          <w:rFonts w:asciiTheme="majorBidi" w:hAnsiTheme="majorBidi"/>
          <w:sz w:val="22"/>
          <w:szCs w:val="22"/>
        </w:rPr>
      </w:pPr>
      <w:r w:rsidRPr="00ED7E61">
        <w:rPr>
          <w:rFonts w:asciiTheme="majorBidi" w:hAnsiTheme="majorBidi"/>
          <w:sz w:val="22"/>
          <w:szCs w:val="22"/>
        </w:rPr>
        <w:t>(c) Report on compliance with access and benefit-sharing regulations and measures, as applicable;</w:t>
      </w:r>
    </w:p>
    <w:p w14:paraId="37FBAC81" w14:textId="77777777" w:rsidR="00141A13" w:rsidRPr="00ED7E61" w:rsidRDefault="00141A13" w:rsidP="00141A13">
      <w:pPr>
        <w:jc w:val="both"/>
        <w:rPr>
          <w:rFonts w:asciiTheme="majorBidi" w:hAnsiTheme="majorBidi"/>
          <w:sz w:val="22"/>
          <w:szCs w:val="22"/>
        </w:rPr>
      </w:pPr>
      <w:proofErr w:type="gramStart"/>
      <w:r w:rsidRPr="00ED7E61">
        <w:rPr>
          <w:rFonts w:asciiTheme="majorBidi" w:hAnsiTheme="majorBidi"/>
          <w:sz w:val="22"/>
          <w:szCs w:val="22"/>
        </w:rPr>
        <w:t>in order to</w:t>
      </w:r>
      <w:proofErr w:type="gramEnd"/>
      <w:r w:rsidRPr="00ED7E61">
        <w:rPr>
          <w:rFonts w:asciiTheme="majorBidi" w:hAnsiTheme="majorBidi"/>
          <w:sz w:val="22"/>
          <w:szCs w:val="22"/>
        </w:rPr>
        <w:t xml:space="preserve"> progressively reduce negative impacts on biodiversity, increase positive impacts, reduce biodiversity- related risks to business and financial institutions, and promote actions to ensure sustainable patterns of production.</w:t>
      </w:r>
    </w:p>
    <w:p w14:paraId="4D159F77" w14:textId="77777777" w:rsidR="00141A13" w:rsidRPr="00ED7E61" w:rsidRDefault="00141A13" w:rsidP="00141A13">
      <w:pPr>
        <w:jc w:val="both"/>
        <w:rPr>
          <w:rFonts w:asciiTheme="majorBidi" w:hAnsiTheme="majorBidi"/>
          <w:sz w:val="22"/>
          <w:szCs w:val="22"/>
        </w:rPr>
      </w:pPr>
    </w:p>
    <w:p w14:paraId="51936ED9" w14:textId="77777777" w:rsidR="00141A13" w:rsidRPr="0049615A" w:rsidRDefault="00141A13" w:rsidP="0049615A">
      <w:pPr>
        <w:pStyle w:val="paragraph"/>
        <w:pBdr>
          <w:bottom w:val="single" w:sz="4" w:space="1" w:color="000000"/>
        </w:pBdr>
        <w:spacing w:before="0" w:beforeAutospacing="0" w:after="0" w:afterAutospacing="0"/>
        <w:jc w:val="both"/>
        <w:textAlignment w:val="baseline"/>
        <w:rPr>
          <w:rStyle w:val="normaltextrun"/>
          <w:rFonts w:eastAsiaTheme="majorEastAsia" w:cstheme="majorBidi"/>
          <w:b/>
          <w:bCs/>
          <w:lang w:val="en-GB"/>
        </w:rPr>
      </w:pPr>
      <w:r w:rsidRPr="0049615A">
        <w:rPr>
          <w:rStyle w:val="normaltextrun"/>
          <w:rFonts w:eastAsiaTheme="majorEastAsia" w:cstheme="majorBidi"/>
          <w:b/>
          <w:bCs/>
          <w:lang w:val="en-GB"/>
        </w:rPr>
        <w:t>Rationale</w:t>
      </w:r>
    </w:p>
    <w:p w14:paraId="201053C6" w14:textId="77777777" w:rsidR="00141A13" w:rsidRPr="00812871" w:rsidRDefault="00141A13" w:rsidP="00812871">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812871">
        <w:rPr>
          <w:rStyle w:val="normaltextrun"/>
          <w:rFonts w:eastAsiaTheme="majorEastAsia" w:cstheme="majorBidi"/>
          <w:lang w:val="en-AU"/>
        </w:rPr>
        <w:t>All businesses are tied in some way to biodiversity through their risks, dependencies and impacts. However, these risks, dependencies and impacts are not always acknowledged or accounted for. By assessing and monitoring their impacts on biodiversity, businesses can better understand their relationship with biodiversity and assess the impacts of their activities on it and the risks posed by biodiversity loss to their operations and supply chains. Once these relationships, impacts and risks have been assessed and disclosed, it becomes easier to take concrete steps to address them. Governments have a particularly important role to play in this respect as they can put in place the legal, administrative or policy measures that can facilitate these assessments to take place in a consistent and equitable manner.</w:t>
      </w:r>
    </w:p>
    <w:p w14:paraId="2D6A9DB6" w14:textId="77777777" w:rsidR="00141A13" w:rsidRPr="00812871" w:rsidRDefault="00141A13" w:rsidP="00812871">
      <w:pPr>
        <w:pStyle w:val="CBDNormalNumber"/>
        <w:numPr>
          <w:ilvl w:val="0"/>
          <w:numId w:val="401"/>
        </w:numPr>
        <w:shd w:val="clear" w:color="auto" w:fill="FFFFFF"/>
        <w:ind w:left="567" w:firstLine="0"/>
        <w:rPr>
          <w:rStyle w:val="normaltextrun"/>
          <w:rFonts w:asciiTheme="majorBidi" w:eastAsiaTheme="majorEastAsia" w:hAnsiTheme="majorBidi" w:cstheme="majorBidi"/>
          <w:lang w:val="en-AU"/>
        </w:rPr>
      </w:pPr>
      <w:r w:rsidRPr="00812871">
        <w:rPr>
          <w:rStyle w:val="normaltextrun"/>
          <w:rFonts w:asciiTheme="majorBidi" w:eastAsiaTheme="majorEastAsia" w:hAnsiTheme="majorBidi" w:cstheme="majorBidi"/>
          <w:lang w:val="en-AU"/>
        </w:rPr>
        <w:t>Large and transnational companies and financial institutions have a disproportionately great impact on biodiversity.  These types of companies and institutions, owing to their size and areas of operation, supply and value chains and portfolios often have large net impacts on biodiversity. As such improvements in their monitoring, assessment and disclosure processes have significant potential to generate positive outcomes for biodiversity, particularly as issues associated with supply chains and portfolios are often overlooked in sustainability reports. They also have the resources to track their biodiversity related risks and impacts for reporting and action. This indicator aims to track the progress made by governments to encourage and enable businesses, especially large and transnational companies and financial institutions, to reduce their negative impact and increase their positive impacts on biodiversity. Specifically, this indicator reports on the number of countries that have implemented legal, administrative or policy measures to ensure large and transnational companies and financial institutions make progress towards elements (a), (b) and (c) of target 15.</w:t>
      </w:r>
    </w:p>
    <w:p w14:paraId="6E310D3B" w14:textId="77777777" w:rsidR="00141A13" w:rsidRPr="0049615A" w:rsidRDefault="00141A13" w:rsidP="0049615A">
      <w:pPr>
        <w:pStyle w:val="paragraph"/>
        <w:pBdr>
          <w:bottom w:val="single" w:sz="4" w:space="1" w:color="000000"/>
        </w:pBdr>
        <w:spacing w:before="0" w:beforeAutospacing="0" w:after="0" w:afterAutospacing="0"/>
        <w:jc w:val="both"/>
        <w:textAlignment w:val="baseline"/>
        <w:rPr>
          <w:rStyle w:val="normaltextrun"/>
          <w:rFonts w:eastAsiaTheme="majorEastAsia" w:cstheme="majorBidi"/>
          <w:b/>
          <w:bCs/>
          <w:lang w:val="en-GB"/>
        </w:rPr>
      </w:pPr>
      <w:r w:rsidRPr="0049615A">
        <w:rPr>
          <w:rStyle w:val="normaltextrun"/>
          <w:rFonts w:eastAsiaTheme="majorEastAsia" w:cstheme="majorBidi"/>
          <w:b/>
          <w:bCs/>
          <w:lang w:val="en-GB"/>
        </w:rPr>
        <w:t>Definitions Concepts and Classifications</w:t>
      </w:r>
    </w:p>
    <w:p w14:paraId="6AD58086" w14:textId="77777777" w:rsidR="00141A13" w:rsidRPr="00ED7E61" w:rsidRDefault="00141A13" w:rsidP="00141A13">
      <w:pPr>
        <w:spacing w:before="120"/>
        <w:jc w:val="both"/>
        <w:rPr>
          <w:rFonts w:asciiTheme="majorBidi" w:hAnsiTheme="majorBidi"/>
          <w:b/>
          <w:bCs/>
          <w:sz w:val="22"/>
          <w:szCs w:val="22"/>
        </w:rPr>
      </w:pPr>
      <w:r w:rsidRPr="00ED7E61">
        <w:rPr>
          <w:rFonts w:asciiTheme="majorBidi" w:hAnsiTheme="majorBidi"/>
          <w:b/>
          <w:bCs/>
          <w:sz w:val="22"/>
          <w:szCs w:val="22"/>
        </w:rPr>
        <w:t>Definition</w:t>
      </w:r>
    </w:p>
    <w:p w14:paraId="1BB08AB2" w14:textId="77777777" w:rsidR="00141A13" w:rsidRPr="00812871" w:rsidRDefault="00141A13" w:rsidP="00812871">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812871">
        <w:rPr>
          <w:rStyle w:val="normaltextrun"/>
          <w:rFonts w:eastAsiaTheme="majorEastAsia" w:cstheme="majorBidi"/>
          <w:lang w:val="en-AU"/>
        </w:rPr>
        <w:t xml:space="preserve">Large and transnational companies and financial institutions: A large private or public firm which owns and controls productive assets and/or holds investments in two or more countries. The </w:t>
      </w:r>
      <w:proofErr w:type="gramStart"/>
      <w:r w:rsidRPr="00812871">
        <w:rPr>
          <w:rStyle w:val="normaltextrun"/>
          <w:rFonts w:eastAsiaTheme="majorEastAsia" w:cstheme="majorBidi"/>
          <w:lang w:val="en-AU"/>
        </w:rPr>
        <w:t>most commonly used</w:t>
      </w:r>
      <w:proofErr w:type="gramEnd"/>
      <w:r w:rsidRPr="00812871">
        <w:rPr>
          <w:rStyle w:val="normaltextrun"/>
          <w:rFonts w:eastAsiaTheme="majorEastAsia" w:cstheme="majorBidi"/>
          <w:lang w:val="en-AU"/>
        </w:rPr>
        <w:t xml:space="preserve"> criteria for company size are employment and annual revenue. The World Bank generally considers companies with over 300 employees and $15 million in annual revenue to be </w:t>
      </w:r>
      <w:r w:rsidRPr="00812871">
        <w:rPr>
          <w:rStyle w:val="normaltextrun"/>
          <w:rFonts w:eastAsiaTheme="majorEastAsia" w:cstheme="majorBidi"/>
          <w:lang w:val="en-AU"/>
        </w:rPr>
        <w:lastRenderedPageBreak/>
        <w:t>“large”. However, some countries or jurisdictions use different thresholds to define “large”. Parties may choose to rely on the World Bank criteria or nationally recognised criteria of their own.</w:t>
      </w:r>
    </w:p>
    <w:p w14:paraId="5EC5856F" w14:textId="77777777" w:rsidR="00141A13" w:rsidRPr="00812871" w:rsidRDefault="00141A13" w:rsidP="00812871">
      <w:pPr>
        <w:pStyle w:val="CBDNormalNumber"/>
        <w:numPr>
          <w:ilvl w:val="1"/>
          <w:numId w:val="401"/>
        </w:numPr>
        <w:shd w:val="clear" w:color="auto" w:fill="FFFFFF"/>
        <w:tabs>
          <w:tab w:val="clear" w:pos="1701"/>
        </w:tabs>
        <w:rPr>
          <w:rStyle w:val="normaltextrun"/>
          <w:rFonts w:eastAsiaTheme="majorEastAsia" w:cstheme="majorBidi"/>
          <w:lang w:val="en-AU"/>
        </w:rPr>
      </w:pPr>
      <w:r w:rsidRPr="00812871">
        <w:rPr>
          <w:rStyle w:val="normaltextrun"/>
          <w:rFonts w:eastAsiaTheme="majorEastAsia" w:cstheme="majorBidi"/>
          <w:lang w:val="en-AU"/>
        </w:rPr>
        <w:t>Measures: The Framework calls for legal, administrative or policy measures to be implemented to support the achievement of its goals and targets. In the context of target 15, such measures could, for example, include:</w:t>
      </w:r>
    </w:p>
    <w:p w14:paraId="5A9CEB0F" w14:textId="77777777" w:rsidR="00141A13" w:rsidRPr="00FA05B3" w:rsidRDefault="00141A13" w:rsidP="00FA05B3">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Adopt legislation at national level requiring disclosure of biodiversity-related risks, impacts and dependencies for large and transnational companies and financial institutions;</w:t>
      </w:r>
    </w:p>
    <w:p w14:paraId="50F28254" w14:textId="77777777" w:rsidR="00141A13" w:rsidRPr="00FA05B3" w:rsidRDefault="00141A13" w:rsidP="00FA05B3">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Mandate financial regulators to require disclosure of nature-related risks, impacts and dependencies from financial market participants;</w:t>
      </w:r>
    </w:p>
    <w:p w14:paraId="027EAF3B" w14:textId="77777777" w:rsidR="00141A13" w:rsidRPr="00FA05B3" w:rsidRDefault="00141A13" w:rsidP="00FA05B3">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Create an enabling environment to encourage companies and financial institutions to disclose, through capacity-building, guidance, best practice, information on existing frameworks (such as TNFD and others);</w:t>
      </w:r>
    </w:p>
    <w:p w14:paraId="51150E53" w14:textId="77777777" w:rsidR="00141A13" w:rsidRPr="00FA05B3" w:rsidRDefault="00141A13" w:rsidP="00FA05B3">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Develop financial incentives to encourage companies and financial institutions to disclose biodiversity-related risks, impacts and dependencies;</w:t>
      </w:r>
    </w:p>
    <w:p w14:paraId="2FD36038" w14:textId="77777777" w:rsidR="00141A13" w:rsidRPr="00FA05B3" w:rsidRDefault="00141A13" w:rsidP="00FA05B3">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Biodiversity-related certification of products for businesses;</w:t>
      </w:r>
    </w:p>
    <w:p w14:paraId="5B1F1B8F" w14:textId="77777777" w:rsidR="00141A13" w:rsidRPr="00FA05B3" w:rsidRDefault="00141A13" w:rsidP="00FA05B3">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 xml:space="preserve">Allocate resources towards implementing/enforcing the relevant (above-mentioned) policies or legislative measures   </w:t>
      </w:r>
    </w:p>
    <w:p w14:paraId="53712746" w14:textId="77777777" w:rsidR="00141A13" w:rsidRPr="00812871" w:rsidRDefault="00141A13" w:rsidP="00812871">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812871">
        <w:rPr>
          <w:rStyle w:val="normaltextrun"/>
          <w:rFonts w:eastAsiaTheme="majorEastAsia" w:cstheme="majorBidi"/>
          <w:lang w:val="en-AU"/>
        </w:rPr>
        <w:t>Such measures may be supported by policy frameworks adopted by countries aiming at reducing the impact on biodiversity. Finally, these laws and policies should be supported with personnel resources in administration whose mandate it is to include biodiversity concerns.</w:t>
      </w:r>
    </w:p>
    <w:p w14:paraId="36FC789B" w14:textId="77777777" w:rsidR="00141A13" w:rsidRPr="00812871" w:rsidRDefault="00141A13" w:rsidP="00812871">
      <w:pPr>
        <w:pStyle w:val="CBDNormalNumber"/>
        <w:numPr>
          <w:ilvl w:val="0"/>
          <w:numId w:val="401"/>
        </w:numPr>
        <w:shd w:val="clear" w:color="auto" w:fill="FFFFFF"/>
        <w:tabs>
          <w:tab w:val="clear" w:pos="1701"/>
        </w:tabs>
        <w:ind w:left="567" w:firstLine="0"/>
        <w:rPr>
          <w:rStyle w:val="normaltextrun"/>
          <w:rFonts w:eastAsiaTheme="majorEastAsia" w:cstheme="majorBidi"/>
        </w:rPr>
      </w:pPr>
      <w:r w:rsidRPr="00812871">
        <w:rPr>
          <w:rStyle w:val="normaltextrun"/>
          <w:rFonts w:eastAsiaTheme="majorEastAsia" w:cstheme="majorBidi"/>
          <w:lang w:val="en-AU"/>
        </w:rPr>
        <w:t xml:space="preserve">Biodiversity-related risks to business and financial institutions: The TNFD defines nature-related risks as potential threats (effects of uncertainty) posed to an organization that arise from its and wider society’s dependencies and impacts on nature. </w:t>
      </w:r>
      <w:r w:rsidRPr="00812871">
        <w:rPr>
          <w:rStyle w:val="normaltextrun"/>
          <w:rFonts w:eastAsiaTheme="majorEastAsia" w:cstheme="majorBidi"/>
        </w:rPr>
        <w:t>Biodiversity-related risks to businesses are categorised as:</w:t>
      </w:r>
    </w:p>
    <w:p w14:paraId="0EAB936D" w14:textId="77777777" w:rsidR="00141A13" w:rsidRPr="00FA05B3" w:rsidRDefault="00141A13" w:rsidP="00812871">
      <w:pPr>
        <w:pStyle w:val="CBDNormalNumber"/>
        <w:numPr>
          <w:ilvl w:val="1"/>
          <w:numId w:val="401"/>
        </w:numPr>
        <w:shd w:val="clear" w:color="auto" w:fill="FFFFFF"/>
        <w:tabs>
          <w:tab w:val="clear" w:pos="1701"/>
        </w:tabs>
        <w:rPr>
          <w:rStyle w:val="normaltextrun"/>
          <w:rFonts w:eastAsiaTheme="majorEastAsia" w:cstheme="majorBidi"/>
          <w:lang w:val="en-AU"/>
        </w:rPr>
      </w:pPr>
      <w:r w:rsidRPr="00FA05B3">
        <w:rPr>
          <w:rStyle w:val="normaltextrun"/>
          <w:rFonts w:asciiTheme="majorBidi" w:eastAsiaTheme="majorEastAsia" w:hAnsiTheme="majorBidi" w:cstheme="majorBidi"/>
          <w:lang w:val="en-AU"/>
        </w:rPr>
        <w:t>Ecological</w:t>
      </w:r>
      <w:r w:rsidRPr="00FA05B3">
        <w:rPr>
          <w:rStyle w:val="normaltextrun"/>
          <w:rFonts w:eastAsiaTheme="majorEastAsia" w:cstheme="majorBidi"/>
          <w:lang w:val="en-AU"/>
        </w:rPr>
        <w:t xml:space="preserve"> risks, i.e. risks related to biodiversity-related ecological impacts and dependencies, linked to biodiversity loss or ecosystems degradation. </w:t>
      </w:r>
    </w:p>
    <w:p w14:paraId="67436A27" w14:textId="77777777" w:rsidR="00141A13" w:rsidRPr="00FA05B3" w:rsidRDefault="00141A13" w:rsidP="00812871">
      <w:pPr>
        <w:pStyle w:val="CBDNormalNumber"/>
        <w:numPr>
          <w:ilvl w:val="1"/>
          <w:numId w:val="401"/>
        </w:numPr>
        <w:shd w:val="clear" w:color="auto" w:fill="FFFFFF"/>
        <w:tabs>
          <w:tab w:val="clear" w:pos="1701"/>
        </w:tabs>
        <w:rPr>
          <w:rStyle w:val="normaltextrun"/>
          <w:rFonts w:eastAsiaTheme="majorEastAsia" w:cstheme="majorBidi"/>
          <w:lang w:val="en-AU"/>
        </w:rPr>
      </w:pPr>
      <w:r w:rsidRPr="00FA05B3">
        <w:rPr>
          <w:rStyle w:val="normaltextrun"/>
          <w:rFonts w:eastAsiaTheme="majorEastAsia" w:cstheme="majorBidi"/>
          <w:lang w:val="en-AU"/>
        </w:rPr>
        <w:t>Liability risks, where parties who have suffered biodiversity-related loss or damage seek compensation for those they hold responsible.</w:t>
      </w:r>
    </w:p>
    <w:p w14:paraId="204C44CB" w14:textId="77777777" w:rsidR="00141A13" w:rsidRPr="00FA05B3" w:rsidRDefault="00141A13" w:rsidP="00812871">
      <w:pPr>
        <w:pStyle w:val="CBDNormalNumber"/>
        <w:numPr>
          <w:ilvl w:val="1"/>
          <w:numId w:val="401"/>
        </w:numPr>
        <w:shd w:val="clear" w:color="auto" w:fill="FFFFFF"/>
        <w:tabs>
          <w:tab w:val="clear" w:pos="1701"/>
        </w:tabs>
        <w:rPr>
          <w:rStyle w:val="normaltextrun"/>
          <w:rFonts w:eastAsiaTheme="majorEastAsia" w:cstheme="majorBidi"/>
          <w:lang w:val="en-AU"/>
        </w:rPr>
      </w:pPr>
      <w:r w:rsidRPr="00FA05B3">
        <w:rPr>
          <w:rStyle w:val="normaltextrun"/>
          <w:rFonts w:eastAsiaTheme="majorEastAsia" w:cstheme="majorBidi"/>
          <w:lang w:val="en-AU"/>
        </w:rPr>
        <w:t>Risks related to achieve transformative change for biodiversity, including regulatory risks, market risks and financial risks.</w:t>
      </w:r>
    </w:p>
    <w:p w14:paraId="28F7E56E" w14:textId="77777777" w:rsidR="00141A13" w:rsidRPr="00812871" w:rsidRDefault="00141A13" w:rsidP="00812871">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812871">
        <w:rPr>
          <w:rStyle w:val="normaltextrun"/>
          <w:rFonts w:eastAsiaTheme="majorEastAsia" w:cstheme="majorBidi"/>
          <w:lang w:val="en-AU"/>
        </w:rPr>
        <w:t>Sustainable consumption and production: The use of services and related products, which respond to basic needs and bring a better quality of life while minimising the use of natural resources and toxic materials as well as the emissions of waste and pollutants over the life cycle of the service or product so as not to jeopardise the needs of future generations.</w:t>
      </w:r>
    </w:p>
    <w:p w14:paraId="492983F4" w14:textId="77777777" w:rsidR="00141A13" w:rsidRPr="00812871" w:rsidRDefault="00141A13" w:rsidP="00812871">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812871">
        <w:rPr>
          <w:rStyle w:val="normaltextrun"/>
          <w:rFonts w:eastAsiaTheme="majorEastAsia" w:cstheme="majorBidi"/>
          <w:lang w:val="en-AU"/>
        </w:rPr>
        <w:t>Operations: All activities carried out by business, including large and transnational companies and financial institutions, to continue functioning and generating revenue.</w:t>
      </w:r>
    </w:p>
    <w:p w14:paraId="58B7FD0F" w14:textId="77777777" w:rsidR="00141A13" w:rsidRPr="00FA05B3" w:rsidRDefault="00141A13" w:rsidP="00812871">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812871">
        <w:rPr>
          <w:rStyle w:val="normaltextrun"/>
          <w:rFonts w:eastAsiaTheme="majorEastAsia" w:cstheme="majorBidi"/>
          <w:lang w:val="en-AU"/>
        </w:rPr>
        <w:t>Dependencies and impacts: Dependencies on biodiversity are environmental assets and ecosystem services that a person or an organization relies on to function, including water flow and quality regulation; regulation of hazards like fires and floods; pollination; carbon sequestration. Impacts on biodiversity refer to a change in the state of nature (quality or quantity), which may result in changes to the capacity of nature to provide social and economic functions. Impacts can be positive</w:t>
      </w:r>
      <w:r w:rsidRPr="00FA05B3">
        <w:rPr>
          <w:rStyle w:val="normaltextrun"/>
          <w:rFonts w:eastAsiaTheme="majorEastAsia" w:cstheme="majorBidi"/>
          <w:lang w:val="en-AU"/>
        </w:rPr>
        <w:t xml:space="preserve"> or negative, including pollution of air, water, soil; fragmentation or disruption of ecosystems and habitats for species; alteration of ecosystem regimes. (Science-based Targets for Nature (2020))</w:t>
      </w:r>
    </w:p>
    <w:p w14:paraId="257404FD" w14:textId="77777777" w:rsidR="00141A13" w:rsidRPr="00ED7E61" w:rsidRDefault="00141A13" w:rsidP="00141A13">
      <w:pPr>
        <w:jc w:val="both"/>
        <w:rPr>
          <w:rFonts w:asciiTheme="majorBidi" w:hAnsiTheme="majorBidi"/>
          <w:sz w:val="22"/>
          <w:szCs w:val="22"/>
        </w:rPr>
      </w:pPr>
    </w:p>
    <w:p w14:paraId="6EF01DE5" w14:textId="77777777" w:rsidR="00141A13" w:rsidRPr="0049615A" w:rsidRDefault="00141A13" w:rsidP="0049615A">
      <w:pPr>
        <w:pStyle w:val="paragraph"/>
        <w:pBdr>
          <w:bottom w:val="single" w:sz="4" w:space="1" w:color="000000"/>
        </w:pBdr>
        <w:spacing w:before="0" w:beforeAutospacing="0" w:after="0" w:afterAutospacing="0"/>
        <w:jc w:val="both"/>
        <w:textAlignment w:val="baseline"/>
        <w:rPr>
          <w:rStyle w:val="normaltextrun"/>
          <w:rFonts w:eastAsiaTheme="majorEastAsia" w:cstheme="majorBidi"/>
          <w:lang w:val="en-GB"/>
        </w:rPr>
      </w:pPr>
      <w:r w:rsidRPr="0049615A">
        <w:rPr>
          <w:rStyle w:val="normaltextrun"/>
          <w:rFonts w:eastAsiaTheme="majorEastAsia" w:cstheme="majorBidi"/>
          <w:lang w:val="en-GB"/>
        </w:rPr>
        <w:lastRenderedPageBreak/>
        <w:t>Method of Computation</w:t>
      </w:r>
    </w:p>
    <w:p w14:paraId="0CB7DF0B" w14:textId="77777777" w:rsidR="00141A13" w:rsidRPr="00812871" w:rsidRDefault="00141A13" w:rsidP="00812871">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812871">
        <w:rPr>
          <w:rStyle w:val="normaltextrun"/>
          <w:rFonts w:eastAsiaTheme="majorEastAsia" w:cstheme="majorBidi"/>
          <w:lang w:val="en-AU"/>
        </w:rPr>
        <w:t>This indicator is a binary indicator and must be compiled from the answers to five questions:</w:t>
      </w:r>
    </w:p>
    <w:p w14:paraId="04F45E6D" w14:textId="77777777" w:rsidR="00141A13" w:rsidRPr="00FA05B3" w:rsidRDefault="00141A13" w:rsidP="00812871">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 xml:space="preserve">15.1 Has your country put in place legal, administrative or policy measures to ensure that large and transnational companies and financial institutions, monitor, assess and transparently disclose their risks, dependencies and impacts on biodiversity, along their operations, supply and value chains and portfolios? </w:t>
      </w:r>
    </w:p>
    <w:p w14:paraId="2DD71C45" w14:textId="77777777" w:rsidR="00141A13" w:rsidRPr="00FA05B3" w:rsidRDefault="00141A13" w:rsidP="00812871">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15.2 Has your country put in place measures to ensure that large and transnational companies and financial institutions provide relevant information to consumers to promote sustainable consumption patterns?</w:t>
      </w:r>
    </w:p>
    <w:p w14:paraId="30643E09" w14:textId="77777777" w:rsidR="00141A13" w:rsidRPr="00FA05B3" w:rsidRDefault="00141A13" w:rsidP="00812871">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15.3 Has your country put in place measures to ensure that that large and transnational companies and financial institutions report on compliance with access and benefit-sharing regulations?</w:t>
      </w:r>
    </w:p>
    <w:p w14:paraId="10ACB73D" w14:textId="77777777" w:rsidR="00141A13" w:rsidRPr="00FA05B3" w:rsidRDefault="00141A13" w:rsidP="00812871">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15.4 Has your country put in place measures to ensure that large and transnational companies and financial institutions progressively reduce their negative impacts on biodiversity and increase their positive impacts?</w:t>
      </w:r>
    </w:p>
    <w:p w14:paraId="4CFE5C14" w14:textId="77777777" w:rsidR="00141A13" w:rsidRPr="00FA05B3" w:rsidRDefault="00141A13" w:rsidP="00812871">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15.5 Does your country monitor whether negative impacts from business on biodiversity have progressively decreased?</w:t>
      </w:r>
    </w:p>
    <w:p w14:paraId="551F3897" w14:textId="77777777" w:rsidR="00141A13" w:rsidRPr="00812871" w:rsidRDefault="00141A13" w:rsidP="00812871">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812871">
        <w:rPr>
          <w:rStyle w:val="normaltextrun"/>
          <w:rFonts w:eastAsiaTheme="majorEastAsia" w:cstheme="majorBidi"/>
          <w:lang w:val="en-AU"/>
        </w:rPr>
        <w:t>There are four possible answers to each of these questions</w:t>
      </w:r>
      <w:r w:rsidRPr="00812871">
        <w:rPr>
          <w:rStyle w:val="normaltextrun"/>
          <w:rFonts w:eastAsiaTheme="majorEastAsia" w:cstheme="majorBidi"/>
          <w:lang w:val="en-AU"/>
        </w:rPr>
        <w:footnoteReference w:id="47"/>
      </w:r>
      <w:r w:rsidRPr="00812871">
        <w:rPr>
          <w:rStyle w:val="normaltextrun"/>
          <w:rFonts w:eastAsiaTheme="majorEastAsia" w:cstheme="majorBidi"/>
          <w:lang w:val="en-AU"/>
        </w:rPr>
        <w:t>:</w:t>
      </w:r>
    </w:p>
    <w:p w14:paraId="29CAE414" w14:textId="77777777" w:rsidR="00141A13" w:rsidRPr="00FA05B3" w:rsidRDefault="00141A13" w:rsidP="00812871">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No</w:t>
      </w:r>
    </w:p>
    <w:p w14:paraId="679CAA55" w14:textId="77777777" w:rsidR="00141A13" w:rsidRPr="00FA05B3" w:rsidRDefault="00141A13" w:rsidP="00812871">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Under development</w:t>
      </w:r>
    </w:p>
    <w:p w14:paraId="003F5B45" w14:textId="77777777" w:rsidR="00141A13" w:rsidRPr="00FA05B3" w:rsidRDefault="00141A13" w:rsidP="00812871">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Partially</w:t>
      </w:r>
    </w:p>
    <w:p w14:paraId="199D181F" w14:textId="77777777" w:rsidR="00141A13" w:rsidRPr="00FA05B3" w:rsidRDefault="00141A13" w:rsidP="00812871">
      <w:pPr>
        <w:pStyle w:val="CBDNormalNumber"/>
        <w:numPr>
          <w:ilvl w:val="1"/>
          <w:numId w:val="401"/>
        </w:numPr>
        <w:shd w:val="clear" w:color="auto" w:fill="FFFFFF"/>
        <w:tabs>
          <w:tab w:val="clear" w:pos="1701"/>
        </w:tabs>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Fully</w:t>
      </w:r>
    </w:p>
    <w:p w14:paraId="3AB31DA1" w14:textId="77777777" w:rsidR="00141A13" w:rsidRPr="00FA05B3" w:rsidRDefault="00141A13" w:rsidP="00FA05B3">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FA05B3">
        <w:rPr>
          <w:rStyle w:val="normaltextrun"/>
          <w:rFonts w:eastAsiaTheme="majorEastAsia" w:cstheme="majorBidi"/>
          <w:lang w:val="en-AU"/>
        </w:rPr>
        <w:t>A “</w:t>
      </w:r>
      <w:r w:rsidRPr="00210A4D">
        <w:rPr>
          <w:rStyle w:val="normaltextrun"/>
          <w:rFonts w:eastAsiaTheme="majorEastAsia" w:cstheme="majorBidi"/>
          <w:i/>
          <w:iCs/>
          <w:lang w:val="en-AU"/>
        </w:rPr>
        <w:t>No</w:t>
      </w:r>
      <w:r w:rsidRPr="00FA05B3">
        <w:rPr>
          <w:rStyle w:val="normaltextrun"/>
          <w:rFonts w:eastAsiaTheme="majorEastAsia" w:cstheme="majorBidi"/>
          <w:lang w:val="en-AU"/>
        </w:rPr>
        <w:t>” answer implies that Parties have not put in place any measures to ensure monitoring, assessment and disclosure (15.1), to promote information sharing (15.2), to ensure compliance with access and benefit-sharing (ABS) regulations (15.3) nor to reduce negative impacts and increase positive impacts on biodiversity (15.4) of large and transnational companies and financial institutions. Therefore, no legislative, administrative nor policy measures exist in the country for the specific requirements of each question in turn and none are being discussed nor designed. Additionally, no monitoring of business impacts on biodiversity is taking place (15.5).</w:t>
      </w:r>
    </w:p>
    <w:p w14:paraId="04846C76" w14:textId="77777777" w:rsidR="00141A13" w:rsidRPr="00FA05B3" w:rsidRDefault="00141A13" w:rsidP="00FA05B3">
      <w:pPr>
        <w:pStyle w:val="CBDNormalNumber"/>
        <w:numPr>
          <w:ilvl w:val="0"/>
          <w:numId w:val="401"/>
        </w:numPr>
        <w:shd w:val="clear" w:color="auto" w:fill="FFFFFF"/>
        <w:tabs>
          <w:tab w:val="clear" w:pos="1701"/>
        </w:tabs>
        <w:ind w:left="567" w:firstLine="0"/>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An “</w:t>
      </w:r>
      <w:r w:rsidRPr="00210A4D">
        <w:rPr>
          <w:rStyle w:val="normaltextrun"/>
          <w:rFonts w:asciiTheme="majorBidi" w:eastAsiaTheme="majorEastAsia" w:hAnsiTheme="majorBidi" w:cstheme="majorBidi"/>
          <w:i/>
          <w:iCs/>
          <w:lang w:val="en-AU"/>
        </w:rPr>
        <w:t>Under development</w:t>
      </w:r>
      <w:r w:rsidRPr="00FA05B3">
        <w:rPr>
          <w:rStyle w:val="normaltextrun"/>
          <w:rFonts w:asciiTheme="majorBidi" w:eastAsiaTheme="majorEastAsia" w:hAnsiTheme="majorBidi" w:cstheme="majorBidi"/>
          <w:lang w:val="en-AU"/>
        </w:rPr>
        <w:t>” answer implies a concerted effort at the national level to design and implement legislative, administrative or policy measures for monitoring, assessment and disclosure (15.1), information sharing (15.2), ABS compliance (15.3) or business impact on biodiversity (15.4) of large and transnational companies and financial institutions. For each of these items in turn, national governments must be in the design stage of such measures (e.g. a law is being drafted) but none of them have passed yet nor are they required for large transnational companies and financial institutions to follow. The development of these measures must involve governmental bodies with the authority to implement the proposed measures. Additionally, monitoring of business impacts on biodiversity is in development (15.5), monitoring programs and reporting systems may be in the design phase or be completed and accepted but not resourced, and therefore have not begun.</w:t>
      </w:r>
    </w:p>
    <w:p w14:paraId="67418EAE" w14:textId="77777777" w:rsidR="00141A13" w:rsidRPr="00FA05B3" w:rsidRDefault="00141A13" w:rsidP="00FA05B3">
      <w:pPr>
        <w:pStyle w:val="CBDNormalNumber"/>
        <w:numPr>
          <w:ilvl w:val="0"/>
          <w:numId w:val="401"/>
        </w:numPr>
        <w:shd w:val="clear" w:color="auto" w:fill="FFFFFF"/>
        <w:tabs>
          <w:tab w:val="clear" w:pos="1701"/>
        </w:tabs>
        <w:ind w:left="567" w:firstLine="0"/>
        <w:rPr>
          <w:rStyle w:val="normaltextrun"/>
          <w:rFonts w:asciiTheme="majorBidi" w:eastAsiaTheme="majorEastAsia" w:hAnsiTheme="majorBidi" w:cstheme="majorBidi"/>
          <w:lang w:val="en-AU"/>
        </w:rPr>
      </w:pPr>
      <w:r w:rsidRPr="00FA05B3">
        <w:rPr>
          <w:rStyle w:val="normaltextrun"/>
          <w:rFonts w:asciiTheme="majorBidi" w:eastAsiaTheme="majorEastAsia" w:hAnsiTheme="majorBidi" w:cstheme="majorBidi"/>
          <w:lang w:val="en-AU"/>
        </w:rPr>
        <w:t>A “</w:t>
      </w:r>
      <w:r w:rsidRPr="00210A4D">
        <w:rPr>
          <w:rStyle w:val="normaltextrun"/>
          <w:rFonts w:asciiTheme="majorBidi" w:eastAsiaTheme="majorEastAsia" w:hAnsiTheme="majorBidi" w:cstheme="majorBidi"/>
          <w:i/>
          <w:iCs/>
          <w:lang w:val="en-AU"/>
        </w:rPr>
        <w:t>Partially</w:t>
      </w:r>
      <w:r w:rsidRPr="00FA05B3">
        <w:rPr>
          <w:rStyle w:val="normaltextrun"/>
          <w:rFonts w:asciiTheme="majorBidi" w:eastAsiaTheme="majorEastAsia" w:hAnsiTheme="majorBidi" w:cstheme="majorBidi"/>
          <w:lang w:val="en-AU"/>
        </w:rPr>
        <w:t>” answer implies that only some of the elements in the question have been fulfilled. For 15.1 it means that:</w:t>
      </w:r>
    </w:p>
    <w:p w14:paraId="590BA2AB" w14:textId="77777777" w:rsidR="00141A13" w:rsidRPr="00ED7E61" w:rsidRDefault="00141A13" w:rsidP="00141A13">
      <w:pPr>
        <w:pStyle w:val="CBDNormalNumber"/>
        <w:numPr>
          <w:ilvl w:val="1"/>
          <w:numId w:val="8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at least one of legislative, administrative or policy measures are in place </w:t>
      </w:r>
    </w:p>
    <w:p w14:paraId="2E6C64D2" w14:textId="77777777" w:rsidR="00141A13" w:rsidRPr="00ED7E61" w:rsidRDefault="00141A13" w:rsidP="00141A13">
      <w:pPr>
        <w:pStyle w:val="CBDNormalNumber"/>
        <w:numPr>
          <w:ilvl w:val="1"/>
          <w:numId w:val="8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lastRenderedPageBreak/>
        <w:t xml:space="preserve">large and transnational companies and/or financial institutions </w:t>
      </w:r>
    </w:p>
    <w:p w14:paraId="0F6498F2" w14:textId="77777777" w:rsidR="00141A13" w:rsidRPr="00ED7E61" w:rsidRDefault="00141A13" w:rsidP="00141A13">
      <w:pPr>
        <w:pStyle w:val="CBDNormalNumber"/>
        <w:numPr>
          <w:ilvl w:val="1"/>
          <w:numId w:val="8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at least monitor, assess or disclose </w:t>
      </w:r>
    </w:p>
    <w:p w14:paraId="214C286C" w14:textId="77777777" w:rsidR="00141A13" w:rsidRPr="00ED7E61" w:rsidRDefault="00141A13" w:rsidP="00141A13">
      <w:pPr>
        <w:pStyle w:val="CBDNormalNumber"/>
        <w:numPr>
          <w:ilvl w:val="1"/>
          <w:numId w:val="8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either their risks, dependencies or impacts on biodiversity </w:t>
      </w:r>
    </w:p>
    <w:p w14:paraId="01B78D08" w14:textId="77777777" w:rsidR="00141A13" w:rsidRPr="00ED7E61" w:rsidRDefault="00141A13" w:rsidP="00141A13">
      <w:pPr>
        <w:pStyle w:val="CBDNormalNumber"/>
        <w:numPr>
          <w:ilvl w:val="1"/>
          <w:numId w:val="8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 xml:space="preserve">along their operations, supply or value chains, or portfolios. </w:t>
      </w:r>
    </w:p>
    <w:p w14:paraId="79AA1E8E" w14:textId="77777777" w:rsidR="00141A13" w:rsidRPr="00210A4D" w:rsidRDefault="00141A13" w:rsidP="00210A4D">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210A4D">
        <w:rPr>
          <w:rStyle w:val="normaltextrun"/>
          <w:rFonts w:asciiTheme="majorBidi" w:eastAsiaTheme="majorEastAsia" w:hAnsiTheme="majorBidi" w:cstheme="majorBidi"/>
          <w:lang w:val="en-AU"/>
        </w:rPr>
        <w:t>If</w:t>
      </w:r>
      <w:r w:rsidRPr="00210A4D">
        <w:rPr>
          <w:rStyle w:val="normaltextrun"/>
          <w:rFonts w:eastAsiaTheme="majorEastAsia" w:cstheme="majorBidi"/>
          <w:lang w:val="en-AU"/>
        </w:rPr>
        <w:t xml:space="preserve"> any one of the measures for either type of institution </w:t>
      </w:r>
      <w:bookmarkStart w:id="64" w:name="_Int_dpQ1i6RZ"/>
      <w:r w:rsidRPr="00210A4D">
        <w:rPr>
          <w:rStyle w:val="normaltextrun"/>
          <w:rFonts w:eastAsiaTheme="majorEastAsia" w:cstheme="majorBidi"/>
          <w:lang w:val="en-AU"/>
        </w:rPr>
        <w:t>on</w:t>
      </w:r>
      <w:bookmarkEnd w:id="64"/>
      <w:r w:rsidRPr="00210A4D">
        <w:rPr>
          <w:rStyle w:val="normaltextrun"/>
          <w:rFonts w:eastAsiaTheme="majorEastAsia" w:cstheme="majorBidi"/>
          <w:lang w:val="en-AU"/>
        </w:rPr>
        <w:t xml:space="preserve"> any kind of activity is in place, then partial achievement has been reached. For 15.2 and 15.3 the measures put in place (for information sharing (15.2) or ABS compliance (15.3)) must apply to either companies or financial institutions but not both. For 15.4 measures on either reducing negative impact or increasing positive impacts must be in place and apply to either companies or financial institutions. In all cases (15.1, 15.2, 15.3 and 15.4), resources, financial and human, must also be mobilized to ensure that the measures taken by governments are implemented. Additionally, monitoring of business impacts on biodiversity (15.5) is taking place but not for all aspects of biodiversity (e.g. only genetic or species diversity).</w:t>
      </w:r>
    </w:p>
    <w:p w14:paraId="0E6325B4" w14:textId="77777777" w:rsidR="00141A13" w:rsidRPr="00210A4D" w:rsidRDefault="00141A13" w:rsidP="00210A4D">
      <w:pPr>
        <w:pStyle w:val="CBDNormalNumber"/>
        <w:numPr>
          <w:ilvl w:val="0"/>
          <w:numId w:val="401"/>
        </w:numPr>
        <w:shd w:val="clear" w:color="auto" w:fill="FFFFFF"/>
        <w:tabs>
          <w:tab w:val="clear" w:pos="1701"/>
        </w:tabs>
        <w:ind w:left="567" w:firstLine="0"/>
        <w:rPr>
          <w:rStyle w:val="normaltextrun"/>
          <w:rFonts w:eastAsiaTheme="majorEastAsia" w:cstheme="majorBidi"/>
          <w:lang w:val="en-AU"/>
        </w:rPr>
      </w:pPr>
      <w:r w:rsidRPr="00210A4D">
        <w:rPr>
          <w:rStyle w:val="normaltextrun"/>
          <w:rFonts w:eastAsiaTheme="majorEastAsia" w:cstheme="majorBidi"/>
          <w:lang w:val="en-AU"/>
        </w:rPr>
        <w:t>A “</w:t>
      </w:r>
      <w:r w:rsidRPr="00CA6D8B">
        <w:rPr>
          <w:rStyle w:val="normaltextrun"/>
          <w:rFonts w:eastAsiaTheme="majorEastAsia" w:cstheme="majorBidi"/>
          <w:i/>
          <w:iCs/>
          <w:lang w:val="en-AU"/>
        </w:rPr>
        <w:t>Fully</w:t>
      </w:r>
      <w:r w:rsidRPr="00210A4D">
        <w:rPr>
          <w:rStyle w:val="normaltextrun"/>
          <w:rFonts w:eastAsiaTheme="majorEastAsia" w:cstheme="majorBidi"/>
          <w:lang w:val="en-AU"/>
        </w:rPr>
        <w:t>” answer implies that all the conditions outlined in “</w:t>
      </w:r>
      <w:r w:rsidRPr="00CA6D8B">
        <w:rPr>
          <w:rStyle w:val="normaltextrun"/>
          <w:rFonts w:eastAsiaTheme="majorEastAsia" w:cstheme="majorBidi"/>
          <w:i/>
          <w:iCs/>
          <w:lang w:val="en-AU"/>
        </w:rPr>
        <w:t>Partially</w:t>
      </w:r>
      <w:r w:rsidRPr="00210A4D">
        <w:rPr>
          <w:rStyle w:val="normaltextrun"/>
          <w:rFonts w:eastAsiaTheme="majorEastAsia" w:cstheme="majorBidi"/>
          <w:lang w:val="en-AU"/>
        </w:rPr>
        <w:t>” have been met. Namely, for 15.1, that all legislative, administrative or policy measures are in place. These apply to both large and transnational companies and financial institutions. To ensure they monitor, assess and transparently disclose risks, dependencies and impacts on biodiversity along all their operations, supply and value chains, and portfolios. If any one element is missing, then only partial achievement has been reached. For measures related to information sharing (15.2), ABS compliance (15.3) and business impacts, both positive and negative (15.4), these must apply to both companies and financial institutions to count as “</w:t>
      </w:r>
      <w:r w:rsidRPr="00CA6D8B">
        <w:rPr>
          <w:rStyle w:val="normaltextrun"/>
          <w:rFonts w:eastAsiaTheme="majorEastAsia" w:cstheme="majorBidi"/>
          <w:i/>
          <w:iCs/>
          <w:lang w:val="en-AU"/>
        </w:rPr>
        <w:t>Fully</w:t>
      </w:r>
      <w:r w:rsidRPr="00210A4D">
        <w:rPr>
          <w:rStyle w:val="normaltextrun"/>
          <w:rFonts w:eastAsiaTheme="majorEastAsia" w:cstheme="majorBidi"/>
          <w:lang w:val="en-AU"/>
        </w:rPr>
        <w:t>”. All measures put in place by governments need to be resourced and enforced to count as “</w:t>
      </w:r>
      <w:r w:rsidRPr="00CA6D8B">
        <w:rPr>
          <w:rStyle w:val="normaltextrun"/>
          <w:rFonts w:eastAsiaTheme="majorEastAsia" w:cstheme="majorBidi"/>
          <w:i/>
          <w:iCs/>
          <w:lang w:val="en-AU"/>
        </w:rPr>
        <w:t>Fully</w:t>
      </w:r>
      <w:r w:rsidRPr="00210A4D">
        <w:rPr>
          <w:rStyle w:val="normaltextrun"/>
          <w:rFonts w:eastAsiaTheme="majorEastAsia" w:cstheme="majorBidi"/>
          <w:lang w:val="en-AU"/>
        </w:rPr>
        <w:t>”. Additionally, monitoring of business impacts on all aspects of biodiversity is in place, ongoing and resourced (15.5).</w:t>
      </w:r>
    </w:p>
    <w:p w14:paraId="029A58FE" w14:textId="77777777" w:rsidR="007D4AC3" w:rsidRDefault="007D4AC3">
      <w:pPr>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br w:type="page"/>
      </w:r>
    </w:p>
    <w:p w14:paraId="3378E3C6" w14:textId="349F2876" w:rsidR="007D4AC3" w:rsidRPr="00F83E35" w:rsidRDefault="00F83E35" w:rsidP="00F83E35">
      <w:pPr>
        <w:pStyle w:val="Heading3"/>
        <w:rPr>
          <w:rStyle w:val="normaltextrun"/>
        </w:rPr>
      </w:pPr>
      <w:bookmarkStart w:id="65" w:name="_Toc233278585"/>
      <w:bookmarkStart w:id="66" w:name="_Toc178285876"/>
      <w:r w:rsidRPr="00F83E35">
        <w:rPr>
          <w:rStyle w:val="normaltextrun"/>
        </w:rPr>
        <w:lastRenderedPageBreak/>
        <w:t>Binary</w:t>
      </w:r>
      <w:r w:rsidR="007D4AC3" w:rsidRPr="00F83E35">
        <w:rPr>
          <w:rStyle w:val="normaltextrun"/>
        </w:rPr>
        <w:t xml:space="preserve"> indicator: 16.b</w:t>
      </w:r>
      <w:bookmarkEnd w:id="65"/>
      <w:r w:rsidR="007D4AC3" w:rsidRPr="00F83E35">
        <w:rPr>
          <w:rStyle w:val="normaltextrun"/>
        </w:rPr>
        <w:t xml:space="preserve"> </w:t>
      </w:r>
      <w:bookmarkEnd w:id="66"/>
    </w:p>
    <w:p w14:paraId="3FC6FDE5" w14:textId="77777777" w:rsidR="007D4AC3" w:rsidRPr="007D4AC3" w:rsidRDefault="007D4AC3" w:rsidP="007D4AC3">
      <w:pPr>
        <w:rPr>
          <w:rFonts w:asciiTheme="majorBidi" w:eastAsiaTheme="majorEastAsia" w:hAnsiTheme="majorBidi" w:cstheme="majorBidi"/>
          <w:b/>
          <w:bCs/>
          <w:sz w:val="22"/>
          <w:szCs w:val="22"/>
        </w:rPr>
      </w:pPr>
    </w:p>
    <w:p w14:paraId="5007014C" w14:textId="77777777" w:rsidR="007D4AC3" w:rsidRPr="0049615A" w:rsidRDefault="007D4AC3" w:rsidP="0049615A">
      <w:pPr>
        <w:pStyle w:val="paragraph"/>
        <w:pBdr>
          <w:bottom w:val="single" w:sz="4" w:space="1" w:color="000000"/>
        </w:pBdr>
        <w:spacing w:before="0" w:beforeAutospacing="0" w:after="0" w:afterAutospacing="0"/>
        <w:jc w:val="both"/>
        <w:textAlignment w:val="baseline"/>
        <w:rPr>
          <w:rStyle w:val="normaltextrun"/>
          <w:b/>
          <w:bCs/>
          <w:lang w:val="en-GB"/>
        </w:rPr>
      </w:pPr>
      <w:r w:rsidRPr="0049615A">
        <w:rPr>
          <w:rStyle w:val="normaltextrun"/>
          <w:b/>
          <w:bCs/>
          <w:lang w:val="en-GB"/>
        </w:rPr>
        <w:t>Full Indicator Name</w:t>
      </w:r>
    </w:p>
    <w:p w14:paraId="37C9A8E9" w14:textId="77777777" w:rsidR="007D4AC3" w:rsidRPr="00F83E35" w:rsidRDefault="007D4AC3" w:rsidP="007D4AC3">
      <w:pPr>
        <w:rPr>
          <w:rStyle w:val="normaltextrun"/>
          <w:rFonts w:eastAsia="SimSun"/>
          <w:lang w:val="en-AU"/>
        </w:rPr>
      </w:pPr>
      <w:r w:rsidRPr="00F83E35">
        <w:rPr>
          <w:rStyle w:val="normaltextrun"/>
          <w:rFonts w:eastAsia="SimSun"/>
          <w:lang w:val="en-AU"/>
        </w:rPr>
        <w:t>Number of countries developing, adopting or implementing policy instruments aimed at encouraging and enabling people to make sustainable consumption choices.</w:t>
      </w:r>
    </w:p>
    <w:p w14:paraId="47E4ECCB" w14:textId="77777777" w:rsidR="0049615A" w:rsidRDefault="0049615A" w:rsidP="0049615A">
      <w:pPr>
        <w:pStyle w:val="paragraph"/>
        <w:pBdr>
          <w:bottom w:val="single" w:sz="4" w:space="1" w:color="000000"/>
        </w:pBdr>
        <w:spacing w:before="0" w:beforeAutospacing="0" w:after="0" w:afterAutospacing="0"/>
        <w:jc w:val="both"/>
        <w:textAlignment w:val="baseline"/>
        <w:rPr>
          <w:rStyle w:val="normaltextrun"/>
          <w:b/>
          <w:bCs/>
          <w:lang w:val="en-GB"/>
        </w:rPr>
      </w:pPr>
    </w:p>
    <w:p w14:paraId="4E61C67D" w14:textId="2EECA78F" w:rsidR="007D4AC3" w:rsidRPr="0049615A" w:rsidRDefault="007D4AC3" w:rsidP="0049615A">
      <w:pPr>
        <w:pStyle w:val="paragraph"/>
        <w:pBdr>
          <w:bottom w:val="single" w:sz="4" w:space="1" w:color="000000"/>
        </w:pBdr>
        <w:spacing w:before="0" w:beforeAutospacing="0" w:after="0" w:afterAutospacing="0"/>
        <w:jc w:val="both"/>
        <w:textAlignment w:val="baseline"/>
        <w:rPr>
          <w:rStyle w:val="normaltextrun"/>
          <w:b/>
          <w:bCs/>
          <w:lang w:val="en-GB"/>
        </w:rPr>
      </w:pPr>
      <w:r w:rsidRPr="0049615A">
        <w:rPr>
          <w:rStyle w:val="normaltextrun"/>
          <w:b/>
          <w:bCs/>
          <w:lang w:val="en-GB"/>
        </w:rPr>
        <w:t>Goals and Targets Addressed</w:t>
      </w:r>
    </w:p>
    <w:p w14:paraId="74E990F3" w14:textId="77777777" w:rsidR="00F83E35" w:rsidRDefault="00F83E35" w:rsidP="007D4AC3">
      <w:pPr>
        <w:rPr>
          <w:rFonts w:asciiTheme="majorBidi" w:eastAsiaTheme="majorEastAsia" w:hAnsiTheme="majorBidi" w:cstheme="majorBidi"/>
          <w:b/>
          <w:bCs/>
          <w:sz w:val="22"/>
          <w:szCs w:val="22"/>
        </w:rPr>
      </w:pPr>
    </w:p>
    <w:p w14:paraId="52AED669" w14:textId="582C15FB" w:rsidR="007D4AC3" w:rsidRPr="00F83E35" w:rsidRDefault="007D4AC3" w:rsidP="007D4AC3">
      <w:pPr>
        <w:rPr>
          <w:rStyle w:val="normaltextrun"/>
          <w:rFonts w:eastAsia="SimSun"/>
          <w:lang w:val="en-AU"/>
        </w:rPr>
      </w:pPr>
      <w:r w:rsidRPr="00F83E35">
        <w:rPr>
          <w:rStyle w:val="normaltextrun"/>
          <w:rFonts w:eastAsia="SimSun"/>
          <w:lang w:val="en-AU"/>
        </w:rPr>
        <w:t>Target 16. 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5D8A05C6" w14:textId="77777777" w:rsidR="00F83E35" w:rsidRDefault="00F83E35" w:rsidP="007D4AC3">
      <w:pPr>
        <w:rPr>
          <w:rStyle w:val="normaltextrun"/>
          <w:rFonts w:eastAsia="SimSun"/>
          <w:b/>
          <w:bCs/>
          <w:lang w:val="en-AU"/>
        </w:rPr>
      </w:pPr>
    </w:p>
    <w:p w14:paraId="18646B4A" w14:textId="396B1ED1" w:rsidR="007D4AC3" w:rsidRPr="0049615A" w:rsidRDefault="007D4AC3" w:rsidP="0049615A">
      <w:pPr>
        <w:pStyle w:val="paragraph"/>
        <w:pBdr>
          <w:bottom w:val="single" w:sz="4" w:space="1" w:color="000000"/>
        </w:pBdr>
        <w:spacing w:before="0" w:beforeAutospacing="0" w:after="0" w:afterAutospacing="0"/>
        <w:jc w:val="both"/>
        <w:textAlignment w:val="baseline"/>
        <w:rPr>
          <w:rStyle w:val="normaltextrun"/>
          <w:b/>
          <w:bCs/>
          <w:lang w:val="en-GB"/>
        </w:rPr>
      </w:pPr>
      <w:r w:rsidRPr="00F83E35">
        <w:rPr>
          <w:rStyle w:val="normaltextrun"/>
          <w:rFonts w:eastAsia="SimSun"/>
          <w:b/>
          <w:bCs/>
          <w:lang w:val="en-AU"/>
        </w:rPr>
        <w:t>Rationale</w:t>
      </w:r>
    </w:p>
    <w:p w14:paraId="5F74B3FF" w14:textId="77777777" w:rsidR="007D4AC3" w:rsidRPr="003A1A24" w:rsidRDefault="007D4AC3" w:rsidP="00F83E35">
      <w:pPr>
        <w:pStyle w:val="CBDNormalNumber"/>
        <w:numPr>
          <w:ilvl w:val="0"/>
          <w:numId w:val="410"/>
        </w:numPr>
        <w:shd w:val="clear" w:color="auto" w:fill="FFFFFF"/>
        <w:tabs>
          <w:tab w:val="clear" w:pos="1701"/>
        </w:tabs>
        <w:ind w:left="567" w:firstLine="0"/>
        <w:rPr>
          <w:rStyle w:val="normaltextrun"/>
          <w:lang w:val="en-AU"/>
        </w:rPr>
      </w:pPr>
      <w:r w:rsidRPr="003A1A24">
        <w:rPr>
          <w:rStyle w:val="normaltextrun"/>
          <w:lang w:val="en-AU"/>
        </w:rPr>
        <w:t xml:space="preserve">Unsustainable consumption is an underlying driver of biodiversity loss. Halting and ultimately reversing biodiversity loss will require a shift towards more sustainable consumption patterns. This means consuming resources and producing waste at a level within planetary boundaries. Governments have a central role to play in making information available and accessible to consumers who, in turn, can make better and more informed consumption choices. </w:t>
      </w:r>
    </w:p>
    <w:p w14:paraId="1B2A2DBB" w14:textId="77777777" w:rsidR="007D4AC3" w:rsidRPr="003A1A24" w:rsidRDefault="007D4AC3" w:rsidP="00F83E35">
      <w:pPr>
        <w:pStyle w:val="CBDNormalNumber"/>
        <w:numPr>
          <w:ilvl w:val="0"/>
          <w:numId w:val="410"/>
        </w:numPr>
        <w:shd w:val="clear" w:color="auto" w:fill="FFFFFF"/>
        <w:tabs>
          <w:tab w:val="clear" w:pos="1701"/>
        </w:tabs>
        <w:ind w:left="567" w:firstLine="0"/>
        <w:rPr>
          <w:rStyle w:val="normaltextrun"/>
          <w:lang w:val="en-AU"/>
        </w:rPr>
      </w:pPr>
      <w:r w:rsidRPr="003A1A24">
        <w:rPr>
          <w:rStyle w:val="normaltextrun"/>
          <w:lang w:val="en-AU"/>
        </w:rPr>
        <w:t>This target calls for measures to be put in place to encourage people to make more sustainable consumption choices so that overconsumption and waste generation are significantly reduced. As such, this indicator tracks the development and adoption of policies aimed at informing on the importance of and enabling people to make sustainable consumption choices.</w:t>
      </w:r>
    </w:p>
    <w:p w14:paraId="3C292E95" w14:textId="77777777" w:rsidR="007D4AC3" w:rsidRPr="0049615A" w:rsidRDefault="007D4AC3" w:rsidP="0049615A">
      <w:pPr>
        <w:pStyle w:val="paragraph"/>
        <w:pBdr>
          <w:bottom w:val="single" w:sz="4" w:space="1" w:color="000000"/>
        </w:pBdr>
        <w:spacing w:before="0" w:beforeAutospacing="0" w:after="0" w:afterAutospacing="0"/>
        <w:jc w:val="both"/>
        <w:textAlignment w:val="baseline"/>
        <w:rPr>
          <w:rStyle w:val="normaltextrun"/>
          <w:rFonts w:eastAsia="SimSun"/>
          <w:b/>
          <w:bCs/>
          <w:lang w:val="en-AU"/>
        </w:rPr>
      </w:pPr>
      <w:r w:rsidRPr="0049615A">
        <w:rPr>
          <w:rStyle w:val="normaltextrun"/>
          <w:rFonts w:eastAsia="SimSun"/>
          <w:b/>
          <w:bCs/>
          <w:lang w:val="en-AU"/>
        </w:rPr>
        <w:t xml:space="preserve">Definitions Concepts </w:t>
      </w:r>
      <w:proofErr w:type="gramStart"/>
      <w:r w:rsidRPr="0049615A">
        <w:rPr>
          <w:rStyle w:val="normaltextrun"/>
          <w:rFonts w:eastAsia="SimSun"/>
          <w:b/>
          <w:bCs/>
          <w:lang w:val="en-AU"/>
        </w:rPr>
        <w:t>And</w:t>
      </w:r>
      <w:proofErr w:type="gramEnd"/>
      <w:r w:rsidRPr="0049615A">
        <w:rPr>
          <w:rStyle w:val="normaltextrun"/>
          <w:rFonts w:eastAsia="SimSun"/>
          <w:b/>
          <w:bCs/>
          <w:lang w:val="en-AU"/>
        </w:rPr>
        <w:t xml:space="preserve"> Classifications</w:t>
      </w:r>
    </w:p>
    <w:p w14:paraId="12ECE731" w14:textId="77777777" w:rsidR="007D4AC3" w:rsidRPr="007D4AC3" w:rsidRDefault="007D4AC3" w:rsidP="007D4AC3">
      <w:pPr>
        <w:rPr>
          <w:rFonts w:asciiTheme="majorBidi" w:eastAsiaTheme="majorEastAsia" w:hAnsiTheme="majorBidi" w:cstheme="majorBidi"/>
          <w:b/>
          <w:bCs/>
          <w:sz w:val="22"/>
          <w:szCs w:val="22"/>
        </w:rPr>
      </w:pPr>
      <w:r w:rsidRPr="007D4AC3">
        <w:rPr>
          <w:rFonts w:asciiTheme="majorBidi" w:eastAsiaTheme="majorEastAsia" w:hAnsiTheme="majorBidi" w:cstheme="majorBidi"/>
          <w:b/>
          <w:bCs/>
          <w:sz w:val="22"/>
          <w:szCs w:val="22"/>
        </w:rPr>
        <w:t>Definition</w:t>
      </w:r>
    </w:p>
    <w:p w14:paraId="256E0D35" w14:textId="77777777" w:rsidR="007D4AC3" w:rsidRPr="00F83E35" w:rsidRDefault="007D4AC3" w:rsidP="00F83E35">
      <w:pPr>
        <w:pStyle w:val="CBDNormalNumber"/>
        <w:numPr>
          <w:ilvl w:val="0"/>
          <w:numId w:val="410"/>
        </w:numPr>
        <w:shd w:val="clear" w:color="auto" w:fill="FFFFFF"/>
        <w:tabs>
          <w:tab w:val="clear" w:pos="1701"/>
        </w:tabs>
        <w:ind w:left="567" w:firstLine="0"/>
        <w:rPr>
          <w:rStyle w:val="normaltextrun"/>
          <w:lang w:val="en-AU"/>
        </w:rPr>
      </w:pPr>
      <w:r w:rsidRPr="00F83E35">
        <w:rPr>
          <w:rStyle w:val="normaltextrun"/>
          <w:lang w:val="en-AU"/>
        </w:rPr>
        <w:t xml:space="preserve">Food waste: Is food and associated inedible parts removed from the human food supply chain in the following sectors: retail and other distribution of food; food service (restaurants, schools, hospitals, other canteens, etc.); and households. “Removed from the human food supply chain” means one of the following end destinations: landfill, controlled combustion, sewer, litter/discards/ refuse, co/anaerobic digestion, compost/aerobic digestion or land application. </w:t>
      </w:r>
    </w:p>
    <w:p w14:paraId="09FD6BE5" w14:textId="77777777" w:rsidR="007D4AC3" w:rsidRPr="00F83E35" w:rsidRDefault="007D4AC3" w:rsidP="00F83E35">
      <w:pPr>
        <w:pStyle w:val="CBDNormalNumber"/>
        <w:numPr>
          <w:ilvl w:val="0"/>
          <w:numId w:val="410"/>
        </w:numPr>
        <w:shd w:val="clear" w:color="auto" w:fill="FFFFFF"/>
        <w:tabs>
          <w:tab w:val="clear" w:pos="1701"/>
        </w:tabs>
        <w:ind w:left="567" w:firstLine="0"/>
        <w:rPr>
          <w:rStyle w:val="normaltextrun"/>
          <w:lang w:val="en-AU"/>
        </w:rPr>
      </w:pPr>
      <w:r w:rsidRPr="00F83E35">
        <w:rPr>
          <w:rStyle w:val="normaltextrun"/>
          <w:lang w:val="en-AU"/>
        </w:rPr>
        <w:t>Overconsumption: The action or fact of consuming something to excess. Especially in the context of excessive use of natural resources.</w:t>
      </w:r>
    </w:p>
    <w:p w14:paraId="5A20E829" w14:textId="77777777" w:rsidR="007D4AC3" w:rsidRPr="00F83E35" w:rsidRDefault="007D4AC3" w:rsidP="00F83E35">
      <w:pPr>
        <w:pStyle w:val="CBDNormalNumber"/>
        <w:numPr>
          <w:ilvl w:val="0"/>
          <w:numId w:val="410"/>
        </w:numPr>
        <w:shd w:val="clear" w:color="auto" w:fill="FFFFFF"/>
        <w:tabs>
          <w:tab w:val="clear" w:pos="1701"/>
        </w:tabs>
        <w:ind w:left="567" w:firstLine="0"/>
        <w:rPr>
          <w:rStyle w:val="normaltextrun"/>
          <w:lang w:val="en-AU"/>
        </w:rPr>
      </w:pPr>
      <w:r w:rsidRPr="00F83E35">
        <w:rPr>
          <w:rStyle w:val="normaltextrun"/>
          <w:lang w:val="en-AU"/>
        </w:rPr>
        <w:t>Waste: Materials that are not prime products (that is, products produced for the market) for which the generator has no further use in terms of his/her own purposes of production, transformation or consumption, and of which he/she wants to dispose. Wastes may be generated during the extraction of raw materials, the processing of raw materials into intermediate and final products, the consumption of final products, and other human activities.</w:t>
      </w:r>
    </w:p>
    <w:p w14:paraId="3B776109" w14:textId="77777777" w:rsidR="007D4AC3" w:rsidRPr="00F83E35" w:rsidRDefault="007D4AC3" w:rsidP="00F83E35">
      <w:pPr>
        <w:pStyle w:val="CBDNormalNumber"/>
        <w:numPr>
          <w:ilvl w:val="0"/>
          <w:numId w:val="410"/>
        </w:numPr>
        <w:shd w:val="clear" w:color="auto" w:fill="FFFFFF"/>
        <w:tabs>
          <w:tab w:val="clear" w:pos="1701"/>
        </w:tabs>
        <w:ind w:left="567" w:firstLine="0"/>
        <w:rPr>
          <w:rStyle w:val="normaltextrun"/>
          <w:lang w:val="en-AU"/>
        </w:rPr>
      </w:pPr>
      <w:r w:rsidRPr="00F83E35">
        <w:rPr>
          <w:rStyle w:val="normaltextrun"/>
          <w:lang w:val="en-AU"/>
        </w:rPr>
        <w:t>Waste generation: The process of generating waste, whether through production or consumption.</w:t>
      </w:r>
    </w:p>
    <w:p w14:paraId="6DD25E93" w14:textId="77777777" w:rsidR="007D4AC3" w:rsidRPr="00F83E35" w:rsidRDefault="007D4AC3" w:rsidP="00F83E35">
      <w:pPr>
        <w:pStyle w:val="CBDNormalNumber"/>
        <w:numPr>
          <w:ilvl w:val="0"/>
          <w:numId w:val="410"/>
        </w:numPr>
        <w:shd w:val="clear" w:color="auto" w:fill="FFFFFF"/>
        <w:tabs>
          <w:tab w:val="clear" w:pos="1701"/>
        </w:tabs>
        <w:ind w:left="567" w:firstLine="0"/>
        <w:rPr>
          <w:rStyle w:val="normaltextrun"/>
          <w:lang w:val="en-AU"/>
        </w:rPr>
      </w:pPr>
      <w:r w:rsidRPr="00F83E35">
        <w:rPr>
          <w:rStyle w:val="normaltextrun"/>
          <w:lang w:val="en-AU"/>
        </w:rPr>
        <w:t>Sustainable consumption: The use of services and related products, which respond to basic needs and bring a better quality of life while minimizing the use of natural resources as well as the emissions of waste and pollutants over the life cycle of the service or product so as not to jeopardize the needs of future generations.</w:t>
      </w:r>
    </w:p>
    <w:p w14:paraId="3A83121B" w14:textId="77777777" w:rsidR="007D4AC3" w:rsidRPr="0049615A" w:rsidRDefault="007D4AC3" w:rsidP="0049615A">
      <w:pPr>
        <w:pStyle w:val="paragraph"/>
        <w:pBdr>
          <w:bottom w:val="single" w:sz="4" w:space="1" w:color="000000"/>
        </w:pBdr>
        <w:spacing w:before="0" w:beforeAutospacing="0" w:after="0" w:afterAutospacing="0"/>
        <w:jc w:val="both"/>
        <w:textAlignment w:val="baseline"/>
        <w:rPr>
          <w:rStyle w:val="normaltextrun"/>
          <w:rFonts w:eastAsia="SimSun"/>
          <w:lang w:val="en-AU"/>
        </w:rPr>
      </w:pPr>
    </w:p>
    <w:p w14:paraId="515A7471" w14:textId="77777777" w:rsidR="007D4AC3" w:rsidRPr="0049615A" w:rsidRDefault="007D4AC3" w:rsidP="0049615A">
      <w:pPr>
        <w:pStyle w:val="paragraph"/>
        <w:pBdr>
          <w:bottom w:val="single" w:sz="4" w:space="1" w:color="000000"/>
        </w:pBdr>
        <w:spacing w:before="0" w:beforeAutospacing="0" w:after="0" w:afterAutospacing="0"/>
        <w:jc w:val="both"/>
        <w:textAlignment w:val="baseline"/>
        <w:rPr>
          <w:rStyle w:val="normaltextrun"/>
          <w:rFonts w:eastAsia="SimSun"/>
          <w:b/>
          <w:bCs/>
          <w:lang w:val="en-AU"/>
        </w:rPr>
      </w:pPr>
      <w:r w:rsidRPr="0049615A">
        <w:rPr>
          <w:rStyle w:val="normaltextrun"/>
          <w:rFonts w:eastAsia="SimSun"/>
          <w:b/>
          <w:bCs/>
          <w:lang w:val="en-AU"/>
        </w:rPr>
        <w:lastRenderedPageBreak/>
        <w:t>Method of Computation</w:t>
      </w:r>
    </w:p>
    <w:p w14:paraId="1631FCB4" w14:textId="77777777" w:rsidR="007D4AC3" w:rsidRPr="009D3459" w:rsidRDefault="007D4AC3" w:rsidP="009D3459">
      <w:pPr>
        <w:pStyle w:val="CBDNormalNumber"/>
        <w:numPr>
          <w:ilvl w:val="0"/>
          <w:numId w:val="410"/>
        </w:numPr>
        <w:shd w:val="clear" w:color="auto" w:fill="FFFFFF"/>
        <w:tabs>
          <w:tab w:val="clear" w:pos="1701"/>
        </w:tabs>
        <w:ind w:left="567" w:firstLine="0"/>
        <w:rPr>
          <w:rStyle w:val="normaltextrun"/>
          <w:lang w:val="en-AU"/>
        </w:rPr>
      </w:pPr>
      <w:r w:rsidRPr="009D3459">
        <w:rPr>
          <w:rStyle w:val="normaltextrun"/>
          <w:lang w:val="en-AU"/>
        </w:rPr>
        <w:t>This indicator is a binary indicator and must be compiled from the answers to three questions:</w:t>
      </w:r>
    </w:p>
    <w:p w14:paraId="16B83D37" w14:textId="77777777" w:rsidR="007D4AC3" w:rsidRPr="009D3459" w:rsidRDefault="007D4AC3" w:rsidP="009D3459">
      <w:pPr>
        <w:pStyle w:val="CBDNormalNumber"/>
        <w:numPr>
          <w:ilvl w:val="1"/>
          <w:numId w:val="410"/>
        </w:numPr>
        <w:shd w:val="clear" w:color="auto" w:fill="FFFFFF"/>
        <w:tabs>
          <w:tab w:val="clear" w:pos="1701"/>
        </w:tabs>
        <w:rPr>
          <w:rStyle w:val="normaltextrun"/>
          <w:lang w:val="en-AU"/>
        </w:rPr>
      </w:pPr>
      <w:r w:rsidRPr="009D3459">
        <w:rPr>
          <w:rStyle w:val="normaltextrun"/>
          <w:lang w:val="en-AU"/>
        </w:rPr>
        <w:t>16.1 Has your country established mechanisms, policy, or legislative or regulatory frameworks aimed at supporting sustainable consumption?</w:t>
      </w:r>
    </w:p>
    <w:p w14:paraId="351126D2" w14:textId="77777777" w:rsidR="007D4AC3" w:rsidRPr="009D3459" w:rsidRDefault="007D4AC3" w:rsidP="009D3459">
      <w:pPr>
        <w:pStyle w:val="CBDNormalNumber"/>
        <w:numPr>
          <w:ilvl w:val="1"/>
          <w:numId w:val="410"/>
        </w:numPr>
        <w:shd w:val="clear" w:color="auto" w:fill="FFFFFF"/>
        <w:tabs>
          <w:tab w:val="clear" w:pos="1701"/>
        </w:tabs>
        <w:rPr>
          <w:rStyle w:val="normaltextrun"/>
          <w:lang w:val="en-AU"/>
        </w:rPr>
      </w:pPr>
      <w:r w:rsidRPr="009D3459">
        <w:rPr>
          <w:rStyle w:val="normaltextrun"/>
          <w:lang w:val="en-AU"/>
        </w:rPr>
        <w:t xml:space="preserve">16.2 Has your country adopted mechanisms to improve awareness or education </w:t>
      </w:r>
      <w:proofErr w:type="gramStart"/>
      <w:r w:rsidRPr="009D3459">
        <w:rPr>
          <w:rStyle w:val="normaltextrun"/>
          <w:lang w:val="en-AU"/>
        </w:rPr>
        <w:t>with regard to</w:t>
      </w:r>
      <w:proofErr w:type="gramEnd"/>
      <w:r w:rsidRPr="009D3459">
        <w:rPr>
          <w:rStyle w:val="normaltextrun"/>
          <w:lang w:val="en-AU"/>
        </w:rPr>
        <w:t xml:space="preserve"> the impacts of consumption on biodiversity and access to relevant and accurate information or alternatives supporting sustainable consumption?</w:t>
      </w:r>
    </w:p>
    <w:p w14:paraId="6E0B16D6" w14:textId="77777777" w:rsidR="007D4AC3" w:rsidRPr="009D3459" w:rsidRDefault="007D4AC3" w:rsidP="009D3459">
      <w:pPr>
        <w:pStyle w:val="CBDNormalNumber"/>
        <w:numPr>
          <w:ilvl w:val="1"/>
          <w:numId w:val="410"/>
        </w:numPr>
        <w:shd w:val="clear" w:color="auto" w:fill="FFFFFF"/>
        <w:tabs>
          <w:tab w:val="clear" w:pos="1701"/>
        </w:tabs>
        <w:rPr>
          <w:rStyle w:val="normaltextrun"/>
          <w:lang w:val="en-AU"/>
        </w:rPr>
      </w:pPr>
      <w:r w:rsidRPr="009D3459">
        <w:rPr>
          <w:rStyle w:val="normaltextrun"/>
          <w:lang w:val="en-AU"/>
        </w:rPr>
        <w:t>16.3 Has your country adopted or implemented policy instruments aimed at encouraging and enabling people to reduce the impacts of consumption, including through reducing food waste, overconsumption, and waste generation, on biodiversity?</w:t>
      </w:r>
    </w:p>
    <w:p w14:paraId="3A77F3B2" w14:textId="77777777" w:rsidR="007D4AC3" w:rsidRPr="009D3459" w:rsidRDefault="007D4AC3" w:rsidP="009D3459">
      <w:pPr>
        <w:pStyle w:val="CBDNormalNumber"/>
        <w:numPr>
          <w:ilvl w:val="0"/>
          <w:numId w:val="410"/>
        </w:numPr>
        <w:shd w:val="clear" w:color="auto" w:fill="FFFFFF"/>
        <w:tabs>
          <w:tab w:val="clear" w:pos="1701"/>
        </w:tabs>
        <w:ind w:left="567" w:firstLine="0"/>
        <w:rPr>
          <w:rStyle w:val="normaltextrun"/>
          <w:lang w:val="en-AU"/>
        </w:rPr>
      </w:pPr>
      <w:r w:rsidRPr="009D3459">
        <w:rPr>
          <w:rStyle w:val="normaltextrun"/>
          <w:lang w:val="en-AU"/>
        </w:rPr>
        <w:t>There are four possible answers to each of these questions</w:t>
      </w:r>
      <w:r w:rsidRPr="009D3459">
        <w:rPr>
          <w:rStyle w:val="normaltextrun"/>
          <w:lang w:val="en-AU"/>
        </w:rPr>
        <w:footnoteReference w:id="48"/>
      </w:r>
      <w:r w:rsidRPr="009D3459">
        <w:rPr>
          <w:rStyle w:val="normaltextrun"/>
          <w:lang w:val="en-AU"/>
        </w:rPr>
        <w:t>:</w:t>
      </w:r>
    </w:p>
    <w:p w14:paraId="26CCD97E" w14:textId="77777777" w:rsidR="007D4AC3" w:rsidRPr="009D3459" w:rsidRDefault="007D4AC3" w:rsidP="009D3459">
      <w:pPr>
        <w:pStyle w:val="CBDNormalNumber"/>
        <w:numPr>
          <w:ilvl w:val="1"/>
          <w:numId w:val="410"/>
        </w:numPr>
        <w:shd w:val="clear" w:color="auto" w:fill="FFFFFF"/>
        <w:tabs>
          <w:tab w:val="clear" w:pos="1701"/>
        </w:tabs>
        <w:rPr>
          <w:rStyle w:val="normaltextrun"/>
          <w:lang w:val="en-AU"/>
        </w:rPr>
      </w:pPr>
      <w:r w:rsidRPr="009D3459">
        <w:rPr>
          <w:rStyle w:val="normaltextrun"/>
          <w:lang w:val="en-AU"/>
        </w:rPr>
        <w:t>No</w:t>
      </w:r>
    </w:p>
    <w:p w14:paraId="1BC08AD8" w14:textId="77777777" w:rsidR="007D4AC3" w:rsidRPr="009D3459" w:rsidRDefault="007D4AC3" w:rsidP="009D3459">
      <w:pPr>
        <w:pStyle w:val="CBDNormalNumber"/>
        <w:numPr>
          <w:ilvl w:val="1"/>
          <w:numId w:val="410"/>
        </w:numPr>
        <w:shd w:val="clear" w:color="auto" w:fill="FFFFFF"/>
        <w:tabs>
          <w:tab w:val="clear" w:pos="1701"/>
        </w:tabs>
        <w:rPr>
          <w:rStyle w:val="normaltextrun"/>
          <w:lang w:val="en-AU"/>
        </w:rPr>
      </w:pPr>
      <w:r w:rsidRPr="009D3459">
        <w:rPr>
          <w:rStyle w:val="normaltextrun"/>
          <w:lang w:val="en-AU"/>
        </w:rPr>
        <w:t>Under development</w:t>
      </w:r>
    </w:p>
    <w:p w14:paraId="449B52AA" w14:textId="77777777" w:rsidR="007D4AC3" w:rsidRPr="009D3459" w:rsidRDefault="007D4AC3" w:rsidP="009D3459">
      <w:pPr>
        <w:pStyle w:val="CBDNormalNumber"/>
        <w:numPr>
          <w:ilvl w:val="1"/>
          <w:numId w:val="410"/>
        </w:numPr>
        <w:shd w:val="clear" w:color="auto" w:fill="FFFFFF"/>
        <w:tabs>
          <w:tab w:val="clear" w:pos="1701"/>
        </w:tabs>
        <w:rPr>
          <w:rStyle w:val="normaltextrun"/>
          <w:lang w:val="en-AU"/>
        </w:rPr>
      </w:pPr>
      <w:r w:rsidRPr="009D3459">
        <w:rPr>
          <w:rStyle w:val="normaltextrun"/>
          <w:lang w:val="en-AU"/>
        </w:rPr>
        <w:t>Partially</w:t>
      </w:r>
    </w:p>
    <w:p w14:paraId="15BF2791" w14:textId="77777777" w:rsidR="007D4AC3" w:rsidRPr="009D3459" w:rsidRDefault="007D4AC3" w:rsidP="009D3459">
      <w:pPr>
        <w:pStyle w:val="CBDNormalNumber"/>
        <w:numPr>
          <w:ilvl w:val="1"/>
          <w:numId w:val="410"/>
        </w:numPr>
        <w:shd w:val="clear" w:color="auto" w:fill="FFFFFF"/>
        <w:tabs>
          <w:tab w:val="clear" w:pos="1701"/>
        </w:tabs>
        <w:rPr>
          <w:rStyle w:val="normaltextrun"/>
          <w:lang w:val="en-AU"/>
        </w:rPr>
      </w:pPr>
      <w:r w:rsidRPr="009D3459">
        <w:rPr>
          <w:rStyle w:val="normaltextrun"/>
          <w:lang w:val="en-AU"/>
        </w:rPr>
        <w:t>Fully</w:t>
      </w:r>
    </w:p>
    <w:p w14:paraId="615D970D" w14:textId="77777777" w:rsidR="007D4AC3" w:rsidRPr="009D3459" w:rsidRDefault="007D4AC3" w:rsidP="009D3459">
      <w:pPr>
        <w:pStyle w:val="CBDNormalNumber"/>
        <w:numPr>
          <w:ilvl w:val="0"/>
          <w:numId w:val="410"/>
        </w:numPr>
        <w:shd w:val="clear" w:color="auto" w:fill="FFFFFF"/>
        <w:tabs>
          <w:tab w:val="clear" w:pos="1701"/>
        </w:tabs>
        <w:ind w:left="567" w:firstLine="0"/>
        <w:rPr>
          <w:rStyle w:val="normaltextrun"/>
          <w:lang w:val="en-AU"/>
        </w:rPr>
      </w:pPr>
      <w:r w:rsidRPr="009D3459">
        <w:rPr>
          <w:rStyle w:val="normaltextrun"/>
          <w:lang w:val="en-AU"/>
        </w:rPr>
        <w:t>A “</w:t>
      </w:r>
      <w:r w:rsidRPr="00FC00D8">
        <w:rPr>
          <w:rStyle w:val="normaltextrun"/>
          <w:i/>
          <w:iCs/>
          <w:lang w:val="en-AU"/>
        </w:rPr>
        <w:t>No</w:t>
      </w:r>
      <w:r w:rsidRPr="009D3459">
        <w:rPr>
          <w:rStyle w:val="normaltextrun"/>
          <w:lang w:val="en-AU"/>
        </w:rPr>
        <w:t>” answer implies that there are no established mechanisms, policy, legislative or regulatory frameworks aimed at supporting sustainable consumption (16.1), that no mechanisms are in place to improve awareness or education on the impacts of consumption on biodiversity nor improve access to information or alternatives in support of sustainable consumption (16.2) and no policy instruments aimed at reducing the impacts on consumption, especially with regards to waste, are in place (16.3). In all cases, there are no national efforts to promote sustainable consumption and reduce the impacts of overconsumption on biodiversity. Initiatives may exist to tackle these issues at a grassroots level, but these are not backed by government and legislation is missing.</w:t>
      </w:r>
    </w:p>
    <w:p w14:paraId="5E78C276" w14:textId="77777777" w:rsidR="007D4AC3" w:rsidRPr="00FC00D8" w:rsidRDefault="007D4AC3" w:rsidP="00FC00D8">
      <w:pPr>
        <w:pStyle w:val="CBDNormalNumber"/>
        <w:numPr>
          <w:ilvl w:val="0"/>
          <w:numId w:val="410"/>
        </w:numPr>
        <w:shd w:val="clear" w:color="auto" w:fill="FFFFFF"/>
        <w:tabs>
          <w:tab w:val="clear" w:pos="1701"/>
        </w:tabs>
        <w:ind w:left="567" w:firstLine="0"/>
        <w:rPr>
          <w:rStyle w:val="normaltextrun"/>
          <w:lang w:val="en-AU"/>
        </w:rPr>
      </w:pPr>
      <w:r w:rsidRPr="00FC00D8">
        <w:rPr>
          <w:rStyle w:val="normaltextrun"/>
          <w:lang w:val="en-AU"/>
        </w:rPr>
        <w:t>An “</w:t>
      </w:r>
      <w:r w:rsidRPr="00FC00D8">
        <w:rPr>
          <w:rStyle w:val="normaltextrun"/>
          <w:i/>
          <w:iCs/>
          <w:lang w:val="en-AU"/>
        </w:rPr>
        <w:t>Under development</w:t>
      </w:r>
      <w:r w:rsidRPr="00FC00D8">
        <w:rPr>
          <w:rStyle w:val="normaltextrun"/>
          <w:lang w:val="en-AU"/>
        </w:rPr>
        <w:t xml:space="preserve">” answer implies a concerted effort at the national level to: </w:t>
      </w:r>
    </w:p>
    <w:p w14:paraId="59C9028E" w14:textId="77777777" w:rsidR="007D4AC3" w:rsidRPr="00FC00D8" w:rsidRDefault="007D4AC3" w:rsidP="00FC00D8">
      <w:pPr>
        <w:pStyle w:val="CBDNormalNumber"/>
        <w:numPr>
          <w:ilvl w:val="1"/>
          <w:numId w:val="410"/>
        </w:numPr>
        <w:shd w:val="clear" w:color="auto" w:fill="FFFFFF"/>
        <w:tabs>
          <w:tab w:val="clear" w:pos="1701"/>
        </w:tabs>
        <w:rPr>
          <w:rStyle w:val="normaltextrun"/>
          <w:lang w:val="en-AU"/>
        </w:rPr>
      </w:pPr>
      <w:r w:rsidRPr="00FC00D8">
        <w:rPr>
          <w:rStyle w:val="normaltextrun"/>
          <w:lang w:val="en-AU"/>
        </w:rPr>
        <w:t>establish mechanisms, policy, or legislative or regulatory frameworks aimed at supporting sustainable consumption (16.1)</w:t>
      </w:r>
    </w:p>
    <w:p w14:paraId="0F73EBB0" w14:textId="77777777" w:rsidR="007D4AC3" w:rsidRPr="00FC00D8" w:rsidRDefault="007D4AC3" w:rsidP="00FC00D8">
      <w:pPr>
        <w:pStyle w:val="CBDNormalNumber"/>
        <w:numPr>
          <w:ilvl w:val="1"/>
          <w:numId w:val="410"/>
        </w:numPr>
        <w:shd w:val="clear" w:color="auto" w:fill="FFFFFF"/>
        <w:tabs>
          <w:tab w:val="clear" w:pos="1701"/>
        </w:tabs>
        <w:rPr>
          <w:rStyle w:val="normaltextrun"/>
          <w:lang w:val="en-AU"/>
        </w:rPr>
      </w:pPr>
      <w:r w:rsidRPr="00FC00D8">
        <w:rPr>
          <w:rStyle w:val="normaltextrun"/>
          <w:lang w:val="en-AU"/>
        </w:rPr>
        <w:t>adopt mechanisms to improve awareness of the impacts of consumption and promote alternatives (16.2)</w:t>
      </w:r>
    </w:p>
    <w:p w14:paraId="6D257A34" w14:textId="77777777" w:rsidR="007D4AC3" w:rsidRPr="00FC00D8" w:rsidRDefault="007D4AC3" w:rsidP="00FC00D8">
      <w:pPr>
        <w:pStyle w:val="CBDNormalNumber"/>
        <w:numPr>
          <w:ilvl w:val="1"/>
          <w:numId w:val="410"/>
        </w:numPr>
        <w:shd w:val="clear" w:color="auto" w:fill="FFFFFF"/>
        <w:tabs>
          <w:tab w:val="clear" w:pos="1701"/>
        </w:tabs>
        <w:rPr>
          <w:rStyle w:val="normaltextrun"/>
          <w:lang w:val="en-AU"/>
        </w:rPr>
      </w:pPr>
      <w:r w:rsidRPr="00FC00D8">
        <w:rPr>
          <w:rStyle w:val="normaltextrun"/>
          <w:lang w:val="en-AU"/>
        </w:rPr>
        <w:t xml:space="preserve">adopt policy aimed at reducing the impacts on consumption, especially with regards to waste, are in place (16.3). </w:t>
      </w:r>
    </w:p>
    <w:p w14:paraId="51CE10BB" w14:textId="77777777" w:rsidR="007D4AC3" w:rsidRPr="00FC00D8" w:rsidRDefault="007D4AC3" w:rsidP="00FC00D8">
      <w:pPr>
        <w:pStyle w:val="CBDNormalNumber"/>
        <w:numPr>
          <w:ilvl w:val="0"/>
          <w:numId w:val="410"/>
        </w:numPr>
        <w:shd w:val="clear" w:color="auto" w:fill="FFFFFF"/>
        <w:tabs>
          <w:tab w:val="clear" w:pos="1701"/>
        </w:tabs>
        <w:ind w:left="567" w:firstLine="0"/>
        <w:rPr>
          <w:rStyle w:val="normaltextrun"/>
          <w:lang w:val="en-AU"/>
        </w:rPr>
      </w:pPr>
      <w:r w:rsidRPr="00FC00D8">
        <w:rPr>
          <w:rStyle w:val="normaltextrun"/>
          <w:lang w:val="en-AU"/>
        </w:rPr>
        <w:t xml:space="preserve">In each of these cases, national strategies, legislation and novel regulations may be in the draft stages and awaiting ratification. </w:t>
      </w:r>
      <w:bookmarkStart w:id="67" w:name="_Int_iIrVhWfo"/>
      <w:r w:rsidRPr="00FC00D8">
        <w:rPr>
          <w:rStyle w:val="normaltextrun"/>
          <w:lang w:val="en-AU"/>
        </w:rPr>
        <w:t>Resources may also be in the process of being mobilized to support these mechanisms.</w:t>
      </w:r>
      <w:bookmarkEnd w:id="67"/>
      <w:r w:rsidRPr="00FC00D8">
        <w:rPr>
          <w:rStyle w:val="normaltextrun"/>
          <w:lang w:val="en-AU"/>
        </w:rPr>
        <w:t xml:space="preserve"> Importantly, these processes must be ongoing at the national level and backed by governmental bodies with implementation authority, ongoing engagement with or support of stakeholders promoting sustainable consumption is insufficient.</w:t>
      </w:r>
    </w:p>
    <w:p w14:paraId="6964A8E1" w14:textId="77777777" w:rsidR="007D4AC3" w:rsidRPr="00FC00D8" w:rsidRDefault="007D4AC3" w:rsidP="00FC00D8">
      <w:pPr>
        <w:pStyle w:val="CBDNormalNumber"/>
        <w:numPr>
          <w:ilvl w:val="0"/>
          <w:numId w:val="410"/>
        </w:numPr>
        <w:shd w:val="clear" w:color="auto" w:fill="FFFFFF"/>
        <w:tabs>
          <w:tab w:val="clear" w:pos="1701"/>
        </w:tabs>
        <w:ind w:left="567" w:firstLine="0"/>
        <w:rPr>
          <w:rStyle w:val="normaltextrun"/>
          <w:lang w:val="en-AU"/>
        </w:rPr>
      </w:pPr>
      <w:r w:rsidRPr="00FC00D8">
        <w:rPr>
          <w:rStyle w:val="normaltextrun"/>
          <w:lang w:val="en-AU"/>
        </w:rPr>
        <w:t>A “</w:t>
      </w:r>
      <w:r w:rsidRPr="00FC00D8">
        <w:rPr>
          <w:rStyle w:val="normaltextrun"/>
          <w:i/>
          <w:iCs/>
          <w:lang w:val="en-AU"/>
        </w:rPr>
        <w:t>Partially</w:t>
      </w:r>
      <w:r w:rsidRPr="00FC00D8">
        <w:rPr>
          <w:rStyle w:val="normaltextrun"/>
          <w:lang w:val="en-AU"/>
        </w:rPr>
        <w:t>” answer implies that some actions are being taken to promote sustainable consumption, but not all. That is:</w:t>
      </w:r>
    </w:p>
    <w:p w14:paraId="55AF9C80" w14:textId="77777777" w:rsidR="007D4AC3" w:rsidRPr="00FC00D8" w:rsidRDefault="007D4AC3" w:rsidP="00FC00D8">
      <w:pPr>
        <w:pStyle w:val="CBDNormalNumber"/>
        <w:numPr>
          <w:ilvl w:val="1"/>
          <w:numId w:val="410"/>
        </w:numPr>
        <w:shd w:val="clear" w:color="auto" w:fill="FFFFFF"/>
        <w:tabs>
          <w:tab w:val="clear" w:pos="1701"/>
        </w:tabs>
        <w:rPr>
          <w:rStyle w:val="normaltextrun"/>
          <w:lang w:val="en-AU"/>
        </w:rPr>
      </w:pPr>
      <w:r w:rsidRPr="00FC00D8">
        <w:rPr>
          <w:rStyle w:val="normaltextrun"/>
          <w:lang w:val="en-AU"/>
        </w:rPr>
        <w:t>mechanisms, policy, legislative or regulatory frameworks aimed at supporting sustainable consumption have been established but not all (16.1)</w:t>
      </w:r>
    </w:p>
    <w:p w14:paraId="4D13AF65" w14:textId="77777777" w:rsidR="007D4AC3" w:rsidRPr="00FC00D8" w:rsidRDefault="007D4AC3" w:rsidP="00FC00D8">
      <w:pPr>
        <w:pStyle w:val="CBDNormalNumber"/>
        <w:numPr>
          <w:ilvl w:val="1"/>
          <w:numId w:val="410"/>
        </w:numPr>
        <w:shd w:val="clear" w:color="auto" w:fill="FFFFFF"/>
        <w:tabs>
          <w:tab w:val="clear" w:pos="1701"/>
        </w:tabs>
        <w:rPr>
          <w:rStyle w:val="normaltextrun"/>
          <w:lang w:val="en-AU"/>
        </w:rPr>
      </w:pPr>
      <w:r w:rsidRPr="00FC00D8">
        <w:rPr>
          <w:rStyle w:val="normaltextrun"/>
          <w:lang w:val="en-AU"/>
        </w:rPr>
        <w:t xml:space="preserve">mechanisms to improve awareness or education about the impacts of consumption on biodiversity are in place but not both, and these include </w:t>
      </w:r>
      <w:r w:rsidRPr="00FC00D8">
        <w:rPr>
          <w:rStyle w:val="normaltextrun"/>
          <w:lang w:val="en-AU"/>
        </w:rPr>
        <w:lastRenderedPageBreak/>
        <w:t>mechanisms to improve access to relevant and accurate information and/or alternatives supporting sustainable consumption (16.2)</w:t>
      </w:r>
    </w:p>
    <w:p w14:paraId="073C87D1" w14:textId="77777777" w:rsidR="007D4AC3" w:rsidRPr="00FC00D8" w:rsidRDefault="007D4AC3" w:rsidP="00FC00D8">
      <w:pPr>
        <w:pStyle w:val="CBDNormalNumber"/>
        <w:numPr>
          <w:ilvl w:val="1"/>
          <w:numId w:val="410"/>
        </w:numPr>
        <w:shd w:val="clear" w:color="auto" w:fill="FFFFFF"/>
        <w:tabs>
          <w:tab w:val="clear" w:pos="1701"/>
        </w:tabs>
        <w:rPr>
          <w:rStyle w:val="normaltextrun"/>
          <w:lang w:val="en-AU"/>
        </w:rPr>
      </w:pPr>
      <w:r w:rsidRPr="00FC00D8">
        <w:rPr>
          <w:rStyle w:val="normaltextrun"/>
          <w:lang w:val="en-AU"/>
        </w:rPr>
        <w:t>policy instruments aimed at encouraging and enabling people to reduce the impacts of consumption are in place, but these do not include reducing food waste, overconsumption, nor waste generation (16.3)</w:t>
      </w:r>
    </w:p>
    <w:p w14:paraId="38331366" w14:textId="77777777" w:rsidR="007D4AC3" w:rsidRPr="00FC00D8" w:rsidRDefault="007D4AC3" w:rsidP="00FC00D8">
      <w:pPr>
        <w:pStyle w:val="CBDNormalNumber"/>
        <w:numPr>
          <w:ilvl w:val="0"/>
          <w:numId w:val="410"/>
        </w:numPr>
        <w:shd w:val="clear" w:color="auto" w:fill="FFFFFF"/>
        <w:tabs>
          <w:tab w:val="clear" w:pos="1701"/>
        </w:tabs>
        <w:ind w:left="567" w:firstLine="0"/>
        <w:rPr>
          <w:rStyle w:val="normaltextrun"/>
          <w:lang w:val="en-AU"/>
        </w:rPr>
      </w:pPr>
      <w:r w:rsidRPr="00FC00D8">
        <w:rPr>
          <w:rStyle w:val="normaltextrun"/>
          <w:lang w:val="en-AU"/>
        </w:rPr>
        <w:t>All these cases imply governmental support (e.g. through legislation or financing) for the mechanisms in place. If any one of the cases outlined above applies, only partial achievement has been reached.</w:t>
      </w:r>
    </w:p>
    <w:p w14:paraId="1A7C0BEB" w14:textId="77777777" w:rsidR="007D4AC3" w:rsidRPr="00FC00D8" w:rsidRDefault="007D4AC3" w:rsidP="00FC00D8">
      <w:pPr>
        <w:pStyle w:val="CBDNormalNumber"/>
        <w:numPr>
          <w:ilvl w:val="0"/>
          <w:numId w:val="410"/>
        </w:numPr>
        <w:shd w:val="clear" w:color="auto" w:fill="FFFFFF"/>
        <w:tabs>
          <w:tab w:val="clear" w:pos="1701"/>
        </w:tabs>
        <w:ind w:left="567" w:firstLine="0"/>
        <w:rPr>
          <w:rStyle w:val="normaltextrun"/>
          <w:lang w:val="en-AU"/>
        </w:rPr>
      </w:pPr>
      <w:r w:rsidRPr="00FC00D8">
        <w:rPr>
          <w:rStyle w:val="normaltextrun"/>
          <w:lang w:val="en-AU"/>
        </w:rPr>
        <w:t>A “</w:t>
      </w:r>
      <w:r w:rsidRPr="00FC00D8">
        <w:rPr>
          <w:rStyle w:val="normaltextrun"/>
          <w:i/>
          <w:iCs/>
          <w:lang w:val="en-AU"/>
        </w:rPr>
        <w:t>Fully</w:t>
      </w:r>
      <w:r w:rsidRPr="00FC00D8">
        <w:rPr>
          <w:rStyle w:val="normaltextrun"/>
          <w:lang w:val="en-AU"/>
        </w:rPr>
        <w:t>” answer implies that all the conditions outlined in “Partially” have been met. Namely that mechanisms, policy, legislative and regulatory frameworks aimed at supporting sustainable consumption have all been established (16.1), mechanisms to improve awareness or education about the impacts of consumption on biodiversity are in place and they include mechanisms to improve access to relevant and accurate information and alternatives supporting sustainable consumption (16.2) and policy instruments aimed at encouraging and enabling people to reduce the impacts of consumption are in place, including through reducing food waste, overconsumption, and waste generation (16.3). Note that all these mechanisms must be established at the national level and be appropriately resourced (financial and human).</w:t>
      </w:r>
    </w:p>
    <w:p w14:paraId="738A8AEB" w14:textId="77777777" w:rsidR="00815C84" w:rsidRDefault="00815C84">
      <w:pPr>
        <w:rPr>
          <w:rStyle w:val="normaltextrun"/>
        </w:rPr>
      </w:pPr>
      <w:r>
        <w:rPr>
          <w:rStyle w:val="normaltextrun"/>
        </w:rPr>
        <w:br w:type="page"/>
      </w:r>
    </w:p>
    <w:p w14:paraId="215E7310" w14:textId="3D1D1D90" w:rsidR="00815C84" w:rsidRPr="00157FE7" w:rsidRDefault="00815C84" w:rsidP="00157FE7">
      <w:pPr>
        <w:pStyle w:val="Heading3"/>
        <w:rPr>
          <w:rStyle w:val="normaltextrun"/>
        </w:rPr>
      </w:pPr>
      <w:bookmarkStart w:id="68" w:name="_Toc233278586"/>
      <w:bookmarkStart w:id="69" w:name="_Toc178285877"/>
      <w:r w:rsidRPr="00157FE7">
        <w:rPr>
          <w:rStyle w:val="normaltextrun"/>
        </w:rPr>
        <w:lastRenderedPageBreak/>
        <w:t>Binary indicator 17.b</w:t>
      </w:r>
      <w:bookmarkEnd w:id="68"/>
      <w:r w:rsidRPr="00157FE7">
        <w:rPr>
          <w:rStyle w:val="normaltextrun"/>
        </w:rPr>
        <w:t xml:space="preserve"> </w:t>
      </w:r>
      <w:bookmarkEnd w:id="69"/>
    </w:p>
    <w:p w14:paraId="3F70FE43" w14:textId="77777777" w:rsidR="00815C84" w:rsidRPr="0049615A" w:rsidRDefault="00815C84" w:rsidP="0049615A">
      <w:pPr>
        <w:pStyle w:val="paragraph"/>
        <w:pBdr>
          <w:bottom w:val="single" w:sz="4" w:space="1" w:color="000000"/>
        </w:pBdr>
        <w:spacing w:before="0" w:beforeAutospacing="0" w:after="0" w:afterAutospacing="0"/>
        <w:jc w:val="both"/>
        <w:textAlignment w:val="baseline"/>
        <w:rPr>
          <w:b/>
          <w:bCs/>
        </w:rPr>
      </w:pPr>
      <w:r w:rsidRPr="0049615A">
        <w:rPr>
          <w:rStyle w:val="normaltextrun"/>
          <w:rFonts w:eastAsia="SimSun"/>
          <w:b/>
          <w:bCs/>
          <w:lang w:val="en-AU"/>
        </w:rPr>
        <w:t>Full Indicator Name</w:t>
      </w:r>
    </w:p>
    <w:p w14:paraId="6CD714D2" w14:textId="77777777" w:rsidR="00815C84" w:rsidRPr="00815C84" w:rsidRDefault="00815C84" w:rsidP="00815C84">
      <w:r w:rsidRPr="00815C84">
        <w:t>Number of countries that have taken action to implement biosafety measures as set out in Article 8(g) of the Convention and measures for the handling of biotechnology and the distribution of its benefits as set out in Article 19.</w:t>
      </w:r>
    </w:p>
    <w:p w14:paraId="1246BD3E" w14:textId="77777777" w:rsidR="00815C84" w:rsidRPr="00815C84" w:rsidRDefault="00815C84" w:rsidP="00815C84"/>
    <w:p w14:paraId="3ED6BE3A" w14:textId="77777777" w:rsidR="00815C84" w:rsidRPr="0049615A" w:rsidRDefault="00815C84" w:rsidP="0049615A">
      <w:pPr>
        <w:pStyle w:val="paragraph"/>
        <w:pBdr>
          <w:bottom w:val="single" w:sz="4" w:space="1" w:color="000000"/>
        </w:pBdr>
        <w:spacing w:before="0" w:beforeAutospacing="0" w:after="0" w:afterAutospacing="0"/>
        <w:jc w:val="both"/>
        <w:textAlignment w:val="baseline"/>
        <w:rPr>
          <w:rStyle w:val="normaltextrun"/>
          <w:rFonts w:eastAsia="SimSun"/>
          <w:b/>
          <w:bCs/>
          <w:lang w:val="en-AU"/>
        </w:rPr>
      </w:pPr>
      <w:r w:rsidRPr="0049615A">
        <w:rPr>
          <w:rStyle w:val="normaltextrun"/>
          <w:rFonts w:eastAsia="SimSun"/>
          <w:b/>
          <w:bCs/>
          <w:lang w:val="en-AU"/>
        </w:rPr>
        <w:t>Goals and Targets Addressed</w:t>
      </w:r>
    </w:p>
    <w:p w14:paraId="0E299FE1" w14:textId="77777777" w:rsidR="00815C84" w:rsidRDefault="00815C84" w:rsidP="00815C84">
      <w:pPr>
        <w:rPr>
          <w:b/>
          <w:bCs/>
        </w:rPr>
      </w:pPr>
    </w:p>
    <w:p w14:paraId="31887216" w14:textId="1EBB38C8" w:rsidR="00815C84" w:rsidRPr="00815C84" w:rsidRDefault="00815C84" w:rsidP="00815C84">
      <w:r w:rsidRPr="00815C84">
        <w:t>Target 17. 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p w14:paraId="7D022153" w14:textId="77777777" w:rsidR="00815C84" w:rsidRDefault="00815C84" w:rsidP="00815C84">
      <w:pPr>
        <w:rPr>
          <w:b/>
          <w:bCs/>
        </w:rPr>
      </w:pPr>
    </w:p>
    <w:p w14:paraId="5A8D9500" w14:textId="290D444E" w:rsidR="00815C84" w:rsidRPr="0049615A" w:rsidRDefault="00815C84" w:rsidP="0049615A">
      <w:pPr>
        <w:pStyle w:val="paragraph"/>
        <w:pBdr>
          <w:bottom w:val="single" w:sz="4" w:space="1" w:color="000000"/>
        </w:pBdr>
        <w:spacing w:before="0" w:beforeAutospacing="0" w:after="0" w:afterAutospacing="0"/>
        <w:jc w:val="both"/>
        <w:textAlignment w:val="baseline"/>
        <w:rPr>
          <w:rStyle w:val="normaltextrun"/>
          <w:rFonts w:eastAsia="SimSun"/>
          <w:b/>
          <w:bCs/>
          <w:lang w:val="en-AU"/>
        </w:rPr>
      </w:pPr>
      <w:r w:rsidRPr="0049615A">
        <w:rPr>
          <w:rStyle w:val="normaltextrun"/>
          <w:rFonts w:eastAsia="SimSun"/>
          <w:b/>
          <w:bCs/>
          <w:lang w:val="en-AU"/>
        </w:rPr>
        <w:t>Rationale</w:t>
      </w:r>
    </w:p>
    <w:p w14:paraId="049A0722" w14:textId="77777777" w:rsidR="00815C84" w:rsidRPr="00815C84" w:rsidRDefault="00815C84" w:rsidP="00C815BB">
      <w:pPr>
        <w:pStyle w:val="CBDNormalNumber"/>
        <w:numPr>
          <w:ilvl w:val="0"/>
          <w:numId w:val="422"/>
        </w:numPr>
        <w:shd w:val="clear" w:color="auto" w:fill="FFFFFF"/>
        <w:tabs>
          <w:tab w:val="clear" w:pos="1701"/>
        </w:tabs>
        <w:ind w:left="567" w:hanging="141"/>
        <w:rPr>
          <w:rStyle w:val="normaltextrun"/>
          <w:lang w:val="en-AU"/>
        </w:rPr>
      </w:pPr>
      <w:r w:rsidRPr="00815C84">
        <w:rPr>
          <w:rStyle w:val="normaltextrun"/>
          <w:lang w:val="en-AU"/>
        </w:rPr>
        <w:t xml:space="preserve">Living modified organisms resulting from biotechnologies provide opportunities, but its use and release </w:t>
      </w:r>
      <w:proofErr w:type="gramStart"/>
      <w:r w:rsidRPr="00815C84">
        <w:rPr>
          <w:rStyle w:val="normaltextrun"/>
          <w:lang w:val="en-AU"/>
        </w:rPr>
        <w:t>requires</w:t>
      </w:r>
      <w:proofErr w:type="gramEnd"/>
      <w:r w:rsidRPr="00815C84">
        <w:rPr>
          <w:rStyle w:val="normaltextrun"/>
          <w:lang w:val="en-AU"/>
        </w:rPr>
        <w:t xml:space="preserve"> regulation, management and control of potential associated risks. Participation in biotechnological research and development by Parties, especially developing country Parties, providing the genetic resources for such research would help empower them to address their own needs. In addition, priority access on a fair and equitable basis by Parties, in particular developing country Parties, to the results and benefits of biotechnologies based on genetic resources provided by these Parties would enable countries to benefit from technological advances based on genetic resources, providing a powerful incentive for conservation. As such, this indicator tracks progress towards the implementation of articles 19 and 8 of the Convention.</w:t>
      </w:r>
    </w:p>
    <w:p w14:paraId="24104692" w14:textId="77777777" w:rsidR="00815C84" w:rsidRPr="0049615A" w:rsidRDefault="00815C84" w:rsidP="0049615A">
      <w:pPr>
        <w:pStyle w:val="paragraph"/>
        <w:pBdr>
          <w:bottom w:val="single" w:sz="4" w:space="1" w:color="000000"/>
        </w:pBdr>
        <w:spacing w:before="0" w:beforeAutospacing="0" w:after="0" w:afterAutospacing="0"/>
        <w:jc w:val="both"/>
        <w:textAlignment w:val="baseline"/>
        <w:rPr>
          <w:rStyle w:val="normaltextrun"/>
          <w:rFonts w:eastAsia="SimSun"/>
          <w:b/>
          <w:bCs/>
          <w:lang w:val="en-AU"/>
        </w:rPr>
      </w:pPr>
      <w:r w:rsidRPr="0049615A">
        <w:rPr>
          <w:rStyle w:val="normaltextrun"/>
          <w:rFonts w:eastAsia="SimSun"/>
          <w:b/>
          <w:bCs/>
          <w:lang w:val="en-AU"/>
        </w:rPr>
        <w:t xml:space="preserve">Definitions Concepts </w:t>
      </w:r>
      <w:proofErr w:type="gramStart"/>
      <w:r w:rsidRPr="0049615A">
        <w:rPr>
          <w:rStyle w:val="normaltextrun"/>
          <w:rFonts w:eastAsia="SimSun"/>
          <w:b/>
          <w:bCs/>
          <w:lang w:val="en-AU"/>
        </w:rPr>
        <w:t>And</w:t>
      </w:r>
      <w:proofErr w:type="gramEnd"/>
      <w:r w:rsidRPr="0049615A">
        <w:rPr>
          <w:rStyle w:val="normaltextrun"/>
          <w:rFonts w:eastAsia="SimSun"/>
          <w:b/>
          <w:bCs/>
          <w:lang w:val="en-AU"/>
        </w:rPr>
        <w:t xml:space="preserve"> Classifications</w:t>
      </w:r>
    </w:p>
    <w:p w14:paraId="1F7010C1" w14:textId="77777777" w:rsidR="00815C84" w:rsidRPr="00815C84" w:rsidRDefault="00815C84" w:rsidP="00815C84">
      <w:pPr>
        <w:rPr>
          <w:b/>
          <w:bCs/>
        </w:rPr>
      </w:pPr>
      <w:r w:rsidRPr="00815C84">
        <w:rPr>
          <w:b/>
          <w:bCs/>
        </w:rPr>
        <w:t>Definition</w:t>
      </w:r>
    </w:p>
    <w:p w14:paraId="293F7B0E" w14:textId="77777777" w:rsidR="00815C84" w:rsidRPr="00C815BB" w:rsidRDefault="00815C84" w:rsidP="00C815BB">
      <w:pPr>
        <w:pStyle w:val="CBDNormalNumber"/>
        <w:numPr>
          <w:ilvl w:val="0"/>
          <w:numId w:val="422"/>
        </w:numPr>
        <w:shd w:val="clear" w:color="auto" w:fill="FFFFFF"/>
        <w:tabs>
          <w:tab w:val="clear" w:pos="1701"/>
        </w:tabs>
        <w:ind w:left="567" w:hanging="141"/>
        <w:rPr>
          <w:rStyle w:val="normaltextrun"/>
          <w:lang w:val="en-AU"/>
        </w:rPr>
      </w:pPr>
      <w:r w:rsidRPr="00C815BB">
        <w:rPr>
          <w:rStyle w:val="normaltextrun"/>
          <w:lang w:val="en-AU"/>
        </w:rPr>
        <w:t xml:space="preserve">Biosafety: This concept refers to the need to protect human health and the environment from the possible adverse effects of the products of modern biotechnology. </w:t>
      </w:r>
    </w:p>
    <w:p w14:paraId="036091BF" w14:textId="77777777" w:rsidR="00815C84" w:rsidRPr="00C815BB" w:rsidRDefault="00815C84" w:rsidP="00C815BB">
      <w:pPr>
        <w:pStyle w:val="CBDNormalNumber"/>
        <w:numPr>
          <w:ilvl w:val="0"/>
          <w:numId w:val="422"/>
        </w:numPr>
        <w:shd w:val="clear" w:color="auto" w:fill="FFFFFF"/>
        <w:tabs>
          <w:tab w:val="clear" w:pos="1701"/>
        </w:tabs>
        <w:ind w:left="567" w:hanging="141"/>
        <w:rPr>
          <w:rStyle w:val="normaltextrun"/>
          <w:lang w:val="en-AU"/>
        </w:rPr>
      </w:pPr>
      <w:r w:rsidRPr="00C815BB">
        <w:rPr>
          <w:rStyle w:val="normaltextrun"/>
          <w:lang w:val="en-AU"/>
        </w:rPr>
        <w:t>Biotechnology: Under the Convention, “biotechnology” means any technological application that uses biological systems, living organisms or derivatives thereof, to make or modify products or processes for specific use (Convention, Article 2).</w:t>
      </w:r>
    </w:p>
    <w:p w14:paraId="2AC3EEB5" w14:textId="77777777" w:rsidR="00815C84" w:rsidRPr="00C815BB" w:rsidRDefault="00815C84" w:rsidP="00C815BB">
      <w:pPr>
        <w:pStyle w:val="CBDNormalNumber"/>
        <w:numPr>
          <w:ilvl w:val="0"/>
          <w:numId w:val="422"/>
        </w:numPr>
        <w:shd w:val="clear" w:color="auto" w:fill="FFFFFF"/>
        <w:tabs>
          <w:tab w:val="clear" w:pos="1701"/>
        </w:tabs>
        <w:ind w:left="567" w:hanging="141"/>
        <w:rPr>
          <w:rStyle w:val="normaltextrun"/>
          <w:lang w:val="en-AU"/>
        </w:rPr>
      </w:pPr>
      <w:r w:rsidRPr="00C815BB">
        <w:rPr>
          <w:rStyle w:val="normaltextrun"/>
          <w:lang w:val="en-AU"/>
        </w:rPr>
        <w:t xml:space="preserve">Living modified organisms: The Cartagena Protocol on Biosafety defines “living modified organism” as any living organism that possesses a novel combination of genetic material obtained </w:t>
      </w:r>
      <w:proofErr w:type="gramStart"/>
      <w:r w:rsidRPr="00C815BB">
        <w:rPr>
          <w:rStyle w:val="normaltextrun"/>
          <w:lang w:val="en-AU"/>
        </w:rPr>
        <w:t>through the use of</w:t>
      </w:r>
      <w:proofErr w:type="gramEnd"/>
      <w:r w:rsidRPr="00C815BB">
        <w:rPr>
          <w:rStyle w:val="normaltextrun"/>
          <w:lang w:val="en-AU"/>
        </w:rPr>
        <w:t xml:space="preserve"> modern biotechnology.</w:t>
      </w:r>
    </w:p>
    <w:p w14:paraId="39A95093" w14:textId="77777777" w:rsidR="00815C84" w:rsidRPr="00C815BB" w:rsidRDefault="00815C84" w:rsidP="00C815BB">
      <w:pPr>
        <w:pStyle w:val="CBDNormalNumber"/>
        <w:numPr>
          <w:ilvl w:val="0"/>
          <w:numId w:val="422"/>
        </w:numPr>
        <w:shd w:val="clear" w:color="auto" w:fill="FFFFFF"/>
        <w:tabs>
          <w:tab w:val="clear" w:pos="1701"/>
        </w:tabs>
        <w:ind w:left="567" w:hanging="141"/>
        <w:rPr>
          <w:rStyle w:val="normaltextrun"/>
          <w:lang w:val="en-AU"/>
        </w:rPr>
      </w:pPr>
      <w:r w:rsidRPr="00C815BB">
        <w:rPr>
          <w:rStyle w:val="normaltextrun"/>
          <w:lang w:val="en-AU"/>
        </w:rPr>
        <w:t>Modern biotechnology: Under the Cartagena Protocol, “modern biotechnology” means the application of in vitro nucleic acid techniques, including recombinant deoxyribonucleic acid (DNA) and direct injection of nucleic acid into cells or organelles, or fusion of cells beyond the taxonomic family, that overcome natural physiological reproductive or recombination barriers and that are not techniques used in traditional breeding and selection. (Cartagena Protocol, Article 3(</w:t>
      </w:r>
      <w:proofErr w:type="spellStart"/>
      <w:r w:rsidRPr="00C815BB">
        <w:rPr>
          <w:rStyle w:val="normaltextrun"/>
          <w:lang w:val="en-AU"/>
        </w:rPr>
        <w:t>i</w:t>
      </w:r>
      <w:proofErr w:type="spellEnd"/>
      <w:r w:rsidRPr="00C815BB">
        <w:rPr>
          <w:rStyle w:val="normaltextrun"/>
          <w:lang w:val="en-AU"/>
        </w:rPr>
        <w:t>)).</w:t>
      </w:r>
    </w:p>
    <w:p w14:paraId="2F84E16F" w14:textId="77777777" w:rsidR="00815C84" w:rsidRPr="00C815BB" w:rsidRDefault="00815C84" w:rsidP="00C815BB">
      <w:pPr>
        <w:pStyle w:val="CBDNormalNumber"/>
        <w:numPr>
          <w:ilvl w:val="0"/>
          <w:numId w:val="422"/>
        </w:numPr>
        <w:shd w:val="clear" w:color="auto" w:fill="FFFFFF"/>
        <w:tabs>
          <w:tab w:val="clear" w:pos="1701"/>
        </w:tabs>
        <w:ind w:left="567" w:hanging="141"/>
        <w:rPr>
          <w:rStyle w:val="normaltextrun"/>
          <w:lang w:val="en-AU"/>
        </w:rPr>
      </w:pPr>
      <w:r w:rsidRPr="00C815BB">
        <w:rPr>
          <w:rStyle w:val="normaltextrun"/>
          <w:lang w:val="en-AU"/>
        </w:rPr>
        <w:t>Genetic resources: Means genetic material of actual or potential value.</w:t>
      </w:r>
    </w:p>
    <w:p w14:paraId="17C9247C" w14:textId="77777777" w:rsidR="00815C84" w:rsidRPr="00C815BB" w:rsidRDefault="00815C84" w:rsidP="00C815BB">
      <w:pPr>
        <w:pStyle w:val="CBDNormalNumber"/>
        <w:numPr>
          <w:ilvl w:val="0"/>
          <w:numId w:val="422"/>
        </w:numPr>
        <w:shd w:val="clear" w:color="auto" w:fill="FFFFFF"/>
        <w:tabs>
          <w:tab w:val="clear" w:pos="1701"/>
        </w:tabs>
        <w:ind w:left="567" w:hanging="141"/>
        <w:rPr>
          <w:rStyle w:val="normaltextrun"/>
          <w:lang w:val="en-AU"/>
        </w:rPr>
      </w:pPr>
      <w:r w:rsidRPr="00C815BB">
        <w:rPr>
          <w:rStyle w:val="normaltextrun"/>
          <w:lang w:val="en-AU"/>
        </w:rPr>
        <w:t xml:space="preserve">Risk assessment: The objective of risk assessment is to identify and evaluate the potential adverse effects of living modified organisms on the conservation and sustainable use of biological diversity in the likely potential receiving environment, taking also into account risks to human health. </w:t>
      </w:r>
    </w:p>
    <w:p w14:paraId="1A8975A0" w14:textId="77777777" w:rsidR="00815C84" w:rsidRPr="0049615A" w:rsidRDefault="00815C84" w:rsidP="0049615A">
      <w:pPr>
        <w:pStyle w:val="paragraph"/>
        <w:pBdr>
          <w:bottom w:val="single" w:sz="4" w:space="1" w:color="000000"/>
        </w:pBdr>
        <w:spacing w:before="0" w:beforeAutospacing="0" w:after="0" w:afterAutospacing="0"/>
        <w:jc w:val="both"/>
        <w:textAlignment w:val="baseline"/>
        <w:rPr>
          <w:rStyle w:val="normaltextrun"/>
          <w:rFonts w:eastAsia="SimSun"/>
          <w:b/>
          <w:bCs/>
          <w:lang w:val="en-AU"/>
        </w:rPr>
      </w:pPr>
      <w:r w:rsidRPr="0049615A">
        <w:rPr>
          <w:rStyle w:val="normaltextrun"/>
          <w:rFonts w:eastAsia="SimSun"/>
          <w:b/>
          <w:bCs/>
          <w:lang w:val="en-AU"/>
        </w:rPr>
        <w:t>Method of Computation</w:t>
      </w:r>
    </w:p>
    <w:p w14:paraId="05AEC279" w14:textId="77777777" w:rsidR="00991ADE" w:rsidRDefault="00815C84" w:rsidP="00991ADE">
      <w:pPr>
        <w:pStyle w:val="CBDNormalNumber"/>
        <w:numPr>
          <w:ilvl w:val="0"/>
          <w:numId w:val="422"/>
        </w:numPr>
        <w:shd w:val="clear" w:color="auto" w:fill="FFFFFF"/>
        <w:tabs>
          <w:tab w:val="clear" w:pos="1701"/>
        </w:tabs>
        <w:ind w:left="567" w:hanging="141"/>
        <w:rPr>
          <w:rStyle w:val="normaltextrun"/>
          <w:lang w:val="en-AU"/>
        </w:rPr>
      </w:pPr>
      <w:r w:rsidRPr="00C815BB">
        <w:rPr>
          <w:rStyle w:val="normaltextrun"/>
          <w:lang w:val="en-AU"/>
        </w:rPr>
        <w:t>This indicator is a binary indicator and must be compiled from the answers to six questions:</w:t>
      </w:r>
    </w:p>
    <w:p w14:paraId="59CE9013" w14:textId="77777777" w:rsidR="00991ADE" w:rsidRPr="00991ADE" w:rsidRDefault="00815C84" w:rsidP="00991ADE">
      <w:pPr>
        <w:pStyle w:val="CBDNormalNumber"/>
        <w:numPr>
          <w:ilvl w:val="1"/>
          <w:numId w:val="422"/>
        </w:numPr>
        <w:shd w:val="clear" w:color="auto" w:fill="FFFFFF"/>
        <w:tabs>
          <w:tab w:val="clear" w:pos="1701"/>
        </w:tabs>
        <w:rPr>
          <w:lang w:val="en-AU"/>
        </w:rPr>
      </w:pPr>
      <w:r w:rsidRPr="00991ADE">
        <w:lastRenderedPageBreak/>
        <w:t xml:space="preserve">17.1 </w:t>
      </w:r>
      <w:bookmarkStart w:id="70" w:name="_Hlk177995996"/>
      <w:r w:rsidRPr="00991ADE">
        <w:t xml:space="preserve">Has your country established biosafety-related policy, legal, </w:t>
      </w:r>
      <w:bookmarkEnd w:id="70"/>
      <w:r w:rsidRPr="00991ADE">
        <w:t xml:space="preserve">administrative and other measures as set out in Article 8(g) of the Convention? </w:t>
      </w:r>
    </w:p>
    <w:p w14:paraId="04DFDC21" w14:textId="77777777" w:rsidR="00991ADE" w:rsidRPr="00991ADE" w:rsidRDefault="00815C84" w:rsidP="00991ADE">
      <w:pPr>
        <w:pStyle w:val="CBDNormalNumber"/>
        <w:numPr>
          <w:ilvl w:val="1"/>
          <w:numId w:val="422"/>
        </w:numPr>
        <w:shd w:val="clear" w:color="auto" w:fill="FFFFFF"/>
        <w:tabs>
          <w:tab w:val="clear" w:pos="1701"/>
        </w:tabs>
        <w:rPr>
          <w:lang w:val="en-AU"/>
        </w:rPr>
      </w:pPr>
      <w:r w:rsidRPr="00991ADE">
        <w:t xml:space="preserve">17.2 Does your country implement biosafety measures as set out in Article 8(g) of the Convention? </w:t>
      </w:r>
    </w:p>
    <w:p w14:paraId="2F498991" w14:textId="77777777" w:rsidR="00991ADE" w:rsidRPr="00991ADE" w:rsidRDefault="00815C84" w:rsidP="00991ADE">
      <w:pPr>
        <w:pStyle w:val="CBDNormalNumber"/>
        <w:numPr>
          <w:ilvl w:val="1"/>
          <w:numId w:val="422"/>
        </w:numPr>
        <w:shd w:val="clear" w:color="auto" w:fill="FFFFFF"/>
        <w:tabs>
          <w:tab w:val="clear" w:pos="1701"/>
        </w:tabs>
        <w:rPr>
          <w:lang w:val="en-AU"/>
        </w:rPr>
      </w:pPr>
      <w:r w:rsidRPr="00991ADE">
        <w:t>17.3 Has your country taken legislative, administrative or policy measures, as appropriate, to provide for the effective participation in biotechnological research activities by those Parties, especially developing countries, that provide the genetic resources for such research as set out in paragraph 1 of Article 19 of the Convention?</w:t>
      </w:r>
    </w:p>
    <w:p w14:paraId="220F0C63" w14:textId="77777777" w:rsidR="00991ADE" w:rsidRPr="00991ADE" w:rsidRDefault="00815C84" w:rsidP="00991ADE">
      <w:pPr>
        <w:pStyle w:val="CBDNormalNumber"/>
        <w:numPr>
          <w:ilvl w:val="1"/>
          <w:numId w:val="422"/>
        </w:numPr>
        <w:shd w:val="clear" w:color="auto" w:fill="FFFFFF"/>
        <w:tabs>
          <w:tab w:val="clear" w:pos="1701"/>
        </w:tabs>
        <w:rPr>
          <w:lang w:val="en-AU"/>
        </w:rPr>
      </w:pPr>
      <w:r w:rsidRPr="00991ADE">
        <w:t xml:space="preserve">17.4 Has your country taken practicable measures to promote and advance priority access on a fair and equitable basis by Parties, especially developing countries, to the results and benefits arising from biotechnologies based on genetic resources provided by those Parties, as set out in paragraph 2 of Article 19 of the Convention? </w:t>
      </w:r>
    </w:p>
    <w:p w14:paraId="5F2FB74A" w14:textId="77777777" w:rsidR="00991ADE" w:rsidRPr="00991ADE" w:rsidRDefault="00815C84" w:rsidP="00991ADE">
      <w:pPr>
        <w:pStyle w:val="CBDNormalNumber"/>
        <w:numPr>
          <w:ilvl w:val="1"/>
          <w:numId w:val="422"/>
        </w:numPr>
        <w:shd w:val="clear" w:color="auto" w:fill="FFFFFF"/>
        <w:tabs>
          <w:tab w:val="clear" w:pos="1701"/>
        </w:tabs>
        <w:rPr>
          <w:lang w:val="en-AU"/>
        </w:rPr>
      </w:pPr>
      <w:r w:rsidRPr="00991ADE">
        <w:t xml:space="preserve">17.5 Does your country carry out scientifically sound risk assessments on the use and release of living modified organisms? </w:t>
      </w:r>
    </w:p>
    <w:p w14:paraId="5D4567A3" w14:textId="0F2024C8" w:rsidR="00815C84" w:rsidRPr="00991ADE" w:rsidRDefault="00815C84" w:rsidP="00991ADE">
      <w:pPr>
        <w:pStyle w:val="CBDNormalNumber"/>
        <w:numPr>
          <w:ilvl w:val="1"/>
          <w:numId w:val="422"/>
        </w:numPr>
        <w:shd w:val="clear" w:color="auto" w:fill="FFFFFF"/>
        <w:tabs>
          <w:tab w:val="clear" w:pos="1701"/>
        </w:tabs>
        <w:rPr>
          <w:lang w:val="en-AU"/>
        </w:rPr>
      </w:pPr>
      <w:r w:rsidRPr="00991ADE">
        <w:t>17.6 Does your country provide access to biosafety-related information for the safe transfer, handling and use of living modified organisms?</w:t>
      </w:r>
    </w:p>
    <w:p w14:paraId="2268FFC2" w14:textId="77777777" w:rsidR="003862BF" w:rsidRDefault="00815C84" w:rsidP="003862BF">
      <w:pPr>
        <w:pStyle w:val="CBDNormalNumber"/>
        <w:numPr>
          <w:ilvl w:val="0"/>
          <w:numId w:val="422"/>
        </w:numPr>
        <w:shd w:val="clear" w:color="auto" w:fill="FFFFFF"/>
        <w:tabs>
          <w:tab w:val="clear" w:pos="1701"/>
        </w:tabs>
        <w:ind w:left="567" w:hanging="141"/>
        <w:rPr>
          <w:rStyle w:val="normaltextrun"/>
          <w:lang w:val="en-AU"/>
        </w:rPr>
      </w:pPr>
      <w:r w:rsidRPr="00991ADE">
        <w:rPr>
          <w:rStyle w:val="normaltextrun"/>
          <w:lang w:val="en-AU"/>
        </w:rPr>
        <w:t>There are four possible answers to each of these questions</w:t>
      </w:r>
      <w:r w:rsidRPr="003862BF">
        <w:rPr>
          <w:rStyle w:val="normaltextrun"/>
          <w:vertAlign w:val="superscript"/>
          <w:lang w:val="en-AU"/>
        </w:rPr>
        <w:footnoteReference w:id="49"/>
      </w:r>
      <w:r w:rsidRPr="00991ADE">
        <w:rPr>
          <w:rStyle w:val="normaltextrun"/>
          <w:lang w:val="en-AU"/>
        </w:rPr>
        <w:t>:</w:t>
      </w:r>
    </w:p>
    <w:p w14:paraId="594A1BD3" w14:textId="77777777" w:rsidR="003862BF" w:rsidRPr="003862BF" w:rsidRDefault="00815C84" w:rsidP="003862BF">
      <w:pPr>
        <w:pStyle w:val="CBDNormalNumber"/>
        <w:numPr>
          <w:ilvl w:val="1"/>
          <w:numId w:val="422"/>
        </w:numPr>
        <w:shd w:val="clear" w:color="auto" w:fill="FFFFFF"/>
        <w:tabs>
          <w:tab w:val="clear" w:pos="1701"/>
        </w:tabs>
        <w:rPr>
          <w:lang w:val="en-AU"/>
        </w:rPr>
      </w:pPr>
      <w:r w:rsidRPr="003862BF">
        <w:t>No</w:t>
      </w:r>
    </w:p>
    <w:p w14:paraId="6D144964" w14:textId="77777777" w:rsidR="003862BF" w:rsidRPr="003862BF" w:rsidRDefault="00815C84" w:rsidP="003862BF">
      <w:pPr>
        <w:pStyle w:val="CBDNormalNumber"/>
        <w:numPr>
          <w:ilvl w:val="1"/>
          <w:numId w:val="422"/>
        </w:numPr>
        <w:shd w:val="clear" w:color="auto" w:fill="FFFFFF"/>
        <w:tabs>
          <w:tab w:val="clear" w:pos="1701"/>
        </w:tabs>
        <w:rPr>
          <w:lang w:val="en-AU"/>
        </w:rPr>
      </w:pPr>
      <w:r w:rsidRPr="003862BF">
        <w:t>Under development</w:t>
      </w:r>
    </w:p>
    <w:p w14:paraId="27582FA6" w14:textId="77777777" w:rsidR="003862BF" w:rsidRPr="003862BF" w:rsidRDefault="00815C84" w:rsidP="003862BF">
      <w:pPr>
        <w:pStyle w:val="CBDNormalNumber"/>
        <w:numPr>
          <w:ilvl w:val="1"/>
          <w:numId w:val="422"/>
        </w:numPr>
        <w:shd w:val="clear" w:color="auto" w:fill="FFFFFF"/>
        <w:tabs>
          <w:tab w:val="clear" w:pos="1701"/>
        </w:tabs>
        <w:rPr>
          <w:lang w:val="en-AU"/>
        </w:rPr>
      </w:pPr>
      <w:r w:rsidRPr="003862BF">
        <w:t>Partially</w:t>
      </w:r>
    </w:p>
    <w:p w14:paraId="69C26B09" w14:textId="36A65D5B" w:rsidR="00815C84" w:rsidRPr="003862BF" w:rsidRDefault="00815C84" w:rsidP="003862BF">
      <w:pPr>
        <w:pStyle w:val="CBDNormalNumber"/>
        <w:numPr>
          <w:ilvl w:val="1"/>
          <w:numId w:val="422"/>
        </w:numPr>
        <w:shd w:val="clear" w:color="auto" w:fill="FFFFFF"/>
        <w:tabs>
          <w:tab w:val="clear" w:pos="1701"/>
        </w:tabs>
        <w:rPr>
          <w:lang w:val="en-AU"/>
        </w:rPr>
      </w:pPr>
      <w:r w:rsidRPr="003862BF">
        <w:t>Fully</w:t>
      </w:r>
    </w:p>
    <w:p w14:paraId="62912DD5" w14:textId="77777777" w:rsidR="00815C84" w:rsidRPr="003862BF" w:rsidRDefault="00815C84" w:rsidP="003862BF">
      <w:pPr>
        <w:pStyle w:val="CBDNormalNumber"/>
        <w:numPr>
          <w:ilvl w:val="0"/>
          <w:numId w:val="422"/>
        </w:numPr>
        <w:shd w:val="clear" w:color="auto" w:fill="FFFFFF"/>
        <w:tabs>
          <w:tab w:val="clear" w:pos="1701"/>
        </w:tabs>
        <w:ind w:left="567" w:hanging="141"/>
        <w:rPr>
          <w:rStyle w:val="normaltextrun"/>
          <w:lang w:val="en-AU"/>
        </w:rPr>
      </w:pPr>
      <w:r w:rsidRPr="003862BF">
        <w:rPr>
          <w:rStyle w:val="normaltextrun"/>
          <w:lang w:val="en-AU"/>
        </w:rPr>
        <w:t>A “No” answer implies that:</w:t>
      </w:r>
    </w:p>
    <w:p w14:paraId="76981DFD"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no biosafety-related legal, policy nor administrative measures in line with Article 8(g) have been established (17.1)</w:t>
      </w:r>
    </w:p>
    <w:p w14:paraId="44C37C67"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no biosafety measures in line with Article 8(g) are being implemented (17.2)</w:t>
      </w:r>
    </w:p>
    <w:p w14:paraId="1A886140"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no measures have been put in place for the effective participation in biotechnology research activities by Parties that provide genetic resources as set out in Article 19 (17.3)</w:t>
      </w:r>
    </w:p>
    <w:p w14:paraId="7D0781F4"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no measures have been taken to promote and advance priority access on a fair and equitable basis to the results and benefits arising from biotechnologies based on genetic resources provided by Parties as set out in Article 19 (17.4)</w:t>
      </w:r>
    </w:p>
    <w:p w14:paraId="24116634"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no risk assessments on the use and release of living modified organisms have been carried out (17.5)</w:t>
      </w:r>
    </w:p>
    <w:p w14:paraId="4A8A9668"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no information on the safe use of living modified organisms is being provided to other Parties (17.6)</w:t>
      </w:r>
    </w:p>
    <w:p w14:paraId="41B8F27E" w14:textId="77777777" w:rsidR="00815C84" w:rsidRPr="003862BF" w:rsidRDefault="00815C84" w:rsidP="003862BF">
      <w:pPr>
        <w:pStyle w:val="CBDNormalNumber"/>
        <w:numPr>
          <w:ilvl w:val="0"/>
          <w:numId w:val="422"/>
        </w:numPr>
        <w:shd w:val="clear" w:color="auto" w:fill="FFFFFF"/>
        <w:tabs>
          <w:tab w:val="clear" w:pos="1701"/>
        </w:tabs>
        <w:ind w:left="567" w:hanging="141"/>
        <w:rPr>
          <w:rStyle w:val="normaltextrun"/>
          <w:lang w:val="en-AU"/>
        </w:rPr>
      </w:pPr>
      <w:r w:rsidRPr="003862BF">
        <w:rPr>
          <w:rStyle w:val="normaltextrun"/>
          <w:lang w:val="en-AU"/>
        </w:rPr>
        <w:t>In all, no progress has been made to draft nor propose policies to implement measures relative to articles 8(g) and 19 of the convention and the safe use and management of living modified organisms.</w:t>
      </w:r>
    </w:p>
    <w:p w14:paraId="6F3B9606" w14:textId="77777777" w:rsidR="00815C84" w:rsidRPr="003862BF" w:rsidRDefault="00815C84" w:rsidP="003862BF">
      <w:pPr>
        <w:pStyle w:val="CBDNormalNumber"/>
        <w:numPr>
          <w:ilvl w:val="0"/>
          <w:numId w:val="422"/>
        </w:numPr>
        <w:shd w:val="clear" w:color="auto" w:fill="FFFFFF"/>
        <w:tabs>
          <w:tab w:val="clear" w:pos="1701"/>
        </w:tabs>
        <w:ind w:left="567" w:hanging="141"/>
        <w:rPr>
          <w:rStyle w:val="normaltextrun"/>
          <w:lang w:val="en-AU"/>
        </w:rPr>
      </w:pPr>
      <w:r w:rsidRPr="003862BF">
        <w:rPr>
          <w:rStyle w:val="normaltextrun"/>
          <w:lang w:val="en-AU"/>
        </w:rPr>
        <w:t>An “Under development” answer implies a concerted effort at the national level to implement measures such that:</w:t>
      </w:r>
    </w:p>
    <w:p w14:paraId="5BF7649B"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lastRenderedPageBreak/>
        <w:t>biosafety-related legal, policy or administrative measures in line with Article 8(g) have been proposed and/or drafted but not yet ratified (17.1)</w:t>
      </w:r>
    </w:p>
    <w:p w14:paraId="3CDB7509"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biosafety measures in line with Article 8(g) have been proposed but not yet implemented (17.2)</w:t>
      </w:r>
    </w:p>
    <w:p w14:paraId="4A25B53B"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legislative, administrative or policy measures for the effective participation in biotechnology research activities by Parties that provide genetic resources, as set out in Article 19, have been drafted and/or proposed (17.3)</w:t>
      </w:r>
    </w:p>
    <w:p w14:paraId="23A685E8" w14:textId="71C540D0"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measures to promote and advance priority access on a fair and equitable basis to the results and benefits arising from biotechnologies based on genetic resources provided by Parties, as set out in Article 19, have been drafted and/or proposed (17.4)</w:t>
      </w:r>
    </w:p>
    <w:p w14:paraId="466BD738" w14:textId="20CDE8B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risk assessments on the use and release of living modified organisms are planned and/or designed but not yet carried out (17.</w:t>
      </w:r>
      <w:r w:rsidR="0071313C">
        <w:rPr>
          <w:rStyle w:val="normaltextrun"/>
          <w:lang w:val="en-AU"/>
        </w:rPr>
        <w:t>5</w:t>
      </w:r>
      <w:r w:rsidRPr="003862BF">
        <w:rPr>
          <w:rStyle w:val="normaltextrun"/>
          <w:lang w:val="en-AU"/>
        </w:rPr>
        <w:t>)</w:t>
      </w:r>
    </w:p>
    <w:p w14:paraId="322C5331"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compiling of information on the safe use of living modified organisms for other Parties has been commissioned and/or drafted but is not yet complete (17.6)</w:t>
      </w:r>
    </w:p>
    <w:p w14:paraId="69803C17" w14:textId="77777777" w:rsidR="00815C84" w:rsidRPr="003862BF" w:rsidRDefault="00815C84" w:rsidP="003862BF">
      <w:pPr>
        <w:pStyle w:val="CBDNormalNumber"/>
        <w:numPr>
          <w:ilvl w:val="0"/>
          <w:numId w:val="422"/>
        </w:numPr>
        <w:shd w:val="clear" w:color="auto" w:fill="FFFFFF"/>
        <w:tabs>
          <w:tab w:val="clear" w:pos="1701"/>
        </w:tabs>
        <w:ind w:left="567" w:hanging="141"/>
        <w:rPr>
          <w:rStyle w:val="normaltextrun"/>
          <w:lang w:val="en-AU"/>
        </w:rPr>
      </w:pPr>
      <w:r w:rsidRPr="003862BF">
        <w:rPr>
          <w:rStyle w:val="normaltextrun"/>
          <w:lang w:val="en-AU"/>
        </w:rPr>
        <w:t>In all cases, clear national efforts can be seen (e.g. draft bills, new regulation, ...) to progress towards the target but these are not yet in place nor producing results.</w:t>
      </w:r>
    </w:p>
    <w:p w14:paraId="778E2E85" w14:textId="77777777" w:rsidR="00815C84" w:rsidRPr="003862BF" w:rsidRDefault="00815C84" w:rsidP="003862BF">
      <w:pPr>
        <w:pStyle w:val="CBDNormalNumber"/>
        <w:numPr>
          <w:ilvl w:val="0"/>
          <w:numId w:val="422"/>
        </w:numPr>
        <w:shd w:val="clear" w:color="auto" w:fill="FFFFFF"/>
        <w:tabs>
          <w:tab w:val="clear" w:pos="1701"/>
        </w:tabs>
        <w:ind w:left="567" w:hanging="141"/>
        <w:rPr>
          <w:rStyle w:val="normaltextrun"/>
          <w:lang w:val="en-AU"/>
        </w:rPr>
      </w:pPr>
      <w:r w:rsidRPr="003862BF">
        <w:rPr>
          <w:rStyle w:val="normaltextrun"/>
          <w:lang w:val="en-AU"/>
        </w:rPr>
        <w:t>A “Partially” answer implies that:</w:t>
      </w:r>
    </w:p>
    <w:p w14:paraId="249BA14C"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there exist biosafety-related legal, policy or administrative measures in line with Article 8(g) but have been partially established (17.1)</w:t>
      </w:r>
    </w:p>
    <w:p w14:paraId="0187B98E"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biosafety measures in line with Article 8(g) have been partially implemented (17.2)</w:t>
      </w:r>
    </w:p>
    <w:p w14:paraId="4EE62100"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legislative, administrative or policy measures for the effective participation in biotechnology research activities by Parties that provide genetic resources, as set out in Article 19, have been partially implemented (17.3)</w:t>
      </w:r>
    </w:p>
    <w:p w14:paraId="6D8CE17A"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measures to ensure the sharing of benefits from genetic resources of other Parties, as set out in article 19, have been partially implemented (17.4)</w:t>
      </w:r>
    </w:p>
    <w:p w14:paraId="50B300E0"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risk assessments on the use and release of living modified organisms have been carried out in some cases (17.5)</w:t>
      </w:r>
    </w:p>
    <w:p w14:paraId="7E357F71" w14:textId="77777777" w:rsidR="00815C84" w:rsidRPr="003862BF" w:rsidRDefault="00815C84" w:rsidP="001C3F6C">
      <w:pPr>
        <w:pStyle w:val="CBDNormalNumber"/>
        <w:numPr>
          <w:ilvl w:val="1"/>
          <w:numId w:val="422"/>
        </w:numPr>
        <w:shd w:val="clear" w:color="auto" w:fill="FFFFFF"/>
        <w:tabs>
          <w:tab w:val="clear" w:pos="1701"/>
        </w:tabs>
        <w:rPr>
          <w:rStyle w:val="normaltextrun"/>
          <w:lang w:val="en-AU"/>
        </w:rPr>
      </w:pPr>
      <w:r w:rsidRPr="003862BF">
        <w:rPr>
          <w:rStyle w:val="normaltextrun"/>
          <w:lang w:val="en-AU"/>
        </w:rPr>
        <w:t>information on the safe use of living modified organisms for other Parties is available to some extent (17.6)</w:t>
      </w:r>
    </w:p>
    <w:p w14:paraId="65670BBB" w14:textId="77777777" w:rsidR="00815C84" w:rsidRPr="003862BF" w:rsidRDefault="00815C84" w:rsidP="003862BF">
      <w:pPr>
        <w:pStyle w:val="CBDNormalNumber"/>
        <w:numPr>
          <w:ilvl w:val="0"/>
          <w:numId w:val="422"/>
        </w:numPr>
        <w:shd w:val="clear" w:color="auto" w:fill="FFFFFF"/>
        <w:tabs>
          <w:tab w:val="clear" w:pos="1701"/>
        </w:tabs>
        <w:ind w:left="567" w:hanging="141"/>
        <w:rPr>
          <w:rStyle w:val="normaltextrun"/>
          <w:lang w:val="en-AU"/>
        </w:rPr>
      </w:pPr>
      <w:r w:rsidRPr="003862BF">
        <w:rPr>
          <w:rStyle w:val="normaltextrun"/>
          <w:lang w:val="en-AU"/>
        </w:rPr>
        <w:t>In each case outlined above, the coverage of the measures in place is incomplete.</w:t>
      </w:r>
    </w:p>
    <w:p w14:paraId="3D3A0489" w14:textId="77777777" w:rsidR="00815C84" w:rsidRPr="003862BF" w:rsidRDefault="00815C84" w:rsidP="003862BF">
      <w:pPr>
        <w:pStyle w:val="CBDNormalNumber"/>
        <w:numPr>
          <w:ilvl w:val="0"/>
          <w:numId w:val="422"/>
        </w:numPr>
        <w:shd w:val="clear" w:color="auto" w:fill="FFFFFF"/>
        <w:tabs>
          <w:tab w:val="clear" w:pos="1701"/>
        </w:tabs>
        <w:ind w:left="567" w:hanging="141"/>
        <w:rPr>
          <w:rStyle w:val="normaltextrun"/>
          <w:lang w:val="en-AU"/>
        </w:rPr>
      </w:pPr>
      <w:r w:rsidRPr="003862BF">
        <w:rPr>
          <w:rStyle w:val="normaltextrun"/>
          <w:lang w:val="en-AU"/>
        </w:rPr>
        <w:t>A “Fully” answer implies that all the conditions outlined in “Partially” have been met. Namely that:</w:t>
      </w:r>
    </w:p>
    <w:p w14:paraId="75CCE26B" w14:textId="77777777" w:rsidR="00815C84" w:rsidRPr="003862BF" w:rsidRDefault="00815C84" w:rsidP="00DD263C">
      <w:pPr>
        <w:pStyle w:val="CBDNormalNumber"/>
        <w:numPr>
          <w:ilvl w:val="1"/>
          <w:numId w:val="422"/>
        </w:numPr>
        <w:shd w:val="clear" w:color="auto" w:fill="FFFFFF"/>
        <w:tabs>
          <w:tab w:val="clear" w:pos="1701"/>
        </w:tabs>
        <w:rPr>
          <w:rStyle w:val="normaltextrun"/>
          <w:lang w:val="en-AU"/>
        </w:rPr>
      </w:pPr>
      <w:r w:rsidRPr="003862BF">
        <w:rPr>
          <w:rStyle w:val="normaltextrun"/>
          <w:lang w:val="en-AU"/>
        </w:rPr>
        <w:t>biosafety-related legal, policy or administrative measures in line with Article 8(g) are in place (17.1)</w:t>
      </w:r>
    </w:p>
    <w:p w14:paraId="50171D3A" w14:textId="77777777" w:rsidR="00815C84" w:rsidRPr="003862BF" w:rsidRDefault="00815C84" w:rsidP="00DD263C">
      <w:pPr>
        <w:pStyle w:val="CBDNormalNumber"/>
        <w:numPr>
          <w:ilvl w:val="1"/>
          <w:numId w:val="422"/>
        </w:numPr>
        <w:shd w:val="clear" w:color="auto" w:fill="FFFFFF"/>
        <w:tabs>
          <w:tab w:val="clear" w:pos="1701"/>
        </w:tabs>
        <w:rPr>
          <w:rStyle w:val="normaltextrun"/>
          <w:lang w:val="en-AU"/>
        </w:rPr>
      </w:pPr>
      <w:r w:rsidRPr="003862BF">
        <w:rPr>
          <w:rStyle w:val="normaltextrun"/>
          <w:lang w:val="en-AU"/>
        </w:rPr>
        <w:t>biosafety measures in line with Article 8(g) have been implemented (17.2)</w:t>
      </w:r>
    </w:p>
    <w:p w14:paraId="21C92BBD" w14:textId="77777777" w:rsidR="00815C84" w:rsidRPr="003862BF" w:rsidRDefault="00815C84" w:rsidP="00DD263C">
      <w:pPr>
        <w:pStyle w:val="CBDNormalNumber"/>
        <w:numPr>
          <w:ilvl w:val="1"/>
          <w:numId w:val="422"/>
        </w:numPr>
        <w:shd w:val="clear" w:color="auto" w:fill="FFFFFF"/>
        <w:tabs>
          <w:tab w:val="clear" w:pos="1701"/>
        </w:tabs>
        <w:rPr>
          <w:rStyle w:val="normaltextrun"/>
          <w:lang w:val="en-AU"/>
        </w:rPr>
      </w:pPr>
      <w:r w:rsidRPr="003862BF">
        <w:rPr>
          <w:rStyle w:val="normaltextrun"/>
          <w:lang w:val="en-AU"/>
        </w:rPr>
        <w:t>legislative, administrative and policy measures for the effective participation in biotechnology research activities by Parties that provide genetic resources, as set out in Article 19, have been implemented (17.3)</w:t>
      </w:r>
    </w:p>
    <w:p w14:paraId="3D9FBA31" w14:textId="77777777" w:rsidR="00815C84" w:rsidRPr="003862BF" w:rsidRDefault="00815C84" w:rsidP="00DD263C">
      <w:pPr>
        <w:pStyle w:val="CBDNormalNumber"/>
        <w:numPr>
          <w:ilvl w:val="1"/>
          <w:numId w:val="422"/>
        </w:numPr>
        <w:shd w:val="clear" w:color="auto" w:fill="FFFFFF"/>
        <w:tabs>
          <w:tab w:val="clear" w:pos="1701"/>
        </w:tabs>
        <w:rPr>
          <w:rStyle w:val="normaltextrun"/>
          <w:lang w:val="en-AU"/>
        </w:rPr>
      </w:pPr>
      <w:r w:rsidRPr="003862BF">
        <w:rPr>
          <w:rStyle w:val="normaltextrun"/>
          <w:lang w:val="en-AU"/>
        </w:rPr>
        <w:t>measures to ensure the sharing of benefits from genetic resources of other Parties, as set out in article 19, have been (17.4)</w:t>
      </w:r>
    </w:p>
    <w:p w14:paraId="33B6BD0C" w14:textId="77777777" w:rsidR="00815C84" w:rsidRPr="003862BF" w:rsidRDefault="00815C84" w:rsidP="00DD263C">
      <w:pPr>
        <w:pStyle w:val="CBDNormalNumber"/>
        <w:numPr>
          <w:ilvl w:val="1"/>
          <w:numId w:val="422"/>
        </w:numPr>
        <w:shd w:val="clear" w:color="auto" w:fill="FFFFFF"/>
        <w:tabs>
          <w:tab w:val="clear" w:pos="1701"/>
        </w:tabs>
        <w:rPr>
          <w:rStyle w:val="normaltextrun"/>
          <w:lang w:val="en-AU"/>
        </w:rPr>
      </w:pPr>
      <w:r w:rsidRPr="003862BF">
        <w:rPr>
          <w:rStyle w:val="normaltextrun"/>
          <w:lang w:val="en-AU"/>
        </w:rPr>
        <w:t>risk assessments on the use and release of living modified organisms have been carried out in all cases (17.5)</w:t>
      </w:r>
    </w:p>
    <w:p w14:paraId="047F47A2" w14:textId="77777777" w:rsidR="00815C84" w:rsidRPr="003862BF" w:rsidRDefault="00815C84" w:rsidP="00DD263C">
      <w:pPr>
        <w:pStyle w:val="CBDNormalNumber"/>
        <w:numPr>
          <w:ilvl w:val="1"/>
          <w:numId w:val="422"/>
        </w:numPr>
        <w:shd w:val="clear" w:color="auto" w:fill="FFFFFF"/>
        <w:tabs>
          <w:tab w:val="clear" w:pos="1701"/>
        </w:tabs>
        <w:rPr>
          <w:rStyle w:val="normaltextrun"/>
          <w:lang w:val="en-AU"/>
        </w:rPr>
      </w:pPr>
      <w:r w:rsidRPr="003862BF">
        <w:rPr>
          <w:rStyle w:val="normaltextrun"/>
          <w:lang w:val="en-AU"/>
        </w:rPr>
        <w:lastRenderedPageBreak/>
        <w:t>information on the safe use of living modified organisms for other Parties is available for all living modified organisms (17.6)</w:t>
      </w:r>
    </w:p>
    <w:p w14:paraId="75AD2DD2" w14:textId="290D0521" w:rsidR="00FC00D8" w:rsidRDefault="00FC00D8">
      <w:pPr>
        <w:rPr>
          <w:rStyle w:val="normaltextrun"/>
          <w:rFonts w:asciiTheme="majorBidi" w:eastAsiaTheme="majorEastAsia" w:hAnsiTheme="majorBidi" w:cstheme="majorBidi"/>
          <w:b/>
          <w:sz w:val="28"/>
          <w:szCs w:val="28"/>
        </w:rPr>
      </w:pPr>
      <w:r>
        <w:rPr>
          <w:rStyle w:val="normaltextrun"/>
        </w:rPr>
        <w:br w:type="page"/>
      </w:r>
    </w:p>
    <w:p w14:paraId="51AE79E1" w14:textId="502D4BC6" w:rsidR="00756F0F" w:rsidRPr="00ED7E61" w:rsidRDefault="004F77DE" w:rsidP="003B0E8A">
      <w:pPr>
        <w:pStyle w:val="Heading3"/>
      </w:pPr>
      <w:bookmarkStart w:id="71" w:name="_Toc233278587"/>
      <w:r w:rsidRPr="00ED7E61">
        <w:rPr>
          <w:rStyle w:val="normaltextrun"/>
        </w:rPr>
        <w:lastRenderedPageBreak/>
        <w:t>18.1 Positive incentives in place to promote biodiversity conservation and sustainable use</w:t>
      </w:r>
      <w:bookmarkEnd w:id="71"/>
      <w:r w:rsidRPr="00ED7E61">
        <w:rPr>
          <w:rStyle w:val="normaltextrun"/>
        </w:rPr>
        <w:t xml:space="preserve">  </w:t>
      </w:r>
      <w:r w:rsidR="00756F0F" w:rsidRPr="00ED7E61">
        <w:rPr>
          <w:rStyle w:val="normaltextrun"/>
        </w:rPr>
        <w:t> </w:t>
      </w:r>
      <w:r w:rsidR="00756F0F" w:rsidRPr="00ED7E61">
        <w:rPr>
          <w:rStyle w:val="eop"/>
        </w:rPr>
        <w:t> </w:t>
      </w:r>
    </w:p>
    <w:p w14:paraId="2D868993"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1D58A84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b/>
          <w:bCs/>
          <w:sz w:val="22"/>
          <w:szCs w:val="22"/>
        </w:rPr>
        <w:t> </w:t>
      </w:r>
    </w:p>
    <w:p w14:paraId="6D3C06B3"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18.1 Positive incentives in place to promote biodiversity conservation and sustainable use</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32DA049A" w14:textId="0DFE9122" w:rsidR="00756F0F" w:rsidRPr="00ED7E61" w:rsidRDefault="00756F0F" w:rsidP="00B10F0C">
      <w:pPr>
        <w:pStyle w:val="CBDNormalNumber"/>
        <w:numPr>
          <w:ilvl w:val="0"/>
          <w:numId w:val="92"/>
        </w:numPr>
        <w:shd w:val="clear" w:color="auto" w:fill="FFFFFF"/>
        <w:tabs>
          <w:tab w:val="clear" w:pos="1701"/>
        </w:tabs>
        <w:ind w:left="567" w:hanging="24"/>
        <w:rPr>
          <w:rFonts w:asciiTheme="majorBidi" w:hAnsiTheme="majorBidi" w:cstheme="majorBidi"/>
        </w:rPr>
      </w:pPr>
      <w:r w:rsidRPr="00FB1598">
        <w:rPr>
          <w:color w:val="000000"/>
        </w:rPr>
        <w:t>The</w:t>
      </w:r>
      <w:r w:rsidRPr="00ED7E61">
        <w:rPr>
          <w:rStyle w:val="normaltextrun"/>
          <w:rFonts w:asciiTheme="majorBidi" w:eastAsiaTheme="majorEastAsia" w:hAnsiTheme="majorBidi" w:cstheme="majorBidi"/>
          <w:color w:val="000000"/>
        </w:rPr>
        <w:t xml:space="preserve"> total number of positive incentives in place is the sum of the number of instruments listed below (that are active, i.e. in force):</w:t>
      </w:r>
      <w:r w:rsidRPr="00ED7E61">
        <w:rPr>
          <w:rStyle w:val="eop"/>
          <w:rFonts w:asciiTheme="majorBidi" w:eastAsiaTheme="majorEastAsia" w:hAnsiTheme="majorBidi" w:cstheme="majorBidi"/>
          <w:color w:val="000000"/>
        </w:rPr>
        <w:t> </w:t>
      </w:r>
    </w:p>
    <w:p w14:paraId="70EF6048" w14:textId="77777777" w:rsidR="00756F0F" w:rsidRPr="00ED7E61" w:rsidRDefault="00756F0F" w:rsidP="00B10F0C">
      <w:pPr>
        <w:pStyle w:val="CBDNormalNumber"/>
        <w:numPr>
          <w:ilvl w:val="0"/>
          <w:numId w:val="20"/>
        </w:numPr>
        <w:tabs>
          <w:tab w:val="clear" w:pos="567"/>
          <w:tab w:val="clear" w:pos="1134"/>
          <w:tab w:val="clear" w:pos="1701"/>
          <w:tab w:val="clear" w:pos="2268"/>
          <w:tab w:val="left" w:pos="1985"/>
        </w:tabs>
        <w:ind w:left="1843" w:hanging="567"/>
        <w:rPr>
          <w:rStyle w:val="normaltextrun"/>
          <w:rFonts w:eastAsiaTheme="majorEastAsia"/>
        </w:rPr>
      </w:pPr>
      <w:r w:rsidRPr="00ED7E61">
        <w:rPr>
          <w:rStyle w:val="normaltextrun"/>
          <w:rFonts w:eastAsiaTheme="majorEastAsia"/>
        </w:rPr>
        <w:t>Biodiversity-relevant taxes, fees and charges (number active)</w:t>
      </w:r>
      <w:r w:rsidRPr="00ED7E61">
        <w:rPr>
          <w:rStyle w:val="normaltextrun"/>
        </w:rPr>
        <w:t> </w:t>
      </w:r>
    </w:p>
    <w:p w14:paraId="2A4DB048" w14:textId="7A128137" w:rsidR="00756F0F" w:rsidRPr="00ED7E61" w:rsidRDefault="00454683" w:rsidP="00B10F0C">
      <w:pPr>
        <w:pStyle w:val="CBDNormalNumber"/>
        <w:numPr>
          <w:ilvl w:val="0"/>
          <w:numId w:val="20"/>
        </w:numPr>
        <w:tabs>
          <w:tab w:val="clear" w:pos="567"/>
          <w:tab w:val="clear" w:pos="1134"/>
          <w:tab w:val="clear" w:pos="1701"/>
          <w:tab w:val="clear" w:pos="2268"/>
          <w:tab w:val="left" w:pos="1985"/>
        </w:tabs>
        <w:ind w:left="1843" w:hanging="567"/>
        <w:rPr>
          <w:rStyle w:val="normaltextrun"/>
          <w:rFonts w:eastAsiaTheme="majorEastAsia"/>
        </w:rPr>
      </w:pPr>
      <w:r w:rsidRPr="00ED7E61">
        <w:rPr>
          <w:rStyle w:val="normaltextrun"/>
          <w:rFonts w:eastAsiaTheme="majorEastAsia"/>
        </w:rPr>
        <w:t>Biodiversity-relevant environmentally beneficial subsidies</w:t>
      </w:r>
      <w:r w:rsidR="00E202FA" w:rsidRPr="00ED7E61">
        <w:rPr>
          <w:rStyle w:val="FootnoteReference"/>
          <w:rFonts w:eastAsiaTheme="majorEastAsia"/>
        </w:rPr>
        <w:footnoteReference w:id="50"/>
      </w:r>
      <w:r w:rsidR="004A6C25">
        <w:rPr>
          <w:rStyle w:val="normaltextrun"/>
          <w:rFonts w:eastAsiaTheme="majorEastAsia"/>
        </w:rPr>
        <w:t xml:space="preserve"> </w:t>
      </w:r>
      <w:r w:rsidR="00756F0F" w:rsidRPr="00ED7E61">
        <w:rPr>
          <w:rStyle w:val="normaltextrun"/>
          <w:rFonts w:eastAsiaTheme="majorEastAsia"/>
        </w:rPr>
        <w:t>(number active)</w:t>
      </w:r>
      <w:r w:rsidR="00756F0F" w:rsidRPr="00ED7E61">
        <w:rPr>
          <w:rStyle w:val="normaltextrun"/>
        </w:rPr>
        <w:t> </w:t>
      </w:r>
    </w:p>
    <w:p w14:paraId="01707308" w14:textId="74C0DB52" w:rsidR="00756F0F" w:rsidRPr="00812871" w:rsidRDefault="00756F0F" w:rsidP="00812871">
      <w:pPr>
        <w:pStyle w:val="CBDNormalNumber"/>
        <w:numPr>
          <w:ilvl w:val="0"/>
          <w:numId w:val="25"/>
        </w:numPr>
        <w:tabs>
          <w:tab w:val="clear" w:pos="567"/>
          <w:tab w:val="clear" w:pos="1134"/>
          <w:tab w:val="clear" w:pos="1701"/>
          <w:tab w:val="clear" w:pos="2268"/>
          <w:tab w:val="left" w:pos="1985"/>
        </w:tabs>
        <w:spacing w:after="0"/>
        <w:ind w:left="1985" w:hanging="851"/>
        <w:rPr>
          <w:rStyle w:val="normaltextrun"/>
          <w:rFonts w:eastAsiaTheme="majorEastAsia"/>
        </w:rPr>
      </w:pPr>
      <w:r w:rsidRPr="00ED7E61">
        <w:rPr>
          <w:rStyle w:val="normaltextrun"/>
          <w:rFonts w:eastAsiaTheme="majorEastAsia"/>
        </w:rPr>
        <w:t>Biodiversity-relevant tradable permits</w:t>
      </w:r>
      <w:r w:rsidR="00220F44">
        <w:rPr>
          <w:rStyle w:val="normaltextrun"/>
          <w:rFonts w:eastAsiaTheme="majorEastAsia"/>
        </w:rPr>
        <w:t xml:space="preserve"> </w:t>
      </w:r>
      <w:r w:rsidRPr="00220F44">
        <w:rPr>
          <w:rStyle w:val="normaltextrun"/>
          <w:rFonts w:eastAsiaTheme="majorEastAsia"/>
        </w:rPr>
        <w:t>(number active)</w:t>
      </w:r>
      <w:r w:rsidRPr="00ED7E61">
        <w:rPr>
          <w:rStyle w:val="normaltextrun"/>
        </w:rPr>
        <w:t> </w:t>
      </w:r>
    </w:p>
    <w:p w14:paraId="51F9A836" w14:textId="77777777" w:rsidR="00756F0F" w:rsidRPr="00ED7E61" w:rsidRDefault="00756F0F" w:rsidP="00B10F0C">
      <w:pPr>
        <w:pStyle w:val="CBDNormalNumber"/>
        <w:numPr>
          <w:ilvl w:val="0"/>
          <w:numId w:val="20"/>
        </w:numPr>
        <w:tabs>
          <w:tab w:val="clear" w:pos="567"/>
          <w:tab w:val="clear" w:pos="1134"/>
          <w:tab w:val="clear" w:pos="1701"/>
          <w:tab w:val="clear" w:pos="2268"/>
          <w:tab w:val="left" w:pos="1985"/>
        </w:tabs>
        <w:ind w:left="1843" w:hanging="567"/>
        <w:rPr>
          <w:rStyle w:val="normaltextrun"/>
          <w:rFonts w:eastAsiaTheme="majorEastAsia"/>
        </w:rPr>
      </w:pPr>
      <w:r w:rsidRPr="00ED7E61">
        <w:rPr>
          <w:rStyle w:val="normaltextrun"/>
          <w:rFonts w:eastAsiaTheme="majorEastAsia"/>
        </w:rPr>
        <w:t>Payments for ecosystem services (number active)</w:t>
      </w:r>
      <w:r w:rsidRPr="00ED7E61">
        <w:rPr>
          <w:rStyle w:val="normaltextrun"/>
        </w:rPr>
        <w:t> </w:t>
      </w:r>
    </w:p>
    <w:p w14:paraId="71B70332" w14:textId="1F6B06D8" w:rsidR="00756F0F" w:rsidRPr="006B2D93" w:rsidRDefault="00756F0F" w:rsidP="00B10F0C">
      <w:pPr>
        <w:pStyle w:val="CBDNormalNumber"/>
        <w:numPr>
          <w:ilvl w:val="0"/>
          <w:numId w:val="20"/>
        </w:numPr>
        <w:tabs>
          <w:tab w:val="clear" w:pos="567"/>
          <w:tab w:val="clear" w:pos="1134"/>
          <w:tab w:val="clear" w:pos="1701"/>
          <w:tab w:val="clear" w:pos="2268"/>
          <w:tab w:val="left" w:pos="1985"/>
        </w:tabs>
        <w:ind w:left="1843" w:hanging="567"/>
        <w:rPr>
          <w:rStyle w:val="normaltextrun"/>
          <w:rFonts w:eastAsiaTheme="majorEastAsia"/>
        </w:rPr>
      </w:pPr>
      <w:r w:rsidRPr="00812871">
        <w:rPr>
          <w:rStyle w:val="normaltextrun"/>
          <w:rFonts w:eastAsiaTheme="majorEastAsia"/>
        </w:rPr>
        <w:t>Biodiversity offsets (number active)</w:t>
      </w:r>
      <w:r w:rsidRPr="006B2D93">
        <w:rPr>
          <w:rStyle w:val="normaltextrun"/>
        </w:rPr>
        <w:t> </w:t>
      </w:r>
    </w:p>
    <w:p w14:paraId="150289D5" w14:textId="076513B3" w:rsidR="00756F0F" w:rsidRPr="00ED7E61" w:rsidRDefault="00756F0F" w:rsidP="00580DBB">
      <w:pPr>
        <w:pStyle w:val="CBDNormalNumber"/>
        <w:numPr>
          <w:ilvl w:val="0"/>
          <w:numId w:val="92"/>
        </w:numPr>
        <w:shd w:val="clear" w:color="auto" w:fill="FFFFFF"/>
        <w:ind w:left="567" w:firstLine="0"/>
      </w:pPr>
      <w:r w:rsidRPr="00FB1598">
        <w:rPr>
          <w:color w:val="000000"/>
        </w:rPr>
        <w:t>Countries</w:t>
      </w:r>
      <w:r w:rsidRPr="00ED7E61">
        <w:t xml:space="preserve"> reporting to </w:t>
      </w:r>
      <w:r w:rsidR="00580DBB" w:rsidRPr="00580DBB">
        <w:rPr>
          <w:lang w:val="en-CA"/>
        </w:rPr>
        <w:t xml:space="preserve">the </w:t>
      </w:r>
      <w:r w:rsidR="00E77380">
        <w:rPr>
          <w:lang w:val="en-CA"/>
        </w:rPr>
        <w:t xml:space="preserve">OECD </w:t>
      </w:r>
      <w:r w:rsidR="00580DBB" w:rsidRPr="00580DBB">
        <w:rPr>
          <w:lang w:val="en-CA"/>
        </w:rPr>
        <w:t xml:space="preserve">Policy Instruments for Environment </w:t>
      </w:r>
      <w:r w:rsidR="00580DBB">
        <w:rPr>
          <w:lang w:val="en-CA"/>
        </w:rPr>
        <w:t>(</w:t>
      </w:r>
      <w:r w:rsidRPr="00ED7E61">
        <w:t>PINE</w:t>
      </w:r>
      <w:r w:rsidR="00580DBB">
        <w:t>) database</w:t>
      </w:r>
      <w:r w:rsidRPr="00ED7E61">
        <w:t xml:space="preserve"> could extract data directly from the PINE </w:t>
      </w:r>
      <w:r w:rsidR="00903279">
        <w:t>database</w:t>
      </w:r>
      <w:r w:rsidR="00903279" w:rsidRPr="00ED7E61">
        <w:t xml:space="preserve"> </w:t>
      </w:r>
      <w:r w:rsidRPr="00ED7E61">
        <w:t xml:space="preserve">and those not providing data to </w:t>
      </w:r>
      <w:r w:rsidR="00903279">
        <w:t xml:space="preserve">the </w:t>
      </w:r>
      <w:r w:rsidRPr="00ED7E61">
        <w:t xml:space="preserve">PINE </w:t>
      </w:r>
      <w:r w:rsidR="00903279">
        <w:t xml:space="preserve">database </w:t>
      </w:r>
      <w:r w:rsidRPr="00ED7E61">
        <w:t>could complete this based on simple guidance (see next section).</w:t>
      </w:r>
      <w:r w:rsidR="003F212A" w:rsidRPr="00ED7E61">
        <w:t xml:space="preserve"> </w:t>
      </w:r>
      <w:r w:rsidRPr="00ED7E61">
        <w:t>Countries would report on number of active instruments per year from 2020-30. </w:t>
      </w:r>
    </w:p>
    <w:p w14:paraId="1D6E5CD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b/>
          <w:bCs/>
          <w:sz w:val="22"/>
          <w:szCs w:val="22"/>
        </w:rPr>
        <w:t> </w:t>
      </w:r>
    </w:p>
    <w:p w14:paraId="2DEB6663" w14:textId="2D63DA7D" w:rsidR="00756F0F" w:rsidRPr="00ED7E61" w:rsidRDefault="00A73C67" w:rsidP="006B65E4">
      <w:pPr>
        <w:pStyle w:val="paragraph"/>
        <w:spacing w:before="0" w:beforeAutospacing="0" w:after="0" w:afterAutospacing="0"/>
        <w:ind w:left="567"/>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lang w:val="en-GB"/>
        </w:rPr>
        <w:t>February 2026</w:t>
      </w:r>
    </w:p>
    <w:p w14:paraId="3AC3C11A" w14:textId="77777777" w:rsidR="00756F0F" w:rsidRPr="00ED7E61" w:rsidRDefault="00756F0F" w:rsidP="00757C3F">
      <w:pPr>
        <w:pStyle w:val="paragraph"/>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b/>
          <w:bCs/>
          <w:sz w:val="22"/>
          <w:szCs w:val="22"/>
        </w:rPr>
        <w:t> </w:t>
      </w:r>
    </w:p>
    <w:p w14:paraId="02D3D3D2" w14:textId="77777777" w:rsidR="00756F0F" w:rsidRPr="00ED7E61" w:rsidRDefault="00756F0F" w:rsidP="00757C3F">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b/>
          <w:bCs/>
          <w:sz w:val="22"/>
          <w:szCs w:val="22"/>
        </w:rPr>
        <w:t> </w:t>
      </w:r>
    </w:p>
    <w:p w14:paraId="1371DCCF" w14:textId="77777777" w:rsidR="00756F0F" w:rsidRPr="00ED7E61"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1230A98D" w14:textId="77777777" w:rsidR="00756F0F" w:rsidRPr="00ED7E61" w:rsidRDefault="00756F0F" w:rsidP="00757C3F">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b/>
          <w:bCs/>
          <w:sz w:val="22"/>
          <w:szCs w:val="22"/>
        </w:rPr>
        <w:t> </w:t>
      </w:r>
    </w:p>
    <w:p w14:paraId="6FE5411D" w14:textId="77777777" w:rsidR="00756F0F" w:rsidRPr="00ED7E61"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Headline indicator for </w:t>
      </w:r>
      <w:r w:rsidRPr="00ED7E61">
        <w:rPr>
          <w:rStyle w:val="normaltextrun"/>
          <w:rFonts w:asciiTheme="majorBidi" w:eastAsiaTheme="majorEastAsia" w:hAnsiTheme="majorBidi" w:cstheme="majorBidi"/>
          <w:b/>
          <w:bCs/>
          <w:color w:val="000000"/>
          <w:sz w:val="22"/>
          <w:szCs w:val="22"/>
          <w:lang w:val="en-GB"/>
        </w:rPr>
        <w:t>Target 18</w:t>
      </w:r>
      <w:r w:rsidRPr="00ED7E61">
        <w:rPr>
          <w:rStyle w:val="normaltextrun"/>
          <w:rFonts w:asciiTheme="majorBidi" w:eastAsiaTheme="majorEastAsia" w:hAnsiTheme="majorBidi" w:cstheme="majorBidi"/>
          <w:color w:val="000000"/>
          <w:sz w:val="22"/>
          <w:szCs w:val="22"/>
          <w:lang w:val="en-GB"/>
        </w:rPr>
        <w:t>: 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r w:rsidRPr="00ED7E61">
        <w:rPr>
          <w:rStyle w:val="eop"/>
          <w:rFonts w:asciiTheme="majorBidi" w:eastAsiaTheme="majorEastAsia" w:hAnsiTheme="majorBidi" w:cstheme="majorBidi"/>
          <w:color w:val="000000"/>
          <w:sz w:val="22"/>
          <w:szCs w:val="22"/>
        </w:rPr>
        <w:t> </w:t>
      </w:r>
    </w:p>
    <w:p w14:paraId="48FFECE5" w14:textId="77777777" w:rsidR="00756F0F" w:rsidRPr="00ED7E61" w:rsidRDefault="00756F0F" w:rsidP="00757C3F">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4. Rationale</w:t>
      </w:r>
      <w:r w:rsidRPr="00ED7E61">
        <w:rPr>
          <w:rStyle w:val="eop"/>
          <w:rFonts w:asciiTheme="majorBidi" w:eastAsiaTheme="majorEastAsia" w:hAnsiTheme="majorBidi" w:cstheme="majorBidi"/>
          <w:b/>
          <w:bCs/>
          <w:sz w:val="22"/>
          <w:szCs w:val="22"/>
        </w:rPr>
        <w:t> </w:t>
      </w:r>
    </w:p>
    <w:p w14:paraId="2B221209" w14:textId="2389AA0E" w:rsidR="009724AD" w:rsidRPr="00812871" w:rsidRDefault="00756F0F" w:rsidP="00812871">
      <w:pPr>
        <w:pStyle w:val="CBDNormalNumber"/>
        <w:numPr>
          <w:ilvl w:val="0"/>
          <w:numId w:val="92"/>
        </w:numPr>
        <w:shd w:val="clear" w:color="auto" w:fill="FFFFFF"/>
        <w:tabs>
          <w:tab w:val="clear" w:pos="1701"/>
        </w:tabs>
        <w:ind w:left="567" w:hanging="24"/>
        <w:rPr>
          <w:color w:val="000000"/>
        </w:rPr>
      </w:pPr>
      <w:r w:rsidRPr="00FB1598">
        <w:rPr>
          <w:color w:val="000000"/>
        </w:rPr>
        <w:t>Positive</w:t>
      </w:r>
      <w:r w:rsidRPr="00812871">
        <w:t xml:space="preserve"> incentives for biodiversity conservation and sustainable use (also referred to as economic </w:t>
      </w:r>
      <w:r w:rsidRPr="00812871">
        <w:rPr>
          <w:color w:val="000000"/>
        </w:rPr>
        <w:t>instruments</w:t>
      </w:r>
      <w:r w:rsidRPr="00812871">
        <w:t xml:space="preserve"> or incentive-based mechanisms) are policy instruments that provide signals to consumers and producers to behave in a more sustainable manner. In economic terms, they serve to internalise externalities associated with the use of biodiversity</w:t>
      </w:r>
      <w:r w:rsidR="00D3135C" w:rsidRPr="00812871">
        <w:t>.</w:t>
      </w:r>
      <w:r w:rsidRPr="00812871">
        <w:t xml:space="preserve"> Positive incentives include biodiversity-relevant taxes, fees and charges (e.g. pesticide tax, protected area fees, water abstraction charges), </w:t>
      </w:r>
      <w:r w:rsidR="00454683" w:rsidRPr="00812871">
        <w:t>biodiversity-relevant environmentally beneficial subsidies</w:t>
      </w:r>
      <w:r w:rsidRPr="00812871">
        <w:t xml:space="preserve">, </w:t>
      </w:r>
      <w:r w:rsidR="00146C7D" w:rsidRPr="00812871">
        <w:t xml:space="preserve">payment for ecosystem services, </w:t>
      </w:r>
      <w:r w:rsidRPr="00812871">
        <w:t xml:space="preserve">tradable permit schemes (e.g. fisheries individual transferable quotas), </w:t>
      </w:r>
      <w:r w:rsidR="00A81ABC" w:rsidRPr="00812871">
        <w:t xml:space="preserve">and </w:t>
      </w:r>
      <w:r w:rsidRPr="00812871">
        <w:t>biodiversity offsets.  These positive incentives are key to mainstreaming biodiversity across sectors (e.g. agriculture, forestry, fisheries) and serve to reflect the true value of biodiversity in economic decision-making. They provide continuous incentives to both consumers and producers to behave in a more environmentally sustainable way. Additionally, positive incentives also help to mobilise private sector finance for biodiversity. Several of these positive incentives also generate revenue for governments (e.g. biodiversity-relevant taxes, fees and charges, and tradable permits if auctioned)</w:t>
      </w:r>
      <w:r w:rsidR="00A81ABC" w:rsidRPr="00812871">
        <w:t xml:space="preserve">, </w:t>
      </w:r>
      <w:r w:rsidR="00A81ABC" w:rsidRPr="00812871">
        <w:lastRenderedPageBreak/>
        <w:t>which in some cases</w:t>
      </w:r>
      <w:r w:rsidR="00346E7F" w:rsidRPr="00812871">
        <w:t xml:space="preserve"> is </w:t>
      </w:r>
      <w:r w:rsidRPr="00812871">
        <w:t>earmarked for biodiversity. </w:t>
      </w:r>
      <w:r w:rsidR="009724AD" w:rsidRPr="00812871">
        <w:rPr>
          <w:color w:val="000000"/>
        </w:rPr>
        <w:t>The application of this indicator needs to take into account that the Kunming-Montreal Global Biodiversity Framework is to be understood, acted upon, implemented, reported and evaluated, consistent with the considerations set out in Section C of the Framework which includes, among other things, that the Framework needs to be implemented in accordance with relevant international obligations and that  nothing in the Framework should be interpreted as agreement to modify the rights and obligations of a Party under the Convention or any other international agreement.</w:t>
      </w:r>
    </w:p>
    <w:p w14:paraId="53CA180A" w14:textId="77777777" w:rsidR="00756F0F" w:rsidRPr="0049615A" w:rsidRDefault="00756F0F" w:rsidP="0049615A">
      <w:pPr>
        <w:pStyle w:val="paragraph"/>
        <w:pBdr>
          <w:bottom w:val="single" w:sz="4" w:space="1" w:color="000000"/>
        </w:pBdr>
        <w:spacing w:before="0" w:beforeAutospacing="0" w:after="0" w:afterAutospacing="0"/>
        <w:jc w:val="both"/>
        <w:textAlignment w:val="baseline"/>
        <w:rPr>
          <w:rStyle w:val="normaltextrun"/>
          <w:rFonts w:eastAsia="SimSun"/>
          <w:lang w:val="en-AU"/>
        </w:rPr>
      </w:pPr>
      <w:r w:rsidRPr="0049615A">
        <w:rPr>
          <w:rStyle w:val="normaltextrun"/>
          <w:rFonts w:eastAsia="SimSun"/>
          <w:b/>
          <w:bCs/>
          <w:lang w:val="en-AU"/>
        </w:rPr>
        <w:t>5. Definitions, concepts and classifications</w:t>
      </w:r>
      <w:r w:rsidRPr="0049615A">
        <w:rPr>
          <w:rStyle w:val="normaltextrun"/>
          <w:rFonts w:eastAsia="SimSun"/>
          <w:lang w:val="en-AU"/>
        </w:rPr>
        <w:t> </w:t>
      </w:r>
    </w:p>
    <w:p w14:paraId="59E81D74" w14:textId="47F349C7" w:rsidR="0049615A" w:rsidRPr="003276AA" w:rsidRDefault="0049615A" w:rsidP="0049615A">
      <w:pPr>
        <w:pStyle w:val="CBDNormalNumber"/>
        <w:shd w:val="clear" w:color="auto" w:fill="FFFFFF"/>
        <w:ind w:left="567"/>
        <w:rPr>
          <w:rStyle w:val="normaltextrun"/>
          <w:rFonts w:asciiTheme="majorBidi" w:hAnsiTheme="majorBidi" w:cstheme="majorBidi"/>
          <w:b/>
          <w:bCs/>
        </w:rPr>
      </w:pPr>
      <w:r w:rsidRPr="003276AA">
        <w:rPr>
          <w:rStyle w:val="normaltextrun"/>
          <w:rFonts w:asciiTheme="majorBidi" w:hAnsiTheme="majorBidi" w:cstheme="majorBidi"/>
          <w:b/>
          <w:bCs/>
        </w:rPr>
        <w:t>5.a Definition</w:t>
      </w:r>
    </w:p>
    <w:p w14:paraId="787403A8" w14:textId="53074B7F"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w:t>
      </w:r>
      <w:r w:rsidRPr="00FB1598">
        <w:rPr>
          <w:color w:val="000000"/>
        </w:rPr>
        <w:t>Positive</w:t>
      </w:r>
      <w:r w:rsidRPr="00ED7E61">
        <w:rPr>
          <w:rStyle w:val="normaltextrun"/>
          <w:rFonts w:asciiTheme="majorBidi" w:eastAsiaTheme="majorEastAsia" w:hAnsiTheme="majorBidi" w:cstheme="majorBidi"/>
        </w:rPr>
        <w:t xml:space="preserve"> incentives (also referred to as incentive-based or economic instruments) are the set of fiscal and other economic incentives to incorporate biodiversity-related costs and benefits into production and consumption. They are policy instruments that use price signals to discourage activities harmful to biodiversity (e.g. a tax on pollution) or encourage activities that benefit biodiversity (e.g. payments for ecosystem services). In contrast to more traditional command-and-control approaches (e.g. restrictions on access or use, standards, etc</w:t>
      </w:r>
      <w:r w:rsidR="00194105">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economic instruments can, in theory, meet a given environmental objective at a lower total economic cost. </w:t>
      </w:r>
      <w:r w:rsidRPr="00ED7E61">
        <w:rPr>
          <w:rStyle w:val="eop"/>
          <w:rFonts w:asciiTheme="majorBidi" w:eastAsiaTheme="majorEastAsia" w:hAnsiTheme="majorBidi" w:cstheme="majorBidi"/>
        </w:rPr>
        <w:t> </w:t>
      </w:r>
    </w:p>
    <w:p w14:paraId="2B303358" w14:textId="0511D192" w:rsidR="00D5129D" w:rsidRPr="00ED7E61" w:rsidRDefault="00756F0F" w:rsidP="00B10F0C">
      <w:pPr>
        <w:pStyle w:val="CBDNormalNumber"/>
        <w:numPr>
          <w:ilvl w:val="0"/>
          <w:numId w:val="93"/>
        </w:numPr>
        <w:shd w:val="clear" w:color="auto" w:fill="FFFFFF"/>
        <w:ind w:left="567" w:firstLine="0"/>
        <w:rPr>
          <w:rStyle w:val="normaltextrun"/>
          <w:rFonts w:asciiTheme="majorBidi" w:hAnsiTheme="majorBidi" w:cstheme="majorBidi"/>
        </w:rPr>
      </w:pPr>
      <w:r w:rsidRPr="00FB1598">
        <w:rPr>
          <w:color w:val="000000"/>
        </w:rPr>
        <w:t>Biodiversity</w:t>
      </w:r>
      <w:r w:rsidRPr="00ED7E61">
        <w:rPr>
          <w:rStyle w:val="normaltextrun"/>
          <w:rFonts w:asciiTheme="majorBidi" w:eastAsiaTheme="majorEastAsia" w:hAnsiTheme="majorBidi" w:cstheme="majorBidi"/>
        </w:rPr>
        <w:t xml:space="preserve">-relevant taxes, fees and charges: payment to the government levied on tax bases </w:t>
      </w:r>
      <w:r w:rsidR="00B010E2" w:rsidRPr="008D3633">
        <w:rPr>
          <w:rStyle w:val="normaltextrun"/>
          <w:rFonts w:asciiTheme="majorBidi" w:eastAsiaTheme="majorEastAsia" w:hAnsiTheme="majorBidi" w:cstheme="majorBidi"/>
        </w:rPr>
        <w:t xml:space="preserve">or linked to services associated </w:t>
      </w:r>
      <w:r w:rsidRPr="008D3633">
        <w:rPr>
          <w:rStyle w:val="normaltextrun"/>
          <w:rFonts w:asciiTheme="majorBidi" w:eastAsiaTheme="majorEastAsia" w:hAnsiTheme="majorBidi" w:cstheme="majorBidi"/>
        </w:rPr>
        <w:t xml:space="preserve">with a proven, specific negative impact on biodiversity. They </w:t>
      </w:r>
      <w:r w:rsidR="00BC2311" w:rsidRPr="00FF4F54">
        <w:rPr>
          <w:rStyle w:val="normaltextrun"/>
          <w:rFonts w:asciiTheme="majorBidi" w:eastAsiaTheme="majorEastAsia" w:hAnsiTheme="majorBidi" w:cstheme="majorBidi"/>
        </w:rPr>
        <w:t xml:space="preserve">could </w:t>
      </w:r>
      <w:r w:rsidRPr="008D3633">
        <w:rPr>
          <w:rStyle w:val="normaltextrun"/>
          <w:rFonts w:asciiTheme="majorBidi" w:eastAsiaTheme="majorEastAsia" w:hAnsiTheme="majorBidi" w:cstheme="majorBidi"/>
        </w:rPr>
        <w:t>include</w:t>
      </w:r>
      <w:r w:rsidRPr="00ED7E61">
        <w:rPr>
          <w:rStyle w:val="normaltextrun"/>
          <w:rFonts w:asciiTheme="majorBidi" w:eastAsiaTheme="majorEastAsia" w:hAnsiTheme="majorBidi" w:cstheme="majorBidi"/>
        </w:rPr>
        <w:t xml:space="preserve"> taxes on pollution and natural resource/land use. Non-exhaustive list of examples:  </w:t>
      </w:r>
    </w:p>
    <w:p w14:paraId="2D6A215D" w14:textId="17A1783A" w:rsidR="00D5129D" w:rsidRPr="00FB1598" w:rsidRDefault="00E343EC" w:rsidP="00B10F0C">
      <w:pPr>
        <w:pStyle w:val="CBDNormalNumber"/>
        <w:numPr>
          <w:ilvl w:val="0"/>
          <w:numId w:val="21"/>
        </w:numPr>
        <w:tabs>
          <w:tab w:val="clear" w:pos="567"/>
          <w:tab w:val="clear" w:pos="1134"/>
          <w:tab w:val="clear" w:pos="1701"/>
          <w:tab w:val="clear" w:pos="2268"/>
          <w:tab w:val="left" w:pos="1985"/>
        </w:tabs>
        <w:ind w:left="1276" w:firstLine="0"/>
        <w:rPr>
          <w:rStyle w:val="normaltextrun"/>
          <w:rFonts w:asciiTheme="majorBidi" w:eastAsiaTheme="majorEastAsia" w:hAnsiTheme="majorBidi" w:cstheme="majorBidi"/>
        </w:rPr>
      </w:pPr>
      <w:r w:rsidRPr="006C210D">
        <w:rPr>
          <w:rStyle w:val="normaltextrun"/>
          <w:rFonts w:eastAsiaTheme="majorEastAsia"/>
        </w:rPr>
        <w:t>Synthetic f</w:t>
      </w:r>
      <w:r w:rsidR="00756F0F" w:rsidRPr="006C210D">
        <w:rPr>
          <w:rStyle w:val="normaltextrun"/>
          <w:rFonts w:asciiTheme="majorBidi" w:eastAsiaTheme="majorEastAsia" w:hAnsiTheme="majorBidi" w:cstheme="majorBidi"/>
        </w:rPr>
        <w:t>ertilisers and</w:t>
      </w:r>
      <w:r w:rsidR="00756F0F" w:rsidRPr="00ED7E61">
        <w:rPr>
          <w:rStyle w:val="normaltextrun"/>
          <w:rFonts w:asciiTheme="majorBidi" w:eastAsiaTheme="majorEastAsia" w:hAnsiTheme="majorBidi" w:cstheme="majorBidi"/>
        </w:rPr>
        <w:t xml:space="preserve"> pesticides taxes </w:t>
      </w:r>
    </w:p>
    <w:p w14:paraId="3293A552" w14:textId="6EF8B029" w:rsidR="00D5129D" w:rsidRPr="00FB1598" w:rsidRDefault="00756F0F" w:rsidP="00B10F0C">
      <w:pPr>
        <w:pStyle w:val="CBDNormalNumber"/>
        <w:numPr>
          <w:ilvl w:val="0"/>
          <w:numId w:val="21"/>
        </w:numPr>
        <w:tabs>
          <w:tab w:val="clear" w:pos="567"/>
          <w:tab w:val="clear" w:pos="1134"/>
          <w:tab w:val="clear" w:pos="1701"/>
          <w:tab w:val="clear" w:pos="2268"/>
          <w:tab w:val="left" w:pos="1985"/>
        </w:tabs>
        <w:ind w:left="1276"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 xml:space="preserve">Water pollution taxes and water abstraction charges </w:t>
      </w:r>
    </w:p>
    <w:p w14:paraId="29CB435A" w14:textId="161DAB6C" w:rsidR="00DC0258" w:rsidRPr="00ED7E61" w:rsidRDefault="00756F0F" w:rsidP="00B10F0C">
      <w:pPr>
        <w:pStyle w:val="CBDNormalNumber"/>
        <w:numPr>
          <w:ilvl w:val="0"/>
          <w:numId w:val="21"/>
        </w:numPr>
        <w:tabs>
          <w:tab w:val="clear" w:pos="567"/>
          <w:tab w:val="clear" w:pos="1134"/>
          <w:tab w:val="clear" w:pos="1701"/>
          <w:tab w:val="clear" w:pos="2268"/>
          <w:tab w:val="left" w:pos="1985"/>
        </w:tabs>
        <w:ind w:left="1276" w:firstLine="0"/>
        <w:rPr>
          <w:rStyle w:val="normaltextrun"/>
          <w:rFonts w:asciiTheme="majorBidi" w:hAnsiTheme="majorBidi" w:cstheme="majorBidi"/>
        </w:rPr>
      </w:pPr>
      <w:r w:rsidRPr="00ED7E61">
        <w:rPr>
          <w:rStyle w:val="normaltextrun"/>
          <w:rFonts w:asciiTheme="majorBidi" w:eastAsiaTheme="majorEastAsia" w:hAnsiTheme="majorBidi" w:cstheme="majorBidi"/>
        </w:rPr>
        <w:t xml:space="preserve">Fishing and hunting licence fees </w:t>
      </w:r>
    </w:p>
    <w:p w14:paraId="5216BE05" w14:textId="0B46034A" w:rsidR="00DC0258" w:rsidRPr="00ED7E61" w:rsidRDefault="00756F0F" w:rsidP="00B10F0C">
      <w:pPr>
        <w:pStyle w:val="CBDNormalNumber"/>
        <w:numPr>
          <w:ilvl w:val="0"/>
          <w:numId w:val="21"/>
        </w:numPr>
        <w:tabs>
          <w:tab w:val="clear" w:pos="567"/>
          <w:tab w:val="clear" w:pos="1134"/>
          <w:tab w:val="clear" w:pos="1701"/>
          <w:tab w:val="clear" w:pos="2268"/>
          <w:tab w:val="left" w:pos="1985"/>
        </w:tabs>
        <w:ind w:left="1276" w:firstLine="0"/>
        <w:rPr>
          <w:rStyle w:val="normaltextrun"/>
          <w:rFonts w:asciiTheme="majorBidi" w:hAnsiTheme="majorBidi" w:cstheme="majorBidi"/>
        </w:rPr>
      </w:pPr>
      <w:r w:rsidRPr="00ED7E61">
        <w:rPr>
          <w:rStyle w:val="normaltextrun"/>
          <w:rFonts w:asciiTheme="majorBidi" w:eastAsiaTheme="majorEastAsia" w:hAnsiTheme="majorBidi" w:cstheme="majorBidi"/>
        </w:rPr>
        <w:t xml:space="preserve">Protected area entrance fees </w:t>
      </w:r>
    </w:p>
    <w:p w14:paraId="15BD4164" w14:textId="290CAEFC" w:rsidR="00756F0F" w:rsidRPr="00ED7E61" w:rsidRDefault="00756F0F" w:rsidP="00B10F0C">
      <w:pPr>
        <w:pStyle w:val="CBDNormalNumber"/>
        <w:numPr>
          <w:ilvl w:val="0"/>
          <w:numId w:val="21"/>
        </w:numPr>
        <w:tabs>
          <w:tab w:val="clear" w:pos="567"/>
          <w:tab w:val="clear" w:pos="1134"/>
          <w:tab w:val="clear" w:pos="1701"/>
          <w:tab w:val="clear" w:pos="2268"/>
          <w:tab w:val="left" w:pos="1985"/>
        </w:tabs>
        <w:ind w:left="1134" w:firstLine="142"/>
        <w:rPr>
          <w:rFonts w:asciiTheme="majorBidi" w:hAnsiTheme="majorBidi" w:cstheme="majorBidi"/>
        </w:rPr>
      </w:pPr>
      <w:r w:rsidRPr="00ED7E61">
        <w:rPr>
          <w:rStyle w:val="normaltextrun"/>
          <w:rFonts w:asciiTheme="majorBidi" w:eastAsiaTheme="majorEastAsia" w:hAnsiTheme="majorBidi" w:cstheme="majorBidi"/>
        </w:rPr>
        <w:t>Taxes and fees/charges for timber harvest.</w:t>
      </w:r>
      <w:r w:rsidRPr="00ED7E61">
        <w:rPr>
          <w:rStyle w:val="eop"/>
          <w:rFonts w:asciiTheme="majorBidi" w:eastAsiaTheme="majorEastAsia" w:hAnsiTheme="majorBidi" w:cstheme="majorBidi"/>
        </w:rPr>
        <w:t> </w:t>
      </w:r>
    </w:p>
    <w:p w14:paraId="36094EE3" w14:textId="5F921D70" w:rsidR="00CA6E9E" w:rsidRPr="00ED7E61" w:rsidRDefault="00454683" w:rsidP="00B10F0C">
      <w:pPr>
        <w:pStyle w:val="CBDNormalNumber"/>
        <w:numPr>
          <w:ilvl w:val="0"/>
          <w:numId w:val="93"/>
        </w:numPr>
        <w:shd w:val="clear" w:color="auto" w:fill="FFFFFF"/>
        <w:ind w:left="567" w:firstLine="0"/>
      </w:pPr>
      <w:r w:rsidRPr="00FB1598">
        <w:rPr>
          <w:color w:val="000000"/>
        </w:rPr>
        <w:t>Biodiversity</w:t>
      </w:r>
      <w:r w:rsidRPr="00ED7E61">
        <w:t>-relevant environmentally beneficial subsidies</w:t>
      </w:r>
      <w:r w:rsidR="00756F0F" w:rsidRPr="00ED7E61">
        <w:t xml:space="preserve">: </w:t>
      </w:r>
      <w:r w:rsidR="009724AD">
        <w:t>S</w:t>
      </w:r>
      <w:r w:rsidR="00756F0F" w:rsidRPr="00ED7E61">
        <w:t>ubsid</w:t>
      </w:r>
      <w:r w:rsidR="009724AD">
        <w:t>ies</w:t>
      </w:r>
      <w:r w:rsidR="00756F0F" w:rsidRPr="00ED7E61">
        <w:t xml:space="preserve"> that reduce directly or indirectly the use of something that has a proven, specific negative impact on biodiversity</w:t>
      </w:r>
      <w:r w:rsidR="009724AD">
        <w:t>, including</w:t>
      </w:r>
      <w:r w:rsidR="00756F0F" w:rsidRPr="00ED7E61">
        <w:t xml:space="preserve"> direct payments from government and preferential tax treatments (e.g. VAT exemptions).  Non-exhaustive list of </w:t>
      </w:r>
      <w:r w:rsidR="00756F0F" w:rsidRPr="008D3633">
        <w:t>examples</w:t>
      </w:r>
      <w:r w:rsidR="00275FC2" w:rsidRPr="008D3633">
        <w:t xml:space="preserve"> </w:t>
      </w:r>
      <w:r w:rsidR="00275FC2" w:rsidRPr="00FF4F54">
        <w:t>could include</w:t>
      </w:r>
      <w:r w:rsidR="00756F0F" w:rsidRPr="008D3633">
        <w:t>:</w:t>
      </w:r>
      <w:r w:rsidR="00756F0F" w:rsidRPr="00ED7E61">
        <w:t xml:space="preserve"> </w:t>
      </w:r>
    </w:p>
    <w:p w14:paraId="416D95C2" w14:textId="66F2A8C2" w:rsidR="00CA6E9E" w:rsidRPr="00ED7E61" w:rsidRDefault="00756F0F" w:rsidP="00B10F0C">
      <w:pPr>
        <w:pStyle w:val="CBDNormalNumber"/>
        <w:numPr>
          <w:ilvl w:val="0"/>
          <w:numId w:val="22"/>
        </w:numPr>
        <w:tabs>
          <w:tab w:val="clear" w:pos="567"/>
          <w:tab w:val="clear" w:pos="1134"/>
          <w:tab w:val="clear" w:pos="1701"/>
          <w:tab w:val="clear" w:pos="2268"/>
          <w:tab w:val="left" w:pos="1985"/>
        </w:tabs>
        <w:ind w:left="1276" w:firstLine="0"/>
        <w:rPr>
          <w:rStyle w:val="normaltextrun"/>
          <w:rFonts w:eastAsiaTheme="majorEastAsia"/>
        </w:rPr>
      </w:pPr>
      <w:r w:rsidRPr="00ED7E61">
        <w:rPr>
          <w:rStyle w:val="normaltextrun"/>
          <w:rFonts w:eastAsiaTheme="majorEastAsia"/>
        </w:rPr>
        <w:t>Payments from government to private land-users/owners to restore land</w:t>
      </w:r>
    </w:p>
    <w:p w14:paraId="1960BEC3" w14:textId="06410EB2" w:rsidR="00CA6E9E" w:rsidRPr="00ED7E61" w:rsidRDefault="00756F0F" w:rsidP="00B10F0C">
      <w:pPr>
        <w:pStyle w:val="CBDNormalNumber"/>
        <w:numPr>
          <w:ilvl w:val="0"/>
          <w:numId w:val="22"/>
        </w:numPr>
        <w:tabs>
          <w:tab w:val="clear" w:pos="567"/>
          <w:tab w:val="clear" w:pos="1134"/>
          <w:tab w:val="clear" w:pos="1701"/>
          <w:tab w:val="clear" w:pos="2268"/>
          <w:tab w:val="left" w:pos="1985"/>
        </w:tabs>
        <w:ind w:left="1276" w:firstLine="0"/>
        <w:rPr>
          <w:rStyle w:val="normaltextrun"/>
          <w:rFonts w:eastAsiaTheme="majorEastAsia"/>
        </w:rPr>
      </w:pPr>
      <w:r w:rsidRPr="00ED7E61">
        <w:rPr>
          <w:rStyle w:val="normaltextrun"/>
          <w:rFonts w:eastAsiaTheme="majorEastAsia"/>
        </w:rPr>
        <w:t>Preferential land tax for forests under protection or restoration</w:t>
      </w:r>
    </w:p>
    <w:p w14:paraId="05D05ADB" w14:textId="77777777" w:rsidR="0006533B" w:rsidRDefault="00756F0F" w:rsidP="0006533B">
      <w:pPr>
        <w:pStyle w:val="CBDNormalNumber"/>
        <w:numPr>
          <w:ilvl w:val="0"/>
          <w:numId w:val="22"/>
        </w:numPr>
        <w:tabs>
          <w:tab w:val="clear" w:pos="567"/>
          <w:tab w:val="clear" w:pos="1134"/>
          <w:tab w:val="clear" w:pos="1701"/>
          <w:tab w:val="clear" w:pos="2268"/>
          <w:tab w:val="left" w:pos="1985"/>
        </w:tabs>
        <w:ind w:left="1276" w:firstLine="0"/>
        <w:rPr>
          <w:rStyle w:val="normaltextrun"/>
          <w:rFonts w:eastAsiaTheme="majorEastAsia"/>
        </w:rPr>
      </w:pPr>
      <w:r w:rsidRPr="00ED7E61">
        <w:rPr>
          <w:rStyle w:val="normaltextrun"/>
          <w:rFonts w:eastAsiaTheme="majorEastAsia"/>
        </w:rPr>
        <w:t>Agri-</w:t>
      </w:r>
      <w:proofErr w:type="gramStart"/>
      <w:r w:rsidRPr="00ED7E61">
        <w:rPr>
          <w:rStyle w:val="normaltextrun"/>
          <w:rFonts w:eastAsiaTheme="majorEastAsia"/>
        </w:rPr>
        <w:t>environmental  payments</w:t>
      </w:r>
      <w:proofErr w:type="gramEnd"/>
      <w:r w:rsidRPr="00ED7E61">
        <w:rPr>
          <w:rStyle w:val="normaltextrun"/>
          <w:rFonts w:eastAsiaTheme="majorEastAsia"/>
        </w:rPr>
        <w:t xml:space="preserve"> promoting habitat protection and restoration.</w:t>
      </w:r>
      <w:r w:rsidRPr="00FB1598">
        <w:rPr>
          <w:rStyle w:val="normaltextrun"/>
          <w:rFonts w:eastAsiaTheme="majorEastAsia"/>
        </w:rPr>
        <w:t> </w:t>
      </w:r>
    </w:p>
    <w:p w14:paraId="63E0E2F7" w14:textId="37E275DC" w:rsidR="0006533B" w:rsidRPr="00812871" w:rsidRDefault="0006533B" w:rsidP="00812871">
      <w:pPr>
        <w:pStyle w:val="CBDNormalNumber"/>
        <w:numPr>
          <w:ilvl w:val="0"/>
          <w:numId w:val="93"/>
        </w:numPr>
        <w:shd w:val="clear" w:color="auto" w:fill="FFFFFF"/>
        <w:ind w:left="567" w:firstLine="0"/>
        <w:rPr>
          <w:color w:val="000000"/>
        </w:rPr>
      </w:pPr>
      <w:r w:rsidRPr="00812871">
        <w:rPr>
          <w:color w:val="000000"/>
        </w:rPr>
        <w:t>Payments for ecosystem services: A payment for ecosystem services (PES) is a voluntary transaction between ecosystem service users and service providers that are conditional on agreed rules of natural resource management for generating offsite services (Wunder, 2015). Ecosystem service providers and users may be individuals, companies or aggregations of actors. In some cases, a government may act on behalf of users. </w:t>
      </w:r>
    </w:p>
    <w:p w14:paraId="75A77EC1" w14:textId="77777777" w:rsidR="00CA6E9E" w:rsidRPr="00ED7E61" w:rsidRDefault="00756F0F" w:rsidP="00B10F0C">
      <w:pPr>
        <w:pStyle w:val="CBDNormalNumber"/>
        <w:numPr>
          <w:ilvl w:val="0"/>
          <w:numId w:val="93"/>
        </w:numPr>
        <w:shd w:val="clear" w:color="auto" w:fill="FFFFFF"/>
        <w:ind w:left="567" w:firstLine="0"/>
        <w:rPr>
          <w:rStyle w:val="normaltextrun"/>
          <w:rFonts w:eastAsiaTheme="majorEastAsia"/>
        </w:rPr>
      </w:pPr>
      <w:r w:rsidRPr="00FB1598">
        <w:rPr>
          <w:color w:val="000000"/>
        </w:rPr>
        <w:t>Biodiversity</w:t>
      </w:r>
      <w:r w:rsidRPr="00ED7E61">
        <w:rPr>
          <w:rStyle w:val="normaltextrun"/>
          <w:rFonts w:asciiTheme="majorBidi" w:eastAsiaTheme="majorEastAsia" w:hAnsiTheme="majorBidi" w:cstheme="majorBidi"/>
        </w:rPr>
        <w:t xml:space="preserve">-relevant tradable permit schemes: market-based instruments that provide allowance or permission to engage in an activity under an aggregate cap. These permits can be traded. Non-exhaustive list of examples: </w:t>
      </w:r>
    </w:p>
    <w:p w14:paraId="1CC9E1FA" w14:textId="3174C6FC" w:rsidR="00077FE2" w:rsidRPr="00ED7E61" w:rsidRDefault="00756F0F" w:rsidP="00B10F0C">
      <w:pPr>
        <w:pStyle w:val="CBDNormalNumber"/>
        <w:numPr>
          <w:ilvl w:val="0"/>
          <w:numId w:val="23"/>
        </w:numPr>
        <w:tabs>
          <w:tab w:val="clear" w:pos="567"/>
          <w:tab w:val="clear" w:pos="1134"/>
          <w:tab w:val="clear" w:pos="1701"/>
          <w:tab w:val="clear" w:pos="2268"/>
          <w:tab w:val="left" w:pos="1985"/>
        </w:tabs>
        <w:ind w:left="-1418" w:firstLine="2694"/>
        <w:rPr>
          <w:rStyle w:val="normaltextrun"/>
          <w:rFonts w:eastAsiaTheme="majorEastAsia"/>
        </w:rPr>
      </w:pPr>
      <w:bookmarkStart w:id="72" w:name="_Hlk178003789"/>
      <w:r w:rsidRPr="00ED7E61">
        <w:rPr>
          <w:rStyle w:val="normaltextrun"/>
          <w:rFonts w:eastAsiaTheme="majorEastAsia"/>
        </w:rPr>
        <w:t>Individual</w:t>
      </w:r>
      <w:r w:rsidRPr="00ED7E61">
        <w:rPr>
          <w:rStyle w:val="normaltextrun"/>
          <w:rFonts w:asciiTheme="majorBidi" w:eastAsiaTheme="majorEastAsia" w:hAnsiTheme="majorBidi" w:cstheme="majorBidi"/>
        </w:rPr>
        <w:t xml:space="preserve"> </w:t>
      </w:r>
      <w:r w:rsidRPr="00FB1598">
        <w:rPr>
          <w:rStyle w:val="normaltextrun"/>
          <w:rFonts w:eastAsiaTheme="majorEastAsia"/>
        </w:rPr>
        <w:t xml:space="preserve">transferable quotas (ITQs) for fisheries </w:t>
      </w:r>
    </w:p>
    <w:p w14:paraId="4E0199ED" w14:textId="6802908E" w:rsidR="00077FE2" w:rsidRPr="00ED7E61" w:rsidRDefault="00756F0F" w:rsidP="00B10F0C">
      <w:pPr>
        <w:pStyle w:val="CBDNormalNumber"/>
        <w:numPr>
          <w:ilvl w:val="0"/>
          <w:numId w:val="23"/>
        </w:numPr>
        <w:tabs>
          <w:tab w:val="clear" w:pos="567"/>
          <w:tab w:val="clear" w:pos="1134"/>
          <w:tab w:val="clear" w:pos="1701"/>
          <w:tab w:val="clear" w:pos="2268"/>
          <w:tab w:val="left" w:pos="1985"/>
        </w:tabs>
        <w:ind w:left="1276" w:firstLine="0"/>
        <w:rPr>
          <w:rStyle w:val="normaltextrun"/>
          <w:rFonts w:eastAsiaTheme="majorEastAsia"/>
        </w:rPr>
      </w:pPr>
      <w:r w:rsidRPr="00FB1598">
        <w:rPr>
          <w:rStyle w:val="normaltextrun"/>
          <w:rFonts w:eastAsiaTheme="majorEastAsia"/>
        </w:rPr>
        <w:t>Tradable water rights </w:t>
      </w:r>
    </w:p>
    <w:p w14:paraId="0C678E38" w14:textId="45707DB7" w:rsidR="00077FE2" w:rsidRPr="00ED7E61" w:rsidRDefault="00756F0F" w:rsidP="00B10F0C">
      <w:pPr>
        <w:pStyle w:val="CBDNormalNumber"/>
        <w:numPr>
          <w:ilvl w:val="0"/>
          <w:numId w:val="23"/>
        </w:numPr>
        <w:tabs>
          <w:tab w:val="clear" w:pos="567"/>
          <w:tab w:val="clear" w:pos="1134"/>
          <w:tab w:val="clear" w:pos="1701"/>
          <w:tab w:val="clear" w:pos="2268"/>
          <w:tab w:val="left" w:pos="1985"/>
        </w:tabs>
        <w:ind w:left="1276" w:firstLine="0"/>
        <w:rPr>
          <w:rStyle w:val="normaltextrun"/>
          <w:rFonts w:eastAsiaTheme="majorEastAsia"/>
        </w:rPr>
      </w:pPr>
      <w:r w:rsidRPr="00FB1598">
        <w:rPr>
          <w:rStyle w:val="normaltextrun"/>
          <w:rFonts w:eastAsiaTheme="majorEastAsia"/>
        </w:rPr>
        <w:t xml:space="preserve">Salinity trading schemes  </w:t>
      </w:r>
    </w:p>
    <w:p w14:paraId="59229402" w14:textId="07939F10" w:rsidR="00756F0F" w:rsidRPr="00736B66" w:rsidRDefault="00756F0F" w:rsidP="00B10F0C">
      <w:pPr>
        <w:pStyle w:val="CBDNormalNumber"/>
        <w:numPr>
          <w:ilvl w:val="0"/>
          <w:numId w:val="23"/>
        </w:numPr>
        <w:tabs>
          <w:tab w:val="clear" w:pos="567"/>
          <w:tab w:val="clear" w:pos="1134"/>
          <w:tab w:val="clear" w:pos="1701"/>
          <w:tab w:val="clear" w:pos="2268"/>
          <w:tab w:val="left" w:pos="1985"/>
        </w:tabs>
        <w:ind w:left="1276" w:firstLine="0"/>
        <w:rPr>
          <w:rStyle w:val="normaltextrun"/>
          <w:rFonts w:eastAsiaTheme="majorEastAsia"/>
        </w:rPr>
      </w:pPr>
      <w:r w:rsidRPr="00736B66">
        <w:rPr>
          <w:rStyle w:val="normaltextrun"/>
          <w:rFonts w:eastAsiaTheme="majorEastAsia"/>
        </w:rPr>
        <w:t>Tradable development rights. </w:t>
      </w:r>
    </w:p>
    <w:p w14:paraId="0C70261A" w14:textId="011BED99" w:rsidR="00CA6E9E" w:rsidRPr="00736B66" w:rsidRDefault="00756F0F" w:rsidP="00896876">
      <w:pPr>
        <w:pStyle w:val="CBDNormalNumber"/>
        <w:numPr>
          <w:ilvl w:val="0"/>
          <w:numId w:val="93"/>
        </w:numPr>
        <w:shd w:val="clear" w:color="auto" w:fill="FFFFFF"/>
        <w:ind w:left="567" w:firstLine="0"/>
        <w:rPr>
          <w:rStyle w:val="normaltextrun"/>
          <w:rFonts w:eastAsiaTheme="majorEastAsia"/>
        </w:rPr>
      </w:pPr>
      <w:r w:rsidRPr="00736B66">
        <w:rPr>
          <w:color w:val="000000"/>
        </w:rPr>
        <w:lastRenderedPageBreak/>
        <w:t>Biodiversity</w:t>
      </w:r>
      <w:r w:rsidRPr="00736B66">
        <w:rPr>
          <w:rStyle w:val="normaltextrun"/>
          <w:rFonts w:asciiTheme="majorBidi" w:eastAsiaTheme="majorEastAsia" w:hAnsiTheme="majorBidi" w:cstheme="majorBidi"/>
        </w:rPr>
        <w:t xml:space="preserve"> offsets: Biodiversity offsets are “</w:t>
      </w:r>
      <w:r w:rsidRPr="00736B66">
        <w:rPr>
          <w:rStyle w:val="normaltextrun"/>
          <w:rFonts w:asciiTheme="majorBidi" w:eastAsiaTheme="majorEastAsia" w:hAnsiTheme="majorBidi" w:cstheme="majorBidi"/>
          <w:i/>
          <w:iCs/>
        </w:rPr>
        <w:t>measurable conservation outcomes resulting from actions designed to compensate for significant residual adverse biodiversity impacts arising from project development after appropriate prevention and mitigation measures have been taken</w:t>
      </w:r>
      <w:r w:rsidRPr="00736B66">
        <w:rPr>
          <w:rStyle w:val="normaltextrun"/>
          <w:rFonts w:asciiTheme="majorBidi" w:eastAsiaTheme="majorEastAsia" w:hAnsiTheme="majorBidi" w:cstheme="majorBidi"/>
        </w:rPr>
        <w:t>.” (BBOP 2018). They are usually established with an overall objective of a No Net Loss (NNL) or Net Gain (NG)</w:t>
      </w:r>
      <w:r w:rsidR="00896876" w:rsidRPr="00812871">
        <w:rPr>
          <w:rStyle w:val="normaltextrun"/>
          <w:rFonts w:asciiTheme="majorBidi" w:eastAsiaTheme="majorEastAsia" w:hAnsiTheme="majorBidi" w:cstheme="majorBidi"/>
        </w:rPr>
        <w:t xml:space="preserve"> </w:t>
      </w:r>
      <w:r w:rsidR="00896876" w:rsidRPr="00812871">
        <w:rPr>
          <w:rFonts w:asciiTheme="majorBidi" w:eastAsiaTheme="majorEastAsia" w:hAnsiTheme="majorBidi" w:cstheme="majorBidi"/>
          <w:lang w:val="en-CA"/>
        </w:rPr>
        <w:t>and are embedded in the mitigation hierarchy</w:t>
      </w:r>
      <w:r w:rsidRPr="00736B66">
        <w:rPr>
          <w:rStyle w:val="normaltextrun"/>
          <w:rFonts w:asciiTheme="majorBidi" w:eastAsiaTheme="majorEastAsia" w:hAnsiTheme="majorBidi" w:cstheme="majorBidi"/>
        </w:rPr>
        <w:t xml:space="preserve">.  Biodiversity offsets can be classified into three main types: </w:t>
      </w:r>
    </w:p>
    <w:bookmarkEnd w:id="72"/>
    <w:p w14:paraId="4D84EB87" w14:textId="55712A6F" w:rsidR="00077FE2" w:rsidRPr="00736B66" w:rsidRDefault="00756F0F" w:rsidP="00B10F0C">
      <w:pPr>
        <w:pStyle w:val="CBDNormalNumber"/>
        <w:numPr>
          <w:ilvl w:val="0"/>
          <w:numId w:val="24"/>
        </w:numPr>
        <w:tabs>
          <w:tab w:val="clear" w:pos="567"/>
          <w:tab w:val="clear" w:pos="1134"/>
          <w:tab w:val="clear" w:pos="1701"/>
          <w:tab w:val="clear" w:pos="2268"/>
          <w:tab w:val="left" w:pos="1985"/>
        </w:tabs>
        <w:ind w:firstLine="3292"/>
        <w:rPr>
          <w:rStyle w:val="normaltextrun"/>
          <w:rFonts w:eastAsiaTheme="majorEastAsia"/>
        </w:rPr>
      </w:pPr>
      <w:r w:rsidRPr="00736B66">
        <w:rPr>
          <w:rStyle w:val="normaltextrun"/>
          <w:rFonts w:eastAsiaTheme="majorEastAsia"/>
        </w:rPr>
        <w:t xml:space="preserve">One-off biodiversity offsets; </w:t>
      </w:r>
    </w:p>
    <w:p w14:paraId="2E970565" w14:textId="7175BF0F" w:rsidR="00077FE2" w:rsidRPr="00736B66" w:rsidRDefault="00756F0F" w:rsidP="00B10F0C">
      <w:pPr>
        <w:pStyle w:val="CBDNormalNumber"/>
        <w:numPr>
          <w:ilvl w:val="0"/>
          <w:numId w:val="24"/>
        </w:numPr>
        <w:tabs>
          <w:tab w:val="clear" w:pos="567"/>
          <w:tab w:val="clear" w:pos="1134"/>
          <w:tab w:val="clear" w:pos="1701"/>
          <w:tab w:val="clear" w:pos="2268"/>
          <w:tab w:val="left" w:pos="1985"/>
        </w:tabs>
        <w:ind w:left="-1418" w:firstLine="2694"/>
        <w:rPr>
          <w:rStyle w:val="normaltextrun"/>
          <w:rFonts w:eastAsiaTheme="majorEastAsia"/>
        </w:rPr>
      </w:pPr>
      <w:r w:rsidRPr="00736B66">
        <w:rPr>
          <w:rStyle w:val="normaltextrun"/>
          <w:rFonts w:eastAsiaTheme="majorEastAsia"/>
        </w:rPr>
        <w:t xml:space="preserve">Payments in-lieu; and </w:t>
      </w:r>
    </w:p>
    <w:p w14:paraId="1E94F2F6" w14:textId="288E06AA" w:rsidR="00756F0F" w:rsidRPr="00736B66" w:rsidRDefault="00641644" w:rsidP="00B10F0C">
      <w:pPr>
        <w:pStyle w:val="CBDNormalNumber"/>
        <w:numPr>
          <w:ilvl w:val="0"/>
          <w:numId w:val="24"/>
        </w:numPr>
        <w:tabs>
          <w:tab w:val="clear" w:pos="567"/>
          <w:tab w:val="clear" w:pos="1134"/>
          <w:tab w:val="clear" w:pos="1701"/>
          <w:tab w:val="clear" w:pos="2268"/>
          <w:tab w:val="left" w:pos="1985"/>
        </w:tabs>
        <w:ind w:left="-1418" w:firstLine="2694"/>
        <w:rPr>
          <w:rStyle w:val="normaltextrun"/>
          <w:rFonts w:eastAsiaTheme="majorEastAsia"/>
        </w:rPr>
      </w:pPr>
      <w:r w:rsidRPr="00812871">
        <w:rPr>
          <w:rStyle w:val="normaltextrun"/>
          <w:rFonts w:eastAsiaTheme="majorEastAsia"/>
        </w:rPr>
        <w:t>Mitigation banking</w:t>
      </w:r>
      <w:r w:rsidRPr="00736B66">
        <w:rPr>
          <w:rStyle w:val="normaltextrun"/>
          <w:rFonts w:eastAsiaTheme="majorEastAsia"/>
        </w:rPr>
        <w:t xml:space="preserve"> </w:t>
      </w:r>
      <w:r w:rsidR="00756F0F" w:rsidRPr="00736B66">
        <w:rPr>
          <w:rStyle w:val="normaltextrun"/>
          <w:rFonts w:eastAsiaTheme="majorEastAsia"/>
        </w:rPr>
        <w:t>schemes. </w:t>
      </w:r>
    </w:p>
    <w:p w14:paraId="3B4DA401" w14:textId="2E484585" w:rsidR="00FF4F54" w:rsidRPr="00812871" w:rsidRDefault="00FF4F54" w:rsidP="00FF4F54">
      <w:pPr>
        <w:pStyle w:val="CBDNormalNumber"/>
        <w:numPr>
          <w:ilvl w:val="0"/>
          <w:numId w:val="93"/>
        </w:numPr>
        <w:shd w:val="clear" w:color="auto" w:fill="FFFFFF"/>
        <w:rPr>
          <w:rStyle w:val="normaltextrun"/>
          <w:rFonts w:eastAsiaTheme="majorEastAsia"/>
          <w:i/>
          <w:iCs/>
        </w:rPr>
      </w:pPr>
      <w:r>
        <w:rPr>
          <w:color w:val="000000"/>
        </w:rPr>
        <w:t>Biodiversity credits</w:t>
      </w:r>
      <w:r w:rsidR="00C73FF9">
        <w:rPr>
          <w:color w:val="000000"/>
        </w:rPr>
        <w:t xml:space="preserve">: </w:t>
      </w:r>
      <w:r w:rsidR="00C73FF9">
        <w:rPr>
          <w:sz w:val="20"/>
          <w:szCs w:val="20"/>
        </w:rPr>
        <w:t xml:space="preserve">Biodiversity credits have </w:t>
      </w:r>
      <w:r w:rsidR="00C73FF9" w:rsidRPr="00812871">
        <w:rPr>
          <w:i/>
          <w:iCs/>
          <w:sz w:val="20"/>
          <w:szCs w:val="20"/>
        </w:rPr>
        <w:t xml:space="preserve">been referred to as voluntary, </w:t>
      </w:r>
      <w:r w:rsidR="00C73FF9" w:rsidRPr="00812871">
        <w:rPr>
          <w:rStyle w:val="Emphasis"/>
          <w:i w:val="0"/>
          <w:sz w:val="20"/>
          <w:szCs w:val="20"/>
        </w:rPr>
        <w:t>measurable</w:t>
      </w:r>
      <w:r w:rsidR="00C73FF9" w:rsidRPr="00812871">
        <w:rPr>
          <w:i/>
          <w:iCs/>
          <w:sz w:val="20"/>
          <w:szCs w:val="20"/>
        </w:rPr>
        <w:t xml:space="preserve"> units/certificates representing a </w:t>
      </w:r>
      <w:r w:rsidR="00C73FF9" w:rsidRPr="00812871">
        <w:rPr>
          <w:rStyle w:val="Emphasis"/>
          <w:i w:val="0"/>
          <w:sz w:val="20"/>
          <w:szCs w:val="20"/>
        </w:rPr>
        <w:t xml:space="preserve">positive biodiversity outcome. They are treated here as separate from </w:t>
      </w:r>
      <w:r w:rsidR="00C73FF9" w:rsidRPr="00812871">
        <w:rPr>
          <w:i/>
          <w:iCs/>
          <w:sz w:val="20"/>
          <w:szCs w:val="20"/>
        </w:rPr>
        <w:t>units generated under biodiversity offsets programmes with NNL or NG objectives which are embedded in the mitigation hierarchy</w:t>
      </w:r>
    </w:p>
    <w:p w14:paraId="5FEB1979" w14:textId="02EFBB85" w:rsidR="00756F0F" w:rsidRPr="00ED7E61" w:rsidRDefault="00756F0F" w:rsidP="00B10F0C">
      <w:pPr>
        <w:pStyle w:val="CBDNormalNumber"/>
        <w:numPr>
          <w:ilvl w:val="0"/>
          <w:numId w:val="93"/>
        </w:numPr>
        <w:shd w:val="clear" w:color="auto" w:fill="FFFFFF"/>
        <w:ind w:left="567" w:firstLine="0"/>
        <w:rPr>
          <w:rStyle w:val="normaltextrun"/>
          <w:rFonts w:eastAsiaTheme="majorEastAsia"/>
        </w:rPr>
      </w:pPr>
      <w:r w:rsidRPr="00FB1598">
        <w:rPr>
          <w:color w:val="000000"/>
        </w:rPr>
        <w:t>Unit</w:t>
      </w:r>
      <w:r w:rsidRPr="00ED7E61">
        <w:rPr>
          <w:rStyle w:val="normaltextrun"/>
          <w:rFonts w:asciiTheme="majorBidi" w:eastAsiaTheme="majorEastAsia" w:hAnsiTheme="majorBidi" w:cstheme="majorBidi"/>
        </w:rPr>
        <w:t xml:space="preserve"> of measurement: Number of positive incentives (by type).</w:t>
      </w:r>
      <w:r w:rsidRPr="00ED7E61">
        <w:rPr>
          <w:rStyle w:val="normaltextrun"/>
        </w:rPr>
        <w:t> </w:t>
      </w:r>
    </w:p>
    <w:p w14:paraId="593D2F2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5b. Method of computation</w:t>
      </w:r>
      <w:r w:rsidRPr="00ED7E61">
        <w:rPr>
          <w:rStyle w:val="eop"/>
          <w:rFonts w:asciiTheme="majorBidi" w:eastAsiaTheme="majorEastAsia" w:hAnsiTheme="majorBidi" w:cstheme="majorBidi"/>
          <w:sz w:val="22"/>
          <w:szCs w:val="22"/>
        </w:rPr>
        <w:t> </w:t>
      </w:r>
    </w:p>
    <w:p w14:paraId="1B465F68" w14:textId="532D63CF"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FB1598">
        <w:rPr>
          <w:color w:val="000000"/>
        </w:rPr>
        <w:t>OECD</w:t>
      </w:r>
      <w:r w:rsidRPr="00ED7E61">
        <w:rPr>
          <w:rStyle w:val="normaltextrun"/>
          <w:rFonts w:asciiTheme="majorBidi" w:eastAsiaTheme="majorEastAsia" w:hAnsiTheme="majorBidi" w:cstheme="majorBidi"/>
          <w:color w:val="000000"/>
        </w:rPr>
        <w:t xml:space="preserve"> collects national level data on positive incentives for the conservation and sustainable use of biodiversity</w:t>
      </w:r>
      <w:r w:rsidRPr="00ED7E61">
        <w:rPr>
          <w:rStyle w:val="normaltextrun"/>
          <w:rFonts w:asciiTheme="majorBidi" w:eastAsiaTheme="majorEastAsia" w:hAnsiTheme="majorBidi" w:cstheme="majorBidi"/>
          <w:color w:val="5E5E5E"/>
        </w:rPr>
        <w:t xml:space="preserve">. </w:t>
      </w:r>
      <w:r w:rsidRPr="00ED7E61">
        <w:rPr>
          <w:rStyle w:val="normaltextrun"/>
          <w:rFonts w:asciiTheme="majorBidi" w:eastAsiaTheme="majorEastAsia" w:hAnsiTheme="majorBidi" w:cstheme="majorBidi"/>
          <w:color w:val="000000"/>
        </w:rPr>
        <w:t>These incentives are also referred to as economic instruments or incentive-based instruments</w:t>
      </w:r>
      <w:r w:rsidRPr="00ED7E61">
        <w:rPr>
          <w:rStyle w:val="normaltextrun"/>
          <w:rFonts w:asciiTheme="majorBidi" w:eastAsiaTheme="majorEastAsia" w:hAnsiTheme="majorBidi" w:cstheme="majorBidi"/>
          <w:color w:val="5E5E5E"/>
        </w:rPr>
        <w:t>.</w:t>
      </w:r>
      <w:r w:rsidRPr="00ED7E61">
        <w:rPr>
          <w:rStyle w:val="normaltextrun"/>
          <w:rFonts w:asciiTheme="majorBidi" w:eastAsiaTheme="majorEastAsia" w:hAnsiTheme="majorBidi" w:cstheme="majorBidi"/>
          <w:color w:val="000000"/>
        </w:rPr>
        <w:t xml:space="preserve"> The data are collected through the OECD database on Policy Instruments for the Environment (PINE). The data meet the headline indicator criteria (i.e. they can be aggregated globally from national level data and can be disaggregated down from totals, as the data are reported in a consistent and comparable way across countries). The </w:t>
      </w:r>
      <w:r w:rsidR="001B1B45">
        <w:rPr>
          <w:rStyle w:val="normaltextrun"/>
          <w:rFonts w:asciiTheme="majorBidi" w:eastAsiaTheme="majorEastAsia" w:hAnsiTheme="majorBidi" w:cstheme="majorBidi"/>
          <w:color w:val="000000"/>
        </w:rPr>
        <w:t xml:space="preserve">categories of </w:t>
      </w:r>
      <w:r w:rsidRPr="00ED7E61">
        <w:rPr>
          <w:rStyle w:val="normaltextrun"/>
          <w:rFonts w:asciiTheme="majorBidi" w:eastAsiaTheme="majorEastAsia" w:hAnsiTheme="majorBidi" w:cstheme="majorBidi"/>
          <w:color w:val="000000"/>
        </w:rPr>
        <w:t xml:space="preserve">positive incentives </w:t>
      </w:r>
      <w:r w:rsidR="001B1B45">
        <w:rPr>
          <w:rStyle w:val="normaltextrun"/>
          <w:rFonts w:asciiTheme="majorBidi" w:eastAsiaTheme="majorEastAsia" w:hAnsiTheme="majorBidi" w:cstheme="majorBidi"/>
          <w:color w:val="000000"/>
        </w:rPr>
        <w:t xml:space="preserve">used in the </w:t>
      </w:r>
      <w:r w:rsidR="003B2430">
        <w:rPr>
          <w:rStyle w:val="normaltextrun"/>
          <w:rFonts w:asciiTheme="majorBidi" w:eastAsiaTheme="majorEastAsia" w:hAnsiTheme="majorBidi" w:cstheme="majorBidi"/>
          <w:color w:val="000000"/>
        </w:rPr>
        <w:t xml:space="preserve">OECD </w:t>
      </w:r>
      <w:r w:rsidR="001B1B45">
        <w:rPr>
          <w:rStyle w:val="normaltextrun"/>
          <w:rFonts w:asciiTheme="majorBidi" w:eastAsiaTheme="majorEastAsia" w:hAnsiTheme="majorBidi" w:cstheme="majorBidi"/>
          <w:color w:val="000000"/>
        </w:rPr>
        <w:t>PINE database</w:t>
      </w:r>
      <w:r w:rsidR="001B1B45" w:rsidRPr="00ED7E61">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484848"/>
        </w:rPr>
        <w:t>are:</w:t>
      </w:r>
      <w:r w:rsidRPr="00ED7E61">
        <w:rPr>
          <w:rStyle w:val="eop"/>
          <w:rFonts w:asciiTheme="majorBidi" w:eastAsiaTheme="majorEastAsia" w:hAnsiTheme="majorBidi" w:cstheme="majorBidi"/>
          <w:color w:val="484848"/>
        </w:rPr>
        <w:t> </w:t>
      </w:r>
    </w:p>
    <w:p w14:paraId="75C6DEC3" w14:textId="77777777" w:rsidR="00756F0F" w:rsidRPr="00ED7E61" w:rsidRDefault="00756F0F" w:rsidP="00B10F0C">
      <w:pPr>
        <w:pStyle w:val="CBDNormalNumber"/>
        <w:numPr>
          <w:ilvl w:val="0"/>
          <w:numId w:val="25"/>
        </w:numPr>
        <w:tabs>
          <w:tab w:val="clear" w:pos="567"/>
          <w:tab w:val="clear" w:pos="1134"/>
          <w:tab w:val="clear" w:pos="1701"/>
          <w:tab w:val="clear" w:pos="2268"/>
          <w:tab w:val="left" w:pos="1985"/>
        </w:tabs>
        <w:spacing w:after="0"/>
        <w:ind w:left="1134" w:firstLine="0"/>
        <w:rPr>
          <w:rStyle w:val="normaltextrun"/>
          <w:rFonts w:eastAsiaTheme="majorEastAsia"/>
        </w:rPr>
      </w:pPr>
      <w:r w:rsidRPr="00ED7E61">
        <w:rPr>
          <w:rStyle w:val="normaltextrun"/>
          <w:rFonts w:asciiTheme="majorBidi" w:eastAsiaTheme="majorEastAsia" w:hAnsiTheme="majorBidi" w:cstheme="majorBidi"/>
        </w:rPr>
        <w:t>biodiversity-relevant taxes, fees and charges </w:t>
      </w:r>
      <w:r w:rsidRPr="00ED7E61">
        <w:rPr>
          <w:rStyle w:val="normaltextrun"/>
        </w:rPr>
        <w:t> </w:t>
      </w:r>
    </w:p>
    <w:p w14:paraId="695CD1B4" w14:textId="52CA4625" w:rsidR="00756F0F" w:rsidRPr="00ED7E61" w:rsidRDefault="00756F0F" w:rsidP="00DB518D">
      <w:pPr>
        <w:pStyle w:val="CBDNormalNumber"/>
        <w:numPr>
          <w:ilvl w:val="0"/>
          <w:numId w:val="25"/>
        </w:numPr>
        <w:tabs>
          <w:tab w:val="clear" w:pos="567"/>
          <w:tab w:val="clear" w:pos="1134"/>
          <w:tab w:val="clear" w:pos="1701"/>
          <w:tab w:val="clear" w:pos="2268"/>
          <w:tab w:val="left" w:pos="1985"/>
        </w:tabs>
        <w:spacing w:after="0"/>
        <w:ind w:left="1134" w:firstLine="0"/>
        <w:rPr>
          <w:rStyle w:val="normaltextrun"/>
          <w:rFonts w:eastAsiaTheme="majorEastAsia"/>
        </w:rPr>
      </w:pPr>
      <w:r w:rsidRPr="00ED7E61">
        <w:rPr>
          <w:rStyle w:val="normaltextrun"/>
          <w:rFonts w:asciiTheme="majorBidi" w:eastAsiaTheme="majorEastAsia" w:hAnsiTheme="majorBidi" w:cstheme="majorBidi"/>
        </w:rPr>
        <w:t>biodiversity-relevant positive subsidies</w:t>
      </w:r>
      <w:r w:rsidRPr="00ED7E61">
        <w:rPr>
          <w:rStyle w:val="normaltextrun"/>
        </w:rPr>
        <w:t> </w:t>
      </w:r>
      <w:r w:rsidR="00DB518D" w:rsidRPr="00DB518D">
        <w:rPr>
          <w:lang w:val="en-CA"/>
        </w:rPr>
        <w:t>and payments for ecosystem services</w:t>
      </w:r>
    </w:p>
    <w:p w14:paraId="28E5D1C4" w14:textId="126DD88A" w:rsidR="00756F0F" w:rsidRPr="00ED7E61" w:rsidRDefault="00756F0F" w:rsidP="004377F0">
      <w:pPr>
        <w:pStyle w:val="CBDNormalNumber"/>
        <w:numPr>
          <w:ilvl w:val="0"/>
          <w:numId w:val="25"/>
        </w:numPr>
        <w:tabs>
          <w:tab w:val="clear" w:pos="567"/>
          <w:tab w:val="clear" w:pos="1134"/>
          <w:tab w:val="clear" w:pos="1701"/>
          <w:tab w:val="clear" w:pos="2268"/>
          <w:tab w:val="left" w:pos="1985"/>
        </w:tabs>
        <w:spacing w:after="0"/>
        <w:ind w:left="1985" w:hanging="851"/>
        <w:rPr>
          <w:rStyle w:val="normaltextrun"/>
          <w:rFonts w:eastAsiaTheme="majorEastAsia"/>
        </w:rPr>
      </w:pPr>
      <w:r w:rsidRPr="00ED7E61">
        <w:rPr>
          <w:rStyle w:val="normaltextrun"/>
          <w:rFonts w:asciiTheme="majorBidi" w:eastAsiaTheme="majorEastAsia" w:hAnsiTheme="majorBidi" w:cstheme="majorBidi"/>
        </w:rPr>
        <w:t>biodiversity-relevant tradable permits</w:t>
      </w:r>
      <w:r w:rsidRPr="00ED7E61">
        <w:rPr>
          <w:rStyle w:val="normaltextrun"/>
        </w:rPr>
        <w:t> </w:t>
      </w:r>
      <w:r w:rsidR="004377F0" w:rsidRPr="004377F0">
        <w:rPr>
          <w:lang w:val="en-CA"/>
        </w:rPr>
        <w:t>and biodiversity offsets</w:t>
      </w:r>
    </w:p>
    <w:p w14:paraId="1D4C3B08" w14:textId="74F604C2" w:rsidR="00374C74" w:rsidRPr="00ED7E61" w:rsidRDefault="00F73D08" w:rsidP="00812871">
      <w:pPr>
        <w:pStyle w:val="CBDNormalNumber"/>
        <w:tabs>
          <w:tab w:val="clear" w:pos="567"/>
          <w:tab w:val="clear" w:pos="1134"/>
          <w:tab w:val="clear" w:pos="1701"/>
          <w:tab w:val="clear" w:pos="2268"/>
          <w:tab w:val="left" w:pos="1985"/>
        </w:tabs>
        <w:spacing w:after="0"/>
        <w:ind w:left="567"/>
        <w:rPr>
          <w:rStyle w:val="normaltextrun"/>
          <w:rFonts w:eastAsiaTheme="majorEastAsia"/>
          <w:sz w:val="24"/>
          <w:szCs w:val="24"/>
          <w:lang w:val="en-CA"/>
        </w:rPr>
      </w:pPr>
      <w:r w:rsidRPr="006C210D">
        <w:rPr>
          <w:rStyle w:val="normaltextrun"/>
        </w:rPr>
        <w:t xml:space="preserve">While the </w:t>
      </w:r>
      <w:r w:rsidR="003B2430" w:rsidRPr="006C210D">
        <w:rPr>
          <w:rStyle w:val="normaltextrun"/>
        </w:rPr>
        <w:t xml:space="preserve">OECD </w:t>
      </w:r>
      <w:r w:rsidRPr="006C210D">
        <w:rPr>
          <w:rStyle w:val="normaltextrun"/>
        </w:rPr>
        <w:t>PINE database uses these broad categories of positive incentives</w:t>
      </w:r>
      <w:r w:rsidR="00976F25" w:rsidRPr="006C210D">
        <w:rPr>
          <w:rStyle w:val="normaltextrun"/>
        </w:rPr>
        <w:t xml:space="preserve">, </w:t>
      </w:r>
      <w:r w:rsidR="0074598D" w:rsidRPr="006C210D">
        <w:rPr>
          <w:rStyle w:val="normaltextrun"/>
        </w:rPr>
        <w:t xml:space="preserve">the categories can be further disaggregated and </w:t>
      </w:r>
      <w:r w:rsidR="00916353" w:rsidRPr="006C210D">
        <w:rPr>
          <w:rStyle w:val="normaltextrun"/>
        </w:rPr>
        <w:t>filtered</w:t>
      </w:r>
      <w:r w:rsidR="0074598D" w:rsidRPr="006C210D">
        <w:rPr>
          <w:rStyle w:val="normaltextrun"/>
        </w:rPr>
        <w:t xml:space="preserve">. For </w:t>
      </w:r>
      <w:r w:rsidR="00590E34" w:rsidRPr="006C210D">
        <w:rPr>
          <w:rStyle w:val="normaltextrun"/>
        </w:rPr>
        <w:t>example,</w:t>
      </w:r>
      <w:r w:rsidR="0074598D" w:rsidRPr="006C210D">
        <w:rPr>
          <w:rStyle w:val="normaltextrun"/>
        </w:rPr>
        <w:t xml:space="preserve"> </w:t>
      </w:r>
      <w:r w:rsidR="00590E34" w:rsidRPr="006C210D">
        <w:rPr>
          <w:rStyle w:val="normaltextrun"/>
        </w:rPr>
        <w:t xml:space="preserve">in the database </w:t>
      </w:r>
      <w:r w:rsidR="0074598D" w:rsidRPr="006C210D">
        <w:rPr>
          <w:rStyle w:val="normaltextrun"/>
        </w:rPr>
        <w:t xml:space="preserve">it is possible </w:t>
      </w:r>
      <w:r w:rsidR="00B93BB9" w:rsidRPr="006C210D">
        <w:rPr>
          <w:rStyle w:val="normaltextrun"/>
        </w:rPr>
        <w:t>to separately view biodiversity relevant tradable permits and biodiversity offsets.</w:t>
      </w:r>
    </w:p>
    <w:p w14:paraId="593A6433" w14:textId="77777777" w:rsidR="00756F0F" w:rsidRPr="00ED7E61" w:rsidRDefault="00756F0F" w:rsidP="00B10F0C">
      <w:pPr>
        <w:pStyle w:val="CBDNormalNumber"/>
        <w:numPr>
          <w:ilvl w:val="0"/>
          <w:numId w:val="93"/>
        </w:numPr>
        <w:shd w:val="clear" w:color="auto" w:fill="FFFFFF"/>
        <w:spacing w:after="0"/>
        <w:ind w:left="567" w:firstLine="0"/>
        <w:rPr>
          <w:rFonts w:asciiTheme="majorBidi" w:hAnsiTheme="majorBidi" w:cstheme="majorBidi"/>
        </w:rPr>
      </w:pPr>
      <w:r w:rsidRPr="00ED7E61">
        <w:rPr>
          <w:rStyle w:val="normaltextrun"/>
          <w:rFonts w:asciiTheme="majorBidi" w:eastAsiaTheme="majorEastAsia" w:hAnsiTheme="majorBidi" w:cstheme="majorBidi"/>
        </w:rPr>
        <w:t>The</w:t>
      </w:r>
      <w:r w:rsidRPr="00ED7E61">
        <w:rPr>
          <w:rStyle w:val="normaltextrun"/>
          <w:rFonts w:asciiTheme="majorBidi" w:eastAsiaTheme="majorEastAsia" w:hAnsiTheme="majorBidi" w:cstheme="majorBidi"/>
          <w:color w:val="000000"/>
        </w:rPr>
        <w:t xml:space="preserve"> data on positive incentives collected via the OECD PINE database covers: </w:t>
      </w:r>
      <w:r w:rsidRPr="00ED7E61">
        <w:rPr>
          <w:rStyle w:val="eop"/>
          <w:rFonts w:asciiTheme="majorBidi" w:eastAsiaTheme="majorEastAsia" w:hAnsiTheme="majorBidi" w:cstheme="majorBidi"/>
          <w:color w:val="000000"/>
        </w:rPr>
        <w:t> </w:t>
      </w:r>
    </w:p>
    <w:p w14:paraId="3022D85D" w14:textId="77777777" w:rsidR="00756F0F" w:rsidRPr="00ED7E61" w:rsidRDefault="00756F0F" w:rsidP="00B10F0C">
      <w:pPr>
        <w:pStyle w:val="CBDNormalNumber"/>
        <w:numPr>
          <w:ilvl w:val="0"/>
          <w:numId w:val="26"/>
        </w:numPr>
        <w:tabs>
          <w:tab w:val="clear" w:pos="567"/>
          <w:tab w:val="clear" w:pos="1134"/>
          <w:tab w:val="clear" w:pos="1701"/>
          <w:tab w:val="clear" w:pos="2268"/>
          <w:tab w:val="left" w:pos="1985"/>
        </w:tabs>
        <w:spacing w:after="0"/>
        <w:ind w:firstLine="4878"/>
        <w:rPr>
          <w:rStyle w:val="normaltextrun"/>
          <w:rFonts w:eastAsiaTheme="majorEastAsia"/>
        </w:rPr>
      </w:pPr>
      <w:r w:rsidRPr="00ED7E61">
        <w:rPr>
          <w:rStyle w:val="normaltextrun"/>
          <w:rFonts w:asciiTheme="majorBidi" w:eastAsiaTheme="majorEastAsia" w:hAnsiTheme="majorBidi" w:cstheme="majorBidi"/>
        </w:rPr>
        <w:t>when the policy instrument was introduced; </w:t>
      </w:r>
      <w:r w:rsidRPr="00ED7E61">
        <w:rPr>
          <w:rStyle w:val="normaltextrun"/>
        </w:rPr>
        <w:t> </w:t>
      </w:r>
    </w:p>
    <w:p w14:paraId="43D32779" w14:textId="77777777" w:rsidR="00756F0F" w:rsidRPr="00ED7E61" w:rsidRDefault="00756F0F" w:rsidP="00B10F0C">
      <w:pPr>
        <w:pStyle w:val="CBDNormalNumber"/>
        <w:numPr>
          <w:ilvl w:val="0"/>
          <w:numId w:val="26"/>
        </w:numPr>
        <w:tabs>
          <w:tab w:val="clear" w:pos="567"/>
          <w:tab w:val="clear" w:pos="1134"/>
          <w:tab w:val="clear" w:pos="1701"/>
          <w:tab w:val="clear" w:pos="2268"/>
          <w:tab w:val="left" w:pos="1985"/>
        </w:tabs>
        <w:spacing w:after="0"/>
        <w:ind w:firstLine="4878"/>
        <w:rPr>
          <w:rStyle w:val="normaltextrun"/>
          <w:rFonts w:eastAsiaTheme="majorEastAsia"/>
        </w:rPr>
      </w:pPr>
      <w:r w:rsidRPr="00ED7E61">
        <w:rPr>
          <w:rStyle w:val="normaltextrun"/>
          <w:rFonts w:asciiTheme="majorBidi" w:eastAsiaTheme="majorEastAsia" w:hAnsiTheme="majorBidi" w:cstheme="majorBidi"/>
        </w:rPr>
        <w:t>what it applies to; </w:t>
      </w:r>
      <w:r w:rsidRPr="00ED7E61">
        <w:rPr>
          <w:rStyle w:val="normaltextrun"/>
        </w:rPr>
        <w:t> </w:t>
      </w:r>
    </w:p>
    <w:p w14:paraId="169E35EF" w14:textId="77777777" w:rsidR="00756F0F" w:rsidRPr="00ED7E61" w:rsidRDefault="00756F0F" w:rsidP="00B10F0C">
      <w:pPr>
        <w:pStyle w:val="CBDNormalNumber"/>
        <w:numPr>
          <w:ilvl w:val="0"/>
          <w:numId w:val="26"/>
        </w:numPr>
        <w:tabs>
          <w:tab w:val="clear" w:pos="567"/>
          <w:tab w:val="clear" w:pos="1134"/>
          <w:tab w:val="clear" w:pos="1701"/>
          <w:tab w:val="clear" w:pos="2268"/>
          <w:tab w:val="left" w:pos="1985"/>
        </w:tabs>
        <w:spacing w:after="0"/>
        <w:ind w:firstLine="4878"/>
        <w:rPr>
          <w:rStyle w:val="normaltextrun"/>
          <w:rFonts w:eastAsiaTheme="majorEastAsia"/>
        </w:rPr>
      </w:pPr>
      <w:r w:rsidRPr="00ED7E61">
        <w:rPr>
          <w:rStyle w:val="normaltextrun"/>
          <w:rFonts w:asciiTheme="majorBidi" w:eastAsiaTheme="majorEastAsia" w:hAnsiTheme="majorBidi" w:cstheme="majorBidi"/>
        </w:rPr>
        <w:t>the geographical coverage (e.g. national, local); </w:t>
      </w:r>
      <w:r w:rsidRPr="00ED7E61">
        <w:rPr>
          <w:rStyle w:val="normaltextrun"/>
        </w:rPr>
        <w:t> </w:t>
      </w:r>
    </w:p>
    <w:p w14:paraId="4E87D7A8" w14:textId="77777777" w:rsidR="00756F0F" w:rsidRPr="00ED7E61" w:rsidRDefault="00756F0F" w:rsidP="00B10F0C">
      <w:pPr>
        <w:pStyle w:val="CBDNormalNumber"/>
        <w:numPr>
          <w:ilvl w:val="0"/>
          <w:numId w:val="26"/>
        </w:numPr>
        <w:tabs>
          <w:tab w:val="clear" w:pos="567"/>
          <w:tab w:val="clear" w:pos="1134"/>
          <w:tab w:val="clear" w:pos="1701"/>
          <w:tab w:val="clear" w:pos="2268"/>
          <w:tab w:val="left" w:pos="1985"/>
        </w:tabs>
        <w:spacing w:after="0"/>
        <w:ind w:firstLine="4878"/>
        <w:rPr>
          <w:rStyle w:val="normaltextrun"/>
          <w:rFonts w:eastAsiaTheme="majorEastAsia"/>
        </w:rPr>
      </w:pPr>
      <w:r w:rsidRPr="00ED7E61">
        <w:rPr>
          <w:rStyle w:val="normaltextrun"/>
          <w:rFonts w:asciiTheme="majorBidi" w:eastAsiaTheme="majorEastAsia" w:hAnsiTheme="majorBidi" w:cstheme="majorBidi"/>
        </w:rPr>
        <w:t>the environmental domain (e.g. biodiversity, climate change, air pollution); </w:t>
      </w:r>
      <w:r w:rsidRPr="00ED7E61">
        <w:rPr>
          <w:rStyle w:val="normaltextrun"/>
        </w:rPr>
        <w:t> </w:t>
      </w:r>
    </w:p>
    <w:p w14:paraId="4C692CF6" w14:textId="77777777" w:rsidR="00756F0F" w:rsidRPr="00ED7E61" w:rsidRDefault="00756F0F" w:rsidP="00B10F0C">
      <w:pPr>
        <w:pStyle w:val="CBDNormalNumber"/>
        <w:numPr>
          <w:ilvl w:val="0"/>
          <w:numId w:val="26"/>
        </w:numPr>
        <w:tabs>
          <w:tab w:val="clear" w:pos="567"/>
          <w:tab w:val="clear" w:pos="1134"/>
          <w:tab w:val="clear" w:pos="1701"/>
          <w:tab w:val="clear" w:pos="2268"/>
          <w:tab w:val="left" w:pos="1985"/>
        </w:tabs>
        <w:spacing w:after="0"/>
        <w:ind w:firstLine="4878"/>
        <w:rPr>
          <w:rStyle w:val="normaltextrun"/>
          <w:rFonts w:eastAsiaTheme="majorEastAsia"/>
        </w:rPr>
      </w:pPr>
      <w:r w:rsidRPr="00ED7E61">
        <w:rPr>
          <w:rStyle w:val="normaltextrun"/>
          <w:rFonts w:asciiTheme="majorBidi" w:eastAsiaTheme="majorEastAsia" w:hAnsiTheme="majorBidi" w:cstheme="majorBidi"/>
        </w:rPr>
        <w:t>the industries concerned; </w:t>
      </w:r>
      <w:r w:rsidRPr="00ED7E61">
        <w:rPr>
          <w:rStyle w:val="normaltextrun"/>
        </w:rPr>
        <w:t> </w:t>
      </w:r>
    </w:p>
    <w:p w14:paraId="79EEA68A" w14:textId="77777777" w:rsidR="00756F0F" w:rsidRPr="00ED7E61" w:rsidRDefault="00756F0F" w:rsidP="00B10F0C">
      <w:pPr>
        <w:pStyle w:val="CBDNormalNumber"/>
        <w:numPr>
          <w:ilvl w:val="0"/>
          <w:numId w:val="26"/>
        </w:numPr>
        <w:tabs>
          <w:tab w:val="clear" w:pos="567"/>
          <w:tab w:val="clear" w:pos="1134"/>
          <w:tab w:val="clear" w:pos="1701"/>
          <w:tab w:val="clear" w:pos="2268"/>
          <w:tab w:val="left" w:pos="1985"/>
        </w:tabs>
        <w:spacing w:after="0"/>
        <w:ind w:firstLine="4878"/>
        <w:rPr>
          <w:rStyle w:val="normaltextrun"/>
          <w:rFonts w:eastAsiaTheme="majorEastAsia"/>
        </w:rPr>
      </w:pPr>
      <w:r w:rsidRPr="00ED7E61">
        <w:rPr>
          <w:rStyle w:val="normaltextrun"/>
          <w:rFonts w:asciiTheme="majorBidi" w:eastAsiaTheme="majorEastAsia" w:hAnsiTheme="majorBidi" w:cstheme="majorBidi"/>
        </w:rPr>
        <w:t>the revenues, costs or rates; </w:t>
      </w:r>
      <w:r w:rsidRPr="00ED7E61">
        <w:rPr>
          <w:rStyle w:val="normaltextrun"/>
        </w:rPr>
        <w:t> </w:t>
      </w:r>
    </w:p>
    <w:p w14:paraId="5377FFC8" w14:textId="77777777" w:rsidR="00756F0F" w:rsidRPr="00ED7E61" w:rsidRDefault="00756F0F" w:rsidP="00B10F0C">
      <w:pPr>
        <w:pStyle w:val="CBDNormalNumber"/>
        <w:numPr>
          <w:ilvl w:val="0"/>
          <w:numId w:val="26"/>
        </w:numPr>
        <w:tabs>
          <w:tab w:val="clear" w:pos="567"/>
          <w:tab w:val="clear" w:pos="1134"/>
          <w:tab w:val="clear" w:pos="1701"/>
          <w:tab w:val="clear" w:pos="2268"/>
          <w:tab w:val="left" w:pos="1985"/>
        </w:tabs>
        <w:spacing w:after="0"/>
        <w:ind w:firstLine="4878"/>
        <w:rPr>
          <w:rStyle w:val="normaltextrun"/>
          <w:rFonts w:eastAsiaTheme="majorEastAsia"/>
        </w:rPr>
      </w:pPr>
      <w:r w:rsidRPr="00ED7E61">
        <w:rPr>
          <w:rStyle w:val="normaltextrun"/>
          <w:rFonts w:asciiTheme="majorBidi" w:eastAsiaTheme="majorEastAsia" w:hAnsiTheme="majorBidi" w:cstheme="majorBidi"/>
        </w:rPr>
        <w:t>whether the revenue is earmarked; and </w:t>
      </w:r>
      <w:r w:rsidRPr="00ED7E61">
        <w:rPr>
          <w:rStyle w:val="normaltextrun"/>
        </w:rPr>
        <w:t> </w:t>
      </w:r>
    </w:p>
    <w:p w14:paraId="3D9C7B0A" w14:textId="77777777" w:rsidR="00756F0F" w:rsidRPr="00ED7E61" w:rsidRDefault="00756F0F" w:rsidP="00B10F0C">
      <w:pPr>
        <w:pStyle w:val="CBDNormalNumber"/>
        <w:numPr>
          <w:ilvl w:val="0"/>
          <w:numId w:val="26"/>
        </w:numPr>
        <w:tabs>
          <w:tab w:val="clear" w:pos="567"/>
          <w:tab w:val="clear" w:pos="1134"/>
          <w:tab w:val="clear" w:pos="1701"/>
          <w:tab w:val="clear" w:pos="2268"/>
          <w:tab w:val="left" w:pos="1985"/>
        </w:tabs>
        <w:spacing w:after="0"/>
        <w:rPr>
          <w:rStyle w:val="normaltextrun"/>
          <w:rFonts w:eastAsiaTheme="majorEastAsia"/>
        </w:rPr>
      </w:pPr>
      <w:r w:rsidRPr="00ED7E61">
        <w:rPr>
          <w:rStyle w:val="normaltextrun"/>
          <w:rFonts w:asciiTheme="majorBidi" w:eastAsiaTheme="majorEastAsia" w:hAnsiTheme="majorBidi" w:cstheme="majorBidi"/>
        </w:rPr>
        <w:t>any exemptions. </w:t>
      </w:r>
      <w:r w:rsidRPr="00ED7E61">
        <w:rPr>
          <w:rStyle w:val="normaltextrun"/>
        </w:rPr>
        <w:t> </w:t>
      </w:r>
    </w:p>
    <w:p w14:paraId="16A4828D" w14:textId="15D6C778" w:rsidR="00B737C5" w:rsidRPr="00ED7E61" w:rsidRDefault="00756F0F" w:rsidP="00B10F0C">
      <w:pPr>
        <w:pStyle w:val="CBDNormalNumber"/>
        <w:numPr>
          <w:ilvl w:val="0"/>
          <w:numId w:val="93"/>
        </w:numPr>
        <w:shd w:val="clear" w:color="auto" w:fill="FFFFFF"/>
        <w:spacing w:after="0"/>
        <w:ind w:left="567" w:firstLine="0"/>
        <w:rPr>
          <w:rFonts w:asciiTheme="majorBidi" w:hAnsiTheme="majorBidi" w:cstheme="majorBidi"/>
        </w:rPr>
      </w:pPr>
      <w:r w:rsidRPr="00ED7E61">
        <w:rPr>
          <w:rStyle w:val="normaltextrun"/>
          <w:rFonts w:asciiTheme="majorBidi" w:eastAsiaTheme="majorEastAsia" w:hAnsiTheme="majorBidi" w:cstheme="majorBidi"/>
        </w:rPr>
        <w:t>The</w:t>
      </w:r>
      <w:r w:rsidRPr="00ED7E61">
        <w:rPr>
          <w:rStyle w:val="normaltextrun"/>
          <w:rFonts w:asciiTheme="majorBidi" w:eastAsiaTheme="majorEastAsia" w:hAnsiTheme="majorBidi" w:cstheme="majorBidi"/>
          <w:color w:val="000000"/>
        </w:rPr>
        <w:t xml:space="preserve"> OECD Secretariat manages the database and ensures consistency in the way data are classified (incl</w:t>
      </w:r>
      <w:r w:rsidR="00B4449B">
        <w:rPr>
          <w:rStyle w:val="normaltextrun"/>
          <w:rFonts w:asciiTheme="majorBidi" w:eastAsiaTheme="majorEastAsia" w:hAnsiTheme="majorBidi" w:cstheme="majorBidi"/>
          <w:color w:val="000000"/>
        </w:rPr>
        <w:t>uding</w:t>
      </w:r>
      <w:r w:rsidRPr="00ED7E61">
        <w:rPr>
          <w:rStyle w:val="normaltextrun"/>
          <w:rFonts w:asciiTheme="majorBidi" w:eastAsiaTheme="majorEastAsia" w:hAnsiTheme="majorBidi" w:cstheme="majorBidi"/>
          <w:color w:val="000000"/>
        </w:rPr>
        <w:t xml:space="preserve"> compliance with definitions and internationally agreed classifications) and undertakes quality checks.</w:t>
      </w:r>
      <w:r w:rsidRPr="00ED7E61">
        <w:rPr>
          <w:rStyle w:val="eop"/>
          <w:rFonts w:asciiTheme="majorBidi" w:eastAsiaTheme="majorEastAsia" w:hAnsiTheme="majorBidi" w:cstheme="majorBidi"/>
          <w:color w:val="000000"/>
        </w:rPr>
        <w:t> </w:t>
      </w:r>
    </w:p>
    <w:p w14:paraId="208AAF2A" w14:textId="6778222C" w:rsidR="00B737C5" w:rsidRPr="00ED7E61" w:rsidRDefault="00756F0F" w:rsidP="00B10F0C">
      <w:pPr>
        <w:pStyle w:val="CBDNormalNumber"/>
        <w:numPr>
          <w:ilvl w:val="0"/>
          <w:numId w:val="93"/>
        </w:numPr>
        <w:shd w:val="clear" w:color="auto" w:fill="FFFFFF"/>
        <w:spacing w:after="0"/>
        <w:ind w:left="567" w:firstLine="0"/>
        <w:rPr>
          <w:rFonts w:asciiTheme="majorBidi" w:hAnsiTheme="majorBidi" w:cstheme="majorBidi"/>
        </w:rPr>
      </w:pPr>
      <w:r w:rsidRPr="00FB1598">
        <w:rPr>
          <w:rStyle w:val="normaltextrun"/>
          <w:rFonts w:asciiTheme="majorBidi" w:eastAsiaTheme="majorEastAsia" w:hAnsiTheme="majorBidi" w:cstheme="majorBidi"/>
        </w:rPr>
        <w:t>The</w:t>
      </w:r>
      <w:r w:rsidRPr="00ED7E61">
        <w:rPr>
          <w:rStyle w:val="normaltextrun"/>
          <w:rFonts w:asciiTheme="majorBidi" w:eastAsiaTheme="majorEastAsia" w:hAnsiTheme="majorBidi" w:cstheme="majorBidi"/>
          <w:color w:val="000000"/>
        </w:rPr>
        <w:t xml:space="preserve"> questionnaire, data structure, and typology and definitions of instruments can be found on the </w:t>
      </w:r>
      <w:r w:rsidR="00D20B01">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About</w:t>
      </w:r>
      <w:r w:rsidR="00D20B01">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section of the PINE database website available at: </w:t>
      </w:r>
      <w:hyperlink r:id="rId451" w:tgtFrame="_blank" w:history="1">
        <w:r w:rsidRPr="00ED7E61">
          <w:rPr>
            <w:rStyle w:val="normaltextrun"/>
            <w:rFonts w:asciiTheme="majorBidi" w:eastAsiaTheme="majorEastAsia" w:hAnsiTheme="majorBidi" w:cstheme="majorBidi"/>
            <w:color w:val="467886"/>
            <w:u w:val="single"/>
          </w:rPr>
          <w:t>http://oe.cd/pinedatabase</w:t>
        </w:r>
      </w:hyperlink>
      <w:r w:rsidR="004A6C25">
        <w:rPr>
          <w:rStyle w:val="normaltextrun"/>
          <w:rFonts w:asciiTheme="majorBidi" w:eastAsiaTheme="majorEastAsia" w:hAnsiTheme="majorBidi" w:cstheme="majorBidi"/>
          <w:color w:val="467886"/>
          <w:u w:val="single"/>
        </w:rPr>
        <w:t>.</w:t>
      </w:r>
      <w:r w:rsidRPr="00ED7E61">
        <w:rPr>
          <w:rStyle w:val="normaltextrun"/>
          <w:rFonts w:asciiTheme="majorBidi" w:eastAsiaTheme="majorEastAsia" w:hAnsiTheme="majorBidi" w:cstheme="majorBidi"/>
          <w:color w:val="000000"/>
        </w:rPr>
        <w:t> </w:t>
      </w:r>
      <w:r w:rsidRPr="00ED7E61">
        <w:rPr>
          <w:rStyle w:val="eop"/>
          <w:rFonts w:asciiTheme="majorBidi" w:eastAsiaTheme="majorEastAsia" w:hAnsiTheme="majorBidi" w:cstheme="majorBidi"/>
          <w:color w:val="000000"/>
        </w:rPr>
        <w:t> </w:t>
      </w:r>
    </w:p>
    <w:p w14:paraId="7F555887" w14:textId="32C7D5B2" w:rsidR="00B737C5" w:rsidRPr="00ED7E61" w:rsidRDefault="00756F0F" w:rsidP="00B10F0C">
      <w:pPr>
        <w:pStyle w:val="CBDNormalNumber"/>
        <w:numPr>
          <w:ilvl w:val="0"/>
          <w:numId w:val="93"/>
        </w:numPr>
        <w:shd w:val="clear" w:color="auto" w:fill="FFFFFF"/>
        <w:spacing w:after="0"/>
        <w:ind w:left="567" w:firstLine="0"/>
        <w:rPr>
          <w:rFonts w:asciiTheme="majorBidi" w:hAnsiTheme="majorBidi" w:cstheme="majorBidi"/>
        </w:rPr>
      </w:pPr>
      <w:r w:rsidRPr="00FB1598">
        <w:rPr>
          <w:rStyle w:val="normaltextrun"/>
          <w:rFonts w:asciiTheme="majorBidi" w:eastAsiaTheme="majorEastAsia" w:hAnsiTheme="majorBidi" w:cstheme="majorBidi"/>
        </w:rPr>
        <w:lastRenderedPageBreak/>
        <w:t>The</w:t>
      </w:r>
      <w:r w:rsidRPr="00ED7E61">
        <w:rPr>
          <w:rStyle w:val="normaltextrun"/>
          <w:rFonts w:asciiTheme="majorBidi" w:eastAsiaTheme="majorEastAsia" w:hAnsiTheme="majorBidi" w:cstheme="majorBidi"/>
          <w:color w:val="000000"/>
        </w:rPr>
        <w:t xml:space="preserve"> data on monetary value of positive incentives (revenues or payments) is reported in millions of local currency per year in current prices. For biodiversity offsets this could include private transactions for example when purchasing offsets through biobanking, payments for one-off offsets and payments to government if </w:t>
      </w:r>
      <w:r w:rsidR="004377F0">
        <w:rPr>
          <w:rStyle w:val="normaltextrun"/>
          <w:rFonts w:asciiTheme="majorBidi" w:eastAsiaTheme="majorEastAsia" w:hAnsiTheme="majorBidi" w:cstheme="majorBidi"/>
          <w:color w:val="000000"/>
        </w:rPr>
        <w:t xml:space="preserve">it is a </w:t>
      </w:r>
      <w:r w:rsidRPr="00ED7E61">
        <w:rPr>
          <w:rStyle w:val="normaltextrun"/>
          <w:rFonts w:asciiTheme="majorBidi" w:eastAsiaTheme="majorEastAsia" w:hAnsiTheme="majorBidi" w:cstheme="majorBidi"/>
          <w:color w:val="000000"/>
        </w:rPr>
        <w:t>payment</w:t>
      </w:r>
      <w:r w:rsidR="004377F0">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in</w:t>
      </w:r>
      <w:r w:rsidR="004377F0">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lieu scheme.</w:t>
      </w:r>
      <w:r w:rsidRPr="00ED7E61">
        <w:rPr>
          <w:rStyle w:val="eop"/>
          <w:rFonts w:asciiTheme="majorBidi" w:eastAsiaTheme="majorEastAsia" w:hAnsiTheme="majorBidi" w:cstheme="majorBidi"/>
          <w:color w:val="000000"/>
        </w:rPr>
        <w:t> </w:t>
      </w:r>
    </w:p>
    <w:p w14:paraId="72999DBF" w14:textId="26032E82" w:rsidR="00B737C5" w:rsidRPr="00ED7E61" w:rsidRDefault="00756F0F" w:rsidP="00B10F0C">
      <w:pPr>
        <w:pStyle w:val="CBDNormalNumber"/>
        <w:numPr>
          <w:ilvl w:val="0"/>
          <w:numId w:val="93"/>
        </w:numPr>
        <w:shd w:val="clear" w:color="auto" w:fill="FFFFFF"/>
        <w:spacing w:after="0"/>
        <w:ind w:left="567" w:firstLine="0"/>
        <w:rPr>
          <w:rFonts w:asciiTheme="majorBidi" w:hAnsiTheme="majorBidi" w:cstheme="majorBidi"/>
        </w:rPr>
      </w:pPr>
      <w:r w:rsidRPr="00FB1598">
        <w:rPr>
          <w:rStyle w:val="normaltextrun"/>
          <w:rFonts w:asciiTheme="majorBidi" w:eastAsiaTheme="majorEastAsia" w:hAnsiTheme="majorBidi" w:cstheme="majorBidi"/>
        </w:rPr>
        <w:t>Information</w:t>
      </w:r>
      <w:r w:rsidRPr="00ED7E61">
        <w:rPr>
          <w:rStyle w:val="normaltextrun"/>
          <w:rFonts w:asciiTheme="majorBidi" w:eastAsiaTheme="majorEastAsia" w:hAnsiTheme="majorBidi" w:cstheme="majorBidi"/>
          <w:color w:val="000000"/>
        </w:rPr>
        <w:t xml:space="preserve"> is available by country at the individual policy instrument level. Dashboards aggregated up to the global level are also presented in the data dissemination portal.  Data on biodiversity-related economic instruments (positive incentives) are presented and analysed in OECD reports on “</w:t>
      </w:r>
      <w:r w:rsidRPr="00FB1598">
        <w:rPr>
          <w:rStyle w:val="normaltextrun"/>
          <w:rFonts w:asciiTheme="majorBidi" w:eastAsiaTheme="majorEastAsia" w:hAnsiTheme="majorBidi" w:cstheme="majorBidi"/>
          <w:i/>
          <w:iCs/>
          <w:color w:val="000000"/>
        </w:rPr>
        <w:t>Tracking Economic Instruments and Finance for Biodiversity</w:t>
      </w:r>
      <w:r w:rsidRPr="00ED7E61">
        <w:rPr>
          <w:rStyle w:val="normaltextrun"/>
          <w:rFonts w:asciiTheme="majorBidi" w:eastAsiaTheme="majorEastAsia" w:hAnsiTheme="majorBidi" w:cstheme="majorBidi"/>
          <w:color w:val="000000"/>
        </w:rPr>
        <w:t>” which is updated on a regular basis. The latest release was in 202</w:t>
      </w:r>
      <w:r w:rsidR="004377F0">
        <w:rPr>
          <w:rStyle w:val="normaltextrun"/>
          <w:rFonts w:asciiTheme="majorBidi" w:eastAsiaTheme="majorEastAsia" w:hAnsiTheme="majorBidi" w:cstheme="majorBidi"/>
          <w:color w:val="000000"/>
        </w:rPr>
        <w:t>4</w:t>
      </w:r>
      <w:r w:rsidRPr="00ED7E61">
        <w:rPr>
          <w:rStyle w:val="normaltextrun"/>
          <w:rFonts w:asciiTheme="majorBidi" w:eastAsiaTheme="majorEastAsia" w:hAnsiTheme="majorBidi" w:cstheme="majorBidi"/>
          <w:color w:val="000000"/>
        </w:rPr>
        <w:t>, with the next update to take place in 202</w:t>
      </w:r>
      <w:r w:rsidR="004377F0">
        <w:rPr>
          <w:rStyle w:val="normaltextrun"/>
          <w:rFonts w:asciiTheme="majorBidi" w:eastAsiaTheme="majorEastAsia" w:hAnsiTheme="majorBidi" w:cstheme="majorBidi"/>
          <w:color w:val="000000"/>
        </w:rPr>
        <w:t>6</w:t>
      </w:r>
      <w:r w:rsidRPr="00ED7E61">
        <w:rPr>
          <w:rStyle w:val="normaltextrun"/>
          <w:rFonts w:asciiTheme="majorBidi" w:eastAsiaTheme="majorEastAsia" w:hAnsiTheme="majorBidi" w:cstheme="majorBidi"/>
          <w:color w:val="000000"/>
        </w:rPr>
        <w:t>. </w:t>
      </w:r>
      <w:r w:rsidRPr="00ED7E61">
        <w:rPr>
          <w:rStyle w:val="eop"/>
          <w:rFonts w:asciiTheme="majorBidi" w:eastAsiaTheme="majorEastAsia" w:hAnsiTheme="majorBidi" w:cstheme="majorBidi"/>
          <w:color w:val="000000"/>
        </w:rPr>
        <w:t> </w:t>
      </w:r>
    </w:p>
    <w:p w14:paraId="565F56A8" w14:textId="631BE6A6"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FB1598">
        <w:rPr>
          <w:rStyle w:val="normaltextrun"/>
          <w:rFonts w:asciiTheme="majorBidi" w:eastAsiaTheme="majorEastAsia" w:hAnsiTheme="majorBidi" w:cstheme="majorBidi"/>
        </w:rPr>
        <w:t>All</w:t>
      </w:r>
      <w:r w:rsidRPr="00ED7E61">
        <w:rPr>
          <w:rStyle w:val="normaltextrun"/>
          <w:rFonts w:asciiTheme="majorBidi" w:eastAsiaTheme="majorEastAsia" w:hAnsiTheme="majorBidi" w:cstheme="majorBidi"/>
          <w:color w:val="000000"/>
        </w:rPr>
        <w:t xml:space="preserve"> countries are welcome to contribute to the OECD PINE database. Currently more than 1</w:t>
      </w:r>
      <w:r w:rsidR="00A564C1">
        <w:rPr>
          <w:rStyle w:val="normaltextrun"/>
          <w:rFonts w:asciiTheme="majorBidi" w:eastAsiaTheme="majorEastAsia" w:hAnsiTheme="majorBidi" w:cstheme="majorBidi"/>
          <w:color w:val="000000"/>
        </w:rPr>
        <w:t>4</w:t>
      </w:r>
      <w:r w:rsidRPr="00ED7E61">
        <w:rPr>
          <w:rStyle w:val="normaltextrun"/>
          <w:rFonts w:asciiTheme="majorBidi" w:eastAsiaTheme="majorEastAsia" w:hAnsiTheme="majorBidi" w:cstheme="majorBidi"/>
          <w:color w:val="000000"/>
        </w:rPr>
        <w:t>0 countries have contributed. Countries may either use the data in PINE to report to the CBD or provide data directly to the CBD from their national reporting systems. Countries are encouraged to establish national systems for collecting data on positive incentives for biodiversity.</w:t>
      </w:r>
      <w:r w:rsidRPr="00ED7E61">
        <w:rPr>
          <w:rStyle w:val="eop"/>
          <w:rFonts w:asciiTheme="majorBidi" w:eastAsiaTheme="majorEastAsia" w:hAnsiTheme="majorBidi" w:cstheme="majorBidi"/>
          <w:color w:val="000000"/>
        </w:rPr>
        <w:t> </w:t>
      </w:r>
    </w:p>
    <w:p w14:paraId="228C3D1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5c. Data collection method </w:t>
      </w:r>
      <w:r w:rsidRPr="00ED7E61">
        <w:rPr>
          <w:rStyle w:val="eop"/>
          <w:rFonts w:asciiTheme="majorBidi" w:eastAsiaTheme="majorEastAsia" w:hAnsiTheme="majorBidi" w:cstheme="majorBidi"/>
          <w:b/>
          <w:bCs/>
          <w:sz w:val="22"/>
          <w:szCs w:val="22"/>
        </w:rPr>
        <w:t> </w:t>
      </w:r>
    </w:p>
    <w:p w14:paraId="4E004F7B" w14:textId="1806C35D" w:rsidR="00B46714"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Data on positive incentives for biodiversity, reported via the OECD PINE database are collected via a network of 5</w:t>
      </w:r>
      <w:r w:rsidR="00A00CA4">
        <w:rPr>
          <w:rStyle w:val="normaltextrun"/>
          <w:rFonts w:asciiTheme="majorBidi" w:eastAsiaTheme="majorEastAsia" w:hAnsiTheme="majorBidi" w:cstheme="majorBidi"/>
          <w:color w:val="000000"/>
        </w:rPr>
        <w:t>0</w:t>
      </w:r>
      <w:r w:rsidRPr="00ED7E61">
        <w:rPr>
          <w:rStyle w:val="normaltextrun"/>
          <w:rFonts w:asciiTheme="majorBidi" w:eastAsiaTheme="majorEastAsia" w:hAnsiTheme="majorBidi" w:cstheme="majorBidi"/>
          <w:color w:val="000000"/>
        </w:rPr>
        <w:t xml:space="preserve">0+ registered country experts from government agencies (Ministries of Finance and Environment, statistical institutes) as well as research institutes and international organisations. Data are collected regularly for OECD members, accession countries and OECD key partners. A growing number of non-member countries also contribute data to PINE. The OECD also conducts targeted data collection initiatives to expand the coverage of countries and update the information. Currently the PINE database includes information from </w:t>
      </w:r>
      <w:r w:rsidR="00650710">
        <w:rPr>
          <w:rStyle w:val="normaltextrun"/>
          <w:rFonts w:asciiTheme="majorBidi" w:eastAsiaTheme="majorEastAsia" w:hAnsiTheme="majorBidi" w:cstheme="majorBidi"/>
          <w:color w:val="000000"/>
        </w:rPr>
        <w:t xml:space="preserve">more than </w:t>
      </w:r>
      <w:r w:rsidRPr="00ED7E61">
        <w:rPr>
          <w:rStyle w:val="normaltextrun"/>
          <w:rFonts w:asciiTheme="majorBidi" w:eastAsiaTheme="majorEastAsia" w:hAnsiTheme="majorBidi" w:cstheme="majorBidi"/>
          <w:color w:val="000000"/>
        </w:rPr>
        <w:t>1</w:t>
      </w:r>
      <w:r w:rsidR="00650710">
        <w:rPr>
          <w:rStyle w:val="normaltextrun"/>
          <w:rFonts w:asciiTheme="majorBidi" w:eastAsiaTheme="majorEastAsia" w:hAnsiTheme="majorBidi" w:cstheme="majorBidi"/>
          <w:color w:val="000000"/>
        </w:rPr>
        <w:t>40</w:t>
      </w:r>
      <w:r w:rsidRPr="00ED7E61">
        <w:rPr>
          <w:rStyle w:val="normaltextrun"/>
          <w:rFonts w:asciiTheme="majorBidi" w:eastAsiaTheme="majorEastAsia" w:hAnsiTheme="majorBidi" w:cstheme="majorBidi"/>
          <w:color w:val="000000"/>
        </w:rPr>
        <w:t xml:space="preserve"> countries (~70% of Parties to the CBD). </w:t>
      </w:r>
      <w:r w:rsidRPr="00ED7E61">
        <w:rPr>
          <w:rStyle w:val="eop"/>
          <w:rFonts w:asciiTheme="majorBidi" w:eastAsiaTheme="majorEastAsia" w:hAnsiTheme="majorBidi" w:cstheme="majorBidi"/>
          <w:color w:val="000000"/>
        </w:rPr>
        <w:t> </w:t>
      </w:r>
    </w:p>
    <w:p w14:paraId="75953E55" w14:textId="44FE21D7"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 xml:space="preserve">Registered experts are asked to update data at least once a year, typically </w:t>
      </w:r>
      <w:r w:rsidR="00650710">
        <w:rPr>
          <w:rStyle w:val="normaltextrun"/>
          <w:rFonts w:asciiTheme="majorBidi" w:eastAsiaTheme="majorEastAsia" w:hAnsiTheme="majorBidi" w:cstheme="majorBidi"/>
          <w:color w:val="000000"/>
        </w:rPr>
        <w:t>from</w:t>
      </w:r>
      <w:r w:rsidR="00650710" w:rsidRPr="00ED7E61">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000000"/>
        </w:rPr>
        <w:t>January</w:t>
      </w:r>
      <w:r w:rsidR="00650710">
        <w:rPr>
          <w:rStyle w:val="normaltextrun"/>
          <w:rFonts w:asciiTheme="majorBidi" w:eastAsiaTheme="majorEastAsia" w:hAnsiTheme="majorBidi" w:cstheme="majorBidi"/>
          <w:color w:val="000000"/>
        </w:rPr>
        <w:t>- March</w:t>
      </w:r>
      <w:r w:rsidRPr="00ED7E61">
        <w:rPr>
          <w:rStyle w:val="normaltextrun"/>
          <w:rFonts w:asciiTheme="majorBidi" w:eastAsiaTheme="majorEastAsia" w:hAnsiTheme="majorBidi" w:cstheme="majorBidi"/>
          <w:color w:val="000000"/>
        </w:rPr>
        <w:t xml:space="preserve">, through </w:t>
      </w:r>
      <w:r w:rsidR="00D3705A">
        <w:rPr>
          <w:rStyle w:val="normaltextrun"/>
          <w:rFonts w:asciiTheme="majorBidi" w:eastAsiaTheme="majorEastAsia" w:hAnsiTheme="majorBidi" w:cstheme="majorBidi"/>
          <w:color w:val="000000"/>
        </w:rPr>
        <w:t>a secured</w:t>
      </w:r>
      <w:r w:rsidR="00D3705A" w:rsidRPr="00ED7E61">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000000"/>
        </w:rPr>
        <w:t xml:space="preserve">online </w:t>
      </w:r>
      <w:r w:rsidR="00D3705A">
        <w:rPr>
          <w:rStyle w:val="normaltextrun"/>
          <w:rFonts w:asciiTheme="majorBidi" w:eastAsiaTheme="majorEastAsia" w:hAnsiTheme="majorBidi" w:cstheme="majorBidi"/>
          <w:color w:val="000000"/>
        </w:rPr>
        <w:t>data collection portal</w:t>
      </w:r>
      <w:r w:rsidRPr="00ED7E61">
        <w:rPr>
          <w:rStyle w:val="normaltextrun"/>
          <w:rFonts w:asciiTheme="majorBidi" w:eastAsiaTheme="majorEastAsia" w:hAnsiTheme="majorBidi" w:cstheme="majorBidi"/>
          <w:color w:val="000000"/>
        </w:rPr>
        <w:t>. Country experts register to access the database. </w:t>
      </w:r>
      <w:r w:rsidRPr="00ED7E61">
        <w:rPr>
          <w:rStyle w:val="eop"/>
          <w:rFonts w:asciiTheme="majorBidi" w:eastAsiaTheme="majorEastAsia" w:hAnsiTheme="majorBidi" w:cstheme="majorBidi"/>
          <w:color w:val="000000"/>
        </w:rPr>
        <w:t> </w:t>
      </w:r>
    </w:p>
    <w:p w14:paraId="798536F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b/>
          <w:bCs/>
          <w:sz w:val="22"/>
          <w:szCs w:val="22"/>
        </w:rPr>
        <w:t> </w:t>
      </w:r>
    </w:p>
    <w:p w14:paraId="1B4E271A" w14:textId="3A50A74C" w:rsidR="00B46714" w:rsidRPr="00ED7E61" w:rsidRDefault="00756F0F" w:rsidP="00B10F0C">
      <w:pPr>
        <w:pStyle w:val="CBDNormalNumber"/>
        <w:numPr>
          <w:ilvl w:val="0"/>
          <w:numId w:val="93"/>
        </w:numPr>
        <w:shd w:val="clear" w:color="auto" w:fill="FFFFFF"/>
        <w:ind w:left="567" w:firstLine="0"/>
        <w:rPr>
          <w:rFonts w:asciiTheme="majorBidi" w:hAnsiTheme="majorBidi" w:cstheme="majorBidi"/>
          <w:color w:val="0F4761"/>
        </w:rPr>
      </w:pPr>
      <w:r w:rsidRPr="00ED7E61">
        <w:rPr>
          <w:rStyle w:val="normaltextrun"/>
          <w:rFonts w:asciiTheme="majorBidi" w:eastAsiaTheme="majorEastAsia" w:hAnsiTheme="majorBidi" w:cstheme="majorBidi"/>
          <w:color w:val="000000"/>
        </w:rPr>
        <w:t xml:space="preserve">The PINE data are publicly available on the OECD website. See  </w:t>
      </w:r>
      <w:hyperlink r:id="rId452" w:tgtFrame="_blank" w:history="1">
        <w:r w:rsidRPr="00ED7E61">
          <w:rPr>
            <w:rStyle w:val="normaltextrun"/>
            <w:rFonts w:asciiTheme="majorBidi" w:eastAsiaTheme="majorEastAsia" w:hAnsiTheme="majorBidi" w:cstheme="majorBidi"/>
            <w:color w:val="467886"/>
            <w:u w:val="single"/>
          </w:rPr>
          <w:t>http://oe.cd/pinedatabase</w:t>
        </w:r>
      </w:hyperlink>
      <w:r w:rsidRPr="00ED7E61">
        <w:rPr>
          <w:rStyle w:val="normaltextrun"/>
          <w:rFonts w:asciiTheme="majorBidi" w:eastAsiaTheme="majorEastAsia" w:hAnsiTheme="majorBidi" w:cstheme="majorBidi"/>
          <w:color w:val="000000"/>
        </w:rPr>
        <w:t> </w:t>
      </w:r>
      <w:r w:rsidRPr="00ED7E61">
        <w:rPr>
          <w:rStyle w:val="eop"/>
          <w:rFonts w:asciiTheme="majorBidi" w:eastAsiaTheme="majorEastAsia" w:hAnsiTheme="majorBidi" w:cstheme="majorBidi"/>
          <w:color w:val="000000"/>
        </w:rPr>
        <w:t> </w:t>
      </w:r>
    </w:p>
    <w:p w14:paraId="4F1B9705" w14:textId="77777777"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The PINE data can be accessed:</w:t>
      </w:r>
      <w:r w:rsidRPr="00ED7E61">
        <w:rPr>
          <w:rStyle w:val="eop"/>
          <w:rFonts w:asciiTheme="majorBidi" w:eastAsiaTheme="majorEastAsia" w:hAnsiTheme="majorBidi" w:cstheme="majorBidi"/>
          <w:color w:val="000000"/>
        </w:rPr>
        <w:t> </w:t>
      </w:r>
    </w:p>
    <w:p w14:paraId="707D7BEC" w14:textId="77777777" w:rsidR="00756F0F" w:rsidRPr="00ED7E61" w:rsidRDefault="00756F0F" w:rsidP="00B10F0C">
      <w:pPr>
        <w:pStyle w:val="CBDNormalNumber"/>
        <w:numPr>
          <w:ilvl w:val="0"/>
          <w:numId w:val="27"/>
        </w:numPr>
        <w:tabs>
          <w:tab w:val="clear" w:pos="567"/>
          <w:tab w:val="clear" w:pos="1134"/>
          <w:tab w:val="clear" w:pos="1701"/>
          <w:tab w:val="clear" w:pos="2268"/>
          <w:tab w:val="left" w:pos="1985"/>
        </w:tabs>
        <w:ind w:firstLine="5884"/>
        <w:rPr>
          <w:rStyle w:val="normaltextrun"/>
          <w:rFonts w:eastAsiaTheme="majorEastAsia"/>
        </w:rPr>
      </w:pPr>
      <w:r w:rsidRPr="00ED7E61">
        <w:rPr>
          <w:rStyle w:val="normaltextrun"/>
          <w:rFonts w:asciiTheme="majorBidi" w:eastAsiaTheme="majorEastAsia" w:hAnsiTheme="majorBidi" w:cstheme="majorBidi"/>
        </w:rPr>
        <w:t>by type of economic instrument (tax, fee/charge, tradable permit, etc.)</w:t>
      </w:r>
      <w:r w:rsidRPr="00ED7E61">
        <w:rPr>
          <w:rStyle w:val="normaltextrun"/>
        </w:rPr>
        <w:t> </w:t>
      </w:r>
    </w:p>
    <w:p w14:paraId="1907F629" w14:textId="6F41FED2" w:rsidR="00756F0F" w:rsidRPr="00ED7E61" w:rsidRDefault="00756F0F" w:rsidP="00C555D9">
      <w:pPr>
        <w:pStyle w:val="CBDNormalNumber"/>
        <w:numPr>
          <w:ilvl w:val="0"/>
          <w:numId w:val="27"/>
        </w:numPr>
        <w:tabs>
          <w:tab w:val="clear" w:pos="567"/>
          <w:tab w:val="clear" w:pos="1134"/>
          <w:tab w:val="clear" w:pos="1701"/>
          <w:tab w:val="clear" w:pos="2268"/>
          <w:tab w:val="left" w:pos="1985"/>
        </w:tabs>
        <w:ind w:firstLine="5884"/>
        <w:rPr>
          <w:rStyle w:val="normaltextrun"/>
          <w:rFonts w:eastAsiaTheme="majorEastAsia"/>
        </w:rPr>
      </w:pPr>
      <w:r w:rsidRPr="00ED7E61">
        <w:rPr>
          <w:rStyle w:val="normaltextrun"/>
          <w:rFonts w:asciiTheme="majorBidi" w:eastAsiaTheme="majorEastAsia" w:hAnsiTheme="majorBidi" w:cstheme="majorBidi"/>
        </w:rPr>
        <w:t>by country</w:t>
      </w:r>
    </w:p>
    <w:p w14:paraId="5229066B" w14:textId="4DFDF71B" w:rsidR="00756F0F" w:rsidRPr="00ED7E61" w:rsidRDefault="00756F0F" w:rsidP="00B10F0C">
      <w:pPr>
        <w:pStyle w:val="CBDNormalNumber"/>
        <w:numPr>
          <w:ilvl w:val="0"/>
          <w:numId w:val="27"/>
        </w:numPr>
        <w:tabs>
          <w:tab w:val="clear" w:pos="567"/>
          <w:tab w:val="clear" w:pos="1134"/>
          <w:tab w:val="clear" w:pos="1701"/>
          <w:tab w:val="clear" w:pos="2268"/>
          <w:tab w:val="left" w:pos="1985"/>
        </w:tabs>
        <w:ind w:firstLine="5884"/>
        <w:rPr>
          <w:rStyle w:val="normaltextrun"/>
          <w:rFonts w:eastAsiaTheme="majorEastAsia"/>
        </w:rPr>
      </w:pPr>
      <w:r w:rsidRPr="00ED7E61">
        <w:rPr>
          <w:rStyle w:val="normaltextrun"/>
          <w:rFonts w:asciiTheme="majorBidi" w:eastAsiaTheme="majorEastAsia" w:hAnsiTheme="majorBidi" w:cstheme="majorBidi"/>
        </w:rPr>
        <w:t>by environmental domain (e.g. biodiversity, climate change, air pollution, etc</w:t>
      </w:r>
      <w:r w:rsidR="00A9006D">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w:t>
      </w:r>
      <w:r w:rsidRPr="00ED7E61">
        <w:rPr>
          <w:rStyle w:val="normaltextrun"/>
        </w:rPr>
        <w:t> </w:t>
      </w:r>
    </w:p>
    <w:p w14:paraId="0AE8288A" w14:textId="77777777" w:rsidR="00756F0F" w:rsidRPr="00ED7E61" w:rsidRDefault="00756F0F" w:rsidP="00B10F0C">
      <w:pPr>
        <w:pStyle w:val="CBDNormalNumber"/>
        <w:numPr>
          <w:ilvl w:val="0"/>
          <w:numId w:val="93"/>
        </w:numPr>
        <w:shd w:val="clear" w:color="auto" w:fill="FFFFFF"/>
        <w:ind w:left="567" w:firstLine="0"/>
        <w:rPr>
          <w:rStyle w:val="normaltextrun"/>
          <w:rFonts w:eastAsiaTheme="majorEastAsia"/>
          <w:color w:val="000000"/>
        </w:rPr>
      </w:pPr>
      <w:r w:rsidRPr="00ED7E61">
        <w:rPr>
          <w:rStyle w:val="normaltextrun"/>
          <w:rFonts w:asciiTheme="majorBidi" w:eastAsiaTheme="majorEastAsia" w:hAnsiTheme="majorBidi" w:cstheme="majorBidi"/>
          <w:color w:val="000000"/>
        </w:rPr>
        <w:t>The data analysis for the indicators on biodiversity-relevant positive incentives is undertaken by extracting the relevant information in the PINE database for the biodiversity environmental domain.</w:t>
      </w:r>
      <w:r w:rsidRPr="00ED7E61">
        <w:rPr>
          <w:rStyle w:val="normaltextrun"/>
        </w:rPr>
        <w:t> </w:t>
      </w:r>
    </w:p>
    <w:p w14:paraId="0767FEAB" w14:textId="77777777" w:rsidR="00756F0F" w:rsidRPr="00ED7E61" w:rsidRDefault="00756F0F" w:rsidP="00B10F0C">
      <w:pPr>
        <w:pStyle w:val="CBDNormalNumber"/>
        <w:numPr>
          <w:ilvl w:val="0"/>
          <w:numId w:val="93"/>
        </w:numPr>
        <w:shd w:val="clear" w:color="auto" w:fill="FFFFFF"/>
        <w:ind w:left="567" w:firstLine="0"/>
        <w:rPr>
          <w:rStyle w:val="normaltextrun"/>
          <w:rFonts w:eastAsiaTheme="majorEastAsia"/>
          <w:color w:val="000000"/>
        </w:rPr>
      </w:pPr>
      <w:r w:rsidRPr="00ED7E61">
        <w:rPr>
          <w:rStyle w:val="normaltextrun"/>
          <w:rFonts w:asciiTheme="majorBidi" w:eastAsiaTheme="majorEastAsia" w:hAnsiTheme="majorBidi" w:cstheme="majorBidi"/>
          <w:color w:val="000000"/>
        </w:rPr>
        <w:t>The methodology has been approved by OECD delegates.</w:t>
      </w:r>
      <w:r w:rsidRPr="00ED7E61">
        <w:rPr>
          <w:rStyle w:val="normaltextrun"/>
        </w:rPr>
        <w:t> </w:t>
      </w:r>
    </w:p>
    <w:p w14:paraId="3BA1930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b/>
          <w:bCs/>
          <w:sz w:val="22"/>
          <w:szCs w:val="22"/>
        </w:rPr>
        <w:t> </w:t>
      </w:r>
    </w:p>
    <w:p w14:paraId="40915FA3" w14:textId="77777777"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Data come mainly from government agencies (e.g. Ministries of Finance and Environment; statistical institutes) as well as research institutes and international organisations. See section 5c for further detail. </w:t>
      </w:r>
      <w:r w:rsidRPr="00ED7E61">
        <w:rPr>
          <w:rStyle w:val="eop"/>
          <w:rFonts w:asciiTheme="majorBidi" w:eastAsiaTheme="majorEastAsia" w:hAnsiTheme="majorBidi" w:cstheme="majorBidi"/>
          <w:color w:val="000000"/>
        </w:rPr>
        <w:t> </w:t>
      </w:r>
    </w:p>
    <w:p w14:paraId="240EB4A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b/>
          <w:bCs/>
          <w:sz w:val="22"/>
          <w:szCs w:val="22"/>
        </w:rPr>
        <w:t> </w:t>
      </w:r>
    </w:p>
    <w:p w14:paraId="633431BE" w14:textId="77777777"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Data is available from 1980-present. Updated annually.</w:t>
      </w:r>
      <w:r w:rsidRPr="00ED7E61">
        <w:rPr>
          <w:rStyle w:val="eop"/>
          <w:rFonts w:asciiTheme="majorBidi" w:eastAsiaTheme="majorEastAsia" w:hAnsiTheme="majorBidi" w:cstheme="majorBidi"/>
          <w:color w:val="000000"/>
        </w:rPr>
        <w:t> </w:t>
      </w:r>
    </w:p>
    <w:p w14:paraId="64653B22"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5g. Time series </w:t>
      </w:r>
      <w:r w:rsidRPr="00ED7E61">
        <w:rPr>
          <w:rStyle w:val="eop"/>
          <w:rFonts w:asciiTheme="majorBidi" w:eastAsiaTheme="majorEastAsia" w:hAnsiTheme="majorBidi" w:cstheme="majorBidi"/>
          <w:b/>
          <w:bCs/>
          <w:sz w:val="22"/>
          <w:szCs w:val="22"/>
        </w:rPr>
        <w:t> </w:t>
      </w:r>
    </w:p>
    <w:p w14:paraId="1A9A83E3" w14:textId="550FEEED" w:rsidR="00756F0F" w:rsidRPr="00ED7E61" w:rsidRDefault="00756F0F" w:rsidP="00B10F0C">
      <w:pPr>
        <w:pStyle w:val="CBDNormalNumber"/>
        <w:numPr>
          <w:ilvl w:val="0"/>
          <w:numId w:val="93"/>
        </w:numPr>
        <w:shd w:val="clear" w:color="auto" w:fill="FFFFFF"/>
        <w:ind w:left="567" w:firstLine="0"/>
        <w:rPr>
          <w:rStyle w:val="normaltextrun"/>
          <w:rFonts w:eastAsiaTheme="majorEastAsia"/>
          <w:color w:val="000000"/>
          <w:sz w:val="24"/>
          <w:szCs w:val="24"/>
          <w:lang w:val="en-CA"/>
        </w:rPr>
      </w:pPr>
      <w:r w:rsidRPr="00ED7E61">
        <w:rPr>
          <w:rStyle w:val="normaltextrun"/>
          <w:rFonts w:asciiTheme="majorBidi" w:eastAsiaTheme="majorEastAsia" w:hAnsiTheme="majorBidi" w:cstheme="majorBidi"/>
          <w:color w:val="000000"/>
        </w:rPr>
        <w:t xml:space="preserve">Data </w:t>
      </w:r>
      <w:r w:rsidR="006552D1">
        <w:rPr>
          <w:rStyle w:val="normaltextrun"/>
          <w:rFonts w:asciiTheme="majorBidi" w:eastAsiaTheme="majorEastAsia" w:hAnsiTheme="majorBidi" w:cstheme="majorBidi"/>
          <w:color w:val="000000"/>
        </w:rPr>
        <w:t xml:space="preserve">in the </w:t>
      </w:r>
      <w:r w:rsidR="00F310EC">
        <w:rPr>
          <w:rStyle w:val="normaltextrun"/>
          <w:rFonts w:asciiTheme="majorBidi" w:eastAsiaTheme="majorEastAsia" w:hAnsiTheme="majorBidi" w:cstheme="majorBidi"/>
          <w:color w:val="000000"/>
        </w:rPr>
        <w:t xml:space="preserve">OECD </w:t>
      </w:r>
      <w:r w:rsidR="006552D1">
        <w:rPr>
          <w:rStyle w:val="normaltextrun"/>
          <w:rFonts w:asciiTheme="majorBidi" w:eastAsiaTheme="majorEastAsia" w:hAnsiTheme="majorBidi" w:cstheme="majorBidi"/>
          <w:color w:val="000000"/>
        </w:rPr>
        <w:t xml:space="preserve">PINE database </w:t>
      </w:r>
      <w:r w:rsidRPr="00ED7E61">
        <w:rPr>
          <w:rStyle w:val="normaltextrun"/>
          <w:rFonts w:asciiTheme="majorBidi" w:eastAsiaTheme="majorEastAsia" w:hAnsiTheme="majorBidi" w:cstheme="majorBidi"/>
          <w:color w:val="000000"/>
        </w:rPr>
        <w:t xml:space="preserve">are available from 1980-present for </w:t>
      </w:r>
      <w:r w:rsidR="00FB00E6">
        <w:rPr>
          <w:rStyle w:val="normaltextrun"/>
          <w:rFonts w:asciiTheme="majorBidi" w:eastAsiaTheme="majorEastAsia" w:hAnsiTheme="majorBidi" w:cstheme="majorBidi"/>
          <w:color w:val="000000"/>
        </w:rPr>
        <w:t xml:space="preserve">more than </w:t>
      </w:r>
      <w:proofErr w:type="gramStart"/>
      <w:r w:rsidR="00FB00E6">
        <w:rPr>
          <w:rStyle w:val="normaltextrun"/>
          <w:rFonts w:asciiTheme="majorBidi" w:eastAsiaTheme="majorEastAsia" w:hAnsiTheme="majorBidi" w:cstheme="majorBidi"/>
          <w:color w:val="000000"/>
        </w:rPr>
        <w:t xml:space="preserve">140 </w:t>
      </w:r>
      <w:r w:rsidRPr="00ED7E61">
        <w:rPr>
          <w:rStyle w:val="normaltextrun"/>
          <w:rFonts w:asciiTheme="majorBidi" w:eastAsiaTheme="majorEastAsia" w:hAnsiTheme="majorBidi" w:cstheme="majorBidi"/>
          <w:color w:val="000000"/>
        </w:rPr>
        <w:t xml:space="preserve"> countries</w:t>
      </w:r>
      <w:proofErr w:type="gramEnd"/>
      <w:r w:rsidRPr="00ED7E61">
        <w:rPr>
          <w:rStyle w:val="normaltextrun"/>
          <w:rFonts w:asciiTheme="majorBidi" w:eastAsiaTheme="majorEastAsia" w:hAnsiTheme="majorBidi" w:cstheme="majorBidi"/>
          <w:color w:val="000000"/>
        </w:rPr>
        <w:t xml:space="preserve"> and are updated annually. OECD’s Tracking Economic Instruments and Finance </w:t>
      </w:r>
      <w:r w:rsidR="00D43C46">
        <w:rPr>
          <w:rStyle w:val="normaltextrun"/>
          <w:rFonts w:asciiTheme="majorBidi" w:eastAsiaTheme="majorEastAsia" w:hAnsiTheme="majorBidi" w:cstheme="majorBidi"/>
          <w:color w:val="000000"/>
        </w:rPr>
        <w:t xml:space="preserve">for Biodiversity </w:t>
      </w:r>
      <w:r w:rsidRPr="00ED7E61">
        <w:rPr>
          <w:rStyle w:val="normaltextrun"/>
          <w:rFonts w:asciiTheme="majorBidi" w:eastAsiaTheme="majorEastAsia" w:hAnsiTheme="majorBidi" w:cstheme="majorBidi"/>
          <w:color w:val="000000"/>
        </w:rPr>
        <w:t xml:space="preserve">reports </w:t>
      </w:r>
      <w:r w:rsidR="00D43C46">
        <w:rPr>
          <w:rStyle w:val="normaltextrun"/>
          <w:rFonts w:asciiTheme="majorBidi" w:eastAsiaTheme="majorEastAsia" w:hAnsiTheme="majorBidi" w:cstheme="majorBidi"/>
          <w:color w:val="000000"/>
        </w:rPr>
        <w:t xml:space="preserve">(first released in 2017 and </w:t>
      </w:r>
      <w:r w:rsidRPr="00ED7E61">
        <w:rPr>
          <w:rStyle w:val="normaltextrun"/>
          <w:rFonts w:asciiTheme="majorBidi" w:eastAsiaTheme="majorEastAsia" w:hAnsiTheme="majorBidi" w:cstheme="majorBidi"/>
          <w:color w:val="000000"/>
        </w:rPr>
        <w:t>updated regularly, for example in 20</w:t>
      </w:r>
      <w:r w:rsidR="003A3942">
        <w:rPr>
          <w:rStyle w:val="normaltextrun"/>
          <w:rFonts w:asciiTheme="majorBidi" w:eastAsiaTheme="majorEastAsia" w:hAnsiTheme="majorBidi" w:cstheme="majorBidi"/>
          <w:color w:val="000000"/>
        </w:rPr>
        <w:t xml:space="preserve">24, with the next update </w:t>
      </w:r>
      <w:r w:rsidR="003A3942">
        <w:rPr>
          <w:rStyle w:val="normaltextrun"/>
          <w:rFonts w:asciiTheme="majorBidi" w:eastAsiaTheme="majorEastAsia" w:hAnsiTheme="majorBidi" w:cstheme="majorBidi"/>
          <w:color w:val="000000"/>
        </w:rPr>
        <w:lastRenderedPageBreak/>
        <w:t>forthcoming in 2026</w:t>
      </w:r>
      <w:r w:rsidRPr="00ED7E61">
        <w:rPr>
          <w:rStyle w:val="normaltextrun"/>
          <w:rFonts w:asciiTheme="majorBidi" w:eastAsiaTheme="majorEastAsia" w:hAnsiTheme="majorBidi" w:cstheme="majorBidi"/>
          <w:color w:val="000000"/>
        </w:rPr>
        <w:t>) summarises and analyses the biodiversity-related instruments in the PINE database. The annually updated data is publicly accessible on the OECD PINE website.</w:t>
      </w:r>
      <w:r w:rsidRPr="00ED7E61">
        <w:rPr>
          <w:rStyle w:val="normaltextrun"/>
        </w:rPr>
        <w:t> </w:t>
      </w:r>
    </w:p>
    <w:p w14:paraId="34C24A9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b/>
          <w:bCs/>
          <w:sz w:val="22"/>
          <w:szCs w:val="22"/>
        </w:rPr>
        <w:t> </w:t>
      </w:r>
    </w:p>
    <w:p w14:paraId="1CB48CBA" w14:textId="6284D662"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Data providers are a network of 450</w:t>
      </w:r>
      <w:r w:rsidR="004857C1">
        <w:rPr>
          <w:rStyle w:val="normaltextrun"/>
          <w:rFonts w:asciiTheme="majorBidi" w:eastAsiaTheme="majorEastAsia" w:hAnsiTheme="majorBidi" w:cstheme="majorBidi"/>
          <w:color w:val="000000"/>
        </w:rPr>
        <w:t>0</w:t>
      </w:r>
      <w:r w:rsidRPr="00ED7E61">
        <w:rPr>
          <w:rStyle w:val="normaltextrun"/>
          <w:rFonts w:asciiTheme="majorBidi" w:eastAsiaTheme="majorEastAsia" w:hAnsiTheme="majorBidi" w:cstheme="majorBidi"/>
          <w:color w:val="000000"/>
        </w:rPr>
        <w:t>+ registered country experts from government agencies (Ministries of Finance and Environment, statistical institutes) as well as research institutes and international organisations. Data are collected systematically for OECD members as well as the active OECD accession countries. A growing number of non-member countries also provide information. Registered experts are asked to update</w:t>
      </w:r>
      <w:r w:rsidR="0083629A">
        <w:rPr>
          <w:rStyle w:val="normaltextrun"/>
          <w:rFonts w:asciiTheme="majorBidi" w:eastAsiaTheme="majorEastAsia" w:hAnsiTheme="majorBidi" w:cstheme="majorBidi"/>
          <w:color w:val="000000"/>
        </w:rPr>
        <w:t xml:space="preserve"> and validate</w:t>
      </w:r>
      <w:r w:rsidRPr="00ED7E61">
        <w:rPr>
          <w:rStyle w:val="normaltextrun"/>
          <w:rFonts w:asciiTheme="majorBidi" w:eastAsiaTheme="majorEastAsia" w:hAnsiTheme="majorBidi" w:cstheme="majorBidi"/>
          <w:color w:val="000000"/>
        </w:rPr>
        <w:t xml:space="preserve"> data once a year, typically in January</w:t>
      </w:r>
      <w:r w:rsidR="0083629A">
        <w:rPr>
          <w:rStyle w:val="normaltextrun"/>
          <w:rFonts w:asciiTheme="majorBidi" w:eastAsiaTheme="majorEastAsia" w:hAnsiTheme="majorBidi" w:cstheme="majorBidi"/>
          <w:color w:val="000000"/>
        </w:rPr>
        <w:t xml:space="preserve"> through</w:t>
      </w:r>
      <w:r w:rsidR="00A3692E">
        <w:rPr>
          <w:rStyle w:val="normaltextrun"/>
          <w:rFonts w:asciiTheme="majorBidi" w:eastAsiaTheme="majorEastAsia" w:hAnsiTheme="majorBidi" w:cstheme="majorBidi"/>
          <w:color w:val="000000"/>
        </w:rPr>
        <w:t xml:space="preserve"> March</w:t>
      </w:r>
      <w:r w:rsidRPr="00ED7E61">
        <w:rPr>
          <w:rStyle w:val="normaltextrun"/>
          <w:rFonts w:asciiTheme="majorBidi" w:eastAsiaTheme="majorEastAsia" w:hAnsiTheme="majorBidi" w:cstheme="majorBidi"/>
          <w:color w:val="000000"/>
        </w:rPr>
        <w:t xml:space="preserve">, through a </w:t>
      </w:r>
      <w:r w:rsidR="00A3692E">
        <w:rPr>
          <w:rStyle w:val="normaltextrun"/>
          <w:rFonts w:asciiTheme="majorBidi" w:eastAsiaTheme="majorEastAsia" w:hAnsiTheme="majorBidi" w:cstheme="majorBidi"/>
          <w:color w:val="000000"/>
        </w:rPr>
        <w:t>secured online data collection portal</w:t>
      </w:r>
      <w:r w:rsidRPr="00ED7E61">
        <w:rPr>
          <w:rStyle w:val="normaltextrun"/>
          <w:rFonts w:asciiTheme="majorBidi" w:eastAsiaTheme="majorEastAsia" w:hAnsiTheme="majorBidi" w:cstheme="majorBidi"/>
          <w:color w:val="000000"/>
        </w:rPr>
        <w:t>. All countries are welcome to contribute data to the OECD PINE database. </w:t>
      </w:r>
      <w:r w:rsidRPr="00ED7E61">
        <w:rPr>
          <w:rStyle w:val="eop"/>
          <w:rFonts w:asciiTheme="majorBidi" w:eastAsiaTheme="majorEastAsia" w:hAnsiTheme="majorBidi" w:cstheme="majorBidi"/>
          <w:color w:val="000000"/>
        </w:rPr>
        <w:t> </w:t>
      </w:r>
    </w:p>
    <w:p w14:paraId="55877770" w14:textId="77777777"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Countries can also provide data directly to CBD.</w:t>
      </w:r>
      <w:r w:rsidRPr="00ED7E61">
        <w:rPr>
          <w:rStyle w:val="eop"/>
          <w:rFonts w:asciiTheme="majorBidi" w:eastAsiaTheme="majorEastAsia" w:hAnsiTheme="majorBidi" w:cstheme="majorBidi"/>
          <w:color w:val="000000"/>
        </w:rPr>
        <w:t> </w:t>
      </w:r>
    </w:p>
    <w:p w14:paraId="48FDE28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5i. Data compilers </w:t>
      </w:r>
      <w:r w:rsidRPr="00ED7E61">
        <w:rPr>
          <w:rStyle w:val="eop"/>
          <w:rFonts w:asciiTheme="majorBidi" w:eastAsiaTheme="majorEastAsia" w:hAnsiTheme="majorBidi" w:cstheme="majorBidi"/>
          <w:b/>
          <w:bCs/>
          <w:sz w:val="22"/>
          <w:szCs w:val="22"/>
        </w:rPr>
        <w:t> </w:t>
      </w:r>
    </w:p>
    <w:p w14:paraId="4EE8ED0D" w14:textId="77777777"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The OECD Secretariat is responsible for collecting and harmonising the data. Data validation is undertaken by the OECD Secretariat in collaboration with the reporting countries.</w:t>
      </w:r>
      <w:r w:rsidRPr="00ED7E61">
        <w:rPr>
          <w:rStyle w:val="eop"/>
          <w:rFonts w:asciiTheme="majorBidi" w:eastAsiaTheme="majorEastAsia" w:hAnsiTheme="majorBidi" w:cstheme="majorBidi"/>
          <w:color w:val="000000"/>
        </w:rPr>
        <w:t> </w:t>
      </w:r>
    </w:p>
    <w:p w14:paraId="58DADD8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b/>
          <w:bCs/>
          <w:sz w:val="22"/>
          <w:szCs w:val="22"/>
        </w:rPr>
        <w:t> </w:t>
      </w:r>
    </w:p>
    <w:p w14:paraId="5F7204D2" w14:textId="69987862"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 xml:space="preserve">The OECD PINE database includes data from </w:t>
      </w:r>
      <w:r w:rsidR="00225324">
        <w:rPr>
          <w:rStyle w:val="normaltextrun"/>
          <w:rFonts w:asciiTheme="majorBidi" w:eastAsiaTheme="majorEastAsia" w:hAnsiTheme="majorBidi" w:cstheme="majorBidi"/>
          <w:color w:val="000000"/>
        </w:rPr>
        <w:t>more than</w:t>
      </w:r>
      <w:r w:rsidR="00CE7236">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000000"/>
        </w:rPr>
        <w:t>1</w:t>
      </w:r>
      <w:r w:rsidR="00922CEA">
        <w:rPr>
          <w:rStyle w:val="normaltextrun"/>
          <w:rFonts w:asciiTheme="majorBidi" w:eastAsiaTheme="majorEastAsia" w:hAnsiTheme="majorBidi" w:cstheme="majorBidi"/>
          <w:color w:val="000000"/>
        </w:rPr>
        <w:t>4</w:t>
      </w:r>
      <w:r w:rsidR="00225324">
        <w:rPr>
          <w:rStyle w:val="normaltextrun"/>
          <w:rFonts w:asciiTheme="majorBidi" w:eastAsiaTheme="majorEastAsia" w:hAnsiTheme="majorBidi" w:cstheme="majorBidi"/>
          <w:color w:val="000000"/>
        </w:rPr>
        <w:t>0</w:t>
      </w:r>
      <w:r w:rsidRPr="00ED7E61">
        <w:rPr>
          <w:rStyle w:val="normaltextrun"/>
          <w:rFonts w:asciiTheme="majorBidi" w:eastAsiaTheme="majorEastAsia" w:hAnsiTheme="majorBidi" w:cstheme="majorBidi"/>
          <w:color w:val="000000"/>
        </w:rPr>
        <w:t xml:space="preserve"> countries (and is expanding over time). The data collection method may result in some reporting bias, as OECD members and active accession countries are likely to report data more regularly. All figures should be interpreted in this context. Data updates for countries may be delayed due to staff changes in the national teams providing the information. As the instrument categories on </w:t>
      </w:r>
      <w:r w:rsidR="00D20B01">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payments for ecosystem services</w:t>
      </w:r>
      <w:r w:rsidR="00D20B01">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and on </w:t>
      </w:r>
      <w:r w:rsidR="00D20B01">
        <w:rPr>
          <w:rStyle w:val="normaltextrun"/>
          <w:rFonts w:asciiTheme="majorBidi" w:eastAsiaTheme="majorEastAsia" w:hAnsiTheme="majorBidi" w:cstheme="majorBidi"/>
          <w:color w:val="000000"/>
        </w:rPr>
        <w:t>“</w:t>
      </w:r>
      <w:r w:rsidRPr="00FB1598">
        <w:rPr>
          <w:rStyle w:val="normaltextrun"/>
          <w:rFonts w:asciiTheme="majorBidi" w:eastAsiaTheme="majorEastAsia" w:hAnsiTheme="majorBidi" w:cstheme="majorBidi"/>
          <w:i/>
          <w:iCs/>
          <w:color w:val="000000"/>
        </w:rPr>
        <w:t>biodiversity offsets</w:t>
      </w:r>
      <w:r w:rsidR="00D20B01">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were introduced into the PINE database in 2023, the data for these two types of positive incentives is likely to be less comprehensive than for the other types of positive incentives. It is expected that reporting on these two new instruments will improve over time.</w:t>
      </w:r>
      <w:r w:rsidRPr="00ED7E61">
        <w:rPr>
          <w:rStyle w:val="eop"/>
          <w:rFonts w:asciiTheme="majorBidi" w:eastAsiaTheme="majorEastAsia" w:hAnsiTheme="majorBidi" w:cstheme="majorBidi"/>
          <w:color w:val="000000"/>
        </w:rPr>
        <w:t> </w:t>
      </w:r>
    </w:p>
    <w:p w14:paraId="342FD8A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5k. Treatment of missing values</w:t>
      </w:r>
      <w:r w:rsidRPr="00ED7E61">
        <w:rPr>
          <w:rStyle w:val="eop"/>
          <w:rFonts w:asciiTheme="majorBidi" w:eastAsiaTheme="majorEastAsia" w:hAnsiTheme="majorBidi" w:cstheme="majorBidi"/>
          <w:b/>
          <w:bCs/>
          <w:sz w:val="22"/>
          <w:szCs w:val="22"/>
        </w:rPr>
        <w:t> </w:t>
      </w:r>
    </w:p>
    <w:p w14:paraId="2A96B1B8" w14:textId="194F40D7" w:rsidR="00756F0F" w:rsidRPr="00ED7E61" w:rsidRDefault="00756F0F" w:rsidP="00B10F0C">
      <w:pPr>
        <w:pStyle w:val="CBDNormalNumber"/>
        <w:numPr>
          <w:ilvl w:val="0"/>
          <w:numId w:val="93"/>
        </w:numPr>
        <w:shd w:val="clear" w:color="auto" w:fill="FFFFFF"/>
        <w:ind w:left="567" w:firstLine="0"/>
        <w:rPr>
          <w:rStyle w:val="normaltextrun"/>
          <w:rFonts w:eastAsiaTheme="majorEastAsia"/>
          <w:color w:val="000000"/>
          <w:sz w:val="24"/>
          <w:szCs w:val="24"/>
          <w:lang w:val="en-CA"/>
        </w:rPr>
      </w:pPr>
      <w:r w:rsidRPr="00ED7E61">
        <w:rPr>
          <w:rStyle w:val="normaltextrun"/>
          <w:rFonts w:asciiTheme="majorBidi" w:eastAsiaTheme="majorEastAsia" w:hAnsiTheme="majorBidi" w:cstheme="majorBidi"/>
          <w:color w:val="000000"/>
        </w:rPr>
        <w:t xml:space="preserve">If data on positive incentives are missing, they may be </w:t>
      </w:r>
      <w:r w:rsidR="002545ED">
        <w:rPr>
          <w:rStyle w:val="normaltextrun"/>
          <w:rFonts w:asciiTheme="majorBidi" w:eastAsiaTheme="majorEastAsia" w:hAnsiTheme="majorBidi" w:cstheme="majorBidi"/>
          <w:color w:val="000000"/>
        </w:rPr>
        <w:t>reconciled using data</w:t>
      </w:r>
      <w:r w:rsidR="002545ED" w:rsidRPr="00ED7E61">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000000"/>
        </w:rPr>
        <w:t>from other international data platforms where appropriate (e.g. EUROSTAT</w:t>
      </w:r>
      <w:r w:rsidR="00E01B2C">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000000"/>
        </w:rPr>
        <w:t>OECD Revenue Statistics).</w:t>
      </w:r>
      <w:r w:rsidRPr="00ED7E61">
        <w:rPr>
          <w:rStyle w:val="normaltextrun"/>
        </w:rPr>
        <w:t> </w:t>
      </w:r>
    </w:p>
    <w:p w14:paraId="722CA4C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 Scale </w:t>
      </w:r>
      <w:r w:rsidRPr="00ED7E61">
        <w:rPr>
          <w:rStyle w:val="eop"/>
          <w:rFonts w:asciiTheme="majorBidi" w:eastAsiaTheme="majorEastAsia" w:hAnsiTheme="majorBidi" w:cstheme="majorBidi"/>
          <w:b/>
          <w:bCs/>
          <w:sz w:val="22"/>
          <w:szCs w:val="22"/>
        </w:rPr>
        <w:t> </w:t>
      </w:r>
    </w:p>
    <w:p w14:paraId="35BA4454" w14:textId="77777777" w:rsidR="00756F0F" w:rsidRPr="00ED7E61" w:rsidRDefault="00756F0F" w:rsidP="00324878">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b/>
          <w:bCs/>
          <w:sz w:val="22"/>
          <w:szCs w:val="22"/>
        </w:rPr>
        <w:t> </w:t>
      </w:r>
    </w:p>
    <w:p w14:paraId="45DC22DB" w14:textId="77777777" w:rsidR="00756F0F" w:rsidRPr="00ED7E61" w:rsidRDefault="00756F0F" w:rsidP="00324878">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Scale of application (please check all relevant boxes):</w:t>
      </w:r>
      <w:r w:rsidRPr="00ED7E61">
        <w:rPr>
          <w:rStyle w:val="normaltextrun"/>
          <w:rFonts w:asciiTheme="majorBidi" w:eastAsiaTheme="majorEastAsia" w:hAnsiTheme="majorBidi" w:cstheme="majorBidi"/>
          <w:i/>
          <w:iCs/>
          <w:sz w:val="22"/>
          <w:szCs w:val="22"/>
          <w:lang w:val="en-GB"/>
        </w:rPr>
        <w:t> </w:t>
      </w:r>
      <w:r w:rsidRPr="00ED7E61">
        <w:rPr>
          <w:rStyle w:val="eop"/>
          <w:rFonts w:asciiTheme="majorBidi" w:eastAsiaTheme="majorEastAsia" w:hAnsiTheme="majorBidi" w:cstheme="majorBidi"/>
          <w:sz w:val="22"/>
          <w:szCs w:val="22"/>
        </w:rPr>
        <w:t> </w:t>
      </w:r>
    </w:p>
    <w:p w14:paraId="29320B52" w14:textId="77777777" w:rsidR="00756F0F" w:rsidRPr="00ED7E61" w:rsidRDefault="00756F0F" w:rsidP="00324878">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Global: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 xml:space="preserve">Regional: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National</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77FDC69C" w14:textId="767275D2"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eop"/>
          <w:rFonts w:asciiTheme="majorBidi" w:eastAsiaTheme="majorEastAsia" w:hAnsiTheme="majorBidi" w:cstheme="majorBidi"/>
        </w:rPr>
        <w:t> </w:t>
      </w:r>
      <w:r w:rsidRPr="00FB1598">
        <w:rPr>
          <w:rStyle w:val="normaltextrun"/>
          <w:rFonts w:asciiTheme="majorBidi" w:eastAsiaTheme="majorEastAsia" w:hAnsiTheme="majorBidi" w:cstheme="majorBidi"/>
          <w:color w:val="000000"/>
        </w:rPr>
        <w:t>Scale</w:t>
      </w:r>
      <w:r w:rsidRPr="00ED7E61">
        <w:rPr>
          <w:rStyle w:val="normaltextrun"/>
          <w:rFonts w:asciiTheme="majorBidi" w:eastAsiaTheme="majorEastAsia" w:hAnsiTheme="majorBidi" w:cstheme="majorBidi"/>
        </w:rPr>
        <w:t xml:space="preserve"> of data disaggregation/aggregation: </w:t>
      </w:r>
      <w:r w:rsidRPr="00ED7E61">
        <w:rPr>
          <w:rStyle w:val="eop"/>
          <w:rFonts w:asciiTheme="majorBidi" w:eastAsiaTheme="majorEastAsia" w:hAnsiTheme="majorBidi" w:cstheme="majorBidi"/>
        </w:rPr>
        <w:t> </w:t>
      </w:r>
    </w:p>
    <w:p w14:paraId="5DB9371F" w14:textId="77777777" w:rsidR="00756F0F" w:rsidRPr="00ED7E61" w:rsidRDefault="00756F0F" w:rsidP="00B10F0C">
      <w:pPr>
        <w:pStyle w:val="CBDNormalNumber"/>
        <w:numPr>
          <w:ilvl w:val="0"/>
          <w:numId w:val="28"/>
        </w:numPr>
        <w:tabs>
          <w:tab w:val="clear" w:pos="567"/>
          <w:tab w:val="clear" w:pos="1134"/>
          <w:tab w:val="clear" w:pos="1701"/>
          <w:tab w:val="clear" w:pos="2268"/>
          <w:tab w:val="left" w:pos="1985"/>
        </w:tabs>
        <w:ind w:left="2410" w:hanging="1134"/>
        <w:rPr>
          <w:rStyle w:val="normaltextrun"/>
          <w:rFonts w:eastAsiaTheme="majorEastAsia"/>
        </w:rPr>
      </w:pPr>
      <w:r w:rsidRPr="00ED7E61">
        <w:rPr>
          <w:rStyle w:val="normaltextrun"/>
          <w:rFonts w:asciiTheme="majorBidi" w:eastAsiaTheme="majorEastAsia" w:hAnsiTheme="majorBidi" w:cstheme="majorBidi"/>
        </w:rPr>
        <w:t xml:space="preserve">Global/ regional scale indicator can be disaggregated to national level: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25848232" w14:textId="77777777" w:rsidR="00756F0F" w:rsidRPr="00ED7E61" w:rsidRDefault="00756F0F" w:rsidP="00B10F0C">
      <w:pPr>
        <w:pStyle w:val="CBDNormalNumber"/>
        <w:numPr>
          <w:ilvl w:val="0"/>
          <w:numId w:val="28"/>
        </w:numPr>
        <w:tabs>
          <w:tab w:val="clear" w:pos="567"/>
          <w:tab w:val="clear" w:pos="1134"/>
          <w:tab w:val="clear" w:pos="1701"/>
          <w:tab w:val="clear" w:pos="2268"/>
          <w:tab w:val="left" w:pos="1985"/>
        </w:tabs>
        <w:ind w:left="2410" w:hanging="1134"/>
        <w:rPr>
          <w:rStyle w:val="normaltextrun"/>
          <w:rFonts w:eastAsiaTheme="majorEastAsia"/>
        </w:rPr>
      </w:pPr>
      <w:r w:rsidRPr="00ED7E61">
        <w:rPr>
          <w:rStyle w:val="normaltextrun"/>
          <w:rFonts w:asciiTheme="majorBidi" w:eastAsiaTheme="majorEastAsia" w:hAnsiTheme="majorBidi" w:cstheme="majorBidi"/>
        </w:rPr>
        <w:t xml:space="preserve">National data is collated to form global indicator: </w:t>
      </w:r>
      <w:r w:rsidRPr="00ED7E61">
        <w:rPr>
          <w:rStyle w:val="normaltextrun"/>
          <w:rFonts w:eastAsiaTheme="majorEastAsia"/>
        </w:rPr>
        <w:t>​</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67837B26" w14:textId="39FE4357"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b/>
          <w:bCs/>
        </w:rPr>
      </w:pPr>
      <w:r w:rsidRPr="00FB1598">
        <w:rPr>
          <w:rStyle w:val="eop"/>
        </w:rPr>
        <w:t>Data</w:t>
      </w:r>
      <w:r w:rsidRPr="00ED7E61">
        <w:rPr>
          <w:rStyle w:val="normaltextrun"/>
          <w:rFonts w:asciiTheme="majorBidi" w:eastAsiaTheme="majorEastAsia" w:hAnsiTheme="majorBidi" w:cstheme="majorBidi"/>
          <w:color w:val="000000"/>
        </w:rPr>
        <w:t xml:space="preserve"> on positive incentives are collected at national level. Countries can specify whether the policy instrument is applied nationally or sub-nationally. National data can therefore be collated to provide global indicators (e.g.</w:t>
      </w:r>
      <w:r w:rsidR="00D63349">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color w:val="000000"/>
        </w:rPr>
        <w:t>total number of countries with biodiversity-relevant taxes [over time]; total number of biodiversity-relevant taxes [over time], etc</w:t>
      </w:r>
      <w:r w:rsidR="00194105">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w:t>
      </w:r>
      <w:r w:rsidRPr="00ED7E61">
        <w:rPr>
          <w:rStyle w:val="eop"/>
          <w:rFonts w:asciiTheme="majorBidi" w:eastAsiaTheme="majorEastAsia" w:hAnsiTheme="majorBidi" w:cstheme="majorBidi"/>
          <w:b/>
          <w:bCs/>
          <w:color w:val="000000"/>
        </w:rPr>
        <w:t> </w:t>
      </w:r>
    </w:p>
    <w:p w14:paraId="3A18497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b/>
          <w:bCs/>
          <w:sz w:val="22"/>
          <w:szCs w:val="22"/>
        </w:rPr>
        <w:t> </w:t>
      </w:r>
    </w:p>
    <w:p w14:paraId="50C7C402" w14:textId="46348BC9"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FB1598">
        <w:rPr>
          <w:rStyle w:val="eop"/>
        </w:rPr>
        <w:t>All</w:t>
      </w:r>
      <w:r w:rsidRPr="00ED7E61">
        <w:rPr>
          <w:rStyle w:val="normaltextrun"/>
          <w:rFonts w:asciiTheme="majorBidi" w:eastAsiaTheme="majorEastAsia" w:hAnsiTheme="majorBidi" w:cstheme="majorBidi"/>
        </w:rPr>
        <w:t xml:space="preserve"> data are publicly available online on the OECD PINE </w:t>
      </w:r>
      <w:r w:rsidR="00A2663D">
        <w:rPr>
          <w:rStyle w:val="normaltextrun"/>
          <w:rFonts w:asciiTheme="majorBidi" w:eastAsiaTheme="majorEastAsia" w:hAnsiTheme="majorBidi" w:cstheme="majorBidi"/>
        </w:rPr>
        <w:t xml:space="preserve">database </w:t>
      </w:r>
      <w:r w:rsidRPr="00ED7E61">
        <w:rPr>
          <w:rStyle w:val="normaltextrun"/>
          <w:rFonts w:asciiTheme="majorBidi" w:eastAsiaTheme="majorEastAsia" w:hAnsiTheme="majorBidi" w:cstheme="majorBidi"/>
        </w:rPr>
        <w:t xml:space="preserve">website. The database is overseen by the OECD Working Party on Environmental Information (WPEI) under the OECD Environmental Policy Committee, and the Joint </w:t>
      </w:r>
      <w:r w:rsidR="00A2663D">
        <w:rPr>
          <w:rStyle w:val="normaltextrun"/>
          <w:rFonts w:asciiTheme="majorBidi" w:eastAsiaTheme="majorEastAsia" w:hAnsiTheme="majorBidi" w:cstheme="majorBidi"/>
        </w:rPr>
        <w:t xml:space="preserve">Working Party on Tax Environment </w:t>
      </w:r>
      <w:r w:rsidRPr="00ED7E61">
        <w:rPr>
          <w:rStyle w:val="normaltextrun"/>
          <w:rFonts w:asciiTheme="majorBidi" w:eastAsiaTheme="majorEastAsia" w:hAnsiTheme="majorBidi" w:cstheme="majorBidi"/>
        </w:rPr>
        <w:t>(JM</w:t>
      </w:r>
      <w:r w:rsidR="00B005F3">
        <w:rPr>
          <w:rStyle w:val="normaltextrun"/>
          <w:rFonts w:asciiTheme="majorBidi" w:eastAsiaTheme="majorEastAsia" w:hAnsiTheme="majorBidi" w:cstheme="majorBidi"/>
        </w:rPr>
        <w:t>P</w:t>
      </w:r>
      <w:r w:rsidRPr="00ED7E61">
        <w:rPr>
          <w:rStyle w:val="normaltextrun"/>
          <w:rFonts w:asciiTheme="majorBidi" w:eastAsiaTheme="majorEastAsia" w:hAnsiTheme="majorBidi" w:cstheme="majorBidi"/>
        </w:rPr>
        <w:t>T</w:t>
      </w:r>
      <w:r w:rsidR="00B005F3">
        <w:rPr>
          <w:rStyle w:val="normaltextrun"/>
          <w:rFonts w:asciiTheme="majorBidi" w:eastAsiaTheme="majorEastAsia" w:hAnsiTheme="majorBidi" w:cstheme="majorBidi"/>
        </w:rPr>
        <w:t>X</w:t>
      </w:r>
      <w:r w:rsidRPr="00ED7E61">
        <w:rPr>
          <w:rStyle w:val="normaltextrun"/>
          <w:rFonts w:asciiTheme="majorBidi" w:eastAsiaTheme="majorEastAsia" w:hAnsiTheme="majorBidi" w:cstheme="majorBidi"/>
        </w:rPr>
        <w:t>E). The biodiversity-relevant data can be viewed by searching for environmental domain: “</w:t>
      </w:r>
      <w:r w:rsidRPr="00FB1598">
        <w:rPr>
          <w:rStyle w:val="normaltextrun"/>
          <w:rFonts w:asciiTheme="majorBidi" w:eastAsiaTheme="majorEastAsia" w:hAnsiTheme="majorBidi" w:cstheme="majorBidi"/>
          <w:i/>
          <w:iCs/>
        </w:rPr>
        <w:t>biodiversity</w:t>
      </w:r>
      <w:r w:rsidRPr="00ED7E61">
        <w:rPr>
          <w:rStyle w:val="normaltextrun"/>
          <w:rFonts w:asciiTheme="majorBidi" w:eastAsiaTheme="majorEastAsia" w:hAnsiTheme="majorBidi" w:cstheme="majorBidi"/>
        </w:rPr>
        <w:t>”. The OECD Secretariat also regularly updates the analysis on “</w:t>
      </w:r>
      <w:r w:rsidRPr="00FB1598">
        <w:rPr>
          <w:rStyle w:val="normaltextrun"/>
          <w:rFonts w:asciiTheme="majorBidi" w:eastAsiaTheme="majorEastAsia" w:hAnsiTheme="majorBidi" w:cstheme="majorBidi"/>
          <w:i/>
          <w:iCs/>
        </w:rPr>
        <w:t>Tracking Economic Instruments and Finance for Biodiversity</w:t>
      </w:r>
      <w:r w:rsidRPr="00ED7E61">
        <w:rPr>
          <w:rStyle w:val="normaltextrun"/>
          <w:rFonts w:asciiTheme="majorBidi" w:eastAsiaTheme="majorEastAsia" w:hAnsiTheme="majorBidi" w:cstheme="majorBidi"/>
        </w:rPr>
        <w:t>” to facilitate user-friendliness and to highlight policy-relevant messages. </w:t>
      </w:r>
      <w:r w:rsidRPr="00ED7E61">
        <w:rPr>
          <w:rStyle w:val="eop"/>
          <w:rFonts w:asciiTheme="majorBidi" w:eastAsiaTheme="majorEastAsia" w:hAnsiTheme="majorBidi" w:cstheme="majorBidi"/>
        </w:rPr>
        <w:t> </w:t>
      </w:r>
    </w:p>
    <w:p w14:paraId="1AB74FC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lastRenderedPageBreak/>
        <w:t>6c. Sources of differences between global and national figures</w:t>
      </w:r>
      <w:r w:rsidRPr="00ED7E61">
        <w:rPr>
          <w:rStyle w:val="eop"/>
          <w:rFonts w:asciiTheme="majorBidi" w:eastAsiaTheme="majorEastAsia" w:hAnsiTheme="majorBidi" w:cstheme="majorBidi"/>
          <w:b/>
          <w:bCs/>
          <w:sz w:val="22"/>
          <w:szCs w:val="22"/>
        </w:rPr>
        <w:t> </w:t>
      </w:r>
    </w:p>
    <w:p w14:paraId="057C50F9" w14:textId="535A686A" w:rsidR="00756F0F" w:rsidRPr="00ED7E61" w:rsidRDefault="00756F0F" w:rsidP="00B10F0C">
      <w:pPr>
        <w:pStyle w:val="CBDNormalNumber"/>
        <w:numPr>
          <w:ilvl w:val="0"/>
          <w:numId w:val="93"/>
        </w:numPr>
        <w:shd w:val="clear" w:color="auto" w:fill="FFFFFF"/>
        <w:ind w:left="567" w:firstLine="0"/>
        <w:rPr>
          <w:rStyle w:val="normaltextrun"/>
          <w:rFonts w:eastAsiaTheme="majorEastAsia"/>
          <w:color w:val="000000"/>
          <w:sz w:val="24"/>
          <w:szCs w:val="24"/>
          <w:lang w:val="en-CA"/>
        </w:rPr>
      </w:pPr>
      <w:r w:rsidRPr="00FB1598">
        <w:rPr>
          <w:rStyle w:val="eop"/>
        </w:rPr>
        <w:t>All</w:t>
      </w:r>
      <w:r w:rsidRPr="00ED7E61">
        <w:rPr>
          <w:rStyle w:val="normaltextrun"/>
          <w:rFonts w:asciiTheme="majorBidi" w:eastAsiaTheme="majorEastAsia" w:hAnsiTheme="majorBidi" w:cstheme="majorBidi"/>
          <w:color w:val="000000"/>
        </w:rPr>
        <w:t xml:space="preserve"> data in PINE are provided by </w:t>
      </w:r>
      <w:r w:rsidR="00B005F3">
        <w:rPr>
          <w:rStyle w:val="normaltextrun"/>
          <w:rFonts w:asciiTheme="majorBidi" w:eastAsiaTheme="majorEastAsia" w:hAnsiTheme="majorBidi" w:cstheme="majorBidi"/>
          <w:color w:val="000000"/>
        </w:rPr>
        <w:t>a networ</w:t>
      </w:r>
      <w:r w:rsidR="00180567">
        <w:rPr>
          <w:rStyle w:val="normaltextrun"/>
          <w:rFonts w:asciiTheme="majorBidi" w:eastAsiaTheme="majorEastAsia" w:hAnsiTheme="majorBidi" w:cstheme="majorBidi"/>
          <w:color w:val="000000"/>
        </w:rPr>
        <w:t xml:space="preserve">k of country experts, including </w:t>
      </w:r>
      <w:r w:rsidRPr="00ED7E61">
        <w:rPr>
          <w:rStyle w:val="normaltextrun"/>
          <w:rFonts w:asciiTheme="majorBidi" w:eastAsiaTheme="majorEastAsia" w:hAnsiTheme="majorBidi" w:cstheme="majorBidi"/>
          <w:color w:val="000000"/>
        </w:rPr>
        <w:t>government</w:t>
      </w:r>
      <w:r w:rsidR="00180567">
        <w:rPr>
          <w:rStyle w:val="normaltextrun"/>
          <w:rFonts w:asciiTheme="majorBidi" w:eastAsiaTheme="majorEastAsia" w:hAnsiTheme="majorBidi" w:cstheme="majorBidi"/>
          <w:color w:val="000000"/>
        </w:rPr>
        <w:t xml:space="preserve"> agencies, international organisations, and research institutes</w:t>
      </w:r>
      <w:r w:rsidR="001B6872">
        <w:rPr>
          <w:rStyle w:val="normaltextrun"/>
          <w:rFonts w:asciiTheme="majorBidi" w:eastAsiaTheme="majorEastAsia" w:hAnsiTheme="majorBidi" w:cstheme="majorBidi"/>
          <w:color w:val="000000"/>
        </w:rPr>
        <w:t xml:space="preserve">. The OECD Secretariat then harmonises and validates the data in consultation with countries before publishing them on </w:t>
      </w:r>
      <w:r w:rsidR="002B232B">
        <w:rPr>
          <w:rStyle w:val="normaltextrun"/>
          <w:rFonts w:asciiTheme="majorBidi" w:eastAsiaTheme="majorEastAsia" w:hAnsiTheme="majorBidi" w:cstheme="majorBidi"/>
          <w:color w:val="000000"/>
        </w:rPr>
        <w:t xml:space="preserve">the </w:t>
      </w:r>
      <w:r w:rsidRPr="00ED7E61">
        <w:rPr>
          <w:rStyle w:val="normaltextrun"/>
          <w:rFonts w:asciiTheme="majorBidi" w:eastAsiaTheme="majorEastAsia" w:hAnsiTheme="majorBidi" w:cstheme="majorBidi"/>
          <w:color w:val="000000"/>
        </w:rPr>
        <w:t xml:space="preserve">OECD PINE </w:t>
      </w:r>
      <w:proofErr w:type="gramStart"/>
      <w:r w:rsidR="002B232B">
        <w:rPr>
          <w:rStyle w:val="normaltextrun"/>
          <w:rFonts w:asciiTheme="majorBidi" w:eastAsiaTheme="majorEastAsia" w:hAnsiTheme="majorBidi" w:cstheme="majorBidi"/>
          <w:color w:val="000000"/>
        </w:rPr>
        <w:t>database  and</w:t>
      </w:r>
      <w:proofErr w:type="gramEnd"/>
      <w:r w:rsidR="002B232B">
        <w:rPr>
          <w:rStyle w:val="normaltextrun"/>
          <w:rFonts w:asciiTheme="majorBidi" w:eastAsiaTheme="majorEastAsia" w:hAnsiTheme="majorBidi" w:cstheme="majorBidi"/>
          <w:color w:val="000000"/>
        </w:rPr>
        <w:t xml:space="preserve"> using them in OECD work and beyond</w:t>
      </w:r>
      <w:r w:rsidRPr="00ED7E61">
        <w:rPr>
          <w:rStyle w:val="normaltextrun"/>
          <w:rFonts w:asciiTheme="majorBidi" w:eastAsiaTheme="majorEastAsia" w:hAnsiTheme="majorBidi" w:cstheme="majorBidi"/>
          <w:color w:val="000000"/>
        </w:rPr>
        <w:t>. Divergence between nationally produced data and international data may occur if there are discrepancies in the way instruments are categorised in national data sets and in PINE. Some countries provide more comprehensive information than others. </w:t>
      </w:r>
      <w:r w:rsidRPr="00ED7E61">
        <w:rPr>
          <w:rStyle w:val="normaltextrun"/>
          <w:color w:val="000000"/>
        </w:rPr>
        <w:t> </w:t>
      </w:r>
    </w:p>
    <w:p w14:paraId="0D3B257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b/>
          <w:bCs/>
          <w:sz w:val="22"/>
          <w:szCs w:val="22"/>
        </w:rPr>
        <w:t> </w:t>
      </w:r>
    </w:p>
    <w:p w14:paraId="31192B3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6d.1 Description of the methodology</w:t>
      </w:r>
      <w:r w:rsidRPr="00ED7E61">
        <w:rPr>
          <w:rStyle w:val="eop"/>
          <w:rFonts w:asciiTheme="majorBidi" w:eastAsiaTheme="majorEastAsia" w:hAnsiTheme="majorBidi" w:cstheme="majorBidi"/>
          <w:sz w:val="22"/>
          <w:szCs w:val="22"/>
        </w:rPr>
        <w:t> </w:t>
      </w:r>
    </w:p>
    <w:p w14:paraId="2D9C70F1" w14:textId="77777777" w:rsidR="00756F0F" w:rsidRPr="00ED7E61" w:rsidRDefault="00756F0F" w:rsidP="00B10F0C">
      <w:pPr>
        <w:pStyle w:val="CBDNormalNumber"/>
        <w:numPr>
          <w:ilvl w:val="0"/>
          <w:numId w:val="93"/>
        </w:numPr>
        <w:shd w:val="clear" w:color="auto" w:fill="FFFFFF"/>
        <w:ind w:left="567" w:firstLine="0"/>
        <w:rPr>
          <w:rStyle w:val="normaltextrun"/>
          <w:rFonts w:eastAsiaTheme="majorEastAsia"/>
          <w:color w:val="000000"/>
          <w:sz w:val="24"/>
          <w:szCs w:val="24"/>
          <w:lang w:val="en-CA"/>
        </w:rPr>
      </w:pPr>
      <w:r w:rsidRPr="00FB1598">
        <w:rPr>
          <w:rStyle w:val="eop"/>
        </w:rPr>
        <w:t>Data</w:t>
      </w:r>
      <w:r w:rsidRPr="00ED7E61">
        <w:rPr>
          <w:rStyle w:val="normaltextrun"/>
          <w:rFonts w:asciiTheme="majorBidi" w:eastAsiaTheme="majorEastAsia" w:hAnsiTheme="majorBidi" w:cstheme="majorBidi"/>
          <w:color w:val="000000"/>
        </w:rPr>
        <w:t xml:space="preserve"> is reported at country level</w:t>
      </w:r>
      <w:r w:rsidRPr="00ED7E61">
        <w:rPr>
          <w:rStyle w:val="normaltextrun"/>
          <w:color w:val="000000"/>
        </w:rPr>
        <w:t> </w:t>
      </w:r>
    </w:p>
    <w:p w14:paraId="65A5A6B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6d.2 Additional methodological details</w:t>
      </w:r>
      <w:r w:rsidRPr="00ED7E61">
        <w:rPr>
          <w:rStyle w:val="eop"/>
          <w:rFonts w:asciiTheme="majorBidi" w:eastAsiaTheme="majorEastAsia" w:hAnsiTheme="majorBidi" w:cstheme="majorBidi"/>
          <w:sz w:val="22"/>
          <w:szCs w:val="22"/>
        </w:rPr>
        <w:t> </w:t>
      </w:r>
    </w:p>
    <w:p w14:paraId="1EF99A2B" w14:textId="77777777" w:rsidR="00756F0F" w:rsidRPr="00ED7E61" w:rsidRDefault="00756F0F" w:rsidP="00A329C2">
      <w:pPr>
        <w:pStyle w:val="CBDNormalNumber"/>
        <w:shd w:val="clear" w:color="auto" w:fill="FFFFFF"/>
        <w:ind w:left="567"/>
        <w:rPr>
          <w:rStyle w:val="normaltextrun"/>
          <w:rFonts w:eastAsiaTheme="majorEastAsia"/>
          <w:color w:val="000000"/>
          <w:sz w:val="24"/>
          <w:szCs w:val="24"/>
          <w:lang w:val="en-CA"/>
        </w:rPr>
      </w:pPr>
      <w:r w:rsidRPr="00ED7E61">
        <w:rPr>
          <w:rStyle w:val="normaltextrun"/>
          <w:rFonts w:asciiTheme="majorBidi" w:eastAsiaTheme="majorEastAsia" w:hAnsiTheme="majorBidi" w:cstheme="majorBidi"/>
          <w:color w:val="000000"/>
        </w:rPr>
        <w:t>N/A</w:t>
      </w:r>
      <w:r w:rsidRPr="00ED7E61">
        <w:rPr>
          <w:rStyle w:val="normaltextrun"/>
          <w:color w:val="000000"/>
        </w:rPr>
        <w:t> </w:t>
      </w:r>
    </w:p>
    <w:p w14:paraId="689C155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6d.3 Description of the mechanism for collecting data from countries</w:t>
      </w:r>
      <w:r w:rsidRPr="00ED7E61">
        <w:rPr>
          <w:rStyle w:val="eop"/>
          <w:rFonts w:asciiTheme="majorBidi" w:eastAsiaTheme="majorEastAsia" w:hAnsiTheme="majorBidi" w:cstheme="majorBidi"/>
          <w:sz w:val="22"/>
          <w:szCs w:val="22"/>
        </w:rPr>
        <w:t> </w:t>
      </w:r>
    </w:p>
    <w:p w14:paraId="46ECCEBA" w14:textId="77777777" w:rsidR="00756F0F" w:rsidRPr="00ED7E61" w:rsidRDefault="00756F0F" w:rsidP="00B10F0C">
      <w:pPr>
        <w:pStyle w:val="CBDNormalNumber"/>
        <w:numPr>
          <w:ilvl w:val="0"/>
          <w:numId w:val="93"/>
        </w:numPr>
        <w:shd w:val="clear" w:color="auto" w:fill="FFFFFF"/>
        <w:ind w:left="567" w:firstLine="0"/>
        <w:rPr>
          <w:rStyle w:val="normaltextrun"/>
          <w:rFonts w:eastAsiaTheme="majorEastAsia"/>
          <w:color w:val="000000"/>
          <w:sz w:val="24"/>
          <w:szCs w:val="24"/>
          <w:lang w:val="en-CA"/>
        </w:rPr>
      </w:pPr>
      <w:r w:rsidRPr="00ED7E61">
        <w:rPr>
          <w:rStyle w:val="normaltextrun"/>
          <w:rFonts w:asciiTheme="majorBidi" w:eastAsiaTheme="majorEastAsia" w:hAnsiTheme="majorBidi" w:cstheme="majorBidi"/>
          <w:color w:val="000000"/>
        </w:rPr>
        <w:t>Data are reported via an annual questionnaire (at an instrument level) by national statistical agencies, ministries of finance, environment, etc. </w:t>
      </w:r>
      <w:r w:rsidRPr="00ED7E61">
        <w:rPr>
          <w:rStyle w:val="normaltextrun"/>
          <w:color w:val="000000"/>
        </w:rPr>
        <w:t> </w:t>
      </w:r>
    </w:p>
    <w:p w14:paraId="05C3A105" w14:textId="77777777" w:rsidR="00756F0F" w:rsidRPr="00812871" w:rsidRDefault="00756F0F" w:rsidP="00812871">
      <w:pPr>
        <w:pStyle w:val="paragraph"/>
        <w:pBdr>
          <w:bottom w:val="single" w:sz="4" w:space="1" w:color="000000"/>
        </w:pBdr>
        <w:spacing w:before="120" w:beforeAutospacing="0" w:after="0" w:afterAutospacing="0"/>
        <w:textAlignment w:val="baseline"/>
        <w:rPr>
          <w:rStyle w:val="normaltextrun"/>
          <w:rFonts w:eastAsiaTheme="majorEastAsia"/>
          <w:lang w:val="en-GB"/>
        </w:rPr>
      </w:pPr>
      <w:r w:rsidRPr="00ED7E61">
        <w:rPr>
          <w:rStyle w:val="normaltextrun"/>
          <w:rFonts w:asciiTheme="majorBidi" w:eastAsiaTheme="majorEastAsia" w:hAnsiTheme="majorBidi" w:cstheme="majorBidi"/>
          <w:b/>
          <w:bCs/>
          <w:sz w:val="22"/>
          <w:szCs w:val="22"/>
          <w:lang w:val="en-GB"/>
        </w:rPr>
        <w:t>7. Other MEAs, processes and organisations</w:t>
      </w:r>
      <w:r w:rsidRPr="00812871">
        <w:rPr>
          <w:rStyle w:val="normaltextrun"/>
          <w:rFonts w:eastAsiaTheme="majorEastAsia"/>
          <w:lang w:val="en-GB"/>
        </w:rPr>
        <w:t> </w:t>
      </w:r>
    </w:p>
    <w:p w14:paraId="043ADFA0" w14:textId="77777777" w:rsidR="00756F0F" w:rsidRPr="00812871" w:rsidRDefault="00756F0F" w:rsidP="00812871">
      <w:pPr>
        <w:pStyle w:val="CBDNormalNumber"/>
        <w:numPr>
          <w:ilvl w:val="0"/>
          <w:numId w:val="93"/>
        </w:numPr>
        <w:shd w:val="clear" w:color="auto" w:fill="FFFFFF"/>
        <w:ind w:left="567" w:firstLine="0"/>
        <w:rPr>
          <w:rStyle w:val="normaltextrun"/>
          <w:rFonts w:eastAsiaTheme="majorEastAsia"/>
          <w:color w:val="000000"/>
        </w:rPr>
      </w:pPr>
      <w:r w:rsidRPr="00ED7E61">
        <w:rPr>
          <w:rStyle w:val="normaltextrun"/>
          <w:rFonts w:asciiTheme="majorBidi" w:eastAsiaTheme="majorEastAsia" w:hAnsiTheme="majorBidi" w:cstheme="majorBidi"/>
          <w:color w:val="000000"/>
        </w:rPr>
        <w:t>The data is used as an indicator for Sustainable Development Goal (SDG) 15.a.1 on biodiversity finance</w:t>
      </w:r>
      <w:r w:rsidRPr="00812871">
        <w:rPr>
          <w:rStyle w:val="normaltextrun"/>
          <w:rFonts w:asciiTheme="majorBidi" w:eastAsiaTheme="majorEastAsia" w:hAnsiTheme="majorBidi" w:cstheme="majorBidi"/>
          <w:color w:val="000000"/>
        </w:rPr>
        <w:t>.</w:t>
      </w:r>
      <w:r w:rsidRPr="00812871">
        <w:rPr>
          <w:rStyle w:val="normaltextrun"/>
          <w:color w:val="000000"/>
        </w:rPr>
        <w:t> </w:t>
      </w:r>
    </w:p>
    <w:p w14:paraId="68F64039" w14:textId="08E9BB18" w:rsidR="00756F0F" w:rsidRPr="00ED7E61" w:rsidRDefault="00756F0F" w:rsidP="00A329C2">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 xml:space="preserve">8. </w:t>
      </w:r>
      <w:r w:rsidR="00B308A2" w:rsidRPr="00ED7E61">
        <w:rPr>
          <w:rStyle w:val="normaltextrun"/>
          <w:rFonts w:asciiTheme="majorBidi" w:eastAsiaTheme="majorEastAsia" w:hAnsiTheme="majorBidi" w:cstheme="majorBidi"/>
          <w:b/>
          <w:bCs/>
          <w:sz w:val="22"/>
          <w:szCs w:val="22"/>
          <w:lang w:val="en-GB"/>
        </w:rPr>
        <w:t xml:space="preserve">Possible </w:t>
      </w:r>
      <w:proofErr w:type="spellStart"/>
      <w:r w:rsidRPr="00ED7E61">
        <w:rPr>
          <w:rStyle w:val="normaltextrun"/>
          <w:rFonts w:asciiTheme="majorBidi" w:eastAsiaTheme="majorEastAsia" w:hAnsiTheme="majorBidi" w:cstheme="majorBidi"/>
          <w:b/>
          <w:bCs/>
          <w:sz w:val="22"/>
          <w:szCs w:val="22"/>
          <w:lang w:val="en-GB"/>
        </w:rPr>
        <w:t>Disaggregation</w:t>
      </w:r>
      <w:r w:rsidR="00B308A2" w:rsidRPr="00ED7E61">
        <w:rPr>
          <w:rStyle w:val="normaltextrun"/>
          <w:rFonts w:asciiTheme="majorBidi" w:eastAsiaTheme="majorEastAsia" w:hAnsiTheme="majorBidi" w:cstheme="majorBidi"/>
          <w:b/>
          <w:bCs/>
          <w:sz w:val="22"/>
          <w:szCs w:val="22"/>
          <w:lang w:val="en-GB"/>
        </w:rPr>
        <w:t>s</w:t>
      </w:r>
      <w:proofErr w:type="spellEnd"/>
      <w:r w:rsidRPr="00ED7E61">
        <w:rPr>
          <w:rStyle w:val="eop"/>
          <w:rFonts w:asciiTheme="majorBidi" w:eastAsiaTheme="majorEastAsia" w:hAnsiTheme="majorBidi" w:cstheme="majorBidi"/>
          <w:b/>
          <w:bCs/>
          <w:sz w:val="22"/>
          <w:szCs w:val="22"/>
        </w:rPr>
        <w:t> </w:t>
      </w:r>
    </w:p>
    <w:p w14:paraId="4A0ABDCC" w14:textId="6B3F37EB"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The indicator on positive incentives for biodiversity can be disaggregated by type of instrument (biodiversity-relevant tax, fee or charge; biodiversity-positive subsidy; tradable permit; PES; biodiversity offset), by geographic location, by industry concerned</w:t>
      </w:r>
      <w:r w:rsidR="00A9006D">
        <w:rPr>
          <w:rStyle w:val="normaltextrun"/>
          <w:rFonts w:asciiTheme="majorBidi" w:eastAsiaTheme="majorEastAsia" w:hAnsiTheme="majorBidi" w:cstheme="majorBidi"/>
          <w:color w:val="000000"/>
        </w:rPr>
        <w:t>, e</w:t>
      </w:r>
      <w:r w:rsidRPr="00ED7E61">
        <w:rPr>
          <w:rStyle w:val="normaltextrun"/>
          <w:rFonts w:asciiTheme="majorBidi" w:eastAsiaTheme="majorEastAsia" w:hAnsiTheme="majorBidi" w:cstheme="majorBidi"/>
          <w:color w:val="000000"/>
        </w:rPr>
        <w:t>tc.</w:t>
      </w:r>
      <w:r w:rsidR="00A9006D">
        <w:rPr>
          <w:rStyle w:val="normaltextrun"/>
          <w:rFonts w:asciiTheme="majorBidi" w:eastAsiaTheme="majorEastAsia" w:hAnsiTheme="majorBidi" w:cstheme="majorBidi"/>
          <w:color w:val="000000"/>
        </w:rPr>
        <w:t>:</w:t>
      </w:r>
      <w:r w:rsidRPr="00ED7E61">
        <w:rPr>
          <w:rStyle w:val="normaltextrun"/>
          <w:rFonts w:asciiTheme="majorBidi" w:eastAsiaTheme="majorEastAsia" w:hAnsiTheme="majorBidi" w:cstheme="majorBidi"/>
          <w:color w:val="000000"/>
        </w:rPr>
        <w:t xml:space="preserve"> see below. </w:t>
      </w:r>
      <w:r w:rsidRPr="00ED7E61">
        <w:rPr>
          <w:rStyle w:val="eop"/>
          <w:rFonts w:asciiTheme="majorBidi" w:eastAsiaTheme="majorEastAsia" w:hAnsiTheme="majorBidi" w:cstheme="majorBidi"/>
          <w:color w:val="000000"/>
        </w:rPr>
        <w:t> </w:t>
      </w:r>
    </w:p>
    <w:p w14:paraId="192014F3" w14:textId="77777777"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The OECD PINE database also collects information on: </w:t>
      </w:r>
      <w:r w:rsidRPr="00ED7E61">
        <w:rPr>
          <w:rStyle w:val="eop"/>
          <w:rFonts w:asciiTheme="majorBidi" w:eastAsiaTheme="majorEastAsia" w:hAnsiTheme="majorBidi" w:cstheme="majorBidi"/>
          <w:color w:val="000000"/>
        </w:rPr>
        <w:t> </w:t>
      </w:r>
    </w:p>
    <w:p w14:paraId="7ED07FF2" w14:textId="77777777" w:rsidR="00756F0F" w:rsidRPr="00ED7E61" w:rsidRDefault="00756F0F" w:rsidP="00B10F0C">
      <w:pPr>
        <w:pStyle w:val="CBDNormalNumber"/>
        <w:numPr>
          <w:ilvl w:val="0"/>
          <w:numId w:val="2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asciiTheme="majorBidi" w:eastAsiaTheme="majorEastAsia" w:hAnsiTheme="majorBidi" w:cstheme="majorBidi"/>
        </w:rPr>
        <w:t>Whether the incentive is national or local in scope (for more detail, see above)</w:t>
      </w:r>
      <w:r w:rsidRPr="00ED7E61">
        <w:rPr>
          <w:rStyle w:val="normaltextrun"/>
        </w:rPr>
        <w:t> </w:t>
      </w:r>
    </w:p>
    <w:p w14:paraId="1FC966AB" w14:textId="51FC6439" w:rsidR="00756F0F" w:rsidRPr="00FB1598" w:rsidRDefault="00756F0F" w:rsidP="00B10F0C">
      <w:pPr>
        <w:pStyle w:val="CBDNormalNumber"/>
        <w:numPr>
          <w:ilvl w:val="0"/>
          <w:numId w:val="29"/>
        </w:numPr>
        <w:tabs>
          <w:tab w:val="clear" w:pos="567"/>
          <w:tab w:val="clear" w:pos="1134"/>
          <w:tab w:val="clear" w:pos="2268"/>
          <w:tab w:val="left" w:pos="1985"/>
        </w:tabs>
        <w:ind w:left="567" w:firstLine="567"/>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What sector the incentives relate to (via ISIC codes) e.g. agriculture, forestry, fisheries, recreation, etc</w:t>
      </w:r>
      <w:r w:rsidR="00A9006D">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rPr>
        <w:t> </w:t>
      </w:r>
    </w:p>
    <w:p w14:paraId="0C747C6D" w14:textId="3A23703F" w:rsidR="00756F0F" w:rsidRPr="00FB1598" w:rsidRDefault="00756F0F" w:rsidP="00B10F0C">
      <w:pPr>
        <w:pStyle w:val="CBDNormalNumber"/>
        <w:numPr>
          <w:ilvl w:val="0"/>
          <w:numId w:val="29"/>
        </w:numPr>
        <w:tabs>
          <w:tab w:val="clear" w:pos="567"/>
          <w:tab w:val="clear" w:pos="1134"/>
          <w:tab w:val="clear" w:pos="2268"/>
          <w:tab w:val="left" w:pos="1985"/>
        </w:tabs>
        <w:ind w:left="567" w:firstLine="567"/>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Revenue generated (e.g. from taxes, fees</w:t>
      </w:r>
      <w:r w:rsidR="00697ADA">
        <w:rPr>
          <w:rStyle w:val="normaltextrun"/>
          <w:rFonts w:asciiTheme="majorBidi" w:eastAsiaTheme="majorEastAsia" w:hAnsiTheme="majorBidi" w:cstheme="majorBidi"/>
        </w:rPr>
        <w:t xml:space="preserve"> </w:t>
      </w:r>
      <w:proofErr w:type="gramStart"/>
      <w:r w:rsidR="00697ADA">
        <w:rPr>
          <w:rStyle w:val="normaltextrun"/>
          <w:rFonts w:asciiTheme="majorBidi" w:eastAsiaTheme="majorEastAsia" w:hAnsiTheme="majorBidi" w:cstheme="majorBidi"/>
        </w:rPr>
        <w:t>and</w:t>
      </w:r>
      <w:r w:rsidR="007843CD">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 charges</w:t>
      </w:r>
      <w:proofErr w:type="gramEnd"/>
      <w:r w:rsidRPr="00ED7E61">
        <w:rPr>
          <w:rStyle w:val="normaltextrun"/>
          <w:rFonts w:asciiTheme="majorBidi" w:eastAsiaTheme="majorEastAsia" w:hAnsiTheme="majorBidi" w:cstheme="majorBidi"/>
        </w:rPr>
        <w:t>, tradable permits) </w:t>
      </w:r>
      <w:r w:rsidRPr="00FB1598">
        <w:rPr>
          <w:rStyle w:val="normaltextrun"/>
          <w:rFonts w:asciiTheme="majorBidi" w:eastAsiaTheme="majorEastAsia" w:hAnsiTheme="majorBidi" w:cstheme="majorBidi"/>
        </w:rPr>
        <w:t> </w:t>
      </w:r>
    </w:p>
    <w:p w14:paraId="6BD60DF4" w14:textId="7C95F208" w:rsidR="00756F0F" w:rsidRPr="00FB1598" w:rsidRDefault="00756F0F" w:rsidP="00B10F0C">
      <w:pPr>
        <w:pStyle w:val="CBDNormalNumber"/>
        <w:numPr>
          <w:ilvl w:val="0"/>
          <w:numId w:val="29"/>
        </w:numPr>
        <w:tabs>
          <w:tab w:val="clear" w:pos="567"/>
          <w:tab w:val="clear" w:pos="1134"/>
          <w:tab w:val="clear" w:pos="2268"/>
          <w:tab w:val="left" w:pos="1985"/>
        </w:tabs>
        <w:ind w:left="567" w:firstLine="567"/>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Payments (e.g. from biodiversity-relevant positive subsidies, payments for ecosystem services)</w:t>
      </w:r>
      <w:r w:rsidRPr="00FB1598">
        <w:rPr>
          <w:rStyle w:val="normaltextrun"/>
          <w:rFonts w:asciiTheme="majorBidi" w:eastAsiaTheme="majorEastAsia" w:hAnsiTheme="majorBidi" w:cstheme="majorBidi"/>
        </w:rPr>
        <w:t> </w:t>
      </w:r>
    </w:p>
    <w:p w14:paraId="0DE237D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b/>
          <w:bCs/>
          <w:sz w:val="22"/>
          <w:szCs w:val="22"/>
        </w:rPr>
        <w:t> </w:t>
      </w:r>
    </w:p>
    <w:p w14:paraId="31EBDCE4" w14:textId="73511460" w:rsidR="00125292"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color w:val="000000"/>
        </w:rPr>
        <w:t>Aligning</w:t>
      </w:r>
      <w:r w:rsidRPr="00ED7E61">
        <w:rPr>
          <w:rStyle w:val="normaltextrun"/>
          <w:rFonts w:asciiTheme="majorBidi" w:eastAsiaTheme="majorEastAsia" w:hAnsiTheme="majorBidi" w:cstheme="majorBidi"/>
        </w:rPr>
        <w:t xml:space="preserve"> price signals through positive incentives is fundamental for resource mobilisation (target 19). Positive incentives such as PES, biodiversity offsets and subsidies also disburse finance for biodiversity, while biodiversity-relevant taxes can generate revenue which can (if desired) be earmarked for biodiversity.  In addition, Target 19.4 explicitly refers to certain types of positive incentives (i.e. payments for ecosystem services and biodiversity offsets). </w:t>
      </w:r>
      <w:r w:rsidRPr="00ED7E61">
        <w:rPr>
          <w:rStyle w:val="eop"/>
          <w:rFonts w:asciiTheme="majorBidi" w:eastAsiaTheme="majorEastAsia" w:hAnsiTheme="majorBidi" w:cstheme="majorBidi"/>
        </w:rPr>
        <w:t> </w:t>
      </w:r>
    </w:p>
    <w:p w14:paraId="21B9B334" w14:textId="08879732" w:rsidR="00125292"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FB1598">
        <w:rPr>
          <w:rStyle w:val="normaltextrun"/>
          <w:rFonts w:asciiTheme="majorBidi" w:eastAsiaTheme="majorEastAsia" w:hAnsiTheme="majorBidi" w:cstheme="majorBidi"/>
          <w:color w:val="000000"/>
        </w:rPr>
        <w:t>Target</w:t>
      </w:r>
      <w:r w:rsidRPr="00ED7E61">
        <w:rPr>
          <w:rStyle w:val="normaltextrun"/>
          <w:rFonts w:asciiTheme="majorBidi" w:eastAsiaTheme="majorEastAsia" w:hAnsiTheme="majorBidi" w:cstheme="majorBidi"/>
        </w:rPr>
        <w:t xml:space="preserve"> 19 Substantially and progressively increase the level of financial resources from all sources, </w:t>
      </w:r>
      <w:r w:rsidRPr="00FB1598">
        <w:rPr>
          <w:rStyle w:val="normaltextrun"/>
          <w:rFonts w:asciiTheme="majorBidi" w:eastAsiaTheme="majorEastAsia" w:hAnsiTheme="majorBidi" w:cstheme="majorBidi"/>
          <w:color w:val="000000"/>
        </w:rPr>
        <w:t>in</w:t>
      </w:r>
      <w:r w:rsidRPr="00ED7E61">
        <w:rPr>
          <w:rStyle w:val="normaltextrun"/>
          <w:rFonts w:asciiTheme="majorBidi" w:eastAsiaTheme="majorEastAsia" w:hAnsiTheme="majorBidi" w:cstheme="majorBidi"/>
        </w:rPr>
        <w:t xml:space="preserve"> an effective, timely and easily accessible manner, including domestic, international, public and private resources, in accordance with Article 20 of the Convention, to implement national biodiversity strategies and action plans, mobilizing at least $200 billion per year by 2030</w:t>
      </w:r>
      <w:r w:rsidR="008D16BE">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w:t>
      </w:r>
      <w:r w:rsidR="008D16BE">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08547F9C" w14:textId="6237EE44" w:rsidR="00125292"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19.2. Significantly increasing domestic resource mobilization, facilitated by the preparation and implementation of national biodiversity finance plans or similar instruments according to national needs, priorities and circumstances; </w:t>
      </w:r>
      <w:r w:rsidRPr="00ED7E61">
        <w:rPr>
          <w:rStyle w:val="eop"/>
          <w:rFonts w:asciiTheme="majorBidi" w:eastAsiaTheme="majorEastAsia" w:hAnsiTheme="majorBidi" w:cstheme="majorBidi"/>
        </w:rPr>
        <w:t> </w:t>
      </w:r>
    </w:p>
    <w:p w14:paraId="14FF4F66" w14:textId="26287F56" w:rsidR="00125292"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19.3. Leveraging private finance, promoting blended finance, implementing strategies for raising new and additional resources, and encouraging the private sector to invest in biodiversity, including through impact funds and other instruments; </w:t>
      </w:r>
      <w:r w:rsidRPr="00ED7E61">
        <w:rPr>
          <w:rStyle w:val="eop"/>
          <w:rFonts w:asciiTheme="majorBidi" w:eastAsiaTheme="majorEastAsia" w:hAnsiTheme="majorBidi" w:cstheme="majorBidi"/>
        </w:rPr>
        <w:t> </w:t>
      </w:r>
    </w:p>
    <w:p w14:paraId="2105BBFE" w14:textId="1CC788F3" w:rsidR="00125292"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19.4. Stimulating innovative schemes such as payment for ecosystem services, green bonds, biodiversity offsets and credits, and benefit</w:t>
      </w:r>
      <w:r w:rsidRPr="00ED7E61">
        <w:rPr>
          <w:rStyle w:val="normaltextrun"/>
          <w:rFonts w:asciiTheme="majorBidi" w:eastAsiaTheme="majorEastAsia" w:hAnsiTheme="majorBidi" w:cstheme="majorBidi"/>
        </w:rPr>
        <w:softHyphen/>
        <w:t xml:space="preserve"> sharing mechanisms, with environmental and social safeguards;</w:t>
      </w:r>
      <w:r w:rsidRPr="00ED7E61">
        <w:rPr>
          <w:rStyle w:val="eop"/>
          <w:rFonts w:asciiTheme="majorBidi" w:eastAsiaTheme="majorEastAsia" w:hAnsiTheme="majorBidi" w:cstheme="majorBidi"/>
        </w:rPr>
        <w:t> </w:t>
      </w:r>
    </w:p>
    <w:p w14:paraId="76EBDABC" w14:textId="1F70ADC7" w:rsidR="00125292"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Target 14: Fully integrate biodiversity values into policies, regulations [...] aligning all relevant public and private activities, fiscal and financial flows with the goals and targets of this framework</w:t>
      </w:r>
      <w:r w:rsidRPr="00ED7E61">
        <w:rPr>
          <w:rStyle w:val="eop"/>
          <w:rFonts w:asciiTheme="majorBidi" w:eastAsiaTheme="majorEastAsia" w:hAnsiTheme="majorBidi" w:cstheme="majorBidi"/>
        </w:rPr>
        <w:t> </w:t>
      </w:r>
    </w:p>
    <w:p w14:paraId="72AC86BB" w14:textId="77777777" w:rsidR="00756F0F" w:rsidRPr="00ED7E61" w:rsidRDefault="00756F0F" w:rsidP="00B10F0C">
      <w:pPr>
        <w:pStyle w:val="CBDNormalNumber"/>
        <w:numPr>
          <w:ilvl w:val="0"/>
          <w:numId w:val="93"/>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Goal D: The gap between available financial and other means of implementation, and those necessary to achieve the 2050 Vision, is closed</w:t>
      </w:r>
      <w:r w:rsidRPr="00ED7E61">
        <w:rPr>
          <w:rStyle w:val="eop"/>
          <w:rFonts w:asciiTheme="majorBidi" w:eastAsiaTheme="majorEastAsia" w:hAnsiTheme="majorBidi" w:cstheme="majorBidi"/>
        </w:rPr>
        <w:t> </w:t>
      </w:r>
    </w:p>
    <w:p w14:paraId="5FB9B2B6"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b/>
          <w:bCs/>
          <w:sz w:val="22"/>
          <w:szCs w:val="22"/>
        </w:rPr>
        <w:t> </w:t>
      </w:r>
    </w:p>
    <w:p w14:paraId="7209D6D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10a. Organisation </w:t>
      </w:r>
      <w:r w:rsidRPr="00ED7E61">
        <w:rPr>
          <w:rStyle w:val="eop"/>
          <w:rFonts w:asciiTheme="majorBidi" w:eastAsiaTheme="majorEastAsia" w:hAnsiTheme="majorBidi" w:cstheme="majorBidi"/>
          <w:b/>
          <w:bCs/>
          <w:sz w:val="22"/>
          <w:szCs w:val="22"/>
        </w:rPr>
        <w:t> </w:t>
      </w:r>
    </w:p>
    <w:p w14:paraId="7E83F76E" w14:textId="77777777" w:rsidR="00756F0F" w:rsidRPr="00ED7E61" w:rsidRDefault="00756F0F" w:rsidP="00474A03">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Organisation</w:t>
      </w:r>
      <w:r w:rsidRPr="00ED7E61">
        <w:rPr>
          <w:rStyle w:val="normaltextrun"/>
          <w:rFonts w:asciiTheme="majorBidi" w:eastAsiaTheme="majorEastAsia" w:hAnsiTheme="majorBidi" w:cstheme="majorBidi"/>
          <w:color w:val="000000"/>
        </w:rPr>
        <w:t xml:space="preserve"> for Economic Co-operation and Development (Environment Directorate)</w:t>
      </w:r>
      <w:r w:rsidRPr="00ED7E61">
        <w:rPr>
          <w:rStyle w:val="eop"/>
          <w:rFonts w:asciiTheme="majorBidi" w:eastAsiaTheme="majorEastAsia" w:hAnsiTheme="majorBidi" w:cstheme="majorBidi"/>
          <w:color w:val="000000"/>
        </w:rPr>
        <w:t> </w:t>
      </w:r>
    </w:p>
    <w:p w14:paraId="27B82495" w14:textId="77777777" w:rsidR="00756F0F" w:rsidRPr="005028E7"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5028E7">
        <w:rPr>
          <w:rStyle w:val="normaltextrun"/>
          <w:rFonts w:asciiTheme="majorBidi" w:eastAsiaTheme="majorEastAsia" w:hAnsiTheme="majorBidi" w:cstheme="majorBidi"/>
          <w:b/>
          <w:bCs/>
          <w:sz w:val="22"/>
          <w:szCs w:val="22"/>
        </w:rPr>
        <w:t>10b. Contact person(s)</w:t>
      </w:r>
      <w:r w:rsidRPr="005028E7">
        <w:rPr>
          <w:rStyle w:val="eop"/>
          <w:rFonts w:asciiTheme="majorBidi" w:eastAsiaTheme="majorEastAsia" w:hAnsiTheme="majorBidi" w:cstheme="majorBidi"/>
          <w:b/>
          <w:bCs/>
          <w:sz w:val="22"/>
          <w:szCs w:val="22"/>
        </w:rPr>
        <w:t> </w:t>
      </w:r>
    </w:p>
    <w:p w14:paraId="1F51FE4E" w14:textId="76889E50" w:rsidR="00125292" w:rsidRPr="005028E7" w:rsidRDefault="00756F0F" w:rsidP="00474A03">
      <w:pPr>
        <w:pStyle w:val="CBDNormalNumber"/>
        <w:shd w:val="clear" w:color="auto" w:fill="FFFFFF"/>
        <w:ind w:left="567"/>
        <w:rPr>
          <w:rStyle w:val="normaltextrun"/>
          <w:rFonts w:eastAsiaTheme="majorEastAsia"/>
          <w:lang w:val="en-CA"/>
        </w:rPr>
      </w:pPr>
      <w:hyperlink r:id="rId453" w:tgtFrame="_blank" w:history="1">
        <w:r w:rsidRPr="005028E7">
          <w:rPr>
            <w:rStyle w:val="normaltextrun"/>
            <w:rFonts w:asciiTheme="majorBidi" w:eastAsiaTheme="majorEastAsia" w:hAnsiTheme="majorBidi" w:cstheme="majorBidi"/>
            <w:lang w:val="en-CA"/>
          </w:rPr>
          <w:t>PINEdatabase@oecd.org</w:t>
        </w:r>
      </w:hyperlink>
      <w:r w:rsidRPr="005028E7">
        <w:rPr>
          <w:rStyle w:val="normaltextrun"/>
          <w:lang w:val="en-CA"/>
        </w:rPr>
        <w:t> </w:t>
      </w:r>
    </w:p>
    <w:p w14:paraId="24FE6D7F" w14:textId="1F73123F" w:rsidR="00125292" w:rsidRPr="00FB1598" w:rsidRDefault="00756F0F" w:rsidP="00953725">
      <w:pPr>
        <w:pStyle w:val="CBDNormalNumber"/>
        <w:shd w:val="clear" w:color="auto" w:fill="FFFFFF"/>
        <w:ind w:left="567"/>
        <w:rPr>
          <w:rStyle w:val="normaltextrun"/>
          <w:rFonts w:eastAsiaTheme="majorEastAsia"/>
        </w:rPr>
      </w:pPr>
      <w:r w:rsidRPr="00FB1598">
        <w:rPr>
          <w:rStyle w:val="normaltextrun"/>
          <w:rFonts w:asciiTheme="majorBidi" w:eastAsiaTheme="majorEastAsia" w:hAnsiTheme="majorBidi" w:cstheme="majorBidi"/>
        </w:rPr>
        <w:t>Katia Karousakis (</w:t>
      </w:r>
      <w:r w:rsidR="00953725" w:rsidRPr="00953725">
        <w:rPr>
          <w:lang w:val="en-CA"/>
        </w:rPr>
        <w:t>katia.karousakis@oecd.org</w:t>
      </w:r>
      <w:r w:rsidRPr="00FB1598">
        <w:rPr>
          <w:rStyle w:val="normaltextrun"/>
          <w:rFonts w:asciiTheme="majorBidi" w:eastAsiaTheme="majorEastAsia" w:hAnsiTheme="majorBidi" w:cstheme="majorBidi"/>
        </w:rPr>
        <w:t>)  </w:t>
      </w:r>
      <w:r w:rsidRPr="00FB1598">
        <w:rPr>
          <w:rStyle w:val="normaltextrun"/>
        </w:rPr>
        <w:t> </w:t>
      </w:r>
    </w:p>
    <w:p w14:paraId="33D5D707" w14:textId="51BBD974" w:rsidR="00756F0F" w:rsidRPr="0090481A" w:rsidRDefault="00756F0F" w:rsidP="00474A03">
      <w:pPr>
        <w:pStyle w:val="CBDNormalNumber"/>
        <w:shd w:val="clear" w:color="auto" w:fill="FFFFFF"/>
        <w:ind w:left="567"/>
        <w:rPr>
          <w:rStyle w:val="normaltextrun"/>
          <w:rFonts w:eastAsiaTheme="majorEastAsia"/>
          <w:lang w:val="es-ES"/>
        </w:rPr>
      </w:pPr>
      <w:r w:rsidRPr="00FB1598">
        <w:rPr>
          <w:rStyle w:val="normaltextrun"/>
          <w:rFonts w:asciiTheme="majorBidi" w:eastAsiaTheme="majorEastAsia" w:hAnsiTheme="majorBidi" w:cstheme="majorBidi"/>
          <w:lang w:val="es-ES"/>
        </w:rPr>
        <w:t xml:space="preserve">Miguel Cardenas </w:t>
      </w:r>
      <w:proofErr w:type="spellStart"/>
      <w:r w:rsidRPr="00FB1598">
        <w:rPr>
          <w:rStyle w:val="normaltextrun"/>
          <w:rFonts w:asciiTheme="majorBidi" w:eastAsiaTheme="majorEastAsia" w:hAnsiTheme="majorBidi" w:cstheme="majorBidi"/>
          <w:lang w:val="es-ES"/>
        </w:rPr>
        <w:t>Rodriguez</w:t>
      </w:r>
      <w:proofErr w:type="spellEnd"/>
      <w:r w:rsidRPr="00FB1598">
        <w:rPr>
          <w:rStyle w:val="normaltextrun"/>
          <w:rFonts w:asciiTheme="majorBidi" w:eastAsiaTheme="majorEastAsia" w:hAnsiTheme="majorBidi" w:cstheme="majorBidi"/>
          <w:lang w:val="es-ES"/>
        </w:rPr>
        <w:t xml:space="preserve"> (</w:t>
      </w:r>
      <w:hyperlink r:id="rId454" w:tgtFrame="_blank" w:history="1">
        <w:r w:rsidR="002B2651" w:rsidRPr="00FB1598">
          <w:rPr>
            <w:rStyle w:val="normaltextrun"/>
            <w:rFonts w:asciiTheme="majorBidi" w:eastAsiaTheme="majorEastAsia" w:hAnsiTheme="majorBidi" w:cstheme="majorBidi"/>
            <w:lang w:val="es-ES"/>
          </w:rPr>
          <w:t>miguel</w:t>
        </w:r>
        <w:r w:rsidR="002B2651">
          <w:rPr>
            <w:rStyle w:val="normaltextrun"/>
            <w:rFonts w:asciiTheme="majorBidi" w:eastAsiaTheme="majorEastAsia" w:hAnsiTheme="majorBidi" w:cstheme="majorBidi"/>
            <w:lang w:val="es-ES"/>
          </w:rPr>
          <w:t>.</w:t>
        </w:r>
        <w:r w:rsidR="002B2651" w:rsidRPr="00FB1598">
          <w:rPr>
            <w:rStyle w:val="normaltextrun"/>
            <w:rFonts w:asciiTheme="majorBidi" w:eastAsiaTheme="majorEastAsia" w:hAnsiTheme="majorBidi" w:cstheme="majorBidi"/>
            <w:lang w:val="es-ES"/>
          </w:rPr>
          <w:t>cardenasrodriguez</w:t>
        </w:r>
        <w:r w:rsidRPr="00FB1598">
          <w:rPr>
            <w:rStyle w:val="normaltextrun"/>
            <w:rFonts w:asciiTheme="majorBidi" w:eastAsiaTheme="majorEastAsia" w:hAnsiTheme="majorBidi" w:cstheme="majorBidi"/>
            <w:lang w:val="es-ES"/>
          </w:rPr>
          <w:t>@oecd</w:t>
        </w:r>
        <w:r w:rsidR="002B2651">
          <w:rPr>
            <w:rStyle w:val="normaltextrun"/>
            <w:rFonts w:asciiTheme="majorBidi" w:eastAsiaTheme="majorEastAsia" w:hAnsiTheme="majorBidi" w:cstheme="majorBidi"/>
            <w:lang w:val="es-ES"/>
          </w:rPr>
          <w:t>.</w:t>
        </w:r>
        <w:r w:rsidRPr="00FB1598">
          <w:rPr>
            <w:rStyle w:val="normaltextrun"/>
            <w:rFonts w:asciiTheme="majorBidi" w:eastAsiaTheme="majorEastAsia" w:hAnsiTheme="majorBidi" w:cstheme="majorBidi"/>
            <w:lang w:val="es-ES"/>
          </w:rPr>
          <w:t>org</w:t>
        </w:r>
      </w:hyperlink>
      <w:r w:rsidRPr="00FB1598">
        <w:rPr>
          <w:rStyle w:val="normaltextrun"/>
          <w:rFonts w:asciiTheme="majorBidi" w:eastAsiaTheme="majorEastAsia" w:hAnsiTheme="majorBidi" w:cstheme="majorBidi"/>
          <w:lang w:val="es-ES"/>
        </w:rPr>
        <w:t>)</w:t>
      </w:r>
      <w:r w:rsidRPr="0090481A">
        <w:rPr>
          <w:rStyle w:val="normaltextrun"/>
          <w:lang w:val="es-ES"/>
        </w:rPr>
        <w:t> </w:t>
      </w:r>
    </w:p>
    <w:p w14:paraId="2DA6EAA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11. References</w:t>
      </w:r>
      <w:r w:rsidRPr="00ED7E61">
        <w:rPr>
          <w:rStyle w:val="eop"/>
          <w:rFonts w:asciiTheme="majorBidi" w:eastAsiaTheme="majorEastAsia" w:hAnsiTheme="majorBidi" w:cstheme="majorBidi"/>
          <w:b/>
          <w:bCs/>
          <w:sz w:val="22"/>
          <w:szCs w:val="22"/>
        </w:rPr>
        <w:t> </w:t>
      </w:r>
    </w:p>
    <w:p w14:paraId="4EC991AB" w14:textId="2242A3F0" w:rsidR="00125292" w:rsidRPr="00ED7E61" w:rsidRDefault="00756F0F" w:rsidP="00E1629D">
      <w:pPr>
        <w:pStyle w:val="CBDNormalNumber"/>
        <w:shd w:val="clear" w:color="auto" w:fill="FFFFFF"/>
        <w:ind w:left="567"/>
        <w:rPr>
          <w:rFonts w:asciiTheme="majorBidi" w:hAnsiTheme="majorBidi" w:cstheme="majorBidi"/>
        </w:rPr>
      </w:pPr>
      <w:r w:rsidRPr="00FB1598">
        <w:rPr>
          <w:rStyle w:val="normaltextrun"/>
          <w:rFonts w:asciiTheme="majorBidi" w:eastAsiaTheme="majorEastAsia" w:hAnsiTheme="majorBidi" w:cstheme="majorBidi"/>
        </w:rPr>
        <w:t>On</w:t>
      </w:r>
      <w:r w:rsidRPr="00ED7E61">
        <w:rPr>
          <w:rStyle w:val="normaltextrun"/>
          <w:rFonts w:asciiTheme="majorBidi" w:eastAsiaTheme="majorEastAsia" w:hAnsiTheme="majorBidi" w:cstheme="majorBidi"/>
          <w:color w:val="000000"/>
        </w:rPr>
        <w:t xml:space="preserve"> positive incentives (economic instruments) for biodiversity conservation and sustainable use: OECD 202</w:t>
      </w:r>
      <w:r w:rsidR="002B2651">
        <w:rPr>
          <w:rStyle w:val="normaltextrun"/>
          <w:rFonts w:asciiTheme="majorBidi" w:eastAsiaTheme="majorEastAsia" w:hAnsiTheme="majorBidi" w:cstheme="majorBidi"/>
          <w:color w:val="000000"/>
        </w:rPr>
        <w:t>4</w:t>
      </w:r>
      <w:r w:rsidRPr="00ED7E61">
        <w:rPr>
          <w:rStyle w:val="normaltextrun"/>
          <w:rFonts w:asciiTheme="majorBidi" w:eastAsiaTheme="majorEastAsia" w:hAnsiTheme="majorBidi" w:cstheme="majorBidi"/>
          <w:color w:val="000000"/>
        </w:rPr>
        <w:t xml:space="preserve">, </w:t>
      </w:r>
      <w:hyperlink r:id="rId455" w:tgtFrame="_blank" w:history="1">
        <w:r w:rsidR="00E1629D" w:rsidRPr="00E1629D">
          <w:rPr>
            <w:rStyle w:val="Hyperlink"/>
            <w:lang w:val="en-CA"/>
          </w:rPr>
          <w:t>Tracking Economic Instruments and Finance for Biodiversity - 2024</w:t>
        </w:r>
      </w:hyperlink>
    </w:p>
    <w:p w14:paraId="00041118" w14:textId="68A34213" w:rsidR="00EB2A69" w:rsidRPr="00EB2A69" w:rsidRDefault="00756F0F" w:rsidP="00812871">
      <w:pPr>
        <w:pStyle w:val="CBDNormalNumber"/>
        <w:ind w:left="567"/>
        <w:rPr>
          <w:rFonts w:asciiTheme="majorBidi" w:eastAsiaTheme="majorEastAsia" w:hAnsiTheme="majorBidi" w:cstheme="majorBidi"/>
          <w:color w:val="000000"/>
        </w:rPr>
      </w:pPr>
      <w:r w:rsidRPr="00FB1598">
        <w:rPr>
          <w:rStyle w:val="normaltextrun"/>
          <w:rFonts w:asciiTheme="majorBidi" w:eastAsiaTheme="majorEastAsia" w:hAnsiTheme="majorBidi" w:cstheme="majorBidi"/>
        </w:rPr>
        <w:t>OECD</w:t>
      </w:r>
      <w:r w:rsidRPr="00ED7E61">
        <w:rPr>
          <w:rStyle w:val="normaltextrun"/>
          <w:rFonts w:asciiTheme="majorBidi" w:eastAsiaTheme="majorEastAsia" w:hAnsiTheme="majorBidi" w:cstheme="majorBidi"/>
          <w:color w:val="000000"/>
        </w:rPr>
        <w:t xml:space="preserve"> 202</w:t>
      </w:r>
      <w:r w:rsidR="00E1629D">
        <w:rPr>
          <w:rStyle w:val="normaltextrun"/>
          <w:rFonts w:asciiTheme="majorBidi" w:eastAsiaTheme="majorEastAsia" w:hAnsiTheme="majorBidi" w:cstheme="majorBidi"/>
          <w:color w:val="000000"/>
        </w:rPr>
        <w:t>5</w:t>
      </w:r>
      <w:r w:rsidRPr="00ED7E61">
        <w:rPr>
          <w:rStyle w:val="normaltextrun"/>
          <w:rFonts w:asciiTheme="majorBidi" w:eastAsiaTheme="majorEastAsia" w:hAnsiTheme="majorBidi" w:cstheme="majorBidi"/>
          <w:color w:val="000000"/>
        </w:rPr>
        <w:t xml:space="preserve">, Policy Instruments for the Environment (PINE) Database, </w:t>
      </w:r>
      <w:proofErr w:type="gramStart"/>
      <w:r w:rsidRPr="00ED7E61">
        <w:rPr>
          <w:rStyle w:val="normaltextrun"/>
          <w:rFonts w:asciiTheme="majorBidi" w:eastAsiaTheme="majorEastAsia" w:hAnsiTheme="majorBidi" w:cstheme="majorBidi"/>
          <w:color w:val="000000"/>
        </w:rPr>
        <w:t>http://oe.cd/pine ,</w:t>
      </w:r>
      <w:proofErr w:type="gramEnd"/>
      <w:r w:rsidRPr="00ED7E61">
        <w:rPr>
          <w:rStyle w:val="normaltextrun"/>
          <w:rFonts w:asciiTheme="majorBidi" w:eastAsiaTheme="majorEastAsia" w:hAnsiTheme="majorBidi" w:cstheme="majorBidi"/>
          <w:color w:val="000000"/>
        </w:rPr>
        <w:t xml:space="preserve"> Ju</w:t>
      </w:r>
      <w:r w:rsidR="00E1629D">
        <w:rPr>
          <w:rStyle w:val="normaltextrun"/>
          <w:rFonts w:asciiTheme="majorBidi" w:eastAsiaTheme="majorEastAsia" w:hAnsiTheme="majorBidi" w:cstheme="majorBidi"/>
          <w:color w:val="000000"/>
        </w:rPr>
        <w:t>ly</w:t>
      </w:r>
      <w:r w:rsidRPr="00ED7E61">
        <w:rPr>
          <w:rStyle w:val="normaltextrun"/>
          <w:rFonts w:asciiTheme="majorBidi" w:eastAsiaTheme="majorEastAsia" w:hAnsiTheme="majorBidi" w:cstheme="majorBidi"/>
          <w:color w:val="000000"/>
        </w:rPr>
        <w:t xml:space="preserve"> 202</w:t>
      </w:r>
      <w:r w:rsidR="00E1629D">
        <w:rPr>
          <w:rStyle w:val="normaltextrun"/>
          <w:rFonts w:asciiTheme="majorBidi" w:eastAsiaTheme="majorEastAsia" w:hAnsiTheme="majorBidi" w:cstheme="majorBidi"/>
          <w:color w:val="000000"/>
        </w:rPr>
        <w:t>5</w:t>
      </w:r>
      <w:r w:rsidRPr="00ED7E61">
        <w:rPr>
          <w:rStyle w:val="normaltextrun"/>
          <w:rFonts w:asciiTheme="majorBidi" w:eastAsiaTheme="majorEastAsia" w:hAnsiTheme="majorBidi" w:cstheme="majorBidi"/>
          <w:color w:val="000000"/>
        </w:rPr>
        <w:t xml:space="preserve"> version.</w:t>
      </w:r>
      <w:r w:rsidRPr="00ED7E61">
        <w:rPr>
          <w:rStyle w:val="eop"/>
          <w:rFonts w:asciiTheme="majorBidi" w:eastAsiaTheme="majorEastAsia" w:hAnsiTheme="majorBidi" w:cstheme="majorBidi"/>
          <w:color w:val="000000"/>
        </w:rPr>
        <w:t> </w:t>
      </w:r>
      <w:r w:rsidR="00EB2A69" w:rsidRPr="00EB2A69">
        <w:rPr>
          <w:rFonts w:asciiTheme="majorBidi" w:hAnsiTheme="majorBidi" w:cstheme="majorBidi"/>
          <w:color w:val="000000"/>
        </w:rPr>
        <w:t>https://www.oecd.org/en/data/datasets/policy-instruments-for-the-environment-pine-database.html</w:t>
      </w:r>
    </w:p>
    <w:p w14:paraId="66C0A7F2" w14:textId="37106963" w:rsidR="00756F0F" w:rsidRPr="00ED7E61" w:rsidRDefault="00756F0F" w:rsidP="00474A03">
      <w:pPr>
        <w:pStyle w:val="CBDNormalNumber"/>
        <w:shd w:val="clear" w:color="auto" w:fill="FFFFFF"/>
        <w:ind w:left="567"/>
        <w:rPr>
          <w:rFonts w:asciiTheme="majorBidi" w:hAnsiTheme="majorBidi" w:cstheme="majorBidi"/>
        </w:rPr>
      </w:pPr>
    </w:p>
    <w:p w14:paraId="07F7E53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12. Graphs and diagrams</w:t>
      </w:r>
      <w:r w:rsidRPr="00ED7E61">
        <w:rPr>
          <w:rStyle w:val="eop"/>
          <w:rFonts w:asciiTheme="majorBidi" w:eastAsiaTheme="majorEastAsia" w:hAnsiTheme="majorBidi" w:cstheme="majorBidi"/>
          <w:b/>
          <w:bCs/>
          <w:sz w:val="22"/>
          <w:szCs w:val="22"/>
        </w:rPr>
        <w:t> </w:t>
      </w:r>
    </w:p>
    <w:p w14:paraId="4C21B4A4"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441BD7DC"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7B34FC6B"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1A37688E" w14:textId="77777777" w:rsidR="00D311B8" w:rsidRPr="00ED7E61" w:rsidRDefault="00D311B8" w:rsidP="00395866">
      <w:pPr>
        <w:rPr>
          <w:rStyle w:val="normaltextrun"/>
          <w:rFonts w:asciiTheme="majorBidi" w:eastAsiaTheme="majorEastAsia" w:hAnsiTheme="majorBidi" w:cstheme="majorBidi"/>
          <w:b/>
          <w:bCs/>
          <w:sz w:val="22"/>
          <w:szCs w:val="22"/>
          <w:lang w:val="en-GB"/>
        </w:rPr>
      </w:pPr>
      <w:r w:rsidRPr="00ED7E61">
        <w:rPr>
          <w:rStyle w:val="normaltextrun"/>
          <w:rFonts w:asciiTheme="majorBidi" w:eastAsiaTheme="majorEastAsia" w:hAnsiTheme="majorBidi" w:cstheme="majorBidi"/>
          <w:b/>
          <w:bCs/>
          <w:sz w:val="22"/>
          <w:szCs w:val="22"/>
          <w:lang w:val="en-GB"/>
        </w:rPr>
        <w:br w:type="page"/>
      </w:r>
    </w:p>
    <w:p w14:paraId="3AC48B7C" w14:textId="337F37B2" w:rsidR="00756F0F" w:rsidRPr="00ED7E61" w:rsidRDefault="004F77DE" w:rsidP="003B0E8A">
      <w:pPr>
        <w:pStyle w:val="Heading3"/>
      </w:pPr>
      <w:bookmarkStart w:id="73" w:name="_Toc233278588"/>
      <w:bookmarkStart w:id="74" w:name="_Hlk178002831"/>
      <w:bookmarkStart w:id="75" w:name="_Hlk178002900"/>
      <w:r w:rsidRPr="00ED7E61">
        <w:rPr>
          <w:rStyle w:val="normaltextrun"/>
        </w:rPr>
        <w:lastRenderedPageBreak/>
        <w:t>18.2 Value of subsidies and other incentives harmful to biodiversity</w:t>
      </w:r>
      <w:bookmarkEnd w:id="73"/>
      <w:r w:rsidR="00756F0F" w:rsidRPr="00ED7E61">
        <w:rPr>
          <w:rStyle w:val="normaltextrun"/>
        </w:rPr>
        <w:t> </w:t>
      </w:r>
      <w:r w:rsidR="00756F0F" w:rsidRPr="00ED7E61">
        <w:rPr>
          <w:rStyle w:val="eop"/>
        </w:rPr>
        <w:t> </w:t>
      </w:r>
    </w:p>
    <w:p w14:paraId="2127DC34"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11378DA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lang w:val="en-GB"/>
        </w:rPr>
        <w:t> </w:t>
      </w:r>
      <w:r w:rsidRPr="00ED7E61">
        <w:rPr>
          <w:rStyle w:val="eop"/>
          <w:rFonts w:asciiTheme="majorBidi" w:eastAsiaTheme="majorEastAsia" w:hAnsiTheme="majorBidi" w:cstheme="majorBidi"/>
          <w:b/>
          <w:bCs/>
          <w:sz w:val="22"/>
          <w:szCs w:val="22"/>
        </w:rPr>
        <w:t> </w:t>
      </w:r>
    </w:p>
    <w:p w14:paraId="1B424CE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18.2 Value of subsidies and other incentives harmful to biodiversity.</w:t>
      </w:r>
      <w:r w:rsidRPr="00ED7E61">
        <w:rPr>
          <w:rStyle w:val="eop"/>
          <w:rFonts w:asciiTheme="majorBidi" w:eastAsiaTheme="majorEastAsia" w:hAnsiTheme="majorBidi" w:cstheme="majorBidi"/>
          <w:sz w:val="22"/>
          <w:szCs w:val="22"/>
        </w:rPr>
        <w:t> </w:t>
      </w:r>
    </w:p>
    <w:p w14:paraId="598D492E" w14:textId="48D6A977" w:rsidR="00756F0F" w:rsidRPr="00ED7E61" w:rsidRDefault="00454683" w:rsidP="00B10F0C">
      <w:pPr>
        <w:pStyle w:val="CBDNormalNumber"/>
        <w:numPr>
          <w:ilvl w:val="0"/>
          <w:numId w:val="94"/>
        </w:numPr>
        <w:shd w:val="clear" w:color="auto" w:fill="FFFFFF"/>
        <w:tabs>
          <w:tab w:val="clear" w:pos="1701"/>
        </w:tabs>
        <w:ind w:left="567" w:firstLine="0"/>
        <w:rPr>
          <w:rFonts w:asciiTheme="majorBidi" w:hAnsiTheme="majorBidi" w:cstheme="majorBidi"/>
        </w:rPr>
      </w:pPr>
      <w:r w:rsidRPr="00FB1598">
        <w:rPr>
          <w:rStyle w:val="normaltextrun"/>
          <w:rFonts w:asciiTheme="majorBidi" w:eastAsiaTheme="majorEastAsia" w:hAnsiTheme="majorBidi" w:cstheme="majorBidi"/>
        </w:rPr>
        <w:t>Possible</w:t>
      </w:r>
      <w:r w:rsidRPr="00ED7E61">
        <w:rPr>
          <w:rStyle w:val="normaltextrun"/>
          <w:rFonts w:asciiTheme="majorBidi" w:eastAsiaTheme="majorEastAsia" w:hAnsiTheme="majorBidi" w:cstheme="majorBidi"/>
          <w:color w:val="000000"/>
        </w:rPr>
        <w:t xml:space="preserve"> </w:t>
      </w:r>
      <w:proofErr w:type="spellStart"/>
      <w:r w:rsidRPr="00ED7E61">
        <w:rPr>
          <w:rStyle w:val="normaltextrun"/>
          <w:rFonts w:asciiTheme="majorBidi" w:eastAsiaTheme="majorEastAsia" w:hAnsiTheme="majorBidi" w:cstheme="majorBidi"/>
          <w:color w:val="000000"/>
        </w:rPr>
        <w:t>d</w:t>
      </w:r>
      <w:r w:rsidR="00756F0F" w:rsidRPr="00ED7E61">
        <w:rPr>
          <w:rStyle w:val="normaltextrun"/>
          <w:rFonts w:asciiTheme="majorBidi" w:eastAsiaTheme="majorEastAsia" w:hAnsiTheme="majorBidi" w:cstheme="majorBidi"/>
          <w:color w:val="000000"/>
        </w:rPr>
        <w:t>isaggregation</w:t>
      </w:r>
      <w:r w:rsidRPr="00ED7E61">
        <w:rPr>
          <w:rStyle w:val="normaltextrun"/>
          <w:rFonts w:asciiTheme="majorBidi" w:eastAsiaTheme="majorEastAsia" w:hAnsiTheme="majorBidi" w:cstheme="majorBidi"/>
          <w:color w:val="000000"/>
        </w:rPr>
        <w:t>s</w:t>
      </w:r>
      <w:proofErr w:type="spellEnd"/>
      <w:r w:rsidR="00756F0F" w:rsidRPr="00ED7E61">
        <w:rPr>
          <w:rStyle w:val="normaltextrun"/>
          <w:rFonts w:asciiTheme="majorBidi" w:eastAsiaTheme="majorEastAsia" w:hAnsiTheme="majorBidi" w:cstheme="majorBidi"/>
        </w:rPr>
        <w:t xml:space="preserve"> of the headline indicator: </w:t>
      </w:r>
      <w:r w:rsidR="00756F0F" w:rsidRPr="00ED7E61">
        <w:rPr>
          <w:rStyle w:val="eop"/>
          <w:rFonts w:asciiTheme="majorBidi" w:eastAsiaTheme="majorEastAsia" w:hAnsiTheme="majorBidi" w:cstheme="majorBidi"/>
        </w:rPr>
        <w:t> </w:t>
      </w:r>
    </w:p>
    <w:p w14:paraId="1C3D4EF1" w14:textId="77777777" w:rsidR="00756F0F" w:rsidRPr="00FB1598" w:rsidRDefault="00756F0F" w:rsidP="00B10F0C">
      <w:pPr>
        <w:pStyle w:val="CBDNormalNumber"/>
        <w:numPr>
          <w:ilvl w:val="0"/>
          <w:numId w:val="30"/>
        </w:numPr>
        <w:tabs>
          <w:tab w:val="clear" w:pos="567"/>
          <w:tab w:val="clear" w:pos="1134"/>
          <w:tab w:val="clear" w:pos="2268"/>
          <w:tab w:val="left" w:pos="1985"/>
        </w:tabs>
        <w:ind w:left="567" w:firstLine="567"/>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Value of agricultural subsidies and other incentives potentially harmful to biodiversity/environment</w:t>
      </w:r>
      <w:r w:rsidRPr="00FB1598">
        <w:rPr>
          <w:rStyle w:val="normaltextrun"/>
          <w:rFonts w:asciiTheme="majorBidi" w:eastAsiaTheme="majorEastAsia" w:hAnsiTheme="majorBidi" w:cstheme="majorBidi"/>
        </w:rPr>
        <w:t> </w:t>
      </w:r>
    </w:p>
    <w:p w14:paraId="770A363C" w14:textId="449E52AD" w:rsidR="00756F0F" w:rsidRPr="00FB1598" w:rsidRDefault="00756F0F" w:rsidP="00B10F0C">
      <w:pPr>
        <w:pStyle w:val="CBDNormalNumber"/>
        <w:numPr>
          <w:ilvl w:val="0"/>
          <w:numId w:val="30"/>
        </w:numPr>
        <w:tabs>
          <w:tab w:val="clear" w:pos="567"/>
          <w:tab w:val="clear" w:pos="1134"/>
          <w:tab w:val="clear" w:pos="2268"/>
          <w:tab w:val="left" w:pos="1985"/>
        </w:tabs>
        <w:ind w:left="567" w:firstLine="567"/>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Value of subsidies</w:t>
      </w:r>
      <w:r w:rsidR="001622D6">
        <w:rPr>
          <w:rStyle w:val="normaltextrun"/>
          <w:rFonts w:asciiTheme="majorBidi" w:eastAsiaTheme="majorEastAsia" w:hAnsiTheme="majorBidi" w:cstheme="majorBidi"/>
        </w:rPr>
        <w:t xml:space="preserve"> (“support”)</w:t>
      </w:r>
      <w:r w:rsidRPr="00ED7E61">
        <w:rPr>
          <w:rStyle w:val="normaltextrun"/>
          <w:rFonts w:asciiTheme="majorBidi" w:eastAsiaTheme="majorEastAsia" w:hAnsiTheme="majorBidi" w:cstheme="majorBidi"/>
        </w:rPr>
        <w:t xml:space="preserve"> to capture fisheries with a risk (moderate or high) of encouraging unsustainable fishing in the absence of effective fisheries management</w:t>
      </w:r>
      <w:r w:rsidRPr="00FB1598">
        <w:rPr>
          <w:rStyle w:val="normaltextrun"/>
          <w:rFonts w:asciiTheme="majorBidi" w:eastAsiaTheme="majorEastAsia" w:hAnsiTheme="majorBidi" w:cstheme="majorBidi"/>
        </w:rPr>
        <w:t> </w:t>
      </w:r>
    </w:p>
    <w:p w14:paraId="5DCF8EF6" w14:textId="77777777" w:rsidR="00756F0F" w:rsidRPr="00FB1598" w:rsidRDefault="00756F0F" w:rsidP="00B10F0C">
      <w:pPr>
        <w:pStyle w:val="CBDNormalNumber"/>
        <w:numPr>
          <w:ilvl w:val="0"/>
          <w:numId w:val="30"/>
        </w:numPr>
        <w:tabs>
          <w:tab w:val="clear" w:pos="567"/>
          <w:tab w:val="clear" w:pos="1134"/>
          <w:tab w:val="clear" w:pos="2268"/>
          <w:tab w:val="left" w:pos="1985"/>
        </w:tabs>
        <w:ind w:left="567" w:firstLine="567"/>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Value of fossil fuel subsidies (production and consumption)</w:t>
      </w:r>
      <w:r w:rsidRPr="00FB1598">
        <w:rPr>
          <w:rStyle w:val="normaltextrun"/>
          <w:rFonts w:asciiTheme="majorBidi" w:eastAsiaTheme="majorEastAsia" w:hAnsiTheme="majorBidi" w:cstheme="majorBidi"/>
        </w:rPr>
        <w:t> </w:t>
      </w:r>
    </w:p>
    <w:p w14:paraId="7EAC543F" w14:textId="77777777" w:rsidR="00756F0F" w:rsidRPr="00FB1598" w:rsidRDefault="00756F0F" w:rsidP="00B10F0C">
      <w:pPr>
        <w:pStyle w:val="CBDNormalNumber"/>
        <w:numPr>
          <w:ilvl w:val="0"/>
          <w:numId w:val="30"/>
        </w:numPr>
        <w:tabs>
          <w:tab w:val="clear" w:pos="567"/>
          <w:tab w:val="clear" w:pos="1134"/>
          <w:tab w:val="clear" w:pos="2268"/>
          <w:tab w:val="left" w:pos="1985"/>
        </w:tabs>
        <w:ind w:left="567" w:firstLine="567"/>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Value of subsidies and other incentives harmful to biodiversity in another sector (such as water, transportation and mining sectors)</w:t>
      </w:r>
      <w:r w:rsidRPr="00FB1598">
        <w:rPr>
          <w:rStyle w:val="normaltextrun"/>
          <w:rFonts w:asciiTheme="majorBidi" w:eastAsiaTheme="majorEastAsia" w:hAnsiTheme="majorBidi" w:cstheme="majorBidi"/>
        </w:rPr>
        <w:t> </w:t>
      </w:r>
    </w:p>
    <w:p w14:paraId="3428EFC5" w14:textId="77777777" w:rsidR="00756F0F" w:rsidRPr="00ED7E61" w:rsidRDefault="00756F0F" w:rsidP="00B10F0C">
      <w:pPr>
        <w:pStyle w:val="CBDNormalNumber"/>
        <w:numPr>
          <w:ilvl w:val="0"/>
          <w:numId w:val="94"/>
        </w:numPr>
        <w:shd w:val="clear" w:color="auto" w:fill="FFFFFF"/>
        <w:ind w:left="567" w:firstLine="0"/>
        <w:rPr>
          <w:rStyle w:val="normaltextrun"/>
          <w:rFonts w:eastAsiaTheme="majorEastAsia"/>
          <w:color w:val="000000"/>
        </w:rPr>
      </w:pPr>
      <w:r w:rsidRPr="00FB1598">
        <w:rPr>
          <w:rStyle w:val="normaltextrun"/>
          <w:rFonts w:asciiTheme="majorBidi" w:eastAsiaTheme="majorEastAsia" w:hAnsiTheme="majorBidi" w:cstheme="majorBidi"/>
        </w:rPr>
        <w:t>All</w:t>
      </w:r>
      <w:r w:rsidRPr="00ED7E61">
        <w:rPr>
          <w:rStyle w:val="normaltextrun"/>
          <w:rFonts w:asciiTheme="majorBidi" w:eastAsiaTheme="majorEastAsia" w:hAnsiTheme="majorBidi" w:cstheme="majorBidi"/>
          <w:color w:val="000000"/>
        </w:rPr>
        <w:t xml:space="preserve"> the values are to be reported in national currency in current values.</w:t>
      </w:r>
      <w:r w:rsidRPr="00ED7E61">
        <w:rPr>
          <w:rStyle w:val="normaltextrun"/>
          <w:color w:val="000000"/>
        </w:rPr>
        <w:t> </w:t>
      </w:r>
    </w:p>
    <w:p w14:paraId="21832E36" w14:textId="32886F5F" w:rsidR="00756F0F" w:rsidRPr="00ED7E61" w:rsidRDefault="00756F0F" w:rsidP="00B10F0C">
      <w:pPr>
        <w:pStyle w:val="CBDNormalNumber"/>
        <w:numPr>
          <w:ilvl w:val="0"/>
          <w:numId w:val="94"/>
        </w:numPr>
        <w:shd w:val="clear" w:color="auto" w:fill="FFFFFF"/>
        <w:ind w:left="567" w:firstLine="0"/>
        <w:rPr>
          <w:rStyle w:val="normaltextrun"/>
          <w:rFonts w:eastAsiaTheme="majorEastAsia"/>
          <w:color w:val="000000"/>
        </w:rPr>
      </w:pPr>
      <w:r w:rsidRPr="00FB1598">
        <w:rPr>
          <w:rStyle w:val="normaltextrun"/>
          <w:rFonts w:asciiTheme="majorBidi" w:eastAsiaTheme="majorEastAsia" w:hAnsiTheme="majorBidi" w:cstheme="majorBidi"/>
        </w:rPr>
        <w:t>Explanation</w:t>
      </w:r>
      <w:r w:rsidRPr="00ED7E61">
        <w:rPr>
          <w:rStyle w:val="normaltextrun"/>
          <w:rFonts w:asciiTheme="majorBidi" w:eastAsiaTheme="majorEastAsia" w:hAnsiTheme="majorBidi" w:cstheme="majorBidi"/>
          <w:color w:val="000000"/>
        </w:rPr>
        <w:t xml:space="preserve">: The disaggregated values are taken from the formerly proposed complementary indicators; the value of subsidies to capture fisheries is new, proposed by the </w:t>
      </w:r>
      <w:r w:rsidR="001010A0" w:rsidRPr="00FB1598">
        <w:rPr>
          <w:rStyle w:val="normaltextrun"/>
        </w:rPr>
        <w:t>technical expert group on financial reporting</w:t>
      </w:r>
      <w:r w:rsidRPr="00ED7E61">
        <w:rPr>
          <w:rStyle w:val="normaltextrun"/>
          <w:rFonts w:asciiTheme="majorBidi" w:eastAsiaTheme="majorEastAsia" w:hAnsiTheme="majorBidi" w:cstheme="majorBidi"/>
          <w:color w:val="000000"/>
        </w:rPr>
        <w:t>. In case of the disaggregation for the fisher</w:t>
      </w:r>
      <w:r w:rsidR="000F2B5D">
        <w:rPr>
          <w:rStyle w:val="normaltextrun"/>
          <w:rFonts w:asciiTheme="majorBidi" w:eastAsiaTheme="majorEastAsia" w:hAnsiTheme="majorBidi" w:cstheme="majorBidi"/>
          <w:color w:val="000000"/>
        </w:rPr>
        <w:t>ies</w:t>
      </w:r>
      <w:r w:rsidRPr="00ED7E61">
        <w:rPr>
          <w:rStyle w:val="normaltextrun"/>
          <w:rFonts w:asciiTheme="majorBidi" w:eastAsiaTheme="majorEastAsia" w:hAnsiTheme="majorBidi" w:cstheme="majorBidi"/>
          <w:color w:val="000000"/>
        </w:rPr>
        <w:t xml:space="preserve"> sector and fossil fuels, datasets with data for some countries exist and can be used within the template. Further information below.</w:t>
      </w:r>
      <w:r w:rsidRPr="00ED7E61">
        <w:rPr>
          <w:rStyle w:val="normaltextrun"/>
          <w:color w:val="000000"/>
        </w:rPr>
        <w:t> </w:t>
      </w:r>
      <w:r w:rsidR="00750A65" w:rsidRPr="00ED7E61">
        <w:rPr>
          <w:rStyle w:val="normaltextrun"/>
          <w:color w:val="000000"/>
        </w:rPr>
        <w:t>Parties can report on incentives harmful for biodiversity across all relevant sectors,</w:t>
      </w:r>
      <w:r w:rsidR="00750A65" w:rsidRPr="00ED7E61">
        <w:t xml:space="preserve"> these </w:t>
      </w:r>
      <w:proofErr w:type="spellStart"/>
      <w:r w:rsidR="00750A65" w:rsidRPr="00ED7E61">
        <w:t>disaggregations</w:t>
      </w:r>
      <w:proofErr w:type="spellEnd"/>
      <w:r w:rsidR="00750A65" w:rsidRPr="00ED7E61">
        <w:t xml:space="preserve"> are provided for the information of Parties to </w:t>
      </w:r>
      <w:proofErr w:type="gramStart"/>
      <w:r w:rsidR="00750A65" w:rsidRPr="00ED7E61">
        <w:t>take into account</w:t>
      </w:r>
      <w:proofErr w:type="gramEnd"/>
      <w:r w:rsidR="00750A65" w:rsidRPr="00ED7E61">
        <w:t>, as appropriate, and subject to their national circumstances and priorities.</w:t>
      </w:r>
    </w:p>
    <w:p w14:paraId="409098B2" w14:textId="77777777" w:rsidR="00756F0F" w:rsidRPr="00ED7E61" w:rsidRDefault="00756F0F" w:rsidP="00B10F0C">
      <w:pPr>
        <w:pStyle w:val="CBDNormalNumber"/>
        <w:numPr>
          <w:ilvl w:val="0"/>
          <w:numId w:val="94"/>
        </w:numPr>
        <w:shd w:val="clear" w:color="auto" w:fill="FFFFFF"/>
        <w:ind w:left="567" w:firstLine="0"/>
        <w:rPr>
          <w:rStyle w:val="normaltextrun"/>
          <w:rFonts w:eastAsiaTheme="majorEastAsia"/>
          <w:color w:val="000000"/>
        </w:rPr>
      </w:pPr>
      <w:r w:rsidRPr="00FB1598">
        <w:rPr>
          <w:rStyle w:val="normaltextrun"/>
          <w:rFonts w:asciiTheme="majorBidi" w:eastAsiaTheme="majorEastAsia" w:hAnsiTheme="majorBidi" w:cstheme="majorBidi"/>
        </w:rPr>
        <w:t>Justification</w:t>
      </w:r>
      <w:r w:rsidRPr="00ED7E61">
        <w:rPr>
          <w:rStyle w:val="normaltextrun"/>
          <w:rFonts w:asciiTheme="majorBidi" w:eastAsiaTheme="majorEastAsia" w:hAnsiTheme="majorBidi" w:cstheme="majorBidi"/>
          <w:color w:val="000000"/>
        </w:rPr>
        <w:t xml:space="preserve"> for revising the proposed headline indicator: The headline indicator as it is worded in Table 2 of CBD/COP/DEC/15/5 would only allow countries to report on (positive) reform, but if this were to be reversed in another year, this information would not be recorded. For example,  country X  might eliminate/reform 2 million worth of harmful incentives in year 1, but then introduce (other) harmful incentives worth 10 million in year 2 or 3. The original wording of the headline indicator only requires that countries report on the reform of harmful incentives in year 1, but does not require the country to report on the introduction of harmful incentives in year 2 or 3. Furthermore, a country with a high value of harmful subsidies/incentives that reforms even a small fraction of them will look to be performing better than a country that has few or no harmful subsidies/incentives and has therefore reformed few or none. </w:t>
      </w:r>
      <w:r w:rsidRPr="00ED7E61">
        <w:rPr>
          <w:rStyle w:val="normaltextrun"/>
          <w:color w:val="000000"/>
        </w:rPr>
        <w:t> </w:t>
      </w:r>
    </w:p>
    <w:p w14:paraId="138930F1" w14:textId="6C88B5E2" w:rsidR="00756F0F" w:rsidRPr="00526EB5" w:rsidRDefault="00601AE3" w:rsidP="00B10F0C">
      <w:pPr>
        <w:pStyle w:val="CBDNormalNumber"/>
        <w:numPr>
          <w:ilvl w:val="0"/>
          <w:numId w:val="94"/>
        </w:numPr>
        <w:shd w:val="clear" w:color="auto" w:fill="FFFFFF"/>
        <w:ind w:left="567" w:firstLine="0"/>
        <w:rPr>
          <w:rFonts w:eastAsiaTheme="majorEastAsia"/>
          <w:color w:val="000000"/>
        </w:rPr>
      </w:pPr>
      <w:r w:rsidRPr="001010A0">
        <w:rPr>
          <w:rStyle w:val="normaltextrun"/>
          <w:rFonts w:asciiTheme="majorBidi" w:eastAsiaTheme="majorEastAsia" w:hAnsiTheme="majorBidi" w:cstheme="majorBidi"/>
          <w:color w:val="000000"/>
        </w:rPr>
        <w:t>The</w:t>
      </w:r>
      <w:r>
        <w:rPr>
          <w:rStyle w:val="normaltextrun"/>
          <w:rFonts w:asciiTheme="majorBidi" w:eastAsiaTheme="majorEastAsia" w:hAnsiTheme="majorBidi" w:cstheme="majorBidi"/>
          <w:color w:val="000000"/>
        </w:rPr>
        <w:t xml:space="preserve"> </w:t>
      </w:r>
      <w:r w:rsidR="001010A0" w:rsidRPr="00FB1598">
        <w:rPr>
          <w:rStyle w:val="normaltextrun"/>
        </w:rPr>
        <w:t>technical expert group on financial reporting</w:t>
      </w:r>
      <w:r w:rsidR="001010A0" w:rsidRPr="00FB1598" w:rsidDel="001010A0">
        <w:rPr>
          <w:rStyle w:val="normaltextrun"/>
        </w:rPr>
        <w:t xml:space="preserve"> </w:t>
      </w:r>
      <w:r w:rsidR="00756F0F" w:rsidRPr="00ED7E61">
        <w:rPr>
          <w:rStyle w:val="normaltextrun"/>
          <w:rFonts w:asciiTheme="majorBidi" w:eastAsiaTheme="majorEastAsia" w:hAnsiTheme="majorBidi" w:cstheme="majorBidi"/>
          <w:color w:val="000000"/>
        </w:rPr>
        <w:t>note</w:t>
      </w:r>
      <w:r>
        <w:rPr>
          <w:rStyle w:val="normaltextrun"/>
          <w:rFonts w:asciiTheme="majorBidi" w:eastAsiaTheme="majorEastAsia" w:hAnsiTheme="majorBidi" w:cstheme="majorBidi"/>
          <w:color w:val="000000"/>
        </w:rPr>
        <w:t>s</w:t>
      </w:r>
      <w:r w:rsidR="00756F0F" w:rsidRPr="00ED7E61">
        <w:rPr>
          <w:rStyle w:val="normaltextrun"/>
          <w:rFonts w:asciiTheme="majorBidi" w:eastAsiaTheme="majorEastAsia" w:hAnsiTheme="majorBidi" w:cstheme="majorBidi"/>
          <w:color w:val="000000"/>
        </w:rPr>
        <w:t xml:space="preserve"> that there is no standardized, globally agreed methodology for assessing the value of subsidies and other incentives harmful to biodiversity that are eliminated, phased out or reformed, nor is there a single global dataset providing this information.  However, there are datasets and methodologies for assessing the value of (potentially) harmful subsidies and other incentives across </w:t>
      </w:r>
      <w:proofErr w:type="gramStart"/>
      <w:r w:rsidR="00756F0F" w:rsidRPr="00ED7E61">
        <w:rPr>
          <w:rStyle w:val="normaltextrun"/>
          <w:rFonts w:asciiTheme="majorBidi" w:eastAsiaTheme="majorEastAsia" w:hAnsiTheme="majorBidi" w:cstheme="majorBidi"/>
          <w:color w:val="000000"/>
        </w:rPr>
        <w:t>particular sectors</w:t>
      </w:r>
      <w:proofErr w:type="gramEnd"/>
      <w:r w:rsidR="00756F0F" w:rsidRPr="00ED7E61">
        <w:rPr>
          <w:rStyle w:val="normaltextrun"/>
          <w:rFonts w:asciiTheme="majorBidi" w:eastAsiaTheme="majorEastAsia" w:hAnsiTheme="majorBidi" w:cstheme="majorBidi"/>
          <w:color w:val="000000"/>
        </w:rPr>
        <w:t>. Furthermore, changes in these values from one year to the next at national level may represent policy action (reform) but can also reflect other factors e.g. changes in commodity prices.  In aggregate, time series data on indicators relevant to evaluating “</w:t>
      </w:r>
      <w:r w:rsidR="00756F0F" w:rsidRPr="00FB1598">
        <w:rPr>
          <w:rStyle w:val="normaltextrun"/>
          <w:rFonts w:asciiTheme="majorBidi" w:eastAsiaTheme="majorEastAsia" w:hAnsiTheme="majorBidi" w:cstheme="majorBidi"/>
          <w:i/>
          <w:iCs/>
          <w:color w:val="000000"/>
        </w:rPr>
        <w:t>the value of subsidies and other incentives harmful to biodiversity</w:t>
      </w:r>
      <w:r w:rsidR="00756F0F" w:rsidRPr="00ED7E61">
        <w:rPr>
          <w:rStyle w:val="normaltextrun"/>
          <w:rFonts w:asciiTheme="majorBidi" w:eastAsiaTheme="majorEastAsia" w:hAnsiTheme="majorBidi" w:cstheme="majorBidi"/>
          <w:color w:val="000000"/>
        </w:rPr>
        <w:t>” allows for the monitoring of progress towards target 18.2. (i.e. by examining trends over time).</w:t>
      </w:r>
      <w:r w:rsidR="00756F0F" w:rsidRPr="00ED7E61">
        <w:rPr>
          <w:rStyle w:val="normaltextrun"/>
          <w:color w:val="000000"/>
        </w:rPr>
        <w:t> </w:t>
      </w:r>
      <w:bookmarkEnd w:id="74"/>
      <w:bookmarkEnd w:id="75"/>
    </w:p>
    <w:p w14:paraId="11275C8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2. Date of metadata update  </w:t>
      </w:r>
      <w:r w:rsidRPr="00ED7E61">
        <w:rPr>
          <w:rStyle w:val="eop"/>
          <w:rFonts w:asciiTheme="majorBidi" w:eastAsiaTheme="majorEastAsia" w:hAnsiTheme="majorBidi" w:cstheme="majorBidi"/>
          <w:b/>
          <w:bCs/>
          <w:sz w:val="22"/>
          <w:szCs w:val="22"/>
        </w:rPr>
        <w:t> </w:t>
      </w:r>
    </w:p>
    <w:p w14:paraId="2E156BC1" w14:textId="127558B8" w:rsidR="00756F0F" w:rsidRPr="00ED7E61" w:rsidRDefault="007B2D6A"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lang w:val="en-GB"/>
        </w:rPr>
        <w:t>February</w:t>
      </w:r>
      <w:r w:rsidRPr="00ED7E61">
        <w:rPr>
          <w:rStyle w:val="normaltextrun"/>
          <w:rFonts w:asciiTheme="majorBidi" w:eastAsiaTheme="majorEastAsia" w:hAnsiTheme="majorBidi" w:cstheme="majorBidi"/>
          <w:sz w:val="22"/>
          <w:szCs w:val="22"/>
          <w:lang w:val="en-GB"/>
        </w:rPr>
        <w:t xml:space="preserve"> </w:t>
      </w:r>
      <w:r w:rsidR="00756F0F" w:rsidRPr="00ED7E61">
        <w:rPr>
          <w:rStyle w:val="normaltextrun"/>
          <w:rFonts w:asciiTheme="majorBidi" w:eastAsiaTheme="majorEastAsia" w:hAnsiTheme="majorBidi" w:cstheme="majorBidi"/>
          <w:sz w:val="22"/>
          <w:szCs w:val="22"/>
          <w:lang w:val="en-GB"/>
        </w:rPr>
        <w:t>202</w:t>
      </w:r>
      <w:r>
        <w:rPr>
          <w:rStyle w:val="eop"/>
          <w:rFonts w:asciiTheme="majorBidi" w:eastAsiaTheme="majorEastAsia" w:hAnsiTheme="majorBidi" w:cstheme="majorBidi"/>
          <w:sz w:val="22"/>
          <w:szCs w:val="22"/>
        </w:rPr>
        <w:t>6</w:t>
      </w:r>
    </w:p>
    <w:p w14:paraId="06D3943F" w14:textId="77777777" w:rsidR="00756F0F" w:rsidRPr="00ED7E61" w:rsidRDefault="00756F0F" w:rsidP="00526EB5">
      <w:pPr>
        <w:pStyle w:val="paragraph"/>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 Goals and Targets addressed</w:t>
      </w:r>
      <w:r w:rsidRPr="00ED7E61">
        <w:rPr>
          <w:rStyle w:val="eop"/>
          <w:rFonts w:asciiTheme="majorBidi" w:eastAsiaTheme="majorEastAsia" w:hAnsiTheme="majorBidi" w:cstheme="majorBidi"/>
          <w:b/>
          <w:bCs/>
          <w:sz w:val="22"/>
          <w:szCs w:val="22"/>
        </w:rPr>
        <w:t> </w:t>
      </w:r>
    </w:p>
    <w:p w14:paraId="7DEAF326" w14:textId="77777777" w:rsidR="00756F0F" w:rsidRPr="00ED7E61" w:rsidRDefault="00756F0F" w:rsidP="00526EB5">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3a. Goal </w:t>
      </w:r>
      <w:r w:rsidRPr="00ED7E61">
        <w:rPr>
          <w:rStyle w:val="eop"/>
          <w:rFonts w:asciiTheme="majorBidi" w:eastAsiaTheme="majorEastAsia" w:hAnsiTheme="majorBidi" w:cstheme="majorBidi"/>
          <w:b/>
          <w:bCs/>
          <w:sz w:val="22"/>
          <w:szCs w:val="22"/>
        </w:rPr>
        <w:t> </w:t>
      </w:r>
    </w:p>
    <w:p w14:paraId="397EF6D6" w14:textId="77777777" w:rsidR="00756F0F" w:rsidRPr="00ED7E61" w:rsidRDefault="00756F0F" w:rsidP="00526EB5">
      <w:pPr>
        <w:pStyle w:val="paragraph"/>
        <w:spacing w:before="0" w:beforeAutospacing="0" w:after="0" w:afterAutospacing="0"/>
        <w:ind w:left="567" w:right="-3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N/A</w:t>
      </w:r>
      <w:r w:rsidRPr="00ED7E61">
        <w:rPr>
          <w:rStyle w:val="eop"/>
          <w:rFonts w:asciiTheme="majorBidi" w:eastAsiaTheme="majorEastAsia" w:hAnsiTheme="majorBidi" w:cstheme="majorBidi"/>
          <w:sz w:val="22"/>
          <w:szCs w:val="22"/>
        </w:rPr>
        <w:t> </w:t>
      </w:r>
    </w:p>
    <w:p w14:paraId="56D0374C" w14:textId="77777777" w:rsidR="00756F0F" w:rsidRPr="00ED7E61" w:rsidRDefault="00756F0F" w:rsidP="00526EB5">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3b. Target</w:t>
      </w:r>
      <w:r w:rsidRPr="00ED7E61">
        <w:rPr>
          <w:rStyle w:val="eop"/>
          <w:rFonts w:asciiTheme="majorBidi" w:eastAsiaTheme="majorEastAsia" w:hAnsiTheme="majorBidi" w:cstheme="majorBidi"/>
          <w:b/>
          <w:bCs/>
          <w:sz w:val="22"/>
          <w:szCs w:val="22"/>
        </w:rPr>
        <w:t> </w:t>
      </w:r>
    </w:p>
    <w:p w14:paraId="0CE64A5C" w14:textId="77777777" w:rsidR="00756F0F" w:rsidRPr="00ED7E61"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lastRenderedPageBreak/>
        <w:t xml:space="preserve">Headline indicator for </w:t>
      </w:r>
      <w:r w:rsidRPr="00ED7E61">
        <w:rPr>
          <w:rStyle w:val="normaltextrun"/>
          <w:rFonts w:asciiTheme="majorBidi" w:eastAsiaTheme="majorEastAsia" w:hAnsiTheme="majorBidi" w:cstheme="majorBidi"/>
          <w:color w:val="000000"/>
          <w:sz w:val="22"/>
          <w:szCs w:val="22"/>
          <w:lang w:val="en-GB"/>
        </w:rPr>
        <w:t>Target 18: 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r w:rsidRPr="00ED7E61">
        <w:rPr>
          <w:rStyle w:val="eop"/>
          <w:rFonts w:asciiTheme="majorBidi" w:eastAsiaTheme="majorEastAsia" w:hAnsiTheme="majorBidi" w:cstheme="majorBidi"/>
          <w:color w:val="000000"/>
          <w:sz w:val="22"/>
          <w:szCs w:val="22"/>
        </w:rPr>
        <w:t> </w:t>
      </w:r>
    </w:p>
    <w:p w14:paraId="79BF668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4. Rationale</w:t>
      </w:r>
      <w:r w:rsidRPr="00ED7E61">
        <w:rPr>
          <w:rStyle w:val="eop"/>
          <w:rFonts w:asciiTheme="majorBidi" w:eastAsiaTheme="majorEastAsia" w:hAnsiTheme="majorBidi" w:cstheme="majorBidi"/>
          <w:b/>
          <w:bCs/>
          <w:sz w:val="22"/>
          <w:szCs w:val="22"/>
        </w:rPr>
        <w:t> </w:t>
      </w:r>
    </w:p>
    <w:p w14:paraId="3ECDA209" w14:textId="7CDCF0BC" w:rsidR="00756F0F" w:rsidRPr="00ED7E61" w:rsidRDefault="00756F0F" w:rsidP="00B10F0C">
      <w:pPr>
        <w:pStyle w:val="CBDNormalNumber"/>
        <w:numPr>
          <w:ilvl w:val="0"/>
          <w:numId w:val="94"/>
        </w:numPr>
        <w:shd w:val="clear" w:color="auto" w:fill="FFFFFF"/>
        <w:ind w:left="567" w:firstLine="0"/>
        <w:rPr>
          <w:rFonts w:asciiTheme="majorBidi" w:hAnsiTheme="majorBidi" w:cstheme="majorBidi"/>
          <w:b/>
          <w:bCs/>
        </w:rPr>
      </w:pPr>
      <w:r w:rsidRPr="00FB1598">
        <w:rPr>
          <w:rStyle w:val="normaltextrun"/>
          <w:rFonts w:asciiTheme="majorBidi" w:eastAsiaTheme="majorEastAsia" w:hAnsiTheme="majorBidi" w:cstheme="majorBidi"/>
        </w:rPr>
        <w:t>This</w:t>
      </w:r>
      <w:r w:rsidRPr="00ED7E61">
        <w:rPr>
          <w:rStyle w:val="normaltextrun"/>
          <w:rFonts w:asciiTheme="majorBidi" w:eastAsiaTheme="majorEastAsia" w:hAnsiTheme="majorBidi" w:cstheme="majorBidi"/>
        </w:rPr>
        <w:t xml:space="preserve"> indicator quantifies all the incentives including subsidies harmful to biodiversity provided by the Government. Regular reporting on the indicator will reveal the trend of</w:t>
      </w:r>
      <w:r w:rsidR="00B93D0C">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the value of incentives including subsidies harmful to biodiversity over time. A decreasing trend indicates that a government is eliminating, phasing out or reforming incentives harmful to biodiversity. On the other hand, an increasing trend suggests the value of subsidies and other incentives harmful to biodiversity is rising over time. </w:t>
      </w:r>
      <w:r w:rsidRPr="00ED7E61">
        <w:rPr>
          <w:rStyle w:val="eop"/>
          <w:rFonts w:asciiTheme="majorBidi" w:eastAsiaTheme="majorEastAsia" w:hAnsiTheme="majorBidi" w:cstheme="majorBidi"/>
          <w:b/>
          <w:bCs/>
        </w:rPr>
        <w:t> </w:t>
      </w:r>
    </w:p>
    <w:p w14:paraId="71CE0E4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 Definitions, concepts and classifications</w:t>
      </w:r>
      <w:r w:rsidRPr="00ED7E61">
        <w:rPr>
          <w:rStyle w:val="eop"/>
          <w:rFonts w:asciiTheme="majorBidi" w:eastAsiaTheme="majorEastAsia" w:hAnsiTheme="majorBidi" w:cstheme="majorBidi"/>
          <w:b/>
          <w:bCs/>
          <w:sz w:val="22"/>
          <w:szCs w:val="22"/>
        </w:rPr>
        <w:t> </w:t>
      </w:r>
    </w:p>
    <w:p w14:paraId="0907BAC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5a. Definition: </w:t>
      </w:r>
      <w:r w:rsidRPr="00ED7E61">
        <w:rPr>
          <w:rStyle w:val="eop"/>
          <w:rFonts w:asciiTheme="majorBidi" w:eastAsiaTheme="majorEastAsia" w:hAnsiTheme="majorBidi" w:cstheme="majorBidi"/>
          <w:b/>
          <w:bCs/>
          <w:sz w:val="22"/>
          <w:szCs w:val="22"/>
        </w:rPr>
        <w:t> </w:t>
      </w:r>
    </w:p>
    <w:p w14:paraId="08952243" w14:textId="524459C4" w:rsidR="00756F0F" w:rsidRPr="00ED7E61" w:rsidRDefault="00756F0F" w:rsidP="00B10F0C">
      <w:pPr>
        <w:pStyle w:val="CBDNormalNumber"/>
        <w:numPr>
          <w:ilvl w:val="0"/>
          <w:numId w:val="94"/>
        </w:numPr>
        <w:shd w:val="clear" w:color="auto" w:fill="FFFFFF"/>
        <w:ind w:left="567" w:firstLine="0"/>
        <w:rPr>
          <w:rStyle w:val="normaltextrun"/>
          <w:rFonts w:eastAsiaTheme="majorEastAsia"/>
          <w:color w:val="000000"/>
          <w:sz w:val="24"/>
          <w:szCs w:val="24"/>
          <w:lang w:val="en-CA"/>
        </w:rPr>
      </w:pPr>
      <w:r w:rsidRPr="00FB1598">
        <w:rPr>
          <w:rStyle w:val="normaltextrun"/>
          <w:rFonts w:asciiTheme="majorBidi" w:eastAsiaTheme="majorEastAsia" w:hAnsiTheme="majorBidi" w:cstheme="majorBidi"/>
        </w:rPr>
        <w:t>There</w:t>
      </w:r>
      <w:r w:rsidRPr="00ED7E61">
        <w:rPr>
          <w:rStyle w:val="normaltextrun"/>
          <w:rFonts w:asciiTheme="majorBidi" w:eastAsiaTheme="majorEastAsia" w:hAnsiTheme="majorBidi" w:cstheme="majorBidi"/>
          <w:color w:val="000000"/>
        </w:rPr>
        <w:t xml:space="preserve"> is no universally agreed definition of subsidies, as it depends on the context in which the term is discussed. </w:t>
      </w:r>
      <w:r w:rsidR="00750A65" w:rsidRPr="00ED7E61">
        <w:rPr>
          <w:rStyle w:val="normaltextrun"/>
          <w:rFonts w:asciiTheme="majorBidi" w:eastAsiaTheme="majorEastAsia" w:hAnsiTheme="majorBidi" w:cstheme="majorBidi"/>
          <w:color w:val="000000"/>
        </w:rPr>
        <w:t>H</w:t>
      </w:r>
      <w:r w:rsidRPr="00ED7E61">
        <w:rPr>
          <w:rStyle w:val="normaltextrun"/>
          <w:rFonts w:asciiTheme="majorBidi" w:eastAsiaTheme="majorEastAsia" w:hAnsiTheme="majorBidi" w:cstheme="majorBidi"/>
          <w:color w:val="000000"/>
        </w:rPr>
        <w:t xml:space="preserve">armful or perverse incentives to biodiversity </w:t>
      </w:r>
      <w:r w:rsidR="00750A65" w:rsidRPr="00ED7E61">
        <w:rPr>
          <w:rStyle w:val="normaltextrun"/>
          <w:rFonts w:asciiTheme="majorBidi" w:eastAsiaTheme="majorEastAsia" w:hAnsiTheme="majorBidi" w:cstheme="majorBidi"/>
          <w:color w:val="000000"/>
        </w:rPr>
        <w:t xml:space="preserve">are generally regarded as </w:t>
      </w:r>
      <w:r w:rsidRPr="00ED7E61">
        <w:rPr>
          <w:rStyle w:val="normaltextrun"/>
          <w:rFonts w:asciiTheme="majorBidi" w:eastAsiaTheme="majorEastAsia" w:hAnsiTheme="majorBidi" w:cstheme="majorBidi"/>
          <w:color w:val="000000"/>
        </w:rPr>
        <w:t xml:space="preserve">economic, legal and institutional incentives that emanate from policies or practices that induce unsustainable </w:t>
      </w:r>
      <w:r w:rsidR="00E8432C" w:rsidRPr="00ED7E61">
        <w:rPr>
          <w:rStyle w:val="normaltextrun"/>
          <w:rFonts w:asciiTheme="majorBidi" w:eastAsiaTheme="majorEastAsia" w:hAnsiTheme="majorBidi" w:cstheme="majorBidi"/>
          <w:color w:val="000000"/>
        </w:rPr>
        <w:t>behaviour</w:t>
      </w:r>
      <w:r w:rsidRPr="00ED7E61">
        <w:rPr>
          <w:rStyle w:val="normaltextrun"/>
          <w:rFonts w:asciiTheme="majorBidi" w:eastAsiaTheme="majorEastAsia" w:hAnsiTheme="majorBidi" w:cstheme="majorBidi"/>
          <w:color w:val="000000"/>
        </w:rPr>
        <w:t xml:space="preserve"> that destroys biodiversity, often as unanticipated side-effects of policies designed to attain other objectives. Subsidies are considered a subset of incentives.</w:t>
      </w:r>
      <w:r w:rsidRPr="00ED7E61">
        <w:rPr>
          <w:rStyle w:val="normaltextrun"/>
          <w:color w:val="000000"/>
        </w:rPr>
        <w:t> </w:t>
      </w:r>
    </w:p>
    <w:p w14:paraId="5C502022" w14:textId="77777777" w:rsidR="00756F0F" w:rsidRPr="00ED7E61" w:rsidRDefault="00756F0F" w:rsidP="00B10F0C">
      <w:pPr>
        <w:pStyle w:val="CBDNormalNumber"/>
        <w:numPr>
          <w:ilvl w:val="0"/>
          <w:numId w:val="94"/>
        </w:numPr>
        <w:shd w:val="clear" w:color="auto" w:fill="FFFFFF"/>
        <w:ind w:left="567" w:firstLine="0"/>
        <w:rPr>
          <w:rStyle w:val="normaltextrun"/>
          <w:rFonts w:eastAsiaTheme="majorEastAsia"/>
          <w:color w:val="000000"/>
        </w:rPr>
      </w:pPr>
      <w:r w:rsidRPr="00FB1598">
        <w:rPr>
          <w:rStyle w:val="normaltextrun"/>
          <w:rFonts w:asciiTheme="majorBidi" w:eastAsiaTheme="majorEastAsia" w:hAnsiTheme="majorBidi" w:cstheme="majorBidi"/>
        </w:rPr>
        <w:t>In</w:t>
      </w:r>
      <w:r w:rsidRPr="00ED7E61">
        <w:rPr>
          <w:rStyle w:val="normaltextrun"/>
          <w:rFonts w:asciiTheme="majorBidi" w:eastAsiaTheme="majorEastAsia" w:hAnsiTheme="majorBidi" w:cstheme="majorBidi"/>
          <w:color w:val="000000"/>
        </w:rPr>
        <w:t xml:space="preserve"> context of this indicator, the focus is on the monetary value of subsidies and other incentives harmful to biodiversity, including policy measures (e.g. market price support, where relevant).</w:t>
      </w:r>
      <w:r w:rsidRPr="00ED7E61">
        <w:rPr>
          <w:rStyle w:val="normaltextrun"/>
          <w:color w:val="000000"/>
        </w:rPr>
        <w:t> </w:t>
      </w:r>
    </w:p>
    <w:p w14:paraId="1CC376D6" w14:textId="3AED1F2D" w:rsidR="00756F0F" w:rsidRPr="00ED7E61" w:rsidRDefault="00756F0F" w:rsidP="00B10F0C">
      <w:pPr>
        <w:pStyle w:val="CBDNormalNumber"/>
        <w:numPr>
          <w:ilvl w:val="0"/>
          <w:numId w:val="94"/>
        </w:numPr>
        <w:shd w:val="clear" w:color="auto" w:fill="FFFFFF"/>
        <w:ind w:left="567" w:firstLine="0"/>
        <w:rPr>
          <w:rStyle w:val="normaltextrun"/>
          <w:rFonts w:eastAsiaTheme="majorEastAsia"/>
          <w:color w:val="000000"/>
        </w:rPr>
      </w:pPr>
      <w:r w:rsidRPr="00FB1598">
        <w:rPr>
          <w:rStyle w:val="normaltextrun"/>
          <w:rFonts w:asciiTheme="majorBidi" w:eastAsiaTheme="majorEastAsia" w:hAnsiTheme="majorBidi" w:cstheme="majorBidi"/>
        </w:rPr>
        <w:t>The</w:t>
      </w:r>
      <w:r w:rsidRPr="00ED7E61">
        <w:rPr>
          <w:rStyle w:val="normaltextrun"/>
          <w:rFonts w:asciiTheme="majorBidi" w:eastAsiaTheme="majorEastAsia" w:hAnsiTheme="majorBidi" w:cstheme="majorBidi"/>
          <w:color w:val="000000"/>
        </w:rPr>
        <w:t xml:space="preserve"> WTO defines a subsidy as “</w:t>
      </w:r>
      <w:r w:rsidRPr="00FB1598">
        <w:rPr>
          <w:rStyle w:val="normaltextrun"/>
          <w:rFonts w:asciiTheme="majorBidi" w:eastAsiaTheme="majorEastAsia" w:hAnsiTheme="majorBidi" w:cstheme="majorBidi"/>
          <w:i/>
          <w:iCs/>
          <w:color w:val="000000"/>
        </w:rPr>
        <w:t>a financial contribution by a government, or agent of a government, that confers a benefit on its</w:t>
      </w:r>
      <w:r w:rsidRPr="00FB1598">
        <w:rPr>
          <w:rStyle w:val="normaltextrun"/>
          <w:i/>
          <w:iCs/>
          <w:color w:val="000000"/>
        </w:rPr>
        <w:t> </w:t>
      </w:r>
      <w:r w:rsidRPr="00FB1598">
        <w:rPr>
          <w:rStyle w:val="normaltextrun"/>
          <w:rFonts w:asciiTheme="majorBidi" w:eastAsiaTheme="majorEastAsia" w:hAnsiTheme="majorBidi" w:cstheme="majorBidi"/>
          <w:i/>
          <w:iCs/>
          <w:color w:val="000000"/>
        </w:rPr>
        <w:t>recipients</w:t>
      </w:r>
      <w:r w:rsidRPr="00ED7E61">
        <w:rPr>
          <w:rStyle w:val="normaltextrun"/>
          <w:rFonts w:asciiTheme="majorBidi" w:eastAsiaTheme="majorEastAsia" w:hAnsiTheme="majorBidi" w:cstheme="majorBidi"/>
          <w:color w:val="000000"/>
        </w:rPr>
        <w:t>” for the purposes of the Agreement on Subsidies and Countervailing Measures. </w:t>
      </w:r>
      <w:r w:rsidRPr="00ED7E61">
        <w:rPr>
          <w:rStyle w:val="normaltextrun"/>
          <w:color w:val="000000"/>
        </w:rPr>
        <w:t> </w:t>
      </w:r>
    </w:p>
    <w:p w14:paraId="530DE7A1" w14:textId="28C1454B" w:rsidR="009746FB" w:rsidRPr="00ED7E61" w:rsidRDefault="00756F0F" w:rsidP="00B10F0C">
      <w:pPr>
        <w:pStyle w:val="CBDNormalNumber"/>
        <w:numPr>
          <w:ilvl w:val="0"/>
          <w:numId w:val="94"/>
        </w:numPr>
        <w:shd w:val="clear" w:color="auto" w:fill="FFFFFF"/>
        <w:ind w:left="567" w:firstLine="0"/>
        <w:rPr>
          <w:rStyle w:val="normaltextrun"/>
          <w:rFonts w:eastAsiaTheme="majorEastAsia"/>
          <w:color w:val="000000"/>
        </w:rPr>
      </w:pPr>
      <w:r w:rsidRPr="00FB1598">
        <w:rPr>
          <w:rStyle w:val="normaltextrun"/>
          <w:rFonts w:asciiTheme="majorBidi" w:eastAsiaTheme="majorEastAsia" w:hAnsiTheme="majorBidi" w:cstheme="majorBidi"/>
        </w:rPr>
        <w:t>The</w:t>
      </w:r>
      <w:r w:rsidRPr="00ED7E61">
        <w:rPr>
          <w:rStyle w:val="normaltextrun"/>
          <w:rFonts w:asciiTheme="majorBidi" w:eastAsiaTheme="majorEastAsia" w:hAnsiTheme="majorBidi" w:cstheme="majorBidi"/>
          <w:color w:val="000000"/>
        </w:rPr>
        <w:t xml:space="preserve"> OECD describes environmental harmful subsidies/support as “</w:t>
      </w:r>
      <w:r w:rsidRPr="00FB1598">
        <w:rPr>
          <w:rStyle w:val="normaltextrun"/>
          <w:rFonts w:asciiTheme="majorBidi" w:eastAsiaTheme="majorEastAsia" w:hAnsiTheme="majorBidi" w:cstheme="majorBidi"/>
          <w:i/>
          <w:iCs/>
          <w:color w:val="000000"/>
        </w:rPr>
        <w:t>all kinds of financial support and regulations that are put into place to enhance the competitiveness of certain products, processes or regions, and that, together with the prevailing taxation regime, (unintentionally) discriminate against sound environmental practices</w:t>
      </w:r>
      <w:r w:rsidRPr="00ED7E61">
        <w:rPr>
          <w:rStyle w:val="normaltextrun"/>
          <w:rFonts w:asciiTheme="majorBidi" w:eastAsiaTheme="majorEastAsia" w:hAnsiTheme="majorBidi" w:cstheme="majorBidi"/>
          <w:color w:val="000000"/>
        </w:rPr>
        <w:t>”.</w:t>
      </w:r>
      <w:r w:rsidRPr="00ED7E61">
        <w:rPr>
          <w:rStyle w:val="normaltextrun"/>
          <w:color w:val="000000"/>
        </w:rPr>
        <w:t> </w:t>
      </w:r>
    </w:p>
    <w:p w14:paraId="1183ACC1" w14:textId="13C8249A" w:rsidR="009746FB"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Similarly, in the SEEA, the Central Framework explicitly says, "</w:t>
      </w:r>
      <w:r w:rsidRPr="00FB1598">
        <w:rPr>
          <w:rStyle w:val="normaltextrun"/>
          <w:rFonts w:asciiTheme="majorBidi" w:eastAsiaTheme="majorEastAsia" w:hAnsiTheme="majorBidi" w:cstheme="majorBidi"/>
          <w:i/>
          <w:iCs/>
        </w:rPr>
        <w:t xml:space="preserve">A definition of PEDS </w:t>
      </w:r>
      <w:r w:rsidR="00DC54CF">
        <w:rPr>
          <w:rStyle w:val="normaltextrun"/>
          <w:rFonts w:asciiTheme="majorBidi" w:eastAsiaTheme="majorEastAsia" w:hAnsiTheme="majorBidi" w:cstheme="majorBidi"/>
          <w:i/>
          <w:iCs/>
        </w:rPr>
        <w:t>(</w:t>
      </w:r>
      <w:r w:rsidRPr="00FB1598">
        <w:rPr>
          <w:rStyle w:val="normaltextrun"/>
          <w:rFonts w:asciiTheme="majorBidi" w:eastAsiaTheme="majorEastAsia" w:hAnsiTheme="majorBidi" w:cstheme="majorBidi"/>
          <w:i/>
          <w:iCs/>
        </w:rPr>
        <w:t xml:space="preserve">potentially environmentally </w:t>
      </w:r>
      <w:r w:rsidR="005C2FBC" w:rsidRPr="00FB1598">
        <w:rPr>
          <w:rStyle w:val="normaltextrun"/>
          <w:rFonts w:asciiTheme="majorBidi" w:eastAsiaTheme="majorEastAsia" w:hAnsiTheme="majorBidi" w:cstheme="majorBidi"/>
          <w:i/>
          <w:iCs/>
        </w:rPr>
        <w:t>damaging</w:t>
      </w:r>
      <w:r w:rsidRPr="00FB1598">
        <w:rPr>
          <w:rStyle w:val="normaltextrun"/>
          <w:rFonts w:asciiTheme="majorBidi" w:eastAsiaTheme="majorEastAsia" w:hAnsiTheme="majorBidi" w:cstheme="majorBidi"/>
          <w:i/>
          <w:iCs/>
        </w:rPr>
        <w:t xml:space="preserve"> subsidies</w:t>
      </w:r>
      <w:r w:rsidR="005C2FBC">
        <w:rPr>
          <w:rStyle w:val="normaltextrun"/>
          <w:rFonts w:asciiTheme="majorBidi" w:eastAsiaTheme="majorEastAsia" w:hAnsiTheme="majorBidi" w:cstheme="majorBidi"/>
        </w:rPr>
        <w:t>)</w:t>
      </w:r>
      <w:r w:rsidR="005C2FBC">
        <w:rPr>
          <w:rStyle w:val="normaltextrun"/>
          <w:rFonts w:asciiTheme="majorBidi" w:eastAsiaTheme="majorEastAsia" w:hAnsiTheme="majorBidi" w:cstheme="majorBidi"/>
          <w:i/>
          <w:iCs/>
        </w:rPr>
        <w:t>]</w:t>
      </w:r>
      <w:r w:rsidRPr="00FB1598">
        <w:rPr>
          <w:rStyle w:val="normaltextrun"/>
          <w:rFonts w:asciiTheme="majorBidi" w:eastAsiaTheme="majorEastAsia" w:hAnsiTheme="majorBidi" w:cstheme="majorBidi"/>
          <w:i/>
          <w:iCs/>
        </w:rPr>
        <w:t xml:space="preserve"> is not included in the SEEA</w:t>
      </w:r>
      <w:r w:rsidRPr="00ED7E61">
        <w:rPr>
          <w:rStyle w:val="normaltextrun"/>
          <w:rFonts w:asciiTheme="majorBidi" w:eastAsiaTheme="majorEastAsia" w:hAnsiTheme="majorBidi" w:cstheme="majorBidi"/>
        </w:rPr>
        <w:t xml:space="preserve">".  Eurostat provides the following guidance and information in this context: </w:t>
      </w:r>
      <w:hyperlink r:id="rId456" w:tgtFrame="_blank" w:history="1">
        <w:r w:rsidRPr="00ED7E61">
          <w:rPr>
            <w:rStyle w:val="normaltextrun"/>
            <w:rFonts w:asciiTheme="majorBidi" w:eastAsiaTheme="majorEastAsia" w:hAnsiTheme="majorBidi" w:cstheme="majorBidi"/>
            <w:color w:val="467886"/>
            <w:u w:val="single"/>
          </w:rPr>
          <w:t>Guidance material for the Eurostat PEDS compilation</w:t>
        </w:r>
      </w:hyperlink>
      <w:r w:rsidRPr="00ED7E61">
        <w:rPr>
          <w:rStyle w:val="normaltextrun"/>
          <w:rFonts w:asciiTheme="majorBidi" w:eastAsiaTheme="majorEastAsia" w:hAnsiTheme="majorBidi" w:cstheme="majorBidi"/>
        </w:rPr>
        <w:t xml:space="preserve">, </w:t>
      </w:r>
      <w:hyperlink r:id="rId457" w:tgtFrame="_blank" w:history="1">
        <w:r w:rsidRPr="00ED7E61">
          <w:rPr>
            <w:rStyle w:val="normaltextrun"/>
            <w:rFonts w:asciiTheme="majorBidi" w:eastAsiaTheme="majorEastAsia" w:hAnsiTheme="majorBidi" w:cstheme="majorBidi"/>
            <w:color w:val="467886"/>
            <w:u w:val="single"/>
          </w:rPr>
          <w:t>Potentially environmentally damaging transfers</w:t>
        </w:r>
      </w:hyperlink>
      <w:r w:rsidRPr="00ED7E61">
        <w:rPr>
          <w:rStyle w:val="normaltextrun"/>
          <w:rFonts w:asciiTheme="majorBidi" w:eastAsiaTheme="majorEastAsia" w:hAnsiTheme="majorBidi" w:cstheme="majorBidi"/>
        </w:rPr>
        <w:t xml:space="preserve"> and  </w:t>
      </w:r>
      <w:hyperlink r:id="rId458" w:tgtFrame="_blank" w:history="1">
        <w:r w:rsidRPr="00ED7E61">
          <w:rPr>
            <w:rStyle w:val="normaltextrun"/>
            <w:rFonts w:asciiTheme="majorBidi" w:eastAsiaTheme="majorEastAsia" w:hAnsiTheme="majorBidi" w:cstheme="majorBidi"/>
            <w:color w:val="467886"/>
            <w:u w:val="single"/>
          </w:rPr>
          <w:t>Background document</w:t>
        </w:r>
      </w:hyperlink>
      <w:r w:rsidRPr="00ED7E61">
        <w:rPr>
          <w:rStyle w:val="normaltextrun"/>
          <w:rFonts w:asciiTheme="majorBidi" w:eastAsiaTheme="majorEastAsia" w:hAnsiTheme="majorBidi" w:cstheme="majorBidi"/>
        </w:rPr>
        <w:t xml:space="preserve">  (discussed in the working group on monetary environmental statistics and accounts in 2022). The </w:t>
      </w:r>
      <w:hyperlink r:id="rId459" w:tgtFrame="_blank" w:history="1">
        <w:r w:rsidRPr="00ED7E61">
          <w:rPr>
            <w:rStyle w:val="normaltextrun"/>
            <w:rFonts w:asciiTheme="majorBidi" w:eastAsiaTheme="majorEastAsia" w:hAnsiTheme="majorBidi" w:cstheme="majorBidi"/>
            <w:color w:val="467886"/>
            <w:u w:val="single"/>
          </w:rPr>
          <w:t>Eurostat Guidelines</w:t>
        </w:r>
      </w:hyperlink>
      <w:r w:rsidRPr="00ED7E61">
        <w:rPr>
          <w:rStyle w:val="normaltextrun"/>
          <w:rFonts w:asciiTheme="majorBidi" w:eastAsiaTheme="majorEastAsia" w:hAnsiTheme="majorBidi" w:cstheme="majorBidi"/>
        </w:rPr>
        <w:t xml:space="preserve"> on Environmental subsidies and similar transfers state: </w:t>
      </w:r>
      <w:r w:rsidRPr="00ED7E61">
        <w:rPr>
          <w:rStyle w:val="scxw55407066"/>
          <w:rFonts w:asciiTheme="majorBidi" w:eastAsiaTheme="majorEastAsia" w:hAnsiTheme="majorBidi" w:cstheme="majorBidi"/>
        </w:rPr>
        <w:t> </w:t>
      </w:r>
      <w:r w:rsidRPr="00ED7E61">
        <w:rPr>
          <w:rFonts w:asciiTheme="majorBidi" w:hAnsiTheme="majorBidi" w:cstheme="majorBidi"/>
        </w:rPr>
        <w:br/>
      </w:r>
      <w:r w:rsidRPr="00ED7E61">
        <w:rPr>
          <w:rStyle w:val="normaltextrun"/>
          <w:rFonts w:asciiTheme="majorBidi" w:eastAsiaTheme="majorEastAsia" w:hAnsiTheme="majorBidi" w:cstheme="majorBidi"/>
        </w:rPr>
        <w:t>“</w:t>
      </w:r>
      <w:r w:rsidRPr="00FB1598">
        <w:rPr>
          <w:rStyle w:val="normaltextrun"/>
          <w:rFonts w:asciiTheme="majorBidi" w:eastAsiaTheme="majorEastAsia" w:hAnsiTheme="majorBidi" w:cstheme="majorBidi"/>
          <w:i/>
          <w:iCs/>
        </w:rPr>
        <w:t>There is no established definition of potentially environmentally damaging subsidies but there are ideas of how such a definition could be elaborated. One idea is to look at reductions and exemptions related to environmental taxes (using the list of environmental tax bases), which includes tax abatements. Another possible idea is to create a list of potentially harmful activities. This approach is an example of an approach ‘based on beneficiary’ since each subsidy would have to be allocated to the receiving activities and those transfers that are allocated to potentially harmful activities are considered as PEDS. All environmental subsidies and similar transfers should be excluded from the scope</w:t>
      </w:r>
      <w:r w:rsidRPr="00ED7E61">
        <w:rPr>
          <w:rStyle w:val="normaltextrun"/>
          <w:rFonts w:asciiTheme="majorBidi" w:eastAsiaTheme="majorEastAsia" w:hAnsiTheme="majorBidi" w:cstheme="majorBidi"/>
        </w:rPr>
        <w:t>.”</w:t>
      </w:r>
      <w:r w:rsidRPr="00ED7E61">
        <w:rPr>
          <w:rStyle w:val="eop"/>
          <w:rFonts w:asciiTheme="majorBidi" w:eastAsiaTheme="majorEastAsia" w:hAnsiTheme="majorBidi" w:cstheme="majorBidi"/>
        </w:rPr>
        <w:t> </w:t>
      </w:r>
    </w:p>
    <w:p w14:paraId="4A64801C" w14:textId="23349AEF" w:rsidR="00756F0F"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It is important for each country to identify subsidies and other incentives harmful to biodiversity within their national context when working on the identification of subsidies (see indicator 18.2.).</w:t>
      </w:r>
      <w:r w:rsidRPr="00ED7E61">
        <w:rPr>
          <w:rStyle w:val="eop"/>
          <w:rFonts w:asciiTheme="majorBidi" w:eastAsiaTheme="majorEastAsia" w:hAnsiTheme="majorBidi" w:cstheme="majorBidi"/>
        </w:rPr>
        <w:t> </w:t>
      </w:r>
    </w:p>
    <w:p w14:paraId="0C937CC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w:t>
      </w:r>
      <w:r w:rsidRPr="00ED7E61">
        <w:rPr>
          <w:rStyle w:val="normaltextrun"/>
          <w:rFonts w:asciiTheme="majorBidi" w:eastAsiaTheme="majorEastAsia" w:hAnsiTheme="majorBidi" w:cstheme="majorBidi"/>
          <w:b/>
          <w:bCs/>
          <w:sz w:val="22"/>
          <w:szCs w:val="22"/>
          <w:lang w:val="en-GB"/>
        </w:rPr>
        <w:t>Value of subsidies and other incentives harmful to biodiversity </w:t>
      </w:r>
      <w:r w:rsidRPr="00ED7E61">
        <w:rPr>
          <w:rStyle w:val="eop"/>
          <w:rFonts w:asciiTheme="majorBidi" w:eastAsiaTheme="majorEastAsia" w:hAnsiTheme="majorBidi" w:cstheme="majorBidi"/>
          <w:sz w:val="22"/>
          <w:szCs w:val="22"/>
        </w:rPr>
        <w:t> </w:t>
      </w:r>
    </w:p>
    <w:p w14:paraId="142B4FC8" w14:textId="635A399A" w:rsidR="009746FB"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Total value of incentives, including subsidies, that have been identified to be harmful to biodiversity. This value can be either provided as total sum by the countries, or they can choose to </w:t>
      </w:r>
      <w:r w:rsidRPr="00ED7E61">
        <w:rPr>
          <w:rStyle w:val="normaltextrun"/>
          <w:rFonts w:asciiTheme="majorBidi" w:eastAsiaTheme="majorEastAsia" w:hAnsiTheme="majorBidi" w:cstheme="majorBidi"/>
        </w:rPr>
        <w:lastRenderedPageBreak/>
        <w:t>use the disaggregation options (agriculture, fisheries, fossil fuels, others), as relevant. For the latter, the country would be requested to specify which sectors the data relate to. </w:t>
      </w:r>
      <w:r w:rsidRPr="00ED7E61">
        <w:rPr>
          <w:rStyle w:val="eop"/>
          <w:rFonts w:asciiTheme="majorBidi" w:eastAsiaTheme="majorEastAsia" w:hAnsiTheme="majorBidi" w:cstheme="majorBidi"/>
        </w:rPr>
        <w:t> </w:t>
      </w:r>
    </w:p>
    <w:p w14:paraId="3772BA6D" w14:textId="77777777" w:rsidR="00756F0F"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If the data are reported directly by Parties, they should be reported annually and in the national currency in current values.</w:t>
      </w:r>
      <w:r w:rsidRPr="00ED7E61">
        <w:rPr>
          <w:rStyle w:val="eop"/>
          <w:rFonts w:asciiTheme="majorBidi" w:eastAsiaTheme="majorEastAsia" w:hAnsiTheme="majorBidi" w:cstheme="majorBidi"/>
        </w:rPr>
        <w:t> </w:t>
      </w:r>
    </w:p>
    <w:p w14:paraId="4766B67F"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F4777">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ED7E61">
        <w:rPr>
          <w:rStyle w:val="eop"/>
          <w:rFonts w:asciiTheme="majorBidi" w:eastAsiaTheme="majorEastAsia" w:hAnsiTheme="majorBidi" w:cstheme="majorBidi"/>
          <w:sz w:val="22"/>
          <w:szCs w:val="22"/>
        </w:rPr>
        <w:t> </w:t>
      </w:r>
    </w:p>
    <w:p w14:paraId="4A740A3E" w14:textId="77917FCB" w:rsidR="00756F0F" w:rsidRPr="00ED7E61" w:rsidRDefault="00756F0F" w:rsidP="00741030">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The OECD database on Producer Support Estimate (PSE) collects data on government support to agriculture. 54 countries provide data to this database (as of </w:t>
      </w:r>
      <w:r w:rsidR="003504E6">
        <w:rPr>
          <w:rStyle w:val="normaltextrun"/>
          <w:rFonts w:asciiTheme="majorBidi" w:eastAsiaTheme="majorEastAsia" w:hAnsiTheme="majorBidi" w:cstheme="majorBidi"/>
        </w:rPr>
        <w:t>January</w:t>
      </w:r>
      <w:r w:rsidR="003504E6"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202</w:t>
      </w:r>
      <w:r w:rsidR="003504E6">
        <w:rPr>
          <w:rStyle w:val="normaltextrun"/>
          <w:rFonts w:asciiTheme="majorBidi" w:eastAsiaTheme="majorEastAsia" w:hAnsiTheme="majorBidi" w:cstheme="majorBidi"/>
        </w:rPr>
        <w:t>6</w:t>
      </w:r>
      <w:r w:rsidRPr="00ED7E61">
        <w:rPr>
          <w:rStyle w:val="normaltextrun"/>
          <w:rFonts w:asciiTheme="majorBidi" w:eastAsiaTheme="majorEastAsia" w:hAnsiTheme="majorBidi" w:cstheme="majorBidi"/>
        </w:rPr>
        <w:t>), covering about 75% of global agricultural value-added. In relation to the reporting on the “</w:t>
      </w:r>
      <w:r w:rsidRPr="00FB1598">
        <w:rPr>
          <w:rStyle w:val="normaltextrun"/>
          <w:rFonts w:asciiTheme="majorBidi" w:eastAsiaTheme="majorEastAsia" w:hAnsiTheme="majorBidi" w:cstheme="majorBidi"/>
          <w:i/>
          <w:iCs/>
        </w:rPr>
        <w:t>Value of agricultural subsidies and other incentives potentially harmful to biodiversity</w:t>
      </w:r>
      <w:r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b/>
          <w:bCs/>
        </w:rPr>
        <w:t xml:space="preserve"> </w:t>
      </w:r>
      <w:r w:rsidRPr="00ED7E61">
        <w:rPr>
          <w:rStyle w:val="normaltextrun"/>
          <w:rFonts w:asciiTheme="majorBidi" w:eastAsiaTheme="majorEastAsia" w:hAnsiTheme="majorBidi" w:cstheme="majorBidi"/>
        </w:rPr>
        <w:t xml:space="preserve">the OECD has </w:t>
      </w:r>
      <w:r w:rsidR="00E746A5">
        <w:rPr>
          <w:rStyle w:val="normaltextrun"/>
          <w:rFonts w:asciiTheme="majorBidi" w:eastAsiaTheme="majorEastAsia" w:hAnsiTheme="majorBidi" w:cstheme="majorBidi"/>
        </w:rPr>
        <w:t>identified</w:t>
      </w:r>
      <w:r w:rsidR="00E746A5"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that agricultural support provided through</w:t>
      </w:r>
      <w:r w:rsidRPr="00ED7E61">
        <w:rPr>
          <w:rStyle w:val="normaltextrun"/>
          <w:rFonts w:asciiTheme="majorBidi" w:eastAsiaTheme="majorEastAsia" w:hAnsiTheme="majorBidi" w:cstheme="majorBidi"/>
          <w:b/>
          <w:bCs/>
        </w:rPr>
        <w:t xml:space="preserve"> </w:t>
      </w:r>
      <w:r w:rsidRPr="00ED7E61">
        <w:rPr>
          <w:rStyle w:val="normaltextrun"/>
          <w:rFonts w:asciiTheme="majorBidi" w:eastAsiaTheme="majorEastAsia" w:hAnsiTheme="majorBidi" w:cstheme="majorBidi"/>
        </w:rPr>
        <w:t xml:space="preserve">market price support, payments based on output, and the unconstrained use of variable inputs, </w:t>
      </w:r>
      <w:r w:rsidR="006D245E">
        <w:rPr>
          <w:rStyle w:val="normaltextrun"/>
          <w:rFonts w:asciiTheme="majorBidi" w:eastAsiaTheme="majorEastAsia" w:hAnsiTheme="majorBidi" w:cstheme="majorBidi"/>
        </w:rPr>
        <w:t xml:space="preserve">could be </w:t>
      </w:r>
      <w:r w:rsidRPr="00ED7E61">
        <w:rPr>
          <w:rStyle w:val="normaltextrun"/>
          <w:rFonts w:asciiTheme="majorBidi" w:eastAsiaTheme="majorEastAsia" w:hAnsiTheme="majorBidi" w:cstheme="majorBidi"/>
        </w:rPr>
        <w:t xml:space="preserve">potentially most harmful to </w:t>
      </w:r>
      <w:r w:rsidR="006D245E">
        <w:rPr>
          <w:rStyle w:val="normaltextrun"/>
          <w:rFonts w:asciiTheme="majorBidi" w:eastAsiaTheme="majorEastAsia" w:hAnsiTheme="majorBidi" w:cstheme="majorBidi"/>
        </w:rPr>
        <w:t xml:space="preserve">the </w:t>
      </w:r>
      <w:r w:rsidRPr="00ED7E61">
        <w:rPr>
          <w:rStyle w:val="normaltextrun"/>
          <w:rFonts w:asciiTheme="majorBidi" w:eastAsiaTheme="majorEastAsia" w:hAnsiTheme="majorBidi" w:cstheme="majorBidi"/>
        </w:rPr>
        <w:t xml:space="preserve">environment, (Henderson and </w:t>
      </w:r>
      <w:proofErr w:type="spellStart"/>
      <w:r w:rsidRPr="00ED7E61">
        <w:rPr>
          <w:rStyle w:val="normaltextrun"/>
          <w:rFonts w:asciiTheme="majorBidi" w:eastAsiaTheme="majorEastAsia" w:hAnsiTheme="majorBidi" w:cstheme="majorBidi"/>
        </w:rPr>
        <w:t>Lankoski</w:t>
      </w:r>
      <w:proofErr w:type="spellEnd"/>
      <w:r w:rsidRPr="00ED7E61">
        <w:rPr>
          <w:rStyle w:val="normaltextrun"/>
          <w:rFonts w:asciiTheme="majorBidi" w:eastAsiaTheme="majorEastAsia" w:hAnsiTheme="majorBidi" w:cstheme="majorBidi"/>
        </w:rPr>
        <w:t>, 2019; DeBoe, 2020a,b). </w:t>
      </w:r>
      <w:r w:rsidRPr="00ED7E61">
        <w:rPr>
          <w:rStyle w:val="eop"/>
          <w:rFonts w:asciiTheme="majorBidi" w:eastAsiaTheme="majorEastAsia" w:hAnsiTheme="majorBidi" w:cstheme="majorBidi"/>
        </w:rPr>
        <w:t> </w:t>
      </w:r>
      <w:r w:rsidR="00741030" w:rsidRPr="00741030">
        <w:rPr>
          <w:rFonts w:asciiTheme="majorBidi" w:eastAsiaTheme="majorEastAsia" w:hAnsiTheme="majorBidi" w:cstheme="majorBidi"/>
          <w:lang w:val="en-CA"/>
        </w:rPr>
        <w:t>More recent work, synthesising research to date, provides a detailed typology of support instruments based on a refined set of criteria consistent with the PSE framework (</w:t>
      </w:r>
      <w:proofErr w:type="spellStart"/>
      <w:r w:rsidR="00741030" w:rsidRPr="00741030">
        <w:rPr>
          <w:rFonts w:asciiTheme="majorBidi" w:eastAsiaTheme="majorEastAsia" w:hAnsiTheme="majorBidi" w:cstheme="majorBidi"/>
          <w:lang w:val="en-CA"/>
        </w:rPr>
        <w:t>Lankoski</w:t>
      </w:r>
      <w:proofErr w:type="spellEnd"/>
      <w:r w:rsidR="00741030" w:rsidRPr="00741030">
        <w:rPr>
          <w:rFonts w:asciiTheme="majorBidi" w:eastAsiaTheme="majorEastAsia" w:hAnsiTheme="majorBidi" w:cstheme="majorBidi"/>
          <w:lang w:val="en-CA"/>
        </w:rPr>
        <w:t>, Nales and Valin, 2025). It confirms that most production-coupled forms of support are the most likely to generate environmentally harmful impacts. It highlights that the type of production or input being targeted by the support, as well as the possible presence of environmental conditions attached to the support instrument, are also relevant to consider.</w:t>
      </w:r>
    </w:p>
    <w:p w14:paraId="60B9B9C6" w14:textId="1FB8CBC1" w:rsidR="00756F0F" w:rsidRPr="00ED7E61" w:rsidRDefault="00756F0F" w:rsidP="00D025E0">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Sources: Henderson and </w:t>
      </w:r>
      <w:proofErr w:type="spellStart"/>
      <w:r w:rsidRPr="00ED7E61">
        <w:rPr>
          <w:rStyle w:val="normaltextrun"/>
          <w:rFonts w:asciiTheme="majorBidi" w:eastAsiaTheme="majorEastAsia" w:hAnsiTheme="majorBidi" w:cstheme="majorBidi"/>
        </w:rPr>
        <w:t>Lankoski</w:t>
      </w:r>
      <w:proofErr w:type="spellEnd"/>
      <w:r w:rsidRPr="00ED7E61">
        <w:rPr>
          <w:rStyle w:val="normaltextrun"/>
          <w:rFonts w:asciiTheme="majorBidi" w:eastAsiaTheme="majorEastAsia" w:hAnsiTheme="majorBidi" w:cstheme="majorBidi"/>
        </w:rPr>
        <w:t xml:space="preserve"> (2019) </w:t>
      </w:r>
      <w:hyperlink r:id="rId460" w:tgtFrame="_blank" w:history="1">
        <w:r w:rsidRPr="00ED7E61">
          <w:rPr>
            <w:rStyle w:val="normaltextrun"/>
            <w:rFonts w:asciiTheme="majorBidi" w:eastAsiaTheme="majorEastAsia" w:hAnsiTheme="majorBidi" w:cstheme="majorBidi"/>
            <w:color w:val="467886"/>
            <w:u w:val="single"/>
          </w:rPr>
          <w:t>http://dx.doi.org/10.1787/add0f27c-en</w:t>
        </w:r>
      </w:hyperlink>
      <w:r w:rsidRPr="00ED7E61">
        <w:rPr>
          <w:rStyle w:val="normaltextrun"/>
          <w:rFonts w:asciiTheme="majorBidi" w:eastAsiaTheme="majorEastAsia" w:hAnsiTheme="majorBidi" w:cstheme="majorBidi"/>
        </w:rPr>
        <w:t xml:space="preserve">; DeBoe (2020a) </w:t>
      </w:r>
      <w:hyperlink r:id="rId461" w:tgtFrame="_blank" w:history="1">
        <w:r w:rsidRPr="00ED7E61">
          <w:rPr>
            <w:rStyle w:val="normaltextrun"/>
            <w:rFonts w:asciiTheme="majorBidi" w:eastAsiaTheme="majorEastAsia" w:hAnsiTheme="majorBidi" w:cstheme="majorBidi"/>
            <w:color w:val="467886"/>
            <w:u w:val="single"/>
          </w:rPr>
          <w:t>https://doi.org/10.1787/6bc916e7-en</w:t>
        </w:r>
      </w:hyperlink>
      <w:r w:rsidRPr="00ED7E61">
        <w:rPr>
          <w:rStyle w:val="normaltextrun"/>
          <w:rFonts w:asciiTheme="majorBidi" w:eastAsiaTheme="majorEastAsia" w:hAnsiTheme="majorBidi" w:cstheme="majorBidi"/>
        </w:rPr>
        <w:t xml:space="preserve">.  DeBoe (2020b), </w:t>
      </w:r>
      <w:hyperlink r:id="rId462" w:tgtFrame="_blank" w:history="1">
        <w:r w:rsidRPr="00ED7E61">
          <w:rPr>
            <w:rStyle w:val="normaltextrun"/>
            <w:rFonts w:asciiTheme="majorBidi" w:eastAsiaTheme="majorEastAsia" w:hAnsiTheme="majorBidi" w:cstheme="majorBidi"/>
            <w:color w:val="467886"/>
            <w:u w:val="single"/>
          </w:rPr>
          <w:t>https://doi.org/10.1787/3d459f91-en</w:t>
        </w:r>
      </w:hyperlink>
      <w:r w:rsidR="00D025E0">
        <w:t xml:space="preserve">. </w:t>
      </w:r>
      <w:r w:rsidR="00D025E0" w:rsidRPr="00D025E0">
        <w:rPr>
          <w:lang w:val="en-CA"/>
        </w:rPr>
        <w:t xml:space="preserve">Lankoski, Nales and Valin (2025), </w:t>
      </w:r>
      <w:hyperlink r:id="rId463" w:history="1">
        <w:r w:rsidR="00D025E0" w:rsidRPr="00D025E0">
          <w:rPr>
            <w:rStyle w:val="Hyperlink"/>
            <w:lang w:val="en-CA"/>
          </w:rPr>
          <w:t>https://doi.org/10.1787/808f110c-en</w:t>
        </w:r>
      </w:hyperlink>
      <w:r w:rsidR="00D025E0">
        <w:t xml:space="preserve">. </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5018C52F"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fossil fuel subsidies (production and consumption)</w:t>
      </w:r>
      <w:r w:rsidRPr="00ED7E61">
        <w:rPr>
          <w:rStyle w:val="superscript"/>
          <w:rFonts w:asciiTheme="majorBidi" w:hAnsiTheme="majorBidi" w:cstheme="majorBidi"/>
          <w:b/>
          <w:bCs/>
          <w:sz w:val="22"/>
          <w:szCs w:val="22"/>
          <w:vertAlign w:val="superscript"/>
          <w:lang w:val="en-GB"/>
        </w:rPr>
        <w:t>21</w:t>
      </w:r>
      <w:r w:rsidRPr="00ED7E61">
        <w:rPr>
          <w:rStyle w:val="eop"/>
          <w:rFonts w:asciiTheme="majorBidi" w:eastAsiaTheme="majorEastAsia" w:hAnsiTheme="majorBidi" w:cstheme="majorBidi"/>
          <w:sz w:val="22"/>
          <w:szCs w:val="22"/>
        </w:rPr>
        <w:t> </w:t>
      </w:r>
    </w:p>
    <w:p w14:paraId="7DAC0D7F" w14:textId="77777777" w:rsidR="002F7978" w:rsidRPr="00491162" w:rsidRDefault="00756F0F" w:rsidP="00B10F0C">
      <w:pPr>
        <w:pStyle w:val="CBDNormalNumber"/>
        <w:numPr>
          <w:ilvl w:val="0"/>
          <w:numId w:val="94"/>
        </w:numPr>
        <w:shd w:val="clear" w:color="auto" w:fill="FFFFFF"/>
        <w:ind w:left="567" w:firstLine="0"/>
        <w:rPr>
          <w:rStyle w:val="normaltextrun"/>
          <w:rFonts w:asciiTheme="majorBidi" w:hAnsiTheme="majorBidi" w:cstheme="majorBidi"/>
        </w:rPr>
      </w:pPr>
      <w:r w:rsidRPr="00ED7E61">
        <w:rPr>
          <w:rStyle w:val="normaltextrun"/>
          <w:rFonts w:asciiTheme="majorBidi" w:eastAsiaTheme="majorEastAsia" w:hAnsiTheme="majorBidi" w:cstheme="majorBidi"/>
        </w:rPr>
        <w:t xml:space="preserve">Relevant measures include: </w:t>
      </w:r>
    </w:p>
    <w:p w14:paraId="1110E5E8" w14:textId="77777777" w:rsidR="00491162" w:rsidRPr="00491162" w:rsidRDefault="00491162" w:rsidP="00526EB5">
      <w:pPr>
        <w:pStyle w:val="CBDNormalNumber"/>
        <w:shd w:val="clear" w:color="auto" w:fill="FFFFFF"/>
        <w:ind w:left="1134"/>
        <w:rPr>
          <w:rStyle w:val="normaltextrun"/>
          <w:rFonts w:asciiTheme="majorBidi" w:hAnsiTheme="majorBidi" w:cstheme="majorBidi"/>
        </w:rPr>
      </w:pPr>
      <w:r w:rsidRPr="00491162">
        <w:rPr>
          <w:rStyle w:val="normaltextrun"/>
          <w:rFonts w:asciiTheme="majorBidi" w:hAnsiTheme="majorBidi" w:cstheme="majorBidi"/>
        </w:rPr>
        <w:t>(a)</w:t>
      </w:r>
      <w:r w:rsidRPr="00491162">
        <w:rPr>
          <w:rStyle w:val="normaltextrun"/>
          <w:rFonts w:asciiTheme="majorBidi" w:hAnsiTheme="majorBidi" w:cstheme="majorBidi"/>
        </w:rPr>
        <w:tab/>
        <w:t xml:space="preserve">direct transfer of government funds; </w:t>
      </w:r>
    </w:p>
    <w:p w14:paraId="5050BC3D" w14:textId="77777777" w:rsidR="00491162" w:rsidRPr="00491162" w:rsidRDefault="00491162" w:rsidP="00526EB5">
      <w:pPr>
        <w:pStyle w:val="CBDNormalNumber"/>
        <w:shd w:val="clear" w:color="auto" w:fill="FFFFFF"/>
        <w:ind w:left="1134"/>
        <w:rPr>
          <w:rStyle w:val="normaltextrun"/>
          <w:rFonts w:asciiTheme="majorBidi" w:hAnsiTheme="majorBidi" w:cstheme="majorBidi"/>
        </w:rPr>
      </w:pPr>
      <w:r w:rsidRPr="00491162">
        <w:rPr>
          <w:rStyle w:val="normaltextrun"/>
          <w:rFonts w:asciiTheme="majorBidi" w:hAnsiTheme="majorBidi" w:cstheme="majorBidi"/>
        </w:rPr>
        <w:t>(a)</w:t>
      </w:r>
      <w:r w:rsidRPr="00491162">
        <w:rPr>
          <w:rStyle w:val="normaltextrun"/>
          <w:rFonts w:asciiTheme="majorBidi" w:hAnsiTheme="majorBidi" w:cstheme="majorBidi"/>
        </w:rPr>
        <w:tab/>
        <w:t xml:space="preserve">induced transfers (price support); and </w:t>
      </w:r>
    </w:p>
    <w:p w14:paraId="20539B5C" w14:textId="44524A86" w:rsidR="00491162" w:rsidRPr="00ED7E61" w:rsidRDefault="00491162" w:rsidP="00526EB5">
      <w:pPr>
        <w:pStyle w:val="CBDNormalNumber"/>
        <w:shd w:val="clear" w:color="auto" w:fill="FFFFFF"/>
        <w:ind w:left="1134"/>
        <w:rPr>
          <w:rStyle w:val="normaltextrun"/>
          <w:rFonts w:asciiTheme="majorBidi" w:hAnsiTheme="majorBidi" w:cstheme="majorBidi"/>
        </w:rPr>
      </w:pPr>
      <w:r w:rsidRPr="00491162">
        <w:rPr>
          <w:rStyle w:val="normaltextrun"/>
          <w:rFonts w:asciiTheme="majorBidi" w:hAnsiTheme="majorBidi" w:cstheme="majorBidi"/>
        </w:rPr>
        <w:t>(b)</w:t>
      </w:r>
      <w:r w:rsidRPr="00491162">
        <w:rPr>
          <w:rStyle w:val="normaltextrun"/>
          <w:rFonts w:asciiTheme="majorBidi" w:hAnsiTheme="majorBidi" w:cstheme="majorBidi"/>
        </w:rPr>
        <w:tab/>
        <w:t>tax expenditure, other revenue foregone, and under-pricing of goods and services.</w:t>
      </w:r>
    </w:p>
    <w:p w14:paraId="0D59215B" w14:textId="77777777" w:rsidR="00756F0F" w:rsidRPr="00491162"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Concepts: </w:t>
      </w:r>
      <w:r w:rsidRPr="00ED7E61">
        <w:rPr>
          <w:rStyle w:val="normaltextrun"/>
        </w:rPr>
        <w:t> </w:t>
      </w:r>
    </w:p>
    <w:p w14:paraId="76E7EA54" w14:textId="77777777" w:rsidR="00491162" w:rsidRPr="00ED7E61" w:rsidRDefault="00491162" w:rsidP="00B10F0C">
      <w:pPr>
        <w:pStyle w:val="CBDNormalNumber"/>
        <w:numPr>
          <w:ilvl w:val="1"/>
          <w:numId w:val="94"/>
        </w:numPr>
        <w:tabs>
          <w:tab w:val="clear" w:pos="567"/>
          <w:tab w:val="clear" w:pos="1134"/>
          <w:tab w:val="clear" w:pos="2268"/>
          <w:tab w:val="left" w:pos="1985"/>
        </w:tabs>
        <w:ind w:left="567" w:firstLine="567"/>
        <w:rPr>
          <w:rStyle w:val="normaltextrun"/>
          <w:rFonts w:eastAsiaTheme="majorEastAsia"/>
        </w:rPr>
      </w:pPr>
      <w:r w:rsidRPr="00ED7E61">
        <w:rPr>
          <w:rStyle w:val="normaltextrun"/>
          <w:rFonts w:asciiTheme="majorBidi" w:eastAsiaTheme="majorEastAsia" w:hAnsiTheme="majorBidi" w:cstheme="majorBidi"/>
        </w:rPr>
        <w:t>Use definition of fossil fuels from IEA Statistics Manual, “</w:t>
      </w:r>
      <w:r w:rsidRPr="00FB1598">
        <w:rPr>
          <w:rStyle w:val="normaltextrun"/>
          <w:rFonts w:asciiTheme="majorBidi" w:eastAsiaTheme="majorEastAsia" w:hAnsiTheme="majorBidi" w:cstheme="majorBidi"/>
          <w:i/>
          <w:iCs/>
        </w:rPr>
        <w:t>Fossil fuels are taken from natural resources which were formed from biomass in the geological past. By extension, the term fossil is also applied to any secondary fuel manufactured from a fossil fuel</w:t>
      </w:r>
      <w:r w:rsidRPr="00ED7E61">
        <w:rPr>
          <w:rStyle w:val="normaltextrun"/>
          <w:rFonts w:asciiTheme="majorBidi" w:eastAsiaTheme="majorEastAsia" w:hAnsiTheme="majorBidi" w:cstheme="majorBidi"/>
        </w:rPr>
        <w:t>.” </w:t>
      </w:r>
      <w:r w:rsidRPr="00ED7E61">
        <w:rPr>
          <w:rStyle w:val="normaltextrun"/>
        </w:rPr>
        <w:t> </w:t>
      </w:r>
    </w:p>
    <w:p w14:paraId="3A157DAB" w14:textId="77777777" w:rsidR="00491162" w:rsidRPr="00ED7E61" w:rsidRDefault="00491162" w:rsidP="00B10F0C">
      <w:pPr>
        <w:pStyle w:val="CBDNormalNumber"/>
        <w:numPr>
          <w:ilvl w:val="1"/>
          <w:numId w:val="94"/>
        </w:numPr>
        <w:tabs>
          <w:tab w:val="clear" w:pos="567"/>
          <w:tab w:val="clear" w:pos="1134"/>
          <w:tab w:val="clear" w:pos="2268"/>
          <w:tab w:val="left" w:pos="1985"/>
        </w:tabs>
        <w:ind w:left="567" w:firstLine="567"/>
        <w:rPr>
          <w:rStyle w:val="normaltextrun"/>
          <w:rFonts w:eastAsiaTheme="majorEastAsia"/>
        </w:rPr>
      </w:pPr>
      <w:r w:rsidRPr="00ED7E61">
        <w:rPr>
          <w:rStyle w:val="normaltextrun"/>
          <w:rFonts w:asciiTheme="majorBidi" w:eastAsiaTheme="majorEastAsia" w:hAnsiTheme="majorBidi" w:cstheme="majorBidi"/>
        </w:rPr>
        <w:t>Use the terms set out in CPC Rev. 2.1 for the statistical classification of the individual products. No other commonly accepted definition identified.</w:t>
      </w:r>
      <w:r w:rsidRPr="00ED7E61">
        <w:rPr>
          <w:rStyle w:val="normaltextrun"/>
        </w:rPr>
        <w:t> </w:t>
      </w:r>
    </w:p>
    <w:p w14:paraId="6582EB5A" w14:textId="77777777" w:rsidR="00491162" w:rsidRPr="00ED7E61" w:rsidRDefault="00491162" w:rsidP="00B10F0C">
      <w:pPr>
        <w:pStyle w:val="CBDNormalNumber"/>
        <w:numPr>
          <w:ilvl w:val="1"/>
          <w:numId w:val="94"/>
        </w:numPr>
        <w:tabs>
          <w:tab w:val="clear" w:pos="567"/>
          <w:tab w:val="clear" w:pos="1134"/>
          <w:tab w:val="clear" w:pos="2268"/>
          <w:tab w:val="left" w:pos="1985"/>
        </w:tabs>
        <w:ind w:left="567" w:firstLine="567"/>
        <w:rPr>
          <w:rStyle w:val="normaltextrun"/>
          <w:rFonts w:eastAsiaTheme="majorEastAsia"/>
        </w:rPr>
      </w:pPr>
      <w:r w:rsidRPr="00ED7E61">
        <w:rPr>
          <w:rStyle w:val="normaltextrun"/>
          <w:rFonts w:asciiTheme="majorBidi" w:eastAsiaTheme="majorEastAsia" w:hAnsiTheme="majorBidi" w:cstheme="majorBidi"/>
        </w:rPr>
        <w:t>Include electricity and heat generated from fossil fuels in the scope of fossil fuels.</w:t>
      </w:r>
      <w:r w:rsidRPr="00ED7E61">
        <w:rPr>
          <w:rStyle w:val="normaltextrun"/>
        </w:rPr>
        <w:t> </w:t>
      </w:r>
    </w:p>
    <w:p w14:paraId="6A8BBA8D" w14:textId="77777777" w:rsidR="00491162" w:rsidRPr="00ED7E61" w:rsidRDefault="00491162" w:rsidP="00B10F0C">
      <w:pPr>
        <w:pStyle w:val="CBDNormalNumber"/>
        <w:numPr>
          <w:ilvl w:val="1"/>
          <w:numId w:val="94"/>
        </w:numPr>
        <w:tabs>
          <w:tab w:val="clear" w:pos="567"/>
          <w:tab w:val="clear" w:pos="1134"/>
          <w:tab w:val="clear" w:pos="2268"/>
          <w:tab w:val="left" w:pos="1985"/>
        </w:tabs>
        <w:ind w:left="567" w:firstLine="567"/>
        <w:rPr>
          <w:rStyle w:val="normaltextrun"/>
          <w:rFonts w:eastAsiaTheme="majorEastAsia"/>
        </w:rPr>
      </w:pPr>
      <w:r w:rsidRPr="00ED7E61">
        <w:rPr>
          <w:rStyle w:val="normaltextrun"/>
          <w:rFonts w:asciiTheme="majorBidi" w:eastAsiaTheme="majorEastAsia" w:hAnsiTheme="majorBidi" w:cstheme="majorBidi"/>
        </w:rPr>
        <w:t>Include non-energy uses with monitoring optional for the measuring of this indicator.</w:t>
      </w:r>
      <w:r w:rsidRPr="00ED7E61">
        <w:rPr>
          <w:rStyle w:val="normaltextrun"/>
        </w:rPr>
        <w:t> </w:t>
      </w:r>
    </w:p>
    <w:p w14:paraId="0D80B1C8" w14:textId="77777777" w:rsidR="00491162" w:rsidRPr="00ED7E61" w:rsidRDefault="00491162" w:rsidP="00B10F0C">
      <w:pPr>
        <w:pStyle w:val="CBDNormalNumber"/>
        <w:numPr>
          <w:ilvl w:val="1"/>
          <w:numId w:val="94"/>
        </w:numPr>
        <w:tabs>
          <w:tab w:val="clear" w:pos="567"/>
          <w:tab w:val="clear" w:pos="1134"/>
          <w:tab w:val="clear" w:pos="2268"/>
          <w:tab w:val="left" w:pos="1985"/>
        </w:tabs>
        <w:ind w:left="567" w:firstLine="567"/>
        <w:rPr>
          <w:rFonts w:asciiTheme="majorBidi" w:hAnsiTheme="majorBidi" w:cstheme="majorBidi"/>
        </w:rPr>
      </w:pPr>
      <w:r w:rsidRPr="00ED7E61">
        <w:rPr>
          <w:rStyle w:val="normaltextrun"/>
          <w:rFonts w:asciiTheme="majorBidi" w:eastAsiaTheme="majorEastAsia" w:hAnsiTheme="majorBidi" w:cstheme="majorBidi"/>
        </w:rPr>
        <w:t>Additional details are provided in the methodological document entitled, UNEP (2019), Measuring Fossil Fuel Subsidies in the Context of the Sustainable Development Goals</w:t>
      </w:r>
      <w:r w:rsidRPr="00ED7E61">
        <w:rPr>
          <w:rStyle w:val="eop"/>
          <w:rFonts w:asciiTheme="majorBidi" w:eastAsiaTheme="majorEastAsia" w:hAnsiTheme="majorBidi" w:cstheme="majorBidi"/>
        </w:rPr>
        <w:t> </w:t>
      </w:r>
    </w:p>
    <w:p w14:paraId="2F1C384B" w14:textId="0F7A57B5" w:rsidR="00756F0F" w:rsidRPr="00ED7E61" w:rsidRDefault="00756F0F" w:rsidP="00B10F0C">
      <w:pPr>
        <w:pStyle w:val="CBDNormalNumber"/>
        <w:numPr>
          <w:ilvl w:val="0"/>
          <w:numId w:val="94"/>
        </w:numPr>
        <w:shd w:val="clear" w:color="auto" w:fill="FFFFFF"/>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Direct transfers are generally reported in government budgets, and well documented in sectoral and Finance Ministries, broken down by programme if not by fuel. Those that meet the System of National Accounts (SNA) definition of “</w:t>
      </w:r>
      <w:r w:rsidRPr="00FB1598">
        <w:rPr>
          <w:rStyle w:val="normaltextrun"/>
          <w:rFonts w:asciiTheme="majorBidi" w:eastAsiaTheme="majorEastAsia" w:hAnsiTheme="majorBidi" w:cstheme="majorBidi"/>
          <w:i/>
          <w:iCs/>
        </w:rPr>
        <w:t>subsidies</w:t>
      </w:r>
      <w:r w:rsidRPr="00ED7E61">
        <w:rPr>
          <w:rStyle w:val="normaltextrun"/>
          <w:rFonts w:asciiTheme="majorBidi" w:eastAsiaTheme="majorEastAsia" w:hAnsiTheme="majorBidi" w:cstheme="majorBidi"/>
        </w:rPr>
        <w:t xml:space="preserve">” – i.e. subsidies on products, and other subsidies on production – can also be found in a country’s System of National Accounts. Budget documents are publicly available for most countries. The degree to which information on individual programmes is itemized in those reports is highly variable, however. Support to corporations involved in energy production or transformation may sometimes be found in their annual reports, for example. In some cases, researchers may be able to obtain unpublished data from state-owned energy enterprises directly. Induced transfers are measured by calculating the price gap between the producer or consumer price and a reference price and multiplying that differential by the affected volume produced or consumed. Measuring the value of special features introduced into the tax code to favour </w:t>
      </w:r>
      <w:r w:rsidRPr="00ED7E61">
        <w:rPr>
          <w:rStyle w:val="normaltextrun"/>
          <w:rFonts w:asciiTheme="majorBidi" w:eastAsiaTheme="majorEastAsia" w:hAnsiTheme="majorBidi" w:cstheme="majorBidi"/>
        </w:rPr>
        <w:lastRenderedPageBreak/>
        <w:t xml:space="preserve">certain industries or activities of those industries (such as investment in productive capital) can be a complex </w:t>
      </w:r>
      <w:r w:rsidR="00A70C42" w:rsidRPr="00ED7E61">
        <w:rPr>
          <w:rStyle w:val="normaltextrun"/>
          <w:rFonts w:asciiTheme="majorBidi" w:eastAsiaTheme="majorEastAsia" w:hAnsiTheme="majorBidi" w:cstheme="majorBidi"/>
        </w:rPr>
        <w:t>endeavour</w:t>
      </w:r>
      <w:r w:rsidRPr="00ED7E61">
        <w:rPr>
          <w:rStyle w:val="normaltextrun"/>
          <w:rFonts w:asciiTheme="majorBidi" w:eastAsiaTheme="majorEastAsia" w:hAnsiTheme="majorBidi" w:cstheme="majorBidi"/>
        </w:rPr>
        <w:t xml:space="preserve">. Some countries do this exercise already and report the annual value of those tax breaks in their periodic tax-expenditure reports. However, what is considered a tax expenditure varies from one country to another, </w:t>
      </w:r>
      <w:proofErr w:type="gramStart"/>
      <w:r w:rsidRPr="00ED7E61">
        <w:rPr>
          <w:rStyle w:val="normaltextrun"/>
          <w:rFonts w:asciiTheme="majorBidi" w:eastAsiaTheme="majorEastAsia" w:hAnsiTheme="majorBidi" w:cstheme="majorBidi"/>
        </w:rPr>
        <w:t>in particular depending</w:t>
      </w:r>
      <w:proofErr w:type="gramEnd"/>
      <w:r w:rsidRPr="00ED7E61">
        <w:rPr>
          <w:rStyle w:val="normaltextrun"/>
          <w:rFonts w:asciiTheme="majorBidi" w:eastAsiaTheme="majorEastAsia" w:hAnsiTheme="majorBidi" w:cstheme="majorBidi"/>
        </w:rPr>
        <w:t xml:space="preserve"> on the tax code structure. When countries do not produce tax-expenditure reports, the analysist must estimate the difference in the revenues that would be owed to the government under the baseline conditions (that he needs to determine) and with the special tax feature. </w:t>
      </w:r>
      <w:r w:rsidRPr="00ED7E61">
        <w:rPr>
          <w:rStyle w:val="normaltextrun"/>
        </w:rPr>
        <w:t> </w:t>
      </w:r>
    </w:p>
    <w:p w14:paraId="68A864D1"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subsidies to capture fisheries presenting a risk (moderate or high) of encouraging unsustainable fishing in the absence of effective fisheries management</w:t>
      </w:r>
      <w:r w:rsidRPr="00ED7E61">
        <w:rPr>
          <w:rStyle w:val="superscript"/>
          <w:rFonts w:asciiTheme="majorBidi" w:hAnsiTheme="majorBidi" w:cstheme="majorBidi"/>
          <w:b/>
          <w:bCs/>
          <w:sz w:val="22"/>
          <w:szCs w:val="22"/>
          <w:vertAlign w:val="superscript"/>
          <w:lang w:val="en-GB"/>
        </w:rPr>
        <w:t>22</w:t>
      </w:r>
      <w:r w:rsidRPr="00ED7E61">
        <w:rPr>
          <w:rStyle w:val="normaltextrun"/>
          <w:rFonts w:asciiTheme="majorBidi" w:eastAsiaTheme="majorEastAsia" w:hAnsiTheme="majorBidi" w:cstheme="majorBidi"/>
          <w:b/>
          <w:bCs/>
          <w:sz w:val="22"/>
          <w:szCs w:val="22"/>
          <w:lang w:val="en-GB"/>
        </w:rPr>
        <w:t> </w:t>
      </w:r>
      <w:r w:rsidRPr="00ED7E61">
        <w:rPr>
          <w:rStyle w:val="eop"/>
          <w:rFonts w:asciiTheme="majorBidi" w:eastAsiaTheme="majorEastAsia" w:hAnsiTheme="majorBidi" w:cstheme="majorBidi"/>
          <w:sz w:val="22"/>
          <w:szCs w:val="22"/>
        </w:rPr>
        <w:t> </w:t>
      </w:r>
    </w:p>
    <w:p w14:paraId="1F30A262" w14:textId="5E702580" w:rsidR="00756F0F" w:rsidRPr="00ED7E61" w:rsidRDefault="00756F0F" w:rsidP="00B10F0C">
      <w:pPr>
        <w:pStyle w:val="CBDNormalNumber"/>
        <w:numPr>
          <w:ilvl w:val="0"/>
          <w:numId w:val="94"/>
        </w:numPr>
        <w:shd w:val="clear" w:color="auto" w:fill="FFFFFF"/>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Fisheries subsidies or “</w:t>
      </w:r>
      <w:r w:rsidRPr="00FB1598">
        <w:rPr>
          <w:rStyle w:val="normaltextrun"/>
          <w:rFonts w:asciiTheme="majorBidi" w:eastAsiaTheme="majorEastAsia" w:hAnsiTheme="majorBidi" w:cstheme="majorBidi"/>
          <w:i/>
          <w:iCs/>
        </w:rPr>
        <w:t>support</w:t>
      </w:r>
      <w:r w:rsidRPr="00ED7E61">
        <w:rPr>
          <w:rStyle w:val="normaltextrun"/>
          <w:rFonts w:asciiTheme="majorBidi" w:eastAsiaTheme="majorEastAsia" w:hAnsiTheme="majorBidi" w:cstheme="majorBidi"/>
        </w:rPr>
        <w:t>” can “</w:t>
      </w:r>
      <w:r w:rsidRPr="00FB1598">
        <w:rPr>
          <w:rStyle w:val="normaltextrun"/>
          <w:rFonts w:asciiTheme="majorBidi" w:eastAsiaTheme="majorEastAsia" w:hAnsiTheme="majorBidi" w:cstheme="majorBidi"/>
          <w:i/>
          <w:iCs/>
        </w:rPr>
        <w:t>pose risks to the sustainability and productivity of fisheries when it encourages the build-up of excess fishing capacity; overfishing; and illegal, unreported and unregulated (IUU) fishing</w:t>
      </w:r>
      <w:r w:rsidRPr="00ED7E61">
        <w:rPr>
          <w:rStyle w:val="normaltextrun"/>
          <w:rFonts w:asciiTheme="majorBidi" w:eastAsiaTheme="majorEastAsia" w:hAnsiTheme="majorBidi" w:cstheme="majorBidi"/>
        </w:rPr>
        <w:t xml:space="preserve">” (OECD, 2022). The extent to which </w:t>
      </w:r>
      <w:r w:rsidR="00D025E0">
        <w:rPr>
          <w:rStyle w:val="normaltextrun"/>
          <w:rFonts w:asciiTheme="majorBidi" w:eastAsiaTheme="majorEastAsia" w:hAnsiTheme="majorBidi" w:cstheme="majorBidi"/>
        </w:rPr>
        <w:t>subsidies and other forms of support</w:t>
      </w:r>
      <w:r w:rsidR="00D025E0"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can encourage unsustainable fishing depends on the type of subsidy offered (and how directly it impacts fishing costs and benefits) as well </w:t>
      </w:r>
      <w:r w:rsidR="0087258E">
        <w:rPr>
          <w:rStyle w:val="normaltextrun"/>
          <w:rFonts w:asciiTheme="majorBidi" w:eastAsiaTheme="majorEastAsia" w:hAnsiTheme="majorBidi" w:cstheme="majorBidi"/>
        </w:rPr>
        <w:t xml:space="preserve">as </w:t>
      </w:r>
      <w:r w:rsidRPr="00ED7E61">
        <w:rPr>
          <w:rStyle w:val="normaltextrun"/>
          <w:rFonts w:asciiTheme="majorBidi" w:eastAsiaTheme="majorEastAsia" w:hAnsiTheme="majorBidi" w:cstheme="majorBidi"/>
        </w:rPr>
        <w:t xml:space="preserve">how well the subsidized fisheries are managed, whether the fish stocks </w:t>
      </w:r>
      <w:r w:rsidR="0087258E">
        <w:rPr>
          <w:rStyle w:val="normaltextrun"/>
          <w:rFonts w:asciiTheme="majorBidi" w:eastAsiaTheme="majorEastAsia" w:hAnsiTheme="majorBidi" w:cstheme="majorBidi"/>
        </w:rPr>
        <w:t xml:space="preserve">they target </w:t>
      </w:r>
      <w:r w:rsidRPr="00ED7E61">
        <w:rPr>
          <w:rStyle w:val="normaltextrun"/>
          <w:rFonts w:asciiTheme="majorBidi" w:eastAsiaTheme="majorEastAsia" w:hAnsiTheme="majorBidi" w:cstheme="majorBidi"/>
        </w:rPr>
        <w:t>are healthy (OECD, 2022). </w:t>
      </w:r>
      <w:r w:rsidRPr="00ED7E61">
        <w:rPr>
          <w:rStyle w:val="normaltextrun"/>
        </w:rPr>
        <w:t> </w:t>
      </w:r>
    </w:p>
    <w:p w14:paraId="27D25821" w14:textId="0F5B979D" w:rsidR="00756F0F" w:rsidRPr="00491162" w:rsidRDefault="0087258E" w:rsidP="00B10F0C">
      <w:pPr>
        <w:pStyle w:val="CBDNormalNumber"/>
        <w:numPr>
          <w:ilvl w:val="0"/>
          <w:numId w:val="94"/>
        </w:numPr>
        <w:shd w:val="clear" w:color="auto" w:fill="FFFFFF"/>
        <w:ind w:left="567" w:firstLine="0"/>
        <w:rPr>
          <w:rStyle w:val="normaltextrun"/>
          <w:rFonts w:eastAsiaTheme="majorEastAsia"/>
        </w:rPr>
      </w:pPr>
      <w:r>
        <w:rPr>
          <w:rStyle w:val="normaltextrun"/>
          <w:rFonts w:asciiTheme="majorBidi" w:eastAsiaTheme="majorEastAsia" w:hAnsiTheme="majorBidi" w:cstheme="majorBidi"/>
        </w:rPr>
        <w:t>Indeed</w:t>
      </w:r>
      <w:r w:rsidR="00756F0F" w:rsidRPr="00ED7E61">
        <w:rPr>
          <w:rStyle w:val="normaltextrun"/>
          <w:rFonts w:asciiTheme="majorBidi" w:eastAsiaTheme="majorEastAsia" w:hAnsiTheme="majorBidi" w:cstheme="majorBidi"/>
        </w:rPr>
        <w:t>, according to OECD (2022),</w:t>
      </w:r>
      <w:r w:rsidR="00A70C42">
        <w:rPr>
          <w:rStyle w:val="normaltextrun"/>
          <w:rFonts w:asciiTheme="majorBidi" w:eastAsiaTheme="majorEastAsia" w:hAnsiTheme="majorBidi" w:cstheme="majorBidi"/>
        </w:rPr>
        <w:t xml:space="preserve"> </w:t>
      </w:r>
      <w:r w:rsidR="00756F0F" w:rsidRPr="00ED7E61">
        <w:rPr>
          <w:rStyle w:val="normaltextrun"/>
          <w:rFonts w:asciiTheme="majorBidi" w:eastAsiaTheme="majorEastAsia" w:hAnsiTheme="majorBidi" w:cstheme="majorBidi"/>
        </w:rPr>
        <w:t>in the absence of effective fisheries management:</w:t>
      </w:r>
      <w:r w:rsidR="00756F0F" w:rsidRPr="00ED7E61">
        <w:rPr>
          <w:rStyle w:val="normaltextrun"/>
        </w:rPr>
        <w:t> </w:t>
      </w:r>
    </w:p>
    <w:p w14:paraId="4742271B" w14:textId="2F442903" w:rsidR="00491162" w:rsidRPr="00ED7E61" w:rsidRDefault="0087258E" w:rsidP="00B10F0C">
      <w:pPr>
        <w:pStyle w:val="CBDNormalNumber"/>
        <w:numPr>
          <w:ilvl w:val="1"/>
          <w:numId w:val="94"/>
        </w:numPr>
        <w:tabs>
          <w:tab w:val="clear" w:pos="567"/>
          <w:tab w:val="clear" w:pos="1134"/>
          <w:tab w:val="clear" w:pos="1701"/>
          <w:tab w:val="clear" w:pos="2268"/>
          <w:tab w:val="left" w:pos="1985"/>
        </w:tabs>
        <w:rPr>
          <w:rFonts w:asciiTheme="majorBidi" w:hAnsiTheme="majorBidi" w:cstheme="majorBidi"/>
        </w:rPr>
      </w:pPr>
      <w:r>
        <w:rPr>
          <w:rStyle w:val="normaltextrun"/>
          <w:rFonts w:asciiTheme="majorBidi" w:eastAsiaTheme="majorEastAsia" w:hAnsiTheme="majorBidi" w:cstheme="majorBidi"/>
        </w:rPr>
        <w:t>The following types of s</w:t>
      </w:r>
      <w:r w:rsidR="00491162" w:rsidRPr="00ED7E61">
        <w:rPr>
          <w:rStyle w:val="normaltextrun"/>
          <w:rFonts w:asciiTheme="majorBidi" w:eastAsiaTheme="majorEastAsia" w:hAnsiTheme="majorBidi" w:cstheme="majorBidi"/>
        </w:rPr>
        <w:t xml:space="preserve">upport </w:t>
      </w:r>
      <w:r>
        <w:rPr>
          <w:rStyle w:val="normaltextrun"/>
          <w:rFonts w:asciiTheme="majorBidi" w:eastAsiaTheme="majorEastAsia" w:hAnsiTheme="majorBidi" w:cstheme="majorBidi"/>
        </w:rPr>
        <w:t>present</w:t>
      </w:r>
      <w:r w:rsidR="00491162" w:rsidRPr="00ED7E61">
        <w:rPr>
          <w:rStyle w:val="normaltextrun"/>
          <w:rFonts w:asciiTheme="majorBidi" w:eastAsiaTheme="majorEastAsia" w:hAnsiTheme="majorBidi" w:cstheme="majorBidi"/>
        </w:rPr>
        <w:t xml:space="preserve"> a high risk of encouraging unsustainable fishing: </w:t>
      </w:r>
      <w:r w:rsidR="00491162" w:rsidRPr="00ED7E61">
        <w:rPr>
          <w:rStyle w:val="eop"/>
          <w:rFonts w:asciiTheme="majorBidi" w:eastAsiaTheme="majorEastAsia" w:hAnsiTheme="majorBidi" w:cstheme="majorBidi"/>
        </w:rPr>
        <w:t> </w:t>
      </w:r>
    </w:p>
    <w:p w14:paraId="13478067" w14:textId="77777777" w:rsidR="00B246C4" w:rsidRDefault="00B246C4" w:rsidP="00B246C4">
      <w:pPr>
        <w:pStyle w:val="CBDNormalNumber"/>
        <w:numPr>
          <w:ilvl w:val="2"/>
          <w:numId w:val="94"/>
        </w:numPr>
        <w:tabs>
          <w:tab w:val="clear" w:pos="567"/>
          <w:tab w:val="clear" w:pos="1134"/>
          <w:tab w:val="clear" w:pos="1701"/>
          <w:tab w:val="clear" w:pos="2268"/>
          <w:tab w:val="left" w:pos="1985"/>
        </w:tabs>
        <w:rPr>
          <w:rStyle w:val="normaltextrun"/>
          <w:rFonts w:asciiTheme="majorBidi" w:hAnsiTheme="majorBidi" w:cstheme="majorBidi"/>
        </w:rPr>
      </w:pPr>
      <w:r>
        <w:rPr>
          <w:rStyle w:val="normaltextrun"/>
        </w:rPr>
        <w:t>Support to vessel construction and purchase</w:t>
      </w:r>
    </w:p>
    <w:p w14:paraId="3915AD29" w14:textId="77777777" w:rsidR="00B246C4" w:rsidRDefault="00B246C4" w:rsidP="00B246C4">
      <w:pPr>
        <w:pStyle w:val="CBDNormalNumber"/>
        <w:numPr>
          <w:ilvl w:val="2"/>
          <w:numId w:val="94"/>
        </w:numPr>
        <w:tabs>
          <w:tab w:val="clear" w:pos="567"/>
          <w:tab w:val="clear" w:pos="1134"/>
          <w:tab w:val="clear" w:pos="1701"/>
          <w:tab w:val="clear" w:pos="2268"/>
          <w:tab w:val="left" w:pos="1985"/>
        </w:tabs>
        <w:rPr>
          <w:rStyle w:val="normaltextrun"/>
        </w:rPr>
      </w:pPr>
      <w:r>
        <w:rPr>
          <w:rStyle w:val="normaltextrun"/>
        </w:rPr>
        <w:t>Support to vessel modernisation and purchase of gear (capacity enhancing)</w:t>
      </w:r>
    </w:p>
    <w:p w14:paraId="0FA0CB26" w14:textId="77777777" w:rsidR="00B246C4" w:rsidRDefault="00B246C4" w:rsidP="00B246C4">
      <w:pPr>
        <w:pStyle w:val="CBDNormalNumber"/>
        <w:numPr>
          <w:ilvl w:val="2"/>
          <w:numId w:val="94"/>
        </w:numPr>
        <w:tabs>
          <w:tab w:val="clear" w:pos="567"/>
          <w:tab w:val="clear" w:pos="1134"/>
          <w:tab w:val="clear" w:pos="1701"/>
          <w:tab w:val="clear" w:pos="2268"/>
          <w:tab w:val="left" w:pos="1985"/>
        </w:tabs>
        <w:rPr>
          <w:rStyle w:val="normaltextrun"/>
        </w:rPr>
      </w:pPr>
      <w:r>
        <w:rPr>
          <w:rStyle w:val="normaltextrun"/>
        </w:rPr>
        <w:t xml:space="preserve">Support to fuel consumption </w:t>
      </w:r>
    </w:p>
    <w:p w14:paraId="269E2EB3" w14:textId="77777777" w:rsidR="00B246C4" w:rsidRDefault="00B246C4" w:rsidP="00B246C4">
      <w:pPr>
        <w:pStyle w:val="CBDNormalNumber"/>
        <w:numPr>
          <w:ilvl w:val="2"/>
          <w:numId w:val="94"/>
        </w:numPr>
        <w:tabs>
          <w:tab w:val="clear" w:pos="567"/>
          <w:tab w:val="clear" w:pos="1134"/>
          <w:tab w:val="clear" w:pos="1701"/>
          <w:tab w:val="clear" w:pos="2268"/>
          <w:tab w:val="left" w:pos="1985"/>
        </w:tabs>
      </w:pPr>
      <w:r>
        <w:rPr>
          <w:rStyle w:val="normaltextrun"/>
        </w:rPr>
        <w:t>Support for access to infrastructure</w:t>
      </w:r>
    </w:p>
    <w:p w14:paraId="79BFE0D2" w14:textId="2447C9BE" w:rsidR="00DC0708" w:rsidRPr="00ED7E61" w:rsidRDefault="00742526" w:rsidP="00B10F0C">
      <w:pPr>
        <w:pStyle w:val="CBDNormalNumber"/>
        <w:numPr>
          <w:ilvl w:val="2"/>
          <w:numId w:val="14"/>
        </w:numPr>
        <w:tabs>
          <w:tab w:val="clear" w:pos="567"/>
          <w:tab w:val="clear" w:pos="1134"/>
          <w:tab w:val="clear" w:pos="1701"/>
          <w:tab w:val="clear" w:pos="2268"/>
          <w:tab w:val="left" w:pos="1985"/>
        </w:tabs>
        <w:rPr>
          <w:rFonts w:asciiTheme="majorBidi" w:hAnsiTheme="majorBidi" w:cstheme="majorBidi"/>
        </w:rPr>
      </w:pPr>
      <w:r>
        <w:rPr>
          <w:rStyle w:val="normaltextrun"/>
          <w:rFonts w:asciiTheme="majorBidi" w:eastAsiaTheme="majorEastAsia" w:hAnsiTheme="majorBidi" w:cstheme="majorBidi"/>
        </w:rPr>
        <w:t>Support for a</w:t>
      </w:r>
      <w:r w:rsidR="00756F0F" w:rsidRPr="00ED7E61">
        <w:rPr>
          <w:rStyle w:val="normaltextrun"/>
          <w:rFonts w:asciiTheme="majorBidi" w:eastAsiaTheme="majorEastAsia" w:hAnsiTheme="majorBidi" w:cstheme="majorBidi"/>
        </w:rPr>
        <w:t xml:space="preserve">ccess to </w:t>
      </w:r>
      <w:r>
        <w:rPr>
          <w:rStyle w:val="normaltextrun"/>
          <w:rFonts w:asciiTheme="majorBidi" w:eastAsiaTheme="majorEastAsia" w:hAnsiTheme="majorBidi" w:cstheme="majorBidi"/>
        </w:rPr>
        <w:t xml:space="preserve">other </w:t>
      </w:r>
      <w:proofErr w:type="spellStart"/>
      <w:r>
        <w:rPr>
          <w:rStyle w:val="normaltextrun"/>
          <w:rFonts w:asciiTheme="majorBidi" w:eastAsiaTheme="majorEastAsia" w:hAnsiTheme="majorBidi" w:cstheme="majorBidi"/>
        </w:rPr>
        <w:t>countrie</w:t>
      </w:r>
      <w:proofErr w:type="spellEnd"/>
      <w:r>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w:t>
      </w:r>
      <w:r w:rsidR="00756F0F" w:rsidRPr="00ED7E61">
        <w:rPr>
          <w:rStyle w:val="normaltextrun"/>
          <w:rFonts w:asciiTheme="majorBidi" w:eastAsiaTheme="majorEastAsia" w:hAnsiTheme="majorBidi" w:cstheme="majorBidi"/>
        </w:rPr>
        <w:t>waters</w:t>
      </w:r>
      <w:r w:rsidR="00756F0F" w:rsidRPr="00ED7E61">
        <w:rPr>
          <w:rStyle w:val="eop"/>
          <w:rFonts w:asciiTheme="majorBidi" w:eastAsiaTheme="majorEastAsia" w:hAnsiTheme="majorBidi" w:cstheme="majorBidi"/>
        </w:rPr>
        <w:t> </w:t>
      </w:r>
    </w:p>
    <w:p w14:paraId="1CA236F6" w14:textId="71133BE9" w:rsidR="00756F0F" w:rsidRPr="00ED7E61" w:rsidRDefault="00742526" w:rsidP="00B10F0C">
      <w:pPr>
        <w:pStyle w:val="CBDNormalNumber"/>
        <w:numPr>
          <w:ilvl w:val="2"/>
          <w:numId w:val="14"/>
        </w:numPr>
        <w:tabs>
          <w:tab w:val="clear" w:pos="567"/>
          <w:tab w:val="clear" w:pos="1134"/>
          <w:tab w:val="clear" w:pos="1701"/>
          <w:tab w:val="clear" w:pos="2268"/>
          <w:tab w:val="left" w:pos="1985"/>
        </w:tabs>
        <w:rPr>
          <w:rFonts w:asciiTheme="majorBidi" w:hAnsiTheme="majorBidi" w:cstheme="majorBidi"/>
        </w:rPr>
      </w:pPr>
      <w:r>
        <w:rPr>
          <w:rStyle w:val="normaltextrun"/>
          <w:rFonts w:asciiTheme="majorBidi" w:eastAsiaTheme="majorEastAsia" w:hAnsiTheme="majorBidi" w:cstheme="majorBidi"/>
        </w:rPr>
        <w:t>Preferential i</w:t>
      </w:r>
      <w:r w:rsidR="00756F0F" w:rsidRPr="00ED7E61">
        <w:rPr>
          <w:rStyle w:val="normaltextrun"/>
          <w:rFonts w:asciiTheme="majorBidi" w:eastAsiaTheme="majorEastAsia" w:hAnsiTheme="majorBidi" w:cstheme="majorBidi"/>
        </w:rPr>
        <w:t>nsurance</w:t>
      </w:r>
      <w:r>
        <w:rPr>
          <w:rStyle w:val="normaltextrun"/>
          <w:rFonts w:asciiTheme="majorBidi" w:eastAsiaTheme="majorEastAsia" w:hAnsiTheme="majorBidi" w:cstheme="majorBidi"/>
        </w:rPr>
        <w:t xml:space="preserve"> for fishers</w:t>
      </w:r>
      <w:r w:rsidR="00756F0F" w:rsidRPr="00ED7E61">
        <w:rPr>
          <w:rStyle w:val="eop"/>
          <w:rFonts w:asciiTheme="majorBidi" w:eastAsiaTheme="majorEastAsia" w:hAnsiTheme="majorBidi" w:cstheme="majorBidi"/>
        </w:rPr>
        <w:t> </w:t>
      </w:r>
    </w:p>
    <w:p w14:paraId="1623354A" w14:textId="77777777" w:rsidR="00756F0F" w:rsidRPr="00491162" w:rsidRDefault="00756F0F" w:rsidP="00B10F0C">
      <w:pPr>
        <w:pStyle w:val="CBDNormalNumber"/>
        <w:numPr>
          <w:ilvl w:val="1"/>
          <w:numId w:val="94"/>
        </w:numPr>
        <w:tabs>
          <w:tab w:val="clear" w:pos="567"/>
          <w:tab w:val="clear" w:pos="1134"/>
          <w:tab w:val="clear" w:pos="1701"/>
          <w:tab w:val="clear" w:pos="2268"/>
          <w:tab w:val="left" w:pos="1985"/>
        </w:tabs>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Support to the following tends to have a moderate risk of encouraging unsustainable fishing: </w:t>
      </w:r>
      <w:r w:rsidRPr="00491162">
        <w:rPr>
          <w:rStyle w:val="normaltextrun"/>
          <w:rFonts w:asciiTheme="majorBidi" w:eastAsiaTheme="majorEastAsia" w:hAnsiTheme="majorBidi" w:cstheme="majorBidi"/>
        </w:rPr>
        <w:t> </w:t>
      </w:r>
    </w:p>
    <w:p w14:paraId="1754DC4F" w14:textId="182D6941" w:rsidR="00DC0708" w:rsidRPr="00ED7E61" w:rsidRDefault="00742526" w:rsidP="00B10F0C">
      <w:pPr>
        <w:pStyle w:val="CBDNormalNumber"/>
        <w:numPr>
          <w:ilvl w:val="2"/>
          <w:numId w:val="14"/>
        </w:numPr>
        <w:tabs>
          <w:tab w:val="clear" w:pos="567"/>
          <w:tab w:val="clear" w:pos="1134"/>
          <w:tab w:val="clear" w:pos="1701"/>
          <w:tab w:val="clear" w:pos="2268"/>
          <w:tab w:val="left" w:pos="1985"/>
        </w:tabs>
        <w:rPr>
          <w:rFonts w:asciiTheme="majorBidi" w:hAnsiTheme="majorBidi" w:cstheme="majorBidi"/>
        </w:rPr>
      </w:pPr>
      <w:r>
        <w:rPr>
          <w:rStyle w:val="normaltextrun"/>
          <w:rFonts w:asciiTheme="majorBidi" w:eastAsiaTheme="majorEastAsia" w:hAnsiTheme="majorBidi" w:cstheme="majorBidi"/>
        </w:rPr>
        <w:t>Support to v</w:t>
      </w:r>
      <w:r w:rsidR="00756F0F" w:rsidRPr="00ED7E61">
        <w:rPr>
          <w:rStyle w:val="normaltextrun"/>
          <w:rFonts w:asciiTheme="majorBidi" w:eastAsiaTheme="majorEastAsia" w:hAnsiTheme="majorBidi" w:cstheme="majorBidi"/>
        </w:rPr>
        <w:t xml:space="preserve">essels </w:t>
      </w:r>
      <w:r>
        <w:rPr>
          <w:rStyle w:val="normaltextrun"/>
          <w:rFonts w:asciiTheme="majorBidi" w:eastAsiaTheme="majorEastAsia" w:hAnsiTheme="majorBidi" w:cstheme="majorBidi"/>
        </w:rPr>
        <w:t xml:space="preserve">modernisation and purchase of </w:t>
      </w:r>
      <w:r w:rsidR="00756F0F" w:rsidRPr="00ED7E61">
        <w:rPr>
          <w:rStyle w:val="normaltextrun"/>
          <w:rFonts w:asciiTheme="majorBidi" w:eastAsiaTheme="majorEastAsia" w:hAnsiTheme="majorBidi" w:cstheme="majorBidi"/>
        </w:rPr>
        <w:t>gear</w:t>
      </w:r>
      <w:r>
        <w:rPr>
          <w:rStyle w:val="normaltextrun"/>
          <w:rFonts w:asciiTheme="majorBidi" w:eastAsiaTheme="majorEastAsia" w:hAnsiTheme="majorBidi" w:cstheme="majorBidi"/>
        </w:rPr>
        <w:t xml:space="preserve"> (safety and environmental impact)</w:t>
      </w:r>
      <w:r w:rsidR="00756F0F" w:rsidRPr="00ED7E61">
        <w:rPr>
          <w:rStyle w:val="normaltextrun"/>
          <w:rFonts w:asciiTheme="majorBidi" w:eastAsiaTheme="majorEastAsia" w:hAnsiTheme="majorBidi" w:cstheme="majorBidi"/>
        </w:rPr>
        <w:t> </w:t>
      </w:r>
      <w:r w:rsidR="00756F0F" w:rsidRPr="00ED7E61">
        <w:rPr>
          <w:rStyle w:val="eop"/>
          <w:rFonts w:asciiTheme="majorBidi" w:eastAsiaTheme="majorEastAsia" w:hAnsiTheme="majorBidi" w:cstheme="majorBidi"/>
        </w:rPr>
        <w:t> </w:t>
      </w:r>
    </w:p>
    <w:p w14:paraId="695C3A6A" w14:textId="212B9F28" w:rsidR="00DC0708" w:rsidRPr="00ED7E61" w:rsidRDefault="00742526" w:rsidP="00B10F0C">
      <w:pPr>
        <w:pStyle w:val="CBDNormalNumber"/>
        <w:numPr>
          <w:ilvl w:val="2"/>
          <w:numId w:val="14"/>
        </w:numPr>
        <w:tabs>
          <w:tab w:val="clear" w:pos="567"/>
          <w:tab w:val="clear" w:pos="1134"/>
          <w:tab w:val="clear" w:pos="1701"/>
          <w:tab w:val="clear" w:pos="2268"/>
          <w:tab w:val="left" w:pos="1985"/>
        </w:tabs>
        <w:rPr>
          <w:rFonts w:asciiTheme="majorBidi" w:hAnsiTheme="majorBidi" w:cstheme="majorBidi"/>
        </w:rPr>
      </w:pPr>
      <w:r>
        <w:rPr>
          <w:rStyle w:val="normaltextrun"/>
          <w:rFonts w:asciiTheme="majorBidi" w:eastAsiaTheme="majorEastAsia" w:hAnsiTheme="majorBidi" w:cstheme="majorBidi"/>
        </w:rPr>
        <w:t>Support to i</w:t>
      </w:r>
      <w:r w:rsidR="00756F0F" w:rsidRPr="00ED7E61">
        <w:rPr>
          <w:rStyle w:val="normaltextrun"/>
          <w:rFonts w:asciiTheme="majorBidi" w:eastAsiaTheme="majorEastAsia" w:hAnsiTheme="majorBidi" w:cstheme="majorBidi"/>
        </w:rPr>
        <w:t xml:space="preserve">nfrastructure </w:t>
      </w:r>
      <w:r w:rsidR="00D26E40">
        <w:rPr>
          <w:rStyle w:val="normaltextrun"/>
          <w:rFonts w:asciiTheme="majorBidi" w:eastAsiaTheme="majorEastAsia" w:hAnsiTheme="majorBidi" w:cstheme="majorBidi"/>
        </w:rPr>
        <w:t xml:space="preserve">construction and </w:t>
      </w:r>
      <w:proofErr w:type="spellStart"/>
      <w:r w:rsidR="00D26E40">
        <w:rPr>
          <w:rStyle w:val="normaltextrun"/>
          <w:rFonts w:asciiTheme="majorBidi" w:eastAsiaTheme="majorEastAsia" w:hAnsiTheme="majorBidi" w:cstheme="majorBidi"/>
        </w:rPr>
        <w:t>modernisqtion</w:t>
      </w:r>
      <w:proofErr w:type="spellEnd"/>
      <w:r w:rsidR="00D26E40">
        <w:rPr>
          <w:rStyle w:val="normaltextrun"/>
          <w:rFonts w:asciiTheme="majorBidi" w:eastAsiaTheme="majorEastAsia" w:hAnsiTheme="majorBidi" w:cstheme="majorBidi"/>
        </w:rPr>
        <w:t xml:space="preserve"> </w:t>
      </w:r>
      <w:r w:rsidR="00756F0F" w:rsidRPr="00ED7E61">
        <w:rPr>
          <w:rStyle w:val="normaltextrun"/>
          <w:rFonts w:asciiTheme="majorBidi" w:eastAsiaTheme="majorEastAsia" w:hAnsiTheme="majorBidi" w:cstheme="majorBidi"/>
        </w:rPr>
        <w:t>(capital)</w:t>
      </w:r>
      <w:r w:rsidR="00756F0F" w:rsidRPr="00ED7E61">
        <w:rPr>
          <w:rStyle w:val="eop"/>
          <w:rFonts w:asciiTheme="majorBidi" w:eastAsiaTheme="majorEastAsia" w:hAnsiTheme="majorBidi" w:cstheme="majorBidi"/>
        </w:rPr>
        <w:t> </w:t>
      </w:r>
    </w:p>
    <w:p w14:paraId="1A972067" w14:textId="21859262" w:rsidR="00DC0708" w:rsidRPr="00ED7E61" w:rsidRDefault="00D26E40" w:rsidP="00B10F0C">
      <w:pPr>
        <w:pStyle w:val="CBDNormalNumber"/>
        <w:numPr>
          <w:ilvl w:val="2"/>
          <w:numId w:val="14"/>
        </w:numPr>
        <w:tabs>
          <w:tab w:val="clear" w:pos="567"/>
          <w:tab w:val="clear" w:pos="1134"/>
          <w:tab w:val="clear" w:pos="1701"/>
          <w:tab w:val="clear" w:pos="2268"/>
          <w:tab w:val="left" w:pos="1985"/>
        </w:tabs>
        <w:rPr>
          <w:rFonts w:asciiTheme="majorBidi" w:hAnsiTheme="majorBidi" w:cstheme="majorBidi"/>
        </w:rPr>
      </w:pPr>
      <w:r>
        <w:rPr>
          <w:rStyle w:val="normaltextrun"/>
          <w:rFonts w:asciiTheme="majorBidi" w:eastAsiaTheme="majorEastAsia" w:hAnsiTheme="majorBidi" w:cstheme="majorBidi"/>
        </w:rPr>
        <w:t>Buyback of vessel of licence</w:t>
      </w:r>
      <w:r w:rsidR="00756F0F" w:rsidRPr="00ED7E61">
        <w:rPr>
          <w:rStyle w:val="eop"/>
          <w:rFonts w:asciiTheme="majorBidi" w:eastAsiaTheme="majorEastAsia" w:hAnsiTheme="majorBidi" w:cstheme="majorBidi"/>
        </w:rPr>
        <w:t> </w:t>
      </w:r>
    </w:p>
    <w:p w14:paraId="1BEECEC7" w14:textId="1C4D6CB5" w:rsidR="00756F0F" w:rsidRPr="00ED7E61" w:rsidRDefault="009D2339" w:rsidP="00B10F0C">
      <w:pPr>
        <w:pStyle w:val="CBDNormalNumber"/>
        <w:numPr>
          <w:ilvl w:val="2"/>
          <w:numId w:val="14"/>
        </w:numPr>
        <w:tabs>
          <w:tab w:val="clear" w:pos="567"/>
          <w:tab w:val="clear" w:pos="1134"/>
          <w:tab w:val="clear" w:pos="1701"/>
          <w:tab w:val="clear" w:pos="2268"/>
          <w:tab w:val="left" w:pos="1985"/>
        </w:tabs>
        <w:rPr>
          <w:rFonts w:asciiTheme="majorBidi" w:hAnsiTheme="majorBidi" w:cstheme="majorBidi"/>
        </w:rPr>
      </w:pPr>
      <w:r>
        <w:rPr>
          <w:rStyle w:val="normaltextrun"/>
          <w:rFonts w:asciiTheme="majorBidi" w:eastAsiaTheme="majorEastAsia" w:hAnsiTheme="majorBidi" w:cstheme="majorBidi"/>
        </w:rPr>
        <w:t>Support to fisher i</w:t>
      </w:r>
      <w:r w:rsidR="00756F0F" w:rsidRPr="00ED7E61">
        <w:rPr>
          <w:rStyle w:val="normaltextrun"/>
          <w:rFonts w:asciiTheme="majorBidi" w:eastAsiaTheme="majorEastAsia" w:hAnsiTheme="majorBidi" w:cstheme="majorBidi"/>
        </w:rPr>
        <w:t>ncome </w:t>
      </w:r>
      <w:r w:rsidR="00756F0F" w:rsidRPr="00ED7E61">
        <w:rPr>
          <w:rStyle w:val="eop"/>
          <w:rFonts w:asciiTheme="majorBidi" w:eastAsiaTheme="majorEastAsia" w:hAnsiTheme="majorBidi" w:cstheme="majorBidi"/>
        </w:rPr>
        <w:t> </w:t>
      </w:r>
    </w:p>
    <w:p w14:paraId="337F6CE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subsidies and other incentives harmful to biodiversity in other sectors</w:t>
      </w:r>
      <w:r w:rsidRPr="00ED7E61">
        <w:rPr>
          <w:rStyle w:val="eop"/>
          <w:rFonts w:asciiTheme="majorBidi" w:eastAsiaTheme="majorEastAsia" w:hAnsiTheme="majorBidi" w:cstheme="majorBidi"/>
          <w:sz w:val="22"/>
          <w:szCs w:val="22"/>
        </w:rPr>
        <w:t> </w:t>
      </w:r>
    </w:p>
    <w:p w14:paraId="418BC483" w14:textId="03F4342B" w:rsidR="00756F0F"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 xml:space="preserve">When analysing incentives, including subsidies, harmful for biodiversity, countries might choose to consider other sectors than agriculture, fisheries or fossil fuels. Such sectors could be, but are not limited to, transport (e.g. road construction) or water (e.g. price subsidies). For examples of potentially harmful subsidies in other sectors, see Matthews, A. and K. </w:t>
      </w:r>
      <w:proofErr w:type="spellStart"/>
      <w:r w:rsidRPr="00ED7E61">
        <w:rPr>
          <w:rStyle w:val="normaltextrun"/>
          <w:rFonts w:asciiTheme="majorBidi" w:eastAsiaTheme="majorEastAsia" w:hAnsiTheme="majorBidi" w:cstheme="majorBidi"/>
        </w:rPr>
        <w:t>Karousakis</w:t>
      </w:r>
      <w:proofErr w:type="spellEnd"/>
      <w:r w:rsidRPr="00ED7E61">
        <w:rPr>
          <w:rStyle w:val="normaltextrun"/>
          <w:rFonts w:asciiTheme="majorBidi" w:eastAsiaTheme="majorEastAsia" w:hAnsiTheme="majorBidi" w:cstheme="majorBidi"/>
        </w:rPr>
        <w:t xml:space="preserve"> (2022), "</w:t>
      </w:r>
      <w:r w:rsidRPr="00FB1598">
        <w:rPr>
          <w:rStyle w:val="normaltextrun"/>
          <w:rFonts w:asciiTheme="majorBidi" w:eastAsiaTheme="majorEastAsia" w:hAnsiTheme="majorBidi" w:cstheme="majorBidi"/>
          <w:i/>
          <w:iCs/>
        </w:rPr>
        <w:t>Identifying and assessing subsidies and other incentives harmful to biodiversity: A comparative review of existing national-level assessments and insights for good practice</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29FEACE2"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5b. Method of computation</w:t>
      </w:r>
      <w:r w:rsidRPr="00ED7E61">
        <w:rPr>
          <w:rStyle w:val="eop"/>
          <w:rFonts w:asciiTheme="majorBidi" w:eastAsiaTheme="majorEastAsia" w:hAnsiTheme="majorBidi" w:cstheme="majorBidi"/>
          <w:sz w:val="22"/>
          <w:szCs w:val="22"/>
        </w:rPr>
        <w:t> </w:t>
      </w:r>
    </w:p>
    <w:p w14:paraId="2A3B250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subsidies and other incentives harmful to biodiversity </w:t>
      </w:r>
      <w:r w:rsidRPr="00ED7E61">
        <w:rPr>
          <w:rStyle w:val="eop"/>
          <w:rFonts w:asciiTheme="majorBidi" w:eastAsiaTheme="majorEastAsia" w:hAnsiTheme="majorBidi" w:cstheme="majorBidi"/>
          <w:sz w:val="22"/>
          <w:szCs w:val="22"/>
        </w:rPr>
        <w:t> </w:t>
      </w:r>
    </w:p>
    <w:p w14:paraId="3A086FF6" w14:textId="77777777" w:rsidR="00756F0F"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Depending</w:t>
      </w:r>
      <w:r w:rsidRPr="00ED7E61">
        <w:rPr>
          <w:rStyle w:val="normaltextrun"/>
          <w:rFonts w:asciiTheme="majorBidi" w:eastAsiaTheme="majorEastAsia" w:hAnsiTheme="majorBidi" w:cstheme="majorBidi"/>
          <w:color w:val="000000"/>
        </w:rPr>
        <w:t xml:space="preserve"> on the reporting option selected by the country/institution (i.e. global data base or national data) data may be collected through information already reported to the OECD and others including the FAO and IDB, IMF and IEA (depending on the sectors).</w:t>
      </w:r>
      <w:r w:rsidRPr="00ED7E61">
        <w:rPr>
          <w:rStyle w:val="eop"/>
          <w:rFonts w:asciiTheme="majorBidi" w:eastAsiaTheme="majorEastAsia" w:hAnsiTheme="majorBidi" w:cstheme="majorBidi"/>
          <w:color w:val="000000"/>
        </w:rPr>
        <w:t> </w:t>
      </w:r>
    </w:p>
    <w:p w14:paraId="70BBF1DA"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ED7E61">
        <w:rPr>
          <w:rStyle w:val="eop"/>
          <w:rFonts w:asciiTheme="majorBidi" w:eastAsiaTheme="majorEastAsia" w:hAnsiTheme="majorBidi" w:cstheme="majorBidi"/>
          <w:sz w:val="22"/>
          <w:szCs w:val="22"/>
        </w:rPr>
        <w:t> </w:t>
      </w:r>
    </w:p>
    <w:p w14:paraId="6C33D516" w14:textId="739EE086" w:rsidR="00DC0708"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 xml:space="preserve">The OECD database on Producer Support Estimate (PSE) collects data on government support to agriculture. 54 countries </w:t>
      </w:r>
      <w:r w:rsidR="00A70C42">
        <w:rPr>
          <w:rStyle w:val="normaltextrun"/>
          <w:rFonts w:asciiTheme="majorBidi" w:eastAsiaTheme="majorEastAsia" w:hAnsiTheme="majorBidi" w:cstheme="majorBidi"/>
        </w:rPr>
        <w:t xml:space="preserve">have </w:t>
      </w:r>
      <w:r w:rsidRPr="00ED7E61">
        <w:rPr>
          <w:rStyle w:val="normaltextrun"/>
          <w:rFonts w:asciiTheme="majorBidi" w:eastAsiaTheme="majorEastAsia" w:hAnsiTheme="majorBidi" w:cstheme="majorBidi"/>
        </w:rPr>
        <w:t>provide</w:t>
      </w:r>
      <w:r w:rsidR="00A70C42">
        <w:rPr>
          <w:rStyle w:val="normaltextrun"/>
          <w:rFonts w:asciiTheme="majorBidi" w:eastAsiaTheme="majorEastAsia" w:hAnsiTheme="majorBidi" w:cstheme="majorBidi"/>
        </w:rPr>
        <w:t>d</w:t>
      </w:r>
      <w:r w:rsidRPr="00ED7E61">
        <w:rPr>
          <w:rStyle w:val="normaltextrun"/>
          <w:rFonts w:asciiTheme="majorBidi" w:eastAsiaTheme="majorEastAsia" w:hAnsiTheme="majorBidi" w:cstheme="majorBidi"/>
        </w:rPr>
        <w:t xml:space="preserve"> data to this database (as of March 2024), covering about 75% of global agricultural value-added. Data is reported annually and classified based on support implementation criteria.</w:t>
      </w:r>
      <w:r w:rsidRPr="00ED7E61">
        <w:rPr>
          <w:rStyle w:val="eop"/>
          <w:rFonts w:asciiTheme="majorBidi" w:eastAsiaTheme="majorEastAsia" w:hAnsiTheme="majorBidi" w:cstheme="majorBidi"/>
        </w:rPr>
        <w:t> </w:t>
      </w:r>
    </w:p>
    <w:p w14:paraId="511EE0FD" w14:textId="77777777" w:rsidR="004740D3" w:rsidRPr="006C210D" w:rsidRDefault="00756F0F" w:rsidP="004740D3">
      <w:pPr>
        <w:pStyle w:val="CBDNormalNumber"/>
        <w:numPr>
          <w:ilvl w:val="0"/>
          <w:numId w:val="94"/>
        </w:numPr>
        <w:ind w:left="567" w:firstLine="0"/>
        <w:rPr>
          <w:rFonts w:asciiTheme="majorBidi" w:eastAsiaTheme="majorEastAsia" w:hAnsiTheme="majorBidi" w:cstheme="majorBidi"/>
        </w:rPr>
      </w:pPr>
      <w:r w:rsidRPr="00ED7E61">
        <w:rPr>
          <w:rStyle w:val="normaltextrun"/>
          <w:rFonts w:asciiTheme="majorBidi" w:eastAsiaTheme="majorEastAsia" w:hAnsiTheme="majorBidi" w:cstheme="majorBidi"/>
        </w:rPr>
        <w:t>In relation to the reporting on the “</w:t>
      </w:r>
      <w:r w:rsidRPr="00FB1598">
        <w:rPr>
          <w:rStyle w:val="normaltextrun"/>
          <w:rFonts w:asciiTheme="majorBidi" w:eastAsiaTheme="majorEastAsia" w:hAnsiTheme="majorBidi" w:cstheme="majorBidi"/>
          <w:i/>
          <w:iCs/>
        </w:rPr>
        <w:t>Value of agricultural subsidies and other incentives potentially harmful to biodiversity</w:t>
      </w:r>
      <w:r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b/>
          <w:bCs/>
        </w:rPr>
        <w:t xml:space="preserve"> </w:t>
      </w:r>
      <w:r w:rsidRPr="00ED7E61">
        <w:rPr>
          <w:rStyle w:val="normaltextrun"/>
          <w:rFonts w:asciiTheme="majorBidi" w:eastAsiaTheme="majorEastAsia" w:hAnsiTheme="majorBidi" w:cstheme="majorBidi"/>
        </w:rPr>
        <w:t>the OECD has found that agricultural support provided through</w:t>
      </w:r>
      <w:r w:rsidRPr="00ED7E61">
        <w:rPr>
          <w:rStyle w:val="normaltextrun"/>
          <w:rFonts w:asciiTheme="majorBidi" w:eastAsiaTheme="majorEastAsia" w:hAnsiTheme="majorBidi" w:cstheme="majorBidi"/>
          <w:b/>
          <w:bCs/>
        </w:rPr>
        <w:t xml:space="preserve"> </w:t>
      </w:r>
      <w:r w:rsidRPr="00ED7E61">
        <w:rPr>
          <w:rStyle w:val="normaltextrun"/>
          <w:rFonts w:asciiTheme="majorBidi" w:eastAsiaTheme="majorEastAsia" w:hAnsiTheme="majorBidi" w:cstheme="majorBidi"/>
        </w:rPr>
        <w:t xml:space="preserve">market price support, payments based on output, and the unconstrained use of variable inputs, are the potentially most harmful to environment, and thereby could affect biodiversity in particular countries (Henderson and </w:t>
      </w:r>
      <w:proofErr w:type="spellStart"/>
      <w:r w:rsidRPr="00ED7E61">
        <w:rPr>
          <w:rStyle w:val="normaltextrun"/>
          <w:rFonts w:asciiTheme="majorBidi" w:eastAsiaTheme="majorEastAsia" w:hAnsiTheme="majorBidi" w:cstheme="majorBidi"/>
        </w:rPr>
        <w:t>Lankoski</w:t>
      </w:r>
      <w:proofErr w:type="spellEnd"/>
      <w:r w:rsidRPr="00ED7E61">
        <w:rPr>
          <w:rStyle w:val="normaltextrun"/>
          <w:rFonts w:asciiTheme="majorBidi" w:eastAsiaTheme="majorEastAsia" w:hAnsiTheme="majorBidi" w:cstheme="majorBidi"/>
        </w:rPr>
        <w:t>, 2019; DeBoe, 2020a,b). </w:t>
      </w:r>
      <w:r w:rsidRPr="00ED7E61">
        <w:rPr>
          <w:rStyle w:val="eop"/>
          <w:rFonts w:asciiTheme="majorBidi" w:eastAsiaTheme="majorEastAsia" w:hAnsiTheme="majorBidi" w:cstheme="majorBidi"/>
        </w:rPr>
        <w:t> </w:t>
      </w:r>
      <w:r w:rsidR="004740D3" w:rsidRPr="004740D3">
        <w:rPr>
          <w:rFonts w:asciiTheme="majorBidi" w:eastAsiaTheme="majorEastAsia" w:hAnsiTheme="majorBidi" w:cstheme="majorBidi"/>
        </w:rPr>
        <w:t xml:space="preserve">The type of production or input being </w:t>
      </w:r>
      <w:r w:rsidR="004740D3" w:rsidRPr="006C210D">
        <w:rPr>
          <w:rFonts w:asciiTheme="majorBidi" w:eastAsiaTheme="majorEastAsia" w:hAnsiTheme="majorBidi" w:cstheme="majorBidi"/>
        </w:rPr>
        <w:t>targeted by the support, as well as the possible presence of environmental conditions attached to the support instrument, are also relevant to consider (</w:t>
      </w:r>
      <w:proofErr w:type="spellStart"/>
      <w:r w:rsidR="004740D3" w:rsidRPr="006C210D">
        <w:rPr>
          <w:rFonts w:asciiTheme="majorBidi" w:eastAsiaTheme="majorEastAsia" w:hAnsiTheme="majorBidi" w:cstheme="majorBidi"/>
        </w:rPr>
        <w:t>Lankoski</w:t>
      </w:r>
      <w:proofErr w:type="spellEnd"/>
      <w:r w:rsidR="004740D3" w:rsidRPr="006C210D">
        <w:rPr>
          <w:rFonts w:asciiTheme="majorBidi" w:eastAsiaTheme="majorEastAsia" w:hAnsiTheme="majorBidi" w:cstheme="majorBidi"/>
        </w:rPr>
        <w:t>, Nales and Valin, 2025).</w:t>
      </w:r>
    </w:p>
    <w:p w14:paraId="5AAB9A94" w14:textId="14C63287" w:rsidR="00983BB2" w:rsidRPr="004740D3" w:rsidRDefault="00ED20B9" w:rsidP="004740D3">
      <w:pPr>
        <w:pStyle w:val="CBDNormalNumber"/>
        <w:numPr>
          <w:ilvl w:val="0"/>
          <w:numId w:val="94"/>
        </w:numPr>
        <w:ind w:left="567" w:firstLine="0"/>
        <w:rPr>
          <w:rFonts w:asciiTheme="majorBidi" w:eastAsiaTheme="majorEastAsia" w:hAnsiTheme="majorBidi" w:cstheme="majorBidi"/>
        </w:rPr>
      </w:pPr>
      <w:r w:rsidRPr="006C210D">
        <w:rPr>
          <w:rStyle w:val="normaltextrun"/>
          <w:rFonts w:eastAsiaTheme="majorEastAsia"/>
          <w:lang w:val="en-US"/>
        </w:rPr>
        <w:t xml:space="preserve">The World Trade </w:t>
      </w:r>
      <w:proofErr w:type="spellStart"/>
      <w:r w:rsidRPr="006C210D">
        <w:rPr>
          <w:rStyle w:val="normaltextrun"/>
          <w:rFonts w:eastAsiaTheme="majorEastAsia"/>
          <w:lang w:val="en-US"/>
        </w:rPr>
        <w:t>Organisation’s</w:t>
      </w:r>
      <w:proofErr w:type="spellEnd"/>
      <w:r w:rsidRPr="006C210D">
        <w:rPr>
          <w:rStyle w:val="normaltextrun"/>
          <w:rFonts w:eastAsiaTheme="majorEastAsia"/>
          <w:lang w:val="en-US"/>
        </w:rPr>
        <w:t xml:space="preserve"> (WTO) database on agricultural subsidies complies information from countries on their domestic support to agriculture as part of the WTO Agreement on Agriculture</w:t>
      </w:r>
      <w:r w:rsidR="00E04359" w:rsidRPr="00F7670D">
        <w:rPr>
          <w:rStyle w:val="normaltextrun"/>
          <w:rFonts w:eastAsiaTheme="majorEastAsia"/>
          <w:lang w:val="en-US"/>
        </w:rPr>
        <w:t xml:space="preserve">. Information is submitted </w:t>
      </w:r>
      <w:r w:rsidR="001A5830" w:rsidRPr="006C210D">
        <w:rPr>
          <w:rStyle w:val="normaltextrun"/>
          <w:rFonts w:eastAsiaTheme="majorEastAsia"/>
          <w:lang w:val="en-US"/>
        </w:rPr>
        <w:t>annually</w:t>
      </w:r>
      <w:r w:rsidR="00E04359" w:rsidRPr="00F7670D">
        <w:rPr>
          <w:rStyle w:val="normaltextrun"/>
          <w:rFonts w:eastAsiaTheme="majorEastAsia"/>
          <w:lang w:val="en-US"/>
        </w:rPr>
        <w:t xml:space="preserve"> </w:t>
      </w:r>
      <w:r w:rsidR="00AC6972" w:rsidRPr="00F7670D">
        <w:rPr>
          <w:rStyle w:val="normaltextrun"/>
          <w:rFonts w:eastAsiaTheme="majorEastAsia"/>
          <w:lang w:val="en-US"/>
        </w:rPr>
        <w:t>and could be used in the calculation of the indicator</w:t>
      </w:r>
      <w:r w:rsidR="00AC6972" w:rsidRPr="006C210D">
        <w:rPr>
          <w:rStyle w:val="normaltextrun"/>
          <w:rFonts w:eastAsiaTheme="majorEastAsia"/>
          <w:lang w:val="en-US"/>
        </w:rPr>
        <w:t>.</w:t>
      </w:r>
      <w:r w:rsidR="00001A13" w:rsidRPr="006C210D">
        <w:rPr>
          <w:rStyle w:val="normaltextrun"/>
          <w:rFonts w:eastAsiaTheme="majorEastAsia"/>
          <w:lang w:val="en-US"/>
        </w:rPr>
        <w:t xml:space="preserve"> This is </w:t>
      </w:r>
      <w:r w:rsidR="009F7AE0" w:rsidRPr="006C210D">
        <w:rPr>
          <w:rStyle w:val="normaltextrun"/>
          <w:rFonts w:eastAsiaTheme="majorEastAsia"/>
          <w:lang w:val="en-US"/>
        </w:rPr>
        <w:t>one</w:t>
      </w:r>
      <w:r w:rsidR="00001A13" w:rsidRPr="006C210D">
        <w:rPr>
          <w:rStyle w:val="normaltextrun"/>
          <w:rFonts w:eastAsiaTheme="majorEastAsia"/>
          <w:lang w:val="en-US"/>
        </w:rPr>
        <w:t xml:space="preserve"> possible</w:t>
      </w:r>
      <w:r w:rsidR="00001A13">
        <w:rPr>
          <w:rStyle w:val="normaltextrun"/>
          <w:rFonts w:eastAsiaTheme="majorEastAsia"/>
          <w:lang w:val="en-US"/>
        </w:rPr>
        <w:t xml:space="preserve"> source of information for the calculation of this indicator. </w:t>
      </w:r>
    </w:p>
    <w:p w14:paraId="27A2E4AF"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fossil fuel subsidies (production and consumption)</w:t>
      </w:r>
      <w:r w:rsidRPr="00ED7E61">
        <w:rPr>
          <w:rStyle w:val="eop"/>
          <w:rFonts w:asciiTheme="majorBidi" w:eastAsiaTheme="majorEastAsia" w:hAnsiTheme="majorBidi" w:cstheme="majorBidi"/>
          <w:sz w:val="22"/>
          <w:szCs w:val="22"/>
        </w:rPr>
        <w:t> </w:t>
      </w:r>
    </w:p>
    <w:p w14:paraId="2F2BD5CE" w14:textId="1105F1E4" w:rsidR="00756F0F"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This indicator corresponds to the SDG indicator 12c but is presented as total monetary value rather than per unit of GDP.  Direct transfers are generally reported in government budgets, and well documented in sectoral and Finance Ministries, broken down by programme if not by fuel. Those that meet the SNA definition of “</w:t>
      </w:r>
      <w:r w:rsidRPr="00FB1598">
        <w:rPr>
          <w:rStyle w:val="normaltextrun"/>
          <w:rFonts w:asciiTheme="majorBidi" w:eastAsiaTheme="majorEastAsia" w:hAnsiTheme="majorBidi" w:cstheme="majorBidi"/>
          <w:i/>
          <w:iCs/>
        </w:rPr>
        <w:t>subsidies</w:t>
      </w:r>
      <w:r w:rsidRPr="00ED7E61">
        <w:rPr>
          <w:rStyle w:val="normaltextrun"/>
          <w:rFonts w:asciiTheme="majorBidi" w:eastAsiaTheme="majorEastAsia" w:hAnsiTheme="majorBidi" w:cstheme="majorBidi"/>
        </w:rPr>
        <w:t xml:space="preserve">” – i.e. subsidies on products, and other subsidies on production – can also be found in a country’s System of National Accounts. Budget documents are publicly available for most countries. The degree to which information on individual programmes is itemized in those reports is highly variable, however. Support to corporations involved in energy production or transformation may sometimes be found in their annual reports, for example. In some cases, researchers may be able to obtain unpublished data from state-owned energy enterprises directly. Induced </w:t>
      </w:r>
      <w:proofErr w:type="gramStart"/>
      <w:r w:rsidRPr="00ED7E61">
        <w:rPr>
          <w:rStyle w:val="normaltextrun"/>
          <w:rFonts w:asciiTheme="majorBidi" w:eastAsiaTheme="majorEastAsia" w:hAnsiTheme="majorBidi" w:cstheme="majorBidi"/>
        </w:rPr>
        <w:t>transfer</w:t>
      </w:r>
      <w:proofErr w:type="gramEnd"/>
      <w:r w:rsidRPr="00ED7E61">
        <w:rPr>
          <w:rStyle w:val="normaltextrun"/>
          <w:rFonts w:asciiTheme="majorBidi" w:eastAsiaTheme="majorEastAsia" w:hAnsiTheme="majorBidi" w:cstheme="majorBidi"/>
        </w:rPr>
        <w:t xml:space="preserve"> are measured by calculating the price-gap between the producer or consumer price and a reference </w:t>
      </w:r>
      <w:proofErr w:type="gramStart"/>
      <w:r w:rsidRPr="00ED7E61">
        <w:rPr>
          <w:rStyle w:val="normaltextrun"/>
          <w:rFonts w:asciiTheme="majorBidi" w:eastAsiaTheme="majorEastAsia" w:hAnsiTheme="majorBidi" w:cstheme="majorBidi"/>
        </w:rPr>
        <w:t>price, and</w:t>
      </w:r>
      <w:proofErr w:type="gramEnd"/>
      <w:r w:rsidRPr="00ED7E61">
        <w:rPr>
          <w:rStyle w:val="normaltextrun"/>
          <w:rFonts w:asciiTheme="majorBidi" w:eastAsiaTheme="majorEastAsia" w:hAnsiTheme="majorBidi" w:cstheme="majorBidi"/>
        </w:rPr>
        <w:t xml:space="preserve"> multiplying that differential by the affected volume produced or consumed. Measuring the value of special features introduced into the tax code to favour certain industries or activities of those industries (such as investment in productive capital) can be a complex endeavour. Some countries do this exercise already and report the annual value of those tax features in their periodic tax-expenditure reports. However, what is considered a tax expenditure varies from one country to another</w:t>
      </w:r>
      <w:r w:rsidR="00A70C42">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w:t>
      </w:r>
      <w:proofErr w:type="gramStart"/>
      <w:r w:rsidRPr="00ED7E61">
        <w:rPr>
          <w:rStyle w:val="normaltextrun"/>
          <w:rFonts w:asciiTheme="majorBidi" w:eastAsiaTheme="majorEastAsia" w:hAnsiTheme="majorBidi" w:cstheme="majorBidi"/>
        </w:rPr>
        <w:t>in particular depending</w:t>
      </w:r>
      <w:proofErr w:type="gramEnd"/>
      <w:r w:rsidRPr="00ED7E61">
        <w:rPr>
          <w:rStyle w:val="normaltextrun"/>
          <w:rFonts w:asciiTheme="majorBidi" w:eastAsiaTheme="majorEastAsia" w:hAnsiTheme="majorBidi" w:cstheme="majorBidi"/>
        </w:rPr>
        <w:t xml:space="preserve"> on the tax code structure. When countries do not produce tax-expenditure reports, the analysist must construct a model and estimate the difference in the revenues that would be owed to the government under the baseline conditions and with the special tax feature. For further details on the method of computation as explained in the metadata sheet of SDG </w:t>
      </w:r>
      <w:r w:rsidR="00A70C42">
        <w:rPr>
          <w:rStyle w:val="normaltextrun"/>
          <w:rFonts w:asciiTheme="majorBidi" w:eastAsiaTheme="majorEastAsia" w:hAnsiTheme="majorBidi" w:cstheme="majorBidi"/>
        </w:rPr>
        <w:t>indicator 1</w:t>
      </w:r>
      <w:r w:rsidRPr="00ED7E61">
        <w:rPr>
          <w:rStyle w:val="normaltextrun"/>
          <w:rFonts w:asciiTheme="majorBidi" w:eastAsiaTheme="majorEastAsia" w:hAnsiTheme="majorBidi" w:cstheme="majorBidi"/>
        </w:rPr>
        <w:t>2c. Please refer to the sources below (11. References)</w:t>
      </w:r>
      <w:r w:rsidR="00A70C42">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w:t>
      </w:r>
      <w:r w:rsidRPr="00ED7E61">
        <w:rPr>
          <w:rStyle w:val="eop"/>
          <w:rFonts w:asciiTheme="majorBidi" w:eastAsiaTheme="majorEastAsia" w:hAnsiTheme="majorBidi" w:cstheme="majorBidi"/>
        </w:rPr>
        <w:t> </w:t>
      </w:r>
    </w:p>
    <w:p w14:paraId="3FB61D92"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 in the absence of effective fisheries management</w:t>
      </w:r>
      <w:r w:rsidRPr="00ED7E61">
        <w:rPr>
          <w:rStyle w:val="eop"/>
          <w:rFonts w:asciiTheme="majorBidi" w:eastAsiaTheme="majorEastAsia" w:hAnsiTheme="majorBidi" w:cstheme="majorBidi"/>
          <w:sz w:val="22"/>
          <w:szCs w:val="22"/>
        </w:rPr>
        <w:t> </w:t>
      </w:r>
    </w:p>
    <w:p w14:paraId="3C23F105" w14:textId="26E0DEB3" w:rsidR="00756F0F" w:rsidRPr="00812871" w:rsidRDefault="00756F0F" w:rsidP="00EA6CB3">
      <w:pPr>
        <w:pStyle w:val="CBDNormalNumber"/>
        <w:numPr>
          <w:ilvl w:val="0"/>
          <w:numId w:val="94"/>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rPr>
        <w:t xml:space="preserve">Every two years the OECD publishes the </w:t>
      </w:r>
      <w:hyperlink r:id="rId464" w:tgtFrame="_blank" w:history="1">
        <w:r w:rsidRPr="00ED7E61">
          <w:rPr>
            <w:rStyle w:val="normaltextrun"/>
            <w:rFonts w:asciiTheme="majorBidi" w:eastAsiaTheme="majorEastAsia" w:hAnsiTheme="majorBidi" w:cstheme="majorBidi"/>
            <w:color w:val="467886"/>
            <w:u w:val="single"/>
          </w:rPr>
          <w:t>OECD Review of Fisheries</w:t>
        </w:r>
      </w:hyperlink>
      <w:r w:rsidRPr="00ED7E61">
        <w:rPr>
          <w:rStyle w:val="normaltextrun"/>
          <w:rFonts w:asciiTheme="majorBidi" w:eastAsiaTheme="majorEastAsia" w:hAnsiTheme="majorBidi" w:cstheme="majorBidi"/>
        </w:rPr>
        <w:t xml:space="preserve">. These reports present information on fish stock health and productivity, fisheries management and support </w:t>
      </w:r>
      <w:r w:rsidR="004740D3">
        <w:rPr>
          <w:rStyle w:val="normaltextrun"/>
          <w:rFonts w:asciiTheme="majorBidi" w:eastAsiaTheme="majorEastAsia" w:hAnsiTheme="majorBidi" w:cstheme="majorBidi"/>
        </w:rPr>
        <w:t>to</w:t>
      </w:r>
      <w:r w:rsidR="004740D3"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 xml:space="preserve">fisheries in OECD </w:t>
      </w:r>
      <w:r w:rsidR="00CC7C75">
        <w:rPr>
          <w:rStyle w:val="normaltextrun"/>
          <w:rFonts w:asciiTheme="majorBidi" w:eastAsiaTheme="majorEastAsia" w:hAnsiTheme="majorBidi" w:cstheme="majorBidi"/>
        </w:rPr>
        <w:t xml:space="preserve">Members </w:t>
      </w:r>
      <w:r w:rsidRPr="00ED7E61">
        <w:rPr>
          <w:rStyle w:val="normaltextrun"/>
          <w:rFonts w:asciiTheme="majorBidi" w:eastAsiaTheme="majorEastAsia" w:hAnsiTheme="majorBidi" w:cstheme="majorBidi"/>
        </w:rPr>
        <w:t xml:space="preserve">and other major fishing nations. </w:t>
      </w:r>
      <w:r w:rsidR="00CC7C75">
        <w:rPr>
          <w:rStyle w:val="normaltextrun"/>
          <w:rFonts w:asciiTheme="majorBidi" w:eastAsiaTheme="majorEastAsia" w:hAnsiTheme="majorBidi" w:cstheme="majorBidi"/>
        </w:rPr>
        <w:t xml:space="preserve">Data </w:t>
      </w:r>
      <w:r w:rsidR="00A46B8B">
        <w:rPr>
          <w:rStyle w:val="normaltextrun"/>
          <w:rFonts w:asciiTheme="majorBidi" w:eastAsiaTheme="majorEastAsia" w:hAnsiTheme="majorBidi" w:cstheme="majorBidi"/>
        </w:rPr>
        <w:t xml:space="preserve">on government support to fisheries are </w:t>
      </w:r>
      <w:r w:rsidRPr="00ED7E61">
        <w:rPr>
          <w:rStyle w:val="normaltextrun"/>
          <w:rFonts w:asciiTheme="majorBidi" w:eastAsiaTheme="majorEastAsia" w:hAnsiTheme="majorBidi" w:cstheme="majorBidi"/>
        </w:rPr>
        <w:t>collated in the OECD Fisheries Support Estimates (FSE) database. In 202</w:t>
      </w:r>
      <w:r w:rsidR="00A46B8B">
        <w:rPr>
          <w:rStyle w:val="normaltextrun"/>
          <w:rFonts w:asciiTheme="majorBidi" w:eastAsiaTheme="majorEastAsia" w:hAnsiTheme="majorBidi" w:cstheme="majorBidi"/>
        </w:rPr>
        <w:t>4</w:t>
      </w:r>
      <w:r w:rsidRPr="00ED7E61">
        <w:rPr>
          <w:rStyle w:val="normaltextrun"/>
          <w:rFonts w:asciiTheme="majorBidi" w:eastAsiaTheme="majorEastAsia" w:hAnsiTheme="majorBidi" w:cstheme="majorBidi"/>
        </w:rPr>
        <w:t xml:space="preserve">, the OECD FSE data covered </w:t>
      </w:r>
      <w:r w:rsidR="00A46B8B">
        <w:rPr>
          <w:rStyle w:val="normaltextrun"/>
          <w:rFonts w:asciiTheme="majorBidi" w:eastAsiaTheme="majorEastAsia" w:hAnsiTheme="majorBidi" w:cstheme="majorBidi"/>
        </w:rPr>
        <w:t>42</w:t>
      </w:r>
      <w:r w:rsidRPr="00ED7E61">
        <w:rPr>
          <w:rStyle w:val="normaltextrun"/>
          <w:rFonts w:asciiTheme="majorBidi" w:eastAsiaTheme="majorEastAsia" w:hAnsiTheme="majorBidi" w:cstheme="majorBidi"/>
        </w:rPr>
        <w:t xml:space="preserve"> </w:t>
      </w:r>
      <w:r w:rsidR="00A46B8B">
        <w:rPr>
          <w:rStyle w:val="normaltextrun"/>
          <w:rFonts w:asciiTheme="majorBidi" w:eastAsiaTheme="majorEastAsia" w:hAnsiTheme="majorBidi" w:cstheme="majorBidi"/>
        </w:rPr>
        <w:t>countries and territories</w:t>
      </w:r>
      <w:r w:rsidRPr="00ED7E61">
        <w:rPr>
          <w:rStyle w:val="normaltextrun"/>
          <w:rFonts w:asciiTheme="majorBidi" w:eastAsiaTheme="majorEastAsia" w:hAnsiTheme="majorBidi" w:cstheme="majorBidi"/>
        </w:rPr>
        <w:t xml:space="preserve">, which, together, accounted for </w:t>
      </w:r>
      <w:r w:rsidR="00A46B8B">
        <w:rPr>
          <w:rStyle w:val="normaltextrun"/>
          <w:rFonts w:asciiTheme="majorBidi" w:eastAsiaTheme="majorEastAsia" w:hAnsiTheme="majorBidi" w:cstheme="majorBidi"/>
        </w:rPr>
        <w:t>69</w:t>
      </w:r>
      <w:r w:rsidRPr="00ED7E61">
        <w:rPr>
          <w:rStyle w:val="normaltextrun"/>
          <w:rFonts w:asciiTheme="majorBidi" w:eastAsiaTheme="majorEastAsia" w:hAnsiTheme="majorBidi" w:cstheme="majorBidi"/>
        </w:rPr>
        <w:t xml:space="preserve">% of </w:t>
      </w:r>
      <w:r w:rsidR="00A46B8B">
        <w:rPr>
          <w:rStyle w:val="normaltextrun"/>
          <w:rFonts w:asciiTheme="majorBidi" w:eastAsiaTheme="majorEastAsia" w:hAnsiTheme="majorBidi" w:cstheme="majorBidi"/>
        </w:rPr>
        <w:t xml:space="preserve">global marine fisheries production </w:t>
      </w:r>
      <w:r w:rsidRPr="00ED7E61">
        <w:rPr>
          <w:rStyle w:val="normaltextrun"/>
          <w:rFonts w:asciiTheme="majorBidi" w:eastAsiaTheme="majorEastAsia" w:hAnsiTheme="majorBidi" w:cstheme="majorBidi"/>
        </w:rPr>
        <w:t>(by volume) over 20</w:t>
      </w:r>
      <w:r w:rsidR="001B5F69">
        <w:rPr>
          <w:rStyle w:val="normaltextrun"/>
          <w:rFonts w:asciiTheme="majorBidi" w:eastAsiaTheme="majorEastAsia" w:hAnsiTheme="majorBidi" w:cstheme="majorBidi"/>
        </w:rPr>
        <w:t>20</w:t>
      </w:r>
      <w:r w:rsidRPr="00ED7E61">
        <w:rPr>
          <w:rStyle w:val="normaltextrun"/>
          <w:rFonts w:asciiTheme="majorBidi" w:eastAsiaTheme="majorEastAsia" w:hAnsiTheme="majorBidi" w:cstheme="majorBidi"/>
        </w:rPr>
        <w:t>-2</w:t>
      </w:r>
      <w:r w:rsidR="001B5F69">
        <w:rPr>
          <w:rStyle w:val="normaltextrun"/>
          <w:rFonts w:asciiTheme="majorBidi" w:eastAsiaTheme="majorEastAsia" w:hAnsiTheme="majorBidi" w:cstheme="majorBidi"/>
        </w:rPr>
        <w:t>2</w:t>
      </w:r>
      <w:r w:rsidRPr="00ED7E61">
        <w:rPr>
          <w:rStyle w:val="normaltextrun"/>
          <w:rFonts w:asciiTheme="majorBidi" w:eastAsiaTheme="majorEastAsia" w:hAnsiTheme="majorBidi" w:cstheme="majorBidi"/>
        </w:rPr>
        <w:t xml:space="preserve">. The FSE database records information on direct support to individuals and companies in the fishing sector, such as fuel and vessel subsidies or income support, as well as public financing of fisheries services and infrastructure, such as monitoring, control and surveillance (MCS), port construction and operation, or payments for access to </w:t>
      </w:r>
      <w:r w:rsidR="003665F3">
        <w:rPr>
          <w:rStyle w:val="normaltextrun"/>
          <w:rFonts w:asciiTheme="majorBidi" w:eastAsiaTheme="majorEastAsia" w:hAnsiTheme="majorBidi" w:cstheme="majorBidi"/>
        </w:rPr>
        <w:t>other countries’</w:t>
      </w:r>
      <w:r w:rsidRPr="00ED7E61">
        <w:rPr>
          <w:rStyle w:val="normaltextrun"/>
          <w:rFonts w:asciiTheme="majorBidi" w:eastAsiaTheme="majorEastAsia" w:hAnsiTheme="majorBidi" w:cstheme="majorBidi"/>
        </w:rPr>
        <w:t xml:space="preserve"> waters. </w:t>
      </w:r>
      <w:r w:rsidR="003665F3">
        <w:rPr>
          <w:rStyle w:val="normaltextrun"/>
          <w:rFonts w:asciiTheme="majorBidi" w:eastAsiaTheme="majorEastAsia" w:hAnsiTheme="majorBidi" w:cstheme="majorBidi"/>
        </w:rPr>
        <w:t xml:space="preserve">For each type of support, the </w:t>
      </w:r>
      <w:r w:rsidRPr="00ED7E61">
        <w:rPr>
          <w:rStyle w:val="normaltextrun"/>
          <w:rFonts w:asciiTheme="majorBidi" w:eastAsiaTheme="majorEastAsia" w:hAnsiTheme="majorBidi" w:cstheme="majorBidi"/>
        </w:rPr>
        <w:t xml:space="preserve">OECD </w:t>
      </w:r>
      <w:r w:rsidR="003665F3">
        <w:rPr>
          <w:rStyle w:val="normaltextrun"/>
          <w:rFonts w:asciiTheme="majorBidi" w:eastAsiaTheme="majorEastAsia" w:hAnsiTheme="majorBidi" w:cstheme="majorBidi"/>
        </w:rPr>
        <w:t>attributed</w:t>
      </w:r>
      <w:r w:rsidR="003D571F">
        <w:rPr>
          <w:rStyle w:val="normaltextrun"/>
          <w:rFonts w:asciiTheme="majorBidi" w:eastAsiaTheme="majorEastAsia" w:hAnsiTheme="majorBidi" w:cstheme="majorBidi"/>
        </w:rPr>
        <w:t xml:space="preserve"> one of </w:t>
      </w:r>
      <w:r w:rsidRPr="00ED7E61">
        <w:rPr>
          <w:rStyle w:val="normaltextrun"/>
          <w:rFonts w:asciiTheme="majorBidi" w:eastAsiaTheme="majorEastAsia" w:hAnsiTheme="majorBidi" w:cstheme="majorBidi"/>
        </w:rPr>
        <w:t xml:space="preserve">four categories reflecting on the risk of encouraging unsustainable fishing posed by each </w:t>
      </w:r>
      <w:r w:rsidR="003D571F">
        <w:rPr>
          <w:rStyle w:val="normaltextrun"/>
          <w:rFonts w:asciiTheme="majorBidi" w:eastAsiaTheme="majorEastAsia" w:hAnsiTheme="majorBidi" w:cstheme="majorBidi"/>
        </w:rPr>
        <w:t xml:space="preserve">support </w:t>
      </w:r>
      <w:r w:rsidRPr="00ED7E61">
        <w:rPr>
          <w:rStyle w:val="normaltextrun"/>
          <w:rFonts w:asciiTheme="majorBidi" w:eastAsiaTheme="majorEastAsia" w:hAnsiTheme="majorBidi" w:cstheme="majorBidi"/>
        </w:rPr>
        <w:t xml:space="preserve">policy type in the absence of effective </w:t>
      </w:r>
      <w:r w:rsidR="003D571F">
        <w:rPr>
          <w:rStyle w:val="normaltextrun"/>
          <w:rFonts w:asciiTheme="majorBidi" w:eastAsiaTheme="majorEastAsia" w:hAnsiTheme="majorBidi" w:cstheme="majorBidi"/>
        </w:rPr>
        <w:t xml:space="preserve">fisheries </w:t>
      </w:r>
      <w:r w:rsidRPr="00ED7E61">
        <w:rPr>
          <w:rStyle w:val="normaltextrun"/>
          <w:rFonts w:asciiTheme="majorBidi" w:eastAsiaTheme="majorEastAsia" w:hAnsiTheme="majorBidi" w:cstheme="majorBidi"/>
        </w:rPr>
        <w:t xml:space="preserve">management The four categories –high risk, moderate risk, uncertain risk and no risk – were </w:t>
      </w:r>
      <w:r w:rsidRPr="00ED7E61">
        <w:rPr>
          <w:rStyle w:val="normaltextrun"/>
          <w:rFonts w:asciiTheme="majorBidi" w:eastAsiaTheme="majorEastAsia" w:hAnsiTheme="majorBidi" w:cstheme="majorBidi"/>
        </w:rPr>
        <w:lastRenderedPageBreak/>
        <w:t xml:space="preserve">defined and agreed by the OECD Fisheries Committee using over two decades of economic and policy research conducted by the OECD and others. The classification and the justification for the breakdown </w:t>
      </w:r>
      <w:r w:rsidR="000203B2">
        <w:rPr>
          <w:rStyle w:val="normaltextrun"/>
          <w:rFonts w:asciiTheme="majorBidi" w:eastAsiaTheme="majorEastAsia" w:hAnsiTheme="majorBidi" w:cstheme="majorBidi"/>
        </w:rPr>
        <w:t>we</w:t>
      </w:r>
      <w:r w:rsidR="000203B2" w:rsidRPr="00ED7E61">
        <w:rPr>
          <w:rStyle w:val="normaltextrun"/>
          <w:rFonts w:asciiTheme="majorBidi" w:eastAsiaTheme="majorEastAsia" w:hAnsiTheme="majorBidi" w:cstheme="majorBidi"/>
        </w:rPr>
        <w:t xml:space="preserve">re </w:t>
      </w:r>
      <w:r w:rsidRPr="00ED7E61">
        <w:rPr>
          <w:rStyle w:val="normaltextrun"/>
          <w:rFonts w:asciiTheme="majorBidi" w:eastAsiaTheme="majorEastAsia" w:hAnsiTheme="majorBidi" w:cstheme="majorBidi"/>
        </w:rPr>
        <w:t xml:space="preserve">discussed in the </w:t>
      </w:r>
      <w:hyperlink r:id="rId465" w:tgtFrame="_blank" w:history="1">
        <w:r w:rsidRPr="00ED7E61">
          <w:rPr>
            <w:rStyle w:val="normaltextrun"/>
            <w:rFonts w:asciiTheme="majorBidi" w:eastAsiaTheme="majorEastAsia" w:hAnsiTheme="majorBidi" w:cstheme="majorBidi"/>
            <w:color w:val="0000FF"/>
            <w:u w:val="single"/>
          </w:rPr>
          <w:t>OECD Review of Fisheries 2022</w:t>
        </w:r>
      </w:hyperlink>
      <w:r w:rsidR="00EA6CB3">
        <w:t xml:space="preserve"> </w:t>
      </w:r>
      <w:r w:rsidR="00EA6CB3" w:rsidRPr="00EA6CB3">
        <w:rPr>
          <w:lang w:val="en-CA"/>
        </w:rPr>
        <w:t xml:space="preserve">and most recently applied to analyse FSE data in the </w:t>
      </w:r>
      <w:hyperlink r:id="rId466" w:history="1">
        <w:r w:rsidR="00EA6CB3" w:rsidRPr="00EA6CB3">
          <w:rPr>
            <w:rStyle w:val="Hyperlink"/>
            <w:lang w:val="en-CA"/>
          </w:rPr>
          <w:t>OECD Review of Fisheries 2025</w:t>
        </w:r>
      </w:hyperlink>
      <w:r w:rsidRPr="00ED7E61">
        <w:rPr>
          <w:rStyle w:val="normaltextrun"/>
          <w:rFonts w:asciiTheme="majorBidi" w:eastAsiaTheme="majorEastAsia" w:hAnsiTheme="majorBidi" w:cstheme="majorBidi"/>
        </w:rPr>
        <w:t xml:space="preserve">. </w:t>
      </w:r>
    </w:p>
    <w:p w14:paraId="49E22E8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5c. Data collection method </w:t>
      </w:r>
      <w:r w:rsidRPr="00ED7E61">
        <w:rPr>
          <w:rStyle w:val="eop"/>
          <w:rFonts w:asciiTheme="majorBidi" w:eastAsiaTheme="majorEastAsia" w:hAnsiTheme="majorBidi" w:cstheme="majorBidi"/>
          <w:b/>
          <w:bCs/>
          <w:sz w:val="22"/>
          <w:szCs w:val="22"/>
        </w:rPr>
        <w:t> </w:t>
      </w:r>
    </w:p>
    <w:p w14:paraId="051F9F2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subsidies and other incentives harmful to biodiversity </w:t>
      </w:r>
      <w:r w:rsidRPr="00ED7E61">
        <w:rPr>
          <w:rStyle w:val="eop"/>
          <w:rFonts w:asciiTheme="majorBidi" w:eastAsiaTheme="majorEastAsia" w:hAnsiTheme="majorBidi" w:cstheme="majorBidi"/>
          <w:sz w:val="22"/>
          <w:szCs w:val="22"/>
        </w:rPr>
        <w:t> </w:t>
      </w:r>
    </w:p>
    <w:p w14:paraId="29285D4D" w14:textId="77777777" w:rsidR="00756F0F"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Depending</w:t>
      </w:r>
      <w:r w:rsidRPr="00ED7E61">
        <w:rPr>
          <w:rStyle w:val="normaltextrun"/>
          <w:rFonts w:asciiTheme="majorBidi" w:eastAsiaTheme="majorEastAsia" w:hAnsiTheme="majorBidi" w:cstheme="majorBidi"/>
          <w:color w:val="000000"/>
        </w:rPr>
        <w:t xml:space="preserve"> on the reporting option selected by the country/institution (i.e. global data base or national data) data may be collected through information already reported to the OECD and others including FAO, IDB, the IMF and IEA (depending on the sector).</w:t>
      </w:r>
      <w:r w:rsidRPr="00ED7E61">
        <w:rPr>
          <w:rStyle w:val="eop"/>
          <w:rFonts w:asciiTheme="majorBidi" w:eastAsiaTheme="majorEastAsia" w:hAnsiTheme="majorBidi" w:cstheme="majorBidi"/>
          <w:color w:val="000000"/>
        </w:rPr>
        <w:t> </w:t>
      </w:r>
    </w:p>
    <w:p w14:paraId="0C90222D"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ED7E61">
        <w:rPr>
          <w:rStyle w:val="eop"/>
          <w:rFonts w:asciiTheme="majorBidi" w:eastAsiaTheme="majorEastAsia" w:hAnsiTheme="majorBidi" w:cstheme="majorBidi"/>
          <w:sz w:val="22"/>
          <w:szCs w:val="22"/>
        </w:rPr>
        <w:t> </w:t>
      </w:r>
    </w:p>
    <w:p w14:paraId="48DEB0C5" w14:textId="1A4B95C1" w:rsidR="00DC0708"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The OECD PSE database collects data on government support to agriculture on an annual basis from national governments within the OECD, as well as from other complementary sources for non-OECD countries covered in the dataset. The data is verified and checked by the OECD Secretariat (Trade and Agriculture Directorate) before it is made publicly available online. </w:t>
      </w:r>
      <w:r w:rsidRPr="00ED7E61">
        <w:rPr>
          <w:rStyle w:val="eop"/>
          <w:rFonts w:asciiTheme="majorBidi" w:eastAsiaTheme="majorEastAsia" w:hAnsiTheme="majorBidi" w:cstheme="majorBidi"/>
        </w:rPr>
        <w:t> </w:t>
      </w:r>
    </w:p>
    <w:p w14:paraId="00F1E331" w14:textId="77777777" w:rsidR="00913543" w:rsidRPr="00812871" w:rsidRDefault="00913543" w:rsidP="00913543">
      <w:pPr>
        <w:pStyle w:val="CBDNormalNumber"/>
        <w:numPr>
          <w:ilvl w:val="0"/>
          <w:numId w:val="94"/>
        </w:numPr>
        <w:shd w:val="clear" w:color="auto" w:fill="FFFFFF"/>
        <w:ind w:left="567" w:firstLine="0"/>
        <w:rPr>
          <w:rStyle w:val="normaltextrun"/>
          <w:rFonts w:eastAsiaTheme="majorEastAsia"/>
        </w:rPr>
      </w:pPr>
      <w:r w:rsidRPr="00812871">
        <w:rPr>
          <w:rStyle w:val="normaltextrun"/>
          <w:rFonts w:asciiTheme="majorBidi" w:eastAsiaTheme="majorEastAsia" w:hAnsiTheme="majorBidi" w:cstheme="majorBidi"/>
        </w:rPr>
        <w:t>The World Trade Organisation’s (WTO) database on agricultural subsidies complies information from countries on their domestic support to agriculture as part of the WTO Agreement on Agriculture. Information is submitted annually and could be used in the calculation of the indicator.</w:t>
      </w:r>
    </w:p>
    <w:p w14:paraId="2435B265" w14:textId="444937FC" w:rsidR="00DC0708" w:rsidRPr="00566FBC" w:rsidRDefault="00756F0F" w:rsidP="00A73794">
      <w:pPr>
        <w:pStyle w:val="CBDNormalNumber"/>
        <w:numPr>
          <w:ilvl w:val="0"/>
          <w:numId w:val="94"/>
        </w:numPr>
        <w:shd w:val="clear" w:color="auto" w:fill="FFFFFF"/>
        <w:ind w:left="567" w:firstLine="0"/>
        <w:rPr>
          <w:rFonts w:asciiTheme="majorBidi" w:hAnsiTheme="majorBidi" w:cstheme="majorBidi"/>
        </w:rPr>
      </w:pPr>
      <w:r w:rsidRPr="00566FBC">
        <w:rPr>
          <w:rStyle w:val="normaltextrun"/>
          <w:rFonts w:asciiTheme="majorBidi" w:eastAsiaTheme="majorEastAsia" w:hAnsiTheme="majorBidi" w:cstheme="majorBidi"/>
        </w:rPr>
        <w:t>In relation to the reporting on the “</w:t>
      </w:r>
      <w:r w:rsidRPr="00566FBC">
        <w:rPr>
          <w:rStyle w:val="normaltextrun"/>
          <w:rFonts w:asciiTheme="majorBidi" w:eastAsiaTheme="majorEastAsia" w:hAnsiTheme="majorBidi" w:cstheme="majorBidi"/>
          <w:i/>
          <w:iCs/>
        </w:rPr>
        <w:t>Value of agricultural subsidies and other incentives potentially harmful to biodiversity</w:t>
      </w:r>
      <w:r w:rsidRPr="00566FBC">
        <w:rPr>
          <w:rStyle w:val="normaltextrun"/>
          <w:rFonts w:asciiTheme="majorBidi" w:eastAsiaTheme="majorEastAsia" w:hAnsiTheme="majorBidi" w:cstheme="majorBidi"/>
        </w:rPr>
        <w:t>”,</w:t>
      </w:r>
      <w:r w:rsidRPr="00566FBC">
        <w:rPr>
          <w:rStyle w:val="normaltextrun"/>
          <w:rFonts w:asciiTheme="majorBidi" w:eastAsiaTheme="majorEastAsia" w:hAnsiTheme="majorBidi" w:cstheme="majorBidi"/>
          <w:b/>
          <w:bCs/>
        </w:rPr>
        <w:t xml:space="preserve"> </w:t>
      </w:r>
      <w:r w:rsidRPr="00566FBC">
        <w:rPr>
          <w:rStyle w:val="normaltextrun"/>
          <w:rFonts w:asciiTheme="majorBidi" w:eastAsiaTheme="majorEastAsia" w:hAnsiTheme="majorBidi" w:cstheme="majorBidi"/>
        </w:rPr>
        <w:t>the OECD has found that agricultural support provided through</w:t>
      </w:r>
      <w:r w:rsidRPr="00566FBC">
        <w:rPr>
          <w:rStyle w:val="normaltextrun"/>
          <w:rFonts w:asciiTheme="majorBidi" w:eastAsiaTheme="majorEastAsia" w:hAnsiTheme="majorBidi" w:cstheme="majorBidi"/>
          <w:b/>
          <w:bCs/>
        </w:rPr>
        <w:t xml:space="preserve"> </w:t>
      </w:r>
      <w:r w:rsidRPr="00566FBC">
        <w:rPr>
          <w:rStyle w:val="normaltextrun"/>
          <w:rFonts w:asciiTheme="majorBidi" w:eastAsiaTheme="majorEastAsia" w:hAnsiTheme="majorBidi" w:cstheme="majorBidi"/>
        </w:rPr>
        <w:t xml:space="preserve">market price support, payments based on output, and the unconstrained use of variable inputs, are the potentially most harmful to environment, and thereby could affect biodiversity in particular countries (Henderson and </w:t>
      </w:r>
      <w:proofErr w:type="spellStart"/>
      <w:r w:rsidRPr="00566FBC">
        <w:rPr>
          <w:rStyle w:val="normaltextrun"/>
          <w:rFonts w:asciiTheme="majorBidi" w:eastAsiaTheme="majorEastAsia" w:hAnsiTheme="majorBidi" w:cstheme="majorBidi"/>
        </w:rPr>
        <w:t>Lankoski</w:t>
      </w:r>
      <w:proofErr w:type="spellEnd"/>
      <w:r w:rsidRPr="00566FBC">
        <w:rPr>
          <w:rStyle w:val="normaltextrun"/>
          <w:rFonts w:asciiTheme="majorBidi" w:eastAsiaTheme="majorEastAsia" w:hAnsiTheme="majorBidi" w:cstheme="majorBidi"/>
        </w:rPr>
        <w:t>, 2019; DeBoe, 2020a,b). </w:t>
      </w:r>
      <w:r w:rsidRPr="00566FBC">
        <w:rPr>
          <w:rStyle w:val="eop"/>
          <w:rFonts w:asciiTheme="majorBidi" w:eastAsiaTheme="majorEastAsia" w:hAnsiTheme="majorBidi" w:cstheme="majorBidi"/>
        </w:rPr>
        <w:t> </w:t>
      </w:r>
      <w:r w:rsidR="00A73794" w:rsidRPr="00566FBC">
        <w:rPr>
          <w:rFonts w:asciiTheme="majorBidi" w:eastAsiaTheme="majorEastAsia" w:hAnsiTheme="majorBidi" w:cstheme="majorBidi"/>
          <w:lang w:val="en-CA"/>
        </w:rPr>
        <w:t>The type of production or input being targeted by the support, as well as the possible presence of environmental conditions attached to the support instrument, are also relevant to consider. (</w:t>
      </w:r>
      <w:proofErr w:type="spellStart"/>
      <w:r w:rsidR="00A73794" w:rsidRPr="00566FBC">
        <w:rPr>
          <w:rFonts w:asciiTheme="majorBidi" w:eastAsiaTheme="majorEastAsia" w:hAnsiTheme="majorBidi" w:cstheme="majorBidi"/>
          <w:lang w:val="en-CA"/>
        </w:rPr>
        <w:t>Lankoski</w:t>
      </w:r>
      <w:proofErr w:type="spellEnd"/>
      <w:r w:rsidR="00A73794" w:rsidRPr="00566FBC">
        <w:rPr>
          <w:rFonts w:asciiTheme="majorBidi" w:eastAsiaTheme="majorEastAsia" w:hAnsiTheme="majorBidi" w:cstheme="majorBidi"/>
          <w:lang w:val="en-CA"/>
        </w:rPr>
        <w:t>, Nales and Valin, 2025).  </w:t>
      </w:r>
    </w:p>
    <w:p w14:paraId="7C6AD497"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fossil fuel subsidies (production and consumption)</w:t>
      </w:r>
      <w:r w:rsidRPr="00ED7E61">
        <w:rPr>
          <w:rStyle w:val="eop"/>
          <w:rFonts w:asciiTheme="majorBidi" w:eastAsiaTheme="majorEastAsia" w:hAnsiTheme="majorBidi" w:cstheme="majorBidi"/>
          <w:sz w:val="22"/>
          <w:szCs w:val="22"/>
        </w:rPr>
        <w:t> </w:t>
      </w:r>
    </w:p>
    <w:p w14:paraId="296AA668" w14:textId="245F3156" w:rsidR="00756F0F"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See https://unstats.un.org/sdgs/metadata/files/Metadata-12-0c-01.pdf and Fossil Fuel Subsidy Tracker (fossilfuelsubsidytracker.org))</w:t>
      </w:r>
      <w:r w:rsidR="00DC0708" w:rsidRPr="00ED7E61">
        <w:rPr>
          <w:rStyle w:val="normaltextrun"/>
          <w:rFonts w:asciiTheme="majorBidi" w:eastAsiaTheme="majorEastAsia" w:hAnsiTheme="majorBidi" w:cstheme="majorBidi"/>
        </w:rPr>
        <w:t xml:space="preserve"> </w:t>
      </w:r>
      <w:r w:rsidRPr="00ED7E61">
        <w:rPr>
          <w:rStyle w:val="normaltextrun"/>
          <w:rFonts w:asciiTheme="majorBidi" w:eastAsiaTheme="majorEastAsia" w:hAnsiTheme="majorBidi" w:cstheme="majorBidi"/>
        </w:rPr>
        <w:t>Data are already collected to report against SDG 12.c.   </w:t>
      </w:r>
      <w:r w:rsidRPr="00ED7E61">
        <w:rPr>
          <w:rStyle w:val="eop"/>
          <w:rFonts w:asciiTheme="majorBidi" w:eastAsiaTheme="majorEastAsia" w:hAnsiTheme="majorBidi" w:cstheme="majorBidi"/>
        </w:rPr>
        <w:t> </w:t>
      </w:r>
    </w:p>
    <w:p w14:paraId="7B7EBFDD"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w:t>
      </w:r>
      <w:r w:rsidRPr="00ED7E61">
        <w:rPr>
          <w:rStyle w:val="eop"/>
          <w:rFonts w:asciiTheme="majorBidi" w:eastAsiaTheme="majorEastAsia" w:hAnsiTheme="majorBidi" w:cstheme="majorBidi"/>
          <w:sz w:val="22"/>
          <w:szCs w:val="22"/>
        </w:rPr>
        <w:t> </w:t>
      </w:r>
    </w:p>
    <w:p w14:paraId="3B13BF98" w14:textId="0E8A9474" w:rsidR="000C0CC3" w:rsidRPr="00ED7E61" w:rsidRDefault="00756F0F" w:rsidP="00B10F0C">
      <w:pPr>
        <w:pStyle w:val="CBDNormalNumber"/>
        <w:numPr>
          <w:ilvl w:val="0"/>
          <w:numId w:val="94"/>
        </w:numPr>
        <w:shd w:val="clear" w:color="auto" w:fill="FFFFFF"/>
        <w:ind w:left="567" w:firstLine="0"/>
        <w:rPr>
          <w:rFonts w:asciiTheme="majorBidi" w:hAnsiTheme="majorBidi" w:cstheme="majorBidi"/>
        </w:rPr>
      </w:pPr>
      <w:r w:rsidRPr="00ED7E61">
        <w:rPr>
          <w:rStyle w:val="normaltextrun"/>
          <w:rFonts w:asciiTheme="majorBidi" w:eastAsiaTheme="majorEastAsia" w:hAnsiTheme="majorBidi" w:cstheme="majorBidi"/>
        </w:rPr>
        <w:t>OECD already collects data from countries and categorises the support by its risk of encouraging unsustainable fishing.</w:t>
      </w:r>
      <w:r w:rsidRPr="00ED7E61">
        <w:rPr>
          <w:rStyle w:val="eop"/>
          <w:rFonts w:asciiTheme="majorBidi" w:eastAsiaTheme="majorEastAsia" w:hAnsiTheme="majorBidi" w:cstheme="majorBidi"/>
        </w:rPr>
        <w:t> </w:t>
      </w:r>
    </w:p>
    <w:p w14:paraId="5F373A6F" w14:textId="77777777" w:rsidR="00756F0F" w:rsidRPr="00812871" w:rsidRDefault="00756F0F" w:rsidP="00B10F0C">
      <w:pPr>
        <w:pStyle w:val="CBDNormalNumber"/>
        <w:numPr>
          <w:ilvl w:val="0"/>
          <w:numId w:val="94"/>
        </w:numPr>
        <w:shd w:val="clear" w:color="auto" w:fill="FFFFFF"/>
        <w:ind w:left="567" w:firstLine="0"/>
        <w:rPr>
          <w:rStyle w:val="eop"/>
          <w:rFonts w:asciiTheme="majorBidi" w:hAnsiTheme="majorBidi" w:cstheme="majorBidi"/>
        </w:rPr>
      </w:pPr>
      <w:r w:rsidRPr="00ED7E61">
        <w:rPr>
          <w:rStyle w:val="normaltextrun"/>
          <w:rFonts w:asciiTheme="majorBidi" w:eastAsiaTheme="majorEastAsia" w:hAnsiTheme="majorBidi" w:cstheme="majorBidi"/>
        </w:rPr>
        <w:t>The data are based on information submitted by national authorities, complemented by publicly available information when there is no direct co-operation between national authorities and the OECD Committee for Fisheries.</w:t>
      </w:r>
      <w:r w:rsidRPr="00ED7E61">
        <w:rPr>
          <w:rStyle w:val="eop"/>
          <w:rFonts w:asciiTheme="majorBidi" w:eastAsiaTheme="majorEastAsia" w:hAnsiTheme="majorBidi" w:cstheme="majorBidi"/>
        </w:rPr>
        <w:t> </w:t>
      </w:r>
    </w:p>
    <w:p w14:paraId="1EF1EBED" w14:textId="77777777" w:rsidR="002F58B7" w:rsidRDefault="002F58B7" w:rsidP="00812871">
      <w:pPr>
        <w:pStyle w:val="CBDNormalNumber"/>
        <w:numPr>
          <w:ilvl w:val="0"/>
          <w:numId w:val="94"/>
        </w:numPr>
        <w:shd w:val="clear" w:color="auto" w:fill="FFFFFF"/>
        <w:tabs>
          <w:tab w:val="clear" w:pos="1701"/>
        </w:tabs>
        <w:ind w:left="567" w:firstLine="0"/>
        <w:rPr>
          <w:rFonts w:asciiTheme="majorBidi" w:hAnsiTheme="majorBidi" w:cstheme="majorBidi"/>
        </w:rPr>
      </w:pPr>
      <w:r>
        <w:rPr>
          <w:rStyle w:val="normaltextrun"/>
        </w:rPr>
        <w:t xml:space="preserve">Details on how support to fisheries data are collected by the OECD, and how the data is processed and published can be found in the </w:t>
      </w:r>
      <w:hyperlink r:id="rId467" w:tgtFrame="_blank" w:history="1">
        <w:r>
          <w:rPr>
            <w:rStyle w:val="normaltextrun"/>
            <w:color w:val="467886"/>
            <w:u w:val="single"/>
          </w:rPr>
          <w:t>OECD Fisheries Support Estimate (FSE) Manual</w:t>
        </w:r>
      </w:hyperlink>
      <w:r>
        <w:rPr>
          <w:rStyle w:val="normaltextrun"/>
        </w:rPr>
        <w:t>.</w:t>
      </w:r>
    </w:p>
    <w:p w14:paraId="41C439DE" w14:textId="77777777" w:rsidR="002F58B7" w:rsidRPr="00ED7E61" w:rsidRDefault="002F58B7" w:rsidP="00812871">
      <w:pPr>
        <w:pStyle w:val="CBDNormalNumber"/>
        <w:shd w:val="clear" w:color="auto" w:fill="FFFFFF"/>
        <w:ind w:left="567"/>
        <w:rPr>
          <w:rFonts w:asciiTheme="majorBidi" w:hAnsiTheme="majorBidi" w:cstheme="majorBidi"/>
        </w:rPr>
      </w:pPr>
    </w:p>
    <w:p w14:paraId="64C98DC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b/>
          <w:bCs/>
          <w:sz w:val="22"/>
          <w:szCs w:val="22"/>
        </w:rPr>
        <w:t> </w:t>
      </w:r>
    </w:p>
    <w:p w14:paraId="02001C67" w14:textId="1734F7B4"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566FBC">
        <w:rPr>
          <w:rStyle w:val="normaltextrun"/>
          <w:rFonts w:asciiTheme="majorBidi" w:eastAsiaTheme="majorEastAsia" w:hAnsiTheme="majorBidi" w:cstheme="majorBidi"/>
        </w:rPr>
        <w:t>The</w:t>
      </w:r>
      <w:r w:rsidRPr="00812871">
        <w:rPr>
          <w:rStyle w:val="normaltextrun"/>
          <w:rFonts w:asciiTheme="majorBidi" w:eastAsiaTheme="majorEastAsia" w:hAnsiTheme="majorBidi" w:cstheme="majorBidi"/>
          <w:sz w:val="22"/>
          <w:szCs w:val="22"/>
          <w:lang w:val="en-GB"/>
        </w:rPr>
        <w:t xml:space="preserve"> three databases are available publicly</w:t>
      </w:r>
      <w:r w:rsidR="00E75B13" w:rsidRPr="00812871">
        <w:rPr>
          <w:rStyle w:val="normaltextrun"/>
          <w:rFonts w:asciiTheme="majorBidi" w:eastAsiaTheme="majorEastAsia" w:hAnsiTheme="majorBidi" w:cstheme="majorBidi"/>
          <w:sz w:val="22"/>
          <w:szCs w:val="22"/>
          <w:lang w:val="en-GB"/>
        </w:rPr>
        <w:t>. There are also references</w:t>
      </w:r>
      <w:r w:rsidR="00B75841" w:rsidRPr="00812871">
        <w:rPr>
          <w:rStyle w:val="normaltextrun"/>
          <w:rFonts w:asciiTheme="majorBidi" w:eastAsiaTheme="majorEastAsia" w:hAnsiTheme="majorBidi" w:cstheme="majorBidi"/>
          <w:sz w:val="22"/>
          <w:szCs w:val="22"/>
          <w:lang w:val="en-GB"/>
        </w:rPr>
        <w:t xml:space="preserve"> and guidance materials to support Parties in reporting, including</w:t>
      </w:r>
      <w:r w:rsidR="001D469A" w:rsidRPr="00812871">
        <w:rPr>
          <w:rStyle w:val="normaltextrun"/>
          <w:rFonts w:asciiTheme="majorBidi" w:eastAsiaTheme="majorEastAsia" w:hAnsiTheme="majorBidi" w:cstheme="majorBidi"/>
          <w:sz w:val="22"/>
          <w:szCs w:val="22"/>
          <w:lang w:val="en-GB"/>
        </w:rPr>
        <w:t xml:space="preserve"> a comparative review of existing national-level assessments and insights for good practice (</w:t>
      </w:r>
      <w:r w:rsidR="001D469A" w:rsidRPr="00566FBC">
        <w:rPr>
          <w:rStyle w:val="normaltextrun"/>
          <w:rFonts w:asciiTheme="majorBidi" w:eastAsiaTheme="majorEastAsia" w:hAnsiTheme="majorBidi" w:cstheme="majorBidi"/>
        </w:rPr>
        <w:t xml:space="preserve">Matthews, A. and K. </w:t>
      </w:r>
      <w:proofErr w:type="spellStart"/>
      <w:r w:rsidR="001D469A" w:rsidRPr="00566FBC">
        <w:rPr>
          <w:rStyle w:val="normaltextrun"/>
          <w:rFonts w:asciiTheme="majorBidi" w:eastAsiaTheme="majorEastAsia" w:hAnsiTheme="majorBidi" w:cstheme="majorBidi"/>
        </w:rPr>
        <w:t>Karousakis</w:t>
      </w:r>
      <w:proofErr w:type="spellEnd"/>
      <w:r w:rsidR="001D469A" w:rsidRPr="00812871">
        <w:rPr>
          <w:rStyle w:val="normaltextrun"/>
          <w:rFonts w:asciiTheme="majorBidi" w:eastAsiaTheme="majorEastAsia" w:hAnsiTheme="majorBidi" w:cstheme="majorBidi"/>
          <w:sz w:val="22"/>
          <w:szCs w:val="22"/>
          <w:lang w:val="en-GB"/>
        </w:rPr>
        <w:t xml:space="preserve"> (2022))</w:t>
      </w:r>
      <w:r w:rsidR="00CA569F" w:rsidRPr="00812871">
        <w:rPr>
          <w:rStyle w:val="normaltextrun"/>
          <w:rFonts w:asciiTheme="majorBidi" w:eastAsiaTheme="majorEastAsia" w:hAnsiTheme="majorBidi" w:cstheme="majorBidi"/>
          <w:sz w:val="22"/>
          <w:szCs w:val="22"/>
          <w:lang w:val="en-GB"/>
        </w:rPr>
        <w:t xml:space="preserve"> and a fiancé for nature workbook (UNDP 2024)</w:t>
      </w:r>
      <w:r w:rsidR="00A75C66" w:rsidRPr="00812871">
        <w:rPr>
          <w:rStyle w:val="normaltextrun"/>
          <w:rFonts w:asciiTheme="majorBidi" w:eastAsiaTheme="majorEastAsia" w:hAnsiTheme="majorBidi" w:cstheme="majorBidi"/>
          <w:sz w:val="22"/>
          <w:szCs w:val="22"/>
          <w:lang w:val="en-GB"/>
        </w:rPr>
        <w:t>. These and other reference materials are included in reference section of the metadata.</w:t>
      </w: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b/>
          <w:bCs/>
          <w:sz w:val="22"/>
          <w:szCs w:val="22"/>
        </w:rPr>
        <w:t> </w:t>
      </w:r>
    </w:p>
    <w:p w14:paraId="594E4168" w14:textId="77777777" w:rsidR="00756F0F" w:rsidRPr="002C377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agricultural subsidies and other incentives potentially harmful to biodiversity</w:t>
      </w:r>
      <w:r w:rsidRPr="00ED7E61">
        <w:rPr>
          <w:rStyle w:val="normaltextrun"/>
        </w:rPr>
        <w:t> </w:t>
      </w:r>
    </w:p>
    <w:p w14:paraId="4A77CAB4" w14:textId="1E45A0D6" w:rsidR="002C3771" w:rsidRPr="0011433C" w:rsidRDefault="002C3771" w:rsidP="0011433C">
      <w:pPr>
        <w:pStyle w:val="CBDNormalNumber"/>
        <w:tabs>
          <w:tab w:val="clear" w:pos="567"/>
          <w:tab w:val="clear" w:pos="1134"/>
          <w:tab w:val="clear" w:pos="1701"/>
          <w:tab w:val="clear" w:pos="2268"/>
          <w:tab w:val="left" w:pos="1985"/>
        </w:tabs>
        <w:ind w:left="567" w:firstLine="567"/>
        <w:rPr>
          <w:rStyle w:val="normaltextrun"/>
          <w:rFonts w:asciiTheme="majorBidi" w:hAnsiTheme="majorBidi" w:cstheme="majorBidi"/>
        </w:rPr>
      </w:pPr>
      <w:r w:rsidRPr="00ED7E61">
        <w:rPr>
          <w:rStyle w:val="normaltextrun"/>
          <w:rFonts w:asciiTheme="majorBidi" w:eastAsiaTheme="majorEastAsia" w:hAnsiTheme="majorBidi" w:cstheme="majorBidi"/>
          <w:color w:val="467886"/>
          <w:u w:val="single"/>
        </w:rPr>
        <w:lastRenderedPageBreak/>
        <w:t>Agricultural support http://stats.oecd.org/Index.aspx?QueryId=114544</w:t>
      </w:r>
      <w:r w:rsidRPr="00ED7E61">
        <w:rPr>
          <w:rStyle w:val="eop"/>
          <w:rFonts w:asciiTheme="majorBidi" w:eastAsiaTheme="majorEastAsia" w:hAnsiTheme="majorBidi" w:cstheme="majorBidi"/>
          <w:color w:val="467886"/>
        </w:rPr>
        <w:t> </w:t>
      </w:r>
    </w:p>
    <w:p w14:paraId="10E8325D" w14:textId="77777777" w:rsidR="00756F0F" w:rsidRDefault="00756F0F" w:rsidP="00B10F0C">
      <w:pPr>
        <w:pStyle w:val="CBDNormalNumber"/>
        <w:numPr>
          <w:ilvl w:val="0"/>
          <w:numId w:val="94"/>
        </w:numPr>
        <w:shd w:val="clear" w:color="auto" w:fill="FFFFFF"/>
        <w:ind w:left="567"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Value of fossil fuel subsidies (production and consumption)</w:t>
      </w:r>
      <w:r w:rsidRPr="002C3771">
        <w:rPr>
          <w:rStyle w:val="normaltextrun"/>
          <w:rFonts w:asciiTheme="majorBidi" w:eastAsiaTheme="majorEastAsia" w:hAnsiTheme="majorBidi" w:cstheme="majorBidi"/>
        </w:rPr>
        <w:t> </w:t>
      </w:r>
    </w:p>
    <w:p w14:paraId="2C28D726" w14:textId="77777777" w:rsidR="002C3771" w:rsidRPr="00ED7E61" w:rsidRDefault="002C3771" w:rsidP="0011433C">
      <w:pPr>
        <w:pStyle w:val="CBDNormalNumber"/>
        <w:tabs>
          <w:tab w:val="clear" w:pos="567"/>
          <w:tab w:val="clear" w:pos="1134"/>
          <w:tab w:val="clear" w:pos="1701"/>
          <w:tab w:val="clear" w:pos="2268"/>
          <w:tab w:val="left" w:pos="1985"/>
        </w:tabs>
        <w:ind w:left="567" w:firstLine="567"/>
        <w:rPr>
          <w:rFonts w:asciiTheme="majorBidi" w:hAnsiTheme="majorBidi" w:cstheme="majorBidi"/>
        </w:rPr>
      </w:pPr>
      <w:hyperlink r:id="rId468" w:tgtFrame="_blank" w:history="1">
        <w:r w:rsidRPr="00ED7E61">
          <w:rPr>
            <w:rStyle w:val="normaltextrun"/>
            <w:rFonts w:asciiTheme="majorBidi" w:eastAsiaTheme="majorEastAsia" w:hAnsiTheme="majorBidi" w:cstheme="majorBidi"/>
            <w:color w:val="467886"/>
            <w:u w:val="single"/>
          </w:rPr>
          <w:t>https://wedocs.unep.org/bitstream/handle/20.500.11822/28111/FossilFuel.pdf?sequence=1&amp;isAllowed=y</w:t>
        </w:r>
      </w:hyperlink>
      <w:r w:rsidRPr="00ED7E61">
        <w:rPr>
          <w:rStyle w:val="normaltextrun"/>
          <w:rFonts w:asciiTheme="majorBidi" w:eastAsiaTheme="majorEastAsia" w:hAnsiTheme="majorBidi" w:cstheme="majorBidi"/>
          <w:color w:val="000000"/>
        </w:rPr>
        <w:t> </w:t>
      </w:r>
      <w:r w:rsidRPr="00ED7E61">
        <w:rPr>
          <w:rStyle w:val="eop"/>
          <w:rFonts w:asciiTheme="majorBidi" w:eastAsiaTheme="majorEastAsia" w:hAnsiTheme="majorBidi" w:cstheme="majorBidi"/>
          <w:color w:val="000000"/>
        </w:rPr>
        <w:t> </w:t>
      </w:r>
    </w:p>
    <w:p w14:paraId="677A68AB" w14:textId="77777777" w:rsidR="00756F0F" w:rsidRDefault="00756F0F" w:rsidP="00B10F0C">
      <w:pPr>
        <w:pStyle w:val="CBDNormalNumber"/>
        <w:numPr>
          <w:ilvl w:val="0"/>
          <w:numId w:val="94"/>
        </w:numPr>
        <w:shd w:val="clear" w:color="auto" w:fill="FFFFFF"/>
        <w:ind w:left="567" w:firstLine="0"/>
        <w:rPr>
          <w:rStyle w:val="normaltextrun"/>
          <w:rFonts w:asciiTheme="majorBidi" w:eastAsiaTheme="majorEastAsia" w:hAnsiTheme="majorBidi" w:cstheme="majorBidi"/>
        </w:rPr>
      </w:pPr>
      <w:r w:rsidRPr="00ED7E61">
        <w:rPr>
          <w:rStyle w:val="normaltextrun"/>
          <w:rFonts w:asciiTheme="majorBidi" w:eastAsiaTheme="majorEastAsia" w:hAnsiTheme="majorBidi" w:cstheme="majorBidi"/>
        </w:rPr>
        <w:t>Value of subsidies to capture fisheries with a risk (moderate or high) of encouraging unsustainable fishing</w:t>
      </w:r>
      <w:r w:rsidRPr="002C3771">
        <w:rPr>
          <w:rStyle w:val="normaltextrun"/>
          <w:rFonts w:asciiTheme="majorBidi" w:eastAsiaTheme="majorEastAsia" w:hAnsiTheme="majorBidi" w:cstheme="majorBidi"/>
        </w:rPr>
        <w:t> </w:t>
      </w:r>
    </w:p>
    <w:p w14:paraId="073F0314" w14:textId="72A7E42F" w:rsidR="002C3771" w:rsidRPr="00ED7E61" w:rsidRDefault="002C3771" w:rsidP="00B10F0C">
      <w:pPr>
        <w:pStyle w:val="CBDNormalNumber"/>
        <w:numPr>
          <w:ilvl w:val="1"/>
          <w:numId w:val="94"/>
        </w:numPr>
        <w:tabs>
          <w:tab w:val="clear" w:pos="567"/>
          <w:tab w:val="clear" w:pos="1134"/>
          <w:tab w:val="clear" w:pos="1701"/>
          <w:tab w:val="clear" w:pos="2268"/>
          <w:tab w:val="left" w:pos="1985"/>
        </w:tabs>
        <w:ind w:left="1134"/>
        <w:rPr>
          <w:rFonts w:asciiTheme="majorBidi" w:hAnsiTheme="majorBidi" w:cstheme="majorBidi"/>
        </w:rPr>
      </w:pPr>
      <w:r w:rsidRPr="00ED7E61">
        <w:rPr>
          <w:rStyle w:val="normaltextrun"/>
          <w:rFonts w:asciiTheme="majorBidi" w:eastAsiaTheme="majorEastAsia" w:hAnsiTheme="majorBidi" w:cstheme="majorBidi"/>
          <w:lang w:val="en-US"/>
        </w:rPr>
        <w:t xml:space="preserve">Data will be available on the </w:t>
      </w:r>
      <w:hyperlink r:id="rId469" w:tgtFrame="_blank" w:history="1">
        <w:r w:rsidRPr="00ED7E61">
          <w:rPr>
            <w:rStyle w:val="normaltextrun"/>
            <w:rFonts w:asciiTheme="majorBidi" w:eastAsiaTheme="majorEastAsia" w:hAnsiTheme="majorBidi" w:cstheme="majorBidi"/>
            <w:color w:val="0000FF"/>
            <w:lang w:val="en-US"/>
          </w:rPr>
          <w:t>OECD Data Explorer</w:t>
        </w:r>
      </w:hyperlink>
      <w:r w:rsidRPr="00ED7E61">
        <w:rPr>
          <w:rStyle w:val="normaltextrun"/>
          <w:rFonts w:asciiTheme="majorBidi" w:eastAsiaTheme="majorEastAsia" w:hAnsiTheme="majorBidi" w:cstheme="majorBidi"/>
          <w:lang w:val="en-US"/>
        </w:rPr>
        <w:t xml:space="preserve"> as of </w:t>
      </w:r>
      <w:r w:rsidR="002F58B7">
        <w:rPr>
          <w:rStyle w:val="normaltextrun"/>
          <w:rFonts w:asciiTheme="majorBidi" w:eastAsiaTheme="majorEastAsia" w:hAnsiTheme="majorBidi" w:cstheme="majorBidi"/>
          <w:lang w:val="en-US"/>
        </w:rPr>
        <w:t>Q1</w:t>
      </w:r>
      <w:r w:rsidR="002F58B7" w:rsidRPr="00ED7E61">
        <w:rPr>
          <w:rStyle w:val="normaltextrun"/>
          <w:rFonts w:asciiTheme="majorBidi" w:eastAsiaTheme="majorEastAsia" w:hAnsiTheme="majorBidi" w:cstheme="majorBidi"/>
          <w:lang w:val="en-US"/>
        </w:rPr>
        <w:t xml:space="preserve"> </w:t>
      </w:r>
      <w:r w:rsidRPr="00ED7E61">
        <w:rPr>
          <w:rStyle w:val="normaltextrun"/>
          <w:rFonts w:asciiTheme="majorBidi" w:eastAsiaTheme="majorEastAsia" w:hAnsiTheme="majorBidi" w:cstheme="majorBidi"/>
          <w:lang w:val="en-US"/>
        </w:rPr>
        <w:t>202</w:t>
      </w:r>
      <w:r w:rsidR="00286166">
        <w:rPr>
          <w:rStyle w:val="normaltextrun"/>
          <w:rFonts w:asciiTheme="majorBidi" w:eastAsiaTheme="majorEastAsia" w:hAnsiTheme="majorBidi" w:cstheme="majorBidi"/>
          <w:lang w:val="en-US"/>
        </w:rPr>
        <w:t>6</w:t>
      </w:r>
      <w:r w:rsidRPr="00ED7E61">
        <w:rPr>
          <w:rStyle w:val="normaltextrun"/>
          <w:rFonts w:asciiTheme="majorBidi" w:eastAsiaTheme="majorEastAsia" w:hAnsiTheme="majorBidi" w:cstheme="majorBidi"/>
          <w:lang w:val="en-US"/>
        </w:rPr>
        <w:t>. Data can be obtained from the OECD in the meantime (</w:t>
      </w:r>
      <w:hyperlink r:id="rId470" w:tgtFrame="_blank" w:history="1">
        <w:r w:rsidRPr="00ED7E61">
          <w:rPr>
            <w:rStyle w:val="normaltextrun"/>
            <w:rFonts w:asciiTheme="majorBidi" w:eastAsiaTheme="majorEastAsia" w:hAnsiTheme="majorBidi" w:cstheme="majorBidi"/>
            <w:color w:val="0000FF"/>
            <w:lang w:val="en-US"/>
          </w:rPr>
          <w:t>fish.contact@oecd.org</w:t>
        </w:r>
      </w:hyperlink>
      <w:r w:rsidRPr="00ED7E61">
        <w:rPr>
          <w:rStyle w:val="normaltextrun"/>
          <w:rFonts w:asciiTheme="majorBidi" w:eastAsiaTheme="majorEastAsia" w:hAnsiTheme="majorBidi" w:cstheme="majorBidi"/>
          <w:lang w:val="en-US"/>
        </w:rPr>
        <w:t>) </w:t>
      </w:r>
      <w:r w:rsidRPr="00ED7E61">
        <w:rPr>
          <w:rStyle w:val="eop"/>
          <w:rFonts w:asciiTheme="majorBidi" w:eastAsiaTheme="majorEastAsia" w:hAnsiTheme="majorBidi" w:cstheme="majorBidi"/>
        </w:rPr>
        <w:t> </w:t>
      </w:r>
    </w:p>
    <w:p w14:paraId="65D6F71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b/>
          <w:bCs/>
          <w:sz w:val="22"/>
          <w:szCs w:val="22"/>
        </w:rPr>
        <w:t> </w:t>
      </w:r>
    </w:p>
    <w:p w14:paraId="02D1F750" w14:textId="279FBF9F" w:rsidR="00756F0F" w:rsidRPr="00ED7E6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agricultural subsidies and other incentives potentially harmful to biodiversity</w:t>
      </w:r>
      <w:r w:rsidR="00652167">
        <w:rPr>
          <w:rStyle w:val="normaltextrun"/>
          <w:rFonts w:asciiTheme="majorBidi" w:eastAsiaTheme="majorEastAsia" w:hAnsiTheme="majorBidi" w:cstheme="majorBidi"/>
        </w:rPr>
        <w:t>:</w:t>
      </w:r>
      <w:r w:rsidRPr="00ED7E61">
        <w:rPr>
          <w:rStyle w:val="normaltextrun"/>
        </w:rPr>
        <w:t> </w:t>
      </w:r>
    </w:p>
    <w:p w14:paraId="193DCA2C" w14:textId="77777777" w:rsidR="002C3771" w:rsidRPr="00ED7E61" w:rsidRDefault="002C3771" w:rsidP="00B10F0C">
      <w:pPr>
        <w:pStyle w:val="CBDNormalNumber"/>
        <w:numPr>
          <w:ilvl w:val="1"/>
          <w:numId w:val="94"/>
        </w:numPr>
        <w:tabs>
          <w:tab w:val="clear" w:pos="567"/>
          <w:tab w:val="clear" w:pos="1134"/>
          <w:tab w:val="clear" w:pos="1701"/>
          <w:tab w:val="clear" w:pos="2268"/>
          <w:tab w:val="left" w:pos="1985"/>
        </w:tabs>
        <w:ind w:left="1134"/>
        <w:rPr>
          <w:rFonts w:asciiTheme="majorBidi" w:hAnsiTheme="majorBidi" w:cstheme="majorBidi"/>
        </w:rPr>
      </w:pPr>
      <w:r w:rsidRPr="00ED7E61">
        <w:rPr>
          <w:rStyle w:val="normaltextrun"/>
          <w:rFonts w:asciiTheme="majorBidi" w:eastAsiaTheme="majorEastAsia" w:hAnsiTheme="majorBidi" w:cstheme="majorBidi"/>
          <w:lang w:val="en-US"/>
        </w:rPr>
        <w:t>The</w:t>
      </w:r>
      <w:r w:rsidRPr="00ED7E61">
        <w:rPr>
          <w:rStyle w:val="normaltextrun"/>
          <w:rFonts w:asciiTheme="majorBidi" w:eastAsiaTheme="majorEastAsia" w:hAnsiTheme="majorBidi" w:cstheme="majorBidi"/>
        </w:rPr>
        <w:t xml:space="preserve"> data on government support </w:t>
      </w:r>
      <w:proofErr w:type="gramStart"/>
      <w:r w:rsidRPr="00ED7E61">
        <w:rPr>
          <w:rStyle w:val="normaltextrun"/>
          <w:rFonts w:asciiTheme="majorBidi" w:eastAsiaTheme="majorEastAsia" w:hAnsiTheme="majorBidi" w:cstheme="majorBidi"/>
        </w:rPr>
        <w:t>to</w:t>
      </w:r>
      <w:proofErr w:type="gramEnd"/>
      <w:r w:rsidRPr="00ED7E61">
        <w:rPr>
          <w:rStyle w:val="normaltextrun"/>
          <w:rFonts w:asciiTheme="majorBidi" w:eastAsiaTheme="majorEastAsia" w:hAnsiTheme="majorBidi" w:cstheme="majorBidi"/>
        </w:rPr>
        <w:t xml:space="preserve"> agriculture is collected and published annually</w:t>
      </w:r>
      <w:r w:rsidRPr="00ED7E61">
        <w:rPr>
          <w:rStyle w:val="eop"/>
          <w:rFonts w:asciiTheme="majorBidi" w:eastAsiaTheme="majorEastAsia" w:hAnsiTheme="majorBidi" w:cstheme="majorBidi"/>
        </w:rPr>
        <w:t> </w:t>
      </w:r>
    </w:p>
    <w:p w14:paraId="220A6C51" w14:textId="70855E84" w:rsidR="00756F0F" w:rsidRPr="002C377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fossil fuel subsidies (production and consumption)</w:t>
      </w:r>
      <w:r w:rsidR="00652167">
        <w:rPr>
          <w:rStyle w:val="normaltextrun"/>
          <w:rFonts w:asciiTheme="majorBidi" w:eastAsiaTheme="majorEastAsia" w:hAnsiTheme="majorBidi" w:cstheme="majorBidi"/>
        </w:rPr>
        <w:t>:</w:t>
      </w:r>
      <w:r w:rsidRPr="00ED7E61">
        <w:rPr>
          <w:rStyle w:val="normaltextrun"/>
        </w:rPr>
        <w:t> </w:t>
      </w:r>
    </w:p>
    <w:p w14:paraId="4F2FA635" w14:textId="77777777" w:rsidR="002C3771" w:rsidRPr="00ED7E61" w:rsidRDefault="002C3771" w:rsidP="00B10F0C">
      <w:pPr>
        <w:pStyle w:val="CBDNormalNumber"/>
        <w:numPr>
          <w:ilvl w:val="1"/>
          <w:numId w:val="94"/>
        </w:numPr>
        <w:tabs>
          <w:tab w:val="clear" w:pos="567"/>
          <w:tab w:val="clear" w:pos="1134"/>
          <w:tab w:val="clear" w:pos="1701"/>
          <w:tab w:val="clear" w:pos="2268"/>
          <w:tab w:val="left" w:pos="1985"/>
        </w:tabs>
        <w:ind w:left="1134"/>
        <w:rPr>
          <w:rFonts w:asciiTheme="majorBidi" w:hAnsiTheme="majorBidi" w:cstheme="majorBidi"/>
        </w:rPr>
      </w:pPr>
      <w:r w:rsidRPr="00ED7E61">
        <w:rPr>
          <w:rStyle w:val="normaltextrun"/>
          <w:rFonts w:asciiTheme="majorBidi" w:eastAsiaTheme="majorEastAsia" w:hAnsiTheme="majorBidi" w:cstheme="majorBidi"/>
          <w:lang w:val="en-US"/>
        </w:rPr>
        <w:t>The</w:t>
      </w:r>
      <w:r w:rsidRPr="00ED7E61">
        <w:rPr>
          <w:rStyle w:val="normaltextrun"/>
          <w:rFonts w:asciiTheme="majorBidi" w:eastAsiaTheme="majorEastAsia" w:hAnsiTheme="majorBidi" w:cstheme="majorBidi"/>
        </w:rPr>
        <w:t xml:space="preserve"> data is collected and published annually - see the Fossil Fuel Subsidy Tracker and the SDG 12 c metadata sheet for further information</w:t>
      </w:r>
      <w:r w:rsidRPr="00ED7E61">
        <w:rPr>
          <w:rStyle w:val="eop"/>
          <w:rFonts w:asciiTheme="majorBidi" w:eastAsiaTheme="majorEastAsia" w:hAnsiTheme="majorBidi" w:cstheme="majorBidi"/>
        </w:rPr>
        <w:t> </w:t>
      </w:r>
    </w:p>
    <w:p w14:paraId="24316A97" w14:textId="3BF174C4" w:rsidR="00756F0F" w:rsidRPr="002C377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subsidies to capture fisheries with a risk (moderate or high) of encouraging unsustainable fishing</w:t>
      </w:r>
      <w:r w:rsidR="00652167">
        <w:rPr>
          <w:rStyle w:val="normaltextrun"/>
          <w:rFonts w:asciiTheme="majorBidi" w:eastAsiaTheme="majorEastAsia" w:hAnsiTheme="majorBidi" w:cstheme="majorBidi"/>
        </w:rPr>
        <w:t>:</w:t>
      </w:r>
      <w:r w:rsidRPr="00ED7E61">
        <w:rPr>
          <w:rStyle w:val="normaltextrun"/>
        </w:rPr>
        <w:t> </w:t>
      </w:r>
    </w:p>
    <w:p w14:paraId="73BA0BCE" w14:textId="014CAB5A" w:rsidR="002C3771" w:rsidRPr="00812871" w:rsidRDefault="002C3771" w:rsidP="00812871">
      <w:pPr>
        <w:pStyle w:val="CBDNormalNumber"/>
        <w:numPr>
          <w:ilvl w:val="1"/>
          <w:numId w:val="94"/>
        </w:numPr>
        <w:ind w:left="1134"/>
        <w:rPr>
          <w:rFonts w:asciiTheme="majorBidi" w:eastAsiaTheme="majorEastAsia" w:hAnsiTheme="majorBidi" w:cstheme="majorBidi"/>
        </w:rPr>
      </w:pPr>
      <w:r w:rsidRPr="00ED7E61">
        <w:rPr>
          <w:rStyle w:val="normaltextrun"/>
          <w:rFonts w:asciiTheme="majorBidi" w:eastAsiaTheme="majorEastAsia" w:hAnsiTheme="majorBidi" w:cstheme="majorBidi"/>
          <w:lang w:val="en-US"/>
        </w:rPr>
        <w:t>The</w:t>
      </w:r>
      <w:r w:rsidRPr="00ED7E61">
        <w:rPr>
          <w:rStyle w:val="normaltextrun"/>
          <w:rFonts w:asciiTheme="majorBidi" w:eastAsiaTheme="majorEastAsia" w:hAnsiTheme="majorBidi" w:cstheme="majorBidi"/>
        </w:rPr>
        <w:t xml:space="preserve"> data is collected and published bi-annually</w:t>
      </w:r>
      <w:r w:rsidR="006034B4" w:rsidRPr="006034B4">
        <w:rPr>
          <w:rFonts w:asciiTheme="majorBidi" w:hAnsiTheme="majorBidi" w:cstheme="majorBidi"/>
        </w:rPr>
        <w:t>, when a new edition of the OECD Review of Fisheries is published. </w:t>
      </w:r>
    </w:p>
    <w:p w14:paraId="347D69A2"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5g. Time series </w:t>
      </w:r>
      <w:r w:rsidRPr="00ED7E61">
        <w:rPr>
          <w:rStyle w:val="eop"/>
          <w:rFonts w:asciiTheme="majorBidi" w:eastAsiaTheme="majorEastAsia" w:hAnsiTheme="majorBidi" w:cstheme="majorBidi"/>
          <w:b/>
          <w:bCs/>
          <w:sz w:val="22"/>
          <w:szCs w:val="22"/>
        </w:rPr>
        <w:t> </w:t>
      </w:r>
    </w:p>
    <w:p w14:paraId="4A4A4517"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subsidies and other incentives harmful to biodiversity</w:t>
      </w:r>
      <w:r w:rsidRPr="00ED7E61">
        <w:rPr>
          <w:rStyle w:val="eop"/>
          <w:rFonts w:asciiTheme="majorBidi" w:eastAsiaTheme="majorEastAsia" w:hAnsiTheme="majorBidi" w:cstheme="majorBidi"/>
          <w:sz w:val="22"/>
          <w:szCs w:val="22"/>
        </w:rPr>
        <w:t> </w:t>
      </w:r>
    </w:p>
    <w:p w14:paraId="1E496A02" w14:textId="77777777" w:rsidR="00756F0F" w:rsidRPr="002C377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Data</w:t>
      </w:r>
      <w:r w:rsidRPr="002C3771">
        <w:rPr>
          <w:rStyle w:val="normaltextrun"/>
          <w:rFonts w:asciiTheme="majorBidi" w:eastAsiaTheme="majorEastAsia" w:hAnsiTheme="majorBidi" w:cstheme="majorBidi"/>
        </w:rPr>
        <w:t xml:space="preserve"> should be provided annually</w:t>
      </w:r>
      <w:r w:rsidRPr="002C3771">
        <w:rPr>
          <w:rStyle w:val="normaltextrun"/>
        </w:rPr>
        <w:t> </w:t>
      </w:r>
    </w:p>
    <w:p w14:paraId="0174A2BA"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b/>
          <w:bCs/>
          <w:sz w:val="22"/>
          <w:szCs w:val="22"/>
        </w:rPr>
        <w:t> </w:t>
      </w:r>
    </w:p>
    <w:p w14:paraId="72935E6F" w14:textId="77777777" w:rsidR="00756F0F" w:rsidRPr="002C377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subsidies and other incentives harmful to biodiversity</w:t>
      </w:r>
      <w:r w:rsidRPr="002C3771">
        <w:rPr>
          <w:rStyle w:val="normaltextrun"/>
          <w:rFonts w:asciiTheme="majorBidi" w:eastAsiaTheme="majorEastAsia" w:hAnsiTheme="majorBidi" w:cstheme="majorBidi"/>
        </w:rPr>
        <w:t> </w:t>
      </w:r>
    </w:p>
    <w:p w14:paraId="0D79ABAC" w14:textId="77777777" w:rsidR="002C3771" w:rsidRPr="00ED7E61" w:rsidRDefault="002C3771" w:rsidP="00B10F0C">
      <w:pPr>
        <w:pStyle w:val="CBDNormalNumber"/>
        <w:numPr>
          <w:ilvl w:val="1"/>
          <w:numId w:val="94"/>
        </w:numPr>
        <w:tabs>
          <w:tab w:val="clear" w:pos="567"/>
          <w:tab w:val="clear" w:pos="1134"/>
          <w:tab w:val="clear" w:pos="1701"/>
          <w:tab w:val="clear" w:pos="2268"/>
          <w:tab w:val="left" w:pos="1985"/>
        </w:tabs>
        <w:ind w:left="1134"/>
        <w:rPr>
          <w:rFonts w:asciiTheme="majorBidi" w:hAnsiTheme="majorBidi" w:cstheme="majorBidi"/>
        </w:rPr>
      </w:pPr>
      <w:r w:rsidRPr="00ED7E61">
        <w:rPr>
          <w:rStyle w:val="normaltextrun"/>
          <w:rFonts w:asciiTheme="majorBidi" w:eastAsiaTheme="majorEastAsia" w:hAnsiTheme="majorBidi" w:cstheme="majorBidi"/>
          <w:lang w:val="en-US"/>
        </w:rPr>
        <w:t>The</w:t>
      </w:r>
      <w:r w:rsidRPr="00ED7E61">
        <w:rPr>
          <w:rStyle w:val="normaltextrun"/>
          <w:rFonts w:asciiTheme="majorBidi" w:eastAsiaTheme="majorEastAsia" w:hAnsiTheme="majorBidi" w:cstheme="majorBidi"/>
        </w:rPr>
        <w:t xml:space="preserve"> data would be provided at the disaggregated level</w:t>
      </w:r>
      <w:r w:rsidRPr="00ED7E61">
        <w:rPr>
          <w:rStyle w:val="eop"/>
          <w:rFonts w:asciiTheme="majorBidi" w:eastAsiaTheme="majorEastAsia" w:hAnsiTheme="majorBidi" w:cstheme="majorBidi"/>
        </w:rPr>
        <w:t> </w:t>
      </w:r>
    </w:p>
    <w:p w14:paraId="3B686A3B" w14:textId="3FA08C94" w:rsidR="00756F0F" w:rsidRPr="00ED7E6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agricultural subsidies and other incentives potentially harmful to biodiversity</w:t>
      </w:r>
      <w:r w:rsidRPr="00ED7E61">
        <w:rPr>
          <w:rStyle w:val="normaltextrun"/>
        </w:rPr>
        <w:t> </w:t>
      </w:r>
    </w:p>
    <w:p w14:paraId="12068001" w14:textId="77777777" w:rsidR="002C3771" w:rsidRPr="00812871" w:rsidRDefault="002C3771" w:rsidP="00B10F0C">
      <w:pPr>
        <w:pStyle w:val="CBDNormalNumber"/>
        <w:numPr>
          <w:ilvl w:val="1"/>
          <w:numId w:val="94"/>
        </w:numPr>
        <w:tabs>
          <w:tab w:val="clear" w:pos="567"/>
          <w:tab w:val="clear" w:pos="1134"/>
          <w:tab w:val="clear" w:pos="1701"/>
          <w:tab w:val="clear" w:pos="2268"/>
          <w:tab w:val="left" w:pos="1985"/>
        </w:tabs>
        <w:ind w:left="1134"/>
        <w:rPr>
          <w:rStyle w:val="normaltextrun"/>
          <w:rFonts w:eastAsiaTheme="majorEastAsia"/>
          <w:lang w:val="en-US"/>
        </w:rPr>
      </w:pPr>
      <w:r w:rsidRPr="00ED7E61">
        <w:rPr>
          <w:rStyle w:val="normaltextrun"/>
          <w:rFonts w:asciiTheme="majorBidi" w:eastAsiaTheme="majorEastAsia" w:hAnsiTheme="majorBidi" w:cstheme="majorBidi"/>
          <w:lang w:val="en-US"/>
        </w:rPr>
        <w:t>OECD via national reporting from OECD governments and other complementary sources for non-OECD countries covered by the dataset.</w:t>
      </w:r>
      <w:r w:rsidRPr="00ED7E61">
        <w:rPr>
          <w:rStyle w:val="normaltextrun"/>
          <w:lang w:val="en-US"/>
        </w:rPr>
        <w:t> </w:t>
      </w:r>
    </w:p>
    <w:p w14:paraId="7B2E3997" w14:textId="75565756" w:rsidR="00756F0F" w:rsidRPr="00ED7E61" w:rsidRDefault="007E09BE" w:rsidP="00B10F0C">
      <w:pPr>
        <w:pStyle w:val="CBDNormalNumber"/>
        <w:numPr>
          <w:ilvl w:val="0"/>
          <w:numId w:val="94"/>
        </w:numPr>
        <w:shd w:val="clear" w:color="auto" w:fill="FFFFFF"/>
        <w:ind w:left="567" w:firstLine="0"/>
        <w:rPr>
          <w:rStyle w:val="normaltextrun"/>
          <w:rFonts w:eastAsiaTheme="majorEastAsia"/>
        </w:rPr>
      </w:pPr>
      <w:r w:rsidRPr="00F7670D">
        <w:rPr>
          <w:rStyle w:val="normaltextrun"/>
          <w:rFonts w:eastAsiaTheme="majorEastAsia"/>
          <w:lang w:val="en-US"/>
        </w:rPr>
        <w:t xml:space="preserve">World Trade </w:t>
      </w:r>
      <w:proofErr w:type="spellStart"/>
      <w:r w:rsidRPr="00F7670D">
        <w:rPr>
          <w:rStyle w:val="normaltextrun"/>
          <w:rFonts w:eastAsiaTheme="majorEastAsia"/>
          <w:lang w:val="en-US"/>
        </w:rPr>
        <w:t>Organisation’s</w:t>
      </w:r>
      <w:proofErr w:type="spellEnd"/>
      <w:r w:rsidR="00503D28" w:rsidRPr="00F7670D">
        <w:rPr>
          <w:rStyle w:val="normaltextrun"/>
          <w:rFonts w:eastAsiaTheme="majorEastAsia"/>
          <w:lang w:val="en-US"/>
        </w:rPr>
        <w:t xml:space="preserve"> (WTO)</w:t>
      </w:r>
      <w:r w:rsidRPr="00F7670D">
        <w:rPr>
          <w:rStyle w:val="normaltextrun"/>
          <w:rFonts w:eastAsiaTheme="majorEastAsia"/>
          <w:lang w:val="en-US"/>
        </w:rPr>
        <w:t xml:space="preserve"> database on agricultural subsidies</w:t>
      </w:r>
      <w:r w:rsidR="00D20033" w:rsidRPr="00F7670D">
        <w:rPr>
          <w:rStyle w:val="normaltextrun"/>
          <w:rFonts w:eastAsiaTheme="majorEastAsia"/>
          <w:lang w:val="en-US"/>
        </w:rPr>
        <w:t xml:space="preserve"> which </w:t>
      </w:r>
      <w:r w:rsidR="00503D28" w:rsidRPr="00F7670D">
        <w:rPr>
          <w:rStyle w:val="normaltextrun"/>
          <w:rFonts w:eastAsiaTheme="majorEastAsia"/>
          <w:lang w:val="en-US"/>
        </w:rPr>
        <w:t>complies information from countries on their domestic support to agriculture as part of the WTO Agreement on Agriculture</w:t>
      </w:r>
      <w:r w:rsidR="00756F0F" w:rsidRPr="00F7670D">
        <w:rPr>
          <w:rStyle w:val="normaltextrun"/>
          <w:rFonts w:asciiTheme="majorBidi" w:eastAsiaTheme="majorEastAsia" w:hAnsiTheme="majorBidi" w:cstheme="majorBidi"/>
        </w:rPr>
        <w:t>Value of fossil</w:t>
      </w:r>
      <w:r w:rsidR="00756F0F" w:rsidRPr="00ED7E61">
        <w:rPr>
          <w:rStyle w:val="normaltextrun"/>
          <w:rFonts w:asciiTheme="majorBidi" w:eastAsiaTheme="majorEastAsia" w:hAnsiTheme="majorBidi" w:cstheme="majorBidi"/>
        </w:rPr>
        <w:t xml:space="preserve"> fuel subsidies (production and consumption)</w:t>
      </w:r>
      <w:r w:rsidR="00756F0F" w:rsidRPr="00ED7E61">
        <w:rPr>
          <w:rStyle w:val="normaltextrun"/>
        </w:rPr>
        <w:t> </w:t>
      </w:r>
    </w:p>
    <w:p w14:paraId="4946EC81" w14:textId="77777777" w:rsidR="002C3771" w:rsidRDefault="002C3771" w:rsidP="00B10F0C">
      <w:pPr>
        <w:pStyle w:val="CBDNormalNumber"/>
        <w:numPr>
          <w:ilvl w:val="1"/>
          <w:numId w:val="94"/>
        </w:numPr>
        <w:tabs>
          <w:tab w:val="clear" w:pos="567"/>
          <w:tab w:val="clear" w:pos="1134"/>
          <w:tab w:val="clear" w:pos="1701"/>
          <w:tab w:val="clear" w:pos="2268"/>
          <w:tab w:val="left" w:pos="1985"/>
        </w:tabs>
        <w:ind w:left="1276"/>
        <w:rPr>
          <w:rStyle w:val="normaltextrun"/>
          <w:rFonts w:eastAsiaTheme="majorEastAsia"/>
          <w:lang w:val="en-US"/>
        </w:rPr>
      </w:pPr>
      <w:r w:rsidRPr="00ED7E61">
        <w:rPr>
          <w:rStyle w:val="normaltextrun"/>
          <w:rFonts w:asciiTheme="majorBidi" w:eastAsiaTheme="majorEastAsia" w:hAnsiTheme="majorBidi" w:cstheme="majorBidi"/>
          <w:lang w:val="en-US"/>
        </w:rPr>
        <w:t>National Focal Points from National Statistical Systems.  </w:t>
      </w:r>
      <w:r w:rsidRPr="00ED7E61">
        <w:rPr>
          <w:rStyle w:val="normaltextrun"/>
          <w:lang w:val="en-US"/>
        </w:rPr>
        <w:t> </w:t>
      </w:r>
    </w:p>
    <w:p w14:paraId="1EA276A5" w14:textId="55A580B1" w:rsidR="00756F0F" w:rsidRPr="002C3771" w:rsidRDefault="00756F0F" w:rsidP="00B10F0C">
      <w:pPr>
        <w:pStyle w:val="CBDNormalNumber"/>
        <w:numPr>
          <w:ilvl w:val="1"/>
          <w:numId w:val="94"/>
        </w:numPr>
        <w:tabs>
          <w:tab w:val="clear" w:pos="567"/>
          <w:tab w:val="clear" w:pos="1134"/>
          <w:tab w:val="clear" w:pos="1701"/>
          <w:tab w:val="clear" w:pos="2268"/>
          <w:tab w:val="left" w:pos="1985"/>
        </w:tabs>
        <w:ind w:left="1276"/>
        <w:rPr>
          <w:rStyle w:val="normaltextrun"/>
          <w:rFonts w:eastAsiaTheme="majorEastAsia"/>
          <w:lang w:val="en-US"/>
        </w:rPr>
      </w:pPr>
      <w:r w:rsidRPr="002C3771">
        <w:rPr>
          <w:rStyle w:val="normaltextrun"/>
          <w:rFonts w:asciiTheme="majorBidi" w:eastAsiaTheme="majorEastAsia" w:hAnsiTheme="majorBidi" w:cstheme="majorBidi"/>
          <w:lang w:val="en-US"/>
        </w:rPr>
        <w:t>International Estimate Providers – OECD, IEA and IMF</w:t>
      </w:r>
      <w:r w:rsidRPr="002C3771">
        <w:rPr>
          <w:rStyle w:val="normaltextrun"/>
          <w:lang w:val="en-US"/>
        </w:rPr>
        <w:t> </w:t>
      </w:r>
    </w:p>
    <w:p w14:paraId="59AE5DA0" w14:textId="77777777" w:rsidR="00756F0F" w:rsidRPr="002C377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subsidies to capture fisheries with a risk (moderate or high) of encouraging unsustainable fishing</w:t>
      </w:r>
      <w:r w:rsidRPr="00ED7E61">
        <w:rPr>
          <w:rStyle w:val="normaltextrun"/>
        </w:rPr>
        <w:t> </w:t>
      </w:r>
    </w:p>
    <w:p w14:paraId="7DF1B347" w14:textId="10DB541F" w:rsidR="002C3771" w:rsidRPr="00ED7E61" w:rsidRDefault="002C3771" w:rsidP="00B10F0C">
      <w:pPr>
        <w:pStyle w:val="CBDNormalNumber"/>
        <w:numPr>
          <w:ilvl w:val="1"/>
          <w:numId w:val="94"/>
        </w:numPr>
        <w:tabs>
          <w:tab w:val="clear" w:pos="567"/>
          <w:tab w:val="clear" w:pos="1134"/>
          <w:tab w:val="clear" w:pos="1701"/>
          <w:tab w:val="clear" w:pos="2268"/>
          <w:tab w:val="left" w:pos="1985"/>
        </w:tabs>
        <w:ind w:left="1134"/>
        <w:rPr>
          <w:rStyle w:val="normaltextrun"/>
          <w:rFonts w:eastAsiaTheme="majorEastAsia"/>
          <w:lang w:val="en-US"/>
        </w:rPr>
      </w:pPr>
      <w:r w:rsidRPr="00ED7E61">
        <w:rPr>
          <w:rStyle w:val="normaltextrun"/>
          <w:rFonts w:asciiTheme="majorBidi" w:eastAsiaTheme="majorEastAsia" w:hAnsiTheme="majorBidi" w:cstheme="majorBidi"/>
          <w:lang w:val="en-US"/>
        </w:rPr>
        <w:t xml:space="preserve">OECD via national reporting from OECD </w:t>
      </w:r>
      <w:r w:rsidR="005D0C0F">
        <w:rPr>
          <w:rStyle w:val="normaltextrun"/>
          <w:rFonts w:asciiTheme="majorBidi" w:eastAsiaTheme="majorEastAsia" w:hAnsiTheme="majorBidi" w:cstheme="majorBidi"/>
          <w:lang w:val="en-US"/>
        </w:rPr>
        <w:t xml:space="preserve">Members </w:t>
      </w:r>
      <w:r w:rsidRPr="00ED7E61">
        <w:rPr>
          <w:rStyle w:val="normaltextrun"/>
          <w:rFonts w:asciiTheme="majorBidi" w:eastAsiaTheme="majorEastAsia" w:hAnsiTheme="majorBidi" w:cstheme="majorBidi"/>
          <w:lang w:val="en-US"/>
        </w:rPr>
        <w:t xml:space="preserve">and </w:t>
      </w:r>
      <w:r w:rsidR="005D0C0F">
        <w:rPr>
          <w:rStyle w:val="normaltextrun"/>
          <w:rFonts w:asciiTheme="majorBidi" w:eastAsiaTheme="majorEastAsia" w:hAnsiTheme="majorBidi" w:cstheme="majorBidi"/>
          <w:lang w:val="en-US"/>
        </w:rPr>
        <w:t>non-Members</w:t>
      </w:r>
      <w:r w:rsidRPr="00ED7E61">
        <w:rPr>
          <w:rStyle w:val="normaltextrun"/>
          <w:rFonts w:asciiTheme="majorBidi" w:eastAsiaTheme="majorEastAsia" w:hAnsiTheme="majorBidi" w:cstheme="majorBidi"/>
          <w:lang w:val="en-US"/>
        </w:rPr>
        <w:t xml:space="preserve"> participating in the work of the OECD Fisheries Committee and other complementary official sources for non-OECD countries covered in the dataset.</w:t>
      </w:r>
      <w:r w:rsidRPr="00ED7E61">
        <w:rPr>
          <w:rStyle w:val="normaltextrun"/>
          <w:lang w:val="en-US"/>
        </w:rPr>
        <w:t> </w:t>
      </w:r>
    </w:p>
    <w:p w14:paraId="7607465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5i. Data compilers </w:t>
      </w:r>
      <w:r w:rsidRPr="00ED7E61">
        <w:rPr>
          <w:rStyle w:val="eop"/>
          <w:rFonts w:asciiTheme="majorBidi" w:eastAsiaTheme="majorEastAsia" w:hAnsiTheme="majorBidi" w:cstheme="majorBidi"/>
          <w:b/>
          <w:bCs/>
          <w:sz w:val="22"/>
          <w:szCs w:val="22"/>
        </w:rPr>
        <w:t> </w:t>
      </w:r>
    </w:p>
    <w:p w14:paraId="10216DF7" w14:textId="4C8FCD13" w:rsidR="00756F0F" w:rsidRPr="00ED7E6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subsidies and other incentives harmful to biodiversity</w:t>
      </w:r>
      <w:r w:rsidR="00A425E0">
        <w:rPr>
          <w:rStyle w:val="normaltextrun"/>
          <w:rFonts w:asciiTheme="majorBidi" w:eastAsiaTheme="majorEastAsia" w:hAnsiTheme="majorBidi" w:cstheme="majorBidi"/>
        </w:rPr>
        <w:t>:</w:t>
      </w:r>
      <w:r w:rsidRPr="00ED7E61">
        <w:rPr>
          <w:rStyle w:val="normaltextrun"/>
        </w:rPr>
        <w:t> </w:t>
      </w:r>
    </w:p>
    <w:p w14:paraId="1CFB86BE" w14:textId="75D5745A" w:rsidR="002C3771" w:rsidRPr="00ED7E61" w:rsidRDefault="002C3771" w:rsidP="00812871">
      <w:pPr>
        <w:pStyle w:val="CBDNormalNumber"/>
        <w:numPr>
          <w:ilvl w:val="1"/>
          <w:numId w:val="94"/>
        </w:numPr>
        <w:shd w:val="clear" w:color="auto" w:fill="FFFFFF"/>
        <w:rPr>
          <w:rFonts w:asciiTheme="majorBidi" w:hAnsiTheme="majorBidi" w:cstheme="majorBidi"/>
        </w:rPr>
      </w:pPr>
      <w:r w:rsidRPr="00812871">
        <w:rPr>
          <w:rStyle w:val="normaltextrun"/>
          <w:rFonts w:asciiTheme="majorBidi" w:eastAsiaTheme="majorEastAsia" w:hAnsiTheme="majorBidi" w:cstheme="majorBidi"/>
        </w:rPr>
        <w:t>None</w:t>
      </w:r>
      <w:r w:rsidRPr="00ED7E61">
        <w:rPr>
          <w:rStyle w:val="normaltextrun"/>
          <w:rFonts w:asciiTheme="majorBidi" w:eastAsiaTheme="majorEastAsia" w:hAnsiTheme="majorBidi" w:cstheme="majorBidi"/>
        </w:rPr>
        <w:t>. Countries would need to report nationally</w:t>
      </w:r>
      <w:r w:rsidRPr="00812871">
        <w:rPr>
          <w:rStyle w:val="normaltextrun"/>
          <w:rFonts w:asciiTheme="majorBidi" w:eastAsiaTheme="majorEastAsia" w:hAnsiTheme="majorBidi" w:cstheme="majorBidi"/>
        </w:rPr>
        <w:t> </w:t>
      </w:r>
      <w:r w:rsidRPr="00812871">
        <w:rPr>
          <w:rStyle w:val="normaltextrun"/>
        </w:rPr>
        <w:t> </w:t>
      </w:r>
    </w:p>
    <w:p w14:paraId="09E8BD34" w14:textId="3448D39C" w:rsidR="00756F0F" w:rsidRPr="00ED7E6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lastRenderedPageBreak/>
        <w:t>Value of agricultural subsidies and other incentives potentially harmful to biodiversity</w:t>
      </w:r>
      <w:r w:rsidR="006A5BDD">
        <w:rPr>
          <w:rStyle w:val="normaltextrun"/>
          <w:rFonts w:asciiTheme="majorBidi" w:eastAsiaTheme="majorEastAsia" w:hAnsiTheme="majorBidi" w:cstheme="majorBidi"/>
        </w:rPr>
        <w:t>:</w:t>
      </w:r>
      <w:r w:rsidRPr="00ED7E61">
        <w:rPr>
          <w:rStyle w:val="normaltextrun"/>
        </w:rPr>
        <w:t> </w:t>
      </w:r>
    </w:p>
    <w:p w14:paraId="6E7A0964" w14:textId="04B83291" w:rsidR="002C3771" w:rsidRPr="00812871" w:rsidRDefault="002C3771" w:rsidP="00A425E0">
      <w:pPr>
        <w:pStyle w:val="CBDNormalNumber"/>
        <w:numPr>
          <w:ilvl w:val="1"/>
          <w:numId w:val="94"/>
        </w:numPr>
        <w:shd w:val="clear" w:color="auto" w:fill="FFFFFF"/>
        <w:rPr>
          <w:rStyle w:val="normaltextrun"/>
          <w:rFonts w:eastAsiaTheme="majorEastAsia"/>
        </w:rPr>
      </w:pPr>
      <w:r w:rsidRPr="00812871">
        <w:rPr>
          <w:rStyle w:val="normaltextrun"/>
          <w:rFonts w:asciiTheme="majorBidi" w:eastAsiaTheme="majorEastAsia" w:hAnsiTheme="majorBidi" w:cstheme="majorBidi"/>
        </w:rPr>
        <w:t>OECD</w:t>
      </w:r>
      <w:r w:rsidRPr="00ED7E61">
        <w:rPr>
          <w:rStyle w:val="normaltextrun"/>
          <w:rFonts w:asciiTheme="majorBidi" w:eastAsiaTheme="majorEastAsia" w:hAnsiTheme="majorBidi" w:cstheme="majorBidi"/>
        </w:rPr>
        <w:t> </w:t>
      </w:r>
      <w:r w:rsidRPr="00ED7E61">
        <w:rPr>
          <w:rStyle w:val="normaltextrun"/>
        </w:rPr>
        <w:t> </w:t>
      </w:r>
    </w:p>
    <w:p w14:paraId="1EF6391A" w14:textId="7373C638" w:rsidR="00CC3BF3" w:rsidRPr="00F7670D" w:rsidRDefault="00CC3BF3" w:rsidP="00812871">
      <w:pPr>
        <w:pStyle w:val="CBDNormalNumber"/>
        <w:numPr>
          <w:ilvl w:val="1"/>
          <w:numId w:val="94"/>
        </w:numPr>
        <w:shd w:val="clear" w:color="auto" w:fill="FFFFFF"/>
        <w:rPr>
          <w:rStyle w:val="normaltextrun"/>
          <w:rFonts w:eastAsiaTheme="majorEastAsia"/>
        </w:rPr>
      </w:pPr>
      <w:r w:rsidRPr="00F7670D">
        <w:rPr>
          <w:rStyle w:val="normaltextrun"/>
        </w:rPr>
        <w:t>WTO</w:t>
      </w:r>
    </w:p>
    <w:p w14:paraId="1A359672" w14:textId="72D9A632" w:rsidR="00756F0F" w:rsidRPr="00ED7E6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fossil fuel subsidies (production and consumption)</w:t>
      </w:r>
      <w:r w:rsidR="00CC3BF3">
        <w:rPr>
          <w:rStyle w:val="normaltextrun"/>
          <w:rFonts w:asciiTheme="majorBidi" w:eastAsiaTheme="majorEastAsia" w:hAnsiTheme="majorBidi" w:cstheme="majorBidi"/>
        </w:rPr>
        <w:t>:</w:t>
      </w:r>
      <w:r w:rsidRPr="00ED7E61">
        <w:rPr>
          <w:rStyle w:val="normaltextrun"/>
        </w:rPr>
        <w:t> </w:t>
      </w:r>
    </w:p>
    <w:p w14:paraId="6122903A" w14:textId="77777777" w:rsidR="002C3771" w:rsidRPr="00812871" w:rsidRDefault="002C3771" w:rsidP="00812871">
      <w:pPr>
        <w:pStyle w:val="CBDNormalNumber"/>
        <w:numPr>
          <w:ilvl w:val="1"/>
          <w:numId w:val="94"/>
        </w:numPr>
        <w:shd w:val="clear" w:color="auto" w:fill="FFFFFF"/>
        <w:ind w:left="2304"/>
        <w:rPr>
          <w:rStyle w:val="normaltextrun"/>
          <w:rFonts w:asciiTheme="majorBidi" w:eastAsiaTheme="majorEastAsia" w:hAnsiTheme="majorBidi" w:cstheme="majorBidi"/>
        </w:rPr>
      </w:pPr>
      <w:r w:rsidRPr="00812871">
        <w:rPr>
          <w:rStyle w:val="normaltextrun"/>
          <w:rFonts w:asciiTheme="majorBidi" w:eastAsiaTheme="majorEastAsia" w:hAnsiTheme="majorBidi" w:cstheme="majorBidi"/>
        </w:rPr>
        <w:t>UN Stats/UNEP </w:t>
      </w:r>
    </w:p>
    <w:p w14:paraId="0603F896" w14:textId="77777777" w:rsidR="002C3771" w:rsidRPr="00812871" w:rsidRDefault="002C3771" w:rsidP="00812871">
      <w:pPr>
        <w:pStyle w:val="CBDNormalNumber"/>
        <w:numPr>
          <w:ilvl w:val="1"/>
          <w:numId w:val="94"/>
        </w:numPr>
        <w:shd w:val="clear" w:color="auto" w:fill="FFFFFF"/>
        <w:ind w:left="2304"/>
        <w:rPr>
          <w:rStyle w:val="normaltextrun"/>
          <w:rFonts w:eastAsiaTheme="majorEastAsia"/>
        </w:rPr>
      </w:pPr>
      <w:r w:rsidRPr="00812871">
        <w:rPr>
          <w:rStyle w:val="normaltextrun"/>
          <w:rFonts w:asciiTheme="majorBidi" w:eastAsiaTheme="majorEastAsia" w:hAnsiTheme="majorBidi" w:cstheme="majorBidi"/>
        </w:rPr>
        <w:t>OECD/IISD’s</w:t>
      </w:r>
      <w:r w:rsidRPr="00ED7E61">
        <w:rPr>
          <w:rStyle w:val="normaltextrun"/>
          <w:rFonts w:asciiTheme="majorBidi" w:eastAsiaTheme="majorEastAsia" w:hAnsiTheme="majorBidi" w:cstheme="majorBidi"/>
        </w:rPr>
        <w:t xml:space="preserve"> Fossil Fuel Subsidy Tracker </w:t>
      </w:r>
      <w:hyperlink r:id="rId471" w:tgtFrame="_blank" w:history="1">
        <w:r w:rsidRPr="00812871">
          <w:rPr>
            <w:rStyle w:val="normaltextrun"/>
            <w:rFonts w:asciiTheme="majorBidi" w:eastAsiaTheme="majorEastAsia" w:hAnsiTheme="majorBidi" w:cstheme="majorBidi"/>
          </w:rPr>
          <w:t>Home - Fossil Fuel Subsidies (fossilfuelsubsidytracker.org)</w:t>
        </w:r>
      </w:hyperlink>
      <w:r w:rsidRPr="00812871">
        <w:rPr>
          <w:rStyle w:val="normaltextrun"/>
        </w:rPr>
        <w:t> </w:t>
      </w:r>
    </w:p>
    <w:p w14:paraId="1952B61C" w14:textId="1DCCD8CA" w:rsidR="00756F0F" w:rsidRPr="002C377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subsidies to capture fisheries with a risk (moderate or high) of encouraging unsustainable fishing</w:t>
      </w:r>
      <w:r w:rsidR="00CC3BF3">
        <w:rPr>
          <w:rStyle w:val="normaltextrun"/>
          <w:rFonts w:asciiTheme="majorBidi" w:eastAsiaTheme="majorEastAsia" w:hAnsiTheme="majorBidi" w:cstheme="majorBidi"/>
        </w:rPr>
        <w:t>:</w:t>
      </w:r>
      <w:r w:rsidRPr="00ED7E61">
        <w:rPr>
          <w:rStyle w:val="normaltextrun"/>
        </w:rPr>
        <w:t> </w:t>
      </w:r>
    </w:p>
    <w:p w14:paraId="16FB1388" w14:textId="77777777" w:rsidR="002C3771" w:rsidRPr="00812871" w:rsidRDefault="002C3771" w:rsidP="00812871">
      <w:pPr>
        <w:pStyle w:val="CBDNormalNumber"/>
        <w:numPr>
          <w:ilvl w:val="1"/>
          <w:numId w:val="94"/>
        </w:numPr>
        <w:shd w:val="clear" w:color="auto" w:fill="FFFFFF"/>
        <w:rPr>
          <w:rStyle w:val="normaltextrun"/>
          <w:rFonts w:eastAsiaTheme="majorEastAsia"/>
          <w:lang w:val="en-US"/>
        </w:rPr>
      </w:pPr>
      <w:r w:rsidRPr="00812871">
        <w:rPr>
          <w:rStyle w:val="normaltextrun"/>
          <w:rFonts w:asciiTheme="majorBidi" w:eastAsiaTheme="majorEastAsia" w:hAnsiTheme="majorBidi" w:cstheme="majorBidi"/>
        </w:rPr>
        <w:t>OECD</w:t>
      </w:r>
      <w:r w:rsidRPr="00317897">
        <w:rPr>
          <w:rStyle w:val="normaltextrun"/>
          <w:rFonts w:asciiTheme="majorBidi" w:eastAsiaTheme="majorEastAsia" w:hAnsiTheme="majorBidi" w:cstheme="majorBidi"/>
        </w:rPr>
        <w:t> </w:t>
      </w:r>
      <w:r w:rsidRPr="00812871">
        <w:rPr>
          <w:rStyle w:val="normaltextrun"/>
          <w:lang w:val="en-US"/>
        </w:rPr>
        <w:t> </w:t>
      </w:r>
    </w:p>
    <w:p w14:paraId="327E1BF9"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b/>
          <w:bCs/>
          <w:sz w:val="22"/>
          <w:szCs w:val="22"/>
        </w:rPr>
        <w:t> </w:t>
      </w:r>
    </w:p>
    <w:p w14:paraId="2B03EA2A" w14:textId="77777777" w:rsidR="00756F0F" w:rsidRPr="00ED7E6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agricultural subsidies and other incentives potentially harmful to biodiversity</w:t>
      </w:r>
      <w:r w:rsidRPr="00ED7E61">
        <w:rPr>
          <w:rStyle w:val="normaltextrun"/>
        </w:rPr>
        <w:t> </w:t>
      </w:r>
    </w:p>
    <w:p w14:paraId="44772226" w14:textId="584375E4" w:rsidR="002C3771" w:rsidRPr="00ED7E61" w:rsidRDefault="002C3771" w:rsidP="00CE5D0F">
      <w:pPr>
        <w:pStyle w:val="CBDNormalNumber"/>
        <w:tabs>
          <w:tab w:val="clear" w:pos="567"/>
          <w:tab w:val="clear" w:pos="1134"/>
          <w:tab w:val="clear" w:pos="1701"/>
          <w:tab w:val="clear" w:pos="2268"/>
          <w:tab w:val="left" w:pos="1985"/>
        </w:tabs>
        <w:ind w:left="1418"/>
        <w:rPr>
          <w:rStyle w:val="normaltextrun"/>
          <w:rFonts w:eastAsiaTheme="majorEastAsia"/>
          <w:lang w:val="en-US"/>
        </w:rPr>
      </w:pPr>
      <w:r w:rsidRPr="00ED7E61">
        <w:rPr>
          <w:rStyle w:val="normaltextrun"/>
          <w:rFonts w:asciiTheme="majorBidi" w:eastAsiaTheme="majorEastAsia" w:hAnsiTheme="majorBidi" w:cstheme="majorBidi"/>
          <w:lang w:val="en-US"/>
        </w:rPr>
        <w:t xml:space="preserve">The OECD collects data on government support to agriculture.  As of </w:t>
      </w:r>
      <w:r w:rsidR="00116CEB">
        <w:rPr>
          <w:rStyle w:val="normaltextrun"/>
          <w:rFonts w:asciiTheme="majorBidi" w:eastAsiaTheme="majorEastAsia" w:hAnsiTheme="majorBidi" w:cstheme="majorBidi"/>
          <w:lang w:val="en-US"/>
        </w:rPr>
        <w:t>January 2026</w:t>
      </w:r>
      <w:r w:rsidRPr="00ED7E61">
        <w:rPr>
          <w:rStyle w:val="normaltextrun"/>
          <w:rFonts w:asciiTheme="majorBidi" w:eastAsiaTheme="majorEastAsia" w:hAnsiTheme="majorBidi" w:cstheme="majorBidi"/>
          <w:lang w:val="en-US"/>
        </w:rPr>
        <w:t>, 54 countries across six continents provide data accounting for three quarters of global agricultural value-added  </w:t>
      </w:r>
      <w:r w:rsidRPr="00ED7E61">
        <w:rPr>
          <w:rStyle w:val="normaltextrun"/>
          <w:lang w:val="en-US"/>
        </w:rPr>
        <w:t> </w:t>
      </w:r>
    </w:p>
    <w:p w14:paraId="0324D7A3" w14:textId="7C7FCC9A" w:rsidR="00756F0F" w:rsidRPr="00ED7E6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fossil fuel subsidies (production and consumption)</w:t>
      </w:r>
      <w:r w:rsidRPr="00ED7E61">
        <w:rPr>
          <w:rStyle w:val="normaltextrun"/>
        </w:rPr>
        <w:t> </w:t>
      </w:r>
    </w:p>
    <w:p w14:paraId="2BCE1D6C" w14:textId="7F2EC691" w:rsidR="002C3771" w:rsidRPr="00ED7E61" w:rsidRDefault="002C3771" w:rsidP="00CE5D0F">
      <w:pPr>
        <w:pStyle w:val="CBDNormalNumber"/>
        <w:tabs>
          <w:tab w:val="clear" w:pos="567"/>
          <w:tab w:val="clear" w:pos="1134"/>
          <w:tab w:val="clear" w:pos="1701"/>
          <w:tab w:val="clear" w:pos="2268"/>
          <w:tab w:val="left" w:pos="1985"/>
        </w:tabs>
        <w:ind w:left="1560"/>
        <w:rPr>
          <w:rStyle w:val="normaltextrun"/>
          <w:rFonts w:eastAsiaTheme="majorEastAsia"/>
          <w:lang w:val="en-US"/>
        </w:rPr>
      </w:pPr>
      <w:r w:rsidRPr="00ED7E61">
        <w:rPr>
          <w:rStyle w:val="normaltextrun"/>
          <w:rFonts w:asciiTheme="majorBidi" w:eastAsiaTheme="majorEastAsia" w:hAnsiTheme="majorBidi" w:cstheme="majorBidi"/>
          <w:lang w:val="en-US"/>
        </w:rPr>
        <w:t>The data for the SD</w:t>
      </w:r>
      <w:r>
        <w:rPr>
          <w:rStyle w:val="normaltextrun"/>
          <w:rFonts w:asciiTheme="majorBidi" w:eastAsiaTheme="majorEastAsia" w:hAnsiTheme="majorBidi" w:cstheme="majorBidi"/>
          <w:lang w:val="en-US"/>
        </w:rPr>
        <w:t xml:space="preserve">G indicator </w:t>
      </w:r>
      <w:r w:rsidRPr="00ED7E61">
        <w:rPr>
          <w:rStyle w:val="normaltextrun"/>
          <w:rFonts w:asciiTheme="majorBidi" w:eastAsiaTheme="majorEastAsia" w:hAnsiTheme="majorBidi" w:cstheme="majorBidi"/>
          <w:lang w:val="en-US"/>
        </w:rPr>
        <w:t>12c is available for all or most countries. For most non-OECD countries, these data refer to induced transfers only, estimated by the IEA and the IMF.  </w:t>
      </w:r>
      <w:r w:rsidRPr="00ED7E61">
        <w:rPr>
          <w:rStyle w:val="normaltextrun"/>
          <w:lang w:val="en-US"/>
        </w:rPr>
        <w:t> </w:t>
      </w:r>
    </w:p>
    <w:p w14:paraId="0C767937" w14:textId="42E20C05" w:rsidR="00756F0F" w:rsidRPr="002C377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Value of subsidies to capture fisheries with a risk (moderate or high) of encouraging unsustainable fishing</w:t>
      </w:r>
      <w:r w:rsidRPr="00ED7E61">
        <w:rPr>
          <w:rStyle w:val="normaltextrun"/>
        </w:rPr>
        <w:t> </w:t>
      </w:r>
    </w:p>
    <w:p w14:paraId="227DE9B8" w14:textId="4B89DF00" w:rsidR="002C3771" w:rsidRPr="00ED7E61" w:rsidRDefault="002C3771" w:rsidP="00CE5D0F">
      <w:pPr>
        <w:pStyle w:val="CBDNormalNumber"/>
        <w:tabs>
          <w:tab w:val="clear" w:pos="567"/>
          <w:tab w:val="clear" w:pos="1134"/>
          <w:tab w:val="clear" w:pos="1701"/>
          <w:tab w:val="clear" w:pos="2268"/>
          <w:tab w:val="left" w:pos="1985"/>
        </w:tabs>
        <w:ind w:left="1418"/>
        <w:rPr>
          <w:rStyle w:val="normaltextrun"/>
          <w:rFonts w:eastAsiaTheme="majorEastAsia"/>
          <w:lang w:val="en-US"/>
        </w:rPr>
      </w:pPr>
      <w:r w:rsidRPr="00ED7E61">
        <w:rPr>
          <w:rStyle w:val="normaltextrun"/>
          <w:rFonts w:asciiTheme="majorBidi" w:eastAsiaTheme="majorEastAsia" w:hAnsiTheme="majorBidi" w:cstheme="majorBidi"/>
          <w:lang w:val="en-US"/>
        </w:rPr>
        <w:t xml:space="preserve">Data covers </w:t>
      </w:r>
      <w:r w:rsidR="00116CEB">
        <w:rPr>
          <w:rStyle w:val="normaltextrun"/>
          <w:rFonts w:asciiTheme="majorBidi" w:eastAsiaTheme="majorEastAsia" w:hAnsiTheme="majorBidi" w:cstheme="majorBidi"/>
          <w:lang w:val="en-US"/>
        </w:rPr>
        <w:t xml:space="preserve">41 countries and </w:t>
      </w:r>
      <w:proofErr w:type="gramStart"/>
      <w:r w:rsidR="00116CEB">
        <w:rPr>
          <w:rStyle w:val="normaltextrun"/>
          <w:rFonts w:asciiTheme="majorBidi" w:eastAsiaTheme="majorEastAsia" w:hAnsiTheme="majorBidi" w:cstheme="majorBidi"/>
          <w:lang w:val="en-US"/>
        </w:rPr>
        <w:t xml:space="preserve">territories </w:t>
      </w:r>
      <w:r w:rsidRPr="00ED7E61">
        <w:rPr>
          <w:rStyle w:val="normaltextrun"/>
          <w:rFonts w:asciiTheme="majorBidi" w:eastAsiaTheme="majorEastAsia" w:hAnsiTheme="majorBidi" w:cstheme="majorBidi"/>
          <w:lang w:val="en-US"/>
        </w:rPr>
        <w:t xml:space="preserve"> which</w:t>
      </w:r>
      <w:proofErr w:type="gramEnd"/>
      <w:r w:rsidRPr="00ED7E61">
        <w:rPr>
          <w:rStyle w:val="normaltextrun"/>
          <w:rFonts w:asciiTheme="majorBidi" w:eastAsiaTheme="majorEastAsia" w:hAnsiTheme="majorBidi" w:cstheme="majorBidi"/>
          <w:lang w:val="en-US"/>
        </w:rPr>
        <w:t xml:space="preserve">, together, accounted for </w:t>
      </w:r>
      <w:r w:rsidR="00116CEB">
        <w:rPr>
          <w:rStyle w:val="normaltextrun"/>
          <w:rFonts w:asciiTheme="majorBidi" w:eastAsiaTheme="majorEastAsia" w:hAnsiTheme="majorBidi" w:cstheme="majorBidi"/>
          <w:lang w:val="en-US"/>
        </w:rPr>
        <w:t>69</w:t>
      </w:r>
      <w:r w:rsidRPr="00ED7E61">
        <w:rPr>
          <w:rStyle w:val="normaltextrun"/>
          <w:rFonts w:asciiTheme="majorBidi" w:eastAsiaTheme="majorEastAsia" w:hAnsiTheme="majorBidi" w:cstheme="majorBidi"/>
          <w:lang w:val="en-US"/>
        </w:rPr>
        <w:t>% of world landings by volume over 20</w:t>
      </w:r>
      <w:r w:rsidR="004D52EF">
        <w:rPr>
          <w:rStyle w:val="normaltextrun"/>
          <w:rFonts w:asciiTheme="majorBidi" w:eastAsiaTheme="majorEastAsia" w:hAnsiTheme="majorBidi" w:cstheme="majorBidi"/>
          <w:lang w:val="en-US"/>
        </w:rPr>
        <w:t>20</w:t>
      </w:r>
      <w:r w:rsidRPr="00ED7E61">
        <w:rPr>
          <w:rStyle w:val="normaltextrun"/>
          <w:rFonts w:asciiTheme="majorBidi" w:eastAsiaTheme="majorEastAsia" w:hAnsiTheme="majorBidi" w:cstheme="majorBidi"/>
          <w:lang w:val="en-US"/>
        </w:rPr>
        <w:t>-202</w:t>
      </w:r>
      <w:r w:rsidR="004D52EF">
        <w:rPr>
          <w:rStyle w:val="normaltextrun"/>
          <w:rFonts w:asciiTheme="majorBidi" w:eastAsiaTheme="majorEastAsia" w:hAnsiTheme="majorBidi" w:cstheme="majorBidi"/>
          <w:lang w:val="en-US"/>
        </w:rPr>
        <w:t>2</w:t>
      </w:r>
      <w:r w:rsidRPr="00ED7E61">
        <w:rPr>
          <w:rStyle w:val="normaltextrun"/>
          <w:rFonts w:asciiTheme="majorBidi" w:eastAsiaTheme="majorEastAsia" w:hAnsiTheme="majorBidi" w:cstheme="majorBidi"/>
          <w:lang w:val="en-US"/>
        </w:rPr>
        <w:t> </w:t>
      </w:r>
      <w:r w:rsidRPr="00ED7E61">
        <w:rPr>
          <w:rStyle w:val="normaltextrun"/>
          <w:lang w:val="en-US"/>
        </w:rPr>
        <w:t> </w:t>
      </w:r>
    </w:p>
    <w:p w14:paraId="1352F9C4"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5k. Treatment of missing values</w:t>
      </w:r>
      <w:r w:rsidRPr="00ED7E61">
        <w:rPr>
          <w:rStyle w:val="eop"/>
          <w:rFonts w:asciiTheme="majorBidi" w:eastAsiaTheme="majorEastAsia" w:hAnsiTheme="majorBidi" w:cstheme="majorBidi"/>
          <w:b/>
          <w:bCs/>
          <w:sz w:val="22"/>
          <w:szCs w:val="22"/>
        </w:rPr>
        <w:t> </w:t>
      </w:r>
    </w:p>
    <w:p w14:paraId="71449E9B"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color w:val="000000"/>
          <w:sz w:val="22"/>
          <w:szCs w:val="22"/>
          <w:lang w:val="en-GB"/>
        </w:rPr>
        <w:t>N/A</w:t>
      </w:r>
      <w:r w:rsidRPr="00ED7E61">
        <w:rPr>
          <w:rStyle w:val="eop"/>
          <w:rFonts w:asciiTheme="majorBidi" w:eastAsiaTheme="majorEastAsia" w:hAnsiTheme="majorBidi" w:cstheme="majorBidi"/>
          <w:color w:val="000000"/>
          <w:sz w:val="22"/>
          <w:szCs w:val="22"/>
        </w:rPr>
        <w:t> </w:t>
      </w:r>
    </w:p>
    <w:p w14:paraId="7085884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 Scale </w:t>
      </w:r>
      <w:r w:rsidRPr="00ED7E61">
        <w:rPr>
          <w:rStyle w:val="eop"/>
          <w:rFonts w:asciiTheme="majorBidi" w:eastAsiaTheme="majorEastAsia" w:hAnsiTheme="majorBidi" w:cstheme="majorBidi"/>
          <w:b/>
          <w:bCs/>
          <w:sz w:val="22"/>
          <w:szCs w:val="22"/>
        </w:rPr>
        <w:t> </w:t>
      </w:r>
    </w:p>
    <w:p w14:paraId="4DCB1D09" w14:textId="77777777" w:rsidR="00756F0F" w:rsidRPr="00ED7E61" w:rsidRDefault="00756F0F" w:rsidP="00CE5D0F">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b/>
          <w:bCs/>
          <w:sz w:val="22"/>
          <w:szCs w:val="22"/>
        </w:rPr>
        <w:t> </w:t>
      </w:r>
    </w:p>
    <w:p w14:paraId="0425B020" w14:textId="77777777" w:rsidR="00756F0F" w:rsidRPr="00ED7E61" w:rsidRDefault="00756F0F" w:rsidP="00CE5D0F">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Scale of application (please check all relevant boxes):</w:t>
      </w:r>
      <w:r w:rsidRPr="00ED7E61">
        <w:rPr>
          <w:rStyle w:val="normaltextrun"/>
          <w:rFonts w:asciiTheme="majorBidi" w:eastAsiaTheme="majorEastAsia" w:hAnsiTheme="majorBidi" w:cstheme="majorBidi"/>
          <w:i/>
          <w:iCs/>
          <w:sz w:val="22"/>
          <w:szCs w:val="22"/>
          <w:lang w:val="en-GB"/>
        </w:rPr>
        <w:t> </w:t>
      </w:r>
      <w:r w:rsidRPr="00ED7E61">
        <w:rPr>
          <w:rStyle w:val="eop"/>
          <w:rFonts w:asciiTheme="majorBidi" w:eastAsiaTheme="majorEastAsia" w:hAnsiTheme="majorBidi" w:cstheme="majorBidi"/>
          <w:sz w:val="22"/>
          <w:szCs w:val="22"/>
        </w:rPr>
        <w:t> </w:t>
      </w:r>
    </w:p>
    <w:p w14:paraId="34E26489" w14:textId="77777777" w:rsidR="00756F0F" w:rsidRPr="00ED7E61" w:rsidRDefault="00756F0F" w:rsidP="00CE5D0F">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lang w:val="en-GB"/>
        </w:rPr>
        <w:t xml:space="preserve">Global: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 xml:space="preserve">Regional: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lang w:val="en-GB"/>
        </w:rPr>
        <w:t>National</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eop"/>
          <w:rFonts w:asciiTheme="majorBidi" w:eastAsiaTheme="majorEastAsia" w:hAnsiTheme="majorBidi" w:cstheme="majorBidi"/>
          <w:sz w:val="22"/>
          <w:szCs w:val="22"/>
        </w:rPr>
        <w:t> </w:t>
      </w:r>
    </w:p>
    <w:p w14:paraId="6C37BC5A" w14:textId="77777777" w:rsidR="00756F0F" w:rsidRPr="002C377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Scale of data disaggregation/aggregation: </w:t>
      </w:r>
      <w:r w:rsidRPr="00ED7E61">
        <w:rPr>
          <w:rStyle w:val="normaltextrun"/>
        </w:rPr>
        <w:t> </w:t>
      </w:r>
    </w:p>
    <w:p w14:paraId="377441E4" w14:textId="77777777" w:rsidR="002C3771" w:rsidRPr="00ED7E61" w:rsidRDefault="002C3771" w:rsidP="00B10F0C">
      <w:pPr>
        <w:pStyle w:val="CBDNormalNumber"/>
        <w:numPr>
          <w:ilvl w:val="1"/>
          <w:numId w:val="94"/>
        </w:numPr>
        <w:tabs>
          <w:tab w:val="clear" w:pos="567"/>
          <w:tab w:val="clear" w:pos="1134"/>
          <w:tab w:val="clear" w:pos="1701"/>
          <w:tab w:val="clear" w:pos="2268"/>
          <w:tab w:val="left" w:pos="1985"/>
        </w:tabs>
        <w:ind w:left="1134" w:hanging="567"/>
        <w:rPr>
          <w:rStyle w:val="normaltextrun"/>
          <w:rFonts w:eastAsiaTheme="majorEastAsia"/>
          <w:lang w:val="en-US"/>
        </w:rPr>
      </w:pPr>
      <w:r w:rsidRPr="00ED7E61">
        <w:rPr>
          <w:rStyle w:val="normaltextrun"/>
          <w:rFonts w:asciiTheme="majorBidi" w:eastAsiaTheme="majorEastAsia" w:hAnsiTheme="majorBidi" w:cstheme="majorBidi"/>
          <w:lang w:val="en-US"/>
        </w:rPr>
        <w:t xml:space="preserve">Global/ regional scale </w:t>
      </w:r>
      <w:proofErr w:type="gramStart"/>
      <w:r w:rsidRPr="00ED7E61">
        <w:rPr>
          <w:rStyle w:val="normaltextrun"/>
          <w:rFonts w:asciiTheme="majorBidi" w:eastAsiaTheme="majorEastAsia" w:hAnsiTheme="majorBidi" w:cstheme="majorBidi"/>
          <w:lang w:val="en-US"/>
        </w:rPr>
        <w:t>indicator</w:t>
      </w:r>
      <w:proofErr w:type="gramEnd"/>
      <w:r w:rsidRPr="00ED7E61">
        <w:rPr>
          <w:rStyle w:val="normaltextrun"/>
          <w:rFonts w:asciiTheme="majorBidi" w:eastAsiaTheme="majorEastAsia" w:hAnsiTheme="majorBidi" w:cstheme="majorBidi"/>
          <w:lang w:val="en-US"/>
        </w:rPr>
        <w:t xml:space="preserve"> can be disaggregated to national level: </w:t>
      </w:r>
      <w:r w:rsidRPr="00ED7E61">
        <w:rPr>
          <w:rStyle w:val="normaltextrun"/>
          <w:rFonts w:eastAsiaTheme="majorEastAsia"/>
          <w:lang w:val="en-US"/>
        </w:rPr>
        <w:t>​</w:t>
      </w:r>
      <w:r w:rsidRPr="00ED7E61">
        <w:rPr>
          <w:rStyle w:val="normaltextrun"/>
          <w:rFonts w:ascii="Segoe UI Symbol" w:eastAsiaTheme="majorEastAsia" w:hAnsi="Segoe UI Symbol" w:cs="Segoe UI Symbol"/>
          <w:lang w:val="en-US"/>
        </w:rPr>
        <w:t>☐</w:t>
      </w:r>
      <w:r w:rsidRPr="00ED7E61">
        <w:rPr>
          <w:rStyle w:val="normaltextrun"/>
          <w:rFonts w:eastAsiaTheme="majorEastAsia"/>
          <w:lang w:val="en-US"/>
        </w:rPr>
        <w:t>​</w:t>
      </w:r>
      <w:r w:rsidRPr="00ED7E61">
        <w:rPr>
          <w:rStyle w:val="normaltextrun"/>
          <w:lang w:val="en-US"/>
        </w:rPr>
        <w:t> </w:t>
      </w:r>
    </w:p>
    <w:p w14:paraId="0210905D" w14:textId="77777777" w:rsidR="002C3771" w:rsidRPr="00ED7E61" w:rsidRDefault="002C3771" w:rsidP="00B10F0C">
      <w:pPr>
        <w:pStyle w:val="CBDNormalNumber"/>
        <w:numPr>
          <w:ilvl w:val="1"/>
          <w:numId w:val="94"/>
        </w:numPr>
        <w:tabs>
          <w:tab w:val="clear" w:pos="567"/>
          <w:tab w:val="clear" w:pos="1134"/>
          <w:tab w:val="clear" w:pos="1701"/>
          <w:tab w:val="clear" w:pos="2268"/>
          <w:tab w:val="left" w:pos="1985"/>
        </w:tabs>
        <w:ind w:left="1134" w:hanging="567"/>
        <w:rPr>
          <w:rStyle w:val="normaltextrun"/>
          <w:rFonts w:eastAsiaTheme="majorEastAsia"/>
          <w:lang w:val="en-US"/>
        </w:rPr>
      </w:pPr>
      <w:r w:rsidRPr="00ED7E61">
        <w:rPr>
          <w:rStyle w:val="normaltextrun"/>
          <w:rFonts w:asciiTheme="majorBidi" w:eastAsiaTheme="majorEastAsia" w:hAnsiTheme="majorBidi" w:cstheme="majorBidi"/>
          <w:lang w:val="en-US"/>
        </w:rPr>
        <w:t xml:space="preserve">National data is collated to form global indicator: </w:t>
      </w:r>
      <w:r w:rsidRPr="00ED7E61">
        <w:rPr>
          <w:rStyle w:val="normaltextrun"/>
          <w:rFonts w:eastAsiaTheme="majorEastAsia"/>
          <w:lang w:val="en-US"/>
        </w:rPr>
        <w:t>​</w:t>
      </w:r>
      <w:r w:rsidRPr="00ED7E61">
        <w:rPr>
          <w:rStyle w:val="normaltextrun"/>
          <w:rFonts w:ascii="Segoe UI Symbol" w:eastAsiaTheme="majorEastAsia" w:hAnsi="Segoe UI Symbol" w:cs="Segoe UI Symbol"/>
          <w:lang w:val="en-US"/>
        </w:rPr>
        <w:t>☐</w:t>
      </w:r>
      <w:r w:rsidRPr="00ED7E61">
        <w:rPr>
          <w:rStyle w:val="normaltextrun"/>
          <w:rFonts w:eastAsiaTheme="majorEastAsia"/>
          <w:lang w:val="en-US"/>
        </w:rPr>
        <w:t>​</w:t>
      </w:r>
      <w:r w:rsidRPr="00ED7E61">
        <w:rPr>
          <w:rStyle w:val="normaltextrun"/>
          <w:lang w:val="en-US"/>
        </w:rPr>
        <w:t> </w:t>
      </w:r>
    </w:p>
    <w:p w14:paraId="30C7B279" w14:textId="77777777" w:rsidR="002C3771" w:rsidRPr="00ED7E61" w:rsidRDefault="002C3771" w:rsidP="002C3771">
      <w:pPr>
        <w:pStyle w:val="CBDNormalNumber"/>
        <w:shd w:val="clear" w:color="auto" w:fill="FFFFFF"/>
        <w:rPr>
          <w:rStyle w:val="normaltextrun"/>
          <w:rFonts w:eastAsiaTheme="majorEastAsia"/>
        </w:rPr>
      </w:pPr>
    </w:p>
    <w:p w14:paraId="218DD9E6"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b/>
          <w:bCs/>
          <w:sz w:val="22"/>
          <w:szCs w:val="22"/>
        </w:rPr>
        <w:t> </w:t>
      </w:r>
    </w:p>
    <w:p w14:paraId="59ED0E44" w14:textId="77777777" w:rsidR="00756F0F" w:rsidRPr="00ED7E61" w:rsidRDefault="00756F0F" w:rsidP="00CE5D0F">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N/A</w:t>
      </w:r>
      <w:r w:rsidRPr="00ED7E61">
        <w:rPr>
          <w:rStyle w:val="normaltextrun"/>
        </w:rPr>
        <w:t> </w:t>
      </w:r>
    </w:p>
    <w:p w14:paraId="76492C0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6c. Sources of differences between global and national figures</w:t>
      </w:r>
      <w:r w:rsidRPr="00ED7E61">
        <w:rPr>
          <w:rStyle w:val="eop"/>
          <w:rFonts w:asciiTheme="majorBidi" w:eastAsiaTheme="majorEastAsia" w:hAnsiTheme="majorBidi" w:cstheme="majorBidi"/>
          <w:b/>
          <w:bCs/>
          <w:sz w:val="22"/>
          <w:szCs w:val="22"/>
        </w:rPr>
        <w:t> </w:t>
      </w:r>
    </w:p>
    <w:p w14:paraId="702A1261" w14:textId="77777777" w:rsidR="00756F0F" w:rsidRPr="00ED7E61" w:rsidRDefault="00756F0F" w:rsidP="00CE5D0F">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N/A</w:t>
      </w:r>
      <w:r w:rsidRPr="00ED7E61">
        <w:rPr>
          <w:rStyle w:val="normaltextrun"/>
        </w:rPr>
        <w:t> </w:t>
      </w:r>
    </w:p>
    <w:p w14:paraId="1910025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b/>
          <w:bCs/>
          <w:sz w:val="22"/>
          <w:szCs w:val="22"/>
        </w:rPr>
        <w:t> </w:t>
      </w:r>
    </w:p>
    <w:p w14:paraId="16374549"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6d.1 Description of the methodology</w:t>
      </w:r>
      <w:r w:rsidRPr="00ED7E61">
        <w:rPr>
          <w:rStyle w:val="eop"/>
          <w:rFonts w:asciiTheme="majorBidi" w:eastAsiaTheme="majorEastAsia" w:hAnsiTheme="majorBidi" w:cstheme="majorBidi"/>
          <w:sz w:val="22"/>
          <w:szCs w:val="22"/>
        </w:rPr>
        <w:t> </w:t>
      </w:r>
    </w:p>
    <w:p w14:paraId="6169CE65" w14:textId="77777777" w:rsidR="00756F0F" w:rsidRPr="00ED7E61" w:rsidRDefault="00756F0F" w:rsidP="00CE5D0F">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N/A</w:t>
      </w:r>
      <w:r w:rsidRPr="00ED7E61">
        <w:rPr>
          <w:rStyle w:val="normaltextrun"/>
        </w:rPr>
        <w:t> </w:t>
      </w:r>
    </w:p>
    <w:p w14:paraId="331FE07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lastRenderedPageBreak/>
        <w:t>6d.2 Additional methodological details</w:t>
      </w:r>
      <w:r w:rsidRPr="00ED7E61">
        <w:rPr>
          <w:rStyle w:val="eop"/>
          <w:rFonts w:asciiTheme="majorBidi" w:eastAsiaTheme="majorEastAsia" w:hAnsiTheme="majorBidi" w:cstheme="majorBidi"/>
          <w:sz w:val="22"/>
          <w:szCs w:val="22"/>
        </w:rPr>
        <w:t> </w:t>
      </w:r>
    </w:p>
    <w:p w14:paraId="68F32505" w14:textId="77777777" w:rsidR="00756F0F" w:rsidRPr="00ED7E61" w:rsidRDefault="00756F0F" w:rsidP="00CE5D0F">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N/A</w:t>
      </w:r>
      <w:r w:rsidRPr="00ED7E61">
        <w:rPr>
          <w:rStyle w:val="normaltextrun"/>
        </w:rPr>
        <w:t> </w:t>
      </w:r>
    </w:p>
    <w:p w14:paraId="52E03151"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lang w:val="en-GB"/>
        </w:rPr>
        <w:t>6d.3 Description of the mechanism for collecting data from countries</w:t>
      </w:r>
      <w:r w:rsidRPr="00ED7E61">
        <w:rPr>
          <w:rStyle w:val="eop"/>
          <w:rFonts w:asciiTheme="majorBidi" w:eastAsiaTheme="majorEastAsia" w:hAnsiTheme="majorBidi" w:cstheme="majorBidi"/>
          <w:sz w:val="22"/>
          <w:szCs w:val="22"/>
        </w:rPr>
        <w:t> </w:t>
      </w:r>
    </w:p>
    <w:p w14:paraId="7DD0DDF8" w14:textId="77777777" w:rsidR="00756F0F" w:rsidRPr="00ED7E61" w:rsidRDefault="00756F0F" w:rsidP="00CE5D0F">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N/A</w:t>
      </w:r>
      <w:r w:rsidRPr="00ED7E61">
        <w:rPr>
          <w:rStyle w:val="normaltextrun"/>
        </w:rPr>
        <w:t> </w:t>
      </w:r>
    </w:p>
    <w:p w14:paraId="50E0625D" w14:textId="77777777" w:rsidR="00756F0F" w:rsidRPr="00ED7E61" w:rsidRDefault="00756F0F" w:rsidP="00812871">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7. Other MEAs, processes and organisations</w:t>
      </w:r>
      <w:r w:rsidRPr="00ED7E61">
        <w:rPr>
          <w:rStyle w:val="eop"/>
          <w:rFonts w:asciiTheme="majorBidi" w:eastAsiaTheme="majorEastAsia" w:hAnsiTheme="majorBidi" w:cstheme="majorBidi"/>
          <w:b/>
          <w:bCs/>
          <w:sz w:val="22"/>
          <w:szCs w:val="22"/>
        </w:rPr>
        <w:t> </w:t>
      </w:r>
    </w:p>
    <w:p w14:paraId="32BB9421" w14:textId="77777777" w:rsidR="00756F0F" w:rsidRPr="00812871" w:rsidRDefault="00756F0F" w:rsidP="00812871">
      <w:pPr>
        <w:pStyle w:val="CBDNormalNumber"/>
        <w:numPr>
          <w:ilvl w:val="0"/>
          <w:numId w:val="94"/>
        </w:numPr>
        <w:shd w:val="clear" w:color="auto" w:fill="FFFFFF"/>
        <w:ind w:left="567" w:firstLine="0"/>
        <w:rPr>
          <w:rStyle w:val="normaltextrun"/>
          <w:rFonts w:eastAsiaTheme="majorEastAsia"/>
        </w:rPr>
      </w:pPr>
      <w:r w:rsidRPr="00812871">
        <w:rPr>
          <w:rStyle w:val="normaltextrun"/>
          <w:rFonts w:asciiTheme="majorBidi" w:eastAsiaTheme="majorEastAsia" w:hAnsiTheme="majorBidi" w:cstheme="majorBidi"/>
        </w:rPr>
        <w:t>Sustainable Development Goal (SDG) 12.C for the fossil fuel data</w:t>
      </w:r>
      <w:r w:rsidRPr="00812871">
        <w:rPr>
          <w:rStyle w:val="normaltextrun"/>
        </w:rPr>
        <w:t> </w:t>
      </w:r>
    </w:p>
    <w:p w14:paraId="57D448E0" w14:textId="0E278C96" w:rsidR="00756F0F" w:rsidRPr="00ED7E61" w:rsidRDefault="00756F0F" w:rsidP="00CE5D0F">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 xml:space="preserve">8. </w:t>
      </w:r>
      <w:r w:rsidR="007D3CD8" w:rsidRPr="00ED7E61">
        <w:rPr>
          <w:rStyle w:val="normaltextrun"/>
          <w:rFonts w:asciiTheme="majorBidi" w:eastAsiaTheme="majorEastAsia" w:hAnsiTheme="majorBidi" w:cstheme="majorBidi"/>
          <w:b/>
          <w:bCs/>
          <w:sz w:val="22"/>
          <w:szCs w:val="22"/>
          <w:lang w:val="en-GB"/>
        </w:rPr>
        <w:t xml:space="preserve">Possible </w:t>
      </w:r>
      <w:proofErr w:type="spellStart"/>
      <w:r w:rsidRPr="00ED7E61">
        <w:rPr>
          <w:rStyle w:val="normaltextrun"/>
          <w:rFonts w:asciiTheme="majorBidi" w:eastAsiaTheme="majorEastAsia" w:hAnsiTheme="majorBidi" w:cstheme="majorBidi"/>
          <w:b/>
          <w:bCs/>
          <w:sz w:val="22"/>
          <w:szCs w:val="22"/>
          <w:lang w:val="en-GB"/>
        </w:rPr>
        <w:t>Disaggregation</w:t>
      </w:r>
      <w:r w:rsidR="007D3CD8" w:rsidRPr="00ED7E61">
        <w:rPr>
          <w:rStyle w:val="normaltextrun"/>
          <w:rFonts w:asciiTheme="majorBidi" w:eastAsiaTheme="majorEastAsia" w:hAnsiTheme="majorBidi" w:cstheme="majorBidi"/>
          <w:b/>
          <w:bCs/>
          <w:sz w:val="22"/>
          <w:szCs w:val="22"/>
          <w:lang w:val="en-GB"/>
        </w:rPr>
        <w:t>s</w:t>
      </w:r>
      <w:proofErr w:type="spellEnd"/>
      <w:r w:rsidRPr="00ED7E61">
        <w:rPr>
          <w:rStyle w:val="eop"/>
          <w:rFonts w:asciiTheme="majorBidi" w:eastAsiaTheme="majorEastAsia" w:hAnsiTheme="majorBidi" w:cstheme="majorBidi"/>
          <w:b/>
          <w:bCs/>
          <w:sz w:val="22"/>
          <w:szCs w:val="22"/>
        </w:rPr>
        <w:t> </w:t>
      </w:r>
    </w:p>
    <w:p w14:paraId="05FCAAAC" w14:textId="77777777" w:rsidR="00756F0F" w:rsidRPr="00812871" w:rsidRDefault="00756F0F" w:rsidP="00812871">
      <w:pPr>
        <w:pStyle w:val="CBDNormalNumber"/>
        <w:numPr>
          <w:ilvl w:val="0"/>
          <w:numId w:val="94"/>
        </w:numPr>
        <w:shd w:val="clear" w:color="auto" w:fill="FFFFFF"/>
        <w:ind w:left="567" w:firstLine="0"/>
        <w:rPr>
          <w:rStyle w:val="normaltextrun"/>
          <w:rFonts w:eastAsiaTheme="majorEastAsia"/>
        </w:rPr>
      </w:pPr>
      <w:r w:rsidRPr="00812871">
        <w:rPr>
          <w:rStyle w:val="normaltextrun"/>
          <w:rFonts w:asciiTheme="majorBidi" w:eastAsiaTheme="majorEastAsia" w:hAnsiTheme="majorBidi" w:cstheme="majorBidi"/>
        </w:rPr>
        <w:t>N/A</w:t>
      </w:r>
      <w:r w:rsidRPr="00812871">
        <w:rPr>
          <w:rStyle w:val="normaltextrun"/>
        </w:rPr>
        <w:t> </w:t>
      </w:r>
    </w:p>
    <w:p w14:paraId="492C2E2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b/>
          <w:bCs/>
          <w:sz w:val="22"/>
          <w:szCs w:val="22"/>
        </w:rPr>
        <w:t> </w:t>
      </w:r>
    </w:p>
    <w:p w14:paraId="3EF435D6" w14:textId="77777777" w:rsidR="00756F0F" w:rsidRPr="00ED7E6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Goal D: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w:t>
      </w:r>
      <w:r w:rsidRPr="00ED7E61">
        <w:rPr>
          <w:rStyle w:val="normaltextrun"/>
        </w:rPr>
        <w:t> </w:t>
      </w:r>
    </w:p>
    <w:p w14:paraId="39C22324" w14:textId="77777777" w:rsidR="00756F0F" w:rsidRPr="00ED7E61" w:rsidRDefault="00756F0F" w:rsidP="00B10F0C">
      <w:pPr>
        <w:pStyle w:val="CBDNormalNumber"/>
        <w:numPr>
          <w:ilvl w:val="0"/>
          <w:numId w:val="94"/>
        </w:numPr>
        <w:shd w:val="clear" w:color="auto" w:fill="FFFFFF"/>
        <w:ind w:left="567" w:firstLine="0"/>
        <w:rPr>
          <w:rStyle w:val="normaltextrun"/>
          <w:rFonts w:eastAsiaTheme="majorEastAsia"/>
        </w:rPr>
      </w:pPr>
      <w:r w:rsidRPr="00ED7E61">
        <w:rPr>
          <w:rStyle w:val="normaltextrun"/>
          <w:rFonts w:asciiTheme="majorBidi" w:eastAsiaTheme="majorEastAsia" w:hAnsiTheme="majorBidi" w:cstheme="majorBidi"/>
        </w:rPr>
        <w:t>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w:t>
      </w:r>
      <w:r w:rsidRPr="00ED7E61">
        <w:rPr>
          <w:rStyle w:val="normaltextrun"/>
        </w:rPr>
        <w:t> </w:t>
      </w:r>
    </w:p>
    <w:p w14:paraId="67CAF21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b/>
          <w:bCs/>
          <w:sz w:val="22"/>
          <w:szCs w:val="22"/>
        </w:rPr>
        <w:t> </w:t>
      </w:r>
    </w:p>
    <w:p w14:paraId="6FB670A3" w14:textId="05E7BA02"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10a. Organi</w:t>
      </w:r>
      <w:r w:rsidR="00CE5D0F">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b/>
          <w:bCs/>
          <w:sz w:val="22"/>
          <w:szCs w:val="22"/>
        </w:rPr>
        <w:t> </w:t>
      </w:r>
    </w:p>
    <w:p w14:paraId="450C08F6" w14:textId="77777777" w:rsidR="00756F0F" w:rsidRPr="00ED7E61" w:rsidRDefault="00756F0F" w:rsidP="00CE5D0F">
      <w:pPr>
        <w:pStyle w:val="CBDNormalNumber"/>
        <w:shd w:val="clear" w:color="auto" w:fill="FFFFFF"/>
        <w:ind w:left="567"/>
        <w:rPr>
          <w:rStyle w:val="normaltextrun"/>
          <w:rFonts w:eastAsiaTheme="majorEastAsia"/>
        </w:rPr>
      </w:pPr>
      <w:r w:rsidRPr="00ED7E61">
        <w:rPr>
          <w:rStyle w:val="normaltextrun"/>
          <w:rFonts w:asciiTheme="majorBidi" w:eastAsiaTheme="majorEastAsia" w:hAnsiTheme="majorBidi" w:cstheme="majorBidi"/>
        </w:rPr>
        <w:t>Depends on the data set. See above for further detail.</w:t>
      </w:r>
      <w:r w:rsidRPr="00ED7E61">
        <w:rPr>
          <w:rStyle w:val="normaltextrun"/>
        </w:rPr>
        <w:t> </w:t>
      </w:r>
    </w:p>
    <w:p w14:paraId="79C0A6F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b/>
          <w:bCs/>
          <w:sz w:val="22"/>
          <w:szCs w:val="22"/>
        </w:rPr>
        <w:t> </w:t>
      </w:r>
    </w:p>
    <w:p w14:paraId="6ED37879"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ED7E61">
        <w:rPr>
          <w:rStyle w:val="eop"/>
          <w:rFonts w:asciiTheme="majorBidi" w:eastAsiaTheme="majorEastAsia" w:hAnsiTheme="majorBidi" w:cstheme="majorBidi"/>
          <w:sz w:val="22"/>
          <w:szCs w:val="22"/>
        </w:rPr>
        <w:t> </w:t>
      </w:r>
    </w:p>
    <w:p w14:paraId="55087DB9" w14:textId="66A46E4B" w:rsidR="00A05CB5" w:rsidRPr="00ED7E61" w:rsidRDefault="00756F0F" w:rsidP="00CE5D0F">
      <w:pPr>
        <w:pStyle w:val="CBDNormalNumber"/>
        <w:shd w:val="clear" w:color="auto" w:fill="FFFFFF"/>
        <w:ind w:left="567"/>
        <w:rPr>
          <w:rFonts w:asciiTheme="majorBidi" w:hAnsiTheme="majorBidi" w:cstheme="majorBidi"/>
          <w:lang w:val="fr-FR"/>
        </w:rPr>
      </w:pPr>
      <w:r w:rsidRPr="00FB1598">
        <w:rPr>
          <w:rStyle w:val="normaltextrun"/>
          <w:rFonts w:asciiTheme="majorBidi" w:eastAsiaTheme="majorEastAsia" w:hAnsiTheme="majorBidi" w:cstheme="majorBidi"/>
          <w:lang w:val="fr-FR"/>
        </w:rPr>
        <w:t>Martin</w:t>
      </w:r>
      <w:r w:rsidRPr="00ED7E61">
        <w:rPr>
          <w:rStyle w:val="normaltextrun"/>
          <w:rFonts w:asciiTheme="majorBidi" w:eastAsiaTheme="majorEastAsia" w:hAnsiTheme="majorBidi" w:cstheme="majorBidi"/>
          <w:lang w:val="fr-FR"/>
        </w:rPr>
        <w:t xml:space="preserve"> von Lampe, </w:t>
      </w:r>
      <w:hyperlink r:id="rId472" w:tgtFrame="_blank" w:history="1">
        <w:r w:rsidRPr="00ED7E61">
          <w:rPr>
            <w:rStyle w:val="normaltextrun"/>
            <w:rFonts w:asciiTheme="majorBidi" w:eastAsiaTheme="majorEastAsia" w:hAnsiTheme="majorBidi" w:cstheme="majorBidi"/>
            <w:color w:val="467886"/>
            <w:u w:val="single"/>
            <w:lang w:val="fr-FR"/>
          </w:rPr>
          <w:t>martin.vonlampe@oecd.org</w:t>
        </w:r>
      </w:hyperlink>
      <w:r w:rsidRPr="00ED7E61">
        <w:rPr>
          <w:rStyle w:val="normaltextrun"/>
          <w:rFonts w:asciiTheme="majorBidi" w:eastAsiaTheme="majorEastAsia" w:hAnsiTheme="majorBidi" w:cstheme="majorBidi"/>
          <w:lang w:val="fr-FR"/>
        </w:rPr>
        <w:t> </w:t>
      </w:r>
      <w:r w:rsidRPr="00ED7E61">
        <w:rPr>
          <w:rStyle w:val="eop"/>
          <w:rFonts w:asciiTheme="majorBidi" w:eastAsiaTheme="majorEastAsia" w:hAnsiTheme="majorBidi" w:cstheme="majorBidi"/>
          <w:lang w:val="fr-FR"/>
        </w:rPr>
        <w:t> </w:t>
      </w:r>
    </w:p>
    <w:p w14:paraId="3F07148A" w14:textId="282F595B" w:rsidR="00756F0F" w:rsidRPr="00ED7E61" w:rsidRDefault="00964390" w:rsidP="00964390">
      <w:pPr>
        <w:pStyle w:val="CBDNormalNumber"/>
        <w:shd w:val="clear" w:color="auto" w:fill="FFFFFF"/>
        <w:ind w:left="567"/>
        <w:rPr>
          <w:rFonts w:asciiTheme="majorBidi" w:hAnsiTheme="majorBidi" w:cstheme="majorBidi"/>
          <w:lang w:val="fi-FI"/>
        </w:rPr>
      </w:pPr>
      <w:hyperlink r:id="rId473" w:history="1">
        <w:r w:rsidRPr="00964390">
          <w:rPr>
            <w:rStyle w:val="Hyperlink"/>
            <w:rFonts w:asciiTheme="majorBidi" w:eastAsiaTheme="majorEastAsia" w:hAnsiTheme="majorBidi" w:cstheme="majorBidi"/>
            <w:lang w:val="fr-FR"/>
          </w:rPr>
          <w:t>Jussi</w:t>
        </w:r>
      </w:hyperlink>
      <w:r w:rsidRPr="00964390">
        <w:rPr>
          <w:rFonts w:asciiTheme="majorBidi" w:eastAsiaTheme="majorEastAsia" w:hAnsiTheme="majorBidi" w:cstheme="majorBidi"/>
          <w:lang w:val="fr-FR"/>
        </w:rPr>
        <w:t xml:space="preserve"> Lankoski, jussi.lankoski@oecd.org</w:t>
      </w:r>
      <w:r w:rsidRPr="00964390">
        <w:rPr>
          <w:rFonts w:asciiTheme="majorBidi" w:eastAsiaTheme="majorEastAsia" w:hAnsiTheme="majorBidi" w:cstheme="majorBidi"/>
          <w:lang w:val="fi-FI"/>
        </w:rPr>
        <w:t>  </w:t>
      </w:r>
      <w:r w:rsidR="00756F0F" w:rsidRPr="00ED7E61">
        <w:rPr>
          <w:rStyle w:val="normaltextrun"/>
          <w:rFonts w:asciiTheme="majorBidi" w:eastAsiaTheme="majorEastAsia" w:hAnsiTheme="majorBidi" w:cstheme="majorBidi"/>
          <w:lang w:val="fi-FI"/>
        </w:rPr>
        <w:t> </w:t>
      </w:r>
      <w:r w:rsidR="00756F0F" w:rsidRPr="00ED7E61">
        <w:rPr>
          <w:rStyle w:val="eop"/>
          <w:rFonts w:asciiTheme="majorBidi" w:eastAsiaTheme="majorEastAsia" w:hAnsiTheme="majorBidi" w:cstheme="majorBidi"/>
          <w:lang w:val="fi-FI"/>
        </w:rPr>
        <w:t> </w:t>
      </w:r>
    </w:p>
    <w:p w14:paraId="0DABCE00" w14:textId="0A575C33" w:rsidR="00756F0F" w:rsidRPr="00ED7E61" w:rsidRDefault="00756F0F" w:rsidP="00CE5D0F">
      <w:pPr>
        <w:pStyle w:val="CBDNormalNumber"/>
        <w:shd w:val="clear" w:color="auto" w:fill="FFFFFF"/>
        <w:ind w:left="567"/>
        <w:rPr>
          <w:rFonts w:asciiTheme="majorBidi" w:hAnsiTheme="majorBidi" w:cstheme="majorBidi"/>
          <w:lang w:val="fi-FI"/>
        </w:rPr>
      </w:pPr>
      <w:r w:rsidRPr="002C3771">
        <w:rPr>
          <w:rStyle w:val="normaltextrun"/>
          <w:rFonts w:asciiTheme="majorBidi" w:eastAsiaTheme="majorEastAsia" w:hAnsiTheme="majorBidi" w:cstheme="majorBidi"/>
        </w:rPr>
        <w:t>Katia</w:t>
      </w:r>
      <w:r w:rsidRPr="00ED7E61">
        <w:rPr>
          <w:rStyle w:val="normaltextrun"/>
          <w:rFonts w:asciiTheme="majorBidi" w:eastAsiaTheme="majorEastAsia" w:hAnsiTheme="majorBidi" w:cstheme="majorBidi"/>
          <w:lang w:val="fi-FI"/>
        </w:rPr>
        <w:t xml:space="preserve"> </w:t>
      </w:r>
      <w:r w:rsidRPr="00ED7E61">
        <w:rPr>
          <w:rStyle w:val="normaltextrun"/>
          <w:rFonts w:asciiTheme="majorBidi" w:eastAsiaTheme="majorEastAsia" w:hAnsiTheme="majorBidi" w:cstheme="majorBidi"/>
        </w:rPr>
        <w:t>Karousakis</w:t>
      </w:r>
      <w:r w:rsidR="00964390">
        <w:rPr>
          <w:rStyle w:val="normaltextrun"/>
          <w:rFonts w:asciiTheme="majorBidi" w:eastAsiaTheme="majorEastAsia" w:hAnsiTheme="majorBidi" w:cstheme="majorBidi"/>
        </w:rPr>
        <w:t xml:space="preserve"> (OECD CBD Focal point)</w:t>
      </w:r>
      <w:r w:rsidRPr="00ED7E61">
        <w:rPr>
          <w:rStyle w:val="normaltextrun"/>
          <w:rFonts w:asciiTheme="majorBidi" w:eastAsiaTheme="majorEastAsia" w:hAnsiTheme="majorBidi" w:cstheme="majorBidi"/>
          <w:lang w:val="fi-FI"/>
        </w:rPr>
        <w:t xml:space="preserve">, </w:t>
      </w:r>
      <w:hyperlink r:id="rId474" w:tgtFrame="_blank" w:history="1">
        <w:r w:rsidRPr="00ED7E61">
          <w:rPr>
            <w:rStyle w:val="normaltextrun"/>
            <w:rFonts w:asciiTheme="majorBidi" w:eastAsiaTheme="majorEastAsia" w:hAnsiTheme="majorBidi" w:cstheme="majorBidi"/>
            <w:color w:val="467886"/>
            <w:u w:val="single"/>
            <w:lang w:val="fi-FI"/>
          </w:rPr>
          <w:t>katia.karousakis@oecd.org</w:t>
        </w:r>
      </w:hyperlink>
      <w:r w:rsidRPr="00ED7E61">
        <w:rPr>
          <w:rStyle w:val="normaltextrun"/>
          <w:rFonts w:asciiTheme="majorBidi" w:eastAsiaTheme="majorEastAsia" w:hAnsiTheme="majorBidi" w:cstheme="majorBidi"/>
          <w:lang w:val="fi-FI"/>
        </w:rPr>
        <w:t>.</w:t>
      </w:r>
      <w:r w:rsidRPr="00ED7E61">
        <w:rPr>
          <w:rStyle w:val="eop"/>
          <w:rFonts w:asciiTheme="majorBidi" w:eastAsiaTheme="majorEastAsia" w:hAnsiTheme="majorBidi" w:cstheme="majorBidi"/>
          <w:lang w:val="fi-FI"/>
        </w:rPr>
        <w:t> </w:t>
      </w:r>
    </w:p>
    <w:p w14:paraId="130A7DA4"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fossil fuel subsidies (production and consumption)</w:t>
      </w:r>
      <w:r w:rsidRPr="00ED7E61">
        <w:rPr>
          <w:rStyle w:val="eop"/>
          <w:rFonts w:asciiTheme="majorBidi" w:eastAsiaTheme="majorEastAsia" w:hAnsiTheme="majorBidi" w:cstheme="majorBidi"/>
          <w:sz w:val="22"/>
          <w:szCs w:val="22"/>
        </w:rPr>
        <w:t> </w:t>
      </w:r>
    </w:p>
    <w:p w14:paraId="74037538" w14:textId="2709D36C" w:rsidR="00A05CB5" w:rsidRPr="00ED7E61" w:rsidRDefault="00756F0F" w:rsidP="00CE5D0F">
      <w:pPr>
        <w:pStyle w:val="CBDNormalNumber"/>
        <w:shd w:val="clear" w:color="auto" w:fill="FFFFFF"/>
        <w:ind w:left="567"/>
        <w:rPr>
          <w:rFonts w:asciiTheme="majorBidi" w:hAnsiTheme="majorBidi" w:cstheme="majorBidi"/>
        </w:rPr>
      </w:pPr>
      <w:r w:rsidRPr="002C3771">
        <w:rPr>
          <w:rStyle w:val="normaltextrun"/>
          <w:rFonts w:asciiTheme="majorBidi" w:eastAsiaTheme="majorEastAsia" w:hAnsiTheme="majorBidi" w:cstheme="majorBidi"/>
        </w:rPr>
        <w:t>https</w:t>
      </w:r>
      <w:r w:rsidRPr="00ED7E61">
        <w:rPr>
          <w:rStyle w:val="normaltextrun"/>
          <w:rFonts w:asciiTheme="majorBidi" w:eastAsiaTheme="majorEastAsia" w:hAnsiTheme="majorBidi" w:cstheme="majorBidi"/>
        </w:rPr>
        <w:t>://unstats.un.org/sdgs/metadata/files/Metadata-12-0c-01.pdf and Home - Fossil Fuel Subsidies (fossilfuelsubsidytracker.org))  </w:t>
      </w:r>
      <w:r w:rsidRPr="00ED7E61">
        <w:rPr>
          <w:rStyle w:val="eop"/>
          <w:rFonts w:asciiTheme="majorBidi" w:eastAsiaTheme="majorEastAsia" w:hAnsiTheme="majorBidi" w:cstheme="majorBidi"/>
        </w:rPr>
        <w:t> </w:t>
      </w:r>
    </w:p>
    <w:p w14:paraId="7FD01261" w14:textId="05DD9AC8" w:rsidR="00A05CB5" w:rsidRPr="00ED7E61" w:rsidRDefault="00CE5D0F" w:rsidP="00CE5D0F">
      <w:pPr>
        <w:pStyle w:val="CBDNormalNumber"/>
        <w:shd w:val="clear" w:color="auto" w:fill="FFFFFF"/>
        <w:ind w:left="567"/>
        <w:rPr>
          <w:rFonts w:asciiTheme="majorBidi" w:hAnsiTheme="majorBidi" w:cstheme="majorBidi"/>
        </w:rPr>
      </w:pPr>
      <w:hyperlink r:id="rId475" w:history="1">
        <w:r w:rsidRPr="004C58D6">
          <w:rPr>
            <w:rStyle w:val="Hyperlink"/>
            <w:rFonts w:asciiTheme="majorBidi" w:eastAsiaTheme="majorEastAsia" w:hAnsiTheme="majorBidi" w:cstheme="majorBidi"/>
          </w:rPr>
          <w:t>joy</w:t>
        </w:r>
        <w:r w:rsidRPr="004C58D6">
          <w:rPr>
            <w:rStyle w:val="Hyperlink"/>
          </w:rPr>
          <w:t>.kim@un.org</w:t>
        </w:r>
      </w:hyperlink>
      <w:r w:rsidR="00756F0F" w:rsidRPr="00ED7E61">
        <w:rPr>
          <w:rStyle w:val="eop"/>
          <w:rFonts w:asciiTheme="majorBidi" w:eastAsiaTheme="majorEastAsia" w:hAnsiTheme="majorBidi" w:cstheme="majorBidi"/>
        </w:rPr>
        <w:t> </w:t>
      </w:r>
    </w:p>
    <w:p w14:paraId="6F3DBAF1" w14:textId="1E5D3F0B" w:rsidR="00756F0F" w:rsidRPr="00ED7E61" w:rsidRDefault="00CE5D0F" w:rsidP="00CE5D0F">
      <w:pPr>
        <w:pStyle w:val="CBDNormalNumber"/>
        <w:shd w:val="clear" w:color="auto" w:fill="FFFFFF"/>
        <w:ind w:left="567"/>
        <w:rPr>
          <w:rFonts w:asciiTheme="majorBidi" w:hAnsiTheme="majorBidi" w:cstheme="majorBidi"/>
        </w:rPr>
      </w:pPr>
      <w:hyperlink r:id="rId476" w:history="1">
        <w:r w:rsidRPr="004C58D6">
          <w:rPr>
            <w:rStyle w:val="Hyperlink"/>
            <w:rFonts w:asciiTheme="majorBidi" w:eastAsiaTheme="majorEastAsia" w:hAnsiTheme="majorBidi" w:cstheme="majorBidi"/>
          </w:rPr>
          <w:t>unep</w:t>
        </w:r>
        <w:r w:rsidRPr="004C58D6">
          <w:rPr>
            <w:rStyle w:val="Hyperlink"/>
          </w:rPr>
          <w:t>-science-sdgs@un.org</w:t>
        </w:r>
      </w:hyperlink>
      <w:r w:rsidR="00756F0F" w:rsidRPr="00ED7E61">
        <w:rPr>
          <w:rStyle w:val="normaltextrun"/>
          <w:rFonts w:asciiTheme="majorBidi" w:eastAsiaTheme="majorEastAsia" w:hAnsiTheme="majorBidi" w:cstheme="majorBidi"/>
        </w:rPr>
        <w:t> </w:t>
      </w:r>
      <w:r w:rsidR="00756F0F" w:rsidRPr="00ED7E61">
        <w:rPr>
          <w:rStyle w:val="eop"/>
          <w:rFonts w:asciiTheme="majorBidi" w:eastAsiaTheme="majorEastAsia" w:hAnsiTheme="majorBidi" w:cstheme="majorBidi"/>
        </w:rPr>
        <w:t> </w:t>
      </w:r>
    </w:p>
    <w:p w14:paraId="2E39B526"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 </w:t>
      </w:r>
      <w:r w:rsidRPr="00ED7E61">
        <w:rPr>
          <w:rStyle w:val="eop"/>
          <w:rFonts w:asciiTheme="majorBidi" w:eastAsiaTheme="majorEastAsia" w:hAnsiTheme="majorBidi" w:cstheme="majorBidi"/>
          <w:sz w:val="22"/>
          <w:szCs w:val="22"/>
        </w:rPr>
        <w:t> </w:t>
      </w:r>
    </w:p>
    <w:p w14:paraId="33A718E4" w14:textId="3E72C7D3" w:rsidR="00EE6B3A" w:rsidRDefault="00E21163" w:rsidP="00EE6B3A">
      <w:pPr>
        <w:pStyle w:val="CBDNormalNumber"/>
        <w:shd w:val="clear" w:color="auto" w:fill="FFFFFF"/>
        <w:ind w:left="567"/>
        <w:rPr>
          <w:rStyle w:val="normaltextrun"/>
          <w:rFonts w:asciiTheme="majorBidi" w:hAnsiTheme="majorBidi"/>
        </w:rPr>
      </w:pPr>
      <w:r>
        <w:rPr>
          <w:rStyle w:val="normaltextrun"/>
          <w:rFonts w:asciiTheme="majorBidi" w:hAnsiTheme="majorBidi"/>
        </w:rPr>
        <w:t>Claire Delpeuch</w:t>
      </w:r>
      <w:r w:rsidR="00EE6B3A">
        <w:rPr>
          <w:rStyle w:val="normaltextrun"/>
          <w:rFonts w:asciiTheme="majorBidi" w:hAnsiTheme="majorBidi"/>
        </w:rPr>
        <w:t xml:space="preserve">, </w:t>
      </w:r>
      <w:hyperlink r:id="rId477" w:history="1">
        <w:r w:rsidR="00EE6B3A" w:rsidRPr="00EE6B3A">
          <w:rPr>
            <w:rStyle w:val="Hyperlink"/>
            <w:rFonts w:asciiTheme="majorBidi" w:hAnsiTheme="majorBidi"/>
          </w:rPr>
          <w:t>claire.delpeuch@oecd.org</w:t>
        </w:r>
      </w:hyperlink>
      <w:r w:rsidR="00EE6B3A">
        <w:rPr>
          <w:rStyle w:val="normaltextrun"/>
          <w:rFonts w:asciiTheme="majorBidi" w:hAnsiTheme="majorBidi"/>
        </w:rPr>
        <w:t xml:space="preserve"> </w:t>
      </w:r>
    </w:p>
    <w:p w14:paraId="74AAFA0A" w14:textId="273D0445" w:rsidR="00EE6B3A" w:rsidRDefault="00E21163" w:rsidP="00EE6B3A">
      <w:pPr>
        <w:pStyle w:val="CBDNormalNumber"/>
        <w:shd w:val="clear" w:color="auto" w:fill="FFFFFF"/>
        <w:ind w:left="567"/>
        <w:rPr>
          <w:rStyle w:val="normaltextrun"/>
          <w:rFonts w:asciiTheme="majorBidi" w:hAnsiTheme="majorBidi"/>
        </w:rPr>
      </w:pPr>
      <w:r>
        <w:rPr>
          <w:rStyle w:val="normaltextrun"/>
          <w:rFonts w:asciiTheme="majorBidi" w:hAnsiTheme="majorBidi"/>
        </w:rPr>
        <w:t>Will Symes</w:t>
      </w:r>
      <w:r w:rsidR="00EE6B3A">
        <w:rPr>
          <w:rStyle w:val="normaltextrun"/>
          <w:rFonts w:asciiTheme="majorBidi" w:hAnsiTheme="majorBidi"/>
        </w:rPr>
        <w:t>,</w:t>
      </w:r>
      <w:r>
        <w:rPr>
          <w:rStyle w:val="normaltextrun"/>
          <w:rFonts w:asciiTheme="majorBidi" w:hAnsiTheme="majorBidi"/>
        </w:rPr>
        <w:t xml:space="preserve"> </w:t>
      </w:r>
      <w:hyperlink r:id="rId478" w:history="1">
        <w:r w:rsidR="00EE6B3A">
          <w:rPr>
            <w:rStyle w:val="Hyperlink"/>
            <w:rFonts w:asciiTheme="majorBidi" w:hAnsiTheme="majorBidi"/>
          </w:rPr>
          <w:t>will.symes@oecd.org</w:t>
        </w:r>
      </w:hyperlink>
      <w:r>
        <w:rPr>
          <w:rStyle w:val="normaltextrun"/>
          <w:rFonts w:asciiTheme="majorBidi" w:hAnsiTheme="majorBidi"/>
        </w:rPr>
        <w:t xml:space="preserve"> (cc: </w:t>
      </w:r>
      <w:hyperlink r:id="rId479" w:history="1">
        <w:r>
          <w:rPr>
            <w:rStyle w:val="Hyperlink"/>
            <w:rFonts w:asciiTheme="majorBidi" w:hAnsiTheme="majorBidi"/>
          </w:rPr>
          <w:t>fish.contact@oecd.org</w:t>
        </w:r>
      </w:hyperlink>
      <w:r>
        <w:rPr>
          <w:rStyle w:val="normaltextrun"/>
          <w:rFonts w:asciiTheme="majorBidi" w:hAnsiTheme="majorBidi"/>
        </w:rPr>
        <w:t xml:space="preserve">) </w:t>
      </w:r>
    </w:p>
    <w:p w14:paraId="34C863D9" w14:textId="0C214D9B" w:rsidR="00E21163" w:rsidRDefault="00E21163" w:rsidP="00812871">
      <w:pPr>
        <w:pStyle w:val="CBDNormalNumber"/>
        <w:shd w:val="clear" w:color="auto" w:fill="FFFFFF"/>
        <w:ind w:left="567"/>
        <w:rPr>
          <w:rStyle w:val="normaltextrun"/>
          <w:rFonts w:asciiTheme="majorBidi" w:eastAsiaTheme="majorEastAsia" w:hAnsiTheme="majorBidi" w:cstheme="majorBidi"/>
        </w:rPr>
      </w:pPr>
      <w:r>
        <w:rPr>
          <w:rStyle w:val="normaltextrun"/>
          <w:rFonts w:asciiTheme="majorBidi" w:hAnsiTheme="majorBidi"/>
        </w:rPr>
        <w:t>Katia Karousakis (OECD CBD Focal point: katia.karousakis@oecd.org)</w:t>
      </w:r>
    </w:p>
    <w:p w14:paraId="21B0B069" w14:textId="6765B302" w:rsidR="00756F0F" w:rsidRPr="00ED7E61" w:rsidRDefault="00A70C42"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Pr>
          <w:rStyle w:val="normaltextrun"/>
          <w:rFonts w:asciiTheme="majorBidi" w:eastAsiaTheme="majorEastAsia" w:hAnsiTheme="majorBidi" w:cstheme="majorBidi"/>
          <w:b/>
          <w:bCs/>
          <w:sz w:val="22"/>
          <w:szCs w:val="22"/>
          <w:lang w:val="en-GB"/>
        </w:rPr>
        <w:t xml:space="preserve">11. </w:t>
      </w:r>
      <w:r w:rsidR="00756F0F" w:rsidRPr="00ED7E61">
        <w:rPr>
          <w:rStyle w:val="normaltextrun"/>
          <w:rFonts w:asciiTheme="majorBidi" w:eastAsiaTheme="majorEastAsia" w:hAnsiTheme="majorBidi" w:cstheme="majorBidi"/>
          <w:b/>
          <w:bCs/>
          <w:sz w:val="22"/>
          <w:szCs w:val="22"/>
          <w:lang w:val="en-GB"/>
        </w:rPr>
        <w:t>References</w:t>
      </w:r>
      <w:r w:rsidR="00756F0F" w:rsidRPr="00ED7E61">
        <w:rPr>
          <w:rStyle w:val="eop"/>
          <w:rFonts w:asciiTheme="majorBidi" w:eastAsiaTheme="majorEastAsia" w:hAnsiTheme="majorBidi" w:cstheme="majorBidi"/>
          <w:b/>
          <w:bCs/>
          <w:sz w:val="22"/>
          <w:szCs w:val="22"/>
        </w:rPr>
        <w:t> </w:t>
      </w:r>
    </w:p>
    <w:p w14:paraId="603A4760" w14:textId="64AFBEFF" w:rsidR="003A6EAC" w:rsidRDefault="00DC1A5D" w:rsidP="00DC1A5D">
      <w:pPr>
        <w:pStyle w:val="CBDNormalNumber"/>
        <w:shd w:val="clear" w:color="auto" w:fill="FFFFFF"/>
        <w:ind w:left="567"/>
        <w:rPr>
          <w:rFonts w:asciiTheme="majorBidi" w:eastAsiaTheme="majorEastAsia" w:hAnsiTheme="majorBidi" w:cstheme="majorBidi"/>
          <w:lang w:val="en-CA"/>
        </w:rPr>
      </w:pPr>
      <w:r w:rsidRPr="00F7670D">
        <w:rPr>
          <w:rFonts w:asciiTheme="majorBidi" w:eastAsiaTheme="majorEastAsia" w:hAnsiTheme="majorBidi" w:cstheme="majorBidi"/>
          <w:lang w:val="en-CA"/>
        </w:rPr>
        <w:lastRenderedPageBreak/>
        <w:t xml:space="preserve">Damania, Richard; Balseca, Esteban; de </w:t>
      </w:r>
      <w:proofErr w:type="spellStart"/>
      <w:r w:rsidRPr="00F7670D">
        <w:rPr>
          <w:rFonts w:asciiTheme="majorBidi" w:eastAsiaTheme="majorEastAsia" w:hAnsiTheme="majorBidi" w:cstheme="majorBidi"/>
          <w:lang w:val="en-CA"/>
        </w:rPr>
        <w:t>Fontaubert</w:t>
      </w:r>
      <w:proofErr w:type="spellEnd"/>
      <w:r w:rsidRPr="00F7670D">
        <w:rPr>
          <w:rFonts w:asciiTheme="majorBidi" w:eastAsiaTheme="majorEastAsia" w:hAnsiTheme="majorBidi" w:cstheme="majorBidi"/>
          <w:lang w:val="en-CA"/>
        </w:rPr>
        <w:t xml:space="preserve">, Charlotte; Gill, Joshua; Kim, Kichan; Rentschler, Jun; Russ, Jason; Zaveri, Esha (2023), “Detox Development: Repurposing Environmentally Harmful Subsidies”, Washington DC, World Bank. </w:t>
      </w:r>
      <w:hyperlink r:id="rId480" w:history="1">
        <w:r w:rsidR="003A6EAC" w:rsidRPr="00F7670D">
          <w:rPr>
            <w:rStyle w:val="Hyperlink"/>
            <w:rFonts w:asciiTheme="majorBidi" w:eastAsiaTheme="majorEastAsia" w:hAnsiTheme="majorBidi" w:cstheme="majorBidi"/>
            <w:lang w:val="en-CA"/>
          </w:rPr>
          <w:t>https://doi:10.1596/978-1-4648-1916-2</w:t>
        </w:r>
      </w:hyperlink>
    </w:p>
    <w:p w14:paraId="161B86B4" w14:textId="79021706" w:rsidR="006C0B83" w:rsidRDefault="006C0B83" w:rsidP="00DC1A5D">
      <w:pPr>
        <w:pStyle w:val="CBDNormalNumber"/>
        <w:shd w:val="clear" w:color="auto" w:fill="FFFFFF"/>
        <w:ind w:left="567"/>
        <w:rPr>
          <w:rStyle w:val="normaltextrun"/>
          <w:rFonts w:asciiTheme="majorBidi" w:eastAsiaTheme="majorEastAsia" w:hAnsiTheme="majorBidi" w:cstheme="majorBidi"/>
        </w:rPr>
      </w:pPr>
      <w:r w:rsidRPr="006C0B83">
        <w:rPr>
          <w:rFonts w:asciiTheme="majorBidi" w:eastAsiaTheme="majorEastAsia" w:hAnsiTheme="majorBidi" w:cstheme="majorBidi"/>
          <w:lang w:val="en-CA"/>
        </w:rPr>
        <w:t>DeBoe, G. (2020), “Economic and environmental sustainability performance of environmental policies in agriculture”, OECD Food, Agriculture and Fisheries Papers, No. 140, OECD Publishing, Paris. http://dx.doi.org/10.1787/3d459f91-en</w:t>
      </w:r>
      <w:r w:rsidR="00283468" w:rsidRPr="00ED7E61">
        <w:rPr>
          <w:rStyle w:val="normaltextrun"/>
          <w:rFonts w:asciiTheme="majorBidi" w:eastAsiaTheme="majorEastAsia" w:hAnsiTheme="majorBidi" w:cstheme="majorBidi"/>
        </w:rPr>
        <w:t xml:space="preserve">Henderson </w:t>
      </w:r>
    </w:p>
    <w:p w14:paraId="2BA8810C" w14:textId="77777777" w:rsidR="00CE049C" w:rsidRDefault="00CE049C" w:rsidP="00CE049C">
      <w:pPr>
        <w:pStyle w:val="CBDNormalNumber"/>
        <w:ind w:left="567"/>
        <w:rPr>
          <w:rFonts w:asciiTheme="majorBidi" w:eastAsiaTheme="majorEastAsia" w:hAnsiTheme="majorBidi" w:cstheme="majorBidi"/>
          <w:lang w:val="en-CA"/>
        </w:rPr>
      </w:pPr>
      <w:r w:rsidRPr="00CE049C">
        <w:rPr>
          <w:rFonts w:asciiTheme="majorBidi" w:eastAsiaTheme="majorEastAsia" w:hAnsiTheme="majorBidi" w:cstheme="majorBidi"/>
          <w:lang w:val="en-CA"/>
        </w:rPr>
        <w:t>Henderson, B. and J. </w:t>
      </w:r>
      <w:proofErr w:type="spellStart"/>
      <w:r w:rsidRPr="00CE049C">
        <w:rPr>
          <w:rFonts w:asciiTheme="majorBidi" w:eastAsiaTheme="majorEastAsia" w:hAnsiTheme="majorBidi" w:cstheme="majorBidi"/>
          <w:lang w:val="en-CA"/>
        </w:rPr>
        <w:t>Lankoski</w:t>
      </w:r>
      <w:proofErr w:type="spellEnd"/>
      <w:r w:rsidRPr="00CE049C">
        <w:rPr>
          <w:rFonts w:asciiTheme="majorBidi" w:eastAsiaTheme="majorEastAsia" w:hAnsiTheme="majorBidi" w:cstheme="majorBidi"/>
          <w:lang w:val="en-CA"/>
        </w:rPr>
        <w:t xml:space="preserve"> (2019), “Evaluating the environmental impact of agricultural policies”, </w:t>
      </w:r>
      <w:r w:rsidRPr="00CE049C">
        <w:rPr>
          <w:rFonts w:asciiTheme="majorBidi" w:eastAsiaTheme="majorEastAsia" w:hAnsiTheme="majorBidi" w:cstheme="majorBidi"/>
          <w:i/>
          <w:iCs/>
          <w:lang w:val="en-CA"/>
        </w:rPr>
        <w:t>OECD Food, Agriculture and Fisheries Papers</w:t>
      </w:r>
      <w:r w:rsidRPr="00CE049C">
        <w:rPr>
          <w:rFonts w:asciiTheme="majorBidi" w:eastAsiaTheme="majorEastAsia" w:hAnsiTheme="majorBidi" w:cstheme="majorBidi"/>
          <w:lang w:val="en-CA"/>
        </w:rPr>
        <w:t>, No. 130, OECD Publishing, Paris, </w:t>
      </w:r>
      <w:hyperlink r:id="rId481" w:history="1">
        <w:r w:rsidRPr="00CE049C">
          <w:rPr>
            <w:rStyle w:val="Hyperlink"/>
            <w:rFonts w:asciiTheme="majorBidi" w:eastAsiaTheme="majorEastAsia" w:hAnsiTheme="majorBidi" w:cstheme="majorBidi"/>
            <w:lang w:val="en-CA"/>
          </w:rPr>
          <w:t>https://doi.org/10.1787/add0f27c-en</w:t>
        </w:r>
      </w:hyperlink>
      <w:r w:rsidRPr="00CE049C">
        <w:rPr>
          <w:rFonts w:asciiTheme="majorBidi" w:eastAsiaTheme="majorEastAsia" w:hAnsiTheme="majorBidi" w:cstheme="majorBidi"/>
          <w:lang w:val="en-CA"/>
        </w:rPr>
        <w:t>.</w:t>
      </w:r>
    </w:p>
    <w:p w14:paraId="6D0615AC" w14:textId="77777777" w:rsidR="000948D4" w:rsidRDefault="000948D4" w:rsidP="000948D4">
      <w:pPr>
        <w:pStyle w:val="CBDNormalNumber"/>
        <w:shd w:val="clear" w:color="auto" w:fill="FFFFFF"/>
        <w:ind w:left="567"/>
        <w:rPr>
          <w:lang w:val="en-CA"/>
        </w:rPr>
      </w:pPr>
      <w:proofErr w:type="spellStart"/>
      <w:r w:rsidRPr="000948D4">
        <w:rPr>
          <w:lang w:val="en-CA"/>
        </w:rPr>
        <w:t>Lankoski</w:t>
      </w:r>
      <w:proofErr w:type="spellEnd"/>
      <w:r w:rsidRPr="000948D4">
        <w:rPr>
          <w:lang w:val="en-CA"/>
        </w:rPr>
        <w:t>, J., E. Nales and H. Valin (2025), “Assessing the impacts of agricultural support policies on the environment: Economic analysis, literature findings and synthesis”, </w:t>
      </w:r>
      <w:r w:rsidRPr="000948D4">
        <w:rPr>
          <w:i/>
          <w:iCs/>
          <w:lang w:val="en-CA"/>
        </w:rPr>
        <w:t>OECD Food, Agriculture and Fisheries Papers</w:t>
      </w:r>
      <w:r w:rsidRPr="000948D4">
        <w:rPr>
          <w:lang w:val="en-CA"/>
        </w:rPr>
        <w:t>, No. 223, OECD Publishing, Paris, </w:t>
      </w:r>
      <w:hyperlink r:id="rId482" w:history="1">
        <w:r w:rsidRPr="000948D4">
          <w:rPr>
            <w:rStyle w:val="Hyperlink"/>
            <w:lang w:val="en-CA"/>
          </w:rPr>
          <w:t>https://doi.org/10.1787/808f110c-en</w:t>
        </w:r>
      </w:hyperlink>
      <w:r w:rsidRPr="000948D4">
        <w:rPr>
          <w:lang w:val="en-CA"/>
        </w:rPr>
        <w:t>.</w:t>
      </w:r>
    </w:p>
    <w:p w14:paraId="7212A284" w14:textId="63E8976D" w:rsidR="00DA2BD3" w:rsidRPr="00ED7E61" w:rsidRDefault="00756F0F" w:rsidP="000948D4">
      <w:pPr>
        <w:pStyle w:val="CBDNormalNumber"/>
        <w:shd w:val="clear" w:color="auto" w:fill="FFFFFF"/>
        <w:ind w:left="567"/>
        <w:rPr>
          <w:rFonts w:asciiTheme="majorBidi" w:hAnsiTheme="majorBidi" w:cstheme="majorBidi"/>
        </w:rPr>
      </w:pPr>
      <w:r w:rsidRPr="002C3771">
        <w:rPr>
          <w:rStyle w:val="normaltextrun"/>
          <w:rFonts w:asciiTheme="majorBidi" w:eastAsiaTheme="majorEastAsia" w:hAnsiTheme="majorBidi" w:cstheme="majorBidi"/>
        </w:rPr>
        <w:t>O</w:t>
      </w:r>
      <w:r w:rsidRPr="002C3771">
        <w:rPr>
          <w:rStyle w:val="normaltextrun"/>
          <w:rFonts w:asciiTheme="majorBidi" w:eastAsiaTheme="majorEastAsia" w:hAnsiTheme="majorBidi" w:cstheme="majorBidi"/>
          <w:color w:val="000000"/>
        </w:rPr>
        <w:t>ECD</w:t>
      </w:r>
      <w:r w:rsidRPr="00ED7E61">
        <w:rPr>
          <w:rStyle w:val="normaltextrun"/>
          <w:rFonts w:asciiTheme="majorBidi" w:eastAsiaTheme="majorEastAsia" w:hAnsiTheme="majorBidi" w:cstheme="majorBidi"/>
          <w:color w:val="000000"/>
        </w:rPr>
        <w:t xml:space="preserve"> (2022), OECD Review of Fisheries 2022, OECD Publishing, Paris. </w:t>
      </w:r>
      <w:hyperlink r:id="rId483" w:tgtFrame="_blank" w:history="1">
        <w:r w:rsidRPr="00ED7E61">
          <w:rPr>
            <w:rStyle w:val="normaltextrun"/>
            <w:rFonts w:asciiTheme="majorBidi" w:eastAsiaTheme="majorEastAsia" w:hAnsiTheme="majorBidi" w:cstheme="majorBidi"/>
            <w:color w:val="0068B6"/>
            <w:u w:val="single"/>
            <w:shd w:val="clear" w:color="auto" w:fill="FFFFFF"/>
          </w:rPr>
          <w:t>https://doi.org/10.1787/9c3ad238-en</w:t>
        </w:r>
      </w:hyperlink>
      <w:r w:rsidRPr="00ED7E61">
        <w:rPr>
          <w:rStyle w:val="eop"/>
          <w:rFonts w:asciiTheme="majorBidi" w:eastAsiaTheme="majorEastAsia" w:hAnsiTheme="majorBidi" w:cstheme="majorBidi"/>
          <w:color w:val="0068B6"/>
        </w:rPr>
        <w:t> </w:t>
      </w:r>
    </w:p>
    <w:p w14:paraId="1437B673" w14:textId="77777777" w:rsidR="00032F56" w:rsidRPr="00032F56" w:rsidRDefault="00032F56" w:rsidP="00812871">
      <w:pPr>
        <w:pStyle w:val="CBDNormalNumber"/>
        <w:shd w:val="clear" w:color="auto" w:fill="FFFFFF"/>
        <w:ind w:left="567"/>
        <w:rPr>
          <w:rFonts w:asciiTheme="majorBidi" w:eastAsiaTheme="majorEastAsia" w:hAnsiTheme="majorBidi" w:cstheme="majorBidi"/>
          <w:lang w:val="en-CA"/>
        </w:rPr>
      </w:pPr>
      <w:r w:rsidRPr="00032F56">
        <w:rPr>
          <w:rFonts w:asciiTheme="majorBidi" w:eastAsiaTheme="majorEastAsia" w:hAnsiTheme="majorBidi" w:cstheme="majorBidi"/>
          <w:lang w:val="en-CA"/>
        </w:rPr>
        <w:t>OECD (2025), </w:t>
      </w:r>
      <w:r w:rsidRPr="00032F56">
        <w:rPr>
          <w:rFonts w:asciiTheme="majorBidi" w:eastAsiaTheme="majorEastAsia" w:hAnsiTheme="majorBidi" w:cstheme="majorBidi"/>
          <w:i/>
          <w:iCs/>
          <w:lang w:val="en-CA"/>
        </w:rPr>
        <w:t>OECD Review of Fisheries 2025</w:t>
      </w:r>
      <w:r w:rsidRPr="00032F56">
        <w:rPr>
          <w:rFonts w:asciiTheme="majorBidi" w:eastAsiaTheme="majorEastAsia" w:hAnsiTheme="majorBidi" w:cstheme="majorBidi"/>
          <w:lang w:val="en-CA"/>
        </w:rPr>
        <w:t>, OECD Publishing, Paris, </w:t>
      </w:r>
      <w:hyperlink r:id="rId484" w:history="1">
        <w:r w:rsidRPr="00032F56">
          <w:rPr>
            <w:rStyle w:val="Hyperlink"/>
            <w:rFonts w:asciiTheme="majorBidi" w:hAnsiTheme="majorBidi" w:cstheme="majorBidi"/>
            <w:lang w:val="en-CA"/>
          </w:rPr>
          <w:t>https://doi.org/10.1787/560cd8fc-en</w:t>
        </w:r>
      </w:hyperlink>
      <w:r w:rsidRPr="00032F56">
        <w:rPr>
          <w:rFonts w:asciiTheme="majorBidi" w:eastAsiaTheme="majorEastAsia" w:hAnsiTheme="majorBidi" w:cstheme="majorBidi"/>
          <w:lang w:val="en-CA"/>
        </w:rPr>
        <w:t>.</w:t>
      </w:r>
    </w:p>
    <w:p w14:paraId="2F74DB14" w14:textId="33882761" w:rsidR="00DA2BD3" w:rsidRPr="00ED7E61" w:rsidRDefault="00756F0F" w:rsidP="00CE5D0F">
      <w:pPr>
        <w:pStyle w:val="CBDNormalNumber"/>
        <w:shd w:val="clear" w:color="auto" w:fill="FFFFFF"/>
        <w:ind w:left="567"/>
        <w:rPr>
          <w:rFonts w:asciiTheme="majorBidi" w:hAnsiTheme="majorBidi" w:cstheme="majorBidi"/>
        </w:rPr>
      </w:pPr>
      <w:r w:rsidRPr="002C3771">
        <w:rPr>
          <w:rStyle w:val="normaltextrun"/>
          <w:rFonts w:asciiTheme="majorBidi" w:eastAsiaTheme="majorEastAsia" w:hAnsiTheme="majorBidi" w:cstheme="majorBidi"/>
        </w:rPr>
        <w:t>European</w:t>
      </w:r>
      <w:r w:rsidRPr="00ED7E61">
        <w:rPr>
          <w:rStyle w:val="normaltextrun"/>
          <w:rFonts w:asciiTheme="majorBidi" w:eastAsiaTheme="majorEastAsia" w:hAnsiTheme="majorBidi" w:cstheme="majorBidi"/>
          <w:color w:val="000000"/>
        </w:rPr>
        <w:t xml:space="preserve"> Commission, Toolbox on </w:t>
      </w:r>
      <w:hyperlink r:id="rId485" w:tgtFrame="_blank" w:history="1">
        <w:r w:rsidRPr="00ED7E61">
          <w:rPr>
            <w:rStyle w:val="normaltextrun"/>
            <w:rFonts w:asciiTheme="majorBidi" w:eastAsiaTheme="majorEastAsia" w:hAnsiTheme="majorBidi" w:cstheme="majorBidi"/>
            <w:color w:val="000000"/>
          </w:rPr>
          <w:t>Phasing out Environmentally Harmful Subsidies (europa.eu)</w:t>
        </w:r>
      </w:hyperlink>
      <w:r w:rsidRPr="00ED7E61">
        <w:rPr>
          <w:rStyle w:val="normaltextrun"/>
          <w:rFonts w:asciiTheme="majorBidi" w:eastAsiaTheme="majorEastAsia" w:hAnsiTheme="majorBidi" w:cstheme="majorBidi"/>
          <w:color w:val="000000"/>
        </w:rPr>
        <w:t xml:space="preserve"> </w:t>
      </w:r>
      <w:hyperlink r:id="rId486" w:tgtFrame="_blank" w:history="1">
        <w:r w:rsidRPr="00ED7E61">
          <w:rPr>
            <w:rStyle w:val="normaltextrun"/>
            <w:rFonts w:asciiTheme="majorBidi" w:eastAsiaTheme="majorEastAsia" w:hAnsiTheme="majorBidi" w:cstheme="majorBidi"/>
            <w:color w:val="467886"/>
            <w:u w:val="single"/>
          </w:rPr>
          <w:t>https://ec.europa.eu/eurostat/documents/3859598/6923655/KS-GQ-15-005-EN-N.pdf/e3be619b-bb19-4486-ab23-132a83f6ff24</w:t>
        </w:r>
      </w:hyperlink>
      <w:r w:rsidRPr="00ED7E61">
        <w:rPr>
          <w:rStyle w:val="eop"/>
          <w:rFonts w:asciiTheme="majorBidi" w:eastAsiaTheme="majorEastAsia" w:hAnsiTheme="majorBidi" w:cstheme="majorBidi"/>
          <w:color w:val="467886"/>
        </w:rPr>
        <w:t> </w:t>
      </w:r>
    </w:p>
    <w:p w14:paraId="5C64A3AC" w14:textId="027F2347" w:rsidR="00DA2BD3" w:rsidRPr="00ED7E61" w:rsidRDefault="00756F0F" w:rsidP="00CE5D0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The state of Food Security and Nutrition in the World 2022. Repurposing food and agricultural policies to make healthy diets more affordable</w:t>
      </w:r>
      <w:r w:rsidRPr="00ED7E61">
        <w:rPr>
          <w:rStyle w:val="normaltextrun"/>
          <w:rFonts w:asciiTheme="majorBidi" w:eastAsiaTheme="majorEastAsia" w:hAnsiTheme="majorBidi" w:cstheme="majorBidi"/>
          <w:color w:val="000000"/>
        </w:rPr>
        <w:t xml:space="preserve"> </w:t>
      </w:r>
      <w:hyperlink r:id="rId487" w:tgtFrame="_blank" w:history="1">
        <w:r w:rsidRPr="00ED7E61">
          <w:rPr>
            <w:rStyle w:val="normaltextrun"/>
            <w:rFonts w:asciiTheme="majorBidi" w:eastAsiaTheme="majorEastAsia" w:hAnsiTheme="majorBidi" w:cstheme="majorBidi"/>
            <w:color w:val="467886"/>
            <w:u w:val="single"/>
          </w:rPr>
          <w:t>https://www.fao.org/3/cc0639en/cc0639en.pdf SDG 12c</w:t>
        </w:r>
      </w:hyperlink>
      <w:r w:rsidRPr="00ED7E61">
        <w:rPr>
          <w:rStyle w:val="eop"/>
          <w:rFonts w:asciiTheme="majorBidi" w:eastAsiaTheme="majorEastAsia" w:hAnsiTheme="majorBidi" w:cstheme="majorBidi"/>
          <w:color w:val="467886"/>
        </w:rPr>
        <w:t> </w:t>
      </w:r>
    </w:p>
    <w:p w14:paraId="4795C16A" w14:textId="0CBE9386" w:rsidR="00DA2BD3" w:rsidRPr="00ED7E61" w:rsidRDefault="00756F0F" w:rsidP="00CE5D0F">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rPr>
        <w:t>SDG12c https://unstats.un.org/sdgs/metadata/files/Metadata-12-0c-01.pdf  </w:t>
      </w:r>
      <w:r w:rsidRPr="00ED7E61">
        <w:rPr>
          <w:rStyle w:val="eop"/>
          <w:rFonts w:asciiTheme="majorBidi" w:eastAsiaTheme="majorEastAsia" w:hAnsiTheme="majorBidi" w:cstheme="majorBidi"/>
        </w:rPr>
        <w:t> </w:t>
      </w:r>
    </w:p>
    <w:p w14:paraId="2B5136BB" w14:textId="28206F55" w:rsidR="00DA2BD3" w:rsidRPr="00ED7E61" w:rsidRDefault="00756F0F" w:rsidP="00CE5D0F">
      <w:pPr>
        <w:pStyle w:val="CBDNormalNumber"/>
        <w:shd w:val="clear" w:color="auto" w:fill="FFFFFF"/>
        <w:ind w:left="567"/>
        <w:rPr>
          <w:rFonts w:asciiTheme="majorBidi" w:hAnsiTheme="majorBidi" w:cstheme="majorBidi"/>
        </w:rPr>
      </w:pPr>
      <w:r w:rsidRPr="00F7670D">
        <w:rPr>
          <w:rStyle w:val="normaltextrun"/>
          <w:rFonts w:asciiTheme="majorBidi" w:eastAsiaTheme="majorEastAsia" w:hAnsiTheme="majorBidi" w:cstheme="majorBidi"/>
        </w:rPr>
        <w:t>The</w:t>
      </w:r>
      <w:r w:rsidRPr="00F7670D">
        <w:rPr>
          <w:rStyle w:val="normaltextrun"/>
          <w:rFonts w:asciiTheme="majorBidi" w:eastAsiaTheme="majorEastAsia" w:hAnsiTheme="majorBidi" w:cstheme="majorBidi"/>
          <w:color w:val="000000"/>
        </w:rPr>
        <w:t xml:space="preserve"> OECD Fisheries Support Estimate (FSE) Manual</w:t>
      </w:r>
      <w:r w:rsidRPr="00F7670D">
        <w:rPr>
          <w:rStyle w:val="eop"/>
          <w:rFonts w:asciiTheme="majorBidi" w:eastAsiaTheme="majorEastAsia" w:hAnsiTheme="majorBidi" w:cstheme="majorBidi"/>
          <w:color w:val="000000"/>
        </w:rPr>
        <w:t> </w:t>
      </w:r>
      <w:r w:rsidR="00CD5522" w:rsidRPr="00F7670D">
        <w:rPr>
          <w:rStyle w:val="eop"/>
          <w:rFonts w:asciiTheme="majorBidi" w:eastAsiaTheme="majorEastAsia" w:hAnsiTheme="majorBidi" w:cstheme="majorBidi"/>
          <w:color w:val="000000"/>
        </w:rPr>
        <w:t>- https://www.oecd.org/content/dam/oecd/en/topics/policy-sub-issues/fisheries-subsidies/OECD-FSE-Manual-2024.pdf</w:t>
      </w:r>
    </w:p>
    <w:p w14:paraId="78739EF6" w14:textId="402AF668" w:rsidR="00DA2BD3" w:rsidRDefault="00756F0F" w:rsidP="00CE5D0F">
      <w:pPr>
        <w:pStyle w:val="CBDNormalNumber"/>
        <w:shd w:val="clear" w:color="auto" w:fill="FFFFFF"/>
        <w:ind w:left="567"/>
        <w:rPr>
          <w:rStyle w:val="eop"/>
          <w:rFonts w:asciiTheme="majorBidi" w:eastAsiaTheme="majorEastAsia" w:hAnsiTheme="majorBidi" w:cstheme="majorBidi"/>
          <w:color w:val="000000"/>
        </w:rPr>
      </w:pPr>
      <w:r w:rsidRPr="002C3771">
        <w:rPr>
          <w:rStyle w:val="normaltextrun"/>
          <w:rFonts w:asciiTheme="majorBidi" w:eastAsiaTheme="majorEastAsia" w:hAnsiTheme="majorBidi" w:cstheme="majorBidi"/>
        </w:rPr>
        <w:t>OECD</w:t>
      </w:r>
      <w:r w:rsidRPr="00ED7E61">
        <w:rPr>
          <w:rStyle w:val="normaltextrun"/>
          <w:rFonts w:asciiTheme="majorBidi" w:eastAsiaTheme="majorEastAsia" w:hAnsiTheme="majorBidi" w:cstheme="majorBidi"/>
          <w:color w:val="000000"/>
        </w:rPr>
        <w:t xml:space="preserve"> (2023), </w:t>
      </w:r>
      <w:r w:rsidRPr="00ED7E61">
        <w:rPr>
          <w:rStyle w:val="normaltextrun"/>
          <w:rFonts w:asciiTheme="majorBidi" w:eastAsiaTheme="majorEastAsia" w:hAnsiTheme="majorBidi" w:cstheme="majorBidi"/>
          <w:i/>
          <w:iCs/>
          <w:color w:val="000000"/>
        </w:rPr>
        <w:t>Agricultural Policy Monitoring and Evaluation 2023: Adapting Agriculture to Climate Change</w:t>
      </w:r>
      <w:r w:rsidRPr="00ED7E61">
        <w:rPr>
          <w:rStyle w:val="normaltextrun"/>
          <w:rFonts w:asciiTheme="majorBidi" w:eastAsiaTheme="majorEastAsia" w:hAnsiTheme="majorBidi" w:cstheme="majorBidi"/>
          <w:color w:val="000000"/>
        </w:rPr>
        <w:t>, OECD Publishing, Paris, </w:t>
      </w:r>
      <w:hyperlink r:id="rId488" w:tgtFrame="_blank" w:history="1">
        <w:r w:rsidRPr="00ED7E61">
          <w:rPr>
            <w:rStyle w:val="normaltextrun"/>
            <w:rFonts w:asciiTheme="majorBidi" w:eastAsiaTheme="majorEastAsia" w:hAnsiTheme="majorBidi" w:cstheme="majorBidi"/>
            <w:color w:val="0000FF"/>
            <w:u w:val="single"/>
          </w:rPr>
          <w:t>https://doi.org/10.1787/b14de474-en</w:t>
        </w:r>
      </w:hyperlink>
      <w:r w:rsidRPr="00ED7E61">
        <w:rPr>
          <w:rStyle w:val="normaltextrun"/>
          <w:rFonts w:asciiTheme="majorBidi" w:eastAsiaTheme="majorEastAsia" w:hAnsiTheme="majorBidi" w:cstheme="majorBidi"/>
          <w:color w:val="000000"/>
        </w:rPr>
        <w:t>.</w:t>
      </w:r>
      <w:r w:rsidRPr="00ED7E61">
        <w:rPr>
          <w:rStyle w:val="eop"/>
          <w:rFonts w:asciiTheme="majorBidi" w:eastAsiaTheme="majorEastAsia" w:hAnsiTheme="majorBidi" w:cstheme="majorBidi"/>
          <w:color w:val="000000"/>
        </w:rPr>
        <w:t> </w:t>
      </w:r>
    </w:p>
    <w:p w14:paraId="4622CBF3" w14:textId="77777777" w:rsidR="00FC5C48" w:rsidRPr="00ED7E61" w:rsidRDefault="00FC5C48" w:rsidP="00812871">
      <w:pPr>
        <w:pStyle w:val="CBDNormalNumber"/>
        <w:shd w:val="clear" w:color="auto" w:fill="FFFFFF"/>
        <w:ind w:left="567"/>
        <w:rPr>
          <w:rFonts w:asciiTheme="majorBidi" w:hAnsiTheme="majorBidi" w:cstheme="majorBidi"/>
        </w:rPr>
      </w:pPr>
      <w:r w:rsidRPr="00ED7E61">
        <w:rPr>
          <w:rStyle w:val="normaltextrun"/>
          <w:rFonts w:asciiTheme="majorBidi" w:eastAsiaTheme="majorEastAsia" w:hAnsiTheme="majorBidi" w:cstheme="majorBidi"/>
          <w:color w:val="000000"/>
        </w:rPr>
        <w:t>OECD (202</w:t>
      </w:r>
      <w:r>
        <w:rPr>
          <w:rStyle w:val="normaltextrun"/>
          <w:rFonts w:asciiTheme="majorBidi" w:eastAsiaTheme="majorEastAsia" w:hAnsiTheme="majorBidi" w:cstheme="majorBidi"/>
          <w:color w:val="000000"/>
        </w:rPr>
        <w:t>5</w:t>
      </w:r>
      <w:r w:rsidRPr="00ED7E61">
        <w:rPr>
          <w:rStyle w:val="normaltextrun"/>
          <w:rFonts w:asciiTheme="majorBidi" w:eastAsiaTheme="majorEastAsia" w:hAnsiTheme="majorBidi" w:cstheme="majorBidi"/>
          <w:color w:val="000000"/>
        </w:rPr>
        <w:t>), </w:t>
      </w:r>
      <w:r w:rsidRPr="00ED7E61">
        <w:rPr>
          <w:rStyle w:val="normaltextrun"/>
          <w:rFonts w:asciiTheme="majorBidi" w:eastAsiaTheme="majorEastAsia" w:hAnsiTheme="majorBidi" w:cstheme="majorBidi"/>
          <w:i/>
          <w:iCs/>
          <w:color w:val="000000"/>
        </w:rPr>
        <w:t xml:space="preserve">Agricultural Policy Monitoring and Evaluation </w:t>
      </w:r>
      <w:r w:rsidRPr="00806DA0">
        <w:rPr>
          <w:rFonts w:asciiTheme="majorBidi" w:eastAsiaTheme="majorEastAsia" w:hAnsiTheme="majorBidi" w:cstheme="majorBidi"/>
          <w:i/>
          <w:iCs/>
          <w:color w:val="000000"/>
          <w:lang w:val="en-CA"/>
        </w:rPr>
        <w:t>2025: Making the Most of the Trade and Environment Nexus in Agriculture</w:t>
      </w:r>
      <w:r w:rsidRPr="00ED7E61">
        <w:rPr>
          <w:rStyle w:val="normaltextrun"/>
          <w:rFonts w:asciiTheme="majorBidi" w:eastAsiaTheme="majorEastAsia" w:hAnsiTheme="majorBidi" w:cstheme="majorBidi"/>
          <w:color w:val="000000"/>
        </w:rPr>
        <w:t>OECD Publishing, Paris, </w:t>
      </w:r>
      <w:r w:rsidRPr="003C552A">
        <w:rPr>
          <w:rFonts w:asciiTheme="majorBidi" w:eastAsiaTheme="majorEastAsia" w:hAnsiTheme="majorBidi" w:cstheme="majorBidi"/>
          <w:color w:val="000000"/>
          <w:sz w:val="24"/>
          <w:szCs w:val="24"/>
          <w:lang w:val="en-CA"/>
        </w:rPr>
        <w:t xml:space="preserve"> </w:t>
      </w:r>
      <w:hyperlink r:id="rId489" w:history="1">
        <w:r w:rsidRPr="003C552A">
          <w:rPr>
            <w:rStyle w:val="Hyperlink"/>
            <w:lang w:val="en-CA"/>
          </w:rPr>
          <w:t>https://doi.org/10.1787/a80ac398-en</w:t>
        </w:r>
      </w:hyperlink>
      <w:r w:rsidRPr="003C552A">
        <w:rPr>
          <w:lang w:val="en-CA"/>
        </w:rPr>
        <w:t>. </w:t>
      </w:r>
    </w:p>
    <w:p w14:paraId="45B07FBC" w14:textId="24D2DAB8" w:rsidR="00DA2BD3" w:rsidRPr="00ED7E61" w:rsidRDefault="00756F0F" w:rsidP="00CE5D0F">
      <w:pPr>
        <w:pStyle w:val="CBDNormalNumber"/>
        <w:shd w:val="clear" w:color="auto" w:fill="FFFFFF"/>
        <w:ind w:left="567"/>
        <w:rPr>
          <w:rFonts w:asciiTheme="majorBidi" w:hAnsiTheme="majorBidi" w:cstheme="majorBidi"/>
        </w:rPr>
      </w:pPr>
      <w:r w:rsidRPr="002C3771">
        <w:rPr>
          <w:rStyle w:val="normaltextrun"/>
          <w:rFonts w:asciiTheme="majorBidi" w:eastAsiaTheme="majorEastAsia" w:hAnsiTheme="majorBidi" w:cstheme="majorBidi"/>
        </w:rPr>
        <w:t>The</w:t>
      </w:r>
      <w:r w:rsidRPr="00ED7E61">
        <w:rPr>
          <w:rStyle w:val="normaltextrun"/>
          <w:rFonts w:asciiTheme="majorBidi" w:eastAsiaTheme="majorEastAsia" w:hAnsiTheme="majorBidi" w:cstheme="majorBidi"/>
          <w:color w:val="000000"/>
        </w:rPr>
        <w:t xml:space="preserve"> Nature of Subsidies: A step-by-step guide to repurpose subsidies harmful to biodiversity and improve their impacts on people and nature (2024) </w:t>
      </w:r>
      <w:hyperlink r:id="rId490" w:tgtFrame="_blank" w:history="1">
        <w:r w:rsidRPr="00ED7E61">
          <w:rPr>
            <w:rStyle w:val="normaltextrun"/>
            <w:rFonts w:asciiTheme="majorBidi" w:eastAsiaTheme="majorEastAsia" w:hAnsiTheme="majorBidi" w:cstheme="majorBidi"/>
            <w:color w:val="467886"/>
            <w:u w:val="single"/>
          </w:rPr>
          <w:t>The Nature of Subsidies: A step-by-step guide to repurpose subsidies harmful to biodiversity and improve their impacts on people and nature | BIOFIN</w:t>
        </w:r>
      </w:hyperlink>
      <w:r w:rsidRPr="00ED7E61">
        <w:rPr>
          <w:rStyle w:val="eop"/>
          <w:rFonts w:asciiTheme="majorBidi" w:eastAsiaTheme="majorEastAsia" w:hAnsiTheme="majorBidi" w:cstheme="majorBidi"/>
          <w:color w:val="467886"/>
        </w:rPr>
        <w:t> </w:t>
      </w:r>
    </w:p>
    <w:p w14:paraId="70C0A119" w14:textId="295CCF38" w:rsidR="00751000" w:rsidRDefault="00756F0F" w:rsidP="00CE5D0F">
      <w:pPr>
        <w:pStyle w:val="CBDNormalNumber"/>
        <w:shd w:val="clear" w:color="auto" w:fill="FFFFFF"/>
        <w:ind w:left="567"/>
        <w:rPr>
          <w:rStyle w:val="eop"/>
          <w:rFonts w:asciiTheme="majorBidi" w:eastAsiaTheme="majorEastAsia" w:hAnsiTheme="majorBidi" w:cstheme="majorBidi"/>
          <w:color w:val="467886"/>
        </w:rPr>
      </w:pPr>
      <w:r w:rsidRPr="00ED7E61">
        <w:rPr>
          <w:rStyle w:val="normaltextrun"/>
          <w:rFonts w:asciiTheme="majorBidi" w:eastAsiaTheme="majorEastAsia" w:hAnsiTheme="majorBidi" w:cstheme="majorBidi"/>
        </w:rPr>
        <w:t xml:space="preserve">Matthews, A. and K. </w:t>
      </w:r>
      <w:proofErr w:type="spellStart"/>
      <w:r w:rsidRPr="00ED7E61">
        <w:rPr>
          <w:rStyle w:val="normaltextrun"/>
          <w:rFonts w:asciiTheme="majorBidi" w:eastAsiaTheme="majorEastAsia" w:hAnsiTheme="majorBidi" w:cstheme="majorBidi"/>
        </w:rPr>
        <w:t>Karousakis</w:t>
      </w:r>
      <w:proofErr w:type="spellEnd"/>
      <w:r w:rsidRPr="00ED7E61">
        <w:rPr>
          <w:rStyle w:val="normaltextrun"/>
          <w:rFonts w:asciiTheme="majorBidi" w:eastAsiaTheme="majorEastAsia" w:hAnsiTheme="majorBidi" w:cstheme="majorBidi"/>
          <w:color w:val="000000"/>
        </w:rPr>
        <w:t xml:space="preserve"> (2022), "</w:t>
      </w:r>
      <w:r w:rsidRPr="00FB1598">
        <w:rPr>
          <w:rStyle w:val="normaltextrun"/>
          <w:rFonts w:asciiTheme="majorBidi" w:eastAsiaTheme="majorEastAsia" w:hAnsiTheme="majorBidi" w:cstheme="majorBidi"/>
          <w:i/>
          <w:iCs/>
          <w:color w:val="000000"/>
        </w:rPr>
        <w:t>Identifying and assessing subsidies and other incentives harmful to biodiversity: A comparative review of existing national-level assessments and insights for good practice</w:t>
      </w:r>
      <w:r w:rsidRPr="00ED7E61">
        <w:rPr>
          <w:rStyle w:val="normaltextrun"/>
          <w:rFonts w:asciiTheme="majorBidi" w:eastAsiaTheme="majorEastAsia" w:hAnsiTheme="majorBidi" w:cstheme="majorBidi"/>
          <w:color w:val="000000"/>
        </w:rPr>
        <w:t xml:space="preserve">", </w:t>
      </w:r>
      <w:r w:rsidRPr="00ED7E61">
        <w:rPr>
          <w:rStyle w:val="normaltextrun"/>
          <w:rFonts w:asciiTheme="majorBidi" w:eastAsiaTheme="majorEastAsia" w:hAnsiTheme="majorBidi" w:cstheme="majorBidi"/>
          <w:i/>
          <w:iCs/>
          <w:color w:val="000000"/>
        </w:rPr>
        <w:t>OECD Environment Working Papers</w:t>
      </w:r>
      <w:r w:rsidRPr="00ED7E61">
        <w:rPr>
          <w:rStyle w:val="normaltextrun"/>
          <w:rFonts w:asciiTheme="majorBidi" w:eastAsiaTheme="majorEastAsia" w:hAnsiTheme="majorBidi" w:cstheme="majorBidi"/>
          <w:color w:val="000000"/>
        </w:rPr>
        <w:t xml:space="preserve">, No. 206, OECD Publishing, Paris, </w:t>
      </w:r>
      <w:hyperlink r:id="rId491" w:tgtFrame="_blank" w:history="1">
        <w:r w:rsidRPr="00ED7E61">
          <w:rPr>
            <w:rStyle w:val="normaltextrun"/>
            <w:rFonts w:asciiTheme="majorBidi" w:eastAsiaTheme="majorEastAsia" w:hAnsiTheme="majorBidi" w:cstheme="majorBidi"/>
            <w:color w:val="467886"/>
            <w:u w:val="single"/>
          </w:rPr>
          <w:t>https://doi.org/10.1787/3e9118d3-en</w:t>
        </w:r>
      </w:hyperlink>
      <w:r w:rsidRPr="00ED7E61">
        <w:rPr>
          <w:rStyle w:val="eop"/>
          <w:rFonts w:asciiTheme="majorBidi" w:eastAsiaTheme="majorEastAsia" w:hAnsiTheme="majorBidi" w:cstheme="majorBidi"/>
          <w:color w:val="467886"/>
        </w:rPr>
        <w:t> </w:t>
      </w:r>
    </w:p>
    <w:p w14:paraId="7FB50385" w14:textId="2C86D40C" w:rsidR="00751000" w:rsidRPr="00ED7E61" w:rsidRDefault="003E5434" w:rsidP="00CE5D0F">
      <w:pPr>
        <w:pStyle w:val="CBDNormalNumber"/>
        <w:shd w:val="clear" w:color="auto" w:fill="FFFFFF"/>
        <w:ind w:left="567"/>
        <w:rPr>
          <w:rFonts w:asciiTheme="majorBidi" w:hAnsiTheme="majorBidi" w:cstheme="majorBidi"/>
        </w:rPr>
      </w:pPr>
      <w:r w:rsidRPr="00F7670D">
        <w:rPr>
          <w:rFonts w:asciiTheme="majorBidi" w:hAnsiTheme="majorBidi" w:cstheme="majorBidi"/>
        </w:rPr>
        <w:t xml:space="preserve">UNDP (2024). BIOFIN Workbook 2024: Finance for Nature. The Biodiversity Finance Initiative. United Nations Development Programme. New </w:t>
      </w:r>
      <w:proofErr w:type="spellStart"/>
      <w:r w:rsidRPr="00F7670D">
        <w:rPr>
          <w:rFonts w:asciiTheme="majorBidi" w:hAnsiTheme="majorBidi" w:cstheme="majorBidi"/>
        </w:rPr>
        <w:t>York.</w:t>
      </w:r>
      <w:r w:rsidR="00756F0F" w:rsidRPr="00F7670D">
        <w:rPr>
          <w:rStyle w:val="normaltextrun"/>
          <w:rFonts w:asciiTheme="majorBidi" w:eastAsiaTheme="majorEastAsia" w:hAnsiTheme="majorBidi" w:cstheme="majorBidi"/>
        </w:rPr>
        <w:t>UNEP</w:t>
      </w:r>
      <w:proofErr w:type="spellEnd"/>
      <w:r w:rsidR="00756F0F" w:rsidRPr="00F7670D">
        <w:rPr>
          <w:rStyle w:val="normaltextrun"/>
          <w:rFonts w:asciiTheme="majorBidi" w:eastAsiaTheme="majorEastAsia" w:hAnsiTheme="majorBidi" w:cstheme="majorBidi"/>
        </w:rPr>
        <w:t xml:space="preserve"> (2019</w:t>
      </w:r>
      <w:proofErr w:type="gramStart"/>
      <w:r w:rsidR="00756F0F" w:rsidRPr="00ED7E61">
        <w:rPr>
          <w:rStyle w:val="normaltextrun"/>
          <w:rFonts w:asciiTheme="majorBidi" w:eastAsiaTheme="majorEastAsia" w:hAnsiTheme="majorBidi" w:cstheme="majorBidi"/>
        </w:rPr>
        <w:t>),Measuring</w:t>
      </w:r>
      <w:proofErr w:type="gramEnd"/>
      <w:r w:rsidR="00756F0F" w:rsidRPr="00ED7E61">
        <w:rPr>
          <w:rStyle w:val="normaltextrun"/>
          <w:rFonts w:asciiTheme="majorBidi" w:eastAsiaTheme="majorEastAsia" w:hAnsiTheme="majorBidi" w:cstheme="majorBidi"/>
        </w:rPr>
        <w:t xml:space="preserve"> Fossil Fuel Subsidies in the Context of the Sustainable Development Goals, UN Environment, Nairobi, Kenya </w:t>
      </w:r>
      <w:hyperlink r:id="rId492" w:tgtFrame="_blank" w:history="1">
        <w:r w:rsidR="00756F0F" w:rsidRPr="00ED7E61">
          <w:rPr>
            <w:rStyle w:val="normaltextrun"/>
            <w:rFonts w:asciiTheme="majorBidi" w:eastAsiaTheme="majorEastAsia" w:hAnsiTheme="majorBidi" w:cstheme="majorBidi"/>
            <w:color w:val="0000FF"/>
          </w:rPr>
          <w:t>FossilFuel.pdf (unep.org)</w:t>
        </w:r>
      </w:hyperlink>
      <w:r w:rsidR="00756F0F" w:rsidRPr="00ED7E61">
        <w:rPr>
          <w:rStyle w:val="eop"/>
          <w:rFonts w:asciiTheme="majorBidi" w:eastAsiaTheme="majorEastAsia" w:hAnsiTheme="majorBidi" w:cstheme="majorBidi"/>
        </w:rPr>
        <w:t> </w:t>
      </w:r>
    </w:p>
    <w:p w14:paraId="0A65D594" w14:textId="77777777" w:rsidR="00756F0F" w:rsidRDefault="00756F0F" w:rsidP="00CE5D0F">
      <w:pPr>
        <w:pStyle w:val="CBDNormalNumber"/>
        <w:shd w:val="clear" w:color="auto" w:fill="FFFFFF"/>
        <w:ind w:left="567"/>
        <w:rPr>
          <w:rStyle w:val="eop"/>
          <w:rFonts w:asciiTheme="majorBidi" w:eastAsiaTheme="majorEastAsia" w:hAnsiTheme="majorBidi" w:cstheme="majorBidi"/>
        </w:rPr>
      </w:pPr>
      <w:r w:rsidRPr="00ED7E61">
        <w:rPr>
          <w:rStyle w:val="normaltextrun"/>
          <w:rFonts w:asciiTheme="majorBidi" w:eastAsiaTheme="majorEastAsia" w:hAnsiTheme="majorBidi" w:cstheme="majorBidi"/>
        </w:rPr>
        <w:t xml:space="preserve">OECD and IISD, Fossil Fuel Subsidy Tracker, </w:t>
      </w:r>
      <w:hyperlink r:id="rId493" w:tgtFrame="_blank" w:history="1">
        <w:r w:rsidRPr="00ED7E61">
          <w:rPr>
            <w:rStyle w:val="normaltextrun"/>
            <w:rFonts w:asciiTheme="majorBidi" w:eastAsiaTheme="majorEastAsia" w:hAnsiTheme="majorBidi" w:cstheme="majorBidi"/>
            <w:color w:val="0000FF"/>
          </w:rPr>
          <w:t>Home - Fossil Fuel Subsidies (fossilfuelsubsidytracker.org)</w:t>
        </w:r>
      </w:hyperlink>
      <w:r w:rsidRPr="00ED7E61">
        <w:rPr>
          <w:rStyle w:val="eop"/>
          <w:rFonts w:asciiTheme="majorBidi" w:eastAsiaTheme="majorEastAsia" w:hAnsiTheme="majorBidi" w:cstheme="majorBidi"/>
        </w:rPr>
        <w:t> </w:t>
      </w:r>
    </w:p>
    <w:p w14:paraId="7FBF4922"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lastRenderedPageBreak/>
        <w:t>12. Graphs and diagrams</w:t>
      </w:r>
      <w:r w:rsidRPr="00ED7E61">
        <w:rPr>
          <w:rStyle w:val="eop"/>
          <w:rFonts w:asciiTheme="majorBidi" w:eastAsiaTheme="majorEastAsia" w:hAnsiTheme="majorBidi" w:cstheme="majorBidi"/>
          <w:b/>
          <w:bCs/>
          <w:sz w:val="22"/>
          <w:szCs w:val="22"/>
        </w:rPr>
        <w:t> </w:t>
      </w:r>
    </w:p>
    <w:p w14:paraId="68658A4C" w14:textId="4B81900C"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p>
    <w:p w14:paraId="1A7763A6" w14:textId="44800555" w:rsidR="00756F0F" w:rsidRPr="00ED7E61" w:rsidRDefault="00325523" w:rsidP="00B3383B">
      <w:pPr>
        <w:pStyle w:val="paragraph"/>
        <w:spacing w:before="0" w:beforeAutospacing="0" w:after="0" w:afterAutospacing="0"/>
        <w:ind w:left="567"/>
        <w:textAlignment w:val="baseline"/>
        <w:rPr>
          <w:rFonts w:asciiTheme="majorBidi" w:hAnsiTheme="majorBidi" w:cstheme="majorBidi"/>
          <w:sz w:val="22"/>
          <w:szCs w:val="22"/>
        </w:rPr>
      </w:pPr>
      <w:r>
        <w:rPr>
          <w:noProof/>
          <w14:ligatures w14:val="standardContextual"/>
        </w:rPr>
        <w:drawing>
          <wp:inline distT="0" distB="0" distL="0" distR="0" wp14:anchorId="58B8CEED" wp14:editId="08F96E16">
            <wp:extent cx="5943600" cy="2891155"/>
            <wp:effectExtent l="0" t="0" r="0" b="4445"/>
            <wp:docPr id="649618678"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18678" name="Picture 1" descr="A graph of different colored bars&#10;&#10;AI-generated content may be incorrect."/>
                    <pic:cNvPicPr>
                      <a:picLocks noChangeAspect="1"/>
                    </pic:cNvPicPr>
                  </pic:nvPicPr>
                  <pic:blipFill>
                    <a:blip r:embed="rId494"/>
                    <a:stretch>
                      <a:fillRect/>
                    </a:stretch>
                  </pic:blipFill>
                  <pic:spPr>
                    <a:xfrm>
                      <a:off x="0" y="0"/>
                      <a:ext cx="5943600" cy="2891155"/>
                    </a:xfrm>
                    <a:prstGeom prst="rect">
                      <a:avLst/>
                    </a:prstGeom>
                  </pic:spPr>
                </pic:pic>
              </a:graphicData>
            </a:graphic>
          </wp:inline>
        </w:drawing>
      </w:r>
      <w:r w:rsidR="00756F0F" w:rsidRPr="00812871">
        <w:rPr>
          <w:rStyle w:val="normaltextrun"/>
          <w:rFonts w:asciiTheme="majorBidi" w:eastAsiaTheme="majorEastAsia" w:hAnsiTheme="majorBidi" w:cstheme="majorBidi"/>
          <w:b/>
          <w:bCs/>
          <w:sz w:val="22"/>
          <w:szCs w:val="22"/>
          <w:lang w:val="en-GB"/>
        </w:rPr>
        <w:t xml:space="preserve">Figure </w:t>
      </w:r>
      <w:r w:rsidR="004E6707" w:rsidRPr="00812871">
        <w:rPr>
          <w:rStyle w:val="normaltextrun"/>
          <w:rFonts w:asciiTheme="majorBidi" w:eastAsiaTheme="majorEastAsia" w:hAnsiTheme="majorBidi" w:cstheme="majorBidi"/>
          <w:b/>
          <w:bCs/>
          <w:sz w:val="22"/>
          <w:szCs w:val="22"/>
          <w:lang w:val="en-GB"/>
        </w:rPr>
        <w:t>I</w:t>
      </w:r>
      <w:r w:rsidR="00756F0F" w:rsidRPr="00ED7E61">
        <w:rPr>
          <w:rStyle w:val="normaltextrun"/>
          <w:rFonts w:asciiTheme="majorBidi" w:eastAsiaTheme="majorEastAsia" w:hAnsiTheme="majorBidi" w:cstheme="majorBidi"/>
          <w:i/>
          <w:iCs/>
          <w:sz w:val="22"/>
          <w:szCs w:val="22"/>
          <w:lang w:val="en-GB"/>
        </w:rPr>
        <w:t xml:space="preserve"> </w:t>
      </w:r>
      <w:r w:rsidR="004E6707">
        <w:rPr>
          <w:rStyle w:val="normaltextrun"/>
          <w:rFonts w:asciiTheme="majorBidi" w:eastAsiaTheme="majorEastAsia" w:hAnsiTheme="majorBidi" w:cstheme="majorBidi"/>
          <w:i/>
          <w:iCs/>
          <w:sz w:val="22"/>
          <w:szCs w:val="22"/>
          <w:lang w:val="en-GB"/>
        </w:rPr>
        <w:br/>
      </w:r>
      <w:r w:rsidR="005C180B">
        <w:rPr>
          <w:rStyle w:val="normaltextrun"/>
          <w:rFonts w:asciiTheme="majorBidi" w:eastAsiaTheme="majorEastAsia" w:hAnsiTheme="majorBidi" w:cstheme="majorBidi"/>
          <w:b/>
          <w:bCs/>
          <w:sz w:val="22"/>
          <w:szCs w:val="22"/>
          <w:lang w:val="en-GB"/>
        </w:rPr>
        <w:t>Support to fisheries by risk of encouraging unsustainable fishing in the absence of effective management 2010-2022</w:t>
      </w:r>
      <w:r w:rsidR="00756F0F" w:rsidRPr="00ED7E61">
        <w:rPr>
          <w:rStyle w:val="eop"/>
          <w:rFonts w:asciiTheme="majorBidi" w:eastAsiaTheme="majorEastAsia" w:hAnsiTheme="majorBidi" w:cstheme="majorBidi"/>
          <w:sz w:val="22"/>
          <w:szCs w:val="22"/>
        </w:rPr>
        <w:t> </w:t>
      </w:r>
    </w:p>
    <w:p w14:paraId="71368934" w14:textId="4096C4DB" w:rsidR="00D311B8" w:rsidRPr="00ED7E61" w:rsidRDefault="00D311B8"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p>
    <w:p w14:paraId="06639088" w14:textId="6CDE0A54" w:rsidR="0043638E" w:rsidRDefault="0043638E">
      <w:pPr>
        <w:rPr>
          <w:rStyle w:val="normaltextrun"/>
          <w:rFonts w:asciiTheme="majorBidi" w:eastAsiaTheme="majorEastAsia" w:hAnsiTheme="majorBidi" w:cstheme="majorBidi"/>
          <w:b/>
          <w:sz w:val="28"/>
          <w:szCs w:val="28"/>
        </w:rPr>
      </w:pPr>
      <w:r>
        <w:rPr>
          <w:rStyle w:val="normaltextrun"/>
        </w:rPr>
        <w:br w:type="page"/>
      </w:r>
    </w:p>
    <w:p w14:paraId="153CB5CB" w14:textId="7E597A12" w:rsidR="0043638E" w:rsidRPr="00ED7E61" w:rsidRDefault="0043638E" w:rsidP="0043638E">
      <w:pPr>
        <w:pStyle w:val="Heading3"/>
      </w:pPr>
      <w:bookmarkStart w:id="76" w:name="_Toc233278589"/>
      <w:r>
        <w:rPr>
          <w:rStyle w:val="normaltextrun"/>
        </w:rPr>
        <w:lastRenderedPageBreak/>
        <w:t>Target 19</w:t>
      </w:r>
      <w:bookmarkEnd w:id="76"/>
      <w:r>
        <w:rPr>
          <w:rStyle w:val="normaltextrun"/>
        </w:rPr>
        <w:t xml:space="preserve"> </w:t>
      </w:r>
    </w:p>
    <w:p w14:paraId="1D3F18A7" w14:textId="5516EC5C" w:rsidR="00CE5D0F" w:rsidRPr="0043638E" w:rsidRDefault="0043638E" w:rsidP="00CF4E92">
      <w:pPr>
        <w:pStyle w:val="CBDNormalNumber"/>
        <w:numPr>
          <w:ilvl w:val="0"/>
          <w:numId w:val="428"/>
        </w:numPr>
        <w:shd w:val="clear" w:color="auto" w:fill="FFFFFF"/>
        <w:tabs>
          <w:tab w:val="clear" w:pos="1701"/>
        </w:tabs>
        <w:ind w:left="567" w:firstLine="0"/>
        <w:rPr>
          <w:rStyle w:val="normaltextrun"/>
          <w:rFonts w:asciiTheme="majorBidi" w:eastAsiaTheme="majorEastAsia" w:hAnsiTheme="majorBidi" w:cstheme="majorBidi"/>
        </w:rPr>
        <w:sectPr w:rsidR="00CE5D0F" w:rsidRPr="0043638E" w:rsidSect="00B3383B">
          <w:pgSz w:w="12240" w:h="15840"/>
          <w:pgMar w:top="1134" w:right="1440" w:bottom="1134" w:left="1440" w:header="709" w:footer="709" w:gutter="0"/>
          <w:cols w:space="708"/>
          <w:docGrid w:linePitch="360"/>
        </w:sectPr>
      </w:pPr>
      <w:r w:rsidRPr="00FB1598">
        <w:rPr>
          <w:rStyle w:val="normaltextrun"/>
          <w:rFonts w:asciiTheme="majorBidi" w:eastAsiaTheme="majorEastAsia" w:hAnsiTheme="majorBidi" w:cstheme="majorBidi"/>
        </w:rPr>
        <w:t xml:space="preserve">Note that the headline indicators for target 19 of the Kunming-Montreal Global Biodiversity Framework are headline indicators </w:t>
      </w:r>
      <w:r w:rsidRPr="0043638E">
        <w:rPr>
          <w:rStyle w:val="normaltextrun"/>
          <w:rFonts w:asciiTheme="majorBidi" w:eastAsiaTheme="majorEastAsia" w:hAnsiTheme="majorBidi" w:cstheme="majorBidi"/>
        </w:rPr>
        <w:t>D.1 (International public funding, including official development assistance for conservation and sustainable use of biodiversity and ecosystems) D.2 (Domestic public funding on conservation and sustainable use of biodiversity and ecosystems) and D.3 (Private funding (domestic and international) on conservation and sustainable use of biodiversity and ecosystems).</w:t>
      </w:r>
    </w:p>
    <w:p w14:paraId="45133B7D" w14:textId="23997B7A" w:rsidR="00F6014B" w:rsidRPr="00157FE7" w:rsidRDefault="00F6014B" w:rsidP="00157FE7">
      <w:pPr>
        <w:pStyle w:val="Heading3"/>
        <w:rPr>
          <w:rStyle w:val="normaltextrun"/>
        </w:rPr>
      </w:pPr>
      <w:bookmarkStart w:id="77" w:name="_Toc233278590"/>
      <w:bookmarkStart w:id="78" w:name="_Toc178285881"/>
      <w:r w:rsidRPr="00157FE7">
        <w:rPr>
          <w:rStyle w:val="normaltextrun"/>
        </w:rPr>
        <w:lastRenderedPageBreak/>
        <w:t>Binary indicator 20.b</w:t>
      </w:r>
      <w:bookmarkEnd w:id="77"/>
      <w:r w:rsidRPr="00157FE7">
        <w:rPr>
          <w:rStyle w:val="normaltextrun"/>
        </w:rPr>
        <w:t xml:space="preserve"> </w:t>
      </w:r>
      <w:bookmarkEnd w:id="78"/>
    </w:p>
    <w:p w14:paraId="0DDE0DFE" w14:textId="77777777" w:rsidR="00F6014B" w:rsidRPr="00F6014B" w:rsidRDefault="00F6014B" w:rsidP="00F6014B"/>
    <w:p w14:paraId="1ACB8C1D" w14:textId="77777777" w:rsidR="00F6014B" w:rsidRPr="003276AA" w:rsidRDefault="00F6014B"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Full Indicator Name</w:t>
      </w:r>
    </w:p>
    <w:p w14:paraId="0DCAE8EA" w14:textId="77777777" w:rsidR="00F6014B" w:rsidRPr="00F6014B" w:rsidRDefault="00F6014B" w:rsidP="00F6014B">
      <w:r w:rsidRPr="00F6014B">
        <w:t>Number of countries that have taken significant action to strengthen capacity-building and development and access to and transfer of technology, and to promote the development of and access to innovation and technical and scientific cooperation.</w:t>
      </w:r>
    </w:p>
    <w:p w14:paraId="7B843E8B" w14:textId="77777777" w:rsidR="00F6014B" w:rsidRDefault="00F6014B" w:rsidP="00F6014B">
      <w:pPr>
        <w:rPr>
          <w:b/>
          <w:bCs/>
        </w:rPr>
      </w:pPr>
    </w:p>
    <w:p w14:paraId="3C560B36" w14:textId="7E82D076" w:rsidR="00F6014B" w:rsidRPr="003276AA" w:rsidRDefault="00F6014B"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Goals and Targets Addressed</w:t>
      </w:r>
    </w:p>
    <w:p w14:paraId="520EB60C" w14:textId="77777777" w:rsidR="00F6014B" w:rsidRDefault="00F6014B" w:rsidP="00F6014B">
      <w:pPr>
        <w:rPr>
          <w:b/>
          <w:bCs/>
        </w:rPr>
      </w:pPr>
    </w:p>
    <w:p w14:paraId="7E6C16A8" w14:textId="2E1C52B9" w:rsidR="00F6014B" w:rsidRPr="00F6014B" w:rsidRDefault="00F6014B" w:rsidP="00F6014B">
      <w:r w:rsidRPr="00F6014B">
        <w:t>Target 20. 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p w14:paraId="13AE2265" w14:textId="77777777" w:rsidR="00F6014B" w:rsidRPr="00F6014B" w:rsidRDefault="00F6014B" w:rsidP="00F6014B">
      <w:pPr>
        <w:rPr>
          <w:lang w:val="en-US"/>
        </w:rPr>
      </w:pPr>
    </w:p>
    <w:p w14:paraId="1A6A3DCF" w14:textId="77777777" w:rsidR="00F6014B" w:rsidRPr="003276AA" w:rsidRDefault="00F6014B" w:rsidP="003276AA">
      <w:pPr>
        <w:pStyle w:val="paragraph"/>
        <w:pBdr>
          <w:bottom w:val="single" w:sz="4" w:space="1" w:color="000000"/>
        </w:pBdr>
        <w:spacing w:before="0" w:beforeAutospacing="0" w:after="0" w:afterAutospacing="0"/>
        <w:textAlignment w:val="baseline"/>
        <w:rPr>
          <w:b/>
          <w:bCs/>
        </w:rPr>
      </w:pPr>
      <w:r w:rsidRPr="003276AA">
        <w:rPr>
          <w:rStyle w:val="normaltextrun"/>
          <w:rFonts w:asciiTheme="majorBidi" w:eastAsiaTheme="majorEastAsia" w:hAnsiTheme="majorBidi" w:cstheme="majorBidi"/>
          <w:b/>
          <w:bCs/>
          <w:sz w:val="22"/>
          <w:szCs w:val="22"/>
          <w:lang w:val="en-GB"/>
        </w:rPr>
        <w:t>Rationale</w:t>
      </w:r>
    </w:p>
    <w:p w14:paraId="78D1DBC1" w14:textId="77777777" w:rsidR="00F6014B" w:rsidRPr="00CF4E92" w:rsidRDefault="00F6014B" w:rsidP="00316AB2">
      <w:pPr>
        <w:pStyle w:val="CBDNormalNumber"/>
        <w:numPr>
          <w:ilvl w:val="0"/>
          <w:numId w:val="430"/>
        </w:numPr>
        <w:shd w:val="clear" w:color="auto" w:fill="FFFFFF"/>
        <w:tabs>
          <w:tab w:val="clear" w:pos="1701"/>
        </w:tabs>
        <w:ind w:left="567" w:firstLine="0"/>
        <w:rPr>
          <w:rStyle w:val="normaltextrun"/>
          <w:rFonts w:asciiTheme="majorBidi" w:eastAsiaTheme="majorEastAsia" w:hAnsiTheme="majorBidi" w:cstheme="majorBidi"/>
        </w:rPr>
      </w:pPr>
      <w:r w:rsidRPr="00CF4E92">
        <w:rPr>
          <w:rStyle w:val="normaltextrun"/>
          <w:rFonts w:asciiTheme="majorBidi" w:eastAsiaTheme="majorEastAsia" w:hAnsiTheme="majorBidi" w:cstheme="majorBidi"/>
        </w:rPr>
        <w:t>To achieve the goals and targets of the Kunming-Montreal Global Biodiversity Framework, Parties and other actors need to have commensurate expertise (including both technical and functional capacities), knowledge, tools, technologies and institutional capacity to effectively prioritize, plan, mobilize resources, and implement and monitor relevant strategies, programmes and activities at the national level. Capacity development, technical and scientific cooperation, technology transfer and innovation are crucial for enhancing the abilities, resilience and effectiveness of individuals, institutions and systems at various levels for improved biodiversity-related decision-making, action and outcomes.</w:t>
      </w:r>
    </w:p>
    <w:p w14:paraId="25E865BD" w14:textId="77777777" w:rsidR="00F6014B" w:rsidRPr="00CF4E92" w:rsidRDefault="00F6014B" w:rsidP="00316AB2">
      <w:pPr>
        <w:pStyle w:val="CBDNormalNumber"/>
        <w:numPr>
          <w:ilvl w:val="0"/>
          <w:numId w:val="430"/>
        </w:numPr>
        <w:shd w:val="clear" w:color="auto" w:fill="FFFFFF"/>
        <w:tabs>
          <w:tab w:val="clear" w:pos="1701"/>
        </w:tabs>
        <w:ind w:left="567" w:firstLine="0"/>
        <w:rPr>
          <w:rStyle w:val="normaltextrun"/>
          <w:rFonts w:asciiTheme="majorBidi" w:eastAsiaTheme="majorEastAsia" w:hAnsiTheme="majorBidi" w:cstheme="majorBidi"/>
        </w:rPr>
      </w:pPr>
      <w:r w:rsidRPr="00CF4E92">
        <w:rPr>
          <w:rStyle w:val="normaltextrun"/>
          <w:rFonts w:asciiTheme="majorBidi" w:eastAsiaTheme="majorEastAsia" w:hAnsiTheme="majorBidi" w:cstheme="majorBidi"/>
        </w:rPr>
        <w:t xml:space="preserve">The </w:t>
      </w:r>
      <w:proofErr w:type="gramStart"/>
      <w:r w:rsidRPr="00CF4E92">
        <w:rPr>
          <w:rStyle w:val="normaltextrun"/>
          <w:rFonts w:asciiTheme="majorBidi" w:eastAsiaTheme="majorEastAsia" w:hAnsiTheme="majorBidi" w:cstheme="majorBidi"/>
        </w:rPr>
        <w:t>ultimate aim</w:t>
      </w:r>
      <w:proofErr w:type="gramEnd"/>
      <w:r w:rsidRPr="00CF4E92">
        <w:rPr>
          <w:rStyle w:val="normaltextrun"/>
          <w:rFonts w:asciiTheme="majorBidi" w:eastAsiaTheme="majorEastAsia" w:hAnsiTheme="majorBidi" w:cstheme="majorBidi"/>
        </w:rPr>
        <w:t xml:space="preserve"> of this target is to ensure that Parties and other relevant actors have the necessary enabling conditions, capacity, know-how, technologies and other tools for implementation, commensurate with the ambition of the goals and targets of the Framework. Therefore, the indicator tracks progress along the assessment of needs, both in terms of capacity and technology, the development of action plans for capacity-building and technology, and the cooperation between Parties. All three elements, assessing needs, developing an action plan and collaboration are essential to deliver on the Framework.</w:t>
      </w:r>
    </w:p>
    <w:p w14:paraId="5F93C96B" w14:textId="77777777" w:rsidR="00F6014B" w:rsidRPr="003276AA" w:rsidRDefault="00F6014B"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Definitions Concepts and Classifications</w:t>
      </w:r>
    </w:p>
    <w:p w14:paraId="43A2EBD5" w14:textId="77777777" w:rsidR="00F6014B" w:rsidRPr="00F6014B" w:rsidRDefault="00F6014B" w:rsidP="00F6014B">
      <w:pPr>
        <w:rPr>
          <w:b/>
          <w:bCs/>
        </w:rPr>
      </w:pPr>
      <w:r w:rsidRPr="00F6014B">
        <w:rPr>
          <w:b/>
          <w:bCs/>
        </w:rPr>
        <w:t>Definition</w:t>
      </w:r>
    </w:p>
    <w:p w14:paraId="5C3E1BAD" w14:textId="77777777" w:rsidR="00F6014B" w:rsidRPr="00316AB2" w:rsidRDefault="00F6014B" w:rsidP="00316AB2">
      <w:pPr>
        <w:pStyle w:val="CBDNormalNumber"/>
        <w:numPr>
          <w:ilvl w:val="0"/>
          <w:numId w:val="430"/>
        </w:numPr>
        <w:shd w:val="clear" w:color="auto" w:fill="FFFFFF"/>
        <w:tabs>
          <w:tab w:val="clear" w:pos="1701"/>
        </w:tabs>
        <w:ind w:left="567" w:firstLine="0"/>
        <w:rPr>
          <w:rStyle w:val="normaltextrun"/>
          <w:rFonts w:asciiTheme="majorBidi" w:eastAsiaTheme="majorEastAsia" w:hAnsiTheme="majorBidi" w:cstheme="majorBidi"/>
        </w:rPr>
      </w:pPr>
      <w:r w:rsidRPr="00316AB2">
        <w:rPr>
          <w:rStyle w:val="normaltextrun"/>
          <w:rFonts w:asciiTheme="majorBidi" w:eastAsiaTheme="majorEastAsia" w:hAnsiTheme="majorBidi" w:cstheme="majorBidi"/>
        </w:rPr>
        <w:t xml:space="preserve">Capacity: The ability of people, organizations and societies </w:t>
      </w:r>
      <w:proofErr w:type="gramStart"/>
      <w:r w:rsidRPr="00316AB2">
        <w:rPr>
          <w:rStyle w:val="normaltextrun"/>
          <w:rFonts w:asciiTheme="majorBidi" w:eastAsiaTheme="majorEastAsia" w:hAnsiTheme="majorBidi" w:cstheme="majorBidi"/>
        </w:rPr>
        <w:t>as a whole to</w:t>
      </w:r>
      <w:proofErr w:type="gramEnd"/>
      <w:r w:rsidRPr="00316AB2">
        <w:rPr>
          <w:rStyle w:val="normaltextrun"/>
          <w:rFonts w:asciiTheme="majorBidi" w:eastAsiaTheme="majorEastAsia" w:hAnsiTheme="majorBidi" w:cstheme="majorBidi"/>
        </w:rPr>
        <w:t xml:space="preserve"> achieve the biodiversity-related goals and action targets.</w:t>
      </w:r>
    </w:p>
    <w:p w14:paraId="55B898C2" w14:textId="77777777" w:rsidR="00F6014B" w:rsidRPr="00316AB2" w:rsidRDefault="00F6014B" w:rsidP="00316AB2">
      <w:pPr>
        <w:pStyle w:val="CBDNormalNumber"/>
        <w:numPr>
          <w:ilvl w:val="0"/>
          <w:numId w:val="430"/>
        </w:numPr>
        <w:shd w:val="clear" w:color="auto" w:fill="FFFFFF"/>
        <w:tabs>
          <w:tab w:val="clear" w:pos="1701"/>
        </w:tabs>
        <w:ind w:left="567" w:firstLine="0"/>
        <w:rPr>
          <w:rStyle w:val="normaltextrun"/>
          <w:rFonts w:asciiTheme="majorBidi" w:eastAsiaTheme="majorEastAsia" w:hAnsiTheme="majorBidi" w:cstheme="majorBidi"/>
        </w:rPr>
      </w:pPr>
      <w:r w:rsidRPr="00316AB2">
        <w:rPr>
          <w:rStyle w:val="normaltextrun"/>
          <w:rFonts w:asciiTheme="majorBidi" w:eastAsiaTheme="majorEastAsia" w:hAnsiTheme="majorBidi" w:cstheme="majorBidi"/>
        </w:rPr>
        <w:t xml:space="preserve">Capacity-building and development: The process whereby people, organizations and society </w:t>
      </w:r>
      <w:proofErr w:type="gramStart"/>
      <w:r w:rsidRPr="00316AB2">
        <w:rPr>
          <w:rStyle w:val="normaltextrun"/>
          <w:rFonts w:asciiTheme="majorBidi" w:eastAsiaTheme="majorEastAsia" w:hAnsiTheme="majorBidi" w:cstheme="majorBidi"/>
        </w:rPr>
        <w:t>as a whole unleash</w:t>
      </w:r>
      <w:proofErr w:type="gramEnd"/>
      <w:r w:rsidRPr="00316AB2">
        <w:rPr>
          <w:rStyle w:val="normaltextrun"/>
          <w:rFonts w:asciiTheme="majorBidi" w:eastAsiaTheme="majorEastAsia" w:hAnsiTheme="majorBidi" w:cstheme="majorBidi"/>
        </w:rPr>
        <w:t>, strengthen, create, adapt and maintain capacity over time to achieve positive biodiversity results. Capacity</w:t>
      </w:r>
      <w:r w:rsidRPr="00316AB2">
        <w:rPr>
          <w:rStyle w:val="normaltextrun"/>
          <w:rFonts w:asciiTheme="majorBidi" w:eastAsiaTheme="majorEastAsia" w:hAnsiTheme="majorBidi" w:cstheme="majorBidi"/>
        </w:rPr>
        <w:noBreakHyphen/>
        <w:t>building and development is considered at three levels: the enabling environment, organizational and individual levels.</w:t>
      </w:r>
    </w:p>
    <w:p w14:paraId="25C92D4F" w14:textId="77777777" w:rsidR="00F6014B" w:rsidRPr="00316AB2" w:rsidRDefault="00F6014B" w:rsidP="00316AB2">
      <w:pPr>
        <w:pStyle w:val="CBDNormalNumber"/>
        <w:numPr>
          <w:ilvl w:val="0"/>
          <w:numId w:val="430"/>
        </w:numPr>
        <w:shd w:val="clear" w:color="auto" w:fill="FFFFFF"/>
        <w:tabs>
          <w:tab w:val="clear" w:pos="1701"/>
        </w:tabs>
        <w:ind w:left="567" w:firstLine="0"/>
        <w:rPr>
          <w:rStyle w:val="normaltextrun"/>
          <w:rFonts w:asciiTheme="majorBidi" w:eastAsiaTheme="majorEastAsia" w:hAnsiTheme="majorBidi" w:cstheme="majorBidi"/>
        </w:rPr>
      </w:pPr>
      <w:r w:rsidRPr="00316AB2">
        <w:rPr>
          <w:rStyle w:val="normaltextrun"/>
          <w:rFonts w:asciiTheme="majorBidi" w:eastAsiaTheme="majorEastAsia" w:hAnsiTheme="majorBidi" w:cstheme="majorBidi"/>
        </w:rPr>
        <w:t>Technical and scientific cooperation: Technical and scientific cooperation refers to a process whereby institutions in two or more countries pursue their individual or collective biodiversity-related goals through cooperative actions. This may include the creation and/or exchange of scientific knowledge, data, expertise, resources, technologies, and technical know-how. It may also include human resource development, institution building, joint training of personnel, exchange of experts, joint research programmes, joint ventures for the development and diffusion of technologies (including indigenous and traditional technologies), and transfer of technology and know-how.</w:t>
      </w:r>
    </w:p>
    <w:p w14:paraId="54FB73D3" w14:textId="77777777" w:rsidR="00316AB2" w:rsidRDefault="00F6014B" w:rsidP="00316AB2">
      <w:pPr>
        <w:pStyle w:val="CBDNormalNumber"/>
        <w:numPr>
          <w:ilvl w:val="0"/>
          <w:numId w:val="430"/>
        </w:numPr>
        <w:shd w:val="clear" w:color="auto" w:fill="FFFFFF"/>
        <w:tabs>
          <w:tab w:val="clear" w:pos="1701"/>
        </w:tabs>
        <w:ind w:left="567" w:firstLine="0"/>
        <w:rPr>
          <w:rStyle w:val="normaltextrun"/>
          <w:rFonts w:asciiTheme="majorBidi" w:eastAsiaTheme="majorEastAsia" w:hAnsiTheme="majorBidi" w:cstheme="majorBidi"/>
        </w:rPr>
      </w:pPr>
      <w:r w:rsidRPr="00316AB2">
        <w:rPr>
          <w:rStyle w:val="normaltextrun"/>
          <w:rFonts w:asciiTheme="majorBidi" w:eastAsiaTheme="majorEastAsia" w:hAnsiTheme="majorBidi" w:cstheme="majorBidi"/>
        </w:rPr>
        <w:lastRenderedPageBreak/>
        <w:t xml:space="preserve">National capacity self-assessment: An official process outlined by the United Nations and the GEF secretariat to assess the existing capacity of a nation to deliver on and implement the convention. The primary goal of an NCSA is to determine national priorities for capacity development to better address global environmental issues. The NCSA will analyse the country’s capacity strengths, constraints and needs, and recommend capacity development actions to address them. The focus is on a country’s capacity requirements to implement the three “Rio Conventions” – biodiversity (CBD), land degradation (CCD), and climate change (UNFCC) – and other relevant Multilateral Environmental Agreements (MEAs). In addition, the NCSA process aims to identify cross-cutting capacity issues and foster synergies among the </w:t>
      </w:r>
      <w:proofErr w:type="spellStart"/>
      <w:r w:rsidRPr="00316AB2">
        <w:rPr>
          <w:rStyle w:val="normaltextrun"/>
          <w:rFonts w:asciiTheme="majorBidi" w:eastAsiaTheme="majorEastAsia" w:hAnsiTheme="majorBidi" w:cstheme="majorBidi"/>
        </w:rPr>
        <w:t>MEAs.</w:t>
      </w:r>
      <w:proofErr w:type="spellEnd"/>
    </w:p>
    <w:p w14:paraId="3E863B64" w14:textId="77777777" w:rsidR="00316AB2" w:rsidRPr="00316AB2" w:rsidRDefault="00F6014B" w:rsidP="00316AB2">
      <w:pPr>
        <w:pStyle w:val="CBDNormalNumber"/>
        <w:numPr>
          <w:ilvl w:val="0"/>
          <w:numId w:val="430"/>
        </w:numPr>
        <w:shd w:val="clear" w:color="auto" w:fill="FFFFFF"/>
        <w:tabs>
          <w:tab w:val="clear" w:pos="1701"/>
        </w:tabs>
        <w:ind w:left="567" w:firstLine="0"/>
        <w:rPr>
          <w:rFonts w:asciiTheme="majorBidi" w:eastAsiaTheme="majorEastAsia" w:hAnsiTheme="majorBidi" w:cstheme="majorBidi"/>
        </w:rPr>
      </w:pPr>
      <w:r w:rsidRPr="00316AB2">
        <w:t xml:space="preserve">National capacity development action plan: National capacity development action plans are part of the formal process for Parties to support the implementation of their NBSAPs. Examples of these action plans can be found </w:t>
      </w:r>
      <w:hyperlink r:id="rId495" w:history="1">
        <w:r w:rsidRPr="00316AB2">
          <w:rPr>
            <w:rStyle w:val="Hyperlink"/>
          </w:rPr>
          <w:t>here</w:t>
        </w:r>
      </w:hyperlink>
      <w:r w:rsidRPr="00316AB2">
        <w:t>.</w:t>
      </w:r>
    </w:p>
    <w:p w14:paraId="76AFCA78" w14:textId="77777777" w:rsidR="00316AB2" w:rsidRPr="00316AB2" w:rsidRDefault="00F6014B" w:rsidP="00316AB2">
      <w:pPr>
        <w:pStyle w:val="CBDNormalNumber"/>
        <w:numPr>
          <w:ilvl w:val="0"/>
          <w:numId w:val="430"/>
        </w:numPr>
        <w:shd w:val="clear" w:color="auto" w:fill="FFFFFF"/>
        <w:tabs>
          <w:tab w:val="clear" w:pos="1701"/>
        </w:tabs>
        <w:ind w:left="567" w:firstLine="0"/>
        <w:rPr>
          <w:rFonts w:asciiTheme="majorBidi" w:eastAsiaTheme="majorEastAsia" w:hAnsiTheme="majorBidi" w:cstheme="majorBidi"/>
        </w:rPr>
      </w:pPr>
      <w:r w:rsidRPr="00316AB2">
        <w:t>South-South cooperation: The exchange of </w:t>
      </w:r>
      <w:hyperlink r:id="rId496" w:tgtFrame="_blank" w:history="1">
        <w:r w:rsidRPr="00316AB2">
          <w:rPr>
            <w:rStyle w:val="Hyperlink"/>
          </w:rPr>
          <w:t>best practices</w:t>
        </w:r>
      </w:hyperlink>
      <w:r w:rsidRPr="00316AB2">
        <w:t xml:space="preserve">, resources, technology, and </w:t>
      </w:r>
      <w:proofErr w:type="gramStart"/>
      <w:r w:rsidRPr="00316AB2">
        <w:t>knowledge  between</w:t>
      </w:r>
      <w:proofErr w:type="gramEnd"/>
      <w:r w:rsidRPr="00316AB2">
        <w:t xml:space="preserve"> developing countries.</w:t>
      </w:r>
    </w:p>
    <w:p w14:paraId="46763B3A" w14:textId="77777777" w:rsidR="00316AB2" w:rsidRPr="00316AB2" w:rsidRDefault="00F6014B" w:rsidP="00316AB2">
      <w:pPr>
        <w:pStyle w:val="CBDNormalNumber"/>
        <w:numPr>
          <w:ilvl w:val="0"/>
          <w:numId w:val="430"/>
        </w:numPr>
        <w:shd w:val="clear" w:color="auto" w:fill="FFFFFF"/>
        <w:tabs>
          <w:tab w:val="clear" w:pos="1701"/>
        </w:tabs>
        <w:ind w:left="567" w:firstLine="0"/>
        <w:rPr>
          <w:rFonts w:asciiTheme="majorBidi" w:eastAsiaTheme="majorEastAsia" w:hAnsiTheme="majorBidi" w:cstheme="majorBidi"/>
        </w:rPr>
      </w:pPr>
      <w:r w:rsidRPr="00316AB2">
        <w:t>North-South cooperation:  The exchange of </w:t>
      </w:r>
      <w:hyperlink r:id="rId497" w:tgtFrame="_blank" w:history="1">
        <w:r w:rsidRPr="00316AB2">
          <w:rPr>
            <w:rStyle w:val="Hyperlink"/>
          </w:rPr>
          <w:t>best practices</w:t>
        </w:r>
      </w:hyperlink>
      <w:r w:rsidRPr="00316AB2">
        <w:t xml:space="preserve">, resources, technology, and </w:t>
      </w:r>
      <w:proofErr w:type="gramStart"/>
      <w:r w:rsidRPr="00316AB2">
        <w:t>knowledge  between</w:t>
      </w:r>
      <w:proofErr w:type="gramEnd"/>
      <w:r w:rsidRPr="00316AB2">
        <w:t xml:space="preserve"> developing countries and developed countries.</w:t>
      </w:r>
    </w:p>
    <w:p w14:paraId="4817E07F" w14:textId="77777777" w:rsidR="00316AB2" w:rsidRPr="00316AB2" w:rsidRDefault="00F6014B" w:rsidP="00316AB2">
      <w:pPr>
        <w:pStyle w:val="CBDNormalNumber"/>
        <w:numPr>
          <w:ilvl w:val="0"/>
          <w:numId w:val="430"/>
        </w:numPr>
        <w:shd w:val="clear" w:color="auto" w:fill="FFFFFF"/>
        <w:tabs>
          <w:tab w:val="clear" w:pos="1701"/>
        </w:tabs>
        <w:ind w:left="567" w:firstLine="0"/>
        <w:rPr>
          <w:rFonts w:asciiTheme="majorBidi" w:eastAsiaTheme="majorEastAsia" w:hAnsiTheme="majorBidi" w:cstheme="majorBidi"/>
        </w:rPr>
      </w:pPr>
      <w:r w:rsidRPr="00316AB2">
        <w:t>Triangular cooperation: Southern-driven partnerships between two or more developing countries, supported by a developed country(</w:t>
      </w:r>
      <w:proofErr w:type="spellStart"/>
      <w:r w:rsidRPr="00316AB2">
        <w:t>ies</w:t>
      </w:r>
      <w:proofErr w:type="spellEnd"/>
      <w:r w:rsidRPr="00316AB2">
        <w:t>) or multilateral organization(s), to implement development cooperation programmes and projects.</w:t>
      </w:r>
    </w:p>
    <w:p w14:paraId="65CB568F" w14:textId="249375B8" w:rsidR="00F6014B" w:rsidRPr="00316AB2" w:rsidRDefault="00F6014B" w:rsidP="00316AB2">
      <w:pPr>
        <w:pStyle w:val="CBDNormalNumber"/>
        <w:numPr>
          <w:ilvl w:val="0"/>
          <w:numId w:val="430"/>
        </w:numPr>
        <w:shd w:val="clear" w:color="auto" w:fill="FFFFFF"/>
        <w:tabs>
          <w:tab w:val="clear" w:pos="1701"/>
        </w:tabs>
        <w:ind w:left="567" w:firstLine="0"/>
        <w:rPr>
          <w:rFonts w:asciiTheme="majorBidi" w:eastAsiaTheme="majorEastAsia" w:hAnsiTheme="majorBidi" w:cstheme="majorBidi"/>
        </w:rPr>
      </w:pPr>
      <w:r w:rsidRPr="00316AB2">
        <w:t xml:space="preserve">Indigenous technology: Refers to the technological knowledge, skills, and resources transmitted or handed down from the past indigenous people to the present ones to meet their needs and wants by means of investigating, designing, developing, and evaluating products, processes, and systems with an intention of solving the practical problems. Indigenous technology is used by the native inhabitants of a country or region, and it constitutes an important part of its cultural heritage (Gumbo, 2014; </w:t>
      </w:r>
      <w:hyperlink r:id="rId498" w:history="1">
        <w:r w:rsidRPr="00316AB2">
          <w:rPr>
            <w:rStyle w:val="Hyperlink"/>
          </w:rPr>
          <w:t>access here</w:t>
        </w:r>
      </w:hyperlink>
      <w:r w:rsidRPr="00316AB2">
        <w:t>).</w:t>
      </w:r>
    </w:p>
    <w:p w14:paraId="44C49FB7" w14:textId="77777777" w:rsidR="00F6014B" w:rsidRPr="00F6014B" w:rsidRDefault="00F6014B" w:rsidP="00F6014B"/>
    <w:p w14:paraId="462FFB4F" w14:textId="77777777" w:rsidR="00F6014B" w:rsidRPr="003276AA" w:rsidRDefault="00F6014B"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Method of Computation</w:t>
      </w:r>
    </w:p>
    <w:p w14:paraId="39C8D8A5" w14:textId="77777777" w:rsidR="00F6014B" w:rsidRPr="00F6014B" w:rsidRDefault="00F6014B" w:rsidP="00316AB2">
      <w:pPr>
        <w:pStyle w:val="CBDNormalNumber"/>
        <w:numPr>
          <w:ilvl w:val="0"/>
          <w:numId w:val="430"/>
        </w:numPr>
        <w:shd w:val="clear" w:color="auto" w:fill="FFFFFF"/>
        <w:tabs>
          <w:tab w:val="clear" w:pos="1701"/>
        </w:tabs>
        <w:ind w:left="567" w:firstLine="0"/>
      </w:pPr>
      <w:r w:rsidRPr="00F6014B">
        <w:t>This indicator is a binary indicator and must be compiled from the answers to five questions:</w:t>
      </w:r>
    </w:p>
    <w:p w14:paraId="692C0EB3" w14:textId="47C39808" w:rsidR="00F6014B" w:rsidRPr="00F6014B" w:rsidRDefault="00F6014B" w:rsidP="009E74AA">
      <w:pPr>
        <w:numPr>
          <w:ilvl w:val="1"/>
          <w:numId w:val="427"/>
        </w:numPr>
        <w:rPr>
          <w:bCs/>
          <w:lang w:val="en-GB"/>
        </w:rPr>
      </w:pPr>
      <w:r w:rsidRPr="00F6014B">
        <w:rPr>
          <w:bCs/>
          <w:lang w:val="en-GB"/>
        </w:rPr>
        <w:t xml:space="preserve">20.1 </w:t>
      </w:r>
      <w:r w:rsidR="009E74AA" w:rsidRPr="009E74AA">
        <w:rPr>
          <w:bCs/>
        </w:rPr>
        <w:t>Does your country have plans, policies or instruments for addressing capacity-building and development needs for biodiversity?</w:t>
      </w:r>
    </w:p>
    <w:p w14:paraId="5A3CE448" w14:textId="77777777" w:rsidR="00F6014B" w:rsidRPr="00F6014B" w:rsidRDefault="00F6014B" w:rsidP="00F6014B">
      <w:pPr>
        <w:numPr>
          <w:ilvl w:val="1"/>
          <w:numId w:val="427"/>
        </w:numPr>
        <w:rPr>
          <w:bCs/>
          <w:lang w:val="en-GB"/>
        </w:rPr>
      </w:pPr>
      <w:r w:rsidRPr="00F6014B">
        <w:rPr>
          <w:bCs/>
          <w:lang w:val="en-GB"/>
        </w:rPr>
        <w:t>20.2 Does your country have measures to ensure the full and effective participation of indigenous peoples and local communities, women and girls, children and youth and people with disabilities in capacity-building and development for the conservation and sustainable use of biodiversity? (Select all that apply)</w:t>
      </w:r>
    </w:p>
    <w:p w14:paraId="6D0E96A3" w14:textId="77777777" w:rsidR="00F6014B" w:rsidRPr="00F6014B" w:rsidRDefault="00F6014B" w:rsidP="00F6014B">
      <w:pPr>
        <w:numPr>
          <w:ilvl w:val="1"/>
          <w:numId w:val="427"/>
        </w:numPr>
        <w:rPr>
          <w:bCs/>
          <w:lang w:val="en-GB"/>
        </w:rPr>
      </w:pPr>
      <w:r w:rsidRPr="00F6014B">
        <w:rPr>
          <w:bCs/>
          <w:lang w:val="en-GB"/>
        </w:rPr>
        <w:t>20.3 Has your country undertaken a national capacity self-assessment or other processes for assessing the capacity needs for the conservation and sustainable use of biodiversity?</w:t>
      </w:r>
    </w:p>
    <w:p w14:paraId="63B5EE6A" w14:textId="77777777" w:rsidR="00F6014B" w:rsidRPr="00F6014B" w:rsidRDefault="00F6014B" w:rsidP="00F6014B">
      <w:pPr>
        <w:numPr>
          <w:ilvl w:val="1"/>
          <w:numId w:val="427"/>
        </w:numPr>
        <w:rPr>
          <w:bCs/>
          <w:lang w:val="en-GB"/>
        </w:rPr>
      </w:pPr>
      <w:r w:rsidRPr="00F6014B">
        <w:rPr>
          <w:bCs/>
          <w:lang w:val="en-GB"/>
        </w:rPr>
        <w:t>20. Has your country undertaken a national assessment of the capacity-building and development needs of indigenous peoples and local communities, women and girls, children and youth, and people with disabilities for the conservation and sustainable use of biodiversity? (Select all that apply)</w:t>
      </w:r>
    </w:p>
    <w:p w14:paraId="55883472" w14:textId="77777777" w:rsidR="00F6014B" w:rsidRPr="00F6014B" w:rsidRDefault="00F6014B" w:rsidP="00F6014B">
      <w:pPr>
        <w:numPr>
          <w:ilvl w:val="1"/>
          <w:numId w:val="427"/>
        </w:numPr>
        <w:rPr>
          <w:bCs/>
          <w:lang w:val="en-GB"/>
        </w:rPr>
      </w:pPr>
      <w:r w:rsidRPr="00F6014B">
        <w:rPr>
          <w:bCs/>
          <w:lang w:val="en-GB"/>
        </w:rPr>
        <w:t xml:space="preserve">20.5 Has your country established partnerships to foster joint technology development and joint scientific research programmes for the conservation and sustainable use of biodiversity and strengthening </w:t>
      </w:r>
      <w:r w:rsidRPr="00F6014B">
        <w:rPr>
          <w:bCs/>
          <w:lang w:val="en-GB"/>
        </w:rPr>
        <w:lastRenderedPageBreak/>
        <w:t>scientific research and monitoring capabilities, including through South-South, North-South and triangular cooperation?</w:t>
      </w:r>
    </w:p>
    <w:p w14:paraId="60F2B0AC" w14:textId="77777777" w:rsidR="005F52CB" w:rsidRDefault="00F6014B" w:rsidP="005F52CB">
      <w:pPr>
        <w:pStyle w:val="CBDNormalNumber"/>
        <w:numPr>
          <w:ilvl w:val="0"/>
          <w:numId w:val="430"/>
        </w:numPr>
        <w:shd w:val="clear" w:color="auto" w:fill="FFFFFF"/>
        <w:tabs>
          <w:tab w:val="clear" w:pos="1701"/>
        </w:tabs>
        <w:ind w:left="567" w:firstLine="0"/>
      </w:pPr>
      <w:r w:rsidRPr="00F6014B">
        <w:t>There are four possible answers to questions 20.1, 20.3 and 20.5:</w:t>
      </w:r>
    </w:p>
    <w:p w14:paraId="5D2528C5" w14:textId="77777777" w:rsidR="005F52CB" w:rsidRPr="005F52CB" w:rsidRDefault="00F6014B" w:rsidP="005F52CB">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pPr>
      <w:r w:rsidRPr="005F52CB">
        <w:rPr>
          <w:bCs/>
        </w:rPr>
        <w:t>No</w:t>
      </w:r>
    </w:p>
    <w:p w14:paraId="6FF7143A" w14:textId="77777777" w:rsidR="005F52CB" w:rsidRPr="005F52CB" w:rsidRDefault="00F6014B" w:rsidP="005F52CB">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pPr>
      <w:r w:rsidRPr="005F52CB">
        <w:rPr>
          <w:bCs/>
        </w:rPr>
        <w:t>Under development</w:t>
      </w:r>
    </w:p>
    <w:p w14:paraId="16F12BBD" w14:textId="77777777" w:rsidR="005F52CB" w:rsidRPr="005F52CB" w:rsidRDefault="00F6014B" w:rsidP="005F52CB">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pPr>
      <w:r w:rsidRPr="005F52CB">
        <w:rPr>
          <w:bCs/>
        </w:rPr>
        <w:t>Partially</w:t>
      </w:r>
    </w:p>
    <w:p w14:paraId="4E193EDB" w14:textId="41DB58F9" w:rsidR="00F6014B" w:rsidRPr="005F52CB" w:rsidRDefault="00F6014B" w:rsidP="005F52CB">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pPr>
      <w:r w:rsidRPr="005F52CB">
        <w:rPr>
          <w:bCs/>
        </w:rPr>
        <w:t>Fully</w:t>
      </w:r>
    </w:p>
    <w:p w14:paraId="398D2722" w14:textId="77777777" w:rsidR="00F6014B" w:rsidRPr="00F6014B" w:rsidRDefault="00F6014B" w:rsidP="00CC74DC">
      <w:pPr>
        <w:pStyle w:val="CBDNormalNumber"/>
        <w:numPr>
          <w:ilvl w:val="0"/>
          <w:numId w:val="430"/>
        </w:numPr>
        <w:shd w:val="clear" w:color="auto" w:fill="FFFFFF"/>
        <w:tabs>
          <w:tab w:val="clear" w:pos="1701"/>
        </w:tabs>
        <w:ind w:left="567" w:firstLine="0"/>
      </w:pPr>
      <w:r w:rsidRPr="00F6014B">
        <w:t>A “</w:t>
      </w:r>
      <w:r w:rsidRPr="00CC74DC">
        <w:t>No</w:t>
      </w:r>
      <w:r w:rsidRPr="00F6014B">
        <w:t>” answer implies that:</w:t>
      </w:r>
    </w:p>
    <w:p w14:paraId="77231971" w14:textId="77777777" w:rsidR="00F6014B" w:rsidRPr="00F6014B" w:rsidRDefault="00F6014B" w:rsidP="00453BC8">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there are no plans, policies or instruments for addressing capacity-building and development needs for biodiversity (20.1)</w:t>
      </w:r>
    </w:p>
    <w:p w14:paraId="1893F8F1" w14:textId="77777777" w:rsidR="00F6014B" w:rsidRPr="00F6014B" w:rsidRDefault="00F6014B" w:rsidP="00453BC8">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no national capacity self-assessment or other process for assessing capacity needs for the conservation and sustainable use of biodiversity has been conducted (20.3)</w:t>
      </w:r>
    </w:p>
    <w:p w14:paraId="7FC1F6CF" w14:textId="77777777" w:rsidR="00F6014B" w:rsidRPr="00F6014B" w:rsidRDefault="00F6014B" w:rsidP="00453BC8">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no partnerships to foster joint technology development and joint scientific research programmes for the conservation and sustainable use of biodiversity and strengthening scientific research and monitoring capabilities have been established with another Party (20.5)</w:t>
      </w:r>
    </w:p>
    <w:p w14:paraId="4F266B6B" w14:textId="77777777" w:rsidR="00F6014B" w:rsidRPr="00F6014B" w:rsidRDefault="00F6014B" w:rsidP="00453BC8">
      <w:pPr>
        <w:pStyle w:val="CBDNormalNumber"/>
        <w:numPr>
          <w:ilvl w:val="0"/>
          <w:numId w:val="430"/>
        </w:numPr>
        <w:shd w:val="clear" w:color="auto" w:fill="FFFFFF"/>
        <w:tabs>
          <w:tab w:val="clear" w:pos="1701"/>
        </w:tabs>
        <w:ind w:left="567" w:firstLine="0"/>
      </w:pPr>
      <w:r w:rsidRPr="00F6014B">
        <w:t>In all, no progress has been made towards any of the statements in each question and there are no national level efforts to make any.</w:t>
      </w:r>
    </w:p>
    <w:p w14:paraId="0FF3CA68" w14:textId="77777777" w:rsidR="00F6014B" w:rsidRPr="00F6014B" w:rsidRDefault="00F6014B" w:rsidP="00453BC8">
      <w:pPr>
        <w:pStyle w:val="CBDNormalNumber"/>
        <w:numPr>
          <w:ilvl w:val="0"/>
          <w:numId w:val="430"/>
        </w:numPr>
        <w:shd w:val="clear" w:color="auto" w:fill="FFFFFF"/>
        <w:tabs>
          <w:tab w:val="clear" w:pos="1701"/>
        </w:tabs>
        <w:ind w:left="567" w:firstLine="0"/>
      </w:pPr>
      <w:r w:rsidRPr="00F6014B">
        <w:t>An “</w:t>
      </w:r>
      <w:r w:rsidRPr="00453BC8">
        <w:t>Under development</w:t>
      </w:r>
      <w:r w:rsidRPr="00F6014B">
        <w:t>” answer implies a concerted effort at the national level to make progress towards each question. That is:</w:t>
      </w:r>
    </w:p>
    <w:p w14:paraId="16A8A5CA" w14:textId="77777777" w:rsidR="00F6014B" w:rsidRPr="00F6014B" w:rsidRDefault="00F6014B" w:rsidP="00453BC8">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plans, policies or instruments for addressing capacity-building and development needs for biodiversity (20.1) are in development, these may be at the stage of draft or formal bill introduced but not yet ratified.</w:t>
      </w:r>
    </w:p>
    <w:p w14:paraId="5EECFE16" w14:textId="77777777" w:rsidR="00F6014B" w:rsidRPr="00F6014B" w:rsidRDefault="00F6014B" w:rsidP="00453BC8">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 xml:space="preserve">a plan is in place to carry out a national capacity self-assessment or other process for assessing capacity needs for the conservation and sustainable use of biodiversity (20.3), a strategy to carry it out exists and resources are being mobilized but the assessment has not yet begun. </w:t>
      </w:r>
    </w:p>
    <w:p w14:paraId="44DC8BAD" w14:textId="77777777" w:rsidR="00F6014B" w:rsidRPr="00F6014B" w:rsidRDefault="00F6014B" w:rsidP="00453BC8">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 xml:space="preserve">partnerships to foster joint technology development or joint scientific research programmes for the conservation and sustainable use of biodiversity or strengthening scientific research and monitoring capabilities (20.5) are in process, cooperation between Parties is being discussed, including through either South-South, North-South or triangular cooperation. </w:t>
      </w:r>
    </w:p>
    <w:p w14:paraId="5BE74516" w14:textId="77777777" w:rsidR="00F6014B" w:rsidRPr="00453BC8" w:rsidRDefault="00F6014B" w:rsidP="00453BC8">
      <w:pPr>
        <w:pStyle w:val="CBDNormalNumber"/>
        <w:numPr>
          <w:ilvl w:val="0"/>
          <w:numId w:val="430"/>
        </w:numPr>
        <w:shd w:val="clear" w:color="auto" w:fill="FFFFFF"/>
        <w:tabs>
          <w:tab w:val="clear" w:pos="1701"/>
        </w:tabs>
        <w:ind w:left="567" w:firstLine="0"/>
      </w:pPr>
      <w:r w:rsidRPr="00F6014B">
        <w:t>To</w:t>
      </w:r>
      <w:r w:rsidRPr="00453BC8">
        <w:t xml:space="preserve"> select this response, a nation must be planning to deliver on each of these elements and be designing the methodology to do so. Intent is not sufficient, official commitments and methodological proposals must be present.</w:t>
      </w:r>
    </w:p>
    <w:p w14:paraId="525243A5" w14:textId="77777777" w:rsidR="00F6014B" w:rsidRPr="00F6014B" w:rsidRDefault="00F6014B" w:rsidP="00453BC8">
      <w:pPr>
        <w:pStyle w:val="CBDNormalNumber"/>
        <w:numPr>
          <w:ilvl w:val="0"/>
          <w:numId w:val="430"/>
        </w:numPr>
        <w:shd w:val="clear" w:color="auto" w:fill="FFFFFF"/>
        <w:tabs>
          <w:tab w:val="clear" w:pos="1701"/>
        </w:tabs>
        <w:ind w:left="567" w:firstLine="0"/>
      </w:pPr>
      <w:r w:rsidRPr="00F6014B">
        <w:t>A “</w:t>
      </w:r>
      <w:r w:rsidRPr="00453BC8">
        <w:t>Partially</w:t>
      </w:r>
      <w:r w:rsidRPr="00F6014B">
        <w:t xml:space="preserve">” answer implies for each question that a start has been made. Namely: </w:t>
      </w:r>
    </w:p>
    <w:p w14:paraId="38F9E4F0" w14:textId="77777777" w:rsidR="00F6014B" w:rsidRPr="009E1103" w:rsidRDefault="00F6014B" w:rsidP="009E1103">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9E1103">
        <w:rPr>
          <w:bCs/>
        </w:rPr>
        <w:t xml:space="preserve">plans, policies or instruments for addressing capacity-building or development needs for biodiversity (20.1) are in place but do not address both. For example, a national bill on capacity building has been ratified but it does not address development needs. </w:t>
      </w:r>
    </w:p>
    <w:p w14:paraId="65D0966A" w14:textId="77777777" w:rsidR="00F6014B" w:rsidRPr="009E1103" w:rsidRDefault="00F6014B" w:rsidP="009E1103">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9E1103">
        <w:rPr>
          <w:bCs/>
        </w:rPr>
        <w:t xml:space="preserve">a national capacity self-assessment or other process for assessing the capacity needs for the conservation and sustainable use of biodiversity (20.3) has started, it is resourced and ongoing but not yet complete. </w:t>
      </w:r>
    </w:p>
    <w:p w14:paraId="0E274870" w14:textId="77777777" w:rsidR="00F6014B" w:rsidRPr="009E1103" w:rsidRDefault="00F6014B" w:rsidP="009E1103">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9E1103">
        <w:rPr>
          <w:bCs/>
        </w:rPr>
        <w:lastRenderedPageBreak/>
        <w:t xml:space="preserve">partnerships to foster joint technology development or joint scientific research programmes for the conservation and sustainable use of biodiversity or strengthening scientific research and monitoring capabilities (20.5) have begun, namely official collaboration has started, including through at least one of South-South, North-South or triangular cooperation. This cooperation does not need to cover </w:t>
      </w:r>
      <w:proofErr w:type="gramStart"/>
      <w:r w:rsidRPr="009E1103">
        <w:rPr>
          <w:bCs/>
        </w:rPr>
        <w:t>all of</w:t>
      </w:r>
      <w:proofErr w:type="gramEnd"/>
      <w:r w:rsidRPr="009E1103">
        <w:rPr>
          <w:bCs/>
        </w:rPr>
        <w:t xml:space="preserve"> the aspects specified in the question; one is sufficient (e.g. technology development) to select this answer.</w:t>
      </w:r>
    </w:p>
    <w:p w14:paraId="1412A1B2" w14:textId="77777777" w:rsidR="00F6014B" w:rsidRPr="00F6014B" w:rsidRDefault="00F6014B" w:rsidP="009E1103">
      <w:pPr>
        <w:pStyle w:val="CBDNormalNumber"/>
        <w:numPr>
          <w:ilvl w:val="0"/>
          <w:numId w:val="430"/>
        </w:numPr>
        <w:shd w:val="clear" w:color="auto" w:fill="FFFFFF"/>
        <w:tabs>
          <w:tab w:val="clear" w:pos="1701"/>
        </w:tabs>
        <w:ind w:left="567" w:firstLine="0"/>
      </w:pPr>
      <w:r w:rsidRPr="00F6014B">
        <w:t>Clear unambiguous progress must be seen to select this answer. The planning stages are understood to be over and work towards each question has started.</w:t>
      </w:r>
    </w:p>
    <w:p w14:paraId="29D1D533" w14:textId="77777777" w:rsidR="00F6014B" w:rsidRPr="00F6014B" w:rsidRDefault="00F6014B" w:rsidP="009E1103">
      <w:pPr>
        <w:pStyle w:val="CBDNormalNumber"/>
        <w:numPr>
          <w:ilvl w:val="0"/>
          <w:numId w:val="430"/>
        </w:numPr>
        <w:shd w:val="clear" w:color="auto" w:fill="FFFFFF"/>
        <w:tabs>
          <w:tab w:val="clear" w:pos="1701"/>
        </w:tabs>
        <w:ind w:left="567" w:firstLine="0"/>
      </w:pPr>
      <w:r w:rsidRPr="00F6014B">
        <w:t>A “</w:t>
      </w:r>
      <w:r w:rsidRPr="009E1103">
        <w:t>Fully</w:t>
      </w:r>
      <w:r w:rsidRPr="00F6014B">
        <w:t>” answer implies that completion of the efforts underlined under “</w:t>
      </w:r>
      <w:r w:rsidRPr="009E1103">
        <w:t>Partially</w:t>
      </w:r>
      <w:r w:rsidRPr="00F6014B">
        <w:t>”. Namely:</w:t>
      </w:r>
    </w:p>
    <w:p w14:paraId="71ECCD75" w14:textId="77777777" w:rsidR="00F6014B" w:rsidRPr="00F6014B" w:rsidRDefault="00F6014B" w:rsidP="009E1103">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 xml:space="preserve">national level plans, policies or instruments for addressing capacity-building and development needs for biodiversity (20.1) are in place and address both. </w:t>
      </w:r>
    </w:p>
    <w:p w14:paraId="2492E9BB" w14:textId="77777777" w:rsidR="00F6014B" w:rsidRPr="00F6014B" w:rsidRDefault="00F6014B" w:rsidP="009E1103">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 xml:space="preserve">a national capacity self-assessment or other process for assessing the capacity needs for the conservation and sustainable use of biodiversity (20.3) is complete. </w:t>
      </w:r>
    </w:p>
    <w:p w14:paraId="331D77E3" w14:textId="77777777" w:rsidR="00F6014B" w:rsidRPr="00F6014B" w:rsidRDefault="00F6014B" w:rsidP="009E1103">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partnerships to foster joint technology development and joint scientific research programmes for the conservation and sustainable use of biodiversity and strengthening scientific research and monitoring capabilities (20.5) have been established and official collaboration is ongoing, including through South-South, North-South or triangular cooperation. This cooperation covers all the aspects specified in the question.</w:t>
      </w:r>
    </w:p>
    <w:p w14:paraId="0C8D07D9" w14:textId="77777777" w:rsidR="00F6014B" w:rsidRPr="00F6014B" w:rsidRDefault="00F6014B" w:rsidP="00C93960">
      <w:pPr>
        <w:pStyle w:val="CBDNormalNumber"/>
        <w:numPr>
          <w:ilvl w:val="0"/>
          <w:numId w:val="430"/>
        </w:numPr>
        <w:shd w:val="clear" w:color="auto" w:fill="FFFFFF"/>
        <w:tabs>
          <w:tab w:val="clear" w:pos="1701"/>
        </w:tabs>
        <w:ind w:left="567" w:firstLine="0"/>
      </w:pPr>
      <w:r w:rsidRPr="00F6014B">
        <w:t>In each of these cases, results have been produced and are observable and shareable.</w:t>
      </w:r>
    </w:p>
    <w:p w14:paraId="1972D525" w14:textId="77777777" w:rsidR="00F6014B" w:rsidRPr="00F6014B" w:rsidRDefault="00F6014B" w:rsidP="00C93960">
      <w:pPr>
        <w:pStyle w:val="CBDNormalNumber"/>
        <w:numPr>
          <w:ilvl w:val="0"/>
          <w:numId w:val="430"/>
        </w:numPr>
        <w:shd w:val="clear" w:color="auto" w:fill="FFFFFF"/>
        <w:tabs>
          <w:tab w:val="clear" w:pos="1701"/>
        </w:tabs>
        <w:ind w:left="567" w:firstLine="0"/>
      </w:pPr>
      <w:r w:rsidRPr="00F6014B">
        <w:t>There are five possible answers to question 20.2 and 20.4</w:t>
      </w:r>
      <w:r w:rsidRPr="00C93960">
        <w:rPr>
          <w:vertAlign w:val="superscript"/>
        </w:rPr>
        <w:footnoteReference w:id="51"/>
      </w:r>
      <w:r w:rsidRPr="00C93960">
        <w:rPr>
          <w:vertAlign w:val="superscript"/>
        </w:rPr>
        <w:t>:</w:t>
      </w:r>
    </w:p>
    <w:p w14:paraId="6567A097" w14:textId="77777777" w:rsidR="00F6014B" w:rsidRPr="00F6014B" w:rsidRDefault="00F6014B" w:rsidP="00C93960">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Women and girls</w:t>
      </w:r>
    </w:p>
    <w:p w14:paraId="5388AAE1" w14:textId="77777777" w:rsidR="00F6014B" w:rsidRPr="00F6014B" w:rsidRDefault="00F6014B" w:rsidP="00C93960">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Children and youth</w:t>
      </w:r>
    </w:p>
    <w:p w14:paraId="3D105467" w14:textId="77777777" w:rsidR="00F6014B" w:rsidRPr="00F6014B" w:rsidRDefault="00F6014B" w:rsidP="00C93960">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People with disabilities</w:t>
      </w:r>
    </w:p>
    <w:p w14:paraId="3682C504" w14:textId="77777777" w:rsidR="00F6014B" w:rsidRPr="00F6014B" w:rsidRDefault="00F6014B" w:rsidP="00C93960">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Indigenous peoples and local communities</w:t>
      </w:r>
    </w:p>
    <w:p w14:paraId="51CCFCE0" w14:textId="77777777" w:rsidR="00F6014B" w:rsidRPr="00F6014B" w:rsidRDefault="00F6014B" w:rsidP="00C93960">
      <w:pPr>
        <w:pStyle w:val="CBDNormalNumber"/>
        <w:numPr>
          <w:ilvl w:val="1"/>
          <w:numId w:val="430"/>
        </w:numPr>
        <w:shd w:val="clear" w:color="auto" w:fill="FFFFFF"/>
        <w:tabs>
          <w:tab w:val="clear" w:pos="567"/>
          <w:tab w:val="clear" w:pos="1134"/>
          <w:tab w:val="clear" w:pos="1701"/>
          <w:tab w:val="clear" w:pos="2268"/>
          <w:tab w:val="clear" w:pos="2835"/>
          <w:tab w:val="clear" w:pos="3402"/>
          <w:tab w:val="clear" w:pos="3969"/>
          <w:tab w:val="left" w:pos="1985"/>
          <w:tab w:val="left" w:pos="2410"/>
        </w:tabs>
        <w:ind w:left="1985" w:firstLine="0"/>
        <w:rPr>
          <w:bCs/>
        </w:rPr>
      </w:pPr>
      <w:r w:rsidRPr="00F6014B">
        <w:rPr>
          <w:bCs/>
        </w:rPr>
        <w:t>Others</w:t>
      </w:r>
    </w:p>
    <w:p w14:paraId="400DEFB9" w14:textId="77777777" w:rsidR="00F6014B" w:rsidRPr="00F6014B" w:rsidRDefault="00F6014B" w:rsidP="00C93960">
      <w:pPr>
        <w:pStyle w:val="CBDNormalNumber"/>
        <w:numPr>
          <w:ilvl w:val="0"/>
          <w:numId w:val="430"/>
        </w:numPr>
        <w:shd w:val="clear" w:color="auto" w:fill="FFFFFF"/>
        <w:tabs>
          <w:tab w:val="clear" w:pos="1701"/>
        </w:tabs>
        <w:ind w:left="567" w:firstLine="0"/>
      </w:pPr>
      <w:r w:rsidRPr="00F6014B">
        <w:t>Each of the answers here is to be chosen using a “</w:t>
      </w:r>
      <w:r w:rsidRPr="00C93960">
        <w:t>select all that apply</w:t>
      </w:r>
      <w:r w:rsidRPr="00F6014B">
        <w:t>” approach. Namely, if a country has measures to ensure the full and effective participation of specified groups in capacity-building and development for the conservation and sustainable use of biodiversity (20.2) or has undertaken a national assessment of the capacity-building and development needs of those groups (20.4) then select the groups to which these apply. In other words, select each option for which the answer to 20.2 and 20.4 is “</w:t>
      </w:r>
      <w:r w:rsidRPr="00C93960">
        <w:t>Yes</w:t>
      </w:r>
      <w:r w:rsidRPr="00F6014B">
        <w:t>”. If “</w:t>
      </w:r>
      <w:r w:rsidRPr="00C93960">
        <w:t>Others</w:t>
      </w:r>
      <w:r w:rsidRPr="00F6014B">
        <w:t>” is selected, specify to which group this refers to in the free text section. If no answers are selected, then an overall “</w:t>
      </w:r>
      <w:r w:rsidRPr="00C93960">
        <w:t>No</w:t>
      </w:r>
      <w:r w:rsidRPr="00F6014B">
        <w:t>” is understood. Note that for 20.2 a country needs to have measures at the national level already in place, written in law and implemented, if this is not the case, even if these measures are being drafted, then do not select any answer for which measures are missing. Similarly, for 20.4 national assessment of capacity-building and development needs must be complete and results reported, if the assessment is in process, in draft phase or not conducted at the national level, do not select any answer for which this is the case.</w:t>
      </w:r>
    </w:p>
    <w:p w14:paraId="0B2480CC" w14:textId="1A6D14C6" w:rsidR="00C64461" w:rsidRPr="00C64461" w:rsidRDefault="005B1FD5" w:rsidP="006E2D19">
      <w:pPr>
        <w:pStyle w:val="Heading3"/>
        <w:rPr>
          <w:rFonts w:ascii="Times New Roman" w:eastAsia="Times New Roman" w:hAnsi="Times New Roman" w:cs="Times New Roman"/>
          <w:sz w:val="24"/>
          <w:szCs w:val="24"/>
        </w:rPr>
      </w:pPr>
      <w:r>
        <w:rPr>
          <w:rStyle w:val="normaltextrun"/>
        </w:rPr>
        <w:br w:type="page"/>
      </w:r>
      <w:bookmarkStart w:id="79" w:name="_Toc233278591"/>
      <w:r w:rsidR="00C64461" w:rsidRPr="006E2D19">
        <w:rPr>
          <w:rStyle w:val="normaltextrun"/>
        </w:rPr>
        <w:lastRenderedPageBreak/>
        <w:t>21.1 Indicator on biodiversity information for monitoring the global biodiversity framework</w:t>
      </w:r>
      <w:bookmarkEnd w:id="79"/>
      <w:r w:rsidR="00C64461" w:rsidRPr="00C64461">
        <w:rPr>
          <w:rFonts w:ascii="Times New Roman" w:eastAsia="Times New Roman" w:hAnsi="Times New Roman" w:cs="Times New Roman"/>
          <w:sz w:val="24"/>
          <w:szCs w:val="24"/>
        </w:rPr>
        <w:t xml:space="preserve"> </w:t>
      </w:r>
    </w:p>
    <w:p w14:paraId="126DC4C4" w14:textId="77777777" w:rsidR="00C64461" w:rsidRPr="00C64461" w:rsidRDefault="00C64461" w:rsidP="00C64461">
      <w:pPr>
        <w:rPr>
          <w:bCs/>
          <w:lang w:val="en-GB"/>
        </w:rPr>
      </w:pPr>
    </w:p>
    <w:p w14:paraId="18224CF7" w14:textId="77777777" w:rsidR="00C64461" w:rsidRPr="003276AA" w:rsidRDefault="00C64461"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sz w:val="22"/>
          <w:szCs w:val="22"/>
          <w:lang w:val="en-GB"/>
        </w:rPr>
      </w:pPr>
      <w:r w:rsidRPr="003276AA">
        <w:rPr>
          <w:rStyle w:val="normaltextrun"/>
          <w:rFonts w:asciiTheme="majorBidi" w:eastAsiaTheme="majorEastAsia" w:hAnsiTheme="majorBidi" w:cstheme="majorBidi"/>
          <w:b/>
          <w:sz w:val="22"/>
          <w:szCs w:val="22"/>
          <w:lang w:val="en-GB"/>
        </w:rPr>
        <w:t>1. Indicator name</w:t>
      </w:r>
    </w:p>
    <w:p w14:paraId="76EF6C0B"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21.1 Indicator on biodiversity information for monitoring the global biodiversity framework </w:t>
      </w:r>
    </w:p>
    <w:p w14:paraId="5A10CF0E" w14:textId="77777777" w:rsidR="00C64461" w:rsidRPr="001014B3" w:rsidRDefault="00C64461" w:rsidP="00C64461">
      <w:pPr>
        <w:rPr>
          <w:rFonts w:asciiTheme="majorBidi" w:hAnsiTheme="majorBidi" w:cstheme="majorBidi"/>
          <w:bCs/>
          <w:sz w:val="22"/>
          <w:szCs w:val="22"/>
          <w:lang w:val="en-GB"/>
        </w:rPr>
      </w:pPr>
    </w:p>
    <w:p w14:paraId="51E42147" w14:textId="77777777" w:rsidR="00C64461" w:rsidRPr="003276AA" w:rsidRDefault="00C64461" w:rsidP="003276AA">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3276AA">
        <w:rPr>
          <w:rStyle w:val="normaltextrun"/>
          <w:rFonts w:eastAsiaTheme="majorEastAsia"/>
          <w:b/>
          <w:bCs/>
          <w:lang w:val="en-GB"/>
        </w:rPr>
        <w:t>2. Date of metadata update</w:t>
      </w:r>
    </w:p>
    <w:p w14:paraId="37DD8ECA"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September 2024</w:t>
      </w:r>
    </w:p>
    <w:p w14:paraId="49BBA7BC" w14:textId="77777777" w:rsidR="00C64461" w:rsidRPr="001014B3" w:rsidRDefault="00C64461" w:rsidP="00C64461">
      <w:pPr>
        <w:rPr>
          <w:rFonts w:asciiTheme="majorBidi" w:hAnsiTheme="majorBidi" w:cstheme="majorBidi"/>
          <w:bCs/>
          <w:sz w:val="22"/>
          <w:szCs w:val="22"/>
          <w:lang w:val="en-GB"/>
        </w:rPr>
      </w:pPr>
    </w:p>
    <w:p w14:paraId="3F1EB4A8" w14:textId="77777777" w:rsidR="00C64461" w:rsidRPr="003276AA" w:rsidRDefault="00C64461" w:rsidP="003276AA">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3276AA">
        <w:rPr>
          <w:rStyle w:val="normaltextrun"/>
          <w:rFonts w:eastAsiaTheme="majorEastAsia"/>
          <w:b/>
          <w:bCs/>
          <w:lang w:val="en-GB"/>
        </w:rPr>
        <w:t>3. Goals and Targets addressed</w:t>
      </w:r>
    </w:p>
    <w:p w14:paraId="18057750"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Target 21. Ensure that the best available data, information and knowledge are accessible to decision-makers,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 </w:t>
      </w:r>
    </w:p>
    <w:p w14:paraId="025D8FAB" w14:textId="77777777" w:rsidR="001014B3" w:rsidRDefault="001014B3" w:rsidP="00C64461">
      <w:pPr>
        <w:rPr>
          <w:rFonts w:asciiTheme="majorBidi" w:hAnsiTheme="majorBidi" w:cstheme="majorBidi"/>
          <w:b/>
          <w:sz w:val="22"/>
          <w:szCs w:val="22"/>
        </w:rPr>
      </w:pPr>
    </w:p>
    <w:p w14:paraId="24BEE938" w14:textId="7E6BA31D" w:rsidR="00C64461" w:rsidRPr="003276AA" w:rsidRDefault="00C64461" w:rsidP="003276AA">
      <w:pPr>
        <w:pStyle w:val="paragraph"/>
        <w:pBdr>
          <w:bottom w:val="single" w:sz="4" w:space="1" w:color="000000"/>
        </w:pBdr>
        <w:spacing w:before="0" w:beforeAutospacing="0" w:after="0" w:afterAutospacing="0"/>
        <w:textAlignment w:val="baseline"/>
        <w:rPr>
          <w:rStyle w:val="normaltextrun"/>
          <w:rFonts w:eastAsiaTheme="majorEastAsia"/>
          <w:b/>
          <w:lang w:val="en-GB"/>
        </w:rPr>
      </w:pPr>
      <w:r w:rsidRPr="003276AA">
        <w:rPr>
          <w:rStyle w:val="normaltextrun"/>
          <w:rFonts w:eastAsiaTheme="majorEastAsia"/>
          <w:b/>
          <w:lang w:val="en-GB"/>
        </w:rPr>
        <w:t>4. Rationale</w:t>
      </w:r>
    </w:p>
    <w:p w14:paraId="75378643" w14:textId="77777777" w:rsidR="001014B3" w:rsidRPr="001014B3" w:rsidRDefault="00C64461" w:rsidP="0086797D">
      <w:pPr>
        <w:pStyle w:val="CBDNormalNumber"/>
        <w:numPr>
          <w:ilvl w:val="0"/>
          <w:numId w:val="503"/>
        </w:numPr>
        <w:shd w:val="clear" w:color="auto" w:fill="FFFFFF"/>
        <w:tabs>
          <w:tab w:val="clear" w:pos="1701"/>
        </w:tabs>
        <w:ind w:left="567" w:firstLine="0"/>
      </w:pPr>
      <w:r w:rsidRPr="001014B3">
        <w:t xml:space="preserve">Biodiversity information is required to identify threats to biodiversity, to determine priority actions for conservation and sustainable use and to determine if such actions are effective. Biodiversity information, including traditional knowledge, will underpin assessments of progress towards </w:t>
      </w:r>
      <w:proofErr w:type="gramStart"/>
      <w:r w:rsidRPr="001014B3">
        <w:t>all of</w:t>
      </w:r>
      <w:proofErr w:type="gramEnd"/>
      <w:r w:rsidRPr="001014B3">
        <w:t xml:space="preserve"> the proposed goals and targets of the post-2020 global biodiversity framework.</w:t>
      </w:r>
    </w:p>
    <w:p w14:paraId="68515138" w14:textId="77777777" w:rsidR="0086797D" w:rsidRPr="0086797D" w:rsidRDefault="00C64461" w:rsidP="0086797D">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t>Despite the importance of traditional knowledge to biodiversity, there is limited</w:t>
      </w:r>
      <w:r w:rsidRPr="001014B3">
        <w:rPr>
          <w:rFonts w:asciiTheme="majorBidi" w:hAnsiTheme="majorBidi" w:cstheme="majorBidi"/>
        </w:rPr>
        <w:t xml:space="preserve"> information on how such information is being </w:t>
      </w:r>
      <w:proofErr w:type="gramStart"/>
      <w:r w:rsidRPr="001014B3">
        <w:rPr>
          <w:rFonts w:asciiTheme="majorBidi" w:hAnsiTheme="majorBidi" w:cstheme="majorBidi"/>
        </w:rPr>
        <w:t>taken into account</w:t>
      </w:r>
      <w:proofErr w:type="gramEnd"/>
      <w:r w:rsidRPr="001014B3">
        <w:rPr>
          <w:rFonts w:asciiTheme="majorBidi" w:hAnsiTheme="majorBidi" w:cstheme="majorBidi"/>
        </w:rPr>
        <w:t xml:space="preserve"> in decision making. In particular, the need for a measure of “</w:t>
      </w:r>
      <w:r w:rsidRPr="001014B3">
        <w:rPr>
          <w:rFonts w:asciiTheme="majorBidi" w:hAnsiTheme="majorBidi" w:cstheme="majorBidi"/>
          <w:i/>
          <w:iCs/>
        </w:rPr>
        <w:t>the trends in which traditional knowledge and practices are respected through their full integration, safeguards and the full and effective participation of indigenous and local communities in the national implementation of the Strategic Plan</w:t>
      </w:r>
      <w:r w:rsidRPr="001014B3">
        <w:rPr>
          <w:rFonts w:asciiTheme="majorBidi" w:hAnsiTheme="majorBidi" w:cstheme="majorBidi"/>
        </w:rPr>
        <w:t xml:space="preserve">” was identified in COP decision XIII/28 but remains to be operationalised. </w:t>
      </w:r>
    </w:p>
    <w:p w14:paraId="4094A264" w14:textId="77777777" w:rsidR="0086797D" w:rsidRPr="0086797D" w:rsidRDefault="00C64461" w:rsidP="0086797D">
      <w:pPr>
        <w:pStyle w:val="CBDNormalNumber"/>
        <w:numPr>
          <w:ilvl w:val="0"/>
          <w:numId w:val="503"/>
        </w:numPr>
        <w:shd w:val="clear" w:color="auto" w:fill="FFFFFF"/>
        <w:tabs>
          <w:tab w:val="clear" w:pos="1701"/>
        </w:tabs>
        <w:ind w:left="567" w:firstLine="0"/>
        <w:rPr>
          <w:rFonts w:asciiTheme="majorBidi" w:hAnsiTheme="majorBidi" w:cstheme="majorBidi"/>
          <w:bCs/>
        </w:rPr>
      </w:pPr>
      <w:r w:rsidRPr="0086797D">
        <w:rPr>
          <w:rFonts w:asciiTheme="majorBidi" w:hAnsiTheme="majorBidi" w:cstheme="majorBidi"/>
        </w:rPr>
        <w:t>This indicator is necessary for countries to be able to assess their overall ability to access biodiversity data, information and knowledge required to guide action and report progress under the monitoring framework. The indicator should evaluate the availability of biodiversity information and knowledge for all dimensions of biodiversity required to monitor progress across all targets of the GBF.</w:t>
      </w:r>
    </w:p>
    <w:p w14:paraId="44B701B7" w14:textId="77777777" w:rsidR="0086797D" w:rsidRPr="0086797D" w:rsidRDefault="00C64461" w:rsidP="0086797D">
      <w:pPr>
        <w:pStyle w:val="CBDNormalNumber"/>
        <w:numPr>
          <w:ilvl w:val="0"/>
          <w:numId w:val="503"/>
        </w:numPr>
        <w:shd w:val="clear" w:color="auto" w:fill="FFFFFF"/>
        <w:tabs>
          <w:tab w:val="clear" w:pos="1701"/>
        </w:tabs>
        <w:ind w:left="567" w:firstLine="0"/>
        <w:rPr>
          <w:rFonts w:asciiTheme="majorBidi" w:hAnsiTheme="majorBidi" w:cstheme="majorBidi"/>
          <w:bCs/>
        </w:rPr>
      </w:pPr>
      <w:r w:rsidRPr="0086797D">
        <w:rPr>
          <w:rFonts w:asciiTheme="majorBidi" w:hAnsiTheme="majorBidi" w:cstheme="majorBidi"/>
        </w:rPr>
        <w:t>It is recognized that:</w:t>
      </w:r>
    </w:p>
    <w:p w14:paraId="43623027" w14:textId="77777777" w:rsidR="0086797D" w:rsidRPr="0086797D" w:rsidRDefault="00C64461" w:rsidP="0086797D">
      <w:pPr>
        <w:pStyle w:val="CBDNormalNumber"/>
        <w:numPr>
          <w:ilvl w:val="1"/>
          <w:numId w:val="503"/>
        </w:numPr>
        <w:shd w:val="clear" w:color="auto" w:fill="FFFFFF"/>
        <w:tabs>
          <w:tab w:val="clear" w:pos="2268"/>
        </w:tabs>
        <w:ind w:left="1134" w:firstLine="0"/>
        <w:rPr>
          <w:rFonts w:asciiTheme="majorBidi" w:hAnsiTheme="majorBidi" w:cstheme="majorBidi"/>
          <w:bCs/>
        </w:rPr>
      </w:pPr>
      <w:r w:rsidRPr="0086797D">
        <w:rPr>
          <w:rFonts w:asciiTheme="majorBidi" w:hAnsiTheme="majorBidi" w:cstheme="majorBidi"/>
          <w:lang w:val="en-US"/>
        </w:rPr>
        <w:t>A single composite indicator may give an overall summary of status or progress, but appropriate disaggregation will be needed to assess which aspects of biodiversity information are lacking or needed to increase country scores.</w:t>
      </w:r>
    </w:p>
    <w:p w14:paraId="42FD6BE3" w14:textId="77777777" w:rsidR="0086797D" w:rsidRPr="0086797D" w:rsidRDefault="00C64461" w:rsidP="0086797D">
      <w:pPr>
        <w:pStyle w:val="CBDNormalNumber"/>
        <w:numPr>
          <w:ilvl w:val="1"/>
          <w:numId w:val="503"/>
        </w:numPr>
        <w:shd w:val="clear" w:color="auto" w:fill="FFFFFF"/>
        <w:tabs>
          <w:tab w:val="clear" w:pos="2268"/>
        </w:tabs>
        <w:ind w:left="1134" w:firstLine="0"/>
        <w:rPr>
          <w:rFonts w:asciiTheme="majorBidi" w:hAnsiTheme="majorBidi" w:cstheme="majorBidi"/>
          <w:bCs/>
        </w:rPr>
      </w:pPr>
      <w:r w:rsidRPr="0086797D">
        <w:rPr>
          <w:rFonts w:asciiTheme="majorBidi" w:hAnsiTheme="majorBidi" w:cstheme="majorBidi"/>
          <w:lang w:val="en-US"/>
        </w:rPr>
        <w:t xml:space="preserve">Because biodiversity information is cross cutting with other goals and targets of the KM GBF, information used for other indicators will be relevant. </w:t>
      </w:r>
    </w:p>
    <w:p w14:paraId="7148A5B6" w14:textId="77777777" w:rsidR="0086797D" w:rsidRPr="0086797D" w:rsidRDefault="00C64461" w:rsidP="0086797D">
      <w:pPr>
        <w:pStyle w:val="CBDNormalNumber"/>
        <w:numPr>
          <w:ilvl w:val="1"/>
          <w:numId w:val="503"/>
        </w:numPr>
        <w:shd w:val="clear" w:color="auto" w:fill="FFFFFF"/>
        <w:tabs>
          <w:tab w:val="clear" w:pos="2268"/>
        </w:tabs>
        <w:ind w:left="1134" w:firstLine="0"/>
        <w:rPr>
          <w:rFonts w:asciiTheme="majorBidi" w:hAnsiTheme="majorBidi" w:cstheme="majorBidi"/>
          <w:bCs/>
        </w:rPr>
      </w:pPr>
      <w:r w:rsidRPr="0086797D">
        <w:rPr>
          <w:rFonts w:asciiTheme="majorBidi" w:hAnsiTheme="majorBidi" w:cstheme="majorBidi"/>
          <w:lang w:val="en-US"/>
        </w:rPr>
        <w:t>Metrics capturing information related to traditional knowledge are at the heart of the indicator and should be included.</w:t>
      </w:r>
    </w:p>
    <w:p w14:paraId="46994239" w14:textId="014FE674" w:rsidR="00C64461" w:rsidRPr="0086797D" w:rsidRDefault="00C64461" w:rsidP="0086797D">
      <w:pPr>
        <w:pStyle w:val="CBDNormalNumber"/>
        <w:numPr>
          <w:ilvl w:val="1"/>
          <w:numId w:val="503"/>
        </w:numPr>
        <w:shd w:val="clear" w:color="auto" w:fill="FFFFFF"/>
        <w:tabs>
          <w:tab w:val="clear" w:pos="2268"/>
        </w:tabs>
        <w:ind w:left="1134" w:firstLine="0"/>
        <w:rPr>
          <w:rFonts w:asciiTheme="majorBidi" w:hAnsiTheme="majorBidi" w:cstheme="majorBidi"/>
          <w:bCs/>
        </w:rPr>
      </w:pPr>
      <w:r w:rsidRPr="0086797D">
        <w:rPr>
          <w:rFonts w:asciiTheme="majorBidi" w:hAnsiTheme="majorBidi" w:cstheme="majorBidi"/>
          <w:lang w:val="en-US"/>
        </w:rPr>
        <w:t xml:space="preserve">Information in national reports, including how well countries </w:t>
      </w:r>
      <w:proofErr w:type="gramStart"/>
      <w:r w:rsidRPr="0086797D">
        <w:rPr>
          <w:rFonts w:asciiTheme="majorBidi" w:hAnsiTheme="majorBidi" w:cstheme="majorBidi"/>
          <w:lang w:val="en-US"/>
        </w:rPr>
        <w:t>are able to</w:t>
      </w:r>
      <w:proofErr w:type="gramEnd"/>
      <w:r w:rsidRPr="0086797D">
        <w:rPr>
          <w:rFonts w:asciiTheme="majorBidi" w:hAnsiTheme="majorBidi" w:cstheme="majorBidi"/>
          <w:lang w:val="en-US"/>
        </w:rPr>
        <w:t xml:space="preserve"> report on all indicators and targets, may support this indicator.</w:t>
      </w:r>
    </w:p>
    <w:p w14:paraId="008E581B" w14:textId="77777777" w:rsidR="00C64461" w:rsidRPr="0086797D" w:rsidRDefault="00C64461" w:rsidP="0086797D">
      <w:pPr>
        <w:pStyle w:val="CBDNormalNumber"/>
        <w:numPr>
          <w:ilvl w:val="0"/>
          <w:numId w:val="503"/>
        </w:numPr>
        <w:shd w:val="clear" w:color="auto" w:fill="FFFFFF"/>
        <w:tabs>
          <w:tab w:val="clear" w:pos="1701"/>
        </w:tabs>
        <w:ind w:left="567" w:firstLine="0"/>
        <w:rPr>
          <w:rFonts w:asciiTheme="majorBidi" w:hAnsiTheme="majorBidi" w:cstheme="majorBidi"/>
        </w:rPr>
      </w:pPr>
      <w:r w:rsidRPr="001014B3">
        <w:rPr>
          <w:rFonts w:asciiTheme="majorBidi" w:hAnsiTheme="majorBidi" w:cstheme="majorBidi"/>
        </w:rPr>
        <w:t>There</w:t>
      </w:r>
      <w:r w:rsidRPr="0086797D">
        <w:rPr>
          <w:rFonts w:asciiTheme="majorBidi" w:hAnsiTheme="majorBidi" w:cstheme="majorBidi"/>
        </w:rPr>
        <w:t xml:space="preserve"> remains a need to establish quantitative national targets to indicate progress towards improving the coverage and completeness of biodiversity data used and produced by countries to monitor progress to the targets and goals of the GBF. This indicator should present information in a </w:t>
      </w:r>
      <w:r w:rsidRPr="0086797D">
        <w:rPr>
          <w:rFonts w:asciiTheme="majorBidi" w:hAnsiTheme="majorBidi" w:cstheme="majorBidi"/>
        </w:rPr>
        <w:lastRenderedPageBreak/>
        <w:t>way that fosters action to fill gaps and improve strength of the conclusions that can be drawn from the data (Leung and Gonzalez 2024).</w:t>
      </w:r>
    </w:p>
    <w:p w14:paraId="6FD6BDA7" w14:textId="77777777" w:rsidR="00C64461" w:rsidRPr="003276AA" w:rsidRDefault="00C64461" w:rsidP="003276AA">
      <w:pPr>
        <w:pStyle w:val="paragraph"/>
        <w:pBdr>
          <w:bottom w:val="single" w:sz="4" w:space="1" w:color="000000"/>
        </w:pBdr>
        <w:spacing w:before="0" w:beforeAutospacing="0" w:after="0" w:afterAutospacing="0"/>
        <w:textAlignment w:val="baseline"/>
        <w:rPr>
          <w:rStyle w:val="normaltextrun"/>
          <w:rFonts w:eastAsiaTheme="majorEastAsia"/>
          <w:b/>
          <w:lang w:val="en-GB"/>
        </w:rPr>
      </w:pPr>
      <w:r w:rsidRPr="003276AA">
        <w:rPr>
          <w:rStyle w:val="normaltextrun"/>
          <w:rFonts w:eastAsiaTheme="majorEastAsia"/>
          <w:b/>
          <w:lang w:val="en-GB"/>
        </w:rPr>
        <w:t>5. Definitions, concepts and classifications</w:t>
      </w:r>
    </w:p>
    <w:p w14:paraId="1C369234"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5a. Definition</w:t>
      </w:r>
    </w:p>
    <w:p w14:paraId="72F9CA5C" w14:textId="77777777" w:rsidR="006806EA" w:rsidRDefault="00C64461" w:rsidP="006806EA">
      <w:pPr>
        <w:pStyle w:val="CBDNormalNumber"/>
        <w:numPr>
          <w:ilvl w:val="0"/>
          <w:numId w:val="503"/>
        </w:numPr>
        <w:shd w:val="clear" w:color="auto" w:fill="FFFFFF"/>
        <w:tabs>
          <w:tab w:val="clear" w:pos="1701"/>
        </w:tabs>
        <w:ind w:left="567" w:firstLine="0"/>
        <w:rPr>
          <w:rFonts w:asciiTheme="majorBidi" w:hAnsiTheme="majorBidi" w:cstheme="majorBidi"/>
        </w:rPr>
      </w:pPr>
      <w:r w:rsidRPr="001014B3">
        <w:rPr>
          <w:rFonts w:asciiTheme="majorBidi" w:hAnsiTheme="majorBidi" w:cstheme="majorBidi"/>
        </w:rPr>
        <w:t>The</w:t>
      </w:r>
      <w:r w:rsidRPr="006806EA">
        <w:rPr>
          <w:rFonts w:asciiTheme="majorBidi" w:hAnsiTheme="majorBidi" w:cstheme="majorBidi"/>
        </w:rPr>
        <w:t xml:space="preserve"> number (or percentage) of headline indicators identified in a national monitoring framework where national biodiversity datasets, traditional knowledge, and monitoring schemes are available for use. Over time this would capture country-level trends in the access and use of data for governance, management and communication of biodiversity outcomes.</w:t>
      </w:r>
    </w:p>
    <w:p w14:paraId="5BCF0537" w14:textId="6601ED4F" w:rsidR="00C64461" w:rsidRPr="006806EA" w:rsidRDefault="00C64461" w:rsidP="006806EA">
      <w:pPr>
        <w:pStyle w:val="CBDNormalNumber"/>
        <w:numPr>
          <w:ilvl w:val="0"/>
          <w:numId w:val="503"/>
        </w:numPr>
        <w:shd w:val="clear" w:color="auto" w:fill="FFFFFF"/>
        <w:tabs>
          <w:tab w:val="clear" w:pos="1701"/>
        </w:tabs>
        <w:ind w:left="567" w:firstLine="0"/>
        <w:rPr>
          <w:rFonts w:asciiTheme="majorBidi" w:hAnsiTheme="majorBidi" w:cstheme="majorBidi"/>
        </w:rPr>
      </w:pPr>
      <w:r w:rsidRPr="006806EA">
        <w:rPr>
          <w:rFonts w:asciiTheme="majorBidi" w:hAnsiTheme="majorBidi" w:cstheme="majorBidi"/>
        </w:rPr>
        <w:t>Three</w:t>
      </w:r>
      <w:r w:rsidRPr="006806EA">
        <w:rPr>
          <w:rFonts w:asciiTheme="majorBidi" w:hAnsiTheme="majorBidi" w:cstheme="majorBidi"/>
          <w:bCs/>
        </w:rPr>
        <w:t xml:space="preserve"> specific elements are recommended for reporting under this indicator: </w:t>
      </w:r>
    </w:p>
    <w:p w14:paraId="3007EFB7" w14:textId="77777777" w:rsidR="00C64461" w:rsidRPr="001014B3" w:rsidRDefault="00C64461" w:rsidP="006806EA">
      <w:pPr>
        <w:pStyle w:val="CBDNormalNumber"/>
        <w:numPr>
          <w:ilvl w:val="1"/>
          <w:numId w:val="503"/>
        </w:numPr>
        <w:shd w:val="clear" w:color="auto" w:fill="FFFFFF"/>
        <w:tabs>
          <w:tab w:val="clear" w:pos="2268"/>
        </w:tabs>
        <w:ind w:left="1134" w:firstLine="0"/>
        <w:rPr>
          <w:rFonts w:asciiTheme="majorBidi" w:hAnsiTheme="majorBidi" w:cstheme="majorBidi"/>
          <w:lang w:val="en-US"/>
        </w:rPr>
      </w:pPr>
      <w:r w:rsidRPr="001014B3">
        <w:rPr>
          <w:rFonts w:asciiTheme="majorBidi" w:hAnsiTheme="majorBidi" w:cstheme="majorBidi"/>
          <w:lang w:val="en-US"/>
        </w:rPr>
        <w:t>Metrics on the availability, amount, coverage and quality of information used to report on each biodiversity indicator within the national monitoring framework.</w:t>
      </w:r>
    </w:p>
    <w:p w14:paraId="3B840610" w14:textId="77777777" w:rsidR="00C64461" w:rsidRPr="001014B3" w:rsidRDefault="00C64461" w:rsidP="006806EA">
      <w:pPr>
        <w:pStyle w:val="CBDNormalNumber"/>
        <w:numPr>
          <w:ilvl w:val="1"/>
          <w:numId w:val="503"/>
        </w:numPr>
        <w:shd w:val="clear" w:color="auto" w:fill="FFFFFF"/>
        <w:tabs>
          <w:tab w:val="clear" w:pos="2268"/>
        </w:tabs>
        <w:ind w:left="1134" w:firstLine="0"/>
        <w:rPr>
          <w:rFonts w:asciiTheme="majorBidi" w:hAnsiTheme="majorBidi" w:cstheme="majorBidi"/>
          <w:lang w:val="en-US"/>
        </w:rPr>
      </w:pPr>
      <w:r w:rsidRPr="001014B3">
        <w:rPr>
          <w:rFonts w:asciiTheme="majorBidi" w:hAnsiTheme="majorBidi" w:cstheme="majorBidi"/>
          <w:lang w:val="en-US"/>
        </w:rPr>
        <w:t>An evaluation of how many targets take traditional knowledge into account in the assessment of trends or decisions required for each target.</w:t>
      </w:r>
    </w:p>
    <w:p w14:paraId="52E971B2" w14:textId="77777777" w:rsidR="00C64461" w:rsidRPr="001014B3" w:rsidRDefault="00C64461" w:rsidP="006806EA">
      <w:pPr>
        <w:pStyle w:val="CBDNormalNumber"/>
        <w:numPr>
          <w:ilvl w:val="1"/>
          <w:numId w:val="503"/>
        </w:numPr>
        <w:shd w:val="clear" w:color="auto" w:fill="FFFFFF"/>
        <w:tabs>
          <w:tab w:val="clear" w:pos="2268"/>
        </w:tabs>
        <w:ind w:left="1134" w:firstLine="0"/>
        <w:rPr>
          <w:rFonts w:asciiTheme="majorBidi" w:hAnsiTheme="majorBidi" w:cstheme="majorBidi"/>
          <w:lang w:val="en-US"/>
        </w:rPr>
      </w:pPr>
      <w:r w:rsidRPr="001014B3">
        <w:rPr>
          <w:rFonts w:asciiTheme="majorBidi" w:hAnsiTheme="majorBidi" w:cstheme="majorBidi"/>
          <w:lang w:val="en-US"/>
        </w:rPr>
        <w:t xml:space="preserve">An enumeration of the number and coverage of biodiversity monitoring schemes currently active and providing data and knowledge </w:t>
      </w:r>
      <w:proofErr w:type="gramStart"/>
      <w:r w:rsidRPr="001014B3">
        <w:rPr>
          <w:rFonts w:asciiTheme="majorBidi" w:hAnsiTheme="majorBidi" w:cstheme="majorBidi"/>
          <w:lang w:val="en-US"/>
        </w:rPr>
        <w:t>on the basis of</w:t>
      </w:r>
      <w:proofErr w:type="gramEnd"/>
      <w:r w:rsidRPr="001014B3">
        <w:rPr>
          <w:rFonts w:asciiTheme="majorBidi" w:hAnsiTheme="majorBidi" w:cstheme="majorBidi"/>
          <w:lang w:val="en-US"/>
        </w:rPr>
        <w:t xml:space="preserve"> FAIR and CARE principles, needed to report trends in a headline indicator.</w:t>
      </w:r>
    </w:p>
    <w:p w14:paraId="60BBAA5B" w14:textId="77777777" w:rsidR="00C64461" w:rsidRPr="004B7C12" w:rsidRDefault="00C64461" w:rsidP="004B7C12">
      <w:pPr>
        <w:pStyle w:val="CBDNormalNumber"/>
        <w:numPr>
          <w:ilvl w:val="0"/>
          <w:numId w:val="503"/>
        </w:numPr>
        <w:shd w:val="clear" w:color="auto" w:fill="FFFFFF"/>
        <w:tabs>
          <w:tab w:val="clear" w:pos="1701"/>
        </w:tabs>
        <w:ind w:left="567" w:firstLine="0"/>
        <w:rPr>
          <w:rFonts w:asciiTheme="majorBidi" w:hAnsiTheme="majorBidi" w:cstheme="majorBidi"/>
        </w:rPr>
      </w:pPr>
      <w:r w:rsidRPr="001014B3">
        <w:rPr>
          <w:rFonts w:asciiTheme="majorBidi" w:hAnsiTheme="majorBidi" w:cstheme="majorBidi"/>
        </w:rPr>
        <w:t>Definitions</w:t>
      </w:r>
      <w:r w:rsidRPr="004B7C12">
        <w:rPr>
          <w:rFonts w:asciiTheme="majorBidi" w:hAnsiTheme="majorBidi" w:cstheme="majorBidi"/>
        </w:rPr>
        <w:t xml:space="preserve"> for data sources and indicators to do this are given below.</w:t>
      </w:r>
    </w:p>
    <w:p w14:paraId="1A834618"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5b. Method of computation</w:t>
      </w:r>
    </w:p>
    <w:p w14:paraId="575B2261" w14:textId="77777777" w:rsidR="003929E7" w:rsidRDefault="00C64461" w:rsidP="003929E7">
      <w:pPr>
        <w:pStyle w:val="CBDNormalNumber"/>
        <w:numPr>
          <w:ilvl w:val="0"/>
          <w:numId w:val="503"/>
        </w:numPr>
        <w:shd w:val="clear" w:color="auto" w:fill="FFFFFF"/>
        <w:tabs>
          <w:tab w:val="clear" w:pos="1701"/>
        </w:tabs>
        <w:ind w:left="567" w:firstLine="0"/>
        <w:rPr>
          <w:rFonts w:asciiTheme="majorBidi" w:hAnsiTheme="majorBidi" w:cstheme="majorBidi"/>
        </w:rPr>
      </w:pPr>
      <w:r w:rsidRPr="004B7C12">
        <w:rPr>
          <w:rFonts w:asciiTheme="majorBidi" w:hAnsiTheme="majorBidi" w:cstheme="majorBidi"/>
        </w:rPr>
        <w:t xml:space="preserve">A country reporting this indicator would provide the number (or percentage) of headline indicators in a national monitoring framework where national biodiversity datasets, traditional knowledge, and monitoring schemes are available for use. </w:t>
      </w:r>
    </w:p>
    <w:p w14:paraId="78F377C1" w14:textId="77777777" w:rsidR="003929E7" w:rsidRPr="003929E7" w:rsidRDefault="00C64461" w:rsidP="003929E7">
      <w:pPr>
        <w:pStyle w:val="CBDNormalNumber"/>
        <w:numPr>
          <w:ilvl w:val="0"/>
          <w:numId w:val="503"/>
        </w:numPr>
        <w:shd w:val="clear" w:color="auto" w:fill="FFFFFF"/>
        <w:tabs>
          <w:tab w:val="clear" w:pos="1701"/>
        </w:tabs>
        <w:ind w:left="567" w:firstLine="0"/>
        <w:rPr>
          <w:rFonts w:asciiTheme="majorBidi" w:hAnsiTheme="majorBidi" w:cstheme="majorBidi"/>
        </w:rPr>
      </w:pPr>
      <w:r w:rsidRPr="003929E7">
        <w:rPr>
          <w:rFonts w:asciiTheme="majorBidi" w:hAnsiTheme="majorBidi" w:cstheme="majorBidi"/>
          <w:bCs/>
        </w:rPr>
        <w:t>Development of a national methodology for this indicator must consider that while most countries have national datasets and monitoring schemes for some species and ecosystems, these sources rarely cover all the biodiversity information needed for this headline indicator. Some countries may need to refer to international data sources and monitoring programs. Access and use of international databases can often be disaggregated to country level.</w:t>
      </w:r>
    </w:p>
    <w:p w14:paraId="2D631FB5" w14:textId="77777777" w:rsidR="003929E7" w:rsidRPr="003929E7" w:rsidRDefault="00C64461" w:rsidP="003929E7">
      <w:pPr>
        <w:pStyle w:val="CBDNormalNumber"/>
        <w:numPr>
          <w:ilvl w:val="0"/>
          <w:numId w:val="503"/>
        </w:numPr>
        <w:shd w:val="clear" w:color="auto" w:fill="FFFFFF"/>
        <w:tabs>
          <w:tab w:val="clear" w:pos="1701"/>
        </w:tabs>
        <w:ind w:left="567" w:firstLine="0"/>
        <w:rPr>
          <w:rFonts w:asciiTheme="majorBidi" w:hAnsiTheme="majorBidi" w:cstheme="majorBidi"/>
        </w:rPr>
      </w:pPr>
      <w:r w:rsidRPr="003929E7">
        <w:rPr>
          <w:rFonts w:asciiTheme="majorBidi" w:hAnsiTheme="majorBidi" w:cstheme="majorBidi"/>
          <w:bCs/>
        </w:rPr>
        <w:t xml:space="preserve">In the case of a global network such as GBIF, such </w:t>
      </w:r>
      <w:proofErr w:type="spellStart"/>
      <w:r w:rsidRPr="003929E7">
        <w:rPr>
          <w:rFonts w:asciiTheme="majorBidi" w:hAnsiTheme="majorBidi" w:cstheme="majorBidi"/>
          <w:bCs/>
        </w:rPr>
        <w:t>disaggregations</w:t>
      </w:r>
      <w:proofErr w:type="spellEnd"/>
      <w:r w:rsidRPr="003929E7">
        <w:rPr>
          <w:rFonts w:asciiTheme="majorBidi" w:hAnsiTheme="majorBidi" w:cstheme="majorBidi"/>
          <w:bCs/>
        </w:rPr>
        <w:t xml:space="preserve"> will in fact include a combination of species occurrence data from national sources, with data shared from institutions in other countries - emphasising the benefits of global cooperation in bringing together data from all sources.</w:t>
      </w:r>
    </w:p>
    <w:p w14:paraId="503DD73E" w14:textId="77777777" w:rsidR="003929E7" w:rsidRPr="003929E7" w:rsidRDefault="00C64461" w:rsidP="003929E7">
      <w:pPr>
        <w:pStyle w:val="CBDNormalNumber"/>
        <w:numPr>
          <w:ilvl w:val="0"/>
          <w:numId w:val="503"/>
        </w:numPr>
        <w:shd w:val="clear" w:color="auto" w:fill="FFFFFF"/>
        <w:tabs>
          <w:tab w:val="clear" w:pos="1701"/>
        </w:tabs>
        <w:ind w:left="567" w:firstLine="0"/>
        <w:rPr>
          <w:rFonts w:asciiTheme="majorBidi" w:hAnsiTheme="majorBidi" w:cstheme="majorBidi"/>
        </w:rPr>
      </w:pPr>
      <w:r w:rsidRPr="003929E7">
        <w:rPr>
          <w:rFonts w:asciiTheme="majorBidi" w:hAnsiTheme="majorBidi" w:cstheme="majorBidi"/>
          <w:bCs/>
        </w:rPr>
        <w:t>An assessment of the availability of information sources captures one element of this indicator. Measures of data coverage and quality are also needed to assess growth in the availability of information of sufficient quality to guide decisions. We describe the indicators that can be used to assess these facets of information quality and source in the next section.</w:t>
      </w:r>
    </w:p>
    <w:p w14:paraId="1788F929" w14:textId="77777777" w:rsidR="007818F7" w:rsidRPr="007818F7" w:rsidRDefault="00C64461" w:rsidP="007818F7">
      <w:pPr>
        <w:pStyle w:val="CBDNormalNumber"/>
        <w:shd w:val="clear" w:color="auto" w:fill="FFFFFF"/>
        <w:tabs>
          <w:tab w:val="clear" w:pos="1701"/>
        </w:tabs>
        <w:ind w:left="567"/>
        <w:rPr>
          <w:rFonts w:asciiTheme="majorBidi" w:hAnsiTheme="majorBidi" w:cstheme="majorBidi"/>
          <w:i/>
          <w:iCs/>
        </w:rPr>
      </w:pPr>
      <w:r w:rsidRPr="007818F7">
        <w:rPr>
          <w:rFonts w:asciiTheme="majorBidi" w:hAnsiTheme="majorBidi" w:cstheme="majorBidi"/>
          <w:bCs/>
          <w:i/>
          <w:iCs/>
        </w:rPr>
        <w:t>Indicators for data quality, data coverage and knowledge gaps</w:t>
      </w:r>
    </w:p>
    <w:p w14:paraId="03051BB0" w14:textId="08CC0FDB" w:rsidR="00C64461" w:rsidRPr="007818F7" w:rsidRDefault="00C64461" w:rsidP="007818F7">
      <w:pPr>
        <w:pStyle w:val="CBDNormalNumber"/>
        <w:numPr>
          <w:ilvl w:val="0"/>
          <w:numId w:val="503"/>
        </w:numPr>
        <w:shd w:val="clear" w:color="auto" w:fill="FFFFFF"/>
        <w:tabs>
          <w:tab w:val="clear" w:pos="1701"/>
        </w:tabs>
        <w:ind w:left="567" w:firstLine="0"/>
        <w:rPr>
          <w:rFonts w:asciiTheme="majorBidi" w:hAnsiTheme="majorBidi" w:cstheme="majorBidi"/>
        </w:rPr>
      </w:pPr>
      <w:r w:rsidRPr="007818F7">
        <w:rPr>
          <w:rFonts w:asciiTheme="majorBidi" w:hAnsiTheme="majorBidi" w:cstheme="majorBidi"/>
          <w:bCs/>
        </w:rPr>
        <w:t>The following table summarizes the types of biodiversity information that can be used to assess the gaps, coverage, and quality of information needed to calculate this headline indicator. General examples are given for types of data or information sources, and these will differ from country to country. Countries may maintain a database of sources of biodiversity information and knowledge to report for headline indicator 21.1.</w:t>
      </w:r>
    </w:p>
    <w:p w14:paraId="7603E8A1"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Table 1 </w:t>
      </w:r>
      <w:r w:rsidRPr="001014B3">
        <w:rPr>
          <w:rFonts w:asciiTheme="majorBidi" w:hAnsiTheme="majorBidi" w:cstheme="majorBidi"/>
          <w:bCs/>
          <w:sz w:val="22"/>
          <w:szCs w:val="22"/>
          <w:lang w:val="en-GB"/>
        </w:rPr>
        <w:br/>
      </w:r>
      <w:r w:rsidRPr="001014B3">
        <w:rPr>
          <w:rFonts w:asciiTheme="majorBidi" w:hAnsiTheme="majorBidi" w:cstheme="majorBidi"/>
          <w:b/>
          <w:iCs/>
          <w:sz w:val="22"/>
          <w:szCs w:val="22"/>
          <w:lang w:val="en-GB"/>
        </w:rPr>
        <w:t>The four types of biodiversity information and sources to be evaluated for each dimension of biodiversity need for indicator 21.1.</w:t>
      </w:r>
      <w:r w:rsidRPr="001014B3">
        <w:rPr>
          <w:rFonts w:asciiTheme="majorBidi" w:hAnsiTheme="majorBidi" w:cstheme="majorBidi"/>
          <w:bCs/>
          <w:i/>
          <w:sz w:val="22"/>
          <w:szCs w:val="22"/>
          <w:lang w:val="en-GB"/>
        </w:rPr>
        <w:t xml:space="preserve"> </w:t>
      </w:r>
      <w:r w:rsidRPr="001014B3">
        <w:rPr>
          <w:rFonts w:asciiTheme="majorBidi" w:hAnsiTheme="majorBidi" w:cstheme="majorBidi"/>
          <w:bCs/>
          <w:i/>
          <w:sz w:val="22"/>
          <w:szCs w:val="22"/>
          <w:lang w:val="en-GB"/>
        </w:rPr>
        <w:br/>
        <w:t xml:space="preserve">We include a non-exhaustive list of examples for the rows of this table. This compilation of data and knowledge sources would also serve to assess the information available to calculate many other </w:t>
      </w:r>
      <w:r w:rsidRPr="001014B3">
        <w:rPr>
          <w:rFonts w:asciiTheme="majorBidi" w:hAnsiTheme="majorBidi" w:cstheme="majorBidi"/>
          <w:bCs/>
          <w:i/>
          <w:sz w:val="22"/>
          <w:szCs w:val="22"/>
          <w:lang w:val="en-GB"/>
        </w:rPr>
        <w:lastRenderedPageBreak/>
        <w:t>indicators. Each element would include traditional knowledge, national and international information sources.</w:t>
      </w:r>
    </w:p>
    <w:tbl>
      <w:tblPr>
        <w:tblpPr w:leftFromText="180" w:rightFromText="180" w:vertAnchor="page" w:horzAnchor="margin" w:tblpXSpec="center" w:tblpY="2970"/>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1545"/>
        <w:gridCol w:w="2595"/>
        <w:gridCol w:w="1500"/>
        <w:gridCol w:w="1635"/>
      </w:tblGrid>
      <w:tr w:rsidR="00C64461" w:rsidRPr="001014B3" w14:paraId="03D15336" w14:textId="77777777">
        <w:tc>
          <w:tcPr>
            <w:tcW w:w="2055" w:type="dxa"/>
            <w:tcBorders>
              <w:top w:val="single" w:sz="4" w:space="0" w:color="000000"/>
              <w:left w:val="single" w:sz="4" w:space="0" w:color="000000"/>
              <w:bottom w:val="single" w:sz="4" w:space="0" w:color="000000"/>
              <w:right w:val="single" w:sz="4" w:space="0" w:color="000000"/>
            </w:tcBorders>
            <w:shd w:val="clear" w:color="auto" w:fill="A6A6A6"/>
          </w:tcPr>
          <w:p w14:paraId="0F006374" w14:textId="77777777" w:rsidR="00C64461" w:rsidRPr="001014B3" w:rsidRDefault="00C64461" w:rsidP="00C64461">
            <w:pPr>
              <w:rPr>
                <w:rFonts w:asciiTheme="majorBidi" w:hAnsiTheme="majorBidi" w:cstheme="majorBidi"/>
                <w:bCs/>
                <w:sz w:val="22"/>
                <w:szCs w:val="22"/>
                <w:lang w:val="en-GB"/>
              </w:rPr>
            </w:pPr>
          </w:p>
          <w:p w14:paraId="1CF40008"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      Information </w:t>
            </w:r>
          </w:p>
          <w:p w14:paraId="57B1F0CC"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       type </w:t>
            </w:r>
          </w:p>
          <w:p w14:paraId="606F9D4C" w14:textId="77777777" w:rsidR="00C64461" w:rsidRPr="001014B3" w:rsidRDefault="00C64461" w:rsidP="00C64461">
            <w:pPr>
              <w:rPr>
                <w:rFonts w:asciiTheme="majorBidi" w:hAnsiTheme="majorBidi" w:cstheme="majorBidi"/>
                <w:bCs/>
                <w:sz w:val="22"/>
                <w:szCs w:val="22"/>
                <w:lang w:val="en-GB"/>
              </w:rPr>
            </w:pPr>
          </w:p>
          <w:p w14:paraId="34F2489F" w14:textId="77777777" w:rsidR="00C64461" w:rsidRPr="001014B3" w:rsidRDefault="00C64461" w:rsidP="00C64461">
            <w:pPr>
              <w:rPr>
                <w:rFonts w:asciiTheme="majorBidi" w:hAnsiTheme="majorBidi" w:cstheme="majorBidi"/>
                <w:bCs/>
                <w:sz w:val="22"/>
                <w:szCs w:val="22"/>
                <w:lang w:val="en-GB"/>
              </w:rPr>
            </w:pPr>
          </w:p>
          <w:p w14:paraId="4DD8D7B3" w14:textId="77777777" w:rsidR="00C64461" w:rsidRPr="001014B3" w:rsidRDefault="00C64461" w:rsidP="00C64461">
            <w:pPr>
              <w:rPr>
                <w:rFonts w:asciiTheme="majorBidi" w:hAnsiTheme="majorBidi" w:cstheme="majorBidi"/>
                <w:bCs/>
                <w:sz w:val="22"/>
                <w:szCs w:val="22"/>
                <w:lang w:val="en-GB"/>
              </w:rPr>
            </w:pPr>
          </w:p>
          <w:p w14:paraId="12D7C300"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Biodiversity dimensions</w:t>
            </w:r>
          </w:p>
        </w:tc>
        <w:tc>
          <w:tcPr>
            <w:tcW w:w="1545" w:type="dxa"/>
            <w:tcBorders>
              <w:top w:val="single" w:sz="4" w:space="0" w:color="000000"/>
              <w:left w:val="single" w:sz="4" w:space="0" w:color="000000"/>
              <w:bottom w:val="single" w:sz="4" w:space="0" w:color="000000"/>
              <w:right w:val="single" w:sz="4" w:space="0" w:color="000000"/>
            </w:tcBorders>
            <w:shd w:val="clear" w:color="auto" w:fill="E8E8E8"/>
          </w:tcPr>
          <w:p w14:paraId="7A6089B9" w14:textId="77777777" w:rsidR="00C64461" w:rsidRPr="001014B3" w:rsidRDefault="00C64461" w:rsidP="00C64461">
            <w:pPr>
              <w:rPr>
                <w:rFonts w:asciiTheme="majorBidi" w:hAnsiTheme="majorBidi" w:cstheme="majorBidi"/>
                <w:bCs/>
                <w:sz w:val="22"/>
                <w:szCs w:val="22"/>
                <w:lang w:val="en-GB"/>
              </w:rPr>
            </w:pPr>
          </w:p>
          <w:p w14:paraId="64907D49"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Monitoring schemes</w:t>
            </w:r>
          </w:p>
          <w:p w14:paraId="162335C2" w14:textId="77777777" w:rsidR="00C64461" w:rsidRPr="001014B3" w:rsidRDefault="00C64461" w:rsidP="00C64461">
            <w:pPr>
              <w:rPr>
                <w:rFonts w:asciiTheme="majorBidi" w:hAnsiTheme="majorBidi" w:cstheme="majorBidi"/>
                <w:bCs/>
                <w:sz w:val="22"/>
                <w:szCs w:val="22"/>
                <w:lang w:val="en-GB"/>
              </w:rPr>
            </w:pPr>
          </w:p>
          <w:p w14:paraId="5FD21DF4"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(community-based, national &amp; international) </w:t>
            </w:r>
          </w:p>
        </w:tc>
        <w:tc>
          <w:tcPr>
            <w:tcW w:w="2595" w:type="dxa"/>
            <w:tcBorders>
              <w:top w:val="single" w:sz="4" w:space="0" w:color="000000"/>
              <w:left w:val="single" w:sz="4" w:space="0" w:color="000000"/>
              <w:bottom w:val="single" w:sz="4" w:space="0" w:color="000000"/>
              <w:right w:val="single" w:sz="4" w:space="0" w:color="000000"/>
            </w:tcBorders>
            <w:shd w:val="clear" w:color="auto" w:fill="E8E8E8"/>
          </w:tcPr>
          <w:p w14:paraId="1AD4089D" w14:textId="77777777" w:rsidR="00C64461" w:rsidRPr="001014B3" w:rsidRDefault="00C64461" w:rsidP="00C64461">
            <w:pPr>
              <w:rPr>
                <w:rFonts w:asciiTheme="majorBidi" w:hAnsiTheme="majorBidi" w:cstheme="majorBidi"/>
                <w:bCs/>
                <w:sz w:val="22"/>
                <w:szCs w:val="22"/>
                <w:lang w:val="en-GB"/>
              </w:rPr>
            </w:pPr>
          </w:p>
          <w:p w14:paraId="535B22E2"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Primary/raw data</w:t>
            </w:r>
          </w:p>
          <w:p w14:paraId="6A562C9D" w14:textId="77777777" w:rsidR="00C64461" w:rsidRPr="001014B3" w:rsidRDefault="00C64461" w:rsidP="00C64461">
            <w:pPr>
              <w:rPr>
                <w:rFonts w:asciiTheme="majorBidi" w:hAnsiTheme="majorBidi" w:cstheme="majorBidi"/>
                <w:bCs/>
                <w:sz w:val="22"/>
                <w:szCs w:val="22"/>
                <w:lang w:val="en-GB"/>
              </w:rPr>
            </w:pPr>
          </w:p>
          <w:p w14:paraId="06FA6E30"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(number/completeness of relevant observations)</w:t>
            </w:r>
          </w:p>
        </w:tc>
        <w:tc>
          <w:tcPr>
            <w:tcW w:w="1500" w:type="dxa"/>
            <w:tcBorders>
              <w:top w:val="single" w:sz="4" w:space="0" w:color="000000"/>
              <w:left w:val="single" w:sz="4" w:space="0" w:color="000000"/>
              <w:bottom w:val="single" w:sz="4" w:space="0" w:color="000000"/>
              <w:right w:val="single" w:sz="4" w:space="0" w:color="000000"/>
            </w:tcBorders>
            <w:shd w:val="clear" w:color="auto" w:fill="E8E8E8"/>
          </w:tcPr>
          <w:p w14:paraId="5061D12C" w14:textId="77777777" w:rsidR="00C64461" w:rsidRPr="001014B3" w:rsidRDefault="00C64461" w:rsidP="00C64461">
            <w:pPr>
              <w:rPr>
                <w:rFonts w:asciiTheme="majorBidi" w:hAnsiTheme="majorBidi" w:cstheme="majorBidi"/>
                <w:bCs/>
                <w:sz w:val="22"/>
                <w:szCs w:val="22"/>
                <w:lang w:val="en-GB"/>
              </w:rPr>
            </w:pPr>
          </w:p>
          <w:p w14:paraId="53A2657E"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Model-based</w:t>
            </w:r>
          </w:p>
          <w:p w14:paraId="181C6AD1"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information </w:t>
            </w:r>
          </w:p>
          <w:p w14:paraId="153A97D0" w14:textId="77777777" w:rsidR="00C64461" w:rsidRPr="001014B3" w:rsidRDefault="00C64461" w:rsidP="00C64461">
            <w:pPr>
              <w:rPr>
                <w:rFonts w:asciiTheme="majorBidi" w:hAnsiTheme="majorBidi" w:cstheme="majorBidi"/>
                <w:bCs/>
                <w:sz w:val="22"/>
                <w:szCs w:val="22"/>
                <w:lang w:val="en-GB"/>
              </w:rPr>
            </w:pPr>
          </w:p>
          <w:p w14:paraId="03DECFC5"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(Assessing quality and coverage) </w:t>
            </w:r>
          </w:p>
        </w:tc>
        <w:tc>
          <w:tcPr>
            <w:tcW w:w="1635" w:type="dxa"/>
            <w:tcBorders>
              <w:top w:val="single" w:sz="4" w:space="0" w:color="000000"/>
              <w:left w:val="single" w:sz="4" w:space="0" w:color="000000"/>
              <w:bottom w:val="single" w:sz="4" w:space="0" w:color="000000"/>
              <w:right w:val="single" w:sz="4" w:space="0" w:color="000000"/>
            </w:tcBorders>
            <w:shd w:val="clear" w:color="auto" w:fill="E8E8E8"/>
          </w:tcPr>
          <w:p w14:paraId="15D57DCE" w14:textId="77777777" w:rsidR="00C64461" w:rsidRPr="001014B3" w:rsidRDefault="00C64461" w:rsidP="00C64461">
            <w:pPr>
              <w:rPr>
                <w:rFonts w:asciiTheme="majorBidi" w:hAnsiTheme="majorBidi" w:cstheme="majorBidi"/>
                <w:bCs/>
                <w:sz w:val="22"/>
                <w:szCs w:val="22"/>
                <w:lang w:val="en-GB"/>
              </w:rPr>
            </w:pPr>
          </w:p>
          <w:p w14:paraId="3A47F505"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Information product relevant to indicator</w:t>
            </w:r>
          </w:p>
          <w:p w14:paraId="758F8898" w14:textId="77777777" w:rsidR="00C64461" w:rsidRPr="001014B3" w:rsidRDefault="00C64461" w:rsidP="00C64461">
            <w:pPr>
              <w:rPr>
                <w:rFonts w:asciiTheme="majorBidi" w:hAnsiTheme="majorBidi" w:cstheme="majorBidi"/>
                <w:bCs/>
                <w:sz w:val="22"/>
                <w:szCs w:val="22"/>
                <w:lang w:val="en-GB"/>
              </w:rPr>
            </w:pPr>
          </w:p>
          <w:p w14:paraId="1E782FDF"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(e.g. data on trends </w:t>
            </w:r>
            <w:sdt>
              <w:sdtPr>
                <w:rPr>
                  <w:rFonts w:asciiTheme="majorBidi" w:hAnsiTheme="majorBidi" w:cstheme="majorBidi"/>
                  <w:bCs/>
                  <w:sz w:val="22"/>
                  <w:szCs w:val="22"/>
                  <w:lang w:val="en-GB"/>
                </w:rPr>
                <w:tag w:val="goog_rdk_240"/>
                <w:id w:val="-1164396542"/>
              </w:sdtPr>
              <w:sdtContent>
                <w:r w:rsidRPr="001014B3">
                  <w:rPr>
                    <w:rFonts w:asciiTheme="majorBidi" w:hAnsiTheme="majorBidi" w:cstheme="majorBidi"/>
                    <w:bCs/>
                    <w:sz w:val="22"/>
                    <w:szCs w:val="22"/>
                    <w:lang w:val="en-GB"/>
                  </w:rPr>
                  <w:t xml:space="preserve">and coverage </w:t>
                </w:r>
              </w:sdtContent>
            </w:sdt>
            <w:r w:rsidRPr="001014B3">
              <w:rPr>
                <w:rFonts w:asciiTheme="majorBidi" w:hAnsiTheme="majorBidi" w:cstheme="majorBidi"/>
                <w:bCs/>
                <w:sz w:val="22"/>
                <w:szCs w:val="22"/>
                <w:lang w:val="en-GB"/>
              </w:rPr>
              <w:t>per country)</w:t>
            </w:r>
          </w:p>
        </w:tc>
      </w:tr>
      <w:tr w:rsidR="00C64461" w:rsidRPr="001014B3" w14:paraId="7914A612" w14:textId="77777777">
        <w:tc>
          <w:tcPr>
            <w:tcW w:w="2055" w:type="dxa"/>
            <w:tcBorders>
              <w:top w:val="single" w:sz="4" w:space="0" w:color="000000"/>
              <w:left w:val="single" w:sz="4" w:space="0" w:color="000000"/>
              <w:bottom w:val="single" w:sz="4" w:space="0" w:color="000000"/>
              <w:right w:val="single" w:sz="4" w:space="0" w:color="000000"/>
            </w:tcBorders>
            <w:shd w:val="clear" w:color="auto" w:fill="E8E8E8"/>
          </w:tcPr>
          <w:p w14:paraId="1071DFE3" w14:textId="77777777" w:rsidR="00C64461" w:rsidRPr="001014B3" w:rsidRDefault="00C64461" w:rsidP="00C64461">
            <w:pPr>
              <w:rPr>
                <w:rFonts w:asciiTheme="majorBidi" w:hAnsiTheme="majorBidi" w:cstheme="majorBidi"/>
                <w:bCs/>
                <w:sz w:val="22"/>
                <w:szCs w:val="22"/>
                <w:lang w:val="en-GB"/>
              </w:rPr>
            </w:pPr>
          </w:p>
          <w:p w14:paraId="7BA6D3D0"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Genetic diversity</w:t>
            </w:r>
          </w:p>
        </w:tc>
        <w:tc>
          <w:tcPr>
            <w:tcW w:w="1545" w:type="dxa"/>
            <w:tcBorders>
              <w:top w:val="single" w:sz="4" w:space="0" w:color="000000"/>
              <w:left w:val="single" w:sz="4" w:space="0" w:color="000000"/>
              <w:bottom w:val="single" w:sz="4" w:space="0" w:color="000000"/>
              <w:right w:val="single" w:sz="4" w:space="0" w:color="000000"/>
            </w:tcBorders>
          </w:tcPr>
          <w:p w14:paraId="4A18D649" w14:textId="77777777" w:rsidR="00C64461" w:rsidRPr="001014B3" w:rsidRDefault="00C64461" w:rsidP="00C64461">
            <w:pPr>
              <w:rPr>
                <w:rFonts w:asciiTheme="majorBidi" w:hAnsiTheme="majorBidi" w:cstheme="majorBidi"/>
                <w:bCs/>
                <w:sz w:val="22"/>
                <w:szCs w:val="22"/>
                <w:lang w:val="en-GB"/>
              </w:rPr>
            </w:pPr>
          </w:p>
          <w:p w14:paraId="35E194F3"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Number of species covered by systematic population monitoring schemes</w:t>
            </w:r>
          </w:p>
        </w:tc>
        <w:tc>
          <w:tcPr>
            <w:tcW w:w="2595" w:type="dxa"/>
            <w:tcBorders>
              <w:top w:val="single" w:sz="4" w:space="0" w:color="000000"/>
              <w:left w:val="single" w:sz="4" w:space="0" w:color="000000"/>
              <w:bottom w:val="single" w:sz="4" w:space="0" w:color="000000"/>
              <w:right w:val="single" w:sz="4" w:space="0" w:color="000000"/>
            </w:tcBorders>
          </w:tcPr>
          <w:p w14:paraId="2A1BED5E" w14:textId="77777777" w:rsidR="00C64461" w:rsidRPr="001014B3" w:rsidRDefault="00C64461" w:rsidP="00C64461">
            <w:pPr>
              <w:rPr>
                <w:rFonts w:asciiTheme="majorBidi" w:hAnsiTheme="majorBidi" w:cstheme="majorBidi"/>
                <w:bCs/>
                <w:sz w:val="22"/>
                <w:szCs w:val="22"/>
                <w:lang w:val="en-GB"/>
              </w:rPr>
            </w:pPr>
          </w:p>
          <w:p w14:paraId="0C6E06BE"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Time series of censused abundances from</w:t>
            </w:r>
            <w:sdt>
              <w:sdtPr>
                <w:rPr>
                  <w:rFonts w:asciiTheme="majorBidi" w:hAnsiTheme="majorBidi" w:cstheme="majorBidi"/>
                  <w:bCs/>
                  <w:sz w:val="22"/>
                  <w:szCs w:val="22"/>
                  <w:lang w:val="en-GB"/>
                </w:rPr>
                <w:tag w:val="goog_rdk_241"/>
                <w:id w:val="-2002423814"/>
              </w:sdtPr>
              <w:sdtContent>
                <w:r w:rsidRPr="001014B3">
                  <w:rPr>
                    <w:rFonts w:asciiTheme="majorBidi" w:hAnsiTheme="majorBidi" w:cstheme="majorBidi"/>
                    <w:bCs/>
                    <w:sz w:val="22"/>
                    <w:szCs w:val="22"/>
                    <w:lang w:val="en-GB"/>
                  </w:rPr>
                  <w:t xml:space="preserve"> </w:t>
                </w:r>
              </w:sdtContent>
            </w:sdt>
            <w:r w:rsidRPr="001014B3">
              <w:rPr>
                <w:rFonts w:asciiTheme="majorBidi" w:hAnsiTheme="majorBidi" w:cstheme="majorBidi"/>
                <w:bCs/>
                <w:sz w:val="22"/>
                <w:szCs w:val="22"/>
                <w:lang w:val="en-GB"/>
              </w:rPr>
              <w:t xml:space="preserve">populations monitored for effective population size </w:t>
            </w:r>
            <w:sdt>
              <w:sdtPr>
                <w:rPr>
                  <w:rFonts w:asciiTheme="majorBidi" w:hAnsiTheme="majorBidi" w:cstheme="majorBidi"/>
                  <w:bCs/>
                  <w:sz w:val="22"/>
                  <w:szCs w:val="22"/>
                  <w:lang w:val="en-GB"/>
                </w:rPr>
                <w:tag w:val="goog_rdk_242"/>
                <w:id w:val="486371882"/>
              </w:sdtPr>
              <w:sdtContent>
                <w:r w:rsidRPr="001014B3">
                  <w:rPr>
                    <w:rFonts w:asciiTheme="majorBidi" w:hAnsiTheme="majorBidi" w:cstheme="majorBidi"/>
                    <w:bCs/>
                    <w:sz w:val="22"/>
                    <w:szCs w:val="22"/>
                    <w:lang w:val="en-GB"/>
                  </w:rPr>
                  <w:t xml:space="preserve">with genetic markers (e.g. individuals genotyped by non-invasive sampling). </w:t>
                </w:r>
              </w:sdtContent>
            </w:sdt>
          </w:p>
        </w:tc>
        <w:tc>
          <w:tcPr>
            <w:tcW w:w="1500" w:type="dxa"/>
            <w:tcBorders>
              <w:top w:val="single" w:sz="4" w:space="0" w:color="000000"/>
              <w:left w:val="single" w:sz="4" w:space="0" w:color="000000"/>
              <w:bottom w:val="single" w:sz="4" w:space="0" w:color="000000"/>
              <w:right w:val="single" w:sz="4" w:space="0" w:color="000000"/>
            </w:tcBorders>
          </w:tcPr>
          <w:p w14:paraId="74056775" w14:textId="77777777" w:rsidR="00C64461" w:rsidRPr="001014B3" w:rsidRDefault="00C64461" w:rsidP="00C64461">
            <w:pPr>
              <w:rPr>
                <w:rFonts w:asciiTheme="majorBidi" w:hAnsiTheme="majorBidi" w:cstheme="majorBidi"/>
                <w:bCs/>
                <w:sz w:val="22"/>
                <w:szCs w:val="22"/>
                <w:lang w:val="en-GB"/>
              </w:rPr>
            </w:pPr>
          </w:p>
          <w:p w14:paraId="0E5EFBCD"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Estimated effective population sizes (Ne) from genetic and demographic data across monitored populations</w:t>
            </w:r>
          </w:p>
        </w:tc>
        <w:tc>
          <w:tcPr>
            <w:tcW w:w="1635" w:type="dxa"/>
            <w:tcBorders>
              <w:top w:val="single" w:sz="4" w:space="0" w:color="000000"/>
              <w:left w:val="single" w:sz="4" w:space="0" w:color="000000"/>
              <w:bottom w:val="single" w:sz="4" w:space="0" w:color="000000"/>
              <w:right w:val="single" w:sz="4" w:space="0" w:color="000000"/>
            </w:tcBorders>
          </w:tcPr>
          <w:p w14:paraId="6CEEAA88" w14:textId="77777777" w:rsidR="00C64461" w:rsidRPr="001014B3" w:rsidRDefault="00C64461" w:rsidP="00C64461">
            <w:pPr>
              <w:rPr>
                <w:rFonts w:asciiTheme="majorBidi" w:hAnsiTheme="majorBidi" w:cstheme="majorBidi"/>
                <w:bCs/>
                <w:sz w:val="22"/>
                <w:szCs w:val="22"/>
                <w:lang w:val="en-GB"/>
              </w:rPr>
            </w:pPr>
          </w:p>
          <w:p w14:paraId="1B11130D"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Number of populations with an effective population size (Ne) above 500 individuals</w:t>
            </w:r>
            <w:sdt>
              <w:sdtPr>
                <w:rPr>
                  <w:rFonts w:asciiTheme="majorBidi" w:hAnsiTheme="majorBidi" w:cstheme="majorBidi"/>
                  <w:bCs/>
                  <w:sz w:val="22"/>
                  <w:szCs w:val="22"/>
                  <w:lang w:val="en-GB"/>
                </w:rPr>
                <w:tag w:val="goog_rdk_243"/>
                <w:id w:val="218794038"/>
              </w:sdtPr>
              <w:sdtContent>
                <w:r w:rsidRPr="001014B3">
                  <w:rPr>
                    <w:rFonts w:asciiTheme="majorBidi" w:hAnsiTheme="majorBidi" w:cstheme="majorBidi"/>
                    <w:bCs/>
                    <w:sz w:val="22"/>
                    <w:szCs w:val="22"/>
                    <w:lang w:val="en-GB"/>
                  </w:rPr>
                  <w:t>, with coverage reported across taxa.</w:t>
                </w:r>
              </w:sdtContent>
            </w:sdt>
          </w:p>
        </w:tc>
      </w:tr>
      <w:tr w:rsidR="00C64461" w:rsidRPr="001014B3" w14:paraId="4ABACD6D" w14:textId="77777777">
        <w:tc>
          <w:tcPr>
            <w:tcW w:w="2055" w:type="dxa"/>
            <w:tcBorders>
              <w:top w:val="single" w:sz="4" w:space="0" w:color="000000"/>
              <w:left w:val="single" w:sz="4" w:space="0" w:color="000000"/>
              <w:bottom w:val="single" w:sz="4" w:space="0" w:color="000000"/>
              <w:right w:val="single" w:sz="4" w:space="0" w:color="000000"/>
            </w:tcBorders>
            <w:shd w:val="clear" w:color="auto" w:fill="E8E8E8"/>
            <w:hideMark/>
          </w:tcPr>
          <w:p w14:paraId="28340444"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Population abundances</w:t>
            </w:r>
          </w:p>
        </w:tc>
        <w:tc>
          <w:tcPr>
            <w:tcW w:w="1545" w:type="dxa"/>
            <w:tcBorders>
              <w:top w:val="single" w:sz="4" w:space="0" w:color="000000"/>
              <w:left w:val="single" w:sz="4" w:space="0" w:color="000000"/>
              <w:bottom w:val="single" w:sz="4" w:space="0" w:color="000000"/>
              <w:right w:val="single" w:sz="4" w:space="0" w:color="000000"/>
            </w:tcBorders>
            <w:hideMark/>
          </w:tcPr>
          <w:p w14:paraId="6E9464C4"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Number of species and taxonomic groups covered by systematic population monitoring schemes</w:t>
            </w:r>
          </w:p>
        </w:tc>
        <w:tc>
          <w:tcPr>
            <w:tcW w:w="2595" w:type="dxa"/>
            <w:tcBorders>
              <w:top w:val="single" w:sz="4" w:space="0" w:color="000000"/>
              <w:left w:val="single" w:sz="4" w:space="0" w:color="000000"/>
              <w:bottom w:val="single" w:sz="4" w:space="0" w:color="000000"/>
              <w:right w:val="single" w:sz="4" w:space="0" w:color="000000"/>
            </w:tcBorders>
          </w:tcPr>
          <w:p w14:paraId="4DEA98A8"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e.g. Time series of abundances available from national </w:t>
            </w:r>
            <w:sdt>
              <w:sdtPr>
                <w:rPr>
                  <w:rFonts w:asciiTheme="majorBidi" w:hAnsiTheme="majorBidi" w:cstheme="majorBidi"/>
                  <w:bCs/>
                  <w:sz w:val="22"/>
                  <w:szCs w:val="22"/>
                  <w:lang w:val="en-GB"/>
                </w:rPr>
                <w:tag w:val="goog_rdk_244"/>
                <w:id w:val="-621140460"/>
              </w:sdtPr>
              <w:sdtContent>
                <w:r w:rsidRPr="001014B3">
                  <w:rPr>
                    <w:rFonts w:asciiTheme="majorBidi" w:hAnsiTheme="majorBidi" w:cstheme="majorBidi"/>
                    <w:bCs/>
                    <w:sz w:val="22"/>
                    <w:szCs w:val="22"/>
                    <w:lang w:val="en-GB"/>
                  </w:rPr>
                  <w:t xml:space="preserve">monitoring </w:t>
                </w:r>
              </w:sdtContent>
            </w:sdt>
            <w:r w:rsidRPr="001014B3">
              <w:rPr>
                <w:rFonts w:asciiTheme="majorBidi" w:hAnsiTheme="majorBidi" w:cstheme="majorBidi"/>
                <w:bCs/>
                <w:sz w:val="22"/>
                <w:szCs w:val="22"/>
                <w:lang w:val="en-GB"/>
              </w:rPr>
              <w:t>or international datasets</w:t>
            </w:r>
            <w:sdt>
              <w:sdtPr>
                <w:rPr>
                  <w:rFonts w:asciiTheme="majorBidi" w:hAnsiTheme="majorBidi" w:cstheme="majorBidi"/>
                  <w:bCs/>
                  <w:sz w:val="22"/>
                  <w:szCs w:val="22"/>
                  <w:lang w:val="en-GB"/>
                </w:rPr>
                <w:tag w:val="goog_rdk_245"/>
                <w:id w:val="392085018"/>
              </w:sdtPr>
              <w:sdtContent>
                <w:r w:rsidRPr="001014B3">
                  <w:rPr>
                    <w:rFonts w:asciiTheme="majorBidi" w:hAnsiTheme="majorBidi" w:cstheme="majorBidi"/>
                    <w:bCs/>
                    <w:sz w:val="22"/>
                    <w:szCs w:val="22"/>
                    <w:lang w:val="en-GB"/>
                  </w:rPr>
                  <w:t xml:space="preserve"> </w:t>
                </w:r>
              </w:sdtContent>
            </w:sdt>
            <w:r w:rsidRPr="001014B3">
              <w:rPr>
                <w:rFonts w:asciiTheme="majorBidi" w:hAnsiTheme="majorBidi" w:cstheme="majorBidi"/>
                <w:bCs/>
                <w:sz w:val="22"/>
                <w:szCs w:val="22"/>
                <w:lang w:val="en-GB"/>
              </w:rPr>
              <w:t xml:space="preserve"> (e.g. Living Planet Database).</w:t>
            </w:r>
          </w:p>
          <w:p w14:paraId="3BEF3CC6" w14:textId="77777777" w:rsidR="00C64461" w:rsidRPr="001014B3" w:rsidRDefault="00C64461" w:rsidP="00C64461">
            <w:pPr>
              <w:rPr>
                <w:rFonts w:asciiTheme="majorBidi" w:hAnsiTheme="majorBidi" w:cstheme="majorBidi"/>
                <w:bCs/>
                <w:sz w:val="22"/>
                <w:szCs w:val="22"/>
                <w:lang w:val="en-GB"/>
              </w:rPr>
            </w:pPr>
          </w:p>
        </w:tc>
        <w:tc>
          <w:tcPr>
            <w:tcW w:w="1500" w:type="dxa"/>
            <w:tcBorders>
              <w:top w:val="single" w:sz="4" w:space="0" w:color="000000"/>
              <w:left w:val="single" w:sz="4" w:space="0" w:color="000000"/>
              <w:bottom w:val="single" w:sz="4" w:space="0" w:color="000000"/>
              <w:right w:val="single" w:sz="4" w:space="0" w:color="000000"/>
            </w:tcBorders>
          </w:tcPr>
          <w:p w14:paraId="63FB464E"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e.g. modelled trends </w:t>
            </w:r>
            <w:sdt>
              <w:sdtPr>
                <w:rPr>
                  <w:rFonts w:asciiTheme="majorBidi" w:hAnsiTheme="majorBidi" w:cstheme="majorBidi"/>
                  <w:bCs/>
                  <w:sz w:val="22"/>
                  <w:szCs w:val="22"/>
                  <w:lang w:val="en-GB"/>
                </w:rPr>
                <w:tag w:val="goog_rdk_246"/>
                <w:id w:val="1271742677"/>
              </w:sdtPr>
              <w:sdtContent>
                <w:r w:rsidRPr="001014B3">
                  <w:rPr>
                    <w:rFonts w:asciiTheme="majorBidi" w:hAnsiTheme="majorBidi" w:cstheme="majorBidi"/>
                    <w:bCs/>
                    <w:sz w:val="22"/>
                    <w:szCs w:val="22"/>
                    <w:lang w:val="en-GB"/>
                  </w:rPr>
                  <w:t xml:space="preserve">in demographic rates </w:t>
                </w:r>
              </w:sdtContent>
            </w:sdt>
            <w:sdt>
              <w:sdtPr>
                <w:rPr>
                  <w:rFonts w:asciiTheme="majorBidi" w:hAnsiTheme="majorBidi" w:cstheme="majorBidi"/>
                  <w:bCs/>
                  <w:sz w:val="22"/>
                  <w:szCs w:val="22"/>
                  <w:lang w:val="en-GB"/>
                </w:rPr>
                <w:tag w:val="goog_rdk_247"/>
                <w:id w:val="2129593912"/>
                <w:showingPlcHdr/>
              </w:sdtPr>
              <w:sdtContent>
                <w:r w:rsidRPr="001014B3">
                  <w:rPr>
                    <w:rFonts w:asciiTheme="majorBidi" w:hAnsiTheme="majorBidi" w:cstheme="majorBidi"/>
                    <w:bCs/>
                    <w:sz w:val="22"/>
                    <w:szCs w:val="22"/>
                    <w:lang w:val="en-GB"/>
                  </w:rPr>
                  <w:t xml:space="preserve">     </w:t>
                </w:r>
              </w:sdtContent>
            </w:sdt>
            <w:r w:rsidRPr="001014B3">
              <w:rPr>
                <w:rFonts w:asciiTheme="majorBidi" w:hAnsiTheme="majorBidi" w:cstheme="majorBidi"/>
                <w:bCs/>
                <w:sz w:val="22"/>
                <w:szCs w:val="22"/>
                <w:lang w:val="en-GB"/>
              </w:rPr>
              <w:t>estimated for monitored taxa.</w:t>
            </w:r>
          </w:p>
          <w:p w14:paraId="39C4F807" w14:textId="77777777" w:rsidR="00C64461" w:rsidRPr="001014B3" w:rsidRDefault="00C64461" w:rsidP="00C64461">
            <w:pPr>
              <w:rPr>
                <w:rFonts w:asciiTheme="majorBidi" w:hAnsiTheme="majorBidi" w:cstheme="majorBidi"/>
                <w:bCs/>
                <w:sz w:val="22"/>
                <w:szCs w:val="22"/>
                <w:lang w:val="en-GB"/>
              </w:rPr>
            </w:pPr>
          </w:p>
        </w:tc>
        <w:tc>
          <w:tcPr>
            <w:tcW w:w="1635" w:type="dxa"/>
            <w:tcBorders>
              <w:top w:val="single" w:sz="4" w:space="0" w:color="000000"/>
              <w:left w:val="single" w:sz="4" w:space="0" w:color="000000"/>
              <w:bottom w:val="single" w:sz="4" w:space="0" w:color="000000"/>
              <w:right w:val="single" w:sz="4" w:space="0" w:color="000000"/>
            </w:tcBorders>
            <w:hideMark/>
          </w:tcPr>
          <w:p w14:paraId="546BE847"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Number of taxonomic groups covered by abundance trend metric (e.g. Living Planet Index, Wild Bird Index etc.)</w:t>
            </w:r>
          </w:p>
        </w:tc>
      </w:tr>
      <w:tr w:rsidR="00C64461" w:rsidRPr="001014B3" w14:paraId="667EE1D6" w14:textId="77777777">
        <w:trPr>
          <w:trHeight w:val="800"/>
        </w:trPr>
        <w:tc>
          <w:tcPr>
            <w:tcW w:w="2055" w:type="dxa"/>
            <w:tcBorders>
              <w:top w:val="single" w:sz="4" w:space="0" w:color="000000"/>
              <w:left w:val="single" w:sz="4" w:space="0" w:color="000000"/>
              <w:bottom w:val="single" w:sz="4" w:space="0" w:color="000000"/>
              <w:right w:val="single" w:sz="4" w:space="0" w:color="000000"/>
            </w:tcBorders>
            <w:shd w:val="clear" w:color="auto" w:fill="E8E8E8"/>
          </w:tcPr>
          <w:p w14:paraId="7B679C12" w14:textId="77777777" w:rsidR="00C64461" w:rsidRPr="001014B3" w:rsidRDefault="00C64461" w:rsidP="00C64461">
            <w:pPr>
              <w:rPr>
                <w:rFonts w:asciiTheme="majorBidi" w:hAnsiTheme="majorBidi" w:cstheme="majorBidi"/>
                <w:bCs/>
                <w:sz w:val="22"/>
                <w:szCs w:val="22"/>
                <w:lang w:val="en-GB"/>
              </w:rPr>
            </w:pPr>
          </w:p>
          <w:p w14:paraId="50DB57B3"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Species </w:t>
            </w:r>
          </w:p>
          <w:p w14:paraId="09C03CEE"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(occurrences)</w:t>
            </w:r>
          </w:p>
        </w:tc>
        <w:tc>
          <w:tcPr>
            <w:tcW w:w="1545" w:type="dxa"/>
            <w:tcBorders>
              <w:top w:val="single" w:sz="4" w:space="0" w:color="000000"/>
              <w:left w:val="single" w:sz="4" w:space="0" w:color="000000"/>
              <w:bottom w:val="single" w:sz="4" w:space="0" w:color="000000"/>
              <w:right w:val="single" w:sz="4" w:space="0" w:color="000000"/>
            </w:tcBorders>
          </w:tcPr>
          <w:p w14:paraId="2EEE3434"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e.g. Number of species and taxonomic groups covered by distribution atlases </w:t>
            </w:r>
          </w:p>
          <w:p w14:paraId="03557C25" w14:textId="77777777" w:rsidR="00C64461" w:rsidRPr="001014B3" w:rsidRDefault="00C64461" w:rsidP="00C64461">
            <w:pPr>
              <w:rPr>
                <w:rFonts w:asciiTheme="majorBidi" w:hAnsiTheme="majorBidi" w:cstheme="majorBidi"/>
                <w:bCs/>
                <w:sz w:val="22"/>
                <w:szCs w:val="22"/>
                <w:lang w:val="en-GB"/>
              </w:rPr>
            </w:pPr>
          </w:p>
        </w:tc>
        <w:tc>
          <w:tcPr>
            <w:tcW w:w="2595" w:type="dxa"/>
            <w:tcBorders>
              <w:top w:val="single" w:sz="4" w:space="0" w:color="000000"/>
              <w:left w:val="single" w:sz="4" w:space="0" w:color="000000"/>
              <w:bottom w:val="single" w:sz="4" w:space="0" w:color="000000"/>
              <w:right w:val="single" w:sz="4" w:space="0" w:color="000000"/>
            </w:tcBorders>
            <w:hideMark/>
          </w:tcPr>
          <w:p w14:paraId="01885556"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Number of occurrence records in GBIF</w:t>
            </w:r>
            <w:sdt>
              <w:sdtPr>
                <w:rPr>
                  <w:rFonts w:asciiTheme="majorBidi" w:hAnsiTheme="majorBidi" w:cstheme="majorBidi"/>
                  <w:bCs/>
                  <w:sz w:val="22"/>
                  <w:szCs w:val="22"/>
                  <w:lang w:val="en-GB"/>
                </w:rPr>
                <w:tag w:val="goog_rdk_248"/>
                <w:id w:val="-971517404"/>
              </w:sdtPr>
              <w:sdtContent>
                <w:r w:rsidRPr="001014B3">
                  <w:rPr>
                    <w:rFonts w:asciiTheme="majorBidi" w:hAnsiTheme="majorBidi" w:cstheme="majorBidi"/>
                    <w:bCs/>
                    <w:sz w:val="22"/>
                    <w:szCs w:val="22"/>
                    <w:lang w:val="en-GB"/>
                  </w:rPr>
                  <w:t xml:space="preserve"> or OBIS</w:t>
                </w:r>
              </w:sdtContent>
            </w:sdt>
          </w:p>
        </w:tc>
        <w:tc>
          <w:tcPr>
            <w:tcW w:w="1500" w:type="dxa"/>
            <w:tcBorders>
              <w:top w:val="single" w:sz="4" w:space="0" w:color="000000"/>
              <w:left w:val="single" w:sz="4" w:space="0" w:color="000000"/>
              <w:bottom w:val="single" w:sz="4" w:space="0" w:color="000000"/>
              <w:right w:val="single" w:sz="4" w:space="0" w:color="000000"/>
            </w:tcBorders>
            <w:hideMark/>
          </w:tcPr>
          <w:p w14:paraId="663E7911"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modelled trends in species distributions across taxa (e.g. species distribution models).</w:t>
            </w:r>
          </w:p>
        </w:tc>
        <w:tc>
          <w:tcPr>
            <w:tcW w:w="1635" w:type="dxa"/>
            <w:tcBorders>
              <w:top w:val="single" w:sz="4" w:space="0" w:color="000000"/>
              <w:left w:val="single" w:sz="4" w:space="0" w:color="000000"/>
              <w:bottom w:val="single" w:sz="4" w:space="0" w:color="000000"/>
              <w:right w:val="single" w:sz="4" w:space="0" w:color="000000"/>
            </w:tcBorders>
            <w:hideMark/>
          </w:tcPr>
          <w:p w14:paraId="05B75D31"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e.g. Number of species and taxonomic groups covered by </w:t>
            </w:r>
            <w:sdt>
              <w:sdtPr>
                <w:rPr>
                  <w:rFonts w:asciiTheme="majorBidi" w:hAnsiTheme="majorBidi" w:cstheme="majorBidi"/>
                  <w:bCs/>
                  <w:sz w:val="22"/>
                  <w:szCs w:val="22"/>
                  <w:lang w:val="en-GB"/>
                </w:rPr>
                <w:tag w:val="goog_rdk_249"/>
                <w:id w:val="174079400"/>
              </w:sdtPr>
              <w:sdtContent>
                <w:r w:rsidRPr="001014B3">
                  <w:rPr>
                    <w:rFonts w:asciiTheme="majorBidi" w:hAnsiTheme="majorBidi" w:cstheme="majorBidi"/>
                    <w:bCs/>
                    <w:sz w:val="22"/>
                    <w:szCs w:val="22"/>
                    <w:lang w:val="en-GB"/>
                  </w:rPr>
                  <w:t xml:space="preserve">a </w:t>
                </w:r>
              </w:sdtContent>
            </w:sdt>
            <w:r w:rsidRPr="001014B3">
              <w:rPr>
                <w:rFonts w:asciiTheme="majorBidi" w:hAnsiTheme="majorBidi" w:cstheme="majorBidi"/>
                <w:bCs/>
                <w:sz w:val="22"/>
                <w:szCs w:val="22"/>
                <w:lang w:val="en-GB"/>
              </w:rPr>
              <w:t>national</w:t>
            </w:r>
            <w:sdt>
              <w:sdtPr>
                <w:rPr>
                  <w:rFonts w:asciiTheme="majorBidi" w:hAnsiTheme="majorBidi" w:cstheme="majorBidi"/>
                  <w:bCs/>
                  <w:sz w:val="22"/>
                  <w:szCs w:val="22"/>
                  <w:lang w:val="en-GB"/>
                </w:rPr>
                <w:tag w:val="goog_rdk_250"/>
                <w:id w:val="-1668631333"/>
              </w:sdtPr>
              <w:sdtContent>
                <w:r w:rsidRPr="001014B3">
                  <w:rPr>
                    <w:rFonts w:asciiTheme="majorBidi" w:hAnsiTheme="majorBidi" w:cstheme="majorBidi"/>
                    <w:bCs/>
                    <w:sz w:val="22"/>
                    <w:szCs w:val="22"/>
                    <w:lang w:val="en-GB"/>
                  </w:rPr>
                  <w:t xml:space="preserve"> </w:t>
                </w:r>
              </w:sdtContent>
            </w:sdt>
            <w:sdt>
              <w:sdtPr>
                <w:rPr>
                  <w:rFonts w:asciiTheme="majorBidi" w:hAnsiTheme="majorBidi" w:cstheme="majorBidi"/>
                  <w:bCs/>
                  <w:sz w:val="22"/>
                  <w:szCs w:val="22"/>
                  <w:lang w:val="en-GB"/>
                </w:rPr>
                <w:tag w:val="goog_rdk_251"/>
                <w:id w:val="-1750109561"/>
                <w:showingPlcHdr/>
              </w:sdtPr>
              <w:sdtContent>
                <w:r w:rsidRPr="001014B3">
                  <w:rPr>
                    <w:rFonts w:asciiTheme="majorBidi" w:hAnsiTheme="majorBidi" w:cstheme="majorBidi"/>
                    <w:bCs/>
                    <w:sz w:val="22"/>
                    <w:szCs w:val="22"/>
                    <w:lang w:val="en-GB"/>
                  </w:rPr>
                  <w:t xml:space="preserve">     </w:t>
                </w:r>
              </w:sdtContent>
            </w:sdt>
            <w:sdt>
              <w:sdtPr>
                <w:rPr>
                  <w:rFonts w:asciiTheme="majorBidi" w:hAnsiTheme="majorBidi" w:cstheme="majorBidi"/>
                  <w:bCs/>
                  <w:sz w:val="22"/>
                  <w:szCs w:val="22"/>
                  <w:lang w:val="en-GB"/>
                </w:rPr>
                <w:tag w:val="goog_rdk_252"/>
                <w:id w:val="-157919496"/>
              </w:sdtPr>
              <w:sdtContent>
                <w:r w:rsidRPr="001014B3">
                  <w:rPr>
                    <w:rFonts w:asciiTheme="majorBidi" w:hAnsiTheme="majorBidi" w:cstheme="majorBidi"/>
                    <w:bCs/>
                    <w:sz w:val="22"/>
                    <w:szCs w:val="22"/>
                    <w:lang w:val="en-GB"/>
                  </w:rPr>
                  <w:t xml:space="preserve"> </w:t>
                </w:r>
              </w:sdtContent>
            </w:sdt>
            <w:r w:rsidRPr="001014B3">
              <w:rPr>
                <w:rFonts w:asciiTheme="majorBidi" w:hAnsiTheme="majorBidi" w:cstheme="majorBidi"/>
                <w:bCs/>
                <w:sz w:val="22"/>
                <w:szCs w:val="22"/>
                <w:lang w:val="en-GB"/>
              </w:rPr>
              <w:t>Red Lists of species</w:t>
            </w:r>
          </w:p>
        </w:tc>
      </w:tr>
      <w:tr w:rsidR="00C64461" w:rsidRPr="001014B3" w14:paraId="7A6EC34F" w14:textId="77777777">
        <w:tc>
          <w:tcPr>
            <w:tcW w:w="2055" w:type="dxa"/>
            <w:tcBorders>
              <w:top w:val="single" w:sz="4" w:space="0" w:color="000000"/>
              <w:left w:val="single" w:sz="4" w:space="0" w:color="000000"/>
              <w:bottom w:val="single" w:sz="4" w:space="0" w:color="000000"/>
              <w:right w:val="single" w:sz="4" w:space="0" w:color="000000"/>
            </w:tcBorders>
            <w:shd w:val="clear" w:color="auto" w:fill="E8E8E8"/>
            <w:hideMark/>
          </w:tcPr>
          <w:p w14:paraId="2CAAC20F"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Ecosystem extent</w:t>
            </w:r>
          </w:p>
        </w:tc>
        <w:tc>
          <w:tcPr>
            <w:tcW w:w="1545" w:type="dxa"/>
            <w:tcBorders>
              <w:top w:val="single" w:sz="4" w:space="0" w:color="000000"/>
              <w:left w:val="single" w:sz="4" w:space="0" w:color="000000"/>
              <w:bottom w:val="single" w:sz="4" w:space="0" w:color="000000"/>
              <w:right w:val="single" w:sz="4" w:space="0" w:color="000000"/>
            </w:tcBorders>
          </w:tcPr>
          <w:p w14:paraId="2DE381D5"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extent of ecosystem types monitored</w:t>
            </w:r>
            <w:sdt>
              <w:sdtPr>
                <w:rPr>
                  <w:rFonts w:asciiTheme="majorBidi" w:hAnsiTheme="majorBidi" w:cstheme="majorBidi"/>
                  <w:bCs/>
                  <w:sz w:val="22"/>
                  <w:szCs w:val="22"/>
                  <w:lang w:val="en-GB"/>
                </w:rPr>
                <w:tag w:val="goog_rdk_253"/>
                <w:id w:val="-1520999478"/>
              </w:sdtPr>
              <w:sdtContent>
                <w:r w:rsidRPr="001014B3">
                  <w:rPr>
                    <w:rFonts w:asciiTheme="majorBidi" w:hAnsiTheme="majorBidi" w:cstheme="majorBidi"/>
                    <w:bCs/>
                    <w:sz w:val="22"/>
                    <w:szCs w:val="22"/>
                    <w:lang w:val="en-GB"/>
                  </w:rPr>
                  <w:t xml:space="preserve"> for extent</w:t>
                </w:r>
              </w:sdtContent>
            </w:sdt>
          </w:p>
          <w:p w14:paraId="0BF88DB1" w14:textId="77777777" w:rsidR="00C64461" w:rsidRPr="001014B3" w:rsidRDefault="00C64461" w:rsidP="00C64461">
            <w:pPr>
              <w:rPr>
                <w:rFonts w:asciiTheme="majorBidi" w:hAnsiTheme="majorBidi" w:cstheme="majorBidi"/>
                <w:bCs/>
                <w:sz w:val="22"/>
                <w:szCs w:val="22"/>
                <w:lang w:val="en-GB"/>
              </w:rPr>
            </w:pPr>
          </w:p>
        </w:tc>
        <w:tc>
          <w:tcPr>
            <w:tcW w:w="2595" w:type="dxa"/>
            <w:tcBorders>
              <w:top w:val="single" w:sz="4" w:space="0" w:color="000000"/>
              <w:left w:val="single" w:sz="4" w:space="0" w:color="000000"/>
              <w:bottom w:val="single" w:sz="4" w:space="0" w:color="000000"/>
              <w:right w:val="single" w:sz="4" w:space="0" w:color="000000"/>
            </w:tcBorders>
            <w:hideMark/>
          </w:tcPr>
          <w:p w14:paraId="59607373"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Earth observation, satellite and remote sensing imagery for ecosystem mapping.</w:t>
            </w:r>
          </w:p>
        </w:tc>
        <w:tc>
          <w:tcPr>
            <w:tcW w:w="1500" w:type="dxa"/>
            <w:tcBorders>
              <w:top w:val="single" w:sz="4" w:space="0" w:color="000000"/>
              <w:left w:val="single" w:sz="4" w:space="0" w:color="000000"/>
              <w:bottom w:val="single" w:sz="4" w:space="0" w:color="000000"/>
              <w:right w:val="single" w:sz="4" w:space="0" w:color="000000"/>
            </w:tcBorders>
            <w:hideMark/>
          </w:tcPr>
          <w:p w14:paraId="6439ECCD"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model based assessments of change in ecosystem extent accounting for data gaps</w:t>
            </w:r>
          </w:p>
        </w:tc>
        <w:tc>
          <w:tcPr>
            <w:tcW w:w="1635" w:type="dxa"/>
            <w:vMerge w:val="restart"/>
            <w:tcBorders>
              <w:top w:val="single" w:sz="4" w:space="0" w:color="000000"/>
              <w:left w:val="single" w:sz="4" w:space="0" w:color="000000"/>
              <w:bottom w:val="single" w:sz="4" w:space="0" w:color="000000"/>
              <w:right w:val="single" w:sz="4" w:space="0" w:color="000000"/>
            </w:tcBorders>
            <w:hideMark/>
          </w:tcPr>
          <w:p w14:paraId="1D3E4F23"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Number of ecosystems with Red List of Ecosystems assessments</w:t>
            </w:r>
          </w:p>
        </w:tc>
      </w:tr>
      <w:tr w:rsidR="00C64461" w:rsidRPr="001014B3" w14:paraId="5A1B6483" w14:textId="77777777">
        <w:tc>
          <w:tcPr>
            <w:tcW w:w="2055" w:type="dxa"/>
            <w:tcBorders>
              <w:top w:val="single" w:sz="4" w:space="0" w:color="000000"/>
              <w:left w:val="single" w:sz="4" w:space="0" w:color="000000"/>
              <w:bottom w:val="single" w:sz="4" w:space="0" w:color="000000"/>
              <w:right w:val="single" w:sz="4" w:space="0" w:color="000000"/>
            </w:tcBorders>
            <w:shd w:val="clear" w:color="auto" w:fill="E8E8E8"/>
          </w:tcPr>
          <w:p w14:paraId="0647A67D"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lastRenderedPageBreak/>
              <w:t>Ecosystem condition</w:t>
            </w:r>
          </w:p>
          <w:p w14:paraId="05CAB566" w14:textId="77777777" w:rsidR="00C64461" w:rsidRPr="001014B3" w:rsidRDefault="00C64461" w:rsidP="00C64461">
            <w:pPr>
              <w:rPr>
                <w:rFonts w:asciiTheme="majorBidi" w:hAnsiTheme="majorBidi" w:cstheme="majorBidi"/>
                <w:bCs/>
                <w:sz w:val="22"/>
                <w:szCs w:val="22"/>
                <w:lang w:val="en-GB"/>
              </w:rPr>
            </w:pPr>
          </w:p>
        </w:tc>
        <w:tc>
          <w:tcPr>
            <w:tcW w:w="1545" w:type="dxa"/>
            <w:tcBorders>
              <w:top w:val="single" w:sz="4" w:space="0" w:color="000000"/>
              <w:left w:val="single" w:sz="4" w:space="0" w:color="000000"/>
              <w:bottom w:val="single" w:sz="4" w:space="0" w:color="000000"/>
              <w:right w:val="single" w:sz="4" w:space="0" w:color="000000"/>
            </w:tcBorders>
            <w:hideMark/>
          </w:tcPr>
          <w:p w14:paraId="4C9DAF12"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e.g. monitoring of composition, structure and functioning by remote sensing </w:t>
            </w:r>
          </w:p>
        </w:tc>
        <w:tc>
          <w:tcPr>
            <w:tcW w:w="2595" w:type="dxa"/>
            <w:tcBorders>
              <w:top w:val="single" w:sz="4" w:space="0" w:color="000000"/>
              <w:left w:val="single" w:sz="4" w:space="0" w:color="000000"/>
              <w:bottom w:val="single" w:sz="4" w:space="0" w:color="000000"/>
              <w:right w:val="single" w:sz="4" w:space="0" w:color="000000"/>
            </w:tcBorders>
            <w:hideMark/>
          </w:tcPr>
          <w:p w14:paraId="58521509"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in situ and local knowledge of ecosystem structure and functioning</w:t>
            </w:r>
            <w:sdt>
              <w:sdtPr>
                <w:rPr>
                  <w:rFonts w:asciiTheme="majorBidi" w:hAnsiTheme="majorBidi" w:cstheme="majorBidi"/>
                  <w:bCs/>
                  <w:sz w:val="22"/>
                  <w:szCs w:val="22"/>
                  <w:lang w:val="en-GB"/>
                </w:rPr>
                <w:tag w:val="goog_rdk_254"/>
                <w:id w:val="907655571"/>
              </w:sdtPr>
              <w:sdtContent>
                <w:r w:rsidRPr="001014B3">
                  <w:rPr>
                    <w:rFonts w:asciiTheme="majorBidi" w:hAnsiTheme="majorBidi" w:cstheme="majorBidi"/>
                    <w:bCs/>
                    <w:sz w:val="22"/>
                    <w:szCs w:val="22"/>
                    <w:lang w:val="en-GB"/>
                  </w:rPr>
                  <w:t>, such as vegetation canopy structure, net primary productivity, carbon storage</w:t>
                </w:r>
              </w:sdtContent>
            </w:sdt>
          </w:p>
        </w:tc>
        <w:tc>
          <w:tcPr>
            <w:tcW w:w="1500" w:type="dxa"/>
            <w:tcBorders>
              <w:top w:val="single" w:sz="4" w:space="0" w:color="000000"/>
              <w:left w:val="single" w:sz="4" w:space="0" w:color="000000"/>
              <w:bottom w:val="single" w:sz="4" w:space="0" w:color="000000"/>
              <w:right w:val="single" w:sz="4" w:space="0" w:color="000000"/>
            </w:tcBorders>
            <w:hideMark/>
          </w:tcPr>
          <w:p w14:paraId="5FFDEFC1"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The national ecosystem condition accounts following the UN SEEA EA methodology.</w:t>
            </w:r>
          </w:p>
        </w:tc>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BE3B820" w14:textId="77777777" w:rsidR="00C64461" w:rsidRPr="001014B3" w:rsidRDefault="00C64461" w:rsidP="00C64461">
            <w:pPr>
              <w:rPr>
                <w:rFonts w:asciiTheme="majorBidi" w:hAnsiTheme="majorBidi" w:cstheme="majorBidi"/>
                <w:bCs/>
                <w:sz w:val="22"/>
                <w:szCs w:val="22"/>
                <w:lang w:val="en-GB"/>
              </w:rPr>
            </w:pPr>
          </w:p>
        </w:tc>
      </w:tr>
      <w:tr w:rsidR="00C64461" w:rsidRPr="001014B3" w14:paraId="3748056F" w14:textId="77777777">
        <w:tc>
          <w:tcPr>
            <w:tcW w:w="2055" w:type="dxa"/>
            <w:tcBorders>
              <w:top w:val="single" w:sz="4" w:space="0" w:color="000000"/>
              <w:left w:val="single" w:sz="4" w:space="0" w:color="000000"/>
              <w:bottom w:val="single" w:sz="4" w:space="0" w:color="000000"/>
              <w:right w:val="single" w:sz="4" w:space="0" w:color="000000"/>
            </w:tcBorders>
            <w:shd w:val="clear" w:color="auto" w:fill="E8E8E8"/>
            <w:hideMark/>
          </w:tcPr>
          <w:p w14:paraId="67EBDAF7"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Ecosystem services/NCPs</w:t>
            </w:r>
          </w:p>
        </w:tc>
        <w:tc>
          <w:tcPr>
            <w:tcW w:w="1545" w:type="dxa"/>
            <w:tcBorders>
              <w:top w:val="single" w:sz="4" w:space="0" w:color="000000"/>
              <w:left w:val="single" w:sz="4" w:space="0" w:color="000000"/>
              <w:bottom w:val="single" w:sz="4" w:space="0" w:color="000000"/>
              <w:right w:val="single" w:sz="4" w:space="0" w:color="000000"/>
            </w:tcBorders>
            <w:hideMark/>
          </w:tcPr>
          <w:p w14:paraId="5E3C2CB7"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Monitoring of ecosystem service variables</w:t>
            </w:r>
          </w:p>
        </w:tc>
        <w:tc>
          <w:tcPr>
            <w:tcW w:w="2595" w:type="dxa"/>
            <w:tcBorders>
              <w:top w:val="single" w:sz="4" w:space="0" w:color="000000"/>
              <w:left w:val="single" w:sz="4" w:space="0" w:color="000000"/>
              <w:bottom w:val="single" w:sz="4" w:space="0" w:color="000000"/>
              <w:right w:val="single" w:sz="4" w:space="0" w:color="000000"/>
            </w:tcBorders>
            <w:hideMark/>
          </w:tcPr>
          <w:p w14:paraId="458C5367"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Time series of supply and use of ecosystem services gathered for national accounts.</w:t>
            </w:r>
          </w:p>
        </w:tc>
        <w:tc>
          <w:tcPr>
            <w:tcW w:w="1500" w:type="dxa"/>
            <w:tcBorders>
              <w:top w:val="single" w:sz="4" w:space="0" w:color="000000"/>
              <w:left w:val="single" w:sz="4" w:space="0" w:color="000000"/>
              <w:bottom w:val="single" w:sz="4" w:space="0" w:color="000000"/>
              <w:right w:val="single" w:sz="4" w:space="0" w:color="000000"/>
            </w:tcBorders>
            <w:hideMark/>
          </w:tcPr>
          <w:p w14:paraId="336877FA"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e.g. The national flow and use ecosystem service accounts following the UN SEEA EA methodology.</w:t>
            </w:r>
          </w:p>
        </w:tc>
        <w:tc>
          <w:tcPr>
            <w:tcW w:w="1635" w:type="dxa"/>
            <w:tcBorders>
              <w:top w:val="single" w:sz="4" w:space="0" w:color="000000"/>
              <w:left w:val="single" w:sz="4" w:space="0" w:color="000000"/>
              <w:bottom w:val="single" w:sz="4" w:space="0" w:color="000000"/>
              <w:right w:val="single" w:sz="4" w:space="0" w:color="000000"/>
            </w:tcBorders>
            <w:hideMark/>
          </w:tcPr>
          <w:p w14:paraId="49CF7854" w14:textId="77777777"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e.g. The national stock and change in stock ecosystem asset accounts following the UN SEEA EA </w:t>
            </w:r>
            <w:proofErr w:type="gramStart"/>
            <w:r w:rsidRPr="001014B3">
              <w:rPr>
                <w:rFonts w:asciiTheme="majorBidi" w:hAnsiTheme="majorBidi" w:cstheme="majorBidi"/>
                <w:bCs/>
                <w:sz w:val="22"/>
                <w:szCs w:val="22"/>
                <w:lang w:val="en-GB"/>
              </w:rPr>
              <w:t>methodology .</w:t>
            </w:r>
            <w:proofErr w:type="gramEnd"/>
          </w:p>
        </w:tc>
      </w:tr>
    </w:tbl>
    <w:p w14:paraId="610541C6" w14:textId="77777777" w:rsidR="00C64461" w:rsidRPr="001014B3" w:rsidRDefault="00C64461" w:rsidP="00A5532B">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Multiple indicators are available to assess the quality, coverage and gaps in information available to a country when reporting under this indicator.</w:t>
      </w:r>
    </w:p>
    <w:p w14:paraId="21B92997" w14:textId="77777777" w:rsidR="00C64461" w:rsidRPr="00A5532B" w:rsidRDefault="00C64461" w:rsidP="00C64461">
      <w:pPr>
        <w:rPr>
          <w:rFonts w:asciiTheme="majorBidi" w:hAnsiTheme="majorBidi" w:cstheme="majorBidi"/>
          <w:bCs/>
          <w:i/>
          <w:iCs/>
          <w:sz w:val="22"/>
          <w:szCs w:val="22"/>
          <w:lang w:val="en-GB"/>
        </w:rPr>
      </w:pPr>
      <w:r w:rsidRPr="00A5532B">
        <w:rPr>
          <w:rFonts w:asciiTheme="majorBidi" w:hAnsiTheme="majorBidi" w:cstheme="majorBidi"/>
          <w:bCs/>
          <w:i/>
          <w:iCs/>
          <w:sz w:val="22"/>
          <w:szCs w:val="22"/>
          <w:lang w:val="en-GB"/>
        </w:rPr>
        <w:t>Survey gap analysis</w:t>
      </w:r>
    </w:p>
    <w:p w14:paraId="577D4578" w14:textId="77777777" w:rsidR="00C64461" w:rsidRPr="001014B3" w:rsidRDefault="00C64461" w:rsidP="007C2D09">
      <w:pPr>
        <w:pStyle w:val="CBDNormalNumber"/>
        <w:numPr>
          <w:ilvl w:val="0"/>
          <w:numId w:val="503"/>
        </w:numPr>
        <w:shd w:val="clear" w:color="auto" w:fill="FFFFFF"/>
        <w:tabs>
          <w:tab w:val="clear" w:pos="1701"/>
        </w:tabs>
        <w:ind w:left="567" w:firstLine="0"/>
        <w:rPr>
          <w:rFonts w:asciiTheme="majorBidi" w:hAnsiTheme="majorBidi" w:cstheme="majorBidi"/>
          <w:bCs/>
        </w:rPr>
      </w:pPr>
      <w:r w:rsidRPr="00A5532B">
        <w:rPr>
          <w:rFonts w:asciiTheme="majorBidi" w:hAnsiTheme="majorBidi" w:cstheme="majorBidi"/>
          <w:bCs/>
        </w:rPr>
        <w:t>Survey gap analysis is a tool designed to solve the problem of filling data gaps with additional surveys and monitoring. Based on the generalised dissimilarity modelling (GDM) approach, it uses continuous environmental data to help maximize financial resources for gathering new information on biodiversity status and trends. The methodology is provided by Funk et al. (2005)</w:t>
      </w:r>
      <w:sdt>
        <w:sdtPr>
          <w:rPr>
            <w:rFonts w:asciiTheme="majorBidi" w:hAnsiTheme="majorBidi" w:cstheme="majorBidi"/>
            <w:bCs/>
          </w:rPr>
          <w:tag w:val="goog_rdk_257"/>
          <w:id w:val="1490832661"/>
        </w:sdtPr>
        <w:sdtContent>
          <w:r w:rsidRPr="00A5532B">
            <w:rPr>
              <w:rFonts w:asciiTheme="majorBidi" w:hAnsiTheme="majorBidi" w:cstheme="majorBidi"/>
              <w:bCs/>
            </w:rPr>
            <w:t xml:space="preserve"> and Ferrier et al. (2007), with a practical application available via the “Where Next?” tool </w:t>
          </w:r>
          <w:hyperlink r:id="rId499" w:history="1">
            <w:r w:rsidRPr="007C2D09">
              <w:rPr>
                <w:rFonts w:asciiTheme="majorBidi" w:hAnsiTheme="majorBidi" w:cstheme="majorBidi"/>
                <w:bCs/>
              </w:rPr>
              <w:t>https://rpubs.com/jivelasquezt/516782</w:t>
            </w:r>
          </w:hyperlink>
          <w:r w:rsidRPr="00A5532B">
            <w:rPr>
              <w:rFonts w:asciiTheme="majorBidi" w:hAnsiTheme="majorBidi" w:cstheme="majorBidi"/>
              <w:bCs/>
            </w:rPr>
            <w:t xml:space="preserve"> </w:t>
          </w:r>
        </w:sdtContent>
      </w:sdt>
      <w:r w:rsidRPr="001014B3">
        <w:rPr>
          <w:rFonts w:asciiTheme="majorBidi" w:hAnsiTheme="majorBidi" w:cstheme="majorBidi"/>
          <w:bCs/>
        </w:rPr>
        <w:t xml:space="preserve">. </w:t>
      </w:r>
    </w:p>
    <w:p w14:paraId="7BDEEE99" w14:textId="77777777" w:rsidR="00C64461" w:rsidRPr="007403A5" w:rsidRDefault="00C64461" w:rsidP="00C64461">
      <w:pPr>
        <w:rPr>
          <w:rFonts w:asciiTheme="majorBidi" w:hAnsiTheme="majorBidi" w:cstheme="majorBidi"/>
          <w:bCs/>
          <w:i/>
          <w:iCs/>
          <w:sz w:val="22"/>
          <w:szCs w:val="22"/>
          <w:lang w:val="en-GB"/>
        </w:rPr>
      </w:pPr>
      <w:r w:rsidRPr="007403A5">
        <w:rPr>
          <w:rFonts w:asciiTheme="majorBidi" w:hAnsiTheme="majorBidi" w:cstheme="majorBidi"/>
          <w:bCs/>
          <w:i/>
          <w:iCs/>
          <w:sz w:val="22"/>
          <w:szCs w:val="22"/>
          <w:lang w:val="en-GB"/>
        </w:rPr>
        <w:t>Sampling effectiveness index</w:t>
      </w:r>
    </w:p>
    <w:p w14:paraId="327453E7" w14:textId="77777777" w:rsidR="00C64461" w:rsidRPr="001014B3" w:rsidRDefault="00C64461" w:rsidP="007C2D09">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This indicator on sampling effectiveness (SSEI) relates the realized geographic distribution of records held by a country to the distribution of data needed to adequately calculate an indicator (Oliver et al. 2021). The methodology for this indicator has been published and is available in documentation reported by Oliver et al. (2021)</w:t>
      </w:r>
      <w:sdt>
        <w:sdtPr>
          <w:rPr>
            <w:rFonts w:asciiTheme="majorBidi" w:hAnsiTheme="majorBidi" w:cstheme="majorBidi"/>
            <w:bCs/>
          </w:rPr>
          <w:tag w:val="goog_rdk_258"/>
          <w:id w:val="2146468436"/>
        </w:sdtPr>
        <w:sdtContent>
          <w:r w:rsidRPr="001014B3">
            <w:rPr>
              <w:rFonts w:asciiTheme="majorBidi" w:hAnsiTheme="majorBidi" w:cstheme="majorBidi"/>
              <w:bCs/>
            </w:rPr>
            <w:t xml:space="preserve"> and made available on a per country basis by the Map of Life.</w:t>
          </w:r>
        </w:sdtContent>
      </w:sdt>
    </w:p>
    <w:p w14:paraId="33C3832F" w14:textId="77777777" w:rsidR="00C64461" w:rsidRPr="007403A5" w:rsidRDefault="00C64461" w:rsidP="00C64461">
      <w:pPr>
        <w:rPr>
          <w:rFonts w:asciiTheme="majorBidi" w:hAnsiTheme="majorBidi" w:cstheme="majorBidi"/>
          <w:bCs/>
          <w:i/>
          <w:iCs/>
          <w:sz w:val="22"/>
          <w:szCs w:val="22"/>
          <w:lang w:val="en-GB"/>
        </w:rPr>
      </w:pPr>
      <w:r w:rsidRPr="007403A5">
        <w:rPr>
          <w:rFonts w:asciiTheme="majorBidi" w:hAnsiTheme="majorBidi" w:cstheme="majorBidi"/>
          <w:bCs/>
          <w:i/>
          <w:iCs/>
          <w:sz w:val="22"/>
          <w:szCs w:val="22"/>
          <w:lang w:val="en-GB"/>
        </w:rPr>
        <w:t xml:space="preserve">Species Information Index </w:t>
      </w:r>
    </w:p>
    <w:p w14:paraId="6E8C79BD" w14:textId="77777777" w:rsidR="00C64461" w:rsidRPr="001014B3" w:rsidRDefault="00C64461" w:rsidP="000356E1">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This indicator captures how well existing data on localities of species occurrences covers the expected geographic range of a species. At the species level, the SII can be calculated across the entirety of the species’ expected range, ignoring national boundaries, or separately within each nation where it is expected to occur. The methodology is provided by Oliver et al. (2021)</w:t>
      </w:r>
      <w:sdt>
        <w:sdtPr>
          <w:rPr>
            <w:rFonts w:asciiTheme="majorBidi" w:hAnsiTheme="majorBidi" w:cstheme="majorBidi"/>
            <w:bCs/>
          </w:rPr>
          <w:tag w:val="goog_rdk_259"/>
          <w:id w:val="909125014"/>
        </w:sdtPr>
        <w:sdtContent>
          <w:r w:rsidRPr="001014B3">
            <w:rPr>
              <w:rFonts w:asciiTheme="majorBidi" w:hAnsiTheme="majorBidi" w:cstheme="majorBidi"/>
              <w:bCs/>
            </w:rPr>
            <w:t xml:space="preserve"> and made available on a per country basis by the Map of Life</w:t>
          </w:r>
        </w:sdtContent>
      </w:sdt>
      <w:r w:rsidRPr="001014B3">
        <w:rPr>
          <w:rFonts w:asciiTheme="majorBidi" w:hAnsiTheme="majorBidi" w:cstheme="majorBidi"/>
          <w:bCs/>
        </w:rPr>
        <w:t xml:space="preserve">. </w:t>
      </w:r>
    </w:p>
    <w:p w14:paraId="1E27356F" w14:textId="77777777" w:rsidR="00C64461" w:rsidRPr="007403A5" w:rsidRDefault="00C64461" w:rsidP="00C64461">
      <w:pPr>
        <w:rPr>
          <w:rFonts w:asciiTheme="majorBidi" w:hAnsiTheme="majorBidi" w:cstheme="majorBidi"/>
          <w:bCs/>
          <w:i/>
          <w:iCs/>
          <w:sz w:val="22"/>
          <w:szCs w:val="22"/>
          <w:lang w:val="en-GB"/>
        </w:rPr>
      </w:pPr>
      <w:r w:rsidRPr="001014B3">
        <w:rPr>
          <w:rFonts w:asciiTheme="majorBidi" w:hAnsiTheme="majorBidi" w:cstheme="majorBidi"/>
          <w:bCs/>
          <w:sz w:val="22"/>
          <w:szCs w:val="22"/>
          <w:lang w:val="en-GB"/>
        </w:rPr>
        <w:t xml:space="preserve"> </w:t>
      </w:r>
      <w:r w:rsidRPr="007403A5">
        <w:rPr>
          <w:rFonts w:asciiTheme="majorBidi" w:hAnsiTheme="majorBidi" w:cstheme="majorBidi"/>
          <w:bCs/>
          <w:i/>
          <w:iCs/>
          <w:sz w:val="22"/>
          <w:szCs w:val="22"/>
          <w:lang w:val="en-GB"/>
        </w:rPr>
        <w:t xml:space="preserve">Ecosystem coverage </w:t>
      </w:r>
    </w:p>
    <w:p w14:paraId="6F40A7A8" w14:textId="77777777" w:rsidR="007403A5" w:rsidRDefault="00C64461" w:rsidP="007403A5">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A measure capturing the quality of available ecosystem characterisations. This may comprise two aspects:</w:t>
      </w:r>
    </w:p>
    <w:p w14:paraId="4BA97160" w14:textId="77777777" w:rsidR="007403A5" w:rsidRDefault="007403A5" w:rsidP="007403A5">
      <w:pPr>
        <w:pStyle w:val="CBDNormalNumber"/>
        <w:numPr>
          <w:ilvl w:val="1"/>
          <w:numId w:val="503"/>
        </w:numPr>
        <w:shd w:val="clear" w:color="auto" w:fill="FFFFFF"/>
        <w:tabs>
          <w:tab w:val="clear" w:pos="2268"/>
        </w:tabs>
        <w:ind w:left="1134" w:firstLine="0"/>
        <w:rPr>
          <w:rFonts w:asciiTheme="majorBidi" w:hAnsiTheme="majorBidi" w:cstheme="majorBidi"/>
          <w:bCs/>
        </w:rPr>
      </w:pPr>
      <w:r>
        <w:rPr>
          <w:rFonts w:asciiTheme="majorBidi" w:hAnsiTheme="majorBidi" w:cstheme="majorBidi"/>
          <w:bCs/>
        </w:rPr>
        <w:t>C</w:t>
      </w:r>
      <w:proofErr w:type="spellStart"/>
      <w:r w:rsidR="00C64461" w:rsidRPr="007403A5">
        <w:rPr>
          <w:rFonts w:asciiTheme="majorBidi" w:hAnsiTheme="majorBidi" w:cstheme="majorBidi"/>
          <w:lang w:val="en-US"/>
        </w:rPr>
        <w:t>ountries</w:t>
      </w:r>
      <w:proofErr w:type="spellEnd"/>
      <w:r w:rsidR="00C64461" w:rsidRPr="007403A5">
        <w:rPr>
          <w:rFonts w:asciiTheme="majorBidi" w:hAnsiTheme="majorBidi" w:cstheme="majorBidi"/>
          <w:bCs/>
        </w:rPr>
        <w:t xml:space="preserve"> may report whether they have national (or sub-national) ecosystem maps that can support reporting on headline indicators A1 (Red List of ecosystems) and A2 (extent of natural ecosystems). </w:t>
      </w:r>
    </w:p>
    <w:p w14:paraId="772EA2EC" w14:textId="21FB95AA" w:rsidR="00C64461" w:rsidRPr="007403A5" w:rsidRDefault="00C64461" w:rsidP="007403A5">
      <w:pPr>
        <w:pStyle w:val="CBDNormalNumber"/>
        <w:numPr>
          <w:ilvl w:val="1"/>
          <w:numId w:val="503"/>
        </w:numPr>
        <w:shd w:val="clear" w:color="auto" w:fill="FFFFFF"/>
        <w:tabs>
          <w:tab w:val="clear" w:pos="2268"/>
        </w:tabs>
        <w:ind w:left="1134" w:firstLine="0"/>
        <w:rPr>
          <w:rFonts w:asciiTheme="majorBidi" w:hAnsiTheme="majorBidi" w:cstheme="majorBidi"/>
          <w:bCs/>
        </w:rPr>
      </w:pPr>
      <w:r w:rsidRPr="007403A5">
        <w:rPr>
          <w:rFonts w:asciiTheme="majorBidi" w:hAnsiTheme="majorBidi" w:cstheme="majorBidi"/>
          <w:bCs/>
        </w:rPr>
        <w:t>An attribute evaluation (for example, that can then be translated to a 0 - 100 scale) based on the spatial, temporal, and thematic resolution and accuracy of global ecosystem maps available in the country, based on maps of ecosystem functional groups in the Global Ecosystem Typology (</w:t>
      </w:r>
      <w:hyperlink r:id="rId500" w:history="1">
        <w:r w:rsidRPr="007403A5">
          <w:rPr>
            <w:rStyle w:val="Hyperlink"/>
            <w:rFonts w:asciiTheme="majorBidi" w:hAnsiTheme="majorBidi" w:cstheme="majorBidi"/>
            <w:bCs/>
          </w:rPr>
          <w:t>https://global-ecosystems.org/</w:t>
        </w:r>
      </w:hyperlink>
      <w:r w:rsidRPr="007403A5">
        <w:rPr>
          <w:rFonts w:asciiTheme="majorBidi" w:hAnsiTheme="majorBidi" w:cstheme="majorBidi"/>
          <w:bCs/>
        </w:rPr>
        <w:t>).</w:t>
      </w:r>
    </w:p>
    <w:p w14:paraId="532D40A1" w14:textId="77777777" w:rsidR="00C64461" w:rsidRPr="001014B3" w:rsidRDefault="00C64461" w:rsidP="007403A5">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lastRenderedPageBreak/>
        <w:t xml:space="preserve">Coverage of monitoring schemes and networks: </w:t>
      </w:r>
    </w:p>
    <w:p w14:paraId="0A1534F0" w14:textId="77777777" w:rsidR="00C64461" w:rsidRPr="001014B3" w:rsidRDefault="00C64461" w:rsidP="00B307CD">
      <w:pPr>
        <w:pStyle w:val="CBDNormalNumber"/>
        <w:numPr>
          <w:ilvl w:val="1"/>
          <w:numId w:val="503"/>
        </w:numPr>
        <w:shd w:val="clear" w:color="auto" w:fill="FFFFFF"/>
        <w:tabs>
          <w:tab w:val="clear" w:pos="2268"/>
        </w:tabs>
        <w:ind w:left="1134" w:firstLine="0"/>
        <w:rPr>
          <w:rFonts w:asciiTheme="majorBidi" w:hAnsiTheme="majorBidi" w:cstheme="majorBidi"/>
          <w:bCs/>
        </w:rPr>
      </w:pPr>
      <w:r w:rsidRPr="00B307CD">
        <w:rPr>
          <w:rFonts w:asciiTheme="majorBidi" w:hAnsiTheme="majorBidi" w:cstheme="majorBidi"/>
          <w:bCs/>
        </w:rPr>
        <w:t>Monitoring</w:t>
      </w:r>
      <w:r w:rsidRPr="001014B3">
        <w:rPr>
          <w:rFonts w:asciiTheme="majorBidi" w:hAnsiTheme="majorBidi" w:cstheme="majorBidi"/>
          <w:bCs/>
        </w:rPr>
        <w:t xml:space="preserve"> programs provide systematic and repeated biodiversity information needed to reliably assess trends in different dimensions of biodiversity.</w:t>
      </w:r>
    </w:p>
    <w:p w14:paraId="6A9C837F" w14:textId="77777777" w:rsidR="00C64461" w:rsidRPr="001014B3" w:rsidRDefault="00C64461" w:rsidP="00B307CD">
      <w:pPr>
        <w:pStyle w:val="CBDNormalNumber"/>
        <w:numPr>
          <w:ilvl w:val="1"/>
          <w:numId w:val="503"/>
        </w:numPr>
        <w:shd w:val="clear" w:color="auto" w:fill="FFFFFF"/>
        <w:tabs>
          <w:tab w:val="clear" w:pos="2268"/>
        </w:tabs>
        <w:ind w:left="1134" w:firstLine="0"/>
        <w:rPr>
          <w:rFonts w:asciiTheme="majorBidi" w:hAnsiTheme="majorBidi" w:cstheme="majorBidi"/>
          <w:bCs/>
        </w:rPr>
      </w:pPr>
      <w:r w:rsidRPr="00B307CD">
        <w:rPr>
          <w:rFonts w:asciiTheme="majorBidi" w:hAnsiTheme="majorBidi" w:cstheme="majorBidi"/>
          <w:bCs/>
        </w:rPr>
        <w:t>A count of the monitoring projects (e.g. by Biodiversity Observation Networks, and similar monitoring schemes) gathering relevant biodiversity data, including the scope and coverage of this information (e.g. taxonomic, geographic) in each country.</w:t>
      </w:r>
    </w:p>
    <w:p w14:paraId="1CC203B6" w14:textId="77777777" w:rsidR="00B307CD" w:rsidRDefault="00C64461" w:rsidP="00B307CD">
      <w:pPr>
        <w:pStyle w:val="CBDNormalNumber"/>
        <w:numPr>
          <w:ilvl w:val="1"/>
          <w:numId w:val="503"/>
        </w:numPr>
        <w:shd w:val="clear" w:color="auto" w:fill="FFFFFF"/>
        <w:tabs>
          <w:tab w:val="clear" w:pos="2268"/>
        </w:tabs>
        <w:ind w:left="1134" w:firstLine="0"/>
        <w:rPr>
          <w:rFonts w:asciiTheme="majorBidi" w:hAnsiTheme="majorBidi" w:cstheme="majorBidi"/>
        </w:rPr>
      </w:pPr>
      <w:r w:rsidRPr="00B307CD">
        <w:rPr>
          <w:rFonts w:asciiTheme="majorBidi" w:hAnsiTheme="majorBidi" w:cstheme="majorBidi"/>
          <w:bCs/>
        </w:rPr>
        <w:t>Note: An open global meta-database of biodiversity monitoring schemes is needed to support the calculation of the change in the capacity</w:t>
      </w:r>
      <w:r w:rsidRPr="001014B3">
        <w:rPr>
          <w:rFonts w:asciiTheme="majorBidi" w:hAnsiTheme="majorBidi" w:cstheme="majorBidi"/>
        </w:rPr>
        <w:t xml:space="preserve"> of countries to monitor biodiversity and generate required information. For example, a dataset for population monitoring schemes (see </w:t>
      </w:r>
      <w:proofErr w:type="spellStart"/>
      <w:r w:rsidRPr="001014B3">
        <w:rPr>
          <w:rFonts w:asciiTheme="majorBidi" w:hAnsiTheme="majorBidi" w:cstheme="majorBidi"/>
        </w:rPr>
        <w:t>Moussy</w:t>
      </w:r>
      <w:proofErr w:type="spellEnd"/>
      <w:r w:rsidRPr="001014B3">
        <w:rPr>
          <w:rFonts w:asciiTheme="majorBidi" w:hAnsiTheme="majorBidi" w:cstheme="majorBidi"/>
        </w:rPr>
        <w:t xml:space="preserve"> et al. (2022)) is available on the IUCN SSC Species Monitoring Specialist Group </w:t>
      </w:r>
      <w:hyperlink r:id="rId501" w:history="1">
        <w:r w:rsidRPr="001014B3">
          <w:rPr>
            <w:rStyle w:val="Hyperlink"/>
            <w:rFonts w:asciiTheme="majorBidi" w:hAnsiTheme="majorBidi" w:cstheme="majorBidi"/>
            <w:bCs/>
          </w:rPr>
          <w:t>https://www.speciesmonitoring.org/schemes.html</w:t>
        </w:r>
      </w:hyperlink>
    </w:p>
    <w:p w14:paraId="33EE70A5" w14:textId="4AA7A717" w:rsidR="00C64461" w:rsidRPr="00B307CD" w:rsidRDefault="00C64461" w:rsidP="00B307CD">
      <w:pPr>
        <w:pStyle w:val="CBDNormalNumber"/>
        <w:numPr>
          <w:ilvl w:val="1"/>
          <w:numId w:val="503"/>
        </w:numPr>
        <w:shd w:val="clear" w:color="auto" w:fill="FFFFFF"/>
        <w:tabs>
          <w:tab w:val="clear" w:pos="2268"/>
        </w:tabs>
        <w:ind w:left="1134" w:firstLine="0"/>
        <w:rPr>
          <w:rFonts w:asciiTheme="majorBidi" w:hAnsiTheme="majorBidi" w:cstheme="majorBidi"/>
        </w:rPr>
      </w:pPr>
      <w:r w:rsidRPr="00B307CD">
        <w:rPr>
          <w:rFonts w:asciiTheme="majorBidi" w:hAnsiTheme="majorBidi" w:cstheme="majorBidi"/>
          <w:bCs/>
        </w:rPr>
        <w:t xml:space="preserve">The GOOS BioEco Metadata Portal an open global meta-database of marine biodiversity monitoring schemes (https://bioeco.goosocean.org/).  </w:t>
      </w:r>
    </w:p>
    <w:p w14:paraId="5D6426B5" w14:textId="77777777" w:rsidR="00C64461" w:rsidRPr="001014B3" w:rsidRDefault="00C64461" w:rsidP="00B307CD">
      <w:pPr>
        <w:pStyle w:val="CBDNormalNumber"/>
        <w:numPr>
          <w:ilvl w:val="0"/>
          <w:numId w:val="503"/>
        </w:numPr>
        <w:shd w:val="clear" w:color="auto" w:fill="FFFFFF"/>
        <w:tabs>
          <w:tab w:val="clear" w:pos="1701"/>
        </w:tabs>
        <w:ind w:left="567" w:firstLine="0"/>
        <w:rPr>
          <w:rFonts w:asciiTheme="majorBidi" w:hAnsiTheme="majorBidi" w:cstheme="majorBidi"/>
        </w:rPr>
      </w:pPr>
      <w:r w:rsidRPr="001014B3">
        <w:rPr>
          <w:rFonts w:asciiTheme="majorBidi" w:hAnsiTheme="majorBidi" w:cstheme="majorBidi"/>
          <w:bCs/>
        </w:rPr>
        <w:t>Indigenous knowledge:</w:t>
      </w:r>
    </w:p>
    <w:p w14:paraId="662DD381" w14:textId="77777777" w:rsidR="00C64461" w:rsidRPr="001014B3" w:rsidRDefault="00C64461" w:rsidP="00C64461">
      <w:pPr>
        <w:numPr>
          <w:ilvl w:val="1"/>
          <w:numId w:val="501"/>
        </w:numPr>
        <w:rPr>
          <w:rFonts w:asciiTheme="majorBidi" w:hAnsiTheme="majorBidi" w:cstheme="majorBidi"/>
          <w:bCs/>
          <w:sz w:val="22"/>
          <w:szCs w:val="22"/>
          <w:lang w:val="en-GB"/>
        </w:rPr>
      </w:pPr>
      <w:r w:rsidRPr="001014B3">
        <w:rPr>
          <w:rFonts w:asciiTheme="majorBidi" w:hAnsiTheme="majorBidi" w:cstheme="majorBidi"/>
          <w:bCs/>
          <w:sz w:val="22"/>
          <w:szCs w:val="22"/>
          <w:lang w:val="en-GB"/>
        </w:rPr>
        <w:t>This refers to the use of traditional knowledge in national monitoring frameworks and used in the equitable governance and management of biodiversity.</w:t>
      </w:r>
    </w:p>
    <w:p w14:paraId="0717EF55" w14:textId="77777777" w:rsidR="00C64461" w:rsidRPr="001014B3" w:rsidRDefault="00C64461" w:rsidP="00C64461">
      <w:pPr>
        <w:numPr>
          <w:ilvl w:val="1"/>
          <w:numId w:val="501"/>
        </w:numPr>
        <w:rPr>
          <w:rFonts w:asciiTheme="majorBidi" w:hAnsiTheme="majorBidi" w:cstheme="majorBidi"/>
          <w:bCs/>
          <w:sz w:val="22"/>
          <w:szCs w:val="22"/>
          <w:lang w:val="en-GB"/>
        </w:rPr>
      </w:pPr>
      <w:r w:rsidRPr="001014B3">
        <w:rPr>
          <w:rFonts w:asciiTheme="majorBidi" w:hAnsiTheme="majorBidi" w:cstheme="majorBidi"/>
          <w:bCs/>
          <w:sz w:val="22"/>
          <w:szCs w:val="22"/>
          <w:lang w:val="en-GB"/>
        </w:rPr>
        <w:t>The Indigenous Navigator (</w:t>
      </w:r>
      <w:hyperlink r:id="rId502" w:history="1">
        <w:r w:rsidRPr="001014B3">
          <w:rPr>
            <w:rStyle w:val="Hyperlink"/>
            <w:rFonts w:asciiTheme="majorBidi" w:hAnsiTheme="majorBidi" w:cstheme="majorBidi"/>
            <w:bCs/>
            <w:sz w:val="22"/>
            <w:szCs w:val="22"/>
            <w:lang w:val="en-GB"/>
          </w:rPr>
          <w:t>https://indigenousnavigator.org/</w:t>
        </w:r>
      </w:hyperlink>
      <w:r w:rsidRPr="001014B3">
        <w:rPr>
          <w:rFonts w:asciiTheme="majorBidi" w:hAnsiTheme="majorBidi" w:cstheme="majorBidi"/>
          <w:bCs/>
          <w:sz w:val="22"/>
          <w:szCs w:val="22"/>
          <w:lang w:val="en-GB"/>
        </w:rPr>
        <w:t xml:space="preserve">) is a framework and set of tools for and by Indigenous Peoples to systematically monitor the level of recognition and implementation of their rights. By using the Indigenous Navigator, Indigenous organisations and communities, duty bearers, NGOs and journalists can access free tools and resources based on community-generated data. The Indigenous Navigator will be a valuable source of information that can be used to calculate a component related to </w:t>
      </w:r>
      <w:sdt>
        <w:sdtPr>
          <w:rPr>
            <w:rFonts w:asciiTheme="majorBidi" w:hAnsiTheme="majorBidi" w:cstheme="majorBidi"/>
            <w:bCs/>
            <w:sz w:val="22"/>
            <w:szCs w:val="22"/>
            <w:lang w:val="en-GB"/>
          </w:rPr>
          <w:tag w:val="goog_rdk_263"/>
          <w:id w:val="334116494"/>
        </w:sdtPr>
        <w:sdtContent>
          <w:r w:rsidRPr="001014B3">
            <w:rPr>
              <w:rFonts w:asciiTheme="majorBidi" w:hAnsiTheme="majorBidi" w:cstheme="majorBidi"/>
              <w:bCs/>
              <w:sz w:val="22"/>
              <w:szCs w:val="22"/>
              <w:lang w:val="en-GB"/>
            </w:rPr>
            <w:t xml:space="preserve">which targets are using traditional knowledge to support decision making. </w:t>
          </w:r>
        </w:sdtContent>
      </w:sdt>
      <w:sdt>
        <w:sdtPr>
          <w:rPr>
            <w:rFonts w:asciiTheme="majorBidi" w:hAnsiTheme="majorBidi" w:cstheme="majorBidi"/>
            <w:bCs/>
            <w:sz w:val="22"/>
            <w:szCs w:val="22"/>
            <w:lang w:val="en-GB"/>
          </w:rPr>
          <w:tag w:val="goog_rdk_264"/>
          <w:id w:val="659513864"/>
          <w:showingPlcHdr/>
        </w:sdtPr>
        <w:sdtContent>
          <w:r w:rsidRPr="001014B3">
            <w:rPr>
              <w:rFonts w:asciiTheme="majorBidi" w:hAnsiTheme="majorBidi" w:cstheme="majorBidi"/>
              <w:bCs/>
              <w:sz w:val="22"/>
              <w:szCs w:val="22"/>
              <w:lang w:val="en-GB"/>
            </w:rPr>
            <w:t xml:space="preserve">     </w:t>
          </w:r>
        </w:sdtContent>
      </w:sdt>
    </w:p>
    <w:p w14:paraId="3C453FD5" w14:textId="77777777" w:rsidR="00C64461" w:rsidRPr="001014B3" w:rsidRDefault="00C64461" w:rsidP="00C64461">
      <w:pPr>
        <w:numPr>
          <w:ilvl w:val="1"/>
          <w:numId w:val="501"/>
        </w:numPr>
        <w:rPr>
          <w:rFonts w:asciiTheme="majorBidi" w:hAnsiTheme="majorBidi" w:cstheme="majorBidi"/>
          <w:bCs/>
          <w:sz w:val="22"/>
          <w:szCs w:val="22"/>
          <w:lang w:val="en-GB"/>
        </w:rPr>
      </w:pPr>
      <w:r w:rsidRPr="001014B3">
        <w:rPr>
          <w:rFonts w:asciiTheme="majorBidi" w:hAnsiTheme="majorBidi" w:cstheme="majorBidi"/>
          <w:bCs/>
          <w:sz w:val="22"/>
          <w:szCs w:val="22"/>
          <w:lang w:val="en-GB"/>
        </w:rPr>
        <w:t xml:space="preserve">Another source of information is the number of community-based monitoring and information systems (CBMIS) active </w:t>
      </w:r>
      <w:proofErr w:type="gramStart"/>
      <w:r w:rsidRPr="001014B3">
        <w:rPr>
          <w:rFonts w:asciiTheme="majorBidi" w:hAnsiTheme="majorBidi" w:cstheme="majorBidi"/>
          <w:bCs/>
          <w:sz w:val="22"/>
          <w:szCs w:val="22"/>
          <w:lang w:val="en-GB"/>
        </w:rPr>
        <w:t>in a given</w:t>
      </w:r>
      <w:proofErr w:type="gramEnd"/>
      <w:r w:rsidRPr="001014B3">
        <w:rPr>
          <w:rFonts w:asciiTheme="majorBidi" w:hAnsiTheme="majorBidi" w:cstheme="majorBidi"/>
          <w:bCs/>
          <w:sz w:val="22"/>
          <w:szCs w:val="22"/>
          <w:lang w:val="en-GB"/>
        </w:rPr>
        <w:t xml:space="preserve"> country (</w:t>
      </w:r>
      <w:hyperlink r:id="rId503" w:history="1">
        <w:r w:rsidRPr="001014B3">
          <w:rPr>
            <w:rStyle w:val="Hyperlink"/>
            <w:rFonts w:asciiTheme="majorBidi" w:hAnsiTheme="majorBidi" w:cstheme="majorBidi"/>
            <w:bCs/>
            <w:sz w:val="22"/>
            <w:szCs w:val="22"/>
            <w:lang w:val="en-GB"/>
          </w:rPr>
          <w:t>Ferrari et al. 2015</w:t>
        </w:r>
      </w:hyperlink>
      <w:r w:rsidRPr="001014B3">
        <w:rPr>
          <w:rFonts w:asciiTheme="majorBidi" w:hAnsiTheme="majorBidi" w:cstheme="majorBidi"/>
          <w:bCs/>
          <w:sz w:val="22"/>
          <w:szCs w:val="22"/>
          <w:lang w:val="en-GB"/>
        </w:rPr>
        <w:t>).</w:t>
      </w:r>
    </w:p>
    <w:p w14:paraId="710F57C9" w14:textId="77777777" w:rsidR="00EB53DE" w:rsidRDefault="00C64461" w:rsidP="00EB53DE">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Relevant information from complementary indicators:</w:t>
      </w:r>
    </w:p>
    <w:p w14:paraId="08D350AB" w14:textId="77777777" w:rsid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t>Additional indicators are relevant and available to support reporting for indicator 21.1</w:t>
      </w:r>
    </w:p>
    <w:p w14:paraId="42B643C7" w14:textId="77777777" w:rsid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t xml:space="preserve">Growth in number of records and species in the Living Planet Database. </w:t>
      </w:r>
    </w:p>
    <w:p w14:paraId="6026E35A" w14:textId="77777777" w:rsid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t xml:space="preserve">Growth in species occurrence records accessible through the Global Biodiversity Information Facility. </w:t>
      </w:r>
    </w:p>
    <w:p w14:paraId="0E7D676C" w14:textId="77777777" w:rsid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t>Growth in occurrence records accessible through the Ocean Biodiversity Information System (OBIS).</w:t>
      </w:r>
    </w:p>
    <w:p w14:paraId="3C235ADA" w14:textId="77777777" w:rsid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t xml:space="preserve">Proportion of known species assessed through the IUCN Red List of Threatened Species. </w:t>
      </w:r>
    </w:p>
    <w:p w14:paraId="150B80FD" w14:textId="77777777" w:rsid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t xml:space="preserve">Number of assessments on the IUCN Red List of Threatened Species. </w:t>
      </w:r>
    </w:p>
    <w:p w14:paraId="6F5315DE" w14:textId="77777777" w:rsid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t>Number of assessments on the IUCN Red List of Ecosystems (</w:t>
      </w:r>
      <w:hyperlink r:id="rId504" w:history="1">
        <w:r w:rsidRPr="00EB53DE">
          <w:t>https://iucnrle.org/rle-in-progress</w:t>
        </w:r>
      </w:hyperlink>
      <w:r w:rsidRPr="00EB53DE">
        <w:rPr>
          <w:rFonts w:asciiTheme="majorBidi" w:hAnsiTheme="majorBidi" w:cstheme="majorBidi"/>
          <w:bCs/>
        </w:rPr>
        <w:t xml:space="preserve">). </w:t>
      </w:r>
    </w:p>
    <w:p w14:paraId="0348707F" w14:textId="77777777" w:rsid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t>World Association of Zoos and Aquariums (WAZA) bio-literacy survey (Biodiversity literacy in global zoo and aquarium visitors).</w:t>
      </w:r>
    </w:p>
    <w:p w14:paraId="1C912266" w14:textId="77777777" w:rsid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t xml:space="preserve">Essential Biodiversity Variable data sets freely available for use on the  </w:t>
      </w:r>
      <w:hyperlink r:id="rId505" w:history="1">
        <w:r w:rsidRPr="00EB53DE">
          <w:t xml:space="preserve">EBV data portal </w:t>
        </w:r>
      </w:hyperlink>
      <w:r w:rsidRPr="00EB53DE">
        <w:rPr>
          <w:rFonts w:asciiTheme="majorBidi" w:hAnsiTheme="majorBidi" w:cstheme="majorBidi"/>
          <w:bCs/>
        </w:rPr>
        <w:t xml:space="preserve">(GEO BON). These are classified by EBV class and geographic extent.  </w:t>
      </w:r>
    </w:p>
    <w:p w14:paraId="0FDFF298" w14:textId="74C3F4BE" w:rsidR="00C64461" w:rsidRPr="00EB53DE" w:rsidRDefault="00C64461" w:rsidP="00EB53DE">
      <w:pPr>
        <w:pStyle w:val="CBDNormalNumber"/>
        <w:numPr>
          <w:ilvl w:val="1"/>
          <w:numId w:val="503"/>
        </w:numPr>
        <w:shd w:val="clear" w:color="auto" w:fill="FFFFFF"/>
        <w:tabs>
          <w:tab w:val="clear" w:pos="1134"/>
          <w:tab w:val="clear" w:pos="1701"/>
        </w:tabs>
        <w:ind w:left="1701" w:firstLine="0"/>
        <w:rPr>
          <w:rFonts w:asciiTheme="majorBidi" w:hAnsiTheme="majorBidi" w:cstheme="majorBidi"/>
          <w:bCs/>
        </w:rPr>
      </w:pPr>
      <w:r w:rsidRPr="00EB53DE">
        <w:rPr>
          <w:rFonts w:asciiTheme="majorBidi" w:hAnsiTheme="majorBidi" w:cstheme="majorBidi"/>
          <w:bCs/>
        </w:rPr>
        <w:lastRenderedPageBreak/>
        <w:t>Growth in biodiversity observing and monitoring systems and technologies deployed.</w:t>
      </w:r>
    </w:p>
    <w:p w14:paraId="1D6A740F"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5c. Data collection method</w:t>
      </w:r>
    </w:p>
    <w:p w14:paraId="17F317D4" w14:textId="77777777" w:rsidR="00C64461" w:rsidRPr="001014B3" w:rsidRDefault="00C64461" w:rsidP="00060C6D">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For the aspects of this indicator related to other indicators in the monitoring framework, this could be automatically calculated based on what is submitted through the national reporting processes.</w:t>
      </w:r>
    </w:p>
    <w:p w14:paraId="63E5D237" w14:textId="77777777" w:rsidR="00C64461" w:rsidRPr="001014B3" w:rsidRDefault="00C64461" w:rsidP="00060C6D">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 xml:space="preserve">For the aspects of this indicator related to data which is captured in international databases (for example GBIF), the information on record counts is already currently available. This source of information can be used to assess the completeness and inclusiveness of monitoring processes, from data to collection to indicator production. </w:t>
      </w:r>
      <w:sdt>
        <w:sdtPr>
          <w:rPr>
            <w:rFonts w:asciiTheme="majorBidi" w:hAnsiTheme="majorBidi" w:cstheme="majorBidi"/>
            <w:bCs/>
          </w:rPr>
          <w:tag w:val="goog_rdk_266"/>
          <w:id w:val="-1736150659"/>
        </w:sdtPr>
        <w:sdtContent>
          <w:r w:rsidRPr="001014B3">
            <w:rPr>
              <w:rFonts w:asciiTheme="majorBidi" w:hAnsiTheme="majorBidi" w:cstheme="majorBidi"/>
              <w:bCs/>
            </w:rPr>
            <w:t>It also tracks the extent to which existing monitoring data is being shared into open data repositories using interoperable standards, enabling re-use and thus increasing availability of accessible data to support implementation of the GBF as required by Target 21.</w:t>
          </w:r>
        </w:sdtContent>
      </w:sdt>
    </w:p>
    <w:p w14:paraId="02BE7CA6"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5d. Accessibility of methodology</w:t>
      </w:r>
    </w:p>
    <w:p w14:paraId="60C098A9" w14:textId="77777777" w:rsidR="00C64461" w:rsidRPr="00036ED2" w:rsidRDefault="00C64461" w:rsidP="00EB53DE">
      <w:pPr>
        <w:pStyle w:val="CBDNormalNumber"/>
        <w:numPr>
          <w:ilvl w:val="0"/>
          <w:numId w:val="503"/>
        </w:numPr>
        <w:shd w:val="clear" w:color="auto" w:fill="FFFFFF"/>
        <w:tabs>
          <w:tab w:val="clear" w:pos="1701"/>
        </w:tabs>
        <w:ind w:left="567" w:firstLine="0"/>
        <w:rPr>
          <w:rFonts w:asciiTheme="majorBidi" w:hAnsiTheme="majorBidi" w:cstheme="majorBidi"/>
          <w:bCs/>
        </w:rPr>
      </w:pPr>
      <w:r w:rsidRPr="00036ED2">
        <w:rPr>
          <w:rFonts w:asciiTheme="majorBidi" w:hAnsiTheme="majorBidi" w:cstheme="majorBidi"/>
          <w:bCs/>
        </w:rPr>
        <w:t>The metadata and methodology for the elements of this indicator are fully public. The SSEI and SSI are available online.</w:t>
      </w:r>
    </w:p>
    <w:p w14:paraId="57AD799E"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5e. Data sources</w:t>
      </w:r>
    </w:p>
    <w:p w14:paraId="351F744C" w14:textId="77777777" w:rsidR="00C64461" w:rsidRPr="001014B3" w:rsidRDefault="00C64461" w:rsidP="00B06FDB">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The data sources are existing databases for biodiversity observation monitoring, community-based monitoring databases and biodiversity indicator databases.</w:t>
      </w:r>
    </w:p>
    <w:p w14:paraId="12BD4F8B"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5f. Availability and release calendar</w:t>
      </w:r>
    </w:p>
    <w:p w14:paraId="03A1495D" w14:textId="77777777" w:rsidR="00C64461" w:rsidRPr="001014B3" w:rsidRDefault="00C64461" w:rsidP="00E243B6">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This indicator would be included in the national reports and follow the release calendar for the 7</w:t>
      </w:r>
      <w:r w:rsidRPr="00E243B6">
        <w:rPr>
          <w:rFonts w:asciiTheme="majorBidi" w:hAnsiTheme="majorBidi" w:cstheme="majorBidi"/>
          <w:bCs/>
        </w:rPr>
        <w:t>th</w:t>
      </w:r>
      <w:r w:rsidRPr="001014B3">
        <w:rPr>
          <w:rFonts w:asciiTheme="majorBidi" w:hAnsiTheme="majorBidi" w:cstheme="majorBidi"/>
          <w:bCs/>
        </w:rPr>
        <w:t xml:space="preserve"> and 8</w:t>
      </w:r>
      <w:r w:rsidRPr="00E243B6">
        <w:rPr>
          <w:rFonts w:asciiTheme="majorBidi" w:hAnsiTheme="majorBidi" w:cstheme="majorBidi"/>
          <w:bCs/>
        </w:rPr>
        <w:t>th</w:t>
      </w:r>
      <w:r w:rsidRPr="001014B3">
        <w:rPr>
          <w:rFonts w:asciiTheme="majorBidi" w:hAnsiTheme="majorBidi" w:cstheme="majorBidi"/>
          <w:bCs/>
        </w:rPr>
        <w:t xml:space="preserve"> national reports.</w:t>
      </w:r>
    </w:p>
    <w:p w14:paraId="5D881B4C"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5g. Time series</w:t>
      </w:r>
    </w:p>
    <w:p w14:paraId="498C1A63" w14:textId="77777777" w:rsidR="00C64461" w:rsidRPr="001014B3" w:rsidRDefault="00C64461" w:rsidP="00CB4FD2">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 xml:space="preserve">Parties would be asked to report data from 2020 to the most recent year available. Additionally, it would be encouraged to go as far back as possible in time </w:t>
      </w:r>
      <w:proofErr w:type="gramStart"/>
      <w:r w:rsidRPr="001014B3">
        <w:rPr>
          <w:rFonts w:asciiTheme="majorBidi" w:hAnsiTheme="majorBidi" w:cstheme="majorBidi"/>
          <w:bCs/>
        </w:rPr>
        <w:t>in order to</w:t>
      </w:r>
      <w:proofErr w:type="gramEnd"/>
      <w:r w:rsidRPr="001014B3">
        <w:rPr>
          <w:rFonts w:asciiTheme="majorBidi" w:hAnsiTheme="majorBidi" w:cstheme="majorBidi"/>
          <w:bCs/>
        </w:rPr>
        <w:t xml:space="preserve"> see how monitoring systems are developing over time.</w:t>
      </w:r>
    </w:p>
    <w:p w14:paraId="1EDD1166"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5h. Data providers</w:t>
      </w:r>
    </w:p>
    <w:p w14:paraId="21F129D5" w14:textId="77777777" w:rsidR="00C64461" w:rsidRPr="001014B3" w:rsidRDefault="00C64461" w:rsidP="00532422">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National governments are the primary data provider. GEO BON, IIFB, GBIF, OBIS, IUCN and other organizations maintain information relevant to this indicator. However, this indicator would be reported through the national reporting process.</w:t>
      </w:r>
    </w:p>
    <w:p w14:paraId="3BDE9790"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5i. Data compilers</w:t>
      </w:r>
    </w:p>
    <w:p w14:paraId="65693837" w14:textId="77777777" w:rsidR="00C64461" w:rsidRPr="001014B3" w:rsidRDefault="00C64461" w:rsidP="00CB4FD2">
      <w:pPr>
        <w:numPr>
          <w:ilvl w:val="0"/>
          <w:numId w:val="503"/>
        </w:numPr>
        <w:ind w:left="1134" w:hanging="567"/>
        <w:rPr>
          <w:rFonts w:asciiTheme="majorBidi" w:hAnsiTheme="majorBidi" w:cstheme="majorBidi"/>
          <w:bCs/>
          <w:sz w:val="22"/>
          <w:szCs w:val="22"/>
          <w:lang w:val="en-GB"/>
        </w:rPr>
      </w:pPr>
      <w:r w:rsidRPr="001014B3">
        <w:rPr>
          <w:rFonts w:asciiTheme="majorBidi" w:hAnsiTheme="majorBidi" w:cstheme="majorBidi"/>
          <w:bCs/>
          <w:sz w:val="22"/>
          <w:szCs w:val="22"/>
          <w:lang w:val="en-GB"/>
        </w:rPr>
        <w:t>Countries, including subnational and local counterparts, are the data compilers.</w:t>
      </w:r>
    </w:p>
    <w:p w14:paraId="109E8C12"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5j. Gaps in data coverage</w:t>
      </w:r>
    </w:p>
    <w:p w14:paraId="2D704C35" w14:textId="77777777" w:rsidR="00C64461" w:rsidRPr="001014B3" w:rsidRDefault="00C64461" w:rsidP="00532422">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This indicator is currently being developed. It is expected that it could be operationalized in the 7</w:t>
      </w:r>
      <w:r w:rsidRPr="00532422">
        <w:rPr>
          <w:rFonts w:asciiTheme="majorBidi" w:hAnsiTheme="majorBidi" w:cstheme="majorBidi"/>
          <w:bCs/>
        </w:rPr>
        <w:t>th</w:t>
      </w:r>
      <w:r w:rsidRPr="001014B3">
        <w:rPr>
          <w:rFonts w:asciiTheme="majorBidi" w:hAnsiTheme="majorBidi" w:cstheme="majorBidi"/>
          <w:bCs/>
        </w:rPr>
        <w:t xml:space="preserve"> national report as the indicator will aim to capture gaps in monitoring systems. An overestimation of the gaps may occur, and this would reflect poor data flows between data collection on the ground and national governments.</w:t>
      </w:r>
    </w:p>
    <w:p w14:paraId="48285389"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5k. Treatment of missing values</w:t>
      </w:r>
    </w:p>
    <w:p w14:paraId="4E199725" w14:textId="77777777" w:rsidR="00C64461" w:rsidRPr="001014B3" w:rsidRDefault="00C64461" w:rsidP="00A85E4C">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Datasets may not be of adequate quality or coverage which represents important sources of uncertainty. This uncertainty can be assessed and addressed to guide the collection of better information. This indicator is assessing where there are missing values and thus this category does not apply.</w:t>
      </w:r>
    </w:p>
    <w:p w14:paraId="46C84141" w14:textId="77777777" w:rsidR="00C64461" w:rsidRPr="003276AA" w:rsidRDefault="00C64461" w:rsidP="003276AA">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3276AA">
        <w:rPr>
          <w:rStyle w:val="normaltextrun"/>
          <w:rFonts w:eastAsiaTheme="majorEastAsia"/>
          <w:b/>
          <w:bCs/>
          <w:lang w:val="en-GB"/>
        </w:rPr>
        <w:t>6. Scale</w:t>
      </w:r>
    </w:p>
    <w:p w14:paraId="0B7C3A26"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6a. Scale of use</w:t>
      </w:r>
    </w:p>
    <w:p w14:paraId="37CF8DFC" w14:textId="77777777" w:rsidR="00C64461" w:rsidRPr="001014B3" w:rsidRDefault="00C64461" w:rsidP="00A85E4C">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lastRenderedPageBreak/>
        <w:t>National, regional and global</w:t>
      </w:r>
    </w:p>
    <w:p w14:paraId="3086CFA5"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6b. National/regional indicator production</w:t>
      </w:r>
    </w:p>
    <w:p w14:paraId="3ED8B147" w14:textId="77777777" w:rsidR="00C64461" w:rsidRPr="001014B3" w:rsidRDefault="00C64461" w:rsidP="00106D72">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Data would primarily be compiled at the national level.</w:t>
      </w:r>
    </w:p>
    <w:p w14:paraId="1A15BD72"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6c. Sources of differences between global and national figures</w:t>
      </w:r>
    </w:p>
    <w:p w14:paraId="4F119149" w14:textId="77777777" w:rsidR="00C64461" w:rsidRPr="001014B3" w:rsidRDefault="00C64461" w:rsidP="00106D72">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In some cases, data may flow to the global level without flowing to the national level or vice versa. This could create discrepancies between the global and national figures. Identifying and resolving discrepancies would help make progress toward Target 21.</w:t>
      </w:r>
    </w:p>
    <w:p w14:paraId="6FFF734F"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6d. Regional and global estimates &amp; data collection for global monitoring</w:t>
      </w:r>
    </w:p>
    <w:p w14:paraId="35F79D14" w14:textId="77777777" w:rsidR="00C64461" w:rsidRPr="001014B3" w:rsidRDefault="00C64461" w:rsidP="00CB14E1">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 xml:space="preserve">As GEO BON, IIFB, GBIF, IUCN and other organizations maintain biodiversity information these organizations would be </w:t>
      </w:r>
      <w:proofErr w:type="gramStart"/>
      <w:r w:rsidRPr="001014B3">
        <w:rPr>
          <w:rFonts w:asciiTheme="majorBidi" w:hAnsiTheme="majorBidi" w:cstheme="majorBidi"/>
          <w:bCs/>
        </w:rPr>
        <w:t>in a position</w:t>
      </w:r>
      <w:proofErr w:type="gramEnd"/>
      <w:r w:rsidRPr="001014B3">
        <w:rPr>
          <w:rFonts w:asciiTheme="majorBidi" w:hAnsiTheme="majorBidi" w:cstheme="majorBidi"/>
          <w:bCs/>
        </w:rPr>
        <w:t xml:space="preserve"> to provide regional and global data on this indicator which Parties could choose to use, where relevant.</w:t>
      </w:r>
    </w:p>
    <w:p w14:paraId="7751DA02" w14:textId="77777777" w:rsidR="00C64461" w:rsidRPr="003276AA" w:rsidRDefault="00C64461" w:rsidP="003276AA">
      <w:pPr>
        <w:pStyle w:val="paragraph"/>
        <w:pBdr>
          <w:bottom w:val="single" w:sz="4" w:space="1" w:color="000000"/>
        </w:pBdr>
        <w:spacing w:before="0" w:beforeAutospacing="0" w:after="0" w:afterAutospacing="0"/>
        <w:textAlignment w:val="baseline"/>
        <w:rPr>
          <w:rStyle w:val="normaltextrun"/>
          <w:rFonts w:eastAsiaTheme="majorEastAsia"/>
          <w:b/>
          <w:lang w:val="en-GB"/>
        </w:rPr>
      </w:pPr>
      <w:r w:rsidRPr="003276AA">
        <w:rPr>
          <w:rStyle w:val="normaltextrun"/>
          <w:rFonts w:eastAsiaTheme="majorEastAsia"/>
          <w:b/>
          <w:lang w:val="en-GB"/>
        </w:rPr>
        <w:t>7. Other MEAs, processes and organizations</w:t>
      </w:r>
    </w:p>
    <w:p w14:paraId="659533EF" w14:textId="2940E0B7" w:rsidR="00DE6557" w:rsidRDefault="00C64461" w:rsidP="00DE6557">
      <w:pPr>
        <w:pStyle w:val="CBDNormalNumber"/>
        <w:numPr>
          <w:ilvl w:val="0"/>
          <w:numId w:val="503"/>
        </w:numPr>
        <w:shd w:val="clear" w:color="auto" w:fill="FFFFFF"/>
        <w:tabs>
          <w:tab w:val="clear" w:pos="1701"/>
        </w:tabs>
        <w:ind w:left="567" w:firstLine="0"/>
        <w:rPr>
          <w:rFonts w:asciiTheme="majorBidi" w:hAnsiTheme="majorBidi" w:cstheme="majorBidi"/>
          <w:b/>
          <w:bCs/>
        </w:rPr>
      </w:pPr>
      <w:r w:rsidRPr="001014B3">
        <w:rPr>
          <w:rFonts w:asciiTheme="majorBidi" w:hAnsiTheme="majorBidi" w:cstheme="majorBidi"/>
          <w:bCs/>
        </w:rPr>
        <w:t xml:space="preserve">This indicator is relevant for all the biodiversity MEAs as it could inform </w:t>
      </w:r>
      <w:proofErr w:type="gramStart"/>
      <w:r w:rsidRPr="001014B3">
        <w:rPr>
          <w:rFonts w:asciiTheme="majorBidi" w:hAnsiTheme="majorBidi" w:cstheme="majorBidi"/>
          <w:bCs/>
        </w:rPr>
        <w:t>where</w:t>
      </w:r>
      <w:proofErr w:type="gramEnd"/>
      <w:r w:rsidRPr="001014B3">
        <w:rPr>
          <w:rFonts w:asciiTheme="majorBidi" w:hAnsiTheme="majorBidi" w:cstheme="majorBidi"/>
          <w:bCs/>
        </w:rPr>
        <w:t xml:space="preserve"> information </w:t>
      </w:r>
    </w:p>
    <w:p w14:paraId="7B048282" w14:textId="7D292FBF" w:rsidR="00C64461" w:rsidRPr="003276AA" w:rsidRDefault="003276AA" w:rsidP="003276AA">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Pr>
          <w:rStyle w:val="normaltextrun"/>
          <w:rFonts w:eastAsiaTheme="majorEastAsia"/>
          <w:b/>
          <w:bCs/>
          <w:lang w:val="en-GB"/>
        </w:rPr>
        <w:t xml:space="preserve">8. </w:t>
      </w:r>
      <w:r w:rsidR="00C64461" w:rsidRPr="003276AA">
        <w:rPr>
          <w:rStyle w:val="normaltextrun"/>
          <w:rFonts w:eastAsiaTheme="majorEastAsia"/>
          <w:b/>
          <w:bCs/>
          <w:lang w:val="en-GB"/>
        </w:rPr>
        <w:t>Disaggregation</w:t>
      </w:r>
    </w:p>
    <w:p w14:paraId="770FAAF0" w14:textId="77777777" w:rsidR="00C64461" w:rsidRPr="001014B3" w:rsidRDefault="00C64461" w:rsidP="00C64461">
      <w:pPr>
        <w:rPr>
          <w:rFonts w:asciiTheme="majorBidi" w:hAnsiTheme="majorBidi" w:cstheme="majorBidi"/>
          <w:sz w:val="22"/>
          <w:szCs w:val="22"/>
          <w:lang w:val="en-GB"/>
        </w:rPr>
      </w:pPr>
    </w:p>
    <w:p w14:paraId="2F1DA0D1" w14:textId="29D656A9" w:rsidR="00C64461" w:rsidRPr="003276AA" w:rsidRDefault="003276AA" w:rsidP="003276AA">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Pr>
          <w:rStyle w:val="normaltextrun"/>
          <w:rFonts w:eastAsiaTheme="majorEastAsia"/>
          <w:b/>
          <w:bCs/>
          <w:lang w:val="en-GB"/>
        </w:rPr>
        <w:t xml:space="preserve">9. </w:t>
      </w:r>
      <w:r w:rsidR="00C64461" w:rsidRPr="003276AA">
        <w:rPr>
          <w:rStyle w:val="normaltextrun"/>
          <w:rFonts w:eastAsiaTheme="majorEastAsia"/>
          <w:b/>
          <w:bCs/>
          <w:lang w:val="en-GB"/>
        </w:rPr>
        <w:t>Related goals, targets and indicators</w:t>
      </w:r>
    </w:p>
    <w:p w14:paraId="1EAF2D7F" w14:textId="77777777" w:rsidR="00C64461" w:rsidRPr="001014B3" w:rsidRDefault="00C64461" w:rsidP="00C64461">
      <w:pPr>
        <w:rPr>
          <w:rFonts w:asciiTheme="majorBidi" w:hAnsiTheme="majorBidi" w:cstheme="majorBidi"/>
          <w:bCs/>
          <w:sz w:val="22"/>
          <w:szCs w:val="22"/>
          <w:lang w:val="en-GB"/>
        </w:rPr>
      </w:pPr>
    </w:p>
    <w:p w14:paraId="4171241F" w14:textId="77777777" w:rsidR="00C64461" w:rsidRPr="003276AA" w:rsidRDefault="00C64461" w:rsidP="003276AA">
      <w:pPr>
        <w:pStyle w:val="paragraph"/>
        <w:pBdr>
          <w:bottom w:val="single" w:sz="4" w:space="1" w:color="000000"/>
        </w:pBdr>
        <w:spacing w:before="0" w:beforeAutospacing="0" w:after="0" w:afterAutospacing="0"/>
        <w:textAlignment w:val="baseline"/>
        <w:rPr>
          <w:rStyle w:val="normaltextrun"/>
          <w:rFonts w:eastAsiaTheme="majorEastAsia"/>
          <w:b/>
          <w:bCs/>
          <w:lang w:val="en-GB"/>
        </w:rPr>
      </w:pPr>
      <w:r w:rsidRPr="003276AA">
        <w:rPr>
          <w:rStyle w:val="normaltextrun"/>
          <w:rFonts w:eastAsiaTheme="majorEastAsia"/>
          <w:b/>
          <w:bCs/>
          <w:lang w:val="en-GB"/>
        </w:rPr>
        <w:t>10. Data reporter</w:t>
      </w:r>
    </w:p>
    <w:p w14:paraId="2C83A1F0"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10a. Organization</w:t>
      </w:r>
    </w:p>
    <w:p w14:paraId="50E84483" w14:textId="77777777" w:rsidR="00C64461" w:rsidRPr="001014B3" w:rsidRDefault="00C64461" w:rsidP="00DE6557">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 xml:space="preserve">Guidelines for indicator development are being prepared by GEO BON, with other partner organizations and groups (GBIF, OBIS, IUCN, IIFB, Birdlife and research centres and universities). </w:t>
      </w:r>
    </w:p>
    <w:p w14:paraId="799924A3" w14:textId="77777777" w:rsidR="00C64461" w:rsidRPr="001014B3" w:rsidRDefault="00C64461" w:rsidP="00DE6557">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Secretariat of the Convention on Biological Diversity (SCBD)</w:t>
      </w:r>
    </w:p>
    <w:p w14:paraId="031F7342" w14:textId="77777777" w:rsidR="00C64461" w:rsidRPr="001014B3" w:rsidRDefault="00C64461" w:rsidP="00DE6557">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Group on Earth Observations Biodiversity Observation Network (GEO BON)</w:t>
      </w:r>
    </w:p>
    <w:p w14:paraId="68957022" w14:textId="77777777" w:rsidR="00C64461" w:rsidRPr="001014B3" w:rsidRDefault="00C64461" w:rsidP="00C64461">
      <w:pPr>
        <w:rPr>
          <w:rFonts w:asciiTheme="majorBidi" w:hAnsiTheme="majorBidi" w:cstheme="majorBidi"/>
          <w:b/>
          <w:sz w:val="22"/>
          <w:szCs w:val="22"/>
          <w:lang w:val="en-GB"/>
        </w:rPr>
      </w:pPr>
      <w:r w:rsidRPr="001014B3">
        <w:rPr>
          <w:rFonts w:asciiTheme="majorBidi" w:hAnsiTheme="majorBidi" w:cstheme="majorBidi"/>
          <w:b/>
          <w:sz w:val="22"/>
          <w:szCs w:val="22"/>
          <w:lang w:val="en-GB"/>
        </w:rPr>
        <w:t>10b. Contact person(s)</w:t>
      </w:r>
    </w:p>
    <w:p w14:paraId="65D1ECD1" w14:textId="77777777" w:rsidR="00E91825"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Andrew Gonzalez (</w:t>
      </w:r>
      <w:hyperlink r:id="rId506" w:history="1">
        <w:r w:rsidRPr="001014B3">
          <w:rPr>
            <w:rStyle w:val="Hyperlink"/>
            <w:rFonts w:asciiTheme="majorBidi" w:hAnsiTheme="majorBidi" w:cstheme="majorBidi"/>
            <w:bCs/>
            <w:sz w:val="22"/>
            <w:szCs w:val="22"/>
            <w:lang w:val="en-GB"/>
          </w:rPr>
          <w:t>andrew.gonzalez@mcgill.ca</w:t>
        </w:r>
      </w:hyperlink>
      <w:r w:rsidRPr="001014B3">
        <w:rPr>
          <w:rFonts w:asciiTheme="majorBidi" w:hAnsiTheme="majorBidi" w:cstheme="majorBidi"/>
          <w:bCs/>
          <w:sz w:val="22"/>
          <w:szCs w:val="22"/>
          <w:lang w:val="en-GB"/>
        </w:rPr>
        <w:t xml:space="preserve">), GEO BON; </w:t>
      </w:r>
    </w:p>
    <w:p w14:paraId="47FBBB4B" w14:textId="2EC8BB9B" w:rsidR="00C64461" w:rsidRPr="001014B3" w:rsidRDefault="00C64461" w:rsidP="00C64461">
      <w:pPr>
        <w:rPr>
          <w:rFonts w:asciiTheme="majorBidi" w:hAnsiTheme="majorBidi" w:cstheme="majorBidi"/>
          <w:bCs/>
          <w:sz w:val="22"/>
          <w:szCs w:val="22"/>
          <w:lang w:val="en-GB"/>
        </w:rPr>
      </w:pPr>
      <w:r w:rsidRPr="001014B3">
        <w:rPr>
          <w:rFonts w:asciiTheme="majorBidi" w:hAnsiTheme="majorBidi" w:cstheme="majorBidi"/>
          <w:bCs/>
          <w:sz w:val="22"/>
          <w:szCs w:val="22"/>
          <w:lang w:val="en-GB"/>
        </w:rPr>
        <w:t>Jillian Campbell (</w:t>
      </w:r>
      <w:hyperlink r:id="rId507" w:history="1">
        <w:r w:rsidRPr="001014B3">
          <w:rPr>
            <w:rStyle w:val="Hyperlink"/>
            <w:rFonts w:asciiTheme="majorBidi" w:hAnsiTheme="majorBidi" w:cstheme="majorBidi"/>
            <w:bCs/>
            <w:sz w:val="22"/>
            <w:szCs w:val="22"/>
            <w:lang w:val="en-GB"/>
          </w:rPr>
          <w:t>campbell7@un.org</w:t>
        </w:r>
      </w:hyperlink>
      <w:r w:rsidRPr="001014B3">
        <w:rPr>
          <w:rFonts w:asciiTheme="majorBidi" w:hAnsiTheme="majorBidi" w:cstheme="majorBidi"/>
          <w:bCs/>
          <w:sz w:val="22"/>
          <w:szCs w:val="22"/>
          <w:lang w:val="en-GB"/>
        </w:rPr>
        <w:t>, SCBD)</w:t>
      </w:r>
    </w:p>
    <w:p w14:paraId="0D69E633" w14:textId="77777777" w:rsidR="00E91825" w:rsidRDefault="00E91825" w:rsidP="00C64461">
      <w:pPr>
        <w:rPr>
          <w:rFonts w:asciiTheme="majorBidi" w:hAnsiTheme="majorBidi" w:cstheme="majorBidi"/>
          <w:b/>
          <w:bCs/>
          <w:sz w:val="22"/>
          <w:szCs w:val="22"/>
        </w:rPr>
      </w:pPr>
    </w:p>
    <w:p w14:paraId="1F4D0F27" w14:textId="3B8F8EE6" w:rsidR="00C64461" w:rsidRPr="001014B3" w:rsidRDefault="00C64461" w:rsidP="00C64461">
      <w:pPr>
        <w:rPr>
          <w:rFonts w:asciiTheme="majorBidi" w:hAnsiTheme="majorBidi" w:cstheme="majorBidi"/>
          <w:b/>
          <w:bCs/>
          <w:sz w:val="22"/>
          <w:szCs w:val="22"/>
        </w:rPr>
      </w:pPr>
      <w:r w:rsidRPr="00812871">
        <w:rPr>
          <w:rFonts w:asciiTheme="majorBidi" w:hAnsiTheme="majorBidi" w:cstheme="majorBidi"/>
          <w:b/>
          <w:bCs/>
          <w:sz w:val="22"/>
          <w:szCs w:val="22"/>
        </w:rPr>
        <w:t>References</w:t>
      </w:r>
    </w:p>
    <w:p w14:paraId="6A4B1C03" w14:textId="77777777" w:rsidR="00C64461" w:rsidRPr="00E91825" w:rsidRDefault="00C64461" w:rsidP="00E91825">
      <w:pPr>
        <w:pStyle w:val="CBDNormalNumber"/>
        <w:numPr>
          <w:ilvl w:val="0"/>
          <w:numId w:val="503"/>
        </w:numPr>
        <w:shd w:val="clear" w:color="auto" w:fill="FFFFFF"/>
        <w:tabs>
          <w:tab w:val="clear" w:pos="1701"/>
        </w:tabs>
        <w:ind w:left="567" w:firstLine="0"/>
        <w:rPr>
          <w:rFonts w:asciiTheme="majorBidi" w:hAnsiTheme="majorBidi" w:cstheme="majorBidi"/>
          <w:bCs/>
        </w:rPr>
      </w:pPr>
      <w:r w:rsidRPr="00812871">
        <w:rPr>
          <w:rFonts w:asciiTheme="majorBidi" w:hAnsiTheme="majorBidi" w:cstheme="majorBidi"/>
          <w:bCs/>
          <w:lang w:val="fr-FR"/>
        </w:rPr>
        <w:t xml:space="preserve">Ferrari, M. F. F. et al. </w:t>
      </w:r>
      <w:r w:rsidRPr="001014B3">
        <w:rPr>
          <w:rFonts w:asciiTheme="majorBidi" w:hAnsiTheme="majorBidi" w:cstheme="majorBidi"/>
          <w:bCs/>
        </w:rPr>
        <w:t>(2015) Community-based monitoring and information systems (CBMIS) in the context of the Convention on Biological Diversity (CBD). Biodiversity 16: 57-67.</w:t>
      </w:r>
    </w:p>
    <w:p w14:paraId="5E7E9EEA" w14:textId="77777777" w:rsidR="00C64461" w:rsidRPr="001014B3" w:rsidRDefault="00C64461" w:rsidP="00E91825">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 xml:space="preserve">Ferrier, S. et al. (2007) Using generalized dissimilarity modelling to analyse and predict patterns of beta diversity in regional biodiversity assessment. Diversity and Distributions, 13: 252-264. https://doi.org/10.1111/j.1472-4642.2007.00341.x  </w:t>
      </w:r>
    </w:p>
    <w:p w14:paraId="3AA37291" w14:textId="77777777" w:rsidR="00C64461" w:rsidRPr="001014B3" w:rsidRDefault="00C64461" w:rsidP="00E91825">
      <w:pPr>
        <w:pStyle w:val="CBDNormalNumber"/>
        <w:numPr>
          <w:ilvl w:val="0"/>
          <w:numId w:val="503"/>
        </w:numPr>
        <w:shd w:val="clear" w:color="auto" w:fill="FFFFFF"/>
        <w:tabs>
          <w:tab w:val="clear" w:pos="1701"/>
        </w:tabs>
        <w:ind w:left="567" w:firstLine="0"/>
        <w:rPr>
          <w:rFonts w:asciiTheme="majorBidi" w:hAnsiTheme="majorBidi" w:cstheme="majorBidi"/>
          <w:bCs/>
        </w:rPr>
      </w:pPr>
      <w:r w:rsidRPr="00812871">
        <w:rPr>
          <w:rFonts w:asciiTheme="majorBidi" w:hAnsiTheme="majorBidi" w:cstheme="majorBidi"/>
          <w:bCs/>
          <w:lang w:val="fr-FR"/>
        </w:rPr>
        <w:t xml:space="preserve">Funk, V. A. et al. </w:t>
      </w:r>
      <w:r w:rsidRPr="001014B3">
        <w:rPr>
          <w:rFonts w:asciiTheme="majorBidi" w:hAnsiTheme="majorBidi" w:cstheme="majorBidi"/>
          <w:bCs/>
        </w:rPr>
        <w:t>(2005) Survey-gap analysis in expeditionary research: where do we go from here? Biological Journal for the Linnean Society 85: 549-567.</w:t>
      </w:r>
    </w:p>
    <w:p w14:paraId="2B6EEC4F" w14:textId="77777777" w:rsidR="00C64461" w:rsidRPr="001014B3" w:rsidRDefault="00C64461" w:rsidP="00E91825">
      <w:pPr>
        <w:pStyle w:val="CBDNormalNumber"/>
        <w:numPr>
          <w:ilvl w:val="0"/>
          <w:numId w:val="503"/>
        </w:numPr>
        <w:shd w:val="clear" w:color="auto" w:fill="FFFFFF"/>
        <w:tabs>
          <w:tab w:val="clear" w:pos="1701"/>
        </w:tabs>
        <w:ind w:left="567" w:firstLine="0"/>
        <w:rPr>
          <w:rFonts w:asciiTheme="majorBidi" w:hAnsiTheme="majorBidi" w:cstheme="majorBidi"/>
          <w:bCs/>
        </w:rPr>
      </w:pPr>
      <w:r w:rsidRPr="001014B3">
        <w:rPr>
          <w:rFonts w:asciiTheme="majorBidi" w:hAnsiTheme="majorBidi" w:cstheme="majorBidi"/>
          <w:bCs/>
        </w:rPr>
        <w:t>Leung, B. and Gonzalez, A (2024) Global monitoring for biodiversity: Uncertainty, risk, and power analyses to support trend change detection. Science Advances 10: eadj1448</w:t>
      </w:r>
    </w:p>
    <w:p w14:paraId="596C5F0D" w14:textId="77777777" w:rsidR="00C64461" w:rsidRPr="001014B3" w:rsidRDefault="00C64461" w:rsidP="00E91825">
      <w:pPr>
        <w:pStyle w:val="CBDNormalNumber"/>
        <w:numPr>
          <w:ilvl w:val="0"/>
          <w:numId w:val="503"/>
        </w:numPr>
        <w:shd w:val="clear" w:color="auto" w:fill="FFFFFF"/>
        <w:tabs>
          <w:tab w:val="clear" w:pos="1701"/>
        </w:tabs>
        <w:ind w:left="567" w:firstLine="0"/>
        <w:rPr>
          <w:rFonts w:asciiTheme="majorBidi" w:hAnsiTheme="majorBidi" w:cstheme="majorBidi"/>
          <w:bCs/>
        </w:rPr>
      </w:pPr>
      <w:proofErr w:type="spellStart"/>
      <w:r w:rsidRPr="001014B3">
        <w:rPr>
          <w:rFonts w:asciiTheme="majorBidi" w:hAnsiTheme="majorBidi" w:cstheme="majorBidi"/>
          <w:bCs/>
        </w:rPr>
        <w:t>Moussy</w:t>
      </w:r>
      <w:proofErr w:type="spellEnd"/>
      <w:r w:rsidRPr="001014B3">
        <w:rPr>
          <w:rFonts w:asciiTheme="majorBidi" w:hAnsiTheme="majorBidi" w:cstheme="majorBidi"/>
          <w:bCs/>
        </w:rPr>
        <w:t xml:space="preserve"> et al. (2022) A quantitative global review of species population monitoring. Conservation Biology 36: e13721</w:t>
      </w:r>
    </w:p>
    <w:p w14:paraId="2D875316" w14:textId="77777777" w:rsidR="00C64461" w:rsidRPr="001014B3" w:rsidRDefault="00C64461" w:rsidP="00E91825">
      <w:pPr>
        <w:pStyle w:val="CBDNormalNumber"/>
        <w:numPr>
          <w:ilvl w:val="0"/>
          <w:numId w:val="503"/>
        </w:numPr>
        <w:shd w:val="clear" w:color="auto" w:fill="FFFFFF"/>
        <w:tabs>
          <w:tab w:val="clear" w:pos="1701"/>
        </w:tabs>
        <w:ind w:left="567" w:firstLine="0"/>
        <w:rPr>
          <w:rFonts w:asciiTheme="majorBidi" w:hAnsiTheme="majorBidi" w:cstheme="majorBidi"/>
          <w:bCs/>
        </w:rPr>
      </w:pPr>
      <w:r w:rsidRPr="00812871">
        <w:rPr>
          <w:rFonts w:asciiTheme="majorBidi" w:hAnsiTheme="majorBidi" w:cstheme="majorBidi"/>
          <w:bCs/>
          <w:lang w:val="fr-FR"/>
        </w:rPr>
        <w:t xml:space="preserve">Oliver, R. Y. et al. </w:t>
      </w:r>
      <w:r w:rsidRPr="001014B3">
        <w:rPr>
          <w:rFonts w:asciiTheme="majorBidi" w:hAnsiTheme="majorBidi" w:cstheme="majorBidi"/>
          <w:bCs/>
        </w:rPr>
        <w:t>(2021). Global and national trends, gaps, and opportunities in documenting and monitoring species distributions [Data set]. PLOS Biology. https://doi.org/10.48600/MOL-3Y3Z-DW77</w:t>
      </w:r>
    </w:p>
    <w:p w14:paraId="587158F8" w14:textId="3B8B32E8" w:rsidR="00170FCB" w:rsidRDefault="00170FCB">
      <w:pPr>
        <w:rPr>
          <w:rStyle w:val="normaltextrun"/>
        </w:rPr>
      </w:pPr>
      <w:r>
        <w:rPr>
          <w:rStyle w:val="normaltextrun"/>
        </w:rPr>
        <w:br w:type="page"/>
      </w:r>
    </w:p>
    <w:p w14:paraId="0D516DC7" w14:textId="63CC62FC" w:rsidR="00AD75B1" w:rsidRPr="00812871" w:rsidRDefault="004B733B" w:rsidP="00812871">
      <w:pPr>
        <w:pStyle w:val="Heading3"/>
        <w:rPr>
          <w:rStyle w:val="normaltextrun"/>
        </w:rPr>
      </w:pPr>
      <w:bookmarkStart w:id="80" w:name="_Toc233278592"/>
      <w:r w:rsidRPr="004B733B">
        <w:rPr>
          <w:rStyle w:val="normaltextrun"/>
        </w:rPr>
        <w:lastRenderedPageBreak/>
        <w:t>22.1 Land-use change and land tenure in the traditional territories of indigenous peoples and local communities</w:t>
      </w:r>
      <w:bookmarkEnd w:id="80"/>
    </w:p>
    <w:p w14:paraId="014C60F5" w14:textId="77777777" w:rsidR="003276AA" w:rsidRDefault="003276AA" w:rsidP="00552F57">
      <w:pPr>
        <w:pStyle w:val="paragraph"/>
        <w:pBdr>
          <w:bottom w:val="single" w:sz="4" w:space="1" w:color="000000"/>
        </w:pBdr>
        <w:spacing w:before="0" w:beforeAutospacing="0" w:after="0" w:afterAutospacing="0"/>
        <w:textAlignment w:val="baseline"/>
        <w:rPr>
          <w:rStyle w:val="normaltextrun"/>
          <w:rFonts w:eastAsiaTheme="majorEastAsia"/>
          <w:b/>
          <w:bCs/>
          <w:lang w:val="en-GB"/>
        </w:rPr>
      </w:pPr>
    </w:p>
    <w:p w14:paraId="7C5C2347" w14:textId="3C757669" w:rsidR="00552F57" w:rsidRPr="003276AA" w:rsidRDefault="00552F57" w:rsidP="00552F57">
      <w:pPr>
        <w:pStyle w:val="paragraph"/>
        <w:pBdr>
          <w:bottom w:val="single" w:sz="4" w:space="1" w:color="000000"/>
        </w:pBdr>
        <w:spacing w:before="0" w:beforeAutospacing="0" w:after="0" w:afterAutospacing="0"/>
        <w:textAlignment w:val="baseline"/>
        <w:rPr>
          <w:rStyle w:val="normaltextrun"/>
          <w:rFonts w:eastAsiaTheme="majorEastAsia"/>
          <w:b/>
          <w:lang w:val="en-GB"/>
        </w:rPr>
      </w:pPr>
      <w:r w:rsidRPr="003276AA">
        <w:rPr>
          <w:rStyle w:val="normaltextrun"/>
          <w:rFonts w:eastAsiaTheme="majorEastAsia"/>
          <w:b/>
          <w:lang w:val="en-GB"/>
        </w:rPr>
        <w:t>1. Indicator name  </w:t>
      </w:r>
    </w:p>
    <w:p w14:paraId="12C38B15" w14:textId="77777777" w:rsidR="00A47BF6" w:rsidRDefault="00A47BF6"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p>
    <w:p w14:paraId="710EF0D8" w14:textId="6EA9660A" w:rsidR="00A47BF6" w:rsidRPr="00A47BF6" w:rsidRDefault="00A47BF6" w:rsidP="00A47BF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A47BF6">
        <w:rPr>
          <w:rFonts w:asciiTheme="majorBidi" w:hAnsiTheme="majorBidi" w:cstheme="majorBidi"/>
          <w:sz w:val="22"/>
          <w:szCs w:val="22"/>
        </w:rPr>
        <w:t>Land-use change and land tenure in the traditional territories of Indigenous Peoples and local communities</w:t>
      </w:r>
    </w:p>
    <w:p w14:paraId="1BBC2C9E" w14:textId="77777777" w:rsidR="00A47BF6" w:rsidRDefault="00A47BF6" w:rsidP="00552F57">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7C0CE4DA" w14:textId="72BB6FC7" w:rsidR="00552F57" w:rsidRPr="00F459FC"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F459FC">
        <w:rPr>
          <w:rStyle w:val="normaltextrun"/>
          <w:rFonts w:asciiTheme="majorBidi" w:eastAsiaTheme="majorEastAsia" w:hAnsiTheme="majorBidi" w:cstheme="majorBidi"/>
          <w:b/>
          <w:bCs/>
          <w:sz w:val="22"/>
          <w:szCs w:val="22"/>
          <w:lang w:val="en-GB"/>
        </w:rPr>
        <w:t>2. Date of metadata update  </w:t>
      </w:r>
      <w:r w:rsidRPr="00F459FC">
        <w:rPr>
          <w:rStyle w:val="eop"/>
          <w:rFonts w:asciiTheme="majorBidi" w:eastAsiaTheme="majorEastAsia" w:hAnsiTheme="majorBidi" w:cstheme="majorBidi"/>
          <w:b/>
          <w:bCs/>
          <w:sz w:val="22"/>
          <w:szCs w:val="22"/>
        </w:rPr>
        <w:t> </w:t>
      </w:r>
    </w:p>
    <w:p w14:paraId="15B474FC" w14:textId="6BA7A3BD" w:rsidR="00552F57" w:rsidRPr="00F459FC" w:rsidRDefault="00E75DE7" w:rsidP="00552F57">
      <w:pPr>
        <w:pStyle w:val="paragraph"/>
        <w:spacing w:before="0" w:beforeAutospacing="0" w:after="0" w:afterAutospacing="0"/>
        <w:textAlignment w:val="baseline"/>
        <w:rPr>
          <w:rFonts w:asciiTheme="majorBidi" w:hAnsiTheme="majorBidi" w:cstheme="majorBidi"/>
          <w:sz w:val="22"/>
          <w:szCs w:val="22"/>
        </w:rPr>
      </w:pPr>
      <w:r w:rsidRPr="00F459FC">
        <w:rPr>
          <w:rStyle w:val="normaltextrun"/>
          <w:rFonts w:asciiTheme="majorBidi" w:eastAsiaTheme="majorEastAsia" w:hAnsiTheme="majorBidi" w:cstheme="majorBidi"/>
          <w:sz w:val="22"/>
          <w:szCs w:val="22"/>
          <w:lang w:val="en-GB"/>
        </w:rPr>
        <w:t>March</w:t>
      </w:r>
      <w:r w:rsidR="00552F57" w:rsidRPr="00F459FC">
        <w:rPr>
          <w:rStyle w:val="normaltextrun"/>
          <w:rFonts w:asciiTheme="majorBidi" w:eastAsiaTheme="majorEastAsia" w:hAnsiTheme="majorBidi" w:cstheme="majorBidi"/>
          <w:sz w:val="22"/>
          <w:szCs w:val="22"/>
          <w:lang w:val="en-GB"/>
        </w:rPr>
        <w:t xml:space="preserve"> 202</w:t>
      </w:r>
      <w:r w:rsidR="00552F57" w:rsidRPr="00F459FC">
        <w:rPr>
          <w:rStyle w:val="eop"/>
          <w:rFonts w:asciiTheme="majorBidi" w:eastAsiaTheme="majorEastAsia" w:hAnsiTheme="majorBidi" w:cstheme="majorBidi"/>
          <w:sz w:val="22"/>
          <w:szCs w:val="22"/>
        </w:rPr>
        <w:t>6</w:t>
      </w:r>
    </w:p>
    <w:p w14:paraId="25CF083B" w14:textId="77777777" w:rsidR="003276AA" w:rsidRDefault="003276AA"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0E5D6AAF" w14:textId="7B707F42" w:rsidR="00552F57" w:rsidRPr="003276AA" w:rsidRDefault="00552F57" w:rsidP="003276AA">
      <w:pPr>
        <w:pStyle w:val="paragraph"/>
        <w:pBdr>
          <w:bottom w:val="single" w:sz="4" w:space="1" w:color="000000"/>
        </w:pBdr>
        <w:spacing w:before="0" w:beforeAutospacing="0" w:after="0" w:afterAutospacing="0"/>
        <w:textAlignment w:val="baseline"/>
        <w:rPr>
          <w:rStyle w:val="eop"/>
          <w:rFonts w:asciiTheme="majorBidi" w:hAnsiTheme="majorBidi" w:cstheme="majorBidi"/>
          <w:b/>
          <w:bCs/>
          <w:sz w:val="22"/>
          <w:szCs w:val="22"/>
        </w:rPr>
      </w:pPr>
      <w:r w:rsidRPr="00F459FC">
        <w:rPr>
          <w:rStyle w:val="normaltextrun"/>
          <w:rFonts w:asciiTheme="majorBidi" w:eastAsiaTheme="majorEastAsia" w:hAnsiTheme="majorBidi" w:cstheme="majorBidi"/>
          <w:b/>
          <w:bCs/>
          <w:sz w:val="22"/>
          <w:szCs w:val="22"/>
          <w:lang w:val="en-GB"/>
        </w:rPr>
        <w:t>3. Goals and Targets addressed</w:t>
      </w:r>
      <w:r w:rsidRPr="00F459FC">
        <w:rPr>
          <w:rStyle w:val="eop"/>
          <w:rFonts w:asciiTheme="majorBidi" w:eastAsiaTheme="majorEastAsia" w:hAnsiTheme="majorBidi" w:cstheme="majorBidi"/>
          <w:b/>
          <w:bCs/>
          <w:sz w:val="22"/>
          <w:szCs w:val="22"/>
        </w:rPr>
        <w:t> </w:t>
      </w:r>
      <w:r w:rsidR="008B2F8C" w:rsidRPr="00F459FC">
        <w:rPr>
          <w:rStyle w:val="eop"/>
          <w:rFonts w:asciiTheme="majorBidi" w:eastAsiaTheme="majorEastAsia" w:hAnsiTheme="majorBidi" w:cstheme="majorBidi"/>
          <w:b/>
          <w:bCs/>
          <w:sz w:val="22"/>
          <w:szCs w:val="22"/>
        </w:rPr>
        <w:tab/>
      </w:r>
    </w:p>
    <w:p w14:paraId="26DCD055" w14:textId="77777777" w:rsidR="003276AA" w:rsidRDefault="003276AA" w:rsidP="00126B7E">
      <w:pPr>
        <w:pBdr>
          <w:top w:val="nil"/>
          <w:left w:val="nil"/>
          <w:bottom w:val="nil"/>
          <w:right w:val="nil"/>
          <w:between w:val="nil"/>
        </w:pBdr>
        <w:rPr>
          <w:color w:val="000000"/>
          <w:sz w:val="22"/>
          <w:szCs w:val="22"/>
        </w:rPr>
      </w:pPr>
    </w:p>
    <w:p w14:paraId="4C0073F1" w14:textId="127B7FA6" w:rsidR="008B2F8C" w:rsidRPr="00F459FC" w:rsidRDefault="008B2F8C" w:rsidP="00126B7E">
      <w:pPr>
        <w:pBdr>
          <w:top w:val="nil"/>
          <w:left w:val="nil"/>
          <w:bottom w:val="nil"/>
          <w:right w:val="nil"/>
          <w:between w:val="nil"/>
        </w:pBdr>
        <w:rPr>
          <w:color w:val="000000"/>
          <w:sz w:val="22"/>
          <w:szCs w:val="22"/>
        </w:rPr>
      </w:pPr>
      <w:r w:rsidRPr="00F459FC">
        <w:rPr>
          <w:color w:val="000000"/>
          <w:sz w:val="22"/>
          <w:szCs w:val="22"/>
        </w:rPr>
        <w:t>Target 22</w:t>
      </w:r>
      <w:r w:rsidR="00126B7E" w:rsidRPr="00F459FC">
        <w:rPr>
          <w:color w:val="000000"/>
          <w:sz w:val="22"/>
          <w:szCs w:val="22"/>
        </w:rPr>
        <w:t xml:space="preserve"> - </w:t>
      </w:r>
      <w:r w:rsidRPr="00F459FC">
        <w:rPr>
          <w:color w:val="000000"/>
          <w:sz w:val="22"/>
          <w:szCs w:val="22"/>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434BBF8E" w14:textId="77777777" w:rsidR="008B2F8C" w:rsidRPr="00F459FC" w:rsidRDefault="008B2F8C" w:rsidP="008B2F8C">
      <w:pPr>
        <w:pStyle w:val="paragraph"/>
        <w:pBdr>
          <w:bottom w:val="single" w:sz="4" w:space="1" w:color="000000"/>
        </w:pBdr>
        <w:tabs>
          <w:tab w:val="left" w:pos="1665"/>
        </w:tabs>
        <w:spacing w:before="120" w:beforeAutospacing="0" w:after="0" w:afterAutospacing="0"/>
        <w:textAlignment w:val="baseline"/>
        <w:rPr>
          <w:rFonts w:asciiTheme="majorBidi" w:hAnsiTheme="majorBidi" w:cstheme="majorBidi"/>
          <w:b/>
          <w:bCs/>
          <w:sz w:val="22"/>
          <w:szCs w:val="22"/>
        </w:rPr>
      </w:pPr>
    </w:p>
    <w:p w14:paraId="15B003BD" w14:textId="77777777" w:rsidR="00552F57" w:rsidRPr="00F459FC"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F459FC">
        <w:rPr>
          <w:rStyle w:val="normaltextrun"/>
          <w:rFonts w:asciiTheme="majorBidi" w:eastAsiaTheme="majorEastAsia" w:hAnsiTheme="majorBidi" w:cstheme="majorBidi"/>
          <w:b/>
          <w:bCs/>
          <w:sz w:val="22"/>
          <w:szCs w:val="22"/>
          <w:lang w:val="en-GB"/>
        </w:rPr>
        <w:t>4. Rationale</w:t>
      </w:r>
      <w:r w:rsidRPr="00F459FC">
        <w:rPr>
          <w:rStyle w:val="eop"/>
          <w:rFonts w:asciiTheme="majorBidi" w:eastAsiaTheme="majorEastAsia" w:hAnsiTheme="majorBidi" w:cstheme="majorBidi"/>
          <w:b/>
          <w:bCs/>
          <w:sz w:val="22"/>
          <w:szCs w:val="22"/>
        </w:rPr>
        <w:t> </w:t>
      </w:r>
    </w:p>
    <w:p w14:paraId="5EDAA15D" w14:textId="77777777" w:rsidR="000F749B" w:rsidRPr="00F459FC" w:rsidRDefault="00520704" w:rsidP="000F749B">
      <w:pPr>
        <w:pStyle w:val="CBDNormalNumber"/>
        <w:numPr>
          <w:ilvl w:val="0"/>
          <w:numId w:val="156"/>
        </w:numPr>
        <w:shd w:val="clear" w:color="auto" w:fill="FFFFFF"/>
        <w:tabs>
          <w:tab w:val="clear" w:pos="1701"/>
        </w:tabs>
        <w:ind w:left="567" w:firstLine="0"/>
        <w:rPr>
          <w:rFonts w:asciiTheme="majorBidi" w:eastAsiaTheme="majorEastAsia" w:hAnsiTheme="majorBidi" w:cstheme="majorBidi"/>
          <w:bCs/>
        </w:rPr>
      </w:pPr>
      <w:r w:rsidRPr="00F459FC">
        <w:rPr>
          <w:rFonts w:asciiTheme="majorBidi" w:eastAsiaTheme="majorEastAsia" w:hAnsiTheme="majorBidi" w:cstheme="majorBidi"/>
          <w:bCs/>
        </w:rPr>
        <w:t>Addressing the intersection between traditional knowledge indicators and existing Goals and Targets can also support Parties to operationalize parts of Section C of the KM-GBF, particularly related to the “Contribution and rights of Indigenous Peoples and local communities” and committing to “ensure that the rights, knowledge, and traditional knowledge associated with biodiversity” are protected, documented and preserved with their free, prior and informed consent. Likewise, Section C of the KM-GBF declares that nothing in the framework may be construed as “diminishing or extinguishing the rights that Indigenous People currently have,” further underlining the need for these to be documented and monitored in the context of the KM-GBF and its Goals and Targets</w:t>
      </w:r>
    </w:p>
    <w:p w14:paraId="1140C519" w14:textId="77777777" w:rsidR="000F749B" w:rsidRPr="00F459FC" w:rsidRDefault="00520704" w:rsidP="000F749B">
      <w:pPr>
        <w:pStyle w:val="CBDNormalNumber"/>
        <w:numPr>
          <w:ilvl w:val="0"/>
          <w:numId w:val="156"/>
        </w:numPr>
        <w:shd w:val="clear" w:color="auto" w:fill="FFFFFF"/>
        <w:tabs>
          <w:tab w:val="clear" w:pos="1701"/>
        </w:tabs>
        <w:ind w:left="567" w:firstLine="0"/>
        <w:rPr>
          <w:rFonts w:asciiTheme="majorBidi" w:eastAsiaTheme="majorEastAsia" w:hAnsiTheme="majorBidi" w:cstheme="majorBidi"/>
          <w:bCs/>
        </w:rPr>
      </w:pPr>
      <w:r w:rsidRPr="00F459FC">
        <w:rPr>
          <w:color w:val="000000"/>
        </w:rPr>
        <w:t>In</w:t>
      </w:r>
      <w:hyperlink r:id="rId508">
        <w:r w:rsidRPr="00F459FC">
          <w:rPr>
            <w:color w:val="000000"/>
          </w:rPr>
          <w:t xml:space="preserve"> </w:t>
        </w:r>
      </w:hyperlink>
      <w:hyperlink r:id="rId509">
        <w:r w:rsidRPr="00F459FC">
          <w:rPr>
            <w:color w:val="0563C1"/>
            <w:u w:val="single"/>
          </w:rPr>
          <w:t>decision XV/5</w:t>
        </w:r>
      </w:hyperlink>
      <w:r w:rsidRPr="00F459FC">
        <w:rPr>
          <w:color w:val="000000"/>
        </w:rPr>
        <w:t xml:space="preserve"> (</w:t>
      </w:r>
      <w:proofErr w:type="gramStart"/>
      <w:r w:rsidRPr="00F459FC">
        <w:rPr>
          <w:color w:val="000000"/>
        </w:rPr>
        <w:t>December,</w:t>
      </w:r>
      <w:proofErr w:type="gramEnd"/>
      <w:r w:rsidRPr="00F459FC">
        <w:rPr>
          <w:color w:val="000000"/>
        </w:rPr>
        <w:t xml:space="preserve"> 2022), the Conference of Parties invited the Ad Hoc Open-ended Working Group on Article 8(j) and Related Provisions to “continue the development and operationalization of indicators related to traditional knowledge”. Likewise, Decision XV/4, Section C recognizes the important role and contribution of Indigenous Peoples and local communities, calling for KMGBF implementation to ensure that their rights, knowledge, including traditional knowledge, are respected, documented and preserved.</w:t>
      </w:r>
    </w:p>
    <w:p w14:paraId="151FD628" w14:textId="77777777" w:rsidR="000F749B" w:rsidRPr="00F459FC" w:rsidRDefault="00520704" w:rsidP="000F749B">
      <w:pPr>
        <w:pStyle w:val="CBDNormalNumber"/>
        <w:numPr>
          <w:ilvl w:val="0"/>
          <w:numId w:val="156"/>
        </w:numPr>
        <w:shd w:val="clear" w:color="auto" w:fill="FFFFFF"/>
        <w:tabs>
          <w:tab w:val="clear" w:pos="1701"/>
        </w:tabs>
        <w:ind w:left="567" w:firstLine="0"/>
        <w:rPr>
          <w:rFonts w:asciiTheme="majorBidi" w:eastAsiaTheme="majorEastAsia" w:hAnsiTheme="majorBidi" w:cstheme="majorBidi"/>
          <w:bCs/>
        </w:rPr>
      </w:pPr>
      <w:r w:rsidRPr="00F459FC">
        <w:rPr>
          <w:color w:val="000000"/>
        </w:rPr>
        <w:t>SBSTTA-25 (October, 2023) “Requests the Expert Group to fully take into account the work of the Ad Hoc Open-ended Intersessional Working Group on Article 8(j) and Related Provisions of the Convention on Biological Diversity on traditional knowledge indicators in order to further enhance the monitoring framework; (</w:t>
      </w:r>
      <w:hyperlink r:id="rId510">
        <w:r w:rsidRPr="00F459FC">
          <w:rPr>
            <w:color w:val="0563C1"/>
            <w:u w:val="single"/>
          </w:rPr>
          <w:t>SBSTTA-25/1</w:t>
        </w:r>
      </w:hyperlink>
      <w:r w:rsidRPr="00F459FC">
        <w:rPr>
          <w:color w:val="000000"/>
        </w:rPr>
        <w:t>, paragraph 12</w:t>
      </w:r>
      <w:r w:rsidRPr="00F459FC">
        <w:rPr>
          <w:color w:val="0563C1"/>
        </w:rPr>
        <w:t>[MOU1]</w:t>
      </w:r>
      <w:r w:rsidRPr="00F459FC">
        <w:rPr>
          <w:color w:val="000000"/>
        </w:rPr>
        <w:t xml:space="preserve"> ). In </w:t>
      </w:r>
      <w:hyperlink r:id="rId511">
        <w:r w:rsidRPr="00F459FC">
          <w:rPr>
            <w:color w:val="0563C1"/>
            <w:u w:val="single"/>
          </w:rPr>
          <w:t>WG8J/REC/12/4</w:t>
        </w:r>
      </w:hyperlink>
      <w:hyperlink r:id="rId512">
        <w:r w:rsidRPr="00F459FC">
          <w:rPr>
            <w:color w:val="000000"/>
          </w:rPr>
          <w:t xml:space="preserve"> </w:t>
        </w:r>
      </w:hyperlink>
      <w:r w:rsidRPr="00F459FC">
        <w:rPr>
          <w:color w:val="000000"/>
        </w:rPr>
        <w:t xml:space="preserve"> (</w:t>
      </w:r>
      <w:proofErr w:type="gramStart"/>
      <w:r w:rsidRPr="00F459FC">
        <w:rPr>
          <w:color w:val="000000"/>
        </w:rPr>
        <w:t>November,</w:t>
      </w:r>
      <w:proofErr w:type="gramEnd"/>
      <w:r w:rsidRPr="00F459FC">
        <w:rPr>
          <w:color w:val="000000"/>
        </w:rPr>
        <w:t xml:space="preserve"> 2023), the AHTEG on Article 8(j) and Related Provisions invited the AHTEG on Indicators and SBSTTA to “consider the development of indicators on trends in land-use change and land tenure in the traditional territories of Indigenous Peoples and local communities.”</w:t>
      </w:r>
    </w:p>
    <w:p w14:paraId="2D139900" w14:textId="77777777" w:rsidR="000F749B" w:rsidRPr="00F459FC" w:rsidRDefault="00520704" w:rsidP="000F749B">
      <w:pPr>
        <w:pStyle w:val="CBDNormalNumber"/>
        <w:numPr>
          <w:ilvl w:val="0"/>
          <w:numId w:val="156"/>
        </w:numPr>
        <w:shd w:val="clear" w:color="auto" w:fill="FFFFFF"/>
        <w:tabs>
          <w:tab w:val="clear" w:pos="1701"/>
        </w:tabs>
        <w:ind w:left="567" w:firstLine="0"/>
        <w:rPr>
          <w:rFonts w:asciiTheme="majorBidi" w:eastAsiaTheme="majorEastAsia" w:hAnsiTheme="majorBidi" w:cstheme="majorBidi"/>
          <w:bCs/>
        </w:rPr>
      </w:pPr>
      <w:r w:rsidRPr="00F459FC">
        <w:rPr>
          <w:color w:val="000000"/>
        </w:rPr>
        <w:t>The land tenure indicator originally considered in the KMGBF</w:t>
      </w:r>
      <w:r w:rsidRPr="00F459FC">
        <w:rPr>
          <w:vertAlign w:val="superscript"/>
        </w:rPr>
        <w:footnoteReference w:id="52"/>
      </w:r>
      <w:r w:rsidRPr="00F459FC">
        <w:rPr>
          <w:color w:val="000000"/>
        </w:rPr>
        <w:t xml:space="preserve"> – SDG 1.4.2 – is a component of the compound indicator originally adopted in decision XIII/28, retained in the Strategic Plan for Biodiversity 2011-2020 and the Aichi Biodiversity Targets: Trends in land-use change and land tenure in the traditional territories of Indigenous Peoples and local communities (decision X/43). </w:t>
      </w:r>
      <w:r w:rsidRPr="00F459FC">
        <w:rPr>
          <w:color w:val="000000"/>
        </w:rPr>
        <w:lastRenderedPageBreak/>
        <w:t>Together with this generic indicator, covering land use change and land tenure, decision XIII/28 identified two specific indicators that would be used for implementation:</w:t>
      </w:r>
    </w:p>
    <w:p w14:paraId="6C11E5B2" w14:textId="77777777" w:rsidR="000F749B" w:rsidRPr="00F459FC" w:rsidRDefault="00520704" w:rsidP="000F749B">
      <w:pPr>
        <w:pStyle w:val="CBDNormalNumber"/>
        <w:numPr>
          <w:ilvl w:val="1"/>
          <w:numId w:val="156"/>
        </w:numPr>
        <w:shd w:val="clear" w:color="auto" w:fill="FFFFFF"/>
        <w:tabs>
          <w:tab w:val="clear" w:pos="1701"/>
        </w:tabs>
        <w:rPr>
          <w:rFonts w:asciiTheme="majorBidi" w:eastAsiaTheme="majorEastAsia" w:hAnsiTheme="majorBidi" w:cstheme="majorBidi"/>
          <w:bCs/>
        </w:rPr>
      </w:pPr>
      <w:r w:rsidRPr="00F459FC">
        <w:rPr>
          <w:color w:val="000000"/>
        </w:rPr>
        <w:t>Proportion of total agricultural population with ownership or secure rights over agricultural land, by sex; and (b) share of women among owners or rights bearers of agricultural land, by type of tenure.</w:t>
      </w:r>
    </w:p>
    <w:p w14:paraId="0857EF8F" w14:textId="6ED492D5" w:rsidR="00520704" w:rsidRPr="00F459FC" w:rsidRDefault="00520704" w:rsidP="000F749B">
      <w:pPr>
        <w:pStyle w:val="CBDNormalNumber"/>
        <w:numPr>
          <w:ilvl w:val="1"/>
          <w:numId w:val="156"/>
        </w:numPr>
        <w:shd w:val="clear" w:color="auto" w:fill="FFFFFF"/>
        <w:tabs>
          <w:tab w:val="clear" w:pos="1701"/>
        </w:tabs>
        <w:rPr>
          <w:rFonts w:asciiTheme="majorBidi" w:eastAsiaTheme="majorEastAsia" w:hAnsiTheme="majorBidi" w:cstheme="majorBidi"/>
          <w:bCs/>
        </w:rPr>
      </w:pPr>
      <w:r w:rsidRPr="00F459FC">
        <w:rPr>
          <w:color w:val="000000"/>
        </w:rPr>
        <w:t>Proportion of total adult population with secure tenure rights to land, with legally recognized documentation and who perceive their rights to land as secure, by sex and by type of tenure.</w:t>
      </w:r>
    </w:p>
    <w:p w14:paraId="2CC248A7" w14:textId="77777777" w:rsidR="00660396" w:rsidRPr="00F459FC" w:rsidRDefault="00520704" w:rsidP="00660396">
      <w:pPr>
        <w:pStyle w:val="CBDNormalNumber"/>
        <w:numPr>
          <w:ilvl w:val="0"/>
          <w:numId w:val="156"/>
        </w:numPr>
        <w:shd w:val="clear" w:color="auto" w:fill="FFFFFF"/>
        <w:tabs>
          <w:tab w:val="clear" w:pos="1701"/>
        </w:tabs>
        <w:ind w:left="567" w:firstLine="0"/>
        <w:rPr>
          <w:color w:val="000000"/>
        </w:rPr>
      </w:pPr>
      <w:proofErr w:type="gramStart"/>
      <w:r w:rsidRPr="00F459FC">
        <w:rPr>
          <w:color w:val="000000"/>
        </w:rPr>
        <w:t>Both of the land</w:t>
      </w:r>
      <w:proofErr w:type="gramEnd"/>
      <w:r w:rsidRPr="00F459FC">
        <w:rPr>
          <w:color w:val="000000"/>
        </w:rPr>
        <w:t xml:space="preserve"> tenure indicators identified to monitor the Aichi Targets and considered within the KM-GBF monitoring framework are established SDG indicators. The first corresponds to SDG indicator 5.a.1. The second, focused on legally recognized documentation and perceptions of tenure security, corresponds to SDG indicator 1.4.2, and forms the basis for the present indicator. </w:t>
      </w:r>
    </w:p>
    <w:p w14:paraId="57A275A6" w14:textId="77777777" w:rsidR="00660396" w:rsidRPr="00F459FC" w:rsidRDefault="00520704" w:rsidP="00660396">
      <w:pPr>
        <w:pStyle w:val="CBDNormalNumber"/>
        <w:numPr>
          <w:ilvl w:val="0"/>
          <w:numId w:val="156"/>
        </w:numPr>
        <w:shd w:val="clear" w:color="auto" w:fill="FFFFFF"/>
        <w:tabs>
          <w:tab w:val="clear" w:pos="1701"/>
        </w:tabs>
        <w:ind w:left="567" w:firstLine="0"/>
        <w:rPr>
          <w:color w:val="000000"/>
        </w:rPr>
      </w:pPr>
      <w:r w:rsidRPr="00F459FC">
        <w:rPr>
          <w:color w:val="000000"/>
        </w:rPr>
        <w:t>The land use change component of this indicator is modelled after SDG 15.3.1 “Proportion of land that is degraded over total land area”</w:t>
      </w:r>
      <w:r w:rsidRPr="00F459FC">
        <w:rPr>
          <w:vertAlign w:val="superscript"/>
        </w:rPr>
        <w:footnoteReference w:id="53"/>
      </w:r>
      <w:r w:rsidRPr="00F459FC">
        <w:rPr>
          <w:color w:val="000000"/>
        </w:rPr>
        <w:t xml:space="preserve"> and SDG 15.4.2b “Proportion of degraded mountain land”</w:t>
      </w:r>
      <w:r w:rsidRPr="00F459FC">
        <w:rPr>
          <w:vertAlign w:val="superscript"/>
        </w:rPr>
        <w:footnoteReference w:id="54"/>
      </w:r>
      <w:r w:rsidRPr="00F459FC">
        <w:rPr>
          <w:color w:val="000000"/>
        </w:rPr>
        <w:t xml:space="preserve"> but reports the inverse value (i.e., reports non-degraded area instead of degraded area) for lands and territories held or used by Indigenous Peoples and local </w:t>
      </w:r>
      <w:proofErr w:type="gramStart"/>
      <w:r w:rsidRPr="00F459FC">
        <w:rPr>
          <w:color w:val="000000"/>
        </w:rPr>
        <w:t>communities..</w:t>
      </w:r>
      <w:proofErr w:type="gramEnd"/>
      <w:r w:rsidRPr="00F459FC">
        <w:rPr>
          <w:color w:val="000000"/>
        </w:rPr>
        <w:t xml:space="preserve">  </w:t>
      </w:r>
    </w:p>
    <w:p w14:paraId="31401F38" w14:textId="77777777" w:rsidR="00660396" w:rsidRPr="00F459FC" w:rsidRDefault="00520704" w:rsidP="00660396">
      <w:pPr>
        <w:pStyle w:val="CBDNormalNumber"/>
        <w:numPr>
          <w:ilvl w:val="0"/>
          <w:numId w:val="156"/>
        </w:numPr>
        <w:shd w:val="clear" w:color="auto" w:fill="FFFFFF"/>
        <w:tabs>
          <w:tab w:val="clear" w:pos="1701"/>
        </w:tabs>
        <w:ind w:left="567" w:firstLine="0"/>
        <w:rPr>
          <w:color w:val="000000"/>
        </w:rPr>
      </w:pPr>
      <w:r w:rsidRPr="00F459FC">
        <w:rPr>
          <w:color w:val="000000"/>
        </w:rPr>
        <w:t xml:space="preserve">Land use and </w:t>
      </w:r>
      <w:sdt>
        <w:sdtPr>
          <w:tag w:val="goog_rdk_119"/>
          <w:id w:val="-538442627"/>
        </w:sdtPr>
        <w:sdtContent>
          <w:r w:rsidRPr="00F459FC">
            <w:rPr>
              <w:color w:val="000000"/>
            </w:rPr>
            <w:t xml:space="preserve">land </w:t>
          </w:r>
        </w:sdtContent>
      </w:sdt>
      <w:r w:rsidRPr="00F459FC">
        <w:rPr>
          <w:color w:val="000000"/>
        </w:rPr>
        <w:t>cover data document the various physically observable features on earth’s surface such as forests, wetlands, agricultural land</w:t>
      </w:r>
      <w:sdt>
        <w:sdtPr>
          <w:tag w:val="goog_rdk_120"/>
          <w:id w:val="215112072"/>
        </w:sdtPr>
        <w:sdtContent>
          <w:r w:rsidRPr="00F459FC">
            <w:rPr>
              <w:color w:val="000000"/>
            </w:rPr>
            <w:t>,</w:t>
          </w:r>
        </w:sdtContent>
      </w:sdt>
      <w:r w:rsidRPr="00F459FC">
        <w:rPr>
          <w:color w:val="000000"/>
        </w:rPr>
        <w:t xml:space="preserve"> etc. and has a strong geospatial evidence base going back years. While land surfaces can be affected by causes beyond human intervention for various reasons, land use patterns shaped by activities such as agriculture and urbanization are clearly observed through this data. </w:t>
      </w:r>
      <w:proofErr w:type="gramStart"/>
      <w:r w:rsidRPr="00F459FC">
        <w:rPr>
          <w:color w:val="000000"/>
        </w:rPr>
        <w:t>In particular, by</w:t>
      </w:r>
      <w:proofErr w:type="gramEnd"/>
      <w:r w:rsidRPr="00F459FC">
        <w:rPr>
          <w:color w:val="000000"/>
        </w:rPr>
        <w:t xml:space="preserve"> allowing geospatial data on land use and cover and Indigenous and local community area</w:t>
      </w:r>
      <w:sdt>
        <w:sdtPr>
          <w:tag w:val="goog_rdk_121"/>
          <w:id w:val="-1243168575"/>
        </w:sdtPr>
        <w:sdtContent/>
      </w:sdt>
      <w:sdt>
        <w:sdtPr>
          <w:tag w:val="goog_rdk_122"/>
          <w:id w:val="-568741016"/>
        </w:sdtPr>
        <w:sdtContent/>
      </w:sdt>
      <w:r w:rsidRPr="00F459FC">
        <w:rPr>
          <w:color w:val="000000"/>
        </w:rPr>
        <w:t xml:space="preserve">s to be overlaid and analysed, the status of land (e.g. natural or modified) in these areas can be identified. </w:t>
      </w:r>
    </w:p>
    <w:p w14:paraId="6693C02A" w14:textId="77777777" w:rsidR="00660396" w:rsidRPr="00F459FC" w:rsidRDefault="00520704" w:rsidP="00660396">
      <w:pPr>
        <w:pStyle w:val="CBDNormalNumber"/>
        <w:numPr>
          <w:ilvl w:val="0"/>
          <w:numId w:val="156"/>
        </w:numPr>
        <w:shd w:val="clear" w:color="auto" w:fill="FFFFFF"/>
        <w:tabs>
          <w:tab w:val="clear" w:pos="1701"/>
        </w:tabs>
        <w:ind w:left="567" w:firstLine="0"/>
        <w:rPr>
          <w:color w:val="000000"/>
        </w:rPr>
      </w:pPr>
      <w:r w:rsidRPr="00F459FC">
        <w:rPr>
          <w:color w:val="000000"/>
        </w:rPr>
        <w:t>Thus, the indicator can contribute to assessing land</w:t>
      </w:r>
      <w:sdt>
        <w:sdtPr>
          <w:tag w:val="goog_rdk_123"/>
          <w:id w:val="2052732215"/>
        </w:sdtPr>
        <w:sdtContent>
          <w:r w:rsidRPr="00F459FC">
            <w:rPr>
              <w:color w:val="000000"/>
            </w:rPr>
            <w:t xml:space="preserve"> </w:t>
          </w:r>
          <w:sdt>
            <w:sdtPr>
              <w:tag w:val="goog_rdk_124"/>
              <w:id w:val="264984966"/>
            </w:sdtPr>
            <w:sdtContent>
              <w:r w:rsidRPr="00F459FC">
                <w:t>cover/land</w:t>
              </w:r>
            </w:sdtContent>
          </w:sdt>
        </w:sdtContent>
      </w:sdt>
      <w:r w:rsidRPr="00F459FC">
        <w:rPr>
          <w:color w:val="000000"/>
        </w:rPr>
        <w:t xml:space="preserve"> use change over time provided it is reported consistently. The underlying data sources can be further analysed to identify specific transformations (desertification, crop expansion, urbanization etc.) in land cover. This information can be useful in formulating responses to address any land degradation thus identified. By disaggregating these results for land that is formally acknowledged by governments to be Indigenous Peoples and local communities’ lands and </w:t>
      </w:r>
      <w:sdt>
        <w:sdtPr>
          <w:tag w:val="goog_rdk_125"/>
          <w:id w:val="-23249582"/>
        </w:sdtPr>
        <w:sdtContent/>
      </w:sdt>
      <w:r w:rsidRPr="00F459FC">
        <w:rPr>
          <w:color w:val="000000"/>
        </w:rPr>
        <w:t xml:space="preserve">territories that are claimed but currently unacknowledged, it would also be possible to observe differences that may be driven by differences in land tenure status. </w:t>
      </w:r>
    </w:p>
    <w:p w14:paraId="78F1B5F1" w14:textId="61CF3E3E" w:rsidR="00520704" w:rsidRDefault="00520704" w:rsidP="00660396">
      <w:pPr>
        <w:pStyle w:val="CBDNormalNumber"/>
        <w:numPr>
          <w:ilvl w:val="0"/>
          <w:numId w:val="156"/>
        </w:numPr>
        <w:shd w:val="clear" w:color="auto" w:fill="FFFFFF"/>
        <w:tabs>
          <w:tab w:val="clear" w:pos="1701"/>
        </w:tabs>
        <w:ind w:left="567" w:firstLine="0"/>
        <w:rPr>
          <w:color w:val="000000"/>
        </w:rPr>
      </w:pPr>
      <w:r w:rsidRPr="00F459FC">
        <w:rPr>
          <w:color w:val="000000"/>
        </w:rPr>
        <w:t>The retained indicator, including its three components and their associated methods, will require further testing and development over time to better understand the comparability of different stages of data collection over time, the aggregation of this data and its applicability to diverse geographies.</w:t>
      </w:r>
    </w:p>
    <w:p w14:paraId="2BFEDE28" w14:textId="27D0B792" w:rsidR="002103F5" w:rsidRPr="00F459FC" w:rsidRDefault="00025C8F" w:rsidP="00660396">
      <w:pPr>
        <w:pStyle w:val="CBDNormalNumber"/>
        <w:numPr>
          <w:ilvl w:val="0"/>
          <w:numId w:val="156"/>
        </w:numPr>
        <w:shd w:val="clear" w:color="auto" w:fill="FFFFFF"/>
        <w:tabs>
          <w:tab w:val="clear" w:pos="1701"/>
        </w:tabs>
        <w:ind w:left="567" w:firstLine="0"/>
        <w:rPr>
          <w:color w:val="000000"/>
        </w:rPr>
      </w:pPr>
      <w:r>
        <w:rPr>
          <w:color w:val="000000"/>
        </w:rPr>
        <w:t xml:space="preserve">Further information on the process to develop this indicator is contained in annex </w:t>
      </w:r>
      <w:r w:rsidR="001C1425">
        <w:rPr>
          <w:color w:val="000000"/>
        </w:rPr>
        <w:t xml:space="preserve">2 </w:t>
      </w:r>
      <w:r>
        <w:rPr>
          <w:color w:val="000000"/>
        </w:rPr>
        <w:t>to th</w:t>
      </w:r>
      <w:r w:rsidR="001C1425">
        <w:rPr>
          <w:color w:val="000000"/>
        </w:rPr>
        <w:t>e metadata for this indicator</w:t>
      </w:r>
      <w:r>
        <w:rPr>
          <w:color w:val="000000"/>
        </w:rPr>
        <w:t xml:space="preserve">. </w:t>
      </w:r>
    </w:p>
    <w:p w14:paraId="4A122DAD" w14:textId="4428AAAA" w:rsidR="00552F57" w:rsidRPr="003276AA" w:rsidRDefault="00552F57" w:rsidP="003276AA">
      <w:pPr>
        <w:pStyle w:val="paragraph"/>
        <w:pBdr>
          <w:bottom w:val="single" w:sz="4" w:space="1" w:color="000000"/>
        </w:pBdr>
        <w:spacing w:before="0" w:beforeAutospacing="0" w:after="0" w:afterAutospacing="0"/>
        <w:textAlignment w:val="baseline"/>
        <w:rPr>
          <w:rStyle w:val="normaltextrun"/>
          <w:rFonts w:eastAsiaTheme="majorEastAsia"/>
          <w:lang w:val="en-GB"/>
        </w:rPr>
      </w:pPr>
      <w:r w:rsidRPr="00F459FC">
        <w:rPr>
          <w:rStyle w:val="normaltextrun"/>
          <w:rFonts w:asciiTheme="majorBidi" w:eastAsiaTheme="majorEastAsia" w:hAnsiTheme="majorBidi" w:cstheme="majorBidi"/>
          <w:b/>
          <w:bCs/>
          <w:sz w:val="22"/>
          <w:szCs w:val="22"/>
          <w:lang w:val="en-GB"/>
        </w:rPr>
        <w:t>5. Definitions, concepts and classifications</w:t>
      </w:r>
      <w:r w:rsidRPr="003276AA">
        <w:rPr>
          <w:rStyle w:val="normaltextrun"/>
          <w:lang w:val="en-GB"/>
        </w:rPr>
        <w:t> </w:t>
      </w:r>
    </w:p>
    <w:p w14:paraId="3C7F460D" w14:textId="77777777" w:rsidR="00F62731" w:rsidRDefault="000D5E3C" w:rsidP="00741775">
      <w:pPr>
        <w:pStyle w:val="CBDNormalNumber"/>
        <w:numPr>
          <w:ilvl w:val="0"/>
          <w:numId w:val="156"/>
        </w:numPr>
        <w:shd w:val="clear" w:color="auto" w:fill="FFFFFF"/>
        <w:tabs>
          <w:tab w:val="clear" w:pos="1701"/>
        </w:tabs>
        <w:ind w:left="567" w:firstLine="0"/>
        <w:rPr>
          <w:color w:val="000000"/>
        </w:rPr>
      </w:pPr>
      <w:r w:rsidRPr="00741775">
        <w:rPr>
          <w:color w:val="000000"/>
        </w:rPr>
        <w:t xml:space="preserve">Measurement of this indicator is operationalized via three components – a, b, and c – that are aggregated into one average value:  </w:t>
      </w:r>
    </w:p>
    <w:p w14:paraId="2F33FE82" w14:textId="3A5DD348" w:rsidR="000D5E3C" w:rsidRPr="00741775" w:rsidRDefault="000D5E3C" w:rsidP="00F62731">
      <w:pPr>
        <w:pStyle w:val="CBDNormalNumber"/>
        <w:numPr>
          <w:ilvl w:val="1"/>
          <w:numId w:val="156"/>
        </w:numPr>
        <w:shd w:val="clear" w:color="auto" w:fill="FFFFFF"/>
        <w:tabs>
          <w:tab w:val="clear" w:pos="1701"/>
        </w:tabs>
        <w:rPr>
          <w:color w:val="000000"/>
        </w:rPr>
      </w:pPr>
      <w:r w:rsidRPr="00741775">
        <w:rPr>
          <w:color w:val="000000"/>
        </w:rPr>
        <w:t>Proportion of lands and territories held or used by Indigenous Peoples and local communities (a) with legal recognition or legally recognized documentation and (b) where there is perceived security of tenure. (c) Land use change in lands and territories held or used by Indigenous Peoples and local communities.</w:t>
      </w:r>
    </w:p>
    <w:p w14:paraId="15A72EA8" w14:textId="77777777" w:rsidR="00DD751C" w:rsidRDefault="000D5E3C" w:rsidP="00DD751C">
      <w:pPr>
        <w:pStyle w:val="CBDNormalNumber"/>
        <w:numPr>
          <w:ilvl w:val="0"/>
          <w:numId w:val="156"/>
        </w:numPr>
        <w:shd w:val="clear" w:color="auto" w:fill="FFFFFF"/>
        <w:tabs>
          <w:tab w:val="clear" w:pos="1701"/>
        </w:tabs>
        <w:ind w:left="567" w:firstLine="0"/>
        <w:rPr>
          <w:color w:val="000000"/>
        </w:rPr>
      </w:pPr>
      <w:r w:rsidRPr="00D537D6">
        <w:rPr>
          <w:color w:val="000000"/>
        </w:rPr>
        <w:lastRenderedPageBreak/>
        <w:t xml:space="preserve">As outlined in this metadata sheet, these components are further defined as: </w:t>
      </w:r>
    </w:p>
    <w:p w14:paraId="4441BD75" w14:textId="77777777" w:rsidR="00DD751C" w:rsidRPr="00DD751C" w:rsidRDefault="000D5E3C" w:rsidP="00DD751C">
      <w:pPr>
        <w:pStyle w:val="CBDNormalNumber"/>
        <w:numPr>
          <w:ilvl w:val="1"/>
          <w:numId w:val="156"/>
        </w:numPr>
        <w:shd w:val="clear" w:color="auto" w:fill="FFFFFF"/>
        <w:tabs>
          <w:tab w:val="clear" w:pos="1701"/>
        </w:tabs>
        <w:rPr>
          <w:color w:val="000000"/>
        </w:rPr>
      </w:pPr>
      <w:r w:rsidRPr="00DD751C">
        <w:t xml:space="preserve">Proportion (%) of lands and territories held or used by Indigenous Peoples (IP) and local communities (LC) with legal recognition or legally recognized documentation. </w:t>
      </w:r>
    </w:p>
    <w:p w14:paraId="730DA77A" w14:textId="77777777" w:rsidR="00DD751C" w:rsidRPr="00DD751C" w:rsidRDefault="000D5E3C" w:rsidP="00DD751C">
      <w:pPr>
        <w:pStyle w:val="CBDNormalNumber"/>
        <w:numPr>
          <w:ilvl w:val="1"/>
          <w:numId w:val="156"/>
        </w:numPr>
        <w:shd w:val="clear" w:color="auto" w:fill="FFFFFF"/>
        <w:tabs>
          <w:tab w:val="clear" w:pos="1701"/>
        </w:tabs>
        <w:rPr>
          <w:color w:val="000000"/>
        </w:rPr>
      </w:pPr>
      <w:r w:rsidRPr="00DD751C">
        <w:t>Proportion (%) of IP and LC communities and individuals where there is perceived security of tenure.</w:t>
      </w:r>
    </w:p>
    <w:p w14:paraId="3C400136" w14:textId="77777777" w:rsidR="00DD751C" w:rsidRPr="00DD751C" w:rsidRDefault="000D5E3C" w:rsidP="00DD751C">
      <w:pPr>
        <w:pStyle w:val="CBDNormalNumber"/>
        <w:numPr>
          <w:ilvl w:val="1"/>
          <w:numId w:val="156"/>
        </w:numPr>
        <w:shd w:val="clear" w:color="auto" w:fill="FFFFFF"/>
        <w:tabs>
          <w:tab w:val="clear" w:pos="1701"/>
        </w:tabs>
        <w:rPr>
          <w:color w:val="000000"/>
        </w:rPr>
      </w:pPr>
      <w:r w:rsidRPr="00DD751C">
        <w:t>Proportion (%) of IP and LC land and territories that is categorized as non-degraded against a baseline year.</w:t>
      </w:r>
    </w:p>
    <w:p w14:paraId="25B47443" w14:textId="5670B0EB" w:rsidR="000D5E3C" w:rsidRPr="00DD751C" w:rsidRDefault="000D5E3C" w:rsidP="00DD751C">
      <w:pPr>
        <w:pStyle w:val="CBDNormalNumber"/>
        <w:numPr>
          <w:ilvl w:val="1"/>
          <w:numId w:val="156"/>
        </w:numPr>
        <w:shd w:val="clear" w:color="auto" w:fill="FFFFFF"/>
        <w:tabs>
          <w:tab w:val="clear" w:pos="1701"/>
        </w:tabs>
        <w:rPr>
          <w:color w:val="000000"/>
        </w:rPr>
      </w:pPr>
      <w:r w:rsidRPr="00DD751C">
        <w:t xml:space="preserve">Final reported aggregate value: the average value of components a, b, and c. </w:t>
      </w:r>
    </w:p>
    <w:p w14:paraId="24C3DED3" w14:textId="77777777" w:rsidR="006500AD" w:rsidRPr="00D537D6" w:rsidRDefault="006500AD" w:rsidP="00552F57">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rPr>
      </w:pPr>
    </w:p>
    <w:p w14:paraId="366F1366" w14:textId="1ACC2569" w:rsidR="00552F57" w:rsidRPr="00F459FC"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F459FC">
        <w:rPr>
          <w:rStyle w:val="normaltextrun"/>
          <w:rFonts w:asciiTheme="majorBidi" w:eastAsiaTheme="majorEastAsia" w:hAnsiTheme="majorBidi" w:cstheme="majorBidi"/>
          <w:b/>
          <w:bCs/>
          <w:sz w:val="22"/>
          <w:szCs w:val="22"/>
          <w:lang w:val="en-GB"/>
        </w:rPr>
        <w:t>5a. Definition: </w:t>
      </w:r>
      <w:r w:rsidRPr="00F459FC">
        <w:rPr>
          <w:rStyle w:val="eop"/>
          <w:rFonts w:asciiTheme="majorBidi" w:eastAsiaTheme="majorEastAsia" w:hAnsiTheme="majorBidi" w:cstheme="majorBidi"/>
          <w:b/>
          <w:bCs/>
          <w:sz w:val="22"/>
          <w:szCs w:val="22"/>
        </w:rPr>
        <w:t> </w:t>
      </w:r>
    </w:p>
    <w:p w14:paraId="1B932704" w14:textId="75DB7ED8" w:rsidR="00552F57" w:rsidRPr="00F459FC" w:rsidRDefault="00552F57" w:rsidP="003330E9">
      <w:pPr>
        <w:pStyle w:val="paragraph"/>
        <w:spacing w:before="0" w:beforeAutospacing="0" w:after="0" w:afterAutospacing="0"/>
        <w:textAlignment w:val="baseline"/>
        <w:rPr>
          <w:rFonts w:asciiTheme="majorBidi" w:hAnsiTheme="majorBidi" w:cstheme="majorBidi"/>
          <w:sz w:val="22"/>
          <w:szCs w:val="22"/>
        </w:rPr>
      </w:pPr>
      <w:r w:rsidRPr="00F459FC">
        <w:rPr>
          <w:rStyle w:val="normaltextrun"/>
          <w:rFonts w:asciiTheme="majorBidi" w:eastAsiaTheme="majorEastAsia" w:hAnsiTheme="majorBidi" w:cstheme="majorBidi"/>
          <w:sz w:val="22"/>
          <w:szCs w:val="22"/>
          <w:lang w:val="en-GB"/>
        </w:rPr>
        <w:t> </w:t>
      </w:r>
    </w:p>
    <w:p w14:paraId="23A99CC5" w14:textId="77777777" w:rsidR="00914695" w:rsidRPr="00F459FC" w:rsidRDefault="00A86318" w:rsidP="00914695">
      <w:pPr>
        <w:pStyle w:val="CBDNormalNumber"/>
        <w:numPr>
          <w:ilvl w:val="0"/>
          <w:numId w:val="156"/>
        </w:numPr>
        <w:shd w:val="clear" w:color="auto" w:fill="FFFFFF"/>
        <w:tabs>
          <w:tab w:val="clear" w:pos="1701"/>
        </w:tabs>
        <w:ind w:left="567" w:firstLine="0"/>
        <w:rPr>
          <w:color w:val="000000"/>
        </w:rPr>
      </w:pPr>
      <w:r w:rsidRPr="00F459FC">
        <w:rPr>
          <w:color w:val="000000"/>
        </w:rPr>
        <w:t xml:space="preserve">International law provides important guidance and language that is relevant for this indicator, particularly as concerning the internationally recognized rights of </w:t>
      </w:r>
      <w:sdt>
        <w:sdtPr>
          <w:rPr>
            <w:color w:val="000000"/>
          </w:rPr>
          <w:tag w:val="goog_rdk_126"/>
          <w:id w:val="-1045522410"/>
        </w:sdtPr>
        <w:sdtContent/>
      </w:sdt>
      <w:sdt>
        <w:sdtPr>
          <w:rPr>
            <w:color w:val="000000"/>
          </w:rPr>
          <w:tag w:val="goog_rdk_127"/>
          <w:id w:val="1381395377"/>
        </w:sdtPr>
        <w:sdtContent/>
      </w:sdt>
      <w:r w:rsidRPr="00F459FC">
        <w:rPr>
          <w:color w:val="000000"/>
        </w:rPr>
        <w:t>Indigenous peoples, tribal peoples and communities meeting criteria for collective rights to lands.</w:t>
      </w:r>
    </w:p>
    <w:p w14:paraId="2CF52EC5" w14:textId="77777777" w:rsidR="00914695" w:rsidRPr="00F459FC" w:rsidRDefault="00A86318" w:rsidP="00914695">
      <w:pPr>
        <w:pStyle w:val="CBDNormalNumber"/>
        <w:numPr>
          <w:ilvl w:val="0"/>
          <w:numId w:val="156"/>
        </w:numPr>
        <w:shd w:val="clear" w:color="auto" w:fill="FFFFFF"/>
        <w:tabs>
          <w:tab w:val="clear" w:pos="1701"/>
        </w:tabs>
        <w:ind w:left="567" w:firstLine="0"/>
        <w:rPr>
          <w:color w:val="000000"/>
        </w:rPr>
      </w:pPr>
      <w:hyperlink r:id="rId513">
        <w:r w:rsidRPr="00F459FC">
          <w:rPr>
            <w:color w:val="0563C1"/>
            <w:u w:val="single"/>
          </w:rPr>
          <w:t>UNDRIP</w:t>
        </w:r>
      </w:hyperlink>
      <w:r w:rsidRPr="00F459FC">
        <w:rPr>
          <w:color w:val="000000"/>
        </w:rPr>
        <w:t xml:space="preserve"> recognizes the urgent need to respect and promote the inherent rights of Indigenous Peoples, especially their rights to their lands, territories and resources. Article 26 further underlines their right to the lands, territories and resources which they have traditionally owned, occupied or otherwise used or acquired. Furthermore, it calls on States to give legal recognition and protection to these lands, territories and resources with due respect for the land tenure systems of the Indigenous Peoples concerned.</w:t>
      </w:r>
    </w:p>
    <w:p w14:paraId="2388CE73" w14:textId="77777777" w:rsidR="00914695" w:rsidRPr="00F459FC" w:rsidRDefault="00A86318" w:rsidP="00914695">
      <w:pPr>
        <w:pStyle w:val="CBDNormalNumber"/>
        <w:numPr>
          <w:ilvl w:val="0"/>
          <w:numId w:val="156"/>
        </w:numPr>
        <w:shd w:val="clear" w:color="auto" w:fill="FFFFFF"/>
        <w:tabs>
          <w:tab w:val="clear" w:pos="1701"/>
        </w:tabs>
        <w:ind w:left="567" w:firstLine="0"/>
        <w:rPr>
          <w:color w:val="000000"/>
        </w:rPr>
      </w:pPr>
      <w:hyperlink r:id="rId514" w:anchor="A1">
        <w:r w:rsidRPr="00F459FC">
          <w:rPr>
            <w:color w:val="0563C1"/>
            <w:u w:val="single"/>
          </w:rPr>
          <w:t>ILO Convention No. 169</w:t>
        </w:r>
      </w:hyperlink>
      <w:r w:rsidRPr="00F459FC">
        <w:rPr>
          <w:color w:val="000000"/>
        </w:rPr>
        <w:t xml:space="preserve"> provides further guidance, particularly in Articles 12-19, declaring that Indigenous and tribal peoples are bearers of the rights to ownership over the lands and resources they have historically occupied, and therefore they have the right to be recognized as the legal owners of their territories, to obtain a formal legal title to property over their lands, and to the due registration of said title. The collective right to property of indigenous lands implies a collective title to territory, that is, the recognition of an equally collective title to property over such lands that reflects the community property of the land, with due respect for Indigenous Peoples’ forms of internal organization regarding land tenure.</w:t>
      </w:r>
    </w:p>
    <w:p w14:paraId="7AE6CE1A" w14:textId="77777777" w:rsidR="00914695" w:rsidRPr="00F459FC" w:rsidRDefault="00A86318" w:rsidP="00914695">
      <w:pPr>
        <w:pStyle w:val="CBDNormalNumber"/>
        <w:numPr>
          <w:ilvl w:val="0"/>
          <w:numId w:val="156"/>
        </w:numPr>
        <w:shd w:val="clear" w:color="auto" w:fill="FFFFFF"/>
        <w:tabs>
          <w:tab w:val="clear" w:pos="1701"/>
        </w:tabs>
        <w:ind w:left="567" w:firstLine="0"/>
        <w:rPr>
          <w:color w:val="000000"/>
        </w:rPr>
      </w:pPr>
      <w:r w:rsidRPr="00F459FC">
        <w:rPr>
          <w:color w:val="000000"/>
        </w:rPr>
        <w:t>The</w:t>
      </w:r>
      <w:hyperlink r:id="rId515">
        <w:r w:rsidRPr="00F459FC">
          <w:rPr>
            <w:color w:val="000000"/>
          </w:rPr>
          <w:t xml:space="preserve"> </w:t>
        </w:r>
      </w:hyperlink>
      <w:hyperlink r:id="rId516">
        <w:r w:rsidRPr="00F459FC">
          <w:rPr>
            <w:color w:val="0563C1"/>
            <w:u w:val="single"/>
          </w:rPr>
          <w:t>Voluntary Guidelines on the Responsible Governance of Tenure</w:t>
        </w:r>
      </w:hyperlink>
      <w:r w:rsidRPr="00F459FC">
        <w:rPr>
          <w:color w:val="000000"/>
        </w:rPr>
        <w:t xml:space="preserve"> (VGGTs) is another widely endorsed guidance that supports an understanding of the concepts presented here. Chapter 9 is on Indigenous peoples and other communities with customary tenure systems, highlighting in paragraph 9.4 that States should provide appropriate recognition and protection of the legitimate tenure rights of indigenous peoples and other communities with customary tenure systems, consistent with existing obligations under national and international law.  </w:t>
      </w:r>
    </w:p>
    <w:p w14:paraId="4D1F16A2" w14:textId="77777777" w:rsidR="00914695" w:rsidRPr="00F459FC" w:rsidRDefault="00A86318" w:rsidP="00914695">
      <w:pPr>
        <w:pStyle w:val="CBDNormalNumber"/>
        <w:numPr>
          <w:ilvl w:val="0"/>
          <w:numId w:val="156"/>
        </w:numPr>
        <w:shd w:val="clear" w:color="auto" w:fill="FFFFFF"/>
        <w:tabs>
          <w:tab w:val="clear" w:pos="1701"/>
        </w:tabs>
        <w:ind w:left="567" w:firstLine="0"/>
        <w:rPr>
          <w:color w:val="000000"/>
        </w:rPr>
      </w:pPr>
      <w:r w:rsidRPr="00F459FC">
        <w:rPr>
          <w:color w:val="000000"/>
        </w:rPr>
        <w:t xml:space="preserve">Definitions of specific relevance to components (a), (b), and (c) are listed below. </w:t>
      </w:r>
    </w:p>
    <w:p w14:paraId="6E37C6A3" w14:textId="77777777" w:rsidR="00914695" w:rsidRPr="00F459FC" w:rsidRDefault="00A86318" w:rsidP="00914695">
      <w:pPr>
        <w:pStyle w:val="CBDNormalNumber"/>
        <w:numPr>
          <w:ilvl w:val="0"/>
          <w:numId w:val="156"/>
        </w:numPr>
        <w:shd w:val="clear" w:color="auto" w:fill="FFFFFF"/>
        <w:tabs>
          <w:tab w:val="clear" w:pos="1701"/>
        </w:tabs>
        <w:ind w:left="567" w:firstLine="0"/>
        <w:rPr>
          <w:color w:val="000000"/>
        </w:rPr>
      </w:pPr>
      <w:r w:rsidRPr="00F459FC">
        <w:rPr>
          <w:color w:val="000000"/>
        </w:rPr>
        <w:t xml:space="preserve">Greater detail on how the data for both components is generated can be found in Annex I. </w:t>
      </w:r>
    </w:p>
    <w:p w14:paraId="0BB83070" w14:textId="77777777" w:rsidR="00D9687C" w:rsidRPr="00F459FC" w:rsidRDefault="00A86318" w:rsidP="00D9687C">
      <w:pPr>
        <w:pStyle w:val="CBDNormalNumber"/>
        <w:numPr>
          <w:ilvl w:val="0"/>
          <w:numId w:val="156"/>
        </w:numPr>
        <w:shd w:val="clear" w:color="auto" w:fill="FFFFFF"/>
        <w:tabs>
          <w:tab w:val="clear" w:pos="1701"/>
        </w:tabs>
        <w:ind w:left="567" w:firstLine="0"/>
        <w:rPr>
          <w:color w:val="000000"/>
        </w:rPr>
      </w:pPr>
      <w:r w:rsidRPr="00F459FC">
        <w:rPr>
          <w:color w:val="000000"/>
        </w:rPr>
        <w:t>Definitions:</w:t>
      </w:r>
    </w:p>
    <w:p w14:paraId="1DE09F14" w14:textId="77777777" w:rsidR="00461437" w:rsidRPr="00F459FC" w:rsidRDefault="00A86318" w:rsidP="00461437">
      <w:pPr>
        <w:pStyle w:val="CBDNormalNumber"/>
        <w:numPr>
          <w:ilvl w:val="1"/>
          <w:numId w:val="156"/>
        </w:numPr>
        <w:shd w:val="clear" w:color="auto" w:fill="FFFFFF"/>
        <w:tabs>
          <w:tab w:val="clear" w:pos="1701"/>
        </w:tabs>
        <w:rPr>
          <w:color w:val="000000"/>
        </w:rPr>
      </w:pPr>
      <w:r w:rsidRPr="00F459FC">
        <w:rPr>
          <w:i/>
          <w:iCs/>
        </w:rPr>
        <w:t>Indigenous lands or territories</w:t>
      </w:r>
      <w:r w:rsidRPr="00F459FC">
        <w:t xml:space="preserve"> refer to the collectively held and governed lands and territories including </w:t>
      </w:r>
      <w:r w:rsidRPr="00F459FC">
        <w:rPr>
          <w:color w:val="000000"/>
        </w:rPr>
        <w:t>freshwater, coastal and marine areas</w:t>
      </w:r>
      <w:r w:rsidRPr="00F459FC">
        <w:t xml:space="preserve"> – and natural resources of Indigenous Peoples (see relevant frameworks above). As with other community lands, some indigenous lands may be allocated with group consent for use by individuals and families. Other indigenous land is managed as common property. In some cases, indigenous land is held by individuals or families.</w:t>
      </w:r>
      <w:r w:rsidR="00461437" w:rsidRPr="00F459FC">
        <w:t xml:space="preserve"> </w:t>
      </w:r>
      <w:r w:rsidRPr="00F459FC">
        <w:t xml:space="preserve">Note: Traditional lands and territories may include titled and untitled lands, customary use areas, and areas of spiritual/cultural significance identified </w:t>
      </w:r>
      <w:r w:rsidRPr="00F459FC">
        <w:lastRenderedPageBreak/>
        <w:t>by rights-holders, including connected ecological/cultural landscapes, provided documentation and governance safeguards are described in metadata.</w:t>
      </w:r>
    </w:p>
    <w:p w14:paraId="43777154" w14:textId="77777777" w:rsidR="00461437" w:rsidRPr="00F459FC" w:rsidRDefault="00A86318" w:rsidP="00461437">
      <w:pPr>
        <w:pStyle w:val="CBDNormalNumber"/>
        <w:numPr>
          <w:ilvl w:val="1"/>
          <w:numId w:val="156"/>
        </w:numPr>
        <w:shd w:val="clear" w:color="auto" w:fill="FFFFFF"/>
        <w:tabs>
          <w:tab w:val="clear" w:pos="1701"/>
        </w:tabs>
        <w:rPr>
          <w:color w:val="000000"/>
        </w:rPr>
      </w:pPr>
      <w:r w:rsidRPr="00F459FC">
        <w:rPr>
          <w:i/>
          <w:iCs/>
        </w:rPr>
        <w:t>Community lands</w:t>
      </w:r>
      <w:r w:rsidRPr="00F459FC">
        <w:t xml:space="preserve"> are all lands that fall under the customary governance of the community </w:t>
      </w:r>
      <w:proofErr w:type="gramStart"/>
      <w:r w:rsidRPr="00F459FC">
        <w:t>whether or not</w:t>
      </w:r>
      <w:proofErr w:type="gramEnd"/>
      <w:r w:rsidRPr="00F459FC">
        <w:t xml:space="preserve"> this is recognized in national law. Community land is variously described as the community domain, community land area, community territory, or other terms.</w:t>
      </w:r>
    </w:p>
    <w:p w14:paraId="47B59EA0" w14:textId="77777777" w:rsidR="00461437" w:rsidRPr="00F459FC" w:rsidRDefault="00A86318" w:rsidP="00461437">
      <w:pPr>
        <w:pStyle w:val="CBDNormalNumber"/>
        <w:numPr>
          <w:ilvl w:val="1"/>
          <w:numId w:val="156"/>
        </w:numPr>
        <w:shd w:val="clear" w:color="auto" w:fill="FFFFFF"/>
        <w:tabs>
          <w:tab w:val="clear" w:pos="1701"/>
        </w:tabs>
        <w:rPr>
          <w:color w:val="000000"/>
        </w:rPr>
      </w:pPr>
      <w:r w:rsidRPr="00F459FC">
        <w:rPr>
          <w:i/>
          <w:iCs/>
        </w:rPr>
        <w:t xml:space="preserve">Land </w:t>
      </w:r>
      <w:sdt>
        <w:sdtPr>
          <w:tag w:val="goog_rdk_130"/>
          <w:id w:val="1059861475"/>
        </w:sdtPr>
        <w:sdtContent>
          <w:r w:rsidRPr="00F459FC">
            <w:rPr>
              <w:i/>
              <w:iCs/>
            </w:rPr>
            <w:t>held or used</w:t>
          </w:r>
        </w:sdtContent>
      </w:sdt>
      <w:r w:rsidRPr="00F459FC">
        <w:t xml:space="preserve"> as a proxy for assertions generally by Indigenous groups over their ancestral lands and territories. </w:t>
      </w:r>
    </w:p>
    <w:p w14:paraId="20D98521" w14:textId="77777777" w:rsidR="00C4768D" w:rsidRPr="00F459FC" w:rsidRDefault="00A86318" w:rsidP="00C4768D">
      <w:pPr>
        <w:pStyle w:val="CBDNormalNumber"/>
        <w:numPr>
          <w:ilvl w:val="1"/>
          <w:numId w:val="156"/>
        </w:numPr>
        <w:shd w:val="clear" w:color="auto" w:fill="FFFFFF"/>
        <w:tabs>
          <w:tab w:val="clear" w:pos="1701"/>
        </w:tabs>
        <w:rPr>
          <w:color w:val="000000"/>
        </w:rPr>
      </w:pPr>
      <w:r w:rsidRPr="00F459FC">
        <w:rPr>
          <w:i/>
          <w:iCs/>
        </w:rPr>
        <w:t>Legally recognized land and documentation</w:t>
      </w:r>
      <w:r w:rsidRPr="00F459FC">
        <w:t xml:space="preserve"> refers to the recording and publication of information on the nature and location of land, rights and right holders in a form that is recognized by government and is therefore official. Note: It is recommended that tenure security reporting within national metadata include both extent (area) and quality, where quality captures: strength of legal protection, effectiveness of enforcement/implementation, and observed conflict/pressure indicators</w:t>
      </w:r>
    </w:p>
    <w:p w14:paraId="5A1B3F1A" w14:textId="77777777" w:rsidR="00C4768D" w:rsidRPr="00F459FC" w:rsidRDefault="00A86318" w:rsidP="00C4768D">
      <w:pPr>
        <w:pStyle w:val="CBDNormalNumber"/>
        <w:numPr>
          <w:ilvl w:val="1"/>
          <w:numId w:val="156"/>
        </w:numPr>
        <w:shd w:val="clear" w:color="auto" w:fill="FFFFFF"/>
        <w:tabs>
          <w:tab w:val="clear" w:pos="1701"/>
        </w:tabs>
        <w:rPr>
          <w:color w:val="000000"/>
        </w:rPr>
      </w:pPr>
      <w:r w:rsidRPr="00F459FC">
        <w:rPr>
          <w:i/>
          <w:iCs/>
        </w:rPr>
        <w:t xml:space="preserve">Indicative areas of Indigenous and community </w:t>
      </w:r>
      <w:proofErr w:type="gramStart"/>
      <w:r w:rsidRPr="00F459FC">
        <w:rPr>
          <w:i/>
          <w:iCs/>
        </w:rPr>
        <w:t xml:space="preserve">lands </w:t>
      </w:r>
      <w:r w:rsidRPr="00F459FC">
        <w:t xml:space="preserve"> represent</w:t>
      </w:r>
      <w:proofErr w:type="gramEnd"/>
      <w:r w:rsidRPr="00F459FC">
        <w:t xml:space="preserve"> areas where Indigenous and community lands likely </w:t>
      </w:r>
      <w:proofErr w:type="gramStart"/>
      <w:r w:rsidRPr="00F459FC">
        <w:t>exist</w:t>
      </w:r>
      <w:proofErr w:type="gramEnd"/>
      <w:r w:rsidRPr="00F459FC">
        <w:t xml:space="preserve"> but the clear delimitation, recognition and/or documentation status of these land rights are not available </w:t>
      </w:r>
      <w:proofErr w:type="gramStart"/>
      <w:r w:rsidRPr="00F459FC">
        <w:t>at this time</w:t>
      </w:r>
      <w:proofErr w:type="gramEnd"/>
      <w:r w:rsidRPr="00F459FC">
        <w:t xml:space="preserve">. </w:t>
      </w:r>
    </w:p>
    <w:p w14:paraId="4DEDD75D" w14:textId="77777777" w:rsidR="00C4768D" w:rsidRPr="00F459FC" w:rsidRDefault="00A86318" w:rsidP="00C4768D">
      <w:pPr>
        <w:pStyle w:val="CBDNormalNumber"/>
        <w:numPr>
          <w:ilvl w:val="1"/>
          <w:numId w:val="156"/>
        </w:numPr>
        <w:shd w:val="clear" w:color="auto" w:fill="FFFFFF"/>
        <w:tabs>
          <w:tab w:val="clear" w:pos="1701"/>
        </w:tabs>
        <w:rPr>
          <w:color w:val="000000"/>
        </w:rPr>
      </w:pPr>
      <w:r w:rsidRPr="00F459FC">
        <w:rPr>
          <w:i/>
          <w:iCs/>
          <w:color w:val="000000"/>
        </w:rPr>
        <w:t>Land cover</w:t>
      </w:r>
      <w:r w:rsidRPr="00F459FC">
        <w:rPr>
          <w:i/>
          <w:iCs/>
        </w:rPr>
        <w:t>/</w:t>
      </w:r>
      <w:r w:rsidRPr="00F459FC">
        <w:rPr>
          <w:i/>
          <w:iCs/>
          <w:color w:val="000000"/>
        </w:rPr>
        <w:t>land use</w:t>
      </w:r>
      <w:r w:rsidRPr="00F459FC">
        <w:rPr>
          <w:b/>
          <w:bCs/>
          <w:i/>
          <w:iCs/>
          <w:color w:val="000000"/>
        </w:rPr>
        <w:t xml:space="preserve"> </w:t>
      </w:r>
      <w:r w:rsidRPr="00F459FC">
        <w:rPr>
          <w:color w:val="000000"/>
        </w:rPr>
        <w:t>refers to the observed physical cover of the Earth’s surface and the way people use or manage the land. It includes vegetation and man-made features as well as bare rock, bare soil and inland water surfaces</w:t>
      </w:r>
      <w:r w:rsidRPr="00F459FC">
        <w:rPr>
          <w:vertAlign w:val="superscript"/>
        </w:rPr>
        <w:footnoteReference w:id="55"/>
      </w:r>
      <w:r w:rsidRPr="00F459FC">
        <w:rPr>
          <w:color w:val="000000"/>
        </w:rPr>
        <w:t xml:space="preserve">. The primary units for characterizing land cover and land use are categories. For the purposes of this indicator, the following categories are recommended: Forests, shrubland, grassland (herbaceous vegetation), ocean, wetland, bare/sparse vegetation, cropland, built up, snow and ice, permanent water bodies. </w:t>
      </w:r>
    </w:p>
    <w:p w14:paraId="22FD2CF9" w14:textId="77777777" w:rsidR="00C4768D" w:rsidRPr="00F459FC" w:rsidRDefault="00A86318" w:rsidP="00C4768D">
      <w:pPr>
        <w:pStyle w:val="CBDNormalNumber"/>
        <w:numPr>
          <w:ilvl w:val="1"/>
          <w:numId w:val="156"/>
        </w:numPr>
        <w:shd w:val="clear" w:color="auto" w:fill="FFFFFF"/>
        <w:tabs>
          <w:tab w:val="clear" w:pos="1701"/>
        </w:tabs>
        <w:rPr>
          <w:color w:val="000000"/>
        </w:rPr>
      </w:pPr>
      <w:r w:rsidRPr="00F459FC">
        <w:rPr>
          <w:i/>
          <w:iCs/>
        </w:rPr>
        <w:t>Land cover/land use change</w:t>
      </w:r>
      <w:r w:rsidRPr="00F459FC">
        <w:t xml:space="preserve"> refers to the transition from one land cover/land use category to another over time, which is used to assess whether land conditions are improving, stable, or degrading. The change is measured between two points in time: a starting point (baseline) and an end point. </w:t>
      </w:r>
    </w:p>
    <w:p w14:paraId="6A4D7DC8" w14:textId="0BB7BDE8" w:rsidR="00A86318" w:rsidRPr="00F459FC" w:rsidRDefault="00A86318" w:rsidP="00C4768D">
      <w:pPr>
        <w:pStyle w:val="CBDNormalNumber"/>
        <w:numPr>
          <w:ilvl w:val="1"/>
          <w:numId w:val="156"/>
        </w:numPr>
        <w:shd w:val="clear" w:color="auto" w:fill="FFFFFF"/>
        <w:tabs>
          <w:tab w:val="clear" w:pos="1701"/>
        </w:tabs>
        <w:rPr>
          <w:color w:val="000000"/>
        </w:rPr>
      </w:pPr>
      <w:r w:rsidRPr="00F459FC">
        <w:rPr>
          <w:i/>
          <w:iCs/>
        </w:rPr>
        <w:t>Non-degraded (stable or improving) land cover/land use</w:t>
      </w:r>
      <w:r w:rsidRPr="00F459FC">
        <w:t xml:space="preserve"> is the land where no negative transition has occurred when measuring land use/land cover change, meaning the land either remains in the same land cover/land use category (e.g., forest remains forest) or it moves to a category with equal or higher ecological value (e.g., bare land transitions to forest). </w:t>
      </w:r>
      <w:sdt>
        <w:sdtPr>
          <w:tag w:val="goog_rdk_150"/>
          <w:id w:val="34722807"/>
        </w:sdtPr>
        <w:sdtContent/>
      </w:sdt>
    </w:p>
    <w:p w14:paraId="23D39FB2" w14:textId="77777777" w:rsidR="005A56D7" w:rsidRPr="00F459FC" w:rsidRDefault="00A86318" w:rsidP="005A56D7">
      <w:pPr>
        <w:pStyle w:val="CBDNormalNumber"/>
        <w:numPr>
          <w:ilvl w:val="0"/>
          <w:numId w:val="156"/>
        </w:numPr>
        <w:shd w:val="clear" w:color="auto" w:fill="FFFFFF"/>
        <w:tabs>
          <w:tab w:val="clear" w:pos="1701"/>
        </w:tabs>
        <w:ind w:left="567" w:firstLine="0"/>
        <w:rPr>
          <w:color w:val="000000"/>
        </w:rPr>
      </w:pPr>
      <w:r w:rsidRPr="00F459FC">
        <w:rPr>
          <w:color w:val="000000"/>
        </w:rPr>
        <w:t>Definitions relevant to methods to be used for proxy (b) the presence of perceived security of tenure are available in Annex I with detail on how data for both components will be generated.</w:t>
      </w:r>
    </w:p>
    <w:p w14:paraId="486C9598" w14:textId="7556F3CB" w:rsidR="00A86318" w:rsidRPr="00F459FC" w:rsidRDefault="00A86318" w:rsidP="005A56D7">
      <w:pPr>
        <w:pStyle w:val="CBDNormalNumber"/>
        <w:numPr>
          <w:ilvl w:val="0"/>
          <w:numId w:val="156"/>
        </w:numPr>
        <w:shd w:val="clear" w:color="auto" w:fill="FFFFFF"/>
        <w:tabs>
          <w:tab w:val="clear" w:pos="1701"/>
        </w:tabs>
        <w:ind w:left="567" w:firstLine="0"/>
        <w:rPr>
          <w:color w:val="000000"/>
        </w:rPr>
      </w:pPr>
      <w:r w:rsidRPr="00F459FC">
        <w:rPr>
          <w:color w:val="000000"/>
        </w:rPr>
        <w:t xml:space="preserve">The scope of the indicator can be adapted to include freshwater, coastal and marine areas. Component (a) can accommodate data on freshwater, coastal and marine areas if this data is presented as the total area of land, freshwater, coastal, and marine territory held or used by IPs &amp; LCs that is recognized by government as a proportion of the total land, freshwater, coastal, and marine area held or used by IPs &amp; LCs.  The main limitation for inclusion of freshwater, coastal and marine areas is in component (c), which is based on the availability of land cover/land use change data that typically excludes marine areas. However, if such data are available, the methods for component (c) presented in this metadata sheet would apply.  </w:t>
      </w:r>
    </w:p>
    <w:p w14:paraId="58A3BA5C" w14:textId="77777777" w:rsidR="00A86318" w:rsidRPr="00F459FC" w:rsidRDefault="00A86318" w:rsidP="00552F57">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5FE7428F" w14:textId="4BFA33D8" w:rsidR="00552F57" w:rsidRPr="00F459FC"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F459FC">
        <w:rPr>
          <w:rStyle w:val="normaltextrun"/>
          <w:rFonts w:asciiTheme="majorBidi" w:eastAsiaTheme="majorEastAsia" w:hAnsiTheme="majorBidi" w:cstheme="majorBidi"/>
          <w:b/>
          <w:bCs/>
          <w:sz w:val="22"/>
          <w:szCs w:val="22"/>
          <w:lang w:val="en-GB"/>
        </w:rPr>
        <w:lastRenderedPageBreak/>
        <w:t>5b. Method of computation</w:t>
      </w:r>
      <w:r w:rsidRPr="00F459FC">
        <w:rPr>
          <w:rStyle w:val="eop"/>
          <w:rFonts w:asciiTheme="majorBidi" w:eastAsiaTheme="majorEastAsia" w:hAnsiTheme="majorBidi" w:cstheme="majorBidi"/>
          <w:sz w:val="22"/>
          <w:szCs w:val="22"/>
        </w:rPr>
        <w:t> </w:t>
      </w:r>
    </w:p>
    <w:p w14:paraId="0980EAB9" w14:textId="77777777" w:rsidR="006C0ED8" w:rsidRPr="00F459FC" w:rsidRDefault="005A792D" w:rsidP="006C0ED8">
      <w:pPr>
        <w:pStyle w:val="CBDNormalNumber"/>
        <w:numPr>
          <w:ilvl w:val="0"/>
          <w:numId w:val="156"/>
        </w:numPr>
        <w:shd w:val="clear" w:color="auto" w:fill="FFFFFF"/>
        <w:tabs>
          <w:tab w:val="clear" w:pos="1701"/>
        </w:tabs>
        <w:ind w:left="567" w:firstLine="0"/>
        <w:rPr>
          <w:color w:val="000000"/>
        </w:rPr>
      </w:pPr>
      <w:r w:rsidRPr="00F459FC">
        <w:rPr>
          <w:color w:val="000000"/>
        </w:rPr>
        <w:t>The land-use and land tenure indicator consists of three components –a, b, and c-- which are aggregated into a final reported value based on the average of the three components</w:t>
      </w:r>
      <w:r w:rsidR="004E5727" w:rsidRPr="00F459FC">
        <w:rPr>
          <w:color w:val="000000"/>
        </w:rPr>
        <w:t>:</w:t>
      </w:r>
      <w:r w:rsidRPr="00F459FC">
        <w:rPr>
          <w:color w:val="000000"/>
        </w:rPr>
        <w:t xml:space="preserve">  </w:t>
      </w:r>
    </w:p>
    <w:p w14:paraId="7E5B6DE6" w14:textId="77777777" w:rsidR="006C0ED8" w:rsidRPr="00F459FC" w:rsidRDefault="005A792D" w:rsidP="006C0ED8">
      <w:pPr>
        <w:pStyle w:val="CBDNormalNumber"/>
        <w:numPr>
          <w:ilvl w:val="1"/>
          <w:numId w:val="156"/>
        </w:numPr>
        <w:shd w:val="clear" w:color="auto" w:fill="FFFFFF"/>
        <w:tabs>
          <w:tab w:val="clear" w:pos="1701"/>
        </w:tabs>
        <w:rPr>
          <w:color w:val="000000"/>
        </w:rPr>
      </w:pPr>
      <w:r w:rsidRPr="00F459FC">
        <w:rPr>
          <w:color w:val="000000"/>
        </w:rPr>
        <w:t xml:space="preserve">Proportion (%) of lands and territories held or used by Indigenous Peoples and local communities with legal recognition or legally recognized documentation. </w:t>
      </w:r>
    </w:p>
    <w:p w14:paraId="700605D7" w14:textId="77777777" w:rsidR="006C0ED8" w:rsidRPr="00F459FC" w:rsidRDefault="005A792D" w:rsidP="006C0ED8">
      <w:pPr>
        <w:pStyle w:val="CBDNormalNumber"/>
        <w:numPr>
          <w:ilvl w:val="1"/>
          <w:numId w:val="156"/>
        </w:numPr>
        <w:shd w:val="clear" w:color="auto" w:fill="FFFFFF"/>
        <w:tabs>
          <w:tab w:val="clear" w:pos="1701"/>
        </w:tabs>
        <w:rPr>
          <w:color w:val="000000"/>
        </w:rPr>
      </w:pPr>
      <w:r w:rsidRPr="00F459FC">
        <w:rPr>
          <w:color w:val="212121"/>
        </w:rPr>
        <w:t xml:space="preserve">Proportion (%) of IP and LC communities and individuals </w:t>
      </w:r>
      <w:r w:rsidRPr="00F459FC">
        <w:rPr>
          <w:color w:val="000000"/>
        </w:rPr>
        <w:t>where there is perceived security of tenure.</w:t>
      </w:r>
    </w:p>
    <w:p w14:paraId="583E0A46" w14:textId="77777777" w:rsidR="006C0ED8" w:rsidRPr="00F459FC" w:rsidRDefault="005A792D" w:rsidP="006C0ED8">
      <w:pPr>
        <w:pStyle w:val="CBDNormalNumber"/>
        <w:numPr>
          <w:ilvl w:val="1"/>
          <w:numId w:val="156"/>
        </w:numPr>
        <w:shd w:val="clear" w:color="auto" w:fill="FFFFFF"/>
        <w:tabs>
          <w:tab w:val="clear" w:pos="1701"/>
        </w:tabs>
        <w:rPr>
          <w:color w:val="000000"/>
        </w:rPr>
      </w:pPr>
      <w:r w:rsidRPr="00F459FC">
        <w:rPr>
          <w:color w:val="212121"/>
        </w:rPr>
        <w:t>Proportion (%) of IP and LC land and territories that is categorized as non-degraded against a baseline year.</w:t>
      </w:r>
    </w:p>
    <w:p w14:paraId="08B2C9F3" w14:textId="2219F0F7" w:rsidR="005A792D" w:rsidRPr="00F459FC" w:rsidRDefault="005A792D" w:rsidP="006C0ED8">
      <w:pPr>
        <w:pStyle w:val="CBDNormalNumber"/>
        <w:numPr>
          <w:ilvl w:val="1"/>
          <w:numId w:val="156"/>
        </w:numPr>
        <w:shd w:val="clear" w:color="auto" w:fill="FFFFFF"/>
        <w:tabs>
          <w:tab w:val="clear" w:pos="1701"/>
        </w:tabs>
        <w:rPr>
          <w:color w:val="000000"/>
        </w:rPr>
      </w:pPr>
      <w:r w:rsidRPr="00F459FC">
        <w:rPr>
          <w:color w:val="212121"/>
        </w:rPr>
        <w:t xml:space="preserve">Final reported aggregate value: the average value of components a, b, and c. </w:t>
      </w:r>
    </w:p>
    <w:p w14:paraId="36180E69" w14:textId="77777777" w:rsidR="009219A8" w:rsidRPr="00F459FC" w:rsidRDefault="005A792D" w:rsidP="009219A8">
      <w:pPr>
        <w:pStyle w:val="CBDNormalNumber"/>
        <w:numPr>
          <w:ilvl w:val="0"/>
          <w:numId w:val="156"/>
        </w:numPr>
        <w:shd w:val="clear" w:color="auto" w:fill="FFFFFF"/>
        <w:tabs>
          <w:tab w:val="clear" w:pos="1701"/>
        </w:tabs>
        <w:ind w:left="567" w:firstLine="0"/>
        <w:rPr>
          <w:color w:val="000000"/>
        </w:rPr>
      </w:pPr>
      <w:r w:rsidRPr="00F459FC">
        <w:rPr>
          <w:color w:val="000000"/>
        </w:rPr>
        <w:t xml:space="preserve">For all components, a stage-based approach is used to show stages of development of the indicator and how a country could report against the indicator with varying levels of data availability as well as representativity of data and potential for disaggregation and associated complexity of the data. The stages are described in Annex I. </w:t>
      </w:r>
    </w:p>
    <w:p w14:paraId="0ABF827E" w14:textId="4C650C26" w:rsidR="009219A8" w:rsidRPr="00F459FC" w:rsidRDefault="009219A8" w:rsidP="009D5E87">
      <w:pPr>
        <w:pStyle w:val="CBDNormalNumber"/>
        <w:numPr>
          <w:ilvl w:val="0"/>
          <w:numId w:val="156"/>
        </w:numPr>
        <w:shd w:val="clear" w:color="auto" w:fill="FFFFFF"/>
        <w:tabs>
          <w:tab w:val="clear" w:pos="1701"/>
        </w:tabs>
        <w:ind w:left="567" w:firstLine="0"/>
        <w:rPr>
          <w:color w:val="000000"/>
        </w:rPr>
      </w:pPr>
      <w:r w:rsidRPr="00F459FC">
        <w:t xml:space="preserve">On component (a), method and means of computation proposed is as follows: </w:t>
      </w:r>
    </w:p>
    <w:p w14:paraId="6FF99235" w14:textId="227A7CE1" w:rsidR="009D5E87" w:rsidRPr="00F459FC" w:rsidRDefault="009D5E87" w:rsidP="00551A53">
      <w:pPr>
        <w:pStyle w:val="CBDNormalNumber"/>
        <w:shd w:val="clear" w:color="auto" w:fill="FFFFFF"/>
        <w:tabs>
          <w:tab w:val="clear" w:pos="1701"/>
        </w:tabs>
        <w:ind w:left="2304" w:right="855"/>
      </w:pPr>
      <w:r w:rsidRPr="00F459FC">
        <w:t>Proportion (</w:t>
      </w:r>
      <w:proofErr w:type="gramStart"/>
      <w:r w:rsidRPr="00F459FC">
        <w:t>%)  of</w:t>
      </w:r>
      <w:proofErr w:type="gramEnd"/>
      <w:r w:rsidRPr="00F459FC">
        <w:t xml:space="preserve"> lands and territories held or used by Indigenous Peoples and local communities with legal recognition or legally recognized documentation = </w:t>
      </w:r>
      <w:r w:rsidR="00D63A05" w:rsidRPr="00F459FC">
        <w:t>A</w:t>
      </w:r>
      <w:r w:rsidRPr="00F459FC">
        <w:t>rea held or used by Indigenous Peoples and local communities with legal recognition or legally recognized documentation (ha)</w:t>
      </w:r>
      <w:r w:rsidR="008E21BE" w:rsidRPr="00F459FC">
        <w:t xml:space="preserve"> /T</w:t>
      </w:r>
      <w:r w:rsidRPr="00F459FC">
        <w:t xml:space="preserve">otal area held or used by Indigenous Peoples and local communities (ha) </w:t>
      </w:r>
    </w:p>
    <w:p w14:paraId="1777D2DA" w14:textId="77777777" w:rsidR="001537BE" w:rsidRPr="00F459FC" w:rsidRDefault="001537BE" w:rsidP="001537BE">
      <w:pPr>
        <w:pStyle w:val="CBDNormalNumber"/>
        <w:numPr>
          <w:ilvl w:val="0"/>
          <w:numId w:val="156"/>
        </w:numPr>
        <w:shd w:val="clear" w:color="auto" w:fill="FFFFFF"/>
        <w:tabs>
          <w:tab w:val="clear" w:pos="1701"/>
        </w:tabs>
        <w:ind w:left="567" w:firstLine="0"/>
      </w:pPr>
      <w:r w:rsidRPr="00F459FC">
        <w:t xml:space="preserve">On component (b), method and means of computation proposed is as follows: </w:t>
      </w:r>
    </w:p>
    <w:p w14:paraId="1D6ECC5B" w14:textId="50F31598" w:rsidR="001537BE" w:rsidRPr="00F459FC" w:rsidRDefault="001537BE" w:rsidP="00875764">
      <w:pPr>
        <w:pStyle w:val="CBDNormalNumber"/>
        <w:shd w:val="clear" w:color="auto" w:fill="FFFFFF"/>
        <w:tabs>
          <w:tab w:val="clear" w:pos="1701"/>
        </w:tabs>
        <w:ind w:left="2304" w:right="855"/>
      </w:pPr>
      <w:r w:rsidRPr="00F459FC">
        <w:t>Proportion (</w:t>
      </w:r>
      <w:proofErr w:type="gramStart"/>
      <w:r w:rsidRPr="00F459FC">
        <w:t>%)  of</w:t>
      </w:r>
      <w:proofErr w:type="gramEnd"/>
      <w:r w:rsidRPr="00F459FC">
        <w:t xml:space="preserve"> the adult population in the area determined in denominator of component (a)</w:t>
      </w:r>
      <w:r w:rsidR="00551A53" w:rsidRPr="00F459FC">
        <w:t xml:space="preserve"> </w:t>
      </w:r>
      <w:r w:rsidRPr="00F459FC">
        <w:t xml:space="preserve">who perceive </w:t>
      </w:r>
      <w:proofErr w:type="gramStart"/>
      <w:r w:rsidRPr="00F459FC">
        <w:t xml:space="preserve">their </w:t>
      </w:r>
      <w:r w:rsidR="00551A53" w:rsidRPr="00F459FC">
        <w:t xml:space="preserve"> </w:t>
      </w:r>
      <w:r w:rsidRPr="00F459FC">
        <w:t>community</w:t>
      </w:r>
      <w:proofErr w:type="gramEnd"/>
      <w:r w:rsidRPr="00F459FC">
        <w:t xml:space="preserve">  tenure to be secure</w:t>
      </w:r>
      <w:r w:rsidR="00A76CC6" w:rsidRPr="00F459FC">
        <w:t xml:space="preserve"> </w:t>
      </w:r>
      <w:r w:rsidRPr="00F459FC">
        <w:t>= Adult population in the area determined in denominator of component (a)</w:t>
      </w:r>
      <w:r w:rsidR="00A76CC6" w:rsidRPr="00F459FC">
        <w:t xml:space="preserve"> </w:t>
      </w:r>
      <w:r w:rsidRPr="00F459FC">
        <w:t>who perceive their community's tenure to be secure /Total adult population in the area determined in denominator of component (a)</w:t>
      </w:r>
    </w:p>
    <w:p w14:paraId="49690B3E" w14:textId="77777777" w:rsidR="005D240F" w:rsidRPr="00F459FC" w:rsidRDefault="005D240F" w:rsidP="005D240F">
      <w:pPr>
        <w:pStyle w:val="CBDNormalNumber"/>
        <w:numPr>
          <w:ilvl w:val="0"/>
          <w:numId w:val="156"/>
        </w:numPr>
        <w:shd w:val="clear" w:color="auto" w:fill="FFFFFF"/>
        <w:tabs>
          <w:tab w:val="clear" w:pos="1701"/>
        </w:tabs>
        <w:ind w:left="567" w:firstLine="0"/>
      </w:pPr>
      <w:r w:rsidRPr="00F459FC">
        <w:t xml:space="preserve">On component (c), method and means of computation is as follows: </w:t>
      </w:r>
    </w:p>
    <w:p w14:paraId="3A76C95F" w14:textId="6808AA46" w:rsidR="00552F57" w:rsidRPr="00F459FC" w:rsidRDefault="005D240F" w:rsidP="00F213D8">
      <w:pPr>
        <w:pStyle w:val="CBDNormalNumber"/>
        <w:shd w:val="clear" w:color="auto" w:fill="FFFFFF"/>
        <w:tabs>
          <w:tab w:val="clear" w:pos="1701"/>
        </w:tabs>
        <w:ind w:left="2304" w:right="855"/>
      </w:pPr>
      <w:r w:rsidRPr="00F459FC">
        <w:t xml:space="preserve">Proportion (%)  of nondegraded land in area held or used by Indigenous Peoples and local communities </w:t>
      </w:r>
      <w:r w:rsidR="00326E5B" w:rsidRPr="00F459FC">
        <w:t xml:space="preserve"> </w:t>
      </w:r>
      <w:r w:rsidRPr="00F459FC">
        <w:t>=</w:t>
      </w:r>
      <w:r w:rsidR="00326E5B" w:rsidRPr="00F459FC">
        <w:t xml:space="preserve"> </w:t>
      </w:r>
      <w:r w:rsidRPr="00F459FC">
        <w:t>Area of nondegraded land in territories held or used by Indigenous Peoples and local communities in year n (ha)/</w:t>
      </w:r>
      <w:r w:rsidR="00326E5B" w:rsidRPr="00F459FC">
        <w:t xml:space="preserve"> </w:t>
      </w:r>
      <w:r w:rsidRPr="00F459FC">
        <w:t>(Total area held or used by Indigenous Peoples and local communities (ha)</w:t>
      </w:r>
      <w:r w:rsidR="00BB2505" w:rsidRPr="00F459FC">
        <w:t xml:space="preserve"> </w:t>
      </w:r>
      <w:r w:rsidR="00116045" w:rsidRPr="00F459FC">
        <w:t>Where</w:t>
      </w:r>
      <w:r w:rsidR="00BB2505" w:rsidRPr="00F459FC">
        <w:t xml:space="preserve"> the n</w:t>
      </w:r>
      <w:r w:rsidR="00116045" w:rsidRPr="00F459FC">
        <w:t xml:space="preserve">umerator </w:t>
      </w:r>
      <w:r w:rsidR="00BB2505" w:rsidRPr="00F459FC">
        <w:t>is the s</w:t>
      </w:r>
      <w:r w:rsidR="00116045" w:rsidRPr="00F459FC">
        <w:t xml:space="preserve">um of area (in hectares) covered by non-degraded (neutral or improving) land and water within mapped territories of Indigenous Peoples and local communities (legally recognized by government or not) in year n. This includes the sum of area where land cover/land use change is considered stable or improved (not degraded) from the baseline year.  Land cover/land use changes that constitute improved or neutral transitions (as well as degradation) are defined through a land cover/land use change matrix. A generic land cover/land use change matrix that illustrates how to classify and quantify transitions is shown in Appendix I. </w:t>
      </w:r>
      <w:proofErr w:type="gramStart"/>
      <w:r w:rsidR="00940F7D" w:rsidRPr="00F459FC">
        <w:t>Also</w:t>
      </w:r>
      <w:proofErr w:type="gramEnd"/>
      <w:r w:rsidR="00940F7D" w:rsidRPr="00F459FC">
        <w:t xml:space="preserve"> where the d</w:t>
      </w:r>
      <w:r w:rsidR="00116045" w:rsidRPr="00F459FC">
        <w:t xml:space="preserve">enominator </w:t>
      </w:r>
      <w:r w:rsidR="00940F7D" w:rsidRPr="00F459FC">
        <w:t>is the t</w:t>
      </w:r>
      <w:r w:rsidR="00116045" w:rsidRPr="00F459FC">
        <w:t>otal mapped area of territories of Indigenous Peoples and local communities (legally recognized by government or not)</w:t>
      </w:r>
    </w:p>
    <w:p w14:paraId="2FDAF85B" w14:textId="77777777" w:rsidR="001971AF" w:rsidRPr="00F459FC" w:rsidRDefault="0070571A" w:rsidP="001971AF">
      <w:pPr>
        <w:pStyle w:val="CBDNormalNumber"/>
        <w:numPr>
          <w:ilvl w:val="0"/>
          <w:numId w:val="156"/>
        </w:numPr>
        <w:shd w:val="clear" w:color="auto" w:fill="FFFFFF"/>
        <w:tabs>
          <w:tab w:val="clear" w:pos="1701"/>
        </w:tabs>
        <w:ind w:left="567" w:firstLine="0"/>
      </w:pPr>
      <w:r w:rsidRPr="00F459FC">
        <w:lastRenderedPageBreak/>
        <w:t>The methods for component (c) are aligned with the methods for SDG 15.3.1 “Proportion of land that is degraded over total land area”</w:t>
      </w:r>
      <w:r w:rsidRPr="00F459FC">
        <w:footnoteReference w:id="56"/>
      </w:r>
      <w:r w:rsidRPr="00F459FC">
        <w:t xml:space="preserve"> and SDG 15.4.2(b) “Proportion of degraded mountain land”</w:t>
      </w:r>
      <w:r w:rsidRPr="00F459FC">
        <w:rPr>
          <w:vertAlign w:val="superscript"/>
        </w:rPr>
        <w:footnoteReference w:id="57"/>
      </w:r>
      <w:r w:rsidRPr="00F459FC">
        <w:t xml:space="preserve"> but reports the inverse value (i.e., reports non-degraded area instead of degraded area).  The same land cover</w:t>
      </w:r>
      <w:sdt>
        <w:sdtPr>
          <w:tag w:val="goog_rdk_159"/>
          <w:id w:val="-1451118366"/>
        </w:sdtPr>
        <w:sdtContent>
          <w:r w:rsidRPr="00F459FC">
            <w:t>/land use</w:t>
          </w:r>
        </w:sdtContent>
      </w:sdt>
      <w:r w:rsidRPr="00F459FC">
        <w:t xml:space="preserve"> change data used for SDG 15.3.1 and 15.4.2 could be used for reporting on this indicator, many of which are detailed in the respective metadata sheets and Good Practice Guidance for SDG Indicator 15.3.1</w:t>
      </w:r>
      <w:r w:rsidRPr="00F459FC">
        <w:rPr>
          <w:vertAlign w:val="superscript"/>
        </w:rPr>
        <w:footnoteReference w:id="58"/>
      </w:r>
      <w:r w:rsidRPr="00F459FC">
        <w:t xml:space="preserve">.  </w:t>
      </w:r>
    </w:p>
    <w:p w14:paraId="3E906322" w14:textId="77777777" w:rsidR="00851F27" w:rsidRPr="00F459FC" w:rsidRDefault="0070571A" w:rsidP="00851F27">
      <w:pPr>
        <w:pStyle w:val="CBDNormalNumber"/>
        <w:numPr>
          <w:ilvl w:val="0"/>
          <w:numId w:val="156"/>
        </w:numPr>
        <w:shd w:val="clear" w:color="auto" w:fill="FFFFFF"/>
        <w:tabs>
          <w:tab w:val="clear" w:pos="1701"/>
        </w:tabs>
        <w:ind w:left="567" w:firstLine="0"/>
      </w:pPr>
      <w:r w:rsidRPr="00F459FC">
        <w:rPr>
          <w:color w:val="000000"/>
        </w:rPr>
        <w:t>Regular reporting of the indicator would allow an examination of land use changes over time within the territories of Indigenous Peoples and local communities against a baseline year.  In lieu of land cover</w:t>
      </w:r>
      <w:sdt>
        <w:sdtPr>
          <w:tag w:val="goog_rdk_161"/>
          <w:id w:val="2080607105"/>
        </w:sdtPr>
        <w:sdtContent>
          <w:r w:rsidRPr="00F459FC">
            <w:rPr>
              <w:color w:val="000000"/>
            </w:rPr>
            <w:t>/land use</w:t>
          </w:r>
        </w:sdtContent>
      </w:sdt>
      <w:r w:rsidRPr="00F459FC">
        <w:rPr>
          <w:color w:val="000000"/>
        </w:rPr>
        <w:t xml:space="preserve"> analyses, variations such as analysis of forest cover extent (where forests are the dominant natural ecosystem) could be used as a proxy.  See Appendix I. </w:t>
      </w:r>
    </w:p>
    <w:p w14:paraId="1EAE8CCE" w14:textId="0A39E4AB" w:rsidR="00851F27" w:rsidRPr="00F459FC" w:rsidRDefault="00851F27" w:rsidP="00851F27">
      <w:pPr>
        <w:pStyle w:val="CBDNormalNumber"/>
        <w:numPr>
          <w:ilvl w:val="0"/>
          <w:numId w:val="156"/>
        </w:numPr>
        <w:shd w:val="clear" w:color="auto" w:fill="FFFFFF"/>
        <w:tabs>
          <w:tab w:val="clear" w:pos="1701"/>
        </w:tabs>
        <w:ind w:left="567" w:firstLine="0"/>
      </w:pPr>
      <w:r w:rsidRPr="00F459FC">
        <w:rPr>
          <w:color w:val="000000"/>
        </w:rPr>
        <w:t>The f</w:t>
      </w:r>
      <w:r w:rsidRPr="00F459FC">
        <w:t xml:space="preserve">inal aggregate value, method and means of computation is as follows: </w:t>
      </w:r>
    </w:p>
    <w:p w14:paraId="30B3E37C" w14:textId="77777777" w:rsidR="00851F27" w:rsidRPr="00F459FC" w:rsidRDefault="00000000" w:rsidP="00851F27">
      <w:pPr>
        <w:pStyle w:val="CBDNormalNumber"/>
        <w:shd w:val="clear" w:color="auto" w:fill="FFFFFF"/>
        <w:tabs>
          <w:tab w:val="clear" w:pos="1701"/>
        </w:tabs>
        <w:ind w:left="2304" w:right="855"/>
      </w:pPr>
      <m:oMathPara>
        <m:oMath>
          <m:f>
            <m:fPr>
              <m:ctrlPr>
                <w:rPr>
                  <w:rFonts w:ascii="Cambria Math" w:eastAsia="Cambria Math" w:hAnsi="Cambria Math" w:cs="Cambria Math"/>
                </w:rPr>
              </m:ctrlPr>
            </m:fPr>
            <m:num>
              <m:r>
                <w:rPr>
                  <w:rFonts w:ascii="Cambria Math" w:eastAsia="Cambria Math" w:hAnsi="Cambria Math" w:cs="Cambria Math"/>
                </w:rPr>
                <m:t>Component</m:t>
              </m:r>
              <m:r>
                <m:rPr>
                  <m:sty m:val="p"/>
                </m:rPr>
                <w:rPr>
                  <w:rFonts w:ascii="Cambria Math" w:eastAsia="Cambria Math" w:hAnsi="Cambria Math" w:cs="Cambria Math"/>
                </w:rPr>
                <m:t xml:space="preserve"> (</m:t>
              </m:r>
              <m:r>
                <w:rPr>
                  <w:rFonts w:ascii="Cambria Math" w:eastAsia="Cambria Math" w:hAnsi="Cambria Math" w:cs="Cambria Math"/>
                </w:rPr>
                <m:t>a</m:t>
              </m:r>
              <m:r>
                <m:rPr>
                  <m:sty m:val="p"/>
                </m:rPr>
                <w:rPr>
                  <w:rFonts w:ascii="Cambria Math" w:eastAsia="Cambria Math" w:hAnsi="Cambria Math" w:cs="Cambria Math"/>
                </w:rPr>
                <m:t>)+</m:t>
              </m:r>
              <m:r>
                <w:rPr>
                  <w:rFonts w:ascii="Cambria Math" w:eastAsia="Cambria Math" w:hAnsi="Cambria Math" w:cs="Cambria Math"/>
                </w:rPr>
                <m:t>Component</m:t>
              </m:r>
              <m:r>
                <m:rPr>
                  <m:sty m:val="p"/>
                </m:rPr>
                <w:rPr>
                  <w:rFonts w:ascii="Cambria Math" w:eastAsia="Cambria Math" w:hAnsi="Cambria Math" w:cs="Cambria Math"/>
                </w:rPr>
                <m:t xml:space="preserve"> (</m:t>
              </m:r>
              <m:r>
                <w:rPr>
                  <w:rFonts w:ascii="Cambria Math" w:eastAsia="Cambria Math" w:hAnsi="Cambria Math" w:cs="Cambria Math"/>
                </w:rPr>
                <m:t>b</m:t>
              </m:r>
              <m:r>
                <m:rPr>
                  <m:sty m:val="p"/>
                </m:rPr>
                <w:rPr>
                  <w:rFonts w:ascii="Cambria Math" w:eastAsia="Cambria Math" w:hAnsi="Cambria Math" w:cs="Cambria Math"/>
                </w:rPr>
                <m:t>)+</m:t>
              </m:r>
              <m:r>
                <w:rPr>
                  <w:rFonts w:ascii="Cambria Math" w:eastAsia="Cambria Math" w:hAnsi="Cambria Math" w:cs="Cambria Math"/>
                </w:rPr>
                <m:t>Component</m:t>
              </m:r>
              <m:r>
                <m:rPr>
                  <m:sty m:val="p"/>
                </m:rPr>
                <w:rPr>
                  <w:rFonts w:ascii="Cambria Math" w:eastAsia="Cambria Math" w:hAnsi="Cambria Math" w:cs="Cambria Math"/>
                </w:rPr>
                <m:t xml:space="preserve"> (</m:t>
              </m:r>
              <m:r>
                <w:rPr>
                  <w:rFonts w:ascii="Cambria Math" w:eastAsia="Cambria Math" w:hAnsi="Cambria Math" w:cs="Cambria Math"/>
                </w:rPr>
                <m:t>c</m:t>
              </m:r>
              <m:r>
                <m:rPr>
                  <m:sty m:val="p"/>
                </m:rPr>
                <w:rPr>
                  <w:rFonts w:ascii="Cambria Math" w:eastAsia="Cambria Math" w:hAnsi="Cambria Math" w:cs="Cambria Math"/>
                </w:rPr>
                <m:t>)</m:t>
              </m:r>
            </m:num>
            <m:den>
              <m:r>
                <m:rPr>
                  <m:sty m:val="p"/>
                </m:rPr>
                <w:rPr>
                  <w:rFonts w:ascii="Cambria Math" w:eastAsia="Cambria Math" w:hAnsi="Cambria Math" w:cs="Cambria Math"/>
                </w:rPr>
                <m:t>3</m:t>
              </m:r>
            </m:den>
          </m:f>
        </m:oMath>
      </m:oMathPara>
    </w:p>
    <w:p w14:paraId="7BE60D91" w14:textId="77777777" w:rsidR="00F830A2" w:rsidRPr="00F459FC" w:rsidRDefault="00F830A2" w:rsidP="00F830A2">
      <w:pPr>
        <w:pBdr>
          <w:top w:val="nil"/>
          <w:left w:val="nil"/>
          <w:bottom w:val="nil"/>
          <w:right w:val="nil"/>
          <w:between w:val="nil"/>
        </w:pBdr>
        <w:ind w:firstLine="720"/>
        <w:rPr>
          <w:color w:val="000000"/>
          <w:sz w:val="22"/>
          <w:szCs w:val="22"/>
        </w:rPr>
      </w:pPr>
      <w:r w:rsidRPr="00F459FC">
        <w:rPr>
          <w:color w:val="000000"/>
          <w:sz w:val="22"/>
          <w:szCs w:val="22"/>
        </w:rPr>
        <w:t xml:space="preserve">Where: </w:t>
      </w:r>
    </w:p>
    <w:p w14:paraId="4101E670" w14:textId="6CC5D0BE" w:rsidR="00F830A2" w:rsidRPr="00F459FC" w:rsidRDefault="00F830A2" w:rsidP="00F830A2">
      <w:pPr>
        <w:pStyle w:val="CBDNormalNumber"/>
        <w:numPr>
          <w:ilvl w:val="1"/>
          <w:numId w:val="156"/>
        </w:numPr>
        <w:shd w:val="clear" w:color="auto" w:fill="FFFFFF"/>
        <w:tabs>
          <w:tab w:val="clear" w:pos="1701"/>
        </w:tabs>
        <w:rPr>
          <w:color w:val="212121"/>
        </w:rPr>
      </w:pPr>
      <w:r w:rsidRPr="00F459FC">
        <w:rPr>
          <w:color w:val="212121"/>
        </w:rPr>
        <w:t xml:space="preserve">Component (a) is the proportion (%) of lands and territories held or used by Indigenous Peoples and local communities with legal recognition or legally recognized documentation. </w:t>
      </w:r>
    </w:p>
    <w:p w14:paraId="00F23D45" w14:textId="77777777" w:rsidR="00F830A2" w:rsidRPr="00F459FC" w:rsidRDefault="00F830A2" w:rsidP="00F830A2">
      <w:pPr>
        <w:pStyle w:val="CBDNormalNumber"/>
        <w:numPr>
          <w:ilvl w:val="1"/>
          <w:numId w:val="156"/>
        </w:numPr>
        <w:shd w:val="clear" w:color="auto" w:fill="FFFFFF"/>
        <w:tabs>
          <w:tab w:val="clear" w:pos="1701"/>
        </w:tabs>
        <w:rPr>
          <w:color w:val="212121"/>
        </w:rPr>
      </w:pPr>
      <w:r w:rsidRPr="00F459FC">
        <w:rPr>
          <w:color w:val="212121"/>
        </w:rPr>
        <w:t xml:space="preserve">Component (b) is the proportion (%) of lands and territories held or used by Indigenous Peoples and local communities where there is perceived security of tenure. </w:t>
      </w:r>
    </w:p>
    <w:p w14:paraId="682526BA" w14:textId="77777777" w:rsidR="00F830A2" w:rsidRPr="00F459FC" w:rsidRDefault="00F830A2" w:rsidP="00F830A2">
      <w:pPr>
        <w:pStyle w:val="CBDNormalNumber"/>
        <w:numPr>
          <w:ilvl w:val="1"/>
          <w:numId w:val="156"/>
        </w:numPr>
        <w:shd w:val="clear" w:color="auto" w:fill="FFFFFF"/>
        <w:tabs>
          <w:tab w:val="clear" w:pos="1701"/>
        </w:tabs>
        <w:rPr>
          <w:color w:val="212121"/>
        </w:rPr>
      </w:pPr>
      <w:r w:rsidRPr="00F459FC">
        <w:rPr>
          <w:color w:val="212121"/>
        </w:rPr>
        <w:t xml:space="preserve">Component (c) is the proportion (%) of non-degraded (neutral or improving) land and water within mapped land and </w:t>
      </w:r>
      <w:sdt>
        <w:sdtPr>
          <w:rPr>
            <w:color w:val="212121"/>
          </w:rPr>
          <w:tag w:val="goog_rdk_162"/>
          <w:id w:val="884144395"/>
        </w:sdtPr>
        <w:sdtContent/>
      </w:sdt>
      <w:r w:rsidRPr="00F459FC">
        <w:rPr>
          <w:color w:val="212121"/>
        </w:rPr>
        <w:t xml:space="preserve">territories of Indigenous Peoples and local communities. </w:t>
      </w:r>
    </w:p>
    <w:p w14:paraId="744BA348" w14:textId="77777777" w:rsidR="00F830A2" w:rsidRPr="00F459FC" w:rsidRDefault="00F830A2" w:rsidP="000B7BAD">
      <w:pPr>
        <w:pStyle w:val="CBDNormalNumber"/>
        <w:numPr>
          <w:ilvl w:val="0"/>
          <w:numId w:val="156"/>
        </w:numPr>
        <w:shd w:val="clear" w:color="auto" w:fill="FFFFFF"/>
        <w:tabs>
          <w:tab w:val="clear" w:pos="1701"/>
        </w:tabs>
        <w:ind w:left="567" w:firstLine="0"/>
        <w:rPr>
          <w:color w:val="000000"/>
        </w:rPr>
      </w:pPr>
      <w:r w:rsidRPr="00F459FC">
        <w:rPr>
          <w:color w:val="000000"/>
        </w:rPr>
        <w:t xml:space="preserve">All component values are reported as percent with 0 being the lowest possible value and 100 being the highest (best) possible value, and so the final reported average value will also represent this scale. </w:t>
      </w:r>
    </w:p>
    <w:p w14:paraId="6BD5EAE5" w14:textId="77777777" w:rsidR="000B7BAD" w:rsidRPr="00F459FC" w:rsidRDefault="000B7BAD" w:rsidP="00552F57">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7A180B50" w14:textId="6AFFA125" w:rsidR="00552F57" w:rsidRPr="00F459FC"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F459FC">
        <w:rPr>
          <w:rStyle w:val="normaltextrun"/>
          <w:rFonts w:asciiTheme="majorBidi" w:eastAsiaTheme="majorEastAsia" w:hAnsiTheme="majorBidi" w:cstheme="majorBidi"/>
          <w:b/>
          <w:bCs/>
          <w:sz w:val="22"/>
          <w:szCs w:val="22"/>
          <w:lang w:val="en-GB"/>
        </w:rPr>
        <w:t>5c. Data collection method </w:t>
      </w:r>
      <w:r w:rsidRPr="00F459FC">
        <w:rPr>
          <w:rStyle w:val="eop"/>
          <w:rFonts w:asciiTheme="majorBidi" w:eastAsiaTheme="majorEastAsia" w:hAnsiTheme="majorBidi" w:cstheme="majorBidi"/>
          <w:b/>
          <w:bCs/>
          <w:sz w:val="22"/>
          <w:szCs w:val="22"/>
        </w:rPr>
        <w:t> </w:t>
      </w:r>
    </w:p>
    <w:p w14:paraId="5B9D7A2E" w14:textId="77777777" w:rsidR="00B56945" w:rsidRPr="00F459FC" w:rsidRDefault="00B56945" w:rsidP="00B56945">
      <w:pPr>
        <w:pStyle w:val="CBDNormalNumber"/>
        <w:numPr>
          <w:ilvl w:val="0"/>
          <w:numId w:val="156"/>
        </w:numPr>
        <w:shd w:val="clear" w:color="auto" w:fill="FFFFFF"/>
        <w:tabs>
          <w:tab w:val="clear" w:pos="1701"/>
        </w:tabs>
        <w:ind w:left="567" w:firstLine="0"/>
        <w:rPr>
          <w:color w:val="000000"/>
        </w:rPr>
      </w:pPr>
      <w:r w:rsidRPr="00F459FC">
        <w:rPr>
          <w:color w:val="000000"/>
        </w:rPr>
        <w:t xml:space="preserve">Data collection is already being carried out via multiple organizations and initiatives in cases where national sources of data are not available as outlined in section 5e.  See annex I for further detail on how data will be collected in stages of data availability. </w:t>
      </w:r>
    </w:p>
    <w:p w14:paraId="4592B45F" w14:textId="77777777" w:rsidR="00552F57" w:rsidRPr="00F459FC" w:rsidRDefault="00552F57" w:rsidP="00812871">
      <w:pPr>
        <w:pStyle w:val="CBDNormalNumber"/>
        <w:shd w:val="clear" w:color="auto" w:fill="FFFFFF"/>
        <w:ind w:left="567"/>
        <w:rPr>
          <w:rFonts w:asciiTheme="majorBidi" w:hAnsiTheme="majorBidi" w:cstheme="majorBidi"/>
          <w:lang w:val="en-CA"/>
        </w:rPr>
      </w:pPr>
    </w:p>
    <w:p w14:paraId="281E7D33" w14:textId="77777777" w:rsidR="00552F57" w:rsidRPr="00F459FC" w:rsidRDefault="00552F57"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r w:rsidRPr="00F459FC">
        <w:rPr>
          <w:rStyle w:val="normaltextrun"/>
          <w:rFonts w:asciiTheme="majorBidi" w:eastAsiaTheme="majorEastAsia" w:hAnsiTheme="majorBidi" w:cstheme="majorBidi"/>
          <w:b/>
          <w:bCs/>
          <w:sz w:val="22"/>
          <w:szCs w:val="22"/>
          <w:lang w:val="en-GB"/>
        </w:rPr>
        <w:t>5d. Accessibility of methodology</w:t>
      </w:r>
      <w:r w:rsidRPr="00F459FC">
        <w:rPr>
          <w:rStyle w:val="eop"/>
          <w:rFonts w:asciiTheme="majorBidi" w:eastAsiaTheme="majorEastAsia" w:hAnsiTheme="majorBidi" w:cstheme="majorBidi"/>
          <w:b/>
          <w:bCs/>
          <w:sz w:val="22"/>
          <w:szCs w:val="22"/>
        </w:rPr>
        <w:t> </w:t>
      </w:r>
    </w:p>
    <w:p w14:paraId="2C8AB6D0" w14:textId="77777777" w:rsidR="00C15322" w:rsidRPr="00F459FC" w:rsidRDefault="00C840E3" w:rsidP="00C15322">
      <w:pPr>
        <w:pStyle w:val="CBDNormalNumber"/>
        <w:numPr>
          <w:ilvl w:val="0"/>
          <w:numId w:val="156"/>
        </w:numPr>
        <w:shd w:val="clear" w:color="auto" w:fill="FFFFFF"/>
        <w:tabs>
          <w:tab w:val="clear" w:pos="1701"/>
        </w:tabs>
        <w:ind w:left="567" w:firstLine="0"/>
        <w:rPr>
          <w:color w:val="000000"/>
        </w:rPr>
      </w:pPr>
      <w:r w:rsidRPr="00F459FC">
        <w:rPr>
          <w:color w:val="000000"/>
        </w:rPr>
        <w:t>Methods were developed by a technical working group of multiple organizations.</w:t>
      </w:r>
      <w:r w:rsidRPr="00F459FC">
        <w:rPr>
          <w:color w:val="000000"/>
        </w:rPr>
        <w:footnoteReference w:id="59"/>
      </w:r>
      <w:r w:rsidRPr="00F459FC">
        <w:rPr>
          <w:color w:val="000000"/>
        </w:rPr>
        <w:t xml:space="preserve"> The current methodology was reviewed and updated based on submissions received from Parties, Indigenous Peoples, and local communities during a comment period initiated in April 2025. See </w:t>
      </w:r>
      <w:hyperlink r:id="rId517">
        <w:r w:rsidRPr="00F459FC">
          <w:rPr>
            <w:color w:val="000000"/>
          </w:rPr>
          <w:t>ntf-2025-046-kmgbf</w:t>
        </w:r>
      </w:hyperlink>
      <w:r w:rsidRPr="00F459FC">
        <w:rPr>
          <w:color w:val="000000"/>
        </w:rPr>
        <w:t>.</w:t>
      </w:r>
    </w:p>
    <w:p w14:paraId="5F2D793F" w14:textId="669CE85A" w:rsidR="00C840E3" w:rsidRPr="00F459FC" w:rsidRDefault="00C840E3" w:rsidP="00C15322">
      <w:pPr>
        <w:pStyle w:val="CBDNormalNumber"/>
        <w:numPr>
          <w:ilvl w:val="0"/>
          <w:numId w:val="156"/>
        </w:numPr>
        <w:shd w:val="clear" w:color="auto" w:fill="FFFFFF"/>
        <w:tabs>
          <w:tab w:val="clear" w:pos="1701"/>
        </w:tabs>
        <w:ind w:left="567" w:firstLine="0"/>
        <w:rPr>
          <w:color w:val="000000"/>
        </w:rPr>
      </w:pPr>
      <w:r w:rsidRPr="00F459FC">
        <w:rPr>
          <w:color w:val="000000"/>
        </w:rPr>
        <w:t>The latest version of the methodology will be publicly available on the websites of the CBD, and FAO’s Global Land Observatory, and UNEP-WCMC’s Target Tracker.</w:t>
      </w:r>
    </w:p>
    <w:p w14:paraId="3FB0C762" w14:textId="77777777" w:rsidR="00552F57" w:rsidRPr="00F459FC"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F459FC">
        <w:rPr>
          <w:rStyle w:val="normaltextrun"/>
          <w:rFonts w:asciiTheme="majorBidi" w:eastAsiaTheme="majorEastAsia" w:hAnsiTheme="majorBidi" w:cstheme="majorBidi"/>
          <w:b/>
          <w:bCs/>
          <w:sz w:val="22"/>
          <w:szCs w:val="22"/>
          <w:lang w:val="en-GB"/>
        </w:rPr>
        <w:lastRenderedPageBreak/>
        <w:t>5e. Data sources</w:t>
      </w:r>
      <w:r w:rsidRPr="00F459FC">
        <w:rPr>
          <w:rStyle w:val="eop"/>
          <w:rFonts w:asciiTheme="majorBidi" w:eastAsiaTheme="majorEastAsia" w:hAnsiTheme="majorBidi" w:cstheme="majorBidi"/>
          <w:b/>
          <w:bCs/>
          <w:sz w:val="22"/>
          <w:szCs w:val="22"/>
        </w:rPr>
        <w:t> </w:t>
      </w:r>
    </w:p>
    <w:p w14:paraId="5BE65919" w14:textId="77777777" w:rsidR="009D5F91" w:rsidRPr="00F459FC" w:rsidRDefault="00350A61" w:rsidP="009D5F91">
      <w:pPr>
        <w:pStyle w:val="CBDNormalNumber"/>
        <w:numPr>
          <w:ilvl w:val="0"/>
          <w:numId w:val="156"/>
        </w:numPr>
        <w:shd w:val="clear" w:color="auto" w:fill="FFFFFF"/>
        <w:tabs>
          <w:tab w:val="clear" w:pos="1701"/>
        </w:tabs>
        <w:ind w:left="567" w:firstLine="0"/>
        <w:rPr>
          <w:color w:val="000000"/>
        </w:rPr>
      </w:pPr>
      <w:r w:rsidRPr="00F459FC">
        <w:rPr>
          <w:color w:val="000000"/>
        </w:rPr>
        <w:t>Multiple data sources are available for components (a), (b), and (c) of the indicator. For example, official land administration data for SDG 1.4.2, where available, could be used for component (</w:t>
      </w:r>
      <w:proofErr w:type="gramStart"/>
      <w:r w:rsidRPr="00F459FC">
        <w:rPr>
          <w:color w:val="000000"/>
        </w:rPr>
        <w:t>a)  of</w:t>
      </w:r>
      <w:proofErr w:type="gramEnd"/>
      <w:r w:rsidRPr="00F459FC">
        <w:rPr>
          <w:color w:val="000000"/>
        </w:rPr>
        <w:t xml:space="preserve"> the indicator. Component (b) data will be sourced from survey-based sources such as household surveys/Focused Group Discussions (FGDs)/ Key Informant Interviews (KIIs) with IPs &amp; </w:t>
      </w:r>
      <w:proofErr w:type="gramStart"/>
      <w:r w:rsidRPr="00F459FC">
        <w:rPr>
          <w:color w:val="000000"/>
        </w:rPr>
        <w:t>LCs,  and</w:t>
      </w:r>
      <w:proofErr w:type="gramEnd"/>
      <w:r w:rsidRPr="00F459FC">
        <w:rPr>
          <w:color w:val="000000"/>
        </w:rPr>
        <w:t xml:space="preserve"> land cover</w:t>
      </w:r>
      <w:sdt>
        <w:sdtPr>
          <w:rPr>
            <w:color w:val="000000"/>
          </w:rPr>
          <w:tag w:val="goog_rdk_168"/>
          <w:id w:val="-2046174603"/>
        </w:sdtPr>
        <w:sdtContent>
          <w:r w:rsidRPr="00F459FC">
            <w:rPr>
              <w:color w:val="000000"/>
            </w:rPr>
            <w:t>/land use</w:t>
          </w:r>
        </w:sdtContent>
      </w:sdt>
      <w:r w:rsidRPr="00F459FC">
        <w:rPr>
          <w:color w:val="000000"/>
        </w:rPr>
        <w:t xml:space="preserve"> data sourced from SDG 15.3.1 and 15.4.2 for component (c), and other sources as follows:</w:t>
      </w:r>
    </w:p>
    <w:p w14:paraId="3EAA4097" w14:textId="77777777" w:rsidR="009D5F91" w:rsidRPr="00F459FC" w:rsidRDefault="00350A61" w:rsidP="009D5F91">
      <w:pPr>
        <w:pStyle w:val="CBDNormalNumber"/>
        <w:numPr>
          <w:ilvl w:val="1"/>
          <w:numId w:val="156"/>
        </w:numPr>
        <w:shd w:val="clear" w:color="auto" w:fill="FFFFFF"/>
        <w:tabs>
          <w:tab w:val="clear" w:pos="1701"/>
        </w:tabs>
        <w:rPr>
          <w:color w:val="000000"/>
        </w:rPr>
      </w:pPr>
      <w:r w:rsidRPr="00F459FC">
        <w:rPr>
          <w:color w:val="000000"/>
        </w:rPr>
        <w:t xml:space="preserve">For component (a), </w:t>
      </w:r>
      <w:r w:rsidRPr="00F459FC">
        <w:rPr>
          <w:i/>
          <w:iCs/>
          <w:color w:val="000000"/>
        </w:rPr>
        <w:t>Proportion (%) of lands and territories held or used by IP and LC with legal recognition or legally recognized documentation</w:t>
      </w:r>
      <w:r w:rsidRPr="00F459FC">
        <w:rPr>
          <w:color w:val="000000"/>
        </w:rPr>
        <w:t>, data sources include:</w:t>
      </w:r>
    </w:p>
    <w:p w14:paraId="355ED2AD" w14:textId="77777777" w:rsidR="009D5F91" w:rsidRPr="00F459FC" w:rsidRDefault="00350A61" w:rsidP="009D5F91">
      <w:pPr>
        <w:pStyle w:val="CBDNormalNumber"/>
        <w:numPr>
          <w:ilvl w:val="2"/>
          <w:numId w:val="156"/>
        </w:numPr>
        <w:shd w:val="clear" w:color="auto" w:fill="FFFFFF"/>
        <w:tabs>
          <w:tab w:val="clear" w:pos="1701"/>
        </w:tabs>
        <w:rPr>
          <w:color w:val="000000"/>
        </w:rPr>
      </w:pPr>
      <w:r w:rsidRPr="00F459FC">
        <w:rPr>
          <w:color w:val="000000"/>
        </w:rPr>
        <w:t>Local and national sources</w:t>
      </w:r>
    </w:p>
    <w:p w14:paraId="47ED5124" w14:textId="77777777" w:rsidR="009D5F91" w:rsidRPr="00F459FC" w:rsidRDefault="00350A61" w:rsidP="009D5F91">
      <w:pPr>
        <w:pStyle w:val="CBDNormalNumber"/>
        <w:numPr>
          <w:ilvl w:val="2"/>
          <w:numId w:val="156"/>
        </w:numPr>
        <w:shd w:val="clear" w:color="auto" w:fill="FFFFFF"/>
        <w:tabs>
          <w:tab w:val="clear" w:pos="1701"/>
        </w:tabs>
        <w:rPr>
          <w:color w:val="000000"/>
        </w:rPr>
      </w:pPr>
      <w:hyperlink r:id="rId518">
        <w:proofErr w:type="spellStart"/>
        <w:r w:rsidRPr="00F459FC">
          <w:rPr>
            <w:color w:val="0000FF"/>
            <w:u w:val="single"/>
          </w:rPr>
          <w:t>LandMark</w:t>
        </w:r>
        <w:proofErr w:type="spellEnd"/>
      </w:hyperlink>
      <w:r w:rsidRPr="00F459FC">
        <w:rPr>
          <w:color w:val="000000"/>
        </w:rPr>
        <w:t xml:space="preserve"> </w:t>
      </w:r>
    </w:p>
    <w:p w14:paraId="68504FCD" w14:textId="77777777" w:rsidR="009D5F91" w:rsidRPr="00F459FC" w:rsidRDefault="00350A61" w:rsidP="009D5F91">
      <w:pPr>
        <w:pStyle w:val="CBDNormalNumber"/>
        <w:numPr>
          <w:ilvl w:val="2"/>
          <w:numId w:val="156"/>
        </w:numPr>
        <w:shd w:val="clear" w:color="auto" w:fill="FFFFFF"/>
        <w:tabs>
          <w:tab w:val="clear" w:pos="1701"/>
        </w:tabs>
        <w:rPr>
          <w:color w:val="000000"/>
        </w:rPr>
      </w:pPr>
      <w:r w:rsidRPr="00F459FC">
        <w:rPr>
          <w:color w:val="000000"/>
        </w:rPr>
        <w:t xml:space="preserve">Rights and Resources Initiative (RRI) </w:t>
      </w:r>
      <w:hyperlink r:id="rId519">
        <w:r w:rsidRPr="00F459FC">
          <w:rPr>
            <w:color w:val="0000FF"/>
            <w:u w:val="single"/>
          </w:rPr>
          <w:t>Who Owns the World’s Land?</w:t>
        </w:r>
      </w:hyperlink>
      <w:r w:rsidRPr="00F459FC">
        <w:t xml:space="preserve"> </w:t>
      </w:r>
    </w:p>
    <w:p w14:paraId="658CBE3A" w14:textId="77777777" w:rsidR="009D5F91" w:rsidRPr="00F459FC" w:rsidRDefault="00350A61" w:rsidP="009D5F91">
      <w:pPr>
        <w:pStyle w:val="CBDNormalNumber"/>
        <w:numPr>
          <w:ilvl w:val="2"/>
          <w:numId w:val="156"/>
        </w:numPr>
        <w:shd w:val="clear" w:color="auto" w:fill="FFFFFF"/>
        <w:tabs>
          <w:tab w:val="clear" w:pos="1701"/>
        </w:tabs>
        <w:rPr>
          <w:color w:val="000000"/>
        </w:rPr>
      </w:pPr>
      <w:hyperlink r:id="rId520">
        <w:r w:rsidRPr="00F459FC">
          <w:rPr>
            <w:color w:val="0000FF"/>
            <w:u w:val="single"/>
          </w:rPr>
          <w:t>Afro-descendant Atlas</w:t>
        </w:r>
      </w:hyperlink>
    </w:p>
    <w:p w14:paraId="2AF9255F" w14:textId="77777777" w:rsidR="009D5F91" w:rsidRPr="00F459FC" w:rsidRDefault="00350A61" w:rsidP="009D5F91">
      <w:pPr>
        <w:pStyle w:val="CBDNormalNumber"/>
        <w:numPr>
          <w:ilvl w:val="2"/>
          <w:numId w:val="156"/>
        </w:numPr>
        <w:shd w:val="clear" w:color="auto" w:fill="FFFFFF"/>
        <w:tabs>
          <w:tab w:val="clear" w:pos="1701"/>
        </w:tabs>
        <w:rPr>
          <w:color w:val="000000"/>
        </w:rPr>
      </w:pPr>
      <w:hyperlink r:id="rId521">
        <w:r w:rsidRPr="00F459FC">
          <w:rPr>
            <w:color w:val="0000FF"/>
            <w:u w:val="single"/>
          </w:rPr>
          <w:t>Indigenous Navigator</w:t>
        </w:r>
      </w:hyperlink>
    </w:p>
    <w:p w14:paraId="011A3C27" w14:textId="6D31CFAE" w:rsidR="00350A61" w:rsidRPr="00F459FC" w:rsidRDefault="00350A61" w:rsidP="009D5F91">
      <w:pPr>
        <w:pStyle w:val="CBDNormalNumber"/>
        <w:numPr>
          <w:ilvl w:val="2"/>
          <w:numId w:val="156"/>
        </w:numPr>
        <w:shd w:val="clear" w:color="auto" w:fill="FFFFFF"/>
        <w:tabs>
          <w:tab w:val="clear" w:pos="1701"/>
        </w:tabs>
        <w:rPr>
          <w:color w:val="000000"/>
        </w:rPr>
      </w:pPr>
      <w:r w:rsidRPr="00F459FC">
        <w:rPr>
          <w:color w:val="000000"/>
        </w:rPr>
        <w:t xml:space="preserve">FAO </w:t>
      </w:r>
      <w:hyperlink r:id="rId522">
        <w:r w:rsidRPr="00F459FC">
          <w:rPr>
            <w:color w:val="0000FF"/>
            <w:u w:val="single"/>
          </w:rPr>
          <w:t>Global Land Observatory (GLO)</w:t>
        </w:r>
      </w:hyperlink>
    </w:p>
    <w:p w14:paraId="76D9A45D" w14:textId="77777777" w:rsidR="00302591" w:rsidRPr="00F459FC" w:rsidRDefault="00350A61" w:rsidP="00302591">
      <w:pPr>
        <w:pStyle w:val="CBDNormalNumber"/>
        <w:numPr>
          <w:ilvl w:val="1"/>
          <w:numId w:val="156"/>
        </w:numPr>
        <w:shd w:val="clear" w:color="auto" w:fill="FFFFFF"/>
        <w:tabs>
          <w:tab w:val="clear" w:pos="1701"/>
        </w:tabs>
        <w:rPr>
          <w:color w:val="000000"/>
        </w:rPr>
      </w:pPr>
      <w:r w:rsidRPr="00F459FC">
        <w:rPr>
          <w:color w:val="000000"/>
        </w:rPr>
        <w:t xml:space="preserve">For component (b) of the indicator, Proportion (%) of IP and LC communities and individuals where there is perceived security of tenure, data sources include: </w:t>
      </w:r>
    </w:p>
    <w:p w14:paraId="7C1732CF" w14:textId="77777777" w:rsidR="00302591" w:rsidRPr="00F459FC" w:rsidRDefault="00350A61" w:rsidP="00302591">
      <w:pPr>
        <w:pStyle w:val="CBDNormalNumber"/>
        <w:numPr>
          <w:ilvl w:val="2"/>
          <w:numId w:val="156"/>
        </w:numPr>
        <w:shd w:val="clear" w:color="auto" w:fill="FFFFFF"/>
        <w:tabs>
          <w:tab w:val="clear" w:pos="1701"/>
        </w:tabs>
        <w:rPr>
          <w:color w:val="000000"/>
        </w:rPr>
      </w:pPr>
      <w:r w:rsidRPr="00F459FC">
        <w:rPr>
          <w:color w:val="000000"/>
        </w:rPr>
        <w:t>Local and national sources</w:t>
      </w:r>
    </w:p>
    <w:p w14:paraId="04BA7534" w14:textId="77777777" w:rsidR="00302591" w:rsidRPr="00F459FC" w:rsidRDefault="00350A61" w:rsidP="00302591">
      <w:pPr>
        <w:pStyle w:val="CBDNormalNumber"/>
        <w:numPr>
          <w:ilvl w:val="2"/>
          <w:numId w:val="156"/>
        </w:numPr>
        <w:shd w:val="clear" w:color="auto" w:fill="FFFFFF"/>
        <w:tabs>
          <w:tab w:val="clear" w:pos="1701"/>
        </w:tabs>
        <w:rPr>
          <w:color w:val="000000"/>
        </w:rPr>
      </w:pPr>
      <w:hyperlink r:id="rId523">
        <w:proofErr w:type="spellStart"/>
        <w:r w:rsidRPr="00F459FC">
          <w:rPr>
            <w:color w:val="0000FF"/>
            <w:u w:val="single"/>
          </w:rPr>
          <w:t>Prindex</w:t>
        </w:r>
        <w:proofErr w:type="spellEnd"/>
      </w:hyperlink>
      <w:r w:rsidRPr="00F459FC">
        <w:rPr>
          <w:color w:val="000000"/>
        </w:rPr>
        <w:t xml:space="preserve"> </w:t>
      </w:r>
    </w:p>
    <w:p w14:paraId="6CE5C540" w14:textId="337AAFE3" w:rsidR="00350A61" w:rsidRPr="00F459FC" w:rsidRDefault="00350A61" w:rsidP="00302591">
      <w:pPr>
        <w:pStyle w:val="CBDNormalNumber"/>
        <w:numPr>
          <w:ilvl w:val="2"/>
          <w:numId w:val="156"/>
        </w:numPr>
        <w:shd w:val="clear" w:color="auto" w:fill="FFFFFF"/>
        <w:tabs>
          <w:tab w:val="clear" w:pos="1701"/>
        </w:tabs>
        <w:rPr>
          <w:color w:val="000000"/>
        </w:rPr>
      </w:pPr>
      <w:r w:rsidRPr="00F459FC">
        <w:rPr>
          <w:color w:val="000000"/>
        </w:rPr>
        <w:t xml:space="preserve">International Land Coalition (ILC) </w:t>
      </w:r>
      <w:hyperlink r:id="rId524">
        <w:r w:rsidRPr="00F459FC">
          <w:rPr>
            <w:color w:val="0000FF"/>
            <w:u w:val="single"/>
          </w:rPr>
          <w:t xml:space="preserve">LANDex </w:t>
        </w:r>
      </w:hyperlink>
    </w:p>
    <w:p w14:paraId="6DAF2BA9" w14:textId="77777777" w:rsidR="00F459FC" w:rsidRPr="00F459FC" w:rsidRDefault="00350A61" w:rsidP="00F459FC">
      <w:pPr>
        <w:pStyle w:val="CBDNormalNumber"/>
        <w:numPr>
          <w:ilvl w:val="1"/>
          <w:numId w:val="156"/>
        </w:numPr>
        <w:shd w:val="clear" w:color="auto" w:fill="FFFFFF"/>
        <w:tabs>
          <w:tab w:val="clear" w:pos="1701"/>
        </w:tabs>
        <w:rPr>
          <w:color w:val="000000"/>
        </w:rPr>
      </w:pPr>
      <w:r w:rsidRPr="00F459FC">
        <w:rPr>
          <w:color w:val="000000"/>
        </w:rPr>
        <w:t>For component (c) of the indicator, Proportion (%) of IP and LC land and territories that is categorized as non-degraded against a baseline year, data sources include:</w:t>
      </w:r>
    </w:p>
    <w:p w14:paraId="3997FE5B" w14:textId="77777777" w:rsidR="00F459FC" w:rsidRPr="00F459FC" w:rsidRDefault="00350A61" w:rsidP="00F459FC">
      <w:pPr>
        <w:pStyle w:val="CBDNormalNumber"/>
        <w:numPr>
          <w:ilvl w:val="2"/>
          <w:numId w:val="156"/>
        </w:numPr>
        <w:shd w:val="clear" w:color="auto" w:fill="FFFFFF"/>
        <w:tabs>
          <w:tab w:val="clear" w:pos="1701"/>
        </w:tabs>
        <w:rPr>
          <w:color w:val="000000"/>
        </w:rPr>
      </w:pPr>
      <w:r w:rsidRPr="00F459FC">
        <w:rPr>
          <w:color w:val="000000"/>
        </w:rPr>
        <w:t xml:space="preserve">Local and national sources </w:t>
      </w:r>
    </w:p>
    <w:p w14:paraId="5E6C9619" w14:textId="77777777" w:rsidR="00F459FC" w:rsidRPr="00F459FC" w:rsidRDefault="00350A61" w:rsidP="00F459FC">
      <w:pPr>
        <w:pStyle w:val="CBDNormalNumber"/>
        <w:numPr>
          <w:ilvl w:val="2"/>
          <w:numId w:val="156"/>
        </w:numPr>
        <w:shd w:val="clear" w:color="auto" w:fill="FFFFFF"/>
        <w:tabs>
          <w:tab w:val="clear" w:pos="1701"/>
        </w:tabs>
        <w:rPr>
          <w:color w:val="000000"/>
        </w:rPr>
      </w:pPr>
      <w:hyperlink r:id="rId525">
        <w:proofErr w:type="spellStart"/>
        <w:r w:rsidRPr="00F459FC">
          <w:rPr>
            <w:color w:val="0000FF"/>
            <w:u w:val="single"/>
          </w:rPr>
          <w:t>LandMark</w:t>
        </w:r>
        <w:proofErr w:type="spellEnd"/>
      </w:hyperlink>
      <w:r w:rsidRPr="00F459FC">
        <w:rPr>
          <w:color w:val="000000"/>
        </w:rPr>
        <w:t xml:space="preserve"> </w:t>
      </w:r>
    </w:p>
    <w:p w14:paraId="58F29DD4" w14:textId="77777777" w:rsidR="00F459FC" w:rsidRPr="00F459FC" w:rsidRDefault="00350A61" w:rsidP="00F459FC">
      <w:pPr>
        <w:pStyle w:val="CBDNormalNumber"/>
        <w:numPr>
          <w:ilvl w:val="2"/>
          <w:numId w:val="156"/>
        </w:numPr>
        <w:shd w:val="clear" w:color="auto" w:fill="FFFFFF"/>
        <w:tabs>
          <w:tab w:val="clear" w:pos="1701"/>
        </w:tabs>
        <w:rPr>
          <w:color w:val="000000"/>
        </w:rPr>
      </w:pPr>
      <w:hyperlink r:id="rId526">
        <w:r w:rsidRPr="00F459FC">
          <w:rPr>
            <w:color w:val="0000FF"/>
            <w:u w:val="single"/>
          </w:rPr>
          <w:t>ICCA Registry</w:t>
        </w:r>
      </w:hyperlink>
      <w:r w:rsidRPr="00F459FC">
        <w:rPr>
          <w:color w:val="000000"/>
        </w:rPr>
        <w:t xml:space="preserve"> </w:t>
      </w:r>
    </w:p>
    <w:p w14:paraId="0D076F5B" w14:textId="77777777" w:rsidR="00F459FC" w:rsidRPr="00F459FC" w:rsidRDefault="00350A61" w:rsidP="00F459FC">
      <w:pPr>
        <w:pStyle w:val="CBDNormalNumber"/>
        <w:numPr>
          <w:ilvl w:val="2"/>
          <w:numId w:val="156"/>
        </w:numPr>
        <w:shd w:val="clear" w:color="auto" w:fill="FFFFFF"/>
        <w:tabs>
          <w:tab w:val="clear" w:pos="1701"/>
        </w:tabs>
        <w:rPr>
          <w:color w:val="000000"/>
        </w:rPr>
      </w:pPr>
      <w:hyperlink r:id="rId527">
        <w:r w:rsidRPr="00F459FC">
          <w:rPr>
            <w:color w:val="0000FF"/>
            <w:u w:val="single"/>
          </w:rPr>
          <w:t>Afro-descendant Atlas</w:t>
        </w:r>
      </w:hyperlink>
    </w:p>
    <w:p w14:paraId="05C0183A" w14:textId="77777777" w:rsidR="00F459FC" w:rsidRPr="00F459FC" w:rsidRDefault="00350A61" w:rsidP="00F459FC">
      <w:pPr>
        <w:pStyle w:val="CBDNormalNumber"/>
        <w:numPr>
          <w:ilvl w:val="2"/>
          <w:numId w:val="156"/>
        </w:numPr>
        <w:shd w:val="clear" w:color="auto" w:fill="FFFFFF"/>
        <w:tabs>
          <w:tab w:val="clear" w:pos="1701"/>
        </w:tabs>
        <w:rPr>
          <w:color w:val="000000"/>
        </w:rPr>
      </w:pPr>
      <w:hyperlink r:id="rId528">
        <w:r w:rsidRPr="00F459FC">
          <w:rPr>
            <w:color w:val="0000FF"/>
            <w:u w:val="single"/>
          </w:rPr>
          <w:t>GLAD/WRI</w:t>
        </w:r>
      </w:hyperlink>
      <w:r w:rsidRPr="00F459FC">
        <w:rPr>
          <w:color w:val="000000"/>
        </w:rPr>
        <w:t xml:space="preserve"> (30 m)</w:t>
      </w:r>
    </w:p>
    <w:p w14:paraId="6EC7AB12" w14:textId="132B78A5" w:rsidR="00350A61" w:rsidRPr="00F459FC" w:rsidRDefault="00350A61" w:rsidP="00F459FC">
      <w:pPr>
        <w:pStyle w:val="CBDNormalNumber"/>
        <w:numPr>
          <w:ilvl w:val="2"/>
          <w:numId w:val="156"/>
        </w:numPr>
        <w:shd w:val="clear" w:color="auto" w:fill="FFFFFF"/>
        <w:tabs>
          <w:tab w:val="clear" w:pos="1701"/>
        </w:tabs>
        <w:rPr>
          <w:color w:val="000000"/>
        </w:rPr>
      </w:pPr>
      <w:hyperlink r:id="rId529">
        <w:r w:rsidRPr="00F459FC">
          <w:rPr>
            <w:color w:val="0000FF"/>
            <w:u w:val="single"/>
          </w:rPr>
          <w:t>ESA‑CCI‑LC</w:t>
        </w:r>
      </w:hyperlink>
      <w:r w:rsidRPr="00F459FC">
        <w:rPr>
          <w:color w:val="000000"/>
        </w:rPr>
        <w:t xml:space="preserve"> (300 m)</w:t>
      </w:r>
    </w:p>
    <w:p w14:paraId="3B700D3D" w14:textId="77777777" w:rsidR="00350A61" w:rsidRPr="000A7F99" w:rsidRDefault="00350A61" w:rsidP="000A7F99">
      <w:pPr>
        <w:pStyle w:val="CBDNormalNumber"/>
        <w:numPr>
          <w:ilvl w:val="0"/>
          <w:numId w:val="156"/>
        </w:numPr>
        <w:shd w:val="clear" w:color="auto" w:fill="FFFFFF"/>
        <w:tabs>
          <w:tab w:val="clear" w:pos="1701"/>
        </w:tabs>
        <w:ind w:left="567" w:firstLine="0"/>
        <w:rPr>
          <w:color w:val="000000"/>
        </w:rPr>
      </w:pPr>
      <w:r>
        <w:rPr>
          <w:color w:val="000000"/>
        </w:rPr>
        <w:t xml:space="preserve">See references (sec 11) below for more information about these initiatives and their contributions to the indicator detailed here. </w:t>
      </w:r>
    </w:p>
    <w:p w14:paraId="06E88E0D" w14:textId="77777777" w:rsidR="00350A61" w:rsidRPr="00350A61" w:rsidRDefault="00350A61" w:rsidP="00552F57">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rPr>
      </w:pPr>
    </w:p>
    <w:p w14:paraId="4644B40E" w14:textId="229E47E4" w:rsidR="00552F57" w:rsidRDefault="00552F57"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b/>
          <w:bCs/>
          <w:sz w:val="22"/>
          <w:szCs w:val="22"/>
        </w:rPr>
        <w:t> </w:t>
      </w:r>
    </w:p>
    <w:p w14:paraId="53D8B548" w14:textId="2710130B" w:rsidR="0032007B" w:rsidRPr="0032007B" w:rsidRDefault="0032007B" w:rsidP="0032007B">
      <w:pPr>
        <w:pStyle w:val="CBDNormalNumber"/>
        <w:numPr>
          <w:ilvl w:val="0"/>
          <w:numId w:val="156"/>
        </w:numPr>
        <w:shd w:val="clear" w:color="auto" w:fill="FFFFFF"/>
        <w:tabs>
          <w:tab w:val="clear" w:pos="1701"/>
        </w:tabs>
        <w:ind w:left="567" w:firstLine="0"/>
        <w:rPr>
          <w:color w:val="000000"/>
        </w:rPr>
      </w:pPr>
      <w:r w:rsidRPr="0032007B">
        <w:rPr>
          <w:color w:val="000000"/>
        </w:rPr>
        <w:t xml:space="preserve">See </w:t>
      </w:r>
      <w:r w:rsidR="002057F3">
        <w:rPr>
          <w:color w:val="000000"/>
        </w:rPr>
        <w:t xml:space="preserve">section </w:t>
      </w:r>
      <w:r w:rsidRPr="0032007B">
        <w:rPr>
          <w:color w:val="000000"/>
        </w:rPr>
        <w:t>5g.</w:t>
      </w:r>
    </w:p>
    <w:p w14:paraId="5970B4E6" w14:textId="77777777" w:rsidR="0032007B" w:rsidRPr="00ED7E61" w:rsidRDefault="0032007B"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p>
    <w:p w14:paraId="6AD5AA16" w14:textId="77777777" w:rsidR="00552F57" w:rsidRPr="00ED7E61"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5g. Time series </w:t>
      </w:r>
      <w:r w:rsidRPr="00ED7E61">
        <w:rPr>
          <w:rStyle w:val="eop"/>
          <w:rFonts w:asciiTheme="majorBidi" w:eastAsiaTheme="majorEastAsia" w:hAnsiTheme="majorBidi" w:cstheme="majorBidi"/>
          <w:b/>
          <w:bCs/>
          <w:sz w:val="22"/>
          <w:szCs w:val="22"/>
        </w:rPr>
        <w:t> </w:t>
      </w:r>
    </w:p>
    <w:p w14:paraId="09366169" w14:textId="77777777" w:rsidR="002831EC" w:rsidRPr="002831EC" w:rsidRDefault="00BC1C15" w:rsidP="002831EC">
      <w:pPr>
        <w:pStyle w:val="CBDNormalNumber"/>
        <w:numPr>
          <w:ilvl w:val="0"/>
          <w:numId w:val="156"/>
        </w:numPr>
        <w:shd w:val="clear" w:color="auto" w:fill="FFFFFF"/>
        <w:tabs>
          <w:tab w:val="clear" w:pos="1701"/>
        </w:tabs>
        <w:ind w:left="567" w:firstLine="0"/>
        <w:rPr>
          <w:color w:val="000000"/>
        </w:rPr>
      </w:pPr>
      <w:r w:rsidRPr="002831EC">
        <w:rPr>
          <w:color w:val="000000"/>
        </w:rPr>
        <w:t>Global land cover</w:t>
      </w:r>
      <w:sdt>
        <w:sdtPr>
          <w:rPr>
            <w:color w:val="000000"/>
          </w:rPr>
          <w:tag w:val="goog_rdk_171"/>
          <w:id w:val="-1226000577"/>
        </w:sdtPr>
        <w:sdtContent>
          <w:r w:rsidRPr="002831EC">
            <w:rPr>
              <w:color w:val="000000"/>
            </w:rPr>
            <w:t>/land use</w:t>
          </w:r>
        </w:sdtContent>
      </w:sdt>
      <w:r w:rsidRPr="002831EC">
        <w:rPr>
          <w:color w:val="000000"/>
        </w:rPr>
        <w:t xml:space="preserve"> data, such as from </w:t>
      </w:r>
      <w:hyperlink r:id="rId530">
        <w:r w:rsidRPr="002831EC">
          <w:rPr>
            <w:color w:val="0000FF"/>
            <w:u w:val="single"/>
          </w:rPr>
          <w:t>GLAD</w:t>
        </w:r>
      </w:hyperlink>
      <w:r w:rsidRPr="002831EC">
        <w:rPr>
          <w:color w:val="0000FF"/>
          <w:u w:val="single"/>
        </w:rPr>
        <w:t xml:space="preserve">, </w:t>
      </w:r>
      <w:hyperlink r:id="rId531">
        <w:r w:rsidRPr="002831EC">
          <w:rPr>
            <w:color w:val="0000FF"/>
            <w:u w:val="single"/>
          </w:rPr>
          <w:t>ESA‑CCI‑LC</w:t>
        </w:r>
      </w:hyperlink>
      <w:r w:rsidRPr="002831EC">
        <w:rPr>
          <w:color w:val="000000"/>
        </w:rPr>
        <w:t>, is updated annually.</w:t>
      </w:r>
    </w:p>
    <w:p w14:paraId="5C0F9204" w14:textId="77777777" w:rsidR="002831EC" w:rsidRPr="002831EC" w:rsidRDefault="00BC1C15" w:rsidP="002831EC">
      <w:pPr>
        <w:pStyle w:val="CBDNormalNumber"/>
        <w:numPr>
          <w:ilvl w:val="0"/>
          <w:numId w:val="156"/>
        </w:numPr>
        <w:shd w:val="clear" w:color="auto" w:fill="FFFFFF"/>
        <w:tabs>
          <w:tab w:val="clear" w:pos="1701"/>
        </w:tabs>
        <w:ind w:left="567" w:firstLine="0"/>
        <w:rPr>
          <w:color w:val="000000"/>
        </w:rPr>
      </w:pPr>
      <w:r w:rsidRPr="002831EC">
        <w:rPr>
          <w:color w:val="000000"/>
        </w:rPr>
        <w:t xml:space="preserve">Maps and numerical data for Indigenous Peoples and local communities land and territories, such as from </w:t>
      </w:r>
      <w:hyperlink r:id="rId532">
        <w:proofErr w:type="spellStart"/>
        <w:r w:rsidRPr="002831EC">
          <w:rPr>
            <w:color w:val="0000FF"/>
            <w:u w:val="single"/>
          </w:rPr>
          <w:t>LandMark</w:t>
        </w:r>
        <w:proofErr w:type="spellEnd"/>
      </w:hyperlink>
      <w:r w:rsidRPr="002831EC">
        <w:rPr>
          <w:color w:val="000000"/>
        </w:rPr>
        <w:t xml:space="preserve">, are updated on a varying basis as data become available.  </w:t>
      </w:r>
    </w:p>
    <w:p w14:paraId="2EB3BEFC" w14:textId="2CBFFB11" w:rsidR="00BC1C15" w:rsidRPr="002831EC" w:rsidRDefault="00BC1C15" w:rsidP="002831EC">
      <w:pPr>
        <w:pStyle w:val="CBDNormalNumber"/>
        <w:numPr>
          <w:ilvl w:val="0"/>
          <w:numId w:val="156"/>
        </w:numPr>
        <w:shd w:val="clear" w:color="auto" w:fill="FFFFFF"/>
        <w:tabs>
          <w:tab w:val="clear" w:pos="1701"/>
        </w:tabs>
        <w:ind w:left="567" w:firstLine="0"/>
        <w:rPr>
          <w:color w:val="000000"/>
        </w:rPr>
      </w:pPr>
      <w:r w:rsidRPr="002831EC">
        <w:rPr>
          <w:color w:val="000000"/>
        </w:rPr>
        <w:lastRenderedPageBreak/>
        <w:t xml:space="preserve">Perception of tenure security data, such as from </w:t>
      </w:r>
      <w:hyperlink r:id="rId533">
        <w:proofErr w:type="spellStart"/>
        <w:r w:rsidRPr="002831EC">
          <w:rPr>
            <w:color w:val="0000FF"/>
            <w:u w:val="single"/>
          </w:rPr>
          <w:t>Prindex</w:t>
        </w:r>
        <w:proofErr w:type="spellEnd"/>
      </w:hyperlink>
      <w:r w:rsidRPr="002831EC">
        <w:rPr>
          <w:color w:val="000000"/>
        </w:rPr>
        <w:t xml:space="preserve">, is updated at four-year intervals. </w:t>
      </w:r>
    </w:p>
    <w:p w14:paraId="59B345D8" w14:textId="77777777" w:rsidR="00552F57" w:rsidRDefault="00552F57"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b/>
          <w:bCs/>
          <w:sz w:val="22"/>
          <w:szCs w:val="22"/>
        </w:rPr>
        <w:t> </w:t>
      </w:r>
    </w:p>
    <w:p w14:paraId="7158FFA9" w14:textId="6AB5DCE9" w:rsidR="00EF28B4" w:rsidRDefault="00EF28B4" w:rsidP="00AC736C">
      <w:pPr>
        <w:pStyle w:val="CBDNormalNumber"/>
        <w:numPr>
          <w:ilvl w:val="0"/>
          <w:numId w:val="156"/>
        </w:numPr>
        <w:shd w:val="clear" w:color="auto" w:fill="FFFFFF"/>
        <w:tabs>
          <w:tab w:val="clear" w:pos="1701"/>
        </w:tabs>
        <w:ind w:left="567" w:firstLine="0"/>
        <w:rPr>
          <w:color w:val="000000"/>
        </w:rPr>
      </w:pPr>
      <w:r>
        <w:rPr>
          <w:color w:val="000000"/>
        </w:rPr>
        <w:t xml:space="preserve">See </w:t>
      </w:r>
      <w:r w:rsidR="00AC736C">
        <w:rPr>
          <w:color w:val="000000"/>
        </w:rPr>
        <w:t xml:space="preserve">section </w:t>
      </w:r>
      <w:r>
        <w:rPr>
          <w:color w:val="000000"/>
        </w:rPr>
        <w:t xml:space="preserve">5e.  </w:t>
      </w:r>
    </w:p>
    <w:p w14:paraId="7AFA59EE" w14:textId="77777777" w:rsidR="00EF28B4" w:rsidRPr="00ED7E61" w:rsidRDefault="00EF28B4"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p>
    <w:p w14:paraId="46DE0229" w14:textId="77777777" w:rsidR="00552F57" w:rsidRDefault="00552F57"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5i. Data compilers </w:t>
      </w:r>
      <w:r w:rsidRPr="00ED7E61">
        <w:rPr>
          <w:rStyle w:val="eop"/>
          <w:rFonts w:asciiTheme="majorBidi" w:eastAsiaTheme="majorEastAsia" w:hAnsiTheme="majorBidi" w:cstheme="majorBidi"/>
          <w:b/>
          <w:bCs/>
          <w:sz w:val="22"/>
          <w:szCs w:val="22"/>
        </w:rPr>
        <w:t> </w:t>
      </w:r>
    </w:p>
    <w:p w14:paraId="316E5F14" w14:textId="46D1930D" w:rsidR="00AC736C" w:rsidRDefault="00AC736C" w:rsidP="00677CF2">
      <w:pPr>
        <w:pStyle w:val="CBDNormalNumber"/>
        <w:numPr>
          <w:ilvl w:val="0"/>
          <w:numId w:val="156"/>
        </w:numPr>
        <w:shd w:val="clear" w:color="auto" w:fill="FFFFFF"/>
        <w:tabs>
          <w:tab w:val="clear" w:pos="1701"/>
        </w:tabs>
        <w:ind w:left="567" w:firstLine="0"/>
        <w:rPr>
          <w:color w:val="000000"/>
        </w:rPr>
      </w:pPr>
      <w:r>
        <w:rPr>
          <w:color w:val="000000"/>
        </w:rPr>
        <w:t xml:space="preserve">See section 5e. </w:t>
      </w:r>
    </w:p>
    <w:p w14:paraId="7E522BFC" w14:textId="77777777" w:rsidR="00AC736C" w:rsidRPr="00ED7E61" w:rsidRDefault="00AC736C"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p>
    <w:p w14:paraId="05D7EF8C" w14:textId="77777777" w:rsidR="00552F57" w:rsidRDefault="00552F57"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b/>
          <w:bCs/>
          <w:sz w:val="22"/>
          <w:szCs w:val="22"/>
        </w:rPr>
        <w:t> </w:t>
      </w:r>
    </w:p>
    <w:p w14:paraId="3223C53C" w14:textId="77777777" w:rsidR="00D206DC" w:rsidRDefault="00D206DC" w:rsidP="00D206DC">
      <w:pPr>
        <w:pStyle w:val="CBDNormalNumber"/>
        <w:numPr>
          <w:ilvl w:val="0"/>
          <w:numId w:val="156"/>
        </w:numPr>
        <w:shd w:val="clear" w:color="auto" w:fill="FFFFFF"/>
        <w:tabs>
          <w:tab w:val="clear" w:pos="1701"/>
        </w:tabs>
        <w:ind w:left="567" w:firstLine="0"/>
        <w:rPr>
          <w:color w:val="000000"/>
        </w:rPr>
      </w:pPr>
      <w:r>
        <w:rPr>
          <w:color w:val="000000"/>
        </w:rPr>
        <w:t xml:space="preserve">Gaps in data coverage exist both within and across countries due to a variety of factors. The stages of data availability outlined in Annex I seeks to address data gaps and suggests proxies that can support national reporting until data are complete. </w:t>
      </w:r>
    </w:p>
    <w:p w14:paraId="21525A07" w14:textId="77777777" w:rsidR="00D206DC" w:rsidRPr="00653889" w:rsidRDefault="00D206DC" w:rsidP="00B92A9C">
      <w:pPr>
        <w:pStyle w:val="CBDNormalNumber"/>
        <w:numPr>
          <w:ilvl w:val="0"/>
          <w:numId w:val="156"/>
        </w:numPr>
        <w:shd w:val="clear" w:color="auto" w:fill="FFFFFF"/>
        <w:tabs>
          <w:tab w:val="clear" w:pos="1701"/>
        </w:tabs>
        <w:ind w:left="567" w:firstLine="0"/>
        <w:rPr>
          <w:color w:val="000000"/>
        </w:rPr>
      </w:pPr>
      <w:r>
        <w:rPr>
          <w:color w:val="000000"/>
        </w:rPr>
        <w:t xml:space="preserve">Further, FAO and the technical working group is exploring the possibilities of including coverage to freshwater, coastal and marine ecosystems. The land tenure component of the indicator as it is currently built could accommodate data on freshwater, coastal and marine areas, provided data is presented as a total proportion of area held or used and area recognized. An in-depth assessment of freshwater, coastal and marine or coastal areas within the scope of the indicator – land use and land tenure – would require additional consideration, possibly the development of a separate sub-indicator, as well as additional data sources. The development of the land use and tenure indicator in this context could, however, inform the basis of further development of an indicator responding more closely to freshwater, coastal and marine areas. </w:t>
      </w:r>
    </w:p>
    <w:p w14:paraId="34D38861" w14:textId="7AE59DDE" w:rsidR="00D206DC" w:rsidRPr="00ED7E61" w:rsidRDefault="00D206DC"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Pr>
          <w:rFonts w:asciiTheme="majorBidi" w:hAnsiTheme="majorBidi" w:cstheme="majorBidi"/>
          <w:b/>
          <w:bCs/>
          <w:sz w:val="22"/>
          <w:szCs w:val="22"/>
        </w:rPr>
        <w:t xml:space="preserve"> </w:t>
      </w:r>
    </w:p>
    <w:p w14:paraId="5ED2A610" w14:textId="77777777" w:rsidR="00552F57" w:rsidRPr="00ED7E61"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5k. Treatment of missing values</w:t>
      </w:r>
      <w:r w:rsidRPr="00ED7E61">
        <w:rPr>
          <w:rStyle w:val="eop"/>
          <w:rFonts w:asciiTheme="majorBidi" w:eastAsiaTheme="majorEastAsia" w:hAnsiTheme="majorBidi" w:cstheme="majorBidi"/>
          <w:b/>
          <w:bCs/>
          <w:sz w:val="22"/>
          <w:szCs w:val="22"/>
        </w:rPr>
        <w:t> </w:t>
      </w:r>
    </w:p>
    <w:p w14:paraId="35013494" w14:textId="77777777" w:rsidR="005B79FC" w:rsidRPr="005B79FC" w:rsidRDefault="005B79FC" w:rsidP="005B79FC">
      <w:pPr>
        <w:pStyle w:val="CBDNormalNumber"/>
        <w:numPr>
          <w:ilvl w:val="0"/>
          <w:numId w:val="156"/>
        </w:numPr>
        <w:shd w:val="clear" w:color="auto" w:fill="FFFFFF"/>
        <w:tabs>
          <w:tab w:val="clear" w:pos="1701"/>
        </w:tabs>
        <w:ind w:left="567" w:firstLine="0"/>
        <w:rPr>
          <w:color w:val="000000"/>
        </w:rPr>
      </w:pPr>
      <w:r w:rsidRPr="005B79FC">
        <w:rPr>
          <w:color w:val="000000"/>
        </w:rPr>
        <w:t xml:space="preserve">Data for components a, b, and c may not be available for all countries.  In cases where one or more data points for a component is missing, then the aggregate (average) value is also reported as no data.  </w:t>
      </w:r>
    </w:p>
    <w:p w14:paraId="0754D651" w14:textId="77777777" w:rsidR="00552F57" w:rsidRPr="00ED7E61" w:rsidRDefault="00552F57" w:rsidP="00552F57">
      <w:pPr>
        <w:pStyle w:val="paragraph"/>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 Scale </w:t>
      </w:r>
      <w:r w:rsidRPr="00ED7E61">
        <w:rPr>
          <w:rStyle w:val="eop"/>
          <w:rFonts w:asciiTheme="majorBidi" w:eastAsiaTheme="majorEastAsia" w:hAnsiTheme="majorBidi" w:cstheme="majorBidi"/>
          <w:b/>
          <w:bCs/>
          <w:sz w:val="22"/>
          <w:szCs w:val="22"/>
        </w:rPr>
        <w:t> </w:t>
      </w:r>
    </w:p>
    <w:p w14:paraId="5CAE8324" w14:textId="77777777" w:rsidR="00552F57" w:rsidRPr="00ED7E61" w:rsidRDefault="00552F57" w:rsidP="00552F57">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6a. Scale of use </w:t>
      </w:r>
      <w:r w:rsidRPr="00ED7E61">
        <w:rPr>
          <w:rStyle w:val="eop"/>
          <w:rFonts w:asciiTheme="majorBidi" w:eastAsiaTheme="majorEastAsia" w:hAnsiTheme="majorBidi" w:cstheme="majorBidi"/>
          <w:b/>
          <w:bCs/>
          <w:sz w:val="22"/>
          <w:szCs w:val="22"/>
        </w:rPr>
        <w:t> </w:t>
      </w:r>
    </w:p>
    <w:p w14:paraId="3D3F0DB3" w14:textId="77777777" w:rsidR="00196FA6" w:rsidRPr="00196FA6" w:rsidRDefault="00196FA6" w:rsidP="00196FA6">
      <w:pPr>
        <w:pStyle w:val="CBDNormalNumber"/>
        <w:numPr>
          <w:ilvl w:val="0"/>
          <w:numId w:val="156"/>
        </w:numPr>
        <w:shd w:val="clear" w:color="auto" w:fill="FFFFFF"/>
        <w:tabs>
          <w:tab w:val="clear" w:pos="1701"/>
        </w:tabs>
        <w:ind w:left="567" w:firstLine="0"/>
        <w:rPr>
          <w:color w:val="000000"/>
        </w:rPr>
      </w:pPr>
      <w:r w:rsidRPr="00196FA6">
        <w:rPr>
          <w:color w:val="000000"/>
        </w:rPr>
        <w:t>The indicator is reported at the national level, with global values representing the average of all reported national values</w:t>
      </w:r>
    </w:p>
    <w:p w14:paraId="79DB21B8" w14:textId="77777777" w:rsidR="00552F57" w:rsidRPr="00ED7E61"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6b. National/regional indicator production </w:t>
      </w:r>
      <w:r w:rsidRPr="00ED7E61">
        <w:rPr>
          <w:rStyle w:val="eop"/>
          <w:rFonts w:asciiTheme="majorBidi" w:eastAsiaTheme="majorEastAsia" w:hAnsiTheme="majorBidi" w:cstheme="majorBidi"/>
          <w:b/>
          <w:bCs/>
          <w:sz w:val="22"/>
          <w:szCs w:val="22"/>
        </w:rPr>
        <w:t> </w:t>
      </w:r>
    </w:p>
    <w:p w14:paraId="42B3B5D9" w14:textId="77777777" w:rsidR="00866B97" w:rsidRDefault="00866B97" w:rsidP="00CF10E6">
      <w:pPr>
        <w:pStyle w:val="CBDNormalNumber"/>
        <w:numPr>
          <w:ilvl w:val="0"/>
          <w:numId w:val="156"/>
        </w:numPr>
        <w:shd w:val="clear" w:color="auto" w:fill="FFFFFF"/>
        <w:tabs>
          <w:tab w:val="clear" w:pos="1701"/>
        </w:tabs>
        <w:ind w:left="567" w:firstLine="0"/>
        <w:rPr>
          <w:color w:val="000000"/>
        </w:rPr>
      </w:pPr>
      <w:r>
        <w:rPr>
          <w:color w:val="000000"/>
        </w:rPr>
        <w:t xml:space="preserve">The methodology presented in this metadata can be reported at national and global scale.  In cases where national figures are unavailable, the data sources presented in 5e can be accessed and used to produce national indicators. </w:t>
      </w:r>
    </w:p>
    <w:p w14:paraId="66A99524" w14:textId="365AD39B" w:rsidR="00552F57" w:rsidRPr="00866B97" w:rsidRDefault="00552F57" w:rsidP="005976AA">
      <w:pPr>
        <w:pStyle w:val="CBDNormalNumber"/>
        <w:shd w:val="clear" w:color="auto" w:fill="FFFFFF"/>
        <w:rPr>
          <w:rStyle w:val="normaltextrun"/>
          <w:rFonts w:eastAsiaTheme="majorEastAsia"/>
          <w:lang w:val="en-CA"/>
        </w:rPr>
      </w:pPr>
    </w:p>
    <w:p w14:paraId="12CB6551" w14:textId="77777777" w:rsidR="00552F57" w:rsidRPr="00ED7E61"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6c. Sources of differences between global and national figures</w:t>
      </w:r>
      <w:r w:rsidRPr="00ED7E61">
        <w:rPr>
          <w:rStyle w:val="eop"/>
          <w:rFonts w:asciiTheme="majorBidi" w:eastAsiaTheme="majorEastAsia" w:hAnsiTheme="majorBidi" w:cstheme="majorBidi"/>
          <w:b/>
          <w:bCs/>
          <w:sz w:val="22"/>
          <w:szCs w:val="22"/>
        </w:rPr>
        <w:t> </w:t>
      </w:r>
    </w:p>
    <w:p w14:paraId="1FFA82BC" w14:textId="45152E1A" w:rsidR="00552F57" w:rsidRPr="006F4A90" w:rsidRDefault="00CF10E6" w:rsidP="006F4A90">
      <w:pPr>
        <w:pStyle w:val="CBDNormalNumber"/>
        <w:numPr>
          <w:ilvl w:val="0"/>
          <w:numId w:val="156"/>
        </w:numPr>
        <w:shd w:val="clear" w:color="auto" w:fill="FFFFFF"/>
        <w:tabs>
          <w:tab w:val="clear" w:pos="1701"/>
        </w:tabs>
        <w:ind w:left="567" w:firstLine="0"/>
        <w:rPr>
          <w:rStyle w:val="normaltextrun"/>
          <w:color w:val="000000"/>
        </w:rPr>
      </w:pPr>
      <w:r>
        <w:rPr>
          <w:color w:val="000000"/>
        </w:rPr>
        <w:t>Global figures are based on datasets that are global in scope and may vary from national sources for a variety of reasons, especially regarding geographic and temporal coverage. Results based on global land</w:t>
      </w:r>
      <w:sdt>
        <w:sdtPr>
          <w:rPr>
            <w:color w:val="000000"/>
          </w:rPr>
          <w:tag w:val="goog_rdk_172"/>
          <w:id w:val="668429466"/>
        </w:sdtPr>
        <w:sdtContent>
          <w:sdt>
            <w:sdtPr>
              <w:rPr>
                <w:color w:val="000000"/>
              </w:rPr>
              <w:tag w:val="goog_rdk_173"/>
              <w:id w:val="-1045156078"/>
            </w:sdtPr>
            <w:sdtContent>
              <w:r w:rsidRPr="00CF10E6">
                <w:rPr>
                  <w:color w:val="000000"/>
                </w:rPr>
                <w:t xml:space="preserve"> cover</w:t>
              </w:r>
            </w:sdtContent>
          </w:sdt>
        </w:sdtContent>
      </w:sdt>
      <w:sdt>
        <w:sdtPr>
          <w:rPr>
            <w:color w:val="000000"/>
          </w:rPr>
          <w:tag w:val="goog_rdk_174"/>
          <w:id w:val="1672425629"/>
        </w:sdtPr>
        <w:sdtContent>
          <w:sdt>
            <w:sdtPr>
              <w:rPr>
                <w:color w:val="000000"/>
              </w:rPr>
              <w:tag w:val="goog_rdk_175"/>
              <w:id w:val="737045714"/>
              <w:showingPlcHdr/>
            </w:sdtPr>
            <w:sdtContent>
              <w:r w:rsidRPr="00CF10E6">
                <w:rPr>
                  <w:color w:val="000000"/>
                </w:rPr>
                <w:t xml:space="preserve">     </w:t>
              </w:r>
            </w:sdtContent>
          </w:sdt>
        </w:sdtContent>
      </w:sdt>
      <w:r>
        <w:rPr>
          <w:color w:val="000000"/>
        </w:rPr>
        <w:t>/land</w:t>
      </w:r>
      <w:sdt>
        <w:sdtPr>
          <w:rPr>
            <w:color w:val="000000"/>
          </w:rPr>
          <w:tag w:val="goog_rdk_176"/>
          <w:id w:val="-1465628583"/>
        </w:sdtPr>
        <w:sdtContent>
          <w:r>
            <w:rPr>
              <w:color w:val="000000"/>
            </w:rPr>
            <w:t xml:space="preserve"> use</w:t>
          </w:r>
        </w:sdtContent>
      </w:sdt>
      <w:r>
        <w:rPr>
          <w:color w:val="000000"/>
        </w:rPr>
        <w:t xml:space="preserve"> </w:t>
      </w:r>
      <w:sdt>
        <w:sdtPr>
          <w:rPr>
            <w:color w:val="000000"/>
          </w:rPr>
          <w:tag w:val="goog_rdk_177"/>
          <w:id w:val="-47698683"/>
          <w:showingPlcHdr/>
        </w:sdtPr>
        <w:sdtContent>
          <w:r w:rsidRPr="00CF10E6">
            <w:rPr>
              <w:color w:val="000000"/>
            </w:rPr>
            <w:t xml:space="preserve">     </w:t>
          </w:r>
        </w:sdtContent>
      </w:sdt>
      <w:r>
        <w:rPr>
          <w:color w:val="000000"/>
        </w:rPr>
        <w:t xml:space="preserve"> data may differ from those based on national </w:t>
      </w:r>
      <w:sdt>
        <w:sdtPr>
          <w:rPr>
            <w:color w:val="000000"/>
          </w:rPr>
          <w:tag w:val="goog_rdk_178"/>
          <w:id w:val="-2141288931"/>
          <w:showingPlcHdr/>
        </w:sdtPr>
        <w:sdtContent>
          <w:r w:rsidRPr="00CF10E6">
            <w:rPr>
              <w:color w:val="000000"/>
            </w:rPr>
            <w:t xml:space="preserve">     </w:t>
          </w:r>
        </w:sdtContent>
      </w:sdt>
      <w:r>
        <w:rPr>
          <w:color w:val="000000"/>
        </w:rPr>
        <w:t>land cover</w:t>
      </w:r>
      <w:sdt>
        <w:sdtPr>
          <w:rPr>
            <w:color w:val="000000"/>
          </w:rPr>
          <w:tag w:val="goog_rdk_179"/>
          <w:id w:val="-398051965"/>
        </w:sdtPr>
        <w:sdtContent>
          <w:r>
            <w:rPr>
              <w:color w:val="000000"/>
            </w:rPr>
            <w:t>/land use</w:t>
          </w:r>
        </w:sdtContent>
      </w:sdt>
      <w:r>
        <w:rPr>
          <w:color w:val="000000"/>
        </w:rPr>
        <w:t xml:space="preserve"> data due to differences in classification schema and assessment of what types of changes are considered degradation.  Global data for lands and territories of Indigenous Peoples and local communities sourced from </w:t>
      </w:r>
      <w:proofErr w:type="spellStart"/>
      <w:r>
        <w:rPr>
          <w:color w:val="000000"/>
        </w:rPr>
        <w:t>LandMark</w:t>
      </w:r>
      <w:proofErr w:type="spellEnd"/>
      <w:r>
        <w:rPr>
          <w:color w:val="000000"/>
        </w:rPr>
        <w:t xml:space="preserve"> is aggregated from a wide variety of sources including governments, NGOs, and communities and may differ from national data in source and/or completeness of coverage.    </w:t>
      </w:r>
    </w:p>
    <w:p w14:paraId="68762383" w14:textId="77777777" w:rsidR="00552F57" w:rsidRPr="00ED7E61"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6d. Regional and global estimates &amp; data collection for global monitoring</w:t>
      </w:r>
      <w:r w:rsidRPr="00ED7E61">
        <w:rPr>
          <w:rStyle w:val="eop"/>
          <w:rFonts w:asciiTheme="majorBidi" w:eastAsiaTheme="majorEastAsia" w:hAnsiTheme="majorBidi" w:cstheme="majorBidi"/>
          <w:b/>
          <w:bCs/>
          <w:sz w:val="22"/>
          <w:szCs w:val="22"/>
        </w:rPr>
        <w:t> </w:t>
      </w:r>
    </w:p>
    <w:p w14:paraId="6CDBBB00" w14:textId="77777777" w:rsidR="00A12F92" w:rsidRDefault="00A12F92" w:rsidP="00A12F92">
      <w:pPr>
        <w:spacing w:after="120"/>
        <w:ind w:left="567"/>
      </w:pPr>
      <w:r>
        <w:lastRenderedPageBreak/>
        <w:t xml:space="preserve">43. Regional data can be aggregated from national reports depending on the data </w:t>
      </w:r>
      <w:proofErr w:type="gramStart"/>
      <w:r>
        <w:t>received, or</w:t>
      </w:r>
      <w:proofErr w:type="gramEnd"/>
      <w:r>
        <w:t xml:space="preserve"> disaggregated from global data).</w:t>
      </w:r>
    </w:p>
    <w:p w14:paraId="148A34A8" w14:textId="569ACECD" w:rsidR="00552F57" w:rsidRPr="00B54533" w:rsidRDefault="00552F57" w:rsidP="00B54533">
      <w:pPr>
        <w:pStyle w:val="paragraph"/>
        <w:pBdr>
          <w:bottom w:val="single" w:sz="4" w:space="1" w:color="000000"/>
        </w:pBdr>
        <w:spacing w:before="0" w:beforeAutospacing="0" w:after="0" w:afterAutospacing="0"/>
        <w:textAlignment w:val="baseline"/>
        <w:rPr>
          <w:rStyle w:val="normaltextrun"/>
          <w:rFonts w:eastAsiaTheme="majorEastAsia"/>
          <w:lang w:val="en-GB"/>
        </w:rPr>
      </w:pPr>
      <w:r w:rsidRPr="00ED7E61">
        <w:rPr>
          <w:rStyle w:val="normaltextrun"/>
          <w:rFonts w:asciiTheme="majorBidi" w:eastAsiaTheme="majorEastAsia" w:hAnsiTheme="majorBidi" w:cstheme="majorBidi"/>
          <w:b/>
          <w:bCs/>
          <w:sz w:val="22"/>
          <w:szCs w:val="22"/>
          <w:lang w:val="en-GB"/>
        </w:rPr>
        <w:t>7. Other MEAs, processes and organisations</w:t>
      </w:r>
      <w:r w:rsidRPr="00B54533">
        <w:rPr>
          <w:rStyle w:val="normaltextrun"/>
          <w:rFonts w:eastAsiaTheme="majorEastAsia"/>
          <w:lang w:val="en-GB"/>
        </w:rPr>
        <w:t> </w:t>
      </w:r>
    </w:p>
    <w:p w14:paraId="05C1DC22" w14:textId="7B862EB5" w:rsidR="00B54533" w:rsidRPr="00812871" w:rsidRDefault="00B54533" w:rsidP="00812871">
      <w:pPr>
        <w:pStyle w:val="CBDNormalNumber"/>
        <w:numPr>
          <w:ilvl w:val="0"/>
          <w:numId w:val="156"/>
        </w:numPr>
        <w:shd w:val="clear" w:color="auto" w:fill="FFFFFF"/>
        <w:tabs>
          <w:tab w:val="clear" w:pos="1701"/>
        </w:tabs>
        <w:ind w:left="567" w:firstLine="0"/>
        <w:rPr>
          <w:color w:val="000000"/>
        </w:rPr>
      </w:pPr>
      <w:r w:rsidRPr="00812871">
        <w:rPr>
          <w:color w:val="000000"/>
        </w:rPr>
        <w:t>N/A</w:t>
      </w:r>
    </w:p>
    <w:p w14:paraId="0F15DC6B" w14:textId="77777777" w:rsidR="00552F57" w:rsidRPr="00ED7E61" w:rsidRDefault="00552F57" w:rsidP="00552F57">
      <w:pPr>
        <w:pStyle w:val="paragraph"/>
        <w:pBdr>
          <w:bottom w:val="single" w:sz="4" w:space="1" w:color="000000"/>
        </w:pBdr>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 xml:space="preserve">8. Possible </w:t>
      </w:r>
      <w:proofErr w:type="spellStart"/>
      <w:r w:rsidRPr="00ED7E61">
        <w:rPr>
          <w:rStyle w:val="normaltextrun"/>
          <w:rFonts w:asciiTheme="majorBidi" w:eastAsiaTheme="majorEastAsia" w:hAnsiTheme="majorBidi" w:cstheme="majorBidi"/>
          <w:b/>
          <w:bCs/>
          <w:sz w:val="22"/>
          <w:szCs w:val="22"/>
          <w:lang w:val="en-GB"/>
        </w:rPr>
        <w:t>Disaggregations</w:t>
      </w:r>
      <w:proofErr w:type="spellEnd"/>
      <w:r w:rsidRPr="00ED7E61">
        <w:rPr>
          <w:rStyle w:val="eop"/>
          <w:rFonts w:asciiTheme="majorBidi" w:eastAsiaTheme="majorEastAsia" w:hAnsiTheme="majorBidi" w:cstheme="majorBidi"/>
          <w:b/>
          <w:bCs/>
          <w:sz w:val="22"/>
          <w:szCs w:val="22"/>
        </w:rPr>
        <w:t> </w:t>
      </w:r>
    </w:p>
    <w:p w14:paraId="411DF82A" w14:textId="00C46E25" w:rsidR="00503CAA" w:rsidRDefault="00C84164" w:rsidP="00503CAA">
      <w:pPr>
        <w:pStyle w:val="CBDNormalNumber"/>
        <w:numPr>
          <w:ilvl w:val="0"/>
          <w:numId w:val="156"/>
        </w:numPr>
        <w:shd w:val="clear" w:color="auto" w:fill="FFFFFF"/>
        <w:tabs>
          <w:tab w:val="clear" w:pos="1701"/>
        </w:tabs>
        <w:ind w:left="567" w:firstLine="0"/>
        <w:rPr>
          <w:color w:val="000000"/>
        </w:rPr>
      </w:pPr>
      <w:r w:rsidRPr="00C84164">
        <w:rPr>
          <w:color w:val="000000"/>
        </w:rPr>
        <w:t>Component (a)</w:t>
      </w:r>
      <w:r w:rsidR="00503CAA">
        <w:rPr>
          <w:color w:val="000000"/>
        </w:rPr>
        <w:t>:</w:t>
      </w:r>
      <w:r w:rsidRPr="00C84164">
        <w:rPr>
          <w:color w:val="000000"/>
        </w:rPr>
        <w:t xml:space="preserve"> </w:t>
      </w:r>
    </w:p>
    <w:p w14:paraId="7774657C" w14:textId="7C78CB58" w:rsidR="00C84164" w:rsidRPr="00503CAA" w:rsidRDefault="00C84164" w:rsidP="00503CAA">
      <w:pPr>
        <w:pStyle w:val="CBDNormalNumber"/>
        <w:numPr>
          <w:ilvl w:val="1"/>
          <w:numId w:val="156"/>
        </w:numPr>
        <w:shd w:val="clear" w:color="auto" w:fill="FFFFFF"/>
        <w:tabs>
          <w:tab w:val="clear" w:pos="1701"/>
        </w:tabs>
        <w:rPr>
          <w:color w:val="000000"/>
        </w:rPr>
      </w:pPr>
      <w:r>
        <w:t xml:space="preserve">Proportion of land and territories held or used be Indigenous People and local communities with legal recognition or legally recognized documentation, </w:t>
      </w:r>
      <w:r w:rsidRPr="00503CAA">
        <w:rPr>
          <w:u w:val="single"/>
        </w:rPr>
        <w:t>by type of tenure</w:t>
      </w:r>
      <w:r>
        <w:t xml:space="preserve"> </w:t>
      </w:r>
    </w:p>
    <w:p w14:paraId="240BED45" w14:textId="77777777" w:rsidR="006A30AD" w:rsidRDefault="00C84164" w:rsidP="006A30AD">
      <w:pPr>
        <w:pStyle w:val="CBDNormalNumber"/>
        <w:numPr>
          <w:ilvl w:val="0"/>
          <w:numId w:val="156"/>
        </w:numPr>
        <w:shd w:val="clear" w:color="auto" w:fill="FFFFFF"/>
        <w:tabs>
          <w:tab w:val="clear" w:pos="1701"/>
        </w:tabs>
        <w:ind w:left="567" w:firstLine="0"/>
        <w:rPr>
          <w:color w:val="000000"/>
        </w:rPr>
      </w:pPr>
      <w:r w:rsidRPr="00503CAA">
        <w:rPr>
          <w:color w:val="000000"/>
        </w:rPr>
        <w:t>Component (b)</w:t>
      </w:r>
      <w:r w:rsidR="00503CAA" w:rsidRPr="00503CAA">
        <w:rPr>
          <w:color w:val="000000"/>
        </w:rPr>
        <w:t>:</w:t>
      </w:r>
    </w:p>
    <w:p w14:paraId="2382419C" w14:textId="77777777" w:rsidR="006A30AD" w:rsidRPr="006A30AD" w:rsidRDefault="00C84164" w:rsidP="006A30AD">
      <w:pPr>
        <w:pStyle w:val="CBDNormalNumber"/>
        <w:numPr>
          <w:ilvl w:val="1"/>
          <w:numId w:val="156"/>
        </w:numPr>
        <w:shd w:val="clear" w:color="auto" w:fill="FFFFFF"/>
        <w:tabs>
          <w:tab w:val="clear" w:pos="1701"/>
        </w:tabs>
        <w:rPr>
          <w:color w:val="000000"/>
        </w:rPr>
      </w:pPr>
      <w:r>
        <w:t xml:space="preserve">Proportion of Indigenous Peoples and local communities in the area defined by (a) who perceive their community's tenure to be secure, </w:t>
      </w:r>
      <w:r w:rsidRPr="006A30AD">
        <w:rPr>
          <w:u w:val="single"/>
        </w:rPr>
        <w:t>by type of tenure</w:t>
      </w:r>
    </w:p>
    <w:p w14:paraId="51E3908B" w14:textId="77777777" w:rsidR="006A30AD" w:rsidRPr="006A30AD" w:rsidRDefault="00C84164" w:rsidP="006A30AD">
      <w:pPr>
        <w:pStyle w:val="CBDNormalNumber"/>
        <w:numPr>
          <w:ilvl w:val="1"/>
          <w:numId w:val="156"/>
        </w:numPr>
        <w:shd w:val="clear" w:color="auto" w:fill="FFFFFF"/>
        <w:tabs>
          <w:tab w:val="clear" w:pos="1701"/>
        </w:tabs>
        <w:rPr>
          <w:color w:val="000000"/>
        </w:rPr>
      </w:pPr>
      <w:r>
        <w:t xml:space="preserve">Proportion of Indigenous Peoples and local communities in the area defined by (a) who perceive their community's tenure to be secure, </w:t>
      </w:r>
      <w:r w:rsidRPr="006A30AD">
        <w:rPr>
          <w:u w:val="single"/>
        </w:rPr>
        <w:t>by sex</w:t>
      </w:r>
    </w:p>
    <w:p w14:paraId="08893EFE" w14:textId="72B62CDA" w:rsidR="00C84164" w:rsidRPr="006A30AD" w:rsidRDefault="00C84164" w:rsidP="006A30AD">
      <w:pPr>
        <w:pStyle w:val="CBDNormalNumber"/>
        <w:numPr>
          <w:ilvl w:val="1"/>
          <w:numId w:val="156"/>
        </w:numPr>
        <w:shd w:val="clear" w:color="auto" w:fill="FFFFFF"/>
        <w:tabs>
          <w:tab w:val="clear" w:pos="1701"/>
        </w:tabs>
        <w:rPr>
          <w:color w:val="000000"/>
        </w:rPr>
      </w:pPr>
      <w:r>
        <w:t xml:space="preserve">Proportion of Indigenous Peoples and local communities in the area defined by (a) who perceive their community's tenure to be secure, </w:t>
      </w:r>
      <w:r w:rsidRPr="006A30AD">
        <w:rPr>
          <w:u w:val="single"/>
        </w:rPr>
        <w:t>by age</w:t>
      </w:r>
    </w:p>
    <w:p w14:paraId="1728EFAA" w14:textId="77777777" w:rsidR="006563C9" w:rsidRDefault="00C84164" w:rsidP="006563C9">
      <w:pPr>
        <w:pStyle w:val="CBDNormalNumber"/>
        <w:numPr>
          <w:ilvl w:val="0"/>
          <w:numId w:val="156"/>
        </w:numPr>
        <w:shd w:val="clear" w:color="auto" w:fill="FFFFFF"/>
        <w:tabs>
          <w:tab w:val="clear" w:pos="1701"/>
        </w:tabs>
        <w:ind w:left="567" w:firstLine="0"/>
        <w:rPr>
          <w:color w:val="000000"/>
        </w:rPr>
      </w:pPr>
      <w:r w:rsidRPr="00234F60">
        <w:rPr>
          <w:color w:val="000000"/>
        </w:rPr>
        <w:t>Component (c)</w:t>
      </w:r>
      <w:r w:rsidR="006563C9">
        <w:rPr>
          <w:color w:val="000000"/>
        </w:rPr>
        <w:t>:</w:t>
      </w:r>
    </w:p>
    <w:p w14:paraId="4F58EDCF" w14:textId="1EFAD0CC" w:rsidR="00C84164" w:rsidRPr="006563C9" w:rsidRDefault="00C84164" w:rsidP="006563C9">
      <w:pPr>
        <w:pStyle w:val="CBDNormalNumber"/>
        <w:numPr>
          <w:ilvl w:val="1"/>
          <w:numId w:val="156"/>
        </w:numPr>
        <w:shd w:val="clear" w:color="auto" w:fill="FFFFFF"/>
        <w:tabs>
          <w:tab w:val="clear" w:pos="1701"/>
        </w:tabs>
        <w:rPr>
          <w:color w:val="000000"/>
        </w:rPr>
      </w:pPr>
      <w:r>
        <w:t>Proportion of land and territories held or used be Indigenous People and local communities with legal recognition or legally recognized documentation</w:t>
      </w:r>
      <w:r w:rsidRPr="006563C9">
        <w:t xml:space="preserve">, by type of tenure </w:t>
      </w:r>
    </w:p>
    <w:p w14:paraId="21A7F245" w14:textId="07FC29D0" w:rsidR="00C84164" w:rsidRPr="006563C9" w:rsidRDefault="00C84164" w:rsidP="006563C9">
      <w:pPr>
        <w:pStyle w:val="CBDNormalNumber"/>
        <w:numPr>
          <w:ilvl w:val="0"/>
          <w:numId w:val="156"/>
        </w:numPr>
        <w:shd w:val="clear" w:color="auto" w:fill="FFFFFF"/>
        <w:tabs>
          <w:tab w:val="clear" w:pos="1701"/>
        </w:tabs>
        <w:ind w:left="567" w:firstLine="0"/>
        <w:rPr>
          <w:color w:val="000000"/>
        </w:rPr>
      </w:pPr>
      <w:r w:rsidRPr="006563C9">
        <w:rPr>
          <w:color w:val="000000"/>
        </w:rPr>
        <w:t xml:space="preserve">Countries are encouraged to report </w:t>
      </w:r>
      <w:r w:rsidR="00563FE8">
        <w:rPr>
          <w:color w:val="000000"/>
        </w:rPr>
        <w:t>indigenous peoples</w:t>
      </w:r>
      <w:r w:rsidRPr="006563C9">
        <w:rPr>
          <w:color w:val="000000"/>
        </w:rPr>
        <w:t xml:space="preserve"> and </w:t>
      </w:r>
      <w:r w:rsidR="00563FE8">
        <w:rPr>
          <w:color w:val="000000"/>
        </w:rPr>
        <w:t xml:space="preserve">local </w:t>
      </w:r>
      <w:proofErr w:type="gramStart"/>
      <w:r w:rsidR="00370AF8">
        <w:rPr>
          <w:color w:val="000000"/>
        </w:rPr>
        <w:t>communities</w:t>
      </w:r>
      <w:proofErr w:type="gramEnd"/>
      <w:r w:rsidRPr="006563C9">
        <w:rPr>
          <w:color w:val="000000"/>
        </w:rPr>
        <w:t xml:space="preserve"> territories separately where distinctions </w:t>
      </w:r>
      <w:proofErr w:type="gramStart"/>
      <w:r w:rsidRPr="006563C9">
        <w:rPr>
          <w:color w:val="000000"/>
        </w:rPr>
        <w:t>exist, and</w:t>
      </w:r>
      <w:proofErr w:type="gramEnd"/>
      <w:r w:rsidRPr="006563C9">
        <w:rPr>
          <w:color w:val="000000"/>
        </w:rPr>
        <w:t xml:space="preserve"> specify treatment of overlaps.</w:t>
      </w:r>
    </w:p>
    <w:p w14:paraId="579C64DA" w14:textId="77777777" w:rsidR="00552F57" w:rsidRDefault="00552F57"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b/>
          <w:bCs/>
          <w:sz w:val="22"/>
          <w:szCs w:val="22"/>
        </w:rPr>
        <w:t> </w:t>
      </w:r>
    </w:p>
    <w:p w14:paraId="57DD7845" w14:textId="0725EEA5" w:rsidR="00B9384D" w:rsidRPr="00B9384D" w:rsidRDefault="00B9384D" w:rsidP="00B9384D">
      <w:pPr>
        <w:pStyle w:val="CBDNormalNumber"/>
        <w:numPr>
          <w:ilvl w:val="0"/>
          <w:numId w:val="156"/>
        </w:numPr>
        <w:shd w:val="clear" w:color="auto" w:fill="FFFFFF"/>
        <w:tabs>
          <w:tab w:val="clear" w:pos="1701"/>
        </w:tabs>
        <w:ind w:left="567" w:firstLine="0"/>
        <w:rPr>
          <w:color w:val="000000"/>
        </w:rPr>
      </w:pPr>
      <w:r w:rsidRPr="00B9384D">
        <w:rPr>
          <w:color w:val="000000"/>
        </w:rPr>
        <w:t>The proposed indicator is a contextualization of SDG indicator 1.4.2, currently listed as a component indicator under Targets 22 and 23. See further detail on linkages under point 3, 3a. and 3b.   </w:t>
      </w:r>
    </w:p>
    <w:p w14:paraId="3657AC67" w14:textId="77777777" w:rsidR="00A61140" w:rsidRPr="00ED7E61" w:rsidRDefault="00A61140" w:rsidP="00A61140">
      <w:pPr>
        <w:pStyle w:val="paragraph"/>
        <w:spacing w:before="12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 Data reporter</w:t>
      </w:r>
    </w:p>
    <w:p w14:paraId="5D538682" w14:textId="77777777" w:rsidR="00552F57" w:rsidRDefault="00552F57"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10a. Organi</w:t>
      </w:r>
      <w:r>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b/>
          <w:bCs/>
          <w:sz w:val="22"/>
          <w:szCs w:val="22"/>
        </w:rPr>
        <w:t> </w:t>
      </w:r>
    </w:p>
    <w:p w14:paraId="1B3E257E" w14:textId="1AD903CE" w:rsidR="00E86C21" w:rsidRPr="00E86C21" w:rsidRDefault="00E86C21" w:rsidP="00E86C21">
      <w:pPr>
        <w:pStyle w:val="CBDNormalNumber"/>
        <w:numPr>
          <w:ilvl w:val="0"/>
          <w:numId w:val="156"/>
        </w:numPr>
        <w:shd w:val="clear" w:color="auto" w:fill="FFFFFF"/>
        <w:tabs>
          <w:tab w:val="clear" w:pos="1701"/>
        </w:tabs>
        <w:ind w:left="567" w:firstLine="0"/>
        <w:rPr>
          <w:color w:val="000000"/>
        </w:rPr>
      </w:pPr>
      <w:r w:rsidRPr="00E86C21">
        <w:rPr>
          <w:color w:val="000000"/>
        </w:rPr>
        <w:t>Food and Agriculture Organization of the United Nations (FAO), International Land Coalition (ILC), and World Resources Institute (WRI).</w:t>
      </w:r>
    </w:p>
    <w:p w14:paraId="17971CF2" w14:textId="77777777" w:rsidR="00E86C21" w:rsidRPr="00ED7E61" w:rsidRDefault="00E86C21"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p>
    <w:p w14:paraId="2EB1C08B" w14:textId="77777777" w:rsidR="00552F57" w:rsidRDefault="00552F57"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b/>
          <w:bCs/>
          <w:sz w:val="22"/>
          <w:szCs w:val="22"/>
        </w:rPr>
        <w:t> </w:t>
      </w:r>
    </w:p>
    <w:p w14:paraId="7B06A2C2" w14:textId="77777777" w:rsidR="001908A5" w:rsidRPr="001908A5" w:rsidRDefault="001908A5" w:rsidP="001908A5">
      <w:pPr>
        <w:pStyle w:val="CBDNormalNumber"/>
        <w:numPr>
          <w:ilvl w:val="0"/>
          <w:numId w:val="156"/>
        </w:numPr>
        <w:shd w:val="clear" w:color="auto" w:fill="FFFFFF"/>
        <w:tabs>
          <w:tab w:val="clear" w:pos="1701"/>
        </w:tabs>
        <w:ind w:left="567" w:firstLine="0"/>
      </w:pPr>
      <w:r w:rsidRPr="001908A5">
        <w:rPr>
          <w:color w:val="000000"/>
        </w:rPr>
        <w:t>FAO</w:t>
      </w:r>
      <w:r>
        <w:t>: Ward Anseeuw, Senior Land Tenure Officer</w:t>
      </w:r>
      <w:r>
        <w:rPr>
          <w:u w:val="single"/>
        </w:rPr>
        <w:t>, </w:t>
      </w:r>
      <w:hyperlink r:id="rId534">
        <w:r>
          <w:rPr>
            <w:color w:val="0000FF"/>
            <w:u w:val="single"/>
          </w:rPr>
          <w:t>ward.anseeuw@fao.org</w:t>
        </w:r>
      </w:hyperlink>
      <w:r>
        <w:rPr>
          <w:u w:val="single"/>
        </w:rPr>
        <w:t>  </w:t>
      </w:r>
    </w:p>
    <w:p w14:paraId="7412CC7E" w14:textId="77777777" w:rsidR="001908A5" w:rsidRDefault="001908A5" w:rsidP="001908A5">
      <w:pPr>
        <w:pStyle w:val="CBDNormalNumber"/>
        <w:numPr>
          <w:ilvl w:val="0"/>
          <w:numId w:val="156"/>
        </w:numPr>
        <w:shd w:val="clear" w:color="auto" w:fill="FFFFFF"/>
        <w:tabs>
          <w:tab w:val="clear" w:pos="1701"/>
        </w:tabs>
        <w:ind w:left="567" w:firstLine="0"/>
      </w:pPr>
      <w:r>
        <w:t xml:space="preserve">FAO: Clinton Omusula, Geospatial and Land Monitoring Specialist, </w:t>
      </w:r>
      <w:hyperlink r:id="rId535">
        <w:r w:rsidRPr="001908A5">
          <w:rPr>
            <w:color w:val="1155CC"/>
            <w:u w:val="single"/>
          </w:rPr>
          <w:t>clinton.omusula@fao.org</w:t>
        </w:r>
      </w:hyperlink>
      <w:r>
        <w:t xml:space="preserve"> </w:t>
      </w:r>
    </w:p>
    <w:p w14:paraId="533E637B" w14:textId="77777777" w:rsidR="001908A5" w:rsidRDefault="001908A5" w:rsidP="001908A5">
      <w:pPr>
        <w:pStyle w:val="CBDNormalNumber"/>
        <w:numPr>
          <w:ilvl w:val="0"/>
          <w:numId w:val="156"/>
        </w:numPr>
        <w:shd w:val="clear" w:color="auto" w:fill="FFFFFF"/>
        <w:tabs>
          <w:tab w:val="clear" w:pos="1701"/>
        </w:tabs>
        <w:ind w:left="567" w:firstLine="0"/>
      </w:pPr>
      <w:r>
        <w:t>ILC: Eva Hershaw, Data and Land Monitoring Lead, </w:t>
      </w:r>
      <w:hyperlink r:id="rId536">
        <w:r w:rsidRPr="001908A5">
          <w:rPr>
            <w:color w:val="0000FF"/>
            <w:u w:val="single"/>
          </w:rPr>
          <w:t>e.hershaw@landcoalition.org</w:t>
        </w:r>
      </w:hyperlink>
      <w:r>
        <w:t> </w:t>
      </w:r>
    </w:p>
    <w:p w14:paraId="78BCED03" w14:textId="77777777" w:rsidR="001908A5" w:rsidRDefault="001908A5" w:rsidP="001908A5">
      <w:pPr>
        <w:pStyle w:val="CBDNormalNumber"/>
        <w:numPr>
          <w:ilvl w:val="0"/>
          <w:numId w:val="156"/>
        </w:numPr>
        <w:shd w:val="clear" w:color="auto" w:fill="FFFFFF"/>
        <w:tabs>
          <w:tab w:val="clear" w:pos="1701"/>
        </w:tabs>
        <w:ind w:left="567" w:firstLine="0"/>
      </w:pPr>
      <w:r>
        <w:t xml:space="preserve">WRI: Katie Reytar, Senior Research Associate, </w:t>
      </w:r>
      <w:hyperlink r:id="rId537">
        <w:r w:rsidRPr="001908A5">
          <w:rPr>
            <w:color w:val="0000FF"/>
            <w:u w:val="single"/>
          </w:rPr>
          <w:t>katie.reytar@wri.org</w:t>
        </w:r>
      </w:hyperlink>
      <w:r>
        <w:t xml:space="preserve"> </w:t>
      </w:r>
    </w:p>
    <w:p w14:paraId="6B7BA1A2" w14:textId="6050042C" w:rsidR="001908A5" w:rsidRDefault="001908A5" w:rsidP="001908A5">
      <w:pPr>
        <w:pStyle w:val="CBDNormalNumber"/>
        <w:numPr>
          <w:ilvl w:val="0"/>
          <w:numId w:val="156"/>
        </w:numPr>
        <w:shd w:val="clear" w:color="auto" w:fill="FFFFFF"/>
        <w:tabs>
          <w:tab w:val="clear" w:pos="1701"/>
        </w:tabs>
        <w:ind w:left="567" w:firstLine="0"/>
      </w:pPr>
      <w:r>
        <w:t xml:space="preserve">FPP: Maurizio Ferrari, Senior Policy Advisor, </w:t>
      </w:r>
      <w:hyperlink r:id="rId538">
        <w:r w:rsidRPr="001908A5">
          <w:rPr>
            <w:color w:val="0000FF"/>
            <w:u w:val="single"/>
          </w:rPr>
          <w:t>maurizio@forestpeoples.org</w:t>
        </w:r>
      </w:hyperlink>
      <w:r>
        <w:t xml:space="preserve"> </w:t>
      </w:r>
    </w:p>
    <w:p w14:paraId="1939C6EA" w14:textId="77777777" w:rsidR="001908A5" w:rsidRPr="00ED7E61" w:rsidRDefault="001908A5"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p>
    <w:p w14:paraId="32912B84" w14:textId="77777777" w:rsidR="00552F57" w:rsidRDefault="00552F57" w:rsidP="00552F57">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b/>
          <w:bCs/>
          <w:sz w:val="22"/>
          <w:szCs w:val="22"/>
        </w:rPr>
      </w:pPr>
      <w:r>
        <w:rPr>
          <w:rStyle w:val="normaltextrun"/>
          <w:rFonts w:asciiTheme="majorBidi" w:eastAsiaTheme="majorEastAsia" w:hAnsiTheme="majorBidi" w:cstheme="majorBidi"/>
          <w:b/>
          <w:bCs/>
          <w:sz w:val="22"/>
          <w:szCs w:val="22"/>
          <w:lang w:val="en-GB"/>
        </w:rPr>
        <w:t xml:space="preserve">11. </w:t>
      </w:r>
      <w:r w:rsidRPr="00ED7E61">
        <w:rPr>
          <w:rStyle w:val="normaltextrun"/>
          <w:rFonts w:asciiTheme="majorBidi" w:eastAsiaTheme="majorEastAsia" w:hAnsiTheme="majorBidi" w:cstheme="majorBidi"/>
          <w:b/>
          <w:bCs/>
          <w:sz w:val="22"/>
          <w:szCs w:val="22"/>
          <w:lang w:val="en-GB"/>
        </w:rPr>
        <w:t>References</w:t>
      </w:r>
      <w:r w:rsidRPr="00ED7E61">
        <w:rPr>
          <w:rStyle w:val="eop"/>
          <w:rFonts w:asciiTheme="majorBidi" w:eastAsiaTheme="majorEastAsia" w:hAnsiTheme="majorBidi" w:cstheme="majorBidi"/>
          <w:b/>
          <w:bCs/>
          <w:sz w:val="22"/>
          <w:szCs w:val="22"/>
        </w:rPr>
        <w:t> </w:t>
      </w:r>
    </w:p>
    <w:p w14:paraId="16E0A3ED" w14:textId="77777777" w:rsidR="00CC5B64" w:rsidRDefault="00CC5B64" w:rsidP="00CC5B64">
      <w:pPr>
        <w:tabs>
          <w:tab w:val="left" w:pos="940"/>
        </w:tabs>
        <w:ind w:left="720"/>
      </w:pPr>
      <w:hyperlink r:id="rId539">
        <w:r>
          <w:rPr>
            <w:color w:val="0000FF"/>
            <w:u w:val="single"/>
          </w:rPr>
          <w:t>Bonn report, July 2022</w:t>
        </w:r>
      </w:hyperlink>
      <w:r>
        <w:t xml:space="preserve">. See Table 1: An expert assessment of SDG 1.4.2, considered as a potential headline indicator for Target 21 and Target 22 at the time, gave it a ranking of </w:t>
      </w:r>
      <w:r>
        <w:lastRenderedPageBreak/>
        <w:t>1-2 where the highlight possible ranking (1) represented broad support for inclusion. Capacity building needs were considered </w:t>
      </w:r>
      <w:proofErr w:type="gramStart"/>
      <w:r>
        <w:t>low</w:t>
      </w:r>
      <w:proofErr w:type="gramEnd"/>
      <w:r>
        <w:t> and the indicator was considered relevant to all Goals and Targets.   </w:t>
      </w:r>
    </w:p>
    <w:p w14:paraId="42FD6C53" w14:textId="77777777" w:rsidR="00CC5B64" w:rsidRDefault="00CC5B64" w:rsidP="00CC5B64">
      <w:pPr>
        <w:tabs>
          <w:tab w:val="left" w:pos="940"/>
        </w:tabs>
        <w:ind w:left="720"/>
      </w:pPr>
    </w:p>
    <w:p w14:paraId="0F3192F5" w14:textId="77777777" w:rsidR="00CC5B64" w:rsidRDefault="00CC5B64" w:rsidP="00CC5B64">
      <w:pPr>
        <w:tabs>
          <w:tab w:val="left" w:pos="940"/>
        </w:tabs>
        <w:ind w:left="720"/>
      </w:pPr>
      <w:r>
        <w:t>The United Nations Declaration on the Rights of Indigenous Peoples (</w:t>
      </w:r>
      <w:hyperlink r:id="rId540">
        <w:r>
          <w:rPr>
            <w:color w:val="0000FF"/>
            <w:u w:val="single"/>
          </w:rPr>
          <w:t>UNDRIP</w:t>
        </w:r>
      </w:hyperlink>
      <w:r>
        <w:t>), 2007. </w:t>
      </w:r>
    </w:p>
    <w:p w14:paraId="7BDF7C92" w14:textId="77777777" w:rsidR="00CC5B64" w:rsidRDefault="00CC5B64" w:rsidP="00CC5B64">
      <w:pPr>
        <w:tabs>
          <w:tab w:val="left" w:pos="940"/>
        </w:tabs>
        <w:ind w:left="720"/>
      </w:pPr>
    </w:p>
    <w:p w14:paraId="47BAD663" w14:textId="77777777" w:rsidR="00CC5B64" w:rsidRDefault="00CC5B64" w:rsidP="00CC5B64">
      <w:pPr>
        <w:tabs>
          <w:tab w:val="left" w:pos="940"/>
        </w:tabs>
        <w:ind w:left="720"/>
      </w:pPr>
      <w:r>
        <w:t>International Labour Organization,</w:t>
      </w:r>
      <w:hyperlink r:id="rId541">
        <w:r>
          <w:rPr>
            <w:color w:val="0000FF"/>
            <w:u w:val="single"/>
          </w:rPr>
          <w:t> Convention No. 169</w:t>
        </w:r>
      </w:hyperlink>
      <w:r>
        <w:t>, Indigenous and Tribal Peoples Convention, 1989. </w:t>
      </w:r>
    </w:p>
    <w:p w14:paraId="65BF7CCA" w14:textId="77777777" w:rsidR="00CC5B64" w:rsidRDefault="00CC5B64" w:rsidP="00CC5B64">
      <w:pPr>
        <w:tabs>
          <w:tab w:val="left" w:pos="940"/>
        </w:tabs>
        <w:ind w:left="720"/>
      </w:pPr>
    </w:p>
    <w:p w14:paraId="7E232FA4" w14:textId="77777777" w:rsidR="00CC5B64" w:rsidRDefault="00CC5B64" w:rsidP="00CC5B64">
      <w:pPr>
        <w:tabs>
          <w:tab w:val="left" w:pos="940"/>
        </w:tabs>
        <w:ind w:left="720"/>
      </w:pPr>
      <w:r>
        <w:t>Voluntary Guidelines on Responsible Governance of Tenure (</w:t>
      </w:r>
      <w:hyperlink r:id="rId542">
        <w:r>
          <w:rPr>
            <w:color w:val="0000FF"/>
            <w:u w:val="single"/>
          </w:rPr>
          <w:t>VGGTs</w:t>
        </w:r>
      </w:hyperlink>
      <w:r>
        <w:t>) </w:t>
      </w:r>
    </w:p>
    <w:p w14:paraId="26E793C0" w14:textId="77777777" w:rsidR="00CC5B64" w:rsidRDefault="00CC5B64" w:rsidP="00CC5B64">
      <w:pPr>
        <w:tabs>
          <w:tab w:val="left" w:pos="940"/>
        </w:tabs>
        <w:ind w:left="720"/>
      </w:pPr>
    </w:p>
    <w:p w14:paraId="1D1BF941" w14:textId="77777777" w:rsidR="00CC5B64" w:rsidRDefault="00CC5B64" w:rsidP="00CC5B64">
      <w:pPr>
        <w:tabs>
          <w:tab w:val="left" w:pos="940"/>
        </w:tabs>
        <w:ind w:left="720"/>
      </w:pPr>
      <w:r>
        <w:t>Indigenous Navigator:</w:t>
      </w:r>
      <w:hyperlink r:id="rId543">
        <w:r>
          <w:rPr>
            <w:color w:val="0000FF"/>
            <w:u w:val="single"/>
          </w:rPr>
          <w:t> https://indigenousnavigator.org/</w:t>
        </w:r>
      </w:hyperlink>
      <w:r>
        <w:t> </w:t>
      </w:r>
    </w:p>
    <w:p w14:paraId="5535F78C" w14:textId="77777777" w:rsidR="00CC5B64" w:rsidRDefault="00CC5B64" w:rsidP="00CC5B64">
      <w:pPr>
        <w:tabs>
          <w:tab w:val="left" w:pos="940"/>
        </w:tabs>
        <w:ind w:left="720"/>
      </w:pPr>
    </w:p>
    <w:p w14:paraId="126693E6" w14:textId="77777777" w:rsidR="00CC5B64" w:rsidRDefault="00CC5B64" w:rsidP="00CC5B64">
      <w:pPr>
        <w:tabs>
          <w:tab w:val="left" w:pos="940"/>
        </w:tabs>
        <w:ind w:left="720"/>
      </w:pPr>
      <w:proofErr w:type="spellStart"/>
      <w:r>
        <w:t>LandMark</w:t>
      </w:r>
      <w:proofErr w:type="spellEnd"/>
      <w:r>
        <w:t>:</w:t>
      </w:r>
      <w:hyperlink r:id="rId544">
        <w:r>
          <w:rPr>
            <w:color w:val="0000FF"/>
            <w:u w:val="single"/>
          </w:rPr>
          <w:t> https://www.landmarkmap.org/</w:t>
        </w:r>
      </w:hyperlink>
      <w:r>
        <w:t> </w:t>
      </w:r>
    </w:p>
    <w:p w14:paraId="04449076" w14:textId="77777777" w:rsidR="00CC5B64" w:rsidRDefault="00CC5B64" w:rsidP="00CC5B64">
      <w:pPr>
        <w:tabs>
          <w:tab w:val="left" w:pos="940"/>
        </w:tabs>
        <w:ind w:left="720"/>
      </w:pPr>
    </w:p>
    <w:p w14:paraId="5566B14B" w14:textId="77777777" w:rsidR="00CC5B64" w:rsidRDefault="00CC5B64" w:rsidP="00CC5B64">
      <w:pPr>
        <w:tabs>
          <w:tab w:val="left" w:pos="940"/>
        </w:tabs>
        <w:ind w:left="720"/>
      </w:pPr>
      <w:r>
        <w:t>RRI Tenure Tracking Tool:</w:t>
      </w:r>
      <w:hyperlink r:id="rId545">
        <w:r>
          <w:rPr>
            <w:color w:val="0000FF"/>
            <w:u w:val="single"/>
          </w:rPr>
          <w:t> https://rightsandresources.org/rri-tenure-tool/</w:t>
        </w:r>
      </w:hyperlink>
      <w:r>
        <w:t> </w:t>
      </w:r>
    </w:p>
    <w:p w14:paraId="5FAC6D73" w14:textId="77777777" w:rsidR="00CC5B64" w:rsidRDefault="00CC5B64" w:rsidP="00CC5B64">
      <w:pPr>
        <w:tabs>
          <w:tab w:val="left" w:pos="940"/>
        </w:tabs>
        <w:ind w:left="720"/>
      </w:pPr>
    </w:p>
    <w:p w14:paraId="74EFC17F" w14:textId="77777777" w:rsidR="00CC5B64" w:rsidRDefault="00CC5B64" w:rsidP="00CC5B64">
      <w:pPr>
        <w:tabs>
          <w:tab w:val="left" w:pos="940"/>
        </w:tabs>
        <w:ind w:left="720"/>
      </w:pPr>
      <w:proofErr w:type="spellStart"/>
      <w:r>
        <w:t>Prindex</w:t>
      </w:r>
      <w:proofErr w:type="spellEnd"/>
      <w:r>
        <w:t>:</w:t>
      </w:r>
      <w:hyperlink r:id="rId546">
        <w:r>
          <w:rPr>
            <w:color w:val="0000FF"/>
            <w:u w:val="single"/>
          </w:rPr>
          <w:t> https://www.prindex.net/</w:t>
        </w:r>
      </w:hyperlink>
      <w:r>
        <w:t> </w:t>
      </w:r>
    </w:p>
    <w:p w14:paraId="2CDF147B" w14:textId="77777777" w:rsidR="00CC5B64" w:rsidRDefault="00CC5B64" w:rsidP="00CC5B64">
      <w:pPr>
        <w:tabs>
          <w:tab w:val="left" w:pos="940"/>
        </w:tabs>
        <w:ind w:left="720"/>
      </w:pPr>
    </w:p>
    <w:p w14:paraId="05218988" w14:textId="77777777" w:rsidR="00CC5B64" w:rsidRDefault="00CC5B64" w:rsidP="00CC5B64">
      <w:pPr>
        <w:tabs>
          <w:tab w:val="left" w:pos="940"/>
        </w:tabs>
        <w:ind w:left="720"/>
      </w:pPr>
      <w:r>
        <w:t>FAO:</w:t>
      </w:r>
      <w:hyperlink r:id="rId547">
        <w:r>
          <w:rPr>
            <w:color w:val="0000FF"/>
            <w:u w:val="single"/>
          </w:rPr>
          <w:t> https://www.fao.org/tenure/en/</w:t>
        </w:r>
      </w:hyperlink>
      <w:r>
        <w:t> </w:t>
      </w:r>
    </w:p>
    <w:p w14:paraId="72A5C786" w14:textId="77777777" w:rsidR="00CC5B64" w:rsidRDefault="00CC5B64" w:rsidP="00CC5B64">
      <w:pPr>
        <w:tabs>
          <w:tab w:val="left" w:pos="940"/>
        </w:tabs>
        <w:ind w:left="720"/>
      </w:pPr>
    </w:p>
    <w:p w14:paraId="5CE44475" w14:textId="77777777" w:rsidR="00CC5B64" w:rsidRDefault="00CC5B64" w:rsidP="00CC5B64">
      <w:pPr>
        <w:tabs>
          <w:tab w:val="left" w:pos="940"/>
        </w:tabs>
        <w:ind w:left="720"/>
      </w:pPr>
      <w:r>
        <w:t>LANDex:</w:t>
      </w:r>
      <w:hyperlink r:id="rId548">
        <w:r>
          <w:rPr>
            <w:color w:val="0000FF"/>
            <w:u w:val="single"/>
          </w:rPr>
          <w:t> https://www.landexglobal.org/en/</w:t>
        </w:r>
      </w:hyperlink>
      <w:r>
        <w:t> </w:t>
      </w:r>
    </w:p>
    <w:p w14:paraId="3C23222F" w14:textId="77777777" w:rsidR="00CC5B64" w:rsidRDefault="00CC5B64" w:rsidP="00CC5B64">
      <w:pPr>
        <w:tabs>
          <w:tab w:val="left" w:pos="940"/>
        </w:tabs>
        <w:ind w:left="720"/>
        <w:rPr>
          <w:u w:val="single"/>
        </w:rPr>
      </w:pPr>
    </w:p>
    <w:p w14:paraId="2AE32B35" w14:textId="77777777" w:rsidR="00CC5B64" w:rsidRDefault="00CC5B64" w:rsidP="00CC5B64">
      <w:pPr>
        <w:tabs>
          <w:tab w:val="left" w:pos="940"/>
        </w:tabs>
        <w:ind w:left="720"/>
      </w:pPr>
      <w:r>
        <w:rPr>
          <w:u w:val="single"/>
        </w:rPr>
        <w:t>SDG Indicator 15.3.1 | Sustainable developments Goals; Metadata-15-03-01.pdf</w:t>
      </w:r>
      <w:r>
        <w:t> </w:t>
      </w:r>
    </w:p>
    <w:p w14:paraId="67FD6AB1" w14:textId="77777777" w:rsidR="00CC5B64" w:rsidRDefault="00CC5B64" w:rsidP="00CC5B64">
      <w:pPr>
        <w:tabs>
          <w:tab w:val="left" w:pos="940"/>
        </w:tabs>
        <w:ind w:left="720"/>
        <w:rPr>
          <w:u w:val="single"/>
        </w:rPr>
      </w:pPr>
    </w:p>
    <w:p w14:paraId="7FF2EB5A" w14:textId="77777777" w:rsidR="00CC5B64" w:rsidRDefault="00CC5B64" w:rsidP="00CC5B64">
      <w:pPr>
        <w:tabs>
          <w:tab w:val="left" w:pos="940"/>
        </w:tabs>
        <w:ind w:left="720"/>
      </w:pPr>
      <w:r>
        <w:rPr>
          <w:u w:val="single"/>
        </w:rPr>
        <w:t>SDG Indicator 15.4.2 | Sustainable developments Goals; Metadata-15-04-02.pdf</w:t>
      </w:r>
      <w:r>
        <w:t> </w:t>
      </w:r>
    </w:p>
    <w:p w14:paraId="253BE0D8" w14:textId="77777777" w:rsidR="00CC5B64" w:rsidRDefault="00CC5B64" w:rsidP="00CC5B64">
      <w:pPr>
        <w:tabs>
          <w:tab w:val="left" w:pos="940"/>
        </w:tabs>
        <w:ind w:left="720"/>
      </w:pPr>
    </w:p>
    <w:p w14:paraId="052D8FC5" w14:textId="77777777" w:rsidR="00CC5B64" w:rsidRDefault="00CC5B64" w:rsidP="00CC5B64">
      <w:pPr>
        <w:tabs>
          <w:tab w:val="left" w:pos="940"/>
        </w:tabs>
        <w:ind w:left="720"/>
      </w:pPr>
      <w:r>
        <w:rPr>
          <w:u w:val="single"/>
        </w:rPr>
        <w:t>Good practice guidance. SDG indicator 15.3.1, Proportion of land that is degraded over total land area. Version 2.0. | UNCCD</w:t>
      </w:r>
      <w:r>
        <w:t> </w:t>
      </w:r>
    </w:p>
    <w:p w14:paraId="3FF12F1D" w14:textId="77777777" w:rsidR="00CC5B64" w:rsidRDefault="00CC5B64" w:rsidP="00CC5B64">
      <w:pPr>
        <w:tabs>
          <w:tab w:val="left" w:pos="940"/>
        </w:tabs>
        <w:ind w:left="720"/>
        <w:rPr>
          <w:u w:val="single"/>
        </w:rPr>
      </w:pPr>
    </w:p>
    <w:p w14:paraId="22A94E5E" w14:textId="77777777" w:rsidR="00CC5B64" w:rsidRDefault="00CC5B64" w:rsidP="00CC5B64">
      <w:pPr>
        <w:tabs>
          <w:tab w:val="left" w:pos="940"/>
        </w:tabs>
        <w:ind w:left="720"/>
      </w:pPr>
      <w:r>
        <w:rPr>
          <w:u w:val="single"/>
        </w:rPr>
        <w:t>Global land cover/land use data </w:t>
      </w:r>
      <w:hyperlink r:id="rId549">
        <w:r>
          <w:rPr>
            <w:color w:val="0000FF"/>
            <w:u w:val="single"/>
          </w:rPr>
          <w:t>GLAD/WRI</w:t>
        </w:r>
      </w:hyperlink>
      <w:r>
        <w:rPr>
          <w:u w:val="single"/>
        </w:rPr>
        <w:t> (30 m)</w:t>
      </w:r>
      <w:r>
        <w:t> </w:t>
      </w:r>
    </w:p>
    <w:p w14:paraId="54303607" w14:textId="77777777" w:rsidR="00CC5B64" w:rsidRDefault="00CC5B64" w:rsidP="00CC5B64">
      <w:pPr>
        <w:tabs>
          <w:tab w:val="left" w:pos="940"/>
        </w:tabs>
        <w:ind w:left="720"/>
        <w:rPr>
          <w:u w:val="single"/>
        </w:rPr>
      </w:pPr>
    </w:p>
    <w:p w14:paraId="58958821" w14:textId="77777777" w:rsidR="00CC5B64" w:rsidRDefault="00CC5B64" w:rsidP="00CC5B64">
      <w:pPr>
        <w:tabs>
          <w:tab w:val="left" w:pos="940"/>
        </w:tabs>
        <w:ind w:left="720"/>
      </w:pPr>
      <w:r>
        <w:rPr>
          <w:u w:val="single"/>
        </w:rPr>
        <w:t>Global </w:t>
      </w:r>
      <w:sdt>
        <w:sdtPr>
          <w:tag w:val="goog_rdk_182"/>
          <w:id w:val="-779555353"/>
          <w:showingPlcHdr/>
        </w:sdtPr>
        <w:sdtContent>
          <w:r>
            <w:t xml:space="preserve">     </w:t>
          </w:r>
        </w:sdtContent>
      </w:sdt>
      <w:sdt>
        <w:sdtPr>
          <w:tag w:val="goog_rdk_183"/>
          <w:id w:val="1510244473"/>
          <w:showingPlcHdr/>
        </w:sdtPr>
        <w:sdtContent>
          <w:r>
            <w:t xml:space="preserve">     </w:t>
          </w:r>
        </w:sdtContent>
      </w:sdt>
      <w:r>
        <w:rPr>
          <w:u w:val="single"/>
        </w:rPr>
        <w:t>land cover</w:t>
      </w:r>
      <w:sdt>
        <w:sdtPr>
          <w:tag w:val="goog_rdk_184"/>
          <w:id w:val="2054845476"/>
        </w:sdtPr>
        <w:sdtContent>
          <w:r>
            <w:rPr>
              <w:u w:val="single"/>
            </w:rPr>
            <w:t>/land use</w:t>
          </w:r>
        </w:sdtContent>
      </w:sdt>
      <w:r>
        <w:rPr>
          <w:u w:val="single"/>
        </w:rPr>
        <w:t xml:space="preserve"> data </w:t>
      </w:r>
      <w:hyperlink r:id="rId550">
        <w:r>
          <w:rPr>
            <w:color w:val="0000FF"/>
            <w:u w:val="single"/>
          </w:rPr>
          <w:t>ESA-CCI-LC</w:t>
        </w:r>
      </w:hyperlink>
      <w:r>
        <w:rPr>
          <w:u w:val="single"/>
        </w:rPr>
        <w:t> (300 m)</w:t>
      </w:r>
      <w:r>
        <w:t> </w:t>
      </w:r>
    </w:p>
    <w:p w14:paraId="7B942ECE" w14:textId="77777777" w:rsidR="00CC5B64" w:rsidRDefault="00CC5B64" w:rsidP="00CC5B64">
      <w:pPr>
        <w:tabs>
          <w:tab w:val="left" w:pos="940"/>
        </w:tabs>
        <w:ind w:left="720"/>
      </w:pPr>
    </w:p>
    <w:p w14:paraId="7ED48659" w14:textId="77777777" w:rsidR="00CC5B64" w:rsidRDefault="00CC5B64" w:rsidP="00CC5B64">
      <w:pPr>
        <w:tabs>
          <w:tab w:val="left" w:pos="940"/>
        </w:tabs>
        <w:ind w:left="720"/>
      </w:pPr>
      <w:hyperlink r:id="rId551">
        <w:r>
          <w:rPr>
            <w:color w:val="0000FF"/>
            <w:u w:val="single"/>
          </w:rPr>
          <w:t>FRA Platform | Global Forest Resources Data | Food and Agriculture Organization of the United Nations</w:t>
        </w:r>
      </w:hyperlink>
      <w:r>
        <w:t> </w:t>
      </w:r>
    </w:p>
    <w:p w14:paraId="7960EFE9" w14:textId="77777777" w:rsidR="00CC5B64" w:rsidRPr="00ED7E61" w:rsidRDefault="00CC5B64"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p>
    <w:p w14:paraId="03403034" w14:textId="77777777" w:rsidR="00552F57" w:rsidRPr="00ED7E61" w:rsidRDefault="00552F57" w:rsidP="00552F57">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ED7E61">
        <w:rPr>
          <w:rStyle w:val="normaltextrun"/>
          <w:rFonts w:asciiTheme="majorBidi" w:eastAsiaTheme="majorEastAsia" w:hAnsiTheme="majorBidi" w:cstheme="majorBidi"/>
          <w:b/>
          <w:bCs/>
          <w:sz w:val="22"/>
          <w:szCs w:val="22"/>
          <w:lang w:val="en-GB"/>
        </w:rPr>
        <w:t>12. Graphs and diagrams</w:t>
      </w:r>
      <w:r w:rsidRPr="00ED7E61">
        <w:rPr>
          <w:rStyle w:val="eop"/>
          <w:rFonts w:asciiTheme="majorBidi" w:eastAsiaTheme="majorEastAsia" w:hAnsiTheme="majorBidi" w:cstheme="majorBidi"/>
          <w:b/>
          <w:bCs/>
          <w:sz w:val="22"/>
          <w:szCs w:val="22"/>
        </w:rPr>
        <w:t> </w:t>
      </w:r>
    </w:p>
    <w:p w14:paraId="78FE5B9C" w14:textId="77777777" w:rsidR="00552F57" w:rsidRPr="00ED7E61" w:rsidRDefault="00552F57" w:rsidP="00552F57">
      <w:pPr>
        <w:pStyle w:val="paragraph"/>
        <w:spacing w:before="0" w:beforeAutospacing="0" w:after="0" w:afterAutospacing="0"/>
        <w:textAlignment w:val="baseline"/>
        <w:rPr>
          <w:rStyle w:val="eop"/>
          <w:rFonts w:asciiTheme="majorBidi" w:eastAsiaTheme="majorEastAsia" w:hAnsiTheme="majorBidi" w:cstheme="majorBidi"/>
          <w:sz w:val="22"/>
          <w:szCs w:val="22"/>
        </w:rPr>
      </w:pPr>
    </w:p>
    <w:p w14:paraId="70B2925F" w14:textId="77777777" w:rsidR="00D8392C" w:rsidRDefault="00CC5B64">
      <w:pPr>
        <w:rPr>
          <w:rStyle w:val="normaltextrun"/>
        </w:rPr>
      </w:pPr>
      <w:r>
        <w:rPr>
          <w:rStyle w:val="normaltextrun"/>
        </w:rPr>
        <w:t>N/A</w:t>
      </w:r>
    </w:p>
    <w:p w14:paraId="3EA8EF97" w14:textId="77777777" w:rsidR="00D8392C" w:rsidRDefault="00D8392C">
      <w:pPr>
        <w:rPr>
          <w:rStyle w:val="normaltextrun"/>
        </w:rPr>
      </w:pPr>
    </w:p>
    <w:p w14:paraId="2BC32FD4" w14:textId="77777777" w:rsidR="001C03AE" w:rsidRDefault="001C03AE">
      <w:pPr>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br w:type="page"/>
      </w:r>
    </w:p>
    <w:p w14:paraId="29AC3DBF" w14:textId="0DA91CD1" w:rsidR="00693643" w:rsidRPr="000C7B63" w:rsidRDefault="00693643" w:rsidP="00693643">
      <w:pPr>
        <w:pStyle w:val="paragraph"/>
        <w:pBdr>
          <w:bottom w:val="single" w:sz="8" w:space="1" w:color="auto"/>
        </w:pBdr>
        <w:spacing w:before="240" w:beforeAutospacing="0" w:after="0" w:afterAutospacing="0"/>
        <w:textAlignment w:val="baseline"/>
        <w:rPr>
          <w:rFonts w:asciiTheme="majorBidi" w:hAnsiTheme="majorBidi" w:cstheme="majorBidi"/>
          <w:b/>
          <w:bCs/>
          <w:sz w:val="22"/>
          <w:szCs w:val="22"/>
        </w:rPr>
      </w:pPr>
      <w:r w:rsidRPr="00B568F4">
        <w:rPr>
          <w:rStyle w:val="normaltextrun"/>
          <w:rFonts w:asciiTheme="majorBidi" w:eastAsiaTheme="majorEastAsia" w:hAnsiTheme="majorBidi" w:cstheme="majorBidi"/>
          <w:b/>
          <w:bCs/>
          <w:sz w:val="22"/>
          <w:szCs w:val="22"/>
          <w:lang w:val="en-GB"/>
        </w:rPr>
        <w:lastRenderedPageBreak/>
        <w:t>Annex 1</w:t>
      </w:r>
      <w:r w:rsidRPr="000C7B63">
        <w:rPr>
          <w:rStyle w:val="eop"/>
          <w:rFonts w:asciiTheme="majorBidi" w:eastAsiaTheme="majorEastAsia" w:hAnsiTheme="majorBidi" w:cstheme="majorBidi"/>
          <w:b/>
          <w:bCs/>
          <w:sz w:val="22"/>
          <w:szCs w:val="22"/>
        </w:rPr>
        <w:t> </w:t>
      </w:r>
    </w:p>
    <w:p w14:paraId="622BA8C4" w14:textId="77777777" w:rsidR="00D8392C" w:rsidRPr="00693643" w:rsidRDefault="00D8392C" w:rsidP="00D8392C">
      <w:pPr>
        <w:spacing w:after="120"/>
        <w:ind w:left="567"/>
        <w:rPr>
          <w:sz w:val="22"/>
          <w:szCs w:val="22"/>
        </w:rPr>
      </w:pPr>
      <w:r w:rsidRPr="00693643">
        <w:rPr>
          <w:b/>
          <w:bCs/>
          <w:sz w:val="22"/>
          <w:szCs w:val="22"/>
        </w:rPr>
        <w:t>22.1 Land Use-Change and Land Tenure Indicator: Detailed Methodology and Stages of Data Development for Components (a), (b), and (c)</w:t>
      </w:r>
    </w:p>
    <w:p w14:paraId="3FF65DAA" w14:textId="77777777" w:rsidR="00D8392C" w:rsidRPr="00693643" w:rsidRDefault="00D8392C" w:rsidP="00693643">
      <w:pPr>
        <w:pStyle w:val="CBDNormalNumber"/>
        <w:numPr>
          <w:ilvl w:val="0"/>
          <w:numId w:val="156"/>
        </w:numPr>
        <w:shd w:val="clear" w:color="auto" w:fill="FFFFFF"/>
        <w:tabs>
          <w:tab w:val="clear" w:pos="1701"/>
        </w:tabs>
        <w:ind w:left="567" w:firstLine="0"/>
        <w:rPr>
          <w:color w:val="000000"/>
        </w:rPr>
      </w:pPr>
      <w:r w:rsidRPr="00693643">
        <w:rPr>
          <w:color w:val="000000"/>
        </w:rPr>
        <w:t xml:space="preserve">This annex provides a more detailed description of the methodology and sources of data for the three components of the land tenure and land use indicator, focusing on how to accommodate gaps in data availability by implementing a staged approach until more complete data are available. </w:t>
      </w:r>
    </w:p>
    <w:p w14:paraId="69742343" w14:textId="77777777" w:rsidR="00D8392C" w:rsidRPr="00693643" w:rsidRDefault="00D8392C" w:rsidP="00D8392C">
      <w:pPr>
        <w:spacing w:after="120"/>
        <w:rPr>
          <w:b/>
          <w:bCs/>
          <w:sz w:val="22"/>
          <w:szCs w:val="22"/>
        </w:rPr>
      </w:pPr>
      <w:r w:rsidRPr="00693643">
        <w:rPr>
          <w:b/>
          <w:bCs/>
          <w:sz w:val="22"/>
          <w:szCs w:val="22"/>
        </w:rPr>
        <w:t xml:space="preserve">Component (a) on documentation of IP and LC land and territories </w:t>
      </w:r>
    </w:p>
    <w:p w14:paraId="2779BFBF" w14:textId="77777777" w:rsidR="00D8392C" w:rsidRDefault="00D8392C" w:rsidP="00D8392C">
      <w:pPr>
        <w:spacing w:after="120"/>
      </w:pPr>
      <w:r>
        <w:rPr>
          <w:noProof/>
        </w:rPr>
        <mc:AlternateContent>
          <mc:Choice Requires="wps">
            <w:drawing>
              <wp:anchor distT="0" distB="0" distL="0" distR="0" simplePos="0" relativeHeight="251661312" behindDoc="1" locked="0" layoutInCell="1" hidden="0" allowOverlap="1" wp14:anchorId="010CC690" wp14:editId="622A200F">
                <wp:simplePos x="0" y="0"/>
                <wp:positionH relativeFrom="column">
                  <wp:posOffset>-114297</wp:posOffset>
                </wp:positionH>
                <wp:positionV relativeFrom="paragraph">
                  <wp:posOffset>88900</wp:posOffset>
                </wp:positionV>
                <wp:extent cx="6212840" cy="1067110"/>
                <wp:effectExtent l="0" t="0" r="0" b="0"/>
                <wp:wrapNone/>
                <wp:docPr id="2007651520" name="Rectangle 2007651520"/>
                <wp:cNvGraphicFramePr/>
                <a:graphic xmlns:a="http://schemas.openxmlformats.org/drawingml/2006/main">
                  <a:graphicData uri="http://schemas.microsoft.com/office/word/2010/wordprocessingShape">
                    <wps:wsp>
                      <wps:cNvSpPr/>
                      <wps:spPr>
                        <a:xfrm>
                          <a:off x="2271330" y="3278195"/>
                          <a:ext cx="6149340" cy="1003610"/>
                        </a:xfrm>
                        <a:prstGeom prst="rect">
                          <a:avLst/>
                        </a:prstGeom>
                        <a:gradFill>
                          <a:gsLst>
                            <a:gs pos="0">
                              <a:srgbClr val="92AAEA"/>
                            </a:gs>
                            <a:gs pos="50000">
                              <a:srgbClr val="BDCAF0"/>
                            </a:gs>
                            <a:gs pos="100000">
                              <a:srgbClr val="DEE4F7"/>
                            </a:gs>
                          </a:gsLst>
                          <a:lin ang="2700000" scaled="0"/>
                        </a:gradFill>
                        <a:ln w="12700" cap="flat" cmpd="sng">
                          <a:solidFill>
                            <a:srgbClr val="1C3052"/>
                          </a:solidFill>
                          <a:prstDash val="solid"/>
                          <a:miter lim="800000"/>
                          <a:headEnd type="none" w="sm" len="sm"/>
                          <a:tailEnd type="none" w="sm" len="sm"/>
                        </a:ln>
                      </wps:spPr>
                      <wps:txbx>
                        <w:txbxContent>
                          <w:p w14:paraId="7706D9CA" w14:textId="77777777" w:rsidR="00D8392C" w:rsidRDefault="00D8392C" w:rsidP="00D8392C">
                            <w:pPr>
                              <w:textDirection w:val="btLr"/>
                            </w:pPr>
                          </w:p>
                        </w:txbxContent>
                      </wps:txbx>
                      <wps:bodyPr spcFirstLastPara="1" wrap="square" lIns="91425" tIns="91425" rIns="91425" bIns="91425" anchor="ctr" anchorCtr="0">
                        <a:noAutofit/>
                      </wps:bodyPr>
                    </wps:wsp>
                  </a:graphicData>
                </a:graphic>
              </wp:anchor>
            </w:drawing>
          </mc:Choice>
          <mc:Fallback>
            <w:pict>
              <v:rect w14:anchorId="010CC690" id="Rectangle 2007651520" o:spid="_x0000_s1026" style="position:absolute;margin-left:-9pt;margin-top:7pt;width:489.2pt;height:84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" fillcolor="#92aaea" strokecolor="#1c3052" strokeweight="1pt">
                <v:fill color2="#dee4f7" angle="45" colors="0 #92aaea;.5 #bdcaf0;1 #dee4f7" focus="100%" type="gradient">
                  <o:fill v:ext="view" type="gradientUnscaled"/>
                </v:fill>
                <v:stroke startarrowwidth="narrow" startarrowlength="short" endarrowwidth="narrow" endarrowlength="short"/>
                <v:textbox inset="2.53958mm,2.53958mm,2.53958mm,2.53958mm">
                  <w:txbxContent>
                    <w:p w14:paraId="7706D9CA" w14:textId="77777777" w:rsidR="00D8392C" w:rsidRDefault="00D8392C" w:rsidP="00D8392C">
                      <w:pPr>
                        <w:textDirection w:val="btLr"/>
                      </w:pPr>
                    </w:p>
                  </w:txbxContent>
                </v:textbox>
              </v:rect>
            </w:pict>
          </mc:Fallback>
        </mc:AlternateContent>
      </w:r>
    </w:p>
    <w:p w14:paraId="04BDC647" w14:textId="77777777" w:rsidR="00D8392C" w:rsidRDefault="00D8392C" w:rsidP="00D8392C">
      <w:pPr>
        <w:spacing w:before="100" w:after="200" w:line="276" w:lineRule="auto"/>
        <w:rPr>
          <w:color w:val="000000"/>
        </w:rPr>
      </w:pPr>
      <w:r>
        <w:rPr>
          <w:color w:val="000000"/>
        </w:rPr>
        <w:t xml:space="preserve">Proportion of IP&amp;LC lands that are documented and recognized = </w:t>
      </w:r>
    </w:p>
    <w:p w14:paraId="7F6C34A2" w14:textId="77777777" w:rsidR="00D8392C" w:rsidRDefault="00D8392C" w:rsidP="00D8392C">
      <w:pPr>
        <w:pBdr>
          <w:between w:val="single" w:sz="4" w:space="1" w:color="000000"/>
        </w:pBdr>
        <w:ind w:left="3600"/>
        <w:rPr>
          <w:color w:val="000000"/>
        </w:rPr>
      </w:pPr>
      <w:r>
        <w:rPr>
          <w:color w:val="000000"/>
        </w:rPr>
        <w:t xml:space="preserve">  (1) area of IP&amp;LC land recognised and documented (ha) </w:t>
      </w:r>
    </w:p>
    <w:p w14:paraId="752C1672" w14:textId="77777777" w:rsidR="00D8392C" w:rsidRDefault="00D8392C" w:rsidP="00D8392C">
      <w:pPr>
        <w:pBdr>
          <w:between w:val="single" w:sz="4" w:space="1" w:color="000000"/>
        </w:pBdr>
        <w:ind w:left="3600" w:firstLine="720"/>
        <w:rPr>
          <w:color w:val="000000"/>
        </w:rPr>
      </w:pPr>
      <w:r>
        <w:rPr>
          <w:color w:val="000000"/>
        </w:rPr>
        <w:t>(2) area of land</w:t>
      </w:r>
      <w:sdt>
        <w:sdtPr>
          <w:tag w:val="goog_rdk_185"/>
          <w:id w:val="-1726041986"/>
        </w:sdtPr>
        <w:sdtContent>
          <w:r>
            <w:rPr>
              <w:color w:val="000000"/>
            </w:rPr>
            <w:t xml:space="preserve"> held </w:t>
          </w:r>
          <w:sdt>
            <w:sdtPr>
              <w:tag w:val="goog_rdk_186"/>
              <w:id w:val="547066014"/>
            </w:sdtPr>
            <w:sdtContent>
              <w:r w:rsidRPr="00B11B9B">
                <w:t>or</w:t>
              </w:r>
            </w:sdtContent>
          </w:sdt>
        </w:sdtContent>
      </w:sdt>
      <w:r>
        <w:rPr>
          <w:color w:val="000000"/>
        </w:rPr>
        <w:t xml:space="preserve"> used</w:t>
      </w:r>
      <w:sdt>
        <w:sdtPr>
          <w:tag w:val="goog_rdk_187"/>
          <w:id w:val="482863179"/>
          <w:showingPlcHdr/>
        </w:sdtPr>
        <w:sdtContent>
          <w:r>
            <w:t xml:space="preserve">     </w:t>
          </w:r>
        </w:sdtContent>
      </w:sdt>
      <w:r>
        <w:rPr>
          <w:color w:val="000000"/>
        </w:rPr>
        <w:t xml:space="preserve"> by IP&amp;LC (ha) </w:t>
      </w:r>
    </w:p>
    <w:p w14:paraId="37660D53" w14:textId="77777777" w:rsidR="00D8392C" w:rsidRDefault="00D8392C" w:rsidP="00D8392C">
      <w:pPr>
        <w:spacing w:before="100"/>
        <w:rPr>
          <w:color w:val="000000"/>
        </w:rPr>
      </w:pPr>
    </w:p>
    <w:p w14:paraId="1745C6B4" w14:textId="298792C9" w:rsidR="006665F4" w:rsidRDefault="00D8392C" w:rsidP="00812871">
      <w:pPr>
        <w:pStyle w:val="CBDNormalNumber"/>
        <w:numPr>
          <w:ilvl w:val="0"/>
          <w:numId w:val="156"/>
        </w:numPr>
        <w:shd w:val="clear" w:color="auto" w:fill="FFFFFF"/>
        <w:tabs>
          <w:tab w:val="clear" w:pos="1701"/>
        </w:tabs>
        <w:ind w:left="567" w:firstLine="0"/>
      </w:pPr>
      <w:r w:rsidRPr="00812871">
        <w:rPr>
          <w:color w:val="000000"/>
        </w:rPr>
        <w:t xml:space="preserve">Comments: </w:t>
      </w:r>
    </w:p>
    <w:p w14:paraId="3AD64DE7" w14:textId="511701F5" w:rsidR="006665F4" w:rsidRDefault="00D8392C" w:rsidP="00812871">
      <w:pPr>
        <w:pStyle w:val="CBDNormalNumber"/>
        <w:numPr>
          <w:ilvl w:val="1"/>
          <w:numId w:val="156"/>
        </w:numPr>
        <w:shd w:val="clear" w:color="auto" w:fill="FFFFFF"/>
        <w:tabs>
          <w:tab w:val="clear" w:pos="1701"/>
        </w:tabs>
      </w:pPr>
      <w:r w:rsidRPr="00812871">
        <w:rPr>
          <w:i/>
          <w:iCs/>
        </w:rPr>
        <w:t>Two stages are proposed related to data availability and accuracy (with stage 2 the ideal scenario)</w:t>
      </w:r>
      <w:r>
        <w:t xml:space="preserve">: </w:t>
      </w:r>
    </w:p>
    <w:p w14:paraId="195799E2" w14:textId="7AB30524" w:rsidR="006665F4" w:rsidRDefault="00D8392C" w:rsidP="00812871">
      <w:pPr>
        <w:pStyle w:val="CBDNormalNumber"/>
        <w:numPr>
          <w:ilvl w:val="2"/>
          <w:numId w:val="156"/>
        </w:numPr>
        <w:shd w:val="clear" w:color="auto" w:fill="FFFFFF"/>
        <w:tabs>
          <w:tab w:val="clear" w:pos="1701"/>
        </w:tabs>
      </w:pPr>
      <w:r>
        <w:t>Stage 1 is based on numerical, statistical data (including secondary data)</w:t>
      </w:r>
    </w:p>
    <w:p w14:paraId="55BB0981" w14:textId="77777777" w:rsidR="00D8392C" w:rsidRDefault="00D8392C" w:rsidP="00812871">
      <w:pPr>
        <w:pStyle w:val="CBDNormalNumber"/>
        <w:numPr>
          <w:ilvl w:val="2"/>
          <w:numId w:val="156"/>
        </w:numPr>
        <w:shd w:val="clear" w:color="auto" w:fill="FFFFFF"/>
        <w:tabs>
          <w:tab w:val="clear" w:pos="1701"/>
        </w:tabs>
      </w:pPr>
      <w:r>
        <w:t xml:space="preserve">Stage 2 is based on georeferenced map data </w:t>
      </w:r>
    </w:p>
    <w:p w14:paraId="4A415493" w14:textId="40D940EC" w:rsidR="002B21FF" w:rsidRPr="00812871" w:rsidRDefault="00000000" w:rsidP="00812871">
      <w:pPr>
        <w:pStyle w:val="CBDNormalNumber"/>
        <w:numPr>
          <w:ilvl w:val="0"/>
          <w:numId w:val="156"/>
        </w:numPr>
        <w:shd w:val="clear" w:color="auto" w:fill="FFFFFF"/>
        <w:tabs>
          <w:tab w:val="clear" w:pos="1701"/>
        </w:tabs>
        <w:ind w:left="567" w:firstLine="0"/>
        <w:rPr>
          <w:color w:val="000000"/>
        </w:rPr>
      </w:pPr>
      <w:sdt>
        <w:sdtPr>
          <w:rPr>
            <w:color w:val="000000"/>
          </w:rPr>
          <w:tag w:val="goog_rdk_188"/>
          <w:id w:val="1215110391"/>
        </w:sdtPr>
        <w:sdtContent/>
      </w:sdt>
      <w:sdt>
        <w:sdtPr>
          <w:rPr>
            <w:color w:val="000000"/>
          </w:rPr>
          <w:tag w:val="goog_rdk_189"/>
          <w:id w:val="-1018534786"/>
        </w:sdtPr>
        <w:sdtContent/>
      </w:sdt>
      <w:sdt>
        <w:sdtPr>
          <w:rPr>
            <w:color w:val="000000"/>
          </w:rPr>
          <w:tag w:val="goog_rdk_190"/>
          <w:id w:val="-946503701"/>
          <w:showingPlcHdr/>
        </w:sdtPr>
        <w:sdtContent>
          <w:r w:rsidR="006665F4" w:rsidRPr="00812871">
            <w:rPr>
              <w:color w:val="000000"/>
            </w:rPr>
            <w:t xml:space="preserve">     </w:t>
          </w:r>
        </w:sdtContent>
      </w:sdt>
      <w:r w:rsidR="00D8392C" w:rsidRPr="00812871">
        <w:rPr>
          <w:color w:val="000000"/>
        </w:rPr>
        <w:t>Limitations of an area-based indicator include the degree of disaggregation possible (for example sex and age disaggregation is not possible).</w:t>
      </w:r>
    </w:p>
    <w:p w14:paraId="2D939452" w14:textId="699C6789" w:rsidR="002B21FF" w:rsidRPr="00812871" w:rsidRDefault="00D8392C" w:rsidP="00812871">
      <w:pPr>
        <w:pStyle w:val="CBDNormalNumber"/>
        <w:numPr>
          <w:ilvl w:val="0"/>
          <w:numId w:val="156"/>
        </w:numPr>
        <w:shd w:val="clear" w:color="auto" w:fill="FFFFFF"/>
        <w:tabs>
          <w:tab w:val="clear" w:pos="1701"/>
        </w:tabs>
        <w:ind w:left="567" w:firstLine="0"/>
        <w:rPr>
          <w:color w:val="000000"/>
        </w:rPr>
      </w:pPr>
      <w:r w:rsidRPr="00812871">
        <w:rPr>
          <w:color w:val="000000"/>
        </w:rPr>
        <w:t>Definitions:</w:t>
      </w:r>
    </w:p>
    <w:p w14:paraId="672386AF" w14:textId="77777777" w:rsidR="00D8392C" w:rsidRDefault="00D8392C" w:rsidP="00812871">
      <w:pPr>
        <w:pStyle w:val="CBDNormalNumber"/>
        <w:numPr>
          <w:ilvl w:val="1"/>
          <w:numId w:val="156"/>
        </w:numPr>
        <w:shd w:val="clear" w:color="auto" w:fill="FFFFFF"/>
        <w:tabs>
          <w:tab w:val="clear" w:pos="1701"/>
        </w:tabs>
      </w:pPr>
      <w:r>
        <w:t xml:space="preserve">See Appendix B, Section 5a for definitions of terms. </w:t>
      </w:r>
    </w:p>
    <w:p w14:paraId="58F2E899" w14:textId="77777777" w:rsidR="00D8392C" w:rsidRDefault="00D8392C" w:rsidP="00D8392C">
      <w:pPr>
        <w:spacing w:before="100"/>
      </w:pPr>
    </w:p>
    <w:tbl>
      <w:tblPr>
        <w:tblStyle w:val="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4"/>
        <w:gridCol w:w="6532"/>
      </w:tblGrid>
      <w:tr w:rsidR="00D8392C" w14:paraId="594BACB7" w14:textId="77777777" w:rsidTr="00F90F5F">
        <w:trPr>
          <w:trHeight w:val="487"/>
        </w:trPr>
        <w:tc>
          <w:tcPr>
            <w:tcW w:w="2484" w:type="dxa"/>
            <w:tcBorders>
              <w:top w:val="single" w:sz="4" w:space="0" w:color="000000"/>
              <w:left w:val="single" w:sz="4" w:space="0" w:color="000000"/>
              <w:bottom w:val="single" w:sz="4" w:space="0" w:color="000000"/>
              <w:right w:val="single" w:sz="4" w:space="0" w:color="000000"/>
            </w:tcBorders>
            <w:shd w:val="clear" w:color="auto" w:fill="156082"/>
            <w:vAlign w:val="center"/>
          </w:tcPr>
          <w:p w14:paraId="79D22D8A" w14:textId="77777777" w:rsidR="00D8392C" w:rsidRDefault="00D8392C" w:rsidP="00F90F5F">
            <w:pPr>
              <w:spacing w:after="200" w:line="276" w:lineRule="auto"/>
              <w:jc w:val="left"/>
              <w:rPr>
                <w:b/>
                <w:bCs/>
                <w:color w:val="FFFFFF"/>
                <w:sz w:val="20"/>
                <w:szCs w:val="20"/>
              </w:rPr>
            </w:pPr>
            <w:r>
              <w:rPr>
                <w:b/>
                <w:bCs/>
                <w:color w:val="FFFFFF"/>
                <w:sz w:val="20"/>
                <w:szCs w:val="20"/>
              </w:rPr>
              <w:t>Stage 1</w:t>
            </w:r>
          </w:p>
        </w:tc>
        <w:tc>
          <w:tcPr>
            <w:tcW w:w="6532" w:type="dxa"/>
            <w:tcBorders>
              <w:top w:val="single" w:sz="4" w:space="0" w:color="000000"/>
              <w:left w:val="single" w:sz="4" w:space="0" w:color="000000"/>
              <w:bottom w:val="single" w:sz="4" w:space="0" w:color="000000"/>
              <w:right w:val="single" w:sz="4" w:space="0" w:color="000000"/>
            </w:tcBorders>
            <w:shd w:val="clear" w:color="auto" w:fill="156082"/>
            <w:vAlign w:val="center"/>
          </w:tcPr>
          <w:p w14:paraId="0F29FFEC" w14:textId="77777777" w:rsidR="00D8392C" w:rsidRDefault="00D8392C" w:rsidP="00F90F5F">
            <w:pPr>
              <w:spacing w:after="200" w:line="276" w:lineRule="auto"/>
              <w:jc w:val="left"/>
              <w:rPr>
                <w:b/>
                <w:bCs/>
                <w:color w:val="FFFFFF"/>
                <w:sz w:val="20"/>
                <w:szCs w:val="20"/>
              </w:rPr>
            </w:pPr>
            <w:r>
              <w:rPr>
                <w:b/>
                <w:bCs/>
                <w:color w:val="FFFFFF"/>
                <w:sz w:val="20"/>
                <w:szCs w:val="20"/>
              </w:rPr>
              <w:t xml:space="preserve">Numerical data </w:t>
            </w:r>
          </w:p>
        </w:tc>
      </w:tr>
      <w:tr w:rsidR="00D8392C" w14:paraId="00249C62" w14:textId="77777777" w:rsidTr="00F90F5F">
        <w:trPr>
          <w:trHeight w:val="410"/>
        </w:trPr>
        <w:tc>
          <w:tcPr>
            <w:tcW w:w="2484" w:type="dxa"/>
            <w:tcBorders>
              <w:top w:val="single" w:sz="4" w:space="0" w:color="000000"/>
              <w:left w:val="single" w:sz="4" w:space="0" w:color="000000"/>
              <w:bottom w:val="single" w:sz="4" w:space="0" w:color="000000"/>
              <w:right w:val="single" w:sz="4" w:space="0" w:color="000000"/>
            </w:tcBorders>
          </w:tcPr>
          <w:p w14:paraId="472DDA39" w14:textId="77777777" w:rsidR="00D8392C" w:rsidRDefault="00D8392C" w:rsidP="00F90F5F">
            <w:pPr>
              <w:spacing w:after="200" w:line="276" w:lineRule="auto"/>
              <w:jc w:val="left"/>
              <w:rPr>
                <w:b/>
                <w:bCs/>
                <w:sz w:val="20"/>
                <w:szCs w:val="20"/>
              </w:rPr>
            </w:pPr>
            <w:r>
              <w:rPr>
                <w:b/>
                <w:bCs/>
                <w:sz w:val="20"/>
                <w:szCs w:val="20"/>
              </w:rPr>
              <w:t>Data type</w:t>
            </w:r>
          </w:p>
        </w:tc>
        <w:tc>
          <w:tcPr>
            <w:tcW w:w="6532" w:type="dxa"/>
            <w:tcBorders>
              <w:top w:val="single" w:sz="4" w:space="0" w:color="000000"/>
              <w:left w:val="single" w:sz="4" w:space="0" w:color="000000"/>
              <w:bottom w:val="single" w:sz="4" w:space="0" w:color="000000"/>
              <w:right w:val="single" w:sz="4" w:space="0" w:color="000000"/>
            </w:tcBorders>
          </w:tcPr>
          <w:p w14:paraId="45198C35" w14:textId="77777777" w:rsidR="00D8392C" w:rsidRDefault="00D8392C" w:rsidP="00F90F5F">
            <w:pPr>
              <w:spacing w:after="200" w:line="276" w:lineRule="auto"/>
              <w:jc w:val="left"/>
              <w:rPr>
                <w:sz w:val="20"/>
                <w:szCs w:val="20"/>
              </w:rPr>
            </w:pPr>
            <w:r>
              <w:rPr>
                <w:sz w:val="20"/>
                <w:szCs w:val="20"/>
              </w:rPr>
              <w:t>Numerical measurement of area of land (in hectares)</w:t>
            </w:r>
          </w:p>
        </w:tc>
      </w:tr>
      <w:tr w:rsidR="00D8392C" w14:paraId="60C2E04E" w14:textId="77777777" w:rsidTr="00F90F5F">
        <w:trPr>
          <w:trHeight w:val="403"/>
        </w:trPr>
        <w:tc>
          <w:tcPr>
            <w:tcW w:w="2484" w:type="dxa"/>
            <w:tcBorders>
              <w:top w:val="single" w:sz="4" w:space="0" w:color="000000"/>
              <w:left w:val="single" w:sz="4" w:space="0" w:color="000000"/>
              <w:bottom w:val="single" w:sz="4" w:space="0" w:color="000000"/>
              <w:right w:val="single" w:sz="4" w:space="0" w:color="000000"/>
            </w:tcBorders>
          </w:tcPr>
          <w:p w14:paraId="179007E3" w14:textId="77777777" w:rsidR="00D8392C" w:rsidRDefault="00D8392C" w:rsidP="00F90F5F">
            <w:pPr>
              <w:spacing w:after="200" w:line="276" w:lineRule="auto"/>
              <w:jc w:val="left"/>
              <w:rPr>
                <w:b/>
                <w:bCs/>
                <w:sz w:val="20"/>
                <w:szCs w:val="20"/>
              </w:rPr>
            </w:pPr>
            <w:r>
              <w:rPr>
                <w:b/>
                <w:bCs/>
                <w:sz w:val="20"/>
                <w:szCs w:val="20"/>
              </w:rPr>
              <w:t>Data sources and quantity:</w:t>
            </w:r>
          </w:p>
          <w:p w14:paraId="0B8B505C" w14:textId="77777777" w:rsidR="00D8392C" w:rsidRDefault="00D8392C" w:rsidP="00D8392C">
            <w:pPr>
              <w:numPr>
                <w:ilvl w:val="0"/>
                <w:numId w:val="202"/>
              </w:numPr>
              <w:spacing w:line="276" w:lineRule="auto"/>
              <w:jc w:val="left"/>
              <w:rPr>
                <w:sz w:val="20"/>
                <w:szCs w:val="20"/>
              </w:rPr>
            </w:pPr>
            <w:r>
              <w:rPr>
                <w:sz w:val="20"/>
                <w:szCs w:val="20"/>
              </w:rPr>
              <w:t>area of IP&amp;LC land recognised and documented (ha)</w:t>
            </w:r>
          </w:p>
          <w:p w14:paraId="7A968070" w14:textId="77777777" w:rsidR="00D8392C" w:rsidRDefault="00D8392C" w:rsidP="00F90F5F">
            <w:pPr>
              <w:spacing w:after="200" w:line="276" w:lineRule="auto"/>
              <w:jc w:val="left"/>
              <w:rPr>
                <w:sz w:val="20"/>
                <w:szCs w:val="20"/>
              </w:rPr>
            </w:pPr>
          </w:p>
          <w:p w14:paraId="7ACA42B9" w14:textId="77777777" w:rsidR="00D8392C" w:rsidRDefault="00D8392C" w:rsidP="00D8392C">
            <w:pPr>
              <w:numPr>
                <w:ilvl w:val="0"/>
                <w:numId w:val="202"/>
              </w:numPr>
              <w:pBdr>
                <w:between w:val="single" w:sz="4" w:space="1" w:color="000000"/>
              </w:pBdr>
              <w:jc w:val="left"/>
              <w:rPr>
                <w:sz w:val="20"/>
                <w:szCs w:val="20"/>
              </w:rPr>
            </w:pPr>
            <w:r>
              <w:rPr>
                <w:sz w:val="20"/>
                <w:szCs w:val="20"/>
              </w:rPr>
              <w:t xml:space="preserve">area of land held or used by IP&amp;LC (ha) </w:t>
            </w:r>
          </w:p>
          <w:p w14:paraId="3C6EB728" w14:textId="77777777" w:rsidR="00D8392C" w:rsidRDefault="00D8392C" w:rsidP="00F90F5F">
            <w:pPr>
              <w:pBdr>
                <w:between w:val="single" w:sz="4" w:space="1" w:color="000000"/>
              </w:pBdr>
              <w:jc w:val="left"/>
              <w:rPr>
                <w:sz w:val="20"/>
                <w:szCs w:val="20"/>
              </w:rPr>
            </w:pPr>
            <w:r>
              <w:rPr>
                <w:sz w:val="20"/>
                <w:szCs w:val="20"/>
              </w:rPr>
              <w:t xml:space="preserve"> </w:t>
            </w:r>
          </w:p>
        </w:tc>
        <w:tc>
          <w:tcPr>
            <w:tcW w:w="6532" w:type="dxa"/>
            <w:tcBorders>
              <w:top w:val="single" w:sz="4" w:space="0" w:color="000000"/>
              <w:left w:val="single" w:sz="4" w:space="0" w:color="000000"/>
              <w:bottom w:val="single" w:sz="4" w:space="0" w:color="000000"/>
              <w:right w:val="single" w:sz="4" w:space="0" w:color="000000"/>
            </w:tcBorders>
          </w:tcPr>
          <w:p w14:paraId="7E754E6C" w14:textId="77777777" w:rsidR="00D8392C" w:rsidRDefault="00D8392C" w:rsidP="00F90F5F">
            <w:pPr>
              <w:jc w:val="left"/>
              <w:rPr>
                <w:sz w:val="20"/>
                <w:szCs w:val="20"/>
              </w:rPr>
            </w:pPr>
            <w:r>
              <w:rPr>
                <w:sz w:val="20"/>
                <w:szCs w:val="20"/>
              </w:rPr>
              <w:t xml:space="preserve">Sources of global data </w:t>
            </w:r>
          </w:p>
          <w:p w14:paraId="754E7DB7" w14:textId="77777777" w:rsidR="00D8392C" w:rsidRDefault="00D8392C" w:rsidP="00F90F5F">
            <w:pPr>
              <w:jc w:val="left"/>
              <w:rPr>
                <w:sz w:val="20"/>
                <w:szCs w:val="20"/>
              </w:rPr>
            </w:pPr>
          </w:p>
          <w:p w14:paraId="5F39D8AE" w14:textId="77777777" w:rsidR="00D8392C" w:rsidRDefault="00D8392C" w:rsidP="00F90F5F">
            <w:pPr>
              <w:jc w:val="left"/>
              <w:rPr>
                <w:sz w:val="20"/>
                <w:szCs w:val="20"/>
              </w:rPr>
            </w:pPr>
            <w:r>
              <w:rPr>
                <w:sz w:val="20"/>
                <w:szCs w:val="20"/>
              </w:rPr>
              <w:t>(1)</w:t>
            </w:r>
          </w:p>
          <w:p w14:paraId="493A6726" w14:textId="77777777" w:rsidR="00D8392C" w:rsidRDefault="00D8392C" w:rsidP="00F90F5F">
            <w:pPr>
              <w:jc w:val="left"/>
              <w:rPr>
                <w:sz w:val="20"/>
                <w:szCs w:val="20"/>
              </w:rPr>
            </w:pPr>
          </w:p>
          <w:p w14:paraId="6093F1C6" w14:textId="77777777" w:rsidR="00D8392C" w:rsidRDefault="00D8392C" w:rsidP="00D8392C">
            <w:pPr>
              <w:numPr>
                <w:ilvl w:val="0"/>
                <w:numId w:val="207"/>
              </w:numPr>
              <w:jc w:val="left"/>
              <w:rPr>
                <w:sz w:val="20"/>
                <w:szCs w:val="20"/>
              </w:rPr>
            </w:pPr>
            <w:proofErr w:type="spellStart"/>
            <w:r>
              <w:rPr>
                <w:sz w:val="20"/>
                <w:szCs w:val="20"/>
              </w:rPr>
              <w:t>LandMark</w:t>
            </w:r>
            <w:proofErr w:type="spellEnd"/>
            <w:r>
              <w:rPr>
                <w:sz w:val="20"/>
                <w:szCs w:val="20"/>
              </w:rPr>
              <w:t xml:space="preserve"> database for national area of IP&amp;LC lands acknowledged by government (</w:t>
            </w:r>
            <w:proofErr w:type="spellStart"/>
            <w:r>
              <w:rPr>
                <w:sz w:val="20"/>
                <w:szCs w:val="20"/>
              </w:rPr>
              <w:t>LandMark</w:t>
            </w:r>
            <w:proofErr w:type="spellEnd"/>
            <w:r>
              <w:rPr>
                <w:sz w:val="20"/>
                <w:szCs w:val="20"/>
              </w:rPr>
              <w:t xml:space="preserve"> “Percent of Country Held and Used By Indigenous Peoples and Local Communities” data layer) </w:t>
            </w:r>
          </w:p>
          <w:p w14:paraId="26AF1205" w14:textId="77777777" w:rsidR="00D8392C" w:rsidRDefault="00D8392C" w:rsidP="00D8392C">
            <w:pPr>
              <w:numPr>
                <w:ilvl w:val="0"/>
                <w:numId w:val="207"/>
              </w:numPr>
              <w:jc w:val="left"/>
              <w:rPr>
                <w:sz w:val="20"/>
                <w:szCs w:val="20"/>
              </w:rPr>
            </w:pPr>
            <w:r>
              <w:rPr>
                <w:sz w:val="20"/>
                <w:szCs w:val="20"/>
              </w:rPr>
              <w:t xml:space="preserve">Rights and Resources Initiative “Who Owns the World’s Land” area of country legally recognized as owned by or designated for IPs &amp; LCs </w:t>
            </w:r>
          </w:p>
          <w:p w14:paraId="25532289" w14:textId="77777777" w:rsidR="00D8392C" w:rsidRDefault="00D8392C" w:rsidP="00D8392C">
            <w:pPr>
              <w:numPr>
                <w:ilvl w:val="0"/>
                <w:numId w:val="207"/>
              </w:numPr>
              <w:jc w:val="left"/>
              <w:rPr>
                <w:sz w:val="20"/>
                <w:szCs w:val="20"/>
              </w:rPr>
            </w:pPr>
            <w:r>
              <w:rPr>
                <w:sz w:val="20"/>
                <w:szCs w:val="20"/>
              </w:rPr>
              <w:t xml:space="preserve">Global Land Observatory global tenure database </w:t>
            </w:r>
          </w:p>
          <w:p w14:paraId="016097A6" w14:textId="77777777" w:rsidR="00D8392C" w:rsidRDefault="00D8392C" w:rsidP="00D8392C">
            <w:pPr>
              <w:numPr>
                <w:ilvl w:val="0"/>
                <w:numId w:val="207"/>
              </w:numPr>
              <w:jc w:val="left"/>
              <w:rPr>
                <w:sz w:val="20"/>
                <w:szCs w:val="20"/>
              </w:rPr>
            </w:pPr>
            <w:r>
              <w:rPr>
                <w:sz w:val="20"/>
                <w:szCs w:val="20"/>
              </w:rPr>
              <w:t>Indigenous territorial planning instruments may be used as structured evidence for governance and land management dimensions, supporting national reporting, especially where linkages to official planning systems exist</w:t>
            </w:r>
          </w:p>
          <w:p w14:paraId="71A65F6B" w14:textId="77777777" w:rsidR="00D8392C" w:rsidRDefault="00D8392C" w:rsidP="00F90F5F">
            <w:pPr>
              <w:jc w:val="left"/>
              <w:rPr>
                <w:sz w:val="20"/>
                <w:szCs w:val="20"/>
              </w:rPr>
            </w:pPr>
          </w:p>
          <w:p w14:paraId="16A77AD8" w14:textId="77777777" w:rsidR="00D8392C" w:rsidRDefault="00D8392C" w:rsidP="00F90F5F">
            <w:pPr>
              <w:jc w:val="left"/>
              <w:rPr>
                <w:sz w:val="20"/>
                <w:szCs w:val="20"/>
              </w:rPr>
            </w:pPr>
          </w:p>
          <w:p w14:paraId="32206FEF" w14:textId="77777777" w:rsidR="00D8392C" w:rsidRDefault="00D8392C" w:rsidP="00F90F5F">
            <w:pPr>
              <w:jc w:val="left"/>
              <w:rPr>
                <w:sz w:val="20"/>
                <w:szCs w:val="20"/>
              </w:rPr>
            </w:pPr>
            <w:r>
              <w:rPr>
                <w:sz w:val="20"/>
                <w:szCs w:val="20"/>
              </w:rPr>
              <w:t>(2)</w:t>
            </w:r>
          </w:p>
          <w:p w14:paraId="2172F7E5" w14:textId="77777777" w:rsidR="00D8392C" w:rsidRDefault="00D8392C" w:rsidP="00D8392C">
            <w:pPr>
              <w:numPr>
                <w:ilvl w:val="0"/>
                <w:numId w:val="207"/>
              </w:numPr>
              <w:jc w:val="left"/>
              <w:rPr>
                <w:sz w:val="20"/>
                <w:szCs w:val="20"/>
              </w:rPr>
            </w:pPr>
            <w:proofErr w:type="spellStart"/>
            <w:r>
              <w:rPr>
                <w:sz w:val="20"/>
                <w:szCs w:val="20"/>
              </w:rPr>
              <w:t>LandMark</w:t>
            </w:r>
            <w:proofErr w:type="spellEnd"/>
            <w:r>
              <w:rPr>
                <w:sz w:val="20"/>
                <w:szCs w:val="20"/>
              </w:rPr>
              <w:t xml:space="preserve"> database for total national area of IP&amp;LC lands (acknowledged and not acknowledged by government) </w:t>
            </w:r>
          </w:p>
          <w:p w14:paraId="529CDE63" w14:textId="77777777" w:rsidR="00D8392C" w:rsidRDefault="00D8392C" w:rsidP="00D8392C">
            <w:pPr>
              <w:numPr>
                <w:ilvl w:val="0"/>
                <w:numId w:val="207"/>
              </w:numPr>
              <w:jc w:val="left"/>
              <w:rPr>
                <w:sz w:val="20"/>
                <w:szCs w:val="20"/>
              </w:rPr>
            </w:pPr>
            <w:r>
              <w:rPr>
                <w:sz w:val="20"/>
                <w:szCs w:val="20"/>
              </w:rPr>
              <w:t xml:space="preserve">Rights and Resources Initiative “Who Owns the World’s Land” </w:t>
            </w:r>
          </w:p>
          <w:p w14:paraId="670C5FC4" w14:textId="77777777" w:rsidR="00D8392C" w:rsidRDefault="00D8392C" w:rsidP="00F90F5F">
            <w:pPr>
              <w:jc w:val="left"/>
              <w:rPr>
                <w:sz w:val="20"/>
                <w:szCs w:val="20"/>
              </w:rPr>
            </w:pPr>
          </w:p>
        </w:tc>
      </w:tr>
      <w:tr w:rsidR="00D8392C" w14:paraId="6F8C9DE7" w14:textId="77777777" w:rsidTr="00F90F5F">
        <w:trPr>
          <w:trHeight w:val="763"/>
        </w:trPr>
        <w:tc>
          <w:tcPr>
            <w:tcW w:w="2484" w:type="dxa"/>
            <w:tcBorders>
              <w:top w:val="single" w:sz="4" w:space="0" w:color="000000"/>
              <w:left w:val="single" w:sz="4" w:space="0" w:color="000000"/>
              <w:bottom w:val="single" w:sz="4" w:space="0" w:color="000000"/>
              <w:right w:val="single" w:sz="4" w:space="0" w:color="000000"/>
            </w:tcBorders>
          </w:tcPr>
          <w:p w14:paraId="2F240513" w14:textId="77777777" w:rsidR="00D8392C" w:rsidRDefault="00D8392C" w:rsidP="00F90F5F">
            <w:pPr>
              <w:spacing w:after="200" w:line="276" w:lineRule="auto"/>
              <w:jc w:val="left"/>
              <w:rPr>
                <w:b/>
                <w:bCs/>
                <w:sz w:val="20"/>
                <w:szCs w:val="20"/>
              </w:rPr>
            </w:pPr>
            <w:r>
              <w:rPr>
                <w:b/>
                <w:bCs/>
                <w:sz w:val="20"/>
                <w:szCs w:val="20"/>
              </w:rPr>
              <w:lastRenderedPageBreak/>
              <w:t>Comments</w:t>
            </w:r>
          </w:p>
        </w:tc>
        <w:tc>
          <w:tcPr>
            <w:tcW w:w="6532" w:type="dxa"/>
            <w:tcBorders>
              <w:top w:val="single" w:sz="4" w:space="0" w:color="000000"/>
              <w:left w:val="single" w:sz="4" w:space="0" w:color="000000"/>
              <w:bottom w:val="single" w:sz="4" w:space="0" w:color="000000"/>
              <w:right w:val="single" w:sz="4" w:space="0" w:color="000000"/>
            </w:tcBorders>
          </w:tcPr>
          <w:p w14:paraId="13E38398" w14:textId="77777777" w:rsidR="00D8392C" w:rsidRDefault="00D8392C" w:rsidP="00D8392C">
            <w:pPr>
              <w:numPr>
                <w:ilvl w:val="0"/>
                <w:numId w:val="207"/>
              </w:numPr>
              <w:jc w:val="left"/>
              <w:rPr>
                <w:sz w:val="20"/>
                <w:szCs w:val="20"/>
              </w:rPr>
            </w:pPr>
            <w:r>
              <w:rPr>
                <w:sz w:val="20"/>
                <w:szCs w:val="20"/>
              </w:rPr>
              <w:t>Available at present for approximately 105 countries</w:t>
            </w:r>
          </w:p>
          <w:p w14:paraId="1A3C21F5" w14:textId="77777777" w:rsidR="00D8392C" w:rsidRDefault="00D8392C" w:rsidP="00D8392C">
            <w:pPr>
              <w:numPr>
                <w:ilvl w:val="0"/>
                <w:numId w:val="207"/>
              </w:numPr>
              <w:jc w:val="left"/>
              <w:rPr>
                <w:sz w:val="20"/>
                <w:szCs w:val="20"/>
              </w:rPr>
            </w:pPr>
            <w:r>
              <w:rPr>
                <w:sz w:val="20"/>
                <w:szCs w:val="20"/>
              </w:rPr>
              <w:t>Values are reported for both IP and LC; disaggregation is available in some cases</w:t>
            </w:r>
          </w:p>
          <w:p w14:paraId="0FEF6F47" w14:textId="77777777" w:rsidR="00D8392C" w:rsidRDefault="00D8392C" w:rsidP="00F90F5F">
            <w:pPr>
              <w:jc w:val="left"/>
              <w:rPr>
                <w:sz w:val="20"/>
                <w:szCs w:val="20"/>
              </w:rPr>
            </w:pPr>
          </w:p>
        </w:tc>
      </w:tr>
      <w:tr w:rsidR="00D8392C" w14:paraId="5BA4A55D" w14:textId="77777777" w:rsidTr="00F90F5F">
        <w:trPr>
          <w:trHeight w:val="487"/>
        </w:trPr>
        <w:tc>
          <w:tcPr>
            <w:tcW w:w="2484" w:type="dxa"/>
            <w:tcBorders>
              <w:top w:val="single" w:sz="4" w:space="0" w:color="000000"/>
              <w:left w:val="single" w:sz="4" w:space="0" w:color="000000"/>
              <w:bottom w:val="single" w:sz="4" w:space="0" w:color="000000"/>
              <w:right w:val="single" w:sz="4" w:space="0" w:color="000000"/>
            </w:tcBorders>
            <w:shd w:val="clear" w:color="auto" w:fill="156082"/>
          </w:tcPr>
          <w:p w14:paraId="0092A015" w14:textId="77777777" w:rsidR="00D8392C" w:rsidRDefault="00D8392C" w:rsidP="00F90F5F">
            <w:pPr>
              <w:spacing w:after="200" w:line="276" w:lineRule="auto"/>
              <w:jc w:val="left"/>
              <w:rPr>
                <w:b/>
                <w:bCs/>
                <w:color w:val="FFFFFF"/>
                <w:sz w:val="20"/>
                <w:szCs w:val="20"/>
              </w:rPr>
            </w:pPr>
            <w:r>
              <w:rPr>
                <w:b/>
                <w:bCs/>
                <w:color w:val="FFFFFF"/>
                <w:sz w:val="20"/>
                <w:szCs w:val="20"/>
              </w:rPr>
              <w:t>Stage 2</w:t>
            </w:r>
          </w:p>
        </w:tc>
        <w:tc>
          <w:tcPr>
            <w:tcW w:w="6532" w:type="dxa"/>
            <w:tcBorders>
              <w:top w:val="single" w:sz="4" w:space="0" w:color="000000"/>
              <w:left w:val="single" w:sz="4" w:space="0" w:color="000000"/>
              <w:bottom w:val="single" w:sz="4" w:space="0" w:color="000000"/>
              <w:right w:val="single" w:sz="4" w:space="0" w:color="000000"/>
            </w:tcBorders>
            <w:shd w:val="clear" w:color="auto" w:fill="156082"/>
          </w:tcPr>
          <w:p w14:paraId="1413EE2B" w14:textId="77777777" w:rsidR="00D8392C" w:rsidRDefault="00D8392C" w:rsidP="00F90F5F">
            <w:pPr>
              <w:spacing w:after="200" w:line="276" w:lineRule="auto"/>
              <w:jc w:val="left"/>
              <w:rPr>
                <w:b/>
                <w:bCs/>
                <w:color w:val="FFFFFF"/>
                <w:sz w:val="20"/>
                <w:szCs w:val="20"/>
              </w:rPr>
            </w:pPr>
            <w:r>
              <w:rPr>
                <w:b/>
                <w:bCs/>
                <w:color w:val="FFFFFF"/>
                <w:sz w:val="20"/>
                <w:szCs w:val="20"/>
              </w:rPr>
              <w:t>Georeferenced map data</w:t>
            </w:r>
          </w:p>
        </w:tc>
      </w:tr>
      <w:tr w:rsidR="00D8392C" w14:paraId="1E3BA506" w14:textId="77777777" w:rsidTr="00F90F5F">
        <w:trPr>
          <w:trHeight w:val="627"/>
        </w:trPr>
        <w:tc>
          <w:tcPr>
            <w:tcW w:w="2484" w:type="dxa"/>
            <w:tcBorders>
              <w:top w:val="single" w:sz="4" w:space="0" w:color="000000"/>
              <w:left w:val="single" w:sz="4" w:space="0" w:color="000000"/>
              <w:bottom w:val="single" w:sz="4" w:space="0" w:color="000000"/>
              <w:right w:val="single" w:sz="4" w:space="0" w:color="000000"/>
            </w:tcBorders>
          </w:tcPr>
          <w:p w14:paraId="5668B989" w14:textId="77777777" w:rsidR="00D8392C" w:rsidRDefault="00D8392C" w:rsidP="00F90F5F">
            <w:pPr>
              <w:spacing w:after="200" w:line="276" w:lineRule="auto"/>
              <w:jc w:val="left"/>
              <w:rPr>
                <w:b/>
                <w:bCs/>
                <w:sz w:val="20"/>
                <w:szCs w:val="20"/>
              </w:rPr>
            </w:pPr>
            <w:r>
              <w:rPr>
                <w:b/>
                <w:bCs/>
                <w:sz w:val="20"/>
                <w:szCs w:val="20"/>
              </w:rPr>
              <w:t>Data type</w:t>
            </w:r>
          </w:p>
        </w:tc>
        <w:tc>
          <w:tcPr>
            <w:tcW w:w="6532" w:type="dxa"/>
            <w:tcBorders>
              <w:top w:val="single" w:sz="4" w:space="0" w:color="000000"/>
              <w:left w:val="single" w:sz="4" w:space="0" w:color="000000"/>
              <w:bottom w:val="single" w:sz="4" w:space="0" w:color="000000"/>
              <w:right w:val="single" w:sz="4" w:space="0" w:color="000000"/>
            </w:tcBorders>
          </w:tcPr>
          <w:p w14:paraId="0AA2AFB7" w14:textId="77777777" w:rsidR="00D8392C" w:rsidRDefault="00D8392C" w:rsidP="00F90F5F">
            <w:pPr>
              <w:jc w:val="left"/>
              <w:rPr>
                <w:sz w:val="20"/>
                <w:szCs w:val="20"/>
              </w:rPr>
            </w:pPr>
            <w:r>
              <w:rPr>
                <w:sz w:val="20"/>
                <w:szCs w:val="20"/>
              </w:rPr>
              <w:t>Map-based data (from which numeric data in hectares is deducted)</w:t>
            </w:r>
          </w:p>
        </w:tc>
      </w:tr>
      <w:tr w:rsidR="00D8392C" w14:paraId="2C087C00" w14:textId="77777777" w:rsidTr="00F90F5F">
        <w:trPr>
          <w:trHeight w:val="409"/>
        </w:trPr>
        <w:tc>
          <w:tcPr>
            <w:tcW w:w="2484" w:type="dxa"/>
            <w:tcBorders>
              <w:top w:val="single" w:sz="4" w:space="0" w:color="000000"/>
              <w:left w:val="single" w:sz="4" w:space="0" w:color="000000"/>
              <w:bottom w:val="single" w:sz="4" w:space="0" w:color="000000"/>
              <w:right w:val="single" w:sz="4" w:space="0" w:color="000000"/>
            </w:tcBorders>
          </w:tcPr>
          <w:p w14:paraId="71368ABA" w14:textId="77777777" w:rsidR="00D8392C" w:rsidRDefault="00D8392C" w:rsidP="00F90F5F">
            <w:pPr>
              <w:spacing w:after="200" w:line="276" w:lineRule="auto"/>
              <w:jc w:val="left"/>
              <w:rPr>
                <w:b/>
                <w:bCs/>
                <w:sz w:val="20"/>
                <w:szCs w:val="20"/>
              </w:rPr>
            </w:pPr>
            <w:r>
              <w:rPr>
                <w:b/>
                <w:bCs/>
                <w:sz w:val="20"/>
                <w:szCs w:val="20"/>
              </w:rPr>
              <w:t>Data sources and quantity:</w:t>
            </w:r>
          </w:p>
          <w:p w14:paraId="54750093" w14:textId="77777777" w:rsidR="00D8392C" w:rsidRDefault="00D8392C" w:rsidP="00D8392C">
            <w:pPr>
              <w:numPr>
                <w:ilvl w:val="0"/>
                <w:numId w:val="204"/>
              </w:numPr>
              <w:spacing w:line="276" w:lineRule="auto"/>
              <w:ind w:left="452"/>
              <w:jc w:val="left"/>
              <w:rPr>
                <w:sz w:val="20"/>
                <w:szCs w:val="20"/>
              </w:rPr>
            </w:pPr>
            <w:r>
              <w:rPr>
                <w:sz w:val="20"/>
                <w:szCs w:val="20"/>
              </w:rPr>
              <w:t>area of IP&amp;LC land recognised and documented (ha)</w:t>
            </w:r>
          </w:p>
          <w:p w14:paraId="27A3DCBF" w14:textId="77777777" w:rsidR="00D8392C" w:rsidRDefault="00D8392C" w:rsidP="00F90F5F">
            <w:pPr>
              <w:spacing w:after="200" w:line="276" w:lineRule="auto"/>
              <w:ind w:left="452"/>
              <w:jc w:val="left"/>
              <w:rPr>
                <w:sz w:val="20"/>
                <w:szCs w:val="20"/>
              </w:rPr>
            </w:pPr>
          </w:p>
          <w:p w14:paraId="545860F4" w14:textId="77777777" w:rsidR="00D8392C" w:rsidRDefault="00D8392C" w:rsidP="00D8392C">
            <w:pPr>
              <w:numPr>
                <w:ilvl w:val="0"/>
                <w:numId w:val="204"/>
              </w:numPr>
              <w:pBdr>
                <w:between w:val="single" w:sz="4" w:space="1" w:color="000000"/>
              </w:pBdr>
              <w:ind w:left="452"/>
              <w:jc w:val="left"/>
              <w:rPr>
                <w:sz w:val="20"/>
                <w:szCs w:val="20"/>
              </w:rPr>
            </w:pPr>
            <w:r>
              <w:rPr>
                <w:sz w:val="20"/>
                <w:szCs w:val="20"/>
              </w:rPr>
              <w:t xml:space="preserve">area of land held or used by IP&amp;LC (ha) </w:t>
            </w:r>
          </w:p>
          <w:p w14:paraId="5D8C5B1D" w14:textId="77777777" w:rsidR="00D8392C" w:rsidRDefault="00D8392C" w:rsidP="00F90F5F">
            <w:pPr>
              <w:spacing w:after="200" w:line="276" w:lineRule="auto"/>
              <w:jc w:val="left"/>
              <w:rPr>
                <w:sz w:val="20"/>
                <w:szCs w:val="20"/>
              </w:rPr>
            </w:pPr>
            <w:r>
              <w:rPr>
                <w:sz w:val="20"/>
                <w:szCs w:val="20"/>
              </w:rPr>
              <w:t xml:space="preserve"> </w:t>
            </w:r>
          </w:p>
        </w:tc>
        <w:tc>
          <w:tcPr>
            <w:tcW w:w="6532" w:type="dxa"/>
            <w:tcBorders>
              <w:top w:val="single" w:sz="4" w:space="0" w:color="000000"/>
              <w:left w:val="single" w:sz="4" w:space="0" w:color="000000"/>
              <w:bottom w:val="single" w:sz="4" w:space="0" w:color="000000"/>
              <w:right w:val="single" w:sz="4" w:space="0" w:color="000000"/>
            </w:tcBorders>
          </w:tcPr>
          <w:p w14:paraId="6C9045A5" w14:textId="77777777" w:rsidR="00D8392C" w:rsidRDefault="00D8392C" w:rsidP="00F90F5F">
            <w:pPr>
              <w:jc w:val="left"/>
              <w:rPr>
                <w:sz w:val="20"/>
                <w:szCs w:val="20"/>
              </w:rPr>
            </w:pPr>
            <w:r>
              <w:rPr>
                <w:sz w:val="20"/>
                <w:szCs w:val="20"/>
              </w:rPr>
              <w:t xml:space="preserve">Sources of global data </w:t>
            </w:r>
          </w:p>
          <w:p w14:paraId="75CCAA2C" w14:textId="77777777" w:rsidR="00D8392C" w:rsidRDefault="00D8392C" w:rsidP="00F90F5F">
            <w:pPr>
              <w:jc w:val="left"/>
              <w:rPr>
                <w:sz w:val="20"/>
                <w:szCs w:val="20"/>
              </w:rPr>
            </w:pPr>
          </w:p>
          <w:p w14:paraId="47A95517" w14:textId="77777777" w:rsidR="00D8392C" w:rsidRDefault="00D8392C" w:rsidP="00F90F5F">
            <w:pPr>
              <w:jc w:val="left"/>
              <w:rPr>
                <w:sz w:val="20"/>
                <w:szCs w:val="20"/>
              </w:rPr>
            </w:pPr>
            <w:r>
              <w:rPr>
                <w:sz w:val="20"/>
                <w:szCs w:val="20"/>
              </w:rPr>
              <w:t>(1)</w:t>
            </w:r>
          </w:p>
          <w:p w14:paraId="46323DFA" w14:textId="77777777" w:rsidR="00D8392C" w:rsidRDefault="00D8392C" w:rsidP="00D8392C">
            <w:pPr>
              <w:numPr>
                <w:ilvl w:val="0"/>
                <w:numId w:val="207"/>
              </w:numPr>
              <w:jc w:val="left"/>
              <w:rPr>
                <w:sz w:val="20"/>
                <w:szCs w:val="20"/>
              </w:rPr>
            </w:pPr>
            <w:proofErr w:type="spellStart"/>
            <w:r>
              <w:rPr>
                <w:sz w:val="20"/>
                <w:szCs w:val="20"/>
              </w:rPr>
              <w:t>LandMark</w:t>
            </w:r>
            <w:proofErr w:type="spellEnd"/>
            <w:r>
              <w:rPr>
                <w:sz w:val="20"/>
                <w:szCs w:val="20"/>
              </w:rPr>
              <w:t xml:space="preserve"> database of geo-referenced IP&amp;LC lands by recognition status (acknowledged by government)  </w:t>
            </w:r>
          </w:p>
          <w:p w14:paraId="10808BDF" w14:textId="77777777" w:rsidR="00D8392C" w:rsidRDefault="00D8392C" w:rsidP="00D8392C">
            <w:pPr>
              <w:numPr>
                <w:ilvl w:val="0"/>
                <w:numId w:val="207"/>
              </w:numPr>
              <w:jc w:val="left"/>
              <w:rPr>
                <w:sz w:val="20"/>
                <w:szCs w:val="20"/>
              </w:rPr>
            </w:pPr>
            <w:r>
              <w:rPr>
                <w:sz w:val="20"/>
                <w:szCs w:val="20"/>
              </w:rPr>
              <w:t>ICCA Registry</w:t>
            </w:r>
          </w:p>
          <w:p w14:paraId="2E829AA4" w14:textId="77777777" w:rsidR="00D8392C" w:rsidRDefault="00D8392C" w:rsidP="00F90F5F">
            <w:pPr>
              <w:jc w:val="left"/>
              <w:rPr>
                <w:sz w:val="20"/>
                <w:szCs w:val="20"/>
              </w:rPr>
            </w:pPr>
          </w:p>
          <w:p w14:paraId="63735AFF" w14:textId="77777777" w:rsidR="00D8392C" w:rsidRDefault="00D8392C" w:rsidP="00F90F5F">
            <w:pPr>
              <w:jc w:val="left"/>
              <w:rPr>
                <w:sz w:val="20"/>
                <w:szCs w:val="20"/>
              </w:rPr>
            </w:pPr>
            <w:r>
              <w:rPr>
                <w:sz w:val="20"/>
                <w:szCs w:val="20"/>
              </w:rPr>
              <w:t>(2)</w:t>
            </w:r>
          </w:p>
          <w:p w14:paraId="5B76C52C" w14:textId="77777777" w:rsidR="00D8392C" w:rsidRDefault="00D8392C" w:rsidP="00F90F5F">
            <w:pPr>
              <w:jc w:val="left"/>
              <w:rPr>
                <w:sz w:val="20"/>
                <w:szCs w:val="20"/>
              </w:rPr>
            </w:pPr>
          </w:p>
          <w:p w14:paraId="76770F55" w14:textId="77777777" w:rsidR="00D8392C" w:rsidRDefault="00D8392C" w:rsidP="00D8392C">
            <w:pPr>
              <w:numPr>
                <w:ilvl w:val="0"/>
                <w:numId w:val="207"/>
              </w:numPr>
              <w:jc w:val="left"/>
              <w:rPr>
                <w:sz w:val="20"/>
                <w:szCs w:val="20"/>
              </w:rPr>
            </w:pPr>
            <w:proofErr w:type="spellStart"/>
            <w:r>
              <w:rPr>
                <w:sz w:val="20"/>
                <w:szCs w:val="20"/>
              </w:rPr>
              <w:t>LandMark</w:t>
            </w:r>
            <w:proofErr w:type="spellEnd"/>
            <w:r>
              <w:rPr>
                <w:sz w:val="20"/>
                <w:szCs w:val="20"/>
              </w:rPr>
              <w:t xml:space="preserve"> database of geo-referenced IP&amp;LC lands by recognition status (combining acknowledged by government, not acknowledged by government, and unknown/indicative)  </w:t>
            </w:r>
          </w:p>
          <w:p w14:paraId="509434BA" w14:textId="77777777" w:rsidR="00D8392C" w:rsidRDefault="00D8392C" w:rsidP="00D8392C">
            <w:pPr>
              <w:numPr>
                <w:ilvl w:val="0"/>
                <w:numId w:val="207"/>
              </w:numPr>
              <w:jc w:val="left"/>
              <w:rPr>
                <w:sz w:val="20"/>
                <w:szCs w:val="20"/>
              </w:rPr>
            </w:pPr>
            <w:r>
              <w:rPr>
                <w:sz w:val="20"/>
                <w:szCs w:val="20"/>
              </w:rPr>
              <w:t>ICCA Registry</w:t>
            </w:r>
          </w:p>
          <w:p w14:paraId="60B79F5B" w14:textId="77777777" w:rsidR="00D8392C" w:rsidRDefault="00D8392C" w:rsidP="00F90F5F"/>
          <w:p w14:paraId="7F695373" w14:textId="77777777" w:rsidR="00D8392C" w:rsidRDefault="00D8392C" w:rsidP="00F90F5F">
            <w:pPr>
              <w:jc w:val="left"/>
              <w:rPr>
                <w:sz w:val="20"/>
                <w:szCs w:val="20"/>
              </w:rPr>
            </w:pPr>
          </w:p>
          <w:p w14:paraId="06B36A7A" w14:textId="77777777" w:rsidR="00D8392C" w:rsidRDefault="00D8392C" w:rsidP="00F90F5F">
            <w:pPr>
              <w:ind w:left="720"/>
              <w:jc w:val="left"/>
              <w:rPr>
                <w:sz w:val="20"/>
                <w:szCs w:val="20"/>
              </w:rPr>
            </w:pPr>
          </w:p>
        </w:tc>
      </w:tr>
      <w:tr w:rsidR="00D8392C" w14:paraId="3FE70D76" w14:textId="77777777" w:rsidTr="00F90F5F">
        <w:trPr>
          <w:trHeight w:val="414"/>
        </w:trPr>
        <w:tc>
          <w:tcPr>
            <w:tcW w:w="2484" w:type="dxa"/>
            <w:tcBorders>
              <w:top w:val="single" w:sz="4" w:space="0" w:color="000000"/>
              <w:left w:val="single" w:sz="4" w:space="0" w:color="000000"/>
              <w:bottom w:val="single" w:sz="4" w:space="0" w:color="000000"/>
              <w:right w:val="single" w:sz="4" w:space="0" w:color="000000"/>
            </w:tcBorders>
          </w:tcPr>
          <w:p w14:paraId="5C89CFE2" w14:textId="77777777" w:rsidR="00D8392C" w:rsidRDefault="00D8392C" w:rsidP="00F90F5F">
            <w:pPr>
              <w:spacing w:after="200" w:line="276" w:lineRule="auto"/>
              <w:jc w:val="left"/>
              <w:rPr>
                <w:b/>
                <w:bCs/>
                <w:sz w:val="20"/>
                <w:szCs w:val="20"/>
              </w:rPr>
            </w:pPr>
            <w:r>
              <w:rPr>
                <w:b/>
                <w:bCs/>
                <w:sz w:val="20"/>
                <w:szCs w:val="20"/>
              </w:rPr>
              <w:t>Comments</w:t>
            </w:r>
          </w:p>
        </w:tc>
        <w:tc>
          <w:tcPr>
            <w:tcW w:w="6532" w:type="dxa"/>
            <w:tcBorders>
              <w:top w:val="single" w:sz="4" w:space="0" w:color="000000"/>
              <w:left w:val="single" w:sz="4" w:space="0" w:color="000000"/>
              <w:bottom w:val="single" w:sz="4" w:space="0" w:color="000000"/>
              <w:right w:val="single" w:sz="4" w:space="0" w:color="000000"/>
            </w:tcBorders>
          </w:tcPr>
          <w:p w14:paraId="2DF900AC" w14:textId="77777777" w:rsidR="00D8392C" w:rsidRDefault="00D8392C" w:rsidP="00D8392C">
            <w:pPr>
              <w:numPr>
                <w:ilvl w:val="0"/>
                <w:numId w:val="207"/>
              </w:numPr>
              <w:jc w:val="left"/>
              <w:rPr>
                <w:sz w:val="20"/>
                <w:szCs w:val="20"/>
              </w:rPr>
            </w:pPr>
            <w:r>
              <w:rPr>
                <w:sz w:val="20"/>
                <w:szCs w:val="20"/>
              </w:rPr>
              <w:t>Partial global coverage at present; over time, expected to be available for all countries in the world</w:t>
            </w:r>
          </w:p>
          <w:p w14:paraId="449B8BB8" w14:textId="77777777" w:rsidR="00D8392C" w:rsidRDefault="00D8392C" w:rsidP="00D8392C">
            <w:pPr>
              <w:numPr>
                <w:ilvl w:val="0"/>
                <w:numId w:val="207"/>
              </w:numPr>
              <w:jc w:val="left"/>
              <w:rPr>
                <w:sz w:val="20"/>
                <w:szCs w:val="20"/>
              </w:rPr>
            </w:pPr>
            <w:r>
              <w:rPr>
                <w:sz w:val="20"/>
                <w:szCs w:val="20"/>
              </w:rPr>
              <w:t xml:space="preserve">Global data from </w:t>
            </w:r>
            <w:proofErr w:type="spellStart"/>
            <w:r>
              <w:rPr>
                <w:sz w:val="20"/>
                <w:szCs w:val="20"/>
              </w:rPr>
              <w:t>LandMark</w:t>
            </w:r>
            <w:proofErr w:type="spellEnd"/>
            <w:r>
              <w:rPr>
                <w:sz w:val="20"/>
                <w:szCs w:val="20"/>
              </w:rPr>
              <w:t xml:space="preserve"> is compiled from many local and national sources which can often be accessed directly for national reporting.</w:t>
            </w:r>
          </w:p>
          <w:p w14:paraId="1E4BE564" w14:textId="77777777" w:rsidR="00D8392C" w:rsidRDefault="00D8392C" w:rsidP="00D8392C">
            <w:pPr>
              <w:numPr>
                <w:ilvl w:val="0"/>
                <w:numId w:val="207"/>
              </w:numPr>
              <w:jc w:val="left"/>
              <w:rPr>
                <w:sz w:val="20"/>
                <w:szCs w:val="20"/>
              </w:rPr>
            </w:pPr>
            <w:r>
              <w:rPr>
                <w:sz w:val="20"/>
                <w:szCs w:val="20"/>
              </w:rPr>
              <w:t xml:space="preserve">Other national and local sources of georeferenced spatial data for IP&amp;LC lands and territories may be available locally. </w:t>
            </w:r>
          </w:p>
          <w:p w14:paraId="60ABF51C" w14:textId="77777777" w:rsidR="00D8392C" w:rsidRDefault="00D8392C" w:rsidP="00D8392C">
            <w:pPr>
              <w:numPr>
                <w:ilvl w:val="0"/>
                <w:numId w:val="207"/>
              </w:numPr>
              <w:jc w:val="left"/>
              <w:rPr>
                <w:sz w:val="20"/>
                <w:szCs w:val="20"/>
              </w:rPr>
            </w:pPr>
            <w:r>
              <w:rPr>
                <w:sz w:val="20"/>
                <w:szCs w:val="20"/>
              </w:rPr>
              <w:t xml:space="preserve">Combination of data possible: Stage 2 data can be combined with Stage 1 data to report on the indicator component. For example, the mapped area of IP&amp;LC lands acknowledged by government from Stage 2 could be used as the numerator and the estimated total area of IP&amp;LC lands from Stage 1 used as the denominator.  </w:t>
            </w:r>
          </w:p>
        </w:tc>
      </w:tr>
    </w:tbl>
    <w:p w14:paraId="70BC7692" w14:textId="77777777" w:rsidR="00D8392C" w:rsidRDefault="00D8392C" w:rsidP="00D8392C">
      <w:bookmarkStart w:id="81" w:name="_heading=h.gjdgxs" w:colFirst="0" w:colLast="0"/>
      <w:bookmarkEnd w:id="81"/>
    </w:p>
    <w:p w14:paraId="091DB5E1" w14:textId="2CC671B1" w:rsidR="00D8392C" w:rsidRDefault="00D8392C" w:rsidP="00D8392C">
      <w:pPr>
        <w:spacing w:before="120"/>
        <w:rPr>
          <w:b/>
          <w:bCs/>
        </w:rPr>
      </w:pPr>
      <w:r w:rsidRPr="00812871">
        <w:rPr>
          <w:b/>
          <w:bCs/>
        </w:rPr>
        <w:t xml:space="preserve">Component (b) on IP and LC perceived tenure security </w:t>
      </w:r>
    </w:p>
    <w:p w14:paraId="53D72F83" w14:textId="77777777" w:rsidR="00D8392C" w:rsidRDefault="00D8392C" w:rsidP="00D8392C">
      <w:pPr>
        <w:spacing w:after="120"/>
        <w:ind w:left="567"/>
        <w:rPr>
          <w:b/>
          <w:bCs/>
        </w:rPr>
      </w:pPr>
    </w:p>
    <w:p w14:paraId="014685F7" w14:textId="77777777" w:rsidR="00D8392C" w:rsidRPr="00812871" w:rsidRDefault="00D8392C" w:rsidP="00812871">
      <w:pPr>
        <w:pStyle w:val="CBDNormalNumber"/>
        <w:numPr>
          <w:ilvl w:val="0"/>
          <w:numId w:val="156"/>
        </w:numPr>
        <w:shd w:val="clear" w:color="auto" w:fill="FFFFFF"/>
        <w:tabs>
          <w:tab w:val="clear" w:pos="1701"/>
        </w:tabs>
        <w:ind w:left="567" w:firstLine="0"/>
        <w:rPr>
          <w:color w:val="000000"/>
        </w:rPr>
      </w:pPr>
      <w:r w:rsidRPr="00812871">
        <w:rPr>
          <w:color w:val="000000"/>
        </w:rPr>
        <w:t xml:space="preserve">On component (b), method and means of computation proposed is as follows: </w:t>
      </w:r>
    </w:p>
    <w:p w14:paraId="098E1240" w14:textId="77777777" w:rsidR="00D8392C" w:rsidRDefault="00D8392C" w:rsidP="00D8392C"/>
    <w:p w14:paraId="2A5ED999" w14:textId="77777777" w:rsidR="00D8392C" w:rsidRDefault="00D8392C" w:rsidP="00D8392C">
      <w:pPr>
        <w:jc w:val="center"/>
        <w:rPr>
          <w:rFonts w:ascii="Cambria Math" w:eastAsia="Cambria Math" w:hAnsi="Cambria Math" w:cs="Cambria Math"/>
        </w:rPr>
      </w:pPr>
      <m:oMathPara>
        <m:oMath>
          <m:r>
            <w:rPr>
              <w:rFonts w:ascii="Cambria Math" w:eastAsia="Cambria Math" w:hAnsi="Cambria Math" w:cs="Cambria Math"/>
            </w:rPr>
            <m:t xml:space="preserve">Proportion </m:t>
          </m:r>
          <m:d>
            <m:dPr>
              <m:ctrlPr>
                <w:rPr>
                  <w:rFonts w:ascii="Cambria Math" w:eastAsia="Cambria Math" w:hAnsi="Cambria Math" w:cs="Cambria Math"/>
                </w:rPr>
              </m:ctrlPr>
            </m:dPr>
            <m:e>
              <m:r>
                <w:rPr>
                  <w:rFonts w:ascii="Cambria Math" w:eastAsia="Cambria Math" w:hAnsi="Cambria Math" w:cs="Cambria Math"/>
                </w:rPr>
                <m:t>%</m:t>
              </m:r>
            </m:e>
          </m:d>
          <m:r>
            <w:rPr>
              <w:rFonts w:ascii="Cambria Math" w:eastAsia="Cambria Math" w:hAnsi="Cambria Math" w:cs="Cambria Math"/>
            </w:rPr>
            <m:t xml:space="preserve"> of the adult population in the area determined in denominator of component </m:t>
          </m:r>
          <m:d>
            <m:dPr>
              <m:ctrlPr>
                <w:rPr>
                  <w:rFonts w:ascii="Cambria Math" w:eastAsia="Cambria Math" w:hAnsi="Cambria Math" w:cs="Cambria Math"/>
                </w:rPr>
              </m:ctrlPr>
            </m:dPr>
            <m:e>
              <m:r>
                <w:rPr>
                  <w:rFonts w:ascii="Cambria Math" w:eastAsia="Cambria Math" w:hAnsi="Cambria Math" w:cs="Cambria Math"/>
                </w:rPr>
                <m:t>a</m:t>
              </m:r>
            </m:e>
          </m:d>
          <m:r>
            <w:rPr>
              <w:rFonts w:ascii="Cambria Math" w:eastAsia="Cambria Math" w:hAnsi="Cambria Math" w:cs="Cambria Math"/>
            </w:rPr>
            <m:t xml:space="preserve"> </m:t>
          </m:r>
        </m:oMath>
      </m:oMathPara>
    </w:p>
    <w:p w14:paraId="13CE9857" w14:textId="77777777" w:rsidR="00D8392C" w:rsidRDefault="00D8392C" w:rsidP="00D8392C">
      <w:pPr>
        <w:jc w:val="center"/>
        <w:rPr>
          <w:rFonts w:ascii="Cambria Math" w:eastAsia="Cambria Math" w:hAnsi="Cambria Math" w:cs="Cambria Math"/>
        </w:rPr>
      </w:pPr>
      <m:oMathPara>
        <m:oMath>
          <m:r>
            <w:rPr>
              <w:rFonts w:ascii="Cambria Math" w:eastAsia="Cambria Math" w:hAnsi="Cambria Math" w:cs="Cambria Math"/>
            </w:rPr>
            <m:t>who perceive their community  tenure to be secure</m:t>
          </m:r>
        </m:oMath>
      </m:oMathPara>
    </w:p>
    <w:p w14:paraId="77B703F4" w14:textId="77777777" w:rsidR="00D8392C" w:rsidRDefault="00D8392C" w:rsidP="00D8392C">
      <w:pPr>
        <w:jc w:val="center"/>
        <w:rPr>
          <w:rFonts w:ascii="Cambria Math" w:eastAsia="Cambria Math" w:hAnsi="Cambria Math" w:cs="Cambria Math"/>
        </w:rPr>
      </w:pPr>
    </w:p>
    <w:p w14:paraId="431F8EA1" w14:textId="77777777" w:rsidR="00D8392C" w:rsidRDefault="00D8392C" w:rsidP="00D8392C">
      <w:pPr>
        <w:jc w:val="center"/>
        <w:rPr>
          <w:rFonts w:ascii="Cambria Math" w:eastAsia="Cambria Math" w:hAnsi="Cambria Math" w:cs="Cambria Math"/>
          <w:sz w:val="16"/>
          <w:szCs w:val="16"/>
        </w:rPr>
      </w:pPr>
      <m:oMathPara>
        <m:oMath>
          <m:r>
            <w:rPr>
              <w:rFonts w:ascii="Cambria Math" w:eastAsia="Cambria Math" w:hAnsi="Cambria Math" w:cs="Cambria Math"/>
              <w:sz w:val="16"/>
              <w:szCs w:val="16"/>
            </w:rPr>
            <m:t xml:space="preserve"> </m:t>
          </m:r>
          <m:f>
            <m:fPr>
              <m:ctrlPr>
                <w:rPr>
                  <w:rFonts w:ascii="Cambria Math" w:eastAsia="Cambria Math" w:hAnsi="Cambria Math" w:cs="Cambria Math"/>
                  <w:sz w:val="16"/>
                  <w:szCs w:val="16"/>
                </w:rPr>
              </m:ctrlPr>
            </m:fPr>
            <m:num>
              <m:r>
                <w:rPr>
                  <w:rFonts w:ascii="Cambria Math" w:eastAsia="Cambria Math" w:hAnsi="Cambria Math" w:cs="Cambria Math"/>
                  <w:sz w:val="16"/>
                  <w:szCs w:val="16"/>
                </w:rPr>
                <m:t xml:space="preserve">= Adult population in the area determined in denominator of component </m:t>
              </m:r>
              <m:d>
                <m:dPr>
                  <m:ctrlPr>
                    <w:rPr>
                      <w:rFonts w:ascii="Cambria Math" w:eastAsia="Cambria Math" w:hAnsi="Cambria Math" w:cs="Cambria Math"/>
                      <w:sz w:val="16"/>
                      <w:szCs w:val="16"/>
                    </w:rPr>
                  </m:ctrlPr>
                </m:dPr>
                <m:e>
                  <m:r>
                    <w:rPr>
                      <w:rFonts w:ascii="Cambria Math" w:eastAsia="Cambria Math" w:hAnsi="Cambria Math" w:cs="Cambria Math"/>
                      <w:sz w:val="16"/>
                      <w:szCs w:val="16"/>
                    </w:rPr>
                    <m:t>a</m:t>
                  </m:r>
                </m:e>
              </m:d>
              <m:r>
                <w:rPr>
                  <w:rFonts w:ascii="Cambria Math" w:eastAsia="Cambria Math" w:hAnsi="Cambria Math" w:cs="Cambria Math"/>
                  <w:sz w:val="16"/>
                  <w:szCs w:val="16"/>
                </w:rPr>
                <m:t xml:space="preserve"> who perceive their community tenure to be secure  </m:t>
              </m:r>
            </m:num>
            <m:den>
              <m:r>
                <w:rPr>
                  <w:rFonts w:ascii="Cambria Math" w:eastAsia="Cambria Math" w:hAnsi="Cambria Math" w:cs="Cambria Math"/>
                  <w:sz w:val="16"/>
                  <w:szCs w:val="16"/>
                </w:rPr>
                <m:t>Total adult population in the area determined in denominator of component (a)</m:t>
              </m:r>
            </m:den>
          </m:f>
        </m:oMath>
      </m:oMathPara>
    </w:p>
    <w:p w14:paraId="0C9E16BE" w14:textId="54045E14" w:rsidR="002B21FF" w:rsidRPr="00812871" w:rsidRDefault="00D8392C" w:rsidP="00812871">
      <w:pPr>
        <w:pStyle w:val="CBDNormalNumber"/>
        <w:numPr>
          <w:ilvl w:val="0"/>
          <w:numId w:val="156"/>
        </w:numPr>
        <w:shd w:val="clear" w:color="auto" w:fill="FFFFFF"/>
        <w:tabs>
          <w:tab w:val="clear" w:pos="1701"/>
        </w:tabs>
        <w:ind w:left="567" w:firstLine="0"/>
        <w:rPr>
          <w:color w:val="000000"/>
        </w:rPr>
      </w:pPr>
      <w:r w:rsidRPr="00812871">
        <w:rPr>
          <w:color w:val="000000"/>
        </w:rPr>
        <w:t>Comments:</w:t>
      </w:r>
    </w:p>
    <w:p w14:paraId="554B7328" w14:textId="469A09BF" w:rsidR="002B21FF" w:rsidRPr="00812871" w:rsidRDefault="00D8392C" w:rsidP="00812871">
      <w:pPr>
        <w:pStyle w:val="CBDNormalNumber"/>
        <w:numPr>
          <w:ilvl w:val="1"/>
          <w:numId w:val="156"/>
        </w:numPr>
        <w:shd w:val="clear" w:color="auto" w:fill="FFFFFF"/>
        <w:tabs>
          <w:tab w:val="clear" w:pos="1701"/>
        </w:tabs>
        <w:rPr>
          <w:lang w:val="en-US"/>
        </w:rPr>
      </w:pPr>
      <w:r w:rsidRPr="00812871">
        <w:rPr>
          <w:lang w:val="en-US"/>
        </w:rPr>
        <w:t>This section outlines component (b) indicator 22.1 to assess the perceived land tenure security of Indigenous Peoples (IPs) and local communities (LCs). </w:t>
      </w:r>
    </w:p>
    <w:p w14:paraId="5F3B9EAD" w14:textId="77777777" w:rsidR="00D8392C" w:rsidRPr="00812871" w:rsidRDefault="00D8392C" w:rsidP="00812871">
      <w:pPr>
        <w:pStyle w:val="CBDNormalNumber"/>
        <w:numPr>
          <w:ilvl w:val="1"/>
          <w:numId w:val="156"/>
        </w:numPr>
        <w:shd w:val="clear" w:color="auto" w:fill="FFFFFF"/>
        <w:tabs>
          <w:tab w:val="clear" w:pos="1701"/>
        </w:tabs>
        <w:rPr>
          <w:lang w:val="en-US"/>
        </w:rPr>
      </w:pPr>
      <w:r w:rsidRPr="00812871">
        <w:rPr>
          <w:lang w:val="en-US"/>
        </w:rPr>
        <w:lastRenderedPageBreak/>
        <w:t xml:space="preserve">Five stages (0-4) are proposed for this component, related to data availability and accuracy, </w:t>
      </w:r>
      <w:proofErr w:type="gramStart"/>
      <w:r w:rsidRPr="00812871">
        <w:rPr>
          <w:lang w:val="en-US"/>
        </w:rPr>
        <w:t>Stage</w:t>
      </w:r>
      <w:proofErr w:type="gramEnd"/>
      <w:r w:rsidRPr="00812871">
        <w:rPr>
          <w:lang w:val="en-US"/>
        </w:rPr>
        <w:t xml:space="preserve"> 4 representing a scenario with the highest accuracy of data.</w:t>
      </w:r>
    </w:p>
    <w:p w14:paraId="0D434903" w14:textId="77777777" w:rsidR="00D8392C" w:rsidRDefault="00D8392C" w:rsidP="00D8392C">
      <w:pPr>
        <w:spacing w:before="120"/>
        <w:ind w:left="720"/>
        <w:rPr>
          <w:lang w:val="en-US"/>
        </w:rPr>
      </w:pPr>
    </w:p>
    <w:p w14:paraId="6954BCB9" w14:textId="77777777" w:rsidR="00D8392C" w:rsidRDefault="00000000" w:rsidP="00D8392C">
      <w:pPr>
        <w:pBdr>
          <w:top w:val="single" w:sz="6" w:space="2" w:color="4472C4"/>
        </w:pBdr>
        <w:spacing w:before="120" w:line="276" w:lineRule="auto"/>
        <w:rPr>
          <w:b/>
          <w:bCs/>
          <w:smallCaps/>
          <w:color w:val="1F3763"/>
        </w:rPr>
      </w:pPr>
      <w:sdt>
        <w:sdtPr>
          <w:tag w:val="goog_rdk_192"/>
          <w:id w:val="-1195526397"/>
        </w:sdtPr>
        <w:sdtContent/>
      </w:sdt>
      <w:sdt>
        <w:sdtPr>
          <w:tag w:val="goog_rdk_193"/>
          <w:id w:val="935890098"/>
          <w:showingPlcHdr/>
        </w:sdtPr>
        <w:sdtContent>
          <w:r w:rsidR="00D8392C">
            <w:t xml:space="preserve">     </w:t>
          </w:r>
        </w:sdtContent>
      </w:sdt>
      <w:r w:rsidR="00D8392C">
        <w:rPr>
          <w:b/>
          <w:bCs/>
          <w:smallCaps/>
        </w:rPr>
        <w:t>Table 1</w:t>
      </w:r>
    </w:p>
    <w:p w14:paraId="72D8EDBB" w14:textId="77777777" w:rsidR="00D8392C" w:rsidRDefault="00D8392C" w:rsidP="00D8392C">
      <w:pPr>
        <w:pBdr>
          <w:top w:val="single" w:sz="6" w:space="2" w:color="4472C4"/>
        </w:pBdr>
        <w:spacing w:line="276" w:lineRule="auto"/>
        <w:rPr>
          <w:b/>
          <w:bCs/>
          <w:smallCaps/>
          <w:color w:val="1F3763"/>
        </w:rPr>
      </w:pPr>
      <w:r w:rsidRPr="00EE3B35">
        <w:rPr>
          <w:b/>
          <w:bCs/>
          <w:smallCaps/>
          <w:color w:val="1F3763"/>
        </w:rPr>
        <w:t>Progressive methodological stages for measuring perceived tenure security in Indigenous Peoples’ and local communities’ lands under collective tenure reg</w:t>
      </w:r>
      <w:r>
        <w:rPr>
          <w:b/>
          <w:bCs/>
          <w:smallCaps/>
          <w:color w:val="1F3763"/>
        </w:rPr>
        <w:t>i</w:t>
      </w:r>
      <w:r w:rsidRPr="00EE3B35">
        <w:rPr>
          <w:b/>
          <w:bCs/>
          <w:smallCaps/>
          <w:color w:val="1F3763"/>
        </w:rPr>
        <w:t>mes</w:t>
      </w:r>
    </w:p>
    <w:tbl>
      <w:tblPr>
        <w:tblW w:w="9624" w:type="dxa"/>
        <w:tblCellMar>
          <w:top w:w="15" w:type="dxa"/>
          <w:left w:w="15" w:type="dxa"/>
          <w:bottom w:w="15" w:type="dxa"/>
          <w:right w:w="15" w:type="dxa"/>
        </w:tblCellMar>
        <w:tblLook w:val="04A0" w:firstRow="1" w:lastRow="0" w:firstColumn="1" w:lastColumn="0" w:noHBand="0" w:noVBand="1"/>
      </w:tblPr>
      <w:tblGrid>
        <w:gridCol w:w="1387"/>
        <w:gridCol w:w="1640"/>
        <w:gridCol w:w="1640"/>
        <w:gridCol w:w="1680"/>
        <w:gridCol w:w="1640"/>
        <w:gridCol w:w="1640"/>
      </w:tblGrid>
      <w:tr w:rsidR="002B21FF" w:rsidRPr="00966112" w14:paraId="4D90D88D" w14:textId="77777777" w:rsidTr="00812871">
        <w:tc>
          <w:tcPr>
            <w:tcW w:w="13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CFEFF5" w14:textId="5D51A5BA" w:rsidR="002B21FF" w:rsidRPr="00966112" w:rsidRDefault="002B21FF" w:rsidP="00812871">
            <w:pPr>
              <w:spacing w:before="100" w:after="200" w:line="276" w:lineRule="auto"/>
              <w:ind w:right="328"/>
              <w:rPr>
                <w:b/>
                <w:bCs/>
                <w:lang w:val="en-US"/>
              </w:rPr>
            </w:pPr>
            <w:r w:rsidRPr="00966112">
              <w:rPr>
                <w:b/>
                <w:bCs/>
                <w:lang w:val="en-US"/>
              </w:rPr>
              <w:t>Stage</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355DC7" w14:textId="69E48CE1" w:rsidR="002B21FF" w:rsidRPr="00966112" w:rsidRDefault="002B21FF" w:rsidP="002B21FF">
            <w:pPr>
              <w:spacing w:before="100" w:after="200" w:line="276" w:lineRule="auto"/>
              <w:rPr>
                <w:lang w:val="en-US"/>
              </w:rPr>
            </w:pPr>
            <w:r w:rsidRPr="00966112">
              <w:rPr>
                <w:b/>
                <w:bCs/>
                <w:lang w:val="en-US"/>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5B519E" w14:textId="7FFD9390" w:rsidR="002B21FF" w:rsidRPr="00966112" w:rsidRDefault="002B21FF" w:rsidP="002B21FF">
            <w:pPr>
              <w:spacing w:before="100" w:after="200" w:line="276" w:lineRule="auto"/>
              <w:rPr>
                <w:lang w:val="en-US"/>
              </w:rPr>
            </w:pPr>
            <w:r w:rsidRPr="00966112">
              <w:rPr>
                <w:b/>
                <w:bCs/>
                <w:lang w:val="en-US"/>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56E854" w14:textId="3E12F6DF" w:rsidR="002B21FF" w:rsidRPr="00966112" w:rsidRDefault="002B21FF" w:rsidP="002B21FF">
            <w:pPr>
              <w:spacing w:before="100" w:after="200" w:line="276" w:lineRule="auto"/>
              <w:rPr>
                <w:lang w:val="en-US"/>
              </w:rPr>
            </w:pPr>
            <w:r w:rsidRPr="00966112">
              <w:rPr>
                <w:b/>
                <w:bCs/>
                <w:lang w:val="en-US"/>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1B8E65" w14:textId="789590B7" w:rsidR="002B21FF" w:rsidRPr="00966112" w:rsidRDefault="002B21FF" w:rsidP="002B21FF">
            <w:pPr>
              <w:spacing w:before="100" w:after="200" w:line="276" w:lineRule="auto"/>
              <w:rPr>
                <w:lang w:val="en-US"/>
              </w:rPr>
            </w:pPr>
            <w:r w:rsidRPr="00966112">
              <w:rPr>
                <w:b/>
                <w:bCs/>
                <w:lang w:val="en-US"/>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29527" w14:textId="1CDDB62B" w:rsidR="002B21FF" w:rsidRPr="00966112" w:rsidRDefault="002B21FF" w:rsidP="002B21FF">
            <w:pPr>
              <w:spacing w:before="100" w:after="200" w:line="276" w:lineRule="auto"/>
              <w:rPr>
                <w:lang w:val="en-US"/>
              </w:rPr>
            </w:pPr>
            <w:r w:rsidRPr="00966112">
              <w:rPr>
                <w:b/>
                <w:bCs/>
                <w:lang w:val="en-US"/>
              </w:rPr>
              <w:t>4</w:t>
            </w:r>
          </w:p>
        </w:tc>
      </w:tr>
      <w:tr w:rsidR="002B21FF" w:rsidRPr="00966112" w14:paraId="46E8A58B" w14:textId="77777777" w:rsidTr="00812871">
        <w:tc>
          <w:tcPr>
            <w:tcW w:w="13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2EBDB" w14:textId="77777777" w:rsidR="002B21FF" w:rsidRPr="00966112" w:rsidRDefault="002B21FF" w:rsidP="002B21FF">
            <w:pPr>
              <w:spacing w:before="100" w:after="200" w:line="276" w:lineRule="auto"/>
              <w:rPr>
                <w:lang w:val="en-US"/>
              </w:rPr>
            </w:pPr>
            <w:r w:rsidRPr="00966112">
              <w:rPr>
                <w:b/>
                <w:bCs/>
                <w:lang w:val="en-US"/>
              </w:rPr>
              <w:t>Description</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FF1BEF" w14:textId="77777777" w:rsidR="002B21FF" w:rsidRPr="00966112" w:rsidRDefault="002B21FF" w:rsidP="002B21FF">
            <w:pPr>
              <w:spacing w:before="100" w:after="200" w:line="276" w:lineRule="auto"/>
              <w:rPr>
                <w:lang w:val="en-US"/>
              </w:rPr>
            </w:pPr>
            <w:r w:rsidRPr="00966112">
              <w:rPr>
                <w:lang w:val="en-US"/>
              </w:rPr>
              <w:t>Perceived tenure of rural population as proxy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F5E77" w14:textId="77777777" w:rsidR="002B21FF" w:rsidRPr="00966112" w:rsidRDefault="002B21FF" w:rsidP="002B21FF">
            <w:pPr>
              <w:spacing w:before="100" w:after="200" w:line="276" w:lineRule="auto"/>
              <w:rPr>
                <w:lang w:val="en-US"/>
              </w:rPr>
            </w:pPr>
            <w:r w:rsidRPr="00966112">
              <w:rPr>
                <w:lang w:val="en-US"/>
              </w:rPr>
              <w:t>Key Informant Interview (KII) or Focus Group Discussion (FGD) with national level IP and LC representatives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37CF60" w14:textId="77777777" w:rsidR="002B21FF" w:rsidRPr="00966112" w:rsidRDefault="002B21FF" w:rsidP="002B21FF">
            <w:pPr>
              <w:spacing w:before="100" w:after="200" w:line="276" w:lineRule="auto"/>
              <w:rPr>
                <w:lang w:val="en-US"/>
              </w:rPr>
            </w:pPr>
            <w:r w:rsidRPr="00966112">
              <w:rPr>
                <w:lang w:val="en-US"/>
              </w:rPr>
              <w:t>KII or FGD with national sample of IP and LC leaders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1B6F0B" w14:textId="77777777" w:rsidR="002B21FF" w:rsidRPr="00966112" w:rsidRDefault="002B21FF" w:rsidP="002B21FF">
            <w:pPr>
              <w:spacing w:before="100" w:after="200" w:line="276" w:lineRule="auto"/>
              <w:rPr>
                <w:lang w:val="en-US"/>
              </w:rPr>
            </w:pPr>
            <w:r w:rsidRPr="00966112">
              <w:rPr>
                <w:lang w:val="en-US"/>
              </w:rPr>
              <w:t>FGD with convenience sample of IP and LC community leaders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7FB252" w14:textId="77777777" w:rsidR="002B21FF" w:rsidRPr="00966112" w:rsidRDefault="002B21FF" w:rsidP="002B21FF">
            <w:pPr>
              <w:spacing w:before="100" w:after="200" w:line="276" w:lineRule="auto"/>
              <w:rPr>
                <w:lang w:val="en-US"/>
              </w:rPr>
            </w:pPr>
            <w:r w:rsidRPr="00966112">
              <w:rPr>
                <w:lang w:val="en-US"/>
              </w:rPr>
              <w:t xml:space="preserve">Interviews with defined </w:t>
            </w:r>
            <w:proofErr w:type="gramStart"/>
            <w:r w:rsidRPr="00966112">
              <w:rPr>
                <w:lang w:val="en-US"/>
              </w:rPr>
              <w:t>sample</w:t>
            </w:r>
            <w:proofErr w:type="gramEnd"/>
            <w:r w:rsidRPr="00966112">
              <w:rPr>
                <w:lang w:val="en-US"/>
              </w:rPr>
              <w:t xml:space="preserve"> of IP and LC community members</w:t>
            </w:r>
          </w:p>
        </w:tc>
      </w:tr>
      <w:tr w:rsidR="002B21FF" w:rsidRPr="00966112" w14:paraId="4187A8F5" w14:textId="77777777" w:rsidTr="00812871">
        <w:tc>
          <w:tcPr>
            <w:tcW w:w="13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239059" w14:textId="77777777" w:rsidR="002B21FF" w:rsidRPr="00966112" w:rsidRDefault="002B21FF" w:rsidP="002B21FF">
            <w:pPr>
              <w:spacing w:before="100" w:after="200" w:line="276" w:lineRule="auto"/>
              <w:rPr>
                <w:lang w:val="en-US"/>
              </w:rPr>
            </w:pPr>
            <w:r w:rsidRPr="00966112">
              <w:rPr>
                <w:b/>
                <w:bCs/>
                <w:lang w:val="en-US"/>
              </w:rPr>
              <w:t>Data type</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6591C7" w14:textId="77777777" w:rsidR="002B21FF" w:rsidRPr="00966112" w:rsidRDefault="002B21FF" w:rsidP="002B21FF">
            <w:pPr>
              <w:spacing w:before="100" w:after="200" w:line="276" w:lineRule="auto"/>
              <w:rPr>
                <w:lang w:val="en-US"/>
              </w:rPr>
            </w:pPr>
            <w:r w:rsidRPr="00966112">
              <w:rPr>
                <w:lang w:val="en-US"/>
              </w:rPr>
              <w:t>National–level survey data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66B44" w14:textId="77777777" w:rsidR="002B21FF" w:rsidRPr="00966112" w:rsidRDefault="002B21FF" w:rsidP="002B21FF">
            <w:pPr>
              <w:spacing w:before="100" w:after="200" w:line="276" w:lineRule="auto"/>
              <w:rPr>
                <w:lang w:val="en-US"/>
              </w:rPr>
            </w:pPr>
            <w:r w:rsidRPr="00966112">
              <w:rPr>
                <w:lang w:val="en-US"/>
              </w:rPr>
              <w:t>Qualitative assessment 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9DDFCC" w14:textId="77777777" w:rsidR="002B21FF" w:rsidRPr="00966112" w:rsidRDefault="002B21FF" w:rsidP="002B21FF">
            <w:pPr>
              <w:spacing w:before="100" w:after="200" w:line="276" w:lineRule="auto"/>
              <w:rPr>
                <w:lang w:val="en-US"/>
              </w:rPr>
            </w:pPr>
            <w:r w:rsidRPr="00966112">
              <w:rPr>
                <w:lang w:val="en-US"/>
              </w:rPr>
              <w:t>Qualitative assessment 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F9BFB" w14:textId="77777777" w:rsidR="002B21FF" w:rsidRPr="00966112" w:rsidRDefault="002B21FF" w:rsidP="002B21FF">
            <w:pPr>
              <w:spacing w:before="100" w:after="200" w:line="276" w:lineRule="auto"/>
              <w:rPr>
                <w:lang w:val="en-US"/>
              </w:rPr>
            </w:pPr>
            <w:r w:rsidRPr="00966112">
              <w:rPr>
                <w:lang w:val="en-US"/>
              </w:rPr>
              <w:t>Qualitative assessment 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2FC43A" w14:textId="77777777" w:rsidR="002B21FF" w:rsidRPr="00966112" w:rsidRDefault="002B21FF" w:rsidP="002B21FF">
            <w:pPr>
              <w:spacing w:before="100" w:after="200" w:line="276" w:lineRule="auto"/>
              <w:rPr>
                <w:lang w:val="en-US"/>
              </w:rPr>
            </w:pPr>
            <w:r w:rsidRPr="00966112">
              <w:rPr>
                <w:lang w:val="en-US"/>
              </w:rPr>
              <w:t>Community-</w:t>
            </w:r>
            <w:r w:rsidRPr="00966112">
              <w:rPr>
                <w:lang w:val="en-US"/>
              </w:rPr>
              <w:br/>
              <w:t>level survey data</w:t>
            </w:r>
          </w:p>
        </w:tc>
      </w:tr>
      <w:tr w:rsidR="002B21FF" w:rsidRPr="00966112" w14:paraId="5C32CE48" w14:textId="77777777" w:rsidTr="00812871">
        <w:trPr>
          <w:trHeight w:val="1620"/>
        </w:trPr>
        <w:tc>
          <w:tcPr>
            <w:tcW w:w="13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698836" w14:textId="77777777" w:rsidR="002B21FF" w:rsidRPr="00966112" w:rsidRDefault="002B21FF" w:rsidP="002B21FF">
            <w:pPr>
              <w:spacing w:before="100" w:after="200" w:line="276" w:lineRule="auto"/>
              <w:rPr>
                <w:lang w:val="en-US"/>
              </w:rPr>
            </w:pPr>
            <w:r w:rsidRPr="00966112">
              <w:rPr>
                <w:b/>
                <w:bCs/>
                <w:lang w:val="en-US"/>
              </w:rPr>
              <w:t>Data source</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9B44DA" w14:textId="77777777" w:rsidR="002B21FF" w:rsidRPr="00966112" w:rsidRDefault="002B21FF" w:rsidP="002B21FF">
            <w:pPr>
              <w:spacing w:before="100" w:after="200" w:line="276" w:lineRule="auto"/>
              <w:rPr>
                <w:lang w:val="en-US"/>
              </w:rPr>
            </w:pPr>
            <w:r w:rsidRPr="00966112">
              <w:rPr>
                <w:lang w:val="en-US"/>
              </w:rPr>
              <w:t>Administrative data;</w:t>
            </w:r>
          </w:p>
          <w:p w14:paraId="2AAD32BE" w14:textId="77777777" w:rsidR="002B21FF" w:rsidRPr="00966112" w:rsidRDefault="002B21FF" w:rsidP="002B21FF">
            <w:pPr>
              <w:spacing w:before="100" w:after="200" w:line="276" w:lineRule="auto"/>
              <w:rPr>
                <w:lang w:val="en-US"/>
              </w:rPr>
            </w:pPr>
            <w:proofErr w:type="spellStart"/>
            <w:r w:rsidRPr="00966112">
              <w:rPr>
                <w:lang w:val="en-US"/>
              </w:rPr>
              <w:t>Prindex</w:t>
            </w:r>
            <w:proofErr w:type="spellEnd"/>
            <w:r w:rsidRPr="00966112">
              <w:rPr>
                <w:lang w:val="en-US"/>
              </w:rPr>
              <w:t>; Indigenous Navigator; LANDex; CBMIS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806ACE" w14:textId="77777777" w:rsidR="002B21FF" w:rsidRPr="00966112" w:rsidRDefault="002B21FF" w:rsidP="002B21FF">
            <w:pPr>
              <w:spacing w:before="100" w:after="200" w:line="276" w:lineRule="auto"/>
              <w:rPr>
                <w:lang w:val="en-US"/>
              </w:rPr>
            </w:pPr>
            <w:r w:rsidRPr="00966112">
              <w:rPr>
                <w:lang w:val="en-US"/>
              </w:rPr>
              <w:t>Administrative data;</w:t>
            </w:r>
          </w:p>
          <w:p w14:paraId="468E3B20" w14:textId="77777777" w:rsidR="002B21FF" w:rsidRPr="00966112" w:rsidRDefault="002B21FF" w:rsidP="002B21FF">
            <w:pPr>
              <w:spacing w:before="100" w:after="200" w:line="276" w:lineRule="auto"/>
              <w:rPr>
                <w:lang w:val="en-US"/>
              </w:rPr>
            </w:pPr>
            <w:proofErr w:type="spellStart"/>
            <w:r w:rsidRPr="00966112">
              <w:rPr>
                <w:lang w:val="en-US"/>
              </w:rPr>
              <w:t>Prindex</w:t>
            </w:r>
            <w:proofErr w:type="spellEnd"/>
            <w:r w:rsidRPr="00966112">
              <w:rPr>
                <w:lang w:val="en-US"/>
              </w:rPr>
              <w:t>; Indigenous Navigator; LANDex; CBMIS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7F0FBE" w14:textId="77777777" w:rsidR="002B21FF" w:rsidRPr="00966112" w:rsidRDefault="002B21FF" w:rsidP="002B21FF">
            <w:pPr>
              <w:spacing w:before="100" w:after="200" w:line="276" w:lineRule="auto"/>
              <w:rPr>
                <w:lang w:val="en-US"/>
              </w:rPr>
            </w:pPr>
            <w:r w:rsidRPr="00966112">
              <w:rPr>
                <w:lang w:val="en-US"/>
              </w:rPr>
              <w:t>Administrative data;</w:t>
            </w:r>
          </w:p>
          <w:p w14:paraId="7A8BD30C" w14:textId="77777777" w:rsidR="002B21FF" w:rsidRPr="00966112" w:rsidRDefault="002B21FF" w:rsidP="002B21FF">
            <w:pPr>
              <w:spacing w:before="100" w:after="200" w:line="276" w:lineRule="auto"/>
              <w:rPr>
                <w:lang w:val="en-US"/>
              </w:rPr>
            </w:pPr>
            <w:proofErr w:type="spellStart"/>
            <w:r w:rsidRPr="00966112">
              <w:rPr>
                <w:lang w:val="en-US"/>
              </w:rPr>
              <w:t>Prindex</w:t>
            </w:r>
            <w:proofErr w:type="spellEnd"/>
            <w:r w:rsidRPr="00966112">
              <w:rPr>
                <w:lang w:val="en-US"/>
              </w:rPr>
              <w:t>; Indigenous Navigator; LANDex; CBMIS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2C6A32" w14:textId="77777777" w:rsidR="002B21FF" w:rsidRPr="00966112" w:rsidRDefault="002B21FF" w:rsidP="002B21FF">
            <w:pPr>
              <w:spacing w:before="100" w:after="200" w:line="276" w:lineRule="auto"/>
              <w:rPr>
                <w:lang w:val="en-US"/>
              </w:rPr>
            </w:pPr>
            <w:r w:rsidRPr="00966112">
              <w:rPr>
                <w:lang w:val="en-US"/>
              </w:rPr>
              <w:t>Administrative data;</w:t>
            </w:r>
          </w:p>
          <w:p w14:paraId="7FF2DD4C" w14:textId="77777777" w:rsidR="002B21FF" w:rsidRPr="00966112" w:rsidRDefault="002B21FF" w:rsidP="002B21FF">
            <w:pPr>
              <w:spacing w:before="100" w:after="200" w:line="276" w:lineRule="auto"/>
              <w:rPr>
                <w:lang w:val="en-US"/>
              </w:rPr>
            </w:pPr>
            <w:proofErr w:type="spellStart"/>
            <w:r w:rsidRPr="00966112">
              <w:rPr>
                <w:lang w:val="en-US"/>
              </w:rPr>
              <w:t>Prindex</w:t>
            </w:r>
            <w:proofErr w:type="spellEnd"/>
            <w:r w:rsidRPr="00966112">
              <w:rPr>
                <w:lang w:val="en-US"/>
              </w:rPr>
              <w:t>; Indigenous Navigator; LANDex; CBMIS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0A459" w14:textId="77777777" w:rsidR="002B21FF" w:rsidRPr="00966112" w:rsidRDefault="002B21FF" w:rsidP="002B21FF">
            <w:pPr>
              <w:spacing w:before="100" w:after="200" w:line="276" w:lineRule="auto"/>
              <w:rPr>
                <w:lang w:val="en-US"/>
              </w:rPr>
            </w:pPr>
            <w:r w:rsidRPr="00966112">
              <w:rPr>
                <w:lang w:val="en-US"/>
              </w:rPr>
              <w:t>Administrative data;</w:t>
            </w:r>
          </w:p>
          <w:p w14:paraId="364DA800" w14:textId="77777777" w:rsidR="002B21FF" w:rsidRPr="00966112" w:rsidRDefault="002B21FF" w:rsidP="002B21FF">
            <w:pPr>
              <w:spacing w:before="100" w:after="200" w:line="276" w:lineRule="auto"/>
              <w:rPr>
                <w:lang w:val="en-US"/>
              </w:rPr>
            </w:pPr>
            <w:proofErr w:type="spellStart"/>
            <w:r w:rsidRPr="00966112">
              <w:rPr>
                <w:lang w:val="en-US"/>
              </w:rPr>
              <w:t>Prindex</w:t>
            </w:r>
            <w:proofErr w:type="spellEnd"/>
            <w:r w:rsidRPr="00966112">
              <w:rPr>
                <w:lang w:val="en-US"/>
              </w:rPr>
              <w:t>; Indigenous Navigator; LANDex; CBMIS</w:t>
            </w:r>
          </w:p>
        </w:tc>
      </w:tr>
      <w:tr w:rsidR="002B21FF" w:rsidRPr="00966112" w14:paraId="7CE7554B" w14:textId="77777777" w:rsidTr="00812871">
        <w:tc>
          <w:tcPr>
            <w:tcW w:w="13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208889" w14:textId="77777777" w:rsidR="002B21FF" w:rsidRPr="00966112" w:rsidRDefault="002B21FF" w:rsidP="002B21FF">
            <w:pPr>
              <w:spacing w:before="100" w:after="200" w:line="276" w:lineRule="auto"/>
              <w:rPr>
                <w:lang w:val="en-US"/>
              </w:rPr>
            </w:pPr>
            <w:r w:rsidRPr="00966112">
              <w:rPr>
                <w:b/>
                <w:bCs/>
                <w:lang w:val="en-US"/>
              </w:rPr>
              <w:t>Comments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2A439" w14:textId="77777777" w:rsidR="002B21FF" w:rsidRPr="00966112" w:rsidRDefault="002B21FF" w:rsidP="002B21FF">
            <w:pPr>
              <w:spacing w:before="100" w:after="200" w:line="276" w:lineRule="auto"/>
              <w:rPr>
                <w:lang w:val="en-US"/>
              </w:rPr>
            </w:pPr>
            <w:r w:rsidRPr="00966112">
              <w:rPr>
                <w:lang w:val="en-US"/>
              </w:rPr>
              <w:t xml:space="preserve">If nationally representative, the survey may have limited visibility on sub-groups of </w:t>
            </w:r>
            <w:r w:rsidRPr="00966112">
              <w:rPr>
                <w:lang w:val="en-US"/>
              </w:rPr>
              <w:lastRenderedPageBreak/>
              <w:t>interest for this indicator.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02D7E1" w14:textId="77777777" w:rsidR="002B21FF" w:rsidRPr="00966112" w:rsidRDefault="002B21FF" w:rsidP="002B21FF">
            <w:pPr>
              <w:spacing w:before="100" w:after="200" w:line="276" w:lineRule="auto"/>
              <w:rPr>
                <w:lang w:val="en-US"/>
              </w:rPr>
            </w:pPr>
            <w:r w:rsidRPr="00966112">
              <w:rPr>
                <w:lang w:val="en-US"/>
              </w:rPr>
              <w:lastRenderedPageBreak/>
              <w:t>Relies on IP and LC representatives as proxies for community views; limited individual-</w:t>
            </w:r>
            <w:r w:rsidRPr="00966112">
              <w:rPr>
                <w:lang w:val="en-US"/>
              </w:rPr>
              <w:lastRenderedPageBreak/>
              <w:t>level disaggregation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209CEA" w14:textId="77777777" w:rsidR="002B21FF" w:rsidRPr="00966112" w:rsidRDefault="002B21FF" w:rsidP="002B21FF">
            <w:pPr>
              <w:spacing w:before="100" w:after="200" w:line="276" w:lineRule="auto"/>
              <w:rPr>
                <w:lang w:val="en-US"/>
              </w:rPr>
            </w:pPr>
            <w:r w:rsidRPr="00966112">
              <w:rPr>
                <w:lang w:val="en-US"/>
              </w:rPr>
              <w:lastRenderedPageBreak/>
              <w:t xml:space="preserve">Relies on leaders as proxies for community views; limited individual-level </w:t>
            </w:r>
            <w:r w:rsidRPr="00966112">
              <w:rPr>
                <w:lang w:val="en-US"/>
              </w:rPr>
              <w:lastRenderedPageBreak/>
              <w:t>disaggregation; possible elite / respondent bias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30B677" w14:textId="77777777" w:rsidR="002B21FF" w:rsidRPr="00966112" w:rsidRDefault="002B21FF" w:rsidP="002B21FF">
            <w:pPr>
              <w:spacing w:before="100" w:after="200" w:line="276" w:lineRule="auto"/>
              <w:rPr>
                <w:lang w:val="en-US"/>
              </w:rPr>
            </w:pPr>
            <w:r w:rsidRPr="00966112">
              <w:rPr>
                <w:lang w:val="en-US"/>
              </w:rPr>
              <w:lastRenderedPageBreak/>
              <w:t>Not probability-</w:t>
            </w:r>
            <w:r w:rsidRPr="00966112">
              <w:rPr>
                <w:lang w:val="en-US"/>
              </w:rPr>
              <w:br/>
              <w:t xml:space="preserve">based at individual level; sub-group comparisons </w:t>
            </w:r>
            <w:r w:rsidRPr="00966112">
              <w:rPr>
                <w:lang w:val="en-US"/>
              </w:rPr>
              <w:lastRenderedPageBreak/>
              <w:t>require additional FGD; consensus may mask internal differences</w:t>
            </w:r>
          </w:p>
          <w:p w14:paraId="30D4DE01" w14:textId="77777777" w:rsidR="002B21FF" w:rsidRPr="00966112" w:rsidRDefault="002B21FF" w:rsidP="002B21FF">
            <w:pPr>
              <w:spacing w:before="100" w:after="200" w:line="276" w:lineRule="auto"/>
              <w:rPr>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59FFB" w14:textId="77777777" w:rsidR="002B21FF" w:rsidRPr="00966112" w:rsidRDefault="002B21FF" w:rsidP="002B21FF">
            <w:pPr>
              <w:spacing w:before="100" w:after="200" w:line="276" w:lineRule="auto"/>
              <w:rPr>
                <w:lang w:val="en-US"/>
              </w:rPr>
            </w:pPr>
            <w:r w:rsidRPr="00966112">
              <w:rPr>
                <w:lang w:val="en-US"/>
              </w:rPr>
              <w:lastRenderedPageBreak/>
              <w:t xml:space="preserve">More resource intensive; requires survey capacity and </w:t>
            </w:r>
            <w:r w:rsidRPr="00966112">
              <w:rPr>
                <w:lang w:val="en-US"/>
              </w:rPr>
              <w:lastRenderedPageBreak/>
              <w:t>adequate sample sizes</w:t>
            </w:r>
          </w:p>
        </w:tc>
      </w:tr>
    </w:tbl>
    <w:p w14:paraId="43A0DF73" w14:textId="77777777" w:rsidR="001C03AE" w:rsidRDefault="00D8392C" w:rsidP="00330700">
      <w:pPr>
        <w:spacing w:before="100" w:after="200" w:line="276" w:lineRule="auto"/>
      </w:pPr>
      <w:r>
        <w:lastRenderedPageBreak/>
        <w:t xml:space="preserve">Note: </w:t>
      </w:r>
      <w:r w:rsidRPr="00653889">
        <w:t>T</w:t>
      </w:r>
      <w:r>
        <w:t>a</w:t>
      </w:r>
      <w:r w:rsidRPr="00653889">
        <w:t xml:space="preserve">ble </w:t>
      </w:r>
      <w:r>
        <w:t xml:space="preserve">1 </w:t>
      </w:r>
      <w:r w:rsidRPr="00653889">
        <w:t xml:space="preserve">outlines progressive methodological options for measuring perceived tenure security in </w:t>
      </w:r>
      <w:r>
        <w:t>IP &amp; LC</w:t>
      </w:r>
      <w:r w:rsidRPr="00653889">
        <w:t xml:space="preserve"> lands under collective tenure regimes. It distinguishes approaches by respondent type, sampling method, unit of analysis, and level of statistical rigor, ranging from leader-based and community-based consensus methods to probability-based individual surveys. The framework enables reporting in terms of adult population, communities, or land area, while highlighting the trade-offs between feasibility, disaggregation potential, and robustness.</w:t>
      </w:r>
      <w:r w:rsidR="00330700">
        <w:t xml:space="preserve"> </w:t>
      </w:r>
    </w:p>
    <w:p w14:paraId="25C3614A" w14:textId="4AA55453" w:rsidR="00D8392C" w:rsidRDefault="00D8392C" w:rsidP="00330700">
      <w:pPr>
        <w:spacing w:before="100" w:after="200" w:line="276" w:lineRule="auto"/>
        <w:rPr>
          <w:b/>
          <w:bCs/>
        </w:rPr>
      </w:pPr>
      <w:r>
        <w:rPr>
          <w:b/>
          <w:bCs/>
        </w:rPr>
        <w:t>Component (c) Land use change in lands and territories held or used by Indigenous Peoples and local communities</w:t>
      </w:r>
    </w:p>
    <w:p w14:paraId="53780C01" w14:textId="77777777" w:rsidR="00D8392C" w:rsidRDefault="00D8392C" w:rsidP="00D8392C"/>
    <w:p w14:paraId="3F715E13" w14:textId="77777777" w:rsidR="00D8392C" w:rsidRPr="00812871" w:rsidRDefault="00D8392C" w:rsidP="00812871">
      <w:pPr>
        <w:pStyle w:val="CBDNormalNumber"/>
        <w:numPr>
          <w:ilvl w:val="0"/>
          <w:numId w:val="156"/>
        </w:numPr>
        <w:shd w:val="clear" w:color="auto" w:fill="FFFFFF"/>
        <w:tabs>
          <w:tab w:val="clear" w:pos="1701"/>
        </w:tabs>
        <w:ind w:left="567" w:firstLine="0"/>
        <w:rPr>
          <w:color w:val="000000"/>
        </w:rPr>
      </w:pPr>
      <w:r w:rsidRPr="00812871">
        <w:rPr>
          <w:color w:val="000000"/>
        </w:rPr>
        <w:t xml:space="preserve">On component (c), method and means of computation is as follows: </w:t>
      </w:r>
    </w:p>
    <w:p w14:paraId="7B32E553" w14:textId="77777777" w:rsidR="00D8392C" w:rsidRDefault="00D8392C" w:rsidP="00D8392C">
      <w:pPr>
        <w:spacing w:before="120" w:after="120"/>
      </w:pPr>
    </w:p>
    <w:p w14:paraId="6A94ACF7" w14:textId="77777777" w:rsidR="00D8392C" w:rsidRDefault="00D8392C" w:rsidP="00D8392C">
      <w:pPr>
        <w:jc w:val="center"/>
        <w:rPr>
          <w:rFonts w:ascii="Cambria Math" w:eastAsia="Cambria Math" w:hAnsi="Cambria Math" w:cs="Cambria Math"/>
        </w:rPr>
      </w:pPr>
      <m:oMathPara>
        <m:oMath>
          <m:r>
            <w:rPr>
              <w:rFonts w:ascii="Cambria Math" w:eastAsia="Cambria Math" w:hAnsi="Cambria Math" w:cs="Cambria Math"/>
            </w:rPr>
            <m:t xml:space="preserve">Proportion </m:t>
          </m:r>
          <m:d>
            <m:dPr>
              <m:ctrlPr>
                <w:rPr>
                  <w:rFonts w:ascii="Cambria Math" w:eastAsia="Cambria Math" w:hAnsi="Cambria Math" w:cs="Cambria Math"/>
                </w:rPr>
              </m:ctrlPr>
            </m:dPr>
            <m:e>
              <m:r>
                <w:rPr>
                  <w:rFonts w:ascii="Cambria Math" w:eastAsia="Cambria Math" w:hAnsi="Cambria Math" w:cs="Cambria Math"/>
                </w:rPr>
                <m:t>%</m:t>
              </m:r>
            </m:e>
          </m:d>
          <m:r>
            <w:rPr>
              <w:rFonts w:ascii="Cambria Math" w:eastAsia="Cambria Math" w:hAnsi="Cambria Math" w:cs="Cambria Math"/>
            </w:rPr>
            <m:t xml:space="preserve"> of nondegraded land </m:t>
          </m:r>
        </m:oMath>
      </m:oMathPara>
    </w:p>
    <w:p w14:paraId="64BC7DD5" w14:textId="77777777" w:rsidR="00D8392C" w:rsidRDefault="00D8392C" w:rsidP="00D8392C">
      <w:pPr>
        <w:jc w:val="center"/>
        <w:rPr>
          <w:rFonts w:ascii="Cambria Math" w:eastAsia="Cambria Math" w:hAnsi="Cambria Math" w:cs="Cambria Math"/>
        </w:rPr>
      </w:pPr>
      <m:oMathPara>
        <m:oMath>
          <m:r>
            <w:rPr>
              <w:rFonts w:ascii="Cambria Math" w:eastAsia="Cambria Math" w:hAnsi="Cambria Math" w:cs="Cambria Math"/>
            </w:rPr>
            <m:t>in territories held or used by Indigenous Peoples and local communities =</m:t>
          </m:r>
        </m:oMath>
      </m:oMathPara>
    </w:p>
    <w:p w14:paraId="2E34491E" w14:textId="77777777" w:rsidR="00D8392C" w:rsidRDefault="00D8392C" w:rsidP="00D8392C">
      <w:pPr>
        <w:widowControl w:val="0"/>
        <w:jc w:val="center"/>
      </w:pPr>
    </w:p>
    <w:p w14:paraId="26E5DD97" w14:textId="77777777" w:rsidR="00D8392C" w:rsidRDefault="00000000" w:rsidP="00D8392C">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 xml:space="preserve">Area of nondegraded land in territories held or used by Indigenous Peoples and local communities in year n  </m:t>
              </m:r>
            </m:num>
            <m:den>
              <m:r>
                <w:rPr>
                  <w:rFonts w:ascii="Cambria Math" w:eastAsia="Cambria Math" w:hAnsi="Cambria Math" w:cs="Cambria Math"/>
                  <w:sz w:val="20"/>
                  <w:szCs w:val="20"/>
                </w:rPr>
                <m:t>Total area of territories held or used by Indigenous Peoples and local communities</m:t>
              </m:r>
            </m:den>
          </m:f>
        </m:oMath>
      </m:oMathPara>
    </w:p>
    <w:p w14:paraId="5B72AD97" w14:textId="77777777" w:rsidR="00D8392C" w:rsidRDefault="00D8392C" w:rsidP="00D8392C">
      <w:pPr>
        <w:pBdr>
          <w:top w:val="nil"/>
          <w:left w:val="nil"/>
          <w:bottom w:val="nil"/>
          <w:right w:val="nil"/>
          <w:between w:val="nil"/>
        </w:pBdr>
        <w:rPr>
          <w:color w:val="000000"/>
        </w:rPr>
      </w:pPr>
    </w:p>
    <w:p w14:paraId="597A5B7C" w14:textId="77777777" w:rsidR="00D8392C" w:rsidRDefault="00D8392C" w:rsidP="00D8392C">
      <w:pPr>
        <w:pBdr>
          <w:top w:val="nil"/>
          <w:left w:val="nil"/>
          <w:bottom w:val="nil"/>
          <w:right w:val="nil"/>
          <w:between w:val="nil"/>
        </w:pBdr>
        <w:rPr>
          <w:color w:val="000000"/>
        </w:rPr>
      </w:pPr>
      <w:proofErr w:type="gramStart"/>
      <w:r>
        <w:rPr>
          <w:color w:val="000000"/>
        </w:rPr>
        <w:t>where</w:t>
      </w:r>
      <w:proofErr w:type="gramEnd"/>
      <w:r>
        <w:rPr>
          <w:color w:val="000000"/>
        </w:rPr>
        <w:t xml:space="preserve"> </w:t>
      </w:r>
    </w:p>
    <w:p w14:paraId="461497E3" w14:textId="77777777" w:rsidR="00D8392C" w:rsidRDefault="00D8392C" w:rsidP="00D8392C">
      <w:pPr>
        <w:pBdr>
          <w:top w:val="nil"/>
          <w:left w:val="nil"/>
          <w:bottom w:val="nil"/>
          <w:right w:val="nil"/>
          <w:between w:val="nil"/>
        </w:pBdr>
        <w:ind w:left="720"/>
        <w:rPr>
          <w:color w:val="000000"/>
        </w:rPr>
      </w:pPr>
      <w:r>
        <w:rPr>
          <w:color w:val="000000"/>
        </w:rPr>
        <w:t xml:space="preserve">Numerator = Sum of area (in hectares) covered by non-degraded (neutral or improving) land and water within mapped territories of Indigenous Peoples and local communities (legally recognized by government or not legally recognized) in year </w:t>
      </w:r>
      <w:r>
        <w:rPr>
          <w:i/>
          <w:iCs/>
          <w:color w:val="000000"/>
        </w:rPr>
        <w:t>n</w:t>
      </w:r>
      <w:r>
        <w:rPr>
          <w:color w:val="000000"/>
        </w:rPr>
        <w:t>. This includes the sum of area where land cover</w:t>
      </w:r>
      <w:sdt>
        <w:sdtPr>
          <w:tag w:val="goog_rdk_195"/>
          <w:id w:val="-1913019377"/>
        </w:sdtPr>
        <w:sdtContent>
          <w:r>
            <w:rPr>
              <w:color w:val="000000"/>
            </w:rPr>
            <w:t>/land use</w:t>
          </w:r>
        </w:sdtContent>
      </w:sdt>
      <w:r>
        <w:rPr>
          <w:color w:val="000000"/>
        </w:rPr>
        <w:t xml:space="preserve"> change </w:t>
      </w:r>
      <w:proofErr w:type="gramStart"/>
      <w:r>
        <w:rPr>
          <w:color w:val="000000"/>
        </w:rPr>
        <w:t>is considered to be</w:t>
      </w:r>
      <w:proofErr w:type="gramEnd"/>
      <w:r>
        <w:rPr>
          <w:color w:val="000000"/>
        </w:rPr>
        <w:t xml:space="preserve"> neutral or improved (not degraded) from the baseline year.  Land cover</w:t>
      </w:r>
      <w:sdt>
        <w:sdtPr>
          <w:tag w:val="goog_rdk_196"/>
          <w:id w:val="-358641634"/>
        </w:sdtPr>
        <w:sdtContent>
          <w:r>
            <w:rPr>
              <w:color w:val="000000"/>
            </w:rPr>
            <w:t>/land use</w:t>
          </w:r>
        </w:sdtContent>
      </w:sdt>
      <w:r>
        <w:rPr>
          <w:color w:val="000000"/>
        </w:rPr>
        <w:t xml:space="preserve"> changes that constitute improved or neutral transitions (as well as degradation) are defined through a land cover/land use change matrix. A generic land cover/land use change matrix that illustrates how to classify and quantify transitions is shown </w:t>
      </w:r>
      <w:r w:rsidRPr="00B11B9B">
        <w:t xml:space="preserve">in Table </w:t>
      </w:r>
      <w:r>
        <w:t>2</w:t>
      </w:r>
      <w:r>
        <w:rPr>
          <w:color w:val="000000"/>
        </w:rPr>
        <w:t>.</w:t>
      </w:r>
    </w:p>
    <w:p w14:paraId="1F13B243" w14:textId="77777777" w:rsidR="00D8392C" w:rsidRDefault="00D8392C" w:rsidP="00D8392C">
      <w:pPr>
        <w:pBdr>
          <w:top w:val="nil"/>
          <w:left w:val="nil"/>
          <w:bottom w:val="nil"/>
          <w:right w:val="nil"/>
          <w:between w:val="nil"/>
        </w:pBdr>
        <w:ind w:left="720"/>
        <w:rPr>
          <w:color w:val="000000"/>
        </w:rPr>
      </w:pPr>
    </w:p>
    <w:p w14:paraId="51AA832A" w14:textId="77777777" w:rsidR="00D8392C" w:rsidRDefault="00D8392C" w:rsidP="00D8392C">
      <w:pPr>
        <w:pBdr>
          <w:top w:val="nil"/>
          <w:left w:val="nil"/>
          <w:bottom w:val="nil"/>
          <w:right w:val="nil"/>
          <w:between w:val="nil"/>
        </w:pBdr>
        <w:ind w:left="720"/>
        <w:rPr>
          <w:color w:val="000000"/>
        </w:rPr>
      </w:pPr>
      <w:r>
        <w:rPr>
          <w:color w:val="000000"/>
        </w:rPr>
        <w:t>Denominator = Total mapped area of territories of Indigenous Peoples and local communities (legally recognized by government or not legally recognized)</w:t>
      </w:r>
    </w:p>
    <w:p w14:paraId="1576BF66" w14:textId="77777777" w:rsidR="00D8392C" w:rsidRDefault="00D8392C" w:rsidP="00D8392C">
      <w:pPr>
        <w:spacing w:before="120"/>
      </w:pPr>
    </w:p>
    <w:p w14:paraId="4F4DBFF5" w14:textId="1E74AE1E" w:rsidR="00F83AF8" w:rsidRPr="00812871" w:rsidRDefault="00D8392C" w:rsidP="00812871">
      <w:pPr>
        <w:pStyle w:val="CBDNormalNumber"/>
        <w:numPr>
          <w:ilvl w:val="0"/>
          <w:numId w:val="156"/>
        </w:numPr>
        <w:shd w:val="clear" w:color="auto" w:fill="FFFFFF"/>
        <w:tabs>
          <w:tab w:val="clear" w:pos="1701"/>
        </w:tabs>
        <w:ind w:left="567" w:firstLine="0"/>
        <w:rPr>
          <w:color w:val="000000"/>
        </w:rPr>
      </w:pPr>
      <w:r w:rsidRPr="00812871">
        <w:rPr>
          <w:color w:val="000000"/>
        </w:rPr>
        <w:t>Definitions:</w:t>
      </w:r>
    </w:p>
    <w:p w14:paraId="20ADE4B2" w14:textId="77777777" w:rsidR="00D8392C" w:rsidRDefault="00D8392C" w:rsidP="00812871">
      <w:pPr>
        <w:pStyle w:val="CBDNormalNumber"/>
        <w:numPr>
          <w:ilvl w:val="1"/>
          <w:numId w:val="156"/>
        </w:numPr>
        <w:shd w:val="clear" w:color="auto" w:fill="FFFFFF"/>
        <w:tabs>
          <w:tab w:val="clear" w:pos="1701"/>
        </w:tabs>
      </w:pPr>
      <w:r>
        <w:t xml:space="preserve">See section 5a for definitions of terms. </w:t>
      </w:r>
    </w:p>
    <w:p w14:paraId="4A2B3903" w14:textId="77777777" w:rsidR="00D8392C" w:rsidRDefault="00D8392C" w:rsidP="00D8392C">
      <w:pPr>
        <w:spacing w:before="120"/>
      </w:pPr>
    </w:p>
    <w:p w14:paraId="7736F257" w14:textId="77777777" w:rsidR="00D8392C" w:rsidRDefault="00D8392C" w:rsidP="00D8392C">
      <w:pPr>
        <w:pBdr>
          <w:top w:val="nil"/>
          <w:left w:val="nil"/>
          <w:bottom w:val="nil"/>
          <w:right w:val="nil"/>
          <w:between w:val="nil"/>
        </w:pBdr>
        <w:spacing w:after="200"/>
        <w:rPr>
          <w:i/>
          <w:iCs/>
          <w:color w:val="0E2841"/>
          <w:sz w:val="20"/>
          <w:szCs w:val="20"/>
        </w:rPr>
      </w:pPr>
      <w:r>
        <w:rPr>
          <w:i/>
          <w:iCs/>
          <w:color w:val="0E2841"/>
          <w:sz w:val="20"/>
          <w:szCs w:val="20"/>
        </w:rPr>
        <w:t xml:space="preserve">Table 2. Example land cover/land use change matrix that shows transitions from the original (baseline) land cover/land use class to the final (most recent) land cover/land use class and whether the transition is considered improvement (I), neutral (N), or degradation (D). </w:t>
      </w:r>
    </w:p>
    <w:tbl>
      <w:tblPr>
        <w:tblStyle w:val="2"/>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5"/>
        <w:gridCol w:w="1350"/>
        <w:gridCol w:w="720"/>
        <w:gridCol w:w="720"/>
        <w:gridCol w:w="882"/>
        <w:gridCol w:w="774"/>
        <w:gridCol w:w="774"/>
        <w:gridCol w:w="774"/>
        <w:gridCol w:w="774"/>
        <w:gridCol w:w="702"/>
        <w:gridCol w:w="720"/>
        <w:gridCol w:w="900"/>
      </w:tblGrid>
      <w:tr w:rsidR="00D8392C" w14:paraId="34F0CAD1" w14:textId="77777777" w:rsidTr="00F90F5F">
        <w:tc>
          <w:tcPr>
            <w:tcW w:w="355" w:type="dxa"/>
          </w:tcPr>
          <w:p w14:paraId="11FBF409" w14:textId="77777777" w:rsidR="00D8392C" w:rsidRDefault="00D8392C" w:rsidP="00F90F5F">
            <w:pPr>
              <w:spacing w:before="120"/>
              <w:rPr>
                <w:sz w:val="16"/>
                <w:szCs w:val="16"/>
              </w:rPr>
            </w:pPr>
          </w:p>
        </w:tc>
        <w:tc>
          <w:tcPr>
            <w:tcW w:w="9090" w:type="dxa"/>
            <w:gridSpan w:val="11"/>
            <w:vAlign w:val="center"/>
          </w:tcPr>
          <w:p w14:paraId="09CDBDA3" w14:textId="77777777" w:rsidR="00D8392C" w:rsidRDefault="00D8392C" w:rsidP="00F90F5F">
            <w:pPr>
              <w:spacing w:before="120"/>
              <w:jc w:val="center"/>
              <w:rPr>
                <w:b/>
                <w:bCs/>
                <w:sz w:val="16"/>
                <w:szCs w:val="16"/>
              </w:rPr>
            </w:pPr>
            <w:r>
              <w:rPr>
                <w:b/>
                <w:bCs/>
                <w:sz w:val="16"/>
                <w:szCs w:val="16"/>
              </w:rPr>
              <w:t>Final Class</w:t>
            </w:r>
          </w:p>
        </w:tc>
      </w:tr>
      <w:tr w:rsidR="00D8392C" w14:paraId="3E663670" w14:textId="77777777" w:rsidTr="00F90F5F">
        <w:trPr>
          <w:cantSplit/>
          <w:trHeight w:val="288"/>
        </w:trPr>
        <w:tc>
          <w:tcPr>
            <w:tcW w:w="355" w:type="dxa"/>
            <w:vMerge w:val="restart"/>
            <w:vAlign w:val="center"/>
          </w:tcPr>
          <w:p w14:paraId="14A17B09" w14:textId="77777777" w:rsidR="00D8392C" w:rsidRDefault="00D8392C" w:rsidP="00F90F5F">
            <w:pPr>
              <w:jc w:val="center"/>
              <w:rPr>
                <w:b/>
                <w:bCs/>
                <w:sz w:val="16"/>
                <w:szCs w:val="16"/>
              </w:rPr>
            </w:pPr>
            <w:r>
              <w:rPr>
                <w:b/>
                <w:bCs/>
                <w:sz w:val="16"/>
                <w:szCs w:val="16"/>
              </w:rPr>
              <w:t>Original (Baseline) Class</w:t>
            </w:r>
          </w:p>
        </w:tc>
        <w:tc>
          <w:tcPr>
            <w:tcW w:w="1350" w:type="dxa"/>
          </w:tcPr>
          <w:p w14:paraId="11F9CA36" w14:textId="77777777" w:rsidR="00D8392C" w:rsidRDefault="00D8392C" w:rsidP="00F90F5F">
            <w:pPr>
              <w:spacing w:before="120"/>
              <w:rPr>
                <w:sz w:val="16"/>
                <w:szCs w:val="16"/>
              </w:rPr>
            </w:pPr>
          </w:p>
        </w:tc>
        <w:tc>
          <w:tcPr>
            <w:tcW w:w="720" w:type="dxa"/>
            <w:vAlign w:val="bottom"/>
          </w:tcPr>
          <w:p w14:paraId="36CF2719" w14:textId="77777777" w:rsidR="00D8392C" w:rsidRDefault="00D8392C" w:rsidP="00F90F5F">
            <w:pPr>
              <w:spacing w:before="120"/>
              <w:rPr>
                <w:sz w:val="16"/>
                <w:szCs w:val="16"/>
              </w:rPr>
            </w:pPr>
            <w:r>
              <w:rPr>
                <w:b/>
                <w:bCs/>
                <w:sz w:val="16"/>
                <w:szCs w:val="16"/>
              </w:rPr>
              <w:t>Bare</w:t>
            </w:r>
          </w:p>
        </w:tc>
        <w:tc>
          <w:tcPr>
            <w:tcW w:w="720" w:type="dxa"/>
            <w:vAlign w:val="bottom"/>
          </w:tcPr>
          <w:p w14:paraId="441BCDBD" w14:textId="77777777" w:rsidR="00D8392C" w:rsidRDefault="00D8392C" w:rsidP="00F90F5F">
            <w:pPr>
              <w:spacing w:before="120"/>
              <w:rPr>
                <w:sz w:val="16"/>
                <w:szCs w:val="16"/>
              </w:rPr>
            </w:pPr>
            <w:r>
              <w:rPr>
                <w:b/>
                <w:bCs/>
                <w:sz w:val="16"/>
                <w:szCs w:val="16"/>
              </w:rPr>
              <w:t>Built-up</w:t>
            </w:r>
          </w:p>
        </w:tc>
        <w:tc>
          <w:tcPr>
            <w:tcW w:w="882" w:type="dxa"/>
            <w:vAlign w:val="bottom"/>
          </w:tcPr>
          <w:p w14:paraId="79B09576" w14:textId="77777777" w:rsidR="00D8392C" w:rsidRDefault="00D8392C" w:rsidP="00F90F5F">
            <w:pPr>
              <w:spacing w:before="120"/>
              <w:rPr>
                <w:sz w:val="16"/>
                <w:szCs w:val="16"/>
              </w:rPr>
            </w:pPr>
            <w:r>
              <w:rPr>
                <w:b/>
                <w:bCs/>
                <w:sz w:val="16"/>
                <w:szCs w:val="16"/>
              </w:rPr>
              <w:t>Cropland</w:t>
            </w:r>
          </w:p>
        </w:tc>
        <w:tc>
          <w:tcPr>
            <w:tcW w:w="774" w:type="dxa"/>
            <w:vAlign w:val="bottom"/>
          </w:tcPr>
          <w:p w14:paraId="0662CCDA" w14:textId="77777777" w:rsidR="00D8392C" w:rsidRDefault="00D8392C" w:rsidP="00F90F5F">
            <w:pPr>
              <w:spacing w:before="120"/>
              <w:rPr>
                <w:sz w:val="16"/>
                <w:szCs w:val="16"/>
              </w:rPr>
            </w:pPr>
            <w:r>
              <w:rPr>
                <w:b/>
                <w:bCs/>
                <w:sz w:val="16"/>
                <w:szCs w:val="16"/>
              </w:rPr>
              <w:t>Ocean</w:t>
            </w:r>
          </w:p>
        </w:tc>
        <w:tc>
          <w:tcPr>
            <w:tcW w:w="774" w:type="dxa"/>
            <w:vAlign w:val="bottom"/>
          </w:tcPr>
          <w:p w14:paraId="175979C6" w14:textId="77777777" w:rsidR="00D8392C" w:rsidRDefault="00D8392C" w:rsidP="00F90F5F">
            <w:pPr>
              <w:spacing w:before="120"/>
              <w:rPr>
                <w:sz w:val="16"/>
                <w:szCs w:val="16"/>
              </w:rPr>
            </w:pPr>
            <w:r>
              <w:rPr>
                <w:b/>
                <w:bCs/>
                <w:sz w:val="16"/>
                <w:szCs w:val="16"/>
              </w:rPr>
              <w:t>Salt pan</w:t>
            </w:r>
          </w:p>
        </w:tc>
        <w:tc>
          <w:tcPr>
            <w:tcW w:w="774" w:type="dxa"/>
            <w:vAlign w:val="bottom"/>
          </w:tcPr>
          <w:p w14:paraId="5EA16BB5" w14:textId="77777777" w:rsidR="00D8392C" w:rsidRDefault="00D8392C" w:rsidP="00F90F5F">
            <w:pPr>
              <w:spacing w:before="120"/>
              <w:rPr>
                <w:sz w:val="16"/>
                <w:szCs w:val="16"/>
              </w:rPr>
            </w:pPr>
            <w:r>
              <w:rPr>
                <w:b/>
                <w:bCs/>
                <w:sz w:val="16"/>
                <w:szCs w:val="16"/>
              </w:rPr>
              <w:t xml:space="preserve">Short </w:t>
            </w:r>
            <w:proofErr w:type="spellStart"/>
            <w:r>
              <w:rPr>
                <w:b/>
                <w:bCs/>
                <w:sz w:val="16"/>
                <w:szCs w:val="16"/>
              </w:rPr>
              <w:t>vege-tation</w:t>
            </w:r>
            <w:proofErr w:type="spellEnd"/>
          </w:p>
        </w:tc>
        <w:tc>
          <w:tcPr>
            <w:tcW w:w="774" w:type="dxa"/>
            <w:vAlign w:val="bottom"/>
          </w:tcPr>
          <w:p w14:paraId="71ADE33B" w14:textId="77777777" w:rsidR="00D8392C" w:rsidRDefault="00D8392C" w:rsidP="00F90F5F">
            <w:pPr>
              <w:rPr>
                <w:b/>
                <w:bCs/>
                <w:sz w:val="16"/>
                <w:szCs w:val="16"/>
              </w:rPr>
            </w:pPr>
            <w:r>
              <w:rPr>
                <w:b/>
                <w:bCs/>
                <w:sz w:val="16"/>
                <w:szCs w:val="16"/>
              </w:rPr>
              <w:t>Snow/</w:t>
            </w:r>
          </w:p>
          <w:p w14:paraId="36F33E87" w14:textId="77777777" w:rsidR="00D8392C" w:rsidRDefault="00D8392C" w:rsidP="00F90F5F">
            <w:pPr>
              <w:rPr>
                <w:b/>
                <w:bCs/>
                <w:sz w:val="16"/>
                <w:szCs w:val="16"/>
              </w:rPr>
            </w:pPr>
            <w:r>
              <w:rPr>
                <w:b/>
                <w:bCs/>
                <w:sz w:val="16"/>
                <w:szCs w:val="16"/>
              </w:rPr>
              <w:t>ice</w:t>
            </w:r>
          </w:p>
        </w:tc>
        <w:tc>
          <w:tcPr>
            <w:tcW w:w="702" w:type="dxa"/>
            <w:vAlign w:val="bottom"/>
          </w:tcPr>
          <w:p w14:paraId="2CB290B1" w14:textId="77777777" w:rsidR="00D8392C" w:rsidRDefault="00D8392C" w:rsidP="00F90F5F">
            <w:pPr>
              <w:spacing w:before="120"/>
              <w:rPr>
                <w:sz w:val="16"/>
                <w:szCs w:val="16"/>
              </w:rPr>
            </w:pPr>
            <w:r>
              <w:rPr>
                <w:b/>
                <w:bCs/>
                <w:sz w:val="16"/>
                <w:szCs w:val="16"/>
              </w:rPr>
              <w:t>Tree cover</w:t>
            </w:r>
          </w:p>
        </w:tc>
        <w:tc>
          <w:tcPr>
            <w:tcW w:w="720" w:type="dxa"/>
            <w:vAlign w:val="bottom"/>
          </w:tcPr>
          <w:p w14:paraId="5965B35C" w14:textId="77777777" w:rsidR="00D8392C" w:rsidRDefault="00D8392C" w:rsidP="00F90F5F">
            <w:pPr>
              <w:spacing w:before="120"/>
              <w:rPr>
                <w:sz w:val="16"/>
                <w:szCs w:val="16"/>
              </w:rPr>
            </w:pPr>
            <w:r>
              <w:rPr>
                <w:b/>
                <w:bCs/>
                <w:sz w:val="16"/>
                <w:szCs w:val="16"/>
              </w:rPr>
              <w:t>Water</w:t>
            </w:r>
          </w:p>
        </w:tc>
        <w:tc>
          <w:tcPr>
            <w:tcW w:w="900" w:type="dxa"/>
            <w:vAlign w:val="bottom"/>
          </w:tcPr>
          <w:p w14:paraId="2D9EC131" w14:textId="77777777" w:rsidR="00D8392C" w:rsidRDefault="00D8392C" w:rsidP="00F90F5F">
            <w:pPr>
              <w:spacing w:before="120"/>
              <w:rPr>
                <w:sz w:val="16"/>
                <w:szCs w:val="16"/>
              </w:rPr>
            </w:pPr>
            <w:r>
              <w:rPr>
                <w:b/>
                <w:bCs/>
                <w:sz w:val="16"/>
                <w:szCs w:val="16"/>
              </w:rPr>
              <w:t xml:space="preserve">Wetland </w:t>
            </w:r>
          </w:p>
        </w:tc>
      </w:tr>
      <w:tr w:rsidR="00D8392C" w14:paraId="0F69E887" w14:textId="77777777" w:rsidTr="00F90F5F">
        <w:tc>
          <w:tcPr>
            <w:tcW w:w="355" w:type="dxa"/>
            <w:vMerge/>
            <w:vAlign w:val="center"/>
          </w:tcPr>
          <w:p w14:paraId="72434505"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19BBC4F5" w14:textId="77777777" w:rsidR="00D8392C" w:rsidRDefault="00D8392C" w:rsidP="00F90F5F">
            <w:pPr>
              <w:spacing w:before="120"/>
              <w:rPr>
                <w:sz w:val="16"/>
                <w:szCs w:val="16"/>
              </w:rPr>
            </w:pPr>
            <w:r>
              <w:rPr>
                <w:b/>
                <w:bCs/>
                <w:sz w:val="16"/>
                <w:szCs w:val="16"/>
              </w:rPr>
              <w:t>Bare</w:t>
            </w:r>
          </w:p>
        </w:tc>
        <w:tc>
          <w:tcPr>
            <w:tcW w:w="720" w:type="dxa"/>
            <w:shd w:val="clear" w:color="auto" w:fill="FFFFCC"/>
            <w:vAlign w:val="center"/>
          </w:tcPr>
          <w:p w14:paraId="537FB375" w14:textId="77777777" w:rsidR="00D8392C" w:rsidRDefault="00D8392C" w:rsidP="00F90F5F">
            <w:pPr>
              <w:spacing w:before="120"/>
              <w:jc w:val="center"/>
              <w:rPr>
                <w:sz w:val="16"/>
                <w:szCs w:val="16"/>
              </w:rPr>
            </w:pPr>
            <w:r>
              <w:rPr>
                <w:sz w:val="16"/>
                <w:szCs w:val="16"/>
              </w:rPr>
              <w:t>N</w:t>
            </w:r>
          </w:p>
        </w:tc>
        <w:tc>
          <w:tcPr>
            <w:tcW w:w="720" w:type="dxa"/>
            <w:shd w:val="clear" w:color="auto" w:fill="FF9999"/>
            <w:vAlign w:val="center"/>
          </w:tcPr>
          <w:p w14:paraId="65148224" w14:textId="77777777" w:rsidR="00D8392C" w:rsidRDefault="00D8392C" w:rsidP="00F90F5F">
            <w:pPr>
              <w:spacing w:before="120"/>
              <w:jc w:val="center"/>
              <w:rPr>
                <w:sz w:val="16"/>
                <w:szCs w:val="16"/>
              </w:rPr>
            </w:pPr>
            <w:r>
              <w:rPr>
                <w:sz w:val="16"/>
                <w:szCs w:val="16"/>
              </w:rPr>
              <w:t>D</w:t>
            </w:r>
          </w:p>
        </w:tc>
        <w:tc>
          <w:tcPr>
            <w:tcW w:w="882" w:type="dxa"/>
            <w:shd w:val="clear" w:color="auto" w:fill="92D050"/>
            <w:vAlign w:val="center"/>
          </w:tcPr>
          <w:p w14:paraId="5ED19BD5"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2A5424C7"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7913BD6E"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05572EAF"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7CA69DA7" w14:textId="77777777" w:rsidR="00D8392C" w:rsidRDefault="00D8392C" w:rsidP="00F90F5F">
            <w:pPr>
              <w:spacing w:before="120"/>
              <w:jc w:val="center"/>
              <w:rPr>
                <w:sz w:val="16"/>
                <w:szCs w:val="16"/>
              </w:rPr>
            </w:pPr>
            <w:r>
              <w:rPr>
                <w:sz w:val="16"/>
                <w:szCs w:val="16"/>
              </w:rPr>
              <w:t>I</w:t>
            </w:r>
          </w:p>
        </w:tc>
        <w:tc>
          <w:tcPr>
            <w:tcW w:w="702" w:type="dxa"/>
            <w:shd w:val="clear" w:color="auto" w:fill="92D050"/>
            <w:vAlign w:val="center"/>
          </w:tcPr>
          <w:p w14:paraId="1EFB04B5" w14:textId="77777777" w:rsidR="00D8392C" w:rsidRDefault="00D8392C" w:rsidP="00F90F5F">
            <w:pPr>
              <w:spacing w:before="120"/>
              <w:jc w:val="center"/>
              <w:rPr>
                <w:sz w:val="16"/>
                <w:szCs w:val="16"/>
              </w:rPr>
            </w:pPr>
            <w:r>
              <w:rPr>
                <w:sz w:val="16"/>
                <w:szCs w:val="16"/>
              </w:rPr>
              <w:t>I</w:t>
            </w:r>
          </w:p>
        </w:tc>
        <w:tc>
          <w:tcPr>
            <w:tcW w:w="720" w:type="dxa"/>
            <w:shd w:val="clear" w:color="auto" w:fill="92D050"/>
            <w:vAlign w:val="center"/>
          </w:tcPr>
          <w:p w14:paraId="1EF0631B" w14:textId="77777777" w:rsidR="00D8392C" w:rsidRDefault="00D8392C" w:rsidP="00F90F5F">
            <w:pPr>
              <w:spacing w:before="120"/>
              <w:jc w:val="center"/>
              <w:rPr>
                <w:sz w:val="16"/>
                <w:szCs w:val="16"/>
              </w:rPr>
            </w:pPr>
            <w:r>
              <w:rPr>
                <w:sz w:val="16"/>
                <w:szCs w:val="16"/>
              </w:rPr>
              <w:t>I</w:t>
            </w:r>
          </w:p>
        </w:tc>
        <w:tc>
          <w:tcPr>
            <w:tcW w:w="900" w:type="dxa"/>
            <w:shd w:val="clear" w:color="auto" w:fill="92D050"/>
            <w:vAlign w:val="center"/>
          </w:tcPr>
          <w:p w14:paraId="0716C400" w14:textId="77777777" w:rsidR="00D8392C" w:rsidRDefault="00D8392C" w:rsidP="00F90F5F">
            <w:pPr>
              <w:spacing w:before="120"/>
              <w:jc w:val="center"/>
              <w:rPr>
                <w:sz w:val="16"/>
                <w:szCs w:val="16"/>
              </w:rPr>
            </w:pPr>
            <w:r>
              <w:rPr>
                <w:sz w:val="16"/>
                <w:szCs w:val="16"/>
              </w:rPr>
              <w:t>I</w:t>
            </w:r>
          </w:p>
        </w:tc>
      </w:tr>
      <w:tr w:rsidR="00D8392C" w14:paraId="3CC6FA53" w14:textId="77777777" w:rsidTr="00F90F5F">
        <w:tc>
          <w:tcPr>
            <w:tcW w:w="355" w:type="dxa"/>
            <w:vMerge/>
            <w:vAlign w:val="center"/>
          </w:tcPr>
          <w:p w14:paraId="6D0A432E"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3DC02822" w14:textId="77777777" w:rsidR="00D8392C" w:rsidRDefault="00D8392C" w:rsidP="00F90F5F">
            <w:pPr>
              <w:spacing w:before="120"/>
              <w:rPr>
                <w:sz w:val="16"/>
                <w:szCs w:val="16"/>
              </w:rPr>
            </w:pPr>
            <w:r>
              <w:rPr>
                <w:b/>
                <w:bCs/>
                <w:sz w:val="16"/>
                <w:szCs w:val="16"/>
              </w:rPr>
              <w:t>Built-up</w:t>
            </w:r>
          </w:p>
        </w:tc>
        <w:tc>
          <w:tcPr>
            <w:tcW w:w="720" w:type="dxa"/>
            <w:shd w:val="clear" w:color="auto" w:fill="92D050"/>
            <w:vAlign w:val="center"/>
          </w:tcPr>
          <w:p w14:paraId="0FD073E6" w14:textId="77777777" w:rsidR="00D8392C" w:rsidRDefault="00D8392C" w:rsidP="00F90F5F">
            <w:pPr>
              <w:spacing w:before="120"/>
              <w:jc w:val="center"/>
              <w:rPr>
                <w:sz w:val="16"/>
                <w:szCs w:val="16"/>
              </w:rPr>
            </w:pPr>
            <w:r>
              <w:rPr>
                <w:sz w:val="16"/>
                <w:szCs w:val="16"/>
              </w:rPr>
              <w:t>I</w:t>
            </w:r>
          </w:p>
        </w:tc>
        <w:tc>
          <w:tcPr>
            <w:tcW w:w="720" w:type="dxa"/>
            <w:shd w:val="clear" w:color="auto" w:fill="FFFFCC"/>
            <w:vAlign w:val="center"/>
          </w:tcPr>
          <w:p w14:paraId="4AFB0656" w14:textId="77777777" w:rsidR="00D8392C" w:rsidRDefault="00D8392C" w:rsidP="00F90F5F">
            <w:pPr>
              <w:spacing w:before="120"/>
              <w:jc w:val="center"/>
              <w:rPr>
                <w:sz w:val="16"/>
                <w:szCs w:val="16"/>
              </w:rPr>
            </w:pPr>
            <w:r>
              <w:rPr>
                <w:sz w:val="16"/>
                <w:szCs w:val="16"/>
              </w:rPr>
              <w:t>N</w:t>
            </w:r>
          </w:p>
        </w:tc>
        <w:tc>
          <w:tcPr>
            <w:tcW w:w="882" w:type="dxa"/>
            <w:shd w:val="clear" w:color="auto" w:fill="92D050"/>
            <w:vAlign w:val="center"/>
          </w:tcPr>
          <w:p w14:paraId="1B2EEB89"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720E9586"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348B1CB5"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57D91C4D"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3F1F99ED" w14:textId="77777777" w:rsidR="00D8392C" w:rsidRDefault="00D8392C" w:rsidP="00F90F5F">
            <w:pPr>
              <w:spacing w:before="120"/>
              <w:jc w:val="center"/>
              <w:rPr>
                <w:sz w:val="16"/>
                <w:szCs w:val="16"/>
              </w:rPr>
            </w:pPr>
            <w:r>
              <w:rPr>
                <w:sz w:val="16"/>
                <w:szCs w:val="16"/>
              </w:rPr>
              <w:t>I</w:t>
            </w:r>
          </w:p>
        </w:tc>
        <w:tc>
          <w:tcPr>
            <w:tcW w:w="702" w:type="dxa"/>
            <w:shd w:val="clear" w:color="auto" w:fill="92D050"/>
            <w:vAlign w:val="center"/>
          </w:tcPr>
          <w:p w14:paraId="3A60FEC7" w14:textId="77777777" w:rsidR="00D8392C" w:rsidRDefault="00D8392C" w:rsidP="00F90F5F">
            <w:pPr>
              <w:spacing w:before="120"/>
              <w:jc w:val="center"/>
              <w:rPr>
                <w:sz w:val="16"/>
                <w:szCs w:val="16"/>
              </w:rPr>
            </w:pPr>
            <w:r>
              <w:rPr>
                <w:sz w:val="16"/>
                <w:szCs w:val="16"/>
              </w:rPr>
              <w:t>I</w:t>
            </w:r>
          </w:p>
        </w:tc>
        <w:tc>
          <w:tcPr>
            <w:tcW w:w="720" w:type="dxa"/>
            <w:shd w:val="clear" w:color="auto" w:fill="92D050"/>
            <w:vAlign w:val="center"/>
          </w:tcPr>
          <w:p w14:paraId="361ADE6D" w14:textId="77777777" w:rsidR="00D8392C" w:rsidRDefault="00D8392C" w:rsidP="00F90F5F">
            <w:pPr>
              <w:spacing w:before="120"/>
              <w:jc w:val="center"/>
              <w:rPr>
                <w:sz w:val="16"/>
                <w:szCs w:val="16"/>
              </w:rPr>
            </w:pPr>
            <w:r>
              <w:rPr>
                <w:sz w:val="16"/>
                <w:szCs w:val="16"/>
              </w:rPr>
              <w:t>I</w:t>
            </w:r>
          </w:p>
        </w:tc>
        <w:tc>
          <w:tcPr>
            <w:tcW w:w="900" w:type="dxa"/>
            <w:shd w:val="clear" w:color="auto" w:fill="92D050"/>
            <w:vAlign w:val="center"/>
          </w:tcPr>
          <w:p w14:paraId="3FD3D609" w14:textId="77777777" w:rsidR="00D8392C" w:rsidRDefault="00D8392C" w:rsidP="00F90F5F">
            <w:pPr>
              <w:spacing w:before="120"/>
              <w:jc w:val="center"/>
              <w:rPr>
                <w:sz w:val="16"/>
                <w:szCs w:val="16"/>
              </w:rPr>
            </w:pPr>
            <w:r>
              <w:rPr>
                <w:sz w:val="16"/>
                <w:szCs w:val="16"/>
              </w:rPr>
              <w:t>I</w:t>
            </w:r>
          </w:p>
        </w:tc>
      </w:tr>
      <w:tr w:rsidR="00D8392C" w14:paraId="3F287960" w14:textId="77777777" w:rsidTr="00F90F5F">
        <w:tc>
          <w:tcPr>
            <w:tcW w:w="355" w:type="dxa"/>
            <w:vMerge/>
            <w:vAlign w:val="center"/>
          </w:tcPr>
          <w:p w14:paraId="387E20F0"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59C26869" w14:textId="77777777" w:rsidR="00D8392C" w:rsidRDefault="00D8392C" w:rsidP="00F90F5F">
            <w:pPr>
              <w:spacing w:before="120"/>
              <w:rPr>
                <w:sz w:val="16"/>
                <w:szCs w:val="16"/>
              </w:rPr>
            </w:pPr>
            <w:r>
              <w:rPr>
                <w:b/>
                <w:bCs/>
                <w:sz w:val="16"/>
                <w:szCs w:val="16"/>
              </w:rPr>
              <w:t>Cropland</w:t>
            </w:r>
          </w:p>
        </w:tc>
        <w:tc>
          <w:tcPr>
            <w:tcW w:w="720" w:type="dxa"/>
            <w:shd w:val="clear" w:color="auto" w:fill="FF9999"/>
            <w:vAlign w:val="center"/>
          </w:tcPr>
          <w:p w14:paraId="122C5A17" w14:textId="77777777" w:rsidR="00D8392C" w:rsidRDefault="00D8392C" w:rsidP="00F90F5F">
            <w:pPr>
              <w:spacing w:before="120"/>
              <w:jc w:val="center"/>
              <w:rPr>
                <w:sz w:val="16"/>
                <w:szCs w:val="16"/>
              </w:rPr>
            </w:pPr>
            <w:r>
              <w:rPr>
                <w:sz w:val="16"/>
                <w:szCs w:val="16"/>
              </w:rPr>
              <w:t>D</w:t>
            </w:r>
          </w:p>
        </w:tc>
        <w:tc>
          <w:tcPr>
            <w:tcW w:w="720" w:type="dxa"/>
            <w:shd w:val="clear" w:color="auto" w:fill="FF9999"/>
            <w:vAlign w:val="center"/>
          </w:tcPr>
          <w:p w14:paraId="4A88E4F1" w14:textId="77777777" w:rsidR="00D8392C" w:rsidRDefault="00D8392C" w:rsidP="00F90F5F">
            <w:pPr>
              <w:spacing w:before="120"/>
              <w:jc w:val="center"/>
              <w:rPr>
                <w:sz w:val="16"/>
                <w:szCs w:val="16"/>
              </w:rPr>
            </w:pPr>
            <w:r>
              <w:rPr>
                <w:sz w:val="16"/>
                <w:szCs w:val="16"/>
              </w:rPr>
              <w:t>D</w:t>
            </w:r>
          </w:p>
        </w:tc>
        <w:tc>
          <w:tcPr>
            <w:tcW w:w="882" w:type="dxa"/>
            <w:shd w:val="clear" w:color="auto" w:fill="FFFFCC"/>
            <w:vAlign w:val="center"/>
          </w:tcPr>
          <w:p w14:paraId="00C3E16C" w14:textId="77777777" w:rsidR="00D8392C" w:rsidRDefault="00D8392C" w:rsidP="00F90F5F">
            <w:pPr>
              <w:spacing w:before="120"/>
              <w:jc w:val="center"/>
              <w:rPr>
                <w:sz w:val="16"/>
                <w:szCs w:val="16"/>
              </w:rPr>
            </w:pPr>
            <w:r>
              <w:rPr>
                <w:sz w:val="16"/>
                <w:szCs w:val="16"/>
              </w:rPr>
              <w:t>N</w:t>
            </w:r>
          </w:p>
        </w:tc>
        <w:tc>
          <w:tcPr>
            <w:tcW w:w="774" w:type="dxa"/>
            <w:shd w:val="clear" w:color="auto" w:fill="FFFFCC"/>
            <w:vAlign w:val="center"/>
          </w:tcPr>
          <w:p w14:paraId="75ABA6FA" w14:textId="77777777" w:rsidR="00D8392C" w:rsidRDefault="00D8392C" w:rsidP="00F90F5F">
            <w:pPr>
              <w:spacing w:before="120"/>
              <w:jc w:val="center"/>
              <w:rPr>
                <w:sz w:val="16"/>
                <w:szCs w:val="16"/>
              </w:rPr>
            </w:pPr>
            <w:r>
              <w:rPr>
                <w:sz w:val="16"/>
                <w:szCs w:val="16"/>
              </w:rPr>
              <w:t>N</w:t>
            </w:r>
          </w:p>
        </w:tc>
        <w:tc>
          <w:tcPr>
            <w:tcW w:w="774" w:type="dxa"/>
            <w:shd w:val="clear" w:color="auto" w:fill="92D050"/>
            <w:vAlign w:val="center"/>
          </w:tcPr>
          <w:p w14:paraId="5531AE3F"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6DF67BC7"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23F779C8" w14:textId="77777777" w:rsidR="00D8392C" w:rsidRDefault="00D8392C" w:rsidP="00F90F5F">
            <w:pPr>
              <w:spacing w:before="120"/>
              <w:jc w:val="center"/>
              <w:rPr>
                <w:sz w:val="16"/>
                <w:szCs w:val="16"/>
              </w:rPr>
            </w:pPr>
            <w:r>
              <w:rPr>
                <w:sz w:val="16"/>
                <w:szCs w:val="16"/>
              </w:rPr>
              <w:t>I</w:t>
            </w:r>
          </w:p>
        </w:tc>
        <w:tc>
          <w:tcPr>
            <w:tcW w:w="702" w:type="dxa"/>
            <w:shd w:val="clear" w:color="auto" w:fill="92D050"/>
            <w:vAlign w:val="center"/>
          </w:tcPr>
          <w:p w14:paraId="6807A421" w14:textId="77777777" w:rsidR="00D8392C" w:rsidRDefault="00D8392C" w:rsidP="00F90F5F">
            <w:pPr>
              <w:spacing w:before="120"/>
              <w:jc w:val="center"/>
              <w:rPr>
                <w:sz w:val="16"/>
                <w:szCs w:val="16"/>
              </w:rPr>
            </w:pPr>
            <w:r>
              <w:rPr>
                <w:sz w:val="16"/>
                <w:szCs w:val="16"/>
              </w:rPr>
              <w:t>I</w:t>
            </w:r>
          </w:p>
        </w:tc>
        <w:tc>
          <w:tcPr>
            <w:tcW w:w="720" w:type="dxa"/>
            <w:shd w:val="clear" w:color="auto" w:fill="FFFFCC"/>
            <w:vAlign w:val="center"/>
          </w:tcPr>
          <w:p w14:paraId="083061DB" w14:textId="77777777" w:rsidR="00D8392C" w:rsidRDefault="00D8392C" w:rsidP="00F90F5F">
            <w:pPr>
              <w:spacing w:before="120"/>
              <w:jc w:val="center"/>
              <w:rPr>
                <w:sz w:val="16"/>
                <w:szCs w:val="16"/>
              </w:rPr>
            </w:pPr>
            <w:r>
              <w:rPr>
                <w:sz w:val="16"/>
                <w:szCs w:val="16"/>
              </w:rPr>
              <w:t>N</w:t>
            </w:r>
          </w:p>
        </w:tc>
        <w:tc>
          <w:tcPr>
            <w:tcW w:w="900" w:type="dxa"/>
            <w:shd w:val="clear" w:color="auto" w:fill="92D050"/>
            <w:vAlign w:val="center"/>
          </w:tcPr>
          <w:p w14:paraId="4326B632" w14:textId="77777777" w:rsidR="00D8392C" w:rsidRDefault="00D8392C" w:rsidP="00F90F5F">
            <w:pPr>
              <w:spacing w:before="120"/>
              <w:jc w:val="center"/>
              <w:rPr>
                <w:sz w:val="16"/>
                <w:szCs w:val="16"/>
              </w:rPr>
            </w:pPr>
            <w:r>
              <w:rPr>
                <w:sz w:val="16"/>
                <w:szCs w:val="16"/>
              </w:rPr>
              <w:t>I</w:t>
            </w:r>
          </w:p>
        </w:tc>
      </w:tr>
      <w:tr w:rsidR="00D8392C" w14:paraId="1678F581" w14:textId="77777777" w:rsidTr="00F90F5F">
        <w:tc>
          <w:tcPr>
            <w:tcW w:w="355" w:type="dxa"/>
            <w:vMerge/>
            <w:vAlign w:val="center"/>
          </w:tcPr>
          <w:p w14:paraId="0EC53038"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3DD78DBD" w14:textId="77777777" w:rsidR="00D8392C" w:rsidRDefault="00D8392C" w:rsidP="00F90F5F">
            <w:pPr>
              <w:spacing w:before="120"/>
              <w:rPr>
                <w:sz w:val="16"/>
                <w:szCs w:val="16"/>
              </w:rPr>
            </w:pPr>
            <w:r>
              <w:rPr>
                <w:b/>
                <w:bCs/>
                <w:sz w:val="16"/>
                <w:szCs w:val="16"/>
              </w:rPr>
              <w:t>Ocean</w:t>
            </w:r>
          </w:p>
        </w:tc>
        <w:tc>
          <w:tcPr>
            <w:tcW w:w="720" w:type="dxa"/>
            <w:shd w:val="clear" w:color="auto" w:fill="FF9999"/>
            <w:vAlign w:val="center"/>
          </w:tcPr>
          <w:p w14:paraId="11656ABF" w14:textId="77777777" w:rsidR="00D8392C" w:rsidRDefault="00D8392C" w:rsidP="00F90F5F">
            <w:pPr>
              <w:spacing w:before="120"/>
              <w:jc w:val="center"/>
              <w:rPr>
                <w:sz w:val="16"/>
                <w:szCs w:val="16"/>
              </w:rPr>
            </w:pPr>
            <w:r>
              <w:rPr>
                <w:sz w:val="16"/>
                <w:szCs w:val="16"/>
              </w:rPr>
              <w:t>D</w:t>
            </w:r>
          </w:p>
        </w:tc>
        <w:tc>
          <w:tcPr>
            <w:tcW w:w="720" w:type="dxa"/>
            <w:shd w:val="clear" w:color="auto" w:fill="FF9999"/>
            <w:vAlign w:val="center"/>
          </w:tcPr>
          <w:p w14:paraId="7ABCE81E" w14:textId="77777777" w:rsidR="00D8392C" w:rsidRDefault="00D8392C" w:rsidP="00F90F5F">
            <w:pPr>
              <w:spacing w:before="120"/>
              <w:jc w:val="center"/>
              <w:rPr>
                <w:sz w:val="16"/>
                <w:szCs w:val="16"/>
              </w:rPr>
            </w:pPr>
            <w:r>
              <w:rPr>
                <w:sz w:val="16"/>
                <w:szCs w:val="16"/>
              </w:rPr>
              <w:t>D</w:t>
            </w:r>
          </w:p>
        </w:tc>
        <w:tc>
          <w:tcPr>
            <w:tcW w:w="882" w:type="dxa"/>
            <w:shd w:val="clear" w:color="auto" w:fill="FFFFCC"/>
            <w:vAlign w:val="center"/>
          </w:tcPr>
          <w:p w14:paraId="3C21B2B9" w14:textId="77777777" w:rsidR="00D8392C" w:rsidRDefault="00D8392C" w:rsidP="00F90F5F">
            <w:pPr>
              <w:spacing w:before="120"/>
              <w:jc w:val="center"/>
              <w:rPr>
                <w:sz w:val="16"/>
                <w:szCs w:val="16"/>
              </w:rPr>
            </w:pPr>
            <w:r>
              <w:rPr>
                <w:sz w:val="16"/>
                <w:szCs w:val="16"/>
              </w:rPr>
              <w:t>N</w:t>
            </w:r>
          </w:p>
        </w:tc>
        <w:tc>
          <w:tcPr>
            <w:tcW w:w="774" w:type="dxa"/>
            <w:shd w:val="clear" w:color="auto" w:fill="FFFFCC"/>
            <w:vAlign w:val="center"/>
          </w:tcPr>
          <w:p w14:paraId="73D2255E" w14:textId="77777777" w:rsidR="00D8392C" w:rsidRDefault="00D8392C" w:rsidP="00F90F5F">
            <w:pPr>
              <w:spacing w:before="120"/>
              <w:jc w:val="center"/>
              <w:rPr>
                <w:sz w:val="16"/>
                <w:szCs w:val="16"/>
              </w:rPr>
            </w:pPr>
            <w:r>
              <w:rPr>
                <w:sz w:val="16"/>
                <w:szCs w:val="16"/>
              </w:rPr>
              <w:t>N</w:t>
            </w:r>
          </w:p>
        </w:tc>
        <w:tc>
          <w:tcPr>
            <w:tcW w:w="774" w:type="dxa"/>
            <w:shd w:val="clear" w:color="auto" w:fill="FFFFCC"/>
            <w:vAlign w:val="center"/>
          </w:tcPr>
          <w:p w14:paraId="5FF06FE6" w14:textId="77777777" w:rsidR="00D8392C" w:rsidRDefault="00D8392C" w:rsidP="00F90F5F">
            <w:pPr>
              <w:spacing w:before="120"/>
              <w:jc w:val="center"/>
              <w:rPr>
                <w:sz w:val="16"/>
                <w:szCs w:val="16"/>
              </w:rPr>
            </w:pPr>
            <w:r>
              <w:rPr>
                <w:sz w:val="16"/>
                <w:szCs w:val="16"/>
              </w:rPr>
              <w:t>N</w:t>
            </w:r>
          </w:p>
        </w:tc>
        <w:tc>
          <w:tcPr>
            <w:tcW w:w="774" w:type="dxa"/>
            <w:shd w:val="clear" w:color="auto" w:fill="FFFFCC"/>
            <w:vAlign w:val="center"/>
          </w:tcPr>
          <w:p w14:paraId="2601A1FF" w14:textId="77777777" w:rsidR="00D8392C" w:rsidRDefault="00D8392C" w:rsidP="00F90F5F">
            <w:pPr>
              <w:spacing w:before="120"/>
              <w:jc w:val="center"/>
              <w:rPr>
                <w:sz w:val="16"/>
                <w:szCs w:val="16"/>
              </w:rPr>
            </w:pPr>
            <w:r>
              <w:rPr>
                <w:sz w:val="16"/>
                <w:szCs w:val="16"/>
              </w:rPr>
              <w:t>N</w:t>
            </w:r>
          </w:p>
        </w:tc>
        <w:tc>
          <w:tcPr>
            <w:tcW w:w="774" w:type="dxa"/>
            <w:shd w:val="clear" w:color="auto" w:fill="92D050"/>
            <w:vAlign w:val="center"/>
          </w:tcPr>
          <w:p w14:paraId="27B08C81" w14:textId="77777777" w:rsidR="00D8392C" w:rsidRDefault="00D8392C" w:rsidP="00F90F5F">
            <w:pPr>
              <w:spacing w:before="120"/>
              <w:jc w:val="center"/>
              <w:rPr>
                <w:sz w:val="16"/>
                <w:szCs w:val="16"/>
              </w:rPr>
            </w:pPr>
            <w:r>
              <w:rPr>
                <w:sz w:val="16"/>
                <w:szCs w:val="16"/>
              </w:rPr>
              <w:t>I</w:t>
            </w:r>
          </w:p>
        </w:tc>
        <w:tc>
          <w:tcPr>
            <w:tcW w:w="702" w:type="dxa"/>
            <w:shd w:val="clear" w:color="auto" w:fill="FFFFCC"/>
            <w:vAlign w:val="center"/>
          </w:tcPr>
          <w:p w14:paraId="3B0AF4AD" w14:textId="77777777" w:rsidR="00D8392C" w:rsidRDefault="00D8392C" w:rsidP="00F90F5F">
            <w:pPr>
              <w:spacing w:before="120"/>
              <w:jc w:val="center"/>
              <w:rPr>
                <w:sz w:val="16"/>
                <w:szCs w:val="16"/>
              </w:rPr>
            </w:pPr>
            <w:r>
              <w:rPr>
                <w:sz w:val="16"/>
                <w:szCs w:val="16"/>
              </w:rPr>
              <w:t>N</w:t>
            </w:r>
          </w:p>
        </w:tc>
        <w:tc>
          <w:tcPr>
            <w:tcW w:w="720" w:type="dxa"/>
            <w:shd w:val="clear" w:color="auto" w:fill="FFFFCC"/>
            <w:vAlign w:val="center"/>
          </w:tcPr>
          <w:p w14:paraId="2E595316" w14:textId="77777777" w:rsidR="00D8392C" w:rsidRDefault="00D8392C" w:rsidP="00F90F5F">
            <w:pPr>
              <w:spacing w:before="120"/>
              <w:jc w:val="center"/>
              <w:rPr>
                <w:sz w:val="16"/>
                <w:szCs w:val="16"/>
              </w:rPr>
            </w:pPr>
            <w:r>
              <w:rPr>
                <w:sz w:val="16"/>
                <w:szCs w:val="16"/>
              </w:rPr>
              <w:t>N</w:t>
            </w:r>
          </w:p>
        </w:tc>
        <w:tc>
          <w:tcPr>
            <w:tcW w:w="900" w:type="dxa"/>
            <w:shd w:val="clear" w:color="auto" w:fill="FFFFCC"/>
            <w:vAlign w:val="center"/>
          </w:tcPr>
          <w:p w14:paraId="33D53C59" w14:textId="77777777" w:rsidR="00D8392C" w:rsidRDefault="00D8392C" w:rsidP="00F90F5F">
            <w:pPr>
              <w:spacing w:before="120"/>
              <w:jc w:val="center"/>
              <w:rPr>
                <w:sz w:val="16"/>
                <w:szCs w:val="16"/>
              </w:rPr>
            </w:pPr>
            <w:r>
              <w:rPr>
                <w:sz w:val="16"/>
                <w:szCs w:val="16"/>
              </w:rPr>
              <w:t>N</w:t>
            </w:r>
          </w:p>
        </w:tc>
      </w:tr>
      <w:tr w:rsidR="00D8392C" w14:paraId="5DB4CE66" w14:textId="77777777" w:rsidTr="00F90F5F">
        <w:tc>
          <w:tcPr>
            <w:tcW w:w="355" w:type="dxa"/>
            <w:vMerge/>
            <w:vAlign w:val="center"/>
          </w:tcPr>
          <w:p w14:paraId="396F212B"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77583726" w14:textId="77777777" w:rsidR="00D8392C" w:rsidRDefault="00D8392C" w:rsidP="00F90F5F">
            <w:pPr>
              <w:spacing w:before="120"/>
              <w:rPr>
                <w:sz w:val="16"/>
                <w:szCs w:val="16"/>
              </w:rPr>
            </w:pPr>
            <w:r>
              <w:rPr>
                <w:b/>
                <w:bCs/>
                <w:sz w:val="16"/>
                <w:szCs w:val="16"/>
              </w:rPr>
              <w:t>Salt pan</w:t>
            </w:r>
          </w:p>
        </w:tc>
        <w:tc>
          <w:tcPr>
            <w:tcW w:w="720" w:type="dxa"/>
            <w:shd w:val="clear" w:color="auto" w:fill="FF9999"/>
            <w:vAlign w:val="center"/>
          </w:tcPr>
          <w:p w14:paraId="0E48A66B" w14:textId="77777777" w:rsidR="00D8392C" w:rsidRDefault="00D8392C" w:rsidP="00F90F5F">
            <w:pPr>
              <w:spacing w:before="120"/>
              <w:jc w:val="center"/>
              <w:rPr>
                <w:sz w:val="16"/>
                <w:szCs w:val="16"/>
              </w:rPr>
            </w:pPr>
            <w:r>
              <w:rPr>
                <w:sz w:val="16"/>
                <w:szCs w:val="16"/>
              </w:rPr>
              <w:t>D</w:t>
            </w:r>
          </w:p>
        </w:tc>
        <w:tc>
          <w:tcPr>
            <w:tcW w:w="720" w:type="dxa"/>
            <w:shd w:val="clear" w:color="auto" w:fill="FF9999"/>
            <w:vAlign w:val="center"/>
          </w:tcPr>
          <w:p w14:paraId="142502DB" w14:textId="77777777" w:rsidR="00D8392C" w:rsidRDefault="00D8392C" w:rsidP="00F90F5F">
            <w:pPr>
              <w:spacing w:before="120"/>
              <w:jc w:val="center"/>
              <w:rPr>
                <w:sz w:val="16"/>
                <w:szCs w:val="16"/>
              </w:rPr>
            </w:pPr>
            <w:r>
              <w:rPr>
                <w:sz w:val="16"/>
                <w:szCs w:val="16"/>
              </w:rPr>
              <w:t>D</w:t>
            </w:r>
          </w:p>
        </w:tc>
        <w:tc>
          <w:tcPr>
            <w:tcW w:w="882" w:type="dxa"/>
            <w:shd w:val="clear" w:color="auto" w:fill="FF9999"/>
            <w:vAlign w:val="center"/>
          </w:tcPr>
          <w:p w14:paraId="6AEB56EF" w14:textId="77777777" w:rsidR="00D8392C" w:rsidRDefault="00D8392C" w:rsidP="00F90F5F">
            <w:pPr>
              <w:spacing w:before="120"/>
              <w:jc w:val="center"/>
              <w:rPr>
                <w:sz w:val="16"/>
                <w:szCs w:val="16"/>
              </w:rPr>
            </w:pPr>
            <w:r>
              <w:rPr>
                <w:sz w:val="16"/>
                <w:szCs w:val="16"/>
              </w:rPr>
              <w:t>D</w:t>
            </w:r>
          </w:p>
        </w:tc>
        <w:tc>
          <w:tcPr>
            <w:tcW w:w="774" w:type="dxa"/>
            <w:shd w:val="clear" w:color="auto" w:fill="FFFFCC"/>
            <w:vAlign w:val="center"/>
          </w:tcPr>
          <w:p w14:paraId="617304AF" w14:textId="77777777" w:rsidR="00D8392C" w:rsidRDefault="00D8392C" w:rsidP="00F90F5F">
            <w:pPr>
              <w:spacing w:before="120"/>
              <w:jc w:val="center"/>
              <w:rPr>
                <w:sz w:val="16"/>
                <w:szCs w:val="16"/>
              </w:rPr>
            </w:pPr>
            <w:r>
              <w:rPr>
                <w:sz w:val="16"/>
                <w:szCs w:val="16"/>
              </w:rPr>
              <w:t>N</w:t>
            </w:r>
          </w:p>
        </w:tc>
        <w:tc>
          <w:tcPr>
            <w:tcW w:w="774" w:type="dxa"/>
            <w:shd w:val="clear" w:color="auto" w:fill="FFFFCC"/>
            <w:vAlign w:val="center"/>
          </w:tcPr>
          <w:p w14:paraId="1487A324" w14:textId="77777777" w:rsidR="00D8392C" w:rsidRDefault="00D8392C" w:rsidP="00F90F5F">
            <w:pPr>
              <w:spacing w:before="120"/>
              <w:jc w:val="center"/>
              <w:rPr>
                <w:sz w:val="16"/>
                <w:szCs w:val="16"/>
              </w:rPr>
            </w:pPr>
            <w:r>
              <w:rPr>
                <w:sz w:val="16"/>
                <w:szCs w:val="16"/>
              </w:rPr>
              <w:t>N</w:t>
            </w:r>
          </w:p>
        </w:tc>
        <w:tc>
          <w:tcPr>
            <w:tcW w:w="774" w:type="dxa"/>
            <w:shd w:val="clear" w:color="auto" w:fill="92D050"/>
            <w:vAlign w:val="center"/>
          </w:tcPr>
          <w:p w14:paraId="328A4F55" w14:textId="77777777" w:rsidR="00D8392C" w:rsidRDefault="00D8392C" w:rsidP="00F90F5F">
            <w:pPr>
              <w:spacing w:before="120"/>
              <w:jc w:val="center"/>
              <w:rPr>
                <w:sz w:val="16"/>
                <w:szCs w:val="16"/>
              </w:rPr>
            </w:pPr>
            <w:r>
              <w:rPr>
                <w:sz w:val="16"/>
                <w:szCs w:val="16"/>
              </w:rPr>
              <w:t>I</w:t>
            </w:r>
          </w:p>
        </w:tc>
        <w:tc>
          <w:tcPr>
            <w:tcW w:w="774" w:type="dxa"/>
            <w:shd w:val="clear" w:color="auto" w:fill="92D050"/>
            <w:vAlign w:val="center"/>
          </w:tcPr>
          <w:p w14:paraId="7F122CA4" w14:textId="77777777" w:rsidR="00D8392C" w:rsidRDefault="00D8392C" w:rsidP="00F90F5F">
            <w:pPr>
              <w:spacing w:before="120"/>
              <w:jc w:val="center"/>
              <w:rPr>
                <w:sz w:val="16"/>
                <w:szCs w:val="16"/>
              </w:rPr>
            </w:pPr>
            <w:r>
              <w:rPr>
                <w:sz w:val="16"/>
                <w:szCs w:val="16"/>
              </w:rPr>
              <w:t>I</w:t>
            </w:r>
          </w:p>
        </w:tc>
        <w:tc>
          <w:tcPr>
            <w:tcW w:w="702" w:type="dxa"/>
            <w:shd w:val="clear" w:color="auto" w:fill="92D050"/>
            <w:vAlign w:val="center"/>
          </w:tcPr>
          <w:p w14:paraId="77479BB1" w14:textId="77777777" w:rsidR="00D8392C" w:rsidRDefault="00D8392C" w:rsidP="00F90F5F">
            <w:pPr>
              <w:spacing w:before="120"/>
              <w:jc w:val="center"/>
              <w:rPr>
                <w:sz w:val="16"/>
                <w:szCs w:val="16"/>
              </w:rPr>
            </w:pPr>
            <w:r>
              <w:rPr>
                <w:sz w:val="16"/>
                <w:szCs w:val="16"/>
              </w:rPr>
              <w:t>I</w:t>
            </w:r>
          </w:p>
        </w:tc>
        <w:tc>
          <w:tcPr>
            <w:tcW w:w="720" w:type="dxa"/>
            <w:shd w:val="clear" w:color="auto" w:fill="FFFFCC"/>
            <w:vAlign w:val="center"/>
          </w:tcPr>
          <w:p w14:paraId="112CC8EB" w14:textId="77777777" w:rsidR="00D8392C" w:rsidRDefault="00D8392C" w:rsidP="00F90F5F">
            <w:pPr>
              <w:spacing w:before="120"/>
              <w:jc w:val="center"/>
              <w:rPr>
                <w:sz w:val="16"/>
                <w:szCs w:val="16"/>
              </w:rPr>
            </w:pPr>
            <w:r>
              <w:rPr>
                <w:sz w:val="16"/>
                <w:szCs w:val="16"/>
              </w:rPr>
              <w:t>N</w:t>
            </w:r>
          </w:p>
        </w:tc>
        <w:tc>
          <w:tcPr>
            <w:tcW w:w="900" w:type="dxa"/>
            <w:shd w:val="clear" w:color="auto" w:fill="92D050"/>
            <w:vAlign w:val="center"/>
          </w:tcPr>
          <w:p w14:paraId="7E249D55" w14:textId="77777777" w:rsidR="00D8392C" w:rsidRDefault="00D8392C" w:rsidP="00F90F5F">
            <w:pPr>
              <w:spacing w:before="120"/>
              <w:jc w:val="center"/>
              <w:rPr>
                <w:sz w:val="16"/>
                <w:szCs w:val="16"/>
              </w:rPr>
            </w:pPr>
            <w:r>
              <w:rPr>
                <w:sz w:val="16"/>
                <w:szCs w:val="16"/>
              </w:rPr>
              <w:t>I</w:t>
            </w:r>
          </w:p>
        </w:tc>
      </w:tr>
      <w:tr w:rsidR="00D8392C" w14:paraId="7888C40D" w14:textId="77777777" w:rsidTr="00F90F5F">
        <w:tc>
          <w:tcPr>
            <w:tcW w:w="355" w:type="dxa"/>
            <w:vMerge/>
            <w:vAlign w:val="center"/>
          </w:tcPr>
          <w:p w14:paraId="7C5EF718"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623A3DF7" w14:textId="77777777" w:rsidR="00D8392C" w:rsidRDefault="00D8392C" w:rsidP="00F90F5F">
            <w:pPr>
              <w:spacing w:before="120"/>
              <w:rPr>
                <w:sz w:val="16"/>
                <w:szCs w:val="16"/>
              </w:rPr>
            </w:pPr>
            <w:r>
              <w:rPr>
                <w:b/>
                <w:bCs/>
                <w:sz w:val="16"/>
                <w:szCs w:val="16"/>
              </w:rPr>
              <w:t>Short vegetation</w:t>
            </w:r>
          </w:p>
        </w:tc>
        <w:tc>
          <w:tcPr>
            <w:tcW w:w="720" w:type="dxa"/>
            <w:shd w:val="clear" w:color="auto" w:fill="FF9999"/>
            <w:vAlign w:val="center"/>
          </w:tcPr>
          <w:p w14:paraId="6F681C72" w14:textId="77777777" w:rsidR="00D8392C" w:rsidRDefault="00D8392C" w:rsidP="00F90F5F">
            <w:pPr>
              <w:spacing w:before="120"/>
              <w:jc w:val="center"/>
              <w:rPr>
                <w:sz w:val="16"/>
                <w:szCs w:val="16"/>
              </w:rPr>
            </w:pPr>
            <w:r>
              <w:rPr>
                <w:sz w:val="16"/>
                <w:szCs w:val="16"/>
              </w:rPr>
              <w:t>D</w:t>
            </w:r>
          </w:p>
        </w:tc>
        <w:tc>
          <w:tcPr>
            <w:tcW w:w="720" w:type="dxa"/>
            <w:shd w:val="clear" w:color="auto" w:fill="FF9999"/>
            <w:vAlign w:val="center"/>
          </w:tcPr>
          <w:p w14:paraId="08183AF4" w14:textId="77777777" w:rsidR="00D8392C" w:rsidRDefault="00D8392C" w:rsidP="00F90F5F">
            <w:pPr>
              <w:spacing w:before="120"/>
              <w:jc w:val="center"/>
              <w:rPr>
                <w:sz w:val="16"/>
                <w:szCs w:val="16"/>
              </w:rPr>
            </w:pPr>
            <w:r>
              <w:rPr>
                <w:sz w:val="16"/>
                <w:szCs w:val="16"/>
              </w:rPr>
              <w:t>D</w:t>
            </w:r>
          </w:p>
        </w:tc>
        <w:tc>
          <w:tcPr>
            <w:tcW w:w="882" w:type="dxa"/>
            <w:shd w:val="clear" w:color="auto" w:fill="FF9999"/>
            <w:vAlign w:val="center"/>
          </w:tcPr>
          <w:p w14:paraId="249A47BB" w14:textId="77777777" w:rsidR="00D8392C" w:rsidRDefault="00D8392C" w:rsidP="00F90F5F">
            <w:pPr>
              <w:spacing w:before="120"/>
              <w:jc w:val="center"/>
              <w:rPr>
                <w:sz w:val="16"/>
                <w:szCs w:val="16"/>
              </w:rPr>
            </w:pPr>
            <w:r>
              <w:rPr>
                <w:sz w:val="16"/>
                <w:szCs w:val="16"/>
              </w:rPr>
              <w:t>D</w:t>
            </w:r>
          </w:p>
        </w:tc>
        <w:tc>
          <w:tcPr>
            <w:tcW w:w="774" w:type="dxa"/>
            <w:shd w:val="clear" w:color="auto" w:fill="FFFFCC"/>
            <w:vAlign w:val="center"/>
          </w:tcPr>
          <w:p w14:paraId="4DBEA766" w14:textId="77777777" w:rsidR="00D8392C" w:rsidRDefault="00D8392C" w:rsidP="00F90F5F">
            <w:pPr>
              <w:spacing w:before="120"/>
              <w:jc w:val="center"/>
              <w:rPr>
                <w:sz w:val="16"/>
                <w:szCs w:val="16"/>
              </w:rPr>
            </w:pPr>
            <w:r>
              <w:rPr>
                <w:sz w:val="16"/>
                <w:szCs w:val="16"/>
              </w:rPr>
              <w:t>N</w:t>
            </w:r>
          </w:p>
        </w:tc>
        <w:tc>
          <w:tcPr>
            <w:tcW w:w="774" w:type="dxa"/>
            <w:shd w:val="clear" w:color="auto" w:fill="FF9999"/>
            <w:vAlign w:val="center"/>
          </w:tcPr>
          <w:p w14:paraId="2628E56C" w14:textId="77777777" w:rsidR="00D8392C" w:rsidRDefault="00D8392C" w:rsidP="00F90F5F">
            <w:pPr>
              <w:spacing w:before="120"/>
              <w:jc w:val="center"/>
              <w:rPr>
                <w:sz w:val="16"/>
                <w:szCs w:val="16"/>
              </w:rPr>
            </w:pPr>
            <w:r>
              <w:rPr>
                <w:sz w:val="16"/>
                <w:szCs w:val="16"/>
              </w:rPr>
              <w:t>D</w:t>
            </w:r>
          </w:p>
        </w:tc>
        <w:tc>
          <w:tcPr>
            <w:tcW w:w="774" w:type="dxa"/>
            <w:shd w:val="clear" w:color="auto" w:fill="FFFFCC"/>
            <w:vAlign w:val="center"/>
          </w:tcPr>
          <w:p w14:paraId="09F63342" w14:textId="77777777" w:rsidR="00D8392C" w:rsidRDefault="00D8392C" w:rsidP="00F90F5F">
            <w:pPr>
              <w:spacing w:before="120"/>
              <w:jc w:val="center"/>
              <w:rPr>
                <w:sz w:val="16"/>
                <w:szCs w:val="16"/>
              </w:rPr>
            </w:pPr>
            <w:r>
              <w:rPr>
                <w:sz w:val="16"/>
                <w:szCs w:val="16"/>
              </w:rPr>
              <w:t>N</w:t>
            </w:r>
          </w:p>
        </w:tc>
        <w:tc>
          <w:tcPr>
            <w:tcW w:w="774" w:type="dxa"/>
            <w:shd w:val="clear" w:color="auto" w:fill="92D050"/>
            <w:vAlign w:val="center"/>
          </w:tcPr>
          <w:p w14:paraId="45192858" w14:textId="77777777" w:rsidR="00D8392C" w:rsidRDefault="00D8392C" w:rsidP="00F90F5F">
            <w:pPr>
              <w:spacing w:before="120"/>
              <w:jc w:val="center"/>
              <w:rPr>
                <w:sz w:val="16"/>
                <w:szCs w:val="16"/>
              </w:rPr>
            </w:pPr>
            <w:r>
              <w:rPr>
                <w:sz w:val="16"/>
                <w:szCs w:val="16"/>
              </w:rPr>
              <w:t>I</w:t>
            </w:r>
          </w:p>
        </w:tc>
        <w:tc>
          <w:tcPr>
            <w:tcW w:w="702" w:type="dxa"/>
            <w:shd w:val="clear" w:color="auto" w:fill="92D050"/>
            <w:vAlign w:val="center"/>
          </w:tcPr>
          <w:p w14:paraId="712D88BD" w14:textId="77777777" w:rsidR="00D8392C" w:rsidRDefault="00D8392C" w:rsidP="00F90F5F">
            <w:pPr>
              <w:spacing w:before="120"/>
              <w:jc w:val="center"/>
              <w:rPr>
                <w:sz w:val="16"/>
                <w:szCs w:val="16"/>
              </w:rPr>
            </w:pPr>
            <w:r>
              <w:rPr>
                <w:sz w:val="16"/>
                <w:szCs w:val="16"/>
              </w:rPr>
              <w:t>I</w:t>
            </w:r>
          </w:p>
        </w:tc>
        <w:tc>
          <w:tcPr>
            <w:tcW w:w="720" w:type="dxa"/>
            <w:shd w:val="clear" w:color="auto" w:fill="FFFFCC"/>
            <w:vAlign w:val="center"/>
          </w:tcPr>
          <w:p w14:paraId="7AE3B384" w14:textId="77777777" w:rsidR="00D8392C" w:rsidRDefault="00D8392C" w:rsidP="00F90F5F">
            <w:pPr>
              <w:spacing w:before="120"/>
              <w:jc w:val="center"/>
              <w:rPr>
                <w:sz w:val="16"/>
                <w:szCs w:val="16"/>
              </w:rPr>
            </w:pPr>
            <w:r>
              <w:rPr>
                <w:sz w:val="16"/>
                <w:szCs w:val="16"/>
              </w:rPr>
              <w:t>N</w:t>
            </w:r>
          </w:p>
        </w:tc>
        <w:tc>
          <w:tcPr>
            <w:tcW w:w="900" w:type="dxa"/>
            <w:shd w:val="clear" w:color="auto" w:fill="92D050"/>
            <w:vAlign w:val="center"/>
          </w:tcPr>
          <w:p w14:paraId="0C6ACEB6" w14:textId="77777777" w:rsidR="00D8392C" w:rsidRDefault="00D8392C" w:rsidP="00F90F5F">
            <w:pPr>
              <w:spacing w:before="120"/>
              <w:jc w:val="center"/>
              <w:rPr>
                <w:sz w:val="16"/>
                <w:szCs w:val="16"/>
              </w:rPr>
            </w:pPr>
            <w:r>
              <w:rPr>
                <w:sz w:val="16"/>
                <w:szCs w:val="16"/>
              </w:rPr>
              <w:t>I</w:t>
            </w:r>
          </w:p>
        </w:tc>
      </w:tr>
      <w:tr w:rsidR="00D8392C" w14:paraId="5D27F0D7" w14:textId="77777777" w:rsidTr="00F90F5F">
        <w:tc>
          <w:tcPr>
            <w:tcW w:w="355" w:type="dxa"/>
            <w:vMerge/>
            <w:vAlign w:val="center"/>
          </w:tcPr>
          <w:p w14:paraId="31D61FCF"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7E8F100D" w14:textId="77777777" w:rsidR="00D8392C" w:rsidRDefault="00D8392C" w:rsidP="00F90F5F">
            <w:pPr>
              <w:spacing w:before="120"/>
              <w:rPr>
                <w:sz w:val="16"/>
                <w:szCs w:val="16"/>
              </w:rPr>
            </w:pPr>
            <w:r>
              <w:rPr>
                <w:b/>
                <w:bCs/>
                <w:sz w:val="16"/>
                <w:szCs w:val="16"/>
              </w:rPr>
              <w:t>Snow/ice</w:t>
            </w:r>
          </w:p>
        </w:tc>
        <w:tc>
          <w:tcPr>
            <w:tcW w:w="720" w:type="dxa"/>
            <w:shd w:val="clear" w:color="auto" w:fill="FF9999"/>
            <w:vAlign w:val="center"/>
          </w:tcPr>
          <w:p w14:paraId="5167CA58" w14:textId="77777777" w:rsidR="00D8392C" w:rsidRDefault="00D8392C" w:rsidP="00F90F5F">
            <w:pPr>
              <w:spacing w:before="120"/>
              <w:jc w:val="center"/>
              <w:rPr>
                <w:sz w:val="16"/>
                <w:szCs w:val="16"/>
              </w:rPr>
            </w:pPr>
            <w:r>
              <w:rPr>
                <w:sz w:val="16"/>
                <w:szCs w:val="16"/>
              </w:rPr>
              <w:t>D</w:t>
            </w:r>
          </w:p>
        </w:tc>
        <w:tc>
          <w:tcPr>
            <w:tcW w:w="720" w:type="dxa"/>
            <w:shd w:val="clear" w:color="auto" w:fill="FF9999"/>
            <w:vAlign w:val="center"/>
          </w:tcPr>
          <w:p w14:paraId="15CA631E" w14:textId="77777777" w:rsidR="00D8392C" w:rsidRDefault="00D8392C" w:rsidP="00F90F5F">
            <w:pPr>
              <w:spacing w:before="120"/>
              <w:jc w:val="center"/>
              <w:rPr>
                <w:sz w:val="16"/>
                <w:szCs w:val="16"/>
              </w:rPr>
            </w:pPr>
            <w:r>
              <w:rPr>
                <w:sz w:val="16"/>
                <w:szCs w:val="16"/>
              </w:rPr>
              <w:t>D</w:t>
            </w:r>
          </w:p>
        </w:tc>
        <w:tc>
          <w:tcPr>
            <w:tcW w:w="882" w:type="dxa"/>
            <w:shd w:val="clear" w:color="auto" w:fill="FF9999"/>
            <w:vAlign w:val="center"/>
          </w:tcPr>
          <w:p w14:paraId="104944E0" w14:textId="77777777" w:rsidR="00D8392C" w:rsidRDefault="00D8392C" w:rsidP="00F90F5F">
            <w:pPr>
              <w:spacing w:before="120"/>
              <w:jc w:val="center"/>
              <w:rPr>
                <w:sz w:val="16"/>
                <w:szCs w:val="16"/>
              </w:rPr>
            </w:pPr>
            <w:r>
              <w:rPr>
                <w:sz w:val="16"/>
                <w:szCs w:val="16"/>
              </w:rPr>
              <w:t>D</w:t>
            </w:r>
          </w:p>
        </w:tc>
        <w:tc>
          <w:tcPr>
            <w:tcW w:w="774" w:type="dxa"/>
            <w:shd w:val="clear" w:color="auto" w:fill="FF9999"/>
            <w:vAlign w:val="center"/>
          </w:tcPr>
          <w:p w14:paraId="65E40A15" w14:textId="77777777" w:rsidR="00D8392C" w:rsidRDefault="00D8392C" w:rsidP="00F90F5F">
            <w:pPr>
              <w:spacing w:before="120"/>
              <w:jc w:val="center"/>
              <w:rPr>
                <w:sz w:val="16"/>
                <w:szCs w:val="16"/>
              </w:rPr>
            </w:pPr>
            <w:r>
              <w:rPr>
                <w:sz w:val="16"/>
                <w:szCs w:val="16"/>
              </w:rPr>
              <w:t>D</w:t>
            </w:r>
          </w:p>
        </w:tc>
        <w:tc>
          <w:tcPr>
            <w:tcW w:w="774" w:type="dxa"/>
            <w:shd w:val="clear" w:color="auto" w:fill="FF9999"/>
            <w:vAlign w:val="center"/>
          </w:tcPr>
          <w:p w14:paraId="7863B71E" w14:textId="77777777" w:rsidR="00D8392C" w:rsidRDefault="00D8392C" w:rsidP="00F90F5F">
            <w:pPr>
              <w:spacing w:before="120"/>
              <w:jc w:val="center"/>
              <w:rPr>
                <w:sz w:val="16"/>
                <w:szCs w:val="16"/>
              </w:rPr>
            </w:pPr>
            <w:r>
              <w:rPr>
                <w:sz w:val="16"/>
                <w:szCs w:val="16"/>
              </w:rPr>
              <w:t>D</w:t>
            </w:r>
          </w:p>
        </w:tc>
        <w:tc>
          <w:tcPr>
            <w:tcW w:w="774" w:type="dxa"/>
            <w:shd w:val="clear" w:color="auto" w:fill="FF9999"/>
            <w:vAlign w:val="center"/>
          </w:tcPr>
          <w:p w14:paraId="247504E4" w14:textId="77777777" w:rsidR="00D8392C" w:rsidRDefault="00D8392C" w:rsidP="00F90F5F">
            <w:pPr>
              <w:spacing w:before="120"/>
              <w:jc w:val="center"/>
              <w:rPr>
                <w:sz w:val="16"/>
                <w:szCs w:val="16"/>
              </w:rPr>
            </w:pPr>
            <w:r>
              <w:rPr>
                <w:sz w:val="16"/>
                <w:szCs w:val="16"/>
              </w:rPr>
              <w:t>D</w:t>
            </w:r>
          </w:p>
        </w:tc>
        <w:tc>
          <w:tcPr>
            <w:tcW w:w="774" w:type="dxa"/>
            <w:shd w:val="clear" w:color="auto" w:fill="FFFFCC"/>
            <w:vAlign w:val="center"/>
          </w:tcPr>
          <w:p w14:paraId="38497692" w14:textId="77777777" w:rsidR="00D8392C" w:rsidRDefault="00D8392C" w:rsidP="00F90F5F">
            <w:pPr>
              <w:spacing w:before="120"/>
              <w:jc w:val="center"/>
              <w:rPr>
                <w:sz w:val="16"/>
                <w:szCs w:val="16"/>
              </w:rPr>
            </w:pPr>
            <w:r>
              <w:rPr>
                <w:sz w:val="16"/>
                <w:szCs w:val="16"/>
              </w:rPr>
              <w:t>N</w:t>
            </w:r>
          </w:p>
        </w:tc>
        <w:tc>
          <w:tcPr>
            <w:tcW w:w="702" w:type="dxa"/>
            <w:shd w:val="clear" w:color="auto" w:fill="FF9999"/>
            <w:vAlign w:val="center"/>
          </w:tcPr>
          <w:p w14:paraId="75568D69" w14:textId="77777777" w:rsidR="00D8392C" w:rsidRDefault="00D8392C" w:rsidP="00F90F5F">
            <w:pPr>
              <w:spacing w:before="120"/>
              <w:jc w:val="center"/>
              <w:rPr>
                <w:sz w:val="16"/>
                <w:szCs w:val="16"/>
              </w:rPr>
            </w:pPr>
            <w:r>
              <w:rPr>
                <w:sz w:val="16"/>
                <w:szCs w:val="16"/>
              </w:rPr>
              <w:t>D</w:t>
            </w:r>
          </w:p>
        </w:tc>
        <w:tc>
          <w:tcPr>
            <w:tcW w:w="720" w:type="dxa"/>
            <w:shd w:val="clear" w:color="auto" w:fill="FF9999"/>
            <w:vAlign w:val="center"/>
          </w:tcPr>
          <w:p w14:paraId="147BF533" w14:textId="77777777" w:rsidR="00D8392C" w:rsidRDefault="00D8392C" w:rsidP="00F90F5F">
            <w:pPr>
              <w:spacing w:before="120"/>
              <w:jc w:val="center"/>
              <w:rPr>
                <w:sz w:val="16"/>
                <w:szCs w:val="16"/>
              </w:rPr>
            </w:pPr>
            <w:r>
              <w:rPr>
                <w:sz w:val="16"/>
                <w:szCs w:val="16"/>
              </w:rPr>
              <w:t>D</w:t>
            </w:r>
          </w:p>
        </w:tc>
        <w:tc>
          <w:tcPr>
            <w:tcW w:w="900" w:type="dxa"/>
            <w:shd w:val="clear" w:color="auto" w:fill="FF9999"/>
            <w:vAlign w:val="center"/>
          </w:tcPr>
          <w:p w14:paraId="727A6956" w14:textId="77777777" w:rsidR="00D8392C" w:rsidRDefault="00D8392C" w:rsidP="00F90F5F">
            <w:pPr>
              <w:spacing w:before="120"/>
              <w:jc w:val="center"/>
              <w:rPr>
                <w:sz w:val="16"/>
                <w:szCs w:val="16"/>
              </w:rPr>
            </w:pPr>
            <w:r>
              <w:rPr>
                <w:sz w:val="16"/>
                <w:szCs w:val="16"/>
              </w:rPr>
              <w:t>D</w:t>
            </w:r>
          </w:p>
        </w:tc>
      </w:tr>
      <w:tr w:rsidR="00D8392C" w14:paraId="6AF99953" w14:textId="77777777" w:rsidTr="00F90F5F">
        <w:tc>
          <w:tcPr>
            <w:tcW w:w="355" w:type="dxa"/>
            <w:vMerge/>
            <w:vAlign w:val="center"/>
          </w:tcPr>
          <w:p w14:paraId="604F57D2"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5EE90CD2" w14:textId="77777777" w:rsidR="00D8392C" w:rsidRDefault="00D8392C" w:rsidP="00F90F5F">
            <w:pPr>
              <w:spacing w:before="120"/>
              <w:rPr>
                <w:sz w:val="16"/>
                <w:szCs w:val="16"/>
              </w:rPr>
            </w:pPr>
            <w:r>
              <w:rPr>
                <w:b/>
                <w:bCs/>
                <w:sz w:val="16"/>
                <w:szCs w:val="16"/>
              </w:rPr>
              <w:t>Tree cover</w:t>
            </w:r>
          </w:p>
        </w:tc>
        <w:tc>
          <w:tcPr>
            <w:tcW w:w="720" w:type="dxa"/>
            <w:shd w:val="clear" w:color="auto" w:fill="FF9999"/>
            <w:vAlign w:val="center"/>
          </w:tcPr>
          <w:p w14:paraId="2D9DC5F5" w14:textId="77777777" w:rsidR="00D8392C" w:rsidRDefault="00D8392C" w:rsidP="00F90F5F">
            <w:pPr>
              <w:spacing w:before="120"/>
              <w:jc w:val="center"/>
              <w:rPr>
                <w:sz w:val="16"/>
                <w:szCs w:val="16"/>
              </w:rPr>
            </w:pPr>
            <w:r>
              <w:rPr>
                <w:sz w:val="16"/>
                <w:szCs w:val="16"/>
              </w:rPr>
              <w:t>D</w:t>
            </w:r>
          </w:p>
        </w:tc>
        <w:tc>
          <w:tcPr>
            <w:tcW w:w="720" w:type="dxa"/>
            <w:shd w:val="clear" w:color="auto" w:fill="FF9999"/>
            <w:vAlign w:val="center"/>
          </w:tcPr>
          <w:p w14:paraId="18C0108A" w14:textId="77777777" w:rsidR="00D8392C" w:rsidRDefault="00D8392C" w:rsidP="00F90F5F">
            <w:pPr>
              <w:spacing w:before="120"/>
              <w:jc w:val="center"/>
              <w:rPr>
                <w:sz w:val="16"/>
                <w:szCs w:val="16"/>
              </w:rPr>
            </w:pPr>
            <w:r>
              <w:rPr>
                <w:sz w:val="16"/>
                <w:szCs w:val="16"/>
              </w:rPr>
              <w:t>D</w:t>
            </w:r>
          </w:p>
        </w:tc>
        <w:tc>
          <w:tcPr>
            <w:tcW w:w="882" w:type="dxa"/>
            <w:shd w:val="clear" w:color="auto" w:fill="FF9999"/>
            <w:vAlign w:val="center"/>
          </w:tcPr>
          <w:p w14:paraId="1B472B04" w14:textId="77777777" w:rsidR="00D8392C" w:rsidRDefault="00D8392C" w:rsidP="00F90F5F">
            <w:pPr>
              <w:spacing w:before="120"/>
              <w:jc w:val="center"/>
              <w:rPr>
                <w:sz w:val="16"/>
                <w:szCs w:val="16"/>
              </w:rPr>
            </w:pPr>
            <w:r>
              <w:rPr>
                <w:sz w:val="16"/>
                <w:szCs w:val="16"/>
              </w:rPr>
              <w:t>D</w:t>
            </w:r>
          </w:p>
        </w:tc>
        <w:tc>
          <w:tcPr>
            <w:tcW w:w="774" w:type="dxa"/>
            <w:shd w:val="clear" w:color="auto" w:fill="FFFFCC"/>
            <w:vAlign w:val="center"/>
          </w:tcPr>
          <w:p w14:paraId="144A0ABA" w14:textId="77777777" w:rsidR="00D8392C" w:rsidRDefault="00D8392C" w:rsidP="00F90F5F">
            <w:pPr>
              <w:spacing w:before="120"/>
              <w:jc w:val="center"/>
              <w:rPr>
                <w:sz w:val="16"/>
                <w:szCs w:val="16"/>
              </w:rPr>
            </w:pPr>
            <w:r>
              <w:rPr>
                <w:sz w:val="16"/>
                <w:szCs w:val="16"/>
              </w:rPr>
              <w:t>N</w:t>
            </w:r>
          </w:p>
        </w:tc>
        <w:tc>
          <w:tcPr>
            <w:tcW w:w="774" w:type="dxa"/>
            <w:shd w:val="clear" w:color="auto" w:fill="FF9999"/>
            <w:vAlign w:val="center"/>
          </w:tcPr>
          <w:p w14:paraId="778A45FA" w14:textId="77777777" w:rsidR="00D8392C" w:rsidRDefault="00D8392C" w:rsidP="00F90F5F">
            <w:pPr>
              <w:spacing w:before="120"/>
              <w:jc w:val="center"/>
              <w:rPr>
                <w:sz w:val="16"/>
                <w:szCs w:val="16"/>
              </w:rPr>
            </w:pPr>
            <w:r>
              <w:rPr>
                <w:sz w:val="16"/>
                <w:szCs w:val="16"/>
              </w:rPr>
              <w:t>D</w:t>
            </w:r>
          </w:p>
        </w:tc>
        <w:tc>
          <w:tcPr>
            <w:tcW w:w="774" w:type="dxa"/>
            <w:shd w:val="clear" w:color="auto" w:fill="FF9999"/>
            <w:vAlign w:val="center"/>
          </w:tcPr>
          <w:p w14:paraId="0EAB81CF" w14:textId="77777777" w:rsidR="00D8392C" w:rsidRDefault="00D8392C" w:rsidP="00F90F5F">
            <w:pPr>
              <w:spacing w:before="120"/>
              <w:jc w:val="center"/>
              <w:rPr>
                <w:sz w:val="16"/>
                <w:szCs w:val="16"/>
              </w:rPr>
            </w:pPr>
            <w:r>
              <w:rPr>
                <w:sz w:val="16"/>
                <w:szCs w:val="16"/>
              </w:rPr>
              <w:t>D</w:t>
            </w:r>
          </w:p>
        </w:tc>
        <w:tc>
          <w:tcPr>
            <w:tcW w:w="774" w:type="dxa"/>
            <w:shd w:val="clear" w:color="auto" w:fill="92D050"/>
            <w:vAlign w:val="center"/>
          </w:tcPr>
          <w:p w14:paraId="649F8A95" w14:textId="77777777" w:rsidR="00D8392C" w:rsidRDefault="00D8392C" w:rsidP="00F90F5F">
            <w:pPr>
              <w:spacing w:before="120"/>
              <w:jc w:val="center"/>
              <w:rPr>
                <w:sz w:val="16"/>
                <w:szCs w:val="16"/>
              </w:rPr>
            </w:pPr>
            <w:r>
              <w:rPr>
                <w:sz w:val="16"/>
                <w:szCs w:val="16"/>
              </w:rPr>
              <w:t>I</w:t>
            </w:r>
          </w:p>
        </w:tc>
        <w:tc>
          <w:tcPr>
            <w:tcW w:w="702" w:type="dxa"/>
            <w:shd w:val="clear" w:color="auto" w:fill="FFFFCC"/>
            <w:vAlign w:val="center"/>
          </w:tcPr>
          <w:p w14:paraId="579472A9" w14:textId="77777777" w:rsidR="00D8392C" w:rsidRDefault="00D8392C" w:rsidP="00F90F5F">
            <w:pPr>
              <w:spacing w:before="120"/>
              <w:jc w:val="center"/>
              <w:rPr>
                <w:sz w:val="16"/>
                <w:szCs w:val="16"/>
              </w:rPr>
            </w:pPr>
            <w:r>
              <w:rPr>
                <w:sz w:val="16"/>
                <w:szCs w:val="16"/>
              </w:rPr>
              <w:t>N</w:t>
            </w:r>
          </w:p>
        </w:tc>
        <w:tc>
          <w:tcPr>
            <w:tcW w:w="720" w:type="dxa"/>
            <w:shd w:val="clear" w:color="auto" w:fill="FFFFCC"/>
            <w:vAlign w:val="center"/>
          </w:tcPr>
          <w:p w14:paraId="74FF92E3" w14:textId="77777777" w:rsidR="00D8392C" w:rsidRDefault="00D8392C" w:rsidP="00F90F5F">
            <w:pPr>
              <w:spacing w:before="120"/>
              <w:jc w:val="center"/>
              <w:rPr>
                <w:sz w:val="16"/>
                <w:szCs w:val="16"/>
              </w:rPr>
            </w:pPr>
            <w:r>
              <w:rPr>
                <w:sz w:val="16"/>
                <w:szCs w:val="16"/>
              </w:rPr>
              <w:t>N</w:t>
            </w:r>
          </w:p>
        </w:tc>
        <w:tc>
          <w:tcPr>
            <w:tcW w:w="900" w:type="dxa"/>
            <w:shd w:val="clear" w:color="auto" w:fill="FF9999"/>
            <w:vAlign w:val="center"/>
          </w:tcPr>
          <w:p w14:paraId="0BB2F1F9" w14:textId="77777777" w:rsidR="00D8392C" w:rsidRDefault="00D8392C" w:rsidP="00F90F5F">
            <w:pPr>
              <w:spacing w:before="120"/>
              <w:jc w:val="center"/>
              <w:rPr>
                <w:sz w:val="16"/>
                <w:szCs w:val="16"/>
              </w:rPr>
            </w:pPr>
            <w:r>
              <w:rPr>
                <w:sz w:val="16"/>
                <w:szCs w:val="16"/>
              </w:rPr>
              <w:t>D</w:t>
            </w:r>
          </w:p>
        </w:tc>
      </w:tr>
      <w:tr w:rsidR="00D8392C" w14:paraId="0EA8A0DD" w14:textId="77777777" w:rsidTr="00F90F5F">
        <w:tc>
          <w:tcPr>
            <w:tcW w:w="355" w:type="dxa"/>
            <w:vMerge/>
            <w:vAlign w:val="center"/>
          </w:tcPr>
          <w:p w14:paraId="047BE404"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1FE71F6F" w14:textId="77777777" w:rsidR="00D8392C" w:rsidRDefault="00D8392C" w:rsidP="00F90F5F">
            <w:pPr>
              <w:spacing w:before="120"/>
              <w:rPr>
                <w:sz w:val="16"/>
                <w:szCs w:val="16"/>
              </w:rPr>
            </w:pPr>
            <w:r>
              <w:rPr>
                <w:b/>
                <w:bCs/>
                <w:sz w:val="16"/>
                <w:szCs w:val="16"/>
              </w:rPr>
              <w:t>Water</w:t>
            </w:r>
          </w:p>
        </w:tc>
        <w:tc>
          <w:tcPr>
            <w:tcW w:w="720" w:type="dxa"/>
            <w:shd w:val="clear" w:color="auto" w:fill="FF9999"/>
            <w:vAlign w:val="center"/>
          </w:tcPr>
          <w:p w14:paraId="00AD9EB9" w14:textId="77777777" w:rsidR="00D8392C" w:rsidRDefault="00D8392C" w:rsidP="00F90F5F">
            <w:pPr>
              <w:spacing w:before="120"/>
              <w:jc w:val="center"/>
              <w:rPr>
                <w:sz w:val="16"/>
                <w:szCs w:val="16"/>
              </w:rPr>
            </w:pPr>
            <w:r>
              <w:rPr>
                <w:sz w:val="16"/>
                <w:szCs w:val="16"/>
              </w:rPr>
              <w:t>D</w:t>
            </w:r>
          </w:p>
        </w:tc>
        <w:tc>
          <w:tcPr>
            <w:tcW w:w="720" w:type="dxa"/>
            <w:shd w:val="clear" w:color="auto" w:fill="FF9999"/>
            <w:vAlign w:val="center"/>
          </w:tcPr>
          <w:p w14:paraId="1FAED7EE" w14:textId="77777777" w:rsidR="00D8392C" w:rsidRDefault="00D8392C" w:rsidP="00F90F5F">
            <w:pPr>
              <w:spacing w:before="120"/>
              <w:jc w:val="center"/>
              <w:rPr>
                <w:sz w:val="16"/>
                <w:szCs w:val="16"/>
              </w:rPr>
            </w:pPr>
            <w:r>
              <w:rPr>
                <w:sz w:val="16"/>
                <w:szCs w:val="16"/>
              </w:rPr>
              <w:t>D</w:t>
            </w:r>
          </w:p>
        </w:tc>
        <w:tc>
          <w:tcPr>
            <w:tcW w:w="882" w:type="dxa"/>
            <w:shd w:val="clear" w:color="auto" w:fill="FF9999"/>
            <w:vAlign w:val="center"/>
          </w:tcPr>
          <w:p w14:paraId="119E8C33" w14:textId="77777777" w:rsidR="00D8392C" w:rsidRDefault="00D8392C" w:rsidP="00F90F5F">
            <w:pPr>
              <w:spacing w:before="120"/>
              <w:jc w:val="center"/>
              <w:rPr>
                <w:sz w:val="16"/>
                <w:szCs w:val="16"/>
              </w:rPr>
            </w:pPr>
            <w:r>
              <w:rPr>
                <w:sz w:val="16"/>
                <w:szCs w:val="16"/>
              </w:rPr>
              <w:t>D</w:t>
            </w:r>
          </w:p>
        </w:tc>
        <w:tc>
          <w:tcPr>
            <w:tcW w:w="774" w:type="dxa"/>
            <w:shd w:val="clear" w:color="auto" w:fill="FFFFCC"/>
            <w:vAlign w:val="center"/>
          </w:tcPr>
          <w:p w14:paraId="0A752B21" w14:textId="77777777" w:rsidR="00D8392C" w:rsidRDefault="00D8392C" w:rsidP="00F90F5F">
            <w:pPr>
              <w:spacing w:before="120"/>
              <w:jc w:val="center"/>
              <w:rPr>
                <w:sz w:val="16"/>
                <w:szCs w:val="16"/>
              </w:rPr>
            </w:pPr>
            <w:r>
              <w:rPr>
                <w:sz w:val="16"/>
                <w:szCs w:val="16"/>
              </w:rPr>
              <w:t>N</w:t>
            </w:r>
          </w:p>
        </w:tc>
        <w:tc>
          <w:tcPr>
            <w:tcW w:w="774" w:type="dxa"/>
            <w:shd w:val="clear" w:color="auto" w:fill="FF9999"/>
            <w:vAlign w:val="center"/>
          </w:tcPr>
          <w:p w14:paraId="4C043B5C" w14:textId="77777777" w:rsidR="00D8392C" w:rsidRDefault="00D8392C" w:rsidP="00F90F5F">
            <w:pPr>
              <w:spacing w:before="120"/>
              <w:jc w:val="center"/>
              <w:rPr>
                <w:sz w:val="16"/>
                <w:szCs w:val="16"/>
              </w:rPr>
            </w:pPr>
            <w:r>
              <w:rPr>
                <w:sz w:val="16"/>
                <w:szCs w:val="16"/>
              </w:rPr>
              <w:t>D</w:t>
            </w:r>
          </w:p>
        </w:tc>
        <w:tc>
          <w:tcPr>
            <w:tcW w:w="774" w:type="dxa"/>
            <w:shd w:val="clear" w:color="auto" w:fill="FF9999"/>
            <w:vAlign w:val="center"/>
          </w:tcPr>
          <w:p w14:paraId="59661A9D" w14:textId="77777777" w:rsidR="00D8392C" w:rsidRDefault="00D8392C" w:rsidP="00F90F5F">
            <w:pPr>
              <w:spacing w:before="120"/>
              <w:jc w:val="center"/>
              <w:rPr>
                <w:sz w:val="16"/>
                <w:szCs w:val="16"/>
              </w:rPr>
            </w:pPr>
            <w:r>
              <w:rPr>
                <w:sz w:val="16"/>
                <w:szCs w:val="16"/>
              </w:rPr>
              <w:t>D</w:t>
            </w:r>
          </w:p>
        </w:tc>
        <w:tc>
          <w:tcPr>
            <w:tcW w:w="774" w:type="dxa"/>
            <w:shd w:val="clear" w:color="auto" w:fill="92D050"/>
            <w:vAlign w:val="center"/>
          </w:tcPr>
          <w:p w14:paraId="3D17E7A1" w14:textId="77777777" w:rsidR="00D8392C" w:rsidRDefault="00D8392C" w:rsidP="00F90F5F">
            <w:pPr>
              <w:spacing w:before="120"/>
              <w:jc w:val="center"/>
              <w:rPr>
                <w:sz w:val="16"/>
                <w:szCs w:val="16"/>
              </w:rPr>
            </w:pPr>
            <w:r>
              <w:rPr>
                <w:sz w:val="16"/>
                <w:szCs w:val="16"/>
              </w:rPr>
              <w:t>I</w:t>
            </w:r>
          </w:p>
        </w:tc>
        <w:tc>
          <w:tcPr>
            <w:tcW w:w="702" w:type="dxa"/>
            <w:shd w:val="clear" w:color="auto" w:fill="FF9999"/>
            <w:vAlign w:val="center"/>
          </w:tcPr>
          <w:p w14:paraId="591DE939" w14:textId="77777777" w:rsidR="00D8392C" w:rsidRDefault="00D8392C" w:rsidP="00F90F5F">
            <w:pPr>
              <w:spacing w:before="120"/>
              <w:jc w:val="center"/>
              <w:rPr>
                <w:sz w:val="16"/>
                <w:szCs w:val="16"/>
              </w:rPr>
            </w:pPr>
            <w:r>
              <w:rPr>
                <w:sz w:val="16"/>
                <w:szCs w:val="16"/>
              </w:rPr>
              <w:t>D</w:t>
            </w:r>
          </w:p>
        </w:tc>
        <w:tc>
          <w:tcPr>
            <w:tcW w:w="720" w:type="dxa"/>
            <w:shd w:val="clear" w:color="auto" w:fill="FFFFCC"/>
            <w:vAlign w:val="center"/>
          </w:tcPr>
          <w:p w14:paraId="6B891276" w14:textId="77777777" w:rsidR="00D8392C" w:rsidRDefault="00D8392C" w:rsidP="00F90F5F">
            <w:pPr>
              <w:spacing w:before="120"/>
              <w:jc w:val="center"/>
              <w:rPr>
                <w:sz w:val="16"/>
                <w:szCs w:val="16"/>
              </w:rPr>
            </w:pPr>
            <w:r>
              <w:rPr>
                <w:sz w:val="16"/>
                <w:szCs w:val="16"/>
              </w:rPr>
              <w:t>N</w:t>
            </w:r>
          </w:p>
        </w:tc>
        <w:tc>
          <w:tcPr>
            <w:tcW w:w="900" w:type="dxa"/>
            <w:shd w:val="clear" w:color="auto" w:fill="FFFFCC"/>
            <w:vAlign w:val="center"/>
          </w:tcPr>
          <w:p w14:paraId="04962225" w14:textId="77777777" w:rsidR="00D8392C" w:rsidRDefault="00D8392C" w:rsidP="00F90F5F">
            <w:pPr>
              <w:spacing w:before="120"/>
              <w:jc w:val="center"/>
              <w:rPr>
                <w:sz w:val="16"/>
                <w:szCs w:val="16"/>
              </w:rPr>
            </w:pPr>
            <w:r>
              <w:rPr>
                <w:sz w:val="16"/>
                <w:szCs w:val="16"/>
              </w:rPr>
              <w:t>N</w:t>
            </w:r>
          </w:p>
        </w:tc>
      </w:tr>
      <w:tr w:rsidR="00D8392C" w14:paraId="7D9835AA" w14:textId="77777777" w:rsidTr="00F90F5F">
        <w:tc>
          <w:tcPr>
            <w:tcW w:w="355" w:type="dxa"/>
            <w:vMerge/>
            <w:vAlign w:val="center"/>
          </w:tcPr>
          <w:p w14:paraId="762FF355" w14:textId="77777777" w:rsidR="00D8392C" w:rsidRDefault="00D8392C" w:rsidP="00F90F5F">
            <w:pPr>
              <w:widowControl w:val="0"/>
              <w:pBdr>
                <w:top w:val="nil"/>
                <w:left w:val="nil"/>
                <w:bottom w:val="nil"/>
                <w:right w:val="nil"/>
                <w:between w:val="nil"/>
              </w:pBdr>
              <w:spacing w:line="276" w:lineRule="auto"/>
              <w:jc w:val="left"/>
              <w:rPr>
                <w:sz w:val="16"/>
                <w:szCs w:val="16"/>
              </w:rPr>
            </w:pPr>
          </w:p>
        </w:tc>
        <w:tc>
          <w:tcPr>
            <w:tcW w:w="1350" w:type="dxa"/>
            <w:vAlign w:val="bottom"/>
          </w:tcPr>
          <w:p w14:paraId="2896F4CC" w14:textId="77777777" w:rsidR="00D8392C" w:rsidRDefault="00D8392C" w:rsidP="00F90F5F">
            <w:pPr>
              <w:spacing w:before="120"/>
              <w:rPr>
                <w:sz w:val="16"/>
                <w:szCs w:val="16"/>
              </w:rPr>
            </w:pPr>
            <w:r>
              <w:rPr>
                <w:b/>
                <w:bCs/>
                <w:sz w:val="16"/>
                <w:szCs w:val="16"/>
              </w:rPr>
              <w:t>Wetland</w:t>
            </w:r>
          </w:p>
        </w:tc>
        <w:tc>
          <w:tcPr>
            <w:tcW w:w="720" w:type="dxa"/>
            <w:shd w:val="clear" w:color="auto" w:fill="FF9999"/>
            <w:vAlign w:val="center"/>
          </w:tcPr>
          <w:p w14:paraId="423A05C2" w14:textId="77777777" w:rsidR="00D8392C" w:rsidRDefault="00D8392C" w:rsidP="00F90F5F">
            <w:pPr>
              <w:spacing w:before="120"/>
              <w:jc w:val="center"/>
              <w:rPr>
                <w:sz w:val="16"/>
                <w:szCs w:val="16"/>
              </w:rPr>
            </w:pPr>
            <w:r>
              <w:rPr>
                <w:sz w:val="16"/>
                <w:szCs w:val="16"/>
              </w:rPr>
              <w:t>D</w:t>
            </w:r>
          </w:p>
        </w:tc>
        <w:tc>
          <w:tcPr>
            <w:tcW w:w="720" w:type="dxa"/>
            <w:shd w:val="clear" w:color="auto" w:fill="FF9999"/>
            <w:vAlign w:val="center"/>
          </w:tcPr>
          <w:p w14:paraId="46FBC08A" w14:textId="77777777" w:rsidR="00D8392C" w:rsidRDefault="00D8392C" w:rsidP="00F90F5F">
            <w:pPr>
              <w:spacing w:before="120"/>
              <w:jc w:val="center"/>
              <w:rPr>
                <w:sz w:val="16"/>
                <w:szCs w:val="16"/>
              </w:rPr>
            </w:pPr>
            <w:r>
              <w:rPr>
                <w:sz w:val="16"/>
                <w:szCs w:val="16"/>
              </w:rPr>
              <w:t>D</w:t>
            </w:r>
          </w:p>
        </w:tc>
        <w:tc>
          <w:tcPr>
            <w:tcW w:w="882" w:type="dxa"/>
            <w:shd w:val="clear" w:color="auto" w:fill="FF9999"/>
            <w:vAlign w:val="center"/>
          </w:tcPr>
          <w:p w14:paraId="43163889" w14:textId="77777777" w:rsidR="00D8392C" w:rsidRDefault="00D8392C" w:rsidP="00F90F5F">
            <w:pPr>
              <w:spacing w:before="120"/>
              <w:jc w:val="center"/>
              <w:rPr>
                <w:sz w:val="16"/>
                <w:szCs w:val="16"/>
              </w:rPr>
            </w:pPr>
            <w:r>
              <w:rPr>
                <w:sz w:val="16"/>
                <w:szCs w:val="16"/>
              </w:rPr>
              <w:t>D</w:t>
            </w:r>
          </w:p>
        </w:tc>
        <w:tc>
          <w:tcPr>
            <w:tcW w:w="774" w:type="dxa"/>
            <w:shd w:val="clear" w:color="auto" w:fill="FFFFCC"/>
            <w:vAlign w:val="center"/>
          </w:tcPr>
          <w:p w14:paraId="4683C7C5" w14:textId="77777777" w:rsidR="00D8392C" w:rsidRDefault="00D8392C" w:rsidP="00F90F5F">
            <w:pPr>
              <w:spacing w:before="120"/>
              <w:jc w:val="center"/>
              <w:rPr>
                <w:sz w:val="16"/>
                <w:szCs w:val="16"/>
              </w:rPr>
            </w:pPr>
            <w:r>
              <w:rPr>
                <w:sz w:val="16"/>
                <w:szCs w:val="16"/>
              </w:rPr>
              <w:t>N</w:t>
            </w:r>
          </w:p>
        </w:tc>
        <w:tc>
          <w:tcPr>
            <w:tcW w:w="774" w:type="dxa"/>
            <w:shd w:val="clear" w:color="auto" w:fill="FF9999"/>
            <w:vAlign w:val="center"/>
          </w:tcPr>
          <w:p w14:paraId="4893AEE7" w14:textId="77777777" w:rsidR="00D8392C" w:rsidRDefault="00D8392C" w:rsidP="00F90F5F">
            <w:pPr>
              <w:spacing w:before="120"/>
              <w:jc w:val="center"/>
              <w:rPr>
                <w:sz w:val="16"/>
                <w:szCs w:val="16"/>
              </w:rPr>
            </w:pPr>
            <w:r>
              <w:rPr>
                <w:sz w:val="16"/>
                <w:szCs w:val="16"/>
              </w:rPr>
              <w:t>D</w:t>
            </w:r>
          </w:p>
        </w:tc>
        <w:tc>
          <w:tcPr>
            <w:tcW w:w="774" w:type="dxa"/>
            <w:shd w:val="clear" w:color="auto" w:fill="FF9999"/>
            <w:vAlign w:val="center"/>
          </w:tcPr>
          <w:p w14:paraId="64A9A1B1" w14:textId="77777777" w:rsidR="00D8392C" w:rsidRDefault="00D8392C" w:rsidP="00F90F5F">
            <w:pPr>
              <w:spacing w:before="120"/>
              <w:jc w:val="center"/>
              <w:rPr>
                <w:sz w:val="16"/>
                <w:szCs w:val="16"/>
              </w:rPr>
            </w:pPr>
            <w:r>
              <w:rPr>
                <w:sz w:val="16"/>
                <w:szCs w:val="16"/>
              </w:rPr>
              <w:t>D</w:t>
            </w:r>
          </w:p>
        </w:tc>
        <w:tc>
          <w:tcPr>
            <w:tcW w:w="774" w:type="dxa"/>
            <w:shd w:val="clear" w:color="auto" w:fill="92D050"/>
            <w:vAlign w:val="center"/>
          </w:tcPr>
          <w:p w14:paraId="5AACF1F8" w14:textId="77777777" w:rsidR="00D8392C" w:rsidRDefault="00D8392C" w:rsidP="00F90F5F">
            <w:pPr>
              <w:spacing w:before="120"/>
              <w:jc w:val="center"/>
              <w:rPr>
                <w:sz w:val="16"/>
                <w:szCs w:val="16"/>
              </w:rPr>
            </w:pPr>
            <w:r>
              <w:rPr>
                <w:sz w:val="16"/>
                <w:szCs w:val="16"/>
              </w:rPr>
              <w:t>I</w:t>
            </w:r>
          </w:p>
        </w:tc>
        <w:tc>
          <w:tcPr>
            <w:tcW w:w="702" w:type="dxa"/>
            <w:shd w:val="clear" w:color="auto" w:fill="FF9999"/>
            <w:vAlign w:val="center"/>
          </w:tcPr>
          <w:p w14:paraId="37CB9BCC" w14:textId="77777777" w:rsidR="00D8392C" w:rsidRDefault="00D8392C" w:rsidP="00F90F5F">
            <w:pPr>
              <w:spacing w:before="120"/>
              <w:jc w:val="center"/>
              <w:rPr>
                <w:sz w:val="16"/>
                <w:szCs w:val="16"/>
              </w:rPr>
            </w:pPr>
            <w:r>
              <w:rPr>
                <w:sz w:val="16"/>
                <w:szCs w:val="16"/>
              </w:rPr>
              <w:t>D</w:t>
            </w:r>
          </w:p>
        </w:tc>
        <w:tc>
          <w:tcPr>
            <w:tcW w:w="720" w:type="dxa"/>
            <w:shd w:val="clear" w:color="auto" w:fill="FFFFCC"/>
            <w:vAlign w:val="center"/>
          </w:tcPr>
          <w:p w14:paraId="1924BFBF" w14:textId="77777777" w:rsidR="00D8392C" w:rsidRDefault="00D8392C" w:rsidP="00F90F5F">
            <w:pPr>
              <w:spacing w:before="120"/>
              <w:jc w:val="center"/>
              <w:rPr>
                <w:sz w:val="16"/>
                <w:szCs w:val="16"/>
              </w:rPr>
            </w:pPr>
            <w:r>
              <w:rPr>
                <w:sz w:val="16"/>
                <w:szCs w:val="16"/>
              </w:rPr>
              <w:t>N</w:t>
            </w:r>
          </w:p>
        </w:tc>
        <w:tc>
          <w:tcPr>
            <w:tcW w:w="900" w:type="dxa"/>
            <w:shd w:val="clear" w:color="auto" w:fill="FFFFCC"/>
            <w:vAlign w:val="center"/>
          </w:tcPr>
          <w:p w14:paraId="31DCC5AC" w14:textId="77777777" w:rsidR="00D8392C" w:rsidRDefault="00D8392C" w:rsidP="00F90F5F">
            <w:pPr>
              <w:spacing w:before="120"/>
              <w:jc w:val="center"/>
              <w:rPr>
                <w:sz w:val="16"/>
                <w:szCs w:val="16"/>
              </w:rPr>
            </w:pPr>
            <w:r>
              <w:rPr>
                <w:sz w:val="16"/>
                <w:szCs w:val="16"/>
              </w:rPr>
              <w:t>N</w:t>
            </w:r>
          </w:p>
        </w:tc>
      </w:tr>
    </w:tbl>
    <w:p w14:paraId="534FC753" w14:textId="77777777" w:rsidR="00D8392C" w:rsidRDefault="00D8392C" w:rsidP="00D8392C">
      <w:pPr>
        <w:spacing w:before="120"/>
      </w:pPr>
    </w:p>
    <w:p w14:paraId="0A68C320" w14:textId="7D48848B" w:rsidR="00F83AF8" w:rsidRPr="00812871" w:rsidRDefault="00D8392C" w:rsidP="00812871">
      <w:pPr>
        <w:pStyle w:val="CBDNormalNumber"/>
        <w:numPr>
          <w:ilvl w:val="0"/>
          <w:numId w:val="156"/>
        </w:numPr>
        <w:shd w:val="clear" w:color="auto" w:fill="FFFFFF"/>
        <w:tabs>
          <w:tab w:val="clear" w:pos="1701"/>
        </w:tabs>
        <w:ind w:left="567" w:firstLine="0"/>
        <w:rPr>
          <w:color w:val="000000"/>
        </w:rPr>
      </w:pPr>
      <w:r w:rsidRPr="00812871">
        <w:rPr>
          <w:color w:val="000000"/>
        </w:rPr>
        <w:t xml:space="preserve">Comments: Two stages are proposed related to data availability and accuracy (with stage 2 the ideal scenario): </w:t>
      </w:r>
    </w:p>
    <w:p w14:paraId="7D57CB21" w14:textId="6211CBEB" w:rsidR="00F83AF8" w:rsidRDefault="00D8392C" w:rsidP="00812871">
      <w:pPr>
        <w:pStyle w:val="CBDNormalNumber"/>
        <w:numPr>
          <w:ilvl w:val="1"/>
          <w:numId w:val="156"/>
        </w:numPr>
        <w:shd w:val="clear" w:color="auto" w:fill="FFFFFF"/>
        <w:tabs>
          <w:tab w:val="clear" w:pos="1701"/>
        </w:tabs>
      </w:pPr>
      <w:r>
        <w:t>Stage 1 is based on numerical, statistical data (including secondary data)</w:t>
      </w:r>
    </w:p>
    <w:p w14:paraId="01BDC3DE" w14:textId="77777777" w:rsidR="00D8392C" w:rsidRDefault="00D8392C" w:rsidP="00812871">
      <w:pPr>
        <w:pStyle w:val="CBDNormalNumber"/>
        <w:numPr>
          <w:ilvl w:val="1"/>
          <w:numId w:val="156"/>
        </w:numPr>
        <w:shd w:val="clear" w:color="auto" w:fill="FFFFFF"/>
        <w:tabs>
          <w:tab w:val="clear" w:pos="1701"/>
        </w:tabs>
      </w:pPr>
      <w:r>
        <w:t xml:space="preserve">Stage 2 is based on georeferenced map data </w:t>
      </w:r>
    </w:p>
    <w:p w14:paraId="3E98B22F" w14:textId="1189FC2F" w:rsidR="00D8392C" w:rsidRPr="00812871" w:rsidRDefault="00D8392C" w:rsidP="00812871">
      <w:pPr>
        <w:spacing w:before="100"/>
        <w:ind w:left="720"/>
        <w:jc w:val="both"/>
        <w:rPr>
          <w:rFonts w:eastAsia="SimSun"/>
          <w:color w:val="000000"/>
          <w:sz w:val="22"/>
          <w:szCs w:val="22"/>
          <w:lang w:val="en-GB"/>
        </w:rPr>
      </w:pPr>
      <w:r w:rsidRPr="00812871">
        <w:rPr>
          <w:rFonts w:eastAsia="SimSun"/>
          <w:color w:val="000000"/>
          <w:sz w:val="22"/>
          <w:szCs w:val="22"/>
          <w:lang w:val="en-GB"/>
        </w:rPr>
        <w:t>Limitations of an area-based indicator include the degree of disaggregation possible (for example age and sex disaggregation is not possible).</w:t>
      </w:r>
    </w:p>
    <w:p w14:paraId="02F884A7" w14:textId="77777777" w:rsidR="00D8392C" w:rsidRDefault="00D8392C" w:rsidP="00D8392C">
      <w:pPr>
        <w:spacing w:before="100"/>
      </w:pPr>
    </w:p>
    <w:tbl>
      <w:tblPr>
        <w:tblStyle w:val="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4"/>
        <w:gridCol w:w="6532"/>
      </w:tblGrid>
      <w:tr w:rsidR="00D8392C" w14:paraId="13B60166" w14:textId="77777777" w:rsidTr="00F90F5F">
        <w:trPr>
          <w:trHeight w:val="487"/>
        </w:trPr>
        <w:tc>
          <w:tcPr>
            <w:tcW w:w="248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1305AA66" w14:textId="77777777" w:rsidR="00D8392C" w:rsidRDefault="00D8392C" w:rsidP="00F90F5F">
            <w:pPr>
              <w:spacing w:after="200" w:line="276" w:lineRule="auto"/>
              <w:jc w:val="left"/>
              <w:rPr>
                <w:b/>
                <w:bCs/>
                <w:color w:val="FFFFFF"/>
                <w:sz w:val="20"/>
                <w:szCs w:val="20"/>
              </w:rPr>
            </w:pPr>
            <w:r>
              <w:rPr>
                <w:b/>
                <w:bCs/>
                <w:color w:val="FFFFFF"/>
                <w:sz w:val="20"/>
                <w:szCs w:val="20"/>
              </w:rPr>
              <w:t>Stage 1</w:t>
            </w:r>
          </w:p>
        </w:tc>
        <w:tc>
          <w:tcPr>
            <w:tcW w:w="653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5B66D995" w14:textId="77777777" w:rsidR="00D8392C" w:rsidRDefault="00D8392C" w:rsidP="00F90F5F">
            <w:pPr>
              <w:spacing w:after="200" w:line="276" w:lineRule="auto"/>
              <w:jc w:val="left"/>
              <w:rPr>
                <w:b/>
                <w:bCs/>
                <w:color w:val="FFFFFF"/>
                <w:sz w:val="20"/>
                <w:szCs w:val="20"/>
              </w:rPr>
            </w:pPr>
            <w:r>
              <w:rPr>
                <w:b/>
                <w:bCs/>
                <w:color w:val="FFFFFF"/>
                <w:sz w:val="20"/>
                <w:szCs w:val="20"/>
              </w:rPr>
              <w:t xml:space="preserve">Numerical data </w:t>
            </w:r>
          </w:p>
        </w:tc>
      </w:tr>
      <w:tr w:rsidR="00D8392C" w14:paraId="38327630" w14:textId="77777777" w:rsidTr="00F90F5F">
        <w:trPr>
          <w:trHeight w:val="410"/>
        </w:trPr>
        <w:tc>
          <w:tcPr>
            <w:tcW w:w="2484" w:type="dxa"/>
            <w:tcBorders>
              <w:top w:val="single" w:sz="4" w:space="0" w:color="000000"/>
              <w:left w:val="single" w:sz="4" w:space="0" w:color="000000"/>
              <w:bottom w:val="single" w:sz="4" w:space="0" w:color="000000"/>
              <w:right w:val="single" w:sz="4" w:space="0" w:color="000000"/>
            </w:tcBorders>
          </w:tcPr>
          <w:p w14:paraId="4860587B" w14:textId="77777777" w:rsidR="00D8392C" w:rsidRDefault="00D8392C" w:rsidP="00F90F5F">
            <w:pPr>
              <w:spacing w:after="200" w:line="276" w:lineRule="auto"/>
              <w:jc w:val="left"/>
              <w:rPr>
                <w:b/>
                <w:bCs/>
                <w:sz w:val="20"/>
                <w:szCs w:val="20"/>
              </w:rPr>
            </w:pPr>
            <w:r>
              <w:rPr>
                <w:b/>
                <w:bCs/>
                <w:sz w:val="20"/>
                <w:szCs w:val="20"/>
              </w:rPr>
              <w:t>Data type</w:t>
            </w:r>
          </w:p>
        </w:tc>
        <w:tc>
          <w:tcPr>
            <w:tcW w:w="6532" w:type="dxa"/>
            <w:tcBorders>
              <w:top w:val="single" w:sz="4" w:space="0" w:color="000000"/>
              <w:left w:val="single" w:sz="4" w:space="0" w:color="000000"/>
              <w:bottom w:val="single" w:sz="4" w:space="0" w:color="000000"/>
              <w:right w:val="single" w:sz="4" w:space="0" w:color="000000"/>
            </w:tcBorders>
          </w:tcPr>
          <w:p w14:paraId="332F49E4" w14:textId="77777777" w:rsidR="00D8392C" w:rsidRDefault="00D8392C" w:rsidP="00F90F5F">
            <w:pPr>
              <w:spacing w:after="200" w:line="276" w:lineRule="auto"/>
              <w:jc w:val="left"/>
              <w:rPr>
                <w:sz w:val="20"/>
                <w:szCs w:val="20"/>
              </w:rPr>
            </w:pPr>
            <w:r>
              <w:rPr>
                <w:sz w:val="20"/>
                <w:szCs w:val="20"/>
              </w:rPr>
              <w:t>Numerical measurement of area of forest land (in hectares)</w:t>
            </w:r>
          </w:p>
        </w:tc>
      </w:tr>
      <w:tr w:rsidR="00D8392C" w14:paraId="742DEF52" w14:textId="77777777" w:rsidTr="00F90F5F">
        <w:trPr>
          <w:trHeight w:val="403"/>
        </w:trPr>
        <w:tc>
          <w:tcPr>
            <w:tcW w:w="2484" w:type="dxa"/>
            <w:tcBorders>
              <w:top w:val="single" w:sz="4" w:space="0" w:color="000000"/>
              <w:left w:val="single" w:sz="4" w:space="0" w:color="000000"/>
              <w:bottom w:val="single" w:sz="4" w:space="0" w:color="000000"/>
              <w:right w:val="single" w:sz="4" w:space="0" w:color="000000"/>
            </w:tcBorders>
          </w:tcPr>
          <w:p w14:paraId="02ECD86C" w14:textId="77777777" w:rsidR="00D8392C" w:rsidRDefault="00D8392C" w:rsidP="00F90F5F">
            <w:pPr>
              <w:spacing w:after="200" w:line="276" w:lineRule="auto"/>
              <w:jc w:val="left"/>
              <w:rPr>
                <w:b/>
                <w:bCs/>
                <w:sz w:val="20"/>
                <w:szCs w:val="20"/>
              </w:rPr>
            </w:pPr>
            <w:r>
              <w:rPr>
                <w:b/>
                <w:bCs/>
                <w:sz w:val="20"/>
                <w:szCs w:val="20"/>
              </w:rPr>
              <w:t>Data sources and quantity:</w:t>
            </w:r>
          </w:p>
          <w:p w14:paraId="53375790" w14:textId="77777777" w:rsidR="00D8392C" w:rsidRDefault="00D8392C" w:rsidP="00D8392C">
            <w:pPr>
              <w:numPr>
                <w:ilvl w:val="0"/>
                <w:numId w:val="205"/>
              </w:numPr>
              <w:spacing w:line="276" w:lineRule="auto"/>
              <w:jc w:val="left"/>
              <w:rPr>
                <w:sz w:val="20"/>
                <w:szCs w:val="20"/>
              </w:rPr>
            </w:pPr>
            <w:r>
              <w:rPr>
                <w:sz w:val="20"/>
                <w:szCs w:val="20"/>
              </w:rPr>
              <w:t xml:space="preserve">area of </w:t>
            </w:r>
            <w:r>
              <w:rPr>
                <w:b/>
                <w:bCs/>
                <w:sz w:val="20"/>
                <w:szCs w:val="20"/>
              </w:rPr>
              <w:t>forest</w:t>
            </w:r>
            <w:r>
              <w:rPr>
                <w:sz w:val="20"/>
                <w:szCs w:val="20"/>
              </w:rPr>
              <w:t xml:space="preserve"> in </w:t>
            </w:r>
            <w:proofErr w:type="spellStart"/>
            <w:r>
              <w:rPr>
                <w:sz w:val="20"/>
                <w:szCs w:val="20"/>
              </w:rPr>
              <w:t>territorries</w:t>
            </w:r>
            <w:proofErr w:type="spellEnd"/>
            <w:r>
              <w:rPr>
                <w:sz w:val="20"/>
                <w:szCs w:val="20"/>
              </w:rPr>
              <w:t xml:space="preserve"> held or used by IP&amp;LC (ha)</w:t>
            </w:r>
          </w:p>
          <w:p w14:paraId="0D270F3A" w14:textId="77777777" w:rsidR="00D8392C" w:rsidRDefault="00D8392C" w:rsidP="00F90F5F">
            <w:pPr>
              <w:spacing w:after="200" w:line="276" w:lineRule="auto"/>
              <w:jc w:val="left"/>
              <w:rPr>
                <w:sz w:val="20"/>
                <w:szCs w:val="20"/>
              </w:rPr>
            </w:pPr>
          </w:p>
          <w:p w14:paraId="2E7FDB5E" w14:textId="77777777" w:rsidR="00D8392C" w:rsidRDefault="00D8392C" w:rsidP="00D8392C">
            <w:pPr>
              <w:numPr>
                <w:ilvl w:val="0"/>
                <w:numId w:val="205"/>
              </w:numPr>
              <w:pBdr>
                <w:between w:val="single" w:sz="4" w:space="1" w:color="000000"/>
              </w:pBdr>
              <w:jc w:val="left"/>
              <w:rPr>
                <w:sz w:val="20"/>
                <w:szCs w:val="20"/>
              </w:rPr>
            </w:pPr>
            <w:r>
              <w:rPr>
                <w:sz w:val="20"/>
                <w:szCs w:val="20"/>
              </w:rPr>
              <w:t xml:space="preserve">total area of territories held or used by IP&amp;LC (ha) </w:t>
            </w:r>
          </w:p>
          <w:p w14:paraId="7A0F80EF" w14:textId="77777777" w:rsidR="00D8392C" w:rsidRDefault="00D8392C" w:rsidP="00F90F5F">
            <w:pPr>
              <w:pBdr>
                <w:between w:val="single" w:sz="4" w:space="1" w:color="000000"/>
              </w:pBdr>
              <w:jc w:val="left"/>
              <w:rPr>
                <w:sz w:val="20"/>
                <w:szCs w:val="20"/>
              </w:rPr>
            </w:pPr>
            <w:r>
              <w:rPr>
                <w:sz w:val="20"/>
                <w:szCs w:val="20"/>
              </w:rPr>
              <w:t xml:space="preserve"> </w:t>
            </w:r>
          </w:p>
        </w:tc>
        <w:tc>
          <w:tcPr>
            <w:tcW w:w="6532" w:type="dxa"/>
            <w:tcBorders>
              <w:top w:val="single" w:sz="4" w:space="0" w:color="000000"/>
              <w:left w:val="single" w:sz="4" w:space="0" w:color="000000"/>
              <w:bottom w:val="single" w:sz="4" w:space="0" w:color="000000"/>
              <w:right w:val="single" w:sz="4" w:space="0" w:color="000000"/>
            </w:tcBorders>
          </w:tcPr>
          <w:p w14:paraId="3FD23E38" w14:textId="77777777" w:rsidR="00D8392C" w:rsidRDefault="00D8392C" w:rsidP="00F90F5F">
            <w:pPr>
              <w:jc w:val="left"/>
              <w:rPr>
                <w:sz w:val="20"/>
                <w:szCs w:val="20"/>
              </w:rPr>
            </w:pPr>
            <w:r>
              <w:rPr>
                <w:sz w:val="20"/>
                <w:szCs w:val="20"/>
              </w:rPr>
              <w:t xml:space="preserve">Sources of global data </w:t>
            </w:r>
          </w:p>
          <w:p w14:paraId="7FA9CBAC" w14:textId="77777777" w:rsidR="00D8392C" w:rsidRDefault="00D8392C" w:rsidP="00F90F5F">
            <w:pPr>
              <w:jc w:val="left"/>
              <w:rPr>
                <w:sz w:val="20"/>
                <w:szCs w:val="20"/>
              </w:rPr>
            </w:pPr>
          </w:p>
          <w:p w14:paraId="2FF783D1" w14:textId="77777777" w:rsidR="00D8392C" w:rsidRDefault="00D8392C" w:rsidP="00F90F5F">
            <w:pPr>
              <w:jc w:val="left"/>
              <w:rPr>
                <w:sz w:val="20"/>
                <w:szCs w:val="20"/>
              </w:rPr>
            </w:pPr>
            <w:r>
              <w:rPr>
                <w:sz w:val="20"/>
                <w:szCs w:val="20"/>
              </w:rPr>
              <w:t>(1)</w:t>
            </w:r>
          </w:p>
          <w:p w14:paraId="4588A5FE" w14:textId="77777777" w:rsidR="00D8392C" w:rsidRDefault="00D8392C" w:rsidP="00F90F5F">
            <w:pPr>
              <w:jc w:val="left"/>
              <w:rPr>
                <w:sz w:val="20"/>
                <w:szCs w:val="20"/>
              </w:rPr>
            </w:pPr>
          </w:p>
          <w:p w14:paraId="2654DC8A" w14:textId="77777777" w:rsidR="00D8392C" w:rsidRDefault="00D8392C" w:rsidP="00D8392C">
            <w:pPr>
              <w:numPr>
                <w:ilvl w:val="0"/>
                <w:numId w:val="207"/>
              </w:numPr>
              <w:jc w:val="left"/>
              <w:rPr>
                <w:sz w:val="20"/>
                <w:szCs w:val="20"/>
              </w:rPr>
            </w:pPr>
            <w:hyperlink r:id="rId552">
              <w:r>
                <w:rPr>
                  <w:color w:val="0000FF"/>
                  <w:sz w:val="20"/>
                  <w:szCs w:val="20"/>
                  <w:u w:val="single"/>
                </w:rPr>
                <w:t>Forest Resources Assessment</w:t>
              </w:r>
            </w:hyperlink>
            <w:r>
              <w:rPr>
                <w:sz w:val="20"/>
                <w:szCs w:val="20"/>
              </w:rPr>
              <w:t xml:space="preserve"> data on forest ownership – “Area of forest owned by Indigenous Peoples and local communities” </w:t>
            </w:r>
          </w:p>
          <w:p w14:paraId="209D56C1" w14:textId="77777777" w:rsidR="00D8392C" w:rsidRDefault="00D8392C" w:rsidP="00F90F5F">
            <w:pPr>
              <w:jc w:val="left"/>
              <w:rPr>
                <w:sz w:val="20"/>
                <w:szCs w:val="20"/>
              </w:rPr>
            </w:pPr>
          </w:p>
          <w:p w14:paraId="4F15DB91" w14:textId="77777777" w:rsidR="00D8392C" w:rsidRDefault="00D8392C" w:rsidP="00F90F5F">
            <w:pPr>
              <w:jc w:val="left"/>
              <w:rPr>
                <w:sz w:val="20"/>
                <w:szCs w:val="20"/>
              </w:rPr>
            </w:pPr>
          </w:p>
          <w:p w14:paraId="14951F06" w14:textId="77777777" w:rsidR="00D8392C" w:rsidRDefault="00D8392C" w:rsidP="00F90F5F">
            <w:pPr>
              <w:jc w:val="left"/>
              <w:rPr>
                <w:sz w:val="20"/>
                <w:szCs w:val="20"/>
              </w:rPr>
            </w:pPr>
            <w:r>
              <w:rPr>
                <w:sz w:val="20"/>
                <w:szCs w:val="20"/>
              </w:rPr>
              <w:t>(2)</w:t>
            </w:r>
          </w:p>
          <w:p w14:paraId="37D3D863" w14:textId="77777777" w:rsidR="00D8392C" w:rsidRDefault="00D8392C" w:rsidP="00D8392C">
            <w:pPr>
              <w:numPr>
                <w:ilvl w:val="0"/>
                <w:numId w:val="207"/>
              </w:numPr>
              <w:jc w:val="left"/>
              <w:rPr>
                <w:sz w:val="20"/>
                <w:szCs w:val="20"/>
              </w:rPr>
            </w:pPr>
            <w:proofErr w:type="spellStart"/>
            <w:r>
              <w:rPr>
                <w:sz w:val="20"/>
                <w:szCs w:val="20"/>
              </w:rPr>
              <w:t>LandMark</w:t>
            </w:r>
            <w:proofErr w:type="spellEnd"/>
            <w:r>
              <w:rPr>
                <w:sz w:val="20"/>
                <w:szCs w:val="20"/>
              </w:rPr>
              <w:t xml:space="preserve"> database for total national area of IP&amp;LC lands (acknowledged and not acknowledged by government) </w:t>
            </w:r>
          </w:p>
          <w:p w14:paraId="55211213" w14:textId="77777777" w:rsidR="00D8392C" w:rsidRDefault="00D8392C" w:rsidP="00D8392C">
            <w:pPr>
              <w:numPr>
                <w:ilvl w:val="0"/>
                <w:numId w:val="207"/>
              </w:numPr>
              <w:jc w:val="left"/>
              <w:rPr>
                <w:sz w:val="20"/>
                <w:szCs w:val="20"/>
              </w:rPr>
            </w:pPr>
            <w:r>
              <w:rPr>
                <w:sz w:val="20"/>
                <w:szCs w:val="20"/>
              </w:rPr>
              <w:t xml:space="preserve">Rights and Resources Initiative “Who Owns the World’s Land” </w:t>
            </w:r>
          </w:p>
          <w:p w14:paraId="70BF4102" w14:textId="77777777" w:rsidR="00D8392C" w:rsidRDefault="00D8392C" w:rsidP="00F90F5F">
            <w:pPr>
              <w:jc w:val="left"/>
              <w:rPr>
                <w:sz w:val="20"/>
                <w:szCs w:val="20"/>
              </w:rPr>
            </w:pPr>
          </w:p>
        </w:tc>
      </w:tr>
      <w:tr w:rsidR="00D8392C" w14:paraId="467E58AA" w14:textId="77777777" w:rsidTr="00F90F5F">
        <w:trPr>
          <w:trHeight w:val="763"/>
        </w:trPr>
        <w:tc>
          <w:tcPr>
            <w:tcW w:w="2484" w:type="dxa"/>
            <w:tcBorders>
              <w:top w:val="single" w:sz="4" w:space="0" w:color="000000"/>
              <w:left w:val="single" w:sz="4" w:space="0" w:color="000000"/>
              <w:bottom w:val="single" w:sz="4" w:space="0" w:color="000000"/>
              <w:right w:val="single" w:sz="4" w:space="0" w:color="000000"/>
            </w:tcBorders>
          </w:tcPr>
          <w:p w14:paraId="214317E6" w14:textId="77777777" w:rsidR="00D8392C" w:rsidRDefault="00D8392C" w:rsidP="00F90F5F">
            <w:pPr>
              <w:spacing w:after="200" w:line="276" w:lineRule="auto"/>
              <w:jc w:val="left"/>
              <w:rPr>
                <w:b/>
                <w:bCs/>
                <w:sz w:val="20"/>
                <w:szCs w:val="20"/>
              </w:rPr>
            </w:pPr>
            <w:r>
              <w:rPr>
                <w:b/>
                <w:bCs/>
                <w:sz w:val="20"/>
                <w:szCs w:val="20"/>
              </w:rPr>
              <w:t>Comments</w:t>
            </w:r>
          </w:p>
        </w:tc>
        <w:tc>
          <w:tcPr>
            <w:tcW w:w="6532" w:type="dxa"/>
            <w:tcBorders>
              <w:top w:val="single" w:sz="4" w:space="0" w:color="000000"/>
              <w:left w:val="single" w:sz="4" w:space="0" w:color="000000"/>
              <w:bottom w:val="single" w:sz="4" w:space="0" w:color="000000"/>
              <w:right w:val="single" w:sz="4" w:space="0" w:color="000000"/>
            </w:tcBorders>
          </w:tcPr>
          <w:p w14:paraId="25F896D1" w14:textId="77777777" w:rsidR="00D8392C" w:rsidRDefault="00D8392C" w:rsidP="00D8392C">
            <w:pPr>
              <w:numPr>
                <w:ilvl w:val="0"/>
                <w:numId w:val="207"/>
              </w:numPr>
              <w:jc w:val="left"/>
              <w:rPr>
                <w:sz w:val="20"/>
                <w:szCs w:val="20"/>
              </w:rPr>
            </w:pPr>
            <w:r>
              <w:rPr>
                <w:sz w:val="20"/>
                <w:szCs w:val="20"/>
              </w:rPr>
              <w:t>Data from FAO’s Forest Resources Assessment (FRA) is collected and available every five years, with data from 2025 as the most recent reporting year</w:t>
            </w:r>
          </w:p>
          <w:p w14:paraId="4CBE959C" w14:textId="77777777" w:rsidR="00D8392C" w:rsidRDefault="00D8392C" w:rsidP="00D8392C">
            <w:pPr>
              <w:numPr>
                <w:ilvl w:val="0"/>
                <w:numId w:val="207"/>
              </w:numPr>
              <w:jc w:val="left"/>
              <w:rPr>
                <w:sz w:val="20"/>
                <w:szCs w:val="20"/>
              </w:rPr>
            </w:pPr>
            <w:r>
              <w:rPr>
                <w:sz w:val="20"/>
                <w:szCs w:val="20"/>
              </w:rPr>
              <w:lastRenderedPageBreak/>
              <w:t>Numerical data from FRA are available only forest area, not all land cover</w:t>
            </w:r>
            <w:sdt>
              <w:sdtPr>
                <w:tag w:val="goog_rdk_211"/>
                <w:id w:val="-1785735664"/>
              </w:sdtPr>
              <w:sdtContent>
                <w:r>
                  <w:rPr>
                    <w:sz w:val="20"/>
                    <w:szCs w:val="20"/>
                  </w:rPr>
                  <w:t>/land use</w:t>
                </w:r>
              </w:sdtContent>
            </w:sdt>
            <w:r>
              <w:rPr>
                <w:sz w:val="20"/>
                <w:szCs w:val="20"/>
              </w:rPr>
              <w:t xml:space="preserve"> types. </w:t>
            </w:r>
          </w:p>
        </w:tc>
      </w:tr>
      <w:tr w:rsidR="00D8392C" w14:paraId="01C87588" w14:textId="77777777" w:rsidTr="00F90F5F">
        <w:trPr>
          <w:trHeight w:val="487"/>
        </w:trPr>
        <w:tc>
          <w:tcPr>
            <w:tcW w:w="2484" w:type="dxa"/>
            <w:tcBorders>
              <w:top w:val="single" w:sz="4" w:space="0" w:color="000000"/>
              <w:left w:val="single" w:sz="4" w:space="0" w:color="000000"/>
              <w:bottom w:val="single" w:sz="4" w:space="0" w:color="000000"/>
              <w:right w:val="single" w:sz="4" w:space="0" w:color="000000"/>
            </w:tcBorders>
            <w:shd w:val="clear" w:color="auto" w:fill="4472C4"/>
          </w:tcPr>
          <w:p w14:paraId="781C472C" w14:textId="77777777" w:rsidR="00D8392C" w:rsidRDefault="00D8392C" w:rsidP="00F90F5F">
            <w:pPr>
              <w:spacing w:after="200" w:line="276" w:lineRule="auto"/>
              <w:jc w:val="left"/>
              <w:rPr>
                <w:b/>
                <w:bCs/>
                <w:color w:val="FFFFFF"/>
                <w:sz w:val="20"/>
                <w:szCs w:val="20"/>
              </w:rPr>
            </w:pPr>
            <w:r>
              <w:rPr>
                <w:b/>
                <w:bCs/>
                <w:color w:val="FFFFFF"/>
                <w:sz w:val="20"/>
                <w:szCs w:val="20"/>
              </w:rPr>
              <w:lastRenderedPageBreak/>
              <w:t>Stage 2</w:t>
            </w:r>
          </w:p>
        </w:tc>
        <w:tc>
          <w:tcPr>
            <w:tcW w:w="6532" w:type="dxa"/>
            <w:tcBorders>
              <w:top w:val="single" w:sz="4" w:space="0" w:color="000000"/>
              <w:left w:val="single" w:sz="4" w:space="0" w:color="000000"/>
              <w:bottom w:val="single" w:sz="4" w:space="0" w:color="000000"/>
              <w:right w:val="single" w:sz="4" w:space="0" w:color="000000"/>
            </w:tcBorders>
            <w:shd w:val="clear" w:color="auto" w:fill="4472C4"/>
          </w:tcPr>
          <w:p w14:paraId="6FE365E2" w14:textId="77777777" w:rsidR="00D8392C" w:rsidRDefault="00D8392C" w:rsidP="00F90F5F">
            <w:pPr>
              <w:spacing w:after="200" w:line="276" w:lineRule="auto"/>
              <w:jc w:val="left"/>
              <w:rPr>
                <w:b/>
                <w:bCs/>
                <w:color w:val="FFFFFF"/>
                <w:sz w:val="20"/>
                <w:szCs w:val="20"/>
              </w:rPr>
            </w:pPr>
            <w:r>
              <w:rPr>
                <w:b/>
                <w:bCs/>
                <w:color w:val="FFFFFF"/>
                <w:sz w:val="20"/>
                <w:szCs w:val="20"/>
              </w:rPr>
              <w:t>Georeferenced map data</w:t>
            </w:r>
          </w:p>
        </w:tc>
      </w:tr>
      <w:tr w:rsidR="00D8392C" w14:paraId="5411B343" w14:textId="77777777" w:rsidTr="00F90F5F">
        <w:trPr>
          <w:trHeight w:val="627"/>
        </w:trPr>
        <w:tc>
          <w:tcPr>
            <w:tcW w:w="2484" w:type="dxa"/>
            <w:tcBorders>
              <w:top w:val="single" w:sz="4" w:space="0" w:color="000000"/>
              <w:left w:val="single" w:sz="4" w:space="0" w:color="000000"/>
              <w:bottom w:val="single" w:sz="4" w:space="0" w:color="000000"/>
              <w:right w:val="single" w:sz="4" w:space="0" w:color="000000"/>
            </w:tcBorders>
          </w:tcPr>
          <w:p w14:paraId="0251A193" w14:textId="77777777" w:rsidR="00D8392C" w:rsidRDefault="00D8392C" w:rsidP="00F90F5F">
            <w:pPr>
              <w:spacing w:after="200" w:line="276" w:lineRule="auto"/>
              <w:jc w:val="left"/>
              <w:rPr>
                <w:b/>
                <w:bCs/>
                <w:sz w:val="20"/>
                <w:szCs w:val="20"/>
              </w:rPr>
            </w:pPr>
            <w:r>
              <w:rPr>
                <w:b/>
                <w:bCs/>
                <w:sz w:val="20"/>
                <w:szCs w:val="20"/>
              </w:rPr>
              <w:t>Data type</w:t>
            </w:r>
          </w:p>
        </w:tc>
        <w:tc>
          <w:tcPr>
            <w:tcW w:w="6532" w:type="dxa"/>
            <w:tcBorders>
              <w:top w:val="single" w:sz="4" w:space="0" w:color="000000"/>
              <w:left w:val="single" w:sz="4" w:space="0" w:color="000000"/>
              <w:bottom w:val="single" w:sz="4" w:space="0" w:color="000000"/>
              <w:right w:val="single" w:sz="4" w:space="0" w:color="000000"/>
            </w:tcBorders>
          </w:tcPr>
          <w:p w14:paraId="10B03C9B" w14:textId="77777777" w:rsidR="00D8392C" w:rsidRDefault="00D8392C" w:rsidP="00F90F5F">
            <w:pPr>
              <w:jc w:val="left"/>
              <w:rPr>
                <w:sz w:val="20"/>
                <w:szCs w:val="20"/>
              </w:rPr>
            </w:pPr>
            <w:r>
              <w:rPr>
                <w:sz w:val="20"/>
                <w:szCs w:val="20"/>
              </w:rPr>
              <w:t>Map-based data (from which numeric data in hectares is deducted)</w:t>
            </w:r>
          </w:p>
        </w:tc>
      </w:tr>
      <w:tr w:rsidR="00D8392C" w14:paraId="4866F642" w14:textId="77777777" w:rsidTr="00F90F5F">
        <w:trPr>
          <w:trHeight w:val="409"/>
        </w:trPr>
        <w:tc>
          <w:tcPr>
            <w:tcW w:w="2484" w:type="dxa"/>
            <w:tcBorders>
              <w:top w:val="single" w:sz="4" w:space="0" w:color="000000"/>
              <w:left w:val="single" w:sz="4" w:space="0" w:color="000000"/>
              <w:bottom w:val="single" w:sz="4" w:space="0" w:color="000000"/>
              <w:right w:val="single" w:sz="4" w:space="0" w:color="000000"/>
            </w:tcBorders>
          </w:tcPr>
          <w:p w14:paraId="4616E2F5" w14:textId="77777777" w:rsidR="00D8392C" w:rsidRDefault="00D8392C" w:rsidP="00F90F5F">
            <w:pPr>
              <w:spacing w:after="200" w:line="276" w:lineRule="auto"/>
              <w:jc w:val="left"/>
              <w:rPr>
                <w:b/>
                <w:bCs/>
                <w:sz w:val="20"/>
                <w:szCs w:val="20"/>
              </w:rPr>
            </w:pPr>
            <w:r>
              <w:rPr>
                <w:b/>
                <w:bCs/>
                <w:sz w:val="20"/>
                <w:szCs w:val="20"/>
              </w:rPr>
              <w:t>Data sources and quantity:</w:t>
            </w:r>
          </w:p>
          <w:p w14:paraId="770D9B8E" w14:textId="77777777" w:rsidR="00D8392C" w:rsidRDefault="00D8392C" w:rsidP="00D8392C">
            <w:pPr>
              <w:numPr>
                <w:ilvl w:val="0"/>
                <w:numId w:val="206"/>
              </w:numPr>
              <w:spacing w:line="276" w:lineRule="auto"/>
              <w:jc w:val="left"/>
              <w:rPr>
                <w:sz w:val="20"/>
                <w:szCs w:val="20"/>
              </w:rPr>
            </w:pPr>
            <w:r>
              <w:rPr>
                <w:sz w:val="20"/>
                <w:szCs w:val="20"/>
              </w:rPr>
              <w:t xml:space="preserve">area of </w:t>
            </w:r>
            <w:r>
              <w:rPr>
                <w:b/>
                <w:bCs/>
                <w:sz w:val="20"/>
                <w:szCs w:val="20"/>
              </w:rPr>
              <w:t>non-degraded land</w:t>
            </w:r>
            <w:r>
              <w:rPr>
                <w:sz w:val="20"/>
                <w:szCs w:val="20"/>
              </w:rPr>
              <w:t xml:space="preserve"> in </w:t>
            </w:r>
            <w:proofErr w:type="spellStart"/>
            <w:r>
              <w:rPr>
                <w:sz w:val="20"/>
                <w:szCs w:val="20"/>
              </w:rPr>
              <w:t>territorries</w:t>
            </w:r>
            <w:proofErr w:type="spellEnd"/>
            <w:r>
              <w:rPr>
                <w:sz w:val="20"/>
                <w:szCs w:val="20"/>
              </w:rPr>
              <w:t xml:space="preserve"> held or used by IP&amp;LC (ha)</w:t>
            </w:r>
          </w:p>
          <w:p w14:paraId="60158C85" w14:textId="77777777" w:rsidR="00D8392C" w:rsidRDefault="00D8392C" w:rsidP="00F90F5F">
            <w:pPr>
              <w:spacing w:after="200" w:line="276" w:lineRule="auto"/>
              <w:jc w:val="left"/>
              <w:rPr>
                <w:sz w:val="20"/>
                <w:szCs w:val="20"/>
              </w:rPr>
            </w:pPr>
          </w:p>
          <w:p w14:paraId="35BCC6EC" w14:textId="77777777" w:rsidR="00D8392C" w:rsidRDefault="00D8392C" w:rsidP="00D8392C">
            <w:pPr>
              <w:numPr>
                <w:ilvl w:val="0"/>
                <w:numId w:val="206"/>
              </w:numPr>
              <w:pBdr>
                <w:between w:val="single" w:sz="4" w:space="1" w:color="000000"/>
              </w:pBdr>
              <w:jc w:val="left"/>
              <w:rPr>
                <w:sz w:val="20"/>
                <w:szCs w:val="20"/>
              </w:rPr>
            </w:pPr>
            <w:r>
              <w:rPr>
                <w:sz w:val="20"/>
                <w:szCs w:val="20"/>
              </w:rPr>
              <w:t xml:space="preserve">total area of territories held or used by IP&amp;LC (ha) </w:t>
            </w:r>
          </w:p>
          <w:p w14:paraId="26282833" w14:textId="77777777" w:rsidR="00D8392C" w:rsidRDefault="00D8392C" w:rsidP="00F90F5F">
            <w:pPr>
              <w:spacing w:after="200" w:line="276" w:lineRule="auto"/>
              <w:jc w:val="left"/>
              <w:rPr>
                <w:sz w:val="20"/>
                <w:szCs w:val="20"/>
              </w:rPr>
            </w:pPr>
            <w:r>
              <w:rPr>
                <w:sz w:val="20"/>
                <w:szCs w:val="20"/>
              </w:rPr>
              <w:t xml:space="preserve"> </w:t>
            </w:r>
          </w:p>
        </w:tc>
        <w:tc>
          <w:tcPr>
            <w:tcW w:w="6532" w:type="dxa"/>
            <w:tcBorders>
              <w:top w:val="single" w:sz="4" w:space="0" w:color="000000"/>
              <w:left w:val="single" w:sz="4" w:space="0" w:color="000000"/>
              <w:bottom w:val="single" w:sz="4" w:space="0" w:color="000000"/>
              <w:right w:val="single" w:sz="4" w:space="0" w:color="000000"/>
            </w:tcBorders>
          </w:tcPr>
          <w:p w14:paraId="6D9AE58C" w14:textId="77777777" w:rsidR="00D8392C" w:rsidRDefault="00D8392C" w:rsidP="00F90F5F">
            <w:pPr>
              <w:jc w:val="left"/>
              <w:rPr>
                <w:sz w:val="20"/>
                <w:szCs w:val="20"/>
              </w:rPr>
            </w:pPr>
            <w:r>
              <w:rPr>
                <w:sz w:val="20"/>
                <w:szCs w:val="20"/>
              </w:rPr>
              <w:t xml:space="preserve">Sources of global data </w:t>
            </w:r>
          </w:p>
          <w:p w14:paraId="6A650E76" w14:textId="77777777" w:rsidR="00D8392C" w:rsidRDefault="00D8392C" w:rsidP="00F90F5F">
            <w:pPr>
              <w:jc w:val="left"/>
              <w:rPr>
                <w:sz w:val="20"/>
                <w:szCs w:val="20"/>
              </w:rPr>
            </w:pPr>
          </w:p>
          <w:p w14:paraId="41E8C691" w14:textId="77777777" w:rsidR="00D8392C" w:rsidRDefault="00D8392C" w:rsidP="00F90F5F">
            <w:pPr>
              <w:jc w:val="left"/>
              <w:rPr>
                <w:sz w:val="20"/>
                <w:szCs w:val="20"/>
              </w:rPr>
            </w:pPr>
            <w:r>
              <w:rPr>
                <w:sz w:val="20"/>
                <w:szCs w:val="20"/>
              </w:rPr>
              <w:t>(1)</w:t>
            </w:r>
          </w:p>
          <w:p w14:paraId="1A1692A1" w14:textId="77777777" w:rsidR="00D8392C" w:rsidRDefault="00D8392C" w:rsidP="00D8392C">
            <w:pPr>
              <w:numPr>
                <w:ilvl w:val="0"/>
                <w:numId w:val="207"/>
              </w:numPr>
              <w:jc w:val="left"/>
              <w:rPr>
                <w:sz w:val="20"/>
                <w:szCs w:val="20"/>
              </w:rPr>
            </w:pPr>
            <w:hyperlink r:id="rId553">
              <w:proofErr w:type="spellStart"/>
              <w:r>
                <w:rPr>
                  <w:color w:val="0000FF"/>
                  <w:sz w:val="20"/>
                  <w:szCs w:val="20"/>
                  <w:u w:val="single"/>
                </w:rPr>
                <w:t>LandMark</w:t>
              </w:r>
              <w:proofErr w:type="spellEnd"/>
            </w:hyperlink>
            <w:r>
              <w:rPr>
                <w:sz w:val="20"/>
                <w:szCs w:val="20"/>
              </w:rPr>
              <w:t xml:space="preserve"> database of geo-referenced IP&amp;LC lands </w:t>
            </w:r>
          </w:p>
          <w:p w14:paraId="6F03D7D1" w14:textId="77777777" w:rsidR="00D8392C" w:rsidRDefault="00D8392C" w:rsidP="00D8392C">
            <w:pPr>
              <w:numPr>
                <w:ilvl w:val="0"/>
                <w:numId w:val="207"/>
              </w:numPr>
              <w:jc w:val="left"/>
              <w:rPr>
                <w:sz w:val="20"/>
                <w:szCs w:val="20"/>
              </w:rPr>
            </w:pPr>
            <w:r>
              <w:rPr>
                <w:sz w:val="20"/>
                <w:szCs w:val="20"/>
              </w:rPr>
              <w:t xml:space="preserve">Global </w:t>
            </w:r>
            <w:sdt>
              <w:sdtPr>
                <w:tag w:val="goog_rdk_212"/>
                <w:id w:val="1605137110"/>
                <w:showingPlcHdr/>
              </w:sdtPr>
              <w:sdtContent>
                <w:r>
                  <w:t xml:space="preserve">     </w:t>
                </w:r>
              </w:sdtContent>
            </w:sdt>
            <w:r>
              <w:rPr>
                <w:sz w:val="20"/>
                <w:szCs w:val="20"/>
              </w:rPr>
              <w:t>land cover</w:t>
            </w:r>
            <w:sdt>
              <w:sdtPr>
                <w:tag w:val="goog_rdk_213"/>
                <w:id w:val="178259497"/>
              </w:sdtPr>
              <w:sdtContent>
                <w:r>
                  <w:rPr>
                    <w:sz w:val="20"/>
                    <w:szCs w:val="20"/>
                  </w:rPr>
                  <w:t>/land use</w:t>
                </w:r>
              </w:sdtContent>
            </w:sdt>
            <w:r>
              <w:rPr>
                <w:sz w:val="20"/>
                <w:szCs w:val="20"/>
              </w:rPr>
              <w:t xml:space="preserve"> data, such as </w:t>
            </w:r>
            <w:hyperlink r:id="rId554">
              <w:r>
                <w:rPr>
                  <w:color w:val="0000FF"/>
                  <w:sz w:val="20"/>
                  <w:szCs w:val="20"/>
                  <w:u w:val="single"/>
                </w:rPr>
                <w:t>GLAD/WRI</w:t>
              </w:r>
            </w:hyperlink>
            <w:r>
              <w:rPr>
                <w:sz w:val="20"/>
                <w:szCs w:val="20"/>
              </w:rPr>
              <w:t xml:space="preserve"> (30 m) or </w:t>
            </w:r>
            <w:hyperlink r:id="rId555">
              <w:r>
                <w:rPr>
                  <w:color w:val="0000FF"/>
                  <w:sz w:val="20"/>
                  <w:szCs w:val="20"/>
                  <w:u w:val="single"/>
                </w:rPr>
                <w:t>ESA‑CCI‑LC</w:t>
              </w:r>
            </w:hyperlink>
            <w:r>
              <w:rPr>
                <w:sz w:val="20"/>
                <w:szCs w:val="20"/>
              </w:rPr>
              <w:t xml:space="preserve"> (300 m), and reclassified according to a land cover</w:t>
            </w:r>
            <w:sdt>
              <w:sdtPr>
                <w:tag w:val="goog_rdk_214"/>
                <w:id w:val="2033271881"/>
              </w:sdtPr>
              <w:sdtContent>
                <w:r>
                  <w:rPr>
                    <w:sz w:val="20"/>
                    <w:szCs w:val="20"/>
                  </w:rPr>
                  <w:t>/land use</w:t>
                </w:r>
              </w:sdtContent>
            </w:sdt>
            <w:r>
              <w:rPr>
                <w:sz w:val="20"/>
                <w:szCs w:val="20"/>
              </w:rPr>
              <w:t xml:space="preserve"> change matrix into neutral and improving land classes</w:t>
            </w:r>
          </w:p>
          <w:p w14:paraId="017B6903" w14:textId="77777777" w:rsidR="00D8392C" w:rsidRDefault="00D8392C" w:rsidP="00F90F5F">
            <w:pPr>
              <w:ind w:left="720"/>
              <w:jc w:val="left"/>
              <w:rPr>
                <w:sz w:val="20"/>
                <w:szCs w:val="20"/>
              </w:rPr>
            </w:pPr>
          </w:p>
          <w:p w14:paraId="767843C5" w14:textId="77777777" w:rsidR="00D8392C" w:rsidRDefault="00D8392C" w:rsidP="00F90F5F">
            <w:pPr>
              <w:jc w:val="left"/>
              <w:rPr>
                <w:sz w:val="20"/>
                <w:szCs w:val="20"/>
              </w:rPr>
            </w:pPr>
          </w:p>
          <w:p w14:paraId="7ECCD8CC" w14:textId="77777777" w:rsidR="00D8392C" w:rsidRDefault="00D8392C" w:rsidP="00F90F5F">
            <w:pPr>
              <w:jc w:val="left"/>
              <w:rPr>
                <w:sz w:val="20"/>
                <w:szCs w:val="20"/>
              </w:rPr>
            </w:pPr>
            <w:r>
              <w:rPr>
                <w:sz w:val="20"/>
                <w:szCs w:val="20"/>
              </w:rPr>
              <w:t>(2)</w:t>
            </w:r>
          </w:p>
          <w:p w14:paraId="13A5F5A2" w14:textId="77777777" w:rsidR="00D8392C" w:rsidRDefault="00D8392C" w:rsidP="00F90F5F">
            <w:pPr>
              <w:jc w:val="left"/>
              <w:rPr>
                <w:sz w:val="20"/>
                <w:szCs w:val="20"/>
              </w:rPr>
            </w:pPr>
          </w:p>
          <w:p w14:paraId="60CD1480" w14:textId="77777777" w:rsidR="00D8392C" w:rsidRDefault="00D8392C" w:rsidP="00D8392C">
            <w:pPr>
              <w:numPr>
                <w:ilvl w:val="0"/>
                <w:numId w:val="207"/>
              </w:numPr>
              <w:jc w:val="left"/>
              <w:rPr>
                <w:sz w:val="20"/>
                <w:szCs w:val="20"/>
              </w:rPr>
            </w:pPr>
            <w:hyperlink r:id="rId556">
              <w:proofErr w:type="spellStart"/>
              <w:r>
                <w:rPr>
                  <w:color w:val="0000FF"/>
                  <w:sz w:val="20"/>
                  <w:szCs w:val="20"/>
                  <w:u w:val="single"/>
                </w:rPr>
                <w:t>LandMark</w:t>
              </w:r>
              <w:proofErr w:type="spellEnd"/>
            </w:hyperlink>
            <w:r>
              <w:rPr>
                <w:sz w:val="20"/>
                <w:szCs w:val="20"/>
              </w:rPr>
              <w:t xml:space="preserve"> database of geo-referenced IP&amp;LC lands  </w:t>
            </w:r>
          </w:p>
          <w:p w14:paraId="36986BBC" w14:textId="77777777" w:rsidR="00D8392C" w:rsidRDefault="00D8392C" w:rsidP="00F90F5F"/>
          <w:p w14:paraId="1069E118" w14:textId="77777777" w:rsidR="00D8392C" w:rsidRDefault="00D8392C" w:rsidP="00F90F5F">
            <w:pPr>
              <w:jc w:val="left"/>
              <w:rPr>
                <w:sz w:val="20"/>
                <w:szCs w:val="20"/>
              </w:rPr>
            </w:pPr>
          </w:p>
          <w:p w14:paraId="48ED085F" w14:textId="77777777" w:rsidR="00D8392C" w:rsidRDefault="00D8392C" w:rsidP="00F90F5F">
            <w:pPr>
              <w:ind w:left="720"/>
              <w:jc w:val="left"/>
              <w:rPr>
                <w:sz w:val="20"/>
                <w:szCs w:val="20"/>
              </w:rPr>
            </w:pPr>
          </w:p>
        </w:tc>
      </w:tr>
      <w:tr w:rsidR="00D8392C" w14:paraId="5C8BEE5A" w14:textId="77777777" w:rsidTr="00F90F5F">
        <w:trPr>
          <w:trHeight w:val="414"/>
        </w:trPr>
        <w:tc>
          <w:tcPr>
            <w:tcW w:w="2484" w:type="dxa"/>
            <w:tcBorders>
              <w:top w:val="single" w:sz="4" w:space="0" w:color="000000"/>
              <w:left w:val="single" w:sz="4" w:space="0" w:color="000000"/>
              <w:bottom w:val="single" w:sz="4" w:space="0" w:color="000000"/>
              <w:right w:val="single" w:sz="4" w:space="0" w:color="000000"/>
            </w:tcBorders>
          </w:tcPr>
          <w:p w14:paraId="31022256" w14:textId="77777777" w:rsidR="00D8392C" w:rsidRDefault="00D8392C" w:rsidP="00F90F5F">
            <w:pPr>
              <w:spacing w:after="200" w:line="276" w:lineRule="auto"/>
              <w:jc w:val="left"/>
              <w:rPr>
                <w:b/>
                <w:bCs/>
                <w:sz w:val="20"/>
                <w:szCs w:val="20"/>
              </w:rPr>
            </w:pPr>
            <w:r>
              <w:rPr>
                <w:b/>
                <w:bCs/>
                <w:sz w:val="20"/>
                <w:szCs w:val="20"/>
              </w:rPr>
              <w:t>Comments</w:t>
            </w:r>
          </w:p>
        </w:tc>
        <w:tc>
          <w:tcPr>
            <w:tcW w:w="6532" w:type="dxa"/>
            <w:tcBorders>
              <w:top w:val="single" w:sz="4" w:space="0" w:color="000000"/>
              <w:left w:val="single" w:sz="4" w:space="0" w:color="000000"/>
              <w:bottom w:val="single" w:sz="4" w:space="0" w:color="000000"/>
              <w:right w:val="single" w:sz="4" w:space="0" w:color="000000"/>
            </w:tcBorders>
          </w:tcPr>
          <w:p w14:paraId="39EC0759" w14:textId="77777777" w:rsidR="00D8392C" w:rsidRDefault="00D8392C" w:rsidP="00D8392C">
            <w:pPr>
              <w:numPr>
                <w:ilvl w:val="0"/>
                <w:numId w:val="207"/>
              </w:numPr>
              <w:jc w:val="left"/>
              <w:rPr>
                <w:sz w:val="20"/>
                <w:szCs w:val="20"/>
              </w:rPr>
            </w:pPr>
            <w:r>
              <w:rPr>
                <w:sz w:val="20"/>
                <w:szCs w:val="20"/>
              </w:rPr>
              <w:t>Partial coverage at present; over time, expected to be available for all countries in the world</w:t>
            </w:r>
          </w:p>
          <w:p w14:paraId="2EE2AD76" w14:textId="77777777" w:rsidR="00D8392C" w:rsidRDefault="00D8392C" w:rsidP="00D8392C">
            <w:pPr>
              <w:numPr>
                <w:ilvl w:val="0"/>
                <w:numId w:val="207"/>
              </w:numPr>
              <w:jc w:val="left"/>
              <w:rPr>
                <w:sz w:val="20"/>
                <w:szCs w:val="20"/>
              </w:rPr>
            </w:pPr>
            <w:r>
              <w:rPr>
                <w:sz w:val="20"/>
                <w:szCs w:val="20"/>
              </w:rPr>
              <w:t xml:space="preserve">Global data from </w:t>
            </w:r>
            <w:proofErr w:type="spellStart"/>
            <w:r>
              <w:rPr>
                <w:sz w:val="20"/>
                <w:szCs w:val="20"/>
              </w:rPr>
              <w:t>LandMark</w:t>
            </w:r>
            <w:proofErr w:type="spellEnd"/>
            <w:r>
              <w:rPr>
                <w:sz w:val="20"/>
                <w:szCs w:val="20"/>
              </w:rPr>
              <w:t xml:space="preserve"> is compiled from many local and national sources which can often be accessed directly for national reporting.</w:t>
            </w:r>
          </w:p>
          <w:p w14:paraId="49255053" w14:textId="77777777" w:rsidR="00D8392C" w:rsidRDefault="00D8392C" w:rsidP="00D8392C">
            <w:pPr>
              <w:numPr>
                <w:ilvl w:val="0"/>
                <w:numId w:val="207"/>
              </w:numPr>
              <w:jc w:val="left"/>
              <w:rPr>
                <w:sz w:val="20"/>
                <w:szCs w:val="20"/>
              </w:rPr>
            </w:pPr>
            <w:r>
              <w:rPr>
                <w:sz w:val="20"/>
                <w:szCs w:val="20"/>
              </w:rPr>
              <w:t xml:space="preserve">Other national and local sources of georeferenced spatial data for IP&amp;LC lands and territories may be available locally. </w:t>
            </w:r>
          </w:p>
          <w:p w14:paraId="37874C6E" w14:textId="77777777" w:rsidR="00D8392C" w:rsidRDefault="00D8392C" w:rsidP="00F90F5F">
            <w:pPr>
              <w:ind w:left="720"/>
              <w:jc w:val="left"/>
              <w:rPr>
                <w:sz w:val="20"/>
                <w:szCs w:val="20"/>
              </w:rPr>
            </w:pPr>
          </w:p>
        </w:tc>
      </w:tr>
    </w:tbl>
    <w:p w14:paraId="7F43DD17" w14:textId="77777777" w:rsidR="00D8392C" w:rsidRDefault="00D8392C" w:rsidP="00D8392C">
      <w:pPr>
        <w:spacing w:after="120"/>
      </w:pPr>
    </w:p>
    <w:p w14:paraId="260B19F2" w14:textId="5FC8E749" w:rsidR="00F83AF8" w:rsidRPr="00812871" w:rsidRDefault="00D8392C" w:rsidP="00812871">
      <w:pPr>
        <w:pStyle w:val="CBDNormalNumber"/>
        <w:numPr>
          <w:ilvl w:val="0"/>
          <w:numId w:val="156"/>
        </w:numPr>
        <w:shd w:val="clear" w:color="auto" w:fill="FFFFFF"/>
        <w:tabs>
          <w:tab w:val="clear" w:pos="1701"/>
        </w:tabs>
        <w:ind w:left="567" w:firstLine="0"/>
        <w:rPr>
          <w:color w:val="000000"/>
        </w:rPr>
      </w:pPr>
      <w:r>
        <w:rPr>
          <w:color w:val="000000"/>
        </w:rPr>
        <w:t xml:space="preserve">The Stage 2 method, which is the preferred method, </w:t>
      </w:r>
      <w:r w:rsidRPr="00812871">
        <w:rPr>
          <w:color w:val="000000"/>
        </w:rPr>
        <w:t xml:space="preserve">is a quantification based on geospatial analysis of data on </w:t>
      </w:r>
      <w:sdt>
        <w:sdtPr>
          <w:rPr>
            <w:color w:val="000000"/>
          </w:rPr>
          <w:tag w:val="goog_rdk_215"/>
          <w:id w:val="788475986"/>
          <w:showingPlcHdr/>
        </w:sdtPr>
        <w:sdtContent>
          <w:r w:rsidRPr="00812871">
            <w:rPr>
              <w:color w:val="000000"/>
            </w:rPr>
            <w:t xml:space="preserve">     </w:t>
          </w:r>
        </w:sdtContent>
      </w:sdt>
      <w:r w:rsidRPr="00812871">
        <w:rPr>
          <w:color w:val="000000"/>
        </w:rPr>
        <w:t>land cover</w:t>
      </w:r>
      <w:sdt>
        <w:sdtPr>
          <w:rPr>
            <w:color w:val="000000"/>
          </w:rPr>
          <w:tag w:val="goog_rdk_216"/>
          <w:id w:val="-1686573778"/>
        </w:sdtPr>
        <w:sdtContent>
          <w:r w:rsidRPr="00812871">
            <w:rPr>
              <w:color w:val="000000"/>
            </w:rPr>
            <w:t>/land use</w:t>
          </w:r>
        </w:sdtContent>
      </w:sdt>
      <w:r w:rsidRPr="00812871">
        <w:rPr>
          <w:color w:val="000000"/>
        </w:rPr>
        <w:t xml:space="preserve"> within mapped territories of Indigenous Peoples and local communities and therefore requires geospatial data for both numerator and denominator. Ideally, the total area of territories for Indigenous Peoples and local communities in the denominator of component (a) will match the area in the denominator of component (c), but if geospatial data are not complete, then component (c) may be based on a smaller total area for which mapped data are available. </w:t>
      </w:r>
    </w:p>
    <w:p w14:paraId="39C5B3AE" w14:textId="5F394B98" w:rsidR="00F83AF8" w:rsidRDefault="00D8392C" w:rsidP="00812871">
      <w:pPr>
        <w:pStyle w:val="CBDNormalNumber"/>
        <w:numPr>
          <w:ilvl w:val="0"/>
          <w:numId w:val="156"/>
        </w:numPr>
        <w:shd w:val="clear" w:color="auto" w:fill="FFFFFF"/>
        <w:tabs>
          <w:tab w:val="clear" w:pos="1701"/>
        </w:tabs>
        <w:ind w:left="567" w:firstLine="0"/>
      </w:pPr>
      <w:r>
        <w:t xml:space="preserve">The </w:t>
      </w:r>
      <w:sdt>
        <w:sdtPr>
          <w:tag w:val="goog_rdk_217"/>
          <w:id w:val="689211694"/>
          <w:showingPlcHdr/>
        </w:sdtPr>
        <w:sdtContent>
          <w:r>
            <w:t xml:space="preserve">     </w:t>
          </w:r>
        </w:sdtContent>
      </w:sdt>
      <w:r>
        <w:t>land cover</w:t>
      </w:r>
      <w:sdt>
        <w:sdtPr>
          <w:tag w:val="goog_rdk_218"/>
          <w:id w:val="-1093622308"/>
        </w:sdtPr>
        <w:sdtContent>
          <w:r>
            <w:t>/land use</w:t>
          </w:r>
        </w:sdtContent>
      </w:sdt>
      <w:r>
        <w:t xml:space="preserve"> data used in the global analysis for component (c) is sourced from the Global Land Analysis and Discovery Lab (University of Maryland) and World Resources Institute.</w:t>
      </w:r>
      <w:r>
        <w:rPr>
          <w:vertAlign w:val="superscript"/>
        </w:rPr>
        <w:footnoteReference w:id="60"/>
      </w:r>
      <w:r>
        <w:t xml:space="preserve"> Data are available annually starting from 2015 with the latest year of data released annually.  The analysis used a baseline year of 2020, with transitions classified and quantified to the most recent year of data availability (i.e., 2024).</w:t>
      </w:r>
    </w:p>
    <w:p w14:paraId="506597B2" w14:textId="3415FB1C" w:rsidR="00F83AF8" w:rsidRDefault="00D8392C" w:rsidP="00812871">
      <w:pPr>
        <w:pStyle w:val="CBDNormalNumber"/>
        <w:numPr>
          <w:ilvl w:val="0"/>
          <w:numId w:val="156"/>
        </w:numPr>
        <w:shd w:val="clear" w:color="auto" w:fill="FFFFFF"/>
        <w:tabs>
          <w:tab w:val="clear" w:pos="1701"/>
        </w:tabs>
        <w:ind w:left="567" w:firstLine="0"/>
      </w:pPr>
      <w:r>
        <w:lastRenderedPageBreak/>
        <w:t xml:space="preserve">The transition matrix in </w:t>
      </w:r>
      <w:r w:rsidRPr="00653889">
        <w:t>Table 2</w:t>
      </w:r>
      <w:r>
        <w:t xml:space="preserve"> shows one potential method for classifying categorical changes in</w:t>
      </w:r>
      <w:sdt>
        <w:sdtPr>
          <w:tag w:val="goog_rdk_219"/>
          <w:id w:val="-653937664"/>
          <w:showingPlcHdr/>
        </w:sdtPr>
        <w:sdtContent>
          <w:r>
            <w:t xml:space="preserve">     </w:t>
          </w:r>
        </w:sdtContent>
      </w:sdt>
      <w:r>
        <w:t>land cover</w:t>
      </w:r>
      <w:sdt>
        <w:sdtPr>
          <w:tag w:val="goog_rdk_220"/>
          <w:id w:val="1517452556"/>
        </w:sdtPr>
        <w:sdtContent>
          <w:r>
            <w:t>/land use</w:t>
          </w:r>
        </w:sdtContent>
      </w:sdt>
      <w:r>
        <w:t xml:space="preserve"> between a baseline year and an end year into categories of degradation, improvement, or neutral (i.e., no change in classification or no positive or negative impact). National reporting may choose to classify transitions differently based on local context or, if a different source of </w:t>
      </w:r>
      <w:sdt>
        <w:sdtPr>
          <w:tag w:val="goog_rdk_221"/>
          <w:id w:val="-962339041"/>
          <w:showingPlcHdr/>
        </w:sdtPr>
        <w:sdtContent>
          <w:r>
            <w:t xml:space="preserve">     </w:t>
          </w:r>
        </w:sdtContent>
      </w:sdt>
      <w:r>
        <w:t>land cover</w:t>
      </w:r>
      <w:sdt>
        <w:sdtPr>
          <w:tag w:val="goog_rdk_222"/>
          <w:id w:val="-1118042127"/>
        </w:sdtPr>
        <w:sdtContent>
          <w:r>
            <w:t>/land use</w:t>
          </w:r>
        </w:sdtContent>
      </w:sdt>
      <w:r>
        <w:t xml:space="preserve"> data is used, both the classes and transitions may look different.  Regardless, </w:t>
      </w:r>
      <w:proofErr w:type="gramStart"/>
      <w:r>
        <w:t>the end result</w:t>
      </w:r>
      <w:proofErr w:type="gramEnd"/>
      <w:r>
        <w:t xml:space="preserve"> should quantify the area within lands and territories of Indigenous Peoples’ and local communities where</w:t>
      </w:r>
      <w:sdt>
        <w:sdtPr>
          <w:tag w:val="goog_rdk_223"/>
          <w:id w:val="1072581004"/>
        </w:sdtPr>
        <w:sdtContent>
          <w:r>
            <w:t xml:space="preserve"> </w:t>
          </w:r>
        </w:sdtContent>
      </w:sdt>
      <w:sdt>
        <w:sdtPr>
          <w:tag w:val="goog_rdk_224"/>
          <w:id w:val="-1568031035"/>
          <w:showingPlcHdr/>
        </w:sdtPr>
        <w:sdtContent>
          <w:r>
            <w:t xml:space="preserve">     </w:t>
          </w:r>
        </w:sdtContent>
      </w:sdt>
      <w:r>
        <w:t>land cover</w:t>
      </w:r>
      <w:sdt>
        <w:sdtPr>
          <w:tag w:val="goog_rdk_225"/>
          <w:id w:val="-91257594"/>
        </w:sdtPr>
        <w:sdtContent>
          <w:r>
            <w:t>/land use</w:t>
          </w:r>
        </w:sdtContent>
      </w:sdt>
      <w:r>
        <w:t xml:space="preserve"> remains neutral or improved relative to a baseline year as a proportion of the total area of lands and territories held or used by Indigenous Peoples and local communities.  </w:t>
      </w:r>
    </w:p>
    <w:p w14:paraId="38415DC8" w14:textId="4A4F226F" w:rsidR="00F83AF8" w:rsidRDefault="00D8392C" w:rsidP="00812871">
      <w:pPr>
        <w:pStyle w:val="CBDNormalNumber"/>
        <w:shd w:val="clear" w:color="auto" w:fill="FFFFFF"/>
        <w:tabs>
          <w:tab w:val="clear" w:pos="1701"/>
        </w:tabs>
        <w:ind w:left="567"/>
      </w:pPr>
      <w:r>
        <w:t>The methods for component (c) are aligned with the methods for SDG 15.3.1 “Proportion of land that is degraded over total land area”</w:t>
      </w:r>
      <w:r>
        <w:rPr>
          <w:vertAlign w:val="superscript"/>
        </w:rPr>
        <w:footnoteReference w:id="61"/>
      </w:r>
      <w:r>
        <w:t xml:space="preserve"> and SDG 15.4.2(b) “Proportion of degraded mountain land”</w:t>
      </w:r>
      <w:r>
        <w:rPr>
          <w:vertAlign w:val="superscript"/>
        </w:rPr>
        <w:footnoteReference w:id="62"/>
      </w:r>
      <w:r>
        <w:t xml:space="preserve"> but reports the inverse value (i.e., reports non-degraded area instead of degraded area) within Indigenous and local community lands and territories. The same land cover</w:t>
      </w:r>
      <w:sdt>
        <w:sdtPr>
          <w:tag w:val="goog_rdk_226"/>
          <w:id w:val="1097759622"/>
        </w:sdtPr>
        <w:sdtContent>
          <w:r>
            <w:t>/land use</w:t>
          </w:r>
        </w:sdtContent>
      </w:sdt>
      <w:r>
        <w:t xml:space="preserve"> </w:t>
      </w:r>
      <w:sdt>
        <w:sdtPr>
          <w:tag w:val="goog_rdk_227"/>
          <w:id w:val="-1153693531"/>
          <w:showingPlcHdr/>
        </w:sdtPr>
        <w:sdtContent>
          <w:r>
            <w:t xml:space="preserve">     </w:t>
          </w:r>
        </w:sdtContent>
      </w:sdt>
      <w:r>
        <w:t xml:space="preserve">change data used for SDG 15.3.1 and 15.4.2 could be used for reporting on this indicator, many of which are detailed in the respective metadata sheets and </w:t>
      </w:r>
      <w:r w:rsidRPr="00F83AF8">
        <w:rPr>
          <w:i/>
          <w:iCs/>
        </w:rPr>
        <w:t>Good Practice Guidance for SDG Indicator 15.3.</w:t>
      </w:r>
      <w:r>
        <w:t>1</w:t>
      </w:r>
      <w:r>
        <w:rPr>
          <w:vertAlign w:val="superscript"/>
        </w:rPr>
        <w:footnoteReference w:id="63"/>
      </w:r>
      <w:r>
        <w:t xml:space="preserve">.  </w:t>
      </w:r>
    </w:p>
    <w:p w14:paraId="66590B20" w14:textId="13B498B8" w:rsidR="00025C8F" w:rsidRDefault="00D8392C" w:rsidP="00812871">
      <w:pPr>
        <w:pStyle w:val="CBDNormalNumber"/>
        <w:numPr>
          <w:ilvl w:val="0"/>
          <w:numId w:val="156"/>
        </w:numPr>
        <w:shd w:val="clear" w:color="auto" w:fill="FFFFFF"/>
        <w:tabs>
          <w:tab w:val="clear" w:pos="1701"/>
        </w:tabs>
        <w:ind w:left="567" w:firstLine="0"/>
      </w:pPr>
      <w:r>
        <w:t xml:space="preserve">In lieu of using </w:t>
      </w:r>
      <w:sdt>
        <w:sdtPr>
          <w:tag w:val="goog_rdk_228"/>
          <w:id w:val="218220389"/>
          <w:showingPlcHdr/>
        </w:sdtPr>
        <w:sdtContent>
          <w:r>
            <w:t xml:space="preserve">     </w:t>
          </w:r>
        </w:sdtContent>
      </w:sdt>
      <w:r>
        <w:t>land cover</w:t>
      </w:r>
      <w:sdt>
        <w:sdtPr>
          <w:tag w:val="goog_rdk_229"/>
          <w:id w:val="-1255281939"/>
        </w:sdtPr>
        <w:sdtContent>
          <w:r>
            <w:t>/land use</w:t>
          </w:r>
        </w:sdtContent>
      </w:sdt>
      <w:r>
        <w:t xml:space="preserve"> data and a change matrix, variations such as analysis of forest cover extent could be used as a proxy. For example, data on area of forest cover within the lands and territories of Indigenous Peoples and local communities as a proportion of total area held or used by Indigenous Peoples and local communities and its change over time could serve as a proxy for analysis of land cover</w:t>
      </w:r>
      <w:sdt>
        <w:sdtPr>
          <w:tag w:val="goog_rdk_230"/>
          <w:id w:val="305591165"/>
        </w:sdtPr>
        <w:sdtContent>
          <w:r>
            <w:t>/land use</w:t>
          </w:r>
        </w:sdtContent>
      </w:sdt>
      <w:r>
        <w:t xml:space="preserve"> data for forest-dominant countries.</w:t>
      </w:r>
    </w:p>
    <w:p w14:paraId="270DB93A" w14:textId="77777777" w:rsidR="002A06F3" w:rsidRDefault="002A06F3">
      <w:pPr>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br w:type="page"/>
      </w:r>
    </w:p>
    <w:p w14:paraId="1A0E7475" w14:textId="6902EFE9" w:rsidR="00287F00" w:rsidRPr="00157FE7" w:rsidRDefault="00F44DC5" w:rsidP="00157FE7">
      <w:pPr>
        <w:pStyle w:val="Heading3"/>
        <w:rPr>
          <w:rStyle w:val="normaltextrun"/>
        </w:rPr>
      </w:pPr>
      <w:bookmarkStart w:id="82" w:name="_Toc233278593"/>
      <w:bookmarkStart w:id="83" w:name="_Toc178285883"/>
      <w:r w:rsidRPr="00157FE7">
        <w:rPr>
          <w:rStyle w:val="normaltextrun"/>
        </w:rPr>
        <w:lastRenderedPageBreak/>
        <w:t>Binary</w:t>
      </w:r>
      <w:r w:rsidR="00287F00" w:rsidRPr="00157FE7">
        <w:rPr>
          <w:rStyle w:val="normaltextrun"/>
        </w:rPr>
        <w:t xml:space="preserve"> indicator 22.b</w:t>
      </w:r>
      <w:bookmarkEnd w:id="82"/>
      <w:r w:rsidR="00287F00" w:rsidRPr="00157FE7">
        <w:rPr>
          <w:rStyle w:val="normaltextrun"/>
        </w:rPr>
        <w:t xml:space="preserve"> </w:t>
      </w:r>
      <w:bookmarkEnd w:id="83"/>
    </w:p>
    <w:p w14:paraId="0B0F530F" w14:textId="77777777" w:rsidR="00F44DC5" w:rsidRPr="00287F00" w:rsidRDefault="00F44DC5" w:rsidP="00287F00">
      <w:pPr>
        <w:rPr>
          <w:b/>
        </w:rPr>
      </w:pPr>
    </w:p>
    <w:p w14:paraId="3796752F" w14:textId="77777777" w:rsidR="00287F00" w:rsidRPr="003276AA" w:rsidRDefault="00287F00"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Full Indicator Name</w:t>
      </w:r>
    </w:p>
    <w:p w14:paraId="221A6D42" w14:textId="77777777" w:rsidR="00287F00" w:rsidRPr="00287F00" w:rsidRDefault="00287F00" w:rsidP="00287F00">
      <w:r w:rsidRPr="00287F00">
        <w:t>Number of countries taking action towards the full, equitable, inclusive, effective and gender</w:t>
      </w:r>
      <w:r w:rsidRPr="00287F00">
        <w:noBreakHyphen/>
        <w:t xml:space="preserve">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 </w:t>
      </w:r>
    </w:p>
    <w:p w14:paraId="211708A8" w14:textId="77777777" w:rsidR="00F44DC5" w:rsidRDefault="00F44DC5" w:rsidP="00287F00">
      <w:pPr>
        <w:rPr>
          <w:b/>
          <w:bCs/>
        </w:rPr>
      </w:pPr>
    </w:p>
    <w:p w14:paraId="6ADE4701" w14:textId="3313FE7E" w:rsidR="00287F00" w:rsidRPr="003276AA" w:rsidRDefault="00287F00" w:rsidP="003276AA">
      <w:pPr>
        <w:pStyle w:val="paragraph"/>
        <w:pBdr>
          <w:bottom w:val="single" w:sz="4" w:space="1" w:color="000000"/>
        </w:pBdr>
        <w:spacing w:before="0" w:beforeAutospacing="0" w:after="0" w:afterAutospacing="0"/>
        <w:textAlignment w:val="baseline"/>
        <w:rPr>
          <w:b/>
          <w:bCs/>
        </w:rPr>
      </w:pPr>
      <w:r w:rsidRPr="003276AA">
        <w:rPr>
          <w:rStyle w:val="normaltextrun"/>
          <w:rFonts w:asciiTheme="majorBidi" w:eastAsiaTheme="majorEastAsia" w:hAnsiTheme="majorBidi" w:cstheme="majorBidi"/>
          <w:b/>
          <w:bCs/>
          <w:sz w:val="22"/>
          <w:szCs w:val="22"/>
          <w:lang w:val="en-GB"/>
        </w:rPr>
        <w:t>Goals and Targets Addressed</w:t>
      </w:r>
    </w:p>
    <w:p w14:paraId="6C56DCE2" w14:textId="77777777" w:rsidR="00287F00" w:rsidRPr="00287F00" w:rsidRDefault="00287F00" w:rsidP="00287F00">
      <w:pPr>
        <w:rPr>
          <w:b/>
          <w:bCs/>
        </w:rPr>
      </w:pPr>
    </w:p>
    <w:p w14:paraId="007B19A4" w14:textId="6EBEB3CD" w:rsidR="00287F00" w:rsidRPr="00287F00" w:rsidRDefault="00287F00" w:rsidP="00287F00">
      <w:r w:rsidRPr="00287F00">
        <w:t>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5EB38121" w14:textId="77777777" w:rsidR="00F44DC5" w:rsidRDefault="00F44DC5" w:rsidP="00287F00">
      <w:pPr>
        <w:rPr>
          <w:b/>
          <w:bCs/>
        </w:rPr>
      </w:pPr>
    </w:p>
    <w:p w14:paraId="0D935F0E" w14:textId="6FDF25A1" w:rsidR="00287F00" w:rsidRPr="003276AA" w:rsidRDefault="00287F00"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Rationale</w:t>
      </w:r>
    </w:p>
    <w:p w14:paraId="39A09CCE" w14:textId="77777777" w:rsidR="00F44DC5" w:rsidRDefault="00287F00" w:rsidP="00157FE7">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F44DC5">
        <w:rPr>
          <w:rFonts w:asciiTheme="majorBidi" w:hAnsiTheme="majorBidi" w:cstheme="majorBidi"/>
        </w:rPr>
        <w:t xml:space="preserve">Indigenous peoples and local </w:t>
      </w:r>
      <w:proofErr w:type="gramStart"/>
      <w:r w:rsidRPr="00F44DC5">
        <w:rPr>
          <w:rFonts w:asciiTheme="majorBidi" w:hAnsiTheme="majorBidi" w:cstheme="majorBidi"/>
        </w:rPr>
        <w:t>communities  have</w:t>
      </w:r>
      <w:proofErr w:type="gramEnd"/>
      <w:r w:rsidRPr="00F44DC5">
        <w:rPr>
          <w:rFonts w:asciiTheme="majorBidi" w:hAnsiTheme="majorBidi" w:cstheme="majorBidi"/>
        </w:rPr>
        <w:t xml:space="preserve"> a cultural and holistic understanding of nature based on their traditional knowledge, practices and innovation. This information and understanding of biodiversity in turn play a crucial role in the conservation and sustainable use of biodiversity. The insights of indigenous peoples and local communities on local ecosystems play a fundamental role in developing conservation initiatives that integrate cultural values and traditional governance systems, including sustainable use such as resource management techniques, traditional hunting and fishing, and elective harvesting. Further, their lands encompass diverse ecosystems, ranging from forests and wetlands to mountains and coastal areas with high concentrations of biodiversity and often promote sustainable land use, including agroforestry, rotational farming and community-based conservation management systems. Involving indigenous peoples and local communities in biodiversity conservation and sustainable use, and the recognition of their perspectives and expertise can contribute to the development of context-specific and effective conservation and sustainable use strategies. This participation of indigenous peoples and local communities must further be done in a way that respects their cultures and their rights over lands, territories, resources, and traditional knowledge, promoting access to justice and information in the process. Only through full, equitable, inclusive, effective and gender-responsive representation and participation can the goals of target 22 and the Framework be fully achieved.</w:t>
      </w:r>
    </w:p>
    <w:p w14:paraId="69BD7FB9" w14:textId="77777777" w:rsidR="00F44DC5" w:rsidRPr="00F44DC5" w:rsidRDefault="00287F00" w:rsidP="00157FE7">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157FE7">
        <w:rPr>
          <w:rFonts w:asciiTheme="majorBidi" w:hAnsiTheme="majorBidi" w:cstheme="majorBidi"/>
        </w:rPr>
        <w:t xml:space="preserve">The target also recognizes the importance of meaningful participation in decision-making, access to justice, and access to information of women and girls, as well as the inclusion of children, youth and persons with disabilities. This indicator can provide a picture of the processes and means that countries have put in place to promote these rights, toward empowering these groups to actively contribute to biodiversity conservation and sustainable use and promoting social equity for groups in vulnerable situations. It also highlights the need to protect environmental human rights defenders as they are at the forefront of protecting biodiversity by monitoring and exposing environmental violations, promoting sustainable practices and advocating for a human rights-based approach to conservation efforts. Many environmental defenders face threats to their lives and safety in the face of doing this work. As such, this indicator tracks the progress of national efforts towards the protection of these groups. </w:t>
      </w:r>
    </w:p>
    <w:p w14:paraId="4728BC2C" w14:textId="2E2C04B6" w:rsidR="00287F00" w:rsidRPr="00F44DC5" w:rsidRDefault="00287F00" w:rsidP="00157FE7">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157FE7">
        <w:rPr>
          <w:rFonts w:asciiTheme="majorBidi" w:hAnsiTheme="majorBidi" w:cstheme="majorBidi"/>
        </w:rPr>
        <w:lastRenderedPageBreak/>
        <w:t>The elements reflected in this binary indicator are cross-cutting in nature and relate to several aspects in Section C of the Kunming-Montreal Global Biodiversity Framework, including the contributions and rights of indigenous peoples and local communities, whole-of-society approach, intergenerational equity, gender, and a human rights-based approach.</w:t>
      </w:r>
    </w:p>
    <w:p w14:paraId="00C7AD0B" w14:textId="77777777" w:rsidR="00287F00" w:rsidRPr="003276AA" w:rsidRDefault="00287F00"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Definitions Concepts and Classifications</w:t>
      </w:r>
    </w:p>
    <w:p w14:paraId="0746364C" w14:textId="77777777" w:rsidR="00287F00" w:rsidRPr="00287F00" w:rsidRDefault="00287F00" w:rsidP="00287F00">
      <w:pPr>
        <w:rPr>
          <w:b/>
          <w:bCs/>
        </w:rPr>
      </w:pPr>
      <w:r w:rsidRPr="00287F00">
        <w:rPr>
          <w:b/>
          <w:bCs/>
        </w:rPr>
        <w:t>Definition</w:t>
      </w:r>
    </w:p>
    <w:p w14:paraId="520736CE" w14:textId="77777777" w:rsidR="00711AE5" w:rsidRPr="006E0608" w:rsidRDefault="00287F00" w:rsidP="006E0608">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6E0608">
        <w:rPr>
          <w:rFonts w:asciiTheme="majorBidi" w:hAnsiTheme="majorBidi" w:cstheme="majorBidi"/>
        </w:rPr>
        <w:t xml:space="preserve">Full protection: Measures that can be taken to safeguard individuals or groups who work to protect the environment, advocate for environmental justice, and defend the rights of indigenous peoples and local communities. Key aspects of protecting environmental human rights defenders could include but are not limited </w:t>
      </w:r>
      <w:proofErr w:type="gramStart"/>
      <w:r w:rsidRPr="006E0608">
        <w:rPr>
          <w:rFonts w:asciiTheme="majorBidi" w:hAnsiTheme="majorBidi" w:cstheme="majorBidi"/>
        </w:rPr>
        <w:t>to:</w:t>
      </w:r>
      <w:proofErr w:type="gramEnd"/>
      <w:r w:rsidRPr="006E0608">
        <w:rPr>
          <w:rFonts w:asciiTheme="majorBidi" w:hAnsiTheme="majorBidi" w:cstheme="majorBidi"/>
        </w:rPr>
        <w:t xml:space="preserve"> preventing violence and intimidation by providing legal protection, effective remedies and secure exercise of their rights free from reprisals and retaliation and raising awareness about the important role of environmental human rights defenders.</w:t>
      </w:r>
    </w:p>
    <w:p w14:paraId="38A184F3" w14:textId="77777777" w:rsidR="00711AE5" w:rsidRPr="006E0608" w:rsidRDefault="00287F00" w:rsidP="006E0608">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6E0608">
        <w:rPr>
          <w:rFonts w:asciiTheme="majorBidi" w:hAnsiTheme="majorBidi" w:cstheme="majorBidi"/>
        </w:rPr>
        <w:t>Human rights defenders: everyone exercising their right, individually and in association with others, to promote and to strive for the protection and realization of human rights and fundamental freedoms at national and international levels, including trade unionists and some journalists. (UN Declaration on Human Rights Defenders, A/Res/53/144)</w:t>
      </w:r>
    </w:p>
    <w:p w14:paraId="235DACE6" w14:textId="77777777" w:rsidR="00711AE5" w:rsidRPr="006E0608" w:rsidRDefault="00287F00" w:rsidP="006E0608">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6E0608">
        <w:rPr>
          <w:rFonts w:asciiTheme="majorBidi" w:hAnsiTheme="majorBidi" w:cstheme="majorBidi"/>
        </w:rPr>
        <w:t>Environmental human rights defenders: Individuals and groups who, in their personal or professional capacity and in a peaceful manner, strive to protect and promote human rights relating to the environment, including water, air, land, flora and fauna (UNEP)</w:t>
      </w:r>
    </w:p>
    <w:p w14:paraId="69E456F9" w14:textId="77777777" w:rsidR="00711AE5" w:rsidRPr="006E0608" w:rsidRDefault="00287F00" w:rsidP="006E0608">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6E0608">
        <w:rPr>
          <w:rFonts w:asciiTheme="majorBidi" w:hAnsiTheme="majorBidi" w:cstheme="majorBidi"/>
        </w:rPr>
        <w:t>Children: A child is recognized as a person under 18, unless national laws recognize the age of majority earlier.</w:t>
      </w:r>
    </w:p>
    <w:p w14:paraId="593AFBB8" w14:textId="77777777" w:rsidR="00711AE5" w:rsidRPr="006E0608" w:rsidRDefault="00287F00" w:rsidP="006E0608">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6E0608">
        <w:rPr>
          <w:rFonts w:asciiTheme="majorBidi" w:hAnsiTheme="majorBidi" w:cstheme="majorBidi"/>
        </w:rPr>
        <w:t xml:space="preserve">Youth: There is no universally agreed international definition of the youth age group. For statistical purposes, however, the United Nations—without prejudice to any other definitions made by Member States—defines “youth” as those persons between the ages of 15 and 24 years. This definition, which arose in the context of preparations for the </w:t>
      </w:r>
      <w:hyperlink r:id="rId557" w:history="1">
        <w:r w:rsidRPr="006E0608">
          <w:rPr>
            <w:rFonts w:asciiTheme="majorBidi" w:hAnsiTheme="majorBidi" w:cstheme="majorBidi"/>
          </w:rPr>
          <w:t>International Youth Year</w:t>
        </w:r>
      </w:hyperlink>
      <w:r w:rsidRPr="006E0608">
        <w:rPr>
          <w:rFonts w:asciiTheme="majorBidi" w:hAnsiTheme="majorBidi" w:cstheme="majorBidi"/>
        </w:rPr>
        <w:t xml:space="preserve"> (1985) (see </w:t>
      </w:r>
      <w:hyperlink r:id="rId558" w:history="1">
        <w:r w:rsidRPr="006E0608">
          <w:rPr>
            <w:rFonts w:asciiTheme="majorBidi" w:hAnsiTheme="majorBidi" w:cstheme="majorBidi"/>
          </w:rPr>
          <w:t>A/36/215</w:t>
        </w:r>
      </w:hyperlink>
      <w:r w:rsidRPr="006E0608">
        <w:rPr>
          <w:rFonts w:asciiTheme="majorBidi" w:hAnsiTheme="majorBidi" w:cstheme="majorBidi"/>
        </w:rPr>
        <w:t xml:space="preserve">), was endorsed by the General Assembly in its resolution </w:t>
      </w:r>
      <w:hyperlink r:id="rId559" w:history="1">
        <w:r w:rsidRPr="006E0608">
          <w:rPr>
            <w:rFonts w:asciiTheme="majorBidi" w:hAnsiTheme="majorBidi" w:cstheme="majorBidi"/>
          </w:rPr>
          <w:t>36/28</w:t>
        </w:r>
      </w:hyperlink>
      <w:r w:rsidRPr="006E0608">
        <w:rPr>
          <w:rFonts w:asciiTheme="majorBidi" w:hAnsiTheme="majorBidi" w:cstheme="majorBidi"/>
        </w:rPr>
        <w:t xml:space="preserve"> of 1981. All UN statistics on youth are based on this definition, as is reflected in the annual yearbooks of statistics published by the </w:t>
      </w:r>
      <w:hyperlink r:id="rId560" w:history="1">
        <w:r w:rsidRPr="006E0608">
          <w:rPr>
            <w:rFonts w:asciiTheme="majorBidi" w:hAnsiTheme="majorBidi" w:cstheme="majorBidi"/>
          </w:rPr>
          <w:t>UN system</w:t>
        </w:r>
      </w:hyperlink>
      <w:r w:rsidRPr="006E0608">
        <w:rPr>
          <w:rFonts w:asciiTheme="majorBidi" w:hAnsiTheme="majorBidi" w:cstheme="majorBidi"/>
        </w:rPr>
        <w:t xml:space="preserve"> on demography, education, employment and health.</w:t>
      </w:r>
    </w:p>
    <w:p w14:paraId="17C3E2AF" w14:textId="77777777" w:rsidR="00711AE5" w:rsidRPr="004F2C03" w:rsidRDefault="00287F00" w:rsidP="004F2C03">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4F2C03">
        <w:rPr>
          <w:rFonts w:asciiTheme="majorBidi" w:hAnsiTheme="majorBidi" w:cstheme="majorBidi"/>
        </w:rPr>
        <w:t>Persons with disabilities: Persons with disabilities include those who have long-term physical, mental, intellectual or sensory impairments which in interaction with various barriers may hinder their full and effective participation in society on an equal basis with others.</w:t>
      </w:r>
    </w:p>
    <w:p w14:paraId="4977E9A3" w14:textId="77777777" w:rsidR="00711AE5" w:rsidRPr="004F2C03" w:rsidRDefault="00287F00" w:rsidP="004F2C03">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4F2C03">
        <w:rPr>
          <w:rFonts w:asciiTheme="majorBidi" w:hAnsiTheme="majorBidi" w:cstheme="majorBidi"/>
        </w:rPr>
        <w:t xml:space="preserve">Gender-responsive: A gender responsive approach is one that moves beyond “do no harm” to “do better”, towards changing gender norms, roles and access to resources. Gender responsiveness refers to processes and outcomes that reflect an understanding of and </w:t>
      </w:r>
      <w:proofErr w:type="gramStart"/>
      <w:r w:rsidRPr="004F2C03">
        <w:rPr>
          <w:rFonts w:asciiTheme="majorBidi" w:hAnsiTheme="majorBidi" w:cstheme="majorBidi"/>
        </w:rPr>
        <w:t>take into account</w:t>
      </w:r>
      <w:proofErr w:type="gramEnd"/>
      <w:r w:rsidRPr="004F2C03">
        <w:rPr>
          <w:rFonts w:asciiTheme="majorBidi" w:hAnsiTheme="majorBidi" w:cstheme="majorBidi"/>
        </w:rPr>
        <w:t xml:space="preserve"> gender dynamics, roles, and inequalities </w:t>
      </w:r>
      <w:proofErr w:type="gramStart"/>
      <w:r w:rsidRPr="004F2C03">
        <w:rPr>
          <w:rFonts w:asciiTheme="majorBidi" w:hAnsiTheme="majorBidi" w:cstheme="majorBidi"/>
        </w:rPr>
        <w:t>in a given</w:t>
      </w:r>
      <w:proofErr w:type="gramEnd"/>
      <w:r w:rsidRPr="004F2C03">
        <w:rPr>
          <w:rFonts w:asciiTheme="majorBidi" w:hAnsiTheme="majorBidi" w:cstheme="majorBidi"/>
        </w:rPr>
        <w:t xml:space="preserve"> society, and which encourage equal participation and fair distribution of benefits. Gender responsive approaches are based on gender analysis to understand the norms and expectations for women and girls and men and boys in relevant contexts, to inform the design of appropriate interventions. (CBD, SBI3)</w:t>
      </w:r>
    </w:p>
    <w:p w14:paraId="13165903" w14:textId="77777777" w:rsidR="00711AE5" w:rsidRPr="004F2C03" w:rsidRDefault="00287F00" w:rsidP="004F2C03">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4F2C03">
        <w:rPr>
          <w:rFonts w:asciiTheme="majorBidi" w:hAnsiTheme="majorBidi" w:cstheme="majorBidi"/>
        </w:rPr>
        <w:t xml:space="preserve">Indigenous peoples and local communities: The Convention on Biological Diversity does not define the terms indigenous and local communities or indigenous peoples and local communities. The United Nations Declaration on the Rights of Indigenous Peoples does not adopt or recommend a universal definition for Indigenous Peoples (Decision CBD/COP/DEC/14/13). Indigenous peoples are also known as first peoples, aboriginal peoples, native peoples, or autochthonous peoples, are ethnic groups who are descended from and identify with the original inhabitants of a given region, in contrast to groups that have settled, occupied or colonized the area more recently. The distinctive groups, usually maintaining traditions or other aspects of an early culture that is associated with a given region, are protected in international or national legislation as having a set of specific rights based on their linguistic and historical ties to a particular territory, prior to later settlement, development, and or occupation of a region. Local community is a self-identified human group that </w:t>
      </w:r>
      <w:r w:rsidRPr="004F2C03">
        <w:rPr>
          <w:rFonts w:asciiTheme="majorBidi" w:hAnsiTheme="majorBidi" w:cstheme="majorBidi"/>
        </w:rPr>
        <w:lastRenderedPageBreak/>
        <w:t xml:space="preserve">relates to a life environment in collective ways that participate to define a shared territory and culture. The members of a local community have frequent chances of direct (possibly face-to-face) encounters and possess some common history, traditions, institutions, language, values and life plans. A local community can be long-standing (“traditional”) or relatively new, include a single or multiple ethnic identities and be permanently settled or mobile. A local community should have a form of political identity that enables it to exercise its rights and responsibilities with respect to its territory and </w:t>
      </w:r>
      <w:proofErr w:type="spellStart"/>
      <w:r w:rsidRPr="004F2C03">
        <w:rPr>
          <w:rFonts w:asciiTheme="majorBidi" w:hAnsiTheme="majorBidi" w:cstheme="majorBidi"/>
        </w:rPr>
        <w:t>neighbors</w:t>
      </w:r>
      <w:proofErr w:type="spellEnd"/>
      <w:r w:rsidRPr="004F2C03">
        <w:rPr>
          <w:rFonts w:asciiTheme="majorBidi" w:hAnsiTheme="majorBidi" w:cstheme="majorBidi"/>
        </w:rPr>
        <w:t>.</w:t>
      </w:r>
    </w:p>
    <w:p w14:paraId="5DDD58E7" w14:textId="77777777" w:rsidR="00711AE5" w:rsidRPr="004F2C03" w:rsidRDefault="00287F00" w:rsidP="004F2C03">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4F2C03">
        <w:rPr>
          <w:rFonts w:asciiTheme="majorBidi" w:hAnsiTheme="majorBidi" w:cstheme="majorBidi"/>
        </w:rPr>
        <w:t>Access to justice: The ability of people to seek and obtain a just resolution of legal problems through a wide range of legal and justice services. These services include legal information, counsel and representation, formal (e.g. courts) and alternative dispute resolution, and enforcement mechanisms. Emphasis should also be placed on legal empowerment, which enables people’s meaningful participation in the justice system and builds their capability to understand and use the law for themselves. The rule of law requires impartial and non-discriminatory justice. Without equal access, a large portion of the population can be left behind and their vulnerabilities exposed.</w:t>
      </w:r>
    </w:p>
    <w:p w14:paraId="19A7BED3" w14:textId="0F8AE0C3" w:rsidR="00287F00" w:rsidRPr="004F2C03" w:rsidRDefault="00287F00" w:rsidP="004F2C03">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4F2C03">
        <w:rPr>
          <w:rFonts w:asciiTheme="majorBidi" w:hAnsiTheme="majorBidi" w:cstheme="majorBidi"/>
        </w:rPr>
        <w:t>Access to information: Access to Information has two principle components: the obligation for states to have a legal framework that is also implemented in practice, that: entitles public to request access to information (documents and other information recorded in any format) and to respond to such requests in a timely fashion and obliges authorities to ensure that information of public interest is put into the public domain proactively, without the need for requests.</w:t>
      </w:r>
    </w:p>
    <w:p w14:paraId="53506E9B" w14:textId="77777777" w:rsidR="00287F00" w:rsidRPr="00287F00" w:rsidRDefault="00287F00" w:rsidP="00287F00"/>
    <w:p w14:paraId="4FB014DD" w14:textId="77777777" w:rsidR="00287F00" w:rsidRPr="003276AA" w:rsidRDefault="00287F00"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Method of Computation</w:t>
      </w:r>
    </w:p>
    <w:p w14:paraId="311D32FC" w14:textId="77777777" w:rsidR="00287F00" w:rsidRPr="004F2C03" w:rsidRDefault="00287F00" w:rsidP="004F2C03">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4F2C03">
        <w:rPr>
          <w:rFonts w:asciiTheme="majorBidi" w:hAnsiTheme="majorBidi" w:cstheme="majorBidi"/>
        </w:rPr>
        <w:t>This indicator is a binary indicator and must be compiled from the answers to three questions and eight sub questions:</w:t>
      </w:r>
    </w:p>
    <w:p w14:paraId="311635CC" w14:textId="77777777" w:rsidR="00A261DB" w:rsidRDefault="00287F00" w:rsidP="00A261DB">
      <w:pPr>
        <w:pStyle w:val="CBDNormalNumber"/>
        <w:numPr>
          <w:ilvl w:val="1"/>
          <w:numId w:val="450"/>
        </w:numPr>
        <w:shd w:val="clear" w:color="auto" w:fill="FFFFFF"/>
        <w:tabs>
          <w:tab w:val="clear" w:pos="1701"/>
        </w:tabs>
      </w:pPr>
      <w:r w:rsidRPr="00287F00">
        <w:t>22.1 Does your country have policy, legislative and administrative frameworks at the national and subnational levels that:</w:t>
      </w:r>
    </w:p>
    <w:p w14:paraId="73F0ABE9" w14:textId="77777777" w:rsidR="00A261DB" w:rsidRDefault="00287F00" w:rsidP="00A261DB">
      <w:pPr>
        <w:pStyle w:val="CBDNormalNumber"/>
        <w:numPr>
          <w:ilvl w:val="2"/>
          <w:numId w:val="450"/>
        </w:numPr>
        <w:shd w:val="clear" w:color="auto" w:fill="FFFFFF"/>
        <w:tabs>
          <w:tab w:val="clear" w:pos="1701"/>
        </w:tabs>
      </w:pPr>
      <w:r w:rsidRPr="00287F00">
        <w:t>Ensure the full, equitable, inclusive, effective and gender-responsive representation and participation in biodiversity decision-making related to biodiversity of the following?</w:t>
      </w:r>
    </w:p>
    <w:p w14:paraId="15F9CD85" w14:textId="77777777" w:rsidR="00A261DB" w:rsidRDefault="00287F00" w:rsidP="00A261DB">
      <w:pPr>
        <w:pStyle w:val="CBDNormalNumber"/>
        <w:numPr>
          <w:ilvl w:val="2"/>
          <w:numId w:val="450"/>
        </w:numPr>
        <w:shd w:val="clear" w:color="auto" w:fill="FFFFFF"/>
        <w:tabs>
          <w:tab w:val="clear" w:pos="1701"/>
        </w:tabs>
      </w:pPr>
      <w:r w:rsidRPr="00A261DB">
        <w:t>Respect the following rights of indigenous peoples and local communities (select all that apply)?</w:t>
      </w:r>
    </w:p>
    <w:p w14:paraId="393737E4" w14:textId="77777777" w:rsidR="00A261DB" w:rsidRDefault="00287F00" w:rsidP="00A261DB">
      <w:pPr>
        <w:pStyle w:val="CBDNormalNumber"/>
        <w:numPr>
          <w:ilvl w:val="2"/>
          <w:numId w:val="450"/>
        </w:numPr>
        <w:shd w:val="clear" w:color="auto" w:fill="FFFFFF"/>
        <w:tabs>
          <w:tab w:val="clear" w:pos="1701"/>
        </w:tabs>
      </w:pPr>
      <w:r w:rsidRPr="00A261DB">
        <w:t>Ensure the full protection of environmental human rights defenders?</w:t>
      </w:r>
    </w:p>
    <w:p w14:paraId="22D0E99B" w14:textId="77777777" w:rsidR="00A261DB" w:rsidRDefault="00287F00" w:rsidP="00A261DB">
      <w:pPr>
        <w:pStyle w:val="CBDNormalNumber"/>
        <w:numPr>
          <w:ilvl w:val="2"/>
          <w:numId w:val="450"/>
        </w:numPr>
        <w:shd w:val="clear" w:color="auto" w:fill="FFFFFF"/>
        <w:tabs>
          <w:tab w:val="clear" w:pos="1701"/>
        </w:tabs>
      </w:pPr>
      <w:r w:rsidRPr="00A261DB">
        <w:t>Ensure public access to information related to biodiversity for the following (select all that apply)?</w:t>
      </w:r>
    </w:p>
    <w:p w14:paraId="4D445487" w14:textId="776CC510" w:rsidR="00287F00" w:rsidRPr="00A261DB" w:rsidRDefault="00287F00" w:rsidP="00A261DB">
      <w:pPr>
        <w:pStyle w:val="CBDNormalNumber"/>
        <w:numPr>
          <w:ilvl w:val="2"/>
          <w:numId w:val="450"/>
        </w:numPr>
        <w:shd w:val="clear" w:color="auto" w:fill="FFFFFF"/>
        <w:tabs>
          <w:tab w:val="clear" w:pos="1701"/>
        </w:tabs>
      </w:pPr>
      <w:r w:rsidRPr="00A261DB">
        <w:t>Provide access to justice for one or more of the following categories (select all that apply)?</w:t>
      </w:r>
    </w:p>
    <w:p w14:paraId="516B9369" w14:textId="77777777" w:rsidR="00287F00" w:rsidRPr="00287F00" w:rsidRDefault="00287F00" w:rsidP="00A261DB">
      <w:pPr>
        <w:pStyle w:val="CBDNormalNumber"/>
        <w:numPr>
          <w:ilvl w:val="1"/>
          <w:numId w:val="450"/>
        </w:numPr>
        <w:shd w:val="clear" w:color="auto" w:fill="FFFFFF"/>
        <w:tabs>
          <w:tab w:val="clear" w:pos="1701"/>
        </w:tabs>
      </w:pPr>
      <w:r w:rsidRPr="00287F00">
        <w:t>22.2 Does your country have operational frameworks and mechanisms related to the policy, legislative and administrative frameworks listed under question 22.1?</w:t>
      </w:r>
    </w:p>
    <w:p w14:paraId="27031137" w14:textId="77777777" w:rsidR="00287F00" w:rsidRDefault="00287F00" w:rsidP="00A261DB">
      <w:pPr>
        <w:pStyle w:val="CBDNormalNumber"/>
        <w:numPr>
          <w:ilvl w:val="1"/>
          <w:numId w:val="450"/>
        </w:numPr>
        <w:shd w:val="clear" w:color="auto" w:fill="FFFFFF"/>
        <w:tabs>
          <w:tab w:val="clear" w:pos="1701"/>
        </w:tabs>
      </w:pPr>
      <w:r w:rsidRPr="00287F00">
        <w:t>22.3 Does your country monitor:</w:t>
      </w:r>
    </w:p>
    <w:p w14:paraId="62467FB3" w14:textId="4E6A7E85" w:rsidR="00773247" w:rsidRPr="00773247" w:rsidRDefault="00773247" w:rsidP="003D1C66">
      <w:pPr>
        <w:pStyle w:val="CBDNormalNumber"/>
        <w:numPr>
          <w:ilvl w:val="2"/>
          <w:numId w:val="450"/>
        </w:numPr>
        <w:shd w:val="clear" w:color="auto" w:fill="FFFFFF"/>
        <w:tabs>
          <w:tab w:val="clear" w:pos="1701"/>
        </w:tabs>
      </w:pPr>
      <w:r w:rsidRPr="00773247">
        <w:rPr>
          <w:lang w:val="en-CA"/>
        </w:rPr>
        <w:t>(a) The full, equitable, inclusive, effective and gender-responsive representation and participation in biodiversity decision-making of the following (select all that apply)</w:t>
      </w:r>
      <w:r w:rsidR="003D1C66">
        <w:rPr>
          <w:lang w:val="en-CA"/>
        </w:rPr>
        <w:t>?</w:t>
      </w:r>
    </w:p>
    <w:p w14:paraId="7B5DE0F4" w14:textId="31E3C68C" w:rsidR="00773247" w:rsidRPr="003D1C66" w:rsidRDefault="00773247" w:rsidP="003D1C66">
      <w:pPr>
        <w:pStyle w:val="CBDNormalNumber"/>
        <w:numPr>
          <w:ilvl w:val="2"/>
          <w:numId w:val="450"/>
        </w:numPr>
        <w:shd w:val="clear" w:color="auto" w:fill="FFFFFF"/>
        <w:tabs>
          <w:tab w:val="clear" w:pos="1701"/>
        </w:tabs>
      </w:pPr>
      <w:r w:rsidRPr="00773247">
        <w:rPr>
          <w:lang w:val="en-CA"/>
        </w:rPr>
        <w:t>(b) The following culture and rights of indigenous peoples and local communities (select all that apply)</w:t>
      </w:r>
      <w:r w:rsidR="003D1C66">
        <w:rPr>
          <w:lang w:val="en-CA"/>
        </w:rPr>
        <w:t>?</w:t>
      </w:r>
    </w:p>
    <w:p w14:paraId="4D1D5084" w14:textId="079D6909" w:rsidR="003D1C66" w:rsidRPr="00287F00" w:rsidRDefault="003D1C66" w:rsidP="003D1C66">
      <w:pPr>
        <w:pStyle w:val="CBDNormalNumber"/>
        <w:numPr>
          <w:ilvl w:val="2"/>
          <w:numId w:val="450"/>
        </w:numPr>
        <w:shd w:val="clear" w:color="auto" w:fill="FFFFFF"/>
        <w:tabs>
          <w:tab w:val="clear" w:pos="1701"/>
        </w:tabs>
      </w:pPr>
      <w:r w:rsidRPr="003D1C66">
        <w:rPr>
          <w:lang w:val="en-CA"/>
        </w:rPr>
        <w:t>(c) The full protection of environmental human rights defenders?</w:t>
      </w:r>
    </w:p>
    <w:p w14:paraId="1591207C" w14:textId="77777777" w:rsidR="00320DB5" w:rsidRDefault="00287F00" w:rsidP="00320DB5">
      <w:pPr>
        <w:pStyle w:val="CBDNormalNumber"/>
        <w:numPr>
          <w:ilvl w:val="0"/>
          <w:numId w:val="450"/>
        </w:numPr>
        <w:shd w:val="clear" w:color="auto" w:fill="FFFFFF"/>
        <w:tabs>
          <w:tab w:val="clear" w:pos="1701"/>
        </w:tabs>
        <w:ind w:left="1134" w:hanging="567"/>
      </w:pPr>
      <w:r w:rsidRPr="00287F00">
        <w:t>There</w:t>
      </w:r>
      <w:r w:rsidRPr="003D1C66">
        <w:t xml:space="preserve"> are five possible answers to questions 22.1a, 22.1d, 22.1e and 22.3a:</w:t>
      </w:r>
    </w:p>
    <w:p w14:paraId="2F97EEEC" w14:textId="77777777" w:rsidR="00320DB5" w:rsidRDefault="00287F00" w:rsidP="00320DB5">
      <w:pPr>
        <w:pStyle w:val="CBDNormalNumber"/>
        <w:numPr>
          <w:ilvl w:val="1"/>
          <w:numId w:val="450"/>
        </w:numPr>
        <w:shd w:val="clear" w:color="auto" w:fill="FFFFFF"/>
        <w:tabs>
          <w:tab w:val="clear" w:pos="1701"/>
        </w:tabs>
      </w:pPr>
      <w:r w:rsidRPr="00320DB5">
        <w:lastRenderedPageBreak/>
        <w:t>Indigenous peoples and local communities</w:t>
      </w:r>
    </w:p>
    <w:p w14:paraId="58FC3A3D" w14:textId="77777777" w:rsidR="00320DB5" w:rsidRDefault="00287F00" w:rsidP="00320DB5">
      <w:pPr>
        <w:pStyle w:val="CBDNormalNumber"/>
        <w:numPr>
          <w:ilvl w:val="1"/>
          <w:numId w:val="450"/>
        </w:numPr>
        <w:shd w:val="clear" w:color="auto" w:fill="FFFFFF"/>
        <w:tabs>
          <w:tab w:val="clear" w:pos="1701"/>
        </w:tabs>
      </w:pPr>
      <w:r w:rsidRPr="00320DB5">
        <w:t>Women and girls</w:t>
      </w:r>
    </w:p>
    <w:p w14:paraId="09BA73A5" w14:textId="77777777" w:rsidR="00320DB5" w:rsidRDefault="00287F00" w:rsidP="00320DB5">
      <w:pPr>
        <w:pStyle w:val="CBDNormalNumber"/>
        <w:numPr>
          <w:ilvl w:val="1"/>
          <w:numId w:val="450"/>
        </w:numPr>
        <w:shd w:val="clear" w:color="auto" w:fill="FFFFFF"/>
        <w:tabs>
          <w:tab w:val="clear" w:pos="1701"/>
        </w:tabs>
      </w:pPr>
      <w:r w:rsidRPr="00320DB5">
        <w:t>Children and youth</w:t>
      </w:r>
    </w:p>
    <w:p w14:paraId="36175C37" w14:textId="77777777" w:rsidR="00320DB5" w:rsidRDefault="00287F00" w:rsidP="00320DB5">
      <w:pPr>
        <w:pStyle w:val="CBDNormalNumber"/>
        <w:numPr>
          <w:ilvl w:val="1"/>
          <w:numId w:val="450"/>
        </w:numPr>
        <w:shd w:val="clear" w:color="auto" w:fill="FFFFFF"/>
        <w:tabs>
          <w:tab w:val="clear" w:pos="1701"/>
        </w:tabs>
      </w:pPr>
      <w:r w:rsidRPr="00320DB5">
        <w:t>Persons with disabilities</w:t>
      </w:r>
    </w:p>
    <w:p w14:paraId="7779268E" w14:textId="07FDFE74" w:rsidR="00287F00" w:rsidRPr="00320DB5" w:rsidRDefault="00287F00" w:rsidP="00320DB5">
      <w:pPr>
        <w:pStyle w:val="CBDNormalNumber"/>
        <w:numPr>
          <w:ilvl w:val="1"/>
          <w:numId w:val="450"/>
        </w:numPr>
        <w:shd w:val="clear" w:color="auto" w:fill="FFFFFF"/>
        <w:tabs>
          <w:tab w:val="clear" w:pos="1701"/>
        </w:tabs>
      </w:pPr>
      <w:r w:rsidRPr="00320DB5">
        <w:t>Others</w:t>
      </w:r>
    </w:p>
    <w:p w14:paraId="2133CA28" w14:textId="77777777" w:rsidR="00320DB5" w:rsidRPr="00747160" w:rsidRDefault="00287F00" w:rsidP="00747160">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747160">
        <w:rPr>
          <w:rFonts w:asciiTheme="majorBidi" w:hAnsiTheme="majorBidi" w:cstheme="majorBidi"/>
        </w:rPr>
        <w:t>Each of the answers here is to be chosen using a “select all that apply” approach. Namely, if a country has policy, legislative and administrative frameworks at the national and subnational levels to ensure the representation and participation in biodiversity decision-making (22.1a), ensure access to information (22.1d) or provide access to justice (22.1e) or if a country monitors the representation and participation in biodiversity decision-making (22.3a) then select the groups to which these apply. In other words, select each option for which the answer to 22.1a, 22.1d, 22.1e and 22.5a is “Yes”. If “Others” is selected, specify to which group this refers to in the free text section. If no answers are selected, then an overall “No” is understood. Note that for 22.1 a country needs to have policy, legislative and administrative frameworks at the national and subnational levels already in existence, written in law and implemented, if this is not the case, even if these frameworks are being drafted, then do not select any answers in the sub questions. Additionally, if the frameworks in place are only at the subnational or national level but not both, then do not select any of the answers for which one of them is missing.</w:t>
      </w:r>
    </w:p>
    <w:p w14:paraId="25F9BC45" w14:textId="116D17B9" w:rsidR="00287F00" w:rsidRPr="00747160" w:rsidRDefault="00287F00" w:rsidP="00747160">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747160">
        <w:rPr>
          <w:rFonts w:asciiTheme="majorBidi" w:hAnsiTheme="majorBidi" w:cstheme="majorBidi"/>
        </w:rPr>
        <w:t>There are five possible answers to questions 22.1b and 22.3b:</w:t>
      </w:r>
    </w:p>
    <w:p w14:paraId="78B86DEB" w14:textId="77777777" w:rsidR="00287F00" w:rsidRPr="00287F00" w:rsidRDefault="00287F00" w:rsidP="00320DB5">
      <w:pPr>
        <w:pStyle w:val="CBDNormalNumber"/>
        <w:numPr>
          <w:ilvl w:val="1"/>
          <w:numId w:val="450"/>
        </w:numPr>
        <w:shd w:val="clear" w:color="auto" w:fill="FFFFFF"/>
        <w:tabs>
          <w:tab w:val="clear" w:pos="1701"/>
        </w:tabs>
      </w:pPr>
      <w:r w:rsidRPr="00287F00">
        <w:t>Culture and practices</w:t>
      </w:r>
    </w:p>
    <w:p w14:paraId="565DBBD1" w14:textId="77777777" w:rsidR="00287F00" w:rsidRPr="00287F00" w:rsidRDefault="00287F00" w:rsidP="00320DB5">
      <w:pPr>
        <w:pStyle w:val="CBDNormalNumber"/>
        <w:numPr>
          <w:ilvl w:val="1"/>
          <w:numId w:val="450"/>
        </w:numPr>
        <w:shd w:val="clear" w:color="auto" w:fill="FFFFFF"/>
        <w:tabs>
          <w:tab w:val="clear" w:pos="1701"/>
        </w:tabs>
      </w:pPr>
      <w:r w:rsidRPr="00287F00">
        <w:t>Rights over lands and territories</w:t>
      </w:r>
    </w:p>
    <w:p w14:paraId="64FB2D0C" w14:textId="77777777" w:rsidR="00287F00" w:rsidRPr="00287F00" w:rsidRDefault="00287F00" w:rsidP="00320DB5">
      <w:pPr>
        <w:pStyle w:val="CBDNormalNumber"/>
        <w:numPr>
          <w:ilvl w:val="1"/>
          <w:numId w:val="450"/>
        </w:numPr>
        <w:shd w:val="clear" w:color="auto" w:fill="FFFFFF"/>
        <w:tabs>
          <w:tab w:val="clear" w:pos="1701"/>
        </w:tabs>
      </w:pPr>
      <w:r w:rsidRPr="00287F00">
        <w:t>Rights over natural resources</w:t>
      </w:r>
    </w:p>
    <w:p w14:paraId="12FC0353" w14:textId="77777777" w:rsidR="00287F00" w:rsidRPr="00287F00" w:rsidRDefault="00287F00" w:rsidP="00320DB5">
      <w:pPr>
        <w:pStyle w:val="CBDNormalNumber"/>
        <w:numPr>
          <w:ilvl w:val="1"/>
          <w:numId w:val="450"/>
        </w:numPr>
        <w:shd w:val="clear" w:color="auto" w:fill="FFFFFF"/>
        <w:tabs>
          <w:tab w:val="clear" w:pos="1701"/>
        </w:tabs>
      </w:pPr>
      <w:r w:rsidRPr="00287F00">
        <w:t>Rights over traditional knowledge</w:t>
      </w:r>
    </w:p>
    <w:p w14:paraId="69183216" w14:textId="77777777" w:rsidR="00287F00" w:rsidRPr="00287F00" w:rsidRDefault="00287F00" w:rsidP="00320DB5">
      <w:pPr>
        <w:pStyle w:val="CBDNormalNumber"/>
        <w:numPr>
          <w:ilvl w:val="1"/>
          <w:numId w:val="450"/>
        </w:numPr>
        <w:shd w:val="clear" w:color="auto" w:fill="FFFFFF"/>
        <w:tabs>
          <w:tab w:val="clear" w:pos="1701"/>
        </w:tabs>
      </w:pPr>
      <w:r w:rsidRPr="00287F00">
        <w:t>Not applicable</w:t>
      </w:r>
    </w:p>
    <w:p w14:paraId="604652E7" w14:textId="77777777" w:rsidR="00287F00" w:rsidRPr="00747160" w:rsidRDefault="00287F00" w:rsidP="00747160">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747160">
        <w:rPr>
          <w:rFonts w:asciiTheme="majorBidi" w:hAnsiTheme="majorBidi" w:cstheme="majorBidi"/>
        </w:rPr>
        <w:t>Each of the answers here is to be chosen using a “select all that apply” approach. Namely, if a country has policy, legislative and administrative frameworks at the national and subnational levels that respect indigenous peoples and local communities’ rights in ensuring the representation and participation in biodiversity decision-making (22.1b) or monitors the culture and rights of indigenous peoples and local communities (22.3b) then select the options to which these apply. In other words, select each option for which the answer to 22.1b and 22.3b is “Yes”. Parties with no recognized indigenous peoples and local communities groups may select the “Not applicable” answer but are asked to provide a justification for the choice in the free text. If no answers are selected, then an overall “No” is understood.</w:t>
      </w:r>
    </w:p>
    <w:p w14:paraId="04E74AC1" w14:textId="77777777" w:rsidR="00287F00" w:rsidRPr="00747160" w:rsidRDefault="00287F00" w:rsidP="00747160">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747160">
        <w:rPr>
          <w:rFonts w:asciiTheme="majorBidi" w:hAnsiTheme="majorBidi" w:cstheme="majorBidi"/>
        </w:rPr>
        <w:t>There are two possible answers to questions 22.1c and 22.3c:</w:t>
      </w:r>
    </w:p>
    <w:p w14:paraId="382B71A1" w14:textId="77777777" w:rsidR="00287F00" w:rsidRPr="00287F00" w:rsidRDefault="00287F00" w:rsidP="00287F00">
      <w:pPr>
        <w:numPr>
          <w:ilvl w:val="1"/>
          <w:numId w:val="447"/>
        </w:numPr>
        <w:rPr>
          <w:lang w:val="en-GB"/>
        </w:rPr>
      </w:pPr>
      <w:r w:rsidRPr="00287F00">
        <w:rPr>
          <w:lang w:val="en-GB"/>
        </w:rPr>
        <w:t>No</w:t>
      </w:r>
    </w:p>
    <w:p w14:paraId="75B30B12" w14:textId="77777777" w:rsidR="00287F00" w:rsidRPr="00287F00" w:rsidRDefault="00287F00" w:rsidP="00287F00">
      <w:pPr>
        <w:numPr>
          <w:ilvl w:val="1"/>
          <w:numId w:val="447"/>
        </w:numPr>
        <w:rPr>
          <w:lang w:val="en-GB"/>
        </w:rPr>
      </w:pPr>
      <w:r w:rsidRPr="00287F00">
        <w:rPr>
          <w:lang w:val="en-GB"/>
        </w:rPr>
        <w:t>Yes</w:t>
      </w:r>
    </w:p>
    <w:p w14:paraId="70BCACB8" w14:textId="77777777" w:rsidR="00287F00" w:rsidRPr="00E15F8E" w:rsidRDefault="00287F00" w:rsidP="00E15F8E">
      <w:pPr>
        <w:pStyle w:val="CBDNormalNumber"/>
        <w:numPr>
          <w:ilvl w:val="0"/>
          <w:numId w:val="450"/>
        </w:numPr>
        <w:shd w:val="clear" w:color="auto" w:fill="FFFFFF"/>
        <w:tabs>
          <w:tab w:val="clear" w:pos="1701"/>
        </w:tabs>
        <w:ind w:left="1134" w:hanging="567"/>
      </w:pPr>
      <w:r w:rsidRPr="00E15F8E">
        <w:t>A “No” answer implies:</w:t>
      </w:r>
    </w:p>
    <w:p w14:paraId="113B005D" w14:textId="77777777" w:rsidR="00287F00" w:rsidRPr="00287F00" w:rsidRDefault="00287F00" w:rsidP="00287F00">
      <w:pPr>
        <w:numPr>
          <w:ilvl w:val="1"/>
          <w:numId w:val="447"/>
        </w:numPr>
        <w:rPr>
          <w:lang w:val="en-GB"/>
        </w:rPr>
      </w:pPr>
      <w:r w:rsidRPr="00287F00">
        <w:rPr>
          <w:lang w:val="en-GB"/>
        </w:rPr>
        <w:t xml:space="preserve">that there </w:t>
      </w:r>
      <w:bookmarkStart w:id="84" w:name="_Int_5G3YNg38"/>
      <w:r w:rsidRPr="00287F00">
        <w:rPr>
          <w:lang w:val="en-GB"/>
        </w:rPr>
        <w:t>are</w:t>
      </w:r>
      <w:bookmarkEnd w:id="84"/>
      <w:r w:rsidRPr="00287F00">
        <w:rPr>
          <w:lang w:val="en-GB"/>
        </w:rPr>
        <w:t xml:space="preserve"> no policy, legislative and administrative frameworks in place to protect environmental human rights defenders (22.1c). No legal and policy protection exists, arrests and lawsuits against environmental human rights defenders are still taking place. Killing and other attacks may have been observed in the last year.</w:t>
      </w:r>
    </w:p>
    <w:p w14:paraId="1F89AA75" w14:textId="77777777" w:rsidR="00287F00" w:rsidRPr="00287F00" w:rsidRDefault="00287F00" w:rsidP="00287F00">
      <w:pPr>
        <w:numPr>
          <w:ilvl w:val="1"/>
          <w:numId w:val="447"/>
        </w:numPr>
        <w:rPr>
          <w:lang w:val="en-GB"/>
        </w:rPr>
      </w:pPr>
      <w:r w:rsidRPr="00287F00">
        <w:rPr>
          <w:lang w:val="en-GB"/>
        </w:rPr>
        <w:t xml:space="preserve">there is no ongoing effort to monitor the protection of environmental human rights defenders (22.3c). There is no information available on the </w:t>
      </w:r>
      <w:r w:rsidRPr="00287F00">
        <w:rPr>
          <w:lang w:val="en-GB"/>
        </w:rPr>
        <w:lastRenderedPageBreak/>
        <w:t>legal and security threats faced by environmental human rights defenders nor on the efforts being made to protect them.</w:t>
      </w:r>
    </w:p>
    <w:p w14:paraId="7F5D0698" w14:textId="77777777" w:rsidR="00287F00" w:rsidRPr="00E41E31" w:rsidRDefault="00287F00" w:rsidP="00E41E31">
      <w:pPr>
        <w:pStyle w:val="CBDNormalNumber"/>
        <w:numPr>
          <w:ilvl w:val="0"/>
          <w:numId w:val="450"/>
        </w:numPr>
        <w:shd w:val="clear" w:color="auto" w:fill="FFFFFF"/>
        <w:tabs>
          <w:tab w:val="clear" w:pos="1701"/>
        </w:tabs>
        <w:ind w:left="1134" w:hanging="567"/>
      </w:pPr>
      <w:r w:rsidRPr="00E41E31">
        <w:t>A “Yes” answer implies:</w:t>
      </w:r>
    </w:p>
    <w:p w14:paraId="2ED2E8FC" w14:textId="77777777" w:rsidR="00287F00" w:rsidRPr="00287F00" w:rsidRDefault="00287F00" w:rsidP="00287F00">
      <w:pPr>
        <w:numPr>
          <w:ilvl w:val="0"/>
          <w:numId w:val="448"/>
        </w:numPr>
        <w:rPr>
          <w:lang w:val="en-GB"/>
        </w:rPr>
      </w:pPr>
      <w:r w:rsidRPr="00287F00">
        <w:rPr>
          <w:lang w:val="en-GB"/>
        </w:rPr>
        <w:t>that there are policy, legislative and administrative frameworks in place to protect environmental human rights defenders (22.1c). Such legal and policy protection is reducing arrests and lawsuits against environmental human rights defenders and investigating and punishing any killing and attacks that may still be observed.</w:t>
      </w:r>
    </w:p>
    <w:p w14:paraId="6C40D772" w14:textId="77777777" w:rsidR="00287F00" w:rsidRPr="00287F00" w:rsidRDefault="00287F00" w:rsidP="00287F00">
      <w:pPr>
        <w:numPr>
          <w:ilvl w:val="0"/>
          <w:numId w:val="448"/>
        </w:numPr>
        <w:rPr>
          <w:lang w:val="en-GB"/>
        </w:rPr>
      </w:pPr>
      <w:r w:rsidRPr="00287F00">
        <w:rPr>
          <w:lang w:val="en-GB"/>
        </w:rPr>
        <w:t>there is ongoing monitoring of the protection of environmental human rights defenders (22.3c). Information is available on the effect that legal and security protections are having in reducing the threats faced by environmental human rights defenders.</w:t>
      </w:r>
    </w:p>
    <w:p w14:paraId="0E9630B2" w14:textId="77777777" w:rsidR="00287F00" w:rsidRPr="009019A0" w:rsidRDefault="00287F00" w:rsidP="009019A0">
      <w:pPr>
        <w:pStyle w:val="CBDNormalNumber"/>
        <w:numPr>
          <w:ilvl w:val="0"/>
          <w:numId w:val="450"/>
        </w:numPr>
        <w:shd w:val="clear" w:color="auto" w:fill="FFFFFF"/>
        <w:tabs>
          <w:tab w:val="clear" w:pos="1701"/>
        </w:tabs>
        <w:ind w:left="1134" w:hanging="567"/>
      </w:pPr>
      <w:r w:rsidRPr="009019A0">
        <w:t>There are four possible answers to question 22.2</w:t>
      </w:r>
      <w:r w:rsidRPr="009019A0">
        <w:rPr>
          <w:vertAlign w:val="superscript"/>
        </w:rPr>
        <w:footnoteReference w:id="64"/>
      </w:r>
      <w:r w:rsidRPr="009019A0">
        <w:t>:</w:t>
      </w:r>
    </w:p>
    <w:p w14:paraId="32D6CEF1" w14:textId="77777777" w:rsidR="00287F00" w:rsidRPr="00287F00" w:rsidRDefault="00287F00" w:rsidP="009019A0">
      <w:pPr>
        <w:numPr>
          <w:ilvl w:val="0"/>
          <w:numId w:val="463"/>
        </w:numPr>
        <w:rPr>
          <w:lang w:val="en-GB"/>
        </w:rPr>
      </w:pPr>
      <w:r w:rsidRPr="00287F00">
        <w:rPr>
          <w:lang w:val="en-GB"/>
        </w:rPr>
        <w:t>No</w:t>
      </w:r>
    </w:p>
    <w:p w14:paraId="75CDC8D1" w14:textId="77777777" w:rsidR="00287F00" w:rsidRPr="00287F00" w:rsidRDefault="00287F00" w:rsidP="009019A0">
      <w:pPr>
        <w:numPr>
          <w:ilvl w:val="0"/>
          <w:numId w:val="463"/>
        </w:numPr>
        <w:rPr>
          <w:lang w:val="en-GB"/>
        </w:rPr>
      </w:pPr>
      <w:r w:rsidRPr="00287F00">
        <w:rPr>
          <w:lang w:val="en-GB"/>
        </w:rPr>
        <w:t>Under development</w:t>
      </w:r>
    </w:p>
    <w:p w14:paraId="729DEEE3" w14:textId="77777777" w:rsidR="00287F00" w:rsidRPr="00287F00" w:rsidRDefault="00287F00" w:rsidP="009019A0">
      <w:pPr>
        <w:numPr>
          <w:ilvl w:val="0"/>
          <w:numId w:val="463"/>
        </w:numPr>
        <w:rPr>
          <w:lang w:val="en-GB"/>
        </w:rPr>
      </w:pPr>
      <w:r w:rsidRPr="00287F00">
        <w:rPr>
          <w:lang w:val="en-GB"/>
        </w:rPr>
        <w:t>Partially</w:t>
      </w:r>
    </w:p>
    <w:p w14:paraId="2FE26923" w14:textId="77777777" w:rsidR="00287F00" w:rsidRPr="00287F00" w:rsidRDefault="00287F00" w:rsidP="009019A0">
      <w:pPr>
        <w:numPr>
          <w:ilvl w:val="0"/>
          <w:numId w:val="463"/>
        </w:numPr>
        <w:rPr>
          <w:lang w:val="en-GB"/>
        </w:rPr>
      </w:pPr>
      <w:r w:rsidRPr="00287F00">
        <w:rPr>
          <w:lang w:val="en-GB"/>
        </w:rPr>
        <w:t>Fully</w:t>
      </w:r>
    </w:p>
    <w:p w14:paraId="04B8DB69" w14:textId="77777777" w:rsidR="009E54EC" w:rsidRPr="00747160" w:rsidRDefault="00287F00" w:rsidP="00747160">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747160">
        <w:rPr>
          <w:rFonts w:asciiTheme="majorBidi" w:hAnsiTheme="majorBidi" w:cstheme="majorBidi"/>
        </w:rPr>
        <w:t>A “No” answer implies that there are no operational frameworks and mechanisms to support the implementation of the policy, legislative and administrative frameworks in 22.1 for any of the groups or rights mentioned in the sub questions.</w:t>
      </w:r>
    </w:p>
    <w:p w14:paraId="7BC10E11" w14:textId="77777777" w:rsidR="009E54EC" w:rsidRPr="00747160" w:rsidRDefault="00287F00" w:rsidP="00747160">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747160">
        <w:rPr>
          <w:rFonts w:asciiTheme="majorBidi" w:hAnsiTheme="majorBidi" w:cstheme="majorBidi"/>
        </w:rPr>
        <w:t xml:space="preserve">An “Under development” answer implies a concerted effort at the national level to create operational frameworks and mechanisms to support the implementation of the policy, legislative and administrative frameworks in 22.1 but these are still in the drafting or proposal stage. </w:t>
      </w:r>
    </w:p>
    <w:p w14:paraId="04018B5F" w14:textId="77777777" w:rsidR="009E54EC" w:rsidRPr="00747160" w:rsidRDefault="00287F00" w:rsidP="00747160">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747160">
        <w:rPr>
          <w:rFonts w:asciiTheme="majorBidi" w:hAnsiTheme="majorBidi" w:cstheme="majorBidi"/>
        </w:rPr>
        <w:t>A “Partially” answer implies that operational frameworks and mechanisms to support the implementation of the policy, legislative and administrative frameworks in 22.1 exist and have been implemented but they do not cover all the groups (indigenous peoples and local communities, women and girls, children and youth, persons with disabilities, environmental human rights defenders) nor all of their culture, practices and rights (over lands and territories, over resources, over traditional knowledge). If only some groups and their culture, practices and rights benefit from these operational frameworks but not others, select this answer.</w:t>
      </w:r>
    </w:p>
    <w:p w14:paraId="7EBCB528" w14:textId="3593D93B" w:rsidR="00287F00" w:rsidRPr="00747160" w:rsidRDefault="00287F00" w:rsidP="00747160">
      <w:pPr>
        <w:pStyle w:val="CBDNormalNumber"/>
        <w:numPr>
          <w:ilvl w:val="0"/>
          <w:numId w:val="450"/>
        </w:numPr>
        <w:shd w:val="clear" w:color="auto" w:fill="FFFFFF"/>
        <w:tabs>
          <w:tab w:val="clear" w:pos="1701"/>
          <w:tab w:val="clear" w:pos="2268"/>
          <w:tab w:val="clear" w:pos="2835"/>
          <w:tab w:val="clear" w:pos="3402"/>
          <w:tab w:val="clear" w:pos="3969"/>
        </w:tabs>
        <w:ind w:left="567" w:firstLine="0"/>
        <w:rPr>
          <w:rFonts w:asciiTheme="majorBidi" w:hAnsiTheme="majorBidi" w:cstheme="majorBidi"/>
        </w:rPr>
      </w:pPr>
      <w:r w:rsidRPr="00747160">
        <w:rPr>
          <w:rFonts w:asciiTheme="majorBidi" w:hAnsiTheme="majorBidi" w:cstheme="majorBidi"/>
        </w:rPr>
        <w:t>A “Fully” answer implies that all the conditions outlined in “Partially” have been met. Namely that operational frameworks and mechanisms to support the implementation of the policy, legislative and administrative frameworks in 22.1 exist and have been implemented for all groups (indigenous peoples and local communities, women and girls, children and youth, persons with disabilities, environmental human rights defenders) and all their culture, practices and rights (over lands and territories, over resources, over traditional knowledge). If any one group or culture, practice and right does not benefit from these operational frameworks, then select “Partially”.</w:t>
      </w:r>
    </w:p>
    <w:p w14:paraId="4416638E" w14:textId="0771F164" w:rsidR="00261653" w:rsidRDefault="009E54EC" w:rsidP="00937326">
      <w:r>
        <w:br w:type="page"/>
      </w:r>
    </w:p>
    <w:p w14:paraId="380FDA6B" w14:textId="01408EC2" w:rsidR="00261653" w:rsidRPr="00747160" w:rsidRDefault="00937326" w:rsidP="00747160">
      <w:pPr>
        <w:pStyle w:val="Heading3"/>
        <w:rPr>
          <w:rStyle w:val="normaltextrun"/>
        </w:rPr>
      </w:pPr>
      <w:bookmarkStart w:id="85" w:name="_Toc233278594"/>
      <w:bookmarkStart w:id="86" w:name="_Toc178285884"/>
      <w:r w:rsidRPr="00747160">
        <w:rPr>
          <w:rStyle w:val="normaltextrun"/>
        </w:rPr>
        <w:lastRenderedPageBreak/>
        <w:t>Binary</w:t>
      </w:r>
      <w:r w:rsidR="00261653" w:rsidRPr="00747160">
        <w:rPr>
          <w:rStyle w:val="normaltextrun"/>
        </w:rPr>
        <w:t xml:space="preserve"> indicator</w:t>
      </w:r>
      <w:r w:rsidRPr="00747160">
        <w:rPr>
          <w:rStyle w:val="normaltextrun"/>
        </w:rPr>
        <w:t xml:space="preserve"> </w:t>
      </w:r>
      <w:r w:rsidR="00261653" w:rsidRPr="00747160">
        <w:rPr>
          <w:rStyle w:val="normaltextrun"/>
        </w:rPr>
        <w:t>23.b</w:t>
      </w:r>
      <w:bookmarkEnd w:id="85"/>
      <w:r w:rsidR="00261653" w:rsidRPr="00747160">
        <w:rPr>
          <w:rStyle w:val="normaltextrun"/>
        </w:rPr>
        <w:t xml:space="preserve"> </w:t>
      </w:r>
      <w:bookmarkEnd w:id="86"/>
    </w:p>
    <w:p w14:paraId="533B1562" w14:textId="77777777" w:rsidR="00261653" w:rsidRPr="00261653" w:rsidRDefault="00261653" w:rsidP="00261653">
      <w:pPr>
        <w:rPr>
          <w:b/>
          <w:bCs/>
        </w:rPr>
      </w:pPr>
    </w:p>
    <w:p w14:paraId="1CB03AA1" w14:textId="77777777" w:rsidR="00261653" w:rsidRPr="003276AA" w:rsidRDefault="00261653"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Full Indicator Name</w:t>
      </w:r>
    </w:p>
    <w:p w14:paraId="2FC5E6CA" w14:textId="77777777" w:rsidR="00261653" w:rsidRPr="00261653" w:rsidRDefault="00261653" w:rsidP="00261653">
      <w:r w:rsidRPr="00261653">
        <w:t xml:space="preserve">Number of countries with legal, administrative or policy frameworks, inter alia, the Gender Plan of Action (2023–2030), to ensure that all women and girls have equal opportunity and capacity to contribute to the three objectives of the Convention, including by ensuring </w:t>
      </w:r>
      <w:proofErr w:type="spellStart"/>
      <w:r w:rsidRPr="00261653">
        <w:t>womens</w:t>
      </w:r>
      <w:proofErr w:type="spellEnd"/>
      <w:r w:rsidRPr="00261653">
        <w:t xml:space="preserve"> equal rights and access to land and natural resources. </w:t>
      </w:r>
    </w:p>
    <w:p w14:paraId="2100D024" w14:textId="77777777" w:rsidR="00937326" w:rsidRDefault="00937326" w:rsidP="00261653">
      <w:pPr>
        <w:rPr>
          <w:b/>
          <w:bCs/>
        </w:rPr>
      </w:pPr>
    </w:p>
    <w:p w14:paraId="5633A4FB" w14:textId="73085063" w:rsidR="00261653" w:rsidRPr="003276AA" w:rsidRDefault="00261653"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Goals and Targets Addressed</w:t>
      </w:r>
    </w:p>
    <w:p w14:paraId="0585E694" w14:textId="77777777" w:rsidR="00937326" w:rsidRDefault="00937326" w:rsidP="00261653">
      <w:pPr>
        <w:rPr>
          <w:b/>
          <w:bCs/>
        </w:rPr>
      </w:pPr>
    </w:p>
    <w:p w14:paraId="38366F24" w14:textId="2D18F7DC" w:rsidR="00261653" w:rsidRPr="00261653" w:rsidRDefault="00261653" w:rsidP="00261653">
      <w:r w:rsidRPr="00261653">
        <w:t>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1B5291B2" w14:textId="77777777" w:rsidR="00261653" w:rsidRPr="00261653" w:rsidRDefault="00261653" w:rsidP="00261653">
      <w:pPr>
        <w:rPr>
          <w:lang w:val="en-US"/>
        </w:rPr>
      </w:pPr>
    </w:p>
    <w:p w14:paraId="49AC166E" w14:textId="77777777" w:rsidR="00261653" w:rsidRPr="003276AA" w:rsidRDefault="00261653"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Rationale</w:t>
      </w:r>
    </w:p>
    <w:p w14:paraId="0C5D2A5C" w14:textId="77777777" w:rsid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37326">
        <w:rPr>
          <w:lang w:val="en-US"/>
        </w:rPr>
        <w:t>Gender roles in many countries influence the conservation and sustainable use of biodiversity by impacting the ability of women to participate in decision-making and by affecting their access to and control of land, biological resources and other productive assets. Considering gender dimensions in biodiversity-related decision-making can lead to positive outcomes for biodiversity and gender equality. Women often play a vital role in managing natural resources and promoting sustainable agriculture, forestry and fisheries. When women have access to resources, land, education, healthcare and economic opportunities on par with men, they are better able to participate in decision-making processes and advocate for environmental protection.</w:t>
      </w:r>
    </w:p>
    <w:p w14:paraId="59AB3C5F" w14:textId="77777777" w:rsidR="00E2146C"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66FCC">
        <w:rPr>
          <w:lang w:val="en-US"/>
        </w:rPr>
        <w:t xml:space="preserve">The focus of this target is on ensuring gender equality in the implementation of the Framework through a gender-responsive approach. Gender responsive is the process of ensuring that programmes, policies and institutions </w:t>
      </w:r>
      <w:proofErr w:type="gramStart"/>
      <w:r w:rsidRPr="00966FCC">
        <w:rPr>
          <w:lang w:val="en-US"/>
        </w:rPr>
        <w:t>take into account</w:t>
      </w:r>
      <w:proofErr w:type="gramEnd"/>
      <w:r w:rsidRPr="00966FCC">
        <w:rPr>
          <w:lang w:val="en-US"/>
        </w:rPr>
        <w:t xml:space="preserve"> the different needs and experiences of people based on their gender identity. It aims to create a society that is responsive to the diverse needs and realities of people, including those who may face discrimination or </w:t>
      </w:r>
      <w:proofErr w:type="gramStart"/>
      <w:r w:rsidRPr="00966FCC">
        <w:rPr>
          <w:lang w:val="en-US"/>
        </w:rPr>
        <w:t>disadvantage</w:t>
      </w:r>
      <w:proofErr w:type="gramEnd"/>
      <w:r w:rsidRPr="00966FCC">
        <w:rPr>
          <w:lang w:val="en-US"/>
        </w:rPr>
        <w:t xml:space="preserve"> because of their gender. As such, the indicator tracks progress along the development of legal, administrative or policy frameworks that are gender inclusive as well as the deployment of financial resources to support gender equality with a focus on rights and access to land and natural resources.</w:t>
      </w:r>
    </w:p>
    <w:p w14:paraId="452488B9" w14:textId="77777777" w:rsidR="00E2146C" w:rsidRPr="003276AA" w:rsidRDefault="00E2146C"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276AA">
        <w:rPr>
          <w:rStyle w:val="normaltextrun"/>
          <w:rFonts w:asciiTheme="majorBidi" w:eastAsiaTheme="majorEastAsia" w:hAnsiTheme="majorBidi" w:cstheme="majorBidi"/>
          <w:b/>
          <w:bCs/>
          <w:sz w:val="22"/>
          <w:szCs w:val="22"/>
          <w:lang w:val="en-GB"/>
        </w:rPr>
        <w:t>Definitions Concepts and Classifications</w:t>
      </w:r>
    </w:p>
    <w:p w14:paraId="259E02D7" w14:textId="77777777" w:rsidR="00E2146C" w:rsidRPr="00E2146C" w:rsidRDefault="00E2146C" w:rsidP="00E2146C">
      <w:pPr>
        <w:rPr>
          <w:b/>
          <w:bCs/>
        </w:rPr>
      </w:pPr>
      <w:r w:rsidRPr="00E2146C">
        <w:rPr>
          <w:b/>
          <w:bCs/>
        </w:rPr>
        <w:t>Definition</w:t>
      </w:r>
    </w:p>
    <w:p w14:paraId="66328D71" w14:textId="77777777" w:rsidR="00E2146C"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E2146C">
        <w:rPr>
          <w:lang w:val="en-US"/>
        </w:rPr>
        <w:t>Equal opportunity and capacity [to contribute]: Can effectively and fully participate in the achievement of the Convention’s goals without</w:t>
      </w:r>
      <w:r w:rsidRPr="00966FCC">
        <w:rPr>
          <w:lang w:val="en-US"/>
        </w:rPr>
        <w:t xml:space="preserve"> any discrimination, exclusion or restriction made </w:t>
      </w:r>
      <w:proofErr w:type="gramStart"/>
      <w:r w:rsidRPr="00966FCC">
        <w:rPr>
          <w:lang w:val="en-US"/>
        </w:rPr>
        <w:t>on the basis of</w:t>
      </w:r>
      <w:proofErr w:type="gramEnd"/>
      <w:r w:rsidRPr="00966FCC">
        <w:rPr>
          <w:lang w:val="en-US"/>
        </w:rPr>
        <w:t xml:space="preserve"> sex, respecting the rules set out in the </w:t>
      </w:r>
      <w:hyperlink r:id="rId561" w:history="1">
        <w:r w:rsidRPr="00966FCC">
          <w:rPr>
            <w:lang w:val="en-US"/>
          </w:rPr>
          <w:t>Convention on the Elimination of All Forms of Discrimination Against Women</w:t>
        </w:r>
      </w:hyperlink>
      <w:r w:rsidRPr="00966FCC">
        <w:rPr>
          <w:lang w:val="en-US"/>
        </w:rPr>
        <w:t xml:space="preserve">. </w:t>
      </w:r>
    </w:p>
    <w:p w14:paraId="5377D645" w14:textId="77777777" w:rsidR="00E2146C"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66FCC">
        <w:rPr>
          <w:lang w:val="en-US"/>
        </w:rPr>
        <w:t>Equal rights: All human beings are born free and equal in dignity and rights. They are endowed with reason and conscience and should act towards one another in a spirit of brotherhood. Everyone is entitled to all the rights and freedoms set forth in this Declaration</w:t>
      </w:r>
      <w:r w:rsidRPr="00966FCC">
        <w:rPr>
          <w:lang w:val="en-US"/>
        </w:rPr>
        <w:footnoteReference w:id="65"/>
      </w:r>
      <w:r w:rsidRPr="00966FCC">
        <w:rPr>
          <w:lang w:val="en-US"/>
        </w:rPr>
        <w:t xml:space="preserve">, without distinction of any kind, such as race, </w:t>
      </w:r>
      <w:proofErr w:type="spellStart"/>
      <w:r w:rsidRPr="00966FCC">
        <w:rPr>
          <w:lang w:val="en-US"/>
        </w:rPr>
        <w:t>colour</w:t>
      </w:r>
      <w:proofErr w:type="spellEnd"/>
      <w:r w:rsidRPr="00966FCC">
        <w:rPr>
          <w:lang w:val="en-US"/>
        </w:rPr>
        <w:t xml:space="preserve">, sex, language, religion, political or other opinion, national or social origin, property, birth or other status. Furthermore, no distinction shall be made </w:t>
      </w:r>
      <w:proofErr w:type="gramStart"/>
      <w:r w:rsidRPr="00966FCC">
        <w:rPr>
          <w:lang w:val="en-US"/>
        </w:rPr>
        <w:t>on the basis of</w:t>
      </w:r>
      <w:proofErr w:type="gramEnd"/>
      <w:r w:rsidRPr="00966FCC">
        <w:rPr>
          <w:lang w:val="en-US"/>
        </w:rPr>
        <w:t xml:space="preserve"> the political, </w:t>
      </w:r>
      <w:r w:rsidRPr="00966FCC">
        <w:rPr>
          <w:lang w:val="en-US"/>
        </w:rPr>
        <w:lastRenderedPageBreak/>
        <w:t>jurisdictional or international status of the country or territory to which a person belongs, whether it be independent, trust, non-self-governing or under any other limitation of sovereignty. As per article 2 of the United Nations Declaration on Human Rights.</w:t>
      </w:r>
    </w:p>
    <w:p w14:paraId="5694C281" w14:textId="77777777" w:rsidR="00E2146C"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66FCC">
        <w:rPr>
          <w:lang w:val="en-US"/>
        </w:rPr>
        <w:t>Sex-disaggregated data collection and analyses: Collection and analysis of data which is cross classified by sex, and which presents information separately for men and women, boys and girls. Sex-disaggregated data is necessary for effective gender analysis, as it is more difficult to identify real and potential inequalities in its absence.</w:t>
      </w:r>
    </w:p>
    <w:p w14:paraId="4AE46E9A" w14:textId="77777777" w:rsidR="00E2146C"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66FCC">
        <w:rPr>
          <w:lang w:val="en-US"/>
        </w:rPr>
        <w:t xml:space="preserve">Gender Plan of Action: An officially negotiated and agreed upon document of the Kunming-Montreal Global Biodiversity framework </w:t>
      </w:r>
      <w:proofErr w:type="gramStart"/>
      <w:r w:rsidRPr="00966FCC">
        <w:rPr>
          <w:lang w:val="en-US"/>
        </w:rPr>
        <w:t>who’s</w:t>
      </w:r>
      <w:proofErr w:type="gramEnd"/>
      <w:r w:rsidRPr="00966FCC">
        <w:rPr>
          <w:lang w:val="en-US"/>
        </w:rPr>
        <w:t xml:space="preserve"> purpose is to support and promote the gender responsive implementation of the post-2020 global biodiversity framework. The plan will also support a gender responsive approach to applying the implementation mechanisms associated with the framework.</w:t>
      </w:r>
    </w:p>
    <w:p w14:paraId="4E50570A" w14:textId="77777777" w:rsidR="00E2146C"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66FCC">
        <w:rPr>
          <w:lang w:val="en-US"/>
        </w:rPr>
        <w:t>The three objectives of the convention: The</w:t>
      </w:r>
      <w:hyperlink r:id="rId562" w:history="1">
        <w:r w:rsidRPr="00966FCC">
          <w:rPr>
            <w:lang w:val="en-US"/>
          </w:rPr>
          <w:t xml:space="preserve"> Convention on Biological Diversity (CBD)</w:t>
        </w:r>
      </w:hyperlink>
      <w:r w:rsidRPr="00966FCC">
        <w:rPr>
          <w:lang w:val="en-US"/>
        </w:rPr>
        <w:t xml:space="preserve"> has three main objectives: the conservation of biological diversity; the sustainable use of the components of biological diversity; and the fair and equitable sharing of the benefits arising out of the utilization of genetic resources.</w:t>
      </w:r>
    </w:p>
    <w:p w14:paraId="21656AC1" w14:textId="4824B565" w:rsidR="00E2146C"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66FCC">
        <w:rPr>
          <w:lang w:val="en-US"/>
        </w:rPr>
        <w:t xml:space="preserve">Gender equality: The concept that women and men, girls and boys have equal conditions, treatment and opportunities for realizing their full potential, human rights and dignity, and for contributing to (and benefitting from) economic, social, cultural and political development. Gender equality is, therefore, the equal valuing by society of the similarities and the differences of men and women, and the roles they play. It is based on women and men being full partners in the home, community and society. Equality does not mean that women and men will become the same but that </w:t>
      </w:r>
      <w:proofErr w:type="spellStart"/>
      <w:r w:rsidRPr="00966FCC">
        <w:rPr>
          <w:lang w:val="en-US"/>
        </w:rPr>
        <w:t>womens’</w:t>
      </w:r>
      <w:proofErr w:type="spellEnd"/>
      <w:r w:rsidRPr="00966FCC">
        <w:rPr>
          <w:lang w:val="en-US"/>
        </w:rPr>
        <w:t xml:space="preserve"> and </w:t>
      </w:r>
      <w:proofErr w:type="spellStart"/>
      <w:r w:rsidRPr="00966FCC">
        <w:rPr>
          <w:lang w:val="en-US"/>
        </w:rPr>
        <w:t>mens’</w:t>
      </w:r>
      <w:proofErr w:type="spellEnd"/>
      <w:r w:rsidRPr="00966FCC">
        <w:rPr>
          <w:lang w:val="en-US"/>
        </w:rPr>
        <w:t xml:space="preserve"> rights, responsibilities and opportunities will not depend on whether they are born male or female. Gender equality implies that the interests, needs and priorities of both women and men and girls and boys are taken into consideration, recognizing the diversity of different groups and that all human beings are free to develop their personal abilities and make choices without the limitations set by stereotypes and prejudices about gender roles. Gender equality is a matter of human rights and is considered a precondition for, and indicator of, </w:t>
      </w:r>
      <w:proofErr w:type="gramStart"/>
      <w:r w:rsidRPr="00966FCC">
        <w:rPr>
          <w:lang w:val="en-US"/>
        </w:rPr>
        <w:t>sustainable</w:t>
      </w:r>
      <w:proofErr w:type="gramEnd"/>
      <w:r w:rsidRPr="00966FCC">
        <w:rPr>
          <w:lang w:val="en-US"/>
        </w:rPr>
        <w:t xml:space="preserve"> people-</w:t>
      </w:r>
      <w:proofErr w:type="spellStart"/>
      <w:r w:rsidRPr="00966FCC">
        <w:rPr>
          <w:lang w:val="en-US"/>
        </w:rPr>
        <w:t>centred</w:t>
      </w:r>
      <w:proofErr w:type="spellEnd"/>
      <w:r w:rsidRPr="00966FCC">
        <w:rPr>
          <w:lang w:val="en-US"/>
        </w:rPr>
        <w:t xml:space="preserve"> development</w:t>
      </w:r>
      <w:r w:rsidR="00E2146C" w:rsidRPr="00966FCC">
        <w:rPr>
          <w:lang w:val="en-US"/>
        </w:rPr>
        <w:t>.</w:t>
      </w:r>
    </w:p>
    <w:p w14:paraId="34D44861" w14:textId="77777777" w:rsidR="00E2146C"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66FCC">
        <w:rPr>
          <w:lang w:val="en-US"/>
        </w:rPr>
        <w:t xml:space="preserve">Decision-making: The process of making decisions can happen at the individual level or amongst groups and entails the </w:t>
      </w:r>
      <w:proofErr w:type="spellStart"/>
      <w:r w:rsidRPr="00966FCC">
        <w:rPr>
          <w:lang w:val="en-US"/>
        </w:rPr>
        <w:t>prioritisation</w:t>
      </w:r>
      <w:proofErr w:type="spellEnd"/>
      <w:r w:rsidRPr="00966FCC">
        <w:rPr>
          <w:lang w:val="en-US"/>
        </w:rPr>
        <w:t xml:space="preserve"> of certain values. This prioritization greatly influences which issues are found worthy of consideration, do and do not become part of the agenda, as well as determine which decision-makers are considered socially legitimate to participate in the process.</w:t>
      </w:r>
    </w:p>
    <w:p w14:paraId="1BF9D59B" w14:textId="77777777" w:rsidR="00E2146C"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66FCC">
        <w:rPr>
          <w:lang w:val="en-US"/>
        </w:rPr>
        <w:t xml:space="preserve">Explicitly </w:t>
      </w:r>
      <w:proofErr w:type="spellStart"/>
      <w:r w:rsidRPr="00966FCC">
        <w:rPr>
          <w:lang w:val="en-US"/>
        </w:rPr>
        <w:t>recognise</w:t>
      </w:r>
      <w:proofErr w:type="spellEnd"/>
      <w:r w:rsidRPr="00966FCC">
        <w:rPr>
          <w:lang w:val="en-US"/>
        </w:rPr>
        <w:t xml:space="preserve"> and protect: Women and girls rights to, access to and control of land and natural or biodiversity resources need to be acknowledged and guaranteed in legislation and policy, in accordance with the Gender Plan of Action. To advance this recognition, it is important that sex-disaggregated data be collected, and that gender-related roles and needs be </w:t>
      </w:r>
      <w:proofErr w:type="gramStart"/>
      <w:r w:rsidRPr="00966FCC">
        <w:rPr>
          <w:lang w:val="en-US"/>
        </w:rPr>
        <w:t>taken into account</w:t>
      </w:r>
      <w:proofErr w:type="gramEnd"/>
      <w:r w:rsidRPr="00966FCC">
        <w:rPr>
          <w:lang w:val="en-US"/>
        </w:rPr>
        <w:t>, as opposed to a gender-blind approach.</w:t>
      </w:r>
    </w:p>
    <w:p w14:paraId="4D5E6244" w14:textId="36880A24" w:rsidR="00261653" w:rsidRPr="00E2146C" w:rsidRDefault="00261653" w:rsidP="00966FCC">
      <w:pPr>
        <w:pStyle w:val="CBDNormalNumber"/>
        <w:numPr>
          <w:ilvl w:val="0"/>
          <w:numId w:val="467"/>
        </w:numPr>
        <w:shd w:val="clear" w:color="auto" w:fill="FFFFFF"/>
        <w:tabs>
          <w:tab w:val="clear" w:pos="1701"/>
          <w:tab w:val="clear" w:pos="2268"/>
        </w:tabs>
        <w:ind w:left="567" w:firstLine="0"/>
        <w:rPr>
          <w:lang w:val="en-US"/>
        </w:rPr>
      </w:pPr>
      <w:r w:rsidRPr="00966FCC">
        <w:rPr>
          <w:lang w:val="en-US"/>
        </w:rPr>
        <w:t xml:space="preserve">Participation and leadership at all levels of action: Women are often not provided with the same opportunities to participate in decision-making as men or to serve in leadership roles. Analysis has shown that opportunities for effective action on biodiversity are missed due to insufficient involvement of women in these ways. </w:t>
      </w:r>
      <w:proofErr w:type="spellStart"/>
      <w:r w:rsidRPr="00966FCC">
        <w:rPr>
          <w:lang w:val="en-US"/>
        </w:rPr>
        <w:t>Womens’</w:t>
      </w:r>
      <w:proofErr w:type="spellEnd"/>
      <w:r w:rsidRPr="00966FCC">
        <w:rPr>
          <w:lang w:val="en-US"/>
        </w:rPr>
        <w:t xml:space="preserve"> participation and representation in decision-making processes related to biodiversity conservation and sustainable use must be promoted. This includes ensuring that women are represented in policy-making bodies, community meetings and other decision-making forums.</w:t>
      </w:r>
    </w:p>
    <w:p w14:paraId="38ECAE49" w14:textId="0B1EF512" w:rsidR="00261653" w:rsidRPr="003276AA" w:rsidRDefault="003276AA" w:rsidP="003276A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Pr>
          <w:rStyle w:val="normaltextrun"/>
          <w:rFonts w:asciiTheme="majorBidi" w:eastAsiaTheme="majorEastAsia" w:hAnsiTheme="majorBidi" w:cstheme="majorBidi"/>
          <w:b/>
          <w:bCs/>
          <w:sz w:val="22"/>
          <w:szCs w:val="22"/>
          <w:lang w:val="en-GB"/>
        </w:rPr>
        <w:t>b</w:t>
      </w:r>
    </w:p>
    <w:p w14:paraId="7944A4F0" w14:textId="77777777" w:rsidR="00353A9D" w:rsidRDefault="00261653" w:rsidP="00353A9D">
      <w:pPr>
        <w:pStyle w:val="CBDNormalNumber"/>
        <w:numPr>
          <w:ilvl w:val="0"/>
          <w:numId w:val="467"/>
        </w:numPr>
        <w:shd w:val="clear" w:color="auto" w:fill="FFFFFF"/>
        <w:tabs>
          <w:tab w:val="clear" w:pos="1701"/>
        </w:tabs>
        <w:ind w:left="1134" w:hanging="567"/>
      </w:pPr>
      <w:r w:rsidRPr="00261653">
        <w:t>This indicator is a binary indicator and must be compiled from the answers to four questions:</w:t>
      </w:r>
    </w:p>
    <w:p w14:paraId="74FE16D5" w14:textId="77777777" w:rsidR="00353A9D" w:rsidRDefault="00261653" w:rsidP="00353A9D">
      <w:pPr>
        <w:pStyle w:val="CBDNormalNumber"/>
        <w:numPr>
          <w:ilvl w:val="1"/>
          <w:numId w:val="467"/>
        </w:numPr>
        <w:shd w:val="clear" w:color="auto" w:fill="FFFFFF"/>
        <w:tabs>
          <w:tab w:val="clear" w:pos="1701"/>
        </w:tabs>
      </w:pPr>
      <w:r w:rsidRPr="00353A9D">
        <w:t xml:space="preserve">23.1 Does your country have mechanisms for facilitating the full, equitable, meaningful and informed participation and leadership of all women and girls at </w:t>
      </w:r>
      <w:r w:rsidRPr="00353A9D">
        <w:lastRenderedPageBreak/>
        <w:t>all levels of action, engagement, policy and decision-making related to biodiversity?</w:t>
      </w:r>
    </w:p>
    <w:p w14:paraId="27717815" w14:textId="77777777" w:rsidR="00353A9D" w:rsidRDefault="00261653" w:rsidP="00353A9D">
      <w:pPr>
        <w:pStyle w:val="CBDNormalNumber"/>
        <w:numPr>
          <w:ilvl w:val="1"/>
          <w:numId w:val="467"/>
        </w:numPr>
        <w:shd w:val="clear" w:color="auto" w:fill="FFFFFF"/>
        <w:tabs>
          <w:tab w:val="clear" w:pos="1701"/>
        </w:tabs>
      </w:pPr>
      <w:r w:rsidRPr="00353A9D">
        <w:t>23.2 Has your country adopted legislation or policy measures that explicitly recognize and protect all women and girls rights and access to land and natural or biodiversity resources?</w:t>
      </w:r>
    </w:p>
    <w:p w14:paraId="57692EE0" w14:textId="77777777" w:rsidR="00353A9D" w:rsidRDefault="00261653" w:rsidP="00353A9D">
      <w:pPr>
        <w:pStyle w:val="CBDNormalNumber"/>
        <w:numPr>
          <w:ilvl w:val="1"/>
          <w:numId w:val="467"/>
        </w:numPr>
        <w:shd w:val="clear" w:color="auto" w:fill="FFFFFF"/>
        <w:tabs>
          <w:tab w:val="clear" w:pos="1701"/>
        </w:tabs>
      </w:pPr>
      <w:r w:rsidRPr="00353A9D">
        <w:t>23.3 Does your country explicitly apply a gender-responsive approach and recognize the contributions and roles of women and girls in its implementation of the Framework through its national reports of national biodiversity strategy action plan?</w:t>
      </w:r>
    </w:p>
    <w:p w14:paraId="2CF4C16B" w14:textId="6AD062BF" w:rsidR="00261653" w:rsidRPr="00353A9D" w:rsidRDefault="00261653" w:rsidP="00353A9D">
      <w:pPr>
        <w:pStyle w:val="CBDNormalNumber"/>
        <w:numPr>
          <w:ilvl w:val="1"/>
          <w:numId w:val="467"/>
        </w:numPr>
        <w:shd w:val="clear" w:color="auto" w:fill="FFFFFF"/>
        <w:tabs>
          <w:tab w:val="clear" w:pos="1701"/>
        </w:tabs>
      </w:pPr>
      <w:r w:rsidRPr="00353A9D">
        <w:t>23.4 Does your country conduct sex-disaggregated data collection and analyses to assess the differential impacts of biodiversity policies and programmes?</w:t>
      </w:r>
    </w:p>
    <w:p w14:paraId="7076DCB3" w14:textId="77777777" w:rsidR="00353A9D" w:rsidRDefault="00261653" w:rsidP="00353A9D">
      <w:pPr>
        <w:pStyle w:val="CBDNormalNumber"/>
        <w:numPr>
          <w:ilvl w:val="0"/>
          <w:numId w:val="467"/>
        </w:numPr>
        <w:shd w:val="clear" w:color="auto" w:fill="FFFFFF"/>
        <w:tabs>
          <w:tab w:val="clear" w:pos="1701"/>
        </w:tabs>
        <w:ind w:left="1134" w:hanging="567"/>
      </w:pPr>
      <w:r w:rsidRPr="00261653">
        <w:t>There</w:t>
      </w:r>
      <w:r w:rsidRPr="00353A9D">
        <w:t xml:space="preserve"> are four possible answers to each of these questions</w:t>
      </w:r>
      <w:r w:rsidRPr="00353A9D">
        <w:rPr>
          <w:vertAlign w:val="superscript"/>
        </w:rPr>
        <w:footnoteReference w:id="66"/>
      </w:r>
      <w:r w:rsidRPr="00353A9D">
        <w:t>:</w:t>
      </w:r>
    </w:p>
    <w:p w14:paraId="14667F88" w14:textId="77777777" w:rsidR="00353A9D" w:rsidRDefault="00261653" w:rsidP="00353A9D">
      <w:pPr>
        <w:pStyle w:val="CBDNormalNumber"/>
        <w:numPr>
          <w:ilvl w:val="1"/>
          <w:numId w:val="467"/>
        </w:numPr>
        <w:shd w:val="clear" w:color="auto" w:fill="FFFFFF"/>
        <w:tabs>
          <w:tab w:val="clear" w:pos="1701"/>
        </w:tabs>
      </w:pPr>
      <w:r w:rsidRPr="00353A9D">
        <w:t>No</w:t>
      </w:r>
    </w:p>
    <w:p w14:paraId="179B2396" w14:textId="77777777" w:rsidR="00353A9D" w:rsidRDefault="00261653" w:rsidP="00353A9D">
      <w:pPr>
        <w:pStyle w:val="CBDNormalNumber"/>
        <w:numPr>
          <w:ilvl w:val="1"/>
          <w:numId w:val="467"/>
        </w:numPr>
        <w:shd w:val="clear" w:color="auto" w:fill="FFFFFF"/>
        <w:tabs>
          <w:tab w:val="clear" w:pos="1701"/>
        </w:tabs>
      </w:pPr>
      <w:r w:rsidRPr="00353A9D">
        <w:t>Under development</w:t>
      </w:r>
    </w:p>
    <w:p w14:paraId="6D8480EA" w14:textId="77777777" w:rsidR="00353A9D" w:rsidRDefault="00261653" w:rsidP="00353A9D">
      <w:pPr>
        <w:pStyle w:val="CBDNormalNumber"/>
        <w:numPr>
          <w:ilvl w:val="1"/>
          <w:numId w:val="467"/>
        </w:numPr>
        <w:shd w:val="clear" w:color="auto" w:fill="FFFFFF"/>
        <w:tabs>
          <w:tab w:val="clear" w:pos="1701"/>
        </w:tabs>
      </w:pPr>
      <w:r w:rsidRPr="00353A9D">
        <w:t>Partially</w:t>
      </w:r>
    </w:p>
    <w:p w14:paraId="188D9893" w14:textId="71914803" w:rsidR="00261653" w:rsidRPr="00353A9D" w:rsidRDefault="00261653" w:rsidP="00353A9D">
      <w:pPr>
        <w:pStyle w:val="CBDNormalNumber"/>
        <w:numPr>
          <w:ilvl w:val="1"/>
          <w:numId w:val="467"/>
        </w:numPr>
        <w:shd w:val="clear" w:color="auto" w:fill="FFFFFF"/>
        <w:tabs>
          <w:tab w:val="clear" w:pos="1701"/>
        </w:tabs>
      </w:pPr>
      <w:r w:rsidRPr="00353A9D">
        <w:t>Fully</w:t>
      </w:r>
    </w:p>
    <w:p w14:paraId="075DC9B9" w14:textId="77777777" w:rsidR="007E2D25" w:rsidRDefault="00261653" w:rsidP="007E2D25">
      <w:pPr>
        <w:pStyle w:val="CBDNormalNumber"/>
        <w:numPr>
          <w:ilvl w:val="0"/>
          <w:numId w:val="467"/>
        </w:numPr>
        <w:shd w:val="clear" w:color="auto" w:fill="FFFFFF"/>
        <w:tabs>
          <w:tab w:val="clear" w:pos="1701"/>
        </w:tabs>
        <w:ind w:left="1134" w:hanging="567"/>
      </w:pPr>
      <w:r w:rsidRPr="00261653">
        <w:t>A “No” answer implies that:</w:t>
      </w:r>
    </w:p>
    <w:p w14:paraId="26E31F6E" w14:textId="77777777" w:rsidR="007E2D25" w:rsidRDefault="00261653" w:rsidP="007E2D25">
      <w:pPr>
        <w:pStyle w:val="CBDNormalNumber"/>
        <w:numPr>
          <w:ilvl w:val="1"/>
          <w:numId w:val="467"/>
        </w:numPr>
        <w:shd w:val="clear" w:color="auto" w:fill="FFFFFF"/>
        <w:tabs>
          <w:tab w:val="clear" w:pos="1701"/>
        </w:tabs>
      </w:pPr>
      <w:r w:rsidRPr="007E2D25">
        <w:t>there are no mechanisms in place to facilitate the participation and leadership of women and girls at any level of action, engagement, policy and decision-making related to biodiversity (23.1)</w:t>
      </w:r>
    </w:p>
    <w:p w14:paraId="78E1EAD4" w14:textId="77777777" w:rsidR="007E2D25" w:rsidRDefault="00261653" w:rsidP="007E2D25">
      <w:pPr>
        <w:pStyle w:val="CBDNormalNumber"/>
        <w:numPr>
          <w:ilvl w:val="1"/>
          <w:numId w:val="467"/>
        </w:numPr>
        <w:shd w:val="clear" w:color="auto" w:fill="FFFFFF"/>
        <w:tabs>
          <w:tab w:val="clear" w:pos="1701"/>
        </w:tabs>
      </w:pPr>
      <w:r w:rsidRPr="007E2D25">
        <w:t>there is no recognition of women and girls’ rights related to land and natural or biodiversity resources in legislation or policy (23.2)</w:t>
      </w:r>
    </w:p>
    <w:p w14:paraId="02E19BE0" w14:textId="77777777" w:rsidR="007E2D25" w:rsidRDefault="00261653" w:rsidP="007E2D25">
      <w:pPr>
        <w:pStyle w:val="CBDNormalNumber"/>
        <w:numPr>
          <w:ilvl w:val="1"/>
          <w:numId w:val="467"/>
        </w:numPr>
        <w:shd w:val="clear" w:color="auto" w:fill="FFFFFF"/>
        <w:tabs>
          <w:tab w:val="clear" w:pos="1701"/>
        </w:tabs>
      </w:pPr>
      <w:r w:rsidRPr="007E2D25">
        <w:t xml:space="preserve">there is no recognition of gender nor the contributions and roles of women and girls in the implementation of the Framework (23.3) </w:t>
      </w:r>
    </w:p>
    <w:p w14:paraId="4EF88CD2" w14:textId="4F7CD419" w:rsidR="00261653" w:rsidRPr="007E2D25" w:rsidRDefault="00261653" w:rsidP="007E2D25">
      <w:pPr>
        <w:pStyle w:val="CBDNormalNumber"/>
        <w:numPr>
          <w:ilvl w:val="1"/>
          <w:numId w:val="467"/>
        </w:numPr>
        <w:shd w:val="clear" w:color="auto" w:fill="FFFFFF"/>
        <w:tabs>
          <w:tab w:val="clear" w:pos="1701"/>
        </w:tabs>
      </w:pPr>
      <w:r w:rsidRPr="007E2D25">
        <w:t>no sex-disaggregated data has been collected (23.4)</w:t>
      </w:r>
    </w:p>
    <w:p w14:paraId="1C446690" w14:textId="77777777" w:rsidR="007E2D25" w:rsidRDefault="00261653" w:rsidP="007E2D25">
      <w:pPr>
        <w:pStyle w:val="CBDNormalNumber"/>
        <w:numPr>
          <w:ilvl w:val="0"/>
          <w:numId w:val="467"/>
        </w:numPr>
        <w:shd w:val="clear" w:color="auto" w:fill="FFFFFF"/>
        <w:tabs>
          <w:tab w:val="clear" w:pos="1701"/>
        </w:tabs>
        <w:ind w:left="1134" w:hanging="567"/>
      </w:pPr>
      <w:r w:rsidRPr="00261653">
        <w:t>An “</w:t>
      </w:r>
      <w:r w:rsidRPr="007E2D25">
        <w:t>Under development</w:t>
      </w:r>
      <w:r w:rsidRPr="00261653">
        <w:t>” answer implies a concerted effort at the national level to:</w:t>
      </w:r>
    </w:p>
    <w:p w14:paraId="0D9D3922" w14:textId="77777777" w:rsidR="007E2D25" w:rsidRDefault="00261653" w:rsidP="007E2D25">
      <w:pPr>
        <w:pStyle w:val="CBDNormalNumber"/>
        <w:numPr>
          <w:ilvl w:val="1"/>
          <w:numId w:val="467"/>
        </w:numPr>
        <w:shd w:val="clear" w:color="auto" w:fill="FFFFFF"/>
        <w:tabs>
          <w:tab w:val="clear" w:pos="1701"/>
        </w:tabs>
      </w:pPr>
      <w:r w:rsidRPr="007E2D25">
        <w:t>begin the process of facilitating the inclusion of women and girls (23.1) and recognize their rights (23.2) through the proposal of official legislation or measures. For example, there may be a drafted bill, proposed text or consultation but these have not yet been ratified nor implemented.</w:t>
      </w:r>
    </w:p>
    <w:p w14:paraId="57666604" w14:textId="77777777" w:rsidR="007E2D25" w:rsidRDefault="00261653" w:rsidP="007E2D25">
      <w:pPr>
        <w:pStyle w:val="CBDNormalNumber"/>
        <w:numPr>
          <w:ilvl w:val="1"/>
          <w:numId w:val="467"/>
        </w:numPr>
        <w:shd w:val="clear" w:color="auto" w:fill="FFFFFF"/>
        <w:tabs>
          <w:tab w:val="clear" w:pos="1701"/>
        </w:tabs>
      </w:pPr>
      <w:r w:rsidRPr="007E2D25">
        <w:t>recognise gender in the application of the Framework or in national reports or the national biodiversity strategy and action plan (NBSAP – 23.3). That is, gender is explicitly mentioned in proposed initiatives for the implementation of the Framework (e.g. the establishment of a new protected area) or the NBSAP has been revised to include gender considerations but not yet adopted.</w:t>
      </w:r>
    </w:p>
    <w:p w14:paraId="410BBA7C" w14:textId="2F9738AF" w:rsidR="00261653" w:rsidRPr="007E2D25" w:rsidRDefault="00261653" w:rsidP="007E2D25">
      <w:pPr>
        <w:pStyle w:val="CBDNormalNumber"/>
        <w:numPr>
          <w:ilvl w:val="1"/>
          <w:numId w:val="467"/>
        </w:numPr>
        <w:shd w:val="clear" w:color="auto" w:fill="FFFFFF"/>
        <w:tabs>
          <w:tab w:val="clear" w:pos="1701"/>
        </w:tabs>
      </w:pPr>
      <w:r w:rsidRPr="007E2D25">
        <w:t>collect sex-disaggregated data but none is available yet, e.g. surveys have been revised to include gender considerations but not been distributed yet (23.4)</w:t>
      </w:r>
    </w:p>
    <w:p w14:paraId="5A05AA96" w14:textId="77777777" w:rsidR="004A5B69" w:rsidRPr="00F37F48" w:rsidRDefault="00261653" w:rsidP="00F37F48">
      <w:pPr>
        <w:pStyle w:val="CBDNormalNumber"/>
        <w:numPr>
          <w:ilvl w:val="0"/>
          <w:numId w:val="467"/>
        </w:numPr>
        <w:shd w:val="clear" w:color="auto" w:fill="FFFFFF"/>
        <w:tabs>
          <w:tab w:val="clear" w:pos="1701"/>
          <w:tab w:val="clear" w:pos="2268"/>
        </w:tabs>
        <w:ind w:left="567" w:firstLine="0"/>
        <w:rPr>
          <w:lang w:val="en-US"/>
        </w:rPr>
      </w:pPr>
      <w:r w:rsidRPr="00F37F48">
        <w:rPr>
          <w:lang w:val="en-US"/>
        </w:rPr>
        <w:t xml:space="preserve">In all cases, clear efforts can be seen (e.g. draft bills, revised reporting, ...) to progress towards the target but these are not yet in place and </w:t>
      </w:r>
      <w:proofErr w:type="gramStart"/>
      <w:r w:rsidRPr="00F37F48">
        <w:rPr>
          <w:lang w:val="en-US"/>
        </w:rPr>
        <w:t>producing</w:t>
      </w:r>
      <w:proofErr w:type="gramEnd"/>
      <w:r w:rsidRPr="00F37F48">
        <w:rPr>
          <w:lang w:val="en-US"/>
        </w:rPr>
        <w:t xml:space="preserve"> results.</w:t>
      </w:r>
    </w:p>
    <w:p w14:paraId="6E9830BE" w14:textId="77777777" w:rsidR="004A5B69" w:rsidRPr="004A5B69" w:rsidRDefault="00261653" w:rsidP="004A5B69">
      <w:pPr>
        <w:pStyle w:val="CBDNormalNumber"/>
        <w:numPr>
          <w:ilvl w:val="0"/>
          <w:numId w:val="467"/>
        </w:numPr>
        <w:shd w:val="clear" w:color="auto" w:fill="FFFFFF"/>
        <w:tabs>
          <w:tab w:val="clear" w:pos="1701"/>
        </w:tabs>
        <w:ind w:left="1134" w:hanging="567"/>
      </w:pPr>
      <w:r w:rsidRPr="004A5B69">
        <w:rPr>
          <w:lang w:val="en-US"/>
        </w:rPr>
        <w:t>A “</w:t>
      </w:r>
      <w:r w:rsidRPr="004A5B69">
        <w:rPr>
          <w:i/>
          <w:iCs/>
          <w:lang w:val="en-US"/>
        </w:rPr>
        <w:t>Partially</w:t>
      </w:r>
      <w:r w:rsidRPr="004A5B69">
        <w:rPr>
          <w:lang w:val="en-US"/>
        </w:rPr>
        <w:t>” answer implies that:</w:t>
      </w:r>
    </w:p>
    <w:p w14:paraId="6606A8E0" w14:textId="77777777" w:rsidR="004A5B69" w:rsidRDefault="00261653" w:rsidP="004A5B69">
      <w:pPr>
        <w:pStyle w:val="CBDNormalNumber"/>
        <w:numPr>
          <w:ilvl w:val="1"/>
          <w:numId w:val="467"/>
        </w:numPr>
        <w:shd w:val="clear" w:color="auto" w:fill="FFFFFF"/>
        <w:tabs>
          <w:tab w:val="clear" w:pos="1701"/>
        </w:tabs>
      </w:pPr>
      <w:r w:rsidRPr="004A5B69">
        <w:lastRenderedPageBreak/>
        <w:t xml:space="preserve">mechanisms are in place (e.g. bills ratified, resources allocated) to facilitate the full, equitable, meaningful and informed participation or leadership of women and girls at different levels of action, engagement, policy or decision-making (23.1). That is, either participation or leadership may still be </w:t>
      </w:r>
      <w:proofErr w:type="gramStart"/>
      <w:r w:rsidRPr="004A5B69">
        <w:t>missing</w:t>
      </w:r>
      <w:proofErr w:type="gramEnd"/>
      <w:r w:rsidRPr="004A5B69">
        <w:t xml:space="preserve"> and not all women and girls are represented at all levels of action, engagement, policy or decision-making.</w:t>
      </w:r>
    </w:p>
    <w:p w14:paraId="327BD2BC" w14:textId="77777777" w:rsidR="004A5B69" w:rsidRDefault="00261653" w:rsidP="004A5B69">
      <w:pPr>
        <w:pStyle w:val="CBDNormalNumber"/>
        <w:numPr>
          <w:ilvl w:val="1"/>
          <w:numId w:val="467"/>
        </w:numPr>
        <w:shd w:val="clear" w:color="auto" w:fill="FFFFFF"/>
        <w:tabs>
          <w:tab w:val="clear" w:pos="1701"/>
        </w:tabs>
      </w:pPr>
      <w:r w:rsidRPr="004A5B69">
        <w:t>legislation or policy measures that explicitly recognize and protect women and girls rights or access to land or natural or biodiversity resources (23.2). That is, either legislation or policy may still be missing or failing to protect both rights and access to either land or natural or biodiversity resources.</w:t>
      </w:r>
    </w:p>
    <w:p w14:paraId="51334358" w14:textId="77777777" w:rsidR="004A5B69" w:rsidRDefault="00261653" w:rsidP="004A5B69">
      <w:pPr>
        <w:pStyle w:val="CBDNormalNumber"/>
        <w:numPr>
          <w:ilvl w:val="1"/>
          <w:numId w:val="467"/>
        </w:numPr>
        <w:shd w:val="clear" w:color="auto" w:fill="FFFFFF"/>
        <w:tabs>
          <w:tab w:val="clear" w:pos="1701"/>
        </w:tabs>
      </w:pPr>
      <w:r w:rsidRPr="004A5B69">
        <w:t>gender is recognized in the application of the Framework or in national reports or NBSAP (23.3) but the resources, both human and/or financial, are lacking to implement the new gender-responsive approach.</w:t>
      </w:r>
    </w:p>
    <w:p w14:paraId="7656C294" w14:textId="58F1D989" w:rsidR="00261653" w:rsidRPr="004A5B69" w:rsidRDefault="00261653" w:rsidP="004A5B69">
      <w:pPr>
        <w:pStyle w:val="CBDNormalNumber"/>
        <w:numPr>
          <w:ilvl w:val="1"/>
          <w:numId w:val="467"/>
        </w:numPr>
        <w:shd w:val="clear" w:color="auto" w:fill="FFFFFF"/>
        <w:tabs>
          <w:tab w:val="clear" w:pos="1701"/>
        </w:tabs>
      </w:pPr>
      <w:r w:rsidRPr="004A5B69">
        <w:t>surveys designed to collect sex-disaggregated data have been produced and are being used and distributed (23.4). Select this answer even if no data is available yet from the release of these surveys.</w:t>
      </w:r>
    </w:p>
    <w:p w14:paraId="7973A8B7" w14:textId="77777777" w:rsidR="00261653" w:rsidRPr="00261653" w:rsidRDefault="00261653" w:rsidP="00F37F48">
      <w:pPr>
        <w:pStyle w:val="CBDNormalNumber"/>
        <w:numPr>
          <w:ilvl w:val="0"/>
          <w:numId w:val="467"/>
        </w:numPr>
        <w:shd w:val="clear" w:color="auto" w:fill="FFFFFF"/>
        <w:tabs>
          <w:tab w:val="clear" w:pos="1701"/>
          <w:tab w:val="clear" w:pos="2268"/>
        </w:tabs>
        <w:ind w:left="567" w:firstLine="0"/>
        <w:rPr>
          <w:lang w:val="en-US"/>
        </w:rPr>
      </w:pPr>
      <w:r w:rsidRPr="00261653">
        <w:rPr>
          <w:lang w:val="en-US"/>
        </w:rPr>
        <w:t>In each of the cases outlined above some elements of the question have not been achieved or the resources for them to be effectively implemented are lacking.</w:t>
      </w:r>
    </w:p>
    <w:p w14:paraId="651C658C" w14:textId="77777777" w:rsidR="00261653" w:rsidRPr="00261653" w:rsidRDefault="00261653" w:rsidP="00F37F48">
      <w:pPr>
        <w:pStyle w:val="CBDNormalNumber"/>
        <w:numPr>
          <w:ilvl w:val="0"/>
          <w:numId w:val="467"/>
        </w:numPr>
        <w:shd w:val="clear" w:color="auto" w:fill="FFFFFF"/>
        <w:tabs>
          <w:tab w:val="clear" w:pos="1701"/>
          <w:tab w:val="clear" w:pos="2268"/>
        </w:tabs>
        <w:ind w:left="567" w:firstLine="0"/>
        <w:rPr>
          <w:lang w:val="en-US"/>
        </w:rPr>
      </w:pPr>
      <w:r w:rsidRPr="00261653">
        <w:rPr>
          <w:lang w:val="en-US"/>
        </w:rPr>
        <w:t>A “</w:t>
      </w:r>
      <w:r w:rsidRPr="004A5B69">
        <w:rPr>
          <w:lang w:val="en-US"/>
        </w:rPr>
        <w:t>Fully</w:t>
      </w:r>
      <w:r w:rsidRPr="00261653">
        <w:rPr>
          <w:lang w:val="en-US"/>
        </w:rPr>
        <w:t>” answer implies that all the conditions outlined in “</w:t>
      </w:r>
      <w:r w:rsidRPr="004A5B69">
        <w:rPr>
          <w:lang w:val="en-US"/>
        </w:rPr>
        <w:t>Partially</w:t>
      </w:r>
      <w:r w:rsidRPr="00261653">
        <w:rPr>
          <w:lang w:val="en-US"/>
        </w:rPr>
        <w:t>” have been met. Namely that:</w:t>
      </w:r>
    </w:p>
    <w:p w14:paraId="067D7515" w14:textId="77777777" w:rsidR="004A5B69" w:rsidRDefault="00261653" w:rsidP="004A5B69">
      <w:pPr>
        <w:pStyle w:val="CBDNormalNumber"/>
        <w:numPr>
          <w:ilvl w:val="1"/>
          <w:numId w:val="467"/>
        </w:numPr>
        <w:shd w:val="clear" w:color="auto" w:fill="FFFFFF"/>
        <w:tabs>
          <w:tab w:val="clear" w:pos="1701"/>
        </w:tabs>
        <w:rPr>
          <w:lang w:val="en-US"/>
        </w:rPr>
      </w:pPr>
      <w:r w:rsidRPr="004A5B69">
        <w:rPr>
          <w:lang w:val="en-US"/>
        </w:rPr>
        <w:t xml:space="preserve">mechanisms are in place (e.g. bills ratified, resources allocated) to facilitate the full, equitable, meaningful and informed participation and leadership of women and girls at all levels of action, engagement, policy or decision-making (23.1). </w:t>
      </w:r>
    </w:p>
    <w:p w14:paraId="786367E5" w14:textId="77777777" w:rsidR="004A5B69" w:rsidRPr="004A5B69" w:rsidRDefault="00261653" w:rsidP="004A5B69">
      <w:pPr>
        <w:pStyle w:val="CBDNormalNumber"/>
        <w:numPr>
          <w:ilvl w:val="1"/>
          <w:numId w:val="467"/>
        </w:numPr>
        <w:shd w:val="clear" w:color="auto" w:fill="FFFFFF"/>
        <w:tabs>
          <w:tab w:val="clear" w:pos="1701"/>
        </w:tabs>
        <w:rPr>
          <w:lang w:val="en-US"/>
        </w:rPr>
      </w:pPr>
      <w:r w:rsidRPr="004A5B69">
        <w:t>legislation and policy measures that explicitly recognize and protect women and girls rights and access to land or natural or biodiversity resources are fully in place and covering all aspects of 23.2.</w:t>
      </w:r>
    </w:p>
    <w:p w14:paraId="7E49AB99" w14:textId="77777777" w:rsidR="004A5B69" w:rsidRPr="004A5B69" w:rsidRDefault="00261653" w:rsidP="004A5B69">
      <w:pPr>
        <w:pStyle w:val="CBDNormalNumber"/>
        <w:numPr>
          <w:ilvl w:val="1"/>
          <w:numId w:val="467"/>
        </w:numPr>
        <w:shd w:val="clear" w:color="auto" w:fill="FFFFFF"/>
        <w:tabs>
          <w:tab w:val="clear" w:pos="1701"/>
        </w:tabs>
        <w:rPr>
          <w:lang w:val="en-US"/>
        </w:rPr>
      </w:pPr>
      <w:r w:rsidRPr="004A5B69">
        <w:t>gender is recognized in the application of the Framework and in national reports and NBSAP (23.3) and these have been implemented in such a way that can be objectively verified (e.g. the impact on women and girls was studied in the proposal of a new protected area).</w:t>
      </w:r>
    </w:p>
    <w:p w14:paraId="3D445A3C" w14:textId="0477AD8D" w:rsidR="00261653" w:rsidRPr="00C37DA1" w:rsidRDefault="00261653" w:rsidP="004A5B69">
      <w:pPr>
        <w:pStyle w:val="CBDNormalNumber"/>
        <w:numPr>
          <w:ilvl w:val="1"/>
          <w:numId w:val="467"/>
        </w:numPr>
        <w:shd w:val="clear" w:color="auto" w:fill="FFFFFF"/>
        <w:tabs>
          <w:tab w:val="clear" w:pos="1701"/>
        </w:tabs>
        <w:rPr>
          <w:lang w:val="en-US"/>
        </w:rPr>
      </w:pPr>
      <w:r w:rsidRPr="004A5B69">
        <w:t xml:space="preserve">sex-disaggregated data are being collected and </w:t>
      </w:r>
      <w:proofErr w:type="spellStart"/>
      <w:r w:rsidRPr="004A5B69">
        <w:t>analyzed</w:t>
      </w:r>
      <w:proofErr w:type="spellEnd"/>
      <w:r w:rsidRPr="004A5B69">
        <w:t xml:space="preserve"> (23.4)</w:t>
      </w:r>
    </w:p>
    <w:p w14:paraId="11350F81" w14:textId="2148F786" w:rsidR="00C37DA1" w:rsidRDefault="00C37DA1">
      <w:pPr>
        <w:rPr>
          <w:rFonts w:eastAsia="SimSun"/>
          <w:sz w:val="22"/>
          <w:szCs w:val="22"/>
          <w:lang w:val="en-GB"/>
        </w:rPr>
      </w:pPr>
      <w:r>
        <w:br w:type="page"/>
      </w:r>
    </w:p>
    <w:p w14:paraId="37A46C19" w14:textId="77777777" w:rsidR="00C37DA1" w:rsidRPr="00CA6103" w:rsidRDefault="00C37DA1" w:rsidP="00CA6103">
      <w:pPr>
        <w:pStyle w:val="Heading3"/>
        <w:rPr>
          <w:rStyle w:val="normaltextrun"/>
        </w:rPr>
      </w:pPr>
      <w:bookmarkStart w:id="87" w:name="_Toc178285885"/>
      <w:bookmarkStart w:id="88" w:name="_Toc233278595"/>
      <w:r w:rsidRPr="00CA6103">
        <w:rPr>
          <w:rStyle w:val="normaltextrun"/>
        </w:rPr>
        <w:lastRenderedPageBreak/>
        <w:t xml:space="preserve">Annex </w:t>
      </w:r>
      <w:r w:rsidRPr="00CA6103">
        <w:rPr>
          <w:rStyle w:val="normaltextrun"/>
        </w:rPr>
        <w:br/>
        <w:t>Glossary of key terms in the monitoring framework</w:t>
      </w:r>
      <w:bookmarkEnd w:id="87"/>
      <w:bookmarkEnd w:id="88"/>
    </w:p>
    <w:p w14:paraId="39D3D1C6" w14:textId="77777777" w:rsidR="00C37DA1" w:rsidRPr="00C37DA1" w:rsidRDefault="00C37DA1" w:rsidP="000C0761">
      <w:pPr>
        <w:pStyle w:val="CBDNormalNumber"/>
        <w:tabs>
          <w:tab w:val="clear" w:pos="1701"/>
        </w:tabs>
        <w:ind w:left="567"/>
      </w:pPr>
      <w:r w:rsidRPr="00C37DA1">
        <w:rPr>
          <w:lang w:val="en-US"/>
        </w:rPr>
        <w:t>The</w:t>
      </w:r>
      <w:r w:rsidRPr="00C37DA1">
        <w:t xml:space="preserve"> following glossary is provided as a reference only. The definitions included do not represent negotiated or agreed definitions, but they represent definitions that are used in the headline and binary indicators of the monitoring framework for the Kunming-Montreal Global Biodiversity Framework. The definitions are provided to help guide for Parties in applying the monitoring issues, to use as relevant or applicable.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5"/>
        <w:gridCol w:w="7155"/>
      </w:tblGrid>
      <w:tr w:rsidR="00C37DA1" w:rsidRPr="00E822AE" w14:paraId="2E0CC1E0" w14:textId="77777777">
        <w:trPr>
          <w:trHeight w:val="435"/>
        </w:trPr>
        <w:tc>
          <w:tcPr>
            <w:tcW w:w="2055" w:type="dxa"/>
            <w:tcBorders>
              <w:top w:val="single" w:sz="6" w:space="0" w:color="auto"/>
              <w:left w:val="nil"/>
              <w:bottom w:val="single" w:sz="6" w:space="0" w:color="auto"/>
              <w:right w:val="nil"/>
            </w:tcBorders>
            <w:hideMark/>
          </w:tcPr>
          <w:p w14:paraId="01DF96C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Term </w:t>
            </w:r>
          </w:p>
        </w:tc>
        <w:tc>
          <w:tcPr>
            <w:tcW w:w="7155" w:type="dxa"/>
            <w:tcBorders>
              <w:top w:val="single" w:sz="6" w:space="0" w:color="auto"/>
              <w:left w:val="nil"/>
              <w:bottom w:val="single" w:sz="6" w:space="0" w:color="auto"/>
              <w:right w:val="nil"/>
            </w:tcBorders>
            <w:hideMark/>
          </w:tcPr>
          <w:p w14:paraId="79A79BB1"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Definition </w:t>
            </w:r>
          </w:p>
        </w:tc>
      </w:tr>
      <w:tr w:rsidR="00C37DA1" w:rsidRPr="00E822AE" w14:paraId="26E4166E" w14:textId="77777777">
        <w:trPr>
          <w:trHeight w:val="795"/>
        </w:trPr>
        <w:tc>
          <w:tcPr>
            <w:tcW w:w="2055" w:type="dxa"/>
            <w:tcBorders>
              <w:top w:val="single" w:sz="6" w:space="0" w:color="auto"/>
              <w:left w:val="nil"/>
              <w:bottom w:val="nil"/>
              <w:right w:val="nil"/>
            </w:tcBorders>
            <w:hideMark/>
          </w:tcPr>
          <w:p w14:paraId="3A76806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Above-ground biomass </w:t>
            </w:r>
          </w:p>
        </w:tc>
        <w:tc>
          <w:tcPr>
            <w:tcW w:w="7155" w:type="dxa"/>
            <w:tcBorders>
              <w:top w:val="single" w:sz="6" w:space="0" w:color="auto"/>
              <w:left w:val="nil"/>
              <w:bottom w:val="nil"/>
              <w:right w:val="nil"/>
            </w:tcBorders>
            <w:hideMark/>
          </w:tcPr>
          <w:p w14:paraId="6F29851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All living biomass above the soil including stem, stump, branches, bark, seeds, and foliage. (FAO, 2004-2021) </w:t>
            </w:r>
          </w:p>
        </w:tc>
      </w:tr>
      <w:tr w:rsidR="00C37DA1" w:rsidRPr="00E822AE" w14:paraId="1A3DAF8C" w14:textId="77777777">
        <w:trPr>
          <w:trHeight w:val="1020"/>
        </w:trPr>
        <w:tc>
          <w:tcPr>
            <w:tcW w:w="2055" w:type="dxa"/>
            <w:tcBorders>
              <w:top w:val="nil"/>
              <w:left w:val="nil"/>
              <w:bottom w:val="nil"/>
              <w:right w:val="nil"/>
            </w:tcBorders>
            <w:hideMark/>
          </w:tcPr>
          <w:p w14:paraId="173D47A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 xml:space="preserve">Access and benefit sharing </w:t>
            </w:r>
            <w:proofErr w:type="gramStart"/>
            <w:r w:rsidRPr="00E822AE">
              <w:rPr>
                <w:sz w:val="20"/>
                <w:szCs w:val="20"/>
                <w:lang w:val="en-CA"/>
              </w:rPr>
              <w:t>regulations  and</w:t>
            </w:r>
            <w:proofErr w:type="gramEnd"/>
            <w:r w:rsidRPr="00E822AE">
              <w:rPr>
                <w:sz w:val="20"/>
                <w:szCs w:val="20"/>
                <w:lang w:val="en-CA"/>
              </w:rPr>
              <w:t xml:space="preserve"> measures </w:t>
            </w:r>
          </w:p>
        </w:tc>
        <w:tc>
          <w:tcPr>
            <w:tcW w:w="7155" w:type="dxa"/>
            <w:tcBorders>
              <w:top w:val="nil"/>
              <w:left w:val="nil"/>
              <w:bottom w:val="nil"/>
              <w:right w:val="nil"/>
            </w:tcBorders>
            <w:hideMark/>
          </w:tcPr>
          <w:p w14:paraId="24F3061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Measures and regulations pertaining to the access and benefit-sharing of genetic resources set out in Article 1 of the Convention on Biological Diversity. </w:t>
            </w:r>
          </w:p>
        </w:tc>
      </w:tr>
      <w:tr w:rsidR="00C37DA1" w:rsidRPr="00E822AE" w14:paraId="1C4CBEF3" w14:textId="77777777">
        <w:trPr>
          <w:trHeight w:val="1770"/>
        </w:trPr>
        <w:tc>
          <w:tcPr>
            <w:tcW w:w="2055" w:type="dxa"/>
            <w:tcBorders>
              <w:top w:val="nil"/>
              <w:left w:val="nil"/>
              <w:bottom w:val="nil"/>
              <w:right w:val="nil"/>
            </w:tcBorders>
            <w:hideMark/>
          </w:tcPr>
          <w:p w14:paraId="4B8445C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Access to information </w:t>
            </w:r>
          </w:p>
        </w:tc>
        <w:tc>
          <w:tcPr>
            <w:tcW w:w="7155" w:type="dxa"/>
            <w:tcBorders>
              <w:top w:val="nil"/>
              <w:left w:val="nil"/>
              <w:bottom w:val="nil"/>
              <w:right w:val="nil"/>
            </w:tcBorders>
            <w:hideMark/>
          </w:tcPr>
          <w:p w14:paraId="2C74EA4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Access to Information has two principle components: the obligation for states to have a legal framework that is also implemented in practice, that: entitles public to request access to information (documents and other information recorded in any format) and to respond to such requests in a timely fashion and obliges authorities to ensure that information of public interest is put into the public domain proactively, without the need for requests. (</w:t>
            </w:r>
            <w:hyperlink r:id="rId563" w:tgtFrame="_blank" w:history="1">
              <w:r w:rsidRPr="00E822AE">
                <w:rPr>
                  <w:rStyle w:val="Hyperlink"/>
                  <w:sz w:val="20"/>
                  <w:szCs w:val="20"/>
                  <w:lang w:val="en-CA"/>
                </w:rPr>
                <w:t>UN Stats</w:t>
              </w:r>
            </w:hyperlink>
            <w:r w:rsidRPr="00E822AE">
              <w:rPr>
                <w:sz w:val="20"/>
                <w:szCs w:val="20"/>
                <w:lang w:val="en-CA"/>
              </w:rPr>
              <w:t>) </w:t>
            </w:r>
          </w:p>
        </w:tc>
      </w:tr>
      <w:tr w:rsidR="00C37DA1" w:rsidRPr="00E822AE" w14:paraId="54CD051A" w14:textId="77777777">
        <w:trPr>
          <w:trHeight w:val="2625"/>
        </w:trPr>
        <w:tc>
          <w:tcPr>
            <w:tcW w:w="2055" w:type="dxa"/>
            <w:tcBorders>
              <w:top w:val="nil"/>
              <w:left w:val="nil"/>
              <w:bottom w:val="nil"/>
              <w:right w:val="nil"/>
            </w:tcBorders>
            <w:hideMark/>
          </w:tcPr>
          <w:p w14:paraId="47462E3E"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Access to justice </w:t>
            </w:r>
          </w:p>
        </w:tc>
        <w:tc>
          <w:tcPr>
            <w:tcW w:w="7155" w:type="dxa"/>
            <w:tcBorders>
              <w:top w:val="nil"/>
              <w:left w:val="nil"/>
              <w:bottom w:val="nil"/>
              <w:right w:val="nil"/>
            </w:tcBorders>
            <w:hideMark/>
          </w:tcPr>
          <w:p w14:paraId="6A68E2A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ability of people to seek and obtain a just resolution of legal problems through a wide range of legal and justice services. These services include legal information, counsel and representation, formal (e.g. courts) and alternative dispute resolution, and enforcement mechanisms. Emphasis should also be placed on legal empowerment, which enables people’s meaningful participation in the justice system and builds their capability to understand and use the law for themselves. The rule of law requires impartial and non-discriminatory justice. Without equal access, a large portion of the population can be left behind and their vulnerabilities exposed. (</w:t>
            </w:r>
            <w:hyperlink r:id="rId564" w:tgtFrame="_blank" w:history="1">
              <w:r w:rsidRPr="00E822AE">
                <w:rPr>
                  <w:rStyle w:val="Hyperlink"/>
                  <w:sz w:val="20"/>
                  <w:szCs w:val="20"/>
                  <w:lang w:val="en-CA"/>
                </w:rPr>
                <w:t>OECD</w:t>
              </w:r>
            </w:hyperlink>
            <w:r w:rsidRPr="00E822AE">
              <w:rPr>
                <w:sz w:val="20"/>
                <w:szCs w:val="20"/>
                <w:lang w:val="en-CA"/>
              </w:rPr>
              <w:t>, 2021) </w:t>
            </w:r>
          </w:p>
        </w:tc>
      </w:tr>
      <w:tr w:rsidR="00C37DA1" w:rsidRPr="00E822AE" w14:paraId="41A76195" w14:textId="77777777">
        <w:trPr>
          <w:trHeight w:val="570"/>
        </w:trPr>
        <w:tc>
          <w:tcPr>
            <w:tcW w:w="2055" w:type="dxa"/>
            <w:tcBorders>
              <w:top w:val="nil"/>
              <w:left w:val="nil"/>
              <w:bottom w:val="nil"/>
              <w:right w:val="nil"/>
            </w:tcBorders>
            <w:hideMark/>
          </w:tcPr>
          <w:p w14:paraId="584992C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Action plan </w:t>
            </w:r>
          </w:p>
        </w:tc>
        <w:tc>
          <w:tcPr>
            <w:tcW w:w="7155" w:type="dxa"/>
            <w:tcBorders>
              <w:top w:val="nil"/>
              <w:left w:val="nil"/>
              <w:bottom w:val="nil"/>
              <w:right w:val="nil"/>
            </w:tcBorders>
            <w:hideMark/>
          </w:tcPr>
          <w:p w14:paraId="198FEDE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An official strategy or course of action to deliver on the goals of the Framework. </w:t>
            </w:r>
          </w:p>
        </w:tc>
      </w:tr>
      <w:tr w:rsidR="00C37DA1" w:rsidRPr="00E822AE" w14:paraId="0F38C481" w14:textId="77777777">
        <w:trPr>
          <w:trHeight w:val="990"/>
        </w:trPr>
        <w:tc>
          <w:tcPr>
            <w:tcW w:w="2055" w:type="dxa"/>
            <w:tcBorders>
              <w:top w:val="nil"/>
              <w:left w:val="nil"/>
              <w:bottom w:val="nil"/>
              <w:right w:val="nil"/>
            </w:tcBorders>
            <w:hideMark/>
          </w:tcPr>
          <w:p w14:paraId="4D576BB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Adaptation to climate change </w:t>
            </w:r>
          </w:p>
        </w:tc>
        <w:tc>
          <w:tcPr>
            <w:tcW w:w="7155" w:type="dxa"/>
            <w:tcBorders>
              <w:top w:val="nil"/>
              <w:left w:val="nil"/>
              <w:bottom w:val="nil"/>
              <w:right w:val="nil"/>
            </w:tcBorders>
            <w:hideMark/>
          </w:tcPr>
          <w:p w14:paraId="2DCC3C7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Adjustment in natural or human systems in response to actual or expected climatic stimuli or their effects, which moderates harm or exploits beneficial opportunities. (</w:t>
            </w:r>
            <w:hyperlink r:id="rId565" w:tgtFrame="_blank" w:history="1">
              <w:r w:rsidRPr="00E822AE">
                <w:rPr>
                  <w:rStyle w:val="Hyperlink"/>
                  <w:sz w:val="20"/>
                  <w:szCs w:val="20"/>
                  <w:lang w:val="en-CA"/>
                </w:rPr>
                <w:t>IPBES</w:t>
              </w:r>
            </w:hyperlink>
            <w:r w:rsidRPr="00E822AE">
              <w:rPr>
                <w:sz w:val="20"/>
                <w:szCs w:val="20"/>
                <w:lang w:val="en-CA"/>
              </w:rPr>
              <w:t>, 2018) </w:t>
            </w:r>
          </w:p>
        </w:tc>
      </w:tr>
      <w:tr w:rsidR="00C37DA1" w:rsidRPr="00E822AE" w14:paraId="2A66B9AA" w14:textId="77777777">
        <w:trPr>
          <w:trHeight w:val="1125"/>
        </w:trPr>
        <w:tc>
          <w:tcPr>
            <w:tcW w:w="2055" w:type="dxa"/>
            <w:tcBorders>
              <w:top w:val="nil"/>
              <w:left w:val="nil"/>
              <w:bottom w:val="nil"/>
              <w:right w:val="nil"/>
            </w:tcBorders>
            <w:hideMark/>
          </w:tcPr>
          <w:p w14:paraId="0FD7347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Agricultural land </w:t>
            </w:r>
          </w:p>
        </w:tc>
        <w:tc>
          <w:tcPr>
            <w:tcW w:w="7155" w:type="dxa"/>
            <w:tcBorders>
              <w:top w:val="nil"/>
              <w:left w:val="nil"/>
              <w:bottom w:val="nil"/>
              <w:right w:val="nil"/>
            </w:tcBorders>
            <w:hideMark/>
          </w:tcPr>
          <w:p w14:paraId="4E04D4D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Land used primarily to grow crops and raise livestock. Forestry, fisheries and aquaculture activities may be included to the extent that they are secondary activities conducted on the agricultural area of the farm holdings, for example rice fish farming and similar systems. (FAO, 2004-2021) </w:t>
            </w:r>
          </w:p>
        </w:tc>
      </w:tr>
      <w:tr w:rsidR="00C37DA1" w:rsidRPr="00E822AE" w14:paraId="001F4460" w14:textId="77777777">
        <w:trPr>
          <w:trHeight w:val="1470"/>
        </w:trPr>
        <w:tc>
          <w:tcPr>
            <w:tcW w:w="2055" w:type="dxa"/>
            <w:tcBorders>
              <w:top w:val="nil"/>
              <w:left w:val="nil"/>
              <w:bottom w:val="nil"/>
              <w:right w:val="nil"/>
            </w:tcBorders>
            <w:hideMark/>
          </w:tcPr>
          <w:p w14:paraId="41ED7C0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Air filtration services </w:t>
            </w:r>
          </w:p>
        </w:tc>
        <w:tc>
          <w:tcPr>
            <w:tcW w:w="7155" w:type="dxa"/>
            <w:tcBorders>
              <w:top w:val="nil"/>
              <w:left w:val="nil"/>
              <w:bottom w:val="nil"/>
              <w:right w:val="nil"/>
            </w:tcBorders>
            <w:hideMark/>
          </w:tcPr>
          <w:p w14:paraId="4EBB3CF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Air filtration services are the ecosystem contributions to the filtering of air-borne pollutants through the deposition, uptake, fixing and storage of pollutants by ecosystem components, particularly plants, that mitigates the harmful effects of the pollutants. This is most commonly a final ecosystem service. (</w:t>
            </w:r>
            <w:hyperlink r:id="rId566"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0475ECC2" w14:textId="77777777">
        <w:trPr>
          <w:trHeight w:val="765"/>
        </w:trPr>
        <w:tc>
          <w:tcPr>
            <w:tcW w:w="2055" w:type="dxa"/>
            <w:tcBorders>
              <w:top w:val="nil"/>
              <w:left w:val="nil"/>
              <w:bottom w:val="nil"/>
              <w:right w:val="nil"/>
            </w:tcBorders>
            <w:hideMark/>
          </w:tcPr>
          <w:p w14:paraId="4A8ECC8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Alien invasive species </w:t>
            </w:r>
          </w:p>
        </w:tc>
        <w:tc>
          <w:tcPr>
            <w:tcW w:w="7155" w:type="dxa"/>
            <w:tcBorders>
              <w:top w:val="nil"/>
              <w:left w:val="nil"/>
              <w:bottom w:val="nil"/>
              <w:right w:val="nil"/>
            </w:tcBorders>
            <w:hideMark/>
          </w:tcPr>
          <w:p w14:paraId="63490C9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An alien species whose introduction and/or spread threaten biological diversity. (Convention, Article 8(h)) </w:t>
            </w:r>
          </w:p>
        </w:tc>
      </w:tr>
      <w:tr w:rsidR="00C37DA1" w:rsidRPr="00E822AE" w14:paraId="50251D8B" w14:textId="77777777">
        <w:trPr>
          <w:trHeight w:val="946"/>
        </w:trPr>
        <w:tc>
          <w:tcPr>
            <w:tcW w:w="2055" w:type="dxa"/>
            <w:tcBorders>
              <w:top w:val="nil"/>
              <w:left w:val="nil"/>
              <w:bottom w:val="nil"/>
              <w:right w:val="nil"/>
            </w:tcBorders>
            <w:hideMark/>
          </w:tcPr>
          <w:p w14:paraId="3B087C6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Alien species </w:t>
            </w:r>
          </w:p>
        </w:tc>
        <w:tc>
          <w:tcPr>
            <w:tcW w:w="7155" w:type="dxa"/>
            <w:tcBorders>
              <w:top w:val="nil"/>
              <w:left w:val="nil"/>
              <w:bottom w:val="nil"/>
              <w:right w:val="nil"/>
            </w:tcBorders>
            <w:hideMark/>
          </w:tcPr>
          <w:p w14:paraId="4F9988E2"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species, subspecies or lower taxon, introduced outside its natural past or present distribution; includes any part, gametes, seeds, eggs, or propagules of such species that might survive and subsequently reproduce. (Convention, Article 8(h)) </w:t>
            </w:r>
          </w:p>
        </w:tc>
      </w:tr>
      <w:tr w:rsidR="00C37DA1" w:rsidRPr="00E822AE" w14:paraId="1DF41CD2" w14:textId="77777777">
        <w:trPr>
          <w:trHeight w:val="975"/>
        </w:trPr>
        <w:tc>
          <w:tcPr>
            <w:tcW w:w="2055" w:type="dxa"/>
            <w:tcBorders>
              <w:top w:val="nil"/>
              <w:left w:val="nil"/>
              <w:bottom w:val="nil"/>
              <w:right w:val="nil"/>
            </w:tcBorders>
            <w:hideMark/>
          </w:tcPr>
          <w:p w14:paraId="3AEB365D"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All areas </w:t>
            </w:r>
          </w:p>
        </w:tc>
        <w:tc>
          <w:tcPr>
            <w:tcW w:w="7155" w:type="dxa"/>
            <w:tcBorders>
              <w:top w:val="nil"/>
              <w:left w:val="nil"/>
              <w:bottom w:val="nil"/>
              <w:right w:val="nil"/>
            </w:tcBorders>
            <w:hideMark/>
          </w:tcPr>
          <w:p w14:paraId="6C915198" w14:textId="77777777" w:rsidR="00C37DA1" w:rsidRPr="00E822AE" w:rsidRDefault="00C37DA1" w:rsidP="008B21D8">
            <w:pPr>
              <w:pStyle w:val="CBDNormalNumber"/>
              <w:shd w:val="clear" w:color="auto" w:fill="FFFFFF"/>
              <w:ind w:left="567"/>
              <w:rPr>
                <w:sz w:val="20"/>
                <w:szCs w:val="20"/>
                <w:lang w:val="en-CA"/>
              </w:rPr>
            </w:pPr>
            <w:proofErr w:type="gramStart"/>
            <w:r w:rsidRPr="00E822AE">
              <w:rPr>
                <w:sz w:val="20"/>
                <w:szCs w:val="20"/>
                <w:lang w:val="en-CA"/>
              </w:rPr>
              <w:t>For the purpose of</w:t>
            </w:r>
            <w:proofErr w:type="gramEnd"/>
            <w:r w:rsidRPr="00E822AE">
              <w:rPr>
                <w:sz w:val="20"/>
                <w:szCs w:val="20"/>
                <w:lang w:val="en-CA"/>
              </w:rPr>
              <w:t xml:space="preserve"> the Convention, the term “</w:t>
            </w:r>
            <w:r w:rsidRPr="00E822AE">
              <w:rPr>
                <w:i/>
                <w:iCs/>
                <w:sz w:val="20"/>
                <w:szCs w:val="20"/>
                <w:lang w:val="en-CA"/>
              </w:rPr>
              <w:t>all areas</w:t>
            </w:r>
            <w:r w:rsidRPr="00E822AE">
              <w:rPr>
                <w:sz w:val="20"/>
                <w:szCs w:val="20"/>
                <w:lang w:val="en-CA"/>
              </w:rPr>
              <w:t>” generally refers to the entire territory of each country and thus include all terrestrial, marine and freshwater ecosystems </w:t>
            </w:r>
          </w:p>
        </w:tc>
      </w:tr>
      <w:tr w:rsidR="00C37DA1" w:rsidRPr="00E822AE" w14:paraId="6B03F1D6" w14:textId="77777777">
        <w:trPr>
          <w:trHeight w:val="2535"/>
        </w:trPr>
        <w:tc>
          <w:tcPr>
            <w:tcW w:w="2055" w:type="dxa"/>
            <w:tcBorders>
              <w:top w:val="nil"/>
              <w:left w:val="nil"/>
              <w:bottom w:val="nil"/>
              <w:right w:val="nil"/>
            </w:tcBorders>
            <w:hideMark/>
          </w:tcPr>
          <w:p w14:paraId="39026DA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Areas of particular importance for biodiversity </w:t>
            </w:r>
          </w:p>
        </w:tc>
        <w:tc>
          <w:tcPr>
            <w:tcW w:w="7155" w:type="dxa"/>
            <w:tcBorders>
              <w:top w:val="nil"/>
              <w:left w:val="nil"/>
              <w:bottom w:val="nil"/>
              <w:right w:val="nil"/>
            </w:tcBorders>
            <w:hideMark/>
          </w:tcPr>
          <w:p w14:paraId="2D35261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Sites that contain significant populations/extents of threatened or geographically restricted species or ecosystems, or that have significant ecological integrity or irreplaceability, significance for the maintenance of biological processes, or provide significant ecological connectivity to maintain populations of species. Key Biodiversity Areas are nationally identified sites using standardised criteria encompassing each of these elements and encompassing existing systems for identifying areas of particular importance for biodiversity, such as Important Bird and Biodiversity Areas and Alliance for Zero extinction sites. (</w:t>
            </w:r>
            <w:proofErr w:type="spellStart"/>
            <w:r w:rsidRPr="00E822AE">
              <w:rPr>
                <w:sz w:val="20"/>
                <w:szCs w:val="20"/>
              </w:rPr>
              <w:fldChar w:fldCharType="begin"/>
            </w:r>
            <w:r w:rsidRPr="00E822AE">
              <w:rPr>
                <w:sz w:val="20"/>
                <w:szCs w:val="20"/>
              </w:rPr>
              <w:instrText>HYPERLINK "https://doi.org/10.1016/j.oneear.2023.12.007" \t "_blank"</w:instrText>
            </w:r>
            <w:r w:rsidRPr="00E822AE">
              <w:rPr>
                <w:sz w:val="20"/>
                <w:szCs w:val="20"/>
              </w:rPr>
            </w:r>
            <w:r w:rsidRPr="00E822AE">
              <w:rPr>
                <w:sz w:val="20"/>
                <w:szCs w:val="20"/>
              </w:rPr>
              <w:fldChar w:fldCharType="separate"/>
            </w:r>
            <w:r w:rsidRPr="00E822AE">
              <w:rPr>
                <w:rStyle w:val="Hyperlink"/>
                <w:sz w:val="20"/>
                <w:szCs w:val="20"/>
                <w:lang w:val="en-CA"/>
              </w:rPr>
              <w:t>Plumptre</w:t>
            </w:r>
            <w:proofErr w:type="spellEnd"/>
            <w:r w:rsidRPr="00E822AE">
              <w:rPr>
                <w:sz w:val="20"/>
                <w:szCs w:val="20"/>
              </w:rPr>
              <w:fldChar w:fldCharType="end"/>
            </w:r>
            <w:r w:rsidRPr="00E822AE">
              <w:rPr>
                <w:sz w:val="20"/>
                <w:szCs w:val="20"/>
                <w:lang w:val="en-CA"/>
              </w:rPr>
              <w:t xml:space="preserve"> et al. 2024) </w:t>
            </w:r>
          </w:p>
        </w:tc>
      </w:tr>
      <w:tr w:rsidR="00C37DA1" w:rsidRPr="00E822AE" w14:paraId="5CD77623" w14:textId="77777777">
        <w:trPr>
          <w:trHeight w:val="705"/>
        </w:trPr>
        <w:tc>
          <w:tcPr>
            <w:tcW w:w="2055" w:type="dxa"/>
            <w:tcBorders>
              <w:top w:val="nil"/>
              <w:left w:val="nil"/>
              <w:bottom w:val="nil"/>
              <w:right w:val="nil"/>
            </w:tcBorders>
            <w:hideMark/>
          </w:tcPr>
          <w:p w14:paraId="11618DA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Benefit </w:t>
            </w:r>
          </w:p>
        </w:tc>
        <w:tc>
          <w:tcPr>
            <w:tcW w:w="7155" w:type="dxa"/>
            <w:tcBorders>
              <w:top w:val="nil"/>
              <w:left w:val="nil"/>
              <w:bottom w:val="nil"/>
              <w:right w:val="nil"/>
            </w:tcBorders>
            <w:hideMark/>
          </w:tcPr>
          <w:p w14:paraId="6683797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Advantage that contributes to wellbeing from the fulfilment of needs and wants. (</w:t>
            </w:r>
            <w:hyperlink r:id="rId567" w:tgtFrame="_blank" w:history="1">
              <w:r w:rsidRPr="00E822AE">
                <w:rPr>
                  <w:rStyle w:val="Hyperlink"/>
                  <w:sz w:val="20"/>
                  <w:szCs w:val="20"/>
                  <w:lang w:val="en-CA"/>
                </w:rPr>
                <w:t>IPBES</w:t>
              </w:r>
            </w:hyperlink>
            <w:r w:rsidRPr="00E822AE">
              <w:rPr>
                <w:sz w:val="20"/>
                <w:szCs w:val="20"/>
                <w:lang w:val="en-CA"/>
              </w:rPr>
              <w:t>, 2019)  </w:t>
            </w:r>
          </w:p>
        </w:tc>
      </w:tr>
      <w:tr w:rsidR="00C37DA1" w:rsidRPr="00E822AE" w14:paraId="4BAB73A8" w14:textId="77777777">
        <w:trPr>
          <w:trHeight w:val="1728"/>
        </w:trPr>
        <w:tc>
          <w:tcPr>
            <w:tcW w:w="2055" w:type="dxa"/>
            <w:tcBorders>
              <w:top w:val="nil"/>
              <w:left w:val="nil"/>
              <w:bottom w:val="nil"/>
              <w:right w:val="nil"/>
            </w:tcBorders>
            <w:hideMark/>
          </w:tcPr>
          <w:p w14:paraId="50DC077D"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Benefits arising from the utilization of genetic resources or traditional knowledge associated with genetic resources </w:t>
            </w:r>
          </w:p>
        </w:tc>
        <w:tc>
          <w:tcPr>
            <w:tcW w:w="7155" w:type="dxa"/>
            <w:tcBorders>
              <w:top w:val="nil"/>
              <w:left w:val="nil"/>
              <w:bottom w:val="nil"/>
              <w:right w:val="nil"/>
            </w:tcBorders>
            <w:hideMark/>
          </w:tcPr>
          <w:p w14:paraId="24181A0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Benefits may include monetary and non-monetary benefits, including but not limited to those listed in the Annex of the Nagoya Protocol. (Annex of the Nagoya Protocol) </w:t>
            </w:r>
          </w:p>
        </w:tc>
      </w:tr>
      <w:tr w:rsidR="00C37DA1" w:rsidRPr="00E822AE" w14:paraId="4EDA8F52" w14:textId="77777777">
        <w:trPr>
          <w:trHeight w:val="420"/>
        </w:trPr>
        <w:tc>
          <w:tcPr>
            <w:tcW w:w="2055" w:type="dxa"/>
            <w:tcBorders>
              <w:top w:val="nil"/>
              <w:left w:val="nil"/>
              <w:bottom w:val="nil"/>
              <w:right w:val="nil"/>
            </w:tcBorders>
            <w:hideMark/>
          </w:tcPr>
          <w:p w14:paraId="0B80CA3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Biodiversity </w:t>
            </w:r>
          </w:p>
        </w:tc>
        <w:tc>
          <w:tcPr>
            <w:tcW w:w="7155" w:type="dxa"/>
            <w:tcBorders>
              <w:top w:val="nil"/>
              <w:left w:val="nil"/>
              <w:bottom w:val="nil"/>
              <w:right w:val="nil"/>
            </w:tcBorders>
            <w:hideMark/>
          </w:tcPr>
          <w:p w14:paraId="66D9DC0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Refer to the definition of "</w:t>
            </w:r>
            <w:r w:rsidRPr="00E822AE">
              <w:rPr>
                <w:i/>
                <w:iCs/>
                <w:sz w:val="20"/>
                <w:szCs w:val="20"/>
                <w:lang w:val="en-CA"/>
              </w:rPr>
              <w:t>Biological diversity</w:t>
            </w:r>
            <w:r w:rsidRPr="00E822AE">
              <w:rPr>
                <w:sz w:val="20"/>
                <w:szCs w:val="20"/>
                <w:lang w:val="en-CA"/>
              </w:rPr>
              <w:t>". </w:t>
            </w:r>
          </w:p>
        </w:tc>
      </w:tr>
      <w:tr w:rsidR="00C37DA1" w:rsidRPr="00E822AE" w14:paraId="4BC9820A" w14:textId="77777777">
        <w:trPr>
          <w:trHeight w:val="2836"/>
        </w:trPr>
        <w:tc>
          <w:tcPr>
            <w:tcW w:w="2055" w:type="dxa"/>
            <w:tcBorders>
              <w:top w:val="nil"/>
              <w:left w:val="nil"/>
              <w:bottom w:val="nil"/>
              <w:right w:val="nil"/>
            </w:tcBorders>
            <w:hideMark/>
          </w:tcPr>
          <w:p w14:paraId="31B91F0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 xml:space="preserve">Biodiversity-based activities, </w:t>
            </w:r>
            <w:proofErr w:type="gramStart"/>
            <w:r w:rsidRPr="00E822AE">
              <w:rPr>
                <w:sz w:val="20"/>
                <w:szCs w:val="20"/>
                <w:lang w:val="en-CA"/>
              </w:rPr>
              <w:t>products  and</w:t>
            </w:r>
            <w:proofErr w:type="gramEnd"/>
            <w:r w:rsidRPr="00E822AE">
              <w:rPr>
                <w:sz w:val="20"/>
                <w:szCs w:val="20"/>
                <w:lang w:val="en-CA"/>
              </w:rPr>
              <w:t xml:space="preserve"> services </w:t>
            </w:r>
          </w:p>
        </w:tc>
        <w:tc>
          <w:tcPr>
            <w:tcW w:w="7155" w:type="dxa"/>
            <w:tcBorders>
              <w:top w:val="nil"/>
              <w:left w:val="nil"/>
              <w:bottom w:val="nil"/>
              <w:right w:val="nil"/>
            </w:tcBorders>
            <w:hideMark/>
          </w:tcPr>
          <w:p w14:paraId="25E7E1A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These are the commercial and non-commercial action and products that result from the collection, production or transformation of biological resources. They are found in industries as varied as food and beverage, cosmetics, pharmaceuticals, paper, textiles, energy, and handicrafts. Services based on biodiversity are those that derive value from genetic resources, species and ecosystems, such as nature-based tourism, pollination, and water treatment. The sustainable production, use and trade of biodiversity-derived products and services provide developing countries with valuable opportunities for biodiversity conservation, poverty reduction, economic diversification, value addition, improved livelihoods, and the empowerment of vulnerable groups, including women and ethnic minorities.  </w:t>
            </w:r>
          </w:p>
        </w:tc>
      </w:tr>
      <w:tr w:rsidR="00C37DA1" w:rsidRPr="00E822AE" w14:paraId="417F6994" w14:textId="77777777">
        <w:trPr>
          <w:trHeight w:val="765"/>
        </w:trPr>
        <w:tc>
          <w:tcPr>
            <w:tcW w:w="2055" w:type="dxa"/>
            <w:tcBorders>
              <w:top w:val="nil"/>
              <w:left w:val="nil"/>
              <w:bottom w:val="nil"/>
              <w:right w:val="nil"/>
            </w:tcBorders>
            <w:hideMark/>
          </w:tcPr>
          <w:p w14:paraId="0C8E8B7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Biodiversity-inclusive </w:t>
            </w:r>
          </w:p>
        </w:tc>
        <w:tc>
          <w:tcPr>
            <w:tcW w:w="7155" w:type="dxa"/>
            <w:tcBorders>
              <w:top w:val="nil"/>
              <w:left w:val="nil"/>
              <w:bottom w:val="nil"/>
              <w:right w:val="nil"/>
            </w:tcBorders>
            <w:hideMark/>
          </w:tcPr>
          <w:p w14:paraId="5388C87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Inclusive of biodiversity conservation and sustainable use considerations. </w:t>
            </w:r>
          </w:p>
        </w:tc>
      </w:tr>
      <w:tr w:rsidR="00C37DA1" w:rsidRPr="00E822AE" w14:paraId="64276108" w14:textId="77777777">
        <w:trPr>
          <w:trHeight w:val="2552"/>
        </w:trPr>
        <w:tc>
          <w:tcPr>
            <w:tcW w:w="2055" w:type="dxa"/>
            <w:tcBorders>
              <w:top w:val="nil"/>
              <w:left w:val="nil"/>
              <w:bottom w:val="nil"/>
              <w:right w:val="nil"/>
            </w:tcBorders>
            <w:hideMark/>
          </w:tcPr>
          <w:p w14:paraId="50021F4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Biodiversity-inclusive urban planning </w:t>
            </w:r>
          </w:p>
        </w:tc>
        <w:tc>
          <w:tcPr>
            <w:tcW w:w="7155" w:type="dxa"/>
            <w:tcBorders>
              <w:top w:val="nil"/>
              <w:left w:val="nil"/>
              <w:bottom w:val="nil"/>
              <w:right w:val="nil"/>
            </w:tcBorders>
            <w:hideMark/>
          </w:tcPr>
          <w:p w14:paraId="7C765EF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Urban planning is the process that is applied as a way to organize the dynamics of human actions in cities, with the purpose of stipulating guidelines that order spatial occupation through typological patterns of use, mobility, distribution of equipment, services, and natural areas in the territory, in order to provide uniformity in the distribution of the onus and advantages generated by the development of the infrastructures. The planning, furthermore, aims to announce in advance what can be done in the face of solving problems that may hinder the dynamics of functioning that involve cities. The Framework specifically calls for such processes to be biodiversity inclusive. (</w:t>
            </w:r>
            <w:hyperlink r:id="rId568" w:tgtFrame="_blank" w:history="1">
              <w:r w:rsidRPr="00E822AE">
                <w:rPr>
                  <w:rStyle w:val="Hyperlink"/>
                  <w:sz w:val="20"/>
                  <w:szCs w:val="20"/>
                  <w:lang w:val="en-CA"/>
                </w:rPr>
                <w:t>Eckert &amp; Padilha</w:t>
              </w:r>
            </w:hyperlink>
            <w:r w:rsidRPr="00E822AE">
              <w:rPr>
                <w:sz w:val="20"/>
                <w:szCs w:val="20"/>
                <w:lang w:val="en-CA"/>
              </w:rPr>
              <w:t>, 2021) </w:t>
            </w:r>
          </w:p>
        </w:tc>
      </w:tr>
      <w:tr w:rsidR="00C37DA1" w:rsidRPr="00E822AE" w14:paraId="4BA6F90B" w14:textId="77777777">
        <w:trPr>
          <w:trHeight w:val="1708"/>
        </w:trPr>
        <w:tc>
          <w:tcPr>
            <w:tcW w:w="2055" w:type="dxa"/>
            <w:tcBorders>
              <w:top w:val="nil"/>
              <w:left w:val="nil"/>
              <w:bottom w:val="nil"/>
              <w:right w:val="nil"/>
            </w:tcBorders>
            <w:hideMark/>
          </w:tcPr>
          <w:p w14:paraId="55C26E9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Biodiversity offsets </w:t>
            </w:r>
          </w:p>
        </w:tc>
        <w:tc>
          <w:tcPr>
            <w:tcW w:w="7155" w:type="dxa"/>
            <w:tcBorders>
              <w:top w:val="nil"/>
              <w:left w:val="nil"/>
              <w:bottom w:val="nil"/>
              <w:right w:val="nil"/>
            </w:tcBorders>
            <w:hideMark/>
          </w:tcPr>
          <w:p w14:paraId="1F1A366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Biodiversity offsets are “</w:t>
            </w:r>
            <w:r w:rsidRPr="00E822AE">
              <w:rPr>
                <w:i/>
                <w:iCs/>
                <w:sz w:val="20"/>
                <w:szCs w:val="20"/>
                <w:lang w:val="en-CA"/>
              </w:rPr>
              <w:t>measurable conservation outcomes resulting from actions designed to compensate for significant residual adverse biodiversity impacts arising from project development after appropriate prevention and mitigation measures have been taken</w:t>
            </w:r>
            <w:r w:rsidRPr="00E822AE">
              <w:rPr>
                <w:sz w:val="20"/>
                <w:szCs w:val="20"/>
                <w:lang w:val="en-CA"/>
              </w:rPr>
              <w:t>.” (BBOP, 2018). They are usually under a no net loss or a net gain objective.  There are three main types of biodiversity offsets: 1. One-off biodiversity offsets; 2. payments in-lieu and 3. biobanking. </w:t>
            </w:r>
          </w:p>
        </w:tc>
      </w:tr>
      <w:tr w:rsidR="00C37DA1" w:rsidRPr="00E822AE" w14:paraId="33BD14CC" w14:textId="77777777">
        <w:trPr>
          <w:trHeight w:val="1974"/>
        </w:trPr>
        <w:tc>
          <w:tcPr>
            <w:tcW w:w="2055" w:type="dxa"/>
            <w:tcBorders>
              <w:top w:val="nil"/>
              <w:left w:val="nil"/>
              <w:bottom w:val="nil"/>
              <w:right w:val="nil"/>
            </w:tcBorders>
            <w:hideMark/>
          </w:tcPr>
          <w:p w14:paraId="5FAD081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Biodiversity-related risks to business and financial institutions </w:t>
            </w:r>
          </w:p>
        </w:tc>
        <w:tc>
          <w:tcPr>
            <w:tcW w:w="7155" w:type="dxa"/>
            <w:tcBorders>
              <w:top w:val="nil"/>
              <w:left w:val="nil"/>
              <w:bottom w:val="nil"/>
              <w:right w:val="nil"/>
            </w:tcBorders>
            <w:hideMark/>
          </w:tcPr>
          <w:p w14:paraId="0C1C462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Biodiversity-related risks to businesses and financial institutions are categorised as: Ecological risks, i.e. risks related to biodiversity-related ecological impacts and dependencies, linked to biodiversity loss or ecosystems degradation. Liability risks, where parties who have suffered biodiversity-related loss or damage seek compensation for those they hold responsible. Risks related to achieving transformative change for biodiversity, including regulatory risks, market risks and financial risks. (</w:t>
            </w:r>
            <w:hyperlink r:id="rId569" w:anchor=":~:text=Businesses%20and%20financial%20organisations%20(including,resource%20dependency%2C%20scarcity%20and%20quality." w:tgtFrame="_blank" w:history="1">
              <w:r w:rsidRPr="00E822AE">
                <w:rPr>
                  <w:rStyle w:val="Hyperlink"/>
                  <w:sz w:val="20"/>
                  <w:szCs w:val="20"/>
                  <w:lang w:val="en-CA"/>
                </w:rPr>
                <w:t>OECD</w:t>
              </w:r>
            </w:hyperlink>
            <w:r w:rsidRPr="00E822AE">
              <w:rPr>
                <w:sz w:val="20"/>
                <w:szCs w:val="20"/>
                <w:lang w:val="en-CA"/>
              </w:rPr>
              <w:t>) </w:t>
            </w:r>
          </w:p>
        </w:tc>
      </w:tr>
      <w:tr w:rsidR="00C37DA1" w:rsidRPr="00E822AE" w14:paraId="6264F213" w14:textId="77777777">
        <w:trPr>
          <w:trHeight w:val="2025"/>
        </w:trPr>
        <w:tc>
          <w:tcPr>
            <w:tcW w:w="2055" w:type="dxa"/>
            <w:tcBorders>
              <w:top w:val="nil"/>
              <w:left w:val="nil"/>
              <w:bottom w:val="nil"/>
              <w:right w:val="nil"/>
            </w:tcBorders>
            <w:hideMark/>
          </w:tcPr>
          <w:p w14:paraId="77D3B7E3" w14:textId="77777777" w:rsidR="00C37DA1" w:rsidRPr="00E822AE" w:rsidRDefault="00C37DA1" w:rsidP="00E822AE">
            <w:pPr>
              <w:pStyle w:val="CBDNormalNumber"/>
              <w:shd w:val="clear" w:color="auto" w:fill="FFFFFF"/>
              <w:ind w:left="567"/>
              <w:jc w:val="left"/>
              <w:rPr>
                <w:sz w:val="20"/>
                <w:szCs w:val="20"/>
                <w:lang w:val="en-CA"/>
              </w:rPr>
            </w:pPr>
            <w:bookmarkStart w:id="89" w:name="_Hlk178002726"/>
            <w:r w:rsidRPr="00E822AE">
              <w:rPr>
                <w:sz w:val="20"/>
                <w:szCs w:val="20"/>
                <w:lang w:val="en-CA"/>
              </w:rPr>
              <w:t>Biodiversity-relevant environmentally beneficial subsidies and payments</w:t>
            </w:r>
          </w:p>
        </w:tc>
        <w:tc>
          <w:tcPr>
            <w:tcW w:w="7155" w:type="dxa"/>
            <w:tcBorders>
              <w:top w:val="nil"/>
              <w:left w:val="nil"/>
              <w:bottom w:val="nil"/>
              <w:right w:val="nil"/>
            </w:tcBorders>
            <w:hideMark/>
          </w:tcPr>
          <w:p w14:paraId="1042813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Subsidies or </w:t>
            </w:r>
            <w:proofErr w:type="gramStart"/>
            <w:r w:rsidRPr="00E822AE">
              <w:rPr>
                <w:sz w:val="20"/>
                <w:szCs w:val="20"/>
                <w:lang w:val="en-CA"/>
              </w:rPr>
              <w:t>payments  that</w:t>
            </w:r>
            <w:proofErr w:type="gramEnd"/>
            <w:r w:rsidRPr="00E822AE">
              <w:rPr>
                <w:sz w:val="20"/>
                <w:szCs w:val="20"/>
                <w:lang w:val="en-CA"/>
              </w:rPr>
              <w:t xml:space="preserve"> reduces directly or indirectly the use of something that has a proven, specific, negative impact on biodiversity, including direct payments from government and preferential tax treatments (e.g. VAT exemptions). It is one of the five types of policy instruments collected in the OECD PINE database. Non-exhaustive list of examples: Payments from government to private land-users/owners to restore land; Preferential land tax for forests under protection or restoration; Agri-environmental payments promoting habitat protection and restoration. </w:t>
            </w:r>
          </w:p>
        </w:tc>
        <w:bookmarkEnd w:id="89"/>
      </w:tr>
      <w:tr w:rsidR="00C37DA1" w:rsidRPr="00E822AE" w14:paraId="060E010E" w14:textId="77777777">
        <w:trPr>
          <w:trHeight w:val="1785"/>
        </w:trPr>
        <w:tc>
          <w:tcPr>
            <w:tcW w:w="2055" w:type="dxa"/>
            <w:tcBorders>
              <w:top w:val="nil"/>
              <w:left w:val="nil"/>
              <w:bottom w:val="nil"/>
              <w:right w:val="nil"/>
            </w:tcBorders>
            <w:hideMark/>
          </w:tcPr>
          <w:p w14:paraId="55A7B8D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Biodiversity-relevant taxes, fees and charges </w:t>
            </w:r>
          </w:p>
        </w:tc>
        <w:tc>
          <w:tcPr>
            <w:tcW w:w="7155" w:type="dxa"/>
            <w:tcBorders>
              <w:top w:val="nil"/>
              <w:left w:val="nil"/>
              <w:bottom w:val="nil"/>
              <w:right w:val="nil"/>
            </w:tcBorders>
            <w:hideMark/>
          </w:tcPr>
          <w:p w14:paraId="1E6AE63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Payment to the government levied on tax bases with a proven, specific, negative impact on the biodiversity.  They include taxes on pollution and natural resource/land use. Non-exhaustive list of examples:  Fertilisers and pesticides taxes; Water pollution taxes and water abstraction charges; Fishing and hunting licence fees; Protected area entrance fees; Taxes and fees/charges for timber harvest </w:t>
            </w:r>
          </w:p>
        </w:tc>
      </w:tr>
      <w:tr w:rsidR="00C37DA1" w:rsidRPr="00E822AE" w14:paraId="15939AD2" w14:textId="77777777">
        <w:trPr>
          <w:trHeight w:val="1350"/>
        </w:trPr>
        <w:tc>
          <w:tcPr>
            <w:tcW w:w="2055" w:type="dxa"/>
            <w:tcBorders>
              <w:top w:val="nil"/>
              <w:left w:val="nil"/>
              <w:bottom w:val="nil"/>
              <w:right w:val="nil"/>
            </w:tcBorders>
            <w:hideMark/>
          </w:tcPr>
          <w:p w14:paraId="624B375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Biodiversity-relevant tradable permit schemes </w:t>
            </w:r>
          </w:p>
        </w:tc>
        <w:tc>
          <w:tcPr>
            <w:tcW w:w="7155" w:type="dxa"/>
            <w:tcBorders>
              <w:top w:val="nil"/>
              <w:left w:val="nil"/>
              <w:bottom w:val="nil"/>
              <w:right w:val="nil"/>
            </w:tcBorders>
            <w:hideMark/>
          </w:tcPr>
          <w:p w14:paraId="7A97332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Market-based instruments that provide allowance or permission to engage in an activity under a cap. These permits can be traded. Non-exhaustive list of examples: Individual transferable quotas (ITQs) for fisheries; Tradable water rights; Salinity trading schemes; Tradable development rights. </w:t>
            </w:r>
          </w:p>
        </w:tc>
      </w:tr>
      <w:tr w:rsidR="00C37DA1" w:rsidRPr="00E822AE" w14:paraId="571DAFFE" w14:textId="77777777">
        <w:trPr>
          <w:trHeight w:val="1185"/>
        </w:trPr>
        <w:tc>
          <w:tcPr>
            <w:tcW w:w="2055" w:type="dxa"/>
            <w:tcBorders>
              <w:top w:val="nil"/>
              <w:left w:val="nil"/>
              <w:bottom w:val="nil"/>
              <w:right w:val="nil"/>
            </w:tcBorders>
            <w:hideMark/>
          </w:tcPr>
          <w:p w14:paraId="5AA730C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Biological diversity </w:t>
            </w:r>
          </w:p>
        </w:tc>
        <w:tc>
          <w:tcPr>
            <w:tcW w:w="7155" w:type="dxa"/>
            <w:tcBorders>
              <w:top w:val="nil"/>
              <w:left w:val="nil"/>
              <w:bottom w:val="nil"/>
              <w:right w:val="nil"/>
            </w:tcBorders>
            <w:hideMark/>
          </w:tcPr>
          <w:p w14:paraId="5B07D90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variability among living organisms from all sources including, inter alia, terrestrial, marine and other aquatic ecosystems and the ecological complexes of which they are part; this includes diversity within species, between species and of ecosystems. (Convention, Article 2) </w:t>
            </w:r>
          </w:p>
        </w:tc>
      </w:tr>
      <w:tr w:rsidR="00C37DA1" w:rsidRPr="00E822AE" w14:paraId="589CD5B1" w14:textId="77777777">
        <w:trPr>
          <w:trHeight w:val="1005"/>
        </w:trPr>
        <w:tc>
          <w:tcPr>
            <w:tcW w:w="2055" w:type="dxa"/>
            <w:tcBorders>
              <w:top w:val="nil"/>
              <w:left w:val="nil"/>
              <w:bottom w:val="nil"/>
              <w:right w:val="nil"/>
            </w:tcBorders>
            <w:hideMark/>
          </w:tcPr>
          <w:p w14:paraId="28F583E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Biological resources </w:t>
            </w:r>
          </w:p>
        </w:tc>
        <w:tc>
          <w:tcPr>
            <w:tcW w:w="7155" w:type="dxa"/>
            <w:tcBorders>
              <w:top w:val="nil"/>
              <w:left w:val="nil"/>
              <w:bottom w:val="nil"/>
              <w:right w:val="nil"/>
            </w:tcBorders>
            <w:hideMark/>
          </w:tcPr>
          <w:p w14:paraId="6DD3277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Includes genetic resources, organisms or parts thereof, populations, or any other biotic component of ecosystems with actual or potential use or value for humanity. (Convention, Article 2) </w:t>
            </w:r>
          </w:p>
        </w:tc>
      </w:tr>
      <w:tr w:rsidR="00C37DA1" w:rsidRPr="00E822AE" w14:paraId="3391DD57" w14:textId="77777777">
        <w:trPr>
          <w:trHeight w:val="1260"/>
        </w:trPr>
        <w:tc>
          <w:tcPr>
            <w:tcW w:w="2055" w:type="dxa"/>
            <w:tcBorders>
              <w:top w:val="nil"/>
              <w:left w:val="nil"/>
              <w:bottom w:val="nil"/>
              <w:right w:val="nil"/>
            </w:tcBorders>
            <w:hideMark/>
          </w:tcPr>
          <w:p w14:paraId="13BED79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Biological stock </w:t>
            </w:r>
          </w:p>
        </w:tc>
        <w:tc>
          <w:tcPr>
            <w:tcW w:w="7155" w:type="dxa"/>
            <w:tcBorders>
              <w:top w:val="nil"/>
              <w:left w:val="nil"/>
              <w:bottom w:val="nil"/>
              <w:right w:val="nil"/>
            </w:tcBorders>
            <w:hideMark/>
          </w:tcPr>
          <w:p w14:paraId="1B62ACF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subpopulation of a species inhabiting a particular geographic area, having similar biological characteristics (e.g. growth, reproduction, mortality) and negligible genetic mixing with other adjacent subpopulations of the same species. (FAO, 2004-2021) </w:t>
            </w:r>
          </w:p>
        </w:tc>
      </w:tr>
      <w:tr w:rsidR="00C37DA1" w:rsidRPr="00E822AE" w14:paraId="7D199B56" w14:textId="77777777">
        <w:trPr>
          <w:trHeight w:val="1545"/>
        </w:trPr>
        <w:tc>
          <w:tcPr>
            <w:tcW w:w="2055" w:type="dxa"/>
            <w:tcBorders>
              <w:top w:val="nil"/>
              <w:left w:val="nil"/>
              <w:bottom w:val="nil"/>
              <w:right w:val="nil"/>
            </w:tcBorders>
            <w:hideMark/>
          </w:tcPr>
          <w:p w14:paraId="7DE51E2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Biomass corresponding to Maximum Sustainable Yield (BMSY) </w:t>
            </w:r>
          </w:p>
        </w:tc>
        <w:tc>
          <w:tcPr>
            <w:tcW w:w="7155" w:type="dxa"/>
            <w:tcBorders>
              <w:top w:val="nil"/>
              <w:left w:val="nil"/>
              <w:bottom w:val="nil"/>
              <w:right w:val="nil"/>
            </w:tcBorders>
            <w:hideMark/>
          </w:tcPr>
          <w:p w14:paraId="59C1DBC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Biomass corresponding to Maximum Sustainable Yield from a production model or from an age- based analysis using a stock recruitment model. Often used as a biological reference point in fisheries management, it is the calculated long-term average biomass value expected if fishing at the maximum rate of fishing mortality. (FAO, 2004-2021) </w:t>
            </w:r>
          </w:p>
        </w:tc>
      </w:tr>
      <w:tr w:rsidR="00C37DA1" w:rsidRPr="00E822AE" w14:paraId="5DABF75B" w14:textId="77777777">
        <w:trPr>
          <w:trHeight w:val="1005"/>
        </w:trPr>
        <w:tc>
          <w:tcPr>
            <w:tcW w:w="2055" w:type="dxa"/>
            <w:tcBorders>
              <w:top w:val="nil"/>
              <w:left w:val="nil"/>
              <w:bottom w:val="nil"/>
              <w:right w:val="nil"/>
            </w:tcBorders>
            <w:hideMark/>
          </w:tcPr>
          <w:p w14:paraId="5A6932F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Biosafety </w:t>
            </w:r>
          </w:p>
        </w:tc>
        <w:tc>
          <w:tcPr>
            <w:tcW w:w="7155" w:type="dxa"/>
            <w:tcBorders>
              <w:top w:val="nil"/>
              <w:left w:val="nil"/>
              <w:bottom w:val="nil"/>
              <w:right w:val="nil"/>
            </w:tcBorders>
            <w:hideMark/>
          </w:tcPr>
          <w:p w14:paraId="10D5305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This concept refers to the need to protect human health and the environment from the possible adverse effects of the products of modern biotechnology. (</w:t>
            </w:r>
            <w:hyperlink r:id="rId570" w:tgtFrame="_blank" w:history="1">
              <w:r w:rsidRPr="00E822AE">
                <w:rPr>
                  <w:rStyle w:val="Hyperlink"/>
                  <w:sz w:val="20"/>
                  <w:szCs w:val="20"/>
                  <w:lang w:val="en-CA"/>
                </w:rPr>
                <w:t>Cartagena Protocol</w:t>
              </w:r>
            </w:hyperlink>
            <w:r w:rsidRPr="00E822AE">
              <w:rPr>
                <w:sz w:val="20"/>
                <w:szCs w:val="20"/>
                <w:lang w:val="en-CA"/>
              </w:rPr>
              <w:t>, 2000) </w:t>
            </w:r>
          </w:p>
        </w:tc>
      </w:tr>
      <w:tr w:rsidR="00C37DA1" w:rsidRPr="00E822AE" w14:paraId="1554E3A1" w14:textId="77777777">
        <w:trPr>
          <w:trHeight w:val="690"/>
        </w:trPr>
        <w:tc>
          <w:tcPr>
            <w:tcW w:w="2055" w:type="dxa"/>
            <w:tcBorders>
              <w:top w:val="nil"/>
              <w:left w:val="nil"/>
              <w:bottom w:val="nil"/>
              <w:right w:val="nil"/>
            </w:tcBorders>
            <w:hideMark/>
          </w:tcPr>
          <w:p w14:paraId="293D4D0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Biotechnical research activities </w:t>
            </w:r>
          </w:p>
        </w:tc>
        <w:tc>
          <w:tcPr>
            <w:tcW w:w="7155" w:type="dxa"/>
            <w:tcBorders>
              <w:top w:val="nil"/>
              <w:left w:val="nil"/>
              <w:bottom w:val="nil"/>
              <w:right w:val="nil"/>
            </w:tcBorders>
            <w:hideMark/>
          </w:tcPr>
          <w:p w14:paraId="2FC0DFC2"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study of scientific knowledge related to biotechnology (see biotechnology). </w:t>
            </w:r>
          </w:p>
        </w:tc>
      </w:tr>
      <w:tr w:rsidR="00C37DA1" w:rsidRPr="00E822AE" w14:paraId="250F50A1" w14:textId="77777777">
        <w:trPr>
          <w:trHeight w:val="1020"/>
        </w:trPr>
        <w:tc>
          <w:tcPr>
            <w:tcW w:w="2055" w:type="dxa"/>
            <w:tcBorders>
              <w:top w:val="nil"/>
              <w:left w:val="nil"/>
              <w:bottom w:val="nil"/>
              <w:right w:val="nil"/>
            </w:tcBorders>
            <w:hideMark/>
          </w:tcPr>
          <w:p w14:paraId="74AD5C4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Biotechnology </w:t>
            </w:r>
          </w:p>
        </w:tc>
        <w:tc>
          <w:tcPr>
            <w:tcW w:w="7155" w:type="dxa"/>
            <w:tcBorders>
              <w:top w:val="nil"/>
              <w:left w:val="nil"/>
              <w:bottom w:val="nil"/>
              <w:right w:val="nil"/>
            </w:tcBorders>
            <w:hideMark/>
          </w:tcPr>
          <w:p w14:paraId="39B9B98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Under the Convention, “</w:t>
            </w:r>
            <w:r w:rsidRPr="00E822AE">
              <w:rPr>
                <w:i/>
                <w:iCs/>
                <w:sz w:val="20"/>
                <w:szCs w:val="20"/>
                <w:lang w:val="en-CA"/>
              </w:rPr>
              <w:t>biotechnology</w:t>
            </w:r>
            <w:r w:rsidRPr="00E822AE">
              <w:rPr>
                <w:sz w:val="20"/>
                <w:szCs w:val="20"/>
                <w:lang w:val="en-CA"/>
              </w:rPr>
              <w:t>” means any technological application that uses biological systems, living organisms or derivatives thereof, to make or modify products or processes for specific use (Convention, Article 2). </w:t>
            </w:r>
          </w:p>
        </w:tc>
      </w:tr>
      <w:tr w:rsidR="00C37DA1" w:rsidRPr="00E822AE" w14:paraId="274C6F44" w14:textId="77777777">
        <w:trPr>
          <w:trHeight w:val="1020"/>
        </w:trPr>
        <w:tc>
          <w:tcPr>
            <w:tcW w:w="2055" w:type="dxa"/>
            <w:tcBorders>
              <w:top w:val="nil"/>
              <w:left w:val="nil"/>
              <w:bottom w:val="nil"/>
              <w:right w:val="nil"/>
            </w:tcBorders>
            <w:hideMark/>
          </w:tcPr>
          <w:p w14:paraId="5794E92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Built-up area of cities </w:t>
            </w:r>
          </w:p>
        </w:tc>
        <w:tc>
          <w:tcPr>
            <w:tcW w:w="7155" w:type="dxa"/>
            <w:tcBorders>
              <w:top w:val="nil"/>
              <w:left w:val="nil"/>
              <w:bottom w:val="nil"/>
              <w:right w:val="nil"/>
            </w:tcBorders>
            <w:hideMark/>
          </w:tcPr>
          <w:p w14:paraId="06C0A37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Conventionally, built up areas of cities are areas occupied by buildings and other artificial surfaces. (</w:t>
            </w:r>
            <w:hyperlink r:id="rId571" w:tgtFrame="_blank" w:history="1">
              <w:r w:rsidRPr="00E822AE">
                <w:rPr>
                  <w:rStyle w:val="Hyperlink"/>
                  <w:sz w:val="20"/>
                  <w:szCs w:val="20"/>
                  <w:lang w:val="en-CA"/>
                </w:rPr>
                <w:t>UN Stats</w:t>
              </w:r>
            </w:hyperlink>
            <w:r w:rsidRPr="00E822AE">
              <w:rPr>
                <w:sz w:val="20"/>
                <w:szCs w:val="20"/>
                <w:lang w:val="en-CA"/>
              </w:rPr>
              <w:t>) </w:t>
            </w:r>
          </w:p>
        </w:tc>
      </w:tr>
      <w:tr w:rsidR="00C37DA1" w:rsidRPr="00E822AE" w14:paraId="760E6D37" w14:textId="77777777">
        <w:trPr>
          <w:trHeight w:val="2220"/>
        </w:trPr>
        <w:tc>
          <w:tcPr>
            <w:tcW w:w="2055" w:type="dxa"/>
            <w:tcBorders>
              <w:top w:val="nil"/>
              <w:left w:val="nil"/>
              <w:bottom w:val="nil"/>
              <w:right w:val="nil"/>
            </w:tcBorders>
            <w:hideMark/>
          </w:tcPr>
          <w:p w14:paraId="3A55456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Capacity-building </w:t>
            </w:r>
          </w:p>
        </w:tc>
        <w:tc>
          <w:tcPr>
            <w:tcW w:w="7155" w:type="dxa"/>
            <w:tcBorders>
              <w:top w:val="nil"/>
              <w:left w:val="nil"/>
              <w:bottom w:val="nil"/>
              <w:right w:val="nil"/>
            </w:tcBorders>
            <w:hideMark/>
          </w:tcPr>
          <w:p w14:paraId="7454D8C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 this strategic framework, capacity is described as “</w:t>
            </w:r>
            <w:r w:rsidRPr="00E822AE">
              <w:rPr>
                <w:i/>
                <w:iCs/>
                <w:sz w:val="20"/>
                <w:szCs w:val="20"/>
                <w:lang w:val="en-CA"/>
              </w:rPr>
              <w:t>the ability of people, organizations and societies as a whole to achieve the biodiversity-related goals and action targets</w:t>
            </w:r>
            <w:r w:rsidRPr="00E822AE">
              <w:rPr>
                <w:sz w:val="20"/>
                <w:szCs w:val="20"/>
                <w:lang w:val="en-CA"/>
              </w:rPr>
              <w:t>”, and capacity-building and development is understood as “</w:t>
            </w:r>
            <w:r w:rsidRPr="00E822AE">
              <w:rPr>
                <w:i/>
                <w:iCs/>
                <w:sz w:val="20"/>
                <w:szCs w:val="20"/>
                <w:lang w:val="en-CA"/>
              </w:rPr>
              <w:t>the process whereby people, organizations and society as a whole unleash, strengthen, create, adapt and maintain capacity over time to achieve positive biodiversity results</w:t>
            </w:r>
            <w:r w:rsidRPr="00E822AE">
              <w:rPr>
                <w:sz w:val="20"/>
                <w:szCs w:val="20"/>
                <w:lang w:val="en-CA"/>
              </w:rPr>
              <w:t xml:space="preserve">.” Capacity-building and development is considered at three levels: the enabling environment, organizational and individual levels. (Adapted from </w:t>
            </w:r>
            <w:hyperlink r:id="rId572" w:tgtFrame="_blank" w:history="1">
              <w:r w:rsidRPr="00E822AE">
                <w:rPr>
                  <w:rStyle w:val="Hyperlink"/>
                  <w:sz w:val="20"/>
                  <w:szCs w:val="20"/>
                  <w:lang w:val="en-CA"/>
                </w:rPr>
                <w:t>UNDP</w:t>
              </w:r>
            </w:hyperlink>
            <w:r w:rsidRPr="00E822AE">
              <w:rPr>
                <w:sz w:val="20"/>
                <w:szCs w:val="20"/>
                <w:lang w:val="en-CA"/>
              </w:rPr>
              <w:t>, 2017) </w:t>
            </w:r>
          </w:p>
        </w:tc>
      </w:tr>
      <w:tr w:rsidR="00C37DA1" w:rsidRPr="00E822AE" w14:paraId="4C38C493" w14:textId="77777777">
        <w:trPr>
          <w:trHeight w:val="1485"/>
        </w:trPr>
        <w:tc>
          <w:tcPr>
            <w:tcW w:w="2055" w:type="dxa"/>
            <w:tcBorders>
              <w:top w:val="nil"/>
              <w:left w:val="nil"/>
              <w:bottom w:val="nil"/>
              <w:right w:val="nil"/>
            </w:tcBorders>
            <w:hideMark/>
          </w:tcPr>
          <w:p w14:paraId="2280C61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Capacity development </w:t>
            </w:r>
          </w:p>
        </w:tc>
        <w:tc>
          <w:tcPr>
            <w:tcW w:w="7155" w:type="dxa"/>
            <w:tcBorders>
              <w:top w:val="nil"/>
              <w:left w:val="nil"/>
              <w:bottom w:val="nil"/>
              <w:right w:val="nil"/>
            </w:tcBorders>
            <w:hideMark/>
          </w:tcPr>
          <w:p w14:paraId="413C954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process whereby people, organizations and society </w:t>
            </w:r>
            <w:proofErr w:type="gramStart"/>
            <w:r w:rsidRPr="00E822AE">
              <w:rPr>
                <w:sz w:val="20"/>
                <w:szCs w:val="20"/>
                <w:lang w:val="en-CA"/>
              </w:rPr>
              <w:t>as a whole unleash</w:t>
            </w:r>
            <w:proofErr w:type="gramEnd"/>
            <w:r w:rsidRPr="00E822AE">
              <w:rPr>
                <w:sz w:val="20"/>
                <w:szCs w:val="20"/>
                <w:lang w:val="en-CA"/>
              </w:rPr>
              <w:t>, strengthen, create, adapt and maintain capacity over time to achieve positive biodiversity results. Capacity-building and development is considered at three levels: the enabling environment, organizational and individual levels. (</w:t>
            </w:r>
            <w:hyperlink r:id="rId573" w:tgtFrame="_blank" w:history="1">
              <w:r w:rsidRPr="00E822AE">
                <w:rPr>
                  <w:rStyle w:val="Hyperlink"/>
                  <w:sz w:val="20"/>
                  <w:szCs w:val="20"/>
                  <w:lang w:val="en-CA"/>
                </w:rPr>
                <w:t>UNDP</w:t>
              </w:r>
            </w:hyperlink>
            <w:r w:rsidRPr="00E822AE">
              <w:rPr>
                <w:sz w:val="20"/>
                <w:szCs w:val="20"/>
                <w:lang w:val="en-CA"/>
              </w:rPr>
              <w:t>, 2017) </w:t>
            </w:r>
          </w:p>
        </w:tc>
      </w:tr>
      <w:tr w:rsidR="00C37DA1" w:rsidRPr="00E822AE" w14:paraId="2928F038" w14:textId="77777777">
        <w:trPr>
          <w:trHeight w:val="940"/>
        </w:trPr>
        <w:tc>
          <w:tcPr>
            <w:tcW w:w="2055" w:type="dxa"/>
            <w:tcBorders>
              <w:top w:val="nil"/>
              <w:left w:val="nil"/>
              <w:bottom w:val="nil"/>
              <w:right w:val="nil"/>
            </w:tcBorders>
            <w:hideMark/>
          </w:tcPr>
          <w:p w14:paraId="38DA232E"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Capacity-building measures </w:t>
            </w:r>
          </w:p>
        </w:tc>
        <w:tc>
          <w:tcPr>
            <w:tcW w:w="7155" w:type="dxa"/>
            <w:tcBorders>
              <w:top w:val="nil"/>
              <w:left w:val="nil"/>
              <w:bottom w:val="nil"/>
              <w:right w:val="nil"/>
            </w:tcBorders>
            <w:hideMark/>
          </w:tcPr>
          <w:p w14:paraId="23846525" w14:textId="77777777" w:rsidR="00C37DA1" w:rsidRPr="00E822AE" w:rsidRDefault="00C37DA1" w:rsidP="008B21D8">
            <w:pPr>
              <w:pStyle w:val="CBDNormalNumber"/>
              <w:shd w:val="clear" w:color="auto" w:fill="FFFFFF"/>
              <w:ind w:left="567"/>
              <w:rPr>
                <w:sz w:val="20"/>
                <w:szCs w:val="20"/>
                <w:lang w:val="en-CA"/>
              </w:rPr>
            </w:pPr>
            <w:proofErr w:type="gramStart"/>
            <w:r w:rsidRPr="00E822AE">
              <w:rPr>
                <w:sz w:val="20"/>
                <w:szCs w:val="20"/>
                <w:lang w:val="en-CA"/>
              </w:rPr>
              <w:t>For the purpose of</w:t>
            </w:r>
            <w:proofErr w:type="gramEnd"/>
            <w:r w:rsidRPr="00E822AE">
              <w:rPr>
                <w:sz w:val="20"/>
                <w:szCs w:val="20"/>
                <w:lang w:val="en-CA"/>
              </w:rPr>
              <w:t xml:space="preserve"> the Framework, capacity building measures refer to administrative, policy and legislative instruments that are used for capacity-building and development. </w:t>
            </w:r>
          </w:p>
        </w:tc>
      </w:tr>
      <w:tr w:rsidR="00C37DA1" w:rsidRPr="00E822AE" w14:paraId="6F4BC400" w14:textId="77777777">
        <w:trPr>
          <w:trHeight w:val="765"/>
        </w:trPr>
        <w:tc>
          <w:tcPr>
            <w:tcW w:w="2055" w:type="dxa"/>
            <w:tcBorders>
              <w:top w:val="nil"/>
              <w:left w:val="nil"/>
              <w:bottom w:val="nil"/>
              <w:right w:val="nil"/>
            </w:tcBorders>
            <w:hideMark/>
          </w:tcPr>
          <w:p w14:paraId="22945B8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Census population size </w:t>
            </w:r>
          </w:p>
        </w:tc>
        <w:tc>
          <w:tcPr>
            <w:tcW w:w="7155" w:type="dxa"/>
            <w:tcBorders>
              <w:top w:val="nil"/>
              <w:left w:val="nil"/>
              <w:bottom w:val="nil"/>
              <w:right w:val="nil"/>
            </w:tcBorders>
            <w:hideMark/>
          </w:tcPr>
          <w:p w14:paraId="308812F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Is the number of adult individuals present in a discrete area. </w:t>
            </w:r>
          </w:p>
        </w:tc>
      </w:tr>
      <w:tr w:rsidR="00C37DA1" w:rsidRPr="00E822AE" w14:paraId="492E46AF" w14:textId="77777777">
        <w:trPr>
          <w:trHeight w:val="709"/>
        </w:trPr>
        <w:tc>
          <w:tcPr>
            <w:tcW w:w="2055" w:type="dxa"/>
            <w:tcBorders>
              <w:top w:val="nil"/>
              <w:left w:val="nil"/>
              <w:bottom w:val="nil"/>
              <w:right w:val="nil"/>
            </w:tcBorders>
            <w:hideMark/>
          </w:tcPr>
          <w:p w14:paraId="48AB180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Children </w:t>
            </w:r>
          </w:p>
        </w:tc>
        <w:tc>
          <w:tcPr>
            <w:tcW w:w="7155" w:type="dxa"/>
            <w:tcBorders>
              <w:top w:val="nil"/>
              <w:left w:val="nil"/>
              <w:bottom w:val="nil"/>
              <w:right w:val="nil"/>
            </w:tcBorders>
            <w:hideMark/>
          </w:tcPr>
          <w:p w14:paraId="66C5B14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child is recognized as a person under 18, unless national laws recognize the age of majority earlier. (</w:t>
            </w:r>
            <w:hyperlink r:id="rId574" w:tgtFrame="_blank" w:history="1">
              <w:r w:rsidRPr="00E822AE">
                <w:rPr>
                  <w:rStyle w:val="Hyperlink"/>
                  <w:sz w:val="20"/>
                  <w:szCs w:val="20"/>
                  <w:lang w:val="en-CA"/>
                </w:rPr>
                <w:t>UNICEF</w:t>
              </w:r>
            </w:hyperlink>
            <w:r w:rsidRPr="00E822AE">
              <w:rPr>
                <w:sz w:val="20"/>
                <w:szCs w:val="20"/>
                <w:lang w:val="en-CA"/>
              </w:rPr>
              <w:t>) </w:t>
            </w:r>
          </w:p>
        </w:tc>
      </w:tr>
      <w:tr w:rsidR="00C37DA1" w:rsidRPr="00E822AE" w14:paraId="3DF80BB1" w14:textId="77777777">
        <w:trPr>
          <w:trHeight w:val="5850"/>
        </w:trPr>
        <w:tc>
          <w:tcPr>
            <w:tcW w:w="2055" w:type="dxa"/>
            <w:tcBorders>
              <w:top w:val="nil"/>
              <w:left w:val="nil"/>
              <w:bottom w:val="nil"/>
              <w:right w:val="nil"/>
            </w:tcBorders>
            <w:hideMark/>
          </w:tcPr>
          <w:p w14:paraId="0F5A7E4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City </w:t>
            </w:r>
          </w:p>
        </w:tc>
        <w:tc>
          <w:tcPr>
            <w:tcW w:w="7155" w:type="dxa"/>
            <w:tcBorders>
              <w:top w:val="nil"/>
              <w:left w:val="nil"/>
              <w:bottom w:val="nil"/>
              <w:right w:val="nil"/>
            </w:tcBorders>
            <w:hideMark/>
          </w:tcPr>
          <w:p w14:paraId="1DAAD69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range of accepted definitions of the “</w:t>
            </w:r>
            <w:r w:rsidRPr="00E822AE">
              <w:rPr>
                <w:i/>
                <w:iCs/>
                <w:sz w:val="20"/>
                <w:szCs w:val="20"/>
                <w:lang w:val="en-CA"/>
              </w:rPr>
              <w:t>city</w:t>
            </w:r>
            <w:r w:rsidRPr="00E822AE">
              <w:rPr>
                <w:sz w:val="20"/>
                <w:szCs w:val="20"/>
                <w:lang w:val="en-CA"/>
              </w:rPr>
              <w:t>” exist, from those based on population data and extent of the built-up area to those that are based solely on administrative boundaries. These definitions vary within and between nations, complicating the task of international reporting for the SDGs. Definitions of cities, metropolitan areas and urban agglomerations also vary depending on legal, administrative, political, economic or cultural criteria in the respective countries and regions. Since 2016 UN-Habitat and partners organized global consultations and discussions to narrow down the set of meaningful definitions that would be helpful for the global monitoring and reporting process. Following consultations with 86 member states, the United Nations Statistical Commission, in its 51st Session (March 2020) endorsed the Degree of Urbanisation (DEGURBA) as a workable method to delineate cities, urban and rural areas for international statistical comparisons. [1] This definition combines population size and population density thresholds to classify the entire territory of a country along the urban-rural continuum, and captures the full extent of a city, including the dense neighbourhoods beyond the boundary of the central municipality. DEGURBA is applied in a two-step process: First, 1 km2 grid cells are classified based on population density, contiguity and population size. Subsequently, local units are classified as urban or rural based on the type of grid cells in which majority of their population resides. For the computation of SDG indicator 11.7.1, countries are encouraged to adopt the degree of urbanisation to define the analysis area (city or urban area). </w:t>
            </w:r>
          </w:p>
        </w:tc>
      </w:tr>
      <w:tr w:rsidR="00C37DA1" w:rsidRPr="00E822AE" w14:paraId="0A74A225" w14:textId="77777777">
        <w:trPr>
          <w:trHeight w:val="1695"/>
        </w:trPr>
        <w:tc>
          <w:tcPr>
            <w:tcW w:w="2055" w:type="dxa"/>
            <w:tcBorders>
              <w:top w:val="nil"/>
              <w:left w:val="nil"/>
              <w:bottom w:val="nil"/>
              <w:right w:val="nil"/>
            </w:tcBorders>
            <w:hideMark/>
          </w:tcPr>
          <w:p w14:paraId="6FE56A2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Climate action </w:t>
            </w:r>
          </w:p>
        </w:tc>
        <w:tc>
          <w:tcPr>
            <w:tcW w:w="7155" w:type="dxa"/>
            <w:tcBorders>
              <w:top w:val="nil"/>
              <w:left w:val="nil"/>
              <w:bottom w:val="nil"/>
              <w:right w:val="nil"/>
            </w:tcBorders>
            <w:hideMark/>
          </w:tcPr>
          <w:p w14:paraId="4F2646B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Climate action refers to efforts taken to combat climate change and its impacts. These efforts include, but are not limited to, reducing greenhouse gas emissions to the atmosphere, reducing concentrations of greenhouse gasses in the atmosphere or ocean (reversing the associated effects of greenhouse gases (e.g. by enhancing ocean alkalinity), and/or taking action to build resilience or promote adaptation. (</w:t>
            </w:r>
            <w:hyperlink r:id="rId575" w:tgtFrame="_blank" w:history="1">
              <w:r w:rsidRPr="00E822AE">
                <w:rPr>
                  <w:rStyle w:val="Hyperlink"/>
                  <w:sz w:val="20"/>
                  <w:szCs w:val="20"/>
                  <w:lang w:val="en-CA"/>
                </w:rPr>
                <w:t>EU</w:t>
              </w:r>
            </w:hyperlink>
            <w:r w:rsidRPr="00E822AE">
              <w:rPr>
                <w:sz w:val="20"/>
                <w:szCs w:val="20"/>
                <w:lang w:val="en-CA"/>
              </w:rPr>
              <w:t>) </w:t>
            </w:r>
          </w:p>
        </w:tc>
      </w:tr>
      <w:tr w:rsidR="00C37DA1" w:rsidRPr="00E822AE" w14:paraId="4B1034C8" w14:textId="77777777">
        <w:trPr>
          <w:trHeight w:val="1500"/>
        </w:trPr>
        <w:tc>
          <w:tcPr>
            <w:tcW w:w="2055" w:type="dxa"/>
            <w:tcBorders>
              <w:top w:val="nil"/>
              <w:left w:val="nil"/>
              <w:bottom w:val="nil"/>
              <w:right w:val="nil"/>
            </w:tcBorders>
            <w:hideMark/>
          </w:tcPr>
          <w:p w14:paraId="377D24F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Climate change </w:t>
            </w:r>
          </w:p>
        </w:tc>
        <w:tc>
          <w:tcPr>
            <w:tcW w:w="7155" w:type="dxa"/>
            <w:tcBorders>
              <w:top w:val="nil"/>
              <w:left w:val="nil"/>
              <w:bottom w:val="nil"/>
              <w:right w:val="nil"/>
            </w:tcBorders>
            <w:hideMark/>
          </w:tcPr>
          <w:p w14:paraId="57008C3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United Nations Framework Convention on Climate Change (UNFCCC), in its Article 1, defines climate change as: “</w:t>
            </w:r>
            <w:r w:rsidRPr="00E822AE">
              <w:rPr>
                <w:i/>
                <w:iCs/>
                <w:sz w:val="20"/>
                <w:szCs w:val="20"/>
                <w:lang w:val="en-CA"/>
              </w:rPr>
              <w:t>a change of climate which is attributed directly or indirectly to human activity that alters the composition of the global atmosphere and which is in addition to natural climate variability observed over comparable time periods</w:t>
            </w:r>
            <w:r w:rsidRPr="00E822AE">
              <w:rPr>
                <w:sz w:val="20"/>
                <w:szCs w:val="20"/>
                <w:lang w:val="en-CA"/>
              </w:rPr>
              <w:t>”. </w:t>
            </w:r>
          </w:p>
        </w:tc>
      </w:tr>
      <w:tr w:rsidR="00C37DA1" w:rsidRPr="00E822AE" w14:paraId="3D82AE80" w14:textId="77777777">
        <w:trPr>
          <w:trHeight w:val="1695"/>
        </w:trPr>
        <w:tc>
          <w:tcPr>
            <w:tcW w:w="2055" w:type="dxa"/>
            <w:tcBorders>
              <w:top w:val="nil"/>
              <w:left w:val="nil"/>
              <w:bottom w:val="nil"/>
              <w:right w:val="nil"/>
            </w:tcBorders>
            <w:hideMark/>
          </w:tcPr>
          <w:p w14:paraId="47C5C0D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Coastal and marine </w:t>
            </w:r>
          </w:p>
        </w:tc>
        <w:tc>
          <w:tcPr>
            <w:tcW w:w="7155" w:type="dxa"/>
            <w:tcBorders>
              <w:top w:val="nil"/>
              <w:left w:val="nil"/>
              <w:bottom w:val="nil"/>
              <w:right w:val="nil"/>
            </w:tcBorders>
            <w:hideMark/>
          </w:tcPr>
          <w:p w14:paraId="0883A5F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All connected saline ocean waters characterised by waves, tides and currents, this includes IUCN Global Ecosystem Typologies (GET): Marine shelfs (M1); pelagic ocean waters (M2); deep sea floors (M3); semi-confined transitional waters biome (FM1); shoreline systems biome (MT1); supralittoral coastal systems biome (MT2); brackish tidal systems biome (MFT1); anthropogenic marine systems (M4); anthropogenic shorelines (MT3). (Adapted from </w:t>
            </w:r>
            <w:hyperlink r:id="rId576" w:tgtFrame="_blank" w:history="1">
              <w:r w:rsidRPr="00E822AE">
                <w:rPr>
                  <w:rStyle w:val="Hyperlink"/>
                  <w:sz w:val="20"/>
                  <w:szCs w:val="20"/>
                  <w:lang w:val="en-CA"/>
                </w:rPr>
                <w:t>TNFD</w:t>
              </w:r>
            </w:hyperlink>
            <w:r w:rsidRPr="00E822AE">
              <w:rPr>
                <w:sz w:val="20"/>
                <w:szCs w:val="20"/>
                <w:lang w:val="en-CA"/>
              </w:rPr>
              <w:t>, 2023) </w:t>
            </w:r>
          </w:p>
        </w:tc>
      </w:tr>
      <w:tr w:rsidR="00C37DA1" w:rsidRPr="00E822AE" w14:paraId="51DD3DAB" w14:textId="77777777">
        <w:trPr>
          <w:trHeight w:val="1470"/>
        </w:trPr>
        <w:tc>
          <w:tcPr>
            <w:tcW w:w="2055" w:type="dxa"/>
            <w:tcBorders>
              <w:top w:val="nil"/>
              <w:left w:val="nil"/>
              <w:bottom w:val="nil"/>
              <w:right w:val="nil"/>
            </w:tcBorders>
            <w:hideMark/>
          </w:tcPr>
          <w:p w14:paraId="596D401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Community-based monitoring and information systems </w:t>
            </w:r>
          </w:p>
        </w:tc>
        <w:tc>
          <w:tcPr>
            <w:tcW w:w="7155" w:type="dxa"/>
            <w:tcBorders>
              <w:top w:val="nil"/>
              <w:left w:val="nil"/>
              <w:bottom w:val="nil"/>
              <w:right w:val="nil"/>
            </w:tcBorders>
            <w:hideMark/>
          </w:tcPr>
          <w:p w14:paraId="4F3F7E4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Community-based monitoring and information systems (CBMIS) refer to initiatives by indigenous peoples and local community organisations to monitor their community’s well-being and the state of their territories and natural resources, applying a mix of traditional knowledge and innovative tools and approaches. (</w:t>
            </w:r>
            <w:hyperlink r:id="rId577" w:tgtFrame="_blank" w:history="1">
              <w:r w:rsidRPr="00E822AE">
                <w:rPr>
                  <w:rStyle w:val="Hyperlink"/>
                  <w:sz w:val="20"/>
                  <w:szCs w:val="20"/>
                  <w:lang w:val="en-CA"/>
                </w:rPr>
                <w:t>FPP</w:t>
              </w:r>
            </w:hyperlink>
            <w:r w:rsidRPr="00E822AE">
              <w:rPr>
                <w:sz w:val="20"/>
                <w:szCs w:val="20"/>
                <w:lang w:val="en-CA"/>
              </w:rPr>
              <w:t>, 2015) </w:t>
            </w:r>
          </w:p>
        </w:tc>
      </w:tr>
      <w:tr w:rsidR="00C37DA1" w:rsidRPr="00E822AE" w14:paraId="58989265" w14:textId="77777777">
        <w:trPr>
          <w:trHeight w:val="990"/>
        </w:trPr>
        <w:tc>
          <w:tcPr>
            <w:tcW w:w="2055" w:type="dxa"/>
            <w:tcBorders>
              <w:top w:val="nil"/>
              <w:left w:val="nil"/>
              <w:bottom w:val="nil"/>
              <w:right w:val="nil"/>
            </w:tcBorders>
            <w:hideMark/>
          </w:tcPr>
          <w:p w14:paraId="2F939FF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Complementary indicator </w:t>
            </w:r>
          </w:p>
        </w:tc>
        <w:tc>
          <w:tcPr>
            <w:tcW w:w="7155" w:type="dxa"/>
            <w:tcBorders>
              <w:top w:val="nil"/>
              <w:left w:val="nil"/>
              <w:bottom w:val="nil"/>
              <w:right w:val="nil"/>
            </w:tcBorders>
            <w:hideMark/>
          </w:tcPr>
          <w:p w14:paraId="4D6C8E3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list of optional indicators for thematic or in-depth analysis of each goal and target which may be applicable at global, regional, national, and subnational levels (CBD/COP/DEC/15/5). </w:t>
            </w:r>
          </w:p>
        </w:tc>
      </w:tr>
      <w:tr w:rsidR="00C37DA1" w:rsidRPr="00E822AE" w14:paraId="3DF00691" w14:textId="77777777">
        <w:trPr>
          <w:trHeight w:val="2552"/>
        </w:trPr>
        <w:tc>
          <w:tcPr>
            <w:tcW w:w="2055" w:type="dxa"/>
            <w:tcBorders>
              <w:top w:val="nil"/>
              <w:left w:val="nil"/>
              <w:bottom w:val="nil"/>
              <w:right w:val="nil"/>
            </w:tcBorders>
            <w:hideMark/>
          </w:tcPr>
          <w:p w14:paraId="7035124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Compliance </w:t>
            </w:r>
          </w:p>
        </w:tc>
        <w:tc>
          <w:tcPr>
            <w:tcW w:w="7155" w:type="dxa"/>
            <w:tcBorders>
              <w:top w:val="nil"/>
              <w:left w:val="nil"/>
              <w:bottom w:val="nil"/>
              <w:right w:val="nil"/>
            </w:tcBorders>
            <w:hideMark/>
          </w:tcPr>
          <w:p w14:paraId="3F0BACC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fulfilment by the contracting parties of their obligations under a multilateral environmental agreement and any amendments to the multilateral environmental agreement (Source: Guidelines on Compliance with and Enforcement of MEAs, 2002). The systems adopted under MEAs to promote compliance (e.g. UNFCCC compliance refers to a country / company / individual fulfilment of their emissions and reporting commitments). The components of compliance mechanisms can be analysed into four categories: a) performance information; b) multilateral institutional procedures; c) non-compliance response measures; and d) dispute settlement procedures. (</w:t>
            </w:r>
            <w:hyperlink r:id="rId578" w:anchor=":~:text='Compliance'%20means%20the%20fulfilment%20by,and%20Enforcement%20of%20MEAs%2C%202002)" w:tgtFrame="_blank" w:history="1">
              <w:r w:rsidRPr="00E822AE">
                <w:rPr>
                  <w:rStyle w:val="Hyperlink"/>
                  <w:sz w:val="20"/>
                  <w:szCs w:val="20"/>
                  <w:lang w:val="en-CA"/>
                </w:rPr>
                <w:t>UNEP</w:t>
              </w:r>
            </w:hyperlink>
            <w:r w:rsidRPr="00E822AE">
              <w:rPr>
                <w:sz w:val="20"/>
                <w:szCs w:val="20"/>
                <w:lang w:val="en-CA"/>
              </w:rPr>
              <w:t>, 2002) </w:t>
            </w:r>
          </w:p>
        </w:tc>
      </w:tr>
      <w:tr w:rsidR="00C37DA1" w:rsidRPr="00E822AE" w14:paraId="11B2396E" w14:textId="77777777">
        <w:trPr>
          <w:trHeight w:val="1245"/>
        </w:trPr>
        <w:tc>
          <w:tcPr>
            <w:tcW w:w="2055" w:type="dxa"/>
            <w:tcBorders>
              <w:top w:val="nil"/>
              <w:left w:val="nil"/>
              <w:bottom w:val="nil"/>
              <w:right w:val="nil"/>
            </w:tcBorders>
            <w:hideMark/>
          </w:tcPr>
          <w:p w14:paraId="3C38ABF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Component indicator </w:t>
            </w:r>
          </w:p>
        </w:tc>
        <w:tc>
          <w:tcPr>
            <w:tcW w:w="7155" w:type="dxa"/>
            <w:tcBorders>
              <w:top w:val="nil"/>
              <w:left w:val="nil"/>
              <w:bottom w:val="nil"/>
              <w:right w:val="nil"/>
            </w:tcBorders>
            <w:hideMark/>
          </w:tcPr>
          <w:p w14:paraId="6529DA8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list of optional indicators that, together with the headline indicators, cover components of the goals and targets of the Kunming-Montreal Global Biodiversity Framework which may apply at the global, regional, national and subnational levels (CBD/COP/DEC/15/5). </w:t>
            </w:r>
          </w:p>
        </w:tc>
      </w:tr>
      <w:tr w:rsidR="00C37DA1" w:rsidRPr="00E822AE" w14:paraId="663C4E84" w14:textId="77777777">
        <w:trPr>
          <w:trHeight w:val="748"/>
        </w:trPr>
        <w:tc>
          <w:tcPr>
            <w:tcW w:w="2055" w:type="dxa"/>
            <w:tcBorders>
              <w:top w:val="nil"/>
              <w:left w:val="nil"/>
              <w:bottom w:val="nil"/>
              <w:right w:val="nil"/>
            </w:tcBorders>
            <w:hideMark/>
          </w:tcPr>
          <w:p w14:paraId="7D51DB2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Connection to nature </w:t>
            </w:r>
          </w:p>
        </w:tc>
        <w:tc>
          <w:tcPr>
            <w:tcW w:w="7155" w:type="dxa"/>
            <w:tcBorders>
              <w:top w:val="nil"/>
              <w:left w:val="nil"/>
              <w:bottom w:val="nil"/>
              <w:right w:val="nil"/>
            </w:tcBorders>
            <w:hideMark/>
          </w:tcPr>
          <w:p w14:paraId="4850FE6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positive interaction, experience, way of relating and relationships between people and nature. It usually implies a sense of attachment to nature by people. </w:t>
            </w:r>
          </w:p>
        </w:tc>
      </w:tr>
      <w:tr w:rsidR="00C37DA1" w:rsidRPr="00E822AE" w14:paraId="2F1EE8B3" w14:textId="77777777">
        <w:trPr>
          <w:trHeight w:val="450"/>
        </w:trPr>
        <w:tc>
          <w:tcPr>
            <w:tcW w:w="2055" w:type="dxa"/>
            <w:tcBorders>
              <w:top w:val="nil"/>
              <w:left w:val="nil"/>
              <w:bottom w:val="nil"/>
              <w:right w:val="nil"/>
            </w:tcBorders>
            <w:hideMark/>
          </w:tcPr>
          <w:p w14:paraId="329D186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Connectivity </w:t>
            </w:r>
          </w:p>
        </w:tc>
        <w:tc>
          <w:tcPr>
            <w:tcW w:w="7155" w:type="dxa"/>
            <w:tcBorders>
              <w:top w:val="nil"/>
              <w:left w:val="nil"/>
              <w:bottom w:val="nil"/>
              <w:right w:val="nil"/>
            </w:tcBorders>
            <w:hideMark/>
          </w:tcPr>
          <w:p w14:paraId="4FBD602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Refer to the definition of “</w:t>
            </w:r>
            <w:r w:rsidRPr="00E822AE">
              <w:rPr>
                <w:i/>
                <w:iCs/>
                <w:sz w:val="20"/>
                <w:szCs w:val="20"/>
                <w:lang w:val="en-CA"/>
              </w:rPr>
              <w:t>Ecological connectivity</w:t>
            </w:r>
            <w:r w:rsidRPr="00E822AE">
              <w:rPr>
                <w:sz w:val="20"/>
                <w:szCs w:val="20"/>
                <w:lang w:val="en-CA"/>
              </w:rPr>
              <w:t>”. </w:t>
            </w:r>
          </w:p>
        </w:tc>
      </w:tr>
      <w:tr w:rsidR="00C37DA1" w:rsidRPr="00E822AE" w14:paraId="7B64203D" w14:textId="77777777">
        <w:trPr>
          <w:trHeight w:val="1248"/>
        </w:trPr>
        <w:tc>
          <w:tcPr>
            <w:tcW w:w="2055" w:type="dxa"/>
            <w:tcBorders>
              <w:top w:val="nil"/>
              <w:left w:val="nil"/>
              <w:bottom w:val="nil"/>
              <w:right w:val="nil"/>
            </w:tcBorders>
            <w:hideMark/>
          </w:tcPr>
          <w:p w14:paraId="4FD1F2C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Conservation </w:t>
            </w:r>
          </w:p>
        </w:tc>
        <w:tc>
          <w:tcPr>
            <w:tcW w:w="7155" w:type="dxa"/>
            <w:tcBorders>
              <w:top w:val="nil"/>
              <w:left w:val="nil"/>
              <w:bottom w:val="nil"/>
              <w:right w:val="nil"/>
            </w:tcBorders>
            <w:hideMark/>
          </w:tcPr>
          <w:p w14:paraId="445B3DF1"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management of human interactions with genes, species, and ecosystems </w:t>
            </w:r>
            <w:proofErr w:type="gramStart"/>
            <w:r w:rsidRPr="00E822AE">
              <w:rPr>
                <w:sz w:val="20"/>
                <w:szCs w:val="20"/>
                <w:lang w:val="en-CA"/>
              </w:rPr>
              <w:t>so as to</w:t>
            </w:r>
            <w:proofErr w:type="gramEnd"/>
            <w:r w:rsidRPr="00E822AE">
              <w:rPr>
                <w:sz w:val="20"/>
                <w:szCs w:val="20"/>
                <w:lang w:val="en-CA"/>
              </w:rPr>
              <w:t xml:space="preserve"> provide the maximum benefit to the present generation while maintaining their potential to meet the needs and aspirations of future generations; encompasses elements of saving, studying, and using biodiversity. (</w:t>
            </w:r>
            <w:hyperlink r:id="rId579" w:tgtFrame="_blank" w:history="1">
              <w:r w:rsidRPr="00E822AE">
                <w:rPr>
                  <w:rStyle w:val="Hyperlink"/>
                  <w:sz w:val="20"/>
                  <w:szCs w:val="20"/>
                  <w:lang w:val="en-CA"/>
                </w:rPr>
                <w:t>IPBES</w:t>
              </w:r>
            </w:hyperlink>
            <w:r w:rsidRPr="00E822AE">
              <w:rPr>
                <w:sz w:val="20"/>
                <w:szCs w:val="20"/>
                <w:lang w:val="en-CA"/>
              </w:rPr>
              <w:t>, 2019) </w:t>
            </w:r>
          </w:p>
        </w:tc>
      </w:tr>
      <w:tr w:rsidR="00C37DA1" w:rsidRPr="00E822AE" w14:paraId="54435D26" w14:textId="77777777">
        <w:trPr>
          <w:trHeight w:val="1020"/>
        </w:trPr>
        <w:tc>
          <w:tcPr>
            <w:tcW w:w="2055" w:type="dxa"/>
            <w:tcBorders>
              <w:top w:val="nil"/>
              <w:left w:val="nil"/>
              <w:bottom w:val="nil"/>
              <w:right w:val="nil"/>
            </w:tcBorders>
            <w:hideMark/>
          </w:tcPr>
          <w:p w14:paraId="4B35AE4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Consumers </w:t>
            </w:r>
          </w:p>
        </w:tc>
        <w:tc>
          <w:tcPr>
            <w:tcW w:w="7155" w:type="dxa"/>
            <w:tcBorders>
              <w:top w:val="nil"/>
              <w:left w:val="nil"/>
              <w:bottom w:val="nil"/>
              <w:right w:val="nil"/>
            </w:tcBorders>
            <w:hideMark/>
          </w:tcPr>
          <w:p w14:paraId="656AFB9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Individuals who acquire, consume or use goods and services for personal use, either for themselves or for others, and not for resale, commercial or trade, business, craft or profession purposes. (</w:t>
            </w:r>
            <w:hyperlink r:id="rId580" w:tgtFrame="_blank" w:history="1">
              <w:r w:rsidRPr="00E822AE">
                <w:rPr>
                  <w:rStyle w:val="Hyperlink"/>
                  <w:sz w:val="20"/>
                  <w:szCs w:val="20"/>
                  <w:lang w:val="en-CA"/>
                </w:rPr>
                <w:t>CSRD</w:t>
              </w:r>
            </w:hyperlink>
            <w:r w:rsidRPr="00E822AE">
              <w:rPr>
                <w:sz w:val="20"/>
                <w:szCs w:val="20"/>
                <w:lang w:val="en-CA"/>
              </w:rPr>
              <w:t>, 2023) </w:t>
            </w:r>
          </w:p>
        </w:tc>
      </w:tr>
      <w:tr w:rsidR="00C37DA1" w:rsidRPr="00E822AE" w14:paraId="20B5F1B4" w14:textId="77777777">
        <w:trPr>
          <w:trHeight w:val="954"/>
        </w:trPr>
        <w:tc>
          <w:tcPr>
            <w:tcW w:w="2055" w:type="dxa"/>
            <w:tcBorders>
              <w:top w:val="nil"/>
              <w:left w:val="nil"/>
              <w:bottom w:val="nil"/>
              <w:right w:val="nil"/>
            </w:tcBorders>
            <w:hideMark/>
          </w:tcPr>
          <w:p w14:paraId="37594D9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Control of invasive alien species </w:t>
            </w:r>
          </w:p>
        </w:tc>
        <w:tc>
          <w:tcPr>
            <w:tcW w:w="7155" w:type="dxa"/>
            <w:tcBorders>
              <w:top w:val="nil"/>
              <w:left w:val="nil"/>
              <w:bottom w:val="nil"/>
              <w:right w:val="nil"/>
            </w:tcBorders>
            <w:hideMark/>
          </w:tcPr>
          <w:p w14:paraId="7802DBC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Direct action(s) taken to reduce or suppress the distribution, abundance, spread and impacts of invasive alien species within a defined geographic area (FAO, 1995) </w:t>
            </w:r>
          </w:p>
        </w:tc>
      </w:tr>
      <w:tr w:rsidR="00C37DA1" w:rsidRPr="00E822AE" w14:paraId="7B185697" w14:textId="77777777">
        <w:trPr>
          <w:trHeight w:val="3390"/>
        </w:trPr>
        <w:tc>
          <w:tcPr>
            <w:tcW w:w="2055" w:type="dxa"/>
            <w:tcBorders>
              <w:top w:val="nil"/>
              <w:left w:val="nil"/>
              <w:bottom w:val="nil"/>
              <w:right w:val="nil"/>
            </w:tcBorders>
            <w:hideMark/>
          </w:tcPr>
          <w:p w14:paraId="7F0657D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Culture and practices </w:t>
            </w:r>
          </w:p>
        </w:tc>
        <w:tc>
          <w:tcPr>
            <w:tcW w:w="7155" w:type="dxa"/>
            <w:tcBorders>
              <w:top w:val="nil"/>
              <w:left w:val="nil"/>
              <w:bottom w:val="nil"/>
              <w:right w:val="nil"/>
            </w:tcBorders>
            <w:hideMark/>
          </w:tcPr>
          <w:p w14:paraId="3164979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Culture has been defined as “</w:t>
            </w:r>
            <w:r w:rsidRPr="00E822AE">
              <w:rPr>
                <w:i/>
                <w:iCs/>
                <w:sz w:val="20"/>
                <w:szCs w:val="20"/>
                <w:lang w:val="en-CA"/>
              </w:rPr>
              <w:t>that complex whole which includes knowledge, belief, art, morals, law, custom, and any other capacities and habits acquired by man as a member of society</w:t>
            </w:r>
            <w:r w:rsidRPr="00E822AE">
              <w:rPr>
                <w:sz w:val="20"/>
                <w:szCs w:val="20"/>
                <w:lang w:val="en-CA"/>
              </w:rPr>
              <w:t>”. In other words, culture is a patterned way of life shared by a group of people. Culture encompasses all that human beings have and do to produce, relate to each other and adapt to the physical environment. It includes agreed-upon principles of human existence (values, norms and sanctions) as well as techniques of survival (technology). Culture is also that aspect of our existence which makes us similar to some people, yet different from the majority of the people in the world … it is the way of life common to a group of people, a collection of beliefs and attitudes, shared understandings and patterns of behaviour that allow those people to live together in relative harmony but set them apart from other peoples. (</w:t>
            </w:r>
            <w:proofErr w:type="spellStart"/>
            <w:r w:rsidRPr="00E822AE">
              <w:rPr>
                <w:sz w:val="20"/>
                <w:szCs w:val="20"/>
              </w:rPr>
              <w:fldChar w:fldCharType="begin"/>
            </w:r>
            <w:r w:rsidRPr="00E822AE">
              <w:rPr>
                <w:sz w:val="20"/>
                <w:szCs w:val="20"/>
              </w:rPr>
              <w:instrText>HYPERLINK "https://www.un-ilibrary.org/content/books/9789210548434c005" \l ":~:text=Culture%20has%20been%20defined%20as,by%20a%20group%20of%20people." \t "_blank"</w:instrText>
            </w:r>
            <w:r w:rsidRPr="00E822AE">
              <w:rPr>
                <w:sz w:val="20"/>
                <w:szCs w:val="20"/>
              </w:rPr>
            </w:r>
            <w:r w:rsidRPr="00E822AE">
              <w:rPr>
                <w:sz w:val="20"/>
                <w:szCs w:val="20"/>
              </w:rPr>
              <w:fldChar w:fldCharType="separate"/>
            </w:r>
            <w:r w:rsidRPr="00E822AE">
              <w:rPr>
                <w:rStyle w:val="Hyperlink"/>
                <w:sz w:val="20"/>
                <w:szCs w:val="20"/>
                <w:lang w:val="en-CA"/>
              </w:rPr>
              <w:t>Kipuri</w:t>
            </w:r>
            <w:proofErr w:type="spellEnd"/>
            <w:r w:rsidRPr="00E822AE">
              <w:rPr>
                <w:sz w:val="20"/>
                <w:szCs w:val="20"/>
              </w:rPr>
              <w:fldChar w:fldCharType="end"/>
            </w:r>
            <w:r w:rsidRPr="00E822AE">
              <w:rPr>
                <w:sz w:val="20"/>
                <w:szCs w:val="20"/>
                <w:lang w:val="en-CA"/>
              </w:rPr>
              <w:t>, 2011) </w:t>
            </w:r>
          </w:p>
        </w:tc>
      </w:tr>
      <w:tr w:rsidR="00C37DA1" w:rsidRPr="00E822AE" w14:paraId="61E97A53" w14:textId="77777777">
        <w:trPr>
          <w:trHeight w:val="1276"/>
        </w:trPr>
        <w:tc>
          <w:tcPr>
            <w:tcW w:w="2055" w:type="dxa"/>
            <w:tcBorders>
              <w:top w:val="nil"/>
              <w:left w:val="nil"/>
              <w:bottom w:val="nil"/>
              <w:right w:val="nil"/>
            </w:tcBorders>
            <w:hideMark/>
          </w:tcPr>
          <w:p w14:paraId="6FBEDDC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Customary sustainable use by indigenous peoples and local communities </w:t>
            </w:r>
          </w:p>
        </w:tc>
        <w:tc>
          <w:tcPr>
            <w:tcW w:w="7155" w:type="dxa"/>
            <w:tcBorders>
              <w:top w:val="nil"/>
              <w:left w:val="nil"/>
              <w:bottom w:val="nil"/>
              <w:right w:val="nil"/>
            </w:tcBorders>
            <w:hideMark/>
          </w:tcPr>
          <w:p w14:paraId="084F367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uses of biological resources in accordance with traditional cultural practices that are compatible with conservation or sustainable use requirements. (Convention, Article 8(j)) </w:t>
            </w:r>
          </w:p>
        </w:tc>
      </w:tr>
      <w:tr w:rsidR="00C37DA1" w:rsidRPr="00E822AE" w14:paraId="29D5076D" w14:textId="77777777">
        <w:trPr>
          <w:trHeight w:val="1470"/>
        </w:trPr>
        <w:tc>
          <w:tcPr>
            <w:tcW w:w="2055" w:type="dxa"/>
            <w:tcBorders>
              <w:top w:val="nil"/>
              <w:left w:val="nil"/>
              <w:bottom w:val="nil"/>
              <w:right w:val="nil"/>
            </w:tcBorders>
            <w:hideMark/>
          </w:tcPr>
          <w:p w14:paraId="5506AF1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Decision-making </w:t>
            </w:r>
          </w:p>
        </w:tc>
        <w:tc>
          <w:tcPr>
            <w:tcW w:w="7155" w:type="dxa"/>
            <w:tcBorders>
              <w:top w:val="nil"/>
              <w:left w:val="nil"/>
              <w:bottom w:val="nil"/>
              <w:right w:val="nil"/>
            </w:tcBorders>
            <w:hideMark/>
          </w:tcPr>
          <w:p w14:paraId="7C782FF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process of making decisions can happen at the individual level or amongst groups and entails the prioritisation of certain values. This prioritization greatly influences which issues are found worthy of consideration, do and do not become part of the agenda, as well as determine which decision-makers are considered socially legitimate to participate in the process. (</w:t>
            </w:r>
            <w:hyperlink r:id="rId581" w:tgtFrame="_blank" w:history="1">
              <w:r w:rsidRPr="00E822AE">
                <w:rPr>
                  <w:rStyle w:val="Hyperlink"/>
                  <w:sz w:val="20"/>
                  <w:szCs w:val="20"/>
                  <w:lang w:val="en-CA"/>
                </w:rPr>
                <w:t>IPBES</w:t>
              </w:r>
            </w:hyperlink>
            <w:r w:rsidRPr="00E822AE">
              <w:rPr>
                <w:sz w:val="20"/>
                <w:szCs w:val="20"/>
                <w:lang w:val="en-CA"/>
              </w:rPr>
              <w:t>, 2022) </w:t>
            </w:r>
          </w:p>
        </w:tc>
      </w:tr>
      <w:tr w:rsidR="00C37DA1" w:rsidRPr="00E822AE" w14:paraId="11898C73" w14:textId="77777777">
        <w:trPr>
          <w:trHeight w:val="990"/>
        </w:trPr>
        <w:tc>
          <w:tcPr>
            <w:tcW w:w="2055" w:type="dxa"/>
            <w:tcBorders>
              <w:top w:val="nil"/>
              <w:left w:val="nil"/>
              <w:bottom w:val="nil"/>
              <w:right w:val="nil"/>
            </w:tcBorders>
            <w:hideMark/>
          </w:tcPr>
          <w:p w14:paraId="6C8A9B4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Degraded ecosystem </w:t>
            </w:r>
          </w:p>
        </w:tc>
        <w:tc>
          <w:tcPr>
            <w:tcW w:w="7155" w:type="dxa"/>
            <w:tcBorders>
              <w:top w:val="nil"/>
              <w:left w:val="nil"/>
              <w:bottom w:val="nil"/>
              <w:right w:val="nil"/>
            </w:tcBorders>
            <w:hideMark/>
          </w:tcPr>
          <w:p w14:paraId="1C73622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An ecosystem where, due to any process or activity, the viability of ecosystem functions and processes, and hence biodiversity, have been removed or lessened. (Dunster and Dunster, 1996) </w:t>
            </w:r>
          </w:p>
        </w:tc>
      </w:tr>
      <w:tr w:rsidR="00C37DA1" w:rsidRPr="00E822AE" w14:paraId="4340B605" w14:textId="77777777">
        <w:trPr>
          <w:trHeight w:val="1275"/>
        </w:trPr>
        <w:tc>
          <w:tcPr>
            <w:tcW w:w="2055" w:type="dxa"/>
            <w:tcBorders>
              <w:top w:val="nil"/>
              <w:left w:val="nil"/>
              <w:bottom w:val="nil"/>
              <w:right w:val="nil"/>
            </w:tcBorders>
            <w:hideMark/>
          </w:tcPr>
          <w:p w14:paraId="64DDCB2D"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Degraded land </w:t>
            </w:r>
          </w:p>
        </w:tc>
        <w:tc>
          <w:tcPr>
            <w:tcW w:w="7155" w:type="dxa"/>
            <w:tcBorders>
              <w:top w:val="nil"/>
              <w:left w:val="nil"/>
              <w:bottom w:val="nil"/>
              <w:right w:val="nil"/>
            </w:tcBorders>
            <w:hideMark/>
          </w:tcPr>
          <w:p w14:paraId="2BC86E6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reduction or loss of the biological or economic productivity and complexity of rain fed cropland, irrigated cropland, or range, pasture, forest and woodlands resulting from a combination of pressures, including land use and management practices. (UNCCD) </w:t>
            </w:r>
          </w:p>
        </w:tc>
      </w:tr>
      <w:tr w:rsidR="00C37DA1" w:rsidRPr="00E822AE" w14:paraId="7EBC9945" w14:textId="77777777">
        <w:trPr>
          <w:trHeight w:val="2212"/>
        </w:trPr>
        <w:tc>
          <w:tcPr>
            <w:tcW w:w="2055" w:type="dxa"/>
            <w:tcBorders>
              <w:top w:val="nil"/>
              <w:left w:val="nil"/>
              <w:bottom w:val="nil"/>
              <w:right w:val="nil"/>
            </w:tcBorders>
            <w:hideMark/>
          </w:tcPr>
          <w:p w14:paraId="2493ABA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Dependencies and impacts </w:t>
            </w:r>
          </w:p>
        </w:tc>
        <w:tc>
          <w:tcPr>
            <w:tcW w:w="7155" w:type="dxa"/>
            <w:tcBorders>
              <w:top w:val="nil"/>
              <w:left w:val="nil"/>
              <w:bottom w:val="nil"/>
              <w:right w:val="nil"/>
            </w:tcBorders>
            <w:hideMark/>
          </w:tcPr>
          <w:p w14:paraId="502D8E6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Dependencies on biodiversity are environmental assets and ecosystem services that a person or an organisation relies on to function, including water flow and quality regulation; regulation of hazards like fires and floods; pollination; carbon sequestration. Impacts on biodiversity refer to a change in the state of nature (quality or quantity), which may result in changes to the capacity of nature to provide social and economic functions. Impacts can be positive or negative, including pollution of air, water, soil; fragmentation or disruption of ecosystems and habitats for species; alteration of ecosystem regimes. (SBTN, 2020) </w:t>
            </w:r>
          </w:p>
        </w:tc>
      </w:tr>
      <w:tr w:rsidR="00C37DA1" w:rsidRPr="00E822AE" w14:paraId="71428A81" w14:textId="77777777">
        <w:trPr>
          <w:trHeight w:val="2460"/>
        </w:trPr>
        <w:tc>
          <w:tcPr>
            <w:tcW w:w="2055" w:type="dxa"/>
            <w:tcBorders>
              <w:top w:val="nil"/>
              <w:left w:val="nil"/>
              <w:bottom w:val="nil"/>
              <w:right w:val="nil"/>
            </w:tcBorders>
            <w:hideMark/>
          </w:tcPr>
          <w:p w14:paraId="2450F17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Development of and access to innovation </w:t>
            </w:r>
          </w:p>
        </w:tc>
        <w:tc>
          <w:tcPr>
            <w:tcW w:w="7155" w:type="dxa"/>
            <w:tcBorders>
              <w:top w:val="nil"/>
              <w:left w:val="nil"/>
              <w:bottom w:val="nil"/>
              <w:right w:val="nil"/>
            </w:tcBorders>
            <w:hideMark/>
          </w:tcPr>
          <w:p w14:paraId="504B3BD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development of new, transformative and innovative solutions for biodiversity needs to be fostered and access to those solutions improved. Parties and actors in the innovation space should direct research and development investments into addressing biodiversity challenges. Harnessing emerging technologies, such as artificial intelligence, as well as the innovations and practices of indigenous peoples and local communities with their free, prior and informed consent may offer new opportunities to improve the conservation, sustainable use and valorization of biodiversity and the fair and equitable sharing of benefiting arising from the utilization of genetic resources.  </w:t>
            </w:r>
          </w:p>
        </w:tc>
      </w:tr>
      <w:tr w:rsidR="00C37DA1" w:rsidRPr="00E822AE" w14:paraId="0942454D" w14:textId="77777777">
        <w:trPr>
          <w:trHeight w:val="1513"/>
        </w:trPr>
        <w:tc>
          <w:tcPr>
            <w:tcW w:w="2055" w:type="dxa"/>
            <w:tcBorders>
              <w:top w:val="nil"/>
              <w:left w:val="nil"/>
              <w:bottom w:val="nil"/>
              <w:right w:val="nil"/>
            </w:tcBorders>
            <w:hideMark/>
          </w:tcPr>
          <w:p w14:paraId="20C85EF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Disaster risk reduction </w:t>
            </w:r>
          </w:p>
        </w:tc>
        <w:tc>
          <w:tcPr>
            <w:tcW w:w="7155" w:type="dxa"/>
            <w:tcBorders>
              <w:top w:val="nil"/>
              <w:left w:val="nil"/>
              <w:bottom w:val="nil"/>
              <w:right w:val="nil"/>
            </w:tcBorders>
            <w:hideMark/>
          </w:tcPr>
          <w:p w14:paraId="41EF0291"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concept and practice of reducing disaster risks through systematic efforts to analyze and manage the causal factors of disasters, including through reduced exposure to hazards, lessened vulnerability of people and property, evidence-based management of land and the environment, and improved preparedness for adverse events. (</w:t>
            </w:r>
            <w:hyperlink r:id="rId582" w:tgtFrame="_blank" w:history="1">
              <w:r w:rsidRPr="00E822AE">
                <w:rPr>
                  <w:rStyle w:val="Hyperlink"/>
                  <w:sz w:val="20"/>
                  <w:szCs w:val="20"/>
                  <w:lang w:val="en-CA"/>
                </w:rPr>
                <w:t>IPBES</w:t>
              </w:r>
            </w:hyperlink>
            <w:r w:rsidRPr="00E822AE">
              <w:rPr>
                <w:sz w:val="20"/>
                <w:szCs w:val="20"/>
                <w:lang w:val="en-CA"/>
              </w:rPr>
              <w:t>, 2018) </w:t>
            </w:r>
          </w:p>
        </w:tc>
      </w:tr>
      <w:tr w:rsidR="00C37DA1" w:rsidRPr="00E822AE" w14:paraId="22F15B3D" w14:textId="77777777">
        <w:trPr>
          <w:trHeight w:val="1275"/>
        </w:trPr>
        <w:tc>
          <w:tcPr>
            <w:tcW w:w="2055" w:type="dxa"/>
            <w:tcBorders>
              <w:top w:val="nil"/>
              <w:left w:val="nil"/>
              <w:bottom w:val="nil"/>
              <w:right w:val="nil"/>
            </w:tcBorders>
            <w:hideMark/>
          </w:tcPr>
          <w:p w14:paraId="4E695F8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Disclosing </w:t>
            </w:r>
          </w:p>
        </w:tc>
        <w:tc>
          <w:tcPr>
            <w:tcW w:w="7155" w:type="dxa"/>
            <w:tcBorders>
              <w:top w:val="nil"/>
              <w:left w:val="nil"/>
              <w:bottom w:val="nil"/>
              <w:right w:val="nil"/>
            </w:tcBorders>
            <w:hideMark/>
          </w:tcPr>
          <w:p w14:paraId="3B82C5F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act of making information available to the </w:t>
            </w:r>
            <w:proofErr w:type="gramStart"/>
            <w:r w:rsidRPr="00E822AE">
              <w:rPr>
                <w:sz w:val="20"/>
                <w:szCs w:val="20"/>
                <w:lang w:val="en-CA"/>
              </w:rPr>
              <w:t>general public</w:t>
            </w:r>
            <w:proofErr w:type="gramEnd"/>
            <w:r w:rsidRPr="00E822AE">
              <w:rPr>
                <w:sz w:val="20"/>
                <w:szCs w:val="20"/>
                <w:lang w:val="en-CA"/>
              </w:rPr>
              <w:t xml:space="preserve"> and stakeholders, in a clear and transparent manner. In this context, it means making information publicly available about a company’s impacts and dependencies on biodiversity, and its risks from biodiversity loss. </w:t>
            </w:r>
          </w:p>
        </w:tc>
      </w:tr>
      <w:tr w:rsidR="00C37DA1" w:rsidRPr="00E822AE" w14:paraId="4AB3A023" w14:textId="77777777">
        <w:trPr>
          <w:trHeight w:val="1701"/>
        </w:trPr>
        <w:tc>
          <w:tcPr>
            <w:tcW w:w="2055" w:type="dxa"/>
            <w:tcBorders>
              <w:top w:val="nil"/>
              <w:left w:val="nil"/>
              <w:bottom w:val="nil"/>
              <w:right w:val="nil"/>
            </w:tcBorders>
            <w:hideMark/>
          </w:tcPr>
          <w:p w14:paraId="20460A1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Ecological connectivity </w:t>
            </w:r>
          </w:p>
        </w:tc>
        <w:tc>
          <w:tcPr>
            <w:tcW w:w="7155" w:type="dxa"/>
            <w:tcBorders>
              <w:top w:val="nil"/>
              <w:left w:val="nil"/>
              <w:bottom w:val="nil"/>
              <w:right w:val="nil"/>
            </w:tcBorders>
            <w:hideMark/>
          </w:tcPr>
          <w:p w14:paraId="39FD6FB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Connectivity (i.e. ecological connectivity) is the unimpeded movement of species and the flow of natural processes that sustain life on Earth (CMS, 2020). It may thus also refer to continuous ecosystems often connected through ecological corridors. There are two types of connectivity: structural (in which the continuity between ecosystems is identified) and functional (in which the movement of species or processes is verified). </w:t>
            </w:r>
          </w:p>
        </w:tc>
      </w:tr>
      <w:tr w:rsidR="00C37DA1" w:rsidRPr="00E822AE" w14:paraId="7E2DCCA6" w14:textId="77777777">
        <w:trPr>
          <w:trHeight w:val="1273"/>
        </w:trPr>
        <w:tc>
          <w:tcPr>
            <w:tcW w:w="2055" w:type="dxa"/>
            <w:tcBorders>
              <w:top w:val="nil"/>
              <w:left w:val="nil"/>
              <w:bottom w:val="nil"/>
              <w:right w:val="nil"/>
            </w:tcBorders>
            <w:hideMark/>
          </w:tcPr>
          <w:p w14:paraId="681344B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Ecological integrity </w:t>
            </w:r>
          </w:p>
        </w:tc>
        <w:tc>
          <w:tcPr>
            <w:tcW w:w="7155" w:type="dxa"/>
            <w:tcBorders>
              <w:top w:val="nil"/>
              <w:left w:val="nil"/>
              <w:bottom w:val="nil"/>
              <w:right w:val="nil"/>
            </w:tcBorders>
            <w:hideMark/>
          </w:tcPr>
          <w:p w14:paraId="463F1C4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degree to which the ecosystem’s composition, structure and function resemble </w:t>
            </w:r>
            <w:proofErr w:type="gramStart"/>
            <w:r w:rsidRPr="00E822AE">
              <w:rPr>
                <w:sz w:val="20"/>
                <w:szCs w:val="20"/>
                <w:lang w:val="en-CA"/>
              </w:rPr>
              <w:t>those characteristic</w:t>
            </w:r>
            <w:proofErr w:type="gramEnd"/>
            <w:r w:rsidRPr="00E822AE">
              <w:rPr>
                <w:sz w:val="20"/>
                <w:szCs w:val="20"/>
                <w:lang w:val="en-CA"/>
              </w:rPr>
              <w:t xml:space="preserve"> of its natural range of variation, which may be defined from historical or minimally disturbed reference states, replicated contemporary samples, ecosystem models and/or expert judgement. (</w:t>
            </w:r>
            <w:hyperlink r:id="rId583" w:tgtFrame="_blank" w:history="1">
              <w:r w:rsidRPr="00E822AE">
                <w:rPr>
                  <w:rStyle w:val="Hyperlink"/>
                  <w:sz w:val="20"/>
                  <w:szCs w:val="20"/>
                  <w:lang w:val="en-CA"/>
                </w:rPr>
                <w:t>Nicholson</w:t>
              </w:r>
            </w:hyperlink>
            <w:r w:rsidRPr="00E822AE">
              <w:rPr>
                <w:sz w:val="20"/>
                <w:szCs w:val="20"/>
                <w:lang w:val="en-CA"/>
              </w:rPr>
              <w:t xml:space="preserve"> et al. 2024) </w:t>
            </w:r>
          </w:p>
        </w:tc>
      </w:tr>
      <w:tr w:rsidR="00C37DA1" w:rsidRPr="00E822AE" w14:paraId="23EFAF0D" w14:textId="77777777">
        <w:trPr>
          <w:trHeight w:val="1275"/>
        </w:trPr>
        <w:tc>
          <w:tcPr>
            <w:tcW w:w="2055" w:type="dxa"/>
            <w:tcBorders>
              <w:top w:val="nil"/>
              <w:left w:val="nil"/>
              <w:bottom w:val="nil"/>
              <w:right w:val="nil"/>
            </w:tcBorders>
            <w:hideMark/>
          </w:tcPr>
          <w:p w14:paraId="3E11073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Ecological restoration </w:t>
            </w:r>
          </w:p>
        </w:tc>
        <w:tc>
          <w:tcPr>
            <w:tcW w:w="7155" w:type="dxa"/>
            <w:tcBorders>
              <w:top w:val="nil"/>
              <w:left w:val="nil"/>
              <w:bottom w:val="nil"/>
              <w:right w:val="nil"/>
            </w:tcBorders>
            <w:hideMark/>
          </w:tcPr>
          <w:p w14:paraId="2E4EE68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process of managing or assisting the recovery of a natural ecosystem that has been degraded, damaged or destroyed, as a means of improving or sustaining ecosystem resilience, ecological integrity and conserving biodiversity. (Adapted from CBD, 2016) See also ecosystem restoration. </w:t>
            </w:r>
          </w:p>
        </w:tc>
      </w:tr>
      <w:tr w:rsidR="00C37DA1" w:rsidRPr="00E822AE" w14:paraId="6D423FB6" w14:textId="77777777">
        <w:trPr>
          <w:trHeight w:val="1704"/>
        </w:trPr>
        <w:tc>
          <w:tcPr>
            <w:tcW w:w="2055" w:type="dxa"/>
            <w:tcBorders>
              <w:top w:val="nil"/>
              <w:left w:val="nil"/>
              <w:bottom w:val="nil"/>
              <w:right w:val="nil"/>
            </w:tcBorders>
            <w:hideMark/>
          </w:tcPr>
          <w:p w14:paraId="3D1B5AE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Ecosystem </w:t>
            </w:r>
          </w:p>
        </w:tc>
        <w:tc>
          <w:tcPr>
            <w:tcW w:w="7155" w:type="dxa"/>
            <w:tcBorders>
              <w:top w:val="nil"/>
              <w:left w:val="nil"/>
              <w:bottom w:val="nil"/>
              <w:right w:val="nil"/>
            </w:tcBorders>
            <w:hideMark/>
          </w:tcPr>
          <w:p w14:paraId="5D7BB100" w14:textId="77777777" w:rsidR="00C37DA1" w:rsidRPr="00E822AE" w:rsidRDefault="00C37DA1" w:rsidP="008B21D8">
            <w:pPr>
              <w:pStyle w:val="CBDNormalNumber"/>
              <w:shd w:val="clear" w:color="auto" w:fill="FFFFFF"/>
              <w:ind w:left="567"/>
              <w:rPr>
                <w:sz w:val="20"/>
                <w:szCs w:val="20"/>
                <w:lang w:val="en-CA"/>
              </w:rPr>
            </w:pPr>
            <w:bookmarkStart w:id="90" w:name="_Hlk162966714"/>
            <w:r w:rsidRPr="00E822AE">
              <w:rPr>
                <w:sz w:val="20"/>
                <w:szCs w:val="20"/>
                <w:lang w:val="en-CA"/>
              </w:rPr>
              <w:t>A dynamic complex of plant, animal and micro-organism communities and their non-living environment interacting as a functional unit (Convention on Biological Diversity, 1992). Specifically, ecosystems are made up of living components (biotic complexes and assemblages of species), the abiotic environment, the processes and interactions within and between the biotic and abiotic components, and the physical space in which these operate (Keith et al. 2013).  </w:t>
            </w:r>
            <w:bookmarkEnd w:id="90"/>
          </w:p>
        </w:tc>
      </w:tr>
      <w:tr w:rsidR="00C37DA1" w:rsidRPr="00E822AE" w14:paraId="0502B8DD" w14:textId="77777777">
        <w:trPr>
          <w:trHeight w:val="1695"/>
        </w:trPr>
        <w:tc>
          <w:tcPr>
            <w:tcW w:w="2055" w:type="dxa"/>
            <w:tcBorders>
              <w:top w:val="nil"/>
              <w:left w:val="nil"/>
              <w:bottom w:val="nil"/>
              <w:right w:val="nil"/>
            </w:tcBorders>
            <w:hideMark/>
          </w:tcPr>
          <w:p w14:paraId="21932CD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Ecosystem collapse </w:t>
            </w:r>
          </w:p>
        </w:tc>
        <w:tc>
          <w:tcPr>
            <w:tcW w:w="7155" w:type="dxa"/>
            <w:tcBorders>
              <w:top w:val="nil"/>
              <w:left w:val="nil"/>
              <w:bottom w:val="nil"/>
              <w:right w:val="nil"/>
            </w:tcBorders>
            <w:hideMark/>
          </w:tcPr>
          <w:p w14:paraId="262C1A8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endpoint of ecosystem decline, when an ecosystem loses its defining features (i.e. species, assemblages, structure, and functions) and is replaced by a different, often depauperate, ecosystem type. Collapse can be irreversible, but some ecosystems may recover, over long timeframes or with restoration. The risk of ecosystem collapse is the likelihood that an ecosystem will collapse over a specified timeframe (Keith et al. 2013). </w:t>
            </w:r>
          </w:p>
        </w:tc>
      </w:tr>
      <w:tr w:rsidR="00C37DA1" w:rsidRPr="00E822AE" w14:paraId="44B56542" w14:textId="77777777">
        <w:trPr>
          <w:trHeight w:val="1185"/>
        </w:trPr>
        <w:tc>
          <w:tcPr>
            <w:tcW w:w="2055" w:type="dxa"/>
            <w:tcBorders>
              <w:top w:val="nil"/>
              <w:left w:val="nil"/>
              <w:bottom w:val="nil"/>
              <w:right w:val="nil"/>
            </w:tcBorders>
            <w:hideMark/>
          </w:tcPr>
          <w:p w14:paraId="547AA78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Ecosystem conversion </w:t>
            </w:r>
          </w:p>
        </w:tc>
        <w:tc>
          <w:tcPr>
            <w:tcW w:w="7155" w:type="dxa"/>
            <w:tcBorders>
              <w:top w:val="nil"/>
              <w:left w:val="nil"/>
              <w:bottom w:val="nil"/>
              <w:right w:val="nil"/>
            </w:tcBorders>
            <w:hideMark/>
          </w:tcPr>
          <w:p w14:paraId="0079336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Refer to situations in which, for a given location, there is a change in ecosystem type involving a distinct and persistent change in the ecological structure, composition and function which, in turn, is reflected in the supply of a different set of ecosystem services. (</w:t>
            </w:r>
            <w:hyperlink r:id="rId584"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12DC47B4" w14:textId="77777777">
        <w:trPr>
          <w:trHeight w:val="990"/>
        </w:trPr>
        <w:tc>
          <w:tcPr>
            <w:tcW w:w="2055" w:type="dxa"/>
            <w:tcBorders>
              <w:top w:val="nil"/>
              <w:left w:val="nil"/>
              <w:bottom w:val="nil"/>
              <w:right w:val="nil"/>
            </w:tcBorders>
            <w:hideMark/>
          </w:tcPr>
          <w:p w14:paraId="7DFA7E5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Ecosystem extent </w:t>
            </w:r>
          </w:p>
        </w:tc>
        <w:tc>
          <w:tcPr>
            <w:tcW w:w="7155" w:type="dxa"/>
            <w:tcBorders>
              <w:top w:val="nil"/>
              <w:left w:val="nil"/>
              <w:bottom w:val="nil"/>
              <w:right w:val="nil"/>
            </w:tcBorders>
            <w:hideMark/>
          </w:tcPr>
          <w:p w14:paraId="0DCD2A4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Is the size of an ecosystem asset, which are contiguous spaces of a specific ecosystem type characterized by a distinct set of biotic and abiotic components and their interactions. (</w:t>
            </w:r>
            <w:hyperlink r:id="rId585"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520D79FD" w14:textId="77777777">
        <w:trPr>
          <w:trHeight w:val="1245"/>
        </w:trPr>
        <w:tc>
          <w:tcPr>
            <w:tcW w:w="2055" w:type="dxa"/>
            <w:tcBorders>
              <w:top w:val="nil"/>
              <w:left w:val="nil"/>
              <w:bottom w:val="nil"/>
              <w:right w:val="nil"/>
            </w:tcBorders>
            <w:hideMark/>
          </w:tcPr>
          <w:p w14:paraId="27B790A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Ecosystem function </w:t>
            </w:r>
          </w:p>
        </w:tc>
        <w:tc>
          <w:tcPr>
            <w:tcW w:w="7155" w:type="dxa"/>
            <w:tcBorders>
              <w:top w:val="nil"/>
              <w:left w:val="nil"/>
              <w:bottom w:val="nil"/>
              <w:right w:val="nil"/>
            </w:tcBorders>
            <w:hideMark/>
          </w:tcPr>
          <w:p w14:paraId="4835C68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flow of energy and materials through the biotic and abiotic components of an ecosystem. It includes many processes such as biomass production, trophic transfer through plants and animals, nutrient cycling, water dynamics and heat transfer. (</w:t>
            </w:r>
            <w:hyperlink r:id="rId586" w:tgtFrame="_blank" w:history="1">
              <w:r w:rsidRPr="00E822AE">
                <w:rPr>
                  <w:rStyle w:val="Hyperlink"/>
                  <w:sz w:val="20"/>
                  <w:szCs w:val="20"/>
                  <w:lang w:val="en-CA"/>
                </w:rPr>
                <w:t>IPBES</w:t>
              </w:r>
            </w:hyperlink>
            <w:r w:rsidRPr="00E822AE">
              <w:rPr>
                <w:sz w:val="20"/>
                <w:szCs w:val="20"/>
                <w:lang w:val="en-CA"/>
              </w:rPr>
              <w:t>) </w:t>
            </w:r>
          </w:p>
        </w:tc>
      </w:tr>
      <w:tr w:rsidR="00C37DA1" w:rsidRPr="00E822AE" w14:paraId="5159778F" w14:textId="77777777">
        <w:trPr>
          <w:trHeight w:val="2410"/>
        </w:trPr>
        <w:tc>
          <w:tcPr>
            <w:tcW w:w="2055" w:type="dxa"/>
            <w:tcBorders>
              <w:top w:val="nil"/>
              <w:left w:val="nil"/>
              <w:bottom w:val="nil"/>
              <w:right w:val="nil"/>
            </w:tcBorders>
            <w:hideMark/>
          </w:tcPr>
          <w:p w14:paraId="6A0DB60D"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Ecosystem functional groups </w:t>
            </w:r>
          </w:p>
        </w:tc>
        <w:tc>
          <w:tcPr>
            <w:tcW w:w="7155" w:type="dxa"/>
            <w:tcBorders>
              <w:top w:val="nil"/>
              <w:left w:val="nil"/>
              <w:bottom w:val="nil"/>
              <w:right w:val="nil"/>
            </w:tcBorders>
            <w:hideMark/>
          </w:tcPr>
          <w:p w14:paraId="2B0DF41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Ecosystem functional groups comprise “</w:t>
            </w:r>
            <w:r w:rsidRPr="00E822AE">
              <w:rPr>
                <w:i/>
                <w:iCs/>
                <w:sz w:val="20"/>
                <w:szCs w:val="20"/>
                <w:lang w:val="en-CA"/>
              </w:rPr>
              <w:t>a group of related ecosystems within a biome that share common ecological drivers, which in turn promote similar biotic traits that characterise the group. Derived from the top-down by subdivision of biomes</w:t>
            </w:r>
            <w:r w:rsidRPr="00E822AE">
              <w:rPr>
                <w:sz w:val="20"/>
                <w:szCs w:val="20"/>
                <w:lang w:val="en-CA"/>
              </w:rPr>
              <w:t xml:space="preserve">” (Keith et al. 2022, </w:t>
            </w:r>
            <w:hyperlink r:id="rId587" w:history="1">
              <w:r w:rsidRPr="00E822AE">
                <w:rPr>
                  <w:rStyle w:val="Hyperlink"/>
                  <w:sz w:val="20"/>
                  <w:szCs w:val="20"/>
                  <w:lang w:val="en-CA"/>
                </w:rPr>
                <w:t>https://global-ecosystems.org/</w:t>
              </w:r>
            </w:hyperlink>
            <w:r w:rsidRPr="00E822AE">
              <w:rPr>
                <w:sz w:val="20"/>
                <w:szCs w:val="20"/>
                <w:lang w:val="en-CA"/>
              </w:rPr>
              <w:t>). Examples include: M1.1 seagrass meadows; M1.2 kelp forests and M1.3 photic coral reefs in the marine realm; T1.1 tropical/subtropics lowland rainforests and T4.2 pyric tussock savannas in the terrestrial realm; F1.6 episodic arid rivers and F2.8 artesian springs and oasis in the freshwater realm; and MFT1.3 coastal saltmarshes and reedbeds in the transitional realm between freshwater, marine and terrestrial realms. </w:t>
            </w:r>
          </w:p>
        </w:tc>
      </w:tr>
      <w:tr w:rsidR="00C37DA1" w:rsidRPr="00E822AE" w14:paraId="43DB9633" w14:textId="77777777">
        <w:trPr>
          <w:trHeight w:val="3252"/>
        </w:trPr>
        <w:tc>
          <w:tcPr>
            <w:tcW w:w="2055" w:type="dxa"/>
            <w:tcBorders>
              <w:top w:val="nil"/>
              <w:left w:val="nil"/>
              <w:bottom w:val="nil"/>
              <w:right w:val="nil"/>
            </w:tcBorders>
            <w:hideMark/>
          </w:tcPr>
          <w:p w14:paraId="704C900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Ecosystem restoration </w:t>
            </w:r>
          </w:p>
        </w:tc>
        <w:tc>
          <w:tcPr>
            <w:tcW w:w="7155" w:type="dxa"/>
            <w:tcBorders>
              <w:top w:val="nil"/>
              <w:left w:val="nil"/>
              <w:bottom w:val="nil"/>
              <w:right w:val="nil"/>
            </w:tcBorders>
            <w:hideMark/>
          </w:tcPr>
          <w:p w14:paraId="443F1A2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Any intentional activity that initiates or accelerates the recovery of an ecosystem from a degraded state. Active restoration includes a range of human interventions aimed at influencing and accelerating natural successional processes to recover biodiversity ecosystem service provision. Passive restoration includes reliance primarily on natural process of ecological succession to restore degraded ecosystems but may include measures to protect a site from processes that currently prevent natural recovery (e.g. protection of degraded forests from overgrazing by livestock or unintentional human-induced fire). Ecosystem restoration includes: 1) ecological restoration of natural ecosystems; and 2) rehabilitation of converted and degraded areas (e.g. degraded agricultural lands) to improve social-ecological resilience through the provision of ecosystem services.  </w:t>
            </w:r>
          </w:p>
        </w:tc>
      </w:tr>
      <w:tr w:rsidR="00C37DA1" w:rsidRPr="00E822AE" w14:paraId="587BA0AE" w14:textId="77777777">
        <w:trPr>
          <w:trHeight w:val="2745"/>
        </w:trPr>
        <w:tc>
          <w:tcPr>
            <w:tcW w:w="2055" w:type="dxa"/>
            <w:tcBorders>
              <w:top w:val="nil"/>
              <w:left w:val="nil"/>
              <w:bottom w:val="nil"/>
              <w:right w:val="nil"/>
            </w:tcBorders>
            <w:hideMark/>
          </w:tcPr>
          <w:p w14:paraId="5A1DED4E"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Ecosystem service </w:t>
            </w:r>
          </w:p>
        </w:tc>
        <w:tc>
          <w:tcPr>
            <w:tcW w:w="7155" w:type="dxa"/>
            <w:tcBorders>
              <w:top w:val="nil"/>
              <w:left w:val="nil"/>
              <w:bottom w:val="nil"/>
              <w:right w:val="nil"/>
            </w:tcBorders>
          </w:tcPr>
          <w:p w14:paraId="4925ADD1"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service that is provided by an ecosystem as an intrinsic property of its functionality (e.g. pollination, nutrient cycling, nitrogen fixation, fruit and seed dispersal) contributing to the benefits (and occasionally disbenefits) that people obtain from ecosystems. These include provisioning services such as food and water; regulating services such as flood and disease control; and cultural services such as recreation and sense of place. This includes the whole pathway from ecological processes through to final ecosystem services, goods and anthropocentric values to people. In the original definition of the Millennium Ecosystem Assessment the concept of ecosystem goods and services is synonymous with ecosystem services. (</w:t>
            </w:r>
            <w:hyperlink r:id="rId588" w:tgtFrame="_blank" w:history="1">
              <w:r w:rsidRPr="00E822AE">
                <w:rPr>
                  <w:rStyle w:val="Hyperlink"/>
                  <w:sz w:val="20"/>
                  <w:szCs w:val="20"/>
                  <w:lang w:val="en-CA"/>
                </w:rPr>
                <w:t>IPBES</w:t>
              </w:r>
            </w:hyperlink>
            <w:r w:rsidRPr="00E822AE">
              <w:rPr>
                <w:sz w:val="20"/>
                <w:szCs w:val="20"/>
                <w:lang w:val="en-CA"/>
              </w:rPr>
              <w:t>, 2016) </w:t>
            </w:r>
          </w:p>
          <w:p w14:paraId="4589F4A8" w14:textId="77777777" w:rsidR="00C37DA1" w:rsidRPr="00E822AE" w:rsidRDefault="00C37DA1" w:rsidP="008B21D8">
            <w:pPr>
              <w:pStyle w:val="CBDNormalNumber"/>
              <w:shd w:val="clear" w:color="auto" w:fill="FFFFFF"/>
              <w:ind w:left="567"/>
              <w:rPr>
                <w:sz w:val="20"/>
                <w:szCs w:val="20"/>
                <w:lang w:val="en-CA"/>
              </w:rPr>
            </w:pPr>
          </w:p>
        </w:tc>
      </w:tr>
      <w:tr w:rsidR="00C37DA1" w:rsidRPr="00E822AE" w14:paraId="37582E61" w14:textId="77777777">
        <w:trPr>
          <w:trHeight w:val="1020"/>
        </w:trPr>
        <w:tc>
          <w:tcPr>
            <w:tcW w:w="2055" w:type="dxa"/>
            <w:tcBorders>
              <w:top w:val="nil"/>
              <w:left w:val="nil"/>
              <w:bottom w:val="nil"/>
              <w:right w:val="nil"/>
            </w:tcBorders>
            <w:hideMark/>
          </w:tcPr>
          <w:p w14:paraId="19D0104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Ecosystem type </w:t>
            </w:r>
          </w:p>
        </w:tc>
        <w:tc>
          <w:tcPr>
            <w:tcW w:w="7155" w:type="dxa"/>
            <w:tcBorders>
              <w:top w:val="nil"/>
              <w:left w:val="nil"/>
              <w:bottom w:val="nil"/>
              <w:right w:val="nil"/>
            </w:tcBorders>
            <w:hideMark/>
          </w:tcPr>
          <w:p w14:paraId="5E0D17D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Reflects a distinct set of abiotic and biotic components and their interactions. Ecosystem types can be described, classified, and identified using the IUCN Global Ecosystem Typology (Keith et al. 2022).  </w:t>
            </w:r>
          </w:p>
        </w:tc>
      </w:tr>
      <w:tr w:rsidR="00C37DA1" w:rsidRPr="00E822AE" w14:paraId="6190D304" w14:textId="77777777">
        <w:trPr>
          <w:trHeight w:val="3225"/>
        </w:trPr>
        <w:tc>
          <w:tcPr>
            <w:tcW w:w="2055" w:type="dxa"/>
            <w:tcBorders>
              <w:top w:val="nil"/>
              <w:left w:val="nil"/>
              <w:bottom w:val="nil"/>
              <w:right w:val="nil"/>
            </w:tcBorders>
            <w:hideMark/>
          </w:tcPr>
          <w:p w14:paraId="4CF81D9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Ecosystem-based approaches </w:t>
            </w:r>
          </w:p>
        </w:tc>
        <w:tc>
          <w:tcPr>
            <w:tcW w:w="7155" w:type="dxa"/>
            <w:tcBorders>
              <w:top w:val="nil"/>
              <w:left w:val="nil"/>
              <w:bottom w:val="nil"/>
              <w:right w:val="nil"/>
            </w:tcBorders>
            <w:hideMark/>
          </w:tcPr>
          <w:p w14:paraId="65935E2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Refer to the use of biodiversity and ecosystem services as part of an overall strategy to help address the adverse effects of climate change. Ecosystem-based mitigation refers to the use of ecosystems for their carbon storage and sequestration service to aid climate change mitigation. Ecosystem-based adaptation aims to maintain and increase the resilience and reduce the vulnerability of ecosystems and people in the face of the adverse effects of climate change. Such approaches can include sustainable management, conservation and restoration of ecosystems, as part of an overall adaptation strategy that </w:t>
            </w:r>
            <w:proofErr w:type="gramStart"/>
            <w:r w:rsidRPr="00E822AE">
              <w:rPr>
                <w:sz w:val="20"/>
                <w:szCs w:val="20"/>
                <w:lang w:val="en-CA"/>
              </w:rPr>
              <w:t>takes into account</w:t>
            </w:r>
            <w:proofErr w:type="gramEnd"/>
            <w:r w:rsidRPr="00E822AE">
              <w:rPr>
                <w:sz w:val="20"/>
                <w:szCs w:val="20"/>
                <w:lang w:val="en-CA"/>
              </w:rPr>
              <w:t xml:space="preserve"> the multiple social, economic and cultural co-benefits for local communities. Ecosystem-based disaster risk reduction is the sustainable management, conservation and restoration of ecosystems to reduce disaster risk, with the aim of achieving sustainable and resilient development. </w:t>
            </w:r>
          </w:p>
        </w:tc>
      </w:tr>
      <w:tr w:rsidR="00C37DA1" w:rsidRPr="00E822AE" w14:paraId="69058AE8" w14:textId="77777777">
        <w:trPr>
          <w:trHeight w:val="1290"/>
        </w:trPr>
        <w:tc>
          <w:tcPr>
            <w:tcW w:w="2055" w:type="dxa"/>
            <w:tcBorders>
              <w:top w:val="nil"/>
              <w:left w:val="nil"/>
              <w:bottom w:val="nil"/>
              <w:right w:val="nil"/>
            </w:tcBorders>
            <w:hideMark/>
          </w:tcPr>
          <w:p w14:paraId="0BFC252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Effective management processes </w:t>
            </w:r>
          </w:p>
        </w:tc>
        <w:tc>
          <w:tcPr>
            <w:tcW w:w="7155" w:type="dxa"/>
            <w:tcBorders>
              <w:top w:val="nil"/>
              <w:left w:val="nil"/>
              <w:bottom w:val="nil"/>
              <w:right w:val="nil"/>
            </w:tcBorders>
            <w:hideMark/>
          </w:tcPr>
          <w:p w14:paraId="632A4E2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Effective management process may be utilised instead of or as a complement to spatial planning to address land use and sea use change. This may include such things as environmental assessment, environmental impact assessment and strategic environmental impact assessment. </w:t>
            </w:r>
          </w:p>
        </w:tc>
      </w:tr>
      <w:tr w:rsidR="00C37DA1" w:rsidRPr="00E822AE" w14:paraId="04F545E0" w14:textId="77777777">
        <w:trPr>
          <w:trHeight w:val="1975"/>
        </w:trPr>
        <w:tc>
          <w:tcPr>
            <w:tcW w:w="2055" w:type="dxa"/>
            <w:tcBorders>
              <w:top w:val="nil"/>
              <w:left w:val="nil"/>
              <w:bottom w:val="nil"/>
              <w:right w:val="nil"/>
            </w:tcBorders>
            <w:hideMark/>
          </w:tcPr>
          <w:p w14:paraId="14AEC47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Effective population size </w:t>
            </w:r>
          </w:p>
        </w:tc>
        <w:tc>
          <w:tcPr>
            <w:tcW w:w="7155" w:type="dxa"/>
            <w:tcBorders>
              <w:top w:val="nil"/>
              <w:left w:val="nil"/>
              <w:bottom w:val="nil"/>
              <w:right w:val="nil"/>
            </w:tcBorders>
            <w:hideMark/>
          </w:tcPr>
          <w:p w14:paraId="0FB3EF70" w14:textId="77777777" w:rsidR="00C37DA1" w:rsidRPr="00E822AE" w:rsidRDefault="00000000" w:rsidP="008B21D8">
            <w:pPr>
              <w:pStyle w:val="CBDNormalNumber"/>
              <w:shd w:val="clear" w:color="auto" w:fill="FFFFFF"/>
              <w:ind w:left="567"/>
              <w:rPr>
                <w:sz w:val="20"/>
                <w:szCs w:val="20"/>
                <w:lang w:val="en-CA"/>
              </w:rPr>
            </w:pPr>
            <w:sdt>
              <w:sdtPr>
                <w:rPr>
                  <w:sz w:val="20"/>
                  <w:szCs w:val="20"/>
                  <w:lang w:val="en-CA"/>
                </w:rPr>
                <w:tag w:val="goog_rdk_279"/>
                <w:id w:val="-859586334"/>
              </w:sdtPr>
              <w:sdtContent>
                <w:r w:rsidR="00C37DA1" w:rsidRPr="00E822AE">
                  <w:rPr>
                    <w:sz w:val="20"/>
                    <w:szCs w:val="20"/>
                    <w:lang w:val="en-CA"/>
                  </w:rPr>
                  <w:t xml:space="preserve">This metric quantifies the rate of genetic change, or genetic loss (erosion). The effective size of a population is related to the number of adult/breeding individuals in a population that contribute offspring to the next generation, the relative evenness of their offspring production, sex ratio, and other factors linked to the ecological features of populations. Any population with Ne below 500 is likely to be losing genetic diversity. </w:t>
                </w:r>
              </w:sdtContent>
            </w:sdt>
          </w:p>
        </w:tc>
      </w:tr>
      <w:tr w:rsidR="00C37DA1" w:rsidRPr="00E822AE" w14:paraId="3377BE47" w14:textId="77777777">
        <w:trPr>
          <w:trHeight w:val="1974"/>
        </w:trPr>
        <w:tc>
          <w:tcPr>
            <w:tcW w:w="2055" w:type="dxa"/>
            <w:tcBorders>
              <w:top w:val="nil"/>
              <w:left w:val="nil"/>
              <w:bottom w:val="nil"/>
              <w:right w:val="nil"/>
            </w:tcBorders>
            <w:hideMark/>
          </w:tcPr>
          <w:p w14:paraId="50865FF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Effective restoration </w:t>
            </w:r>
          </w:p>
        </w:tc>
        <w:tc>
          <w:tcPr>
            <w:tcW w:w="7155" w:type="dxa"/>
            <w:tcBorders>
              <w:top w:val="nil"/>
              <w:left w:val="nil"/>
              <w:bottom w:val="nil"/>
              <w:right w:val="nil"/>
            </w:tcBorders>
            <w:hideMark/>
          </w:tcPr>
          <w:p w14:paraId="4E1C6C6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Effective Restoration is standards-based restoration underpinned by agreed principles that results in net gain for biodiversity, ecosystem integrity, and human well-being. It integrates spatial planning, addresses both process and outcomes, achieves multiple benefits, and is assessed against clear goals and objectives using measurable indicators. Different types of restoration will achieve different levels of outcomes: to enhance biodiversity and ecosystem functions and services, ecological integrity and connectivity. </w:t>
            </w:r>
          </w:p>
        </w:tc>
      </w:tr>
      <w:tr w:rsidR="00C37DA1" w:rsidRPr="00E822AE" w14:paraId="72DED031" w14:textId="77777777">
        <w:trPr>
          <w:trHeight w:val="1185"/>
        </w:trPr>
        <w:tc>
          <w:tcPr>
            <w:tcW w:w="2055" w:type="dxa"/>
            <w:tcBorders>
              <w:top w:val="nil"/>
              <w:left w:val="nil"/>
              <w:bottom w:val="nil"/>
              <w:right w:val="nil"/>
            </w:tcBorders>
            <w:hideMark/>
          </w:tcPr>
          <w:p w14:paraId="13CB843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Empowerment </w:t>
            </w:r>
          </w:p>
        </w:tc>
        <w:tc>
          <w:tcPr>
            <w:tcW w:w="7155" w:type="dxa"/>
            <w:tcBorders>
              <w:top w:val="nil"/>
              <w:left w:val="nil"/>
              <w:bottom w:val="nil"/>
              <w:right w:val="nil"/>
            </w:tcBorders>
            <w:hideMark/>
          </w:tcPr>
          <w:p w14:paraId="019CAE7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process by which people gain control over the factors and decisions that shape their lives. It is the process by which they increase their assets and attributes and build capacities to gain access, partners, networks and/or a voice, </w:t>
            </w:r>
            <w:proofErr w:type="gramStart"/>
            <w:r w:rsidRPr="00E822AE">
              <w:rPr>
                <w:sz w:val="20"/>
                <w:szCs w:val="20"/>
                <w:lang w:val="en-CA"/>
              </w:rPr>
              <w:t>in order to</w:t>
            </w:r>
            <w:proofErr w:type="gramEnd"/>
            <w:r w:rsidRPr="00E822AE">
              <w:rPr>
                <w:sz w:val="20"/>
                <w:szCs w:val="20"/>
                <w:lang w:val="en-CA"/>
              </w:rPr>
              <w:t xml:space="preserve"> gain control. (</w:t>
            </w:r>
            <w:hyperlink r:id="rId589" w:tgtFrame="_blank" w:history="1">
              <w:r w:rsidRPr="00E822AE">
                <w:rPr>
                  <w:rStyle w:val="Hyperlink"/>
                  <w:sz w:val="20"/>
                  <w:szCs w:val="20"/>
                  <w:lang w:val="en-CA"/>
                </w:rPr>
                <w:t>IPBES</w:t>
              </w:r>
            </w:hyperlink>
            <w:r w:rsidRPr="00E822AE">
              <w:rPr>
                <w:sz w:val="20"/>
                <w:szCs w:val="20"/>
                <w:lang w:val="en-CA"/>
              </w:rPr>
              <w:t>, 2019) </w:t>
            </w:r>
          </w:p>
        </w:tc>
      </w:tr>
      <w:tr w:rsidR="00C37DA1" w:rsidRPr="00E822AE" w14:paraId="04788D52" w14:textId="77777777">
        <w:trPr>
          <w:trHeight w:val="1367"/>
        </w:trPr>
        <w:tc>
          <w:tcPr>
            <w:tcW w:w="2055" w:type="dxa"/>
            <w:tcBorders>
              <w:top w:val="nil"/>
              <w:left w:val="nil"/>
              <w:bottom w:val="nil"/>
              <w:right w:val="nil"/>
            </w:tcBorders>
            <w:hideMark/>
          </w:tcPr>
          <w:p w14:paraId="68E5DF6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Enhancement [of biodiversity and nature’s contribution to people] </w:t>
            </w:r>
          </w:p>
        </w:tc>
        <w:tc>
          <w:tcPr>
            <w:tcW w:w="7155" w:type="dxa"/>
            <w:tcBorders>
              <w:top w:val="nil"/>
              <w:left w:val="nil"/>
              <w:bottom w:val="nil"/>
              <w:right w:val="nil"/>
            </w:tcBorders>
            <w:hideMark/>
          </w:tcPr>
          <w:p w14:paraId="55B7BA72"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To improve the quality and quantity of biodiversity and nature’s contribution to people. </w:t>
            </w:r>
          </w:p>
        </w:tc>
      </w:tr>
      <w:tr w:rsidR="00C37DA1" w:rsidRPr="00E822AE" w14:paraId="3913FA84" w14:textId="77777777">
        <w:trPr>
          <w:trHeight w:val="2250"/>
        </w:trPr>
        <w:tc>
          <w:tcPr>
            <w:tcW w:w="2055" w:type="dxa"/>
            <w:tcBorders>
              <w:top w:val="nil"/>
              <w:left w:val="nil"/>
              <w:bottom w:val="nil"/>
              <w:right w:val="nil"/>
            </w:tcBorders>
            <w:hideMark/>
          </w:tcPr>
          <w:p w14:paraId="1FD2377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Environmental economic accounting </w:t>
            </w:r>
          </w:p>
        </w:tc>
        <w:tc>
          <w:tcPr>
            <w:tcW w:w="7155" w:type="dxa"/>
            <w:tcBorders>
              <w:top w:val="nil"/>
              <w:left w:val="nil"/>
              <w:bottom w:val="nil"/>
              <w:right w:val="nil"/>
            </w:tcBorders>
            <w:hideMark/>
          </w:tcPr>
          <w:p w14:paraId="5EA69E4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Environmental-economic accounts are integrated statistics that illuminate the relationship between the environment and the economy, both the impacts of the economy on the environment and the contribution of the environment to the economy. Environmental-economic accounts can provide information about the extraction of natural resources, their use within the economy, natural resource stock levels, the changes in those stocks during a specific period and economic activity related to the environment. Environmental-economic accounts present this information in physical and monetary terms, as appropriate. (</w:t>
            </w:r>
            <w:hyperlink r:id="rId590"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5F6E5076" w14:textId="77777777">
        <w:trPr>
          <w:trHeight w:val="1005"/>
        </w:trPr>
        <w:tc>
          <w:tcPr>
            <w:tcW w:w="2055" w:type="dxa"/>
            <w:tcBorders>
              <w:top w:val="nil"/>
              <w:left w:val="nil"/>
              <w:bottom w:val="nil"/>
              <w:right w:val="nil"/>
            </w:tcBorders>
            <w:hideMark/>
          </w:tcPr>
          <w:p w14:paraId="4E7E6E2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Environmental human rights defenders </w:t>
            </w:r>
          </w:p>
        </w:tc>
        <w:tc>
          <w:tcPr>
            <w:tcW w:w="7155" w:type="dxa"/>
            <w:tcBorders>
              <w:top w:val="nil"/>
              <w:left w:val="nil"/>
              <w:bottom w:val="nil"/>
              <w:right w:val="nil"/>
            </w:tcBorders>
            <w:hideMark/>
          </w:tcPr>
          <w:p w14:paraId="63556E1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Individuals and groups who, in their personal or professional capacity and in a peaceful manner, strive to protect and promote human rights relating to the environment, including water, air, land, flora and fauna (UNEP) </w:t>
            </w:r>
          </w:p>
        </w:tc>
      </w:tr>
      <w:tr w:rsidR="00C37DA1" w:rsidRPr="00E822AE" w14:paraId="6E7AA1F4" w14:textId="77777777">
        <w:trPr>
          <w:trHeight w:val="1260"/>
        </w:trPr>
        <w:tc>
          <w:tcPr>
            <w:tcW w:w="2055" w:type="dxa"/>
            <w:tcBorders>
              <w:top w:val="nil"/>
              <w:left w:val="nil"/>
              <w:bottom w:val="nil"/>
              <w:right w:val="nil"/>
            </w:tcBorders>
            <w:hideMark/>
          </w:tcPr>
          <w:p w14:paraId="2611975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Environmental impact assessment </w:t>
            </w:r>
          </w:p>
        </w:tc>
        <w:tc>
          <w:tcPr>
            <w:tcW w:w="7155" w:type="dxa"/>
            <w:tcBorders>
              <w:top w:val="nil"/>
              <w:left w:val="nil"/>
              <w:bottom w:val="nil"/>
              <w:right w:val="nil"/>
            </w:tcBorders>
            <w:hideMark/>
          </w:tcPr>
          <w:p w14:paraId="0BE86BC2"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Environmental impact assessment is a process of evaluating the likely environmental impacts of a proposed project or development, </w:t>
            </w:r>
            <w:proofErr w:type="gramStart"/>
            <w:r w:rsidRPr="00E822AE">
              <w:rPr>
                <w:sz w:val="20"/>
                <w:szCs w:val="20"/>
                <w:lang w:val="en-CA"/>
              </w:rPr>
              <w:t>taking into account</w:t>
            </w:r>
            <w:proofErr w:type="gramEnd"/>
            <w:r w:rsidRPr="00E822AE">
              <w:rPr>
                <w:sz w:val="20"/>
                <w:szCs w:val="20"/>
                <w:lang w:val="en-CA"/>
              </w:rPr>
              <w:t xml:space="preserve"> interrelated socioeconomic, cultural and human-health impacts, both beneficial and adverse. (CBD/COP/DEC/6/7) </w:t>
            </w:r>
          </w:p>
        </w:tc>
      </w:tr>
      <w:tr w:rsidR="00C37DA1" w:rsidRPr="00E822AE" w14:paraId="30A64C13" w14:textId="77777777">
        <w:trPr>
          <w:trHeight w:val="1170"/>
        </w:trPr>
        <w:tc>
          <w:tcPr>
            <w:tcW w:w="2055" w:type="dxa"/>
            <w:tcBorders>
              <w:top w:val="nil"/>
              <w:left w:val="nil"/>
              <w:bottom w:val="nil"/>
              <w:right w:val="nil"/>
            </w:tcBorders>
            <w:hideMark/>
          </w:tcPr>
          <w:p w14:paraId="71A3FB7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Environmentally harmful subsidies </w:t>
            </w:r>
          </w:p>
        </w:tc>
        <w:tc>
          <w:tcPr>
            <w:tcW w:w="7155" w:type="dxa"/>
            <w:tcBorders>
              <w:top w:val="nil"/>
              <w:left w:val="nil"/>
              <w:bottom w:val="nil"/>
              <w:right w:val="nil"/>
            </w:tcBorders>
            <w:hideMark/>
          </w:tcPr>
          <w:p w14:paraId="3AF3A8F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All kinds of financial support and regulations that are put into place to enhance the competitiveness of certain products, processes or regions, and that, together with the prevailing taxation regime, (unintentionally) discriminate against sound environmental practices. (OECD) </w:t>
            </w:r>
          </w:p>
        </w:tc>
      </w:tr>
      <w:tr w:rsidR="00C37DA1" w:rsidRPr="00E822AE" w14:paraId="13E75CEA" w14:textId="77777777">
        <w:trPr>
          <w:trHeight w:val="1236"/>
        </w:trPr>
        <w:tc>
          <w:tcPr>
            <w:tcW w:w="2055" w:type="dxa"/>
            <w:tcBorders>
              <w:top w:val="nil"/>
              <w:left w:val="nil"/>
              <w:bottom w:val="nil"/>
              <w:right w:val="nil"/>
            </w:tcBorders>
            <w:hideMark/>
          </w:tcPr>
          <w:p w14:paraId="76C132C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Equal opportunity and capacity to contribute </w:t>
            </w:r>
          </w:p>
        </w:tc>
        <w:tc>
          <w:tcPr>
            <w:tcW w:w="7155" w:type="dxa"/>
            <w:tcBorders>
              <w:top w:val="nil"/>
              <w:left w:val="nil"/>
              <w:bottom w:val="nil"/>
              <w:right w:val="nil"/>
            </w:tcBorders>
            <w:hideMark/>
          </w:tcPr>
          <w:p w14:paraId="6CC670E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Can effectively and fully participate in the achievement of the Convention’s goals without any discrimination, exclusion or restriction made </w:t>
            </w:r>
            <w:proofErr w:type="gramStart"/>
            <w:r w:rsidRPr="00E822AE">
              <w:rPr>
                <w:sz w:val="20"/>
                <w:szCs w:val="20"/>
                <w:lang w:val="en-CA"/>
              </w:rPr>
              <w:t>on the basis of</w:t>
            </w:r>
            <w:proofErr w:type="gramEnd"/>
            <w:r w:rsidRPr="00E822AE">
              <w:rPr>
                <w:sz w:val="20"/>
                <w:szCs w:val="20"/>
                <w:lang w:val="en-CA"/>
              </w:rPr>
              <w:t xml:space="preserve"> sex, respecting the rules set out in the Convention on the Elimination of All Forms of Discrimination Against Women. (Adapted from </w:t>
            </w:r>
            <w:hyperlink r:id="rId591" w:tgtFrame="_blank" w:history="1">
              <w:r w:rsidRPr="00E822AE">
                <w:rPr>
                  <w:rStyle w:val="Hyperlink"/>
                  <w:sz w:val="20"/>
                  <w:szCs w:val="20"/>
                  <w:lang w:val="en-CA"/>
                </w:rPr>
                <w:t>UN ESA</w:t>
              </w:r>
            </w:hyperlink>
            <w:r w:rsidRPr="00E822AE">
              <w:rPr>
                <w:sz w:val="20"/>
                <w:szCs w:val="20"/>
                <w:lang w:val="en-CA"/>
              </w:rPr>
              <w:t xml:space="preserve"> and </w:t>
            </w:r>
            <w:hyperlink r:id="rId592" w:tgtFrame="_blank" w:history="1">
              <w:r w:rsidRPr="00E822AE">
                <w:rPr>
                  <w:rStyle w:val="Hyperlink"/>
                  <w:sz w:val="20"/>
                  <w:szCs w:val="20"/>
                  <w:lang w:val="en-CA"/>
                </w:rPr>
                <w:t>UN Women</w:t>
              </w:r>
            </w:hyperlink>
            <w:r w:rsidRPr="00E822AE">
              <w:rPr>
                <w:sz w:val="20"/>
                <w:szCs w:val="20"/>
                <w:lang w:val="en-CA"/>
              </w:rPr>
              <w:t>) </w:t>
            </w:r>
          </w:p>
        </w:tc>
      </w:tr>
      <w:tr w:rsidR="00C37DA1" w:rsidRPr="00E822AE" w14:paraId="7BDCA0E4" w14:textId="77777777">
        <w:trPr>
          <w:trHeight w:val="1350"/>
        </w:trPr>
        <w:tc>
          <w:tcPr>
            <w:tcW w:w="2055" w:type="dxa"/>
            <w:tcBorders>
              <w:top w:val="nil"/>
              <w:left w:val="nil"/>
              <w:bottom w:val="nil"/>
              <w:right w:val="nil"/>
            </w:tcBorders>
            <w:hideMark/>
          </w:tcPr>
          <w:p w14:paraId="2DE439A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Equal opportunity, capacity and rights </w:t>
            </w:r>
          </w:p>
        </w:tc>
        <w:tc>
          <w:tcPr>
            <w:tcW w:w="7155" w:type="dxa"/>
            <w:tcBorders>
              <w:top w:val="nil"/>
              <w:left w:val="nil"/>
              <w:bottom w:val="nil"/>
              <w:right w:val="nil"/>
            </w:tcBorders>
            <w:hideMark/>
          </w:tcPr>
          <w:p w14:paraId="278386F1"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Equality refers to the idea that everyone, regardless of their gender, should have the same rights, opportunities and access to resources, including land and natural resources. Discrimination and biases that may prevent individuals from achieving their full potential due to their gender or other characteristics need to be eliminated. </w:t>
            </w:r>
          </w:p>
        </w:tc>
      </w:tr>
      <w:tr w:rsidR="00C37DA1" w:rsidRPr="00E822AE" w14:paraId="5E418A21" w14:textId="77777777">
        <w:trPr>
          <w:trHeight w:val="2460"/>
        </w:trPr>
        <w:tc>
          <w:tcPr>
            <w:tcW w:w="2055" w:type="dxa"/>
            <w:tcBorders>
              <w:top w:val="nil"/>
              <w:left w:val="nil"/>
              <w:bottom w:val="nil"/>
              <w:right w:val="nil"/>
            </w:tcBorders>
            <w:hideMark/>
          </w:tcPr>
          <w:p w14:paraId="5A1546C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Equal rights and access to land and natural resources [for women] </w:t>
            </w:r>
          </w:p>
        </w:tc>
        <w:tc>
          <w:tcPr>
            <w:tcW w:w="7155" w:type="dxa"/>
            <w:tcBorders>
              <w:top w:val="nil"/>
              <w:left w:val="nil"/>
              <w:bottom w:val="nil"/>
              <w:right w:val="nil"/>
            </w:tcBorders>
            <w:hideMark/>
          </w:tcPr>
          <w:p w14:paraId="7D486B1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 the context of the Framework, this relates to rights of women in relation to land and natural resources. Women are often the primary stewards of biodiversity, and when women have secure land tenure, they are more likely to engage in sustainable land use practices that conserve biodiversity and protect ecosystems. Women who own and control land are also better able to provide for their families, secure their livelihoods and invest in their communities, leading to improved health and education outcomes. Achieving equal rights may require changes to laws and policies and cultural norms, including those related to rules around land registration and ownership, and practices. </w:t>
            </w:r>
          </w:p>
        </w:tc>
      </w:tr>
      <w:tr w:rsidR="00C37DA1" w:rsidRPr="00E822AE" w14:paraId="38A5E844" w14:textId="77777777">
        <w:trPr>
          <w:trHeight w:val="1577"/>
        </w:trPr>
        <w:tc>
          <w:tcPr>
            <w:tcW w:w="2055" w:type="dxa"/>
            <w:tcBorders>
              <w:top w:val="nil"/>
              <w:left w:val="nil"/>
              <w:bottom w:val="nil"/>
              <w:right w:val="nil"/>
            </w:tcBorders>
            <w:hideMark/>
          </w:tcPr>
          <w:p w14:paraId="135CEB2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Eradicate </w:t>
            </w:r>
          </w:p>
        </w:tc>
        <w:tc>
          <w:tcPr>
            <w:tcW w:w="7155" w:type="dxa"/>
            <w:tcBorders>
              <w:top w:val="nil"/>
              <w:left w:val="nil"/>
              <w:bottom w:val="nil"/>
              <w:right w:val="nil"/>
            </w:tcBorders>
            <w:hideMark/>
          </w:tcPr>
          <w:p w14:paraId="6EB5345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Eliminate/extirpate an invasive alien species from a defined geographic area even in the absence of all preventive measures obviating the necessity for further control measures (Dowdle, 1998). The </w:t>
            </w:r>
            <w:proofErr w:type="gramStart"/>
            <w:r w:rsidRPr="00E822AE">
              <w:rPr>
                <w:sz w:val="20"/>
                <w:szCs w:val="20"/>
                <w:lang w:val="en-CA"/>
              </w:rPr>
              <w:t>time period</w:t>
            </w:r>
            <w:proofErr w:type="gramEnd"/>
            <w:r w:rsidRPr="00E822AE">
              <w:rPr>
                <w:sz w:val="20"/>
                <w:szCs w:val="20"/>
                <w:lang w:val="en-CA"/>
              </w:rPr>
              <w:t xml:space="preserve"> after which an invasive alien species can be considered eradicated depends on the species and location. (</w:t>
            </w:r>
            <w:hyperlink r:id="rId593" w:tgtFrame="_blank" w:history="1">
              <w:r w:rsidRPr="00E822AE">
                <w:rPr>
                  <w:rStyle w:val="Hyperlink"/>
                  <w:sz w:val="20"/>
                  <w:szCs w:val="20"/>
                  <w:lang w:val="en-CA"/>
                </w:rPr>
                <w:t>IPBES</w:t>
              </w:r>
            </w:hyperlink>
            <w:r w:rsidRPr="00E822AE">
              <w:rPr>
                <w:sz w:val="20"/>
                <w:szCs w:val="20"/>
                <w:lang w:val="en-CA"/>
              </w:rPr>
              <w:t>, 2023) </w:t>
            </w:r>
          </w:p>
        </w:tc>
      </w:tr>
      <w:tr w:rsidR="00C37DA1" w:rsidRPr="00E822AE" w14:paraId="4308D387" w14:textId="77777777">
        <w:trPr>
          <w:trHeight w:val="873"/>
        </w:trPr>
        <w:tc>
          <w:tcPr>
            <w:tcW w:w="2055" w:type="dxa"/>
            <w:tcBorders>
              <w:top w:val="nil"/>
              <w:left w:val="nil"/>
              <w:bottom w:val="nil"/>
              <w:right w:val="nil"/>
            </w:tcBorders>
            <w:hideMark/>
          </w:tcPr>
          <w:p w14:paraId="4FCC398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Establishment of invasive alien species </w:t>
            </w:r>
          </w:p>
        </w:tc>
        <w:tc>
          <w:tcPr>
            <w:tcW w:w="7155" w:type="dxa"/>
            <w:tcBorders>
              <w:top w:val="nil"/>
              <w:left w:val="nil"/>
              <w:bottom w:val="nil"/>
              <w:right w:val="nil"/>
            </w:tcBorders>
            <w:hideMark/>
          </w:tcPr>
          <w:p w14:paraId="68C75B5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Production of a viable, self-sustaining population. (</w:t>
            </w:r>
            <w:hyperlink r:id="rId594" w:tgtFrame="_blank" w:history="1">
              <w:r w:rsidRPr="00E822AE">
                <w:rPr>
                  <w:rStyle w:val="Hyperlink"/>
                  <w:sz w:val="20"/>
                  <w:szCs w:val="20"/>
                  <w:lang w:val="en-CA"/>
                </w:rPr>
                <w:t>IPBES</w:t>
              </w:r>
            </w:hyperlink>
            <w:r w:rsidRPr="00E822AE">
              <w:rPr>
                <w:sz w:val="20"/>
                <w:szCs w:val="20"/>
                <w:lang w:val="en-CA"/>
              </w:rPr>
              <w:t>, 2023) </w:t>
            </w:r>
          </w:p>
        </w:tc>
      </w:tr>
      <w:tr w:rsidR="00C37DA1" w:rsidRPr="00E822AE" w14:paraId="3A3128F0" w14:textId="77777777">
        <w:trPr>
          <w:trHeight w:val="1545"/>
        </w:trPr>
        <w:tc>
          <w:tcPr>
            <w:tcW w:w="2055" w:type="dxa"/>
            <w:tcBorders>
              <w:top w:val="nil"/>
              <w:left w:val="nil"/>
              <w:bottom w:val="nil"/>
              <w:right w:val="nil"/>
            </w:tcBorders>
            <w:hideMark/>
          </w:tcPr>
          <w:p w14:paraId="44A7CC9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Eutrophication </w:t>
            </w:r>
          </w:p>
        </w:tc>
        <w:tc>
          <w:tcPr>
            <w:tcW w:w="7155" w:type="dxa"/>
            <w:tcBorders>
              <w:top w:val="nil"/>
              <w:left w:val="nil"/>
              <w:bottom w:val="nil"/>
              <w:right w:val="nil"/>
            </w:tcBorders>
            <w:hideMark/>
          </w:tcPr>
          <w:p w14:paraId="7460A1E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Nutrient enrichment of an ecosystem, generally resulting in increased primary production and reduced biodiversity. In lakes, eutrophication leads to seasonal algal blooms, reduced water clarity, and, often, periodic fish mortality </w:t>
            </w:r>
            <w:proofErr w:type="gramStart"/>
            <w:r w:rsidRPr="00E822AE">
              <w:rPr>
                <w:sz w:val="20"/>
                <w:szCs w:val="20"/>
                <w:lang w:val="en-CA"/>
              </w:rPr>
              <w:t>as a consequence of</w:t>
            </w:r>
            <w:proofErr w:type="gramEnd"/>
            <w:r w:rsidRPr="00E822AE">
              <w:rPr>
                <w:sz w:val="20"/>
                <w:szCs w:val="20"/>
                <w:lang w:val="en-CA"/>
              </w:rPr>
              <w:t xml:space="preserve"> oxygen depletion. The term is most closely associated with aquatic ecosystems but is sometimes applied more broadly. (</w:t>
            </w:r>
            <w:hyperlink r:id="rId595" w:tgtFrame="_blank" w:history="1">
              <w:r w:rsidRPr="00E822AE">
                <w:rPr>
                  <w:rStyle w:val="Hyperlink"/>
                  <w:sz w:val="20"/>
                  <w:szCs w:val="20"/>
                  <w:lang w:val="en-CA"/>
                </w:rPr>
                <w:t>IPBES</w:t>
              </w:r>
            </w:hyperlink>
            <w:r w:rsidRPr="00E822AE">
              <w:rPr>
                <w:sz w:val="20"/>
                <w:szCs w:val="20"/>
                <w:lang w:val="en-CA"/>
              </w:rPr>
              <w:t>, 2019) </w:t>
            </w:r>
          </w:p>
        </w:tc>
      </w:tr>
      <w:tr w:rsidR="00C37DA1" w:rsidRPr="00E822AE" w14:paraId="414F255E" w14:textId="77777777">
        <w:trPr>
          <w:trHeight w:val="1695"/>
        </w:trPr>
        <w:tc>
          <w:tcPr>
            <w:tcW w:w="2055" w:type="dxa"/>
            <w:tcBorders>
              <w:top w:val="nil"/>
              <w:left w:val="nil"/>
              <w:bottom w:val="nil"/>
              <w:right w:val="nil"/>
            </w:tcBorders>
            <w:hideMark/>
          </w:tcPr>
          <w:p w14:paraId="0AFC543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Ex situ conservation </w:t>
            </w:r>
          </w:p>
        </w:tc>
        <w:tc>
          <w:tcPr>
            <w:tcW w:w="7155" w:type="dxa"/>
            <w:tcBorders>
              <w:top w:val="nil"/>
              <w:left w:val="nil"/>
              <w:bottom w:val="nil"/>
              <w:right w:val="nil"/>
            </w:tcBorders>
            <w:hideMark/>
          </w:tcPr>
          <w:p w14:paraId="0D383B7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Conservation actions implemented in captive breeding/propagation facilities (from which individuals can be reintroduced back into native ranges), i.e. in conditions under which individuals are spatially restricted with respect to their natural spatial patterns or those of their progeny, are removed from many of their natural ecological processes, and are managed on some level by humans. (McGowan et al. 2024) </w:t>
            </w:r>
          </w:p>
        </w:tc>
      </w:tr>
      <w:tr w:rsidR="00C37DA1" w:rsidRPr="00E822AE" w14:paraId="0A8CCA7A" w14:textId="77777777">
        <w:trPr>
          <w:trHeight w:val="1560"/>
        </w:trPr>
        <w:tc>
          <w:tcPr>
            <w:tcW w:w="2055" w:type="dxa"/>
            <w:tcBorders>
              <w:top w:val="nil"/>
              <w:left w:val="nil"/>
              <w:bottom w:val="nil"/>
              <w:right w:val="nil"/>
            </w:tcBorders>
            <w:hideMark/>
          </w:tcPr>
          <w:p w14:paraId="145963C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Extinction </w:t>
            </w:r>
          </w:p>
        </w:tc>
        <w:tc>
          <w:tcPr>
            <w:tcW w:w="7155" w:type="dxa"/>
            <w:tcBorders>
              <w:top w:val="nil"/>
              <w:left w:val="nil"/>
              <w:bottom w:val="nil"/>
              <w:right w:val="nil"/>
            </w:tcBorders>
            <w:hideMark/>
          </w:tcPr>
          <w:p w14:paraId="4454F6C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species is extinct when there is no reasonable doubt that the last individual has died. Detecting extinction requires exhaustive surveys in known and/or expected habitat, at appropriate times (diurnal, seasonal, annual), over a time frame appropriate to the taxon’s life cycle and life form, throughout the species' historic range. (</w:t>
            </w:r>
            <w:hyperlink r:id="rId596" w:tgtFrame="_blank" w:history="1">
              <w:r w:rsidRPr="00E822AE">
                <w:rPr>
                  <w:rStyle w:val="Hyperlink"/>
                  <w:sz w:val="20"/>
                  <w:szCs w:val="20"/>
                  <w:lang w:val="en-CA"/>
                </w:rPr>
                <w:t>IUCN</w:t>
              </w:r>
            </w:hyperlink>
            <w:r w:rsidRPr="00E822AE">
              <w:rPr>
                <w:sz w:val="20"/>
                <w:szCs w:val="20"/>
                <w:lang w:val="en-CA"/>
              </w:rPr>
              <w:t>, 2012) </w:t>
            </w:r>
          </w:p>
        </w:tc>
      </w:tr>
      <w:tr w:rsidR="00C37DA1" w:rsidRPr="00E822AE" w14:paraId="771236C3" w14:textId="77777777">
        <w:trPr>
          <w:trHeight w:val="2545"/>
        </w:trPr>
        <w:tc>
          <w:tcPr>
            <w:tcW w:w="2055" w:type="dxa"/>
            <w:tcBorders>
              <w:top w:val="nil"/>
              <w:left w:val="nil"/>
              <w:bottom w:val="nil"/>
              <w:right w:val="nil"/>
            </w:tcBorders>
            <w:hideMark/>
          </w:tcPr>
          <w:p w14:paraId="5640600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Extinction rate </w:t>
            </w:r>
          </w:p>
        </w:tc>
        <w:tc>
          <w:tcPr>
            <w:tcW w:w="7155" w:type="dxa"/>
            <w:tcBorders>
              <w:top w:val="nil"/>
              <w:left w:val="nil"/>
              <w:bottom w:val="nil"/>
              <w:right w:val="nil"/>
            </w:tcBorders>
            <w:hideMark/>
          </w:tcPr>
          <w:p w14:paraId="7EB168E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number of species going extinct expressed over a unit of time. The challenges of detecting extinctions mean that there are often time-lags before a species can be declared extinct, so extinction rates are most accurately estimated retrospectively. Moreover, absolute extinction rates are also difficult to estimate given considerable uncertainty over the total number of species on the planet. It is therefore useful to compare relative extinction rates, expressed as extinctions per million species per year (E/MSY). Mean fossil species’ lifetimes produce a background extinction rate of 0.1–1 E/MSY, while human activities have driven species extinct at a rate perhaps 1,000 times higher. (McGowan et al. 2024) </w:t>
            </w:r>
          </w:p>
        </w:tc>
      </w:tr>
      <w:tr w:rsidR="00C37DA1" w:rsidRPr="00E822AE" w14:paraId="72C1BBD1" w14:textId="77777777">
        <w:trPr>
          <w:trHeight w:val="3030"/>
        </w:trPr>
        <w:tc>
          <w:tcPr>
            <w:tcW w:w="2055" w:type="dxa"/>
            <w:tcBorders>
              <w:top w:val="nil"/>
              <w:left w:val="nil"/>
              <w:bottom w:val="nil"/>
              <w:right w:val="nil"/>
            </w:tcBorders>
            <w:hideMark/>
          </w:tcPr>
          <w:p w14:paraId="10CBD6B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Extinction risk </w:t>
            </w:r>
          </w:p>
        </w:tc>
        <w:tc>
          <w:tcPr>
            <w:tcW w:w="7155" w:type="dxa"/>
            <w:tcBorders>
              <w:top w:val="nil"/>
              <w:left w:val="nil"/>
              <w:bottom w:val="nil"/>
              <w:right w:val="nil"/>
            </w:tcBorders>
            <w:hideMark/>
          </w:tcPr>
          <w:p w14:paraId="76FA1342"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probability that a species may go extinct (q.v.). Extinction risk is extremely difficult to quantify for individual species, so the commonest approach to assessing risk is to use the categories and criteria of the IUCN Red List, which range from Least Concern to Critically Endangered and Extinct. Detecting trends in extinction risk cannot be achieved by simply comparing the proportion of species that are threatened (q.v.) or that are in different categories of risk over time, because most reclassifications result from improved knowledge. It is therefore necessary to distinguish those category changes resulting from genuine improvements or deterioration in status of species. The Red List Index (q.v.) is designed to summarise overall trends in extinction risk by doing exactly this. (McGowan et al. 2024) </w:t>
            </w:r>
          </w:p>
        </w:tc>
      </w:tr>
      <w:tr w:rsidR="00C37DA1" w:rsidRPr="00E822AE" w14:paraId="520F9D95" w14:textId="77777777">
        <w:trPr>
          <w:trHeight w:val="990"/>
        </w:trPr>
        <w:tc>
          <w:tcPr>
            <w:tcW w:w="2055" w:type="dxa"/>
            <w:tcBorders>
              <w:top w:val="nil"/>
              <w:left w:val="nil"/>
              <w:bottom w:val="nil"/>
              <w:right w:val="nil"/>
            </w:tcBorders>
            <w:hideMark/>
          </w:tcPr>
          <w:p w14:paraId="0D4F300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Financial resources </w:t>
            </w:r>
          </w:p>
        </w:tc>
        <w:tc>
          <w:tcPr>
            <w:tcW w:w="7155" w:type="dxa"/>
            <w:tcBorders>
              <w:top w:val="nil"/>
              <w:left w:val="nil"/>
              <w:bottom w:val="nil"/>
              <w:right w:val="nil"/>
            </w:tcBorders>
            <w:hideMark/>
          </w:tcPr>
          <w:p w14:paraId="31F2FE3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Money and other financial vehicles available for the purposes of the Convention. These may be from private or public funds and take any form (e.g. investment, bond, loan, grant). </w:t>
            </w:r>
          </w:p>
        </w:tc>
      </w:tr>
      <w:tr w:rsidR="00C37DA1" w:rsidRPr="00E822AE" w14:paraId="148ABD42" w14:textId="77777777">
        <w:trPr>
          <w:trHeight w:val="990"/>
        </w:trPr>
        <w:tc>
          <w:tcPr>
            <w:tcW w:w="2055" w:type="dxa"/>
            <w:tcBorders>
              <w:top w:val="nil"/>
              <w:left w:val="nil"/>
              <w:bottom w:val="nil"/>
              <w:right w:val="nil"/>
            </w:tcBorders>
            <w:hideMark/>
          </w:tcPr>
          <w:p w14:paraId="3C1D44E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Fiscal and financial flows </w:t>
            </w:r>
          </w:p>
        </w:tc>
        <w:tc>
          <w:tcPr>
            <w:tcW w:w="7155" w:type="dxa"/>
            <w:tcBorders>
              <w:top w:val="nil"/>
              <w:left w:val="nil"/>
              <w:bottom w:val="nil"/>
              <w:right w:val="nil"/>
            </w:tcBorders>
            <w:hideMark/>
          </w:tcPr>
          <w:p w14:paraId="49E941B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Financial flows consist of transactions and other flows and represent the movement of money in and out of accounts. Fiscal flows refer to transactions in and out of national treasury accounts. (Adapted from </w:t>
            </w:r>
            <w:hyperlink r:id="rId597" w:anchor=":~:text=Financial%20flows%20consist%20of%20transactions,the%20end%20of%20the%20year" w:tgtFrame="_blank" w:history="1">
              <w:r w:rsidRPr="00E822AE">
                <w:rPr>
                  <w:rStyle w:val="Hyperlink"/>
                  <w:sz w:val="20"/>
                  <w:szCs w:val="20"/>
                  <w:lang w:val="en-CA"/>
                </w:rPr>
                <w:t>Eurostat</w:t>
              </w:r>
            </w:hyperlink>
            <w:r w:rsidRPr="00E822AE">
              <w:rPr>
                <w:sz w:val="20"/>
                <w:szCs w:val="20"/>
                <w:lang w:val="en-CA"/>
              </w:rPr>
              <w:t xml:space="preserve"> and </w:t>
            </w:r>
            <w:hyperlink r:id="rId598" w:tgtFrame="_blank" w:history="1">
              <w:r w:rsidRPr="00E822AE">
                <w:rPr>
                  <w:rStyle w:val="Hyperlink"/>
                  <w:sz w:val="20"/>
                  <w:szCs w:val="20"/>
                  <w:lang w:val="en-CA"/>
                </w:rPr>
                <w:t>FDR</w:t>
              </w:r>
            </w:hyperlink>
            <w:r w:rsidRPr="00E822AE">
              <w:rPr>
                <w:sz w:val="20"/>
                <w:szCs w:val="20"/>
                <w:lang w:val="en-CA"/>
              </w:rPr>
              <w:t>) </w:t>
            </w:r>
          </w:p>
        </w:tc>
      </w:tr>
      <w:tr w:rsidR="00C37DA1" w:rsidRPr="00E822AE" w14:paraId="67A29532" w14:textId="77777777">
        <w:trPr>
          <w:trHeight w:val="2700"/>
        </w:trPr>
        <w:tc>
          <w:tcPr>
            <w:tcW w:w="2055" w:type="dxa"/>
            <w:tcBorders>
              <w:top w:val="nil"/>
              <w:left w:val="nil"/>
              <w:bottom w:val="nil"/>
              <w:right w:val="nil"/>
            </w:tcBorders>
            <w:hideMark/>
          </w:tcPr>
          <w:p w14:paraId="298B542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Flood control services </w:t>
            </w:r>
          </w:p>
        </w:tc>
        <w:tc>
          <w:tcPr>
            <w:tcW w:w="7155" w:type="dxa"/>
            <w:tcBorders>
              <w:top w:val="nil"/>
              <w:left w:val="nil"/>
              <w:bottom w:val="nil"/>
              <w:right w:val="nil"/>
            </w:tcBorders>
            <w:hideMark/>
          </w:tcPr>
          <w:p w14:paraId="612871C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Consist of coastal protection services and river flood mitigation services. Coastal protection services are the ecosystem contributions of linear elements in the seascape, for instance coral reefs, sand banks, dunes or mangrove ecosystems along the shore, in protecting the shore and thus mitigating the impacts of tidal surges or storms on local communities. River flood mitigation services are the ecosystem contributions of riparian vegetation which provides structure and a physical barrier to high water levels and thus mitigates the impacts of floods on local communities. River flood mitigation services are synchronous with peak flow mitigation services in providing the benefit of flood protection. (</w:t>
            </w:r>
            <w:hyperlink r:id="rId599"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3A828CCA" w14:textId="77777777">
        <w:trPr>
          <w:trHeight w:val="1702"/>
        </w:trPr>
        <w:tc>
          <w:tcPr>
            <w:tcW w:w="2055" w:type="dxa"/>
            <w:tcBorders>
              <w:top w:val="nil"/>
              <w:left w:val="nil"/>
              <w:bottom w:val="nil"/>
              <w:right w:val="nil"/>
            </w:tcBorders>
            <w:hideMark/>
          </w:tcPr>
          <w:p w14:paraId="6342833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Food waste </w:t>
            </w:r>
          </w:p>
        </w:tc>
        <w:tc>
          <w:tcPr>
            <w:tcW w:w="7155" w:type="dxa"/>
            <w:tcBorders>
              <w:top w:val="nil"/>
              <w:left w:val="nil"/>
              <w:bottom w:val="nil"/>
              <w:right w:val="nil"/>
            </w:tcBorders>
            <w:hideMark/>
          </w:tcPr>
          <w:p w14:paraId="09AFDB7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Food and associated inedible parts removed from the human food supply chain in the following sectors: retail and other distribution of food; food service (restaurants, schools, hospitals, other canteens, etc.); and households. “</w:t>
            </w:r>
            <w:r w:rsidRPr="00E822AE">
              <w:rPr>
                <w:i/>
                <w:iCs/>
                <w:sz w:val="20"/>
                <w:szCs w:val="20"/>
                <w:lang w:val="en-CA"/>
              </w:rPr>
              <w:t>Removed from the human food supply chain</w:t>
            </w:r>
            <w:r w:rsidRPr="00E822AE">
              <w:rPr>
                <w:sz w:val="20"/>
                <w:szCs w:val="20"/>
                <w:lang w:val="en-CA"/>
              </w:rPr>
              <w:t>” means one of the following end destinations: landfill; controlled combustion; sewer, litter/discards/refuse; co/anaerobic digestion; compost/aerobic digestion or land application. (</w:t>
            </w:r>
            <w:hyperlink r:id="rId600" w:tgtFrame="_blank" w:history="1">
              <w:r w:rsidRPr="00E822AE">
                <w:rPr>
                  <w:rStyle w:val="Hyperlink"/>
                  <w:sz w:val="20"/>
                  <w:szCs w:val="20"/>
                  <w:lang w:val="en-CA"/>
                </w:rPr>
                <w:t>UN Stats</w:t>
              </w:r>
            </w:hyperlink>
            <w:r w:rsidRPr="00E822AE">
              <w:rPr>
                <w:sz w:val="20"/>
                <w:szCs w:val="20"/>
                <w:lang w:val="en-CA"/>
              </w:rPr>
              <w:t>) </w:t>
            </w:r>
          </w:p>
        </w:tc>
      </w:tr>
      <w:tr w:rsidR="00C37DA1" w:rsidRPr="00E822AE" w14:paraId="08C44236" w14:textId="77777777">
        <w:trPr>
          <w:trHeight w:val="1545"/>
        </w:trPr>
        <w:tc>
          <w:tcPr>
            <w:tcW w:w="2055" w:type="dxa"/>
            <w:tcBorders>
              <w:top w:val="nil"/>
              <w:left w:val="nil"/>
              <w:bottom w:val="nil"/>
              <w:right w:val="nil"/>
            </w:tcBorders>
            <w:hideMark/>
          </w:tcPr>
          <w:p w14:paraId="3D5FFC3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Forest </w:t>
            </w:r>
          </w:p>
        </w:tc>
        <w:tc>
          <w:tcPr>
            <w:tcW w:w="7155" w:type="dxa"/>
            <w:tcBorders>
              <w:top w:val="nil"/>
              <w:left w:val="nil"/>
              <w:bottom w:val="nil"/>
              <w:right w:val="nil"/>
            </w:tcBorders>
            <w:hideMark/>
          </w:tcPr>
          <w:p w14:paraId="265AE9B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Land spanning more than 0.5 hectares with trees higher than 5 meters and a canopy cover of more than 10 percent, or trees able to reach these thresholds in situ. It does not include land that is predominantly under agricultural or urban land use. Forest is determined both by the presence of trees and the absence of other predominant land uses. (</w:t>
            </w:r>
            <w:hyperlink r:id="rId601" w:tgtFrame="_blank" w:history="1">
              <w:r w:rsidRPr="00E822AE">
                <w:rPr>
                  <w:rStyle w:val="Hyperlink"/>
                  <w:sz w:val="20"/>
                  <w:szCs w:val="20"/>
                  <w:lang w:val="en-CA"/>
                </w:rPr>
                <w:t>FAO</w:t>
              </w:r>
            </w:hyperlink>
            <w:r w:rsidRPr="00E822AE">
              <w:rPr>
                <w:sz w:val="20"/>
                <w:szCs w:val="20"/>
                <w:lang w:val="en-CA"/>
              </w:rPr>
              <w:t>, 2020) </w:t>
            </w:r>
          </w:p>
        </w:tc>
      </w:tr>
      <w:tr w:rsidR="00C37DA1" w:rsidRPr="00E822AE" w14:paraId="12A4CA90" w14:textId="77777777">
        <w:trPr>
          <w:trHeight w:val="712"/>
        </w:trPr>
        <w:tc>
          <w:tcPr>
            <w:tcW w:w="2055" w:type="dxa"/>
            <w:tcBorders>
              <w:top w:val="nil"/>
              <w:left w:val="nil"/>
              <w:bottom w:val="nil"/>
              <w:right w:val="nil"/>
            </w:tcBorders>
            <w:hideMark/>
          </w:tcPr>
          <w:p w14:paraId="6C2CBE5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Forest area with management plan </w:t>
            </w:r>
          </w:p>
        </w:tc>
        <w:tc>
          <w:tcPr>
            <w:tcW w:w="7155" w:type="dxa"/>
            <w:tcBorders>
              <w:top w:val="nil"/>
              <w:left w:val="nil"/>
              <w:bottom w:val="nil"/>
              <w:right w:val="nil"/>
            </w:tcBorders>
            <w:hideMark/>
          </w:tcPr>
          <w:p w14:paraId="0B8F470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Forest area that has a long-term documented management plan, aiming at defined management goals, which is periodically revised. (</w:t>
            </w:r>
            <w:hyperlink r:id="rId602" w:tgtFrame="_blank" w:history="1">
              <w:r w:rsidRPr="00E822AE">
                <w:rPr>
                  <w:rStyle w:val="Hyperlink"/>
                  <w:sz w:val="20"/>
                  <w:szCs w:val="20"/>
                  <w:lang w:val="en-CA"/>
                </w:rPr>
                <w:t>FAO</w:t>
              </w:r>
            </w:hyperlink>
            <w:r w:rsidRPr="00E822AE">
              <w:rPr>
                <w:sz w:val="20"/>
                <w:szCs w:val="20"/>
                <w:lang w:val="en-CA"/>
              </w:rPr>
              <w:t>, 2020) </w:t>
            </w:r>
          </w:p>
        </w:tc>
      </w:tr>
      <w:tr w:rsidR="00C37DA1" w:rsidRPr="00E822AE" w14:paraId="7DE886A4" w14:textId="77777777">
        <w:trPr>
          <w:trHeight w:val="5295"/>
        </w:trPr>
        <w:tc>
          <w:tcPr>
            <w:tcW w:w="2055" w:type="dxa"/>
            <w:tcBorders>
              <w:top w:val="nil"/>
              <w:left w:val="nil"/>
              <w:bottom w:val="nil"/>
              <w:right w:val="nil"/>
            </w:tcBorders>
            <w:hideMark/>
          </w:tcPr>
          <w:p w14:paraId="56FBA2D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Free, prior and informed consent </w:t>
            </w:r>
          </w:p>
        </w:tc>
        <w:tc>
          <w:tcPr>
            <w:tcW w:w="7155" w:type="dxa"/>
            <w:tcBorders>
              <w:top w:val="nil"/>
              <w:left w:val="nil"/>
              <w:bottom w:val="nil"/>
              <w:right w:val="nil"/>
            </w:tcBorders>
            <w:hideMark/>
          </w:tcPr>
          <w:p w14:paraId="0EA2281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Free implies that indigenous peoples and local communities are not pressured, intimidated, manipulated or unduly influenced and that their consent is given, without coercion; Prior implies seeking consent or approval sufficiently in advance of any authorization to access traditional knowledge respecting the customary decision-making processes in accordance with national legislation and time requirements of indigenous peoples and local communities; Informed implies that information is provided that covers relevant aspects, such as: the intended purpose of the access; its duration and scope; a preliminary assessment of the likely economic, social, cultural and environmental impacts, including potential risks; personnel likely to be involved in the execution of the access; procedures the access may entail and benefit- sharing arrangements; Consent or approval is the agreement of the indigenous peoples and local communities who are holders of traditional knowledge or the competent authorities of those indigenous peoples and local communities, as appropriate, to grant access to their traditional knowledge to a potential user and includes the right not to grant consent or approval; Involvement refers to the full and effective participation of indigenous peoples and local communities, in decision-making processes related to access to their traditional knowledge. Consultation and full and effective participation of indigenous peoples and local communities are crucial components of a consent or approval process. (CBD, CBD/COP/DEC/14/13) </w:t>
            </w:r>
          </w:p>
        </w:tc>
      </w:tr>
      <w:tr w:rsidR="00C37DA1" w:rsidRPr="00E822AE" w14:paraId="19310E96" w14:textId="77777777">
        <w:trPr>
          <w:trHeight w:val="3544"/>
        </w:trPr>
        <w:tc>
          <w:tcPr>
            <w:tcW w:w="2055" w:type="dxa"/>
            <w:tcBorders>
              <w:top w:val="nil"/>
              <w:left w:val="nil"/>
              <w:bottom w:val="nil"/>
              <w:right w:val="nil"/>
            </w:tcBorders>
            <w:hideMark/>
          </w:tcPr>
          <w:p w14:paraId="5C8239B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Full equitable meaningful and information participation and leadership </w:t>
            </w:r>
          </w:p>
        </w:tc>
        <w:tc>
          <w:tcPr>
            <w:tcW w:w="7155" w:type="dxa"/>
            <w:tcBorders>
              <w:top w:val="nil"/>
              <w:left w:val="nil"/>
              <w:bottom w:val="nil"/>
              <w:right w:val="nil"/>
            </w:tcBorders>
            <w:hideMark/>
          </w:tcPr>
          <w:p w14:paraId="0AEBF56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Complete, not missing anything. Fair and impartial. Considered with equal weight and given significant meaning and importance. Informed implies that information is provided that covers relevant aspects of the action, engagement, policy and decision-making under consideration, such as: its intended purpose; its duration and scope; a preliminary assessment of its likely economic, social, cultural and environmental impacts, including potential risks; personnel likely to be involved in its execution and procedures it may entail. Participation is understood as the act of engaging in society's activities. It refers to the possibility to influence decisions and have access to decision-making processes. Social participation creates mutual trust among individuals, which forms the basis for shared responsibilities towards the community and society. The position of being a leader and the action of leading a group of people or an organisation. Leadership implies decision-making authority and recognition of this authority by others. </w:t>
            </w:r>
          </w:p>
        </w:tc>
      </w:tr>
      <w:tr w:rsidR="00C37DA1" w:rsidRPr="00E822AE" w14:paraId="23AE58A3" w14:textId="77777777">
        <w:trPr>
          <w:trHeight w:val="2269"/>
        </w:trPr>
        <w:tc>
          <w:tcPr>
            <w:tcW w:w="2055" w:type="dxa"/>
            <w:tcBorders>
              <w:top w:val="nil"/>
              <w:left w:val="nil"/>
              <w:bottom w:val="nil"/>
              <w:right w:val="nil"/>
            </w:tcBorders>
            <w:hideMark/>
          </w:tcPr>
          <w:p w14:paraId="0A09588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Full protection of human rights defenders </w:t>
            </w:r>
          </w:p>
        </w:tc>
        <w:tc>
          <w:tcPr>
            <w:tcW w:w="7155" w:type="dxa"/>
            <w:tcBorders>
              <w:top w:val="nil"/>
              <w:left w:val="nil"/>
              <w:bottom w:val="nil"/>
              <w:right w:val="nil"/>
            </w:tcBorders>
            <w:hideMark/>
          </w:tcPr>
          <w:p w14:paraId="2394EF5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This refers to measures that can be taken to safeguard individuals or groups who work to protect the environment, advocate for environmental justice, and defend the rights of indigenous peoples and local communities. Key aspects of protecting environmental human rights defenders could include but are not limited </w:t>
            </w:r>
            <w:proofErr w:type="gramStart"/>
            <w:r w:rsidRPr="00E822AE">
              <w:rPr>
                <w:sz w:val="20"/>
                <w:szCs w:val="20"/>
                <w:lang w:val="en-CA"/>
              </w:rPr>
              <w:t>to:</w:t>
            </w:r>
            <w:proofErr w:type="gramEnd"/>
            <w:r w:rsidRPr="00E822AE">
              <w:rPr>
                <w:sz w:val="20"/>
                <w:szCs w:val="20"/>
                <w:lang w:val="en-CA"/>
              </w:rPr>
              <w:t xml:space="preserve"> preventing violence and intimidation by providing legal protection, effective remedies and secure exercise of their rights free from reprisals and </w:t>
            </w:r>
            <w:proofErr w:type="gramStart"/>
            <w:r w:rsidRPr="00E822AE">
              <w:rPr>
                <w:sz w:val="20"/>
                <w:szCs w:val="20"/>
                <w:lang w:val="en-CA"/>
              </w:rPr>
              <w:t>retaliation, and</w:t>
            </w:r>
            <w:proofErr w:type="gramEnd"/>
            <w:r w:rsidRPr="00E822AE">
              <w:rPr>
                <w:sz w:val="20"/>
                <w:szCs w:val="20"/>
                <w:lang w:val="en-CA"/>
              </w:rPr>
              <w:t xml:space="preserve"> raising awareness about the important role of environmental human rights defenders. </w:t>
            </w:r>
          </w:p>
        </w:tc>
      </w:tr>
      <w:tr w:rsidR="00C37DA1" w:rsidRPr="00E822AE" w14:paraId="1DDD9E0A" w14:textId="77777777">
        <w:trPr>
          <w:trHeight w:val="3972"/>
        </w:trPr>
        <w:tc>
          <w:tcPr>
            <w:tcW w:w="2055" w:type="dxa"/>
            <w:tcBorders>
              <w:top w:val="nil"/>
              <w:left w:val="nil"/>
              <w:bottom w:val="nil"/>
              <w:right w:val="nil"/>
            </w:tcBorders>
            <w:hideMark/>
          </w:tcPr>
          <w:p w14:paraId="728B270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Gender equality </w:t>
            </w:r>
          </w:p>
        </w:tc>
        <w:tc>
          <w:tcPr>
            <w:tcW w:w="7155" w:type="dxa"/>
            <w:tcBorders>
              <w:top w:val="nil"/>
              <w:left w:val="nil"/>
              <w:bottom w:val="nil"/>
              <w:right w:val="nil"/>
            </w:tcBorders>
            <w:hideMark/>
          </w:tcPr>
          <w:p w14:paraId="5F64174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concept that women and men, girls and boys have equal conditions, treatment and opportunities for realizing their full potential, human rights and dignity, and for contributing to (and benefitting from) economic, social, cultural and political development. Gender equality is, therefore, the equal valuing by society of the similarities and the differences of men and women, and the roles they play. It is based on women and men being full partners in the home, community and society. Equality does not mean that women and men will become the same but that </w:t>
            </w:r>
            <w:proofErr w:type="spellStart"/>
            <w:r w:rsidRPr="00E822AE">
              <w:rPr>
                <w:sz w:val="20"/>
                <w:szCs w:val="20"/>
                <w:lang w:val="en-CA"/>
              </w:rPr>
              <w:t>womens</w:t>
            </w:r>
            <w:proofErr w:type="spellEnd"/>
            <w:r w:rsidRPr="00E822AE">
              <w:rPr>
                <w:sz w:val="20"/>
                <w:szCs w:val="20"/>
                <w:lang w:val="en-CA"/>
              </w:rPr>
              <w:t xml:space="preserve"> and </w:t>
            </w:r>
            <w:proofErr w:type="spellStart"/>
            <w:r w:rsidRPr="00E822AE">
              <w:rPr>
                <w:sz w:val="20"/>
                <w:szCs w:val="20"/>
                <w:lang w:val="en-CA"/>
              </w:rPr>
              <w:t>mens</w:t>
            </w:r>
            <w:proofErr w:type="spellEnd"/>
            <w:r w:rsidRPr="00E822AE">
              <w:rPr>
                <w:sz w:val="20"/>
                <w:szCs w:val="20"/>
                <w:lang w:val="en-CA"/>
              </w:rPr>
              <w:t xml:space="preserve"> rights, responsibilities and opportunities will not depend on whether they are born male or female. Gender equality implies that the interests, needs and priorities of both women and men and girls and boys are taken into consideration, recognizing the diversity of different groups and that all human beings are free to develop their personal abilities and make choices without the limitations set by stereotypes and prejudices about gender roles. Gender equality is a matter of human rights and is considered a precondition for, and indicator of, sustainable people-centred development. (</w:t>
            </w:r>
            <w:hyperlink r:id="rId603" w:tgtFrame="_blank" w:history="1">
              <w:r w:rsidRPr="00E822AE">
                <w:rPr>
                  <w:rStyle w:val="Hyperlink"/>
                  <w:sz w:val="20"/>
                  <w:szCs w:val="20"/>
                  <w:lang w:val="en-CA"/>
                </w:rPr>
                <w:t>UNICEF</w:t>
              </w:r>
            </w:hyperlink>
            <w:r w:rsidRPr="00E822AE">
              <w:rPr>
                <w:sz w:val="20"/>
                <w:szCs w:val="20"/>
                <w:lang w:val="en-CA"/>
              </w:rPr>
              <w:t>, 2017) </w:t>
            </w:r>
          </w:p>
        </w:tc>
      </w:tr>
      <w:tr w:rsidR="00C37DA1" w:rsidRPr="00E822AE" w14:paraId="4F2A0833" w14:textId="77777777">
        <w:trPr>
          <w:trHeight w:val="1710"/>
        </w:trPr>
        <w:tc>
          <w:tcPr>
            <w:tcW w:w="2055" w:type="dxa"/>
            <w:tcBorders>
              <w:top w:val="nil"/>
              <w:left w:val="nil"/>
              <w:bottom w:val="nil"/>
              <w:right w:val="nil"/>
            </w:tcBorders>
            <w:hideMark/>
          </w:tcPr>
          <w:p w14:paraId="5A04B5A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Gender Plan of Action </w:t>
            </w:r>
          </w:p>
        </w:tc>
        <w:tc>
          <w:tcPr>
            <w:tcW w:w="7155" w:type="dxa"/>
            <w:tcBorders>
              <w:top w:val="nil"/>
              <w:left w:val="nil"/>
              <w:bottom w:val="nil"/>
              <w:right w:val="nil"/>
            </w:tcBorders>
            <w:hideMark/>
          </w:tcPr>
          <w:p w14:paraId="01B9C79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An officially negotiated and agreed upon document of the Kunming-Montreal Global Biodiversity framework </w:t>
            </w:r>
            <w:proofErr w:type="gramStart"/>
            <w:r w:rsidRPr="00E822AE">
              <w:rPr>
                <w:sz w:val="20"/>
                <w:szCs w:val="20"/>
                <w:lang w:val="en-CA"/>
              </w:rPr>
              <w:t>who’s</w:t>
            </w:r>
            <w:proofErr w:type="gramEnd"/>
            <w:r w:rsidRPr="00E822AE">
              <w:rPr>
                <w:sz w:val="20"/>
                <w:szCs w:val="20"/>
                <w:lang w:val="en-CA"/>
              </w:rPr>
              <w:t xml:space="preserve"> purpose is to support and promote the gender responsive implementation of the post-2020 global biodiversity framework. The plan will also support a gender responsive approach to applying the implementation mechanisms associated with the framework. (</w:t>
            </w:r>
            <w:r w:rsidRPr="00E822AE">
              <w:rPr>
                <w:sz w:val="20"/>
                <w:szCs w:val="20"/>
              </w:rPr>
              <w:t>CBD/COP/15/L.24)</w:t>
            </w:r>
            <w:r w:rsidRPr="00E822AE">
              <w:rPr>
                <w:sz w:val="20"/>
                <w:szCs w:val="20"/>
                <w:lang w:val="en-CA"/>
              </w:rPr>
              <w:t> </w:t>
            </w:r>
          </w:p>
        </w:tc>
      </w:tr>
      <w:tr w:rsidR="00C37DA1" w:rsidRPr="00E822AE" w14:paraId="04BA4F95" w14:textId="77777777">
        <w:trPr>
          <w:trHeight w:val="2254"/>
        </w:trPr>
        <w:tc>
          <w:tcPr>
            <w:tcW w:w="2055" w:type="dxa"/>
            <w:tcBorders>
              <w:top w:val="nil"/>
              <w:left w:val="nil"/>
              <w:bottom w:val="nil"/>
              <w:right w:val="nil"/>
            </w:tcBorders>
            <w:hideMark/>
          </w:tcPr>
          <w:p w14:paraId="1A89766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Gender-responsive </w:t>
            </w:r>
          </w:p>
        </w:tc>
        <w:tc>
          <w:tcPr>
            <w:tcW w:w="7155" w:type="dxa"/>
            <w:tcBorders>
              <w:top w:val="nil"/>
              <w:left w:val="nil"/>
              <w:bottom w:val="nil"/>
              <w:right w:val="nil"/>
            </w:tcBorders>
            <w:hideMark/>
          </w:tcPr>
          <w:p w14:paraId="2690312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gender responsive approach is one that moves beyond “</w:t>
            </w:r>
            <w:r w:rsidRPr="00E822AE">
              <w:rPr>
                <w:i/>
                <w:iCs/>
                <w:sz w:val="20"/>
                <w:szCs w:val="20"/>
                <w:lang w:val="en-CA"/>
              </w:rPr>
              <w:t>do no harm</w:t>
            </w:r>
            <w:r w:rsidRPr="00E822AE">
              <w:rPr>
                <w:sz w:val="20"/>
                <w:szCs w:val="20"/>
                <w:lang w:val="en-CA"/>
              </w:rPr>
              <w:t xml:space="preserve">” to </w:t>
            </w:r>
            <w:r w:rsidRPr="00E822AE">
              <w:rPr>
                <w:i/>
                <w:iCs/>
                <w:sz w:val="20"/>
                <w:szCs w:val="20"/>
                <w:lang w:val="en-CA"/>
              </w:rPr>
              <w:t>do better</w:t>
            </w:r>
            <w:r w:rsidRPr="00E822AE">
              <w:rPr>
                <w:sz w:val="20"/>
                <w:szCs w:val="20"/>
                <w:lang w:val="en-CA"/>
              </w:rPr>
              <w:t xml:space="preserve">”, towards changing gender norms, roles and access to resources. Gender responsiveness refers to processes and outcomes that reflect an understanding of and </w:t>
            </w:r>
            <w:proofErr w:type="gramStart"/>
            <w:r w:rsidRPr="00E822AE">
              <w:rPr>
                <w:sz w:val="20"/>
                <w:szCs w:val="20"/>
                <w:lang w:val="en-CA"/>
              </w:rPr>
              <w:t>take into account</w:t>
            </w:r>
            <w:proofErr w:type="gramEnd"/>
            <w:r w:rsidRPr="00E822AE">
              <w:rPr>
                <w:sz w:val="20"/>
                <w:szCs w:val="20"/>
                <w:lang w:val="en-CA"/>
              </w:rPr>
              <w:t xml:space="preserve"> gender dynamics, roles, and inequalities </w:t>
            </w:r>
            <w:proofErr w:type="gramStart"/>
            <w:r w:rsidRPr="00E822AE">
              <w:rPr>
                <w:sz w:val="20"/>
                <w:szCs w:val="20"/>
                <w:lang w:val="en-CA"/>
              </w:rPr>
              <w:t>in a given</w:t>
            </w:r>
            <w:proofErr w:type="gramEnd"/>
            <w:r w:rsidRPr="00E822AE">
              <w:rPr>
                <w:sz w:val="20"/>
                <w:szCs w:val="20"/>
                <w:lang w:val="en-CA"/>
              </w:rPr>
              <w:t xml:space="preserve"> society, and which encourage equal participation and fair distribution of benefits. Gender responsive approaches are based on gender analysis to understand the norms and expectations for women and girls and men and boys in relevant contexts, to inform the design of appropriate interventions. (CBD, </w:t>
            </w:r>
            <w:hyperlink r:id="rId604" w:tgtFrame="_blank" w:history="1">
              <w:r w:rsidRPr="00E822AE">
                <w:rPr>
                  <w:rStyle w:val="Hyperlink"/>
                  <w:sz w:val="20"/>
                  <w:szCs w:val="20"/>
                  <w:lang w:val="en-CA"/>
                </w:rPr>
                <w:t>SBI3</w:t>
              </w:r>
            </w:hyperlink>
            <w:r w:rsidRPr="00E822AE">
              <w:rPr>
                <w:sz w:val="20"/>
                <w:szCs w:val="20"/>
                <w:lang w:val="en-CA"/>
              </w:rPr>
              <w:t>) </w:t>
            </w:r>
          </w:p>
        </w:tc>
      </w:tr>
      <w:tr w:rsidR="00C37DA1" w:rsidRPr="00E822AE" w14:paraId="3FFEF64A" w14:textId="77777777">
        <w:trPr>
          <w:trHeight w:val="705"/>
        </w:trPr>
        <w:tc>
          <w:tcPr>
            <w:tcW w:w="2055" w:type="dxa"/>
            <w:tcBorders>
              <w:top w:val="nil"/>
              <w:left w:val="nil"/>
              <w:bottom w:val="nil"/>
              <w:right w:val="nil"/>
            </w:tcBorders>
            <w:hideMark/>
          </w:tcPr>
          <w:p w14:paraId="7A8BB34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Genetic diversity </w:t>
            </w:r>
          </w:p>
        </w:tc>
        <w:tc>
          <w:tcPr>
            <w:tcW w:w="7155" w:type="dxa"/>
            <w:tcBorders>
              <w:top w:val="nil"/>
              <w:left w:val="nil"/>
              <w:bottom w:val="nil"/>
              <w:right w:val="nil"/>
            </w:tcBorders>
            <w:hideMark/>
          </w:tcPr>
          <w:p w14:paraId="5C68EAA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Is variation at the DNA level, including differences among individuals within populations of species and differences among populations of each species. </w:t>
            </w:r>
          </w:p>
        </w:tc>
      </w:tr>
      <w:tr w:rsidR="00C37DA1" w:rsidRPr="00E822AE" w14:paraId="66F5EDAB" w14:textId="77777777">
        <w:trPr>
          <w:trHeight w:val="735"/>
        </w:trPr>
        <w:tc>
          <w:tcPr>
            <w:tcW w:w="2055" w:type="dxa"/>
            <w:tcBorders>
              <w:top w:val="nil"/>
              <w:left w:val="nil"/>
              <w:bottom w:val="nil"/>
              <w:right w:val="nil"/>
            </w:tcBorders>
            <w:hideMark/>
          </w:tcPr>
          <w:p w14:paraId="333B44C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Genetic material </w:t>
            </w:r>
          </w:p>
        </w:tc>
        <w:tc>
          <w:tcPr>
            <w:tcW w:w="7155" w:type="dxa"/>
            <w:tcBorders>
              <w:top w:val="nil"/>
              <w:left w:val="nil"/>
              <w:bottom w:val="nil"/>
              <w:right w:val="nil"/>
            </w:tcBorders>
            <w:hideMark/>
          </w:tcPr>
          <w:p w14:paraId="03C9921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Any material of plant, animal, microbial or other origin containing functional units of heredity. (Convention, Article 2) </w:t>
            </w:r>
          </w:p>
        </w:tc>
      </w:tr>
      <w:tr w:rsidR="00C37DA1" w:rsidRPr="00E822AE" w14:paraId="36B0EFB8" w14:textId="77777777">
        <w:trPr>
          <w:trHeight w:val="525"/>
        </w:trPr>
        <w:tc>
          <w:tcPr>
            <w:tcW w:w="2055" w:type="dxa"/>
            <w:tcBorders>
              <w:top w:val="nil"/>
              <w:left w:val="nil"/>
              <w:bottom w:val="nil"/>
              <w:right w:val="nil"/>
            </w:tcBorders>
            <w:hideMark/>
          </w:tcPr>
          <w:p w14:paraId="03ABA24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Genetic resources </w:t>
            </w:r>
          </w:p>
        </w:tc>
        <w:tc>
          <w:tcPr>
            <w:tcW w:w="7155" w:type="dxa"/>
            <w:tcBorders>
              <w:top w:val="nil"/>
              <w:left w:val="nil"/>
              <w:bottom w:val="nil"/>
              <w:right w:val="nil"/>
            </w:tcBorders>
            <w:hideMark/>
          </w:tcPr>
          <w:p w14:paraId="6A7C1EA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Means genetic material of actual or potential value. (Convention, Article 2) </w:t>
            </w:r>
          </w:p>
        </w:tc>
      </w:tr>
      <w:tr w:rsidR="00C37DA1" w:rsidRPr="00E822AE" w14:paraId="4DD0FBA9" w14:textId="77777777">
        <w:trPr>
          <w:trHeight w:val="1418"/>
        </w:trPr>
        <w:tc>
          <w:tcPr>
            <w:tcW w:w="2055" w:type="dxa"/>
            <w:tcBorders>
              <w:top w:val="nil"/>
              <w:left w:val="nil"/>
              <w:bottom w:val="nil"/>
              <w:right w:val="nil"/>
            </w:tcBorders>
            <w:hideMark/>
          </w:tcPr>
          <w:p w14:paraId="3CE933C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Global climate regulation services </w:t>
            </w:r>
          </w:p>
        </w:tc>
        <w:tc>
          <w:tcPr>
            <w:tcW w:w="7155" w:type="dxa"/>
            <w:tcBorders>
              <w:top w:val="nil"/>
              <w:left w:val="nil"/>
              <w:bottom w:val="nil"/>
              <w:right w:val="nil"/>
            </w:tcBorders>
            <w:hideMark/>
          </w:tcPr>
          <w:p w14:paraId="5973E2C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ecosystem contributions to reducing concentrations of GHG in the atmosphere through the removal (sequestration) of carbon from the atmosphere and the retention (storage) of carbon in ecosystems. These services support the regulation of the chemical composition of the atmosphere and oceans. (</w:t>
            </w:r>
            <w:hyperlink r:id="rId605"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4C7EDFE4" w14:textId="77777777">
        <w:trPr>
          <w:trHeight w:val="998"/>
        </w:trPr>
        <w:tc>
          <w:tcPr>
            <w:tcW w:w="2055" w:type="dxa"/>
            <w:tcBorders>
              <w:top w:val="nil"/>
              <w:left w:val="nil"/>
              <w:bottom w:val="nil"/>
              <w:right w:val="nil"/>
            </w:tcBorders>
            <w:hideMark/>
          </w:tcPr>
          <w:p w14:paraId="655361C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Global footprint of consumption </w:t>
            </w:r>
          </w:p>
        </w:tc>
        <w:tc>
          <w:tcPr>
            <w:tcW w:w="7155" w:type="dxa"/>
            <w:tcBorders>
              <w:top w:val="nil"/>
              <w:left w:val="nil"/>
              <w:bottom w:val="nil"/>
              <w:right w:val="nil"/>
            </w:tcBorders>
            <w:hideMark/>
          </w:tcPr>
          <w:p w14:paraId="4ADAF1E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area used to support the global population’s consumption. The consumption Footprint (in </w:t>
            </w:r>
            <w:proofErr w:type="spellStart"/>
            <w:r w:rsidRPr="00E822AE">
              <w:rPr>
                <w:sz w:val="20"/>
                <w:szCs w:val="20"/>
                <w:lang w:val="en-CA"/>
              </w:rPr>
              <w:t>GHa</w:t>
            </w:r>
            <w:proofErr w:type="spellEnd"/>
            <w:r w:rsidRPr="00E822AE">
              <w:rPr>
                <w:sz w:val="20"/>
                <w:szCs w:val="20"/>
                <w:lang w:val="en-CA"/>
              </w:rPr>
              <w:t xml:space="preserve">) includes the area needed to produce the materials consumed and the area needed to absorb the carbon dioxide emissions. (Adapted from </w:t>
            </w:r>
            <w:hyperlink r:id="rId606" w:anchor=":~:text=The%20most%20commonly%20reported%20type,absorb%20the%20carbon%20dioxide%20emissions." w:tgtFrame="_blank" w:history="1">
              <w:r w:rsidRPr="00E822AE">
                <w:rPr>
                  <w:rStyle w:val="Hyperlink"/>
                  <w:sz w:val="20"/>
                  <w:szCs w:val="20"/>
                  <w:lang w:val="en-CA"/>
                </w:rPr>
                <w:t>GFN</w:t>
              </w:r>
            </w:hyperlink>
            <w:r w:rsidRPr="00E822AE">
              <w:rPr>
                <w:sz w:val="20"/>
                <w:szCs w:val="20"/>
                <w:lang w:val="en-CA"/>
              </w:rPr>
              <w:t>) </w:t>
            </w:r>
          </w:p>
        </w:tc>
      </w:tr>
      <w:tr w:rsidR="00C37DA1" w:rsidRPr="00E822AE" w14:paraId="3D9BBFA1" w14:textId="77777777">
        <w:trPr>
          <w:trHeight w:val="480"/>
        </w:trPr>
        <w:tc>
          <w:tcPr>
            <w:tcW w:w="2055" w:type="dxa"/>
            <w:tcBorders>
              <w:top w:val="nil"/>
              <w:left w:val="nil"/>
              <w:bottom w:val="nil"/>
              <w:right w:val="nil"/>
            </w:tcBorders>
            <w:hideMark/>
          </w:tcPr>
          <w:p w14:paraId="3A6017C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Global indicator </w:t>
            </w:r>
          </w:p>
        </w:tc>
        <w:tc>
          <w:tcPr>
            <w:tcW w:w="7155" w:type="dxa"/>
            <w:tcBorders>
              <w:top w:val="nil"/>
              <w:left w:val="nil"/>
              <w:bottom w:val="nil"/>
              <w:right w:val="nil"/>
            </w:tcBorders>
            <w:hideMark/>
          </w:tcPr>
          <w:p w14:paraId="137D00F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Indicator reported at the global level. </w:t>
            </w:r>
          </w:p>
        </w:tc>
      </w:tr>
      <w:tr w:rsidR="00C37DA1" w:rsidRPr="00E822AE" w14:paraId="5D00D332" w14:textId="77777777">
        <w:trPr>
          <w:trHeight w:val="2025"/>
        </w:trPr>
        <w:tc>
          <w:tcPr>
            <w:tcW w:w="2055" w:type="dxa"/>
            <w:tcBorders>
              <w:top w:val="nil"/>
              <w:left w:val="nil"/>
              <w:bottom w:val="nil"/>
              <w:right w:val="nil"/>
            </w:tcBorders>
            <w:hideMark/>
          </w:tcPr>
          <w:p w14:paraId="1B13558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Green and blue spaces </w:t>
            </w:r>
          </w:p>
        </w:tc>
        <w:tc>
          <w:tcPr>
            <w:tcW w:w="7155" w:type="dxa"/>
            <w:tcBorders>
              <w:top w:val="nil"/>
              <w:left w:val="nil"/>
              <w:bottom w:val="nil"/>
              <w:right w:val="nil"/>
            </w:tcBorders>
            <w:hideMark/>
          </w:tcPr>
          <w:p w14:paraId="4FC53EA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Areas of vegetation, inland and coastal waters, generally in or near to urban areas including green roofs and walls, and other green infrastructure. These can have a range of positive effects on human physical and mental well-being and provide opportunities to reconnect with nature. Green and blue spaces also provide important habitats for species, improve habitat connectivity, provide ecosystem services and help mediate extreme events, if managed with such objectives in mind. (</w:t>
            </w:r>
            <w:r w:rsidRPr="00E822AE">
              <w:rPr>
                <w:sz w:val="20"/>
                <w:szCs w:val="20"/>
              </w:rPr>
              <w:t>CBD/WG2020/5/4)</w:t>
            </w:r>
            <w:r w:rsidRPr="00E822AE">
              <w:rPr>
                <w:sz w:val="20"/>
                <w:szCs w:val="20"/>
                <w:lang w:val="en-CA"/>
              </w:rPr>
              <w:t> </w:t>
            </w:r>
          </w:p>
        </w:tc>
      </w:tr>
      <w:tr w:rsidR="00C37DA1" w:rsidRPr="00E822AE" w14:paraId="005FDD81" w14:textId="77777777">
        <w:trPr>
          <w:trHeight w:val="645"/>
        </w:trPr>
        <w:tc>
          <w:tcPr>
            <w:tcW w:w="2055" w:type="dxa"/>
            <w:tcBorders>
              <w:top w:val="nil"/>
              <w:left w:val="nil"/>
              <w:bottom w:val="nil"/>
              <w:right w:val="nil"/>
            </w:tcBorders>
            <w:hideMark/>
          </w:tcPr>
          <w:p w14:paraId="03B3192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Habitat </w:t>
            </w:r>
          </w:p>
        </w:tc>
        <w:tc>
          <w:tcPr>
            <w:tcW w:w="7155" w:type="dxa"/>
            <w:tcBorders>
              <w:top w:val="nil"/>
              <w:left w:val="nil"/>
              <w:bottom w:val="nil"/>
              <w:right w:val="nil"/>
            </w:tcBorders>
            <w:hideMark/>
          </w:tcPr>
          <w:p w14:paraId="08D8CDE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place or type of site where an organism or population naturally occurs. (Convention, Article 2) </w:t>
            </w:r>
          </w:p>
        </w:tc>
      </w:tr>
      <w:tr w:rsidR="00C37DA1" w:rsidRPr="00E822AE" w14:paraId="046E09AB" w14:textId="77777777">
        <w:trPr>
          <w:trHeight w:val="975"/>
        </w:trPr>
        <w:tc>
          <w:tcPr>
            <w:tcW w:w="2055" w:type="dxa"/>
            <w:tcBorders>
              <w:top w:val="nil"/>
              <w:left w:val="nil"/>
              <w:bottom w:val="nil"/>
              <w:right w:val="nil"/>
            </w:tcBorders>
            <w:hideMark/>
          </w:tcPr>
          <w:p w14:paraId="78C1556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Harmful or perverse incentives to biodiversity </w:t>
            </w:r>
          </w:p>
        </w:tc>
        <w:tc>
          <w:tcPr>
            <w:tcW w:w="7155" w:type="dxa"/>
            <w:tcBorders>
              <w:top w:val="nil"/>
              <w:left w:val="nil"/>
              <w:bottom w:val="nil"/>
              <w:right w:val="nil"/>
            </w:tcBorders>
            <w:hideMark/>
          </w:tcPr>
          <w:p w14:paraId="2BF5814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Economic, legal and institutional incentives that emanate from policies or practices that induce unsustainable behaviour that destroys biodiversity, often as unanticipated side-effects of policies designed to attain other objectives </w:t>
            </w:r>
          </w:p>
        </w:tc>
      </w:tr>
      <w:tr w:rsidR="00C37DA1" w:rsidRPr="00E822AE" w14:paraId="3F006A6D" w14:textId="77777777">
        <w:trPr>
          <w:trHeight w:val="1539"/>
        </w:trPr>
        <w:tc>
          <w:tcPr>
            <w:tcW w:w="2055" w:type="dxa"/>
            <w:tcBorders>
              <w:top w:val="nil"/>
              <w:left w:val="nil"/>
              <w:bottom w:val="nil"/>
              <w:right w:val="nil"/>
            </w:tcBorders>
            <w:hideMark/>
          </w:tcPr>
          <w:p w14:paraId="0C759C6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Headline indicator </w:t>
            </w:r>
          </w:p>
        </w:tc>
        <w:tc>
          <w:tcPr>
            <w:tcW w:w="7155" w:type="dxa"/>
            <w:tcBorders>
              <w:top w:val="nil"/>
              <w:left w:val="nil"/>
              <w:bottom w:val="nil"/>
              <w:right w:val="nil"/>
            </w:tcBorders>
            <w:hideMark/>
          </w:tcPr>
          <w:p w14:paraId="16FE90A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minimum set of high-level indicators, which capture the overall scope of the goals and targets of the Kunming-Montreal Global Biodiversity Framework to be used for planning and tracking progress as set out in decision 15/6. They are nationally, regionally and globally relevant indicators validated by Parties. These indicators can also be used for communication purposes. (CBD/COP/DEC/15/5) </w:t>
            </w:r>
          </w:p>
        </w:tc>
      </w:tr>
      <w:tr w:rsidR="00C37DA1" w:rsidRPr="00E822AE" w14:paraId="3FA7EAE1" w14:textId="77777777">
        <w:trPr>
          <w:trHeight w:val="1695"/>
        </w:trPr>
        <w:tc>
          <w:tcPr>
            <w:tcW w:w="2055" w:type="dxa"/>
            <w:tcBorders>
              <w:top w:val="nil"/>
              <w:left w:val="nil"/>
              <w:bottom w:val="nil"/>
              <w:right w:val="nil"/>
            </w:tcBorders>
            <w:hideMark/>
          </w:tcPr>
          <w:p w14:paraId="0DFFB8E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Healthy and resilient levels </w:t>
            </w:r>
          </w:p>
        </w:tc>
        <w:tc>
          <w:tcPr>
            <w:tcW w:w="7155" w:type="dxa"/>
            <w:tcBorders>
              <w:top w:val="nil"/>
              <w:left w:val="nil"/>
              <w:bottom w:val="nil"/>
              <w:right w:val="nil"/>
            </w:tcBorders>
            <w:hideMark/>
          </w:tcPr>
          <w:p w14:paraId="26665A6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Levels of population abundance that are not substantially depleted in comparison with historical levels and not diminished to a level that reduces their contribution to ecosystem structure and function, or at which species face the threat of extinction. “</w:t>
            </w:r>
            <w:r w:rsidRPr="00E822AE">
              <w:rPr>
                <w:i/>
                <w:iCs/>
                <w:sz w:val="20"/>
                <w:szCs w:val="20"/>
                <w:lang w:val="en-CA"/>
              </w:rPr>
              <w:t>Resilient levels</w:t>
            </w:r>
            <w:r w:rsidRPr="00E822AE">
              <w:rPr>
                <w:sz w:val="20"/>
                <w:szCs w:val="20"/>
                <w:lang w:val="en-CA"/>
              </w:rPr>
              <w:t>” imply that species’ populations are healthy throughout their native range and that no populations have been extirpated. (McGowan et al. 2024) </w:t>
            </w:r>
          </w:p>
        </w:tc>
      </w:tr>
      <w:tr w:rsidR="00C37DA1" w:rsidRPr="00E822AE" w14:paraId="6B739C55" w14:textId="77777777">
        <w:trPr>
          <w:trHeight w:val="2010"/>
        </w:trPr>
        <w:tc>
          <w:tcPr>
            <w:tcW w:w="2055" w:type="dxa"/>
            <w:tcBorders>
              <w:top w:val="nil"/>
              <w:left w:val="nil"/>
              <w:bottom w:val="nil"/>
              <w:right w:val="nil"/>
            </w:tcBorders>
            <w:hideMark/>
          </w:tcPr>
          <w:p w14:paraId="27EA871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Human-induced extinction </w:t>
            </w:r>
          </w:p>
        </w:tc>
        <w:tc>
          <w:tcPr>
            <w:tcW w:w="7155" w:type="dxa"/>
            <w:tcBorders>
              <w:top w:val="nil"/>
              <w:left w:val="nil"/>
              <w:bottom w:val="nil"/>
              <w:right w:val="nil"/>
            </w:tcBorders>
            <w:hideMark/>
          </w:tcPr>
          <w:p w14:paraId="6B4C5C0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Extinctions driven by human activities, rather than “</w:t>
            </w:r>
            <w:r w:rsidRPr="00E822AE">
              <w:rPr>
                <w:i/>
                <w:iCs/>
                <w:sz w:val="20"/>
                <w:szCs w:val="20"/>
                <w:lang w:val="en-CA"/>
              </w:rPr>
              <w:t>natural</w:t>
            </w:r>
            <w:r w:rsidRPr="00E822AE">
              <w:rPr>
                <w:sz w:val="20"/>
                <w:szCs w:val="20"/>
                <w:lang w:val="en-CA"/>
              </w:rPr>
              <w:t xml:space="preserve">” extinctions such as those caused by, for example, volcanic eruptions, which would be extremely difficult to avoid. Human-driven extinctions include those resulting from natural phenomena, such as hurricanes, floods and fires, that are occurring at far higher intensity and frequency because of human-driven climate change (recognising that in practice it may be difficult to confirm that climate change has led to </w:t>
            </w:r>
            <w:proofErr w:type="gramStart"/>
            <w:r w:rsidRPr="00E822AE">
              <w:rPr>
                <w:sz w:val="20"/>
                <w:szCs w:val="20"/>
                <w:lang w:val="en-CA"/>
              </w:rPr>
              <w:t>particular extinctions</w:t>
            </w:r>
            <w:proofErr w:type="gramEnd"/>
            <w:r w:rsidRPr="00E822AE">
              <w:rPr>
                <w:sz w:val="20"/>
                <w:szCs w:val="20"/>
                <w:lang w:val="en-CA"/>
              </w:rPr>
              <w:t>). (McGowan et al. 2024) </w:t>
            </w:r>
          </w:p>
        </w:tc>
      </w:tr>
      <w:tr w:rsidR="00C37DA1" w:rsidRPr="00E822AE" w14:paraId="1A59534D" w14:textId="77777777">
        <w:trPr>
          <w:trHeight w:val="1515"/>
        </w:trPr>
        <w:tc>
          <w:tcPr>
            <w:tcW w:w="2055" w:type="dxa"/>
            <w:tcBorders>
              <w:top w:val="nil"/>
              <w:left w:val="nil"/>
              <w:bottom w:val="nil"/>
              <w:right w:val="nil"/>
            </w:tcBorders>
            <w:hideMark/>
          </w:tcPr>
          <w:p w14:paraId="4D416BC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Human rights defenders </w:t>
            </w:r>
          </w:p>
        </w:tc>
        <w:tc>
          <w:tcPr>
            <w:tcW w:w="7155" w:type="dxa"/>
            <w:tcBorders>
              <w:top w:val="nil"/>
              <w:left w:val="nil"/>
              <w:bottom w:val="nil"/>
              <w:right w:val="nil"/>
            </w:tcBorders>
            <w:hideMark/>
          </w:tcPr>
          <w:p w14:paraId="61D097B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Everyone exercising their right, individually and in association with others, to promote and to strive for the protection and realization of human rights and fundamental freedoms at national and international levels, including trade unionists and some journalists. (UN Declaration on Human Rights Defenders, A/Res/53/144) </w:t>
            </w:r>
          </w:p>
        </w:tc>
      </w:tr>
      <w:tr w:rsidR="00C37DA1" w:rsidRPr="00E822AE" w14:paraId="625DE972" w14:textId="77777777">
        <w:trPr>
          <w:trHeight w:val="1312"/>
        </w:trPr>
        <w:tc>
          <w:tcPr>
            <w:tcW w:w="2055" w:type="dxa"/>
            <w:tcBorders>
              <w:top w:val="nil"/>
              <w:left w:val="nil"/>
              <w:bottom w:val="nil"/>
              <w:right w:val="nil"/>
            </w:tcBorders>
            <w:hideMark/>
          </w:tcPr>
          <w:p w14:paraId="6FDD623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Human-wildlife conflict </w:t>
            </w:r>
          </w:p>
        </w:tc>
        <w:tc>
          <w:tcPr>
            <w:tcW w:w="7155" w:type="dxa"/>
            <w:tcBorders>
              <w:top w:val="nil"/>
              <w:left w:val="nil"/>
              <w:bottom w:val="nil"/>
              <w:right w:val="nil"/>
            </w:tcBorders>
            <w:hideMark/>
          </w:tcPr>
          <w:p w14:paraId="1B0D255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Struggles that emerge when the presence or behaviour of wildlife poses an actual or perceived, direct and recurring threat to human interests or needs, leading to disagreements between groups of people and negative impacts on people and/or wildlife. (</w:t>
            </w:r>
            <w:hyperlink r:id="rId607" w:tgtFrame="_blank" w:history="1">
              <w:r w:rsidRPr="00E822AE">
                <w:rPr>
                  <w:rStyle w:val="Hyperlink"/>
                  <w:sz w:val="20"/>
                  <w:szCs w:val="20"/>
                  <w:lang w:val="en-CA"/>
                </w:rPr>
                <w:t>IUCN</w:t>
              </w:r>
            </w:hyperlink>
            <w:r w:rsidRPr="00E822AE">
              <w:rPr>
                <w:sz w:val="20"/>
                <w:szCs w:val="20"/>
                <w:lang w:val="en-CA"/>
              </w:rPr>
              <w:t>, 2022) </w:t>
            </w:r>
          </w:p>
        </w:tc>
      </w:tr>
      <w:tr w:rsidR="00C37DA1" w:rsidRPr="00E822AE" w14:paraId="00449048" w14:textId="77777777">
        <w:trPr>
          <w:trHeight w:val="1695"/>
        </w:trPr>
        <w:tc>
          <w:tcPr>
            <w:tcW w:w="2055" w:type="dxa"/>
            <w:tcBorders>
              <w:top w:val="nil"/>
              <w:left w:val="nil"/>
              <w:bottom w:val="nil"/>
              <w:right w:val="nil"/>
            </w:tcBorders>
            <w:hideMark/>
          </w:tcPr>
          <w:p w14:paraId="47D1A3C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Impacts from invasive alien species </w:t>
            </w:r>
          </w:p>
        </w:tc>
        <w:tc>
          <w:tcPr>
            <w:tcW w:w="7155" w:type="dxa"/>
            <w:tcBorders>
              <w:top w:val="nil"/>
              <w:left w:val="nil"/>
              <w:bottom w:val="nil"/>
              <w:right w:val="nil"/>
            </w:tcBorders>
            <w:hideMark/>
          </w:tcPr>
          <w:p w14:paraId="5084588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Impacts are changes to nature, nature’s contributions to people and/or good quality of life. Impacts can be observed or unobserved. Generally, negative impacts become more apparent and problematic when invasive alien species are well established, widespread and present for a long time. Along with their adverse effects, some invasive alien species may have positive impacts providing benefits to some people. (</w:t>
            </w:r>
            <w:hyperlink r:id="rId608" w:tgtFrame="_blank" w:history="1">
              <w:r w:rsidRPr="00E822AE">
                <w:rPr>
                  <w:rStyle w:val="Hyperlink"/>
                  <w:sz w:val="20"/>
                  <w:szCs w:val="20"/>
                  <w:lang w:val="en-CA"/>
                </w:rPr>
                <w:t>IPBES</w:t>
              </w:r>
            </w:hyperlink>
            <w:r w:rsidRPr="00E822AE">
              <w:rPr>
                <w:sz w:val="20"/>
                <w:szCs w:val="20"/>
                <w:lang w:val="en-CA"/>
              </w:rPr>
              <w:t>, 2023) </w:t>
            </w:r>
          </w:p>
        </w:tc>
      </w:tr>
      <w:tr w:rsidR="00C37DA1" w:rsidRPr="00E822AE" w14:paraId="13201934" w14:textId="77777777">
        <w:trPr>
          <w:trHeight w:val="2025"/>
        </w:trPr>
        <w:tc>
          <w:tcPr>
            <w:tcW w:w="2055" w:type="dxa"/>
            <w:tcBorders>
              <w:top w:val="nil"/>
              <w:left w:val="nil"/>
              <w:bottom w:val="nil"/>
              <w:right w:val="nil"/>
            </w:tcBorders>
            <w:hideMark/>
          </w:tcPr>
          <w:p w14:paraId="615FC2D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Impact of climate change </w:t>
            </w:r>
          </w:p>
        </w:tc>
        <w:tc>
          <w:tcPr>
            <w:tcW w:w="7155" w:type="dxa"/>
            <w:tcBorders>
              <w:top w:val="nil"/>
              <w:left w:val="nil"/>
              <w:bottom w:val="nil"/>
              <w:right w:val="nil"/>
            </w:tcBorders>
            <w:hideMark/>
          </w:tcPr>
          <w:p w14:paraId="31C2A42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consequences of realized risks on natural and human systems, where risks result from the interactions of climate-related hazards (including extreme weather/climate events), exposure, and vulnerability. Impacts generally refer to effects on lives, livelihoods, health and well-being, ecosystems and species, economic, social and cultural assets, services (including ecosystem services), and infrastructure. Impacts may be referred to as consequences or outcomes and can be adverse or beneficial. (</w:t>
            </w:r>
            <w:hyperlink r:id="rId609" w:tgtFrame="_blank" w:history="1">
              <w:r w:rsidRPr="00E822AE">
                <w:rPr>
                  <w:rStyle w:val="Hyperlink"/>
                  <w:sz w:val="20"/>
                  <w:szCs w:val="20"/>
                  <w:lang w:val="en-CA"/>
                </w:rPr>
                <w:t>IPCC</w:t>
              </w:r>
            </w:hyperlink>
            <w:r w:rsidRPr="00E822AE">
              <w:rPr>
                <w:sz w:val="20"/>
                <w:szCs w:val="20"/>
                <w:lang w:val="en-CA"/>
              </w:rPr>
              <w:t>) </w:t>
            </w:r>
          </w:p>
        </w:tc>
      </w:tr>
      <w:tr w:rsidR="00C37DA1" w:rsidRPr="00E822AE" w14:paraId="03E2D064" w14:textId="77777777">
        <w:trPr>
          <w:trHeight w:val="840"/>
        </w:trPr>
        <w:tc>
          <w:tcPr>
            <w:tcW w:w="2055" w:type="dxa"/>
            <w:tcBorders>
              <w:top w:val="nil"/>
              <w:left w:val="nil"/>
              <w:bottom w:val="nil"/>
              <w:right w:val="nil"/>
            </w:tcBorders>
            <w:hideMark/>
          </w:tcPr>
          <w:p w14:paraId="517399B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 situ conservation </w:t>
            </w:r>
          </w:p>
        </w:tc>
        <w:tc>
          <w:tcPr>
            <w:tcW w:w="7155" w:type="dxa"/>
            <w:tcBorders>
              <w:top w:val="nil"/>
              <w:left w:val="nil"/>
              <w:bottom w:val="nil"/>
              <w:right w:val="nil"/>
            </w:tcBorders>
            <w:hideMark/>
          </w:tcPr>
          <w:p w14:paraId="5ADDA3D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Conservation actions implemented in the wild (usually within the distribution of the target species). (McGowan et al. 2024) </w:t>
            </w:r>
          </w:p>
        </w:tc>
      </w:tr>
      <w:tr w:rsidR="00C37DA1" w:rsidRPr="00E822AE" w14:paraId="376CA214" w14:textId="77777777">
        <w:trPr>
          <w:trHeight w:val="1020"/>
        </w:trPr>
        <w:tc>
          <w:tcPr>
            <w:tcW w:w="2055" w:type="dxa"/>
            <w:tcBorders>
              <w:top w:val="nil"/>
              <w:left w:val="nil"/>
              <w:bottom w:val="nil"/>
              <w:right w:val="nil"/>
            </w:tcBorders>
            <w:hideMark/>
          </w:tcPr>
          <w:p w14:paraId="2F612DA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Incentives </w:t>
            </w:r>
          </w:p>
        </w:tc>
        <w:tc>
          <w:tcPr>
            <w:tcW w:w="7155" w:type="dxa"/>
            <w:tcBorders>
              <w:top w:val="nil"/>
              <w:left w:val="nil"/>
              <w:bottom w:val="nil"/>
              <w:right w:val="nil"/>
            </w:tcBorders>
            <w:hideMark/>
          </w:tcPr>
          <w:p w14:paraId="3E21F2C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opportunities and constraints that influence the behaviour of individuals and organisations in a society, deriving from a wide range of societal factors, including, but not limited to, from measures taken by governments. </w:t>
            </w:r>
          </w:p>
        </w:tc>
      </w:tr>
      <w:tr w:rsidR="00C37DA1" w:rsidRPr="00E822AE" w14:paraId="60980F5B" w14:textId="77777777">
        <w:trPr>
          <w:trHeight w:val="1084"/>
        </w:trPr>
        <w:tc>
          <w:tcPr>
            <w:tcW w:w="2055" w:type="dxa"/>
            <w:tcBorders>
              <w:top w:val="nil"/>
              <w:left w:val="nil"/>
              <w:bottom w:val="nil"/>
              <w:right w:val="nil"/>
            </w:tcBorders>
            <w:hideMark/>
          </w:tcPr>
          <w:p w14:paraId="5D92998D"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Inclusive </w:t>
            </w:r>
          </w:p>
        </w:tc>
        <w:tc>
          <w:tcPr>
            <w:tcW w:w="7155" w:type="dxa"/>
            <w:tcBorders>
              <w:top w:val="nil"/>
              <w:left w:val="nil"/>
              <w:bottom w:val="nil"/>
              <w:right w:val="nil"/>
            </w:tcBorders>
            <w:hideMark/>
          </w:tcPr>
          <w:p w14:paraId="5C19B09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Inclusion is defined as the process of improving the terms of participation, particularly for people who are disadvantaged, through enhancing opportunities, access to resources, voice and respect for rights. (</w:t>
            </w:r>
            <w:hyperlink r:id="rId610" w:tgtFrame="_blank" w:history="1">
              <w:r w:rsidRPr="00E822AE">
                <w:rPr>
                  <w:rStyle w:val="Hyperlink"/>
                  <w:sz w:val="20"/>
                  <w:szCs w:val="20"/>
                  <w:lang w:val="en-CA"/>
                </w:rPr>
                <w:t>UN DESA</w:t>
              </w:r>
            </w:hyperlink>
            <w:r w:rsidRPr="00E822AE">
              <w:rPr>
                <w:sz w:val="20"/>
                <w:szCs w:val="20"/>
                <w:lang w:val="en-CA"/>
              </w:rPr>
              <w:t>, 2016) </w:t>
            </w:r>
          </w:p>
        </w:tc>
      </w:tr>
      <w:tr w:rsidR="00C37DA1" w:rsidRPr="00E822AE" w14:paraId="60D679E7" w14:textId="77777777">
        <w:trPr>
          <w:trHeight w:val="1000"/>
        </w:trPr>
        <w:tc>
          <w:tcPr>
            <w:tcW w:w="2055" w:type="dxa"/>
            <w:tcBorders>
              <w:top w:val="nil"/>
              <w:left w:val="nil"/>
              <w:bottom w:val="nil"/>
              <w:right w:val="nil"/>
            </w:tcBorders>
            <w:hideMark/>
          </w:tcPr>
          <w:p w14:paraId="4491FDF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Independently verified forest management certification </w:t>
            </w:r>
          </w:p>
        </w:tc>
        <w:tc>
          <w:tcPr>
            <w:tcW w:w="7155" w:type="dxa"/>
            <w:tcBorders>
              <w:top w:val="nil"/>
              <w:left w:val="nil"/>
              <w:bottom w:val="nil"/>
              <w:right w:val="nil"/>
            </w:tcBorders>
            <w:hideMark/>
          </w:tcPr>
          <w:p w14:paraId="2FC983E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Forest area certified under a forest management certification scheme with published standards and is independently verified by a third-party. (FAO, 2004-2021) </w:t>
            </w:r>
          </w:p>
        </w:tc>
      </w:tr>
      <w:tr w:rsidR="00C37DA1" w:rsidRPr="00E822AE" w14:paraId="24111759" w14:textId="77777777">
        <w:trPr>
          <w:trHeight w:val="1020"/>
        </w:trPr>
        <w:tc>
          <w:tcPr>
            <w:tcW w:w="2055" w:type="dxa"/>
            <w:tcBorders>
              <w:top w:val="nil"/>
              <w:left w:val="nil"/>
              <w:bottom w:val="nil"/>
              <w:right w:val="nil"/>
            </w:tcBorders>
            <w:hideMark/>
          </w:tcPr>
          <w:p w14:paraId="1F0F813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Indigenous and traditional technologies </w:t>
            </w:r>
          </w:p>
        </w:tc>
        <w:tc>
          <w:tcPr>
            <w:tcW w:w="7155" w:type="dxa"/>
            <w:tcBorders>
              <w:top w:val="nil"/>
              <w:left w:val="nil"/>
              <w:bottom w:val="nil"/>
              <w:right w:val="nil"/>
            </w:tcBorders>
            <w:hideMark/>
          </w:tcPr>
          <w:p w14:paraId="30DCDCD8" w14:textId="77777777" w:rsidR="00C37DA1" w:rsidRPr="00E822AE" w:rsidRDefault="00C37DA1" w:rsidP="008B21D8">
            <w:pPr>
              <w:pStyle w:val="CBDNormalNumber"/>
              <w:shd w:val="clear" w:color="auto" w:fill="FFFFFF"/>
              <w:ind w:left="567"/>
              <w:rPr>
                <w:sz w:val="20"/>
                <w:szCs w:val="20"/>
                <w:lang w:val="en-CA"/>
              </w:rPr>
            </w:pPr>
            <w:r w:rsidRPr="00E822AE">
              <w:rPr>
                <w:sz w:val="20"/>
                <w:szCs w:val="20"/>
              </w:rPr>
              <w:t>Technologies employed by the native inhabitants of a country, and which constitute an important part of its cultural heritage and should therefore be protected against exploitation by industrialized countries. (</w:t>
            </w:r>
            <w:hyperlink r:id="rId611" w:tgtFrame="_blank" w:history="1">
              <w:r w:rsidRPr="00E822AE">
                <w:rPr>
                  <w:rStyle w:val="Hyperlink"/>
                  <w:sz w:val="20"/>
                  <w:szCs w:val="20"/>
                </w:rPr>
                <w:t>EEA</w:t>
              </w:r>
            </w:hyperlink>
            <w:r w:rsidRPr="00E822AE">
              <w:rPr>
                <w:sz w:val="20"/>
                <w:szCs w:val="20"/>
              </w:rPr>
              <w:t>)</w:t>
            </w:r>
            <w:r w:rsidRPr="00E822AE">
              <w:rPr>
                <w:sz w:val="20"/>
                <w:szCs w:val="20"/>
                <w:lang w:val="en-CA"/>
              </w:rPr>
              <w:t> </w:t>
            </w:r>
          </w:p>
        </w:tc>
      </w:tr>
      <w:tr w:rsidR="00C37DA1" w:rsidRPr="00E822AE" w14:paraId="556B7610" w14:textId="77777777">
        <w:trPr>
          <w:trHeight w:val="5715"/>
        </w:trPr>
        <w:tc>
          <w:tcPr>
            <w:tcW w:w="2055" w:type="dxa"/>
            <w:tcBorders>
              <w:top w:val="nil"/>
              <w:left w:val="nil"/>
              <w:bottom w:val="nil"/>
              <w:right w:val="nil"/>
            </w:tcBorders>
            <w:hideMark/>
          </w:tcPr>
          <w:p w14:paraId="3EB972B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 xml:space="preserve">Indigenous peoples   and local communities </w:t>
            </w:r>
          </w:p>
        </w:tc>
        <w:tc>
          <w:tcPr>
            <w:tcW w:w="7155" w:type="dxa"/>
            <w:tcBorders>
              <w:top w:val="nil"/>
              <w:left w:val="nil"/>
              <w:bottom w:val="nil"/>
              <w:right w:val="nil"/>
            </w:tcBorders>
            <w:hideMark/>
          </w:tcPr>
          <w:p w14:paraId="6B73D2D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Convention on Biological Diversity does not define the terms indigenous and local communities or Indigenous Peoples and Local Communities. The United Nations Declaration on the Rights of Indigenous Peoples does not adopt or recommend a universal definition for Indigenous Peoples (Decision CBD/COP/DEC/14/13). Indigenous people are also known as first peoples, aboriginal peoples, native peoples, or autochthonous peoples, are ethnic groups who are descended from and identify with the original inhabitants of a given region, in contrast to groups that have settled, occupied or colonized the area more recently. The distinctive groups, usually maintaining traditions or other aspects of an early culture that is associated with a given region, are protected in international or national legislation as having a set of specific rights based on their linguistic and historical ties to a particular territory, prior to later settlement, development, and or occupation of a region. Local community is a self-identified human group that relates to a life environment in collective ways that participate to define a shared territory and culture. The members of a local community have frequent chances of direct (possibly face-to-face) encounters and possess some common history, traditions, institutions, language, values and life plans. A local community can be long-standing (“</w:t>
            </w:r>
            <w:r w:rsidRPr="00E822AE">
              <w:rPr>
                <w:i/>
                <w:iCs/>
                <w:sz w:val="20"/>
                <w:szCs w:val="20"/>
                <w:u w:val="single"/>
                <w:lang w:val="en-CA"/>
              </w:rPr>
              <w:t>traditional</w:t>
            </w:r>
            <w:r w:rsidRPr="00E822AE">
              <w:rPr>
                <w:sz w:val="20"/>
                <w:szCs w:val="20"/>
                <w:lang w:val="en-CA"/>
              </w:rPr>
              <w:t xml:space="preserve">”) or relatively new, include a single or multiple ethnic identities and be permanently settled or mobile. A local community should have a form of political identity that enables it to exercise its rights and responsibilities with respect to its territory and neighbors. (Adapted from </w:t>
            </w:r>
            <w:hyperlink r:id="rId612" w:tgtFrame="_blank" w:history="1">
              <w:r w:rsidRPr="00E822AE">
                <w:rPr>
                  <w:rStyle w:val="Hyperlink"/>
                  <w:sz w:val="20"/>
                  <w:szCs w:val="20"/>
                  <w:lang w:val="en-CA"/>
                </w:rPr>
                <w:t>IPBES</w:t>
              </w:r>
            </w:hyperlink>
            <w:r w:rsidRPr="00E822AE">
              <w:rPr>
                <w:sz w:val="20"/>
                <w:szCs w:val="20"/>
                <w:lang w:val="en-CA"/>
              </w:rPr>
              <w:t>, 2019) </w:t>
            </w:r>
          </w:p>
        </w:tc>
      </w:tr>
      <w:tr w:rsidR="00C37DA1" w:rsidRPr="00E822AE" w14:paraId="314B5322" w14:textId="77777777">
        <w:trPr>
          <w:trHeight w:val="1260"/>
        </w:trPr>
        <w:tc>
          <w:tcPr>
            <w:tcW w:w="2055" w:type="dxa"/>
            <w:tcBorders>
              <w:top w:val="nil"/>
              <w:left w:val="nil"/>
              <w:bottom w:val="nil"/>
              <w:right w:val="nil"/>
            </w:tcBorders>
            <w:hideMark/>
          </w:tcPr>
          <w:p w14:paraId="169D316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Inland waters </w:t>
            </w:r>
          </w:p>
        </w:tc>
        <w:tc>
          <w:tcPr>
            <w:tcW w:w="7155" w:type="dxa"/>
            <w:tcBorders>
              <w:top w:val="nil"/>
              <w:left w:val="nil"/>
              <w:bottom w:val="nil"/>
              <w:right w:val="nil"/>
            </w:tcBorders>
            <w:hideMark/>
          </w:tcPr>
          <w:p w14:paraId="277E3F3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All landlocked and/or freshwater bodies, including rivers, lakes, inland seas and groundwater, this includes IUCN Global Ecosystem Typologies: rivers and streams (F1), lakes (F2), palustrine wetlands biome (TF1), artificial freshwaters (F3) </w:t>
            </w:r>
          </w:p>
        </w:tc>
      </w:tr>
      <w:tr w:rsidR="00C37DA1" w:rsidRPr="00E822AE" w14:paraId="668E0BE9" w14:textId="77777777">
        <w:trPr>
          <w:trHeight w:val="1425"/>
        </w:trPr>
        <w:tc>
          <w:tcPr>
            <w:tcW w:w="2055" w:type="dxa"/>
            <w:tcBorders>
              <w:top w:val="nil"/>
              <w:left w:val="nil"/>
              <w:bottom w:val="nil"/>
              <w:right w:val="nil"/>
            </w:tcBorders>
            <w:hideMark/>
          </w:tcPr>
          <w:p w14:paraId="31C0FD6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Innovation </w:t>
            </w:r>
          </w:p>
        </w:tc>
        <w:tc>
          <w:tcPr>
            <w:tcW w:w="7155" w:type="dxa"/>
            <w:tcBorders>
              <w:top w:val="nil"/>
              <w:left w:val="nil"/>
              <w:bottom w:val="nil"/>
              <w:right w:val="nil"/>
            </w:tcBorders>
            <w:hideMark/>
          </w:tcPr>
          <w:p w14:paraId="53C5CE7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implementation of a new or significantly improved product (good or service), process, a new marketing method, or a new organisational method in business practices, workplace organisation or external relations. Innovation is an application of invention so that it improves conservation, sustainable use or monitoring of biodiversity. (</w:t>
            </w:r>
            <w:hyperlink r:id="rId613" w:tgtFrame="_blank" w:history="1">
              <w:r w:rsidRPr="00E822AE">
                <w:rPr>
                  <w:rStyle w:val="Hyperlink"/>
                  <w:sz w:val="20"/>
                  <w:szCs w:val="20"/>
                  <w:lang w:val="en-CA"/>
                </w:rPr>
                <w:t>UN HCR</w:t>
              </w:r>
            </w:hyperlink>
            <w:r w:rsidRPr="00E822AE">
              <w:rPr>
                <w:sz w:val="20"/>
                <w:szCs w:val="20"/>
                <w:lang w:val="en-CA"/>
              </w:rPr>
              <w:t>, 2017) </w:t>
            </w:r>
          </w:p>
        </w:tc>
      </w:tr>
      <w:tr w:rsidR="00C37DA1" w:rsidRPr="00E822AE" w14:paraId="5FBB4D14" w14:textId="77777777">
        <w:trPr>
          <w:trHeight w:val="690"/>
        </w:trPr>
        <w:tc>
          <w:tcPr>
            <w:tcW w:w="2055" w:type="dxa"/>
            <w:tcBorders>
              <w:top w:val="nil"/>
              <w:left w:val="nil"/>
              <w:bottom w:val="nil"/>
              <w:right w:val="nil"/>
            </w:tcBorders>
            <w:hideMark/>
          </w:tcPr>
          <w:p w14:paraId="726BC65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Institutions </w:t>
            </w:r>
          </w:p>
        </w:tc>
        <w:tc>
          <w:tcPr>
            <w:tcW w:w="7155" w:type="dxa"/>
            <w:tcBorders>
              <w:top w:val="nil"/>
              <w:left w:val="nil"/>
              <w:bottom w:val="nil"/>
              <w:right w:val="nil"/>
            </w:tcBorders>
            <w:hideMark/>
          </w:tcPr>
          <w:p w14:paraId="2BA478C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Organisations, both public and private, founded and organised around a common goal. </w:t>
            </w:r>
          </w:p>
        </w:tc>
      </w:tr>
      <w:tr w:rsidR="00C37DA1" w:rsidRPr="00E822AE" w14:paraId="0824ED40" w14:textId="77777777">
        <w:trPr>
          <w:trHeight w:val="990"/>
        </w:trPr>
        <w:tc>
          <w:tcPr>
            <w:tcW w:w="2055" w:type="dxa"/>
            <w:tcBorders>
              <w:top w:val="nil"/>
              <w:left w:val="nil"/>
              <w:bottom w:val="nil"/>
              <w:right w:val="nil"/>
            </w:tcBorders>
            <w:hideMark/>
          </w:tcPr>
          <w:p w14:paraId="2F88D4B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Integrated assessment </w:t>
            </w:r>
          </w:p>
        </w:tc>
        <w:tc>
          <w:tcPr>
            <w:tcW w:w="7155" w:type="dxa"/>
            <w:tcBorders>
              <w:top w:val="nil"/>
              <w:left w:val="nil"/>
              <w:bottom w:val="nil"/>
              <w:right w:val="nil"/>
            </w:tcBorders>
            <w:hideMark/>
          </w:tcPr>
          <w:p w14:paraId="2F55C2F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essential characteristics of integrated assessments are the simultaneous consideration of the multiple dimensions of environmental problems, the integration of various practices and coordinated development. (</w:t>
            </w:r>
            <w:hyperlink r:id="rId614" w:tgtFrame="_blank" w:history="1">
              <w:r w:rsidRPr="00E822AE">
                <w:rPr>
                  <w:rStyle w:val="Hyperlink"/>
                  <w:sz w:val="20"/>
                  <w:szCs w:val="20"/>
                  <w:lang w:val="en-CA"/>
                </w:rPr>
                <w:t>IPBES</w:t>
              </w:r>
            </w:hyperlink>
            <w:r w:rsidRPr="00E822AE">
              <w:rPr>
                <w:sz w:val="20"/>
                <w:szCs w:val="20"/>
                <w:lang w:val="en-CA"/>
              </w:rPr>
              <w:t>, 2016) </w:t>
            </w:r>
          </w:p>
        </w:tc>
      </w:tr>
      <w:tr w:rsidR="00C37DA1" w:rsidRPr="00E822AE" w14:paraId="68A771B9" w14:textId="77777777">
        <w:trPr>
          <w:trHeight w:val="975"/>
        </w:trPr>
        <w:tc>
          <w:tcPr>
            <w:tcW w:w="2055" w:type="dxa"/>
            <w:tcBorders>
              <w:top w:val="nil"/>
              <w:left w:val="nil"/>
              <w:bottom w:val="nil"/>
              <w:right w:val="nil"/>
            </w:tcBorders>
            <w:hideMark/>
          </w:tcPr>
          <w:p w14:paraId="0BAE653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Integrated spatial planning </w:t>
            </w:r>
          </w:p>
        </w:tc>
        <w:tc>
          <w:tcPr>
            <w:tcW w:w="7155" w:type="dxa"/>
            <w:tcBorders>
              <w:top w:val="nil"/>
              <w:left w:val="nil"/>
              <w:bottom w:val="nil"/>
              <w:right w:val="nil"/>
            </w:tcBorders>
            <w:hideMark/>
          </w:tcPr>
          <w:p w14:paraId="3C6E25A8" w14:textId="77777777" w:rsidR="00C37DA1" w:rsidRPr="00E822AE" w:rsidRDefault="00C37DA1" w:rsidP="008B21D8">
            <w:pPr>
              <w:pStyle w:val="CBDNormalNumber"/>
              <w:shd w:val="clear" w:color="auto" w:fill="FFFFFF"/>
              <w:ind w:left="567"/>
              <w:rPr>
                <w:sz w:val="20"/>
                <w:szCs w:val="20"/>
                <w:lang w:val="en-CA"/>
              </w:rPr>
            </w:pPr>
            <w:r w:rsidRPr="00E822AE">
              <w:rPr>
                <w:sz w:val="20"/>
                <w:szCs w:val="20"/>
              </w:rPr>
              <w:t xml:space="preserve">A whole-of-government process to create land and sea use plans to achieve social, economic and ecological objectives for sustainable development. (Adapted from </w:t>
            </w:r>
            <w:hyperlink r:id="rId615" w:tgtFrame="_blank" w:history="1">
              <w:r w:rsidRPr="00E822AE">
                <w:rPr>
                  <w:rStyle w:val="Hyperlink"/>
                  <w:sz w:val="20"/>
                  <w:szCs w:val="20"/>
                </w:rPr>
                <w:t>UNDP</w:t>
              </w:r>
            </w:hyperlink>
            <w:r w:rsidRPr="00E822AE">
              <w:rPr>
                <w:sz w:val="20"/>
                <w:szCs w:val="20"/>
              </w:rPr>
              <w:t>, 2022).</w:t>
            </w:r>
            <w:r w:rsidRPr="00E822AE">
              <w:rPr>
                <w:sz w:val="20"/>
                <w:szCs w:val="20"/>
                <w:lang w:val="en-CA"/>
              </w:rPr>
              <w:t> </w:t>
            </w:r>
          </w:p>
        </w:tc>
      </w:tr>
      <w:tr w:rsidR="00C37DA1" w:rsidRPr="00E822AE" w14:paraId="69741A67" w14:textId="77777777">
        <w:trPr>
          <w:trHeight w:val="1695"/>
        </w:trPr>
        <w:tc>
          <w:tcPr>
            <w:tcW w:w="2055" w:type="dxa"/>
            <w:tcBorders>
              <w:top w:val="nil"/>
              <w:left w:val="nil"/>
              <w:bottom w:val="nil"/>
              <w:right w:val="nil"/>
            </w:tcBorders>
            <w:hideMark/>
          </w:tcPr>
          <w:p w14:paraId="7AC2C24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Integrity </w:t>
            </w:r>
          </w:p>
        </w:tc>
        <w:tc>
          <w:tcPr>
            <w:tcW w:w="7155" w:type="dxa"/>
            <w:tcBorders>
              <w:top w:val="nil"/>
              <w:left w:val="nil"/>
              <w:bottom w:val="nil"/>
              <w:right w:val="nil"/>
            </w:tcBorders>
            <w:hideMark/>
          </w:tcPr>
          <w:p w14:paraId="1CA462E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Refer to the definition of “</w:t>
            </w:r>
            <w:r w:rsidRPr="00E822AE">
              <w:rPr>
                <w:i/>
                <w:iCs/>
                <w:sz w:val="20"/>
                <w:szCs w:val="20"/>
                <w:lang w:val="en-CA"/>
              </w:rPr>
              <w:t>Ecological integrity</w:t>
            </w:r>
            <w:r w:rsidRPr="00E822AE">
              <w:rPr>
                <w:sz w:val="20"/>
                <w:szCs w:val="20"/>
                <w:lang w:val="en-CA"/>
              </w:rPr>
              <w:t>”. </w:t>
            </w:r>
          </w:p>
        </w:tc>
      </w:tr>
      <w:tr w:rsidR="00C37DA1" w:rsidRPr="00E822AE" w14:paraId="0714B090" w14:textId="77777777">
        <w:trPr>
          <w:trHeight w:val="709"/>
        </w:trPr>
        <w:tc>
          <w:tcPr>
            <w:tcW w:w="2055" w:type="dxa"/>
            <w:tcBorders>
              <w:top w:val="nil"/>
              <w:left w:val="nil"/>
              <w:bottom w:val="nil"/>
              <w:right w:val="nil"/>
            </w:tcBorders>
            <w:hideMark/>
          </w:tcPr>
          <w:p w14:paraId="2625C85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Key Biodiversity Area </w:t>
            </w:r>
          </w:p>
        </w:tc>
        <w:tc>
          <w:tcPr>
            <w:tcW w:w="7155" w:type="dxa"/>
            <w:tcBorders>
              <w:top w:val="nil"/>
              <w:left w:val="nil"/>
              <w:bottom w:val="nil"/>
              <w:right w:val="nil"/>
            </w:tcBorders>
            <w:hideMark/>
          </w:tcPr>
          <w:p w14:paraId="1284AE0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Sites that contribute significantly to the global persistence of biodiversity. (</w:t>
            </w:r>
            <w:hyperlink r:id="rId616" w:tgtFrame="_blank" w:history="1">
              <w:r w:rsidRPr="00E822AE">
                <w:rPr>
                  <w:rStyle w:val="Hyperlink"/>
                  <w:sz w:val="20"/>
                  <w:szCs w:val="20"/>
                  <w:lang w:val="en-CA"/>
                </w:rPr>
                <w:t>IUCN</w:t>
              </w:r>
            </w:hyperlink>
            <w:r w:rsidRPr="00E822AE">
              <w:rPr>
                <w:sz w:val="20"/>
                <w:szCs w:val="20"/>
                <w:lang w:val="en-CA"/>
              </w:rPr>
              <w:t>, 2016) </w:t>
            </w:r>
          </w:p>
        </w:tc>
      </w:tr>
      <w:tr w:rsidR="00C37DA1" w:rsidRPr="00E822AE" w14:paraId="6A9285BB" w14:textId="77777777">
        <w:trPr>
          <w:trHeight w:val="1890"/>
        </w:trPr>
        <w:tc>
          <w:tcPr>
            <w:tcW w:w="2055" w:type="dxa"/>
            <w:tcBorders>
              <w:top w:val="nil"/>
              <w:left w:val="nil"/>
              <w:bottom w:val="nil"/>
              <w:right w:val="nil"/>
            </w:tcBorders>
            <w:hideMark/>
          </w:tcPr>
          <w:p w14:paraId="3FC6476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Known threatened species </w:t>
            </w:r>
          </w:p>
        </w:tc>
        <w:tc>
          <w:tcPr>
            <w:tcW w:w="7155" w:type="dxa"/>
            <w:tcBorders>
              <w:top w:val="nil"/>
              <w:left w:val="nil"/>
              <w:bottom w:val="nil"/>
              <w:right w:val="nil"/>
            </w:tcBorders>
            <w:hideMark/>
          </w:tcPr>
          <w:p w14:paraId="34ACF72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Species that have been documented as threatened (qv) on the global IUCN Red List of Threatened Species or on national red lists (often using the guidelines for regional and national application of the IUCN Red List categories and criteria (IUCN 2012). Although many other species are highly likely to be threatened, those for which this is not yet formally “</w:t>
            </w:r>
            <w:r w:rsidRPr="00E822AE">
              <w:rPr>
                <w:i/>
                <w:iCs/>
                <w:sz w:val="20"/>
                <w:szCs w:val="20"/>
                <w:lang w:val="en-CA"/>
              </w:rPr>
              <w:t>known</w:t>
            </w:r>
            <w:r w:rsidRPr="00E822AE">
              <w:rPr>
                <w:sz w:val="20"/>
                <w:szCs w:val="20"/>
                <w:lang w:val="en-CA"/>
              </w:rPr>
              <w:t>” (including large numbers of species that have not even been described to science) are excluded. (McGowan et al. 2024) </w:t>
            </w:r>
          </w:p>
        </w:tc>
      </w:tr>
      <w:tr w:rsidR="00C37DA1" w:rsidRPr="00E822AE" w14:paraId="01384F8E" w14:textId="77777777">
        <w:trPr>
          <w:trHeight w:val="870"/>
        </w:trPr>
        <w:tc>
          <w:tcPr>
            <w:tcW w:w="2055" w:type="dxa"/>
            <w:tcBorders>
              <w:top w:val="nil"/>
              <w:left w:val="nil"/>
              <w:bottom w:val="nil"/>
              <w:right w:val="nil"/>
            </w:tcBorders>
            <w:hideMark/>
          </w:tcPr>
          <w:p w14:paraId="12214CB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Land allocated to streets </w:t>
            </w:r>
          </w:p>
        </w:tc>
        <w:tc>
          <w:tcPr>
            <w:tcW w:w="7155" w:type="dxa"/>
            <w:tcBorders>
              <w:top w:val="nil"/>
              <w:left w:val="nil"/>
              <w:bottom w:val="nil"/>
              <w:right w:val="nil"/>
            </w:tcBorders>
            <w:hideMark/>
          </w:tcPr>
          <w:p w14:paraId="22891D5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Refers to the total area of the city/urban area that is occupied by all forms of streets. This indicator only includes streets available at the time of data collection and excludes proposed networks. (</w:t>
            </w:r>
            <w:hyperlink r:id="rId617" w:tgtFrame="_blank" w:history="1">
              <w:r w:rsidRPr="00E822AE">
                <w:rPr>
                  <w:rStyle w:val="Hyperlink"/>
                  <w:sz w:val="20"/>
                  <w:szCs w:val="20"/>
                  <w:lang w:val="en-CA"/>
                </w:rPr>
                <w:t>UN Habitat</w:t>
              </w:r>
            </w:hyperlink>
            <w:r w:rsidRPr="00E822AE">
              <w:rPr>
                <w:sz w:val="20"/>
                <w:szCs w:val="20"/>
                <w:lang w:val="en-CA"/>
              </w:rPr>
              <w:t>, 2018) </w:t>
            </w:r>
          </w:p>
        </w:tc>
      </w:tr>
      <w:tr w:rsidR="00C37DA1" w:rsidRPr="00E822AE" w14:paraId="6F7B0BE0" w14:textId="77777777">
        <w:trPr>
          <w:trHeight w:val="1965"/>
        </w:trPr>
        <w:tc>
          <w:tcPr>
            <w:tcW w:w="2055" w:type="dxa"/>
            <w:tcBorders>
              <w:top w:val="nil"/>
              <w:left w:val="nil"/>
              <w:bottom w:val="nil"/>
              <w:right w:val="nil"/>
            </w:tcBorders>
            <w:hideMark/>
          </w:tcPr>
          <w:p w14:paraId="6850BB1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Land and sea use change </w:t>
            </w:r>
          </w:p>
        </w:tc>
        <w:tc>
          <w:tcPr>
            <w:tcW w:w="7155" w:type="dxa"/>
            <w:tcBorders>
              <w:top w:val="nil"/>
              <w:left w:val="nil"/>
              <w:bottom w:val="nil"/>
              <w:right w:val="nil"/>
            </w:tcBorders>
            <w:hideMark/>
          </w:tcPr>
          <w:p w14:paraId="7C2696F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Land-use change includes the conversion of land cover (e.g. deforestation or mining), changes in the management of the ecosystem or </w:t>
            </w:r>
            <w:proofErr w:type="spellStart"/>
            <w:r w:rsidRPr="00E822AE">
              <w:rPr>
                <w:sz w:val="20"/>
                <w:szCs w:val="20"/>
                <w:lang w:val="en-CA"/>
              </w:rPr>
              <w:t>agro</w:t>
            </w:r>
            <w:proofErr w:type="spellEnd"/>
            <w:r w:rsidRPr="00E822AE">
              <w:rPr>
                <w:sz w:val="20"/>
                <w:szCs w:val="20"/>
                <w:lang w:val="en-CA"/>
              </w:rPr>
              <w:t>-ecosystem (e.g. through the intensification of agricultural management or forest harvesting) or changes in the spatial configuration of the landscape (e.g. fragmentation of habitats). Similarly, sea-use change refers to measures and activities altering the use of marine areas, for example, coastal development, offshore aquaculture, mariculture, oil and gas exploration, and bottom trawling. (</w:t>
            </w:r>
            <w:hyperlink r:id="rId618" w:tgtFrame="_blank" w:history="1">
              <w:r w:rsidRPr="00E822AE">
                <w:rPr>
                  <w:rStyle w:val="Hyperlink"/>
                  <w:sz w:val="20"/>
                  <w:szCs w:val="20"/>
                  <w:lang w:val="en-CA"/>
                </w:rPr>
                <w:t>IPBES</w:t>
              </w:r>
            </w:hyperlink>
            <w:r w:rsidRPr="00E822AE">
              <w:rPr>
                <w:sz w:val="20"/>
                <w:szCs w:val="20"/>
                <w:u w:val="single"/>
                <w:lang w:val="en-CA"/>
              </w:rPr>
              <w:t xml:space="preserve"> and </w:t>
            </w:r>
            <w:hyperlink r:id="rId619" w:history="1">
              <w:r w:rsidRPr="00E822AE">
                <w:rPr>
                  <w:rStyle w:val="Hyperlink"/>
                  <w:sz w:val="20"/>
                  <w:szCs w:val="20"/>
                  <w:lang w:val="en-CA"/>
                </w:rPr>
                <w:t>IPBES</w:t>
              </w:r>
            </w:hyperlink>
            <w:r w:rsidRPr="00E822AE">
              <w:rPr>
                <w:sz w:val="20"/>
                <w:szCs w:val="20"/>
                <w:u w:val="single"/>
                <w:lang w:val="en-CA"/>
              </w:rPr>
              <w:t xml:space="preserve"> and IPBES</w:t>
            </w:r>
            <w:r w:rsidRPr="00E822AE">
              <w:rPr>
                <w:sz w:val="20"/>
                <w:szCs w:val="20"/>
                <w:lang w:val="en-CA"/>
              </w:rPr>
              <w:t>) </w:t>
            </w:r>
          </w:p>
        </w:tc>
      </w:tr>
      <w:tr w:rsidR="00C37DA1" w:rsidRPr="00E822AE" w14:paraId="3CE1226F" w14:textId="77777777">
        <w:trPr>
          <w:trHeight w:val="1260"/>
        </w:trPr>
        <w:tc>
          <w:tcPr>
            <w:tcW w:w="2055" w:type="dxa"/>
            <w:tcBorders>
              <w:top w:val="nil"/>
              <w:left w:val="nil"/>
              <w:bottom w:val="nil"/>
              <w:right w:val="nil"/>
            </w:tcBorders>
            <w:hideMark/>
          </w:tcPr>
          <w:p w14:paraId="5E83716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Landslide mitigation services </w:t>
            </w:r>
          </w:p>
        </w:tc>
        <w:tc>
          <w:tcPr>
            <w:tcW w:w="7155" w:type="dxa"/>
            <w:tcBorders>
              <w:top w:val="nil"/>
              <w:left w:val="nil"/>
              <w:bottom w:val="nil"/>
              <w:right w:val="nil"/>
            </w:tcBorders>
            <w:hideMark/>
          </w:tcPr>
          <w:p w14:paraId="73A2854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ecosystem contributions, particularly the land stabilising effects of vegetation, that mitigates or prevents potential damage to human health and safety and damaging effects to buildings and infrastructure that arise from the mass movement (wasting) of soil, rock and snow. (</w:t>
            </w:r>
            <w:hyperlink r:id="rId620"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10EE7018" w14:textId="77777777">
        <w:trPr>
          <w:trHeight w:val="1952"/>
        </w:trPr>
        <w:tc>
          <w:tcPr>
            <w:tcW w:w="2055" w:type="dxa"/>
            <w:tcBorders>
              <w:top w:val="nil"/>
              <w:left w:val="nil"/>
              <w:bottom w:val="nil"/>
              <w:right w:val="nil"/>
            </w:tcBorders>
            <w:hideMark/>
          </w:tcPr>
          <w:p w14:paraId="23F2C42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 xml:space="preserve">Large and transnational    companies </w:t>
            </w:r>
            <w:proofErr w:type="gramStart"/>
            <w:r w:rsidRPr="00E822AE">
              <w:rPr>
                <w:sz w:val="20"/>
                <w:szCs w:val="20"/>
                <w:lang w:val="en-CA"/>
              </w:rPr>
              <w:t>and  financial</w:t>
            </w:r>
            <w:proofErr w:type="gramEnd"/>
            <w:r w:rsidRPr="00E822AE">
              <w:rPr>
                <w:sz w:val="20"/>
                <w:szCs w:val="20"/>
                <w:lang w:val="en-CA"/>
              </w:rPr>
              <w:t xml:space="preserve"> institutions </w:t>
            </w:r>
          </w:p>
        </w:tc>
        <w:tc>
          <w:tcPr>
            <w:tcW w:w="7155" w:type="dxa"/>
            <w:tcBorders>
              <w:top w:val="nil"/>
              <w:left w:val="nil"/>
              <w:bottom w:val="nil"/>
              <w:right w:val="nil"/>
            </w:tcBorders>
            <w:hideMark/>
          </w:tcPr>
          <w:p w14:paraId="335CF9F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A large private or public firm which owns and controls productive assets and/or holds investments in two or more countries. The </w:t>
            </w:r>
            <w:proofErr w:type="gramStart"/>
            <w:r w:rsidRPr="00E822AE">
              <w:rPr>
                <w:sz w:val="20"/>
                <w:szCs w:val="20"/>
                <w:lang w:val="en-CA"/>
              </w:rPr>
              <w:t>most commonly used</w:t>
            </w:r>
            <w:proofErr w:type="gramEnd"/>
            <w:r w:rsidRPr="00E822AE">
              <w:rPr>
                <w:sz w:val="20"/>
                <w:szCs w:val="20"/>
                <w:lang w:val="en-CA"/>
              </w:rPr>
              <w:t xml:space="preserve"> criteria for company size are employment and annual revenue. The World Bank generally considers companies with over 300 employees and $15 million in annual revenue to be “</w:t>
            </w:r>
            <w:r w:rsidRPr="00E822AE">
              <w:rPr>
                <w:i/>
                <w:iCs/>
                <w:sz w:val="20"/>
                <w:szCs w:val="20"/>
                <w:lang w:val="en-CA"/>
              </w:rPr>
              <w:t>large</w:t>
            </w:r>
            <w:r w:rsidRPr="00E822AE">
              <w:rPr>
                <w:sz w:val="20"/>
                <w:szCs w:val="20"/>
                <w:lang w:val="en-CA"/>
              </w:rPr>
              <w:t>”. However, some countries or jurisdictions use different thresholds to define “</w:t>
            </w:r>
            <w:r w:rsidRPr="00E822AE">
              <w:rPr>
                <w:i/>
                <w:iCs/>
                <w:sz w:val="20"/>
                <w:szCs w:val="20"/>
                <w:lang w:val="en-CA"/>
              </w:rPr>
              <w:t>large</w:t>
            </w:r>
            <w:r w:rsidRPr="00E822AE">
              <w:rPr>
                <w:sz w:val="20"/>
                <w:szCs w:val="20"/>
                <w:lang w:val="en-CA"/>
              </w:rPr>
              <w:t xml:space="preserve">”. Parties may choose to rely on the World Bank criteria or nationally recognised criteria of their own. (Adapted from </w:t>
            </w:r>
            <w:hyperlink r:id="rId621" w:tgtFrame="_blank" w:history="1">
              <w:r w:rsidRPr="00E822AE">
                <w:rPr>
                  <w:rStyle w:val="Hyperlink"/>
                  <w:sz w:val="20"/>
                  <w:szCs w:val="20"/>
                  <w:lang w:val="en-CA"/>
                </w:rPr>
                <w:t>World Bank</w:t>
              </w:r>
            </w:hyperlink>
            <w:r w:rsidRPr="00E822AE">
              <w:rPr>
                <w:sz w:val="20"/>
                <w:szCs w:val="20"/>
                <w:lang w:val="en-CA"/>
              </w:rPr>
              <w:t xml:space="preserve">, 2020 and </w:t>
            </w:r>
            <w:hyperlink r:id="rId622" w:tgtFrame="_blank" w:history="1">
              <w:r w:rsidRPr="00E822AE">
                <w:rPr>
                  <w:rStyle w:val="Hyperlink"/>
                  <w:sz w:val="20"/>
                  <w:szCs w:val="20"/>
                  <w:lang w:val="en-CA"/>
                </w:rPr>
                <w:t>IFC</w:t>
              </w:r>
            </w:hyperlink>
            <w:r w:rsidRPr="00E822AE">
              <w:rPr>
                <w:sz w:val="20"/>
                <w:szCs w:val="20"/>
                <w:lang w:val="en-CA"/>
              </w:rPr>
              <w:t>) </w:t>
            </w:r>
          </w:p>
        </w:tc>
      </w:tr>
      <w:tr w:rsidR="00C37DA1" w:rsidRPr="00E822AE" w14:paraId="55205857" w14:textId="77777777">
        <w:trPr>
          <w:trHeight w:val="675"/>
        </w:trPr>
        <w:tc>
          <w:tcPr>
            <w:tcW w:w="2055" w:type="dxa"/>
            <w:tcBorders>
              <w:top w:val="nil"/>
              <w:left w:val="nil"/>
              <w:bottom w:val="nil"/>
              <w:right w:val="nil"/>
            </w:tcBorders>
            <w:hideMark/>
          </w:tcPr>
          <w:p w14:paraId="264F09C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Legal instruments </w:t>
            </w:r>
          </w:p>
        </w:tc>
        <w:tc>
          <w:tcPr>
            <w:tcW w:w="7155" w:type="dxa"/>
            <w:tcBorders>
              <w:top w:val="nil"/>
              <w:left w:val="nil"/>
              <w:bottom w:val="nil"/>
              <w:right w:val="nil"/>
            </w:tcBorders>
            <w:hideMark/>
          </w:tcPr>
          <w:p w14:paraId="4136246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Formal written documents that represent a contractual duty or obligation and are recognized and enforceable by law. </w:t>
            </w:r>
          </w:p>
        </w:tc>
      </w:tr>
      <w:tr w:rsidR="00C37DA1" w:rsidRPr="00E822AE" w14:paraId="21F9755D" w14:textId="77777777">
        <w:trPr>
          <w:trHeight w:val="458"/>
        </w:trPr>
        <w:tc>
          <w:tcPr>
            <w:tcW w:w="2055" w:type="dxa"/>
            <w:tcBorders>
              <w:top w:val="nil"/>
              <w:left w:val="nil"/>
              <w:bottom w:val="nil"/>
              <w:right w:val="nil"/>
            </w:tcBorders>
            <w:hideMark/>
          </w:tcPr>
          <w:p w14:paraId="54E9ED4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Legislative framework </w:t>
            </w:r>
          </w:p>
        </w:tc>
        <w:tc>
          <w:tcPr>
            <w:tcW w:w="7155" w:type="dxa"/>
            <w:tcBorders>
              <w:top w:val="nil"/>
              <w:left w:val="nil"/>
              <w:bottom w:val="nil"/>
              <w:right w:val="nil"/>
            </w:tcBorders>
            <w:hideMark/>
          </w:tcPr>
          <w:p w14:paraId="2D40974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sets of rules that structure lawmaking. </w:t>
            </w:r>
          </w:p>
        </w:tc>
      </w:tr>
      <w:tr w:rsidR="00C37DA1" w:rsidRPr="00E822AE" w14:paraId="1F92095B" w14:textId="77777777">
        <w:trPr>
          <w:trHeight w:val="1020"/>
        </w:trPr>
        <w:tc>
          <w:tcPr>
            <w:tcW w:w="2055" w:type="dxa"/>
            <w:tcBorders>
              <w:top w:val="nil"/>
              <w:left w:val="nil"/>
              <w:bottom w:val="nil"/>
              <w:right w:val="nil"/>
            </w:tcBorders>
            <w:hideMark/>
          </w:tcPr>
          <w:p w14:paraId="7A18251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Living modified organisms </w:t>
            </w:r>
          </w:p>
        </w:tc>
        <w:tc>
          <w:tcPr>
            <w:tcW w:w="7155" w:type="dxa"/>
            <w:tcBorders>
              <w:top w:val="nil"/>
              <w:left w:val="nil"/>
              <w:bottom w:val="nil"/>
              <w:right w:val="nil"/>
            </w:tcBorders>
            <w:hideMark/>
          </w:tcPr>
          <w:p w14:paraId="0B538E9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Cartagena Protocol on Biosafety defines “</w:t>
            </w:r>
            <w:r w:rsidRPr="00E822AE">
              <w:rPr>
                <w:i/>
                <w:iCs/>
                <w:sz w:val="20"/>
                <w:szCs w:val="20"/>
                <w:lang w:val="en-CA"/>
              </w:rPr>
              <w:t>living modified organism</w:t>
            </w:r>
            <w:r w:rsidRPr="00E822AE">
              <w:rPr>
                <w:sz w:val="20"/>
                <w:szCs w:val="20"/>
                <w:lang w:val="en-CA"/>
              </w:rPr>
              <w:t xml:space="preserve">” as any living organism that possesses a novel combination of genetic material obtained </w:t>
            </w:r>
            <w:proofErr w:type="gramStart"/>
            <w:r w:rsidRPr="00E822AE">
              <w:rPr>
                <w:sz w:val="20"/>
                <w:szCs w:val="20"/>
                <w:lang w:val="en-CA"/>
              </w:rPr>
              <w:t>through the use of</w:t>
            </w:r>
            <w:proofErr w:type="gramEnd"/>
            <w:r w:rsidRPr="00E822AE">
              <w:rPr>
                <w:sz w:val="20"/>
                <w:szCs w:val="20"/>
                <w:lang w:val="en-CA"/>
              </w:rPr>
              <w:t xml:space="preserve"> modern biotechnology. (</w:t>
            </w:r>
            <w:hyperlink r:id="rId623" w:tgtFrame="_blank" w:history="1">
              <w:r w:rsidRPr="00E822AE">
                <w:rPr>
                  <w:rStyle w:val="Hyperlink"/>
                  <w:sz w:val="20"/>
                  <w:szCs w:val="20"/>
                  <w:lang w:val="en-CA"/>
                </w:rPr>
                <w:t>IPBES</w:t>
              </w:r>
            </w:hyperlink>
            <w:r w:rsidRPr="00E822AE">
              <w:rPr>
                <w:sz w:val="20"/>
                <w:szCs w:val="20"/>
                <w:lang w:val="en-CA"/>
              </w:rPr>
              <w:t>, 2022) </w:t>
            </w:r>
          </w:p>
        </w:tc>
      </w:tr>
      <w:tr w:rsidR="00C37DA1" w:rsidRPr="00E822AE" w14:paraId="6891EB34" w14:textId="77777777">
        <w:trPr>
          <w:trHeight w:val="2025"/>
        </w:trPr>
        <w:tc>
          <w:tcPr>
            <w:tcW w:w="2055" w:type="dxa"/>
            <w:tcBorders>
              <w:top w:val="nil"/>
              <w:left w:val="nil"/>
              <w:bottom w:val="nil"/>
              <w:right w:val="nil"/>
            </w:tcBorders>
            <w:hideMark/>
          </w:tcPr>
          <w:p w14:paraId="407D9B0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Mainstreaming biodiversity </w:t>
            </w:r>
          </w:p>
        </w:tc>
        <w:tc>
          <w:tcPr>
            <w:tcW w:w="7155" w:type="dxa"/>
            <w:tcBorders>
              <w:top w:val="nil"/>
              <w:left w:val="nil"/>
              <w:bottom w:val="nil"/>
              <w:right w:val="nil"/>
            </w:tcBorders>
            <w:hideMark/>
          </w:tcPr>
          <w:p w14:paraId="2DB0895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Biodiversity mainstreaming is generally understood as ensuring that biodiversity, and the services it provides, are appropriately and adequately factored into policies, strategies, plans and practices that rely and have an impact on biodiversity, so that it is conserved and sustainably used. A final definition may be proposed during COP16 as part of the Long-term Strategic Approach to Mainstreaming Biodiversity (see CBD/COP/DEC/15/6).  </w:t>
            </w:r>
          </w:p>
        </w:tc>
      </w:tr>
      <w:tr w:rsidR="00C37DA1" w:rsidRPr="00E822AE" w14:paraId="552FBA7E" w14:textId="77777777">
        <w:trPr>
          <w:trHeight w:val="1701"/>
        </w:trPr>
        <w:tc>
          <w:tcPr>
            <w:tcW w:w="2055" w:type="dxa"/>
            <w:tcBorders>
              <w:top w:val="nil"/>
              <w:left w:val="nil"/>
              <w:bottom w:val="nil"/>
              <w:right w:val="nil"/>
            </w:tcBorders>
            <w:hideMark/>
          </w:tcPr>
          <w:p w14:paraId="40F91BD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Maintain genetic diversity </w:t>
            </w:r>
          </w:p>
        </w:tc>
        <w:tc>
          <w:tcPr>
            <w:tcW w:w="7155" w:type="dxa"/>
            <w:tcBorders>
              <w:top w:val="nil"/>
              <w:left w:val="nil"/>
              <w:bottom w:val="nil"/>
              <w:right w:val="nil"/>
            </w:tcBorders>
            <w:hideMark/>
          </w:tcPr>
          <w:p w14:paraId="2FAE84F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amount of genetic diversity (alleles, heterozygosity) does not decrease, and there is no loss of within-population genetic diversity or among population genetic diversity; the precise genetic composition may shift for adapting to environmental change. The Ne 500 indicator ensures maintenance of within-population genetic diversity. Some scientists have argued for a more conservative minimum Ne of 1000, though the Ne 500 recommendation remains common. </w:t>
            </w:r>
          </w:p>
        </w:tc>
      </w:tr>
      <w:tr w:rsidR="00C37DA1" w:rsidRPr="00E822AE" w14:paraId="775BE4FF" w14:textId="77777777">
        <w:trPr>
          <w:trHeight w:val="704"/>
        </w:trPr>
        <w:tc>
          <w:tcPr>
            <w:tcW w:w="2055" w:type="dxa"/>
            <w:tcBorders>
              <w:top w:val="nil"/>
              <w:left w:val="nil"/>
              <w:bottom w:val="nil"/>
              <w:right w:val="nil"/>
            </w:tcBorders>
            <w:hideMark/>
          </w:tcPr>
          <w:p w14:paraId="2312478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Maintenance of biodiversity and NCP </w:t>
            </w:r>
          </w:p>
        </w:tc>
        <w:tc>
          <w:tcPr>
            <w:tcW w:w="7155" w:type="dxa"/>
            <w:tcBorders>
              <w:top w:val="nil"/>
              <w:left w:val="nil"/>
              <w:bottom w:val="nil"/>
              <w:right w:val="nil"/>
            </w:tcBorders>
            <w:hideMark/>
          </w:tcPr>
          <w:p w14:paraId="0F4F7C3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To keep the existing quantity and quality of biodiversity and nature’s contribution to people. </w:t>
            </w:r>
          </w:p>
        </w:tc>
      </w:tr>
      <w:tr w:rsidR="00C37DA1" w:rsidRPr="00E822AE" w14:paraId="7BAACFCC" w14:textId="77777777">
        <w:trPr>
          <w:trHeight w:val="1740"/>
        </w:trPr>
        <w:tc>
          <w:tcPr>
            <w:tcW w:w="2055" w:type="dxa"/>
            <w:tcBorders>
              <w:top w:val="nil"/>
              <w:left w:val="nil"/>
              <w:bottom w:val="nil"/>
              <w:right w:val="nil"/>
            </w:tcBorders>
            <w:hideMark/>
          </w:tcPr>
          <w:p w14:paraId="1B6D073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Managed/ anthropogenic ecosystems </w:t>
            </w:r>
          </w:p>
        </w:tc>
        <w:tc>
          <w:tcPr>
            <w:tcW w:w="7155" w:type="dxa"/>
            <w:tcBorders>
              <w:top w:val="nil"/>
              <w:left w:val="nil"/>
              <w:bottom w:val="nil"/>
              <w:right w:val="nil"/>
            </w:tcBorders>
            <w:hideMark/>
          </w:tcPr>
          <w:p w14:paraId="40BBB20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Are predominantly influenced by human activities where a stable natural ecological state is unobtainable and future socio-economic interventions are required to maintain a new stable state. Examples (with reference to IUCN GET) are urban green spaces and croplands, artificial waterbodies and anthropogenic marine systems. Managed/anthropogenic ecosystems are defined based on the IUCN GET Ecosystem Functional Groups. </w:t>
            </w:r>
            <w:r w:rsidRPr="00E822AE">
              <w:rPr>
                <w:sz w:val="20"/>
                <w:szCs w:val="20"/>
              </w:rPr>
              <w:t>(Keith et al. 2020)</w:t>
            </w:r>
            <w:r w:rsidRPr="00E822AE">
              <w:rPr>
                <w:sz w:val="20"/>
                <w:szCs w:val="20"/>
                <w:lang w:val="en-CA"/>
              </w:rPr>
              <w:t> </w:t>
            </w:r>
          </w:p>
        </w:tc>
      </w:tr>
      <w:tr w:rsidR="00C37DA1" w:rsidRPr="00E822AE" w14:paraId="3DDE0DC7" w14:textId="77777777">
        <w:trPr>
          <w:trHeight w:val="1944"/>
        </w:trPr>
        <w:tc>
          <w:tcPr>
            <w:tcW w:w="2055" w:type="dxa"/>
            <w:tcBorders>
              <w:top w:val="nil"/>
              <w:left w:val="nil"/>
              <w:bottom w:val="nil"/>
              <w:right w:val="nil"/>
            </w:tcBorders>
            <w:hideMark/>
          </w:tcPr>
          <w:p w14:paraId="62F2C9F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Maximum Sustainable Yield (MSY) </w:t>
            </w:r>
          </w:p>
        </w:tc>
        <w:tc>
          <w:tcPr>
            <w:tcW w:w="7155" w:type="dxa"/>
            <w:tcBorders>
              <w:top w:val="nil"/>
              <w:left w:val="nil"/>
              <w:bottom w:val="nil"/>
              <w:right w:val="nil"/>
            </w:tcBorders>
            <w:hideMark/>
          </w:tcPr>
          <w:p w14:paraId="173A97C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greatest average amount of catch that can be harvested in the long-term from a stock under constant and current environmental conditions (e.g. habitat, water conditions, species birth, growth, or death rates of the stock), without affecting the long-term productivity of the stock. A composition and interactions, and anything that could affect stock can produce MSY if its abundance is above a certain level, usually around 50% of its unexploited abundance (but actual value can vary around that level, depending on the biological characteristics of the stock). (</w:t>
            </w:r>
            <w:hyperlink r:id="rId624" w:tgtFrame="_blank" w:history="1">
              <w:r w:rsidRPr="00E822AE">
                <w:rPr>
                  <w:rStyle w:val="Hyperlink"/>
                  <w:sz w:val="20"/>
                  <w:szCs w:val="20"/>
                  <w:lang w:val="en-CA"/>
                </w:rPr>
                <w:t>FAO</w:t>
              </w:r>
            </w:hyperlink>
            <w:r w:rsidRPr="00E822AE">
              <w:rPr>
                <w:sz w:val="20"/>
                <w:szCs w:val="20"/>
                <w:lang w:val="en-CA"/>
              </w:rPr>
              <w:t>) </w:t>
            </w:r>
          </w:p>
        </w:tc>
      </w:tr>
      <w:tr w:rsidR="00C37DA1" w:rsidRPr="00E822AE" w14:paraId="3CC86BA3" w14:textId="77777777">
        <w:trPr>
          <w:trHeight w:val="675"/>
        </w:trPr>
        <w:tc>
          <w:tcPr>
            <w:tcW w:w="2055" w:type="dxa"/>
            <w:tcBorders>
              <w:top w:val="nil"/>
              <w:left w:val="nil"/>
              <w:bottom w:val="nil"/>
              <w:right w:val="nil"/>
            </w:tcBorders>
            <w:hideMark/>
          </w:tcPr>
          <w:p w14:paraId="0AC36CA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Mitigate </w:t>
            </w:r>
          </w:p>
        </w:tc>
        <w:tc>
          <w:tcPr>
            <w:tcW w:w="7155" w:type="dxa"/>
            <w:tcBorders>
              <w:top w:val="nil"/>
              <w:left w:val="nil"/>
              <w:bottom w:val="nil"/>
              <w:right w:val="nil"/>
            </w:tcBorders>
            <w:hideMark/>
          </w:tcPr>
          <w:p w14:paraId="062B0E1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 the context of IPBES, an intervention to reduce negative or unsustainable uses of biodiversity and ecosystems. (</w:t>
            </w:r>
            <w:hyperlink r:id="rId625" w:tgtFrame="_blank" w:history="1">
              <w:r w:rsidRPr="00E822AE">
                <w:rPr>
                  <w:rStyle w:val="Hyperlink"/>
                  <w:sz w:val="20"/>
                  <w:szCs w:val="20"/>
                  <w:lang w:val="en-CA"/>
                </w:rPr>
                <w:t>IPBES</w:t>
              </w:r>
            </w:hyperlink>
            <w:r w:rsidRPr="00E822AE">
              <w:rPr>
                <w:sz w:val="20"/>
                <w:szCs w:val="20"/>
                <w:lang w:val="en-CA"/>
              </w:rPr>
              <w:t>, 2018) </w:t>
            </w:r>
          </w:p>
        </w:tc>
      </w:tr>
      <w:tr w:rsidR="00C37DA1" w:rsidRPr="00E822AE" w14:paraId="7993B032" w14:textId="77777777">
        <w:trPr>
          <w:trHeight w:val="675"/>
        </w:trPr>
        <w:tc>
          <w:tcPr>
            <w:tcW w:w="2055" w:type="dxa"/>
            <w:tcBorders>
              <w:top w:val="nil"/>
              <w:left w:val="nil"/>
              <w:bottom w:val="nil"/>
              <w:right w:val="nil"/>
            </w:tcBorders>
            <w:hideMark/>
          </w:tcPr>
          <w:p w14:paraId="6FD6198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Mitigation of climate change </w:t>
            </w:r>
          </w:p>
        </w:tc>
        <w:tc>
          <w:tcPr>
            <w:tcW w:w="7155" w:type="dxa"/>
            <w:tcBorders>
              <w:top w:val="nil"/>
              <w:left w:val="nil"/>
              <w:bottom w:val="nil"/>
              <w:right w:val="nil"/>
            </w:tcBorders>
            <w:hideMark/>
          </w:tcPr>
          <w:p w14:paraId="039EAE5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human intervention to reduce the drivers of climate change and ocean acidification or enhance the sinks of greenhouse gases. (</w:t>
            </w:r>
            <w:hyperlink r:id="rId626" w:tgtFrame="_blank" w:history="1">
              <w:r w:rsidRPr="00E822AE">
                <w:rPr>
                  <w:rStyle w:val="Hyperlink"/>
                  <w:sz w:val="20"/>
                  <w:szCs w:val="20"/>
                  <w:lang w:val="en-CA"/>
                </w:rPr>
                <w:t>IPBES</w:t>
              </w:r>
            </w:hyperlink>
            <w:r w:rsidRPr="00E822AE">
              <w:rPr>
                <w:sz w:val="20"/>
                <w:szCs w:val="20"/>
                <w:lang w:val="en-CA"/>
              </w:rPr>
              <w:t>, 2018) </w:t>
            </w:r>
          </w:p>
        </w:tc>
      </w:tr>
      <w:tr w:rsidR="00C37DA1" w:rsidRPr="00E822AE" w14:paraId="5EAFE288" w14:textId="77777777">
        <w:trPr>
          <w:trHeight w:val="1695"/>
        </w:trPr>
        <w:tc>
          <w:tcPr>
            <w:tcW w:w="2055" w:type="dxa"/>
            <w:tcBorders>
              <w:top w:val="nil"/>
              <w:left w:val="nil"/>
              <w:bottom w:val="nil"/>
              <w:right w:val="nil"/>
            </w:tcBorders>
            <w:hideMark/>
          </w:tcPr>
          <w:p w14:paraId="31DB77E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Modern biotechnology </w:t>
            </w:r>
          </w:p>
        </w:tc>
        <w:tc>
          <w:tcPr>
            <w:tcW w:w="7155" w:type="dxa"/>
            <w:tcBorders>
              <w:top w:val="nil"/>
              <w:left w:val="nil"/>
              <w:bottom w:val="nil"/>
              <w:right w:val="nil"/>
            </w:tcBorders>
            <w:hideMark/>
          </w:tcPr>
          <w:p w14:paraId="4B92ED8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Under the Cartagena Protocol, “</w:t>
            </w:r>
            <w:r w:rsidRPr="00E822AE">
              <w:rPr>
                <w:i/>
                <w:iCs/>
                <w:sz w:val="20"/>
                <w:szCs w:val="20"/>
                <w:lang w:val="en-CA"/>
              </w:rPr>
              <w:t>modern biotechnology</w:t>
            </w:r>
            <w:r w:rsidRPr="00E822AE">
              <w:rPr>
                <w:sz w:val="20"/>
                <w:szCs w:val="20"/>
                <w:lang w:val="en-CA"/>
              </w:rPr>
              <w:t>” means the application of in vitro nucleic acid techniques, including recombinant deoxyribonucleic acid (DNA) and direct injection of nucleic acid into cells or organelles, or fusion of cells beyond the taxonomic family, that overcome natural physiological reproductive or recombination barriers and that are not techniques used in traditional breeding and selection. (Cartagena Protocol, Article 3(</w:t>
            </w:r>
            <w:proofErr w:type="spellStart"/>
            <w:r w:rsidRPr="00E822AE">
              <w:rPr>
                <w:sz w:val="20"/>
                <w:szCs w:val="20"/>
                <w:lang w:val="en-CA"/>
              </w:rPr>
              <w:t>i</w:t>
            </w:r>
            <w:proofErr w:type="spellEnd"/>
            <w:r w:rsidRPr="00E822AE">
              <w:rPr>
                <w:sz w:val="20"/>
                <w:szCs w:val="20"/>
                <w:lang w:val="en-CA"/>
              </w:rPr>
              <w:t>)). </w:t>
            </w:r>
          </w:p>
        </w:tc>
      </w:tr>
      <w:tr w:rsidR="00C37DA1" w:rsidRPr="00E822AE" w14:paraId="046F09E3" w14:textId="77777777">
        <w:trPr>
          <w:trHeight w:val="2025"/>
        </w:trPr>
        <w:tc>
          <w:tcPr>
            <w:tcW w:w="2055" w:type="dxa"/>
            <w:tcBorders>
              <w:top w:val="nil"/>
              <w:left w:val="nil"/>
              <w:bottom w:val="nil"/>
              <w:right w:val="nil"/>
            </w:tcBorders>
            <w:hideMark/>
          </w:tcPr>
          <w:p w14:paraId="1C9270F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Monetary ecosystem services flow accounts </w:t>
            </w:r>
          </w:p>
        </w:tc>
        <w:tc>
          <w:tcPr>
            <w:tcW w:w="7155" w:type="dxa"/>
            <w:tcBorders>
              <w:top w:val="nil"/>
              <w:left w:val="nil"/>
              <w:bottom w:val="nil"/>
              <w:right w:val="nil"/>
            </w:tcBorders>
            <w:hideMark/>
          </w:tcPr>
          <w:p w14:paraId="3904B3B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Describe the ecosystem services generated by the ecosystem asset in monetary terms. Aggregate indicators in monetary terms, namely Gross Ecosystem Product (GEP) can be derived using relevant entries of ecosystem services in the monetary ecosystem services flow account. Metrics of monetary units are measured in terms of dollar or local currency. Indicators are measured in terms of their percentage change over an accounting period or with respect to the baseline period determined by countries. (</w:t>
            </w:r>
            <w:hyperlink r:id="rId627"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3D19448C" w14:textId="77777777">
        <w:trPr>
          <w:trHeight w:val="330"/>
        </w:trPr>
        <w:tc>
          <w:tcPr>
            <w:tcW w:w="2055" w:type="dxa"/>
            <w:tcBorders>
              <w:top w:val="nil"/>
              <w:left w:val="nil"/>
              <w:bottom w:val="nil"/>
              <w:right w:val="nil"/>
            </w:tcBorders>
            <w:hideMark/>
          </w:tcPr>
          <w:p w14:paraId="32DB08D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Monitor </w:t>
            </w:r>
          </w:p>
        </w:tc>
        <w:tc>
          <w:tcPr>
            <w:tcW w:w="7155" w:type="dxa"/>
            <w:tcBorders>
              <w:top w:val="nil"/>
              <w:left w:val="nil"/>
              <w:bottom w:val="nil"/>
              <w:right w:val="nil"/>
            </w:tcBorders>
            <w:hideMark/>
          </w:tcPr>
          <w:p w14:paraId="17EF86A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Monitoring is the repeated observation of a system </w:t>
            </w:r>
            <w:proofErr w:type="gramStart"/>
            <w:r w:rsidRPr="00E822AE">
              <w:rPr>
                <w:sz w:val="20"/>
                <w:szCs w:val="20"/>
                <w:lang w:val="en-CA"/>
              </w:rPr>
              <w:t>in order to</w:t>
            </w:r>
            <w:proofErr w:type="gramEnd"/>
            <w:r w:rsidRPr="00E822AE">
              <w:rPr>
                <w:sz w:val="20"/>
                <w:szCs w:val="20"/>
                <w:lang w:val="en-CA"/>
              </w:rPr>
              <w:t xml:space="preserve"> detect signs of change. (</w:t>
            </w:r>
            <w:hyperlink r:id="rId628" w:tgtFrame="_blank" w:history="1">
              <w:r w:rsidRPr="00E822AE">
                <w:rPr>
                  <w:rStyle w:val="Hyperlink"/>
                  <w:sz w:val="20"/>
                  <w:szCs w:val="20"/>
                  <w:lang w:val="en-CA"/>
                </w:rPr>
                <w:t>IPBES</w:t>
              </w:r>
            </w:hyperlink>
            <w:r w:rsidRPr="00E822AE">
              <w:rPr>
                <w:sz w:val="20"/>
                <w:szCs w:val="20"/>
                <w:lang w:val="en-CA"/>
              </w:rPr>
              <w:t>, 2019) </w:t>
            </w:r>
          </w:p>
          <w:p w14:paraId="5B0DD7B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w:t>
            </w:r>
          </w:p>
        </w:tc>
      </w:tr>
      <w:tr w:rsidR="00C37DA1" w:rsidRPr="00E822AE" w14:paraId="77D1E456" w14:textId="77777777">
        <w:trPr>
          <w:trHeight w:val="2040"/>
        </w:trPr>
        <w:tc>
          <w:tcPr>
            <w:tcW w:w="2055" w:type="dxa"/>
            <w:tcBorders>
              <w:top w:val="nil"/>
              <w:left w:val="nil"/>
              <w:bottom w:val="nil"/>
              <w:right w:val="nil"/>
            </w:tcBorders>
            <w:hideMark/>
          </w:tcPr>
          <w:p w14:paraId="0D678A2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Multiple values of biodiversity </w:t>
            </w:r>
          </w:p>
        </w:tc>
        <w:tc>
          <w:tcPr>
            <w:tcW w:w="7155" w:type="dxa"/>
            <w:tcBorders>
              <w:top w:val="nil"/>
              <w:left w:val="nil"/>
              <w:bottom w:val="nil"/>
              <w:right w:val="nil"/>
            </w:tcBorders>
            <w:hideMark/>
          </w:tcPr>
          <w:p w14:paraId="582AAA3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Biodiversity values include diverse considerations from ecological, genetic, economic, cultural, social, scientific, educational, recreational, aesthetic and intrinsic perspectives. Valuation and values of biodiversity require the recognition of a wide range of worldviews and plural value dimensions of the meaning and importance of nature associated with the quality of human life seen as interdependent in terms of biophysical, sociocultural, economic, health or holistic perspectives. (for a definition of value systems see the </w:t>
            </w:r>
            <w:hyperlink r:id="rId629" w:anchor=".Yz8p-bYpBZU" w:tgtFrame="_blank" w:history="1">
              <w:r w:rsidRPr="00E822AE">
                <w:rPr>
                  <w:rStyle w:val="Hyperlink"/>
                  <w:sz w:val="20"/>
                  <w:szCs w:val="20"/>
                  <w:lang w:val="en-CA"/>
                </w:rPr>
                <w:t>IPBES</w:t>
              </w:r>
            </w:hyperlink>
            <w:r w:rsidRPr="00E822AE">
              <w:rPr>
                <w:sz w:val="20"/>
                <w:szCs w:val="20"/>
                <w:lang w:val="en-CA"/>
              </w:rPr>
              <w:t>, 2020) </w:t>
            </w:r>
          </w:p>
        </w:tc>
      </w:tr>
      <w:tr w:rsidR="00C37DA1" w:rsidRPr="00E822AE" w14:paraId="0ADCCDD1" w14:textId="77777777">
        <w:trPr>
          <w:trHeight w:val="2565"/>
        </w:trPr>
        <w:tc>
          <w:tcPr>
            <w:tcW w:w="2055" w:type="dxa"/>
            <w:tcBorders>
              <w:top w:val="nil"/>
              <w:left w:val="nil"/>
              <w:bottom w:val="nil"/>
              <w:right w:val="nil"/>
            </w:tcBorders>
            <w:hideMark/>
          </w:tcPr>
          <w:p w14:paraId="4A31B2F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National biodiversity strategy and action plan </w:t>
            </w:r>
          </w:p>
        </w:tc>
        <w:tc>
          <w:tcPr>
            <w:tcW w:w="7155" w:type="dxa"/>
            <w:tcBorders>
              <w:top w:val="nil"/>
              <w:left w:val="nil"/>
              <w:bottom w:val="nil"/>
              <w:right w:val="nil"/>
            </w:tcBorders>
            <w:hideMark/>
          </w:tcPr>
          <w:p w14:paraId="6FAAE9E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Convention on Biological Diversity calls on each of its Parties to prepare a National Biodiversity Strategy and Action Plan (Article 6a) that establishes specific activities and targets for achieving the objectives of the Convention. These plans mostly are implemented by a partnership of conservation organizations. Species or habitats which are the subject of NBSAPs are the governments stated priorities for action and therefore raise greater concern where they are threatened. NBSAPs do not carry legal status and listed </w:t>
            </w:r>
            <w:proofErr w:type="gramStart"/>
            <w:r w:rsidRPr="00E822AE">
              <w:rPr>
                <w:sz w:val="20"/>
                <w:szCs w:val="20"/>
                <w:lang w:val="en-CA"/>
              </w:rPr>
              <w:t>species</w:t>
            </w:r>
            <w:proofErr w:type="gramEnd"/>
            <w:r w:rsidRPr="00E822AE">
              <w:rPr>
                <w:sz w:val="20"/>
                <w:szCs w:val="20"/>
                <w:lang w:val="en-CA"/>
              </w:rPr>
              <w:t xml:space="preserve"> and habitat types are not necessarily protected (although some are covered by other legislation) (Hesselink et al., 2007). </w:t>
            </w:r>
          </w:p>
        </w:tc>
      </w:tr>
      <w:tr w:rsidR="00C37DA1" w:rsidRPr="00E822AE" w14:paraId="1CCC7E4F" w14:textId="77777777">
        <w:trPr>
          <w:trHeight w:val="1020"/>
        </w:trPr>
        <w:tc>
          <w:tcPr>
            <w:tcW w:w="2055" w:type="dxa"/>
            <w:tcBorders>
              <w:top w:val="nil"/>
              <w:left w:val="nil"/>
              <w:bottom w:val="nil"/>
              <w:right w:val="nil"/>
            </w:tcBorders>
            <w:hideMark/>
          </w:tcPr>
          <w:p w14:paraId="53D07EB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National accounting </w:t>
            </w:r>
          </w:p>
        </w:tc>
        <w:tc>
          <w:tcPr>
            <w:tcW w:w="7155" w:type="dxa"/>
            <w:tcBorders>
              <w:top w:val="nil"/>
              <w:left w:val="nil"/>
              <w:bottom w:val="nil"/>
              <w:right w:val="nil"/>
            </w:tcBorders>
            <w:hideMark/>
          </w:tcPr>
          <w:p w14:paraId="0099869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implementation of complete and consistent accounting techniques for measuring the economic activity of a nation, for example following the UN System of National Accounts. (</w:t>
            </w:r>
            <w:hyperlink r:id="rId630" w:anchor=":~:text=The%20System%20of%20National%20Accounts%20(SNA)%20is%20the%20internationally%20agreed,compile%20measures%20of%20economic%20activity." w:tgtFrame="_blank" w:history="1">
              <w:r w:rsidRPr="00E822AE">
                <w:rPr>
                  <w:rStyle w:val="Hyperlink"/>
                  <w:sz w:val="20"/>
                  <w:szCs w:val="20"/>
                  <w:lang w:val="en-CA"/>
                </w:rPr>
                <w:t>UN Stats</w:t>
              </w:r>
            </w:hyperlink>
            <w:r w:rsidRPr="00E822AE">
              <w:rPr>
                <w:sz w:val="20"/>
                <w:szCs w:val="20"/>
                <w:lang w:val="en-CA"/>
              </w:rPr>
              <w:t>) </w:t>
            </w:r>
          </w:p>
        </w:tc>
      </w:tr>
      <w:tr w:rsidR="00C37DA1" w:rsidRPr="00E822AE" w14:paraId="4688E63F" w14:textId="77777777">
        <w:trPr>
          <w:trHeight w:val="525"/>
        </w:trPr>
        <w:tc>
          <w:tcPr>
            <w:tcW w:w="2055" w:type="dxa"/>
            <w:tcBorders>
              <w:top w:val="nil"/>
              <w:left w:val="nil"/>
              <w:bottom w:val="nil"/>
              <w:right w:val="nil"/>
            </w:tcBorders>
            <w:hideMark/>
          </w:tcPr>
          <w:p w14:paraId="6C166C6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National budget </w:t>
            </w:r>
          </w:p>
        </w:tc>
        <w:tc>
          <w:tcPr>
            <w:tcW w:w="7155" w:type="dxa"/>
            <w:tcBorders>
              <w:top w:val="nil"/>
              <w:left w:val="nil"/>
              <w:bottom w:val="nil"/>
              <w:right w:val="nil"/>
            </w:tcBorders>
            <w:hideMark/>
          </w:tcPr>
          <w:p w14:paraId="334A5AC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Total budget (income and expenditure) of a country. </w:t>
            </w:r>
          </w:p>
        </w:tc>
      </w:tr>
      <w:tr w:rsidR="00C37DA1" w:rsidRPr="00E822AE" w14:paraId="19775DD7" w14:textId="77777777">
        <w:trPr>
          <w:trHeight w:val="3060"/>
        </w:trPr>
        <w:tc>
          <w:tcPr>
            <w:tcW w:w="2055" w:type="dxa"/>
            <w:tcBorders>
              <w:top w:val="nil"/>
              <w:left w:val="nil"/>
              <w:bottom w:val="nil"/>
              <w:right w:val="nil"/>
            </w:tcBorders>
            <w:hideMark/>
          </w:tcPr>
          <w:p w14:paraId="0CF5DEF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National capacity self-assessment </w:t>
            </w:r>
          </w:p>
        </w:tc>
        <w:tc>
          <w:tcPr>
            <w:tcW w:w="7155" w:type="dxa"/>
            <w:tcBorders>
              <w:top w:val="nil"/>
              <w:left w:val="nil"/>
              <w:bottom w:val="nil"/>
              <w:right w:val="nil"/>
            </w:tcBorders>
            <w:hideMark/>
          </w:tcPr>
          <w:p w14:paraId="4F76BE82"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An official process outlined by the United Nations and the GEF secretariat to assess the existing capacity of a nation to deliver on and implement the Convention. The primary goal of an NCSA is to determine national priorities for capacity development to better address global environmental issues. The NCSA will analyse the country’s capacity strengths, constraints and needs, and recommend capacity development actions to address them. The focus is on a country’s capacity requirements to implement the three “</w:t>
            </w:r>
            <w:r w:rsidRPr="00E822AE">
              <w:rPr>
                <w:i/>
                <w:iCs/>
                <w:sz w:val="20"/>
                <w:szCs w:val="20"/>
                <w:lang w:val="en-CA"/>
              </w:rPr>
              <w:t>Rio Conventions</w:t>
            </w:r>
            <w:r w:rsidRPr="00E822AE">
              <w:rPr>
                <w:sz w:val="20"/>
                <w:szCs w:val="20"/>
                <w:lang w:val="en-CA"/>
              </w:rPr>
              <w:t xml:space="preserve">” – biodiversity (CBD), land degradation (CCD), and climate change (UNFCC) – and other relevant Multilateral Environmental Agreements (MEAs). In addition, the NCSA process aims to identify cross-cutting capacity issues and foster synergies among the </w:t>
            </w:r>
            <w:proofErr w:type="spellStart"/>
            <w:r w:rsidRPr="00E822AE">
              <w:rPr>
                <w:sz w:val="20"/>
                <w:szCs w:val="20"/>
                <w:lang w:val="en-CA"/>
              </w:rPr>
              <w:t>MEAs.</w:t>
            </w:r>
            <w:proofErr w:type="spellEnd"/>
            <w:r w:rsidRPr="00E822AE">
              <w:rPr>
                <w:sz w:val="20"/>
                <w:szCs w:val="20"/>
                <w:lang w:val="en-CA"/>
              </w:rPr>
              <w:t xml:space="preserve"> (</w:t>
            </w:r>
            <w:hyperlink r:id="rId631" w:tgtFrame="_blank" w:history="1">
              <w:r w:rsidRPr="00E822AE">
                <w:rPr>
                  <w:rStyle w:val="Hyperlink"/>
                  <w:sz w:val="20"/>
                  <w:szCs w:val="20"/>
                  <w:lang w:val="en-CA"/>
                </w:rPr>
                <w:t>GEF</w:t>
              </w:r>
            </w:hyperlink>
            <w:r w:rsidRPr="00E822AE">
              <w:rPr>
                <w:sz w:val="20"/>
                <w:szCs w:val="20"/>
                <w:lang w:val="en-CA"/>
              </w:rPr>
              <w:t xml:space="preserve">, 2001; </w:t>
            </w:r>
            <w:hyperlink r:id="rId632" w:tgtFrame="_blank" w:history="1">
              <w:r w:rsidRPr="00E822AE">
                <w:rPr>
                  <w:rStyle w:val="Hyperlink"/>
                  <w:sz w:val="20"/>
                  <w:szCs w:val="20"/>
                  <w:lang w:val="en-CA"/>
                </w:rPr>
                <w:t>UNDP</w:t>
              </w:r>
            </w:hyperlink>
            <w:r w:rsidRPr="00E822AE">
              <w:rPr>
                <w:sz w:val="20"/>
                <w:szCs w:val="20"/>
                <w:lang w:val="en-CA"/>
              </w:rPr>
              <w:t xml:space="preserve">, 2005; </w:t>
            </w:r>
            <w:hyperlink r:id="rId633" w:tgtFrame="_blank" w:history="1">
              <w:r w:rsidRPr="00E822AE">
                <w:rPr>
                  <w:rStyle w:val="Hyperlink"/>
                  <w:sz w:val="20"/>
                  <w:szCs w:val="20"/>
                  <w:lang w:val="en-CA"/>
                </w:rPr>
                <w:t>UNDP</w:t>
              </w:r>
            </w:hyperlink>
            <w:r w:rsidRPr="00E822AE">
              <w:rPr>
                <w:sz w:val="20"/>
                <w:szCs w:val="20"/>
                <w:lang w:val="en-CA"/>
              </w:rPr>
              <w:t xml:space="preserve"> 2010) </w:t>
            </w:r>
          </w:p>
        </w:tc>
      </w:tr>
      <w:tr w:rsidR="00C37DA1" w:rsidRPr="00E822AE" w14:paraId="69B1E26F" w14:textId="77777777">
        <w:trPr>
          <w:trHeight w:val="465"/>
        </w:trPr>
        <w:tc>
          <w:tcPr>
            <w:tcW w:w="2055" w:type="dxa"/>
            <w:tcBorders>
              <w:top w:val="nil"/>
              <w:left w:val="nil"/>
              <w:bottom w:val="nil"/>
              <w:right w:val="nil"/>
            </w:tcBorders>
            <w:hideMark/>
          </w:tcPr>
          <w:p w14:paraId="1357C81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National indicator </w:t>
            </w:r>
          </w:p>
        </w:tc>
        <w:tc>
          <w:tcPr>
            <w:tcW w:w="7155" w:type="dxa"/>
            <w:tcBorders>
              <w:top w:val="nil"/>
              <w:left w:val="nil"/>
              <w:bottom w:val="nil"/>
              <w:right w:val="nil"/>
            </w:tcBorders>
            <w:hideMark/>
          </w:tcPr>
          <w:p w14:paraId="29A2E82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Indicator reported at the level of nations. </w:t>
            </w:r>
          </w:p>
        </w:tc>
      </w:tr>
      <w:tr w:rsidR="00C37DA1" w:rsidRPr="00E822AE" w14:paraId="484D829F" w14:textId="77777777">
        <w:trPr>
          <w:trHeight w:val="2265"/>
        </w:trPr>
        <w:tc>
          <w:tcPr>
            <w:tcW w:w="2055" w:type="dxa"/>
            <w:tcBorders>
              <w:top w:val="nil"/>
              <w:left w:val="nil"/>
              <w:bottom w:val="nil"/>
              <w:right w:val="nil"/>
            </w:tcBorders>
            <w:hideMark/>
          </w:tcPr>
          <w:p w14:paraId="68489F3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Nationally determined contributions </w:t>
            </w:r>
          </w:p>
        </w:tc>
        <w:tc>
          <w:tcPr>
            <w:tcW w:w="7155" w:type="dxa"/>
            <w:tcBorders>
              <w:top w:val="nil"/>
              <w:left w:val="nil"/>
              <w:bottom w:val="nil"/>
              <w:right w:val="nil"/>
            </w:tcBorders>
            <w:hideMark/>
          </w:tcPr>
          <w:p w14:paraId="45116B4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Nationally determined contributions (NDCs) are at the heart of the Paris Agreement and the achievement of its long-term goals. NDCs embody efforts by each country to reduce national emissions and adapt to the impacts of climate change. The Paris Agreement (Article 4, paragraph 2) requires each Party to prepare, communicate and maintain successive nationally determined contributions (NDCs) that it intends to achieve. Parties shall pursue domestic mitigation measures, with the aim of achieving the objectives of such contributions. (</w:t>
            </w:r>
            <w:hyperlink r:id="rId634" w:tgtFrame="_blank" w:history="1">
              <w:r w:rsidRPr="00E822AE">
                <w:rPr>
                  <w:rStyle w:val="Hyperlink"/>
                  <w:sz w:val="20"/>
                  <w:szCs w:val="20"/>
                  <w:lang w:val="en-CA"/>
                </w:rPr>
                <w:t>UN FCCC</w:t>
              </w:r>
            </w:hyperlink>
            <w:r w:rsidRPr="00E822AE">
              <w:rPr>
                <w:sz w:val="20"/>
                <w:szCs w:val="20"/>
                <w:lang w:val="en-CA"/>
              </w:rPr>
              <w:t>) </w:t>
            </w:r>
          </w:p>
        </w:tc>
      </w:tr>
      <w:tr w:rsidR="00C37DA1" w:rsidRPr="00E822AE" w14:paraId="29B77192" w14:textId="77777777">
        <w:trPr>
          <w:trHeight w:val="675"/>
        </w:trPr>
        <w:tc>
          <w:tcPr>
            <w:tcW w:w="2055" w:type="dxa"/>
            <w:tcBorders>
              <w:top w:val="nil"/>
              <w:left w:val="nil"/>
              <w:bottom w:val="nil"/>
              <w:right w:val="nil"/>
            </w:tcBorders>
            <w:hideMark/>
          </w:tcPr>
          <w:p w14:paraId="6098E2F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Native biodiversity </w:t>
            </w:r>
          </w:p>
        </w:tc>
        <w:tc>
          <w:tcPr>
            <w:tcW w:w="7155" w:type="dxa"/>
            <w:tcBorders>
              <w:top w:val="nil"/>
              <w:left w:val="nil"/>
              <w:bottom w:val="nil"/>
              <w:right w:val="nil"/>
            </w:tcBorders>
            <w:hideMark/>
          </w:tcPr>
          <w:p w14:paraId="644798A2"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species (animal, plant or other organism) within its natural range, including shifting its range, without human involvement. (</w:t>
            </w:r>
            <w:hyperlink r:id="rId635" w:tgtFrame="_blank" w:history="1">
              <w:r w:rsidRPr="00E822AE">
                <w:rPr>
                  <w:rStyle w:val="Hyperlink"/>
                  <w:sz w:val="20"/>
                  <w:szCs w:val="20"/>
                  <w:lang w:val="en-CA"/>
                </w:rPr>
                <w:t>IPBES</w:t>
              </w:r>
            </w:hyperlink>
            <w:r w:rsidRPr="00E822AE">
              <w:rPr>
                <w:sz w:val="20"/>
                <w:szCs w:val="20"/>
                <w:lang w:val="en-CA"/>
              </w:rPr>
              <w:t>, 2023) </w:t>
            </w:r>
          </w:p>
        </w:tc>
      </w:tr>
      <w:tr w:rsidR="00C37DA1" w:rsidRPr="00E822AE" w14:paraId="10E74274" w14:textId="77777777">
        <w:trPr>
          <w:trHeight w:val="765"/>
        </w:trPr>
        <w:tc>
          <w:tcPr>
            <w:tcW w:w="2055" w:type="dxa"/>
            <w:tcBorders>
              <w:top w:val="nil"/>
              <w:left w:val="nil"/>
              <w:bottom w:val="nil"/>
              <w:right w:val="nil"/>
            </w:tcBorders>
            <w:hideMark/>
          </w:tcPr>
          <w:p w14:paraId="7D8CA50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Native wild species </w:t>
            </w:r>
          </w:p>
        </w:tc>
        <w:tc>
          <w:tcPr>
            <w:tcW w:w="7155" w:type="dxa"/>
            <w:tcBorders>
              <w:top w:val="nil"/>
              <w:left w:val="nil"/>
              <w:bottom w:val="nil"/>
              <w:right w:val="nil"/>
            </w:tcBorders>
            <w:hideMark/>
          </w:tcPr>
          <w:p w14:paraId="17A4308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Species that occur naturally in the wild in the area under consideration. Invasive alien species and domesticated species are excluded. (McGowan et al. 2024) </w:t>
            </w:r>
          </w:p>
        </w:tc>
      </w:tr>
      <w:tr w:rsidR="00C37DA1" w:rsidRPr="00E822AE" w14:paraId="78F50503" w14:textId="77777777">
        <w:trPr>
          <w:trHeight w:val="946"/>
        </w:trPr>
        <w:tc>
          <w:tcPr>
            <w:tcW w:w="2055" w:type="dxa"/>
            <w:tcBorders>
              <w:top w:val="nil"/>
              <w:left w:val="nil"/>
              <w:bottom w:val="nil"/>
              <w:right w:val="nil"/>
            </w:tcBorders>
            <w:hideMark/>
          </w:tcPr>
          <w:p w14:paraId="12ED1C9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Natural ecosystems </w:t>
            </w:r>
          </w:p>
        </w:tc>
        <w:tc>
          <w:tcPr>
            <w:tcW w:w="7155" w:type="dxa"/>
            <w:tcBorders>
              <w:top w:val="nil"/>
              <w:left w:val="nil"/>
              <w:bottom w:val="nil"/>
              <w:right w:val="nil"/>
            </w:tcBorders>
            <w:hideMark/>
          </w:tcPr>
          <w:p w14:paraId="2D6E3BB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Natural ecosystems are predominantly influenced by natural ecological processes, functions drivers, and composed of native/indigenous species, relative to historic baselines or reference states (adapted from Nicholson et al. 2021). </w:t>
            </w:r>
          </w:p>
        </w:tc>
      </w:tr>
      <w:tr w:rsidR="00C37DA1" w:rsidRPr="00E822AE" w14:paraId="22CD890A" w14:textId="77777777">
        <w:trPr>
          <w:trHeight w:val="750"/>
        </w:trPr>
        <w:tc>
          <w:tcPr>
            <w:tcW w:w="2055" w:type="dxa"/>
            <w:tcBorders>
              <w:top w:val="nil"/>
              <w:left w:val="nil"/>
              <w:bottom w:val="nil"/>
              <w:right w:val="nil"/>
            </w:tcBorders>
            <w:hideMark/>
          </w:tcPr>
          <w:p w14:paraId="6ACE2CC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Natural or biodiversity resources </w:t>
            </w:r>
          </w:p>
        </w:tc>
        <w:tc>
          <w:tcPr>
            <w:tcW w:w="7155" w:type="dxa"/>
            <w:tcBorders>
              <w:top w:val="nil"/>
              <w:left w:val="nil"/>
              <w:bottom w:val="nil"/>
              <w:right w:val="nil"/>
            </w:tcBorders>
            <w:hideMark/>
          </w:tcPr>
          <w:p w14:paraId="02982B9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Natural or biological assets (raw materials) occurring in nature that can be used for economic production or consumption. (</w:t>
            </w:r>
            <w:hyperlink r:id="rId636" w:tgtFrame="_blank" w:history="1">
              <w:r w:rsidRPr="00E822AE">
                <w:rPr>
                  <w:rStyle w:val="Hyperlink"/>
                  <w:sz w:val="20"/>
                  <w:szCs w:val="20"/>
                  <w:lang w:val="en-CA"/>
                </w:rPr>
                <w:t>EU Commission</w:t>
              </w:r>
            </w:hyperlink>
            <w:r w:rsidRPr="00E822AE">
              <w:rPr>
                <w:sz w:val="20"/>
                <w:szCs w:val="20"/>
                <w:lang w:val="en-CA"/>
              </w:rPr>
              <w:t>, 2023) </w:t>
            </w:r>
          </w:p>
        </w:tc>
      </w:tr>
      <w:tr w:rsidR="00C37DA1" w:rsidRPr="00E822AE" w14:paraId="6E63D1AF" w14:textId="77777777">
        <w:trPr>
          <w:trHeight w:val="1695"/>
        </w:trPr>
        <w:tc>
          <w:tcPr>
            <w:tcW w:w="2055" w:type="dxa"/>
            <w:tcBorders>
              <w:top w:val="nil"/>
              <w:left w:val="nil"/>
              <w:bottom w:val="nil"/>
              <w:right w:val="nil"/>
            </w:tcBorders>
            <w:hideMark/>
          </w:tcPr>
          <w:p w14:paraId="420F132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Nature-based solutions </w:t>
            </w:r>
          </w:p>
        </w:tc>
        <w:tc>
          <w:tcPr>
            <w:tcW w:w="7155" w:type="dxa"/>
            <w:tcBorders>
              <w:top w:val="nil"/>
              <w:left w:val="nil"/>
              <w:bottom w:val="nil"/>
              <w:right w:val="nil"/>
            </w:tcBorders>
            <w:hideMark/>
          </w:tcPr>
          <w:p w14:paraId="575EE42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Refer to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and resilience and biodiversity benefits including on mitigation, adaptation and disaster risk reduction. (</w:t>
            </w:r>
            <w:hyperlink r:id="rId637" w:tgtFrame="_blank" w:history="1">
              <w:r w:rsidRPr="00E822AE">
                <w:rPr>
                  <w:rStyle w:val="Hyperlink"/>
                  <w:sz w:val="20"/>
                  <w:szCs w:val="20"/>
                  <w:lang w:val="en-CA"/>
                </w:rPr>
                <w:t>UNEA</w:t>
              </w:r>
            </w:hyperlink>
            <w:r w:rsidRPr="00E822AE">
              <w:rPr>
                <w:sz w:val="20"/>
                <w:szCs w:val="20"/>
                <w:lang w:val="en-CA"/>
              </w:rPr>
              <w:t>, 2022) </w:t>
            </w:r>
          </w:p>
        </w:tc>
      </w:tr>
      <w:tr w:rsidR="00C37DA1" w:rsidRPr="00E822AE" w14:paraId="4D8AD66F" w14:textId="77777777">
        <w:trPr>
          <w:trHeight w:val="2497"/>
        </w:trPr>
        <w:tc>
          <w:tcPr>
            <w:tcW w:w="2055" w:type="dxa"/>
            <w:tcBorders>
              <w:top w:val="nil"/>
              <w:left w:val="nil"/>
              <w:bottom w:val="nil"/>
              <w:right w:val="nil"/>
            </w:tcBorders>
            <w:hideMark/>
          </w:tcPr>
          <w:p w14:paraId="067009C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Nature's contributions to people (NCP) </w:t>
            </w:r>
          </w:p>
        </w:tc>
        <w:tc>
          <w:tcPr>
            <w:tcW w:w="7155" w:type="dxa"/>
            <w:tcBorders>
              <w:top w:val="nil"/>
              <w:left w:val="nil"/>
              <w:bottom w:val="nil"/>
              <w:right w:val="nil"/>
            </w:tcBorders>
            <w:hideMark/>
          </w:tcPr>
          <w:p w14:paraId="1334040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Nature’s contributions to people (a concept </w:t>
            </w:r>
            <w:proofErr w:type="gramStart"/>
            <w:r w:rsidRPr="00E822AE">
              <w:rPr>
                <w:sz w:val="20"/>
                <w:szCs w:val="20"/>
                <w:lang w:val="en-CA"/>
              </w:rPr>
              <w:t>similar to</w:t>
            </w:r>
            <w:proofErr w:type="gramEnd"/>
            <w:r w:rsidRPr="00E822AE">
              <w:rPr>
                <w:sz w:val="20"/>
                <w:szCs w:val="20"/>
                <w:lang w:val="en-CA"/>
              </w:rPr>
              <w:t xml:space="preserve"> and inclusive of ecosystem services) refers to all the contributions from biodiversity to people’s well-being or quality of life. They include (a) material contributions, such as the production of food, feed, fibre, medicines and energy, (b) regulating services, such as the regulation of air and water quality, climate regulation, pollination, regulation of pests and diseases and provision of habitat, and (c) other non-material contributions, such as learning, inspiration, health, physical, psychological, spiritual well-being and experiences and supporting identities and culture, as well as maintaining options for future generations. (</w:t>
            </w:r>
            <w:r w:rsidRPr="00E822AE">
              <w:rPr>
                <w:sz w:val="20"/>
                <w:szCs w:val="20"/>
              </w:rPr>
              <w:t>CBD/WG2020/5/4)</w:t>
            </w:r>
            <w:r w:rsidRPr="00E822AE">
              <w:rPr>
                <w:sz w:val="20"/>
                <w:szCs w:val="20"/>
                <w:lang w:val="en-CA"/>
              </w:rPr>
              <w:t> </w:t>
            </w:r>
          </w:p>
        </w:tc>
      </w:tr>
      <w:tr w:rsidR="00C37DA1" w:rsidRPr="00E822AE" w14:paraId="1F54DA72" w14:textId="77777777">
        <w:trPr>
          <w:trHeight w:val="1002"/>
        </w:trPr>
        <w:tc>
          <w:tcPr>
            <w:tcW w:w="2055" w:type="dxa"/>
            <w:tcBorders>
              <w:top w:val="nil"/>
              <w:left w:val="nil"/>
              <w:bottom w:val="nil"/>
              <w:right w:val="nil"/>
            </w:tcBorders>
            <w:hideMark/>
          </w:tcPr>
          <w:p w14:paraId="6251370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Non-monetary values </w:t>
            </w:r>
          </w:p>
        </w:tc>
        <w:tc>
          <w:tcPr>
            <w:tcW w:w="7155" w:type="dxa"/>
            <w:tcBorders>
              <w:top w:val="nil"/>
              <w:left w:val="nil"/>
              <w:bottom w:val="nil"/>
              <w:right w:val="nil"/>
            </w:tcBorders>
            <w:hideMark/>
          </w:tcPr>
          <w:p w14:paraId="60B8745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value attributable to an item or a service without relation to any acceptable cash price and for which a fixed or determinable amount of currency is absent (e.g. many ecosystem services, interpersonal good-will, health, etc.). (</w:t>
            </w:r>
            <w:hyperlink r:id="rId638" w:tgtFrame="_blank" w:history="1">
              <w:r w:rsidRPr="00E822AE">
                <w:rPr>
                  <w:rStyle w:val="Hyperlink"/>
                  <w:sz w:val="20"/>
                  <w:szCs w:val="20"/>
                  <w:lang w:val="en-CA"/>
                </w:rPr>
                <w:t>IPBES</w:t>
              </w:r>
            </w:hyperlink>
            <w:r w:rsidRPr="00E822AE">
              <w:rPr>
                <w:sz w:val="20"/>
                <w:szCs w:val="20"/>
                <w:lang w:val="en-CA"/>
              </w:rPr>
              <w:t>, 2016) </w:t>
            </w:r>
          </w:p>
        </w:tc>
      </w:tr>
      <w:tr w:rsidR="00C37DA1" w:rsidRPr="00E822AE" w14:paraId="5B0AABD1" w14:textId="77777777">
        <w:trPr>
          <w:trHeight w:val="1995"/>
        </w:trPr>
        <w:tc>
          <w:tcPr>
            <w:tcW w:w="2055" w:type="dxa"/>
            <w:tcBorders>
              <w:top w:val="nil"/>
              <w:left w:val="nil"/>
              <w:bottom w:val="nil"/>
              <w:right w:val="nil"/>
            </w:tcBorders>
            <w:hideMark/>
          </w:tcPr>
          <w:p w14:paraId="154D05E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 xml:space="preserve">Nursery population   and </w:t>
            </w:r>
            <w:proofErr w:type="gramStart"/>
            <w:r w:rsidRPr="00E822AE">
              <w:rPr>
                <w:sz w:val="20"/>
                <w:szCs w:val="20"/>
                <w:lang w:val="en-CA"/>
              </w:rPr>
              <w:t>habitat  maintenance</w:t>
            </w:r>
            <w:proofErr w:type="gramEnd"/>
            <w:r w:rsidRPr="00E822AE">
              <w:rPr>
                <w:sz w:val="20"/>
                <w:szCs w:val="20"/>
                <w:lang w:val="en-CA"/>
              </w:rPr>
              <w:t xml:space="preserve"> services </w:t>
            </w:r>
          </w:p>
        </w:tc>
        <w:tc>
          <w:tcPr>
            <w:tcW w:w="7155" w:type="dxa"/>
            <w:tcBorders>
              <w:top w:val="nil"/>
              <w:left w:val="nil"/>
              <w:bottom w:val="nil"/>
              <w:right w:val="nil"/>
            </w:tcBorders>
            <w:hideMark/>
          </w:tcPr>
          <w:p w14:paraId="46E85B7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ecosystem contributions necessary for sustaining populations of species that economic units ultimately use or enjoy either through the maintenance of habitats (e.g. for nurseries or migration) or the protection of natural gene pools. This service is an intermediate service and may provide input to different final ecosystem services including biomass provision and recreation-related services. The potential metric is the size of biomass stocks dependent upon nursey and habitat services. </w:t>
            </w:r>
          </w:p>
        </w:tc>
      </w:tr>
      <w:tr w:rsidR="00C37DA1" w:rsidRPr="00E822AE" w14:paraId="018F1F4C" w14:textId="77777777">
        <w:trPr>
          <w:trHeight w:val="1020"/>
        </w:trPr>
        <w:tc>
          <w:tcPr>
            <w:tcW w:w="2055" w:type="dxa"/>
            <w:tcBorders>
              <w:top w:val="nil"/>
              <w:left w:val="nil"/>
              <w:bottom w:val="nil"/>
              <w:right w:val="nil"/>
            </w:tcBorders>
            <w:hideMark/>
          </w:tcPr>
          <w:p w14:paraId="436E4FD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Ocean acidification </w:t>
            </w:r>
          </w:p>
        </w:tc>
        <w:tc>
          <w:tcPr>
            <w:tcW w:w="7155" w:type="dxa"/>
            <w:tcBorders>
              <w:top w:val="nil"/>
              <w:left w:val="nil"/>
              <w:bottom w:val="nil"/>
              <w:right w:val="nil"/>
            </w:tcBorders>
            <w:hideMark/>
          </w:tcPr>
          <w:p w14:paraId="79FA8A1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Ongoing reduction in the pH of the ocean, caused primarily by the uptake of carbon dioxide (CO2) from the atmosphere, but can also be exacerbated by local processes, such as the decomposition of organic material, microbial processes involved in nitrogen cycling and acidic wastewater discharge. (GOOS) </w:t>
            </w:r>
          </w:p>
          <w:p w14:paraId="1B90155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w:t>
            </w:r>
          </w:p>
        </w:tc>
      </w:tr>
      <w:tr w:rsidR="00C37DA1" w:rsidRPr="00E822AE" w14:paraId="1AFAFB8F" w14:textId="77777777">
        <w:trPr>
          <w:trHeight w:val="3261"/>
        </w:trPr>
        <w:tc>
          <w:tcPr>
            <w:tcW w:w="2055" w:type="dxa"/>
            <w:tcBorders>
              <w:top w:val="nil"/>
              <w:left w:val="nil"/>
              <w:bottom w:val="nil"/>
              <w:right w:val="nil"/>
            </w:tcBorders>
            <w:hideMark/>
          </w:tcPr>
          <w:p w14:paraId="6AB049A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Open public space </w:t>
            </w:r>
          </w:p>
        </w:tc>
        <w:tc>
          <w:tcPr>
            <w:tcW w:w="7155" w:type="dxa"/>
            <w:tcBorders>
              <w:top w:val="nil"/>
              <w:left w:val="nil"/>
              <w:bottom w:val="nil"/>
              <w:right w:val="nil"/>
            </w:tcBorders>
            <w:hideMark/>
          </w:tcPr>
          <w:p w14:paraId="08074BF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Any open piece of land that is undeveloped or land with no buildings (or other built structures) that is accessible to the public without </w:t>
            </w:r>
            <w:proofErr w:type="gramStart"/>
            <w:r w:rsidRPr="00E822AE">
              <w:rPr>
                <w:sz w:val="20"/>
                <w:szCs w:val="20"/>
                <w:lang w:val="en-CA"/>
              </w:rPr>
              <w:t>charge, and</w:t>
            </w:r>
            <w:proofErr w:type="gramEnd"/>
            <w:r w:rsidRPr="00E822AE">
              <w:rPr>
                <w:sz w:val="20"/>
                <w:szCs w:val="20"/>
                <w:lang w:val="en-CA"/>
              </w:rPr>
              <w:t xml:space="preserve"> provides recreational areas for residents and helps to enhance the beauty and environmental quality of neighbourhoods. UN-Habitat recognizes that different cities have different types of open public spaces, which vary in both size and typology. Based on the size of both soft and hard surfaces, open public spaces are broadly classified into six categories: national/metropolitan open spaces; regional/larger city open spaces; district/city open spaces; neighbourhood open spaces; local/pocket open spaces; and linear open spaces. Classification of open public space by typology is described by the function of the space and can </w:t>
            </w:r>
            <w:proofErr w:type="gramStart"/>
            <w:r w:rsidRPr="00E822AE">
              <w:rPr>
                <w:sz w:val="20"/>
                <w:szCs w:val="20"/>
                <w:lang w:val="en-CA"/>
              </w:rPr>
              <w:t>include:</w:t>
            </w:r>
            <w:proofErr w:type="gramEnd"/>
            <w:r w:rsidRPr="00E822AE">
              <w:rPr>
                <w:sz w:val="20"/>
                <w:szCs w:val="20"/>
                <w:lang w:val="en-CA"/>
              </w:rPr>
              <w:t xml:space="preserve"> green public areas, riparian reserves, parks and urban forests, playground, square, plazas, waterfronts, sports field, community gardens, parklets and pocket parks. (</w:t>
            </w:r>
            <w:hyperlink r:id="rId639" w:tgtFrame="_blank" w:history="1">
              <w:r w:rsidRPr="00E822AE">
                <w:rPr>
                  <w:rStyle w:val="Hyperlink"/>
                  <w:sz w:val="20"/>
                  <w:szCs w:val="20"/>
                  <w:lang w:val="en-CA"/>
                </w:rPr>
                <w:t>UN Habitat</w:t>
              </w:r>
            </w:hyperlink>
            <w:r w:rsidRPr="00E822AE">
              <w:rPr>
                <w:sz w:val="20"/>
                <w:szCs w:val="20"/>
                <w:lang w:val="en-CA"/>
              </w:rPr>
              <w:t>, 2018) </w:t>
            </w:r>
          </w:p>
        </w:tc>
      </w:tr>
      <w:tr w:rsidR="00C37DA1" w:rsidRPr="00E822AE" w14:paraId="7EDC35E2" w14:textId="77777777">
        <w:trPr>
          <w:trHeight w:val="705"/>
        </w:trPr>
        <w:tc>
          <w:tcPr>
            <w:tcW w:w="2055" w:type="dxa"/>
            <w:tcBorders>
              <w:top w:val="nil"/>
              <w:left w:val="nil"/>
              <w:bottom w:val="nil"/>
              <w:right w:val="nil"/>
            </w:tcBorders>
            <w:hideMark/>
          </w:tcPr>
          <w:p w14:paraId="29915DD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Operations </w:t>
            </w:r>
          </w:p>
        </w:tc>
        <w:tc>
          <w:tcPr>
            <w:tcW w:w="7155" w:type="dxa"/>
            <w:tcBorders>
              <w:top w:val="nil"/>
              <w:left w:val="nil"/>
              <w:bottom w:val="nil"/>
              <w:right w:val="nil"/>
            </w:tcBorders>
            <w:hideMark/>
          </w:tcPr>
          <w:p w14:paraId="48C9C01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All activities carried out by large and transnational companies and financial institutions to continue running and earning money.  </w:t>
            </w:r>
          </w:p>
        </w:tc>
      </w:tr>
      <w:tr w:rsidR="00C37DA1" w:rsidRPr="00E822AE" w14:paraId="068D1E0B" w14:textId="77777777">
        <w:trPr>
          <w:trHeight w:val="1560"/>
        </w:trPr>
        <w:tc>
          <w:tcPr>
            <w:tcW w:w="2055" w:type="dxa"/>
            <w:tcBorders>
              <w:top w:val="nil"/>
              <w:left w:val="nil"/>
              <w:bottom w:val="nil"/>
              <w:right w:val="nil"/>
            </w:tcBorders>
            <w:hideMark/>
          </w:tcPr>
          <w:p w14:paraId="610C0A0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Other effective area-based conservation measure </w:t>
            </w:r>
          </w:p>
        </w:tc>
        <w:tc>
          <w:tcPr>
            <w:tcW w:w="7155" w:type="dxa"/>
            <w:tcBorders>
              <w:top w:val="nil"/>
              <w:left w:val="nil"/>
              <w:bottom w:val="nil"/>
              <w:right w:val="nil"/>
            </w:tcBorders>
            <w:hideMark/>
          </w:tcPr>
          <w:p w14:paraId="25E969D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geographically defined area other than a Protected Area, which is governed and managed in ways that achieve positive and sustained long-term outcomes for the in-situ conservation of biodiversity, with associated ecosystem functions and services and where applicable, cultural, spiritual, socio–economic, and other locally relevant values. (</w:t>
            </w:r>
            <w:r w:rsidRPr="00E822AE">
              <w:rPr>
                <w:sz w:val="20"/>
                <w:szCs w:val="20"/>
              </w:rPr>
              <w:t>CBD/SBSTTA/22/L.2)</w:t>
            </w:r>
            <w:r w:rsidRPr="00E822AE">
              <w:rPr>
                <w:sz w:val="20"/>
                <w:szCs w:val="20"/>
                <w:lang w:val="en-CA"/>
              </w:rPr>
              <w:t> </w:t>
            </w:r>
          </w:p>
        </w:tc>
      </w:tr>
      <w:tr w:rsidR="00C37DA1" w:rsidRPr="00E822AE" w14:paraId="66C4D627" w14:textId="77777777">
        <w:trPr>
          <w:trHeight w:val="716"/>
        </w:trPr>
        <w:tc>
          <w:tcPr>
            <w:tcW w:w="2055" w:type="dxa"/>
            <w:tcBorders>
              <w:top w:val="nil"/>
              <w:left w:val="nil"/>
              <w:bottom w:val="nil"/>
              <w:right w:val="nil"/>
            </w:tcBorders>
            <w:hideMark/>
          </w:tcPr>
          <w:p w14:paraId="6EC6386D"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Outside biologically sustainable levels </w:t>
            </w:r>
          </w:p>
        </w:tc>
        <w:tc>
          <w:tcPr>
            <w:tcW w:w="7155" w:type="dxa"/>
            <w:tcBorders>
              <w:top w:val="nil"/>
              <w:left w:val="nil"/>
              <w:bottom w:val="nil"/>
              <w:right w:val="nil"/>
            </w:tcBorders>
            <w:hideMark/>
          </w:tcPr>
          <w:p w14:paraId="456FA2C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When abundance falls below the MSY (maximum sustainable yield) level. </w:t>
            </w:r>
          </w:p>
        </w:tc>
      </w:tr>
      <w:tr w:rsidR="00C37DA1" w:rsidRPr="00E822AE" w14:paraId="493302D2" w14:textId="77777777">
        <w:trPr>
          <w:trHeight w:val="675"/>
        </w:trPr>
        <w:tc>
          <w:tcPr>
            <w:tcW w:w="2055" w:type="dxa"/>
            <w:tcBorders>
              <w:top w:val="nil"/>
              <w:left w:val="nil"/>
              <w:bottom w:val="nil"/>
              <w:right w:val="nil"/>
            </w:tcBorders>
            <w:hideMark/>
          </w:tcPr>
          <w:p w14:paraId="28588DE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Overconsumption </w:t>
            </w:r>
          </w:p>
        </w:tc>
        <w:tc>
          <w:tcPr>
            <w:tcW w:w="7155" w:type="dxa"/>
            <w:tcBorders>
              <w:top w:val="nil"/>
              <w:left w:val="nil"/>
              <w:bottom w:val="nil"/>
              <w:right w:val="nil"/>
            </w:tcBorders>
            <w:hideMark/>
          </w:tcPr>
          <w:p w14:paraId="6848BAC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action or fact of consuming something to excess. Especially in the context of excessive use of natural resources. </w:t>
            </w:r>
          </w:p>
        </w:tc>
      </w:tr>
      <w:tr w:rsidR="00C37DA1" w:rsidRPr="00E822AE" w14:paraId="243B6687" w14:textId="77777777">
        <w:trPr>
          <w:trHeight w:val="735"/>
        </w:trPr>
        <w:tc>
          <w:tcPr>
            <w:tcW w:w="2055" w:type="dxa"/>
            <w:tcBorders>
              <w:top w:val="nil"/>
              <w:left w:val="nil"/>
              <w:bottom w:val="nil"/>
              <w:right w:val="nil"/>
            </w:tcBorders>
            <w:hideMark/>
          </w:tcPr>
          <w:p w14:paraId="44FFFC8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Participatory process </w:t>
            </w:r>
          </w:p>
        </w:tc>
        <w:tc>
          <w:tcPr>
            <w:tcW w:w="7155" w:type="dxa"/>
            <w:tcBorders>
              <w:top w:val="nil"/>
              <w:left w:val="nil"/>
              <w:bottom w:val="nil"/>
              <w:right w:val="nil"/>
            </w:tcBorders>
            <w:hideMark/>
          </w:tcPr>
          <w:p w14:paraId="2B883A9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Specific methods employed to achieve active participation by all members of a group in a decision-making process (Chatty et al. 2003).  </w:t>
            </w:r>
          </w:p>
        </w:tc>
      </w:tr>
      <w:tr w:rsidR="00C37DA1" w:rsidRPr="00E822AE" w14:paraId="13A70F05" w14:textId="77777777">
        <w:trPr>
          <w:trHeight w:val="1695"/>
        </w:trPr>
        <w:tc>
          <w:tcPr>
            <w:tcW w:w="2055" w:type="dxa"/>
            <w:tcBorders>
              <w:top w:val="nil"/>
              <w:left w:val="nil"/>
              <w:bottom w:val="nil"/>
              <w:right w:val="nil"/>
            </w:tcBorders>
            <w:hideMark/>
          </w:tcPr>
          <w:p w14:paraId="15D9161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Participatory research </w:t>
            </w:r>
          </w:p>
        </w:tc>
        <w:tc>
          <w:tcPr>
            <w:tcW w:w="7155" w:type="dxa"/>
            <w:tcBorders>
              <w:top w:val="nil"/>
              <w:left w:val="nil"/>
              <w:bottom w:val="nil"/>
              <w:right w:val="nil"/>
            </w:tcBorders>
            <w:hideMark/>
          </w:tcPr>
          <w:p w14:paraId="44307FE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Participatory research methods are a variety of qualitative and quantitative methods geared towards planning and conducting the research process with those people whose </w:t>
            </w:r>
            <w:proofErr w:type="gramStart"/>
            <w:r w:rsidRPr="00E822AE">
              <w:rPr>
                <w:sz w:val="20"/>
                <w:szCs w:val="20"/>
                <w:lang w:val="en-CA"/>
              </w:rPr>
              <w:t>life-world</w:t>
            </w:r>
            <w:proofErr w:type="gramEnd"/>
            <w:r w:rsidRPr="00E822AE">
              <w:rPr>
                <w:sz w:val="20"/>
                <w:szCs w:val="20"/>
                <w:lang w:val="en-CA"/>
              </w:rPr>
              <w:t xml:space="preserve"> and meaningful actions are under study (Bergold &amp;amp; Thomas, 2012). Participatory methods acknowledge the possibility, the significance, and the usefulness of involving research partners in the knowledge-production process (Bergold, 2007).  </w:t>
            </w:r>
          </w:p>
        </w:tc>
      </w:tr>
      <w:tr w:rsidR="00C37DA1" w:rsidRPr="00E822AE" w14:paraId="484C873B" w14:textId="77777777">
        <w:trPr>
          <w:trHeight w:val="1410"/>
        </w:trPr>
        <w:tc>
          <w:tcPr>
            <w:tcW w:w="2055" w:type="dxa"/>
            <w:tcBorders>
              <w:top w:val="nil"/>
              <w:left w:val="nil"/>
              <w:bottom w:val="nil"/>
              <w:right w:val="nil"/>
            </w:tcBorders>
            <w:hideMark/>
          </w:tcPr>
          <w:p w14:paraId="0AF7E75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Participatory spatial planning </w:t>
            </w:r>
          </w:p>
        </w:tc>
        <w:tc>
          <w:tcPr>
            <w:tcW w:w="7155" w:type="dxa"/>
            <w:tcBorders>
              <w:top w:val="nil"/>
              <w:left w:val="nil"/>
              <w:bottom w:val="nil"/>
              <w:right w:val="nil"/>
            </w:tcBorders>
            <w:hideMark/>
          </w:tcPr>
          <w:p w14:paraId="6372DB1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Spatial planning that involves stakeholders and rightsholders in all processes of decision-making and long-term effective management, </w:t>
            </w:r>
            <w:proofErr w:type="gramStart"/>
            <w:r w:rsidRPr="00E822AE">
              <w:rPr>
                <w:sz w:val="20"/>
                <w:szCs w:val="20"/>
                <w:lang w:val="en-CA"/>
              </w:rPr>
              <w:t>taking into account</w:t>
            </w:r>
            <w:proofErr w:type="gramEnd"/>
            <w:r w:rsidRPr="00E822AE">
              <w:rPr>
                <w:sz w:val="20"/>
                <w:szCs w:val="20"/>
                <w:lang w:val="en-CA"/>
              </w:rPr>
              <w:t xml:space="preserve"> traditional knowledge, ensuring that the voices of rightsholders and particularly marginalized groups are appropriately </w:t>
            </w:r>
            <w:proofErr w:type="gramStart"/>
            <w:r w:rsidRPr="00E822AE">
              <w:rPr>
                <w:sz w:val="20"/>
                <w:szCs w:val="20"/>
                <w:lang w:val="en-CA"/>
              </w:rPr>
              <w:t>taken into account</w:t>
            </w:r>
            <w:proofErr w:type="gramEnd"/>
            <w:r w:rsidRPr="00E822AE">
              <w:rPr>
                <w:sz w:val="20"/>
                <w:szCs w:val="20"/>
                <w:lang w:val="en-CA"/>
              </w:rPr>
              <w:t>, to support healthy ecosystems, social equity and human rights. </w:t>
            </w:r>
          </w:p>
        </w:tc>
      </w:tr>
      <w:tr w:rsidR="00C37DA1" w:rsidRPr="00E822AE" w14:paraId="198CE522" w14:textId="77777777">
        <w:trPr>
          <w:trHeight w:val="1020"/>
        </w:trPr>
        <w:tc>
          <w:tcPr>
            <w:tcW w:w="2055" w:type="dxa"/>
            <w:tcBorders>
              <w:top w:val="nil"/>
              <w:left w:val="nil"/>
              <w:bottom w:val="nil"/>
              <w:right w:val="nil"/>
            </w:tcBorders>
            <w:hideMark/>
          </w:tcPr>
          <w:p w14:paraId="3AECB5E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Pathways of the introduction of alien species </w:t>
            </w:r>
          </w:p>
        </w:tc>
        <w:tc>
          <w:tcPr>
            <w:tcW w:w="7155" w:type="dxa"/>
            <w:tcBorders>
              <w:top w:val="nil"/>
              <w:left w:val="nil"/>
              <w:bottom w:val="nil"/>
              <w:right w:val="nil"/>
            </w:tcBorders>
            <w:hideMark/>
          </w:tcPr>
          <w:p w14:paraId="260B461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many ways in which species are moved from one location to another by human activities that give rise to an intentional or unintentional introduction. (</w:t>
            </w:r>
            <w:hyperlink r:id="rId640" w:tgtFrame="_blank" w:history="1">
              <w:r w:rsidRPr="00E822AE">
                <w:rPr>
                  <w:rStyle w:val="Hyperlink"/>
                  <w:sz w:val="20"/>
                  <w:szCs w:val="20"/>
                  <w:lang w:val="en-CA"/>
                </w:rPr>
                <w:t>IPBES</w:t>
              </w:r>
            </w:hyperlink>
            <w:r w:rsidRPr="00E822AE">
              <w:rPr>
                <w:sz w:val="20"/>
                <w:szCs w:val="20"/>
                <w:lang w:val="en-CA"/>
              </w:rPr>
              <w:t>, 2023) </w:t>
            </w:r>
          </w:p>
        </w:tc>
      </w:tr>
      <w:tr w:rsidR="00C37DA1" w:rsidRPr="00E822AE" w14:paraId="786972C2" w14:textId="77777777">
        <w:trPr>
          <w:trHeight w:val="1418"/>
        </w:trPr>
        <w:tc>
          <w:tcPr>
            <w:tcW w:w="2055" w:type="dxa"/>
            <w:tcBorders>
              <w:top w:val="nil"/>
              <w:left w:val="nil"/>
              <w:bottom w:val="nil"/>
              <w:right w:val="nil"/>
            </w:tcBorders>
            <w:hideMark/>
          </w:tcPr>
          <w:p w14:paraId="4D3EF7B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 xml:space="preserve">Payments </w:t>
            </w:r>
            <w:proofErr w:type="gramStart"/>
            <w:r w:rsidRPr="00E822AE">
              <w:rPr>
                <w:sz w:val="20"/>
                <w:szCs w:val="20"/>
                <w:lang w:val="en-CA"/>
              </w:rPr>
              <w:t>for  ecosystem</w:t>
            </w:r>
            <w:proofErr w:type="gramEnd"/>
            <w:r w:rsidRPr="00E822AE">
              <w:rPr>
                <w:sz w:val="20"/>
                <w:szCs w:val="20"/>
                <w:lang w:val="en-CA"/>
              </w:rPr>
              <w:t xml:space="preserve"> services </w:t>
            </w:r>
          </w:p>
        </w:tc>
        <w:tc>
          <w:tcPr>
            <w:tcW w:w="7155" w:type="dxa"/>
            <w:tcBorders>
              <w:top w:val="nil"/>
              <w:left w:val="nil"/>
              <w:bottom w:val="nil"/>
              <w:right w:val="nil"/>
            </w:tcBorders>
            <w:hideMark/>
          </w:tcPr>
          <w:p w14:paraId="03B2AB7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voluntary transaction between ecosystem service users and service providers that are conditional on agreed rules of natural resource management for generating offsite services (Wunder, 2015). Ecosystem service providers and users may be individuals, companies or aggregations of actors. In some cases, a government may act on behalf of users. </w:t>
            </w:r>
          </w:p>
        </w:tc>
      </w:tr>
      <w:tr w:rsidR="00C37DA1" w:rsidRPr="00E822AE" w14:paraId="1345EFA3" w14:textId="77777777">
        <w:trPr>
          <w:trHeight w:val="1185"/>
        </w:trPr>
        <w:tc>
          <w:tcPr>
            <w:tcW w:w="2055" w:type="dxa"/>
            <w:tcBorders>
              <w:top w:val="nil"/>
              <w:left w:val="nil"/>
              <w:bottom w:val="nil"/>
              <w:right w:val="nil"/>
            </w:tcBorders>
            <w:hideMark/>
          </w:tcPr>
          <w:p w14:paraId="00647DF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Persons with disabilities </w:t>
            </w:r>
          </w:p>
        </w:tc>
        <w:tc>
          <w:tcPr>
            <w:tcW w:w="7155" w:type="dxa"/>
            <w:tcBorders>
              <w:top w:val="nil"/>
              <w:left w:val="nil"/>
              <w:bottom w:val="nil"/>
              <w:right w:val="nil"/>
            </w:tcBorders>
            <w:hideMark/>
          </w:tcPr>
          <w:p w14:paraId="2A40CEB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Persons with disabilities include those who have long-term physical, mental, intellectual or sensory impairments which in interaction with various barriers may hinder their full and effective participation in society on an equal basis with others. (UN CRPD, Article 2) </w:t>
            </w:r>
          </w:p>
        </w:tc>
      </w:tr>
      <w:tr w:rsidR="00C37DA1" w:rsidRPr="00E822AE" w14:paraId="75D10681" w14:textId="77777777">
        <w:trPr>
          <w:trHeight w:val="990"/>
        </w:trPr>
        <w:tc>
          <w:tcPr>
            <w:tcW w:w="2055" w:type="dxa"/>
            <w:tcBorders>
              <w:top w:val="nil"/>
              <w:left w:val="nil"/>
              <w:bottom w:val="nil"/>
              <w:right w:val="nil"/>
            </w:tcBorders>
            <w:hideMark/>
          </w:tcPr>
          <w:p w14:paraId="7D06FCD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Pesticide </w:t>
            </w:r>
          </w:p>
        </w:tc>
        <w:tc>
          <w:tcPr>
            <w:tcW w:w="7155" w:type="dxa"/>
            <w:tcBorders>
              <w:top w:val="nil"/>
              <w:left w:val="nil"/>
              <w:bottom w:val="nil"/>
              <w:right w:val="nil"/>
            </w:tcBorders>
            <w:hideMark/>
          </w:tcPr>
          <w:p w14:paraId="101E4F3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Pesticide means any substance, or mixture of substances of chemical or biological ingredients intended for repelling, destroying or controlling any pest, or regulating plant growth. (</w:t>
            </w:r>
            <w:r w:rsidRPr="00E822AE">
              <w:rPr>
                <w:sz w:val="20"/>
                <w:szCs w:val="20"/>
              </w:rPr>
              <w:t>CBD/WG2020/5/4)</w:t>
            </w:r>
            <w:r w:rsidRPr="00E822AE">
              <w:rPr>
                <w:sz w:val="20"/>
                <w:szCs w:val="20"/>
                <w:lang w:val="en-CA"/>
              </w:rPr>
              <w:t> </w:t>
            </w:r>
          </w:p>
        </w:tc>
      </w:tr>
      <w:tr w:rsidR="00C37DA1" w:rsidRPr="00E822AE" w14:paraId="4BD12E45" w14:textId="77777777">
        <w:trPr>
          <w:trHeight w:val="2025"/>
        </w:trPr>
        <w:tc>
          <w:tcPr>
            <w:tcW w:w="2055" w:type="dxa"/>
            <w:tcBorders>
              <w:top w:val="nil"/>
              <w:left w:val="nil"/>
              <w:bottom w:val="nil"/>
              <w:right w:val="nil"/>
            </w:tcBorders>
            <w:hideMark/>
          </w:tcPr>
          <w:p w14:paraId="6EF37EC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Physical ecosystem services flow accounts </w:t>
            </w:r>
          </w:p>
        </w:tc>
        <w:tc>
          <w:tcPr>
            <w:tcW w:w="7155" w:type="dxa"/>
            <w:tcBorders>
              <w:top w:val="nil"/>
              <w:left w:val="nil"/>
              <w:bottom w:val="nil"/>
              <w:right w:val="nil"/>
            </w:tcBorders>
            <w:hideMark/>
          </w:tcPr>
          <w:p w14:paraId="0E541C5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supply of final ecosystem services by ecosystem assets and the use of those services by economic units, including households, enterprises and government, in physical units. They use a supply and use table </w:t>
            </w:r>
            <w:proofErr w:type="gramStart"/>
            <w:r w:rsidRPr="00E822AE">
              <w:rPr>
                <w:sz w:val="20"/>
                <w:szCs w:val="20"/>
                <w:lang w:val="en-CA"/>
              </w:rPr>
              <w:t>structure,</w:t>
            </w:r>
            <w:proofErr w:type="gramEnd"/>
            <w:r w:rsidRPr="00E822AE">
              <w:rPr>
                <w:sz w:val="20"/>
                <w:szCs w:val="20"/>
                <w:lang w:val="en-CA"/>
              </w:rPr>
              <w:t xml:space="preserve"> the ecosystem service flow accounts record the flows of final ecosystem services supplied by ecosystem assets and used by economic units during an accounting period </w:t>
            </w:r>
            <w:proofErr w:type="gramStart"/>
            <w:r w:rsidRPr="00E822AE">
              <w:rPr>
                <w:sz w:val="20"/>
                <w:szCs w:val="20"/>
                <w:lang w:val="en-CA"/>
              </w:rPr>
              <w:t>and also</w:t>
            </w:r>
            <w:proofErr w:type="gramEnd"/>
            <w:r w:rsidRPr="00E822AE">
              <w:rPr>
                <w:sz w:val="20"/>
                <w:szCs w:val="20"/>
                <w:lang w:val="en-CA"/>
              </w:rPr>
              <w:t xml:space="preserve"> allow for the recording of intermediate services flows between ecosystem assets. (</w:t>
            </w:r>
            <w:hyperlink r:id="rId641"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4163E104" w14:textId="77777777">
        <w:trPr>
          <w:trHeight w:val="1500"/>
        </w:trPr>
        <w:tc>
          <w:tcPr>
            <w:tcW w:w="2055" w:type="dxa"/>
            <w:tcBorders>
              <w:top w:val="nil"/>
              <w:left w:val="nil"/>
              <w:bottom w:val="nil"/>
              <w:right w:val="nil"/>
            </w:tcBorders>
            <w:hideMark/>
          </w:tcPr>
          <w:p w14:paraId="32E8EB0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Plan of Action on Customary Sustainable Use of Biological Diversity </w:t>
            </w:r>
          </w:p>
        </w:tc>
        <w:tc>
          <w:tcPr>
            <w:tcW w:w="7155" w:type="dxa"/>
            <w:tcBorders>
              <w:top w:val="nil"/>
              <w:left w:val="nil"/>
              <w:bottom w:val="nil"/>
              <w:right w:val="nil"/>
            </w:tcBorders>
            <w:hideMark/>
          </w:tcPr>
          <w:p w14:paraId="2C8D3CD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objective of this plan of action is to promote, within the framework of the Convention, a just implementation of Article 10(c) at local, national, regional and international levels and to ensure the full and effective participation of indigenous peoples and local communities at all stages and levels of implementation. (Convention, Article 8(j)) </w:t>
            </w:r>
          </w:p>
        </w:tc>
      </w:tr>
      <w:tr w:rsidR="00C37DA1" w:rsidRPr="00E822AE" w14:paraId="703479A3" w14:textId="77777777">
        <w:trPr>
          <w:trHeight w:val="705"/>
        </w:trPr>
        <w:tc>
          <w:tcPr>
            <w:tcW w:w="2055" w:type="dxa"/>
            <w:tcBorders>
              <w:top w:val="nil"/>
              <w:left w:val="nil"/>
              <w:bottom w:val="nil"/>
              <w:right w:val="nil"/>
            </w:tcBorders>
            <w:hideMark/>
          </w:tcPr>
          <w:p w14:paraId="2FBC394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Policy </w:t>
            </w:r>
          </w:p>
        </w:tc>
        <w:tc>
          <w:tcPr>
            <w:tcW w:w="7155" w:type="dxa"/>
            <w:tcBorders>
              <w:top w:val="nil"/>
              <w:left w:val="nil"/>
              <w:bottom w:val="nil"/>
              <w:right w:val="nil"/>
            </w:tcBorders>
            <w:hideMark/>
          </w:tcPr>
          <w:p w14:paraId="62EE6F6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course or principle of action adopted or proposed by an organization or individual. (</w:t>
            </w:r>
            <w:hyperlink r:id="rId642" w:tgtFrame="_blank" w:history="1">
              <w:r w:rsidRPr="00E822AE">
                <w:rPr>
                  <w:rStyle w:val="Hyperlink"/>
                  <w:sz w:val="20"/>
                  <w:szCs w:val="20"/>
                  <w:lang w:val="en-CA"/>
                </w:rPr>
                <w:t>IPBES</w:t>
              </w:r>
            </w:hyperlink>
            <w:r w:rsidRPr="00E822AE">
              <w:rPr>
                <w:sz w:val="20"/>
                <w:szCs w:val="20"/>
                <w:lang w:val="en-CA"/>
              </w:rPr>
              <w:t>, 2016) </w:t>
            </w:r>
          </w:p>
        </w:tc>
      </w:tr>
      <w:tr w:rsidR="00C37DA1" w:rsidRPr="00E822AE" w14:paraId="0FF51B37" w14:textId="77777777">
        <w:trPr>
          <w:trHeight w:val="1020"/>
        </w:trPr>
        <w:tc>
          <w:tcPr>
            <w:tcW w:w="2055" w:type="dxa"/>
            <w:tcBorders>
              <w:top w:val="nil"/>
              <w:left w:val="nil"/>
              <w:bottom w:val="nil"/>
              <w:right w:val="nil"/>
            </w:tcBorders>
            <w:hideMark/>
          </w:tcPr>
          <w:p w14:paraId="282B5D6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Policy framework </w:t>
            </w:r>
          </w:p>
        </w:tc>
        <w:tc>
          <w:tcPr>
            <w:tcW w:w="7155" w:type="dxa"/>
            <w:tcBorders>
              <w:top w:val="nil"/>
              <w:left w:val="nil"/>
              <w:bottom w:val="nil"/>
              <w:right w:val="nil"/>
            </w:tcBorders>
            <w:hideMark/>
          </w:tcPr>
          <w:p w14:paraId="22AADD3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Policy frameworks are general structures, often encapsulated in documents or established practices, that provide institutions a guiding architecture for policy action across one or multiple policy areas. (</w:t>
            </w:r>
            <w:proofErr w:type="spellStart"/>
            <w:r w:rsidRPr="00E822AE">
              <w:rPr>
                <w:sz w:val="20"/>
                <w:szCs w:val="20"/>
              </w:rPr>
              <w:fldChar w:fldCharType="begin"/>
            </w:r>
            <w:r w:rsidRPr="00E822AE">
              <w:rPr>
                <w:sz w:val="20"/>
                <w:szCs w:val="20"/>
              </w:rPr>
              <w:instrText>HYPERLINK "https://journals.muni.cz/socialni_studia/article/view/35675" \t "_blank"</w:instrText>
            </w:r>
            <w:r w:rsidRPr="00E822AE">
              <w:rPr>
                <w:sz w:val="20"/>
                <w:szCs w:val="20"/>
              </w:rPr>
            </w:r>
            <w:r w:rsidRPr="00E822AE">
              <w:rPr>
                <w:sz w:val="20"/>
                <w:szCs w:val="20"/>
              </w:rPr>
              <w:fldChar w:fldCharType="separate"/>
            </w:r>
            <w:r w:rsidRPr="00E822AE">
              <w:rPr>
                <w:rStyle w:val="Hyperlink"/>
                <w:sz w:val="20"/>
                <w:szCs w:val="20"/>
                <w:lang w:val="en-CA"/>
              </w:rPr>
              <w:t>Lahkno</w:t>
            </w:r>
            <w:proofErr w:type="spellEnd"/>
            <w:r w:rsidRPr="00E822AE">
              <w:rPr>
                <w:sz w:val="20"/>
                <w:szCs w:val="20"/>
              </w:rPr>
              <w:fldChar w:fldCharType="end"/>
            </w:r>
            <w:r w:rsidRPr="00E822AE">
              <w:rPr>
                <w:sz w:val="20"/>
                <w:szCs w:val="20"/>
                <w:lang w:val="en-CA"/>
              </w:rPr>
              <w:t>, 2023) </w:t>
            </w:r>
          </w:p>
        </w:tc>
      </w:tr>
      <w:tr w:rsidR="00C37DA1" w:rsidRPr="00E822AE" w14:paraId="06C32356" w14:textId="77777777">
        <w:trPr>
          <w:trHeight w:val="1230"/>
        </w:trPr>
        <w:tc>
          <w:tcPr>
            <w:tcW w:w="2055" w:type="dxa"/>
            <w:tcBorders>
              <w:top w:val="nil"/>
              <w:left w:val="nil"/>
              <w:bottom w:val="nil"/>
              <w:right w:val="nil"/>
            </w:tcBorders>
            <w:hideMark/>
          </w:tcPr>
          <w:p w14:paraId="4921C21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Pollination services </w:t>
            </w:r>
          </w:p>
        </w:tc>
        <w:tc>
          <w:tcPr>
            <w:tcW w:w="7155" w:type="dxa"/>
            <w:tcBorders>
              <w:top w:val="nil"/>
              <w:left w:val="nil"/>
              <w:bottom w:val="nil"/>
              <w:right w:val="nil"/>
            </w:tcBorders>
            <w:hideMark/>
          </w:tcPr>
          <w:p w14:paraId="2F20575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ecosystem contributions by wild pollinators to the fertilization of crops that maintains or increases the abundance and/or diversity of other species that economic units use or enjoy. This may be recorded as a final or intermediate service. (</w:t>
            </w:r>
            <w:hyperlink r:id="rId643"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1840CD44" w14:textId="77777777">
        <w:trPr>
          <w:trHeight w:val="990"/>
        </w:trPr>
        <w:tc>
          <w:tcPr>
            <w:tcW w:w="2055" w:type="dxa"/>
            <w:tcBorders>
              <w:top w:val="nil"/>
              <w:left w:val="nil"/>
              <w:bottom w:val="nil"/>
              <w:right w:val="nil"/>
            </w:tcBorders>
            <w:hideMark/>
          </w:tcPr>
          <w:p w14:paraId="072F4A5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Population </w:t>
            </w:r>
          </w:p>
        </w:tc>
        <w:tc>
          <w:tcPr>
            <w:tcW w:w="7155" w:type="dxa"/>
            <w:tcBorders>
              <w:top w:val="nil"/>
              <w:left w:val="nil"/>
              <w:bottom w:val="nil"/>
              <w:right w:val="nil"/>
            </w:tcBorders>
            <w:hideMark/>
          </w:tcPr>
          <w:p w14:paraId="3C44035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group of individuals of the same species living in the same area at the same time and sharing a common gene pool, with little or no immigration or emigration. </w:t>
            </w:r>
          </w:p>
        </w:tc>
      </w:tr>
      <w:tr w:rsidR="00C37DA1" w:rsidRPr="00E822AE" w14:paraId="2C895844" w14:textId="77777777">
        <w:trPr>
          <w:trHeight w:val="330"/>
        </w:trPr>
        <w:tc>
          <w:tcPr>
            <w:tcW w:w="2055" w:type="dxa"/>
            <w:tcBorders>
              <w:top w:val="nil"/>
              <w:left w:val="nil"/>
              <w:bottom w:val="nil"/>
              <w:right w:val="nil"/>
            </w:tcBorders>
            <w:hideMark/>
          </w:tcPr>
          <w:p w14:paraId="090F671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Portfolios </w:t>
            </w:r>
          </w:p>
        </w:tc>
        <w:tc>
          <w:tcPr>
            <w:tcW w:w="7155" w:type="dxa"/>
            <w:tcBorders>
              <w:top w:val="nil"/>
              <w:left w:val="nil"/>
              <w:bottom w:val="nil"/>
              <w:right w:val="nil"/>
            </w:tcBorders>
            <w:hideMark/>
          </w:tcPr>
          <w:p w14:paraId="2EF1EE5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range of investments held by large and transnational companies and financial institutions. </w:t>
            </w:r>
          </w:p>
          <w:p w14:paraId="1250459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w:t>
            </w:r>
          </w:p>
        </w:tc>
      </w:tr>
      <w:tr w:rsidR="00C37DA1" w:rsidRPr="00E822AE" w14:paraId="11A19621" w14:textId="77777777">
        <w:trPr>
          <w:trHeight w:val="2430"/>
        </w:trPr>
        <w:tc>
          <w:tcPr>
            <w:tcW w:w="2055" w:type="dxa"/>
            <w:tcBorders>
              <w:top w:val="nil"/>
              <w:left w:val="nil"/>
              <w:bottom w:val="nil"/>
              <w:right w:val="nil"/>
            </w:tcBorders>
            <w:hideMark/>
          </w:tcPr>
          <w:p w14:paraId="2C0BEFF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 xml:space="preserve">Positive </w:t>
            </w:r>
            <w:proofErr w:type="gramStart"/>
            <w:r w:rsidRPr="00E822AE">
              <w:rPr>
                <w:sz w:val="20"/>
                <w:szCs w:val="20"/>
                <w:lang w:val="en-CA"/>
              </w:rPr>
              <w:t>incentives  (</w:t>
            </w:r>
            <w:proofErr w:type="gramEnd"/>
            <w:r w:rsidRPr="00E822AE">
              <w:rPr>
                <w:sz w:val="20"/>
                <w:szCs w:val="20"/>
                <w:lang w:val="en-CA"/>
              </w:rPr>
              <w:t>for biodiversity) </w:t>
            </w:r>
          </w:p>
        </w:tc>
        <w:tc>
          <w:tcPr>
            <w:tcW w:w="7155" w:type="dxa"/>
            <w:tcBorders>
              <w:top w:val="nil"/>
              <w:left w:val="nil"/>
              <w:bottom w:val="nil"/>
              <w:right w:val="nil"/>
            </w:tcBorders>
            <w:hideMark/>
          </w:tcPr>
          <w:p w14:paraId="6101803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Positive incentives (also referred to as incentive-based or economic instruments) are the set of fiscal and other economic incentives to incorporate biodiversity-related costs and benefits into production and consumption. They are the policy instruments that use price signals to discourage activities harmful to biodiversity (e.g. a tax on pollution) or encourage activities that benefit biodiversity (e.g. payments for ecosystem services). In contrast to more traditional command-and-control approaches (e.g. restrictions on access or use, standards, etc.), economic instruments can, in theory, meet a given environmental objective at a lower total economic cost. </w:t>
            </w:r>
          </w:p>
        </w:tc>
      </w:tr>
      <w:tr w:rsidR="00C37DA1" w:rsidRPr="00E822AE" w14:paraId="58C192F7" w14:textId="77777777">
        <w:trPr>
          <w:trHeight w:val="675"/>
        </w:trPr>
        <w:tc>
          <w:tcPr>
            <w:tcW w:w="2055" w:type="dxa"/>
            <w:tcBorders>
              <w:top w:val="nil"/>
              <w:left w:val="nil"/>
              <w:bottom w:val="nil"/>
              <w:right w:val="nil"/>
            </w:tcBorders>
            <w:hideMark/>
          </w:tcPr>
          <w:p w14:paraId="7F092E0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 xml:space="preserve">Potential </w:t>
            </w:r>
            <w:proofErr w:type="gramStart"/>
            <w:r w:rsidRPr="00E822AE">
              <w:rPr>
                <w:sz w:val="20"/>
                <w:szCs w:val="20"/>
                <w:lang w:val="en-CA"/>
              </w:rPr>
              <w:t>invasive  alien</w:t>
            </w:r>
            <w:proofErr w:type="gramEnd"/>
            <w:r w:rsidRPr="00E822AE">
              <w:rPr>
                <w:sz w:val="20"/>
                <w:szCs w:val="20"/>
                <w:lang w:val="en-CA"/>
              </w:rPr>
              <w:t xml:space="preserve"> species </w:t>
            </w:r>
          </w:p>
        </w:tc>
        <w:tc>
          <w:tcPr>
            <w:tcW w:w="7155" w:type="dxa"/>
            <w:tcBorders>
              <w:top w:val="nil"/>
              <w:left w:val="nil"/>
              <w:bottom w:val="nil"/>
              <w:right w:val="nil"/>
            </w:tcBorders>
            <w:hideMark/>
          </w:tcPr>
          <w:p w14:paraId="1E37ABA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Species that may become invasive alien species if unchecked. </w:t>
            </w:r>
          </w:p>
        </w:tc>
      </w:tr>
      <w:tr w:rsidR="00C37DA1" w:rsidRPr="00E822AE" w14:paraId="645E582E" w14:textId="77777777">
        <w:trPr>
          <w:trHeight w:val="2715"/>
        </w:trPr>
        <w:tc>
          <w:tcPr>
            <w:tcW w:w="2055" w:type="dxa"/>
            <w:tcBorders>
              <w:top w:val="nil"/>
              <w:left w:val="nil"/>
              <w:bottom w:val="nil"/>
              <w:right w:val="nil"/>
            </w:tcBorders>
            <w:hideMark/>
          </w:tcPr>
          <w:p w14:paraId="152FF16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Potential open public space </w:t>
            </w:r>
          </w:p>
        </w:tc>
        <w:tc>
          <w:tcPr>
            <w:tcW w:w="7155" w:type="dxa"/>
            <w:tcBorders>
              <w:top w:val="nil"/>
              <w:left w:val="nil"/>
              <w:bottom w:val="nil"/>
              <w:right w:val="nil"/>
            </w:tcBorders>
            <w:hideMark/>
          </w:tcPr>
          <w:p w14:paraId="6B4C2CC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identification of open public spaces across cities can be implemented through, among other sources, analysis of high to very high-resolution satellite imagery, from </w:t>
            </w:r>
            <w:proofErr w:type="gramStart"/>
            <w:r w:rsidRPr="00E822AE">
              <w:rPr>
                <w:sz w:val="20"/>
                <w:szCs w:val="20"/>
                <w:lang w:val="en-CA"/>
              </w:rPr>
              <w:t>base-maps</w:t>
            </w:r>
            <w:proofErr w:type="gramEnd"/>
            <w:r w:rsidRPr="00E822AE">
              <w:rPr>
                <w:sz w:val="20"/>
                <w:szCs w:val="20"/>
                <w:lang w:val="en-CA"/>
              </w:rPr>
              <w:t xml:space="preserve"> provided by different organizations (e.g. OpenStreetMap, Esri, etc.) or as crowd-sourced and volunteered data. While these sources provide important baseline data for indicator 11.7.1, some of the identifiable spaces may not meet the criteria of being “</w:t>
            </w:r>
            <w:r w:rsidRPr="00E822AE">
              <w:rPr>
                <w:i/>
                <w:iCs/>
                <w:sz w:val="20"/>
                <w:szCs w:val="20"/>
                <w:lang w:val="en-CA"/>
              </w:rPr>
              <w:t>accessible to the public without charge</w:t>
            </w:r>
            <w:r w:rsidRPr="00E822AE">
              <w:rPr>
                <w:sz w:val="20"/>
                <w:szCs w:val="20"/>
                <w:lang w:val="en-CA"/>
              </w:rPr>
              <w:t>”. The term “</w:t>
            </w:r>
            <w:r w:rsidRPr="00E822AE">
              <w:rPr>
                <w:i/>
                <w:iCs/>
                <w:sz w:val="20"/>
                <w:szCs w:val="20"/>
                <w:lang w:val="en-CA"/>
              </w:rPr>
              <w:t>potential open public space</w:t>
            </w:r>
            <w:r w:rsidRPr="00E822AE">
              <w:rPr>
                <w:sz w:val="20"/>
                <w:szCs w:val="20"/>
                <w:lang w:val="en-CA"/>
              </w:rPr>
              <w:t>” is thus used to refer to open public spaces which are extracted from the above-mentioned sources (based on their spatial character), but which are not yet validated to confirm if they are accessible to the public without charge. (</w:t>
            </w:r>
            <w:hyperlink r:id="rId644" w:tgtFrame="_blank" w:history="1">
              <w:r w:rsidRPr="00E822AE">
                <w:rPr>
                  <w:rStyle w:val="Hyperlink"/>
                  <w:sz w:val="20"/>
                  <w:szCs w:val="20"/>
                  <w:lang w:val="en-CA"/>
                </w:rPr>
                <w:t>UN Habitat</w:t>
              </w:r>
            </w:hyperlink>
            <w:r w:rsidRPr="00E822AE">
              <w:rPr>
                <w:sz w:val="20"/>
                <w:szCs w:val="20"/>
                <w:lang w:val="en-CA"/>
              </w:rPr>
              <w:t>, 2018) </w:t>
            </w:r>
          </w:p>
        </w:tc>
      </w:tr>
      <w:tr w:rsidR="00C37DA1" w:rsidRPr="00E822AE" w14:paraId="2C54CBEA" w14:textId="77777777">
        <w:trPr>
          <w:trHeight w:val="735"/>
        </w:trPr>
        <w:tc>
          <w:tcPr>
            <w:tcW w:w="2055" w:type="dxa"/>
            <w:tcBorders>
              <w:top w:val="nil"/>
              <w:left w:val="nil"/>
              <w:bottom w:val="nil"/>
              <w:right w:val="nil"/>
            </w:tcBorders>
            <w:hideMark/>
          </w:tcPr>
          <w:p w14:paraId="1269DC0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Poverty eradication strategies </w:t>
            </w:r>
          </w:p>
        </w:tc>
        <w:tc>
          <w:tcPr>
            <w:tcW w:w="7155" w:type="dxa"/>
            <w:tcBorders>
              <w:top w:val="nil"/>
              <w:left w:val="nil"/>
              <w:bottom w:val="nil"/>
              <w:right w:val="nil"/>
            </w:tcBorders>
            <w:hideMark/>
          </w:tcPr>
          <w:p w14:paraId="022A503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Governmental plans designed and actions taken in line with the United Nations SDG Goal 1 of “</w:t>
            </w:r>
            <w:r w:rsidRPr="00E822AE">
              <w:rPr>
                <w:i/>
                <w:iCs/>
                <w:sz w:val="20"/>
                <w:szCs w:val="20"/>
                <w:lang w:val="en-CA"/>
              </w:rPr>
              <w:t>ending poverty in all its forms everywhere</w:t>
            </w:r>
            <w:r w:rsidRPr="00E822AE">
              <w:rPr>
                <w:sz w:val="20"/>
                <w:szCs w:val="20"/>
                <w:lang w:val="en-CA"/>
              </w:rPr>
              <w:t>”. (</w:t>
            </w:r>
            <w:hyperlink r:id="rId645" w:tgtFrame="_blank" w:history="1">
              <w:r w:rsidRPr="00E822AE">
                <w:rPr>
                  <w:rStyle w:val="Hyperlink"/>
                  <w:sz w:val="20"/>
                  <w:szCs w:val="20"/>
                  <w:lang w:val="en-CA"/>
                </w:rPr>
                <w:t>UN SDG</w:t>
              </w:r>
            </w:hyperlink>
            <w:r w:rsidRPr="00E822AE">
              <w:rPr>
                <w:sz w:val="20"/>
                <w:szCs w:val="20"/>
                <w:lang w:val="en-CA"/>
              </w:rPr>
              <w:t>) </w:t>
            </w:r>
          </w:p>
        </w:tc>
      </w:tr>
      <w:tr w:rsidR="00C37DA1" w:rsidRPr="00E822AE" w14:paraId="574CA70E" w14:textId="77777777">
        <w:trPr>
          <w:trHeight w:val="1695"/>
        </w:trPr>
        <w:tc>
          <w:tcPr>
            <w:tcW w:w="2055" w:type="dxa"/>
            <w:tcBorders>
              <w:top w:val="nil"/>
              <w:left w:val="nil"/>
              <w:bottom w:val="nil"/>
              <w:right w:val="nil"/>
            </w:tcBorders>
            <w:hideMark/>
          </w:tcPr>
          <w:p w14:paraId="4C1F99BD"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Preventing introduction and establishment of invasive alien species </w:t>
            </w:r>
          </w:p>
        </w:tc>
        <w:tc>
          <w:tcPr>
            <w:tcW w:w="7155" w:type="dxa"/>
            <w:tcBorders>
              <w:top w:val="nil"/>
              <w:left w:val="nil"/>
              <w:bottom w:val="nil"/>
              <w:right w:val="nil"/>
            </w:tcBorders>
            <w:hideMark/>
          </w:tcPr>
          <w:p w14:paraId="7359CE4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Involves taking action to avoid the introduction of an invasive alien species and is often more cost effective then eradicating it once it has become established. Conducting a risk analysis prior to the introduction of an alien species as well as enhancing border controls and quarantine, early warning mechanisms, rapid response measures and management plans are the types of actions that could be taken to help prevent the establishment of alien species.  </w:t>
            </w:r>
          </w:p>
        </w:tc>
      </w:tr>
      <w:tr w:rsidR="00C37DA1" w:rsidRPr="00E822AE" w14:paraId="352C0E30" w14:textId="77777777">
        <w:trPr>
          <w:trHeight w:val="675"/>
        </w:trPr>
        <w:tc>
          <w:tcPr>
            <w:tcW w:w="2055" w:type="dxa"/>
            <w:tcBorders>
              <w:top w:val="nil"/>
              <w:left w:val="nil"/>
              <w:bottom w:val="nil"/>
              <w:right w:val="nil"/>
            </w:tcBorders>
            <w:hideMark/>
          </w:tcPr>
          <w:p w14:paraId="32B1B5C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Priority invasive    alien species </w:t>
            </w:r>
          </w:p>
        </w:tc>
        <w:tc>
          <w:tcPr>
            <w:tcW w:w="7155" w:type="dxa"/>
            <w:tcBorders>
              <w:top w:val="nil"/>
              <w:left w:val="nil"/>
              <w:bottom w:val="nil"/>
              <w:right w:val="nil"/>
            </w:tcBorders>
            <w:hideMark/>
          </w:tcPr>
          <w:p w14:paraId="669675A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Invasive alien species of special importance to a locality, causing particularly large or disproportionate impacts. </w:t>
            </w:r>
          </w:p>
        </w:tc>
      </w:tr>
      <w:tr w:rsidR="00C37DA1" w:rsidRPr="00E822AE" w14:paraId="2EE251BD" w14:textId="77777777">
        <w:trPr>
          <w:trHeight w:val="2415"/>
        </w:trPr>
        <w:tc>
          <w:tcPr>
            <w:tcW w:w="2055" w:type="dxa"/>
            <w:tcBorders>
              <w:top w:val="nil"/>
              <w:left w:val="nil"/>
              <w:bottom w:val="nil"/>
              <w:right w:val="nil"/>
            </w:tcBorders>
            <w:hideMark/>
          </w:tcPr>
          <w:p w14:paraId="762919B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Priority sites </w:t>
            </w:r>
          </w:p>
        </w:tc>
        <w:tc>
          <w:tcPr>
            <w:tcW w:w="7155" w:type="dxa"/>
            <w:tcBorders>
              <w:top w:val="nil"/>
              <w:left w:val="nil"/>
              <w:bottom w:val="nil"/>
              <w:right w:val="nil"/>
            </w:tcBorders>
            <w:hideMark/>
          </w:tcPr>
          <w:p w14:paraId="21CC1F8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Ecosystems and habitats which are sensitive and susceptible to biological invasions and areas where impacts of invasive alien species on native components of biodiversity, as well as on social, economic or cultural values are high. Priority sites may include island ecosystems, protected areas, priority ecosystem restoration sites, areas with endemic species, areas with intensive farming and aquaculture, and sites of particular importance for biodiversity. Priority sites may be designated internationally and/or at the national level </w:t>
            </w:r>
            <w:proofErr w:type="gramStart"/>
            <w:r w:rsidRPr="00E822AE">
              <w:rPr>
                <w:sz w:val="20"/>
                <w:szCs w:val="20"/>
                <w:lang w:val="en-CA"/>
              </w:rPr>
              <w:t>on the basis of</w:t>
            </w:r>
            <w:proofErr w:type="gramEnd"/>
            <w:r w:rsidRPr="00E822AE">
              <w:rPr>
                <w:sz w:val="20"/>
                <w:szCs w:val="20"/>
                <w:lang w:val="en-CA"/>
              </w:rPr>
              <w:t xml:space="preserve"> their conditions and circumstances. (See also CBD/SBSTTA/24/3/Add.2/Rev.1, para. 76) </w:t>
            </w:r>
          </w:p>
        </w:tc>
      </w:tr>
      <w:tr w:rsidR="00C37DA1" w:rsidRPr="00E822AE" w14:paraId="7634FFF2" w14:textId="77777777">
        <w:trPr>
          <w:trHeight w:val="1020"/>
        </w:trPr>
        <w:tc>
          <w:tcPr>
            <w:tcW w:w="2055" w:type="dxa"/>
            <w:tcBorders>
              <w:top w:val="nil"/>
              <w:left w:val="nil"/>
              <w:bottom w:val="nil"/>
              <w:right w:val="nil"/>
            </w:tcBorders>
            <w:hideMark/>
          </w:tcPr>
          <w:p w14:paraId="3B66956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Protected area </w:t>
            </w:r>
          </w:p>
        </w:tc>
        <w:tc>
          <w:tcPr>
            <w:tcW w:w="7155" w:type="dxa"/>
            <w:tcBorders>
              <w:top w:val="nil"/>
              <w:left w:val="nil"/>
              <w:bottom w:val="nil"/>
              <w:right w:val="nil"/>
            </w:tcBorders>
            <w:hideMark/>
          </w:tcPr>
          <w:p w14:paraId="697D7C4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clearly defined geographical space, recognised, dedicated and managed, through legal or other effective means, to achieve the long-term conservation of nature with associated ecosystem services and cultural values. (Dudley et al. 2008) </w:t>
            </w:r>
          </w:p>
          <w:p w14:paraId="0E15D26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w:t>
            </w:r>
          </w:p>
        </w:tc>
      </w:tr>
      <w:tr w:rsidR="00C37DA1" w:rsidRPr="00E822AE" w14:paraId="239ABD41" w14:textId="77777777">
        <w:trPr>
          <w:trHeight w:val="1185"/>
        </w:trPr>
        <w:tc>
          <w:tcPr>
            <w:tcW w:w="2055" w:type="dxa"/>
            <w:tcBorders>
              <w:top w:val="nil"/>
              <w:left w:val="nil"/>
              <w:bottom w:val="nil"/>
              <w:right w:val="nil"/>
            </w:tcBorders>
            <w:hideMark/>
          </w:tcPr>
          <w:p w14:paraId="6A4BDAE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Public and private activities </w:t>
            </w:r>
          </w:p>
        </w:tc>
        <w:tc>
          <w:tcPr>
            <w:tcW w:w="7155" w:type="dxa"/>
            <w:tcBorders>
              <w:top w:val="nil"/>
              <w:left w:val="nil"/>
              <w:bottom w:val="nil"/>
              <w:right w:val="nil"/>
            </w:tcBorders>
            <w:hideMark/>
          </w:tcPr>
          <w:p w14:paraId="7B19B0A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Commercial and other activities conducted by entities that are subject to control by government units and/or non-government individuals and corporations, with control being defined as the ability to determine general corporate policy by choosing appropriate directors, if necessary. (</w:t>
            </w:r>
            <w:hyperlink r:id="rId646" w:tgtFrame="_blank" w:history="1">
              <w:r w:rsidRPr="00E822AE">
                <w:rPr>
                  <w:rStyle w:val="Hyperlink"/>
                  <w:sz w:val="20"/>
                  <w:szCs w:val="20"/>
                  <w:lang w:val="en-CA"/>
                </w:rPr>
                <w:t>UN Stats</w:t>
              </w:r>
            </w:hyperlink>
            <w:r w:rsidRPr="00E822AE">
              <w:rPr>
                <w:sz w:val="20"/>
                <w:szCs w:val="20"/>
                <w:lang w:val="en-CA"/>
              </w:rPr>
              <w:t>, 1993) </w:t>
            </w:r>
          </w:p>
        </w:tc>
      </w:tr>
      <w:tr w:rsidR="00C37DA1" w:rsidRPr="00E822AE" w14:paraId="7B2F2DCF" w14:textId="77777777">
        <w:trPr>
          <w:trHeight w:val="2985"/>
        </w:trPr>
        <w:tc>
          <w:tcPr>
            <w:tcW w:w="2055" w:type="dxa"/>
            <w:tcBorders>
              <w:top w:val="nil"/>
              <w:left w:val="nil"/>
              <w:bottom w:val="nil"/>
              <w:right w:val="nil"/>
            </w:tcBorders>
            <w:hideMark/>
          </w:tcPr>
          <w:p w14:paraId="025B1E4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Public space </w:t>
            </w:r>
          </w:p>
        </w:tc>
        <w:tc>
          <w:tcPr>
            <w:tcW w:w="7155" w:type="dxa"/>
            <w:tcBorders>
              <w:top w:val="nil"/>
              <w:left w:val="nil"/>
              <w:bottom w:val="nil"/>
              <w:right w:val="nil"/>
            </w:tcBorders>
            <w:hideMark/>
          </w:tcPr>
          <w:p w14:paraId="7CA5AEC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Global Public Space toolkit defines Public Space as all places that are publicly owned or of public use, accessible and enjoyable by all, for free and without a profit motive, categorized into streets, open spaces and public facilities. Public space in general is defined as the meeting or gathering places that exist outside the home and workplace that are generally accessible by members of the public, and which foster resident interaction and opportunities for contact and proximity. This definition implies a higher level of community interaction and places a focus on public involvement rather than public ownership or stewardship. </w:t>
            </w:r>
            <w:proofErr w:type="gramStart"/>
            <w:r w:rsidRPr="00E822AE">
              <w:rPr>
                <w:sz w:val="20"/>
                <w:szCs w:val="20"/>
                <w:lang w:val="en-CA"/>
              </w:rPr>
              <w:t>For the purpose of</w:t>
            </w:r>
            <w:proofErr w:type="gramEnd"/>
            <w:r w:rsidRPr="00E822AE">
              <w:rPr>
                <w:sz w:val="20"/>
                <w:szCs w:val="20"/>
                <w:lang w:val="en-CA"/>
              </w:rPr>
              <w:t xml:space="preserve"> monitoring and reporting on indicator 11.7.1, public space is defined as all places of public use, accessible by all, and comprises open public space and streets. (</w:t>
            </w:r>
            <w:hyperlink r:id="rId647" w:tgtFrame="_blank" w:history="1">
              <w:r w:rsidRPr="00E822AE">
                <w:rPr>
                  <w:rStyle w:val="Hyperlink"/>
                  <w:sz w:val="20"/>
                  <w:szCs w:val="20"/>
                  <w:lang w:val="en-CA"/>
                </w:rPr>
                <w:t>UN Habitat</w:t>
              </w:r>
            </w:hyperlink>
            <w:r w:rsidRPr="00E822AE">
              <w:rPr>
                <w:sz w:val="20"/>
                <w:szCs w:val="20"/>
                <w:lang w:val="en-CA"/>
              </w:rPr>
              <w:t>, 2018) </w:t>
            </w:r>
          </w:p>
        </w:tc>
      </w:tr>
      <w:tr w:rsidR="00C37DA1" w:rsidRPr="00E822AE" w14:paraId="1A507F5D" w14:textId="77777777">
        <w:trPr>
          <w:trHeight w:val="1695"/>
        </w:trPr>
        <w:tc>
          <w:tcPr>
            <w:tcW w:w="2055" w:type="dxa"/>
            <w:tcBorders>
              <w:top w:val="nil"/>
              <w:left w:val="nil"/>
              <w:bottom w:val="nil"/>
              <w:right w:val="nil"/>
            </w:tcBorders>
            <w:hideMark/>
          </w:tcPr>
          <w:p w14:paraId="5BFD586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Red List Index </w:t>
            </w:r>
          </w:p>
        </w:tc>
        <w:tc>
          <w:tcPr>
            <w:tcW w:w="7155" w:type="dxa"/>
            <w:tcBorders>
              <w:top w:val="nil"/>
              <w:left w:val="nil"/>
              <w:bottom w:val="nil"/>
              <w:right w:val="nil"/>
            </w:tcBorders>
            <w:hideMark/>
          </w:tcPr>
          <w:p w14:paraId="2135718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Red List Index measures change in aggregate extinction risk across groups of species. It is based on genuine changes in the number of species in each category of extinction risk on the IUCN Red List of Threatened Species (</w:t>
            </w:r>
            <w:hyperlink r:id="rId648" w:tgtFrame="_blank" w:history="1">
              <w:r w:rsidRPr="00E822AE">
                <w:rPr>
                  <w:rStyle w:val="Hyperlink"/>
                  <w:sz w:val="20"/>
                  <w:szCs w:val="20"/>
                  <w:lang w:val="en-CA"/>
                </w:rPr>
                <w:t>www.iucnredlist.org</w:t>
              </w:r>
            </w:hyperlink>
            <w:r w:rsidRPr="00E822AE">
              <w:rPr>
                <w:sz w:val="20"/>
                <w:szCs w:val="20"/>
                <w:lang w:val="en-CA"/>
              </w:rPr>
              <w:t>) and is expressed as changes in an index ranging from 0 to 1. Similarly, there exists a Red List Index for ecosystems based on the IUCN Red List of Ecosystems. </w:t>
            </w:r>
          </w:p>
        </w:tc>
      </w:tr>
      <w:tr w:rsidR="00C37DA1" w:rsidRPr="00E822AE" w14:paraId="4FEDED37" w14:textId="77777777">
        <w:trPr>
          <w:trHeight w:val="675"/>
        </w:trPr>
        <w:tc>
          <w:tcPr>
            <w:tcW w:w="2055" w:type="dxa"/>
            <w:tcBorders>
              <w:top w:val="nil"/>
              <w:left w:val="nil"/>
              <w:bottom w:val="nil"/>
              <w:right w:val="nil"/>
            </w:tcBorders>
            <w:hideMark/>
          </w:tcPr>
          <w:p w14:paraId="1D32E54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Reduce </w:t>
            </w:r>
          </w:p>
        </w:tc>
        <w:tc>
          <w:tcPr>
            <w:tcW w:w="7155" w:type="dxa"/>
            <w:tcBorders>
              <w:top w:val="nil"/>
              <w:left w:val="nil"/>
              <w:bottom w:val="nil"/>
              <w:right w:val="nil"/>
            </w:tcBorders>
            <w:hideMark/>
          </w:tcPr>
          <w:p w14:paraId="4492D47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Minimize impacts, from a previous baseline value, without eliminating them entirely. (</w:t>
            </w:r>
            <w:hyperlink r:id="rId649" w:tgtFrame="_blank" w:history="1">
              <w:r w:rsidRPr="00E822AE">
                <w:rPr>
                  <w:rStyle w:val="Hyperlink"/>
                  <w:sz w:val="20"/>
                  <w:szCs w:val="20"/>
                  <w:lang w:val="en-CA"/>
                </w:rPr>
                <w:t>SBTN</w:t>
              </w:r>
            </w:hyperlink>
            <w:r w:rsidRPr="00E822AE">
              <w:rPr>
                <w:sz w:val="20"/>
                <w:szCs w:val="20"/>
                <w:lang w:val="en-CA"/>
              </w:rPr>
              <w:t>, 2023) </w:t>
            </w:r>
          </w:p>
        </w:tc>
      </w:tr>
      <w:tr w:rsidR="00C37DA1" w:rsidRPr="00E822AE" w14:paraId="08E0E861" w14:textId="77777777">
        <w:trPr>
          <w:trHeight w:val="1155"/>
        </w:trPr>
        <w:tc>
          <w:tcPr>
            <w:tcW w:w="2055" w:type="dxa"/>
            <w:tcBorders>
              <w:top w:val="nil"/>
              <w:left w:val="nil"/>
              <w:bottom w:val="nil"/>
              <w:right w:val="nil"/>
            </w:tcBorders>
            <w:hideMark/>
          </w:tcPr>
          <w:p w14:paraId="75B226D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Regulating and maintenance services </w:t>
            </w:r>
          </w:p>
        </w:tc>
        <w:tc>
          <w:tcPr>
            <w:tcW w:w="7155" w:type="dxa"/>
            <w:tcBorders>
              <w:top w:val="nil"/>
              <w:left w:val="nil"/>
              <w:bottom w:val="nil"/>
              <w:right w:val="nil"/>
            </w:tcBorders>
            <w:hideMark/>
          </w:tcPr>
          <w:p w14:paraId="4E896B2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Those ecosystem services resulting from the ability of ecosystems to regulate biological processes and to influence climate, hydrological and biochemical cycles, and thereby maintain environmental conditions beneficial to individuals and society. (</w:t>
            </w:r>
            <w:hyperlink r:id="rId650"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1614ED11" w14:textId="77777777">
        <w:trPr>
          <w:trHeight w:val="420"/>
        </w:trPr>
        <w:tc>
          <w:tcPr>
            <w:tcW w:w="2055" w:type="dxa"/>
            <w:tcBorders>
              <w:top w:val="nil"/>
              <w:left w:val="nil"/>
              <w:bottom w:val="nil"/>
              <w:right w:val="nil"/>
            </w:tcBorders>
            <w:hideMark/>
          </w:tcPr>
          <w:p w14:paraId="373F749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Regulation </w:t>
            </w:r>
          </w:p>
        </w:tc>
        <w:tc>
          <w:tcPr>
            <w:tcW w:w="7155" w:type="dxa"/>
            <w:tcBorders>
              <w:top w:val="nil"/>
              <w:left w:val="nil"/>
              <w:bottom w:val="nil"/>
              <w:right w:val="nil"/>
            </w:tcBorders>
            <w:hideMark/>
          </w:tcPr>
          <w:p w14:paraId="18692DF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Rules or directives maintained by law. </w:t>
            </w:r>
          </w:p>
        </w:tc>
      </w:tr>
      <w:tr w:rsidR="00C37DA1" w:rsidRPr="00E822AE" w14:paraId="0620058B" w14:textId="77777777">
        <w:trPr>
          <w:trHeight w:val="1695"/>
        </w:trPr>
        <w:tc>
          <w:tcPr>
            <w:tcW w:w="2055" w:type="dxa"/>
            <w:tcBorders>
              <w:top w:val="nil"/>
              <w:left w:val="nil"/>
              <w:bottom w:val="nil"/>
              <w:right w:val="nil"/>
            </w:tcBorders>
            <w:hideMark/>
          </w:tcPr>
          <w:p w14:paraId="3BD76F95" w14:textId="77777777" w:rsidR="00C37DA1" w:rsidRPr="00E822AE" w:rsidRDefault="00C37DA1" w:rsidP="00E822AE">
            <w:pPr>
              <w:pStyle w:val="CBDNormalNumber"/>
              <w:shd w:val="clear" w:color="auto" w:fill="FFFFFF"/>
              <w:ind w:left="567"/>
              <w:jc w:val="left"/>
              <w:rPr>
                <w:sz w:val="20"/>
                <w:szCs w:val="20"/>
                <w:lang w:val="en-CA"/>
              </w:rPr>
            </w:pPr>
            <w:proofErr w:type="gramStart"/>
            <w:r w:rsidRPr="00E822AE">
              <w:rPr>
                <w:sz w:val="20"/>
                <w:szCs w:val="20"/>
                <w:lang w:val="en-CA"/>
              </w:rPr>
              <w:t>Regulatory  framework</w:t>
            </w:r>
            <w:proofErr w:type="gramEnd"/>
            <w:r w:rsidRPr="00E822AE">
              <w:rPr>
                <w:sz w:val="20"/>
                <w:szCs w:val="20"/>
                <w:lang w:val="en-CA"/>
              </w:rPr>
              <w:t> </w:t>
            </w:r>
          </w:p>
        </w:tc>
        <w:tc>
          <w:tcPr>
            <w:tcW w:w="7155" w:type="dxa"/>
            <w:tcBorders>
              <w:top w:val="nil"/>
              <w:left w:val="nil"/>
              <w:bottom w:val="nil"/>
              <w:right w:val="nil"/>
            </w:tcBorders>
            <w:hideMark/>
          </w:tcPr>
          <w:p w14:paraId="52E068C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Regulatory frameworks are legal mechanisms that exist on national and international levels. They can be mandatory and coercive (national laws and regulations, contractual obligations) or voluntary (integrity pacts, codes of conduct, arms control agreements). Together they form a legal background against which conservation efforts are measured. The existence of these frameworks is a pre-requisite for fighting biodiversity loss.  </w:t>
            </w:r>
          </w:p>
        </w:tc>
      </w:tr>
      <w:tr w:rsidR="00C37DA1" w:rsidRPr="00E822AE" w14:paraId="1B91A4FC" w14:textId="77777777">
        <w:trPr>
          <w:trHeight w:val="2025"/>
        </w:trPr>
        <w:tc>
          <w:tcPr>
            <w:tcW w:w="2055" w:type="dxa"/>
            <w:tcBorders>
              <w:top w:val="nil"/>
              <w:left w:val="nil"/>
              <w:bottom w:val="nil"/>
              <w:right w:val="nil"/>
            </w:tcBorders>
            <w:hideMark/>
          </w:tcPr>
          <w:p w14:paraId="15814CE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Rehabilitation </w:t>
            </w:r>
          </w:p>
        </w:tc>
        <w:tc>
          <w:tcPr>
            <w:tcW w:w="7155" w:type="dxa"/>
            <w:tcBorders>
              <w:top w:val="nil"/>
              <w:left w:val="nil"/>
              <w:bottom w:val="nil"/>
              <w:right w:val="nil"/>
            </w:tcBorders>
            <w:hideMark/>
          </w:tcPr>
          <w:p w14:paraId="1C704EF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Management actions that aim to reinstate a level of ecosystem functioning on degraded sites, where the goal is renewed and ongoing provision of ecosystem services rather than the biodiversity and integrity of a designated native reference ecosystem (Gann et al. 2019). Rehabilitation is a type of ecosystem restoration. Ecosystem rehabilitation is focused on restoring and improving functions within transformed ecosystems, while ecological restoration is focused on restoration to a natural state. </w:t>
            </w:r>
          </w:p>
        </w:tc>
      </w:tr>
      <w:tr w:rsidR="00C37DA1" w:rsidRPr="00E822AE" w14:paraId="6D601B96" w14:textId="77777777">
        <w:trPr>
          <w:trHeight w:val="1020"/>
        </w:trPr>
        <w:tc>
          <w:tcPr>
            <w:tcW w:w="2055" w:type="dxa"/>
            <w:tcBorders>
              <w:top w:val="nil"/>
              <w:left w:val="nil"/>
              <w:bottom w:val="nil"/>
              <w:right w:val="nil"/>
            </w:tcBorders>
            <w:hideMark/>
          </w:tcPr>
          <w:p w14:paraId="3D730FD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Report </w:t>
            </w:r>
          </w:p>
        </w:tc>
        <w:tc>
          <w:tcPr>
            <w:tcW w:w="7155" w:type="dxa"/>
            <w:tcBorders>
              <w:top w:val="nil"/>
              <w:left w:val="nil"/>
              <w:bottom w:val="nil"/>
              <w:right w:val="nil"/>
            </w:tcBorders>
            <w:hideMark/>
          </w:tcPr>
          <w:p w14:paraId="0232AE9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act of sharing information to a known entity, body, repository that can be internal or external. Reporting can also be a format that disclosure can take when made available externally. (</w:t>
            </w:r>
            <w:r w:rsidRPr="00E822AE">
              <w:rPr>
                <w:sz w:val="20"/>
                <w:szCs w:val="20"/>
              </w:rPr>
              <w:t>CBD/WG2020/5/4)</w:t>
            </w:r>
            <w:r w:rsidRPr="00E822AE">
              <w:rPr>
                <w:sz w:val="20"/>
                <w:szCs w:val="20"/>
                <w:lang w:val="en-CA"/>
              </w:rPr>
              <w:t> </w:t>
            </w:r>
          </w:p>
        </w:tc>
      </w:tr>
      <w:tr w:rsidR="00C37DA1" w:rsidRPr="00E822AE" w14:paraId="5E0FA3BD" w14:textId="77777777">
        <w:trPr>
          <w:trHeight w:val="1418"/>
        </w:trPr>
        <w:tc>
          <w:tcPr>
            <w:tcW w:w="2055" w:type="dxa"/>
            <w:tcBorders>
              <w:top w:val="nil"/>
              <w:left w:val="nil"/>
              <w:bottom w:val="nil"/>
              <w:right w:val="nil"/>
            </w:tcBorders>
            <w:hideMark/>
          </w:tcPr>
          <w:p w14:paraId="1B0F2FB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Resilience </w:t>
            </w:r>
          </w:p>
        </w:tc>
        <w:tc>
          <w:tcPr>
            <w:tcW w:w="7155" w:type="dxa"/>
            <w:tcBorders>
              <w:top w:val="nil"/>
              <w:left w:val="nil"/>
              <w:bottom w:val="nil"/>
              <w:right w:val="nil"/>
            </w:tcBorders>
            <w:hideMark/>
          </w:tcPr>
          <w:p w14:paraId="30A5A74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capacity of a system to absorb disturbance and reorganize while undergoing change </w:t>
            </w:r>
            <w:proofErr w:type="gramStart"/>
            <w:r w:rsidRPr="00E822AE">
              <w:rPr>
                <w:sz w:val="20"/>
                <w:szCs w:val="20"/>
                <w:lang w:val="en-CA"/>
              </w:rPr>
              <w:t>so as to</w:t>
            </w:r>
            <w:proofErr w:type="gramEnd"/>
            <w:r w:rsidRPr="00E822AE">
              <w:rPr>
                <w:sz w:val="20"/>
                <w:szCs w:val="20"/>
                <w:lang w:val="en-CA"/>
              </w:rPr>
              <w:t xml:space="preserve"> still retain essentially the same function, structure, identity, and </w:t>
            </w:r>
            <w:proofErr w:type="gramStart"/>
            <w:r w:rsidRPr="00E822AE">
              <w:rPr>
                <w:sz w:val="20"/>
                <w:szCs w:val="20"/>
                <w:lang w:val="en-CA"/>
              </w:rPr>
              <w:t>feedbacks</w:t>
            </w:r>
            <w:proofErr w:type="gramEnd"/>
            <w:r w:rsidRPr="00E822AE">
              <w:rPr>
                <w:sz w:val="20"/>
                <w:szCs w:val="20"/>
                <w:lang w:val="en-CA"/>
              </w:rPr>
              <w:t xml:space="preserve"> (Walker et al. 2004). A concept initially developed and applied in ecology, which progressively gained usage in the social and environmental sciences. </w:t>
            </w:r>
          </w:p>
        </w:tc>
      </w:tr>
      <w:tr w:rsidR="00C37DA1" w:rsidRPr="00E822AE" w14:paraId="448453E9" w14:textId="77777777">
        <w:trPr>
          <w:trHeight w:val="2699"/>
        </w:trPr>
        <w:tc>
          <w:tcPr>
            <w:tcW w:w="2055" w:type="dxa"/>
            <w:tcBorders>
              <w:top w:val="nil"/>
              <w:left w:val="nil"/>
              <w:bottom w:val="nil"/>
              <w:right w:val="nil"/>
            </w:tcBorders>
            <w:hideMark/>
          </w:tcPr>
          <w:p w14:paraId="19096C0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Respecting the rights of indigenous peoples and local communities </w:t>
            </w:r>
          </w:p>
        </w:tc>
        <w:tc>
          <w:tcPr>
            <w:tcW w:w="7155" w:type="dxa"/>
            <w:tcBorders>
              <w:top w:val="nil"/>
              <w:left w:val="nil"/>
              <w:bottom w:val="nil"/>
              <w:right w:val="nil"/>
            </w:tcBorders>
            <w:hideMark/>
          </w:tcPr>
          <w:p w14:paraId="1982A86E"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rights of indigenous peoples and local communities must be respected and preserved with their free, prior and informed consent, including their full and effective participation in decision making, in accordance with relevant national legislation, international instruments, including the United Nations Declaration on the Rights of Indigenous Peoples, and human rights law. This may include the recognition of local spatial planning of indigenous peoples and local communities, which takes advantage of the local context, including cultural, governance and spiritual dimensions, as well as the planning and management processes being led by indigenous peoples and local communities within their respective lands and waters. (</w:t>
            </w:r>
            <w:hyperlink r:id="rId651" w:tgtFrame="_blank" w:history="1">
              <w:r w:rsidRPr="00E822AE">
                <w:rPr>
                  <w:rStyle w:val="Hyperlink"/>
                  <w:sz w:val="20"/>
                  <w:szCs w:val="20"/>
                  <w:lang w:val="en-CA"/>
                </w:rPr>
                <w:t>UNDRIP</w:t>
              </w:r>
            </w:hyperlink>
            <w:r w:rsidRPr="00E822AE">
              <w:rPr>
                <w:sz w:val="20"/>
                <w:szCs w:val="20"/>
                <w:lang w:val="en-CA"/>
              </w:rPr>
              <w:t>, 2018) </w:t>
            </w:r>
          </w:p>
        </w:tc>
      </w:tr>
      <w:tr w:rsidR="00C37DA1" w:rsidRPr="00E822AE" w14:paraId="4EA8DDD7" w14:textId="77777777">
        <w:trPr>
          <w:trHeight w:val="1410"/>
        </w:trPr>
        <w:tc>
          <w:tcPr>
            <w:tcW w:w="2055" w:type="dxa"/>
            <w:tcBorders>
              <w:top w:val="nil"/>
              <w:left w:val="nil"/>
              <w:bottom w:val="nil"/>
              <w:right w:val="nil"/>
            </w:tcBorders>
            <w:hideMark/>
          </w:tcPr>
          <w:p w14:paraId="2393E43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Rights of women and girls, children and youth, and persons with disabilities </w:t>
            </w:r>
          </w:p>
        </w:tc>
        <w:tc>
          <w:tcPr>
            <w:tcW w:w="7155" w:type="dxa"/>
            <w:tcBorders>
              <w:top w:val="nil"/>
              <w:left w:val="nil"/>
              <w:bottom w:val="nil"/>
              <w:right w:val="nil"/>
            </w:tcBorders>
            <w:hideMark/>
          </w:tcPr>
          <w:p w14:paraId="7BA6F24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Individuals living in vulnerable situations often do not enjoy rights or access to biodiversity and resources. In many places this includes women and girls, children and youth, and persons with disabilities. The Framework calls for measures to ensure that individuals belonging to these groups enjoys the same rights and access as others.  </w:t>
            </w:r>
          </w:p>
        </w:tc>
      </w:tr>
      <w:tr w:rsidR="00C37DA1" w:rsidRPr="00E822AE" w14:paraId="09C4ACE1" w14:textId="77777777">
        <w:trPr>
          <w:trHeight w:val="1395"/>
        </w:trPr>
        <w:tc>
          <w:tcPr>
            <w:tcW w:w="2055" w:type="dxa"/>
            <w:tcBorders>
              <w:top w:val="nil"/>
              <w:left w:val="nil"/>
              <w:bottom w:val="nil"/>
              <w:right w:val="nil"/>
            </w:tcBorders>
            <w:hideMark/>
          </w:tcPr>
          <w:p w14:paraId="3F53515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Rights over lands, resources and traditional knowledge </w:t>
            </w:r>
          </w:p>
        </w:tc>
        <w:tc>
          <w:tcPr>
            <w:tcW w:w="7155" w:type="dxa"/>
            <w:tcBorders>
              <w:top w:val="nil"/>
              <w:left w:val="nil"/>
              <w:bottom w:val="nil"/>
              <w:right w:val="nil"/>
            </w:tcBorders>
            <w:hideMark/>
          </w:tcPr>
          <w:p w14:paraId="7A64D82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This pertains to recognizing and upholding the rights of indigenous peoples and local communities as outlined in other international frameworks, such as the United Nations Declaration on the Rights of Indigenous Peoples and human rights law, including respecting their right to own, use, develop and control their lands, territories, and resources. </w:t>
            </w:r>
          </w:p>
        </w:tc>
      </w:tr>
      <w:tr w:rsidR="00C37DA1" w:rsidRPr="00E822AE" w14:paraId="31F1D4E9" w14:textId="77777777">
        <w:trPr>
          <w:trHeight w:val="1140"/>
        </w:trPr>
        <w:tc>
          <w:tcPr>
            <w:tcW w:w="2055" w:type="dxa"/>
            <w:tcBorders>
              <w:top w:val="nil"/>
              <w:left w:val="nil"/>
              <w:bottom w:val="nil"/>
              <w:right w:val="nil"/>
            </w:tcBorders>
            <w:hideMark/>
          </w:tcPr>
          <w:p w14:paraId="5928F87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Risk assessments for living modified organisms </w:t>
            </w:r>
          </w:p>
        </w:tc>
        <w:tc>
          <w:tcPr>
            <w:tcW w:w="7155" w:type="dxa"/>
            <w:tcBorders>
              <w:top w:val="nil"/>
              <w:left w:val="nil"/>
              <w:bottom w:val="nil"/>
              <w:right w:val="nil"/>
            </w:tcBorders>
            <w:hideMark/>
          </w:tcPr>
          <w:p w14:paraId="13D01CE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In the context of living modified organism management: the qualitative and quantitative evaluation performed </w:t>
            </w:r>
            <w:proofErr w:type="gramStart"/>
            <w:r w:rsidRPr="00E822AE">
              <w:rPr>
                <w:sz w:val="20"/>
                <w:szCs w:val="20"/>
                <w:lang w:val="en-CA"/>
              </w:rPr>
              <w:t>in an effort to</w:t>
            </w:r>
            <w:proofErr w:type="gramEnd"/>
            <w:r w:rsidRPr="00E822AE">
              <w:rPr>
                <w:sz w:val="20"/>
                <w:szCs w:val="20"/>
                <w:lang w:val="en-CA"/>
              </w:rPr>
              <w:t xml:space="preserve"> define the risk posed to human health and/or the environment by the use or release of a living modified organism. (</w:t>
            </w:r>
            <w:hyperlink r:id="rId652" w:tgtFrame="_blank" w:history="1">
              <w:r w:rsidRPr="00E822AE">
                <w:rPr>
                  <w:rStyle w:val="Hyperlink"/>
                  <w:sz w:val="20"/>
                  <w:szCs w:val="20"/>
                  <w:lang w:val="en-CA"/>
                </w:rPr>
                <w:t>UNEP</w:t>
              </w:r>
            </w:hyperlink>
            <w:r w:rsidRPr="00E822AE">
              <w:rPr>
                <w:sz w:val="20"/>
                <w:szCs w:val="20"/>
                <w:lang w:val="en-CA"/>
              </w:rPr>
              <w:t>) </w:t>
            </w:r>
          </w:p>
        </w:tc>
      </w:tr>
      <w:tr w:rsidR="00C37DA1" w:rsidRPr="00E822AE" w14:paraId="1C488368" w14:textId="77777777">
        <w:trPr>
          <w:trHeight w:val="1716"/>
        </w:trPr>
        <w:tc>
          <w:tcPr>
            <w:tcW w:w="2055" w:type="dxa"/>
            <w:tcBorders>
              <w:top w:val="nil"/>
              <w:left w:val="nil"/>
              <w:bottom w:val="nil"/>
              <w:right w:val="nil"/>
            </w:tcBorders>
            <w:hideMark/>
          </w:tcPr>
          <w:p w14:paraId="2581C65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Risk categories of ecosystem collapse </w:t>
            </w:r>
          </w:p>
        </w:tc>
        <w:tc>
          <w:tcPr>
            <w:tcW w:w="7155" w:type="dxa"/>
            <w:tcBorders>
              <w:top w:val="nil"/>
              <w:left w:val="nil"/>
              <w:bottom w:val="nil"/>
              <w:right w:val="nil"/>
            </w:tcBorders>
            <w:hideMark/>
          </w:tcPr>
          <w:p w14:paraId="7EA1B27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risk of ecosystem collapse is based on the risk categories each ecosystem is assigned through assessment under the Red List of Ecosystems framework. The risk categories include, in order of increasing risk of collapse: Least Concern; Near Threatened; Vulnerable; Endangered; Critically Endangered; and </w:t>
            </w:r>
            <w:proofErr w:type="gramStart"/>
            <w:r w:rsidRPr="00E822AE">
              <w:rPr>
                <w:sz w:val="20"/>
                <w:szCs w:val="20"/>
                <w:lang w:val="en-CA"/>
              </w:rPr>
              <w:t>Collapsed</w:t>
            </w:r>
            <w:proofErr w:type="gramEnd"/>
            <w:r w:rsidRPr="00E822AE">
              <w:rPr>
                <w:sz w:val="20"/>
                <w:szCs w:val="20"/>
                <w:lang w:val="en-CA"/>
              </w:rPr>
              <w:t>. If there are insufficient data to assign a risk category, a criterion or ecosystem type it is considered Data Deficient, or Not Evaluated if not assessed. </w:t>
            </w:r>
          </w:p>
        </w:tc>
      </w:tr>
      <w:tr w:rsidR="00C37DA1" w:rsidRPr="00E822AE" w14:paraId="72700B83" w14:textId="77777777">
        <w:trPr>
          <w:trHeight w:val="1980"/>
        </w:trPr>
        <w:tc>
          <w:tcPr>
            <w:tcW w:w="2055" w:type="dxa"/>
            <w:tcBorders>
              <w:top w:val="nil"/>
              <w:left w:val="nil"/>
              <w:bottom w:val="nil"/>
              <w:right w:val="nil"/>
            </w:tcBorders>
            <w:hideMark/>
          </w:tcPr>
          <w:p w14:paraId="24E5F02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Risks to business </w:t>
            </w:r>
          </w:p>
        </w:tc>
        <w:tc>
          <w:tcPr>
            <w:tcW w:w="7155" w:type="dxa"/>
            <w:tcBorders>
              <w:top w:val="nil"/>
              <w:left w:val="nil"/>
              <w:bottom w:val="nil"/>
              <w:right w:val="nil"/>
            </w:tcBorders>
            <w:hideMark/>
          </w:tcPr>
          <w:p w14:paraId="243A7A3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Biodiversity-related risks to businesses are categorised as: </w:t>
            </w:r>
            <w:r w:rsidRPr="00E822AE">
              <w:rPr>
                <w:sz w:val="20"/>
                <w:szCs w:val="20"/>
                <w:lang w:val="en-CA"/>
              </w:rPr>
              <w:br/>
              <w:t>o Ecological risks, risks i.e. related to biodiversity-related ecological impacts and dependencies, linked to biodiversity loss or ecosystems degradation. </w:t>
            </w:r>
            <w:r w:rsidRPr="00E822AE">
              <w:rPr>
                <w:sz w:val="20"/>
                <w:szCs w:val="20"/>
                <w:lang w:val="en-CA"/>
              </w:rPr>
              <w:br/>
              <w:t>o Liability risks, where parties who have suffered biodiversity-related loss or damage seek compensation for those they hold responsible. </w:t>
            </w:r>
            <w:r w:rsidRPr="00E822AE">
              <w:rPr>
                <w:sz w:val="20"/>
                <w:szCs w:val="20"/>
                <w:lang w:val="en-CA"/>
              </w:rPr>
              <w:br/>
              <w:t xml:space="preserve">o Risks related to achieve transformative change for biodiversity, including regulatory risks, market risks and financial risks. (See </w:t>
            </w:r>
            <w:hyperlink r:id="rId653" w:anchor=":~:text=Businesses%20and%20financial%20organisations%20(including,resource%20dependency%2C%20scarcity%20and%20quality." w:tgtFrame="_blank" w:history="1">
              <w:r w:rsidRPr="00E822AE">
                <w:rPr>
                  <w:rStyle w:val="Hyperlink"/>
                  <w:sz w:val="20"/>
                  <w:szCs w:val="20"/>
                  <w:lang w:val="en-CA"/>
                </w:rPr>
                <w:t>OECD</w:t>
              </w:r>
            </w:hyperlink>
            <w:r w:rsidRPr="00E822AE">
              <w:rPr>
                <w:sz w:val="20"/>
                <w:szCs w:val="20"/>
                <w:lang w:val="en-CA"/>
              </w:rPr>
              <w:t xml:space="preserve"> for more detail) </w:t>
            </w:r>
          </w:p>
        </w:tc>
      </w:tr>
      <w:tr w:rsidR="00C37DA1" w:rsidRPr="00E822AE" w14:paraId="7A687245" w14:textId="77777777">
        <w:trPr>
          <w:trHeight w:val="450"/>
        </w:trPr>
        <w:tc>
          <w:tcPr>
            <w:tcW w:w="2055" w:type="dxa"/>
            <w:tcBorders>
              <w:top w:val="nil"/>
              <w:left w:val="nil"/>
              <w:bottom w:val="nil"/>
              <w:right w:val="nil"/>
            </w:tcBorders>
            <w:hideMark/>
          </w:tcPr>
          <w:p w14:paraId="4F7697E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Restoration </w:t>
            </w:r>
          </w:p>
        </w:tc>
        <w:tc>
          <w:tcPr>
            <w:tcW w:w="7155" w:type="dxa"/>
            <w:tcBorders>
              <w:top w:val="nil"/>
              <w:left w:val="nil"/>
              <w:bottom w:val="nil"/>
              <w:right w:val="nil"/>
            </w:tcBorders>
            <w:hideMark/>
          </w:tcPr>
          <w:p w14:paraId="13AD4CD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Refer to the definition of “</w:t>
            </w:r>
            <w:r w:rsidRPr="00E822AE">
              <w:rPr>
                <w:i/>
                <w:iCs/>
                <w:sz w:val="20"/>
                <w:szCs w:val="20"/>
                <w:lang w:val="en-CA"/>
              </w:rPr>
              <w:t>Ecological restoration</w:t>
            </w:r>
            <w:r w:rsidRPr="00E822AE">
              <w:rPr>
                <w:sz w:val="20"/>
                <w:szCs w:val="20"/>
                <w:lang w:val="en-CA"/>
              </w:rPr>
              <w:t>”. </w:t>
            </w:r>
          </w:p>
        </w:tc>
      </w:tr>
      <w:tr w:rsidR="00C37DA1" w:rsidRPr="00E822AE" w14:paraId="39B7AAF1" w14:textId="77777777">
        <w:trPr>
          <w:trHeight w:val="851"/>
        </w:trPr>
        <w:tc>
          <w:tcPr>
            <w:tcW w:w="2055" w:type="dxa"/>
            <w:tcBorders>
              <w:top w:val="nil"/>
              <w:left w:val="nil"/>
              <w:bottom w:val="nil"/>
              <w:right w:val="nil"/>
            </w:tcBorders>
            <w:hideMark/>
          </w:tcPr>
          <w:p w14:paraId="13F4AF7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Safeguard genetic diversity </w:t>
            </w:r>
          </w:p>
        </w:tc>
        <w:tc>
          <w:tcPr>
            <w:tcW w:w="7155" w:type="dxa"/>
            <w:tcBorders>
              <w:top w:val="nil"/>
              <w:left w:val="nil"/>
              <w:bottom w:val="nil"/>
              <w:right w:val="nil"/>
            </w:tcBorders>
            <w:hideMark/>
          </w:tcPr>
          <w:p w14:paraId="2CFB249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To protect genetic diversity e.g. with in-situ and ex-situ protective measures (e.g. seed banks and botanic gardens, well managed protected areas, translocations, etc.). </w:t>
            </w:r>
          </w:p>
        </w:tc>
      </w:tr>
      <w:tr w:rsidR="00C37DA1" w:rsidRPr="00E822AE" w14:paraId="2E563185" w14:textId="77777777">
        <w:trPr>
          <w:trHeight w:val="2745"/>
        </w:trPr>
        <w:tc>
          <w:tcPr>
            <w:tcW w:w="2055" w:type="dxa"/>
            <w:tcBorders>
              <w:top w:val="nil"/>
              <w:left w:val="nil"/>
              <w:bottom w:val="nil"/>
              <w:right w:val="nil"/>
            </w:tcBorders>
            <w:hideMark/>
          </w:tcPr>
          <w:p w14:paraId="5625C39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Scientific research </w:t>
            </w:r>
          </w:p>
        </w:tc>
        <w:tc>
          <w:tcPr>
            <w:tcW w:w="7155" w:type="dxa"/>
            <w:tcBorders>
              <w:top w:val="nil"/>
              <w:left w:val="nil"/>
              <w:bottom w:val="nil"/>
              <w:right w:val="nil"/>
            </w:tcBorders>
            <w:hideMark/>
          </w:tcPr>
          <w:p w14:paraId="01CCF16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Systematic and creative actions taken to increase knowledge about biodiversity, ecosystems, their functions and services and nature’s contributions to people, and to apply it in new areas of interest. Scientific research is the research performed by applying systematic and constructed scientific methods to obtain, analyze, and interpret data. Scientific research is the neutral, systematic, planned, and multiple-step process that uses previously discovered facts to advance knowledge that does not exist in the literature. It can be classified as observational or experimental with respect to data collection techniques, descriptive or analytical with respect to causality, and prospective, retrospective, or cross-sectional with respect to time. (</w:t>
            </w:r>
            <w:hyperlink r:id="rId654" w:tgtFrame="_blank" w:history="1">
              <w:r w:rsidRPr="00E822AE">
                <w:rPr>
                  <w:rStyle w:val="Hyperlink"/>
                  <w:sz w:val="20"/>
                  <w:szCs w:val="20"/>
                  <w:lang w:val="en-CA"/>
                </w:rPr>
                <w:t>Erol</w:t>
              </w:r>
            </w:hyperlink>
            <w:r w:rsidRPr="00E822AE">
              <w:rPr>
                <w:sz w:val="20"/>
                <w:szCs w:val="20"/>
                <w:lang w:val="en-CA"/>
              </w:rPr>
              <w:t>, 2017) </w:t>
            </w:r>
          </w:p>
        </w:tc>
      </w:tr>
      <w:tr w:rsidR="00C37DA1" w:rsidRPr="00E822AE" w14:paraId="322C0A28" w14:textId="77777777">
        <w:trPr>
          <w:trHeight w:val="435"/>
        </w:trPr>
        <w:tc>
          <w:tcPr>
            <w:tcW w:w="2055" w:type="dxa"/>
            <w:tcBorders>
              <w:top w:val="nil"/>
              <w:left w:val="nil"/>
              <w:bottom w:val="nil"/>
              <w:right w:val="nil"/>
            </w:tcBorders>
            <w:hideMark/>
          </w:tcPr>
          <w:p w14:paraId="3BB6962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Scientifically sound </w:t>
            </w:r>
          </w:p>
        </w:tc>
        <w:tc>
          <w:tcPr>
            <w:tcW w:w="7155" w:type="dxa"/>
            <w:tcBorders>
              <w:top w:val="nil"/>
              <w:left w:val="nil"/>
              <w:bottom w:val="nil"/>
              <w:right w:val="nil"/>
            </w:tcBorders>
            <w:hideMark/>
          </w:tcPr>
          <w:p w14:paraId="66AA668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Adhering to the requirements of best available science. </w:t>
            </w:r>
          </w:p>
        </w:tc>
      </w:tr>
      <w:tr w:rsidR="00C37DA1" w:rsidRPr="00E822AE" w14:paraId="64311719" w14:textId="77777777">
        <w:trPr>
          <w:trHeight w:val="975"/>
        </w:trPr>
        <w:tc>
          <w:tcPr>
            <w:tcW w:w="2055" w:type="dxa"/>
            <w:tcBorders>
              <w:top w:val="nil"/>
              <w:left w:val="nil"/>
              <w:bottom w:val="nil"/>
              <w:right w:val="nil"/>
            </w:tcBorders>
            <w:hideMark/>
          </w:tcPr>
          <w:p w14:paraId="5E8E747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Semi-natural ecosystem </w:t>
            </w:r>
          </w:p>
        </w:tc>
        <w:tc>
          <w:tcPr>
            <w:tcW w:w="7155" w:type="dxa"/>
            <w:tcBorders>
              <w:top w:val="nil"/>
              <w:left w:val="nil"/>
              <w:bottom w:val="nil"/>
              <w:right w:val="nil"/>
            </w:tcBorders>
            <w:hideMark/>
          </w:tcPr>
          <w:p w14:paraId="1A164A6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An ecosystem with most of its processes and biodiversity intact, though altered by human activity in composition, balance or function relative to the natural state. </w:t>
            </w:r>
          </w:p>
        </w:tc>
      </w:tr>
      <w:tr w:rsidR="00C37DA1" w:rsidRPr="00E822AE" w14:paraId="7D245D57" w14:textId="77777777">
        <w:trPr>
          <w:trHeight w:val="1263"/>
        </w:trPr>
        <w:tc>
          <w:tcPr>
            <w:tcW w:w="2055" w:type="dxa"/>
            <w:tcBorders>
              <w:top w:val="nil"/>
              <w:left w:val="nil"/>
              <w:bottom w:val="nil"/>
              <w:right w:val="nil"/>
            </w:tcBorders>
            <w:hideMark/>
          </w:tcPr>
          <w:p w14:paraId="4A50177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Sex-</w:t>
            </w:r>
            <w:proofErr w:type="gramStart"/>
            <w:r w:rsidRPr="00E822AE">
              <w:rPr>
                <w:sz w:val="20"/>
                <w:szCs w:val="20"/>
                <w:lang w:val="en-CA"/>
              </w:rPr>
              <w:t>disaggregated  data</w:t>
            </w:r>
            <w:proofErr w:type="gramEnd"/>
            <w:r w:rsidRPr="00E822AE">
              <w:rPr>
                <w:sz w:val="20"/>
                <w:szCs w:val="20"/>
                <w:lang w:val="en-CA"/>
              </w:rPr>
              <w:t xml:space="preserve"> collection and analyses </w:t>
            </w:r>
          </w:p>
        </w:tc>
        <w:tc>
          <w:tcPr>
            <w:tcW w:w="7155" w:type="dxa"/>
            <w:tcBorders>
              <w:top w:val="nil"/>
              <w:left w:val="nil"/>
              <w:bottom w:val="nil"/>
              <w:right w:val="nil"/>
            </w:tcBorders>
            <w:hideMark/>
          </w:tcPr>
          <w:p w14:paraId="7D9FF91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Collection and analysis of data which is cross classified by sex, and which presents information separately for men and women, boys and girls. Sex-disaggregated data is necessary for effective gender analysis, as it is more difficult to identify real and potential inequalities in its absence. (Adapted from </w:t>
            </w:r>
            <w:hyperlink r:id="rId655" w:tgtFrame="_blank" w:history="1">
              <w:r w:rsidRPr="00E822AE">
                <w:rPr>
                  <w:rStyle w:val="Hyperlink"/>
                  <w:sz w:val="20"/>
                  <w:szCs w:val="20"/>
                  <w:lang w:val="en-CA"/>
                </w:rPr>
                <w:t>UN Women</w:t>
              </w:r>
            </w:hyperlink>
            <w:r w:rsidRPr="00E822AE">
              <w:rPr>
                <w:sz w:val="20"/>
                <w:szCs w:val="20"/>
                <w:lang w:val="en-CA"/>
              </w:rPr>
              <w:t>, 2022) </w:t>
            </w:r>
          </w:p>
        </w:tc>
      </w:tr>
      <w:tr w:rsidR="00C37DA1" w:rsidRPr="00E822AE" w14:paraId="128B41FB" w14:textId="77777777">
        <w:trPr>
          <w:trHeight w:val="1020"/>
        </w:trPr>
        <w:tc>
          <w:tcPr>
            <w:tcW w:w="2055" w:type="dxa"/>
            <w:tcBorders>
              <w:top w:val="nil"/>
              <w:left w:val="nil"/>
              <w:bottom w:val="nil"/>
              <w:right w:val="nil"/>
            </w:tcBorders>
            <w:hideMark/>
          </w:tcPr>
          <w:p w14:paraId="771DDF6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Soil erosion control services </w:t>
            </w:r>
          </w:p>
        </w:tc>
        <w:tc>
          <w:tcPr>
            <w:tcW w:w="7155" w:type="dxa"/>
            <w:tcBorders>
              <w:top w:val="nil"/>
              <w:left w:val="nil"/>
              <w:bottom w:val="nil"/>
              <w:right w:val="nil"/>
            </w:tcBorders>
            <w:hideMark/>
          </w:tcPr>
          <w:p w14:paraId="50100B3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ecosystem contributions, particularly the stabilising effects of vegetation, that reduce the loss of soil (and sediment) and support use of the environment (e.g. agricultural activity, water supply). (</w:t>
            </w:r>
            <w:hyperlink r:id="rId656"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6F83327E" w14:textId="77777777">
        <w:trPr>
          <w:trHeight w:val="2529"/>
        </w:trPr>
        <w:tc>
          <w:tcPr>
            <w:tcW w:w="2055" w:type="dxa"/>
            <w:tcBorders>
              <w:top w:val="nil"/>
              <w:left w:val="nil"/>
              <w:bottom w:val="nil"/>
              <w:right w:val="nil"/>
            </w:tcBorders>
            <w:hideMark/>
          </w:tcPr>
          <w:p w14:paraId="036EFD79"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Spatial planning </w:t>
            </w:r>
          </w:p>
        </w:tc>
        <w:tc>
          <w:tcPr>
            <w:tcW w:w="7155" w:type="dxa"/>
            <w:tcBorders>
              <w:top w:val="nil"/>
              <w:left w:val="nil"/>
              <w:bottom w:val="nil"/>
              <w:right w:val="nil"/>
            </w:tcBorders>
            <w:hideMark/>
          </w:tcPr>
          <w:p w14:paraId="53FEC2C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There are different definitions of spatial planning, however it is generally considered to be a method or process for analyzing and allocating the spatial and temporal distribution of human uses and activities </w:t>
            </w:r>
            <w:proofErr w:type="gramStart"/>
            <w:r w:rsidRPr="00E822AE">
              <w:rPr>
                <w:sz w:val="20"/>
                <w:szCs w:val="20"/>
                <w:lang w:val="en-CA"/>
              </w:rPr>
              <w:t>in a given</w:t>
            </w:r>
            <w:proofErr w:type="gramEnd"/>
            <w:r w:rsidRPr="00E822AE">
              <w:rPr>
                <w:sz w:val="20"/>
                <w:szCs w:val="20"/>
                <w:lang w:val="en-CA"/>
              </w:rPr>
              <w:t xml:space="preserve"> area, </w:t>
            </w:r>
            <w:proofErr w:type="gramStart"/>
            <w:r w:rsidRPr="00E822AE">
              <w:rPr>
                <w:sz w:val="20"/>
                <w:szCs w:val="20"/>
                <w:lang w:val="en-CA"/>
              </w:rPr>
              <w:t>in order to</w:t>
            </w:r>
            <w:proofErr w:type="gramEnd"/>
            <w:r w:rsidRPr="00E822AE">
              <w:rPr>
                <w:sz w:val="20"/>
                <w:szCs w:val="20"/>
                <w:lang w:val="en-CA"/>
              </w:rPr>
              <w:t xml:space="preserve"> achieve various social, economic and ecological objectives. It may also include integrating biodiversity considerations using spatial data during land- and sea-use planning exercises. When undertaken in terrestrial areas it is often referred to as “</w:t>
            </w:r>
            <w:r w:rsidRPr="00E822AE">
              <w:rPr>
                <w:i/>
                <w:iCs/>
                <w:sz w:val="20"/>
                <w:szCs w:val="20"/>
                <w:lang w:val="en-CA"/>
              </w:rPr>
              <w:t>land use planning</w:t>
            </w:r>
            <w:r w:rsidRPr="00E822AE">
              <w:rPr>
                <w:sz w:val="20"/>
                <w:szCs w:val="20"/>
                <w:lang w:val="en-CA"/>
              </w:rPr>
              <w:t>” while in marine areas it is referred to as “</w:t>
            </w:r>
            <w:r w:rsidRPr="00E822AE">
              <w:rPr>
                <w:i/>
                <w:iCs/>
                <w:sz w:val="20"/>
                <w:szCs w:val="20"/>
                <w:lang w:val="en-CA"/>
              </w:rPr>
              <w:t>marine spatial planning</w:t>
            </w:r>
            <w:r w:rsidRPr="00E822AE">
              <w:rPr>
                <w:sz w:val="20"/>
                <w:szCs w:val="20"/>
                <w:lang w:val="en-CA"/>
              </w:rPr>
              <w:t xml:space="preserve">”. For inland water and related ecosystems, planning processes often take place at the watershed level. (Adapted from </w:t>
            </w:r>
            <w:hyperlink r:id="rId657" w:tgtFrame="_blank" w:history="1">
              <w:proofErr w:type="spellStart"/>
              <w:r w:rsidRPr="00E822AE">
                <w:rPr>
                  <w:rStyle w:val="Hyperlink"/>
                  <w:sz w:val="20"/>
                  <w:szCs w:val="20"/>
                  <w:lang w:val="en-CA"/>
                </w:rPr>
                <w:t>Metternicht</w:t>
              </w:r>
              <w:proofErr w:type="spellEnd"/>
            </w:hyperlink>
            <w:r w:rsidRPr="00E822AE">
              <w:rPr>
                <w:sz w:val="20"/>
                <w:szCs w:val="20"/>
                <w:lang w:val="en-CA"/>
              </w:rPr>
              <w:t>, 2018) </w:t>
            </w:r>
          </w:p>
        </w:tc>
      </w:tr>
      <w:tr w:rsidR="00C37DA1" w:rsidRPr="00E822AE" w14:paraId="1FC01B98" w14:textId="77777777">
        <w:trPr>
          <w:trHeight w:val="1275"/>
        </w:trPr>
        <w:tc>
          <w:tcPr>
            <w:tcW w:w="2055" w:type="dxa"/>
            <w:tcBorders>
              <w:top w:val="nil"/>
              <w:left w:val="nil"/>
              <w:bottom w:val="nil"/>
              <w:right w:val="nil"/>
            </w:tcBorders>
            <w:hideMark/>
          </w:tcPr>
          <w:p w14:paraId="173502B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Storm mitigation services </w:t>
            </w:r>
          </w:p>
        </w:tc>
        <w:tc>
          <w:tcPr>
            <w:tcW w:w="7155" w:type="dxa"/>
            <w:tcBorders>
              <w:top w:val="nil"/>
              <w:left w:val="nil"/>
              <w:bottom w:val="nil"/>
              <w:right w:val="nil"/>
            </w:tcBorders>
            <w:hideMark/>
          </w:tcPr>
          <w:p w14:paraId="67B4D79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ecosystem contributions of vegetation including linear elements, in mitigating the impacts of wind, sand and other storms (other than water related events) on local communities.  (</w:t>
            </w:r>
            <w:hyperlink r:id="rId658"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24F7836A" w14:textId="77777777">
        <w:trPr>
          <w:trHeight w:val="2550"/>
        </w:trPr>
        <w:tc>
          <w:tcPr>
            <w:tcW w:w="2055" w:type="dxa"/>
            <w:tcBorders>
              <w:top w:val="nil"/>
              <w:left w:val="nil"/>
              <w:bottom w:val="nil"/>
              <w:right w:val="nil"/>
            </w:tcBorders>
            <w:hideMark/>
          </w:tcPr>
          <w:p w14:paraId="27EF583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Strategic environmental assessment </w:t>
            </w:r>
          </w:p>
        </w:tc>
        <w:tc>
          <w:tcPr>
            <w:tcW w:w="7155" w:type="dxa"/>
            <w:tcBorders>
              <w:top w:val="nil"/>
              <w:left w:val="nil"/>
              <w:bottom w:val="nil"/>
              <w:right w:val="nil"/>
            </w:tcBorders>
            <w:hideMark/>
          </w:tcPr>
          <w:p w14:paraId="2418AA4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Strategic environmental assessment is the formalized, systematic and comprehensive process of identifying and evaluating the environmental consequences of proposed policies, plans or programmes to ensure that they are fully included and appropriately addressed at the earliest possible stage of decision- making on a par with economic and social considerations. Strategic environmental assessment, by its nature, covers a wider range of activities or a wider area and often over a longer time span than the environmental impact assessment of projects. Strategic environmental assessment might be applied to an entire sector (such as a national policy on energy for example) or to a geographical area, (for example, in the context of a regional development scheme). (CBD/COP/DEC/6/7) </w:t>
            </w:r>
          </w:p>
          <w:p w14:paraId="6148126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w:t>
            </w:r>
          </w:p>
        </w:tc>
      </w:tr>
      <w:tr w:rsidR="00C37DA1" w:rsidRPr="00E822AE" w14:paraId="65457897" w14:textId="77777777">
        <w:trPr>
          <w:trHeight w:val="2495"/>
        </w:trPr>
        <w:tc>
          <w:tcPr>
            <w:tcW w:w="2055" w:type="dxa"/>
            <w:tcBorders>
              <w:top w:val="nil"/>
              <w:left w:val="nil"/>
              <w:bottom w:val="nil"/>
              <w:right w:val="nil"/>
            </w:tcBorders>
            <w:hideMark/>
          </w:tcPr>
          <w:p w14:paraId="46794C9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Streets </w:t>
            </w:r>
          </w:p>
        </w:tc>
        <w:tc>
          <w:tcPr>
            <w:tcW w:w="7155" w:type="dxa"/>
            <w:tcBorders>
              <w:top w:val="nil"/>
              <w:left w:val="nil"/>
              <w:bottom w:val="nil"/>
              <w:right w:val="nil"/>
            </w:tcBorders>
            <w:hideMark/>
          </w:tcPr>
          <w:p w14:paraId="367C9AA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Defined thoroughfares that are based inside urban areas, towns, cities and neighbourhoods </w:t>
            </w:r>
            <w:proofErr w:type="gramStart"/>
            <w:r w:rsidRPr="00E822AE">
              <w:rPr>
                <w:sz w:val="20"/>
                <w:szCs w:val="20"/>
                <w:lang w:val="en-CA"/>
              </w:rPr>
              <w:t>most commonly lined</w:t>
            </w:r>
            <w:proofErr w:type="gramEnd"/>
            <w:r w:rsidRPr="00E822AE">
              <w:rPr>
                <w:sz w:val="20"/>
                <w:szCs w:val="20"/>
                <w:lang w:val="en-CA"/>
              </w:rPr>
              <w:t xml:space="preserve"> with houses or buildings used by pedestrians or vehicles </w:t>
            </w:r>
            <w:proofErr w:type="gramStart"/>
            <w:r w:rsidRPr="00E822AE">
              <w:rPr>
                <w:sz w:val="20"/>
                <w:szCs w:val="20"/>
                <w:lang w:val="en-CA"/>
              </w:rPr>
              <w:t>in order to</w:t>
            </w:r>
            <w:proofErr w:type="gramEnd"/>
            <w:r w:rsidRPr="00E822AE">
              <w:rPr>
                <w:sz w:val="20"/>
                <w:szCs w:val="20"/>
                <w:lang w:val="en-CA"/>
              </w:rPr>
              <w:t xml:space="preserve"> go from one place to another in the city, interact and to earn a livelihood. The main purpose of a street is facilitating movement and enabling public interaction. The following elements are considered as streets </w:t>
            </w:r>
            <w:proofErr w:type="gramStart"/>
            <w:r w:rsidRPr="00E822AE">
              <w:rPr>
                <w:sz w:val="20"/>
                <w:szCs w:val="20"/>
                <w:lang w:val="en-CA"/>
              </w:rPr>
              <w:t>space:</w:t>
            </w:r>
            <w:proofErr w:type="gramEnd"/>
            <w:r w:rsidRPr="00E822AE">
              <w:rPr>
                <w:sz w:val="20"/>
                <w:szCs w:val="20"/>
                <w:lang w:val="en-CA"/>
              </w:rPr>
              <w:t xml:space="preserve"> streets, avenues and boulevards; pavements; passages and galleries; bicycle paths; sidewalks; traffic islands; tramways and roundabouts. Elements excluded from street space </w:t>
            </w:r>
            <w:proofErr w:type="gramStart"/>
            <w:r w:rsidRPr="00E822AE">
              <w:rPr>
                <w:sz w:val="20"/>
                <w:szCs w:val="20"/>
                <w:lang w:val="en-CA"/>
              </w:rPr>
              <w:t>include:</w:t>
            </w:r>
            <w:proofErr w:type="gramEnd"/>
            <w:r w:rsidRPr="00E822AE">
              <w:rPr>
                <w:sz w:val="20"/>
                <w:szCs w:val="20"/>
                <w:lang w:val="en-CA"/>
              </w:rPr>
              <w:t xml:space="preserve"> plots; open space blocks; railways; paved space within parking lots; and airports and individual industries. (</w:t>
            </w:r>
            <w:hyperlink r:id="rId659" w:tgtFrame="_blank" w:history="1">
              <w:r w:rsidRPr="00E822AE">
                <w:rPr>
                  <w:rStyle w:val="Hyperlink"/>
                  <w:sz w:val="20"/>
                  <w:szCs w:val="20"/>
                  <w:lang w:val="en-CA"/>
                </w:rPr>
                <w:t>UN Habitat</w:t>
              </w:r>
            </w:hyperlink>
            <w:r w:rsidRPr="00E822AE">
              <w:rPr>
                <w:sz w:val="20"/>
                <w:szCs w:val="20"/>
                <w:lang w:val="en-CA"/>
              </w:rPr>
              <w:t>, 2018) </w:t>
            </w:r>
          </w:p>
        </w:tc>
      </w:tr>
      <w:tr w:rsidR="00C37DA1" w:rsidRPr="00E822AE" w14:paraId="006DF4D3" w14:textId="77777777">
        <w:trPr>
          <w:trHeight w:val="703"/>
        </w:trPr>
        <w:tc>
          <w:tcPr>
            <w:tcW w:w="2055" w:type="dxa"/>
            <w:tcBorders>
              <w:top w:val="nil"/>
              <w:left w:val="nil"/>
              <w:bottom w:val="nil"/>
              <w:right w:val="nil"/>
            </w:tcBorders>
            <w:hideMark/>
          </w:tcPr>
          <w:p w14:paraId="3530321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Supply chain </w:t>
            </w:r>
          </w:p>
        </w:tc>
        <w:tc>
          <w:tcPr>
            <w:tcW w:w="7155" w:type="dxa"/>
            <w:tcBorders>
              <w:top w:val="nil"/>
              <w:left w:val="nil"/>
              <w:bottom w:val="nil"/>
              <w:right w:val="nil"/>
            </w:tcBorders>
            <w:hideMark/>
          </w:tcPr>
          <w:p w14:paraId="14FE722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linear sequence of processes, actors, and locations involved in the production, distribution, and sale of a commodity from start to finish. (</w:t>
            </w:r>
            <w:hyperlink r:id="rId660" w:tgtFrame="_blank" w:history="1">
              <w:r w:rsidRPr="00E822AE">
                <w:rPr>
                  <w:rStyle w:val="Hyperlink"/>
                  <w:sz w:val="20"/>
                  <w:szCs w:val="20"/>
                  <w:lang w:val="en-CA"/>
                </w:rPr>
                <w:t>TNFD</w:t>
              </w:r>
            </w:hyperlink>
            <w:r w:rsidRPr="00E822AE">
              <w:rPr>
                <w:sz w:val="20"/>
                <w:szCs w:val="20"/>
                <w:lang w:val="en-CA"/>
              </w:rPr>
              <w:t>, 2023) </w:t>
            </w:r>
          </w:p>
        </w:tc>
      </w:tr>
      <w:tr w:rsidR="00C37DA1" w:rsidRPr="00E822AE" w14:paraId="4EF38918" w14:textId="77777777">
        <w:trPr>
          <w:trHeight w:val="1020"/>
        </w:trPr>
        <w:tc>
          <w:tcPr>
            <w:tcW w:w="2055" w:type="dxa"/>
            <w:tcBorders>
              <w:top w:val="nil"/>
              <w:left w:val="nil"/>
              <w:bottom w:val="nil"/>
              <w:right w:val="nil"/>
            </w:tcBorders>
            <w:hideMark/>
          </w:tcPr>
          <w:p w14:paraId="1555EE0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Sustainable - Sustainability </w:t>
            </w:r>
          </w:p>
        </w:tc>
        <w:tc>
          <w:tcPr>
            <w:tcW w:w="7155" w:type="dxa"/>
            <w:tcBorders>
              <w:top w:val="nil"/>
              <w:left w:val="nil"/>
              <w:bottom w:val="nil"/>
              <w:right w:val="nil"/>
            </w:tcBorders>
            <w:hideMark/>
          </w:tcPr>
          <w:p w14:paraId="1C99AFA2"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characteristic or state whereby the needs of the present and local population can be met without compromising the ability of future generations or populations in other locations to meet their needs. (</w:t>
            </w:r>
            <w:hyperlink r:id="rId661" w:tgtFrame="_blank" w:history="1">
              <w:r w:rsidRPr="00E822AE">
                <w:rPr>
                  <w:rStyle w:val="Hyperlink"/>
                  <w:sz w:val="20"/>
                  <w:szCs w:val="20"/>
                  <w:lang w:val="en-CA"/>
                </w:rPr>
                <w:t>IPBES</w:t>
              </w:r>
            </w:hyperlink>
            <w:r w:rsidRPr="00E822AE">
              <w:rPr>
                <w:sz w:val="20"/>
                <w:szCs w:val="20"/>
                <w:lang w:val="en-CA"/>
              </w:rPr>
              <w:t>, 2018) </w:t>
            </w:r>
          </w:p>
        </w:tc>
      </w:tr>
      <w:tr w:rsidR="00C37DA1" w:rsidRPr="00E822AE" w14:paraId="193B7ADA" w14:textId="77777777">
        <w:trPr>
          <w:trHeight w:val="1950"/>
        </w:trPr>
        <w:tc>
          <w:tcPr>
            <w:tcW w:w="2055" w:type="dxa"/>
            <w:tcBorders>
              <w:top w:val="nil"/>
              <w:left w:val="nil"/>
              <w:bottom w:val="nil"/>
              <w:right w:val="nil"/>
            </w:tcBorders>
            <w:hideMark/>
          </w:tcPr>
          <w:p w14:paraId="6FDF387E"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Sustainable agriculture </w:t>
            </w:r>
          </w:p>
        </w:tc>
        <w:tc>
          <w:tcPr>
            <w:tcW w:w="7155" w:type="dxa"/>
            <w:tcBorders>
              <w:top w:val="nil"/>
              <w:left w:val="nil"/>
              <w:bottom w:val="nil"/>
              <w:right w:val="nil"/>
            </w:tcBorders>
            <w:hideMark/>
          </w:tcPr>
          <w:p w14:paraId="618728F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management and conservation of the natural resource base, and the orientation of technological and institutional change in such a manner as to ensure the attainment and continued satisfaction of human needs for present and future generation. Such development (in agriculture, forestry and fishing etc.) conserves land, water, plant and animal genetic resources, environmentally non-degrading, technically appropriate, economically viable and socially acceptable. (FAO, 1988) </w:t>
            </w:r>
          </w:p>
        </w:tc>
      </w:tr>
      <w:tr w:rsidR="00C37DA1" w:rsidRPr="00E822AE" w14:paraId="73AF4109" w14:textId="77777777">
        <w:trPr>
          <w:trHeight w:val="1140"/>
        </w:trPr>
        <w:tc>
          <w:tcPr>
            <w:tcW w:w="2055" w:type="dxa"/>
            <w:tcBorders>
              <w:top w:val="nil"/>
              <w:left w:val="nil"/>
              <w:bottom w:val="nil"/>
              <w:right w:val="nil"/>
            </w:tcBorders>
            <w:hideMark/>
          </w:tcPr>
          <w:p w14:paraId="19E4BEF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Sustainable consumption </w:t>
            </w:r>
          </w:p>
        </w:tc>
        <w:tc>
          <w:tcPr>
            <w:tcW w:w="7155" w:type="dxa"/>
            <w:tcBorders>
              <w:top w:val="nil"/>
              <w:left w:val="nil"/>
              <w:bottom w:val="nil"/>
              <w:right w:val="nil"/>
            </w:tcBorders>
            <w:hideMark/>
          </w:tcPr>
          <w:p w14:paraId="777F8F7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use of services and related products, which respond to basic needs and bring a better quality of life while minimizing the use of natural resources as well as the emissions of waste and pollutants over the life cycle of the service or product so as not to jeopardize the needs of future generations. (</w:t>
            </w:r>
            <w:hyperlink r:id="rId662" w:tgtFrame="_blank" w:history="1">
              <w:r w:rsidRPr="00E822AE">
                <w:rPr>
                  <w:rStyle w:val="Hyperlink"/>
                  <w:sz w:val="20"/>
                  <w:szCs w:val="20"/>
                  <w:lang w:val="en-CA"/>
                </w:rPr>
                <w:t>UNEP</w:t>
              </w:r>
            </w:hyperlink>
            <w:r w:rsidRPr="00E822AE">
              <w:rPr>
                <w:sz w:val="20"/>
                <w:szCs w:val="20"/>
                <w:lang w:val="en-CA"/>
              </w:rPr>
              <w:t>) </w:t>
            </w:r>
          </w:p>
        </w:tc>
      </w:tr>
      <w:tr w:rsidR="00C37DA1" w:rsidRPr="00E822AE" w14:paraId="0D089F3E" w14:textId="77777777">
        <w:trPr>
          <w:trHeight w:val="675"/>
        </w:trPr>
        <w:tc>
          <w:tcPr>
            <w:tcW w:w="2055" w:type="dxa"/>
            <w:tcBorders>
              <w:top w:val="nil"/>
              <w:left w:val="nil"/>
              <w:bottom w:val="nil"/>
              <w:right w:val="nil"/>
            </w:tcBorders>
            <w:hideMark/>
          </w:tcPr>
          <w:p w14:paraId="255EE5B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Sustainable development </w:t>
            </w:r>
          </w:p>
        </w:tc>
        <w:tc>
          <w:tcPr>
            <w:tcW w:w="7155" w:type="dxa"/>
            <w:tcBorders>
              <w:top w:val="nil"/>
              <w:left w:val="nil"/>
              <w:bottom w:val="nil"/>
              <w:right w:val="nil"/>
            </w:tcBorders>
            <w:hideMark/>
          </w:tcPr>
          <w:p w14:paraId="449E6EA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Development that meets the needs of the present without compromising the ability of future generations to meet their own needs. (</w:t>
            </w:r>
            <w:hyperlink r:id="rId663" w:tgtFrame="_blank" w:history="1">
              <w:r w:rsidRPr="00E822AE">
                <w:rPr>
                  <w:rStyle w:val="Hyperlink"/>
                  <w:sz w:val="20"/>
                  <w:szCs w:val="20"/>
                  <w:lang w:val="en-CA"/>
                </w:rPr>
                <w:t>UN SDG</w:t>
              </w:r>
            </w:hyperlink>
            <w:r w:rsidRPr="00E822AE">
              <w:rPr>
                <w:sz w:val="20"/>
                <w:szCs w:val="20"/>
                <w:lang w:val="en-CA"/>
              </w:rPr>
              <w:t>) </w:t>
            </w:r>
          </w:p>
        </w:tc>
      </w:tr>
      <w:tr w:rsidR="00C37DA1" w:rsidRPr="00E822AE" w14:paraId="1FAB4B5A" w14:textId="77777777">
        <w:trPr>
          <w:trHeight w:val="1020"/>
        </w:trPr>
        <w:tc>
          <w:tcPr>
            <w:tcW w:w="2055" w:type="dxa"/>
            <w:tcBorders>
              <w:top w:val="nil"/>
              <w:left w:val="nil"/>
              <w:bottom w:val="nil"/>
              <w:right w:val="nil"/>
            </w:tcBorders>
            <w:hideMark/>
          </w:tcPr>
          <w:p w14:paraId="1ED1D07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Sustainable forest management </w:t>
            </w:r>
          </w:p>
        </w:tc>
        <w:tc>
          <w:tcPr>
            <w:tcW w:w="7155" w:type="dxa"/>
            <w:tcBorders>
              <w:top w:val="nil"/>
              <w:left w:val="nil"/>
              <w:bottom w:val="nil"/>
              <w:right w:val="nil"/>
            </w:tcBorders>
            <w:hideMark/>
          </w:tcPr>
          <w:p w14:paraId="7236140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dynamic and evolving concept that aims to maintain and enhance the economic, social and environmental values of all types of forests, for the benefit of present and future generations (Resolution A/RES/62/98) </w:t>
            </w:r>
          </w:p>
        </w:tc>
      </w:tr>
      <w:tr w:rsidR="00C37DA1" w:rsidRPr="00E822AE" w14:paraId="4DD7E29F" w14:textId="77777777">
        <w:trPr>
          <w:trHeight w:val="1418"/>
        </w:trPr>
        <w:tc>
          <w:tcPr>
            <w:tcW w:w="2055" w:type="dxa"/>
            <w:tcBorders>
              <w:top w:val="nil"/>
              <w:left w:val="nil"/>
              <w:bottom w:val="nil"/>
              <w:right w:val="nil"/>
            </w:tcBorders>
            <w:hideMark/>
          </w:tcPr>
          <w:p w14:paraId="09768A7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 xml:space="preserve">Sustainable </w:t>
            </w:r>
            <w:proofErr w:type="gramStart"/>
            <w:r w:rsidRPr="00E822AE">
              <w:rPr>
                <w:sz w:val="20"/>
                <w:szCs w:val="20"/>
                <w:lang w:val="en-CA"/>
              </w:rPr>
              <w:t>patterns  of</w:t>
            </w:r>
            <w:proofErr w:type="gramEnd"/>
            <w:r w:rsidRPr="00E822AE">
              <w:rPr>
                <w:sz w:val="20"/>
                <w:szCs w:val="20"/>
                <w:lang w:val="en-CA"/>
              </w:rPr>
              <w:t xml:space="preserve"> production / Sustainable consumption and production </w:t>
            </w:r>
          </w:p>
        </w:tc>
        <w:tc>
          <w:tcPr>
            <w:tcW w:w="7155" w:type="dxa"/>
            <w:tcBorders>
              <w:top w:val="nil"/>
              <w:left w:val="nil"/>
              <w:bottom w:val="nil"/>
              <w:right w:val="nil"/>
            </w:tcBorders>
            <w:hideMark/>
          </w:tcPr>
          <w:p w14:paraId="23AA0D9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use of services and related products, which respond to basic needs and bring a better quality of life while minimising the use of natural resources and toxic materials as well as the emissions of waste and pollutants over the life cycle of the service or product so as not to jeopardise the needs of future generations. (</w:t>
            </w:r>
            <w:hyperlink r:id="rId664" w:tgtFrame="_blank" w:history="1">
              <w:r w:rsidRPr="00E822AE">
                <w:rPr>
                  <w:rStyle w:val="Hyperlink"/>
                  <w:sz w:val="20"/>
                  <w:szCs w:val="20"/>
                  <w:lang w:val="en-CA"/>
                </w:rPr>
                <w:t>UNEP</w:t>
              </w:r>
            </w:hyperlink>
            <w:r w:rsidRPr="00E822AE">
              <w:rPr>
                <w:sz w:val="20"/>
                <w:szCs w:val="20"/>
                <w:lang w:val="en-CA"/>
              </w:rPr>
              <w:t>)  </w:t>
            </w:r>
          </w:p>
        </w:tc>
      </w:tr>
      <w:tr w:rsidR="00C37DA1" w:rsidRPr="00E822AE" w14:paraId="46F452C2" w14:textId="77777777">
        <w:trPr>
          <w:trHeight w:val="1275"/>
        </w:trPr>
        <w:tc>
          <w:tcPr>
            <w:tcW w:w="2055" w:type="dxa"/>
            <w:tcBorders>
              <w:top w:val="nil"/>
              <w:left w:val="nil"/>
              <w:bottom w:val="nil"/>
              <w:right w:val="nil"/>
            </w:tcBorders>
            <w:hideMark/>
          </w:tcPr>
          <w:p w14:paraId="6E1DD14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Sustainable use </w:t>
            </w:r>
          </w:p>
        </w:tc>
        <w:tc>
          <w:tcPr>
            <w:tcW w:w="7155" w:type="dxa"/>
            <w:tcBorders>
              <w:top w:val="nil"/>
              <w:left w:val="nil"/>
              <w:bottom w:val="nil"/>
              <w:right w:val="nil"/>
            </w:tcBorders>
            <w:hideMark/>
          </w:tcPr>
          <w:p w14:paraId="08F1FFF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use of components of biological diversity in a way and at a rate that does not lead to the long-term decline of biological diversity, thereby maintaining its potential to meet the needs and aspirations of present and future generations. (Convention, Article 2) </w:t>
            </w:r>
          </w:p>
        </w:tc>
      </w:tr>
      <w:tr w:rsidR="00C37DA1" w:rsidRPr="00E822AE" w14:paraId="16005195" w14:textId="77777777">
        <w:trPr>
          <w:trHeight w:val="1020"/>
        </w:trPr>
        <w:tc>
          <w:tcPr>
            <w:tcW w:w="2055" w:type="dxa"/>
            <w:tcBorders>
              <w:top w:val="nil"/>
              <w:left w:val="nil"/>
              <w:bottom w:val="nil"/>
              <w:right w:val="nil"/>
            </w:tcBorders>
            <w:hideMark/>
          </w:tcPr>
          <w:p w14:paraId="2617BBA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Sustainably used and managed </w:t>
            </w:r>
          </w:p>
        </w:tc>
        <w:tc>
          <w:tcPr>
            <w:tcW w:w="7155" w:type="dxa"/>
            <w:tcBorders>
              <w:top w:val="nil"/>
              <w:left w:val="nil"/>
              <w:bottom w:val="nil"/>
              <w:right w:val="nil"/>
            </w:tcBorders>
            <w:hideMark/>
          </w:tcPr>
          <w:p w14:paraId="778629EA"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use of components of biological diversity in a way and at a rate that does not lead to the long-term decline of biological diversity, thereby maintaining its potential to meet the needs and aspirations of present and future generations. (</w:t>
            </w:r>
            <w:hyperlink r:id="rId665" w:tgtFrame="_blank" w:history="1">
              <w:r w:rsidRPr="00E822AE">
                <w:rPr>
                  <w:rStyle w:val="Hyperlink"/>
                  <w:sz w:val="20"/>
                  <w:szCs w:val="20"/>
                  <w:lang w:val="en-CA"/>
                </w:rPr>
                <w:t>EC</w:t>
              </w:r>
            </w:hyperlink>
            <w:r w:rsidRPr="00E822AE">
              <w:rPr>
                <w:sz w:val="20"/>
                <w:szCs w:val="20"/>
                <w:lang w:val="en-CA"/>
              </w:rPr>
              <w:t>, 2023) </w:t>
            </w:r>
          </w:p>
          <w:p w14:paraId="7102DDB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w:t>
            </w:r>
          </w:p>
        </w:tc>
      </w:tr>
      <w:tr w:rsidR="00C37DA1" w:rsidRPr="00E822AE" w14:paraId="7D625B02" w14:textId="77777777">
        <w:trPr>
          <w:trHeight w:val="2282"/>
        </w:trPr>
        <w:tc>
          <w:tcPr>
            <w:tcW w:w="2055" w:type="dxa"/>
            <w:tcBorders>
              <w:top w:val="nil"/>
              <w:left w:val="nil"/>
              <w:bottom w:val="nil"/>
              <w:right w:val="nil"/>
            </w:tcBorders>
            <w:hideMark/>
          </w:tcPr>
          <w:p w14:paraId="2546791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Technical and scientific cooperation </w:t>
            </w:r>
          </w:p>
        </w:tc>
        <w:tc>
          <w:tcPr>
            <w:tcW w:w="7155" w:type="dxa"/>
            <w:tcBorders>
              <w:top w:val="nil"/>
              <w:left w:val="nil"/>
              <w:bottom w:val="nil"/>
              <w:right w:val="nil"/>
            </w:tcBorders>
            <w:hideMark/>
          </w:tcPr>
          <w:p w14:paraId="1BA0A83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Technical and scientific cooperation refers to a process whereby institutions in two or more countries pursue their individual or collective biodiversity-related goals through cooperative actions. This may include the creation and/or exchange of scientific knowledge, data, expertise, resources, technologies, and technical know-how. It may also include human resource development, institution building, joint training of personnel, exchange of experts, joint research programmes, joint ventures for the development and diffusion of technologies (including indigenous and traditional technologies), and transfer of technology and know-how. </w:t>
            </w:r>
          </w:p>
        </w:tc>
      </w:tr>
      <w:tr w:rsidR="00C37DA1" w:rsidRPr="00E822AE" w14:paraId="31896AE3" w14:textId="77777777">
        <w:trPr>
          <w:trHeight w:val="675"/>
        </w:trPr>
        <w:tc>
          <w:tcPr>
            <w:tcW w:w="2055" w:type="dxa"/>
            <w:tcBorders>
              <w:top w:val="nil"/>
              <w:left w:val="nil"/>
              <w:bottom w:val="nil"/>
              <w:right w:val="nil"/>
            </w:tcBorders>
            <w:hideMark/>
          </w:tcPr>
          <w:p w14:paraId="414A66CB"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Technology </w:t>
            </w:r>
          </w:p>
        </w:tc>
        <w:tc>
          <w:tcPr>
            <w:tcW w:w="7155" w:type="dxa"/>
            <w:tcBorders>
              <w:top w:val="nil"/>
              <w:left w:val="nil"/>
              <w:bottom w:val="nil"/>
              <w:right w:val="nil"/>
            </w:tcBorders>
            <w:hideMark/>
          </w:tcPr>
          <w:p w14:paraId="5E565861"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application of scientific knowledge for practical purposes linked to the conservation, sustainable use or monitoring of biodiversity. </w:t>
            </w:r>
          </w:p>
        </w:tc>
      </w:tr>
      <w:tr w:rsidR="00C37DA1" w:rsidRPr="00E822AE" w14:paraId="5665BDC6" w14:textId="77777777">
        <w:trPr>
          <w:trHeight w:val="736"/>
        </w:trPr>
        <w:tc>
          <w:tcPr>
            <w:tcW w:w="2055" w:type="dxa"/>
            <w:tcBorders>
              <w:top w:val="nil"/>
              <w:left w:val="nil"/>
              <w:bottom w:val="nil"/>
              <w:right w:val="nil"/>
            </w:tcBorders>
            <w:hideMark/>
          </w:tcPr>
          <w:p w14:paraId="7FD664A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Technology development </w:t>
            </w:r>
          </w:p>
        </w:tc>
        <w:tc>
          <w:tcPr>
            <w:tcW w:w="7155" w:type="dxa"/>
            <w:tcBorders>
              <w:top w:val="nil"/>
              <w:left w:val="nil"/>
              <w:bottom w:val="nil"/>
              <w:right w:val="nil"/>
            </w:tcBorders>
            <w:hideMark/>
          </w:tcPr>
          <w:p w14:paraId="5EE01A81"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Refers to the systematic process of advancing and improving existing technologies or creating entirely new ones through research, experimentation, and innovation.  </w:t>
            </w:r>
          </w:p>
        </w:tc>
      </w:tr>
      <w:tr w:rsidR="00C37DA1" w:rsidRPr="00E822AE" w14:paraId="4FBB8DCA" w14:textId="77777777">
        <w:trPr>
          <w:trHeight w:val="1271"/>
        </w:trPr>
        <w:tc>
          <w:tcPr>
            <w:tcW w:w="2055" w:type="dxa"/>
            <w:tcBorders>
              <w:top w:val="nil"/>
              <w:left w:val="nil"/>
              <w:bottom w:val="nil"/>
              <w:right w:val="nil"/>
            </w:tcBorders>
            <w:hideMark/>
          </w:tcPr>
          <w:p w14:paraId="182E38E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Terrestrial </w:t>
            </w:r>
          </w:p>
        </w:tc>
        <w:tc>
          <w:tcPr>
            <w:tcW w:w="7155" w:type="dxa"/>
            <w:tcBorders>
              <w:top w:val="nil"/>
              <w:left w:val="nil"/>
              <w:bottom w:val="nil"/>
              <w:right w:val="nil"/>
            </w:tcBorders>
            <w:hideMark/>
          </w:tcPr>
          <w:p w14:paraId="40491BC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All lands at or above sea level, this includes IUCN typologies: tropical-subtropical lowland rainforests (T1); tropical-subtropical dry forests and scrubs (T2); shrublands &amp; shrubby woodlands (T3); savannas and grasslands (T4); deserts and semi-deserts (T5); polar-alpine (T6); and intensive land-use systems (T7). </w:t>
            </w:r>
          </w:p>
        </w:tc>
      </w:tr>
      <w:tr w:rsidR="00C37DA1" w:rsidRPr="00E822AE" w14:paraId="274935C1" w14:textId="77777777">
        <w:trPr>
          <w:trHeight w:val="1125"/>
        </w:trPr>
        <w:tc>
          <w:tcPr>
            <w:tcW w:w="2055" w:type="dxa"/>
            <w:tcBorders>
              <w:top w:val="nil"/>
              <w:left w:val="nil"/>
              <w:bottom w:val="nil"/>
              <w:right w:val="nil"/>
            </w:tcBorders>
            <w:hideMark/>
          </w:tcPr>
          <w:p w14:paraId="693B58D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 xml:space="preserve">The three </w:t>
            </w:r>
            <w:proofErr w:type="gramStart"/>
            <w:r w:rsidRPr="00E822AE">
              <w:rPr>
                <w:sz w:val="20"/>
                <w:szCs w:val="20"/>
                <w:lang w:val="en-CA"/>
              </w:rPr>
              <w:t>objectives  of</w:t>
            </w:r>
            <w:proofErr w:type="gramEnd"/>
            <w:r w:rsidRPr="00E822AE">
              <w:rPr>
                <w:sz w:val="20"/>
                <w:szCs w:val="20"/>
                <w:lang w:val="en-CA"/>
              </w:rPr>
              <w:t xml:space="preserve"> the convention </w:t>
            </w:r>
          </w:p>
        </w:tc>
        <w:tc>
          <w:tcPr>
            <w:tcW w:w="7155" w:type="dxa"/>
            <w:tcBorders>
              <w:top w:val="nil"/>
              <w:left w:val="nil"/>
              <w:bottom w:val="nil"/>
              <w:right w:val="nil"/>
            </w:tcBorders>
            <w:hideMark/>
          </w:tcPr>
          <w:p w14:paraId="24CB535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Convention has three main objectives: the conservation of biological diversity; the sustainable use of the components of biological diversity; and the fair and equitable sharing of the benefits arising out of the utilization of genetic resources. (</w:t>
            </w:r>
            <w:hyperlink r:id="rId666" w:anchor=":~:text=The%20Convention%20on%20Biological%20Diversity,the%20utilization%20of%20genetic%20resources." w:tgtFrame="_blank" w:history="1">
              <w:r w:rsidRPr="00E822AE">
                <w:rPr>
                  <w:rStyle w:val="Hyperlink"/>
                  <w:sz w:val="20"/>
                  <w:szCs w:val="20"/>
                  <w:lang w:val="en-CA"/>
                </w:rPr>
                <w:t>UN</w:t>
              </w:r>
            </w:hyperlink>
            <w:r w:rsidRPr="00E822AE">
              <w:rPr>
                <w:sz w:val="20"/>
                <w:szCs w:val="20"/>
                <w:lang w:val="en-CA"/>
              </w:rPr>
              <w:t>) </w:t>
            </w:r>
          </w:p>
        </w:tc>
      </w:tr>
      <w:tr w:rsidR="00C37DA1" w:rsidRPr="00E822AE" w14:paraId="11069507" w14:textId="77777777">
        <w:trPr>
          <w:trHeight w:val="1125"/>
        </w:trPr>
        <w:tc>
          <w:tcPr>
            <w:tcW w:w="2055" w:type="dxa"/>
            <w:tcBorders>
              <w:top w:val="nil"/>
              <w:left w:val="nil"/>
              <w:bottom w:val="nil"/>
              <w:right w:val="nil"/>
            </w:tcBorders>
            <w:hideMark/>
          </w:tcPr>
          <w:p w14:paraId="3E9FFE5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Threatened species </w:t>
            </w:r>
          </w:p>
        </w:tc>
        <w:tc>
          <w:tcPr>
            <w:tcW w:w="7155" w:type="dxa"/>
            <w:tcBorders>
              <w:top w:val="nil"/>
              <w:left w:val="nil"/>
              <w:bottom w:val="nil"/>
              <w:right w:val="nil"/>
            </w:tcBorders>
            <w:hideMark/>
          </w:tcPr>
          <w:p w14:paraId="1AECFF3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Threatened species are those listed on The IUCN Red List of Threatened Species in the categories Vulnerable, Endangered, or Critically Endangered (i.e. species that are facing a high, very high, or extremely high risk of extinction in the wild in the medium-term future). (</w:t>
            </w:r>
            <w:hyperlink r:id="rId667" w:tgtFrame="_blank" w:history="1">
              <w:r w:rsidRPr="00E822AE">
                <w:rPr>
                  <w:rStyle w:val="Hyperlink"/>
                  <w:sz w:val="20"/>
                  <w:szCs w:val="20"/>
                  <w:lang w:val="en-CA"/>
                </w:rPr>
                <w:t>IUCN</w:t>
              </w:r>
            </w:hyperlink>
            <w:r w:rsidRPr="00E822AE">
              <w:rPr>
                <w:sz w:val="20"/>
                <w:szCs w:val="20"/>
                <w:lang w:val="en-CA"/>
              </w:rPr>
              <w:t>, 2012) </w:t>
            </w:r>
          </w:p>
        </w:tc>
      </w:tr>
      <w:tr w:rsidR="00C37DA1" w:rsidRPr="00E822AE" w14:paraId="048586A9" w14:textId="77777777">
        <w:trPr>
          <w:trHeight w:val="1140"/>
        </w:trPr>
        <w:tc>
          <w:tcPr>
            <w:tcW w:w="2055" w:type="dxa"/>
            <w:tcBorders>
              <w:top w:val="nil"/>
              <w:left w:val="nil"/>
              <w:bottom w:val="nil"/>
              <w:right w:val="nil"/>
            </w:tcBorders>
            <w:hideMark/>
          </w:tcPr>
          <w:p w14:paraId="448FF70C"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Trade in wild species </w:t>
            </w:r>
          </w:p>
        </w:tc>
        <w:tc>
          <w:tcPr>
            <w:tcW w:w="7155" w:type="dxa"/>
            <w:tcBorders>
              <w:top w:val="nil"/>
              <w:left w:val="nil"/>
              <w:bottom w:val="nil"/>
              <w:right w:val="nil"/>
            </w:tcBorders>
            <w:hideMark/>
          </w:tcPr>
          <w:p w14:paraId="62056877"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selling or trading (i.e. selling of dead or living wildlife and/or products derived from them) of wild species for food and non-food purposes, such as for clothing, medicinal, cultural, scientific, recreational and work-related uses. (</w:t>
            </w:r>
            <w:r w:rsidRPr="00E822AE">
              <w:rPr>
                <w:sz w:val="20"/>
                <w:szCs w:val="20"/>
              </w:rPr>
              <w:t>CBD/WG2020/5/4)</w:t>
            </w:r>
            <w:r w:rsidRPr="00E822AE">
              <w:rPr>
                <w:sz w:val="20"/>
                <w:szCs w:val="20"/>
                <w:lang w:val="en-CA"/>
              </w:rPr>
              <w:t> </w:t>
            </w:r>
          </w:p>
        </w:tc>
      </w:tr>
      <w:tr w:rsidR="00C37DA1" w:rsidRPr="00E822AE" w14:paraId="5BA5C920" w14:textId="77777777">
        <w:trPr>
          <w:trHeight w:val="1980"/>
        </w:trPr>
        <w:tc>
          <w:tcPr>
            <w:tcW w:w="2055" w:type="dxa"/>
            <w:tcBorders>
              <w:top w:val="nil"/>
              <w:left w:val="nil"/>
              <w:bottom w:val="nil"/>
              <w:right w:val="nil"/>
            </w:tcBorders>
            <w:hideMark/>
          </w:tcPr>
          <w:p w14:paraId="118BA450" w14:textId="77777777" w:rsidR="00C37DA1" w:rsidRPr="00E822AE" w:rsidRDefault="00C37DA1" w:rsidP="00E822AE">
            <w:pPr>
              <w:pStyle w:val="CBDNormalNumber"/>
              <w:shd w:val="clear" w:color="auto" w:fill="FFFFFF"/>
              <w:ind w:left="567"/>
              <w:jc w:val="left"/>
              <w:rPr>
                <w:sz w:val="20"/>
                <w:szCs w:val="20"/>
                <w:lang w:val="en-CA"/>
              </w:rPr>
            </w:pPr>
            <w:proofErr w:type="gramStart"/>
            <w:r w:rsidRPr="00E822AE">
              <w:rPr>
                <w:sz w:val="20"/>
                <w:szCs w:val="20"/>
                <w:lang w:val="en-CA"/>
              </w:rPr>
              <w:t>Traditional  knowledge</w:t>
            </w:r>
            <w:proofErr w:type="gramEnd"/>
            <w:r w:rsidRPr="00E822AE">
              <w:rPr>
                <w:sz w:val="20"/>
                <w:szCs w:val="20"/>
                <w:lang w:val="en-CA"/>
              </w:rPr>
              <w:t> </w:t>
            </w:r>
          </w:p>
        </w:tc>
        <w:tc>
          <w:tcPr>
            <w:tcW w:w="7155" w:type="dxa"/>
            <w:tcBorders>
              <w:top w:val="nil"/>
              <w:left w:val="nil"/>
              <w:bottom w:val="nil"/>
              <w:right w:val="nil"/>
            </w:tcBorders>
            <w:hideMark/>
          </w:tcPr>
          <w:p w14:paraId="352B5D4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concept of Traditional Knowledge (TK) in the Convention has two characteristics. Firstly, the Convention defines TK as one kind of knowledge, innovations and practices which is helpful to conservation and sustainable use of biodiversity. Secondly, the Convention limits the TK to link with indigenous peoples and local communities embodying traditional lifestyles, i.e. these TK were created and preserved by </w:t>
            </w:r>
            <w:r w:rsidRPr="00E822AE">
              <w:rPr>
                <w:sz w:val="20"/>
                <w:szCs w:val="20"/>
                <w:lang w:val="en-AU"/>
              </w:rPr>
              <w:t xml:space="preserve">indigenous peoples and local </w:t>
            </w:r>
            <w:proofErr w:type="gramStart"/>
            <w:r w:rsidRPr="00E822AE">
              <w:rPr>
                <w:sz w:val="20"/>
                <w:szCs w:val="20"/>
                <w:lang w:val="en-AU"/>
              </w:rPr>
              <w:t>communities</w:t>
            </w:r>
            <w:proofErr w:type="gramEnd"/>
            <w:r w:rsidRPr="00E822AE">
              <w:rPr>
                <w:sz w:val="20"/>
                <w:szCs w:val="20"/>
                <w:lang w:val="en-AU"/>
              </w:rPr>
              <w:t xml:space="preserve"> </w:t>
            </w:r>
            <w:r w:rsidRPr="00E822AE">
              <w:rPr>
                <w:sz w:val="20"/>
                <w:szCs w:val="20"/>
                <w:lang w:val="en-CA"/>
              </w:rPr>
              <w:t>and they are accumulated, developed and inherited generation by generation. (</w:t>
            </w:r>
            <w:hyperlink r:id="rId668" w:tgtFrame="_blank" w:history="1">
              <w:r w:rsidRPr="00E822AE">
                <w:rPr>
                  <w:rStyle w:val="Hyperlink"/>
                  <w:sz w:val="20"/>
                  <w:szCs w:val="20"/>
                  <w:lang w:val="en-CA"/>
                </w:rPr>
                <w:t>IPBES</w:t>
              </w:r>
            </w:hyperlink>
            <w:r w:rsidRPr="00E822AE">
              <w:rPr>
                <w:sz w:val="20"/>
                <w:szCs w:val="20"/>
                <w:lang w:val="en-CA"/>
              </w:rPr>
              <w:t>, 2022) </w:t>
            </w:r>
          </w:p>
        </w:tc>
      </w:tr>
      <w:tr w:rsidR="00C37DA1" w:rsidRPr="00E822AE" w14:paraId="42D06922" w14:textId="77777777">
        <w:trPr>
          <w:trHeight w:val="2551"/>
        </w:trPr>
        <w:tc>
          <w:tcPr>
            <w:tcW w:w="2055" w:type="dxa"/>
            <w:tcBorders>
              <w:top w:val="nil"/>
              <w:left w:val="nil"/>
              <w:bottom w:val="nil"/>
              <w:right w:val="nil"/>
            </w:tcBorders>
            <w:hideMark/>
          </w:tcPr>
          <w:p w14:paraId="0221BF2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Traditional occupations </w:t>
            </w:r>
          </w:p>
        </w:tc>
        <w:tc>
          <w:tcPr>
            <w:tcW w:w="7155" w:type="dxa"/>
            <w:tcBorders>
              <w:top w:val="nil"/>
              <w:left w:val="nil"/>
              <w:bottom w:val="nil"/>
              <w:right w:val="nil"/>
            </w:tcBorders>
            <w:hideMark/>
          </w:tcPr>
          <w:p w14:paraId="63AEC53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Occupations in which indigenous knowledge, cultural practices, innovations and technologies may influence the way the work is performed, if the work is performed by a person who identifies as belonging to an indigenous or tribal group. Indigenous knowledge refers to the constantly evolving information, skills, practices, science and technology passed from generation to generation within an indigenous or tribal group. The work performed in traditional occupations embraces production of goods and services for own use and other forms of unpaid work including volunteer work and unpaid trainee work, as well as employment for pay or profit. </w:t>
            </w:r>
          </w:p>
        </w:tc>
      </w:tr>
      <w:tr w:rsidR="00C37DA1" w:rsidRPr="00E822AE" w14:paraId="704947C8" w14:textId="77777777">
        <w:trPr>
          <w:trHeight w:val="675"/>
        </w:trPr>
        <w:tc>
          <w:tcPr>
            <w:tcW w:w="2055" w:type="dxa"/>
            <w:tcBorders>
              <w:top w:val="nil"/>
              <w:left w:val="nil"/>
              <w:bottom w:val="nil"/>
              <w:right w:val="nil"/>
            </w:tcBorders>
            <w:hideMark/>
          </w:tcPr>
          <w:p w14:paraId="505E16E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Transparently </w:t>
            </w:r>
          </w:p>
        </w:tc>
        <w:tc>
          <w:tcPr>
            <w:tcW w:w="7155" w:type="dxa"/>
            <w:tcBorders>
              <w:top w:val="nil"/>
              <w:left w:val="nil"/>
              <w:bottom w:val="nil"/>
              <w:right w:val="nil"/>
            </w:tcBorders>
            <w:hideMark/>
          </w:tcPr>
          <w:p w14:paraId="44A104F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condition in which all disclosures are made known and available in a timely fashion to the stakeholders - particularly the end users. (</w:t>
            </w:r>
            <w:hyperlink r:id="rId669" w:tgtFrame="_blank" w:history="1">
              <w:r w:rsidRPr="00E822AE">
                <w:rPr>
                  <w:rStyle w:val="Hyperlink"/>
                  <w:sz w:val="20"/>
                  <w:szCs w:val="20"/>
                  <w:lang w:val="en-CA"/>
                </w:rPr>
                <w:t>UN Stats</w:t>
              </w:r>
            </w:hyperlink>
            <w:r w:rsidRPr="00E822AE">
              <w:rPr>
                <w:sz w:val="20"/>
                <w:szCs w:val="20"/>
                <w:lang w:val="en-CA"/>
              </w:rPr>
              <w:t>, 2012) </w:t>
            </w:r>
          </w:p>
        </w:tc>
      </w:tr>
      <w:tr w:rsidR="00C37DA1" w:rsidRPr="00E822AE" w14:paraId="70345DBD" w14:textId="77777777">
        <w:trPr>
          <w:trHeight w:val="945"/>
        </w:trPr>
        <w:tc>
          <w:tcPr>
            <w:tcW w:w="2055" w:type="dxa"/>
            <w:tcBorders>
              <w:top w:val="nil"/>
              <w:left w:val="nil"/>
              <w:bottom w:val="nil"/>
              <w:right w:val="nil"/>
            </w:tcBorders>
            <w:hideMark/>
          </w:tcPr>
          <w:p w14:paraId="4653B6BF"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Triangular cooperation </w:t>
            </w:r>
          </w:p>
        </w:tc>
        <w:tc>
          <w:tcPr>
            <w:tcW w:w="7155" w:type="dxa"/>
            <w:tcBorders>
              <w:top w:val="nil"/>
              <w:left w:val="nil"/>
              <w:bottom w:val="nil"/>
              <w:right w:val="nil"/>
            </w:tcBorders>
            <w:hideMark/>
          </w:tcPr>
          <w:p w14:paraId="1496973B"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Southern-driven partnerships between two or more developing countries, supported by a developed country(</w:t>
            </w:r>
            <w:proofErr w:type="spellStart"/>
            <w:r w:rsidRPr="00E822AE">
              <w:rPr>
                <w:sz w:val="20"/>
                <w:szCs w:val="20"/>
                <w:lang w:val="en-CA"/>
              </w:rPr>
              <w:t>ies</w:t>
            </w:r>
            <w:proofErr w:type="spellEnd"/>
            <w:r w:rsidRPr="00E822AE">
              <w:rPr>
                <w:sz w:val="20"/>
                <w:szCs w:val="20"/>
                <w:lang w:val="en-CA"/>
              </w:rPr>
              <w:t>) or multilateral organization(s), to implement development cooperation programmes and projects. (</w:t>
            </w:r>
            <w:hyperlink r:id="rId670" w:tgtFrame="_blank" w:history="1">
              <w:r w:rsidRPr="00E822AE">
                <w:rPr>
                  <w:rStyle w:val="Hyperlink"/>
                  <w:sz w:val="20"/>
                  <w:szCs w:val="20"/>
                  <w:lang w:val="en-CA"/>
                </w:rPr>
                <w:t>UNDP</w:t>
              </w:r>
            </w:hyperlink>
            <w:r w:rsidRPr="00E822AE">
              <w:rPr>
                <w:sz w:val="20"/>
                <w:szCs w:val="20"/>
                <w:lang w:val="en-CA"/>
              </w:rPr>
              <w:t>, 2012) </w:t>
            </w:r>
          </w:p>
        </w:tc>
      </w:tr>
      <w:tr w:rsidR="00C37DA1" w:rsidRPr="00E822AE" w14:paraId="7A60FAEB" w14:textId="77777777">
        <w:trPr>
          <w:trHeight w:val="938"/>
        </w:trPr>
        <w:tc>
          <w:tcPr>
            <w:tcW w:w="2055" w:type="dxa"/>
            <w:tcBorders>
              <w:top w:val="nil"/>
              <w:left w:val="nil"/>
              <w:bottom w:val="nil"/>
              <w:right w:val="nil"/>
            </w:tcBorders>
            <w:hideMark/>
          </w:tcPr>
          <w:p w14:paraId="23FD1B6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Urban and densely populated areas </w:t>
            </w:r>
          </w:p>
        </w:tc>
        <w:tc>
          <w:tcPr>
            <w:tcW w:w="7155" w:type="dxa"/>
            <w:tcBorders>
              <w:top w:val="nil"/>
              <w:left w:val="nil"/>
              <w:bottom w:val="nil"/>
              <w:right w:val="nil"/>
            </w:tcBorders>
            <w:hideMark/>
          </w:tcPr>
          <w:p w14:paraId="40117FCF"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Variable per country but generally refers to areas highly modified by and for humans where large numbers of people live. United Nations definitions, provided by national statistics offices, by country can be found here (</w:t>
            </w:r>
            <w:hyperlink r:id="rId671" w:tgtFrame="_blank" w:history="1">
              <w:r w:rsidRPr="00E822AE">
                <w:rPr>
                  <w:rStyle w:val="Hyperlink"/>
                  <w:sz w:val="20"/>
                  <w:szCs w:val="20"/>
                  <w:lang w:val="en-CA"/>
                </w:rPr>
                <w:t>UN Stats</w:t>
              </w:r>
            </w:hyperlink>
            <w:r w:rsidRPr="00E822AE">
              <w:rPr>
                <w:sz w:val="20"/>
                <w:szCs w:val="20"/>
                <w:lang w:val="en-CA"/>
              </w:rPr>
              <w:t>, 2005) </w:t>
            </w:r>
          </w:p>
        </w:tc>
      </w:tr>
      <w:tr w:rsidR="00C37DA1" w:rsidRPr="00E822AE" w14:paraId="7099327A" w14:textId="77777777">
        <w:trPr>
          <w:trHeight w:val="975"/>
        </w:trPr>
        <w:tc>
          <w:tcPr>
            <w:tcW w:w="2055" w:type="dxa"/>
            <w:tcBorders>
              <w:top w:val="nil"/>
              <w:left w:val="nil"/>
              <w:bottom w:val="nil"/>
              <w:right w:val="nil"/>
            </w:tcBorders>
            <w:hideMark/>
          </w:tcPr>
          <w:p w14:paraId="7586F796"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Urbanisation </w:t>
            </w:r>
          </w:p>
        </w:tc>
        <w:tc>
          <w:tcPr>
            <w:tcW w:w="7155" w:type="dxa"/>
            <w:tcBorders>
              <w:top w:val="nil"/>
              <w:left w:val="nil"/>
              <w:bottom w:val="nil"/>
              <w:right w:val="nil"/>
            </w:tcBorders>
            <w:hideMark/>
          </w:tcPr>
          <w:p w14:paraId="55D53D30"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The increase in the proportion of a population living in urban areas; the process by which </w:t>
            </w:r>
            <w:proofErr w:type="gramStart"/>
            <w:r w:rsidRPr="00E822AE">
              <w:rPr>
                <w:sz w:val="20"/>
                <w:szCs w:val="20"/>
                <w:lang w:val="en-CA"/>
              </w:rPr>
              <w:t>a large number of</w:t>
            </w:r>
            <w:proofErr w:type="gramEnd"/>
            <w:r w:rsidRPr="00E822AE">
              <w:rPr>
                <w:sz w:val="20"/>
                <w:szCs w:val="20"/>
                <w:lang w:val="en-CA"/>
              </w:rPr>
              <w:t xml:space="preserve"> people becomes permanently concentrated in relatively small areas, forming cities. (</w:t>
            </w:r>
            <w:hyperlink r:id="rId672" w:tgtFrame="_blank" w:history="1">
              <w:r w:rsidRPr="00E822AE">
                <w:rPr>
                  <w:rStyle w:val="Hyperlink"/>
                  <w:sz w:val="20"/>
                  <w:szCs w:val="20"/>
                  <w:lang w:val="en-CA"/>
                </w:rPr>
                <w:t>IPBES</w:t>
              </w:r>
            </w:hyperlink>
            <w:r w:rsidRPr="00E822AE">
              <w:rPr>
                <w:sz w:val="20"/>
                <w:szCs w:val="20"/>
                <w:lang w:val="en-CA"/>
              </w:rPr>
              <w:t>, 2022) </w:t>
            </w:r>
          </w:p>
        </w:tc>
      </w:tr>
      <w:tr w:rsidR="00C37DA1" w:rsidRPr="00E822AE" w14:paraId="5565F3DC" w14:textId="77777777">
        <w:trPr>
          <w:trHeight w:val="2000"/>
        </w:trPr>
        <w:tc>
          <w:tcPr>
            <w:tcW w:w="2055" w:type="dxa"/>
            <w:tcBorders>
              <w:top w:val="nil"/>
              <w:left w:val="nil"/>
              <w:bottom w:val="nil"/>
              <w:right w:val="nil"/>
            </w:tcBorders>
            <w:hideMark/>
          </w:tcPr>
          <w:p w14:paraId="40325C92"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Urgent management actions </w:t>
            </w:r>
          </w:p>
        </w:tc>
        <w:tc>
          <w:tcPr>
            <w:tcW w:w="7155" w:type="dxa"/>
            <w:tcBorders>
              <w:top w:val="nil"/>
              <w:left w:val="nil"/>
              <w:bottom w:val="nil"/>
              <w:right w:val="nil"/>
            </w:tcBorders>
            <w:hideMark/>
          </w:tcPr>
          <w:p w14:paraId="6716166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Species-specific management actions required above and beyond efforts to mitigate threats such as loss of natural habitats, unsustainable harvest, invasive alien species, pollution, and climate change, which are the focus of in other targets in the framework. More than half of threatened species from comprehensively assessed groups on the IUCN Red List of Threatened Species require such actions, including supplementary feeding, vaccinations, ex situ management, reintroduction and a range of recovery actions. (McGowan et al. 2024) </w:t>
            </w:r>
          </w:p>
        </w:tc>
      </w:tr>
      <w:tr w:rsidR="00C37DA1" w:rsidRPr="00E822AE" w14:paraId="65757E35" w14:textId="77777777">
        <w:trPr>
          <w:trHeight w:val="1125"/>
        </w:trPr>
        <w:tc>
          <w:tcPr>
            <w:tcW w:w="2055" w:type="dxa"/>
            <w:tcBorders>
              <w:top w:val="nil"/>
              <w:left w:val="nil"/>
              <w:bottom w:val="nil"/>
              <w:right w:val="nil"/>
            </w:tcBorders>
            <w:hideMark/>
          </w:tcPr>
          <w:p w14:paraId="43493097"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Utilization of genetic resources </w:t>
            </w:r>
          </w:p>
        </w:tc>
        <w:tc>
          <w:tcPr>
            <w:tcW w:w="7155" w:type="dxa"/>
            <w:tcBorders>
              <w:top w:val="nil"/>
              <w:left w:val="nil"/>
              <w:bottom w:val="nil"/>
              <w:right w:val="nil"/>
            </w:tcBorders>
            <w:hideMark/>
          </w:tcPr>
          <w:p w14:paraId="69D9D962"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Utilization of genetic resources means to conduct research and development on the genetic and/or biochemical composition of genetic resources, including through the application of biotechnology as defined in Article 2 of the Convention. (Nagoya Protocol, Article 2, paragraph (c)). </w:t>
            </w:r>
          </w:p>
        </w:tc>
      </w:tr>
      <w:tr w:rsidR="00C37DA1" w:rsidRPr="00E822AE" w14:paraId="1CC831C8" w14:textId="77777777">
        <w:trPr>
          <w:trHeight w:val="2715"/>
        </w:trPr>
        <w:tc>
          <w:tcPr>
            <w:tcW w:w="2055" w:type="dxa"/>
            <w:tcBorders>
              <w:top w:val="nil"/>
              <w:left w:val="nil"/>
              <w:bottom w:val="nil"/>
              <w:right w:val="nil"/>
            </w:tcBorders>
            <w:hideMark/>
          </w:tcPr>
          <w:p w14:paraId="6777AFE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Value chain </w:t>
            </w:r>
          </w:p>
        </w:tc>
        <w:tc>
          <w:tcPr>
            <w:tcW w:w="7155" w:type="dxa"/>
            <w:tcBorders>
              <w:top w:val="nil"/>
              <w:left w:val="nil"/>
              <w:bottom w:val="nil"/>
              <w:right w:val="nil"/>
            </w:tcBorders>
            <w:hideMark/>
          </w:tcPr>
          <w:p w14:paraId="75A3823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full range of interactions, resources and relationships related to a reporting entity’s business model and the external environment in which it operates. A value chain encompasses the interactions, resources and relationships an entity uses and depends on to create its products or services from conception to delivery, consumption and end-of-life, including interactions, resources and relationships in the entity’s operations, such as human resources; those along its supply, marketing and distribution channels, such as materials and service sourcing, and product and service sale and delivery; and the financing, geographical, geopolitical and regulatory environments in which the entity operates. (</w:t>
            </w:r>
            <w:hyperlink r:id="rId673" w:tgtFrame="_blank" w:history="1">
              <w:r w:rsidRPr="00E822AE">
                <w:rPr>
                  <w:rStyle w:val="Hyperlink"/>
                  <w:sz w:val="20"/>
                  <w:szCs w:val="20"/>
                  <w:lang w:val="en-CA"/>
                </w:rPr>
                <w:t>IFRS</w:t>
              </w:r>
            </w:hyperlink>
            <w:r w:rsidRPr="00E822AE">
              <w:rPr>
                <w:sz w:val="20"/>
                <w:szCs w:val="20"/>
                <w:lang w:val="en-CA"/>
              </w:rPr>
              <w:t>, 2023) </w:t>
            </w:r>
          </w:p>
        </w:tc>
      </w:tr>
      <w:tr w:rsidR="00C37DA1" w:rsidRPr="00E822AE" w14:paraId="681852C5" w14:textId="77777777">
        <w:trPr>
          <w:trHeight w:val="960"/>
        </w:trPr>
        <w:tc>
          <w:tcPr>
            <w:tcW w:w="2055" w:type="dxa"/>
            <w:tcBorders>
              <w:top w:val="nil"/>
              <w:left w:val="nil"/>
              <w:bottom w:val="nil"/>
              <w:right w:val="nil"/>
            </w:tcBorders>
            <w:hideMark/>
          </w:tcPr>
          <w:p w14:paraId="472A946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Vulnerable situation - Vulnerability </w:t>
            </w:r>
          </w:p>
        </w:tc>
        <w:tc>
          <w:tcPr>
            <w:tcW w:w="7155" w:type="dxa"/>
            <w:tcBorders>
              <w:top w:val="nil"/>
              <w:left w:val="nil"/>
              <w:bottom w:val="nil"/>
              <w:right w:val="nil"/>
            </w:tcBorders>
            <w:hideMark/>
          </w:tcPr>
          <w:p w14:paraId="478C2FF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conditions determined by physical, social, economic and environmental factors or processes which increase the susceptibility of an individual, a community, assets or systems to the impacts of hazards. (</w:t>
            </w:r>
            <w:r w:rsidRPr="00E822AE">
              <w:rPr>
                <w:sz w:val="20"/>
                <w:szCs w:val="20"/>
              </w:rPr>
              <w:t>CBD/WG2020/5/4)</w:t>
            </w:r>
            <w:r w:rsidRPr="00E822AE">
              <w:rPr>
                <w:sz w:val="20"/>
                <w:szCs w:val="20"/>
                <w:lang w:val="en-CA"/>
              </w:rPr>
              <w:t> </w:t>
            </w:r>
          </w:p>
        </w:tc>
      </w:tr>
      <w:tr w:rsidR="00C37DA1" w:rsidRPr="00E822AE" w14:paraId="5926336D" w14:textId="77777777">
        <w:trPr>
          <w:trHeight w:val="1695"/>
        </w:trPr>
        <w:tc>
          <w:tcPr>
            <w:tcW w:w="2055" w:type="dxa"/>
            <w:tcBorders>
              <w:top w:val="nil"/>
              <w:left w:val="nil"/>
              <w:bottom w:val="nil"/>
              <w:right w:val="nil"/>
            </w:tcBorders>
            <w:hideMark/>
          </w:tcPr>
          <w:p w14:paraId="082C3313"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Waste </w:t>
            </w:r>
          </w:p>
        </w:tc>
        <w:tc>
          <w:tcPr>
            <w:tcW w:w="7155" w:type="dxa"/>
            <w:tcBorders>
              <w:top w:val="nil"/>
              <w:left w:val="nil"/>
              <w:bottom w:val="nil"/>
              <w:right w:val="nil"/>
            </w:tcBorders>
            <w:hideMark/>
          </w:tcPr>
          <w:p w14:paraId="22B01BC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Materials that are not prime products (that is, products produced for the market) for which the generator has no further use in terms of his/her own purposes of production, transformation or consumption, and of which he/she wants to dispose.  Wastes may be generated during the extraction of raw materials, the processing of raw materials into intermediate and final products, the consumption of final products, and other human activities. (</w:t>
            </w:r>
            <w:hyperlink r:id="rId674" w:tgtFrame="_blank" w:history="1">
              <w:r w:rsidRPr="00E822AE">
                <w:rPr>
                  <w:rStyle w:val="Hyperlink"/>
                  <w:sz w:val="20"/>
                  <w:szCs w:val="20"/>
                  <w:lang w:val="en-CA"/>
                </w:rPr>
                <w:t>UN Stats</w:t>
              </w:r>
            </w:hyperlink>
            <w:r w:rsidRPr="00E822AE">
              <w:rPr>
                <w:sz w:val="20"/>
                <w:szCs w:val="20"/>
                <w:lang w:val="en-CA"/>
              </w:rPr>
              <w:t>) </w:t>
            </w:r>
          </w:p>
        </w:tc>
      </w:tr>
      <w:tr w:rsidR="00C37DA1" w:rsidRPr="00E822AE" w14:paraId="64DE6137" w14:textId="77777777">
        <w:trPr>
          <w:trHeight w:val="444"/>
        </w:trPr>
        <w:tc>
          <w:tcPr>
            <w:tcW w:w="2055" w:type="dxa"/>
            <w:tcBorders>
              <w:top w:val="nil"/>
              <w:left w:val="nil"/>
              <w:bottom w:val="nil"/>
              <w:right w:val="nil"/>
            </w:tcBorders>
            <w:hideMark/>
          </w:tcPr>
          <w:p w14:paraId="298FB4CA"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Waste generation </w:t>
            </w:r>
          </w:p>
        </w:tc>
        <w:tc>
          <w:tcPr>
            <w:tcW w:w="7155" w:type="dxa"/>
            <w:tcBorders>
              <w:top w:val="nil"/>
              <w:left w:val="nil"/>
              <w:bottom w:val="nil"/>
              <w:right w:val="nil"/>
            </w:tcBorders>
            <w:hideMark/>
          </w:tcPr>
          <w:p w14:paraId="09177B35"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process of generating waste, whether through production or consumption. </w:t>
            </w:r>
          </w:p>
        </w:tc>
      </w:tr>
      <w:tr w:rsidR="00C37DA1" w:rsidRPr="00E822AE" w14:paraId="18B85AC1" w14:textId="77777777">
        <w:trPr>
          <w:trHeight w:val="1982"/>
        </w:trPr>
        <w:tc>
          <w:tcPr>
            <w:tcW w:w="2055" w:type="dxa"/>
            <w:tcBorders>
              <w:top w:val="nil"/>
              <w:left w:val="nil"/>
              <w:bottom w:val="nil"/>
              <w:right w:val="nil"/>
            </w:tcBorders>
            <w:hideMark/>
          </w:tcPr>
          <w:p w14:paraId="42446754"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lastRenderedPageBreak/>
              <w:t>Water flow regulation services </w:t>
            </w:r>
          </w:p>
        </w:tc>
        <w:tc>
          <w:tcPr>
            <w:tcW w:w="7155" w:type="dxa"/>
            <w:tcBorders>
              <w:top w:val="nil"/>
              <w:left w:val="nil"/>
              <w:bottom w:val="nil"/>
              <w:right w:val="nil"/>
            </w:tcBorders>
            <w:hideMark/>
          </w:tcPr>
          <w:p w14:paraId="553CCE04"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Consist of baseline flow maintenance services and Peak flow mitigation services. Water regulation services are the ecosystem contributions to the regulation of river flows and groundwater and lake water tables. They are derived from the ability of ecosystems to absorb and store </w:t>
            </w:r>
            <w:proofErr w:type="gramStart"/>
            <w:r w:rsidRPr="00E822AE">
              <w:rPr>
                <w:sz w:val="20"/>
                <w:szCs w:val="20"/>
                <w:lang w:val="en-CA"/>
              </w:rPr>
              <w:t>water, and</w:t>
            </w:r>
            <w:proofErr w:type="gramEnd"/>
            <w:r w:rsidRPr="00E822AE">
              <w:rPr>
                <w:sz w:val="20"/>
                <w:szCs w:val="20"/>
                <w:lang w:val="en-CA"/>
              </w:rPr>
              <w:t xml:space="preserve"> gradually release water during dry seasons or periods through evapotranspiration and hence secure a regular flow of water. Likewise, this ability mitigates the effects of flood and other extreme water-related events.  (</w:t>
            </w:r>
            <w:hyperlink r:id="rId675"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384F4176" w14:textId="77777777">
        <w:trPr>
          <w:trHeight w:val="2266"/>
        </w:trPr>
        <w:tc>
          <w:tcPr>
            <w:tcW w:w="2055" w:type="dxa"/>
            <w:tcBorders>
              <w:top w:val="nil"/>
              <w:left w:val="nil"/>
              <w:bottom w:val="nil"/>
              <w:right w:val="nil"/>
            </w:tcBorders>
            <w:hideMark/>
          </w:tcPr>
          <w:p w14:paraId="737E55C8"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Wellbeing </w:t>
            </w:r>
          </w:p>
        </w:tc>
        <w:tc>
          <w:tcPr>
            <w:tcW w:w="7155" w:type="dxa"/>
            <w:tcBorders>
              <w:top w:val="nil"/>
              <w:left w:val="nil"/>
              <w:bottom w:val="nil"/>
              <w:right w:val="nil"/>
            </w:tcBorders>
            <w:hideMark/>
          </w:tcPr>
          <w:p w14:paraId="50ADD849"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 perspective on a good life that comprises access to basic resources, freedom and choice, health and physical, including psychological, well-being, good social relationships, security, equity, peace of mind and spiritual experience. Well-being is achieved when individuals and communities can act meaningfully to pursue their goals and can enjoy a good quality of life. The concept of human well-being is used in many western societies and its variants, together with living in harmony with nature, and living well in balance and harmony with Mother Earth. All these are different perspectives on a good quality of life. (</w:t>
            </w:r>
            <w:hyperlink r:id="rId676" w:tgtFrame="_blank" w:history="1">
              <w:r w:rsidRPr="00E822AE">
                <w:rPr>
                  <w:rStyle w:val="Hyperlink"/>
                  <w:sz w:val="20"/>
                  <w:szCs w:val="20"/>
                  <w:lang w:val="en-CA"/>
                </w:rPr>
                <w:t>IPBES</w:t>
              </w:r>
            </w:hyperlink>
            <w:r w:rsidRPr="00E822AE">
              <w:rPr>
                <w:sz w:val="20"/>
                <w:szCs w:val="20"/>
                <w:lang w:val="en-CA"/>
              </w:rPr>
              <w:t>, 2019) </w:t>
            </w:r>
          </w:p>
        </w:tc>
      </w:tr>
      <w:tr w:rsidR="00C37DA1" w:rsidRPr="00E822AE" w14:paraId="35D1A4F7" w14:textId="77777777">
        <w:trPr>
          <w:trHeight w:val="1695"/>
        </w:trPr>
        <w:tc>
          <w:tcPr>
            <w:tcW w:w="2055" w:type="dxa"/>
            <w:tcBorders>
              <w:top w:val="nil"/>
              <w:left w:val="nil"/>
              <w:bottom w:val="nil"/>
              <w:right w:val="nil"/>
            </w:tcBorders>
            <w:hideMark/>
          </w:tcPr>
          <w:p w14:paraId="538F16A5"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Wild animals, plants and other biomass provisioning services </w:t>
            </w:r>
          </w:p>
        </w:tc>
        <w:tc>
          <w:tcPr>
            <w:tcW w:w="7155" w:type="dxa"/>
            <w:tcBorders>
              <w:top w:val="nil"/>
              <w:left w:val="nil"/>
              <w:bottom w:val="nil"/>
              <w:right w:val="nil"/>
            </w:tcBorders>
            <w:hideMark/>
          </w:tcPr>
          <w:p w14:paraId="33649C6C"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ecosystem contributions to the growth of wild animals, plants and other biomass that are captured and harvested in uncultivated production contexts by economic units for various uses. The scope includes non-wood forest products and services related to hunting, trapping and bio-prospecting activities; but excludes wild fish and other natural aquatic biomass. (</w:t>
            </w:r>
            <w:hyperlink r:id="rId677"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164E4161" w14:textId="77777777">
        <w:trPr>
          <w:trHeight w:val="1276"/>
        </w:trPr>
        <w:tc>
          <w:tcPr>
            <w:tcW w:w="2055" w:type="dxa"/>
            <w:tcBorders>
              <w:top w:val="nil"/>
              <w:left w:val="nil"/>
              <w:bottom w:val="nil"/>
              <w:right w:val="nil"/>
            </w:tcBorders>
            <w:hideMark/>
          </w:tcPr>
          <w:p w14:paraId="46B26761"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Wild fish and other natural aquatic biomass provisioning services </w:t>
            </w:r>
          </w:p>
        </w:tc>
        <w:tc>
          <w:tcPr>
            <w:tcW w:w="7155" w:type="dxa"/>
            <w:tcBorders>
              <w:top w:val="nil"/>
              <w:left w:val="nil"/>
              <w:bottom w:val="nil"/>
              <w:right w:val="nil"/>
            </w:tcBorders>
            <w:hideMark/>
          </w:tcPr>
          <w:p w14:paraId="4534D14D"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 ecosystem contributions to the growth of fish and other aquatic biomass that are captured in uncultivated production contexts by economic units for various uses, primarily food production.  (</w:t>
            </w:r>
            <w:hyperlink r:id="rId678" w:tgtFrame="_blank" w:history="1">
              <w:r w:rsidRPr="00E822AE">
                <w:rPr>
                  <w:rStyle w:val="Hyperlink"/>
                  <w:sz w:val="20"/>
                  <w:szCs w:val="20"/>
                  <w:lang w:val="en-CA"/>
                </w:rPr>
                <w:t>SEEA</w:t>
              </w:r>
            </w:hyperlink>
            <w:r w:rsidRPr="00E822AE">
              <w:rPr>
                <w:sz w:val="20"/>
                <w:szCs w:val="20"/>
                <w:lang w:val="en-CA"/>
              </w:rPr>
              <w:t>, 2021) </w:t>
            </w:r>
          </w:p>
        </w:tc>
      </w:tr>
      <w:tr w:rsidR="00C37DA1" w:rsidRPr="00E822AE" w14:paraId="28DEC5E5" w14:textId="77777777">
        <w:trPr>
          <w:trHeight w:val="1550"/>
        </w:trPr>
        <w:tc>
          <w:tcPr>
            <w:tcW w:w="2055" w:type="dxa"/>
            <w:tcBorders>
              <w:top w:val="nil"/>
              <w:left w:val="nil"/>
              <w:bottom w:val="nil"/>
              <w:right w:val="nil"/>
            </w:tcBorders>
            <w:hideMark/>
          </w:tcPr>
          <w:p w14:paraId="532EE7E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Wild species </w:t>
            </w:r>
          </w:p>
        </w:tc>
        <w:tc>
          <w:tcPr>
            <w:tcW w:w="7155" w:type="dxa"/>
            <w:tcBorders>
              <w:top w:val="nil"/>
              <w:left w:val="nil"/>
              <w:bottom w:val="nil"/>
              <w:right w:val="nil"/>
            </w:tcBorders>
            <w:hideMark/>
          </w:tcPr>
          <w:p w14:paraId="49825AB6"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 xml:space="preserve">Populations of any species that have not been domesticated through multigenerational selection for </w:t>
            </w:r>
            <w:proofErr w:type="gramStart"/>
            <w:r w:rsidRPr="00E822AE">
              <w:rPr>
                <w:sz w:val="20"/>
                <w:szCs w:val="20"/>
                <w:lang w:val="en-CA"/>
              </w:rPr>
              <w:t>particular traits</w:t>
            </w:r>
            <w:proofErr w:type="gramEnd"/>
            <w:r w:rsidRPr="00E822AE">
              <w:rPr>
                <w:sz w:val="20"/>
                <w:szCs w:val="20"/>
                <w:lang w:val="en-CA"/>
              </w:rPr>
              <w:t>, and which can survive independently of human intervention that may occur in any environment. This does not imply a complete absence of human management and recognizes various intermediate states between wild and domesticated. (</w:t>
            </w:r>
            <w:hyperlink r:id="rId679" w:tgtFrame="_blank" w:history="1">
              <w:r w:rsidRPr="00E822AE">
                <w:rPr>
                  <w:rStyle w:val="Hyperlink"/>
                  <w:sz w:val="20"/>
                  <w:szCs w:val="20"/>
                  <w:lang w:val="en-CA"/>
                </w:rPr>
                <w:t>IPBES</w:t>
              </w:r>
            </w:hyperlink>
            <w:r w:rsidRPr="00E822AE">
              <w:rPr>
                <w:sz w:val="20"/>
                <w:szCs w:val="20"/>
                <w:lang w:val="en-CA"/>
              </w:rPr>
              <w:t>, 2022) </w:t>
            </w:r>
          </w:p>
        </w:tc>
      </w:tr>
      <w:tr w:rsidR="00C37DA1" w:rsidRPr="00E822AE" w14:paraId="2C7F4CBE" w14:textId="77777777">
        <w:trPr>
          <w:trHeight w:val="862"/>
        </w:trPr>
        <w:tc>
          <w:tcPr>
            <w:tcW w:w="2055" w:type="dxa"/>
            <w:tcBorders>
              <w:top w:val="nil"/>
              <w:left w:val="nil"/>
              <w:bottom w:val="nil"/>
              <w:right w:val="nil"/>
            </w:tcBorders>
            <w:hideMark/>
          </w:tcPr>
          <w:p w14:paraId="055AAA8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Within biologically sustainable levels </w:t>
            </w:r>
          </w:p>
        </w:tc>
        <w:tc>
          <w:tcPr>
            <w:tcW w:w="7155" w:type="dxa"/>
            <w:tcBorders>
              <w:top w:val="nil"/>
              <w:left w:val="nil"/>
              <w:bottom w:val="nil"/>
              <w:right w:val="nil"/>
            </w:tcBorders>
            <w:hideMark/>
          </w:tcPr>
          <w:p w14:paraId="024BAED8"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Abundance is estimated (considering uncertainty) to be equal to or greater than the level that can produce the Maximum Sustainable Yield (MSY). </w:t>
            </w:r>
          </w:p>
        </w:tc>
      </w:tr>
      <w:tr w:rsidR="00C37DA1" w:rsidRPr="00E822AE" w14:paraId="1FDB389A" w14:textId="77777777">
        <w:trPr>
          <w:trHeight w:val="2370"/>
        </w:trPr>
        <w:tc>
          <w:tcPr>
            <w:tcW w:w="2055" w:type="dxa"/>
            <w:tcBorders>
              <w:top w:val="nil"/>
              <w:left w:val="nil"/>
              <w:bottom w:val="nil"/>
              <w:right w:val="nil"/>
            </w:tcBorders>
            <w:hideMark/>
          </w:tcPr>
          <w:p w14:paraId="2AAFD850" w14:textId="77777777" w:rsidR="00C37DA1" w:rsidRPr="00E822AE" w:rsidRDefault="00C37DA1" w:rsidP="00E822AE">
            <w:pPr>
              <w:pStyle w:val="CBDNormalNumber"/>
              <w:shd w:val="clear" w:color="auto" w:fill="FFFFFF"/>
              <w:ind w:left="567"/>
              <w:jc w:val="left"/>
              <w:rPr>
                <w:sz w:val="20"/>
                <w:szCs w:val="20"/>
                <w:lang w:val="en-CA"/>
              </w:rPr>
            </w:pPr>
            <w:r w:rsidRPr="00E822AE">
              <w:rPr>
                <w:sz w:val="20"/>
                <w:szCs w:val="20"/>
                <w:lang w:val="en-CA"/>
              </w:rPr>
              <w:t>Youth </w:t>
            </w:r>
          </w:p>
        </w:tc>
        <w:tc>
          <w:tcPr>
            <w:tcW w:w="7155" w:type="dxa"/>
            <w:tcBorders>
              <w:top w:val="nil"/>
              <w:left w:val="nil"/>
              <w:bottom w:val="nil"/>
              <w:right w:val="nil"/>
            </w:tcBorders>
            <w:hideMark/>
          </w:tcPr>
          <w:p w14:paraId="370A43E3" w14:textId="77777777" w:rsidR="00C37DA1" w:rsidRPr="00E822AE" w:rsidRDefault="00C37DA1" w:rsidP="008B21D8">
            <w:pPr>
              <w:pStyle w:val="CBDNormalNumber"/>
              <w:shd w:val="clear" w:color="auto" w:fill="FFFFFF"/>
              <w:ind w:left="567"/>
              <w:rPr>
                <w:sz w:val="20"/>
                <w:szCs w:val="20"/>
                <w:lang w:val="en-CA"/>
              </w:rPr>
            </w:pPr>
            <w:r w:rsidRPr="00E822AE">
              <w:rPr>
                <w:sz w:val="20"/>
                <w:szCs w:val="20"/>
                <w:lang w:val="en-CA"/>
              </w:rPr>
              <w:t>There is no universally agreed international definition of the youth age group. For statistical purposes, however, the United Nations—without prejudice to any other definitions made by Member States—defines “</w:t>
            </w:r>
            <w:r w:rsidRPr="00E822AE">
              <w:rPr>
                <w:i/>
                <w:iCs/>
                <w:sz w:val="20"/>
                <w:szCs w:val="20"/>
                <w:lang w:val="en-CA"/>
              </w:rPr>
              <w:t>youth</w:t>
            </w:r>
            <w:r w:rsidRPr="00E822AE">
              <w:rPr>
                <w:sz w:val="20"/>
                <w:szCs w:val="20"/>
                <w:lang w:val="en-CA"/>
              </w:rPr>
              <w:t>” as those persons between the ages of 15 and 24 years. This definition, which arose in the context of preparations for the International Youth Year (1985) (see A/36/215), was endorsed by the General Assembly in its resolution 36/28 of 1981. All UN statistics on youth are based on this definition, as is reflected in the annual yearbooks of statistics published by the UN system on demography, education, employment and health.  </w:t>
            </w:r>
          </w:p>
        </w:tc>
      </w:tr>
    </w:tbl>
    <w:p w14:paraId="074C9C43" w14:textId="74ABB255" w:rsidR="00C37DA1" w:rsidRPr="004A5B69" w:rsidRDefault="005E56CC" w:rsidP="00E822AE">
      <w:pPr>
        <w:pStyle w:val="CBDNormalNumber"/>
        <w:shd w:val="clear" w:color="auto" w:fill="FFFFFF"/>
        <w:tabs>
          <w:tab w:val="clear" w:pos="1701"/>
        </w:tabs>
        <w:ind w:left="567"/>
        <w:jc w:val="center"/>
        <w:rPr>
          <w:lang w:val="en-US"/>
        </w:rPr>
      </w:pPr>
      <w:r>
        <w:rPr>
          <w:lang w:val="en-US"/>
        </w:rPr>
        <w:t>__________</w:t>
      </w:r>
    </w:p>
    <w:sectPr w:rsidR="00C37DA1" w:rsidRPr="004A5B69" w:rsidSect="00B3383B">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31964" w14:textId="77777777" w:rsidR="005F2C7E" w:rsidRDefault="005F2C7E" w:rsidP="003109C0">
      <w:r>
        <w:separator/>
      </w:r>
    </w:p>
  </w:endnote>
  <w:endnote w:type="continuationSeparator" w:id="0">
    <w:p w14:paraId="067D3687" w14:textId="77777777" w:rsidR="005F2C7E" w:rsidRDefault="005F2C7E" w:rsidP="003109C0">
      <w:r>
        <w:continuationSeparator/>
      </w:r>
    </w:p>
  </w:endnote>
  <w:endnote w:type="continuationNotice" w:id="1">
    <w:p w14:paraId="2DD4CDC4" w14:textId="77777777" w:rsidR="005F2C7E" w:rsidRDefault="005F2C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A26C" w14:textId="649944AB" w:rsidR="0089127F" w:rsidRPr="00B3383B" w:rsidRDefault="00000000">
    <w:pPr>
      <w:pStyle w:val="Footer"/>
      <w:rPr>
        <w:rFonts w:ascii="Times New Roman" w:hAnsi="Times New Roman" w:cs="Times New Roman"/>
        <w:sz w:val="20"/>
        <w:szCs w:val="20"/>
      </w:rPr>
    </w:pPr>
    <w:sdt>
      <w:sdtPr>
        <w:rPr>
          <w:rFonts w:ascii="Times New Roman" w:hAnsi="Times New Roman" w:cs="Times New Roman"/>
          <w:sz w:val="20"/>
          <w:szCs w:val="20"/>
        </w:rPr>
        <w:id w:val="1810593685"/>
        <w:docPartObj>
          <w:docPartGallery w:val="Page Numbers (Top of Page)"/>
          <w:docPartUnique/>
        </w:docPartObj>
      </w:sdtPr>
      <w:sdtContent>
        <w:r w:rsidR="00F31704" w:rsidRPr="00B3383B">
          <w:rPr>
            <w:rFonts w:ascii="Times New Roman" w:hAnsi="Times New Roman" w:cs="Times New Roman"/>
            <w:sz w:val="20"/>
            <w:szCs w:val="20"/>
          </w:rPr>
          <w:fldChar w:fldCharType="begin"/>
        </w:r>
        <w:r w:rsidR="00F31704" w:rsidRPr="00B3383B">
          <w:rPr>
            <w:rFonts w:ascii="Times New Roman" w:hAnsi="Times New Roman" w:cs="Times New Roman"/>
            <w:sz w:val="20"/>
            <w:szCs w:val="20"/>
          </w:rPr>
          <w:instrText xml:space="preserve"> PAGE </w:instrText>
        </w:r>
        <w:r w:rsidR="00F31704" w:rsidRPr="00B3383B">
          <w:rPr>
            <w:rFonts w:ascii="Times New Roman" w:hAnsi="Times New Roman" w:cs="Times New Roman"/>
            <w:sz w:val="20"/>
            <w:szCs w:val="20"/>
          </w:rPr>
          <w:fldChar w:fldCharType="separate"/>
        </w:r>
        <w:r w:rsidR="00DE69C8">
          <w:rPr>
            <w:rFonts w:ascii="Times New Roman" w:hAnsi="Times New Roman" w:cs="Times New Roman"/>
            <w:noProof/>
            <w:sz w:val="20"/>
            <w:szCs w:val="20"/>
          </w:rPr>
          <w:t>138</w:t>
        </w:r>
        <w:r w:rsidR="00F31704" w:rsidRPr="00B3383B">
          <w:rPr>
            <w:rFonts w:ascii="Times New Roman" w:hAnsi="Times New Roman" w:cs="Times New Roman"/>
            <w:sz w:val="20"/>
            <w:szCs w:val="20"/>
          </w:rPr>
          <w:fldChar w:fldCharType="end"/>
        </w:r>
        <w:r w:rsidR="00F31704" w:rsidRPr="00B3383B">
          <w:rPr>
            <w:rFonts w:ascii="Times New Roman" w:hAnsi="Times New Roman" w:cs="Times New Roman"/>
            <w:sz w:val="20"/>
            <w:szCs w:val="20"/>
          </w:rPr>
          <w:t>/</w:t>
        </w:r>
        <w:r w:rsidR="00F31704" w:rsidRPr="00B3383B">
          <w:rPr>
            <w:rFonts w:ascii="Times New Roman" w:hAnsi="Times New Roman" w:cs="Times New Roman"/>
            <w:sz w:val="20"/>
            <w:szCs w:val="20"/>
          </w:rPr>
          <w:fldChar w:fldCharType="begin"/>
        </w:r>
        <w:r w:rsidR="00F31704" w:rsidRPr="00B3383B">
          <w:rPr>
            <w:rFonts w:ascii="Times New Roman" w:hAnsi="Times New Roman" w:cs="Times New Roman"/>
            <w:sz w:val="20"/>
            <w:szCs w:val="20"/>
          </w:rPr>
          <w:instrText xml:space="preserve"> NUMPAGES  </w:instrText>
        </w:r>
        <w:r w:rsidR="00F31704" w:rsidRPr="00B3383B">
          <w:rPr>
            <w:rFonts w:ascii="Times New Roman" w:hAnsi="Times New Roman" w:cs="Times New Roman"/>
            <w:sz w:val="20"/>
            <w:szCs w:val="20"/>
          </w:rPr>
          <w:fldChar w:fldCharType="separate"/>
        </w:r>
        <w:r w:rsidR="00DE69C8">
          <w:rPr>
            <w:rFonts w:ascii="Times New Roman" w:hAnsi="Times New Roman" w:cs="Times New Roman"/>
            <w:noProof/>
            <w:sz w:val="20"/>
            <w:szCs w:val="20"/>
          </w:rPr>
          <w:t>363</w:t>
        </w:r>
        <w:r w:rsidR="00F31704" w:rsidRPr="00B3383B">
          <w:rPr>
            <w:rFonts w:ascii="Times New Roman" w:hAnsi="Times New Roman" w:cs="Times New Roman"/>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22161"/>
      <w:docPartObj>
        <w:docPartGallery w:val="Page Numbers (Bottom of Page)"/>
        <w:docPartUnique/>
      </w:docPartObj>
    </w:sdtPr>
    <w:sdtEndPr>
      <w:rPr>
        <w:noProof/>
      </w:rPr>
    </w:sdtEndPr>
    <w:sdtContent>
      <w:p w14:paraId="6B8D135A" w14:textId="0AF5B223" w:rsidR="00501E19" w:rsidRDefault="00000000" w:rsidP="00B3383B">
        <w:pPr>
          <w:pStyle w:val="Footer"/>
          <w:jc w:val="right"/>
        </w:pPr>
        <w:sdt>
          <w:sdtPr>
            <w:id w:val="-1705238520"/>
            <w:docPartObj>
              <w:docPartGallery w:val="Page Numbers (Top of Page)"/>
              <w:docPartUnique/>
            </w:docPartObj>
          </w:sdtPr>
          <w:sdtContent>
            <w:r w:rsidR="00F31704" w:rsidRPr="00B3383B">
              <w:rPr>
                <w:rFonts w:ascii="Times New Roman" w:hAnsi="Times New Roman" w:cs="Times New Roman"/>
                <w:sz w:val="20"/>
                <w:szCs w:val="20"/>
              </w:rPr>
              <w:fldChar w:fldCharType="begin"/>
            </w:r>
            <w:r w:rsidR="00F31704" w:rsidRPr="00B3383B">
              <w:rPr>
                <w:rFonts w:ascii="Times New Roman" w:hAnsi="Times New Roman" w:cs="Times New Roman"/>
                <w:sz w:val="20"/>
                <w:szCs w:val="20"/>
              </w:rPr>
              <w:instrText xml:space="preserve"> PAGE </w:instrText>
            </w:r>
            <w:r w:rsidR="00F31704" w:rsidRPr="00B3383B">
              <w:rPr>
                <w:rFonts w:ascii="Times New Roman" w:hAnsi="Times New Roman" w:cs="Times New Roman"/>
                <w:sz w:val="20"/>
                <w:szCs w:val="20"/>
              </w:rPr>
              <w:fldChar w:fldCharType="separate"/>
            </w:r>
            <w:r w:rsidR="00DE69C8">
              <w:rPr>
                <w:rFonts w:ascii="Times New Roman" w:hAnsi="Times New Roman" w:cs="Times New Roman"/>
                <w:noProof/>
                <w:sz w:val="20"/>
                <w:szCs w:val="20"/>
              </w:rPr>
              <w:t>139</w:t>
            </w:r>
            <w:r w:rsidR="00F31704" w:rsidRPr="00B3383B">
              <w:rPr>
                <w:rFonts w:ascii="Times New Roman" w:hAnsi="Times New Roman" w:cs="Times New Roman"/>
                <w:sz w:val="20"/>
                <w:szCs w:val="20"/>
              </w:rPr>
              <w:fldChar w:fldCharType="end"/>
            </w:r>
            <w:r w:rsidR="00F31704" w:rsidRPr="00B3383B">
              <w:rPr>
                <w:rFonts w:ascii="Times New Roman" w:hAnsi="Times New Roman" w:cs="Times New Roman"/>
                <w:sz w:val="20"/>
                <w:szCs w:val="20"/>
              </w:rPr>
              <w:t>/</w:t>
            </w:r>
            <w:r w:rsidR="00F31704" w:rsidRPr="00B3383B">
              <w:rPr>
                <w:rFonts w:ascii="Times New Roman" w:hAnsi="Times New Roman" w:cs="Times New Roman"/>
                <w:sz w:val="20"/>
                <w:szCs w:val="20"/>
              </w:rPr>
              <w:fldChar w:fldCharType="begin"/>
            </w:r>
            <w:r w:rsidR="00F31704" w:rsidRPr="00B3383B">
              <w:rPr>
                <w:rFonts w:ascii="Times New Roman" w:hAnsi="Times New Roman" w:cs="Times New Roman"/>
                <w:sz w:val="20"/>
                <w:szCs w:val="20"/>
              </w:rPr>
              <w:instrText xml:space="preserve"> NUMPAGES  </w:instrText>
            </w:r>
            <w:r w:rsidR="00F31704" w:rsidRPr="00B3383B">
              <w:rPr>
                <w:rFonts w:ascii="Times New Roman" w:hAnsi="Times New Roman" w:cs="Times New Roman"/>
                <w:sz w:val="20"/>
                <w:szCs w:val="20"/>
              </w:rPr>
              <w:fldChar w:fldCharType="separate"/>
            </w:r>
            <w:r w:rsidR="00DE69C8">
              <w:rPr>
                <w:rFonts w:ascii="Times New Roman" w:hAnsi="Times New Roman" w:cs="Times New Roman"/>
                <w:noProof/>
                <w:sz w:val="20"/>
                <w:szCs w:val="20"/>
              </w:rPr>
              <w:t>363</w:t>
            </w:r>
            <w:r w:rsidR="00F31704" w:rsidRPr="00B3383B">
              <w:rPr>
                <w:rFonts w:ascii="Times New Roman" w:hAnsi="Times New Roman" w:cs="Times New Roman"/>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7AA64" w14:textId="77777777" w:rsidR="005F2C7E" w:rsidRDefault="005F2C7E" w:rsidP="003109C0">
      <w:r>
        <w:separator/>
      </w:r>
    </w:p>
  </w:footnote>
  <w:footnote w:type="continuationSeparator" w:id="0">
    <w:p w14:paraId="7CABA5B5" w14:textId="77777777" w:rsidR="005F2C7E" w:rsidRDefault="005F2C7E" w:rsidP="003109C0">
      <w:r>
        <w:continuationSeparator/>
      </w:r>
    </w:p>
  </w:footnote>
  <w:footnote w:type="continuationNotice" w:id="1">
    <w:p w14:paraId="253C0A02" w14:textId="77777777" w:rsidR="005F2C7E" w:rsidRDefault="005F2C7E"/>
  </w:footnote>
  <w:footnote w:id="2">
    <w:p w14:paraId="597BEF75" w14:textId="77777777" w:rsidR="00E312A6" w:rsidRPr="003F1A75" w:rsidRDefault="00E312A6" w:rsidP="00E312A6">
      <w:pPr>
        <w:pStyle w:val="FootnoteText"/>
      </w:pPr>
      <w:r w:rsidRPr="003F1A75">
        <w:rPr>
          <w:rStyle w:val="FootnoteReference"/>
        </w:rPr>
        <w:t>*</w:t>
      </w:r>
      <w:r w:rsidRPr="003F1A75">
        <w:t xml:space="preserve"> </w:t>
      </w:r>
      <w:hyperlink r:id="rId1" w:history="1">
        <w:r w:rsidRPr="00E822AE">
          <w:rPr>
            <w:rStyle w:val="Hyperlink"/>
            <w:rFonts w:asciiTheme="majorBidi" w:hAnsiTheme="majorBidi" w:cstheme="majorBidi"/>
            <w:sz w:val="18"/>
            <w:szCs w:val="18"/>
          </w:rPr>
          <w:t>CBD/SBSTTA/28/1</w:t>
        </w:r>
      </w:hyperlink>
      <w:r w:rsidRPr="00E822AE">
        <w:rPr>
          <w:rFonts w:asciiTheme="majorBidi" w:hAnsiTheme="majorBidi" w:cstheme="majorBidi"/>
          <w:sz w:val="18"/>
          <w:szCs w:val="18"/>
        </w:rPr>
        <w:t>.</w:t>
      </w:r>
    </w:p>
  </w:footnote>
  <w:footnote w:id="3">
    <w:p w14:paraId="146DC115" w14:textId="517A7BA0" w:rsidR="00AD5C48" w:rsidRPr="00E822AE" w:rsidRDefault="00AD5C48">
      <w:pPr>
        <w:pStyle w:val="FootnoteText"/>
        <w:rPr>
          <w:rFonts w:asciiTheme="majorBidi" w:hAnsiTheme="majorBidi" w:cstheme="majorBidi"/>
          <w:sz w:val="18"/>
          <w:szCs w:val="18"/>
          <w:lang w:val="en-US"/>
        </w:rPr>
      </w:pPr>
      <w:r w:rsidRPr="00E822AE">
        <w:rPr>
          <w:rStyle w:val="FootnoteReference"/>
          <w:rFonts w:asciiTheme="majorBidi" w:hAnsiTheme="majorBidi" w:cstheme="majorBidi"/>
          <w:sz w:val="18"/>
          <w:szCs w:val="18"/>
        </w:rPr>
        <w:t>**</w:t>
      </w:r>
      <w:r w:rsidRPr="00E822AE">
        <w:rPr>
          <w:rFonts w:asciiTheme="majorBidi" w:hAnsiTheme="majorBidi" w:cstheme="majorBidi"/>
          <w:sz w:val="18"/>
          <w:szCs w:val="18"/>
        </w:rPr>
        <w:t xml:space="preserve"> </w:t>
      </w:r>
      <w:r w:rsidRPr="00E822AE">
        <w:rPr>
          <w:rFonts w:asciiTheme="majorBidi" w:hAnsiTheme="majorBidi" w:cstheme="majorBidi"/>
          <w:sz w:val="18"/>
          <w:szCs w:val="18"/>
          <w:lang w:val="en-US"/>
        </w:rPr>
        <w:t>The present document is being issued without formal editing.</w:t>
      </w:r>
    </w:p>
  </w:footnote>
  <w:footnote w:id="4">
    <w:p w14:paraId="029E4FA6" w14:textId="77777777" w:rsidR="00E312A6" w:rsidRPr="00E822AE" w:rsidRDefault="00E312A6" w:rsidP="00E312A6">
      <w:pPr>
        <w:pStyle w:val="FootnoteText"/>
        <w:rPr>
          <w:rFonts w:asciiTheme="majorBidi" w:hAnsiTheme="majorBidi" w:cstheme="majorBidi"/>
          <w:sz w:val="18"/>
          <w:szCs w:val="18"/>
        </w:rPr>
      </w:pPr>
      <w:r w:rsidRPr="00E822AE">
        <w:rPr>
          <w:rStyle w:val="FootnoteReference"/>
          <w:rFonts w:asciiTheme="majorBidi" w:hAnsiTheme="majorBidi" w:cstheme="majorBidi"/>
          <w:sz w:val="18"/>
          <w:szCs w:val="18"/>
        </w:rPr>
        <w:footnoteRef/>
      </w:r>
      <w:r w:rsidRPr="00E822AE">
        <w:rPr>
          <w:rFonts w:asciiTheme="majorBidi" w:hAnsiTheme="majorBidi" w:cstheme="majorBidi"/>
          <w:sz w:val="18"/>
          <w:szCs w:val="18"/>
        </w:rPr>
        <w:t xml:space="preserve"> The submissions received in response to this notification are accessible from </w:t>
      </w:r>
      <w:hyperlink r:id="rId2" w:history="1">
        <w:r w:rsidRPr="00E822AE">
          <w:rPr>
            <w:rStyle w:val="Hyperlink"/>
            <w:rFonts w:asciiTheme="majorBidi" w:hAnsiTheme="majorBidi" w:cstheme="majorBidi"/>
            <w:sz w:val="18"/>
            <w:szCs w:val="18"/>
          </w:rPr>
          <w:t>https://www.cbd.int/notifications/2025-046</w:t>
        </w:r>
      </w:hyperlink>
    </w:p>
  </w:footnote>
  <w:footnote w:id="5">
    <w:p w14:paraId="0E623540" w14:textId="77777777" w:rsidR="00E312A6" w:rsidRPr="00E822AE" w:rsidRDefault="00E312A6" w:rsidP="00E312A6">
      <w:pPr>
        <w:pStyle w:val="FootnoteText"/>
        <w:rPr>
          <w:rFonts w:asciiTheme="majorBidi" w:eastAsia="Times New Roman" w:hAnsiTheme="majorBidi" w:cstheme="majorBidi"/>
          <w:kern w:val="0"/>
          <w:sz w:val="18"/>
          <w:szCs w:val="18"/>
          <w14:ligatures w14:val="none"/>
        </w:rPr>
      </w:pPr>
      <w:r w:rsidRPr="00E822AE">
        <w:rPr>
          <w:rStyle w:val="FootnoteReference"/>
          <w:rFonts w:asciiTheme="majorBidi" w:hAnsiTheme="majorBidi" w:cstheme="majorBidi"/>
          <w:sz w:val="18"/>
          <w:szCs w:val="18"/>
        </w:rPr>
        <w:footnoteRef/>
      </w:r>
      <w:r w:rsidRPr="00E822AE">
        <w:rPr>
          <w:rFonts w:asciiTheme="majorBidi" w:eastAsia="Times New Roman" w:hAnsiTheme="majorBidi" w:cstheme="majorBidi"/>
          <w:kern w:val="0"/>
          <w:sz w:val="18"/>
          <w:szCs w:val="18"/>
          <w14:ligatures w14:val="none"/>
        </w:rPr>
        <w:t xml:space="preserve"> The notifications and the submissions received are accessible from </w:t>
      </w:r>
    </w:p>
    <w:p w14:paraId="68A19697" w14:textId="77777777" w:rsidR="00E312A6" w:rsidRDefault="00E312A6" w:rsidP="00E312A6">
      <w:pPr>
        <w:pStyle w:val="FootnoteText"/>
      </w:pPr>
      <w:hyperlink r:id="rId3" w:history="1">
        <w:r w:rsidRPr="00E822AE">
          <w:rPr>
            <w:rStyle w:val="Hyperlink"/>
            <w:rFonts w:asciiTheme="majorBidi" w:hAnsiTheme="majorBidi" w:cstheme="majorBidi"/>
            <w:sz w:val="18"/>
            <w:szCs w:val="18"/>
          </w:rPr>
          <w:t>https://www.cbd.int/notifications/2025-044</w:t>
        </w:r>
      </w:hyperlink>
      <w:r w:rsidRPr="00E822AE">
        <w:rPr>
          <w:rFonts w:asciiTheme="majorBidi" w:hAnsiTheme="majorBidi" w:cstheme="majorBidi"/>
          <w:sz w:val="18"/>
          <w:szCs w:val="18"/>
        </w:rPr>
        <w:t xml:space="preserve">, </w:t>
      </w:r>
      <w:hyperlink r:id="rId4" w:history="1">
        <w:r w:rsidRPr="00E822AE">
          <w:rPr>
            <w:rStyle w:val="Hyperlink"/>
            <w:rFonts w:asciiTheme="majorBidi" w:hAnsiTheme="majorBidi" w:cstheme="majorBidi"/>
            <w:sz w:val="18"/>
            <w:szCs w:val="18"/>
          </w:rPr>
          <w:t>https://www.cbd.int/notifications/2025-045</w:t>
        </w:r>
      </w:hyperlink>
      <w:r w:rsidRPr="00E822AE">
        <w:rPr>
          <w:rFonts w:asciiTheme="majorBidi" w:hAnsiTheme="majorBidi" w:cstheme="majorBidi"/>
          <w:sz w:val="18"/>
          <w:szCs w:val="18"/>
        </w:rPr>
        <w:t xml:space="preserve">, and </w:t>
      </w:r>
      <w:hyperlink r:id="rId5" w:history="1">
        <w:r w:rsidRPr="00E822AE">
          <w:rPr>
            <w:rStyle w:val="Hyperlink"/>
            <w:rFonts w:asciiTheme="majorBidi" w:hAnsiTheme="majorBidi" w:cstheme="majorBidi"/>
            <w:sz w:val="18"/>
            <w:szCs w:val="18"/>
          </w:rPr>
          <w:t>https://www.cbd.int/notifications/2025-077</w:t>
        </w:r>
      </w:hyperlink>
      <w:r>
        <w:t xml:space="preserve"> </w:t>
      </w:r>
    </w:p>
  </w:footnote>
  <w:footnote w:id="6">
    <w:p w14:paraId="1A1B147F" w14:textId="77777777" w:rsidR="00E312A6" w:rsidRPr="00E822AE" w:rsidRDefault="00E312A6" w:rsidP="00E312A6">
      <w:pPr>
        <w:pStyle w:val="FootnoteText"/>
        <w:rPr>
          <w:sz w:val="18"/>
          <w:szCs w:val="18"/>
          <w:lang w:val="en-US"/>
        </w:rPr>
      </w:pPr>
      <w:r w:rsidRPr="00E822AE">
        <w:rPr>
          <w:rStyle w:val="FootnoteReference"/>
          <w:sz w:val="18"/>
          <w:szCs w:val="18"/>
        </w:rPr>
        <w:footnoteRef/>
      </w:r>
      <w:r w:rsidRPr="00E822AE">
        <w:rPr>
          <w:sz w:val="18"/>
          <w:szCs w:val="18"/>
        </w:rPr>
        <w:t xml:space="preserve"> </w:t>
      </w:r>
      <w:r w:rsidRPr="00E822AE">
        <w:rPr>
          <w:rFonts w:asciiTheme="majorBidi" w:hAnsiTheme="majorBidi" w:cstheme="majorBidi"/>
          <w:sz w:val="18"/>
          <w:szCs w:val="18"/>
        </w:rPr>
        <w:t>The status is as follows: 1. Methods not yet developed, and a process needs to be established to develop these; 2. Methods not yet developed, but a process is underway to develop them, led by one or more organizations, to develop them; 3. Methods developed (or partially developed) and tested/piloted, but data not yet widely available (and/or collection not yet underway), (Indicator/methodology maintained by an organization(s)); 4. Methods established, data being compiled, and indicator operational in at least some countries, but further investment in methods ongoing and/or further (data collection required); 5. Methods established, data being compiled and accessible, and indicator operational for most/all countries. (Indicator/methodology maintained by an organization).</w:t>
      </w:r>
    </w:p>
  </w:footnote>
  <w:footnote w:id="7">
    <w:p w14:paraId="6A681A94" w14:textId="0A922BAC" w:rsidR="00F9458B" w:rsidRPr="005B0D1E" w:rsidRDefault="00F9458B" w:rsidP="001D1D0D">
      <w:pPr>
        <w:pStyle w:val="FootnoteText"/>
        <w:rPr>
          <w:rFonts w:asciiTheme="majorBidi" w:hAnsiTheme="majorBidi" w:cstheme="majorBidi"/>
          <w:sz w:val="18"/>
          <w:szCs w:val="18"/>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r w:rsidR="0051387C" w:rsidRPr="005B0D1E">
        <w:rPr>
          <w:rFonts w:asciiTheme="majorBidi" w:hAnsiTheme="majorBidi" w:cstheme="majorBidi"/>
          <w:sz w:val="18"/>
          <w:szCs w:val="18"/>
        </w:rPr>
        <w:t xml:space="preserve">The Red List Index is Sustainable Development Goal indicator 15.5.1. </w:t>
      </w:r>
      <w:r w:rsidR="001D1D0D" w:rsidRPr="005B0D1E">
        <w:rPr>
          <w:rFonts w:asciiTheme="majorBidi" w:hAnsiTheme="majorBidi" w:cstheme="majorBidi"/>
          <w:sz w:val="18"/>
          <w:szCs w:val="18"/>
        </w:rPr>
        <w:t xml:space="preserve">The </w:t>
      </w:r>
      <w:r w:rsidR="004A0FDB" w:rsidRPr="005B0D1E">
        <w:rPr>
          <w:rFonts w:asciiTheme="majorBidi" w:hAnsiTheme="majorBidi" w:cstheme="majorBidi"/>
          <w:sz w:val="18"/>
          <w:szCs w:val="18"/>
        </w:rPr>
        <w:t xml:space="preserve">official </w:t>
      </w:r>
      <w:r w:rsidR="001D1D0D" w:rsidRPr="005B0D1E">
        <w:rPr>
          <w:rFonts w:asciiTheme="majorBidi" w:hAnsiTheme="majorBidi" w:cstheme="majorBidi"/>
          <w:sz w:val="18"/>
          <w:szCs w:val="18"/>
        </w:rPr>
        <w:t xml:space="preserve">SDG metadata is accessible from </w:t>
      </w:r>
      <w:hyperlink r:id="rId6" w:history="1">
        <w:r w:rsidR="001D1D0D" w:rsidRPr="005B0D1E">
          <w:rPr>
            <w:rStyle w:val="Hyperlink"/>
            <w:rFonts w:asciiTheme="majorBidi" w:hAnsiTheme="majorBidi" w:cstheme="majorBidi"/>
            <w:sz w:val="18"/>
            <w:szCs w:val="18"/>
          </w:rPr>
          <w:t>Metadata-15-05-01.pdf (un.org)</w:t>
        </w:r>
      </w:hyperlink>
      <w:r w:rsidR="001D1D0D" w:rsidRPr="005B0D1E">
        <w:rPr>
          <w:rFonts w:asciiTheme="majorBidi" w:hAnsiTheme="majorBidi" w:cstheme="majorBidi"/>
          <w:sz w:val="18"/>
          <w:szCs w:val="18"/>
        </w:rPr>
        <w:t xml:space="preserve">. </w:t>
      </w:r>
      <w:r w:rsidR="0051387C" w:rsidRPr="005B0D1E">
        <w:rPr>
          <w:rFonts w:asciiTheme="majorBidi" w:hAnsiTheme="majorBidi" w:cstheme="majorBidi"/>
          <w:sz w:val="18"/>
          <w:szCs w:val="18"/>
        </w:rPr>
        <w:t xml:space="preserve"> </w:t>
      </w:r>
    </w:p>
  </w:footnote>
  <w:footnote w:id="8">
    <w:p w14:paraId="74157CA5" w14:textId="77777777" w:rsidR="008E1196" w:rsidRPr="005B0D1E" w:rsidRDefault="008E1196" w:rsidP="008E11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lang w:val="en-US"/>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r w:rsidRPr="005B0D1E">
        <w:rPr>
          <w:rFonts w:asciiTheme="majorBidi" w:eastAsia="Garamond" w:hAnsiTheme="majorBidi" w:cstheme="majorBidi"/>
          <w:color w:val="000000" w:themeColor="text1"/>
          <w:sz w:val="18"/>
          <w:szCs w:val="18"/>
        </w:rPr>
        <w:t>Note that further information on progress towards the target can be provided in the free text section of the reporting tool.</w:t>
      </w:r>
    </w:p>
  </w:footnote>
  <w:footnote w:id="9">
    <w:p w14:paraId="1E35FC21" w14:textId="77777777" w:rsidR="0081052F" w:rsidRPr="005B0D1E" w:rsidRDefault="0081052F" w:rsidP="0081052F">
      <w:pPr>
        <w:jc w:val="both"/>
        <w:rPr>
          <w:rFonts w:asciiTheme="majorBidi" w:hAnsiTheme="majorBidi" w:cstheme="majorBidi"/>
          <w:sz w:val="18"/>
          <w:szCs w:val="18"/>
        </w:rPr>
      </w:pPr>
      <w:r w:rsidRPr="005B0D1E">
        <w:rPr>
          <w:rFonts w:asciiTheme="majorBidi" w:hAnsiTheme="majorBidi" w:cstheme="majorBidi"/>
          <w:sz w:val="18"/>
          <w:szCs w:val="18"/>
          <w:vertAlign w:val="superscript"/>
        </w:rPr>
        <w:footnoteRef/>
      </w:r>
      <w:r w:rsidRPr="005B0D1E">
        <w:rPr>
          <w:rFonts w:asciiTheme="majorBidi" w:hAnsiTheme="majorBidi" w:cstheme="majorBidi"/>
          <w:sz w:val="18"/>
          <w:szCs w:val="18"/>
        </w:rPr>
        <w:t xml:space="preserve"> According to the Strategy for the practical implementation of the programme of work on technology transfer and scientific and technological cooperation </w:t>
      </w:r>
      <w:r w:rsidRPr="005B0D1E">
        <w:rPr>
          <w:rFonts w:asciiTheme="majorBidi" w:hAnsiTheme="majorBidi" w:cstheme="majorBidi"/>
          <w:sz w:val="18"/>
          <w:szCs w:val="18"/>
        </w:rPr>
        <w:fldChar w:fldCharType="begin"/>
      </w:r>
      <w:r w:rsidRPr="005B0D1E">
        <w:rPr>
          <w:rFonts w:asciiTheme="majorBidi" w:hAnsiTheme="majorBidi" w:cstheme="majorBidi"/>
          <w:sz w:val="18"/>
          <w:szCs w:val="18"/>
        </w:rPr>
        <w:instrText xml:space="preserve"> ADDIN ZOTERO_ITEM CSL_CITATION {"citationID":"9vZbuHJr","properties":{"formattedCitation":"(17)","plainCitation":"(17)","noteIndex":26},"citationItems":[{"id":7652,"uris":["http://zotero.org/users/12039636/items/ACCPMQE7"],"itemData":{"id":7652,"type":"paper-conference","container-title":"U.N. Doc.","publisher":"UNEP/CBD/COP/DEC/IX/14","title":"DECISION ADOPTED BY THE CONFERENCE OF THE PARTIES TO THE CONVENTION ON BIOLOGICAL DIVERSITY, IX/14. Technology transfer and cooperation","URL":"https://www.cbd.int/doc/decisions/cop-09/cop-09-dec-14-en.pdf","author":[{"literal":"Conference of the Parties to the Convention on Biological Diversity"}],"issued":{"date-parts":[["2008",10]]}}}],"schema":"https://github.com/citation-style-language/schema/raw/master/csl-citation.json"} </w:instrText>
      </w:r>
      <w:r w:rsidRPr="005B0D1E">
        <w:rPr>
          <w:rFonts w:asciiTheme="majorBidi" w:hAnsiTheme="majorBidi" w:cstheme="majorBidi"/>
          <w:sz w:val="18"/>
          <w:szCs w:val="18"/>
        </w:rPr>
        <w:fldChar w:fldCharType="separate"/>
      </w:r>
      <w:r w:rsidRPr="005B0D1E">
        <w:rPr>
          <w:rFonts w:asciiTheme="majorBidi" w:hAnsiTheme="majorBidi" w:cstheme="majorBidi"/>
          <w:sz w:val="18"/>
          <w:szCs w:val="18"/>
        </w:rPr>
        <w:t>(17)</w:t>
      </w:r>
      <w:r w:rsidRPr="005B0D1E">
        <w:rPr>
          <w:rFonts w:asciiTheme="majorBidi" w:hAnsiTheme="majorBidi" w:cstheme="majorBidi"/>
          <w:sz w:val="18"/>
          <w:szCs w:val="18"/>
        </w:rPr>
        <w:fldChar w:fldCharType="end"/>
      </w:r>
      <w:r w:rsidRPr="005B0D1E">
        <w:rPr>
          <w:rFonts w:asciiTheme="majorBidi" w:hAnsiTheme="majorBidi" w:cstheme="majorBidi"/>
          <w:sz w:val="18"/>
          <w:szCs w:val="18"/>
        </w:rPr>
        <w:t xml:space="preserve"> “</w:t>
      </w:r>
      <w:r w:rsidRPr="00FB1598">
        <w:rPr>
          <w:rFonts w:asciiTheme="majorBidi" w:hAnsiTheme="majorBidi" w:cstheme="majorBidi"/>
          <w:i/>
          <w:iCs/>
          <w:sz w:val="18"/>
          <w:szCs w:val="18"/>
        </w:rPr>
        <w:t>The concept of technology as generally understood under the Convention includes both</w:t>
      </w:r>
      <w:r w:rsidRPr="005B0D1E">
        <w:rPr>
          <w:rFonts w:asciiTheme="majorBidi" w:hAnsiTheme="majorBidi" w:cstheme="majorBidi"/>
          <w:sz w:val="18"/>
          <w:szCs w:val="18"/>
        </w:rPr>
        <w:t xml:space="preserve"> “</w:t>
      </w:r>
      <w:r w:rsidRPr="00FB1598">
        <w:rPr>
          <w:rFonts w:asciiTheme="majorBidi" w:hAnsiTheme="majorBidi" w:cstheme="majorBidi"/>
          <w:i/>
          <w:iCs/>
          <w:sz w:val="18"/>
          <w:szCs w:val="18"/>
        </w:rPr>
        <w:t>hard</w:t>
      </w:r>
      <w:r w:rsidRPr="005B0D1E">
        <w:rPr>
          <w:rFonts w:asciiTheme="majorBidi" w:hAnsiTheme="majorBidi" w:cstheme="majorBidi"/>
          <w:sz w:val="18"/>
          <w:szCs w:val="18"/>
        </w:rPr>
        <w:t xml:space="preserve">” </w:t>
      </w:r>
      <w:r w:rsidRPr="00FB1598">
        <w:rPr>
          <w:rFonts w:asciiTheme="majorBidi" w:hAnsiTheme="majorBidi" w:cstheme="majorBidi"/>
          <w:i/>
          <w:iCs/>
          <w:sz w:val="18"/>
          <w:szCs w:val="18"/>
        </w:rPr>
        <w:t>and “soft” technology. The notion of hard technology refers to the actual machinery and other physical hardware that is transferred, while the category of soft technology refers to technological information or know-how. Such “soft” technology is often transferred within long-term scientific and technological cooperation including through joint research and innovation which move ideas from invention to new products, processes and services</w:t>
      </w:r>
      <w:r w:rsidRPr="005B0D1E">
        <w:rPr>
          <w:rFonts w:asciiTheme="majorBidi" w:hAnsiTheme="majorBidi" w:cstheme="majorBidi"/>
          <w:sz w:val="18"/>
          <w:szCs w:val="18"/>
        </w:rPr>
        <w:t>”</w:t>
      </w:r>
    </w:p>
  </w:footnote>
  <w:footnote w:id="10">
    <w:p w14:paraId="73A4894F" w14:textId="7040421C" w:rsidR="003F212A" w:rsidRPr="00ED7E61" w:rsidRDefault="003F212A" w:rsidP="003F212A">
      <w:pPr>
        <w:pStyle w:val="FootnoteText"/>
        <w:rPr>
          <w:rFonts w:asciiTheme="majorBidi" w:hAnsiTheme="majorBidi" w:cstheme="majorBidi"/>
        </w:rPr>
      </w:pPr>
      <w:r>
        <w:rPr>
          <w:rStyle w:val="FootnoteReference"/>
        </w:rPr>
        <w:footnoteRef/>
      </w:r>
      <w:r>
        <w:t xml:space="preserve"> </w:t>
      </w:r>
      <w:r w:rsidRPr="00ED7E61">
        <w:rPr>
          <w:rFonts w:asciiTheme="majorBidi" w:hAnsiTheme="majorBidi" w:cstheme="majorBidi"/>
        </w:rPr>
        <w:t>ODA must have the economic development and welfare of developing countries as its main objective, and be concessional in character (i.e. grants, and concessional loans that are extended on softer terms than market loans). In turn, OOF comprises transactions from governments to developing countries that do not qualify as ODA (i.e. loans extended at market rates). This definition of other official flows excludes official direct export credits.</w:t>
      </w:r>
      <w:r>
        <w:rPr>
          <w:rFonts w:asciiTheme="majorBidi" w:hAnsiTheme="majorBidi" w:cstheme="majorBidi"/>
        </w:rPr>
        <w:t xml:space="preserve"> </w:t>
      </w:r>
    </w:p>
  </w:footnote>
  <w:footnote w:id="11">
    <w:p w14:paraId="1D236C98" w14:textId="35A79FBA" w:rsidR="003F212A" w:rsidRDefault="003F212A">
      <w:pPr>
        <w:pStyle w:val="FootnoteText"/>
      </w:pPr>
      <w:r>
        <w:rPr>
          <w:rStyle w:val="FootnoteReference"/>
        </w:rPr>
        <w:footnoteRef/>
      </w:r>
      <w:r>
        <w:t xml:space="preserve"> </w:t>
      </w:r>
      <w:r w:rsidRPr="0001342B">
        <w:rPr>
          <w:rFonts w:asciiTheme="majorBidi" w:hAnsiTheme="majorBidi" w:cstheme="majorBidi"/>
        </w:rPr>
        <w:t>As of January 2024, the list of TOSSD recipients is the list of ODA recipients as of 2015, when the 2030 Agenda for Sustainable Development was approved, as an interim solution. In 2024, the International Forum on TOSSD will discuss including multidimensional criteria to develop a list of TOSSD recipients.</w:t>
      </w:r>
    </w:p>
  </w:footnote>
  <w:footnote w:id="12">
    <w:p w14:paraId="6540AC1C" w14:textId="16ED54D5" w:rsidR="009753DA" w:rsidRDefault="009753DA">
      <w:pPr>
        <w:pStyle w:val="FootnoteText"/>
      </w:pPr>
      <w:r>
        <w:rPr>
          <w:rStyle w:val="FootnoteReference"/>
        </w:rPr>
        <w:footnoteRef/>
      </w:r>
      <w:r>
        <w:t xml:space="preserve"> </w:t>
      </w:r>
      <w:r w:rsidRPr="00ED7E61">
        <w:rPr>
          <w:rFonts w:asciiTheme="majorBidi" w:hAnsiTheme="majorBidi" w:cstheme="majorBidi"/>
        </w:rPr>
        <w:t>Not all multilateral institutions require core contributions on a regular basis (and thus not all require regular capitalisation by shareholders since they finance themselves through their lending operations and/or capital markets); and not all are able to target capital markets to finance themselves.</w:t>
      </w:r>
    </w:p>
  </w:footnote>
  <w:footnote w:id="13">
    <w:p w14:paraId="1279E07F" w14:textId="681A73A7" w:rsidR="009753DA" w:rsidRPr="00ED7E61" w:rsidRDefault="009753DA">
      <w:pPr>
        <w:pStyle w:val="FootnoteText"/>
        <w:rPr>
          <w:rFonts w:asciiTheme="majorBidi" w:hAnsiTheme="majorBidi" w:cstheme="majorBidi"/>
        </w:rPr>
      </w:pPr>
      <w:r>
        <w:rPr>
          <w:rStyle w:val="FootnoteReference"/>
        </w:rPr>
        <w:footnoteRef/>
      </w:r>
      <w:r>
        <w:t xml:space="preserve"> </w:t>
      </w:r>
      <w:r w:rsidRPr="00ED7E61">
        <w:rPr>
          <w:rFonts w:asciiTheme="majorBidi" w:hAnsiTheme="majorBidi" w:cstheme="majorBidi"/>
        </w:rPr>
        <w:t xml:space="preserve">The CEP was adopted in March 2024 by UNSD and brings together the CEPA and </w:t>
      </w:r>
      <w:proofErr w:type="spellStart"/>
      <w:r w:rsidRPr="00ED7E61">
        <w:rPr>
          <w:rFonts w:asciiTheme="majorBidi" w:hAnsiTheme="majorBidi" w:cstheme="majorBidi"/>
        </w:rPr>
        <w:t>CReMA</w:t>
      </w:r>
      <w:proofErr w:type="spellEnd"/>
      <w:r w:rsidRPr="00ED7E61">
        <w:rPr>
          <w:rFonts w:asciiTheme="majorBidi" w:hAnsiTheme="majorBidi" w:cstheme="majorBidi"/>
        </w:rPr>
        <w:t xml:space="preserve">. It has a more detailed structure, and more detailed and clearer explanatory notes than CEPA and </w:t>
      </w:r>
      <w:proofErr w:type="spellStart"/>
      <w:r w:rsidRPr="00ED7E61">
        <w:rPr>
          <w:rFonts w:asciiTheme="majorBidi" w:hAnsiTheme="majorBidi" w:cstheme="majorBidi"/>
        </w:rPr>
        <w:t>CreMA</w:t>
      </w:r>
      <w:proofErr w:type="spellEnd"/>
      <w:r w:rsidRPr="00ED7E61">
        <w:rPr>
          <w:rFonts w:asciiTheme="majorBidi" w:hAnsiTheme="majorBidi" w:cstheme="majorBidi"/>
        </w:rPr>
        <w:t>, thus being an improvement for practical use. It is the first unified classification of SEEA environmental protection and resource management. It is the first statistical classification designed to be used for activities, products or expenditures. It is the first statistical classification of activities or products that allows mapping to “</w:t>
      </w:r>
      <w:r w:rsidRPr="00FB1598">
        <w:rPr>
          <w:rFonts w:asciiTheme="majorBidi" w:hAnsiTheme="majorBidi" w:cstheme="majorBidi"/>
          <w:i/>
          <w:iCs/>
        </w:rPr>
        <w:t>policy areas</w:t>
      </w:r>
      <w:r w:rsidRPr="00ED7E61">
        <w:rPr>
          <w:rFonts w:asciiTheme="majorBidi" w:hAnsiTheme="majorBidi" w:cstheme="majorBidi"/>
        </w:rPr>
        <w:t>” including for biodiversity, climate change mitigation and circular economy. It therefore allows for SEEA-based applications for those policy areas.</w:t>
      </w:r>
    </w:p>
  </w:footnote>
  <w:footnote w:id="14">
    <w:p w14:paraId="2270A774" w14:textId="4AED4BC9" w:rsidR="00A35D79" w:rsidRPr="00ED7E61" w:rsidRDefault="00A35D79">
      <w:pPr>
        <w:pStyle w:val="FootnoteText"/>
        <w:rPr>
          <w:rFonts w:asciiTheme="majorBidi" w:hAnsiTheme="majorBidi" w:cstheme="majorBidi"/>
        </w:rPr>
      </w:pPr>
      <w:r w:rsidRPr="00ED7E61">
        <w:rPr>
          <w:rStyle w:val="FootnoteReference"/>
          <w:rFonts w:asciiTheme="majorBidi" w:hAnsiTheme="majorBidi" w:cstheme="majorBidi"/>
        </w:rPr>
        <w:footnoteRef/>
      </w:r>
      <w:r w:rsidRPr="00ED7E61">
        <w:rPr>
          <w:rFonts w:asciiTheme="majorBidi" w:hAnsiTheme="majorBidi" w:cstheme="majorBidi"/>
        </w:rPr>
        <w:t xml:space="preserve"> International private philanthropies reporting to the OECD are institutionalized philanthropic organizations that are donors of finance from private sources (as opposed to channels of financing from the official sector or other foundations. Financing from “</w:t>
      </w:r>
      <w:r w:rsidRPr="00FB1598">
        <w:rPr>
          <w:rFonts w:asciiTheme="majorBidi" w:hAnsiTheme="majorBidi" w:cstheme="majorBidi"/>
          <w:i/>
          <w:iCs/>
        </w:rPr>
        <w:t>foundations</w:t>
      </w:r>
      <w:r w:rsidRPr="00ED7E61">
        <w:rPr>
          <w:rFonts w:asciiTheme="majorBidi" w:hAnsiTheme="majorBidi" w:cstheme="majorBidi"/>
        </w:rPr>
        <w:t>” that channel resources of other private and official providers is not tracked.</w:t>
      </w:r>
    </w:p>
  </w:footnote>
  <w:footnote w:id="15">
    <w:p w14:paraId="69D643A2" w14:textId="77777777" w:rsidR="0013281A" w:rsidRPr="005B0D1E" w:rsidRDefault="0013281A" w:rsidP="001328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18"/>
          <w:szCs w:val="18"/>
          <w:lang w:val="en-US"/>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r w:rsidRPr="000E5362">
        <w:rPr>
          <w:rFonts w:asciiTheme="majorBidi" w:hAnsiTheme="majorBidi" w:cstheme="majorBidi"/>
          <w:color w:val="000000" w:themeColor="text1"/>
          <w:sz w:val="18"/>
          <w:szCs w:val="18"/>
          <w:lang w:val="en-US"/>
        </w:rPr>
        <w:t>F</w:t>
      </w:r>
      <w:r w:rsidRPr="005B0D1E">
        <w:rPr>
          <w:rFonts w:asciiTheme="majorBidi" w:hAnsiTheme="majorBidi" w:cstheme="majorBidi"/>
          <w:color w:val="000000" w:themeColor="text1"/>
          <w:sz w:val="18"/>
          <w:szCs w:val="18"/>
          <w:lang w:val="en-US"/>
        </w:rPr>
        <w:t>urther information on progress towards the target can be provided in the free text section of the reporting tool.</w:t>
      </w:r>
    </w:p>
  </w:footnote>
  <w:footnote w:id="16">
    <w:p w14:paraId="5BED810E" w14:textId="77777777" w:rsidR="0013281A" w:rsidRPr="005B0D1E" w:rsidRDefault="0013281A" w:rsidP="001328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18"/>
          <w:szCs w:val="18"/>
          <w:lang w:val="en-US"/>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r w:rsidRPr="005B0D1E">
        <w:rPr>
          <w:rFonts w:asciiTheme="majorBidi" w:hAnsiTheme="majorBidi" w:cstheme="majorBidi"/>
          <w:color w:val="000000" w:themeColor="text1"/>
          <w:sz w:val="18"/>
          <w:szCs w:val="18"/>
          <w:lang w:val="en-US"/>
        </w:rPr>
        <w:t>If a nation is a landlocked state, all questions related to coastal and marine spatial planning will be ignored in the aggregation process of answers.</w:t>
      </w:r>
    </w:p>
    <w:p w14:paraId="417CE2CF" w14:textId="77777777" w:rsidR="0013281A" w:rsidRPr="005B0D1E" w:rsidRDefault="0013281A" w:rsidP="001328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18"/>
          <w:szCs w:val="18"/>
          <w:lang w:val="en-US"/>
        </w:rPr>
      </w:pPr>
    </w:p>
    <w:p w14:paraId="6F15E82D" w14:textId="77777777" w:rsidR="0013281A" w:rsidRPr="005B0D1E" w:rsidRDefault="0013281A" w:rsidP="0013281A">
      <w:pPr>
        <w:pStyle w:val="FootnoteText"/>
        <w:rPr>
          <w:rFonts w:asciiTheme="majorBidi" w:hAnsiTheme="majorBidi" w:cstheme="majorBidi"/>
          <w:sz w:val="18"/>
          <w:szCs w:val="18"/>
          <w:lang w:val="en-US"/>
        </w:rPr>
      </w:pPr>
    </w:p>
  </w:footnote>
  <w:footnote w:id="17">
    <w:p w14:paraId="6720E1ED" w14:textId="77777777" w:rsidR="008B4FF9" w:rsidRDefault="008B4FF9" w:rsidP="008B4FF9">
      <w:pPr>
        <w:pStyle w:val="FootnoteText"/>
      </w:pPr>
      <w:r>
        <w:rPr>
          <w:rStyle w:val="FootnoteReference"/>
        </w:rPr>
        <w:footnoteRef/>
      </w:r>
      <w:r>
        <w:t xml:space="preserve"> https://ferm.fao.org/</w:t>
      </w:r>
    </w:p>
  </w:footnote>
  <w:footnote w:id="18">
    <w:p w14:paraId="73883BD4" w14:textId="77777777" w:rsidR="008B4FF9" w:rsidRDefault="008B4FF9" w:rsidP="008B4FF9">
      <w:pPr>
        <w:pStyle w:val="FootnoteText"/>
      </w:pPr>
      <w:r>
        <w:rPr>
          <w:rStyle w:val="FootnoteReference"/>
        </w:rPr>
        <w:footnoteRef/>
      </w:r>
      <w:r>
        <w:t xml:space="preserve"> API documentation can be requested from restoration-monitoring@fao.org.</w:t>
      </w:r>
    </w:p>
  </w:footnote>
  <w:footnote w:id="19">
    <w:p w14:paraId="4C6C2216" w14:textId="77777777" w:rsidR="008B4FF9" w:rsidRDefault="008B4FF9" w:rsidP="008B4FF9">
      <w:pPr>
        <w:pStyle w:val="FootnoteText"/>
      </w:pPr>
      <w:r>
        <w:rPr>
          <w:rStyle w:val="FootnoteReference"/>
        </w:rPr>
        <w:footnoteRef/>
      </w:r>
      <w:r>
        <w:t xml:space="preserve"> Data extracted from Global Forest Resources Assessment (FRA) 2025, Section 3c Forest restoration, parameter ‘hectares of forest restored to date’ (</w:t>
      </w:r>
      <w:hyperlink r:id="rId7" w:history="1">
        <w:r>
          <w:rPr>
            <w:rStyle w:val="Hyperlink"/>
          </w:rPr>
          <w:t>https://fra-data.fao.org/</w:t>
        </w:r>
      </w:hyperlink>
      <w:r>
        <w:t>).</w:t>
      </w:r>
    </w:p>
  </w:footnote>
  <w:footnote w:id="20">
    <w:p w14:paraId="6B647963" w14:textId="77777777" w:rsidR="008B4FF9" w:rsidRDefault="008B4FF9" w:rsidP="008B4FF9">
      <w:pPr>
        <w:pStyle w:val="FootnoteText"/>
      </w:pPr>
      <w:r>
        <w:rPr>
          <w:rStyle w:val="FootnoteReference"/>
        </w:rPr>
        <w:footnoteRef/>
      </w:r>
      <w:r>
        <w:t xml:space="preserve"> Data generated based on: </w:t>
      </w:r>
      <w:proofErr w:type="spellStart"/>
      <w:r>
        <w:t>i</w:t>
      </w:r>
      <w:proofErr w:type="spellEnd"/>
      <w:r>
        <w:t>) data of all Ramsar Sites exported from the Ramsar Sites Information Service (https://rsis.ramsar.org/), containing general information such as the site name, ID, country and region, wetland type, site area in hectares, etc.; and ii) updated data collected from Parties relating to restoration activities undertaken or planned at the level of the entire site or part of the site.</w:t>
      </w:r>
    </w:p>
  </w:footnote>
  <w:footnote w:id="21">
    <w:p w14:paraId="0891AB2D" w14:textId="77777777" w:rsidR="008B4FF9" w:rsidRDefault="008B4FF9" w:rsidP="008B4FF9">
      <w:pPr>
        <w:pStyle w:val="FootnoteText"/>
      </w:pPr>
      <w:r>
        <w:rPr>
          <w:rStyle w:val="FootnoteReference"/>
        </w:rPr>
        <w:footnoteRef/>
      </w:r>
      <w:r>
        <w:t xml:space="preserve"> Including unofficial data platforms such as: UNEP-WCMC's Nature Commitment, Society of Ecological Restoration’s Restoration Resource Center, the Kelp Forest Alliance’s restoration project database, etc.</w:t>
      </w:r>
    </w:p>
  </w:footnote>
  <w:footnote w:id="22">
    <w:p w14:paraId="57970FD5" w14:textId="77777777" w:rsidR="0015190C" w:rsidRDefault="0015190C" w:rsidP="0015190C">
      <w:pPr>
        <w:pStyle w:val="FootnoteText"/>
      </w:pPr>
      <w:r>
        <w:rPr>
          <w:rStyle w:val="FootnoteReference"/>
        </w:rPr>
        <w:footnoteRef/>
      </w:r>
      <w:r>
        <w:t xml:space="preserve"> Including unofficial data platforms such as UNEP-WCMC's Nature Commitment, SER’s Restoration Resource Center, and the Kelp Forest Alliance’s project database.</w:t>
      </w:r>
    </w:p>
  </w:footnote>
  <w:footnote w:id="23">
    <w:p w14:paraId="70AADAB5" w14:textId="54AE3CBF" w:rsidR="00A6636F" w:rsidRPr="005B0D1E" w:rsidRDefault="00A6636F" w:rsidP="00C82C08">
      <w:pPr>
        <w:pStyle w:val="FootnoteText"/>
        <w:rPr>
          <w:rFonts w:asciiTheme="majorBidi" w:hAnsiTheme="majorBidi" w:cstheme="majorBidi"/>
          <w:sz w:val="18"/>
          <w:szCs w:val="18"/>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r w:rsidR="00AB417B" w:rsidRPr="005B0D1E">
        <w:rPr>
          <w:rFonts w:asciiTheme="majorBidi" w:hAnsiTheme="majorBidi" w:cstheme="majorBidi"/>
          <w:sz w:val="18"/>
          <w:szCs w:val="18"/>
        </w:rPr>
        <w:t xml:space="preserve">The Proportion of fish stocks within biologically sustainable levels is Sustainable Development Goal indicator </w:t>
      </w:r>
      <w:r w:rsidR="00C36E8B" w:rsidRPr="005B0D1E">
        <w:rPr>
          <w:rFonts w:asciiTheme="majorBidi" w:hAnsiTheme="majorBidi" w:cstheme="majorBidi"/>
          <w:sz w:val="18"/>
          <w:szCs w:val="18"/>
        </w:rPr>
        <w:t>14.4.1</w:t>
      </w:r>
      <w:r w:rsidR="00AB417B" w:rsidRPr="005B0D1E">
        <w:rPr>
          <w:rFonts w:asciiTheme="majorBidi" w:hAnsiTheme="majorBidi" w:cstheme="majorBidi"/>
          <w:sz w:val="18"/>
          <w:szCs w:val="18"/>
        </w:rPr>
        <w:t xml:space="preserve"> The official SDG metadata is accessible from </w:t>
      </w:r>
      <w:hyperlink r:id="rId8" w:history="1">
        <w:r w:rsidR="00C82C08" w:rsidRPr="005B0D1E">
          <w:rPr>
            <w:rStyle w:val="Hyperlink"/>
            <w:rFonts w:asciiTheme="majorBidi" w:hAnsiTheme="majorBidi" w:cstheme="majorBidi"/>
            <w:sz w:val="18"/>
            <w:szCs w:val="18"/>
          </w:rPr>
          <w:t>Metadata-14-04-01.pdf (un.org)</w:t>
        </w:r>
      </w:hyperlink>
    </w:p>
  </w:footnote>
  <w:footnote w:id="24">
    <w:p w14:paraId="55F15976" w14:textId="77777777" w:rsidR="000A7837" w:rsidRPr="005B0D1E" w:rsidRDefault="000A7837" w:rsidP="000A78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18"/>
          <w:szCs w:val="18"/>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r w:rsidRPr="005B0D1E">
        <w:rPr>
          <w:rFonts w:asciiTheme="majorBidi" w:eastAsia="Garamond" w:hAnsiTheme="majorBidi" w:cstheme="majorBidi"/>
          <w:color w:val="000000" w:themeColor="text1"/>
          <w:sz w:val="18"/>
          <w:szCs w:val="18"/>
        </w:rPr>
        <w:t>Further information on progress towards the target can be provided in the free text section of the reporting tool.</w:t>
      </w:r>
    </w:p>
    <w:p w14:paraId="2701DE28" w14:textId="77777777" w:rsidR="000A7837" w:rsidRPr="005B0D1E" w:rsidRDefault="000A7837" w:rsidP="000A7837">
      <w:pPr>
        <w:pStyle w:val="FootnoteText"/>
        <w:rPr>
          <w:rFonts w:asciiTheme="majorBidi" w:hAnsiTheme="majorBidi" w:cstheme="majorBidi"/>
          <w:sz w:val="18"/>
          <w:szCs w:val="18"/>
        </w:rPr>
      </w:pPr>
    </w:p>
  </w:footnote>
  <w:footnote w:id="25">
    <w:p w14:paraId="416B2F97" w14:textId="2199A21C" w:rsidR="00CE2041" w:rsidRPr="00921920" w:rsidRDefault="00CE2041" w:rsidP="00921920">
      <w:pPr>
        <w:pStyle w:val="Heading3"/>
        <w:rPr>
          <w:b w:val="0"/>
          <w:bCs/>
          <w:sz w:val="18"/>
          <w:szCs w:val="18"/>
        </w:rPr>
      </w:pPr>
      <w:r w:rsidRPr="005B0D1E">
        <w:rPr>
          <w:rStyle w:val="FootnoteReference"/>
          <w:b w:val="0"/>
          <w:bCs/>
          <w:sz w:val="18"/>
          <w:szCs w:val="18"/>
        </w:rPr>
        <w:footnoteRef/>
      </w:r>
      <w:r w:rsidRPr="005B0D1E">
        <w:rPr>
          <w:b w:val="0"/>
          <w:bCs/>
          <w:sz w:val="18"/>
          <w:szCs w:val="18"/>
        </w:rPr>
        <w:t xml:space="preserve"> </w:t>
      </w:r>
      <w:r w:rsidR="00DD72A3" w:rsidRPr="005B0D1E">
        <w:rPr>
          <w:b w:val="0"/>
          <w:bCs/>
          <w:sz w:val="18"/>
          <w:szCs w:val="18"/>
        </w:rPr>
        <w:t xml:space="preserve">The </w:t>
      </w:r>
      <w:r w:rsidR="00F55032" w:rsidRPr="005B0D1E">
        <w:rPr>
          <w:b w:val="0"/>
          <w:bCs/>
          <w:sz w:val="18"/>
          <w:szCs w:val="18"/>
        </w:rPr>
        <w:t xml:space="preserve">index of coastal eutrophication potential is </w:t>
      </w:r>
      <w:r w:rsidR="00DD72A3" w:rsidRPr="005B0D1E">
        <w:rPr>
          <w:b w:val="0"/>
          <w:bCs/>
          <w:sz w:val="18"/>
          <w:szCs w:val="18"/>
        </w:rPr>
        <w:t>Sustainable Development Goal indicator 14.</w:t>
      </w:r>
      <w:r w:rsidR="001B5451" w:rsidRPr="005B0D1E">
        <w:rPr>
          <w:b w:val="0"/>
          <w:bCs/>
          <w:sz w:val="18"/>
          <w:szCs w:val="18"/>
        </w:rPr>
        <w:t>1</w:t>
      </w:r>
      <w:r w:rsidR="00DD72A3" w:rsidRPr="005B0D1E">
        <w:rPr>
          <w:b w:val="0"/>
          <w:bCs/>
          <w:sz w:val="18"/>
          <w:szCs w:val="18"/>
        </w:rPr>
        <w:t>.1</w:t>
      </w:r>
      <w:r w:rsidR="001B5451" w:rsidRPr="005B0D1E">
        <w:rPr>
          <w:b w:val="0"/>
          <w:bCs/>
          <w:sz w:val="18"/>
          <w:szCs w:val="18"/>
        </w:rPr>
        <w:t xml:space="preserve">(a). </w:t>
      </w:r>
      <w:r w:rsidR="00DD72A3" w:rsidRPr="005B0D1E">
        <w:rPr>
          <w:b w:val="0"/>
          <w:bCs/>
          <w:sz w:val="18"/>
          <w:szCs w:val="18"/>
        </w:rPr>
        <w:t xml:space="preserve"> The official SDG metadata is accessible from </w:t>
      </w:r>
      <w:hyperlink r:id="rId9" w:history="1">
        <w:r w:rsidR="00F9255D" w:rsidRPr="005B0D1E">
          <w:rPr>
            <w:rStyle w:val="Hyperlink"/>
            <w:b w:val="0"/>
            <w:bCs/>
            <w:sz w:val="18"/>
            <w:szCs w:val="18"/>
          </w:rPr>
          <w:t>Metadata-14-01-01.pdf (un.org)</w:t>
        </w:r>
      </w:hyperlink>
    </w:p>
  </w:footnote>
  <w:footnote w:id="26">
    <w:p w14:paraId="0C13F45C" w14:textId="77777777" w:rsidR="004C332E" w:rsidRPr="005B0D1E" w:rsidRDefault="004C332E" w:rsidP="004C3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18"/>
          <w:szCs w:val="18"/>
          <w:lang w:val="en-US"/>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F</w:t>
      </w:r>
      <w:r w:rsidRPr="005B0D1E">
        <w:rPr>
          <w:rFonts w:asciiTheme="majorBidi" w:eastAsia="Garamond" w:hAnsiTheme="majorBidi" w:cstheme="majorBidi"/>
          <w:color w:val="000000" w:themeColor="text1"/>
          <w:sz w:val="18"/>
          <w:szCs w:val="18"/>
          <w:lang w:val="en-US"/>
        </w:rPr>
        <w:t>or landlocked countries “</w:t>
      </w:r>
      <w:r w:rsidRPr="00FB1598">
        <w:rPr>
          <w:rFonts w:asciiTheme="majorBidi" w:eastAsia="Garamond" w:hAnsiTheme="majorBidi" w:cstheme="majorBidi"/>
          <w:i/>
          <w:iCs/>
          <w:color w:val="000000" w:themeColor="text1"/>
          <w:sz w:val="18"/>
          <w:szCs w:val="18"/>
          <w:lang w:val="en-US"/>
        </w:rPr>
        <w:t>ocean acidification</w:t>
      </w:r>
      <w:r w:rsidRPr="005B0D1E">
        <w:rPr>
          <w:rFonts w:asciiTheme="majorBidi" w:eastAsia="Garamond" w:hAnsiTheme="majorBidi" w:cstheme="majorBidi"/>
          <w:color w:val="000000" w:themeColor="text1"/>
          <w:sz w:val="18"/>
          <w:szCs w:val="18"/>
          <w:lang w:val="en-US"/>
        </w:rPr>
        <w:t>” as an answer to 8.1 will be considered not applicable. Additionally, questions 8.4 and 8.6 will be considered not applicable and only policies and action plans on the impacts of climate change are to be considered relevant for answering 8.7</w:t>
      </w:r>
    </w:p>
  </w:footnote>
  <w:footnote w:id="27">
    <w:p w14:paraId="749215F5" w14:textId="77777777" w:rsidR="004C332E" w:rsidRPr="00181CB0" w:rsidRDefault="004C332E" w:rsidP="004C3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18"/>
          <w:szCs w:val="18"/>
          <w:lang w:val="en-US"/>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r w:rsidRPr="005B0D1E">
        <w:rPr>
          <w:rFonts w:asciiTheme="majorBidi" w:eastAsia="Garamond" w:hAnsiTheme="majorBidi" w:cstheme="majorBidi"/>
          <w:color w:val="000000" w:themeColor="text1"/>
          <w:sz w:val="18"/>
          <w:szCs w:val="18"/>
        </w:rPr>
        <w:t>Further information on progress towards the target can be provided in the free text section of the reporting tool.</w:t>
      </w:r>
    </w:p>
  </w:footnote>
  <w:footnote w:id="28">
    <w:p w14:paraId="05CBEE03" w14:textId="754D640B" w:rsidR="008D3953" w:rsidRPr="00FB1598" w:rsidRDefault="008D3953">
      <w:pPr>
        <w:pStyle w:val="FootnoteText"/>
        <w:rPr>
          <w:lang w:val="en-GB"/>
        </w:rPr>
      </w:pPr>
      <w:r>
        <w:rPr>
          <w:rStyle w:val="FootnoteReference"/>
        </w:rPr>
        <w:footnoteRef/>
      </w:r>
      <w:r>
        <w:t xml:space="preserve"> </w:t>
      </w:r>
      <w:hyperlink r:id="rId10" w:anchor="gid=2005954972" w:history="1">
        <w:r w:rsidRPr="008D3953">
          <w:rPr>
            <w:rStyle w:val="Hyperlink"/>
          </w:rPr>
          <w:t>2. Indicators Research Spreadsheet - Google Sheets</w:t>
        </w:r>
      </w:hyperlink>
      <w:r>
        <w:t xml:space="preserve"> </w:t>
      </w:r>
    </w:p>
  </w:footnote>
  <w:footnote w:id="29">
    <w:p w14:paraId="036DAA13" w14:textId="77777777" w:rsidR="00B16690" w:rsidRDefault="00B16690" w:rsidP="00B16690">
      <w:pPr>
        <w:pStyle w:val="FootnoteText"/>
        <w:rPr>
          <w:rFonts w:asciiTheme="minorHAnsi" w:hAnsiTheme="minorHAnsi" w:cstheme="minorBidi"/>
          <w:lang w:val="en-US"/>
        </w:rPr>
      </w:pPr>
      <w:r>
        <w:rPr>
          <w:rStyle w:val="FootnoteReference"/>
        </w:rPr>
        <w:footnoteRef/>
      </w:r>
      <w:r>
        <w:t xml:space="preserve"> The data produced by the Indigenous Navigator represent the realities and experiences of the Indigenous communities and the organisations which have completed the surveys. These data have been reviewed and validated, before being published. Please note, that the data do not reflect a statistical representation of the situation </w:t>
      </w:r>
      <w:proofErr w:type="gramStart"/>
      <w:r>
        <w:t>in a given</w:t>
      </w:r>
      <w:proofErr w:type="gramEnd"/>
      <w:r>
        <w:t xml:space="preserve"> country or community, but rather the specific situation(s) as reported by communities and partner organisations. </w:t>
      </w:r>
    </w:p>
  </w:footnote>
  <w:footnote w:id="30">
    <w:p w14:paraId="793DC3AB" w14:textId="77777777" w:rsidR="00835178" w:rsidRDefault="00835178" w:rsidP="00835178">
      <w:pPr>
        <w:pStyle w:val="FootnoteText"/>
        <w:rPr>
          <w:rFonts w:asciiTheme="minorHAnsi" w:hAnsiTheme="minorHAnsi" w:cstheme="minorBidi"/>
          <w:lang w:val="en-US"/>
        </w:rPr>
      </w:pPr>
      <w:r>
        <w:rPr>
          <w:rStyle w:val="FootnoteReference"/>
        </w:rPr>
        <w:footnoteRef/>
      </w:r>
      <w:r>
        <w:t xml:space="preserve"> </w:t>
      </w:r>
      <w:r>
        <w:rPr>
          <w:lang w:val="en-US"/>
        </w:rPr>
        <w:t xml:space="preserve">See the Indigenous Navigator </w:t>
      </w:r>
      <w:proofErr w:type="gramStart"/>
      <w:r>
        <w:rPr>
          <w:lang w:val="en-US"/>
        </w:rPr>
        <w:t>submissions</w:t>
      </w:r>
      <w:proofErr w:type="gramEnd"/>
      <w:r>
        <w:rPr>
          <w:lang w:val="en-US"/>
        </w:rPr>
        <w:t xml:space="preserve"> on Methodology and Data.</w:t>
      </w:r>
    </w:p>
  </w:footnote>
  <w:footnote w:id="31">
    <w:p w14:paraId="3724FF55" w14:textId="77777777" w:rsidR="00244419" w:rsidRPr="005B0D1E" w:rsidRDefault="00244419" w:rsidP="00244419">
      <w:pPr>
        <w:pStyle w:val="FootnoteText"/>
        <w:rPr>
          <w:rFonts w:asciiTheme="majorBidi" w:hAnsiTheme="majorBidi" w:cstheme="majorBidi"/>
          <w:sz w:val="18"/>
          <w:szCs w:val="18"/>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The proportion of agricultural area under productive and sustainable agriculture is sustainable Development Goal indicator 2.4.1. The official SDG metadata is accessible from </w:t>
      </w:r>
      <w:hyperlink r:id="rId11" w:history="1">
        <w:r w:rsidRPr="005B0D1E">
          <w:rPr>
            <w:rStyle w:val="Hyperlink"/>
            <w:rFonts w:asciiTheme="majorBidi" w:hAnsiTheme="majorBidi" w:cstheme="majorBidi"/>
            <w:sz w:val="18"/>
            <w:szCs w:val="18"/>
          </w:rPr>
          <w:t>Metadata-02-04-01.pdf (un.org)</w:t>
        </w:r>
      </w:hyperlink>
      <w:r w:rsidRPr="005B0D1E">
        <w:rPr>
          <w:rFonts w:asciiTheme="majorBidi" w:hAnsiTheme="majorBidi" w:cstheme="majorBidi"/>
          <w:sz w:val="18"/>
          <w:szCs w:val="18"/>
        </w:rPr>
        <w:t xml:space="preserve">. The proxy metadata is accessible from  </w:t>
      </w:r>
      <w:hyperlink r:id="rId12" w:history="1">
        <w:r w:rsidRPr="005B0D1E">
          <w:rPr>
            <w:rStyle w:val="Hyperlink"/>
            <w:rFonts w:asciiTheme="majorBidi" w:hAnsiTheme="majorBidi" w:cstheme="majorBidi"/>
            <w:sz w:val="18"/>
            <w:szCs w:val="18"/>
          </w:rPr>
          <w:t>Metadata-02-04-01proxy.pdf (un.org)</w:t>
        </w:r>
      </w:hyperlink>
    </w:p>
  </w:footnote>
  <w:footnote w:id="32">
    <w:p w14:paraId="21643F6A" w14:textId="77777777" w:rsidR="00244419" w:rsidRPr="005B0D1E" w:rsidRDefault="00244419" w:rsidP="00244419">
      <w:pPr>
        <w:pStyle w:val="FootnoteText"/>
        <w:keepLines/>
        <w:rPr>
          <w:rFonts w:asciiTheme="majorBidi" w:hAnsiTheme="majorBidi" w:cstheme="majorBidi"/>
          <w:sz w:val="18"/>
          <w:szCs w:val="18"/>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The 11 sub-indicators and the methodology to calculate each of them are described in the official SDG 2.4.1 Metadata sheet (</w:t>
      </w:r>
      <w:hyperlink r:id="rId13" w:history="1">
        <w:r w:rsidRPr="005B0D1E">
          <w:rPr>
            <w:rStyle w:val="Hyperlink"/>
            <w:rFonts w:asciiTheme="majorBidi" w:hAnsiTheme="majorBidi" w:cstheme="majorBidi"/>
            <w:sz w:val="18"/>
            <w:szCs w:val="18"/>
          </w:rPr>
          <w:t>https://unstats.un.org/sdgs/metadata/files/Metadata-02-04-01.pdf</w:t>
        </w:r>
      </w:hyperlink>
      <w:r w:rsidRPr="005B0D1E">
        <w:rPr>
          <w:rFonts w:asciiTheme="majorBidi" w:hAnsiTheme="majorBidi" w:cstheme="majorBidi"/>
          <w:sz w:val="18"/>
          <w:szCs w:val="18"/>
        </w:rPr>
        <w:t xml:space="preserve">). The detailed description of the development process for the </w:t>
      </w:r>
      <w:r>
        <w:rPr>
          <w:rFonts w:asciiTheme="majorBidi" w:hAnsiTheme="majorBidi" w:cstheme="majorBidi"/>
          <w:sz w:val="18"/>
          <w:szCs w:val="18"/>
        </w:rPr>
        <w:t>e</w:t>
      </w:r>
      <w:r w:rsidRPr="005B0D1E">
        <w:rPr>
          <w:rFonts w:asciiTheme="majorBidi" w:hAnsiTheme="majorBidi" w:cstheme="majorBidi"/>
          <w:sz w:val="18"/>
          <w:szCs w:val="18"/>
        </w:rPr>
        <w:t>leven sub-indicators is described in the Methodological note (</w:t>
      </w:r>
      <w:hyperlink r:id="rId14" w:history="1">
        <w:r w:rsidRPr="00F233CE">
          <w:rPr>
            <w:rStyle w:val="Hyperlink"/>
            <w:rFonts w:asciiTheme="majorBidi" w:hAnsiTheme="majorBidi" w:cstheme="majorBidi"/>
            <w:sz w:val="18"/>
            <w:szCs w:val="18"/>
          </w:rPr>
          <w:t>https://openknowledge.fao.org/server/api/core/bitstreams/e344e3ee-4630-49c1-98a8-b1f5df3dcb8f/content</w:t>
        </w:r>
      </w:hyperlink>
      <w:r w:rsidRPr="005B0D1E">
        <w:rPr>
          <w:rFonts w:asciiTheme="majorBidi" w:hAnsiTheme="majorBidi" w:cstheme="majorBidi"/>
          <w:sz w:val="18"/>
          <w:szCs w:val="18"/>
        </w:rPr>
        <w:t>)</w:t>
      </w:r>
      <w:r>
        <w:rPr>
          <w:rFonts w:asciiTheme="majorBidi" w:hAnsiTheme="majorBidi" w:cstheme="majorBidi"/>
          <w:sz w:val="18"/>
          <w:szCs w:val="18"/>
        </w:rPr>
        <w:t xml:space="preserve"> </w:t>
      </w:r>
    </w:p>
  </w:footnote>
  <w:footnote w:id="33">
    <w:p w14:paraId="1DE18FB0" w14:textId="77777777" w:rsidR="00244419" w:rsidRPr="005B0D1E" w:rsidRDefault="00244419" w:rsidP="00244419">
      <w:pPr>
        <w:pStyle w:val="FootnoteText"/>
        <w:rPr>
          <w:rFonts w:asciiTheme="majorBidi" w:hAnsiTheme="majorBidi" w:cstheme="majorBidi"/>
          <w:sz w:val="18"/>
          <w:szCs w:val="18"/>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hyperlink r:id="rId15" w:history="1">
        <w:r w:rsidRPr="00F233CE">
          <w:rPr>
            <w:rStyle w:val="Hyperlink"/>
            <w:rFonts w:asciiTheme="majorBidi" w:hAnsiTheme="majorBidi" w:cstheme="majorBidi"/>
            <w:sz w:val="18"/>
            <w:szCs w:val="18"/>
          </w:rPr>
          <w:t>https://openknowledge.fao.org/server/api/core/bitstreams/e344e3ee-4630-49c1-98a8-b1f5df3dcb8f/content</w:t>
        </w:r>
      </w:hyperlink>
      <w:r>
        <w:rPr>
          <w:rFonts w:asciiTheme="majorBidi" w:hAnsiTheme="majorBidi" w:cstheme="majorBidi"/>
          <w:sz w:val="18"/>
          <w:szCs w:val="18"/>
        </w:rPr>
        <w:t xml:space="preserve"> </w:t>
      </w:r>
    </w:p>
  </w:footnote>
  <w:footnote w:id="34">
    <w:p w14:paraId="71522608" w14:textId="77777777" w:rsidR="00244419" w:rsidRPr="00FB1598" w:rsidRDefault="00244419" w:rsidP="00244419">
      <w:pPr>
        <w:pStyle w:val="FootnoteText"/>
        <w:rPr>
          <w:rFonts w:asciiTheme="majorBidi" w:hAnsiTheme="majorBidi" w:cstheme="majorBidi"/>
        </w:rPr>
      </w:pPr>
      <w:r>
        <w:rPr>
          <w:rStyle w:val="FootnoteReference"/>
        </w:rPr>
        <w:footnoteRef/>
      </w:r>
      <w:r w:rsidRPr="00FB1598">
        <w:rPr>
          <w:rFonts w:asciiTheme="majorBidi" w:hAnsiTheme="majorBidi" w:cstheme="majorBidi"/>
        </w:rPr>
        <w:t xml:space="preserve">See the SDG metadata for SDG indictor 2.4.1 accessible from  </w:t>
      </w:r>
      <w:hyperlink r:id="rId16" w:history="1">
        <w:r w:rsidRPr="00FB1598">
          <w:rPr>
            <w:rStyle w:val="Hyperlink"/>
            <w:rFonts w:asciiTheme="majorBidi" w:hAnsiTheme="majorBidi" w:cstheme="majorBidi"/>
          </w:rPr>
          <w:t>https://unstats.un.org/sdgs/metadata/files/Metadata-02-04-01.pdf</w:t>
        </w:r>
      </w:hyperlink>
    </w:p>
  </w:footnote>
  <w:footnote w:id="35">
    <w:p w14:paraId="7789EB9A" w14:textId="77777777" w:rsidR="00244419" w:rsidRPr="005B0D1E" w:rsidRDefault="00244419" w:rsidP="00244419">
      <w:pPr>
        <w:pStyle w:val="FootnoteText"/>
        <w:rPr>
          <w:rFonts w:asciiTheme="majorBidi" w:hAnsiTheme="majorBidi" w:cstheme="majorBidi"/>
          <w:sz w:val="18"/>
          <w:szCs w:val="18"/>
          <w:lang w:val="en-GB"/>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hyperlink r:id="rId17" w:history="1">
        <w:r w:rsidRPr="00F233CE">
          <w:rPr>
            <w:rStyle w:val="Hyperlink"/>
            <w:rFonts w:asciiTheme="majorBidi" w:hAnsiTheme="majorBidi" w:cstheme="majorBidi"/>
            <w:sz w:val="18"/>
            <w:szCs w:val="18"/>
          </w:rPr>
          <w:t>https://openknowledge.fao.org/server/api/core/bitstreams/4cb138eb-c887-4463-b6c4-34d94b6de5c3/content</w:t>
        </w:r>
      </w:hyperlink>
      <w:r>
        <w:rPr>
          <w:rFonts w:asciiTheme="majorBidi" w:hAnsiTheme="majorBidi" w:cstheme="majorBidi"/>
          <w:sz w:val="18"/>
          <w:szCs w:val="18"/>
        </w:rPr>
        <w:t xml:space="preserve"> </w:t>
      </w:r>
    </w:p>
  </w:footnote>
  <w:footnote w:id="36">
    <w:p w14:paraId="012065F7" w14:textId="77777777" w:rsidR="00244419" w:rsidRPr="005B0D1E" w:rsidRDefault="00244419" w:rsidP="00244419">
      <w:pPr>
        <w:pStyle w:val="FootnoteText"/>
        <w:rPr>
          <w:rFonts w:asciiTheme="majorBidi" w:hAnsiTheme="majorBidi" w:cstheme="majorBidi"/>
          <w:sz w:val="18"/>
          <w:szCs w:val="18"/>
          <w:lang w:val="en-GB"/>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hyperlink r:id="rId18" w:history="1">
        <w:r w:rsidRPr="00F233CE">
          <w:rPr>
            <w:rStyle w:val="Hyperlink"/>
            <w:rFonts w:asciiTheme="majorBidi" w:hAnsiTheme="majorBidi" w:cstheme="majorBidi"/>
            <w:sz w:val="18"/>
            <w:szCs w:val="18"/>
          </w:rPr>
          <w:t>https://openknowledge.fao.org/server/api/core/bitstreams/e344e3ee-4630-49c1-98a8-b1f5df3dcb8f/content</w:t>
        </w:r>
      </w:hyperlink>
      <w:r>
        <w:rPr>
          <w:rFonts w:asciiTheme="majorBidi" w:hAnsiTheme="majorBidi" w:cstheme="majorBidi"/>
          <w:sz w:val="18"/>
          <w:szCs w:val="18"/>
        </w:rPr>
        <w:t xml:space="preserve"> </w:t>
      </w:r>
    </w:p>
  </w:footnote>
  <w:footnote w:id="37">
    <w:p w14:paraId="52F46150" w14:textId="77777777" w:rsidR="00244419" w:rsidRPr="005B0D1E" w:rsidRDefault="00244419" w:rsidP="00244419">
      <w:pPr>
        <w:pStyle w:val="FootnoteText"/>
        <w:rPr>
          <w:rFonts w:asciiTheme="majorBidi" w:hAnsiTheme="majorBidi" w:cstheme="majorBidi"/>
          <w:sz w:val="18"/>
          <w:szCs w:val="18"/>
          <w:lang w:val="en-GB"/>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The conversion from local units to hectares is given in detail in the enumerator manual: </w:t>
      </w:r>
      <w:hyperlink r:id="rId19" w:history="1">
        <w:r w:rsidRPr="00F233CE">
          <w:rPr>
            <w:rStyle w:val="Hyperlink"/>
            <w:rFonts w:asciiTheme="majorBidi" w:hAnsiTheme="majorBidi" w:cstheme="majorBidi"/>
            <w:sz w:val="18"/>
            <w:szCs w:val="18"/>
          </w:rPr>
          <w:t>https://openknowledge.fao.org/server/api/core/bitstreams/03d673ed-6360-47b6-9ac0-e8ca1eac35e0/content</w:t>
        </w:r>
      </w:hyperlink>
      <w:r>
        <w:rPr>
          <w:rFonts w:asciiTheme="majorBidi" w:hAnsiTheme="majorBidi" w:cstheme="majorBidi"/>
          <w:sz w:val="18"/>
          <w:szCs w:val="18"/>
        </w:rPr>
        <w:t xml:space="preserve"> </w:t>
      </w:r>
    </w:p>
  </w:footnote>
  <w:footnote w:id="38">
    <w:p w14:paraId="044616D4" w14:textId="77777777" w:rsidR="00244419" w:rsidRPr="005B0D1E" w:rsidRDefault="00244419" w:rsidP="00244419">
      <w:pPr>
        <w:pStyle w:val="FootnoteText"/>
        <w:rPr>
          <w:rFonts w:asciiTheme="majorBidi" w:hAnsiTheme="majorBidi" w:cstheme="majorBidi"/>
          <w:sz w:val="18"/>
          <w:szCs w:val="18"/>
          <w:lang w:val="en-GB"/>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hyperlink r:id="rId20" w:history="1">
        <w:r w:rsidRPr="00F233CE">
          <w:rPr>
            <w:rStyle w:val="Hyperlink"/>
            <w:rFonts w:asciiTheme="majorBidi" w:hAnsiTheme="majorBidi" w:cstheme="majorBidi"/>
            <w:sz w:val="18"/>
            <w:szCs w:val="18"/>
          </w:rPr>
          <w:t>https://openknowledge.fao.org/server/api/core/bitstreams/6599bf25-e0af-46c7-b756-c420cf839d90/content</w:t>
        </w:r>
      </w:hyperlink>
      <w:r>
        <w:rPr>
          <w:rFonts w:asciiTheme="majorBidi" w:hAnsiTheme="majorBidi" w:cstheme="majorBidi"/>
          <w:sz w:val="18"/>
          <w:szCs w:val="18"/>
        </w:rPr>
        <w:t xml:space="preserve"> </w:t>
      </w:r>
    </w:p>
  </w:footnote>
  <w:footnote w:id="39">
    <w:p w14:paraId="0FE67D03" w14:textId="77777777" w:rsidR="00244419" w:rsidRPr="005B0D1E" w:rsidRDefault="00244419" w:rsidP="00244419">
      <w:pPr>
        <w:pStyle w:val="FootnoteText"/>
        <w:rPr>
          <w:rFonts w:asciiTheme="majorBidi" w:hAnsiTheme="majorBidi" w:cstheme="majorBidi"/>
          <w:sz w:val="18"/>
          <w:szCs w:val="18"/>
          <w:lang w:val="en-GB"/>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hyperlink r:id="rId21" w:history="1">
        <w:r w:rsidRPr="00F233CE">
          <w:rPr>
            <w:rStyle w:val="Hyperlink"/>
            <w:rFonts w:asciiTheme="majorBidi" w:hAnsiTheme="majorBidi" w:cstheme="majorBidi"/>
            <w:sz w:val="18"/>
            <w:szCs w:val="18"/>
          </w:rPr>
          <w:t>https://openknowledge.fao.org/server/api/core/bitstreams/8a9fb2b2-604c-4e1d-b1b9-37192e226bce/content</w:t>
        </w:r>
      </w:hyperlink>
      <w:r>
        <w:rPr>
          <w:rFonts w:asciiTheme="majorBidi" w:hAnsiTheme="majorBidi" w:cstheme="majorBidi"/>
          <w:sz w:val="18"/>
          <w:szCs w:val="18"/>
        </w:rPr>
        <w:t xml:space="preserve"> </w:t>
      </w:r>
    </w:p>
  </w:footnote>
  <w:footnote w:id="40">
    <w:p w14:paraId="1856A632" w14:textId="77777777" w:rsidR="00244419" w:rsidRPr="005B0D1E" w:rsidRDefault="00244419" w:rsidP="00244419">
      <w:pPr>
        <w:pStyle w:val="FootnoteText"/>
        <w:rPr>
          <w:rFonts w:asciiTheme="majorBidi" w:hAnsiTheme="majorBidi" w:cstheme="majorBidi"/>
          <w:sz w:val="18"/>
          <w:szCs w:val="18"/>
          <w:lang w:val="en-GB"/>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hyperlink r:id="rId22" w:history="1">
        <w:r w:rsidRPr="00F233CE">
          <w:rPr>
            <w:rStyle w:val="Hyperlink"/>
            <w:rFonts w:asciiTheme="majorBidi" w:hAnsiTheme="majorBidi" w:cstheme="majorBidi"/>
            <w:sz w:val="18"/>
            <w:szCs w:val="18"/>
          </w:rPr>
          <w:t>https://openknowledge.fao.org/server/api/core/bitstreams/7935a029-2a50-4a75-8ee4-72125fe660c0/content</w:t>
        </w:r>
      </w:hyperlink>
      <w:r>
        <w:rPr>
          <w:rFonts w:asciiTheme="majorBidi" w:hAnsiTheme="majorBidi" w:cstheme="majorBidi"/>
          <w:sz w:val="18"/>
          <w:szCs w:val="18"/>
        </w:rPr>
        <w:t xml:space="preserve"> </w:t>
      </w:r>
    </w:p>
  </w:footnote>
  <w:footnote w:id="41">
    <w:p w14:paraId="4F32984A" w14:textId="77777777" w:rsidR="00244419" w:rsidRPr="005B0D1E" w:rsidRDefault="00244419" w:rsidP="00244419">
      <w:pPr>
        <w:pStyle w:val="FootnoteText"/>
        <w:rPr>
          <w:rFonts w:asciiTheme="majorBidi" w:hAnsiTheme="majorBidi" w:cstheme="majorBidi"/>
          <w:sz w:val="18"/>
          <w:szCs w:val="18"/>
          <w:lang w:val="en-GB"/>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hyperlink r:id="rId23" w:history="1">
        <w:r w:rsidRPr="00F233CE">
          <w:rPr>
            <w:rStyle w:val="Hyperlink"/>
            <w:rFonts w:asciiTheme="majorBidi" w:hAnsiTheme="majorBidi" w:cstheme="majorBidi"/>
            <w:sz w:val="18"/>
            <w:szCs w:val="18"/>
          </w:rPr>
          <w:t>https://elearning.fao.org/course/view.php?id=503</w:t>
        </w:r>
      </w:hyperlink>
      <w:r>
        <w:rPr>
          <w:rFonts w:asciiTheme="majorBidi" w:hAnsiTheme="majorBidi" w:cstheme="majorBidi"/>
          <w:sz w:val="18"/>
          <w:szCs w:val="18"/>
        </w:rPr>
        <w:t xml:space="preserve"> </w:t>
      </w:r>
    </w:p>
  </w:footnote>
  <w:footnote w:id="42">
    <w:p w14:paraId="5722D3DA" w14:textId="0D46F186" w:rsidR="00B668FA" w:rsidRPr="005B0D1E" w:rsidRDefault="00B668FA" w:rsidP="009B3384">
      <w:pPr>
        <w:pStyle w:val="FootnoteText"/>
        <w:rPr>
          <w:rFonts w:asciiTheme="majorBidi" w:hAnsiTheme="majorBidi" w:cstheme="majorBidi"/>
          <w:sz w:val="18"/>
          <w:szCs w:val="18"/>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The </w:t>
      </w:r>
      <w:r w:rsidR="005E2E73" w:rsidRPr="005B0D1E">
        <w:rPr>
          <w:rFonts w:asciiTheme="majorBidi" w:hAnsiTheme="majorBidi" w:cstheme="majorBidi"/>
          <w:sz w:val="18"/>
          <w:szCs w:val="18"/>
        </w:rPr>
        <w:t>indicat</w:t>
      </w:r>
      <w:r w:rsidR="005025A8">
        <w:rPr>
          <w:rFonts w:asciiTheme="majorBidi" w:hAnsiTheme="majorBidi" w:cstheme="majorBidi"/>
          <w:sz w:val="18"/>
          <w:szCs w:val="18"/>
        </w:rPr>
        <w:t>o</w:t>
      </w:r>
      <w:r w:rsidR="005E2E73" w:rsidRPr="005B0D1E">
        <w:rPr>
          <w:rFonts w:asciiTheme="majorBidi" w:hAnsiTheme="majorBidi" w:cstheme="majorBidi"/>
          <w:sz w:val="18"/>
          <w:szCs w:val="18"/>
        </w:rPr>
        <w:t xml:space="preserve">r progress </w:t>
      </w:r>
      <w:r w:rsidR="005025A8" w:rsidRPr="005B0D1E">
        <w:rPr>
          <w:rFonts w:asciiTheme="majorBidi" w:hAnsiTheme="majorBidi" w:cstheme="majorBidi"/>
          <w:sz w:val="18"/>
          <w:szCs w:val="18"/>
        </w:rPr>
        <w:t>towards</w:t>
      </w:r>
      <w:r w:rsidR="005E2E73" w:rsidRPr="005B0D1E">
        <w:rPr>
          <w:rFonts w:asciiTheme="majorBidi" w:hAnsiTheme="majorBidi" w:cstheme="majorBidi"/>
          <w:sz w:val="18"/>
          <w:szCs w:val="18"/>
        </w:rPr>
        <w:t xml:space="preserve"> sustainable forest management is Sustainable Development Goal indicator 15.2.1</w:t>
      </w:r>
      <w:r w:rsidR="00403AF4" w:rsidRPr="005B0D1E">
        <w:rPr>
          <w:rFonts w:asciiTheme="majorBidi" w:hAnsiTheme="majorBidi" w:cstheme="majorBidi"/>
          <w:sz w:val="18"/>
          <w:szCs w:val="18"/>
        </w:rPr>
        <w:t xml:space="preserve">. the official SDG metadata is accessible from </w:t>
      </w:r>
      <w:hyperlink r:id="rId24" w:history="1">
        <w:r w:rsidR="009B3384" w:rsidRPr="005B0D1E">
          <w:rPr>
            <w:rStyle w:val="Hyperlink"/>
            <w:rFonts w:asciiTheme="majorBidi" w:hAnsiTheme="majorBidi" w:cstheme="majorBidi"/>
            <w:sz w:val="18"/>
            <w:szCs w:val="18"/>
          </w:rPr>
          <w:t>Metadata-15-02-01.pdf (un.org)</w:t>
        </w:r>
      </w:hyperlink>
    </w:p>
  </w:footnote>
  <w:footnote w:id="43">
    <w:p w14:paraId="36AAA6D2" w14:textId="77777777" w:rsidR="00F3532F" w:rsidRPr="005B0D1E" w:rsidRDefault="00F3532F" w:rsidP="00F3532F">
      <w:pPr>
        <w:pStyle w:val="FootnoteText"/>
        <w:rPr>
          <w:rFonts w:asciiTheme="majorBidi" w:hAnsiTheme="majorBidi" w:cstheme="majorBidi"/>
          <w:sz w:val="18"/>
          <w:szCs w:val="18"/>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Average share of the built-up area of cities that is green/blue space for public use for all is an element of</w:t>
      </w:r>
      <w:r>
        <w:rPr>
          <w:rFonts w:asciiTheme="majorBidi" w:hAnsiTheme="majorBidi" w:cstheme="majorBidi"/>
          <w:sz w:val="18"/>
          <w:szCs w:val="18"/>
        </w:rPr>
        <w:t xml:space="preserve"> </w:t>
      </w:r>
      <w:r w:rsidRPr="005B0D1E">
        <w:rPr>
          <w:rFonts w:asciiTheme="majorBidi" w:hAnsiTheme="majorBidi" w:cstheme="majorBidi"/>
          <w:sz w:val="18"/>
          <w:szCs w:val="18"/>
        </w:rPr>
        <w:t xml:space="preserve">Sustainable Development Goal indicator 11.7.1. The official SDG metadata is accessible from </w:t>
      </w:r>
      <w:hyperlink r:id="rId25" w:history="1">
        <w:r w:rsidRPr="005B0D1E">
          <w:rPr>
            <w:rStyle w:val="Hyperlink"/>
            <w:rFonts w:asciiTheme="majorBidi" w:hAnsiTheme="majorBidi" w:cstheme="majorBidi"/>
            <w:sz w:val="18"/>
            <w:szCs w:val="18"/>
          </w:rPr>
          <w:t>unstats.un.org/</w:t>
        </w:r>
        <w:proofErr w:type="spellStart"/>
        <w:r w:rsidRPr="005B0D1E">
          <w:rPr>
            <w:rStyle w:val="Hyperlink"/>
            <w:rFonts w:asciiTheme="majorBidi" w:hAnsiTheme="majorBidi" w:cstheme="majorBidi"/>
            <w:sz w:val="18"/>
            <w:szCs w:val="18"/>
          </w:rPr>
          <w:t>sdgs</w:t>
        </w:r>
        <w:proofErr w:type="spellEnd"/>
        <w:r w:rsidRPr="005B0D1E">
          <w:rPr>
            <w:rStyle w:val="Hyperlink"/>
            <w:rFonts w:asciiTheme="majorBidi" w:hAnsiTheme="majorBidi" w:cstheme="majorBidi"/>
            <w:sz w:val="18"/>
            <w:szCs w:val="18"/>
          </w:rPr>
          <w:t>/metadata/files/Metadata-11-07-01.pdf</w:t>
        </w:r>
      </w:hyperlink>
    </w:p>
  </w:footnote>
  <w:footnote w:id="44">
    <w:p w14:paraId="2B73A692" w14:textId="77777777" w:rsidR="000244FB" w:rsidRPr="00F869E0" w:rsidRDefault="000244FB" w:rsidP="000244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18"/>
          <w:szCs w:val="18"/>
          <w:lang w:val="en-US"/>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w:t>
      </w:r>
      <w:r w:rsidRPr="005B0D1E">
        <w:rPr>
          <w:rFonts w:asciiTheme="majorBidi" w:eastAsia="Garamond" w:hAnsiTheme="majorBidi" w:cstheme="majorBidi"/>
          <w:color w:val="000000" w:themeColor="text1"/>
          <w:sz w:val="18"/>
          <w:szCs w:val="18"/>
        </w:rPr>
        <w:t>Further information on progress towards the target can be provided in the free text section of the reporting tool.</w:t>
      </w:r>
    </w:p>
  </w:footnote>
  <w:footnote w:id="45">
    <w:p w14:paraId="0DDB8CB4" w14:textId="77777777" w:rsidR="0095698C" w:rsidRPr="005B0D1E" w:rsidRDefault="0095698C" w:rsidP="0095698C">
      <w:pPr>
        <w:pStyle w:val="FootnoteText"/>
        <w:rPr>
          <w:rFonts w:asciiTheme="majorBidi" w:hAnsiTheme="majorBidi" w:cstheme="majorBidi"/>
          <w:sz w:val="18"/>
          <w:szCs w:val="18"/>
        </w:rPr>
      </w:pPr>
      <w:r w:rsidRPr="005B0D1E">
        <w:rPr>
          <w:rStyle w:val="FootnoteReference"/>
          <w:rFonts w:asciiTheme="majorBidi" w:hAnsiTheme="majorBidi" w:cstheme="majorBidi"/>
          <w:sz w:val="18"/>
          <w:szCs w:val="18"/>
        </w:rPr>
        <w:footnoteRef/>
      </w:r>
      <w:r w:rsidRPr="005B0D1E">
        <w:rPr>
          <w:rFonts w:asciiTheme="majorBidi" w:hAnsiTheme="majorBidi" w:cstheme="majorBidi"/>
          <w:sz w:val="18"/>
          <w:szCs w:val="18"/>
        </w:rPr>
        <w:t xml:space="preserve"> F</w:t>
      </w:r>
      <w:r w:rsidRPr="005B0D1E">
        <w:rPr>
          <w:rFonts w:asciiTheme="majorBidi" w:eastAsia="Garamond" w:hAnsiTheme="majorBidi" w:cstheme="majorBidi"/>
          <w:color w:val="000000" w:themeColor="text1"/>
          <w:sz w:val="18"/>
          <w:szCs w:val="18"/>
        </w:rPr>
        <w:t>urther information on progress towards the target can be provided in the free text section of the reporting tool.</w:t>
      </w:r>
    </w:p>
  </w:footnote>
  <w:footnote w:id="46">
    <w:p w14:paraId="07B189AC" w14:textId="77777777" w:rsidR="006C615F" w:rsidRDefault="006C615F" w:rsidP="006C61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sz w:val="18"/>
          <w:szCs w:val="18"/>
          <w:lang w:val="en-US"/>
        </w:rPr>
      </w:pPr>
      <w:r>
        <w:rPr>
          <w:rStyle w:val="FootnoteReference"/>
          <w:rFonts w:asciiTheme="majorBidi" w:hAnsiTheme="majorBidi" w:cstheme="majorBidi"/>
          <w:sz w:val="18"/>
          <w:szCs w:val="18"/>
        </w:rPr>
        <w:footnoteRef/>
      </w:r>
      <w:r>
        <w:rPr>
          <w:rFonts w:asciiTheme="majorBidi" w:hAnsiTheme="majorBidi" w:cstheme="majorBidi"/>
          <w:sz w:val="18"/>
          <w:szCs w:val="18"/>
        </w:rPr>
        <w:t xml:space="preserve"> </w:t>
      </w:r>
      <w:r>
        <w:rPr>
          <w:rFonts w:asciiTheme="majorBidi" w:eastAsia="Garamond" w:hAnsiTheme="majorBidi" w:cstheme="majorBidi"/>
          <w:color w:val="000000" w:themeColor="text1"/>
          <w:sz w:val="18"/>
          <w:szCs w:val="18"/>
        </w:rPr>
        <w:t>Further information on progress towards the target can be provided in the free text section of the reporting tool.</w:t>
      </w:r>
    </w:p>
  </w:footnote>
  <w:footnote w:id="47">
    <w:p w14:paraId="0CAA1507" w14:textId="77777777" w:rsidR="00141A13" w:rsidRPr="005B0D1E" w:rsidRDefault="00141A13" w:rsidP="00141A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olor w:val="000000" w:themeColor="text1"/>
          <w:sz w:val="18"/>
          <w:szCs w:val="18"/>
          <w:lang w:val="en-US"/>
        </w:rPr>
      </w:pPr>
      <w:r w:rsidRPr="005B0D1E">
        <w:rPr>
          <w:rStyle w:val="FootnoteReference"/>
          <w:rFonts w:asciiTheme="majorBidi" w:hAnsiTheme="majorBidi"/>
          <w:sz w:val="18"/>
          <w:szCs w:val="18"/>
        </w:rPr>
        <w:footnoteRef/>
      </w:r>
      <w:r w:rsidRPr="005B0D1E">
        <w:rPr>
          <w:rFonts w:asciiTheme="majorBidi" w:hAnsiTheme="majorBidi"/>
          <w:sz w:val="18"/>
          <w:szCs w:val="18"/>
        </w:rPr>
        <w:t xml:space="preserve"> </w:t>
      </w:r>
      <w:r w:rsidRPr="005B0D1E">
        <w:rPr>
          <w:rFonts w:asciiTheme="majorBidi" w:hAnsiTheme="majorBidi"/>
          <w:color w:val="000000" w:themeColor="text1"/>
          <w:sz w:val="18"/>
          <w:szCs w:val="18"/>
        </w:rPr>
        <w:t>Further information on progress towards the target can be provided in the free text section of the reporting tool.</w:t>
      </w:r>
    </w:p>
    <w:p w14:paraId="73F56E94" w14:textId="77777777" w:rsidR="00141A13" w:rsidRDefault="00141A13" w:rsidP="00141A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footnote>
  <w:footnote w:id="48">
    <w:p w14:paraId="7F1FCA8B" w14:textId="77777777" w:rsidR="007D4AC3" w:rsidRDefault="007D4AC3" w:rsidP="007D4A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szCs w:val="18"/>
        </w:rPr>
      </w:pPr>
      <w:r>
        <w:rPr>
          <w:rStyle w:val="FootnoteReference"/>
          <w:rFonts w:asciiTheme="majorBidi" w:hAnsiTheme="majorBidi" w:cstheme="majorBidi"/>
          <w:sz w:val="18"/>
          <w:szCs w:val="18"/>
        </w:rPr>
        <w:footnoteRef/>
      </w:r>
      <w:r>
        <w:rPr>
          <w:rFonts w:asciiTheme="majorBidi" w:hAnsiTheme="majorBidi" w:cstheme="majorBidi"/>
          <w:sz w:val="18"/>
          <w:szCs w:val="18"/>
        </w:rPr>
        <w:t xml:space="preserve"> Further information on progress towards the target can be provided in the free text section of the reporting tool.</w:t>
      </w:r>
    </w:p>
    <w:p w14:paraId="01AA3C9F" w14:textId="77777777" w:rsidR="007D4AC3" w:rsidRDefault="007D4AC3" w:rsidP="007D4AC3">
      <w:pPr>
        <w:pStyle w:val="FootnoteText"/>
        <w:rPr>
          <w:rFonts w:asciiTheme="majorBidi" w:hAnsiTheme="majorBidi" w:cstheme="majorBidi"/>
          <w:sz w:val="18"/>
          <w:szCs w:val="18"/>
        </w:rPr>
      </w:pPr>
    </w:p>
  </w:footnote>
  <w:footnote w:id="49">
    <w:p w14:paraId="21EBD643" w14:textId="77777777" w:rsidR="00815C84" w:rsidRDefault="00815C84" w:rsidP="00815C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18"/>
          <w:szCs w:val="18"/>
        </w:rPr>
      </w:pPr>
      <w:r>
        <w:rPr>
          <w:rStyle w:val="FootnoteReference"/>
          <w:rFonts w:asciiTheme="majorBidi" w:hAnsiTheme="majorBidi" w:cstheme="majorBidi"/>
          <w:sz w:val="18"/>
          <w:szCs w:val="18"/>
        </w:rPr>
        <w:footnoteRef/>
      </w:r>
      <w:r>
        <w:rPr>
          <w:rFonts w:asciiTheme="majorBidi" w:hAnsiTheme="majorBidi" w:cstheme="majorBidi"/>
          <w:sz w:val="18"/>
          <w:szCs w:val="18"/>
        </w:rPr>
        <w:t xml:space="preserve"> </w:t>
      </w:r>
      <w:r>
        <w:rPr>
          <w:rFonts w:asciiTheme="majorBidi" w:eastAsia="Garamond" w:hAnsiTheme="majorBidi" w:cstheme="majorBidi"/>
          <w:color w:val="000000" w:themeColor="text1"/>
          <w:sz w:val="18"/>
          <w:szCs w:val="18"/>
        </w:rPr>
        <w:t>Further information on progress towards the target can be provided in the free text section of the reporting tool.</w:t>
      </w:r>
    </w:p>
  </w:footnote>
  <w:footnote w:id="50">
    <w:p w14:paraId="2CCDFCB7" w14:textId="74A50378" w:rsidR="00E202FA" w:rsidRDefault="00E202FA" w:rsidP="00E202FA">
      <w:pPr>
        <w:pStyle w:val="FootnoteText"/>
      </w:pPr>
      <w:r>
        <w:rPr>
          <w:rStyle w:val="FootnoteReference"/>
        </w:rPr>
        <w:footnoteRef/>
      </w:r>
      <w:r>
        <w:t xml:space="preserve"> </w:t>
      </w:r>
      <w:r w:rsidRPr="00E202FA">
        <w:rPr>
          <w:rFonts w:asciiTheme="majorBidi" w:hAnsiTheme="majorBidi" w:cstheme="majorBidi"/>
        </w:rPr>
        <w:t>The PINE database considers a subsidy as environmentally beneficial if it reduces</w:t>
      </w:r>
      <w:r w:rsidR="00937CE4">
        <w:rPr>
          <w:rFonts w:asciiTheme="majorBidi" w:hAnsiTheme="majorBidi" w:cstheme="majorBidi"/>
        </w:rPr>
        <w:t xml:space="preserve"> (or increases)</w:t>
      </w:r>
      <w:r w:rsidRPr="00E202FA">
        <w:rPr>
          <w:rFonts w:asciiTheme="majorBidi" w:hAnsiTheme="majorBidi" w:cstheme="majorBidi"/>
        </w:rPr>
        <w:t xml:space="preserve"> directly or indirectly </w:t>
      </w:r>
      <w:r w:rsidR="006268FC">
        <w:rPr>
          <w:rFonts w:asciiTheme="majorBidi" w:hAnsiTheme="majorBidi" w:cstheme="majorBidi"/>
        </w:rPr>
        <w:t xml:space="preserve">the use of something that has a proven, </w:t>
      </w:r>
      <w:r w:rsidR="00743F16">
        <w:rPr>
          <w:rFonts w:asciiTheme="majorBidi" w:hAnsiTheme="majorBidi" w:cstheme="majorBidi"/>
        </w:rPr>
        <w:t>specific</w:t>
      </w:r>
      <w:r w:rsidR="006268FC">
        <w:rPr>
          <w:rFonts w:asciiTheme="majorBidi" w:hAnsiTheme="majorBidi" w:cstheme="majorBidi"/>
        </w:rPr>
        <w:t xml:space="preserve"> negative (or positive) impact on the environment</w:t>
      </w:r>
      <w:r w:rsidRPr="00E202FA">
        <w:rPr>
          <w:rFonts w:asciiTheme="majorBidi" w:hAnsiTheme="majorBidi" w:cstheme="majorBidi"/>
        </w:rPr>
        <w:t xml:space="preserve">. Environmentally beneficial subsidies include grants, per-unit subsidies, </w:t>
      </w:r>
      <w:r w:rsidR="006B2582">
        <w:rPr>
          <w:rFonts w:asciiTheme="majorBidi" w:hAnsiTheme="majorBidi" w:cstheme="majorBidi"/>
        </w:rPr>
        <w:t xml:space="preserve">or </w:t>
      </w:r>
      <w:r w:rsidRPr="00E202FA">
        <w:rPr>
          <w:rFonts w:asciiTheme="majorBidi" w:hAnsiTheme="majorBidi" w:cstheme="majorBidi"/>
        </w:rPr>
        <w:t>preferential tax treatments</w:t>
      </w:r>
      <w:proofErr w:type="gramStart"/>
      <w:r w:rsidRPr="00E202FA">
        <w:rPr>
          <w:rFonts w:asciiTheme="majorBidi" w:hAnsiTheme="majorBidi" w:cstheme="majorBidi"/>
        </w:rPr>
        <w:t>, ,</w:t>
      </w:r>
      <w:proofErr w:type="gramEnd"/>
      <w:r w:rsidRPr="00E202FA">
        <w:rPr>
          <w:rFonts w:asciiTheme="majorBidi" w:hAnsiTheme="majorBidi" w:cstheme="majorBidi"/>
        </w:rPr>
        <w:t xml:space="preserve"> among others.</w:t>
      </w:r>
    </w:p>
  </w:footnote>
  <w:footnote w:id="51">
    <w:p w14:paraId="71B25795" w14:textId="77777777" w:rsidR="00F6014B" w:rsidRDefault="00F6014B" w:rsidP="00F601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18"/>
          <w:szCs w:val="18"/>
        </w:rPr>
      </w:pPr>
      <w:r>
        <w:rPr>
          <w:rStyle w:val="FootnoteReference"/>
          <w:rFonts w:asciiTheme="majorBidi" w:hAnsiTheme="majorBidi" w:cstheme="majorBidi"/>
          <w:sz w:val="18"/>
          <w:szCs w:val="18"/>
        </w:rPr>
        <w:footnoteRef/>
      </w:r>
      <w:r>
        <w:rPr>
          <w:rFonts w:asciiTheme="majorBidi" w:hAnsiTheme="majorBidi" w:cstheme="majorBidi"/>
          <w:sz w:val="18"/>
          <w:szCs w:val="18"/>
        </w:rPr>
        <w:t xml:space="preserve"> </w:t>
      </w:r>
      <w:r>
        <w:rPr>
          <w:rFonts w:asciiTheme="majorBidi" w:eastAsia="Garamond" w:hAnsiTheme="majorBidi" w:cstheme="majorBidi"/>
          <w:color w:val="000000" w:themeColor="text1"/>
          <w:sz w:val="18"/>
          <w:szCs w:val="18"/>
        </w:rPr>
        <w:t>Further information on progress towards the target can be provided in the free text section of the reporting tool.</w:t>
      </w:r>
    </w:p>
    <w:p w14:paraId="61D6E4FD" w14:textId="77777777" w:rsidR="00F6014B" w:rsidRDefault="00F6014B" w:rsidP="00F6014B">
      <w:pPr>
        <w:pStyle w:val="FootnoteText"/>
        <w:rPr>
          <w:rFonts w:asciiTheme="majorBidi" w:hAnsiTheme="majorBidi" w:cstheme="majorBidi"/>
          <w:sz w:val="18"/>
          <w:szCs w:val="18"/>
        </w:rPr>
      </w:pPr>
    </w:p>
  </w:footnote>
  <w:footnote w:id="52">
    <w:p w14:paraId="6BDDE498" w14:textId="77777777" w:rsidR="00520704" w:rsidRDefault="00520704" w:rsidP="00520704">
      <w:pPr>
        <w:rPr>
          <w:sz w:val="18"/>
          <w:szCs w:val="18"/>
        </w:rPr>
      </w:pPr>
      <w:r>
        <w:rPr>
          <w:rStyle w:val="FootnoteReference"/>
        </w:rPr>
        <w:footnoteRef/>
      </w:r>
      <w:r>
        <w:rPr>
          <w:sz w:val="18"/>
          <w:szCs w:val="18"/>
        </w:rPr>
        <w:t xml:space="preserve"> The land tenure indicator SDG 1.4.2 is currently listed as a component under Target 22 and Target </w:t>
      </w:r>
      <w:proofErr w:type="gramStart"/>
      <w:r>
        <w:rPr>
          <w:sz w:val="18"/>
          <w:szCs w:val="18"/>
        </w:rPr>
        <w:t>23 .</w:t>
      </w:r>
      <w:proofErr w:type="gramEnd"/>
      <w:r>
        <w:rPr>
          <w:sz w:val="18"/>
          <w:szCs w:val="18"/>
        </w:rPr>
        <w:t xml:space="preserve"> It is also a sub-indicator embedded within headline indicator 10.1, which is the equivalent of SDG 2.4.1.</w:t>
      </w:r>
    </w:p>
  </w:footnote>
  <w:footnote w:id="53">
    <w:p w14:paraId="3A9799C6" w14:textId="77777777" w:rsidR="00520704" w:rsidRDefault="00520704" w:rsidP="00520704">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26">
        <w:r>
          <w:rPr>
            <w:color w:val="0000FF"/>
            <w:sz w:val="18"/>
            <w:szCs w:val="18"/>
            <w:u w:val="single"/>
          </w:rPr>
          <w:t>SDG Indicator 15.3.1 | Sustainable developments Goals</w:t>
        </w:r>
      </w:hyperlink>
      <w:r>
        <w:rPr>
          <w:color w:val="000000"/>
          <w:sz w:val="20"/>
          <w:szCs w:val="20"/>
        </w:rPr>
        <w:t xml:space="preserve">; </w:t>
      </w:r>
      <w:hyperlink r:id="rId27">
        <w:r>
          <w:rPr>
            <w:color w:val="0000FF"/>
            <w:sz w:val="18"/>
            <w:szCs w:val="18"/>
            <w:u w:val="single"/>
          </w:rPr>
          <w:t>Metadata-15-03-01.pdf</w:t>
        </w:r>
      </w:hyperlink>
    </w:p>
  </w:footnote>
  <w:footnote w:id="54">
    <w:p w14:paraId="64F312D3" w14:textId="77777777" w:rsidR="00520704" w:rsidRDefault="00520704" w:rsidP="00520704">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28">
        <w:r>
          <w:rPr>
            <w:color w:val="0000FF"/>
            <w:sz w:val="18"/>
            <w:szCs w:val="18"/>
            <w:u w:val="single"/>
          </w:rPr>
          <w:t>SDG Indicator 15.4.2 | Sustainable developments Goals</w:t>
        </w:r>
      </w:hyperlink>
      <w:r>
        <w:rPr>
          <w:color w:val="000000"/>
          <w:sz w:val="20"/>
          <w:szCs w:val="20"/>
        </w:rPr>
        <w:t xml:space="preserve">; </w:t>
      </w:r>
      <w:hyperlink r:id="rId29">
        <w:r>
          <w:rPr>
            <w:color w:val="0000FF"/>
            <w:sz w:val="18"/>
            <w:szCs w:val="18"/>
            <w:u w:val="single"/>
          </w:rPr>
          <w:t>Metadata-15-04-02.pdf</w:t>
        </w:r>
      </w:hyperlink>
    </w:p>
  </w:footnote>
  <w:footnote w:id="55">
    <w:p w14:paraId="08B3D34C" w14:textId="77777777" w:rsidR="00A86318" w:rsidRDefault="00A86318" w:rsidP="00A8631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30">
        <w:r>
          <w:rPr>
            <w:color w:val="0563C1"/>
            <w:sz w:val="18"/>
            <w:szCs w:val="18"/>
            <w:u w:val="single"/>
          </w:rPr>
          <w:t>ESACCI-LC-Ph2-PUGv2_2.0 (ucl.ac.be)</w:t>
        </w:r>
      </w:hyperlink>
    </w:p>
  </w:footnote>
  <w:footnote w:id="56">
    <w:p w14:paraId="3B9B0309" w14:textId="77777777" w:rsidR="0070571A" w:rsidRDefault="0070571A" w:rsidP="0070571A">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31">
        <w:r>
          <w:rPr>
            <w:color w:val="0000FF"/>
            <w:sz w:val="18"/>
            <w:szCs w:val="18"/>
            <w:u w:val="single"/>
          </w:rPr>
          <w:t>SDG Indicator 15.3.1 | Sustainable developments Goals</w:t>
        </w:r>
      </w:hyperlink>
      <w:r>
        <w:rPr>
          <w:color w:val="000000"/>
          <w:sz w:val="20"/>
          <w:szCs w:val="20"/>
        </w:rPr>
        <w:t xml:space="preserve">; </w:t>
      </w:r>
      <w:hyperlink r:id="rId32">
        <w:r>
          <w:rPr>
            <w:color w:val="0000FF"/>
            <w:sz w:val="18"/>
            <w:szCs w:val="18"/>
            <w:u w:val="single"/>
          </w:rPr>
          <w:t>Metadata-15-03-01.pdf</w:t>
        </w:r>
      </w:hyperlink>
    </w:p>
  </w:footnote>
  <w:footnote w:id="57">
    <w:p w14:paraId="44D05054" w14:textId="77777777" w:rsidR="0070571A" w:rsidRDefault="0070571A" w:rsidP="0070571A">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33">
        <w:r>
          <w:rPr>
            <w:color w:val="0000FF"/>
            <w:sz w:val="18"/>
            <w:szCs w:val="18"/>
            <w:u w:val="single"/>
          </w:rPr>
          <w:t>SDG Indicator 15.4.2 | Sustainable developments Goals</w:t>
        </w:r>
      </w:hyperlink>
      <w:r>
        <w:rPr>
          <w:color w:val="000000"/>
          <w:sz w:val="20"/>
          <w:szCs w:val="20"/>
        </w:rPr>
        <w:t xml:space="preserve">; </w:t>
      </w:r>
      <w:hyperlink r:id="rId34">
        <w:r>
          <w:rPr>
            <w:color w:val="0000FF"/>
            <w:sz w:val="18"/>
            <w:szCs w:val="18"/>
            <w:u w:val="single"/>
          </w:rPr>
          <w:t>Metadata-15-04-02.pdf</w:t>
        </w:r>
      </w:hyperlink>
    </w:p>
  </w:footnote>
  <w:footnote w:id="58">
    <w:p w14:paraId="06A67B1D" w14:textId="77777777" w:rsidR="0070571A" w:rsidRDefault="0070571A" w:rsidP="0070571A">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35">
        <w:r>
          <w:rPr>
            <w:color w:val="0000FF"/>
            <w:sz w:val="18"/>
            <w:szCs w:val="18"/>
            <w:u w:val="single"/>
          </w:rPr>
          <w:t>Good practice guidance. SDG indicator 15.3.1, Proportion of land that is degraded over total land area. Version 2.0. | UNCCD</w:t>
        </w:r>
      </w:hyperlink>
    </w:p>
  </w:footnote>
  <w:footnote w:id="59">
    <w:p w14:paraId="6E913C64" w14:textId="77777777" w:rsidR="00C840E3" w:rsidRDefault="00C840E3" w:rsidP="00C840E3">
      <w:r>
        <w:rPr>
          <w:rStyle w:val="FootnoteReference"/>
        </w:rPr>
        <w:footnoteRef/>
      </w:r>
      <w:r>
        <w:rPr>
          <w:color w:val="000000"/>
          <w:sz w:val="18"/>
          <w:szCs w:val="18"/>
        </w:rPr>
        <w:t xml:space="preserve"> The International Land Coalition (ILC), </w:t>
      </w:r>
      <w:proofErr w:type="spellStart"/>
      <w:r>
        <w:rPr>
          <w:color w:val="000000"/>
          <w:sz w:val="18"/>
          <w:szCs w:val="18"/>
        </w:rPr>
        <w:t>LandMark</w:t>
      </w:r>
      <w:proofErr w:type="spellEnd"/>
      <w:r>
        <w:rPr>
          <w:color w:val="000000"/>
          <w:sz w:val="18"/>
          <w:szCs w:val="18"/>
        </w:rPr>
        <w:t xml:space="preserve">, the Indigenous Navigator, </w:t>
      </w:r>
      <w:proofErr w:type="spellStart"/>
      <w:r>
        <w:rPr>
          <w:color w:val="000000"/>
          <w:sz w:val="18"/>
          <w:szCs w:val="18"/>
        </w:rPr>
        <w:t>Prindex</w:t>
      </w:r>
      <w:proofErr w:type="spellEnd"/>
      <w:r>
        <w:rPr>
          <w:color w:val="000000"/>
          <w:sz w:val="18"/>
          <w:szCs w:val="18"/>
        </w:rPr>
        <w:t>, Rights and Resources Initiative (RRI), World Resources Institute (WRI), Forest Peoples Programme (FPP) and the Food and Agriculture Organization (FAO) among others.</w:t>
      </w:r>
    </w:p>
  </w:footnote>
  <w:footnote w:id="60">
    <w:p w14:paraId="051CBD90" w14:textId="77777777" w:rsidR="00D8392C" w:rsidRPr="00653889" w:rsidRDefault="00D8392C" w:rsidP="00D8392C">
      <w:pPr>
        <w:pBdr>
          <w:top w:val="nil"/>
          <w:left w:val="nil"/>
          <w:bottom w:val="nil"/>
          <w:right w:val="nil"/>
          <w:between w:val="nil"/>
        </w:pBdr>
        <w:rPr>
          <w:color w:val="000000"/>
          <w:sz w:val="18"/>
          <w:szCs w:val="18"/>
        </w:rPr>
      </w:pPr>
      <w:r w:rsidRPr="00653889">
        <w:rPr>
          <w:rStyle w:val="FootnoteReference"/>
          <w:sz w:val="18"/>
          <w:szCs w:val="18"/>
        </w:rPr>
        <w:footnoteRef/>
      </w:r>
      <w:r w:rsidRPr="00653889">
        <w:rPr>
          <w:color w:val="000000"/>
          <w:sz w:val="18"/>
          <w:szCs w:val="18"/>
        </w:rPr>
        <w:t xml:space="preserve"> Matthew C Hansen, Peter V Potapov, Amy H Pickens, Alexandra Tyukavina, Andres Hernandez-Serna, Viviana Zalles, Svetlana Turubanova, Indrani Kommareddy, Steve V Stehman, Xiao-Peng Song and Anil Kommareddy. (2022) Global land use extent and dispersion within natural land cover using Landsat data. </w:t>
      </w:r>
      <w:r w:rsidRPr="00653889">
        <w:rPr>
          <w:i/>
          <w:iCs/>
          <w:color w:val="000000"/>
          <w:sz w:val="18"/>
          <w:szCs w:val="18"/>
        </w:rPr>
        <w:t>Environ. Res. Lett.</w:t>
      </w:r>
      <w:r w:rsidRPr="00653889">
        <w:rPr>
          <w:color w:val="000000"/>
          <w:sz w:val="18"/>
          <w:szCs w:val="18"/>
        </w:rPr>
        <w:t> </w:t>
      </w:r>
      <w:r w:rsidRPr="00653889">
        <w:rPr>
          <w:b/>
          <w:bCs/>
          <w:color w:val="000000"/>
          <w:sz w:val="18"/>
          <w:szCs w:val="18"/>
        </w:rPr>
        <w:t>17</w:t>
      </w:r>
      <w:r w:rsidRPr="00653889">
        <w:rPr>
          <w:color w:val="000000"/>
          <w:sz w:val="18"/>
          <w:szCs w:val="18"/>
        </w:rPr>
        <w:t xml:space="preserve"> 034050 https://doi.org/10.1088/1748-9326/ac46ec; Potapov P., Hansen M.C., Pickens A., Hernandez-Serna A., </w:t>
      </w:r>
      <w:proofErr w:type="spellStart"/>
      <w:r w:rsidRPr="00653889">
        <w:rPr>
          <w:color w:val="000000"/>
          <w:sz w:val="18"/>
          <w:szCs w:val="18"/>
        </w:rPr>
        <w:t>Tyukavina</w:t>
      </w:r>
      <w:proofErr w:type="spellEnd"/>
      <w:r w:rsidRPr="00653889">
        <w:rPr>
          <w:color w:val="000000"/>
          <w:sz w:val="18"/>
          <w:szCs w:val="18"/>
        </w:rPr>
        <w:t xml:space="preserve"> A., </w:t>
      </w:r>
      <w:proofErr w:type="spellStart"/>
      <w:r w:rsidRPr="00653889">
        <w:rPr>
          <w:color w:val="000000"/>
          <w:sz w:val="18"/>
          <w:szCs w:val="18"/>
        </w:rPr>
        <w:t>Turubanova</w:t>
      </w:r>
      <w:proofErr w:type="spellEnd"/>
      <w:r w:rsidRPr="00653889">
        <w:rPr>
          <w:color w:val="000000"/>
          <w:sz w:val="18"/>
          <w:szCs w:val="18"/>
        </w:rPr>
        <w:t xml:space="preserve"> S., </w:t>
      </w:r>
      <w:proofErr w:type="spellStart"/>
      <w:r w:rsidRPr="00653889">
        <w:rPr>
          <w:color w:val="000000"/>
          <w:sz w:val="18"/>
          <w:szCs w:val="18"/>
        </w:rPr>
        <w:t>Zalles</w:t>
      </w:r>
      <w:proofErr w:type="spellEnd"/>
      <w:r w:rsidRPr="00653889">
        <w:rPr>
          <w:color w:val="000000"/>
          <w:sz w:val="18"/>
          <w:szCs w:val="18"/>
        </w:rPr>
        <w:t xml:space="preserve"> V., Li X., Khan A., Stolle F., Harris N., Song X.-P., Baggett A., Kommareddy I., Kommareddy A. (2022) The global 2000-2020 land cover and land use change dataset derived from the Landsat archive: first results. Frontiers in Remote Sensing https://doi.org/10.3389/frsen.2022.856903. Data available at:   </w:t>
      </w:r>
      <w:hyperlink r:id="rId36">
        <w:r w:rsidRPr="00653889">
          <w:rPr>
            <w:color w:val="0000FF"/>
            <w:sz w:val="18"/>
            <w:szCs w:val="18"/>
            <w:u w:val="single"/>
          </w:rPr>
          <w:t>https://glad.umd.edu/dataset</w:t>
        </w:r>
      </w:hyperlink>
      <w:r w:rsidRPr="00653889">
        <w:rPr>
          <w:color w:val="000000"/>
          <w:sz w:val="18"/>
          <w:szCs w:val="18"/>
        </w:rPr>
        <w:t xml:space="preserve"> </w:t>
      </w:r>
    </w:p>
  </w:footnote>
  <w:footnote w:id="61">
    <w:p w14:paraId="3AA101A6" w14:textId="77777777" w:rsidR="00D8392C" w:rsidRPr="00653889" w:rsidRDefault="00D8392C" w:rsidP="00D8392C">
      <w:pPr>
        <w:pBdr>
          <w:top w:val="nil"/>
          <w:left w:val="nil"/>
          <w:bottom w:val="nil"/>
          <w:right w:val="nil"/>
          <w:between w:val="nil"/>
        </w:pBdr>
        <w:rPr>
          <w:color w:val="000000"/>
          <w:sz w:val="18"/>
          <w:szCs w:val="18"/>
        </w:rPr>
      </w:pPr>
      <w:r w:rsidRPr="00653889">
        <w:rPr>
          <w:rStyle w:val="FootnoteReference"/>
          <w:sz w:val="18"/>
          <w:szCs w:val="18"/>
        </w:rPr>
        <w:footnoteRef/>
      </w:r>
      <w:r w:rsidRPr="00653889">
        <w:rPr>
          <w:color w:val="000000"/>
          <w:sz w:val="18"/>
          <w:szCs w:val="18"/>
        </w:rPr>
        <w:t xml:space="preserve"> </w:t>
      </w:r>
      <w:hyperlink r:id="rId37">
        <w:r w:rsidRPr="00653889">
          <w:rPr>
            <w:color w:val="0000FF"/>
            <w:sz w:val="18"/>
            <w:szCs w:val="18"/>
            <w:u w:val="single"/>
          </w:rPr>
          <w:t>SDG Indicator 15.3.1 | Sustainable developments Goals</w:t>
        </w:r>
      </w:hyperlink>
      <w:r w:rsidRPr="00653889">
        <w:rPr>
          <w:color w:val="000000"/>
          <w:sz w:val="18"/>
          <w:szCs w:val="18"/>
        </w:rPr>
        <w:t xml:space="preserve">; </w:t>
      </w:r>
      <w:hyperlink r:id="rId38">
        <w:r w:rsidRPr="00653889">
          <w:rPr>
            <w:color w:val="0000FF"/>
            <w:sz w:val="18"/>
            <w:szCs w:val="18"/>
            <w:u w:val="single"/>
          </w:rPr>
          <w:t>Metadata-15-03-01.pdf</w:t>
        </w:r>
      </w:hyperlink>
    </w:p>
  </w:footnote>
  <w:footnote w:id="62">
    <w:p w14:paraId="4DC909F5" w14:textId="77777777" w:rsidR="00D8392C" w:rsidRPr="00653889" w:rsidRDefault="00D8392C" w:rsidP="00D8392C">
      <w:pPr>
        <w:pBdr>
          <w:top w:val="nil"/>
          <w:left w:val="nil"/>
          <w:bottom w:val="nil"/>
          <w:right w:val="nil"/>
          <w:between w:val="nil"/>
        </w:pBdr>
        <w:rPr>
          <w:color w:val="000000"/>
          <w:sz w:val="18"/>
          <w:szCs w:val="18"/>
        </w:rPr>
      </w:pPr>
      <w:r w:rsidRPr="00653889">
        <w:rPr>
          <w:rStyle w:val="FootnoteReference"/>
          <w:sz w:val="18"/>
          <w:szCs w:val="18"/>
        </w:rPr>
        <w:footnoteRef/>
      </w:r>
      <w:r w:rsidRPr="00653889">
        <w:rPr>
          <w:color w:val="000000"/>
          <w:sz w:val="18"/>
          <w:szCs w:val="18"/>
        </w:rPr>
        <w:t xml:space="preserve"> </w:t>
      </w:r>
      <w:hyperlink r:id="rId39">
        <w:r w:rsidRPr="00653889">
          <w:rPr>
            <w:color w:val="0000FF"/>
            <w:sz w:val="18"/>
            <w:szCs w:val="18"/>
            <w:u w:val="single"/>
          </w:rPr>
          <w:t>SDG Indicator 15.4.2 | Sustainable developments Goals</w:t>
        </w:r>
      </w:hyperlink>
      <w:r w:rsidRPr="00653889">
        <w:rPr>
          <w:color w:val="000000"/>
          <w:sz w:val="18"/>
          <w:szCs w:val="18"/>
        </w:rPr>
        <w:t xml:space="preserve">; </w:t>
      </w:r>
      <w:hyperlink r:id="rId40">
        <w:r w:rsidRPr="00653889">
          <w:rPr>
            <w:color w:val="0000FF"/>
            <w:sz w:val="18"/>
            <w:szCs w:val="18"/>
            <w:u w:val="single"/>
          </w:rPr>
          <w:t>Metadata-15-04-02.pdf</w:t>
        </w:r>
      </w:hyperlink>
    </w:p>
  </w:footnote>
  <w:footnote w:id="63">
    <w:p w14:paraId="348FCEE0" w14:textId="77777777" w:rsidR="00D8392C" w:rsidRDefault="00D8392C" w:rsidP="00D8392C">
      <w:pPr>
        <w:pBdr>
          <w:top w:val="nil"/>
          <w:left w:val="nil"/>
          <w:bottom w:val="nil"/>
          <w:right w:val="nil"/>
          <w:between w:val="nil"/>
        </w:pBdr>
        <w:rPr>
          <w:color w:val="000000"/>
          <w:sz w:val="20"/>
          <w:szCs w:val="20"/>
        </w:rPr>
      </w:pPr>
      <w:r w:rsidRPr="00653889">
        <w:rPr>
          <w:rStyle w:val="FootnoteReference"/>
          <w:sz w:val="18"/>
          <w:szCs w:val="18"/>
        </w:rPr>
        <w:footnoteRef/>
      </w:r>
      <w:r w:rsidRPr="00653889">
        <w:rPr>
          <w:color w:val="000000"/>
          <w:sz w:val="18"/>
          <w:szCs w:val="18"/>
        </w:rPr>
        <w:t xml:space="preserve"> </w:t>
      </w:r>
      <w:hyperlink r:id="rId41">
        <w:r w:rsidRPr="00653889">
          <w:rPr>
            <w:color w:val="0000FF"/>
            <w:sz w:val="18"/>
            <w:szCs w:val="18"/>
            <w:u w:val="single"/>
          </w:rPr>
          <w:t>Good practice guidance. SDG indicator 15.3.1, Proportion of land that is degraded over total land area. Version 2.0. | UNCCD</w:t>
        </w:r>
      </w:hyperlink>
    </w:p>
  </w:footnote>
  <w:footnote w:id="64">
    <w:p w14:paraId="287EC894" w14:textId="77777777" w:rsidR="00287F00" w:rsidRDefault="00287F00" w:rsidP="00287F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18"/>
          <w:szCs w:val="18"/>
        </w:rPr>
      </w:pPr>
      <w:r>
        <w:rPr>
          <w:rStyle w:val="FootnoteReference"/>
          <w:rFonts w:asciiTheme="majorBidi" w:hAnsiTheme="majorBidi" w:cstheme="majorBidi"/>
          <w:sz w:val="18"/>
          <w:szCs w:val="18"/>
        </w:rPr>
        <w:footnoteRef/>
      </w:r>
      <w:r>
        <w:rPr>
          <w:rFonts w:asciiTheme="majorBidi" w:hAnsiTheme="majorBidi" w:cstheme="majorBidi"/>
          <w:sz w:val="18"/>
          <w:szCs w:val="18"/>
        </w:rPr>
        <w:t xml:space="preserve"> F</w:t>
      </w:r>
      <w:r>
        <w:rPr>
          <w:rFonts w:asciiTheme="majorBidi" w:eastAsia="Garamond" w:hAnsiTheme="majorBidi" w:cstheme="majorBidi"/>
          <w:color w:val="000000" w:themeColor="text1"/>
          <w:sz w:val="18"/>
          <w:szCs w:val="18"/>
        </w:rPr>
        <w:t>urther information on progress towards the target can be provided in the free text section of the reporting tool.</w:t>
      </w:r>
    </w:p>
    <w:p w14:paraId="22E191C9" w14:textId="77777777" w:rsidR="00287F00" w:rsidRDefault="00287F00" w:rsidP="00287F00">
      <w:pPr>
        <w:pStyle w:val="FootnoteText"/>
        <w:rPr>
          <w:rFonts w:asciiTheme="majorBidi" w:hAnsiTheme="majorBidi" w:cstheme="majorBidi"/>
          <w:sz w:val="18"/>
          <w:szCs w:val="18"/>
        </w:rPr>
      </w:pPr>
    </w:p>
  </w:footnote>
  <w:footnote w:id="65">
    <w:p w14:paraId="675A410A" w14:textId="77777777" w:rsidR="00261653" w:rsidRDefault="00261653" w:rsidP="00261653">
      <w:pPr>
        <w:pStyle w:val="FootnoteText"/>
      </w:pPr>
      <w:r>
        <w:rPr>
          <w:rStyle w:val="FootnoteReference"/>
        </w:rPr>
        <w:footnoteRef/>
      </w:r>
      <w:r>
        <w:t xml:space="preserve"> </w:t>
      </w:r>
      <w:r>
        <w:rPr>
          <w:rFonts w:asciiTheme="majorBidi" w:hAnsiTheme="majorBidi" w:cstheme="majorBidi"/>
        </w:rPr>
        <w:t>The Universal Declaration of Human rights - https://www.un.org/en/about-us/universal-declaration-of-human-rights</w:t>
      </w:r>
    </w:p>
  </w:footnote>
  <w:footnote w:id="66">
    <w:p w14:paraId="0C7E0E74" w14:textId="77777777" w:rsidR="00261653" w:rsidRDefault="00261653" w:rsidP="002616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18"/>
          <w:szCs w:val="18"/>
          <w:lang w:val="en-US"/>
        </w:rPr>
      </w:pPr>
      <w:r>
        <w:rPr>
          <w:rStyle w:val="FootnoteReference"/>
          <w:rFonts w:asciiTheme="majorBidi" w:hAnsiTheme="majorBidi" w:cstheme="majorBidi"/>
          <w:sz w:val="18"/>
          <w:szCs w:val="18"/>
        </w:rPr>
        <w:footnoteRef/>
      </w:r>
      <w:r>
        <w:rPr>
          <w:rFonts w:asciiTheme="majorBidi" w:hAnsiTheme="majorBidi" w:cstheme="majorBidi"/>
          <w:sz w:val="18"/>
          <w:szCs w:val="18"/>
        </w:rPr>
        <w:t xml:space="preserve"> </w:t>
      </w:r>
      <w:r>
        <w:rPr>
          <w:rFonts w:asciiTheme="majorBidi" w:eastAsia="Garamond" w:hAnsiTheme="majorBidi" w:cstheme="majorBidi"/>
          <w:color w:val="000000" w:themeColor="text1"/>
          <w:sz w:val="18"/>
          <w:szCs w:val="18"/>
        </w:rPr>
        <w:t>Further information on progress towards the target can be provided in the free text section of the reporting tool.</w:t>
      </w:r>
    </w:p>
    <w:p w14:paraId="5AFD3F3F" w14:textId="77777777" w:rsidR="00261653" w:rsidRDefault="00261653" w:rsidP="00261653">
      <w:pPr>
        <w:pStyle w:val="FootnoteText"/>
        <w:rPr>
          <w:rFonts w:asciiTheme="majorBidi" w:hAnsiTheme="majorBidi" w:cstheme="majorBidi"/>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9F7C2" w14:textId="2C7872F7" w:rsidR="000F6760" w:rsidRPr="00E822AE" w:rsidRDefault="000F6760" w:rsidP="00E822AE">
    <w:pPr>
      <w:pStyle w:val="CBDNormal"/>
      <w:pBdr>
        <w:bottom w:val="single" w:sz="4" w:space="1" w:color="auto"/>
      </w:pBdr>
      <w:rPr>
        <w:sz w:val="20"/>
        <w:szCs w:val="20"/>
      </w:rPr>
    </w:pPr>
    <w:r w:rsidRPr="00E822AE">
      <w:rPr>
        <w:sz w:val="20"/>
        <w:szCs w:val="20"/>
      </w:rPr>
      <w:t>CBD/SBSTTA/28/INF</w:t>
    </w:r>
    <w:r w:rsidR="00BC3795" w:rsidRPr="00E822AE">
      <w:rPr>
        <w:sz w:val="20"/>
        <w:szCs w:val="20"/>
      </w:rPr>
      <w:t>/</w:t>
    </w:r>
    <w:r w:rsidRPr="00E822AE">
      <w:rPr>
        <w:sz w:val="20"/>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463FE" w14:textId="698F34C6" w:rsidR="00BC3795" w:rsidRPr="00E822AE" w:rsidRDefault="005E56CC" w:rsidP="00E822AE">
    <w:pPr>
      <w:pStyle w:val="CBDNormal"/>
      <w:pBdr>
        <w:bottom w:val="single" w:sz="4" w:space="1" w:color="auto"/>
      </w:pBdr>
      <w:jc w:val="right"/>
      <w:rPr>
        <w:sz w:val="20"/>
        <w:szCs w:val="20"/>
      </w:rPr>
    </w:pPr>
    <w:r w:rsidRPr="00E822AE">
      <w:rPr>
        <w:sz w:val="20"/>
        <w:szCs w:val="20"/>
      </w:rPr>
      <w:t>CBD/SBSTTA/28/INF/4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5EB"/>
    <w:multiLevelType w:val="multilevel"/>
    <w:tmpl w:val="4F6A1FD8"/>
    <w:lvl w:ilvl="0">
      <w:start w:val="1"/>
      <w:numFmt w:val="lowerLetter"/>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 w15:restartNumberingAfterBreak="0">
    <w:nsid w:val="00CC471A"/>
    <w:multiLevelType w:val="multilevel"/>
    <w:tmpl w:val="DF2AD626"/>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16A6A6F"/>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 w15:restartNumberingAfterBreak="0">
    <w:nsid w:val="01CE6E43"/>
    <w:multiLevelType w:val="hybridMultilevel"/>
    <w:tmpl w:val="65A6E804"/>
    <w:lvl w:ilvl="0" w:tplc="FFFFFFFF">
      <w:start w:val="1"/>
      <w:numFmt w:val="lowerLetter"/>
      <w:lvlText w:val="(%1)"/>
      <w:lvlJc w:val="left"/>
      <w:pPr>
        <w:ind w:left="720" w:hanging="360"/>
      </w:pPr>
      <w:rPr>
        <w:rFonts w:ascii="Times New Roman" w:eastAsia="SimSun" w:hAnsi="Times New Roman" w:cs="Times New Roman"/>
      </w:rPr>
    </w:lvl>
    <w:lvl w:ilvl="1" w:tplc="2154102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2D25193"/>
    <w:multiLevelType w:val="hybridMultilevel"/>
    <w:tmpl w:val="AA1ECE08"/>
    <w:lvl w:ilvl="0" w:tplc="84A8AA3A">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 w15:restartNumberingAfterBreak="0">
    <w:nsid w:val="03847EDC"/>
    <w:multiLevelType w:val="multilevel"/>
    <w:tmpl w:val="21063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D33BDA"/>
    <w:multiLevelType w:val="multilevel"/>
    <w:tmpl w:val="B9F0D6F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073C31E6"/>
    <w:multiLevelType w:val="multilevel"/>
    <w:tmpl w:val="FEB4FD9A"/>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88A5585"/>
    <w:multiLevelType w:val="hybridMultilevel"/>
    <w:tmpl w:val="9106227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9" w15:restartNumberingAfterBreak="0">
    <w:nsid w:val="08B86D93"/>
    <w:multiLevelType w:val="hybridMultilevel"/>
    <w:tmpl w:val="90A482B2"/>
    <w:lvl w:ilvl="0" w:tplc="60AAD378">
      <w:start w:val="1"/>
      <w:numFmt w:val="lowerLetter"/>
      <w:lvlText w:val="(%1)"/>
      <w:lvlJc w:val="left"/>
      <w:pPr>
        <w:ind w:left="927" w:hanging="360"/>
      </w:pPr>
      <w:rPr>
        <w:rFonts w:ascii="Times New Roman" w:eastAsia="SimSun" w:hAnsi="Times New Roman" w:cs="Times New Roman"/>
      </w:rPr>
    </w:lvl>
    <w:lvl w:ilvl="1" w:tplc="FFFFFFFF">
      <w:start w:val="1"/>
      <w:numFmt w:val="bullet"/>
      <w:lvlText w:val=""/>
      <w:lvlJc w:val="left"/>
      <w:pPr>
        <w:ind w:left="1647" w:hanging="360"/>
      </w:pPr>
      <w:rPr>
        <w:rFonts w:ascii="Symbol" w:hAnsi="Symbol" w:hint="default"/>
      </w:rPr>
    </w:lvl>
    <w:lvl w:ilvl="2" w:tplc="1E448EAC">
      <w:start w:val="1"/>
      <w:numFmt w:val="lowerRoman"/>
      <w:lvlText w:val="%3."/>
      <w:lvlJc w:val="right"/>
      <w:pPr>
        <w:ind w:left="2367" w:hanging="180"/>
      </w:pPr>
    </w:lvl>
    <w:lvl w:ilvl="3" w:tplc="D9D67490">
      <w:start w:val="1"/>
      <w:numFmt w:val="decimal"/>
      <w:lvlText w:val="%4."/>
      <w:lvlJc w:val="left"/>
      <w:pPr>
        <w:ind w:left="3087" w:hanging="360"/>
      </w:pPr>
    </w:lvl>
    <w:lvl w:ilvl="4" w:tplc="497EDD38">
      <w:start w:val="1"/>
      <w:numFmt w:val="lowerLetter"/>
      <w:lvlText w:val="%5."/>
      <w:lvlJc w:val="left"/>
      <w:pPr>
        <w:ind w:left="3807" w:hanging="360"/>
      </w:pPr>
    </w:lvl>
    <w:lvl w:ilvl="5" w:tplc="6A9C70FA">
      <w:start w:val="1"/>
      <w:numFmt w:val="lowerRoman"/>
      <w:lvlText w:val="%6."/>
      <w:lvlJc w:val="right"/>
      <w:pPr>
        <w:ind w:left="4527" w:hanging="180"/>
      </w:pPr>
    </w:lvl>
    <w:lvl w:ilvl="6" w:tplc="B7BEA388">
      <w:start w:val="1"/>
      <w:numFmt w:val="decimal"/>
      <w:lvlText w:val="%7."/>
      <w:lvlJc w:val="left"/>
      <w:pPr>
        <w:ind w:left="5247" w:hanging="360"/>
      </w:pPr>
    </w:lvl>
    <w:lvl w:ilvl="7" w:tplc="3318865E">
      <w:start w:val="1"/>
      <w:numFmt w:val="lowerLetter"/>
      <w:lvlText w:val="%8."/>
      <w:lvlJc w:val="left"/>
      <w:pPr>
        <w:ind w:left="5967" w:hanging="360"/>
      </w:pPr>
    </w:lvl>
    <w:lvl w:ilvl="8" w:tplc="56C42F1C">
      <w:start w:val="1"/>
      <w:numFmt w:val="lowerRoman"/>
      <w:lvlText w:val="%9."/>
      <w:lvlJc w:val="right"/>
      <w:pPr>
        <w:ind w:left="6687" w:hanging="180"/>
      </w:pPr>
    </w:lvl>
  </w:abstractNum>
  <w:abstractNum w:abstractNumId="10" w15:restartNumberingAfterBreak="0">
    <w:nsid w:val="08EC08E3"/>
    <w:multiLevelType w:val="hybridMultilevel"/>
    <w:tmpl w:val="390E322E"/>
    <w:lvl w:ilvl="0" w:tplc="FFFFFFFF">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9FF35BF"/>
    <w:multiLevelType w:val="hybridMultilevel"/>
    <w:tmpl w:val="35C2AAE8"/>
    <w:lvl w:ilvl="0" w:tplc="FFFFFFFF">
      <w:start w:val="1"/>
      <w:numFmt w:val="decimal"/>
      <w:lvlText w:val="%1."/>
      <w:lvlJc w:val="left"/>
      <w:pPr>
        <w:ind w:left="2304" w:hanging="360"/>
      </w:pPr>
      <w:rPr>
        <w:rFonts w:hint="default"/>
        <w:b w:val="0"/>
        <w:bCs w:val="0"/>
        <w:color w:val="auto"/>
        <w:sz w:val="22"/>
        <w:szCs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0A493EAA"/>
    <w:multiLevelType w:val="hybridMultilevel"/>
    <w:tmpl w:val="92AEC1B0"/>
    <w:lvl w:ilvl="0" w:tplc="FFFFFFFF">
      <w:start w:val="1"/>
      <w:numFmt w:val="lowerLetter"/>
      <w:lvlText w:val="(%1)"/>
      <w:lvlJc w:val="left"/>
      <w:pPr>
        <w:ind w:left="1440" w:hanging="360"/>
      </w:pPr>
    </w:lvl>
    <w:lvl w:ilvl="1" w:tplc="10090019" w:tentative="1">
      <w:start w:val="1"/>
      <w:numFmt w:val="lowerLetter"/>
      <w:lvlText w:val="%2."/>
      <w:lvlJc w:val="left"/>
      <w:pPr>
        <w:ind w:left="576" w:hanging="360"/>
      </w:pPr>
    </w:lvl>
    <w:lvl w:ilvl="2" w:tplc="1009001B" w:tentative="1">
      <w:start w:val="1"/>
      <w:numFmt w:val="lowerRoman"/>
      <w:lvlText w:val="%3."/>
      <w:lvlJc w:val="right"/>
      <w:pPr>
        <w:ind w:left="1296" w:hanging="180"/>
      </w:pPr>
    </w:lvl>
    <w:lvl w:ilvl="3" w:tplc="1009000F" w:tentative="1">
      <w:start w:val="1"/>
      <w:numFmt w:val="decimal"/>
      <w:lvlText w:val="%4."/>
      <w:lvlJc w:val="left"/>
      <w:pPr>
        <w:ind w:left="2016" w:hanging="360"/>
      </w:pPr>
    </w:lvl>
    <w:lvl w:ilvl="4" w:tplc="10090019" w:tentative="1">
      <w:start w:val="1"/>
      <w:numFmt w:val="lowerLetter"/>
      <w:lvlText w:val="%5."/>
      <w:lvlJc w:val="left"/>
      <w:pPr>
        <w:ind w:left="2736" w:hanging="360"/>
      </w:pPr>
    </w:lvl>
    <w:lvl w:ilvl="5" w:tplc="1009001B" w:tentative="1">
      <w:start w:val="1"/>
      <w:numFmt w:val="lowerRoman"/>
      <w:lvlText w:val="%6."/>
      <w:lvlJc w:val="right"/>
      <w:pPr>
        <w:ind w:left="3456" w:hanging="180"/>
      </w:pPr>
    </w:lvl>
    <w:lvl w:ilvl="6" w:tplc="1009000F" w:tentative="1">
      <w:start w:val="1"/>
      <w:numFmt w:val="decimal"/>
      <w:lvlText w:val="%7."/>
      <w:lvlJc w:val="left"/>
      <w:pPr>
        <w:ind w:left="4176" w:hanging="360"/>
      </w:pPr>
    </w:lvl>
    <w:lvl w:ilvl="7" w:tplc="10090019" w:tentative="1">
      <w:start w:val="1"/>
      <w:numFmt w:val="lowerLetter"/>
      <w:lvlText w:val="%8."/>
      <w:lvlJc w:val="left"/>
      <w:pPr>
        <w:ind w:left="4896" w:hanging="360"/>
      </w:pPr>
    </w:lvl>
    <w:lvl w:ilvl="8" w:tplc="1009001B" w:tentative="1">
      <w:start w:val="1"/>
      <w:numFmt w:val="lowerRoman"/>
      <w:lvlText w:val="%9."/>
      <w:lvlJc w:val="right"/>
      <w:pPr>
        <w:ind w:left="5616" w:hanging="180"/>
      </w:pPr>
    </w:lvl>
  </w:abstractNum>
  <w:abstractNum w:abstractNumId="13" w15:restartNumberingAfterBreak="0">
    <w:nsid w:val="0C163B65"/>
    <w:multiLevelType w:val="hybridMultilevel"/>
    <w:tmpl w:val="E41A3E56"/>
    <w:lvl w:ilvl="0" w:tplc="BD6EBCC2">
      <w:start w:val="1"/>
      <w:numFmt w:val="lowerLetter"/>
      <w:lvlText w:val="%1."/>
      <w:lvlJc w:val="left"/>
      <w:pPr>
        <w:ind w:left="720" w:hanging="360"/>
      </w:pPr>
    </w:lvl>
    <w:lvl w:ilvl="1" w:tplc="E982B6AA">
      <w:start w:val="1"/>
      <w:numFmt w:val="lowerLetter"/>
      <w:lvlText w:val="%2."/>
      <w:lvlJc w:val="left"/>
      <w:pPr>
        <w:ind w:left="1440" w:hanging="360"/>
      </w:pPr>
    </w:lvl>
    <w:lvl w:ilvl="2" w:tplc="394EDA88">
      <w:start w:val="1"/>
      <w:numFmt w:val="lowerRoman"/>
      <w:lvlText w:val="%3."/>
      <w:lvlJc w:val="right"/>
      <w:pPr>
        <w:ind w:left="2160" w:hanging="180"/>
      </w:pPr>
    </w:lvl>
    <w:lvl w:ilvl="3" w:tplc="42B692D8">
      <w:start w:val="1"/>
      <w:numFmt w:val="decimal"/>
      <w:lvlText w:val="%4."/>
      <w:lvlJc w:val="left"/>
      <w:pPr>
        <w:ind w:left="2880" w:hanging="360"/>
      </w:pPr>
    </w:lvl>
    <w:lvl w:ilvl="4" w:tplc="CEBA7098">
      <w:start w:val="1"/>
      <w:numFmt w:val="lowerLetter"/>
      <w:lvlText w:val="%5."/>
      <w:lvlJc w:val="left"/>
      <w:pPr>
        <w:ind w:left="3600" w:hanging="360"/>
      </w:pPr>
    </w:lvl>
    <w:lvl w:ilvl="5" w:tplc="D0CCDCF4">
      <w:start w:val="1"/>
      <w:numFmt w:val="lowerRoman"/>
      <w:lvlText w:val="%6."/>
      <w:lvlJc w:val="right"/>
      <w:pPr>
        <w:ind w:left="4320" w:hanging="180"/>
      </w:pPr>
    </w:lvl>
    <w:lvl w:ilvl="6" w:tplc="265A9D9E">
      <w:start w:val="1"/>
      <w:numFmt w:val="decimal"/>
      <w:lvlText w:val="%7."/>
      <w:lvlJc w:val="left"/>
      <w:pPr>
        <w:ind w:left="5040" w:hanging="360"/>
      </w:pPr>
    </w:lvl>
    <w:lvl w:ilvl="7" w:tplc="3DE043C0">
      <w:start w:val="1"/>
      <w:numFmt w:val="lowerLetter"/>
      <w:lvlText w:val="%8."/>
      <w:lvlJc w:val="left"/>
      <w:pPr>
        <w:ind w:left="5760" w:hanging="360"/>
      </w:pPr>
    </w:lvl>
    <w:lvl w:ilvl="8" w:tplc="97B0B866">
      <w:start w:val="1"/>
      <w:numFmt w:val="lowerRoman"/>
      <w:lvlText w:val="%9."/>
      <w:lvlJc w:val="right"/>
      <w:pPr>
        <w:ind w:left="6480" w:hanging="180"/>
      </w:pPr>
    </w:lvl>
  </w:abstractNum>
  <w:abstractNum w:abstractNumId="14" w15:restartNumberingAfterBreak="0">
    <w:nsid w:val="0C681DA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5" w15:restartNumberingAfterBreak="0">
    <w:nsid w:val="0C9A1E6E"/>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6" w15:restartNumberingAfterBreak="0">
    <w:nsid w:val="0D924BC3"/>
    <w:multiLevelType w:val="hybridMultilevel"/>
    <w:tmpl w:val="874A90F2"/>
    <w:lvl w:ilvl="0" w:tplc="FFFFFFFF">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9F4586"/>
    <w:multiLevelType w:val="hybridMultilevel"/>
    <w:tmpl w:val="EF8EC996"/>
    <w:lvl w:ilvl="0" w:tplc="FFFFFFFF">
      <w:start w:val="1"/>
      <w:numFmt w:val="lowerLetter"/>
      <w:lvlText w:val="(%1)"/>
      <w:lvlJc w:val="left"/>
      <w:pPr>
        <w:ind w:left="-5472" w:hanging="360"/>
      </w:pPr>
    </w:lvl>
    <w:lvl w:ilvl="1" w:tplc="FFFFFFFF" w:tentative="1">
      <w:start w:val="1"/>
      <w:numFmt w:val="lowerLetter"/>
      <w:lvlText w:val="%2."/>
      <w:lvlJc w:val="left"/>
      <w:pPr>
        <w:ind w:left="-6336" w:hanging="360"/>
      </w:pPr>
    </w:lvl>
    <w:lvl w:ilvl="2" w:tplc="FFFFFFFF" w:tentative="1">
      <w:start w:val="1"/>
      <w:numFmt w:val="lowerRoman"/>
      <w:lvlText w:val="%3."/>
      <w:lvlJc w:val="right"/>
      <w:pPr>
        <w:ind w:left="-5616" w:hanging="180"/>
      </w:pPr>
    </w:lvl>
    <w:lvl w:ilvl="3" w:tplc="FFFFFFFF" w:tentative="1">
      <w:start w:val="1"/>
      <w:numFmt w:val="decimal"/>
      <w:lvlText w:val="%4."/>
      <w:lvlJc w:val="left"/>
      <w:pPr>
        <w:ind w:left="-489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2736" w:hanging="360"/>
      </w:pPr>
    </w:lvl>
    <w:lvl w:ilvl="7" w:tplc="FFFFFFFF" w:tentative="1">
      <w:start w:val="1"/>
      <w:numFmt w:val="lowerLetter"/>
      <w:lvlText w:val="%8."/>
      <w:lvlJc w:val="left"/>
      <w:pPr>
        <w:ind w:left="-2016" w:hanging="360"/>
      </w:pPr>
    </w:lvl>
    <w:lvl w:ilvl="8" w:tplc="FFFFFFFF" w:tentative="1">
      <w:start w:val="1"/>
      <w:numFmt w:val="lowerRoman"/>
      <w:lvlText w:val="%9."/>
      <w:lvlJc w:val="right"/>
      <w:pPr>
        <w:ind w:left="-1296" w:hanging="180"/>
      </w:pPr>
    </w:lvl>
  </w:abstractNum>
  <w:abstractNum w:abstractNumId="18" w15:restartNumberingAfterBreak="0">
    <w:nsid w:val="0EDD5D68"/>
    <w:multiLevelType w:val="hybridMultilevel"/>
    <w:tmpl w:val="54B89BF4"/>
    <w:lvl w:ilvl="0" w:tplc="FFFFFFFF">
      <w:start w:val="1"/>
      <w:numFmt w:val="lowerLetter"/>
      <w:lvlText w:val="(%1)"/>
      <w:lvlJc w:val="left"/>
      <w:pPr>
        <w:ind w:left="23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F48BED5"/>
    <w:multiLevelType w:val="hybridMultilevel"/>
    <w:tmpl w:val="859C3970"/>
    <w:lvl w:ilvl="0" w:tplc="F94A1F9A">
      <w:start w:val="1"/>
      <w:numFmt w:val="decimal"/>
      <w:lvlText w:val="%1)"/>
      <w:lvlJc w:val="left"/>
      <w:pPr>
        <w:ind w:left="720" w:hanging="360"/>
      </w:pPr>
    </w:lvl>
    <w:lvl w:ilvl="1" w:tplc="C10466B2">
      <w:start w:val="1"/>
      <w:numFmt w:val="lowerLetter"/>
      <w:lvlText w:val="%2."/>
      <w:lvlJc w:val="left"/>
      <w:pPr>
        <w:ind w:left="1440" w:hanging="360"/>
      </w:pPr>
    </w:lvl>
    <w:lvl w:ilvl="2" w:tplc="2DB4CE02">
      <w:start w:val="1"/>
      <w:numFmt w:val="lowerRoman"/>
      <w:lvlText w:val="%3."/>
      <w:lvlJc w:val="right"/>
      <w:pPr>
        <w:ind w:left="2160" w:hanging="180"/>
      </w:pPr>
    </w:lvl>
    <w:lvl w:ilvl="3" w:tplc="BB728FE6">
      <w:start w:val="1"/>
      <w:numFmt w:val="decimal"/>
      <w:lvlText w:val="%4."/>
      <w:lvlJc w:val="left"/>
      <w:pPr>
        <w:ind w:left="2880" w:hanging="360"/>
      </w:pPr>
    </w:lvl>
    <w:lvl w:ilvl="4" w:tplc="FCF4C67A">
      <w:start w:val="1"/>
      <w:numFmt w:val="lowerLetter"/>
      <w:lvlText w:val="%5."/>
      <w:lvlJc w:val="left"/>
      <w:pPr>
        <w:ind w:left="3600" w:hanging="360"/>
      </w:pPr>
    </w:lvl>
    <w:lvl w:ilvl="5" w:tplc="E7368BB0">
      <w:start w:val="1"/>
      <w:numFmt w:val="lowerRoman"/>
      <w:lvlText w:val="%6."/>
      <w:lvlJc w:val="right"/>
      <w:pPr>
        <w:ind w:left="4320" w:hanging="180"/>
      </w:pPr>
    </w:lvl>
    <w:lvl w:ilvl="6" w:tplc="7714BA38">
      <w:start w:val="1"/>
      <w:numFmt w:val="decimal"/>
      <w:lvlText w:val="%7."/>
      <w:lvlJc w:val="left"/>
      <w:pPr>
        <w:ind w:left="5040" w:hanging="360"/>
      </w:pPr>
    </w:lvl>
    <w:lvl w:ilvl="7" w:tplc="7444EDA4">
      <w:start w:val="1"/>
      <w:numFmt w:val="lowerLetter"/>
      <w:lvlText w:val="%8."/>
      <w:lvlJc w:val="left"/>
      <w:pPr>
        <w:ind w:left="5760" w:hanging="360"/>
      </w:pPr>
    </w:lvl>
    <w:lvl w:ilvl="8" w:tplc="5AB2F272">
      <w:start w:val="1"/>
      <w:numFmt w:val="lowerRoman"/>
      <w:lvlText w:val="%9."/>
      <w:lvlJc w:val="right"/>
      <w:pPr>
        <w:ind w:left="6480" w:hanging="180"/>
      </w:pPr>
    </w:lvl>
  </w:abstractNum>
  <w:abstractNum w:abstractNumId="20" w15:restartNumberingAfterBreak="0">
    <w:nsid w:val="10512586"/>
    <w:multiLevelType w:val="hybridMultilevel"/>
    <w:tmpl w:val="BB0AEE5E"/>
    <w:lvl w:ilvl="0" w:tplc="44F4ADE4">
      <w:start w:val="1"/>
      <w:numFmt w:val="decimal"/>
      <w:lvlText w:val="%1)"/>
      <w:lvlJc w:val="left"/>
      <w:pPr>
        <w:ind w:left="720" w:hanging="360"/>
      </w:pPr>
    </w:lvl>
    <w:lvl w:ilvl="1" w:tplc="6E902704">
      <w:start w:val="1"/>
      <w:numFmt w:val="lowerLetter"/>
      <w:lvlText w:val="%2."/>
      <w:lvlJc w:val="left"/>
      <w:pPr>
        <w:ind w:left="1440" w:hanging="360"/>
      </w:pPr>
    </w:lvl>
    <w:lvl w:ilvl="2" w:tplc="3F8C2C14">
      <w:start w:val="1"/>
      <w:numFmt w:val="lowerRoman"/>
      <w:lvlText w:val="%3."/>
      <w:lvlJc w:val="right"/>
      <w:pPr>
        <w:ind w:left="2160" w:hanging="180"/>
      </w:pPr>
    </w:lvl>
    <w:lvl w:ilvl="3" w:tplc="3F3AFC4C">
      <w:start w:val="1"/>
      <w:numFmt w:val="decimal"/>
      <w:lvlText w:val="%4."/>
      <w:lvlJc w:val="left"/>
      <w:pPr>
        <w:ind w:left="2880" w:hanging="360"/>
      </w:pPr>
    </w:lvl>
    <w:lvl w:ilvl="4" w:tplc="A7B42392">
      <w:start w:val="1"/>
      <w:numFmt w:val="lowerLetter"/>
      <w:lvlText w:val="%5."/>
      <w:lvlJc w:val="left"/>
      <w:pPr>
        <w:ind w:left="3600" w:hanging="360"/>
      </w:pPr>
    </w:lvl>
    <w:lvl w:ilvl="5" w:tplc="1B74AD50">
      <w:start w:val="1"/>
      <w:numFmt w:val="lowerRoman"/>
      <w:lvlText w:val="%6."/>
      <w:lvlJc w:val="right"/>
      <w:pPr>
        <w:ind w:left="4320" w:hanging="180"/>
      </w:pPr>
    </w:lvl>
    <w:lvl w:ilvl="6" w:tplc="6922B250">
      <w:start w:val="1"/>
      <w:numFmt w:val="decimal"/>
      <w:lvlText w:val="%7."/>
      <w:lvlJc w:val="left"/>
      <w:pPr>
        <w:ind w:left="5040" w:hanging="360"/>
      </w:pPr>
    </w:lvl>
    <w:lvl w:ilvl="7" w:tplc="3B7C6AB0">
      <w:start w:val="1"/>
      <w:numFmt w:val="lowerLetter"/>
      <w:lvlText w:val="%8."/>
      <w:lvlJc w:val="left"/>
      <w:pPr>
        <w:ind w:left="5760" w:hanging="360"/>
      </w:pPr>
    </w:lvl>
    <w:lvl w:ilvl="8" w:tplc="4E14DB04">
      <w:start w:val="1"/>
      <w:numFmt w:val="lowerRoman"/>
      <w:lvlText w:val="%9."/>
      <w:lvlJc w:val="right"/>
      <w:pPr>
        <w:ind w:left="6480" w:hanging="180"/>
      </w:pPr>
    </w:lvl>
  </w:abstractNum>
  <w:abstractNum w:abstractNumId="21" w15:restartNumberingAfterBreak="0">
    <w:nsid w:val="10857700"/>
    <w:multiLevelType w:val="multilevel"/>
    <w:tmpl w:val="3C2AA1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0C92AF9"/>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3" w15:restartNumberingAfterBreak="0">
    <w:nsid w:val="121F6561"/>
    <w:multiLevelType w:val="hybridMultilevel"/>
    <w:tmpl w:val="1EE0D998"/>
    <w:lvl w:ilvl="0" w:tplc="FFFFFFFF">
      <w:start w:val="1"/>
      <w:numFmt w:val="decimal"/>
      <w:lvlText w:val="%1."/>
      <w:lvlJc w:val="left"/>
      <w:pPr>
        <w:ind w:left="1080" w:hanging="360"/>
      </w:pPr>
      <w:rPr>
        <w:rFonts w:hint="default"/>
        <w:b w:val="0"/>
        <w:bCs w:val="0"/>
        <w:color w:val="auto"/>
        <w:sz w:val="22"/>
        <w:szCs w:val="22"/>
      </w:rPr>
    </w:lvl>
    <w:lvl w:ilvl="1" w:tplc="10090019" w:tentative="1">
      <w:start w:val="1"/>
      <w:numFmt w:val="lowerLetter"/>
      <w:lvlText w:val="%2."/>
      <w:lvlJc w:val="left"/>
      <w:pPr>
        <w:ind w:left="936" w:hanging="360"/>
      </w:pPr>
    </w:lvl>
    <w:lvl w:ilvl="2" w:tplc="1009001B" w:tentative="1">
      <w:start w:val="1"/>
      <w:numFmt w:val="lowerRoman"/>
      <w:lvlText w:val="%3."/>
      <w:lvlJc w:val="right"/>
      <w:pPr>
        <w:ind w:left="1656" w:hanging="180"/>
      </w:pPr>
    </w:lvl>
    <w:lvl w:ilvl="3" w:tplc="1009000F" w:tentative="1">
      <w:start w:val="1"/>
      <w:numFmt w:val="decimal"/>
      <w:lvlText w:val="%4."/>
      <w:lvlJc w:val="left"/>
      <w:pPr>
        <w:ind w:left="2376" w:hanging="360"/>
      </w:pPr>
    </w:lvl>
    <w:lvl w:ilvl="4" w:tplc="10090019" w:tentative="1">
      <w:start w:val="1"/>
      <w:numFmt w:val="lowerLetter"/>
      <w:lvlText w:val="%5."/>
      <w:lvlJc w:val="left"/>
      <w:pPr>
        <w:ind w:left="3096" w:hanging="360"/>
      </w:pPr>
    </w:lvl>
    <w:lvl w:ilvl="5" w:tplc="1009001B" w:tentative="1">
      <w:start w:val="1"/>
      <w:numFmt w:val="lowerRoman"/>
      <w:lvlText w:val="%6."/>
      <w:lvlJc w:val="right"/>
      <w:pPr>
        <w:ind w:left="3816" w:hanging="180"/>
      </w:pPr>
    </w:lvl>
    <w:lvl w:ilvl="6" w:tplc="1009000F" w:tentative="1">
      <w:start w:val="1"/>
      <w:numFmt w:val="decimal"/>
      <w:lvlText w:val="%7."/>
      <w:lvlJc w:val="left"/>
      <w:pPr>
        <w:ind w:left="4536" w:hanging="360"/>
      </w:pPr>
    </w:lvl>
    <w:lvl w:ilvl="7" w:tplc="10090019" w:tentative="1">
      <w:start w:val="1"/>
      <w:numFmt w:val="lowerLetter"/>
      <w:lvlText w:val="%8."/>
      <w:lvlJc w:val="left"/>
      <w:pPr>
        <w:ind w:left="5256" w:hanging="360"/>
      </w:pPr>
    </w:lvl>
    <w:lvl w:ilvl="8" w:tplc="1009001B" w:tentative="1">
      <w:start w:val="1"/>
      <w:numFmt w:val="lowerRoman"/>
      <w:lvlText w:val="%9."/>
      <w:lvlJc w:val="right"/>
      <w:pPr>
        <w:ind w:left="5976" w:hanging="180"/>
      </w:pPr>
    </w:lvl>
  </w:abstractNum>
  <w:abstractNum w:abstractNumId="24" w15:restartNumberingAfterBreak="0">
    <w:nsid w:val="127847F4"/>
    <w:multiLevelType w:val="multilevel"/>
    <w:tmpl w:val="651A17A4"/>
    <w:lvl w:ilvl="0">
      <w:start w:val="1"/>
      <w:numFmt w:val="lowerLetter"/>
      <w:lvlText w:val="%1)"/>
      <w:lvlJc w:val="left"/>
      <w:pPr>
        <w:ind w:left="12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39874D1"/>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6" w15:restartNumberingAfterBreak="0">
    <w:nsid w:val="13EF6250"/>
    <w:multiLevelType w:val="hybridMultilevel"/>
    <w:tmpl w:val="D22A5216"/>
    <w:lvl w:ilvl="0" w:tplc="FFFFFFFF">
      <w:start w:val="1"/>
      <w:numFmt w:val="lowerLetter"/>
      <w:lvlText w:val="(%1)"/>
      <w:lvlJc w:val="left"/>
      <w:pPr>
        <w:ind w:left="-4608" w:hanging="360"/>
      </w:pPr>
    </w:lvl>
    <w:lvl w:ilvl="1" w:tplc="10090019" w:tentative="1">
      <w:start w:val="1"/>
      <w:numFmt w:val="lowerLetter"/>
      <w:lvlText w:val="%2."/>
      <w:lvlJc w:val="left"/>
      <w:pPr>
        <w:ind w:left="-5472" w:hanging="360"/>
      </w:pPr>
    </w:lvl>
    <w:lvl w:ilvl="2" w:tplc="1009001B" w:tentative="1">
      <w:start w:val="1"/>
      <w:numFmt w:val="lowerRoman"/>
      <w:lvlText w:val="%3."/>
      <w:lvlJc w:val="right"/>
      <w:pPr>
        <w:ind w:left="-4752" w:hanging="180"/>
      </w:pPr>
    </w:lvl>
    <w:lvl w:ilvl="3" w:tplc="1009000F" w:tentative="1">
      <w:start w:val="1"/>
      <w:numFmt w:val="decimal"/>
      <w:lvlText w:val="%4."/>
      <w:lvlJc w:val="left"/>
      <w:pPr>
        <w:ind w:left="-403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2592" w:hanging="180"/>
      </w:pPr>
    </w:lvl>
    <w:lvl w:ilvl="6" w:tplc="1009000F" w:tentative="1">
      <w:start w:val="1"/>
      <w:numFmt w:val="decimal"/>
      <w:lvlText w:val="%7."/>
      <w:lvlJc w:val="left"/>
      <w:pPr>
        <w:ind w:left="-1872" w:hanging="360"/>
      </w:pPr>
    </w:lvl>
    <w:lvl w:ilvl="7" w:tplc="10090019" w:tentative="1">
      <w:start w:val="1"/>
      <w:numFmt w:val="lowerLetter"/>
      <w:lvlText w:val="%8."/>
      <w:lvlJc w:val="left"/>
      <w:pPr>
        <w:ind w:left="-1152" w:hanging="360"/>
      </w:pPr>
    </w:lvl>
    <w:lvl w:ilvl="8" w:tplc="1009001B" w:tentative="1">
      <w:start w:val="1"/>
      <w:numFmt w:val="lowerRoman"/>
      <w:lvlText w:val="%9."/>
      <w:lvlJc w:val="right"/>
      <w:pPr>
        <w:ind w:left="-432" w:hanging="180"/>
      </w:pPr>
    </w:lvl>
  </w:abstractNum>
  <w:abstractNum w:abstractNumId="27" w15:restartNumberingAfterBreak="0">
    <w:nsid w:val="14094EBE"/>
    <w:multiLevelType w:val="multilevel"/>
    <w:tmpl w:val="2C0E7E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142D3DE0"/>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9" w15:restartNumberingAfterBreak="0">
    <w:nsid w:val="15B6097D"/>
    <w:multiLevelType w:val="hybridMultilevel"/>
    <w:tmpl w:val="59CE97DE"/>
    <w:lvl w:ilvl="0" w:tplc="FFFFFFFF">
      <w:start w:val="1"/>
      <w:numFmt w:val="lowerLetter"/>
      <w:lvlText w:val="(%1)"/>
      <w:lvlJc w:val="left"/>
      <w:pPr>
        <w:ind w:left="23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5DD0294"/>
    <w:multiLevelType w:val="hybridMultilevel"/>
    <w:tmpl w:val="1B526F34"/>
    <w:lvl w:ilvl="0" w:tplc="FFFFFFFF">
      <w:start w:val="1"/>
      <w:numFmt w:val="lowerLetter"/>
      <w:lvlText w:val="(%1)"/>
      <w:lvlJc w:val="left"/>
      <w:pPr>
        <w:ind w:left="576" w:hanging="360"/>
      </w:pPr>
    </w:lvl>
    <w:lvl w:ilvl="1" w:tplc="10090019" w:tentative="1">
      <w:start w:val="1"/>
      <w:numFmt w:val="lowerLetter"/>
      <w:lvlText w:val="%2."/>
      <w:lvlJc w:val="left"/>
      <w:pPr>
        <w:ind w:left="-288" w:hanging="360"/>
      </w:pPr>
    </w:lvl>
    <w:lvl w:ilvl="2" w:tplc="1009001B" w:tentative="1">
      <w:start w:val="1"/>
      <w:numFmt w:val="lowerRoman"/>
      <w:lvlText w:val="%3."/>
      <w:lvlJc w:val="right"/>
      <w:pPr>
        <w:ind w:left="432" w:hanging="180"/>
      </w:pPr>
    </w:lvl>
    <w:lvl w:ilvl="3" w:tplc="1009000F" w:tentative="1">
      <w:start w:val="1"/>
      <w:numFmt w:val="decimal"/>
      <w:lvlText w:val="%4."/>
      <w:lvlJc w:val="left"/>
      <w:pPr>
        <w:ind w:left="1152" w:hanging="360"/>
      </w:pPr>
    </w:lvl>
    <w:lvl w:ilvl="4" w:tplc="10090019" w:tentative="1">
      <w:start w:val="1"/>
      <w:numFmt w:val="lowerLetter"/>
      <w:lvlText w:val="%5."/>
      <w:lvlJc w:val="left"/>
      <w:pPr>
        <w:ind w:left="1872" w:hanging="360"/>
      </w:pPr>
    </w:lvl>
    <w:lvl w:ilvl="5" w:tplc="1009001B" w:tentative="1">
      <w:start w:val="1"/>
      <w:numFmt w:val="lowerRoman"/>
      <w:lvlText w:val="%6."/>
      <w:lvlJc w:val="right"/>
      <w:pPr>
        <w:ind w:left="2592" w:hanging="180"/>
      </w:pPr>
    </w:lvl>
    <w:lvl w:ilvl="6" w:tplc="1009000F" w:tentative="1">
      <w:start w:val="1"/>
      <w:numFmt w:val="decimal"/>
      <w:lvlText w:val="%7."/>
      <w:lvlJc w:val="left"/>
      <w:pPr>
        <w:ind w:left="3312" w:hanging="360"/>
      </w:pPr>
    </w:lvl>
    <w:lvl w:ilvl="7" w:tplc="10090019" w:tentative="1">
      <w:start w:val="1"/>
      <w:numFmt w:val="lowerLetter"/>
      <w:lvlText w:val="%8."/>
      <w:lvlJc w:val="left"/>
      <w:pPr>
        <w:ind w:left="4032" w:hanging="360"/>
      </w:pPr>
    </w:lvl>
    <w:lvl w:ilvl="8" w:tplc="1009001B" w:tentative="1">
      <w:start w:val="1"/>
      <w:numFmt w:val="lowerRoman"/>
      <w:lvlText w:val="%9."/>
      <w:lvlJc w:val="right"/>
      <w:pPr>
        <w:ind w:left="4752" w:hanging="180"/>
      </w:pPr>
    </w:lvl>
  </w:abstractNum>
  <w:abstractNum w:abstractNumId="31" w15:restartNumberingAfterBreak="0">
    <w:nsid w:val="16097C66"/>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2" w15:restartNumberingAfterBreak="0">
    <w:nsid w:val="163D50E6"/>
    <w:multiLevelType w:val="hybridMultilevel"/>
    <w:tmpl w:val="E29C3712"/>
    <w:lvl w:ilvl="0" w:tplc="C530747E">
      <w:start w:val="1"/>
      <w:numFmt w:val="decimal"/>
      <w:lvlText w:val="%1."/>
      <w:lvlJc w:val="left"/>
      <w:pPr>
        <w:ind w:left="1584" w:hanging="360"/>
      </w:pPr>
      <w:rPr>
        <w:rFonts w:hint="default"/>
        <w:b w:val="0"/>
        <w:bCs w:val="0"/>
        <w:color w:val="auto"/>
      </w:rPr>
    </w:lvl>
    <w:lvl w:ilvl="1" w:tplc="85CC4766">
      <w:start w:val="1"/>
      <w:numFmt w:val="lowerLetter"/>
      <w:lvlText w:val="(%2)"/>
      <w:lvlJc w:val="left"/>
      <w:pPr>
        <w:ind w:left="2304" w:hanging="360"/>
      </w:pPr>
    </w:lvl>
    <w:lvl w:ilvl="2" w:tplc="0EAE8862">
      <w:start w:val="1"/>
      <w:numFmt w:val="lowerRoman"/>
      <w:lvlText w:val="%3."/>
      <w:lvlJc w:val="right"/>
      <w:pPr>
        <w:ind w:left="3024" w:hanging="180"/>
      </w:pPr>
      <w:rPr>
        <w:b/>
        <w:bCs/>
      </w:rPr>
    </w:lvl>
    <w:lvl w:ilvl="3" w:tplc="1009000F">
      <w:start w:val="1"/>
      <w:numFmt w:val="decimal"/>
      <w:lvlText w:val="%4."/>
      <w:lvlJc w:val="left"/>
      <w:pPr>
        <w:ind w:left="3744" w:hanging="360"/>
      </w:pPr>
    </w:lvl>
    <w:lvl w:ilvl="4" w:tplc="10090019">
      <w:start w:val="1"/>
      <w:numFmt w:val="lowerLetter"/>
      <w:lvlText w:val="%5."/>
      <w:lvlJc w:val="left"/>
      <w:pPr>
        <w:ind w:left="4464" w:hanging="360"/>
      </w:pPr>
    </w:lvl>
    <w:lvl w:ilvl="5" w:tplc="1009001B">
      <w:start w:val="1"/>
      <w:numFmt w:val="lowerRoman"/>
      <w:lvlText w:val="%6."/>
      <w:lvlJc w:val="right"/>
      <w:pPr>
        <w:ind w:left="5184" w:hanging="180"/>
      </w:pPr>
    </w:lvl>
    <w:lvl w:ilvl="6" w:tplc="1009000F">
      <w:start w:val="1"/>
      <w:numFmt w:val="decimal"/>
      <w:lvlText w:val="%7."/>
      <w:lvlJc w:val="left"/>
      <w:pPr>
        <w:ind w:left="5904" w:hanging="360"/>
      </w:pPr>
    </w:lvl>
    <w:lvl w:ilvl="7" w:tplc="10090019">
      <w:start w:val="1"/>
      <w:numFmt w:val="lowerLetter"/>
      <w:lvlText w:val="%8."/>
      <w:lvlJc w:val="left"/>
      <w:pPr>
        <w:ind w:left="6624" w:hanging="360"/>
      </w:pPr>
    </w:lvl>
    <w:lvl w:ilvl="8" w:tplc="1009001B" w:tentative="1">
      <w:start w:val="1"/>
      <w:numFmt w:val="lowerRoman"/>
      <w:lvlText w:val="%9."/>
      <w:lvlJc w:val="right"/>
      <w:pPr>
        <w:ind w:left="7344" w:hanging="180"/>
      </w:pPr>
    </w:lvl>
  </w:abstractNum>
  <w:abstractNum w:abstractNumId="33" w15:restartNumberingAfterBreak="0">
    <w:nsid w:val="169511A4"/>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4" w15:restartNumberingAfterBreak="0">
    <w:nsid w:val="17025804"/>
    <w:multiLevelType w:val="hybridMultilevel"/>
    <w:tmpl w:val="48D8059A"/>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5" w15:restartNumberingAfterBreak="0">
    <w:nsid w:val="1847003C"/>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6" w15:restartNumberingAfterBreak="0">
    <w:nsid w:val="18720D23"/>
    <w:multiLevelType w:val="hybridMultilevel"/>
    <w:tmpl w:val="63680BE8"/>
    <w:lvl w:ilvl="0" w:tplc="FFFFFFFF">
      <w:start w:val="1"/>
      <w:numFmt w:val="lowerLetter"/>
      <w:lvlText w:val="(%1)"/>
      <w:lvlJc w:val="left"/>
      <w:pPr>
        <w:ind w:left="-2880" w:hanging="360"/>
      </w:pPr>
    </w:lvl>
    <w:lvl w:ilvl="1" w:tplc="10090019">
      <w:start w:val="1"/>
      <w:numFmt w:val="lowerLetter"/>
      <w:lvlText w:val="%2."/>
      <w:lvlJc w:val="left"/>
      <w:pPr>
        <w:ind w:left="-3744" w:hanging="360"/>
      </w:pPr>
    </w:lvl>
    <w:lvl w:ilvl="2" w:tplc="1009001B" w:tentative="1">
      <w:start w:val="1"/>
      <w:numFmt w:val="lowerRoman"/>
      <w:lvlText w:val="%3."/>
      <w:lvlJc w:val="right"/>
      <w:pPr>
        <w:ind w:left="-3024" w:hanging="180"/>
      </w:pPr>
    </w:lvl>
    <w:lvl w:ilvl="3" w:tplc="1009000F" w:tentative="1">
      <w:start w:val="1"/>
      <w:numFmt w:val="decimal"/>
      <w:lvlText w:val="%4."/>
      <w:lvlJc w:val="left"/>
      <w:pPr>
        <w:ind w:left="-2304" w:hanging="360"/>
      </w:pPr>
    </w:lvl>
    <w:lvl w:ilvl="4" w:tplc="10090019" w:tentative="1">
      <w:start w:val="1"/>
      <w:numFmt w:val="lowerLetter"/>
      <w:lvlText w:val="%5."/>
      <w:lvlJc w:val="left"/>
      <w:pPr>
        <w:ind w:left="-1584" w:hanging="360"/>
      </w:pPr>
    </w:lvl>
    <w:lvl w:ilvl="5" w:tplc="1009001B" w:tentative="1">
      <w:start w:val="1"/>
      <w:numFmt w:val="lowerRoman"/>
      <w:lvlText w:val="%6."/>
      <w:lvlJc w:val="right"/>
      <w:pPr>
        <w:ind w:left="-864" w:hanging="180"/>
      </w:pPr>
    </w:lvl>
    <w:lvl w:ilvl="6" w:tplc="1009000F" w:tentative="1">
      <w:start w:val="1"/>
      <w:numFmt w:val="decimal"/>
      <w:lvlText w:val="%7."/>
      <w:lvlJc w:val="left"/>
      <w:pPr>
        <w:ind w:left="-144" w:hanging="360"/>
      </w:pPr>
    </w:lvl>
    <w:lvl w:ilvl="7" w:tplc="10090019" w:tentative="1">
      <w:start w:val="1"/>
      <w:numFmt w:val="lowerLetter"/>
      <w:lvlText w:val="%8."/>
      <w:lvlJc w:val="left"/>
      <w:pPr>
        <w:ind w:left="576" w:hanging="360"/>
      </w:pPr>
    </w:lvl>
    <w:lvl w:ilvl="8" w:tplc="1009001B" w:tentative="1">
      <w:start w:val="1"/>
      <w:numFmt w:val="lowerRoman"/>
      <w:lvlText w:val="%9."/>
      <w:lvlJc w:val="right"/>
      <w:pPr>
        <w:ind w:left="1296" w:hanging="180"/>
      </w:pPr>
    </w:lvl>
  </w:abstractNum>
  <w:abstractNum w:abstractNumId="37" w15:restartNumberingAfterBreak="0">
    <w:nsid w:val="18813F9E"/>
    <w:multiLevelType w:val="multilevel"/>
    <w:tmpl w:val="AFFE3ABA"/>
    <w:lvl w:ilvl="0">
      <w:start w:val="1"/>
      <w:numFmt w:val="decimal"/>
      <w:lvlText w:val="%1."/>
      <w:lvlJc w:val="left"/>
      <w:pPr>
        <w:ind w:left="720" w:firstLine="0"/>
      </w:pPr>
      <w:rPr>
        <w:rFonts w:ascii="Times New Roman" w:eastAsia="Times New Roman" w:hAnsi="Times New Roman" w:cs="Times New Roman"/>
        <w:b w:val="0"/>
        <w:bCs w:val="0"/>
        <w:i w:val="0"/>
        <w:iCs w:val="0"/>
        <w:color w:val="000000"/>
        <w:sz w:val="22"/>
        <w:szCs w:val="22"/>
      </w:rPr>
    </w:lvl>
    <w:lvl w:ilvl="1">
      <w:start w:val="1"/>
      <w:numFmt w:val="lowerLetter"/>
      <w:lvlText w:val="(%2)"/>
      <w:lvlJc w:val="left"/>
      <w:pPr>
        <w:ind w:left="567" w:firstLine="567"/>
      </w:pPr>
      <w:rPr>
        <w:rFonts w:ascii="Times New Roman" w:eastAsia="Times New Roman" w:hAnsi="Times New Roman" w:cs="Times New Roman"/>
        <w:b w:val="0"/>
        <w:bCs w:val="0"/>
        <w:i w:val="0"/>
        <w:iCs w:val="0"/>
        <w:sz w:val="22"/>
        <w:szCs w:val="22"/>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38" w15:restartNumberingAfterBreak="0">
    <w:nsid w:val="1A1C5D08"/>
    <w:multiLevelType w:val="hybridMultilevel"/>
    <w:tmpl w:val="E52C664A"/>
    <w:lvl w:ilvl="0" w:tplc="FFFFFFFF">
      <w:start w:val="1"/>
      <w:numFmt w:val="lowerLetter"/>
      <w:lvlText w:val="(%1)"/>
      <w:lvlJc w:val="left"/>
      <w:pPr>
        <w:ind w:left="23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ADA5387"/>
    <w:multiLevelType w:val="hybridMultilevel"/>
    <w:tmpl w:val="788ADF82"/>
    <w:lvl w:ilvl="0" w:tplc="FFFFFFFF">
      <w:start w:val="1"/>
      <w:numFmt w:val="decimal"/>
      <w:lvlText w:val="%1."/>
      <w:lvlJc w:val="left"/>
      <w:pPr>
        <w:ind w:left="2304" w:hanging="360"/>
      </w:pPr>
      <w:rPr>
        <w:rFonts w:hint="default"/>
        <w:b w:val="0"/>
        <w:bCs w:val="0"/>
        <w:color w:val="auto"/>
        <w:sz w:val="22"/>
        <w:szCs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1AED48FC"/>
    <w:multiLevelType w:val="hybridMultilevel"/>
    <w:tmpl w:val="E92280C0"/>
    <w:lvl w:ilvl="0" w:tplc="90DE3C2E">
      <w:start w:val="1"/>
      <w:numFmt w:val="decimal"/>
      <w:lvlText w:val="%1."/>
      <w:lvlJc w:val="left"/>
      <w:pPr>
        <w:ind w:left="720" w:hanging="360"/>
      </w:pPr>
    </w:lvl>
    <w:lvl w:ilvl="1" w:tplc="ED4ACC6A">
      <w:start w:val="1"/>
      <w:numFmt w:val="lowerLetter"/>
      <w:lvlText w:val="%2)"/>
      <w:lvlJc w:val="left"/>
      <w:pPr>
        <w:ind w:left="1440" w:hanging="360"/>
      </w:pPr>
      <w:rPr>
        <w:i/>
        <w:iCs/>
      </w:rPr>
    </w:lvl>
    <w:lvl w:ilvl="2" w:tplc="6FBE530C">
      <w:start w:val="1"/>
      <w:numFmt w:val="lowerRoman"/>
      <w:lvlText w:val="%3."/>
      <w:lvlJc w:val="right"/>
      <w:pPr>
        <w:ind w:left="2160" w:hanging="180"/>
      </w:pPr>
    </w:lvl>
    <w:lvl w:ilvl="3" w:tplc="6E68E494">
      <w:start w:val="1"/>
      <w:numFmt w:val="decimal"/>
      <w:lvlText w:val="%4."/>
      <w:lvlJc w:val="left"/>
      <w:pPr>
        <w:ind w:left="2880" w:hanging="360"/>
      </w:pPr>
    </w:lvl>
    <w:lvl w:ilvl="4" w:tplc="C1D81A30">
      <w:start w:val="1"/>
      <w:numFmt w:val="lowerLetter"/>
      <w:lvlText w:val="%5."/>
      <w:lvlJc w:val="left"/>
      <w:pPr>
        <w:ind w:left="3600" w:hanging="360"/>
      </w:pPr>
    </w:lvl>
    <w:lvl w:ilvl="5" w:tplc="2C8668C0">
      <w:start w:val="1"/>
      <w:numFmt w:val="lowerRoman"/>
      <w:lvlText w:val="%6."/>
      <w:lvlJc w:val="right"/>
      <w:pPr>
        <w:ind w:left="4320" w:hanging="180"/>
      </w:pPr>
    </w:lvl>
    <w:lvl w:ilvl="6" w:tplc="E67A7C22">
      <w:start w:val="1"/>
      <w:numFmt w:val="decimal"/>
      <w:lvlText w:val="%7."/>
      <w:lvlJc w:val="left"/>
      <w:pPr>
        <w:ind w:left="5040" w:hanging="360"/>
      </w:pPr>
    </w:lvl>
    <w:lvl w:ilvl="7" w:tplc="C30E8650">
      <w:start w:val="1"/>
      <w:numFmt w:val="lowerLetter"/>
      <w:lvlText w:val="%8."/>
      <w:lvlJc w:val="left"/>
      <w:pPr>
        <w:ind w:left="5760" w:hanging="360"/>
      </w:pPr>
    </w:lvl>
    <w:lvl w:ilvl="8" w:tplc="0F20C5DA">
      <w:start w:val="1"/>
      <w:numFmt w:val="lowerRoman"/>
      <w:lvlText w:val="%9."/>
      <w:lvlJc w:val="right"/>
      <w:pPr>
        <w:ind w:left="6480" w:hanging="180"/>
      </w:pPr>
    </w:lvl>
  </w:abstractNum>
  <w:abstractNum w:abstractNumId="41" w15:restartNumberingAfterBreak="0">
    <w:nsid w:val="1B6B0DDF"/>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2" w15:restartNumberingAfterBreak="0">
    <w:nsid w:val="1C5945F5"/>
    <w:multiLevelType w:val="hybridMultilevel"/>
    <w:tmpl w:val="21CCCFB6"/>
    <w:lvl w:ilvl="0" w:tplc="FFFFFFFF">
      <w:start w:val="1"/>
      <w:numFmt w:val="lowerLetter"/>
      <w:lvlText w:val="(%1)"/>
      <w:lvlJc w:val="left"/>
      <w:pPr>
        <w:ind w:left="576" w:hanging="360"/>
      </w:pPr>
    </w:lvl>
    <w:lvl w:ilvl="1" w:tplc="10090019">
      <w:start w:val="1"/>
      <w:numFmt w:val="lowerLetter"/>
      <w:lvlText w:val="%2."/>
      <w:lvlJc w:val="left"/>
      <w:pPr>
        <w:ind w:left="-288" w:hanging="360"/>
      </w:pPr>
    </w:lvl>
    <w:lvl w:ilvl="2" w:tplc="1009001B" w:tentative="1">
      <w:start w:val="1"/>
      <w:numFmt w:val="lowerRoman"/>
      <w:lvlText w:val="%3."/>
      <w:lvlJc w:val="right"/>
      <w:pPr>
        <w:ind w:left="432" w:hanging="180"/>
      </w:pPr>
    </w:lvl>
    <w:lvl w:ilvl="3" w:tplc="1009000F" w:tentative="1">
      <w:start w:val="1"/>
      <w:numFmt w:val="decimal"/>
      <w:lvlText w:val="%4."/>
      <w:lvlJc w:val="left"/>
      <w:pPr>
        <w:ind w:left="1152" w:hanging="360"/>
      </w:pPr>
    </w:lvl>
    <w:lvl w:ilvl="4" w:tplc="10090019" w:tentative="1">
      <w:start w:val="1"/>
      <w:numFmt w:val="lowerLetter"/>
      <w:lvlText w:val="%5."/>
      <w:lvlJc w:val="left"/>
      <w:pPr>
        <w:ind w:left="1872" w:hanging="360"/>
      </w:pPr>
    </w:lvl>
    <w:lvl w:ilvl="5" w:tplc="1009001B" w:tentative="1">
      <w:start w:val="1"/>
      <w:numFmt w:val="lowerRoman"/>
      <w:lvlText w:val="%6."/>
      <w:lvlJc w:val="right"/>
      <w:pPr>
        <w:ind w:left="2592" w:hanging="180"/>
      </w:pPr>
    </w:lvl>
    <w:lvl w:ilvl="6" w:tplc="1009000F" w:tentative="1">
      <w:start w:val="1"/>
      <w:numFmt w:val="decimal"/>
      <w:lvlText w:val="%7."/>
      <w:lvlJc w:val="left"/>
      <w:pPr>
        <w:ind w:left="3312" w:hanging="360"/>
      </w:pPr>
    </w:lvl>
    <w:lvl w:ilvl="7" w:tplc="10090019" w:tentative="1">
      <w:start w:val="1"/>
      <w:numFmt w:val="lowerLetter"/>
      <w:lvlText w:val="%8."/>
      <w:lvlJc w:val="left"/>
      <w:pPr>
        <w:ind w:left="4032" w:hanging="360"/>
      </w:pPr>
    </w:lvl>
    <w:lvl w:ilvl="8" w:tplc="1009001B" w:tentative="1">
      <w:start w:val="1"/>
      <w:numFmt w:val="lowerRoman"/>
      <w:lvlText w:val="%9."/>
      <w:lvlJc w:val="right"/>
      <w:pPr>
        <w:ind w:left="4752" w:hanging="180"/>
      </w:pPr>
    </w:lvl>
  </w:abstractNum>
  <w:abstractNum w:abstractNumId="43" w15:restartNumberingAfterBreak="0">
    <w:nsid w:val="1C912F6F"/>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4" w15:restartNumberingAfterBreak="0">
    <w:nsid w:val="1CDD0B67"/>
    <w:multiLevelType w:val="multilevel"/>
    <w:tmpl w:val="25A0BD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1D504DAC"/>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6" w15:restartNumberingAfterBreak="0">
    <w:nsid w:val="1D7C451B"/>
    <w:multiLevelType w:val="multilevel"/>
    <w:tmpl w:val="D44C0866"/>
    <w:lvl w:ilvl="0">
      <w:start w:val="3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1DA90BF6"/>
    <w:multiLevelType w:val="hybridMultilevel"/>
    <w:tmpl w:val="0B3EAE56"/>
    <w:lvl w:ilvl="0" w:tplc="8B388130">
      <w:start w:val="1"/>
      <w:numFmt w:val="decimal"/>
      <w:lvlText w:val="%1)"/>
      <w:lvlJc w:val="left"/>
      <w:pPr>
        <w:ind w:left="1020" w:hanging="360"/>
      </w:pPr>
    </w:lvl>
    <w:lvl w:ilvl="1" w:tplc="B2E0D270">
      <w:start w:val="1"/>
      <w:numFmt w:val="decimal"/>
      <w:lvlText w:val="%2)"/>
      <w:lvlJc w:val="left"/>
      <w:pPr>
        <w:ind w:left="1020" w:hanging="360"/>
      </w:pPr>
    </w:lvl>
    <w:lvl w:ilvl="2" w:tplc="91A611BA">
      <w:start w:val="1"/>
      <w:numFmt w:val="decimal"/>
      <w:lvlText w:val="%3)"/>
      <w:lvlJc w:val="left"/>
      <w:pPr>
        <w:ind w:left="1020" w:hanging="360"/>
      </w:pPr>
    </w:lvl>
    <w:lvl w:ilvl="3" w:tplc="79CC2834">
      <w:start w:val="1"/>
      <w:numFmt w:val="decimal"/>
      <w:lvlText w:val="%4)"/>
      <w:lvlJc w:val="left"/>
      <w:pPr>
        <w:ind w:left="1020" w:hanging="360"/>
      </w:pPr>
    </w:lvl>
    <w:lvl w:ilvl="4" w:tplc="C8E47F6A">
      <w:start w:val="1"/>
      <w:numFmt w:val="decimal"/>
      <w:lvlText w:val="%5)"/>
      <w:lvlJc w:val="left"/>
      <w:pPr>
        <w:ind w:left="1020" w:hanging="360"/>
      </w:pPr>
    </w:lvl>
    <w:lvl w:ilvl="5" w:tplc="8AC2B83C">
      <w:start w:val="1"/>
      <w:numFmt w:val="decimal"/>
      <w:lvlText w:val="%6)"/>
      <w:lvlJc w:val="left"/>
      <w:pPr>
        <w:ind w:left="1020" w:hanging="360"/>
      </w:pPr>
    </w:lvl>
    <w:lvl w:ilvl="6" w:tplc="835E28D2">
      <w:start w:val="1"/>
      <w:numFmt w:val="decimal"/>
      <w:lvlText w:val="%7)"/>
      <w:lvlJc w:val="left"/>
      <w:pPr>
        <w:ind w:left="1020" w:hanging="360"/>
      </w:pPr>
    </w:lvl>
    <w:lvl w:ilvl="7" w:tplc="66868BEE">
      <w:start w:val="1"/>
      <w:numFmt w:val="decimal"/>
      <w:lvlText w:val="%8)"/>
      <w:lvlJc w:val="left"/>
      <w:pPr>
        <w:ind w:left="1020" w:hanging="360"/>
      </w:pPr>
    </w:lvl>
    <w:lvl w:ilvl="8" w:tplc="A128F846">
      <w:start w:val="1"/>
      <w:numFmt w:val="decimal"/>
      <w:lvlText w:val="%9)"/>
      <w:lvlJc w:val="left"/>
      <w:pPr>
        <w:ind w:left="1020" w:hanging="360"/>
      </w:pPr>
    </w:lvl>
  </w:abstractNum>
  <w:abstractNum w:abstractNumId="48" w15:restartNumberingAfterBreak="0">
    <w:nsid w:val="1DEB76CE"/>
    <w:multiLevelType w:val="hybridMultilevel"/>
    <w:tmpl w:val="389AD6A0"/>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9" w15:restartNumberingAfterBreak="0">
    <w:nsid w:val="1E032334"/>
    <w:multiLevelType w:val="multilevel"/>
    <w:tmpl w:val="DF2AD626"/>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1E817496"/>
    <w:multiLevelType w:val="hybridMultilevel"/>
    <w:tmpl w:val="59CE97DE"/>
    <w:lvl w:ilvl="0" w:tplc="FFFFFFFF">
      <w:start w:val="1"/>
      <w:numFmt w:val="lowerLetter"/>
      <w:lvlText w:val="(%1)"/>
      <w:lvlJc w:val="left"/>
      <w:pPr>
        <w:ind w:left="23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0719FE"/>
    <w:multiLevelType w:val="hybridMultilevel"/>
    <w:tmpl w:val="7362FEC0"/>
    <w:lvl w:ilvl="0" w:tplc="FFFFFFFF">
      <w:start w:val="1"/>
      <w:numFmt w:val="lowerLetter"/>
      <w:lvlText w:val="(%1)"/>
      <w:lvlJc w:val="left"/>
      <w:pPr>
        <w:ind w:left="-2016"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720" w:hanging="360"/>
      </w:pPr>
    </w:lvl>
    <w:lvl w:ilvl="5" w:tplc="FFFFFFFF" w:tentative="1">
      <w:start w:val="1"/>
      <w:numFmt w:val="lowerRoman"/>
      <w:lvlText w:val="%6."/>
      <w:lvlJc w:val="right"/>
      <w:pPr>
        <w:ind w:left="0" w:hanging="180"/>
      </w:pPr>
    </w:lvl>
    <w:lvl w:ilvl="6" w:tplc="FFFFFFFF" w:tentative="1">
      <w:start w:val="1"/>
      <w:numFmt w:val="decimal"/>
      <w:lvlText w:val="%7."/>
      <w:lvlJc w:val="left"/>
      <w:pPr>
        <w:ind w:left="720" w:hanging="360"/>
      </w:pPr>
    </w:lvl>
    <w:lvl w:ilvl="7" w:tplc="FFFFFFFF" w:tentative="1">
      <w:start w:val="1"/>
      <w:numFmt w:val="lowerLetter"/>
      <w:lvlText w:val="%8."/>
      <w:lvlJc w:val="left"/>
      <w:pPr>
        <w:ind w:left="1440" w:hanging="360"/>
      </w:pPr>
    </w:lvl>
    <w:lvl w:ilvl="8" w:tplc="FFFFFFFF" w:tentative="1">
      <w:start w:val="1"/>
      <w:numFmt w:val="lowerRoman"/>
      <w:lvlText w:val="%9."/>
      <w:lvlJc w:val="right"/>
      <w:pPr>
        <w:ind w:left="2160" w:hanging="180"/>
      </w:pPr>
    </w:lvl>
  </w:abstractNum>
  <w:abstractNum w:abstractNumId="52" w15:restartNumberingAfterBreak="0">
    <w:nsid w:val="1F0C38E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3" w15:restartNumberingAfterBreak="0">
    <w:nsid w:val="1F681CEA"/>
    <w:multiLevelType w:val="multilevel"/>
    <w:tmpl w:val="03341D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00816E5"/>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5" w15:restartNumberingAfterBreak="0">
    <w:nsid w:val="20437411"/>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abstractNum w:abstractNumId="56" w15:restartNumberingAfterBreak="0">
    <w:nsid w:val="204B0948"/>
    <w:multiLevelType w:val="hybridMultilevel"/>
    <w:tmpl w:val="5978E9DA"/>
    <w:lvl w:ilvl="0" w:tplc="D80E2290">
      <w:start w:val="1"/>
      <w:numFmt w:val="lowerLetter"/>
      <w:lvlText w:val="%1."/>
      <w:lvlJc w:val="left"/>
      <w:pPr>
        <w:ind w:left="1440" w:hanging="360"/>
      </w:pPr>
    </w:lvl>
    <w:lvl w:ilvl="1" w:tplc="426E07DE">
      <w:start w:val="1"/>
      <w:numFmt w:val="lowerLetter"/>
      <w:lvlText w:val="%2."/>
      <w:lvlJc w:val="left"/>
      <w:pPr>
        <w:ind w:left="2160" w:hanging="360"/>
      </w:pPr>
    </w:lvl>
    <w:lvl w:ilvl="2" w:tplc="1ABE4EBE">
      <w:start w:val="1"/>
      <w:numFmt w:val="lowerRoman"/>
      <w:lvlText w:val="%3."/>
      <w:lvlJc w:val="right"/>
      <w:pPr>
        <w:ind w:left="2880" w:hanging="180"/>
      </w:pPr>
    </w:lvl>
    <w:lvl w:ilvl="3" w:tplc="322C3C32">
      <w:start w:val="1"/>
      <w:numFmt w:val="decimal"/>
      <w:lvlText w:val="%4."/>
      <w:lvlJc w:val="left"/>
      <w:pPr>
        <w:ind w:left="3600" w:hanging="360"/>
      </w:pPr>
    </w:lvl>
    <w:lvl w:ilvl="4" w:tplc="A5FC1D72">
      <w:start w:val="1"/>
      <w:numFmt w:val="lowerLetter"/>
      <w:lvlText w:val="%5."/>
      <w:lvlJc w:val="left"/>
      <w:pPr>
        <w:ind w:left="4320" w:hanging="360"/>
      </w:pPr>
    </w:lvl>
    <w:lvl w:ilvl="5" w:tplc="03AC60B8">
      <w:start w:val="1"/>
      <w:numFmt w:val="lowerRoman"/>
      <w:lvlText w:val="%6."/>
      <w:lvlJc w:val="right"/>
      <w:pPr>
        <w:ind w:left="5040" w:hanging="180"/>
      </w:pPr>
    </w:lvl>
    <w:lvl w:ilvl="6" w:tplc="E402AF9E">
      <w:start w:val="1"/>
      <w:numFmt w:val="decimal"/>
      <w:lvlText w:val="%7."/>
      <w:lvlJc w:val="left"/>
      <w:pPr>
        <w:ind w:left="5760" w:hanging="360"/>
      </w:pPr>
    </w:lvl>
    <w:lvl w:ilvl="7" w:tplc="BDE6A8C0">
      <w:start w:val="1"/>
      <w:numFmt w:val="lowerLetter"/>
      <w:lvlText w:val="%8."/>
      <w:lvlJc w:val="left"/>
      <w:pPr>
        <w:ind w:left="6480" w:hanging="360"/>
      </w:pPr>
    </w:lvl>
    <w:lvl w:ilvl="8" w:tplc="6EDC4FE4">
      <w:start w:val="1"/>
      <w:numFmt w:val="lowerRoman"/>
      <w:lvlText w:val="%9."/>
      <w:lvlJc w:val="right"/>
      <w:pPr>
        <w:ind w:left="7200" w:hanging="180"/>
      </w:pPr>
    </w:lvl>
  </w:abstractNum>
  <w:abstractNum w:abstractNumId="57" w15:restartNumberingAfterBreak="0">
    <w:nsid w:val="20510874"/>
    <w:multiLevelType w:val="hybridMultilevel"/>
    <w:tmpl w:val="F96E985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21AB5145"/>
    <w:multiLevelType w:val="hybridMultilevel"/>
    <w:tmpl w:val="8F66C1D6"/>
    <w:lvl w:ilvl="0" w:tplc="AC6C33EA">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9" w15:restartNumberingAfterBreak="0">
    <w:nsid w:val="22CE76BB"/>
    <w:multiLevelType w:val="hybridMultilevel"/>
    <w:tmpl w:val="7230277A"/>
    <w:lvl w:ilvl="0" w:tplc="FFFFFFFF">
      <w:start w:val="1"/>
      <w:numFmt w:val="lowerLetter"/>
      <w:lvlText w:val="(%1)"/>
      <w:lvlJc w:val="left"/>
      <w:pPr>
        <w:ind w:left="-1152" w:hanging="360"/>
      </w:pPr>
    </w:lvl>
    <w:lvl w:ilvl="1" w:tplc="10090019" w:tentative="1">
      <w:start w:val="1"/>
      <w:numFmt w:val="lowerLetter"/>
      <w:lvlText w:val="%2."/>
      <w:lvlJc w:val="left"/>
      <w:pPr>
        <w:ind w:left="-2016" w:hanging="360"/>
      </w:pPr>
    </w:lvl>
    <w:lvl w:ilvl="2" w:tplc="1009001B" w:tentative="1">
      <w:start w:val="1"/>
      <w:numFmt w:val="lowerRoman"/>
      <w:lvlText w:val="%3."/>
      <w:lvlJc w:val="right"/>
      <w:pPr>
        <w:ind w:left="-1296" w:hanging="180"/>
      </w:pPr>
    </w:lvl>
    <w:lvl w:ilvl="3" w:tplc="1009000F" w:tentative="1">
      <w:start w:val="1"/>
      <w:numFmt w:val="decimal"/>
      <w:lvlText w:val="%4."/>
      <w:lvlJc w:val="left"/>
      <w:pPr>
        <w:ind w:left="-576" w:hanging="360"/>
      </w:pPr>
    </w:lvl>
    <w:lvl w:ilvl="4" w:tplc="10090019" w:tentative="1">
      <w:start w:val="1"/>
      <w:numFmt w:val="lowerLetter"/>
      <w:lvlText w:val="%5."/>
      <w:lvlJc w:val="left"/>
      <w:pPr>
        <w:ind w:left="144" w:hanging="360"/>
      </w:pPr>
    </w:lvl>
    <w:lvl w:ilvl="5" w:tplc="1009001B" w:tentative="1">
      <w:start w:val="1"/>
      <w:numFmt w:val="lowerRoman"/>
      <w:lvlText w:val="%6."/>
      <w:lvlJc w:val="right"/>
      <w:pPr>
        <w:ind w:left="864" w:hanging="180"/>
      </w:pPr>
    </w:lvl>
    <w:lvl w:ilvl="6" w:tplc="1009000F" w:tentative="1">
      <w:start w:val="1"/>
      <w:numFmt w:val="decimal"/>
      <w:lvlText w:val="%7."/>
      <w:lvlJc w:val="left"/>
      <w:pPr>
        <w:ind w:left="1584" w:hanging="360"/>
      </w:pPr>
    </w:lvl>
    <w:lvl w:ilvl="7" w:tplc="10090019" w:tentative="1">
      <w:start w:val="1"/>
      <w:numFmt w:val="lowerLetter"/>
      <w:lvlText w:val="%8."/>
      <w:lvlJc w:val="left"/>
      <w:pPr>
        <w:ind w:left="2304" w:hanging="360"/>
      </w:pPr>
    </w:lvl>
    <w:lvl w:ilvl="8" w:tplc="1009001B" w:tentative="1">
      <w:start w:val="1"/>
      <w:numFmt w:val="lowerRoman"/>
      <w:lvlText w:val="%9."/>
      <w:lvlJc w:val="right"/>
      <w:pPr>
        <w:ind w:left="3024" w:hanging="180"/>
      </w:pPr>
    </w:lvl>
  </w:abstractNum>
  <w:abstractNum w:abstractNumId="60" w15:restartNumberingAfterBreak="0">
    <w:nsid w:val="2460A4C5"/>
    <w:multiLevelType w:val="hybridMultilevel"/>
    <w:tmpl w:val="8C24AE3A"/>
    <w:lvl w:ilvl="0" w:tplc="78E453F4">
      <w:start w:val="1"/>
      <w:numFmt w:val="lowerLetter"/>
      <w:lvlText w:val="%1."/>
      <w:lvlJc w:val="left"/>
      <w:pPr>
        <w:ind w:left="720" w:hanging="360"/>
      </w:pPr>
    </w:lvl>
    <w:lvl w:ilvl="1" w:tplc="3ADA445E">
      <w:start w:val="1"/>
      <w:numFmt w:val="lowerLetter"/>
      <w:lvlText w:val="%2."/>
      <w:lvlJc w:val="left"/>
      <w:pPr>
        <w:ind w:left="1440" w:hanging="360"/>
      </w:pPr>
    </w:lvl>
    <w:lvl w:ilvl="2" w:tplc="2D8A5F0A">
      <w:start w:val="1"/>
      <w:numFmt w:val="lowerRoman"/>
      <w:lvlText w:val="%3."/>
      <w:lvlJc w:val="right"/>
      <w:pPr>
        <w:ind w:left="2160" w:hanging="180"/>
      </w:pPr>
    </w:lvl>
    <w:lvl w:ilvl="3" w:tplc="5614B258">
      <w:start w:val="1"/>
      <w:numFmt w:val="decimal"/>
      <w:lvlText w:val="%4."/>
      <w:lvlJc w:val="left"/>
      <w:pPr>
        <w:ind w:left="2880" w:hanging="360"/>
      </w:pPr>
    </w:lvl>
    <w:lvl w:ilvl="4" w:tplc="6EA2D1DE">
      <w:start w:val="1"/>
      <w:numFmt w:val="lowerLetter"/>
      <w:lvlText w:val="%5."/>
      <w:lvlJc w:val="left"/>
      <w:pPr>
        <w:ind w:left="3600" w:hanging="360"/>
      </w:pPr>
    </w:lvl>
    <w:lvl w:ilvl="5" w:tplc="E6BC5AF6">
      <w:start w:val="1"/>
      <w:numFmt w:val="lowerRoman"/>
      <w:lvlText w:val="%6."/>
      <w:lvlJc w:val="right"/>
      <w:pPr>
        <w:ind w:left="4320" w:hanging="180"/>
      </w:pPr>
    </w:lvl>
    <w:lvl w:ilvl="6" w:tplc="26584F84">
      <w:start w:val="1"/>
      <w:numFmt w:val="decimal"/>
      <w:lvlText w:val="%7."/>
      <w:lvlJc w:val="left"/>
      <w:pPr>
        <w:ind w:left="5040" w:hanging="360"/>
      </w:pPr>
    </w:lvl>
    <w:lvl w:ilvl="7" w:tplc="E32E135C">
      <w:start w:val="1"/>
      <w:numFmt w:val="lowerLetter"/>
      <w:lvlText w:val="%8."/>
      <w:lvlJc w:val="left"/>
      <w:pPr>
        <w:ind w:left="5760" w:hanging="360"/>
      </w:pPr>
    </w:lvl>
    <w:lvl w:ilvl="8" w:tplc="0A04A9F0">
      <w:start w:val="1"/>
      <w:numFmt w:val="lowerRoman"/>
      <w:lvlText w:val="%9."/>
      <w:lvlJc w:val="right"/>
      <w:pPr>
        <w:ind w:left="6480" w:hanging="180"/>
      </w:pPr>
    </w:lvl>
  </w:abstractNum>
  <w:abstractNum w:abstractNumId="61" w15:restartNumberingAfterBreak="0">
    <w:nsid w:val="249A621C"/>
    <w:multiLevelType w:val="hybridMultilevel"/>
    <w:tmpl w:val="4D1807F6"/>
    <w:lvl w:ilvl="0" w:tplc="FFFFFFFF">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24C66CD2"/>
    <w:multiLevelType w:val="multilevel"/>
    <w:tmpl w:val="047EB820"/>
    <w:lvl w:ilvl="0">
      <w:start w:val="1"/>
      <w:numFmt w:val="lowerLetter"/>
      <w:lvlText w:val="%1)"/>
      <w:lvlJc w:val="left"/>
      <w:pPr>
        <w:ind w:left="12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294573F3"/>
    <w:multiLevelType w:val="hybridMultilevel"/>
    <w:tmpl w:val="90A482B2"/>
    <w:lvl w:ilvl="0" w:tplc="FFFFFFFF">
      <w:start w:val="1"/>
      <w:numFmt w:val="lowerLetter"/>
      <w:lvlText w:val="(%1)"/>
      <w:lvlJc w:val="left"/>
      <w:pPr>
        <w:ind w:left="927" w:hanging="360"/>
      </w:pPr>
      <w:rPr>
        <w:rFonts w:ascii="Times New Roman" w:eastAsia="SimSun" w:hAnsi="Times New Roman" w:cs="Times New Roman"/>
      </w:rPr>
    </w:lvl>
    <w:lvl w:ilvl="1" w:tplc="FFFFFFFF">
      <w:start w:val="1"/>
      <w:numFmt w:val="bullet"/>
      <w:lvlText w:val=""/>
      <w:lvlJc w:val="left"/>
      <w:pPr>
        <w:ind w:left="1647" w:hanging="360"/>
      </w:pPr>
      <w:rPr>
        <w:rFonts w:ascii="Symbol" w:hAnsi="Symbol"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64" w15:restartNumberingAfterBreak="0">
    <w:nsid w:val="2A4961D9"/>
    <w:multiLevelType w:val="hybridMultilevel"/>
    <w:tmpl w:val="1C66D1B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2A942FD0"/>
    <w:multiLevelType w:val="multilevel"/>
    <w:tmpl w:val="15E4446A"/>
    <w:lvl w:ilvl="0">
      <w:start w:val="1"/>
      <w:numFmt w:val="decimal"/>
      <w:lvlText w:val="%1."/>
      <w:lvlJc w:val="left"/>
      <w:pPr>
        <w:tabs>
          <w:tab w:val="num" w:pos="0"/>
        </w:tabs>
        <w:ind w:left="1584" w:hanging="360"/>
      </w:pPr>
      <w:rPr>
        <w:b w:val="0"/>
        <w:bCs w:val="0"/>
        <w:color w:val="auto"/>
        <w:sz w:val="22"/>
        <w:szCs w:val="22"/>
      </w:rPr>
    </w:lvl>
    <w:lvl w:ilvl="1">
      <w:start w:val="1"/>
      <w:numFmt w:val="lowerLetter"/>
      <w:lvlText w:val="(%2)"/>
      <w:lvlJc w:val="left"/>
      <w:pPr>
        <w:tabs>
          <w:tab w:val="num" w:pos="0"/>
        </w:tabs>
        <w:ind w:left="2304" w:hanging="360"/>
      </w:pPr>
    </w:lvl>
    <w:lvl w:ilvl="2">
      <w:start w:val="1"/>
      <w:numFmt w:val="lowerRoman"/>
      <w:lvlText w:val="%3."/>
      <w:lvlJc w:val="right"/>
      <w:pPr>
        <w:tabs>
          <w:tab w:val="num" w:pos="0"/>
        </w:tabs>
        <w:ind w:left="3024" w:hanging="180"/>
      </w:pPr>
    </w:lvl>
    <w:lvl w:ilvl="3">
      <w:start w:val="1"/>
      <w:numFmt w:val="decimal"/>
      <w:lvlText w:val="%4."/>
      <w:lvlJc w:val="left"/>
      <w:pPr>
        <w:tabs>
          <w:tab w:val="num" w:pos="0"/>
        </w:tabs>
        <w:ind w:left="3744" w:hanging="360"/>
      </w:pPr>
    </w:lvl>
    <w:lvl w:ilvl="4">
      <w:start w:val="1"/>
      <w:numFmt w:val="lowerLetter"/>
      <w:lvlText w:val="%5."/>
      <w:lvlJc w:val="left"/>
      <w:pPr>
        <w:tabs>
          <w:tab w:val="num" w:pos="0"/>
        </w:tabs>
        <w:ind w:left="4464" w:hanging="360"/>
      </w:pPr>
    </w:lvl>
    <w:lvl w:ilvl="5">
      <w:start w:val="1"/>
      <w:numFmt w:val="lowerRoman"/>
      <w:lvlText w:val="%6."/>
      <w:lvlJc w:val="right"/>
      <w:pPr>
        <w:tabs>
          <w:tab w:val="num" w:pos="0"/>
        </w:tabs>
        <w:ind w:left="5184" w:hanging="180"/>
      </w:pPr>
    </w:lvl>
    <w:lvl w:ilvl="6">
      <w:start w:val="1"/>
      <w:numFmt w:val="decimal"/>
      <w:lvlText w:val="%7."/>
      <w:lvlJc w:val="left"/>
      <w:pPr>
        <w:tabs>
          <w:tab w:val="num" w:pos="0"/>
        </w:tabs>
        <w:ind w:left="5904" w:hanging="360"/>
      </w:pPr>
    </w:lvl>
    <w:lvl w:ilvl="7">
      <w:start w:val="1"/>
      <w:numFmt w:val="lowerLetter"/>
      <w:lvlText w:val="%8."/>
      <w:lvlJc w:val="left"/>
      <w:pPr>
        <w:tabs>
          <w:tab w:val="num" w:pos="0"/>
        </w:tabs>
        <w:ind w:left="6624" w:hanging="360"/>
      </w:pPr>
    </w:lvl>
    <w:lvl w:ilvl="8">
      <w:start w:val="1"/>
      <w:numFmt w:val="lowerRoman"/>
      <w:lvlText w:val="%9."/>
      <w:lvlJc w:val="right"/>
      <w:pPr>
        <w:tabs>
          <w:tab w:val="num" w:pos="0"/>
        </w:tabs>
        <w:ind w:left="7344" w:hanging="180"/>
      </w:pPr>
    </w:lvl>
  </w:abstractNum>
  <w:abstractNum w:abstractNumId="66" w15:restartNumberingAfterBreak="0">
    <w:nsid w:val="2A95636B"/>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7" w15:restartNumberingAfterBreak="0">
    <w:nsid w:val="2AF361DC"/>
    <w:multiLevelType w:val="hybridMultilevel"/>
    <w:tmpl w:val="E52C664A"/>
    <w:lvl w:ilvl="0" w:tplc="FFFFFFFF">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2CE57850"/>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9" w15:restartNumberingAfterBreak="0">
    <w:nsid w:val="2E577F1D"/>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0" w15:restartNumberingAfterBreak="0">
    <w:nsid w:val="311C3707"/>
    <w:multiLevelType w:val="multilevel"/>
    <w:tmpl w:val="71E85D1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346B2DE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2" w15:restartNumberingAfterBreak="0">
    <w:nsid w:val="348E5880"/>
    <w:multiLevelType w:val="hybridMultilevel"/>
    <w:tmpl w:val="4D1807F6"/>
    <w:lvl w:ilvl="0" w:tplc="FFFFFFFF">
      <w:start w:val="1"/>
      <w:numFmt w:val="lowerLetter"/>
      <w:lvlText w:val="(%1)"/>
      <w:lvlJc w:val="left"/>
      <w:pPr>
        <w:ind w:left="23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4C23C79"/>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4" w15:restartNumberingAfterBreak="0">
    <w:nsid w:val="356E0C07"/>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5" w15:restartNumberingAfterBreak="0">
    <w:nsid w:val="368001A0"/>
    <w:multiLevelType w:val="hybridMultilevel"/>
    <w:tmpl w:val="7362FEC0"/>
    <w:lvl w:ilvl="0" w:tplc="FFFFFFFF">
      <w:start w:val="1"/>
      <w:numFmt w:val="lowerLetter"/>
      <w:lvlText w:val="(%1)"/>
      <w:lvlJc w:val="left"/>
      <w:pPr>
        <w:ind w:left="-2016"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720" w:hanging="360"/>
      </w:pPr>
    </w:lvl>
    <w:lvl w:ilvl="5" w:tplc="FFFFFFFF" w:tentative="1">
      <w:start w:val="1"/>
      <w:numFmt w:val="lowerRoman"/>
      <w:lvlText w:val="%6."/>
      <w:lvlJc w:val="right"/>
      <w:pPr>
        <w:ind w:left="0" w:hanging="180"/>
      </w:pPr>
    </w:lvl>
    <w:lvl w:ilvl="6" w:tplc="FFFFFFFF" w:tentative="1">
      <w:start w:val="1"/>
      <w:numFmt w:val="decimal"/>
      <w:lvlText w:val="%7."/>
      <w:lvlJc w:val="left"/>
      <w:pPr>
        <w:ind w:left="720" w:hanging="360"/>
      </w:pPr>
    </w:lvl>
    <w:lvl w:ilvl="7" w:tplc="FFFFFFFF" w:tentative="1">
      <w:start w:val="1"/>
      <w:numFmt w:val="lowerLetter"/>
      <w:lvlText w:val="%8."/>
      <w:lvlJc w:val="left"/>
      <w:pPr>
        <w:ind w:left="1440" w:hanging="360"/>
      </w:pPr>
    </w:lvl>
    <w:lvl w:ilvl="8" w:tplc="FFFFFFFF" w:tentative="1">
      <w:start w:val="1"/>
      <w:numFmt w:val="lowerRoman"/>
      <w:lvlText w:val="%9."/>
      <w:lvlJc w:val="right"/>
      <w:pPr>
        <w:ind w:left="2160" w:hanging="180"/>
      </w:pPr>
    </w:lvl>
  </w:abstractNum>
  <w:abstractNum w:abstractNumId="76" w15:restartNumberingAfterBreak="0">
    <w:nsid w:val="368838C7"/>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abstractNum w:abstractNumId="77" w15:restartNumberingAfterBreak="0">
    <w:nsid w:val="3B434A1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8" w15:restartNumberingAfterBreak="0">
    <w:nsid w:val="3C222A6C"/>
    <w:multiLevelType w:val="hybridMultilevel"/>
    <w:tmpl w:val="59CE97DE"/>
    <w:lvl w:ilvl="0" w:tplc="85CC4766">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3C7176BF"/>
    <w:multiLevelType w:val="multilevel"/>
    <w:tmpl w:val="7E9A6D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3C925D9E"/>
    <w:multiLevelType w:val="hybridMultilevel"/>
    <w:tmpl w:val="3A8ED10C"/>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777A196A">
      <w:start w:val="1"/>
      <w:numFmt w:val="lowerRoman"/>
      <w:lvlText w:val="%3."/>
      <w:lvlJc w:val="right"/>
      <w:pPr>
        <w:ind w:left="3024" w:hanging="180"/>
      </w:pPr>
      <w:rPr>
        <w:b w:val="0"/>
        <w:bCs w:val="0"/>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1" w15:restartNumberingAfterBreak="0">
    <w:nsid w:val="3D6350C7"/>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2" w15:restartNumberingAfterBreak="0">
    <w:nsid w:val="3DE70F91"/>
    <w:multiLevelType w:val="hybridMultilevel"/>
    <w:tmpl w:val="D4ECFBB2"/>
    <w:lvl w:ilvl="0" w:tplc="FFFFFFFF">
      <w:start w:val="1"/>
      <w:numFmt w:val="lowerLetter"/>
      <w:lvlText w:val="(%1)"/>
      <w:lvlJc w:val="left"/>
      <w:pPr>
        <w:ind w:left="-288" w:hanging="360"/>
      </w:pPr>
    </w:lvl>
    <w:lvl w:ilvl="1" w:tplc="10090019" w:tentative="1">
      <w:start w:val="1"/>
      <w:numFmt w:val="lowerLetter"/>
      <w:lvlText w:val="%2."/>
      <w:lvlJc w:val="left"/>
      <w:pPr>
        <w:ind w:left="-1152" w:hanging="360"/>
      </w:pPr>
    </w:lvl>
    <w:lvl w:ilvl="2" w:tplc="1009001B" w:tentative="1">
      <w:start w:val="1"/>
      <w:numFmt w:val="lowerRoman"/>
      <w:lvlText w:val="%3."/>
      <w:lvlJc w:val="right"/>
      <w:pPr>
        <w:ind w:left="-432" w:hanging="180"/>
      </w:pPr>
    </w:lvl>
    <w:lvl w:ilvl="3" w:tplc="1009000F" w:tentative="1">
      <w:start w:val="1"/>
      <w:numFmt w:val="decimal"/>
      <w:lvlText w:val="%4."/>
      <w:lvlJc w:val="left"/>
      <w:pPr>
        <w:ind w:left="288" w:hanging="360"/>
      </w:pPr>
    </w:lvl>
    <w:lvl w:ilvl="4" w:tplc="10090019" w:tentative="1">
      <w:start w:val="1"/>
      <w:numFmt w:val="lowerLetter"/>
      <w:lvlText w:val="%5."/>
      <w:lvlJc w:val="left"/>
      <w:pPr>
        <w:ind w:left="1008" w:hanging="360"/>
      </w:pPr>
    </w:lvl>
    <w:lvl w:ilvl="5" w:tplc="1009001B" w:tentative="1">
      <w:start w:val="1"/>
      <w:numFmt w:val="lowerRoman"/>
      <w:lvlText w:val="%6."/>
      <w:lvlJc w:val="right"/>
      <w:pPr>
        <w:ind w:left="1728" w:hanging="180"/>
      </w:pPr>
    </w:lvl>
    <w:lvl w:ilvl="6" w:tplc="1009000F" w:tentative="1">
      <w:start w:val="1"/>
      <w:numFmt w:val="decimal"/>
      <w:lvlText w:val="%7."/>
      <w:lvlJc w:val="left"/>
      <w:pPr>
        <w:ind w:left="2448" w:hanging="360"/>
      </w:pPr>
    </w:lvl>
    <w:lvl w:ilvl="7" w:tplc="10090019" w:tentative="1">
      <w:start w:val="1"/>
      <w:numFmt w:val="lowerLetter"/>
      <w:lvlText w:val="%8."/>
      <w:lvlJc w:val="left"/>
      <w:pPr>
        <w:ind w:left="3168" w:hanging="360"/>
      </w:pPr>
    </w:lvl>
    <w:lvl w:ilvl="8" w:tplc="1009001B" w:tentative="1">
      <w:start w:val="1"/>
      <w:numFmt w:val="lowerRoman"/>
      <w:lvlText w:val="%9."/>
      <w:lvlJc w:val="right"/>
      <w:pPr>
        <w:ind w:left="3888" w:hanging="180"/>
      </w:pPr>
    </w:lvl>
  </w:abstractNum>
  <w:abstractNum w:abstractNumId="83" w15:restartNumberingAfterBreak="0">
    <w:nsid w:val="3E46469D"/>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4" w15:restartNumberingAfterBreak="0">
    <w:nsid w:val="3FDF7D98"/>
    <w:multiLevelType w:val="hybridMultilevel"/>
    <w:tmpl w:val="4E92B7D8"/>
    <w:lvl w:ilvl="0" w:tplc="10090001">
      <w:start w:val="1"/>
      <w:numFmt w:val="bullet"/>
      <w:lvlText w:val=""/>
      <w:lvlJc w:val="left"/>
      <w:pPr>
        <w:ind w:left="1584" w:hanging="360"/>
      </w:pPr>
      <w:rPr>
        <w:rFonts w:ascii="Symbol" w:hAnsi="Symbol"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5" w15:restartNumberingAfterBreak="0">
    <w:nsid w:val="40083727"/>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6" w15:restartNumberingAfterBreak="0">
    <w:nsid w:val="40E01A76"/>
    <w:multiLevelType w:val="hybridMultilevel"/>
    <w:tmpl w:val="B15A5CF0"/>
    <w:lvl w:ilvl="0" w:tplc="FFFFFFFF">
      <w:start w:val="1"/>
      <w:numFmt w:val="decimal"/>
      <w:lvlText w:val="%1."/>
      <w:lvlJc w:val="left"/>
      <w:pPr>
        <w:ind w:left="2304" w:hanging="360"/>
      </w:pPr>
      <w:rPr>
        <w:rFonts w:hint="default"/>
        <w:b w:val="0"/>
        <w:bCs w:val="0"/>
        <w:color w:val="auto"/>
        <w:sz w:val="22"/>
        <w:szCs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7" w15:restartNumberingAfterBreak="0">
    <w:nsid w:val="412A323A"/>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8" w15:restartNumberingAfterBreak="0">
    <w:nsid w:val="4146556B"/>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9" w15:restartNumberingAfterBreak="0">
    <w:nsid w:val="426D04E4"/>
    <w:multiLevelType w:val="hybridMultilevel"/>
    <w:tmpl w:val="92AEC1B0"/>
    <w:lvl w:ilvl="0" w:tplc="FFFFFFFF">
      <w:start w:val="1"/>
      <w:numFmt w:val="lowerLetter"/>
      <w:lvlText w:val="(%1)"/>
      <w:lvlJc w:val="left"/>
      <w:pPr>
        <w:ind w:left="1440"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90" w15:restartNumberingAfterBreak="0">
    <w:nsid w:val="42FF045C"/>
    <w:multiLevelType w:val="hybridMultilevel"/>
    <w:tmpl w:val="92AEC1B0"/>
    <w:lvl w:ilvl="0" w:tplc="FFFFFFFF">
      <w:start w:val="1"/>
      <w:numFmt w:val="lowerLetter"/>
      <w:lvlText w:val="(%1)"/>
      <w:lvlJc w:val="left"/>
      <w:pPr>
        <w:ind w:left="1440"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91" w15:restartNumberingAfterBreak="0">
    <w:nsid w:val="43E20872"/>
    <w:multiLevelType w:val="hybridMultilevel"/>
    <w:tmpl w:val="12129C10"/>
    <w:lvl w:ilvl="0" w:tplc="2154102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2" w15:restartNumberingAfterBreak="0">
    <w:nsid w:val="44F353B7"/>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93" w15:restartNumberingAfterBreak="0">
    <w:nsid w:val="46C537AF"/>
    <w:multiLevelType w:val="multilevel"/>
    <w:tmpl w:val="EDB6E860"/>
    <w:lvl w:ilvl="0">
      <w:start w:val="1"/>
      <w:numFmt w:val="lowerLetter"/>
      <w:lvlText w:val="%1)"/>
      <w:lvlJc w:val="left"/>
      <w:pPr>
        <w:ind w:left="12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47AA009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928"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95" w15:restartNumberingAfterBreak="0">
    <w:nsid w:val="49016436"/>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96" w15:restartNumberingAfterBreak="0">
    <w:nsid w:val="490B60A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97" w15:restartNumberingAfterBreak="0">
    <w:nsid w:val="49603A67"/>
    <w:multiLevelType w:val="multilevel"/>
    <w:tmpl w:val="6876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9" w15:restartNumberingAfterBreak="0">
    <w:nsid w:val="4BC16743"/>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00" w15:restartNumberingAfterBreak="0">
    <w:nsid w:val="4CAE71FD"/>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01" w15:restartNumberingAfterBreak="0">
    <w:nsid w:val="4DD94D99"/>
    <w:multiLevelType w:val="multilevel"/>
    <w:tmpl w:val="7C1E31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4DEB6ECA"/>
    <w:multiLevelType w:val="hybridMultilevel"/>
    <w:tmpl w:val="EF8EC996"/>
    <w:lvl w:ilvl="0" w:tplc="FFFFFFFF">
      <w:start w:val="1"/>
      <w:numFmt w:val="lowerLetter"/>
      <w:lvlText w:val="(%1)"/>
      <w:lvlJc w:val="left"/>
      <w:pPr>
        <w:ind w:left="-5472" w:hanging="360"/>
      </w:pPr>
    </w:lvl>
    <w:lvl w:ilvl="1" w:tplc="10090019" w:tentative="1">
      <w:start w:val="1"/>
      <w:numFmt w:val="lowerLetter"/>
      <w:lvlText w:val="%2."/>
      <w:lvlJc w:val="left"/>
      <w:pPr>
        <w:ind w:left="-6336" w:hanging="360"/>
      </w:pPr>
    </w:lvl>
    <w:lvl w:ilvl="2" w:tplc="1009001B" w:tentative="1">
      <w:start w:val="1"/>
      <w:numFmt w:val="lowerRoman"/>
      <w:lvlText w:val="%3."/>
      <w:lvlJc w:val="right"/>
      <w:pPr>
        <w:ind w:left="-5616" w:hanging="180"/>
      </w:pPr>
    </w:lvl>
    <w:lvl w:ilvl="3" w:tplc="1009000F" w:tentative="1">
      <w:start w:val="1"/>
      <w:numFmt w:val="decimal"/>
      <w:lvlText w:val="%4."/>
      <w:lvlJc w:val="left"/>
      <w:pPr>
        <w:ind w:left="-4896" w:hanging="360"/>
      </w:pPr>
    </w:lvl>
    <w:lvl w:ilvl="4" w:tplc="10090019" w:tentative="1">
      <w:start w:val="1"/>
      <w:numFmt w:val="lowerLetter"/>
      <w:lvlText w:val="%5."/>
      <w:lvlJc w:val="left"/>
      <w:pPr>
        <w:ind w:left="-4176" w:hanging="360"/>
      </w:pPr>
    </w:lvl>
    <w:lvl w:ilvl="5" w:tplc="1009001B" w:tentative="1">
      <w:start w:val="1"/>
      <w:numFmt w:val="lowerRoman"/>
      <w:lvlText w:val="%6."/>
      <w:lvlJc w:val="right"/>
      <w:pPr>
        <w:ind w:left="-3456" w:hanging="180"/>
      </w:pPr>
    </w:lvl>
    <w:lvl w:ilvl="6" w:tplc="1009000F" w:tentative="1">
      <w:start w:val="1"/>
      <w:numFmt w:val="decimal"/>
      <w:lvlText w:val="%7."/>
      <w:lvlJc w:val="left"/>
      <w:pPr>
        <w:ind w:left="-2736" w:hanging="360"/>
      </w:pPr>
    </w:lvl>
    <w:lvl w:ilvl="7" w:tplc="10090019" w:tentative="1">
      <w:start w:val="1"/>
      <w:numFmt w:val="lowerLetter"/>
      <w:lvlText w:val="%8."/>
      <w:lvlJc w:val="left"/>
      <w:pPr>
        <w:ind w:left="-2016" w:hanging="360"/>
      </w:pPr>
    </w:lvl>
    <w:lvl w:ilvl="8" w:tplc="1009001B" w:tentative="1">
      <w:start w:val="1"/>
      <w:numFmt w:val="lowerRoman"/>
      <w:lvlText w:val="%9."/>
      <w:lvlJc w:val="right"/>
      <w:pPr>
        <w:ind w:left="-1296" w:hanging="180"/>
      </w:pPr>
    </w:lvl>
  </w:abstractNum>
  <w:abstractNum w:abstractNumId="103" w15:restartNumberingAfterBreak="0">
    <w:nsid w:val="4F6A51BA"/>
    <w:multiLevelType w:val="multilevel"/>
    <w:tmpl w:val="3EEA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21F47F3"/>
    <w:multiLevelType w:val="multilevel"/>
    <w:tmpl w:val="DF2AD626"/>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5" w15:restartNumberingAfterBreak="0">
    <w:nsid w:val="5330250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06" w15:restartNumberingAfterBreak="0">
    <w:nsid w:val="538D1500"/>
    <w:multiLevelType w:val="multilevel"/>
    <w:tmpl w:val="6282B38C"/>
    <w:lvl w:ilvl="0">
      <w:start w:val="1"/>
      <w:numFmt w:val="decimal"/>
      <w:lvlText w:val="%1."/>
      <w:lvlJc w:val="left"/>
      <w:pPr>
        <w:ind w:left="1350" w:hanging="360"/>
      </w:pPr>
      <w:rPr>
        <w:b w:val="0"/>
        <w:bCs w:val="0"/>
        <w:strike w:val="0"/>
        <w:dstrike w:val="0"/>
        <w:color w:val="000000"/>
        <w:sz w:val="22"/>
        <w:szCs w:val="22"/>
        <w:u w:val="none"/>
        <w:effect w:val="none"/>
      </w:rPr>
    </w:lvl>
    <w:lvl w:ilvl="1">
      <w:start w:val="1"/>
      <w:numFmt w:val="lowerLetter"/>
      <w:lvlText w:val="(%2)"/>
      <w:lvlJc w:val="left"/>
      <w:pPr>
        <w:ind w:left="2304" w:hanging="360"/>
      </w:pPr>
    </w:lvl>
    <w:lvl w:ilvl="2">
      <w:start w:val="1"/>
      <w:numFmt w:val="lowerRoman"/>
      <w:lvlText w:val="%3."/>
      <w:lvlJc w:val="right"/>
      <w:pPr>
        <w:ind w:left="3024" w:hanging="180"/>
      </w:pPr>
    </w:lvl>
    <w:lvl w:ilvl="3">
      <w:start w:val="1"/>
      <w:numFmt w:val="decimal"/>
      <w:lvlText w:val="%4."/>
      <w:lvlJc w:val="left"/>
      <w:pPr>
        <w:ind w:left="3744" w:hanging="360"/>
      </w:pPr>
    </w:lvl>
    <w:lvl w:ilvl="4">
      <w:start w:val="1"/>
      <w:numFmt w:val="lowerLetter"/>
      <w:lvlText w:val="%5."/>
      <w:lvlJc w:val="left"/>
      <w:pPr>
        <w:ind w:left="4464" w:hanging="360"/>
      </w:pPr>
    </w:lvl>
    <w:lvl w:ilvl="5">
      <w:start w:val="1"/>
      <w:numFmt w:val="lowerRoman"/>
      <w:lvlText w:val="%6."/>
      <w:lvlJc w:val="right"/>
      <w:pPr>
        <w:ind w:left="5184" w:hanging="180"/>
      </w:pPr>
    </w:lvl>
    <w:lvl w:ilvl="6">
      <w:start w:val="1"/>
      <w:numFmt w:val="decimal"/>
      <w:lvlText w:val="%7."/>
      <w:lvlJc w:val="left"/>
      <w:pPr>
        <w:ind w:left="5904" w:hanging="360"/>
      </w:pPr>
    </w:lvl>
    <w:lvl w:ilvl="7">
      <w:start w:val="1"/>
      <w:numFmt w:val="lowerLetter"/>
      <w:lvlText w:val="%8."/>
      <w:lvlJc w:val="left"/>
      <w:pPr>
        <w:ind w:left="6624" w:hanging="360"/>
      </w:pPr>
    </w:lvl>
    <w:lvl w:ilvl="8">
      <w:start w:val="1"/>
      <w:numFmt w:val="lowerRoman"/>
      <w:lvlText w:val="%9."/>
      <w:lvlJc w:val="right"/>
      <w:pPr>
        <w:ind w:left="7344" w:hanging="180"/>
      </w:pPr>
    </w:lvl>
  </w:abstractNum>
  <w:abstractNum w:abstractNumId="107" w15:restartNumberingAfterBreak="0">
    <w:nsid w:val="5420261E"/>
    <w:multiLevelType w:val="hybridMultilevel"/>
    <w:tmpl w:val="F7F63B02"/>
    <w:lvl w:ilvl="0" w:tplc="7BE43DE0">
      <w:start w:val="1"/>
      <w:numFmt w:val="decimal"/>
      <w:lvlText w:val="%1."/>
      <w:lvlJc w:val="left"/>
      <w:pPr>
        <w:ind w:left="1127" w:hanging="560"/>
      </w:pPr>
      <w:rPr>
        <w:rFonts w:hint="default"/>
      </w:rPr>
    </w:lvl>
    <w:lvl w:ilvl="1" w:tplc="60AAD378">
      <w:start w:val="1"/>
      <w:numFmt w:val="lowerLetter"/>
      <w:lvlText w:val="(%2)"/>
      <w:lvlJc w:val="left"/>
      <w:pPr>
        <w:ind w:left="1647" w:hanging="360"/>
      </w:pPr>
      <w:rPr>
        <w:rFonts w:ascii="Times New Roman" w:eastAsia="SimSun" w:hAnsi="Times New Roman" w:cs="Times New Roman"/>
      </w:r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8" w15:restartNumberingAfterBreak="0">
    <w:nsid w:val="54417D36"/>
    <w:multiLevelType w:val="hybridMultilevel"/>
    <w:tmpl w:val="C3FC49EC"/>
    <w:lvl w:ilvl="0" w:tplc="FFFFFFFF">
      <w:start w:val="1"/>
      <w:numFmt w:val="decimal"/>
      <w:lvlText w:val="%1."/>
      <w:lvlJc w:val="left"/>
      <w:pPr>
        <w:ind w:left="2304" w:hanging="360"/>
      </w:pPr>
      <w:rPr>
        <w:rFonts w:hint="default"/>
        <w:b w:val="0"/>
        <w:bCs w:val="0"/>
        <w:color w:val="auto"/>
        <w:sz w:val="22"/>
        <w:szCs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9" w15:restartNumberingAfterBreak="0">
    <w:nsid w:val="550A1A57"/>
    <w:multiLevelType w:val="hybridMultilevel"/>
    <w:tmpl w:val="056EB38E"/>
    <w:lvl w:ilvl="0" w:tplc="FFF2B38A">
      <w:start w:val="1"/>
      <w:numFmt w:val="lowerLetter"/>
      <w:lvlText w:val="%1."/>
      <w:lvlJc w:val="left"/>
      <w:pPr>
        <w:ind w:left="1080" w:hanging="360"/>
      </w:pPr>
    </w:lvl>
    <w:lvl w:ilvl="1" w:tplc="27BA53E4">
      <w:start w:val="1"/>
      <w:numFmt w:val="lowerLetter"/>
      <w:lvlText w:val="%2."/>
      <w:lvlJc w:val="left"/>
      <w:pPr>
        <w:ind w:left="1800" w:hanging="360"/>
      </w:pPr>
    </w:lvl>
    <w:lvl w:ilvl="2" w:tplc="D86095AA">
      <w:start w:val="1"/>
      <w:numFmt w:val="lowerRoman"/>
      <w:lvlText w:val="%3."/>
      <w:lvlJc w:val="right"/>
      <w:pPr>
        <w:ind w:left="2520" w:hanging="180"/>
      </w:pPr>
    </w:lvl>
    <w:lvl w:ilvl="3" w:tplc="21BA6832">
      <w:start w:val="1"/>
      <w:numFmt w:val="decimal"/>
      <w:lvlText w:val="%4."/>
      <w:lvlJc w:val="left"/>
      <w:pPr>
        <w:ind w:left="3240" w:hanging="360"/>
      </w:pPr>
    </w:lvl>
    <w:lvl w:ilvl="4" w:tplc="9BD274DA">
      <w:start w:val="1"/>
      <w:numFmt w:val="lowerLetter"/>
      <w:lvlText w:val="%5."/>
      <w:lvlJc w:val="left"/>
      <w:pPr>
        <w:ind w:left="3960" w:hanging="360"/>
      </w:pPr>
    </w:lvl>
    <w:lvl w:ilvl="5" w:tplc="48D6AB3A">
      <w:start w:val="1"/>
      <w:numFmt w:val="lowerRoman"/>
      <w:lvlText w:val="%6."/>
      <w:lvlJc w:val="right"/>
      <w:pPr>
        <w:ind w:left="4680" w:hanging="180"/>
      </w:pPr>
    </w:lvl>
    <w:lvl w:ilvl="6" w:tplc="5686E038">
      <w:start w:val="1"/>
      <w:numFmt w:val="decimal"/>
      <w:lvlText w:val="%7."/>
      <w:lvlJc w:val="left"/>
      <w:pPr>
        <w:ind w:left="5400" w:hanging="360"/>
      </w:pPr>
    </w:lvl>
    <w:lvl w:ilvl="7" w:tplc="7020FE82">
      <w:start w:val="1"/>
      <w:numFmt w:val="lowerLetter"/>
      <w:lvlText w:val="%8."/>
      <w:lvlJc w:val="left"/>
      <w:pPr>
        <w:ind w:left="6120" w:hanging="360"/>
      </w:pPr>
    </w:lvl>
    <w:lvl w:ilvl="8" w:tplc="7B280F00">
      <w:start w:val="1"/>
      <w:numFmt w:val="lowerRoman"/>
      <w:lvlText w:val="%9."/>
      <w:lvlJc w:val="right"/>
      <w:pPr>
        <w:ind w:left="6840" w:hanging="180"/>
      </w:pPr>
    </w:lvl>
  </w:abstractNum>
  <w:abstractNum w:abstractNumId="110" w15:restartNumberingAfterBreak="0">
    <w:nsid w:val="55167DE4"/>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11" w15:restartNumberingAfterBreak="0">
    <w:nsid w:val="55514CB0"/>
    <w:multiLevelType w:val="hybridMultilevel"/>
    <w:tmpl w:val="749AB92A"/>
    <w:lvl w:ilvl="0" w:tplc="FFFFFFFF">
      <w:start w:val="1"/>
      <w:numFmt w:val="decimal"/>
      <w:lvlText w:val="%1."/>
      <w:lvlJc w:val="left"/>
      <w:pPr>
        <w:ind w:left="1440" w:hanging="360"/>
      </w:pPr>
      <w:rPr>
        <w:rFonts w:hint="default"/>
        <w:b w:val="0"/>
        <w:bCs w:val="0"/>
        <w:color w:val="auto"/>
        <w:sz w:val="22"/>
        <w:szCs w:val="22"/>
      </w:rPr>
    </w:lvl>
    <w:lvl w:ilvl="1" w:tplc="10090019" w:tentative="1">
      <w:start w:val="1"/>
      <w:numFmt w:val="lowerLetter"/>
      <w:lvlText w:val="%2."/>
      <w:lvlJc w:val="left"/>
      <w:pPr>
        <w:ind w:left="1296" w:hanging="360"/>
      </w:pPr>
    </w:lvl>
    <w:lvl w:ilvl="2" w:tplc="1009001B" w:tentative="1">
      <w:start w:val="1"/>
      <w:numFmt w:val="lowerRoman"/>
      <w:lvlText w:val="%3."/>
      <w:lvlJc w:val="right"/>
      <w:pPr>
        <w:ind w:left="2016" w:hanging="180"/>
      </w:pPr>
    </w:lvl>
    <w:lvl w:ilvl="3" w:tplc="1009000F" w:tentative="1">
      <w:start w:val="1"/>
      <w:numFmt w:val="decimal"/>
      <w:lvlText w:val="%4."/>
      <w:lvlJc w:val="left"/>
      <w:pPr>
        <w:ind w:left="2736" w:hanging="360"/>
      </w:pPr>
    </w:lvl>
    <w:lvl w:ilvl="4" w:tplc="10090019" w:tentative="1">
      <w:start w:val="1"/>
      <w:numFmt w:val="lowerLetter"/>
      <w:lvlText w:val="%5."/>
      <w:lvlJc w:val="left"/>
      <w:pPr>
        <w:ind w:left="3456" w:hanging="360"/>
      </w:pPr>
    </w:lvl>
    <w:lvl w:ilvl="5" w:tplc="1009001B" w:tentative="1">
      <w:start w:val="1"/>
      <w:numFmt w:val="lowerRoman"/>
      <w:lvlText w:val="%6."/>
      <w:lvlJc w:val="right"/>
      <w:pPr>
        <w:ind w:left="4176" w:hanging="180"/>
      </w:pPr>
    </w:lvl>
    <w:lvl w:ilvl="6" w:tplc="1009000F" w:tentative="1">
      <w:start w:val="1"/>
      <w:numFmt w:val="decimal"/>
      <w:lvlText w:val="%7."/>
      <w:lvlJc w:val="left"/>
      <w:pPr>
        <w:ind w:left="4896" w:hanging="360"/>
      </w:pPr>
    </w:lvl>
    <w:lvl w:ilvl="7" w:tplc="10090019" w:tentative="1">
      <w:start w:val="1"/>
      <w:numFmt w:val="lowerLetter"/>
      <w:lvlText w:val="%8."/>
      <w:lvlJc w:val="left"/>
      <w:pPr>
        <w:ind w:left="5616" w:hanging="360"/>
      </w:pPr>
    </w:lvl>
    <w:lvl w:ilvl="8" w:tplc="1009001B" w:tentative="1">
      <w:start w:val="1"/>
      <w:numFmt w:val="lowerRoman"/>
      <w:lvlText w:val="%9."/>
      <w:lvlJc w:val="right"/>
      <w:pPr>
        <w:ind w:left="6336" w:hanging="180"/>
      </w:pPr>
    </w:lvl>
  </w:abstractNum>
  <w:abstractNum w:abstractNumId="112" w15:restartNumberingAfterBreak="0">
    <w:nsid w:val="558D5210"/>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13" w15:restartNumberingAfterBreak="0">
    <w:nsid w:val="57896396"/>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14" w15:restartNumberingAfterBreak="0">
    <w:nsid w:val="58296B7C"/>
    <w:multiLevelType w:val="multilevel"/>
    <w:tmpl w:val="824C00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88E0468"/>
    <w:multiLevelType w:val="hybridMultilevel"/>
    <w:tmpl w:val="48DCB2D0"/>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928"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16" w15:restartNumberingAfterBreak="0">
    <w:nsid w:val="58B60EA5"/>
    <w:multiLevelType w:val="hybridMultilevel"/>
    <w:tmpl w:val="EF8EC996"/>
    <w:lvl w:ilvl="0" w:tplc="FFFFFFFF">
      <w:start w:val="1"/>
      <w:numFmt w:val="lowerLetter"/>
      <w:lvlText w:val="(%1)"/>
      <w:lvlJc w:val="left"/>
      <w:pPr>
        <w:ind w:left="-5472" w:hanging="360"/>
      </w:pPr>
    </w:lvl>
    <w:lvl w:ilvl="1" w:tplc="FFFFFFFF" w:tentative="1">
      <w:start w:val="1"/>
      <w:numFmt w:val="lowerLetter"/>
      <w:lvlText w:val="%2."/>
      <w:lvlJc w:val="left"/>
      <w:pPr>
        <w:ind w:left="-6336" w:hanging="360"/>
      </w:pPr>
    </w:lvl>
    <w:lvl w:ilvl="2" w:tplc="FFFFFFFF" w:tentative="1">
      <w:start w:val="1"/>
      <w:numFmt w:val="lowerRoman"/>
      <w:lvlText w:val="%3."/>
      <w:lvlJc w:val="right"/>
      <w:pPr>
        <w:ind w:left="-5616" w:hanging="180"/>
      </w:pPr>
    </w:lvl>
    <w:lvl w:ilvl="3" w:tplc="FFFFFFFF" w:tentative="1">
      <w:start w:val="1"/>
      <w:numFmt w:val="decimal"/>
      <w:lvlText w:val="%4."/>
      <w:lvlJc w:val="left"/>
      <w:pPr>
        <w:ind w:left="-489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2736" w:hanging="360"/>
      </w:pPr>
    </w:lvl>
    <w:lvl w:ilvl="7" w:tplc="FFFFFFFF" w:tentative="1">
      <w:start w:val="1"/>
      <w:numFmt w:val="lowerLetter"/>
      <w:lvlText w:val="%8."/>
      <w:lvlJc w:val="left"/>
      <w:pPr>
        <w:ind w:left="-2016" w:hanging="360"/>
      </w:pPr>
    </w:lvl>
    <w:lvl w:ilvl="8" w:tplc="FFFFFFFF" w:tentative="1">
      <w:start w:val="1"/>
      <w:numFmt w:val="lowerRoman"/>
      <w:lvlText w:val="%9."/>
      <w:lvlJc w:val="right"/>
      <w:pPr>
        <w:ind w:left="-1296" w:hanging="180"/>
      </w:pPr>
    </w:lvl>
  </w:abstractNum>
  <w:abstractNum w:abstractNumId="117" w15:restartNumberingAfterBreak="0">
    <w:nsid w:val="599E3776"/>
    <w:multiLevelType w:val="hybridMultilevel"/>
    <w:tmpl w:val="95F66FAC"/>
    <w:lvl w:ilvl="0" w:tplc="80CA3546">
      <w:start w:val="1"/>
      <w:numFmt w:val="decimal"/>
      <w:lvlText w:val="%1)"/>
      <w:lvlJc w:val="left"/>
      <w:pPr>
        <w:ind w:left="720" w:hanging="360"/>
      </w:pPr>
    </w:lvl>
    <w:lvl w:ilvl="1" w:tplc="40D0BB52">
      <w:start w:val="1"/>
      <w:numFmt w:val="lowerLetter"/>
      <w:lvlText w:val="%2."/>
      <w:lvlJc w:val="left"/>
      <w:pPr>
        <w:ind w:left="1440" w:hanging="360"/>
      </w:pPr>
    </w:lvl>
    <w:lvl w:ilvl="2" w:tplc="C872313E">
      <w:start w:val="1"/>
      <w:numFmt w:val="lowerRoman"/>
      <w:lvlText w:val="%3."/>
      <w:lvlJc w:val="right"/>
      <w:pPr>
        <w:ind w:left="2160" w:hanging="180"/>
      </w:pPr>
    </w:lvl>
    <w:lvl w:ilvl="3" w:tplc="7EB8B8B6">
      <w:start w:val="1"/>
      <w:numFmt w:val="decimal"/>
      <w:lvlText w:val="%4."/>
      <w:lvlJc w:val="left"/>
      <w:pPr>
        <w:ind w:left="2880" w:hanging="360"/>
      </w:pPr>
    </w:lvl>
    <w:lvl w:ilvl="4" w:tplc="8F30A682">
      <w:start w:val="1"/>
      <w:numFmt w:val="lowerLetter"/>
      <w:lvlText w:val="%5."/>
      <w:lvlJc w:val="left"/>
      <w:pPr>
        <w:ind w:left="3600" w:hanging="360"/>
      </w:pPr>
    </w:lvl>
    <w:lvl w:ilvl="5" w:tplc="530A1848">
      <w:start w:val="1"/>
      <w:numFmt w:val="lowerRoman"/>
      <w:lvlText w:val="%6."/>
      <w:lvlJc w:val="right"/>
      <w:pPr>
        <w:ind w:left="4320" w:hanging="180"/>
      </w:pPr>
    </w:lvl>
    <w:lvl w:ilvl="6" w:tplc="03B4805C">
      <w:start w:val="1"/>
      <w:numFmt w:val="decimal"/>
      <w:lvlText w:val="%7."/>
      <w:lvlJc w:val="left"/>
      <w:pPr>
        <w:ind w:left="5040" w:hanging="360"/>
      </w:pPr>
    </w:lvl>
    <w:lvl w:ilvl="7" w:tplc="C298B34A">
      <w:start w:val="1"/>
      <w:numFmt w:val="lowerLetter"/>
      <w:lvlText w:val="%8."/>
      <w:lvlJc w:val="left"/>
      <w:pPr>
        <w:ind w:left="5760" w:hanging="360"/>
      </w:pPr>
    </w:lvl>
    <w:lvl w:ilvl="8" w:tplc="9BA0B99E">
      <w:start w:val="1"/>
      <w:numFmt w:val="lowerRoman"/>
      <w:lvlText w:val="%9."/>
      <w:lvlJc w:val="right"/>
      <w:pPr>
        <w:ind w:left="6480" w:hanging="180"/>
      </w:pPr>
    </w:lvl>
  </w:abstractNum>
  <w:abstractNum w:abstractNumId="118" w15:restartNumberingAfterBreak="0">
    <w:nsid w:val="5BB87D8B"/>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19" w15:restartNumberingAfterBreak="0">
    <w:nsid w:val="5CAE505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20" w15:restartNumberingAfterBreak="0">
    <w:nsid w:val="5D24692B"/>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21" w15:restartNumberingAfterBreak="0">
    <w:nsid w:val="5D943BEE"/>
    <w:multiLevelType w:val="multilevel"/>
    <w:tmpl w:val="16A2A5D2"/>
    <w:lvl w:ilvl="0">
      <w:start w:val="1"/>
      <w:numFmt w:val="decimal"/>
      <w:lvlText w:val="%1."/>
      <w:lvlJc w:val="left"/>
      <w:pPr>
        <w:ind w:left="567" w:firstLine="0"/>
      </w:pPr>
      <w:rPr>
        <w:rFonts w:ascii="Times New Roman" w:hAnsi="Times New Roman" w:cs="Times New Roman" w:hint="default"/>
        <w:b w:val="0"/>
        <w:bCs w:val="0"/>
        <w:i w:val="0"/>
        <w:iCs w:val="0"/>
        <w:color w:val="auto"/>
        <w:sz w:val="22"/>
        <w:lang w:val="en-CA"/>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2" w15:restartNumberingAfterBreak="0">
    <w:nsid w:val="5E955472"/>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23" w15:restartNumberingAfterBreak="0">
    <w:nsid w:val="5F213FB1"/>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24" w15:restartNumberingAfterBreak="0">
    <w:nsid w:val="5F8C4B6F"/>
    <w:multiLevelType w:val="multilevel"/>
    <w:tmpl w:val="2AC41C2E"/>
    <w:lvl w:ilvl="0">
      <w:start w:val="1"/>
      <w:numFmt w:val="bullet"/>
      <w:lvlText w:val="●"/>
      <w:lvlJc w:val="left"/>
      <w:pPr>
        <w:ind w:left="720" w:hanging="360"/>
      </w:pPr>
      <w:rPr>
        <w:rFonts w:ascii="Noto Sans Symbols" w:eastAsia="Noto Sans Symbols" w:hAnsi="Noto Sans Symbols" w:cs="Noto Sans Symbols"/>
        <w:sz w:val="20"/>
        <w:szCs w:val="20"/>
      </w:rPr>
    </w:lvl>
    <w:lvl w:ilvl="1">
      <w:start w:val="39"/>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5" w15:restartNumberingAfterBreak="0">
    <w:nsid w:val="61BA5AFF"/>
    <w:multiLevelType w:val="hybridMultilevel"/>
    <w:tmpl w:val="7362FEC0"/>
    <w:lvl w:ilvl="0" w:tplc="FFFFFFFF">
      <w:start w:val="1"/>
      <w:numFmt w:val="lowerLetter"/>
      <w:lvlText w:val="(%1)"/>
      <w:lvlJc w:val="left"/>
      <w:pPr>
        <w:ind w:left="-2016"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720" w:hanging="360"/>
      </w:pPr>
    </w:lvl>
    <w:lvl w:ilvl="5" w:tplc="1009001B" w:tentative="1">
      <w:start w:val="1"/>
      <w:numFmt w:val="lowerRoman"/>
      <w:lvlText w:val="%6."/>
      <w:lvlJc w:val="right"/>
      <w:pPr>
        <w:ind w:left="0" w:hanging="180"/>
      </w:pPr>
    </w:lvl>
    <w:lvl w:ilvl="6" w:tplc="1009000F" w:tentative="1">
      <w:start w:val="1"/>
      <w:numFmt w:val="decimal"/>
      <w:lvlText w:val="%7."/>
      <w:lvlJc w:val="left"/>
      <w:pPr>
        <w:ind w:left="720" w:hanging="360"/>
      </w:pPr>
    </w:lvl>
    <w:lvl w:ilvl="7" w:tplc="10090019" w:tentative="1">
      <w:start w:val="1"/>
      <w:numFmt w:val="lowerLetter"/>
      <w:lvlText w:val="%8."/>
      <w:lvlJc w:val="left"/>
      <w:pPr>
        <w:ind w:left="1440" w:hanging="360"/>
      </w:pPr>
    </w:lvl>
    <w:lvl w:ilvl="8" w:tplc="1009001B" w:tentative="1">
      <w:start w:val="1"/>
      <w:numFmt w:val="lowerRoman"/>
      <w:lvlText w:val="%9."/>
      <w:lvlJc w:val="right"/>
      <w:pPr>
        <w:ind w:left="2160" w:hanging="180"/>
      </w:pPr>
    </w:lvl>
  </w:abstractNum>
  <w:abstractNum w:abstractNumId="126"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65D7293C"/>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28" w15:restartNumberingAfterBreak="0">
    <w:nsid w:val="65E26B27"/>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29" w15:restartNumberingAfterBreak="0">
    <w:nsid w:val="676A1276"/>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30" w15:restartNumberingAfterBreak="0">
    <w:nsid w:val="68476B1E"/>
    <w:multiLevelType w:val="hybridMultilevel"/>
    <w:tmpl w:val="46FA6DEC"/>
    <w:lvl w:ilvl="0" w:tplc="7214D584">
      <w:start w:val="1"/>
      <w:numFmt w:val="lowerLetter"/>
      <w:lvlText w:val="%1."/>
      <w:lvlJc w:val="left"/>
      <w:pPr>
        <w:ind w:left="720" w:hanging="360"/>
      </w:pPr>
    </w:lvl>
    <w:lvl w:ilvl="1" w:tplc="DD7EC24C">
      <w:start w:val="1"/>
      <w:numFmt w:val="lowerLetter"/>
      <w:lvlText w:val="%2."/>
      <w:lvlJc w:val="left"/>
      <w:pPr>
        <w:ind w:left="1440" w:hanging="360"/>
      </w:pPr>
    </w:lvl>
    <w:lvl w:ilvl="2" w:tplc="801C3F9A">
      <w:start w:val="1"/>
      <w:numFmt w:val="lowerRoman"/>
      <w:lvlText w:val="%3."/>
      <w:lvlJc w:val="right"/>
      <w:pPr>
        <w:ind w:left="2160" w:hanging="180"/>
      </w:pPr>
    </w:lvl>
    <w:lvl w:ilvl="3" w:tplc="50962176">
      <w:start w:val="1"/>
      <w:numFmt w:val="decimal"/>
      <w:lvlText w:val="%4."/>
      <w:lvlJc w:val="left"/>
      <w:pPr>
        <w:ind w:left="2880" w:hanging="360"/>
      </w:pPr>
    </w:lvl>
    <w:lvl w:ilvl="4" w:tplc="12628566">
      <w:start w:val="1"/>
      <w:numFmt w:val="lowerLetter"/>
      <w:lvlText w:val="%5."/>
      <w:lvlJc w:val="left"/>
      <w:pPr>
        <w:ind w:left="3600" w:hanging="360"/>
      </w:pPr>
    </w:lvl>
    <w:lvl w:ilvl="5" w:tplc="00A05B12">
      <w:start w:val="1"/>
      <w:numFmt w:val="lowerRoman"/>
      <w:lvlText w:val="%6."/>
      <w:lvlJc w:val="right"/>
      <w:pPr>
        <w:ind w:left="4320" w:hanging="180"/>
      </w:pPr>
    </w:lvl>
    <w:lvl w:ilvl="6" w:tplc="36DC024A">
      <w:start w:val="1"/>
      <w:numFmt w:val="decimal"/>
      <w:lvlText w:val="%7."/>
      <w:lvlJc w:val="left"/>
      <w:pPr>
        <w:ind w:left="5040" w:hanging="360"/>
      </w:pPr>
    </w:lvl>
    <w:lvl w:ilvl="7" w:tplc="3C3E61D2">
      <w:start w:val="1"/>
      <w:numFmt w:val="lowerLetter"/>
      <w:lvlText w:val="%8."/>
      <w:lvlJc w:val="left"/>
      <w:pPr>
        <w:ind w:left="5760" w:hanging="360"/>
      </w:pPr>
    </w:lvl>
    <w:lvl w:ilvl="8" w:tplc="26EA6712">
      <w:start w:val="1"/>
      <w:numFmt w:val="lowerRoman"/>
      <w:lvlText w:val="%9."/>
      <w:lvlJc w:val="right"/>
      <w:pPr>
        <w:ind w:left="6480" w:hanging="180"/>
      </w:pPr>
    </w:lvl>
  </w:abstractNum>
  <w:abstractNum w:abstractNumId="131"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2" w15:restartNumberingAfterBreak="0">
    <w:nsid w:val="69EC54F8"/>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33" w15:restartNumberingAfterBreak="0">
    <w:nsid w:val="69F224E5"/>
    <w:multiLevelType w:val="multilevel"/>
    <w:tmpl w:val="06DA4FFE"/>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34" w15:restartNumberingAfterBreak="0">
    <w:nsid w:val="6A482868"/>
    <w:multiLevelType w:val="hybridMultilevel"/>
    <w:tmpl w:val="389AD6A0"/>
    <w:lvl w:ilvl="0" w:tplc="4A24DAE6">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35" w15:restartNumberingAfterBreak="0">
    <w:nsid w:val="6BA72842"/>
    <w:multiLevelType w:val="hybridMultilevel"/>
    <w:tmpl w:val="7362FEC0"/>
    <w:lvl w:ilvl="0" w:tplc="FFFFFFFF">
      <w:start w:val="1"/>
      <w:numFmt w:val="lowerLetter"/>
      <w:lvlText w:val="(%1)"/>
      <w:lvlJc w:val="left"/>
      <w:pPr>
        <w:ind w:left="-2016"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720" w:hanging="360"/>
      </w:pPr>
    </w:lvl>
    <w:lvl w:ilvl="5" w:tplc="FFFFFFFF" w:tentative="1">
      <w:start w:val="1"/>
      <w:numFmt w:val="lowerRoman"/>
      <w:lvlText w:val="%6."/>
      <w:lvlJc w:val="right"/>
      <w:pPr>
        <w:ind w:left="0" w:hanging="180"/>
      </w:pPr>
    </w:lvl>
    <w:lvl w:ilvl="6" w:tplc="FFFFFFFF" w:tentative="1">
      <w:start w:val="1"/>
      <w:numFmt w:val="decimal"/>
      <w:lvlText w:val="%7."/>
      <w:lvlJc w:val="left"/>
      <w:pPr>
        <w:ind w:left="720" w:hanging="360"/>
      </w:pPr>
    </w:lvl>
    <w:lvl w:ilvl="7" w:tplc="FFFFFFFF" w:tentative="1">
      <w:start w:val="1"/>
      <w:numFmt w:val="lowerLetter"/>
      <w:lvlText w:val="%8."/>
      <w:lvlJc w:val="left"/>
      <w:pPr>
        <w:ind w:left="1440" w:hanging="360"/>
      </w:pPr>
    </w:lvl>
    <w:lvl w:ilvl="8" w:tplc="FFFFFFFF" w:tentative="1">
      <w:start w:val="1"/>
      <w:numFmt w:val="lowerRoman"/>
      <w:lvlText w:val="%9."/>
      <w:lvlJc w:val="right"/>
      <w:pPr>
        <w:ind w:left="2160" w:hanging="180"/>
      </w:pPr>
    </w:lvl>
  </w:abstractNum>
  <w:abstractNum w:abstractNumId="136" w15:restartNumberingAfterBreak="0">
    <w:nsid w:val="6BF97DF3"/>
    <w:multiLevelType w:val="hybridMultilevel"/>
    <w:tmpl w:val="54B89BF4"/>
    <w:lvl w:ilvl="0" w:tplc="FFFFFFFF">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7" w15:restartNumberingAfterBreak="0">
    <w:nsid w:val="6F962881"/>
    <w:multiLevelType w:val="hybridMultilevel"/>
    <w:tmpl w:val="540A6C7A"/>
    <w:lvl w:ilvl="0" w:tplc="FFFFFFFF">
      <w:start w:val="1"/>
      <w:numFmt w:val="lowerLetter"/>
      <w:lvlText w:val="(%1)"/>
      <w:lvlJc w:val="left"/>
      <w:pPr>
        <w:ind w:left="1440" w:hanging="360"/>
      </w:pPr>
    </w:lvl>
    <w:lvl w:ilvl="1" w:tplc="10090019" w:tentative="1">
      <w:start w:val="1"/>
      <w:numFmt w:val="lowerLetter"/>
      <w:lvlText w:val="%2."/>
      <w:lvlJc w:val="left"/>
      <w:pPr>
        <w:ind w:left="576" w:hanging="360"/>
      </w:pPr>
    </w:lvl>
    <w:lvl w:ilvl="2" w:tplc="1009001B" w:tentative="1">
      <w:start w:val="1"/>
      <w:numFmt w:val="lowerRoman"/>
      <w:lvlText w:val="%3."/>
      <w:lvlJc w:val="right"/>
      <w:pPr>
        <w:ind w:left="1296" w:hanging="180"/>
      </w:pPr>
    </w:lvl>
    <w:lvl w:ilvl="3" w:tplc="1009000F" w:tentative="1">
      <w:start w:val="1"/>
      <w:numFmt w:val="decimal"/>
      <w:lvlText w:val="%4."/>
      <w:lvlJc w:val="left"/>
      <w:pPr>
        <w:ind w:left="2016" w:hanging="360"/>
      </w:pPr>
    </w:lvl>
    <w:lvl w:ilvl="4" w:tplc="10090019" w:tentative="1">
      <w:start w:val="1"/>
      <w:numFmt w:val="lowerLetter"/>
      <w:lvlText w:val="%5."/>
      <w:lvlJc w:val="left"/>
      <w:pPr>
        <w:ind w:left="2736" w:hanging="360"/>
      </w:pPr>
    </w:lvl>
    <w:lvl w:ilvl="5" w:tplc="1009001B" w:tentative="1">
      <w:start w:val="1"/>
      <w:numFmt w:val="lowerRoman"/>
      <w:lvlText w:val="%6."/>
      <w:lvlJc w:val="right"/>
      <w:pPr>
        <w:ind w:left="3456" w:hanging="180"/>
      </w:pPr>
    </w:lvl>
    <w:lvl w:ilvl="6" w:tplc="1009000F" w:tentative="1">
      <w:start w:val="1"/>
      <w:numFmt w:val="decimal"/>
      <w:lvlText w:val="%7."/>
      <w:lvlJc w:val="left"/>
      <w:pPr>
        <w:ind w:left="4176" w:hanging="360"/>
      </w:pPr>
    </w:lvl>
    <w:lvl w:ilvl="7" w:tplc="10090019" w:tentative="1">
      <w:start w:val="1"/>
      <w:numFmt w:val="lowerLetter"/>
      <w:lvlText w:val="%8."/>
      <w:lvlJc w:val="left"/>
      <w:pPr>
        <w:ind w:left="4896" w:hanging="360"/>
      </w:pPr>
    </w:lvl>
    <w:lvl w:ilvl="8" w:tplc="1009001B" w:tentative="1">
      <w:start w:val="1"/>
      <w:numFmt w:val="lowerRoman"/>
      <w:lvlText w:val="%9."/>
      <w:lvlJc w:val="right"/>
      <w:pPr>
        <w:ind w:left="5616" w:hanging="180"/>
      </w:pPr>
    </w:lvl>
  </w:abstractNum>
  <w:abstractNum w:abstractNumId="138" w15:restartNumberingAfterBreak="0">
    <w:nsid w:val="70245F7E"/>
    <w:multiLevelType w:val="hybridMultilevel"/>
    <w:tmpl w:val="3914075E"/>
    <w:lvl w:ilvl="0" w:tplc="FFFFFFFF">
      <w:start w:val="1"/>
      <w:numFmt w:val="lowerLetter"/>
      <w:lvlText w:val="(%1)"/>
      <w:lvlJc w:val="left"/>
      <w:pPr>
        <w:ind w:left="-3744" w:hanging="360"/>
      </w:pPr>
    </w:lvl>
    <w:lvl w:ilvl="1" w:tplc="10090019" w:tentative="1">
      <w:start w:val="1"/>
      <w:numFmt w:val="lowerLetter"/>
      <w:lvlText w:val="%2."/>
      <w:lvlJc w:val="left"/>
      <w:pPr>
        <w:ind w:left="-4608" w:hanging="360"/>
      </w:pPr>
    </w:lvl>
    <w:lvl w:ilvl="2" w:tplc="1009001B" w:tentative="1">
      <w:start w:val="1"/>
      <w:numFmt w:val="lowerRoman"/>
      <w:lvlText w:val="%3."/>
      <w:lvlJc w:val="right"/>
      <w:pPr>
        <w:ind w:left="-388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2448" w:hanging="360"/>
      </w:pPr>
    </w:lvl>
    <w:lvl w:ilvl="5" w:tplc="1009001B" w:tentative="1">
      <w:start w:val="1"/>
      <w:numFmt w:val="lowerRoman"/>
      <w:lvlText w:val="%6."/>
      <w:lvlJc w:val="right"/>
      <w:pPr>
        <w:ind w:left="-1728" w:hanging="180"/>
      </w:pPr>
    </w:lvl>
    <w:lvl w:ilvl="6" w:tplc="1009000F" w:tentative="1">
      <w:start w:val="1"/>
      <w:numFmt w:val="decimal"/>
      <w:lvlText w:val="%7."/>
      <w:lvlJc w:val="left"/>
      <w:pPr>
        <w:ind w:left="-1008" w:hanging="360"/>
      </w:pPr>
    </w:lvl>
    <w:lvl w:ilvl="7" w:tplc="10090019" w:tentative="1">
      <w:start w:val="1"/>
      <w:numFmt w:val="lowerLetter"/>
      <w:lvlText w:val="%8."/>
      <w:lvlJc w:val="left"/>
      <w:pPr>
        <w:ind w:left="-288" w:hanging="360"/>
      </w:pPr>
    </w:lvl>
    <w:lvl w:ilvl="8" w:tplc="1009001B" w:tentative="1">
      <w:start w:val="1"/>
      <w:numFmt w:val="lowerRoman"/>
      <w:lvlText w:val="%9."/>
      <w:lvlJc w:val="right"/>
      <w:pPr>
        <w:ind w:left="432" w:hanging="180"/>
      </w:pPr>
    </w:lvl>
  </w:abstractNum>
  <w:abstractNum w:abstractNumId="139" w15:restartNumberingAfterBreak="0">
    <w:nsid w:val="708913FF"/>
    <w:multiLevelType w:val="multilevel"/>
    <w:tmpl w:val="1BD05FB6"/>
    <w:lvl w:ilvl="0">
      <w:start w:val="1"/>
      <w:numFmt w:val="decimal"/>
      <w:pStyle w:val="0Numberedparagraph"/>
      <w:lvlText w:val="%1."/>
      <w:lvlJc w:val="left"/>
      <w:pPr>
        <w:ind w:left="360" w:hanging="360"/>
      </w:pPr>
      <w:rPr>
        <w:b w:val="0"/>
        <w:bCs w:val="0"/>
        <w:strike w:val="0"/>
        <w:dstrike w:val="0"/>
        <w:color w:val="auto"/>
        <w:sz w:val="22"/>
        <w:szCs w:val="22"/>
        <w:u w:val="none"/>
        <w:effect w:val="none"/>
      </w:rPr>
    </w:lvl>
    <w:lvl w:ilvl="1">
      <w:start w:val="1"/>
      <w:numFmt w:val="lowerLetter"/>
      <w:lvlText w:val="(%2)"/>
      <w:lvlJc w:val="left"/>
      <w:pPr>
        <w:ind w:left="2304" w:hanging="360"/>
      </w:pPr>
    </w:lvl>
    <w:lvl w:ilvl="2">
      <w:start w:val="1"/>
      <w:numFmt w:val="lowerRoman"/>
      <w:lvlText w:val="%3."/>
      <w:lvlJc w:val="right"/>
      <w:pPr>
        <w:ind w:left="3024" w:hanging="180"/>
      </w:pPr>
    </w:lvl>
    <w:lvl w:ilvl="3">
      <w:start w:val="1"/>
      <w:numFmt w:val="decimal"/>
      <w:lvlText w:val="%4."/>
      <w:lvlJc w:val="left"/>
      <w:pPr>
        <w:ind w:left="3744" w:hanging="360"/>
      </w:pPr>
    </w:lvl>
    <w:lvl w:ilvl="4">
      <w:start w:val="1"/>
      <w:numFmt w:val="lowerLetter"/>
      <w:lvlText w:val="%5."/>
      <w:lvlJc w:val="left"/>
      <w:pPr>
        <w:ind w:left="4464" w:hanging="360"/>
      </w:pPr>
    </w:lvl>
    <w:lvl w:ilvl="5">
      <w:start w:val="1"/>
      <w:numFmt w:val="lowerRoman"/>
      <w:lvlText w:val="%6."/>
      <w:lvlJc w:val="right"/>
      <w:pPr>
        <w:ind w:left="5184" w:hanging="180"/>
      </w:pPr>
    </w:lvl>
    <w:lvl w:ilvl="6">
      <w:start w:val="1"/>
      <w:numFmt w:val="decimal"/>
      <w:lvlText w:val="%7."/>
      <w:lvlJc w:val="left"/>
      <w:pPr>
        <w:ind w:left="5904" w:hanging="360"/>
      </w:pPr>
    </w:lvl>
    <w:lvl w:ilvl="7">
      <w:start w:val="1"/>
      <w:numFmt w:val="lowerLetter"/>
      <w:lvlText w:val="%8."/>
      <w:lvlJc w:val="left"/>
      <w:pPr>
        <w:ind w:left="6624" w:hanging="360"/>
      </w:pPr>
    </w:lvl>
    <w:lvl w:ilvl="8">
      <w:start w:val="1"/>
      <w:numFmt w:val="lowerRoman"/>
      <w:lvlText w:val="%9."/>
      <w:lvlJc w:val="right"/>
      <w:pPr>
        <w:ind w:left="7344" w:hanging="180"/>
      </w:pPr>
    </w:lvl>
  </w:abstractNum>
  <w:abstractNum w:abstractNumId="140" w15:restartNumberingAfterBreak="0">
    <w:nsid w:val="716B677E"/>
    <w:multiLevelType w:val="multilevel"/>
    <w:tmpl w:val="12D4CDC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1" w15:restartNumberingAfterBreak="0">
    <w:nsid w:val="72CF3408"/>
    <w:multiLevelType w:val="multilevel"/>
    <w:tmpl w:val="8C12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344495E"/>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abstractNum w:abstractNumId="143" w15:restartNumberingAfterBreak="0">
    <w:nsid w:val="74C337B9"/>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44" w15:restartNumberingAfterBreak="0">
    <w:nsid w:val="75B74CDA"/>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45" w15:restartNumberingAfterBreak="0">
    <w:nsid w:val="764E65A6"/>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46" w15:restartNumberingAfterBreak="0">
    <w:nsid w:val="76822EE2"/>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abstractNum w:abstractNumId="147" w15:restartNumberingAfterBreak="0">
    <w:nsid w:val="76CD7A25"/>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48" w15:restartNumberingAfterBreak="0">
    <w:nsid w:val="771D7469"/>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928"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49" w15:restartNumberingAfterBreak="0">
    <w:nsid w:val="77D63194"/>
    <w:multiLevelType w:val="hybridMultilevel"/>
    <w:tmpl w:val="8F66C1D6"/>
    <w:lvl w:ilvl="0" w:tplc="FFFFFFFF">
      <w:start w:val="1"/>
      <w:numFmt w:val="decimal"/>
      <w:lvlText w:val="%1."/>
      <w:lvlJc w:val="left"/>
      <w:pPr>
        <w:ind w:left="1778"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50" w15:restartNumberingAfterBreak="0">
    <w:nsid w:val="7886078C"/>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928"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51" w15:restartNumberingAfterBreak="0">
    <w:nsid w:val="791F7234"/>
    <w:multiLevelType w:val="hybridMultilevel"/>
    <w:tmpl w:val="48D8059A"/>
    <w:lvl w:ilvl="0" w:tplc="321844C8">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52" w15:restartNumberingAfterBreak="0">
    <w:nsid w:val="7B565F16"/>
    <w:multiLevelType w:val="multilevel"/>
    <w:tmpl w:val="9DB4A24E"/>
    <w:lvl w:ilvl="0">
      <w:start w:val="2"/>
      <w:numFmt w:val="lowerLetter"/>
      <w:lvlText w:val="%1."/>
      <w:lvlJc w:val="left"/>
      <w:pPr>
        <w:tabs>
          <w:tab w:val="num" w:pos="720"/>
        </w:tabs>
        <w:ind w:left="720" w:hanging="360"/>
      </w:pPr>
    </w:lvl>
    <w:lvl w:ilvl="1">
      <w:start w:val="8"/>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3" w15:restartNumberingAfterBreak="0">
    <w:nsid w:val="7B827164"/>
    <w:multiLevelType w:val="hybridMultilevel"/>
    <w:tmpl w:val="98E2802E"/>
    <w:lvl w:ilvl="0" w:tplc="EA50972C">
      <w:start w:val="1"/>
      <w:numFmt w:val="lowerLetter"/>
      <w:lvlText w:val="%1)"/>
      <w:lvlJc w:val="left"/>
      <w:pPr>
        <w:ind w:left="1440" w:hanging="360"/>
      </w:pPr>
      <w:rPr>
        <w:i/>
        <w:i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4" w15:restartNumberingAfterBreak="0">
    <w:nsid w:val="7CFF1AB8"/>
    <w:multiLevelType w:val="multilevel"/>
    <w:tmpl w:val="8304A206"/>
    <w:lvl w:ilvl="0">
      <w:start w:val="1"/>
      <w:numFmt w:val="decimal"/>
      <w:lvlText w:val="%1."/>
      <w:lvlJc w:val="left"/>
      <w:pPr>
        <w:ind w:left="928" w:hanging="360"/>
      </w:pPr>
      <w:rPr>
        <w:b w:val="0"/>
        <w:bCs w:val="0"/>
        <w:color w:val="000000"/>
      </w:rPr>
    </w:lvl>
    <w:lvl w:ilvl="1">
      <w:start w:val="1"/>
      <w:numFmt w:val="lowerLetter"/>
      <w:lvlText w:val="(%2)"/>
      <w:lvlJc w:val="left"/>
      <w:pPr>
        <w:ind w:left="2304" w:hanging="360"/>
      </w:pPr>
    </w:lvl>
    <w:lvl w:ilvl="2">
      <w:start w:val="1"/>
      <w:numFmt w:val="lowerRoman"/>
      <w:lvlText w:val="%3."/>
      <w:lvlJc w:val="right"/>
      <w:pPr>
        <w:ind w:left="3024" w:hanging="180"/>
      </w:pPr>
      <w:rPr>
        <w:b/>
        <w:bCs/>
      </w:rPr>
    </w:lvl>
    <w:lvl w:ilvl="3">
      <w:start w:val="1"/>
      <w:numFmt w:val="decimal"/>
      <w:lvlText w:val="%4."/>
      <w:lvlJc w:val="left"/>
      <w:pPr>
        <w:ind w:left="3744" w:hanging="360"/>
      </w:pPr>
    </w:lvl>
    <w:lvl w:ilvl="4">
      <w:start w:val="1"/>
      <w:numFmt w:val="lowerLetter"/>
      <w:lvlText w:val="%5."/>
      <w:lvlJc w:val="left"/>
      <w:pPr>
        <w:ind w:left="4464" w:hanging="360"/>
      </w:pPr>
    </w:lvl>
    <w:lvl w:ilvl="5">
      <w:start w:val="1"/>
      <w:numFmt w:val="lowerRoman"/>
      <w:lvlText w:val="%6."/>
      <w:lvlJc w:val="right"/>
      <w:pPr>
        <w:ind w:left="5184" w:hanging="180"/>
      </w:pPr>
    </w:lvl>
    <w:lvl w:ilvl="6">
      <w:start w:val="1"/>
      <w:numFmt w:val="decimal"/>
      <w:lvlText w:val="%7."/>
      <w:lvlJc w:val="left"/>
      <w:pPr>
        <w:ind w:left="5904" w:hanging="360"/>
      </w:pPr>
    </w:lvl>
    <w:lvl w:ilvl="7">
      <w:start w:val="1"/>
      <w:numFmt w:val="lowerLetter"/>
      <w:lvlText w:val="%8."/>
      <w:lvlJc w:val="left"/>
      <w:pPr>
        <w:ind w:left="6624" w:hanging="360"/>
      </w:pPr>
    </w:lvl>
    <w:lvl w:ilvl="8">
      <w:start w:val="1"/>
      <w:numFmt w:val="lowerRoman"/>
      <w:lvlText w:val="%9."/>
      <w:lvlJc w:val="right"/>
      <w:pPr>
        <w:ind w:left="7344" w:hanging="180"/>
      </w:pPr>
    </w:lvl>
  </w:abstractNum>
  <w:abstractNum w:abstractNumId="155" w15:restartNumberingAfterBreak="0">
    <w:nsid w:val="7D7C4CEF"/>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56" w15:restartNumberingAfterBreak="0">
    <w:nsid w:val="7F511884"/>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num w:numId="1" w16cid:durableId="1167748783">
    <w:abstractNumId w:val="97"/>
  </w:num>
  <w:num w:numId="2" w16cid:durableId="1870560051">
    <w:abstractNumId w:val="114"/>
  </w:num>
  <w:num w:numId="3" w16cid:durableId="460345140">
    <w:abstractNumId w:val="141"/>
  </w:num>
  <w:num w:numId="4" w16cid:durableId="442261630">
    <w:abstractNumId w:val="27"/>
  </w:num>
  <w:num w:numId="5" w16cid:durableId="1377461977">
    <w:abstractNumId w:val="152"/>
  </w:num>
  <w:num w:numId="6" w16cid:durableId="1274898664">
    <w:abstractNumId w:val="79"/>
  </w:num>
  <w:num w:numId="7" w16cid:durableId="261497687">
    <w:abstractNumId w:val="9"/>
  </w:num>
  <w:num w:numId="8" w16cid:durableId="549927326">
    <w:abstractNumId w:val="7"/>
  </w:num>
  <w:num w:numId="9" w16cid:durableId="930158134">
    <w:abstractNumId w:val="131"/>
  </w:num>
  <w:num w:numId="10" w16cid:durableId="26218795">
    <w:abstractNumId w:val="57"/>
  </w:num>
  <w:num w:numId="11" w16cid:durableId="348609907">
    <w:abstractNumId w:val="32"/>
  </w:num>
  <w:num w:numId="12" w16cid:durableId="1558126603">
    <w:abstractNumId w:val="91"/>
  </w:num>
  <w:num w:numId="13" w16cid:durableId="134378615">
    <w:abstractNumId w:val="63"/>
  </w:num>
  <w:num w:numId="14" w16cid:durableId="1502311180">
    <w:abstractNumId w:val="8"/>
  </w:num>
  <w:num w:numId="15" w16cid:durableId="898636108">
    <w:abstractNumId w:val="61"/>
  </w:num>
  <w:num w:numId="16" w16cid:durableId="2107580003">
    <w:abstractNumId w:val="72"/>
  </w:num>
  <w:num w:numId="17" w16cid:durableId="1323897226">
    <w:abstractNumId w:val="137"/>
  </w:num>
  <w:num w:numId="18" w16cid:durableId="1782146792">
    <w:abstractNumId w:val="30"/>
  </w:num>
  <w:num w:numId="19" w16cid:durableId="1880242105">
    <w:abstractNumId w:val="82"/>
  </w:num>
  <w:num w:numId="20" w16cid:durableId="18359087">
    <w:abstractNumId w:val="59"/>
  </w:num>
  <w:num w:numId="21" w16cid:durableId="1979453920">
    <w:abstractNumId w:val="125"/>
  </w:num>
  <w:num w:numId="22" w16cid:durableId="1091389774">
    <w:abstractNumId w:val="135"/>
  </w:num>
  <w:num w:numId="23" w16cid:durableId="1634603585">
    <w:abstractNumId w:val="75"/>
  </w:num>
  <w:num w:numId="24" w16cid:durableId="2033729287">
    <w:abstractNumId w:val="51"/>
  </w:num>
  <w:num w:numId="25" w16cid:durableId="636300383">
    <w:abstractNumId w:val="36"/>
  </w:num>
  <w:num w:numId="26" w16cid:durableId="486165846">
    <w:abstractNumId w:val="138"/>
  </w:num>
  <w:num w:numId="27" w16cid:durableId="719474512">
    <w:abstractNumId w:val="26"/>
  </w:num>
  <w:num w:numId="28" w16cid:durableId="281159001">
    <w:abstractNumId w:val="102"/>
  </w:num>
  <w:num w:numId="29" w16cid:durableId="768506648">
    <w:abstractNumId w:val="116"/>
  </w:num>
  <w:num w:numId="30" w16cid:durableId="1952784402">
    <w:abstractNumId w:val="17"/>
  </w:num>
  <w:num w:numId="31" w16cid:durableId="1813012811">
    <w:abstractNumId w:val="67"/>
  </w:num>
  <w:num w:numId="32" w16cid:durableId="619261164">
    <w:abstractNumId w:val="4"/>
  </w:num>
  <w:num w:numId="33" w16cid:durableId="1376349956">
    <w:abstractNumId w:val="3"/>
  </w:num>
  <w:num w:numId="34" w16cid:durableId="938220937">
    <w:abstractNumId w:val="121"/>
  </w:num>
  <w:num w:numId="35" w16cid:durableId="1061761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17137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68972376">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62766204">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971517">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68344994">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91612136">
    <w:abstractNumId w:val="78"/>
  </w:num>
  <w:num w:numId="42" w16cid:durableId="644966600">
    <w:abstractNumId w:val="50"/>
  </w:num>
  <w:num w:numId="43" w16cid:durableId="1170481965">
    <w:abstractNumId w:val="29"/>
  </w:num>
  <w:num w:numId="44" w16cid:durableId="1269971745">
    <w:abstractNumId w:val="74"/>
  </w:num>
  <w:num w:numId="45" w16cid:durableId="510728686">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38866174">
    <w:abstractNumId w:val="136"/>
  </w:num>
  <w:num w:numId="47" w16cid:durableId="270474703">
    <w:abstractNumId w:val="18"/>
  </w:num>
  <w:num w:numId="48" w16cid:durableId="1914388297">
    <w:abstractNumId w:val="83"/>
  </w:num>
  <w:num w:numId="49" w16cid:durableId="1247500757">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37955624">
    <w:abstractNumId w:val="16"/>
  </w:num>
  <w:num w:numId="51" w16cid:durableId="504783095">
    <w:abstractNumId w:val="12"/>
  </w:num>
  <w:num w:numId="52" w16cid:durableId="238057987">
    <w:abstractNumId w:val="89"/>
  </w:num>
  <w:num w:numId="53" w16cid:durableId="298456447">
    <w:abstractNumId w:val="90"/>
  </w:num>
  <w:num w:numId="54" w16cid:durableId="1992296062">
    <w:abstractNumId w:val="42"/>
  </w:num>
  <w:num w:numId="55" w16cid:durableId="231276751">
    <w:abstractNumId w:val="76"/>
  </w:num>
  <w:num w:numId="56" w16cid:durableId="598022378">
    <w:abstractNumId w:val="146"/>
  </w:num>
  <w:num w:numId="57" w16cid:durableId="188644707">
    <w:abstractNumId w:val="156"/>
  </w:num>
  <w:num w:numId="58" w16cid:durableId="160318669">
    <w:abstractNumId w:val="142"/>
  </w:num>
  <w:num w:numId="59" w16cid:durableId="1255440002">
    <w:abstractNumId w:val="55"/>
  </w:num>
  <w:num w:numId="60" w16cid:durableId="1892378555">
    <w:abstractNumId w:val="151"/>
  </w:num>
  <w:num w:numId="61" w16cid:durableId="1672220702">
    <w:abstractNumId w:val="134"/>
  </w:num>
  <w:num w:numId="62" w16cid:durableId="1148130586">
    <w:abstractNumId w:val="112"/>
  </w:num>
  <w:num w:numId="63" w16cid:durableId="862010754">
    <w:abstractNumId w:val="87"/>
  </w:num>
  <w:num w:numId="64" w16cid:durableId="1334649337">
    <w:abstractNumId w:val="54"/>
  </w:num>
  <w:num w:numId="65" w16cid:durableId="1068652641">
    <w:abstractNumId w:val="45"/>
  </w:num>
  <w:num w:numId="66" w16cid:durableId="550772384">
    <w:abstractNumId w:val="28"/>
  </w:num>
  <w:num w:numId="67" w16cid:durableId="1204175587">
    <w:abstractNumId w:val="58"/>
  </w:num>
  <w:num w:numId="68" w16cid:durableId="114717271">
    <w:abstractNumId w:val="15"/>
  </w:num>
  <w:num w:numId="69" w16cid:durableId="2082675702">
    <w:abstractNumId w:val="113"/>
  </w:num>
  <w:num w:numId="70" w16cid:durableId="793059380">
    <w:abstractNumId w:val="128"/>
  </w:num>
  <w:num w:numId="71" w16cid:durableId="301154507">
    <w:abstractNumId w:val="80"/>
  </w:num>
  <w:num w:numId="72" w16cid:durableId="1506240219">
    <w:abstractNumId w:val="95"/>
  </w:num>
  <w:num w:numId="73" w16cid:durableId="267661134">
    <w:abstractNumId w:val="149"/>
  </w:num>
  <w:num w:numId="74" w16cid:durableId="504783479">
    <w:abstractNumId w:val="77"/>
  </w:num>
  <w:num w:numId="75" w16cid:durableId="1284774193">
    <w:abstractNumId w:val="96"/>
  </w:num>
  <w:num w:numId="76" w16cid:durableId="540173323">
    <w:abstractNumId w:val="69"/>
  </w:num>
  <w:num w:numId="77" w16cid:durableId="1742563340">
    <w:abstractNumId w:val="71"/>
  </w:num>
  <w:num w:numId="78" w16cid:durableId="1611887628">
    <w:abstractNumId w:val="105"/>
  </w:num>
  <w:num w:numId="79" w16cid:durableId="1746150147">
    <w:abstractNumId w:val="110"/>
  </w:num>
  <w:num w:numId="80" w16cid:durableId="1251700080">
    <w:abstractNumId w:val="122"/>
  </w:num>
  <w:num w:numId="81" w16cid:durableId="1973447">
    <w:abstractNumId w:val="68"/>
  </w:num>
  <w:num w:numId="82" w16cid:durableId="250503812">
    <w:abstractNumId w:val="127"/>
  </w:num>
  <w:num w:numId="83" w16cid:durableId="329406470">
    <w:abstractNumId w:val="35"/>
  </w:num>
  <w:num w:numId="84" w16cid:durableId="1553883489">
    <w:abstractNumId w:val="129"/>
  </w:num>
  <w:num w:numId="85" w16cid:durableId="366679574">
    <w:abstractNumId w:val="144"/>
  </w:num>
  <w:num w:numId="86" w16cid:durableId="1104837310">
    <w:abstractNumId w:val="14"/>
  </w:num>
  <w:num w:numId="87" w16cid:durableId="1242525385">
    <w:abstractNumId w:val="31"/>
  </w:num>
  <w:num w:numId="88" w16cid:durableId="1478720932">
    <w:abstractNumId w:val="147"/>
  </w:num>
  <w:num w:numId="89" w16cid:durableId="1060596304">
    <w:abstractNumId w:val="88"/>
  </w:num>
  <w:num w:numId="90" w16cid:durableId="885485495">
    <w:abstractNumId w:val="145"/>
  </w:num>
  <w:num w:numId="91" w16cid:durableId="250091891">
    <w:abstractNumId w:val="120"/>
  </w:num>
  <w:num w:numId="92" w16cid:durableId="1338076723">
    <w:abstractNumId w:val="92"/>
  </w:num>
  <w:num w:numId="93" w16cid:durableId="150488702">
    <w:abstractNumId w:val="123"/>
  </w:num>
  <w:num w:numId="94" w16cid:durableId="699085980">
    <w:abstractNumId w:val="150"/>
  </w:num>
  <w:num w:numId="95" w16cid:durableId="1234660127">
    <w:abstractNumId w:val="81"/>
  </w:num>
  <w:num w:numId="96" w16cid:durableId="749352500">
    <w:abstractNumId w:val="73"/>
  </w:num>
  <w:num w:numId="97" w16cid:durableId="1731880793">
    <w:abstractNumId w:val="155"/>
  </w:num>
  <w:num w:numId="98" w16cid:durableId="287013288">
    <w:abstractNumId w:val="132"/>
  </w:num>
  <w:num w:numId="99" w16cid:durableId="417362005">
    <w:abstractNumId w:val="107"/>
  </w:num>
  <w:num w:numId="100" w16cid:durableId="18259309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468910478">
    <w:abstractNumId w:val="121"/>
  </w:num>
  <w:num w:numId="102" w16cid:durableId="1805660433">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944534621">
    <w:abstractNumId w:val="121"/>
  </w:num>
  <w:num w:numId="104" w16cid:durableId="1298028178">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10502236">
    <w:abstractNumId w:val="121"/>
  </w:num>
  <w:num w:numId="106" w16cid:durableId="172256060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3873403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295984347">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92492551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18145256">
    <w:abstractNumId w:val="121"/>
  </w:num>
  <w:num w:numId="111" w16cid:durableId="2056196178">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03013438">
    <w:abstractNumId w:val="121"/>
  </w:num>
  <w:num w:numId="113" w16cid:durableId="203195647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428042997">
    <w:abstractNumId w:val="121"/>
  </w:num>
  <w:num w:numId="115" w16cid:durableId="621501248">
    <w:abstractNumId w:val="121"/>
  </w:num>
  <w:num w:numId="116" w16cid:durableId="1511522522">
    <w:abstractNumId w:val="121"/>
  </w:num>
  <w:num w:numId="117" w16cid:durableId="417337543">
    <w:abstractNumId w:val="121"/>
  </w:num>
  <w:num w:numId="118" w16cid:durableId="1285575796">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272513537">
    <w:abstractNumId w:val="121"/>
  </w:num>
  <w:num w:numId="120" w16cid:durableId="2146390018">
    <w:abstractNumId w:val="121"/>
  </w:num>
  <w:num w:numId="121" w16cid:durableId="1386756040">
    <w:abstractNumId w:val="121"/>
  </w:num>
  <w:num w:numId="122" w16cid:durableId="1087651537">
    <w:abstractNumId w:val="121"/>
  </w:num>
  <w:num w:numId="123" w16cid:durableId="980308444">
    <w:abstractNumId w:val="121"/>
  </w:num>
  <w:num w:numId="124" w16cid:durableId="1119253263">
    <w:abstractNumId w:val="121"/>
  </w:num>
  <w:num w:numId="125" w16cid:durableId="274137612">
    <w:abstractNumId w:val="121"/>
  </w:num>
  <w:num w:numId="126" w16cid:durableId="881477393">
    <w:abstractNumId w:val="121"/>
  </w:num>
  <w:num w:numId="127" w16cid:durableId="852501146">
    <w:abstractNumId w:val="121"/>
  </w:num>
  <w:num w:numId="128" w16cid:durableId="333805720">
    <w:abstractNumId w:val="154"/>
  </w:num>
  <w:num w:numId="129" w16cid:durableId="1768035090">
    <w:abstractNumId w:val="121"/>
  </w:num>
  <w:num w:numId="130" w16cid:durableId="109401160">
    <w:abstractNumId w:val="121"/>
  </w:num>
  <w:num w:numId="131" w16cid:durableId="641622189">
    <w:abstractNumId w:val="121"/>
  </w:num>
  <w:num w:numId="132" w16cid:durableId="1575504131">
    <w:abstractNumId w:val="121"/>
  </w:num>
  <w:num w:numId="133" w16cid:durableId="257300589">
    <w:abstractNumId w:val="121"/>
  </w:num>
  <w:num w:numId="134" w16cid:durableId="949358122">
    <w:abstractNumId w:val="121"/>
  </w:num>
  <w:num w:numId="135" w16cid:durableId="123088047">
    <w:abstractNumId w:val="121"/>
  </w:num>
  <w:num w:numId="136" w16cid:durableId="2006087765">
    <w:abstractNumId w:val="121"/>
  </w:num>
  <w:num w:numId="137" w16cid:durableId="962924210">
    <w:abstractNumId w:val="121"/>
  </w:num>
  <w:num w:numId="138" w16cid:durableId="149294637">
    <w:abstractNumId w:val="121"/>
  </w:num>
  <w:num w:numId="139" w16cid:durableId="994647024">
    <w:abstractNumId w:val="121"/>
  </w:num>
  <w:num w:numId="140" w16cid:durableId="698051057">
    <w:abstractNumId w:val="121"/>
  </w:num>
  <w:num w:numId="141" w16cid:durableId="1854765082">
    <w:abstractNumId w:val="121"/>
  </w:num>
  <w:num w:numId="142" w16cid:durableId="745154249">
    <w:abstractNumId w:val="121"/>
  </w:num>
  <w:num w:numId="143" w16cid:durableId="541328031">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106923441">
    <w:abstractNumId w:val="121"/>
  </w:num>
  <w:num w:numId="145" w16cid:durableId="911158531">
    <w:abstractNumId w:val="121"/>
  </w:num>
  <w:num w:numId="146" w16cid:durableId="1760565405">
    <w:abstractNumId w:val="121"/>
  </w:num>
  <w:num w:numId="147" w16cid:durableId="1359698350">
    <w:abstractNumId w:val="121"/>
  </w:num>
  <w:num w:numId="148" w16cid:durableId="1056318960">
    <w:abstractNumId w:val="121"/>
  </w:num>
  <w:num w:numId="149" w16cid:durableId="2015449489">
    <w:abstractNumId w:val="121"/>
  </w:num>
  <w:num w:numId="150" w16cid:durableId="1349911914">
    <w:abstractNumId w:val="121"/>
  </w:num>
  <w:num w:numId="151" w16cid:durableId="2130279586">
    <w:abstractNumId w:val="121"/>
  </w:num>
  <w:num w:numId="152" w16cid:durableId="51773749">
    <w:abstractNumId w:val="121"/>
  </w:num>
  <w:num w:numId="153" w16cid:durableId="4726475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603798015">
    <w:abstractNumId w:val="104"/>
  </w:num>
  <w:num w:numId="155" w16cid:durableId="1156916241">
    <w:abstractNumId w:val="121"/>
  </w:num>
  <w:num w:numId="156" w16cid:durableId="74478535">
    <w:abstractNumId w:val="143"/>
  </w:num>
  <w:num w:numId="157" w16cid:durableId="1761219411">
    <w:abstractNumId w:val="121"/>
  </w:num>
  <w:num w:numId="158" w16cid:durableId="1950040725">
    <w:abstractNumId w:val="121"/>
  </w:num>
  <w:num w:numId="159" w16cid:durableId="1189636496">
    <w:abstractNumId w:val="121"/>
  </w:num>
  <w:num w:numId="160" w16cid:durableId="1513304693">
    <w:abstractNumId w:val="6"/>
  </w:num>
  <w:num w:numId="161" w16cid:durableId="137302187">
    <w:abstractNumId w:val="121"/>
  </w:num>
  <w:num w:numId="162" w16cid:durableId="879441087">
    <w:abstractNumId w:val="121"/>
  </w:num>
  <w:num w:numId="163" w16cid:durableId="1535580583">
    <w:abstractNumId w:val="121"/>
  </w:num>
  <w:num w:numId="164" w16cid:durableId="1234199098">
    <w:abstractNumId w:val="121"/>
  </w:num>
  <w:num w:numId="165" w16cid:durableId="2107727374">
    <w:abstractNumId w:val="121"/>
  </w:num>
  <w:num w:numId="166" w16cid:durableId="653726093">
    <w:abstractNumId w:val="121"/>
  </w:num>
  <w:num w:numId="167" w16cid:durableId="1672173651">
    <w:abstractNumId w:val="121"/>
  </w:num>
  <w:num w:numId="168" w16cid:durableId="1083720406">
    <w:abstractNumId w:val="121"/>
  </w:num>
  <w:num w:numId="169" w16cid:durableId="619991160">
    <w:abstractNumId w:val="121"/>
  </w:num>
  <w:num w:numId="170" w16cid:durableId="1835878016">
    <w:abstractNumId w:val="121"/>
  </w:num>
  <w:num w:numId="171" w16cid:durableId="1164660144">
    <w:abstractNumId w:val="121"/>
  </w:num>
  <w:num w:numId="172" w16cid:durableId="1221361478">
    <w:abstractNumId w:val="121"/>
  </w:num>
  <w:num w:numId="173" w16cid:durableId="2079016614">
    <w:abstractNumId w:val="121"/>
  </w:num>
  <w:num w:numId="174" w16cid:durableId="503669254">
    <w:abstractNumId w:val="121"/>
  </w:num>
  <w:num w:numId="175" w16cid:durableId="1181965563">
    <w:abstractNumId w:val="62"/>
  </w:num>
  <w:num w:numId="176" w16cid:durableId="1583251344">
    <w:abstractNumId w:val="93"/>
  </w:num>
  <w:num w:numId="177" w16cid:durableId="199100463">
    <w:abstractNumId w:val="24"/>
  </w:num>
  <w:num w:numId="178" w16cid:durableId="715668181">
    <w:abstractNumId w:val="121"/>
  </w:num>
  <w:num w:numId="179" w16cid:durableId="2066562367">
    <w:abstractNumId w:val="121"/>
  </w:num>
  <w:num w:numId="180" w16cid:durableId="686561989">
    <w:abstractNumId w:val="121"/>
  </w:num>
  <w:num w:numId="181" w16cid:durableId="799614546">
    <w:abstractNumId w:val="121"/>
  </w:num>
  <w:num w:numId="182" w16cid:durableId="433478412">
    <w:abstractNumId w:val="121"/>
  </w:num>
  <w:num w:numId="183" w16cid:durableId="1946380684">
    <w:abstractNumId w:val="121"/>
  </w:num>
  <w:num w:numId="184" w16cid:durableId="1992294470">
    <w:abstractNumId w:val="1"/>
  </w:num>
  <w:num w:numId="185" w16cid:durableId="716659979">
    <w:abstractNumId w:val="121"/>
  </w:num>
  <w:num w:numId="186" w16cid:durableId="202328555">
    <w:abstractNumId w:val="121"/>
  </w:num>
  <w:num w:numId="187" w16cid:durableId="266279187">
    <w:abstractNumId w:val="121"/>
  </w:num>
  <w:num w:numId="188" w16cid:durableId="514921445">
    <w:abstractNumId w:val="121"/>
  </w:num>
  <w:num w:numId="189" w16cid:durableId="489173105">
    <w:abstractNumId w:val="121"/>
  </w:num>
  <w:num w:numId="190" w16cid:durableId="1953660820">
    <w:abstractNumId w:val="121"/>
  </w:num>
  <w:num w:numId="191" w16cid:durableId="774666543">
    <w:abstractNumId w:val="49"/>
  </w:num>
  <w:num w:numId="192" w16cid:durableId="884677294">
    <w:abstractNumId w:val="121"/>
  </w:num>
  <w:num w:numId="193" w16cid:durableId="214002563">
    <w:abstractNumId w:val="121"/>
  </w:num>
  <w:num w:numId="194" w16cid:durableId="1866209862">
    <w:abstractNumId w:val="140"/>
  </w:num>
  <w:num w:numId="195" w16cid:durableId="2024748653">
    <w:abstractNumId w:val="121"/>
  </w:num>
  <w:num w:numId="196" w16cid:durableId="1961957185">
    <w:abstractNumId w:val="121"/>
  </w:num>
  <w:num w:numId="197" w16cid:durableId="472678075">
    <w:abstractNumId w:val="121"/>
  </w:num>
  <w:num w:numId="198" w16cid:durableId="341902910">
    <w:abstractNumId w:val="121"/>
  </w:num>
  <w:num w:numId="199" w16cid:durableId="639042349">
    <w:abstractNumId w:val="121"/>
  </w:num>
  <w:num w:numId="200" w16cid:durableId="158890180">
    <w:abstractNumId w:val="121"/>
  </w:num>
  <w:num w:numId="201" w16cid:durableId="244657027">
    <w:abstractNumId w:val="121"/>
  </w:num>
  <w:num w:numId="202" w16cid:durableId="1695307464">
    <w:abstractNumId w:val="53"/>
  </w:num>
  <w:num w:numId="203" w16cid:durableId="602150378">
    <w:abstractNumId w:val="46"/>
  </w:num>
  <w:num w:numId="204" w16cid:durableId="164320816">
    <w:abstractNumId w:val="44"/>
  </w:num>
  <w:num w:numId="205" w16cid:durableId="1014183507">
    <w:abstractNumId w:val="101"/>
  </w:num>
  <w:num w:numId="206" w16cid:durableId="1989163223">
    <w:abstractNumId w:val="21"/>
  </w:num>
  <w:num w:numId="207" w16cid:durableId="867908119">
    <w:abstractNumId w:val="70"/>
  </w:num>
  <w:num w:numId="208" w16cid:durableId="1227497561">
    <w:abstractNumId w:val="103"/>
  </w:num>
  <w:num w:numId="209" w16cid:durableId="965282578">
    <w:abstractNumId w:val="121"/>
  </w:num>
  <w:num w:numId="210" w16cid:durableId="1417894791">
    <w:abstractNumId w:val="0"/>
  </w:num>
  <w:num w:numId="211" w16cid:durableId="1864320664">
    <w:abstractNumId w:val="121"/>
  </w:num>
  <w:num w:numId="212" w16cid:durableId="1955018005">
    <w:abstractNumId w:val="121"/>
  </w:num>
  <w:num w:numId="213" w16cid:durableId="1509950363">
    <w:abstractNumId w:val="121"/>
  </w:num>
  <w:num w:numId="214" w16cid:durableId="945582030">
    <w:abstractNumId w:val="121"/>
  </w:num>
  <w:num w:numId="215" w16cid:durableId="45779996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960385107">
    <w:abstractNumId w:val="98"/>
  </w:num>
  <w:num w:numId="217" w16cid:durableId="413094542">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402795923">
    <w:abstractNumId w:val="121"/>
  </w:num>
  <w:num w:numId="219" w16cid:durableId="1647516260">
    <w:abstractNumId w:val="43"/>
  </w:num>
  <w:num w:numId="220" w16cid:durableId="1154182104">
    <w:abstractNumId w:val="121"/>
  </w:num>
  <w:num w:numId="221" w16cid:durableId="3248195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67964351">
    <w:abstractNumId w:val="121"/>
  </w:num>
  <w:num w:numId="223" w16cid:durableId="82820583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9282782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831864536">
    <w:abstractNumId w:val="121"/>
  </w:num>
  <w:num w:numId="226" w16cid:durableId="1094398936">
    <w:abstractNumId w:val="121"/>
  </w:num>
  <w:num w:numId="227" w16cid:durableId="2107073371">
    <w:abstractNumId w:val="121"/>
  </w:num>
  <w:num w:numId="228" w16cid:durableId="865679412">
    <w:abstractNumId w:val="121"/>
  </w:num>
  <w:num w:numId="229" w16cid:durableId="1640838202">
    <w:abstractNumId w:val="121"/>
  </w:num>
  <w:num w:numId="230" w16cid:durableId="1221936584">
    <w:abstractNumId w:val="108"/>
  </w:num>
  <w:num w:numId="231" w16cid:durableId="1700012219">
    <w:abstractNumId w:val="121"/>
  </w:num>
  <w:num w:numId="232" w16cid:durableId="1370179141">
    <w:abstractNumId w:val="11"/>
  </w:num>
  <w:num w:numId="233" w16cid:durableId="252981636">
    <w:abstractNumId w:val="121"/>
  </w:num>
  <w:num w:numId="234" w16cid:durableId="997803660">
    <w:abstractNumId w:val="121"/>
  </w:num>
  <w:num w:numId="235" w16cid:durableId="296685183">
    <w:abstractNumId w:val="121"/>
  </w:num>
  <w:num w:numId="236" w16cid:durableId="1505436073">
    <w:abstractNumId w:val="121"/>
  </w:num>
  <w:num w:numId="237" w16cid:durableId="1993561571">
    <w:abstractNumId w:val="121"/>
  </w:num>
  <w:num w:numId="238" w16cid:durableId="830414563">
    <w:abstractNumId w:val="121"/>
  </w:num>
  <w:num w:numId="239" w16cid:durableId="176509546">
    <w:abstractNumId w:val="121"/>
  </w:num>
  <w:num w:numId="240" w16cid:durableId="1576278793">
    <w:abstractNumId w:val="121"/>
  </w:num>
  <w:num w:numId="241" w16cid:durableId="8258283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1213999951">
    <w:abstractNumId w:val="121"/>
  </w:num>
  <w:num w:numId="243" w16cid:durableId="1064716188">
    <w:abstractNumId w:val="121"/>
  </w:num>
  <w:num w:numId="244" w16cid:durableId="538788753">
    <w:abstractNumId w:val="121"/>
  </w:num>
  <w:num w:numId="245" w16cid:durableId="1287809185">
    <w:abstractNumId w:val="121"/>
  </w:num>
  <w:num w:numId="246" w16cid:durableId="502009050">
    <w:abstractNumId w:val="121"/>
  </w:num>
  <w:num w:numId="247" w16cid:durableId="1057629464">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7769479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890989926">
    <w:abstractNumId w:val="121"/>
  </w:num>
  <w:num w:numId="250" w16cid:durableId="832793897">
    <w:abstractNumId w:val="121"/>
  </w:num>
  <w:num w:numId="251" w16cid:durableId="1932548724">
    <w:abstractNumId w:val="121"/>
  </w:num>
  <w:num w:numId="252" w16cid:durableId="1141465817">
    <w:abstractNumId w:val="121"/>
  </w:num>
  <w:num w:numId="253" w16cid:durableId="1517226712">
    <w:abstractNumId w:val="121"/>
  </w:num>
  <w:num w:numId="254" w16cid:durableId="1925332359">
    <w:abstractNumId w:val="121"/>
  </w:num>
  <w:num w:numId="255" w16cid:durableId="652411263">
    <w:abstractNumId w:val="121"/>
  </w:num>
  <w:num w:numId="256" w16cid:durableId="8023890">
    <w:abstractNumId w:val="121"/>
  </w:num>
  <w:num w:numId="257" w16cid:durableId="1910728713">
    <w:abstractNumId w:val="121"/>
  </w:num>
  <w:num w:numId="258" w16cid:durableId="1365323732">
    <w:abstractNumId w:val="121"/>
  </w:num>
  <w:num w:numId="259" w16cid:durableId="1737976573">
    <w:abstractNumId w:val="121"/>
  </w:num>
  <w:num w:numId="260" w16cid:durableId="175967134">
    <w:abstractNumId w:val="121"/>
  </w:num>
  <w:num w:numId="261" w16cid:durableId="937568948">
    <w:abstractNumId w:val="121"/>
  </w:num>
  <w:num w:numId="262" w16cid:durableId="936206975">
    <w:abstractNumId w:val="121"/>
  </w:num>
  <w:num w:numId="263" w16cid:durableId="55011586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1968075669">
    <w:abstractNumId w:val="121"/>
  </w:num>
  <w:num w:numId="265" w16cid:durableId="1681657544">
    <w:abstractNumId w:val="121"/>
  </w:num>
  <w:num w:numId="266" w16cid:durableId="1970429685">
    <w:abstractNumId w:val="121"/>
  </w:num>
  <w:num w:numId="267" w16cid:durableId="945388939">
    <w:abstractNumId w:val="121"/>
  </w:num>
  <w:num w:numId="268" w16cid:durableId="89936299">
    <w:abstractNumId w:val="121"/>
  </w:num>
  <w:num w:numId="269" w16cid:durableId="876744189">
    <w:abstractNumId w:val="121"/>
  </w:num>
  <w:num w:numId="270" w16cid:durableId="1388261936">
    <w:abstractNumId w:val="121"/>
  </w:num>
  <w:num w:numId="271" w16cid:durableId="1232036245">
    <w:abstractNumId w:val="121"/>
  </w:num>
  <w:num w:numId="272" w16cid:durableId="1406755451">
    <w:abstractNumId w:val="99"/>
  </w:num>
  <w:num w:numId="273" w16cid:durableId="894005924">
    <w:abstractNumId w:val="121"/>
  </w:num>
  <w:num w:numId="274" w16cid:durableId="1799761961">
    <w:abstractNumId w:val="133"/>
  </w:num>
  <w:num w:numId="275" w16cid:durableId="1088499378">
    <w:abstractNumId w:val="121"/>
  </w:num>
  <w:num w:numId="276" w16cid:durableId="64881627">
    <w:abstractNumId w:val="121"/>
  </w:num>
  <w:num w:numId="277" w16cid:durableId="1740905419">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668096123">
    <w:abstractNumId w:val="121"/>
  </w:num>
  <w:num w:numId="279" w16cid:durableId="161353852">
    <w:abstractNumId w:val="121"/>
  </w:num>
  <w:num w:numId="280" w16cid:durableId="1359937557">
    <w:abstractNumId w:val="121"/>
  </w:num>
  <w:num w:numId="281" w16cid:durableId="52041972">
    <w:abstractNumId w:val="121"/>
  </w:num>
  <w:num w:numId="282" w16cid:durableId="1058670196">
    <w:abstractNumId w:val="121"/>
  </w:num>
  <w:num w:numId="283" w16cid:durableId="2033725364">
    <w:abstractNumId w:val="121"/>
  </w:num>
  <w:num w:numId="284" w16cid:durableId="357312213">
    <w:abstractNumId w:val="121"/>
  </w:num>
  <w:num w:numId="285" w16cid:durableId="975373368">
    <w:abstractNumId w:val="121"/>
  </w:num>
  <w:num w:numId="286" w16cid:durableId="2060011474">
    <w:abstractNumId w:val="121"/>
  </w:num>
  <w:num w:numId="287" w16cid:durableId="1926843593">
    <w:abstractNumId w:val="121"/>
  </w:num>
  <w:num w:numId="288" w16cid:durableId="157893885">
    <w:abstractNumId w:val="121"/>
  </w:num>
  <w:num w:numId="289" w16cid:durableId="959801725">
    <w:abstractNumId w:val="121"/>
  </w:num>
  <w:num w:numId="290" w16cid:durableId="309290835">
    <w:abstractNumId w:val="121"/>
  </w:num>
  <w:num w:numId="291" w16cid:durableId="393509168">
    <w:abstractNumId w:val="121"/>
  </w:num>
  <w:num w:numId="292" w16cid:durableId="1071077263">
    <w:abstractNumId w:val="124"/>
    <w:lvlOverride w:ilvl="0"/>
    <w:lvlOverride w:ilvl="1">
      <w:startOverride w:val="39"/>
    </w:lvlOverride>
    <w:lvlOverride w:ilvl="2"/>
    <w:lvlOverride w:ilvl="3"/>
    <w:lvlOverride w:ilvl="4"/>
    <w:lvlOverride w:ilvl="5"/>
    <w:lvlOverride w:ilvl="6"/>
    <w:lvlOverride w:ilvl="7"/>
    <w:lvlOverride w:ilvl="8"/>
  </w:num>
  <w:num w:numId="293" w16cid:durableId="383144295">
    <w:abstractNumId w:val="84"/>
  </w:num>
  <w:num w:numId="294" w16cid:durableId="1777865735">
    <w:abstractNumId w:val="121"/>
  </w:num>
  <w:num w:numId="295" w16cid:durableId="319307615">
    <w:abstractNumId w:val="121"/>
  </w:num>
  <w:num w:numId="296" w16cid:durableId="80466635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883906554">
    <w:abstractNumId w:val="121"/>
  </w:num>
  <w:num w:numId="298" w16cid:durableId="105390081">
    <w:abstractNumId w:val="121"/>
  </w:num>
  <w:num w:numId="299" w16cid:durableId="2124154173">
    <w:abstractNumId w:val="121"/>
  </w:num>
  <w:num w:numId="300" w16cid:durableId="632520262">
    <w:abstractNumId w:val="64"/>
  </w:num>
  <w:num w:numId="301" w16cid:durableId="568274084">
    <w:abstractNumId w:val="47"/>
  </w:num>
  <w:num w:numId="302" w16cid:durableId="454956151">
    <w:abstractNumId w:val="5"/>
  </w:num>
  <w:num w:numId="303" w16cid:durableId="821192019">
    <w:abstractNumId w:val="126"/>
  </w:num>
  <w:num w:numId="304" w16cid:durableId="1786074083">
    <w:abstractNumId w:val="121"/>
  </w:num>
  <w:num w:numId="305" w16cid:durableId="2061778301">
    <w:abstractNumId w:val="121"/>
  </w:num>
  <w:num w:numId="306" w16cid:durableId="2078281388">
    <w:abstractNumId w:val="121"/>
  </w:num>
  <w:num w:numId="307" w16cid:durableId="1199195349">
    <w:abstractNumId w:val="121"/>
  </w:num>
  <w:num w:numId="308" w16cid:durableId="916131152">
    <w:abstractNumId w:val="121"/>
  </w:num>
  <w:num w:numId="309" w16cid:durableId="132866672">
    <w:abstractNumId w:val="121"/>
  </w:num>
  <w:num w:numId="310" w16cid:durableId="1873492357">
    <w:abstractNumId w:val="121"/>
  </w:num>
  <w:num w:numId="311" w16cid:durableId="1998455523">
    <w:abstractNumId w:val="121"/>
  </w:num>
  <w:num w:numId="312" w16cid:durableId="339478625">
    <w:abstractNumId w:val="121"/>
  </w:num>
  <w:num w:numId="313" w16cid:durableId="815217486">
    <w:abstractNumId w:val="121"/>
  </w:num>
  <w:num w:numId="314" w16cid:durableId="1264072146">
    <w:abstractNumId w:val="121"/>
  </w:num>
  <w:num w:numId="315" w16cid:durableId="1773011095">
    <w:abstractNumId w:val="121"/>
  </w:num>
  <w:num w:numId="316" w16cid:durableId="185297303">
    <w:abstractNumId w:val="121"/>
  </w:num>
  <w:num w:numId="317" w16cid:durableId="965623133">
    <w:abstractNumId w:val="121"/>
  </w:num>
  <w:num w:numId="318" w16cid:durableId="1351837605">
    <w:abstractNumId w:val="121"/>
  </w:num>
  <w:num w:numId="319" w16cid:durableId="1684940939">
    <w:abstractNumId w:val="121"/>
  </w:num>
  <w:num w:numId="320" w16cid:durableId="1802114828">
    <w:abstractNumId w:val="121"/>
  </w:num>
  <w:num w:numId="321" w16cid:durableId="1126003250">
    <w:abstractNumId w:val="121"/>
  </w:num>
  <w:num w:numId="322" w16cid:durableId="284430715">
    <w:abstractNumId w:val="121"/>
  </w:num>
  <w:num w:numId="323" w16cid:durableId="599340576">
    <w:abstractNumId w:val="121"/>
  </w:num>
  <w:num w:numId="324" w16cid:durableId="1934702536">
    <w:abstractNumId w:val="121"/>
  </w:num>
  <w:num w:numId="325" w16cid:durableId="773552483">
    <w:abstractNumId w:val="121"/>
  </w:num>
  <w:num w:numId="326" w16cid:durableId="1387222622">
    <w:abstractNumId w:val="66"/>
  </w:num>
  <w:num w:numId="327" w16cid:durableId="1504736855">
    <w:abstractNumId w:val="119"/>
  </w:num>
  <w:num w:numId="328" w16cid:durableId="545332237">
    <w:abstractNumId w:val="121"/>
  </w:num>
  <w:num w:numId="329" w16cid:durableId="856230862">
    <w:abstractNumId w:val="121"/>
  </w:num>
  <w:num w:numId="330" w16cid:durableId="2092042751">
    <w:abstractNumId w:val="121"/>
  </w:num>
  <w:num w:numId="331" w16cid:durableId="1203052654">
    <w:abstractNumId w:val="121"/>
  </w:num>
  <w:num w:numId="332" w16cid:durableId="836384661">
    <w:abstractNumId w:val="121"/>
  </w:num>
  <w:num w:numId="333" w16cid:durableId="1364018596">
    <w:abstractNumId w:val="34"/>
  </w:num>
  <w:num w:numId="334" w16cid:durableId="1137718908">
    <w:abstractNumId w:val="121"/>
  </w:num>
  <w:num w:numId="335" w16cid:durableId="544292961">
    <w:abstractNumId w:val="121"/>
  </w:num>
  <w:num w:numId="336" w16cid:durableId="793720715">
    <w:abstractNumId w:val="121"/>
  </w:num>
  <w:num w:numId="337" w16cid:durableId="375474748">
    <w:abstractNumId w:val="121"/>
  </w:num>
  <w:num w:numId="338" w16cid:durableId="1606646776">
    <w:abstractNumId w:val="121"/>
  </w:num>
  <w:num w:numId="339" w16cid:durableId="1043746697">
    <w:abstractNumId w:val="121"/>
  </w:num>
  <w:num w:numId="340" w16cid:durableId="1853303939">
    <w:abstractNumId w:val="121"/>
  </w:num>
  <w:num w:numId="341" w16cid:durableId="586042496">
    <w:abstractNumId w:val="121"/>
  </w:num>
  <w:num w:numId="342" w16cid:durableId="258760246">
    <w:abstractNumId w:val="121"/>
  </w:num>
  <w:num w:numId="343" w16cid:durableId="330722401">
    <w:abstractNumId w:val="48"/>
  </w:num>
  <w:num w:numId="344" w16cid:durableId="1802729212">
    <w:abstractNumId w:val="121"/>
  </w:num>
  <w:num w:numId="345" w16cid:durableId="1361542692">
    <w:abstractNumId w:val="121"/>
  </w:num>
  <w:num w:numId="346" w16cid:durableId="240674701">
    <w:abstractNumId w:val="121"/>
  </w:num>
  <w:num w:numId="347" w16cid:durableId="189994808">
    <w:abstractNumId w:val="121"/>
  </w:num>
  <w:num w:numId="348" w16cid:durableId="1345208730">
    <w:abstractNumId w:val="121"/>
  </w:num>
  <w:num w:numId="349" w16cid:durableId="1643467314">
    <w:abstractNumId w:val="121"/>
  </w:num>
  <w:num w:numId="350" w16cid:durableId="120653656">
    <w:abstractNumId w:val="121"/>
  </w:num>
  <w:num w:numId="351" w16cid:durableId="1303533954">
    <w:abstractNumId w:val="121"/>
  </w:num>
  <w:num w:numId="352" w16cid:durableId="1302465762">
    <w:abstractNumId w:val="121"/>
  </w:num>
  <w:num w:numId="353" w16cid:durableId="10838671">
    <w:abstractNumId w:val="121"/>
  </w:num>
  <w:num w:numId="354" w16cid:durableId="438137414">
    <w:abstractNumId w:val="121"/>
  </w:num>
  <w:num w:numId="355" w16cid:durableId="703988794">
    <w:abstractNumId w:val="121"/>
  </w:num>
  <w:num w:numId="356" w16cid:durableId="438336623">
    <w:abstractNumId w:val="121"/>
  </w:num>
  <w:num w:numId="357" w16cid:durableId="276258699">
    <w:abstractNumId w:val="121"/>
  </w:num>
  <w:num w:numId="358" w16cid:durableId="2057243480">
    <w:abstractNumId w:val="121"/>
  </w:num>
  <w:num w:numId="359" w16cid:durableId="779034671">
    <w:abstractNumId w:val="121"/>
  </w:num>
  <w:num w:numId="360" w16cid:durableId="1671365974">
    <w:abstractNumId w:val="121"/>
  </w:num>
  <w:num w:numId="361" w16cid:durableId="1908106281">
    <w:abstractNumId w:val="121"/>
  </w:num>
  <w:num w:numId="362" w16cid:durableId="1972705750">
    <w:abstractNumId w:val="121"/>
  </w:num>
  <w:num w:numId="363" w16cid:durableId="434641688">
    <w:abstractNumId w:val="121"/>
  </w:num>
  <w:num w:numId="364" w16cid:durableId="1417021664">
    <w:abstractNumId w:val="121"/>
  </w:num>
  <w:num w:numId="365" w16cid:durableId="59180024">
    <w:abstractNumId w:val="121"/>
  </w:num>
  <w:num w:numId="366" w16cid:durableId="1916280906">
    <w:abstractNumId w:val="121"/>
  </w:num>
  <w:num w:numId="367" w16cid:durableId="1944192885">
    <w:abstractNumId w:val="121"/>
  </w:num>
  <w:num w:numId="368" w16cid:durableId="1892036287">
    <w:abstractNumId w:val="121"/>
  </w:num>
  <w:num w:numId="369" w16cid:durableId="2044821303">
    <w:abstractNumId w:val="121"/>
  </w:num>
  <w:num w:numId="370" w16cid:durableId="1365716978">
    <w:abstractNumId w:val="121"/>
  </w:num>
  <w:num w:numId="371" w16cid:durableId="1719861964">
    <w:abstractNumId w:val="121"/>
  </w:num>
  <w:num w:numId="372" w16cid:durableId="360015800">
    <w:abstractNumId w:val="121"/>
  </w:num>
  <w:num w:numId="373" w16cid:durableId="335499214">
    <w:abstractNumId w:val="121"/>
  </w:num>
  <w:num w:numId="374" w16cid:durableId="498233841">
    <w:abstractNumId w:val="121"/>
  </w:num>
  <w:num w:numId="375" w16cid:durableId="1046567603">
    <w:abstractNumId w:val="121"/>
  </w:num>
  <w:num w:numId="376" w16cid:durableId="1806773295">
    <w:abstractNumId w:val="121"/>
  </w:num>
  <w:num w:numId="377" w16cid:durableId="256790545">
    <w:abstractNumId w:val="121"/>
  </w:num>
  <w:num w:numId="378" w16cid:durableId="1676032084">
    <w:abstractNumId w:val="121"/>
  </w:num>
  <w:num w:numId="379" w16cid:durableId="2026008368">
    <w:abstractNumId w:val="2"/>
  </w:num>
  <w:num w:numId="380" w16cid:durableId="472259969">
    <w:abstractNumId w:val="121"/>
  </w:num>
  <w:num w:numId="381" w16cid:durableId="1840553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606935702">
    <w:abstractNumId w:val="121"/>
  </w:num>
  <w:num w:numId="383" w16cid:durableId="1095587504">
    <w:abstractNumId w:val="22"/>
  </w:num>
  <w:num w:numId="384" w16cid:durableId="877472498">
    <w:abstractNumId w:val="121"/>
  </w:num>
  <w:num w:numId="385" w16cid:durableId="398985695">
    <w:abstractNumId w:val="121"/>
  </w:num>
  <w:num w:numId="386" w16cid:durableId="424813836">
    <w:abstractNumId w:val="121"/>
  </w:num>
  <w:num w:numId="387" w16cid:durableId="352851548">
    <w:abstractNumId w:val="121"/>
  </w:num>
  <w:num w:numId="388" w16cid:durableId="980354544">
    <w:abstractNumId w:val="121"/>
  </w:num>
  <w:num w:numId="389" w16cid:durableId="2053533186">
    <w:abstractNumId w:val="121"/>
  </w:num>
  <w:num w:numId="390" w16cid:durableId="1549146298">
    <w:abstractNumId w:val="121"/>
  </w:num>
  <w:num w:numId="391" w16cid:durableId="410780792">
    <w:abstractNumId w:val="85"/>
  </w:num>
  <w:num w:numId="392" w16cid:durableId="540751509">
    <w:abstractNumId w:val="121"/>
  </w:num>
  <w:num w:numId="393" w16cid:durableId="1023093419">
    <w:abstractNumId w:val="121"/>
  </w:num>
  <w:num w:numId="394" w16cid:durableId="632368463">
    <w:abstractNumId w:val="121"/>
  </w:num>
  <w:num w:numId="395" w16cid:durableId="164364649">
    <w:abstractNumId w:val="121"/>
  </w:num>
  <w:num w:numId="396" w16cid:durableId="342130657">
    <w:abstractNumId w:val="121"/>
  </w:num>
  <w:num w:numId="397" w16cid:durableId="577331676">
    <w:abstractNumId w:val="121"/>
  </w:num>
  <w:num w:numId="398" w16cid:durableId="1866937596">
    <w:abstractNumId w:val="121"/>
  </w:num>
  <w:num w:numId="399" w16cid:durableId="676422150">
    <w:abstractNumId w:val="86"/>
  </w:num>
  <w:num w:numId="400" w16cid:durableId="825778603">
    <w:abstractNumId w:val="121"/>
  </w:num>
  <w:num w:numId="401" w16cid:durableId="1143305976">
    <w:abstractNumId w:val="41"/>
  </w:num>
  <w:num w:numId="402" w16cid:durableId="976227084">
    <w:abstractNumId w:val="121"/>
  </w:num>
  <w:num w:numId="403" w16cid:durableId="804549129">
    <w:abstractNumId w:val="121"/>
  </w:num>
  <w:num w:numId="404" w16cid:durableId="1783452612">
    <w:abstractNumId w:val="121"/>
  </w:num>
  <w:num w:numId="405" w16cid:durableId="1153332667">
    <w:abstractNumId w:val="121"/>
  </w:num>
  <w:num w:numId="406" w16cid:durableId="1651977685">
    <w:abstractNumId w:val="121"/>
  </w:num>
  <w:num w:numId="407" w16cid:durableId="449975214">
    <w:abstractNumId w:val="121"/>
  </w:num>
  <w:num w:numId="408" w16cid:durableId="67581190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587732654">
    <w:abstractNumId w:val="121"/>
  </w:num>
  <w:num w:numId="410" w16cid:durableId="1385830635">
    <w:abstractNumId w:val="100"/>
  </w:num>
  <w:num w:numId="411" w16cid:durableId="1035084125">
    <w:abstractNumId w:val="121"/>
  </w:num>
  <w:num w:numId="412" w16cid:durableId="1448038297">
    <w:abstractNumId w:val="121"/>
  </w:num>
  <w:num w:numId="413" w16cid:durableId="1047945897">
    <w:abstractNumId w:val="121"/>
  </w:num>
  <w:num w:numId="414" w16cid:durableId="703753971">
    <w:abstractNumId w:val="121"/>
  </w:num>
  <w:num w:numId="415" w16cid:durableId="1319112200">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05029930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2170825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1803959684">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17758999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56533233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125969987">
    <w:abstractNumId w:val="121"/>
  </w:num>
  <w:num w:numId="422" w16cid:durableId="331026615">
    <w:abstractNumId w:val="118"/>
  </w:num>
  <w:num w:numId="423" w16cid:durableId="1879855662">
    <w:abstractNumId w:val="121"/>
  </w:num>
  <w:num w:numId="424" w16cid:durableId="703482107">
    <w:abstractNumId w:val="121"/>
  </w:num>
  <w:num w:numId="425" w16cid:durableId="132530665">
    <w:abstractNumId w:val="121"/>
  </w:num>
  <w:num w:numId="426" w16cid:durableId="1674338701">
    <w:abstractNumId w:val="121"/>
  </w:num>
  <w:num w:numId="427" w16cid:durableId="116215830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1788961179">
    <w:abstractNumId w:val="94"/>
  </w:num>
  <w:num w:numId="429" w16cid:durableId="631248824">
    <w:abstractNumId w:val="121"/>
  </w:num>
  <w:num w:numId="430" w16cid:durableId="888876634">
    <w:abstractNumId w:val="148"/>
  </w:num>
  <w:num w:numId="431" w16cid:durableId="1680236642">
    <w:abstractNumId w:val="121"/>
  </w:num>
  <w:num w:numId="432" w16cid:durableId="1394699499">
    <w:abstractNumId w:val="121"/>
  </w:num>
  <w:num w:numId="433" w16cid:durableId="2021004000">
    <w:abstractNumId w:val="121"/>
  </w:num>
  <w:num w:numId="434" w16cid:durableId="292712585">
    <w:abstractNumId w:val="23"/>
  </w:num>
  <w:num w:numId="435" w16cid:durableId="413939662">
    <w:abstractNumId w:val="121"/>
  </w:num>
  <w:num w:numId="436" w16cid:durableId="1800805937">
    <w:abstractNumId w:val="121"/>
  </w:num>
  <w:num w:numId="437" w16cid:durableId="1620143904">
    <w:abstractNumId w:val="121"/>
  </w:num>
  <w:num w:numId="438" w16cid:durableId="727152325">
    <w:abstractNumId w:val="121"/>
  </w:num>
  <w:num w:numId="439" w16cid:durableId="1013842511">
    <w:abstractNumId w:val="121"/>
  </w:num>
  <w:num w:numId="440" w16cid:durableId="232199378">
    <w:abstractNumId w:val="121"/>
  </w:num>
  <w:num w:numId="441" w16cid:durableId="175732055">
    <w:abstractNumId w:val="121"/>
  </w:num>
  <w:num w:numId="442" w16cid:durableId="1688748773">
    <w:abstractNumId w:val="121"/>
  </w:num>
  <w:num w:numId="443" w16cid:durableId="621882207">
    <w:abstractNumId w:val="121"/>
  </w:num>
  <w:num w:numId="444" w16cid:durableId="1124690141">
    <w:abstractNumId w:val="121"/>
  </w:num>
  <w:num w:numId="445" w16cid:durableId="709568749">
    <w:abstractNumId w:val="121"/>
  </w:num>
  <w:num w:numId="446" w16cid:durableId="975060754">
    <w:abstractNumId w:val="121"/>
  </w:num>
  <w:num w:numId="447" w16cid:durableId="1473213512">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34918184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911230947">
    <w:abstractNumId w:val="121"/>
  </w:num>
  <w:num w:numId="450" w16cid:durableId="1953899720">
    <w:abstractNumId w:val="33"/>
  </w:num>
  <w:num w:numId="451" w16cid:durableId="442461169">
    <w:abstractNumId w:val="121"/>
  </w:num>
  <w:num w:numId="452" w16cid:durableId="1263340044">
    <w:abstractNumId w:val="121"/>
  </w:num>
  <w:num w:numId="453" w16cid:durableId="10425126">
    <w:abstractNumId w:val="121"/>
  </w:num>
  <w:num w:numId="454" w16cid:durableId="989752917">
    <w:abstractNumId w:val="121"/>
  </w:num>
  <w:num w:numId="455" w16cid:durableId="433018019">
    <w:abstractNumId w:val="121"/>
  </w:num>
  <w:num w:numId="456" w16cid:durableId="1968318074">
    <w:abstractNumId w:val="121"/>
  </w:num>
  <w:num w:numId="457" w16cid:durableId="359166512">
    <w:abstractNumId w:val="121"/>
  </w:num>
  <w:num w:numId="458" w16cid:durableId="1319000211">
    <w:abstractNumId w:val="121"/>
  </w:num>
  <w:num w:numId="459" w16cid:durableId="938367934">
    <w:abstractNumId w:val="121"/>
  </w:num>
  <w:num w:numId="460" w16cid:durableId="1274283916">
    <w:abstractNumId w:val="121"/>
  </w:num>
  <w:num w:numId="461" w16cid:durableId="1901093713">
    <w:abstractNumId w:val="121"/>
  </w:num>
  <w:num w:numId="462" w16cid:durableId="254099757">
    <w:abstractNumId w:val="39"/>
  </w:num>
  <w:num w:numId="463" w16cid:durableId="1363214570">
    <w:abstractNumId w:val="38"/>
  </w:num>
  <w:num w:numId="464" w16cid:durableId="971712683">
    <w:abstractNumId w:val="121"/>
  </w:num>
  <w:num w:numId="465" w16cid:durableId="79024464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180172237">
    <w:abstractNumId w:val="121"/>
  </w:num>
  <w:num w:numId="467" w16cid:durableId="964963543">
    <w:abstractNumId w:val="52"/>
  </w:num>
  <w:num w:numId="468" w16cid:durableId="233979894">
    <w:abstractNumId w:val="121"/>
  </w:num>
  <w:num w:numId="469" w16cid:durableId="1996301091">
    <w:abstractNumId w:val="121"/>
  </w:num>
  <w:num w:numId="470" w16cid:durableId="2143423273">
    <w:abstractNumId w:val="121"/>
  </w:num>
  <w:num w:numId="471" w16cid:durableId="1911191103">
    <w:abstractNumId w:val="121"/>
  </w:num>
  <w:num w:numId="472" w16cid:durableId="883172479">
    <w:abstractNumId w:val="121"/>
  </w:num>
  <w:num w:numId="473" w16cid:durableId="403574119">
    <w:abstractNumId w:val="121"/>
  </w:num>
  <w:num w:numId="474" w16cid:durableId="1884170777">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659193751">
    <w:abstractNumId w:val="121"/>
  </w:num>
  <w:num w:numId="476" w16cid:durableId="361050913">
    <w:abstractNumId w:val="121"/>
  </w:num>
  <w:num w:numId="477" w16cid:durableId="552733611">
    <w:abstractNumId w:val="121"/>
  </w:num>
  <w:num w:numId="478" w16cid:durableId="1902522451">
    <w:abstractNumId w:val="121"/>
  </w:num>
  <w:num w:numId="479" w16cid:durableId="1390300298">
    <w:abstractNumId w:val="121"/>
  </w:num>
  <w:num w:numId="480" w16cid:durableId="596982826">
    <w:abstractNumId w:val="121"/>
  </w:num>
  <w:num w:numId="481" w16cid:durableId="230165195">
    <w:abstractNumId w:val="121"/>
  </w:num>
  <w:num w:numId="482" w16cid:durableId="30620225">
    <w:abstractNumId w:val="121"/>
  </w:num>
  <w:num w:numId="483" w16cid:durableId="1151369177">
    <w:abstractNumId w:val="121"/>
  </w:num>
  <w:num w:numId="484" w16cid:durableId="157312424">
    <w:abstractNumId w:val="121"/>
  </w:num>
  <w:num w:numId="485" w16cid:durableId="1866212981">
    <w:abstractNumId w:val="121"/>
  </w:num>
  <w:num w:numId="486" w16cid:durableId="1558784082">
    <w:abstractNumId w:val="121"/>
  </w:num>
  <w:num w:numId="487" w16cid:durableId="153223796">
    <w:abstractNumId w:val="121"/>
  </w:num>
  <w:num w:numId="488" w16cid:durableId="588000559">
    <w:abstractNumId w:val="121"/>
  </w:num>
  <w:num w:numId="489" w16cid:durableId="80374305">
    <w:abstractNumId w:val="121"/>
  </w:num>
  <w:num w:numId="490" w16cid:durableId="1495340749">
    <w:abstractNumId w:val="121"/>
  </w:num>
  <w:num w:numId="491" w16cid:durableId="948853579">
    <w:abstractNumId w:val="37"/>
  </w:num>
  <w:num w:numId="492" w16cid:durableId="37707071">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65630669">
    <w:abstractNumId w:val="121"/>
  </w:num>
  <w:num w:numId="494" w16cid:durableId="1602645818">
    <w:abstractNumId w:val="121"/>
  </w:num>
  <w:num w:numId="495" w16cid:durableId="314182868">
    <w:abstractNumId w:val="40"/>
  </w:num>
  <w:num w:numId="496" w16cid:durableId="1360546596">
    <w:abstractNumId w:val="153"/>
  </w:num>
  <w:num w:numId="497" w16cid:durableId="190339841">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908568890">
    <w:abstractNumId w:val="121"/>
  </w:num>
  <w:num w:numId="499" w16cid:durableId="1049955657">
    <w:abstractNumId w:val="139"/>
  </w:num>
  <w:num w:numId="500" w16cid:durableId="2009366219">
    <w:abstractNumId w:val="121"/>
  </w:num>
  <w:num w:numId="501" w16cid:durableId="81941794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759448092">
    <w:abstractNumId w:val="121"/>
  </w:num>
  <w:num w:numId="503" w16cid:durableId="1010332024">
    <w:abstractNumId w:val="115"/>
  </w:num>
  <w:num w:numId="504" w16cid:durableId="2069108434">
    <w:abstractNumId w:val="121"/>
  </w:num>
  <w:num w:numId="505" w16cid:durableId="998381506">
    <w:abstractNumId w:val="121"/>
  </w:num>
  <w:num w:numId="506" w16cid:durableId="1837183703">
    <w:abstractNumId w:val="121"/>
  </w:num>
  <w:num w:numId="507" w16cid:durableId="484204459">
    <w:abstractNumId w:val="121"/>
  </w:num>
  <w:num w:numId="508" w16cid:durableId="922371370">
    <w:abstractNumId w:val="121"/>
  </w:num>
  <w:num w:numId="509" w16cid:durableId="402945239">
    <w:abstractNumId w:val="121"/>
  </w:num>
  <w:num w:numId="510" w16cid:durableId="1632590247">
    <w:abstractNumId w:val="121"/>
  </w:num>
  <w:num w:numId="511" w16cid:durableId="1816336867">
    <w:abstractNumId w:val="121"/>
  </w:num>
  <w:num w:numId="512" w16cid:durableId="1682782721">
    <w:abstractNumId w:val="121"/>
  </w:num>
  <w:num w:numId="513" w16cid:durableId="182862820">
    <w:abstractNumId w:val="121"/>
  </w:num>
  <w:num w:numId="514" w16cid:durableId="1554804171">
    <w:abstractNumId w:val="121"/>
  </w:num>
  <w:num w:numId="515" w16cid:durableId="953055232">
    <w:abstractNumId w:val="121"/>
  </w:num>
  <w:num w:numId="516" w16cid:durableId="78990830">
    <w:abstractNumId w:val="121"/>
  </w:num>
  <w:num w:numId="517" w16cid:durableId="1995182238">
    <w:abstractNumId w:val="121"/>
  </w:num>
  <w:num w:numId="518" w16cid:durableId="1414544904">
    <w:abstractNumId w:val="121"/>
  </w:num>
  <w:num w:numId="519" w16cid:durableId="1644652142">
    <w:abstractNumId w:val="111"/>
  </w:num>
  <w:num w:numId="520" w16cid:durableId="1151675245">
    <w:abstractNumId w:val="121"/>
  </w:num>
  <w:num w:numId="521" w16cid:durableId="861867230">
    <w:abstractNumId w:val="121"/>
  </w:num>
  <w:num w:numId="522" w16cid:durableId="782043759">
    <w:abstractNumId w:val="121"/>
  </w:num>
  <w:num w:numId="523" w16cid:durableId="163472291">
    <w:abstractNumId w:val="121"/>
  </w:num>
  <w:num w:numId="524" w16cid:durableId="1039820040">
    <w:abstractNumId w:val="121"/>
  </w:num>
  <w:num w:numId="525" w16cid:durableId="694381809">
    <w:abstractNumId w:val="121"/>
  </w:num>
  <w:num w:numId="526" w16cid:durableId="1223567006">
    <w:abstractNumId w:val="121"/>
  </w:num>
  <w:num w:numId="527" w16cid:durableId="1643120986">
    <w:abstractNumId w:val="121"/>
  </w:num>
  <w:num w:numId="528" w16cid:durableId="1300064969">
    <w:abstractNumId w:val="121"/>
  </w:num>
  <w:num w:numId="529" w16cid:durableId="172570733">
    <w:abstractNumId w:val="121"/>
  </w:num>
  <w:num w:numId="530" w16cid:durableId="1349402569">
    <w:abstractNumId w:val="121"/>
  </w:num>
  <w:num w:numId="531" w16cid:durableId="748430697">
    <w:abstractNumId w:val="121"/>
  </w:num>
  <w:num w:numId="532" w16cid:durableId="1212424679">
    <w:abstractNumId w:val="121"/>
  </w:num>
  <w:num w:numId="533" w16cid:durableId="1970747902">
    <w:abstractNumId w:val="121"/>
  </w:num>
  <w:num w:numId="534" w16cid:durableId="723408129">
    <w:abstractNumId w:val="121"/>
  </w:num>
  <w:num w:numId="535" w16cid:durableId="1702514634">
    <w:abstractNumId w:val="121"/>
  </w:num>
  <w:num w:numId="536" w16cid:durableId="1960725537">
    <w:abstractNumId w:val="121"/>
  </w:num>
  <w:num w:numId="537" w16cid:durableId="847645340">
    <w:abstractNumId w:val="121"/>
  </w:num>
  <w:num w:numId="538" w16cid:durableId="2053964251">
    <w:abstractNumId w:val="121"/>
  </w:num>
  <w:num w:numId="539" w16cid:durableId="1105886052">
    <w:abstractNumId w:val="121"/>
  </w:num>
  <w:num w:numId="540" w16cid:durableId="806972773">
    <w:abstractNumId w:val="10"/>
  </w:num>
  <w:num w:numId="541" w16cid:durableId="1246840653">
    <w:abstractNumId w:val="25"/>
  </w:num>
  <w:num w:numId="542" w16cid:durableId="323945383">
    <w:abstractNumId w:val="121"/>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3" w16cid:durableId="404499918">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E8D"/>
    <w:rsid w:val="00000E16"/>
    <w:rsid w:val="00001A13"/>
    <w:rsid w:val="00007305"/>
    <w:rsid w:val="000101BA"/>
    <w:rsid w:val="00012525"/>
    <w:rsid w:val="0001254A"/>
    <w:rsid w:val="000127A8"/>
    <w:rsid w:val="00012B6A"/>
    <w:rsid w:val="00013645"/>
    <w:rsid w:val="00015381"/>
    <w:rsid w:val="000156DB"/>
    <w:rsid w:val="000179A7"/>
    <w:rsid w:val="000203B2"/>
    <w:rsid w:val="00020F7B"/>
    <w:rsid w:val="00022576"/>
    <w:rsid w:val="00024406"/>
    <w:rsid w:val="000244FB"/>
    <w:rsid w:val="0002538C"/>
    <w:rsid w:val="00025C8F"/>
    <w:rsid w:val="00027574"/>
    <w:rsid w:val="00027E11"/>
    <w:rsid w:val="000312FE"/>
    <w:rsid w:val="00032F56"/>
    <w:rsid w:val="00033398"/>
    <w:rsid w:val="000353F2"/>
    <w:rsid w:val="000356E1"/>
    <w:rsid w:val="000369CE"/>
    <w:rsid w:val="00036E97"/>
    <w:rsid w:val="00036ED2"/>
    <w:rsid w:val="000372DB"/>
    <w:rsid w:val="000406AD"/>
    <w:rsid w:val="00041B16"/>
    <w:rsid w:val="00041C4B"/>
    <w:rsid w:val="00041C74"/>
    <w:rsid w:val="00042130"/>
    <w:rsid w:val="00042CBF"/>
    <w:rsid w:val="00043029"/>
    <w:rsid w:val="0004367E"/>
    <w:rsid w:val="00044D2D"/>
    <w:rsid w:val="00047246"/>
    <w:rsid w:val="00047781"/>
    <w:rsid w:val="00047A98"/>
    <w:rsid w:val="00047CC6"/>
    <w:rsid w:val="00047EF2"/>
    <w:rsid w:val="000504CE"/>
    <w:rsid w:val="00050BB9"/>
    <w:rsid w:val="00052451"/>
    <w:rsid w:val="000537BB"/>
    <w:rsid w:val="00053CC6"/>
    <w:rsid w:val="000544CB"/>
    <w:rsid w:val="000556DE"/>
    <w:rsid w:val="00055957"/>
    <w:rsid w:val="00055FF4"/>
    <w:rsid w:val="00057301"/>
    <w:rsid w:val="00057DCC"/>
    <w:rsid w:val="00060C6D"/>
    <w:rsid w:val="00061B0A"/>
    <w:rsid w:val="00062727"/>
    <w:rsid w:val="00062ABF"/>
    <w:rsid w:val="00063554"/>
    <w:rsid w:val="00063BE2"/>
    <w:rsid w:val="000644F8"/>
    <w:rsid w:val="00064D06"/>
    <w:rsid w:val="0006533B"/>
    <w:rsid w:val="0006542F"/>
    <w:rsid w:val="00065B84"/>
    <w:rsid w:val="00066608"/>
    <w:rsid w:val="00066F79"/>
    <w:rsid w:val="00070A6F"/>
    <w:rsid w:val="00070A85"/>
    <w:rsid w:val="00070F8B"/>
    <w:rsid w:val="000725B0"/>
    <w:rsid w:val="0007299F"/>
    <w:rsid w:val="00075ACB"/>
    <w:rsid w:val="0007770E"/>
    <w:rsid w:val="00077FE2"/>
    <w:rsid w:val="0008065B"/>
    <w:rsid w:val="00081366"/>
    <w:rsid w:val="0008177C"/>
    <w:rsid w:val="00081A5A"/>
    <w:rsid w:val="0008283E"/>
    <w:rsid w:val="00082C42"/>
    <w:rsid w:val="0008547B"/>
    <w:rsid w:val="00085FBB"/>
    <w:rsid w:val="000875C3"/>
    <w:rsid w:val="00087811"/>
    <w:rsid w:val="00091046"/>
    <w:rsid w:val="0009191F"/>
    <w:rsid w:val="0009310E"/>
    <w:rsid w:val="00093A6C"/>
    <w:rsid w:val="00094473"/>
    <w:rsid w:val="000948D4"/>
    <w:rsid w:val="00094A3D"/>
    <w:rsid w:val="00095C9F"/>
    <w:rsid w:val="00096129"/>
    <w:rsid w:val="000969CC"/>
    <w:rsid w:val="000A05C1"/>
    <w:rsid w:val="000A10AB"/>
    <w:rsid w:val="000A273E"/>
    <w:rsid w:val="000A2B02"/>
    <w:rsid w:val="000A3239"/>
    <w:rsid w:val="000A3ABD"/>
    <w:rsid w:val="000A3CD0"/>
    <w:rsid w:val="000A444A"/>
    <w:rsid w:val="000A49F7"/>
    <w:rsid w:val="000A51CB"/>
    <w:rsid w:val="000A529F"/>
    <w:rsid w:val="000A775B"/>
    <w:rsid w:val="000A7837"/>
    <w:rsid w:val="000A7F99"/>
    <w:rsid w:val="000B19B6"/>
    <w:rsid w:val="000B1B7F"/>
    <w:rsid w:val="000B392A"/>
    <w:rsid w:val="000B5C6A"/>
    <w:rsid w:val="000B5FBA"/>
    <w:rsid w:val="000B668D"/>
    <w:rsid w:val="000B70D3"/>
    <w:rsid w:val="000B7763"/>
    <w:rsid w:val="000B7BAD"/>
    <w:rsid w:val="000B7DE0"/>
    <w:rsid w:val="000C0264"/>
    <w:rsid w:val="000C0761"/>
    <w:rsid w:val="000C0989"/>
    <w:rsid w:val="000C0CC3"/>
    <w:rsid w:val="000C1030"/>
    <w:rsid w:val="000C1728"/>
    <w:rsid w:val="000C1809"/>
    <w:rsid w:val="000C3137"/>
    <w:rsid w:val="000C5FC7"/>
    <w:rsid w:val="000C7918"/>
    <w:rsid w:val="000C7B63"/>
    <w:rsid w:val="000D09DB"/>
    <w:rsid w:val="000D24F3"/>
    <w:rsid w:val="000D356E"/>
    <w:rsid w:val="000D5E3C"/>
    <w:rsid w:val="000D646D"/>
    <w:rsid w:val="000D7B30"/>
    <w:rsid w:val="000E107B"/>
    <w:rsid w:val="000E13D2"/>
    <w:rsid w:val="000E24D8"/>
    <w:rsid w:val="000E296B"/>
    <w:rsid w:val="000E37FF"/>
    <w:rsid w:val="000E3BBC"/>
    <w:rsid w:val="000E3BC3"/>
    <w:rsid w:val="000E5362"/>
    <w:rsid w:val="000E7311"/>
    <w:rsid w:val="000F0702"/>
    <w:rsid w:val="000F1549"/>
    <w:rsid w:val="000F19CD"/>
    <w:rsid w:val="000F1AD8"/>
    <w:rsid w:val="000F2336"/>
    <w:rsid w:val="000F2B5D"/>
    <w:rsid w:val="000F54B1"/>
    <w:rsid w:val="000F622E"/>
    <w:rsid w:val="000F6760"/>
    <w:rsid w:val="000F6FC1"/>
    <w:rsid w:val="000F749B"/>
    <w:rsid w:val="000F7754"/>
    <w:rsid w:val="000F790E"/>
    <w:rsid w:val="001008C7"/>
    <w:rsid w:val="00100C0E"/>
    <w:rsid w:val="00100F84"/>
    <w:rsid w:val="001010A0"/>
    <w:rsid w:val="001014B3"/>
    <w:rsid w:val="00101834"/>
    <w:rsid w:val="00101FA1"/>
    <w:rsid w:val="00102283"/>
    <w:rsid w:val="001022C4"/>
    <w:rsid w:val="0010339D"/>
    <w:rsid w:val="001036A4"/>
    <w:rsid w:val="00105D64"/>
    <w:rsid w:val="00106527"/>
    <w:rsid w:val="00106D72"/>
    <w:rsid w:val="00107052"/>
    <w:rsid w:val="001072D3"/>
    <w:rsid w:val="0010741D"/>
    <w:rsid w:val="00107581"/>
    <w:rsid w:val="0010794C"/>
    <w:rsid w:val="00111A92"/>
    <w:rsid w:val="00111C0A"/>
    <w:rsid w:val="00112830"/>
    <w:rsid w:val="0011433C"/>
    <w:rsid w:val="0011462C"/>
    <w:rsid w:val="00114CE8"/>
    <w:rsid w:val="00114FF1"/>
    <w:rsid w:val="0011512B"/>
    <w:rsid w:val="00115452"/>
    <w:rsid w:val="0011551A"/>
    <w:rsid w:val="001157ED"/>
    <w:rsid w:val="00115CF4"/>
    <w:rsid w:val="00116045"/>
    <w:rsid w:val="00116CEB"/>
    <w:rsid w:val="00121F41"/>
    <w:rsid w:val="00122667"/>
    <w:rsid w:val="001227F7"/>
    <w:rsid w:val="001235CF"/>
    <w:rsid w:val="001251FC"/>
    <w:rsid w:val="00125292"/>
    <w:rsid w:val="00125609"/>
    <w:rsid w:val="00126083"/>
    <w:rsid w:val="00126B7E"/>
    <w:rsid w:val="00127DCF"/>
    <w:rsid w:val="0013085E"/>
    <w:rsid w:val="00131381"/>
    <w:rsid w:val="00132093"/>
    <w:rsid w:val="00132375"/>
    <w:rsid w:val="0013281A"/>
    <w:rsid w:val="00132D69"/>
    <w:rsid w:val="0013487C"/>
    <w:rsid w:val="00135362"/>
    <w:rsid w:val="00136E9D"/>
    <w:rsid w:val="00137C09"/>
    <w:rsid w:val="00137E5C"/>
    <w:rsid w:val="00140474"/>
    <w:rsid w:val="00141897"/>
    <w:rsid w:val="00141A13"/>
    <w:rsid w:val="001424A6"/>
    <w:rsid w:val="0014307E"/>
    <w:rsid w:val="00143294"/>
    <w:rsid w:val="00143829"/>
    <w:rsid w:val="001443EC"/>
    <w:rsid w:val="00146C16"/>
    <w:rsid w:val="00146C7D"/>
    <w:rsid w:val="00147C50"/>
    <w:rsid w:val="0015032A"/>
    <w:rsid w:val="001509F1"/>
    <w:rsid w:val="00150B70"/>
    <w:rsid w:val="0015190C"/>
    <w:rsid w:val="00151C54"/>
    <w:rsid w:val="001524E5"/>
    <w:rsid w:val="00152C3F"/>
    <w:rsid w:val="001537BE"/>
    <w:rsid w:val="001548F0"/>
    <w:rsid w:val="001551B1"/>
    <w:rsid w:val="00155E2F"/>
    <w:rsid w:val="001560FD"/>
    <w:rsid w:val="0015717F"/>
    <w:rsid w:val="0015725C"/>
    <w:rsid w:val="00157FE7"/>
    <w:rsid w:val="00161248"/>
    <w:rsid w:val="001622D6"/>
    <w:rsid w:val="001623D1"/>
    <w:rsid w:val="0016340E"/>
    <w:rsid w:val="00163D20"/>
    <w:rsid w:val="00164083"/>
    <w:rsid w:val="001641F8"/>
    <w:rsid w:val="00164670"/>
    <w:rsid w:val="0016488F"/>
    <w:rsid w:val="0016526F"/>
    <w:rsid w:val="00165F0E"/>
    <w:rsid w:val="001662FF"/>
    <w:rsid w:val="00166BEC"/>
    <w:rsid w:val="00167761"/>
    <w:rsid w:val="00170FCB"/>
    <w:rsid w:val="001711E0"/>
    <w:rsid w:val="00172A35"/>
    <w:rsid w:val="00173C59"/>
    <w:rsid w:val="0017425A"/>
    <w:rsid w:val="00174F32"/>
    <w:rsid w:val="00175DC7"/>
    <w:rsid w:val="0017617F"/>
    <w:rsid w:val="001775B4"/>
    <w:rsid w:val="0017799E"/>
    <w:rsid w:val="00180567"/>
    <w:rsid w:val="001807EF"/>
    <w:rsid w:val="00181CB0"/>
    <w:rsid w:val="0018382D"/>
    <w:rsid w:val="001848DF"/>
    <w:rsid w:val="0018547D"/>
    <w:rsid w:val="001873C0"/>
    <w:rsid w:val="00187F56"/>
    <w:rsid w:val="001908A5"/>
    <w:rsid w:val="001931C5"/>
    <w:rsid w:val="00193AF6"/>
    <w:rsid w:val="00194105"/>
    <w:rsid w:val="0019616D"/>
    <w:rsid w:val="00196A02"/>
    <w:rsid w:val="00196C53"/>
    <w:rsid w:val="00196FA6"/>
    <w:rsid w:val="001971AF"/>
    <w:rsid w:val="001A1687"/>
    <w:rsid w:val="001A23AC"/>
    <w:rsid w:val="001A31BC"/>
    <w:rsid w:val="001A3C28"/>
    <w:rsid w:val="001A5720"/>
    <w:rsid w:val="001A5830"/>
    <w:rsid w:val="001A6645"/>
    <w:rsid w:val="001A6B02"/>
    <w:rsid w:val="001A6BF7"/>
    <w:rsid w:val="001A6E30"/>
    <w:rsid w:val="001A7175"/>
    <w:rsid w:val="001A748D"/>
    <w:rsid w:val="001A7A8C"/>
    <w:rsid w:val="001B12D3"/>
    <w:rsid w:val="001B1B45"/>
    <w:rsid w:val="001B20CC"/>
    <w:rsid w:val="001B2DDA"/>
    <w:rsid w:val="001B3E40"/>
    <w:rsid w:val="001B422C"/>
    <w:rsid w:val="001B5240"/>
    <w:rsid w:val="001B5451"/>
    <w:rsid w:val="001B54FE"/>
    <w:rsid w:val="001B5692"/>
    <w:rsid w:val="001B59DF"/>
    <w:rsid w:val="001B5E9F"/>
    <w:rsid w:val="001B5F69"/>
    <w:rsid w:val="001B6872"/>
    <w:rsid w:val="001B6CDD"/>
    <w:rsid w:val="001B73A0"/>
    <w:rsid w:val="001B7496"/>
    <w:rsid w:val="001C03AE"/>
    <w:rsid w:val="001C1425"/>
    <w:rsid w:val="001C20F4"/>
    <w:rsid w:val="001C28AE"/>
    <w:rsid w:val="001C2BD6"/>
    <w:rsid w:val="001C32AD"/>
    <w:rsid w:val="001C397C"/>
    <w:rsid w:val="001C3F6C"/>
    <w:rsid w:val="001C4102"/>
    <w:rsid w:val="001C4E8D"/>
    <w:rsid w:val="001C4F52"/>
    <w:rsid w:val="001C5407"/>
    <w:rsid w:val="001C66D4"/>
    <w:rsid w:val="001C6EE2"/>
    <w:rsid w:val="001C6F21"/>
    <w:rsid w:val="001C7291"/>
    <w:rsid w:val="001C7F12"/>
    <w:rsid w:val="001D0E81"/>
    <w:rsid w:val="001D1981"/>
    <w:rsid w:val="001D1ACE"/>
    <w:rsid w:val="001D1D0D"/>
    <w:rsid w:val="001D2D77"/>
    <w:rsid w:val="001D33F3"/>
    <w:rsid w:val="001D4497"/>
    <w:rsid w:val="001D469A"/>
    <w:rsid w:val="001E1899"/>
    <w:rsid w:val="001E2387"/>
    <w:rsid w:val="001E3385"/>
    <w:rsid w:val="001E38E7"/>
    <w:rsid w:val="001E4724"/>
    <w:rsid w:val="001E4E0A"/>
    <w:rsid w:val="001E55C7"/>
    <w:rsid w:val="001E5E7F"/>
    <w:rsid w:val="001E7CB2"/>
    <w:rsid w:val="001F0820"/>
    <w:rsid w:val="001F09A6"/>
    <w:rsid w:val="001F0B89"/>
    <w:rsid w:val="001F0FD5"/>
    <w:rsid w:val="001F197E"/>
    <w:rsid w:val="001F24C6"/>
    <w:rsid w:val="001F3462"/>
    <w:rsid w:val="001F3BCF"/>
    <w:rsid w:val="001F68D7"/>
    <w:rsid w:val="001F71AF"/>
    <w:rsid w:val="001F7747"/>
    <w:rsid w:val="001F7E80"/>
    <w:rsid w:val="002003C0"/>
    <w:rsid w:val="002012BE"/>
    <w:rsid w:val="0020130F"/>
    <w:rsid w:val="00202A83"/>
    <w:rsid w:val="00203BE4"/>
    <w:rsid w:val="002042FD"/>
    <w:rsid w:val="00204AA0"/>
    <w:rsid w:val="00205485"/>
    <w:rsid w:val="002057F3"/>
    <w:rsid w:val="0020665E"/>
    <w:rsid w:val="00207C9B"/>
    <w:rsid w:val="002102FF"/>
    <w:rsid w:val="002103F5"/>
    <w:rsid w:val="00210918"/>
    <w:rsid w:val="00210A4D"/>
    <w:rsid w:val="002111AE"/>
    <w:rsid w:val="00212991"/>
    <w:rsid w:val="00212A4D"/>
    <w:rsid w:val="00212C73"/>
    <w:rsid w:val="00214181"/>
    <w:rsid w:val="0021567E"/>
    <w:rsid w:val="00215AC7"/>
    <w:rsid w:val="00215AED"/>
    <w:rsid w:val="0021697A"/>
    <w:rsid w:val="00217472"/>
    <w:rsid w:val="0021779B"/>
    <w:rsid w:val="00217FA6"/>
    <w:rsid w:val="00220278"/>
    <w:rsid w:val="00220B7A"/>
    <w:rsid w:val="00220F44"/>
    <w:rsid w:val="00220FC3"/>
    <w:rsid w:val="00222E6C"/>
    <w:rsid w:val="00224200"/>
    <w:rsid w:val="0022522D"/>
    <w:rsid w:val="00225324"/>
    <w:rsid w:val="00227D37"/>
    <w:rsid w:val="00230216"/>
    <w:rsid w:val="00233F1C"/>
    <w:rsid w:val="00234F60"/>
    <w:rsid w:val="002350AA"/>
    <w:rsid w:val="00235BC3"/>
    <w:rsid w:val="00236D73"/>
    <w:rsid w:val="00237BDC"/>
    <w:rsid w:val="0024173A"/>
    <w:rsid w:val="002417F2"/>
    <w:rsid w:val="0024243F"/>
    <w:rsid w:val="00242C67"/>
    <w:rsid w:val="002439BB"/>
    <w:rsid w:val="00244419"/>
    <w:rsid w:val="00244E1A"/>
    <w:rsid w:val="0024553F"/>
    <w:rsid w:val="00245E75"/>
    <w:rsid w:val="00250304"/>
    <w:rsid w:val="00250C1F"/>
    <w:rsid w:val="002510D2"/>
    <w:rsid w:val="0025176E"/>
    <w:rsid w:val="002521C2"/>
    <w:rsid w:val="002529BC"/>
    <w:rsid w:val="002545ED"/>
    <w:rsid w:val="00254ECA"/>
    <w:rsid w:val="0025590A"/>
    <w:rsid w:val="002559D0"/>
    <w:rsid w:val="00255AA5"/>
    <w:rsid w:val="00256C6D"/>
    <w:rsid w:val="00260C34"/>
    <w:rsid w:val="00261653"/>
    <w:rsid w:val="00263373"/>
    <w:rsid w:val="00264BA4"/>
    <w:rsid w:val="002664A5"/>
    <w:rsid w:val="002667A3"/>
    <w:rsid w:val="00267162"/>
    <w:rsid w:val="0026756A"/>
    <w:rsid w:val="0027230B"/>
    <w:rsid w:val="002734B3"/>
    <w:rsid w:val="002734FB"/>
    <w:rsid w:val="00274042"/>
    <w:rsid w:val="00274072"/>
    <w:rsid w:val="00275FC2"/>
    <w:rsid w:val="0027609C"/>
    <w:rsid w:val="0028182E"/>
    <w:rsid w:val="00282459"/>
    <w:rsid w:val="002831EC"/>
    <w:rsid w:val="00283468"/>
    <w:rsid w:val="002837B0"/>
    <w:rsid w:val="00283C36"/>
    <w:rsid w:val="00283EAF"/>
    <w:rsid w:val="002841BE"/>
    <w:rsid w:val="00284B16"/>
    <w:rsid w:val="00284B1E"/>
    <w:rsid w:val="0028566A"/>
    <w:rsid w:val="00285C8C"/>
    <w:rsid w:val="00286166"/>
    <w:rsid w:val="002862D2"/>
    <w:rsid w:val="00286E98"/>
    <w:rsid w:val="0028702B"/>
    <w:rsid w:val="002876A7"/>
    <w:rsid w:val="00287F00"/>
    <w:rsid w:val="00291B89"/>
    <w:rsid w:val="0029290C"/>
    <w:rsid w:val="00293B6F"/>
    <w:rsid w:val="002946B5"/>
    <w:rsid w:val="00295728"/>
    <w:rsid w:val="00295CBB"/>
    <w:rsid w:val="002962E9"/>
    <w:rsid w:val="002973AF"/>
    <w:rsid w:val="002A06F3"/>
    <w:rsid w:val="002A0D06"/>
    <w:rsid w:val="002A15C3"/>
    <w:rsid w:val="002A1921"/>
    <w:rsid w:val="002A2B93"/>
    <w:rsid w:val="002A2F4F"/>
    <w:rsid w:val="002A3948"/>
    <w:rsid w:val="002A3DB2"/>
    <w:rsid w:val="002A4F3D"/>
    <w:rsid w:val="002A5248"/>
    <w:rsid w:val="002A6679"/>
    <w:rsid w:val="002A7106"/>
    <w:rsid w:val="002A730A"/>
    <w:rsid w:val="002A73DE"/>
    <w:rsid w:val="002B0F12"/>
    <w:rsid w:val="002B1080"/>
    <w:rsid w:val="002B160D"/>
    <w:rsid w:val="002B21FF"/>
    <w:rsid w:val="002B232B"/>
    <w:rsid w:val="002B2651"/>
    <w:rsid w:val="002B34FA"/>
    <w:rsid w:val="002B5082"/>
    <w:rsid w:val="002B5C03"/>
    <w:rsid w:val="002B6205"/>
    <w:rsid w:val="002C16E5"/>
    <w:rsid w:val="002C3771"/>
    <w:rsid w:val="002C37A8"/>
    <w:rsid w:val="002C37CF"/>
    <w:rsid w:val="002C424F"/>
    <w:rsid w:val="002C604E"/>
    <w:rsid w:val="002C6DCE"/>
    <w:rsid w:val="002C746A"/>
    <w:rsid w:val="002D16F9"/>
    <w:rsid w:val="002D1E32"/>
    <w:rsid w:val="002D23EF"/>
    <w:rsid w:val="002D29CB"/>
    <w:rsid w:val="002D312F"/>
    <w:rsid w:val="002D4A32"/>
    <w:rsid w:val="002D6AA5"/>
    <w:rsid w:val="002D6D9E"/>
    <w:rsid w:val="002E0115"/>
    <w:rsid w:val="002E211C"/>
    <w:rsid w:val="002E2196"/>
    <w:rsid w:val="002E2984"/>
    <w:rsid w:val="002E48C2"/>
    <w:rsid w:val="002E642A"/>
    <w:rsid w:val="002E75CB"/>
    <w:rsid w:val="002E7C8B"/>
    <w:rsid w:val="002F00BD"/>
    <w:rsid w:val="002F0135"/>
    <w:rsid w:val="002F06EB"/>
    <w:rsid w:val="002F1008"/>
    <w:rsid w:val="002F297C"/>
    <w:rsid w:val="002F29B3"/>
    <w:rsid w:val="002F2A20"/>
    <w:rsid w:val="002F3059"/>
    <w:rsid w:val="002F31AF"/>
    <w:rsid w:val="002F4EB6"/>
    <w:rsid w:val="002F58B7"/>
    <w:rsid w:val="002F58C2"/>
    <w:rsid w:val="002F5C29"/>
    <w:rsid w:val="002F5CF5"/>
    <w:rsid w:val="002F6383"/>
    <w:rsid w:val="002F67C5"/>
    <w:rsid w:val="002F67D3"/>
    <w:rsid w:val="002F6AAD"/>
    <w:rsid w:val="002F6DE3"/>
    <w:rsid w:val="002F7093"/>
    <w:rsid w:val="002F7978"/>
    <w:rsid w:val="002F7FD3"/>
    <w:rsid w:val="00301700"/>
    <w:rsid w:val="003018A1"/>
    <w:rsid w:val="00302591"/>
    <w:rsid w:val="00303035"/>
    <w:rsid w:val="00303312"/>
    <w:rsid w:val="0030437D"/>
    <w:rsid w:val="0030539B"/>
    <w:rsid w:val="003054DF"/>
    <w:rsid w:val="00305616"/>
    <w:rsid w:val="0030688D"/>
    <w:rsid w:val="0030708B"/>
    <w:rsid w:val="003072CC"/>
    <w:rsid w:val="00307746"/>
    <w:rsid w:val="00307E63"/>
    <w:rsid w:val="003109C0"/>
    <w:rsid w:val="00311BD2"/>
    <w:rsid w:val="00315909"/>
    <w:rsid w:val="00315C60"/>
    <w:rsid w:val="00316AB2"/>
    <w:rsid w:val="00317897"/>
    <w:rsid w:val="0032007B"/>
    <w:rsid w:val="00320477"/>
    <w:rsid w:val="00320B15"/>
    <w:rsid w:val="00320C92"/>
    <w:rsid w:val="00320DB5"/>
    <w:rsid w:val="00320DF2"/>
    <w:rsid w:val="0032275D"/>
    <w:rsid w:val="00324141"/>
    <w:rsid w:val="00324878"/>
    <w:rsid w:val="00324BE3"/>
    <w:rsid w:val="00325140"/>
    <w:rsid w:val="00325523"/>
    <w:rsid w:val="00326D50"/>
    <w:rsid w:val="00326E5B"/>
    <w:rsid w:val="003272C5"/>
    <w:rsid w:val="003276AA"/>
    <w:rsid w:val="003277BF"/>
    <w:rsid w:val="00330061"/>
    <w:rsid w:val="003305F3"/>
    <w:rsid w:val="00330700"/>
    <w:rsid w:val="00330D5A"/>
    <w:rsid w:val="00331952"/>
    <w:rsid w:val="00331B63"/>
    <w:rsid w:val="00332805"/>
    <w:rsid w:val="00332B00"/>
    <w:rsid w:val="003330E9"/>
    <w:rsid w:val="003336E3"/>
    <w:rsid w:val="00333EDC"/>
    <w:rsid w:val="00334029"/>
    <w:rsid w:val="0033460A"/>
    <w:rsid w:val="003350F6"/>
    <w:rsid w:val="003354A1"/>
    <w:rsid w:val="00336472"/>
    <w:rsid w:val="00337535"/>
    <w:rsid w:val="00340C3B"/>
    <w:rsid w:val="0034109D"/>
    <w:rsid w:val="00341157"/>
    <w:rsid w:val="00343140"/>
    <w:rsid w:val="003437AC"/>
    <w:rsid w:val="003438F2"/>
    <w:rsid w:val="00343D57"/>
    <w:rsid w:val="003445F1"/>
    <w:rsid w:val="00344682"/>
    <w:rsid w:val="00344C7D"/>
    <w:rsid w:val="003463DD"/>
    <w:rsid w:val="00346E7F"/>
    <w:rsid w:val="003504E6"/>
    <w:rsid w:val="00350A61"/>
    <w:rsid w:val="00351925"/>
    <w:rsid w:val="0035207B"/>
    <w:rsid w:val="00352105"/>
    <w:rsid w:val="00353A9D"/>
    <w:rsid w:val="00353D61"/>
    <w:rsid w:val="00354DB5"/>
    <w:rsid w:val="00355679"/>
    <w:rsid w:val="00356C0C"/>
    <w:rsid w:val="0035752A"/>
    <w:rsid w:val="00357D0A"/>
    <w:rsid w:val="0036072B"/>
    <w:rsid w:val="00360C14"/>
    <w:rsid w:val="00361708"/>
    <w:rsid w:val="003618C3"/>
    <w:rsid w:val="00363167"/>
    <w:rsid w:val="00363701"/>
    <w:rsid w:val="00365F27"/>
    <w:rsid w:val="003660E8"/>
    <w:rsid w:val="003665F3"/>
    <w:rsid w:val="00366A1F"/>
    <w:rsid w:val="00367263"/>
    <w:rsid w:val="00370AF8"/>
    <w:rsid w:val="00370DA3"/>
    <w:rsid w:val="003713AC"/>
    <w:rsid w:val="0037197A"/>
    <w:rsid w:val="00371B50"/>
    <w:rsid w:val="0037458C"/>
    <w:rsid w:val="00374C74"/>
    <w:rsid w:val="00375969"/>
    <w:rsid w:val="003766C3"/>
    <w:rsid w:val="00376C66"/>
    <w:rsid w:val="0038026D"/>
    <w:rsid w:val="0038066B"/>
    <w:rsid w:val="003806DF"/>
    <w:rsid w:val="003809B8"/>
    <w:rsid w:val="00380CF7"/>
    <w:rsid w:val="003814D1"/>
    <w:rsid w:val="003818D5"/>
    <w:rsid w:val="003821B4"/>
    <w:rsid w:val="00382612"/>
    <w:rsid w:val="003837E2"/>
    <w:rsid w:val="00384029"/>
    <w:rsid w:val="0038515A"/>
    <w:rsid w:val="003852F5"/>
    <w:rsid w:val="00385545"/>
    <w:rsid w:val="003862BF"/>
    <w:rsid w:val="00391B38"/>
    <w:rsid w:val="00391DBD"/>
    <w:rsid w:val="003929E7"/>
    <w:rsid w:val="00392DD5"/>
    <w:rsid w:val="003945F8"/>
    <w:rsid w:val="00394AB8"/>
    <w:rsid w:val="00395866"/>
    <w:rsid w:val="00397668"/>
    <w:rsid w:val="003A086A"/>
    <w:rsid w:val="003A1767"/>
    <w:rsid w:val="003A1994"/>
    <w:rsid w:val="003A19D9"/>
    <w:rsid w:val="003A1A24"/>
    <w:rsid w:val="003A23D9"/>
    <w:rsid w:val="003A2FFA"/>
    <w:rsid w:val="003A3797"/>
    <w:rsid w:val="003A3942"/>
    <w:rsid w:val="003A3AB3"/>
    <w:rsid w:val="003A533B"/>
    <w:rsid w:val="003A5B9D"/>
    <w:rsid w:val="003A5E07"/>
    <w:rsid w:val="003A6862"/>
    <w:rsid w:val="003A6D2C"/>
    <w:rsid w:val="003A6EAC"/>
    <w:rsid w:val="003A7706"/>
    <w:rsid w:val="003B0253"/>
    <w:rsid w:val="003B0639"/>
    <w:rsid w:val="003B0DDF"/>
    <w:rsid w:val="003B0E6C"/>
    <w:rsid w:val="003B0E8A"/>
    <w:rsid w:val="003B123C"/>
    <w:rsid w:val="003B130B"/>
    <w:rsid w:val="003B2430"/>
    <w:rsid w:val="003B2AEC"/>
    <w:rsid w:val="003B3C92"/>
    <w:rsid w:val="003B3DBC"/>
    <w:rsid w:val="003B445C"/>
    <w:rsid w:val="003B4530"/>
    <w:rsid w:val="003B470F"/>
    <w:rsid w:val="003B495E"/>
    <w:rsid w:val="003B5078"/>
    <w:rsid w:val="003B7C81"/>
    <w:rsid w:val="003C0930"/>
    <w:rsid w:val="003C207F"/>
    <w:rsid w:val="003C2A34"/>
    <w:rsid w:val="003C3925"/>
    <w:rsid w:val="003C3CF1"/>
    <w:rsid w:val="003C552A"/>
    <w:rsid w:val="003C610A"/>
    <w:rsid w:val="003C74C9"/>
    <w:rsid w:val="003C772C"/>
    <w:rsid w:val="003C7793"/>
    <w:rsid w:val="003D110E"/>
    <w:rsid w:val="003D1C66"/>
    <w:rsid w:val="003D2846"/>
    <w:rsid w:val="003D359A"/>
    <w:rsid w:val="003D3ED7"/>
    <w:rsid w:val="003D3FDB"/>
    <w:rsid w:val="003D44D3"/>
    <w:rsid w:val="003D44F2"/>
    <w:rsid w:val="003D4EC6"/>
    <w:rsid w:val="003D571F"/>
    <w:rsid w:val="003D6467"/>
    <w:rsid w:val="003D694D"/>
    <w:rsid w:val="003D6BBD"/>
    <w:rsid w:val="003D6C0E"/>
    <w:rsid w:val="003D7869"/>
    <w:rsid w:val="003D7DDA"/>
    <w:rsid w:val="003E03D6"/>
    <w:rsid w:val="003E056A"/>
    <w:rsid w:val="003E0AB2"/>
    <w:rsid w:val="003E15B5"/>
    <w:rsid w:val="003E224B"/>
    <w:rsid w:val="003E2620"/>
    <w:rsid w:val="003E3783"/>
    <w:rsid w:val="003E4177"/>
    <w:rsid w:val="003E468B"/>
    <w:rsid w:val="003E4E25"/>
    <w:rsid w:val="003E5434"/>
    <w:rsid w:val="003E5D39"/>
    <w:rsid w:val="003E6584"/>
    <w:rsid w:val="003E6EA8"/>
    <w:rsid w:val="003E7D98"/>
    <w:rsid w:val="003F0C82"/>
    <w:rsid w:val="003F15A4"/>
    <w:rsid w:val="003F197C"/>
    <w:rsid w:val="003F212A"/>
    <w:rsid w:val="003F26E7"/>
    <w:rsid w:val="003F29B8"/>
    <w:rsid w:val="003F30DB"/>
    <w:rsid w:val="003F39A4"/>
    <w:rsid w:val="003F3D55"/>
    <w:rsid w:val="003F3E7E"/>
    <w:rsid w:val="003F3ED7"/>
    <w:rsid w:val="003F63D5"/>
    <w:rsid w:val="003F7FCA"/>
    <w:rsid w:val="00400FB5"/>
    <w:rsid w:val="00403AF4"/>
    <w:rsid w:val="004056F3"/>
    <w:rsid w:val="0040571C"/>
    <w:rsid w:val="004059FA"/>
    <w:rsid w:val="00405E96"/>
    <w:rsid w:val="00406635"/>
    <w:rsid w:val="004066D8"/>
    <w:rsid w:val="00407536"/>
    <w:rsid w:val="00407A27"/>
    <w:rsid w:val="004106A3"/>
    <w:rsid w:val="00410C12"/>
    <w:rsid w:val="0041133F"/>
    <w:rsid w:val="00411690"/>
    <w:rsid w:val="00412C05"/>
    <w:rsid w:val="0041332B"/>
    <w:rsid w:val="00414DDD"/>
    <w:rsid w:val="004153E5"/>
    <w:rsid w:val="0042003B"/>
    <w:rsid w:val="00421160"/>
    <w:rsid w:val="00423D0F"/>
    <w:rsid w:val="004253D1"/>
    <w:rsid w:val="004262AE"/>
    <w:rsid w:val="004269C9"/>
    <w:rsid w:val="00426C86"/>
    <w:rsid w:val="00432789"/>
    <w:rsid w:val="004328E1"/>
    <w:rsid w:val="00433758"/>
    <w:rsid w:val="004342DB"/>
    <w:rsid w:val="00434492"/>
    <w:rsid w:val="004351CD"/>
    <w:rsid w:val="0043638E"/>
    <w:rsid w:val="004377F0"/>
    <w:rsid w:val="00437DF0"/>
    <w:rsid w:val="004404EC"/>
    <w:rsid w:val="0044129B"/>
    <w:rsid w:val="00441B52"/>
    <w:rsid w:val="00441E4F"/>
    <w:rsid w:val="00442003"/>
    <w:rsid w:val="00442544"/>
    <w:rsid w:val="00442A51"/>
    <w:rsid w:val="00444EEA"/>
    <w:rsid w:val="00445AE3"/>
    <w:rsid w:val="00445BCF"/>
    <w:rsid w:val="00445FBE"/>
    <w:rsid w:val="004473F1"/>
    <w:rsid w:val="004476EE"/>
    <w:rsid w:val="004501DC"/>
    <w:rsid w:val="00450BAE"/>
    <w:rsid w:val="004513C7"/>
    <w:rsid w:val="004518E1"/>
    <w:rsid w:val="00453518"/>
    <w:rsid w:val="0045359E"/>
    <w:rsid w:val="00453A4C"/>
    <w:rsid w:val="00453BC8"/>
    <w:rsid w:val="00454603"/>
    <w:rsid w:val="00454683"/>
    <w:rsid w:val="00454E8D"/>
    <w:rsid w:val="00456B13"/>
    <w:rsid w:val="00457C8B"/>
    <w:rsid w:val="00461437"/>
    <w:rsid w:val="004617A7"/>
    <w:rsid w:val="0046228C"/>
    <w:rsid w:val="004629D0"/>
    <w:rsid w:val="00464497"/>
    <w:rsid w:val="00464B89"/>
    <w:rsid w:val="0046509B"/>
    <w:rsid w:val="004652A8"/>
    <w:rsid w:val="004654BF"/>
    <w:rsid w:val="0046601E"/>
    <w:rsid w:val="00466029"/>
    <w:rsid w:val="00471715"/>
    <w:rsid w:val="0047231C"/>
    <w:rsid w:val="00472924"/>
    <w:rsid w:val="00472F9E"/>
    <w:rsid w:val="004738DA"/>
    <w:rsid w:val="00473E1E"/>
    <w:rsid w:val="004740D3"/>
    <w:rsid w:val="00474A03"/>
    <w:rsid w:val="0047500A"/>
    <w:rsid w:val="00475850"/>
    <w:rsid w:val="004760AE"/>
    <w:rsid w:val="00477C56"/>
    <w:rsid w:val="00480077"/>
    <w:rsid w:val="00480E9A"/>
    <w:rsid w:val="00483F92"/>
    <w:rsid w:val="00484595"/>
    <w:rsid w:val="004857C1"/>
    <w:rsid w:val="004876CD"/>
    <w:rsid w:val="00490DA5"/>
    <w:rsid w:val="00491071"/>
    <w:rsid w:val="00491162"/>
    <w:rsid w:val="00491745"/>
    <w:rsid w:val="00491FD3"/>
    <w:rsid w:val="00494612"/>
    <w:rsid w:val="00494EC8"/>
    <w:rsid w:val="0049540E"/>
    <w:rsid w:val="004959FC"/>
    <w:rsid w:val="00495A2D"/>
    <w:rsid w:val="00495E30"/>
    <w:rsid w:val="0049615A"/>
    <w:rsid w:val="0049633C"/>
    <w:rsid w:val="00496B77"/>
    <w:rsid w:val="00496C5A"/>
    <w:rsid w:val="004A0FDB"/>
    <w:rsid w:val="004A273F"/>
    <w:rsid w:val="004A3606"/>
    <w:rsid w:val="004A39D6"/>
    <w:rsid w:val="004A4CBB"/>
    <w:rsid w:val="004A5B69"/>
    <w:rsid w:val="004A6C25"/>
    <w:rsid w:val="004A6CD4"/>
    <w:rsid w:val="004B098E"/>
    <w:rsid w:val="004B49B3"/>
    <w:rsid w:val="004B4BA1"/>
    <w:rsid w:val="004B733B"/>
    <w:rsid w:val="004B78DF"/>
    <w:rsid w:val="004B7C12"/>
    <w:rsid w:val="004C0D25"/>
    <w:rsid w:val="004C1D41"/>
    <w:rsid w:val="004C1F0A"/>
    <w:rsid w:val="004C252A"/>
    <w:rsid w:val="004C2D9A"/>
    <w:rsid w:val="004C2E5A"/>
    <w:rsid w:val="004C332E"/>
    <w:rsid w:val="004C4326"/>
    <w:rsid w:val="004C447E"/>
    <w:rsid w:val="004C44D1"/>
    <w:rsid w:val="004C45AB"/>
    <w:rsid w:val="004C576B"/>
    <w:rsid w:val="004C5A21"/>
    <w:rsid w:val="004C6001"/>
    <w:rsid w:val="004C7AE5"/>
    <w:rsid w:val="004D05EE"/>
    <w:rsid w:val="004D1BD3"/>
    <w:rsid w:val="004D2A98"/>
    <w:rsid w:val="004D2F91"/>
    <w:rsid w:val="004D4F11"/>
    <w:rsid w:val="004D52EF"/>
    <w:rsid w:val="004D594D"/>
    <w:rsid w:val="004D674C"/>
    <w:rsid w:val="004D7043"/>
    <w:rsid w:val="004E025B"/>
    <w:rsid w:val="004E029C"/>
    <w:rsid w:val="004E0302"/>
    <w:rsid w:val="004E07BB"/>
    <w:rsid w:val="004E4796"/>
    <w:rsid w:val="004E4C96"/>
    <w:rsid w:val="004E5727"/>
    <w:rsid w:val="004E61B7"/>
    <w:rsid w:val="004E6707"/>
    <w:rsid w:val="004F0C49"/>
    <w:rsid w:val="004F18D0"/>
    <w:rsid w:val="004F1946"/>
    <w:rsid w:val="004F2C03"/>
    <w:rsid w:val="004F3665"/>
    <w:rsid w:val="004F4832"/>
    <w:rsid w:val="004F5022"/>
    <w:rsid w:val="004F5559"/>
    <w:rsid w:val="004F75E6"/>
    <w:rsid w:val="004F77DE"/>
    <w:rsid w:val="004F7D1E"/>
    <w:rsid w:val="005007EE"/>
    <w:rsid w:val="005011EB"/>
    <w:rsid w:val="00501E19"/>
    <w:rsid w:val="005025A8"/>
    <w:rsid w:val="005028E7"/>
    <w:rsid w:val="00503CAA"/>
    <w:rsid w:val="00503D28"/>
    <w:rsid w:val="005050CC"/>
    <w:rsid w:val="005058FF"/>
    <w:rsid w:val="005059F4"/>
    <w:rsid w:val="005063DA"/>
    <w:rsid w:val="005068D9"/>
    <w:rsid w:val="005070AC"/>
    <w:rsid w:val="00507A45"/>
    <w:rsid w:val="00510AAD"/>
    <w:rsid w:val="00512660"/>
    <w:rsid w:val="00512B5C"/>
    <w:rsid w:val="00512F91"/>
    <w:rsid w:val="005130B7"/>
    <w:rsid w:val="00513332"/>
    <w:rsid w:val="0051387C"/>
    <w:rsid w:val="00513EBC"/>
    <w:rsid w:val="0051557A"/>
    <w:rsid w:val="0051592A"/>
    <w:rsid w:val="00516632"/>
    <w:rsid w:val="005167BA"/>
    <w:rsid w:val="005202EF"/>
    <w:rsid w:val="00520446"/>
    <w:rsid w:val="00520704"/>
    <w:rsid w:val="00520F0A"/>
    <w:rsid w:val="00521047"/>
    <w:rsid w:val="00522188"/>
    <w:rsid w:val="005221F9"/>
    <w:rsid w:val="00522790"/>
    <w:rsid w:val="0052370E"/>
    <w:rsid w:val="00524F60"/>
    <w:rsid w:val="00524FA0"/>
    <w:rsid w:val="00525F8B"/>
    <w:rsid w:val="00526EB5"/>
    <w:rsid w:val="00527059"/>
    <w:rsid w:val="00527F9A"/>
    <w:rsid w:val="00530EFA"/>
    <w:rsid w:val="00532422"/>
    <w:rsid w:val="00533D8E"/>
    <w:rsid w:val="00534D91"/>
    <w:rsid w:val="005357E7"/>
    <w:rsid w:val="005377BE"/>
    <w:rsid w:val="00540A6B"/>
    <w:rsid w:val="005411C6"/>
    <w:rsid w:val="00541384"/>
    <w:rsid w:val="00542683"/>
    <w:rsid w:val="00542DCC"/>
    <w:rsid w:val="00543357"/>
    <w:rsid w:val="00543E2F"/>
    <w:rsid w:val="00546298"/>
    <w:rsid w:val="0054675E"/>
    <w:rsid w:val="00546FAB"/>
    <w:rsid w:val="00551742"/>
    <w:rsid w:val="00551998"/>
    <w:rsid w:val="00551A53"/>
    <w:rsid w:val="00552154"/>
    <w:rsid w:val="00552F57"/>
    <w:rsid w:val="00553E9C"/>
    <w:rsid w:val="0055566B"/>
    <w:rsid w:val="0055576A"/>
    <w:rsid w:val="00556B4B"/>
    <w:rsid w:val="00561EB1"/>
    <w:rsid w:val="0056238E"/>
    <w:rsid w:val="00563FE8"/>
    <w:rsid w:val="00564E6F"/>
    <w:rsid w:val="00566AB8"/>
    <w:rsid w:val="00566FBC"/>
    <w:rsid w:val="00567DE9"/>
    <w:rsid w:val="0057078F"/>
    <w:rsid w:val="00571137"/>
    <w:rsid w:val="00572751"/>
    <w:rsid w:val="005742F6"/>
    <w:rsid w:val="0057651E"/>
    <w:rsid w:val="00577699"/>
    <w:rsid w:val="00580DBB"/>
    <w:rsid w:val="00581AA0"/>
    <w:rsid w:val="00582D03"/>
    <w:rsid w:val="00582F29"/>
    <w:rsid w:val="00583572"/>
    <w:rsid w:val="005836FE"/>
    <w:rsid w:val="00583FDB"/>
    <w:rsid w:val="00584123"/>
    <w:rsid w:val="00585454"/>
    <w:rsid w:val="00585CCE"/>
    <w:rsid w:val="00585E26"/>
    <w:rsid w:val="00586B76"/>
    <w:rsid w:val="00586CD3"/>
    <w:rsid w:val="0058790E"/>
    <w:rsid w:val="005900C9"/>
    <w:rsid w:val="005903F9"/>
    <w:rsid w:val="00590E34"/>
    <w:rsid w:val="00593E37"/>
    <w:rsid w:val="0059402D"/>
    <w:rsid w:val="00596A2A"/>
    <w:rsid w:val="00596B05"/>
    <w:rsid w:val="00596D88"/>
    <w:rsid w:val="005976AA"/>
    <w:rsid w:val="00597E50"/>
    <w:rsid w:val="005A16C3"/>
    <w:rsid w:val="005A16E3"/>
    <w:rsid w:val="005A19BA"/>
    <w:rsid w:val="005A26FA"/>
    <w:rsid w:val="005A334C"/>
    <w:rsid w:val="005A3D96"/>
    <w:rsid w:val="005A4D66"/>
    <w:rsid w:val="005A4EA8"/>
    <w:rsid w:val="005A56D7"/>
    <w:rsid w:val="005A5C97"/>
    <w:rsid w:val="005A792D"/>
    <w:rsid w:val="005B0AC6"/>
    <w:rsid w:val="005B0D1E"/>
    <w:rsid w:val="005B1835"/>
    <w:rsid w:val="005B187F"/>
    <w:rsid w:val="005B1FD5"/>
    <w:rsid w:val="005B283F"/>
    <w:rsid w:val="005B3829"/>
    <w:rsid w:val="005B55AA"/>
    <w:rsid w:val="005B58FE"/>
    <w:rsid w:val="005B593A"/>
    <w:rsid w:val="005B6436"/>
    <w:rsid w:val="005B788A"/>
    <w:rsid w:val="005B79FC"/>
    <w:rsid w:val="005C05EB"/>
    <w:rsid w:val="005C180B"/>
    <w:rsid w:val="005C18D2"/>
    <w:rsid w:val="005C2222"/>
    <w:rsid w:val="005C2D2D"/>
    <w:rsid w:val="005C2FBC"/>
    <w:rsid w:val="005C4DC3"/>
    <w:rsid w:val="005C687C"/>
    <w:rsid w:val="005C6EAC"/>
    <w:rsid w:val="005C772B"/>
    <w:rsid w:val="005D0C0F"/>
    <w:rsid w:val="005D1945"/>
    <w:rsid w:val="005D1978"/>
    <w:rsid w:val="005D21ED"/>
    <w:rsid w:val="005D240F"/>
    <w:rsid w:val="005D28B5"/>
    <w:rsid w:val="005D315C"/>
    <w:rsid w:val="005D3D61"/>
    <w:rsid w:val="005D5CCC"/>
    <w:rsid w:val="005D6459"/>
    <w:rsid w:val="005D6E76"/>
    <w:rsid w:val="005D7004"/>
    <w:rsid w:val="005D7A45"/>
    <w:rsid w:val="005E02DD"/>
    <w:rsid w:val="005E11EA"/>
    <w:rsid w:val="005E1911"/>
    <w:rsid w:val="005E25F5"/>
    <w:rsid w:val="005E2E73"/>
    <w:rsid w:val="005E2FA0"/>
    <w:rsid w:val="005E310B"/>
    <w:rsid w:val="005E374A"/>
    <w:rsid w:val="005E3DD8"/>
    <w:rsid w:val="005E4CE9"/>
    <w:rsid w:val="005E4D52"/>
    <w:rsid w:val="005E5103"/>
    <w:rsid w:val="005E56CC"/>
    <w:rsid w:val="005E56F9"/>
    <w:rsid w:val="005E5900"/>
    <w:rsid w:val="005E6043"/>
    <w:rsid w:val="005E66B9"/>
    <w:rsid w:val="005E66C1"/>
    <w:rsid w:val="005E6B0B"/>
    <w:rsid w:val="005E709E"/>
    <w:rsid w:val="005E7FB7"/>
    <w:rsid w:val="005F0BA0"/>
    <w:rsid w:val="005F160E"/>
    <w:rsid w:val="005F1A02"/>
    <w:rsid w:val="005F2C7E"/>
    <w:rsid w:val="005F2FC5"/>
    <w:rsid w:val="005F316C"/>
    <w:rsid w:val="005F3651"/>
    <w:rsid w:val="005F4683"/>
    <w:rsid w:val="005F52CB"/>
    <w:rsid w:val="005F57E5"/>
    <w:rsid w:val="005F6B9B"/>
    <w:rsid w:val="005F6C63"/>
    <w:rsid w:val="005F7DE3"/>
    <w:rsid w:val="006010B9"/>
    <w:rsid w:val="00601AE3"/>
    <w:rsid w:val="00603381"/>
    <w:rsid w:val="006034B4"/>
    <w:rsid w:val="0060355F"/>
    <w:rsid w:val="00603779"/>
    <w:rsid w:val="00603A9B"/>
    <w:rsid w:val="00604697"/>
    <w:rsid w:val="00605025"/>
    <w:rsid w:val="006050E7"/>
    <w:rsid w:val="006057F9"/>
    <w:rsid w:val="00605E72"/>
    <w:rsid w:val="00606728"/>
    <w:rsid w:val="00606D5B"/>
    <w:rsid w:val="00607AD4"/>
    <w:rsid w:val="006107BB"/>
    <w:rsid w:val="00611D18"/>
    <w:rsid w:val="00611D96"/>
    <w:rsid w:val="006123D4"/>
    <w:rsid w:val="006124BF"/>
    <w:rsid w:val="00615331"/>
    <w:rsid w:val="00615CF9"/>
    <w:rsid w:val="00616510"/>
    <w:rsid w:val="0061717F"/>
    <w:rsid w:val="00617752"/>
    <w:rsid w:val="00620F48"/>
    <w:rsid w:val="00622120"/>
    <w:rsid w:val="006233E3"/>
    <w:rsid w:val="00625104"/>
    <w:rsid w:val="00625F56"/>
    <w:rsid w:val="00626434"/>
    <w:rsid w:val="00626681"/>
    <w:rsid w:val="006268FC"/>
    <w:rsid w:val="006278C2"/>
    <w:rsid w:val="00627C2F"/>
    <w:rsid w:val="00630C0E"/>
    <w:rsid w:val="00632828"/>
    <w:rsid w:val="00634B19"/>
    <w:rsid w:val="00635F51"/>
    <w:rsid w:val="00636402"/>
    <w:rsid w:val="00636F52"/>
    <w:rsid w:val="00640ABD"/>
    <w:rsid w:val="00640DD5"/>
    <w:rsid w:val="00640F55"/>
    <w:rsid w:val="00641644"/>
    <w:rsid w:val="00641D21"/>
    <w:rsid w:val="006435EF"/>
    <w:rsid w:val="00644071"/>
    <w:rsid w:val="006453B7"/>
    <w:rsid w:val="00645E48"/>
    <w:rsid w:val="0064766E"/>
    <w:rsid w:val="00647CF1"/>
    <w:rsid w:val="00647FE3"/>
    <w:rsid w:val="006500AD"/>
    <w:rsid w:val="00650586"/>
    <w:rsid w:val="00650710"/>
    <w:rsid w:val="006510A7"/>
    <w:rsid w:val="00651465"/>
    <w:rsid w:val="00652167"/>
    <w:rsid w:val="006526F4"/>
    <w:rsid w:val="0065295A"/>
    <w:rsid w:val="00653646"/>
    <w:rsid w:val="00653C50"/>
    <w:rsid w:val="00653D9D"/>
    <w:rsid w:val="006542D2"/>
    <w:rsid w:val="00654A8D"/>
    <w:rsid w:val="00654D8B"/>
    <w:rsid w:val="006552D1"/>
    <w:rsid w:val="00655CDF"/>
    <w:rsid w:val="006563C9"/>
    <w:rsid w:val="00656910"/>
    <w:rsid w:val="0065700A"/>
    <w:rsid w:val="00657195"/>
    <w:rsid w:val="00660396"/>
    <w:rsid w:val="006609FA"/>
    <w:rsid w:val="00661268"/>
    <w:rsid w:val="0066129F"/>
    <w:rsid w:val="0066197D"/>
    <w:rsid w:val="006619EE"/>
    <w:rsid w:val="00665830"/>
    <w:rsid w:val="006665F4"/>
    <w:rsid w:val="00667198"/>
    <w:rsid w:val="00670D5E"/>
    <w:rsid w:val="00672DBA"/>
    <w:rsid w:val="00673E08"/>
    <w:rsid w:val="006740A5"/>
    <w:rsid w:val="00675415"/>
    <w:rsid w:val="00675455"/>
    <w:rsid w:val="0067555D"/>
    <w:rsid w:val="00675DAC"/>
    <w:rsid w:val="00675E44"/>
    <w:rsid w:val="00676500"/>
    <w:rsid w:val="006776DD"/>
    <w:rsid w:val="00677CF2"/>
    <w:rsid w:val="00680314"/>
    <w:rsid w:val="006806EA"/>
    <w:rsid w:val="00680DC9"/>
    <w:rsid w:val="00681BCA"/>
    <w:rsid w:val="00682573"/>
    <w:rsid w:val="00682D5A"/>
    <w:rsid w:val="00683A4C"/>
    <w:rsid w:val="006844AC"/>
    <w:rsid w:val="00684B1A"/>
    <w:rsid w:val="00687A62"/>
    <w:rsid w:val="006909B9"/>
    <w:rsid w:val="006910A1"/>
    <w:rsid w:val="00691122"/>
    <w:rsid w:val="00691526"/>
    <w:rsid w:val="00691EFA"/>
    <w:rsid w:val="006923D2"/>
    <w:rsid w:val="006935BC"/>
    <w:rsid w:val="00693643"/>
    <w:rsid w:val="00693920"/>
    <w:rsid w:val="00694186"/>
    <w:rsid w:val="0069500D"/>
    <w:rsid w:val="00695DA2"/>
    <w:rsid w:val="00696187"/>
    <w:rsid w:val="0069654B"/>
    <w:rsid w:val="00697090"/>
    <w:rsid w:val="00697889"/>
    <w:rsid w:val="00697ADA"/>
    <w:rsid w:val="00697B1A"/>
    <w:rsid w:val="006A0780"/>
    <w:rsid w:val="006A1082"/>
    <w:rsid w:val="006A112D"/>
    <w:rsid w:val="006A19EC"/>
    <w:rsid w:val="006A21E0"/>
    <w:rsid w:val="006A30AD"/>
    <w:rsid w:val="006A3C96"/>
    <w:rsid w:val="006A5BDD"/>
    <w:rsid w:val="006A5C24"/>
    <w:rsid w:val="006A68CF"/>
    <w:rsid w:val="006A6ADB"/>
    <w:rsid w:val="006A7339"/>
    <w:rsid w:val="006B139D"/>
    <w:rsid w:val="006B248D"/>
    <w:rsid w:val="006B2582"/>
    <w:rsid w:val="006B2B3A"/>
    <w:rsid w:val="006B2D93"/>
    <w:rsid w:val="006B30FE"/>
    <w:rsid w:val="006B339F"/>
    <w:rsid w:val="006B4A99"/>
    <w:rsid w:val="006B5DAA"/>
    <w:rsid w:val="006B65E4"/>
    <w:rsid w:val="006B67E3"/>
    <w:rsid w:val="006B6DC3"/>
    <w:rsid w:val="006B73D2"/>
    <w:rsid w:val="006B7578"/>
    <w:rsid w:val="006B7683"/>
    <w:rsid w:val="006C07C3"/>
    <w:rsid w:val="006C095C"/>
    <w:rsid w:val="006C0B83"/>
    <w:rsid w:val="006C0ED8"/>
    <w:rsid w:val="006C210D"/>
    <w:rsid w:val="006C254A"/>
    <w:rsid w:val="006C37D9"/>
    <w:rsid w:val="006C4161"/>
    <w:rsid w:val="006C55F5"/>
    <w:rsid w:val="006C570C"/>
    <w:rsid w:val="006C615F"/>
    <w:rsid w:val="006C6D97"/>
    <w:rsid w:val="006C770A"/>
    <w:rsid w:val="006D245E"/>
    <w:rsid w:val="006D3042"/>
    <w:rsid w:val="006D3511"/>
    <w:rsid w:val="006D351B"/>
    <w:rsid w:val="006D3A5D"/>
    <w:rsid w:val="006D4642"/>
    <w:rsid w:val="006D4820"/>
    <w:rsid w:val="006D4CC5"/>
    <w:rsid w:val="006D5290"/>
    <w:rsid w:val="006E0608"/>
    <w:rsid w:val="006E1154"/>
    <w:rsid w:val="006E2086"/>
    <w:rsid w:val="006E2146"/>
    <w:rsid w:val="006E2288"/>
    <w:rsid w:val="006E2B6E"/>
    <w:rsid w:val="006E2D19"/>
    <w:rsid w:val="006E36E6"/>
    <w:rsid w:val="006E3BEC"/>
    <w:rsid w:val="006E4716"/>
    <w:rsid w:val="006E64CC"/>
    <w:rsid w:val="006E66CC"/>
    <w:rsid w:val="006E6F6E"/>
    <w:rsid w:val="006F1798"/>
    <w:rsid w:val="006F2B22"/>
    <w:rsid w:val="006F3195"/>
    <w:rsid w:val="006F4A90"/>
    <w:rsid w:val="006F60A9"/>
    <w:rsid w:val="006F64C4"/>
    <w:rsid w:val="006F69AD"/>
    <w:rsid w:val="006F69EB"/>
    <w:rsid w:val="006F6B40"/>
    <w:rsid w:val="006F75CC"/>
    <w:rsid w:val="0070233C"/>
    <w:rsid w:val="007025C4"/>
    <w:rsid w:val="007029D9"/>
    <w:rsid w:val="00702C53"/>
    <w:rsid w:val="0070323F"/>
    <w:rsid w:val="007034DB"/>
    <w:rsid w:val="007036D2"/>
    <w:rsid w:val="00704699"/>
    <w:rsid w:val="00705313"/>
    <w:rsid w:val="0070571A"/>
    <w:rsid w:val="00711AE5"/>
    <w:rsid w:val="00711D49"/>
    <w:rsid w:val="007121BB"/>
    <w:rsid w:val="00712725"/>
    <w:rsid w:val="0071313C"/>
    <w:rsid w:val="007138F8"/>
    <w:rsid w:val="00713F70"/>
    <w:rsid w:val="00717B67"/>
    <w:rsid w:val="007201AC"/>
    <w:rsid w:val="0072541C"/>
    <w:rsid w:val="00725B93"/>
    <w:rsid w:val="00726147"/>
    <w:rsid w:val="0072797C"/>
    <w:rsid w:val="00727B25"/>
    <w:rsid w:val="00730745"/>
    <w:rsid w:val="00730A78"/>
    <w:rsid w:val="0073113A"/>
    <w:rsid w:val="00731C96"/>
    <w:rsid w:val="00731F03"/>
    <w:rsid w:val="00731F53"/>
    <w:rsid w:val="0073229E"/>
    <w:rsid w:val="0073297E"/>
    <w:rsid w:val="00734D2C"/>
    <w:rsid w:val="00735CE1"/>
    <w:rsid w:val="00736328"/>
    <w:rsid w:val="007364E7"/>
    <w:rsid w:val="00736B66"/>
    <w:rsid w:val="0073761C"/>
    <w:rsid w:val="00737A0E"/>
    <w:rsid w:val="00737A66"/>
    <w:rsid w:val="00737EBE"/>
    <w:rsid w:val="007403A5"/>
    <w:rsid w:val="00741030"/>
    <w:rsid w:val="00741222"/>
    <w:rsid w:val="00741775"/>
    <w:rsid w:val="00742526"/>
    <w:rsid w:val="00743F16"/>
    <w:rsid w:val="0074409C"/>
    <w:rsid w:val="007449CC"/>
    <w:rsid w:val="00745952"/>
    <w:rsid w:val="0074598D"/>
    <w:rsid w:val="00745CCE"/>
    <w:rsid w:val="00747160"/>
    <w:rsid w:val="00747AF3"/>
    <w:rsid w:val="00747F22"/>
    <w:rsid w:val="00750A65"/>
    <w:rsid w:val="00751000"/>
    <w:rsid w:val="007521E0"/>
    <w:rsid w:val="0075264F"/>
    <w:rsid w:val="00752AE6"/>
    <w:rsid w:val="00752C1F"/>
    <w:rsid w:val="00753335"/>
    <w:rsid w:val="00753FA0"/>
    <w:rsid w:val="00754070"/>
    <w:rsid w:val="00754295"/>
    <w:rsid w:val="007545CE"/>
    <w:rsid w:val="00755E46"/>
    <w:rsid w:val="00756F0F"/>
    <w:rsid w:val="0075747F"/>
    <w:rsid w:val="00757C3F"/>
    <w:rsid w:val="00760517"/>
    <w:rsid w:val="0076149E"/>
    <w:rsid w:val="00762E3B"/>
    <w:rsid w:val="00764225"/>
    <w:rsid w:val="00765BAF"/>
    <w:rsid w:val="007677C0"/>
    <w:rsid w:val="0077087D"/>
    <w:rsid w:val="00770C57"/>
    <w:rsid w:val="00770C5A"/>
    <w:rsid w:val="0077271E"/>
    <w:rsid w:val="00772C53"/>
    <w:rsid w:val="00773247"/>
    <w:rsid w:val="00774317"/>
    <w:rsid w:val="00774F02"/>
    <w:rsid w:val="00775978"/>
    <w:rsid w:val="00775B8B"/>
    <w:rsid w:val="00775E71"/>
    <w:rsid w:val="007775A6"/>
    <w:rsid w:val="007776DA"/>
    <w:rsid w:val="00780E4B"/>
    <w:rsid w:val="0078186A"/>
    <w:rsid w:val="007818F7"/>
    <w:rsid w:val="00781C70"/>
    <w:rsid w:val="00781F90"/>
    <w:rsid w:val="007828D8"/>
    <w:rsid w:val="00783249"/>
    <w:rsid w:val="007843CD"/>
    <w:rsid w:val="00785479"/>
    <w:rsid w:val="007858FC"/>
    <w:rsid w:val="007872D5"/>
    <w:rsid w:val="007873E2"/>
    <w:rsid w:val="00787B45"/>
    <w:rsid w:val="00787FB3"/>
    <w:rsid w:val="00790F5D"/>
    <w:rsid w:val="007915A9"/>
    <w:rsid w:val="00791A31"/>
    <w:rsid w:val="00791B92"/>
    <w:rsid w:val="0079328E"/>
    <w:rsid w:val="00793A2E"/>
    <w:rsid w:val="00794772"/>
    <w:rsid w:val="0079535A"/>
    <w:rsid w:val="007956FE"/>
    <w:rsid w:val="00795B1A"/>
    <w:rsid w:val="007963D4"/>
    <w:rsid w:val="00797639"/>
    <w:rsid w:val="007A046A"/>
    <w:rsid w:val="007A1604"/>
    <w:rsid w:val="007A1A47"/>
    <w:rsid w:val="007A221F"/>
    <w:rsid w:val="007A3904"/>
    <w:rsid w:val="007A5A7E"/>
    <w:rsid w:val="007A5B4A"/>
    <w:rsid w:val="007A61ED"/>
    <w:rsid w:val="007A66F1"/>
    <w:rsid w:val="007A7DB0"/>
    <w:rsid w:val="007B1E43"/>
    <w:rsid w:val="007B1F50"/>
    <w:rsid w:val="007B2D6A"/>
    <w:rsid w:val="007B5299"/>
    <w:rsid w:val="007B64BA"/>
    <w:rsid w:val="007B6C57"/>
    <w:rsid w:val="007B72B8"/>
    <w:rsid w:val="007B7CA5"/>
    <w:rsid w:val="007C099F"/>
    <w:rsid w:val="007C1827"/>
    <w:rsid w:val="007C1FE0"/>
    <w:rsid w:val="007C22E8"/>
    <w:rsid w:val="007C2678"/>
    <w:rsid w:val="007C2A90"/>
    <w:rsid w:val="007C2D09"/>
    <w:rsid w:val="007C3502"/>
    <w:rsid w:val="007C3D7C"/>
    <w:rsid w:val="007C4AAD"/>
    <w:rsid w:val="007C4DB2"/>
    <w:rsid w:val="007C4FF8"/>
    <w:rsid w:val="007C5063"/>
    <w:rsid w:val="007C72E4"/>
    <w:rsid w:val="007C7B4E"/>
    <w:rsid w:val="007D07A7"/>
    <w:rsid w:val="007D1678"/>
    <w:rsid w:val="007D21A2"/>
    <w:rsid w:val="007D269A"/>
    <w:rsid w:val="007D3CD8"/>
    <w:rsid w:val="007D435E"/>
    <w:rsid w:val="007D4AC3"/>
    <w:rsid w:val="007D6AFB"/>
    <w:rsid w:val="007E09BE"/>
    <w:rsid w:val="007E0A19"/>
    <w:rsid w:val="007E137B"/>
    <w:rsid w:val="007E17E2"/>
    <w:rsid w:val="007E1983"/>
    <w:rsid w:val="007E19D8"/>
    <w:rsid w:val="007E260B"/>
    <w:rsid w:val="007E2D25"/>
    <w:rsid w:val="007E45B7"/>
    <w:rsid w:val="007E6038"/>
    <w:rsid w:val="007F0527"/>
    <w:rsid w:val="007F0541"/>
    <w:rsid w:val="007F0A45"/>
    <w:rsid w:val="007F162A"/>
    <w:rsid w:val="007F1F06"/>
    <w:rsid w:val="007F2188"/>
    <w:rsid w:val="007F2BBF"/>
    <w:rsid w:val="007F368B"/>
    <w:rsid w:val="007F3D0B"/>
    <w:rsid w:val="007F4205"/>
    <w:rsid w:val="007F50E8"/>
    <w:rsid w:val="007F641F"/>
    <w:rsid w:val="008005BC"/>
    <w:rsid w:val="00803D50"/>
    <w:rsid w:val="008045EC"/>
    <w:rsid w:val="00806DA0"/>
    <w:rsid w:val="00807267"/>
    <w:rsid w:val="00807805"/>
    <w:rsid w:val="00810413"/>
    <w:rsid w:val="0081052F"/>
    <w:rsid w:val="0081065B"/>
    <w:rsid w:val="00810D4C"/>
    <w:rsid w:val="008114E9"/>
    <w:rsid w:val="0081255C"/>
    <w:rsid w:val="008125C6"/>
    <w:rsid w:val="0081282E"/>
    <w:rsid w:val="00812871"/>
    <w:rsid w:val="00812F47"/>
    <w:rsid w:val="00813284"/>
    <w:rsid w:val="00813CD1"/>
    <w:rsid w:val="00814FCB"/>
    <w:rsid w:val="008150B8"/>
    <w:rsid w:val="00815A8F"/>
    <w:rsid w:val="00815C84"/>
    <w:rsid w:val="00815F2C"/>
    <w:rsid w:val="0081687D"/>
    <w:rsid w:val="00816E97"/>
    <w:rsid w:val="00820098"/>
    <w:rsid w:val="008200F0"/>
    <w:rsid w:val="00820617"/>
    <w:rsid w:val="00821A1A"/>
    <w:rsid w:val="00821CC3"/>
    <w:rsid w:val="008225BE"/>
    <w:rsid w:val="00823611"/>
    <w:rsid w:val="008237F6"/>
    <w:rsid w:val="0082447A"/>
    <w:rsid w:val="00827C6E"/>
    <w:rsid w:val="00830410"/>
    <w:rsid w:val="008312D9"/>
    <w:rsid w:val="0083208C"/>
    <w:rsid w:val="00832D76"/>
    <w:rsid w:val="0083347D"/>
    <w:rsid w:val="00833DDB"/>
    <w:rsid w:val="008344AF"/>
    <w:rsid w:val="00835178"/>
    <w:rsid w:val="0083629A"/>
    <w:rsid w:val="008365DA"/>
    <w:rsid w:val="008369A3"/>
    <w:rsid w:val="00841AE7"/>
    <w:rsid w:val="0084254B"/>
    <w:rsid w:val="008441E5"/>
    <w:rsid w:val="00844AEE"/>
    <w:rsid w:val="00844D98"/>
    <w:rsid w:val="00845B5D"/>
    <w:rsid w:val="00847890"/>
    <w:rsid w:val="008506BE"/>
    <w:rsid w:val="00851A2B"/>
    <w:rsid w:val="00851DB0"/>
    <w:rsid w:val="00851F27"/>
    <w:rsid w:val="0085357B"/>
    <w:rsid w:val="00853C68"/>
    <w:rsid w:val="00853CFF"/>
    <w:rsid w:val="00856282"/>
    <w:rsid w:val="00857E35"/>
    <w:rsid w:val="0086069E"/>
    <w:rsid w:val="00860C2B"/>
    <w:rsid w:val="008650F5"/>
    <w:rsid w:val="00866B97"/>
    <w:rsid w:val="008676D1"/>
    <w:rsid w:val="0086797D"/>
    <w:rsid w:val="0087104E"/>
    <w:rsid w:val="00872185"/>
    <w:rsid w:val="0087258E"/>
    <w:rsid w:val="00873470"/>
    <w:rsid w:val="008734AC"/>
    <w:rsid w:val="008734AE"/>
    <w:rsid w:val="00873E40"/>
    <w:rsid w:val="00873F23"/>
    <w:rsid w:val="00874D55"/>
    <w:rsid w:val="00875764"/>
    <w:rsid w:val="00876AE2"/>
    <w:rsid w:val="008807E8"/>
    <w:rsid w:val="00881DB2"/>
    <w:rsid w:val="008841A4"/>
    <w:rsid w:val="008841C1"/>
    <w:rsid w:val="0088465A"/>
    <w:rsid w:val="00885B1B"/>
    <w:rsid w:val="0088760B"/>
    <w:rsid w:val="008904D0"/>
    <w:rsid w:val="00890732"/>
    <w:rsid w:val="00890A31"/>
    <w:rsid w:val="0089127F"/>
    <w:rsid w:val="008917DD"/>
    <w:rsid w:val="0089297C"/>
    <w:rsid w:val="008958C2"/>
    <w:rsid w:val="008959A4"/>
    <w:rsid w:val="00895D92"/>
    <w:rsid w:val="00896506"/>
    <w:rsid w:val="00896876"/>
    <w:rsid w:val="0089720E"/>
    <w:rsid w:val="008A1038"/>
    <w:rsid w:val="008A2CAF"/>
    <w:rsid w:val="008A2ED0"/>
    <w:rsid w:val="008A3E0F"/>
    <w:rsid w:val="008A4A1A"/>
    <w:rsid w:val="008B214A"/>
    <w:rsid w:val="008B21D8"/>
    <w:rsid w:val="008B22EA"/>
    <w:rsid w:val="008B27A4"/>
    <w:rsid w:val="008B2F8C"/>
    <w:rsid w:val="008B3791"/>
    <w:rsid w:val="008B3F8D"/>
    <w:rsid w:val="008B420D"/>
    <w:rsid w:val="008B4FF9"/>
    <w:rsid w:val="008B6D11"/>
    <w:rsid w:val="008B747F"/>
    <w:rsid w:val="008C11DA"/>
    <w:rsid w:val="008C35F0"/>
    <w:rsid w:val="008C4EAC"/>
    <w:rsid w:val="008C5609"/>
    <w:rsid w:val="008C5AAC"/>
    <w:rsid w:val="008C72FA"/>
    <w:rsid w:val="008C7872"/>
    <w:rsid w:val="008D015E"/>
    <w:rsid w:val="008D0673"/>
    <w:rsid w:val="008D0926"/>
    <w:rsid w:val="008D0B97"/>
    <w:rsid w:val="008D1258"/>
    <w:rsid w:val="008D16BE"/>
    <w:rsid w:val="008D18F8"/>
    <w:rsid w:val="008D3527"/>
    <w:rsid w:val="008D3633"/>
    <w:rsid w:val="008D3953"/>
    <w:rsid w:val="008D427D"/>
    <w:rsid w:val="008D4848"/>
    <w:rsid w:val="008D4CDD"/>
    <w:rsid w:val="008D56B4"/>
    <w:rsid w:val="008D5BA8"/>
    <w:rsid w:val="008D5BC7"/>
    <w:rsid w:val="008D5BDD"/>
    <w:rsid w:val="008D660D"/>
    <w:rsid w:val="008E0A4A"/>
    <w:rsid w:val="008E0DFE"/>
    <w:rsid w:val="008E10C3"/>
    <w:rsid w:val="008E1196"/>
    <w:rsid w:val="008E1799"/>
    <w:rsid w:val="008E21BE"/>
    <w:rsid w:val="008E26B4"/>
    <w:rsid w:val="008E2AD3"/>
    <w:rsid w:val="008E2C31"/>
    <w:rsid w:val="008E3E1B"/>
    <w:rsid w:val="008E3F0E"/>
    <w:rsid w:val="008E4DF1"/>
    <w:rsid w:val="008E597A"/>
    <w:rsid w:val="008E5C75"/>
    <w:rsid w:val="008E6998"/>
    <w:rsid w:val="008F16A2"/>
    <w:rsid w:val="008F18AB"/>
    <w:rsid w:val="008F2372"/>
    <w:rsid w:val="008F3925"/>
    <w:rsid w:val="008F3D1B"/>
    <w:rsid w:val="008F4606"/>
    <w:rsid w:val="008F4B28"/>
    <w:rsid w:val="008F589D"/>
    <w:rsid w:val="008F5A95"/>
    <w:rsid w:val="008F5D50"/>
    <w:rsid w:val="008F5E81"/>
    <w:rsid w:val="008F5FB1"/>
    <w:rsid w:val="008F768B"/>
    <w:rsid w:val="00900468"/>
    <w:rsid w:val="009019A0"/>
    <w:rsid w:val="0090303B"/>
    <w:rsid w:val="00903279"/>
    <w:rsid w:val="0090481A"/>
    <w:rsid w:val="009048AC"/>
    <w:rsid w:val="00906CF0"/>
    <w:rsid w:val="00906DC5"/>
    <w:rsid w:val="00907048"/>
    <w:rsid w:val="00907FA0"/>
    <w:rsid w:val="009101E7"/>
    <w:rsid w:val="0091176E"/>
    <w:rsid w:val="009125FA"/>
    <w:rsid w:val="00913543"/>
    <w:rsid w:val="00914695"/>
    <w:rsid w:val="00915C09"/>
    <w:rsid w:val="00916353"/>
    <w:rsid w:val="009163FA"/>
    <w:rsid w:val="00916412"/>
    <w:rsid w:val="00917166"/>
    <w:rsid w:val="0091771E"/>
    <w:rsid w:val="00921920"/>
    <w:rsid w:val="009219A8"/>
    <w:rsid w:val="00922CEA"/>
    <w:rsid w:val="00923567"/>
    <w:rsid w:val="009241FD"/>
    <w:rsid w:val="00925877"/>
    <w:rsid w:val="00926921"/>
    <w:rsid w:val="00927083"/>
    <w:rsid w:val="00927570"/>
    <w:rsid w:val="00927A83"/>
    <w:rsid w:val="00930026"/>
    <w:rsid w:val="00930B9B"/>
    <w:rsid w:val="00932765"/>
    <w:rsid w:val="00932941"/>
    <w:rsid w:val="0093296E"/>
    <w:rsid w:val="00933046"/>
    <w:rsid w:val="0093335A"/>
    <w:rsid w:val="00933B63"/>
    <w:rsid w:val="0093427A"/>
    <w:rsid w:val="0093475F"/>
    <w:rsid w:val="009356BE"/>
    <w:rsid w:val="00935B45"/>
    <w:rsid w:val="00937326"/>
    <w:rsid w:val="00937659"/>
    <w:rsid w:val="00937CE4"/>
    <w:rsid w:val="00940402"/>
    <w:rsid w:val="00940F7D"/>
    <w:rsid w:val="00941197"/>
    <w:rsid w:val="009412C3"/>
    <w:rsid w:val="009444DE"/>
    <w:rsid w:val="009446FA"/>
    <w:rsid w:val="00946BBA"/>
    <w:rsid w:val="0094728F"/>
    <w:rsid w:val="009475C9"/>
    <w:rsid w:val="00947D13"/>
    <w:rsid w:val="00950699"/>
    <w:rsid w:val="00951A92"/>
    <w:rsid w:val="009528B8"/>
    <w:rsid w:val="00952929"/>
    <w:rsid w:val="00953725"/>
    <w:rsid w:val="00954602"/>
    <w:rsid w:val="0095533D"/>
    <w:rsid w:val="0095698C"/>
    <w:rsid w:val="00956C65"/>
    <w:rsid w:val="00957864"/>
    <w:rsid w:val="00957A05"/>
    <w:rsid w:val="00957D0A"/>
    <w:rsid w:val="00957FA0"/>
    <w:rsid w:val="009605DA"/>
    <w:rsid w:val="00960CA6"/>
    <w:rsid w:val="009614F1"/>
    <w:rsid w:val="00961B50"/>
    <w:rsid w:val="00963276"/>
    <w:rsid w:val="00963403"/>
    <w:rsid w:val="0096396B"/>
    <w:rsid w:val="00964390"/>
    <w:rsid w:val="00965511"/>
    <w:rsid w:val="00965B3D"/>
    <w:rsid w:val="00966797"/>
    <w:rsid w:val="00966C2B"/>
    <w:rsid w:val="00966FCC"/>
    <w:rsid w:val="0096790B"/>
    <w:rsid w:val="00967E86"/>
    <w:rsid w:val="00967F0D"/>
    <w:rsid w:val="0097105B"/>
    <w:rsid w:val="009718FA"/>
    <w:rsid w:val="009724AD"/>
    <w:rsid w:val="00972D4B"/>
    <w:rsid w:val="009746FB"/>
    <w:rsid w:val="009753DA"/>
    <w:rsid w:val="00976F25"/>
    <w:rsid w:val="00977571"/>
    <w:rsid w:val="00982391"/>
    <w:rsid w:val="00983750"/>
    <w:rsid w:val="00983ABC"/>
    <w:rsid w:val="00983BB2"/>
    <w:rsid w:val="009848BD"/>
    <w:rsid w:val="00984EB3"/>
    <w:rsid w:val="00984FB4"/>
    <w:rsid w:val="00985BFE"/>
    <w:rsid w:val="00985D19"/>
    <w:rsid w:val="00986877"/>
    <w:rsid w:val="00986B7F"/>
    <w:rsid w:val="00990FED"/>
    <w:rsid w:val="00991ADE"/>
    <w:rsid w:val="009925BD"/>
    <w:rsid w:val="00992C1C"/>
    <w:rsid w:val="009931DA"/>
    <w:rsid w:val="009932EC"/>
    <w:rsid w:val="0099584C"/>
    <w:rsid w:val="0099620A"/>
    <w:rsid w:val="00997658"/>
    <w:rsid w:val="009978AF"/>
    <w:rsid w:val="0099795E"/>
    <w:rsid w:val="009A10E9"/>
    <w:rsid w:val="009A12C8"/>
    <w:rsid w:val="009A166E"/>
    <w:rsid w:val="009A1E16"/>
    <w:rsid w:val="009A313E"/>
    <w:rsid w:val="009A3EBB"/>
    <w:rsid w:val="009A563F"/>
    <w:rsid w:val="009A6521"/>
    <w:rsid w:val="009A72C7"/>
    <w:rsid w:val="009A77C1"/>
    <w:rsid w:val="009B286D"/>
    <w:rsid w:val="009B2DB8"/>
    <w:rsid w:val="009B2E8C"/>
    <w:rsid w:val="009B3384"/>
    <w:rsid w:val="009B3869"/>
    <w:rsid w:val="009B48FC"/>
    <w:rsid w:val="009B6495"/>
    <w:rsid w:val="009B72A4"/>
    <w:rsid w:val="009B7CF7"/>
    <w:rsid w:val="009C0BC4"/>
    <w:rsid w:val="009C1044"/>
    <w:rsid w:val="009C2718"/>
    <w:rsid w:val="009C3788"/>
    <w:rsid w:val="009C43FD"/>
    <w:rsid w:val="009C4A98"/>
    <w:rsid w:val="009C4E6D"/>
    <w:rsid w:val="009D0F28"/>
    <w:rsid w:val="009D2339"/>
    <w:rsid w:val="009D3459"/>
    <w:rsid w:val="009D40D1"/>
    <w:rsid w:val="009D4A13"/>
    <w:rsid w:val="009D4F0D"/>
    <w:rsid w:val="009D5E87"/>
    <w:rsid w:val="009D5F91"/>
    <w:rsid w:val="009D6E5D"/>
    <w:rsid w:val="009D6E9E"/>
    <w:rsid w:val="009D7784"/>
    <w:rsid w:val="009D7B79"/>
    <w:rsid w:val="009E1103"/>
    <w:rsid w:val="009E2022"/>
    <w:rsid w:val="009E2123"/>
    <w:rsid w:val="009E277E"/>
    <w:rsid w:val="009E44A2"/>
    <w:rsid w:val="009E462F"/>
    <w:rsid w:val="009E4C3B"/>
    <w:rsid w:val="009E4D7B"/>
    <w:rsid w:val="009E54EC"/>
    <w:rsid w:val="009E5FDE"/>
    <w:rsid w:val="009E74AA"/>
    <w:rsid w:val="009F2146"/>
    <w:rsid w:val="009F29FB"/>
    <w:rsid w:val="009F2F9C"/>
    <w:rsid w:val="009F3204"/>
    <w:rsid w:val="009F38A8"/>
    <w:rsid w:val="009F3C2E"/>
    <w:rsid w:val="009F4B50"/>
    <w:rsid w:val="009F5A77"/>
    <w:rsid w:val="009F69C0"/>
    <w:rsid w:val="009F7AE0"/>
    <w:rsid w:val="009F7C2E"/>
    <w:rsid w:val="00A00CA4"/>
    <w:rsid w:val="00A00EA8"/>
    <w:rsid w:val="00A01031"/>
    <w:rsid w:val="00A019BD"/>
    <w:rsid w:val="00A02731"/>
    <w:rsid w:val="00A02AAC"/>
    <w:rsid w:val="00A02F97"/>
    <w:rsid w:val="00A05CB5"/>
    <w:rsid w:val="00A07006"/>
    <w:rsid w:val="00A07206"/>
    <w:rsid w:val="00A1050D"/>
    <w:rsid w:val="00A12AC4"/>
    <w:rsid w:val="00A12F92"/>
    <w:rsid w:val="00A13A43"/>
    <w:rsid w:val="00A14588"/>
    <w:rsid w:val="00A14768"/>
    <w:rsid w:val="00A14B6A"/>
    <w:rsid w:val="00A16532"/>
    <w:rsid w:val="00A16AD1"/>
    <w:rsid w:val="00A1720C"/>
    <w:rsid w:val="00A177A0"/>
    <w:rsid w:val="00A17D91"/>
    <w:rsid w:val="00A17FDF"/>
    <w:rsid w:val="00A20A1B"/>
    <w:rsid w:val="00A2118F"/>
    <w:rsid w:val="00A2149B"/>
    <w:rsid w:val="00A221B8"/>
    <w:rsid w:val="00A22E70"/>
    <w:rsid w:val="00A238B6"/>
    <w:rsid w:val="00A2431C"/>
    <w:rsid w:val="00A24D56"/>
    <w:rsid w:val="00A261DB"/>
    <w:rsid w:val="00A2663D"/>
    <w:rsid w:val="00A26683"/>
    <w:rsid w:val="00A26B46"/>
    <w:rsid w:val="00A26F7B"/>
    <w:rsid w:val="00A27282"/>
    <w:rsid w:val="00A27A11"/>
    <w:rsid w:val="00A27EAA"/>
    <w:rsid w:val="00A30F49"/>
    <w:rsid w:val="00A31362"/>
    <w:rsid w:val="00A31920"/>
    <w:rsid w:val="00A31BCC"/>
    <w:rsid w:val="00A329C2"/>
    <w:rsid w:val="00A33658"/>
    <w:rsid w:val="00A345D1"/>
    <w:rsid w:val="00A34A0F"/>
    <w:rsid w:val="00A35036"/>
    <w:rsid w:val="00A35D79"/>
    <w:rsid w:val="00A3692E"/>
    <w:rsid w:val="00A36A35"/>
    <w:rsid w:val="00A37367"/>
    <w:rsid w:val="00A37519"/>
    <w:rsid w:val="00A37D79"/>
    <w:rsid w:val="00A41CF6"/>
    <w:rsid w:val="00A421E2"/>
    <w:rsid w:val="00A425E0"/>
    <w:rsid w:val="00A42D17"/>
    <w:rsid w:val="00A439F0"/>
    <w:rsid w:val="00A45497"/>
    <w:rsid w:val="00A46340"/>
    <w:rsid w:val="00A46865"/>
    <w:rsid w:val="00A46B8B"/>
    <w:rsid w:val="00A4734E"/>
    <w:rsid w:val="00A4751A"/>
    <w:rsid w:val="00A47BF6"/>
    <w:rsid w:val="00A5046D"/>
    <w:rsid w:val="00A51B1B"/>
    <w:rsid w:val="00A533B7"/>
    <w:rsid w:val="00A536EB"/>
    <w:rsid w:val="00A54050"/>
    <w:rsid w:val="00A5446A"/>
    <w:rsid w:val="00A54DB0"/>
    <w:rsid w:val="00A5518F"/>
    <w:rsid w:val="00A5532B"/>
    <w:rsid w:val="00A558D3"/>
    <w:rsid w:val="00A564C1"/>
    <w:rsid w:val="00A57DF9"/>
    <w:rsid w:val="00A60618"/>
    <w:rsid w:val="00A61140"/>
    <w:rsid w:val="00A613D5"/>
    <w:rsid w:val="00A61C4C"/>
    <w:rsid w:val="00A626CF"/>
    <w:rsid w:val="00A63277"/>
    <w:rsid w:val="00A63BFD"/>
    <w:rsid w:val="00A64754"/>
    <w:rsid w:val="00A647B7"/>
    <w:rsid w:val="00A65C45"/>
    <w:rsid w:val="00A66203"/>
    <w:rsid w:val="00A6636F"/>
    <w:rsid w:val="00A670D5"/>
    <w:rsid w:val="00A67FB7"/>
    <w:rsid w:val="00A707A0"/>
    <w:rsid w:val="00A70C42"/>
    <w:rsid w:val="00A70CA5"/>
    <w:rsid w:val="00A711FC"/>
    <w:rsid w:val="00A73794"/>
    <w:rsid w:val="00A73A5D"/>
    <w:rsid w:val="00A73C67"/>
    <w:rsid w:val="00A74A28"/>
    <w:rsid w:val="00A75C66"/>
    <w:rsid w:val="00A75DCC"/>
    <w:rsid w:val="00A75DEA"/>
    <w:rsid w:val="00A75EE0"/>
    <w:rsid w:val="00A764FB"/>
    <w:rsid w:val="00A767F0"/>
    <w:rsid w:val="00A76CC6"/>
    <w:rsid w:val="00A76D03"/>
    <w:rsid w:val="00A81ABC"/>
    <w:rsid w:val="00A82966"/>
    <w:rsid w:val="00A829C8"/>
    <w:rsid w:val="00A82FFC"/>
    <w:rsid w:val="00A835F6"/>
    <w:rsid w:val="00A850EF"/>
    <w:rsid w:val="00A85E4C"/>
    <w:rsid w:val="00A86318"/>
    <w:rsid w:val="00A8651D"/>
    <w:rsid w:val="00A867BF"/>
    <w:rsid w:val="00A86A1C"/>
    <w:rsid w:val="00A9006D"/>
    <w:rsid w:val="00A91414"/>
    <w:rsid w:val="00A9205C"/>
    <w:rsid w:val="00A9234B"/>
    <w:rsid w:val="00A96711"/>
    <w:rsid w:val="00A973DC"/>
    <w:rsid w:val="00A9791E"/>
    <w:rsid w:val="00A97E52"/>
    <w:rsid w:val="00AA0B0B"/>
    <w:rsid w:val="00AA147C"/>
    <w:rsid w:val="00AA16E5"/>
    <w:rsid w:val="00AA3929"/>
    <w:rsid w:val="00AA4310"/>
    <w:rsid w:val="00AA475E"/>
    <w:rsid w:val="00AA4CEC"/>
    <w:rsid w:val="00AA56F1"/>
    <w:rsid w:val="00AA5FC7"/>
    <w:rsid w:val="00AA6BF1"/>
    <w:rsid w:val="00AA7380"/>
    <w:rsid w:val="00AB03EE"/>
    <w:rsid w:val="00AB0440"/>
    <w:rsid w:val="00AB0ECF"/>
    <w:rsid w:val="00AB1324"/>
    <w:rsid w:val="00AB3877"/>
    <w:rsid w:val="00AB417B"/>
    <w:rsid w:val="00AB4584"/>
    <w:rsid w:val="00AB511C"/>
    <w:rsid w:val="00AB5479"/>
    <w:rsid w:val="00AB5A06"/>
    <w:rsid w:val="00AB5B5D"/>
    <w:rsid w:val="00AB5B88"/>
    <w:rsid w:val="00AB5D48"/>
    <w:rsid w:val="00AB690D"/>
    <w:rsid w:val="00AC0E9C"/>
    <w:rsid w:val="00AC1BF4"/>
    <w:rsid w:val="00AC1DB3"/>
    <w:rsid w:val="00AC2427"/>
    <w:rsid w:val="00AC25E3"/>
    <w:rsid w:val="00AC3A5E"/>
    <w:rsid w:val="00AC4CBB"/>
    <w:rsid w:val="00AC5B43"/>
    <w:rsid w:val="00AC6972"/>
    <w:rsid w:val="00AC6D45"/>
    <w:rsid w:val="00AC736C"/>
    <w:rsid w:val="00AC7572"/>
    <w:rsid w:val="00AC7C53"/>
    <w:rsid w:val="00AD031C"/>
    <w:rsid w:val="00AD0D31"/>
    <w:rsid w:val="00AD18B4"/>
    <w:rsid w:val="00AD1F2E"/>
    <w:rsid w:val="00AD2569"/>
    <w:rsid w:val="00AD27F2"/>
    <w:rsid w:val="00AD5C48"/>
    <w:rsid w:val="00AD66AD"/>
    <w:rsid w:val="00AD66E2"/>
    <w:rsid w:val="00AD6BE9"/>
    <w:rsid w:val="00AD6CF2"/>
    <w:rsid w:val="00AD75B1"/>
    <w:rsid w:val="00AE1CD4"/>
    <w:rsid w:val="00AE25D2"/>
    <w:rsid w:val="00AE384D"/>
    <w:rsid w:val="00AE3CCA"/>
    <w:rsid w:val="00AE4B3F"/>
    <w:rsid w:val="00AE63AF"/>
    <w:rsid w:val="00AE65B9"/>
    <w:rsid w:val="00AE7E2F"/>
    <w:rsid w:val="00AF1FC0"/>
    <w:rsid w:val="00AF231C"/>
    <w:rsid w:val="00AF24F0"/>
    <w:rsid w:val="00AF25B2"/>
    <w:rsid w:val="00AF2758"/>
    <w:rsid w:val="00AF278C"/>
    <w:rsid w:val="00AF3692"/>
    <w:rsid w:val="00AF3FCF"/>
    <w:rsid w:val="00AF417C"/>
    <w:rsid w:val="00AF6260"/>
    <w:rsid w:val="00AF75E1"/>
    <w:rsid w:val="00AF78EC"/>
    <w:rsid w:val="00AF7ACC"/>
    <w:rsid w:val="00B005F3"/>
    <w:rsid w:val="00B010E2"/>
    <w:rsid w:val="00B031DA"/>
    <w:rsid w:val="00B045FA"/>
    <w:rsid w:val="00B0517A"/>
    <w:rsid w:val="00B05C1D"/>
    <w:rsid w:val="00B0658E"/>
    <w:rsid w:val="00B069E6"/>
    <w:rsid w:val="00B06F3D"/>
    <w:rsid w:val="00B06FDB"/>
    <w:rsid w:val="00B07054"/>
    <w:rsid w:val="00B07621"/>
    <w:rsid w:val="00B07925"/>
    <w:rsid w:val="00B10A5C"/>
    <w:rsid w:val="00B10F0C"/>
    <w:rsid w:val="00B10F84"/>
    <w:rsid w:val="00B117CD"/>
    <w:rsid w:val="00B11DB2"/>
    <w:rsid w:val="00B12174"/>
    <w:rsid w:val="00B1245F"/>
    <w:rsid w:val="00B1331D"/>
    <w:rsid w:val="00B13B02"/>
    <w:rsid w:val="00B13FAD"/>
    <w:rsid w:val="00B1417A"/>
    <w:rsid w:val="00B15D91"/>
    <w:rsid w:val="00B16521"/>
    <w:rsid w:val="00B16690"/>
    <w:rsid w:val="00B16903"/>
    <w:rsid w:val="00B17A3A"/>
    <w:rsid w:val="00B17E4E"/>
    <w:rsid w:val="00B21024"/>
    <w:rsid w:val="00B21D84"/>
    <w:rsid w:val="00B2255B"/>
    <w:rsid w:val="00B2315C"/>
    <w:rsid w:val="00B2395D"/>
    <w:rsid w:val="00B23E1C"/>
    <w:rsid w:val="00B246C4"/>
    <w:rsid w:val="00B25DD1"/>
    <w:rsid w:val="00B307CD"/>
    <w:rsid w:val="00B308A2"/>
    <w:rsid w:val="00B311AB"/>
    <w:rsid w:val="00B322DC"/>
    <w:rsid w:val="00B32475"/>
    <w:rsid w:val="00B32CC2"/>
    <w:rsid w:val="00B32D03"/>
    <w:rsid w:val="00B3383B"/>
    <w:rsid w:val="00B3437C"/>
    <w:rsid w:val="00B35280"/>
    <w:rsid w:val="00B35350"/>
    <w:rsid w:val="00B35761"/>
    <w:rsid w:val="00B359DD"/>
    <w:rsid w:val="00B35A83"/>
    <w:rsid w:val="00B3649D"/>
    <w:rsid w:val="00B36A69"/>
    <w:rsid w:val="00B36D38"/>
    <w:rsid w:val="00B36E45"/>
    <w:rsid w:val="00B36FF1"/>
    <w:rsid w:val="00B37317"/>
    <w:rsid w:val="00B3748A"/>
    <w:rsid w:val="00B376A6"/>
    <w:rsid w:val="00B37770"/>
    <w:rsid w:val="00B37EE9"/>
    <w:rsid w:val="00B40B98"/>
    <w:rsid w:val="00B4171C"/>
    <w:rsid w:val="00B44335"/>
    <w:rsid w:val="00B4449B"/>
    <w:rsid w:val="00B45C85"/>
    <w:rsid w:val="00B461B2"/>
    <w:rsid w:val="00B46714"/>
    <w:rsid w:val="00B473C1"/>
    <w:rsid w:val="00B47AFC"/>
    <w:rsid w:val="00B47D51"/>
    <w:rsid w:val="00B47E85"/>
    <w:rsid w:val="00B50078"/>
    <w:rsid w:val="00B50B71"/>
    <w:rsid w:val="00B51D31"/>
    <w:rsid w:val="00B5443D"/>
    <w:rsid w:val="00B54533"/>
    <w:rsid w:val="00B554BF"/>
    <w:rsid w:val="00B55A3B"/>
    <w:rsid w:val="00B55AFF"/>
    <w:rsid w:val="00B55C72"/>
    <w:rsid w:val="00B56834"/>
    <w:rsid w:val="00B568F4"/>
    <w:rsid w:val="00B56945"/>
    <w:rsid w:val="00B56AC6"/>
    <w:rsid w:val="00B572AB"/>
    <w:rsid w:val="00B57C26"/>
    <w:rsid w:val="00B57FFB"/>
    <w:rsid w:val="00B6047A"/>
    <w:rsid w:val="00B61111"/>
    <w:rsid w:val="00B62074"/>
    <w:rsid w:val="00B62B5E"/>
    <w:rsid w:val="00B65FA4"/>
    <w:rsid w:val="00B6621B"/>
    <w:rsid w:val="00B668FA"/>
    <w:rsid w:val="00B710A8"/>
    <w:rsid w:val="00B7178D"/>
    <w:rsid w:val="00B725B2"/>
    <w:rsid w:val="00B737C5"/>
    <w:rsid w:val="00B74E4B"/>
    <w:rsid w:val="00B75841"/>
    <w:rsid w:val="00B75B95"/>
    <w:rsid w:val="00B75FE4"/>
    <w:rsid w:val="00B7603C"/>
    <w:rsid w:val="00B76059"/>
    <w:rsid w:val="00B76415"/>
    <w:rsid w:val="00B77AAF"/>
    <w:rsid w:val="00B8146D"/>
    <w:rsid w:val="00B81723"/>
    <w:rsid w:val="00B830A3"/>
    <w:rsid w:val="00B830FC"/>
    <w:rsid w:val="00B84E82"/>
    <w:rsid w:val="00B856C1"/>
    <w:rsid w:val="00B87450"/>
    <w:rsid w:val="00B90333"/>
    <w:rsid w:val="00B90603"/>
    <w:rsid w:val="00B929B4"/>
    <w:rsid w:val="00B92A9C"/>
    <w:rsid w:val="00B9384D"/>
    <w:rsid w:val="00B93BB9"/>
    <w:rsid w:val="00B93D0C"/>
    <w:rsid w:val="00B947B1"/>
    <w:rsid w:val="00B95644"/>
    <w:rsid w:val="00B96E8F"/>
    <w:rsid w:val="00B975A2"/>
    <w:rsid w:val="00BA02AB"/>
    <w:rsid w:val="00BA1311"/>
    <w:rsid w:val="00BA18BF"/>
    <w:rsid w:val="00BA1A82"/>
    <w:rsid w:val="00BA2866"/>
    <w:rsid w:val="00BA34E7"/>
    <w:rsid w:val="00BA4B55"/>
    <w:rsid w:val="00BA5568"/>
    <w:rsid w:val="00BA5AAE"/>
    <w:rsid w:val="00BB11AA"/>
    <w:rsid w:val="00BB23D0"/>
    <w:rsid w:val="00BB2505"/>
    <w:rsid w:val="00BB278B"/>
    <w:rsid w:val="00BB2B6A"/>
    <w:rsid w:val="00BB2DB2"/>
    <w:rsid w:val="00BB30F7"/>
    <w:rsid w:val="00BB38B9"/>
    <w:rsid w:val="00BB3B09"/>
    <w:rsid w:val="00BB4FC8"/>
    <w:rsid w:val="00BB5B5A"/>
    <w:rsid w:val="00BB637F"/>
    <w:rsid w:val="00BB6C78"/>
    <w:rsid w:val="00BB7BA7"/>
    <w:rsid w:val="00BC1C15"/>
    <w:rsid w:val="00BC2311"/>
    <w:rsid w:val="00BC2D23"/>
    <w:rsid w:val="00BC3795"/>
    <w:rsid w:val="00BC3AE8"/>
    <w:rsid w:val="00BC4E38"/>
    <w:rsid w:val="00BC525D"/>
    <w:rsid w:val="00BC612D"/>
    <w:rsid w:val="00BD1308"/>
    <w:rsid w:val="00BD1309"/>
    <w:rsid w:val="00BD15B8"/>
    <w:rsid w:val="00BD18B0"/>
    <w:rsid w:val="00BD2AF3"/>
    <w:rsid w:val="00BD30CC"/>
    <w:rsid w:val="00BD3586"/>
    <w:rsid w:val="00BD450C"/>
    <w:rsid w:val="00BD68F3"/>
    <w:rsid w:val="00BE1A97"/>
    <w:rsid w:val="00BE2F93"/>
    <w:rsid w:val="00BE398A"/>
    <w:rsid w:val="00BE3DB1"/>
    <w:rsid w:val="00BE4741"/>
    <w:rsid w:val="00BE494E"/>
    <w:rsid w:val="00BE4992"/>
    <w:rsid w:val="00BE5207"/>
    <w:rsid w:val="00BE5ADA"/>
    <w:rsid w:val="00BE5B78"/>
    <w:rsid w:val="00BE6429"/>
    <w:rsid w:val="00BE6AFF"/>
    <w:rsid w:val="00BE7FA9"/>
    <w:rsid w:val="00BF0E81"/>
    <w:rsid w:val="00BF3745"/>
    <w:rsid w:val="00BF4189"/>
    <w:rsid w:val="00BF4343"/>
    <w:rsid w:val="00BF5363"/>
    <w:rsid w:val="00BF5602"/>
    <w:rsid w:val="00BF6B2D"/>
    <w:rsid w:val="00BF7BC3"/>
    <w:rsid w:val="00C0213F"/>
    <w:rsid w:val="00C03C6C"/>
    <w:rsid w:val="00C040D9"/>
    <w:rsid w:val="00C04C8A"/>
    <w:rsid w:val="00C05136"/>
    <w:rsid w:val="00C0561F"/>
    <w:rsid w:val="00C058BE"/>
    <w:rsid w:val="00C058BF"/>
    <w:rsid w:val="00C0730B"/>
    <w:rsid w:val="00C074BA"/>
    <w:rsid w:val="00C1029A"/>
    <w:rsid w:val="00C102C5"/>
    <w:rsid w:val="00C10740"/>
    <w:rsid w:val="00C109ED"/>
    <w:rsid w:val="00C10BE8"/>
    <w:rsid w:val="00C113BA"/>
    <w:rsid w:val="00C1266A"/>
    <w:rsid w:val="00C13BB0"/>
    <w:rsid w:val="00C14005"/>
    <w:rsid w:val="00C14795"/>
    <w:rsid w:val="00C15322"/>
    <w:rsid w:val="00C15AAE"/>
    <w:rsid w:val="00C16EC5"/>
    <w:rsid w:val="00C17119"/>
    <w:rsid w:val="00C17C5A"/>
    <w:rsid w:val="00C215E0"/>
    <w:rsid w:val="00C21B7A"/>
    <w:rsid w:val="00C23178"/>
    <w:rsid w:val="00C233A4"/>
    <w:rsid w:val="00C24132"/>
    <w:rsid w:val="00C24DE1"/>
    <w:rsid w:val="00C267B8"/>
    <w:rsid w:val="00C26EF2"/>
    <w:rsid w:val="00C30EA2"/>
    <w:rsid w:val="00C313E5"/>
    <w:rsid w:val="00C31FC9"/>
    <w:rsid w:val="00C3279C"/>
    <w:rsid w:val="00C364C1"/>
    <w:rsid w:val="00C36E8B"/>
    <w:rsid w:val="00C3760A"/>
    <w:rsid w:val="00C37DA1"/>
    <w:rsid w:val="00C4011D"/>
    <w:rsid w:val="00C4035C"/>
    <w:rsid w:val="00C4354E"/>
    <w:rsid w:val="00C43C39"/>
    <w:rsid w:val="00C440A9"/>
    <w:rsid w:val="00C44651"/>
    <w:rsid w:val="00C451BD"/>
    <w:rsid w:val="00C4768D"/>
    <w:rsid w:val="00C50F72"/>
    <w:rsid w:val="00C510A7"/>
    <w:rsid w:val="00C51A1E"/>
    <w:rsid w:val="00C51F8D"/>
    <w:rsid w:val="00C52616"/>
    <w:rsid w:val="00C52A73"/>
    <w:rsid w:val="00C5314E"/>
    <w:rsid w:val="00C53150"/>
    <w:rsid w:val="00C54D82"/>
    <w:rsid w:val="00C555D9"/>
    <w:rsid w:val="00C55B47"/>
    <w:rsid w:val="00C55C59"/>
    <w:rsid w:val="00C5606D"/>
    <w:rsid w:val="00C60033"/>
    <w:rsid w:val="00C605C7"/>
    <w:rsid w:val="00C611F1"/>
    <w:rsid w:val="00C61E49"/>
    <w:rsid w:val="00C631BB"/>
    <w:rsid w:val="00C641FE"/>
    <w:rsid w:val="00C64461"/>
    <w:rsid w:val="00C66AFE"/>
    <w:rsid w:val="00C66D9D"/>
    <w:rsid w:val="00C6727C"/>
    <w:rsid w:val="00C6775E"/>
    <w:rsid w:val="00C67F1E"/>
    <w:rsid w:val="00C712E2"/>
    <w:rsid w:val="00C7251A"/>
    <w:rsid w:val="00C72D14"/>
    <w:rsid w:val="00C72D17"/>
    <w:rsid w:val="00C731D2"/>
    <w:rsid w:val="00C73E20"/>
    <w:rsid w:val="00C73FF9"/>
    <w:rsid w:val="00C761B7"/>
    <w:rsid w:val="00C766EB"/>
    <w:rsid w:val="00C76FBC"/>
    <w:rsid w:val="00C80173"/>
    <w:rsid w:val="00C801F2"/>
    <w:rsid w:val="00C80763"/>
    <w:rsid w:val="00C80E30"/>
    <w:rsid w:val="00C815BB"/>
    <w:rsid w:val="00C81B06"/>
    <w:rsid w:val="00C82C08"/>
    <w:rsid w:val="00C83ACC"/>
    <w:rsid w:val="00C83C4C"/>
    <w:rsid w:val="00C840E3"/>
    <w:rsid w:val="00C84164"/>
    <w:rsid w:val="00C84F8A"/>
    <w:rsid w:val="00C8565D"/>
    <w:rsid w:val="00C85DF5"/>
    <w:rsid w:val="00C86207"/>
    <w:rsid w:val="00C87162"/>
    <w:rsid w:val="00C87939"/>
    <w:rsid w:val="00C87DD9"/>
    <w:rsid w:val="00C9009F"/>
    <w:rsid w:val="00C90637"/>
    <w:rsid w:val="00C90B2F"/>
    <w:rsid w:val="00C91437"/>
    <w:rsid w:val="00C91E88"/>
    <w:rsid w:val="00C92FD6"/>
    <w:rsid w:val="00C935CA"/>
    <w:rsid w:val="00C93960"/>
    <w:rsid w:val="00C93B0B"/>
    <w:rsid w:val="00C9492A"/>
    <w:rsid w:val="00C9506C"/>
    <w:rsid w:val="00C95BC5"/>
    <w:rsid w:val="00C96CB5"/>
    <w:rsid w:val="00C978E1"/>
    <w:rsid w:val="00CA0785"/>
    <w:rsid w:val="00CA0DFC"/>
    <w:rsid w:val="00CA0E6B"/>
    <w:rsid w:val="00CA1A83"/>
    <w:rsid w:val="00CA2126"/>
    <w:rsid w:val="00CA24F8"/>
    <w:rsid w:val="00CA32FF"/>
    <w:rsid w:val="00CA3C57"/>
    <w:rsid w:val="00CA4936"/>
    <w:rsid w:val="00CA4EF8"/>
    <w:rsid w:val="00CA564B"/>
    <w:rsid w:val="00CA569F"/>
    <w:rsid w:val="00CA6103"/>
    <w:rsid w:val="00CA6213"/>
    <w:rsid w:val="00CA6D8B"/>
    <w:rsid w:val="00CA6E9E"/>
    <w:rsid w:val="00CA6F57"/>
    <w:rsid w:val="00CA7325"/>
    <w:rsid w:val="00CA7D35"/>
    <w:rsid w:val="00CB0D9F"/>
    <w:rsid w:val="00CB0EF4"/>
    <w:rsid w:val="00CB14E1"/>
    <w:rsid w:val="00CB4597"/>
    <w:rsid w:val="00CB4F0B"/>
    <w:rsid w:val="00CB4FD2"/>
    <w:rsid w:val="00CB5FEE"/>
    <w:rsid w:val="00CB606F"/>
    <w:rsid w:val="00CB739B"/>
    <w:rsid w:val="00CC1825"/>
    <w:rsid w:val="00CC1D04"/>
    <w:rsid w:val="00CC2BC8"/>
    <w:rsid w:val="00CC2E72"/>
    <w:rsid w:val="00CC3223"/>
    <w:rsid w:val="00CC3B99"/>
    <w:rsid w:val="00CC3BF3"/>
    <w:rsid w:val="00CC56A2"/>
    <w:rsid w:val="00CC5B64"/>
    <w:rsid w:val="00CC5C9D"/>
    <w:rsid w:val="00CC641D"/>
    <w:rsid w:val="00CC74DC"/>
    <w:rsid w:val="00CC7C75"/>
    <w:rsid w:val="00CD2A66"/>
    <w:rsid w:val="00CD2E4F"/>
    <w:rsid w:val="00CD3C9E"/>
    <w:rsid w:val="00CD4504"/>
    <w:rsid w:val="00CD5522"/>
    <w:rsid w:val="00CD650F"/>
    <w:rsid w:val="00CD6690"/>
    <w:rsid w:val="00CD72DE"/>
    <w:rsid w:val="00CE049C"/>
    <w:rsid w:val="00CE2041"/>
    <w:rsid w:val="00CE27D0"/>
    <w:rsid w:val="00CE3F51"/>
    <w:rsid w:val="00CE544C"/>
    <w:rsid w:val="00CE5571"/>
    <w:rsid w:val="00CE5648"/>
    <w:rsid w:val="00CE5D0F"/>
    <w:rsid w:val="00CE618B"/>
    <w:rsid w:val="00CE649E"/>
    <w:rsid w:val="00CE6578"/>
    <w:rsid w:val="00CE7236"/>
    <w:rsid w:val="00CE74F9"/>
    <w:rsid w:val="00CE7CBA"/>
    <w:rsid w:val="00CF0E1A"/>
    <w:rsid w:val="00CF10E6"/>
    <w:rsid w:val="00CF1E13"/>
    <w:rsid w:val="00CF250E"/>
    <w:rsid w:val="00CF2B60"/>
    <w:rsid w:val="00CF2DC4"/>
    <w:rsid w:val="00CF4954"/>
    <w:rsid w:val="00CF4E92"/>
    <w:rsid w:val="00D000C1"/>
    <w:rsid w:val="00D002C8"/>
    <w:rsid w:val="00D019A1"/>
    <w:rsid w:val="00D025E0"/>
    <w:rsid w:val="00D02B2D"/>
    <w:rsid w:val="00D04D68"/>
    <w:rsid w:val="00D07FEA"/>
    <w:rsid w:val="00D10674"/>
    <w:rsid w:val="00D10A9B"/>
    <w:rsid w:val="00D13ACE"/>
    <w:rsid w:val="00D15527"/>
    <w:rsid w:val="00D1594C"/>
    <w:rsid w:val="00D15B91"/>
    <w:rsid w:val="00D178BC"/>
    <w:rsid w:val="00D20033"/>
    <w:rsid w:val="00D206DC"/>
    <w:rsid w:val="00D20B01"/>
    <w:rsid w:val="00D23505"/>
    <w:rsid w:val="00D243A1"/>
    <w:rsid w:val="00D24C58"/>
    <w:rsid w:val="00D266C9"/>
    <w:rsid w:val="00D26B7D"/>
    <w:rsid w:val="00D26D8B"/>
    <w:rsid w:val="00D26E40"/>
    <w:rsid w:val="00D27150"/>
    <w:rsid w:val="00D27B2E"/>
    <w:rsid w:val="00D302BD"/>
    <w:rsid w:val="00D311B8"/>
    <w:rsid w:val="00D3135C"/>
    <w:rsid w:val="00D31A9A"/>
    <w:rsid w:val="00D32683"/>
    <w:rsid w:val="00D32769"/>
    <w:rsid w:val="00D3294D"/>
    <w:rsid w:val="00D342BC"/>
    <w:rsid w:val="00D34447"/>
    <w:rsid w:val="00D3636B"/>
    <w:rsid w:val="00D36575"/>
    <w:rsid w:val="00D368F2"/>
    <w:rsid w:val="00D3705A"/>
    <w:rsid w:val="00D3754D"/>
    <w:rsid w:val="00D37597"/>
    <w:rsid w:val="00D40389"/>
    <w:rsid w:val="00D40AE3"/>
    <w:rsid w:val="00D42495"/>
    <w:rsid w:val="00D42A39"/>
    <w:rsid w:val="00D43430"/>
    <w:rsid w:val="00D4355E"/>
    <w:rsid w:val="00D43C46"/>
    <w:rsid w:val="00D442FF"/>
    <w:rsid w:val="00D4463C"/>
    <w:rsid w:val="00D4464D"/>
    <w:rsid w:val="00D45252"/>
    <w:rsid w:val="00D4700C"/>
    <w:rsid w:val="00D47A4F"/>
    <w:rsid w:val="00D47C15"/>
    <w:rsid w:val="00D5129D"/>
    <w:rsid w:val="00D51853"/>
    <w:rsid w:val="00D51928"/>
    <w:rsid w:val="00D537D6"/>
    <w:rsid w:val="00D53DF3"/>
    <w:rsid w:val="00D54537"/>
    <w:rsid w:val="00D5520B"/>
    <w:rsid w:val="00D55C13"/>
    <w:rsid w:val="00D56314"/>
    <w:rsid w:val="00D56CD8"/>
    <w:rsid w:val="00D60FF6"/>
    <w:rsid w:val="00D620E3"/>
    <w:rsid w:val="00D62475"/>
    <w:rsid w:val="00D63349"/>
    <w:rsid w:val="00D63796"/>
    <w:rsid w:val="00D63A05"/>
    <w:rsid w:val="00D64D3E"/>
    <w:rsid w:val="00D6550F"/>
    <w:rsid w:val="00D66914"/>
    <w:rsid w:val="00D66992"/>
    <w:rsid w:val="00D67C19"/>
    <w:rsid w:val="00D70F82"/>
    <w:rsid w:val="00D72A14"/>
    <w:rsid w:val="00D72A7C"/>
    <w:rsid w:val="00D72F35"/>
    <w:rsid w:val="00D7603A"/>
    <w:rsid w:val="00D761D9"/>
    <w:rsid w:val="00D804BA"/>
    <w:rsid w:val="00D804E8"/>
    <w:rsid w:val="00D80638"/>
    <w:rsid w:val="00D8115D"/>
    <w:rsid w:val="00D8132C"/>
    <w:rsid w:val="00D8164C"/>
    <w:rsid w:val="00D81CD3"/>
    <w:rsid w:val="00D82744"/>
    <w:rsid w:val="00D836E0"/>
    <w:rsid w:val="00D8392C"/>
    <w:rsid w:val="00D8401C"/>
    <w:rsid w:val="00D85685"/>
    <w:rsid w:val="00D87086"/>
    <w:rsid w:val="00D87AC1"/>
    <w:rsid w:val="00D90AC0"/>
    <w:rsid w:val="00D91044"/>
    <w:rsid w:val="00D93535"/>
    <w:rsid w:val="00D9687C"/>
    <w:rsid w:val="00D9695D"/>
    <w:rsid w:val="00D970F1"/>
    <w:rsid w:val="00DA0475"/>
    <w:rsid w:val="00DA16F6"/>
    <w:rsid w:val="00DA2A18"/>
    <w:rsid w:val="00DA2AF0"/>
    <w:rsid w:val="00DA2BD3"/>
    <w:rsid w:val="00DA2D37"/>
    <w:rsid w:val="00DA381F"/>
    <w:rsid w:val="00DA4566"/>
    <w:rsid w:val="00DA49A7"/>
    <w:rsid w:val="00DA5399"/>
    <w:rsid w:val="00DA5960"/>
    <w:rsid w:val="00DA681F"/>
    <w:rsid w:val="00DA76EB"/>
    <w:rsid w:val="00DA7AC7"/>
    <w:rsid w:val="00DB19BE"/>
    <w:rsid w:val="00DB1FC6"/>
    <w:rsid w:val="00DB518D"/>
    <w:rsid w:val="00DB52AE"/>
    <w:rsid w:val="00DB52FF"/>
    <w:rsid w:val="00DB53F1"/>
    <w:rsid w:val="00DB71A3"/>
    <w:rsid w:val="00DB78B7"/>
    <w:rsid w:val="00DC0258"/>
    <w:rsid w:val="00DC03DE"/>
    <w:rsid w:val="00DC0708"/>
    <w:rsid w:val="00DC0D5E"/>
    <w:rsid w:val="00DC0F01"/>
    <w:rsid w:val="00DC1A5D"/>
    <w:rsid w:val="00DC39B2"/>
    <w:rsid w:val="00DC54CF"/>
    <w:rsid w:val="00DC70C5"/>
    <w:rsid w:val="00DC776C"/>
    <w:rsid w:val="00DC7CC8"/>
    <w:rsid w:val="00DC7D03"/>
    <w:rsid w:val="00DD0648"/>
    <w:rsid w:val="00DD0DB5"/>
    <w:rsid w:val="00DD1186"/>
    <w:rsid w:val="00DD22ED"/>
    <w:rsid w:val="00DD263C"/>
    <w:rsid w:val="00DD3C6C"/>
    <w:rsid w:val="00DD3CDE"/>
    <w:rsid w:val="00DD5D68"/>
    <w:rsid w:val="00DD5ED6"/>
    <w:rsid w:val="00DD6243"/>
    <w:rsid w:val="00DD72A3"/>
    <w:rsid w:val="00DD72D3"/>
    <w:rsid w:val="00DD751C"/>
    <w:rsid w:val="00DE01D4"/>
    <w:rsid w:val="00DE03A3"/>
    <w:rsid w:val="00DE0E82"/>
    <w:rsid w:val="00DE1436"/>
    <w:rsid w:val="00DE150C"/>
    <w:rsid w:val="00DE1962"/>
    <w:rsid w:val="00DE1A62"/>
    <w:rsid w:val="00DE29FA"/>
    <w:rsid w:val="00DE3090"/>
    <w:rsid w:val="00DE312C"/>
    <w:rsid w:val="00DE4B06"/>
    <w:rsid w:val="00DE5973"/>
    <w:rsid w:val="00DE5FDA"/>
    <w:rsid w:val="00DE6557"/>
    <w:rsid w:val="00DE69C8"/>
    <w:rsid w:val="00DE6E1A"/>
    <w:rsid w:val="00DE6EB2"/>
    <w:rsid w:val="00DE79B7"/>
    <w:rsid w:val="00DE7CC0"/>
    <w:rsid w:val="00DF10ED"/>
    <w:rsid w:val="00DF1C42"/>
    <w:rsid w:val="00DF25A9"/>
    <w:rsid w:val="00DF2D3F"/>
    <w:rsid w:val="00DF2E06"/>
    <w:rsid w:val="00DF2E4E"/>
    <w:rsid w:val="00DF4537"/>
    <w:rsid w:val="00DF4B70"/>
    <w:rsid w:val="00DF4E9E"/>
    <w:rsid w:val="00DF53E8"/>
    <w:rsid w:val="00DF673E"/>
    <w:rsid w:val="00DF705D"/>
    <w:rsid w:val="00DF7177"/>
    <w:rsid w:val="00DF7CCB"/>
    <w:rsid w:val="00E0084B"/>
    <w:rsid w:val="00E01B2C"/>
    <w:rsid w:val="00E033A7"/>
    <w:rsid w:val="00E03ABB"/>
    <w:rsid w:val="00E0401C"/>
    <w:rsid w:val="00E04359"/>
    <w:rsid w:val="00E0626B"/>
    <w:rsid w:val="00E070BA"/>
    <w:rsid w:val="00E10588"/>
    <w:rsid w:val="00E12040"/>
    <w:rsid w:val="00E1493B"/>
    <w:rsid w:val="00E1528B"/>
    <w:rsid w:val="00E15AB6"/>
    <w:rsid w:val="00E15F8E"/>
    <w:rsid w:val="00E1629D"/>
    <w:rsid w:val="00E1651B"/>
    <w:rsid w:val="00E16873"/>
    <w:rsid w:val="00E16F34"/>
    <w:rsid w:val="00E17842"/>
    <w:rsid w:val="00E17B97"/>
    <w:rsid w:val="00E17DB8"/>
    <w:rsid w:val="00E202FA"/>
    <w:rsid w:val="00E21163"/>
    <w:rsid w:val="00E2146C"/>
    <w:rsid w:val="00E2165B"/>
    <w:rsid w:val="00E21A37"/>
    <w:rsid w:val="00E225C2"/>
    <w:rsid w:val="00E2363E"/>
    <w:rsid w:val="00E243B6"/>
    <w:rsid w:val="00E24E95"/>
    <w:rsid w:val="00E2534D"/>
    <w:rsid w:val="00E26B9D"/>
    <w:rsid w:val="00E2719E"/>
    <w:rsid w:val="00E30689"/>
    <w:rsid w:val="00E30C26"/>
    <w:rsid w:val="00E312A6"/>
    <w:rsid w:val="00E3299A"/>
    <w:rsid w:val="00E343EC"/>
    <w:rsid w:val="00E34547"/>
    <w:rsid w:val="00E34A44"/>
    <w:rsid w:val="00E35F21"/>
    <w:rsid w:val="00E35FD3"/>
    <w:rsid w:val="00E36438"/>
    <w:rsid w:val="00E370AD"/>
    <w:rsid w:val="00E41E31"/>
    <w:rsid w:val="00E4262F"/>
    <w:rsid w:val="00E42B30"/>
    <w:rsid w:val="00E432EB"/>
    <w:rsid w:val="00E4361D"/>
    <w:rsid w:val="00E44995"/>
    <w:rsid w:val="00E45CAE"/>
    <w:rsid w:val="00E45D24"/>
    <w:rsid w:val="00E46A24"/>
    <w:rsid w:val="00E47A1E"/>
    <w:rsid w:val="00E47D5E"/>
    <w:rsid w:val="00E51276"/>
    <w:rsid w:val="00E51D62"/>
    <w:rsid w:val="00E53669"/>
    <w:rsid w:val="00E53C72"/>
    <w:rsid w:val="00E56408"/>
    <w:rsid w:val="00E56ABD"/>
    <w:rsid w:val="00E56C88"/>
    <w:rsid w:val="00E56FB2"/>
    <w:rsid w:val="00E57236"/>
    <w:rsid w:val="00E576E7"/>
    <w:rsid w:val="00E6032B"/>
    <w:rsid w:val="00E61182"/>
    <w:rsid w:val="00E62F5A"/>
    <w:rsid w:val="00E63669"/>
    <w:rsid w:val="00E66729"/>
    <w:rsid w:val="00E66985"/>
    <w:rsid w:val="00E66AF2"/>
    <w:rsid w:val="00E66D46"/>
    <w:rsid w:val="00E66EC8"/>
    <w:rsid w:val="00E66FF9"/>
    <w:rsid w:val="00E7001B"/>
    <w:rsid w:val="00E70E5C"/>
    <w:rsid w:val="00E716E3"/>
    <w:rsid w:val="00E72447"/>
    <w:rsid w:val="00E72792"/>
    <w:rsid w:val="00E72CB5"/>
    <w:rsid w:val="00E734FD"/>
    <w:rsid w:val="00E745D7"/>
    <w:rsid w:val="00E746A5"/>
    <w:rsid w:val="00E74BE4"/>
    <w:rsid w:val="00E74FAE"/>
    <w:rsid w:val="00E75267"/>
    <w:rsid w:val="00E756E7"/>
    <w:rsid w:val="00E75B13"/>
    <w:rsid w:val="00E75DE7"/>
    <w:rsid w:val="00E77380"/>
    <w:rsid w:val="00E81377"/>
    <w:rsid w:val="00E81463"/>
    <w:rsid w:val="00E822AE"/>
    <w:rsid w:val="00E8432C"/>
    <w:rsid w:val="00E844BB"/>
    <w:rsid w:val="00E84A1B"/>
    <w:rsid w:val="00E850C6"/>
    <w:rsid w:val="00E85408"/>
    <w:rsid w:val="00E86209"/>
    <w:rsid w:val="00E86995"/>
    <w:rsid w:val="00E86C21"/>
    <w:rsid w:val="00E879D2"/>
    <w:rsid w:val="00E905EF"/>
    <w:rsid w:val="00E906C7"/>
    <w:rsid w:val="00E910FA"/>
    <w:rsid w:val="00E91825"/>
    <w:rsid w:val="00E92701"/>
    <w:rsid w:val="00E92A2A"/>
    <w:rsid w:val="00E93820"/>
    <w:rsid w:val="00E9382E"/>
    <w:rsid w:val="00E949A5"/>
    <w:rsid w:val="00E9527D"/>
    <w:rsid w:val="00E95E13"/>
    <w:rsid w:val="00E97DC8"/>
    <w:rsid w:val="00E97F6D"/>
    <w:rsid w:val="00EA16A7"/>
    <w:rsid w:val="00EA1DBB"/>
    <w:rsid w:val="00EA3DB1"/>
    <w:rsid w:val="00EA66D2"/>
    <w:rsid w:val="00EA690A"/>
    <w:rsid w:val="00EA6CB3"/>
    <w:rsid w:val="00EB00C2"/>
    <w:rsid w:val="00EB122F"/>
    <w:rsid w:val="00EB23C0"/>
    <w:rsid w:val="00EB26EE"/>
    <w:rsid w:val="00EB2A69"/>
    <w:rsid w:val="00EB53DE"/>
    <w:rsid w:val="00EB6805"/>
    <w:rsid w:val="00EB748E"/>
    <w:rsid w:val="00EC12F5"/>
    <w:rsid w:val="00EC1D02"/>
    <w:rsid w:val="00EC1EE5"/>
    <w:rsid w:val="00EC2F2F"/>
    <w:rsid w:val="00EC36CD"/>
    <w:rsid w:val="00EC3B5C"/>
    <w:rsid w:val="00EC4A1A"/>
    <w:rsid w:val="00EC5369"/>
    <w:rsid w:val="00EC552F"/>
    <w:rsid w:val="00EC63E0"/>
    <w:rsid w:val="00EC7650"/>
    <w:rsid w:val="00EC7C12"/>
    <w:rsid w:val="00ED1361"/>
    <w:rsid w:val="00ED1A22"/>
    <w:rsid w:val="00ED20B9"/>
    <w:rsid w:val="00ED3992"/>
    <w:rsid w:val="00ED3F20"/>
    <w:rsid w:val="00ED4A97"/>
    <w:rsid w:val="00ED54BE"/>
    <w:rsid w:val="00ED7C5E"/>
    <w:rsid w:val="00ED7E61"/>
    <w:rsid w:val="00EE0CA4"/>
    <w:rsid w:val="00EE1859"/>
    <w:rsid w:val="00EE1A31"/>
    <w:rsid w:val="00EE1FC6"/>
    <w:rsid w:val="00EE358A"/>
    <w:rsid w:val="00EE3805"/>
    <w:rsid w:val="00EE3D0D"/>
    <w:rsid w:val="00EE50ED"/>
    <w:rsid w:val="00EE6172"/>
    <w:rsid w:val="00EE6B03"/>
    <w:rsid w:val="00EE6B3A"/>
    <w:rsid w:val="00EE6CB8"/>
    <w:rsid w:val="00EE75F4"/>
    <w:rsid w:val="00EE7D4D"/>
    <w:rsid w:val="00EF06AB"/>
    <w:rsid w:val="00EF0860"/>
    <w:rsid w:val="00EF28B4"/>
    <w:rsid w:val="00EF3B8A"/>
    <w:rsid w:val="00EF3C0A"/>
    <w:rsid w:val="00EF3E4F"/>
    <w:rsid w:val="00EF4777"/>
    <w:rsid w:val="00EF5F32"/>
    <w:rsid w:val="00EF6154"/>
    <w:rsid w:val="00EF65D0"/>
    <w:rsid w:val="00F00F44"/>
    <w:rsid w:val="00F01612"/>
    <w:rsid w:val="00F01E48"/>
    <w:rsid w:val="00F0383A"/>
    <w:rsid w:val="00F03FB4"/>
    <w:rsid w:val="00F04029"/>
    <w:rsid w:val="00F041AE"/>
    <w:rsid w:val="00F04CA6"/>
    <w:rsid w:val="00F0663A"/>
    <w:rsid w:val="00F068BD"/>
    <w:rsid w:val="00F070E1"/>
    <w:rsid w:val="00F076D0"/>
    <w:rsid w:val="00F07DA6"/>
    <w:rsid w:val="00F07DCD"/>
    <w:rsid w:val="00F10125"/>
    <w:rsid w:val="00F11C78"/>
    <w:rsid w:val="00F12195"/>
    <w:rsid w:val="00F136CD"/>
    <w:rsid w:val="00F138DD"/>
    <w:rsid w:val="00F14134"/>
    <w:rsid w:val="00F142D3"/>
    <w:rsid w:val="00F144C3"/>
    <w:rsid w:val="00F15825"/>
    <w:rsid w:val="00F164E9"/>
    <w:rsid w:val="00F17A66"/>
    <w:rsid w:val="00F20ED3"/>
    <w:rsid w:val="00F21189"/>
    <w:rsid w:val="00F213D8"/>
    <w:rsid w:val="00F2148A"/>
    <w:rsid w:val="00F23ABD"/>
    <w:rsid w:val="00F24DB3"/>
    <w:rsid w:val="00F25E16"/>
    <w:rsid w:val="00F260EE"/>
    <w:rsid w:val="00F310EC"/>
    <w:rsid w:val="00F31704"/>
    <w:rsid w:val="00F31D4E"/>
    <w:rsid w:val="00F3370E"/>
    <w:rsid w:val="00F33777"/>
    <w:rsid w:val="00F33958"/>
    <w:rsid w:val="00F33996"/>
    <w:rsid w:val="00F3532F"/>
    <w:rsid w:val="00F363D4"/>
    <w:rsid w:val="00F37F48"/>
    <w:rsid w:val="00F40A27"/>
    <w:rsid w:val="00F42D6A"/>
    <w:rsid w:val="00F43407"/>
    <w:rsid w:val="00F43F09"/>
    <w:rsid w:val="00F44DC5"/>
    <w:rsid w:val="00F44FDE"/>
    <w:rsid w:val="00F459FC"/>
    <w:rsid w:val="00F463DB"/>
    <w:rsid w:val="00F46A96"/>
    <w:rsid w:val="00F46C9D"/>
    <w:rsid w:val="00F508F2"/>
    <w:rsid w:val="00F53E05"/>
    <w:rsid w:val="00F54208"/>
    <w:rsid w:val="00F55032"/>
    <w:rsid w:val="00F5715E"/>
    <w:rsid w:val="00F57520"/>
    <w:rsid w:val="00F6014B"/>
    <w:rsid w:val="00F6054A"/>
    <w:rsid w:val="00F6057E"/>
    <w:rsid w:val="00F60A6F"/>
    <w:rsid w:val="00F62731"/>
    <w:rsid w:val="00F633A4"/>
    <w:rsid w:val="00F6395C"/>
    <w:rsid w:val="00F63FBE"/>
    <w:rsid w:val="00F6401E"/>
    <w:rsid w:val="00F64D15"/>
    <w:rsid w:val="00F659EA"/>
    <w:rsid w:val="00F65B92"/>
    <w:rsid w:val="00F70EF9"/>
    <w:rsid w:val="00F72564"/>
    <w:rsid w:val="00F7259C"/>
    <w:rsid w:val="00F72DAF"/>
    <w:rsid w:val="00F73008"/>
    <w:rsid w:val="00F73D08"/>
    <w:rsid w:val="00F73ED8"/>
    <w:rsid w:val="00F75B03"/>
    <w:rsid w:val="00F7670D"/>
    <w:rsid w:val="00F8045F"/>
    <w:rsid w:val="00F81A13"/>
    <w:rsid w:val="00F82A08"/>
    <w:rsid w:val="00F82E01"/>
    <w:rsid w:val="00F82F72"/>
    <w:rsid w:val="00F830A2"/>
    <w:rsid w:val="00F831B7"/>
    <w:rsid w:val="00F83AF8"/>
    <w:rsid w:val="00F83E35"/>
    <w:rsid w:val="00F8413C"/>
    <w:rsid w:val="00F844B2"/>
    <w:rsid w:val="00F84B53"/>
    <w:rsid w:val="00F84F68"/>
    <w:rsid w:val="00F8532D"/>
    <w:rsid w:val="00F861C7"/>
    <w:rsid w:val="00F86504"/>
    <w:rsid w:val="00F869E0"/>
    <w:rsid w:val="00F86FEF"/>
    <w:rsid w:val="00F87937"/>
    <w:rsid w:val="00F87DE5"/>
    <w:rsid w:val="00F900B6"/>
    <w:rsid w:val="00F90F5F"/>
    <w:rsid w:val="00F922E3"/>
    <w:rsid w:val="00F9255D"/>
    <w:rsid w:val="00F9355A"/>
    <w:rsid w:val="00F94074"/>
    <w:rsid w:val="00F9458B"/>
    <w:rsid w:val="00F95B31"/>
    <w:rsid w:val="00F960CF"/>
    <w:rsid w:val="00FA05B3"/>
    <w:rsid w:val="00FA0831"/>
    <w:rsid w:val="00FA1487"/>
    <w:rsid w:val="00FA2CF2"/>
    <w:rsid w:val="00FA3866"/>
    <w:rsid w:val="00FA3DC5"/>
    <w:rsid w:val="00FA4170"/>
    <w:rsid w:val="00FA4A26"/>
    <w:rsid w:val="00FA5831"/>
    <w:rsid w:val="00FA5F94"/>
    <w:rsid w:val="00FB00E6"/>
    <w:rsid w:val="00FB1598"/>
    <w:rsid w:val="00FB163C"/>
    <w:rsid w:val="00FB1FA7"/>
    <w:rsid w:val="00FB2FEE"/>
    <w:rsid w:val="00FB33CD"/>
    <w:rsid w:val="00FB36FB"/>
    <w:rsid w:val="00FB3BAE"/>
    <w:rsid w:val="00FB441D"/>
    <w:rsid w:val="00FB4A44"/>
    <w:rsid w:val="00FB4BFF"/>
    <w:rsid w:val="00FB5173"/>
    <w:rsid w:val="00FB59C0"/>
    <w:rsid w:val="00FB6D3B"/>
    <w:rsid w:val="00FB6DE2"/>
    <w:rsid w:val="00FB7113"/>
    <w:rsid w:val="00FC00D8"/>
    <w:rsid w:val="00FC1E67"/>
    <w:rsid w:val="00FC2965"/>
    <w:rsid w:val="00FC5744"/>
    <w:rsid w:val="00FC5C48"/>
    <w:rsid w:val="00FC6EEC"/>
    <w:rsid w:val="00FC7747"/>
    <w:rsid w:val="00FC7A39"/>
    <w:rsid w:val="00FC7CD7"/>
    <w:rsid w:val="00FD2E2D"/>
    <w:rsid w:val="00FD4920"/>
    <w:rsid w:val="00FD4B9B"/>
    <w:rsid w:val="00FD4CEA"/>
    <w:rsid w:val="00FD4FF2"/>
    <w:rsid w:val="00FD5582"/>
    <w:rsid w:val="00FD57CE"/>
    <w:rsid w:val="00FD5847"/>
    <w:rsid w:val="00FD5BB5"/>
    <w:rsid w:val="00FD5DB7"/>
    <w:rsid w:val="00FD7261"/>
    <w:rsid w:val="00FD7328"/>
    <w:rsid w:val="00FD7AD6"/>
    <w:rsid w:val="00FE0A01"/>
    <w:rsid w:val="00FE199B"/>
    <w:rsid w:val="00FE276C"/>
    <w:rsid w:val="00FE2DF9"/>
    <w:rsid w:val="00FE2F09"/>
    <w:rsid w:val="00FE3C54"/>
    <w:rsid w:val="00FE401E"/>
    <w:rsid w:val="00FE407E"/>
    <w:rsid w:val="00FE6051"/>
    <w:rsid w:val="00FE6755"/>
    <w:rsid w:val="00FF048C"/>
    <w:rsid w:val="00FF05A4"/>
    <w:rsid w:val="00FF0D09"/>
    <w:rsid w:val="00FF23C4"/>
    <w:rsid w:val="00FF2A62"/>
    <w:rsid w:val="00FF2E55"/>
    <w:rsid w:val="00FF386B"/>
    <w:rsid w:val="00FF4B28"/>
    <w:rsid w:val="00FF4F54"/>
    <w:rsid w:val="00FF4FA9"/>
    <w:rsid w:val="00FF6192"/>
    <w:rsid w:val="00FF6CC0"/>
    <w:rsid w:val="00FF7DF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BF89D"/>
  <w15:chartTrackingRefBased/>
  <w15:docId w15:val="{404E21CC-8254-4585-AAA5-7212B24FF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Body CS)"/>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847"/>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54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2573"/>
    <w:pPr>
      <w:keepNext/>
      <w:keepLines/>
      <w:spacing w:before="160" w:after="80"/>
      <w:outlineLvl w:val="1"/>
    </w:pPr>
    <w:rPr>
      <w:rFonts w:asciiTheme="majorBidi" w:eastAsiaTheme="majorEastAsia" w:hAnsiTheme="majorBidi" w:cstheme="majorBidi"/>
      <w:color w:val="000000" w:themeColor="text1"/>
      <w:sz w:val="32"/>
      <w:szCs w:val="32"/>
    </w:rPr>
  </w:style>
  <w:style w:type="paragraph" w:styleId="Heading3">
    <w:name w:val="heading 3"/>
    <w:basedOn w:val="Normal"/>
    <w:next w:val="Normal"/>
    <w:link w:val="Heading3Char"/>
    <w:uiPriority w:val="9"/>
    <w:unhideWhenUsed/>
    <w:qFormat/>
    <w:rsid w:val="00215AED"/>
    <w:pPr>
      <w:keepNext/>
      <w:keepLines/>
      <w:spacing w:before="160" w:after="80"/>
      <w:outlineLvl w:val="2"/>
    </w:pPr>
    <w:rPr>
      <w:rFonts w:asciiTheme="majorBidi" w:eastAsiaTheme="majorEastAsia" w:hAnsiTheme="majorBidi" w:cstheme="majorBidi"/>
      <w:b/>
      <w:sz w:val="28"/>
      <w:szCs w:val="28"/>
    </w:rPr>
  </w:style>
  <w:style w:type="paragraph" w:styleId="Heading4">
    <w:name w:val="heading 4"/>
    <w:basedOn w:val="Normal"/>
    <w:next w:val="Normal"/>
    <w:link w:val="Heading4Char"/>
    <w:uiPriority w:val="9"/>
    <w:semiHidden/>
    <w:unhideWhenUsed/>
    <w:qFormat/>
    <w:rsid w:val="00454E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4E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4E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4E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4E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4E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2573"/>
    <w:rPr>
      <w:rFonts w:asciiTheme="majorBidi" w:eastAsiaTheme="majorEastAsia" w:hAnsiTheme="majorBidi" w:cstheme="majorBidi"/>
      <w:color w:val="000000" w:themeColor="text1"/>
      <w:kern w:val="0"/>
      <w:sz w:val="32"/>
      <w:szCs w:val="32"/>
      <w14:ligatures w14:val="none"/>
    </w:rPr>
  </w:style>
  <w:style w:type="character" w:customStyle="1" w:styleId="Heading3Char">
    <w:name w:val="Heading 3 Char"/>
    <w:basedOn w:val="DefaultParagraphFont"/>
    <w:link w:val="Heading3"/>
    <w:uiPriority w:val="9"/>
    <w:rsid w:val="00215AED"/>
    <w:rPr>
      <w:rFonts w:asciiTheme="majorBidi" w:eastAsiaTheme="majorEastAsia" w:hAnsiTheme="majorBidi" w:cstheme="majorBidi"/>
      <w:b/>
      <w:kern w:val="0"/>
      <w:sz w:val="28"/>
      <w:szCs w:val="28"/>
      <w14:ligatures w14:val="none"/>
    </w:rPr>
  </w:style>
  <w:style w:type="character" w:customStyle="1" w:styleId="Heading4Char">
    <w:name w:val="Heading 4 Char"/>
    <w:basedOn w:val="DefaultParagraphFont"/>
    <w:link w:val="Heading4"/>
    <w:uiPriority w:val="9"/>
    <w:semiHidden/>
    <w:rsid w:val="00454E8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54E8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54E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4E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4E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4E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54E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E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E8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4E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E8D"/>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54E8D"/>
    <w:pPr>
      <w:ind w:left="720"/>
      <w:contextualSpacing/>
    </w:pPr>
  </w:style>
  <w:style w:type="character" w:styleId="IntenseEmphasis">
    <w:name w:val="Intense Emphasis"/>
    <w:basedOn w:val="DefaultParagraphFont"/>
    <w:uiPriority w:val="21"/>
    <w:qFormat/>
    <w:rsid w:val="00454E8D"/>
    <w:rPr>
      <w:i/>
      <w:iCs/>
      <w:color w:val="0F4761" w:themeColor="accent1" w:themeShade="BF"/>
    </w:rPr>
  </w:style>
  <w:style w:type="paragraph" w:styleId="IntenseQuote">
    <w:name w:val="Intense Quote"/>
    <w:basedOn w:val="Normal"/>
    <w:next w:val="Normal"/>
    <w:link w:val="IntenseQuoteChar"/>
    <w:uiPriority w:val="30"/>
    <w:qFormat/>
    <w:rsid w:val="00454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E8D"/>
    <w:rPr>
      <w:i/>
      <w:iCs/>
      <w:color w:val="0F4761" w:themeColor="accent1" w:themeShade="BF"/>
    </w:rPr>
  </w:style>
  <w:style w:type="character" w:styleId="IntenseReference">
    <w:name w:val="Intense Reference"/>
    <w:basedOn w:val="DefaultParagraphFont"/>
    <w:uiPriority w:val="32"/>
    <w:qFormat/>
    <w:rsid w:val="00454E8D"/>
    <w:rPr>
      <w:b/>
      <w:bCs/>
      <w:smallCaps/>
      <w:color w:val="0F4761" w:themeColor="accent1" w:themeShade="BF"/>
      <w:spacing w:val="5"/>
    </w:rPr>
  </w:style>
  <w:style w:type="character" w:customStyle="1" w:styleId="normaltextrun">
    <w:name w:val="normaltextrun"/>
    <w:basedOn w:val="DefaultParagraphFont"/>
    <w:qFormat/>
    <w:rsid w:val="00764225"/>
  </w:style>
  <w:style w:type="character" w:customStyle="1" w:styleId="eop">
    <w:name w:val="eop"/>
    <w:basedOn w:val="DefaultParagraphFont"/>
    <w:qFormat/>
    <w:rsid w:val="00764225"/>
  </w:style>
  <w:style w:type="paragraph" w:customStyle="1" w:styleId="msonormal0">
    <w:name w:val="msonormal"/>
    <w:basedOn w:val="Normal"/>
    <w:rsid w:val="00764225"/>
    <w:pPr>
      <w:spacing w:before="100" w:beforeAutospacing="1" w:after="100" w:afterAutospacing="1"/>
    </w:pPr>
  </w:style>
  <w:style w:type="paragraph" w:customStyle="1" w:styleId="paragraph">
    <w:name w:val="paragraph"/>
    <w:basedOn w:val="Normal"/>
    <w:rsid w:val="00764225"/>
    <w:pPr>
      <w:spacing w:before="100" w:beforeAutospacing="1" w:after="100" w:afterAutospacing="1"/>
    </w:pPr>
  </w:style>
  <w:style w:type="character" w:customStyle="1" w:styleId="textrun">
    <w:name w:val="textrun"/>
    <w:basedOn w:val="DefaultParagraphFont"/>
    <w:rsid w:val="00764225"/>
  </w:style>
  <w:style w:type="character" w:styleId="Hyperlink">
    <w:name w:val="Hyperlink"/>
    <w:basedOn w:val="DefaultParagraphFont"/>
    <w:uiPriority w:val="99"/>
    <w:unhideWhenUsed/>
    <w:rsid w:val="00764225"/>
    <w:rPr>
      <w:color w:val="0000FF"/>
      <w:u w:val="single"/>
    </w:rPr>
  </w:style>
  <w:style w:type="character" w:styleId="FollowedHyperlink">
    <w:name w:val="FollowedHyperlink"/>
    <w:basedOn w:val="DefaultParagraphFont"/>
    <w:uiPriority w:val="99"/>
    <w:semiHidden/>
    <w:unhideWhenUsed/>
    <w:rsid w:val="00764225"/>
    <w:rPr>
      <w:color w:val="800080"/>
      <w:u w:val="single"/>
    </w:rPr>
  </w:style>
  <w:style w:type="character" w:customStyle="1" w:styleId="fieldrange">
    <w:name w:val="fieldrange"/>
    <w:basedOn w:val="DefaultParagraphFont"/>
    <w:rsid w:val="00764225"/>
  </w:style>
  <w:style w:type="character" w:customStyle="1" w:styleId="linebreakblob">
    <w:name w:val="linebreakblob"/>
    <w:basedOn w:val="DefaultParagraphFont"/>
    <w:rsid w:val="00764225"/>
  </w:style>
  <w:style w:type="character" w:customStyle="1" w:styleId="scxw115220699">
    <w:name w:val="scxw115220699"/>
    <w:basedOn w:val="DefaultParagraphFont"/>
    <w:rsid w:val="00764225"/>
  </w:style>
  <w:style w:type="character" w:customStyle="1" w:styleId="superscript">
    <w:name w:val="superscript"/>
    <w:basedOn w:val="DefaultParagraphFont"/>
    <w:rsid w:val="00AB03EE"/>
  </w:style>
  <w:style w:type="character" w:customStyle="1" w:styleId="wacimagecontainer">
    <w:name w:val="wacimagecontainer"/>
    <w:basedOn w:val="DefaultParagraphFont"/>
    <w:rsid w:val="00AB03EE"/>
  </w:style>
  <w:style w:type="character" w:customStyle="1" w:styleId="trackchangetextinsertion">
    <w:name w:val="trackchangetextinsertion"/>
    <w:basedOn w:val="DefaultParagraphFont"/>
    <w:rsid w:val="00BB6C78"/>
  </w:style>
  <w:style w:type="paragraph" w:customStyle="1" w:styleId="outlineelement">
    <w:name w:val="outlineelement"/>
    <w:basedOn w:val="Normal"/>
    <w:rsid w:val="00BB6C78"/>
    <w:pPr>
      <w:spacing w:before="100" w:beforeAutospacing="1" w:after="100" w:afterAutospacing="1"/>
    </w:pPr>
  </w:style>
  <w:style w:type="character" w:customStyle="1" w:styleId="pagebreakblob">
    <w:name w:val="pagebreakblob"/>
    <w:basedOn w:val="DefaultParagraphFont"/>
    <w:rsid w:val="00BB6C78"/>
  </w:style>
  <w:style w:type="character" w:customStyle="1" w:styleId="pagebreakborderspan">
    <w:name w:val="pagebreakborderspan"/>
    <w:basedOn w:val="DefaultParagraphFont"/>
    <w:rsid w:val="00BB6C78"/>
  </w:style>
  <w:style w:type="character" w:customStyle="1" w:styleId="pagebreaktextspan">
    <w:name w:val="pagebreaktextspan"/>
    <w:basedOn w:val="DefaultParagraphFont"/>
    <w:rsid w:val="00BB6C78"/>
  </w:style>
  <w:style w:type="character" w:customStyle="1" w:styleId="trackedchange">
    <w:name w:val="trackedchange"/>
    <w:basedOn w:val="DefaultParagraphFont"/>
    <w:rsid w:val="00BB6C78"/>
  </w:style>
  <w:style w:type="character" w:customStyle="1" w:styleId="trackchangetextdeletionmarker">
    <w:name w:val="trackchangetextdeletionmarker"/>
    <w:basedOn w:val="DefaultParagraphFont"/>
    <w:rsid w:val="00BB6C78"/>
  </w:style>
  <w:style w:type="character" w:customStyle="1" w:styleId="wacimagegroupcontainer">
    <w:name w:val="wacimagegroupcontainer"/>
    <w:basedOn w:val="DefaultParagraphFont"/>
    <w:rsid w:val="003F0C82"/>
  </w:style>
  <w:style w:type="character" w:customStyle="1" w:styleId="scxw7305117">
    <w:name w:val="scxw7305117"/>
    <w:basedOn w:val="DefaultParagraphFont"/>
    <w:rsid w:val="003F0C82"/>
  </w:style>
  <w:style w:type="character" w:customStyle="1" w:styleId="tabrun">
    <w:name w:val="tabrun"/>
    <w:basedOn w:val="DefaultParagraphFont"/>
    <w:rsid w:val="003F0C82"/>
  </w:style>
  <w:style w:type="character" w:customStyle="1" w:styleId="tabchar">
    <w:name w:val="tabchar"/>
    <w:basedOn w:val="DefaultParagraphFont"/>
    <w:rsid w:val="003F0C82"/>
  </w:style>
  <w:style w:type="character" w:customStyle="1" w:styleId="tableaderchars">
    <w:name w:val="tableaderchars"/>
    <w:basedOn w:val="DefaultParagraphFont"/>
    <w:rsid w:val="003F0C82"/>
  </w:style>
  <w:style w:type="character" w:customStyle="1" w:styleId="scxw55407066">
    <w:name w:val="scxw55407066"/>
    <w:basedOn w:val="DefaultParagraphFont"/>
    <w:rsid w:val="00756F0F"/>
  </w:style>
  <w:style w:type="character" w:customStyle="1" w:styleId="wacimageborder">
    <w:name w:val="wacimageborder"/>
    <w:basedOn w:val="DefaultParagraphFont"/>
    <w:rsid w:val="00756F0F"/>
  </w:style>
  <w:style w:type="character" w:customStyle="1" w:styleId="contentcontrol">
    <w:name w:val="contentcontrol"/>
    <w:basedOn w:val="DefaultParagraphFont"/>
    <w:rsid w:val="00756F0F"/>
  </w:style>
  <w:style w:type="character" w:customStyle="1" w:styleId="contentcontrolboundarysink">
    <w:name w:val="contentcontrolboundarysink"/>
    <w:basedOn w:val="DefaultParagraphFont"/>
    <w:rsid w:val="00756F0F"/>
  </w:style>
  <w:style w:type="character" w:customStyle="1" w:styleId="wacimageplaceholder">
    <w:name w:val="wacimageplaceholder"/>
    <w:basedOn w:val="DefaultParagraphFont"/>
    <w:rsid w:val="00756F0F"/>
  </w:style>
  <w:style w:type="character" w:customStyle="1" w:styleId="wacprogress">
    <w:name w:val="wacprogress"/>
    <w:basedOn w:val="DefaultParagraphFont"/>
    <w:rsid w:val="00756F0F"/>
  </w:style>
  <w:style w:type="character" w:customStyle="1" w:styleId="wacimageplaceholderfiller">
    <w:name w:val="wacimageplaceholderfiller"/>
    <w:basedOn w:val="DefaultParagraphFont"/>
    <w:rsid w:val="00756F0F"/>
  </w:style>
  <w:style w:type="character" w:customStyle="1" w:styleId="mathequationcontainer">
    <w:name w:val="mathequationcontainer"/>
    <w:basedOn w:val="DefaultParagraphFont"/>
    <w:rsid w:val="00756F0F"/>
  </w:style>
  <w:style w:type="character" w:customStyle="1" w:styleId="equationplaceholdertext">
    <w:name w:val="equationplaceholdertext"/>
    <w:basedOn w:val="DefaultParagraphFont"/>
    <w:rsid w:val="00756F0F"/>
  </w:style>
  <w:style w:type="character" w:styleId="CommentReference">
    <w:name w:val="annotation reference"/>
    <w:basedOn w:val="DefaultParagraphFont"/>
    <w:uiPriority w:val="99"/>
    <w:unhideWhenUsed/>
    <w:qFormat/>
    <w:rsid w:val="003109C0"/>
    <w:rPr>
      <w:sz w:val="16"/>
      <w:szCs w:val="16"/>
    </w:rPr>
  </w:style>
  <w:style w:type="paragraph" w:styleId="CommentText">
    <w:name w:val="annotation text"/>
    <w:basedOn w:val="Normal"/>
    <w:link w:val="CommentTextChar"/>
    <w:uiPriority w:val="99"/>
    <w:unhideWhenUsed/>
    <w:rsid w:val="003109C0"/>
    <w:rPr>
      <w:rFonts w:ascii="Garamond" w:eastAsiaTheme="minorHAnsi" w:hAnsi="Garamond" w:cs="Times New Roman (Body CS)"/>
      <w:kern w:val="2"/>
      <w:sz w:val="20"/>
      <w:szCs w:val="20"/>
      <w14:ligatures w14:val="standardContextual"/>
    </w:rPr>
  </w:style>
  <w:style w:type="character" w:customStyle="1" w:styleId="CommentTextChar">
    <w:name w:val="Comment Text Char"/>
    <w:basedOn w:val="DefaultParagraphFont"/>
    <w:link w:val="CommentText"/>
    <w:uiPriority w:val="99"/>
    <w:rsid w:val="003109C0"/>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09C0"/>
    <w:rPr>
      <w:vertAlign w:val="superscript"/>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09C0"/>
    <w:rPr>
      <w:sz w:val="20"/>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09C0"/>
    <w:rPr>
      <w:rFonts w:ascii="Garamond" w:eastAsiaTheme="minorHAnsi" w:hAnsi="Garamond" w:cs="Times New Roman (Body CS)"/>
      <w:kern w:val="2"/>
      <w:sz w:val="20"/>
      <w:szCs w:val="20"/>
      <w14:ligatures w14:val="standardContextual"/>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uiPriority w:val="99"/>
    <w:semiHidden/>
    <w:rsid w:val="003109C0"/>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uiPriority w:val="99"/>
    <w:rsid w:val="003109C0"/>
  </w:style>
  <w:style w:type="paragraph" w:styleId="Header">
    <w:name w:val="header"/>
    <w:basedOn w:val="Normal"/>
    <w:link w:val="HeaderChar"/>
    <w:uiPriority w:val="99"/>
    <w:unhideWhenUsed/>
    <w:rsid w:val="003109C0"/>
    <w:pPr>
      <w:tabs>
        <w:tab w:val="center" w:pos="4680"/>
        <w:tab w:val="right" w:pos="9360"/>
      </w:tabs>
    </w:pPr>
    <w:rPr>
      <w:rFonts w:ascii="Garamond" w:eastAsiaTheme="minorHAnsi" w:hAnsi="Garamond" w:cs="Times New Roman (Body CS)"/>
      <w:kern w:val="2"/>
      <w14:ligatures w14:val="standardContextual"/>
    </w:rPr>
  </w:style>
  <w:style w:type="character" w:customStyle="1" w:styleId="HeaderChar1">
    <w:name w:val="Header Char1"/>
    <w:basedOn w:val="DefaultParagraphFont"/>
    <w:uiPriority w:val="99"/>
    <w:semiHidden/>
    <w:rsid w:val="003109C0"/>
    <w:rPr>
      <w:rFonts w:ascii="Times New Roman" w:eastAsia="Times New Roman" w:hAnsi="Times New Roman" w:cs="Times New Roman"/>
      <w:kern w:val="0"/>
      <w14:ligatures w14:val="none"/>
    </w:rPr>
  </w:style>
  <w:style w:type="paragraph" w:customStyle="1" w:styleId="m-7839000498800682492para1">
    <w:name w:val="m_-7839000498800682492para1"/>
    <w:basedOn w:val="Normal"/>
    <w:rsid w:val="00950699"/>
    <w:pPr>
      <w:spacing w:before="100" w:beforeAutospacing="1" w:after="100" w:afterAutospacing="1"/>
    </w:pPr>
  </w:style>
  <w:style w:type="character" w:customStyle="1" w:styleId="UnresolvedMention1">
    <w:name w:val="Unresolved Mention1"/>
    <w:basedOn w:val="DefaultParagraphFont"/>
    <w:uiPriority w:val="99"/>
    <w:semiHidden/>
    <w:unhideWhenUsed/>
    <w:rsid w:val="0095069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50699"/>
    <w:pPr>
      <w:spacing w:after="160" w:line="240" w:lineRule="exact"/>
      <w:jc w:val="both"/>
    </w:pPr>
    <w:rPr>
      <w:rFonts w:ascii="Garamond" w:eastAsiaTheme="minorHAnsi" w:hAnsi="Garamond" w:cs="Times New Roman (Body CS)"/>
      <w:kern w:val="2"/>
      <w:vertAlign w:val="superscript"/>
      <w14:ligatures w14:val="standardContextual"/>
    </w:rPr>
  </w:style>
  <w:style w:type="paragraph" w:styleId="CommentSubject">
    <w:name w:val="annotation subject"/>
    <w:basedOn w:val="CommentText"/>
    <w:next w:val="CommentText"/>
    <w:link w:val="CommentSubjectChar"/>
    <w:uiPriority w:val="99"/>
    <w:semiHidden/>
    <w:unhideWhenUsed/>
    <w:rsid w:val="00950699"/>
    <w:rPr>
      <w:rFonts w:asciiTheme="minorHAnsi" w:hAnsiTheme="minorHAnsi"/>
      <w:b/>
      <w:bCs/>
    </w:rPr>
  </w:style>
  <w:style w:type="character" w:customStyle="1" w:styleId="CommentSubjectChar">
    <w:name w:val="Comment Subject Char"/>
    <w:basedOn w:val="CommentTextChar"/>
    <w:link w:val="CommentSubject"/>
    <w:uiPriority w:val="99"/>
    <w:semiHidden/>
    <w:rsid w:val="00950699"/>
    <w:rPr>
      <w:rFonts w:asciiTheme="minorHAnsi" w:hAnsiTheme="minorHAnsi"/>
      <w:b/>
      <w:bCs/>
      <w:sz w:val="20"/>
      <w:szCs w:val="20"/>
    </w:rPr>
  </w:style>
  <w:style w:type="table" w:styleId="TableGrid">
    <w:name w:val="Table Grid"/>
    <w:basedOn w:val="TableNormal"/>
    <w:uiPriority w:val="39"/>
    <w:qFormat/>
    <w:rsid w:val="00950699"/>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0699"/>
    <w:pPr>
      <w:tabs>
        <w:tab w:val="center" w:pos="4680"/>
        <w:tab w:val="right" w:pos="9360"/>
      </w:tabs>
    </w:pPr>
    <w:rPr>
      <w:rFonts w:asciiTheme="minorHAnsi" w:eastAsiaTheme="minorHAnsi" w:hAnsiTheme="minorHAnsi" w:cs="Times New Roman (Body CS)"/>
      <w:kern w:val="2"/>
      <w:sz w:val="22"/>
      <w:szCs w:val="22"/>
      <w14:ligatures w14:val="standardContextual"/>
    </w:rPr>
  </w:style>
  <w:style w:type="character" w:customStyle="1" w:styleId="FooterChar">
    <w:name w:val="Footer Char"/>
    <w:basedOn w:val="DefaultParagraphFont"/>
    <w:link w:val="Footer"/>
    <w:uiPriority w:val="99"/>
    <w:rsid w:val="00950699"/>
    <w:rPr>
      <w:rFonts w:asciiTheme="minorHAnsi" w:hAnsiTheme="minorHAnsi"/>
      <w:sz w:val="22"/>
      <w:szCs w:val="22"/>
    </w:rPr>
  </w:style>
  <w:style w:type="character" w:styleId="PageNumber">
    <w:name w:val="page number"/>
    <w:basedOn w:val="DefaultParagraphFont"/>
    <w:uiPriority w:val="99"/>
    <w:semiHidden/>
    <w:unhideWhenUsed/>
    <w:rsid w:val="00950699"/>
  </w:style>
  <w:style w:type="paragraph" w:styleId="Revision">
    <w:name w:val="Revision"/>
    <w:hidden/>
    <w:uiPriority w:val="99"/>
    <w:semiHidden/>
    <w:rsid w:val="00950699"/>
    <w:rPr>
      <w:rFonts w:asciiTheme="minorHAnsi" w:hAnsiTheme="minorHAnsi"/>
      <w:sz w:val="22"/>
      <w:szCs w:val="22"/>
    </w:rPr>
  </w:style>
  <w:style w:type="character" w:customStyle="1" w:styleId="cf01">
    <w:name w:val="cf01"/>
    <w:basedOn w:val="DefaultParagraphFont"/>
    <w:rsid w:val="00950699"/>
    <w:rPr>
      <w:rFonts w:ascii="Segoe UI" w:hAnsi="Segoe UI" w:cs="Segoe UI" w:hint="default"/>
      <w:sz w:val="18"/>
      <w:szCs w:val="18"/>
    </w:rPr>
  </w:style>
  <w:style w:type="paragraph" w:customStyle="1" w:styleId="pf0">
    <w:name w:val="pf0"/>
    <w:basedOn w:val="Normal"/>
    <w:rsid w:val="00950699"/>
    <w:pPr>
      <w:spacing w:before="100" w:beforeAutospacing="1" w:after="100" w:afterAutospacing="1"/>
    </w:pPr>
    <w:rPr>
      <w:lang w:val="en-GB" w:eastAsia="en-GB"/>
    </w:rPr>
  </w:style>
  <w:style w:type="table" w:styleId="GridTable6Colorful">
    <w:name w:val="Grid Table 6 Colorful"/>
    <w:basedOn w:val="TableNormal"/>
    <w:uiPriority w:val="51"/>
    <w:rsid w:val="008F3925"/>
    <w:rPr>
      <w:rFonts w:asciiTheme="minorHAnsi" w:hAnsiTheme="minorHAnsi" w:cstheme="minorBidi"/>
      <w:color w:val="000000" w:themeColor="text1"/>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Normal"/>
    <w:link w:val="EndNoteBibliographyTitleChar"/>
    <w:rsid w:val="008F3925"/>
    <w:pPr>
      <w:jc w:val="center"/>
    </w:pPr>
    <w:rPr>
      <w:rFonts w:ascii="Calibri" w:eastAsiaTheme="minorHAnsi" w:hAnsi="Calibri" w:cs="Calibri"/>
      <w:kern w:val="2"/>
      <w:lang w:val="en-US"/>
      <w14:ligatures w14:val="standardContextual"/>
    </w:rPr>
  </w:style>
  <w:style w:type="character" w:customStyle="1" w:styleId="EndNoteBibliographyTitleChar">
    <w:name w:val="EndNote Bibliography Title Char"/>
    <w:basedOn w:val="DefaultParagraphFont"/>
    <w:link w:val="EndNoteBibliographyTitle"/>
    <w:rsid w:val="008F3925"/>
    <w:rPr>
      <w:rFonts w:ascii="Calibri" w:hAnsi="Calibri" w:cs="Calibri"/>
      <w:lang w:val="en-US"/>
    </w:rPr>
  </w:style>
  <w:style w:type="paragraph" w:customStyle="1" w:styleId="EndNoteBibliography">
    <w:name w:val="EndNote Bibliography"/>
    <w:basedOn w:val="Normal"/>
    <w:link w:val="EndNoteBibliographyChar"/>
    <w:rsid w:val="008F3925"/>
    <w:rPr>
      <w:rFonts w:ascii="Calibri" w:eastAsiaTheme="minorHAnsi" w:hAnsi="Calibri" w:cs="Calibri"/>
      <w:kern w:val="2"/>
      <w:lang w:val="en-US"/>
      <w14:ligatures w14:val="standardContextual"/>
    </w:rPr>
  </w:style>
  <w:style w:type="character" w:customStyle="1" w:styleId="EndNoteBibliographyChar">
    <w:name w:val="EndNote Bibliography Char"/>
    <w:basedOn w:val="DefaultParagraphFont"/>
    <w:link w:val="EndNoteBibliography"/>
    <w:rsid w:val="008F3925"/>
    <w:rPr>
      <w:rFonts w:ascii="Calibri" w:hAnsi="Calibri" w:cs="Calibri"/>
      <w:lang w:val="en-US"/>
    </w:rPr>
  </w:style>
  <w:style w:type="character" w:customStyle="1" w:styleId="UnresolvedMention11">
    <w:name w:val="Unresolved Mention11"/>
    <w:basedOn w:val="DefaultParagraphFont"/>
    <w:uiPriority w:val="99"/>
    <w:semiHidden/>
    <w:unhideWhenUsed/>
    <w:rsid w:val="008F3925"/>
    <w:rPr>
      <w:color w:val="605E5C"/>
      <w:shd w:val="clear" w:color="auto" w:fill="E1DFDD"/>
    </w:rPr>
  </w:style>
  <w:style w:type="paragraph" w:styleId="BalloonText">
    <w:name w:val="Balloon Text"/>
    <w:basedOn w:val="Normal"/>
    <w:link w:val="BalloonTextChar"/>
    <w:uiPriority w:val="99"/>
    <w:semiHidden/>
    <w:unhideWhenUsed/>
    <w:rsid w:val="008F3925"/>
    <w:rPr>
      <w:rFonts w:ascii="Segoe UI" w:eastAsiaTheme="minorHAnsi" w:hAnsi="Segoe UI" w:cs="Segoe UI"/>
      <w:kern w:val="2"/>
      <w:sz w:val="18"/>
      <w:szCs w:val="18"/>
      <w:lang w:val="en-AU"/>
      <w14:ligatures w14:val="standardContextual"/>
    </w:rPr>
  </w:style>
  <w:style w:type="character" w:customStyle="1" w:styleId="BalloonTextChar">
    <w:name w:val="Balloon Text Char"/>
    <w:basedOn w:val="DefaultParagraphFont"/>
    <w:link w:val="BalloonText"/>
    <w:uiPriority w:val="99"/>
    <w:semiHidden/>
    <w:rsid w:val="008F3925"/>
    <w:rPr>
      <w:rFonts w:ascii="Segoe UI" w:hAnsi="Segoe UI" w:cs="Segoe UI"/>
      <w:sz w:val="18"/>
      <w:szCs w:val="18"/>
      <w:lang w:val="en-AU"/>
    </w:rPr>
  </w:style>
  <w:style w:type="table" w:styleId="GridTable4-Accent3">
    <w:name w:val="Grid Table 4 Accent 3"/>
    <w:basedOn w:val="TableNormal"/>
    <w:uiPriority w:val="49"/>
    <w:rsid w:val="008F3925"/>
    <w:rPr>
      <w:rFonts w:asciiTheme="minorHAnsi" w:hAnsiTheme="minorHAnsi" w:cstheme="minorBidi"/>
      <w:lang w:val="en-AU"/>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1Light">
    <w:name w:val="Grid Table 1 Light"/>
    <w:basedOn w:val="TableNormal"/>
    <w:uiPriority w:val="46"/>
    <w:rsid w:val="008F3925"/>
    <w:rPr>
      <w:rFonts w:asciiTheme="minorHAnsi" w:hAnsiTheme="minorHAnsi" w:cstheme="minorBidi"/>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CurrentList1">
    <w:name w:val="Current List1"/>
    <w:uiPriority w:val="99"/>
    <w:rsid w:val="008F3925"/>
    <w:pPr>
      <w:numPr>
        <w:numId w:val="8"/>
      </w:numPr>
    </w:pPr>
  </w:style>
  <w:style w:type="paragraph" w:styleId="Caption">
    <w:name w:val="caption"/>
    <w:basedOn w:val="Normal"/>
    <w:next w:val="Normal"/>
    <w:uiPriority w:val="35"/>
    <w:unhideWhenUsed/>
    <w:qFormat/>
    <w:rsid w:val="0081052F"/>
    <w:pPr>
      <w:spacing w:after="200"/>
    </w:pPr>
    <w:rPr>
      <w:rFonts w:ascii="Calibri" w:eastAsia="Calibri" w:hAnsi="Calibri" w:cs="Calibri"/>
      <w:i/>
      <w:iCs/>
      <w:color w:val="0E2841" w:themeColor="text2"/>
      <w:sz w:val="18"/>
      <w:szCs w:val="18"/>
      <w:lang w:val="en-US"/>
    </w:rPr>
  </w:style>
  <w:style w:type="paragraph" w:styleId="TOCHeading">
    <w:name w:val="TOC Heading"/>
    <w:basedOn w:val="Heading1"/>
    <w:next w:val="Normal"/>
    <w:uiPriority w:val="39"/>
    <w:unhideWhenUsed/>
    <w:qFormat/>
    <w:rsid w:val="00E70E5C"/>
    <w:pPr>
      <w:spacing w:before="240" w:after="0" w:line="259" w:lineRule="auto"/>
      <w:outlineLvl w:val="9"/>
    </w:pPr>
    <w:rPr>
      <w:sz w:val="32"/>
      <w:szCs w:val="32"/>
      <w:lang w:val="en-US"/>
    </w:rPr>
  </w:style>
  <w:style w:type="paragraph" w:styleId="TOC2">
    <w:name w:val="toc 2"/>
    <w:basedOn w:val="Normal"/>
    <w:next w:val="Normal"/>
    <w:autoRedefine/>
    <w:uiPriority w:val="39"/>
    <w:unhideWhenUsed/>
    <w:rsid w:val="00E70E5C"/>
    <w:pPr>
      <w:spacing w:after="100"/>
      <w:ind w:left="240"/>
    </w:pPr>
  </w:style>
  <w:style w:type="paragraph" w:styleId="TOC3">
    <w:name w:val="toc 3"/>
    <w:basedOn w:val="Normal"/>
    <w:next w:val="Normal"/>
    <w:autoRedefine/>
    <w:uiPriority w:val="39"/>
    <w:unhideWhenUsed/>
    <w:rsid w:val="00036E97"/>
    <w:pPr>
      <w:tabs>
        <w:tab w:val="right" w:leader="dot" w:pos="9350"/>
      </w:tabs>
      <w:spacing w:after="100"/>
      <w:ind w:left="480"/>
    </w:pPr>
  </w:style>
  <w:style w:type="paragraph" w:customStyle="1" w:styleId="MText">
    <w:name w:val="M.Text"/>
    <w:basedOn w:val="Normal"/>
    <w:link w:val="MTextChar"/>
    <w:qFormat/>
    <w:rsid w:val="00930B9B"/>
    <w:pPr>
      <w:shd w:val="clear" w:color="auto" w:fill="FFFFFF"/>
      <w:spacing w:line="276" w:lineRule="auto"/>
    </w:pPr>
    <w:rPr>
      <w:rFonts w:asciiTheme="minorHAnsi" w:hAnsiTheme="minorHAnsi"/>
      <w:color w:val="4A4A4A"/>
      <w:sz w:val="21"/>
      <w:szCs w:val="21"/>
      <w:lang w:val="en-GB" w:eastAsia="en-GB"/>
    </w:rPr>
  </w:style>
  <w:style w:type="character" w:customStyle="1" w:styleId="MTextChar">
    <w:name w:val="M.Text Char"/>
    <w:basedOn w:val="DefaultParagraphFont"/>
    <w:link w:val="MText"/>
    <w:rsid w:val="00930B9B"/>
    <w:rPr>
      <w:rFonts w:asciiTheme="minorHAnsi" w:eastAsia="Times New Roman" w:hAnsiTheme="minorHAnsi" w:cs="Times New Roman"/>
      <w:color w:val="4A4A4A"/>
      <w:kern w:val="0"/>
      <w:sz w:val="21"/>
      <w:szCs w:val="21"/>
      <w:shd w:val="clear" w:color="auto" w:fill="FFFFFF"/>
      <w:lang w:val="en-GB" w:eastAsia="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85C8C"/>
    <w:rPr>
      <w:rFonts w:ascii="Times New Roman" w:eastAsia="Times New Roman" w:hAnsi="Times New Roman" w:cs="Times New Roman"/>
      <w:kern w:val="0"/>
      <w14:ligatures w14:val="none"/>
    </w:rPr>
  </w:style>
  <w:style w:type="paragraph" w:styleId="Date">
    <w:name w:val="Date"/>
    <w:basedOn w:val="Normal"/>
    <w:next w:val="Normal"/>
    <w:link w:val="DateChar"/>
    <w:uiPriority w:val="99"/>
    <w:semiHidden/>
    <w:unhideWhenUsed/>
    <w:rsid w:val="00775978"/>
  </w:style>
  <w:style w:type="character" w:customStyle="1" w:styleId="DateChar">
    <w:name w:val="Date Char"/>
    <w:basedOn w:val="DefaultParagraphFont"/>
    <w:link w:val="Date"/>
    <w:uiPriority w:val="99"/>
    <w:semiHidden/>
    <w:rsid w:val="00775978"/>
    <w:rPr>
      <w:rFonts w:ascii="Times New Roman" w:eastAsia="Times New Roman" w:hAnsi="Times New Roman" w:cs="Times New Roman"/>
      <w:kern w:val="0"/>
      <w14:ligatures w14:val="none"/>
    </w:rPr>
  </w:style>
  <w:style w:type="table" w:customStyle="1" w:styleId="TableGrid1">
    <w:name w:val="Table Grid1"/>
    <w:basedOn w:val="TableNormal"/>
    <w:next w:val="TableGrid"/>
    <w:uiPriority w:val="59"/>
    <w:rsid w:val="00775978"/>
    <w:rPr>
      <w:rFonts w:ascii="Calibri" w:eastAsia="DengXi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FootnoteText"/>
    <w:qFormat/>
    <w:rsid w:val="00775978"/>
    <w:pPr>
      <w:jc w:val="both"/>
    </w:pPr>
    <w:rPr>
      <w:rFonts w:ascii="Times New Roman" w:eastAsia="Times New Roman" w:hAnsi="Times New Roman" w:cs="Times New Roman"/>
      <w:kern w:val="0"/>
      <w:sz w:val="18"/>
      <w:szCs w:val="18"/>
      <w14:ligatures w14:val="none"/>
    </w:rPr>
  </w:style>
  <w:style w:type="character" w:styleId="PlaceholderText">
    <w:name w:val="Placeholder Text"/>
    <w:basedOn w:val="DefaultParagraphFont"/>
    <w:uiPriority w:val="99"/>
    <w:semiHidden/>
    <w:rsid w:val="00775978"/>
    <w:rPr>
      <w:color w:val="808080"/>
    </w:rPr>
  </w:style>
  <w:style w:type="character" w:customStyle="1" w:styleId="ui-provider">
    <w:name w:val="ui-provider"/>
    <w:basedOn w:val="DefaultParagraphFont"/>
    <w:rsid w:val="00CA7325"/>
  </w:style>
  <w:style w:type="paragraph" w:customStyle="1" w:styleId="Annex">
    <w:name w:val="Annex"/>
    <w:basedOn w:val="Normal"/>
    <w:qFormat/>
    <w:rsid w:val="003E3783"/>
    <w:pPr>
      <w:tabs>
        <w:tab w:val="left" w:pos="567"/>
        <w:tab w:val="left" w:pos="1134"/>
        <w:tab w:val="left" w:pos="1701"/>
        <w:tab w:val="left" w:pos="2268"/>
      </w:tabs>
      <w:spacing w:after="240"/>
      <w:jc w:val="both"/>
    </w:pPr>
    <w:rPr>
      <w:rFonts w:eastAsia="SimSun"/>
      <w:b/>
      <w:sz w:val="28"/>
      <w:szCs w:val="22"/>
      <w:lang w:val="en-US"/>
    </w:rPr>
  </w:style>
  <w:style w:type="paragraph" w:customStyle="1" w:styleId="Para1">
    <w:name w:val="Para 1"/>
    <w:basedOn w:val="Normal"/>
    <w:qFormat/>
    <w:rsid w:val="00CA6F57"/>
    <w:pPr>
      <w:numPr>
        <w:numId w:val="9"/>
      </w:numPr>
      <w:tabs>
        <w:tab w:val="left" w:pos="1134"/>
      </w:tabs>
      <w:spacing w:before="120" w:after="120"/>
      <w:jc w:val="both"/>
    </w:pPr>
    <w:rPr>
      <w:sz w:val="22"/>
    </w:rPr>
  </w:style>
  <w:style w:type="table" w:styleId="PlainTable2">
    <w:name w:val="Plain Table 2"/>
    <w:basedOn w:val="TableNormal"/>
    <w:uiPriority w:val="42"/>
    <w:rsid w:val="003D6B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697090"/>
  </w:style>
  <w:style w:type="paragraph" w:customStyle="1" w:styleId="CBDNormalNumber">
    <w:name w:val="CBD_Normal_Number"/>
    <w:basedOn w:val="CBDNormal"/>
    <w:qFormat/>
    <w:rsid w:val="003E3783"/>
    <w:pPr>
      <w:tabs>
        <w:tab w:val="left" w:pos="3969"/>
      </w:tabs>
      <w:spacing w:before="120" w:after="120"/>
    </w:pPr>
    <w:rPr>
      <w:lang w:val="en-GB"/>
    </w:rPr>
  </w:style>
  <w:style w:type="paragraph" w:customStyle="1" w:styleId="CBDH2">
    <w:name w:val="CBD_H2"/>
    <w:basedOn w:val="CBDNormalNumber"/>
    <w:qFormat/>
    <w:rsid w:val="003E3783"/>
    <w:pPr>
      <w:keepNext/>
      <w:keepLines/>
      <w:ind w:hanging="567"/>
    </w:pPr>
    <w:rPr>
      <w:b/>
      <w:sz w:val="24"/>
    </w:rPr>
  </w:style>
  <w:style w:type="paragraph" w:customStyle="1" w:styleId="Cornernotation">
    <w:name w:val="Corner notation"/>
    <w:basedOn w:val="Normal"/>
    <w:rsid w:val="00B0658E"/>
    <w:pPr>
      <w:tabs>
        <w:tab w:val="left" w:pos="567"/>
        <w:tab w:val="left" w:pos="1134"/>
        <w:tab w:val="left" w:pos="1701"/>
        <w:tab w:val="left" w:pos="2268"/>
      </w:tabs>
      <w:ind w:left="170" w:right="3119" w:hanging="170"/>
    </w:pPr>
    <w:rPr>
      <w:rFonts w:eastAsia="SimSun"/>
      <w:b/>
      <w:szCs w:val="22"/>
      <w:lang w:val="en-US"/>
    </w:rPr>
  </w:style>
  <w:style w:type="paragraph" w:customStyle="1" w:styleId="Venuedate">
    <w:name w:val="Venue&amp;date"/>
    <w:basedOn w:val="Cornernotation"/>
    <w:qFormat/>
    <w:rsid w:val="00B0658E"/>
    <w:rPr>
      <w:b w:val="0"/>
      <w:bCs/>
      <w:sz w:val="22"/>
    </w:rPr>
  </w:style>
  <w:style w:type="paragraph" w:customStyle="1" w:styleId="Cornernotation-Item">
    <w:name w:val="Corner notation - Item"/>
    <w:basedOn w:val="Venuedate"/>
    <w:qFormat/>
    <w:rsid w:val="00B0658E"/>
    <w:rPr>
      <w:b/>
    </w:rPr>
  </w:style>
  <w:style w:type="paragraph" w:customStyle="1" w:styleId="CBDAnnex">
    <w:name w:val="CBD_Annex"/>
    <w:basedOn w:val="Normal"/>
    <w:next w:val="Normal"/>
    <w:qFormat/>
    <w:rsid w:val="003E3783"/>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H1">
    <w:name w:val="CBD_H1"/>
    <w:basedOn w:val="Normal"/>
    <w:qFormat/>
    <w:rsid w:val="003E3783"/>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rPr>
  </w:style>
  <w:style w:type="paragraph" w:customStyle="1" w:styleId="CBDH3">
    <w:name w:val="CBD_H3"/>
    <w:basedOn w:val="Normal"/>
    <w:qFormat/>
    <w:rsid w:val="003E3783"/>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rPr>
  </w:style>
  <w:style w:type="paragraph" w:customStyle="1" w:styleId="CBDNormal">
    <w:name w:val="CBD_Normal"/>
    <w:unhideWhenUsed/>
    <w:qFormat/>
    <w:rsid w:val="003E3783"/>
    <w:pPr>
      <w:tabs>
        <w:tab w:val="left" w:pos="567"/>
        <w:tab w:val="left" w:pos="1134"/>
        <w:tab w:val="left" w:pos="1701"/>
        <w:tab w:val="left" w:pos="2268"/>
        <w:tab w:val="left" w:pos="2835"/>
        <w:tab w:val="left" w:pos="3402"/>
      </w:tabs>
      <w:jc w:val="both"/>
    </w:pPr>
    <w:rPr>
      <w:rFonts w:ascii="Times New Roman" w:eastAsia="SimSun" w:hAnsi="Times New Roman" w:cs="Times New Roman"/>
      <w:kern w:val="0"/>
      <w:sz w:val="22"/>
      <w:szCs w:val="22"/>
      <w:lang w:val="en-US"/>
      <w14:ligatures w14:val="none"/>
    </w:rPr>
  </w:style>
  <w:style w:type="paragraph" w:customStyle="1" w:styleId="CBDTitle">
    <w:name w:val="CBD_Title"/>
    <w:basedOn w:val="CBDNormal"/>
    <w:next w:val="Normal"/>
    <w:qFormat/>
    <w:rsid w:val="003E3783"/>
    <w:pPr>
      <w:keepNext/>
      <w:keepLines/>
      <w:spacing w:before="240" w:after="240"/>
      <w:ind w:left="567"/>
      <w:jc w:val="left"/>
    </w:pPr>
    <w:rPr>
      <w:b/>
      <w:sz w:val="28"/>
      <w:lang w:val="en-GB"/>
    </w:rPr>
  </w:style>
  <w:style w:type="paragraph" w:customStyle="1" w:styleId="CBDSubTitle">
    <w:name w:val="CBD_SubTitle"/>
    <w:basedOn w:val="CBDNormal"/>
    <w:qFormat/>
    <w:rsid w:val="003E3783"/>
    <w:pPr>
      <w:keepNext/>
      <w:keepLines/>
      <w:spacing w:before="240" w:after="240"/>
      <w:ind w:left="567"/>
      <w:jc w:val="left"/>
    </w:pPr>
    <w:rPr>
      <w:b/>
      <w:lang w:val="en-GB"/>
    </w:rPr>
  </w:style>
  <w:style w:type="paragraph" w:customStyle="1" w:styleId="CBDTableNormal">
    <w:name w:val="CBD_TableNormal"/>
    <w:basedOn w:val="CBDNormal"/>
    <w:qFormat/>
    <w:rsid w:val="003E3783"/>
    <w:pPr>
      <w:spacing w:before="40" w:after="80"/>
      <w:jc w:val="left"/>
    </w:pPr>
    <w:rPr>
      <w:sz w:val="20"/>
    </w:rPr>
  </w:style>
  <w:style w:type="character" w:styleId="UnresolvedMention">
    <w:name w:val="Unresolved Mention"/>
    <w:basedOn w:val="DefaultParagraphFont"/>
    <w:uiPriority w:val="99"/>
    <w:semiHidden/>
    <w:unhideWhenUsed/>
    <w:rsid w:val="00A31920"/>
    <w:rPr>
      <w:color w:val="605E5C"/>
      <w:shd w:val="clear" w:color="auto" w:fill="E1DFDD"/>
    </w:rPr>
  </w:style>
  <w:style w:type="paragraph" w:customStyle="1" w:styleId="xmsonormal">
    <w:name w:val="x_msonormal"/>
    <w:basedOn w:val="Normal"/>
    <w:rsid w:val="0038515A"/>
    <w:rPr>
      <w:rFonts w:ascii="Aptos" w:eastAsiaTheme="minorEastAsia" w:hAnsi="Aptos" w:cs="Aptos"/>
      <w:lang w:eastAsia="zh-CN"/>
    </w:rPr>
  </w:style>
  <w:style w:type="table" w:styleId="GridTable4-Accent1">
    <w:name w:val="Grid Table 4 Accent 1"/>
    <w:basedOn w:val="TableNormal"/>
    <w:uiPriority w:val="49"/>
    <w:rsid w:val="00E56FB2"/>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6">
    <w:name w:val="6"/>
    <w:basedOn w:val="TableNormal"/>
    <w:rsid w:val="00D8392C"/>
    <w:pPr>
      <w:jc w:val="both"/>
    </w:pPr>
    <w:rPr>
      <w:rFonts w:ascii="Times New Roman" w:eastAsia="Times New Roman" w:hAnsi="Times New Roman" w:cs="Times New Roman"/>
      <w:kern w:val="0"/>
      <w:sz w:val="22"/>
      <w:szCs w:val="22"/>
      <w:lang w:val="en-GB"/>
      <w14:ligatures w14:val="none"/>
    </w:rPr>
    <w:tblPr>
      <w:tblStyleRowBandSize w:val="1"/>
      <w:tblStyleColBandSize w:val="1"/>
      <w:tblCellMar>
        <w:left w:w="115" w:type="dxa"/>
        <w:right w:w="115" w:type="dxa"/>
      </w:tblCellMar>
    </w:tblPr>
  </w:style>
  <w:style w:type="table" w:customStyle="1" w:styleId="2">
    <w:name w:val="2"/>
    <w:basedOn w:val="TableNormal"/>
    <w:rsid w:val="00D8392C"/>
    <w:pPr>
      <w:jc w:val="both"/>
    </w:pPr>
    <w:rPr>
      <w:rFonts w:ascii="Times New Roman" w:eastAsia="Times New Roman" w:hAnsi="Times New Roman" w:cs="Times New Roman"/>
      <w:kern w:val="0"/>
      <w:sz w:val="22"/>
      <w:szCs w:val="22"/>
      <w:lang w:val="en-GB"/>
      <w14:ligatures w14:val="none"/>
    </w:rPr>
    <w:tblPr>
      <w:tblStyleRowBandSize w:val="1"/>
      <w:tblStyleColBandSize w:val="1"/>
    </w:tblPr>
  </w:style>
  <w:style w:type="table" w:customStyle="1" w:styleId="1">
    <w:name w:val="1"/>
    <w:basedOn w:val="TableNormal"/>
    <w:rsid w:val="00D8392C"/>
    <w:pPr>
      <w:jc w:val="both"/>
    </w:pPr>
    <w:rPr>
      <w:rFonts w:ascii="Times New Roman" w:eastAsia="Times New Roman" w:hAnsi="Times New Roman" w:cs="Times New Roman"/>
      <w:kern w:val="0"/>
      <w:sz w:val="22"/>
      <w:szCs w:val="22"/>
      <w:lang w:val="en-GB"/>
      <w14:ligatures w14:val="none"/>
    </w:rPr>
    <w:tblPr>
      <w:tblStyleRowBandSize w:val="1"/>
      <w:tblStyleColBandSize w:val="1"/>
      <w:tblCellMar>
        <w:left w:w="115" w:type="dxa"/>
        <w:right w:w="115" w:type="dxa"/>
      </w:tblCellMar>
    </w:tblPr>
  </w:style>
  <w:style w:type="paragraph" w:styleId="BodyText">
    <w:name w:val="Body Text"/>
    <w:basedOn w:val="Normal"/>
    <w:link w:val="BodyTextChar"/>
    <w:semiHidden/>
    <w:unhideWhenUsed/>
    <w:qFormat/>
    <w:rsid w:val="00965511"/>
    <w:pPr>
      <w:spacing w:before="180" w:after="180"/>
    </w:pPr>
    <w:rPr>
      <w:rFonts w:asciiTheme="minorHAnsi" w:eastAsiaTheme="minorHAnsi" w:hAnsiTheme="minorHAnsi" w:cstheme="minorBidi"/>
      <w:lang w:val="en-US"/>
    </w:rPr>
  </w:style>
  <w:style w:type="character" w:customStyle="1" w:styleId="BodyTextChar">
    <w:name w:val="Body Text Char"/>
    <w:basedOn w:val="DefaultParagraphFont"/>
    <w:link w:val="BodyText"/>
    <w:semiHidden/>
    <w:rsid w:val="00965511"/>
    <w:rPr>
      <w:rFonts w:asciiTheme="minorHAnsi" w:hAnsiTheme="minorHAnsi" w:cstheme="minorBidi"/>
      <w:kern w:val="0"/>
      <w:lang w:val="en-US"/>
      <w14:ligatures w14:val="none"/>
    </w:rPr>
  </w:style>
  <w:style w:type="paragraph" w:customStyle="1" w:styleId="FirstParagraph">
    <w:name w:val="First Paragraph"/>
    <w:basedOn w:val="BodyText"/>
    <w:next w:val="BodyText"/>
    <w:qFormat/>
    <w:rsid w:val="00965511"/>
  </w:style>
  <w:style w:type="numbering" w:customStyle="1" w:styleId="ListCBD">
    <w:name w:val="ListCBD"/>
    <w:basedOn w:val="NoList"/>
    <w:uiPriority w:val="99"/>
    <w:rsid w:val="0013085E"/>
    <w:pPr>
      <w:numPr>
        <w:numId w:val="216"/>
      </w:numPr>
    </w:pPr>
  </w:style>
  <w:style w:type="paragraph" w:styleId="TOAHeading">
    <w:name w:val="toa heading"/>
    <w:basedOn w:val="Normal"/>
    <w:next w:val="Normal"/>
    <w:semiHidden/>
    <w:rsid w:val="001F0B89"/>
    <w:pPr>
      <w:tabs>
        <w:tab w:val="left" w:pos="567"/>
        <w:tab w:val="left" w:pos="1134"/>
        <w:tab w:val="left" w:pos="1701"/>
        <w:tab w:val="left" w:pos="2268"/>
      </w:tabs>
      <w:spacing w:before="120"/>
      <w:jc w:val="both"/>
    </w:pPr>
    <w:rPr>
      <w:rFonts w:eastAsia="SimSun" w:cs="Arial"/>
      <w:b/>
      <w:bCs/>
      <w:szCs w:val="22"/>
      <w:lang w:val="en-GB"/>
    </w:rPr>
  </w:style>
  <w:style w:type="paragraph" w:customStyle="1" w:styleId="AFCorNBold">
    <w:name w:val="AF_CorNBold"/>
    <w:basedOn w:val="Normal"/>
    <w:next w:val="Normal"/>
    <w:unhideWhenUsed/>
    <w:qFormat/>
    <w:rsid w:val="001B20CC"/>
    <w:pPr>
      <w:tabs>
        <w:tab w:val="left" w:pos="567"/>
        <w:tab w:val="left" w:pos="1134"/>
        <w:tab w:val="left" w:pos="1701"/>
        <w:tab w:val="left" w:pos="2268"/>
      </w:tabs>
    </w:pPr>
    <w:rPr>
      <w:rFonts w:eastAsia="SimSun"/>
      <w:b/>
      <w:sz w:val="22"/>
      <w:szCs w:val="22"/>
      <w:lang w:val="en-GB"/>
    </w:rPr>
  </w:style>
  <w:style w:type="paragraph" w:customStyle="1" w:styleId="AFCorN12Bold">
    <w:name w:val="AF_CorN12Bold"/>
    <w:basedOn w:val="Normal"/>
    <w:next w:val="Normal"/>
    <w:unhideWhenUsed/>
    <w:qFormat/>
    <w:rsid w:val="001B20CC"/>
    <w:pPr>
      <w:tabs>
        <w:tab w:val="left" w:pos="567"/>
        <w:tab w:val="left" w:pos="1134"/>
        <w:tab w:val="left" w:pos="1701"/>
        <w:tab w:val="left" w:pos="2268"/>
      </w:tabs>
    </w:pPr>
    <w:rPr>
      <w:rFonts w:eastAsia="SimSun"/>
      <w:b/>
      <w:szCs w:val="22"/>
      <w:lang w:val="en-GB"/>
    </w:rPr>
  </w:style>
  <w:style w:type="paragraph" w:customStyle="1" w:styleId="AFCorNNormal">
    <w:name w:val="AF_CorNNormal"/>
    <w:basedOn w:val="Normal"/>
    <w:unhideWhenUsed/>
    <w:rsid w:val="007B1F50"/>
    <w:pPr>
      <w:tabs>
        <w:tab w:val="left" w:pos="567"/>
        <w:tab w:val="left" w:pos="1134"/>
        <w:tab w:val="left" w:pos="1701"/>
        <w:tab w:val="left" w:pos="2268"/>
      </w:tabs>
    </w:pPr>
    <w:rPr>
      <w:rFonts w:eastAsia="SimSun"/>
      <w:sz w:val="22"/>
      <w:szCs w:val="22"/>
      <w:lang w:val="en-GB"/>
    </w:rPr>
  </w:style>
  <w:style w:type="character" w:customStyle="1" w:styleId="0Numberedparagraphcharacter">
    <w:name w:val="0_Numbered paragraph_character"/>
    <w:link w:val="0Numberedparagraph"/>
    <w:locked/>
    <w:rsid w:val="009E5FDE"/>
    <w:rPr>
      <w:lang w:val="en-US" w:bidi="en-US"/>
    </w:rPr>
  </w:style>
  <w:style w:type="paragraph" w:customStyle="1" w:styleId="0Numberedparagraph">
    <w:name w:val="0_Numbered paragraph"/>
    <w:basedOn w:val="Normal"/>
    <w:link w:val="0Numberedparagraphcharacter"/>
    <w:qFormat/>
    <w:rsid w:val="009E5FDE"/>
    <w:pPr>
      <w:numPr>
        <w:numId w:val="277"/>
      </w:numPr>
      <w:tabs>
        <w:tab w:val="left" w:pos="425"/>
      </w:tabs>
      <w:spacing w:before="57"/>
      <w:ind w:left="0" w:firstLine="0"/>
    </w:pPr>
    <w:rPr>
      <w:rFonts w:ascii="Garamond" w:eastAsiaTheme="minorHAnsi" w:hAnsi="Garamond" w:cs="Times New Roman (Body CS)"/>
      <w:kern w:val="2"/>
      <w:lang w:val="en-US" w:bidi="en-US"/>
      <w14:ligatures w14:val="standardContextual"/>
    </w:rPr>
  </w:style>
  <w:style w:type="paragraph" w:styleId="NormalWeb">
    <w:name w:val="Normal (Web)"/>
    <w:basedOn w:val="Normal"/>
    <w:uiPriority w:val="99"/>
    <w:semiHidden/>
    <w:unhideWhenUsed/>
    <w:rsid w:val="00541384"/>
    <w:pPr>
      <w:spacing w:before="100" w:beforeAutospacing="1" w:after="100" w:afterAutospacing="1"/>
    </w:pPr>
    <w:rPr>
      <w:lang w:eastAsia="zh-CN"/>
    </w:rPr>
  </w:style>
  <w:style w:type="character" w:styleId="Emphasis">
    <w:name w:val="Emphasis"/>
    <w:basedOn w:val="DefaultParagraphFont"/>
    <w:uiPriority w:val="20"/>
    <w:qFormat/>
    <w:rsid w:val="00FF4F54"/>
    <w:rPr>
      <w:i/>
      <w:iCs/>
    </w:rPr>
  </w:style>
  <w:style w:type="character" w:styleId="Mention">
    <w:name w:val="Mention"/>
    <w:basedOn w:val="DefaultParagraphFont"/>
    <w:uiPriority w:val="99"/>
    <w:unhideWhenUsed/>
    <w:rsid w:val="00596A2A"/>
    <w:rPr>
      <w:color w:val="2B579A"/>
      <w:shd w:val="clear" w:color="auto" w:fill="E1DFDD"/>
      <w:lang w:val="en-GB"/>
    </w:rPr>
  </w:style>
  <w:style w:type="table" w:styleId="GridTable3-Accent3">
    <w:name w:val="Grid Table 3 Accent 3"/>
    <w:basedOn w:val="TableNormal"/>
    <w:uiPriority w:val="99"/>
    <w:rsid w:val="00B55A3B"/>
    <w:rPr>
      <w:rFonts w:ascii="Times New Roman" w:eastAsia="Times New Roman" w:hAnsi="Times New Roman" w:cs="Times New Roman"/>
      <w:kern w:val="0"/>
      <w:lang w:val="en-AU" w:eastAsia="en-AU"/>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paragraph" w:customStyle="1" w:styleId="ABSymbol">
    <w:name w:val="AB_Symbol"/>
    <w:basedOn w:val="Normal"/>
    <w:qFormat/>
    <w:rsid w:val="00E312A6"/>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rPr>
  </w:style>
  <w:style w:type="paragraph" w:customStyle="1" w:styleId="AEDistrNormal">
    <w:name w:val="AE_DistrNormal"/>
    <w:basedOn w:val="Normal"/>
    <w:unhideWhenUsed/>
    <w:rsid w:val="00E312A6"/>
    <w:pPr>
      <w:tabs>
        <w:tab w:val="left" w:pos="567"/>
        <w:tab w:val="left" w:pos="1134"/>
        <w:tab w:val="left" w:pos="1701"/>
        <w:tab w:val="left" w:pos="2268"/>
      </w:tabs>
    </w:pPr>
    <w:rPr>
      <w:rFonts w:eastAsia="SimSun"/>
      <w:sz w:val="22"/>
      <w:szCs w:val="22"/>
      <w:lang w:val="en-GB"/>
    </w:rPr>
  </w:style>
  <w:style w:type="paragraph" w:customStyle="1" w:styleId="AASmallLogo">
    <w:name w:val="AA_SmallLogo"/>
    <w:basedOn w:val="AEDistrNormal"/>
    <w:unhideWhenUsed/>
    <w:rsid w:val="00E312A6"/>
    <w:pPr>
      <w:spacing w:before="40"/>
    </w:pPr>
    <w:rPr>
      <w:sz w:val="4"/>
    </w:rPr>
  </w:style>
  <w:style w:type="paragraph" w:customStyle="1" w:styleId="ACLargeLogo">
    <w:name w:val="AC_LargeLogo"/>
    <w:basedOn w:val="AFCorNNormal"/>
    <w:next w:val="AISpacer"/>
    <w:unhideWhenUsed/>
    <w:rsid w:val="00E312A6"/>
    <w:pPr>
      <w:spacing w:before="120"/>
      <w:contextualSpacing/>
    </w:pPr>
    <w:rPr>
      <w:sz w:val="8"/>
    </w:rPr>
  </w:style>
  <w:style w:type="paragraph" w:customStyle="1" w:styleId="AISpacer">
    <w:name w:val="AI_Spacer"/>
    <w:next w:val="Normal"/>
    <w:unhideWhenUsed/>
    <w:qFormat/>
    <w:rsid w:val="00E312A6"/>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E312A6"/>
    <w:pPr>
      <w:spacing w:before="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226">
      <w:bodyDiv w:val="1"/>
      <w:marLeft w:val="0"/>
      <w:marRight w:val="0"/>
      <w:marTop w:val="0"/>
      <w:marBottom w:val="0"/>
      <w:divBdr>
        <w:top w:val="none" w:sz="0" w:space="0" w:color="auto"/>
        <w:left w:val="none" w:sz="0" w:space="0" w:color="auto"/>
        <w:bottom w:val="none" w:sz="0" w:space="0" w:color="auto"/>
        <w:right w:val="none" w:sz="0" w:space="0" w:color="auto"/>
      </w:divBdr>
    </w:div>
    <w:div w:id="117335285">
      <w:bodyDiv w:val="1"/>
      <w:marLeft w:val="0"/>
      <w:marRight w:val="0"/>
      <w:marTop w:val="0"/>
      <w:marBottom w:val="0"/>
      <w:divBdr>
        <w:top w:val="none" w:sz="0" w:space="0" w:color="auto"/>
        <w:left w:val="none" w:sz="0" w:space="0" w:color="auto"/>
        <w:bottom w:val="none" w:sz="0" w:space="0" w:color="auto"/>
        <w:right w:val="none" w:sz="0" w:space="0" w:color="auto"/>
      </w:divBdr>
    </w:div>
    <w:div w:id="142427489">
      <w:bodyDiv w:val="1"/>
      <w:marLeft w:val="0"/>
      <w:marRight w:val="0"/>
      <w:marTop w:val="0"/>
      <w:marBottom w:val="0"/>
      <w:divBdr>
        <w:top w:val="none" w:sz="0" w:space="0" w:color="auto"/>
        <w:left w:val="none" w:sz="0" w:space="0" w:color="auto"/>
        <w:bottom w:val="none" w:sz="0" w:space="0" w:color="auto"/>
        <w:right w:val="none" w:sz="0" w:space="0" w:color="auto"/>
      </w:divBdr>
    </w:div>
    <w:div w:id="145052355">
      <w:bodyDiv w:val="1"/>
      <w:marLeft w:val="0"/>
      <w:marRight w:val="0"/>
      <w:marTop w:val="0"/>
      <w:marBottom w:val="0"/>
      <w:divBdr>
        <w:top w:val="none" w:sz="0" w:space="0" w:color="auto"/>
        <w:left w:val="none" w:sz="0" w:space="0" w:color="auto"/>
        <w:bottom w:val="none" w:sz="0" w:space="0" w:color="auto"/>
        <w:right w:val="none" w:sz="0" w:space="0" w:color="auto"/>
      </w:divBdr>
      <w:divsChild>
        <w:div w:id="437676251">
          <w:marLeft w:val="0"/>
          <w:marRight w:val="0"/>
          <w:marTop w:val="0"/>
          <w:marBottom w:val="0"/>
          <w:divBdr>
            <w:top w:val="none" w:sz="0" w:space="0" w:color="auto"/>
            <w:left w:val="none" w:sz="0" w:space="0" w:color="auto"/>
            <w:bottom w:val="none" w:sz="0" w:space="0" w:color="auto"/>
            <w:right w:val="none" w:sz="0" w:space="0" w:color="auto"/>
          </w:divBdr>
        </w:div>
        <w:div w:id="792476471">
          <w:marLeft w:val="0"/>
          <w:marRight w:val="0"/>
          <w:marTop w:val="0"/>
          <w:marBottom w:val="0"/>
          <w:divBdr>
            <w:top w:val="none" w:sz="0" w:space="0" w:color="auto"/>
            <w:left w:val="none" w:sz="0" w:space="0" w:color="auto"/>
            <w:bottom w:val="none" w:sz="0" w:space="0" w:color="auto"/>
            <w:right w:val="none" w:sz="0" w:space="0" w:color="auto"/>
          </w:divBdr>
        </w:div>
        <w:div w:id="1246450121">
          <w:marLeft w:val="0"/>
          <w:marRight w:val="0"/>
          <w:marTop w:val="0"/>
          <w:marBottom w:val="0"/>
          <w:divBdr>
            <w:top w:val="none" w:sz="0" w:space="0" w:color="auto"/>
            <w:left w:val="none" w:sz="0" w:space="0" w:color="auto"/>
            <w:bottom w:val="none" w:sz="0" w:space="0" w:color="auto"/>
            <w:right w:val="none" w:sz="0" w:space="0" w:color="auto"/>
          </w:divBdr>
        </w:div>
        <w:div w:id="1460103388">
          <w:marLeft w:val="0"/>
          <w:marRight w:val="0"/>
          <w:marTop w:val="0"/>
          <w:marBottom w:val="0"/>
          <w:divBdr>
            <w:top w:val="none" w:sz="0" w:space="0" w:color="auto"/>
            <w:left w:val="none" w:sz="0" w:space="0" w:color="auto"/>
            <w:bottom w:val="none" w:sz="0" w:space="0" w:color="auto"/>
            <w:right w:val="none" w:sz="0" w:space="0" w:color="auto"/>
          </w:divBdr>
        </w:div>
        <w:div w:id="1555315782">
          <w:marLeft w:val="0"/>
          <w:marRight w:val="0"/>
          <w:marTop w:val="0"/>
          <w:marBottom w:val="0"/>
          <w:divBdr>
            <w:top w:val="none" w:sz="0" w:space="0" w:color="auto"/>
            <w:left w:val="none" w:sz="0" w:space="0" w:color="auto"/>
            <w:bottom w:val="none" w:sz="0" w:space="0" w:color="auto"/>
            <w:right w:val="none" w:sz="0" w:space="0" w:color="auto"/>
          </w:divBdr>
        </w:div>
        <w:div w:id="1882015836">
          <w:marLeft w:val="0"/>
          <w:marRight w:val="0"/>
          <w:marTop w:val="0"/>
          <w:marBottom w:val="0"/>
          <w:divBdr>
            <w:top w:val="none" w:sz="0" w:space="0" w:color="auto"/>
            <w:left w:val="none" w:sz="0" w:space="0" w:color="auto"/>
            <w:bottom w:val="none" w:sz="0" w:space="0" w:color="auto"/>
            <w:right w:val="none" w:sz="0" w:space="0" w:color="auto"/>
          </w:divBdr>
        </w:div>
      </w:divsChild>
    </w:div>
    <w:div w:id="190802731">
      <w:bodyDiv w:val="1"/>
      <w:marLeft w:val="0"/>
      <w:marRight w:val="0"/>
      <w:marTop w:val="0"/>
      <w:marBottom w:val="0"/>
      <w:divBdr>
        <w:top w:val="none" w:sz="0" w:space="0" w:color="auto"/>
        <w:left w:val="none" w:sz="0" w:space="0" w:color="auto"/>
        <w:bottom w:val="none" w:sz="0" w:space="0" w:color="auto"/>
        <w:right w:val="none" w:sz="0" w:space="0" w:color="auto"/>
      </w:divBdr>
    </w:div>
    <w:div w:id="277490501">
      <w:bodyDiv w:val="1"/>
      <w:marLeft w:val="0"/>
      <w:marRight w:val="0"/>
      <w:marTop w:val="0"/>
      <w:marBottom w:val="0"/>
      <w:divBdr>
        <w:top w:val="none" w:sz="0" w:space="0" w:color="auto"/>
        <w:left w:val="none" w:sz="0" w:space="0" w:color="auto"/>
        <w:bottom w:val="none" w:sz="0" w:space="0" w:color="auto"/>
        <w:right w:val="none" w:sz="0" w:space="0" w:color="auto"/>
      </w:divBdr>
    </w:div>
    <w:div w:id="334959978">
      <w:bodyDiv w:val="1"/>
      <w:marLeft w:val="0"/>
      <w:marRight w:val="0"/>
      <w:marTop w:val="0"/>
      <w:marBottom w:val="0"/>
      <w:divBdr>
        <w:top w:val="none" w:sz="0" w:space="0" w:color="auto"/>
        <w:left w:val="none" w:sz="0" w:space="0" w:color="auto"/>
        <w:bottom w:val="none" w:sz="0" w:space="0" w:color="auto"/>
        <w:right w:val="none" w:sz="0" w:space="0" w:color="auto"/>
      </w:divBdr>
      <w:divsChild>
        <w:div w:id="50160043">
          <w:marLeft w:val="0"/>
          <w:marRight w:val="0"/>
          <w:marTop w:val="0"/>
          <w:marBottom w:val="0"/>
          <w:divBdr>
            <w:top w:val="none" w:sz="0" w:space="0" w:color="auto"/>
            <w:left w:val="none" w:sz="0" w:space="0" w:color="auto"/>
            <w:bottom w:val="none" w:sz="0" w:space="0" w:color="auto"/>
            <w:right w:val="none" w:sz="0" w:space="0" w:color="auto"/>
          </w:divBdr>
        </w:div>
        <w:div w:id="83768369">
          <w:marLeft w:val="0"/>
          <w:marRight w:val="0"/>
          <w:marTop w:val="0"/>
          <w:marBottom w:val="0"/>
          <w:divBdr>
            <w:top w:val="none" w:sz="0" w:space="0" w:color="auto"/>
            <w:left w:val="none" w:sz="0" w:space="0" w:color="auto"/>
            <w:bottom w:val="none" w:sz="0" w:space="0" w:color="auto"/>
            <w:right w:val="none" w:sz="0" w:space="0" w:color="auto"/>
          </w:divBdr>
        </w:div>
        <w:div w:id="130827295">
          <w:marLeft w:val="0"/>
          <w:marRight w:val="0"/>
          <w:marTop w:val="0"/>
          <w:marBottom w:val="0"/>
          <w:divBdr>
            <w:top w:val="none" w:sz="0" w:space="0" w:color="auto"/>
            <w:left w:val="none" w:sz="0" w:space="0" w:color="auto"/>
            <w:bottom w:val="none" w:sz="0" w:space="0" w:color="auto"/>
            <w:right w:val="none" w:sz="0" w:space="0" w:color="auto"/>
          </w:divBdr>
        </w:div>
        <w:div w:id="206836570">
          <w:marLeft w:val="0"/>
          <w:marRight w:val="0"/>
          <w:marTop w:val="0"/>
          <w:marBottom w:val="0"/>
          <w:divBdr>
            <w:top w:val="none" w:sz="0" w:space="0" w:color="auto"/>
            <w:left w:val="none" w:sz="0" w:space="0" w:color="auto"/>
            <w:bottom w:val="none" w:sz="0" w:space="0" w:color="auto"/>
            <w:right w:val="none" w:sz="0" w:space="0" w:color="auto"/>
          </w:divBdr>
        </w:div>
        <w:div w:id="230970529">
          <w:marLeft w:val="0"/>
          <w:marRight w:val="0"/>
          <w:marTop w:val="0"/>
          <w:marBottom w:val="0"/>
          <w:divBdr>
            <w:top w:val="none" w:sz="0" w:space="0" w:color="auto"/>
            <w:left w:val="none" w:sz="0" w:space="0" w:color="auto"/>
            <w:bottom w:val="none" w:sz="0" w:space="0" w:color="auto"/>
            <w:right w:val="none" w:sz="0" w:space="0" w:color="auto"/>
          </w:divBdr>
        </w:div>
        <w:div w:id="326448102">
          <w:marLeft w:val="0"/>
          <w:marRight w:val="0"/>
          <w:marTop w:val="0"/>
          <w:marBottom w:val="0"/>
          <w:divBdr>
            <w:top w:val="none" w:sz="0" w:space="0" w:color="auto"/>
            <w:left w:val="none" w:sz="0" w:space="0" w:color="auto"/>
            <w:bottom w:val="none" w:sz="0" w:space="0" w:color="auto"/>
            <w:right w:val="none" w:sz="0" w:space="0" w:color="auto"/>
          </w:divBdr>
        </w:div>
        <w:div w:id="342827644">
          <w:marLeft w:val="0"/>
          <w:marRight w:val="0"/>
          <w:marTop w:val="0"/>
          <w:marBottom w:val="0"/>
          <w:divBdr>
            <w:top w:val="none" w:sz="0" w:space="0" w:color="auto"/>
            <w:left w:val="none" w:sz="0" w:space="0" w:color="auto"/>
            <w:bottom w:val="none" w:sz="0" w:space="0" w:color="auto"/>
            <w:right w:val="none" w:sz="0" w:space="0" w:color="auto"/>
          </w:divBdr>
        </w:div>
        <w:div w:id="503471582">
          <w:marLeft w:val="0"/>
          <w:marRight w:val="0"/>
          <w:marTop w:val="0"/>
          <w:marBottom w:val="0"/>
          <w:divBdr>
            <w:top w:val="none" w:sz="0" w:space="0" w:color="auto"/>
            <w:left w:val="none" w:sz="0" w:space="0" w:color="auto"/>
            <w:bottom w:val="none" w:sz="0" w:space="0" w:color="auto"/>
            <w:right w:val="none" w:sz="0" w:space="0" w:color="auto"/>
          </w:divBdr>
          <w:divsChild>
            <w:div w:id="7485246">
              <w:marLeft w:val="0"/>
              <w:marRight w:val="0"/>
              <w:marTop w:val="0"/>
              <w:marBottom w:val="0"/>
              <w:divBdr>
                <w:top w:val="none" w:sz="0" w:space="0" w:color="auto"/>
                <w:left w:val="none" w:sz="0" w:space="0" w:color="auto"/>
                <w:bottom w:val="none" w:sz="0" w:space="0" w:color="auto"/>
                <w:right w:val="none" w:sz="0" w:space="0" w:color="auto"/>
              </w:divBdr>
            </w:div>
            <w:div w:id="9914359">
              <w:marLeft w:val="0"/>
              <w:marRight w:val="0"/>
              <w:marTop w:val="0"/>
              <w:marBottom w:val="0"/>
              <w:divBdr>
                <w:top w:val="none" w:sz="0" w:space="0" w:color="auto"/>
                <w:left w:val="none" w:sz="0" w:space="0" w:color="auto"/>
                <w:bottom w:val="none" w:sz="0" w:space="0" w:color="auto"/>
                <w:right w:val="none" w:sz="0" w:space="0" w:color="auto"/>
              </w:divBdr>
            </w:div>
            <w:div w:id="264768710">
              <w:marLeft w:val="0"/>
              <w:marRight w:val="0"/>
              <w:marTop w:val="0"/>
              <w:marBottom w:val="0"/>
              <w:divBdr>
                <w:top w:val="none" w:sz="0" w:space="0" w:color="auto"/>
                <w:left w:val="none" w:sz="0" w:space="0" w:color="auto"/>
                <w:bottom w:val="none" w:sz="0" w:space="0" w:color="auto"/>
                <w:right w:val="none" w:sz="0" w:space="0" w:color="auto"/>
              </w:divBdr>
            </w:div>
            <w:div w:id="389883759">
              <w:marLeft w:val="0"/>
              <w:marRight w:val="0"/>
              <w:marTop w:val="0"/>
              <w:marBottom w:val="0"/>
              <w:divBdr>
                <w:top w:val="none" w:sz="0" w:space="0" w:color="auto"/>
                <w:left w:val="none" w:sz="0" w:space="0" w:color="auto"/>
                <w:bottom w:val="none" w:sz="0" w:space="0" w:color="auto"/>
                <w:right w:val="none" w:sz="0" w:space="0" w:color="auto"/>
              </w:divBdr>
            </w:div>
            <w:div w:id="503711795">
              <w:marLeft w:val="0"/>
              <w:marRight w:val="0"/>
              <w:marTop w:val="0"/>
              <w:marBottom w:val="0"/>
              <w:divBdr>
                <w:top w:val="none" w:sz="0" w:space="0" w:color="auto"/>
                <w:left w:val="none" w:sz="0" w:space="0" w:color="auto"/>
                <w:bottom w:val="none" w:sz="0" w:space="0" w:color="auto"/>
                <w:right w:val="none" w:sz="0" w:space="0" w:color="auto"/>
              </w:divBdr>
            </w:div>
            <w:div w:id="644041692">
              <w:marLeft w:val="0"/>
              <w:marRight w:val="0"/>
              <w:marTop w:val="0"/>
              <w:marBottom w:val="0"/>
              <w:divBdr>
                <w:top w:val="none" w:sz="0" w:space="0" w:color="auto"/>
                <w:left w:val="none" w:sz="0" w:space="0" w:color="auto"/>
                <w:bottom w:val="none" w:sz="0" w:space="0" w:color="auto"/>
                <w:right w:val="none" w:sz="0" w:space="0" w:color="auto"/>
              </w:divBdr>
            </w:div>
            <w:div w:id="796021589">
              <w:marLeft w:val="0"/>
              <w:marRight w:val="0"/>
              <w:marTop w:val="0"/>
              <w:marBottom w:val="0"/>
              <w:divBdr>
                <w:top w:val="none" w:sz="0" w:space="0" w:color="auto"/>
                <w:left w:val="none" w:sz="0" w:space="0" w:color="auto"/>
                <w:bottom w:val="none" w:sz="0" w:space="0" w:color="auto"/>
                <w:right w:val="none" w:sz="0" w:space="0" w:color="auto"/>
              </w:divBdr>
            </w:div>
            <w:div w:id="897474715">
              <w:marLeft w:val="0"/>
              <w:marRight w:val="0"/>
              <w:marTop w:val="0"/>
              <w:marBottom w:val="0"/>
              <w:divBdr>
                <w:top w:val="none" w:sz="0" w:space="0" w:color="auto"/>
                <w:left w:val="none" w:sz="0" w:space="0" w:color="auto"/>
                <w:bottom w:val="none" w:sz="0" w:space="0" w:color="auto"/>
                <w:right w:val="none" w:sz="0" w:space="0" w:color="auto"/>
              </w:divBdr>
            </w:div>
            <w:div w:id="1006329343">
              <w:marLeft w:val="0"/>
              <w:marRight w:val="0"/>
              <w:marTop w:val="0"/>
              <w:marBottom w:val="0"/>
              <w:divBdr>
                <w:top w:val="none" w:sz="0" w:space="0" w:color="auto"/>
                <w:left w:val="none" w:sz="0" w:space="0" w:color="auto"/>
                <w:bottom w:val="none" w:sz="0" w:space="0" w:color="auto"/>
                <w:right w:val="none" w:sz="0" w:space="0" w:color="auto"/>
              </w:divBdr>
            </w:div>
            <w:div w:id="1016228302">
              <w:marLeft w:val="0"/>
              <w:marRight w:val="0"/>
              <w:marTop w:val="0"/>
              <w:marBottom w:val="0"/>
              <w:divBdr>
                <w:top w:val="none" w:sz="0" w:space="0" w:color="auto"/>
                <w:left w:val="none" w:sz="0" w:space="0" w:color="auto"/>
                <w:bottom w:val="none" w:sz="0" w:space="0" w:color="auto"/>
                <w:right w:val="none" w:sz="0" w:space="0" w:color="auto"/>
              </w:divBdr>
            </w:div>
            <w:div w:id="1176655460">
              <w:marLeft w:val="0"/>
              <w:marRight w:val="0"/>
              <w:marTop w:val="0"/>
              <w:marBottom w:val="0"/>
              <w:divBdr>
                <w:top w:val="none" w:sz="0" w:space="0" w:color="auto"/>
                <w:left w:val="none" w:sz="0" w:space="0" w:color="auto"/>
                <w:bottom w:val="none" w:sz="0" w:space="0" w:color="auto"/>
                <w:right w:val="none" w:sz="0" w:space="0" w:color="auto"/>
              </w:divBdr>
            </w:div>
            <w:div w:id="1501509627">
              <w:marLeft w:val="0"/>
              <w:marRight w:val="0"/>
              <w:marTop w:val="0"/>
              <w:marBottom w:val="0"/>
              <w:divBdr>
                <w:top w:val="none" w:sz="0" w:space="0" w:color="auto"/>
                <w:left w:val="none" w:sz="0" w:space="0" w:color="auto"/>
                <w:bottom w:val="none" w:sz="0" w:space="0" w:color="auto"/>
                <w:right w:val="none" w:sz="0" w:space="0" w:color="auto"/>
              </w:divBdr>
            </w:div>
            <w:div w:id="1571383030">
              <w:marLeft w:val="0"/>
              <w:marRight w:val="0"/>
              <w:marTop w:val="0"/>
              <w:marBottom w:val="0"/>
              <w:divBdr>
                <w:top w:val="none" w:sz="0" w:space="0" w:color="auto"/>
                <w:left w:val="none" w:sz="0" w:space="0" w:color="auto"/>
                <w:bottom w:val="none" w:sz="0" w:space="0" w:color="auto"/>
                <w:right w:val="none" w:sz="0" w:space="0" w:color="auto"/>
              </w:divBdr>
            </w:div>
            <w:div w:id="1859393789">
              <w:marLeft w:val="0"/>
              <w:marRight w:val="0"/>
              <w:marTop w:val="0"/>
              <w:marBottom w:val="0"/>
              <w:divBdr>
                <w:top w:val="none" w:sz="0" w:space="0" w:color="auto"/>
                <w:left w:val="none" w:sz="0" w:space="0" w:color="auto"/>
                <w:bottom w:val="none" w:sz="0" w:space="0" w:color="auto"/>
                <w:right w:val="none" w:sz="0" w:space="0" w:color="auto"/>
              </w:divBdr>
            </w:div>
            <w:div w:id="1999186398">
              <w:marLeft w:val="0"/>
              <w:marRight w:val="0"/>
              <w:marTop w:val="0"/>
              <w:marBottom w:val="0"/>
              <w:divBdr>
                <w:top w:val="none" w:sz="0" w:space="0" w:color="auto"/>
                <w:left w:val="none" w:sz="0" w:space="0" w:color="auto"/>
                <w:bottom w:val="none" w:sz="0" w:space="0" w:color="auto"/>
                <w:right w:val="none" w:sz="0" w:space="0" w:color="auto"/>
              </w:divBdr>
            </w:div>
            <w:div w:id="2085561438">
              <w:marLeft w:val="0"/>
              <w:marRight w:val="0"/>
              <w:marTop w:val="0"/>
              <w:marBottom w:val="0"/>
              <w:divBdr>
                <w:top w:val="none" w:sz="0" w:space="0" w:color="auto"/>
                <w:left w:val="none" w:sz="0" w:space="0" w:color="auto"/>
                <w:bottom w:val="none" w:sz="0" w:space="0" w:color="auto"/>
                <w:right w:val="none" w:sz="0" w:space="0" w:color="auto"/>
              </w:divBdr>
            </w:div>
          </w:divsChild>
        </w:div>
        <w:div w:id="684675955">
          <w:marLeft w:val="0"/>
          <w:marRight w:val="0"/>
          <w:marTop w:val="0"/>
          <w:marBottom w:val="0"/>
          <w:divBdr>
            <w:top w:val="none" w:sz="0" w:space="0" w:color="auto"/>
            <w:left w:val="none" w:sz="0" w:space="0" w:color="auto"/>
            <w:bottom w:val="none" w:sz="0" w:space="0" w:color="auto"/>
            <w:right w:val="none" w:sz="0" w:space="0" w:color="auto"/>
          </w:divBdr>
          <w:divsChild>
            <w:div w:id="332950916">
              <w:marLeft w:val="0"/>
              <w:marRight w:val="0"/>
              <w:marTop w:val="0"/>
              <w:marBottom w:val="0"/>
              <w:divBdr>
                <w:top w:val="none" w:sz="0" w:space="0" w:color="auto"/>
                <w:left w:val="none" w:sz="0" w:space="0" w:color="auto"/>
                <w:bottom w:val="none" w:sz="0" w:space="0" w:color="auto"/>
                <w:right w:val="none" w:sz="0" w:space="0" w:color="auto"/>
              </w:divBdr>
            </w:div>
            <w:div w:id="561404091">
              <w:marLeft w:val="0"/>
              <w:marRight w:val="0"/>
              <w:marTop w:val="0"/>
              <w:marBottom w:val="0"/>
              <w:divBdr>
                <w:top w:val="none" w:sz="0" w:space="0" w:color="auto"/>
                <w:left w:val="none" w:sz="0" w:space="0" w:color="auto"/>
                <w:bottom w:val="none" w:sz="0" w:space="0" w:color="auto"/>
                <w:right w:val="none" w:sz="0" w:space="0" w:color="auto"/>
              </w:divBdr>
            </w:div>
            <w:div w:id="585766332">
              <w:marLeft w:val="0"/>
              <w:marRight w:val="0"/>
              <w:marTop w:val="0"/>
              <w:marBottom w:val="0"/>
              <w:divBdr>
                <w:top w:val="none" w:sz="0" w:space="0" w:color="auto"/>
                <w:left w:val="none" w:sz="0" w:space="0" w:color="auto"/>
                <w:bottom w:val="none" w:sz="0" w:space="0" w:color="auto"/>
                <w:right w:val="none" w:sz="0" w:space="0" w:color="auto"/>
              </w:divBdr>
            </w:div>
            <w:div w:id="611205586">
              <w:marLeft w:val="0"/>
              <w:marRight w:val="0"/>
              <w:marTop w:val="0"/>
              <w:marBottom w:val="0"/>
              <w:divBdr>
                <w:top w:val="none" w:sz="0" w:space="0" w:color="auto"/>
                <w:left w:val="none" w:sz="0" w:space="0" w:color="auto"/>
                <w:bottom w:val="none" w:sz="0" w:space="0" w:color="auto"/>
                <w:right w:val="none" w:sz="0" w:space="0" w:color="auto"/>
              </w:divBdr>
            </w:div>
            <w:div w:id="827327083">
              <w:marLeft w:val="0"/>
              <w:marRight w:val="0"/>
              <w:marTop w:val="0"/>
              <w:marBottom w:val="0"/>
              <w:divBdr>
                <w:top w:val="none" w:sz="0" w:space="0" w:color="auto"/>
                <w:left w:val="none" w:sz="0" w:space="0" w:color="auto"/>
                <w:bottom w:val="none" w:sz="0" w:space="0" w:color="auto"/>
                <w:right w:val="none" w:sz="0" w:space="0" w:color="auto"/>
              </w:divBdr>
            </w:div>
            <w:div w:id="927425438">
              <w:marLeft w:val="0"/>
              <w:marRight w:val="0"/>
              <w:marTop w:val="0"/>
              <w:marBottom w:val="0"/>
              <w:divBdr>
                <w:top w:val="none" w:sz="0" w:space="0" w:color="auto"/>
                <w:left w:val="none" w:sz="0" w:space="0" w:color="auto"/>
                <w:bottom w:val="none" w:sz="0" w:space="0" w:color="auto"/>
                <w:right w:val="none" w:sz="0" w:space="0" w:color="auto"/>
              </w:divBdr>
            </w:div>
            <w:div w:id="945844503">
              <w:marLeft w:val="0"/>
              <w:marRight w:val="0"/>
              <w:marTop w:val="0"/>
              <w:marBottom w:val="0"/>
              <w:divBdr>
                <w:top w:val="none" w:sz="0" w:space="0" w:color="auto"/>
                <w:left w:val="none" w:sz="0" w:space="0" w:color="auto"/>
                <w:bottom w:val="none" w:sz="0" w:space="0" w:color="auto"/>
                <w:right w:val="none" w:sz="0" w:space="0" w:color="auto"/>
              </w:divBdr>
            </w:div>
            <w:div w:id="1008798074">
              <w:marLeft w:val="0"/>
              <w:marRight w:val="0"/>
              <w:marTop w:val="0"/>
              <w:marBottom w:val="0"/>
              <w:divBdr>
                <w:top w:val="none" w:sz="0" w:space="0" w:color="auto"/>
                <w:left w:val="none" w:sz="0" w:space="0" w:color="auto"/>
                <w:bottom w:val="none" w:sz="0" w:space="0" w:color="auto"/>
                <w:right w:val="none" w:sz="0" w:space="0" w:color="auto"/>
              </w:divBdr>
            </w:div>
            <w:div w:id="1147090968">
              <w:marLeft w:val="0"/>
              <w:marRight w:val="0"/>
              <w:marTop w:val="0"/>
              <w:marBottom w:val="0"/>
              <w:divBdr>
                <w:top w:val="none" w:sz="0" w:space="0" w:color="auto"/>
                <w:left w:val="none" w:sz="0" w:space="0" w:color="auto"/>
                <w:bottom w:val="none" w:sz="0" w:space="0" w:color="auto"/>
                <w:right w:val="none" w:sz="0" w:space="0" w:color="auto"/>
              </w:divBdr>
            </w:div>
            <w:div w:id="1253008348">
              <w:marLeft w:val="0"/>
              <w:marRight w:val="0"/>
              <w:marTop w:val="0"/>
              <w:marBottom w:val="0"/>
              <w:divBdr>
                <w:top w:val="none" w:sz="0" w:space="0" w:color="auto"/>
                <w:left w:val="none" w:sz="0" w:space="0" w:color="auto"/>
                <w:bottom w:val="none" w:sz="0" w:space="0" w:color="auto"/>
                <w:right w:val="none" w:sz="0" w:space="0" w:color="auto"/>
              </w:divBdr>
            </w:div>
            <w:div w:id="1256547637">
              <w:marLeft w:val="0"/>
              <w:marRight w:val="0"/>
              <w:marTop w:val="0"/>
              <w:marBottom w:val="0"/>
              <w:divBdr>
                <w:top w:val="none" w:sz="0" w:space="0" w:color="auto"/>
                <w:left w:val="none" w:sz="0" w:space="0" w:color="auto"/>
                <w:bottom w:val="none" w:sz="0" w:space="0" w:color="auto"/>
                <w:right w:val="none" w:sz="0" w:space="0" w:color="auto"/>
              </w:divBdr>
            </w:div>
            <w:div w:id="1278440268">
              <w:marLeft w:val="0"/>
              <w:marRight w:val="0"/>
              <w:marTop w:val="0"/>
              <w:marBottom w:val="0"/>
              <w:divBdr>
                <w:top w:val="none" w:sz="0" w:space="0" w:color="auto"/>
                <w:left w:val="none" w:sz="0" w:space="0" w:color="auto"/>
                <w:bottom w:val="none" w:sz="0" w:space="0" w:color="auto"/>
                <w:right w:val="none" w:sz="0" w:space="0" w:color="auto"/>
              </w:divBdr>
            </w:div>
            <w:div w:id="1299872652">
              <w:marLeft w:val="0"/>
              <w:marRight w:val="0"/>
              <w:marTop w:val="0"/>
              <w:marBottom w:val="0"/>
              <w:divBdr>
                <w:top w:val="none" w:sz="0" w:space="0" w:color="auto"/>
                <w:left w:val="none" w:sz="0" w:space="0" w:color="auto"/>
                <w:bottom w:val="none" w:sz="0" w:space="0" w:color="auto"/>
                <w:right w:val="none" w:sz="0" w:space="0" w:color="auto"/>
              </w:divBdr>
            </w:div>
            <w:div w:id="1707635887">
              <w:marLeft w:val="0"/>
              <w:marRight w:val="0"/>
              <w:marTop w:val="0"/>
              <w:marBottom w:val="0"/>
              <w:divBdr>
                <w:top w:val="none" w:sz="0" w:space="0" w:color="auto"/>
                <w:left w:val="none" w:sz="0" w:space="0" w:color="auto"/>
                <w:bottom w:val="none" w:sz="0" w:space="0" w:color="auto"/>
                <w:right w:val="none" w:sz="0" w:space="0" w:color="auto"/>
              </w:divBdr>
            </w:div>
            <w:div w:id="1742364950">
              <w:marLeft w:val="0"/>
              <w:marRight w:val="0"/>
              <w:marTop w:val="0"/>
              <w:marBottom w:val="0"/>
              <w:divBdr>
                <w:top w:val="none" w:sz="0" w:space="0" w:color="auto"/>
                <w:left w:val="none" w:sz="0" w:space="0" w:color="auto"/>
                <w:bottom w:val="none" w:sz="0" w:space="0" w:color="auto"/>
                <w:right w:val="none" w:sz="0" w:space="0" w:color="auto"/>
              </w:divBdr>
            </w:div>
            <w:div w:id="1792286400">
              <w:marLeft w:val="0"/>
              <w:marRight w:val="0"/>
              <w:marTop w:val="0"/>
              <w:marBottom w:val="0"/>
              <w:divBdr>
                <w:top w:val="none" w:sz="0" w:space="0" w:color="auto"/>
                <w:left w:val="none" w:sz="0" w:space="0" w:color="auto"/>
                <w:bottom w:val="none" w:sz="0" w:space="0" w:color="auto"/>
                <w:right w:val="none" w:sz="0" w:space="0" w:color="auto"/>
              </w:divBdr>
            </w:div>
            <w:div w:id="2055620217">
              <w:marLeft w:val="0"/>
              <w:marRight w:val="0"/>
              <w:marTop w:val="0"/>
              <w:marBottom w:val="0"/>
              <w:divBdr>
                <w:top w:val="none" w:sz="0" w:space="0" w:color="auto"/>
                <w:left w:val="none" w:sz="0" w:space="0" w:color="auto"/>
                <w:bottom w:val="none" w:sz="0" w:space="0" w:color="auto"/>
                <w:right w:val="none" w:sz="0" w:space="0" w:color="auto"/>
              </w:divBdr>
            </w:div>
            <w:div w:id="2108113026">
              <w:marLeft w:val="0"/>
              <w:marRight w:val="0"/>
              <w:marTop w:val="0"/>
              <w:marBottom w:val="0"/>
              <w:divBdr>
                <w:top w:val="none" w:sz="0" w:space="0" w:color="auto"/>
                <w:left w:val="none" w:sz="0" w:space="0" w:color="auto"/>
                <w:bottom w:val="none" w:sz="0" w:space="0" w:color="auto"/>
                <w:right w:val="none" w:sz="0" w:space="0" w:color="auto"/>
              </w:divBdr>
            </w:div>
          </w:divsChild>
        </w:div>
        <w:div w:id="795566371">
          <w:marLeft w:val="0"/>
          <w:marRight w:val="0"/>
          <w:marTop w:val="0"/>
          <w:marBottom w:val="0"/>
          <w:divBdr>
            <w:top w:val="none" w:sz="0" w:space="0" w:color="auto"/>
            <w:left w:val="none" w:sz="0" w:space="0" w:color="auto"/>
            <w:bottom w:val="none" w:sz="0" w:space="0" w:color="auto"/>
            <w:right w:val="none" w:sz="0" w:space="0" w:color="auto"/>
          </w:divBdr>
        </w:div>
        <w:div w:id="812452948">
          <w:marLeft w:val="0"/>
          <w:marRight w:val="0"/>
          <w:marTop w:val="0"/>
          <w:marBottom w:val="0"/>
          <w:divBdr>
            <w:top w:val="none" w:sz="0" w:space="0" w:color="auto"/>
            <w:left w:val="none" w:sz="0" w:space="0" w:color="auto"/>
            <w:bottom w:val="none" w:sz="0" w:space="0" w:color="auto"/>
            <w:right w:val="none" w:sz="0" w:space="0" w:color="auto"/>
          </w:divBdr>
          <w:divsChild>
            <w:div w:id="1477531048">
              <w:marLeft w:val="-75"/>
              <w:marRight w:val="0"/>
              <w:marTop w:val="30"/>
              <w:marBottom w:val="30"/>
              <w:divBdr>
                <w:top w:val="none" w:sz="0" w:space="0" w:color="auto"/>
                <w:left w:val="none" w:sz="0" w:space="0" w:color="auto"/>
                <w:bottom w:val="none" w:sz="0" w:space="0" w:color="auto"/>
                <w:right w:val="none" w:sz="0" w:space="0" w:color="auto"/>
              </w:divBdr>
              <w:divsChild>
                <w:div w:id="5716619">
                  <w:marLeft w:val="0"/>
                  <w:marRight w:val="0"/>
                  <w:marTop w:val="0"/>
                  <w:marBottom w:val="0"/>
                  <w:divBdr>
                    <w:top w:val="none" w:sz="0" w:space="0" w:color="auto"/>
                    <w:left w:val="none" w:sz="0" w:space="0" w:color="auto"/>
                    <w:bottom w:val="none" w:sz="0" w:space="0" w:color="auto"/>
                    <w:right w:val="none" w:sz="0" w:space="0" w:color="auto"/>
                  </w:divBdr>
                  <w:divsChild>
                    <w:div w:id="1314867248">
                      <w:marLeft w:val="0"/>
                      <w:marRight w:val="0"/>
                      <w:marTop w:val="0"/>
                      <w:marBottom w:val="0"/>
                      <w:divBdr>
                        <w:top w:val="none" w:sz="0" w:space="0" w:color="auto"/>
                        <w:left w:val="none" w:sz="0" w:space="0" w:color="auto"/>
                        <w:bottom w:val="none" w:sz="0" w:space="0" w:color="auto"/>
                        <w:right w:val="none" w:sz="0" w:space="0" w:color="auto"/>
                      </w:divBdr>
                    </w:div>
                  </w:divsChild>
                </w:div>
                <w:div w:id="9845376">
                  <w:marLeft w:val="0"/>
                  <w:marRight w:val="0"/>
                  <w:marTop w:val="0"/>
                  <w:marBottom w:val="0"/>
                  <w:divBdr>
                    <w:top w:val="none" w:sz="0" w:space="0" w:color="auto"/>
                    <w:left w:val="none" w:sz="0" w:space="0" w:color="auto"/>
                    <w:bottom w:val="none" w:sz="0" w:space="0" w:color="auto"/>
                    <w:right w:val="none" w:sz="0" w:space="0" w:color="auto"/>
                  </w:divBdr>
                  <w:divsChild>
                    <w:div w:id="528684507">
                      <w:marLeft w:val="0"/>
                      <w:marRight w:val="0"/>
                      <w:marTop w:val="0"/>
                      <w:marBottom w:val="0"/>
                      <w:divBdr>
                        <w:top w:val="none" w:sz="0" w:space="0" w:color="auto"/>
                        <w:left w:val="none" w:sz="0" w:space="0" w:color="auto"/>
                        <w:bottom w:val="none" w:sz="0" w:space="0" w:color="auto"/>
                        <w:right w:val="none" w:sz="0" w:space="0" w:color="auto"/>
                      </w:divBdr>
                    </w:div>
                  </w:divsChild>
                </w:div>
                <w:div w:id="18047242">
                  <w:marLeft w:val="0"/>
                  <w:marRight w:val="0"/>
                  <w:marTop w:val="0"/>
                  <w:marBottom w:val="0"/>
                  <w:divBdr>
                    <w:top w:val="none" w:sz="0" w:space="0" w:color="auto"/>
                    <w:left w:val="none" w:sz="0" w:space="0" w:color="auto"/>
                    <w:bottom w:val="none" w:sz="0" w:space="0" w:color="auto"/>
                    <w:right w:val="none" w:sz="0" w:space="0" w:color="auto"/>
                  </w:divBdr>
                  <w:divsChild>
                    <w:div w:id="229775632">
                      <w:marLeft w:val="0"/>
                      <w:marRight w:val="0"/>
                      <w:marTop w:val="0"/>
                      <w:marBottom w:val="0"/>
                      <w:divBdr>
                        <w:top w:val="none" w:sz="0" w:space="0" w:color="auto"/>
                        <w:left w:val="none" w:sz="0" w:space="0" w:color="auto"/>
                        <w:bottom w:val="none" w:sz="0" w:space="0" w:color="auto"/>
                        <w:right w:val="none" w:sz="0" w:space="0" w:color="auto"/>
                      </w:divBdr>
                    </w:div>
                  </w:divsChild>
                </w:div>
                <w:div w:id="62487812">
                  <w:marLeft w:val="0"/>
                  <w:marRight w:val="0"/>
                  <w:marTop w:val="0"/>
                  <w:marBottom w:val="0"/>
                  <w:divBdr>
                    <w:top w:val="none" w:sz="0" w:space="0" w:color="auto"/>
                    <w:left w:val="none" w:sz="0" w:space="0" w:color="auto"/>
                    <w:bottom w:val="none" w:sz="0" w:space="0" w:color="auto"/>
                    <w:right w:val="none" w:sz="0" w:space="0" w:color="auto"/>
                  </w:divBdr>
                  <w:divsChild>
                    <w:div w:id="1755660459">
                      <w:marLeft w:val="0"/>
                      <w:marRight w:val="0"/>
                      <w:marTop w:val="0"/>
                      <w:marBottom w:val="0"/>
                      <w:divBdr>
                        <w:top w:val="none" w:sz="0" w:space="0" w:color="auto"/>
                        <w:left w:val="none" w:sz="0" w:space="0" w:color="auto"/>
                        <w:bottom w:val="none" w:sz="0" w:space="0" w:color="auto"/>
                        <w:right w:val="none" w:sz="0" w:space="0" w:color="auto"/>
                      </w:divBdr>
                    </w:div>
                  </w:divsChild>
                </w:div>
                <w:div w:id="66735251">
                  <w:marLeft w:val="0"/>
                  <w:marRight w:val="0"/>
                  <w:marTop w:val="0"/>
                  <w:marBottom w:val="0"/>
                  <w:divBdr>
                    <w:top w:val="none" w:sz="0" w:space="0" w:color="auto"/>
                    <w:left w:val="none" w:sz="0" w:space="0" w:color="auto"/>
                    <w:bottom w:val="none" w:sz="0" w:space="0" w:color="auto"/>
                    <w:right w:val="none" w:sz="0" w:space="0" w:color="auto"/>
                  </w:divBdr>
                  <w:divsChild>
                    <w:div w:id="485438765">
                      <w:marLeft w:val="0"/>
                      <w:marRight w:val="0"/>
                      <w:marTop w:val="0"/>
                      <w:marBottom w:val="0"/>
                      <w:divBdr>
                        <w:top w:val="none" w:sz="0" w:space="0" w:color="auto"/>
                        <w:left w:val="none" w:sz="0" w:space="0" w:color="auto"/>
                        <w:bottom w:val="none" w:sz="0" w:space="0" w:color="auto"/>
                        <w:right w:val="none" w:sz="0" w:space="0" w:color="auto"/>
                      </w:divBdr>
                    </w:div>
                  </w:divsChild>
                </w:div>
                <w:div w:id="125894698">
                  <w:marLeft w:val="0"/>
                  <w:marRight w:val="0"/>
                  <w:marTop w:val="0"/>
                  <w:marBottom w:val="0"/>
                  <w:divBdr>
                    <w:top w:val="none" w:sz="0" w:space="0" w:color="auto"/>
                    <w:left w:val="none" w:sz="0" w:space="0" w:color="auto"/>
                    <w:bottom w:val="none" w:sz="0" w:space="0" w:color="auto"/>
                    <w:right w:val="none" w:sz="0" w:space="0" w:color="auto"/>
                  </w:divBdr>
                  <w:divsChild>
                    <w:div w:id="1834225809">
                      <w:marLeft w:val="0"/>
                      <w:marRight w:val="0"/>
                      <w:marTop w:val="0"/>
                      <w:marBottom w:val="0"/>
                      <w:divBdr>
                        <w:top w:val="none" w:sz="0" w:space="0" w:color="auto"/>
                        <w:left w:val="none" w:sz="0" w:space="0" w:color="auto"/>
                        <w:bottom w:val="none" w:sz="0" w:space="0" w:color="auto"/>
                        <w:right w:val="none" w:sz="0" w:space="0" w:color="auto"/>
                      </w:divBdr>
                    </w:div>
                  </w:divsChild>
                </w:div>
                <w:div w:id="141582730">
                  <w:marLeft w:val="0"/>
                  <w:marRight w:val="0"/>
                  <w:marTop w:val="0"/>
                  <w:marBottom w:val="0"/>
                  <w:divBdr>
                    <w:top w:val="none" w:sz="0" w:space="0" w:color="auto"/>
                    <w:left w:val="none" w:sz="0" w:space="0" w:color="auto"/>
                    <w:bottom w:val="none" w:sz="0" w:space="0" w:color="auto"/>
                    <w:right w:val="none" w:sz="0" w:space="0" w:color="auto"/>
                  </w:divBdr>
                  <w:divsChild>
                    <w:div w:id="1301109179">
                      <w:marLeft w:val="0"/>
                      <w:marRight w:val="0"/>
                      <w:marTop w:val="0"/>
                      <w:marBottom w:val="0"/>
                      <w:divBdr>
                        <w:top w:val="none" w:sz="0" w:space="0" w:color="auto"/>
                        <w:left w:val="none" w:sz="0" w:space="0" w:color="auto"/>
                        <w:bottom w:val="none" w:sz="0" w:space="0" w:color="auto"/>
                        <w:right w:val="none" w:sz="0" w:space="0" w:color="auto"/>
                      </w:divBdr>
                    </w:div>
                  </w:divsChild>
                </w:div>
                <w:div w:id="161819610">
                  <w:marLeft w:val="0"/>
                  <w:marRight w:val="0"/>
                  <w:marTop w:val="0"/>
                  <w:marBottom w:val="0"/>
                  <w:divBdr>
                    <w:top w:val="none" w:sz="0" w:space="0" w:color="auto"/>
                    <w:left w:val="none" w:sz="0" w:space="0" w:color="auto"/>
                    <w:bottom w:val="none" w:sz="0" w:space="0" w:color="auto"/>
                    <w:right w:val="none" w:sz="0" w:space="0" w:color="auto"/>
                  </w:divBdr>
                  <w:divsChild>
                    <w:div w:id="460609162">
                      <w:marLeft w:val="0"/>
                      <w:marRight w:val="0"/>
                      <w:marTop w:val="0"/>
                      <w:marBottom w:val="0"/>
                      <w:divBdr>
                        <w:top w:val="none" w:sz="0" w:space="0" w:color="auto"/>
                        <w:left w:val="none" w:sz="0" w:space="0" w:color="auto"/>
                        <w:bottom w:val="none" w:sz="0" w:space="0" w:color="auto"/>
                        <w:right w:val="none" w:sz="0" w:space="0" w:color="auto"/>
                      </w:divBdr>
                    </w:div>
                  </w:divsChild>
                </w:div>
                <w:div w:id="170225308">
                  <w:marLeft w:val="0"/>
                  <w:marRight w:val="0"/>
                  <w:marTop w:val="0"/>
                  <w:marBottom w:val="0"/>
                  <w:divBdr>
                    <w:top w:val="none" w:sz="0" w:space="0" w:color="auto"/>
                    <w:left w:val="none" w:sz="0" w:space="0" w:color="auto"/>
                    <w:bottom w:val="none" w:sz="0" w:space="0" w:color="auto"/>
                    <w:right w:val="none" w:sz="0" w:space="0" w:color="auto"/>
                  </w:divBdr>
                  <w:divsChild>
                    <w:div w:id="807404541">
                      <w:marLeft w:val="0"/>
                      <w:marRight w:val="0"/>
                      <w:marTop w:val="0"/>
                      <w:marBottom w:val="0"/>
                      <w:divBdr>
                        <w:top w:val="none" w:sz="0" w:space="0" w:color="auto"/>
                        <w:left w:val="none" w:sz="0" w:space="0" w:color="auto"/>
                        <w:bottom w:val="none" w:sz="0" w:space="0" w:color="auto"/>
                        <w:right w:val="none" w:sz="0" w:space="0" w:color="auto"/>
                      </w:divBdr>
                    </w:div>
                  </w:divsChild>
                </w:div>
                <w:div w:id="173958327">
                  <w:marLeft w:val="0"/>
                  <w:marRight w:val="0"/>
                  <w:marTop w:val="0"/>
                  <w:marBottom w:val="0"/>
                  <w:divBdr>
                    <w:top w:val="none" w:sz="0" w:space="0" w:color="auto"/>
                    <w:left w:val="none" w:sz="0" w:space="0" w:color="auto"/>
                    <w:bottom w:val="none" w:sz="0" w:space="0" w:color="auto"/>
                    <w:right w:val="none" w:sz="0" w:space="0" w:color="auto"/>
                  </w:divBdr>
                  <w:divsChild>
                    <w:div w:id="932396377">
                      <w:marLeft w:val="0"/>
                      <w:marRight w:val="0"/>
                      <w:marTop w:val="0"/>
                      <w:marBottom w:val="0"/>
                      <w:divBdr>
                        <w:top w:val="none" w:sz="0" w:space="0" w:color="auto"/>
                        <w:left w:val="none" w:sz="0" w:space="0" w:color="auto"/>
                        <w:bottom w:val="none" w:sz="0" w:space="0" w:color="auto"/>
                        <w:right w:val="none" w:sz="0" w:space="0" w:color="auto"/>
                      </w:divBdr>
                    </w:div>
                  </w:divsChild>
                </w:div>
                <w:div w:id="181289442">
                  <w:marLeft w:val="0"/>
                  <w:marRight w:val="0"/>
                  <w:marTop w:val="0"/>
                  <w:marBottom w:val="0"/>
                  <w:divBdr>
                    <w:top w:val="none" w:sz="0" w:space="0" w:color="auto"/>
                    <w:left w:val="none" w:sz="0" w:space="0" w:color="auto"/>
                    <w:bottom w:val="none" w:sz="0" w:space="0" w:color="auto"/>
                    <w:right w:val="none" w:sz="0" w:space="0" w:color="auto"/>
                  </w:divBdr>
                  <w:divsChild>
                    <w:div w:id="1970817186">
                      <w:marLeft w:val="0"/>
                      <w:marRight w:val="0"/>
                      <w:marTop w:val="0"/>
                      <w:marBottom w:val="0"/>
                      <w:divBdr>
                        <w:top w:val="none" w:sz="0" w:space="0" w:color="auto"/>
                        <w:left w:val="none" w:sz="0" w:space="0" w:color="auto"/>
                        <w:bottom w:val="none" w:sz="0" w:space="0" w:color="auto"/>
                        <w:right w:val="none" w:sz="0" w:space="0" w:color="auto"/>
                      </w:divBdr>
                    </w:div>
                  </w:divsChild>
                </w:div>
                <w:div w:id="183330952">
                  <w:marLeft w:val="0"/>
                  <w:marRight w:val="0"/>
                  <w:marTop w:val="0"/>
                  <w:marBottom w:val="0"/>
                  <w:divBdr>
                    <w:top w:val="none" w:sz="0" w:space="0" w:color="auto"/>
                    <w:left w:val="none" w:sz="0" w:space="0" w:color="auto"/>
                    <w:bottom w:val="none" w:sz="0" w:space="0" w:color="auto"/>
                    <w:right w:val="none" w:sz="0" w:space="0" w:color="auto"/>
                  </w:divBdr>
                  <w:divsChild>
                    <w:div w:id="348484403">
                      <w:marLeft w:val="0"/>
                      <w:marRight w:val="0"/>
                      <w:marTop w:val="0"/>
                      <w:marBottom w:val="0"/>
                      <w:divBdr>
                        <w:top w:val="none" w:sz="0" w:space="0" w:color="auto"/>
                        <w:left w:val="none" w:sz="0" w:space="0" w:color="auto"/>
                        <w:bottom w:val="none" w:sz="0" w:space="0" w:color="auto"/>
                        <w:right w:val="none" w:sz="0" w:space="0" w:color="auto"/>
                      </w:divBdr>
                    </w:div>
                  </w:divsChild>
                </w:div>
                <w:div w:id="202984433">
                  <w:marLeft w:val="0"/>
                  <w:marRight w:val="0"/>
                  <w:marTop w:val="0"/>
                  <w:marBottom w:val="0"/>
                  <w:divBdr>
                    <w:top w:val="none" w:sz="0" w:space="0" w:color="auto"/>
                    <w:left w:val="none" w:sz="0" w:space="0" w:color="auto"/>
                    <w:bottom w:val="none" w:sz="0" w:space="0" w:color="auto"/>
                    <w:right w:val="none" w:sz="0" w:space="0" w:color="auto"/>
                  </w:divBdr>
                  <w:divsChild>
                    <w:div w:id="157579606">
                      <w:marLeft w:val="0"/>
                      <w:marRight w:val="0"/>
                      <w:marTop w:val="0"/>
                      <w:marBottom w:val="0"/>
                      <w:divBdr>
                        <w:top w:val="none" w:sz="0" w:space="0" w:color="auto"/>
                        <w:left w:val="none" w:sz="0" w:space="0" w:color="auto"/>
                        <w:bottom w:val="none" w:sz="0" w:space="0" w:color="auto"/>
                        <w:right w:val="none" w:sz="0" w:space="0" w:color="auto"/>
                      </w:divBdr>
                    </w:div>
                  </w:divsChild>
                </w:div>
                <w:div w:id="211771611">
                  <w:marLeft w:val="0"/>
                  <w:marRight w:val="0"/>
                  <w:marTop w:val="0"/>
                  <w:marBottom w:val="0"/>
                  <w:divBdr>
                    <w:top w:val="none" w:sz="0" w:space="0" w:color="auto"/>
                    <w:left w:val="none" w:sz="0" w:space="0" w:color="auto"/>
                    <w:bottom w:val="none" w:sz="0" w:space="0" w:color="auto"/>
                    <w:right w:val="none" w:sz="0" w:space="0" w:color="auto"/>
                  </w:divBdr>
                  <w:divsChild>
                    <w:div w:id="679090585">
                      <w:marLeft w:val="0"/>
                      <w:marRight w:val="0"/>
                      <w:marTop w:val="0"/>
                      <w:marBottom w:val="0"/>
                      <w:divBdr>
                        <w:top w:val="none" w:sz="0" w:space="0" w:color="auto"/>
                        <w:left w:val="none" w:sz="0" w:space="0" w:color="auto"/>
                        <w:bottom w:val="none" w:sz="0" w:space="0" w:color="auto"/>
                        <w:right w:val="none" w:sz="0" w:space="0" w:color="auto"/>
                      </w:divBdr>
                    </w:div>
                  </w:divsChild>
                </w:div>
                <w:div w:id="216941047">
                  <w:marLeft w:val="0"/>
                  <w:marRight w:val="0"/>
                  <w:marTop w:val="0"/>
                  <w:marBottom w:val="0"/>
                  <w:divBdr>
                    <w:top w:val="none" w:sz="0" w:space="0" w:color="auto"/>
                    <w:left w:val="none" w:sz="0" w:space="0" w:color="auto"/>
                    <w:bottom w:val="none" w:sz="0" w:space="0" w:color="auto"/>
                    <w:right w:val="none" w:sz="0" w:space="0" w:color="auto"/>
                  </w:divBdr>
                  <w:divsChild>
                    <w:div w:id="397099506">
                      <w:marLeft w:val="0"/>
                      <w:marRight w:val="0"/>
                      <w:marTop w:val="0"/>
                      <w:marBottom w:val="0"/>
                      <w:divBdr>
                        <w:top w:val="none" w:sz="0" w:space="0" w:color="auto"/>
                        <w:left w:val="none" w:sz="0" w:space="0" w:color="auto"/>
                        <w:bottom w:val="none" w:sz="0" w:space="0" w:color="auto"/>
                        <w:right w:val="none" w:sz="0" w:space="0" w:color="auto"/>
                      </w:divBdr>
                    </w:div>
                  </w:divsChild>
                </w:div>
                <w:div w:id="233129663">
                  <w:marLeft w:val="0"/>
                  <w:marRight w:val="0"/>
                  <w:marTop w:val="0"/>
                  <w:marBottom w:val="0"/>
                  <w:divBdr>
                    <w:top w:val="none" w:sz="0" w:space="0" w:color="auto"/>
                    <w:left w:val="none" w:sz="0" w:space="0" w:color="auto"/>
                    <w:bottom w:val="none" w:sz="0" w:space="0" w:color="auto"/>
                    <w:right w:val="none" w:sz="0" w:space="0" w:color="auto"/>
                  </w:divBdr>
                  <w:divsChild>
                    <w:div w:id="1639144331">
                      <w:marLeft w:val="0"/>
                      <w:marRight w:val="0"/>
                      <w:marTop w:val="0"/>
                      <w:marBottom w:val="0"/>
                      <w:divBdr>
                        <w:top w:val="none" w:sz="0" w:space="0" w:color="auto"/>
                        <w:left w:val="none" w:sz="0" w:space="0" w:color="auto"/>
                        <w:bottom w:val="none" w:sz="0" w:space="0" w:color="auto"/>
                        <w:right w:val="none" w:sz="0" w:space="0" w:color="auto"/>
                      </w:divBdr>
                    </w:div>
                  </w:divsChild>
                </w:div>
                <w:div w:id="234516737">
                  <w:marLeft w:val="0"/>
                  <w:marRight w:val="0"/>
                  <w:marTop w:val="0"/>
                  <w:marBottom w:val="0"/>
                  <w:divBdr>
                    <w:top w:val="none" w:sz="0" w:space="0" w:color="auto"/>
                    <w:left w:val="none" w:sz="0" w:space="0" w:color="auto"/>
                    <w:bottom w:val="none" w:sz="0" w:space="0" w:color="auto"/>
                    <w:right w:val="none" w:sz="0" w:space="0" w:color="auto"/>
                  </w:divBdr>
                  <w:divsChild>
                    <w:div w:id="671684823">
                      <w:marLeft w:val="0"/>
                      <w:marRight w:val="0"/>
                      <w:marTop w:val="0"/>
                      <w:marBottom w:val="0"/>
                      <w:divBdr>
                        <w:top w:val="none" w:sz="0" w:space="0" w:color="auto"/>
                        <w:left w:val="none" w:sz="0" w:space="0" w:color="auto"/>
                        <w:bottom w:val="none" w:sz="0" w:space="0" w:color="auto"/>
                        <w:right w:val="none" w:sz="0" w:space="0" w:color="auto"/>
                      </w:divBdr>
                    </w:div>
                  </w:divsChild>
                </w:div>
                <w:div w:id="265426344">
                  <w:marLeft w:val="0"/>
                  <w:marRight w:val="0"/>
                  <w:marTop w:val="0"/>
                  <w:marBottom w:val="0"/>
                  <w:divBdr>
                    <w:top w:val="none" w:sz="0" w:space="0" w:color="auto"/>
                    <w:left w:val="none" w:sz="0" w:space="0" w:color="auto"/>
                    <w:bottom w:val="none" w:sz="0" w:space="0" w:color="auto"/>
                    <w:right w:val="none" w:sz="0" w:space="0" w:color="auto"/>
                  </w:divBdr>
                  <w:divsChild>
                    <w:div w:id="1211923081">
                      <w:marLeft w:val="0"/>
                      <w:marRight w:val="0"/>
                      <w:marTop w:val="0"/>
                      <w:marBottom w:val="0"/>
                      <w:divBdr>
                        <w:top w:val="none" w:sz="0" w:space="0" w:color="auto"/>
                        <w:left w:val="none" w:sz="0" w:space="0" w:color="auto"/>
                        <w:bottom w:val="none" w:sz="0" w:space="0" w:color="auto"/>
                        <w:right w:val="none" w:sz="0" w:space="0" w:color="auto"/>
                      </w:divBdr>
                    </w:div>
                  </w:divsChild>
                </w:div>
                <w:div w:id="280693190">
                  <w:marLeft w:val="0"/>
                  <w:marRight w:val="0"/>
                  <w:marTop w:val="0"/>
                  <w:marBottom w:val="0"/>
                  <w:divBdr>
                    <w:top w:val="none" w:sz="0" w:space="0" w:color="auto"/>
                    <w:left w:val="none" w:sz="0" w:space="0" w:color="auto"/>
                    <w:bottom w:val="none" w:sz="0" w:space="0" w:color="auto"/>
                    <w:right w:val="none" w:sz="0" w:space="0" w:color="auto"/>
                  </w:divBdr>
                  <w:divsChild>
                    <w:div w:id="763723572">
                      <w:marLeft w:val="0"/>
                      <w:marRight w:val="0"/>
                      <w:marTop w:val="0"/>
                      <w:marBottom w:val="0"/>
                      <w:divBdr>
                        <w:top w:val="none" w:sz="0" w:space="0" w:color="auto"/>
                        <w:left w:val="none" w:sz="0" w:space="0" w:color="auto"/>
                        <w:bottom w:val="none" w:sz="0" w:space="0" w:color="auto"/>
                        <w:right w:val="none" w:sz="0" w:space="0" w:color="auto"/>
                      </w:divBdr>
                    </w:div>
                  </w:divsChild>
                </w:div>
                <w:div w:id="289897856">
                  <w:marLeft w:val="0"/>
                  <w:marRight w:val="0"/>
                  <w:marTop w:val="0"/>
                  <w:marBottom w:val="0"/>
                  <w:divBdr>
                    <w:top w:val="none" w:sz="0" w:space="0" w:color="auto"/>
                    <w:left w:val="none" w:sz="0" w:space="0" w:color="auto"/>
                    <w:bottom w:val="none" w:sz="0" w:space="0" w:color="auto"/>
                    <w:right w:val="none" w:sz="0" w:space="0" w:color="auto"/>
                  </w:divBdr>
                  <w:divsChild>
                    <w:div w:id="1508640061">
                      <w:marLeft w:val="0"/>
                      <w:marRight w:val="0"/>
                      <w:marTop w:val="0"/>
                      <w:marBottom w:val="0"/>
                      <w:divBdr>
                        <w:top w:val="none" w:sz="0" w:space="0" w:color="auto"/>
                        <w:left w:val="none" w:sz="0" w:space="0" w:color="auto"/>
                        <w:bottom w:val="none" w:sz="0" w:space="0" w:color="auto"/>
                        <w:right w:val="none" w:sz="0" w:space="0" w:color="auto"/>
                      </w:divBdr>
                    </w:div>
                  </w:divsChild>
                </w:div>
                <w:div w:id="303967914">
                  <w:marLeft w:val="0"/>
                  <w:marRight w:val="0"/>
                  <w:marTop w:val="0"/>
                  <w:marBottom w:val="0"/>
                  <w:divBdr>
                    <w:top w:val="none" w:sz="0" w:space="0" w:color="auto"/>
                    <w:left w:val="none" w:sz="0" w:space="0" w:color="auto"/>
                    <w:bottom w:val="none" w:sz="0" w:space="0" w:color="auto"/>
                    <w:right w:val="none" w:sz="0" w:space="0" w:color="auto"/>
                  </w:divBdr>
                  <w:divsChild>
                    <w:div w:id="1543059293">
                      <w:marLeft w:val="0"/>
                      <w:marRight w:val="0"/>
                      <w:marTop w:val="0"/>
                      <w:marBottom w:val="0"/>
                      <w:divBdr>
                        <w:top w:val="none" w:sz="0" w:space="0" w:color="auto"/>
                        <w:left w:val="none" w:sz="0" w:space="0" w:color="auto"/>
                        <w:bottom w:val="none" w:sz="0" w:space="0" w:color="auto"/>
                        <w:right w:val="none" w:sz="0" w:space="0" w:color="auto"/>
                      </w:divBdr>
                    </w:div>
                  </w:divsChild>
                </w:div>
                <w:div w:id="306446625">
                  <w:marLeft w:val="0"/>
                  <w:marRight w:val="0"/>
                  <w:marTop w:val="0"/>
                  <w:marBottom w:val="0"/>
                  <w:divBdr>
                    <w:top w:val="none" w:sz="0" w:space="0" w:color="auto"/>
                    <w:left w:val="none" w:sz="0" w:space="0" w:color="auto"/>
                    <w:bottom w:val="none" w:sz="0" w:space="0" w:color="auto"/>
                    <w:right w:val="none" w:sz="0" w:space="0" w:color="auto"/>
                  </w:divBdr>
                  <w:divsChild>
                    <w:div w:id="573781176">
                      <w:marLeft w:val="0"/>
                      <w:marRight w:val="0"/>
                      <w:marTop w:val="0"/>
                      <w:marBottom w:val="0"/>
                      <w:divBdr>
                        <w:top w:val="none" w:sz="0" w:space="0" w:color="auto"/>
                        <w:left w:val="none" w:sz="0" w:space="0" w:color="auto"/>
                        <w:bottom w:val="none" w:sz="0" w:space="0" w:color="auto"/>
                        <w:right w:val="none" w:sz="0" w:space="0" w:color="auto"/>
                      </w:divBdr>
                    </w:div>
                  </w:divsChild>
                </w:div>
                <w:div w:id="332032296">
                  <w:marLeft w:val="0"/>
                  <w:marRight w:val="0"/>
                  <w:marTop w:val="0"/>
                  <w:marBottom w:val="0"/>
                  <w:divBdr>
                    <w:top w:val="none" w:sz="0" w:space="0" w:color="auto"/>
                    <w:left w:val="none" w:sz="0" w:space="0" w:color="auto"/>
                    <w:bottom w:val="none" w:sz="0" w:space="0" w:color="auto"/>
                    <w:right w:val="none" w:sz="0" w:space="0" w:color="auto"/>
                  </w:divBdr>
                  <w:divsChild>
                    <w:div w:id="1328241330">
                      <w:marLeft w:val="0"/>
                      <w:marRight w:val="0"/>
                      <w:marTop w:val="0"/>
                      <w:marBottom w:val="0"/>
                      <w:divBdr>
                        <w:top w:val="none" w:sz="0" w:space="0" w:color="auto"/>
                        <w:left w:val="none" w:sz="0" w:space="0" w:color="auto"/>
                        <w:bottom w:val="none" w:sz="0" w:space="0" w:color="auto"/>
                        <w:right w:val="none" w:sz="0" w:space="0" w:color="auto"/>
                      </w:divBdr>
                    </w:div>
                  </w:divsChild>
                </w:div>
                <w:div w:id="335773272">
                  <w:marLeft w:val="0"/>
                  <w:marRight w:val="0"/>
                  <w:marTop w:val="0"/>
                  <w:marBottom w:val="0"/>
                  <w:divBdr>
                    <w:top w:val="none" w:sz="0" w:space="0" w:color="auto"/>
                    <w:left w:val="none" w:sz="0" w:space="0" w:color="auto"/>
                    <w:bottom w:val="none" w:sz="0" w:space="0" w:color="auto"/>
                    <w:right w:val="none" w:sz="0" w:space="0" w:color="auto"/>
                  </w:divBdr>
                  <w:divsChild>
                    <w:div w:id="350645983">
                      <w:marLeft w:val="0"/>
                      <w:marRight w:val="0"/>
                      <w:marTop w:val="0"/>
                      <w:marBottom w:val="0"/>
                      <w:divBdr>
                        <w:top w:val="none" w:sz="0" w:space="0" w:color="auto"/>
                        <w:left w:val="none" w:sz="0" w:space="0" w:color="auto"/>
                        <w:bottom w:val="none" w:sz="0" w:space="0" w:color="auto"/>
                        <w:right w:val="none" w:sz="0" w:space="0" w:color="auto"/>
                      </w:divBdr>
                    </w:div>
                  </w:divsChild>
                </w:div>
                <w:div w:id="338394182">
                  <w:marLeft w:val="0"/>
                  <w:marRight w:val="0"/>
                  <w:marTop w:val="0"/>
                  <w:marBottom w:val="0"/>
                  <w:divBdr>
                    <w:top w:val="none" w:sz="0" w:space="0" w:color="auto"/>
                    <w:left w:val="none" w:sz="0" w:space="0" w:color="auto"/>
                    <w:bottom w:val="none" w:sz="0" w:space="0" w:color="auto"/>
                    <w:right w:val="none" w:sz="0" w:space="0" w:color="auto"/>
                  </w:divBdr>
                  <w:divsChild>
                    <w:div w:id="1039743154">
                      <w:marLeft w:val="0"/>
                      <w:marRight w:val="0"/>
                      <w:marTop w:val="0"/>
                      <w:marBottom w:val="0"/>
                      <w:divBdr>
                        <w:top w:val="none" w:sz="0" w:space="0" w:color="auto"/>
                        <w:left w:val="none" w:sz="0" w:space="0" w:color="auto"/>
                        <w:bottom w:val="none" w:sz="0" w:space="0" w:color="auto"/>
                        <w:right w:val="none" w:sz="0" w:space="0" w:color="auto"/>
                      </w:divBdr>
                    </w:div>
                  </w:divsChild>
                </w:div>
                <w:div w:id="367225028">
                  <w:marLeft w:val="0"/>
                  <w:marRight w:val="0"/>
                  <w:marTop w:val="0"/>
                  <w:marBottom w:val="0"/>
                  <w:divBdr>
                    <w:top w:val="none" w:sz="0" w:space="0" w:color="auto"/>
                    <w:left w:val="none" w:sz="0" w:space="0" w:color="auto"/>
                    <w:bottom w:val="none" w:sz="0" w:space="0" w:color="auto"/>
                    <w:right w:val="none" w:sz="0" w:space="0" w:color="auto"/>
                  </w:divBdr>
                  <w:divsChild>
                    <w:div w:id="1826968812">
                      <w:marLeft w:val="0"/>
                      <w:marRight w:val="0"/>
                      <w:marTop w:val="0"/>
                      <w:marBottom w:val="0"/>
                      <w:divBdr>
                        <w:top w:val="none" w:sz="0" w:space="0" w:color="auto"/>
                        <w:left w:val="none" w:sz="0" w:space="0" w:color="auto"/>
                        <w:bottom w:val="none" w:sz="0" w:space="0" w:color="auto"/>
                        <w:right w:val="none" w:sz="0" w:space="0" w:color="auto"/>
                      </w:divBdr>
                    </w:div>
                  </w:divsChild>
                </w:div>
                <w:div w:id="380330248">
                  <w:marLeft w:val="0"/>
                  <w:marRight w:val="0"/>
                  <w:marTop w:val="0"/>
                  <w:marBottom w:val="0"/>
                  <w:divBdr>
                    <w:top w:val="none" w:sz="0" w:space="0" w:color="auto"/>
                    <w:left w:val="none" w:sz="0" w:space="0" w:color="auto"/>
                    <w:bottom w:val="none" w:sz="0" w:space="0" w:color="auto"/>
                    <w:right w:val="none" w:sz="0" w:space="0" w:color="auto"/>
                  </w:divBdr>
                  <w:divsChild>
                    <w:div w:id="155725598">
                      <w:marLeft w:val="0"/>
                      <w:marRight w:val="0"/>
                      <w:marTop w:val="0"/>
                      <w:marBottom w:val="0"/>
                      <w:divBdr>
                        <w:top w:val="none" w:sz="0" w:space="0" w:color="auto"/>
                        <w:left w:val="none" w:sz="0" w:space="0" w:color="auto"/>
                        <w:bottom w:val="none" w:sz="0" w:space="0" w:color="auto"/>
                        <w:right w:val="none" w:sz="0" w:space="0" w:color="auto"/>
                      </w:divBdr>
                    </w:div>
                  </w:divsChild>
                </w:div>
                <w:div w:id="387725936">
                  <w:marLeft w:val="0"/>
                  <w:marRight w:val="0"/>
                  <w:marTop w:val="0"/>
                  <w:marBottom w:val="0"/>
                  <w:divBdr>
                    <w:top w:val="none" w:sz="0" w:space="0" w:color="auto"/>
                    <w:left w:val="none" w:sz="0" w:space="0" w:color="auto"/>
                    <w:bottom w:val="none" w:sz="0" w:space="0" w:color="auto"/>
                    <w:right w:val="none" w:sz="0" w:space="0" w:color="auto"/>
                  </w:divBdr>
                  <w:divsChild>
                    <w:div w:id="1174567365">
                      <w:marLeft w:val="0"/>
                      <w:marRight w:val="0"/>
                      <w:marTop w:val="0"/>
                      <w:marBottom w:val="0"/>
                      <w:divBdr>
                        <w:top w:val="none" w:sz="0" w:space="0" w:color="auto"/>
                        <w:left w:val="none" w:sz="0" w:space="0" w:color="auto"/>
                        <w:bottom w:val="none" w:sz="0" w:space="0" w:color="auto"/>
                        <w:right w:val="none" w:sz="0" w:space="0" w:color="auto"/>
                      </w:divBdr>
                    </w:div>
                  </w:divsChild>
                </w:div>
                <w:div w:id="411317559">
                  <w:marLeft w:val="0"/>
                  <w:marRight w:val="0"/>
                  <w:marTop w:val="0"/>
                  <w:marBottom w:val="0"/>
                  <w:divBdr>
                    <w:top w:val="none" w:sz="0" w:space="0" w:color="auto"/>
                    <w:left w:val="none" w:sz="0" w:space="0" w:color="auto"/>
                    <w:bottom w:val="none" w:sz="0" w:space="0" w:color="auto"/>
                    <w:right w:val="none" w:sz="0" w:space="0" w:color="auto"/>
                  </w:divBdr>
                  <w:divsChild>
                    <w:div w:id="947813499">
                      <w:marLeft w:val="0"/>
                      <w:marRight w:val="0"/>
                      <w:marTop w:val="0"/>
                      <w:marBottom w:val="0"/>
                      <w:divBdr>
                        <w:top w:val="none" w:sz="0" w:space="0" w:color="auto"/>
                        <w:left w:val="none" w:sz="0" w:space="0" w:color="auto"/>
                        <w:bottom w:val="none" w:sz="0" w:space="0" w:color="auto"/>
                        <w:right w:val="none" w:sz="0" w:space="0" w:color="auto"/>
                      </w:divBdr>
                    </w:div>
                  </w:divsChild>
                </w:div>
                <w:div w:id="420218287">
                  <w:marLeft w:val="0"/>
                  <w:marRight w:val="0"/>
                  <w:marTop w:val="0"/>
                  <w:marBottom w:val="0"/>
                  <w:divBdr>
                    <w:top w:val="none" w:sz="0" w:space="0" w:color="auto"/>
                    <w:left w:val="none" w:sz="0" w:space="0" w:color="auto"/>
                    <w:bottom w:val="none" w:sz="0" w:space="0" w:color="auto"/>
                    <w:right w:val="none" w:sz="0" w:space="0" w:color="auto"/>
                  </w:divBdr>
                  <w:divsChild>
                    <w:div w:id="1561936054">
                      <w:marLeft w:val="0"/>
                      <w:marRight w:val="0"/>
                      <w:marTop w:val="0"/>
                      <w:marBottom w:val="0"/>
                      <w:divBdr>
                        <w:top w:val="none" w:sz="0" w:space="0" w:color="auto"/>
                        <w:left w:val="none" w:sz="0" w:space="0" w:color="auto"/>
                        <w:bottom w:val="none" w:sz="0" w:space="0" w:color="auto"/>
                        <w:right w:val="none" w:sz="0" w:space="0" w:color="auto"/>
                      </w:divBdr>
                    </w:div>
                  </w:divsChild>
                </w:div>
                <w:div w:id="453443988">
                  <w:marLeft w:val="0"/>
                  <w:marRight w:val="0"/>
                  <w:marTop w:val="0"/>
                  <w:marBottom w:val="0"/>
                  <w:divBdr>
                    <w:top w:val="none" w:sz="0" w:space="0" w:color="auto"/>
                    <w:left w:val="none" w:sz="0" w:space="0" w:color="auto"/>
                    <w:bottom w:val="none" w:sz="0" w:space="0" w:color="auto"/>
                    <w:right w:val="none" w:sz="0" w:space="0" w:color="auto"/>
                  </w:divBdr>
                  <w:divsChild>
                    <w:div w:id="309410457">
                      <w:marLeft w:val="0"/>
                      <w:marRight w:val="0"/>
                      <w:marTop w:val="0"/>
                      <w:marBottom w:val="0"/>
                      <w:divBdr>
                        <w:top w:val="none" w:sz="0" w:space="0" w:color="auto"/>
                        <w:left w:val="none" w:sz="0" w:space="0" w:color="auto"/>
                        <w:bottom w:val="none" w:sz="0" w:space="0" w:color="auto"/>
                        <w:right w:val="none" w:sz="0" w:space="0" w:color="auto"/>
                      </w:divBdr>
                    </w:div>
                  </w:divsChild>
                </w:div>
                <w:div w:id="567232066">
                  <w:marLeft w:val="0"/>
                  <w:marRight w:val="0"/>
                  <w:marTop w:val="0"/>
                  <w:marBottom w:val="0"/>
                  <w:divBdr>
                    <w:top w:val="none" w:sz="0" w:space="0" w:color="auto"/>
                    <w:left w:val="none" w:sz="0" w:space="0" w:color="auto"/>
                    <w:bottom w:val="none" w:sz="0" w:space="0" w:color="auto"/>
                    <w:right w:val="none" w:sz="0" w:space="0" w:color="auto"/>
                  </w:divBdr>
                  <w:divsChild>
                    <w:div w:id="787773452">
                      <w:marLeft w:val="0"/>
                      <w:marRight w:val="0"/>
                      <w:marTop w:val="0"/>
                      <w:marBottom w:val="0"/>
                      <w:divBdr>
                        <w:top w:val="none" w:sz="0" w:space="0" w:color="auto"/>
                        <w:left w:val="none" w:sz="0" w:space="0" w:color="auto"/>
                        <w:bottom w:val="none" w:sz="0" w:space="0" w:color="auto"/>
                        <w:right w:val="none" w:sz="0" w:space="0" w:color="auto"/>
                      </w:divBdr>
                    </w:div>
                  </w:divsChild>
                </w:div>
                <w:div w:id="571887798">
                  <w:marLeft w:val="0"/>
                  <w:marRight w:val="0"/>
                  <w:marTop w:val="0"/>
                  <w:marBottom w:val="0"/>
                  <w:divBdr>
                    <w:top w:val="none" w:sz="0" w:space="0" w:color="auto"/>
                    <w:left w:val="none" w:sz="0" w:space="0" w:color="auto"/>
                    <w:bottom w:val="none" w:sz="0" w:space="0" w:color="auto"/>
                    <w:right w:val="none" w:sz="0" w:space="0" w:color="auto"/>
                  </w:divBdr>
                  <w:divsChild>
                    <w:div w:id="1460296875">
                      <w:marLeft w:val="0"/>
                      <w:marRight w:val="0"/>
                      <w:marTop w:val="0"/>
                      <w:marBottom w:val="0"/>
                      <w:divBdr>
                        <w:top w:val="none" w:sz="0" w:space="0" w:color="auto"/>
                        <w:left w:val="none" w:sz="0" w:space="0" w:color="auto"/>
                        <w:bottom w:val="none" w:sz="0" w:space="0" w:color="auto"/>
                        <w:right w:val="none" w:sz="0" w:space="0" w:color="auto"/>
                      </w:divBdr>
                    </w:div>
                  </w:divsChild>
                </w:div>
                <w:div w:id="587889346">
                  <w:marLeft w:val="0"/>
                  <w:marRight w:val="0"/>
                  <w:marTop w:val="0"/>
                  <w:marBottom w:val="0"/>
                  <w:divBdr>
                    <w:top w:val="none" w:sz="0" w:space="0" w:color="auto"/>
                    <w:left w:val="none" w:sz="0" w:space="0" w:color="auto"/>
                    <w:bottom w:val="none" w:sz="0" w:space="0" w:color="auto"/>
                    <w:right w:val="none" w:sz="0" w:space="0" w:color="auto"/>
                  </w:divBdr>
                  <w:divsChild>
                    <w:div w:id="842089508">
                      <w:marLeft w:val="0"/>
                      <w:marRight w:val="0"/>
                      <w:marTop w:val="0"/>
                      <w:marBottom w:val="0"/>
                      <w:divBdr>
                        <w:top w:val="none" w:sz="0" w:space="0" w:color="auto"/>
                        <w:left w:val="none" w:sz="0" w:space="0" w:color="auto"/>
                        <w:bottom w:val="none" w:sz="0" w:space="0" w:color="auto"/>
                        <w:right w:val="none" w:sz="0" w:space="0" w:color="auto"/>
                      </w:divBdr>
                    </w:div>
                  </w:divsChild>
                </w:div>
                <w:div w:id="603923734">
                  <w:marLeft w:val="0"/>
                  <w:marRight w:val="0"/>
                  <w:marTop w:val="0"/>
                  <w:marBottom w:val="0"/>
                  <w:divBdr>
                    <w:top w:val="none" w:sz="0" w:space="0" w:color="auto"/>
                    <w:left w:val="none" w:sz="0" w:space="0" w:color="auto"/>
                    <w:bottom w:val="none" w:sz="0" w:space="0" w:color="auto"/>
                    <w:right w:val="none" w:sz="0" w:space="0" w:color="auto"/>
                  </w:divBdr>
                  <w:divsChild>
                    <w:div w:id="1603025738">
                      <w:marLeft w:val="0"/>
                      <w:marRight w:val="0"/>
                      <w:marTop w:val="0"/>
                      <w:marBottom w:val="0"/>
                      <w:divBdr>
                        <w:top w:val="none" w:sz="0" w:space="0" w:color="auto"/>
                        <w:left w:val="none" w:sz="0" w:space="0" w:color="auto"/>
                        <w:bottom w:val="none" w:sz="0" w:space="0" w:color="auto"/>
                        <w:right w:val="none" w:sz="0" w:space="0" w:color="auto"/>
                      </w:divBdr>
                    </w:div>
                  </w:divsChild>
                </w:div>
                <w:div w:id="638414543">
                  <w:marLeft w:val="0"/>
                  <w:marRight w:val="0"/>
                  <w:marTop w:val="0"/>
                  <w:marBottom w:val="0"/>
                  <w:divBdr>
                    <w:top w:val="none" w:sz="0" w:space="0" w:color="auto"/>
                    <w:left w:val="none" w:sz="0" w:space="0" w:color="auto"/>
                    <w:bottom w:val="none" w:sz="0" w:space="0" w:color="auto"/>
                    <w:right w:val="none" w:sz="0" w:space="0" w:color="auto"/>
                  </w:divBdr>
                  <w:divsChild>
                    <w:div w:id="1159930403">
                      <w:marLeft w:val="0"/>
                      <w:marRight w:val="0"/>
                      <w:marTop w:val="0"/>
                      <w:marBottom w:val="0"/>
                      <w:divBdr>
                        <w:top w:val="none" w:sz="0" w:space="0" w:color="auto"/>
                        <w:left w:val="none" w:sz="0" w:space="0" w:color="auto"/>
                        <w:bottom w:val="none" w:sz="0" w:space="0" w:color="auto"/>
                        <w:right w:val="none" w:sz="0" w:space="0" w:color="auto"/>
                      </w:divBdr>
                    </w:div>
                  </w:divsChild>
                </w:div>
                <w:div w:id="644241706">
                  <w:marLeft w:val="0"/>
                  <w:marRight w:val="0"/>
                  <w:marTop w:val="0"/>
                  <w:marBottom w:val="0"/>
                  <w:divBdr>
                    <w:top w:val="none" w:sz="0" w:space="0" w:color="auto"/>
                    <w:left w:val="none" w:sz="0" w:space="0" w:color="auto"/>
                    <w:bottom w:val="none" w:sz="0" w:space="0" w:color="auto"/>
                    <w:right w:val="none" w:sz="0" w:space="0" w:color="auto"/>
                  </w:divBdr>
                  <w:divsChild>
                    <w:div w:id="549420409">
                      <w:marLeft w:val="0"/>
                      <w:marRight w:val="0"/>
                      <w:marTop w:val="0"/>
                      <w:marBottom w:val="0"/>
                      <w:divBdr>
                        <w:top w:val="none" w:sz="0" w:space="0" w:color="auto"/>
                        <w:left w:val="none" w:sz="0" w:space="0" w:color="auto"/>
                        <w:bottom w:val="none" w:sz="0" w:space="0" w:color="auto"/>
                        <w:right w:val="none" w:sz="0" w:space="0" w:color="auto"/>
                      </w:divBdr>
                    </w:div>
                  </w:divsChild>
                </w:div>
                <w:div w:id="673848697">
                  <w:marLeft w:val="0"/>
                  <w:marRight w:val="0"/>
                  <w:marTop w:val="0"/>
                  <w:marBottom w:val="0"/>
                  <w:divBdr>
                    <w:top w:val="none" w:sz="0" w:space="0" w:color="auto"/>
                    <w:left w:val="none" w:sz="0" w:space="0" w:color="auto"/>
                    <w:bottom w:val="none" w:sz="0" w:space="0" w:color="auto"/>
                    <w:right w:val="none" w:sz="0" w:space="0" w:color="auto"/>
                  </w:divBdr>
                  <w:divsChild>
                    <w:div w:id="1831944998">
                      <w:marLeft w:val="0"/>
                      <w:marRight w:val="0"/>
                      <w:marTop w:val="0"/>
                      <w:marBottom w:val="0"/>
                      <w:divBdr>
                        <w:top w:val="none" w:sz="0" w:space="0" w:color="auto"/>
                        <w:left w:val="none" w:sz="0" w:space="0" w:color="auto"/>
                        <w:bottom w:val="none" w:sz="0" w:space="0" w:color="auto"/>
                        <w:right w:val="none" w:sz="0" w:space="0" w:color="auto"/>
                      </w:divBdr>
                    </w:div>
                  </w:divsChild>
                </w:div>
                <w:div w:id="685519332">
                  <w:marLeft w:val="0"/>
                  <w:marRight w:val="0"/>
                  <w:marTop w:val="0"/>
                  <w:marBottom w:val="0"/>
                  <w:divBdr>
                    <w:top w:val="none" w:sz="0" w:space="0" w:color="auto"/>
                    <w:left w:val="none" w:sz="0" w:space="0" w:color="auto"/>
                    <w:bottom w:val="none" w:sz="0" w:space="0" w:color="auto"/>
                    <w:right w:val="none" w:sz="0" w:space="0" w:color="auto"/>
                  </w:divBdr>
                  <w:divsChild>
                    <w:div w:id="109907099">
                      <w:marLeft w:val="0"/>
                      <w:marRight w:val="0"/>
                      <w:marTop w:val="0"/>
                      <w:marBottom w:val="0"/>
                      <w:divBdr>
                        <w:top w:val="none" w:sz="0" w:space="0" w:color="auto"/>
                        <w:left w:val="none" w:sz="0" w:space="0" w:color="auto"/>
                        <w:bottom w:val="none" w:sz="0" w:space="0" w:color="auto"/>
                        <w:right w:val="none" w:sz="0" w:space="0" w:color="auto"/>
                      </w:divBdr>
                    </w:div>
                  </w:divsChild>
                </w:div>
                <w:div w:id="697782924">
                  <w:marLeft w:val="0"/>
                  <w:marRight w:val="0"/>
                  <w:marTop w:val="0"/>
                  <w:marBottom w:val="0"/>
                  <w:divBdr>
                    <w:top w:val="none" w:sz="0" w:space="0" w:color="auto"/>
                    <w:left w:val="none" w:sz="0" w:space="0" w:color="auto"/>
                    <w:bottom w:val="none" w:sz="0" w:space="0" w:color="auto"/>
                    <w:right w:val="none" w:sz="0" w:space="0" w:color="auto"/>
                  </w:divBdr>
                  <w:divsChild>
                    <w:div w:id="485242388">
                      <w:marLeft w:val="0"/>
                      <w:marRight w:val="0"/>
                      <w:marTop w:val="0"/>
                      <w:marBottom w:val="0"/>
                      <w:divBdr>
                        <w:top w:val="none" w:sz="0" w:space="0" w:color="auto"/>
                        <w:left w:val="none" w:sz="0" w:space="0" w:color="auto"/>
                        <w:bottom w:val="none" w:sz="0" w:space="0" w:color="auto"/>
                        <w:right w:val="none" w:sz="0" w:space="0" w:color="auto"/>
                      </w:divBdr>
                    </w:div>
                  </w:divsChild>
                </w:div>
                <w:div w:id="704215804">
                  <w:marLeft w:val="0"/>
                  <w:marRight w:val="0"/>
                  <w:marTop w:val="0"/>
                  <w:marBottom w:val="0"/>
                  <w:divBdr>
                    <w:top w:val="none" w:sz="0" w:space="0" w:color="auto"/>
                    <w:left w:val="none" w:sz="0" w:space="0" w:color="auto"/>
                    <w:bottom w:val="none" w:sz="0" w:space="0" w:color="auto"/>
                    <w:right w:val="none" w:sz="0" w:space="0" w:color="auto"/>
                  </w:divBdr>
                  <w:divsChild>
                    <w:div w:id="718212108">
                      <w:marLeft w:val="0"/>
                      <w:marRight w:val="0"/>
                      <w:marTop w:val="0"/>
                      <w:marBottom w:val="0"/>
                      <w:divBdr>
                        <w:top w:val="none" w:sz="0" w:space="0" w:color="auto"/>
                        <w:left w:val="none" w:sz="0" w:space="0" w:color="auto"/>
                        <w:bottom w:val="none" w:sz="0" w:space="0" w:color="auto"/>
                        <w:right w:val="none" w:sz="0" w:space="0" w:color="auto"/>
                      </w:divBdr>
                    </w:div>
                  </w:divsChild>
                </w:div>
                <w:div w:id="709189328">
                  <w:marLeft w:val="0"/>
                  <w:marRight w:val="0"/>
                  <w:marTop w:val="0"/>
                  <w:marBottom w:val="0"/>
                  <w:divBdr>
                    <w:top w:val="none" w:sz="0" w:space="0" w:color="auto"/>
                    <w:left w:val="none" w:sz="0" w:space="0" w:color="auto"/>
                    <w:bottom w:val="none" w:sz="0" w:space="0" w:color="auto"/>
                    <w:right w:val="none" w:sz="0" w:space="0" w:color="auto"/>
                  </w:divBdr>
                  <w:divsChild>
                    <w:div w:id="211816290">
                      <w:marLeft w:val="0"/>
                      <w:marRight w:val="0"/>
                      <w:marTop w:val="0"/>
                      <w:marBottom w:val="0"/>
                      <w:divBdr>
                        <w:top w:val="none" w:sz="0" w:space="0" w:color="auto"/>
                        <w:left w:val="none" w:sz="0" w:space="0" w:color="auto"/>
                        <w:bottom w:val="none" w:sz="0" w:space="0" w:color="auto"/>
                        <w:right w:val="none" w:sz="0" w:space="0" w:color="auto"/>
                      </w:divBdr>
                    </w:div>
                  </w:divsChild>
                </w:div>
                <w:div w:id="719672525">
                  <w:marLeft w:val="0"/>
                  <w:marRight w:val="0"/>
                  <w:marTop w:val="0"/>
                  <w:marBottom w:val="0"/>
                  <w:divBdr>
                    <w:top w:val="none" w:sz="0" w:space="0" w:color="auto"/>
                    <w:left w:val="none" w:sz="0" w:space="0" w:color="auto"/>
                    <w:bottom w:val="none" w:sz="0" w:space="0" w:color="auto"/>
                    <w:right w:val="none" w:sz="0" w:space="0" w:color="auto"/>
                  </w:divBdr>
                  <w:divsChild>
                    <w:div w:id="45420586">
                      <w:marLeft w:val="0"/>
                      <w:marRight w:val="0"/>
                      <w:marTop w:val="0"/>
                      <w:marBottom w:val="0"/>
                      <w:divBdr>
                        <w:top w:val="none" w:sz="0" w:space="0" w:color="auto"/>
                        <w:left w:val="none" w:sz="0" w:space="0" w:color="auto"/>
                        <w:bottom w:val="none" w:sz="0" w:space="0" w:color="auto"/>
                        <w:right w:val="none" w:sz="0" w:space="0" w:color="auto"/>
                      </w:divBdr>
                    </w:div>
                  </w:divsChild>
                </w:div>
                <w:div w:id="726611723">
                  <w:marLeft w:val="0"/>
                  <w:marRight w:val="0"/>
                  <w:marTop w:val="0"/>
                  <w:marBottom w:val="0"/>
                  <w:divBdr>
                    <w:top w:val="none" w:sz="0" w:space="0" w:color="auto"/>
                    <w:left w:val="none" w:sz="0" w:space="0" w:color="auto"/>
                    <w:bottom w:val="none" w:sz="0" w:space="0" w:color="auto"/>
                    <w:right w:val="none" w:sz="0" w:space="0" w:color="auto"/>
                  </w:divBdr>
                  <w:divsChild>
                    <w:div w:id="540168852">
                      <w:marLeft w:val="0"/>
                      <w:marRight w:val="0"/>
                      <w:marTop w:val="0"/>
                      <w:marBottom w:val="0"/>
                      <w:divBdr>
                        <w:top w:val="none" w:sz="0" w:space="0" w:color="auto"/>
                        <w:left w:val="none" w:sz="0" w:space="0" w:color="auto"/>
                        <w:bottom w:val="none" w:sz="0" w:space="0" w:color="auto"/>
                        <w:right w:val="none" w:sz="0" w:space="0" w:color="auto"/>
                      </w:divBdr>
                    </w:div>
                  </w:divsChild>
                </w:div>
                <w:div w:id="777214079">
                  <w:marLeft w:val="0"/>
                  <w:marRight w:val="0"/>
                  <w:marTop w:val="0"/>
                  <w:marBottom w:val="0"/>
                  <w:divBdr>
                    <w:top w:val="none" w:sz="0" w:space="0" w:color="auto"/>
                    <w:left w:val="none" w:sz="0" w:space="0" w:color="auto"/>
                    <w:bottom w:val="none" w:sz="0" w:space="0" w:color="auto"/>
                    <w:right w:val="none" w:sz="0" w:space="0" w:color="auto"/>
                  </w:divBdr>
                  <w:divsChild>
                    <w:div w:id="1178469464">
                      <w:marLeft w:val="0"/>
                      <w:marRight w:val="0"/>
                      <w:marTop w:val="0"/>
                      <w:marBottom w:val="0"/>
                      <w:divBdr>
                        <w:top w:val="none" w:sz="0" w:space="0" w:color="auto"/>
                        <w:left w:val="none" w:sz="0" w:space="0" w:color="auto"/>
                        <w:bottom w:val="none" w:sz="0" w:space="0" w:color="auto"/>
                        <w:right w:val="none" w:sz="0" w:space="0" w:color="auto"/>
                      </w:divBdr>
                    </w:div>
                  </w:divsChild>
                </w:div>
                <w:div w:id="777406744">
                  <w:marLeft w:val="0"/>
                  <w:marRight w:val="0"/>
                  <w:marTop w:val="0"/>
                  <w:marBottom w:val="0"/>
                  <w:divBdr>
                    <w:top w:val="none" w:sz="0" w:space="0" w:color="auto"/>
                    <w:left w:val="none" w:sz="0" w:space="0" w:color="auto"/>
                    <w:bottom w:val="none" w:sz="0" w:space="0" w:color="auto"/>
                    <w:right w:val="none" w:sz="0" w:space="0" w:color="auto"/>
                  </w:divBdr>
                  <w:divsChild>
                    <w:div w:id="342557304">
                      <w:marLeft w:val="0"/>
                      <w:marRight w:val="0"/>
                      <w:marTop w:val="0"/>
                      <w:marBottom w:val="0"/>
                      <w:divBdr>
                        <w:top w:val="none" w:sz="0" w:space="0" w:color="auto"/>
                        <w:left w:val="none" w:sz="0" w:space="0" w:color="auto"/>
                        <w:bottom w:val="none" w:sz="0" w:space="0" w:color="auto"/>
                        <w:right w:val="none" w:sz="0" w:space="0" w:color="auto"/>
                      </w:divBdr>
                    </w:div>
                  </w:divsChild>
                </w:div>
                <w:div w:id="789327394">
                  <w:marLeft w:val="0"/>
                  <w:marRight w:val="0"/>
                  <w:marTop w:val="0"/>
                  <w:marBottom w:val="0"/>
                  <w:divBdr>
                    <w:top w:val="none" w:sz="0" w:space="0" w:color="auto"/>
                    <w:left w:val="none" w:sz="0" w:space="0" w:color="auto"/>
                    <w:bottom w:val="none" w:sz="0" w:space="0" w:color="auto"/>
                    <w:right w:val="none" w:sz="0" w:space="0" w:color="auto"/>
                  </w:divBdr>
                  <w:divsChild>
                    <w:div w:id="519659798">
                      <w:marLeft w:val="0"/>
                      <w:marRight w:val="0"/>
                      <w:marTop w:val="0"/>
                      <w:marBottom w:val="0"/>
                      <w:divBdr>
                        <w:top w:val="none" w:sz="0" w:space="0" w:color="auto"/>
                        <w:left w:val="none" w:sz="0" w:space="0" w:color="auto"/>
                        <w:bottom w:val="none" w:sz="0" w:space="0" w:color="auto"/>
                        <w:right w:val="none" w:sz="0" w:space="0" w:color="auto"/>
                      </w:divBdr>
                    </w:div>
                  </w:divsChild>
                </w:div>
                <w:div w:id="798494885">
                  <w:marLeft w:val="0"/>
                  <w:marRight w:val="0"/>
                  <w:marTop w:val="0"/>
                  <w:marBottom w:val="0"/>
                  <w:divBdr>
                    <w:top w:val="none" w:sz="0" w:space="0" w:color="auto"/>
                    <w:left w:val="none" w:sz="0" w:space="0" w:color="auto"/>
                    <w:bottom w:val="none" w:sz="0" w:space="0" w:color="auto"/>
                    <w:right w:val="none" w:sz="0" w:space="0" w:color="auto"/>
                  </w:divBdr>
                  <w:divsChild>
                    <w:div w:id="1756248690">
                      <w:marLeft w:val="0"/>
                      <w:marRight w:val="0"/>
                      <w:marTop w:val="0"/>
                      <w:marBottom w:val="0"/>
                      <w:divBdr>
                        <w:top w:val="none" w:sz="0" w:space="0" w:color="auto"/>
                        <w:left w:val="none" w:sz="0" w:space="0" w:color="auto"/>
                        <w:bottom w:val="none" w:sz="0" w:space="0" w:color="auto"/>
                        <w:right w:val="none" w:sz="0" w:space="0" w:color="auto"/>
                      </w:divBdr>
                    </w:div>
                  </w:divsChild>
                </w:div>
                <w:div w:id="812478939">
                  <w:marLeft w:val="0"/>
                  <w:marRight w:val="0"/>
                  <w:marTop w:val="0"/>
                  <w:marBottom w:val="0"/>
                  <w:divBdr>
                    <w:top w:val="none" w:sz="0" w:space="0" w:color="auto"/>
                    <w:left w:val="none" w:sz="0" w:space="0" w:color="auto"/>
                    <w:bottom w:val="none" w:sz="0" w:space="0" w:color="auto"/>
                    <w:right w:val="none" w:sz="0" w:space="0" w:color="auto"/>
                  </w:divBdr>
                  <w:divsChild>
                    <w:div w:id="1197042647">
                      <w:marLeft w:val="0"/>
                      <w:marRight w:val="0"/>
                      <w:marTop w:val="0"/>
                      <w:marBottom w:val="0"/>
                      <w:divBdr>
                        <w:top w:val="none" w:sz="0" w:space="0" w:color="auto"/>
                        <w:left w:val="none" w:sz="0" w:space="0" w:color="auto"/>
                        <w:bottom w:val="none" w:sz="0" w:space="0" w:color="auto"/>
                        <w:right w:val="none" w:sz="0" w:space="0" w:color="auto"/>
                      </w:divBdr>
                    </w:div>
                  </w:divsChild>
                </w:div>
                <w:div w:id="869608993">
                  <w:marLeft w:val="0"/>
                  <w:marRight w:val="0"/>
                  <w:marTop w:val="0"/>
                  <w:marBottom w:val="0"/>
                  <w:divBdr>
                    <w:top w:val="none" w:sz="0" w:space="0" w:color="auto"/>
                    <w:left w:val="none" w:sz="0" w:space="0" w:color="auto"/>
                    <w:bottom w:val="none" w:sz="0" w:space="0" w:color="auto"/>
                    <w:right w:val="none" w:sz="0" w:space="0" w:color="auto"/>
                  </w:divBdr>
                  <w:divsChild>
                    <w:div w:id="2099518837">
                      <w:marLeft w:val="0"/>
                      <w:marRight w:val="0"/>
                      <w:marTop w:val="0"/>
                      <w:marBottom w:val="0"/>
                      <w:divBdr>
                        <w:top w:val="none" w:sz="0" w:space="0" w:color="auto"/>
                        <w:left w:val="none" w:sz="0" w:space="0" w:color="auto"/>
                        <w:bottom w:val="none" w:sz="0" w:space="0" w:color="auto"/>
                        <w:right w:val="none" w:sz="0" w:space="0" w:color="auto"/>
                      </w:divBdr>
                    </w:div>
                  </w:divsChild>
                </w:div>
                <w:div w:id="889224930">
                  <w:marLeft w:val="0"/>
                  <w:marRight w:val="0"/>
                  <w:marTop w:val="0"/>
                  <w:marBottom w:val="0"/>
                  <w:divBdr>
                    <w:top w:val="none" w:sz="0" w:space="0" w:color="auto"/>
                    <w:left w:val="none" w:sz="0" w:space="0" w:color="auto"/>
                    <w:bottom w:val="none" w:sz="0" w:space="0" w:color="auto"/>
                    <w:right w:val="none" w:sz="0" w:space="0" w:color="auto"/>
                  </w:divBdr>
                  <w:divsChild>
                    <w:div w:id="1266383632">
                      <w:marLeft w:val="0"/>
                      <w:marRight w:val="0"/>
                      <w:marTop w:val="0"/>
                      <w:marBottom w:val="0"/>
                      <w:divBdr>
                        <w:top w:val="none" w:sz="0" w:space="0" w:color="auto"/>
                        <w:left w:val="none" w:sz="0" w:space="0" w:color="auto"/>
                        <w:bottom w:val="none" w:sz="0" w:space="0" w:color="auto"/>
                        <w:right w:val="none" w:sz="0" w:space="0" w:color="auto"/>
                      </w:divBdr>
                    </w:div>
                  </w:divsChild>
                </w:div>
                <w:div w:id="902562221">
                  <w:marLeft w:val="0"/>
                  <w:marRight w:val="0"/>
                  <w:marTop w:val="0"/>
                  <w:marBottom w:val="0"/>
                  <w:divBdr>
                    <w:top w:val="none" w:sz="0" w:space="0" w:color="auto"/>
                    <w:left w:val="none" w:sz="0" w:space="0" w:color="auto"/>
                    <w:bottom w:val="none" w:sz="0" w:space="0" w:color="auto"/>
                    <w:right w:val="none" w:sz="0" w:space="0" w:color="auto"/>
                  </w:divBdr>
                  <w:divsChild>
                    <w:div w:id="220529272">
                      <w:marLeft w:val="0"/>
                      <w:marRight w:val="0"/>
                      <w:marTop w:val="0"/>
                      <w:marBottom w:val="0"/>
                      <w:divBdr>
                        <w:top w:val="none" w:sz="0" w:space="0" w:color="auto"/>
                        <w:left w:val="none" w:sz="0" w:space="0" w:color="auto"/>
                        <w:bottom w:val="none" w:sz="0" w:space="0" w:color="auto"/>
                        <w:right w:val="none" w:sz="0" w:space="0" w:color="auto"/>
                      </w:divBdr>
                    </w:div>
                  </w:divsChild>
                </w:div>
                <w:div w:id="942879868">
                  <w:marLeft w:val="0"/>
                  <w:marRight w:val="0"/>
                  <w:marTop w:val="0"/>
                  <w:marBottom w:val="0"/>
                  <w:divBdr>
                    <w:top w:val="none" w:sz="0" w:space="0" w:color="auto"/>
                    <w:left w:val="none" w:sz="0" w:space="0" w:color="auto"/>
                    <w:bottom w:val="none" w:sz="0" w:space="0" w:color="auto"/>
                    <w:right w:val="none" w:sz="0" w:space="0" w:color="auto"/>
                  </w:divBdr>
                  <w:divsChild>
                    <w:div w:id="229387952">
                      <w:marLeft w:val="0"/>
                      <w:marRight w:val="0"/>
                      <w:marTop w:val="0"/>
                      <w:marBottom w:val="0"/>
                      <w:divBdr>
                        <w:top w:val="none" w:sz="0" w:space="0" w:color="auto"/>
                        <w:left w:val="none" w:sz="0" w:space="0" w:color="auto"/>
                        <w:bottom w:val="none" w:sz="0" w:space="0" w:color="auto"/>
                        <w:right w:val="none" w:sz="0" w:space="0" w:color="auto"/>
                      </w:divBdr>
                    </w:div>
                  </w:divsChild>
                </w:div>
                <w:div w:id="947003132">
                  <w:marLeft w:val="0"/>
                  <w:marRight w:val="0"/>
                  <w:marTop w:val="0"/>
                  <w:marBottom w:val="0"/>
                  <w:divBdr>
                    <w:top w:val="none" w:sz="0" w:space="0" w:color="auto"/>
                    <w:left w:val="none" w:sz="0" w:space="0" w:color="auto"/>
                    <w:bottom w:val="none" w:sz="0" w:space="0" w:color="auto"/>
                    <w:right w:val="none" w:sz="0" w:space="0" w:color="auto"/>
                  </w:divBdr>
                  <w:divsChild>
                    <w:div w:id="1242178404">
                      <w:marLeft w:val="0"/>
                      <w:marRight w:val="0"/>
                      <w:marTop w:val="0"/>
                      <w:marBottom w:val="0"/>
                      <w:divBdr>
                        <w:top w:val="none" w:sz="0" w:space="0" w:color="auto"/>
                        <w:left w:val="none" w:sz="0" w:space="0" w:color="auto"/>
                        <w:bottom w:val="none" w:sz="0" w:space="0" w:color="auto"/>
                        <w:right w:val="none" w:sz="0" w:space="0" w:color="auto"/>
                      </w:divBdr>
                    </w:div>
                  </w:divsChild>
                </w:div>
                <w:div w:id="968635188">
                  <w:marLeft w:val="0"/>
                  <w:marRight w:val="0"/>
                  <w:marTop w:val="0"/>
                  <w:marBottom w:val="0"/>
                  <w:divBdr>
                    <w:top w:val="none" w:sz="0" w:space="0" w:color="auto"/>
                    <w:left w:val="none" w:sz="0" w:space="0" w:color="auto"/>
                    <w:bottom w:val="none" w:sz="0" w:space="0" w:color="auto"/>
                    <w:right w:val="none" w:sz="0" w:space="0" w:color="auto"/>
                  </w:divBdr>
                  <w:divsChild>
                    <w:div w:id="897321609">
                      <w:marLeft w:val="0"/>
                      <w:marRight w:val="0"/>
                      <w:marTop w:val="0"/>
                      <w:marBottom w:val="0"/>
                      <w:divBdr>
                        <w:top w:val="none" w:sz="0" w:space="0" w:color="auto"/>
                        <w:left w:val="none" w:sz="0" w:space="0" w:color="auto"/>
                        <w:bottom w:val="none" w:sz="0" w:space="0" w:color="auto"/>
                        <w:right w:val="none" w:sz="0" w:space="0" w:color="auto"/>
                      </w:divBdr>
                    </w:div>
                  </w:divsChild>
                </w:div>
                <w:div w:id="1001154162">
                  <w:marLeft w:val="0"/>
                  <w:marRight w:val="0"/>
                  <w:marTop w:val="0"/>
                  <w:marBottom w:val="0"/>
                  <w:divBdr>
                    <w:top w:val="none" w:sz="0" w:space="0" w:color="auto"/>
                    <w:left w:val="none" w:sz="0" w:space="0" w:color="auto"/>
                    <w:bottom w:val="none" w:sz="0" w:space="0" w:color="auto"/>
                    <w:right w:val="none" w:sz="0" w:space="0" w:color="auto"/>
                  </w:divBdr>
                  <w:divsChild>
                    <w:div w:id="1308629065">
                      <w:marLeft w:val="0"/>
                      <w:marRight w:val="0"/>
                      <w:marTop w:val="0"/>
                      <w:marBottom w:val="0"/>
                      <w:divBdr>
                        <w:top w:val="none" w:sz="0" w:space="0" w:color="auto"/>
                        <w:left w:val="none" w:sz="0" w:space="0" w:color="auto"/>
                        <w:bottom w:val="none" w:sz="0" w:space="0" w:color="auto"/>
                        <w:right w:val="none" w:sz="0" w:space="0" w:color="auto"/>
                      </w:divBdr>
                    </w:div>
                  </w:divsChild>
                </w:div>
                <w:div w:id="1056395355">
                  <w:marLeft w:val="0"/>
                  <w:marRight w:val="0"/>
                  <w:marTop w:val="0"/>
                  <w:marBottom w:val="0"/>
                  <w:divBdr>
                    <w:top w:val="none" w:sz="0" w:space="0" w:color="auto"/>
                    <w:left w:val="none" w:sz="0" w:space="0" w:color="auto"/>
                    <w:bottom w:val="none" w:sz="0" w:space="0" w:color="auto"/>
                    <w:right w:val="none" w:sz="0" w:space="0" w:color="auto"/>
                  </w:divBdr>
                  <w:divsChild>
                    <w:div w:id="185558455">
                      <w:marLeft w:val="0"/>
                      <w:marRight w:val="0"/>
                      <w:marTop w:val="0"/>
                      <w:marBottom w:val="0"/>
                      <w:divBdr>
                        <w:top w:val="none" w:sz="0" w:space="0" w:color="auto"/>
                        <w:left w:val="none" w:sz="0" w:space="0" w:color="auto"/>
                        <w:bottom w:val="none" w:sz="0" w:space="0" w:color="auto"/>
                        <w:right w:val="none" w:sz="0" w:space="0" w:color="auto"/>
                      </w:divBdr>
                    </w:div>
                  </w:divsChild>
                </w:div>
                <w:div w:id="1076442057">
                  <w:marLeft w:val="0"/>
                  <w:marRight w:val="0"/>
                  <w:marTop w:val="0"/>
                  <w:marBottom w:val="0"/>
                  <w:divBdr>
                    <w:top w:val="none" w:sz="0" w:space="0" w:color="auto"/>
                    <w:left w:val="none" w:sz="0" w:space="0" w:color="auto"/>
                    <w:bottom w:val="none" w:sz="0" w:space="0" w:color="auto"/>
                    <w:right w:val="none" w:sz="0" w:space="0" w:color="auto"/>
                  </w:divBdr>
                  <w:divsChild>
                    <w:div w:id="5716457">
                      <w:marLeft w:val="0"/>
                      <w:marRight w:val="0"/>
                      <w:marTop w:val="0"/>
                      <w:marBottom w:val="0"/>
                      <w:divBdr>
                        <w:top w:val="none" w:sz="0" w:space="0" w:color="auto"/>
                        <w:left w:val="none" w:sz="0" w:space="0" w:color="auto"/>
                        <w:bottom w:val="none" w:sz="0" w:space="0" w:color="auto"/>
                        <w:right w:val="none" w:sz="0" w:space="0" w:color="auto"/>
                      </w:divBdr>
                    </w:div>
                  </w:divsChild>
                </w:div>
                <w:div w:id="1080448367">
                  <w:marLeft w:val="0"/>
                  <w:marRight w:val="0"/>
                  <w:marTop w:val="0"/>
                  <w:marBottom w:val="0"/>
                  <w:divBdr>
                    <w:top w:val="none" w:sz="0" w:space="0" w:color="auto"/>
                    <w:left w:val="none" w:sz="0" w:space="0" w:color="auto"/>
                    <w:bottom w:val="none" w:sz="0" w:space="0" w:color="auto"/>
                    <w:right w:val="none" w:sz="0" w:space="0" w:color="auto"/>
                  </w:divBdr>
                  <w:divsChild>
                    <w:div w:id="1338196494">
                      <w:marLeft w:val="0"/>
                      <w:marRight w:val="0"/>
                      <w:marTop w:val="0"/>
                      <w:marBottom w:val="0"/>
                      <w:divBdr>
                        <w:top w:val="none" w:sz="0" w:space="0" w:color="auto"/>
                        <w:left w:val="none" w:sz="0" w:space="0" w:color="auto"/>
                        <w:bottom w:val="none" w:sz="0" w:space="0" w:color="auto"/>
                        <w:right w:val="none" w:sz="0" w:space="0" w:color="auto"/>
                      </w:divBdr>
                    </w:div>
                  </w:divsChild>
                </w:div>
                <w:div w:id="1108625606">
                  <w:marLeft w:val="0"/>
                  <w:marRight w:val="0"/>
                  <w:marTop w:val="0"/>
                  <w:marBottom w:val="0"/>
                  <w:divBdr>
                    <w:top w:val="none" w:sz="0" w:space="0" w:color="auto"/>
                    <w:left w:val="none" w:sz="0" w:space="0" w:color="auto"/>
                    <w:bottom w:val="none" w:sz="0" w:space="0" w:color="auto"/>
                    <w:right w:val="none" w:sz="0" w:space="0" w:color="auto"/>
                  </w:divBdr>
                  <w:divsChild>
                    <w:div w:id="1469325840">
                      <w:marLeft w:val="0"/>
                      <w:marRight w:val="0"/>
                      <w:marTop w:val="0"/>
                      <w:marBottom w:val="0"/>
                      <w:divBdr>
                        <w:top w:val="none" w:sz="0" w:space="0" w:color="auto"/>
                        <w:left w:val="none" w:sz="0" w:space="0" w:color="auto"/>
                        <w:bottom w:val="none" w:sz="0" w:space="0" w:color="auto"/>
                        <w:right w:val="none" w:sz="0" w:space="0" w:color="auto"/>
                      </w:divBdr>
                    </w:div>
                  </w:divsChild>
                </w:div>
                <w:div w:id="1126198460">
                  <w:marLeft w:val="0"/>
                  <w:marRight w:val="0"/>
                  <w:marTop w:val="0"/>
                  <w:marBottom w:val="0"/>
                  <w:divBdr>
                    <w:top w:val="none" w:sz="0" w:space="0" w:color="auto"/>
                    <w:left w:val="none" w:sz="0" w:space="0" w:color="auto"/>
                    <w:bottom w:val="none" w:sz="0" w:space="0" w:color="auto"/>
                    <w:right w:val="none" w:sz="0" w:space="0" w:color="auto"/>
                  </w:divBdr>
                  <w:divsChild>
                    <w:div w:id="596982109">
                      <w:marLeft w:val="0"/>
                      <w:marRight w:val="0"/>
                      <w:marTop w:val="0"/>
                      <w:marBottom w:val="0"/>
                      <w:divBdr>
                        <w:top w:val="none" w:sz="0" w:space="0" w:color="auto"/>
                        <w:left w:val="none" w:sz="0" w:space="0" w:color="auto"/>
                        <w:bottom w:val="none" w:sz="0" w:space="0" w:color="auto"/>
                        <w:right w:val="none" w:sz="0" w:space="0" w:color="auto"/>
                      </w:divBdr>
                    </w:div>
                  </w:divsChild>
                </w:div>
                <w:div w:id="1163199200">
                  <w:marLeft w:val="0"/>
                  <w:marRight w:val="0"/>
                  <w:marTop w:val="0"/>
                  <w:marBottom w:val="0"/>
                  <w:divBdr>
                    <w:top w:val="none" w:sz="0" w:space="0" w:color="auto"/>
                    <w:left w:val="none" w:sz="0" w:space="0" w:color="auto"/>
                    <w:bottom w:val="none" w:sz="0" w:space="0" w:color="auto"/>
                    <w:right w:val="none" w:sz="0" w:space="0" w:color="auto"/>
                  </w:divBdr>
                  <w:divsChild>
                    <w:div w:id="25953949">
                      <w:marLeft w:val="0"/>
                      <w:marRight w:val="0"/>
                      <w:marTop w:val="0"/>
                      <w:marBottom w:val="0"/>
                      <w:divBdr>
                        <w:top w:val="none" w:sz="0" w:space="0" w:color="auto"/>
                        <w:left w:val="none" w:sz="0" w:space="0" w:color="auto"/>
                        <w:bottom w:val="none" w:sz="0" w:space="0" w:color="auto"/>
                        <w:right w:val="none" w:sz="0" w:space="0" w:color="auto"/>
                      </w:divBdr>
                    </w:div>
                  </w:divsChild>
                </w:div>
                <w:div w:id="1184628842">
                  <w:marLeft w:val="0"/>
                  <w:marRight w:val="0"/>
                  <w:marTop w:val="0"/>
                  <w:marBottom w:val="0"/>
                  <w:divBdr>
                    <w:top w:val="none" w:sz="0" w:space="0" w:color="auto"/>
                    <w:left w:val="none" w:sz="0" w:space="0" w:color="auto"/>
                    <w:bottom w:val="none" w:sz="0" w:space="0" w:color="auto"/>
                    <w:right w:val="none" w:sz="0" w:space="0" w:color="auto"/>
                  </w:divBdr>
                  <w:divsChild>
                    <w:div w:id="1337614465">
                      <w:marLeft w:val="0"/>
                      <w:marRight w:val="0"/>
                      <w:marTop w:val="0"/>
                      <w:marBottom w:val="0"/>
                      <w:divBdr>
                        <w:top w:val="none" w:sz="0" w:space="0" w:color="auto"/>
                        <w:left w:val="none" w:sz="0" w:space="0" w:color="auto"/>
                        <w:bottom w:val="none" w:sz="0" w:space="0" w:color="auto"/>
                        <w:right w:val="none" w:sz="0" w:space="0" w:color="auto"/>
                      </w:divBdr>
                    </w:div>
                  </w:divsChild>
                </w:div>
                <w:div w:id="1244341271">
                  <w:marLeft w:val="0"/>
                  <w:marRight w:val="0"/>
                  <w:marTop w:val="0"/>
                  <w:marBottom w:val="0"/>
                  <w:divBdr>
                    <w:top w:val="none" w:sz="0" w:space="0" w:color="auto"/>
                    <w:left w:val="none" w:sz="0" w:space="0" w:color="auto"/>
                    <w:bottom w:val="none" w:sz="0" w:space="0" w:color="auto"/>
                    <w:right w:val="none" w:sz="0" w:space="0" w:color="auto"/>
                  </w:divBdr>
                  <w:divsChild>
                    <w:div w:id="2041124043">
                      <w:marLeft w:val="0"/>
                      <w:marRight w:val="0"/>
                      <w:marTop w:val="0"/>
                      <w:marBottom w:val="0"/>
                      <w:divBdr>
                        <w:top w:val="none" w:sz="0" w:space="0" w:color="auto"/>
                        <w:left w:val="none" w:sz="0" w:space="0" w:color="auto"/>
                        <w:bottom w:val="none" w:sz="0" w:space="0" w:color="auto"/>
                        <w:right w:val="none" w:sz="0" w:space="0" w:color="auto"/>
                      </w:divBdr>
                    </w:div>
                  </w:divsChild>
                </w:div>
                <w:div w:id="1254314430">
                  <w:marLeft w:val="0"/>
                  <w:marRight w:val="0"/>
                  <w:marTop w:val="0"/>
                  <w:marBottom w:val="0"/>
                  <w:divBdr>
                    <w:top w:val="none" w:sz="0" w:space="0" w:color="auto"/>
                    <w:left w:val="none" w:sz="0" w:space="0" w:color="auto"/>
                    <w:bottom w:val="none" w:sz="0" w:space="0" w:color="auto"/>
                    <w:right w:val="none" w:sz="0" w:space="0" w:color="auto"/>
                  </w:divBdr>
                  <w:divsChild>
                    <w:div w:id="1796633373">
                      <w:marLeft w:val="0"/>
                      <w:marRight w:val="0"/>
                      <w:marTop w:val="0"/>
                      <w:marBottom w:val="0"/>
                      <w:divBdr>
                        <w:top w:val="none" w:sz="0" w:space="0" w:color="auto"/>
                        <w:left w:val="none" w:sz="0" w:space="0" w:color="auto"/>
                        <w:bottom w:val="none" w:sz="0" w:space="0" w:color="auto"/>
                        <w:right w:val="none" w:sz="0" w:space="0" w:color="auto"/>
                      </w:divBdr>
                    </w:div>
                  </w:divsChild>
                </w:div>
                <w:div w:id="1277172714">
                  <w:marLeft w:val="0"/>
                  <w:marRight w:val="0"/>
                  <w:marTop w:val="0"/>
                  <w:marBottom w:val="0"/>
                  <w:divBdr>
                    <w:top w:val="none" w:sz="0" w:space="0" w:color="auto"/>
                    <w:left w:val="none" w:sz="0" w:space="0" w:color="auto"/>
                    <w:bottom w:val="none" w:sz="0" w:space="0" w:color="auto"/>
                    <w:right w:val="none" w:sz="0" w:space="0" w:color="auto"/>
                  </w:divBdr>
                  <w:divsChild>
                    <w:div w:id="1409040013">
                      <w:marLeft w:val="0"/>
                      <w:marRight w:val="0"/>
                      <w:marTop w:val="0"/>
                      <w:marBottom w:val="0"/>
                      <w:divBdr>
                        <w:top w:val="none" w:sz="0" w:space="0" w:color="auto"/>
                        <w:left w:val="none" w:sz="0" w:space="0" w:color="auto"/>
                        <w:bottom w:val="none" w:sz="0" w:space="0" w:color="auto"/>
                        <w:right w:val="none" w:sz="0" w:space="0" w:color="auto"/>
                      </w:divBdr>
                    </w:div>
                  </w:divsChild>
                </w:div>
                <w:div w:id="1289429107">
                  <w:marLeft w:val="0"/>
                  <w:marRight w:val="0"/>
                  <w:marTop w:val="0"/>
                  <w:marBottom w:val="0"/>
                  <w:divBdr>
                    <w:top w:val="none" w:sz="0" w:space="0" w:color="auto"/>
                    <w:left w:val="none" w:sz="0" w:space="0" w:color="auto"/>
                    <w:bottom w:val="none" w:sz="0" w:space="0" w:color="auto"/>
                    <w:right w:val="none" w:sz="0" w:space="0" w:color="auto"/>
                  </w:divBdr>
                  <w:divsChild>
                    <w:div w:id="203566766">
                      <w:marLeft w:val="0"/>
                      <w:marRight w:val="0"/>
                      <w:marTop w:val="0"/>
                      <w:marBottom w:val="0"/>
                      <w:divBdr>
                        <w:top w:val="none" w:sz="0" w:space="0" w:color="auto"/>
                        <w:left w:val="none" w:sz="0" w:space="0" w:color="auto"/>
                        <w:bottom w:val="none" w:sz="0" w:space="0" w:color="auto"/>
                        <w:right w:val="none" w:sz="0" w:space="0" w:color="auto"/>
                      </w:divBdr>
                    </w:div>
                  </w:divsChild>
                </w:div>
                <w:div w:id="1292442141">
                  <w:marLeft w:val="0"/>
                  <w:marRight w:val="0"/>
                  <w:marTop w:val="0"/>
                  <w:marBottom w:val="0"/>
                  <w:divBdr>
                    <w:top w:val="none" w:sz="0" w:space="0" w:color="auto"/>
                    <w:left w:val="none" w:sz="0" w:space="0" w:color="auto"/>
                    <w:bottom w:val="none" w:sz="0" w:space="0" w:color="auto"/>
                    <w:right w:val="none" w:sz="0" w:space="0" w:color="auto"/>
                  </w:divBdr>
                  <w:divsChild>
                    <w:div w:id="596598749">
                      <w:marLeft w:val="0"/>
                      <w:marRight w:val="0"/>
                      <w:marTop w:val="0"/>
                      <w:marBottom w:val="0"/>
                      <w:divBdr>
                        <w:top w:val="none" w:sz="0" w:space="0" w:color="auto"/>
                        <w:left w:val="none" w:sz="0" w:space="0" w:color="auto"/>
                        <w:bottom w:val="none" w:sz="0" w:space="0" w:color="auto"/>
                        <w:right w:val="none" w:sz="0" w:space="0" w:color="auto"/>
                      </w:divBdr>
                    </w:div>
                  </w:divsChild>
                </w:div>
                <w:div w:id="1322781460">
                  <w:marLeft w:val="0"/>
                  <w:marRight w:val="0"/>
                  <w:marTop w:val="0"/>
                  <w:marBottom w:val="0"/>
                  <w:divBdr>
                    <w:top w:val="none" w:sz="0" w:space="0" w:color="auto"/>
                    <w:left w:val="none" w:sz="0" w:space="0" w:color="auto"/>
                    <w:bottom w:val="none" w:sz="0" w:space="0" w:color="auto"/>
                    <w:right w:val="none" w:sz="0" w:space="0" w:color="auto"/>
                  </w:divBdr>
                  <w:divsChild>
                    <w:div w:id="1743480121">
                      <w:marLeft w:val="0"/>
                      <w:marRight w:val="0"/>
                      <w:marTop w:val="0"/>
                      <w:marBottom w:val="0"/>
                      <w:divBdr>
                        <w:top w:val="none" w:sz="0" w:space="0" w:color="auto"/>
                        <w:left w:val="none" w:sz="0" w:space="0" w:color="auto"/>
                        <w:bottom w:val="none" w:sz="0" w:space="0" w:color="auto"/>
                        <w:right w:val="none" w:sz="0" w:space="0" w:color="auto"/>
                      </w:divBdr>
                    </w:div>
                  </w:divsChild>
                </w:div>
                <w:div w:id="1343358952">
                  <w:marLeft w:val="0"/>
                  <w:marRight w:val="0"/>
                  <w:marTop w:val="0"/>
                  <w:marBottom w:val="0"/>
                  <w:divBdr>
                    <w:top w:val="none" w:sz="0" w:space="0" w:color="auto"/>
                    <w:left w:val="none" w:sz="0" w:space="0" w:color="auto"/>
                    <w:bottom w:val="none" w:sz="0" w:space="0" w:color="auto"/>
                    <w:right w:val="none" w:sz="0" w:space="0" w:color="auto"/>
                  </w:divBdr>
                  <w:divsChild>
                    <w:div w:id="1183202514">
                      <w:marLeft w:val="0"/>
                      <w:marRight w:val="0"/>
                      <w:marTop w:val="0"/>
                      <w:marBottom w:val="0"/>
                      <w:divBdr>
                        <w:top w:val="none" w:sz="0" w:space="0" w:color="auto"/>
                        <w:left w:val="none" w:sz="0" w:space="0" w:color="auto"/>
                        <w:bottom w:val="none" w:sz="0" w:space="0" w:color="auto"/>
                        <w:right w:val="none" w:sz="0" w:space="0" w:color="auto"/>
                      </w:divBdr>
                    </w:div>
                  </w:divsChild>
                </w:div>
                <w:div w:id="1343623626">
                  <w:marLeft w:val="0"/>
                  <w:marRight w:val="0"/>
                  <w:marTop w:val="0"/>
                  <w:marBottom w:val="0"/>
                  <w:divBdr>
                    <w:top w:val="none" w:sz="0" w:space="0" w:color="auto"/>
                    <w:left w:val="none" w:sz="0" w:space="0" w:color="auto"/>
                    <w:bottom w:val="none" w:sz="0" w:space="0" w:color="auto"/>
                    <w:right w:val="none" w:sz="0" w:space="0" w:color="auto"/>
                  </w:divBdr>
                  <w:divsChild>
                    <w:div w:id="662121177">
                      <w:marLeft w:val="0"/>
                      <w:marRight w:val="0"/>
                      <w:marTop w:val="0"/>
                      <w:marBottom w:val="0"/>
                      <w:divBdr>
                        <w:top w:val="none" w:sz="0" w:space="0" w:color="auto"/>
                        <w:left w:val="none" w:sz="0" w:space="0" w:color="auto"/>
                        <w:bottom w:val="none" w:sz="0" w:space="0" w:color="auto"/>
                        <w:right w:val="none" w:sz="0" w:space="0" w:color="auto"/>
                      </w:divBdr>
                    </w:div>
                  </w:divsChild>
                </w:div>
                <w:div w:id="1348756884">
                  <w:marLeft w:val="0"/>
                  <w:marRight w:val="0"/>
                  <w:marTop w:val="0"/>
                  <w:marBottom w:val="0"/>
                  <w:divBdr>
                    <w:top w:val="none" w:sz="0" w:space="0" w:color="auto"/>
                    <w:left w:val="none" w:sz="0" w:space="0" w:color="auto"/>
                    <w:bottom w:val="none" w:sz="0" w:space="0" w:color="auto"/>
                    <w:right w:val="none" w:sz="0" w:space="0" w:color="auto"/>
                  </w:divBdr>
                  <w:divsChild>
                    <w:div w:id="187573042">
                      <w:marLeft w:val="0"/>
                      <w:marRight w:val="0"/>
                      <w:marTop w:val="0"/>
                      <w:marBottom w:val="0"/>
                      <w:divBdr>
                        <w:top w:val="none" w:sz="0" w:space="0" w:color="auto"/>
                        <w:left w:val="none" w:sz="0" w:space="0" w:color="auto"/>
                        <w:bottom w:val="none" w:sz="0" w:space="0" w:color="auto"/>
                        <w:right w:val="none" w:sz="0" w:space="0" w:color="auto"/>
                      </w:divBdr>
                    </w:div>
                  </w:divsChild>
                </w:div>
                <w:div w:id="1351835762">
                  <w:marLeft w:val="0"/>
                  <w:marRight w:val="0"/>
                  <w:marTop w:val="0"/>
                  <w:marBottom w:val="0"/>
                  <w:divBdr>
                    <w:top w:val="none" w:sz="0" w:space="0" w:color="auto"/>
                    <w:left w:val="none" w:sz="0" w:space="0" w:color="auto"/>
                    <w:bottom w:val="none" w:sz="0" w:space="0" w:color="auto"/>
                    <w:right w:val="none" w:sz="0" w:space="0" w:color="auto"/>
                  </w:divBdr>
                  <w:divsChild>
                    <w:div w:id="1920745208">
                      <w:marLeft w:val="0"/>
                      <w:marRight w:val="0"/>
                      <w:marTop w:val="0"/>
                      <w:marBottom w:val="0"/>
                      <w:divBdr>
                        <w:top w:val="none" w:sz="0" w:space="0" w:color="auto"/>
                        <w:left w:val="none" w:sz="0" w:space="0" w:color="auto"/>
                        <w:bottom w:val="none" w:sz="0" w:space="0" w:color="auto"/>
                        <w:right w:val="none" w:sz="0" w:space="0" w:color="auto"/>
                      </w:divBdr>
                    </w:div>
                  </w:divsChild>
                </w:div>
                <w:div w:id="1359357828">
                  <w:marLeft w:val="0"/>
                  <w:marRight w:val="0"/>
                  <w:marTop w:val="0"/>
                  <w:marBottom w:val="0"/>
                  <w:divBdr>
                    <w:top w:val="none" w:sz="0" w:space="0" w:color="auto"/>
                    <w:left w:val="none" w:sz="0" w:space="0" w:color="auto"/>
                    <w:bottom w:val="none" w:sz="0" w:space="0" w:color="auto"/>
                    <w:right w:val="none" w:sz="0" w:space="0" w:color="auto"/>
                  </w:divBdr>
                  <w:divsChild>
                    <w:div w:id="308217128">
                      <w:marLeft w:val="0"/>
                      <w:marRight w:val="0"/>
                      <w:marTop w:val="0"/>
                      <w:marBottom w:val="0"/>
                      <w:divBdr>
                        <w:top w:val="none" w:sz="0" w:space="0" w:color="auto"/>
                        <w:left w:val="none" w:sz="0" w:space="0" w:color="auto"/>
                        <w:bottom w:val="none" w:sz="0" w:space="0" w:color="auto"/>
                        <w:right w:val="none" w:sz="0" w:space="0" w:color="auto"/>
                      </w:divBdr>
                    </w:div>
                  </w:divsChild>
                </w:div>
                <w:div w:id="1366297452">
                  <w:marLeft w:val="0"/>
                  <w:marRight w:val="0"/>
                  <w:marTop w:val="0"/>
                  <w:marBottom w:val="0"/>
                  <w:divBdr>
                    <w:top w:val="none" w:sz="0" w:space="0" w:color="auto"/>
                    <w:left w:val="none" w:sz="0" w:space="0" w:color="auto"/>
                    <w:bottom w:val="none" w:sz="0" w:space="0" w:color="auto"/>
                    <w:right w:val="none" w:sz="0" w:space="0" w:color="auto"/>
                  </w:divBdr>
                  <w:divsChild>
                    <w:div w:id="994912638">
                      <w:marLeft w:val="0"/>
                      <w:marRight w:val="0"/>
                      <w:marTop w:val="0"/>
                      <w:marBottom w:val="0"/>
                      <w:divBdr>
                        <w:top w:val="none" w:sz="0" w:space="0" w:color="auto"/>
                        <w:left w:val="none" w:sz="0" w:space="0" w:color="auto"/>
                        <w:bottom w:val="none" w:sz="0" w:space="0" w:color="auto"/>
                        <w:right w:val="none" w:sz="0" w:space="0" w:color="auto"/>
                      </w:divBdr>
                    </w:div>
                  </w:divsChild>
                </w:div>
                <w:div w:id="1401752560">
                  <w:marLeft w:val="0"/>
                  <w:marRight w:val="0"/>
                  <w:marTop w:val="0"/>
                  <w:marBottom w:val="0"/>
                  <w:divBdr>
                    <w:top w:val="none" w:sz="0" w:space="0" w:color="auto"/>
                    <w:left w:val="none" w:sz="0" w:space="0" w:color="auto"/>
                    <w:bottom w:val="none" w:sz="0" w:space="0" w:color="auto"/>
                    <w:right w:val="none" w:sz="0" w:space="0" w:color="auto"/>
                  </w:divBdr>
                  <w:divsChild>
                    <w:div w:id="1676300773">
                      <w:marLeft w:val="0"/>
                      <w:marRight w:val="0"/>
                      <w:marTop w:val="0"/>
                      <w:marBottom w:val="0"/>
                      <w:divBdr>
                        <w:top w:val="none" w:sz="0" w:space="0" w:color="auto"/>
                        <w:left w:val="none" w:sz="0" w:space="0" w:color="auto"/>
                        <w:bottom w:val="none" w:sz="0" w:space="0" w:color="auto"/>
                        <w:right w:val="none" w:sz="0" w:space="0" w:color="auto"/>
                      </w:divBdr>
                    </w:div>
                  </w:divsChild>
                </w:div>
                <w:div w:id="1405027236">
                  <w:marLeft w:val="0"/>
                  <w:marRight w:val="0"/>
                  <w:marTop w:val="0"/>
                  <w:marBottom w:val="0"/>
                  <w:divBdr>
                    <w:top w:val="none" w:sz="0" w:space="0" w:color="auto"/>
                    <w:left w:val="none" w:sz="0" w:space="0" w:color="auto"/>
                    <w:bottom w:val="none" w:sz="0" w:space="0" w:color="auto"/>
                    <w:right w:val="none" w:sz="0" w:space="0" w:color="auto"/>
                  </w:divBdr>
                  <w:divsChild>
                    <w:div w:id="1653634609">
                      <w:marLeft w:val="0"/>
                      <w:marRight w:val="0"/>
                      <w:marTop w:val="0"/>
                      <w:marBottom w:val="0"/>
                      <w:divBdr>
                        <w:top w:val="none" w:sz="0" w:space="0" w:color="auto"/>
                        <w:left w:val="none" w:sz="0" w:space="0" w:color="auto"/>
                        <w:bottom w:val="none" w:sz="0" w:space="0" w:color="auto"/>
                        <w:right w:val="none" w:sz="0" w:space="0" w:color="auto"/>
                      </w:divBdr>
                    </w:div>
                  </w:divsChild>
                </w:div>
                <w:div w:id="1444349429">
                  <w:marLeft w:val="0"/>
                  <w:marRight w:val="0"/>
                  <w:marTop w:val="0"/>
                  <w:marBottom w:val="0"/>
                  <w:divBdr>
                    <w:top w:val="none" w:sz="0" w:space="0" w:color="auto"/>
                    <w:left w:val="none" w:sz="0" w:space="0" w:color="auto"/>
                    <w:bottom w:val="none" w:sz="0" w:space="0" w:color="auto"/>
                    <w:right w:val="none" w:sz="0" w:space="0" w:color="auto"/>
                  </w:divBdr>
                  <w:divsChild>
                    <w:div w:id="782966081">
                      <w:marLeft w:val="0"/>
                      <w:marRight w:val="0"/>
                      <w:marTop w:val="0"/>
                      <w:marBottom w:val="0"/>
                      <w:divBdr>
                        <w:top w:val="none" w:sz="0" w:space="0" w:color="auto"/>
                        <w:left w:val="none" w:sz="0" w:space="0" w:color="auto"/>
                        <w:bottom w:val="none" w:sz="0" w:space="0" w:color="auto"/>
                        <w:right w:val="none" w:sz="0" w:space="0" w:color="auto"/>
                      </w:divBdr>
                    </w:div>
                  </w:divsChild>
                </w:div>
                <w:div w:id="1448814446">
                  <w:marLeft w:val="0"/>
                  <w:marRight w:val="0"/>
                  <w:marTop w:val="0"/>
                  <w:marBottom w:val="0"/>
                  <w:divBdr>
                    <w:top w:val="none" w:sz="0" w:space="0" w:color="auto"/>
                    <w:left w:val="none" w:sz="0" w:space="0" w:color="auto"/>
                    <w:bottom w:val="none" w:sz="0" w:space="0" w:color="auto"/>
                    <w:right w:val="none" w:sz="0" w:space="0" w:color="auto"/>
                  </w:divBdr>
                  <w:divsChild>
                    <w:div w:id="1613439611">
                      <w:marLeft w:val="0"/>
                      <w:marRight w:val="0"/>
                      <w:marTop w:val="0"/>
                      <w:marBottom w:val="0"/>
                      <w:divBdr>
                        <w:top w:val="none" w:sz="0" w:space="0" w:color="auto"/>
                        <w:left w:val="none" w:sz="0" w:space="0" w:color="auto"/>
                        <w:bottom w:val="none" w:sz="0" w:space="0" w:color="auto"/>
                        <w:right w:val="none" w:sz="0" w:space="0" w:color="auto"/>
                      </w:divBdr>
                    </w:div>
                  </w:divsChild>
                </w:div>
                <w:div w:id="1452018438">
                  <w:marLeft w:val="0"/>
                  <w:marRight w:val="0"/>
                  <w:marTop w:val="0"/>
                  <w:marBottom w:val="0"/>
                  <w:divBdr>
                    <w:top w:val="none" w:sz="0" w:space="0" w:color="auto"/>
                    <w:left w:val="none" w:sz="0" w:space="0" w:color="auto"/>
                    <w:bottom w:val="none" w:sz="0" w:space="0" w:color="auto"/>
                    <w:right w:val="none" w:sz="0" w:space="0" w:color="auto"/>
                  </w:divBdr>
                  <w:divsChild>
                    <w:div w:id="1079058980">
                      <w:marLeft w:val="0"/>
                      <w:marRight w:val="0"/>
                      <w:marTop w:val="0"/>
                      <w:marBottom w:val="0"/>
                      <w:divBdr>
                        <w:top w:val="none" w:sz="0" w:space="0" w:color="auto"/>
                        <w:left w:val="none" w:sz="0" w:space="0" w:color="auto"/>
                        <w:bottom w:val="none" w:sz="0" w:space="0" w:color="auto"/>
                        <w:right w:val="none" w:sz="0" w:space="0" w:color="auto"/>
                      </w:divBdr>
                    </w:div>
                  </w:divsChild>
                </w:div>
                <w:div w:id="1462723154">
                  <w:marLeft w:val="0"/>
                  <w:marRight w:val="0"/>
                  <w:marTop w:val="0"/>
                  <w:marBottom w:val="0"/>
                  <w:divBdr>
                    <w:top w:val="none" w:sz="0" w:space="0" w:color="auto"/>
                    <w:left w:val="none" w:sz="0" w:space="0" w:color="auto"/>
                    <w:bottom w:val="none" w:sz="0" w:space="0" w:color="auto"/>
                    <w:right w:val="none" w:sz="0" w:space="0" w:color="auto"/>
                  </w:divBdr>
                  <w:divsChild>
                    <w:div w:id="1191645174">
                      <w:marLeft w:val="0"/>
                      <w:marRight w:val="0"/>
                      <w:marTop w:val="0"/>
                      <w:marBottom w:val="0"/>
                      <w:divBdr>
                        <w:top w:val="none" w:sz="0" w:space="0" w:color="auto"/>
                        <w:left w:val="none" w:sz="0" w:space="0" w:color="auto"/>
                        <w:bottom w:val="none" w:sz="0" w:space="0" w:color="auto"/>
                        <w:right w:val="none" w:sz="0" w:space="0" w:color="auto"/>
                      </w:divBdr>
                    </w:div>
                  </w:divsChild>
                </w:div>
                <w:div w:id="1484466653">
                  <w:marLeft w:val="0"/>
                  <w:marRight w:val="0"/>
                  <w:marTop w:val="0"/>
                  <w:marBottom w:val="0"/>
                  <w:divBdr>
                    <w:top w:val="none" w:sz="0" w:space="0" w:color="auto"/>
                    <w:left w:val="none" w:sz="0" w:space="0" w:color="auto"/>
                    <w:bottom w:val="none" w:sz="0" w:space="0" w:color="auto"/>
                    <w:right w:val="none" w:sz="0" w:space="0" w:color="auto"/>
                  </w:divBdr>
                  <w:divsChild>
                    <w:div w:id="1276133746">
                      <w:marLeft w:val="0"/>
                      <w:marRight w:val="0"/>
                      <w:marTop w:val="0"/>
                      <w:marBottom w:val="0"/>
                      <w:divBdr>
                        <w:top w:val="none" w:sz="0" w:space="0" w:color="auto"/>
                        <w:left w:val="none" w:sz="0" w:space="0" w:color="auto"/>
                        <w:bottom w:val="none" w:sz="0" w:space="0" w:color="auto"/>
                        <w:right w:val="none" w:sz="0" w:space="0" w:color="auto"/>
                      </w:divBdr>
                    </w:div>
                  </w:divsChild>
                </w:div>
                <w:div w:id="1491024651">
                  <w:marLeft w:val="0"/>
                  <w:marRight w:val="0"/>
                  <w:marTop w:val="0"/>
                  <w:marBottom w:val="0"/>
                  <w:divBdr>
                    <w:top w:val="none" w:sz="0" w:space="0" w:color="auto"/>
                    <w:left w:val="none" w:sz="0" w:space="0" w:color="auto"/>
                    <w:bottom w:val="none" w:sz="0" w:space="0" w:color="auto"/>
                    <w:right w:val="none" w:sz="0" w:space="0" w:color="auto"/>
                  </w:divBdr>
                  <w:divsChild>
                    <w:div w:id="2146581947">
                      <w:marLeft w:val="0"/>
                      <w:marRight w:val="0"/>
                      <w:marTop w:val="0"/>
                      <w:marBottom w:val="0"/>
                      <w:divBdr>
                        <w:top w:val="none" w:sz="0" w:space="0" w:color="auto"/>
                        <w:left w:val="none" w:sz="0" w:space="0" w:color="auto"/>
                        <w:bottom w:val="none" w:sz="0" w:space="0" w:color="auto"/>
                        <w:right w:val="none" w:sz="0" w:space="0" w:color="auto"/>
                      </w:divBdr>
                    </w:div>
                  </w:divsChild>
                </w:div>
                <w:div w:id="1538007986">
                  <w:marLeft w:val="0"/>
                  <w:marRight w:val="0"/>
                  <w:marTop w:val="0"/>
                  <w:marBottom w:val="0"/>
                  <w:divBdr>
                    <w:top w:val="none" w:sz="0" w:space="0" w:color="auto"/>
                    <w:left w:val="none" w:sz="0" w:space="0" w:color="auto"/>
                    <w:bottom w:val="none" w:sz="0" w:space="0" w:color="auto"/>
                    <w:right w:val="none" w:sz="0" w:space="0" w:color="auto"/>
                  </w:divBdr>
                  <w:divsChild>
                    <w:div w:id="1147017480">
                      <w:marLeft w:val="0"/>
                      <w:marRight w:val="0"/>
                      <w:marTop w:val="0"/>
                      <w:marBottom w:val="0"/>
                      <w:divBdr>
                        <w:top w:val="none" w:sz="0" w:space="0" w:color="auto"/>
                        <w:left w:val="none" w:sz="0" w:space="0" w:color="auto"/>
                        <w:bottom w:val="none" w:sz="0" w:space="0" w:color="auto"/>
                        <w:right w:val="none" w:sz="0" w:space="0" w:color="auto"/>
                      </w:divBdr>
                    </w:div>
                  </w:divsChild>
                </w:div>
                <w:div w:id="1545603240">
                  <w:marLeft w:val="0"/>
                  <w:marRight w:val="0"/>
                  <w:marTop w:val="0"/>
                  <w:marBottom w:val="0"/>
                  <w:divBdr>
                    <w:top w:val="none" w:sz="0" w:space="0" w:color="auto"/>
                    <w:left w:val="none" w:sz="0" w:space="0" w:color="auto"/>
                    <w:bottom w:val="none" w:sz="0" w:space="0" w:color="auto"/>
                    <w:right w:val="none" w:sz="0" w:space="0" w:color="auto"/>
                  </w:divBdr>
                  <w:divsChild>
                    <w:div w:id="1507792243">
                      <w:marLeft w:val="0"/>
                      <w:marRight w:val="0"/>
                      <w:marTop w:val="0"/>
                      <w:marBottom w:val="0"/>
                      <w:divBdr>
                        <w:top w:val="none" w:sz="0" w:space="0" w:color="auto"/>
                        <w:left w:val="none" w:sz="0" w:space="0" w:color="auto"/>
                        <w:bottom w:val="none" w:sz="0" w:space="0" w:color="auto"/>
                        <w:right w:val="none" w:sz="0" w:space="0" w:color="auto"/>
                      </w:divBdr>
                    </w:div>
                  </w:divsChild>
                </w:div>
                <w:div w:id="1564096639">
                  <w:marLeft w:val="0"/>
                  <w:marRight w:val="0"/>
                  <w:marTop w:val="0"/>
                  <w:marBottom w:val="0"/>
                  <w:divBdr>
                    <w:top w:val="none" w:sz="0" w:space="0" w:color="auto"/>
                    <w:left w:val="none" w:sz="0" w:space="0" w:color="auto"/>
                    <w:bottom w:val="none" w:sz="0" w:space="0" w:color="auto"/>
                    <w:right w:val="none" w:sz="0" w:space="0" w:color="auto"/>
                  </w:divBdr>
                  <w:divsChild>
                    <w:div w:id="634218529">
                      <w:marLeft w:val="0"/>
                      <w:marRight w:val="0"/>
                      <w:marTop w:val="0"/>
                      <w:marBottom w:val="0"/>
                      <w:divBdr>
                        <w:top w:val="none" w:sz="0" w:space="0" w:color="auto"/>
                        <w:left w:val="none" w:sz="0" w:space="0" w:color="auto"/>
                        <w:bottom w:val="none" w:sz="0" w:space="0" w:color="auto"/>
                        <w:right w:val="none" w:sz="0" w:space="0" w:color="auto"/>
                      </w:divBdr>
                    </w:div>
                  </w:divsChild>
                </w:div>
                <w:div w:id="1564413143">
                  <w:marLeft w:val="0"/>
                  <w:marRight w:val="0"/>
                  <w:marTop w:val="0"/>
                  <w:marBottom w:val="0"/>
                  <w:divBdr>
                    <w:top w:val="none" w:sz="0" w:space="0" w:color="auto"/>
                    <w:left w:val="none" w:sz="0" w:space="0" w:color="auto"/>
                    <w:bottom w:val="none" w:sz="0" w:space="0" w:color="auto"/>
                    <w:right w:val="none" w:sz="0" w:space="0" w:color="auto"/>
                  </w:divBdr>
                  <w:divsChild>
                    <w:div w:id="499320982">
                      <w:marLeft w:val="0"/>
                      <w:marRight w:val="0"/>
                      <w:marTop w:val="0"/>
                      <w:marBottom w:val="0"/>
                      <w:divBdr>
                        <w:top w:val="none" w:sz="0" w:space="0" w:color="auto"/>
                        <w:left w:val="none" w:sz="0" w:space="0" w:color="auto"/>
                        <w:bottom w:val="none" w:sz="0" w:space="0" w:color="auto"/>
                        <w:right w:val="none" w:sz="0" w:space="0" w:color="auto"/>
                      </w:divBdr>
                    </w:div>
                  </w:divsChild>
                </w:div>
                <w:div w:id="1566140564">
                  <w:marLeft w:val="0"/>
                  <w:marRight w:val="0"/>
                  <w:marTop w:val="0"/>
                  <w:marBottom w:val="0"/>
                  <w:divBdr>
                    <w:top w:val="none" w:sz="0" w:space="0" w:color="auto"/>
                    <w:left w:val="none" w:sz="0" w:space="0" w:color="auto"/>
                    <w:bottom w:val="none" w:sz="0" w:space="0" w:color="auto"/>
                    <w:right w:val="none" w:sz="0" w:space="0" w:color="auto"/>
                  </w:divBdr>
                  <w:divsChild>
                    <w:div w:id="415595578">
                      <w:marLeft w:val="0"/>
                      <w:marRight w:val="0"/>
                      <w:marTop w:val="0"/>
                      <w:marBottom w:val="0"/>
                      <w:divBdr>
                        <w:top w:val="none" w:sz="0" w:space="0" w:color="auto"/>
                        <w:left w:val="none" w:sz="0" w:space="0" w:color="auto"/>
                        <w:bottom w:val="none" w:sz="0" w:space="0" w:color="auto"/>
                        <w:right w:val="none" w:sz="0" w:space="0" w:color="auto"/>
                      </w:divBdr>
                    </w:div>
                  </w:divsChild>
                </w:div>
                <w:div w:id="1579290599">
                  <w:marLeft w:val="0"/>
                  <w:marRight w:val="0"/>
                  <w:marTop w:val="0"/>
                  <w:marBottom w:val="0"/>
                  <w:divBdr>
                    <w:top w:val="none" w:sz="0" w:space="0" w:color="auto"/>
                    <w:left w:val="none" w:sz="0" w:space="0" w:color="auto"/>
                    <w:bottom w:val="none" w:sz="0" w:space="0" w:color="auto"/>
                    <w:right w:val="none" w:sz="0" w:space="0" w:color="auto"/>
                  </w:divBdr>
                  <w:divsChild>
                    <w:div w:id="287126140">
                      <w:marLeft w:val="0"/>
                      <w:marRight w:val="0"/>
                      <w:marTop w:val="0"/>
                      <w:marBottom w:val="0"/>
                      <w:divBdr>
                        <w:top w:val="none" w:sz="0" w:space="0" w:color="auto"/>
                        <w:left w:val="none" w:sz="0" w:space="0" w:color="auto"/>
                        <w:bottom w:val="none" w:sz="0" w:space="0" w:color="auto"/>
                        <w:right w:val="none" w:sz="0" w:space="0" w:color="auto"/>
                      </w:divBdr>
                    </w:div>
                  </w:divsChild>
                </w:div>
                <w:div w:id="1600679453">
                  <w:marLeft w:val="0"/>
                  <w:marRight w:val="0"/>
                  <w:marTop w:val="0"/>
                  <w:marBottom w:val="0"/>
                  <w:divBdr>
                    <w:top w:val="none" w:sz="0" w:space="0" w:color="auto"/>
                    <w:left w:val="none" w:sz="0" w:space="0" w:color="auto"/>
                    <w:bottom w:val="none" w:sz="0" w:space="0" w:color="auto"/>
                    <w:right w:val="none" w:sz="0" w:space="0" w:color="auto"/>
                  </w:divBdr>
                  <w:divsChild>
                    <w:div w:id="5134922">
                      <w:marLeft w:val="0"/>
                      <w:marRight w:val="0"/>
                      <w:marTop w:val="0"/>
                      <w:marBottom w:val="0"/>
                      <w:divBdr>
                        <w:top w:val="none" w:sz="0" w:space="0" w:color="auto"/>
                        <w:left w:val="none" w:sz="0" w:space="0" w:color="auto"/>
                        <w:bottom w:val="none" w:sz="0" w:space="0" w:color="auto"/>
                        <w:right w:val="none" w:sz="0" w:space="0" w:color="auto"/>
                      </w:divBdr>
                    </w:div>
                  </w:divsChild>
                </w:div>
                <w:div w:id="1603225666">
                  <w:marLeft w:val="0"/>
                  <w:marRight w:val="0"/>
                  <w:marTop w:val="0"/>
                  <w:marBottom w:val="0"/>
                  <w:divBdr>
                    <w:top w:val="none" w:sz="0" w:space="0" w:color="auto"/>
                    <w:left w:val="none" w:sz="0" w:space="0" w:color="auto"/>
                    <w:bottom w:val="none" w:sz="0" w:space="0" w:color="auto"/>
                    <w:right w:val="none" w:sz="0" w:space="0" w:color="auto"/>
                  </w:divBdr>
                  <w:divsChild>
                    <w:div w:id="417601300">
                      <w:marLeft w:val="0"/>
                      <w:marRight w:val="0"/>
                      <w:marTop w:val="0"/>
                      <w:marBottom w:val="0"/>
                      <w:divBdr>
                        <w:top w:val="none" w:sz="0" w:space="0" w:color="auto"/>
                        <w:left w:val="none" w:sz="0" w:space="0" w:color="auto"/>
                        <w:bottom w:val="none" w:sz="0" w:space="0" w:color="auto"/>
                        <w:right w:val="none" w:sz="0" w:space="0" w:color="auto"/>
                      </w:divBdr>
                    </w:div>
                  </w:divsChild>
                </w:div>
                <w:div w:id="1640568783">
                  <w:marLeft w:val="0"/>
                  <w:marRight w:val="0"/>
                  <w:marTop w:val="0"/>
                  <w:marBottom w:val="0"/>
                  <w:divBdr>
                    <w:top w:val="none" w:sz="0" w:space="0" w:color="auto"/>
                    <w:left w:val="none" w:sz="0" w:space="0" w:color="auto"/>
                    <w:bottom w:val="none" w:sz="0" w:space="0" w:color="auto"/>
                    <w:right w:val="none" w:sz="0" w:space="0" w:color="auto"/>
                  </w:divBdr>
                  <w:divsChild>
                    <w:div w:id="1799687712">
                      <w:marLeft w:val="0"/>
                      <w:marRight w:val="0"/>
                      <w:marTop w:val="0"/>
                      <w:marBottom w:val="0"/>
                      <w:divBdr>
                        <w:top w:val="none" w:sz="0" w:space="0" w:color="auto"/>
                        <w:left w:val="none" w:sz="0" w:space="0" w:color="auto"/>
                        <w:bottom w:val="none" w:sz="0" w:space="0" w:color="auto"/>
                        <w:right w:val="none" w:sz="0" w:space="0" w:color="auto"/>
                      </w:divBdr>
                    </w:div>
                  </w:divsChild>
                </w:div>
                <w:div w:id="1656882971">
                  <w:marLeft w:val="0"/>
                  <w:marRight w:val="0"/>
                  <w:marTop w:val="0"/>
                  <w:marBottom w:val="0"/>
                  <w:divBdr>
                    <w:top w:val="none" w:sz="0" w:space="0" w:color="auto"/>
                    <w:left w:val="none" w:sz="0" w:space="0" w:color="auto"/>
                    <w:bottom w:val="none" w:sz="0" w:space="0" w:color="auto"/>
                    <w:right w:val="none" w:sz="0" w:space="0" w:color="auto"/>
                  </w:divBdr>
                  <w:divsChild>
                    <w:div w:id="311103652">
                      <w:marLeft w:val="0"/>
                      <w:marRight w:val="0"/>
                      <w:marTop w:val="0"/>
                      <w:marBottom w:val="0"/>
                      <w:divBdr>
                        <w:top w:val="none" w:sz="0" w:space="0" w:color="auto"/>
                        <w:left w:val="none" w:sz="0" w:space="0" w:color="auto"/>
                        <w:bottom w:val="none" w:sz="0" w:space="0" w:color="auto"/>
                        <w:right w:val="none" w:sz="0" w:space="0" w:color="auto"/>
                      </w:divBdr>
                    </w:div>
                  </w:divsChild>
                </w:div>
                <w:div w:id="1666515370">
                  <w:marLeft w:val="0"/>
                  <w:marRight w:val="0"/>
                  <w:marTop w:val="0"/>
                  <w:marBottom w:val="0"/>
                  <w:divBdr>
                    <w:top w:val="none" w:sz="0" w:space="0" w:color="auto"/>
                    <w:left w:val="none" w:sz="0" w:space="0" w:color="auto"/>
                    <w:bottom w:val="none" w:sz="0" w:space="0" w:color="auto"/>
                    <w:right w:val="none" w:sz="0" w:space="0" w:color="auto"/>
                  </w:divBdr>
                  <w:divsChild>
                    <w:div w:id="1986154377">
                      <w:marLeft w:val="0"/>
                      <w:marRight w:val="0"/>
                      <w:marTop w:val="0"/>
                      <w:marBottom w:val="0"/>
                      <w:divBdr>
                        <w:top w:val="none" w:sz="0" w:space="0" w:color="auto"/>
                        <w:left w:val="none" w:sz="0" w:space="0" w:color="auto"/>
                        <w:bottom w:val="none" w:sz="0" w:space="0" w:color="auto"/>
                        <w:right w:val="none" w:sz="0" w:space="0" w:color="auto"/>
                      </w:divBdr>
                    </w:div>
                  </w:divsChild>
                </w:div>
                <w:div w:id="1668943777">
                  <w:marLeft w:val="0"/>
                  <w:marRight w:val="0"/>
                  <w:marTop w:val="0"/>
                  <w:marBottom w:val="0"/>
                  <w:divBdr>
                    <w:top w:val="none" w:sz="0" w:space="0" w:color="auto"/>
                    <w:left w:val="none" w:sz="0" w:space="0" w:color="auto"/>
                    <w:bottom w:val="none" w:sz="0" w:space="0" w:color="auto"/>
                    <w:right w:val="none" w:sz="0" w:space="0" w:color="auto"/>
                  </w:divBdr>
                  <w:divsChild>
                    <w:div w:id="1337225213">
                      <w:marLeft w:val="0"/>
                      <w:marRight w:val="0"/>
                      <w:marTop w:val="0"/>
                      <w:marBottom w:val="0"/>
                      <w:divBdr>
                        <w:top w:val="none" w:sz="0" w:space="0" w:color="auto"/>
                        <w:left w:val="none" w:sz="0" w:space="0" w:color="auto"/>
                        <w:bottom w:val="none" w:sz="0" w:space="0" w:color="auto"/>
                        <w:right w:val="none" w:sz="0" w:space="0" w:color="auto"/>
                      </w:divBdr>
                    </w:div>
                  </w:divsChild>
                </w:div>
                <w:div w:id="1670210400">
                  <w:marLeft w:val="0"/>
                  <w:marRight w:val="0"/>
                  <w:marTop w:val="0"/>
                  <w:marBottom w:val="0"/>
                  <w:divBdr>
                    <w:top w:val="none" w:sz="0" w:space="0" w:color="auto"/>
                    <w:left w:val="none" w:sz="0" w:space="0" w:color="auto"/>
                    <w:bottom w:val="none" w:sz="0" w:space="0" w:color="auto"/>
                    <w:right w:val="none" w:sz="0" w:space="0" w:color="auto"/>
                  </w:divBdr>
                  <w:divsChild>
                    <w:div w:id="2079476907">
                      <w:marLeft w:val="0"/>
                      <w:marRight w:val="0"/>
                      <w:marTop w:val="0"/>
                      <w:marBottom w:val="0"/>
                      <w:divBdr>
                        <w:top w:val="none" w:sz="0" w:space="0" w:color="auto"/>
                        <w:left w:val="none" w:sz="0" w:space="0" w:color="auto"/>
                        <w:bottom w:val="none" w:sz="0" w:space="0" w:color="auto"/>
                        <w:right w:val="none" w:sz="0" w:space="0" w:color="auto"/>
                      </w:divBdr>
                    </w:div>
                  </w:divsChild>
                </w:div>
                <w:div w:id="1680427944">
                  <w:marLeft w:val="0"/>
                  <w:marRight w:val="0"/>
                  <w:marTop w:val="0"/>
                  <w:marBottom w:val="0"/>
                  <w:divBdr>
                    <w:top w:val="none" w:sz="0" w:space="0" w:color="auto"/>
                    <w:left w:val="none" w:sz="0" w:space="0" w:color="auto"/>
                    <w:bottom w:val="none" w:sz="0" w:space="0" w:color="auto"/>
                    <w:right w:val="none" w:sz="0" w:space="0" w:color="auto"/>
                  </w:divBdr>
                  <w:divsChild>
                    <w:div w:id="2115436890">
                      <w:marLeft w:val="0"/>
                      <w:marRight w:val="0"/>
                      <w:marTop w:val="0"/>
                      <w:marBottom w:val="0"/>
                      <w:divBdr>
                        <w:top w:val="none" w:sz="0" w:space="0" w:color="auto"/>
                        <w:left w:val="none" w:sz="0" w:space="0" w:color="auto"/>
                        <w:bottom w:val="none" w:sz="0" w:space="0" w:color="auto"/>
                        <w:right w:val="none" w:sz="0" w:space="0" w:color="auto"/>
                      </w:divBdr>
                    </w:div>
                  </w:divsChild>
                </w:div>
                <w:div w:id="1708986538">
                  <w:marLeft w:val="0"/>
                  <w:marRight w:val="0"/>
                  <w:marTop w:val="0"/>
                  <w:marBottom w:val="0"/>
                  <w:divBdr>
                    <w:top w:val="none" w:sz="0" w:space="0" w:color="auto"/>
                    <w:left w:val="none" w:sz="0" w:space="0" w:color="auto"/>
                    <w:bottom w:val="none" w:sz="0" w:space="0" w:color="auto"/>
                    <w:right w:val="none" w:sz="0" w:space="0" w:color="auto"/>
                  </w:divBdr>
                  <w:divsChild>
                    <w:div w:id="1672828119">
                      <w:marLeft w:val="0"/>
                      <w:marRight w:val="0"/>
                      <w:marTop w:val="0"/>
                      <w:marBottom w:val="0"/>
                      <w:divBdr>
                        <w:top w:val="none" w:sz="0" w:space="0" w:color="auto"/>
                        <w:left w:val="none" w:sz="0" w:space="0" w:color="auto"/>
                        <w:bottom w:val="none" w:sz="0" w:space="0" w:color="auto"/>
                        <w:right w:val="none" w:sz="0" w:space="0" w:color="auto"/>
                      </w:divBdr>
                    </w:div>
                  </w:divsChild>
                </w:div>
                <w:div w:id="1716392653">
                  <w:marLeft w:val="0"/>
                  <w:marRight w:val="0"/>
                  <w:marTop w:val="0"/>
                  <w:marBottom w:val="0"/>
                  <w:divBdr>
                    <w:top w:val="none" w:sz="0" w:space="0" w:color="auto"/>
                    <w:left w:val="none" w:sz="0" w:space="0" w:color="auto"/>
                    <w:bottom w:val="none" w:sz="0" w:space="0" w:color="auto"/>
                    <w:right w:val="none" w:sz="0" w:space="0" w:color="auto"/>
                  </w:divBdr>
                  <w:divsChild>
                    <w:div w:id="1949775234">
                      <w:marLeft w:val="0"/>
                      <w:marRight w:val="0"/>
                      <w:marTop w:val="0"/>
                      <w:marBottom w:val="0"/>
                      <w:divBdr>
                        <w:top w:val="none" w:sz="0" w:space="0" w:color="auto"/>
                        <w:left w:val="none" w:sz="0" w:space="0" w:color="auto"/>
                        <w:bottom w:val="none" w:sz="0" w:space="0" w:color="auto"/>
                        <w:right w:val="none" w:sz="0" w:space="0" w:color="auto"/>
                      </w:divBdr>
                    </w:div>
                  </w:divsChild>
                </w:div>
                <w:div w:id="1728190056">
                  <w:marLeft w:val="0"/>
                  <w:marRight w:val="0"/>
                  <w:marTop w:val="0"/>
                  <w:marBottom w:val="0"/>
                  <w:divBdr>
                    <w:top w:val="none" w:sz="0" w:space="0" w:color="auto"/>
                    <w:left w:val="none" w:sz="0" w:space="0" w:color="auto"/>
                    <w:bottom w:val="none" w:sz="0" w:space="0" w:color="auto"/>
                    <w:right w:val="none" w:sz="0" w:space="0" w:color="auto"/>
                  </w:divBdr>
                  <w:divsChild>
                    <w:div w:id="1255436081">
                      <w:marLeft w:val="0"/>
                      <w:marRight w:val="0"/>
                      <w:marTop w:val="0"/>
                      <w:marBottom w:val="0"/>
                      <w:divBdr>
                        <w:top w:val="none" w:sz="0" w:space="0" w:color="auto"/>
                        <w:left w:val="none" w:sz="0" w:space="0" w:color="auto"/>
                        <w:bottom w:val="none" w:sz="0" w:space="0" w:color="auto"/>
                        <w:right w:val="none" w:sz="0" w:space="0" w:color="auto"/>
                      </w:divBdr>
                    </w:div>
                  </w:divsChild>
                </w:div>
                <w:div w:id="1749688213">
                  <w:marLeft w:val="0"/>
                  <w:marRight w:val="0"/>
                  <w:marTop w:val="0"/>
                  <w:marBottom w:val="0"/>
                  <w:divBdr>
                    <w:top w:val="none" w:sz="0" w:space="0" w:color="auto"/>
                    <w:left w:val="none" w:sz="0" w:space="0" w:color="auto"/>
                    <w:bottom w:val="none" w:sz="0" w:space="0" w:color="auto"/>
                    <w:right w:val="none" w:sz="0" w:space="0" w:color="auto"/>
                  </w:divBdr>
                  <w:divsChild>
                    <w:div w:id="1728606302">
                      <w:marLeft w:val="0"/>
                      <w:marRight w:val="0"/>
                      <w:marTop w:val="0"/>
                      <w:marBottom w:val="0"/>
                      <w:divBdr>
                        <w:top w:val="none" w:sz="0" w:space="0" w:color="auto"/>
                        <w:left w:val="none" w:sz="0" w:space="0" w:color="auto"/>
                        <w:bottom w:val="none" w:sz="0" w:space="0" w:color="auto"/>
                        <w:right w:val="none" w:sz="0" w:space="0" w:color="auto"/>
                      </w:divBdr>
                    </w:div>
                  </w:divsChild>
                </w:div>
                <w:div w:id="1758360360">
                  <w:marLeft w:val="0"/>
                  <w:marRight w:val="0"/>
                  <w:marTop w:val="0"/>
                  <w:marBottom w:val="0"/>
                  <w:divBdr>
                    <w:top w:val="none" w:sz="0" w:space="0" w:color="auto"/>
                    <w:left w:val="none" w:sz="0" w:space="0" w:color="auto"/>
                    <w:bottom w:val="none" w:sz="0" w:space="0" w:color="auto"/>
                    <w:right w:val="none" w:sz="0" w:space="0" w:color="auto"/>
                  </w:divBdr>
                  <w:divsChild>
                    <w:div w:id="1494175138">
                      <w:marLeft w:val="0"/>
                      <w:marRight w:val="0"/>
                      <w:marTop w:val="0"/>
                      <w:marBottom w:val="0"/>
                      <w:divBdr>
                        <w:top w:val="none" w:sz="0" w:space="0" w:color="auto"/>
                        <w:left w:val="none" w:sz="0" w:space="0" w:color="auto"/>
                        <w:bottom w:val="none" w:sz="0" w:space="0" w:color="auto"/>
                        <w:right w:val="none" w:sz="0" w:space="0" w:color="auto"/>
                      </w:divBdr>
                    </w:div>
                  </w:divsChild>
                </w:div>
                <w:div w:id="1779644740">
                  <w:marLeft w:val="0"/>
                  <w:marRight w:val="0"/>
                  <w:marTop w:val="0"/>
                  <w:marBottom w:val="0"/>
                  <w:divBdr>
                    <w:top w:val="none" w:sz="0" w:space="0" w:color="auto"/>
                    <w:left w:val="none" w:sz="0" w:space="0" w:color="auto"/>
                    <w:bottom w:val="none" w:sz="0" w:space="0" w:color="auto"/>
                    <w:right w:val="none" w:sz="0" w:space="0" w:color="auto"/>
                  </w:divBdr>
                  <w:divsChild>
                    <w:div w:id="760028348">
                      <w:marLeft w:val="0"/>
                      <w:marRight w:val="0"/>
                      <w:marTop w:val="0"/>
                      <w:marBottom w:val="0"/>
                      <w:divBdr>
                        <w:top w:val="none" w:sz="0" w:space="0" w:color="auto"/>
                        <w:left w:val="none" w:sz="0" w:space="0" w:color="auto"/>
                        <w:bottom w:val="none" w:sz="0" w:space="0" w:color="auto"/>
                        <w:right w:val="none" w:sz="0" w:space="0" w:color="auto"/>
                      </w:divBdr>
                    </w:div>
                  </w:divsChild>
                </w:div>
                <w:div w:id="1794981206">
                  <w:marLeft w:val="0"/>
                  <w:marRight w:val="0"/>
                  <w:marTop w:val="0"/>
                  <w:marBottom w:val="0"/>
                  <w:divBdr>
                    <w:top w:val="none" w:sz="0" w:space="0" w:color="auto"/>
                    <w:left w:val="none" w:sz="0" w:space="0" w:color="auto"/>
                    <w:bottom w:val="none" w:sz="0" w:space="0" w:color="auto"/>
                    <w:right w:val="none" w:sz="0" w:space="0" w:color="auto"/>
                  </w:divBdr>
                  <w:divsChild>
                    <w:div w:id="1264415915">
                      <w:marLeft w:val="0"/>
                      <w:marRight w:val="0"/>
                      <w:marTop w:val="0"/>
                      <w:marBottom w:val="0"/>
                      <w:divBdr>
                        <w:top w:val="none" w:sz="0" w:space="0" w:color="auto"/>
                        <w:left w:val="none" w:sz="0" w:space="0" w:color="auto"/>
                        <w:bottom w:val="none" w:sz="0" w:space="0" w:color="auto"/>
                        <w:right w:val="none" w:sz="0" w:space="0" w:color="auto"/>
                      </w:divBdr>
                    </w:div>
                  </w:divsChild>
                </w:div>
                <w:div w:id="1824851522">
                  <w:marLeft w:val="0"/>
                  <w:marRight w:val="0"/>
                  <w:marTop w:val="0"/>
                  <w:marBottom w:val="0"/>
                  <w:divBdr>
                    <w:top w:val="none" w:sz="0" w:space="0" w:color="auto"/>
                    <w:left w:val="none" w:sz="0" w:space="0" w:color="auto"/>
                    <w:bottom w:val="none" w:sz="0" w:space="0" w:color="auto"/>
                    <w:right w:val="none" w:sz="0" w:space="0" w:color="auto"/>
                  </w:divBdr>
                  <w:divsChild>
                    <w:div w:id="1784378642">
                      <w:marLeft w:val="0"/>
                      <w:marRight w:val="0"/>
                      <w:marTop w:val="0"/>
                      <w:marBottom w:val="0"/>
                      <w:divBdr>
                        <w:top w:val="none" w:sz="0" w:space="0" w:color="auto"/>
                        <w:left w:val="none" w:sz="0" w:space="0" w:color="auto"/>
                        <w:bottom w:val="none" w:sz="0" w:space="0" w:color="auto"/>
                        <w:right w:val="none" w:sz="0" w:space="0" w:color="auto"/>
                      </w:divBdr>
                    </w:div>
                  </w:divsChild>
                </w:div>
                <w:div w:id="1832257915">
                  <w:marLeft w:val="0"/>
                  <w:marRight w:val="0"/>
                  <w:marTop w:val="0"/>
                  <w:marBottom w:val="0"/>
                  <w:divBdr>
                    <w:top w:val="none" w:sz="0" w:space="0" w:color="auto"/>
                    <w:left w:val="none" w:sz="0" w:space="0" w:color="auto"/>
                    <w:bottom w:val="none" w:sz="0" w:space="0" w:color="auto"/>
                    <w:right w:val="none" w:sz="0" w:space="0" w:color="auto"/>
                  </w:divBdr>
                  <w:divsChild>
                    <w:div w:id="1099444223">
                      <w:marLeft w:val="0"/>
                      <w:marRight w:val="0"/>
                      <w:marTop w:val="0"/>
                      <w:marBottom w:val="0"/>
                      <w:divBdr>
                        <w:top w:val="none" w:sz="0" w:space="0" w:color="auto"/>
                        <w:left w:val="none" w:sz="0" w:space="0" w:color="auto"/>
                        <w:bottom w:val="none" w:sz="0" w:space="0" w:color="auto"/>
                        <w:right w:val="none" w:sz="0" w:space="0" w:color="auto"/>
                      </w:divBdr>
                    </w:div>
                  </w:divsChild>
                </w:div>
                <w:div w:id="1893887983">
                  <w:marLeft w:val="0"/>
                  <w:marRight w:val="0"/>
                  <w:marTop w:val="0"/>
                  <w:marBottom w:val="0"/>
                  <w:divBdr>
                    <w:top w:val="none" w:sz="0" w:space="0" w:color="auto"/>
                    <w:left w:val="none" w:sz="0" w:space="0" w:color="auto"/>
                    <w:bottom w:val="none" w:sz="0" w:space="0" w:color="auto"/>
                    <w:right w:val="none" w:sz="0" w:space="0" w:color="auto"/>
                  </w:divBdr>
                  <w:divsChild>
                    <w:div w:id="179587083">
                      <w:marLeft w:val="0"/>
                      <w:marRight w:val="0"/>
                      <w:marTop w:val="0"/>
                      <w:marBottom w:val="0"/>
                      <w:divBdr>
                        <w:top w:val="none" w:sz="0" w:space="0" w:color="auto"/>
                        <w:left w:val="none" w:sz="0" w:space="0" w:color="auto"/>
                        <w:bottom w:val="none" w:sz="0" w:space="0" w:color="auto"/>
                        <w:right w:val="none" w:sz="0" w:space="0" w:color="auto"/>
                      </w:divBdr>
                    </w:div>
                  </w:divsChild>
                </w:div>
                <w:div w:id="1921450078">
                  <w:marLeft w:val="0"/>
                  <w:marRight w:val="0"/>
                  <w:marTop w:val="0"/>
                  <w:marBottom w:val="0"/>
                  <w:divBdr>
                    <w:top w:val="none" w:sz="0" w:space="0" w:color="auto"/>
                    <w:left w:val="none" w:sz="0" w:space="0" w:color="auto"/>
                    <w:bottom w:val="none" w:sz="0" w:space="0" w:color="auto"/>
                    <w:right w:val="none" w:sz="0" w:space="0" w:color="auto"/>
                  </w:divBdr>
                  <w:divsChild>
                    <w:div w:id="1142389615">
                      <w:marLeft w:val="0"/>
                      <w:marRight w:val="0"/>
                      <w:marTop w:val="0"/>
                      <w:marBottom w:val="0"/>
                      <w:divBdr>
                        <w:top w:val="none" w:sz="0" w:space="0" w:color="auto"/>
                        <w:left w:val="none" w:sz="0" w:space="0" w:color="auto"/>
                        <w:bottom w:val="none" w:sz="0" w:space="0" w:color="auto"/>
                        <w:right w:val="none" w:sz="0" w:space="0" w:color="auto"/>
                      </w:divBdr>
                    </w:div>
                  </w:divsChild>
                </w:div>
                <w:div w:id="1966620249">
                  <w:marLeft w:val="0"/>
                  <w:marRight w:val="0"/>
                  <w:marTop w:val="0"/>
                  <w:marBottom w:val="0"/>
                  <w:divBdr>
                    <w:top w:val="none" w:sz="0" w:space="0" w:color="auto"/>
                    <w:left w:val="none" w:sz="0" w:space="0" w:color="auto"/>
                    <w:bottom w:val="none" w:sz="0" w:space="0" w:color="auto"/>
                    <w:right w:val="none" w:sz="0" w:space="0" w:color="auto"/>
                  </w:divBdr>
                  <w:divsChild>
                    <w:div w:id="137041754">
                      <w:marLeft w:val="0"/>
                      <w:marRight w:val="0"/>
                      <w:marTop w:val="0"/>
                      <w:marBottom w:val="0"/>
                      <w:divBdr>
                        <w:top w:val="none" w:sz="0" w:space="0" w:color="auto"/>
                        <w:left w:val="none" w:sz="0" w:space="0" w:color="auto"/>
                        <w:bottom w:val="none" w:sz="0" w:space="0" w:color="auto"/>
                        <w:right w:val="none" w:sz="0" w:space="0" w:color="auto"/>
                      </w:divBdr>
                    </w:div>
                  </w:divsChild>
                </w:div>
                <w:div w:id="2005819381">
                  <w:marLeft w:val="0"/>
                  <w:marRight w:val="0"/>
                  <w:marTop w:val="0"/>
                  <w:marBottom w:val="0"/>
                  <w:divBdr>
                    <w:top w:val="none" w:sz="0" w:space="0" w:color="auto"/>
                    <w:left w:val="none" w:sz="0" w:space="0" w:color="auto"/>
                    <w:bottom w:val="none" w:sz="0" w:space="0" w:color="auto"/>
                    <w:right w:val="none" w:sz="0" w:space="0" w:color="auto"/>
                  </w:divBdr>
                  <w:divsChild>
                    <w:div w:id="1606111868">
                      <w:marLeft w:val="0"/>
                      <w:marRight w:val="0"/>
                      <w:marTop w:val="0"/>
                      <w:marBottom w:val="0"/>
                      <w:divBdr>
                        <w:top w:val="none" w:sz="0" w:space="0" w:color="auto"/>
                        <w:left w:val="none" w:sz="0" w:space="0" w:color="auto"/>
                        <w:bottom w:val="none" w:sz="0" w:space="0" w:color="auto"/>
                        <w:right w:val="none" w:sz="0" w:space="0" w:color="auto"/>
                      </w:divBdr>
                    </w:div>
                  </w:divsChild>
                </w:div>
                <w:div w:id="2032880428">
                  <w:marLeft w:val="0"/>
                  <w:marRight w:val="0"/>
                  <w:marTop w:val="0"/>
                  <w:marBottom w:val="0"/>
                  <w:divBdr>
                    <w:top w:val="none" w:sz="0" w:space="0" w:color="auto"/>
                    <w:left w:val="none" w:sz="0" w:space="0" w:color="auto"/>
                    <w:bottom w:val="none" w:sz="0" w:space="0" w:color="auto"/>
                    <w:right w:val="none" w:sz="0" w:space="0" w:color="auto"/>
                  </w:divBdr>
                  <w:divsChild>
                    <w:div w:id="294259492">
                      <w:marLeft w:val="0"/>
                      <w:marRight w:val="0"/>
                      <w:marTop w:val="0"/>
                      <w:marBottom w:val="0"/>
                      <w:divBdr>
                        <w:top w:val="none" w:sz="0" w:space="0" w:color="auto"/>
                        <w:left w:val="none" w:sz="0" w:space="0" w:color="auto"/>
                        <w:bottom w:val="none" w:sz="0" w:space="0" w:color="auto"/>
                        <w:right w:val="none" w:sz="0" w:space="0" w:color="auto"/>
                      </w:divBdr>
                    </w:div>
                  </w:divsChild>
                </w:div>
                <w:div w:id="2036223686">
                  <w:marLeft w:val="0"/>
                  <w:marRight w:val="0"/>
                  <w:marTop w:val="0"/>
                  <w:marBottom w:val="0"/>
                  <w:divBdr>
                    <w:top w:val="none" w:sz="0" w:space="0" w:color="auto"/>
                    <w:left w:val="none" w:sz="0" w:space="0" w:color="auto"/>
                    <w:bottom w:val="none" w:sz="0" w:space="0" w:color="auto"/>
                    <w:right w:val="none" w:sz="0" w:space="0" w:color="auto"/>
                  </w:divBdr>
                  <w:divsChild>
                    <w:div w:id="218635636">
                      <w:marLeft w:val="0"/>
                      <w:marRight w:val="0"/>
                      <w:marTop w:val="0"/>
                      <w:marBottom w:val="0"/>
                      <w:divBdr>
                        <w:top w:val="none" w:sz="0" w:space="0" w:color="auto"/>
                        <w:left w:val="none" w:sz="0" w:space="0" w:color="auto"/>
                        <w:bottom w:val="none" w:sz="0" w:space="0" w:color="auto"/>
                        <w:right w:val="none" w:sz="0" w:space="0" w:color="auto"/>
                      </w:divBdr>
                    </w:div>
                  </w:divsChild>
                </w:div>
                <w:div w:id="2045860723">
                  <w:marLeft w:val="0"/>
                  <w:marRight w:val="0"/>
                  <w:marTop w:val="0"/>
                  <w:marBottom w:val="0"/>
                  <w:divBdr>
                    <w:top w:val="none" w:sz="0" w:space="0" w:color="auto"/>
                    <w:left w:val="none" w:sz="0" w:space="0" w:color="auto"/>
                    <w:bottom w:val="none" w:sz="0" w:space="0" w:color="auto"/>
                    <w:right w:val="none" w:sz="0" w:space="0" w:color="auto"/>
                  </w:divBdr>
                  <w:divsChild>
                    <w:div w:id="812601826">
                      <w:marLeft w:val="0"/>
                      <w:marRight w:val="0"/>
                      <w:marTop w:val="0"/>
                      <w:marBottom w:val="0"/>
                      <w:divBdr>
                        <w:top w:val="none" w:sz="0" w:space="0" w:color="auto"/>
                        <w:left w:val="none" w:sz="0" w:space="0" w:color="auto"/>
                        <w:bottom w:val="none" w:sz="0" w:space="0" w:color="auto"/>
                        <w:right w:val="none" w:sz="0" w:space="0" w:color="auto"/>
                      </w:divBdr>
                    </w:div>
                  </w:divsChild>
                </w:div>
                <w:div w:id="2082365404">
                  <w:marLeft w:val="0"/>
                  <w:marRight w:val="0"/>
                  <w:marTop w:val="0"/>
                  <w:marBottom w:val="0"/>
                  <w:divBdr>
                    <w:top w:val="none" w:sz="0" w:space="0" w:color="auto"/>
                    <w:left w:val="none" w:sz="0" w:space="0" w:color="auto"/>
                    <w:bottom w:val="none" w:sz="0" w:space="0" w:color="auto"/>
                    <w:right w:val="none" w:sz="0" w:space="0" w:color="auto"/>
                  </w:divBdr>
                  <w:divsChild>
                    <w:div w:id="1656375541">
                      <w:marLeft w:val="0"/>
                      <w:marRight w:val="0"/>
                      <w:marTop w:val="0"/>
                      <w:marBottom w:val="0"/>
                      <w:divBdr>
                        <w:top w:val="none" w:sz="0" w:space="0" w:color="auto"/>
                        <w:left w:val="none" w:sz="0" w:space="0" w:color="auto"/>
                        <w:bottom w:val="none" w:sz="0" w:space="0" w:color="auto"/>
                        <w:right w:val="none" w:sz="0" w:space="0" w:color="auto"/>
                      </w:divBdr>
                    </w:div>
                  </w:divsChild>
                </w:div>
                <w:div w:id="2112582815">
                  <w:marLeft w:val="0"/>
                  <w:marRight w:val="0"/>
                  <w:marTop w:val="0"/>
                  <w:marBottom w:val="0"/>
                  <w:divBdr>
                    <w:top w:val="none" w:sz="0" w:space="0" w:color="auto"/>
                    <w:left w:val="none" w:sz="0" w:space="0" w:color="auto"/>
                    <w:bottom w:val="none" w:sz="0" w:space="0" w:color="auto"/>
                    <w:right w:val="none" w:sz="0" w:space="0" w:color="auto"/>
                  </w:divBdr>
                  <w:divsChild>
                    <w:div w:id="780689498">
                      <w:marLeft w:val="0"/>
                      <w:marRight w:val="0"/>
                      <w:marTop w:val="0"/>
                      <w:marBottom w:val="0"/>
                      <w:divBdr>
                        <w:top w:val="none" w:sz="0" w:space="0" w:color="auto"/>
                        <w:left w:val="none" w:sz="0" w:space="0" w:color="auto"/>
                        <w:bottom w:val="none" w:sz="0" w:space="0" w:color="auto"/>
                        <w:right w:val="none" w:sz="0" w:space="0" w:color="auto"/>
                      </w:divBdr>
                    </w:div>
                  </w:divsChild>
                </w:div>
                <w:div w:id="2117670599">
                  <w:marLeft w:val="0"/>
                  <w:marRight w:val="0"/>
                  <w:marTop w:val="0"/>
                  <w:marBottom w:val="0"/>
                  <w:divBdr>
                    <w:top w:val="none" w:sz="0" w:space="0" w:color="auto"/>
                    <w:left w:val="none" w:sz="0" w:space="0" w:color="auto"/>
                    <w:bottom w:val="none" w:sz="0" w:space="0" w:color="auto"/>
                    <w:right w:val="none" w:sz="0" w:space="0" w:color="auto"/>
                  </w:divBdr>
                  <w:divsChild>
                    <w:div w:id="1291009145">
                      <w:marLeft w:val="0"/>
                      <w:marRight w:val="0"/>
                      <w:marTop w:val="0"/>
                      <w:marBottom w:val="0"/>
                      <w:divBdr>
                        <w:top w:val="none" w:sz="0" w:space="0" w:color="auto"/>
                        <w:left w:val="none" w:sz="0" w:space="0" w:color="auto"/>
                        <w:bottom w:val="none" w:sz="0" w:space="0" w:color="auto"/>
                        <w:right w:val="none" w:sz="0" w:space="0" w:color="auto"/>
                      </w:divBdr>
                    </w:div>
                  </w:divsChild>
                </w:div>
                <w:div w:id="2124616323">
                  <w:marLeft w:val="0"/>
                  <w:marRight w:val="0"/>
                  <w:marTop w:val="0"/>
                  <w:marBottom w:val="0"/>
                  <w:divBdr>
                    <w:top w:val="none" w:sz="0" w:space="0" w:color="auto"/>
                    <w:left w:val="none" w:sz="0" w:space="0" w:color="auto"/>
                    <w:bottom w:val="none" w:sz="0" w:space="0" w:color="auto"/>
                    <w:right w:val="none" w:sz="0" w:space="0" w:color="auto"/>
                  </w:divBdr>
                  <w:divsChild>
                    <w:div w:id="671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6403">
          <w:marLeft w:val="0"/>
          <w:marRight w:val="0"/>
          <w:marTop w:val="0"/>
          <w:marBottom w:val="0"/>
          <w:divBdr>
            <w:top w:val="none" w:sz="0" w:space="0" w:color="auto"/>
            <w:left w:val="none" w:sz="0" w:space="0" w:color="auto"/>
            <w:bottom w:val="none" w:sz="0" w:space="0" w:color="auto"/>
            <w:right w:val="none" w:sz="0" w:space="0" w:color="auto"/>
          </w:divBdr>
        </w:div>
        <w:div w:id="872155940">
          <w:marLeft w:val="0"/>
          <w:marRight w:val="0"/>
          <w:marTop w:val="0"/>
          <w:marBottom w:val="0"/>
          <w:divBdr>
            <w:top w:val="none" w:sz="0" w:space="0" w:color="auto"/>
            <w:left w:val="none" w:sz="0" w:space="0" w:color="auto"/>
            <w:bottom w:val="none" w:sz="0" w:space="0" w:color="auto"/>
            <w:right w:val="none" w:sz="0" w:space="0" w:color="auto"/>
          </w:divBdr>
        </w:div>
        <w:div w:id="916552487">
          <w:marLeft w:val="0"/>
          <w:marRight w:val="0"/>
          <w:marTop w:val="0"/>
          <w:marBottom w:val="0"/>
          <w:divBdr>
            <w:top w:val="none" w:sz="0" w:space="0" w:color="auto"/>
            <w:left w:val="none" w:sz="0" w:space="0" w:color="auto"/>
            <w:bottom w:val="none" w:sz="0" w:space="0" w:color="auto"/>
            <w:right w:val="none" w:sz="0" w:space="0" w:color="auto"/>
          </w:divBdr>
        </w:div>
        <w:div w:id="927158415">
          <w:marLeft w:val="0"/>
          <w:marRight w:val="0"/>
          <w:marTop w:val="0"/>
          <w:marBottom w:val="0"/>
          <w:divBdr>
            <w:top w:val="none" w:sz="0" w:space="0" w:color="auto"/>
            <w:left w:val="none" w:sz="0" w:space="0" w:color="auto"/>
            <w:bottom w:val="none" w:sz="0" w:space="0" w:color="auto"/>
            <w:right w:val="none" w:sz="0" w:space="0" w:color="auto"/>
          </w:divBdr>
        </w:div>
        <w:div w:id="932856257">
          <w:marLeft w:val="0"/>
          <w:marRight w:val="0"/>
          <w:marTop w:val="0"/>
          <w:marBottom w:val="0"/>
          <w:divBdr>
            <w:top w:val="none" w:sz="0" w:space="0" w:color="auto"/>
            <w:left w:val="none" w:sz="0" w:space="0" w:color="auto"/>
            <w:bottom w:val="none" w:sz="0" w:space="0" w:color="auto"/>
            <w:right w:val="none" w:sz="0" w:space="0" w:color="auto"/>
          </w:divBdr>
        </w:div>
        <w:div w:id="943194941">
          <w:marLeft w:val="0"/>
          <w:marRight w:val="0"/>
          <w:marTop w:val="0"/>
          <w:marBottom w:val="0"/>
          <w:divBdr>
            <w:top w:val="none" w:sz="0" w:space="0" w:color="auto"/>
            <w:left w:val="none" w:sz="0" w:space="0" w:color="auto"/>
            <w:bottom w:val="none" w:sz="0" w:space="0" w:color="auto"/>
            <w:right w:val="none" w:sz="0" w:space="0" w:color="auto"/>
          </w:divBdr>
        </w:div>
        <w:div w:id="1020739450">
          <w:marLeft w:val="0"/>
          <w:marRight w:val="0"/>
          <w:marTop w:val="0"/>
          <w:marBottom w:val="0"/>
          <w:divBdr>
            <w:top w:val="none" w:sz="0" w:space="0" w:color="auto"/>
            <w:left w:val="none" w:sz="0" w:space="0" w:color="auto"/>
            <w:bottom w:val="none" w:sz="0" w:space="0" w:color="auto"/>
            <w:right w:val="none" w:sz="0" w:space="0" w:color="auto"/>
          </w:divBdr>
          <w:divsChild>
            <w:div w:id="11809408">
              <w:marLeft w:val="0"/>
              <w:marRight w:val="0"/>
              <w:marTop w:val="0"/>
              <w:marBottom w:val="0"/>
              <w:divBdr>
                <w:top w:val="none" w:sz="0" w:space="0" w:color="auto"/>
                <w:left w:val="none" w:sz="0" w:space="0" w:color="auto"/>
                <w:bottom w:val="none" w:sz="0" w:space="0" w:color="auto"/>
                <w:right w:val="none" w:sz="0" w:space="0" w:color="auto"/>
              </w:divBdr>
            </w:div>
            <w:div w:id="271743614">
              <w:marLeft w:val="0"/>
              <w:marRight w:val="0"/>
              <w:marTop w:val="0"/>
              <w:marBottom w:val="0"/>
              <w:divBdr>
                <w:top w:val="none" w:sz="0" w:space="0" w:color="auto"/>
                <w:left w:val="none" w:sz="0" w:space="0" w:color="auto"/>
                <w:bottom w:val="none" w:sz="0" w:space="0" w:color="auto"/>
                <w:right w:val="none" w:sz="0" w:space="0" w:color="auto"/>
              </w:divBdr>
            </w:div>
            <w:div w:id="343440664">
              <w:marLeft w:val="0"/>
              <w:marRight w:val="0"/>
              <w:marTop w:val="0"/>
              <w:marBottom w:val="0"/>
              <w:divBdr>
                <w:top w:val="none" w:sz="0" w:space="0" w:color="auto"/>
                <w:left w:val="none" w:sz="0" w:space="0" w:color="auto"/>
                <w:bottom w:val="none" w:sz="0" w:space="0" w:color="auto"/>
                <w:right w:val="none" w:sz="0" w:space="0" w:color="auto"/>
              </w:divBdr>
            </w:div>
            <w:div w:id="644512336">
              <w:marLeft w:val="0"/>
              <w:marRight w:val="0"/>
              <w:marTop w:val="0"/>
              <w:marBottom w:val="0"/>
              <w:divBdr>
                <w:top w:val="none" w:sz="0" w:space="0" w:color="auto"/>
                <w:left w:val="none" w:sz="0" w:space="0" w:color="auto"/>
                <w:bottom w:val="none" w:sz="0" w:space="0" w:color="auto"/>
                <w:right w:val="none" w:sz="0" w:space="0" w:color="auto"/>
              </w:divBdr>
            </w:div>
            <w:div w:id="699091011">
              <w:marLeft w:val="0"/>
              <w:marRight w:val="0"/>
              <w:marTop w:val="0"/>
              <w:marBottom w:val="0"/>
              <w:divBdr>
                <w:top w:val="none" w:sz="0" w:space="0" w:color="auto"/>
                <w:left w:val="none" w:sz="0" w:space="0" w:color="auto"/>
                <w:bottom w:val="none" w:sz="0" w:space="0" w:color="auto"/>
                <w:right w:val="none" w:sz="0" w:space="0" w:color="auto"/>
              </w:divBdr>
            </w:div>
            <w:div w:id="977567403">
              <w:marLeft w:val="0"/>
              <w:marRight w:val="0"/>
              <w:marTop w:val="0"/>
              <w:marBottom w:val="0"/>
              <w:divBdr>
                <w:top w:val="none" w:sz="0" w:space="0" w:color="auto"/>
                <w:left w:val="none" w:sz="0" w:space="0" w:color="auto"/>
                <w:bottom w:val="none" w:sz="0" w:space="0" w:color="auto"/>
                <w:right w:val="none" w:sz="0" w:space="0" w:color="auto"/>
              </w:divBdr>
            </w:div>
            <w:div w:id="1071001429">
              <w:marLeft w:val="0"/>
              <w:marRight w:val="0"/>
              <w:marTop w:val="0"/>
              <w:marBottom w:val="0"/>
              <w:divBdr>
                <w:top w:val="none" w:sz="0" w:space="0" w:color="auto"/>
                <w:left w:val="none" w:sz="0" w:space="0" w:color="auto"/>
                <w:bottom w:val="none" w:sz="0" w:space="0" w:color="auto"/>
                <w:right w:val="none" w:sz="0" w:space="0" w:color="auto"/>
              </w:divBdr>
            </w:div>
            <w:div w:id="1143081887">
              <w:marLeft w:val="0"/>
              <w:marRight w:val="0"/>
              <w:marTop w:val="0"/>
              <w:marBottom w:val="0"/>
              <w:divBdr>
                <w:top w:val="none" w:sz="0" w:space="0" w:color="auto"/>
                <w:left w:val="none" w:sz="0" w:space="0" w:color="auto"/>
                <w:bottom w:val="none" w:sz="0" w:space="0" w:color="auto"/>
                <w:right w:val="none" w:sz="0" w:space="0" w:color="auto"/>
              </w:divBdr>
            </w:div>
            <w:div w:id="1169442459">
              <w:marLeft w:val="0"/>
              <w:marRight w:val="0"/>
              <w:marTop w:val="0"/>
              <w:marBottom w:val="0"/>
              <w:divBdr>
                <w:top w:val="none" w:sz="0" w:space="0" w:color="auto"/>
                <w:left w:val="none" w:sz="0" w:space="0" w:color="auto"/>
                <w:bottom w:val="none" w:sz="0" w:space="0" w:color="auto"/>
                <w:right w:val="none" w:sz="0" w:space="0" w:color="auto"/>
              </w:divBdr>
            </w:div>
            <w:div w:id="1343357738">
              <w:marLeft w:val="0"/>
              <w:marRight w:val="0"/>
              <w:marTop w:val="0"/>
              <w:marBottom w:val="0"/>
              <w:divBdr>
                <w:top w:val="none" w:sz="0" w:space="0" w:color="auto"/>
                <w:left w:val="none" w:sz="0" w:space="0" w:color="auto"/>
                <w:bottom w:val="none" w:sz="0" w:space="0" w:color="auto"/>
                <w:right w:val="none" w:sz="0" w:space="0" w:color="auto"/>
              </w:divBdr>
            </w:div>
            <w:div w:id="1448043565">
              <w:marLeft w:val="0"/>
              <w:marRight w:val="0"/>
              <w:marTop w:val="0"/>
              <w:marBottom w:val="0"/>
              <w:divBdr>
                <w:top w:val="none" w:sz="0" w:space="0" w:color="auto"/>
                <w:left w:val="none" w:sz="0" w:space="0" w:color="auto"/>
                <w:bottom w:val="none" w:sz="0" w:space="0" w:color="auto"/>
                <w:right w:val="none" w:sz="0" w:space="0" w:color="auto"/>
              </w:divBdr>
            </w:div>
            <w:div w:id="1668242638">
              <w:marLeft w:val="0"/>
              <w:marRight w:val="0"/>
              <w:marTop w:val="0"/>
              <w:marBottom w:val="0"/>
              <w:divBdr>
                <w:top w:val="none" w:sz="0" w:space="0" w:color="auto"/>
                <w:left w:val="none" w:sz="0" w:space="0" w:color="auto"/>
                <w:bottom w:val="none" w:sz="0" w:space="0" w:color="auto"/>
                <w:right w:val="none" w:sz="0" w:space="0" w:color="auto"/>
              </w:divBdr>
            </w:div>
            <w:div w:id="1819034339">
              <w:marLeft w:val="0"/>
              <w:marRight w:val="0"/>
              <w:marTop w:val="0"/>
              <w:marBottom w:val="0"/>
              <w:divBdr>
                <w:top w:val="none" w:sz="0" w:space="0" w:color="auto"/>
                <w:left w:val="none" w:sz="0" w:space="0" w:color="auto"/>
                <w:bottom w:val="none" w:sz="0" w:space="0" w:color="auto"/>
                <w:right w:val="none" w:sz="0" w:space="0" w:color="auto"/>
              </w:divBdr>
            </w:div>
            <w:div w:id="1952858157">
              <w:marLeft w:val="0"/>
              <w:marRight w:val="0"/>
              <w:marTop w:val="0"/>
              <w:marBottom w:val="0"/>
              <w:divBdr>
                <w:top w:val="none" w:sz="0" w:space="0" w:color="auto"/>
                <w:left w:val="none" w:sz="0" w:space="0" w:color="auto"/>
                <w:bottom w:val="none" w:sz="0" w:space="0" w:color="auto"/>
                <w:right w:val="none" w:sz="0" w:space="0" w:color="auto"/>
              </w:divBdr>
            </w:div>
            <w:div w:id="2046977760">
              <w:marLeft w:val="0"/>
              <w:marRight w:val="0"/>
              <w:marTop w:val="0"/>
              <w:marBottom w:val="0"/>
              <w:divBdr>
                <w:top w:val="none" w:sz="0" w:space="0" w:color="auto"/>
                <w:left w:val="none" w:sz="0" w:space="0" w:color="auto"/>
                <w:bottom w:val="none" w:sz="0" w:space="0" w:color="auto"/>
                <w:right w:val="none" w:sz="0" w:space="0" w:color="auto"/>
              </w:divBdr>
            </w:div>
          </w:divsChild>
        </w:div>
        <w:div w:id="1122571736">
          <w:marLeft w:val="0"/>
          <w:marRight w:val="0"/>
          <w:marTop w:val="0"/>
          <w:marBottom w:val="0"/>
          <w:divBdr>
            <w:top w:val="none" w:sz="0" w:space="0" w:color="auto"/>
            <w:left w:val="none" w:sz="0" w:space="0" w:color="auto"/>
            <w:bottom w:val="none" w:sz="0" w:space="0" w:color="auto"/>
            <w:right w:val="none" w:sz="0" w:space="0" w:color="auto"/>
          </w:divBdr>
        </w:div>
        <w:div w:id="1446651610">
          <w:marLeft w:val="0"/>
          <w:marRight w:val="0"/>
          <w:marTop w:val="0"/>
          <w:marBottom w:val="0"/>
          <w:divBdr>
            <w:top w:val="none" w:sz="0" w:space="0" w:color="auto"/>
            <w:left w:val="none" w:sz="0" w:space="0" w:color="auto"/>
            <w:bottom w:val="none" w:sz="0" w:space="0" w:color="auto"/>
            <w:right w:val="none" w:sz="0" w:space="0" w:color="auto"/>
          </w:divBdr>
        </w:div>
        <w:div w:id="1649942411">
          <w:marLeft w:val="0"/>
          <w:marRight w:val="0"/>
          <w:marTop w:val="0"/>
          <w:marBottom w:val="0"/>
          <w:divBdr>
            <w:top w:val="none" w:sz="0" w:space="0" w:color="auto"/>
            <w:left w:val="none" w:sz="0" w:space="0" w:color="auto"/>
            <w:bottom w:val="none" w:sz="0" w:space="0" w:color="auto"/>
            <w:right w:val="none" w:sz="0" w:space="0" w:color="auto"/>
          </w:divBdr>
          <w:divsChild>
            <w:div w:id="1088693677">
              <w:marLeft w:val="-75"/>
              <w:marRight w:val="0"/>
              <w:marTop w:val="30"/>
              <w:marBottom w:val="30"/>
              <w:divBdr>
                <w:top w:val="none" w:sz="0" w:space="0" w:color="auto"/>
                <w:left w:val="none" w:sz="0" w:space="0" w:color="auto"/>
                <w:bottom w:val="none" w:sz="0" w:space="0" w:color="auto"/>
                <w:right w:val="none" w:sz="0" w:space="0" w:color="auto"/>
              </w:divBdr>
              <w:divsChild>
                <w:div w:id="5600227">
                  <w:marLeft w:val="0"/>
                  <w:marRight w:val="0"/>
                  <w:marTop w:val="0"/>
                  <w:marBottom w:val="0"/>
                  <w:divBdr>
                    <w:top w:val="none" w:sz="0" w:space="0" w:color="auto"/>
                    <w:left w:val="none" w:sz="0" w:space="0" w:color="auto"/>
                    <w:bottom w:val="none" w:sz="0" w:space="0" w:color="auto"/>
                    <w:right w:val="none" w:sz="0" w:space="0" w:color="auto"/>
                  </w:divBdr>
                  <w:divsChild>
                    <w:div w:id="1715545477">
                      <w:marLeft w:val="0"/>
                      <w:marRight w:val="0"/>
                      <w:marTop w:val="0"/>
                      <w:marBottom w:val="0"/>
                      <w:divBdr>
                        <w:top w:val="none" w:sz="0" w:space="0" w:color="auto"/>
                        <w:left w:val="none" w:sz="0" w:space="0" w:color="auto"/>
                        <w:bottom w:val="none" w:sz="0" w:space="0" w:color="auto"/>
                        <w:right w:val="none" w:sz="0" w:space="0" w:color="auto"/>
                      </w:divBdr>
                    </w:div>
                  </w:divsChild>
                </w:div>
                <w:div w:id="50808047">
                  <w:marLeft w:val="0"/>
                  <w:marRight w:val="0"/>
                  <w:marTop w:val="0"/>
                  <w:marBottom w:val="0"/>
                  <w:divBdr>
                    <w:top w:val="none" w:sz="0" w:space="0" w:color="auto"/>
                    <w:left w:val="none" w:sz="0" w:space="0" w:color="auto"/>
                    <w:bottom w:val="none" w:sz="0" w:space="0" w:color="auto"/>
                    <w:right w:val="none" w:sz="0" w:space="0" w:color="auto"/>
                  </w:divBdr>
                  <w:divsChild>
                    <w:div w:id="1119911935">
                      <w:marLeft w:val="0"/>
                      <w:marRight w:val="0"/>
                      <w:marTop w:val="0"/>
                      <w:marBottom w:val="0"/>
                      <w:divBdr>
                        <w:top w:val="none" w:sz="0" w:space="0" w:color="auto"/>
                        <w:left w:val="none" w:sz="0" w:space="0" w:color="auto"/>
                        <w:bottom w:val="none" w:sz="0" w:space="0" w:color="auto"/>
                        <w:right w:val="none" w:sz="0" w:space="0" w:color="auto"/>
                      </w:divBdr>
                    </w:div>
                  </w:divsChild>
                </w:div>
                <w:div w:id="111560906">
                  <w:marLeft w:val="0"/>
                  <w:marRight w:val="0"/>
                  <w:marTop w:val="0"/>
                  <w:marBottom w:val="0"/>
                  <w:divBdr>
                    <w:top w:val="none" w:sz="0" w:space="0" w:color="auto"/>
                    <w:left w:val="none" w:sz="0" w:space="0" w:color="auto"/>
                    <w:bottom w:val="none" w:sz="0" w:space="0" w:color="auto"/>
                    <w:right w:val="none" w:sz="0" w:space="0" w:color="auto"/>
                  </w:divBdr>
                  <w:divsChild>
                    <w:div w:id="1759715047">
                      <w:marLeft w:val="0"/>
                      <w:marRight w:val="0"/>
                      <w:marTop w:val="0"/>
                      <w:marBottom w:val="0"/>
                      <w:divBdr>
                        <w:top w:val="none" w:sz="0" w:space="0" w:color="auto"/>
                        <w:left w:val="none" w:sz="0" w:space="0" w:color="auto"/>
                        <w:bottom w:val="none" w:sz="0" w:space="0" w:color="auto"/>
                        <w:right w:val="none" w:sz="0" w:space="0" w:color="auto"/>
                      </w:divBdr>
                    </w:div>
                  </w:divsChild>
                </w:div>
                <w:div w:id="148521107">
                  <w:marLeft w:val="0"/>
                  <w:marRight w:val="0"/>
                  <w:marTop w:val="0"/>
                  <w:marBottom w:val="0"/>
                  <w:divBdr>
                    <w:top w:val="none" w:sz="0" w:space="0" w:color="auto"/>
                    <w:left w:val="none" w:sz="0" w:space="0" w:color="auto"/>
                    <w:bottom w:val="none" w:sz="0" w:space="0" w:color="auto"/>
                    <w:right w:val="none" w:sz="0" w:space="0" w:color="auto"/>
                  </w:divBdr>
                  <w:divsChild>
                    <w:div w:id="1266226344">
                      <w:marLeft w:val="0"/>
                      <w:marRight w:val="0"/>
                      <w:marTop w:val="0"/>
                      <w:marBottom w:val="0"/>
                      <w:divBdr>
                        <w:top w:val="none" w:sz="0" w:space="0" w:color="auto"/>
                        <w:left w:val="none" w:sz="0" w:space="0" w:color="auto"/>
                        <w:bottom w:val="none" w:sz="0" w:space="0" w:color="auto"/>
                        <w:right w:val="none" w:sz="0" w:space="0" w:color="auto"/>
                      </w:divBdr>
                    </w:div>
                  </w:divsChild>
                </w:div>
                <w:div w:id="168250722">
                  <w:marLeft w:val="0"/>
                  <w:marRight w:val="0"/>
                  <w:marTop w:val="0"/>
                  <w:marBottom w:val="0"/>
                  <w:divBdr>
                    <w:top w:val="none" w:sz="0" w:space="0" w:color="auto"/>
                    <w:left w:val="none" w:sz="0" w:space="0" w:color="auto"/>
                    <w:bottom w:val="none" w:sz="0" w:space="0" w:color="auto"/>
                    <w:right w:val="none" w:sz="0" w:space="0" w:color="auto"/>
                  </w:divBdr>
                  <w:divsChild>
                    <w:div w:id="1075201189">
                      <w:marLeft w:val="0"/>
                      <w:marRight w:val="0"/>
                      <w:marTop w:val="0"/>
                      <w:marBottom w:val="0"/>
                      <w:divBdr>
                        <w:top w:val="none" w:sz="0" w:space="0" w:color="auto"/>
                        <w:left w:val="none" w:sz="0" w:space="0" w:color="auto"/>
                        <w:bottom w:val="none" w:sz="0" w:space="0" w:color="auto"/>
                        <w:right w:val="none" w:sz="0" w:space="0" w:color="auto"/>
                      </w:divBdr>
                    </w:div>
                  </w:divsChild>
                </w:div>
                <w:div w:id="259142916">
                  <w:marLeft w:val="0"/>
                  <w:marRight w:val="0"/>
                  <w:marTop w:val="0"/>
                  <w:marBottom w:val="0"/>
                  <w:divBdr>
                    <w:top w:val="none" w:sz="0" w:space="0" w:color="auto"/>
                    <w:left w:val="none" w:sz="0" w:space="0" w:color="auto"/>
                    <w:bottom w:val="none" w:sz="0" w:space="0" w:color="auto"/>
                    <w:right w:val="none" w:sz="0" w:space="0" w:color="auto"/>
                  </w:divBdr>
                  <w:divsChild>
                    <w:div w:id="906110018">
                      <w:marLeft w:val="0"/>
                      <w:marRight w:val="0"/>
                      <w:marTop w:val="0"/>
                      <w:marBottom w:val="0"/>
                      <w:divBdr>
                        <w:top w:val="none" w:sz="0" w:space="0" w:color="auto"/>
                        <w:left w:val="none" w:sz="0" w:space="0" w:color="auto"/>
                        <w:bottom w:val="none" w:sz="0" w:space="0" w:color="auto"/>
                        <w:right w:val="none" w:sz="0" w:space="0" w:color="auto"/>
                      </w:divBdr>
                    </w:div>
                  </w:divsChild>
                </w:div>
                <w:div w:id="259148337">
                  <w:marLeft w:val="0"/>
                  <w:marRight w:val="0"/>
                  <w:marTop w:val="0"/>
                  <w:marBottom w:val="0"/>
                  <w:divBdr>
                    <w:top w:val="none" w:sz="0" w:space="0" w:color="auto"/>
                    <w:left w:val="none" w:sz="0" w:space="0" w:color="auto"/>
                    <w:bottom w:val="none" w:sz="0" w:space="0" w:color="auto"/>
                    <w:right w:val="none" w:sz="0" w:space="0" w:color="auto"/>
                  </w:divBdr>
                  <w:divsChild>
                    <w:div w:id="1527670081">
                      <w:marLeft w:val="0"/>
                      <w:marRight w:val="0"/>
                      <w:marTop w:val="0"/>
                      <w:marBottom w:val="0"/>
                      <w:divBdr>
                        <w:top w:val="none" w:sz="0" w:space="0" w:color="auto"/>
                        <w:left w:val="none" w:sz="0" w:space="0" w:color="auto"/>
                        <w:bottom w:val="none" w:sz="0" w:space="0" w:color="auto"/>
                        <w:right w:val="none" w:sz="0" w:space="0" w:color="auto"/>
                      </w:divBdr>
                    </w:div>
                  </w:divsChild>
                </w:div>
                <w:div w:id="264533000">
                  <w:marLeft w:val="0"/>
                  <w:marRight w:val="0"/>
                  <w:marTop w:val="0"/>
                  <w:marBottom w:val="0"/>
                  <w:divBdr>
                    <w:top w:val="none" w:sz="0" w:space="0" w:color="auto"/>
                    <w:left w:val="none" w:sz="0" w:space="0" w:color="auto"/>
                    <w:bottom w:val="none" w:sz="0" w:space="0" w:color="auto"/>
                    <w:right w:val="none" w:sz="0" w:space="0" w:color="auto"/>
                  </w:divBdr>
                  <w:divsChild>
                    <w:div w:id="628782335">
                      <w:marLeft w:val="0"/>
                      <w:marRight w:val="0"/>
                      <w:marTop w:val="0"/>
                      <w:marBottom w:val="0"/>
                      <w:divBdr>
                        <w:top w:val="none" w:sz="0" w:space="0" w:color="auto"/>
                        <w:left w:val="none" w:sz="0" w:space="0" w:color="auto"/>
                        <w:bottom w:val="none" w:sz="0" w:space="0" w:color="auto"/>
                        <w:right w:val="none" w:sz="0" w:space="0" w:color="auto"/>
                      </w:divBdr>
                    </w:div>
                  </w:divsChild>
                </w:div>
                <w:div w:id="382101024">
                  <w:marLeft w:val="0"/>
                  <w:marRight w:val="0"/>
                  <w:marTop w:val="0"/>
                  <w:marBottom w:val="0"/>
                  <w:divBdr>
                    <w:top w:val="none" w:sz="0" w:space="0" w:color="auto"/>
                    <w:left w:val="none" w:sz="0" w:space="0" w:color="auto"/>
                    <w:bottom w:val="none" w:sz="0" w:space="0" w:color="auto"/>
                    <w:right w:val="none" w:sz="0" w:space="0" w:color="auto"/>
                  </w:divBdr>
                  <w:divsChild>
                    <w:div w:id="1377000802">
                      <w:marLeft w:val="0"/>
                      <w:marRight w:val="0"/>
                      <w:marTop w:val="0"/>
                      <w:marBottom w:val="0"/>
                      <w:divBdr>
                        <w:top w:val="none" w:sz="0" w:space="0" w:color="auto"/>
                        <w:left w:val="none" w:sz="0" w:space="0" w:color="auto"/>
                        <w:bottom w:val="none" w:sz="0" w:space="0" w:color="auto"/>
                        <w:right w:val="none" w:sz="0" w:space="0" w:color="auto"/>
                      </w:divBdr>
                    </w:div>
                  </w:divsChild>
                </w:div>
                <w:div w:id="446394972">
                  <w:marLeft w:val="0"/>
                  <w:marRight w:val="0"/>
                  <w:marTop w:val="0"/>
                  <w:marBottom w:val="0"/>
                  <w:divBdr>
                    <w:top w:val="none" w:sz="0" w:space="0" w:color="auto"/>
                    <w:left w:val="none" w:sz="0" w:space="0" w:color="auto"/>
                    <w:bottom w:val="none" w:sz="0" w:space="0" w:color="auto"/>
                    <w:right w:val="none" w:sz="0" w:space="0" w:color="auto"/>
                  </w:divBdr>
                  <w:divsChild>
                    <w:div w:id="57096133">
                      <w:marLeft w:val="0"/>
                      <w:marRight w:val="0"/>
                      <w:marTop w:val="0"/>
                      <w:marBottom w:val="0"/>
                      <w:divBdr>
                        <w:top w:val="none" w:sz="0" w:space="0" w:color="auto"/>
                        <w:left w:val="none" w:sz="0" w:space="0" w:color="auto"/>
                        <w:bottom w:val="none" w:sz="0" w:space="0" w:color="auto"/>
                        <w:right w:val="none" w:sz="0" w:space="0" w:color="auto"/>
                      </w:divBdr>
                    </w:div>
                  </w:divsChild>
                </w:div>
                <w:div w:id="555161342">
                  <w:marLeft w:val="0"/>
                  <w:marRight w:val="0"/>
                  <w:marTop w:val="0"/>
                  <w:marBottom w:val="0"/>
                  <w:divBdr>
                    <w:top w:val="none" w:sz="0" w:space="0" w:color="auto"/>
                    <w:left w:val="none" w:sz="0" w:space="0" w:color="auto"/>
                    <w:bottom w:val="none" w:sz="0" w:space="0" w:color="auto"/>
                    <w:right w:val="none" w:sz="0" w:space="0" w:color="auto"/>
                  </w:divBdr>
                  <w:divsChild>
                    <w:div w:id="19821023">
                      <w:marLeft w:val="0"/>
                      <w:marRight w:val="0"/>
                      <w:marTop w:val="0"/>
                      <w:marBottom w:val="0"/>
                      <w:divBdr>
                        <w:top w:val="none" w:sz="0" w:space="0" w:color="auto"/>
                        <w:left w:val="none" w:sz="0" w:space="0" w:color="auto"/>
                        <w:bottom w:val="none" w:sz="0" w:space="0" w:color="auto"/>
                        <w:right w:val="none" w:sz="0" w:space="0" w:color="auto"/>
                      </w:divBdr>
                    </w:div>
                  </w:divsChild>
                </w:div>
                <w:div w:id="562763205">
                  <w:marLeft w:val="0"/>
                  <w:marRight w:val="0"/>
                  <w:marTop w:val="0"/>
                  <w:marBottom w:val="0"/>
                  <w:divBdr>
                    <w:top w:val="none" w:sz="0" w:space="0" w:color="auto"/>
                    <w:left w:val="none" w:sz="0" w:space="0" w:color="auto"/>
                    <w:bottom w:val="none" w:sz="0" w:space="0" w:color="auto"/>
                    <w:right w:val="none" w:sz="0" w:space="0" w:color="auto"/>
                  </w:divBdr>
                  <w:divsChild>
                    <w:div w:id="419637992">
                      <w:marLeft w:val="0"/>
                      <w:marRight w:val="0"/>
                      <w:marTop w:val="0"/>
                      <w:marBottom w:val="0"/>
                      <w:divBdr>
                        <w:top w:val="none" w:sz="0" w:space="0" w:color="auto"/>
                        <w:left w:val="none" w:sz="0" w:space="0" w:color="auto"/>
                        <w:bottom w:val="none" w:sz="0" w:space="0" w:color="auto"/>
                        <w:right w:val="none" w:sz="0" w:space="0" w:color="auto"/>
                      </w:divBdr>
                    </w:div>
                  </w:divsChild>
                </w:div>
                <w:div w:id="570849754">
                  <w:marLeft w:val="0"/>
                  <w:marRight w:val="0"/>
                  <w:marTop w:val="0"/>
                  <w:marBottom w:val="0"/>
                  <w:divBdr>
                    <w:top w:val="none" w:sz="0" w:space="0" w:color="auto"/>
                    <w:left w:val="none" w:sz="0" w:space="0" w:color="auto"/>
                    <w:bottom w:val="none" w:sz="0" w:space="0" w:color="auto"/>
                    <w:right w:val="none" w:sz="0" w:space="0" w:color="auto"/>
                  </w:divBdr>
                  <w:divsChild>
                    <w:div w:id="1886525125">
                      <w:marLeft w:val="0"/>
                      <w:marRight w:val="0"/>
                      <w:marTop w:val="0"/>
                      <w:marBottom w:val="0"/>
                      <w:divBdr>
                        <w:top w:val="none" w:sz="0" w:space="0" w:color="auto"/>
                        <w:left w:val="none" w:sz="0" w:space="0" w:color="auto"/>
                        <w:bottom w:val="none" w:sz="0" w:space="0" w:color="auto"/>
                        <w:right w:val="none" w:sz="0" w:space="0" w:color="auto"/>
                      </w:divBdr>
                    </w:div>
                  </w:divsChild>
                </w:div>
                <w:div w:id="632102324">
                  <w:marLeft w:val="0"/>
                  <w:marRight w:val="0"/>
                  <w:marTop w:val="0"/>
                  <w:marBottom w:val="0"/>
                  <w:divBdr>
                    <w:top w:val="none" w:sz="0" w:space="0" w:color="auto"/>
                    <w:left w:val="none" w:sz="0" w:space="0" w:color="auto"/>
                    <w:bottom w:val="none" w:sz="0" w:space="0" w:color="auto"/>
                    <w:right w:val="none" w:sz="0" w:space="0" w:color="auto"/>
                  </w:divBdr>
                  <w:divsChild>
                    <w:div w:id="1613898515">
                      <w:marLeft w:val="0"/>
                      <w:marRight w:val="0"/>
                      <w:marTop w:val="0"/>
                      <w:marBottom w:val="0"/>
                      <w:divBdr>
                        <w:top w:val="none" w:sz="0" w:space="0" w:color="auto"/>
                        <w:left w:val="none" w:sz="0" w:space="0" w:color="auto"/>
                        <w:bottom w:val="none" w:sz="0" w:space="0" w:color="auto"/>
                        <w:right w:val="none" w:sz="0" w:space="0" w:color="auto"/>
                      </w:divBdr>
                    </w:div>
                  </w:divsChild>
                </w:div>
                <w:div w:id="645935487">
                  <w:marLeft w:val="0"/>
                  <w:marRight w:val="0"/>
                  <w:marTop w:val="0"/>
                  <w:marBottom w:val="0"/>
                  <w:divBdr>
                    <w:top w:val="none" w:sz="0" w:space="0" w:color="auto"/>
                    <w:left w:val="none" w:sz="0" w:space="0" w:color="auto"/>
                    <w:bottom w:val="none" w:sz="0" w:space="0" w:color="auto"/>
                    <w:right w:val="none" w:sz="0" w:space="0" w:color="auto"/>
                  </w:divBdr>
                  <w:divsChild>
                    <w:div w:id="399910515">
                      <w:marLeft w:val="0"/>
                      <w:marRight w:val="0"/>
                      <w:marTop w:val="0"/>
                      <w:marBottom w:val="0"/>
                      <w:divBdr>
                        <w:top w:val="none" w:sz="0" w:space="0" w:color="auto"/>
                        <w:left w:val="none" w:sz="0" w:space="0" w:color="auto"/>
                        <w:bottom w:val="none" w:sz="0" w:space="0" w:color="auto"/>
                        <w:right w:val="none" w:sz="0" w:space="0" w:color="auto"/>
                      </w:divBdr>
                    </w:div>
                  </w:divsChild>
                </w:div>
                <w:div w:id="651983361">
                  <w:marLeft w:val="0"/>
                  <w:marRight w:val="0"/>
                  <w:marTop w:val="0"/>
                  <w:marBottom w:val="0"/>
                  <w:divBdr>
                    <w:top w:val="none" w:sz="0" w:space="0" w:color="auto"/>
                    <w:left w:val="none" w:sz="0" w:space="0" w:color="auto"/>
                    <w:bottom w:val="none" w:sz="0" w:space="0" w:color="auto"/>
                    <w:right w:val="none" w:sz="0" w:space="0" w:color="auto"/>
                  </w:divBdr>
                  <w:divsChild>
                    <w:div w:id="1571112959">
                      <w:marLeft w:val="0"/>
                      <w:marRight w:val="0"/>
                      <w:marTop w:val="0"/>
                      <w:marBottom w:val="0"/>
                      <w:divBdr>
                        <w:top w:val="none" w:sz="0" w:space="0" w:color="auto"/>
                        <w:left w:val="none" w:sz="0" w:space="0" w:color="auto"/>
                        <w:bottom w:val="none" w:sz="0" w:space="0" w:color="auto"/>
                        <w:right w:val="none" w:sz="0" w:space="0" w:color="auto"/>
                      </w:divBdr>
                    </w:div>
                  </w:divsChild>
                </w:div>
                <w:div w:id="662513100">
                  <w:marLeft w:val="0"/>
                  <w:marRight w:val="0"/>
                  <w:marTop w:val="0"/>
                  <w:marBottom w:val="0"/>
                  <w:divBdr>
                    <w:top w:val="none" w:sz="0" w:space="0" w:color="auto"/>
                    <w:left w:val="none" w:sz="0" w:space="0" w:color="auto"/>
                    <w:bottom w:val="none" w:sz="0" w:space="0" w:color="auto"/>
                    <w:right w:val="none" w:sz="0" w:space="0" w:color="auto"/>
                  </w:divBdr>
                  <w:divsChild>
                    <w:div w:id="46415367">
                      <w:marLeft w:val="0"/>
                      <w:marRight w:val="0"/>
                      <w:marTop w:val="0"/>
                      <w:marBottom w:val="0"/>
                      <w:divBdr>
                        <w:top w:val="none" w:sz="0" w:space="0" w:color="auto"/>
                        <w:left w:val="none" w:sz="0" w:space="0" w:color="auto"/>
                        <w:bottom w:val="none" w:sz="0" w:space="0" w:color="auto"/>
                        <w:right w:val="none" w:sz="0" w:space="0" w:color="auto"/>
                      </w:divBdr>
                    </w:div>
                  </w:divsChild>
                </w:div>
                <w:div w:id="673410969">
                  <w:marLeft w:val="0"/>
                  <w:marRight w:val="0"/>
                  <w:marTop w:val="0"/>
                  <w:marBottom w:val="0"/>
                  <w:divBdr>
                    <w:top w:val="none" w:sz="0" w:space="0" w:color="auto"/>
                    <w:left w:val="none" w:sz="0" w:space="0" w:color="auto"/>
                    <w:bottom w:val="none" w:sz="0" w:space="0" w:color="auto"/>
                    <w:right w:val="none" w:sz="0" w:space="0" w:color="auto"/>
                  </w:divBdr>
                  <w:divsChild>
                    <w:div w:id="84421306">
                      <w:marLeft w:val="0"/>
                      <w:marRight w:val="0"/>
                      <w:marTop w:val="0"/>
                      <w:marBottom w:val="0"/>
                      <w:divBdr>
                        <w:top w:val="none" w:sz="0" w:space="0" w:color="auto"/>
                        <w:left w:val="none" w:sz="0" w:space="0" w:color="auto"/>
                        <w:bottom w:val="none" w:sz="0" w:space="0" w:color="auto"/>
                        <w:right w:val="none" w:sz="0" w:space="0" w:color="auto"/>
                      </w:divBdr>
                    </w:div>
                  </w:divsChild>
                </w:div>
                <w:div w:id="778259631">
                  <w:marLeft w:val="0"/>
                  <w:marRight w:val="0"/>
                  <w:marTop w:val="0"/>
                  <w:marBottom w:val="0"/>
                  <w:divBdr>
                    <w:top w:val="none" w:sz="0" w:space="0" w:color="auto"/>
                    <w:left w:val="none" w:sz="0" w:space="0" w:color="auto"/>
                    <w:bottom w:val="none" w:sz="0" w:space="0" w:color="auto"/>
                    <w:right w:val="none" w:sz="0" w:space="0" w:color="auto"/>
                  </w:divBdr>
                  <w:divsChild>
                    <w:div w:id="559946275">
                      <w:marLeft w:val="0"/>
                      <w:marRight w:val="0"/>
                      <w:marTop w:val="0"/>
                      <w:marBottom w:val="0"/>
                      <w:divBdr>
                        <w:top w:val="none" w:sz="0" w:space="0" w:color="auto"/>
                        <w:left w:val="none" w:sz="0" w:space="0" w:color="auto"/>
                        <w:bottom w:val="none" w:sz="0" w:space="0" w:color="auto"/>
                        <w:right w:val="none" w:sz="0" w:space="0" w:color="auto"/>
                      </w:divBdr>
                    </w:div>
                  </w:divsChild>
                </w:div>
                <w:div w:id="799766288">
                  <w:marLeft w:val="0"/>
                  <w:marRight w:val="0"/>
                  <w:marTop w:val="0"/>
                  <w:marBottom w:val="0"/>
                  <w:divBdr>
                    <w:top w:val="none" w:sz="0" w:space="0" w:color="auto"/>
                    <w:left w:val="none" w:sz="0" w:space="0" w:color="auto"/>
                    <w:bottom w:val="none" w:sz="0" w:space="0" w:color="auto"/>
                    <w:right w:val="none" w:sz="0" w:space="0" w:color="auto"/>
                  </w:divBdr>
                  <w:divsChild>
                    <w:div w:id="526064393">
                      <w:marLeft w:val="0"/>
                      <w:marRight w:val="0"/>
                      <w:marTop w:val="0"/>
                      <w:marBottom w:val="0"/>
                      <w:divBdr>
                        <w:top w:val="none" w:sz="0" w:space="0" w:color="auto"/>
                        <w:left w:val="none" w:sz="0" w:space="0" w:color="auto"/>
                        <w:bottom w:val="none" w:sz="0" w:space="0" w:color="auto"/>
                        <w:right w:val="none" w:sz="0" w:space="0" w:color="auto"/>
                      </w:divBdr>
                    </w:div>
                  </w:divsChild>
                </w:div>
                <w:div w:id="821584046">
                  <w:marLeft w:val="0"/>
                  <w:marRight w:val="0"/>
                  <w:marTop w:val="0"/>
                  <w:marBottom w:val="0"/>
                  <w:divBdr>
                    <w:top w:val="none" w:sz="0" w:space="0" w:color="auto"/>
                    <w:left w:val="none" w:sz="0" w:space="0" w:color="auto"/>
                    <w:bottom w:val="none" w:sz="0" w:space="0" w:color="auto"/>
                    <w:right w:val="none" w:sz="0" w:space="0" w:color="auto"/>
                  </w:divBdr>
                  <w:divsChild>
                    <w:div w:id="455484867">
                      <w:marLeft w:val="0"/>
                      <w:marRight w:val="0"/>
                      <w:marTop w:val="0"/>
                      <w:marBottom w:val="0"/>
                      <w:divBdr>
                        <w:top w:val="none" w:sz="0" w:space="0" w:color="auto"/>
                        <w:left w:val="none" w:sz="0" w:space="0" w:color="auto"/>
                        <w:bottom w:val="none" w:sz="0" w:space="0" w:color="auto"/>
                        <w:right w:val="none" w:sz="0" w:space="0" w:color="auto"/>
                      </w:divBdr>
                    </w:div>
                  </w:divsChild>
                </w:div>
                <w:div w:id="847448849">
                  <w:marLeft w:val="0"/>
                  <w:marRight w:val="0"/>
                  <w:marTop w:val="0"/>
                  <w:marBottom w:val="0"/>
                  <w:divBdr>
                    <w:top w:val="none" w:sz="0" w:space="0" w:color="auto"/>
                    <w:left w:val="none" w:sz="0" w:space="0" w:color="auto"/>
                    <w:bottom w:val="none" w:sz="0" w:space="0" w:color="auto"/>
                    <w:right w:val="none" w:sz="0" w:space="0" w:color="auto"/>
                  </w:divBdr>
                  <w:divsChild>
                    <w:div w:id="1330400863">
                      <w:marLeft w:val="0"/>
                      <w:marRight w:val="0"/>
                      <w:marTop w:val="0"/>
                      <w:marBottom w:val="0"/>
                      <w:divBdr>
                        <w:top w:val="none" w:sz="0" w:space="0" w:color="auto"/>
                        <w:left w:val="none" w:sz="0" w:space="0" w:color="auto"/>
                        <w:bottom w:val="none" w:sz="0" w:space="0" w:color="auto"/>
                        <w:right w:val="none" w:sz="0" w:space="0" w:color="auto"/>
                      </w:divBdr>
                    </w:div>
                  </w:divsChild>
                </w:div>
                <w:div w:id="907421328">
                  <w:marLeft w:val="0"/>
                  <w:marRight w:val="0"/>
                  <w:marTop w:val="0"/>
                  <w:marBottom w:val="0"/>
                  <w:divBdr>
                    <w:top w:val="none" w:sz="0" w:space="0" w:color="auto"/>
                    <w:left w:val="none" w:sz="0" w:space="0" w:color="auto"/>
                    <w:bottom w:val="none" w:sz="0" w:space="0" w:color="auto"/>
                    <w:right w:val="none" w:sz="0" w:space="0" w:color="auto"/>
                  </w:divBdr>
                  <w:divsChild>
                    <w:div w:id="569265422">
                      <w:marLeft w:val="0"/>
                      <w:marRight w:val="0"/>
                      <w:marTop w:val="0"/>
                      <w:marBottom w:val="0"/>
                      <w:divBdr>
                        <w:top w:val="none" w:sz="0" w:space="0" w:color="auto"/>
                        <w:left w:val="none" w:sz="0" w:space="0" w:color="auto"/>
                        <w:bottom w:val="none" w:sz="0" w:space="0" w:color="auto"/>
                        <w:right w:val="none" w:sz="0" w:space="0" w:color="auto"/>
                      </w:divBdr>
                    </w:div>
                  </w:divsChild>
                </w:div>
                <w:div w:id="913591790">
                  <w:marLeft w:val="0"/>
                  <w:marRight w:val="0"/>
                  <w:marTop w:val="0"/>
                  <w:marBottom w:val="0"/>
                  <w:divBdr>
                    <w:top w:val="none" w:sz="0" w:space="0" w:color="auto"/>
                    <w:left w:val="none" w:sz="0" w:space="0" w:color="auto"/>
                    <w:bottom w:val="none" w:sz="0" w:space="0" w:color="auto"/>
                    <w:right w:val="none" w:sz="0" w:space="0" w:color="auto"/>
                  </w:divBdr>
                  <w:divsChild>
                    <w:div w:id="766510482">
                      <w:marLeft w:val="0"/>
                      <w:marRight w:val="0"/>
                      <w:marTop w:val="0"/>
                      <w:marBottom w:val="0"/>
                      <w:divBdr>
                        <w:top w:val="none" w:sz="0" w:space="0" w:color="auto"/>
                        <w:left w:val="none" w:sz="0" w:space="0" w:color="auto"/>
                        <w:bottom w:val="none" w:sz="0" w:space="0" w:color="auto"/>
                        <w:right w:val="none" w:sz="0" w:space="0" w:color="auto"/>
                      </w:divBdr>
                    </w:div>
                  </w:divsChild>
                </w:div>
                <w:div w:id="982661396">
                  <w:marLeft w:val="0"/>
                  <w:marRight w:val="0"/>
                  <w:marTop w:val="0"/>
                  <w:marBottom w:val="0"/>
                  <w:divBdr>
                    <w:top w:val="none" w:sz="0" w:space="0" w:color="auto"/>
                    <w:left w:val="none" w:sz="0" w:space="0" w:color="auto"/>
                    <w:bottom w:val="none" w:sz="0" w:space="0" w:color="auto"/>
                    <w:right w:val="none" w:sz="0" w:space="0" w:color="auto"/>
                  </w:divBdr>
                  <w:divsChild>
                    <w:div w:id="767383726">
                      <w:marLeft w:val="0"/>
                      <w:marRight w:val="0"/>
                      <w:marTop w:val="0"/>
                      <w:marBottom w:val="0"/>
                      <w:divBdr>
                        <w:top w:val="none" w:sz="0" w:space="0" w:color="auto"/>
                        <w:left w:val="none" w:sz="0" w:space="0" w:color="auto"/>
                        <w:bottom w:val="none" w:sz="0" w:space="0" w:color="auto"/>
                        <w:right w:val="none" w:sz="0" w:space="0" w:color="auto"/>
                      </w:divBdr>
                    </w:div>
                  </w:divsChild>
                </w:div>
                <w:div w:id="1090272403">
                  <w:marLeft w:val="0"/>
                  <w:marRight w:val="0"/>
                  <w:marTop w:val="0"/>
                  <w:marBottom w:val="0"/>
                  <w:divBdr>
                    <w:top w:val="none" w:sz="0" w:space="0" w:color="auto"/>
                    <w:left w:val="none" w:sz="0" w:space="0" w:color="auto"/>
                    <w:bottom w:val="none" w:sz="0" w:space="0" w:color="auto"/>
                    <w:right w:val="none" w:sz="0" w:space="0" w:color="auto"/>
                  </w:divBdr>
                  <w:divsChild>
                    <w:div w:id="1540701633">
                      <w:marLeft w:val="0"/>
                      <w:marRight w:val="0"/>
                      <w:marTop w:val="0"/>
                      <w:marBottom w:val="0"/>
                      <w:divBdr>
                        <w:top w:val="none" w:sz="0" w:space="0" w:color="auto"/>
                        <w:left w:val="none" w:sz="0" w:space="0" w:color="auto"/>
                        <w:bottom w:val="none" w:sz="0" w:space="0" w:color="auto"/>
                        <w:right w:val="none" w:sz="0" w:space="0" w:color="auto"/>
                      </w:divBdr>
                    </w:div>
                  </w:divsChild>
                </w:div>
                <w:div w:id="1175804438">
                  <w:marLeft w:val="0"/>
                  <w:marRight w:val="0"/>
                  <w:marTop w:val="0"/>
                  <w:marBottom w:val="0"/>
                  <w:divBdr>
                    <w:top w:val="none" w:sz="0" w:space="0" w:color="auto"/>
                    <w:left w:val="none" w:sz="0" w:space="0" w:color="auto"/>
                    <w:bottom w:val="none" w:sz="0" w:space="0" w:color="auto"/>
                    <w:right w:val="none" w:sz="0" w:space="0" w:color="auto"/>
                  </w:divBdr>
                  <w:divsChild>
                    <w:div w:id="1369455542">
                      <w:marLeft w:val="0"/>
                      <w:marRight w:val="0"/>
                      <w:marTop w:val="0"/>
                      <w:marBottom w:val="0"/>
                      <w:divBdr>
                        <w:top w:val="none" w:sz="0" w:space="0" w:color="auto"/>
                        <w:left w:val="none" w:sz="0" w:space="0" w:color="auto"/>
                        <w:bottom w:val="none" w:sz="0" w:space="0" w:color="auto"/>
                        <w:right w:val="none" w:sz="0" w:space="0" w:color="auto"/>
                      </w:divBdr>
                    </w:div>
                  </w:divsChild>
                </w:div>
                <w:div w:id="1202203148">
                  <w:marLeft w:val="0"/>
                  <w:marRight w:val="0"/>
                  <w:marTop w:val="0"/>
                  <w:marBottom w:val="0"/>
                  <w:divBdr>
                    <w:top w:val="none" w:sz="0" w:space="0" w:color="auto"/>
                    <w:left w:val="none" w:sz="0" w:space="0" w:color="auto"/>
                    <w:bottom w:val="none" w:sz="0" w:space="0" w:color="auto"/>
                    <w:right w:val="none" w:sz="0" w:space="0" w:color="auto"/>
                  </w:divBdr>
                  <w:divsChild>
                    <w:div w:id="461070845">
                      <w:marLeft w:val="0"/>
                      <w:marRight w:val="0"/>
                      <w:marTop w:val="0"/>
                      <w:marBottom w:val="0"/>
                      <w:divBdr>
                        <w:top w:val="none" w:sz="0" w:space="0" w:color="auto"/>
                        <w:left w:val="none" w:sz="0" w:space="0" w:color="auto"/>
                        <w:bottom w:val="none" w:sz="0" w:space="0" w:color="auto"/>
                        <w:right w:val="none" w:sz="0" w:space="0" w:color="auto"/>
                      </w:divBdr>
                    </w:div>
                  </w:divsChild>
                </w:div>
                <w:div w:id="1267880623">
                  <w:marLeft w:val="0"/>
                  <w:marRight w:val="0"/>
                  <w:marTop w:val="0"/>
                  <w:marBottom w:val="0"/>
                  <w:divBdr>
                    <w:top w:val="none" w:sz="0" w:space="0" w:color="auto"/>
                    <w:left w:val="none" w:sz="0" w:space="0" w:color="auto"/>
                    <w:bottom w:val="none" w:sz="0" w:space="0" w:color="auto"/>
                    <w:right w:val="none" w:sz="0" w:space="0" w:color="auto"/>
                  </w:divBdr>
                  <w:divsChild>
                    <w:div w:id="1665084454">
                      <w:marLeft w:val="0"/>
                      <w:marRight w:val="0"/>
                      <w:marTop w:val="0"/>
                      <w:marBottom w:val="0"/>
                      <w:divBdr>
                        <w:top w:val="none" w:sz="0" w:space="0" w:color="auto"/>
                        <w:left w:val="none" w:sz="0" w:space="0" w:color="auto"/>
                        <w:bottom w:val="none" w:sz="0" w:space="0" w:color="auto"/>
                        <w:right w:val="none" w:sz="0" w:space="0" w:color="auto"/>
                      </w:divBdr>
                    </w:div>
                  </w:divsChild>
                </w:div>
                <w:div w:id="1296331857">
                  <w:marLeft w:val="0"/>
                  <w:marRight w:val="0"/>
                  <w:marTop w:val="0"/>
                  <w:marBottom w:val="0"/>
                  <w:divBdr>
                    <w:top w:val="none" w:sz="0" w:space="0" w:color="auto"/>
                    <w:left w:val="none" w:sz="0" w:space="0" w:color="auto"/>
                    <w:bottom w:val="none" w:sz="0" w:space="0" w:color="auto"/>
                    <w:right w:val="none" w:sz="0" w:space="0" w:color="auto"/>
                  </w:divBdr>
                  <w:divsChild>
                    <w:div w:id="1570995301">
                      <w:marLeft w:val="0"/>
                      <w:marRight w:val="0"/>
                      <w:marTop w:val="0"/>
                      <w:marBottom w:val="0"/>
                      <w:divBdr>
                        <w:top w:val="none" w:sz="0" w:space="0" w:color="auto"/>
                        <w:left w:val="none" w:sz="0" w:space="0" w:color="auto"/>
                        <w:bottom w:val="none" w:sz="0" w:space="0" w:color="auto"/>
                        <w:right w:val="none" w:sz="0" w:space="0" w:color="auto"/>
                      </w:divBdr>
                    </w:div>
                  </w:divsChild>
                </w:div>
                <w:div w:id="1310406412">
                  <w:marLeft w:val="0"/>
                  <w:marRight w:val="0"/>
                  <w:marTop w:val="0"/>
                  <w:marBottom w:val="0"/>
                  <w:divBdr>
                    <w:top w:val="none" w:sz="0" w:space="0" w:color="auto"/>
                    <w:left w:val="none" w:sz="0" w:space="0" w:color="auto"/>
                    <w:bottom w:val="none" w:sz="0" w:space="0" w:color="auto"/>
                    <w:right w:val="none" w:sz="0" w:space="0" w:color="auto"/>
                  </w:divBdr>
                  <w:divsChild>
                    <w:div w:id="1477644775">
                      <w:marLeft w:val="0"/>
                      <w:marRight w:val="0"/>
                      <w:marTop w:val="0"/>
                      <w:marBottom w:val="0"/>
                      <w:divBdr>
                        <w:top w:val="none" w:sz="0" w:space="0" w:color="auto"/>
                        <w:left w:val="none" w:sz="0" w:space="0" w:color="auto"/>
                        <w:bottom w:val="none" w:sz="0" w:space="0" w:color="auto"/>
                        <w:right w:val="none" w:sz="0" w:space="0" w:color="auto"/>
                      </w:divBdr>
                    </w:div>
                  </w:divsChild>
                </w:div>
                <w:div w:id="1370953901">
                  <w:marLeft w:val="0"/>
                  <w:marRight w:val="0"/>
                  <w:marTop w:val="0"/>
                  <w:marBottom w:val="0"/>
                  <w:divBdr>
                    <w:top w:val="none" w:sz="0" w:space="0" w:color="auto"/>
                    <w:left w:val="none" w:sz="0" w:space="0" w:color="auto"/>
                    <w:bottom w:val="none" w:sz="0" w:space="0" w:color="auto"/>
                    <w:right w:val="none" w:sz="0" w:space="0" w:color="auto"/>
                  </w:divBdr>
                  <w:divsChild>
                    <w:div w:id="58137227">
                      <w:marLeft w:val="0"/>
                      <w:marRight w:val="0"/>
                      <w:marTop w:val="0"/>
                      <w:marBottom w:val="0"/>
                      <w:divBdr>
                        <w:top w:val="none" w:sz="0" w:space="0" w:color="auto"/>
                        <w:left w:val="none" w:sz="0" w:space="0" w:color="auto"/>
                        <w:bottom w:val="none" w:sz="0" w:space="0" w:color="auto"/>
                        <w:right w:val="none" w:sz="0" w:space="0" w:color="auto"/>
                      </w:divBdr>
                    </w:div>
                  </w:divsChild>
                </w:div>
                <w:div w:id="1416900753">
                  <w:marLeft w:val="0"/>
                  <w:marRight w:val="0"/>
                  <w:marTop w:val="0"/>
                  <w:marBottom w:val="0"/>
                  <w:divBdr>
                    <w:top w:val="none" w:sz="0" w:space="0" w:color="auto"/>
                    <w:left w:val="none" w:sz="0" w:space="0" w:color="auto"/>
                    <w:bottom w:val="none" w:sz="0" w:space="0" w:color="auto"/>
                    <w:right w:val="none" w:sz="0" w:space="0" w:color="auto"/>
                  </w:divBdr>
                  <w:divsChild>
                    <w:div w:id="823744744">
                      <w:marLeft w:val="0"/>
                      <w:marRight w:val="0"/>
                      <w:marTop w:val="0"/>
                      <w:marBottom w:val="0"/>
                      <w:divBdr>
                        <w:top w:val="none" w:sz="0" w:space="0" w:color="auto"/>
                        <w:left w:val="none" w:sz="0" w:space="0" w:color="auto"/>
                        <w:bottom w:val="none" w:sz="0" w:space="0" w:color="auto"/>
                        <w:right w:val="none" w:sz="0" w:space="0" w:color="auto"/>
                      </w:divBdr>
                    </w:div>
                  </w:divsChild>
                </w:div>
                <w:div w:id="1433627770">
                  <w:marLeft w:val="0"/>
                  <w:marRight w:val="0"/>
                  <w:marTop w:val="0"/>
                  <w:marBottom w:val="0"/>
                  <w:divBdr>
                    <w:top w:val="none" w:sz="0" w:space="0" w:color="auto"/>
                    <w:left w:val="none" w:sz="0" w:space="0" w:color="auto"/>
                    <w:bottom w:val="none" w:sz="0" w:space="0" w:color="auto"/>
                    <w:right w:val="none" w:sz="0" w:space="0" w:color="auto"/>
                  </w:divBdr>
                  <w:divsChild>
                    <w:div w:id="1887330366">
                      <w:marLeft w:val="0"/>
                      <w:marRight w:val="0"/>
                      <w:marTop w:val="0"/>
                      <w:marBottom w:val="0"/>
                      <w:divBdr>
                        <w:top w:val="none" w:sz="0" w:space="0" w:color="auto"/>
                        <w:left w:val="none" w:sz="0" w:space="0" w:color="auto"/>
                        <w:bottom w:val="none" w:sz="0" w:space="0" w:color="auto"/>
                        <w:right w:val="none" w:sz="0" w:space="0" w:color="auto"/>
                      </w:divBdr>
                    </w:div>
                  </w:divsChild>
                </w:div>
                <w:div w:id="1527057933">
                  <w:marLeft w:val="0"/>
                  <w:marRight w:val="0"/>
                  <w:marTop w:val="0"/>
                  <w:marBottom w:val="0"/>
                  <w:divBdr>
                    <w:top w:val="none" w:sz="0" w:space="0" w:color="auto"/>
                    <w:left w:val="none" w:sz="0" w:space="0" w:color="auto"/>
                    <w:bottom w:val="none" w:sz="0" w:space="0" w:color="auto"/>
                    <w:right w:val="none" w:sz="0" w:space="0" w:color="auto"/>
                  </w:divBdr>
                  <w:divsChild>
                    <w:div w:id="350256065">
                      <w:marLeft w:val="0"/>
                      <w:marRight w:val="0"/>
                      <w:marTop w:val="0"/>
                      <w:marBottom w:val="0"/>
                      <w:divBdr>
                        <w:top w:val="none" w:sz="0" w:space="0" w:color="auto"/>
                        <w:left w:val="none" w:sz="0" w:space="0" w:color="auto"/>
                        <w:bottom w:val="none" w:sz="0" w:space="0" w:color="auto"/>
                        <w:right w:val="none" w:sz="0" w:space="0" w:color="auto"/>
                      </w:divBdr>
                    </w:div>
                  </w:divsChild>
                </w:div>
                <w:div w:id="1603343459">
                  <w:marLeft w:val="0"/>
                  <w:marRight w:val="0"/>
                  <w:marTop w:val="0"/>
                  <w:marBottom w:val="0"/>
                  <w:divBdr>
                    <w:top w:val="none" w:sz="0" w:space="0" w:color="auto"/>
                    <w:left w:val="none" w:sz="0" w:space="0" w:color="auto"/>
                    <w:bottom w:val="none" w:sz="0" w:space="0" w:color="auto"/>
                    <w:right w:val="none" w:sz="0" w:space="0" w:color="auto"/>
                  </w:divBdr>
                  <w:divsChild>
                    <w:div w:id="1101606117">
                      <w:marLeft w:val="0"/>
                      <w:marRight w:val="0"/>
                      <w:marTop w:val="0"/>
                      <w:marBottom w:val="0"/>
                      <w:divBdr>
                        <w:top w:val="none" w:sz="0" w:space="0" w:color="auto"/>
                        <w:left w:val="none" w:sz="0" w:space="0" w:color="auto"/>
                        <w:bottom w:val="none" w:sz="0" w:space="0" w:color="auto"/>
                        <w:right w:val="none" w:sz="0" w:space="0" w:color="auto"/>
                      </w:divBdr>
                    </w:div>
                  </w:divsChild>
                </w:div>
                <w:div w:id="1614364957">
                  <w:marLeft w:val="0"/>
                  <w:marRight w:val="0"/>
                  <w:marTop w:val="0"/>
                  <w:marBottom w:val="0"/>
                  <w:divBdr>
                    <w:top w:val="none" w:sz="0" w:space="0" w:color="auto"/>
                    <w:left w:val="none" w:sz="0" w:space="0" w:color="auto"/>
                    <w:bottom w:val="none" w:sz="0" w:space="0" w:color="auto"/>
                    <w:right w:val="none" w:sz="0" w:space="0" w:color="auto"/>
                  </w:divBdr>
                  <w:divsChild>
                    <w:div w:id="1942958006">
                      <w:marLeft w:val="0"/>
                      <w:marRight w:val="0"/>
                      <w:marTop w:val="0"/>
                      <w:marBottom w:val="0"/>
                      <w:divBdr>
                        <w:top w:val="none" w:sz="0" w:space="0" w:color="auto"/>
                        <w:left w:val="none" w:sz="0" w:space="0" w:color="auto"/>
                        <w:bottom w:val="none" w:sz="0" w:space="0" w:color="auto"/>
                        <w:right w:val="none" w:sz="0" w:space="0" w:color="auto"/>
                      </w:divBdr>
                    </w:div>
                  </w:divsChild>
                </w:div>
                <w:div w:id="1639649139">
                  <w:marLeft w:val="0"/>
                  <w:marRight w:val="0"/>
                  <w:marTop w:val="0"/>
                  <w:marBottom w:val="0"/>
                  <w:divBdr>
                    <w:top w:val="none" w:sz="0" w:space="0" w:color="auto"/>
                    <w:left w:val="none" w:sz="0" w:space="0" w:color="auto"/>
                    <w:bottom w:val="none" w:sz="0" w:space="0" w:color="auto"/>
                    <w:right w:val="none" w:sz="0" w:space="0" w:color="auto"/>
                  </w:divBdr>
                  <w:divsChild>
                    <w:div w:id="725418330">
                      <w:marLeft w:val="0"/>
                      <w:marRight w:val="0"/>
                      <w:marTop w:val="0"/>
                      <w:marBottom w:val="0"/>
                      <w:divBdr>
                        <w:top w:val="none" w:sz="0" w:space="0" w:color="auto"/>
                        <w:left w:val="none" w:sz="0" w:space="0" w:color="auto"/>
                        <w:bottom w:val="none" w:sz="0" w:space="0" w:color="auto"/>
                        <w:right w:val="none" w:sz="0" w:space="0" w:color="auto"/>
                      </w:divBdr>
                    </w:div>
                  </w:divsChild>
                </w:div>
                <w:div w:id="1645040650">
                  <w:marLeft w:val="0"/>
                  <w:marRight w:val="0"/>
                  <w:marTop w:val="0"/>
                  <w:marBottom w:val="0"/>
                  <w:divBdr>
                    <w:top w:val="none" w:sz="0" w:space="0" w:color="auto"/>
                    <w:left w:val="none" w:sz="0" w:space="0" w:color="auto"/>
                    <w:bottom w:val="none" w:sz="0" w:space="0" w:color="auto"/>
                    <w:right w:val="none" w:sz="0" w:space="0" w:color="auto"/>
                  </w:divBdr>
                  <w:divsChild>
                    <w:div w:id="483280877">
                      <w:marLeft w:val="0"/>
                      <w:marRight w:val="0"/>
                      <w:marTop w:val="0"/>
                      <w:marBottom w:val="0"/>
                      <w:divBdr>
                        <w:top w:val="none" w:sz="0" w:space="0" w:color="auto"/>
                        <w:left w:val="none" w:sz="0" w:space="0" w:color="auto"/>
                        <w:bottom w:val="none" w:sz="0" w:space="0" w:color="auto"/>
                        <w:right w:val="none" w:sz="0" w:space="0" w:color="auto"/>
                      </w:divBdr>
                    </w:div>
                  </w:divsChild>
                </w:div>
                <w:div w:id="1674524281">
                  <w:marLeft w:val="0"/>
                  <w:marRight w:val="0"/>
                  <w:marTop w:val="0"/>
                  <w:marBottom w:val="0"/>
                  <w:divBdr>
                    <w:top w:val="none" w:sz="0" w:space="0" w:color="auto"/>
                    <w:left w:val="none" w:sz="0" w:space="0" w:color="auto"/>
                    <w:bottom w:val="none" w:sz="0" w:space="0" w:color="auto"/>
                    <w:right w:val="none" w:sz="0" w:space="0" w:color="auto"/>
                  </w:divBdr>
                  <w:divsChild>
                    <w:div w:id="1929733717">
                      <w:marLeft w:val="0"/>
                      <w:marRight w:val="0"/>
                      <w:marTop w:val="0"/>
                      <w:marBottom w:val="0"/>
                      <w:divBdr>
                        <w:top w:val="none" w:sz="0" w:space="0" w:color="auto"/>
                        <w:left w:val="none" w:sz="0" w:space="0" w:color="auto"/>
                        <w:bottom w:val="none" w:sz="0" w:space="0" w:color="auto"/>
                        <w:right w:val="none" w:sz="0" w:space="0" w:color="auto"/>
                      </w:divBdr>
                    </w:div>
                  </w:divsChild>
                </w:div>
                <w:div w:id="1692411536">
                  <w:marLeft w:val="0"/>
                  <w:marRight w:val="0"/>
                  <w:marTop w:val="0"/>
                  <w:marBottom w:val="0"/>
                  <w:divBdr>
                    <w:top w:val="none" w:sz="0" w:space="0" w:color="auto"/>
                    <w:left w:val="none" w:sz="0" w:space="0" w:color="auto"/>
                    <w:bottom w:val="none" w:sz="0" w:space="0" w:color="auto"/>
                    <w:right w:val="none" w:sz="0" w:space="0" w:color="auto"/>
                  </w:divBdr>
                  <w:divsChild>
                    <w:div w:id="344015112">
                      <w:marLeft w:val="0"/>
                      <w:marRight w:val="0"/>
                      <w:marTop w:val="0"/>
                      <w:marBottom w:val="0"/>
                      <w:divBdr>
                        <w:top w:val="none" w:sz="0" w:space="0" w:color="auto"/>
                        <w:left w:val="none" w:sz="0" w:space="0" w:color="auto"/>
                        <w:bottom w:val="none" w:sz="0" w:space="0" w:color="auto"/>
                        <w:right w:val="none" w:sz="0" w:space="0" w:color="auto"/>
                      </w:divBdr>
                    </w:div>
                  </w:divsChild>
                </w:div>
                <w:div w:id="1715348657">
                  <w:marLeft w:val="0"/>
                  <w:marRight w:val="0"/>
                  <w:marTop w:val="0"/>
                  <w:marBottom w:val="0"/>
                  <w:divBdr>
                    <w:top w:val="none" w:sz="0" w:space="0" w:color="auto"/>
                    <w:left w:val="none" w:sz="0" w:space="0" w:color="auto"/>
                    <w:bottom w:val="none" w:sz="0" w:space="0" w:color="auto"/>
                    <w:right w:val="none" w:sz="0" w:space="0" w:color="auto"/>
                  </w:divBdr>
                  <w:divsChild>
                    <w:div w:id="66344125">
                      <w:marLeft w:val="0"/>
                      <w:marRight w:val="0"/>
                      <w:marTop w:val="0"/>
                      <w:marBottom w:val="0"/>
                      <w:divBdr>
                        <w:top w:val="none" w:sz="0" w:space="0" w:color="auto"/>
                        <w:left w:val="none" w:sz="0" w:space="0" w:color="auto"/>
                        <w:bottom w:val="none" w:sz="0" w:space="0" w:color="auto"/>
                        <w:right w:val="none" w:sz="0" w:space="0" w:color="auto"/>
                      </w:divBdr>
                    </w:div>
                  </w:divsChild>
                </w:div>
                <w:div w:id="1735933702">
                  <w:marLeft w:val="0"/>
                  <w:marRight w:val="0"/>
                  <w:marTop w:val="0"/>
                  <w:marBottom w:val="0"/>
                  <w:divBdr>
                    <w:top w:val="none" w:sz="0" w:space="0" w:color="auto"/>
                    <w:left w:val="none" w:sz="0" w:space="0" w:color="auto"/>
                    <w:bottom w:val="none" w:sz="0" w:space="0" w:color="auto"/>
                    <w:right w:val="none" w:sz="0" w:space="0" w:color="auto"/>
                  </w:divBdr>
                  <w:divsChild>
                    <w:div w:id="2135249518">
                      <w:marLeft w:val="0"/>
                      <w:marRight w:val="0"/>
                      <w:marTop w:val="0"/>
                      <w:marBottom w:val="0"/>
                      <w:divBdr>
                        <w:top w:val="none" w:sz="0" w:space="0" w:color="auto"/>
                        <w:left w:val="none" w:sz="0" w:space="0" w:color="auto"/>
                        <w:bottom w:val="none" w:sz="0" w:space="0" w:color="auto"/>
                        <w:right w:val="none" w:sz="0" w:space="0" w:color="auto"/>
                      </w:divBdr>
                    </w:div>
                  </w:divsChild>
                </w:div>
                <w:div w:id="1780877744">
                  <w:marLeft w:val="0"/>
                  <w:marRight w:val="0"/>
                  <w:marTop w:val="0"/>
                  <w:marBottom w:val="0"/>
                  <w:divBdr>
                    <w:top w:val="none" w:sz="0" w:space="0" w:color="auto"/>
                    <w:left w:val="none" w:sz="0" w:space="0" w:color="auto"/>
                    <w:bottom w:val="none" w:sz="0" w:space="0" w:color="auto"/>
                    <w:right w:val="none" w:sz="0" w:space="0" w:color="auto"/>
                  </w:divBdr>
                  <w:divsChild>
                    <w:div w:id="557976790">
                      <w:marLeft w:val="0"/>
                      <w:marRight w:val="0"/>
                      <w:marTop w:val="0"/>
                      <w:marBottom w:val="0"/>
                      <w:divBdr>
                        <w:top w:val="none" w:sz="0" w:space="0" w:color="auto"/>
                        <w:left w:val="none" w:sz="0" w:space="0" w:color="auto"/>
                        <w:bottom w:val="none" w:sz="0" w:space="0" w:color="auto"/>
                        <w:right w:val="none" w:sz="0" w:space="0" w:color="auto"/>
                      </w:divBdr>
                    </w:div>
                  </w:divsChild>
                </w:div>
                <w:div w:id="1880969321">
                  <w:marLeft w:val="0"/>
                  <w:marRight w:val="0"/>
                  <w:marTop w:val="0"/>
                  <w:marBottom w:val="0"/>
                  <w:divBdr>
                    <w:top w:val="none" w:sz="0" w:space="0" w:color="auto"/>
                    <w:left w:val="none" w:sz="0" w:space="0" w:color="auto"/>
                    <w:bottom w:val="none" w:sz="0" w:space="0" w:color="auto"/>
                    <w:right w:val="none" w:sz="0" w:space="0" w:color="auto"/>
                  </w:divBdr>
                  <w:divsChild>
                    <w:div w:id="937831603">
                      <w:marLeft w:val="0"/>
                      <w:marRight w:val="0"/>
                      <w:marTop w:val="0"/>
                      <w:marBottom w:val="0"/>
                      <w:divBdr>
                        <w:top w:val="none" w:sz="0" w:space="0" w:color="auto"/>
                        <w:left w:val="none" w:sz="0" w:space="0" w:color="auto"/>
                        <w:bottom w:val="none" w:sz="0" w:space="0" w:color="auto"/>
                        <w:right w:val="none" w:sz="0" w:space="0" w:color="auto"/>
                      </w:divBdr>
                    </w:div>
                  </w:divsChild>
                </w:div>
                <w:div w:id="1888906076">
                  <w:marLeft w:val="0"/>
                  <w:marRight w:val="0"/>
                  <w:marTop w:val="0"/>
                  <w:marBottom w:val="0"/>
                  <w:divBdr>
                    <w:top w:val="none" w:sz="0" w:space="0" w:color="auto"/>
                    <w:left w:val="none" w:sz="0" w:space="0" w:color="auto"/>
                    <w:bottom w:val="none" w:sz="0" w:space="0" w:color="auto"/>
                    <w:right w:val="none" w:sz="0" w:space="0" w:color="auto"/>
                  </w:divBdr>
                  <w:divsChild>
                    <w:div w:id="795758383">
                      <w:marLeft w:val="0"/>
                      <w:marRight w:val="0"/>
                      <w:marTop w:val="0"/>
                      <w:marBottom w:val="0"/>
                      <w:divBdr>
                        <w:top w:val="none" w:sz="0" w:space="0" w:color="auto"/>
                        <w:left w:val="none" w:sz="0" w:space="0" w:color="auto"/>
                        <w:bottom w:val="none" w:sz="0" w:space="0" w:color="auto"/>
                        <w:right w:val="none" w:sz="0" w:space="0" w:color="auto"/>
                      </w:divBdr>
                    </w:div>
                  </w:divsChild>
                </w:div>
                <w:div w:id="1975671557">
                  <w:marLeft w:val="0"/>
                  <w:marRight w:val="0"/>
                  <w:marTop w:val="0"/>
                  <w:marBottom w:val="0"/>
                  <w:divBdr>
                    <w:top w:val="none" w:sz="0" w:space="0" w:color="auto"/>
                    <w:left w:val="none" w:sz="0" w:space="0" w:color="auto"/>
                    <w:bottom w:val="none" w:sz="0" w:space="0" w:color="auto"/>
                    <w:right w:val="none" w:sz="0" w:space="0" w:color="auto"/>
                  </w:divBdr>
                  <w:divsChild>
                    <w:div w:id="1236818596">
                      <w:marLeft w:val="0"/>
                      <w:marRight w:val="0"/>
                      <w:marTop w:val="0"/>
                      <w:marBottom w:val="0"/>
                      <w:divBdr>
                        <w:top w:val="none" w:sz="0" w:space="0" w:color="auto"/>
                        <w:left w:val="none" w:sz="0" w:space="0" w:color="auto"/>
                        <w:bottom w:val="none" w:sz="0" w:space="0" w:color="auto"/>
                        <w:right w:val="none" w:sz="0" w:space="0" w:color="auto"/>
                      </w:divBdr>
                    </w:div>
                  </w:divsChild>
                </w:div>
                <w:div w:id="1976107171">
                  <w:marLeft w:val="0"/>
                  <w:marRight w:val="0"/>
                  <w:marTop w:val="0"/>
                  <w:marBottom w:val="0"/>
                  <w:divBdr>
                    <w:top w:val="none" w:sz="0" w:space="0" w:color="auto"/>
                    <w:left w:val="none" w:sz="0" w:space="0" w:color="auto"/>
                    <w:bottom w:val="none" w:sz="0" w:space="0" w:color="auto"/>
                    <w:right w:val="none" w:sz="0" w:space="0" w:color="auto"/>
                  </w:divBdr>
                  <w:divsChild>
                    <w:div w:id="1055468190">
                      <w:marLeft w:val="0"/>
                      <w:marRight w:val="0"/>
                      <w:marTop w:val="0"/>
                      <w:marBottom w:val="0"/>
                      <w:divBdr>
                        <w:top w:val="none" w:sz="0" w:space="0" w:color="auto"/>
                        <w:left w:val="none" w:sz="0" w:space="0" w:color="auto"/>
                        <w:bottom w:val="none" w:sz="0" w:space="0" w:color="auto"/>
                        <w:right w:val="none" w:sz="0" w:space="0" w:color="auto"/>
                      </w:divBdr>
                    </w:div>
                  </w:divsChild>
                </w:div>
                <w:div w:id="1999116212">
                  <w:marLeft w:val="0"/>
                  <w:marRight w:val="0"/>
                  <w:marTop w:val="0"/>
                  <w:marBottom w:val="0"/>
                  <w:divBdr>
                    <w:top w:val="none" w:sz="0" w:space="0" w:color="auto"/>
                    <w:left w:val="none" w:sz="0" w:space="0" w:color="auto"/>
                    <w:bottom w:val="none" w:sz="0" w:space="0" w:color="auto"/>
                    <w:right w:val="none" w:sz="0" w:space="0" w:color="auto"/>
                  </w:divBdr>
                  <w:divsChild>
                    <w:div w:id="2036734043">
                      <w:marLeft w:val="0"/>
                      <w:marRight w:val="0"/>
                      <w:marTop w:val="0"/>
                      <w:marBottom w:val="0"/>
                      <w:divBdr>
                        <w:top w:val="none" w:sz="0" w:space="0" w:color="auto"/>
                        <w:left w:val="none" w:sz="0" w:space="0" w:color="auto"/>
                        <w:bottom w:val="none" w:sz="0" w:space="0" w:color="auto"/>
                        <w:right w:val="none" w:sz="0" w:space="0" w:color="auto"/>
                      </w:divBdr>
                    </w:div>
                  </w:divsChild>
                </w:div>
                <w:div w:id="2014018943">
                  <w:marLeft w:val="0"/>
                  <w:marRight w:val="0"/>
                  <w:marTop w:val="0"/>
                  <w:marBottom w:val="0"/>
                  <w:divBdr>
                    <w:top w:val="none" w:sz="0" w:space="0" w:color="auto"/>
                    <w:left w:val="none" w:sz="0" w:space="0" w:color="auto"/>
                    <w:bottom w:val="none" w:sz="0" w:space="0" w:color="auto"/>
                    <w:right w:val="none" w:sz="0" w:space="0" w:color="auto"/>
                  </w:divBdr>
                  <w:divsChild>
                    <w:div w:id="23988551">
                      <w:marLeft w:val="0"/>
                      <w:marRight w:val="0"/>
                      <w:marTop w:val="0"/>
                      <w:marBottom w:val="0"/>
                      <w:divBdr>
                        <w:top w:val="none" w:sz="0" w:space="0" w:color="auto"/>
                        <w:left w:val="none" w:sz="0" w:space="0" w:color="auto"/>
                        <w:bottom w:val="none" w:sz="0" w:space="0" w:color="auto"/>
                        <w:right w:val="none" w:sz="0" w:space="0" w:color="auto"/>
                      </w:divBdr>
                    </w:div>
                  </w:divsChild>
                </w:div>
                <w:div w:id="2015497862">
                  <w:marLeft w:val="0"/>
                  <w:marRight w:val="0"/>
                  <w:marTop w:val="0"/>
                  <w:marBottom w:val="0"/>
                  <w:divBdr>
                    <w:top w:val="none" w:sz="0" w:space="0" w:color="auto"/>
                    <w:left w:val="none" w:sz="0" w:space="0" w:color="auto"/>
                    <w:bottom w:val="none" w:sz="0" w:space="0" w:color="auto"/>
                    <w:right w:val="none" w:sz="0" w:space="0" w:color="auto"/>
                  </w:divBdr>
                  <w:divsChild>
                    <w:div w:id="950867572">
                      <w:marLeft w:val="0"/>
                      <w:marRight w:val="0"/>
                      <w:marTop w:val="0"/>
                      <w:marBottom w:val="0"/>
                      <w:divBdr>
                        <w:top w:val="none" w:sz="0" w:space="0" w:color="auto"/>
                        <w:left w:val="none" w:sz="0" w:space="0" w:color="auto"/>
                        <w:bottom w:val="none" w:sz="0" w:space="0" w:color="auto"/>
                        <w:right w:val="none" w:sz="0" w:space="0" w:color="auto"/>
                      </w:divBdr>
                    </w:div>
                  </w:divsChild>
                </w:div>
                <w:div w:id="2021151447">
                  <w:marLeft w:val="0"/>
                  <w:marRight w:val="0"/>
                  <w:marTop w:val="0"/>
                  <w:marBottom w:val="0"/>
                  <w:divBdr>
                    <w:top w:val="none" w:sz="0" w:space="0" w:color="auto"/>
                    <w:left w:val="none" w:sz="0" w:space="0" w:color="auto"/>
                    <w:bottom w:val="none" w:sz="0" w:space="0" w:color="auto"/>
                    <w:right w:val="none" w:sz="0" w:space="0" w:color="auto"/>
                  </w:divBdr>
                  <w:divsChild>
                    <w:div w:id="825631182">
                      <w:marLeft w:val="0"/>
                      <w:marRight w:val="0"/>
                      <w:marTop w:val="0"/>
                      <w:marBottom w:val="0"/>
                      <w:divBdr>
                        <w:top w:val="none" w:sz="0" w:space="0" w:color="auto"/>
                        <w:left w:val="none" w:sz="0" w:space="0" w:color="auto"/>
                        <w:bottom w:val="none" w:sz="0" w:space="0" w:color="auto"/>
                        <w:right w:val="none" w:sz="0" w:space="0" w:color="auto"/>
                      </w:divBdr>
                    </w:div>
                  </w:divsChild>
                </w:div>
                <w:div w:id="2069566123">
                  <w:marLeft w:val="0"/>
                  <w:marRight w:val="0"/>
                  <w:marTop w:val="0"/>
                  <w:marBottom w:val="0"/>
                  <w:divBdr>
                    <w:top w:val="none" w:sz="0" w:space="0" w:color="auto"/>
                    <w:left w:val="none" w:sz="0" w:space="0" w:color="auto"/>
                    <w:bottom w:val="none" w:sz="0" w:space="0" w:color="auto"/>
                    <w:right w:val="none" w:sz="0" w:space="0" w:color="auto"/>
                  </w:divBdr>
                  <w:divsChild>
                    <w:div w:id="456872258">
                      <w:marLeft w:val="0"/>
                      <w:marRight w:val="0"/>
                      <w:marTop w:val="0"/>
                      <w:marBottom w:val="0"/>
                      <w:divBdr>
                        <w:top w:val="none" w:sz="0" w:space="0" w:color="auto"/>
                        <w:left w:val="none" w:sz="0" w:space="0" w:color="auto"/>
                        <w:bottom w:val="none" w:sz="0" w:space="0" w:color="auto"/>
                        <w:right w:val="none" w:sz="0" w:space="0" w:color="auto"/>
                      </w:divBdr>
                    </w:div>
                  </w:divsChild>
                </w:div>
                <w:div w:id="2130126029">
                  <w:marLeft w:val="0"/>
                  <w:marRight w:val="0"/>
                  <w:marTop w:val="0"/>
                  <w:marBottom w:val="0"/>
                  <w:divBdr>
                    <w:top w:val="none" w:sz="0" w:space="0" w:color="auto"/>
                    <w:left w:val="none" w:sz="0" w:space="0" w:color="auto"/>
                    <w:bottom w:val="none" w:sz="0" w:space="0" w:color="auto"/>
                    <w:right w:val="none" w:sz="0" w:space="0" w:color="auto"/>
                  </w:divBdr>
                  <w:divsChild>
                    <w:div w:id="103461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667914">
          <w:marLeft w:val="0"/>
          <w:marRight w:val="0"/>
          <w:marTop w:val="0"/>
          <w:marBottom w:val="0"/>
          <w:divBdr>
            <w:top w:val="none" w:sz="0" w:space="0" w:color="auto"/>
            <w:left w:val="none" w:sz="0" w:space="0" w:color="auto"/>
            <w:bottom w:val="none" w:sz="0" w:space="0" w:color="auto"/>
            <w:right w:val="none" w:sz="0" w:space="0" w:color="auto"/>
          </w:divBdr>
          <w:divsChild>
            <w:div w:id="2084254226">
              <w:marLeft w:val="-75"/>
              <w:marRight w:val="0"/>
              <w:marTop w:val="30"/>
              <w:marBottom w:val="30"/>
              <w:divBdr>
                <w:top w:val="none" w:sz="0" w:space="0" w:color="auto"/>
                <w:left w:val="none" w:sz="0" w:space="0" w:color="auto"/>
                <w:bottom w:val="none" w:sz="0" w:space="0" w:color="auto"/>
                <w:right w:val="none" w:sz="0" w:space="0" w:color="auto"/>
              </w:divBdr>
              <w:divsChild>
                <w:div w:id="59326451">
                  <w:marLeft w:val="0"/>
                  <w:marRight w:val="0"/>
                  <w:marTop w:val="0"/>
                  <w:marBottom w:val="0"/>
                  <w:divBdr>
                    <w:top w:val="none" w:sz="0" w:space="0" w:color="auto"/>
                    <w:left w:val="none" w:sz="0" w:space="0" w:color="auto"/>
                    <w:bottom w:val="none" w:sz="0" w:space="0" w:color="auto"/>
                    <w:right w:val="none" w:sz="0" w:space="0" w:color="auto"/>
                  </w:divBdr>
                  <w:divsChild>
                    <w:div w:id="1552955606">
                      <w:marLeft w:val="0"/>
                      <w:marRight w:val="0"/>
                      <w:marTop w:val="0"/>
                      <w:marBottom w:val="0"/>
                      <w:divBdr>
                        <w:top w:val="none" w:sz="0" w:space="0" w:color="auto"/>
                        <w:left w:val="none" w:sz="0" w:space="0" w:color="auto"/>
                        <w:bottom w:val="none" w:sz="0" w:space="0" w:color="auto"/>
                        <w:right w:val="none" w:sz="0" w:space="0" w:color="auto"/>
                      </w:divBdr>
                    </w:div>
                  </w:divsChild>
                </w:div>
                <w:div w:id="59602789">
                  <w:marLeft w:val="0"/>
                  <w:marRight w:val="0"/>
                  <w:marTop w:val="0"/>
                  <w:marBottom w:val="0"/>
                  <w:divBdr>
                    <w:top w:val="none" w:sz="0" w:space="0" w:color="auto"/>
                    <w:left w:val="none" w:sz="0" w:space="0" w:color="auto"/>
                    <w:bottom w:val="none" w:sz="0" w:space="0" w:color="auto"/>
                    <w:right w:val="none" w:sz="0" w:space="0" w:color="auto"/>
                  </w:divBdr>
                  <w:divsChild>
                    <w:div w:id="1383746732">
                      <w:marLeft w:val="0"/>
                      <w:marRight w:val="0"/>
                      <w:marTop w:val="0"/>
                      <w:marBottom w:val="0"/>
                      <w:divBdr>
                        <w:top w:val="none" w:sz="0" w:space="0" w:color="auto"/>
                        <w:left w:val="none" w:sz="0" w:space="0" w:color="auto"/>
                        <w:bottom w:val="none" w:sz="0" w:space="0" w:color="auto"/>
                        <w:right w:val="none" w:sz="0" w:space="0" w:color="auto"/>
                      </w:divBdr>
                    </w:div>
                  </w:divsChild>
                </w:div>
                <w:div w:id="60299737">
                  <w:marLeft w:val="0"/>
                  <w:marRight w:val="0"/>
                  <w:marTop w:val="0"/>
                  <w:marBottom w:val="0"/>
                  <w:divBdr>
                    <w:top w:val="none" w:sz="0" w:space="0" w:color="auto"/>
                    <w:left w:val="none" w:sz="0" w:space="0" w:color="auto"/>
                    <w:bottom w:val="none" w:sz="0" w:space="0" w:color="auto"/>
                    <w:right w:val="none" w:sz="0" w:space="0" w:color="auto"/>
                  </w:divBdr>
                  <w:divsChild>
                    <w:div w:id="1118765133">
                      <w:marLeft w:val="0"/>
                      <w:marRight w:val="0"/>
                      <w:marTop w:val="0"/>
                      <w:marBottom w:val="0"/>
                      <w:divBdr>
                        <w:top w:val="none" w:sz="0" w:space="0" w:color="auto"/>
                        <w:left w:val="none" w:sz="0" w:space="0" w:color="auto"/>
                        <w:bottom w:val="none" w:sz="0" w:space="0" w:color="auto"/>
                        <w:right w:val="none" w:sz="0" w:space="0" w:color="auto"/>
                      </w:divBdr>
                    </w:div>
                  </w:divsChild>
                </w:div>
                <w:div w:id="107747452">
                  <w:marLeft w:val="0"/>
                  <w:marRight w:val="0"/>
                  <w:marTop w:val="0"/>
                  <w:marBottom w:val="0"/>
                  <w:divBdr>
                    <w:top w:val="none" w:sz="0" w:space="0" w:color="auto"/>
                    <w:left w:val="none" w:sz="0" w:space="0" w:color="auto"/>
                    <w:bottom w:val="none" w:sz="0" w:space="0" w:color="auto"/>
                    <w:right w:val="none" w:sz="0" w:space="0" w:color="auto"/>
                  </w:divBdr>
                  <w:divsChild>
                    <w:div w:id="587885422">
                      <w:marLeft w:val="0"/>
                      <w:marRight w:val="0"/>
                      <w:marTop w:val="0"/>
                      <w:marBottom w:val="0"/>
                      <w:divBdr>
                        <w:top w:val="none" w:sz="0" w:space="0" w:color="auto"/>
                        <w:left w:val="none" w:sz="0" w:space="0" w:color="auto"/>
                        <w:bottom w:val="none" w:sz="0" w:space="0" w:color="auto"/>
                        <w:right w:val="none" w:sz="0" w:space="0" w:color="auto"/>
                      </w:divBdr>
                    </w:div>
                  </w:divsChild>
                </w:div>
                <w:div w:id="115369873">
                  <w:marLeft w:val="0"/>
                  <w:marRight w:val="0"/>
                  <w:marTop w:val="0"/>
                  <w:marBottom w:val="0"/>
                  <w:divBdr>
                    <w:top w:val="none" w:sz="0" w:space="0" w:color="auto"/>
                    <w:left w:val="none" w:sz="0" w:space="0" w:color="auto"/>
                    <w:bottom w:val="none" w:sz="0" w:space="0" w:color="auto"/>
                    <w:right w:val="none" w:sz="0" w:space="0" w:color="auto"/>
                  </w:divBdr>
                  <w:divsChild>
                    <w:div w:id="841162798">
                      <w:marLeft w:val="0"/>
                      <w:marRight w:val="0"/>
                      <w:marTop w:val="0"/>
                      <w:marBottom w:val="0"/>
                      <w:divBdr>
                        <w:top w:val="none" w:sz="0" w:space="0" w:color="auto"/>
                        <w:left w:val="none" w:sz="0" w:space="0" w:color="auto"/>
                        <w:bottom w:val="none" w:sz="0" w:space="0" w:color="auto"/>
                        <w:right w:val="none" w:sz="0" w:space="0" w:color="auto"/>
                      </w:divBdr>
                    </w:div>
                  </w:divsChild>
                </w:div>
                <w:div w:id="128593234">
                  <w:marLeft w:val="0"/>
                  <w:marRight w:val="0"/>
                  <w:marTop w:val="0"/>
                  <w:marBottom w:val="0"/>
                  <w:divBdr>
                    <w:top w:val="none" w:sz="0" w:space="0" w:color="auto"/>
                    <w:left w:val="none" w:sz="0" w:space="0" w:color="auto"/>
                    <w:bottom w:val="none" w:sz="0" w:space="0" w:color="auto"/>
                    <w:right w:val="none" w:sz="0" w:space="0" w:color="auto"/>
                  </w:divBdr>
                  <w:divsChild>
                    <w:div w:id="1009216376">
                      <w:marLeft w:val="0"/>
                      <w:marRight w:val="0"/>
                      <w:marTop w:val="0"/>
                      <w:marBottom w:val="0"/>
                      <w:divBdr>
                        <w:top w:val="none" w:sz="0" w:space="0" w:color="auto"/>
                        <w:left w:val="none" w:sz="0" w:space="0" w:color="auto"/>
                        <w:bottom w:val="none" w:sz="0" w:space="0" w:color="auto"/>
                        <w:right w:val="none" w:sz="0" w:space="0" w:color="auto"/>
                      </w:divBdr>
                    </w:div>
                  </w:divsChild>
                </w:div>
                <w:div w:id="131024393">
                  <w:marLeft w:val="0"/>
                  <w:marRight w:val="0"/>
                  <w:marTop w:val="0"/>
                  <w:marBottom w:val="0"/>
                  <w:divBdr>
                    <w:top w:val="none" w:sz="0" w:space="0" w:color="auto"/>
                    <w:left w:val="none" w:sz="0" w:space="0" w:color="auto"/>
                    <w:bottom w:val="none" w:sz="0" w:space="0" w:color="auto"/>
                    <w:right w:val="none" w:sz="0" w:space="0" w:color="auto"/>
                  </w:divBdr>
                  <w:divsChild>
                    <w:div w:id="1809740872">
                      <w:marLeft w:val="0"/>
                      <w:marRight w:val="0"/>
                      <w:marTop w:val="0"/>
                      <w:marBottom w:val="0"/>
                      <w:divBdr>
                        <w:top w:val="none" w:sz="0" w:space="0" w:color="auto"/>
                        <w:left w:val="none" w:sz="0" w:space="0" w:color="auto"/>
                        <w:bottom w:val="none" w:sz="0" w:space="0" w:color="auto"/>
                        <w:right w:val="none" w:sz="0" w:space="0" w:color="auto"/>
                      </w:divBdr>
                    </w:div>
                  </w:divsChild>
                </w:div>
                <w:div w:id="150026597">
                  <w:marLeft w:val="0"/>
                  <w:marRight w:val="0"/>
                  <w:marTop w:val="0"/>
                  <w:marBottom w:val="0"/>
                  <w:divBdr>
                    <w:top w:val="none" w:sz="0" w:space="0" w:color="auto"/>
                    <w:left w:val="none" w:sz="0" w:space="0" w:color="auto"/>
                    <w:bottom w:val="none" w:sz="0" w:space="0" w:color="auto"/>
                    <w:right w:val="none" w:sz="0" w:space="0" w:color="auto"/>
                  </w:divBdr>
                  <w:divsChild>
                    <w:div w:id="542792153">
                      <w:marLeft w:val="0"/>
                      <w:marRight w:val="0"/>
                      <w:marTop w:val="0"/>
                      <w:marBottom w:val="0"/>
                      <w:divBdr>
                        <w:top w:val="none" w:sz="0" w:space="0" w:color="auto"/>
                        <w:left w:val="none" w:sz="0" w:space="0" w:color="auto"/>
                        <w:bottom w:val="none" w:sz="0" w:space="0" w:color="auto"/>
                        <w:right w:val="none" w:sz="0" w:space="0" w:color="auto"/>
                      </w:divBdr>
                    </w:div>
                  </w:divsChild>
                </w:div>
                <w:div w:id="186529009">
                  <w:marLeft w:val="0"/>
                  <w:marRight w:val="0"/>
                  <w:marTop w:val="0"/>
                  <w:marBottom w:val="0"/>
                  <w:divBdr>
                    <w:top w:val="none" w:sz="0" w:space="0" w:color="auto"/>
                    <w:left w:val="none" w:sz="0" w:space="0" w:color="auto"/>
                    <w:bottom w:val="none" w:sz="0" w:space="0" w:color="auto"/>
                    <w:right w:val="none" w:sz="0" w:space="0" w:color="auto"/>
                  </w:divBdr>
                  <w:divsChild>
                    <w:div w:id="251403817">
                      <w:marLeft w:val="0"/>
                      <w:marRight w:val="0"/>
                      <w:marTop w:val="0"/>
                      <w:marBottom w:val="0"/>
                      <w:divBdr>
                        <w:top w:val="none" w:sz="0" w:space="0" w:color="auto"/>
                        <w:left w:val="none" w:sz="0" w:space="0" w:color="auto"/>
                        <w:bottom w:val="none" w:sz="0" w:space="0" w:color="auto"/>
                        <w:right w:val="none" w:sz="0" w:space="0" w:color="auto"/>
                      </w:divBdr>
                    </w:div>
                  </w:divsChild>
                </w:div>
                <w:div w:id="199510917">
                  <w:marLeft w:val="0"/>
                  <w:marRight w:val="0"/>
                  <w:marTop w:val="0"/>
                  <w:marBottom w:val="0"/>
                  <w:divBdr>
                    <w:top w:val="none" w:sz="0" w:space="0" w:color="auto"/>
                    <w:left w:val="none" w:sz="0" w:space="0" w:color="auto"/>
                    <w:bottom w:val="none" w:sz="0" w:space="0" w:color="auto"/>
                    <w:right w:val="none" w:sz="0" w:space="0" w:color="auto"/>
                  </w:divBdr>
                  <w:divsChild>
                    <w:div w:id="71659381">
                      <w:marLeft w:val="0"/>
                      <w:marRight w:val="0"/>
                      <w:marTop w:val="0"/>
                      <w:marBottom w:val="0"/>
                      <w:divBdr>
                        <w:top w:val="none" w:sz="0" w:space="0" w:color="auto"/>
                        <w:left w:val="none" w:sz="0" w:space="0" w:color="auto"/>
                        <w:bottom w:val="none" w:sz="0" w:space="0" w:color="auto"/>
                        <w:right w:val="none" w:sz="0" w:space="0" w:color="auto"/>
                      </w:divBdr>
                    </w:div>
                  </w:divsChild>
                </w:div>
                <w:div w:id="221600154">
                  <w:marLeft w:val="0"/>
                  <w:marRight w:val="0"/>
                  <w:marTop w:val="0"/>
                  <w:marBottom w:val="0"/>
                  <w:divBdr>
                    <w:top w:val="none" w:sz="0" w:space="0" w:color="auto"/>
                    <w:left w:val="none" w:sz="0" w:space="0" w:color="auto"/>
                    <w:bottom w:val="none" w:sz="0" w:space="0" w:color="auto"/>
                    <w:right w:val="none" w:sz="0" w:space="0" w:color="auto"/>
                  </w:divBdr>
                  <w:divsChild>
                    <w:div w:id="1928155636">
                      <w:marLeft w:val="0"/>
                      <w:marRight w:val="0"/>
                      <w:marTop w:val="0"/>
                      <w:marBottom w:val="0"/>
                      <w:divBdr>
                        <w:top w:val="none" w:sz="0" w:space="0" w:color="auto"/>
                        <w:left w:val="none" w:sz="0" w:space="0" w:color="auto"/>
                        <w:bottom w:val="none" w:sz="0" w:space="0" w:color="auto"/>
                        <w:right w:val="none" w:sz="0" w:space="0" w:color="auto"/>
                      </w:divBdr>
                    </w:div>
                  </w:divsChild>
                </w:div>
                <w:div w:id="252326171">
                  <w:marLeft w:val="0"/>
                  <w:marRight w:val="0"/>
                  <w:marTop w:val="0"/>
                  <w:marBottom w:val="0"/>
                  <w:divBdr>
                    <w:top w:val="none" w:sz="0" w:space="0" w:color="auto"/>
                    <w:left w:val="none" w:sz="0" w:space="0" w:color="auto"/>
                    <w:bottom w:val="none" w:sz="0" w:space="0" w:color="auto"/>
                    <w:right w:val="none" w:sz="0" w:space="0" w:color="auto"/>
                  </w:divBdr>
                  <w:divsChild>
                    <w:div w:id="591278037">
                      <w:marLeft w:val="0"/>
                      <w:marRight w:val="0"/>
                      <w:marTop w:val="0"/>
                      <w:marBottom w:val="0"/>
                      <w:divBdr>
                        <w:top w:val="none" w:sz="0" w:space="0" w:color="auto"/>
                        <w:left w:val="none" w:sz="0" w:space="0" w:color="auto"/>
                        <w:bottom w:val="none" w:sz="0" w:space="0" w:color="auto"/>
                        <w:right w:val="none" w:sz="0" w:space="0" w:color="auto"/>
                      </w:divBdr>
                    </w:div>
                  </w:divsChild>
                </w:div>
                <w:div w:id="302347205">
                  <w:marLeft w:val="0"/>
                  <w:marRight w:val="0"/>
                  <w:marTop w:val="0"/>
                  <w:marBottom w:val="0"/>
                  <w:divBdr>
                    <w:top w:val="none" w:sz="0" w:space="0" w:color="auto"/>
                    <w:left w:val="none" w:sz="0" w:space="0" w:color="auto"/>
                    <w:bottom w:val="none" w:sz="0" w:space="0" w:color="auto"/>
                    <w:right w:val="none" w:sz="0" w:space="0" w:color="auto"/>
                  </w:divBdr>
                  <w:divsChild>
                    <w:div w:id="1296907739">
                      <w:marLeft w:val="0"/>
                      <w:marRight w:val="0"/>
                      <w:marTop w:val="0"/>
                      <w:marBottom w:val="0"/>
                      <w:divBdr>
                        <w:top w:val="none" w:sz="0" w:space="0" w:color="auto"/>
                        <w:left w:val="none" w:sz="0" w:space="0" w:color="auto"/>
                        <w:bottom w:val="none" w:sz="0" w:space="0" w:color="auto"/>
                        <w:right w:val="none" w:sz="0" w:space="0" w:color="auto"/>
                      </w:divBdr>
                    </w:div>
                  </w:divsChild>
                </w:div>
                <w:div w:id="313219684">
                  <w:marLeft w:val="0"/>
                  <w:marRight w:val="0"/>
                  <w:marTop w:val="0"/>
                  <w:marBottom w:val="0"/>
                  <w:divBdr>
                    <w:top w:val="none" w:sz="0" w:space="0" w:color="auto"/>
                    <w:left w:val="none" w:sz="0" w:space="0" w:color="auto"/>
                    <w:bottom w:val="none" w:sz="0" w:space="0" w:color="auto"/>
                    <w:right w:val="none" w:sz="0" w:space="0" w:color="auto"/>
                  </w:divBdr>
                  <w:divsChild>
                    <w:div w:id="1237087647">
                      <w:marLeft w:val="0"/>
                      <w:marRight w:val="0"/>
                      <w:marTop w:val="0"/>
                      <w:marBottom w:val="0"/>
                      <w:divBdr>
                        <w:top w:val="none" w:sz="0" w:space="0" w:color="auto"/>
                        <w:left w:val="none" w:sz="0" w:space="0" w:color="auto"/>
                        <w:bottom w:val="none" w:sz="0" w:space="0" w:color="auto"/>
                        <w:right w:val="none" w:sz="0" w:space="0" w:color="auto"/>
                      </w:divBdr>
                    </w:div>
                  </w:divsChild>
                </w:div>
                <w:div w:id="315770836">
                  <w:marLeft w:val="0"/>
                  <w:marRight w:val="0"/>
                  <w:marTop w:val="0"/>
                  <w:marBottom w:val="0"/>
                  <w:divBdr>
                    <w:top w:val="none" w:sz="0" w:space="0" w:color="auto"/>
                    <w:left w:val="none" w:sz="0" w:space="0" w:color="auto"/>
                    <w:bottom w:val="none" w:sz="0" w:space="0" w:color="auto"/>
                    <w:right w:val="none" w:sz="0" w:space="0" w:color="auto"/>
                  </w:divBdr>
                  <w:divsChild>
                    <w:div w:id="1518302053">
                      <w:marLeft w:val="0"/>
                      <w:marRight w:val="0"/>
                      <w:marTop w:val="0"/>
                      <w:marBottom w:val="0"/>
                      <w:divBdr>
                        <w:top w:val="none" w:sz="0" w:space="0" w:color="auto"/>
                        <w:left w:val="none" w:sz="0" w:space="0" w:color="auto"/>
                        <w:bottom w:val="none" w:sz="0" w:space="0" w:color="auto"/>
                        <w:right w:val="none" w:sz="0" w:space="0" w:color="auto"/>
                      </w:divBdr>
                    </w:div>
                  </w:divsChild>
                </w:div>
                <w:div w:id="344863797">
                  <w:marLeft w:val="0"/>
                  <w:marRight w:val="0"/>
                  <w:marTop w:val="0"/>
                  <w:marBottom w:val="0"/>
                  <w:divBdr>
                    <w:top w:val="none" w:sz="0" w:space="0" w:color="auto"/>
                    <w:left w:val="none" w:sz="0" w:space="0" w:color="auto"/>
                    <w:bottom w:val="none" w:sz="0" w:space="0" w:color="auto"/>
                    <w:right w:val="none" w:sz="0" w:space="0" w:color="auto"/>
                  </w:divBdr>
                  <w:divsChild>
                    <w:div w:id="220021815">
                      <w:marLeft w:val="0"/>
                      <w:marRight w:val="0"/>
                      <w:marTop w:val="0"/>
                      <w:marBottom w:val="0"/>
                      <w:divBdr>
                        <w:top w:val="none" w:sz="0" w:space="0" w:color="auto"/>
                        <w:left w:val="none" w:sz="0" w:space="0" w:color="auto"/>
                        <w:bottom w:val="none" w:sz="0" w:space="0" w:color="auto"/>
                        <w:right w:val="none" w:sz="0" w:space="0" w:color="auto"/>
                      </w:divBdr>
                    </w:div>
                  </w:divsChild>
                </w:div>
                <w:div w:id="414519677">
                  <w:marLeft w:val="0"/>
                  <w:marRight w:val="0"/>
                  <w:marTop w:val="0"/>
                  <w:marBottom w:val="0"/>
                  <w:divBdr>
                    <w:top w:val="none" w:sz="0" w:space="0" w:color="auto"/>
                    <w:left w:val="none" w:sz="0" w:space="0" w:color="auto"/>
                    <w:bottom w:val="none" w:sz="0" w:space="0" w:color="auto"/>
                    <w:right w:val="none" w:sz="0" w:space="0" w:color="auto"/>
                  </w:divBdr>
                  <w:divsChild>
                    <w:div w:id="1324167869">
                      <w:marLeft w:val="0"/>
                      <w:marRight w:val="0"/>
                      <w:marTop w:val="0"/>
                      <w:marBottom w:val="0"/>
                      <w:divBdr>
                        <w:top w:val="none" w:sz="0" w:space="0" w:color="auto"/>
                        <w:left w:val="none" w:sz="0" w:space="0" w:color="auto"/>
                        <w:bottom w:val="none" w:sz="0" w:space="0" w:color="auto"/>
                        <w:right w:val="none" w:sz="0" w:space="0" w:color="auto"/>
                      </w:divBdr>
                    </w:div>
                  </w:divsChild>
                </w:div>
                <w:div w:id="435250907">
                  <w:marLeft w:val="0"/>
                  <w:marRight w:val="0"/>
                  <w:marTop w:val="0"/>
                  <w:marBottom w:val="0"/>
                  <w:divBdr>
                    <w:top w:val="none" w:sz="0" w:space="0" w:color="auto"/>
                    <w:left w:val="none" w:sz="0" w:space="0" w:color="auto"/>
                    <w:bottom w:val="none" w:sz="0" w:space="0" w:color="auto"/>
                    <w:right w:val="none" w:sz="0" w:space="0" w:color="auto"/>
                  </w:divBdr>
                  <w:divsChild>
                    <w:div w:id="741566405">
                      <w:marLeft w:val="0"/>
                      <w:marRight w:val="0"/>
                      <w:marTop w:val="0"/>
                      <w:marBottom w:val="0"/>
                      <w:divBdr>
                        <w:top w:val="none" w:sz="0" w:space="0" w:color="auto"/>
                        <w:left w:val="none" w:sz="0" w:space="0" w:color="auto"/>
                        <w:bottom w:val="none" w:sz="0" w:space="0" w:color="auto"/>
                        <w:right w:val="none" w:sz="0" w:space="0" w:color="auto"/>
                      </w:divBdr>
                    </w:div>
                  </w:divsChild>
                </w:div>
                <w:div w:id="449665930">
                  <w:marLeft w:val="0"/>
                  <w:marRight w:val="0"/>
                  <w:marTop w:val="0"/>
                  <w:marBottom w:val="0"/>
                  <w:divBdr>
                    <w:top w:val="none" w:sz="0" w:space="0" w:color="auto"/>
                    <w:left w:val="none" w:sz="0" w:space="0" w:color="auto"/>
                    <w:bottom w:val="none" w:sz="0" w:space="0" w:color="auto"/>
                    <w:right w:val="none" w:sz="0" w:space="0" w:color="auto"/>
                  </w:divBdr>
                  <w:divsChild>
                    <w:div w:id="1980382496">
                      <w:marLeft w:val="0"/>
                      <w:marRight w:val="0"/>
                      <w:marTop w:val="0"/>
                      <w:marBottom w:val="0"/>
                      <w:divBdr>
                        <w:top w:val="none" w:sz="0" w:space="0" w:color="auto"/>
                        <w:left w:val="none" w:sz="0" w:space="0" w:color="auto"/>
                        <w:bottom w:val="none" w:sz="0" w:space="0" w:color="auto"/>
                        <w:right w:val="none" w:sz="0" w:space="0" w:color="auto"/>
                      </w:divBdr>
                    </w:div>
                  </w:divsChild>
                </w:div>
                <w:div w:id="466163282">
                  <w:marLeft w:val="0"/>
                  <w:marRight w:val="0"/>
                  <w:marTop w:val="0"/>
                  <w:marBottom w:val="0"/>
                  <w:divBdr>
                    <w:top w:val="none" w:sz="0" w:space="0" w:color="auto"/>
                    <w:left w:val="none" w:sz="0" w:space="0" w:color="auto"/>
                    <w:bottom w:val="none" w:sz="0" w:space="0" w:color="auto"/>
                    <w:right w:val="none" w:sz="0" w:space="0" w:color="auto"/>
                  </w:divBdr>
                  <w:divsChild>
                    <w:div w:id="1610623143">
                      <w:marLeft w:val="0"/>
                      <w:marRight w:val="0"/>
                      <w:marTop w:val="0"/>
                      <w:marBottom w:val="0"/>
                      <w:divBdr>
                        <w:top w:val="none" w:sz="0" w:space="0" w:color="auto"/>
                        <w:left w:val="none" w:sz="0" w:space="0" w:color="auto"/>
                        <w:bottom w:val="none" w:sz="0" w:space="0" w:color="auto"/>
                        <w:right w:val="none" w:sz="0" w:space="0" w:color="auto"/>
                      </w:divBdr>
                    </w:div>
                  </w:divsChild>
                </w:div>
                <w:div w:id="500317830">
                  <w:marLeft w:val="0"/>
                  <w:marRight w:val="0"/>
                  <w:marTop w:val="0"/>
                  <w:marBottom w:val="0"/>
                  <w:divBdr>
                    <w:top w:val="none" w:sz="0" w:space="0" w:color="auto"/>
                    <w:left w:val="none" w:sz="0" w:space="0" w:color="auto"/>
                    <w:bottom w:val="none" w:sz="0" w:space="0" w:color="auto"/>
                    <w:right w:val="none" w:sz="0" w:space="0" w:color="auto"/>
                  </w:divBdr>
                  <w:divsChild>
                    <w:div w:id="898134999">
                      <w:marLeft w:val="0"/>
                      <w:marRight w:val="0"/>
                      <w:marTop w:val="0"/>
                      <w:marBottom w:val="0"/>
                      <w:divBdr>
                        <w:top w:val="none" w:sz="0" w:space="0" w:color="auto"/>
                        <w:left w:val="none" w:sz="0" w:space="0" w:color="auto"/>
                        <w:bottom w:val="none" w:sz="0" w:space="0" w:color="auto"/>
                        <w:right w:val="none" w:sz="0" w:space="0" w:color="auto"/>
                      </w:divBdr>
                    </w:div>
                  </w:divsChild>
                </w:div>
                <w:div w:id="558905488">
                  <w:marLeft w:val="0"/>
                  <w:marRight w:val="0"/>
                  <w:marTop w:val="0"/>
                  <w:marBottom w:val="0"/>
                  <w:divBdr>
                    <w:top w:val="none" w:sz="0" w:space="0" w:color="auto"/>
                    <w:left w:val="none" w:sz="0" w:space="0" w:color="auto"/>
                    <w:bottom w:val="none" w:sz="0" w:space="0" w:color="auto"/>
                    <w:right w:val="none" w:sz="0" w:space="0" w:color="auto"/>
                  </w:divBdr>
                  <w:divsChild>
                    <w:div w:id="373581355">
                      <w:marLeft w:val="0"/>
                      <w:marRight w:val="0"/>
                      <w:marTop w:val="0"/>
                      <w:marBottom w:val="0"/>
                      <w:divBdr>
                        <w:top w:val="none" w:sz="0" w:space="0" w:color="auto"/>
                        <w:left w:val="none" w:sz="0" w:space="0" w:color="auto"/>
                        <w:bottom w:val="none" w:sz="0" w:space="0" w:color="auto"/>
                        <w:right w:val="none" w:sz="0" w:space="0" w:color="auto"/>
                      </w:divBdr>
                    </w:div>
                  </w:divsChild>
                </w:div>
                <w:div w:id="580480968">
                  <w:marLeft w:val="0"/>
                  <w:marRight w:val="0"/>
                  <w:marTop w:val="0"/>
                  <w:marBottom w:val="0"/>
                  <w:divBdr>
                    <w:top w:val="none" w:sz="0" w:space="0" w:color="auto"/>
                    <w:left w:val="none" w:sz="0" w:space="0" w:color="auto"/>
                    <w:bottom w:val="none" w:sz="0" w:space="0" w:color="auto"/>
                    <w:right w:val="none" w:sz="0" w:space="0" w:color="auto"/>
                  </w:divBdr>
                  <w:divsChild>
                    <w:div w:id="1877311017">
                      <w:marLeft w:val="0"/>
                      <w:marRight w:val="0"/>
                      <w:marTop w:val="0"/>
                      <w:marBottom w:val="0"/>
                      <w:divBdr>
                        <w:top w:val="none" w:sz="0" w:space="0" w:color="auto"/>
                        <w:left w:val="none" w:sz="0" w:space="0" w:color="auto"/>
                        <w:bottom w:val="none" w:sz="0" w:space="0" w:color="auto"/>
                        <w:right w:val="none" w:sz="0" w:space="0" w:color="auto"/>
                      </w:divBdr>
                    </w:div>
                  </w:divsChild>
                </w:div>
                <w:div w:id="594747451">
                  <w:marLeft w:val="0"/>
                  <w:marRight w:val="0"/>
                  <w:marTop w:val="0"/>
                  <w:marBottom w:val="0"/>
                  <w:divBdr>
                    <w:top w:val="none" w:sz="0" w:space="0" w:color="auto"/>
                    <w:left w:val="none" w:sz="0" w:space="0" w:color="auto"/>
                    <w:bottom w:val="none" w:sz="0" w:space="0" w:color="auto"/>
                    <w:right w:val="none" w:sz="0" w:space="0" w:color="auto"/>
                  </w:divBdr>
                  <w:divsChild>
                    <w:div w:id="2030831634">
                      <w:marLeft w:val="0"/>
                      <w:marRight w:val="0"/>
                      <w:marTop w:val="0"/>
                      <w:marBottom w:val="0"/>
                      <w:divBdr>
                        <w:top w:val="none" w:sz="0" w:space="0" w:color="auto"/>
                        <w:left w:val="none" w:sz="0" w:space="0" w:color="auto"/>
                        <w:bottom w:val="none" w:sz="0" w:space="0" w:color="auto"/>
                        <w:right w:val="none" w:sz="0" w:space="0" w:color="auto"/>
                      </w:divBdr>
                    </w:div>
                  </w:divsChild>
                </w:div>
                <w:div w:id="646476041">
                  <w:marLeft w:val="0"/>
                  <w:marRight w:val="0"/>
                  <w:marTop w:val="0"/>
                  <w:marBottom w:val="0"/>
                  <w:divBdr>
                    <w:top w:val="none" w:sz="0" w:space="0" w:color="auto"/>
                    <w:left w:val="none" w:sz="0" w:space="0" w:color="auto"/>
                    <w:bottom w:val="none" w:sz="0" w:space="0" w:color="auto"/>
                    <w:right w:val="none" w:sz="0" w:space="0" w:color="auto"/>
                  </w:divBdr>
                  <w:divsChild>
                    <w:div w:id="1671442440">
                      <w:marLeft w:val="0"/>
                      <w:marRight w:val="0"/>
                      <w:marTop w:val="0"/>
                      <w:marBottom w:val="0"/>
                      <w:divBdr>
                        <w:top w:val="none" w:sz="0" w:space="0" w:color="auto"/>
                        <w:left w:val="none" w:sz="0" w:space="0" w:color="auto"/>
                        <w:bottom w:val="none" w:sz="0" w:space="0" w:color="auto"/>
                        <w:right w:val="none" w:sz="0" w:space="0" w:color="auto"/>
                      </w:divBdr>
                    </w:div>
                  </w:divsChild>
                </w:div>
                <w:div w:id="674310273">
                  <w:marLeft w:val="0"/>
                  <w:marRight w:val="0"/>
                  <w:marTop w:val="0"/>
                  <w:marBottom w:val="0"/>
                  <w:divBdr>
                    <w:top w:val="none" w:sz="0" w:space="0" w:color="auto"/>
                    <w:left w:val="none" w:sz="0" w:space="0" w:color="auto"/>
                    <w:bottom w:val="none" w:sz="0" w:space="0" w:color="auto"/>
                    <w:right w:val="none" w:sz="0" w:space="0" w:color="auto"/>
                  </w:divBdr>
                  <w:divsChild>
                    <w:div w:id="1739476101">
                      <w:marLeft w:val="0"/>
                      <w:marRight w:val="0"/>
                      <w:marTop w:val="0"/>
                      <w:marBottom w:val="0"/>
                      <w:divBdr>
                        <w:top w:val="none" w:sz="0" w:space="0" w:color="auto"/>
                        <w:left w:val="none" w:sz="0" w:space="0" w:color="auto"/>
                        <w:bottom w:val="none" w:sz="0" w:space="0" w:color="auto"/>
                        <w:right w:val="none" w:sz="0" w:space="0" w:color="auto"/>
                      </w:divBdr>
                    </w:div>
                  </w:divsChild>
                </w:div>
                <w:div w:id="692609005">
                  <w:marLeft w:val="0"/>
                  <w:marRight w:val="0"/>
                  <w:marTop w:val="0"/>
                  <w:marBottom w:val="0"/>
                  <w:divBdr>
                    <w:top w:val="none" w:sz="0" w:space="0" w:color="auto"/>
                    <w:left w:val="none" w:sz="0" w:space="0" w:color="auto"/>
                    <w:bottom w:val="none" w:sz="0" w:space="0" w:color="auto"/>
                    <w:right w:val="none" w:sz="0" w:space="0" w:color="auto"/>
                  </w:divBdr>
                  <w:divsChild>
                    <w:div w:id="869418080">
                      <w:marLeft w:val="0"/>
                      <w:marRight w:val="0"/>
                      <w:marTop w:val="0"/>
                      <w:marBottom w:val="0"/>
                      <w:divBdr>
                        <w:top w:val="none" w:sz="0" w:space="0" w:color="auto"/>
                        <w:left w:val="none" w:sz="0" w:space="0" w:color="auto"/>
                        <w:bottom w:val="none" w:sz="0" w:space="0" w:color="auto"/>
                        <w:right w:val="none" w:sz="0" w:space="0" w:color="auto"/>
                      </w:divBdr>
                    </w:div>
                  </w:divsChild>
                </w:div>
                <w:div w:id="701249234">
                  <w:marLeft w:val="0"/>
                  <w:marRight w:val="0"/>
                  <w:marTop w:val="0"/>
                  <w:marBottom w:val="0"/>
                  <w:divBdr>
                    <w:top w:val="none" w:sz="0" w:space="0" w:color="auto"/>
                    <w:left w:val="none" w:sz="0" w:space="0" w:color="auto"/>
                    <w:bottom w:val="none" w:sz="0" w:space="0" w:color="auto"/>
                    <w:right w:val="none" w:sz="0" w:space="0" w:color="auto"/>
                  </w:divBdr>
                  <w:divsChild>
                    <w:div w:id="179467383">
                      <w:marLeft w:val="0"/>
                      <w:marRight w:val="0"/>
                      <w:marTop w:val="0"/>
                      <w:marBottom w:val="0"/>
                      <w:divBdr>
                        <w:top w:val="none" w:sz="0" w:space="0" w:color="auto"/>
                        <w:left w:val="none" w:sz="0" w:space="0" w:color="auto"/>
                        <w:bottom w:val="none" w:sz="0" w:space="0" w:color="auto"/>
                        <w:right w:val="none" w:sz="0" w:space="0" w:color="auto"/>
                      </w:divBdr>
                    </w:div>
                  </w:divsChild>
                </w:div>
                <w:div w:id="730153185">
                  <w:marLeft w:val="0"/>
                  <w:marRight w:val="0"/>
                  <w:marTop w:val="0"/>
                  <w:marBottom w:val="0"/>
                  <w:divBdr>
                    <w:top w:val="none" w:sz="0" w:space="0" w:color="auto"/>
                    <w:left w:val="none" w:sz="0" w:space="0" w:color="auto"/>
                    <w:bottom w:val="none" w:sz="0" w:space="0" w:color="auto"/>
                    <w:right w:val="none" w:sz="0" w:space="0" w:color="auto"/>
                  </w:divBdr>
                  <w:divsChild>
                    <w:div w:id="751468230">
                      <w:marLeft w:val="0"/>
                      <w:marRight w:val="0"/>
                      <w:marTop w:val="0"/>
                      <w:marBottom w:val="0"/>
                      <w:divBdr>
                        <w:top w:val="none" w:sz="0" w:space="0" w:color="auto"/>
                        <w:left w:val="none" w:sz="0" w:space="0" w:color="auto"/>
                        <w:bottom w:val="none" w:sz="0" w:space="0" w:color="auto"/>
                        <w:right w:val="none" w:sz="0" w:space="0" w:color="auto"/>
                      </w:divBdr>
                    </w:div>
                  </w:divsChild>
                </w:div>
                <w:div w:id="747923714">
                  <w:marLeft w:val="0"/>
                  <w:marRight w:val="0"/>
                  <w:marTop w:val="0"/>
                  <w:marBottom w:val="0"/>
                  <w:divBdr>
                    <w:top w:val="none" w:sz="0" w:space="0" w:color="auto"/>
                    <w:left w:val="none" w:sz="0" w:space="0" w:color="auto"/>
                    <w:bottom w:val="none" w:sz="0" w:space="0" w:color="auto"/>
                    <w:right w:val="none" w:sz="0" w:space="0" w:color="auto"/>
                  </w:divBdr>
                  <w:divsChild>
                    <w:div w:id="632519122">
                      <w:marLeft w:val="0"/>
                      <w:marRight w:val="0"/>
                      <w:marTop w:val="0"/>
                      <w:marBottom w:val="0"/>
                      <w:divBdr>
                        <w:top w:val="none" w:sz="0" w:space="0" w:color="auto"/>
                        <w:left w:val="none" w:sz="0" w:space="0" w:color="auto"/>
                        <w:bottom w:val="none" w:sz="0" w:space="0" w:color="auto"/>
                        <w:right w:val="none" w:sz="0" w:space="0" w:color="auto"/>
                      </w:divBdr>
                    </w:div>
                  </w:divsChild>
                </w:div>
                <w:div w:id="760487829">
                  <w:marLeft w:val="0"/>
                  <w:marRight w:val="0"/>
                  <w:marTop w:val="0"/>
                  <w:marBottom w:val="0"/>
                  <w:divBdr>
                    <w:top w:val="none" w:sz="0" w:space="0" w:color="auto"/>
                    <w:left w:val="none" w:sz="0" w:space="0" w:color="auto"/>
                    <w:bottom w:val="none" w:sz="0" w:space="0" w:color="auto"/>
                    <w:right w:val="none" w:sz="0" w:space="0" w:color="auto"/>
                  </w:divBdr>
                  <w:divsChild>
                    <w:div w:id="2011712265">
                      <w:marLeft w:val="0"/>
                      <w:marRight w:val="0"/>
                      <w:marTop w:val="0"/>
                      <w:marBottom w:val="0"/>
                      <w:divBdr>
                        <w:top w:val="none" w:sz="0" w:space="0" w:color="auto"/>
                        <w:left w:val="none" w:sz="0" w:space="0" w:color="auto"/>
                        <w:bottom w:val="none" w:sz="0" w:space="0" w:color="auto"/>
                        <w:right w:val="none" w:sz="0" w:space="0" w:color="auto"/>
                      </w:divBdr>
                    </w:div>
                  </w:divsChild>
                </w:div>
                <w:div w:id="782699321">
                  <w:marLeft w:val="0"/>
                  <w:marRight w:val="0"/>
                  <w:marTop w:val="0"/>
                  <w:marBottom w:val="0"/>
                  <w:divBdr>
                    <w:top w:val="none" w:sz="0" w:space="0" w:color="auto"/>
                    <w:left w:val="none" w:sz="0" w:space="0" w:color="auto"/>
                    <w:bottom w:val="none" w:sz="0" w:space="0" w:color="auto"/>
                    <w:right w:val="none" w:sz="0" w:space="0" w:color="auto"/>
                  </w:divBdr>
                  <w:divsChild>
                    <w:div w:id="35786504">
                      <w:marLeft w:val="0"/>
                      <w:marRight w:val="0"/>
                      <w:marTop w:val="0"/>
                      <w:marBottom w:val="0"/>
                      <w:divBdr>
                        <w:top w:val="none" w:sz="0" w:space="0" w:color="auto"/>
                        <w:left w:val="none" w:sz="0" w:space="0" w:color="auto"/>
                        <w:bottom w:val="none" w:sz="0" w:space="0" w:color="auto"/>
                        <w:right w:val="none" w:sz="0" w:space="0" w:color="auto"/>
                      </w:divBdr>
                    </w:div>
                  </w:divsChild>
                </w:div>
                <w:div w:id="783187330">
                  <w:marLeft w:val="0"/>
                  <w:marRight w:val="0"/>
                  <w:marTop w:val="0"/>
                  <w:marBottom w:val="0"/>
                  <w:divBdr>
                    <w:top w:val="none" w:sz="0" w:space="0" w:color="auto"/>
                    <w:left w:val="none" w:sz="0" w:space="0" w:color="auto"/>
                    <w:bottom w:val="none" w:sz="0" w:space="0" w:color="auto"/>
                    <w:right w:val="none" w:sz="0" w:space="0" w:color="auto"/>
                  </w:divBdr>
                  <w:divsChild>
                    <w:div w:id="1749644988">
                      <w:marLeft w:val="0"/>
                      <w:marRight w:val="0"/>
                      <w:marTop w:val="0"/>
                      <w:marBottom w:val="0"/>
                      <w:divBdr>
                        <w:top w:val="none" w:sz="0" w:space="0" w:color="auto"/>
                        <w:left w:val="none" w:sz="0" w:space="0" w:color="auto"/>
                        <w:bottom w:val="none" w:sz="0" w:space="0" w:color="auto"/>
                        <w:right w:val="none" w:sz="0" w:space="0" w:color="auto"/>
                      </w:divBdr>
                    </w:div>
                  </w:divsChild>
                </w:div>
                <w:div w:id="932512317">
                  <w:marLeft w:val="0"/>
                  <w:marRight w:val="0"/>
                  <w:marTop w:val="0"/>
                  <w:marBottom w:val="0"/>
                  <w:divBdr>
                    <w:top w:val="none" w:sz="0" w:space="0" w:color="auto"/>
                    <w:left w:val="none" w:sz="0" w:space="0" w:color="auto"/>
                    <w:bottom w:val="none" w:sz="0" w:space="0" w:color="auto"/>
                    <w:right w:val="none" w:sz="0" w:space="0" w:color="auto"/>
                  </w:divBdr>
                  <w:divsChild>
                    <w:div w:id="1439760992">
                      <w:marLeft w:val="0"/>
                      <w:marRight w:val="0"/>
                      <w:marTop w:val="0"/>
                      <w:marBottom w:val="0"/>
                      <w:divBdr>
                        <w:top w:val="none" w:sz="0" w:space="0" w:color="auto"/>
                        <w:left w:val="none" w:sz="0" w:space="0" w:color="auto"/>
                        <w:bottom w:val="none" w:sz="0" w:space="0" w:color="auto"/>
                        <w:right w:val="none" w:sz="0" w:space="0" w:color="auto"/>
                      </w:divBdr>
                    </w:div>
                  </w:divsChild>
                </w:div>
                <w:div w:id="963075044">
                  <w:marLeft w:val="0"/>
                  <w:marRight w:val="0"/>
                  <w:marTop w:val="0"/>
                  <w:marBottom w:val="0"/>
                  <w:divBdr>
                    <w:top w:val="none" w:sz="0" w:space="0" w:color="auto"/>
                    <w:left w:val="none" w:sz="0" w:space="0" w:color="auto"/>
                    <w:bottom w:val="none" w:sz="0" w:space="0" w:color="auto"/>
                    <w:right w:val="none" w:sz="0" w:space="0" w:color="auto"/>
                  </w:divBdr>
                  <w:divsChild>
                    <w:div w:id="148061807">
                      <w:marLeft w:val="0"/>
                      <w:marRight w:val="0"/>
                      <w:marTop w:val="0"/>
                      <w:marBottom w:val="0"/>
                      <w:divBdr>
                        <w:top w:val="none" w:sz="0" w:space="0" w:color="auto"/>
                        <w:left w:val="none" w:sz="0" w:space="0" w:color="auto"/>
                        <w:bottom w:val="none" w:sz="0" w:space="0" w:color="auto"/>
                        <w:right w:val="none" w:sz="0" w:space="0" w:color="auto"/>
                      </w:divBdr>
                    </w:div>
                  </w:divsChild>
                </w:div>
                <w:div w:id="973367459">
                  <w:marLeft w:val="0"/>
                  <w:marRight w:val="0"/>
                  <w:marTop w:val="0"/>
                  <w:marBottom w:val="0"/>
                  <w:divBdr>
                    <w:top w:val="none" w:sz="0" w:space="0" w:color="auto"/>
                    <w:left w:val="none" w:sz="0" w:space="0" w:color="auto"/>
                    <w:bottom w:val="none" w:sz="0" w:space="0" w:color="auto"/>
                    <w:right w:val="none" w:sz="0" w:space="0" w:color="auto"/>
                  </w:divBdr>
                  <w:divsChild>
                    <w:div w:id="231627524">
                      <w:marLeft w:val="0"/>
                      <w:marRight w:val="0"/>
                      <w:marTop w:val="0"/>
                      <w:marBottom w:val="0"/>
                      <w:divBdr>
                        <w:top w:val="none" w:sz="0" w:space="0" w:color="auto"/>
                        <w:left w:val="none" w:sz="0" w:space="0" w:color="auto"/>
                        <w:bottom w:val="none" w:sz="0" w:space="0" w:color="auto"/>
                        <w:right w:val="none" w:sz="0" w:space="0" w:color="auto"/>
                      </w:divBdr>
                    </w:div>
                  </w:divsChild>
                </w:div>
                <w:div w:id="1014261942">
                  <w:marLeft w:val="0"/>
                  <w:marRight w:val="0"/>
                  <w:marTop w:val="0"/>
                  <w:marBottom w:val="0"/>
                  <w:divBdr>
                    <w:top w:val="none" w:sz="0" w:space="0" w:color="auto"/>
                    <w:left w:val="none" w:sz="0" w:space="0" w:color="auto"/>
                    <w:bottom w:val="none" w:sz="0" w:space="0" w:color="auto"/>
                    <w:right w:val="none" w:sz="0" w:space="0" w:color="auto"/>
                  </w:divBdr>
                  <w:divsChild>
                    <w:div w:id="91975539">
                      <w:marLeft w:val="0"/>
                      <w:marRight w:val="0"/>
                      <w:marTop w:val="0"/>
                      <w:marBottom w:val="0"/>
                      <w:divBdr>
                        <w:top w:val="none" w:sz="0" w:space="0" w:color="auto"/>
                        <w:left w:val="none" w:sz="0" w:space="0" w:color="auto"/>
                        <w:bottom w:val="none" w:sz="0" w:space="0" w:color="auto"/>
                        <w:right w:val="none" w:sz="0" w:space="0" w:color="auto"/>
                      </w:divBdr>
                    </w:div>
                  </w:divsChild>
                </w:div>
                <w:div w:id="1141848943">
                  <w:marLeft w:val="0"/>
                  <w:marRight w:val="0"/>
                  <w:marTop w:val="0"/>
                  <w:marBottom w:val="0"/>
                  <w:divBdr>
                    <w:top w:val="none" w:sz="0" w:space="0" w:color="auto"/>
                    <w:left w:val="none" w:sz="0" w:space="0" w:color="auto"/>
                    <w:bottom w:val="none" w:sz="0" w:space="0" w:color="auto"/>
                    <w:right w:val="none" w:sz="0" w:space="0" w:color="auto"/>
                  </w:divBdr>
                  <w:divsChild>
                    <w:div w:id="1793281802">
                      <w:marLeft w:val="0"/>
                      <w:marRight w:val="0"/>
                      <w:marTop w:val="0"/>
                      <w:marBottom w:val="0"/>
                      <w:divBdr>
                        <w:top w:val="none" w:sz="0" w:space="0" w:color="auto"/>
                        <w:left w:val="none" w:sz="0" w:space="0" w:color="auto"/>
                        <w:bottom w:val="none" w:sz="0" w:space="0" w:color="auto"/>
                        <w:right w:val="none" w:sz="0" w:space="0" w:color="auto"/>
                      </w:divBdr>
                    </w:div>
                  </w:divsChild>
                </w:div>
                <w:div w:id="1215432568">
                  <w:marLeft w:val="0"/>
                  <w:marRight w:val="0"/>
                  <w:marTop w:val="0"/>
                  <w:marBottom w:val="0"/>
                  <w:divBdr>
                    <w:top w:val="none" w:sz="0" w:space="0" w:color="auto"/>
                    <w:left w:val="none" w:sz="0" w:space="0" w:color="auto"/>
                    <w:bottom w:val="none" w:sz="0" w:space="0" w:color="auto"/>
                    <w:right w:val="none" w:sz="0" w:space="0" w:color="auto"/>
                  </w:divBdr>
                  <w:divsChild>
                    <w:div w:id="1029993495">
                      <w:marLeft w:val="0"/>
                      <w:marRight w:val="0"/>
                      <w:marTop w:val="0"/>
                      <w:marBottom w:val="0"/>
                      <w:divBdr>
                        <w:top w:val="none" w:sz="0" w:space="0" w:color="auto"/>
                        <w:left w:val="none" w:sz="0" w:space="0" w:color="auto"/>
                        <w:bottom w:val="none" w:sz="0" w:space="0" w:color="auto"/>
                        <w:right w:val="none" w:sz="0" w:space="0" w:color="auto"/>
                      </w:divBdr>
                    </w:div>
                  </w:divsChild>
                </w:div>
                <w:div w:id="1251498889">
                  <w:marLeft w:val="0"/>
                  <w:marRight w:val="0"/>
                  <w:marTop w:val="0"/>
                  <w:marBottom w:val="0"/>
                  <w:divBdr>
                    <w:top w:val="none" w:sz="0" w:space="0" w:color="auto"/>
                    <w:left w:val="none" w:sz="0" w:space="0" w:color="auto"/>
                    <w:bottom w:val="none" w:sz="0" w:space="0" w:color="auto"/>
                    <w:right w:val="none" w:sz="0" w:space="0" w:color="auto"/>
                  </w:divBdr>
                  <w:divsChild>
                    <w:div w:id="341854679">
                      <w:marLeft w:val="0"/>
                      <w:marRight w:val="0"/>
                      <w:marTop w:val="0"/>
                      <w:marBottom w:val="0"/>
                      <w:divBdr>
                        <w:top w:val="none" w:sz="0" w:space="0" w:color="auto"/>
                        <w:left w:val="none" w:sz="0" w:space="0" w:color="auto"/>
                        <w:bottom w:val="none" w:sz="0" w:space="0" w:color="auto"/>
                        <w:right w:val="none" w:sz="0" w:space="0" w:color="auto"/>
                      </w:divBdr>
                    </w:div>
                  </w:divsChild>
                </w:div>
                <w:div w:id="1303581685">
                  <w:marLeft w:val="0"/>
                  <w:marRight w:val="0"/>
                  <w:marTop w:val="0"/>
                  <w:marBottom w:val="0"/>
                  <w:divBdr>
                    <w:top w:val="none" w:sz="0" w:space="0" w:color="auto"/>
                    <w:left w:val="none" w:sz="0" w:space="0" w:color="auto"/>
                    <w:bottom w:val="none" w:sz="0" w:space="0" w:color="auto"/>
                    <w:right w:val="none" w:sz="0" w:space="0" w:color="auto"/>
                  </w:divBdr>
                  <w:divsChild>
                    <w:div w:id="1966738368">
                      <w:marLeft w:val="0"/>
                      <w:marRight w:val="0"/>
                      <w:marTop w:val="0"/>
                      <w:marBottom w:val="0"/>
                      <w:divBdr>
                        <w:top w:val="none" w:sz="0" w:space="0" w:color="auto"/>
                        <w:left w:val="none" w:sz="0" w:space="0" w:color="auto"/>
                        <w:bottom w:val="none" w:sz="0" w:space="0" w:color="auto"/>
                        <w:right w:val="none" w:sz="0" w:space="0" w:color="auto"/>
                      </w:divBdr>
                    </w:div>
                  </w:divsChild>
                </w:div>
                <w:div w:id="1412702664">
                  <w:marLeft w:val="0"/>
                  <w:marRight w:val="0"/>
                  <w:marTop w:val="0"/>
                  <w:marBottom w:val="0"/>
                  <w:divBdr>
                    <w:top w:val="none" w:sz="0" w:space="0" w:color="auto"/>
                    <w:left w:val="none" w:sz="0" w:space="0" w:color="auto"/>
                    <w:bottom w:val="none" w:sz="0" w:space="0" w:color="auto"/>
                    <w:right w:val="none" w:sz="0" w:space="0" w:color="auto"/>
                  </w:divBdr>
                  <w:divsChild>
                    <w:div w:id="1489446370">
                      <w:marLeft w:val="0"/>
                      <w:marRight w:val="0"/>
                      <w:marTop w:val="0"/>
                      <w:marBottom w:val="0"/>
                      <w:divBdr>
                        <w:top w:val="none" w:sz="0" w:space="0" w:color="auto"/>
                        <w:left w:val="none" w:sz="0" w:space="0" w:color="auto"/>
                        <w:bottom w:val="none" w:sz="0" w:space="0" w:color="auto"/>
                        <w:right w:val="none" w:sz="0" w:space="0" w:color="auto"/>
                      </w:divBdr>
                    </w:div>
                  </w:divsChild>
                </w:div>
                <w:div w:id="1622807222">
                  <w:marLeft w:val="0"/>
                  <w:marRight w:val="0"/>
                  <w:marTop w:val="0"/>
                  <w:marBottom w:val="0"/>
                  <w:divBdr>
                    <w:top w:val="none" w:sz="0" w:space="0" w:color="auto"/>
                    <w:left w:val="none" w:sz="0" w:space="0" w:color="auto"/>
                    <w:bottom w:val="none" w:sz="0" w:space="0" w:color="auto"/>
                    <w:right w:val="none" w:sz="0" w:space="0" w:color="auto"/>
                  </w:divBdr>
                  <w:divsChild>
                    <w:div w:id="1851796075">
                      <w:marLeft w:val="0"/>
                      <w:marRight w:val="0"/>
                      <w:marTop w:val="0"/>
                      <w:marBottom w:val="0"/>
                      <w:divBdr>
                        <w:top w:val="none" w:sz="0" w:space="0" w:color="auto"/>
                        <w:left w:val="none" w:sz="0" w:space="0" w:color="auto"/>
                        <w:bottom w:val="none" w:sz="0" w:space="0" w:color="auto"/>
                        <w:right w:val="none" w:sz="0" w:space="0" w:color="auto"/>
                      </w:divBdr>
                    </w:div>
                  </w:divsChild>
                </w:div>
                <w:div w:id="1629898901">
                  <w:marLeft w:val="0"/>
                  <w:marRight w:val="0"/>
                  <w:marTop w:val="0"/>
                  <w:marBottom w:val="0"/>
                  <w:divBdr>
                    <w:top w:val="none" w:sz="0" w:space="0" w:color="auto"/>
                    <w:left w:val="none" w:sz="0" w:space="0" w:color="auto"/>
                    <w:bottom w:val="none" w:sz="0" w:space="0" w:color="auto"/>
                    <w:right w:val="none" w:sz="0" w:space="0" w:color="auto"/>
                  </w:divBdr>
                  <w:divsChild>
                    <w:div w:id="863982197">
                      <w:marLeft w:val="0"/>
                      <w:marRight w:val="0"/>
                      <w:marTop w:val="0"/>
                      <w:marBottom w:val="0"/>
                      <w:divBdr>
                        <w:top w:val="none" w:sz="0" w:space="0" w:color="auto"/>
                        <w:left w:val="none" w:sz="0" w:space="0" w:color="auto"/>
                        <w:bottom w:val="none" w:sz="0" w:space="0" w:color="auto"/>
                        <w:right w:val="none" w:sz="0" w:space="0" w:color="auto"/>
                      </w:divBdr>
                    </w:div>
                  </w:divsChild>
                </w:div>
                <w:div w:id="1640305371">
                  <w:marLeft w:val="0"/>
                  <w:marRight w:val="0"/>
                  <w:marTop w:val="0"/>
                  <w:marBottom w:val="0"/>
                  <w:divBdr>
                    <w:top w:val="none" w:sz="0" w:space="0" w:color="auto"/>
                    <w:left w:val="none" w:sz="0" w:space="0" w:color="auto"/>
                    <w:bottom w:val="none" w:sz="0" w:space="0" w:color="auto"/>
                    <w:right w:val="none" w:sz="0" w:space="0" w:color="auto"/>
                  </w:divBdr>
                  <w:divsChild>
                    <w:div w:id="923958276">
                      <w:marLeft w:val="0"/>
                      <w:marRight w:val="0"/>
                      <w:marTop w:val="0"/>
                      <w:marBottom w:val="0"/>
                      <w:divBdr>
                        <w:top w:val="none" w:sz="0" w:space="0" w:color="auto"/>
                        <w:left w:val="none" w:sz="0" w:space="0" w:color="auto"/>
                        <w:bottom w:val="none" w:sz="0" w:space="0" w:color="auto"/>
                        <w:right w:val="none" w:sz="0" w:space="0" w:color="auto"/>
                      </w:divBdr>
                    </w:div>
                  </w:divsChild>
                </w:div>
                <w:div w:id="1660382313">
                  <w:marLeft w:val="0"/>
                  <w:marRight w:val="0"/>
                  <w:marTop w:val="0"/>
                  <w:marBottom w:val="0"/>
                  <w:divBdr>
                    <w:top w:val="none" w:sz="0" w:space="0" w:color="auto"/>
                    <w:left w:val="none" w:sz="0" w:space="0" w:color="auto"/>
                    <w:bottom w:val="none" w:sz="0" w:space="0" w:color="auto"/>
                    <w:right w:val="none" w:sz="0" w:space="0" w:color="auto"/>
                  </w:divBdr>
                  <w:divsChild>
                    <w:div w:id="945189281">
                      <w:marLeft w:val="0"/>
                      <w:marRight w:val="0"/>
                      <w:marTop w:val="0"/>
                      <w:marBottom w:val="0"/>
                      <w:divBdr>
                        <w:top w:val="none" w:sz="0" w:space="0" w:color="auto"/>
                        <w:left w:val="none" w:sz="0" w:space="0" w:color="auto"/>
                        <w:bottom w:val="none" w:sz="0" w:space="0" w:color="auto"/>
                        <w:right w:val="none" w:sz="0" w:space="0" w:color="auto"/>
                      </w:divBdr>
                    </w:div>
                  </w:divsChild>
                </w:div>
                <w:div w:id="1686663421">
                  <w:marLeft w:val="0"/>
                  <w:marRight w:val="0"/>
                  <w:marTop w:val="0"/>
                  <w:marBottom w:val="0"/>
                  <w:divBdr>
                    <w:top w:val="none" w:sz="0" w:space="0" w:color="auto"/>
                    <w:left w:val="none" w:sz="0" w:space="0" w:color="auto"/>
                    <w:bottom w:val="none" w:sz="0" w:space="0" w:color="auto"/>
                    <w:right w:val="none" w:sz="0" w:space="0" w:color="auto"/>
                  </w:divBdr>
                  <w:divsChild>
                    <w:div w:id="327830399">
                      <w:marLeft w:val="0"/>
                      <w:marRight w:val="0"/>
                      <w:marTop w:val="0"/>
                      <w:marBottom w:val="0"/>
                      <w:divBdr>
                        <w:top w:val="none" w:sz="0" w:space="0" w:color="auto"/>
                        <w:left w:val="none" w:sz="0" w:space="0" w:color="auto"/>
                        <w:bottom w:val="none" w:sz="0" w:space="0" w:color="auto"/>
                        <w:right w:val="none" w:sz="0" w:space="0" w:color="auto"/>
                      </w:divBdr>
                    </w:div>
                  </w:divsChild>
                </w:div>
                <w:div w:id="1767264924">
                  <w:marLeft w:val="0"/>
                  <w:marRight w:val="0"/>
                  <w:marTop w:val="0"/>
                  <w:marBottom w:val="0"/>
                  <w:divBdr>
                    <w:top w:val="none" w:sz="0" w:space="0" w:color="auto"/>
                    <w:left w:val="none" w:sz="0" w:space="0" w:color="auto"/>
                    <w:bottom w:val="none" w:sz="0" w:space="0" w:color="auto"/>
                    <w:right w:val="none" w:sz="0" w:space="0" w:color="auto"/>
                  </w:divBdr>
                  <w:divsChild>
                    <w:div w:id="1617172751">
                      <w:marLeft w:val="0"/>
                      <w:marRight w:val="0"/>
                      <w:marTop w:val="0"/>
                      <w:marBottom w:val="0"/>
                      <w:divBdr>
                        <w:top w:val="none" w:sz="0" w:space="0" w:color="auto"/>
                        <w:left w:val="none" w:sz="0" w:space="0" w:color="auto"/>
                        <w:bottom w:val="none" w:sz="0" w:space="0" w:color="auto"/>
                        <w:right w:val="none" w:sz="0" w:space="0" w:color="auto"/>
                      </w:divBdr>
                    </w:div>
                  </w:divsChild>
                </w:div>
                <w:div w:id="1834376482">
                  <w:marLeft w:val="0"/>
                  <w:marRight w:val="0"/>
                  <w:marTop w:val="0"/>
                  <w:marBottom w:val="0"/>
                  <w:divBdr>
                    <w:top w:val="none" w:sz="0" w:space="0" w:color="auto"/>
                    <w:left w:val="none" w:sz="0" w:space="0" w:color="auto"/>
                    <w:bottom w:val="none" w:sz="0" w:space="0" w:color="auto"/>
                    <w:right w:val="none" w:sz="0" w:space="0" w:color="auto"/>
                  </w:divBdr>
                  <w:divsChild>
                    <w:div w:id="501049734">
                      <w:marLeft w:val="0"/>
                      <w:marRight w:val="0"/>
                      <w:marTop w:val="0"/>
                      <w:marBottom w:val="0"/>
                      <w:divBdr>
                        <w:top w:val="none" w:sz="0" w:space="0" w:color="auto"/>
                        <w:left w:val="none" w:sz="0" w:space="0" w:color="auto"/>
                        <w:bottom w:val="none" w:sz="0" w:space="0" w:color="auto"/>
                        <w:right w:val="none" w:sz="0" w:space="0" w:color="auto"/>
                      </w:divBdr>
                    </w:div>
                  </w:divsChild>
                </w:div>
                <w:div w:id="1898592321">
                  <w:marLeft w:val="0"/>
                  <w:marRight w:val="0"/>
                  <w:marTop w:val="0"/>
                  <w:marBottom w:val="0"/>
                  <w:divBdr>
                    <w:top w:val="none" w:sz="0" w:space="0" w:color="auto"/>
                    <w:left w:val="none" w:sz="0" w:space="0" w:color="auto"/>
                    <w:bottom w:val="none" w:sz="0" w:space="0" w:color="auto"/>
                    <w:right w:val="none" w:sz="0" w:space="0" w:color="auto"/>
                  </w:divBdr>
                  <w:divsChild>
                    <w:div w:id="1420254394">
                      <w:marLeft w:val="0"/>
                      <w:marRight w:val="0"/>
                      <w:marTop w:val="0"/>
                      <w:marBottom w:val="0"/>
                      <w:divBdr>
                        <w:top w:val="none" w:sz="0" w:space="0" w:color="auto"/>
                        <w:left w:val="none" w:sz="0" w:space="0" w:color="auto"/>
                        <w:bottom w:val="none" w:sz="0" w:space="0" w:color="auto"/>
                        <w:right w:val="none" w:sz="0" w:space="0" w:color="auto"/>
                      </w:divBdr>
                    </w:div>
                  </w:divsChild>
                </w:div>
                <w:div w:id="1912959867">
                  <w:marLeft w:val="0"/>
                  <w:marRight w:val="0"/>
                  <w:marTop w:val="0"/>
                  <w:marBottom w:val="0"/>
                  <w:divBdr>
                    <w:top w:val="none" w:sz="0" w:space="0" w:color="auto"/>
                    <w:left w:val="none" w:sz="0" w:space="0" w:color="auto"/>
                    <w:bottom w:val="none" w:sz="0" w:space="0" w:color="auto"/>
                    <w:right w:val="none" w:sz="0" w:space="0" w:color="auto"/>
                  </w:divBdr>
                  <w:divsChild>
                    <w:div w:id="294337750">
                      <w:marLeft w:val="0"/>
                      <w:marRight w:val="0"/>
                      <w:marTop w:val="0"/>
                      <w:marBottom w:val="0"/>
                      <w:divBdr>
                        <w:top w:val="none" w:sz="0" w:space="0" w:color="auto"/>
                        <w:left w:val="none" w:sz="0" w:space="0" w:color="auto"/>
                        <w:bottom w:val="none" w:sz="0" w:space="0" w:color="auto"/>
                        <w:right w:val="none" w:sz="0" w:space="0" w:color="auto"/>
                      </w:divBdr>
                    </w:div>
                  </w:divsChild>
                </w:div>
                <w:div w:id="1919754181">
                  <w:marLeft w:val="0"/>
                  <w:marRight w:val="0"/>
                  <w:marTop w:val="0"/>
                  <w:marBottom w:val="0"/>
                  <w:divBdr>
                    <w:top w:val="none" w:sz="0" w:space="0" w:color="auto"/>
                    <w:left w:val="none" w:sz="0" w:space="0" w:color="auto"/>
                    <w:bottom w:val="none" w:sz="0" w:space="0" w:color="auto"/>
                    <w:right w:val="none" w:sz="0" w:space="0" w:color="auto"/>
                  </w:divBdr>
                  <w:divsChild>
                    <w:div w:id="1201477677">
                      <w:marLeft w:val="0"/>
                      <w:marRight w:val="0"/>
                      <w:marTop w:val="0"/>
                      <w:marBottom w:val="0"/>
                      <w:divBdr>
                        <w:top w:val="none" w:sz="0" w:space="0" w:color="auto"/>
                        <w:left w:val="none" w:sz="0" w:space="0" w:color="auto"/>
                        <w:bottom w:val="none" w:sz="0" w:space="0" w:color="auto"/>
                        <w:right w:val="none" w:sz="0" w:space="0" w:color="auto"/>
                      </w:divBdr>
                    </w:div>
                  </w:divsChild>
                </w:div>
                <w:div w:id="1968389501">
                  <w:marLeft w:val="0"/>
                  <w:marRight w:val="0"/>
                  <w:marTop w:val="0"/>
                  <w:marBottom w:val="0"/>
                  <w:divBdr>
                    <w:top w:val="none" w:sz="0" w:space="0" w:color="auto"/>
                    <w:left w:val="none" w:sz="0" w:space="0" w:color="auto"/>
                    <w:bottom w:val="none" w:sz="0" w:space="0" w:color="auto"/>
                    <w:right w:val="none" w:sz="0" w:space="0" w:color="auto"/>
                  </w:divBdr>
                  <w:divsChild>
                    <w:div w:id="779879704">
                      <w:marLeft w:val="0"/>
                      <w:marRight w:val="0"/>
                      <w:marTop w:val="0"/>
                      <w:marBottom w:val="0"/>
                      <w:divBdr>
                        <w:top w:val="none" w:sz="0" w:space="0" w:color="auto"/>
                        <w:left w:val="none" w:sz="0" w:space="0" w:color="auto"/>
                        <w:bottom w:val="none" w:sz="0" w:space="0" w:color="auto"/>
                        <w:right w:val="none" w:sz="0" w:space="0" w:color="auto"/>
                      </w:divBdr>
                    </w:div>
                  </w:divsChild>
                </w:div>
                <w:div w:id="2002270642">
                  <w:marLeft w:val="0"/>
                  <w:marRight w:val="0"/>
                  <w:marTop w:val="0"/>
                  <w:marBottom w:val="0"/>
                  <w:divBdr>
                    <w:top w:val="none" w:sz="0" w:space="0" w:color="auto"/>
                    <w:left w:val="none" w:sz="0" w:space="0" w:color="auto"/>
                    <w:bottom w:val="none" w:sz="0" w:space="0" w:color="auto"/>
                    <w:right w:val="none" w:sz="0" w:space="0" w:color="auto"/>
                  </w:divBdr>
                  <w:divsChild>
                    <w:div w:id="2118596301">
                      <w:marLeft w:val="0"/>
                      <w:marRight w:val="0"/>
                      <w:marTop w:val="0"/>
                      <w:marBottom w:val="0"/>
                      <w:divBdr>
                        <w:top w:val="none" w:sz="0" w:space="0" w:color="auto"/>
                        <w:left w:val="none" w:sz="0" w:space="0" w:color="auto"/>
                        <w:bottom w:val="none" w:sz="0" w:space="0" w:color="auto"/>
                        <w:right w:val="none" w:sz="0" w:space="0" w:color="auto"/>
                      </w:divBdr>
                    </w:div>
                  </w:divsChild>
                </w:div>
                <w:div w:id="2022004228">
                  <w:marLeft w:val="0"/>
                  <w:marRight w:val="0"/>
                  <w:marTop w:val="0"/>
                  <w:marBottom w:val="0"/>
                  <w:divBdr>
                    <w:top w:val="none" w:sz="0" w:space="0" w:color="auto"/>
                    <w:left w:val="none" w:sz="0" w:space="0" w:color="auto"/>
                    <w:bottom w:val="none" w:sz="0" w:space="0" w:color="auto"/>
                    <w:right w:val="none" w:sz="0" w:space="0" w:color="auto"/>
                  </w:divBdr>
                  <w:divsChild>
                    <w:div w:id="597494000">
                      <w:marLeft w:val="0"/>
                      <w:marRight w:val="0"/>
                      <w:marTop w:val="0"/>
                      <w:marBottom w:val="0"/>
                      <w:divBdr>
                        <w:top w:val="none" w:sz="0" w:space="0" w:color="auto"/>
                        <w:left w:val="none" w:sz="0" w:space="0" w:color="auto"/>
                        <w:bottom w:val="none" w:sz="0" w:space="0" w:color="auto"/>
                        <w:right w:val="none" w:sz="0" w:space="0" w:color="auto"/>
                      </w:divBdr>
                    </w:div>
                  </w:divsChild>
                </w:div>
                <w:div w:id="2022928543">
                  <w:marLeft w:val="0"/>
                  <w:marRight w:val="0"/>
                  <w:marTop w:val="0"/>
                  <w:marBottom w:val="0"/>
                  <w:divBdr>
                    <w:top w:val="none" w:sz="0" w:space="0" w:color="auto"/>
                    <w:left w:val="none" w:sz="0" w:space="0" w:color="auto"/>
                    <w:bottom w:val="none" w:sz="0" w:space="0" w:color="auto"/>
                    <w:right w:val="none" w:sz="0" w:space="0" w:color="auto"/>
                  </w:divBdr>
                  <w:divsChild>
                    <w:div w:id="1945724154">
                      <w:marLeft w:val="0"/>
                      <w:marRight w:val="0"/>
                      <w:marTop w:val="0"/>
                      <w:marBottom w:val="0"/>
                      <w:divBdr>
                        <w:top w:val="none" w:sz="0" w:space="0" w:color="auto"/>
                        <w:left w:val="none" w:sz="0" w:space="0" w:color="auto"/>
                        <w:bottom w:val="none" w:sz="0" w:space="0" w:color="auto"/>
                        <w:right w:val="none" w:sz="0" w:space="0" w:color="auto"/>
                      </w:divBdr>
                    </w:div>
                  </w:divsChild>
                </w:div>
                <w:div w:id="2057578556">
                  <w:marLeft w:val="0"/>
                  <w:marRight w:val="0"/>
                  <w:marTop w:val="0"/>
                  <w:marBottom w:val="0"/>
                  <w:divBdr>
                    <w:top w:val="none" w:sz="0" w:space="0" w:color="auto"/>
                    <w:left w:val="none" w:sz="0" w:space="0" w:color="auto"/>
                    <w:bottom w:val="none" w:sz="0" w:space="0" w:color="auto"/>
                    <w:right w:val="none" w:sz="0" w:space="0" w:color="auto"/>
                  </w:divBdr>
                  <w:divsChild>
                    <w:div w:id="2027444477">
                      <w:marLeft w:val="0"/>
                      <w:marRight w:val="0"/>
                      <w:marTop w:val="0"/>
                      <w:marBottom w:val="0"/>
                      <w:divBdr>
                        <w:top w:val="none" w:sz="0" w:space="0" w:color="auto"/>
                        <w:left w:val="none" w:sz="0" w:space="0" w:color="auto"/>
                        <w:bottom w:val="none" w:sz="0" w:space="0" w:color="auto"/>
                        <w:right w:val="none" w:sz="0" w:space="0" w:color="auto"/>
                      </w:divBdr>
                    </w:div>
                  </w:divsChild>
                </w:div>
                <w:div w:id="2103454424">
                  <w:marLeft w:val="0"/>
                  <w:marRight w:val="0"/>
                  <w:marTop w:val="0"/>
                  <w:marBottom w:val="0"/>
                  <w:divBdr>
                    <w:top w:val="none" w:sz="0" w:space="0" w:color="auto"/>
                    <w:left w:val="none" w:sz="0" w:space="0" w:color="auto"/>
                    <w:bottom w:val="none" w:sz="0" w:space="0" w:color="auto"/>
                    <w:right w:val="none" w:sz="0" w:space="0" w:color="auto"/>
                  </w:divBdr>
                  <w:divsChild>
                    <w:div w:id="1715277428">
                      <w:marLeft w:val="0"/>
                      <w:marRight w:val="0"/>
                      <w:marTop w:val="0"/>
                      <w:marBottom w:val="0"/>
                      <w:divBdr>
                        <w:top w:val="none" w:sz="0" w:space="0" w:color="auto"/>
                        <w:left w:val="none" w:sz="0" w:space="0" w:color="auto"/>
                        <w:bottom w:val="none" w:sz="0" w:space="0" w:color="auto"/>
                        <w:right w:val="none" w:sz="0" w:space="0" w:color="auto"/>
                      </w:divBdr>
                    </w:div>
                  </w:divsChild>
                </w:div>
                <w:div w:id="2105684892">
                  <w:marLeft w:val="0"/>
                  <w:marRight w:val="0"/>
                  <w:marTop w:val="0"/>
                  <w:marBottom w:val="0"/>
                  <w:divBdr>
                    <w:top w:val="none" w:sz="0" w:space="0" w:color="auto"/>
                    <w:left w:val="none" w:sz="0" w:space="0" w:color="auto"/>
                    <w:bottom w:val="none" w:sz="0" w:space="0" w:color="auto"/>
                    <w:right w:val="none" w:sz="0" w:space="0" w:color="auto"/>
                  </w:divBdr>
                  <w:divsChild>
                    <w:div w:id="1539244599">
                      <w:marLeft w:val="0"/>
                      <w:marRight w:val="0"/>
                      <w:marTop w:val="0"/>
                      <w:marBottom w:val="0"/>
                      <w:divBdr>
                        <w:top w:val="none" w:sz="0" w:space="0" w:color="auto"/>
                        <w:left w:val="none" w:sz="0" w:space="0" w:color="auto"/>
                        <w:bottom w:val="none" w:sz="0" w:space="0" w:color="auto"/>
                        <w:right w:val="none" w:sz="0" w:space="0" w:color="auto"/>
                      </w:divBdr>
                    </w:div>
                  </w:divsChild>
                </w:div>
                <w:div w:id="2136635962">
                  <w:marLeft w:val="0"/>
                  <w:marRight w:val="0"/>
                  <w:marTop w:val="0"/>
                  <w:marBottom w:val="0"/>
                  <w:divBdr>
                    <w:top w:val="none" w:sz="0" w:space="0" w:color="auto"/>
                    <w:left w:val="none" w:sz="0" w:space="0" w:color="auto"/>
                    <w:bottom w:val="none" w:sz="0" w:space="0" w:color="auto"/>
                    <w:right w:val="none" w:sz="0" w:space="0" w:color="auto"/>
                  </w:divBdr>
                  <w:divsChild>
                    <w:div w:id="206467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93382">
          <w:marLeft w:val="0"/>
          <w:marRight w:val="0"/>
          <w:marTop w:val="0"/>
          <w:marBottom w:val="0"/>
          <w:divBdr>
            <w:top w:val="none" w:sz="0" w:space="0" w:color="auto"/>
            <w:left w:val="none" w:sz="0" w:space="0" w:color="auto"/>
            <w:bottom w:val="none" w:sz="0" w:space="0" w:color="auto"/>
            <w:right w:val="none" w:sz="0" w:space="0" w:color="auto"/>
          </w:divBdr>
        </w:div>
        <w:div w:id="1811628716">
          <w:marLeft w:val="0"/>
          <w:marRight w:val="0"/>
          <w:marTop w:val="0"/>
          <w:marBottom w:val="0"/>
          <w:divBdr>
            <w:top w:val="none" w:sz="0" w:space="0" w:color="auto"/>
            <w:left w:val="none" w:sz="0" w:space="0" w:color="auto"/>
            <w:bottom w:val="none" w:sz="0" w:space="0" w:color="auto"/>
            <w:right w:val="none" w:sz="0" w:space="0" w:color="auto"/>
          </w:divBdr>
          <w:divsChild>
            <w:div w:id="416442712">
              <w:marLeft w:val="0"/>
              <w:marRight w:val="0"/>
              <w:marTop w:val="0"/>
              <w:marBottom w:val="0"/>
              <w:divBdr>
                <w:top w:val="none" w:sz="0" w:space="0" w:color="auto"/>
                <w:left w:val="none" w:sz="0" w:space="0" w:color="auto"/>
                <w:bottom w:val="none" w:sz="0" w:space="0" w:color="auto"/>
                <w:right w:val="none" w:sz="0" w:space="0" w:color="auto"/>
              </w:divBdr>
            </w:div>
            <w:div w:id="530463324">
              <w:marLeft w:val="0"/>
              <w:marRight w:val="0"/>
              <w:marTop w:val="0"/>
              <w:marBottom w:val="0"/>
              <w:divBdr>
                <w:top w:val="none" w:sz="0" w:space="0" w:color="auto"/>
                <w:left w:val="none" w:sz="0" w:space="0" w:color="auto"/>
                <w:bottom w:val="none" w:sz="0" w:space="0" w:color="auto"/>
                <w:right w:val="none" w:sz="0" w:space="0" w:color="auto"/>
              </w:divBdr>
            </w:div>
            <w:div w:id="578828317">
              <w:marLeft w:val="0"/>
              <w:marRight w:val="0"/>
              <w:marTop w:val="0"/>
              <w:marBottom w:val="0"/>
              <w:divBdr>
                <w:top w:val="none" w:sz="0" w:space="0" w:color="auto"/>
                <w:left w:val="none" w:sz="0" w:space="0" w:color="auto"/>
                <w:bottom w:val="none" w:sz="0" w:space="0" w:color="auto"/>
                <w:right w:val="none" w:sz="0" w:space="0" w:color="auto"/>
              </w:divBdr>
            </w:div>
            <w:div w:id="658116149">
              <w:marLeft w:val="0"/>
              <w:marRight w:val="0"/>
              <w:marTop w:val="0"/>
              <w:marBottom w:val="0"/>
              <w:divBdr>
                <w:top w:val="none" w:sz="0" w:space="0" w:color="auto"/>
                <w:left w:val="none" w:sz="0" w:space="0" w:color="auto"/>
                <w:bottom w:val="none" w:sz="0" w:space="0" w:color="auto"/>
                <w:right w:val="none" w:sz="0" w:space="0" w:color="auto"/>
              </w:divBdr>
            </w:div>
            <w:div w:id="917785568">
              <w:marLeft w:val="0"/>
              <w:marRight w:val="0"/>
              <w:marTop w:val="0"/>
              <w:marBottom w:val="0"/>
              <w:divBdr>
                <w:top w:val="none" w:sz="0" w:space="0" w:color="auto"/>
                <w:left w:val="none" w:sz="0" w:space="0" w:color="auto"/>
                <w:bottom w:val="none" w:sz="0" w:space="0" w:color="auto"/>
                <w:right w:val="none" w:sz="0" w:space="0" w:color="auto"/>
              </w:divBdr>
            </w:div>
            <w:div w:id="1664091833">
              <w:marLeft w:val="0"/>
              <w:marRight w:val="0"/>
              <w:marTop w:val="0"/>
              <w:marBottom w:val="0"/>
              <w:divBdr>
                <w:top w:val="none" w:sz="0" w:space="0" w:color="auto"/>
                <w:left w:val="none" w:sz="0" w:space="0" w:color="auto"/>
                <w:bottom w:val="none" w:sz="0" w:space="0" w:color="auto"/>
                <w:right w:val="none" w:sz="0" w:space="0" w:color="auto"/>
              </w:divBdr>
            </w:div>
            <w:div w:id="1669090974">
              <w:marLeft w:val="0"/>
              <w:marRight w:val="0"/>
              <w:marTop w:val="0"/>
              <w:marBottom w:val="0"/>
              <w:divBdr>
                <w:top w:val="none" w:sz="0" w:space="0" w:color="auto"/>
                <w:left w:val="none" w:sz="0" w:space="0" w:color="auto"/>
                <w:bottom w:val="none" w:sz="0" w:space="0" w:color="auto"/>
                <w:right w:val="none" w:sz="0" w:space="0" w:color="auto"/>
              </w:divBdr>
            </w:div>
            <w:div w:id="1671642856">
              <w:marLeft w:val="0"/>
              <w:marRight w:val="0"/>
              <w:marTop w:val="0"/>
              <w:marBottom w:val="0"/>
              <w:divBdr>
                <w:top w:val="none" w:sz="0" w:space="0" w:color="auto"/>
                <w:left w:val="none" w:sz="0" w:space="0" w:color="auto"/>
                <w:bottom w:val="none" w:sz="0" w:space="0" w:color="auto"/>
                <w:right w:val="none" w:sz="0" w:space="0" w:color="auto"/>
              </w:divBdr>
            </w:div>
          </w:divsChild>
        </w:div>
        <w:div w:id="1813937372">
          <w:marLeft w:val="0"/>
          <w:marRight w:val="0"/>
          <w:marTop w:val="0"/>
          <w:marBottom w:val="0"/>
          <w:divBdr>
            <w:top w:val="none" w:sz="0" w:space="0" w:color="auto"/>
            <w:left w:val="none" w:sz="0" w:space="0" w:color="auto"/>
            <w:bottom w:val="none" w:sz="0" w:space="0" w:color="auto"/>
            <w:right w:val="none" w:sz="0" w:space="0" w:color="auto"/>
          </w:divBdr>
          <w:divsChild>
            <w:div w:id="9991860">
              <w:marLeft w:val="0"/>
              <w:marRight w:val="0"/>
              <w:marTop w:val="0"/>
              <w:marBottom w:val="0"/>
              <w:divBdr>
                <w:top w:val="none" w:sz="0" w:space="0" w:color="auto"/>
                <w:left w:val="none" w:sz="0" w:space="0" w:color="auto"/>
                <w:bottom w:val="none" w:sz="0" w:space="0" w:color="auto"/>
                <w:right w:val="none" w:sz="0" w:space="0" w:color="auto"/>
              </w:divBdr>
            </w:div>
            <w:div w:id="27410864">
              <w:marLeft w:val="0"/>
              <w:marRight w:val="0"/>
              <w:marTop w:val="0"/>
              <w:marBottom w:val="0"/>
              <w:divBdr>
                <w:top w:val="none" w:sz="0" w:space="0" w:color="auto"/>
                <w:left w:val="none" w:sz="0" w:space="0" w:color="auto"/>
                <w:bottom w:val="none" w:sz="0" w:space="0" w:color="auto"/>
                <w:right w:val="none" w:sz="0" w:space="0" w:color="auto"/>
              </w:divBdr>
            </w:div>
            <w:div w:id="100028059">
              <w:marLeft w:val="0"/>
              <w:marRight w:val="0"/>
              <w:marTop w:val="0"/>
              <w:marBottom w:val="0"/>
              <w:divBdr>
                <w:top w:val="none" w:sz="0" w:space="0" w:color="auto"/>
                <w:left w:val="none" w:sz="0" w:space="0" w:color="auto"/>
                <w:bottom w:val="none" w:sz="0" w:space="0" w:color="auto"/>
                <w:right w:val="none" w:sz="0" w:space="0" w:color="auto"/>
              </w:divBdr>
            </w:div>
            <w:div w:id="193930803">
              <w:marLeft w:val="0"/>
              <w:marRight w:val="0"/>
              <w:marTop w:val="0"/>
              <w:marBottom w:val="0"/>
              <w:divBdr>
                <w:top w:val="none" w:sz="0" w:space="0" w:color="auto"/>
                <w:left w:val="none" w:sz="0" w:space="0" w:color="auto"/>
                <w:bottom w:val="none" w:sz="0" w:space="0" w:color="auto"/>
                <w:right w:val="none" w:sz="0" w:space="0" w:color="auto"/>
              </w:divBdr>
            </w:div>
            <w:div w:id="271867722">
              <w:marLeft w:val="0"/>
              <w:marRight w:val="0"/>
              <w:marTop w:val="0"/>
              <w:marBottom w:val="0"/>
              <w:divBdr>
                <w:top w:val="none" w:sz="0" w:space="0" w:color="auto"/>
                <w:left w:val="none" w:sz="0" w:space="0" w:color="auto"/>
                <w:bottom w:val="none" w:sz="0" w:space="0" w:color="auto"/>
                <w:right w:val="none" w:sz="0" w:space="0" w:color="auto"/>
              </w:divBdr>
            </w:div>
            <w:div w:id="360059135">
              <w:marLeft w:val="0"/>
              <w:marRight w:val="0"/>
              <w:marTop w:val="0"/>
              <w:marBottom w:val="0"/>
              <w:divBdr>
                <w:top w:val="none" w:sz="0" w:space="0" w:color="auto"/>
                <w:left w:val="none" w:sz="0" w:space="0" w:color="auto"/>
                <w:bottom w:val="none" w:sz="0" w:space="0" w:color="auto"/>
                <w:right w:val="none" w:sz="0" w:space="0" w:color="auto"/>
              </w:divBdr>
            </w:div>
            <w:div w:id="384260498">
              <w:marLeft w:val="0"/>
              <w:marRight w:val="0"/>
              <w:marTop w:val="0"/>
              <w:marBottom w:val="0"/>
              <w:divBdr>
                <w:top w:val="none" w:sz="0" w:space="0" w:color="auto"/>
                <w:left w:val="none" w:sz="0" w:space="0" w:color="auto"/>
                <w:bottom w:val="none" w:sz="0" w:space="0" w:color="auto"/>
                <w:right w:val="none" w:sz="0" w:space="0" w:color="auto"/>
              </w:divBdr>
            </w:div>
            <w:div w:id="581331159">
              <w:marLeft w:val="0"/>
              <w:marRight w:val="0"/>
              <w:marTop w:val="0"/>
              <w:marBottom w:val="0"/>
              <w:divBdr>
                <w:top w:val="none" w:sz="0" w:space="0" w:color="auto"/>
                <w:left w:val="none" w:sz="0" w:space="0" w:color="auto"/>
                <w:bottom w:val="none" w:sz="0" w:space="0" w:color="auto"/>
                <w:right w:val="none" w:sz="0" w:space="0" w:color="auto"/>
              </w:divBdr>
            </w:div>
            <w:div w:id="728922809">
              <w:marLeft w:val="0"/>
              <w:marRight w:val="0"/>
              <w:marTop w:val="0"/>
              <w:marBottom w:val="0"/>
              <w:divBdr>
                <w:top w:val="none" w:sz="0" w:space="0" w:color="auto"/>
                <w:left w:val="none" w:sz="0" w:space="0" w:color="auto"/>
                <w:bottom w:val="none" w:sz="0" w:space="0" w:color="auto"/>
                <w:right w:val="none" w:sz="0" w:space="0" w:color="auto"/>
              </w:divBdr>
            </w:div>
            <w:div w:id="849179230">
              <w:marLeft w:val="0"/>
              <w:marRight w:val="0"/>
              <w:marTop w:val="0"/>
              <w:marBottom w:val="0"/>
              <w:divBdr>
                <w:top w:val="none" w:sz="0" w:space="0" w:color="auto"/>
                <w:left w:val="none" w:sz="0" w:space="0" w:color="auto"/>
                <w:bottom w:val="none" w:sz="0" w:space="0" w:color="auto"/>
                <w:right w:val="none" w:sz="0" w:space="0" w:color="auto"/>
              </w:divBdr>
            </w:div>
            <w:div w:id="903487643">
              <w:marLeft w:val="0"/>
              <w:marRight w:val="0"/>
              <w:marTop w:val="0"/>
              <w:marBottom w:val="0"/>
              <w:divBdr>
                <w:top w:val="none" w:sz="0" w:space="0" w:color="auto"/>
                <w:left w:val="none" w:sz="0" w:space="0" w:color="auto"/>
                <w:bottom w:val="none" w:sz="0" w:space="0" w:color="auto"/>
                <w:right w:val="none" w:sz="0" w:space="0" w:color="auto"/>
              </w:divBdr>
            </w:div>
            <w:div w:id="1313832027">
              <w:marLeft w:val="0"/>
              <w:marRight w:val="0"/>
              <w:marTop w:val="0"/>
              <w:marBottom w:val="0"/>
              <w:divBdr>
                <w:top w:val="none" w:sz="0" w:space="0" w:color="auto"/>
                <w:left w:val="none" w:sz="0" w:space="0" w:color="auto"/>
                <w:bottom w:val="none" w:sz="0" w:space="0" w:color="auto"/>
                <w:right w:val="none" w:sz="0" w:space="0" w:color="auto"/>
              </w:divBdr>
            </w:div>
            <w:div w:id="1423337099">
              <w:marLeft w:val="0"/>
              <w:marRight w:val="0"/>
              <w:marTop w:val="0"/>
              <w:marBottom w:val="0"/>
              <w:divBdr>
                <w:top w:val="none" w:sz="0" w:space="0" w:color="auto"/>
                <w:left w:val="none" w:sz="0" w:space="0" w:color="auto"/>
                <w:bottom w:val="none" w:sz="0" w:space="0" w:color="auto"/>
                <w:right w:val="none" w:sz="0" w:space="0" w:color="auto"/>
              </w:divBdr>
            </w:div>
            <w:div w:id="2084913500">
              <w:marLeft w:val="0"/>
              <w:marRight w:val="0"/>
              <w:marTop w:val="0"/>
              <w:marBottom w:val="0"/>
              <w:divBdr>
                <w:top w:val="none" w:sz="0" w:space="0" w:color="auto"/>
                <w:left w:val="none" w:sz="0" w:space="0" w:color="auto"/>
                <w:bottom w:val="none" w:sz="0" w:space="0" w:color="auto"/>
                <w:right w:val="none" w:sz="0" w:space="0" w:color="auto"/>
              </w:divBdr>
            </w:div>
            <w:div w:id="2122068274">
              <w:marLeft w:val="0"/>
              <w:marRight w:val="0"/>
              <w:marTop w:val="0"/>
              <w:marBottom w:val="0"/>
              <w:divBdr>
                <w:top w:val="none" w:sz="0" w:space="0" w:color="auto"/>
                <w:left w:val="none" w:sz="0" w:space="0" w:color="auto"/>
                <w:bottom w:val="none" w:sz="0" w:space="0" w:color="auto"/>
                <w:right w:val="none" w:sz="0" w:space="0" w:color="auto"/>
              </w:divBdr>
            </w:div>
          </w:divsChild>
        </w:div>
        <w:div w:id="1861893736">
          <w:marLeft w:val="0"/>
          <w:marRight w:val="0"/>
          <w:marTop w:val="0"/>
          <w:marBottom w:val="0"/>
          <w:divBdr>
            <w:top w:val="none" w:sz="0" w:space="0" w:color="auto"/>
            <w:left w:val="none" w:sz="0" w:space="0" w:color="auto"/>
            <w:bottom w:val="none" w:sz="0" w:space="0" w:color="auto"/>
            <w:right w:val="none" w:sz="0" w:space="0" w:color="auto"/>
          </w:divBdr>
        </w:div>
        <w:div w:id="1877353137">
          <w:marLeft w:val="0"/>
          <w:marRight w:val="0"/>
          <w:marTop w:val="0"/>
          <w:marBottom w:val="0"/>
          <w:divBdr>
            <w:top w:val="none" w:sz="0" w:space="0" w:color="auto"/>
            <w:left w:val="none" w:sz="0" w:space="0" w:color="auto"/>
            <w:bottom w:val="none" w:sz="0" w:space="0" w:color="auto"/>
            <w:right w:val="none" w:sz="0" w:space="0" w:color="auto"/>
          </w:divBdr>
          <w:divsChild>
            <w:div w:id="119881873">
              <w:marLeft w:val="0"/>
              <w:marRight w:val="0"/>
              <w:marTop w:val="0"/>
              <w:marBottom w:val="0"/>
              <w:divBdr>
                <w:top w:val="none" w:sz="0" w:space="0" w:color="auto"/>
                <w:left w:val="none" w:sz="0" w:space="0" w:color="auto"/>
                <w:bottom w:val="none" w:sz="0" w:space="0" w:color="auto"/>
                <w:right w:val="none" w:sz="0" w:space="0" w:color="auto"/>
              </w:divBdr>
            </w:div>
            <w:div w:id="333145584">
              <w:marLeft w:val="0"/>
              <w:marRight w:val="0"/>
              <w:marTop w:val="0"/>
              <w:marBottom w:val="0"/>
              <w:divBdr>
                <w:top w:val="none" w:sz="0" w:space="0" w:color="auto"/>
                <w:left w:val="none" w:sz="0" w:space="0" w:color="auto"/>
                <w:bottom w:val="none" w:sz="0" w:space="0" w:color="auto"/>
                <w:right w:val="none" w:sz="0" w:space="0" w:color="auto"/>
              </w:divBdr>
            </w:div>
            <w:div w:id="362051671">
              <w:marLeft w:val="0"/>
              <w:marRight w:val="0"/>
              <w:marTop w:val="0"/>
              <w:marBottom w:val="0"/>
              <w:divBdr>
                <w:top w:val="none" w:sz="0" w:space="0" w:color="auto"/>
                <w:left w:val="none" w:sz="0" w:space="0" w:color="auto"/>
                <w:bottom w:val="none" w:sz="0" w:space="0" w:color="auto"/>
                <w:right w:val="none" w:sz="0" w:space="0" w:color="auto"/>
              </w:divBdr>
            </w:div>
            <w:div w:id="486674685">
              <w:marLeft w:val="0"/>
              <w:marRight w:val="0"/>
              <w:marTop w:val="0"/>
              <w:marBottom w:val="0"/>
              <w:divBdr>
                <w:top w:val="none" w:sz="0" w:space="0" w:color="auto"/>
                <w:left w:val="none" w:sz="0" w:space="0" w:color="auto"/>
                <w:bottom w:val="none" w:sz="0" w:space="0" w:color="auto"/>
                <w:right w:val="none" w:sz="0" w:space="0" w:color="auto"/>
              </w:divBdr>
            </w:div>
            <w:div w:id="555360938">
              <w:marLeft w:val="0"/>
              <w:marRight w:val="0"/>
              <w:marTop w:val="0"/>
              <w:marBottom w:val="0"/>
              <w:divBdr>
                <w:top w:val="none" w:sz="0" w:space="0" w:color="auto"/>
                <w:left w:val="none" w:sz="0" w:space="0" w:color="auto"/>
                <w:bottom w:val="none" w:sz="0" w:space="0" w:color="auto"/>
                <w:right w:val="none" w:sz="0" w:space="0" w:color="auto"/>
              </w:divBdr>
            </w:div>
            <w:div w:id="918710156">
              <w:marLeft w:val="0"/>
              <w:marRight w:val="0"/>
              <w:marTop w:val="0"/>
              <w:marBottom w:val="0"/>
              <w:divBdr>
                <w:top w:val="none" w:sz="0" w:space="0" w:color="auto"/>
                <w:left w:val="none" w:sz="0" w:space="0" w:color="auto"/>
                <w:bottom w:val="none" w:sz="0" w:space="0" w:color="auto"/>
                <w:right w:val="none" w:sz="0" w:space="0" w:color="auto"/>
              </w:divBdr>
            </w:div>
            <w:div w:id="974602630">
              <w:marLeft w:val="0"/>
              <w:marRight w:val="0"/>
              <w:marTop w:val="0"/>
              <w:marBottom w:val="0"/>
              <w:divBdr>
                <w:top w:val="none" w:sz="0" w:space="0" w:color="auto"/>
                <w:left w:val="none" w:sz="0" w:space="0" w:color="auto"/>
                <w:bottom w:val="none" w:sz="0" w:space="0" w:color="auto"/>
                <w:right w:val="none" w:sz="0" w:space="0" w:color="auto"/>
              </w:divBdr>
            </w:div>
            <w:div w:id="988099265">
              <w:marLeft w:val="0"/>
              <w:marRight w:val="0"/>
              <w:marTop w:val="0"/>
              <w:marBottom w:val="0"/>
              <w:divBdr>
                <w:top w:val="none" w:sz="0" w:space="0" w:color="auto"/>
                <w:left w:val="none" w:sz="0" w:space="0" w:color="auto"/>
                <w:bottom w:val="none" w:sz="0" w:space="0" w:color="auto"/>
                <w:right w:val="none" w:sz="0" w:space="0" w:color="auto"/>
              </w:divBdr>
            </w:div>
            <w:div w:id="1047997493">
              <w:marLeft w:val="0"/>
              <w:marRight w:val="0"/>
              <w:marTop w:val="0"/>
              <w:marBottom w:val="0"/>
              <w:divBdr>
                <w:top w:val="none" w:sz="0" w:space="0" w:color="auto"/>
                <w:left w:val="none" w:sz="0" w:space="0" w:color="auto"/>
                <w:bottom w:val="none" w:sz="0" w:space="0" w:color="auto"/>
                <w:right w:val="none" w:sz="0" w:space="0" w:color="auto"/>
              </w:divBdr>
            </w:div>
            <w:div w:id="1148284057">
              <w:marLeft w:val="0"/>
              <w:marRight w:val="0"/>
              <w:marTop w:val="0"/>
              <w:marBottom w:val="0"/>
              <w:divBdr>
                <w:top w:val="none" w:sz="0" w:space="0" w:color="auto"/>
                <w:left w:val="none" w:sz="0" w:space="0" w:color="auto"/>
                <w:bottom w:val="none" w:sz="0" w:space="0" w:color="auto"/>
                <w:right w:val="none" w:sz="0" w:space="0" w:color="auto"/>
              </w:divBdr>
            </w:div>
            <w:div w:id="1168638749">
              <w:marLeft w:val="0"/>
              <w:marRight w:val="0"/>
              <w:marTop w:val="0"/>
              <w:marBottom w:val="0"/>
              <w:divBdr>
                <w:top w:val="none" w:sz="0" w:space="0" w:color="auto"/>
                <w:left w:val="none" w:sz="0" w:space="0" w:color="auto"/>
                <w:bottom w:val="none" w:sz="0" w:space="0" w:color="auto"/>
                <w:right w:val="none" w:sz="0" w:space="0" w:color="auto"/>
              </w:divBdr>
            </w:div>
            <w:div w:id="1254899304">
              <w:marLeft w:val="0"/>
              <w:marRight w:val="0"/>
              <w:marTop w:val="0"/>
              <w:marBottom w:val="0"/>
              <w:divBdr>
                <w:top w:val="none" w:sz="0" w:space="0" w:color="auto"/>
                <w:left w:val="none" w:sz="0" w:space="0" w:color="auto"/>
                <w:bottom w:val="none" w:sz="0" w:space="0" w:color="auto"/>
                <w:right w:val="none" w:sz="0" w:space="0" w:color="auto"/>
              </w:divBdr>
            </w:div>
            <w:div w:id="1382287893">
              <w:marLeft w:val="0"/>
              <w:marRight w:val="0"/>
              <w:marTop w:val="0"/>
              <w:marBottom w:val="0"/>
              <w:divBdr>
                <w:top w:val="none" w:sz="0" w:space="0" w:color="auto"/>
                <w:left w:val="none" w:sz="0" w:space="0" w:color="auto"/>
                <w:bottom w:val="none" w:sz="0" w:space="0" w:color="auto"/>
                <w:right w:val="none" w:sz="0" w:space="0" w:color="auto"/>
              </w:divBdr>
            </w:div>
            <w:div w:id="1410928344">
              <w:marLeft w:val="0"/>
              <w:marRight w:val="0"/>
              <w:marTop w:val="0"/>
              <w:marBottom w:val="0"/>
              <w:divBdr>
                <w:top w:val="none" w:sz="0" w:space="0" w:color="auto"/>
                <w:left w:val="none" w:sz="0" w:space="0" w:color="auto"/>
                <w:bottom w:val="none" w:sz="0" w:space="0" w:color="auto"/>
                <w:right w:val="none" w:sz="0" w:space="0" w:color="auto"/>
              </w:divBdr>
            </w:div>
            <w:div w:id="1507984224">
              <w:marLeft w:val="0"/>
              <w:marRight w:val="0"/>
              <w:marTop w:val="0"/>
              <w:marBottom w:val="0"/>
              <w:divBdr>
                <w:top w:val="none" w:sz="0" w:space="0" w:color="auto"/>
                <w:left w:val="none" w:sz="0" w:space="0" w:color="auto"/>
                <w:bottom w:val="none" w:sz="0" w:space="0" w:color="auto"/>
                <w:right w:val="none" w:sz="0" w:space="0" w:color="auto"/>
              </w:divBdr>
            </w:div>
            <w:div w:id="1674333017">
              <w:marLeft w:val="0"/>
              <w:marRight w:val="0"/>
              <w:marTop w:val="0"/>
              <w:marBottom w:val="0"/>
              <w:divBdr>
                <w:top w:val="none" w:sz="0" w:space="0" w:color="auto"/>
                <w:left w:val="none" w:sz="0" w:space="0" w:color="auto"/>
                <w:bottom w:val="none" w:sz="0" w:space="0" w:color="auto"/>
                <w:right w:val="none" w:sz="0" w:space="0" w:color="auto"/>
              </w:divBdr>
            </w:div>
            <w:div w:id="1886406297">
              <w:marLeft w:val="0"/>
              <w:marRight w:val="0"/>
              <w:marTop w:val="0"/>
              <w:marBottom w:val="0"/>
              <w:divBdr>
                <w:top w:val="none" w:sz="0" w:space="0" w:color="auto"/>
                <w:left w:val="none" w:sz="0" w:space="0" w:color="auto"/>
                <w:bottom w:val="none" w:sz="0" w:space="0" w:color="auto"/>
                <w:right w:val="none" w:sz="0" w:space="0" w:color="auto"/>
              </w:divBdr>
            </w:div>
            <w:div w:id="1896965865">
              <w:marLeft w:val="0"/>
              <w:marRight w:val="0"/>
              <w:marTop w:val="0"/>
              <w:marBottom w:val="0"/>
              <w:divBdr>
                <w:top w:val="none" w:sz="0" w:space="0" w:color="auto"/>
                <w:left w:val="none" w:sz="0" w:space="0" w:color="auto"/>
                <w:bottom w:val="none" w:sz="0" w:space="0" w:color="auto"/>
                <w:right w:val="none" w:sz="0" w:space="0" w:color="auto"/>
              </w:divBdr>
            </w:div>
            <w:div w:id="2112704048">
              <w:marLeft w:val="0"/>
              <w:marRight w:val="0"/>
              <w:marTop w:val="0"/>
              <w:marBottom w:val="0"/>
              <w:divBdr>
                <w:top w:val="none" w:sz="0" w:space="0" w:color="auto"/>
                <w:left w:val="none" w:sz="0" w:space="0" w:color="auto"/>
                <w:bottom w:val="none" w:sz="0" w:space="0" w:color="auto"/>
                <w:right w:val="none" w:sz="0" w:space="0" w:color="auto"/>
              </w:divBdr>
            </w:div>
            <w:div w:id="2129083457">
              <w:marLeft w:val="0"/>
              <w:marRight w:val="0"/>
              <w:marTop w:val="0"/>
              <w:marBottom w:val="0"/>
              <w:divBdr>
                <w:top w:val="none" w:sz="0" w:space="0" w:color="auto"/>
                <w:left w:val="none" w:sz="0" w:space="0" w:color="auto"/>
                <w:bottom w:val="none" w:sz="0" w:space="0" w:color="auto"/>
                <w:right w:val="none" w:sz="0" w:space="0" w:color="auto"/>
              </w:divBdr>
            </w:div>
          </w:divsChild>
        </w:div>
        <w:div w:id="1999504582">
          <w:marLeft w:val="0"/>
          <w:marRight w:val="0"/>
          <w:marTop w:val="0"/>
          <w:marBottom w:val="0"/>
          <w:divBdr>
            <w:top w:val="none" w:sz="0" w:space="0" w:color="auto"/>
            <w:left w:val="none" w:sz="0" w:space="0" w:color="auto"/>
            <w:bottom w:val="none" w:sz="0" w:space="0" w:color="auto"/>
            <w:right w:val="none" w:sz="0" w:space="0" w:color="auto"/>
          </w:divBdr>
        </w:div>
        <w:div w:id="2003578287">
          <w:marLeft w:val="0"/>
          <w:marRight w:val="0"/>
          <w:marTop w:val="0"/>
          <w:marBottom w:val="0"/>
          <w:divBdr>
            <w:top w:val="none" w:sz="0" w:space="0" w:color="auto"/>
            <w:left w:val="none" w:sz="0" w:space="0" w:color="auto"/>
            <w:bottom w:val="none" w:sz="0" w:space="0" w:color="auto"/>
            <w:right w:val="none" w:sz="0" w:space="0" w:color="auto"/>
          </w:divBdr>
        </w:div>
        <w:div w:id="2133278045">
          <w:marLeft w:val="0"/>
          <w:marRight w:val="0"/>
          <w:marTop w:val="0"/>
          <w:marBottom w:val="0"/>
          <w:divBdr>
            <w:top w:val="none" w:sz="0" w:space="0" w:color="auto"/>
            <w:left w:val="none" w:sz="0" w:space="0" w:color="auto"/>
            <w:bottom w:val="none" w:sz="0" w:space="0" w:color="auto"/>
            <w:right w:val="none" w:sz="0" w:space="0" w:color="auto"/>
          </w:divBdr>
        </w:div>
      </w:divsChild>
    </w:div>
    <w:div w:id="363481908">
      <w:bodyDiv w:val="1"/>
      <w:marLeft w:val="0"/>
      <w:marRight w:val="0"/>
      <w:marTop w:val="0"/>
      <w:marBottom w:val="0"/>
      <w:divBdr>
        <w:top w:val="none" w:sz="0" w:space="0" w:color="auto"/>
        <w:left w:val="none" w:sz="0" w:space="0" w:color="auto"/>
        <w:bottom w:val="none" w:sz="0" w:space="0" w:color="auto"/>
        <w:right w:val="none" w:sz="0" w:space="0" w:color="auto"/>
      </w:divBdr>
      <w:divsChild>
        <w:div w:id="1512504">
          <w:marLeft w:val="0"/>
          <w:marRight w:val="0"/>
          <w:marTop w:val="0"/>
          <w:marBottom w:val="0"/>
          <w:divBdr>
            <w:top w:val="none" w:sz="0" w:space="0" w:color="auto"/>
            <w:left w:val="none" w:sz="0" w:space="0" w:color="auto"/>
            <w:bottom w:val="none" w:sz="0" w:space="0" w:color="auto"/>
            <w:right w:val="none" w:sz="0" w:space="0" w:color="auto"/>
          </w:divBdr>
          <w:divsChild>
            <w:div w:id="1425803751">
              <w:marLeft w:val="0"/>
              <w:marRight w:val="0"/>
              <w:marTop w:val="0"/>
              <w:marBottom w:val="0"/>
              <w:divBdr>
                <w:top w:val="none" w:sz="0" w:space="0" w:color="auto"/>
                <w:left w:val="none" w:sz="0" w:space="0" w:color="auto"/>
                <w:bottom w:val="none" w:sz="0" w:space="0" w:color="auto"/>
                <w:right w:val="none" w:sz="0" w:space="0" w:color="auto"/>
              </w:divBdr>
            </w:div>
          </w:divsChild>
        </w:div>
        <w:div w:id="3434171">
          <w:marLeft w:val="0"/>
          <w:marRight w:val="0"/>
          <w:marTop w:val="0"/>
          <w:marBottom w:val="0"/>
          <w:divBdr>
            <w:top w:val="none" w:sz="0" w:space="0" w:color="auto"/>
            <w:left w:val="none" w:sz="0" w:space="0" w:color="auto"/>
            <w:bottom w:val="none" w:sz="0" w:space="0" w:color="auto"/>
            <w:right w:val="none" w:sz="0" w:space="0" w:color="auto"/>
          </w:divBdr>
          <w:divsChild>
            <w:div w:id="1618297303">
              <w:marLeft w:val="0"/>
              <w:marRight w:val="0"/>
              <w:marTop w:val="0"/>
              <w:marBottom w:val="0"/>
              <w:divBdr>
                <w:top w:val="none" w:sz="0" w:space="0" w:color="auto"/>
                <w:left w:val="none" w:sz="0" w:space="0" w:color="auto"/>
                <w:bottom w:val="none" w:sz="0" w:space="0" w:color="auto"/>
                <w:right w:val="none" w:sz="0" w:space="0" w:color="auto"/>
              </w:divBdr>
            </w:div>
          </w:divsChild>
        </w:div>
        <w:div w:id="5449604">
          <w:marLeft w:val="0"/>
          <w:marRight w:val="0"/>
          <w:marTop w:val="0"/>
          <w:marBottom w:val="0"/>
          <w:divBdr>
            <w:top w:val="none" w:sz="0" w:space="0" w:color="auto"/>
            <w:left w:val="none" w:sz="0" w:space="0" w:color="auto"/>
            <w:bottom w:val="none" w:sz="0" w:space="0" w:color="auto"/>
            <w:right w:val="none" w:sz="0" w:space="0" w:color="auto"/>
          </w:divBdr>
          <w:divsChild>
            <w:div w:id="1309358801">
              <w:marLeft w:val="0"/>
              <w:marRight w:val="0"/>
              <w:marTop w:val="0"/>
              <w:marBottom w:val="0"/>
              <w:divBdr>
                <w:top w:val="none" w:sz="0" w:space="0" w:color="auto"/>
                <w:left w:val="none" w:sz="0" w:space="0" w:color="auto"/>
                <w:bottom w:val="none" w:sz="0" w:space="0" w:color="auto"/>
                <w:right w:val="none" w:sz="0" w:space="0" w:color="auto"/>
              </w:divBdr>
            </w:div>
          </w:divsChild>
        </w:div>
        <w:div w:id="11535184">
          <w:marLeft w:val="0"/>
          <w:marRight w:val="0"/>
          <w:marTop w:val="0"/>
          <w:marBottom w:val="0"/>
          <w:divBdr>
            <w:top w:val="none" w:sz="0" w:space="0" w:color="auto"/>
            <w:left w:val="none" w:sz="0" w:space="0" w:color="auto"/>
            <w:bottom w:val="none" w:sz="0" w:space="0" w:color="auto"/>
            <w:right w:val="none" w:sz="0" w:space="0" w:color="auto"/>
          </w:divBdr>
          <w:divsChild>
            <w:div w:id="202061981">
              <w:marLeft w:val="0"/>
              <w:marRight w:val="0"/>
              <w:marTop w:val="0"/>
              <w:marBottom w:val="0"/>
              <w:divBdr>
                <w:top w:val="none" w:sz="0" w:space="0" w:color="auto"/>
                <w:left w:val="none" w:sz="0" w:space="0" w:color="auto"/>
                <w:bottom w:val="none" w:sz="0" w:space="0" w:color="auto"/>
                <w:right w:val="none" w:sz="0" w:space="0" w:color="auto"/>
              </w:divBdr>
            </w:div>
          </w:divsChild>
        </w:div>
        <w:div w:id="13311891">
          <w:marLeft w:val="0"/>
          <w:marRight w:val="0"/>
          <w:marTop w:val="0"/>
          <w:marBottom w:val="0"/>
          <w:divBdr>
            <w:top w:val="none" w:sz="0" w:space="0" w:color="auto"/>
            <w:left w:val="none" w:sz="0" w:space="0" w:color="auto"/>
            <w:bottom w:val="none" w:sz="0" w:space="0" w:color="auto"/>
            <w:right w:val="none" w:sz="0" w:space="0" w:color="auto"/>
          </w:divBdr>
          <w:divsChild>
            <w:div w:id="412557047">
              <w:marLeft w:val="0"/>
              <w:marRight w:val="0"/>
              <w:marTop w:val="0"/>
              <w:marBottom w:val="0"/>
              <w:divBdr>
                <w:top w:val="none" w:sz="0" w:space="0" w:color="auto"/>
                <w:left w:val="none" w:sz="0" w:space="0" w:color="auto"/>
                <w:bottom w:val="none" w:sz="0" w:space="0" w:color="auto"/>
                <w:right w:val="none" w:sz="0" w:space="0" w:color="auto"/>
              </w:divBdr>
            </w:div>
          </w:divsChild>
        </w:div>
        <w:div w:id="13845366">
          <w:marLeft w:val="0"/>
          <w:marRight w:val="0"/>
          <w:marTop w:val="0"/>
          <w:marBottom w:val="0"/>
          <w:divBdr>
            <w:top w:val="none" w:sz="0" w:space="0" w:color="auto"/>
            <w:left w:val="none" w:sz="0" w:space="0" w:color="auto"/>
            <w:bottom w:val="none" w:sz="0" w:space="0" w:color="auto"/>
            <w:right w:val="none" w:sz="0" w:space="0" w:color="auto"/>
          </w:divBdr>
          <w:divsChild>
            <w:div w:id="1455253271">
              <w:marLeft w:val="0"/>
              <w:marRight w:val="0"/>
              <w:marTop w:val="0"/>
              <w:marBottom w:val="0"/>
              <w:divBdr>
                <w:top w:val="none" w:sz="0" w:space="0" w:color="auto"/>
                <w:left w:val="none" w:sz="0" w:space="0" w:color="auto"/>
                <w:bottom w:val="none" w:sz="0" w:space="0" w:color="auto"/>
                <w:right w:val="none" w:sz="0" w:space="0" w:color="auto"/>
              </w:divBdr>
            </w:div>
          </w:divsChild>
        </w:div>
        <w:div w:id="18051532">
          <w:marLeft w:val="0"/>
          <w:marRight w:val="0"/>
          <w:marTop w:val="0"/>
          <w:marBottom w:val="0"/>
          <w:divBdr>
            <w:top w:val="none" w:sz="0" w:space="0" w:color="auto"/>
            <w:left w:val="none" w:sz="0" w:space="0" w:color="auto"/>
            <w:bottom w:val="none" w:sz="0" w:space="0" w:color="auto"/>
            <w:right w:val="none" w:sz="0" w:space="0" w:color="auto"/>
          </w:divBdr>
          <w:divsChild>
            <w:div w:id="87889137">
              <w:marLeft w:val="0"/>
              <w:marRight w:val="0"/>
              <w:marTop w:val="0"/>
              <w:marBottom w:val="0"/>
              <w:divBdr>
                <w:top w:val="none" w:sz="0" w:space="0" w:color="auto"/>
                <w:left w:val="none" w:sz="0" w:space="0" w:color="auto"/>
                <w:bottom w:val="none" w:sz="0" w:space="0" w:color="auto"/>
                <w:right w:val="none" w:sz="0" w:space="0" w:color="auto"/>
              </w:divBdr>
            </w:div>
          </w:divsChild>
        </w:div>
        <w:div w:id="20668910">
          <w:marLeft w:val="0"/>
          <w:marRight w:val="0"/>
          <w:marTop w:val="0"/>
          <w:marBottom w:val="0"/>
          <w:divBdr>
            <w:top w:val="none" w:sz="0" w:space="0" w:color="auto"/>
            <w:left w:val="none" w:sz="0" w:space="0" w:color="auto"/>
            <w:bottom w:val="none" w:sz="0" w:space="0" w:color="auto"/>
            <w:right w:val="none" w:sz="0" w:space="0" w:color="auto"/>
          </w:divBdr>
          <w:divsChild>
            <w:div w:id="1360475593">
              <w:marLeft w:val="0"/>
              <w:marRight w:val="0"/>
              <w:marTop w:val="0"/>
              <w:marBottom w:val="0"/>
              <w:divBdr>
                <w:top w:val="none" w:sz="0" w:space="0" w:color="auto"/>
                <w:left w:val="none" w:sz="0" w:space="0" w:color="auto"/>
                <w:bottom w:val="none" w:sz="0" w:space="0" w:color="auto"/>
                <w:right w:val="none" w:sz="0" w:space="0" w:color="auto"/>
              </w:divBdr>
            </w:div>
          </w:divsChild>
        </w:div>
        <w:div w:id="22218310">
          <w:marLeft w:val="0"/>
          <w:marRight w:val="0"/>
          <w:marTop w:val="0"/>
          <w:marBottom w:val="0"/>
          <w:divBdr>
            <w:top w:val="none" w:sz="0" w:space="0" w:color="auto"/>
            <w:left w:val="none" w:sz="0" w:space="0" w:color="auto"/>
            <w:bottom w:val="none" w:sz="0" w:space="0" w:color="auto"/>
            <w:right w:val="none" w:sz="0" w:space="0" w:color="auto"/>
          </w:divBdr>
          <w:divsChild>
            <w:div w:id="2047026372">
              <w:marLeft w:val="0"/>
              <w:marRight w:val="0"/>
              <w:marTop w:val="0"/>
              <w:marBottom w:val="0"/>
              <w:divBdr>
                <w:top w:val="none" w:sz="0" w:space="0" w:color="auto"/>
                <w:left w:val="none" w:sz="0" w:space="0" w:color="auto"/>
                <w:bottom w:val="none" w:sz="0" w:space="0" w:color="auto"/>
                <w:right w:val="none" w:sz="0" w:space="0" w:color="auto"/>
              </w:divBdr>
            </w:div>
          </w:divsChild>
        </w:div>
        <w:div w:id="23485360">
          <w:marLeft w:val="0"/>
          <w:marRight w:val="0"/>
          <w:marTop w:val="0"/>
          <w:marBottom w:val="0"/>
          <w:divBdr>
            <w:top w:val="none" w:sz="0" w:space="0" w:color="auto"/>
            <w:left w:val="none" w:sz="0" w:space="0" w:color="auto"/>
            <w:bottom w:val="none" w:sz="0" w:space="0" w:color="auto"/>
            <w:right w:val="none" w:sz="0" w:space="0" w:color="auto"/>
          </w:divBdr>
          <w:divsChild>
            <w:div w:id="161511679">
              <w:marLeft w:val="0"/>
              <w:marRight w:val="0"/>
              <w:marTop w:val="0"/>
              <w:marBottom w:val="0"/>
              <w:divBdr>
                <w:top w:val="none" w:sz="0" w:space="0" w:color="auto"/>
                <w:left w:val="none" w:sz="0" w:space="0" w:color="auto"/>
                <w:bottom w:val="none" w:sz="0" w:space="0" w:color="auto"/>
                <w:right w:val="none" w:sz="0" w:space="0" w:color="auto"/>
              </w:divBdr>
            </w:div>
          </w:divsChild>
        </w:div>
        <w:div w:id="26569917">
          <w:marLeft w:val="0"/>
          <w:marRight w:val="0"/>
          <w:marTop w:val="0"/>
          <w:marBottom w:val="0"/>
          <w:divBdr>
            <w:top w:val="none" w:sz="0" w:space="0" w:color="auto"/>
            <w:left w:val="none" w:sz="0" w:space="0" w:color="auto"/>
            <w:bottom w:val="none" w:sz="0" w:space="0" w:color="auto"/>
            <w:right w:val="none" w:sz="0" w:space="0" w:color="auto"/>
          </w:divBdr>
          <w:divsChild>
            <w:div w:id="1727484113">
              <w:marLeft w:val="0"/>
              <w:marRight w:val="0"/>
              <w:marTop w:val="0"/>
              <w:marBottom w:val="0"/>
              <w:divBdr>
                <w:top w:val="none" w:sz="0" w:space="0" w:color="auto"/>
                <w:left w:val="none" w:sz="0" w:space="0" w:color="auto"/>
                <w:bottom w:val="none" w:sz="0" w:space="0" w:color="auto"/>
                <w:right w:val="none" w:sz="0" w:space="0" w:color="auto"/>
              </w:divBdr>
            </w:div>
          </w:divsChild>
        </w:div>
        <w:div w:id="28917589">
          <w:marLeft w:val="0"/>
          <w:marRight w:val="0"/>
          <w:marTop w:val="0"/>
          <w:marBottom w:val="0"/>
          <w:divBdr>
            <w:top w:val="none" w:sz="0" w:space="0" w:color="auto"/>
            <w:left w:val="none" w:sz="0" w:space="0" w:color="auto"/>
            <w:bottom w:val="none" w:sz="0" w:space="0" w:color="auto"/>
            <w:right w:val="none" w:sz="0" w:space="0" w:color="auto"/>
          </w:divBdr>
          <w:divsChild>
            <w:div w:id="1336300930">
              <w:marLeft w:val="0"/>
              <w:marRight w:val="0"/>
              <w:marTop w:val="0"/>
              <w:marBottom w:val="0"/>
              <w:divBdr>
                <w:top w:val="none" w:sz="0" w:space="0" w:color="auto"/>
                <w:left w:val="none" w:sz="0" w:space="0" w:color="auto"/>
                <w:bottom w:val="none" w:sz="0" w:space="0" w:color="auto"/>
                <w:right w:val="none" w:sz="0" w:space="0" w:color="auto"/>
              </w:divBdr>
            </w:div>
          </w:divsChild>
        </w:div>
        <w:div w:id="30543430">
          <w:marLeft w:val="0"/>
          <w:marRight w:val="0"/>
          <w:marTop w:val="0"/>
          <w:marBottom w:val="0"/>
          <w:divBdr>
            <w:top w:val="none" w:sz="0" w:space="0" w:color="auto"/>
            <w:left w:val="none" w:sz="0" w:space="0" w:color="auto"/>
            <w:bottom w:val="none" w:sz="0" w:space="0" w:color="auto"/>
            <w:right w:val="none" w:sz="0" w:space="0" w:color="auto"/>
          </w:divBdr>
          <w:divsChild>
            <w:div w:id="971515787">
              <w:marLeft w:val="0"/>
              <w:marRight w:val="0"/>
              <w:marTop w:val="0"/>
              <w:marBottom w:val="0"/>
              <w:divBdr>
                <w:top w:val="none" w:sz="0" w:space="0" w:color="auto"/>
                <w:left w:val="none" w:sz="0" w:space="0" w:color="auto"/>
                <w:bottom w:val="none" w:sz="0" w:space="0" w:color="auto"/>
                <w:right w:val="none" w:sz="0" w:space="0" w:color="auto"/>
              </w:divBdr>
            </w:div>
          </w:divsChild>
        </w:div>
        <w:div w:id="32772819">
          <w:marLeft w:val="0"/>
          <w:marRight w:val="0"/>
          <w:marTop w:val="0"/>
          <w:marBottom w:val="0"/>
          <w:divBdr>
            <w:top w:val="none" w:sz="0" w:space="0" w:color="auto"/>
            <w:left w:val="none" w:sz="0" w:space="0" w:color="auto"/>
            <w:bottom w:val="none" w:sz="0" w:space="0" w:color="auto"/>
            <w:right w:val="none" w:sz="0" w:space="0" w:color="auto"/>
          </w:divBdr>
          <w:divsChild>
            <w:div w:id="916132435">
              <w:marLeft w:val="0"/>
              <w:marRight w:val="0"/>
              <w:marTop w:val="0"/>
              <w:marBottom w:val="0"/>
              <w:divBdr>
                <w:top w:val="none" w:sz="0" w:space="0" w:color="auto"/>
                <w:left w:val="none" w:sz="0" w:space="0" w:color="auto"/>
                <w:bottom w:val="none" w:sz="0" w:space="0" w:color="auto"/>
                <w:right w:val="none" w:sz="0" w:space="0" w:color="auto"/>
              </w:divBdr>
            </w:div>
          </w:divsChild>
        </w:div>
        <w:div w:id="33434542">
          <w:marLeft w:val="0"/>
          <w:marRight w:val="0"/>
          <w:marTop w:val="0"/>
          <w:marBottom w:val="0"/>
          <w:divBdr>
            <w:top w:val="none" w:sz="0" w:space="0" w:color="auto"/>
            <w:left w:val="none" w:sz="0" w:space="0" w:color="auto"/>
            <w:bottom w:val="none" w:sz="0" w:space="0" w:color="auto"/>
            <w:right w:val="none" w:sz="0" w:space="0" w:color="auto"/>
          </w:divBdr>
          <w:divsChild>
            <w:div w:id="607858204">
              <w:marLeft w:val="0"/>
              <w:marRight w:val="0"/>
              <w:marTop w:val="0"/>
              <w:marBottom w:val="0"/>
              <w:divBdr>
                <w:top w:val="none" w:sz="0" w:space="0" w:color="auto"/>
                <w:left w:val="none" w:sz="0" w:space="0" w:color="auto"/>
                <w:bottom w:val="none" w:sz="0" w:space="0" w:color="auto"/>
                <w:right w:val="none" w:sz="0" w:space="0" w:color="auto"/>
              </w:divBdr>
            </w:div>
          </w:divsChild>
        </w:div>
        <w:div w:id="42367370">
          <w:marLeft w:val="0"/>
          <w:marRight w:val="0"/>
          <w:marTop w:val="0"/>
          <w:marBottom w:val="0"/>
          <w:divBdr>
            <w:top w:val="none" w:sz="0" w:space="0" w:color="auto"/>
            <w:left w:val="none" w:sz="0" w:space="0" w:color="auto"/>
            <w:bottom w:val="none" w:sz="0" w:space="0" w:color="auto"/>
            <w:right w:val="none" w:sz="0" w:space="0" w:color="auto"/>
          </w:divBdr>
          <w:divsChild>
            <w:div w:id="690187111">
              <w:marLeft w:val="0"/>
              <w:marRight w:val="0"/>
              <w:marTop w:val="0"/>
              <w:marBottom w:val="0"/>
              <w:divBdr>
                <w:top w:val="none" w:sz="0" w:space="0" w:color="auto"/>
                <w:left w:val="none" w:sz="0" w:space="0" w:color="auto"/>
                <w:bottom w:val="none" w:sz="0" w:space="0" w:color="auto"/>
                <w:right w:val="none" w:sz="0" w:space="0" w:color="auto"/>
              </w:divBdr>
            </w:div>
          </w:divsChild>
        </w:div>
        <w:div w:id="49043286">
          <w:marLeft w:val="0"/>
          <w:marRight w:val="0"/>
          <w:marTop w:val="0"/>
          <w:marBottom w:val="0"/>
          <w:divBdr>
            <w:top w:val="none" w:sz="0" w:space="0" w:color="auto"/>
            <w:left w:val="none" w:sz="0" w:space="0" w:color="auto"/>
            <w:bottom w:val="none" w:sz="0" w:space="0" w:color="auto"/>
            <w:right w:val="none" w:sz="0" w:space="0" w:color="auto"/>
          </w:divBdr>
          <w:divsChild>
            <w:div w:id="319694811">
              <w:marLeft w:val="0"/>
              <w:marRight w:val="0"/>
              <w:marTop w:val="0"/>
              <w:marBottom w:val="0"/>
              <w:divBdr>
                <w:top w:val="none" w:sz="0" w:space="0" w:color="auto"/>
                <w:left w:val="none" w:sz="0" w:space="0" w:color="auto"/>
                <w:bottom w:val="none" w:sz="0" w:space="0" w:color="auto"/>
                <w:right w:val="none" w:sz="0" w:space="0" w:color="auto"/>
              </w:divBdr>
            </w:div>
          </w:divsChild>
        </w:div>
        <w:div w:id="49115977">
          <w:marLeft w:val="0"/>
          <w:marRight w:val="0"/>
          <w:marTop w:val="0"/>
          <w:marBottom w:val="0"/>
          <w:divBdr>
            <w:top w:val="none" w:sz="0" w:space="0" w:color="auto"/>
            <w:left w:val="none" w:sz="0" w:space="0" w:color="auto"/>
            <w:bottom w:val="none" w:sz="0" w:space="0" w:color="auto"/>
            <w:right w:val="none" w:sz="0" w:space="0" w:color="auto"/>
          </w:divBdr>
          <w:divsChild>
            <w:div w:id="554122955">
              <w:marLeft w:val="0"/>
              <w:marRight w:val="0"/>
              <w:marTop w:val="0"/>
              <w:marBottom w:val="0"/>
              <w:divBdr>
                <w:top w:val="none" w:sz="0" w:space="0" w:color="auto"/>
                <w:left w:val="none" w:sz="0" w:space="0" w:color="auto"/>
                <w:bottom w:val="none" w:sz="0" w:space="0" w:color="auto"/>
                <w:right w:val="none" w:sz="0" w:space="0" w:color="auto"/>
              </w:divBdr>
            </w:div>
          </w:divsChild>
        </w:div>
        <w:div w:id="54860828">
          <w:marLeft w:val="0"/>
          <w:marRight w:val="0"/>
          <w:marTop w:val="0"/>
          <w:marBottom w:val="0"/>
          <w:divBdr>
            <w:top w:val="none" w:sz="0" w:space="0" w:color="auto"/>
            <w:left w:val="none" w:sz="0" w:space="0" w:color="auto"/>
            <w:bottom w:val="none" w:sz="0" w:space="0" w:color="auto"/>
            <w:right w:val="none" w:sz="0" w:space="0" w:color="auto"/>
          </w:divBdr>
          <w:divsChild>
            <w:div w:id="553274750">
              <w:marLeft w:val="0"/>
              <w:marRight w:val="0"/>
              <w:marTop w:val="0"/>
              <w:marBottom w:val="0"/>
              <w:divBdr>
                <w:top w:val="none" w:sz="0" w:space="0" w:color="auto"/>
                <w:left w:val="none" w:sz="0" w:space="0" w:color="auto"/>
                <w:bottom w:val="none" w:sz="0" w:space="0" w:color="auto"/>
                <w:right w:val="none" w:sz="0" w:space="0" w:color="auto"/>
              </w:divBdr>
            </w:div>
          </w:divsChild>
        </w:div>
        <w:div w:id="65615760">
          <w:marLeft w:val="0"/>
          <w:marRight w:val="0"/>
          <w:marTop w:val="0"/>
          <w:marBottom w:val="0"/>
          <w:divBdr>
            <w:top w:val="none" w:sz="0" w:space="0" w:color="auto"/>
            <w:left w:val="none" w:sz="0" w:space="0" w:color="auto"/>
            <w:bottom w:val="none" w:sz="0" w:space="0" w:color="auto"/>
            <w:right w:val="none" w:sz="0" w:space="0" w:color="auto"/>
          </w:divBdr>
          <w:divsChild>
            <w:div w:id="1775393061">
              <w:marLeft w:val="0"/>
              <w:marRight w:val="0"/>
              <w:marTop w:val="0"/>
              <w:marBottom w:val="0"/>
              <w:divBdr>
                <w:top w:val="none" w:sz="0" w:space="0" w:color="auto"/>
                <w:left w:val="none" w:sz="0" w:space="0" w:color="auto"/>
                <w:bottom w:val="none" w:sz="0" w:space="0" w:color="auto"/>
                <w:right w:val="none" w:sz="0" w:space="0" w:color="auto"/>
              </w:divBdr>
            </w:div>
          </w:divsChild>
        </w:div>
        <w:div w:id="70742512">
          <w:marLeft w:val="0"/>
          <w:marRight w:val="0"/>
          <w:marTop w:val="0"/>
          <w:marBottom w:val="0"/>
          <w:divBdr>
            <w:top w:val="none" w:sz="0" w:space="0" w:color="auto"/>
            <w:left w:val="none" w:sz="0" w:space="0" w:color="auto"/>
            <w:bottom w:val="none" w:sz="0" w:space="0" w:color="auto"/>
            <w:right w:val="none" w:sz="0" w:space="0" w:color="auto"/>
          </w:divBdr>
          <w:divsChild>
            <w:div w:id="269894424">
              <w:marLeft w:val="0"/>
              <w:marRight w:val="0"/>
              <w:marTop w:val="0"/>
              <w:marBottom w:val="0"/>
              <w:divBdr>
                <w:top w:val="none" w:sz="0" w:space="0" w:color="auto"/>
                <w:left w:val="none" w:sz="0" w:space="0" w:color="auto"/>
                <w:bottom w:val="none" w:sz="0" w:space="0" w:color="auto"/>
                <w:right w:val="none" w:sz="0" w:space="0" w:color="auto"/>
              </w:divBdr>
            </w:div>
          </w:divsChild>
        </w:div>
        <w:div w:id="71388777">
          <w:marLeft w:val="0"/>
          <w:marRight w:val="0"/>
          <w:marTop w:val="0"/>
          <w:marBottom w:val="0"/>
          <w:divBdr>
            <w:top w:val="none" w:sz="0" w:space="0" w:color="auto"/>
            <w:left w:val="none" w:sz="0" w:space="0" w:color="auto"/>
            <w:bottom w:val="none" w:sz="0" w:space="0" w:color="auto"/>
            <w:right w:val="none" w:sz="0" w:space="0" w:color="auto"/>
          </w:divBdr>
          <w:divsChild>
            <w:div w:id="1267889741">
              <w:marLeft w:val="0"/>
              <w:marRight w:val="0"/>
              <w:marTop w:val="0"/>
              <w:marBottom w:val="0"/>
              <w:divBdr>
                <w:top w:val="none" w:sz="0" w:space="0" w:color="auto"/>
                <w:left w:val="none" w:sz="0" w:space="0" w:color="auto"/>
                <w:bottom w:val="none" w:sz="0" w:space="0" w:color="auto"/>
                <w:right w:val="none" w:sz="0" w:space="0" w:color="auto"/>
              </w:divBdr>
            </w:div>
          </w:divsChild>
        </w:div>
        <w:div w:id="72051128">
          <w:marLeft w:val="0"/>
          <w:marRight w:val="0"/>
          <w:marTop w:val="0"/>
          <w:marBottom w:val="0"/>
          <w:divBdr>
            <w:top w:val="none" w:sz="0" w:space="0" w:color="auto"/>
            <w:left w:val="none" w:sz="0" w:space="0" w:color="auto"/>
            <w:bottom w:val="none" w:sz="0" w:space="0" w:color="auto"/>
            <w:right w:val="none" w:sz="0" w:space="0" w:color="auto"/>
          </w:divBdr>
          <w:divsChild>
            <w:div w:id="1453670948">
              <w:marLeft w:val="0"/>
              <w:marRight w:val="0"/>
              <w:marTop w:val="0"/>
              <w:marBottom w:val="0"/>
              <w:divBdr>
                <w:top w:val="none" w:sz="0" w:space="0" w:color="auto"/>
                <w:left w:val="none" w:sz="0" w:space="0" w:color="auto"/>
                <w:bottom w:val="none" w:sz="0" w:space="0" w:color="auto"/>
                <w:right w:val="none" w:sz="0" w:space="0" w:color="auto"/>
              </w:divBdr>
            </w:div>
          </w:divsChild>
        </w:div>
        <w:div w:id="73668279">
          <w:marLeft w:val="0"/>
          <w:marRight w:val="0"/>
          <w:marTop w:val="0"/>
          <w:marBottom w:val="0"/>
          <w:divBdr>
            <w:top w:val="none" w:sz="0" w:space="0" w:color="auto"/>
            <w:left w:val="none" w:sz="0" w:space="0" w:color="auto"/>
            <w:bottom w:val="none" w:sz="0" w:space="0" w:color="auto"/>
            <w:right w:val="none" w:sz="0" w:space="0" w:color="auto"/>
          </w:divBdr>
          <w:divsChild>
            <w:div w:id="1100680820">
              <w:marLeft w:val="0"/>
              <w:marRight w:val="0"/>
              <w:marTop w:val="0"/>
              <w:marBottom w:val="0"/>
              <w:divBdr>
                <w:top w:val="none" w:sz="0" w:space="0" w:color="auto"/>
                <w:left w:val="none" w:sz="0" w:space="0" w:color="auto"/>
                <w:bottom w:val="none" w:sz="0" w:space="0" w:color="auto"/>
                <w:right w:val="none" w:sz="0" w:space="0" w:color="auto"/>
              </w:divBdr>
            </w:div>
          </w:divsChild>
        </w:div>
        <w:div w:id="74060794">
          <w:marLeft w:val="0"/>
          <w:marRight w:val="0"/>
          <w:marTop w:val="0"/>
          <w:marBottom w:val="0"/>
          <w:divBdr>
            <w:top w:val="none" w:sz="0" w:space="0" w:color="auto"/>
            <w:left w:val="none" w:sz="0" w:space="0" w:color="auto"/>
            <w:bottom w:val="none" w:sz="0" w:space="0" w:color="auto"/>
            <w:right w:val="none" w:sz="0" w:space="0" w:color="auto"/>
          </w:divBdr>
          <w:divsChild>
            <w:div w:id="1520662643">
              <w:marLeft w:val="0"/>
              <w:marRight w:val="0"/>
              <w:marTop w:val="0"/>
              <w:marBottom w:val="0"/>
              <w:divBdr>
                <w:top w:val="none" w:sz="0" w:space="0" w:color="auto"/>
                <w:left w:val="none" w:sz="0" w:space="0" w:color="auto"/>
                <w:bottom w:val="none" w:sz="0" w:space="0" w:color="auto"/>
                <w:right w:val="none" w:sz="0" w:space="0" w:color="auto"/>
              </w:divBdr>
            </w:div>
          </w:divsChild>
        </w:div>
        <w:div w:id="75327024">
          <w:marLeft w:val="0"/>
          <w:marRight w:val="0"/>
          <w:marTop w:val="0"/>
          <w:marBottom w:val="0"/>
          <w:divBdr>
            <w:top w:val="none" w:sz="0" w:space="0" w:color="auto"/>
            <w:left w:val="none" w:sz="0" w:space="0" w:color="auto"/>
            <w:bottom w:val="none" w:sz="0" w:space="0" w:color="auto"/>
            <w:right w:val="none" w:sz="0" w:space="0" w:color="auto"/>
          </w:divBdr>
          <w:divsChild>
            <w:div w:id="111098444">
              <w:marLeft w:val="0"/>
              <w:marRight w:val="0"/>
              <w:marTop w:val="0"/>
              <w:marBottom w:val="0"/>
              <w:divBdr>
                <w:top w:val="none" w:sz="0" w:space="0" w:color="auto"/>
                <w:left w:val="none" w:sz="0" w:space="0" w:color="auto"/>
                <w:bottom w:val="none" w:sz="0" w:space="0" w:color="auto"/>
                <w:right w:val="none" w:sz="0" w:space="0" w:color="auto"/>
              </w:divBdr>
            </w:div>
          </w:divsChild>
        </w:div>
        <w:div w:id="76099767">
          <w:marLeft w:val="0"/>
          <w:marRight w:val="0"/>
          <w:marTop w:val="0"/>
          <w:marBottom w:val="0"/>
          <w:divBdr>
            <w:top w:val="none" w:sz="0" w:space="0" w:color="auto"/>
            <w:left w:val="none" w:sz="0" w:space="0" w:color="auto"/>
            <w:bottom w:val="none" w:sz="0" w:space="0" w:color="auto"/>
            <w:right w:val="none" w:sz="0" w:space="0" w:color="auto"/>
          </w:divBdr>
          <w:divsChild>
            <w:div w:id="1456750820">
              <w:marLeft w:val="0"/>
              <w:marRight w:val="0"/>
              <w:marTop w:val="0"/>
              <w:marBottom w:val="0"/>
              <w:divBdr>
                <w:top w:val="none" w:sz="0" w:space="0" w:color="auto"/>
                <w:left w:val="none" w:sz="0" w:space="0" w:color="auto"/>
                <w:bottom w:val="none" w:sz="0" w:space="0" w:color="auto"/>
                <w:right w:val="none" w:sz="0" w:space="0" w:color="auto"/>
              </w:divBdr>
            </w:div>
          </w:divsChild>
        </w:div>
        <w:div w:id="83116717">
          <w:marLeft w:val="0"/>
          <w:marRight w:val="0"/>
          <w:marTop w:val="0"/>
          <w:marBottom w:val="0"/>
          <w:divBdr>
            <w:top w:val="none" w:sz="0" w:space="0" w:color="auto"/>
            <w:left w:val="none" w:sz="0" w:space="0" w:color="auto"/>
            <w:bottom w:val="none" w:sz="0" w:space="0" w:color="auto"/>
            <w:right w:val="none" w:sz="0" w:space="0" w:color="auto"/>
          </w:divBdr>
          <w:divsChild>
            <w:div w:id="40205367">
              <w:marLeft w:val="0"/>
              <w:marRight w:val="0"/>
              <w:marTop w:val="0"/>
              <w:marBottom w:val="0"/>
              <w:divBdr>
                <w:top w:val="none" w:sz="0" w:space="0" w:color="auto"/>
                <w:left w:val="none" w:sz="0" w:space="0" w:color="auto"/>
                <w:bottom w:val="none" w:sz="0" w:space="0" w:color="auto"/>
                <w:right w:val="none" w:sz="0" w:space="0" w:color="auto"/>
              </w:divBdr>
            </w:div>
          </w:divsChild>
        </w:div>
        <w:div w:id="83886463">
          <w:marLeft w:val="0"/>
          <w:marRight w:val="0"/>
          <w:marTop w:val="0"/>
          <w:marBottom w:val="0"/>
          <w:divBdr>
            <w:top w:val="none" w:sz="0" w:space="0" w:color="auto"/>
            <w:left w:val="none" w:sz="0" w:space="0" w:color="auto"/>
            <w:bottom w:val="none" w:sz="0" w:space="0" w:color="auto"/>
            <w:right w:val="none" w:sz="0" w:space="0" w:color="auto"/>
          </w:divBdr>
          <w:divsChild>
            <w:div w:id="240990055">
              <w:marLeft w:val="0"/>
              <w:marRight w:val="0"/>
              <w:marTop w:val="0"/>
              <w:marBottom w:val="0"/>
              <w:divBdr>
                <w:top w:val="none" w:sz="0" w:space="0" w:color="auto"/>
                <w:left w:val="none" w:sz="0" w:space="0" w:color="auto"/>
                <w:bottom w:val="none" w:sz="0" w:space="0" w:color="auto"/>
                <w:right w:val="none" w:sz="0" w:space="0" w:color="auto"/>
              </w:divBdr>
            </w:div>
          </w:divsChild>
        </w:div>
        <w:div w:id="85616935">
          <w:marLeft w:val="0"/>
          <w:marRight w:val="0"/>
          <w:marTop w:val="0"/>
          <w:marBottom w:val="0"/>
          <w:divBdr>
            <w:top w:val="none" w:sz="0" w:space="0" w:color="auto"/>
            <w:left w:val="none" w:sz="0" w:space="0" w:color="auto"/>
            <w:bottom w:val="none" w:sz="0" w:space="0" w:color="auto"/>
            <w:right w:val="none" w:sz="0" w:space="0" w:color="auto"/>
          </w:divBdr>
          <w:divsChild>
            <w:div w:id="816579371">
              <w:marLeft w:val="0"/>
              <w:marRight w:val="0"/>
              <w:marTop w:val="0"/>
              <w:marBottom w:val="0"/>
              <w:divBdr>
                <w:top w:val="none" w:sz="0" w:space="0" w:color="auto"/>
                <w:left w:val="none" w:sz="0" w:space="0" w:color="auto"/>
                <w:bottom w:val="none" w:sz="0" w:space="0" w:color="auto"/>
                <w:right w:val="none" w:sz="0" w:space="0" w:color="auto"/>
              </w:divBdr>
            </w:div>
          </w:divsChild>
        </w:div>
        <w:div w:id="86778478">
          <w:marLeft w:val="0"/>
          <w:marRight w:val="0"/>
          <w:marTop w:val="0"/>
          <w:marBottom w:val="0"/>
          <w:divBdr>
            <w:top w:val="none" w:sz="0" w:space="0" w:color="auto"/>
            <w:left w:val="none" w:sz="0" w:space="0" w:color="auto"/>
            <w:bottom w:val="none" w:sz="0" w:space="0" w:color="auto"/>
            <w:right w:val="none" w:sz="0" w:space="0" w:color="auto"/>
          </w:divBdr>
          <w:divsChild>
            <w:div w:id="1630280072">
              <w:marLeft w:val="0"/>
              <w:marRight w:val="0"/>
              <w:marTop w:val="0"/>
              <w:marBottom w:val="0"/>
              <w:divBdr>
                <w:top w:val="none" w:sz="0" w:space="0" w:color="auto"/>
                <w:left w:val="none" w:sz="0" w:space="0" w:color="auto"/>
                <w:bottom w:val="none" w:sz="0" w:space="0" w:color="auto"/>
                <w:right w:val="none" w:sz="0" w:space="0" w:color="auto"/>
              </w:divBdr>
            </w:div>
          </w:divsChild>
        </w:div>
        <w:div w:id="88741253">
          <w:marLeft w:val="0"/>
          <w:marRight w:val="0"/>
          <w:marTop w:val="0"/>
          <w:marBottom w:val="0"/>
          <w:divBdr>
            <w:top w:val="none" w:sz="0" w:space="0" w:color="auto"/>
            <w:left w:val="none" w:sz="0" w:space="0" w:color="auto"/>
            <w:bottom w:val="none" w:sz="0" w:space="0" w:color="auto"/>
            <w:right w:val="none" w:sz="0" w:space="0" w:color="auto"/>
          </w:divBdr>
          <w:divsChild>
            <w:div w:id="2010518036">
              <w:marLeft w:val="0"/>
              <w:marRight w:val="0"/>
              <w:marTop w:val="0"/>
              <w:marBottom w:val="0"/>
              <w:divBdr>
                <w:top w:val="none" w:sz="0" w:space="0" w:color="auto"/>
                <w:left w:val="none" w:sz="0" w:space="0" w:color="auto"/>
                <w:bottom w:val="none" w:sz="0" w:space="0" w:color="auto"/>
                <w:right w:val="none" w:sz="0" w:space="0" w:color="auto"/>
              </w:divBdr>
            </w:div>
          </w:divsChild>
        </w:div>
        <w:div w:id="90247440">
          <w:marLeft w:val="0"/>
          <w:marRight w:val="0"/>
          <w:marTop w:val="0"/>
          <w:marBottom w:val="0"/>
          <w:divBdr>
            <w:top w:val="none" w:sz="0" w:space="0" w:color="auto"/>
            <w:left w:val="none" w:sz="0" w:space="0" w:color="auto"/>
            <w:bottom w:val="none" w:sz="0" w:space="0" w:color="auto"/>
            <w:right w:val="none" w:sz="0" w:space="0" w:color="auto"/>
          </w:divBdr>
          <w:divsChild>
            <w:div w:id="1228494007">
              <w:marLeft w:val="0"/>
              <w:marRight w:val="0"/>
              <w:marTop w:val="0"/>
              <w:marBottom w:val="0"/>
              <w:divBdr>
                <w:top w:val="none" w:sz="0" w:space="0" w:color="auto"/>
                <w:left w:val="none" w:sz="0" w:space="0" w:color="auto"/>
                <w:bottom w:val="none" w:sz="0" w:space="0" w:color="auto"/>
                <w:right w:val="none" w:sz="0" w:space="0" w:color="auto"/>
              </w:divBdr>
            </w:div>
          </w:divsChild>
        </w:div>
        <w:div w:id="97681181">
          <w:marLeft w:val="0"/>
          <w:marRight w:val="0"/>
          <w:marTop w:val="0"/>
          <w:marBottom w:val="0"/>
          <w:divBdr>
            <w:top w:val="none" w:sz="0" w:space="0" w:color="auto"/>
            <w:left w:val="none" w:sz="0" w:space="0" w:color="auto"/>
            <w:bottom w:val="none" w:sz="0" w:space="0" w:color="auto"/>
            <w:right w:val="none" w:sz="0" w:space="0" w:color="auto"/>
          </w:divBdr>
          <w:divsChild>
            <w:div w:id="1279994122">
              <w:marLeft w:val="0"/>
              <w:marRight w:val="0"/>
              <w:marTop w:val="0"/>
              <w:marBottom w:val="0"/>
              <w:divBdr>
                <w:top w:val="none" w:sz="0" w:space="0" w:color="auto"/>
                <w:left w:val="none" w:sz="0" w:space="0" w:color="auto"/>
                <w:bottom w:val="none" w:sz="0" w:space="0" w:color="auto"/>
                <w:right w:val="none" w:sz="0" w:space="0" w:color="auto"/>
              </w:divBdr>
            </w:div>
          </w:divsChild>
        </w:div>
        <w:div w:id="97918839">
          <w:marLeft w:val="0"/>
          <w:marRight w:val="0"/>
          <w:marTop w:val="0"/>
          <w:marBottom w:val="0"/>
          <w:divBdr>
            <w:top w:val="none" w:sz="0" w:space="0" w:color="auto"/>
            <w:left w:val="none" w:sz="0" w:space="0" w:color="auto"/>
            <w:bottom w:val="none" w:sz="0" w:space="0" w:color="auto"/>
            <w:right w:val="none" w:sz="0" w:space="0" w:color="auto"/>
          </w:divBdr>
          <w:divsChild>
            <w:div w:id="329522768">
              <w:marLeft w:val="0"/>
              <w:marRight w:val="0"/>
              <w:marTop w:val="0"/>
              <w:marBottom w:val="0"/>
              <w:divBdr>
                <w:top w:val="none" w:sz="0" w:space="0" w:color="auto"/>
                <w:left w:val="none" w:sz="0" w:space="0" w:color="auto"/>
                <w:bottom w:val="none" w:sz="0" w:space="0" w:color="auto"/>
                <w:right w:val="none" w:sz="0" w:space="0" w:color="auto"/>
              </w:divBdr>
            </w:div>
          </w:divsChild>
        </w:div>
        <w:div w:id="99566052">
          <w:marLeft w:val="0"/>
          <w:marRight w:val="0"/>
          <w:marTop w:val="0"/>
          <w:marBottom w:val="0"/>
          <w:divBdr>
            <w:top w:val="none" w:sz="0" w:space="0" w:color="auto"/>
            <w:left w:val="none" w:sz="0" w:space="0" w:color="auto"/>
            <w:bottom w:val="none" w:sz="0" w:space="0" w:color="auto"/>
            <w:right w:val="none" w:sz="0" w:space="0" w:color="auto"/>
          </w:divBdr>
          <w:divsChild>
            <w:div w:id="1736853709">
              <w:marLeft w:val="0"/>
              <w:marRight w:val="0"/>
              <w:marTop w:val="0"/>
              <w:marBottom w:val="0"/>
              <w:divBdr>
                <w:top w:val="none" w:sz="0" w:space="0" w:color="auto"/>
                <w:left w:val="none" w:sz="0" w:space="0" w:color="auto"/>
                <w:bottom w:val="none" w:sz="0" w:space="0" w:color="auto"/>
                <w:right w:val="none" w:sz="0" w:space="0" w:color="auto"/>
              </w:divBdr>
            </w:div>
          </w:divsChild>
        </w:div>
        <w:div w:id="100229495">
          <w:marLeft w:val="0"/>
          <w:marRight w:val="0"/>
          <w:marTop w:val="0"/>
          <w:marBottom w:val="0"/>
          <w:divBdr>
            <w:top w:val="none" w:sz="0" w:space="0" w:color="auto"/>
            <w:left w:val="none" w:sz="0" w:space="0" w:color="auto"/>
            <w:bottom w:val="none" w:sz="0" w:space="0" w:color="auto"/>
            <w:right w:val="none" w:sz="0" w:space="0" w:color="auto"/>
          </w:divBdr>
          <w:divsChild>
            <w:div w:id="652754685">
              <w:marLeft w:val="0"/>
              <w:marRight w:val="0"/>
              <w:marTop w:val="0"/>
              <w:marBottom w:val="0"/>
              <w:divBdr>
                <w:top w:val="none" w:sz="0" w:space="0" w:color="auto"/>
                <w:left w:val="none" w:sz="0" w:space="0" w:color="auto"/>
                <w:bottom w:val="none" w:sz="0" w:space="0" w:color="auto"/>
                <w:right w:val="none" w:sz="0" w:space="0" w:color="auto"/>
              </w:divBdr>
            </w:div>
          </w:divsChild>
        </w:div>
        <w:div w:id="101075264">
          <w:marLeft w:val="0"/>
          <w:marRight w:val="0"/>
          <w:marTop w:val="0"/>
          <w:marBottom w:val="0"/>
          <w:divBdr>
            <w:top w:val="none" w:sz="0" w:space="0" w:color="auto"/>
            <w:left w:val="none" w:sz="0" w:space="0" w:color="auto"/>
            <w:bottom w:val="none" w:sz="0" w:space="0" w:color="auto"/>
            <w:right w:val="none" w:sz="0" w:space="0" w:color="auto"/>
          </w:divBdr>
          <w:divsChild>
            <w:div w:id="1299871315">
              <w:marLeft w:val="0"/>
              <w:marRight w:val="0"/>
              <w:marTop w:val="0"/>
              <w:marBottom w:val="0"/>
              <w:divBdr>
                <w:top w:val="none" w:sz="0" w:space="0" w:color="auto"/>
                <w:left w:val="none" w:sz="0" w:space="0" w:color="auto"/>
                <w:bottom w:val="none" w:sz="0" w:space="0" w:color="auto"/>
                <w:right w:val="none" w:sz="0" w:space="0" w:color="auto"/>
              </w:divBdr>
            </w:div>
          </w:divsChild>
        </w:div>
        <w:div w:id="101653351">
          <w:marLeft w:val="0"/>
          <w:marRight w:val="0"/>
          <w:marTop w:val="0"/>
          <w:marBottom w:val="0"/>
          <w:divBdr>
            <w:top w:val="none" w:sz="0" w:space="0" w:color="auto"/>
            <w:left w:val="none" w:sz="0" w:space="0" w:color="auto"/>
            <w:bottom w:val="none" w:sz="0" w:space="0" w:color="auto"/>
            <w:right w:val="none" w:sz="0" w:space="0" w:color="auto"/>
          </w:divBdr>
          <w:divsChild>
            <w:div w:id="639263771">
              <w:marLeft w:val="0"/>
              <w:marRight w:val="0"/>
              <w:marTop w:val="0"/>
              <w:marBottom w:val="0"/>
              <w:divBdr>
                <w:top w:val="none" w:sz="0" w:space="0" w:color="auto"/>
                <w:left w:val="none" w:sz="0" w:space="0" w:color="auto"/>
                <w:bottom w:val="none" w:sz="0" w:space="0" w:color="auto"/>
                <w:right w:val="none" w:sz="0" w:space="0" w:color="auto"/>
              </w:divBdr>
            </w:div>
          </w:divsChild>
        </w:div>
        <w:div w:id="101734032">
          <w:marLeft w:val="0"/>
          <w:marRight w:val="0"/>
          <w:marTop w:val="0"/>
          <w:marBottom w:val="0"/>
          <w:divBdr>
            <w:top w:val="none" w:sz="0" w:space="0" w:color="auto"/>
            <w:left w:val="none" w:sz="0" w:space="0" w:color="auto"/>
            <w:bottom w:val="none" w:sz="0" w:space="0" w:color="auto"/>
            <w:right w:val="none" w:sz="0" w:space="0" w:color="auto"/>
          </w:divBdr>
          <w:divsChild>
            <w:div w:id="796484428">
              <w:marLeft w:val="0"/>
              <w:marRight w:val="0"/>
              <w:marTop w:val="0"/>
              <w:marBottom w:val="0"/>
              <w:divBdr>
                <w:top w:val="none" w:sz="0" w:space="0" w:color="auto"/>
                <w:left w:val="none" w:sz="0" w:space="0" w:color="auto"/>
                <w:bottom w:val="none" w:sz="0" w:space="0" w:color="auto"/>
                <w:right w:val="none" w:sz="0" w:space="0" w:color="auto"/>
              </w:divBdr>
            </w:div>
          </w:divsChild>
        </w:div>
        <w:div w:id="103308304">
          <w:marLeft w:val="0"/>
          <w:marRight w:val="0"/>
          <w:marTop w:val="0"/>
          <w:marBottom w:val="0"/>
          <w:divBdr>
            <w:top w:val="none" w:sz="0" w:space="0" w:color="auto"/>
            <w:left w:val="none" w:sz="0" w:space="0" w:color="auto"/>
            <w:bottom w:val="none" w:sz="0" w:space="0" w:color="auto"/>
            <w:right w:val="none" w:sz="0" w:space="0" w:color="auto"/>
          </w:divBdr>
          <w:divsChild>
            <w:div w:id="867448726">
              <w:marLeft w:val="0"/>
              <w:marRight w:val="0"/>
              <w:marTop w:val="0"/>
              <w:marBottom w:val="0"/>
              <w:divBdr>
                <w:top w:val="none" w:sz="0" w:space="0" w:color="auto"/>
                <w:left w:val="none" w:sz="0" w:space="0" w:color="auto"/>
                <w:bottom w:val="none" w:sz="0" w:space="0" w:color="auto"/>
                <w:right w:val="none" w:sz="0" w:space="0" w:color="auto"/>
              </w:divBdr>
            </w:div>
          </w:divsChild>
        </w:div>
        <w:div w:id="104424302">
          <w:marLeft w:val="0"/>
          <w:marRight w:val="0"/>
          <w:marTop w:val="0"/>
          <w:marBottom w:val="0"/>
          <w:divBdr>
            <w:top w:val="none" w:sz="0" w:space="0" w:color="auto"/>
            <w:left w:val="none" w:sz="0" w:space="0" w:color="auto"/>
            <w:bottom w:val="none" w:sz="0" w:space="0" w:color="auto"/>
            <w:right w:val="none" w:sz="0" w:space="0" w:color="auto"/>
          </w:divBdr>
          <w:divsChild>
            <w:div w:id="240649760">
              <w:marLeft w:val="0"/>
              <w:marRight w:val="0"/>
              <w:marTop w:val="0"/>
              <w:marBottom w:val="0"/>
              <w:divBdr>
                <w:top w:val="none" w:sz="0" w:space="0" w:color="auto"/>
                <w:left w:val="none" w:sz="0" w:space="0" w:color="auto"/>
                <w:bottom w:val="none" w:sz="0" w:space="0" w:color="auto"/>
                <w:right w:val="none" w:sz="0" w:space="0" w:color="auto"/>
              </w:divBdr>
            </w:div>
          </w:divsChild>
        </w:div>
        <w:div w:id="114712962">
          <w:marLeft w:val="0"/>
          <w:marRight w:val="0"/>
          <w:marTop w:val="0"/>
          <w:marBottom w:val="0"/>
          <w:divBdr>
            <w:top w:val="none" w:sz="0" w:space="0" w:color="auto"/>
            <w:left w:val="none" w:sz="0" w:space="0" w:color="auto"/>
            <w:bottom w:val="none" w:sz="0" w:space="0" w:color="auto"/>
            <w:right w:val="none" w:sz="0" w:space="0" w:color="auto"/>
          </w:divBdr>
          <w:divsChild>
            <w:div w:id="2140955021">
              <w:marLeft w:val="0"/>
              <w:marRight w:val="0"/>
              <w:marTop w:val="0"/>
              <w:marBottom w:val="0"/>
              <w:divBdr>
                <w:top w:val="none" w:sz="0" w:space="0" w:color="auto"/>
                <w:left w:val="none" w:sz="0" w:space="0" w:color="auto"/>
                <w:bottom w:val="none" w:sz="0" w:space="0" w:color="auto"/>
                <w:right w:val="none" w:sz="0" w:space="0" w:color="auto"/>
              </w:divBdr>
            </w:div>
          </w:divsChild>
        </w:div>
        <w:div w:id="120348013">
          <w:marLeft w:val="0"/>
          <w:marRight w:val="0"/>
          <w:marTop w:val="0"/>
          <w:marBottom w:val="0"/>
          <w:divBdr>
            <w:top w:val="none" w:sz="0" w:space="0" w:color="auto"/>
            <w:left w:val="none" w:sz="0" w:space="0" w:color="auto"/>
            <w:bottom w:val="none" w:sz="0" w:space="0" w:color="auto"/>
            <w:right w:val="none" w:sz="0" w:space="0" w:color="auto"/>
          </w:divBdr>
          <w:divsChild>
            <w:div w:id="1439761128">
              <w:marLeft w:val="0"/>
              <w:marRight w:val="0"/>
              <w:marTop w:val="0"/>
              <w:marBottom w:val="0"/>
              <w:divBdr>
                <w:top w:val="none" w:sz="0" w:space="0" w:color="auto"/>
                <w:left w:val="none" w:sz="0" w:space="0" w:color="auto"/>
                <w:bottom w:val="none" w:sz="0" w:space="0" w:color="auto"/>
                <w:right w:val="none" w:sz="0" w:space="0" w:color="auto"/>
              </w:divBdr>
            </w:div>
          </w:divsChild>
        </w:div>
        <w:div w:id="131366556">
          <w:marLeft w:val="0"/>
          <w:marRight w:val="0"/>
          <w:marTop w:val="0"/>
          <w:marBottom w:val="0"/>
          <w:divBdr>
            <w:top w:val="none" w:sz="0" w:space="0" w:color="auto"/>
            <w:left w:val="none" w:sz="0" w:space="0" w:color="auto"/>
            <w:bottom w:val="none" w:sz="0" w:space="0" w:color="auto"/>
            <w:right w:val="none" w:sz="0" w:space="0" w:color="auto"/>
          </w:divBdr>
          <w:divsChild>
            <w:div w:id="1408959672">
              <w:marLeft w:val="0"/>
              <w:marRight w:val="0"/>
              <w:marTop w:val="0"/>
              <w:marBottom w:val="0"/>
              <w:divBdr>
                <w:top w:val="none" w:sz="0" w:space="0" w:color="auto"/>
                <w:left w:val="none" w:sz="0" w:space="0" w:color="auto"/>
                <w:bottom w:val="none" w:sz="0" w:space="0" w:color="auto"/>
                <w:right w:val="none" w:sz="0" w:space="0" w:color="auto"/>
              </w:divBdr>
            </w:div>
          </w:divsChild>
        </w:div>
        <w:div w:id="133497840">
          <w:marLeft w:val="0"/>
          <w:marRight w:val="0"/>
          <w:marTop w:val="0"/>
          <w:marBottom w:val="0"/>
          <w:divBdr>
            <w:top w:val="none" w:sz="0" w:space="0" w:color="auto"/>
            <w:left w:val="none" w:sz="0" w:space="0" w:color="auto"/>
            <w:bottom w:val="none" w:sz="0" w:space="0" w:color="auto"/>
            <w:right w:val="none" w:sz="0" w:space="0" w:color="auto"/>
          </w:divBdr>
          <w:divsChild>
            <w:div w:id="1494756645">
              <w:marLeft w:val="0"/>
              <w:marRight w:val="0"/>
              <w:marTop w:val="0"/>
              <w:marBottom w:val="0"/>
              <w:divBdr>
                <w:top w:val="none" w:sz="0" w:space="0" w:color="auto"/>
                <w:left w:val="none" w:sz="0" w:space="0" w:color="auto"/>
                <w:bottom w:val="none" w:sz="0" w:space="0" w:color="auto"/>
                <w:right w:val="none" w:sz="0" w:space="0" w:color="auto"/>
              </w:divBdr>
            </w:div>
          </w:divsChild>
        </w:div>
        <w:div w:id="139076198">
          <w:marLeft w:val="0"/>
          <w:marRight w:val="0"/>
          <w:marTop w:val="0"/>
          <w:marBottom w:val="0"/>
          <w:divBdr>
            <w:top w:val="none" w:sz="0" w:space="0" w:color="auto"/>
            <w:left w:val="none" w:sz="0" w:space="0" w:color="auto"/>
            <w:bottom w:val="none" w:sz="0" w:space="0" w:color="auto"/>
            <w:right w:val="none" w:sz="0" w:space="0" w:color="auto"/>
          </w:divBdr>
          <w:divsChild>
            <w:div w:id="712928083">
              <w:marLeft w:val="0"/>
              <w:marRight w:val="0"/>
              <w:marTop w:val="0"/>
              <w:marBottom w:val="0"/>
              <w:divBdr>
                <w:top w:val="none" w:sz="0" w:space="0" w:color="auto"/>
                <w:left w:val="none" w:sz="0" w:space="0" w:color="auto"/>
                <w:bottom w:val="none" w:sz="0" w:space="0" w:color="auto"/>
                <w:right w:val="none" w:sz="0" w:space="0" w:color="auto"/>
              </w:divBdr>
            </w:div>
          </w:divsChild>
        </w:div>
        <w:div w:id="143814733">
          <w:marLeft w:val="0"/>
          <w:marRight w:val="0"/>
          <w:marTop w:val="0"/>
          <w:marBottom w:val="0"/>
          <w:divBdr>
            <w:top w:val="none" w:sz="0" w:space="0" w:color="auto"/>
            <w:left w:val="none" w:sz="0" w:space="0" w:color="auto"/>
            <w:bottom w:val="none" w:sz="0" w:space="0" w:color="auto"/>
            <w:right w:val="none" w:sz="0" w:space="0" w:color="auto"/>
          </w:divBdr>
          <w:divsChild>
            <w:div w:id="721178630">
              <w:marLeft w:val="0"/>
              <w:marRight w:val="0"/>
              <w:marTop w:val="0"/>
              <w:marBottom w:val="0"/>
              <w:divBdr>
                <w:top w:val="none" w:sz="0" w:space="0" w:color="auto"/>
                <w:left w:val="none" w:sz="0" w:space="0" w:color="auto"/>
                <w:bottom w:val="none" w:sz="0" w:space="0" w:color="auto"/>
                <w:right w:val="none" w:sz="0" w:space="0" w:color="auto"/>
              </w:divBdr>
            </w:div>
          </w:divsChild>
        </w:div>
        <w:div w:id="147989117">
          <w:marLeft w:val="0"/>
          <w:marRight w:val="0"/>
          <w:marTop w:val="0"/>
          <w:marBottom w:val="0"/>
          <w:divBdr>
            <w:top w:val="none" w:sz="0" w:space="0" w:color="auto"/>
            <w:left w:val="none" w:sz="0" w:space="0" w:color="auto"/>
            <w:bottom w:val="none" w:sz="0" w:space="0" w:color="auto"/>
            <w:right w:val="none" w:sz="0" w:space="0" w:color="auto"/>
          </w:divBdr>
          <w:divsChild>
            <w:div w:id="619844693">
              <w:marLeft w:val="0"/>
              <w:marRight w:val="0"/>
              <w:marTop w:val="0"/>
              <w:marBottom w:val="0"/>
              <w:divBdr>
                <w:top w:val="none" w:sz="0" w:space="0" w:color="auto"/>
                <w:left w:val="none" w:sz="0" w:space="0" w:color="auto"/>
                <w:bottom w:val="none" w:sz="0" w:space="0" w:color="auto"/>
                <w:right w:val="none" w:sz="0" w:space="0" w:color="auto"/>
              </w:divBdr>
            </w:div>
          </w:divsChild>
        </w:div>
        <w:div w:id="156531453">
          <w:marLeft w:val="0"/>
          <w:marRight w:val="0"/>
          <w:marTop w:val="0"/>
          <w:marBottom w:val="0"/>
          <w:divBdr>
            <w:top w:val="none" w:sz="0" w:space="0" w:color="auto"/>
            <w:left w:val="none" w:sz="0" w:space="0" w:color="auto"/>
            <w:bottom w:val="none" w:sz="0" w:space="0" w:color="auto"/>
            <w:right w:val="none" w:sz="0" w:space="0" w:color="auto"/>
          </w:divBdr>
          <w:divsChild>
            <w:div w:id="134837456">
              <w:marLeft w:val="0"/>
              <w:marRight w:val="0"/>
              <w:marTop w:val="0"/>
              <w:marBottom w:val="0"/>
              <w:divBdr>
                <w:top w:val="none" w:sz="0" w:space="0" w:color="auto"/>
                <w:left w:val="none" w:sz="0" w:space="0" w:color="auto"/>
                <w:bottom w:val="none" w:sz="0" w:space="0" w:color="auto"/>
                <w:right w:val="none" w:sz="0" w:space="0" w:color="auto"/>
              </w:divBdr>
            </w:div>
          </w:divsChild>
        </w:div>
        <w:div w:id="173812618">
          <w:marLeft w:val="0"/>
          <w:marRight w:val="0"/>
          <w:marTop w:val="0"/>
          <w:marBottom w:val="0"/>
          <w:divBdr>
            <w:top w:val="none" w:sz="0" w:space="0" w:color="auto"/>
            <w:left w:val="none" w:sz="0" w:space="0" w:color="auto"/>
            <w:bottom w:val="none" w:sz="0" w:space="0" w:color="auto"/>
            <w:right w:val="none" w:sz="0" w:space="0" w:color="auto"/>
          </w:divBdr>
          <w:divsChild>
            <w:div w:id="1575816937">
              <w:marLeft w:val="0"/>
              <w:marRight w:val="0"/>
              <w:marTop w:val="0"/>
              <w:marBottom w:val="0"/>
              <w:divBdr>
                <w:top w:val="none" w:sz="0" w:space="0" w:color="auto"/>
                <w:left w:val="none" w:sz="0" w:space="0" w:color="auto"/>
                <w:bottom w:val="none" w:sz="0" w:space="0" w:color="auto"/>
                <w:right w:val="none" w:sz="0" w:space="0" w:color="auto"/>
              </w:divBdr>
            </w:div>
          </w:divsChild>
        </w:div>
        <w:div w:id="182330092">
          <w:marLeft w:val="0"/>
          <w:marRight w:val="0"/>
          <w:marTop w:val="0"/>
          <w:marBottom w:val="0"/>
          <w:divBdr>
            <w:top w:val="none" w:sz="0" w:space="0" w:color="auto"/>
            <w:left w:val="none" w:sz="0" w:space="0" w:color="auto"/>
            <w:bottom w:val="none" w:sz="0" w:space="0" w:color="auto"/>
            <w:right w:val="none" w:sz="0" w:space="0" w:color="auto"/>
          </w:divBdr>
          <w:divsChild>
            <w:div w:id="875699439">
              <w:marLeft w:val="0"/>
              <w:marRight w:val="0"/>
              <w:marTop w:val="0"/>
              <w:marBottom w:val="0"/>
              <w:divBdr>
                <w:top w:val="none" w:sz="0" w:space="0" w:color="auto"/>
                <w:left w:val="none" w:sz="0" w:space="0" w:color="auto"/>
                <w:bottom w:val="none" w:sz="0" w:space="0" w:color="auto"/>
                <w:right w:val="none" w:sz="0" w:space="0" w:color="auto"/>
              </w:divBdr>
            </w:div>
          </w:divsChild>
        </w:div>
        <w:div w:id="187571787">
          <w:marLeft w:val="0"/>
          <w:marRight w:val="0"/>
          <w:marTop w:val="0"/>
          <w:marBottom w:val="0"/>
          <w:divBdr>
            <w:top w:val="none" w:sz="0" w:space="0" w:color="auto"/>
            <w:left w:val="none" w:sz="0" w:space="0" w:color="auto"/>
            <w:bottom w:val="none" w:sz="0" w:space="0" w:color="auto"/>
            <w:right w:val="none" w:sz="0" w:space="0" w:color="auto"/>
          </w:divBdr>
          <w:divsChild>
            <w:div w:id="1249460128">
              <w:marLeft w:val="0"/>
              <w:marRight w:val="0"/>
              <w:marTop w:val="0"/>
              <w:marBottom w:val="0"/>
              <w:divBdr>
                <w:top w:val="none" w:sz="0" w:space="0" w:color="auto"/>
                <w:left w:val="none" w:sz="0" w:space="0" w:color="auto"/>
                <w:bottom w:val="none" w:sz="0" w:space="0" w:color="auto"/>
                <w:right w:val="none" w:sz="0" w:space="0" w:color="auto"/>
              </w:divBdr>
            </w:div>
          </w:divsChild>
        </w:div>
        <w:div w:id="189144961">
          <w:marLeft w:val="0"/>
          <w:marRight w:val="0"/>
          <w:marTop w:val="0"/>
          <w:marBottom w:val="0"/>
          <w:divBdr>
            <w:top w:val="none" w:sz="0" w:space="0" w:color="auto"/>
            <w:left w:val="none" w:sz="0" w:space="0" w:color="auto"/>
            <w:bottom w:val="none" w:sz="0" w:space="0" w:color="auto"/>
            <w:right w:val="none" w:sz="0" w:space="0" w:color="auto"/>
          </w:divBdr>
          <w:divsChild>
            <w:div w:id="1887793057">
              <w:marLeft w:val="0"/>
              <w:marRight w:val="0"/>
              <w:marTop w:val="0"/>
              <w:marBottom w:val="0"/>
              <w:divBdr>
                <w:top w:val="none" w:sz="0" w:space="0" w:color="auto"/>
                <w:left w:val="none" w:sz="0" w:space="0" w:color="auto"/>
                <w:bottom w:val="none" w:sz="0" w:space="0" w:color="auto"/>
                <w:right w:val="none" w:sz="0" w:space="0" w:color="auto"/>
              </w:divBdr>
            </w:div>
          </w:divsChild>
        </w:div>
        <w:div w:id="191497379">
          <w:marLeft w:val="0"/>
          <w:marRight w:val="0"/>
          <w:marTop w:val="0"/>
          <w:marBottom w:val="0"/>
          <w:divBdr>
            <w:top w:val="none" w:sz="0" w:space="0" w:color="auto"/>
            <w:left w:val="none" w:sz="0" w:space="0" w:color="auto"/>
            <w:bottom w:val="none" w:sz="0" w:space="0" w:color="auto"/>
            <w:right w:val="none" w:sz="0" w:space="0" w:color="auto"/>
          </w:divBdr>
          <w:divsChild>
            <w:div w:id="1091196440">
              <w:marLeft w:val="0"/>
              <w:marRight w:val="0"/>
              <w:marTop w:val="0"/>
              <w:marBottom w:val="0"/>
              <w:divBdr>
                <w:top w:val="none" w:sz="0" w:space="0" w:color="auto"/>
                <w:left w:val="none" w:sz="0" w:space="0" w:color="auto"/>
                <w:bottom w:val="none" w:sz="0" w:space="0" w:color="auto"/>
                <w:right w:val="none" w:sz="0" w:space="0" w:color="auto"/>
              </w:divBdr>
            </w:div>
          </w:divsChild>
        </w:div>
        <w:div w:id="193815109">
          <w:marLeft w:val="0"/>
          <w:marRight w:val="0"/>
          <w:marTop w:val="0"/>
          <w:marBottom w:val="0"/>
          <w:divBdr>
            <w:top w:val="none" w:sz="0" w:space="0" w:color="auto"/>
            <w:left w:val="none" w:sz="0" w:space="0" w:color="auto"/>
            <w:bottom w:val="none" w:sz="0" w:space="0" w:color="auto"/>
            <w:right w:val="none" w:sz="0" w:space="0" w:color="auto"/>
          </w:divBdr>
          <w:divsChild>
            <w:div w:id="470245553">
              <w:marLeft w:val="0"/>
              <w:marRight w:val="0"/>
              <w:marTop w:val="0"/>
              <w:marBottom w:val="0"/>
              <w:divBdr>
                <w:top w:val="none" w:sz="0" w:space="0" w:color="auto"/>
                <w:left w:val="none" w:sz="0" w:space="0" w:color="auto"/>
                <w:bottom w:val="none" w:sz="0" w:space="0" w:color="auto"/>
                <w:right w:val="none" w:sz="0" w:space="0" w:color="auto"/>
              </w:divBdr>
            </w:div>
          </w:divsChild>
        </w:div>
        <w:div w:id="197670352">
          <w:marLeft w:val="0"/>
          <w:marRight w:val="0"/>
          <w:marTop w:val="0"/>
          <w:marBottom w:val="0"/>
          <w:divBdr>
            <w:top w:val="none" w:sz="0" w:space="0" w:color="auto"/>
            <w:left w:val="none" w:sz="0" w:space="0" w:color="auto"/>
            <w:bottom w:val="none" w:sz="0" w:space="0" w:color="auto"/>
            <w:right w:val="none" w:sz="0" w:space="0" w:color="auto"/>
          </w:divBdr>
          <w:divsChild>
            <w:div w:id="325675156">
              <w:marLeft w:val="0"/>
              <w:marRight w:val="0"/>
              <w:marTop w:val="0"/>
              <w:marBottom w:val="0"/>
              <w:divBdr>
                <w:top w:val="none" w:sz="0" w:space="0" w:color="auto"/>
                <w:left w:val="none" w:sz="0" w:space="0" w:color="auto"/>
                <w:bottom w:val="none" w:sz="0" w:space="0" w:color="auto"/>
                <w:right w:val="none" w:sz="0" w:space="0" w:color="auto"/>
              </w:divBdr>
            </w:div>
          </w:divsChild>
        </w:div>
        <w:div w:id="199242838">
          <w:marLeft w:val="0"/>
          <w:marRight w:val="0"/>
          <w:marTop w:val="0"/>
          <w:marBottom w:val="0"/>
          <w:divBdr>
            <w:top w:val="none" w:sz="0" w:space="0" w:color="auto"/>
            <w:left w:val="none" w:sz="0" w:space="0" w:color="auto"/>
            <w:bottom w:val="none" w:sz="0" w:space="0" w:color="auto"/>
            <w:right w:val="none" w:sz="0" w:space="0" w:color="auto"/>
          </w:divBdr>
          <w:divsChild>
            <w:div w:id="2097510072">
              <w:marLeft w:val="0"/>
              <w:marRight w:val="0"/>
              <w:marTop w:val="0"/>
              <w:marBottom w:val="0"/>
              <w:divBdr>
                <w:top w:val="none" w:sz="0" w:space="0" w:color="auto"/>
                <w:left w:val="none" w:sz="0" w:space="0" w:color="auto"/>
                <w:bottom w:val="none" w:sz="0" w:space="0" w:color="auto"/>
                <w:right w:val="none" w:sz="0" w:space="0" w:color="auto"/>
              </w:divBdr>
            </w:div>
          </w:divsChild>
        </w:div>
        <w:div w:id="200288135">
          <w:marLeft w:val="0"/>
          <w:marRight w:val="0"/>
          <w:marTop w:val="0"/>
          <w:marBottom w:val="0"/>
          <w:divBdr>
            <w:top w:val="none" w:sz="0" w:space="0" w:color="auto"/>
            <w:left w:val="none" w:sz="0" w:space="0" w:color="auto"/>
            <w:bottom w:val="none" w:sz="0" w:space="0" w:color="auto"/>
            <w:right w:val="none" w:sz="0" w:space="0" w:color="auto"/>
          </w:divBdr>
          <w:divsChild>
            <w:div w:id="2143770413">
              <w:marLeft w:val="0"/>
              <w:marRight w:val="0"/>
              <w:marTop w:val="0"/>
              <w:marBottom w:val="0"/>
              <w:divBdr>
                <w:top w:val="none" w:sz="0" w:space="0" w:color="auto"/>
                <w:left w:val="none" w:sz="0" w:space="0" w:color="auto"/>
                <w:bottom w:val="none" w:sz="0" w:space="0" w:color="auto"/>
                <w:right w:val="none" w:sz="0" w:space="0" w:color="auto"/>
              </w:divBdr>
            </w:div>
          </w:divsChild>
        </w:div>
        <w:div w:id="202597629">
          <w:marLeft w:val="0"/>
          <w:marRight w:val="0"/>
          <w:marTop w:val="0"/>
          <w:marBottom w:val="0"/>
          <w:divBdr>
            <w:top w:val="none" w:sz="0" w:space="0" w:color="auto"/>
            <w:left w:val="none" w:sz="0" w:space="0" w:color="auto"/>
            <w:bottom w:val="none" w:sz="0" w:space="0" w:color="auto"/>
            <w:right w:val="none" w:sz="0" w:space="0" w:color="auto"/>
          </w:divBdr>
          <w:divsChild>
            <w:div w:id="1241257002">
              <w:marLeft w:val="0"/>
              <w:marRight w:val="0"/>
              <w:marTop w:val="0"/>
              <w:marBottom w:val="0"/>
              <w:divBdr>
                <w:top w:val="none" w:sz="0" w:space="0" w:color="auto"/>
                <w:left w:val="none" w:sz="0" w:space="0" w:color="auto"/>
                <w:bottom w:val="none" w:sz="0" w:space="0" w:color="auto"/>
                <w:right w:val="none" w:sz="0" w:space="0" w:color="auto"/>
              </w:divBdr>
            </w:div>
          </w:divsChild>
        </w:div>
        <w:div w:id="206648066">
          <w:marLeft w:val="0"/>
          <w:marRight w:val="0"/>
          <w:marTop w:val="0"/>
          <w:marBottom w:val="0"/>
          <w:divBdr>
            <w:top w:val="none" w:sz="0" w:space="0" w:color="auto"/>
            <w:left w:val="none" w:sz="0" w:space="0" w:color="auto"/>
            <w:bottom w:val="none" w:sz="0" w:space="0" w:color="auto"/>
            <w:right w:val="none" w:sz="0" w:space="0" w:color="auto"/>
          </w:divBdr>
          <w:divsChild>
            <w:div w:id="1853563817">
              <w:marLeft w:val="0"/>
              <w:marRight w:val="0"/>
              <w:marTop w:val="0"/>
              <w:marBottom w:val="0"/>
              <w:divBdr>
                <w:top w:val="none" w:sz="0" w:space="0" w:color="auto"/>
                <w:left w:val="none" w:sz="0" w:space="0" w:color="auto"/>
                <w:bottom w:val="none" w:sz="0" w:space="0" w:color="auto"/>
                <w:right w:val="none" w:sz="0" w:space="0" w:color="auto"/>
              </w:divBdr>
            </w:div>
          </w:divsChild>
        </w:div>
        <w:div w:id="230114620">
          <w:marLeft w:val="0"/>
          <w:marRight w:val="0"/>
          <w:marTop w:val="0"/>
          <w:marBottom w:val="0"/>
          <w:divBdr>
            <w:top w:val="none" w:sz="0" w:space="0" w:color="auto"/>
            <w:left w:val="none" w:sz="0" w:space="0" w:color="auto"/>
            <w:bottom w:val="none" w:sz="0" w:space="0" w:color="auto"/>
            <w:right w:val="none" w:sz="0" w:space="0" w:color="auto"/>
          </w:divBdr>
          <w:divsChild>
            <w:div w:id="1402681361">
              <w:marLeft w:val="0"/>
              <w:marRight w:val="0"/>
              <w:marTop w:val="0"/>
              <w:marBottom w:val="0"/>
              <w:divBdr>
                <w:top w:val="none" w:sz="0" w:space="0" w:color="auto"/>
                <w:left w:val="none" w:sz="0" w:space="0" w:color="auto"/>
                <w:bottom w:val="none" w:sz="0" w:space="0" w:color="auto"/>
                <w:right w:val="none" w:sz="0" w:space="0" w:color="auto"/>
              </w:divBdr>
            </w:div>
          </w:divsChild>
        </w:div>
        <w:div w:id="230703501">
          <w:marLeft w:val="0"/>
          <w:marRight w:val="0"/>
          <w:marTop w:val="0"/>
          <w:marBottom w:val="0"/>
          <w:divBdr>
            <w:top w:val="none" w:sz="0" w:space="0" w:color="auto"/>
            <w:left w:val="none" w:sz="0" w:space="0" w:color="auto"/>
            <w:bottom w:val="none" w:sz="0" w:space="0" w:color="auto"/>
            <w:right w:val="none" w:sz="0" w:space="0" w:color="auto"/>
          </w:divBdr>
          <w:divsChild>
            <w:div w:id="633828871">
              <w:marLeft w:val="0"/>
              <w:marRight w:val="0"/>
              <w:marTop w:val="0"/>
              <w:marBottom w:val="0"/>
              <w:divBdr>
                <w:top w:val="none" w:sz="0" w:space="0" w:color="auto"/>
                <w:left w:val="none" w:sz="0" w:space="0" w:color="auto"/>
                <w:bottom w:val="none" w:sz="0" w:space="0" w:color="auto"/>
                <w:right w:val="none" w:sz="0" w:space="0" w:color="auto"/>
              </w:divBdr>
            </w:div>
          </w:divsChild>
        </w:div>
        <w:div w:id="244917203">
          <w:marLeft w:val="0"/>
          <w:marRight w:val="0"/>
          <w:marTop w:val="0"/>
          <w:marBottom w:val="0"/>
          <w:divBdr>
            <w:top w:val="none" w:sz="0" w:space="0" w:color="auto"/>
            <w:left w:val="none" w:sz="0" w:space="0" w:color="auto"/>
            <w:bottom w:val="none" w:sz="0" w:space="0" w:color="auto"/>
            <w:right w:val="none" w:sz="0" w:space="0" w:color="auto"/>
          </w:divBdr>
          <w:divsChild>
            <w:div w:id="983238767">
              <w:marLeft w:val="0"/>
              <w:marRight w:val="0"/>
              <w:marTop w:val="0"/>
              <w:marBottom w:val="0"/>
              <w:divBdr>
                <w:top w:val="none" w:sz="0" w:space="0" w:color="auto"/>
                <w:left w:val="none" w:sz="0" w:space="0" w:color="auto"/>
                <w:bottom w:val="none" w:sz="0" w:space="0" w:color="auto"/>
                <w:right w:val="none" w:sz="0" w:space="0" w:color="auto"/>
              </w:divBdr>
            </w:div>
          </w:divsChild>
        </w:div>
        <w:div w:id="252058956">
          <w:marLeft w:val="0"/>
          <w:marRight w:val="0"/>
          <w:marTop w:val="0"/>
          <w:marBottom w:val="0"/>
          <w:divBdr>
            <w:top w:val="none" w:sz="0" w:space="0" w:color="auto"/>
            <w:left w:val="none" w:sz="0" w:space="0" w:color="auto"/>
            <w:bottom w:val="none" w:sz="0" w:space="0" w:color="auto"/>
            <w:right w:val="none" w:sz="0" w:space="0" w:color="auto"/>
          </w:divBdr>
          <w:divsChild>
            <w:div w:id="1530609382">
              <w:marLeft w:val="0"/>
              <w:marRight w:val="0"/>
              <w:marTop w:val="0"/>
              <w:marBottom w:val="0"/>
              <w:divBdr>
                <w:top w:val="none" w:sz="0" w:space="0" w:color="auto"/>
                <w:left w:val="none" w:sz="0" w:space="0" w:color="auto"/>
                <w:bottom w:val="none" w:sz="0" w:space="0" w:color="auto"/>
                <w:right w:val="none" w:sz="0" w:space="0" w:color="auto"/>
              </w:divBdr>
            </w:div>
          </w:divsChild>
        </w:div>
        <w:div w:id="255753979">
          <w:marLeft w:val="0"/>
          <w:marRight w:val="0"/>
          <w:marTop w:val="0"/>
          <w:marBottom w:val="0"/>
          <w:divBdr>
            <w:top w:val="none" w:sz="0" w:space="0" w:color="auto"/>
            <w:left w:val="none" w:sz="0" w:space="0" w:color="auto"/>
            <w:bottom w:val="none" w:sz="0" w:space="0" w:color="auto"/>
            <w:right w:val="none" w:sz="0" w:space="0" w:color="auto"/>
          </w:divBdr>
          <w:divsChild>
            <w:div w:id="52431182">
              <w:marLeft w:val="0"/>
              <w:marRight w:val="0"/>
              <w:marTop w:val="0"/>
              <w:marBottom w:val="0"/>
              <w:divBdr>
                <w:top w:val="none" w:sz="0" w:space="0" w:color="auto"/>
                <w:left w:val="none" w:sz="0" w:space="0" w:color="auto"/>
                <w:bottom w:val="none" w:sz="0" w:space="0" w:color="auto"/>
                <w:right w:val="none" w:sz="0" w:space="0" w:color="auto"/>
              </w:divBdr>
            </w:div>
          </w:divsChild>
        </w:div>
        <w:div w:id="257176030">
          <w:marLeft w:val="0"/>
          <w:marRight w:val="0"/>
          <w:marTop w:val="0"/>
          <w:marBottom w:val="0"/>
          <w:divBdr>
            <w:top w:val="none" w:sz="0" w:space="0" w:color="auto"/>
            <w:left w:val="none" w:sz="0" w:space="0" w:color="auto"/>
            <w:bottom w:val="none" w:sz="0" w:space="0" w:color="auto"/>
            <w:right w:val="none" w:sz="0" w:space="0" w:color="auto"/>
          </w:divBdr>
          <w:divsChild>
            <w:div w:id="688070902">
              <w:marLeft w:val="0"/>
              <w:marRight w:val="0"/>
              <w:marTop w:val="0"/>
              <w:marBottom w:val="0"/>
              <w:divBdr>
                <w:top w:val="none" w:sz="0" w:space="0" w:color="auto"/>
                <w:left w:val="none" w:sz="0" w:space="0" w:color="auto"/>
                <w:bottom w:val="none" w:sz="0" w:space="0" w:color="auto"/>
                <w:right w:val="none" w:sz="0" w:space="0" w:color="auto"/>
              </w:divBdr>
            </w:div>
          </w:divsChild>
        </w:div>
        <w:div w:id="265306052">
          <w:marLeft w:val="0"/>
          <w:marRight w:val="0"/>
          <w:marTop w:val="0"/>
          <w:marBottom w:val="0"/>
          <w:divBdr>
            <w:top w:val="none" w:sz="0" w:space="0" w:color="auto"/>
            <w:left w:val="none" w:sz="0" w:space="0" w:color="auto"/>
            <w:bottom w:val="none" w:sz="0" w:space="0" w:color="auto"/>
            <w:right w:val="none" w:sz="0" w:space="0" w:color="auto"/>
          </w:divBdr>
          <w:divsChild>
            <w:div w:id="628512177">
              <w:marLeft w:val="0"/>
              <w:marRight w:val="0"/>
              <w:marTop w:val="0"/>
              <w:marBottom w:val="0"/>
              <w:divBdr>
                <w:top w:val="none" w:sz="0" w:space="0" w:color="auto"/>
                <w:left w:val="none" w:sz="0" w:space="0" w:color="auto"/>
                <w:bottom w:val="none" w:sz="0" w:space="0" w:color="auto"/>
                <w:right w:val="none" w:sz="0" w:space="0" w:color="auto"/>
              </w:divBdr>
            </w:div>
          </w:divsChild>
        </w:div>
        <w:div w:id="265697682">
          <w:marLeft w:val="0"/>
          <w:marRight w:val="0"/>
          <w:marTop w:val="0"/>
          <w:marBottom w:val="0"/>
          <w:divBdr>
            <w:top w:val="none" w:sz="0" w:space="0" w:color="auto"/>
            <w:left w:val="none" w:sz="0" w:space="0" w:color="auto"/>
            <w:bottom w:val="none" w:sz="0" w:space="0" w:color="auto"/>
            <w:right w:val="none" w:sz="0" w:space="0" w:color="auto"/>
          </w:divBdr>
          <w:divsChild>
            <w:div w:id="338849078">
              <w:marLeft w:val="0"/>
              <w:marRight w:val="0"/>
              <w:marTop w:val="0"/>
              <w:marBottom w:val="0"/>
              <w:divBdr>
                <w:top w:val="none" w:sz="0" w:space="0" w:color="auto"/>
                <w:left w:val="none" w:sz="0" w:space="0" w:color="auto"/>
                <w:bottom w:val="none" w:sz="0" w:space="0" w:color="auto"/>
                <w:right w:val="none" w:sz="0" w:space="0" w:color="auto"/>
              </w:divBdr>
            </w:div>
            <w:div w:id="957950255">
              <w:marLeft w:val="0"/>
              <w:marRight w:val="0"/>
              <w:marTop w:val="0"/>
              <w:marBottom w:val="0"/>
              <w:divBdr>
                <w:top w:val="none" w:sz="0" w:space="0" w:color="auto"/>
                <w:left w:val="none" w:sz="0" w:space="0" w:color="auto"/>
                <w:bottom w:val="none" w:sz="0" w:space="0" w:color="auto"/>
                <w:right w:val="none" w:sz="0" w:space="0" w:color="auto"/>
              </w:divBdr>
            </w:div>
            <w:div w:id="1354455453">
              <w:marLeft w:val="0"/>
              <w:marRight w:val="0"/>
              <w:marTop w:val="0"/>
              <w:marBottom w:val="0"/>
              <w:divBdr>
                <w:top w:val="none" w:sz="0" w:space="0" w:color="auto"/>
                <w:left w:val="none" w:sz="0" w:space="0" w:color="auto"/>
                <w:bottom w:val="none" w:sz="0" w:space="0" w:color="auto"/>
                <w:right w:val="none" w:sz="0" w:space="0" w:color="auto"/>
              </w:divBdr>
            </w:div>
          </w:divsChild>
        </w:div>
        <w:div w:id="267781332">
          <w:marLeft w:val="0"/>
          <w:marRight w:val="0"/>
          <w:marTop w:val="0"/>
          <w:marBottom w:val="0"/>
          <w:divBdr>
            <w:top w:val="none" w:sz="0" w:space="0" w:color="auto"/>
            <w:left w:val="none" w:sz="0" w:space="0" w:color="auto"/>
            <w:bottom w:val="none" w:sz="0" w:space="0" w:color="auto"/>
            <w:right w:val="none" w:sz="0" w:space="0" w:color="auto"/>
          </w:divBdr>
          <w:divsChild>
            <w:div w:id="312225332">
              <w:marLeft w:val="0"/>
              <w:marRight w:val="0"/>
              <w:marTop w:val="0"/>
              <w:marBottom w:val="0"/>
              <w:divBdr>
                <w:top w:val="none" w:sz="0" w:space="0" w:color="auto"/>
                <w:left w:val="none" w:sz="0" w:space="0" w:color="auto"/>
                <w:bottom w:val="none" w:sz="0" w:space="0" w:color="auto"/>
                <w:right w:val="none" w:sz="0" w:space="0" w:color="auto"/>
              </w:divBdr>
            </w:div>
          </w:divsChild>
        </w:div>
        <w:div w:id="268203779">
          <w:marLeft w:val="0"/>
          <w:marRight w:val="0"/>
          <w:marTop w:val="0"/>
          <w:marBottom w:val="0"/>
          <w:divBdr>
            <w:top w:val="none" w:sz="0" w:space="0" w:color="auto"/>
            <w:left w:val="none" w:sz="0" w:space="0" w:color="auto"/>
            <w:bottom w:val="none" w:sz="0" w:space="0" w:color="auto"/>
            <w:right w:val="none" w:sz="0" w:space="0" w:color="auto"/>
          </w:divBdr>
          <w:divsChild>
            <w:div w:id="619069795">
              <w:marLeft w:val="0"/>
              <w:marRight w:val="0"/>
              <w:marTop w:val="0"/>
              <w:marBottom w:val="0"/>
              <w:divBdr>
                <w:top w:val="none" w:sz="0" w:space="0" w:color="auto"/>
                <w:left w:val="none" w:sz="0" w:space="0" w:color="auto"/>
                <w:bottom w:val="none" w:sz="0" w:space="0" w:color="auto"/>
                <w:right w:val="none" w:sz="0" w:space="0" w:color="auto"/>
              </w:divBdr>
            </w:div>
          </w:divsChild>
        </w:div>
        <w:div w:id="281696364">
          <w:marLeft w:val="0"/>
          <w:marRight w:val="0"/>
          <w:marTop w:val="0"/>
          <w:marBottom w:val="0"/>
          <w:divBdr>
            <w:top w:val="none" w:sz="0" w:space="0" w:color="auto"/>
            <w:left w:val="none" w:sz="0" w:space="0" w:color="auto"/>
            <w:bottom w:val="none" w:sz="0" w:space="0" w:color="auto"/>
            <w:right w:val="none" w:sz="0" w:space="0" w:color="auto"/>
          </w:divBdr>
          <w:divsChild>
            <w:div w:id="842361457">
              <w:marLeft w:val="0"/>
              <w:marRight w:val="0"/>
              <w:marTop w:val="0"/>
              <w:marBottom w:val="0"/>
              <w:divBdr>
                <w:top w:val="none" w:sz="0" w:space="0" w:color="auto"/>
                <w:left w:val="none" w:sz="0" w:space="0" w:color="auto"/>
                <w:bottom w:val="none" w:sz="0" w:space="0" w:color="auto"/>
                <w:right w:val="none" w:sz="0" w:space="0" w:color="auto"/>
              </w:divBdr>
            </w:div>
          </w:divsChild>
        </w:div>
        <w:div w:id="291904660">
          <w:marLeft w:val="0"/>
          <w:marRight w:val="0"/>
          <w:marTop w:val="0"/>
          <w:marBottom w:val="0"/>
          <w:divBdr>
            <w:top w:val="none" w:sz="0" w:space="0" w:color="auto"/>
            <w:left w:val="none" w:sz="0" w:space="0" w:color="auto"/>
            <w:bottom w:val="none" w:sz="0" w:space="0" w:color="auto"/>
            <w:right w:val="none" w:sz="0" w:space="0" w:color="auto"/>
          </w:divBdr>
          <w:divsChild>
            <w:div w:id="1977486421">
              <w:marLeft w:val="0"/>
              <w:marRight w:val="0"/>
              <w:marTop w:val="0"/>
              <w:marBottom w:val="0"/>
              <w:divBdr>
                <w:top w:val="none" w:sz="0" w:space="0" w:color="auto"/>
                <w:left w:val="none" w:sz="0" w:space="0" w:color="auto"/>
                <w:bottom w:val="none" w:sz="0" w:space="0" w:color="auto"/>
                <w:right w:val="none" w:sz="0" w:space="0" w:color="auto"/>
              </w:divBdr>
            </w:div>
          </w:divsChild>
        </w:div>
        <w:div w:id="297928110">
          <w:marLeft w:val="0"/>
          <w:marRight w:val="0"/>
          <w:marTop w:val="0"/>
          <w:marBottom w:val="0"/>
          <w:divBdr>
            <w:top w:val="none" w:sz="0" w:space="0" w:color="auto"/>
            <w:left w:val="none" w:sz="0" w:space="0" w:color="auto"/>
            <w:bottom w:val="none" w:sz="0" w:space="0" w:color="auto"/>
            <w:right w:val="none" w:sz="0" w:space="0" w:color="auto"/>
          </w:divBdr>
          <w:divsChild>
            <w:div w:id="1733693672">
              <w:marLeft w:val="0"/>
              <w:marRight w:val="0"/>
              <w:marTop w:val="0"/>
              <w:marBottom w:val="0"/>
              <w:divBdr>
                <w:top w:val="none" w:sz="0" w:space="0" w:color="auto"/>
                <w:left w:val="none" w:sz="0" w:space="0" w:color="auto"/>
                <w:bottom w:val="none" w:sz="0" w:space="0" w:color="auto"/>
                <w:right w:val="none" w:sz="0" w:space="0" w:color="auto"/>
              </w:divBdr>
            </w:div>
          </w:divsChild>
        </w:div>
        <w:div w:id="298654524">
          <w:marLeft w:val="0"/>
          <w:marRight w:val="0"/>
          <w:marTop w:val="0"/>
          <w:marBottom w:val="0"/>
          <w:divBdr>
            <w:top w:val="none" w:sz="0" w:space="0" w:color="auto"/>
            <w:left w:val="none" w:sz="0" w:space="0" w:color="auto"/>
            <w:bottom w:val="none" w:sz="0" w:space="0" w:color="auto"/>
            <w:right w:val="none" w:sz="0" w:space="0" w:color="auto"/>
          </w:divBdr>
          <w:divsChild>
            <w:div w:id="1295134824">
              <w:marLeft w:val="0"/>
              <w:marRight w:val="0"/>
              <w:marTop w:val="0"/>
              <w:marBottom w:val="0"/>
              <w:divBdr>
                <w:top w:val="none" w:sz="0" w:space="0" w:color="auto"/>
                <w:left w:val="none" w:sz="0" w:space="0" w:color="auto"/>
                <w:bottom w:val="none" w:sz="0" w:space="0" w:color="auto"/>
                <w:right w:val="none" w:sz="0" w:space="0" w:color="auto"/>
              </w:divBdr>
            </w:div>
          </w:divsChild>
        </w:div>
        <w:div w:id="315573301">
          <w:marLeft w:val="0"/>
          <w:marRight w:val="0"/>
          <w:marTop w:val="0"/>
          <w:marBottom w:val="0"/>
          <w:divBdr>
            <w:top w:val="none" w:sz="0" w:space="0" w:color="auto"/>
            <w:left w:val="none" w:sz="0" w:space="0" w:color="auto"/>
            <w:bottom w:val="none" w:sz="0" w:space="0" w:color="auto"/>
            <w:right w:val="none" w:sz="0" w:space="0" w:color="auto"/>
          </w:divBdr>
          <w:divsChild>
            <w:div w:id="1522090369">
              <w:marLeft w:val="0"/>
              <w:marRight w:val="0"/>
              <w:marTop w:val="0"/>
              <w:marBottom w:val="0"/>
              <w:divBdr>
                <w:top w:val="none" w:sz="0" w:space="0" w:color="auto"/>
                <w:left w:val="none" w:sz="0" w:space="0" w:color="auto"/>
                <w:bottom w:val="none" w:sz="0" w:space="0" w:color="auto"/>
                <w:right w:val="none" w:sz="0" w:space="0" w:color="auto"/>
              </w:divBdr>
            </w:div>
          </w:divsChild>
        </w:div>
        <w:div w:id="320164194">
          <w:marLeft w:val="0"/>
          <w:marRight w:val="0"/>
          <w:marTop w:val="0"/>
          <w:marBottom w:val="0"/>
          <w:divBdr>
            <w:top w:val="none" w:sz="0" w:space="0" w:color="auto"/>
            <w:left w:val="none" w:sz="0" w:space="0" w:color="auto"/>
            <w:bottom w:val="none" w:sz="0" w:space="0" w:color="auto"/>
            <w:right w:val="none" w:sz="0" w:space="0" w:color="auto"/>
          </w:divBdr>
          <w:divsChild>
            <w:div w:id="1689059795">
              <w:marLeft w:val="0"/>
              <w:marRight w:val="0"/>
              <w:marTop w:val="0"/>
              <w:marBottom w:val="0"/>
              <w:divBdr>
                <w:top w:val="none" w:sz="0" w:space="0" w:color="auto"/>
                <w:left w:val="none" w:sz="0" w:space="0" w:color="auto"/>
                <w:bottom w:val="none" w:sz="0" w:space="0" w:color="auto"/>
                <w:right w:val="none" w:sz="0" w:space="0" w:color="auto"/>
              </w:divBdr>
            </w:div>
          </w:divsChild>
        </w:div>
        <w:div w:id="322513979">
          <w:marLeft w:val="0"/>
          <w:marRight w:val="0"/>
          <w:marTop w:val="0"/>
          <w:marBottom w:val="0"/>
          <w:divBdr>
            <w:top w:val="none" w:sz="0" w:space="0" w:color="auto"/>
            <w:left w:val="none" w:sz="0" w:space="0" w:color="auto"/>
            <w:bottom w:val="none" w:sz="0" w:space="0" w:color="auto"/>
            <w:right w:val="none" w:sz="0" w:space="0" w:color="auto"/>
          </w:divBdr>
          <w:divsChild>
            <w:div w:id="898246366">
              <w:marLeft w:val="0"/>
              <w:marRight w:val="0"/>
              <w:marTop w:val="0"/>
              <w:marBottom w:val="0"/>
              <w:divBdr>
                <w:top w:val="none" w:sz="0" w:space="0" w:color="auto"/>
                <w:left w:val="none" w:sz="0" w:space="0" w:color="auto"/>
                <w:bottom w:val="none" w:sz="0" w:space="0" w:color="auto"/>
                <w:right w:val="none" w:sz="0" w:space="0" w:color="auto"/>
              </w:divBdr>
            </w:div>
          </w:divsChild>
        </w:div>
        <w:div w:id="326443742">
          <w:marLeft w:val="0"/>
          <w:marRight w:val="0"/>
          <w:marTop w:val="0"/>
          <w:marBottom w:val="0"/>
          <w:divBdr>
            <w:top w:val="none" w:sz="0" w:space="0" w:color="auto"/>
            <w:left w:val="none" w:sz="0" w:space="0" w:color="auto"/>
            <w:bottom w:val="none" w:sz="0" w:space="0" w:color="auto"/>
            <w:right w:val="none" w:sz="0" w:space="0" w:color="auto"/>
          </w:divBdr>
          <w:divsChild>
            <w:div w:id="1700011004">
              <w:marLeft w:val="0"/>
              <w:marRight w:val="0"/>
              <w:marTop w:val="0"/>
              <w:marBottom w:val="0"/>
              <w:divBdr>
                <w:top w:val="none" w:sz="0" w:space="0" w:color="auto"/>
                <w:left w:val="none" w:sz="0" w:space="0" w:color="auto"/>
                <w:bottom w:val="none" w:sz="0" w:space="0" w:color="auto"/>
                <w:right w:val="none" w:sz="0" w:space="0" w:color="auto"/>
              </w:divBdr>
            </w:div>
          </w:divsChild>
        </w:div>
        <w:div w:id="327366582">
          <w:marLeft w:val="0"/>
          <w:marRight w:val="0"/>
          <w:marTop w:val="0"/>
          <w:marBottom w:val="0"/>
          <w:divBdr>
            <w:top w:val="none" w:sz="0" w:space="0" w:color="auto"/>
            <w:left w:val="none" w:sz="0" w:space="0" w:color="auto"/>
            <w:bottom w:val="none" w:sz="0" w:space="0" w:color="auto"/>
            <w:right w:val="none" w:sz="0" w:space="0" w:color="auto"/>
          </w:divBdr>
          <w:divsChild>
            <w:div w:id="773406231">
              <w:marLeft w:val="0"/>
              <w:marRight w:val="0"/>
              <w:marTop w:val="0"/>
              <w:marBottom w:val="0"/>
              <w:divBdr>
                <w:top w:val="none" w:sz="0" w:space="0" w:color="auto"/>
                <w:left w:val="none" w:sz="0" w:space="0" w:color="auto"/>
                <w:bottom w:val="none" w:sz="0" w:space="0" w:color="auto"/>
                <w:right w:val="none" w:sz="0" w:space="0" w:color="auto"/>
              </w:divBdr>
            </w:div>
            <w:div w:id="783381069">
              <w:marLeft w:val="0"/>
              <w:marRight w:val="0"/>
              <w:marTop w:val="0"/>
              <w:marBottom w:val="0"/>
              <w:divBdr>
                <w:top w:val="none" w:sz="0" w:space="0" w:color="auto"/>
                <w:left w:val="none" w:sz="0" w:space="0" w:color="auto"/>
                <w:bottom w:val="none" w:sz="0" w:space="0" w:color="auto"/>
                <w:right w:val="none" w:sz="0" w:space="0" w:color="auto"/>
              </w:divBdr>
            </w:div>
          </w:divsChild>
        </w:div>
        <w:div w:id="328139242">
          <w:marLeft w:val="0"/>
          <w:marRight w:val="0"/>
          <w:marTop w:val="0"/>
          <w:marBottom w:val="0"/>
          <w:divBdr>
            <w:top w:val="none" w:sz="0" w:space="0" w:color="auto"/>
            <w:left w:val="none" w:sz="0" w:space="0" w:color="auto"/>
            <w:bottom w:val="none" w:sz="0" w:space="0" w:color="auto"/>
            <w:right w:val="none" w:sz="0" w:space="0" w:color="auto"/>
          </w:divBdr>
          <w:divsChild>
            <w:div w:id="2039163487">
              <w:marLeft w:val="0"/>
              <w:marRight w:val="0"/>
              <w:marTop w:val="0"/>
              <w:marBottom w:val="0"/>
              <w:divBdr>
                <w:top w:val="none" w:sz="0" w:space="0" w:color="auto"/>
                <w:left w:val="none" w:sz="0" w:space="0" w:color="auto"/>
                <w:bottom w:val="none" w:sz="0" w:space="0" w:color="auto"/>
                <w:right w:val="none" w:sz="0" w:space="0" w:color="auto"/>
              </w:divBdr>
            </w:div>
          </w:divsChild>
        </w:div>
        <w:div w:id="333461502">
          <w:marLeft w:val="0"/>
          <w:marRight w:val="0"/>
          <w:marTop w:val="0"/>
          <w:marBottom w:val="0"/>
          <w:divBdr>
            <w:top w:val="none" w:sz="0" w:space="0" w:color="auto"/>
            <w:left w:val="none" w:sz="0" w:space="0" w:color="auto"/>
            <w:bottom w:val="none" w:sz="0" w:space="0" w:color="auto"/>
            <w:right w:val="none" w:sz="0" w:space="0" w:color="auto"/>
          </w:divBdr>
          <w:divsChild>
            <w:div w:id="59256989">
              <w:marLeft w:val="0"/>
              <w:marRight w:val="0"/>
              <w:marTop w:val="0"/>
              <w:marBottom w:val="0"/>
              <w:divBdr>
                <w:top w:val="none" w:sz="0" w:space="0" w:color="auto"/>
                <w:left w:val="none" w:sz="0" w:space="0" w:color="auto"/>
                <w:bottom w:val="none" w:sz="0" w:space="0" w:color="auto"/>
                <w:right w:val="none" w:sz="0" w:space="0" w:color="auto"/>
              </w:divBdr>
            </w:div>
          </w:divsChild>
        </w:div>
        <w:div w:id="341708326">
          <w:marLeft w:val="0"/>
          <w:marRight w:val="0"/>
          <w:marTop w:val="0"/>
          <w:marBottom w:val="0"/>
          <w:divBdr>
            <w:top w:val="none" w:sz="0" w:space="0" w:color="auto"/>
            <w:left w:val="none" w:sz="0" w:space="0" w:color="auto"/>
            <w:bottom w:val="none" w:sz="0" w:space="0" w:color="auto"/>
            <w:right w:val="none" w:sz="0" w:space="0" w:color="auto"/>
          </w:divBdr>
          <w:divsChild>
            <w:div w:id="689919296">
              <w:marLeft w:val="0"/>
              <w:marRight w:val="0"/>
              <w:marTop w:val="0"/>
              <w:marBottom w:val="0"/>
              <w:divBdr>
                <w:top w:val="none" w:sz="0" w:space="0" w:color="auto"/>
                <w:left w:val="none" w:sz="0" w:space="0" w:color="auto"/>
                <w:bottom w:val="none" w:sz="0" w:space="0" w:color="auto"/>
                <w:right w:val="none" w:sz="0" w:space="0" w:color="auto"/>
              </w:divBdr>
            </w:div>
          </w:divsChild>
        </w:div>
        <w:div w:id="342171109">
          <w:marLeft w:val="0"/>
          <w:marRight w:val="0"/>
          <w:marTop w:val="0"/>
          <w:marBottom w:val="0"/>
          <w:divBdr>
            <w:top w:val="none" w:sz="0" w:space="0" w:color="auto"/>
            <w:left w:val="none" w:sz="0" w:space="0" w:color="auto"/>
            <w:bottom w:val="none" w:sz="0" w:space="0" w:color="auto"/>
            <w:right w:val="none" w:sz="0" w:space="0" w:color="auto"/>
          </w:divBdr>
          <w:divsChild>
            <w:div w:id="1543975109">
              <w:marLeft w:val="0"/>
              <w:marRight w:val="0"/>
              <w:marTop w:val="0"/>
              <w:marBottom w:val="0"/>
              <w:divBdr>
                <w:top w:val="none" w:sz="0" w:space="0" w:color="auto"/>
                <w:left w:val="none" w:sz="0" w:space="0" w:color="auto"/>
                <w:bottom w:val="none" w:sz="0" w:space="0" w:color="auto"/>
                <w:right w:val="none" w:sz="0" w:space="0" w:color="auto"/>
              </w:divBdr>
            </w:div>
          </w:divsChild>
        </w:div>
        <w:div w:id="344288286">
          <w:marLeft w:val="0"/>
          <w:marRight w:val="0"/>
          <w:marTop w:val="0"/>
          <w:marBottom w:val="0"/>
          <w:divBdr>
            <w:top w:val="none" w:sz="0" w:space="0" w:color="auto"/>
            <w:left w:val="none" w:sz="0" w:space="0" w:color="auto"/>
            <w:bottom w:val="none" w:sz="0" w:space="0" w:color="auto"/>
            <w:right w:val="none" w:sz="0" w:space="0" w:color="auto"/>
          </w:divBdr>
          <w:divsChild>
            <w:div w:id="1189222986">
              <w:marLeft w:val="0"/>
              <w:marRight w:val="0"/>
              <w:marTop w:val="0"/>
              <w:marBottom w:val="0"/>
              <w:divBdr>
                <w:top w:val="none" w:sz="0" w:space="0" w:color="auto"/>
                <w:left w:val="none" w:sz="0" w:space="0" w:color="auto"/>
                <w:bottom w:val="none" w:sz="0" w:space="0" w:color="auto"/>
                <w:right w:val="none" w:sz="0" w:space="0" w:color="auto"/>
              </w:divBdr>
            </w:div>
          </w:divsChild>
        </w:div>
        <w:div w:id="352927293">
          <w:marLeft w:val="0"/>
          <w:marRight w:val="0"/>
          <w:marTop w:val="0"/>
          <w:marBottom w:val="0"/>
          <w:divBdr>
            <w:top w:val="none" w:sz="0" w:space="0" w:color="auto"/>
            <w:left w:val="none" w:sz="0" w:space="0" w:color="auto"/>
            <w:bottom w:val="none" w:sz="0" w:space="0" w:color="auto"/>
            <w:right w:val="none" w:sz="0" w:space="0" w:color="auto"/>
          </w:divBdr>
          <w:divsChild>
            <w:div w:id="691609049">
              <w:marLeft w:val="0"/>
              <w:marRight w:val="0"/>
              <w:marTop w:val="0"/>
              <w:marBottom w:val="0"/>
              <w:divBdr>
                <w:top w:val="none" w:sz="0" w:space="0" w:color="auto"/>
                <w:left w:val="none" w:sz="0" w:space="0" w:color="auto"/>
                <w:bottom w:val="none" w:sz="0" w:space="0" w:color="auto"/>
                <w:right w:val="none" w:sz="0" w:space="0" w:color="auto"/>
              </w:divBdr>
            </w:div>
          </w:divsChild>
        </w:div>
        <w:div w:id="354888213">
          <w:marLeft w:val="0"/>
          <w:marRight w:val="0"/>
          <w:marTop w:val="0"/>
          <w:marBottom w:val="0"/>
          <w:divBdr>
            <w:top w:val="none" w:sz="0" w:space="0" w:color="auto"/>
            <w:left w:val="none" w:sz="0" w:space="0" w:color="auto"/>
            <w:bottom w:val="none" w:sz="0" w:space="0" w:color="auto"/>
            <w:right w:val="none" w:sz="0" w:space="0" w:color="auto"/>
          </w:divBdr>
          <w:divsChild>
            <w:div w:id="1162307532">
              <w:marLeft w:val="0"/>
              <w:marRight w:val="0"/>
              <w:marTop w:val="0"/>
              <w:marBottom w:val="0"/>
              <w:divBdr>
                <w:top w:val="none" w:sz="0" w:space="0" w:color="auto"/>
                <w:left w:val="none" w:sz="0" w:space="0" w:color="auto"/>
                <w:bottom w:val="none" w:sz="0" w:space="0" w:color="auto"/>
                <w:right w:val="none" w:sz="0" w:space="0" w:color="auto"/>
              </w:divBdr>
            </w:div>
          </w:divsChild>
        </w:div>
        <w:div w:id="361901575">
          <w:marLeft w:val="0"/>
          <w:marRight w:val="0"/>
          <w:marTop w:val="0"/>
          <w:marBottom w:val="0"/>
          <w:divBdr>
            <w:top w:val="none" w:sz="0" w:space="0" w:color="auto"/>
            <w:left w:val="none" w:sz="0" w:space="0" w:color="auto"/>
            <w:bottom w:val="none" w:sz="0" w:space="0" w:color="auto"/>
            <w:right w:val="none" w:sz="0" w:space="0" w:color="auto"/>
          </w:divBdr>
          <w:divsChild>
            <w:div w:id="374356199">
              <w:marLeft w:val="0"/>
              <w:marRight w:val="0"/>
              <w:marTop w:val="0"/>
              <w:marBottom w:val="0"/>
              <w:divBdr>
                <w:top w:val="none" w:sz="0" w:space="0" w:color="auto"/>
                <w:left w:val="none" w:sz="0" w:space="0" w:color="auto"/>
                <w:bottom w:val="none" w:sz="0" w:space="0" w:color="auto"/>
                <w:right w:val="none" w:sz="0" w:space="0" w:color="auto"/>
              </w:divBdr>
            </w:div>
          </w:divsChild>
        </w:div>
        <w:div w:id="368577909">
          <w:marLeft w:val="0"/>
          <w:marRight w:val="0"/>
          <w:marTop w:val="0"/>
          <w:marBottom w:val="0"/>
          <w:divBdr>
            <w:top w:val="none" w:sz="0" w:space="0" w:color="auto"/>
            <w:left w:val="none" w:sz="0" w:space="0" w:color="auto"/>
            <w:bottom w:val="none" w:sz="0" w:space="0" w:color="auto"/>
            <w:right w:val="none" w:sz="0" w:space="0" w:color="auto"/>
          </w:divBdr>
          <w:divsChild>
            <w:div w:id="1614824850">
              <w:marLeft w:val="0"/>
              <w:marRight w:val="0"/>
              <w:marTop w:val="0"/>
              <w:marBottom w:val="0"/>
              <w:divBdr>
                <w:top w:val="none" w:sz="0" w:space="0" w:color="auto"/>
                <w:left w:val="none" w:sz="0" w:space="0" w:color="auto"/>
                <w:bottom w:val="none" w:sz="0" w:space="0" w:color="auto"/>
                <w:right w:val="none" w:sz="0" w:space="0" w:color="auto"/>
              </w:divBdr>
            </w:div>
          </w:divsChild>
        </w:div>
        <w:div w:id="374240680">
          <w:marLeft w:val="0"/>
          <w:marRight w:val="0"/>
          <w:marTop w:val="0"/>
          <w:marBottom w:val="0"/>
          <w:divBdr>
            <w:top w:val="none" w:sz="0" w:space="0" w:color="auto"/>
            <w:left w:val="none" w:sz="0" w:space="0" w:color="auto"/>
            <w:bottom w:val="none" w:sz="0" w:space="0" w:color="auto"/>
            <w:right w:val="none" w:sz="0" w:space="0" w:color="auto"/>
          </w:divBdr>
          <w:divsChild>
            <w:div w:id="1167482150">
              <w:marLeft w:val="0"/>
              <w:marRight w:val="0"/>
              <w:marTop w:val="0"/>
              <w:marBottom w:val="0"/>
              <w:divBdr>
                <w:top w:val="none" w:sz="0" w:space="0" w:color="auto"/>
                <w:left w:val="none" w:sz="0" w:space="0" w:color="auto"/>
                <w:bottom w:val="none" w:sz="0" w:space="0" w:color="auto"/>
                <w:right w:val="none" w:sz="0" w:space="0" w:color="auto"/>
              </w:divBdr>
            </w:div>
          </w:divsChild>
        </w:div>
        <w:div w:id="379090033">
          <w:marLeft w:val="0"/>
          <w:marRight w:val="0"/>
          <w:marTop w:val="0"/>
          <w:marBottom w:val="0"/>
          <w:divBdr>
            <w:top w:val="none" w:sz="0" w:space="0" w:color="auto"/>
            <w:left w:val="none" w:sz="0" w:space="0" w:color="auto"/>
            <w:bottom w:val="none" w:sz="0" w:space="0" w:color="auto"/>
            <w:right w:val="none" w:sz="0" w:space="0" w:color="auto"/>
          </w:divBdr>
          <w:divsChild>
            <w:div w:id="949242329">
              <w:marLeft w:val="0"/>
              <w:marRight w:val="0"/>
              <w:marTop w:val="0"/>
              <w:marBottom w:val="0"/>
              <w:divBdr>
                <w:top w:val="none" w:sz="0" w:space="0" w:color="auto"/>
                <w:left w:val="none" w:sz="0" w:space="0" w:color="auto"/>
                <w:bottom w:val="none" w:sz="0" w:space="0" w:color="auto"/>
                <w:right w:val="none" w:sz="0" w:space="0" w:color="auto"/>
              </w:divBdr>
            </w:div>
          </w:divsChild>
        </w:div>
        <w:div w:id="388381805">
          <w:marLeft w:val="0"/>
          <w:marRight w:val="0"/>
          <w:marTop w:val="0"/>
          <w:marBottom w:val="0"/>
          <w:divBdr>
            <w:top w:val="none" w:sz="0" w:space="0" w:color="auto"/>
            <w:left w:val="none" w:sz="0" w:space="0" w:color="auto"/>
            <w:bottom w:val="none" w:sz="0" w:space="0" w:color="auto"/>
            <w:right w:val="none" w:sz="0" w:space="0" w:color="auto"/>
          </w:divBdr>
          <w:divsChild>
            <w:div w:id="1929844204">
              <w:marLeft w:val="0"/>
              <w:marRight w:val="0"/>
              <w:marTop w:val="0"/>
              <w:marBottom w:val="0"/>
              <w:divBdr>
                <w:top w:val="none" w:sz="0" w:space="0" w:color="auto"/>
                <w:left w:val="none" w:sz="0" w:space="0" w:color="auto"/>
                <w:bottom w:val="none" w:sz="0" w:space="0" w:color="auto"/>
                <w:right w:val="none" w:sz="0" w:space="0" w:color="auto"/>
              </w:divBdr>
            </w:div>
          </w:divsChild>
        </w:div>
        <w:div w:id="389890073">
          <w:marLeft w:val="0"/>
          <w:marRight w:val="0"/>
          <w:marTop w:val="0"/>
          <w:marBottom w:val="0"/>
          <w:divBdr>
            <w:top w:val="none" w:sz="0" w:space="0" w:color="auto"/>
            <w:left w:val="none" w:sz="0" w:space="0" w:color="auto"/>
            <w:bottom w:val="none" w:sz="0" w:space="0" w:color="auto"/>
            <w:right w:val="none" w:sz="0" w:space="0" w:color="auto"/>
          </w:divBdr>
          <w:divsChild>
            <w:div w:id="1575161868">
              <w:marLeft w:val="0"/>
              <w:marRight w:val="0"/>
              <w:marTop w:val="0"/>
              <w:marBottom w:val="0"/>
              <w:divBdr>
                <w:top w:val="none" w:sz="0" w:space="0" w:color="auto"/>
                <w:left w:val="none" w:sz="0" w:space="0" w:color="auto"/>
                <w:bottom w:val="none" w:sz="0" w:space="0" w:color="auto"/>
                <w:right w:val="none" w:sz="0" w:space="0" w:color="auto"/>
              </w:divBdr>
            </w:div>
          </w:divsChild>
        </w:div>
        <w:div w:id="394352633">
          <w:marLeft w:val="0"/>
          <w:marRight w:val="0"/>
          <w:marTop w:val="0"/>
          <w:marBottom w:val="0"/>
          <w:divBdr>
            <w:top w:val="none" w:sz="0" w:space="0" w:color="auto"/>
            <w:left w:val="none" w:sz="0" w:space="0" w:color="auto"/>
            <w:bottom w:val="none" w:sz="0" w:space="0" w:color="auto"/>
            <w:right w:val="none" w:sz="0" w:space="0" w:color="auto"/>
          </w:divBdr>
          <w:divsChild>
            <w:div w:id="959340998">
              <w:marLeft w:val="0"/>
              <w:marRight w:val="0"/>
              <w:marTop w:val="0"/>
              <w:marBottom w:val="0"/>
              <w:divBdr>
                <w:top w:val="none" w:sz="0" w:space="0" w:color="auto"/>
                <w:left w:val="none" w:sz="0" w:space="0" w:color="auto"/>
                <w:bottom w:val="none" w:sz="0" w:space="0" w:color="auto"/>
                <w:right w:val="none" w:sz="0" w:space="0" w:color="auto"/>
              </w:divBdr>
            </w:div>
          </w:divsChild>
        </w:div>
        <w:div w:id="397047801">
          <w:marLeft w:val="0"/>
          <w:marRight w:val="0"/>
          <w:marTop w:val="0"/>
          <w:marBottom w:val="0"/>
          <w:divBdr>
            <w:top w:val="none" w:sz="0" w:space="0" w:color="auto"/>
            <w:left w:val="none" w:sz="0" w:space="0" w:color="auto"/>
            <w:bottom w:val="none" w:sz="0" w:space="0" w:color="auto"/>
            <w:right w:val="none" w:sz="0" w:space="0" w:color="auto"/>
          </w:divBdr>
          <w:divsChild>
            <w:div w:id="146677623">
              <w:marLeft w:val="0"/>
              <w:marRight w:val="0"/>
              <w:marTop w:val="0"/>
              <w:marBottom w:val="0"/>
              <w:divBdr>
                <w:top w:val="none" w:sz="0" w:space="0" w:color="auto"/>
                <w:left w:val="none" w:sz="0" w:space="0" w:color="auto"/>
                <w:bottom w:val="none" w:sz="0" w:space="0" w:color="auto"/>
                <w:right w:val="none" w:sz="0" w:space="0" w:color="auto"/>
              </w:divBdr>
            </w:div>
          </w:divsChild>
        </w:div>
        <w:div w:id="402027774">
          <w:marLeft w:val="0"/>
          <w:marRight w:val="0"/>
          <w:marTop w:val="0"/>
          <w:marBottom w:val="0"/>
          <w:divBdr>
            <w:top w:val="none" w:sz="0" w:space="0" w:color="auto"/>
            <w:left w:val="none" w:sz="0" w:space="0" w:color="auto"/>
            <w:bottom w:val="none" w:sz="0" w:space="0" w:color="auto"/>
            <w:right w:val="none" w:sz="0" w:space="0" w:color="auto"/>
          </w:divBdr>
          <w:divsChild>
            <w:div w:id="1866018913">
              <w:marLeft w:val="0"/>
              <w:marRight w:val="0"/>
              <w:marTop w:val="0"/>
              <w:marBottom w:val="0"/>
              <w:divBdr>
                <w:top w:val="none" w:sz="0" w:space="0" w:color="auto"/>
                <w:left w:val="none" w:sz="0" w:space="0" w:color="auto"/>
                <w:bottom w:val="none" w:sz="0" w:space="0" w:color="auto"/>
                <w:right w:val="none" w:sz="0" w:space="0" w:color="auto"/>
              </w:divBdr>
            </w:div>
          </w:divsChild>
        </w:div>
        <w:div w:id="415060476">
          <w:marLeft w:val="0"/>
          <w:marRight w:val="0"/>
          <w:marTop w:val="0"/>
          <w:marBottom w:val="0"/>
          <w:divBdr>
            <w:top w:val="none" w:sz="0" w:space="0" w:color="auto"/>
            <w:left w:val="none" w:sz="0" w:space="0" w:color="auto"/>
            <w:bottom w:val="none" w:sz="0" w:space="0" w:color="auto"/>
            <w:right w:val="none" w:sz="0" w:space="0" w:color="auto"/>
          </w:divBdr>
          <w:divsChild>
            <w:div w:id="1498575053">
              <w:marLeft w:val="0"/>
              <w:marRight w:val="0"/>
              <w:marTop w:val="0"/>
              <w:marBottom w:val="0"/>
              <w:divBdr>
                <w:top w:val="none" w:sz="0" w:space="0" w:color="auto"/>
                <w:left w:val="none" w:sz="0" w:space="0" w:color="auto"/>
                <w:bottom w:val="none" w:sz="0" w:space="0" w:color="auto"/>
                <w:right w:val="none" w:sz="0" w:space="0" w:color="auto"/>
              </w:divBdr>
            </w:div>
          </w:divsChild>
        </w:div>
        <w:div w:id="419764117">
          <w:marLeft w:val="0"/>
          <w:marRight w:val="0"/>
          <w:marTop w:val="0"/>
          <w:marBottom w:val="0"/>
          <w:divBdr>
            <w:top w:val="none" w:sz="0" w:space="0" w:color="auto"/>
            <w:left w:val="none" w:sz="0" w:space="0" w:color="auto"/>
            <w:bottom w:val="none" w:sz="0" w:space="0" w:color="auto"/>
            <w:right w:val="none" w:sz="0" w:space="0" w:color="auto"/>
          </w:divBdr>
          <w:divsChild>
            <w:div w:id="230698958">
              <w:marLeft w:val="0"/>
              <w:marRight w:val="0"/>
              <w:marTop w:val="0"/>
              <w:marBottom w:val="0"/>
              <w:divBdr>
                <w:top w:val="none" w:sz="0" w:space="0" w:color="auto"/>
                <w:left w:val="none" w:sz="0" w:space="0" w:color="auto"/>
                <w:bottom w:val="none" w:sz="0" w:space="0" w:color="auto"/>
                <w:right w:val="none" w:sz="0" w:space="0" w:color="auto"/>
              </w:divBdr>
            </w:div>
          </w:divsChild>
        </w:div>
        <w:div w:id="421528930">
          <w:marLeft w:val="0"/>
          <w:marRight w:val="0"/>
          <w:marTop w:val="0"/>
          <w:marBottom w:val="0"/>
          <w:divBdr>
            <w:top w:val="none" w:sz="0" w:space="0" w:color="auto"/>
            <w:left w:val="none" w:sz="0" w:space="0" w:color="auto"/>
            <w:bottom w:val="none" w:sz="0" w:space="0" w:color="auto"/>
            <w:right w:val="none" w:sz="0" w:space="0" w:color="auto"/>
          </w:divBdr>
          <w:divsChild>
            <w:div w:id="1373574630">
              <w:marLeft w:val="0"/>
              <w:marRight w:val="0"/>
              <w:marTop w:val="0"/>
              <w:marBottom w:val="0"/>
              <w:divBdr>
                <w:top w:val="none" w:sz="0" w:space="0" w:color="auto"/>
                <w:left w:val="none" w:sz="0" w:space="0" w:color="auto"/>
                <w:bottom w:val="none" w:sz="0" w:space="0" w:color="auto"/>
                <w:right w:val="none" w:sz="0" w:space="0" w:color="auto"/>
              </w:divBdr>
            </w:div>
          </w:divsChild>
        </w:div>
        <w:div w:id="432360955">
          <w:marLeft w:val="0"/>
          <w:marRight w:val="0"/>
          <w:marTop w:val="0"/>
          <w:marBottom w:val="0"/>
          <w:divBdr>
            <w:top w:val="none" w:sz="0" w:space="0" w:color="auto"/>
            <w:left w:val="none" w:sz="0" w:space="0" w:color="auto"/>
            <w:bottom w:val="none" w:sz="0" w:space="0" w:color="auto"/>
            <w:right w:val="none" w:sz="0" w:space="0" w:color="auto"/>
          </w:divBdr>
          <w:divsChild>
            <w:div w:id="1183939493">
              <w:marLeft w:val="0"/>
              <w:marRight w:val="0"/>
              <w:marTop w:val="0"/>
              <w:marBottom w:val="0"/>
              <w:divBdr>
                <w:top w:val="none" w:sz="0" w:space="0" w:color="auto"/>
                <w:left w:val="none" w:sz="0" w:space="0" w:color="auto"/>
                <w:bottom w:val="none" w:sz="0" w:space="0" w:color="auto"/>
                <w:right w:val="none" w:sz="0" w:space="0" w:color="auto"/>
              </w:divBdr>
            </w:div>
          </w:divsChild>
        </w:div>
        <w:div w:id="435760341">
          <w:marLeft w:val="0"/>
          <w:marRight w:val="0"/>
          <w:marTop w:val="0"/>
          <w:marBottom w:val="0"/>
          <w:divBdr>
            <w:top w:val="none" w:sz="0" w:space="0" w:color="auto"/>
            <w:left w:val="none" w:sz="0" w:space="0" w:color="auto"/>
            <w:bottom w:val="none" w:sz="0" w:space="0" w:color="auto"/>
            <w:right w:val="none" w:sz="0" w:space="0" w:color="auto"/>
          </w:divBdr>
          <w:divsChild>
            <w:div w:id="1245064176">
              <w:marLeft w:val="0"/>
              <w:marRight w:val="0"/>
              <w:marTop w:val="0"/>
              <w:marBottom w:val="0"/>
              <w:divBdr>
                <w:top w:val="none" w:sz="0" w:space="0" w:color="auto"/>
                <w:left w:val="none" w:sz="0" w:space="0" w:color="auto"/>
                <w:bottom w:val="none" w:sz="0" w:space="0" w:color="auto"/>
                <w:right w:val="none" w:sz="0" w:space="0" w:color="auto"/>
              </w:divBdr>
            </w:div>
          </w:divsChild>
        </w:div>
        <w:div w:id="437069979">
          <w:marLeft w:val="0"/>
          <w:marRight w:val="0"/>
          <w:marTop w:val="0"/>
          <w:marBottom w:val="0"/>
          <w:divBdr>
            <w:top w:val="none" w:sz="0" w:space="0" w:color="auto"/>
            <w:left w:val="none" w:sz="0" w:space="0" w:color="auto"/>
            <w:bottom w:val="none" w:sz="0" w:space="0" w:color="auto"/>
            <w:right w:val="none" w:sz="0" w:space="0" w:color="auto"/>
          </w:divBdr>
          <w:divsChild>
            <w:div w:id="1170563143">
              <w:marLeft w:val="0"/>
              <w:marRight w:val="0"/>
              <w:marTop w:val="0"/>
              <w:marBottom w:val="0"/>
              <w:divBdr>
                <w:top w:val="none" w:sz="0" w:space="0" w:color="auto"/>
                <w:left w:val="none" w:sz="0" w:space="0" w:color="auto"/>
                <w:bottom w:val="none" w:sz="0" w:space="0" w:color="auto"/>
                <w:right w:val="none" w:sz="0" w:space="0" w:color="auto"/>
              </w:divBdr>
            </w:div>
          </w:divsChild>
        </w:div>
        <w:div w:id="440347642">
          <w:marLeft w:val="0"/>
          <w:marRight w:val="0"/>
          <w:marTop w:val="0"/>
          <w:marBottom w:val="0"/>
          <w:divBdr>
            <w:top w:val="none" w:sz="0" w:space="0" w:color="auto"/>
            <w:left w:val="none" w:sz="0" w:space="0" w:color="auto"/>
            <w:bottom w:val="none" w:sz="0" w:space="0" w:color="auto"/>
            <w:right w:val="none" w:sz="0" w:space="0" w:color="auto"/>
          </w:divBdr>
          <w:divsChild>
            <w:div w:id="542643989">
              <w:marLeft w:val="0"/>
              <w:marRight w:val="0"/>
              <w:marTop w:val="0"/>
              <w:marBottom w:val="0"/>
              <w:divBdr>
                <w:top w:val="none" w:sz="0" w:space="0" w:color="auto"/>
                <w:left w:val="none" w:sz="0" w:space="0" w:color="auto"/>
                <w:bottom w:val="none" w:sz="0" w:space="0" w:color="auto"/>
                <w:right w:val="none" w:sz="0" w:space="0" w:color="auto"/>
              </w:divBdr>
            </w:div>
          </w:divsChild>
        </w:div>
        <w:div w:id="448623453">
          <w:marLeft w:val="0"/>
          <w:marRight w:val="0"/>
          <w:marTop w:val="0"/>
          <w:marBottom w:val="0"/>
          <w:divBdr>
            <w:top w:val="none" w:sz="0" w:space="0" w:color="auto"/>
            <w:left w:val="none" w:sz="0" w:space="0" w:color="auto"/>
            <w:bottom w:val="none" w:sz="0" w:space="0" w:color="auto"/>
            <w:right w:val="none" w:sz="0" w:space="0" w:color="auto"/>
          </w:divBdr>
          <w:divsChild>
            <w:div w:id="97913404">
              <w:marLeft w:val="0"/>
              <w:marRight w:val="0"/>
              <w:marTop w:val="0"/>
              <w:marBottom w:val="0"/>
              <w:divBdr>
                <w:top w:val="none" w:sz="0" w:space="0" w:color="auto"/>
                <w:left w:val="none" w:sz="0" w:space="0" w:color="auto"/>
                <w:bottom w:val="none" w:sz="0" w:space="0" w:color="auto"/>
                <w:right w:val="none" w:sz="0" w:space="0" w:color="auto"/>
              </w:divBdr>
            </w:div>
          </w:divsChild>
        </w:div>
        <w:div w:id="451631943">
          <w:marLeft w:val="0"/>
          <w:marRight w:val="0"/>
          <w:marTop w:val="0"/>
          <w:marBottom w:val="0"/>
          <w:divBdr>
            <w:top w:val="none" w:sz="0" w:space="0" w:color="auto"/>
            <w:left w:val="none" w:sz="0" w:space="0" w:color="auto"/>
            <w:bottom w:val="none" w:sz="0" w:space="0" w:color="auto"/>
            <w:right w:val="none" w:sz="0" w:space="0" w:color="auto"/>
          </w:divBdr>
          <w:divsChild>
            <w:div w:id="958688364">
              <w:marLeft w:val="0"/>
              <w:marRight w:val="0"/>
              <w:marTop w:val="0"/>
              <w:marBottom w:val="0"/>
              <w:divBdr>
                <w:top w:val="none" w:sz="0" w:space="0" w:color="auto"/>
                <w:left w:val="none" w:sz="0" w:space="0" w:color="auto"/>
                <w:bottom w:val="none" w:sz="0" w:space="0" w:color="auto"/>
                <w:right w:val="none" w:sz="0" w:space="0" w:color="auto"/>
              </w:divBdr>
            </w:div>
          </w:divsChild>
        </w:div>
        <w:div w:id="458645698">
          <w:marLeft w:val="0"/>
          <w:marRight w:val="0"/>
          <w:marTop w:val="0"/>
          <w:marBottom w:val="0"/>
          <w:divBdr>
            <w:top w:val="none" w:sz="0" w:space="0" w:color="auto"/>
            <w:left w:val="none" w:sz="0" w:space="0" w:color="auto"/>
            <w:bottom w:val="none" w:sz="0" w:space="0" w:color="auto"/>
            <w:right w:val="none" w:sz="0" w:space="0" w:color="auto"/>
          </w:divBdr>
          <w:divsChild>
            <w:div w:id="1041713658">
              <w:marLeft w:val="0"/>
              <w:marRight w:val="0"/>
              <w:marTop w:val="0"/>
              <w:marBottom w:val="0"/>
              <w:divBdr>
                <w:top w:val="none" w:sz="0" w:space="0" w:color="auto"/>
                <w:left w:val="none" w:sz="0" w:space="0" w:color="auto"/>
                <w:bottom w:val="none" w:sz="0" w:space="0" w:color="auto"/>
                <w:right w:val="none" w:sz="0" w:space="0" w:color="auto"/>
              </w:divBdr>
            </w:div>
          </w:divsChild>
        </w:div>
        <w:div w:id="467625510">
          <w:marLeft w:val="0"/>
          <w:marRight w:val="0"/>
          <w:marTop w:val="0"/>
          <w:marBottom w:val="0"/>
          <w:divBdr>
            <w:top w:val="none" w:sz="0" w:space="0" w:color="auto"/>
            <w:left w:val="none" w:sz="0" w:space="0" w:color="auto"/>
            <w:bottom w:val="none" w:sz="0" w:space="0" w:color="auto"/>
            <w:right w:val="none" w:sz="0" w:space="0" w:color="auto"/>
          </w:divBdr>
          <w:divsChild>
            <w:div w:id="774250796">
              <w:marLeft w:val="0"/>
              <w:marRight w:val="0"/>
              <w:marTop w:val="0"/>
              <w:marBottom w:val="0"/>
              <w:divBdr>
                <w:top w:val="none" w:sz="0" w:space="0" w:color="auto"/>
                <w:left w:val="none" w:sz="0" w:space="0" w:color="auto"/>
                <w:bottom w:val="none" w:sz="0" w:space="0" w:color="auto"/>
                <w:right w:val="none" w:sz="0" w:space="0" w:color="auto"/>
              </w:divBdr>
            </w:div>
          </w:divsChild>
        </w:div>
        <w:div w:id="478113563">
          <w:marLeft w:val="0"/>
          <w:marRight w:val="0"/>
          <w:marTop w:val="0"/>
          <w:marBottom w:val="0"/>
          <w:divBdr>
            <w:top w:val="none" w:sz="0" w:space="0" w:color="auto"/>
            <w:left w:val="none" w:sz="0" w:space="0" w:color="auto"/>
            <w:bottom w:val="none" w:sz="0" w:space="0" w:color="auto"/>
            <w:right w:val="none" w:sz="0" w:space="0" w:color="auto"/>
          </w:divBdr>
          <w:divsChild>
            <w:div w:id="1007634574">
              <w:marLeft w:val="0"/>
              <w:marRight w:val="0"/>
              <w:marTop w:val="0"/>
              <w:marBottom w:val="0"/>
              <w:divBdr>
                <w:top w:val="none" w:sz="0" w:space="0" w:color="auto"/>
                <w:left w:val="none" w:sz="0" w:space="0" w:color="auto"/>
                <w:bottom w:val="none" w:sz="0" w:space="0" w:color="auto"/>
                <w:right w:val="none" w:sz="0" w:space="0" w:color="auto"/>
              </w:divBdr>
            </w:div>
          </w:divsChild>
        </w:div>
        <w:div w:id="479082452">
          <w:marLeft w:val="0"/>
          <w:marRight w:val="0"/>
          <w:marTop w:val="0"/>
          <w:marBottom w:val="0"/>
          <w:divBdr>
            <w:top w:val="none" w:sz="0" w:space="0" w:color="auto"/>
            <w:left w:val="none" w:sz="0" w:space="0" w:color="auto"/>
            <w:bottom w:val="none" w:sz="0" w:space="0" w:color="auto"/>
            <w:right w:val="none" w:sz="0" w:space="0" w:color="auto"/>
          </w:divBdr>
          <w:divsChild>
            <w:div w:id="1499736051">
              <w:marLeft w:val="0"/>
              <w:marRight w:val="0"/>
              <w:marTop w:val="0"/>
              <w:marBottom w:val="0"/>
              <w:divBdr>
                <w:top w:val="none" w:sz="0" w:space="0" w:color="auto"/>
                <w:left w:val="none" w:sz="0" w:space="0" w:color="auto"/>
                <w:bottom w:val="none" w:sz="0" w:space="0" w:color="auto"/>
                <w:right w:val="none" w:sz="0" w:space="0" w:color="auto"/>
              </w:divBdr>
            </w:div>
          </w:divsChild>
        </w:div>
        <w:div w:id="479999806">
          <w:marLeft w:val="0"/>
          <w:marRight w:val="0"/>
          <w:marTop w:val="0"/>
          <w:marBottom w:val="0"/>
          <w:divBdr>
            <w:top w:val="none" w:sz="0" w:space="0" w:color="auto"/>
            <w:left w:val="none" w:sz="0" w:space="0" w:color="auto"/>
            <w:bottom w:val="none" w:sz="0" w:space="0" w:color="auto"/>
            <w:right w:val="none" w:sz="0" w:space="0" w:color="auto"/>
          </w:divBdr>
          <w:divsChild>
            <w:div w:id="1763453011">
              <w:marLeft w:val="0"/>
              <w:marRight w:val="0"/>
              <w:marTop w:val="0"/>
              <w:marBottom w:val="0"/>
              <w:divBdr>
                <w:top w:val="none" w:sz="0" w:space="0" w:color="auto"/>
                <w:left w:val="none" w:sz="0" w:space="0" w:color="auto"/>
                <w:bottom w:val="none" w:sz="0" w:space="0" w:color="auto"/>
                <w:right w:val="none" w:sz="0" w:space="0" w:color="auto"/>
              </w:divBdr>
            </w:div>
          </w:divsChild>
        </w:div>
        <w:div w:id="487474843">
          <w:marLeft w:val="0"/>
          <w:marRight w:val="0"/>
          <w:marTop w:val="0"/>
          <w:marBottom w:val="0"/>
          <w:divBdr>
            <w:top w:val="none" w:sz="0" w:space="0" w:color="auto"/>
            <w:left w:val="none" w:sz="0" w:space="0" w:color="auto"/>
            <w:bottom w:val="none" w:sz="0" w:space="0" w:color="auto"/>
            <w:right w:val="none" w:sz="0" w:space="0" w:color="auto"/>
          </w:divBdr>
          <w:divsChild>
            <w:div w:id="1496800063">
              <w:marLeft w:val="0"/>
              <w:marRight w:val="0"/>
              <w:marTop w:val="0"/>
              <w:marBottom w:val="0"/>
              <w:divBdr>
                <w:top w:val="none" w:sz="0" w:space="0" w:color="auto"/>
                <w:left w:val="none" w:sz="0" w:space="0" w:color="auto"/>
                <w:bottom w:val="none" w:sz="0" w:space="0" w:color="auto"/>
                <w:right w:val="none" w:sz="0" w:space="0" w:color="auto"/>
              </w:divBdr>
            </w:div>
          </w:divsChild>
        </w:div>
        <w:div w:id="488642122">
          <w:marLeft w:val="0"/>
          <w:marRight w:val="0"/>
          <w:marTop w:val="0"/>
          <w:marBottom w:val="0"/>
          <w:divBdr>
            <w:top w:val="none" w:sz="0" w:space="0" w:color="auto"/>
            <w:left w:val="none" w:sz="0" w:space="0" w:color="auto"/>
            <w:bottom w:val="none" w:sz="0" w:space="0" w:color="auto"/>
            <w:right w:val="none" w:sz="0" w:space="0" w:color="auto"/>
          </w:divBdr>
          <w:divsChild>
            <w:div w:id="1346664417">
              <w:marLeft w:val="0"/>
              <w:marRight w:val="0"/>
              <w:marTop w:val="0"/>
              <w:marBottom w:val="0"/>
              <w:divBdr>
                <w:top w:val="none" w:sz="0" w:space="0" w:color="auto"/>
                <w:left w:val="none" w:sz="0" w:space="0" w:color="auto"/>
                <w:bottom w:val="none" w:sz="0" w:space="0" w:color="auto"/>
                <w:right w:val="none" w:sz="0" w:space="0" w:color="auto"/>
              </w:divBdr>
            </w:div>
          </w:divsChild>
        </w:div>
        <w:div w:id="488643686">
          <w:marLeft w:val="0"/>
          <w:marRight w:val="0"/>
          <w:marTop w:val="0"/>
          <w:marBottom w:val="0"/>
          <w:divBdr>
            <w:top w:val="none" w:sz="0" w:space="0" w:color="auto"/>
            <w:left w:val="none" w:sz="0" w:space="0" w:color="auto"/>
            <w:bottom w:val="none" w:sz="0" w:space="0" w:color="auto"/>
            <w:right w:val="none" w:sz="0" w:space="0" w:color="auto"/>
          </w:divBdr>
          <w:divsChild>
            <w:div w:id="852577356">
              <w:marLeft w:val="0"/>
              <w:marRight w:val="0"/>
              <w:marTop w:val="0"/>
              <w:marBottom w:val="0"/>
              <w:divBdr>
                <w:top w:val="none" w:sz="0" w:space="0" w:color="auto"/>
                <w:left w:val="none" w:sz="0" w:space="0" w:color="auto"/>
                <w:bottom w:val="none" w:sz="0" w:space="0" w:color="auto"/>
                <w:right w:val="none" w:sz="0" w:space="0" w:color="auto"/>
              </w:divBdr>
            </w:div>
          </w:divsChild>
        </w:div>
        <w:div w:id="494339728">
          <w:marLeft w:val="0"/>
          <w:marRight w:val="0"/>
          <w:marTop w:val="0"/>
          <w:marBottom w:val="0"/>
          <w:divBdr>
            <w:top w:val="none" w:sz="0" w:space="0" w:color="auto"/>
            <w:left w:val="none" w:sz="0" w:space="0" w:color="auto"/>
            <w:bottom w:val="none" w:sz="0" w:space="0" w:color="auto"/>
            <w:right w:val="none" w:sz="0" w:space="0" w:color="auto"/>
          </w:divBdr>
          <w:divsChild>
            <w:div w:id="2094817167">
              <w:marLeft w:val="0"/>
              <w:marRight w:val="0"/>
              <w:marTop w:val="0"/>
              <w:marBottom w:val="0"/>
              <w:divBdr>
                <w:top w:val="none" w:sz="0" w:space="0" w:color="auto"/>
                <w:left w:val="none" w:sz="0" w:space="0" w:color="auto"/>
                <w:bottom w:val="none" w:sz="0" w:space="0" w:color="auto"/>
                <w:right w:val="none" w:sz="0" w:space="0" w:color="auto"/>
              </w:divBdr>
            </w:div>
          </w:divsChild>
        </w:div>
        <w:div w:id="495071598">
          <w:marLeft w:val="0"/>
          <w:marRight w:val="0"/>
          <w:marTop w:val="0"/>
          <w:marBottom w:val="0"/>
          <w:divBdr>
            <w:top w:val="none" w:sz="0" w:space="0" w:color="auto"/>
            <w:left w:val="none" w:sz="0" w:space="0" w:color="auto"/>
            <w:bottom w:val="none" w:sz="0" w:space="0" w:color="auto"/>
            <w:right w:val="none" w:sz="0" w:space="0" w:color="auto"/>
          </w:divBdr>
          <w:divsChild>
            <w:div w:id="317348831">
              <w:marLeft w:val="0"/>
              <w:marRight w:val="0"/>
              <w:marTop w:val="0"/>
              <w:marBottom w:val="0"/>
              <w:divBdr>
                <w:top w:val="none" w:sz="0" w:space="0" w:color="auto"/>
                <w:left w:val="none" w:sz="0" w:space="0" w:color="auto"/>
                <w:bottom w:val="none" w:sz="0" w:space="0" w:color="auto"/>
                <w:right w:val="none" w:sz="0" w:space="0" w:color="auto"/>
              </w:divBdr>
            </w:div>
          </w:divsChild>
        </w:div>
        <w:div w:id="499084449">
          <w:marLeft w:val="0"/>
          <w:marRight w:val="0"/>
          <w:marTop w:val="0"/>
          <w:marBottom w:val="0"/>
          <w:divBdr>
            <w:top w:val="none" w:sz="0" w:space="0" w:color="auto"/>
            <w:left w:val="none" w:sz="0" w:space="0" w:color="auto"/>
            <w:bottom w:val="none" w:sz="0" w:space="0" w:color="auto"/>
            <w:right w:val="none" w:sz="0" w:space="0" w:color="auto"/>
          </w:divBdr>
          <w:divsChild>
            <w:div w:id="263541113">
              <w:marLeft w:val="0"/>
              <w:marRight w:val="0"/>
              <w:marTop w:val="0"/>
              <w:marBottom w:val="0"/>
              <w:divBdr>
                <w:top w:val="none" w:sz="0" w:space="0" w:color="auto"/>
                <w:left w:val="none" w:sz="0" w:space="0" w:color="auto"/>
                <w:bottom w:val="none" w:sz="0" w:space="0" w:color="auto"/>
                <w:right w:val="none" w:sz="0" w:space="0" w:color="auto"/>
              </w:divBdr>
            </w:div>
          </w:divsChild>
        </w:div>
        <w:div w:id="500892919">
          <w:marLeft w:val="0"/>
          <w:marRight w:val="0"/>
          <w:marTop w:val="0"/>
          <w:marBottom w:val="0"/>
          <w:divBdr>
            <w:top w:val="none" w:sz="0" w:space="0" w:color="auto"/>
            <w:left w:val="none" w:sz="0" w:space="0" w:color="auto"/>
            <w:bottom w:val="none" w:sz="0" w:space="0" w:color="auto"/>
            <w:right w:val="none" w:sz="0" w:space="0" w:color="auto"/>
          </w:divBdr>
          <w:divsChild>
            <w:div w:id="1801074986">
              <w:marLeft w:val="0"/>
              <w:marRight w:val="0"/>
              <w:marTop w:val="0"/>
              <w:marBottom w:val="0"/>
              <w:divBdr>
                <w:top w:val="none" w:sz="0" w:space="0" w:color="auto"/>
                <w:left w:val="none" w:sz="0" w:space="0" w:color="auto"/>
                <w:bottom w:val="none" w:sz="0" w:space="0" w:color="auto"/>
                <w:right w:val="none" w:sz="0" w:space="0" w:color="auto"/>
              </w:divBdr>
            </w:div>
          </w:divsChild>
        </w:div>
        <w:div w:id="513030496">
          <w:marLeft w:val="0"/>
          <w:marRight w:val="0"/>
          <w:marTop w:val="0"/>
          <w:marBottom w:val="0"/>
          <w:divBdr>
            <w:top w:val="none" w:sz="0" w:space="0" w:color="auto"/>
            <w:left w:val="none" w:sz="0" w:space="0" w:color="auto"/>
            <w:bottom w:val="none" w:sz="0" w:space="0" w:color="auto"/>
            <w:right w:val="none" w:sz="0" w:space="0" w:color="auto"/>
          </w:divBdr>
          <w:divsChild>
            <w:div w:id="626469531">
              <w:marLeft w:val="0"/>
              <w:marRight w:val="0"/>
              <w:marTop w:val="0"/>
              <w:marBottom w:val="0"/>
              <w:divBdr>
                <w:top w:val="none" w:sz="0" w:space="0" w:color="auto"/>
                <w:left w:val="none" w:sz="0" w:space="0" w:color="auto"/>
                <w:bottom w:val="none" w:sz="0" w:space="0" w:color="auto"/>
                <w:right w:val="none" w:sz="0" w:space="0" w:color="auto"/>
              </w:divBdr>
            </w:div>
          </w:divsChild>
        </w:div>
        <w:div w:id="519130099">
          <w:marLeft w:val="0"/>
          <w:marRight w:val="0"/>
          <w:marTop w:val="0"/>
          <w:marBottom w:val="0"/>
          <w:divBdr>
            <w:top w:val="none" w:sz="0" w:space="0" w:color="auto"/>
            <w:left w:val="none" w:sz="0" w:space="0" w:color="auto"/>
            <w:bottom w:val="none" w:sz="0" w:space="0" w:color="auto"/>
            <w:right w:val="none" w:sz="0" w:space="0" w:color="auto"/>
          </w:divBdr>
          <w:divsChild>
            <w:div w:id="954673302">
              <w:marLeft w:val="0"/>
              <w:marRight w:val="0"/>
              <w:marTop w:val="0"/>
              <w:marBottom w:val="0"/>
              <w:divBdr>
                <w:top w:val="none" w:sz="0" w:space="0" w:color="auto"/>
                <w:left w:val="none" w:sz="0" w:space="0" w:color="auto"/>
                <w:bottom w:val="none" w:sz="0" w:space="0" w:color="auto"/>
                <w:right w:val="none" w:sz="0" w:space="0" w:color="auto"/>
              </w:divBdr>
            </w:div>
          </w:divsChild>
        </w:div>
        <w:div w:id="526716719">
          <w:marLeft w:val="0"/>
          <w:marRight w:val="0"/>
          <w:marTop w:val="0"/>
          <w:marBottom w:val="0"/>
          <w:divBdr>
            <w:top w:val="none" w:sz="0" w:space="0" w:color="auto"/>
            <w:left w:val="none" w:sz="0" w:space="0" w:color="auto"/>
            <w:bottom w:val="none" w:sz="0" w:space="0" w:color="auto"/>
            <w:right w:val="none" w:sz="0" w:space="0" w:color="auto"/>
          </w:divBdr>
          <w:divsChild>
            <w:div w:id="1028261415">
              <w:marLeft w:val="0"/>
              <w:marRight w:val="0"/>
              <w:marTop w:val="0"/>
              <w:marBottom w:val="0"/>
              <w:divBdr>
                <w:top w:val="none" w:sz="0" w:space="0" w:color="auto"/>
                <w:left w:val="none" w:sz="0" w:space="0" w:color="auto"/>
                <w:bottom w:val="none" w:sz="0" w:space="0" w:color="auto"/>
                <w:right w:val="none" w:sz="0" w:space="0" w:color="auto"/>
              </w:divBdr>
            </w:div>
          </w:divsChild>
        </w:div>
        <w:div w:id="527108474">
          <w:marLeft w:val="0"/>
          <w:marRight w:val="0"/>
          <w:marTop w:val="0"/>
          <w:marBottom w:val="0"/>
          <w:divBdr>
            <w:top w:val="none" w:sz="0" w:space="0" w:color="auto"/>
            <w:left w:val="none" w:sz="0" w:space="0" w:color="auto"/>
            <w:bottom w:val="none" w:sz="0" w:space="0" w:color="auto"/>
            <w:right w:val="none" w:sz="0" w:space="0" w:color="auto"/>
          </w:divBdr>
          <w:divsChild>
            <w:div w:id="907150661">
              <w:marLeft w:val="0"/>
              <w:marRight w:val="0"/>
              <w:marTop w:val="0"/>
              <w:marBottom w:val="0"/>
              <w:divBdr>
                <w:top w:val="none" w:sz="0" w:space="0" w:color="auto"/>
                <w:left w:val="none" w:sz="0" w:space="0" w:color="auto"/>
                <w:bottom w:val="none" w:sz="0" w:space="0" w:color="auto"/>
                <w:right w:val="none" w:sz="0" w:space="0" w:color="auto"/>
              </w:divBdr>
            </w:div>
          </w:divsChild>
        </w:div>
        <w:div w:id="533082983">
          <w:marLeft w:val="0"/>
          <w:marRight w:val="0"/>
          <w:marTop w:val="0"/>
          <w:marBottom w:val="0"/>
          <w:divBdr>
            <w:top w:val="none" w:sz="0" w:space="0" w:color="auto"/>
            <w:left w:val="none" w:sz="0" w:space="0" w:color="auto"/>
            <w:bottom w:val="none" w:sz="0" w:space="0" w:color="auto"/>
            <w:right w:val="none" w:sz="0" w:space="0" w:color="auto"/>
          </w:divBdr>
          <w:divsChild>
            <w:div w:id="138888741">
              <w:marLeft w:val="0"/>
              <w:marRight w:val="0"/>
              <w:marTop w:val="0"/>
              <w:marBottom w:val="0"/>
              <w:divBdr>
                <w:top w:val="none" w:sz="0" w:space="0" w:color="auto"/>
                <w:left w:val="none" w:sz="0" w:space="0" w:color="auto"/>
                <w:bottom w:val="none" w:sz="0" w:space="0" w:color="auto"/>
                <w:right w:val="none" w:sz="0" w:space="0" w:color="auto"/>
              </w:divBdr>
            </w:div>
          </w:divsChild>
        </w:div>
        <w:div w:id="535122256">
          <w:marLeft w:val="0"/>
          <w:marRight w:val="0"/>
          <w:marTop w:val="0"/>
          <w:marBottom w:val="0"/>
          <w:divBdr>
            <w:top w:val="none" w:sz="0" w:space="0" w:color="auto"/>
            <w:left w:val="none" w:sz="0" w:space="0" w:color="auto"/>
            <w:bottom w:val="none" w:sz="0" w:space="0" w:color="auto"/>
            <w:right w:val="none" w:sz="0" w:space="0" w:color="auto"/>
          </w:divBdr>
          <w:divsChild>
            <w:div w:id="748499889">
              <w:marLeft w:val="0"/>
              <w:marRight w:val="0"/>
              <w:marTop w:val="0"/>
              <w:marBottom w:val="0"/>
              <w:divBdr>
                <w:top w:val="none" w:sz="0" w:space="0" w:color="auto"/>
                <w:left w:val="none" w:sz="0" w:space="0" w:color="auto"/>
                <w:bottom w:val="none" w:sz="0" w:space="0" w:color="auto"/>
                <w:right w:val="none" w:sz="0" w:space="0" w:color="auto"/>
              </w:divBdr>
            </w:div>
          </w:divsChild>
        </w:div>
        <w:div w:id="538318166">
          <w:marLeft w:val="0"/>
          <w:marRight w:val="0"/>
          <w:marTop w:val="0"/>
          <w:marBottom w:val="0"/>
          <w:divBdr>
            <w:top w:val="none" w:sz="0" w:space="0" w:color="auto"/>
            <w:left w:val="none" w:sz="0" w:space="0" w:color="auto"/>
            <w:bottom w:val="none" w:sz="0" w:space="0" w:color="auto"/>
            <w:right w:val="none" w:sz="0" w:space="0" w:color="auto"/>
          </w:divBdr>
          <w:divsChild>
            <w:div w:id="514199457">
              <w:marLeft w:val="0"/>
              <w:marRight w:val="0"/>
              <w:marTop w:val="0"/>
              <w:marBottom w:val="0"/>
              <w:divBdr>
                <w:top w:val="none" w:sz="0" w:space="0" w:color="auto"/>
                <w:left w:val="none" w:sz="0" w:space="0" w:color="auto"/>
                <w:bottom w:val="none" w:sz="0" w:space="0" w:color="auto"/>
                <w:right w:val="none" w:sz="0" w:space="0" w:color="auto"/>
              </w:divBdr>
            </w:div>
          </w:divsChild>
        </w:div>
        <w:div w:id="543099080">
          <w:marLeft w:val="0"/>
          <w:marRight w:val="0"/>
          <w:marTop w:val="0"/>
          <w:marBottom w:val="0"/>
          <w:divBdr>
            <w:top w:val="none" w:sz="0" w:space="0" w:color="auto"/>
            <w:left w:val="none" w:sz="0" w:space="0" w:color="auto"/>
            <w:bottom w:val="none" w:sz="0" w:space="0" w:color="auto"/>
            <w:right w:val="none" w:sz="0" w:space="0" w:color="auto"/>
          </w:divBdr>
          <w:divsChild>
            <w:div w:id="324093007">
              <w:marLeft w:val="0"/>
              <w:marRight w:val="0"/>
              <w:marTop w:val="0"/>
              <w:marBottom w:val="0"/>
              <w:divBdr>
                <w:top w:val="none" w:sz="0" w:space="0" w:color="auto"/>
                <w:left w:val="none" w:sz="0" w:space="0" w:color="auto"/>
                <w:bottom w:val="none" w:sz="0" w:space="0" w:color="auto"/>
                <w:right w:val="none" w:sz="0" w:space="0" w:color="auto"/>
              </w:divBdr>
            </w:div>
          </w:divsChild>
        </w:div>
        <w:div w:id="546186689">
          <w:marLeft w:val="0"/>
          <w:marRight w:val="0"/>
          <w:marTop w:val="0"/>
          <w:marBottom w:val="0"/>
          <w:divBdr>
            <w:top w:val="none" w:sz="0" w:space="0" w:color="auto"/>
            <w:left w:val="none" w:sz="0" w:space="0" w:color="auto"/>
            <w:bottom w:val="none" w:sz="0" w:space="0" w:color="auto"/>
            <w:right w:val="none" w:sz="0" w:space="0" w:color="auto"/>
          </w:divBdr>
          <w:divsChild>
            <w:div w:id="1012999215">
              <w:marLeft w:val="0"/>
              <w:marRight w:val="0"/>
              <w:marTop w:val="0"/>
              <w:marBottom w:val="0"/>
              <w:divBdr>
                <w:top w:val="none" w:sz="0" w:space="0" w:color="auto"/>
                <w:left w:val="none" w:sz="0" w:space="0" w:color="auto"/>
                <w:bottom w:val="none" w:sz="0" w:space="0" w:color="auto"/>
                <w:right w:val="none" w:sz="0" w:space="0" w:color="auto"/>
              </w:divBdr>
            </w:div>
          </w:divsChild>
        </w:div>
        <w:div w:id="556938438">
          <w:marLeft w:val="0"/>
          <w:marRight w:val="0"/>
          <w:marTop w:val="0"/>
          <w:marBottom w:val="0"/>
          <w:divBdr>
            <w:top w:val="none" w:sz="0" w:space="0" w:color="auto"/>
            <w:left w:val="none" w:sz="0" w:space="0" w:color="auto"/>
            <w:bottom w:val="none" w:sz="0" w:space="0" w:color="auto"/>
            <w:right w:val="none" w:sz="0" w:space="0" w:color="auto"/>
          </w:divBdr>
          <w:divsChild>
            <w:div w:id="1730882911">
              <w:marLeft w:val="0"/>
              <w:marRight w:val="0"/>
              <w:marTop w:val="0"/>
              <w:marBottom w:val="0"/>
              <w:divBdr>
                <w:top w:val="none" w:sz="0" w:space="0" w:color="auto"/>
                <w:left w:val="none" w:sz="0" w:space="0" w:color="auto"/>
                <w:bottom w:val="none" w:sz="0" w:space="0" w:color="auto"/>
                <w:right w:val="none" w:sz="0" w:space="0" w:color="auto"/>
              </w:divBdr>
            </w:div>
          </w:divsChild>
        </w:div>
        <w:div w:id="557132540">
          <w:marLeft w:val="0"/>
          <w:marRight w:val="0"/>
          <w:marTop w:val="0"/>
          <w:marBottom w:val="0"/>
          <w:divBdr>
            <w:top w:val="none" w:sz="0" w:space="0" w:color="auto"/>
            <w:left w:val="none" w:sz="0" w:space="0" w:color="auto"/>
            <w:bottom w:val="none" w:sz="0" w:space="0" w:color="auto"/>
            <w:right w:val="none" w:sz="0" w:space="0" w:color="auto"/>
          </w:divBdr>
          <w:divsChild>
            <w:div w:id="564411147">
              <w:marLeft w:val="0"/>
              <w:marRight w:val="0"/>
              <w:marTop w:val="0"/>
              <w:marBottom w:val="0"/>
              <w:divBdr>
                <w:top w:val="none" w:sz="0" w:space="0" w:color="auto"/>
                <w:left w:val="none" w:sz="0" w:space="0" w:color="auto"/>
                <w:bottom w:val="none" w:sz="0" w:space="0" w:color="auto"/>
                <w:right w:val="none" w:sz="0" w:space="0" w:color="auto"/>
              </w:divBdr>
            </w:div>
          </w:divsChild>
        </w:div>
        <w:div w:id="563639583">
          <w:marLeft w:val="0"/>
          <w:marRight w:val="0"/>
          <w:marTop w:val="0"/>
          <w:marBottom w:val="0"/>
          <w:divBdr>
            <w:top w:val="none" w:sz="0" w:space="0" w:color="auto"/>
            <w:left w:val="none" w:sz="0" w:space="0" w:color="auto"/>
            <w:bottom w:val="none" w:sz="0" w:space="0" w:color="auto"/>
            <w:right w:val="none" w:sz="0" w:space="0" w:color="auto"/>
          </w:divBdr>
          <w:divsChild>
            <w:div w:id="1529877676">
              <w:marLeft w:val="0"/>
              <w:marRight w:val="0"/>
              <w:marTop w:val="0"/>
              <w:marBottom w:val="0"/>
              <w:divBdr>
                <w:top w:val="none" w:sz="0" w:space="0" w:color="auto"/>
                <w:left w:val="none" w:sz="0" w:space="0" w:color="auto"/>
                <w:bottom w:val="none" w:sz="0" w:space="0" w:color="auto"/>
                <w:right w:val="none" w:sz="0" w:space="0" w:color="auto"/>
              </w:divBdr>
            </w:div>
          </w:divsChild>
        </w:div>
        <w:div w:id="572129606">
          <w:marLeft w:val="0"/>
          <w:marRight w:val="0"/>
          <w:marTop w:val="0"/>
          <w:marBottom w:val="0"/>
          <w:divBdr>
            <w:top w:val="none" w:sz="0" w:space="0" w:color="auto"/>
            <w:left w:val="none" w:sz="0" w:space="0" w:color="auto"/>
            <w:bottom w:val="none" w:sz="0" w:space="0" w:color="auto"/>
            <w:right w:val="none" w:sz="0" w:space="0" w:color="auto"/>
          </w:divBdr>
          <w:divsChild>
            <w:div w:id="257981346">
              <w:marLeft w:val="0"/>
              <w:marRight w:val="0"/>
              <w:marTop w:val="0"/>
              <w:marBottom w:val="0"/>
              <w:divBdr>
                <w:top w:val="none" w:sz="0" w:space="0" w:color="auto"/>
                <w:left w:val="none" w:sz="0" w:space="0" w:color="auto"/>
                <w:bottom w:val="none" w:sz="0" w:space="0" w:color="auto"/>
                <w:right w:val="none" w:sz="0" w:space="0" w:color="auto"/>
              </w:divBdr>
            </w:div>
          </w:divsChild>
        </w:div>
        <w:div w:id="585113419">
          <w:marLeft w:val="0"/>
          <w:marRight w:val="0"/>
          <w:marTop w:val="0"/>
          <w:marBottom w:val="0"/>
          <w:divBdr>
            <w:top w:val="none" w:sz="0" w:space="0" w:color="auto"/>
            <w:left w:val="none" w:sz="0" w:space="0" w:color="auto"/>
            <w:bottom w:val="none" w:sz="0" w:space="0" w:color="auto"/>
            <w:right w:val="none" w:sz="0" w:space="0" w:color="auto"/>
          </w:divBdr>
          <w:divsChild>
            <w:div w:id="1614747257">
              <w:marLeft w:val="0"/>
              <w:marRight w:val="0"/>
              <w:marTop w:val="0"/>
              <w:marBottom w:val="0"/>
              <w:divBdr>
                <w:top w:val="none" w:sz="0" w:space="0" w:color="auto"/>
                <w:left w:val="none" w:sz="0" w:space="0" w:color="auto"/>
                <w:bottom w:val="none" w:sz="0" w:space="0" w:color="auto"/>
                <w:right w:val="none" w:sz="0" w:space="0" w:color="auto"/>
              </w:divBdr>
            </w:div>
          </w:divsChild>
        </w:div>
        <w:div w:id="586308682">
          <w:marLeft w:val="0"/>
          <w:marRight w:val="0"/>
          <w:marTop w:val="0"/>
          <w:marBottom w:val="0"/>
          <w:divBdr>
            <w:top w:val="none" w:sz="0" w:space="0" w:color="auto"/>
            <w:left w:val="none" w:sz="0" w:space="0" w:color="auto"/>
            <w:bottom w:val="none" w:sz="0" w:space="0" w:color="auto"/>
            <w:right w:val="none" w:sz="0" w:space="0" w:color="auto"/>
          </w:divBdr>
          <w:divsChild>
            <w:div w:id="1994406116">
              <w:marLeft w:val="0"/>
              <w:marRight w:val="0"/>
              <w:marTop w:val="0"/>
              <w:marBottom w:val="0"/>
              <w:divBdr>
                <w:top w:val="none" w:sz="0" w:space="0" w:color="auto"/>
                <w:left w:val="none" w:sz="0" w:space="0" w:color="auto"/>
                <w:bottom w:val="none" w:sz="0" w:space="0" w:color="auto"/>
                <w:right w:val="none" w:sz="0" w:space="0" w:color="auto"/>
              </w:divBdr>
            </w:div>
          </w:divsChild>
        </w:div>
        <w:div w:id="590511640">
          <w:marLeft w:val="0"/>
          <w:marRight w:val="0"/>
          <w:marTop w:val="0"/>
          <w:marBottom w:val="0"/>
          <w:divBdr>
            <w:top w:val="none" w:sz="0" w:space="0" w:color="auto"/>
            <w:left w:val="none" w:sz="0" w:space="0" w:color="auto"/>
            <w:bottom w:val="none" w:sz="0" w:space="0" w:color="auto"/>
            <w:right w:val="none" w:sz="0" w:space="0" w:color="auto"/>
          </w:divBdr>
          <w:divsChild>
            <w:div w:id="534074958">
              <w:marLeft w:val="0"/>
              <w:marRight w:val="0"/>
              <w:marTop w:val="0"/>
              <w:marBottom w:val="0"/>
              <w:divBdr>
                <w:top w:val="none" w:sz="0" w:space="0" w:color="auto"/>
                <w:left w:val="none" w:sz="0" w:space="0" w:color="auto"/>
                <w:bottom w:val="none" w:sz="0" w:space="0" w:color="auto"/>
                <w:right w:val="none" w:sz="0" w:space="0" w:color="auto"/>
              </w:divBdr>
            </w:div>
          </w:divsChild>
        </w:div>
        <w:div w:id="594674060">
          <w:marLeft w:val="0"/>
          <w:marRight w:val="0"/>
          <w:marTop w:val="0"/>
          <w:marBottom w:val="0"/>
          <w:divBdr>
            <w:top w:val="none" w:sz="0" w:space="0" w:color="auto"/>
            <w:left w:val="none" w:sz="0" w:space="0" w:color="auto"/>
            <w:bottom w:val="none" w:sz="0" w:space="0" w:color="auto"/>
            <w:right w:val="none" w:sz="0" w:space="0" w:color="auto"/>
          </w:divBdr>
          <w:divsChild>
            <w:div w:id="2046445694">
              <w:marLeft w:val="0"/>
              <w:marRight w:val="0"/>
              <w:marTop w:val="0"/>
              <w:marBottom w:val="0"/>
              <w:divBdr>
                <w:top w:val="none" w:sz="0" w:space="0" w:color="auto"/>
                <w:left w:val="none" w:sz="0" w:space="0" w:color="auto"/>
                <w:bottom w:val="none" w:sz="0" w:space="0" w:color="auto"/>
                <w:right w:val="none" w:sz="0" w:space="0" w:color="auto"/>
              </w:divBdr>
            </w:div>
          </w:divsChild>
        </w:div>
        <w:div w:id="597443272">
          <w:marLeft w:val="0"/>
          <w:marRight w:val="0"/>
          <w:marTop w:val="0"/>
          <w:marBottom w:val="0"/>
          <w:divBdr>
            <w:top w:val="none" w:sz="0" w:space="0" w:color="auto"/>
            <w:left w:val="none" w:sz="0" w:space="0" w:color="auto"/>
            <w:bottom w:val="none" w:sz="0" w:space="0" w:color="auto"/>
            <w:right w:val="none" w:sz="0" w:space="0" w:color="auto"/>
          </w:divBdr>
          <w:divsChild>
            <w:div w:id="1971588938">
              <w:marLeft w:val="0"/>
              <w:marRight w:val="0"/>
              <w:marTop w:val="0"/>
              <w:marBottom w:val="0"/>
              <w:divBdr>
                <w:top w:val="none" w:sz="0" w:space="0" w:color="auto"/>
                <w:left w:val="none" w:sz="0" w:space="0" w:color="auto"/>
                <w:bottom w:val="none" w:sz="0" w:space="0" w:color="auto"/>
                <w:right w:val="none" w:sz="0" w:space="0" w:color="auto"/>
              </w:divBdr>
            </w:div>
          </w:divsChild>
        </w:div>
        <w:div w:id="599877713">
          <w:marLeft w:val="0"/>
          <w:marRight w:val="0"/>
          <w:marTop w:val="0"/>
          <w:marBottom w:val="0"/>
          <w:divBdr>
            <w:top w:val="none" w:sz="0" w:space="0" w:color="auto"/>
            <w:left w:val="none" w:sz="0" w:space="0" w:color="auto"/>
            <w:bottom w:val="none" w:sz="0" w:space="0" w:color="auto"/>
            <w:right w:val="none" w:sz="0" w:space="0" w:color="auto"/>
          </w:divBdr>
          <w:divsChild>
            <w:div w:id="83456993">
              <w:marLeft w:val="0"/>
              <w:marRight w:val="0"/>
              <w:marTop w:val="0"/>
              <w:marBottom w:val="0"/>
              <w:divBdr>
                <w:top w:val="none" w:sz="0" w:space="0" w:color="auto"/>
                <w:left w:val="none" w:sz="0" w:space="0" w:color="auto"/>
                <w:bottom w:val="none" w:sz="0" w:space="0" w:color="auto"/>
                <w:right w:val="none" w:sz="0" w:space="0" w:color="auto"/>
              </w:divBdr>
            </w:div>
          </w:divsChild>
        </w:div>
        <w:div w:id="600912652">
          <w:marLeft w:val="0"/>
          <w:marRight w:val="0"/>
          <w:marTop w:val="0"/>
          <w:marBottom w:val="0"/>
          <w:divBdr>
            <w:top w:val="none" w:sz="0" w:space="0" w:color="auto"/>
            <w:left w:val="none" w:sz="0" w:space="0" w:color="auto"/>
            <w:bottom w:val="none" w:sz="0" w:space="0" w:color="auto"/>
            <w:right w:val="none" w:sz="0" w:space="0" w:color="auto"/>
          </w:divBdr>
          <w:divsChild>
            <w:div w:id="1659574892">
              <w:marLeft w:val="0"/>
              <w:marRight w:val="0"/>
              <w:marTop w:val="0"/>
              <w:marBottom w:val="0"/>
              <w:divBdr>
                <w:top w:val="none" w:sz="0" w:space="0" w:color="auto"/>
                <w:left w:val="none" w:sz="0" w:space="0" w:color="auto"/>
                <w:bottom w:val="none" w:sz="0" w:space="0" w:color="auto"/>
                <w:right w:val="none" w:sz="0" w:space="0" w:color="auto"/>
              </w:divBdr>
            </w:div>
          </w:divsChild>
        </w:div>
        <w:div w:id="604575388">
          <w:marLeft w:val="0"/>
          <w:marRight w:val="0"/>
          <w:marTop w:val="0"/>
          <w:marBottom w:val="0"/>
          <w:divBdr>
            <w:top w:val="none" w:sz="0" w:space="0" w:color="auto"/>
            <w:left w:val="none" w:sz="0" w:space="0" w:color="auto"/>
            <w:bottom w:val="none" w:sz="0" w:space="0" w:color="auto"/>
            <w:right w:val="none" w:sz="0" w:space="0" w:color="auto"/>
          </w:divBdr>
          <w:divsChild>
            <w:div w:id="1044938275">
              <w:marLeft w:val="0"/>
              <w:marRight w:val="0"/>
              <w:marTop w:val="0"/>
              <w:marBottom w:val="0"/>
              <w:divBdr>
                <w:top w:val="none" w:sz="0" w:space="0" w:color="auto"/>
                <w:left w:val="none" w:sz="0" w:space="0" w:color="auto"/>
                <w:bottom w:val="none" w:sz="0" w:space="0" w:color="auto"/>
                <w:right w:val="none" w:sz="0" w:space="0" w:color="auto"/>
              </w:divBdr>
            </w:div>
          </w:divsChild>
        </w:div>
        <w:div w:id="605623824">
          <w:marLeft w:val="0"/>
          <w:marRight w:val="0"/>
          <w:marTop w:val="0"/>
          <w:marBottom w:val="0"/>
          <w:divBdr>
            <w:top w:val="none" w:sz="0" w:space="0" w:color="auto"/>
            <w:left w:val="none" w:sz="0" w:space="0" w:color="auto"/>
            <w:bottom w:val="none" w:sz="0" w:space="0" w:color="auto"/>
            <w:right w:val="none" w:sz="0" w:space="0" w:color="auto"/>
          </w:divBdr>
          <w:divsChild>
            <w:div w:id="1187402408">
              <w:marLeft w:val="0"/>
              <w:marRight w:val="0"/>
              <w:marTop w:val="0"/>
              <w:marBottom w:val="0"/>
              <w:divBdr>
                <w:top w:val="none" w:sz="0" w:space="0" w:color="auto"/>
                <w:left w:val="none" w:sz="0" w:space="0" w:color="auto"/>
                <w:bottom w:val="none" w:sz="0" w:space="0" w:color="auto"/>
                <w:right w:val="none" w:sz="0" w:space="0" w:color="auto"/>
              </w:divBdr>
            </w:div>
          </w:divsChild>
        </w:div>
        <w:div w:id="611520074">
          <w:marLeft w:val="0"/>
          <w:marRight w:val="0"/>
          <w:marTop w:val="0"/>
          <w:marBottom w:val="0"/>
          <w:divBdr>
            <w:top w:val="none" w:sz="0" w:space="0" w:color="auto"/>
            <w:left w:val="none" w:sz="0" w:space="0" w:color="auto"/>
            <w:bottom w:val="none" w:sz="0" w:space="0" w:color="auto"/>
            <w:right w:val="none" w:sz="0" w:space="0" w:color="auto"/>
          </w:divBdr>
          <w:divsChild>
            <w:div w:id="39986480">
              <w:marLeft w:val="0"/>
              <w:marRight w:val="0"/>
              <w:marTop w:val="0"/>
              <w:marBottom w:val="0"/>
              <w:divBdr>
                <w:top w:val="none" w:sz="0" w:space="0" w:color="auto"/>
                <w:left w:val="none" w:sz="0" w:space="0" w:color="auto"/>
                <w:bottom w:val="none" w:sz="0" w:space="0" w:color="auto"/>
                <w:right w:val="none" w:sz="0" w:space="0" w:color="auto"/>
              </w:divBdr>
            </w:div>
          </w:divsChild>
        </w:div>
        <w:div w:id="612054196">
          <w:marLeft w:val="0"/>
          <w:marRight w:val="0"/>
          <w:marTop w:val="0"/>
          <w:marBottom w:val="0"/>
          <w:divBdr>
            <w:top w:val="none" w:sz="0" w:space="0" w:color="auto"/>
            <w:left w:val="none" w:sz="0" w:space="0" w:color="auto"/>
            <w:bottom w:val="none" w:sz="0" w:space="0" w:color="auto"/>
            <w:right w:val="none" w:sz="0" w:space="0" w:color="auto"/>
          </w:divBdr>
          <w:divsChild>
            <w:div w:id="1471097072">
              <w:marLeft w:val="0"/>
              <w:marRight w:val="0"/>
              <w:marTop w:val="0"/>
              <w:marBottom w:val="0"/>
              <w:divBdr>
                <w:top w:val="none" w:sz="0" w:space="0" w:color="auto"/>
                <w:left w:val="none" w:sz="0" w:space="0" w:color="auto"/>
                <w:bottom w:val="none" w:sz="0" w:space="0" w:color="auto"/>
                <w:right w:val="none" w:sz="0" w:space="0" w:color="auto"/>
              </w:divBdr>
            </w:div>
          </w:divsChild>
        </w:div>
        <w:div w:id="623270062">
          <w:marLeft w:val="0"/>
          <w:marRight w:val="0"/>
          <w:marTop w:val="0"/>
          <w:marBottom w:val="0"/>
          <w:divBdr>
            <w:top w:val="none" w:sz="0" w:space="0" w:color="auto"/>
            <w:left w:val="none" w:sz="0" w:space="0" w:color="auto"/>
            <w:bottom w:val="none" w:sz="0" w:space="0" w:color="auto"/>
            <w:right w:val="none" w:sz="0" w:space="0" w:color="auto"/>
          </w:divBdr>
          <w:divsChild>
            <w:div w:id="445584770">
              <w:marLeft w:val="0"/>
              <w:marRight w:val="0"/>
              <w:marTop w:val="0"/>
              <w:marBottom w:val="0"/>
              <w:divBdr>
                <w:top w:val="none" w:sz="0" w:space="0" w:color="auto"/>
                <w:left w:val="none" w:sz="0" w:space="0" w:color="auto"/>
                <w:bottom w:val="none" w:sz="0" w:space="0" w:color="auto"/>
                <w:right w:val="none" w:sz="0" w:space="0" w:color="auto"/>
              </w:divBdr>
            </w:div>
          </w:divsChild>
        </w:div>
        <w:div w:id="626012787">
          <w:marLeft w:val="0"/>
          <w:marRight w:val="0"/>
          <w:marTop w:val="0"/>
          <w:marBottom w:val="0"/>
          <w:divBdr>
            <w:top w:val="none" w:sz="0" w:space="0" w:color="auto"/>
            <w:left w:val="none" w:sz="0" w:space="0" w:color="auto"/>
            <w:bottom w:val="none" w:sz="0" w:space="0" w:color="auto"/>
            <w:right w:val="none" w:sz="0" w:space="0" w:color="auto"/>
          </w:divBdr>
          <w:divsChild>
            <w:div w:id="558788196">
              <w:marLeft w:val="0"/>
              <w:marRight w:val="0"/>
              <w:marTop w:val="0"/>
              <w:marBottom w:val="0"/>
              <w:divBdr>
                <w:top w:val="none" w:sz="0" w:space="0" w:color="auto"/>
                <w:left w:val="none" w:sz="0" w:space="0" w:color="auto"/>
                <w:bottom w:val="none" w:sz="0" w:space="0" w:color="auto"/>
                <w:right w:val="none" w:sz="0" w:space="0" w:color="auto"/>
              </w:divBdr>
            </w:div>
          </w:divsChild>
        </w:div>
        <w:div w:id="626132798">
          <w:marLeft w:val="0"/>
          <w:marRight w:val="0"/>
          <w:marTop w:val="0"/>
          <w:marBottom w:val="0"/>
          <w:divBdr>
            <w:top w:val="none" w:sz="0" w:space="0" w:color="auto"/>
            <w:left w:val="none" w:sz="0" w:space="0" w:color="auto"/>
            <w:bottom w:val="none" w:sz="0" w:space="0" w:color="auto"/>
            <w:right w:val="none" w:sz="0" w:space="0" w:color="auto"/>
          </w:divBdr>
          <w:divsChild>
            <w:div w:id="1981887522">
              <w:marLeft w:val="0"/>
              <w:marRight w:val="0"/>
              <w:marTop w:val="0"/>
              <w:marBottom w:val="0"/>
              <w:divBdr>
                <w:top w:val="none" w:sz="0" w:space="0" w:color="auto"/>
                <w:left w:val="none" w:sz="0" w:space="0" w:color="auto"/>
                <w:bottom w:val="none" w:sz="0" w:space="0" w:color="auto"/>
                <w:right w:val="none" w:sz="0" w:space="0" w:color="auto"/>
              </w:divBdr>
            </w:div>
          </w:divsChild>
        </w:div>
        <w:div w:id="628170185">
          <w:marLeft w:val="0"/>
          <w:marRight w:val="0"/>
          <w:marTop w:val="0"/>
          <w:marBottom w:val="0"/>
          <w:divBdr>
            <w:top w:val="none" w:sz="0" w:space="0" w:color="auto"/>
            <w:left w:val="none" w:sz="0" w:space="0" w:color="auto"/>
            <w:bottom w:val="none" w:sz="0" w:space="0" w:color="auto"/>
            <w:right w:val="none" w:sz="0" w:space="0" w:color="auto"/>
          </w:divBdr>
          <w:divsChild>
            <w:div w:id="493570498">
              <w:marLeft w:val="0"/>
              <w:marRight w:val="0"/>
              <w:marTop w:val="0"/>
              <w:marBottom w:val="0"/>
              <w:divBdr>
                <w:top w:val="none" w:sz="0" w:space="0" w:color="auto"/>
                <w:left w:val="none" w:sz="0" w:space="0" w:color="auto"/>
                <w:bottom w:val="none" w:sz="0" w:space="0" w:color="auto"/>
                <w:right w:val="none" w:sz="0" w:space="0" w:color="auto"/>
              </w:divBdr>
            </w:div>
          </w:divsChild>
        </w:div>
        <w:div w:id="633876022">
          <w:marLeft w:val="0"/>
          <w:marRight w:val="0"/>
          <w:marTop w:val="0"/>
          <w:marBottom w:val="0"/>
          <w:divBdr>
            <w:top w:val="none" w:sz="0" w:space="0" w:color="auto"/>
            <w:left w:val="none" w:sz="0" w:space="0" w:color="auto"/>
            <w:bottom w:val="none" w:sz="0" w:space="0" w:color="auto"/>
            <w:right w:val="none" w:sz="0" w:space="0" w:color="auto"/>
          </w:divBdr>
          <w:divsChild>
            <w:div w:id="991374276">
              <w:marLeft w:val="0"/>
              <w:marRight w:val="0"/>
              <w:marTop w:val="0"/>
              <w:marBottom w:val="0"/>
              <w:divBdr>
                <w:top w:val="none" w:sz="0" w:space="0" w:color="auto"/>
                <w:left w:val="none" w:sz="0" w:space="0" w:color="auto"/>
                <w:bottom w:val="none" w:sz="0" w:space="0" w:color="auto"/>
                <w:right w:val="none" w:sz="0" w:space="0" w:color="auto"/>
              </w:divBdr>
            </w:div>
          </w:divsChild>
        </w:div>
        <w:div w:id="633946388">
          <w:marLeft w:val="0"/>
          <w:marRight w:val="0"/>
          <w:marTop w:val="0"/>
          <w:marBottom w:val="0"/>
          <w:divBdr>
            <w:top w:val="none" w:sz="0" w:space="0" w:color="auto"/>
            <w:left w:val="none" w:sz="0" w:space="0" w:color="auto"/>
            <w:bottom w:val="none" w:sz="0" w:space="0" w:color="auto"/>
            <w:right w:val="none" w:sz="0" w:space="0" w:color="auto"/>
          </w:divBdr>
          <w:divsChild>
            <w:div w:id="180976710">
              <w:marLeft w:val="0"/>
              <w:marRight w:val="0"/>
              <w:marTop w:val="0"/>
              <w:marBottom w:val="0"/>
              <w:divBdr>
                <w:top w:val="none" w:sz="0" w:space="0" w:color="auto"/>
                <w:left w:val="none" w:sz="0" w:space="0" w:color="auto"/>
                <w:bottom w:val="none" w:sz="0" w:space="0" w:color="auto"/>
                <w:right w:val="none" w:sz="0" w:space="0" w:color="auto"/>
              </w:divBdr>
            </w:div>
          </w:divsChild>
        </w:div>
        <w:div w:id="634676276">
          <w:marLeft w:val="0"/>
          <w:marRight w:val="0"/>
          <w:marTop w:val="0"/>
          <w:marBottom w:val="0"/>
          <w:divBdr>
            <w:top w:val="none" w:sz="0" w:space="0" w:color="auto"/>
            <w:left w:val="none" w:sz="0" w:space="0" w:color="auto"/>
            <w:bottom w:val="none" w:sz="0" w:space="0" w:color="auto"/>
            <w:right w:val="none" w:sz="0" w:space="0" w:color="auto"/>
          </w:divBdr>
          <w:divsChild>
            <w:div w:id="186529800">
              <w:marLeft w:val="0"/>
              <w:marRight w:val="0"/>
              <w:marTop w:val="0"/>
              <w:marBottom w:val="0"/>
              <w:divBdr>
                <w:top w:val="none" w:sz="0" w:space="0" w:color="auto"/>
                <w:left w:val="none" w:sz="0" w:space="0" w:color="auto"/>
                <w:bottom w:val="none" w:sz="0" w:space="0" w:color="auto"/>
                <w:right w:val="none" w:sz="0" w:space="0" w:color="auto"/>
              </w:divBdr>
            </w:div>
          </w:divsChild>
        </w:div>
        <w:div w:id="636379354">
          <w:marLeft w:val="0"/>
          <w:marRight w:val="0"/>
          <w:marTop w:val="0"/>
          <w:marBottom w:val="0"/>
          <w:divBdr>
            <w:top w:val="none" w:sz="0" w:space="0" w:color="auto"/>
            <w:left w:val="none" w:sz="0" w:space="0" w:color="auto"/>
            <w:bottom w:val="none" w:sz="0" w:space="0" w:color="auto"/>
            <w:right w:val="none" w:sz="0" w:space="0" w:color="auto"/>
          </w:divBdr>
          <w:divsChild>
            <w:div w:id="474374832">
              <w:marLeft w:val="0"/>
              <w:marRight w:val="0"/>
              <w:marTop w:val="0"/>
              <w:marBottom w:val="0"/>
              <w:divBdr>
                <w:top w:val="none" w:sz="0" w:space="0" w:color="auto"/>
                <w:left w:val="none" w:sz="0" w:space="0" w:color="auto"/>
                <w:bottom w:val="none" w:sz="0" w:space="0" w:color="auto"/>
                <w:right w:val="none" w:sz="0" w:space="0" w:color="auto"/>
              </w:divBdr>
            </w:div>
          </w:divsChild>
        </w:div>
        <w:div w:id="645159704">
          <w:marLeft w:val="0"/>
          <w:marRight w:val="0"/>
          <w:marTop w:val="0"/>
          <w:marBottom w:val="0"/>
          <w:divBdr>
            <w:top w:val="none" w:sz="0" w:space="0" w:color="auto"/>
            <w:left w:val="none" w:sz="0" w:space="0" w:color="auto"/>
            <w:bottom w:val="none" w:sz="0" w:space="0" w:color="auto"/>
            <w:right w:val="none" w:sz="0" w:space="0" w:color="auto"/>
          </w:divBdr>
          <w:divsChild>
            <w:div w:id="1664311691">
              <w:marLeft w:val="0"/>
              <w:marRight w:val="0"/>
              <w:marTop w:val="0"/>
              <w:marBottom w:val="0"/>
              <w:divBdr>
                <w:top w:val="none" w:sz="0" w:space="0" w:color="auto"/>
                <w:left w:val="none" w:sz="0" w:space="0" w:color="auto"/>
                <w:bottom w:val="none" w:sz="0" w:space="0" w:color="auto"/>
                <w:right w:val="none" w:sz="0" w:space="0" w:color="auto"/>
              </w:divBdr>
            </w:div>
          </w:divsChild>
        </w:div>
        <w:div w:id="646325599">
          <w:marLeft w:val="0"/>
          <w:marRight w:val="0"/>
          <w:marTop w:val="0"/>
          <w:marBottom w:val="0"/>
          <w:divBdr>
            <w:top w:val="none" w:sz="0" w:space="0" w:color="auto"/>
            <w:left w:val="none" w:sz="0" w:space="0" w:color="auto"/>
            <w:bottom w:val="none" w:sz="0" w:space="0" w:color="auto"/>
            <w:right w:val="none" w:sz="0" w:space="0" w:color="auto"/>
          </w:divBdr>
          <w:divsChild>
            <w:div w:id="1785729493">
              <w:marLeft w:val="0"/>
              <w:marRight w:val="0"/>
              <w:marTop w:val="0"/>
              <w:marBottom w:val="0"/>
              <w:divBdr>
                <w:top w:val="none" w:sz="0" w:space="0" w:color="auto"/>
                <w:left w:val="none" w:sz="0" w:space="0" w:color="auto"/>
                <w:bottom w:val="none" w:sz="0" w:space="0" w:color="auto"/>
                <w:right w:val="none" w:sz="0" w:space="0" w:color="auto"/>
              </w:divBdr>
            </w:div>
          </w:divsChild>
        </w:div>
        <w:div w:id="646933573">
          <w:marLeft w:val="0"/>
          <w:marRight w:val="0"/>
          <w:marTop w:val="0"/>
          <w:marBottom w:val="0"/>
          <w:divBdr>
            <w:top w:val="none" w:sz="0" w:space="0" w:color="auto"/>
            <w:left w:val="none" w:sz="0" w:space="0" w:color="auto"/>
            <w:bottom w:val="none" w:sz="0" w:space="0" w:color="auto"/>
            <w:right w:val="none" w:sz="0" w:space="0" w:color="auto"/>
          </w:divBdr>
          <w:divsChild>
            <w:div w:id="575632810">
              <w:marLeft w:val="0"/>
              <w:marRight w:val="0"/>
              <w:marTop w:val="0"/>
              <w:marBottom w:val="0"/>
              <w:divBdr>
                <w:top w:val="none" w:sz="0" w:space="0" w:color="auto"/>
                <w:left w:val="none" w:sz="0" w:space="0" w:color="auto"/>
                <w:bottom w:val="none" w:sz="0" w:space="0" w:color="auto"/>
                <w:right w:val="none" w:sz="0" w:space="0" w:color="auto"/>
              </w:divBdr>
            </w:div>
          </w:divsChild>
        </w:div>
        <w:div w:id="646938465">
          <w:marLeft w:val="0"/>
          <w:marRight w:val="0"/>
          <w:marTop w:val="0"/>
          <w:marBottom w:val="0"/>
          <w:divBdr>
            <w:top w:val="none" w:sz="0" w:space="0" w:color="auto"/>
            <w:left w:val="none" w:sz="0" w:space="0" w:color="auto"/>
            <w:bottom w:val="none" w:sz="0" w:space="0" w:color="auto"/>
            <w:right w:val="none" w:sz="0" w:space="0" w:color="auto"/>
          </w:divBdr>
          <w:divsChild>
            <w:div w:id="1803426445">
              <w:marLeft w:val="0"/>
              <w:marRight w:val="0"/>
              <w:marTop w:val="0"/>
              <w:marBottom w:val="0"/>
              <w:divBdr>
                <w:top w:val="none" w:sz="0" w:space="0" w:color="auto"/>
                <w:left w:val="none" w:sz="0" w:space="0" w:color="auto"/>
                <w:bottom w:val="none" w:sz="0" w:space="0" w:color="auto"/>
                <w:right w:val="none" w:sz="0" w:space="0" w:color="auto"/>
              </w:divBdr>
            </w:div>
          </w:divsChild>
        </w:div>
        <w:div w:id="649941432">
          <w:marLeft w:val="0"/>
          <w:marRight w:val="0"/>
          <w:marTop w:val="0"/>
          <w:marBottom w:val="0"/>
          <w:divBdr>
            <w:top w:val="none" w:sz="0" w:space="0" w:color="auto"/>
            <w:left w:val="none" w:sz="0" w:space="0" w:color="auto"/>
            <w:bottom w:val="none" w:sz="0" w:space="0" w:color="auto"/>
            <w:right w:val="none" w:sz="0" w:space="0" w:color="auto"/>
          </w:divBdr>
          <w:divsChild>
            <w:div w:id="379784811">
              <w:marLeft w:val="0"/>
              <w:marRight w:val="0"/>
              <w:marTop w:val="0"/>
              <w:marBottom w:val="0"/>
              <w:divBdr>
                <w:top w:val="none" w:sz="0" w:space="0" w:color="auto"/>
                <w:left w:val="none" w:sz="0" w:space="0" w:color="auto"/>
                <w:bottom w:val="none" w:sz="0" w:space="0" w:color="auto"/>
                <w:right w:val="none" w:sz="0" w:space="0" w:color="auto"/>
              </w:divBdr>
            </w:div>
          </w:divsChild>
        </w:div>
        <w:div w:id="651954849">
          <w:marLeft w:val="0"/>
          <w:marRight w:val="0"/>
          <w:marTop w:val="0"/>
          <w:marBottom w:val="0"/>
          <w:divBdr>
            <w:top w:val="none" w:sz="0" w:space="0" w:color="auto"/>
            <w:left w:val="none" w:sz="0" w:space="0" w:color="auto"/>
            <w:bottom w:val="none" w:sz="0" w:space="0" w:color="auto"/>
            <w:right w:val="none" w:sz="0" w:space="0" w:color="auto"/>
          </w:divBdr>
          <w:divsChild>
            <w:div w:id="1225943862">
              <w:marLeft w:val="0"/>
              <w:marRight w:val="0"/>
              <w:marTop w:val="0"/>
              <w:marBottom w:val="0"/>
              <w:divBdr>
                <w:top w:val="none" w:sz="0" w:space="0" w:color="auto"/>
                <w:left w:val="none" w:sz="0" w:space="0" w:color="auto"/>
                <w:bottom w:val="none" w:sz="0" w:space="0" w:color="auto"/>
                <w:right w:val="none" w:sz="0" w:space="0" w:color="auto"/>
              </w:divBdr>
            </w:div>
          </w:divsChild>
        </w:div>
        <w:div w:id="653486779">
          <w:marLeft w:val="0"/>
          <w:marRight w:val="0"/>
          <w:marTop w:val="0"/>
          <w:marBottom w:val="0"/>
          <w:divBdr>
            <w:top w:val="none" w:sz="0" w:space="0" w:color="auto"/>
            <w:left w:val="none" w:sz="0" w:space="0" w:color="auto"/>
            <w:bottom w:val="none" w:sz="0" w:space="0" w:color="auto"/>
            <w:right w:val="none" w:sz="0" w:space="0" w:color="auto"/>
          </w:divBdr>
          <w:divsChild>
            <w:div w:id="1731347372">
              <w:marLeft w:val="0"/>
              <w:marRight w:val="0"/>
              <w:marTop w:val="0"/>
              <w:marBottom w:val="0"/>
              <w:divBdr>
                <w:top w:val="none" w:sz="0" w:space="0" w:color="auto"/>
                <w:left w:val="none" w:sz="0" w:space="0" w:color="auto"/>
                <w:bottom w:val="none" w:sz="0" w:space="0" w:color="auto"/>
                <w:right w:val="none" w:sz="0" w:space="0" w:color="auto"/>
              </w:divBdr>
            </w:div>
          </w:divsChild>
        </w:div>
        <w:div w:id="654184390">
          <w:marLeft w:val="0"/>
          <w:marRight w:val="0"/>
          <w:marTop w:val="0"/>
          <w:marBottom w:val="0"/>
          <w:divBdr>
            <w:top w:val="none" w:sz="0" w:space="0" w:color="auto"/>
            <w:left w:val="none" w:sz="0" w:space="0" w:color="auto"/>
            <w:bottom w:val="none" w:sz="0" w:space="0" w:color="auto"/>
            <w:right w:val="none" w:sz="0" w:space="0" w:color="auto"/>
          </w:divBdr>
          <w:divsChild>
            <w:div w:id="1250693355">
              <w:marLeft w:val="0"/>
              <w:marRight w:val="0"/>
              <w:marTop w:val="0"/>
              <w:marBottom w:val="0"/>
              <w:divBdr>
                <w:top w:val="none" w:sz="0" w:space="0" w:color="auto"/>
                <w:left w:val="none" w:sz="0" w:space="0" w:color="auto"/>
                <w:bottom w:val="none" w:sz="0" w:space="0" w:color="auto"/>
                <w:right w:val="none" w:sz="0" w:space="0" w:color="auto"/>
              </w:divBdr>
            </w:div>
          </w:divsChild>
        </w:div>
        <w:div w:id="657466463">
          <w:marLeft w:val="0"/>
          <w:marRight w:val="0"/>
          <w:marTop w:val="0"/>
          <w:marBottom w:val="0"/>
          <w:divBdr>
            <w:top w:val="none" w:sz="0" w:space="0" w:color="auto"/>
            <w:left w:val="none" w:sz="0" w:space="0" w:color="auto"/>
            <w:bottom w:val="none" w:sz="0" w:space="0" w:color="auto"/>
            <w:right w:val="none" w:sz="0" w:space="0" w:color="auto"/>
          </w:divBdr>
          <w:divsChild>
            <w:div w:id="996617780">
              <w:marLeft w:val="0"/>
              <w:marRight w:val="0"/>
              <w:marTop w:val="0"/>
              <w:marBottom w:val="0"/>
              <w:divBdr>
                <w:top w:val="none" w:sz="0" w:space="0" w:color="auto"/>
                <w:left w:val="none" w:sz="0" w:space="0" w:color="auto"/>
                <w:bottom w:val="none" w:sz="0" w:space="0" w:color="auto"/>
                <w:right w:val="none" w:sz="0" w:space="0" w:color="auto"/>
              </w:divBdr>
            </w:div>
          </w:divsChild>
        </w:div>
        <w:div w:id="662048457">
          <w:marLeft w:val="0"/>
          <w:marRight w:val="0"/>
          <w:marTop w:val="0"/>
          <w:marBottom w:val="0"/>
          <w:divBdr>
            <w:top w:val="none" w:sz="0" w:space="0" w:color="auto"/>
            <w:left w:val="none" w:sz="0" w:space="0" w:color="auto"/>
            <w:bottom w:val="none" w:sz="0" w:space="0" w:color="auto"/>
            <w:right w:val="none" w:sz="0" w:space="0" w:color="auto"/>
          </w:divBdr>
          <w:divsChild>
            <w:div w:id="1108621687">
              <w:marLeft w:val="0"/>
              <w:marRight w:val="0"/>
              <w:marTop w:val="0"/>
              <w:marBottom w:val="0"/>
              <w:divBdr>
                <w:top w:val="none" w:sz="0" w:space="0" w:color="auto"/>
                <w:left w:val="none" w:sz="0" w:space="0" w:color="auto"/>
                <w:bottom w:val="none" w:sz="0" w:space="0" w:color="auto"/>
                <w:right w:val="none" w:sz="0" w:space="0" w:color="auto"/>
              </w:divBdr>
            </w:div>
          </w:divsChild>
        </w:div>
        <w:div w:id="668140568">
          <w:marLeft w:val="0"/>
          <w:marRight w:val="0"/>
          <w:marTop w:val="0"/>
          <w:marBottom w:val="0"/>
          <w:divBdr>
            <w:top w:val="none" w:sz="0" w:space="0" w:color="auto"/>
            <w:left w:val="none" w:sz="0" w:space="0" w:color="auto"/>
            <w:bottom w:val="none" w:sz="0" w:space="0" w:color="auto"/>
            <w:right w:val="none" w:sz="0" w:space="0" w:color="auto"/>
          </w:divBdr>
          <w:divsChild>
            <w:div w:id="1094979769">
              <w:marLeft w:val="0"/>
              <w:marRight w:val="0"/>
              <w:marTop w:val="0"/>
              <w:marBottom w:val="0"/>
              <w:divBdr>
                <w:top w:val="none" w:sz="0" w:space="0" w:color="auto"/>
                <w:left w:val="none" w:sz="0" w:space="0" w:color="auto"/>
                <w:bottom w:val="none" w:sz="0" w:space="0" w:color="auto"/>
                <w:right w:val="none" w:sz="0" w:space="0" w:color="auto"/>
              </w:divBdr>
            </w:div>
          </w:divsChild>
        </w:div>
        <w:div w:id="671875860">
          <w:marLeft w:val="0"/>
          <w:marRight w:val="0"/>
          <w:marTop w:val="0"/>
          <w:marBottom w:val="0"/>
          <w:divBdr>
            <w:top w:val="none" w:sz="0" w:space="0" w:color="auto"/>
            <w:left w:val="none" w:sz="0" w:space="0" w:color="auto"/>
            <w:bottom w:val="none" w:sz="0" w:space="0" w:color="auto"/>
            <w:right w:val="none" w:sz="0" w:space="0" w:color="auto"/>
          </w:divBdr>
          <w:divsChild>
            <w:div w:id="1069498854">
              <w:marLeft w:val="0"/>
              <w:marRight w:val="0"/>
              <w:marTop w:val="0"/>
              <w:marBottom w:val="0"/>
              <w:divBdr>
                <w:top w:val="none" w:sz="0" w:space="0" w:color="auto"/>
                <w:left w:val="none" w:sz="0" w:space="0" w:color="auto"/>
                <w:bottom w:val="none" w:sz="0" w:space="0" w:color="auto"/>
                <w:right w:val="none" w:sz="0" w:space="0" w:color="auto"/>
              </w:divBdr>
            </w:div>
          </w:divsChild>
        </w:div>
        <w:div w:id="682515625">
          <w:marLeft w:val="0"/>
          <w:marRight w:val="0"/>
          <w:marTop w:val="0"/>
          <w:marBottom w:val="0"/>
          <w:divBdr>
            <w:top w:val="none" w:sz="0" w:space="0" w:color="auto"/>
            <w:left w:val="none" w:sz="0" w:space="0" w:color="auto"/>
            <w:bottom w:val="none" w:sz="0" w:space="0" w:color="auto"/>
            <w:right w:val="none" w:sz="0" w:space="0" w:color="auto"/>
          </w:divBdr>
          <w:divsChild>
            <w:div w:id="782267388">
              <w:marLeft w:val="0"/>
              <w:marRight w:val="0"/>
              <w:marTop w:val="0"/>
              <w:marBottom w:val="0"/>
              <w:divBdr>
                <w:top w:val="none" w:sz="0" w:space="0" w:color="auto"/>
                <w:left w:val="none" w:sz="0" w:space="0" w:color="auto"/>
                <w:bottom w:val="none" w:sz="0" w:space="0" w:color="auto"/>
                <w:right w:val="none" w:sz="0" w:space="0" w:color="auto"/>
              </w:divBdr>
            </w:div>
          </w:divsChild>
        </w:div>
        <w:div w:id="683827046">
          <w:marLeft w:val="0"/>
          <w:marRight w:val="0"/>
          <w:marTop w:val="0"/>
          <w:marBottom w:val="0"/>
          <w:divBdr>
            <w:top w:val="none" w:sz="0" w:space="0" w:color="auto"/>
            <w:left w:val="none" w:sz="0" w:space="0" w:color="auto"/>
            <w:bottom w:val="none" w:sz="0" w:space="0" w:color="auto"/>
            <w:right w:val="none" w:sz="0" w:space="0" w:color="auto"/>
          </w:divBdr>
          <w:divsChild>
            <w:div w:id="775101910">
              <w:marLeft w:val="0"/>
              <w:marRight w:val="0"/>
              <w:marTop w:val="0"/>
              <w:marBottom w:val="0"/>
              <w:divBdr>
                <w:top w:val="none" w:sz="0" w:space="0" w:color="auto"/>
                <w:left w:val="none" w:sz="0" w:space="0" w:color="auto"/>
                <w:bottom w:val="none" w:sz="0" w:space="0" w:color="auto"/>
                <w:right w:val="none" w:sz="0" w:space="0" w:color="auto"/>
              </w:divBdr>
            </w:div>
          </w:divsChild>
        </w:div>
        <w:div w:id="684481517">
          <w:marLeft w:val="0"/>
          <w:marRight w:val="0"/>
          <w:marTop w:val="0"/>
          <w:marBottom w:val="0"/>
          <w:divBdr>
            <w:top w:val="none" w:sz="0" w:space="0" w:color="auto"/>
            <w:left w:val="none" w:sz="0" w:space="0" w:color="auto"/>
            <w:bottom w:val="none" w:sz="0" w:space="0" w:color="auto"/>
            <w:right w:val="none" w:sz="0" w:space="0" w:color="auto"/>
          </w:divBdr>
          <w:divsChild>
            <w:div w:id="925462357">
              <w:marLeft w:val="0"/>
              <w:marRight w:val="0"/>
              <w:marTop w:val="0"/>
              <w:marBottom w:val="0"/>
              <w:divBdr>
                <w:top w:val="none" w:sz="0" w:space="0" w:color="auto"/>
                <w:left w:val="none" w:sz="0" w:space="0" w:color="auto"/>
                <w:bottom w:val="none" w:sz="0" w:space="0" w:color="auto"/>
                <w:right w:val="none" w:sz="0" w:space="0" w:color="auto"/>
              </w:divBdr>
            </w:div>
          </w:divsChild>
        </w:div>
        <w:div w:id="685446616">
          <w:marLeft w:val="0"/>
          <w:marRight w:val="0"/>
          <w:marTop w:val="0"/>
          <w:marBottom w:val="0"/>
          <w:divBdr>
            <w:top w:val="none" w:sz="0" w:space="0" w:color="auto"/>
            <w:left w:val="none" w:sz="0" w:space="0" w:color="auto"/>
            <w:bottom w:val="none" w:sz="0" w:space="0" w:color="auto"/>
            <w:right w:val="none" w:sz="0" w:space="0" w:color="auto"/>
          </w:divBdr>
          <w:divsChild>
            <w:div w:id="1423145950">
              <w:marLeft w:val="0"/>
              <w:marRight w:val="0"/>
              <w:marTop w:val="0"/>
              <w:marBottom w:val="0"/>
              <w:divBdr>
                <w:top w:val="none" w:sz="0" w:space="0" w:color="auto"/>
                <w:left w:val="none" w:sz="0" w:space="0" w:color="auto"/>
                <w:bottom w:val="none" w:sz="0" w:space="0" w:color="auto"/>
                <w:right w:val="none" w:sz="0" w:space="0" w:color="auto"/>
              </w:divBdr>
            </w:div>
          </w:divsChild>
        </w:div>
        <w:div w:id="689987205">
          <w:marLeft w:val="0"/>
          <w:marRight w:val="0"/>
          <w:marTop w:val="0"/>
          <w:marBottom w:val="0"/>
          <w:divBdr>
            <w:top w:val="none" w:sz="0" w:space="0" w:color="auto"/>
            <w:left w:val="none" w:sz="0" w:space="0" w:color="auto"/>
            <w:bottom w:val="none" w:sz="0" w:space="0" w:color="auto"/>
            <w:right w:val="none" w:sz="0" w:space="0" w:color="auto"/>
          </w:divBdr>
          <w:divsChild>
            <w:div w:id="1869291089">
              <w:marLeft w:val="0"/>
              <w:marRight w:val="0"/>
              <w:marTop w:val="0"/>
              <w:marBottom w:val="0"/>
              <w:divBdr>
                <w:top w:val="none" w:sz="0" w:space="0" w:color="auto"/>
                <w:left w:val="none" w:sz="0" w:space="0" w:color="auto"/>
                <w:bottom w:val="none" w:sz="0" w:space="0" w:color="auto"/>
                <w:right w:val="none" w:sz="0" w:space="0" w:color="auto"/>
              </w:divBdr>
            </w:div>
          </w:divsChild>
        </w:div>
        <w:div w:id="689993385">
          <w:marLeft w:val="0"/>
          <w:marRight w:val="0"/>
          <w:marTop w:val="0"/>
          <w:marBottom w:val="0"/>
          <w:divBdr>
            <w:top w:val="none" w:sz="0" w:space="0" w:color="auto"/>
            <w:left w:val="none" w:sz="0" w:space="0" w:color="auto"/>
            <w:bottom w:val="none" w:sz="0" w:space="0" w:color="auto"/>
            <w:right w:val="none" w:sz="0" w:space="0" w:color="auto"/>
          </w:divBdr>
          <w:divsChild>
            <w:div w:id="813452394">
              <w:marLeft w:val="0"/>
              <w:marRight w:val="0"/>
              <w:marTop w:val="0"/>
              <w:marBottom w:val="0"/>
              <w:divBdr>
                <w:top w:val="none" w:sz="0" w:space="0" w:color="auto"/>
                <w:left w:val="none" w:sz="0" w:space="0" w:color="auto"/>
                <w:bottom w:val="none" w:sz="0" w:space="0" w:color="auto"/>
                <w:right w:val="none" w:sz="0" w:space="0" w:color="auto"/>
              </w:divBdr>
            </w:div>
          </w:divsChild>
        </w:div>
        <w:div w:id="694185842">
          <w:marLeft w:val="0"/>
          <w:marRight w:val="0"/>
          <w:marTop w:val="0"/>
          <w:marBottom w:val="0"/>
          <w:divBdr>
            <w:top w:val="none" w:sz="0" w:space="0" w:color="auto"/>
            <w:left w:val="none" w:sz="0" w:space="0" w:color="auto"/>
            <w:bottom w:val="none" w:sz="0" w:space="0" w:color="auto"/>
            <w:right w:val="none" w:sz="0" w:space="0" w:color="auto"/>
          </w:divBdr>
          <w:divsChild>
            <w:div w:id="1652250611">
              <w:marLeft w:val="0"/>
              <w:marRight w:val="0"/>
              <w:marTop w:val="0"/>
              <w:marBottom w:val="0"/>
              <w:divBdr>
                <w:top w:val="none" w:sz="0" w:space="0" w:color="auto"/>
                <w:left w:val="none" w:sz="0" w:space="0" w:color="auto"/>
                <w:bottom w:val="none" w:sz="0" w:space="0" w:color="auto"/>
                <w:right w:val="none" w:sz="0" w:space="0" w:color="auto"/>
              </w:divBdr>
            </w:div>
          </w:divsChild>
        </w:div>
        <w:div w:id="694696311">
          <w:marLeft w:val="0"/>
          <w:marRight w:val="0"/>
          <w:marTop w:val="0"/>
          <w:marBottom w:val="0"/>
          <w:divBdr>
            <w:top w:val="none" w:sz="0" w:space="0" w:color="auto"/>
            <w:left w:val="none" w:sz="0" w:space="0" w:color="auto"/>
            <w:bottom w:val="none" w:sz="0" w:space="0" w:color="auto"/>
            <w:right w:val="none" w:sz="0" w:space="0" w:color="auto"/>
          </w:divBdr>
          <w:divsChild>
            <w:div w:id="1568297841">
              <w:marLeft w:val="0"/>
              <w:marRight w:val="0"/>
              <w:marTop w:val="0"/>
              <w:marBottom w:val="0"/>
              <w:divBdr>
                <w:top w:val="none" w:sz="0" w:space="0" w:color="auto"/>
                <w:left w:val="none" w:sz="0" w:space="0" w:color="auto"/>
                <w:bottom w:val="none" w:sz="0" w:space="0" w:color="auto"/>
                <w:right w:val="none" w:sz="0" w:space="0" w:color="auto"/>
              </w:divBdr>
            </w:div>
          </w:divsChild>
        </w:div>
        <w:div w:id="703015839">
          <w:marLeft w:val="0"/>
          <w:marRight w:val="0"/>
          <w:marTop w:val="0"/>
          <w:marBottom w:val="0"/>
          <w:divBdr>
            <w:top w:val="none" w:sz="0" w:space="0" w:color="auto"/>
            <w:left w:val="none" w:sz="0" w:space="0" w:color="auto"/>
            <w:bottom w:val="none" w:sz="0" w:space="0" w:color="auto"/>
            <w:right w:val="none" w:sz="0" w:space="0" w:color="auto"/>
          </w:divBdr>
          <w:divsChild>
            <w:div w:id="1931229573">
              <w:marLeft w:val="0"/>
              <w:marRight w:val="0"/>
              <w:marTop w:val="0"/>
              <w:marBottom w:val="0"/>
              <w:divBdr>
                <w:top w:val="none" w:sz="0" w:space="0" w:color="auto"/>
                <w:left w:val="none" w:sz="0" w:space="0" w:color="auto"/>
                <w:bottom w:val="none" w:sz="0" w:space="0" w:color="auto"/>
                <w:right w:val="none" w:sz="0" w:space="0" w:color="auto"/>
              </w:divBdr>
            </w:div>
          </w:divsChild>
        </w:div>
        <w:div w:id="707028642">
          <w:marLeft w:val="0"/>
          <w:marRight w:val="0"/>
          <w:marTop w:val="0"/>
          <w:marBottom w:val="0"/>
          <w:divBdr>
            <w:top w:val="none" w:sz="0" w:space="0" w:color="auto"/>
            <w:left w:val="none" w:sz="0" w:space="0" w:color="auto"/>
            <w:bottom w:val="none" w:sz="0" w:space="0" w:color="auto"/>
            <w:right w:val="none" w:sz="0" w:space="0" w:color="auto"/>
          </w:divBdr>
          <w:divsChild>
            <w:div w:id="501119576">
              <w:marLeft w:val="0"/>
              <w:marRight w:val="0"/>
              <w:marTop w:val="0"/>
              <w:marBottom w:val="0"/>
              <w:divBdr>
                <w:top w:val="none" w:sz="0" w:space="0" w:color="auto"/>
                <w:left w:val="none" w:sz="0" w:space="0" w:color="auto"/>
                <w:bottom w:val="none" w:sz="0" w:space="0" w:color="auto"/>
                <w:right w:val="none" w:sz="0" w:space="0" w:color="auto"/>
              </w:divBdr>
            </w:div>
          </w:divsChild>
        </w:div>
        <w:div w:id="713503258">
          <w:marLeft w:val="0"/>
          <w:marRight w:val="0"/>
          <w:marTop w:val="0"/>
          <w:marBottom w:val="0"/>
          <w:divBdr>
            <w:top w:val="none" w:sz="0" w:space="0" w:color="auto"/>
            <w:left w:val="none" w:sz="0" w:space="0" w:color="auto"/>
            <w:bottom w:val="none" w:sz="0" w:space="0" w:color="auto"/>
            <w:right w:val="none" w:sz="0" w:space="0" w:color="auto"/>
          </w:divBdr>
          <w:divsChild>
            <w:div w:id="1952928411">
              <w:marLeft w:val="0"/>
              <w:marRight w:val="0"/>
              <w:marTop w:val="0"/>
              <w:marBottom w:val="0"/>
              <w:divBdr>
                <w:top w:val="none" w:sz="0" w:space="0" w:color="auto"/>
                <w:left w:val="none" w:sz="0" w:space="0" w:color="auto"/>
                <w:bottom w:val="none" w:sz="0" w:space="0" w:color="auto"/>
                <w:right w:val="none" w:sz="0" w:space="0" w:color="auto"/>
              </w:divBdr>
            </w:div>
          </w:divsChild>
        </w:div>
        <w:div w:id="713583416">
          <w:marLeft w:val="0"/>
          <w:marRight w:val="0"/>
          <w:marTop w:val="0"/>
          <w:marBottom w:val="0"/>
          <w:divBdr>
            <w:top w:val="none" w:sz="0" w:space="0" w:color="auto"/>
            <w:left w:val="none" w:sz="0" w:space="0" w:color="auto"/>
            <w:bottom w:val="none" w:sz="0" w:space="0" w:color="auto"/>
            <w:right w:val="none" w:sz="0" w:space="0" w:color="auto"/>
          </w:divBdr>
          <w:divsChild>
            <w:div w:id="1700934140">
              <w:marLeft w:val="0"/>
              <w:marRight w:val="0"/>
              <w:marTop w:val="0"/>
              <w:marBottom w:val="0"/>
              <w:divBdr>
                <w:top w:val="none" w:sz="0" w:space="0" w:color="auto"/>
                <w:left w:val="none" w:sz="0" w:space="0" w:color="auto"/>
                <w:bottom w:val="none" w:sz="0" w:space="0" w:color="auto"/>
                <w:right w:val="none" w:sz="0" w:space="0" w:color="auto"/>
              </w:divBdr>
            </w:div>
          </w:divsChild>
        </w:div>
        <w:div w:id="714157572">
          <w:marLeft w:val="0"/>
          <w:marRight w:val="0"/>
          <w:marTop w:val="0"/>
          <w:marBottom w:val="0"/>
          <w:divBdr>
            <w:top w:val="none" w:sz="0" w:space="0" w:color="auto"/>
            <w:left w:val="none" w:sz="0" w:space="0" w:color="auto"/>
            <w:bottom w:val="none" w:sz="0" w:space="0" w:color="auto"/>
            <w:right w:val="none" w:sz="0" w:space="0" w:color="auto"/>
          </w:divBdr>
          <w:divsChild>
            <w:div w:id="2017927058">
              <w:marLeft w:val="0"/>
              <w:marRight w:val="0"/>
              <w:marTop w:val="0"/>
              <w:marBottom w:val="0"/>
              <w:divBdr>
                <w:top w:val="none" w:sz="0" w:space="0" w:color="auto"/>
                <w:left w:val="none" w:sz="0" w:space="0" w:color="auto"/>
                <w:bottom w:val="none" w:sz="0" w:space="0" w:color="auto"/>
                <w:right w:val="none" w:sz="0" w:space="0" w:color="auto"/>
              </w:divBdr>
            </w:div>
          </w:divsChild>
        </w:div>
        <w:div w:id="715272506">
          <w:marLeft w:val="0"/>
          <w:marRight w:val="0"/>
          <w:marTop w:val="0"/>
          <w:marBottom w:val="0"/>
          <w:divBdr>
            <w:top w:val="none" w:sz="0" w:space="0" w:color="auto"/>
            <w:left w:val="none" w:sz="0" w:space="0" w:color="auto"/>
            <w:bottom w:val="none" w:sz="0" w:space="0" w:color="auto"/>
            <w:right w:val="none" w:sz="0" w:space="0" w:color="auto"/>
          </w:divBdr>
          <w:divsChild>
            <w:div w:id="1589072619">
              <w:marLeft w:val="0"/>
              <w:marRight w:val="0"/>
              <w:marTop w:val="0"/>
              <w:marBottom w:val="0"/>
              <w:divBdr>
                <w:top w:val="none" w:sz="0" w:space="0" w:color="auto"/>
                <w:left w:val="none" w:sz="0" w:space="0" w:color="auto"/>
                <w:bottom w:val="none" w:sz="0" w:space="0" w:color="auto"/>
                <w:right w:val="none" w:sz="0" w:space="0" w:color="auto"/>
              </w:divBdr>
            </w:div>
          </w:divsChild>
        </w:div>
        <w:div w:id="723799336">
          <w:marLeft w:val="0"/>
          <w:marRight w:val="0"/>
          <w:marTop w:val="0"/>
          <w:marBottom w:val="0"/>
          <w:divBdr>
            <w:top w:val="none" w:sz="0" w:space="0" w:color="auto"/>
            <w:left w:val="none" w:sz="0" w:space="0" w:color="auto"/>
            <w:bottom w:val="none" w:sz="0" w:space="0" w:color="auto"/>
            <w:right w:val="none" w:sz="0" w:space="0" w:color="auto"/>
          </w:divBdr>
          <w:divsChild>
            <w:div w:id="282925589">
              <w:marLeft w:val="0"/>
              <w:marRight w:val="0"/>
              <w:marTop w:val="0"/>
              <w:marBottom w:val="0"/>
              <w:divBdr>
                <w:top w:val="none" w:sz="0" w:space="0" w:color="auto"/>
                <w:left w:val="none" w:sz="0" w:space="0" w:color="auto"/>
                <w:bottom w:val="none" w:sz="0" w:space="0" w:color="auto"/>
                <w:right w:val="none" w:sz="0" w:space="0" w:color="auto"/>
              </w:divBdr>
            </w:div>
          </w:divsChild>
        </w:div>
        <w:div w:id="724527528">
          <w:marLeft w:val="0"/>
          <w:marRight w:val="0"/>
          <w:marTop w:val="0"/>
          <w:marBottom w:val="0"/>
          <w:divBdr>
            <w:top w:val="none" w:sz="0" w:space="0" w:color="auto"/>
            <w:left w:val="none" w:sz="0" w:space="0" w:color="auto"/>
            <w:bottom w:val="none" w:sz="0" w:space="0" w:color="auto"/>
            <w:right w:val="none" w:sz="0" w:space="0" w:color="auto"/>
          </w:divBdr>
          <w:divsChild>
            <w:div w:id="1540508134">
              <w:marLeft w:val="0"/>
              <w:marRight w:val="0"/>
              <w:marTop w:val="0"/>
              <w:marBottom w:val="0"/>
              <w:divBdr>
                <w:top w:val="none" w:sz="0" w:space="0" w:color="auto"/>
                <w:left w:val="none" w:sz="0" w:space="0" w:color="auto"/>
                <w:bottom w:val="none" w:sz="0" w:space="0" w:color="auto"/>
                <w:right w:val="none" w:sz="0" w:space="0" w:color="auto"/>
              </w:divBdr>
            </w:div>
          </w:divsChild>
        </w:div>
        <w:div w:id="729815510">
          <w:marLeft w:val="0"/>
          <w:marRight w:val="0"/>
          <w:marTop w:val="0"/>
          <w:marBottom w:val="0"/>
          <w:divBdr>
            <w:top w:val="none" w:sz="0" w:space="0" w:color="auto"/>
            <w:left w:val="none" w:sz="0" w:space="0" w:color="auto"/>
            <w:bottom w:val="none" w:sz="0" w:space="0" w:color="auto"/>
            <w:right w:val="none" w:sz="0" w:space="0" w:color="auto"/>
          </w:divBdr>
          <w:divsChild>
            <w:div w:id="734739057">
              <w:marLeft w:val="0"/>
              <w:marRight w:val="0"/>
              <w:marTop w:val="0"/>
              <w:marBottom w:val="0"/>
              <w:divBdr>
                <w:top w:val="none" w:sz="0" w:space="0" w:color="auto"/>
                <w:left w:val="none" w:sz="0" w:space="0" w:color="auto"/>
                <w:bottom w:val="none" w:sz="0" w:space="0" w:color="auto"/>
                <w:right w:val="none" w:sz="0" w:space="0" w:color="auto"/>
              </w:divBdr>
            </w:div>
          </w:divsChild>
        </w:div>
        <w:div w:id="730420786">
          <w:marLeft w:val="0"/>
          <w:marRight w:val="0"/>
          <w:marTop w:val="0"/>
          <w:marBottom w:val="0"/>
          <w:divBdr>
            <w:top w:val="none" w:sz="0" w:space="0" w:color="auto"/>
            <w:left w:val="none" w:sz="0" w:space="0" w:color="auto"/>
            <w:bottom w:val="none" w:sz="0" w:space="0" w:color="auto"/>
            <w:right w:val="none" w:sz="0" w:space="0" w:color="auto"/>
          </w:divBdr>
          <w:divsChild>
            <w:div w:id="545262657">
              <w:marLeft w:val="0"/>
              <w:marRight w:val="0"/>
              <w:marTop w:val="0"/>
              <w:marBottom w:val="0"/>
              <w:divBdr>
                <w:top w:val="none" w:sz="0" w:space="0" w:color="auto"/>
                <w:left w:val="none" w:sz="0" w:space="0" w:color="auto"/>
                <w:bottom w:val="none" w:sz="0" w:space="0" w:color="auto"/>
                <w:right w:val="none" w:sz="0" w:space="0" w:color="auto"/>
              </w:divBdr>
            </w:div>
          </w:divsChild>
        </w:div>
        <w:div w:id="743185134">
          <w:marLeft w:val="0"/>
          <w:marRight w:val="0"/>
          <w:marTop w:val="0"/>
          <w:marBottom w:val="0"/>
          <w:divBdr>
            <w:top w:val="none" w:sz="0" w:space="0" w:color="auto"/>
            <w:left w:val="none" w:sz="0" w:space="0" w:color="auto"/>
            <w:bottom w:val="none" w:sz="0" w:space="0" w:color="auto"/>
            <w:right w:val="none" w:sz="0" w:space="0" w:color="auto"/>
          </w:divBdr>
          <w:divsChild>
            <w:div w:id="1827630442">
              <w:marLeft w:val="0"/>
              <w:marRight w:val="0"/>
              <w:marTop w:val="0"/>
              <w:marBottom w:val="0"/>
              <w:divBdr>
                <w:top w:val="none" w:sz="0" w:space="0" w:color="auto"/>
                <w:left w:val="none" w:sz="0" w:space="0" w:color="auto"/>
                <w:bottom w:val="none" w:sz="0" w:space="0" w:color="auto"/>
                <w:right w:val="none" w:sz="0" w:space="0" w:color="auto"/>
              </w:divBdr>
            </w:div>
          </w:divsChild>
        </w:div>
        <w:div w:id="744692502">
          <w:marLeft w:val="0"/>
          <w:marRight w:val="0"/>
          <w:marTop w:val="0"/>
          <w:marBottom w:val="0"/>
          <w:divBdr>
            <w:top w:val="none" w:sz="0" w:space="0" w:color="auto"/>
            <w:left w:val="none" w:sz="0" w:space="0" w:color="auto"/>
            <w:bottom w:val="none" w:sz="0" w:space="0" w:color="auto"/>
            <w:right w:val="none" w:sz="0" w:space="0" w:color="auto"/>
          </w:divBdr>
          <w:divsChild>
            <w:div w:id="409619332">
              <w:marLeft w:val="0"/>
              <w:marRight w:val="0"/>
              <w:marTop w:val="0"/>
              <w:marBottom w:val="0"/>
              <w:divBdr>
                <w:top w:val="none" w:sz="0" w:space="0" w:color="auto"/>
                <w:left w:val="none" w:sz="0" w:space="0" w:color="auto"/>
                <w:bottom w:val="none" w:sz="0" w:space="0" w:color="auto"/>
                <w:right w:val="none" w:sz="0" w:space="0" w:color="auto"/>
              </w:divBdr>
            </w:div>
          </w:divsChild>
        </w:div>
        <w:div w:id="748960793">
          <w:marLeft w:val="0"/>
          <w:marRight w:val="0"/>
          <w:marTop w:val="0"/>
          <w:marBottom w:val="0"/>
          <w:divBdr>
            <w:top w:val="none" w:sz="0" w:space="0" w:color="auto"/>
            <w:left w:val="none" w:sz="0" w:space="0" w:color="auto"/>
            <w:bottom w:val="none" w:sz="0" w:space="0" w:color="auto"/>
            <w:right w:val="none" w:sz="0" w:space="0" w:color="auto"/>
          </w:divBdr>
          <w:divsChild>
            <w:div w:id="1792824741">
              <w:marLeft w:val="0"/>
              <w:marRight w:val="0"/>
              <w:marTop w:val="0"/>
              <w:marBottom w:val="0"/>
              <w:divBdr>
                <w:top w:val="none" w:sz="0" w:space="0" w:color="auto"/>
                <w:left w:val="none" w:sz="0" w:space="0" w:color="auto"/>
                <w:bottom w:val="none" w:sz="0" w:space="0" w:color="auto"/>
                <w:right w:val="none" w:sz="0" w:space="0" w:color="auto"/>
              </w:divBdr>
            </w:div>
          </w:divsChild>
        </w:div>
        <w:div w:id="750394425">
          <w:marLeft w:val="0"/>
          <w:marRight w:val="0"/>
          <w:marTop w:val="0"/>
          <w:marBottom w:val="0"/>
          <w:divBdr>
            <w:top w:val="none" w:sz="0" w:space="0" w:color="auto"/>
            <w:left w:val="none" w:sz="0" w:space="0" w:color="auto"/>
            <w:bottom w:val="none" w:sz="0" w:space="0" w:color="auto"/>
            <w:right w:val="none" w:sz="0" w:space="0" w:color="auto"/>
          </w:divBdr>
          <w:divsChild>
            <w:div w:id="185026673">
              <w:marLeft w:val="0"/>
              <w:marRight w:val="0"/>
              <w:marTop w:val="0"/>
              <w:marBottom w:val="0"/>
              <w:divBdr>
                <w:top w:val="none" w:sz="0" w:space="0" w:color="auto"/>
                <w:left w:val="none" w:sz="0" w:space="0" w:color="auto"/>
                <w:bottom w:val="none" w:sz="0" w:space="0" w:color="auto"/>
                <w:right w:val="none" w:sz="0" w:space="0" w:color="auto"/>
              </w:divBdr>
            </w:div>
          </w:divsChild>
        </w:div>
        <w:div w:id="750584008">
          <w:marLeft w:val="0"/>
          <w:marRight w:val="0"/>
          <w:marTop w:val="0"/>
          <w:marBottom w:val="0"/>
          <w:divBdr>
            <w:top w:val="none" w:sz="0" w:space="0" w:color="auto"/>
            <w:left w:val="none" w:sz="0" w:space="0" w:color="auto"/>
            <w:bottom w:val="none" w:sz="0" w:space="0" w:color="auto"/>
            <w:right w:val="none" w:sz="0" w:space="0" w:color="auto"/>
          </w:divBdr>
          <w:divsChild>
            <w:div w:id="1969121542">
              <w:marLeft w:val="0"/>
              <w:marRight w:val="0"/>
              <w:marTop w:val="0"/>
              <w:marBottom w:val="0"/>
              <w:divBdr>
                <w:top w:val="none" w:sz="0" w:space="0" w:color="auto"/>
                <w:left w:val="none" w:sz="0" w:space="0" w:color="auto"/>
                <w:bottom w:val="none" w:sz="0" w:space="0" w:color="auto"/>
                <w:right w:val="none" w:sz="0" w:space="0" w:color="auto"/>
              </w:divBdr>
            </w:div>
          </w:divsChild>
        </w:div>
        <w:div w:id="757750160">
          <w:marLeft w:val="0"/>
          <w:marRight w:val="0"/>
          <w:marTop w:val="0"/>
          <w:marBottom w:val="0"/>
          <w:divBdr>
            <w:top w:val="none" w:sz="0" w:space="0" w:color="auto"/>
            <w:left w:val="none" w:sz="0" w:space="0" w:color="auto"/>
            <w:bottom w:val="none" w:sz="0" w:space="0" w:color="auto"/>
            <w:right w:val="none" w:sz="0" w:space="0" w:color="auto"/>
          </w:divBdr>
          <w:divsChild>
            <w:div w:id="481233551">
              <w:marLeft w:val="0"/>
              <w:marRight w:val="0"/>
              <w:marTop w:val="0"/>
              <w:marBottom w:val="0"/>
              <w:divBdr>
                <w:top w:val="none" w:sz="0" w:space="0" w:color="auto"/>
                <w:left w:val="none" w:sz="0" w:space="0" w:color="auto"/>
                <w:bottom w:val="none" w:sz="0" w:space="0" w:color="auto"/>
                <w:right w:val="none" w:sz="0" w:space="0" w:color="auto"/>
              </w:divBdr>
            </w:div>
          </w:divsChild>
        </w:div>
        <w:div w:id="757754596">
          <w:marLeft w:val="0"/>
          <w:marRight w:val="0"/>
          <w:marTop w:val="0"/>
          <w:marBottom w:val="0"/>
          <w:divBdr>
            <w:top w:val="none" w:sz="0" w:space="0" w:color="auto"/>
            <w:left w:val="none" w:sz="0" w:space="0" w:color="auto"/>
            <w:bottom w:val="none" w:sz="0" w:space="0" w:color="auto"/>
            <w:right w:val="none" w:sz="0" w:space="0" w:color="auto"/>
          </w:divBdr>
          <w:divsChild>
            <w:div w:id="466434320">
              <w:marLeft w:val="0"/>
              <w:marRight w:val="0"/>
              <w:marTop w:val="0"/>
              <w:marBottom w:val="0"/>
              <w:divBdr>
                <w:top w:val="none" w:sz="0" w:space="0" w:color="auto"/>
                <w:left w:val="none" w:sz="0" w:space="0" w:color="auto"/>
                <w:bottom w:val="none" w:sz="0" w:space="0" w:color="auto"/>
                <w:right w:val="none" w:sz="0" w:space="0" w:color="auto"/>
              </w:divBdr>
            </w:div>
          </w:divsChild>
        </w:div>
        <w:div w:id="766344163">
          <w:marLeft w:val="0"/>
          <w:marRight w:val="0"/>
          <w:marTop w:val="0"/>
          <w:marBottom w:val="0"/>
          <w:divBdr>
            <w:top w:val="none" w:sz="0" w:space="0" w:color="auto"/>
            <w:left w:val="none" w:sz="0" w:space="0" w:color="auto"/>
            <w:bottom w:val="none" w:sz="0" w:space="0" w:color="auto"/>
            <w:right w:val="none" w:sz="0" w:space="0" w:color="auto"/>
          </w:divBdr>
          <w:divsChild>
            <w:div w:id="985160094">
              <w:marLeft w:val="0"/>
              <w:marRight w:val="0"/>
              <w:marTop w:val="0"/>
              <w:marBottom w:val="0"/>
              <w:divBdr>
                <w:top w:val="none" w:sz="0" w:space="0" w:color="auto"/>
                <w:left w:val="none" w:sz="0" w:space="0" w:color="auto"/>
                <w:bottom w:val="none" w:sz="0" w:space="0" w:color="auto"/>
                <w:right w:val="none" w:sz="0" w:space="0" w:color="auto"/>
              </w:divBdr>
            </w:div>
          </w:divsChild>
        </w:div>
        <w:div w:id="766849110">
          <w:marLeft w:val="0"/>
          <w:marRight w:val="0"/>
          <w:marTop w:val="0"/>
          <w:marBottom w:val="0"/>
          <w:divBdr>
            <w:top w:val="none" w:sz="0" w:space="0" w:color="auto"/>
            <w:left w:val="none" w:sz="0" w:space="0" w:color="auto"/>
            <w:bottom w:val="none" w:sz="0" w:space="0" w:color="auto"/>
            <w:right w:val="none" w:sz="0" w:space="0" w:color="auto"/>
          </w:divBdr>
          <w:divsChild>
            <w:div w:id="1854762350">
              <w:marLeft w:val="0"/>
              <w:marRight w:val="0"/>
              <w:marTop w:val="0"/>
              <w:marBottom w:val="0"/>
              <w:divBdr>
                <w:top w:val="none" w:sz="0" w:space="0" w:color="auto"/>
                <w:left w:val="none" w:sz="0" w:space="0" w:color="auto"/>
                <w:bottom w:val="none" w:sz="0" w:space="0" w:color="auto"/>
                <w:right w:val="none" w:sz="0" w:space="0" w:color="auto"/>
              </w:divBdr>
            </w:div>
          </w:divsChild>
        </w:div>
        <w:div w:id="769816132">
          <w:marLeft w:val="0"/>
          <w:marRight w:val="0"/>
          <w:marTop w:val="0"/>
          <w:marBottom w:val="0"/>
          <w:divBdr>
            <w:top w:val="none" w:sz="0" w:space="0" w:color="auto"/>
            <w:left w:val="none" w:sz="0" w:space="0" w:color="auto"/>
            <w:bottom w:val="none" w:sz="0" w:space="0" w:color="auto"/>
            <w:right w:val="none" w:sz="0" w:space="0" w:color="auto"/>
          </w:divBdr>
          <w:divsChild>
            <w:div w:id="1572349082">
              <w:marLeft w:val="0"/>
              <w:marRight w:val="0"/>
              <w:marTop w:val="0"/>
              <w:marBottom w:val="0"/>
              <w:divBdr>
                <w:top w:val="none" w:sz="0" w:space="0" w:color="auto"/>
                <w:left w:val="none" w:sz="0" w:space="0" w:color="auto"/>
                <w:bottom w:val="none" w:sz="0" w:space="0" w:color="auto"/>
                <w:right w:val="none" w:sz="0" w:space="0" w:color="auto"/>
              </w:divBdr>
            </w:div>
          </w:divsChild>
        </w:div>
        <w:div w:id="780303285">
          <w:marLeft w:val="0"/>
          <w:marRight w:val="0"/>
          <w:marTop w:val="0"/>
          <w:marBottom w:val="0"/>
          <w:divBdr>
            <w:top w:val="none" w:sz="0" w:space="0" w:color="auto"/>
            <w:left w:val="none" w:sz="0" w:space="0" w:color="auto"/>
            <w:bottom w:val="none" w:sz="0" w:space="0" w:color="auto"/>
            <w:right w:val="none" w:sz="0" w:space="0" w:color="auto"/>
          </w:divBdr>
          <w:divsChild>
            <w:div w:id="1412385198">
              <w:marLeft w:val="0"/>
              <w:marRight w:val="0"/>
              <w:marTop w:val="0"/>
              <w:marBottom w:val="0"/>
              <w:divBdr>
                <w:top w:val="none" w:sz="0" w:space="0" w:color="auto"/>
                <w:left w:val="none" w:sz="0" w:space="0" w:color="auto"/>
                <w:bottom w:val="none" w:sz="0" w:space="0" w:color="auto"/>
                <w:right w:val="none" w:sz="0" w:space="0" w:color="auto"/>
              </w:divBdr>
            </w:div>
          </w:divsChild>
        </w:div>
        <w:div w:id="785734070">
          <w:marLeft w:val="0"/>
          <w:marRight w:val="0"/>
          <w:marTop w:val="0"/>
          <w:marBottom w:val="0"/>
          <w:divBdr>
            <w:top w:val="none" w:sz="0" w:space="0" w:color="auto"/>
            <w:left w:val="none" w:sz="0" w:space="0" w:color="auto"/>
            <w:bottom w:val="none" w:sz="0" w:space="0" w:color="auto"/>
            <w:right w:val="none" w:sz="0" w:space="0" w:color="auto"/>
          </w:divBdr>
          <w:divsChild>
            <w:div w:id="1605846282">
              <w:marLeft w:val="0"/>
              <w:marRight w:val="0"/>
              <w:marTop w:val="0"/>
              <w:marBottom w:val="0"/>
              <w:divBdr>
                <w:top w:val="none" w:sz="0" w:space="0" w:color="auto"/>
                <w:left w:val="none" w:sz="0" w:space="0" w:color="auto"/>
                <w:bottom w:val="none" w:sz="0" w:space="0" w:color="auto"/>
                <w:right w:val="none" w:sz="0" w:space="0" w:color="auto"/>
              </w:divBdr>
            </w:div>
          </w:divsChild>
        </w:div>
        <w:div w:id="789980423">
          <w:marLeft w:val="0"/>
          <w:marRight w:val="0"/>
          <w:marTop w:val="0"/>
          <w:marBottom w:val="0"/>
          <w:divBdr>
            <w:top w:val="none" w:sz="0" w:space="0" w:color="auto"/>
            <w:left w:val="none" w:sz="0" w:space="0" w:color="auto"/>
            <w:bottom w:val="none" w:sz="0" w:space="0" w:color="auto"/>
            <w:right w:val="none" w:sz="0" w:space="0" w:color="auto"/>
          </w:divBdr>
          <w:divsChild>
            <w:div w:id="1382050805">
              <w:marLeft w:val="0"/>
              <w:marRight w:val="0"/>
              <w:marTop w:val="0"/>
              <w:marBottom w:val="0"/>
              <w:divBdr>
                <w:top w:val="none" w:sz="0" w:space="0" w:color="auto"/>
                <w:left w:val="none" w:sz="0" w:space="0" w:color="auto"/>
                <w:bottom w:val="none" w:sz="0" w:space="0" w:color="auto"/>
                <w:right w:val="none" w:sz="0" w:space="0" w:color="auto"/>
              </w:divBdr>
            </w:div>
          </w:divsChild>
        </w:div>
        <w:div w:id="790972358">
          <w:marLeft w:val="0"/>
          <w:marRight w:val="0"/>
          <w:marTop w:val="0"/>
          <w:marBottom w:val="0"/>
          <w:divBdr>
            <w:top w:val="none" w:sz="0" w:space="0" w:color="auto"/>
            <w:left w:val="none" w:sz="0" w:space="0" w:color="auto"/>
            <w:bottom w:val="none" w:sz="0" w:space="0" w:color="auto"/>
            <w:right w:val="none" w:sz="0" w:space="0" w:color="auto"/>
          </w:divBdr>
          <w:divsChild>
            <w:div w:id="1375076897">
              <w:marLeft w:val="0"/>
              <w:marRight w:val="0"/>
              <w:marTop w:val="0"/>
              <w:marBottom w:val="0"/>
              <w:divBdr>
                <w:top w:val="none" w:sz="0" w:space="0" w:color="auto"/>
                <w:left w:val="none" w:sz="0" w:space="0" w:color="auto"/>
                <w:bottom w:val="none" w:sz="0" w:space="0" w:color="auto"/>
                <w:right w:val="none" w:sz="0" w:space="0" w:color="auto"/>
              </w:divBdr>
            </w:div>
          </w:divsChild>
        </w:div>
        <w:div w:id="791360239">
          <w:marLeft w:val="0"/>
          <w:marRight w:val="0"/>
          <w:marTop w:val="0"/>
          <w:marBottom w:val="0"/>
          <w:divBdr>
            <w:top w:val="none" w:sz="0" w:space="0" w:color="auto"/>
            <w:left w:val="none" w:sz="0" w:space="0" w:color="auto"/>
            <w:bottom w:val="none" w:sz="0" w:space="0" w:color="auto"/>
            <w:right w:val="none" w:sz="0" w:space="0" w:color="auto"/>
          </w:divBdr>
          <w:divsChild>
            <w:div w:id="350960468">
              <w:marLeft w:val="0"/>
              <w:marRight w:val="0"/>
              <w:marTop w:val="0"/>
              <w:marBottom w:val="0"/>
              <w:divBdr>
                <w:top w:val="none" w:sz="0" w:space="0" w:color="auto"/>
                <w:left w:val="none" w:sz="0" w:space="0" w:color="auto"/>
                <w:bottom w:val="none" w:sz="0" w:space="0" w:color="auto"/>
                <w:right w:val="none" w:sz="0" w:space="0" w:color="auto"/>
              </w:divBdr>
            </w:div>
          </w:divsChild>
        </w:div>
        <w:div w:id="793401043">
          <w:marLeft w:val="0"/>
          <w:marRight w:val="0"/>
          <w:marTop w:val="0"/>
          <w:marBottom w:val="0"/>
          <w:divBdr>
            <w:top w:val="none" w:sz="0" w:space="0" w:color="auto"/>
            <w:left w:val="none" w:sz="0" w:space="0" w:color="auto"/>
            <w:bottom w:val="none" w:sz="0" w:space="0" w:color="auto"/>
            <w:right w:val="none" w:sz="0" w:space="0" w:color="auto"/>
          </w:divBdr>
          <w:divsChild>
            <w:div w:id="1455714810">
              <w:marLeft w:val="0"/>
              <w:marRight w:val="0"/>
              <w:marTop w:val="0"/>
              <w:marBottom w:val="0"/>
              <w:divBdr>
                <w:top w:val="none" w:sz="0" w:space="0" w:color="auto"/>
                <w:left w:val="none" w:sz="0" w:space="0" w:color="auto"/>
                <w:bottom w:val="none" w:sz="0" w:space="0" w:color="auto"/>
                <w:right w:val="none" w:sz="0" w:space="0" w:color="auto"/>
              </w:divBdr>
            </w:div>
          </w:divsChild>
        </w:div>
        <w:div w:id="798380036">
          <w:marLeft w:val="0"/>
          <w:marRight w:val="0"/>
          <w:marTop w:val="0"/>
          <w:marBottom w:val="0"/>
          <w:divBdr>
            <w:top w:val="none" w:sz="0" w:space="0" w:color="auto"/>
            <w:left w:val="none" w:sz="0" w:space="0" w:color="auto"/>
            <w:bottom w:val="none" w:sz="0" w:space="0" w:color="auto"/>
            <w:right w:val="none" w:sz="0" w:space="0" w:color="auto"/>
          </w:divBdr>
          <w:divsChild>
            <w:div w:id="533617885">
              <w:marLeft w:val="0"/>
              <w:marRight w:val="0"/>
              <w:marTop w:val="0"/>
              <w:marBottom w:val="0"/>
              <w:divBdr>
                <w:top w:val="none" w:sz="0" w:space="0" w:color="auto"/>
                <w:left w:val="none" w:sz="0" w:space="0" w:color="auto"/>
                <w:bottom w:val="none" w:sz="0" w:space="0" w:color="auto"/>
                <w:right w:val="none" w:sz="0" w:space="0" w:color="auto"/>
              </w:divBdr>
            </w:div>
          </w:divsChild>
        </w:div>
        <w:div w:id="798648471">
          <w:marLeft w:val="0"/>
          <w:marRight w:val="0"/>
          <w:marTop w:val="0"/>
          <w:marBottom w:val="0"/>
          <w:divBdr>
            <w:top w:val="none" w:sz="0" w:space="0" w:color="auto"/>
            <w:left w:val="none" w:sz="0" w:space="0" w:color="auto"/>
            <w:bottom w:val="none" w:sz="0" w:space="0" w:color="auto"/>
            <w:right w:val="none" w:sz="0" w:space="0" w:color="auto"/>
          </w:divBdr>
          <w:divsChild>
            <w:div w:id="1548952526">
              <w:marLeft w:val="0"/>
              <w:marRight w:val="0"/>
              <w:marTop w:val="0"/>
              <w:marBottom w:val="0"/>
              <w:divBdr>
                <w:top w:val="none" w:sz="0" w:space="0" w:color="auto"/>
                <w:left w:val="none" w:sz="0" w:space="0" w:color="auto"/>
                <w:bottom w:val="none" w:sz="0" w:space="0" w:color="auto"/>
                <w:right w:val="none" w:sz="0" w:space="0" w:color="auto"/>
              </w:divBdr>
            </w:div>
          </w:divsChild>
        </w:div>
        <w:div w:id="798958972">
          <w:marLeft w:val="0"/>
          <w:marRight w:val="0"/>
          <w:marTop w:val="0"/>
          <w:marBottom w:val="0"/>
          <w:divBdr>
            <w:top w:val="none" w:sz="0" w:space="0" w:color="auto"/>
            <w:left w:val="none" w:sz="0" w:space="0" w:color="auto"/>
            <w:bottom w:val="none" w:sz="0" w:space="0" w:color="auto"/>
            <w:right w:val="none" w:sz="0" w:space="0" w:color="auto"/>
          </w:divBdr>
          <w:divsChild>
            <w:div w:id="1006053513">
              <w:marLeft w:val="0"/>
              <w:marRight w:val="0"/>
              <w:marTop w:val="0"/>
              <w:marBottom w:val="0"/>
              <w:divBdr>
                <w:top w:val="none" w:sz="0" w:space="0" w:color="auto"/>
                <w:left w:val="none" w:sz="0" w:space="0" w:color="auto"/>
                <w:bottom w:val="none" w:sz="0" w:space="0" w:color="auto"/>
                <w:right w:val="none" w:sz="0" w:space="0" w:color="auto"/>
              </w:divBdr>
            </w:div>
          </w:divsChild>
        </w:div>
        <w:div w:id="802428861">
          <w:marLeft w:val="0"/>
          <w:marRight w:val="0"/>
          <w:marTop w:val="0"/>
          <w:marBottom w:val="0"/>
          <w:divBdr>
            <w:top w:val="none" w:sz="0" w:space="0" w:color="auto"/>
            <w:left w:val="none" w:sz="0" w:space="0" w:color="auto"/>
            <w:bottom w:val="none" w:sz="0" w:space="0" w:color="auto"/>
            <w:right w:val="none" w:sz="0" w:space="0" w:color="auto"/>
          </w:divBdr>
          <w:divsChild>
            <w:div w:id="1909607814">
              <w:marLeft w:val="0"/>
              <w:marRight w:val="0"/>
              <w:marTop w:val="0"/>
              <w:marBottom w:val="0"/>
              <w:divBdr>
                <w:top w:val="none" w:sz="0" w:space="0" w:color="auto"/>
                <w:left w:val="none" w:sz="0" w:space="0" w:color="auto"/>
                <w:bottom w:val="none" w:sz="0" w:space="0" w:color="auto"/>
                <w:right w:val="none" w:sz="0" w:space="0" w:color="auto"/>
              </w:divBdr>
            </w:div>
          </w:divsChild>
        </w:div>
        <w:div w:id="810513370">
          <w:marLeft w:val="0"/>
          <w:marRight w:val="0"/>
          <w:marTop w:val="0"/>
          <w:marBottom w:val="0"/>
          <w:divBdr>
            <w:top w:val="none" w:sz="0" w:space="0" w:color="auto"/>
            <w:left w:val="none" w:sz="0" w:space="0" w:color="auto"/>
            <w:bottom w:val="none" w:sz="0" w:space="0" w:color="auto"/>
            <w:right w:val="none" w:sz="0" w:space="0" w:color="auto"/>
          </w:divBdr>
          <w:divsChild>
            <w:div w:id="815415722">
              <w:marLeft w:val="0"/>
              <w:marRight w:val="0"/>
              <w:marTop w:val="0"/>
              <w:marBottom w:val="0"/>
              <w:divBdr>
                <w:top w:val="none" w:sz="0" w:space="0" w:color="auto"/>
                <w:left w:val="none" w:sz="0" w:space="0" w:color="auto"/>
                <w:bottom w:val="none" w:sz="0" w:space="0" w:color="auto"/>
                <w:right w:val="none" w:sz="0" w:space="0" w:color="auto"/>
              </w:divBdr>
            </w:div>
          </w:divsChild>
        </w:div>
        <w:div w:id="811287445">
          <w:marLeft w:val="0"/>
          <w:marRight w:val="0"/>
          <w:marTop w:val="0"/>
          <w:marBottom w:val="0"/>
          <w:divBdr>
            <w:top w:val="none" w:sz="0" w:space="0" w:color="auto"/>
            <w:left w:val="none" w:sz="0" w:space="0" w:color="auto"/>
            <w:bottom w:val="none" w:sz="0" w:space="0" w:color="auto"/>
            <w:right w:val="none" w:sz="0" w:space="0" w:color="auto"/>
          </w:divBdr>
          <w:divsChild>
            <w:div w:id="614408909">
              <w:marLeft w:val="0"/>
              <w:marRight w:val="0"/>
              <w:marTop w:val="0"/>
              <w:marBottom w:val="0"/>
              <w:divBdr>
                <w:top w:val="none" w:sz="0" w:space="0" w:color="auto"/>
                <w:left w:val="none" w:sz="0" w:space="0" w:color="auto"/>
                <w:bottom w:val="none" w:sz="0" w:space="0" w:color="auto"/>
                <w:right w:val="none" w:sz="0" w:space="0" w:color="auto"/>
              </w:divBdr>
            </w:div>
          </w:divsChild>
        </w:div>
        <w:div w:id="821964597">
          <w:marLeft w:val="0"/>
          <w:marRight w:val="0"/>
          <w:marTop w:val="0"/>
          <w:marBottom w:val="0"/>
          <w:divBdr>
            <w:top w:val="none" w:sz="0" w:space="0" w:color="auto"/>
            <w:left w:val="none" w:sz="0" w:space="0" w:color="auto"/>
            <w:bottom w:val="none" w:sz="0" w:space="0" w:color="auto"/>
            <w:right w:val="none" w:sz="0" w:space="0" w:color="auto"/>
          </w:divBdr>
          <w:divsChild>
            <w:div w:id="961347625">
              <w:marLeft w:val="0"/>
              <w:marRight w:val="0"/>
              <w:marTop w:val="0"/>
              <w:marBottom w:val="0"/>
              <w:divBdr>
                <w:top w:val="none" w:sz="0" w:space="0" w:color="auto"/>
                <w:left w:val="none" w:sz="0" w:space="0" w:color="auto"/>
                <w:bottom w:val="none" w:sz="0" w:space="0" w:color="auto"/>
                <w:right w:val="none" w:sz="0" w:space="0" w:color="auto"/>
              </w:divBdr>
            </w:div>
          </w:divsChild>
        </w:div>
        <w:div w:id="832917913">
          <w:marLeft w:val="0"/>
          <w:marRight w:val="0"/>
          <w:marTop w:val="0"/>
          <w:marBottom w:val="0"/>
          <w:divBdr>
            <w:top w:val="none" w:sz="0" w:space="0" w:color="auto"/>
            <w:left w:val="none" w:sz="0" w:space="0" w:color="auto"/>
            <w:bottom w:val="none" w:sz="0" w:space="0" w:color="auto"/>
            <w:right w:val="none" w:sz="0" w:space="0" w:color="auto"/>
          </w:divBdr>
          <w:divsChild>
            <w:div w:id="844589702">
              <w:marLeft w:val="0"/>
              <w:marRight w:val="0"/>
              <w:marTop w:val="0"/>
              <w:marBottom w:val="0"/>
              <w:divBdr>
                <w:top w:val="none" w:sz="0" w:space="0" w:color="auto"/>
                <w:left w:val="none" w:sz="0" w:space="0" w:color="auto"/>
                <w:bottom w:val="none" w:sz="0" w:space="0" w:color="auto"/>
                <w:right w:val="none" w:sz="0" w:space="0" w:color="auto"/>
              </w:divBdr>
            </w:div>
          </w:divsChild>
        </w:div>
        <w:div w:id="832993824">
          <w:marLeft w:val="0"/>
          <w:marRight w:val="0"/>
          <w:marTop w:val="0"/>
          <w:marBottom w:val="0"/>
          <w:divBdr>
            <w:top w:val="none" w:sz="0" w:space="0" w:color="auto"/>
            <w:left w:val="none" w:sz="0" w:space="0" w:color="auto"/>
            <w:bottom w:val="none" w:sz="0" w:space="0" w:color="auto"/>
            <w:right w:val="none" w:sz="0" w:space="0" w:color="auto"/>
          </w:divBdr>
          <w:divsChild>
            <w:div w:id="947547355">
              <w:marLeft w:val="0"/>
              <w:marRight w:val="0"/>
              <w:marTop w:val="0"/>
              <w:marBottom w:val="0"/>
              <w:divBdr>
                <w:top w:val="none" w:sz="0" w:space="0" w:color="auto"/>
                <w:left w:val="none" w:sz="0" w:space="0" w:color="auto"/>
                <w:bottom w:val="none" w:sz="0" w:space="0" w:color="auto"/>
                <w:right w:val="none" w:sz="0" w:space="0" w:color="auto"/>
              </w:divBdr>
            </w:div>
          </w:divsChild>
        </w:div>
        <w:div w:id="835724860">
          <w:marLeft w:val="0"/>
          <w:marRight w:val="0"/>
          <w:marTop w:val="0"/>
          <w:marBottom w:val="0"/>
          <w:divBdr>
            <w:top w:val="none" w:sz="0" w:space="0" w:color="auto"/>
            <w:left w:val="none" w:sz="0" w:space="0" w:color="auto"/>
            <w:bottom w:val="none" w:sz="0" w:space="0" w:color="auto"/>
            <w:right w:val="none" w:sz="0" w:space="0" w:color="auto"/>
          </w:divBdr>
          <w:divsChild>
            <w:div w:id="1425883025">
              <w:marLeft w:val="0"/>
              <w:marRight w:val="0"/>
              <w:marTop w:val="0"/>
              <w:marBottom w:val="0"/>
              <w:divBdr>
                <w:top w:val="none" w:sz="0" w:space="0" w:color="auto"/>
                <w:left w:val="none" w:sz="0" w:space="0" w:color="auto"/>
                <w:bottom w:val="none" w:sz="0" w:space="0" w:color="auto"/>
                <w:right w:val="none" w:sz="0" w:space="0" w:color="auto"/>
              </w:divBdr>
            </w:div>
          </w:divsChild>
        </w:div>
        <w:div w:id="835799425">
          <w:marLeft w:val="0"/>
          <w:marRight w:val="0"/>
          <w:marTop w:val="0"/>
          <w:marBottom w:val="0"/>
          <w:divBdr>
            <w:top w:val="none" w:sz="0" w:space="0" w:color="auto"/>
            <w:left w:val="none" w:sz="0" w:space="0" w:color="auto"/>
            <w:bottom w:val="none" w:sz="0" w:space="0" w:color="auto"/>
            <w:right w:val="none" w:sz="0" w:space="0" w:color="auto"/>
          </w:divBdr>
          <w:divsChild>
            <w:div w:id="760100832">
              <w:marLeft w:val="0"/>
              <w:marRight w:val="0"/>
              <w:marTop w:val="0"/>
              <w:marBottom w:val="0"/>
              <w:divBdr>
                <w:top w:val="none" w:sz="0" w:space="0" w:color="auto"/>
                <w:left w:val="none" w:sz="0" w:space="0" w:color="auto"/>
                <w:bottom w:val="none" w:sz="0" w:space="0" w:color="auto"/>
                <w:right w:val="none" w:sz="0" w:space="0" w:color="auto"/>
              </w:divBdr>
            </w:div>
          </w:divsChild>
        </w:div>
        <w:div w:id="838811228">
          <w:marLeft w:val="0"/>
          <w:marRight w:val="0"/>
          <w:marTop w:val="0"/>
          <w:marBottom w:val="0"/>
          <w:divBdr>
            <w:top w:val="none" w:sz="0" w:space="0" w:color="auto"/>
            <w:left w:val="none" w:sz="0" w:space="0" w:color="auto"/>
            <w:bottom w:val="none" w:sz="0" w:space="0" w:color="auto"/>
            <w:right w:val="none" w:sz="0" w:space="0" w:color="auto"/>
          </w:divBdr>
          <w:divsChild>
            <w:div w:id="1475831529">
              <w:marLeft w:val="0"/>
              <w:marRight w:val="0"/>
              <w:marTop w:val="0"/>
              <w:marBottom w:val="0"/>
              <w:divBdr>
                <w:top w:val="none" w:sz="0" w:space="0" w:color="auto"/>
                <w:left w:val="none" w:sz="0" w:space="0" w:color="auto"/>
                <w:bottom w:val="none" w:sz="0" w:space="0" w:color="auto"/>
                <w:right w:val="none" w:sz="0" w:space="0" w:color="auto"/>
              </w:divBdr>
            </w:div>
          </w:divsChild>
        </w:div>
        <w:div w:id="843125398">
          <w:marLeft w:val="0"/>
          <w:marRight w:val="0"/>
          <w:marTop w:val="0"/>
          <w:marBottom w:val="0"/>
          <w:divBdr>
            <w:top w:val="none" w:sz="0" w:space="0" w:color="auto"/>
            <w:left w:val="none" w:sz="0" w:space="0" w:color="auto"/>
            <w:bottom w:val="none" w:sz="0" w:space="0" w:color="auto"/>
            <w:right w:val="none" w:sz="0" w:space="0" w:color="auto"/>
          </w:divBdr>
          <w:divsChild>
            <w:div w:id="1753622629">
              <w:marLeft w:val="0"/>
              <w:marRight w:val="0"/>
              <w:marTop w:val="0"/>
              <w:marBottom w:val="0"/>
              <w:divBdr>
                <w:top w:val="none" w:sz="0" w:space="0" w:color="auto"/>
                <w:left w:val="none" w:sz="0" w:space="0" w:color="auto"/>
                <w:bottom w:val="none" w:sz="0" w:space="0" w:color="auto"/>
                <w:right w:val="none" w:sz="0" w:space="0" w:color="auto"/>
              </w:divBdr>
            </w:div>
          </w:divsChild>
        </w:div>
        <w:div w:id="844855674">
          <w:marLeft w:val="0"/>
          <w:marRight w:val="0"/>
          <w:marTop w:val="0"/>
          <w:marBottom w:val="0"/>
          <w:divBdr>
            <w:top w:val="none" w:sz="0" w:space="0" w:color="auto"/>
            <w:left w:val="none" w:sz="0" w:space="0" w:color="auto"/>
            <w:bottom w:val="none" w:sz="0" w:space="0" w:color="auto"/>
            <w:right w:val="none" w:sz="0" w:space="0" w:color="auto"/>
          </w:divBdr>
          <w:divsChild>
            <w:div w:id="1675569420">
              <w:marLeft w:val="0"/>
              <w:marRight w:val="0"/>
              <w:marTop w:val="0"/>
              <w:marBottom w:val="0"/>
              <w:divBdr>
                <w:top w:val="none" w:sz="0" w:space="0" w:color="auto"/>
                <w:left w:val="none" w:sz="0" w:space="0" w:color="auto"/>
                <w:bottom w:val="none" w:sz="0" w:space="0" w:color="auto"/>
                <w:right w:val="none" w:sz="0" w:space="0" w:color="auto"/>
              </w:divBdr>
            </w:div>
          </w:divsChild>
        </w:div>
        <w:div w:id="846599597">
          <w:marLeft w:val="0"/>
          <w:marRight w:val="0"/>
          <w:marTop w:val="0"/>
          <w:marBottom w:val="0"/>
          <w:divBdr>
            <w:top w:val="none" w:sz="0" w:space="0" w:color="auto"/>
            <w:left w:val="none" w:sz="0" w:space="0" w:color="auto"/>
            <w:bottom w:val="none" w:sz="0" w:space="0" w:color="auto"/>
            <w:right w:val="none" w:sz="0" w:space="0" w:color="auto"/>
          </w:divBdr>
          <w:divsChild>
            <w:div w:id="1679504455">
              <w:marLeft w:val="0"/>
              <w:marRight w:val="0"/>
              <w:marTop w:val="0"/>
              <w:marBottom w:val="0"/>
              <w:divBdr>
                <w:top w:val="none" w:sz="0" w:space="0" w:color="auto"/>
                <w:left w:val="none" w:sz="0" w:space="0" w:color="auto"/>
                <w:bottom w:val="none" w:sz="0" w:space="0" w:color="auto"/>
                <w:right w:val="none" w:sz="0" w:space="0" w:color="auto"/>
              </w:divBdr>
            </w:div>
          </w:divsChild>
        </w:div>
        <w:div w:id="847259090">
          <w:marLeft w:val="0"/>
          <w:marRight w:val="0"/>
          <w:marTop w:val="0"/>
          <w:marBottom w:val="0"/>
          <w:divBdr>
            <w:top w:val="none" w:sz="0" w:space="0" w:color="auto"/>
            <w:left w:val="none" w:sz="0" w:space="0" w:color="auto"/>
            <w:bottom w:val="none" w:sz="0" w:space="0" w:color="auto"/>
            <w:right w:val="none" w:sz="0" w:space="0" w:color="auto"/>
          </w:divBdr>
          <w:divsChild>
            <w:div w:id="1230382511">
              <w:marLeft w:val="0"/>
              <w:marRight w:val="0"/>
              <w:marTop w:val="0"/>
              <w:marBottom w:val="0"/>
              <w:divBdr>
                <w:top w:val="none" w:sz="0" w:space="0" w:color="auto"/>
                <w:left w:val="none" w:sz="0" w:space="0" w:color="auto"/>
                <w:bottom w:val="none" w:sz="0" w:space="0" w:color="auto"/>
                <w:right w:val="none" w:sz="0" w:space="0" w:color="auto"/>
              </w:divBdr>
            </w:div>
          </w:divsChild>
        </w:div>
        <w:div w:id="847334559">
          <w:marLeft w:val="0"/>
          <w:marRight w:val="0"/>
          <w:marTop w:val="0"/>
          <w:marBottom w:val="0"/>
          <w:divBdr>
            <w:top w:val="none" w:sz="0" w:space="0" w:color="auto"/>
            <w:left w:val="none" w:sz="0" w:space="0" w:color="auto"/>
            <w:bottom w:val="none" w:sz="0" w:space="0" w:color="auto"/>
            <w:right w:val="none" w:sz="0" w:space="0" w:color="auto"/>
          </w:divBdr>
          <w:divsChild>
            <w:div w:id="1568031533">
              <w:marLeft w:val="0"/>
              <w:marRight w:val="0"/>
              <w:marTop w:val="0"/>
              <w:marBottom w:val="0"/>
              <w:divBdr>
                <w:top w:val="none" w:sz="0" w:space="0" w:color="auto"/>
                <w:left w:val="none" w:sz="0" w:space="0" w:color="auto"/>
                <w:bottom w:val="none" w:sz="0" w:space="0" w:color="auto"/>
                <w:right w:val="none" w:sz="0" w:space="0" w:color="auto"/>
              </w:divBdr>
            </w:div>
          </w:divsChild>
        </w:div>
        <w:div w:id="860826869">
          <w:marLeft w:val="0"/>
          <w:marRight w:val="0"/>
          <w:marTop w:val="0"/>
          <w:marBottom w:val="0"/>
          <w:divBdr>
            <w:top w:val="none" w:sz="0" w:space="0" w:color="auto"/>
            <w:left w:val="none" w:sz="0" w:space="0" w:color="auto"/>
            <w:bottom w:val="none" w:sz="0" w:space="0" w:color="auto"/>
            <w:right w:val="none" w:sz="0" w:space="0" w:color="auto"/>
          </w:divBdr>
          <w:divsChild>
            <w:div w:id="1968197035">
              <w:marLeft w:val="0"/>
              <w:marRight w:val="0"/>
              <w:marTop w:val="0"/>
              <w:marBottom w:val="0"/>
              <w:divBdr>
                <w:top w:val="none" w:sz="0" w:space="0" w:color="auto"/>
                <w:left w:val="none" w:sz="0" w:space="0" w:color="auto"/>
                <w:bottom w:val="none" w:sz="0" w:space="0" w:color="auto"/>
                <w:right w:val="none" w:sz="0" w:space="0" w:color="auto"/>
              </w:divBdr>
            </w:div>
          </w:divsChild>
        </w:div>
        <w:div w:id="861556931">
          <w:marLeft w:val="0"/>
          <w:marRight w:val="0"/>
          <w:marTop w:val="0"/>
          <w:marBottom w:val="0"/>
          <w:divBdr>
            <w:top w:val="none" w:sz="0" w:space="0" w:color="auto"/>
            <w:left w:val="none" w:sz="0" w:space="0" w:color="auto"/>
            <w:bottom w:val="none" w:sz="0" w:space="0" w:color="auto"/>
            <w:right w:val="none" w:sz="0" w:space="0" w:color="auto"/>
          </w:divBdr>
          <w:divsChild>
            <w:div w:id="1673289002">
              <w:marLeft w:val="0"/>
              <w:marRight w:val="0"/>
              <w:marTop w:val="0"/>
              <w:marBottom w:val="0"/>
              <w:divBdr>
                <w:top w:val="none" w:sz="0" w:space="0" w:color="auto"/>
                <w:left w:val="none" w:sz="0" w:space="0" w:color="auto"/>
                <w:bottom w:val="none" w:sz="0" w:space="0" w:color="auto"/>
                <w:right w:val="none" w:sz="0" w:space="0" w:color="auto"/>
              </w:divBdr>
            </w:div>
          </w:divsChild>
        </w:div>
        <w:div w:id="862208331">
          <w:marLeft w:val="0"/>
          <w:marRight w:val="0"/>
          <w:marTop w:val="0"/>
          <w:marBottom w:val="0"/>
          <w:divBdr>
            <w:top w:val="none" w:sz="0" w:space="0" w:color="auto"/>
            <w:left w:val="none" w:sz="0" w:space="0" w:color="auto"/>
            <w:bottom w:val="none" w:sz="0" w:space="0" w:color="auto"/>
            <w:right w:val="none" w:sz="0" w:space="0" w:color="auto"/>
          </w:divBdr>
          <w:divsChild>
            <w:div w:id="100270832">
              <w:marLeft w:val="0"/>
              <w:marRight w:val="0"/>
              <w:marTop w:val="0"/>
              <w:marBottom w:val="0"/>
              <w:divBdr>
                <w:top w:val="none" w:sz="0" w:space="0" w:color="auto"/>
                <w:left w:val="none" w:sz="0" w:space="0" w:color="auto"/>
                <w:bottom w:val="none" w:sz="0" w:space="0" w:color="auto"/>
                <w:right w:val="none" w:sz="0" w:space="0" w:color="auto"/>
              </w:divBdr>
            </w:div>
          </w:divsChild>
        </w:div>
        <w:div w:id="867059972">
          <w:marLeft w:val="0"/>
          <w:marRight w:val="0"/>
          <w:marTop w:val="0"/>
          <w:marBottom w:val="0"/>
          <w:divBdr>
            <w:top w:val="none" w:sz="0" w:space="0" w:color="auto"/>
            <w:left w:val="none" w:sz="0" w:space="0" w:color="auto"/>
            <w:bottom w:val="none" w:sz="0" w:space="0" w:color="auto"/>
            <w:right w:val="none" w:sz="0" w:space="0" w:color="auto"/>
          </w:divBdr>
          <w:divsChild>
            <w:div w:id="901329221">
              <w:marLeft w:val="0"/>
              <w:marRight w:val="0"/>
              <w:marTop w:val="0"/>
              <w:marBottom w:val="0"/>
              <w:divBdr>
                <w:top w:val="none" w:sz="0" w:space="0" w:color="auto"/>
                <w:left w:val="none" w:sz="0" w:space="0" w:color="auto"/>
                <w:bottom w:val="none" w:sz="0" w:space="0" w:color="auto"/>
                <w:right w:val="none" w:sz="0" w:space="0" w:color="auto"/>
              </w:divBdr>
            </w:div>
          </w:divsChild>
        </w:div>
        <w:div w:id="867260032">
          <w:marLeft w:val="0"/>
          <w:marRight w:val="0"/>
          <w:marTop w:val="0"/>
          <w:marBottom w:val="0"/>
          <w:divBdr>
            <w:top w:val="none" w:sz="0" w:space="0" w:color="auto"/>
            <w:left w:val="none" w:sz="0" w:space="0" w:color="auto"/>
            <w:bottom w:val="none" w:sz="0" w:space="0" w:color="auto"/>
            <w:right w:val="none" w:sz="0" w:space="0" w:color="auto"/>
          </w:divBdr>
          <w:divsChild>
            <w:div w:id="2126264552">
              <w:marLeft w:val="0"/>
              <w:marRight w:val="0"/>
              <w:marTop w:val="0"/>
              <w:marBottom w:val="0"/>
              <w:divBdr>
                <w:top w:val="none" w:sz="0" w:space="0" w:color="auto"/>
                <w:left w:val="none" w:sz="0" w:space="0" w:color="auto"/>
                <w:bottom w:val="none" w:sz="0" w:space="0" w:color="auto"/>
                <w:right w:val="none" w:sz="0" w:space="0" w:color="auto"/>
              </w:divBdr>
            </w:div>
          </w:divsChild>
        </w:div>
        <w:div w:id="876235468">
          <w:marLeft w:val="0"/>
          <w:marRight w:val="0"/>
          <w:marTop w:val="0"/>
          <w:marBottom w:val="0"/>
          <w:divBdr>
            <w:top w:val="none" w:sz="0" w:space="0" w:color="auto"/>
            <w:left w:val="none" w:sz="0" w:space="0" w:color="auto"/>
            <w:bottom w:val="none" w:sz="0" w:space="0" w:color="auto"/>
            <w:right w:val="none" w:sz="0" w:space="0" w:color="auto"/>
          </w:divBdr>
          <w:divsChild>
            <w:div w:id="132186403">
              <w:marLeft w:val="0"/>
              <w:marRight w:val="0"/>
              <w:marTop w:val="0"/>
              <w:marBottom w:val="0"/>
              <w:divBdr>
                <w:top w:val="none" w:sz="0" w:space="0" w:color="auto"/>
                <w:left w:val="none" w:sz="0" w:space="0" w:color="auto"/>
                <w:bottom w:val="none" w:sz="0" w:space="0" w:color="auto"/>
                <w:right w:val="none" w:sz="0" w:space="0" w:color="auto"/>
              </w:divBdr>
            </w:div>
          </w:divsChild>
        </w:div>
        <w:div w:id="877469504">
          <w:marLeft w:val="0"/>
          <w:marRight w:val="0"/>
          <w:marTop w:val="0"/>
          <w:marBottom w:val="0"/>
          <w:divBdr>
            <w:top w:val="none" w:sz="0" w:space="0" w:color="auto"/>
            <w:left w:val="none" w:sz="0" w:space="0" w:color="auto"/>
            <w:bottom w:val="none" w:sz="0" w:space="0" w:color="auto"/>
            <w:right w:val="none" w:sz="0" w:space="0" w:color="auto"/>
          </w:divBdr>
          <w:divsChild>
            <w:div w:id="1050963033">
              <w:marLeft w:val="0"/>
              <w:marRight w:val="0"/>
              <w:marTop w:val="0"/>
              <w:marBottom w:val="0"/>
              <w:divBdr>
                <w:top w:val="none" w:sz="0" w:space="0" w:color="auto"/>
                <w:left w:val="none" w:sz="0" w:space="0" w:color="auto"/>
                <w:bottom w:val="none" w:sz="0" w:space="0" w:color="auto"/>
                <w:right w:val="none" w:sz="0" w:space="0" w:color="auto"/>
              </w:divBdr>
            </w:div>
          </w:divsChild>
        </w:div>
        <w:div w:id="880169708">
          <w:marLeft w:val="0"/>
          <w:marRight w:val="0"/>
          <w:marTop w:val="0"/>
          <w:marBottom w:val="0"/>
          <w:divBdr>
            <w:top w:val="none" w:sz="0" w:space="0" w:color="auto"/>
            <w:left w:val="none" w:sz="0" w:space="0" w:color="auto"/>
            <w:bottom w:val="none" w:sz="0" w:space="0" w:color="auto"/>
            <w:right w:val="none" w:sz="0" w:space="0" w:color="auto"/>
          </w:divBdr>
          <w:divsChild>
            <w:div w:id="1420717061">
              <w:marLeft w:val="0"/>
              <w:marRight w:val="0"/>
              <w:marTop w:val="0"/>
              <w:marBottom w:val="0"/>
              <w:divBdr>
                <w:top w:val="none" w:sz="0" w:space="0" w:color="auto"/>
                <w:left w:val="none" w:sz="0" w:space="0" w:color="auto"/>
                <w:bottom w:val="none" w:sz="0" w:space="0" w:color="auto"/>
                <w:right w:val="none" w:sz="0" w:space="0" w:color="auto"/>
              </w:divBdr>
            </w:div>
          </w:divsChild>
        </w:div>
        <w:div w:id="881483472">
          <w:marLeft w:val="0"/>
          <w:marRight w:val="0"/>
          <w:marTop w:val="0"/>
          <w:marBottom w:val="0"/>
          <w:divBdr>
            <w:top w:val="none" w:sz="0" w:space="0" w:color="auto"/>
            <w:left w:val="none" w:sz="0" w:space="0" w:color="auto"/>
            <w:bottom w:val="none" w:sz="0" w:space="0" w:color="auto"/>
            <w:right w:val="none" w:sz="0" w:space="0" w:color="auto"/>
          </w:divBdr>
          <w:divsChild>
            <w:div w:id="667051934">
              <w:marLeft w:val="0"/>
              <w:marRight w:val="0"/>
              <w:marTop w:val="0"/>
              <w:marBottom w:val="0"/>
              <w:divBdr>
                <w:top w:val="none" w:sz="0" w:space="0" w:color="auto"/>
                <w:left w:val="none" w:sz="0" w:space="0" w:color="auto"/>
                <w:bottom w:val="none" w:sz="0" w:space="0" w:color="auto"/>
                <w:right w:val="none" w:sz="0" w:space="0" w:color="auto"/>
              </w:divBdr>
            </w:div>
          </w:divsChild>
        </w:div>
        <w:div w:id="903686368">
          <w:marLeft w:val="0"/>
          <w:marRight w:val="0"/>
          <w:marTop w:val="0"/>
          <w:marBottom w:val="0"/>
          <w:divBdr>
            <w:top w:val="none" w:sz="0" w:space="0" w:color="auto"/>
            <w:left w:val="none" w:sz="0" w:space="0" w:color="auto"/>
            <w:bottom w:val="none" w:sz="0" w:space="0" w:color="auto"/>
            <w:right w:val="none" w:sz="0" w:space="0" w:color="auto"/>
          </w:divBdr>
          <w:divsChild>
            <w:div w:id="1096245002">
              <w:marLeft w:val="0"/>
              <w:marRight w:val="0"/>
              <w:marTop w:val="0"/>
              <w:marBottom w:val="0"/>
              <w:divBdr>
                <w:top w:val="none" w:sz="0" w:space="0" w:color="auto"/>
                <w:left w:val="none" w:sz="0" w:space="0" w:color="auto"/>
                <w:bottom w:val="none" w:sz="0" w:space="0" w:color="auto"/>
                <w:right w:val="none" w:sz="0" w:space="0" w:color="auto"/>
              </w:divBdr>
            </w:div>
          </w:divsChild>
        </w:div>
        <w:div w:id="911282370">
          <w:marLeft w:val="0"/>
          <w:marRight w:val="0"/>
          <w:marTop w:val="0"/>
          <w:marBottom w:val="0"/>
          <w:divBdr>
            <w:top w:val="none" w:sz="0" w:space="0" w:color="auto"/>
            <w:left w:val="none" w:sz="0" w:space="0" w:color="auto"/>
            <w:bottom w:val="none" w:sz="0" w:space="0" w:color="auto"/>
            <w:right w:val="none" w:sz="0" w:space="0" w:color="auto"/>
          </w:divBdr>
          <w:divsChild>
            <w:div w:id="1183012167">
              <w:marLeft w:val="0"/>
              <w:marRight w:val="0"/>
              <w:marTop w:val="0"/>
              <w:marBottom w:val="0"/>
              <w:divBdr>
                <w:top w:val="none" w:sz="0" w:space="0" w:color="auto"/>
                <w:left w:val="none" w:sz="0" w:space="0" w:color="auto"/>
                <w:bottom w:val="none" w:sz="0" w:space="0" w:color="auto"/>
                <w:right w:val="none" w:sz="0" w:space="0" w:color="auto"/>
              </w:divBdr>
            </w:div>
          </w:divsChild>
        </w:div>
        <w:div w:id="921722849">
          <w:marLeft w:val="0"/>
          <w:marRight w:val="0"/>
          <w:marTop w:val="0"/>
          <w:marBottom w:val="0"/>
          <w:divBdr>
            <w:top w:val="none" w:sz="0" w:space="0" w:color="auto"/>
            <w:left w:val="none" w:sz="0" w:space="0" w:color="auto"/>
            <w:bottom w:val="none" w:sz="0" w:space="0" w:color="auto"/>
            <w:right w:val="none" w:sz="0" w:space="0" w:color="auto"/>
          </w:divBdr>
          <w:divsChild>
            <w:div w:id="644748024">
              <w:marLeft w:val="0"/>
              <w:marRight w:val="0"/>
              <w:marTop w:val="0"/>
              <w:marBottom w:val="0"/>
              <w:divBdr>
                <w:top w:val="none" w:sz="0" w:space="0" w:color="auto"/>
                <w:left w:val="none" w:sz="0" w:space="0" w:color="auto"/>
                <w:bottom w:val="none" w:sz="0" w:space="0" w:color="auto"/>
                <w:right w:val="none" w:sz="0" w:space="0" w:color="auto"/>
              </w:divBdr>
            </w:div>
          </w:divsChild>
        </w:div>
        <w:div w:id="922026775">
          <w:marLeft w:val="0"/>
          <w:marRight w:val="0"/>
          <w:marTop w:val="0"/>
          <w:marBottom w:val="0"/>
          <w:divBdr>
            <w:top w:val="none" w:sz="0" w:space="0" w:color="auto"/>
            <w:left w:val="none" w:sz="0" w:space="0" w:color="auto"/>
            <w:bottom w:val="none" w:sz="0" w:space="0" w:color="auto"/>
            <w:right w:val="none" w:sz="0" w:space="0" w:color="auto"/>
          </w:divBdr>
          <w:divsChild>
            <w:div w:id="1791246025">
              <w:marLeft w:val="0"/>
              <w:marRight w:val="0"/>
              <w:marTop w:val="0"/>
              <w:marBottom w:val="0"/>
              <w:divBdr>
                <w:top w:val="none" w:sz="0" w:space="0" w:color="auto"/>
                <w:left w:val="none" w:sz="0" w:space="0" w:color="auto"/>
                <w:bottom w:val="none" w:sz="0" w:space="0" w:color="auto"/>
                <w:right w:val="none" w:sz="0" w:space="0" w:color="auto"/>
              </w:divBdr>
            </w:div>
          </w:divsChild>
        </w:div>
        <w:div w:id="923301224">
          <w:marLeft w:val="0"/>
          <w:marRight w:val="0"/>
          <w:marTop w:val="0"/>
          <w:marBottom w:val="0"/>
          <w:divBdr>
            <w:top w:val="none" w:sz="0" w:space="0" w:color="auto"/>
            <w:left w:val="none" w:sz="0" w:space="0" w:color="auto"/>
            <w:bottom w:val="none" w:sz="0" w:space="0" w:color="auto"/>
            <w:right w:val="none" w:sz="0" w:space="0" w:color="auto"/>
          </w:divBdr>
          <w:divsChild>
            <w:div w:id="1940746720">
              <w:marLeft w:val="0"/>
              <w:marRight w:val="0"/>
              <w:marTop w:val="0"/>
              <w:marBottom w:val="0"/>
              <w:divBdr>
                <w:top w:val="none" w:sz="0" w:space="0" w:color="auto"/>
                <w:left w:val="none" w:sz="0" w:space="0" w:color="auto"/>
                <w:bottom w:val="none" w:sz="0" w:space="0" w:color="auto"/>
                <w:right w:val="none" w:sz="0" w:space="0" w:color="auto"/>
              </w:divBdr>
            </w:div>
          </w:divsChild>
        </w:div>
        <w:div w:id="926226840">
          <w:marLeft w:val="0"/>
          <w:marRight w:val="0"/>
          <w:marTop w:val="0"/>
          <w:marBottom w:val="0"/>
          <w:divBdr>
            <w:top w:val="none" w:sz="0" w:space="0" w:color="auto"/>
            <w:left w:val="none" w:sz="0" w:space="0" w:color="auto"/>
            <w:bottom w:val="none" w:sz="0" w:space="0" w:color="auto"/>
            <w:right w:val="none" w:sz="0" w:space="0" w:color="auto"/>
          </w:divBdr>
          <w:divsChild>
            <w:div w:id="1847936516">
              <w:marLeft w:val="0"/>
              <w:marRight w:val="0"/>
              <w:marTop w:val="0"/>
              <w:marBottom w:val="0"/>
              <w:divBdr>
                <w:top w:val="none" w:sz="0" w:space="0" w:color="auto"/>
                <w:left w:val="none" w:sz="0" w:space="0" w:color="auto"/>
                <w:bottom w:val="none" w:sz="0" w:space="0" w:color="auto"/>
                <w:right w:val="none" w:sz="0" w:space="0" w:color="auto"/>
              </w:divBdr>
            </w:div>
          </w:divsChild>
        </w:div>
        <w:div w:id="928733900">
          <w:marLeft w:val="0"/>
          <w:marRight w:val="0"/>
          <w:marTop w:val="0"/>
          <w:marBottom w:val="0"/>
          <w:divBdr>
            <w:top w:val="none" w:sz="0" w:space="0" w:color="auto"/>
            <w:left w:val="none" w:sz="0" w:space="0" w:color="auto"/>
            <w:bottom w:val="none" w:sz="0" w:space="0" w:color="auto"/>
            <w:right w:val="none" w:sz="0" w:space="0" w:color="auto"/>
          </w:divBdr>
          <w:divsChild>
            <w:div w:id="871259748">
              <w:marLeft w:val="0"/>
              <w:marRight w:val="0"/>
              <w:marTop w:val="0"/>
              <w:marBottom w:val="0"/>
              <w:divBdr>
                <w:top w:val="none" w:sz="0" w:space="0" w:color="auto"/>
                <w:left w:val="none" w:sz="0" w:space="0" w:color="auto"/>
                <w:bottom w:val="none" w:sz="0" w:space="0" w:color="auto"/>
                <w:right w:val="none" w:sz="0" w:space="0" w:color="auto"/>
              </w:divBdr>
            </w:div>
          </w:divsChild>
        </w:div>
        <w:div w:id="931546633">
          <w:marLeft w:val="0"/>
          <w:marRight w:val="0"/>
          <w:marTop w:val="0"/>
          <w:marBottom w:val="0"/>
          <w:divBdr>
            <w:top w:val="none" w:sz="0" w:space="0" w:color="auto"/>
            <w:left w:val="none" w:sz="0" w:space="0" w:color="auto"/>
            <w:bottom w:val="none" w:sz="0" w:space="0" w:color="auto"/>
            <w:right w:val="none" w:sz="0" w:space="0" w:color="auto"/>
          </w:divBdr>
          <w:divsChild>
            <w:div w:id="567228448">
              <w:marLeft w:val="0"/>
              <w:marRight w:val="0"/>
              <w:marTop w:val="0"/>
              <w:marBottom w:val="0"/>
              <w:divBdr>
                <w:top w:val="none" w:sz="0" w:space="0" w:color="auto"/>
                <w:left w:val="none" w:sz="0" w:space="0" w:color="auto"/>
                <w:bottom w:val="none" w:sz="0" w:space="0" w:color="auto"/>
                <w:right w:val="none" w:sz="0" w:space="0" w:color="auto"/>
              </w:divBdr>
            </w:div>
          </w:divsChild>
        </w:div>
        <w:div w:id="932398856">
          <w:marLeft w:val="0"/>
          <w:marRight w:val="0"/>
          <w:marTop w:val="0"/>
          <w:marBottom w:val="0"/>
          <w:divBdr>
            <w:top w:val="none" w:sz="0" w:space="0" w:color="auto"/>
            <w:left w:val="none" w:sz="0" w:space="0" w:color="auto"/>
            <w:bottom w:val="none" w:sz="0" w:space="0" w:color="auto"/>
            <w:right w:val="none" w:sz="0" w:space="0" w:color="auto"/>
          </w:divBdr>
          <w:divsChild>
            <w:div w:id="1351371662">
              <w:marLeft w:val="0"/>
              <w:marRight w:val="0"/>
              <w:marTop w:val="0"/>
              <w:marBottom w:val="0"/>
              <w:divBdr>
                <w:top w:val="none" w:sz="0" w:space="0" w:color="auto"/>
                <w:left w:val="none" w:sz="0" w:space="0" w:color="auto"/>
                <w:bottom w:val="none" w:sz="0" w:space="0" w:color="auto"/>
                <w:right w:val="none" w:sz="0" w:space="0" w:color="auto"/>
              </w:divBdr>
            </w:div>
          </w:divsChild>
        </w:div>
        <w:div w:id="937713488">
          <w:marLeft w:val="0"/>
          <w:marRight w:val="0"/>
          <w:marTop w:val="0"/>
          <w:marBottom w:val="0"/>
          <w:divBdr>
            <w:top w:val="none" w:sz="0" w:space="0" w:color="auto"/>
            <w:left w:val="none" w:sz="0" w:space="0" w:color="auto"/>
            <w:bottom w:val="none" w:sz="0" w:space="0" w:color="auto"/>
            <w:right w:val="none" w:sz="0" w:space="0" w:color="auto"/>
          </w:divBdr>
          <w:divsChild>
            <w:div w:id="489559613">
              <w:marLeft w:val="0"/>
              <w:marRight w:val="0"/>
              <w:marTop w:val="0"/>
              <w:marBottom w:val="0"/>
              <w:divBdr>
                <w:top w:val="none" w:sz="0" w:space="0" w:color="auto"/>
                <w:left w:val="none" w:sz="0" w:space="0" w:color="auto"/>
                <w:bottom w:val="none" w:sz="0" w:space="0" w:color="auto"/>
                <w:right w:val="none" w:sz="0" w:space="0" w:color="auto"/>
              </w:divBdr>
            </w:div>
          </w:divsChild>
        </w:div>
        <w:div w:id="939415572">
          <w:marLeft w:val="0"/>
          <w:marRight w:val="0"/>
          <w:marTop w:val="0"/>
          <w:marBottom w:val="0"/>
          <w:divBdr>
            <w:top w:val="none" w:sz="0" w:space="0" w:color="auto"/>
            <w:left w:val="none" w:sz="0" w:space="0" w:color="auto"/>
            <w:bottom w:val="none" w:sz="0" w:space="0" w:color="auto"/>
            <w:right w:val="none" w:sz="0" w:space="0" w:color="auto"/>
          </w:divBdr>
          <w:divsChild>
            <w:div w:id="166869735">
              <w:marLeft w:val="0"/>
              <w:marRight w:val="0"/>
              <w:marTop w:val="0"/>
              <w:marBottom w:val="0"/>
              <w:divBdr>
                <w:top w:val="none" w:sz="0" w:space="0" w:color="auto"/>
                <w:left w:val="none" w:sz="0" w:space="0" w:color="auto"/>
                <w:bottom w:val="none" w:sz="0" w:space="0" w:color="auto"/>
                <w:right w:val="none" w:sz="0" w:space="0" w:color="auto"/>
              </w:divBdr>
            </w:div>
          </w:divsChild>
        </w:div>
        <w:div w:id="944849700">
          <w:marLeft w:val="0"/>
          <w:marRight w:val="0"/>
          <w:marTop w:val="0"/>
          <w:marBottom w:val="0"/>
          <w:divBdr>
            <w:top w:val="none" w:sz="0" w:space="0" w:color="auto"/>
            <w:left w:val="none" w:sz="0" w:space="0" w:color="auto"/>
            <w:bottom w:val="none" w:sz="0" w:space="0" w:color="auto"/>
            <w:right w:val="none" w:sz="0" w:space="0" w:color="auto"/>
          </w:divBdr>
          <w:divsChild>
            <w:div w:id="2079475218">
              <w:marLeft w:val="0"/>
              <w:marRight w:val="0"/>
              <w:marTop w:val="0"/>
              <w:marBottom w:val="0"/>
              <w:divBdr>
                <w:top w:val="none" w:sz="0" w:space="0" w:color="auto"/>
                <w:left w:val="none" w:sz="0" w:space="0" w:color="auto"/>
                <w:bottom w:val="none" w:sz="0" w:space="0" w:color="auto"/>
                <w:right w:val="none" w:sz="0" w:space="0" w:color="auto"/>
              </w:divBdr>
            </w:div>
          </w:divsChild>
        </w:div>
        <w:div w:id="953171823">
          <w:marLeft w:val="0"/>
          <w:marRight w:val="0"/>
          <w:marTop w:val="0"/>
          <w:marBottom w:val="0"/>
          <w:divBdr>
            <w:top w:val="none" w:sz="0" w:space="0" w:color="auto"/>
            <w:left w:val="none" w:sz="0" w:space="0" w:color="auto"/>
            <w:bottom w:val="none" w:sz="0" w:space="0" w:color="auto"/>
            <w:right w:val="none" w:sz="0" w:space="0" w:color="auto"/>
          </w:divBdr>
          <w:divsChild>
            <w:div w:id="1548183210">
              <w:marLeft w:val="0"/>
              <w:marRight w:val="0"/>
              <w:marTop w:val="0"/>
              <w:marBottom w:val="0"/>
              <w:divBdr>
                <w:top w:val="none" w:sz="0" w:space="0" w:color="auto"/>
                <w:left w:val="none" w:sz="0" w:space="0" w:color="auto"/>
                <w:bottom w:val="none" w:sz="0" w:space="0" w:color="auto"/>
                <w:right w:val="none" w:sz="0" w:space="0" w:color="auto"/>
              </w:divBdr>
            </w:div>
          </w:divsChild>
        </w:div>
        <w:div w:id="970017218">
          <w:marLeft w:val="0"/>
          <w:marRight w:val="0"/>
          <w:marTop w:val="0"/>
          <w:marBottom w:val="0"/>
          <w:divBdr>
            <w:top w:val="none" w:sz="0" w:space="0" w:color="auto"/>
            <w:left w:val="none" w:sz="0" w:space="0" w:color="auto"/>
            <w:bottom w:val="none" w:sz="0" w:space="0" w:color="auto"/>
            <w:right w:val="none" w:sz="0" w:space="0" w:color="auto"/>
          </w:divBdr>
          <w:divsChild>
            <w:div w:id="647905339">
              <w:marLeft w:val="0"/>
              <w:marRight w:val="0"/>
              <w:marTop w:val="0"/>
              <w:marBottom w:val="0"/>
              <w:divBdr>
                <w:top w:val="none" w:sz="0" w:space="0" w:color="auto"/>
                <w:left w:val="none" w:sz="0" w:space="0" w:color="auto"/>
                <w:bottom w:val="none" w:sz="0" w:space="0" w:color="auto"/>
                <w:right w:val="none" w:sz="0" w:space="0" w:color="auto"/>
              </w:divBdr>
            </w:div>
          </w:divsChild>
        </w:div>
        <w:div w:id="973633194">
          <w:marLeft w:val="0"/>
          <w:marRight w:val="0"/>
          <w:marTop w:val="0"/>
          <w:marBottom w:val="0"/>
          <w:divBdr>
            <w:top w:val="none" w:sz="0" w:space="0" w:color="auto"/>
            <w:left w:val="none" w:sz="0" w:space="0" w:color="auto"/>
            <w:bottom w:val="none" w:sz="0" w:space="0" w:color="auto"/>
            <w:right w:val="none" w:sz="0" w:space="0" w:color="auto"/>
          </w:divBdr>
          <w:divsChild>
            <w:div w:id="666905721">
              <w:marLeft w:val="0"/>
              <w:marRight w:val="0"/>
              <w:marTop w:val="0"/>
              <w:marBottom w:val="0"/>
              <w:divBdr>
                <w:top w:val="none" w:sz="0" w:space="0" w:color="auto"/>
                <w:left w:val="none" w:sz="0" w:space="0" w:color="auto"/>
                <w:bottom w:val="none" w:sz="0" w:space="0" w:color="auto"/>
                <w:right w:val="none" w:sz="0" w:space="0" w:color="auto"/>
              </w:divBdr>
            </w:div>
          </w:divsChild>
        </w:div>
        <w:div w:id="978454791">
          <w:marLeft w:val="0"/>
          <w:marRight w:val="0"/>
          <w:marTop w:val="0"/>
          <w:marBottom w:val="0"/>
          <w:divBdr>
            <w:top w:val="none" w:sz="0" w:space="0" w:color="auto"/>
            <w:left w:val="none" w:sz="0" w:space="0" w:color="auto"/>
            <w:bottom w:val="none" w:sz="0" w:space="0" w:color="auto"/>
            <w:right w:val="none" w:sz="0" w:space="0" w:color="auto"/>
          </w:divBdr>
          <w:divsChild>
            <w:div w:id="224069284">
              <w:marLeft w:val="0"/>
              <w:marRight w:val="0"/>
              <w:marTop w:val="0"/>
              <w:marBottom w:val="0"/>
              <w:divBdr>
                <w:top w:val="none" w:sz="0" w:space="0" w:color="auto"/>
                <w:left w:val="none" w:sz="0" w:space="0" w:color="auto"/>
                <w:bottom w:val="none" w:sz="0" w:space="0" w:color="auto"/>
                <w:right w:val="none" w:sz="0" w:space="0" w:color="auto"/>
              </w:divBdr>
            </w:div>
          </w:divsChild>
        </w:div>
        <w:div w:id="981889047">
          <w:marLeft w:val="0"/>
          <w:marRight w:val="0"/>
          <w:marTop w:val="0"/>
          <w:marBottom w:val="0"/>
          <w:divBdr>
            <w:top w:val="none" w:sz="0" w:space="0" w:color="auto"/>
            <w:left w:val="none" w:sz="0" w:space="0" w:color="auto"/>
            <w:bottom w:val="none" w:sz="0" w:space="0" w:color="auto"/>
            <w:right w:val="none" w:sz="0" w:space="0" w:color="auto"/>
          </w:divBdr>
          <w:divsChild>
            <w:div w:id="2127970046">
              <w:marLeft w:val="0"/>
              <w:marRight w:val="0"/>
              <w:marTop w:val="0"/>
              <w:marBottom w:val="0"/>
              <w:divBdr>
                <w:top w:val="none" w:sz="0" w:space="0" w:color="auto"/>
                <w:left w:val="none" w:sz="0" w:space="0" w:color="auto"/>
                <w:bottom w:val="none" w:sz="0" w:space="0" w:color="auto"/>
                <w:right w:val="none" w:sz="0" w:space="0" w:color="auto"/>
              </w:divBdr>
            </w:div>
          </w:divsChild>
        </w:div>
        <w:div w:id="988168659">
          <w:marLeft w:val="0"/>
          <w:marRight w:val="0"/>
          <w:marTop w:val="0"/>
          <w:marBottom w:val="0"/>
          <w:divBdr>
            <w:top w:val="none" w:sz="0" w:space="0" w:color="auto"/>
            <w:left w:val="none" w:sz="0" w:space="0" w:color="auto"/>
            <w:bottom w:val="none" w:sz="0" w:space="0" w:color="auto"/>
            <w:right w:val="none" w:sz="0" w:space="0" w:color="auto"/>
          </w:divBdr>
          <w:divsChild>
            <w:div w:id="1769158851">
              <w:marLeft w:val="0"/>
              <w:marRight w:val="0"/>
              <w:marTop w:val="0"/>
              <w:marBottom w:val="0"/>
              <w:divBdr>
                <w:top w:val="none" w:sz="0" w:space="0" w:color="auto"/>
                <w:left w:val="none" w:sz="0" w:space="0" w:color="auto"/>
                <w:bottom w:val="none" w:sz="0" w:space="0" w:color="auto"/>
                <w:right w:val="none" w:sz="0" w:space="0" w:color="auto"/>
              </w:divBdr>
            </w:div>
          </w:divsChild>
        </w:div>
        <w:div w:id="1000158227">
          <w:marLeft w:val="0"/>
          <w:marRight w:val="0"/>
          <w:marTop w:val="0"/>
          <w:marBottom w:val="0"/>
          <w:divBdr>
            <w:top w:val="none" w:sz="0" w:space="0" w:color="auto"/>
            <w:left w:val="none" w:sz="0" w:space="0" w:color="auto"/>
            <w:bottom w:val="none" w:sz="0" w:space="0" w:color="auto"/>
            <w:right w:val="none" w:sz="0" w:space="0" w:color="auto"/>
          </w:divBdr>
          <w:divsChild>
            <w:div w:id="980502358">
              <w:marLeft w:val="0"/>
              <w:marRight w:val="0"/>
              <w:marTop w:val="0"/>
              <w:marBottom w:val="0"/>
              <w:divBdr>
                <w:top w:val="none" w:sz="0" w:space="0" w:color="auto"/>
                <w:left w:val="none" w:sz="0" w:space="0" w:color="auto"/>
                <w:bottom w:val="none" w:sz="0" w:space="0" w:color="auto"/>
                <w:right w:val="none" w:sz="0" w:space="0" w:color="auto"/>
              </w:divBdr>
            </w:div>
          </w:divsChild>
        </w:div>
        <w:div w:id="1001087438">
          <w:marLeft w:val="0"/>
          <w:marRight w:val="0"/>
          <w:marTop w:val="0"/>
          <w:marBottom w:val="0"/>
          <w:divBdr>
            <w:top w:val="none" w:sz="0" w:space="0" w:color="auto"/>
            <w:left w:val="none" w:sz="0" w:space="0" w:color="auto"/>
            <w:bottom w:val="none" w:sz="0" w:space="0" w:color="auto"/>
            <w:right w:val="none" w:sz="0" w:space="0" w:color="auto"/>
          </w:divBdr>
          <w:divsChild>
            <w:div w:id="419184639">
              <w:marLeft w:val="0"/>
              <w:marRight w:val="0"/>
              <w:marTop w:val="0"/>
              <w:marBottom w:val="0"/>
              <w:divBdr>
                <w:top w:val="none" w:sz="0" w:space="0" w:color="auto"/>
                <w:left w:val="none" w:sz="0" w:space="0" w:color="auto"/>
                <w:bottom w:val="none" w:sz="0" w:space="0" w:color="auto"/>
                <w:right w:val="none" w:sz="0" w:space="0" w:color="auto"/>
              </w:divBdr>
            </w:div>
          </w:divsChild>
        </w:div>
        <w:div w:id="1002706553">
          <w:marLeft w:val="0"/>
          <w:marRight w:val="0"/>
          <w:marTop w:val="0"/>
          <w:marBottom w:val="0"/>
          <w:divBdr>
            <w:top w:val="none" w:sz="0" w:space="0" w:color="auto"/>
            <w:left w:val="none" w:sz="0" w:space="0" w:color="auto"/>
            <w:bottom w:val="none" w:sz="0" w:space="0" w:color="auto"/>
            <w:right w:val="none" w:sz="0" w:space="0" w:color="auto"/>
          </w:divBdr>
          <w:divsChild>
            <w:div w:id="177163978">
              <w:marLeft w:val="0"/>
              <w:marRight w:val="0"/>
              <w:marTop w:val="0"/>
              <w:marBottom w:val="0"/>
              <w:divBdr>
                <w:top w:val="none" w:sz="0" w:space="0" w:color="auto"/>
                <w:left w:val="none" w:sz="0" w:space="0" w:color="auto"/>
                <w:bottom w:val="none" w:sz="0" w:space="0" w:color="auto"/>
                <w:right w:val="none" w:sz="0" w:space="0" w:color="auto"/>
              </w:divBdr>
            </w:div>
          </w:divsChild>
        </w:div>
        <w:div w:id="1004285961">
          <w:marLeft w:val="0"/>
          <w:marRight w:val="0"/>
          <w:marTop w:val="0"/>
          <w:marBottom w:val="0"/>
          <w:divBdr>
            <w:top w:val="none" w:sz="0" w:space="0" w:color="auto"/>
            <w:left w:val="none" w:sz="0" w:space="0" w:color="auto"/>
            <w:bottom w:val="none" w:sz="0" w:space="0" w:color="auto"/>
            <w:right w:val="none" w:sz="0" w:space="0" w:color="auto"/>
          </w:divBdr>
          <w:divsChild>
            <w:div w:id="1613778994">
              <w:marLeft w:val="0"/>
              <w:marRight w:val="0"/>
              <w:marTop w:val="0"/>
              <w:marBottom w:val="0"/>
              <w:divBdr>
                <w:top w:val="none" w:sz="0" w:space="0" w:color="auto"/>
                <w:left w:val="none" w:sz="0" w:space="0" w:color="auto"/>
                <w:bottom w:val="none" w:sz="0" w:space="0" w:color="auto"/>
                <w:right w:val="none" w:sz="0" w:space="0" w:color="auto"/>
              </w:divBdr>
            </w:div>
          </w:divsChild>
        </w:div>
        <w:div w:id="1014385570">
          <w:marLeft w:val="0"/>
          <w:marRight w:val="0"/>
          <w:marTop w:val="0"/>
          <w:marBottom w:val="0"/>
          <w:divBdr>
            <w:top w:val="none" w:sz="0" w:space="0" w:color="auto"/>
            <w:left w:val="none" w:sz="0" w:space="0" w:color="auto"/>
            <w:bottom w:val="none" w:sz="0" w:space="0" w:color="auto"/>
            <w:right w:val="none" w:sz="0" w:space="0" w:color="auto"/>
          </w:divBdr>
          <w:divsChild>
            <w:div w:id="1458256441">
              <w:marLeft w:val="0"/>
              <w:marRight w:val="0"/>
              <w:marTop w:val="0"/>
              <w:marBottom w:val="0"/>
              <w:divBdr>
                <w:top w:val="none" w:sz="0" w:space="0" w:color="auto"/>
                <w:left w:val="none" w:sz="0" w:space="0" w:color="auto"/>
                <w:bottom w:val="none" w:sz="0" w:space="0" w:color="auto"/>
                <w:right w:val="none" w:sz="0" w:space="0" w:color="auto"/>
              </w:divBdr>
            </w:div>
          </w:divsChild>
        </w:div>
        <w:div w:id="1016662139">
          <w:marLeft w:val="0"/>
          <w:marRight w:val="0"/>
          <w:marTop w:val="0"/>
          <w:marBottom w:val="0"/>
          <w:divBdr>
            <w:top w:val="none" w:sz="0" w:space="0" w:color="auto"/>
            <w:left w:val="none" w:sz="0" w:space="0" w:color="auto"/>
            <w:bottom w:val="none" w:sz="0" w:space="0" w:color="auto"/>
            <w:right w:val="none" w:sz="0" w:space="0" w:color="auto"/>
          </w:divBdr>
          <w:divsChild>
            <w:div w:id="338192293">
              <w:marLeft w:val="0"/>
              <w:marRight w:val="0"/>
              <w:marTop w:val="0"/>
              <w:marBottom w:val="0"/>
              <w:divBdr>
                <w:top w:val="none" w:sz="0" w:space="0" w:color="auto"/>
                <w:left w:val="none" w:sz="0" w:space="0" w:color="auto"/>
                <w:bottom w:val="none" w:sz="0" w:space="0" w:color="auto"/>
                <w:right w:val="none" w:sz="0" w:space="0" w:color="auto"/>
              </w:divBdr>
            </w:div>
          </w:divsChild>
        </w:div>
        <w:div w:id="1019894738">
          <w:marLeft w:val="0"/>
          <w:marRight w:val="0"/>
          <w:marTop w:val="0"/>
          <w:marBottom w:val="0"/>
          <w:divBdr>
            <w:top w:val="none" w:sz="0" w:space="0" w:color="auto"/>
            <w:left w:val="none" w:sz="0" w:space="0" w:color="auto"/>
            <w:bottom w:val="none" w:sz="0" w:space="0" w:color="auto"/>
            <w:right w:val="none" w:sz="0" w:space="0" w:color="auto"/>
          </w:divBdr>
          <w:divsChild>
            <w:div w:id="1126777645">
              <w:marLeft w:val="0"/>
              <w:marRight w:val="0"/>
              <w:marTop w:val="0"/>
              <w:marBottom w:val="0"/>
              <w:divBdr>
                <w:top w:val="none" w:sz="0" w:space="0" w:color="auto"/>
                <w:left w:val="none" w:sz="0" w:space="0" w:color="auto"/>
                <w:bottom w:val="none" w:sz="0" w:space="0" w:color="auto"/>
                <w:right w:val="none" w:sz="0" w:space="0" w:color="auto"/>
              </w:divBdr>
            </w:div>
          </w:divsChild>
        </w:div>
        <w:div w:id="1026370224">
          <w:marLeft w:val="0"/>
          <w:marRight w:val="0"/>
          <w:marTop w:val="0"/>
          <w:marBottom w:val="0"/>
          <w:divBdr>
            <w:top w:val="none" w:sz="0" w:space="0" w:color="auto"/>
            <w:left w:val="none" w:sz="0" w:space="0" w:color="auto"/>
            <w:bottom w:val="none" w:sz="0" w:space="0" w:color="auto"/>
            <w:right w:val="none" w:sz="0" w:space="0" w:color="auto"/>
          </w:divBdr>
          <w:divsChild>
            <w:div w:id="1010258080">
              <w:marLeft w:val="0"/>
              <w:marRight w:val="0"/>
              <w:marTop w:val="0"/>
              <w:marBottom w:val="0"/>
              <w:divBdr>
                <w:top w:val="none" w:sz="0" w:space="0" w:color="auto"/>
                <w:left w:val="none" w:sz="0" w:space="0" w:color="auto"/>
                <w:bottom w:val="none" w:sz="0" w:space="0" w:color="auto"/>
                <w:right w:val="none" w:sz="0" w:space="0" w:color="auto"/>
              </w:divBdr>
            </w:div>
          </w:divsChild>
        </w:div>
        <w:div w:id="1026832783">
          <w:marLeft w:val="0"/>
          <w:marRight w:val="0"/>
          <w:marTop w:val="0"/>
          <w:marBottom w:val="0"/>
          <w:divBdr>
            <w:top w:val="none" w:sz="0" w:space="0" w:color="auto"/>
            <w:left w:val="none" w:sz="0" w:space="0" w:color="auto"/>
            <w:bottom w:val="none" w:sz="0" w:space="0" w:color="auto"/>
            <w:right w:val="none" w:sz="0" w:space="0" w:color="auto"/>
          </w:divBdr>
          <w:divsChild>
            <w:div w:id="846478952">
              <w:marLeft w:val="0"/>
              <w:marRight w:val="0"/>
              <w:marTop w:val="0"/>
              <w:marBottom w:val="0"/>
              <w:divBdr>
                <w:top w:val="none" w:sz="0" w:space="0" w:color="auto"/>
                <w:left w:val="none" w:sz="0" w:space="0" w:color="auto"/>
                <w:bottom w:val="none" w:sz="0" w:space="0" w:color="auto"/>
                <w:right w:val="none" w:sz="0" w:space="0" w:color="auto"/>
              </w:divBdr>
            </w:div>
          </w:divsChild>
        </w:div>
        <w:div w:id="1029338700">
          <w:marLeft w:val="0"/>
          <w:marRight w:val="0"/>
          <w:marTop w:val="0"/>
          <w:marBottom w:val="0"/>
          <w:divBdr>
            <w:top w:val="none" w:sz="0" w:space="0" w:color="auto"/>
            <w:left w:val="none" w:sz="0" w:space="0" w:color="auto"/>
            <w:bottom w:val="none" w:sz="0" w:space="0" w:color="auto"/>
            <w:right w:val="none" w:sz="0" w:space="0" w:color="auto"/>
          </w:divBdr>
          <w:divsChild>
            <w:div w:id="254438582">
              <w:marLeft w:val="0"/>
              <w:marRight w:val="0"/>
              <w:marTop w:val="0"/>
              <w:marBottom w:val="0"/>
              <w:divBdr>
                <w:top w:val="none" w:sz="0" w:space="0" w:color="auto"/>
                <w:left w:val="none" w:sz="0" w:space="0" w:color="auto"/>
                <w:bottom w:val="none" w:sz="0" w:space="0" w:color="auto"/>
                <w:right w:val="none" w:sz="0" w:space="0" w:color="auto"/>
              </w:divBdr>
            </w:div>
          </w:divsChild>
        </w:div>
        <w:div w:id="1035424582">
          <w:marLeft w:val="0"/>
          <w:marRight w:val="0"/>
          <w:marTop w:val="0"/>
          <w:marBottom w:val="0"/>
          <w:divBdr>
            <w:top w:val="none" w:sz="0" w:space="0" w:color="auto"/>
            <w:left w:val="none" w:sz="0" w:space="0" w:color="auto"/>
            <w:bottom w:val="none" w:sz="0" w:space="0" w:color="auto"/>
            <w:right w:val="none" w:sz="0" w:space="0" w:color="auto"/>
          </w:divBdr>
          <w:divsChild>
            <w:div w:id="697974713">
              <w:marLeft w:val="0"/>
              <w:marRight w:val="0"/>
              <w:marTop w:val="0"/>
              <w:marBottom w:val="0"/>
              <w:divBdr>
                <w:top w:val="none" w:sz="0" w:space="0" w:color="auto"/>
                <w:left w:val="none" w:sz="0" w:space="0" w:color="auto"/>
                <w:bottom w:val="none" w:sz="0" w:space="0" w:color="auto"/>
                <w:right w:val="none" w:sz="0" w:space="0" w:color="auto"/>
              </w:divBdr>
            </w:div>
          </w:divsChild>
        </w:div>
        <w:div w:id="1037505489">
          <w:marLeft w:val="0"/>
          <w:marRight w:val="0"/>
          <w:marTop w:val="0"/>
          <w:marBottom w:val="0"/>
          <w:divBdr>
            <w:top w:val="none" w:sz="0" w:space="0" w:color="auto"/>
            <w:left w:val="none" w:sz="0" w:space="0" w:color="auto"/>
            <w:bottom w:val="none" w:sz="0" w:space="0" w:color="auto"/>
            <w:right w:val="none" w:sz="0" w:space="0" w:color="auto"/>
          </w:divBdr>
          <w:divsChild>
            <w:div w:id="400641768">
              <w:marLeft w:val="0"/>
              <w:marRight w:val="0"/>
              <w:marTop w:val="0"/>
              <w:marBottom w:val="0"/>
              <w:divBdr>
                <w:top w:val="none" w:sz="0" w:space="0" w:color="auto"/>
                <w:left w:val="none" w:sz="0" w:space="0" w:color="auto"/>
                <w:bottom w:val="none" w:sz="0" w:space="0" w:color="auto"/>
                <w:right w:val="none" w:sz="0" w:space="0" w:color="auto"/>
              </w:divBdr>
            </w:div>
          </w:divsChild>
        </w:div>
        <w:div w:id="1037778633">
          <w:marLeft w:val="0"/>
          <w:marRight w:val="0"/>
          <w:marTop w:val="0"/>
          <w:marBottom w:val="0"/>
          <w:divBdr>
            <w:top w:val="none" w:sz="0" w:space="0" w:color="auto"/>
            <w:left w:val="none" w:sz="0" w:space="0" w:color="auto"/>
            <w:bottom w:val="none" w:sz="0" w:space="0" w:color="auto"/>
            <w:right w:val="none" w:sz="0" w:space="0" w:color="auto"/>
          </w:divBdr>
          <w:divsChild>
            <w:div w:id="1878198594">
              <w:marLeft w:val="0"/>
              <w:marRight w:val="0"/>
              <w:marTop w:val="0"/>
              <w:marBottom w:val="0"/>
              <w:divBdr>
                <w:top w:val="none" w:sz="0" w:space="0" w:color="auto"/>
                <w:left w:val="none" w:sz="0" w:space="0" w:color="auto"/>
                <w:bottom w:val="none" w:sz="0" w:space="0" w:color="auto"/>
                <w:right w:val="none" w:sz="0" w:space="0" w:color="auto"/>
              </w:divBdr>
            </w:div>
          </w:divsChild>
        </w:div>
        <w:div w:id="1041248569">
          <w:marLeft w:val="0"/>
          <w:marRight w:val="0"/>
          <w:marTop w:val="0"/>
          <w:marBottom w:val="0"/>
          <w:divBdr>
            <w:top w:val="none" w:sz="0" w:space="0" w:color="auto"/>
            <w:left w:val="none" w:sz="0" w:space="0" w:color="auto"/>
            <w:bottom w:val="none" w:sz="0" w:space="0" w:color="auto"/>
            <w:right w:val="none" w:sz="0" w:space="0" w:color="auto"/>
          </w:divBdr>
          <w:divsChild>
            <w:div w:id="394471028">
              <w:marLeft w:val="0"/>
              <w:marRight w:val="0"/>
              <w:marTop w:val="0"/>
              <w:marBottom w:val="0"/>
              <w:divBdr>
                <w:top w:val="none" w:sz="0" w:space="0" w:color="auto"/>
                <w:left w:val="none" w:sz="0" w:space="0" w:color="auto"/>
                <w:bottom w:val="none" w:sz="0" w:space="0" w:color="auto"/>
                <w:right w:val="none" w:sz="0" w:space="0" w:color="auto"/>
              </w:divBdr>
            </w:div>
          </w:divsChild>
        </w:div>
        <w:div w:id="1043870025">
          <w:marLeft w:val="0"/>
          <w:marRight w:val="0"/>
          <w:marTop w:val="0"/>
          <w:marBottom w:val="0"/>
          <w:divBdr>
            <w:top w:val="none" w:sz="0" w:space="0" w:color="auto"/>
            <w:left w:val="none" w:sz="0" w:space="0" w:color="auto"/>
            <w:bottom w:val="none" w:sz="0" w:space="0" w:color="auto"/>
            <w:right w:val="none" w:sz="0" w:space="0" w:color="auto"/>
          </w:divBdr>
          <w:divsChild>
            <w:div w:id="1210454315">
              <w:marLeft w:val="0"/>
              <w:marRight w:val="0"/>
              <w:marTop w:val="0"/>
              <w:marBottom w:val="0"/>
              <w:divBdr>
                <w:top w:val="none" w:sz="0" w:space="0" w:color="auto"/>
                <w:left w:val="none" w:sz="0" w:space="0" w:color="auto"/>
                <w:bottom w:val="none" w:sz="0" w:space="0" w:color="auto"/>
                <w:right w:val="none" w:sz="0" w:space="0" w:color="auto"/>
              </w:divBdr>
            </w:div>
          </w:divsChild>
        </w:div>
        <w:div w:id="1044214086">
          <w:marLeft w:val="0"/>
          <w:marRight w:val="0"/>
          <w:marTop w:val="0"/>
          <w:marBottom w:val="0"/>
          <w:divBdr>
            <w:top w:val="none" w:sz="0" w:space="0" w:color="auto"/>
            <w:left w:val="none" w:sz="0" w:space="0" w:color="auto"/>
            <w:bottom w:val="none" w:sz="0" w:space="0" w:color="auto"/>
            <w:right w:val="none" w:sz="0" w:space="0" w:color="auto"/>
          </w:divBdr>
          <w:divsChild>
            <w:div w:id="1539470389">
              <w:marLeft w:val="0"/>
              <w:marRight w:val="0"/>
              <w:marTop w:val="0"/>
              <w:marBottom w:val="0"/>
              <w:divBdr>
                <w:top w:val="none" w:sz="0" w:space="0" w:color="auto"/>
                <w:left w:val="none" w:sz="0" w:space="0" w:color="auto"/>
                <w:bottom w:val="none" w:sz="0" w:space="0" w:color="auto"/>
                <w:right w:val="none" w:sz="0" w:space="0" w:color="auto"/>
              </w:divBdr>
            </w:div>
          </w:divsChild>
        </w:div>
        <w:div w:id="1045911814">
          <w:marLeft w:val="0"/>
          <w:marRight w:val="0"/>
          <w:marTop w:val="0"/>
          <w:marBottom w:val="0"/>
          <w:divBdr>
            <w:top w:val="none" w:sz="0" w:space="0" w:color="auto"/>
            <w:left w:val="none" w:sz="0" w:space="0" w:color="auto"/>
            <w:bottom w:val="none" w:sz="0" w:space="0" w:color="auto"/>
            <w:right w:val="none" w:sz="0" w:space="0" w:color="auto"/>
          </w:divBdr>
          <w:divsChild>
            <w:div w:id="1327250177">
              <w:marLeft w:val="0"/>
              <w:marRight w:val="0"/>
              <w:marTop w:val="0"/>
              <w:marBottom w:val="0"/>
              <w:divBdr>
                <w:top w:val="none" w:sz="0" w:space="0" w:color="auto"/>
                <w:left w:val="none" w:sz="0" w:space="0" w:color="auto"/>
                <w:bottom w:val="none" w:sz="0" w:space="0" w:color="auto"/>
                <w:right w:val="none" w:sz="0" w:space="0" w:color="auto"/>
              </w:divBdr>
            </w:div>
          </w:divsChild>
        </w:div>
        <w:div w:id="1049036281">
          <w:marLeft w:val="0"/>
          <w:marRight w:val="0"/>
          <w:marTop w:val="0"/>
          <w:marBottom w:val="0"/>
          <w:divBdr>
            <w:top w:val="none" w:sz="0" w:space="0" w:color="auto"/>
            <w:left w:val="none" w:sz="0" w:space="0" w:color="auto"/>
            <w:bottom w:val="none" w:sz="0" w:space="0" w:color="auto"/>
            <w:right w:val="none" w:sz="0" w:space="0" w:color="auto"/>
          </w:divBdr>
          <w:divsChild>
            <w:div w:id="2090468924">
              <w:marLeft w:val="0"/>
              <w:marRight w:val="0"/>
              <w:marTop w:val="0"/>
              <w:marBottom w:val="0"/>
              <w:divBdr>
                <w:top w:val="none" w:sz="0" w:space="0" w:color="auto"/>
                <w:left w:val="none" w:sz="0" w:space="0" w:color="auto"/>
                <w:bottom w:val="none" w:sz="0" w:space="0" w:color="auto"/>
                <w:right w:val="none" w:sz="0" w:space="0" w:color="auto"/>
              </w:divBdr>
            </w:div>
          </w:divsChild>
        </w:div>
        <w:div w:id="1056464606">
          <w:marLeft w:val="0"/>
          <w:marRight w:val="0"/>
          <w:marTop w:val="0"/>
          <w:marBottom w:val="0"/>
          <w:divBdr>
            <w:top w:val="none" w:sz="0" w:space="0" w:color="auto"/>
            <w:left w:val="none" w:sz="0" w:space="0" w:color="auto"/>
            <w:bottom w:val="none" w:sz="0" w:space="0" w:color="auto"/>
            <w:right w:val="none" w:sz="0" w:space="0" w:color="auto"/>
          </w:divBdr>
          <w:divsChild>
            <w:div w:id="320013998">
              <w:marLeft w:val="0"/>
              <w:marRight w:val="0"/>
              <w:marTop w:val="0"/>
              <w:marBottom w:val="0"/>
              <w:divBdr>
                <w:top w:val="none" w:sz="0" w:space="0" w:color="auto"/>
                <w:left w:val="none" w:sz="0" w:space="0" w:color="auto"/>
                <w:bottom w:val="none" w:sz="0" w:space="0" w:color="auto"/>
                <w:right w:val="none" w:sz="0" w:space="0" w:color="auto"/>
              </w:divBdr>
            </w:div>
          </w:divsChild>
        </w:div>
        <w:div w:id="1057751874">
          <w:marLeft w:val="0"/>
          <w:marRight w:val="0"/>
          <w:marTop w:val="0"/>
          <w:marBottom w:val="0"/>
          <w:divBdr>
            <w:top w:val="none" w:sz="0" w:space="0" w:color="auto"/>
            <w:left w:val="none" w:sz="0" w:space="0" w:color="auto"/>
            <w:bottom w:val="none" w:sz="0" w:space="0" w:color="auto"/>
            <w:right w:val="none" w:sz="0" w:space="0" w:color="auto"/>
          </w:divBdr>
          <w:divsChild>
            <w:div w:id="1648320437">
              <w:marLeft w:val="0"/>
              <w:marRight w:val="0"/>
              <w:marTop w:val="0"/>
              <w:marBottom w:val="0"/>
              <w:divBdr>
                <w:top w:val="none" w:sz="0" w:space="0" w:color="auto"/>
                <w:left w:val="none" w:sz="0" w:space="0" w:color="auto"/>
                <w:bottom w:val="none" w:sz="0" w:space="0" w:color="auto"/>
                <w:right w:val="none" w:sz="0" w:space="0" w:color="auto"/>
              </w:divBdr>
            </w:div>
          </w:divsChild>
        </w:div>
        <w:div w:id="1061708192">
          <w:marLeft w:val="0"/>
          <w:marRight w:val="0"/>
          <w:marTop w:val="0"/>
          <w:marBottom w:val="0"/>
          <w:divBdr>
            <w:top w:val="none" w:sz="0" w:space="0" w:color="auto"/>
            <w:left w:val="none" w:sz="0" w:space="0" w:color="auto"/>
            <w:bottom w:val="none" w:sz="0" w:space="0" w:color="auto"/>
            <w:right w:val="none" w:sz="0" w:space="0" w:color="auto"/>
          </w:divBdr>
          <w:divsChild>
            <w:div w:id="1899395052">
              <w:marLeft w:val="0"/>
              <w:marRight w:val="0"/>
              <w:marTop w:val="0"/>
              <w:marBottom w:val="0"/>
              <w:divBdr>
                <w:top w:val="none" w:sz="0" w:space="0" w:color="auto"/>
                <w:left w:val="none" w:sz="0" w:space="0" w:color="auto"/>
                <w:bottom w:val="none" w:sz="0" w:space="0" w:color="auto"/>
                <w:right w:val="none" w:sz="0" w:space="0" w:color="auto"/>
              </w:divBdr>
            </w:div>
          </w:divsChild>
        </w:div>
        <w:div w:id="1064723664">
          <w:marLeft w:val="0"/>
          <w:marRight w:val="0"/>
          <w:marTop w:val="0"/>
          <w:marBottom w:val="0"/>
          <w:divBdr>
            <w:top w:val="none" w:sz="0" w:space="0" w:color="auto"/>
            <w:left w:val="none" w:sz="0" w:space="0" w:color="auto"/>
            <w:bottom w:val="none" w:sz="0" w:space="0" w:color="auto"/>
            <w:right w:val="none" w:sz="0" w:space="0" w:color="auto"/>
          </w:divBdr>
          <w:divsChild>
            <w:div w:id="116683325">
              <w:marLeft w:val="0"/>
              <w:marRight w:val="0"/>
              <w:marTop w:val="0"/>
              <w:marBottom w:val="0"/>
              <w:divBdr>
                <w:top w:val="none" w:sz="0" w:space="0" w:color="auto"/>
                <w:left w:val="none" w:sz="0" w:space="0" w:color="auto"/>
                <w:bottom w:val="none" w:sz="0" w:space="0" w:color="auto"/>
                <w:right w:val="none" w:sz="0" w:space="0" w:color="auto"/>
              </w:divBdr>
            </w:div>
          </w:divsChild>
        </w:div>
        <w:div w:id="1073428197">
          <w:marLeft w:val="0"/>
          <w:marRight w:val="0"/>
          <w:marTop w:val="0"/>
          <w:marBottom w:val="0"/>
          <w:divBdr>
            <w:top w:val="none" w:sz="0" w:space="0" w:color="auto"/>
            <w:left w:val="none" w:sz="0" w:space="0" w:color="auto"/>
            <w:bottom w:val="none" w:sz="0" w:space="0" w:color="auto"/>
            <w:right w:val="none" w:sz="0" w:space="0" w:color="auto"/>
          </w:divBdr>
          <w:divsChild>
            <w:div w:id="1949661191">
              <w:marLeft w:val="0"/>
              <w:marRight w:val="0"/>
              <w:marTop w:val="0"/>
              <w:marBottom w:val="0"/>
              <w:divBdr>
                <w:top w:val="none" w:sz="0" w:space="0" w:color="auto"/>
                <w:left w:val="none" w:sz="0" w:space="0" w:color="auto"/>
                <w:bottom w:val="none" w:sz="0" w:space="0" w:color="auto"/>
                <w:right w:val="none" w:sz="0" w:space="0" w:color="auto"/>
              </w:divBdr>
            </w:div>
          </w:divsChild>
        </w:div>
        <w:div w:id="1077897959">
          <w:marLeft w:val="0"/>
          <w:marRight w:val="0"/>
          <w:marTop w:val="0"/>
          <w:marBottom w:val="0"/>
          <w:divBdr>
            <w:top w:val="none" w:sz="0" w:space="0" w:color="auto"/>
            <w:left w:val="none" w:sz="0" w:space="0" w:color="auto"/>
            <w:bottom w:val="none" w:sz="0" w:space="0" w:color="auto"/>
            <w:right w:val="none" w:sz="0" w:space="0" w:color="auto"/>
          </w:divBdr>
          <w:divsChild>
            <w:div w:id="1432816519">
              <w:marLeft w:val="0"/>
              <w:marRight w:val="0"/>
              <w:marTop w:val="0"/>
              <w:marBottom w:val="0"/>
              <w:divBdr>
                <w:top w:val="none" w:sz="0" w:space="0" w:color="auto"/>
                <w:left w:val="none" w:sz="0" w:space="0" w:color="auto"/>
                <w:bottom w:val="none" w:sz="0" w:space="0" w:color="auto"/>
                <w:right w:val="none" w:sz="0" w:space="0" w:color="auto"/>
              </w:divBdr>
            </w:div>
          </w:divsChild>
        </w:div>
        <w:div w:id="1082411605">
          <w:marLeft w:val="0"/>
          <w:marRight w:val="0"/>
          <w:marTop w:val="0"/>
          <w:marBottom w:val="0"/>
          <w:divBdr>
            <w:top w:val="none" w:sz="0" w:space="0" w:color="auto"/>
            <w:left w:val="none" w:sz="0" w:space="0" w:color="auto"/>
            <w:bottom w:val="none" w:sz="0" w:space="0" w:color="auto"/>
            <w:right w:val="none" w:sz="0" w:space="0" w:color="auto"/>
          </w:divBdr>
          <w:divsChild>
            <w:div w:id="930433361">
              <w:marLeft w:val="0"/>
              <w:marRight w:val="0"/>
              <w:marTop w:val="0"/>
              <w:marBottom w:val="0"/>
              <w:divBdr>
                <w:top w:val="none" w:sz="0" w:space="0" w:color="auto"/>
                <w:left w:val="none" w:sz="0" w:space="0" w:color="auto"/>
                <w:bottom w:val="none" w:sz="0" w:space="0" w:color="auto"/>
                <w:right w:val="none" w:sz="0" w:space="0" w:color="auto"/>
              </w:divBdr>
            </w:div>
          </w:divsChild>
        </w:div>
        <w:div w:id="1084182030">
          <w:marLeft w:val="0"/>
          <w:marRight w:val="0"/>
          <w:marTop w:val="0"/>
          <w:marBottom w:val="0"/>
          <w:divBdr>
            <w:top w:val="none" w:sz="0" w:space="0" w:color="auto"/>
            <w:left w:val="none" w:sz="0" w:space="0" w:color="auto"/>
            <w:bottom w:val="none" w:sz="0" w:space="0" w:color="auto"/>
            <w:right w:val="none" w:sz="0" w:space="0" w:color="auto"/>
          </w:divBdr>
          <w:divsChild>
            <w:div w:id="315495447">
              <w:marLeft w:val="0"/>
              <w:marRight w:val="0"/>
              <w:marTop w:val="0"/>
              <w:marBottom w:val="0"/>
              <w:divBdr>
                <w:top w:val="none" w:sz="0" w:space="0" w:color="auto"/>
                <w:left w:val="none" w:sz="0" w:space="0" w:color="auto"/>
                <w:bottom w:val="none" w:sz="0" w:space="0" w:color="auto"/>
                <w:right w:val="none" w:sz="0" w:space="0" w:color="auto"/>
              </w:divBdr>
            </w:div>
          </w:divsChild>
        </w:div>
        <w:div w:id="1092237187">
          <w:marLeft w:val="0"/>
          <w:marRight w:val="0"/>
          <w:marTop w:val="0"/>
          <w:marBottom w:val="0"/>
          <w:divBdr>
            <w:top w:val="none" w:sz="0" w:space="0" w:color="auto"/>
            <w:left w:val="none" w:sz="0" w:space="0" w:color="auto"/>
            <w:bottom w:val="none" w:sz="0" w:space="0" w:color="auto"/>
            <w:right w:val="none" w:sz="0" w:space="0" w:color="auto"/>
          </w:divBdr>
          <w:divsChild>
            <w:div w:id="614990703">
              <w:marLeft w:val="0"/>
              <w:marRight w:val="0"/>
              <w:marTop w:val="0"/>
              <w:marBottom w:val="0"/>
              <w:divBdr>
                <w:top w:val="none" w:sz="0" w:space="0" w:color="auto"/>
                <w:left w:val="none" w:sz="0" w:space="0" w:color="auto"/>
                <w:bottom w:val="none" w:sz="0" w:space="0" w:color="auto"/>
                <w:right w:val="none" w:sz="0" w:space="0" w:color="auto"/>
              </w:divBdr>
            </w:div>
          </w:divsChild>
        </w:div>
        <w:div w:id="1095708524">
          <w:marLeft w:val="0"/>
          <w:marRight w:val="0"/>
          <w:marTop w:val="0"/>
          <w:marBottom w:val="0"/>
          <w:divBdr>
            <w:top w:val="none" w:sz="0" w:space="0" w:color="auto"/>
            <w:left w:val="none" w:sz="0" w:space="0" w:color="auto"/>
            <w:bottom w:val="none" w:sz="0" w:space="0" w:color="auto"/>
            <w:right w:val="none" w:sz="0" w:space="0" w:color="auto"/>
          </w:divBdr>
          <w:divsChild>
            <w:div w:id="1600721663">
              <w:marLeft w:val="0"/>
              <w:marRight w:val="0"/>
              <w:marTop w:val="0"/>
              <w:marBottom w:val="0"/>
              <w:divBdr>
                <w:top w:val="none" w:sz="0" w:space="0" w:color="auto"/>
                <w:left w:val="none" w:sz="0" w:space="0" w:color="auto"/>
                <w:bottom w:val="none" w:sz="0" w:space="0" w:color="auto"/>
                <w:right w:val="none" w:sz="0" w:space="0" w:color="auto"/>
              </w:divBdr>
            </w:div>
          </w:divsChild>
        </w:div>
        <w:div w:id="1096825976">
          <w:marLeft w:val="0"/>
          <w:marRight w:val="0"/>
          <w:marTop w:val="0"/>
          <w:marBottom w:val="0"/>
          <w:divBdr>
            <w:top w:val="none" w:sz="0" w:space="0" w:color="auto"/>
            <w:left w:val="none" w:sz="0" w:space="0" w:color="auto"/>
            <w:bottom w:val="none" w:sz="0" w:space="0" w:color="auto"/>
            <w:right w:val="none" w:sz="0" w:space="0" w:color="auto"/>
          </w:divBdr>
          <w:divsChild>
            <w:div w:id="1716811309">
              <w:marLeft w:val="0"/>
              <w:marRight w:val="0"/>
              <w:marTop w:val="0"/>
              <w:marBottom w:val="0"/>
              <w:divBdr>
                <w:top w:val="none" w:sz="0" w:space="0" w:color="auto"/>
                <w:left w:val="none" w:sz="0" w:space="0" w:color="auto"/>
                <w:bottom w:val="none" w:sz="0" w:space="0" w:color="auto"/>
                <w:right w:val="none" w:sz="0" w:space="0" w:color="auto"/>
              </w:divBdr>
            </w:div>
          </w:divsChild>
        </w:div>
        <w:div w:id="1097138747">
          <w:marLeft w:val="0"/>
          <w:marRight w:val="0"/>
          <w:marTop w:val="0"/>
          <w:marBottom w:val="0"/>
          <w:divBdr>
            <w:top w:val="none" w:sz="0" w:space="0" w:color="auto"/>
            <w:left w:val="none" w:sz="0" w:space="0" w:color="auto"/>
            <w:bottom w:val="none" w:sz="0" w:space="0" w:color="auto"/>
            <w:right w:val="none" w:sz="0" w:space="0" w:color="auto"/>
          </w:divBdr>
          <w:divsChild>
            <w:div w:id="340933544">
              <w:marLeft w:val="0"/>
              <w:marRight w:val="0"/>
              <w:marTop w:val="0"/>
              <w:marBottom w:val="0"/>
              <w:divBdr>
                <w:top w:val="none" w:sz="0" w:space="0" w:color="auto"/>
                <w:left w:val="none" w:sz="0" w:space="0" w:color="auto"/>
                <w:bottom w:val="none" w:sz="0" w:space="0" w:color="auto"/>
                <w:right w:val="none" w:sz="0" w:space="0" w:color="auto"/>
              </w:divBdr>
            </w:div>
          </w:divsChild>
        </w:div>
        <w:div w:id="1097945383">
          <w:marLeft w:val="0"/>
          <w:marRight w:val="0"/>
          <w:marTop w:val="0"/>
          <w:marBottom w:val="0"/>
          <w:divBdr>
            <w:top w:val="none" w:sz="0" w:space="0" w:color="auto"/>
            <w:left w:val="none" w:sz="0" w:space="0" w:color="auto"/>
            <w:bottom w:val="none" w:sz="0" w:space="0" w:color="auto"/>
            <w:right w:val="none" w:sz="0" w:space="0" w:color="auto"/>
          </w:divBdr>
          <w:divsChild>
            <w:div w:id="329598836">
              <w:marLeft w:val="0"/>
              <w:marRight w:val="0"/>
              <w:marTop w:val="0"/>
              <w:marBottom w:val="0"/>
              <w:divBdr>
                <w:top w:val="none" w:sz="0" w:space="0" w:color="auto"/>
                <w:left w:val="none" w:sz="0" w:space="0" w:color="auto"/>
                <w:bottom w:val="none" w:sz="0" w:space="0" w:color="auto"/>
                <w:right w:val="none" w:sz="0" w:space="0" w:color="auto"/>
              </w:divBdr>
            </w:div>
          </w:divsChild>
        </w:div>
        <w:div w:id="1098914934">
          <w:marLeft w:val="0"/>
          <w:marRight w:val="0"/>
          <w:marTop w:val="0"/>
          <w:marBottom w:val="0"/>
          <w:divBdr>
            <w:top w:val="none" w:sz="0" w:space="0" w:color="auto"/>
            <w:left w:val="none" w:sz="0" w:space="0" w:color="auto"/>
            <w:bottom w:val="none" w:sz="0" w:space="0" w:color="auto"/>
            <w:right w:val="none" w:sz="0" w:space="0" w:color="auto"/>
          </w:divBdr>
          <w:divsChild>
            <w:div w:id="1617637898">
              <w:marLeft w:val="0"/>
              <w:marRight w:val="0"/>
              <w:marTop w:val="0"/>
              <w:marBottom w:val="0"/>
              <w:divBdr>
                <w:top w:val="none" w:sz="0" w:space="0" w:color="auto"/>
                <w:left w:val="none" w:sz="0" w:space="0" w:color="auto"/>
                <w:bottom w:val="none" w:sz="0" w:space="0" w:color="auto"/>
                <w:right w:val="none" w:sz="0" w:space="0" w:color="auto"/>
              </w:divBdr>
            </w:div>
          </w:divsChild>
        </w:div>
        <w:div w:id="1105341649">
          <w:marLeft w:val="0"/>
          <w:marRight w:val="0"/>
          <w:marTop w:val="0"/>
          <w:marBottom w:val="0"/>
          <w:divBdr>
            <w:top w:val="none" w:sz="0" w:space="0" w:color="auto"/>
            <w:left w:val="none" w:sz="0" w:space="0" w:color="auto"/>
            <w:bottom w:val="none" w:sz="0" w:space="0" w:color="auto"/>
            <w:right w:val="none" w:sz="0" w:space="0" w:color="auto"/>
          </w:divBdr>
          <w:divsChild>
            <w:div w:id="806630702">
              <w:marLeft w:val="0"/>
              <w:marRight w:val="0"/>
              <w:marTop w:val="0"/>
              <w:marBottom w:val="0"/>
              <w:divBdr>
                <w:top w:val="none" w:sz="0" w:space="0" w:color="auto"/>
                <w:left w:val="none" w:sz="0" w:space="0" w:color="auto"/>
                <w:bottom w:val="none" w:sz="0" w:space="0" w:color="auto"/>
                <w:right w:val="none" w:sz="0" w:space="0" w:color="auto"/>
              </w:divBdr>
            </w:div>
          </w:divsChild>
        </w:div>
        <w:div w:id="1113789609">
          <w:marLeft w:val="0"/>
          <w:marRight w:val="0"/>
          <w:marTop w:val="0"/>
          <w:marBottom w:val="0"/>
          <w:divBdr>
            <w:top w:val="none" w:sz="0" w:space="0" w:color="auto"/>
            <w:left w:val="none" w:sz="0" w:space="0" w:color="auto"/>
            <w:bottom w:val="none" w:sz="0" w:space="0" w:color="auto"/>
            <w:right w:val="none" w:sz="0" w:space="0" w:color="auto"/>
          </w:divBdr>
          <w:divsChild>
            <w:div w:id="800533288">
              <w:marLeft w:val="0"/>
              <w:marRight w:val="0"/>
              <w:marTop w:val="0"/>
              <w:marBottom w:val="0"/>
              <w:divBdr>
                <w:top w:val="none" w:sz="0" w:space="0" w:color="auto"/>
                <w:left w:val="none" w:sz="0" w:space="0" w:color="auto"/>
                <w:bottom w:val="none" w:sz="0" w:space="0" w:color="auto"/>
                <w:right w:val="none" w:sz="0" w:space="0" w:color="auto"/>
              </w:divBdr>
            </w:div>
          </w:divsChild>
        </w:div>
        <w:div w:id="1114133159">
          <w:marLeft w:val="0"/>
          <w:marRight w:val="0"/>
          <w:marTop w:val="0"/>
          <w:marBottom w:val="0"/>
          <w:divBdr>
            <w:top w:val="none" w:sz="0" w:space="0" w:color="auto"/>
            <w:left w:val="none" w:sz="0" w:space="0" w:color="auto"/>
            <w:bottom w:val="none" w:sz="0" w:space="0" w:color="auto"/>
            <w:right w:val="none" w:sz="0" w:space="0" w:color="auto"/>
          </w:divBdr>
          <w:divsChild>
            <w:div w:id="2047295901">
              <w:marLeft w:val="0"/>
              <w:marRight w:val="0"/>
              <w:marTop w:val="0"/>
              <w:marBottom w:val="0"/>
              <w:divBdr>
                <w:top w:val="none" w:sz="0" w:space="0" w:color="auto"/>
                <w:left w:val="none" w:sz="0" w:space="0" w:color="auto"/>
                <w:bottom w:val="none" w:sz="0" w:space="0" w:color="auto"/>
                <w:right w:val="none" w:sz="0" w:space="0" w:color="auto"/>
              </w:divBdr>
            </w:div>
          </w:divsChild>
        </w:div>
        <w:div w:id="1117527532">
          <w:marLeft w:val="0"/>
          <w:marRight w:val="0"/>
          <w:marTop w:val="0"/>
          <w:marBottom w:val="0"/>
          <w:divBdr>
            <w:top w:val="none" w:sz="0" w:space="0" w:color="auto"/>
            <w:left w:val="none" w:sz="0" w:space="0" w:color="auto"/>
            <w:bottom w:val="none" w:sz="0" w:space="0" w:color="auto"/>
            <w:right w:val="none" w:sz="0" w:space="0" w:color="auto"/>
          </w:divBdr>
          <w:divsChild>
            <w:div w:id="237591163">
              <w:marLeft w:val="0"/>
              <w:marRight w:val="0"/>
              <w:marTop w:val="0"/>
              <w:marBottom w:val="0"/>
              <w:divBdr>
                <w:top w:val="none" w:sz="0" w:space="0" w:color="auto"/>
                <w:left w:val="none" w:sz="0" w:space="0" w:color="auto"/>
                <w:bottom w:val="none" w:sz="0" w:space="0" w:color="auto"/>
                <w:right w:val="none" w:sz="0" w:space="0" w:color="auto"/>
              </w:divBdr>
            </w:div>
          </w:divsChild>
        </w:div>
        <w:div w:id="1121650458">
          <w:marLeft w:val="0"/>
          <w:marRight w:val="0"/>
          <w:marTop w:val="0"/>
          <w:marBottom w:val="0"/>
          <w:divBdr>
            <w:top w:val="none" w:sz="0" w:space="0" w:color="auto"/>
            <w:left w:val="none" w:sz="0" w:space="0" w:color="auto"/>
            <w:bottom w:val="none" w:sz="0" w:space="0" w:color="auto"/>
            <w:right w:val="none" w:sz="0" w:space="0" w:color="auto"/>
          </w:divBdr>
          <w:divsChild>
            <w:div w:id="759371963">
              <w:marLeft w:val="0"/>
              <w:marRight w:val="0"/>
              <w:marTop w:val="0"/>
              <w:marBottom w:val="0"/>
              <w:divBdr>
                <w:top w:val="none" w:sz="0" w:space="0" w:color="auto"/>
                <w:left w:val="none" w:sz="0" w:space="0" w:color="auto"/>
                <w:bottom w:val="none" w:sz="0" w:space="0" w:color="auto"/>
                <w:right w:val="none" w:sz="0" w:space="0" w:color="auto"/>
              </w:divBdr>
            </w:div>
          </w:divsChild>
        </w:div>
        <w:div w:id="1122459736">
          <w:marLeft w:val="0"/>
          <w:marRight w:val="0"/>
          <w:marTop w:val="0"/>
          <w:marBottom w:val="0"/>
          <w:divBdr>
            <w:top w:val="none" w:sz="0" w:space="0" w:color="auto"/>
            <w:left w:val="none" w:sz="0" w:space="0" w:color="auto"/>
            <w:bottom w:val="none" w:sz="0" w:space="0" w:color="auto"/>
            <w:right w:val="none" w:sz="0" w:space="0" w:color="auto"/>
          </w:divBdr>
          <w:divsChild>
            <w:div w:id="1242720218">
              <w:marLeft w:val="0"/>
              <w:marRight w:val="0"/>
              <w:marTop w:val="0"/>
              <w:marBottom w:val="0"/>
              <w:divBdr>
                <w:top w:val="none" w:sz="0" w:space="0" w:color="auto"/>
                <w:left w:val="none" w:sz="0" w:space="0" w:color="auto"/>
                <w:bottom w:val="none" w:sz="0" w:space="0" w:color="auto"/>
                <w:right w:val="none" w:sz="0" w:space="0" w:color="auto"/>
              </w:divBdr>
            </w:div>
          </w:divsChild>
        </w:div>
        <w:div w:id="1124618775">
          <w:marLeft w:val="0"/>
          <w:marRight w:val="0"/>
          <w:marTop w:val="0"/>
          <w:marBottom w:val="0"/>
          <w:divBdr>
            <w:top w:val="none" w:sz="0" w:space="0" w:color="auto"/>
            <w:left w:val="none" w:sz="0" w:space="0" w:color="auto"/>
            <w:bottom w:val="none" w:sz="0" w:space="0" w:color="auto"/>
            <w:right w:val="none" w:sz="0" w:space="0" w:color="auto"/>
          </w:divBdr>
          <w:divsChild>
            <w:div w:id="931551977">
              <w:marLeft w:val="0"/>
              <w:marRight w:val="0"/>
              <w:marTop w:val="0"/>
              <w:marBottom w:val="0"/>
              <w:divBdr>
                <w:top w:val="none" w:sz="0" w:space="0" w:color="auto"/>
                <w:left w:val="none" w:sz="0" w:space="0" w:color="auto"/>
                <w:bottom w:val="none" w:sz="0" w:space="0" w:color="auto"/>
                <w:right w:val="none" w:sz="0" w:space="0" w:color="auto"/>
              </w:divBdr>
            </w:div>
          </w:divsChild>
        </w:div>
        <w:div w:id="1125545480">
          <w:marLeft w:val="0"/>
          <w:marRight w:val="0"/>
          <w:marTop w:val="0"/>
          <w:marBottom w:val="0"/>
          <w:divBdr>
            <w:top w:val="none" w:sz="0" w:space="0" w:color="auto"/>
            <w:left w:val="none" w:sz="0" w:space="0" w:color="auto"/>
            <w:bottom w:val="none" w:sz="0" w:space="0" w:color="auto"/>
            <w:right w:val="none" w:sz="0" w:space="0" w:color="auto"/>
          </w:divBdr>
          <w:divsChild>
            <w:div w:id="894707126">
              <w:marLeft w:val="0"/>
              <w:marRight w:val="0"/>
              <w:marTop w:val="0"/>
              <w:marBottom w:val="0"/>
              <w:divBdr>
                <w:top w:val="none" w:sz="0" w:space="0" w:color="auto"/>
                <w:left w:val="none" w:sz="0" w:space="0" w:color="auto"/>
                <w:bottom w:val="none" w:sz="0" w:space="0" w:color="auto"/>
                <w:right w:val="none" w:sz="0" w:space="0" w:color="auto"/>
              </w:divBdr>
            </w:div>
          </w:divsChild>
        </w:div>
        <w:div w:id="1127508661">
          <w:marLeft w:val="0"/>
          <w:marRight w:val="0"/>
          <w:marTop w:val="0"/>
          <w:marBottom w:val="0"/>
          <w:divBdr>
            <w:top w:val="none" w:sz="0" w:space="0" w:color="auto"/>
            <w:left w:val="none" w:sz="0" w:space="0" w:color="auto"/>
            <w:bottom w:val="none" w:sz="0" w:space="0" w:color="auto"/>
            <w:right w:val="none" w:sz="0" w:space="0" w:color="auto"/>
          </w:divBdr>
          <w:divsChild>
            <w:div w:id="1688556972">
              <w:marLeft w:val="0"/>
              <w:marRight w:val="0"/>
              <w:marTop w:val="0"/>
              <w:marBottom w:val="0"/>
              <w:divBdr>
                <w:top w:val="none" w:sz="0" w:space="0" w:color="auto"/>
                <w:left w:val="none" w:sz="0" w:space="0" w:color="auto"/>
                <w:bottom w:val="none" w:sz="0" w:space="0" w:color="auto"/>
                <w:right w:val="none" w:sz="0" w:space="0" w:color="auto"/>
              </w:divBdr>
            </w:div>
          </w:divsChild>
        </w:div>
        <w:div w:id="1129205771">
          <w:marLeft w:val="0"/>
          <w:marRight w:val="0"/>
          <w:marTop w:val="0"/>
          <w:marBottom w:val="0"/>
          <w:divBdr>
            <w:top w:val="none" w:sz="0" w:space="0" w:color="auto"/>
            <w:left w:val="none" w:sz="0" w:space="0" w:color="auto"/>
            <w:bottom w:val="none" w:sz="0" w:space="0" w:color="auto"/>
            <w:right w:val="none" w:sz="0" w:space="0" w:color="auto"/>
          </w:divBdr>
          <w:divsChild>
            <w:div w:id="1219516661">
              <w:marLeft w:val="0"/>
              <w:marRight w:val="0"/>
              <w:marTop w:val="0"/>
              <w:marBottom w:val="0"/>
              <w:divBdr>
                <w:top w:val="none" w:sz="0" w:space="0" w:color="auto"/>
                <w:left w:val="none" w:sz="0" w:space="0" w:color="auto"/>
                <w:bottom w:val="none" w:sz="0" w:space="0" w:color="auto"/>
                <w:right w:val="none" w:sz="0" w:space="0" w:color="auto"/>
              </w:divBdr>
            </w:div>
          </w:divsChild>
        </w:div>
        <w:div w:id="1134100721">
          <w:marLeft w:val="0"/>
          <w:marRight w:val="0"/>
          <w:marTop w:val="0"/>
          <w:marBottom w:val="0"/>
          <w:divBdr>
            <w:top w:val="none" w:sz="0" w:space="0" w:color="auto"/>
            <w:left w:val="none" w:sz="0" w:space="0" w:color="auto"/>
            <w:bottom w:val="none" w:sz="0" w:space="0" w:color="auto"/>
            <w:right w:val="none" w:sz="0" w:space="0" w:color="auto"/>
          </w:divBdr>
          <w:divsChild>
            <w:div w:id="1036782134">
              <w:marLeft w:val="0"/>
              <w:marRight w:val="0"/>
              <w:marTop w:val="0"/>
              <w:marBottom w:val="0"/>
              <w:divBdr>
                <w:top w:val="none" w:sz="0" w:space="0" w:color="auto"/>
                <w:left w:val="none" w:sz="0" w:space="0" w:color="auto"/>
                <w:bottom w:val="none" w:sz="0" w:space="0" w:color="auto"/>
                <w:right w:val="none" w:sz="0" w:space="0" w:color="auto"/>
              </w:divBdr>
            </w:div>
          </w:divsChild>
        </w:div>
        <w:div w:id="1134829119">
          <w:marLeft w:val="0"/>
          <w:marRight w:val="0"/>
          <w:marTop w:val="0"/>
          <w:marBottom w:val="0"/>
          <w:divBdr>
            <w:top w:val="none" w:sz="0" w:space="0" w:color="auto"/>
            <w:left w:val="none" w:sz="0" w:space="0" w:color="auto"/>
            <w:bottom w:val="none" w:sz="0" w:space="0" w:color="auto"/>
            <w:right w:val="none" w:sz="0" w:space="0" w:color="auto"/>
          </w:divBdr>
          <w:divsChild>
            <w:div w:id="189339201">
              <w:marLeft w:val="0"/>
              <w:marRight w:val="0"/>
              <w:marTop w:val="0"/>
              <w:marBottom w:val="0"/>
              <w:divBdr>
                <w:top w:val="none" w:sz="0" w:space="0" w:color="auto"/>
                <w:left w:val="none" w:sz="0" w:space="0" w:color="auto"/>
                <w:bottom w:val="none" w:sz="0" w:space="0" w:color="auto"/>
                <w:right w:val="none" w:sz="0" w:space="0" w:color="auto"/>
              </w:divBdr>
            </w:div>
          </w:divsChild>
        </w:div>
        <w:div w:id="1140031043">
          <w:marLeft w:val="0"/>
          <w:marRight w:val="0"/>
          <w:marTop w:val="0"/>
          <w:marBottom w:val="0"/>
          <w:divBdr>
            <w:top w:val="none" w:sz="0" w:space="0" w:color="auto"/>
            <w:left w:val="none" w:sz="0" w:space="0" w:color="auto"/>
            <w:bottom w:val="none" w:sz="0" w:space="0" w:color="auto"/>
            <w:right w:val="none" w:sz="0" w:space="0" w:color="auto"/>
          </w:divBdr>
          <w:divsChild>
            <w:div w:id="435172988">
              <w:marLeft w:val="0"/>
              <w:marRight w:val="0"/>
              <w:marTop w:val="0"/>
              <w:marBottom w:val="0"/>
              <w:divBdr>
                <w:top w:val="none" w:sz="0" w:space="0" w:color="auto"/>
                <w:left w:val="none" w:sz="0" w:space="0" w:color="auto"/>
                <w:bottom w:val="none" w:sz="0" w:space="0" w:color="auto"/>
                <w:right w:val="none" w:sz="0" w:space="0" w:color="auto"/>
              </w:divBdr>
            </w:div>
          </w:divsChild>
        </w:div>
        <w:div w:id="1140995649">
          <w:marLeft w:val="0"/>
          <w:marRight w:val="0"/>
          <w:marTop w:val="0"/>
          <w:marBottom w:val="0"/>
          <w:divBdr>
            <w:top w:val="none" w:sz="0" w:space="0" w:color="auto"/>
            <w:left w:val="none" w:sz="0" w:space="0" w:color="auto"/>
            <w:bottom w:val="none" w:sz="0" w:space="0" w:color="auto"/>
            <w:right w:val="none" w:sz="0" w:space="0" w:color="auto"/>
          </w:divBdr>
          <w:divsChild>
            <w:div w:id="320699376">
              <w:marLeft w:val="0"/>
              <w:marRight w:val="0"/>
              <w:marTop w:val="0"/>
              <w:marBottom w:val="0"/>
              <w:divBdr>
                <w:top w:val="none" w:sz="0" w:space="0" w:color="auto"/>
                <w:left w:val="none" w:sz="0" w:space="0" w:color="auto"/>
                <w:bottom w:val="none" w:sz="0" w:space="0" w:color="auto"/>
                <w:right w:val="none" w:sz="0" w:space="0" w:color="auto"/>
              </w:divBdr>
            </w:div>
          </w:divsChild>
        </w:div>
        <w:div w:id="1141575325">
          <w:marLeft w:val="0"/>
          <w:marRight w:val="0"/>
          <w:marTop w:val="0"/>
          <w:marBottom w:val="0"/>
          <w:divBdr>
            <w:top w:val="none" w:sz="0" w:space="0" w:color="auto"/>
            <w:left w:val="none" w:sz="0" w:space="0" w:color="auto"/>
            <w:bottom w:val="none" w:sz="0" w:space="0" w:color="auto"/>
            <w:right w:val="none" w:sz="0" w:space="0" w:color="auto"/>
          </w:divBdr>
          <w:divsChild>
            <w:div w:id="613024226">
              <w:marLeft w:val="0"/>
              <w:marRight w:val="0"/>
              <w:marTop w:val="0"/>
              <w:marBottom w:val="0"/>
              <w:divBdr>
                <w:top w:val="none" w:sz="0" w:space="0" w:color="auto"/>
                <w:left w:val="none" w:sz="0" w:space="0" w:color="auto"/>
                <w:bottom w:val="none" w:sz="0" w:space="0" w:color="auto"/>
                <w:right w:val="none" w:sz="0" w:space="0" w:color="auto"/>
              </w:divBdr>
            </w:div>
          </w:divsChild>
        </w:div>
        <w:div w:id="1148400977">
          <w:marLeft w:val="0"/>
          <w:marRight w:val="0"/>
          <w:marTop w:val="0"/>
          <w:marBottom w:val="0"/>
          <w:divBdr>
            <w:top w:val="none" w:sz="0" w:space="0" w:color="auto"/>
            <w:left w:val="none" w:sz="0" w:space="0" w:color="auto"/>
            <w:bottom w:val="none" w:sz="0" w:space="0" w:color="auto"/>
            <w:right w:val="none" w:sz="0" w:space="0" w:color="auto"/>
          </w:divBdr>
          <w:divsChild>
            <w:div w:id="1751153467">
              <w:marLeft w:val="0"/>
              <w:marRight w:val="0"/>
              <w:marTop w:val="0"/>
              <w:marBottom w:val="0"/>
              <w:divBdr>
                <w:top w:val="none" w:sz="0" w:space="0" w:color="auto"/>
                <w:left w:val="none" w:sz="0" w:space="0" w:color="auto"/>
                <w:bottom w:val="none" w:sz="0" w:space="0" w:color="auto"/>
                <w:right w:val="none" w:sz="0" w:space="0" w:color="auto"/>
              </w:divBdr>
            </w:div>
          </w:divsChild>
        </w:div>
        <w:div w:id="1148984908">
          <w:marLeft w:val="0"/>
          <w:marRight w:val="0"/>
          <w:marTop w:val="0"/>
          <w:marBottom w:val="0"/>
          <w:divBdr>
            <w:top w:val="none" w:sz="0" w:space="0" w:color="auto"/>
            <w:left w:val="none" w:sz="0" w:space="0" w:color="auto"/>
            <w:bottom w:val="none" w:sz="0" w:space="0" w:color="auto"/>
            <w:right w:val="none" w:sz="0" w:space="0" w:color="auto"/>
          </w:divBdr>
          <w:divsChild>
            <w:div w:id="310136803">
              <w:marLeft w:val="0"/>
              <w:marRight w:val="0"/>
              <w:marTop w:val="0"/>
              <w:marBottom w:val="0"/>
              <w:divBdr>
                <w:top w:val="none" w:sz="0" w:space="0" w:color="auto"/>
                <w:left w:val="none" w:sz="0" w:space="0" w:color="auto"/>
                <w:bottom w:val="none" w:sz="0" w:space="0" w:color="auto"/>
                <w:right w:val="none" w:sz="0" w:space="0" w:color="auto"/>
              </w:divBdr>
            </w:div>
          </w:divsChild>
        </w:div>
        <w:div w:id="1149250324">
          <w:marLeft w:val="0"/>
          <w:marRight w:val="0"/>
          <w:marTop w:val="0"/>
          <w:marBottom w:val="0"/>
          <w:divBdr>
            <w:top w:val="none" w:sz="0" w:space="0" w:color="auto"/>
            <w:left w:val="none" w:sz="0" w:space="0" w:color="auto"/>
            <w:bottom w:val="none" w:sz="0" w:space="0" w:color="auto"/>
            <w:right w:val="none" w:sz="0" w:space="0" w:color="auto"/>
          </w:divBdr>
          <w:divsChild>
            <w:div w:id="2124380027">
              <w:marLeft w:val="0"/>
              <w:marRight w:val="0"/>
              <w:marTop w:val="0"/>
              <w:marBottom w:val="0"/>
              <w:divBdr>
                <w:top w:val="none" w:sz="0" w:space="0" w:color="auto"/>
                <w:left w:val="none" w:sz="0" w:space="0" w:color="auto"/>
                <w:bottom w:val="none" w:sz="0" w:space="0" w:color="auto"/>
                <w:right w:val="none" w:sz="0" w:space="0" w:color="auto"/>
              </w:divBdr>
            </w:div>
          </w:divsChild>
        </w:div>
        <w:div w:id="1165978331">
          <w:marLeft w:val="0"/>
          <w:marRight w:val="0"/>
          <w:marTop w:val="0"/>
          <w:marBottom w:val="0"/>
          <w:divBdr>
            <w:top w:val="none" w:sz="0" w:space="0" w:color="auto"/>
            <w:left w:val="none" w:sz="0" w:space="0" w:color="auto"/>
            <w:bottom w:val="none" w:sz="0" w:space="0" w:color="auto"/>
            <w:right w:val="none" w:sz="0" w:space="0" w:color="auto"/>
          </w:divBdr>
          <w:divsChild>
            <w:div w:id="355733236">
              <w:marLeft w:val="0"/>
              <w:marRight w:val="0"/>
              <w:marTop w:val="0"/>
              <w:marBottom w:val="0"/>
              <w:divBdr>
                <w:top w:val="none" w:sz="0" w:space="0" w:color="auto"/>
                <w:left w:val="none" w:sz="0" w:space="0" w:color="auto"/>
                <w:bottom w:val="none" w:sz="0" w:space="0" w:color="auto"/>
                <w:right w:val="none" w:sz="0" w:space="0" w:color="auto"/>
              </w:divBdr>
            </w:div>
          </w:divsChild>
        </w:div>
        <w:div w:id="1167358932">
          <w:marLeft w:val="0"/>
          <w:marRight w:val="0"/>
          <w:marTop w:val="0"/>
          <w:marBottom w:val="0"/>
          <w:divBdr>
            <w:top w:val="none" w:sz="0" w:space="0" w:color="auto"/>
            <w:left w:val="none" w:sz="0" w:space="0" w:color="auto"/>
            <w:bottom w:val="none" w:sz="0" w:space="0" w:color="auto"/>
            <w:right w:val="none" w:sz="0" w:space="0" w:color="auto"/>
          </w:divBdr>
          <w:divsChild>
            <w:div w:id="1135413037">
              <w:marLeft w:val="0"/>
              <w:marRight w:val="0"/>
              <w:marTop w:val="0"/>
              <w:marBottom w:val="0"/>
              <w:divBdr>
                <w:top w:val="none" w:sz="0" w:space="0" w:color="auto"/>
                <w:left w:val="none" w:sz="0" w:space="0" w:color="auto"/>
                <w:bottom w:val="none" w:sz="0" w:space="0" w:color="auto"/>
                <w:right w:val="none" w:sz="0" w:space="0" w:color="auto"/>
              </w:divBdr>
            </w:div>
          </w:divsChild>
        </w:div>
        <w:div w:id="1167672868">
          <w:marLeft w:val="0"/>
          <w:marRight w:val="0"/>
          <w:marTop w:val="0"/>
          <w:marBottom w:val="0"/>
          <w:divBdr>
            <w:top w:val="none" w:sz="0" w:space="0" w:color="auto"/>
            <w:left w:val="none" w:sz="0" w:space="0" w:color="auto"/>
            <w:bottom w:val="none" w:sz="0" w:space="0" w:color="auto"/>
            <w:right w:val="none" w:sz="0" w:space="0" w:color="auto"/>
          </w:divBdr>
          <w:divsChild>
            <w:div w:id="1554996599">
              <w:marLeft w:val="0"/>
              <w:marRight w:val="0"/>
              <w:marTop w:val="0"/>
              <w:marBottom w:val="0"/>
              <w:divBdr>
                <w:top w:val="none" w:sz="0" w:space="0" w:color="auto"/>
                <w:left w:val="none" w:sz="0" w:space="0" w:color="auto"/>
                <w:bottom w:val="none" w:sz="0" w:space="0" w:color="auto"/>
                <w:right w:val="none" w:sz="0" w:space="0" w:color="auto"/>
              </w:divBdr>
            </w:div>
          </w:divsChild>
        </w:div>
        <w:div w:id="1169952566">
          <w:marLeft w:val="0"/>
          <w:marRight w:val="0"/>
          <w:marTop w:val="0"/>
          <w:marBottom w:val="0"/>
          <w:divBdr>
            <w:top w:val="none" w:sz="0" w:space="0" w:color="auto"/>
            <w:left w:val="none" w:sz="0" w:space="0" w:color="auto"/>
            <w:bottom w:val="none" w:sz="0" w:space="0" w:color="auto"/>
            <w:right w:val="none" w:sz="0" w:space="0" w:color="auto"/>
          </w:divBdr>
          <w:divsChild>
            <w:div w:id="998844954">
              <w:marLeft w:val="0"/>
              <w:marRight w:val="0"/>
              <w:marTop w:val="0"/>
              <w:marBottom w:val="0"/>
              <w:divBdr>
                <w:top w:val="none" w:sz="0" w:space="0" w:color="auto"/>
                <w:left w:val="none" w:sz="0" w:space="0" w:color="auto"/>
                <w:bottom w:val="none" w:sz="0" w:space="0" w:color="auto"/>
                <w:right w:val="none" w:sz="0" w:space="0" w:color="auto"/>
              </w:divBdr>
            </w:div>
          </w:divsChild>
        </w:div>
        <w:div w:id="1175070158">
          <w:marLeft w:val="0"/>
          <w:marRight w:val="0"/>
          <w:marTop w:val="0"/>
          <w:marBottom w:val="0"/>
          <w:divBdr>
            <w:top w:val="none" w:sz="0" w:space="0" w:color="auto"/>
            <w:left w:val="none" w:sz="0" w:space="0" w:color="auto"/>
            <w:bottom w:val="none" w:sz="0" w:space="0" w:color="auto"/>
            <w:right w:val="none" w:sz="0" w:space="0" w:color="auto"/>
          </w:divBdr>
          <w:divsChild>
            <w:div w:id="2063164979">
              <w:marLeft w:val="0"/>
              <w:marRight w:val="0"/>
              <w:marTop w:val="0"/>
              <w:marBottom w:val="0"/>
              <w:divBdr>
                <w:top w:val="none" w:sz="0" w:space="0" w:color="auto"/>
                <w:left w:val="none" w:sz="0" w:space="0" w:color="auto"/>
                <w:bottom w:val="none" w:sz="0" w:space="0" w:color="auto"/>
                <w:right w:val="none" w:sz="0" w:space="0" w:color="auto"/>
              </w:divBdr>
            </w:div>
          </w:divsChild>
        </w:div>
        <w:div w:id="1175804850">
          <w:marLeft w:val="0"/>
          <w:marRight w:val="0"/>
          <w:marTop w:val="0"/>
          <w:marBottom w:val="0"/>
          <w:divBdr>
            <w:top w:val="none" w:sz="0" w:space="0" w:color="auto"/>
            <w:left w:val="none" w:sz="0" w:space="0" w:color="auto"/>
            <w:bottom w:val="none" w:sz="0" w:space="0" w:color="auto"/>
            <w:right w:val="none" w:sz="0" w:space="0" w:color="auto"/>
          </w:divBdr>
          <w:divsChild>
            <w:div w:id="1231621086">
              <w:marLeft w:val="0"/>
              <w:marRight w:val="0"/>
              <w:marTop w:val="0"/>
              <w:marBottom w:val="0"/>
              <w:divBdr>
                <w:top w:val="none" w:sz="0" w:space="0" w:color="auto"/>
                <w:left w:val="none" w:sz="0" w:space="0" w:color="auto"/>
                <w:bottom w:val="none" w:sz="0" w:space="0" w:color="auto"/>
                <w:right w:val="none" w:sz="0" w:space="0" w:color="auto"/>
              </w:divBdr>
            </w:div>
          </w:divsChild>
        </w:div>
        <w:div w:id="1184131289">
          <w:marLeft w:val="0"/>
          <w:marRight w:val="0"/>
          <w:marTop w:val="0"/>
          <w:marBottom w:val="0"/>
          <w:divBdr>
            <w:top w:val="none" w:sz="0" w:space="0" w:color="auto"/>
            <w:left w:val="none" w:sz="0" w:space="0" w:color="auto"/>
            <w:bottom w:val="none" w:sz="0" w:space="0" w:color="auto"/>
            <w:right w:val="none" w:sz="0" w:space="0" w:color="auto"/>
          </w:divBdr>
          <w:divsChild>
            <w:div w:id="1301302926">
              <w:marLeft w:val="0"/>
              <w:marRight w:val="0"/>
              <w:marTop w:val="0"/>
              <w:marBottom w:val="0"/>
              <w:divBdr>
                <w:top w:val="none" w:sz="0" w:space="0" w:color="auto"/>
                <w:left w:val="none" w:sz="0" w:space="0" w:color="auto"/>
                <w:bottom w:val="none" w:sz="0" w:space="0" w:color="auto"/>
                <w:right w:val="none" w:sz="0" w:space="0" w:color="auto"/>
              </w:divBdr>
            </w:div>
          </w:divsChild>
        </w:div>
        <w:div w:id="1187330810">
          <w:marLeft w:val="0"/>
          <w:marRight w:val="0"/>
          <w:marTop w:val="0"/>
          <w:marBottom w:val="0"/>
          <w:divBdr>
            <w:top w:val="none" w:sz="0" w:space="0" w:color="auto"/>
            <w:left w:val="none" w:sz="0" w:space="0" w:color="auto"/>
            <w:bottom w:val="none" w:sz="0" w:space="0" w:color="auto"/>
            <w:right w:val="none" w:sz="0" w:space="0" w:color="auto"/>
          </w:divBdr>
          <w:divsChild>
            <w:div w:id="971903973">
              <w:marLeft w:val="0"/>
              <w:marRight w:val="0"/>
              <w:marTop w:val="0"/>
              <w:marBottom w:val="0"/>
              <w:divBdr>
                <w:top w:val="none" w:sz="0" w:space="0" w:color="auto"/>
                <w:left w:val="none" w:sz="0" w:space="0" w:color="auto"/>
                <w:bottom w:val="none" w:sz="0" w:space="0" w:color="auto"/>
                <w:right w:val="none" w:sz="0" w:space="0" w:color="auto"/>
              </w:divBdr>
            </w:div>
          </w:divsChild>
        </w:div>
        <w:div w:id="1198658125">
          <w:marLeft w:val="0"/>
          <w:marRight w:val="0"/>
          <w:marTop w:val="0"/>
          <w:marBottom w:val="0"/>
          <w:divBdr>
            <w:top w:val="none" w:sz="0" w:space="0" w:color="auto"/>
            <w:left w:val="none" w:sz="0" w:space="0" w:color="auto"/>
            <w:bottom w:val="none" w:sz="0" w:space="0" w:color="auto"/>
            <w:right w:val="none" w:sz="0" w:space="0" w:color="auto"/>
          </w:divBdr>
          <w:divsChild>
            <w:div w:id="715738626">
              <w:marLeft w:val="0"/>
              <w:marRight w:val="0"/>
              <w:marTop w:val="0"/>
              <w:marBottom w:val="0"/>
              <w:divBdr>
                <w:top w:val="none" w:sz="0" w:space="0" w:color="auto"/>
                <w:left w:val="none" w:sz="0" w:space="0" w:color="auto"/>
                <w:bottom w:val="none" w:sz="0" w:space="0" w:color="auto"/>
                <w:right w:val="none" w:sz="0" w:space="0" w:color="auto"/>
              </w:divBdr>
            </w:div>
          </w:divsChild>
        </w:div>
        <w:div w:id="1205293722">
          <w:marLeft w:val="0"/>
          <w:marRight w:val="0"/>
          <w:marTop w:val="0"/>
          <w:marBottom w:val="0"/>
          <w:divBdr>
            <w:top w:val="none" w:sz="0" w:space="0" w:color="auto"/>
            <w:left w:val="none" w:sz="0" w:space="0" w:color="auto"/>
            <w:bottom w:val="none" w:sz="0" w:space="0" w:color="auto"/>
            <w:right w:val="none" w:sz="0" w:space="0" w:color="auto"/>
          </w:divBdr>
          <w:divsChild>
            <w:div w:id="1324234564">
              <w:marLeft w:val="0"/>
              <w:marRight w:val="0"/>
              <w:marTop w:val="0"/>
              <w:marBottom w:val="0"/>
              <w:divBdr>
                <w:top w:val="none" w:sz="0" w:space="0" w:color="auto"/>
                <w:left w:val="none" w:sz="0" w:space="0" w:color="auto"/>
                <w:bottom w:val="none" w:sz="0" w:space="0" w:color="auto"/>
                <w:right w:val="none" w:sz="0" w:space="0" w:color="auto"/>
              </w:divBdr>
            </w:div>
          </w:divsChild>
        </w:div>
        <w:div w:id="1209102651">
          <w:marLeft w:val="0"/>
          <w:marRight w:val="0"/>
          <w:marTop w:val="0"/>
          <w:marBottom w:val="0"/>
          <w:divBdr>
            <w:top w:val="none" w:sz="0" w:space="0" w:color="auto"/>
            <w:left w:val="none" w:sz="0" w:space="0" w:color="auto"/>
            <w:bottom w:val="none" w:sz="0" w:space="0" w:color="auto"/>
            <w:right w:val="none" w:sz="0" w:space="0" w:color="auto"/>
          </w:divBdr>
          <w:divsChild>
            <w:div w:id="1844125600">
              <w:marLeft w:val="0"/>
              <w:marRight w:val="0"/>
              <w:marTop w:val="0"/>
              <w:marBottom w:val="0"/>
              <w:divBdr>
                <w:top w:val="none" w:sz="0" w:space="0" w:color="auto"/>
                <w:left w:val="none" w:sz="0" w:space="0" w:color="auto"/>
                <w:bottom w:val="none" w:sz="0" w:space="0" w:color="auto"/>
                <w:right w:val="none" w:sz="0" w:space="0" w:color="auto"/>
              </w:divBdr>
            </w:div>
          </w:divsChild>
        </w:div>
        <w:div w:id="1214465433">
          <w:marLeft w:val="0"/>
          <w:marRight w:val="0"/>
          <w:marTop w:val="0"/>
          <w:marBottom w:val="0"/>
          <w:divBdr>
            <w:top w:val="none" w:sz="0" w:space="0" w:color="auto"/>
            <w:left w:val="none" w:sz="0" w:space="0" w:color="auto"/>
            <w:bottom w:val="none" w:sz="0" w:space="0" w:color="auto"/>
            <w:right w:val="none" w:sz="0" w:space="0" w:color="auto"/>
          </w:divBdr>
          <w:divsChild>
            <w:div w:id="341129449">
              <w:marLeft w:val="0"/>
              <w:marRight w:val="0"/>
              <w:marTop w:val="0"/>
              <w:marBottom w:val="0"/>
              <w:divBdr>
                <w:top w:val="none" w:sz="0" w:space="0" w:color="auto"/>
                <w:left w:val="none" w:sz="0" w:space="0" w:color="auto"/>
                <w:bottom w:val="none" w:sz="0" w:space="0" w:color="auto"/>
                <w:right w:val="none" w:sz="0" w:space="0" w:color="auto"/>
              </w:divBdr>
            </w:div>
          </w:divsChild>
        </w:div>
        <w:div w:id="1216359695">
          <w:marLeft w:val="0"/>
          <w:marRight w:val="0"/>
          <w:marTop w:val="0"/>
          <w:marBottom w:val="0"/>
          <w:divBdr>
            <w:top w:val="none" w:sz="0" w:space="0" w:color="auto"/>
            <w:left w:val="none" w:sz="0" w:space="0" w:color="auto"/>
            <w:bottom w:val="none" w:sz="0" w:space="0" w:color="auto"/>
            <w:right w:val="none" w:sz="0" w:space="0" w:color="auto"/>
          </w:divBdr>
          <w:divsChild>
            <w:div w:id="1429619708">
              <w:marLeft w:val="0"/>
              <w:marRight w:val="0"/>
              <w:marTop w:val="0"/>
              <w:marBottom w:val="0"/>
              <w:divBdr>
                <w:top w:val="none" w:sz="0" w:space="0" w:color="auto"/>
                <w:left w:val="none" w:sz="0" w:space="0" w:color="auto"/>
                <w:bottom w:val="none" w:sz="0" w:space="0" w:color="auto"/>
                <w:right w:val="none" w:sz="0" w:space="0" w:color="auto"/>
              </w:divBdr>
            </w:div>
          </w:divsChild>
        </w:div>
        <w:div w:id="1217668862">
          <w:marLeft w:val="0"/>
          <w:marRight w:val="0"/>
          <w:marTop w:val="0"/>
          <w:marBottom w:val="0"/>
          <w:divBdr>
            <w:top w:val="none" w:sz="0" w:space="0" w:color="auto"/>
            <w:left w:val="none" w:sz="0" w:space="0" w:color="auto"/>
            <w:bottom w:val="none" w:sz="0" w:space="0" w:color="auto"/>
            <w:right w:val="none" w:sz="0" w:space="0" w:color="auto"/>
          </w:divBdr>
          <w:divsChild>
            <w:div w:id="612059583">
              <w:marLeft w:val="0"/>
              <w:marRight w:val="0"/>
              <w:marTop w:val="0"/>
              <w:marBottom w:val="0"/>
              <w:divBdr>
                <w:top w:val="none" w:sz="0" w:space="0" w:color="auto"/>
                <w:left w:val="none" w:sz="0" w:space="0" w:color="auto"/>
                <w:bottom w:val="none" w:sz="0" w:space="0" w:color="auto"/>
                <w:right w:val="none" w:sz="0" w:space="0" w:color="auto"/>
              </w:divBdr>
            </w:div>
          </w:divsChild>
        </w:div>
        <w:div w:id="1219634177">
          <w:marLeft w:val="0"/>
          <w:marRight w:val="0"/>
          <w:marTop w:val="0"/>
          <w:marBottom w:val="0"/>
          <w:divBdr>
            <w:top w:val="none" w:sz="0" w:space="0" w:color="auto"/>
            <w:left w:val="none" w:sz="0" w:space="0" w:color="auto"/>
            <w:bottom w:val="none" w:sz="0" w:space="0" w:color="auto"/>
            <w:right w:val="none" w:sz="0" w:space="0" w:color="auto"/>
          </w:divBdr>
          <w:divsChild>
            <w:div w:id="1385521934">
              <w:marLeft w:val="0"/>
              <w:marRight w:val="0"/>
              <w:marTop w:val="0"/>
              <w:marBottom w:val="0"/>
              <w:divBdr>
                <w:top w:val="none" w:sz="0" w:space="0" w:color="auto"/>
                <w:left w:val="none" w:sz="0" w:space="0" w:color="auto"/>
                <w:bottom w:val="none" w:sz="0" w:space="0" w:color="auto"/>
                <w:right w:val="none" w:sz="0" w:space="0" w:color="auto"/>
              </w:divBdr>
            </w:div>
          </w:divsChild>
        </w:div>
        <w:div w:id="1223641312">
          <w:marLeft w:val="0"/>
          <w:marRight w:val="0"/>
          <w:marTop w:val="0"/>
          <w:marBottom w:val="0"/>
          <w:divBdr>
            <w:top w:val="none" w:sz="0" w:space="0" w:color="auto"/>
            <w:left w:val="none" w:sz="0" w:space="0" w:color="auto"/>
            <w:bottom w:val="none" w:sz="0" w:space="0" w:color="auto"/>
            <w:right w:val="none" w:sz="0" w:space="0" w:color="auto"/>
          </w:divBdr>
          <w:divsChild>
            <w:div w:id="1717116899">
              <w:marLeft w:val="0"/>
              <w:marRight w:val="0"/>
              <w:marTop w:val="0"/>
              <w:marBottom w:val="0"/>
              <w:divBdr>
                <w:top w:val="none" w:sz="0" w:space="0" w:color="auto"/>
                <w:left w:val="none" w:sz="0" w:space="0" w:color="auto"/>
                <w:bottom w:val="none" w:sz="0" w:space="0" w:color="auto"/>
                <w:right w:val="none" w:sz="0" w:space="0" w:color="auto"/>
              </w:divBdr>
            </w:div>
          </w:divsChild>
        </w:div>
        <w:div w:id="1228606862">
          <w:marLeft w:val="0"/>
          <w:marRight w:val="0"/>
          <w:marTop w:val="0"/>
          <w:marBottom w:val="0"/>
          <w:divBdr>
            <w:top w:val="none" w:sz="0" w:space="0" w:color="auto"/>
            <w:left w:val="none" w:sz="0" w:space="0" w:color="auto"/>
            <w:bottom w:val="none" w:sz="0" w:space="0" w:color="auto"/>
            <w:right w:val="none" w:sz="0" w:space="0" w:color="auto"/>
          </w:divBdr>
          <w:divsChild>
            <w:div w:id="422072477">
              <w:marLeft w:val="0"/>
              <w:marRight w:val="0"/>
              <w:marTop w:val="0"/>
              <w:marBottom w:val="0"/>
              <w:divBdr>
                <w:top w:val="none" w:sz="0" w:space="0" w:color="auto"/>
                <w:left w:val="none" w:sz="0" w:space="0" w:color="auto"/>
                <w:bottom w:val="none" w:sz="0" w:space="0" w:color="auto"/>
                <w:right w:val="none" w:sz="0" w:space="0" w:color="auto"/>
              </w:divBdr>
            </w:div>
          </w:divsChild>
        </w:div>
        <w:div w:id="1235702816">
          <w:marLeft w:val="0"/>
          <w:marRight w:val="0"/>
          <w:marTop w:val="0"/>
          <w:marBottom w:val="0"/>
          <w:divBdr>
            <w:top w:val="none" w:sz="0" w:space="0" w:color="auto"/>
            <w:left w:val="none" w:sz="0" w:space="0" w:color="auto"/>
            <w:bottom w:val="none" w:sz="0" w:space="0" w:color="auto"/>
            <w:right w:val="none" w:sz="0" w:space="0" w:color="auto"/>
          </w:divBdr>
          <w:divsChild>
            <w:div w:id="727875505">
              <w:marLeft w:val="0"/>
              <w:marRight w:val="0"/>
              <w:marTop w:val="0"/>
              <w:marBottom w:val="0"/>
              <w:divBdr>
                <w:top w:val="none" w:sz="0" w:space="0" w:color="auto"/>
                <w:left w:val="none" w:sz="0" w:space="0" w:color="auto"/>
                <w:bottom w:val="none" w:sz="0" w:space="0" w:color="auto"/>
                <w:right w:val="none" w:sz="0" w:space="0" w:color="auto"/>
              </w:divBdr>
            </w:div>
          </w:divsChild>
        </w:div>
        <w:div w:id="1237857721">
          <w:marLeft w:val="0"/>
          <w:marRight w:val="0"/>
          <w:marTop w:val="0"/>
          <w:marBottom w:val="0"/>
          <w:divBdr>
            <w:top w:val="none" w:sz="0" w:space="0" w:color="auto"/>
            <w:left w:val="none" w:sz="0" w:space="0" w:color="auto"/>
            <w:bottom w:val="none" w:sz="0" w:space="0" w:color="auto"/>
            <w:right w:val="none" w:sz="0" w:space="0" w:color="auto"/>
          </w:divBdr>
          <w:divsChild>
            <w:div w:id="977535338">
              <w:marLeft w:val="0"/>
              <w:marRight w:val="0"/>
              <w:marTop w:val="0"/>
              <w:marBottom w:val="0"/>
              <w:divBdr>
                <w:top w:val="none" w:sz="0" w:space="0" w:color="auto"/>
                <w:left w:val="none" w:sz="0" w:space="0" w:color="auto"/>
                <w:bottom w:val="none" w:sz="0" w:space="0" w:color="auto"/>
                <w:right w:val="none" w:sz="0" w:space="0" w:color="auto"/>
              </w:divBdr>
            </w:div>
          </w:divsChild>
        </w:div>
        <w:div w:id="1243762466">
          <w:marLeft w:val="0"/>
          <w:marRight w:val="0"/>
          <w:marTop w:val="0"/>
          <w:marBottom w:val="0"/>
          <w:divBdr>
            <w:top w:val="none" w:sz="0" w:space="0" w:color="auto"/>
            <w:left w:val="none" w:sz="0" w:space="0" w:color="auto"/>
            <w:bottom w:val="none" w:sz="0" w:space="0" w:color="auto"/>
            <w:right w:val="none" w:sz="0" w:space="0" w:color="auto"/>
          </w:divBdr>
          <w:divsChild>
            <w:div w:id="2033260030">
              <w:marLeft w:val="0"/>
              <w:marRight w:val="0"/>
              <w:marTop w:val="0"/>
              <w:marBottom w:val="0"/>
              <w:divBdr>
                <w:top w:val="none" w:sz="0" w:space="0" w:color="auto"/>
                <w:left w:val="none" w:sz="0" w:space="0" w:color="auto"/>
                <w:bottom w:val="none" w:sz="0" w:space="0" w:color="auto"/>
                <w:right w:val="none" w:sz="0" w:space="0" w:color="auto"/>
              </w:divBdr>
            </w:div>
          </w:divsChild>
        </w:div>
        <w:div w:id="1247422373">
          <w:marLeft w:val="0"/>
          <w:marRight w:val="0"/>
          <w:marTop w:val="0"/>
          <w:marBottom w:val="0"/>
          <w:divBdr>
            <w:top w:val="none" w:sz="0" w:space="0" w:color="auto"/>
            <w:left w:val="none" w:sz="0" w:space="0" w:color="auto"/>
            <w:bottom w:val="none" w:sz="0" w:space="0" w:color="auto"/>
            <w:right w:val="none" w:sz="0" w:space="0" w:color="auto"/>
          </w:divBdr>
          <w:divsChild>
            <w:div w:id="742141500">
              <w:marLeft w:val="0"/>
              <w:marRight w:val="0"/>
              <w:marTop w:val="0"/>
              <w:marBottom w:val="0"/>
              <w:divBdr>
                <w:top w:val="none" w:sz="0" w:space="0" w:color="auto"/>
                <w:left w:val="none" w:sz="0" w:space="0" w:color="auto"/>
                <w:bottom w:val="none" w:sz="0" w:space="0" w:color="auto"/>
                <w:right w:val="none" w:sz="0" w:space="0" w:color="auto"/>
              </w:divBdr>
            </w:div>
          </w:divsChild>
        </w:div>
        <w:div w:id="1251769653">
          <w:marLeft w:val="0"/>
          <w:marRight w:val="0"/>
          <w:marTop w:val="0"/>
          <w:marBottom w:val="0"/>
          <w:divBdr>
            <w:top w:val="none" w:sz="0" w:space="0" w:color="auto"/>
            <w:left w:val="none" w:sz="0" w:space="0" w:color="auto"/>
            <w:bottom w:val="none" w:sz="0" w:space="0" w:color="auto"/>
            <w:right w:val="none" w:sz="0" w:space="0" w:color="auto"/>
          </w:divBdr>
          <w:divsChild>
            <w:div w:id="1607813577">
              <w:marLeft w:val="0"/>
              <w:marRight w:val="0"/>
              <w:marTop w:val="0"/>
              <w:marBottom w:val="0"/>
              <w:divBdr>
                <w:top w:val="none" w:sz="0" w:space="0" w:color="auto"/>
                <w:left w:val="none" w:sz="0" w:space="0" w:color="auto"/>
                <w:bottom w:val="none" w:sz="0" w:space="0" w:color="auto"/>
                <w:right w:val="none" w:sz="0" w:space="0" w:color="auto"/>
              </w:divBdr>
            </w:div>
          </w:divsChild>
        </w:div>
        <w:div w:id="1253315940">
          <w:marLeft w:val="0"/>
          <w:marRight w:val="0"/>
          <w:marTop w:val="0"/>
          <w:marBottom w:val="0"/>
          <w:divBdr>
            <w:top w:val="none" w:sz="0" w:space="0" w:color="auto"/>
            <w:left w:val="none" w:sz="0" w:space="0" w:color="auto"/>
            <w:bottom w:val="none" w:sz="0" w:space="0" w:color="auto"/>
            <w:right w:val="none" w:sz="0" w:space="0" w:color="auto"/>
          </w:divBdr>
          <w:divsChild>
            <w:div w:id="60644520">
              <w:marLeft w:val="0"/>
              <w:marRight w:val="0"/>
              <w:marTop w:val="0"/>
              <w:marBottom w:val="0"/>
              <w:divBdr>
                <w:top w:val="none" w:sz="0" w:space="0" w:color="auto"/>
                <w:left w:val="none" w:sz="0" w:space="0" w:color="auto"/>
                <w:bottom w:val="none" w:sz="0" w:space="0" w:color="auto"/>
                <w:right w:val="none" w:sz="0" w:space="0" w:color="auto"/>
              </w:divBdr>
            </w:div>
          </w:divsChild>
        </w:div>
        <w:div w:id="1254167297">
          <w:marLeft w:val="0"/>
          <w:marRight w:val="0"/>
          <w:marTop w:val="0"/>
          <w:marBottom w:val="0"/>
          <w:divBdr>
            <w:top w:val="none" w:sz="0" w:space="0" w:color="auto"/>
            <w:left w:val="none" w:sz="0" w:space="0" w:color="auto"/>
            <w:bottom w:val="none" w:sz="0" w:space="0" w:color="auto"/>
            <w:right w:val="none" w:sz="0" w:space="0" w:color="auto"/>
          </w:divBdr>
          <w:divsChild>
            <w:div w:id="255209010">
              <w:marLeft w:val="0"/>
              <w:marRight w:val="0"/>
              <w:marTop w:val="0"/>
              <w:marBottom w:val="0"/>
              <w:divBdr>
                <w:top w:val="none" w:sz="0" w:space="0" w:color="auto"/>
                <w:left w:val="none" w:sz="0" w:space="0" w:color="auto"/>
                <w:bottom w:val="none" w:sz="0" w:space="0" w:color="auto"/>
                <w:right w:val="none" w:sz="0" w:space="0" w:color="auto"/>
              </w:divBdr>
            </w:div>
          </w:divsChild>
        </w:div>
        <w:div w:id="1259556983">
          <w:marLeft w:val="0"/>
          <w:marRight w:val="0"/>
          <w:marTop w:val="0"/>
          <w:marBottom w:val="0"/>
          <w:divBdr>
            <w:top w:val="none" w:sz="0" w:space="0" w:color="auto"/>
            <w:left w:val="none" w:sz="0" w:space="0" w:color="auto"/>
            <w:bottom w:val="none" w:sz="0" w:space="0" w:color="auto"/>
            <w:right w:val="none" w:sz="0" w:space="0" w:color="auto"/>
          </w:divBdr>
          <w:divsChild>
            <w:div w:id="1688824735">
              <w:marLeft w:val="0"/>
              <w:marRight w:val="0"/>
              <w:marTop w:val="0"/>
              <w:marBottom w:val="0"/>
              <w:divBdr>
                <w:top w:val="none" w:sz="0" w:space="0" w:color="auto"/>
                <w:left w:val="none" w:sz="0" w:space="0" w:color="auto"/>
                <w:bottom w:val="none" w:sz="0" w:space="0" w:color="auto"/>
                <w:right w:val="none" w:sz="0" w:space="0" w:color="auto"/>
              </w:divBdr>
            </w:div>
          </w:divsChild>
        </w:div>
        <w:div w:id="1265112328">
          <w:marLeft w:val="0"/>
          <w:marRight w:val="0"/>
          <w:marTop w:val="0"/>
          <w:marBottom w:val="0"/>
          <w:divBdr>
            <w:top w:val="none" w:sz="0" w:space="0" w:color="auto"/>
            <w:left w:val="none" w:sz="0" w:space="0" w:color="auto"/>
            <w:bottom w:val="none" w:sz="0" w:space="0" w:color="auto"/>
            <w:right w:val="none" w:sz="0" w:space="0" w:color="auto"/>
          </w:divBdr>
          <w:divsChild>
            <w:div w:id="1160150537">
              <w:marLeft w:val="0"/>
              <w:marRight w:val="0"/>
              <w:marTop w:val="0"/>
              <w:marBottom w:val="0"/>
              <w:divBdr>
                <w:top w:val="none" w:sz="0" w:space="0" w:color="auto"/>
                <w:left w:val="none" w:sz="0" w:space="0" w:color="auto"/>
                <w:bottom w:val="none" w:sz="0" w:space="0" w:color="auto"/>
                <w:right w:val="none" w:sz="0" w:space="0" w:color="auto"/>
              </w:divBdr>
            </w:div>
          </w:divsChild>
        </w:div>
        <w:div w:id="1265532696">
          <w:marLeft w:val="0"/>
          <w:marRight w:val="0"/>
          <w:marTop w:val="0"/>
          <w:marBottom w:val="0"/>
          <w:divBdr>
            <w:top w:val="none" w:sz="0" w:space="0" w:color="auto"/>
            <w:left w:val="none" w:sz="0" w:space="0" w:color="auto"/>
            <w:bottom w:val="none" w:sz="0" w:space="0" w:color="auto"/>
            <w:right w:val="none" w:sz="0" w:space="0" w:color="auto"/>
          </w:divBdr>
          <w:divsChild>
            <w:div w:id="2000768594">
              <w:marLeft w:val="0"/>
              <w:marRight w:val="0"/>
              <w:marTop w:val="0"/>
              <w:marBottom w:val="0"/>
              <w:divBdr>
                <w:top w:val="none" w:sz="0" w:space="0" w:color="auto"/>
                <w:left w:val="none" w:sz="0" w:space="0" w:color="auto"/>
                <w:bottom w:val="none" w:sz="0" w:space="0" w:color="auto"/>
                <w:right w:val="none" w:sz="0" w:space="0" w:color="auto"/>
              </w:divBdr>
            </w:div>
          </w:divsChild>
        </w:div>
        <w:div w:id="1274094274">
          <w:marLeft w:val="0"/>
          <w:marRight w:val="0"/>
          <w:marTop w:val="0"/>
          <w:marBottom w:val="0"/>
          <w:divBdr>
            <w:top w:val="none" w:sz="0" w:space="0" w:color="auto"/>
            <w:left w:val="none" w:sz="0" w:space="0" w:color="auto"/>
            <w:bottom w:val="none" w:sz="0" w:space="0" w:color="auto"/>
            <w:right w:val="none" w:sz="0" w:space="0" w:color="auto"/>
          </w:divBdr>
          <w:divsChild>
            <w:div w:id="199438485">
              <w:marLeft w:val="0"/>
              <w:marRight w:val="0"/>
              <w:marTop w:val="0"/>
              <w:marBottom w:val="0"/>
              <w:divBdr>
                <w:top w:val="none" w:sz="0" w:space="0" w:color="auto"/>
                <w:left w:val="none" w:sz="0" w:space="0" w:color="auto"/>
                <w:bottom w:val="none" w:sz="0" w:space="0" w:color="auto"/>
                <w:right w:val="none" w:sz="0" w:space="0" w:color="auto"/>
              </w:divBdr>
            </w:div>
          </w:divsChild>
        </w:div>
        <w:div w:id="1280338822">
          <w:marLeft w:val="0"/>
          <w:marRight w:val="0"/>
          <w:marTop w:val="0"/>
          <w:marBottom w:val="0"/>
          <w:divBdr>
            <w:top w:val="none" w:sz="0" w:space="0" w:color="auto"/>
            <w:left w:val="none" w:sz="0" w:space="0" w:color="auto"/>
            <w:bottom w:val="none" w:sz="0" w:space="0" w:color="auto"/>
            <w:right w:val="none" w:sz="0" w:space="0" w:color="auto"/>
          </w:divBdr>
          <w:divsChild>
            <w:div w:id="1500847104">
              <w:marLeft w:val="0"/>
              <w:marRight w:val="0"/>
              <w:marTop w:val="0"/>
              <w:marBottom w:val="0"/>
              <w:divBdr>
                <w:top w:val="none" w:sz="0" w:space="0" w:color="auto"/>
                <w:left w:val="none" w:sz="0" w:space="0" w:color="auto"/>
                <w:bottom w:val="none" w:sz="0" w:space="0" w:color="auto"/>
                <w:right w:val="none" w:sz="0" w:space="0" w:color="auto"/>
              </w:divBdr>
            </w:div>
          </w:divsChild>
        </w:div>
        <w:div w:id="1280723647">
          <w:marLeft w:val="0"/>
          <w:marRight w:val="0"/>
          <w:marTop w:val="0"/>
          <w:marBottom w:val="0"/>
          <w:divBdr>
            <w:top w:val="none" w:sz="0" w:space="0" w:color="auto"/>
            <w:left w:val="none" w:sz="0" w:space="0" w:color="auto"/>
            <w:bottom w:val="none" w:sz="0" w:space="0" w:color="auto"/>
            <w:right w:val="none" w:sz="0" w:space="0" w:color="auto"/>
          </w:divBdr>
          <w:divsChild>
            <w:div w:id="1440678931">
              <w:marLeft w:val="0"/>
              <w:marRight w:val="0"/>
              <w:marTop w:val="0"/>
              <w:marBottom w:val="0"/>
              <w:divBdr>
                <w:top w:val="none" w:sz="0" w:space="0" w:color="auto"/>
                <w:left w:val="none" w:sz="0" w:space="0" w:color="auto"/>
                <w:bottom w:val="none" w:sz="0" w:space="0" w:color="auto"/>
                <w:right w:val="none" w:sz="0" w:space="0" w:color="auto"/>
              </w:divBdr>
            </w:div>
          </w:divsChild>
        </w:div>
        <w:div w:id="1283003210">
          <w:marLeft w:val="0"/>
          <w:marRight w:val="0"/>
          <w:marTop w:val="0"/>
          <w:marBottom w:val="0"/>
          <w:divBdr>
            <w:top w:val="none" w:sz="0" w:space="0" w:color="auto"/>
            <w:left w:val="none" w:sz="0" w:space="0" w:color="auto"/>
            <w:bottom w:val="none" w:sz="0" w:space="0" w:color="auto"/>
            <w:right w:val="none" w:sz="0" w:space="0" w:color="auto"/>
          </w:divBdr>
          <w:divsChild>
            <w:div w:id="1480462703">
              <w:marLeft w:val="0"/>
              <w:marRight w:val="0"/>
              <w:marTop w:val="0"/>
              <w:marBottom w:val="0"/>
              <w:divBdr>
                <w:top w:val="none" w:sz="0" w:space="0" w:color="auto"/>
                <w:left w:val="none" w:sz="0" w:space="0" w:color="auto"/>
                <w:bottom w:val="none" w:sz="0" w:space="0" w:color="auto"/>
                <w:right w:val="none" w:sz="0" w:space="0" w:color="auto"/>
              </w:divBdr>
            </w:div>
          </w:divsChild>
        </w:div>
        <w:div w:id="1284118632">
          <w:marLeft w:val="0"/>
          <w:marRight w:val="0"/>
          <w:marTop w:val="0"/>
          <w:marBottom w:val="0"/>
          <w:divBdr>
            <w:top w:val="none" w:sz="0" w:space="0" w:color="auto"/>
            <w:left w:val="none" w:sz="0" w:space="0" w:color="auto"/>
            <w:bottom w:val="none" w:sz="0" w:space="0" w:color="auto"/>
            <w:right w:val="none" w:sz="0" w:space="0" w:color="auto"/>
          </w:divBdr>
          <w:divsChild>
            <w:div w:id="803473284">
              <w:marLeft w:val="0"/>
              <w:marRight w:val="0"/>
              <w:marTop w:val="0"/>
              <w:marBottom w:val="0"/>
              <w:divBdr>
                <w:top w:val="none" w:sz="0" w:space="0" w:color="auto"/>
                <w:left w:val="none" w:sz="0" w:space="0" w:color="auto"/>
                <w:bottom w:val="none" w:sz="0" w:space="0" w:color="auto"/>
                <w:right w:val="none" w:sz="0" w:space="0" w:color="auto"/>
              </w:divBdr>
            </w:div>
          </w:divsChild>
        </w:div>
        <w:div w:id="1284195352">
          <w:marLeft w:val="0"/>
          <w:marRight w:val="0"/>
          <w:marTop w:val="0"/>
          <w:marBottom w:val="0"/>
          <w:divBdr>
            <w:top w:val="none" w:sz="0" w:space="0" w:color="auto"/>
            <w:left w:val="none" w:sz="0" w:space="0" w:color="auto"/>
            <w:bottom w:val="none" w:sz="0" w:space="0" w:color="auto"/>
            <w:right w:val="none" w:sz="0" w:space="0" w:color="auto"/>
          </w:divBdr>
          <w:divsChild>
            <w:div w:id="1615399118">
              <w:marLeft w:val="0"/>
              <w:marRight w:val="0"/>
              <w:marTop w:val="0"/>
              <w:marBottom w:val="0"/>
              <w:divBdr>
                <w:top w:val="none" w:sz="0" w:space="0" w:color="auto"/>
                <w:left w:val="none" w:sz="0" w:space="0" w:color="auto"/>
                <w:bottom w:val="none" w:sz="0" w:space="0" w:color="auto"/>
                <w:right w:val="none" w:sz="0" w:space="0" w:color="auto"/>
              </w:divBdr>
            </w:div>
          </w:divsChild>
        </w:div>
        <w:div w:id="1286085271">
          <w:marLeft w:val="0"/>
          <w:marRight w:val="0"/>
          <w:marTop w:val="0"/>
          <w:marBottom w:val="0"/>
          <w:divBdr>
            <w:top w:val="none" w:sz="0" w:space="0" w:color="auto"/>
            <w:left w:val="none" w:sz="0" w:space="0" w:color="auto"/>
            <w:bottom w:val="none" w:sz="0" w:space="0" w:color="auto"/>
            <w:right w:val="none" w:sz="0" w:space="0" w:color="auto"/>
          </w:divBdr>
          <w:divsChild>
            <w:div w:id="1574658293">
              <w:marLeft w:val="0"/>
              <w:marRight w:val="0"/>
              <w:marTop w:val="0"/>
              <w:marBottom w:val="0"/>
              <w:divBdr>
                <w:top w:val="none" w:sz="0" w:space="0" w:color="auto"/>
                <w:left w:val="none" w:sz="0" w:space="0" w:color="auto"/>
                <w:bottom w:val="none" w:sz="0" w:space="0" w:color="auto"/>
                <w:right w:val="none" w:sz="0" w:space="0" w:color="auto"/>
              </w:divBdr>
            </w:div>
          </w:divsChild>
        </w:div>
        <w:div w:id="1290479050">
          <w:marLeft w:val="0"/>
          <w:marRight w:val="0"/>
          <w:marTop w:val="0"/>
          <w:marBottom w:val="0"/>
          <w:divBdr>
            <w:top w:val="none" w:sz="0" w:space="0" w:color="auto"/>
            <w:left w:val="none" w:sz="0" w:space="0" w:color="auto"/>
            <w:bottom w:val="none" w:sz="0" w:space="0" w:color="auto"/>
            <w:right w:val="none" w:sz="0" w:space="0" w:color="auto"/>
          </w:divBdr>
          <w:divsChild>
            <w:div w:id="468130770">
              <w:marLeft w:val="0"/>
              <w:marRight w:val="0"/>
              <w:marTop w:val="0"/>
              <w:marBottom w:val="0"/>
              <w:divBdr>
                <w:top w:val="none" w:sz="0" w:space="0" w:color="auto"/>
                <w:left w:val="none" w:sz="0" w:space="0" w:color="auto"/>
                <w:bottom w:val="none" w:sz="0" w:space="0" w:color="auto"/>
                <w:right w:val="none" w:sz="0" w:space="0" w:color="auto"/>
              </w:divBdr>
            </w:div>
          </w:divsChild>
        </w:div>
        <w:div w:id="1293904782">
          <w:marLeft w:val="0"/>
          <w:marRight w:val="0"/>
          <w:marTop w:val="0"/>
          <w:marBottom w:val="0"/>
          <w:divBdr>
            <w:top w:val="none" w:sz="0" w:space="0" w:color="auto"/>
            <w:left w:val="none" w:sz="0" w:space="0" w:color="auto"/>
            <w:bottom w:val="none" w:sz="0" w:space="0" w:color="auto"/>
            <w:right w:val="none" w:sz="0" w:space="0" w:color="auto"/>
          </w:divBdr>
          <w:divsChild>
            <w:div w:id="27415980">
              <w:marLeft w:val="0"/>
              <w:marRight w:val="0"/>
              <w:marTop w:val="0"/>
              <w:marBottom w:val="0"/>
              <w:divBdr>
                <w:top w:val="none" w:sz="0" w:space="0" w:color="auto"/>
                <w:left w:val="none" w:sz="0" w:space="0" w:color="auto"/>
                <w:bottom w:val="none" w:sz="0" w:space="0" w:color="auto"/>
                <w:right w:val="none" w:sz="0" w:space="0" w:color="auto"/>
              </w:divBdr>
            </w:div>
          </w:divsChild>
        </w:div>
        <w:div w:id="1301769988">
          <w:marLeft w:val="0"/>
          <w:marRight w:val="0"/>
          <w:marTop w:val="0"/>
          <w:marBottom w:val="0"/>
          <w:divBdr>
            <w:top w:val="none" w:sz="0" w:space="0" w:color="auto"/>
            <w:left w:val="none" w:sz="0" w:space="0" w:color="auto"/>
            <w:bottom w:val="none" w:sz="0" w:space="0" w:color="auto"/>
            <w:right w:val="none" w:sz="0" w:space="0" w:color="auto"/>
          </w:divBdr>
          <w:divsChild>
            <w:div w:id="768430338">
              <w:marLeft w:val="0"/>
              <w:marRight w:val="0"/>
              <w:marTop w:val="0"/>
              <w:marBottom w:val="0"/>
              <w:divBdr>
                <w:top w:val="none" w:sz="0" w:space="0" w:color="auto"/>
                <w:left w:val="none" w:sz="0" w:space="0" w:color="auto"/>
                <w:bottom w:val="none" w:sz="0" w:space="0" w:color="auto"/>
                <w:right w:val="none" w:sz="0" w:space="0" w:color="auto"/>
              </w:divBdr>
            </w:div>
          </w:divsChild>
        </w:div>
        <w:div w:id="1301885543">
          <w:marLeft w:val="0"/>
          <w:marRight w:val="0"/>
          <w:marTop w:val="0"/>
          <w:marBottom w:val="0"/>
          <w:divBdr>
            <w:top w:val="none" w:sz="0" w:space="0" w:color="auto"/>
            <w:left w:val="none" w:sz="0" w:space="0" w:color="auto"/>
            <w:bottom w:val="none" w:sz="0" w:space="0" w:color="auto"/>
            <w:right w:val="none" w:sz="0" w:space="0" w:color="auto"/>
          </w:divBdr>
          <w:divsChild>
            <w:div w:id="1658218068">
              <w:marLeft w:val="0"/>
              <w:marRight w:val="0"/>
              <w:marTop w:val="0"/>
              <w:marBottom w:val="0"/>
              <w:divBdr>
                <w:top w:val="none" w:sz="0" w:space="0" w:color="auto"/>
                <w:left w:val="none" w:sz="0" w:space="0" w:color="auto"/>
                <w:bottom w:val="none" w:sz="0" w:space="0" w:color="auto"/>
                <w:right w:val="none" w:sz="0" w:space="0" w:color="auto"/>
              </w:divBdr>
            </w:div>
          </w:divsChild>
        </w:div>
        <w:div w:id="1303584066">
          <w:marLeft w:val="0"/>
          <w:marRight w:val="0"/>
          <w:marTop w:val="0"/>
          <w:marBottom w:val="0"/>
          <w:divBdr>
            <w:top w:val="none" w:sz="0" w:space="0" w:color="auto"/>
            <w:left w:val="none" w:sz="0" w:space="0" w:color="auto"/>
            <w:bottom w:val="none" w:sz="0" w:space="0" w:color="auto"/>
            <w:right w:val="none" w:sz="0" w:space="0" w:color="auto"/>
          </w:divBdr>
          <w:divsChild>
            <w:div w:id="1327050647">
              <w:marLeft w:val="0"/>
              <w:marRight w:val="0"/>
              <w:marTop w:val="0"/>
              <w:marBottom w:val="0"/>
              <w:divBdr>
                <w:top w:val="none" w:sz="0" w:space="0" w:color="auto"/>
                <w:left w:val="none" w:sz="0" w:space="0" w:color="auto"/>
                <w:bottom w:val="none" w:sz="0" w:space="0" w:color="auto"/>
                <w:right w:val="none" w:sz="0" w:space="0" w:color="auto"/>
              </w:divBdr>
            </w:div>
          </w:divsChild>
        </w:div>
        <w:div w:id="1308171897">
          <w:marLeft w:val="0"/>
          <w:marRight w:val="0"/>
          <w:marTop w:val="0"/>
          <w:marBottom w:val="0"/>
          <w:divBdr>
            <w:top w:val="none" w:sz="0" w:space="0" w:color="auto"/>
            <w:left w:val="none" w:sz="0" w:space="0" w:color="auto"/>
            <w:bottom w:val="none" w:sz="0" w:space="0" w:color="auto"/>
            <w:right w:val="none" w:sz="0" w:space="0" w:color="auto"/>
          </w:divBdr>
          <w:divsChild>
            <w:div w:id="86848771">
              <w:marLeft w:val="0"/>
              <w:marRight w:val="0"/>
              <w:marTop w:val="0"/>
              <w:marBottom w:val="0"/>
              <w:divBdr>
                <w:top w:val="none" w:sz="0" w:space="0" w:color="auto"/>
                <w:left w:val="none" w:sz="0" w:space="0" w:color="auto"/>
                <w:bottom w:val="none" w:sz="0" w:space="0" w:color="auto"/>
                <w:right w:val="none" w:sz="0" w:space="0" w:color="auto"/>
              </w:divBdr>
            </w:div>
          </w:divsChild>
        </w:div>
        <w:div w:id="1309243167">
          <w:marLeft w:val="0"/>
          <w:marRight w:val="0"/>
          <w:marTop w:val="0"/>
          <w:marBottom w:val="0"/>
          <w:divBdr>
            <w:top w:val="none" w:sz="0" w:space="0" w:color="auto"/>
            <w:left w:val="none" w:sz="0" w:space="0" w:color="auto"/>
            <w:bottom w:val="none" w:sz="0" w:space="0" w:color="auto"/>
            <w:right w:val="none" w:sz="0" w:space="0" w:color="auto"/>
          </w:divBdr>
          <w:divsChild>
            <w:div w:id="39669090">
              <w:marLeft w:val="0"/>
              <w:marRight w:val="0"/>
              <w:marTop w:val="0"/>
              <w:marBottom w:val="0"/>
              <w:divBdr>
                <w:top w:val="none" w:sz="0" w:space="0" w:color="auto"/>
                <w:left w:val="none" w:sz="0" w:space="0" w:color="auto"/>
                <w:bottom w:val="none" w:sz="0" w:space="0" w:color="auto"/>
                <w:right w:val="none" w:sz="0" w:space="0" w:color="auto"/>
              </w:divBdr>
            </w:div>
          </w:divsChild>
        </w:div>
        <w:div w:id="1313412563">
          <w:marLeft w:val="0"/>
          <w:marRight w:val="0"/>
          <w:marTop w:val="0"/>
          <w:marBottom w:val="0"/>
          <w:divBdr>
            <w:top w:val="none" w:sz="0" w:space="0" w:color="auto"/>
            <w:left w:val="none" w:sz="0" w:space="0" w:color="auto"/>
            <w:bottom w:val="none" w:sz="0" w:space="0" w:color="auto"/>
            <w:right w:val="none" w:sz="0" w:space="0" w:color="auto"/>
          </w:divBdr>
          <w:divsChild>
            <w:div w:id="2017032830">
              <w:marLeft w:val="0"/>
              <w:marRight w:val="0"/>
              <w:marTop w:val="0"/>
              <w:marBottom w:val="0"/>
              <w:divBdr>
                <w:top w:val="none" w:sz="0" w:space="0" w:color="auto"/>
                <w:left w:val="none" w:sz="0" w:space="0" w:color="auto"/>
                <w:bottom w:val="none" w:sz="0" w:space="0" w:color="auto"/>
                <w:right w:val="none" w:sz="0" w:space="0" w:color="auto"/>
              </w:divBdr>
            </w:div>
          </w:divsChild>
        </w:div>
        <w:div w:id="1315521762">
          <w:marLeft w:val="0"/>
          <w:marRight w:val="0"/>
          <w:marTop w:val="0"/>
          <w:marBottom w:val="0"/>
          <w:divBdr>
            <w:top w:val="none" w:sz="0" w:space="0" w:color="auto"/>
            <w:left w:val="none" w:sz="0" w:space="0" w:color="auto"/>
            <w:bottom w:val="none" w:sz="0" w:space="0" w:color="auto"/>
            <w:right w:val="none" w:sz="0" w:space="0" w:color="auto"/>
          </w:divBdr>
          <w:divsChild>
            <w:div w:id="1816601081">
              <w:marLeft w:val="0"/>
              <w:marRight w:val="0"/>
              <w:marTop w:val="0"/>
              <w:marBottom w:val="0"/>
              <w:divBdr>
                <w:top w:val="none" w:sz="0" w:space="0" w:color="auto"/>
                <w:left w:val="none" w:sz="0" w:space="0" w:color="auto"/>
                <w:bottom w:val="none" w:sz="0" w:space="0" w:color="auto"/>
                <w:right w:val="none" w:sz="0" w:space="0" w:color="auto"/>
              </w:divBdr>
            </w:div>
          </w:divsChild>
        </w:div>
        <w:div w:id="1317757412">
          <w:marLeft w:val="0"/>
          <w:marRight w:val="0"/>
          <w:marTop w:val="0"/>
          <w:marBottom w:val="0"/>
          <w:divBdr>
            <w:top w:val="none" w:sz="0" w:space="0" w:color="auto"/>
            <w:left w:val="none" w:sz="0" w:space="0" w:color="auto"/>
            <w:bottom w:val="none" w:sz="0" w:space="0" w:color="auto"/>
            <w:right w:val="none" w:sz="0" w:space="0" w:color="auto"/>
          </w:divBdr>
          <w:divsChild>
            <w:div w:id="269822464">
              <w:marLeft w:val="0"/>
              <w:marRight w:val="0"/>
              <w:marTop w:val="0"/>
              <w:marBottom w:val="0"/>
              <w:divBdr>
                <w:top w:val="none" w:sz="0" w:space="0" w:color="auto"/>
                <w:left w:val="none" w:sz="0" w:space="0" w:color="auto"/>
                <w:bottom w:val="none" w:sz="0" w:space="0" w:color="auto"/>
                <w:right w:val="none" w:sz="0" w:space="0" w:color="auto"/>
              </w:divBdr>
            </w:div>
          </w:divsChild>
        </w:div>
        <w:div w:id="1329359027">
          <w:marLeft w:val="0"/>
          <w:marRight w:val="0"/>
          <w:marTop w:val="0"/>
          <w:marBottom w:val="0"/>
          <w:divBdr>
            <w:top w:val="none" w:sz="0" w:space="0" w:color="auto"/>
            <w:left w:val="none" w:sz="0" w:space="0" w:color="auto"/>
            <w:bottom w:val="none" w:sz="0" w:space="0" w:color="auto"/>
            <w:right w:val="none" w:sz="0" w:space="0" w:color="auto"/>
          </w:divBdr>
          <w:divsChild>
            <w:div w:id="1358235127">
              <w:marLeft w:val="0"/>
              <w:marRight w:val="0"/>
              <w:marTop w:val="0"/>
              <w:marBottom w:val="0"/>
              <w:divBdr>
                <w:top w:val="none" w:sz="0" w:space="0" w:color="auto"/>
                <w:left w:val="none" w:sz="0" w:space="0" w:color="auto"/>
                <w:bottom w:val="none" w:sz="0" w:space="0" w:color="auto"/>
                <w:right w:val="none" w:sz="0" w:space="0" w:color="auto"/>
              </w:divBdr>
            </w:div>
          </w:divsChild>
        </w:div>
        <w:div w:id="1337489768">
          <w:marLeft w:val="0"/>
          <w:marRight w:val="0"/>
          <w:marTop w:val="0"/>
          <w:marBottom w:val="0"/>
          <w:divBdr>
            <w:top w:val="none" w:sz="0" w:space="0" w:color="auto"/>
            <w:left w:val="none" w:sz="0" w:space="0" w:color="auto"/>
            <w:bottom w:val="none" w:sz="0" w:space="0" w:color="auto"/>
            <w:right w:val="none" w:sz="0" w:space="0" w:color="auto"/>
          </w:divBdr>
          <w:divsChild>
            <w:div w:id="2101830582">
              <w:marLeft w:val="0"/>
              <w:marRight w:val="0"/>
              <w:marTop w:val="0"/>
              <w:marBottom w:val="0"/>
              <w:divBdr>
                <w:top w:val="none" w:sz="0" w:space="0" w:color="auto"/>
                <w:left w:val="none" w:sz="0" w:space="0" w:color="auto"/>
                <w:bottom w:val="none" w:sz="0" w:space="0" w:color="auto"/>
                <w:right w:val="none" w:sz="0" w:space="0" w:color="auto"/>
              </w:divBdr>
            </w:div>
          </w:divsChild>
        </w:div>
        <w:div w:id="1337615895">
          <w:marLeft w:val="0"/>
          <w:marRight w:val="0"/>
          <w:marTop w:val="0"/>
          <w:marBottom w:val="0"/>
          <w:divBdr>
            <w:top w:val="none" w:sz="0" w:space="0" w:color="auto"/>
            <w:left w:val="none" w:sz="0" w:space="0" w:color="auto"/>
            <w:bottom w:val="none" w:sz="0" w:space="0" w:color="auto"/>
            <w:right w:val="none" w:sz="0" w:space="0" w:color="auto"/>
          </w:divBdr>
          <w:divsChild>
            <w:div w:id="603653109">
              <w:marLeft w:val="0"/>
              <w:marRight w:val="0"/>
              <w:marTop w:val="0"/>
              <w:marBottom w:val="0"/>
              <w:divBdr>
                <w:top w:val="none" w:sz="0" w:space="0" w:color="auto"/>
                <w:left w:val="none" w:sz="0" w:space="0" w:color="auto"/>
                <w:bottom w:val="none" w:sz="0" w:space="0" w:color="auto"/>
                <w:right w:val="none" w:sz="0" w:space="0" w:color="auto"/>
              </w:divBdr>
            </w:div>
          </w:divsChild>
        </w:div>
        <w:div w:id="1338577655">
          <w:marLeft w:val="0"/>
          <w:marRight w:val="0"/>
          <w:marTop w:val="0"/>
          <w:marBottom w:val="0"/>
          <w:divBdr>
            <w:top w:val="none" w:sz="0" w:space="0" w:color="auto"/>
            <w:left w:val="none" w:sz="0" w:space="0" w:color="auto"/>
            <w:bottom w:val="none" w:sz="0" w:space="0" w:color="auto"/>
            <w:right w:val="none" w:sz="0" w:space="0" w:color="auto"/>
          </w:divBdr>
          <w:divsChild>
            <w:div w:id="47261991">
              <w:marLeft w:val="0"/>
              <w:marRight w:val="0"/>
              <w:marTop w:val="0"/>
              <w:marBottom w:val="0"/>
              <w:divBdr>
                <w:top w:val="none" w:sz="0" w:space="0" w:color="auto"/>
                <w:left w:val="none" w:sz="0" w:space="0" w:color="auto"/>
                <w:bottom w:val="none" w:sz="0" w:space="0" w:color="auto"/>
                <w:right w:val="none" w:sz="0" w:space="0" w:color="auto"/>
              </w:divBdr>
            </w:div>
          </w:divsChild>
        </w:div>
        <w:div w:id="1349528012">
          <w:marLeft w:val="0"/>
          <w:marRight w:val="0"/>
          <w:marTop w:val="0"/>
          <w:marBottom w:val="0"/>
          <w:divBdr>
            <w:top w:val="none" w:sz="0" w:space="0" w:color="auto"/>
            <w:left w:val="none" w:sz="0" w:space="0" w:color="auto"/>
            <w:bottom w:val="none" w:sz="0" w:space="0" w:color="auto"/>
            <w:right w:val="none" w:sz="0" w:space="0" w:color="auto"/>
          </w:divBdr>
          <w:divsChild>
            <w:div w:id="1561094720">
              <w:marLeft w:val="0"/>
              <w:marRight w:val="0"/>
              <w:marTop w:val="0"/>
              <w:marBottom w:val="0"/>
              <w:divBdr>
                <w:top w:val="none" w:sz="0" w:space="0" w:color="auto"/>
                <w:left w:val="none" w:sz="0" w:space="0" w:color="auto"/>
                <w:bottom w:val="none" w:sz="0" w:space="0" w:color="auto"/>
                <w:right w:val="none" w:sz="0" w:space="0" w:color="auto"/>
              </w:divBdr>
            </w:div>
          </w:divsChild>
        </w:div>
        <w:div w:id="1351222265">
          <w:marLeft w:val="0"/>
          <w:marRight w:val="0"/>
          <w:marTop w:val="0"/>
          <w:marBottom w:val="0"/>
          <w:divBdr>
            <w:top w:val="none" w:sz="0" w:space="0" w:color="auto"/>
            <w:left w:val="none" w:sz="0" w:space="0" w:color="auto"/>
            <w:bottom w:val="none" w:sz="0" w:space="0" w:color="auto"/>
            <w:right w:val="none" w:sz="0" w:space="0" w:color="auto"/>
          </w:divBdr>
          <w:divsChild>
            <w:div w:id="1412972791">
              <w:marLeft w:val="0"/>
              <w:marRight w:val="0"/>
              <w:marTop w:val="0"/>
              <w:marBottom w:val="0"/>
              <w:divBdr>
                <w:top w:val="none" w:sz="0" w:space="0" w:color="auto"/>
                <w:left w:val="none" w:sz="0" w:space="0" w:color="auto"/>
                <w:bottom w:val="none" w:sz="0" w:space="0" w:color="auto"/>
                <w:right w:val="none" w:sz="0" w:space="0" w:color="auto"/>
              </w:divBdr>
            </w:div>
          </w:divsChild>
        </w:div>
        <w:div w:id="1351489425">
          <w:marLeft w:val="0"/>
          <w:marRight w:val="0"/>
          <w:marTop w:val="0"/>
          <w:marBottom w:val="0"/>
          <w:divBdr>
            <w:top w:val="none" w:sz="0" w:space="0" w:color="auto"/>
            <w:left w:val="none" w:sz="0" w:space="0" w:color="auto"/>
            <w:bottom w:val="none" w:sz="0" w:space="0" w:color="auto"/>
            <w:right w:val="none" w:sz="0" w:space="0" w:color="auto"/>
          </w:divBdr>
          <w:divsChild>
            <w:div w:id="1839734341">
              <w:marLeft w:val="0"/>
              <w:marRight w:val="0"/>
              <w:marTop w:val="0"/>
              <w:marBottom w:val="0"/>
              <w:divBdr>
                <w:top w:val="none" w:sz="0" w:space="0" w:color="auto"/>
                <w:left w:val="none" w:sz="0" w:space="0" w:color="auto"/>
                <w:bottom w:val="none" w:sz="0" w:space="0" w:color="auto"/>
                <w:right w:val="none" w:sz="0" w:space="0" w:color="auto"/>
              </w:divBdr>
            </w:div>
          </w:divsChild>
        </w:div>
        <w:div w:id="1352759049">
          <w:marLeft w:val="0"/>
          <w:marRight w:val="0"/>
          <w:marTop w:val="0"/>
          <w:marBottom w:val="0"/>
          <w:divBdr>
            <w:top w:val="none" w:sz="0" w:space="0" w:color="auto"/>
            <w:left w:val="none" w:sz="0" w:space="0" w:color="auto"/>
            <w:bottom w:val="none" w:sz="0" w:space="0" w:color="auto"/>
            <w:right w:val="none" w:sz="0" w:space="0" w:color="auto"/>
          </w:divBdr>
          <w:divsChild>
            <w:div w:id="920523179">
              <w:marLeft w:val="0"/>
              <w:marRight w:val="0"/>
              <w:marTop w:val="0"/>
              <w:marBottom w:val="0"/>
              <w:divBdr>
                <w:top w:val="none" w:sz="0" w:space="0" w:color="auto"/>
                <w:left w:val="none" w:sz="0" w:space="0" w:color="auto"/>
                <w:bottom w:val="none" w:sz="0" w:space="0" w:color="auto"/>
                <w:right w:val="none" w:sz="0" w:space="0" w:color="auto"/>
              </w:divBdr>
            </w:div>
          </w:divsChild>
        </w:div>
        <w:div w:id="1353796795">
          <w:marLeft w:val="0"/>
          <w:marRight w:val="0"/>
          <w:marTop w:val="0"/>
          <w:marBottom w:val="0"/>
          <w:divBdr>
            <w:top w:val="none" w:sz="0" w:space="0" w:color="auto"/>
            <w:left w:val="none" w:sz="0" w:space="0" w:color="auto"/>
            <w:bottom w:val="none" w:sz="0" w:space="0" w:color="auto"/>
            <w:right w:val="none" w:sz="0" w:space="0" w:color="auto"/>
          </w:divBdr>
          <w:divsChild>
            <w:div w:id="570426394">
              <w:marLeft w:val="0"/>
              <w:marRight w:val="0"/>
              <w:marTop w:val="0"/>
              <w:marBottom w:val="0"/>
              <w:divBdr>
                <w:top w:val="none" w:sz="0" w:space="0" w:color="auto"/>
                <w:left w:val="none" w:sz="0" w:space="0" w:color="auto"/>
                <w:bottom w:val="none" w:sz="0" w:space="0" w:color="auto"/>
                <w:right w:val="none" w:sz="0" w:space="0" w:color="auto"/>
              </w:divBdr>
            </w:div>
          </w:divsChild>
        </w:div>
        <w:div w:id="1354265791">
          <w:marLeft w:val="0"/>
          <w:marRight w:val="0"/>
          <w:marTop w:val="0"/>
          <w:marBottom w:val="0"/>
          <w:divBdr>
            <w:top w:val="none" w:sz="0" w:space="0" w:color="auto"/>
            <w:left w:val="none" w:sz="0" w:space="0" w:color="auto"/>
            <w:bottom w:val="none" w:sz="0" w:space="0" w:color="auto"/>
            <w:right w:val="none" w:sz="0" w:space="0" w:color="auto"/>
          </w:divBdr>
          <w:divsChild>
            <w:div w:id="78253299">
              <w:marLeft w:val="0"/>
              <w:marRight w:val="0"/>
              <w:marTop w:val="0"/>
              <w:marBottom w:val="0"/>
              <w:divBdr>
                <w:top w:val="none" w:sz="0" w:space="0" w:color="auto"/>
                <w:left w:val="none" w:sz="0" w:space="0" w:color="auto"/>
                <w:bottom w:val="none" w:sz="0" w:space="0" w:color="auto"/>
                <w:right w:val="none" w:sz="0" w:space="0" w:color="auto"/>
              </w:divBdr>
            </w:div>
          </w:divsChild>
        </w:div>
        <w:div w:id="1357542159">
          <w:marLeft w:val="0"/>
          <w:marRight w:val="0"/>
          <w:marTop w:val="0"/>
          <w:marBottom w:val="0"/>
          <w:divBdr>
            <w:top w:val="none" w:sz="0" w:space="0" w:color="auto"/>
            <w:left w:val="none" w:sz="0" w:space="0" w:color="auto"/>
            <w:bottom w:val="none" w:sz="0" w:space="0" w:color="auto"/>
            <w:right w:val="none" w:sz="0" w:space="0" w:color="auto"/>
          </w:divBdr>
          <w:divsChild>
            <w:div w:id="1179352372">
              <w:marLeft w:val="0"/>
              <w:marRight w:val="0"/>
              <w:marTop w:val="0"/>
              <w:marBottom w:val="0"/>
              <w:divBdr>
                <w:top w:val="none" w:sz="0" w:space="0" w:color="auto"/>
                <w:left w:val="none" w:sz="0" w:space="0" w:color="auto"/>
                <w:bottom w:val="none" w:sz="0" w:space="0" w:color="auto"/>
                <w:right w:val="none" w:sz="0" w:space="0" w:color="auto"/>
              </w:divBdr>
            </w:div>
          </w:divsChild>
        </w:div>
        <w:div w:id="1358652515">
          <w:marLeft w:val="0"/>
          <w:marRight w:val="0"/>
          <w:marTop w:val="0"/>
          <w:marBottom w:val="0"/>
          <w:divBdr>
            <w:top w:val="none" w:sz="0" w:space="0" w:color="auto"/>
            <w:left w:val="none" w:sz="0" w:space="0" w:color="auto"/>
            <w:bottom w:val="none" w:sz="0" w:space="0" w:color="auto"/>
            <w:right w:val="none" w:sz="0" w:space="0" w:color="auto"/>
          </w:divBdr>
          <w:divsChild>
            <w:div w:id="1596939479">
              <w:marLeft w:val="0"/>
              <w:marRight w:val="0"/>
              <w:marTop w:val="0"/>
              <w:marBottom w:val="0"/>
              <w:divBdr>
                <w:top w:val="none" w:sz="0" w:space="0" w:color="auto"/>
                <w:left w:val="none" w:sz="0" w:space="0" w:color="auto"/>
                <w:bottom w:val="none" w:sz="0" w:space="0" w:color="auto"/>
                <w:right w:val="none" w:sz="0" w:space="0" w:color="auto"/>
              </w:divBdr>
            </w:div>
            <w:div w:id="2043628889">
              <w:marLeft w:val="0"/>
              <w:marRight w:val="0"/>
              <w:marTop w:val="0"/>
              <w:marBottom w:val="0"/>
              <w:divBdr>
                <w:top w:val="none" w:sz="0" w:space="0" w:color="auto"/>
                <w:left w:val="none" w:sz="0" w:space="0" w:color="auto"/>
                <w:bottom w:val="none" w:sz="0" w:space="0" w:color="auto"/>
                <w:right w:val="none" w:sz="0" w:space="0" w:color="auto"/>
              </w:divBdr>
            </w:div>
          </w:divsChild>
        </w:div>
        <w:div w:id="1359890546">
          <w:marLeft w:val="0"/>
          <w:marRight w:val="0"/>
          <w:marTop w:val="0"/>
          <w:marBottom w:val="0"/>
          <w:divBdr>
            <w:top w:val="none" w:sz="0" w:space="0" w:color="auto"/>
            <w:left w:val="none" w:sz="0" w:space="0" w:color="auto"/>
            <w:bottom w:val="none" w:sz="0" w:space="0" w:color="auto"/>
            <w:right w:val="none" w:sz="0" w:space="0" w:color="auto"/>
          </w:divBdr>
          <w:divsChild>
            <w:div w:id="249698735">
              <w:marLeft w:val="0"/>
              <w:marRight w:val="0"/>
              <w:marTop w:val="0"/>
              <w:marBottom w:val="0"/>
              <w:divBdr>
                <w:top w:val="none" w:sz="0" w:space="0" w:color="auto"/>
                <w:left w:val="none" w:sz="0" w:space="0" w:color="auto"/>
                <w:bottom w:val="none" w:sz="0" w:space="0" w:color="auto"/>
                <w:right w:val="none" w:sz="0" w:space="0" w:color="auto"/>
              </w:divBdr>
            </w:div>
          </w:divsChild>
        </w:div>
        <w:div w:id="1361124191">
          <w:marLeft w:val="0"/>
          <w:marRight w:val="0"/>
          <w:marTop w:val="0"/>
          <w:marBottom w:val="0"/>
          <w:divBdr>
            <w:top w:val="none" w:sz="0" w:space="0" w:color="auto"/>
            <w:left w:val="none" w:sz="0" w:space="0" w:color="auto"/>
            <w:bottom w:val="none" w:sz="0" w:space="0" w:color="auto"/>
            <w:right w:val="none" w:sz="0" w:space="0" w:color="auto"/>
          </w:divBdr>
          <w:divsChild>
            <w:div w:id="1289093195">
              <w:marLeft w:val="0"/>
              <w:marRight w:val="0"/>
              <w:marTop w:val="0"/>
              <w:marBottom w:val="0"/>
              <w:divBdr>
                <w:top w:val="none" w:sz="0" w:space="0" w:color="auto"/>
                <w:left w:val="none" w:sz="0" w:space="0" w:color="auto"/>
                <w:bottom w:val="none" w:sz="0" w:space="0" w:color="auto"/>
                <w:right w:val="none" w:sz="0" w:space="0" w:color="auto"/>
              </w:divBdr>
            </w:div>
          </w:divsChild>
        </w:div>
        <w:div w:id="1366564245">
          <w:marLeft w:val="0"/>
          <w:marRight w:val="0"/>
          <w:marTop w:val="0"/>
          <w:marBottom w:val="0"/>
          <w:divBdr>
            <w:top w:val="none" w:sz="0" w:space="0" w:color="auto"/>
            <w:left w:val="none" w:sz="0" w:space="0" w:color="auto"/>
            <w:bottom w:val="none" w:sz="0" w:space="0" w:color="auto"/>
            <w:right w:val="none" w:sz="0" w:space="0" w:color="auto"/>
          </w:divBdr>
          <w:divsChild>
            <w:div w:id="451364828">
              <w:marLeft w:val="0"/>
              <w:marRight w:val="0"/>
              <w:marTop w:val="0"/>
              <w:marBottom w:val="0"/>
              <w:divBdr>
                <w:top w:val="none" w:sz="0" w:space="0" w:color="auto"/>
                <w:left w:val="none" w:sz="0" w:space="0" w:color="auto"/>
                <w:bottom w:val="none" w:sz="0" w:space="0" w:color="auto"/>
                <w:right w:val="none" w:sz="0" w:space="0" w:color="auto"/>
              </w:divBdr>
            </w:div>
          </w:divsChild>
        </w:div>
        <w:div w:id="1369527550">
          <w:marLeft w:val="0"/>
          <w:marRight w:val="0"/>
          <w:marTop w:val="0"/>
          <w:marBottom w:val="0"/>
          <w:divBdr>
            <w:top w:val="none" w:sz="0" w:space="0" w:color="auto"/>
            <w:left w:val="none" w:sz="0" w:space="0" w:color="auto"/>
            <w:bottom w:val="none" w:sz="0" w:space="0" w:color="auto"/>
            <w:right w:val="none" w:sz="0" w:space="0" w:color="auto"/>
          </w:divBdr>
          <w:divsChild>
            <w:div w:id="1047756144">
              <w:marLeft w:val="0"/>
              <w:marRight w:val="0"/>
              <w:marTop w:val="0"/>
              <w:marBottom w:val="0"/>
              <w:divBdr>
                <w:top w:val="none" w:sz="0" w:space="0" w:color="auto"/>
                <w:left w:val="none" w:sz="0" w:space="0" w:color="auto"/>
                <w:bottom w:val="none" w:sz="0" w:space="0" w:color="auto"/>
                <w:right w:val="none" w:sz="0" w:space="0" w:color="auto"/>
              </w:divBdr>
            </w:div>
          </w:divsChild>
        </w:div>
        <w:div w:id="1383359717">
          <w:marLeft w:val="0"/>
          <w:marRight w:val="0"/>
          <w:marTop w:val="0"/>
          <w:marBottom w:val="0"/>
          <w:divBdr>
            <w:top w:val="none" w:sz="0" w:space="0" w:color="auto"/>
            <w:left w:val="none" w:sz="0" w:space="0" w:color="auto"/>
            <w:bottom w:val="none" w:sz="0" w:space="0" w:color="auto"/>
            <w:right w:val="none" w:sz="0" w:space="0" w:color="auto"/>
          </w:divBdr>
          <w:divsChild>
            <w:div w:id="2050296044">
              <w:marLeft w:val="0"/>
              <w:marRight w:val="0"/>
              <w:marTop w:val="0"/>
              <w:marBottom w:val="0"/>
              <w:divBdr>
                <w:top w:val="none" w:sz="0" w:space="0" w:color="auto"/>
                <w:left w:val="none" w:sz="0" w:space="0" w:color="auto"/>
                <w:bottom w:val="none" w:sz="0" w:space="0" w:color="auto"/>
                <w:right w:val="none" w:sz="0" w:space="0" w:color="auto"/>
              </w:divBdr>
            </w:div>
          </w:divsChild>
        </w:div>
        <w:div w:id="1384669968">
          <w:marLeft w:val="0"/>
          <w:marRight w:val="0"/>
          <w:marTop w:val="0"/>
          <w:marBottom w:val="0"/>
          <w:divBdr>
            <w:top w:val="none" w:sz="0" w:space="0" w:color="auto"/>
            <w:left w:val="none" w:sz="0" w:space="0" w:color="auto"/>
            <w:bottom w:val="none" w:sz="0" w:space="0" w:color="auto"/>
            <w:right w:val="none" w:sz="0" w:space="0" w:color="auto"/>
          </w:divBdr>
          <w:divsChild>
            <w:div w:id="2030911771">
              <w:marLeft w:val="0"/>
              <w:marRight w:val="0"/>
              <w:marTop w:val="0"/>
              <w:marBottom w:val="0"/>
              <w:divBdr>
                <w:top w:val="none" w:sz="0" w:space="0" w:color="auto"/>
                <w:left w:val="none" w:sz="0" w:space="0" w:color="auto"/>
                <w:bottom w:val="none" w:sz="0" w:space="0" w:color="auto"/>
                <w:right w:val="none" w:sz="0" w:space="0" w:color="auto"/>
              </w:divBdr>
            </w:div>
          </w:divsChild>
        </w:div>
        <w:div w:id="1386174559">
          <w:marLeft w:val="0"/>
          <w:marRight w:val="0"/>
          <w:marTop w:val="0"/>
          <w:marBottom w:val="0"/>
          <w:divBdr>
            <w:top w:val="none" w:sz="0" w:space="0" w:color="auto"/>
            <w:left w:val="none" w:sz="0" w:space="0" w:color="auto"/>
            <w:bottom w:val="none" w:sz="0" w:space="0" w:color="auto"/>
            <w:right w:val="none" w:sz="0" w:space="0" w:color="auto"/>
          </w:divBdr>
          <w:divsChild>
            <w:div w:id="549272732">
              <w:marLeft w:val="0"/>
              <w:marRight w:val="0"/>
              <w:marTop w:val="0"/>
              <w:marBottom w:val="0"/>
              <w:divBdr>
                <w:top w:val="none" w:sz="0" w:space="0" w:color="auto"/>
                <w:left w:val="none" w:sz="0" w:space="0" w:color="auto"/>
                <w:bottom w:val="none" w:sz="0" w:space="0" w:color="auto"/>
                <w:right w:val="none" w:sz="0" w:space="0" w:color="auto"/>
              </w:divBdr>
            </w:div>
          </w:divsChild>
        </w:div>
        <w:div w:id="1392194962">
          <w:marLeft w:val="0"/>
          <w:marRight w:val="0"/>
          <w:marTop w:val="0"/>
          <w:marBottom w:val="0"/>
          <w:divBdr>
            <w:top w:val="none" w:sz="0" w:space="0" w:color="auto"/>
            <w:left w:val="none" w:sz="0" w:space="0" w:color="auto"/>
            <w:bottom w:val="none" w:sz="0" w:space="0" w:color="auto"/>
            <w:right w:val="none" w:sz="0" w:space="0" w:color="auto"/>
          </w:divBdr>
          <w:divsChild>
            <w:div w:id="1200898532">
              <w:marLeft w:val="0"/>
              <w:marRight w:val="0"/>
              <w:marTop w:val="0"/>
              <w:marBottom w:val="0"/>
              <w:divBdr>
                <w:top w:val="none" w:sz="0" w:space="0" w:color="auto"/>
                <w:left w:val="none" w:sz="0" w:space="0" w:color="auto"/>
                <w:bottom w:val="none" w:sz="0" w:space="0" w:color="auto"/>
                <w:right w:val="none" w:sz="0" w:space="0" w:color="auto"/>
              </w:divBdr>
            </w:div>
          </w:divsChild>
        </w:div>
        <w:div w:id="1397970362">
          <w:marLeft w:val="0"/>
          <w:marRight w:val="0"/>
          <w:marTop w:val="0"/>
          <w:marBottom w:val="0"/>
          <w:divBdr>
            <w:top w:val="none" w:sz="0" w:space="0" w:color="auto"/>
            <w:left w:val="none" w:sz="0" w:space="0" w:color="auto"/>
            <w:bottom w:val="none" w:sz="0" w:space="0" w:color="auto"/>
            <w:right w:val="none" w:sz="0" w:space="0" w:color="auto"/>
          </w:divBdr>
          <w:divsChild>
            <w:div w:id="989674235">
              <w:marLeft w:val="0"/>
              <w:marRight w:val="0"/>
              <w:marTop w:val="0"/>
              <w:marBottom w:val="0"/>
              <w:divBdr>
                <w:top w:val="none" w:sz="0" w:space="0" w:color="auto"/>
                <w:left w:val="none" w:sz="0" w:space="0" w:color="auto"/>
                <w:bottom w:val="none" w:sz="0" w:space="0" w:color="auto"/>
                <w:right w:val="none" w:sz="0" w:space="0" w:color="auto"/>
              </w:divBdr>
            </w:div>
          </w:divsChild>
        </w:div>
        <w:div w:id="1400596109">
          <w:marLeft w:val="0"/>
          <w:marRight w:val="0"/>
          <w:marTop w:val="0"/>
          <w:marBottom w:val="0"/>
          <w:divBdr>
            <w:top w:val="none" w:sz="0" w:space="0" w:color="auto"/>
            <w:left w:val="none" w:sz="0" w:space="0" w:color="auto"/>
            <w:bottom w:val="none" w:sz="0" w:space="0" w:color="auto"/>
            <w:right w:val="none" w:sz="0" w:space="0" w:color="auto"/>
          </w:divBdr>
          <w:divsChild>
            <w:div w:id="1680694140">
              <w:marLeft w:val="0"/>
              <w:marRight w:val="0"/>
              <w:marTop w:val="0"/>
              <w:marBottom w:val="0"/>
              <w:divBdr>
                <w:top w:val="none" w:sz="0" w:space="0" w:color="auto"/>
                <w:left w:val="none" w:sz="0" w:space="0" w:color="auto"/>
                <w:bottom w:val="none" w:sz="0" w:space="0" w:color="auto"/>
                <w:right w:val="none" w:sz="0" w:space="0" w:color="auto"/>
              </w:divBdr>
            </w:div>
          </w:divsChild>
        </w:div>
        <w:div w:id="1400783369">
          <w:marLeft w:val="0"/>
          <w:marRight w:val="0"/>
          <w:marTop w:val="0"/>
          <w:marBottom w:val="0"/>
          <w:divBdr>
            <w:top w:val="none" w:sz="0" w:space="0" w:color="auto"/>
            <w:left w:val="none" w:sz="0" w:space="0" w:color="auto"/>
            <w:bottom w:val="none" w:sz="0" w:space="0" w:color="auto"/>
            <w:right w:val="none" w:sz="0" w:space="0" w:color="auto"/>
          </w:divBdr>
          <w:divsChild>
            <w:div w:id="1425226314">
              <w:marLeft w:val="0"/>
              <w:marRight w:val="0"/>
              <w:marTop w:val="0"/>
              <w:marBottom w:val="0"/>
              <w:divBdr>
                <w:top w:val="none" w:sz="0" w:space="0" w:color="auto"/>
                <w:left w:val="none" w:sz="0" w:space="0" w:color="auto"/>
                <w:bottom w:val="none" w:sz="0" w:space="0" w:color="auto"/>
                <w:right w:val="none" w:sz="0" w:space="0" w:color="auto"/>
              </w:divBdr>
            </w:div>
          </w:divsChild>
        </w:div>
        <w:div w:id="1421563105">
          <w:marLeft w:val="0"/>
          <w:marRight w:val="0"/>
          <w:marTop w:val="0"/>
          <w:marBottom w:val="0"/>
          <w:divBdr>
            <w:top w:val="none" w:sz="0" w:space="0" w:color="auto"/>
            <w:left w:val="none" w:sz="0" w:space="0" w:color="auto"/>
            <w:bottom w:val="none" w:sz="0" w:space="0" w:color="auto"/>
            <w:right w:val="none" w:sz="0" w:space="0" w:color="auto"/>
          </w:divBdr>
          <w:divsChild>
            <w:div w:id="296766825">
              <w:marLeft w:val="0"/>
              <w:marRight w:val="0"/>
              <w:marTop w:val="0"/>
              <w:marBottom w:val="0"/>
              <w:divBdr>
                <w:top w:val="none" w:sz="0" w:space="0" w:color="auto"/>
                <w:left w:val="none" w:sz="0" w:space="0" w:color="auto"/>
                <w:bottom w:val="none" w:sz="0" w:space="0" w:color="auto"/>
                <w:right w:val="none" w:sz="0" w:space="0" w:color="auto"/>
              </w:divBdr>
            </w:div>
          </w:divsChild>
        </w:div>
        <w:div w:id="1422220859">
          <w:marLeft w:val="0"/>
          <w:marRight w:val="0"/>
          <w:marTop w:val="0"/>
          <w:marBottom w:val="0"/>
          <w:divBdr>
            <w:top w:val="none" w:sz="0" w:space="0" w:color="auto"/>
            <w:left w:val="none" w:sz="0" w:space="0" w:color="auto"/>
            <w:bottom w:val="none" w:sz="0" w:space="0" w:color="auto"/>
            <w:right w:val="none" w:sz="0" w:space="0" w:color="auto"/>
          </w:divBdr>
          <w:divsChild>
            <w:div w:id="1822653744">
              <w:marLeft w:val="0"/>
              <w:marRight w:val="0"/>
              <w:marTop w:val="0"/>
              <w:marBottom w:val="0"/>
              <w:divBdr>
                <w:top w:val="none" w:sz="0" w:space="0" w:color="auto"/>
                <w:left w:val="none" w:sz="0" w:space="0" w:color="auto"/>
                <w:bottom w:val="none" w:sz="0" w:space="0" w:color="auto"/>
                <w:right w:val="none" w:sz="0" w:space="0" w:color="auto"/>
              </w:divBdr>
            </w:div>
          </w:divsChild>
        </w:div>
        <w:div w:id="1424952536">
          <w:marLeft w:val="0"/>
          <w:marRight w:val="0"/>
          <w:marTop w:val="0"/>
          <w:marBottom w:val="0"/>
          <w:divBdr>
            <w:top w:val="none" w:sz="0" w:space="0" w:color="auto"/>
            <w:left w:val="none" w:sz="0" w:space="0" w:color="auto"/>
            <w:bottom w:val="none" w:sz="0" w:space="0" w:color="auto"/>
            <w:right w:val="none" w:sz="0" w:space="0" w:color="auto"/>
          </w:divBdr>
          <w:divsChild>
            <w:div w:id="1802917643">
              <w:marLeft w:val="0"/>
              <w:marRight w:val="0"/>
              <w:marTop w:val="0"/>
              <w:marBottom w:val="0"/>
              <w:divBdr>
                <w:top w:val="none" w:sz="0" w:space="0" w:color="auto"/>
                <w:left w:val="none" w:sz="0" w:space="0" w:color="auto"/>
                <w:bottom w:val="none" w:sz="0" w:space="0" w:color="auto"/>
                <w:right w:val="none" w:sz="0" w:space="0" w:color="auto"/>
              </w:divBdr>
            </w:div>
          </w:divsChild>
        </w:div>
        <w:div w:id="1426997171">
          <w:marLeft w:val="0"/>
          <w:marRight w:val="0"/>
          <w:marTop w:val="0"/>
          <w:marBottom w:val="0"/>
          <w:divBdr>
            <w:top w:val="none" w:sz="0" w:space="0" w:color="auto"/>
            <w:left w:val="none" w:sz="0" w:space="0" w:color="auto"/>
            <w:bottom w:val="none" w:sz="0" w:space="0" w:color="auto"/>
            <w:right w:val="none" w:sz="0" w:space="0" w:color="auto"/>
          </w:divBdr>
          <w:divsChild>
            <w:div w:id="1661696418">
              <w:marLeft w:val="0"/>
              <w:marRight w:val="0"/>
              <w:marTop w:val="0"/>
              <w:marBottom w:val="0"/>
              <w:divBdr>
                <w:top w:val="none" w:sz="0" w:space="0" w:color="auto"/>
                <w:left w:val="none" w:sz="0" w:space="0" w:color="auto"/>
                <w:bottom w:val="none" w:sz="0" w:space="0" w:color="auto"/>
                <w:right w:val="none" w:sz="0" w:space="0" w:color="auto"/>
              </w:divBdr>
            </w:div>
          </w:divsChild>
        </w:div>
        <w:div w:id="1428161453">
          <w:marLeft w:val="0"/>
          <w:marRight w:val="0"/>
          <w:marTop w:val="0"/>
          <w:marBottom w:val="0"/>
          <w:divBdr>
            <w:top w:val="none" w:sz="0" w:space="0" w:color="auto"/>
            <w:left w:val="none" w:sz="0" w:space="0" w:color="auto"/>
            <w:bottom w:val="none" w:sz="0" w:space="0" w:color="auto"/>
            <w:right w:val="none" w:sz="0" w:space="0" w:color="auto"/>
          </w:divBdr>
          <w:divsChild>
            <w:div w:id="1734960818">
              <w:marLeft w:val="0"/>
              <w:marRight w:val="0"/>
              <w:marTop w:val="0"/>
              <w:marBottom w:val="0"/>
              <w:divBdr>
                <w:top w:val="none" w:sz="0" w:space="0" w:color="auto"/>
                <w:left w:val="none" w:sz="0" w:space="0" w:color="auto"/>
                <w:bottom w:val="none" w:sz="0" w:space="0" w:color="auto"/>
                <w:right w:val="none" w:sz="0" w:space="0" w:color="auto"/>
              </w:divBdr>
            </w:div>
          </w:divsChild>
        </w:div>
        <w:div w:id="1430002152">
          <w:marLeft w:val="0"/>
          <w:marRight w:val="0"/>
          <w:marTop w:val="0"/>
          <w:marBottom w:val="0"/>
          <w:divBdr>
            <w:top w:val="none" w:sz="0" w:space="0" w:color="auto"/>
            <w:left w:val="none" w:sz="0" w:space="0" w:color="auto"/>
            <w:bottom w:val="none" w:sz="0" w:space="0" w:color="auto"/>
            <w:right w:val="none" w:sz="0" w:space="0" w:color="auto"/>
          </w:divBdr>
          <w:divsChild>
            <w:div w:id="734858850">
              <w:marLeft w:val="0"/>
              <w:marRight w:val="0"/>
              <w:marTop w:val="0"/>
              <w:marBottom w:val="0"/>
              <w:divBdr>
                <w:top w:val="none" w:sz="0" w:space="0" w:color="auto"/>
                <w:left w:val="none" w:sz="0" w:space="0" w:color="auto"/>
                <w:bottom w:val="none" w:sz="0" w:space="0" w:color="auto"/>
                <w:right w:val="none" w:sz="0" w:space="0" w:color="auto"/>
              </w:divBdr>
            </w:div>
          </w:divsChild>
        </w:div>
        <w:div w:id="1435663746">
          <w:marLeft w:val="0"/>
          <w:marRight w:val="0"/>
          <w:marTop w:val="0"/>
          <w:marBottom w:val="0"/>
          <w:divBdr>
            <w:top w:val="none" w:sz="0" w:space="0" w:color="auto"/>
            <w:left w:val="none" w:sz="0" w:space="0" w:color="auto"/>
            <w:bottom w:val="none" w:sz="0" w:space="0" w:color="auto"/>
            <w:right w:val="none" w:sz="0" w:space="0" w:color="auto"/>
          </w:divBdr>
          <w:divsChild>
            <w:div w:id="613830300">
              <w:marLeft w:val="0"/>
              <w:marRight w:val="0"/>
              <w:marTop w:val="0"/>
              <w:marBottom w:val="0"/>
              <w:divBdr>
                <w:top w:val="none" w:sz="0" w:space="0" w:color="auto"/>
                <w:left w:val="none" w:sz="0" w:space="0" w:color="auto"/>
                <w:bottom w:val="none" w:sz="0" w:space="0" w:color="auto"/>
                <w:right w:val="none" w:sz="0" w:space="0" w:color="auto"/>
              </w:divBdr>
            </w:div>
          </w:divsChild>
        </w:div>
        <w:div w:id="1436561470">
          <w:marLeft w:val="0"/>
          <w:marRight w:val="0"/>
          <w:marTop w:val="0"/>
          <w:marBottom w:val="0"/>
          <w:divBdr>
            <w:top w:val="none" w:sz="0" w:space="0" w:color="auto"/>
            <w:left w:val="none" w:sz="0" w:space="0" w:color="auto"/>
            <w:bottom w:val="none" w:sz="0" w:space="0" w:color="auto"/>
            <w:right w:val="none" w:sz="0" w:space="0" w:color="auto"/>
          </w:divBdr>
          <w:divsChild>
            <w:div w:id="670060962">
              <w:marLeft w:val="0"/>
              <w:marRight w:val="0"/>
              <w:marTop w:val="0"/>
              <w:marBottom w:val="0"/>
              <w:divBdr>
                <w:top w:val="none" w:sz="0" w:space="0" w:color="auto"/>
                <w:left w:val="none" w:sz="0" w:space="0" w:color="auto"/>
                <w:bottom w:val="none" w:sz="0" w:space="0" w:color="auto"/>
                <w:right w:val="none" w:sz="0" w:space="0" w:color="auto"/>
              </w:divBdr>
            </w:div>
          </w:divsChild>
        </w:div>
        <w:div w:id="1440905040">
          <w:marLeft w:val="0"/>
          <w:marRight w:val="0"/>
          <w:marTop w:val="0"/>
          <w:marBottom w:val="0"/>
          <w:divBdr>
            <w:top w:val="none" w:sz="0" w:space="0" w:color="auto"/>
            <w:left w:val="none" w:sz="0" w:space="0" w:color="auto"/>
            <w:bottom w:val="none" w:sz="0" w:space="0" w:color="auto"/>
            <w:right w:val="none" w:sz="0" w:space="0" w:color="auto"/>
          </w:divBdr>
          <w:divsChild>
            <w:div w:id="1002272195">
              <w:marLeft w:val="0"/>
              <w:marRight w:val="0"/>
              <w:marTop w:val="0"/>
              <w:marBottom w:val="0"/>
              <w:divBdr>
                <w:top w:val="none" w:sz="0" w:space="0" w:color="auto"/>
                <w:left w:val="none" w:sz="0" w:space="0" w:color="auto"/>
                <w:bottom w:val="none" w:sz="0" w:space="0" w:color="auto"/>
                <w:right w:val="none" w:sz="0" w:space="0" w:color="auto"/>
              </w:divBdr>
            </w:div>
          </w:divsChild>
        </w:div>
        <w:div w:id="1447047115">
          <w:marLeft w:val="0"/>
          <w:marRight w:val="0"/>
          <w:marTop w:val="0"/>
          <w:marBottom w:val="0"/>
          <w:divBdr>
            <w:top w:val="none" w:sz="0" w:space="0" w:color="auto"/>
            <w:left w:val="none" w:sz="0" w:space="0" w:color="auto"/>
            <w:bottom w:val="none" w:sz="0" w:space="0" w:color="auto"/>
            <w:right w:val="none" w:sz="0" w:space="0" w:color="auto"/>
          </w:divBdr>
          <w:divsChild>
            <w:div w:id="59793844">
              <w:marLeft w:val="0"/>
              <w:marRight w:val="0"/>
              <w:marTop w:val="0"/>
              <w:marBottom w:val="0"/>
              <w:divBdr>
                <w:top w:val="none" w:sz="0" w:space="0" w:color="auto"/>
                <w:left w:val="none" w:sz="0" w:space="0" w:color="auto"/>
                <w:bottom w:val="none" w:sz="0" w:space="0" w:color="auto"/>
                <w:right w:val="none" w:sz="0" w:space="0" w:color="auto"/>
              </w:divBdr>
            </w:div>
          </w:divsChild>
        </w:div>
        <w:div w:id="1447848000">
          <w:marLeft w:val="0"/>
          <w:marRight w:val="0"/>
          <w:marTop w:val="0"/>
          <w:marBottom w:val="0"/>
          <w:divBdr>
            <w:top w:val="none" w:sz="0" w:space="0" w:color="auto"/>
            <w:left w:val="none" w:sz="0" w:space="0" w:color="auto"/>
            <w:bottom w:val="none" w:sz="0" w:space="0" w:color="auto"/>
            <w:right w:val="none" w:sz="0" w:space="0" w:color="auto"/>
          </w:divBdr>
          <w:divsChild>
            <w:div w:id="610169159">
              <w:marLeft w:val="0"/>
              <w:marRight w:val="0"/>
              <w:marTop w:val="0"/>
              <w:marBottom w:val="0"/>
              <w:divBdr>
                <w:top w:val="none" w:sz="0" w:space="0" w:color="auto"/>
                <w:left w:val="none" w:sz="0" w:space="0" w:color="auto"/>
                <w:bottom w:val="none" w:sz="0" w:space="0" w:color="auto"/>
                <w:right w:val="none" w:sz="0" w:space="0" w:color="auto"/>
              </w:divBdr>
            </w:div>
          </w:divsChild>
        </w:div>
        <w:div w:id="1452092983">
          <w:marLeft w:val="0"/>
          <w:marRight w:val="0"/>
          <w:marTop w:val="0"/>
          <w:marBottom w:val="0"/>
          <w:divBdr>
            <w:top w:val="none" w:sz="0" w:space="0" w:color="auto"/>
            <w:left w:val="none" w:sz="0" w:space="0" w:color="auto"/>
            <w:bottom w:val="none" w:sz="0" w:space="0" w:color="auto"/>
            <w:right w:val="none" w:sz="0" w:space="0" w:color="auto"/>
          </w:divBdr>
          <w:divsChild>
            <w:div w:id="1635940950">
              <w:marLeft w:val="0"/>
              <w:marRight w:val="0"/>
              <w:marTop w:val="0"/>
              <w:marBottom w:val="0"/>
              <w:divBdr>
                <w:top w:val="none" w:sz="0" w:space="0" w:color="auto"/>
                <w:left w:val="none" w:sz="0" w:space="0" w:color="auto"/>
                <w:bottom w:val="none" w:sz="0" w:space="0" w:color="auto"/>
                <w:right w:val="none" w:sz="0" w:space="0" w:color="auto"/>
              </w:divBdr>
            </w:div>
          </w:divsChild>
        </w:div>
        <w:div w:id="1457522193">
          <w:marLeft w:val="0"/>
          <w:marRight w:val="0"/>
          <w:marTop w:val="0"/>
          <w:marBottom w:val="0"/>
          <w:divBdr>
            <w:top w:val="none" w:sz="0" w:space="0" w:color="auto"/>
            <w:left w:val="none" w:sz="0" w:space="0" w:color="auto"/>
            <w:bottom w:val="none" w:sz="0" w:space="0" w:color="auto"/>
            <w:right w:val="none" w:sz="0" w:space="0" w:color="auto"/>
          </w:divBdr>
          <w:divsChild>
            <w:div w:id="1872913607">
              <w:marLeft w:val="0"/>
              <w:marRight w:val="0"/>
              <w:marTop w:val="0"/>
              <w:marBottom w:val="0"/>
              <w:divBdr>
                <w:top w:val="none" w:sz="0" w:space="0" w:color="auto"/>
                <w:left w:val="none" w:sz="0" w:space="0" w:color="auto"/>
                <w:bottom w:val="none" w:sz="0" w:space="0" w:color="auto"/>
                <w:right w:val="none" w:sz="0" w:space="0" w:color="auto"/>
              </w:divBdr>
            </w:div>
          </w:divsChild>
        </w:div>
        <w:div w:id="1463183676">
          <w:marLeft w:val="0"/>
          <w:marRight w:val="0"/>
          <w:marTop w:val="0"/>
          <w:marBottom w:val="0"/>
          <w:divBdr>
            <w:top w:val="none" w:sz="0" w:space="0" w:color="auto"/>
            <w:left w:val="none" w:sz="0" w:space="0" w:color="auto"/>
            <w:bottom w:val="none" w:sz="0" w:space="0" w:color="auto"/>
            <w:right w:val="none" w:sz="0" w:space="0" w:color="auto"/>
          </w:divBdr>
          <w:divsChild>
            <w:div w:id="708577076">
              <w:marLeft w:val="0"/>
              <w:marRight w:val="0"/>
              <w:marTop w:val="0"/>
              <w:marBottom w:val="0"/>
              <w:divBdr>
                <w:top w:val="none" w:sz="0" w:space="0" w:color="auto"/>
                <w:left w:val="none" w:sz="0" w:space="0" w:color="auto"/>
                <w:bottom w:val="none" w:sz="0" w:space="0" w:color="auto"/>
                <w:right w:val="none" w:sz="0" w:space="0" w:color="auto"/>
              </w:divBdr>
            </w:div>
          </w:divsChild>
        </w:div>
        <w:div w:id="1470904750">
          <w:marLeft w:val="0"/>
          <w:marRight w:val="0"/>
          <w:marTop w:val="0"/>
          <w:marBottom w:val="0"/>
          <w:divBdr>
            <w:top w:val="none" w:sz="0" w:space="0" w:color="auto"/>
            <w:left w:val="none" w:sz="0" w:space="0" w:color="auto"/>
            <w:bottom w:val="none" w:sz="0" w:space="0" w:color="auto"/>
            <w:right w:val="none" w:sz="0" w:space="0" w:color="auto"/>
          </w:divBdr>
          <w:divsChild>
            <w:div w:id="1759599588">
              <w:marLeft w:val="0"/>
              <w:marRight w:val="0"/>
              <w:marTop w:val="0"/>
              <w:marBottom w:val="0"/>
              <w:divBdr>
                <w:top w:val="none" w:sz="0" w:space="0" w:color="auto"/>
                <w:left w:val="none" w:sz="0" w:space="0" w:color="auto"/>
                <w:bottom w:val="none" w:sz="0" w:space="0" w:color="auto"/>
                <w:right w:val="none" w:sz="0" w:space="0" w:color="auto"/>
              </w:divBdr>
            </w:div>
          </w:divsChild>
        </w:div>
        <w:div w:id="1471678454">
          <w:marLeft w:val="0"/>
          <w:marRight w:val="0"/>
          <w:marTop w:val="0"/>
          <w:marBottom w:val="0"/>
          <w:divBdr>
            <w:top w:val="none" w:sz="0" w:space="0" w:color="auto"/>
            <w:left w:val="none" w:sz="0" w:space="0" w:color="auto"/>
            <w:bottom w:val="none" w:sz="0" w:space="0" w:color="auto"/>
            <w:right w:val="none" w:sz="0" w:space="0" w:color="auto"/>
          </w:divBdr>
          <w:divsChild>
            <w:div w:id="1045716577">
              <w:marLeft w:val="0"/>
              <w:marRight w:val="0"/>
              <w:marTop w:val="0"/>
              <w:marBottom w:val="0"/>
              <w:divBdr>
                <w:top w:val="none" w:sz="0" w:space="0" w:color="auto"/>
                <w:left w:val="none" w:sz="0" w:space="0" w:color="auto"/>
                <w:bottom w:val="none" w:sz="0" w:space="0" w:color="auto"/>
                <w:right w:val="none" w:sz="0" w:space="0" w:color="auto"/>
              </w:divBdr>
            </w:div>
          </w:divsChild>
        </w:div>
        <w:div w:id="1472020111">
          <w:marLeft w:val="0"/>
          <w:marRight w:val="0"/>
          <w:marTop w:val="0"/>
          <w:marBottom w:val="0"/>
          <w:divBdr>
            <w:top w:val="none" w:sz="0" w:space="0" w:color="auto"/>
            <w:left w:val="none" w:sz="0" w:space="0" w:color="auto"/>
            <w:bottom w:val="none" w:sz="0" w:space="0" w:color="auto"/>
            <w:right w:val="none" w:sz="0" w:space="0" w:color="auto"/>
          </w:divBdr>
          <w:divsChild>
            <w:div w:id="536355768">
              <w:marLeft w:val="0"/>
              <w:marRight w:val="0"/>
              <w:marTop w:val="0"/>
              <w:marBottom w:val="0"/>
              <w:divBdr>
                <w:top w:val="none" w:sz="0" w:space="0" w:color="auto"/>
                <w:left w:val="none" w:sz="0" w:space="0" w:color="auto"/>
                <w:bottom w:val="none" w:sz="0" w:space="0" w:color="auto"/>
                <w:right w:val="none" w:sz="0" w:space="0" w:color="auto"/>
              </w:divBdr>
            </w:div>
          </w:divsChild>
        </w:div>
        <w:div w:id="1473408768">
          <w:marLeft w:val="0"/>
          <w:marRight w:val="0"/>
          <w:marTop w:val="0"/>
          <w:marBottom w:val="0"/>
          <w:divBdr>
            <w:top w:val="none" w:sz="0" w:space="0" w:color="auto"/>
            <w:left w:val="none" w:sz="0" w:space="0" w:color="auto"/>
            <w:bottom w:val="none" w:sz="0" w:space="0" w:color="auto"/>
            <w:right w:val="none" w:sz="0" w:space="0" w:color="auto"/>
          </w:divBdr>
          <w:divsChild>
            <w:div w:id="1578780486">
              <w:marLeft w:val="0"/>
              <w:marRight w:val="0"/>
              <w:marTop w:val="0"/>
              <w:marBottom w:val="0"/>
              <w:divBdr>
                <w:top w:val="none" w:sz="0" w:space="0" w:color="auto"/>
                <w:left w:val="none" w:sz="0" w:space="0" w:color="auto"/>
                <w:bottom w:val="none" w:sz="0" w:space="0" w:color="auto"/>
                <w:right w:val="none" w:sz="0" w:space="0" w:color="auto"/>
              </w:divBdr>
            </w:div>
          </w:divsChild>
        </w:div>
        <w:div w:id="1476070090">
          <w:marLeft w:val="0"/>
          <w:marRight w:val="0"/>
          <w:marTop w:val="0"/>
          <w:marBottom w:val="0"/>
          <w:divBdr>
            <w:top w:val="none" w:sz="0" w:space="0" w:color="auto"/>
            <w:left w:val="none" w:sz="0" w:space="0" w:color="auto"/>
            <w:bottom w:val="none" w:sz="0" w:space="0" w:color="auto"/>
            <w:right w:val="none" w:sz="0" w:space="0" w:color="auto"/>
          </w:divBdr>
          <w:divsChild>
            <w:div w:id="1914192593">
              <w:marLeft w:val="0"/>
              <w:marRight w:val="0"/>
              <w:marTop w:val="0"/>
              <w:marBottom w:val="0"/>
              <w:divBdr>
                <w:top w:val="none" w:sz="0" w:space="0" w:color="auto"/>
                <w:left w:val="none" w:sz="0" w:space="0" w:color="auto"/>
                <w:bottom w:val="none" w:sz="0" w:space="0" w:color="auto"/>
                <w:right w:val="none" w:sz="0" w:space="0" w:color="auto"/>
              </w:divBdr>
            </w:div>
          </w:divsChild>
        </w:div>
        <w:div w:id="1476139284">
          <w:marLeft w:val="0"/>
          <w:marRight w:val="0"/>
          <w:marTop w:val="0"/>
          <w:marBottom w:val="0"/>
          <w:divBdr>
            <w:top w:val="none" w:sz="0" w:space="0" w:color="auto"/>
            <w:left w:val="none" w:sz="0" w:space="0" w:color="auto"/>
            <w:bottom w:val="none" w:sz="0" w:space="0" w:color="auto"/>
            <w:right w:val="none" w:sz="0" w:space="0" w:color="auto"/>
          </w:divBdr>
          <w:divsChild>
            <w:div w:id="1353385286">
              <w:marLeft w:val="0"/>
              <w:marRight w:val="0"/>
              <w:marTop w:val="0"/>
              <w:marBottom w:val="0"/>
              <w:divBdr>
                <w:top w:val="none" w:sz="0" w:space="0" w:color="auto"/>
                <w:left w:val="none" w:sz="0" w:space="0" w:color="auto"/>
                <w:bottom w:val="none" w:sz="0" w:space="0" w:color="auto"/>
                <w:right w:val="none" w:sz="0" w:space="0" w:color="auto"/>
              </w:divBdr>
            </w:div>
          </w:divsChild>
        </w:div>
        <w:div w:id="1492058861">
          <w:marLeft w:val="0"/>
          <w:marRight w:val="0"/>
          <w:marTop w:val="0"/>
          <w:marBottom w:val="0"/>
          <w:divBdr>
            <w:top w:val="none" w:sz="0" w:space="0" w:color="auto"/>
            <w:left w:val="none" w:sz="0" w:space="0" w:color="auto"/>
            <w:bottom w:val="none" w:sz="0" w:space="0" w:color="auto"/>
            <w:right w:val="none" w:sz="0" w:space="0" w:color="auto"/>
          </w:divBdr>
          <w:divsChild>
            <w:div w:id="846559633">
              <w:marLeft w:val="0"/>
              <w:marRight w:val="0"/>
              <w:marTop w:val="0"/>
              <w:marBottom w:val="0"/>
              <w:divBdr>
                <w:top w:val="none" w:sz="0" w:space="0" w:color="auto"/>
                <w:left w:val="none" w:sz="0" w:space="0" w:color="auto"/>
                <w:bottom w:val="none" w:sz="0" w:space="0" w:color="auto"/>
                <w:right w:val="none" w:sz="0" w:space="0" w:color="auto"/>
              </w:divBdr>
            </w:div>
          </w:divsChild>
        </w:div>
        <w:div w:id="1497916231">
          <w:marLeft w:val="0"/>
          <w:marRight w:val="0"/>
          <w:marTop w:val="0"/>
          <w:marBottom w:val="0"/>
          <w:divBdr>
            <w:top w:val="none" w:sz="0" w:space="0" w:color="auto"/>
            <w:left w:val="none" w:sz="0" w:space="0" w:color="auto"/>
            <w:bottom w:val="none" w:sz="0" w:space="0" w:color="auto"/>
            <w:right w:val="none" w:sz="0" w:space="0" w:color="auto"/>
          </w:divBdr>
          <w:divsChild>
            <w:div w:id="1583368987">
              <w:marLeft w:val="0"/>
              <w:marRight w:val="0"/>
              <w:marTop w:val="0"/>
              <w:marBottom w:val="0"/>
              <w:divBdr>
                <w:top w:val="none" w:sz="0" w:space="0" w:color="auto"/>
                <w:left w:val="none" w:sz="0" w:space="0" w:color="auto"/>
                <w:bottom w:val="none" w:sz="0" w:space="0" w:color="auto"/>
                <w:right w:val="none" w:sz="0" w:space="0" w:color="auto"/>
              </w:divBdr>
            </w:div>
          </w:divsChild>
        </w:div>
        <w:div w:id="1505124680">
          <w:marLeft w:val="0"/>
          <w:marRight w:val="0"/>
          <w:marTop w:val="0"/>
          <w:marBottom w:val="0"/>
          <w:divBdr>
            <w:top w:val="none" w:sz="0" w:space="0" w:color="auto"/>
            <w:left w:val="none" w:sz="0" w:space="0" w:color="auto"/>
            <w:bottom w:val="none" w:sz="0" w:space="0" w:color="auto"/>
            <w:right w:val="none" w:sz="0" w:space="0" w:color="auto"/>
          </w:divBdr>
          <w:divsChild>
            <w:div w:id="1648508094">
              <w:marLeft w:val="0"/>
              <w:marRight w:val="0"/>
              <w:marTop w:val="0"/>
              <w:marBottom w:val="0"/>
              <w:divBdr>
                <w:top w:val="none" w:sz="0" w:space="0" w:color="auto"/>
                <w:left w:val="none" w:sz="0" w:space="0" w:color="auto"/>
                <w:bottom w:val="none" w:sz="0" w:space="0" w:color="auto"/>
                <w:right w:val="none" w:sz="0" w:space="0" w:color="auto"/>
              </w:divBdr>
            </w:div>
          </w:divsChild>
        </w:div>
        <w:div w:id="1509447521">
          <w:marLeft w:val="0"/>
          <w:marRight w:val="0"/>
          <w:marTop w:val="0"/>
          <w:marBottom w:val="0"/>
          <w:divBdr>
            <w:top w:val="none" w:sz="0" w:space="0" w:color="auto"/>
            <w:left w:val="none" w:sz="0" w:space="0" w:color="auto"/>
            <w:bottom w:val="none" w:sz="0" w:space="0" w:color="auto"/>
            <w:right w:val="none" w:sz="0" w:space="0" w:color="auto"/>
          </w:divBdr>
          <w:divsChild>
            <w:div w:id="1749423848">
              <w:marLeft w:val="0"/>
              <w:marRight w:val="0"/>
              <w:marTop w:val="0"/>
              <w:marBottom w:val="0"/>
              <w:divBdr>
                <w:top w:val="none" w:sz="0" w:space="0" w:color="auto"/>
                <w:left w:val="none" w:sz="0" w:space="0" w:color="auto"/>
                <w:bottom w:val="none" w:sz="0" w:space="0" w:color="auto"/>
                <w:right w:val="none" w:sz="0" w:space="0" w:color="auto"/>
              </w:divBdr>
            </w:div>
          </w:divsChild>
        </w:div>
        <w:div w:id="1520193681">
          <w:marLeft w:val="0"/>
          <w:marRight w:val="0"/>
          <w:marTop w:val="0"/>
          <w:marBottom w:val="0"/>
          <w:divBdr>
            <w:top w:val="none" w:sz="0" w:space="0" w:color="auto"/>
            <w:left w:val="none" w:sz="0" w:space="0" w:color="auto"/>
            <w:bottom w:val="none" w:sz="0" w:space="0" w:color="auto"/>
            <w:right w:val="none" w:sz="0" w:space="0" w:color="auto"/>
          </w:divBdr>
          <w:divsChild>
            <w:div w:id="208684079">
              <w:marLeft w:val="0"/>
              <w:marRight w:val="0"/>
              <w:marTop w:val="0"/>
              <w:marBottom w:val="0"/>
              <w:divBdr>
                <w:top w:val="none" w:sz="0" w:space="0" w:color="auto"/>
                <w:left w:val="none" w:sz="0" w:space="0" w:color="auto"/>
                <w:bottom w:val="none" w:sz="0" w:space="0" w:color="auto"/>
                <w:right w:val="none" w:sz="0" w:space="0" w:color="auto"/>
              </w:divBdr>
            </w:div>
          </w:divsChild>
        </w:div>
        <w:div w:id="1522360428">
          <w:marLeft w:val="0"/>
          <w:marRight w:val="0"/>
          <w:marTop w:val="0"/>
          <w:marBottom w:val="0"/>
          <w:divBdr>
            <w:top w:val="none" w:sz="0" w:space="0" w:color="auto"/>
            <w:left w:val="none" w:sz="0" w:space="0" w:color="auto"/>
            <w:bottom w:val="none" w:sz="0" w:space="0" w:color="auto"/>
            <w:right w:val="none" w:sz="0" w:space="0" w:color="auto"/>
          </w:divBdr>
          <w:divsChild>
            <w:div w:id="1606156674">
              <w:marLeft w:val="0"/>
              <w:marRight w:val="0"/>
              <w:marTop w:val="0"/>
              <w:marBottom w:val="0"/>
              <w:divBdr>
                <w:top w:val="none" w:sz="0" w:space="0" w:color="auto"/>
                <w:left w:val="none" w:sz="0" w:space="0" w:color="auto"/>
                <w:bottom w:val="none" w:sz="0" w:space="0" w:color="auto"/>
                <w:right w:val="none" w:sz="0" w:space="0" w:color="auto"/>
              </w:divBdr>
            </w:div>
          </w:divsChild>
        </w:div>
        <w:div w:id="1529180003">
          <w:marLeft w:val="0"/>
          <w:marRight w:val="0"/>
          <w:marTop w:val="0"/>
          <w:marBottom w:val="0"/>
          <w:divBdr>
            <w:top w:val="none" w:sz="0" w:space="0" w:color="auto"/>
            <w:left w:val="none" w:sz="0" w:space="0" w:color="auto"/>
            <w:bottom w:val="none" w:sz="0" w:space="0" w:color="auto"/>
            <w:right w:val="none" w:sz="0" w:space="0" w:color="auto"/>
          </w:divBdr>
          <w:divsChild>
            <w:div w:id="1927378865">
              <w:marLeft w:val="0"/>
              <w:marRight w:val="0"/>
              <w:marTop w:val="0"/>
              <w:marBottom w:val="0"/>
              <w:divBdr>
                <w:top w:val="none" w:sz="0" w:space="0" w:color="auto"/>
                <w:left w:val="none" w:sz="0" w:space="0" w:color="auto"/>
                <w:bottom w:val="none" w:sz="0" w:space="0" w:color="auto"/>
                <w:right w:val="none" w:sz="0" w:space="0" w:color="auto"/>
              </w:divBdr>
            </w:div>
          </w:divsChild>
        </w:div>
        <w:div w:id="1529299187">
          <w:marLeft w:val="0"/>
          <w:marRight w:val="0"/>
          <w:marTop w:val="0"/>
          <w:marBottom w:val="0"/>
          <w:divBdr>
            <w:top w:val="none" w:sz="0" w:space="0" w:color="auto"/>
            <w:left w:val="none" w:sz="0" w:space="0" w:color="auto"/>
            <w:bottom w:val="none" w:sz="0" w:space="0" w:color="auto"/>
            <w:right w:val="none" w:sz="0" w:space="0" w:color="auto"/>
          </w:divBdr>
          <w:divsChild>
            <w:div w:id="1187520146">
              <w:marLeft w:val="0"/>
              <w:marRight w:val="0"/>
              <w:marTop w:val="0"/>
              <w:marBottom w:val="0"/>
              <w:divBdr>
                <w:top w:val="none" w:sz="0" w:space="0" w:color="auto"/>
                <w:left w:val="none" w:sz="0" w:space="0" w:color="auto"/>
                <w:bottom w:val="none" w:sz="0" w:space="0" w:color="auto"/>
                <w:right w:val="none" w:sz="0" w:space="0" w:color="auto"/>
              </w:divBdr>
            </w:div>
          </w:divsChild>
        </w:div>
        <w:div w:id="1532642163">
          <w:marLeft w:val="0"/>
          <w:marRight w:val="0"/>
          <w:marTop w:val="0"/>
          <w:marBottom w:val="0"/>
          <w:divBdr>
            <w:top w:val="none" w:sz="0" w:space="0" w:color="auto"/>
            <w:left w:val="none" w:sz="0" w:space="0" w:color="auto"/>
            <w:bottom w:val="none" w:sz="0" w:space="0" w:color="auto"/>
            <w:right w:val="none" w:sz="0" w:space="0" w:color="auto"/>
          </w:divBdr>
          <w:divsChild>
            <w:div w:id="1759862950">
              <w:marLeft w:val="0"/>
              <w:marRight w:val="0"/>
              <w:marTop w:val="0"/>
              <w:marBottom w:val="0"/>
              <w:divBdr>
                <w:top w:val="none" w:sz="0" w:space="0" w:color="auto"/>
                <w:left w:val="none" w:sz="0" w:space="0" w:color="auto"/>
                <w:bottom w:val="none" w:sz="0" w:space="0" w:color="auto"/>
                <w:right w:val="none" w:sz="0" w:space="0" w:color="auto"/>
              </w:divBdr>
            </w:div>
          </w:divsChild>
        </w:div>
        <w:div w:id="1536313870">
          <w:marLeft w:val="0"/>
          <w:marRight w:val="0"/>
          <w:marTop w:val="0"/>
          <w:marBottom w:val="0"/>
          <w:divBdr>
            <w:top w:val="none" w:sz="0" w:space="0" w:color="auto"/>
            <w:left w:val="none" w:sz="0" w:space="0" w:color="auto"/>
            <w:bottom w:val="none" w:sz="0" w:space="0" w:color="auto"/>
            <w:right w:val="none" w:sz="0" w:space="0" w:color="auto"/>
          </w:divBdr>
          <w:divsChild>
            <w:div w:id="1326321250">
              <w:marLeft w:val="0"/>
              <w:marRight w:val="0"/>
              <w:marTop w:val="0"/>
              <w:marBottom w:val="0"/>
              <w:divBdr>
                <w:top w:val="none" w:sz="0" w:space="0" w:color="auto"/>
                <w:left w:val="none" w:sz="0" w:space="0" w:color="auto"/>
                <w:bottom w:val="none" w:sz="0" w:space="0" w:color="auto"/>
                <w:right w:val="none" w:sz="0" w:space="0" w:color="auto"/>
              </w:divBdr>
            </w:div>
          </w:divsChild>
        </w:div>
        <w:div w:id="1544755082">
          <w:marLeft w:val="0"/>
          <w:marRight w:val="0"/>
          <w:marTop w:val="0"/>
          <w:marBottom w:val="0"/>
          <w:divBdr>
            <w:top w:val="none" w:sz="0" w:space="0" w:color="auto"/>
            <w:left w:val="none" w:sz="0" w:space="0" w:color="auto"/>
            <w:bottom w:val="none" w:sz="0" w:space="0" w:color="auto"/>
            <w:right w:val="none" w:sz="0" w:space="0" w:color="auto"/>
          </w:divBdr>
          <w:divsChild>
            <w:div w:id="1860316816">
              <w:marLeft w:val="0"/>
              <w:marRight w:val="0"/>
              <w:marTop w:val="0"/>
              <w:marBottom w:val="0"/>
              <w:divBdr>
                <w:top w:val="none" w:sz="0" w:space="0" w:color="auto"/>
                <w:left w:val="none" w:sz="0" w:space="0" w:color="auto"/>
                <w:bottom w:val="none" w:sz="0" w:space="0" w:color="auto"/>
                <w:right w:val="none" w:sz="0" w:space="0" w:color="auto"/>
              </w:divBdr>
            </w:div>
          </w:divsChild>
        </w:div>
        <w:div w:id="1558977489">
          <w:marLeft w:val="0"/>
          <w:marRight w:val="0"/>
          <w:marTop w:val="0"/>
          <w:marBottom w:val="0"/>
          <w:divBdr>
            <w:top w:val="none" w:sz="0" w:space="0" w:color="auto"/>
            <w:left w:val="none" w:sz="0" w:space="0" w:color="auto"/>
            <w:bottom w:val="none" w:sz="0" w:space="0" w:color="auto"/>
            <w:right w:val="none" w:sz="0" w:space="0" w:color="auto"/>
          </w:divBdr>
          <w:divsChild>
            <w:div w:id="405999669">
              <w:marLeft w:val="0"/>
              <w:marRight w:val="0"/>
              <w:marTop w:val="0"/>
              <w:marBottom w:val="0"/>
              <w:divBdr>
                <w:top w:val="none" w:sz="0" w:space="0" w:color="auto"/>
                <w:left w:val="none" w:sz="0" w:space="0" w:color="auto"/>
                <w:bottom w:val="none" w:sz="0" w:space="0" w:color="auto"/>
                <w:right w:val="none" w:sz="0" w:space="0" w:color="auto"/>
              </w:divBdr>
            </w:div>
          </w:divsChild>
        </w:div>
        <w:div w:id="1568567435">
          <w:marLeft w:val="0"/>
          <w:marRight w:val="0"/>
          <w:marTop w:val="0"/>
          <w:marBottom w:val="0"/>
          <w:divBdr>
            <w:top w:val="none" w:sz="0" w:space="0" w:color="auto"/>
            <w:left w:val="none" w:sz="0" w:space="0" w:color="auto"/>
            <w:bottom w:val="none" w:sz="0" w:space="0" w:color="auto"/>
            <w:right w:val="none" w:sz="0" w:space="0" w:color="auto"/>
          </w:divBdr>
          <w:divsChild>
            <w:div w:id="1507790818">
              <w:marLeft w:val="0"/>
              <w:marRight w:val="0"/>
              <w:marTop w:val="0"/>
              <w:marBottom w:val="0"/>
              <w:divBdr>
                <w:top w:val="none" w:sz="0" w:space="0" w:color="auto"/>
                <w:left w:val="none" w:sz="0" w:space="0" w:color="auto"/>
                <w:bottom w:val="none" w:sz="0" w:space="0" w:color="auto"/>
                <w:right w:val="none" w:sz="0" w:space="0" w:color="auto"/>
              </w:divBdr>
            </w:div>
          </w:divsChild>
        </w:div>
        <w:div w:id="1573657918">
          <w:marLeft w:val="0"/>
          <w:marRight w:val="0"/>
          <w:marTop w:val="0"/>
          <w:marBottom w:val="0"/>
          <w:divBdr>
            <w:top w:val="none" w:sz="0" w:space="0" w:color="auto"/>
            <w:left w:val="none" w:sz="0" w:space="0" w:color="auto"/>
            <w:bottom w:val="none" w:sz="0" w:space="0" w:color="auto"/>
            <w:right w:val="none" w:sz="0" w:space="0" w:color="auto"/>
          </w:divBdr>
          <w:divsChild>
            <w:div w:id="1433041327">
              <w:marLeft w:val="0"/>
              <w:marRight w:val="0"/>
              <w:marTop w:val="0"/>
              <w:marBottom w:val="0"/>
              <w:divBdr>
                <w:top w:val="none" w:sz="0" w:space="0" w:color="auto"/>
                <w:left w:val="none" w:sz="0" w:space="0" w:color="auto"/>
                <w:bottom w:val="none" w:sz="0" w:space="0" w:color="auto"/>
                <w:right w:val="none" w:sz="0" w:space="0" w:color="auto"/>
              </w:divBdr>
            </w:div>
          </w:divsChild>
        </w:div>
        <w:div w:id="1576089874">
          <w:marLeft w:val="0"/>
          <w:marRight w:val="0"/>
          <w:marTop w:val="0"/>
          <w:marBottom w:val="0"/>
          <w:divBdr>
            <w:top w:val="none" w:sz="0" w:space="0" w:color="auto"/>
            <w:left w:val="none" w:sz="0" w:space="0" w:color="auto"/>
            <w:bottom w:val="none" w:sz="0" w:space="0" w:color="auto"/>
            <w:right w:val="none" w:sz="0" w:space="0" w:color="auto"/>
          </w:divBdr>
          <w:divsChild>
            <w:div w:id="91821497">
              <w:marLeft w:val="0"/>
              <w:marRight w:val="0"/>
              <w:marTop w:val="0"/>
              <w:marBottom w:val="0"/>
              <w:divBdr>
                <w:top w:val="none" w:sz="0" w:space="0" w:color="auto"/>
                <w:left w:val="none" w:sz="0" w:space="0" w:color="auto"/>
                <w:bottom w:val="none" w:sz="0" w:space="0" w:color="auto"/>
                <w:right w:val="none" w:sz="0" w:space="0" w:color="auto"/>
              </w:divBdr>
            </w:div>
          </w:divsChild>
        </w:div>
        <w:div w:id="1582107551">
          <w:marLeft w:val="0"/>
          <w:marRight w:val="0"/>
          <w:marTop w:val="0"/>
          <w:marBottom w:val="0"/>
          <w:divBdr>
            <w:top w:val="none" w:sz="0" w:space="0" w:color="auto"/>
            <w:left w:val="none" w:sz="0" w:space="0" w:color="auto"/>
            <w:bottom w:val="none" w:sz="0" w:space="0" w:color="auto"/>
            <w:right w:val="none" w:sz="0" w:space="0" w:color="auto"/>
          </w:divBdr>
          <w:divsChild>
            <w:div w:id="901477653">
              <w:marLeft w:val="0"/>
              <w:marRight w:val="0"/>
              <w:marTop w:val="0"/>
              <w:marBottom w:val="0"/>
              <w:divBdr>
                <w:top w:val="none" w:sz="0" w:space="0" w:color="auto"/>
                <w:left w:val="none" w:sz="0" w:space="0" w:color="auto"/>
                <w:bottom w:val="none" w:sz="0" w:space="0" w:color="auto"/>
                <w:right w:val="none" w:sz="0" w:space="0" w:color="auto"/>
              </w:divBdr>
            </w:div>
          </w:divsChild>
        </w:div>
        <w:div w:id="1582134296">
          <w:marLeft w:val="0"/>
          <w:marRight w:val="0"/>
          <w:marTop w:val="0"/>
          <w:marBottom w:val="0"/>
          <w:divBdr>
            <w:top w:val="none" w:sz="0" w:space="0" w:color="auto"/>
            <w:left w:val="none" w:sz="0" w:space="0" w:color="auto"/>
            <w:bottom w:val="none" w:sz="0" w:space="0" w:color="auto"/>
            <w:right w:val="none" w:sz="0" w:space="0" w:color="auto"/>
          </w:divBdr>
          <w:divsChild>
            <w:div w:id="869800581">
              <w:marLeft w:val="0"/>
              <w:marRight w:val="0"/>
              <w:marTop w:val="0"/>
              <w:marBottom w:val="0"/>
              <w:divBdr>
                <w:top w:val="none" w:sz="0" w:space="0" w:color="auto"/>
                <w:left w:val="none" w:sz="0" w:space="0" w:color="auto"/>
                <w:bottom w:val="none" w:sz="0" w:space="0" w:color="auto"/>
                <w:right w:val="none" w:sz="0" w:space="0" w:color="auto"/>
              </w:divBdr>
            </w:div>
          </w:divsChild>
        </w:div>
        <w:div w:id="1588265236">
          <w:marLeft w:val="0"/>
          <w:marRight w:val="0"/>
          <w:marTop w:val="0"/>
          <w:marBottom w:val="0"/>
          <w:divBdr>
            <w:top w:val="none" w:sz="0" w:space="0" w:color="auto"/>
            <w:left w:val="none" w:sz="0" w:space="0" w:color="auto"/>
            <w:bottom w:val="none" w:sz="0" w:space="0" w:color="auto"/>
            <w:right w:val="none" w:sz="0" w:space="0" w:color="auto"/>
          </w:divBdr>
          <w:divsChild>
            <w:div w:id="385419424">
              <w:marLeft w:val="0"/>
              <w:marRight w:val="0"/>
              <w:marTop w:val="0"/>
              <w:marBottom w:val="0"/>
              <w:divBdr>
                <w:top w:val="none" w:sz="0" w:space="0" w:color="auto"/>
                <w:left w:val="none" w:sz="0" w:space="0" w:color="auto"/>
                <w:bottom w:val="none" w:sz="0" w:space="0" w:color="auto"/>
                <w:right w:val="none" w:sz="0" w:space="0" w:color="auto"/>
              </w:divBdr>
            </w:div>
          </w:divsChild>
        </w:div>
        <w:div w:id="1589927832">
          <w:marLeft w:val="0"/>
          <w:marRight w:val="0"/>
          <w:marTop w:val="0"/>
          <w:marBottom w:val="0"/>
          <w:divBdr>
            <w:top w:val="none" w:sz="0" w:space="0" w:color="auto"/>
            <w:left w:val="none" w:sz="0" w:space="0" w:color="auto"/>
            <w:bottom w:val="none" w:sz="0" w:space="0" w:color="auto"/>
            <w:right w:val="none" w:sz="0" w:space="0" w:color="auto"/>
          </w:divBdr>
          <w:divsChild>
            <w:div w:id="1106576420">
              <w:marLeft w:val="0"/>
              <w:marRight w:val="0"/>
              <w:marTop w:val="0"/>
              <w:marBottom w:val="0"/>
              <w:divBdr>
                <w:top w:val="none" w:sz="0" w:space="0" w:color="auto"/>
                <w:left w:val="none" w:sz="0" w:space="0" w:color="auto"/>
                <w:bottom w:val="none" w:sz="0" w:space="0" w:color="auto"/>
                <w:right w:val="none" w:sz="0" w:space="0" w:color="auto"/>
              </w:divBdr>
            </w:div>
          </w:divsChild>
        </w:div>
        <w:div w:id="1601789088">
          <w:marLeft w:val="0"/>
          <w:marRight w:val="0"/>
          <w:marTop w:val="0"/>
          <w:marBottom w:val="0"/>
          <w:divBdr>
            <w:top w:val="none" w:sz="0" w:space="0" w:color="auto"/>
            <w:left w:val="none" w:sz="0" w:space="0" w:color="auto"/>
            <w:bottom w:val="none" w:sz="0" w:space="0" w:color="auto"/>
            <w:right w:val="none" w:sz="0" w:space="0" w:color="auto"/>
          </w:divBdr>
          <w:divsChild>
            <w:div w:id="231741741">
              <w:marLeft w:val="0"/>
              <w:marRight w:val="0"/>
              <w:marTop w:val="0"/>
              <w:marBottom w:val="0"/>
              <w:divBdr>
                <w:top w:val="none" w:sz="0" w:space="0" w:color="auto"/>
                <w:left w:val="none" w:sz="0" w:space="0" w:color="auto"/>
                <w:bottom w:val="none" w:sz="0" w:space="0" w:color="auto"/>
                <w:right w:val="none" w:sz="0" w:space="0" w:color="auto"/>
              </w:divBdr>
            </w:div>
          </w:divsChild>
        </w:div>
        <w:div w:id="1607075340">
          <w:marLeft w:val="0"/>
          <w:marRight w:val="0"/>
          <w:marTop w:val="0"/>
          <w:marBottom w:val="0"/>
          <w:divBdr>
            <w:top w:val="none" w:sz="0" w:space="0" w:color="auto"/>
            <w:left w:val="none" w:sz="0" w:space="0" w:color="auto"/>
            <w:bottom w:val="none" w:sz="0" w:space="0" w:color="auto"/>
            <w:right w:val="none" w:sz="0" w:space="0" w:color="auto"/>
          </w:divBdr>
          <w:divsChild>
            <w:div w:id="1070466641">
              <w:marLeft w:val="0"/>
              <w:marRight w:val="0"/>
              <w:marTop w:val="0"/>
              <w:marBottom w:val="0"/>
              <w:divBdr>
                <w:top w:val="none" w:sz="0" w:space="0" w:color="auto"/>
                <w:left w:val="none" w:sz="0" w:space="0" w:color="auto"/>
                <w:bottom w:val="none" w:sz="0" w:space="0" w:color="auto"/>
                <w:right w:val="none" w:sz="0" w:space="0" w:color="auto"/>
              </w:divBdr>
            </w:div>
          </w:divsChild>
        </w:div>
        <w:div w:id="1614170002">
          <w:marLeft w:val="0"/>
          <w:marRight w:val="0"/>
          <w:marTop w:val="0"/>
          <w:marBottom w:val="0"/>
          <w:divBdr>
            <w:top w:val="none" w:sz="0" w:space="0" w:color="auto"/>
            <w:left w:val="none" w:sz="0" w:space="0" w:color="auto"/>
            <w:bottom w:val="none" w:sz="0" w:space="0" w:color="auto"/>
            <w:right w:val="none" w:sz="0" w:space="0" w:color="auto"/>
          </w:divBdr>
          <w:divsChild>
            <w:div w:id="1773933702">
              <w:marLeft w:val="0"/>
              <w:marRight w:val="0"/>
              <w:marTop w:val="0"/>
              <w:marBottom w:val="0"/>
              <w:divBdr>
                <w:top w:val="none" w:sz="0" w:space="0" w:color="auto"/>
                <w:left w:val="none" w:sz="0" w:space="0" w:color="auto"/>
                <w:bottom w:val="none" w:sz="0" w:space="0" w:color="auto"/>
                <w:right w:val="none" w:sz="0" w:space="0" w:color="auto"/>
              </w:divBdr>
            </w:div>
          </w:divsChild>
        </w:div>
        <w:div w:id="1615675785">
          <w:marLeft w:val="0"/>
          <w:marRight w:val="0"/>
          <w:marTop w:val="0"/>
          <w:marBottom w:val="0"/>
          <w:divBdr>
            <w:top w:val="none" w:sz="0" w:space="0" w:color="auto"/>
            <w:left w:val="none" w:sz="0" w:space="0" w:color="auto"/>
            <w:bottom w:val="none" w:sz="0" w:space="0" w:color="auto"/>
            <w:right w:val="none" w:sz="0" w:space="0" w:color="auto"/>
          </w:divBdr>
          <w:divsChild>
            <w:div w:id="182062750">
              <w:marLeft w:val="0"/>
              <w:marRight w:val="0"/>
              <w:marTop w:val="0"/>
              <w:marBottom w:val="0"/>
              <w:divBdr>
                <w:top w:val="none" w:sz="0" w:space="0" w:color="auto"/>
                <w:left w:val="none" w:sz="0" w:space="0" w:color="auto"/>
                <w:bottom w:val="none" w:sz="0" w:space="0" w:color="auto"/>
                <w:right w:val="none" w:sz="0" w:space="0" w:color="auto"/>
              </w:divBdr>
            </w:div>
          </w:divsChild>
        </w:div>
        <w:div w:id="1615940746">
          <w:marLeft w:val="0"/>
          <w:marRight w:val="0"/>
          <w:marTop w:val="0"/>
          <w:marBottom w:val="0"/>
          <w:divBdr>
            <w:top w:val="none" w:sz="0" w:space="0" w:color="auto"/>
            <w:left w:val="none" w:sz="0" w:space="0" w:color="auto"/>
            <w:bottom w:val="none" w:sz="0" w:space="0" w:color="auto"/>
            <w:right w:val="none" w:sz="0" w:space="0" w:color="auto"/>
          </w:divBdr>
          <w:divsChild>
            <w:div w:id="291063749">
              <w:marLeft w:val="0"/>
              <w:marRight w:val="0"/>
              <w:marTop w:val="0"/>
              <w:marBottom w:val="0"/>
              <w:divBdr>
                <w:top w:val="none" w:sz="0" w:space="0" w:color="auto"/>
                <w:left w:val="none" w:sz="0" w:space="0" w:color="auto"/>
                <w:bottom w:val="none" w:sz="0" w:space="0" w:color="auto"/>
                <w:right w:val="none" w:sz="0" w:space="0" w:color="auto"/>
              </w:divBdr>
            </w:div>
          </w:divsChild>
        </w:div>
        <w:div w:id="1621522733">
          <w:marLeft w:val="0"/>
          <w:marRight w:val="0"/>
          <w:marTop w:val="0"/>
          <w:marBottom w:val="0"/>
          <w:divBdr>
            <w:top w:val="none" w:sz="0" w:space="0" w:color="auto"/>
            <w:left w:val="none" w:sz="0" w:space="0" w:color="auto"/>
            <w:bottom w:val="none" w:sz="0" w:space="0" w:color="auto"/>
            <w:right w:val="none" w:sz="0" w:space="0" w:color="auto"/>
          </w:divBdr>
          <w:divsChild>
            <w:div w:id="1284383352">
              <w:marLeft w:val="0"/>
              <w:marRight w:val="0"/>
              <w:marTop w:val="0"/>
              <w:marBottom w:val="0"/>
              <w:divBdr>
                <w:top w:val="none" w:sz="0" w:space="0" w:color="auto"/>
                <w:left w:val="none" w:sz="0" w:space="0" w:color="auto"/>
                <w:bottom w:val="none" w:sz="0" w:space="0" w:color="auto"/>
                <w:right w:val="none" w:sz="0" w:space="0" w:color="auto"/>
              </w:divBdr>
            </w:div>
          </w:divsChild>
        </w:div>
        <w:div w:id="1626080246">
          <w:marLeft w:val="0"/>
          <w:marRight w:val="0"/>
          <w:marTop w:val="0"/>
          <w:marBottom w:val="0"/>
          <w:divBdr>
            <w:top w:val="none" w:sz="0" w:space="0" w:color="auto"/>
            <w:left w:val="none" w:sz="0" w:space="0" w:color="auto"/>
            <w:bottom w:val="none" w:sz="0" w:space="0" w:color="auto"/>
            <w:right w:val="none" w:sz="0" w:space="0" w:color="auto"/>
          </w:divBdr>
          <w:divsChild>
            <w:div w:id="1662463772">
              <w:marLeft w:val="0"/>
              <w:marRight w:val="0"/>
              <w:marTop w:val="0"/>
              <w:marBottom w:val="0"/>
              <w:divBdr>
                <w:top w:val="none" w:sz="0" w:space="0" w:color="auto"/>
                <w:left w:val="none" w:sz="0" w:space="0" w:color="auto"/>
                <w:bottom w:val="none" w:sz="0" w:space="0" w:color="auto"/>
                <w:right w:val="none" w:sz="0" w:space="0" w:color="auto"/>
              </w:divBdr>
            </w:div>
          </w:divsChild>
        </w:div>
        <w:div w:id="1630471827">
          <w:marLeft w:val="0"/>
          <w:marRight w:val="0"/>
          <w:marTop w:val="0"/>
          <w:marBottom w:val="0"/>
          <w:divBdr>
            <w:top w:val="none" w:sz="0" w:space="0" w:color="auto"/>
            <w:left w:val="none" w:sz="0" w:space="0" w:color="auto"/>
            <w:bottom w:val="none" w:sz="0" w:space="0" w:color="auto"/>
            <w:right w:val="none" w:sz="0" w:space="0" w:color="auto"/>
          </w:divBdr>
          <w:divsChild>
            <w:div w:id="1818643233">
              <w:marLeft w:val="0"/>
              <w:marRight w:val="0"/>
              <w:marTop w:val="0"/>
              <w:marBottom w:val="0"/>
              <w:divBdr>
                <w:top w:val="none" w:sz="0" w:space="0" w:color="auto"/>
                <w:left w:val="none" w:sz="0" w:space="0" w:color="auto"/>
                <w:bottom w:val="none" w:sz="0" w:space="0" w:color="auto"/>
                <w:right w:val="none" w:sz="0" w:space="0" w:color="auto"/>
              </w:divBdr>
            </w:div>
          </w:divsChild>
        </w:div>
        <w:div w:id="1633320685">
          <w:marLeft w:val="0"/>
          <w:marRight w:val="0"/>
          <w:marTop w:val="0"/>
          <w:marBottom w:val="0"/>
          <w:divBdr>
            <w:top w:val="none" w:sz="0" w:space="0" w:color="auto"/>
            <w:left w:val="none" w:sz="0" w:space="0" w:color="auto"/>
            <w:bottom w:val="none" w:sz="0" w:space="0" w:color="auto"/>
            <w:right w:val="none" w:sz="0" w:space="0" w:color="auto"/>
          </w:divBdr>
          <w:divsChild>
            <w:div w:id="1730034524">
              <w:marLeft w:val="0"/>
              <w:marRight w:val="0"/>
              <w:marTop w:val="0"/>
              <w:marBottom w:val="0"/>
              <w:divBdr>
                <w:top w:val="none" w:sz="0" w:space="0" w:color="auto"/>
                <w:left w:val="none" w:sz="0" w:space="0" w:color="auto"/>
                <w:bottom w:val="none" w:sz="0" w:space="0" w:color="auto"/>
                <w:right w:val="none" w:sz="0" w:space="0" w:color="auto"/>
              </w:divBdr>
            </w:div>
          </w:divsChild>
        </w:div>
        <w:div w:id="1635452804">
          <w:marLeft w:val="0"/>
          <w:marRight w:val="0"/>
          <w:marTop w:val="0"/>
          <w:marBottom w:val="0"/>
          <w:divBdr>
            <w:top w:val="none" w:sz="0" w:space="0" w:color="auto"/>
            <w:left w:val="none" w:sz="0" w:space="0" w:color="auto"/>
            <w:bottom w:val="none" w:sz="0" w:space="0" w:color="auto"/>
            <w:right w:val="none" w:sz="0" w:space="0" w:color="auto"/>
          </w:divBdr>
          <w:divsChild>
            <w:div w:id="854851870">
              <w:marLeft w:val="0"/>
              <w:marRight w:val="0"/>
              <w:marTop w:val="0"/>
              <w:marBottom w:val="0"/>
              <w:divBdr>
                <w:top w:val="none" w:sz="0" w:space="0" w:color="auto"/>
                <w:left w:val="none" w:sz="0" w:space="0" w:color="auto"/>
                <w:bottom w:val="none" w:sz="0" w:space="0" w:color="auto"/>
                <w:right w:val="none" w:sz="0" w:space="0" w:color="auto"/>
              </w:divBdr>
            </w:div>
          </w:divsChild>
        </w:div>
        <w:div w:id="1636988757">
          <w:marLeft w:val="0"/>
          <w:marRight w:val="0"/>
          <w:marTop w:val="0"/>
          <w:marBottom w:val="0"/>
          <w:divBdr>
            <w:top w:val="none" w:sz="0" w:space="0" w:color="auto"/>
            <w:left w:val="none" w:sz="0" w:space="0" w:color="auto"/>
            <w:bottom w:val="none" w:sz="0" w:space="0" w:color="auto"/>
            <w:right w:val="none" w:sz="0" w:space="0" w:color="auto"/>
          </w:divBdr>
          <w:divsChild>
            <w:div w:id="1971010223">
              <w:marLeft w:val="0"/>
              <w:marRight w:val="0"/>
              <w:marTop w:val="0"/>
              <w:marBottom w:val="0"/>
              <w:divBdr>
                <w:top w:val="none" w:sz="0" w:space="0" w:color="auto"/>
                <w:left w:val="none" w:sz="0" w:space="0" w:color="auto"/>
                <w:bottom w:val="none" w:sz="0" w:space="0" w:color="auto"/>
                <w:right w:val="none" w:sz="0" w:space="0" w:color="auto"/>
              </w:divBdr>
            </w:div>
          </w:divsChild>
        </w:div>
        <w:div w:id="1639146663">
          <w:marLeft w:val="0"/>
          <w:marRight w:val="0"/>
          <w:marTop w:val="0"/>
          <w:marBottom w:val="0"/>
          <w:divBdr>
            <w:top w:val="none" w:sz="0" w:space="0" w:color="auto"/>
            <w:left w:val="none" w:sz="0" w:space="0" w:color="auto"/>
            <w:bottom w:val="none" w:sz="0" w:space="0" w:color="auto"/>
            <w:right w:val="none" w:sz="0" w:space="0" w:color="auto"/>
          </w:divBdr>
          <w:divsChild>
            <w:div w:id="538202927">
              <w:marLeft w:val="0"/>
              <w:marRight w:val="0"/>
              <w:marTop w:val="0"/>
              <w:marBottom w:val="0"/>
              <w:divBdr>
                <w:top w:val="none" w:sz="0" w:space="0" w:color="auto"/>
                <w:left w:val="none" w:sz="0" w:space="0" w:color="auto"/>
                <w:bottom w:val="none" w:sz="0" w:space="0" w:color="auto"/>
                <w:right w:val="none" w:sz="0" w:space="0" w:color="auto"/>
              </w:divBdr>
            </w:div>
          </w:divsChild>
        </w:div>
        <w:div w:id="1644383300">
          <w:marLeft w:val="0"/>
          <w:marRight w:val="0"/>
          <w:marTop w:val="0"/>
          <w:marBottom w:val="0"/>
          <w:divBdr>
            <w:top w:val="none" w:sz="0" w:space="0" w:color="auto"/>
            <w:left w:val="none" w:sz="0" w:space="0" w:color="auto"/>
            <w:bottom w:val="none" w:sz="0" w:space="0" w:color="auto"/>
            <w:right w:val="none" w:sz="0" w:space="0" w:color="auto"/>
          </w:divBdr>
          <w:divsChild>
            <w:div w:id="1607806848">
              <w:marLeft w:val="0"/>
              <w:marRight w:val="0"/>
              <w:marTop w:val="0"/>
              <w:marBottom w:val="0"/>
              <w:divBdr>
                <w:top w:val="none" w:sz="0" w:space="0" w:color="auto"/>
                <w:left w:val="none" w:sz="0" w:space="0" w:color="auto"/>
                <w:bottom w:val="none" w:sz="0" w:space="0" w:color="auto"/>
                <w:right w:val="none" w:sz="0" w:space="0" w:color="auto"/>
              </w:divBdr>
            </w:div>
          </w:divsChild>
        </w:div>
        <w:div w:id="1652951789">
          <w:marLeft w:val="0"/>
          <w:marRight w:val="0"/>
          <w:marTop w:val="0"/>
          <w:marBottom w:val="0"/>
          <w:divBdr>
            <w:top w:val="none" w:sz="0" w:space="0" w:color="auto"/>
            <w:left w:val="none" w:sz="0" w:space="0" w:color="auto"/>
            <w:bottom w:val="none" w:sz="0" w:space="0" w:color="auto"/>
            <w:right w:val="none" w:sz="0" w:space="0" w:color="auto"/>
          </w:divBdr>
          <w:divsChild>
            <w:div w:id="1594899489">
              <w:marLeft w:val="0"/>
              <w:marRight w:val="0"/>
              <w:marTop w:val="0"/>
              <w:marBottom w:val="0"/>
              <w:divBdr>
                <w:top w:val="none" w:sz="0" w:space="0" w:color="auto"/>
                <w:left w:val="none" w:sz="0" w:space="0" w:color="auto"/>
                <w:bottom w:val="none" w:sz="0" w:space="0" w:color="auto"/>
                <w:right w:val="none" w:sz="0" w:space="0" w:color="auto"/>
              </w:divBdr>
            </w:div>
          </w:divsChild>
        </w:div>
        <w:div w:id="1655453472">
          <w:marLeft w:val="0"/>
          <w:marRight w:val="0"/>
          <w:marTop w:val="0"/>
          <w:marBottom w:val="0"/>
          <w:divBdr>
            <w:top w:val="none" w:sz="0" w:space="0" w:color="auto"/>
            <w:left w:val="none" w:sz="0" w:space="0" w:color="auto"/>
            <w:bottom w:val="none" w:sz="0" w:space="0" w:color="auto"/>
            <w:right w:val="none" w:sz="0" w:space="0" w:color="auto"/>
          </w:divBdr>
          <w:divsChild>
            <w:div w:id="132479761">
              <w:marLeft w:val="0"/>
              <w:marRight w:val="0"/>
              <w:marTop w:val="0"/>
              <w:marBottom w:val="0"/>
              <w:divBdr>
                <w:top w:val="none" w:sz="0" w:space="0" w:color="auto"/>
                <w:left w:val="none" w:sz="0" w:space="0" w:color="auto"/>
                <w:bottom w:val="none" w:sz="0" w:space="0" w:color="auto"/>
                <w:right w:val="none" w:sz="0" w:space="0" w:color="auto"/>
              </w:divBdr>
            </w:div>
          </w:divsChild>
        </w:div>
        <w:div w:id="1658026853">
          <w:marLeft w:val="0"/>
          <w:marRight w:val="0"/>
          <w:marTop w:val="0"/>
          <w:marBottom w:val="0"/>
          <w:divBdr>
            <w:top w:val="none" w:sz="0" w:space="0" w:color="auto"/>
            <w:left w:val="none" w:sz="0" w:space="0" w:color="auto"/>
            <w:bottom w:val="none" w:sz="0" w:space="0" w:color="auto"/>
            <w:right w:val="none" w:sz="0" w:space="0" w:color="auto"/>
          </w:divBdr>
          <w:divsChild>
            <w:div w:id="592707720">
              <w:marLeft w:val="0"/>
              <w:marRight w:val="0"/>
              <w:marTop w:val="0"/>
              <w:marBottom w:val="0"/>
              <w:divBdr>
                <w:top w:val="none" w:sz="0" w:space="0" w:color="auto"/>
                <w:left w:val="none" w:sz="0" w:space="0" w:color="auto"/>
                <w:bottom w:val="none" w:sz="0" w:space="0" w:color="auto"/>
                <w:right w:val="none" w:sz="0" w:space="0" w:color="auto"/>
              </w:divBdr>
            </w:div>
          </w:divsChild>
        </w:div>
        <w:div w:id="1662539350">
          <w:marLeft w:val="0"/>
          <w:marRight w:val="0"/>
          <w:marTop w:val="0"/>
          <w:marBottom w:val="0"/>
          <w:divBdr>
            <w:top w:val="none" w:sz="0" w:space="0" w:color="auto"/>
            <w:left w:val="none" w:sz="0" w:space="0" w:color="auto"/>
            <w:bottom w:val="none" w:sz="0" w:space="0" w:color="auto"/>
            <w:right w:val="none" w:sz="0" w:space="0" w:color="auto"/>
          </w:divBdr>
          <w:divsChild>
            <w:div w:id="1880435938">
              <w:marLeft w:val="0"/>
              <w:marRight w:val="0"/>
              <w:marTop w:val="0"/>
              <w:marBottom w:val="0"/>
              <w:divBdr>
                <w:top w:val="none" w:sz="0" w:space="0" w:color="auto"/>
                <w:left w:val="none" w:sz="0" w:space="0" w:color="auto"/>
                <w:bottom w:val="none" w:sz="0" w:space="0" w:color="auto"/>
                <w:right w:val="none" w:sz="0" w:space="0" w:color="auto"/>
              </w:divBdr>
            </w:div>
          </w:divsChild>
        </w:div>
        <w:div w:id="1662545285">
          <w:marLeft w:val="0"/>
          <w:marRight w:val="0"/>
          <w:marTop w:val="0"/>
          <w:marBottom w:val="0"/>
          <w:divBdr>
            <w:top w:val="none" w:sz="0" w:space="0" w:color="auto"/>
            <w:left w:val="none" w:sz="0" w:space="0" w:color="auto"/>
            <w:bottom w:val="none" w:sz="0" w:space="0" w:color="auto"/>
            <w:right w:val="none" w:sz="0" w:space="0" w:color="auto"/>
          </w:divBdr>
          <w:divsChild>
            <w:div w:id="1752048491">
              <w:marLeft w:val="0"/>
              <w:marRight w:val="0"/>
              <w:marTop w:val="0"/>
              <w:marBottom w:val="0"/>
              <w:divBdr>
                <w:top w:val="none" w:sz="0" w:space="0" w:color="auto"/>
                <w:left w:val="none" w:sz="0" w:space="0" w:color="auto"/>
                <w:bottom w:val="none" w:sz="0" w:space="0" w:color="auto"/>
                <w:right w:val="none" w:sz="0" w:space="0" w:color="auto"/>
              </w:divBdr>
            </w:div>
          </w:divsChild>
        </w:div>
        <w:div w:id="1664578125">
          <w:marLeft w:val="0"/>
          <w:marRight w:val="0"/>
          <w:marTop w:val="0"/>
          <w:marBottom w:val="0"/>
          <w:divBdr>
            <w:top w:val="none" w:sz="0" w:space="0" w:color="auto"/>
            <w:left w:val="none" w:sz="0" w:space="0" w:color="auto"/>
            <w:bottom w:val="none" w:sz="0" w:space="0" w:color="auto"/>
            <w:right w:val="none" w:sz="0" w:space="0" w:color="auto"/>
          </w:divBdr>
          <w:divsChild>
            <w:div w:id="303825629">
              <w:marLeft w:val="0"/>
              <w:marRight w:val="0"/>
              <w:marTop w:val="0"/>
              <w:marBottom w:val="0"/>
              <w:divBdr>
                <w:top w:val="none" w:sz="0" w:space="0" w:color="auto"/>
                <w:left w:val="none" w:sz="0" w:space="0" w:color="auto"/>
                <w:bottom w:val="none" w:sz="0" w:space="0" w:color="auto"/>
                <w:right w:val="none" w:sz="0" w:space="0" w:color="auto"/>
              </w:divBdr>
            </w:div>
          </w:divsChild>
        </w:div>
        <w:div w:id="1677881204">
          <w:marLeft w:val="0"/>
          <w:marRight w:val="0"/>
          <w:marTop w:val="0"/>
          <w:marBottom w:val="0"/>
          <w:divBdr>
            <w:top w:val="none" w:sz="0" w:space="0" w:color="auto"/>
            <w:left w:val="none" w:sz="0" w:space="0" w:color="auto"/>
            <w:bottom w:val="none" w:sz="0" w:space="0" w:color="auto"/>
            <w:right w:val="none" w:sz="0" w:space="0" w:color="auto"/>
          </w:divBdr>
          <w:divsChild>
            <w:div w:id="1033307052">
              <w:marLeft w:val="0"/>
              <w:marRight w:val="0"/>
              <w:marTop w:val="0"/>
              <w:marBottom w:val="0"/>
              <w:divBdr>
                <w:top w:val="none" w:sz="0" w:space="0" w:color="auto"/>
                <w:left w:val="none" w:sz="0" w:space="0" w:color="auto"/>
                <w:bottom w:val="none" w:sz="0" w:space="0" w:color="auto"/>
                <w:right w:val="none" w:sz="0" w:space="0" w:color="auto"/>
              </w:divBdr>
            </w:div>
          </w:divsChild>
        </w:div>
        <w:div w:id="1679578911">
          <w:marLeft w:val="0"/>
          <w:marRight w:val="0"/>
          <w:marTop w:val="0"/>
          <w:marBottom w:val="0"/>
          <w:divBdr>
            <w:top w:val="none" w:sz="0" w:space="0" w:color="auto"/>
            <w:left w:val="none" w:sz="0" w:space="0" w:color="auto"/>
            <w:bottom w:val="none" w:sz="0" w:space="0" w:color="auto"/>
            <w:right w:val="none" w:sz="0" w:space="0" w:color="auto"/>
          </w:divBdr>
          <w:divsChild>
            <w:div w:id="1702974809">
              <w:marLeft w:val="0"/>
              <w:marRight w:val="0"/>
              <w:marTop w:val="0"/>
              <w:marBottom w:val="0"/>
              <w:divBdr>
                <w:top w:val="none" w:sz="0" w:space="0" w:color="auto"/>
                <w:left w:val="none" w:sz="0" w:space="0" w:color="auto"/>
                <w:bottom w:val="none" w:sz="0" w:space="0" w:color="auto"/>
                <w:right w:val="none" w:sz="0" w:space="0" w:color="auto"/>
              </w:divBdr>
            </w:div>
          </w:divsChild>
        </w:div>
        <w:div w:id="1684890419">
          <w:marLeft w:val="0"/>
          <w:marRight w:val="0"/>
          <w:marTop w:val="0"/>
          <w:marBottom w:val="0"/>
          <w:divBdr>
            <w:top w:val="none" w:sz="0" w:space="0" w:color="auto"/>
            <w:left w:val="none" w:sz="0" w:space="0" w:color="auto"/>
            <w:bottom w:val="none" w:sz="0" w:space="0" w:color="auto"/>
            <w:right w:val="none" w:sz="0" w:space="0" w:color="auto"/>
          </w:divBdr>
          <w:divsChild>
            <w:div w:id="1102648868">
              <w:marLeft w:val="0"/>
              <w:marRight w:val="0"/>
              <w:marTop w:val="0"/>
              <w:marBottom w:val="0"/>
              <w:divBdr>
                <w:top w:val="none" w:sz="0" w:space="0" w:color="auto"/>
                <w:left w:val="none" w:sz="0" w:space="0" w:color="auto"/>
                <w:bottom w:val="none" w:sz="0" w:space="0" w:color="auto"/>
                <w:right w:val="none" w:sz="0" w:space="0" w:color="auto"/>
              </w:divBdr>
            </w:div>
          </w:divsChild>
        </w:div>
        <w:div w:id="1696807043">
          <w:marLeft w:val="0"/>
          <w:marRight w:val="0"/>
          <w:marTop w:val="0"/>
          <w:marBottom w:val="0"/>
          <w:divBdr>
            <w:top w:val="none" w:sz="0" w:space="0" w:color="auto"/>
            <w:left w:val="none" w:sz="0" w:space="0" w:color="auto"/>
            <w:bottom w:val="none" w:sz="0" w:space="0" w:color="auto"/>
            <w:right w:val="none" w:sz="0" w:space="0" w:color="auto"/>
          </w:divBdr>
          <w:divsChild>
            <w:div w:id="1164857976">
              <w:marLeft w:val="0"/>
              <w:marRight w:val="0"/>
              <w:marTop w:val="0"/>
              <w:marBottom w:val="0"/>
              <w:divBdr>
                <w:top w:val="none" w:sz="0" w:space="0" w:color="auto"/>
                <w:left w:val="none" w:sz="0" w:space="0" w:color="auto"/>
                <w:bottom w:val="none" w:sz="0" w:space="0" w:color="auto"/>
                <w:right w:val="none" w:sz="0" w:space="0" w:color="auto"/>
              </w:divBdr>
            </w:div>
          </w:divsChild>
        </w:div>
        <w:div w:id="1697464808">
          <w:marLeft w:val="0"/>
          <w:marRight w:val="0"/>
          <w:marTop w:val="0"/>
          <w:marBottom w:val="0"/>
          <w:divBdr>
            <w:top w:val="none" w:sz="0" w:space="0" w:color="auto"/>
            <w:left w:val="none" w:sz="0" w:space="0" w:color="auto"/>
            <w:bottom w:val="none" w:sz="0" w:space="0" w:color="auto"/>
            <w:right w:val="none" w:sz="0" w:space="0" w:color="auto"/>
          </w:divBdr>
          <w:divsChild>
            <w:div w:id="1892420111">
              <w:marLeft w:val="0"/>
              <w:marRight w:val="0"/>
              <w:marTop w:val="0"/>
              <w:marBottom w:val="0"/>
              <w:divBdr>
                <w:top w:val="none" w:sz="0" w:space="0" w:color="auto"/>
                <w:left w:val="none" w:sz="0" w:space="0" w:color="auto"/>
                <w:bottom w:val="none" w:sz="0" w:space="0" w:color="auto"/>
                <w:right w:val="none" w:sz="0" w:space="0" w:color="auto"/>
              </w:divBdr>
            </w:div>
          </w:divsChild>
        </w:div>
        <w:div w:id="1700617726">
          <w:marLeft w:val="0"/>
          <w:marRight w:val="0"/>
          <w:marTop w:val="0"/>
          <w:marBottom w:val="0"/>
          <w:divBdr>
            <w:top w:val="none" w:sz="0" w:space="0" w:color="auto"/>
            <w:left w:val="none" w:sz="0" w:space="0" w:color="auto"/>
            <w:bottom w:val="none" w:sz="0" w:space="0" w:color="auto"/>
            <w:right w:val="none" w:sz="0" w:space="0" w:color="auto"/>
          </w:divBdr>
          <w:divsChild>
            <w:div w:id="1613435287">
              <w:marLeft w:val="0"/>
              <w:marRight w:val="0"/>
              <w:marTop w:val="0"/>
              <w:marBottom w:val="0"/>
              <w:divBdr>
                <w:top w:val="none" w:sz="0" w:space="0" w:color="auto"/>
                <w:left w:val="none" w:sz="0" w:space="0" w:color="auto"/>
                <w:bottom w:val="none" w:sz="0" w:space="0" w:color="auto"/>
                <w:right w:val="none" w:sz="0" w:space="0" w:color="auto"/>
              </w:divBdr>
            </w:div>
          </w:divsChild>
        </w:div>
        <w:div w:id="1707372368">
          <w:marLeft w:val="0"/>
          <w:marRight w:val="0"/>
          <w:marTop w:val="0"/>
          <w:marBottom w:val="0"/>
          <w:divBdr>
            <w:top w:val="none" w:sz="0" w:space="0" w:color="auto"/>
            <w:left w:val="none" w:sz="0" w:space="0" w:color="auto"/>
            <w:bottom w:val="none" w:sz="0" w:space="0" w:color="auto"/>
            <w:right w:val="none" w:sz="0" w:space="0" w:color="auto"/>
          </w:divBdr>
          <w:divsChild>
            <w:div w:id="1604652005">
              <w:marLeft w:val="0"/>
              <w:marRight w:val="0"/>
              <w:marTop w:val="0"/>
              <w:marBottom w:val="0"/>
              <w:divBdr>
                <w:top w:val="none" w:sz="0" w:space="0" w:color="auto"/>
                <w:left w:val="none" w:sz="0" w:space="0" w:color="auto"/>
                <w:bottom w:val="none" w:sz="0" w:space="0" w:color="auto"/>
                <w:right w:val="none" w:sz="0" w:space="0" w:color="auto"/>
              </w:divBdr>
            </w:div>
          </w:divsChild>
        </w:div>
        <w:div w:id="1711565594">
          <w:marLeft w:val="0"/>
          <w:marRight w:val="0"/>
          <w:marTop w:val="0"/>
          <w:marBottom w:val="0"/>
          <w:divBdr>
            <w:top w:val="none" w:sz="0" w:space="0" w:color="auto"/>
            <w:left w:val="none" w:sz="0" w:space="0" w:color="auto"/>
            <w:bottom w:val="none" w:sz="0" w:space="0" w:color="auto"/>
            <w:right w:val="none" w:sz="0" w:space="0" w:color="auto"/>
          </w:divBdr>
          <w:divsChild>
            <w:div w:id="1999920871">
              <w:marLeft w:val="0"/>
              <w:marRight w:val="0"/>
              <w:marTop w:val="0"/>
              <w:marBottom w:val="0"/>
              <w:divBdr>
                <w:top w:val="none" w:sz="0" w:space="0" w:color="auto"/>
                <w:left w:val="none" w:sz="0" w:space="0" w:color="auto"/>
                <w:bottom w:val="none" w:sz="0" w:space="0" w:color="auto"/>
                <w:right w:val="none" w:sz="0" w:space="0" w:color="auto"/>
              </w:divBdr>
            </w:div>
          </w:divsChild>
        </w:div>
        <w:div w:id="1716807198">
          <w:marLeft w:val="0"/>
          <w:marRight w:val="0"/>
          <w:marTop w:val="0"/>
          <w:marBottom w:val="0"/>
          <w:divBdr>
            <w:top w:val="none" w:sz="0" w:space="0" w:color="auto"/>
            <w:left w:val="none" w:sz="0" w:space="0" w:color="auto"/>
            <w:bottom w:val="none" w:sz="0" w:space="0" w:color="auto"/>
            <w:right w:val="none" w:sz="0" w:space="0" w:color="auto"/>
          </w:divBdr>
          <w:divsChild>
            <w:div w:id="725033539">
              <w:marLeft w:val="0"/>
              <w:marRight w:val="0"/>
              <w:marTop w:val="0"/>
              <w:marBottom w:val="0"/>
              <w:divBdr>
                <w:top w:val="none" w:sz="0" w:space="0" w:color="auto"/>
                <w:left w:val="none" w:sz="0" w:space="0" w:color="auto"/>
                <w:bottom w:val="none" w:sz="0" w:space="0" w:color="auto"/>
                <w:right w:val="none" w:sz="0" w:space="0" w:color="auto"/>
              </w:divBdr>
            </w:div>
          </w:divsChild>
        </w:div>
        <w:div w:id="1719356395">
          <w:marLeft w:val="0"/>
          <w:marRight w:val="0"/>
          <w:marTop w:val="0"/>
          <w:marBottom w:val="0"/>
          <w:divBdr>
            <w:top w:val="none" w:sz="0" w:space="0" w:color="auto"/>
            <w:left w:val="none" w:sz="0" w:space="0" w:color="auto"/>
            <w:bottom w:val="none" w:sz="0" w:space="0" w:color="auto"/>
            <w:right w:val="none" w:sz="0" w:space="0" w:color="auto"/>
          </w:divBdr>
          <w:divsChild>
            <w:div w:id="2132242929">
              <w:marLeft w:val="0"/>
              <w:marRight w:val="0"/>
              <w:marTop w:val="0"/>
              <w:marBottom w:val="0"/>
              <w:divBdr>
                <w:top w:val="none" w:sz="0" w:space="0" w:color="auto"/>
                <w:left w:val="none" w:sz="0" w:space="0" w:color="auto"/>
                <w:bottom w:val="none" w:sz="0" w:space="0" w:color="auto"/>
                <w:right w:val="none" w:sz="0" w:space="0" w:color="auto"/>
              </w:divBdr>
            </w:div>
          </w:divsChild>
        </w:div>
        <w:div w:id="1719890309">
          <w:marLeft w:val="0"/>
          <w:marRight w:val="0"/>
          <w:marTop w:val="0"/>
          <w:marBottom w:val="0"/>
          <w:divBdr>
            <w:top w:val="none" w:sz="0" w:space="0" w:color="auto"/>
            <w:left w:val="none" w:sz="0" w:space="0" w:color="auto"/>
            <w:bottom w:val="none" w:sz="0" w:space="0" w:color="auto"/>
            <w:right w:val="none" w:sz="0" w:space="0" w:color="auto"/>
          </w:divBdr>
          <w:divsChild>
            <w:div w:id="547304297">
              <w:marLeft w:val="0"/>
              <w:marRight w:val="0"/>
              <w:marTop w:val="0"/>
              <w:marBottom w:val="0"/>
              <w:divBdr>
                <w:top w:val="none" w:sz="0" w:space="0" w:color="auto"/>
                <w:left w:val="none" w:sz="0" w:space="0" w:color="auto"/>
                <w:bottom w:val="none" w:sz="0" w:space="0" w:color="auto"/>
                <w:right w:val="none" w:sz="0" w:space="0" w:color="auto"/>
              </w:divBdr>
            </w:div>
          </w:divsChild>
        </w:div>
        <w:div w:id="1730035615">
          <w:marLeft w:val="0"/>
          <w:marRight w:val="0"/>
          <w:marTop w:val="0"/>
          <w:marBottom w:val="0"/>
          <w:divBdr>
            <w:top w:val="none" w:sz="0" w:space="0" w:color="auto"/>
            <w:left w:val="none" w:sz="0" w:space="0" w:color="auto"/>
            <w:bottom w:val="none" w:sz="0" w:space="0" w:color="auto"/>
            <w:right w:val="none" w:sz="0" w:space="0" w:color="auto"/>
          </w:divBdr>
          <w:divsChild>
            <w:div w:id="58525432">
              <w:marLeft w:val="0"/>
              <w:marRight w:val="0"/>
              <w:marTop w:val="0"/>
              <w:marBottom w:val="0"/>
              <w:divBdr>
                <w:top w:val="none" w:sz="0" w:space="0" w:color="auto"/>
                <w:left w:val="none" w:sz="0" w:space="0" w:color="auto"/>
                <w:bottom w:val="none" w:sz="0" w:space="0" w:color="auto"/>
                <w:right w:val="none" w:sz="0" w:space="0" w:color="auto"/>
              </w:divBdr>
            </w:div>
          </w:divsChild>
        </w:div>
        <w:div w:id="1739549254">
          <w:marLeft w:val="0"/>
          <w:marRight w:val="0"/>
          <w:marTop w:val="0"/>
          <w:marBottom w:val="0"/>
          <w:divBdr>
            <w:top w:val="none" w:sz="0" w:space="0" w:color="auto"/>
            <w:left w:val="none" w:sz="0" w:space="0" w:color="auto"/>
            <w:bottom w:val="none" w:sz="0" w:space="0" w:color="auto"/>
            <w:right w:val="none" w:sz="0" w:space="0" w:color="auto"/>
          </w:divBdr>
          <w:divsChild>
            <w:div w:id="614946952">
              <w:marLeft w:val="0"/>
              <w:marRight w:val="0"/>
              <w:marTop w:val="0"/>
              <w:marBottom w:val="0"/>
              <w:divBdr>
                <w:top w:val="none" w:sz="0" w:space="0" w:color="auto"/>
                <w:left w:val="none" w:sz="0" w:space="0" w:color="auto"/>
                <w:bottom w:val="none" w:sz="0" w:space="0" w:color="auto"/>
                <w:right w:val="none" w:sz="0" w:space="0" w:color="auto"/>
              </w:divBdr>
            </w:div>
            <w:div w:id="1851525170">
              <w:marLeft w:val="0"/>
              <w:marRight w:val="0"/>
              <w:marTop w:val="0"/>
              <w:marBottom w:val="0"/>
              <w:divBdr>
                <w:top w:val="none" w:sz="0" w:space="0" w:color="auto"/>
                <w:left w:val="none" w:sz="0" w:space="0" w:color="auto"/>
                <w:bottom w:val="none" w:sz="0" w:space="0" w:color="auto"/>
                <w:right w:val="none" w:sz="0" w:space="0" w:color="auto"/>
              </w:divBdr>
            </w:div>
          </w:divsChild>
        </w:div>
        <w:div w:id="1741631938">
          <w:marLeft w:val="0"/>
          <w:marRight w:val="0"/>
          <w:marTop w:val="0"/>
          <w:marBottom w:val="0"/>
          <w:divBdr>
            <w:top w:val="none" w:sz="0" w:space="0" w:color="auto"/>
            <w:left w:val="none" w:sz="0" w:space="0" w:color="auto"/>
            <w:bottom w:val="none" w:sz="0" w:space="0" w:color="auto"/>
            <w:right w:val="none" w:sz="0" w:space="0" w:color="auto"/>
          </w:divBdr>
          <w:divsChild>
            <w:div w:id="312636950">
              <w:marLeft w:val="0"/>
              <w:marRight w:val="0"/>
              <w:marTop w:val="0"/>
              <w:marBottom w:val="0"/>
              <w:divBdr>
                <w:top w:val="none" w:sz="0" w:space="0" w:color="auto"/>
                <w:left w:val="none" w:sz="0" w:space="0" w:color="auto"/>
                <w:bottom w:val="none" w:sz="0" w:space="0" w:color="auto"/>
                <w:right w:val="none" w:sz="0" w:space="0" w:color="auto"/>
              </w:divBdr>
            </w:div>
          </w:divsChild>
        </w:div>
        <w:div w:id="1745028583">
          <w:marLeft w:val="0"/>
          <w:marRight w:val="0"/>
          <w:marTop w:val="0"/>
          <w:marBottom w:val="0"/>
          <w:divBdr>
            <w:top w:val="none" w:sz="0" w:space="0" w:color="auto"/>
            <w:left w:val="none" w:sz="0" w:space="0" w:color="auto"/>
            <w:bottom w:val="none" w:sz="0" w:space="0" w:color="auto"/>
            <w:right w:val="none" w:sz="0" w:space="0" w:color="auto"/>
          </w:divBdr>
          <w:divsChild>
            <w:div w:id="1770808249">
              <w:marLeft w:val="0"/>
              <w:marRight w:val="0"/>
              <w:marTop w:val="0"/>
              <w:marBottom w:val="0"/>
              <w:divBdr>
                <w:top w:val="none" w:sz="0" w:space="0" w:color="auto"/>
                <w:left w:val="none" w:sz="0" w:space="0" w:color="auto"/>
                <w:bottom w:val="none" w:sz="0" w:space="0" w:color="auto"/>
                <w:right w:val="none" w:sz="0" w:space="0" w:color="auto"/>
              </w:divBdr>
            </w:div>
          </w:divsChild>
        </w:div>
        <w:div w:id="1752703727">
          <w:marLeft w:val="0"/>
          <w:marRight w:val="0"/>
          <w:marTop w:val="0"/>
          <w:marBottom w:val="0"/>
          <w:divBdr>
            <w:top w:val="none" w:sz="0" w:space="0" w:color="auto"/>
            <w:left w:val="none" w:sz="0" w:space="0" w:color="auto"/>
            <w:bottom w:val="none" w:sz="0" w:space="0" w:color="auto"/>
            <w:right w:val="none" w:sz="0" w:space="0" w:color="auto"/>
          </w:divBdr>
          <w:divsChild>
            <w:div w:id="288782367">
              <w:marLeft w:val="0"/>
              <w:marRight w:val="0"/>
              <w:marTop w:val="0"/>
              <w:marBottom w:val="0"/>
              <w:divBdr>
                <w:top w:val="none" w:sz="0" w:space="0" w:color="auto"/>
                <w:left w:val="none" w:sz="0" w:space="0" w:color="auto"/>
                <w:bottom w:val="none" w:sz="0" w:space="0" w:color="auto"/>
                <w:right w:val="none" w:sz="0" w:space="0" w:color="auto"/>
              </w:divBdr>
            </w:div>
            <w:div w:id="1860972498">
              <w:marLeft w:val="0"/>
              <w:marRight w:val="0"/>
              <w:marTop w:val="0"/>
              <w:marBottom w:val="0"/>
              <w:divBdr>
                <w:top w:val="none" w:sz="0" w:space="0" w:color="auto"/>
                <w:left w:val="none" w:sz="0" w:space="0" w:color="auto"/>
                <w:bottom w:val="none" w:sz="0" w:space="0" w:color="auto"/>
                <w:right w:val="none" w:sz="0" w:space="0" w:color="auto"/>
              </w:divBdr>
            </w:div>
          </w:divsChild>
        </w:div>
        <w:div w:id="1754890012">
          <w:marLeft w:val="0"/>
          <w:marRight w:val="0"/>
          <w:marTop w:val="0"/>
          <w:marBottom w:val="0"/>
          <w:divBdr>
            <w:top w:val="none" w:sz="0" w:space="0" w:color="auto"/>
            <w:left w:val="none" w:sz="0" w:space="0" w:color="auto"/>
            <w:bottom w:val="none" w:sz="0" w:space="0" w:color="auto"/>
            <w:right w:val="none" w:sz="0" w:space="0" w:color="auto"/>
          </w:divBdr>
          <w:divsChild>
            <w:div w:id="980891878">
              <w:marLeft w:val="0"/>
              <w:marRight w:val="0"/>
              <w:marTop w:val="0"/>
              <w:marBottom w:val="0"/>
              <w:divBdr>
                <w:top w:val="none" w:sz="0" w:space="0" w:color="auto"/>
                <w:left w:val="none" w:sz="0" w:space="0" w:color="auto"/>
                <w:bottom w:val="none" w:sz="0" w:space="0" w:color="auto"/>
                <w:right w:val="none" w:sz="0" w:space="0" w:color="auto"/>
              </w:divBdr>
            </w:div>
          </w:divsChild>
        </w:div>
        <w:div w:id="1765033835">
          <w:marLeft w:val="0"/>
          <w:marRight w:val="0"/>
          <w:marTop w:val="0"/>
          <w:marBottom w:val="0"/>
          <w:divBdr>
            <w:top w:val="none" w:sz="0" w:space="0" w:color="auto"/>
            <w:left w:val="none" w:sz="0" w:space="0" w:color="auto"/>
            <w:bottom w:val="none" w:sz="0" w:space="0" w:color="auto"/>
            <w:right w:val="none" w:sz="0" w:space="0" w:color="auto"/>
          </w:divBdr>
          <w:divsChild>
            <w:div w:id="1451508516">
              <w:marLeft w:val="0"/>
              <w:marRight w:val="0"/>
              <w:marTop w:val="0"/>
              <w:marBottom w:val="0"/>
              <w:divBdr>
                <w:top w:val="none" w:sz="0" w:space="0" w:color="auto"/>
                <w:left w:val="none" w:sz="0" w:space="0" w:color="auto"/>
                <w:bottom w:val="none" w:sz="0" w:space="0" w:color="auto"/>
                <w:right w:val="none" w:sz="0" w:space="0" w:color="auto"/>
              </w:divBdr>
            </w:div>
          </w:divsChild>
        </w:div>
        <w:div w:id="1767529639">
          <w:marLeft w:val="0"/>
          <w:marRight w:val="0"/>
          <w:marTop w:val="0"/>
          <w:marBottom w:val="0"/>
          <w:divBdr>
            <w:top w:val="none" w:sz="0" w:space="0" w:color="auto"/>
            <w:left w:val="none" w:sz="0" w:space="0" w:color="auto"/>
            <w:bottom w:val="none" w:sz="0" w:space="0" w:color="auto"/>
            <w:right w:val="none" w:sz="0" w:space="0" w:color="auto"/>
          </w:divBdr>
          <w:divsChild>
            <w:div w:id="2072846087">
              <w:marLeft w:val="0"/>
              <w:marRight w:val="0"/>
              <w:marTop w:val="0"/>
              <w:marBottom w:val="0"/>
              <w:divBdr>
                <w:top w:val="none" w:sz="0" w:space="0" w:color="auto"/>
                <w:left w:val="none" w:sz="0" w:space="0" w:color="auto"/>
                <w:bottom w:val="none" w:sz="0" w:space="0" w:color="auto"/>
                <w:right w:val="none" w:sz="0" w:space="0" w:color="auto"/>
              </w:divBdr>
            </w:div>
          </w:divsChild>
        </w:div>
        <w:div w:id="1767655926">
          <w:marLeft w:val="0"/>
          <w:marRight w:val="0"/>
          <w:marTop w:val="0"/>
          <w:marBottom w:val="0"/>
          <w:divBdr>
            <w:top w:val="none" w:sz="0" w:space="0" w:color="auto"/>
            <w:left w:val="none" w:sz="0" w:space="0" w:color="auto"/>
            <w:bottom w:val="none" w:sz="0" w:space="0" w:color="auto"/>
            <w:right w:val="none" w:sz="0" w:space="0" w:color="auto"/>
          </w:divBdr>
          <w:divsChild>
            <w:div w:id="477889379">
              <w:marLeft w:val="0"/>
              <w:marRight w:val="0"/>
              <w:marTop w:val="0"/>
              <w:marBottom w:val="0"/>
              <w:divBdr>
                <w:top w:val="none" w:sz="0" w:space="0" w:color="auto"/>
                <w:left w:val="none" w:sz="0" w:space="0" w:color="auto"/>
                <w:bottom w:val="none" w:sz="0" w:space="0" w:color="auto"/>
                <w:right w:val="none" w:sz="0" w:space="0" w:color="auto"/>
              </w:divBdr>
            </w:div>
          </w:divsChild>
        </w:div>
        <w:div w:id="1774550777">
          <w:marLeft w:val="0"/>
          <w:marRight w:val="0"/>
          <w:marTop w:val="0"/>
          <w:marBottom w:val="0"/>
          <w:divBdr>
            <w:top w:val="none" w:sz="0" w:space="0" w:color="auto"/>
            <w:left w:val="none" w:sz="0" w:space="0" w:color="auto"/>
            <w:bottom w:val="none" w:sz="0" w:space="0" w:color="auto"/>
            <w:right w:val="none" w:sz="0" w:space="0" w:color="auto"/>
          </w:divBdr>
          <w:divsChild>
            <w:div w:id="738869098">
              <w:marLeft w:val="0"/>
              <w:marRight w:val="0"/>
              <w:marTop w:val="0"/>
              <w:marBottom w:val="0"/>
              <w:divBdr>
                <w:top w:val="none" w:sz="0" w:space="0" w:color="auto"/>
                <w:left w:val="none" w:sz="0" w:space="0" w:color="auto"/>
                <w:bottom w:val="none" w:sz="0" w:space="0" w:color="auto"/>
                <w:right w:val="none" w:sz="0" w:space="0" w:color="auto"/>
              </w:divBdr>
            </w:div>
          </w:divsChild>
        </w:div>
        <w:div w:id="1777141293">
          <w:marLeft w:val="0"/>
          <w:marRight w:val="0"/>
          <w:marTop w:val="0"/>
          <w:marBottom w:val="0"/>
          <w:divBdr>
            <w:top w:val="none" w:sz="0" w:space="0" w:color="auto"/>
            <w:left w:val="none" w:sz="0" w:space="0" w:color="auto"/>
            <w:bottom w:val="none" w:sz="0" w:space="0" w:color="auto"/>
            <w:right w:val="none" w:sz="0" w:space="0" w:color="auto"/>
          </w:divBdr>
          <w:divsChild>
            <w:div w:id="1252811776">
              <w:marLeft w:val="0"/>
              <w:marRight w:val="0"/>
              <w:marTop w:val="0"/>
              <w:marBottom w:val="0"/>
              <w:divBdr>
                <w:top w:val="none" w:sz="0" w:space="0" w:color="auto"/>
                <w:left w:val="none" w:sz="0" w:space="0" w:color="auto"/>
                <w:bottom w:val="none" w:sz="0" w:space="0" w:color="auto"/>
                <w:right w:val="none" w:sz="0" w:space="0" w:color="auto"/>
              </w:divBdr>
            </w:div>
          </w:divsChild>
        </w:div>
        <w:div w:id="1778987831">
          <w:marLeft w:val="0"/>
          <w:marRight w:val="0"/>
          <w:marTop w:val="0"/>
          <w:marBottom w:val="0"/>
          <w:divBdr>
            <w:top w:val="none" w:sz="0" w:space="0" w:color="auto"/>
            <w:left w:val="none" w:sz="0" w:space="0" w:color="auto"/>
            <w:bottom w:val="none" w:sz="0" w:space="0" w:color="auto"/>
            <w:right w:val="none" w:sz="0" w:space="0" w:color="auto"/>
          </w:divBdr>
          <w:divsChild>
            <w:div w:id="793984898">
              <w:marLeft w:val="0"/>
              <w:marRight w:val="0"/>
              <w:marTop w:val="0"/>
              <w:marBottom w:val="0"/>
              <w:divBdr>
                <w:top w:val="none" w:sz="0" w:space="0" w:color="auto"/>
                <w:left w:val="none" w:sz="0" w:space="0" w:color="auto"/>
                <w:bottom w:val="none" w:sz="0" w:space="0" w:color="auto"/>
                <w:right w:val="none" w:sz="0" w:space="0" w:color="auto"/>
              </w:divBdr>
            </w:div>
            <w:div w:id="1852335906">
              <w:marLeft w:val="0"/>
              <w:marRight w:val="0"/>
              <w:marTop w:val="0"/>
              <w:marBottom w:val="0"/>
              <w:divBdr>
                <w:top w:val="none" w:sz="0" w:space="0" w:color="auto"/>
                <w:left w:val="none" w:sz="0" w:space="0" w:color="auto"/>
                <w:bottom w:val="none" w:sz="0" w:space="0" w:color="auto"/>
                <w:right w:val="none" w:sz="0" w:space="0" w:color="auto"/>
              </w:divBdr>
            </w:div>
          </w:divsChild>
        </w:div>
        <w:div w:id="1785341271">
          <w:marLeft w:val="0"/>
          <w:marRight w:val="0"/>
          <w:marTop w:val="0"/>
          <w:marBottom w:val="0"/>
          <w:divBdr>
            <w:top w:val="none" w:sz="0" w:space="0" w:color="auto"/>
            <w:left w:val="none" w:sz="0" w:space="0" w:color="auto"/>
            <w:bottom w:val="none" w:sz="0" w:space="0" w:color="auto"/>
            <w:right w:val="none" w:sz="0" w:space="0" w:color="auto"/>
          </w:divBdr>
          <w:divsChild>
            <w:div w:id="1290093142">
              <w:marLeft w:val="0"/>
              <w:marRight w:val="0"/>
              <w:marTop w:val="0"/>
              <w:marBottom w:val="0"/>
              <w:divBdr>
                <w:top w:val="none" w:sz="0" w:space="0" w:color="auto"/>
                <w:left w:val="none" w:sz="0" w:space="0" w:color="auto"/>
                <w:bottom w:val="none" w:sz="0" w:space="0" w:color="auto"/>
                <w:right w:val="none" w:sz="0" w:space="0" w:color="auto"/>
              </w:divBdr>
            </w:div>
          </w:divsChild>
        </w:div>
        <w:div w:id="1788810293">
          <w:marLeft w:val="0"/>
          <w:marRight w:val="0"/>
          <w:marTop w:val="0"/>
          <w:marBottom w:val="0"/>
          <w:divBdr>
            <w:top w:val="none" w:sz="0" w:space="0" w:color="auto"/>
            <w:left w:val="none" w:sz="0" w:space="0" w:color="auto"/>
            <w:bottom w:val="none" w:sz="0" w:space="0" w:color="auto"/>
            <w:right w:val="none" w:sz="0" w:space="0" w:color="auto"/>
          </w:divBdr>
          <w:divsChild>
            <w:div w:id="118843710">
              <w:marLeft w:val="0"/>
              <w:marRight w:val="0"/>
              <w:marTop w:val="0"/>
              <w:marBottom w:val="0"/>
              <w:divBdr>
                <w:top w:val="none" w:sz="0" w:space="0" w:color="auto"/>
                <w:left w:val="none" w:sz="0" w:space="0" w:color="auto"/>
                <w:bottom w:val="none" w:sz="0" w:space="0" w:color="auto"/>
                <w:right w:val="none" w:sz="0" w:space="0" w:color="auto"/>
              </w:divBdr>
            </w:div>
            <w:div w:id="146745026">
              <w:marLeft w:val="0"/>
              <w:marRight w:val="0"/>
              <w:marTop w:val="0"/>
              <w:marBottom w:val="0"/>
              <w:divBdr>
                <w:top w:val="none" w:sz="0" w:space="0" w:color="auto"/>
                <w:left w:val="none" w:sz="0" w:space="0" w:color="auto"/>
                <w:bottom w:val="none" w:sz="0" w:space="0" w:color="auto"/>
                <w:right w:val="none" w:sz="0" w:space="0" w:color="auto"/>
              </w:divBdr>
            </w:div>
          </w:divsChild>
        </w:div>
        <w:div w:id="1792632230">
          <w:marLeft w:val="0"/>
          <w:marRight w:val="0"/>
          <w:marTop w:val="0"/>
          <w:marBottom w:val="0"/>
          <w:divBdr>
            <w:top w:val="none" w:sz="0" w:space="0" w:color="auto"/>
            <w:left w:val="none" w:sz="0" w:space="0" w:color="auto"/>
            <w:bottom w:val="none" w:sz="0" w:space="0" w:color="auto"/>
            <w:right w:val="none" w:sz="0" w:space="0" w:color="auto"/>
          </w:divBdr>
          <w:divsChild>
            <w:div w:id="449594032">
              <w:marLeft w:val="0"/>
              <w:marRight w:val="0"/>
              <w:marTop w:val="0"/>
              <w:marBottom w:val="0"/>
              <w:divBdr>
                <w:top w:val="none" w:sz="0" w:space="0" w:color="auto"/>
                <w:left w:val="none" w:sz="0" w:space="0" w:color="auto"/>
                <w:bottom w:val="none" w:sz="0" w:space="0" w:color="auto"/>
                <w:right w:val="none" w:sz="0" w:space="0" w:color="auto"/>
              </w:divBdr>
            </w:div>
          </w:divsChild>
        </w:div>
        <w:div w:id="1794515937">
          <w:marLeft w:val="0"/>
          <w:marRight w:val="0"/>
          <w:marTop w:val="0"/>
          <w:marBottom w:val="0"/>
          <w:divBdr>
            <w:top w:val="none" w:sz="0" w:space="0" w:color="auto"/>
            <w:left w:val="none" w:sz="0" w:space="0" w:color="auto"/>
            <w:bottom w:val="none" w:sz="0" w:space="0" w:color="auto"/>
            <w:right w:val="none" w:sz="0" w:space="0" w:color="auto"/>
          </w:divBdr>
          <w:divsChild>
            <w:div w:id="435633856">
              <w:marLeft w:val="0"/>
              <w:marRight w:val="0"/>
              <w:marTop w:val="0"/>
              <w:marBottom w:val="0"/>
              <w:divBdr>
                <w:top w:val="none" w:sz="0" w:space="0" w:color="auto"/>
                <w:left w:val="none" w:sz="0" w:space="0" w:color="auto"/>
                <w:bottom w:val="none" w:sz="0" w:space="0" w:color="auto"/>
                <w:right w:val="none" w:sz="0" w:space="0" w:color="auto"/>
              </w:divBdr>
            </w:div>
          </w:divsChild>
        </w:div>
        <w:div w:id="1799839901">
          <w:marLeft w:val="0"/>
          <w:marRight w:val="0"/>
          <w:marTop w:val="0"/>
          <w:marBottom w:val="0"/>
          <w:divBdr>
            <w:top w:val="none" w:sz="0" w:space="0" w:color="auto"/>
            <w:left w:val="none" w:sz="0" w:space="0" w:color="auto"/>
            <w:bottom w:val="none" w:sz="0" w:space="0" w:color="auto"/>
            <w:right w:val="none" w:sz="0" w:space="0" w:color="auto"/>
          </w:divBdr>
          <w:divsChild>
            <w:div w:id="502164073">
              <w:marLeft w:val="0"/>
              <w:marRight w:val="0"/>
              <w:marTop w:val="0"/>
              <w:marBottom w:val="0"/>
              <w:divBdr>
                <w:top w:val="none" w:sz="0" w:space="0" w:color="auto"/>
                <w:left w:val="none" w:sz="0" w:space="0" w:color="auto"/>
                <w:bottom w:val="none" w:sz="0" w:space="0" w:color="auto"/>
                <w:right w:val="none" w:sz="0" w:space="0" w:color="auto"/>
              </w:divBdr>
            </w:div>
          </w:divsChild>
        </w:div>
        <w:div w:id="1804301816">
          <w:marLeft w:val="0"/>
          <w:marRight w:val="0"/>
          <w:marTop w:val="0"/>
          <w:marBottom w:val="0"/>
          <w:divBdr>
            <w:top w:val="none" w:sz="0" w:space="0" w:color="auto"/>
            <w:left w:val="none" w:sz="0" w:space="0" w:color="auto"/>
            <w:bottom w:val="none" w:sz="0" w:space="0" w:color="auto"/>
            <w:right w:val="none" w:sz="0" w:space="0" w:color="auto"/>
          </w:divBdr>
          <w:divsChild>
            <w:div w:id="1729454146">
              <w:marLeft w:val="0"/>
              <w:marRight w:val="0"/>
              <w:marTop w:val="0"/>
              <w:marBottom w:val="0"/>
              <w:divBdr>
                <w:top w:val="none" w:sz="0" w:space="0" w:color="auto"/>
                <w:left w:val="none" w:sz="0" w:space="0" w:color="auto"/>
                <w:bottom w:val="none" w:sz="0" w:space="0" w:color="auto"/>
                <w:right w:val="none" w:sz="0" w:space="0" w:color="auto"/>
              </w:divBdr>
            </w:div>
          </w:divsChild>
        </w:div>
        <w:div w:id="1807114461">
          <w:marLeft w:val="0"/>
          <w:marRight w:val="0"/>
          <w:marTop w:val="0"/>
          <w:marBottom w:val="0"/>
          <w:divBdr>
            <w:top w:val="none" w:sz="0" w:space="0" w:color="auto"/>
            <w:left w:val="none" w:sz="0" w:space="0" w:color="auto"/>
            <w:bottom w:val="none" w:sz="0" w:space="0" w:color="auto"/>
            <w:right w:val="none" w:sz="0" w:space="0" w:color="auto"/>
          </w:divBdr>
          <w:divsChild>
            <w:div w:id="2023587565">
              <w:marLeft w:val="0"/>
              <w:marRight w:val="0"/>
              <w:marTop w:val="0"/>
              <w:marBottom w:val="0"/>
              <w:divBdr>
                <w:top w:val="none" w:sz="0" w:space="0" w:color="auto"/>
                <w:left w:val="none" w:sz="0" w:space="0" w:color="auto"/>
                <w:bottom w:val="none" w:sz="0" w:space="0" w:color="auto"/>
                <w:right w:val="none" w:sz="0" w:space="0" w:color="auto"/>
              </w:divBdr>
            </w:div>
          </w:divsChild>
        </w:div>
        <w:div w:id="1814255075">
          <w:marLeft w:val="0"/>
          <w:marRight w:val="0"/>
          <w:marTop w:val="0"/>
          <w:marBottom w:val="0"/>
          <w:divBdr>
            <w:top w:val="none" w:sz="0" w:space="0" w:color="auto"/>
            <w:left w:val="none" w:sz="0" w:space="0" w:color="auto"/>
            <w:bottom w:val="none" w:sz="0" w:space="0" w:color="auto"/>
            <w:right w:val="none" w:sz="0" w:space="0" w:color="auto"/>
          </w:divBdr>
          <w:divsChild>
            <w:div w:id="2057922647">
              <w:marLeft w:val="0"/>
              <w:marRight w:val="0"/>
              <w:marTop w:val="0"/>
              <w:marBottom w:val="0"/>
              <w:divBdr>
                <w:top w:val="none" w:sz="0" w:space="0" w:color="auto"/>
                <w:left w:val="none" w:sz="0" w:space="0" w:color="auto"/>
                <w:bottom w:val="none" w:sz="0" w:space="0" w:color="auto"/>
                <w:right w:val="none" w:sz="0" w:space="0" w:color="auto"/>
              </w:divBdr>
            </w:div>
          </w:divsChild>
        </w:div>
        <w:div w:id="1817213071">
          <w:marLeft w:val="0"/>
          <w:marRight w:val="0"/>
          <w:marTop w:val="0"/>
          <w:marBottom w:val="0"/>
          <w:divBdr>
            <w:top w:val="none" w:sz="0" w:space="0" w:color="auto"/>
            <w:left w:val="none" w:sz="0" w:space="0" w:color="auto"/>
            <w:bottom w:val="none" w:sz="0" w:space="0" w:color="auto"/>
            <w:right w:val="none" w:sz="0" w:space="0" w:color="auto"/>
          </w:divBdr>
          <w:divsChild>
            <w:div w:id="876431411">
              <w:marLeft w:val="0"/>
              <w:marRight w:val="0"/>
              <w:marTop w:val="0"/>
              <w:marBottom w:val="0"/>
              <w:divBdr>
                <w:top w:val="none" w:sz="0" w:space="0" w:color="auto"/>
                <w:left w:val="none" w:sz="0" w:space="0" w:color="auto"/>
                <w:bottom w:val="none" w:sz="0" w:space="0" w:color="auto"/>
                <w:right w:val="none" w:sz="0" w:space="0" w:color="auto"/>
              </w:divBdr>
            </w:div>
          </w:divsChild>
        </w:div>
        <w:div w:id="1826775085">
          <w:marLeft w:val="0"/>
          <w:marRight w:val="0"/>
          <w:marTop w:val="0"/>
          <w:marBottom w:val="0"/>
          <w:divBdr>
            <w:top w:val="none" w:sz="0" w:space="0" w:color="auto"/>
            <w:left w:val="none" w:sz="0" w:space="0" w:color="auto"/>
            <w:bottom w:val="none" w:sz="0" w:space="0" w:color="auto"/>
            <w:right w:val="none" w:sz="0" w:space="0" w:color="auto"/>
          </w:divBdr>
          <w:divsChild>
            <w:div w:id="609703631">
              <w:marLeft w:val="0"/>
              <w:marRight w:val="0"/>
              <w:marTop w:val="0"/>
              <w:marBottom w:val="0"/>
              <w:divBdr>
                <w:top w:val="none" w:sz="0" w:space="0" w:color="auto"/>
                <w:left w:val="none" w:sz="0" w:space="0" w:color="auto"/>
                <w:bottom w:val="none" w:sz="0" w:space="0" w:color="auto"/>
                <w:right w:val="none" w:sz="0" w:space="0" w:color="auto"/>
              </w:divBdr>
            </w:div>
          </w:divsChild>
        </w:div>
        <w:div w:id="1835603021">
          <w:marLeft w:val="0"/>
          <w:marRight w:val="0"/>
          <w:marTop w:val="0"/>
          <w:marBottom w:val="0"/>
          <w:divBdr>
            <w:top w:val="none" w:sz="0" w:space="0" w:color="auto"/>
            <w:left w:val="none" w:sz="0" w:space="0" w:color="auto"/>
            <w:bottom w:val="none" w:sz="0" w:space="0" w:color="auto"/>
            <w:right w:val="none" w:sz="0" w:space="0" w:color="auto"/>
          </w:divBdr>
          <w:divsChild>
            <w:div w:id="1308391865">
              <w:marLeft w:val="0"/>
              <w:marRight w:val="0"/>
              <w:marTop w:val="0"/>
              <w:marBottom w:val="0"/>
              <w:divBdr>
                <w:top w:val="none" w:sz="0" w:space="0" w:color="auto"/>
                <w:left w:val="none" w:sz="0" w:space="0" w:color="auto"/>
                <w:bottom w:val="none" w:sz="0" w:space="0" w:color="auto"/>
                <w:right w:val="none" w:sz="0" w:space="0" w:color="auto"/>
              </w:divBdr>
            </w:div>
          </w:divsChild>
        </w:div>
        <w:div w:id="1838032521">
          <w:marLeft w:val="0"/>
          <w:marRight w:val="0"/>
          <w:marTop w:val="0"/>
          <w:marBottom w:val="0"/>
          <w:divBdr>
            <w:top w:val="none" w:sz="0" w:space="0" w:color="auto"/>
            <w:left w:val="none" w:sz="0" w:space="0" w:color="auto"/>
            <w:bottom w:val="none" w:sz="0" w:space="0" w:color="auto"/>
            <w:right w:val="none" w:sz="0" w:space="0" w:color="auto"/>
          </w:divBdr>
          <w:divsChild>
            <w:div w:id="707221803">
              <w:marLeft w:val="0"/>
              <w:marRight w:val="0"/>
              <w:marTop w:val="0"/>
              <w:marBottom w:val="0"/>
              <w:divBdr>
                <w:top w:val="none" w:sz="0" w:space="0" w:color="auto"/>
                <w:left w:val="none" w:sz="0" w:space="0" w:color="auto"/>
                <w:bottom w:val="none" w:sz="0" w:space="0" w:color="auto"/>
                <w:right w:val="none" w:sz="0" w:space="0" w:color="auto"/>
              </w:divBdr>
            </w:div>
          </w:divsChild>
        </w:div>
        <w:div w:id="1839078612">
          <w:marLeft w:val="0"/>
          <w:marRight w:val="0"/>
          <w:marTop w:val="0"/>
          <w:marBottom w:val="0"/>
          <w:divBdr>
            <w:top w:val="none" w:sz="0" w:space="0" w:color="auto"/>
            <w:left w:val="none" w:sz="0" w:space="0" w:color="auto"/>
            <w:bottom w:val="none" w:sz="0" w:space="0" w:color="auto"/>
            <w:right w:val="none" w:sz="0" w:space="0" w:color="auto"/>
          </w:divBdr>
          <w:divsChild>
            <w:div w:id="866677227">
              <w:marLeft w:val="0"/>
              <w:marRight w:val="0"/>
              <w:marTop w:val="0"/>
              <w:marBottom w:val="0"/>
              <w:divBdr>
                <w:top w:val="none" w:sz="0" w:space="0" w:color="auto"/>
                <w:left w:val="none" w:sz="0" w:space="0" w:color="auto"/>
                <w:bottom w:val="none" w:sz="0" w:space="0" w:color="auto"/>
                <w:right w:val="none" w:sz="0" w:space="0" w:color="auto"/>
              </w:divBdr>
            </w:div>
          </w:divsChild>
        </w:div>
        <w:div w:id="1841460495">
          <w:marLeft w:val="0"/>
          <w:marRight w:val="0"/>
          <w:marTop w:val="0"/>
          <w:marBottom w:val="0"/>
          <w:divBdr>
            <w:top w:val="none" w:sz="0" w:space="0" w:color="auto"/>
            <w:left w:val="none" w:sz="0" w:space="0" w:color="auto"/>
            <w:bottom w:val="none" w:sz="0" w:space="0" w:color="auto"/>
            <w:right w:val="none" w:sz="0" w:space="0" w:color="auto"/>
          </w:divBdr>
          <w:divsChild>
            <w:div w:id="1942646888">
              <w:marLeft w:val="0"/>
              <w:marRight w:val="0"/>
              <w:marTop w:val="0"/>
              <w:marBottom w:val="0"/>
              <w:divBdr>
                <w:top w:val="none" w:sz="0" w:space="0" w:color="auto"/>
                <w:left w:val="none" w:sz="0" w:space="0" w:color="auto"/>
                <w:bottom w:val="none" w:sz="0" w:space="0" w:color="auto"/>
                <w:right w:val="none" w:sz="0" w:space="0" w:color="auto"/>
              </w:divBdr>
            </w:div>
          </w:divsChild>
        </w:div>
        <w:div w:id="1843277043">
          <w:marLeft w:val="0"/>
          <w:marRight w:val="0"/>
          <w:marTop w:val="0"/>
          <w:marBottom w:val="0"/>
          <w:divBdr>
            <w:top w:val="none" w:sz="0" w:space="0" w:color="auto"/>
            <w:left w:val="none" w:sz="0" w:space="0" w:color="auto"/>
            <w:bottom w:val="none" w:sz="0" w:space="0" w:color="auto"/>
            <w:right w:val="none" w:sz="0" w:space="0" w:color="auto"/>
          </w:divBdr>
          <w:divsChild>
            <w:div w:id="2104953229">
              <w:marLeft w:val="0"/>
              <w:marRight w:val="0"/>
              <w:marTop w:val="0"/>
              <w:marBottom w:val="0"/>
              <w:divBdr>
                <w:top w:val="none" w:sz="0" w:space="0" w:color="auto"/>
                <w:left w:val="none" w:sz="0" w:space="0" w:color="auto"/>
                <w:bottom w:val="none" w:sz="0" w:space="0" w:color="auto"/>
                <w:right w:val="none" w:sz="0" w:space="0" w:color="auto"/>
              </w:divBdr>
            </w:div>
          </w:divsChild>
        </w:div>
        <w:div w:id="1846094804">
          <w:marLeft w:val="0"/>
          <w:marRight w:val="0"/>
          <w:marTop w:val="0"/>
          <w:marBottom w:val="0"/>
          <w:divBdr>
            <w:top w:val="none" w:sz="0" w:space="0" w:color="auto"/>
            <w:left w:val="none" w:sz="0" w:space="0" w:color="auto"/>
            <w:bottom w:val="none" w:sz="0" w:space="0" w:color="auto"/>
            <w:right w:val="none" w:sz="0" w:space="0" w:color="auto"/>
          </w:divBdr>
          <w:divsChild>
            <w:div w:id="1515613858">
              <w:marLeft w:val="0"/>
              <w:marRight w:val="0"/>
              <w:marTop w:val="0"/>
              <w:marBottom w:val="0"/>
              <w:divBdr>
                <w:top w:val="none" w:sz="0" w:space="0" w:color="auto"/>
                <w:left w:val="none" w:sz="0" w:space="0" w:color="auto"/>
                <w:bottom w:val="none" w:sz="0" w:space="0" w:color="auto"/>
                <w:right w:val="none" w:sz="0" w:space="0" w:color="auto"/>
              </w:divBdr>
            </w:div>
          </w:divsChild>
        </w:div>
        <w:div w:id="1847816673">
          <w:marLeft w:val="0"/>
          <w:marRight w:val="0"/>
          <w:marTop w:val="0"/>
          <w:marBottom w:val="0"/>
          <w:divBdr>
            <w:top w:val="none" w:sz="0" w:space="0" w:color="auto"/>
            <w:left w:val="none" w:sz="0" w:space="0" w:color="auto"/>
            <w:bottom w:val="none" w:sz="0" w:space="0" w:color="auto"/>
            <w:right w:val="none" w:sz="0" w:space="0" w:color="auto"/>
          </w:divBdr>
          <w:divsChild>
            <w:div w:id="820075716">
              <w:marLeft w:val="0"/>
              <w:marRight w:val="0"/>
              <w:marTop w:val="0"/>
              <w:marBottom w:val="0"/>
              <w:divBdr>
                <w:top w:val="none" w:sz="0" w:space="0" w:color="auto"/>
                <w:left w:val="none" w:sz="0" w:space="0" w:color="auto"/>
                <w:bottom w:val="none" w:sz="0" w:space="0" w:color="auto"/>
                <w:right w:val="none" w:sz="0" w:space="0" w:color="auto"/>
              </w:divBdr>
            </w:div>
          </w:divsChild>
        </w:div>
        <w:div w:id="1850364245">
          <w:marLeft w:val="0"/>
          <w:marRight w:val="0"/>
          <w:marTop w:val="0"/>
          <w:marBottom w:val="0"/>
          <w:divBdr>
            <w:top w:val="none" w:sz="0" w:space="0" w:color="auto"/>
            <w:left w:val="none" w:sz="0" w:space="0" w:color="auto"/>
            <w:bottom w:val="none" w:sz="0" w:space="0" w:color="auto"/>
            <w:right w:val="none" w:sz="0" w:space="0" w:color="auto"/>
          </w:divBdr>
          <w:divsChild>
            <w:div w:id="1802722056">
              <w:marLeft w:val="0"/>
              <w:marRight w:val="0"/>
              <w:marTop w:val="0"/>
              <w:marBottom w:val="0"/>
              <w:divBdr>
                <w:top w:val="none" w:sz="0" w:space="0" w:color="auto"/>
                <w:left w:val="none" w:sz="0" w:space="0" w:color="auto"/>
                <w:bottom w:val="none" w:sz="0" w:space="0" w:color="auto"/>
                <w:right w:val="none" w:sz="0" w:space="0" w:color="auto"/>
              </w:divBdr>
            </w:div>
          </w:divsChild>
        </w:div>
        <w:div w:id="1852603582">
          <w:marLeft w:val="0"/>
          <w:marRight w:val="0"/>
          <w:marTop w:val="0"/>
          <w:marBottom w:val="0"/>
          <w:divBdr>
            <w:top w:val="none" w:sz="0" w:space="0" w:color="auto"/>
            <w:left w:val="none" w:sz="0" w:space="0" w:color="auto"/>
            <w:bottom w:val="none" w:sz="0" w:space="0" w:color="auto"/>
            <w:right w:val="none" w:sz="0" w:space="0" w:color="auto"/>
          </w:divBdr>
          <w:divsChild>
            <w:div w:id="1782021802">
              <w:marLeft w:val="0"/>
              <w:marRight w:val="0"/>
              <w:marTop w:val="0"/>
              <w:marBottom w:val="0"/>
              <w:divBdr>
                <w:top w:val="none" w:sz="0" w:space="0" w:color="auto"/>
                <w:left w:val="none" w:sz="0" w:space="0" w:color="auto"/>
                <w:bottom w:val="none" w:sz="0" w:space="0" w:color="auto"/>
                <w:right w:val="none" w:sz="0" w:space="0" w:color="auto"/>
              </w:divBdr>
            </w:div>
          </w:divsChild>
        </w:div>
        <w:div w:id="1853179270">
          <w:marLeft w:val="0"/>
          <w:marRight w:val="0"/>
          <w:marTop w:val="0"/>
          <w:marBottom w:val="0"/>
          <w:divBdr>
            <w:top w:val="none" w:sz="0" w:space="0" w:color="auto"/>
            <w:left w:val="none" w:sz="0" w:space="0" w:color="auto"/>
            <w:bottom w:val="none" w:sz="0" w:space="0" w:color="auto"/>
            <w:right w:val="none" w:sz="0" w:space="0" w:color="auto"/>
          </w:divBdr>
          <w:divsChild>
            <w:div w:id="1454515806">
              <w:marLeft w:val="0"/>
              <w:marRight w:val="0"/>
              <w:marTop w:val="0"/>
              <w:marBottom w:val="0"/>
              <w:divBdr>
                <w:top w:val="none" w:sz="0" w:space="0" w:color="auto"/>
                <w:left w:val="none" w:sz="0" w:space="0" w:color="auto"/>
                <w:bottom w:val="none" w:sz="0" w:space="0" w:color="auto"/>
                <w:right w:val="none" w:sz="0" w:space="0" w:color="auto"/>
              </w:divBdr>
            </w:div>
          </w:divsChild>
        </w:div>
        <w:div w:id="1873229493">
          <w:marLeft w:val="0"/>
          <w:marRight w:val="0"/>
          <w:marTop w:val="0"/>
          <w:marBottom w:val="0"/>
          <w:divBdr>
            <w:top w:val="none" w:sz="0" w:space="0" w:color="auto"/>
            <w:left w:val="none" w:sz="0" w:space="0" w:color="auto"/>
            <w:bottom w:val="none" w:sz="0" w:space="0" w:color="auto"/>
            <w:right w:val="none" w:sz="0" w:space="0" w:color="auto"/>
          </w:divBdr>
          <w:divsChild>
            <w:div w:id="1258906817">
              <w:marLeft w:val="0"/>
              <w:marRight w:val="0"/>
              <w:marTop w:val="0"/>
              <w:marBottom w:val="0"/>
              <w:divBdr>
                <w:top w:val="none" w:sz="0" w:space="0" w:color="auto"/>
                <w:left w:val="none" w:sz="0" w:space="0" w:color="auto"/>
                <w:bottom w:val="none" w:sz="0" w:space="0" w:color="auto"/>
                <w:right w:val="none" w:sz="0" w:space="0" w:color="auto"/>
              </w:divBdr>
            </w:div>
          </w:divsChild>
        </w:div>
        <w:div w:id="1883517804">
          <w:marLeft w:val="0"/>
          <w:marRight w:val="0"/>
          <w:marTop w:val="0"/>
          <w:marBottom w:val="0"/>
          <w:divBdr>
            <w:top w:val="none" w:sz="0" w:space="0" w:color="auto"/>
            <w:left w:val="none" w:sz="0" w:space="0" w:color="auto"/>
            <w:bottom w:val="none" w:sz="0" w:space="0" w:color="auto"/>
            <w:right w:val="none" w:sz="0" w:space="0" w:color="auto"/>
          </w:divBdr>
          <w:divsChild>
            <w:div w:id="1314411869">
              <w:marLeft w:val="0"/>
              <w:marRight w:val="0"/>
              <w:marTop w:val="0"/>
              <w:marBottom w:val="0"/>
              <w:divBdr>
                <w:top w:val="none" w:sz="0" w:space="0" w:color="auto"/>
                <w:left w:val="none" w:sz="0" w:space="0" w:color="auto"/>
                <w:bottom w:val="none" w:sz="0" w:space="0" w:color="auto"/>
                <w:right w:val="none" w:sz="0" w:space="0" w:color="auto"/>
              </w:divBdr>
            </w:div>
          </w:divsChild>
        </w:div>
        <w:div w:id="1899365807">
          <w:marLeft w:val="0"/>
          <w:marRight w:val="0"/>
          <w:marTop w:val="0"/>
          <w:marBottom w:val="0"/>
          <w:divBdr>
            <w:top w:val="none" w:sz="0" w:space="0" w:color="auto"/>
            <w:left w:val="none" w:sz="0" w:space="0" w:color="auto"/>
            <w:bottom w:val="none" w:sz="0" w:space="0" w:color="auto"/>
            <w:right w:val="none" w:sz="0" w:space="0" w:color="auto"/>
          </w:divBdr>
          <w:divsChild>
            <w:div w:id="1526795725">
              <w:marLeft w:val="0"/>
              <w:marRight w:val="0"/>
              <w:marTop w:val="0"/>
              <w:marBottom w:val="0"/>
              <w:divBdr>
                <w:top w:val="none" w:sz="0" w:space="0" w:color="auto"/>
                <w:left w:val="none" w:sz="0" w:space="0" w:color="auto"/>
                <w:bottom w:val="none" w:sz="0" w:space="0" w:color="auto"/>
                <w:right w:val="none" w:sz="0" w:space="0" w:color="auto"/>
              </w:divBdr>
            </w:div>
          </w:divsChild>
        </w:div>
        <w:div w:id="1901091232">
          <w:marLeft w:val="0"/>
          <w:marRight w:val="0"/>
          <w:marTop w:val="0"/>
          <w:marBottom w:val="0"/>
          <w:divBdr>
            <w:top w:val="none" w:sz="0" w:space="0" w:color="auto"/>
            <w:left w:val="none" w:sz="0" w:space="0" w:color="auto"/>
            <w:bottom w:val="none" w:sz="0" w:space="0" w:color="auto"/>
            <w:right w:val="none" w:sz="0" w:space="0" w:color="auto"/>
          </w:divBdr>
          <w:divsChild>
            <w:div w:id="1946039372">
              <w:marLeft w:val="0"/>
              <w:marRight w:val="0"/>
              <w:marTop w:val="0"/>
              <w:marBottom w:val="0"/>
              <w:divBdr>
                <w:top w:val="none" w:sz="0" w:space="0" w:color="auto"/>
                <w:left w:val="none" w:sz="0" w:space="0" w:color="auto"/>
                <w:bottom w:val="none" w:sz="0" w:space="0" w:color="auto"/>
                <w:right w:val="none" w:sz="0" w:space="0" w:color="auto"/>
              </w:divBdr>
            </w:div>
          </w:divsChild>
        </w:div>
        <w:div w:id="1903517418">
          <w:marLeft w:val="0"/>
          <w:marRight w:val="0"/>
          <w:marTop w:val="0"/>
          <w:marBottom w:val="0"/>
          <w:divBdr>
            <w:top w:val="none" w:sz="0" w:space="0" w:color="auto"/>
            <w:left w:val="none" w:sz="0" w:space="0" w:color="auto"/>
            <w:bottom w:val="none" w:sz="0" w:space="0" w:color="auto"/>
            <w:right w:val="none" w:sz="0" w:space="0" w:color="auto"/>
          </w:divBdr>
          <w:divsChild>
            <w:div w:id="1670718396">
              <w:marLeft w:val="0"/>
              <w:marRight w:val="0"/>
              <w:marTop w:val="0"/>
              <w:marBottom w:val="0"/>
              <w:divBdr>
                <w:top w:val="none" w:sz="0" w:space="0" w:color="auto"/>
                <w:left w:val="none" w:sz="0" w:space="0" w:color="auto"/>
                <w:bottom w:val="none" w:sz="0" w:space="0" w:color="auto"/>
                <w:right w:val="none" w:sz="0" w:space="0" w:color="auto"/>
              </w:divBdr>
            </w:div>
          </w:divsChild>
        </w:div>
        <w:div w:id="1903981230">
          <w:marLeft w:val="0"/>
          <w:marRight w:val="0"/>
          <w:marTop w:val="0"/>
          <w:marBottom w:val="0"/>
          <w:divBdr>
            <w:top w:val="none" w:sz="0" w:space="0" w:color="auto"/>
            <w:left w:val="none" w:sz="0" w:space="0" w:color="auto"/>
            <w:bottom w:val="none" w:sz="0" w:space="0" w:color="auto"/>
            <w:right w:val="none" w:sz="0" w:space="0" w:color="auto"/>
          </w:divBdr>
          <w:divsChild>
            <w:div w:id="2136869935">
              <w:marLeft w:val="0"/>
              <w:marRight w:val="0"/>
              <w:marTop w:val="0"/>
              <w:marBottom w:val="0"/>
              <w:divBdr>
                <w:top w:val="none" w:sz="0" w:space="0" w:color="auto"/>
                <w:left w:val="none" w:sz="0" w:space="0" w:color="auto"/>
                <w:bottom w:val="none" w:sz="0" w:space="0" w:color="auto"/>
                <w:right w:val="none" w:sz="0" w:space="0" w:color="auto"/>
              </w:divBdr>
            </w:div>
          </w:divsChild>
        </w:div>
        <w:div w:id="1905262892">
          <w:marLeft w:val="0"/>
          <w:marRight w:val="0"/>
          <w:marTop w:val="0"/>
          <w:marBottom w:val="0"/>
          <w:divBdr>
            <w:top w:val="none" w:sz="0" w:space="0" w:color="auto"/>
            <w:left w:val="none" w:sz="0" w:space="0" w:color="auto"/>
            <w:bottom w:val="none" w:sz="0" w:space="0" w:color="auto"/>
            <w:right w:val="none" w:sz="0" w:space="0" w:color="auto"/>
          </w:divBdr>
          <w:divsChild>
            <w:div w:id="354578690">
              <w:marLeft w:val="0"/>
              <w:marRight w:val="0"/>
              <w:marTop w:val="0"/>
              <w:marBottom w:val="0"/>
              <w:divBdr>
                <w:top w:val="none" w:sz="0" w:space="0" w:color="auto"/>
                <w:left w:val="none" w:sz="0" w:space="0" w:color="auto"/>
                <w:bottom w:val="none" w:sz="0" w:space="0" w:color="auto"/>
                <w:right w:val="none" w:sz="0" w:space="0" w:color="auto"/>
              </w:divBdr>
            </w:div>
          </w:divsChild>
        </w:div>
        <w:div w:id="1915043067">
          <w:marLeft w:val="0"/>
          <w:marRight w:val="0"/>
          <w:marTop w:val="0"/>
          <w:marBottom w:val="0"/>
          <w:divBdr>
            <w:top w:val="none" w:sz="0" w:space="0" w:color="auto"/>
            <w:left w:val="none" w:sz="0" w:space="0" w:color="auto"/>
            <w:bottom w:val="none" w:sz="0" w:space="0" w:color="auto"/>
            <w:right w:val="none" w:sz="0" w:space="0" w:color="auto"/>
          </w:divBdr>
          <w:divsChild>
            <w:div w:id="602883190">
              <w:marLeft w:val="0"/>
              <w:marRight w:val="0"/>
              <w:marTop w:val="0"/>
              <w:marBottom w:val="0"/>
              <w:divBdr>
                <w:top w:val="none" w:sz="0" w:space="0" w:color="auto"/>
                <w:left w:val="none" w:sz="0" w:space="0" w:color="auto"/>
                <w:bottom w:val="none" w:sz="0" w:space="0" w:color="auto"/>
                <w:right w:val="none" w:sz="0" w:space="0" w:color="auto"/>
              </w:divBdr>
            </w:div>
          </w:divsChild>
        </w:div>
        <w:div w:id="1921984449">
          <w:marLeft w:val="0"/>
          <w:marRight w:val="0"/>
          <w:marTop w:val="0"/>
          <w:marBottom w:val="0"/>
          <w:divBdr>
            <w:top w:val="none" w:sz="0" w:space="0" w:color="auto"/>
            <w:left w:val="none" w:sz="0" w:space="0" w:color="auto"/>
            <w:bottom w:val="none" w:sz="0" w:space="0" w:color="auto"/>
            <w:right w:val="none" w:sz="0" w:space="0" w:color="auto"/>
          </w:divBdr>
          <w:divsChild>
            <w:div w:id="361591839">
              <w:marLeft w:val="0"/>
              <w:marRight w:val="0"/>
              <w:marTop w:val="0"/>
              <w:marBottom w:val="0"/>
              <w:divBdr>
                <w:top w:val="none" w:sz="0" w:space="0" w:color="auto"/>
                <w:left w:val="none" w:sz="0" w:space="0" w:color="auto"/>
                <w:bottom w:val="none" w:sz="0" w:space="0" w:color="auto"/>
                <w:right w:val="none" w:sz="0" w:space="0" w:color="auto"/>
              </w:divBdr>
            </w:div>
          </w:divsChild>
        </w:div>
        <w:div w:id="1923250777">
          <w:marLeft w:val="0"/>
          <w:marRight w:val="0"/>
          <w:marTop w:val="0"/>
          <w:marBottom w:val="0"/>
          <w:divBdr>
            <w:top w:val="none" w:sz="0" w:space="0" w:color="auto"/>
            <w:left w:val="none" w:sz="0" w:space="0" w:color="auto"/>
            <w:bottom w:val="none" w:sz="0" w:space="0" w:color="auto"/>
            <w:right w:val="none" w:sz="0" w:space="0" w:color="auto"/>
          </w:divBdr>
          <w:divsChild>
            <w:div w:id="810169054">
              <w:marLeft w:val="0"/>
              <w:marRight w:val="0"/>
              <w:marTop w:val="0"/>
              <w:marBottom w:val="0"/>
              <w:divBdr>
                <w:top w:val="none" w:sz="0" w:space="0" w:color="auto"/>
                <w:left w:val="none" w:sz="0" w:space="0" w:color="auto"/>
                <w:bottom w:val="none" w:sz="0" w:space="0" w:color="auto"/>
                <w:right w:val="none" w:sz="0" w:space="0" w:color="auto"/>
              </w:divBdr>
            </w:div>
          </w:divsChild>
        </w:div>
        <w:div w:id="1926839385">
          <w:marLeft w:val="0"/>
          <w:marRight w:val="0"/>
          <w:marTop w:val="0"/>
          <w:marBottom w:val="0"/>
          <w:divBdr>
            <w:top w:val="none" w:sz="0" w:space="0" w:color="auto"/>
            <w:left w:val="none" w:sz="0" w:space="0" w:color="auto"/>
            <w:bottom w:val="none" w:sz="0" w:space="0" w:color="auto"/>
            <w:right w:val="none" w:sz="0" w:space="0" w:color="auto"/>
          </w:divBdr>
          <w:divsChild>
            <w:div w:id="1683049133">
              <w:marLeft w:val="0"/>
              <w:marRight w:val="0"/>
              <w:marTop w:val="0"/>
              <w:marBottom w:val="0"/>
              <w:divBdr>
                <w:top w:val="none" w:sz="0" w:space="0" w:color="auto"/>
                <w:left w:val="none" w:sz="0" w:space="0" w:color="auto"/>
                <w:bottom w:val="none" w:sz="0" w:space="0" w:color="auto"/>
                <w:right w:val="none" w:sz="0" w:space="0" w:color="auto"/>
              </w:divBdr>
            </w:div>
          </w:divsChild>
        </w:div>
        <w:div w:id="1929000609">
          <w:marLeft w:val="0"/>
          <w:marRight w:val="0"/>
          <w:marTop w:val="0"/>
          <w:marBottom w:val="0"/>
          <w:divBdr>
            <w:top w:val="none" w:sz="0" w:space="0" w:color="auto"/>
            <w:left w:val="none" w:sz="0" w:space="0" w:color="auto"/>
            <w:bottom w:val="none" w:sz="0" w:space="0" w:color="auto"/>
            <w:right w:val="none" w:sz="0" w:space="0" w:color="auto"/>
          </w:divBdr>
          <w:divsChild>
            <w:div w:id="742794439">
              <w:marLeft w:val="0"/>
              <w:marRight w:val="0"/>
              <w:marTop w:val="0"/>
              <w:marBottom w:val="0"/>
              <w:divBdr>
                <w:top w:val="none" w:sz="0" w:space="0" w:color="auto"/>
                <w:left w:val="none" w:sz="0" w:space="0" w:color="auto"/>
                <w:bottom w:val="none" w:sz="0" w:space="0" w:color="auto"/>
                <w:right w:val="none" w:sz="0" w:space="0" w:color="auto"/>
              </w:divBdr>
            </w:div>
          </w:divsChild>
        </w:div>
        <w:div w:id="1929801178">
          <w:marLeft w:val="0"/>
          <w:marRight w:val="0"/>
          <w:marTop w:val="0"/>
          <w:marBottom w:val="0"/>
          <w:divBdr>
            <w:top w:val="none" w:sz="0" w:space="0" w:color="auto"/>
            <w:left w:val="none" w:sz="0" w:space="0" w:color="auto"/>
            <w:bottom w:val="none" w:sz="0" w:space="0" w:color="auto"/>
            <w:right w:val="none" w:sz="0" w:space="0" w:color="auto"/>
          </w:divBdr>
          <w:divsChild>
            <w:div w:id="1664510786">
              <w:marLeft w:val="0"/>
              <w:marRight w:val="0"/>
              <w:marTop w:val="0"/>
              <w:marBottom w:val="0"/>
              <w:divBdr>
                <w:top w:val="none" w:sz="0" w:space="0" w:color="auto"/>
                <w:left w:val="none" w:sz="0" w:space="0" w:color="auto"/>
                <w:bottom w:val="none" w:sz="0" w:space="0" w:color="auto"/>
                <w:right w:val="none" w:sz="0" w:space="0" w:color="auto"/>
              </w:divBdr>
            </w:div>
          </w:divsChild>
        </w:div>
        <w:div w:id="1929802891">
          <w:marLeft w:val="0"/>
          <w:marRight w:val="0"/>
          <w:marTop w:val="0"/>
          <w:marBottom w:val="0"/>
          <w:divBdr>
            <w:top w:val="none" w:sz="0" w:space="0" w:color="auto"/>
            <w:left w:val="none" w:sz="0" w:space="0" w:color="auto"/>
            <w:bottom w:val="none" w:sz="0" w:space="0" w:color="auto"/>
            <w:right w:val="none" w:sz="0" w:space="0" w:color="auto"/>
          </w:divBdr>
          <w:divsChild>
            <w:div w:id="1606620194">
              <w:marLeft w:val="0"/>
              <w:marRight w:val="0"/>
              <w:marTop w:val="0"/>
              <w:marBottom w:val="0"/>
              <w:divBdr>
                <w:top w:val="none" w:sz="0" w:space="0" w:color="auto"/>
                <w:left w:val="none" w:sz="0" w:space="0" w:color="auto"/>
                <w:bottom w:val="none" w:sz="0" w:space="0" w:color="auto"/>
                <w:right w:val="none" w:sz="0" w:space="0" w:color="auto"/>
              </w:divBdr>
            </w:div>
          </w:divsChild>
        </w:div>
        <w:div w:id="1945456993">
          <w:marLeft w:val="0"/>
          <w:marRight w:val="0"/>
          <w:marTop w:val="0"/>
          <w:marBottom w:val="0"/>
          <w:divBdr>
            <w:top w:val="none" w:sz="0" w:space="0" w:color="auto"/>
            <w:left w:val="none" w:sz="0" w:space="0" w:color="auto"/>
            <w:bottom w:val="none" w:sz="0" w:space="0" w:color="auto"/>
            <w:right w:val="none" w:sz="0" w:space="0" w:color="auto"/>
          </w:divBdr>
          <w:divsChild>
            <w:div w:id="811869536">
              <w:marLeft w:val="0"/>
              <w:marRight w:val="0"/>
              <w:marTop w:val="0"/>
              <w:marBottom w:val="0"/>
              <w:divBdr>
                <w:top w:val="none" w:sz="0" w:space="0" w:color="auto"/>
                <w:left w:val="none" w:sz="0" w:space="0" w:color="auto"/>
                <w:bottom w:val="none" w:sz="0" w:space="0" w:color="auto"/>
                <w:right w:val="none" w:sz="0" w:space="0" w:color="auto"/>
              </w:divBdr>
            </w:div>
          </w:divsChild>
        </w:div>
        <w:div w:id="1947617575">
          <w:marLeft w:val="0"/>
          <w:marRight w:val="0"/>
          <w:marTop w:val="0"/>
          <w:marBottom w:val="0"/>
          <w:divBdr>
            <w:top w:val="none" w:sz="0" w:space="0" w:color="auto"/>
            <w:left w:val="none" w:sz="0" w:space="0" w:color="auto"/>
            <w:bottom w:val="none" w:sz="0" w:space="0" w:color="auto"/>
            <w:right w:val="none" w:sz="0" w:space="0" w:color="auto"/>
          </w:divBdr>
          <w:divsChild>
            <w:div w:id="1818644398">
              <w:marLeft w:val="0"/>
              <w:marRight w:val="0"/>
              <w:marTop w:val="0"/>
              <w:marBottom w:val="0"/>
              <w:divBdr>
                <w:top w:val="none" w:sz="0" w:space="0" w:color="auto"/>
                <w:left w:val="none" w:sz="0" w:space="0" w:color="auto"/>
                <w:bottom w:val="none" w:sz="0" w:space="0" w:color="auto"/>
                <w:right w:val="none" w:sz="0" w:space="0" w:color="auto"/>
              </w:divBdr>
            </w:div>
          </w:divsChild>
        </w:div>
        <w:div w:id="1958294631">
          <w:marLeft w:val="0"/>
          <w:marRight w:val="0"/>
          <w:marTop w:val="0"/>
          <w:marBottom w:val="0"/>
          <w:divBdr>
            <w:top w:val="none" w:sz="0" w:space="0" w:color="auto"/>
            <w:left w:val="none" w:sz="0" w:space="0" w:color="auto"/>
            <w:bottom w:val="none" w:sz="0" w:space="0" w:color="auto"/>
            <w:right w:val="none" w:sz="0" w:space="0" w:color="auto"/>
          </w:divBdr>
          <w:divsChild>
            <w:div w:id="1798913508">
              <w:marLeft w:val="0"/>
              <w:marRight w:val="0"/>
              <w:marTop w:val="0"/>
              <w:marBottom w:val="0"/>
              <w:divBdr>
                <w:top w:val="none" w:sz="0" w:space="0" w:color="auto"/>
                <w:left w:val="none" w:sz="0" w:space="0" w:color="auto"/>
                <w:bottom w:val="none" w:sz="0" w:space="0" w:color="auto"/>
                <w:right w:val="none" w:sz="0" w:space="0" w:color="auto"/>
              </w:divBdr>
            </w:div>
          </w:divsChild>
        </w:div>
        <w:div w:id="1977177637">
          <w:marLeft w:val="0"/>
          <w:marRight w:val="0"/>
          <w:marTop w:val="0"/>
          <w:marBottom w:val="0"/>
          <w:divBdr>
            <w:top w:val="none" w:sz="0" w:space="0" w:color="auto"/>
            <w:left w:val="none" w:sz="0" w:space="0" w:color="auto"/>
            <w:bottom w:val="none" w:sz="0" w:space="0" w:color="auto"/>
            <w:right w:val="none" w:sz="0" w:space="0" w:color="auto"/>
          </w:divBdr>
          <w:divsChild>
            <w:div w:id="2012828013">
              <w:marLeft w:val="0"/>
              <w:marRight w:val="0"/>
              <w:marTop w:val="0"/>
              <w:marBottom w:val="0"/>
              <w:divBdr>
                <w:top w:val="none" w:sz="0" w:space="0" w:color="auto"/>
                <w:left w:val="none" w:sz="0" w:space="0" w:color="auto"/>
                <w:bottom w:val="none" w:sz="0" w:space="0" w:color="auto"/>
                <w:right w:val="none" w:sz="0" w:space="0" w:color="auto"/>
              </w:divBdr>
            </w:div>
          </w:divsChild>
        </w:div>
        <w:div w:id="1978879624">
          <w:marLeft w:val="0"/>
          <w:marRight w:val="0"/>
          <w:marTop w:val="0"/>
          <w:marBottom w:val="0"/>
          <w:divBdr>
            <w:top w:val="none" w:sz="0" w:space="0" w:color="auto"/>
            <w:left w:val="none" w:sz="0" w:space="0" w:color="auto"/>
            <w:bottom w:val="none" w:sz="0" w:space="0" w:color="auto"/>
            <w:right w:val="none" w:sz="0" w:space="0" w:color="auto"/>
          </w:divBdr>
          <w:divsChild>
            <w:div w:id="51780376">
              <w:marLeft w:val="0"/>
              <w:marRight w:val="0"/>
              <w:marTop w:val="0"/>
              <w:marBottom w:val="0"/>
              <w:divBdr>
                <w:top w:val="none" w:sz="0" w:space="0" w:color="auto"/>
                <w:left w:val="none" w:sz="0" w:space="0" w:color="auto"/>
                <w:bottom w:val="none" w:sz="0" w:space="0" w:color="auto"/>
                <w:right w:val="none" w:sz="0" w:space="0" w:color="auto"/>
              </w:divBdr>
            </w:div>
          </w:divsChild>
        </w:div>
        <w:div w:id="1986426726">
          <w:marLeft w:val="0"/>
          <w:marRight w:val="0"/>
          <w:marTop w:val="0"/>
          <w:marBottom w:val="0"/>
          <w:divBdr>
            <w:top w:val="none" w:sz="0" w:space="0" w:color="auto"/>
            <w:left w:val="none" w:sz="0" w:space="0" w:color="auto"/>
            <w:bottom w:val="none" w:sz="0" w:space="0" w:color="auto"/>
            <w:right w:val="none" w:sz="0" w:space="0" w:color="auto"/>
          </w:divBdr>
          <w:divsChild>
            <w:div w:id="837307197">
              <w:marLeft w:val="0"/>
              <w:marRight w:val="0"/>
              <w:marTop w:val="0"/>
              <w:marBottom w:val="0"/>
              <w:divBdr>
                <w:top w:val="none" w:sz="0" w:space="0" w:color="auto"/>
                <w:left w:val="none" w:sz="0" w:space="0" w:color="auto"/>
                <w:bottom w:val="none" w:sz="0" w:space="0" w:color="auto"/>
                <w:right w:val="none" w:sz="0" w:space="0" w:color="auto"/>
              </w:divBdr>
            </w:div>
          </w:divsChild>
        </w:div>
        <w:div w:id="1988124578">
          <w:marLeft w:val="0"/>
          <w:marRight w:val="0"/>
          <w:marTop w:val="0"/>
          <w:marBottom w:val="0"/>
          <w:divBdr>
            <w:top w:val="none" w:sz="0" w:space="0" w:color="auto"/>
            <w:left w:val="none" w:sz="0" w:space="0" w:color="auto"/>
            <w:bottom w:val="none" w:sz="0" w:space="0" w:color="auto"/>
            <w:right w:val="none" w:sz="0" w:space="0" w:color="auto"/>
          </w:divBdr>
          <w:divsChild>
            <w:div w:id="1454133186">
              <w:marLeft w:val="0"/>
              <w:marRight w:val="0"/>
              <w:marTop w:val="0"/>
              <w:marBottom w:val="0"/>
              <w:divBdr>
                <w:top w:val="none" w:sz="0" w:space="0" w:color="auto"/>
                <w:left w:val="none" w:sz="0" w:space="0" w:color="auto"/>
                <w:bottom w:val="none" w:sz="0" w:space="0" w:color="auto"/>
                <w:right w:val="none" w:sz="0" w:space="0" w:color="auto"/>
              </w:divBdr>
            </w:div>
          </w:divsChild>
        </w:div>
        <w:div w:id="1991131424">
          <w:marLeft w:val="0"/>
          <w:marRight w:val="0"/>
          <w:marTop w:val="0"/>
          <w:marBottom w:val="0"/>
          <w:divBdr>
            <w:top w:val="none" w:sz="0" w:space="0" w:color="auto"/>
            <w:left w:val="none" w:sz="0" w:space="0" w:color="auto"/>
            <w:bottom w:val="none" w:sz="0" w:space="0" w:color="auto"/>
            <w:right w:val="none" w:sz="0" w:space="0" w:color="auto"/>
          </w:divBdr>
          <w:divsChild>
            <w:div w:id="17242874">
              <w:marLeft w:val="0"/>
              <w:marRight w:val="0"/>
              <w:marTop w:val="0"/>
              <w:marBottom w:val="0"/>
              <w:divBdr>
                <w:top w:val="none" w:sz="0" w:space="0" w:color="auto"/>
                <w:left w:val="none" w:sz="0" w:space="0" w:color="auto"/>
                <w:bottom w:val="none" w:sz="0" w:space="0" w:color="auto"/>
                <w:right w:val="none" w:sz="0" w:space="0" w:color="auto"/>
              </w:divBdr>
            </w:div>
          </w:divsChild>
        </w:div>
        <w:div w:id="1992098216">
          <w:marLeft w:val="0"/>
          <w:marRight w:val="0"/>
          <w:marTop w:val="0"/>
          <w:marBottom w:val="0"/>
          <w:divBdr>
            <w:top w:val="none" w:sz="0" w:space="0" w:color="auto"/>
            <w:left w:val="none" w:sz="0" w:space="0" w:color="auto"/>
            <w:bottom w:val="none" w:sz="0" w:space="0" w:color="auto"/>
            <w:right w:val="none" w:sz="0" w:space="0" w:color="auto"/>
          </w:divBdr>
          <w:divsChild>
            <w:div w:id="698287594">
              <w:marLeft w:val="0"/>
              <w:marRight w:val="0"/>
              <w:marTop w:val="0"/>
              <w:marBottom w:val="0"/>
              <w:divBdr>
                <w:top w:val="none" w:sz="0" w:space="0" w:color="auto"/>
                <w:left w:val="none" w:sz="0" w:space="0" w:color="auto"/>
                <w:bottom w:val="none" w:sz="0" w:space="0" w:color="auto"/>
                <w:right w:val="none" w:sz="0" w:space="0" w:color="auto"/>
              </w:divBdr>
            </w:div>
          </w:divsChild>
        </w:div>
        <w:div w:id="2002195113">
          <w:marLeft w:val="0"/>
          <w:marRight w:val="0"/>
          <w:marTop w:val="0"/>
          <w:marBottom w:val="0"/>
          <w:divBdr>
            <w:top w:val="none" w:sz="0" w:space="0" w:color="auto"/>
            <w:left w:val="none" w:sz="0" w:space="0" w:color="auto"/>
            <w:bottom w:val="none" w:sz="0" w:space="0" w:color="auto"/>
            <w:right w:val="none" w:sz="0" w:space="0" w:color="auto"/>
          </w:divBdr>
          <w:divsChild>
            <w:div w:id="1660570372">
              <w:marLeft w:val="0"/>
              <w:marRight w:val="0"/>
              <w:marTop w:val="0"/>
              <w:marBottom w:val="0"/>
              <w:divBdr>
                <w:top w:val="none" w:sz="0" w:space="0" w:color="auto"/>
                <w:left w:val="none" w:sz="0" w:space="0" w:color="auto"/>
                <w:bottom w:val="none" w:sz="0" w:space="0" w:color="auto"/>
                <w:right w:val="none" w:sz="0" w:space="0" w:color="auto"/>
              </w:divBdr>
            </w:div>
          </w:divsChild>
        </w:div>
        <w:div w:id="2004165906">
          <w:marLeft w:val="0"/>
          <w:marRight w:val="0"/>
          <w:marTop w:val="0"/>
          <w:marBottom w:val="0"/>
          <w:divBdr>
            <w:top w:val="none" w:sz="0" w:space="0" w:color="auto"/>
            <w:left w:val="none" w:sz="0" w:space="0" w:color="auto"/>
            <w:bottom w:val="none" w:sz="0" w:space="0" w:color="auto"/>
            <w:right w:val="none" w:sz="0" w:space="0" w:color="auto"/>
          </w:divBdr>
          <w:divsChild>
            <w:div w:id="1709990492">
              <w:marLeft w:val="0"/>
              <w:marRight w:val="0"/>
              <w:marTop w:val="0"/>
              <w:marBottom w:val="0"/>
              <w:divBdr>
                <w:top w:val="none" w:sz="0" w:space="0" w:color="auto"/>
                <w:left w:val="none" w:sz="0" w:space="0" w:color="auto"/>
                <w:bottom w:val="none" w:sz="0" w:space="0" w:color="auto"/>
                <w:right w:val="none" w:sz="0" w:space="0" w:color="auto"/>
              </w:divBdr>
            </w:div>
          </w:divsChild>
        </w:div>
        <w:div w:id="2011564182">
          <w:marLeft w:val="0"/>
          <w:marRight w:val="0"/>
          <w:marTop w:val="0"/>
          <w:marBottom w:val="0"/>
          <w:divBdr>
            <w:top w:val="none" w:sz="0" w:space="0" w:color="auto"/>
            <w:left w:val="none" w:sz="0" w:space="0" w:color="auto"/>
            <w:bottom w:val="none" w:sz="0" w:space="0" w:color="auto"/>
            <w:right w:val="none" w:sz="0" w:space="0" w:color="auto"/>
          </w:divBdr>
          <w:divsChild>
            <w:div w:id="1636719172">
              <w:marLeft w:val="0"/>
              <w:marRight w:val="0"/>
              <w:marTop w:val="0"/>
              <w:marBottom w:val="0"/>
              <w:divBdr>
                <w:top w:val="none" w:sz="0" w:space="0" w:color="auto"/>
                <w:left w:val="none" w:sz="0" w:space="0" w:color="auto"/>
                <w:bottom w:val="none" w:sz="0" w:space="0" w:color="auto"/>
                <w:right w:val="none" w:sz="0" w:space="0" w:color="auto"/>
              </w:divBdr>
            </w:div>
          </w:divsChild>
        </w:div>
        <w:div w:id="2013605425">
          <w:marLeft w:val="0"/>
          <w:marRight w:val="0"/>
          <w:marTop w:val="0"/>
          <w:marBottom w:val="0"/>
          <w:divBdr>
            <w:top w:val="none" w:sz="0" w:space="0" w:color="auto"/>
            <w:left w:val="none" w:sz="0" w:space="0" w:color="auto"/>
            <w:bottom w:val="none" w:sz="0" w:space="0" w:color="auto"/>
            <w:right w:val="none" w:sz="0" w:space="0" w:color="auto"/>
          </w:divBdr>
          <w:divsChild>
            <w:div w:id="1759205759">
              <w:marLeft w:val="0"/>
              <w:marRight w:val="0"/>
              <w:marTop w:val="0"/>
              <w:marBottom w:val="0"/>
              <w:divBdr>
                <w:top w:val="none" w:sz="0" w:space="0" w:color="auto"/>
                <w:left w:val="none" w:sz="0" w:space="0" w:color="auto"/>
                <w:bottom w:val="none" w:sz="0" w:space="0" w:color="auto"/>
                <w:right w:val="none" w:sz="0" w:space="0" w:color="auto"/>
              </w:divBdr>
            </w:div>
          </w:divsChild>
        </w:div>
        <w:div w:id="2029482969">
          <w:marLeft w:val="0"/>
          <w:marRight w:val="0"/>
          <w:marTop w:val="0"/>
          <w:marBottom w:val="0"/>
          <w:divBdr>
            <w:top w:val="none" w:sz="0" w:space="0" w:color="auto"/>
            <w:left w:val="none" w:sz="0" w:space="0" w:color="auto"/>
            <w:bottom w:val="none" w:sz="0" w:space="0" w:color="auto"/>
            <w:right w:val="none" w:sz="0" w:space="0" w:color="auto"/>
          </w:divBdr>
          <w:divsChild>
            <w:div w:id="1551648489">
              <w:marLeft w:val="0"/>
              <w:marRight w:val="0"/>
              <w:marTop w:val="0"/>
              <w:marBottom w:val="0"/>
              <w:divBdr>
                <w:top w:val="none" w:sz="0" w:space="0" w:color="auto"/>
                <w:left w:val="none" w:sz="0" w:space="0" w:color="auto"/>
                <w:bottom w:val="none" w:sz="0" w:space="0" w:color="auto"/>
                <w:right w:val="none" w:sz="0" w:space="0" w:color="auto"/>
              </w:divBdr>
            </w:div>
          </w:divsChild>
        </w:div>
        <w:div w:id="2039310535">
          <w:marLeft w:val="0"/>
          <w:marRight w:val="0"/>
          <w:marTop w:val="0"/>
          <w:marBottom w:val="0"/>
          <w:divBdr>
            <w:top w:val="none" w:sz="0" w:space="0" w:color="auto"/>
            <w:left w:val="none" w:sz="0" w:space="0" w:color="auto"/>
            <w:bottom w:val="none" w:sz="0" w:space="0" w:color="auto"/>
            <w:right w:val="none" w:sz="0" w:space="0" w:color="auto"/>
          </w:divBdr>
          <w:divsChild>
            <w:div w:id="859705992">
              <w:marLeft w:val="0"/>
              <w:marRight w:val="0"/>
              <w:marTop w:val="0"/>
              <w:marBottom w:val="0"/>
              <w:divBdr>
                <w:top w:val="none" w:sz="0" w:space="0" w:color="auto"/>
                <w:left w:val="none" w:sz="0" w:space="0" w:color="auto"/>
                <w:bottom w:val="none" w:sz="0" w:space="0" w:color="auto"/>
                <w:right w:val="none" w:sz="0" w:space="0" w:color="auto"/>
              </w:divBdr>
            </w:div>
          </w:divsChild>
        </w:div>
        <w:div w:id="2044596049">
          <w:marLeft w:val="0"/>
          <w:marRight w:val="0"/>
          <w:marTop w:val="0"/>
          <w:marBottom w:val="0"/>
          <w:divBdr>
            <w:top w:val="none" w:sz="0" w:space="0" w:color="auto"/>
            <w:left w:val="none" w:sz="0" w:space="0" w:color="auto"/>
            <w:bottom w:val="none" w:sz="0" w:space="0" w:color="auto"/>
            <w:right w:val="none" w:sz="0" w:space="0" w:color="auto"/>
          </w:divBdr>
          <w:divsChild>
            <w:div w:id="2031101020">
              <w:marLeft w:val="0"/>
              <w:marRight w:val="0"/>
              <w:marTop w:val="0"/>
              <w:marBottom w:val="0"/>
              <w:divBdr>
                <w:top w:val="none" w:sz="0" w:space="0" w:color="auto"/>
                <w:left w:val="none" w:sz="0" w:space="0" w:color="auto"/>
                <w:bottom w:val="none" w:sz="0" w:space="0" w:color="auto"/>
                <w:right w:val="none" w:sz="0" w:space="0" w:color="auto"/>
              </w:divBdr>
            </w:div>
          </w:divsChild>
        </w:div>
        <w:div w:id="2045517138">
          <w:marLeft w:val="0"/>
          <w:marRight w:val="0"/>
          <w:marTop w:val="0"/>
          <w:marBottom w:val="0"/>
          <w:divBdr>
            <w:top w:val="none" w:sz="0" w:space="0" w:color="auto"/>
            <w:left w:val="none" w:sz="0" w:space="0" w:color="auto"/>
            <w:bottom w:val="none" w:sz="0" w:space="0" w:color="auto"/>
            <w:right w:val="none" w:sz="0" w:space="0" w:color="auto"/>
          </w:divBdr>
          <w:divsChild>
            <w:div w:id="1767768154">
              <w:marLeft w:val="0"/>
              <w:marRight w:val="0"/>
              <w:marTop w:val="0"/>
              <w:marBottom w:val="0"/>
              <w:divBdr>
                <w:top w:val="none" w:sz="0" w:space="0" w:color="auto"/>
                <w:left w:val="none" w:sz="0" w:space="0" w:color="auto"/>
                <w:bottom w:val="none" w:sz="0" w:space="0" w:color="auto"/>
                <w:right w:val="none" w:sz="0" w:space="0" w:color="auto"/>
              </w:divBdr>
            </w:div>
          </w:divsChild>
        </w:div>
        <w:div w:id="2048530819">
          <w:marLeft w:val="0"/>
          <w:marRight w:val="0"/>
          <w:marTop w:val="0"/>
          <w:marBottom w:val="0"/>
          <w:divBdr>
            <w:top w:val="none" w:sz="0" w:space="0" w:color="auto"/>
            <w:left w:val="none" w:sz="0" w:space="0" w:color="auto"/>
            <w:bottom w:val="none" w:sz="0" w:space="0" w:color="auto"/>
            <w:right w:val="none" w:sz="0" w:space="0" w:color="auto"/>
          </w:divBdr>
          <w:divsChild>
            <w:div w:id="1333795455">
              <w:marLeft w:val="0"/>
              <w:marRight w:val="0"/>
              <w:marTop w:val="0"/>
              <w:marBottom w:val="0"/>
              <w:divBdr>
                <w:top w:val="none" w:sz="0" w:space="0" w:color="auto"/>
                <w:left w:val="none" w:sz="0" w:space="0" w:color="auto"/>
                <w:bottom w:val="none" w:sz="0" w:space="0" w:color="auto"/>
                <w:right w:val="none" w:sz="0" w:space="0" w:color="auto"/>
              </w:divBdr>
            </w:div>
          </w:divsChild>
        </w:div>
        <w:div w:id="2061393525">
          <w:marLeft w:val="0"/>
          <w:marRight w:val="0"/>
          <w:marTop w:val="0"/>
          <w:marBottom w:val="0"/>
          <w:divBdr>
            <w:top w:val="none" w:sz="0" w:space="0" w:color="auto"/>
            <w:left w:val="none" w:sz="0" w:space="0" w:color="auto"/>
            <w:bottom w:val="none" w:sz="0" w:space="0" w:color="auto"/>
            <w:right w:val="none" w:sz="0" w:space="0" w:color="auto"/>
          </w:divBdr>
          <w:divsChild>
            <w:div w:id="258410083">
              <w:marLeft w:val="0"/>
              <w:marRight w:val="0"/>
              <w:marTop w:val="0"/>
              <w:marBottom w:val="0"/>
              <w:divBdr>
                <w:top w:val="none" w:sz="0" w:space="0" w:color="auto"/>
                <w:left w:val="none" w:sz="0" w:space="0" w:color="auto"/>
                <w:bottom w:val="none" w:sz="0" w:space="0" w:color="auto"/>
                <w:right w:val="none" w:sz="0" w:space="0" w:color="auto"/>
              </w:divBdr>
            </w:div>
          </w:divsChild>
        </w:div>
        <w:div w:id="2063403870">
          <w:marLeft w:val="0"/>
          <w:marRight w:val="0"/>
          <w:marTop w:val="0"/>
          <w:marBottom w:val="0"/>
          <w:divBdr>
            <w:top w:val="none" w:sz="0" w:space="0" w:color="auto"/>
            <w:left w:val="none" w:sz="0" w:space="0" w:color="auto"/>
            <w:bottom w:val="none" w:sz="0" w:space="0" w:color="auto"/>
            <w:right w:val="none" w:sz="0" w:space="0" w:color="auto"/>
          </w:divBdr>
          <w:divsChild>
            <w:div w:id="718943159">
              <w:marLeft w:val="0"/>
              <w:marRight w:val="0"/>
              <w:marTop w:val="0"/>
              <w:marBottom w:val="0"/>
              <w:divBdr>
                <w:top w:val="none" w:sz="0" w:space="0" w:color="auto"/>
                <w:left w:val="none" w:sz="0" w:space="0" w:color="auto"/>
                <w:bottom w:val="none" w:sz="0" w:space="0" w:color="auto"/>
                <w:right w:val="none" w:sz="0" w:space="0" w:color="auto"/>
              </w:divBdr>
            </w:div>
          </w:divsChild>
        </w:div>
        <w:div w:id="2067217664">
          <w:marLeft w:val="0"/>
          <w:marRight w:val="0"/>
          <w:marTop w:val="0"/>
          <w:marBottom w:val="0"/>
          <w:divBdr>
            <w:top w:val="none" w:sz="0" w:space="0" w:color="auto"/>
            <w:left w:val="none" w:sz="0" w:space="0" w:color="auto"/>
            <w:bottom w:val="none" w:sz="0" w:space="0" w:color="auto"/>
            <w:right w:val="none" w:sz="0" w:space="0" w:color="auto"/>
          </w:divBdr>
          <w:divsChild>
            <w:div w:id="95173426">
              <w:marLeft w:val="0"/>
              <w:marRight w:val="0"/>
              <w:marTop w:val="0"/>
              <w:marBottom w:val="0"/>
              <w:divBdr>
                <w:top w:val="none" w:sz="0" w:space="0" w:color="auto"/>
                <w:left w:val="none" w:sz="0" w:space="0" w:color="auto"/>
                <w:bottom w:val="none" w:sz="0" w:space="0" w:color="auto"/>
                <w:right w:val="none" w:sz="0" w:space="0" w:color="auto"/>
              </w:divBdr>
            </w:div>
          </w:divsChild>
        </w:div>
        <w:div w:id="2079358270">
          <w:marLeft w:val="0"/>
          <w:marRight w:val="0"/>
          <w:marTop w:val="0"/>
          <w:marBottom w:val="0"/>
          <w:divBdr>
            <w:top w:val="none" w:sz="0" w:space="0" w:color="auto"/>
            <w:left w:val="none" w:sz="0" w:space="0" w:color="auto"/>
            <w:bottom w:val="none" w:sz="0" w:space="0" w:color="auto"/>
            <w:right w:val="none" w:sz="0" w:space="0" w:color="auto"/>
          </w:divBdr>
          <w:divsChild>
            <w:div w:id="372535420">
              <w:marLeft w:val="0"/>
              <w:marRight w:val="0"/>
              <w:marTop w:val="0"/>
              <w:marBottom w:val="0"/>
              <w:divBdr>
                <w:top w:val="none" w:sz="0" w:space="0" w:color="auto"/>
                <w:left w:val="none" w:sz="0" w:space="0" w:color="auto"/>
                <w:bottom w:val="none" w:sz="0" w:space="0" w:color="auto"/>
                <w:right w:val="none" w:sz="0" w:space="0" w:color="auto"/>
              </w:divBdr>
            </w:div>
          </w:divsChild>
        </w:div>
        <w:div w:id="2079590783">
          <w:marLeft w:val="0"/>
          <w:marRight w:val="0"/>
          <w:marTop w:val="0"/>
          <w:marBottom w:val="0"/>
          <w:divBdr>
            <w:top w:val="none" w:sz="0" w:space="0" w:color="auto"/>
            <w:left w:val="none" w:sz="0" w:space="0" w:color="auto"/>
            <w:bottom w:val="none" w:sz="0" w:space="0" w:color="auto"/>
            <w:right w:val="none" w:sz="0" w:space="0" w:color="auto"/>
          </w:divBdr>
          <w:divsChild>
            <w:div w:id="443692773">
              <w:marLeft w:val="0"/>
              <w:marRight w:val="0"/>
              <w:marTop w:val="0"/>
              <w:marBottom w:val="0"/>
              <w:divBdr>
                <w:top w:val="none" w:sz="0" w:space="0" w:color="auto"/>
                <w:left w:val="none" w:sz="0" w:space="0" w:color="auto"/>
                <w:bottom w:val="none" w:sz="0" w:space="0" w:color="auto"/>
                <w:right w:val="none" w:sz="0" w:space="0" w:color="auto"/>
              </w:divBdr>
            </w:div>
          </w:divsChild>
        </w:div>
        <w:div w:id="2080131481">
          <w:marLeft w:val="0"/>
          <w:marRight w:val="0"/>
          <w:marTop w:val="0"/>
          <w:marBottom w:val="0"/>
          <w:divBdr>
            <w:top w:val="none" w:sz="0" w:space="0" w:color="auto"/>
            <w:left w:val="none" w:sz="0" w:space="0" w:color="auto"/>
            <w:bottom w:val="none" w:sz="0" w:space="0" w:color="auto"/>
            <w:right w:val="none" w:sz="0" w:space="0" w:color="auto"/>
          </w:divBdr>
          <w:divsChild>
            <w:div w:id="40591340">
              <w:marLeft w:val="0"/>
              <w:marRight w:val="0"/>
              <w:marTop w:val="0"/>
              <w:marBottom w:val="0"/>
              <w:divBdr>
                <w:top w:val="none" w:sz="0" w:space="0" w:color="auto"/>
                <w:left w:val="none" w:sz="0" w:space="0" w:color="auto"/>
                <w:bottom w:val="none" w:sz="0" w:space="0" w:color="auto"/>
                <w:right w:val="none" w:sz="0" w:space="0" w:color="auto"/>
              </w:divBdr>
            </w:div>
          </w:divsChild>
        </w:div>
        <w:div w:id="2085104304">
          <w:marLeft w:val="0"/>
          <w:marRight w:val="0"/>
          <w:marTop w:val="0"/>
          <w:marBottom w:val="0"/>
          <w:divBdr>
            <w:top w:val="none" w:sz="0" w:space="0" w:color="auto"/>
            <w:left w:val="none" w:sz="0" w:space="0" w:color="auto"/>
            <w:bottom w:val="none" w:sz="0" w:space="0" w:color="auto"/>
            <w:right w:val="none" w:sz="0" w:space="0" w:color="auto"/>
          </w:divBdr>
          <w:divsChild>
            <w:div w:id="1371807943">
              <w:marLeft w:val="0"/>
              <w:marRight w:val="0"/>
              <w:marTop w:val="0"/>
              <w:marBottom w:val="0"/>
              <w:divBdr>
                <w:top w:val="none" w:sz="0" w:space="0" w:color="auto"/>
                <w:left w:val="none" w:sz="0" w:space="0" w:color="auto"/>
                <w:bottom w:val="none" w:sz="0" w:space="0" w:color="auto"/>
                <w:right w:val="none" w:sz="0" w:space="0" w:color="auto"/>
              </w:divBdr>
            </w:div>
          </w:divsChild>
        </w:div>
        <w:div w:id="2100128495">
          <w:marLeft w:val="0"/>
          <w:marRight w:val="0"/>
          <w:marTop w:val="0"/>
          <w:marBottom w:val="0"/>
          <w:divBdr>
            <w:top w:val="none" w:sz="0" w:space="0" w:color="auto"/>
            <w:left w:val="none" w:sz="0" w:space="0" w:color="auto"/>
            <w:bottom w:val="none" w:sz="0" w:space="0" w:color="auto"/>
            <w:right w:val="none" w:sz="0" w:space="0" w:color="auto"/>
          </w:divBdr>
          <w:divsChild>
            <w:div w:id="704334296">
              <w:marLeft w:val="0"/>
              <w:marRight w:val="0"/>
              <w:marTop w:val="0"/>
              <w:marBottom w:val="0"/>
              <w:divBdr>
                <w:top w:val="none" w:sz="0" w:space="0" w:color="auto"/>
                <w:left w:val="none" w:sz="0" w:space="0" w:color="auto"/>
                <w:bottom w:val="none" w:sz="0" w:space="0" w:color="auto"/>
                <w:right w:val="none" w:sz="0" w:space="0" w:color="auto"/>
              </w:divBdr>
            </w:div>
          </w:divsChild>
        </w:div>
        <w:div w:id="2101943498">
          <w:marLeft w:val="0"/>
          <w:marRight w:val="0"/>
          <w:marTop w:val="0"/>
          <w:marBottom w:val="0"/>
          <w:divBdr>
            <w:top w:val="none" w:sz="0" w:space="0" w:color="auto"/>
            <w:left w:val="none" w:sz="0" w:space="0" w:color="auto"/>
            <w:bottom w:val="none" w:sz="0" w:space="0" w:color="auto"/>
            <w:right w:val="none" w:sz="0" w:space="0" w:color="auto"/>
          </w:divBdr>
          <w:divsChild>
            <w:div w:id="242377037">
              <w:marLeft w:val="0"/>
              <w:marRight w:val="0"/>
              <w:marTop w:val="0"/>
              <w:marBottom w:val="0"/>
              <w:divBdr>
                <w:top w:val="none" w:sz="0" w:space="0" w:color="auto"/>
                <w:left w:val="none" w:sz="0" w:space="0" w:color="auto"/>
                <w:bottom w:val="none" w:sz="0" w:space="0" w:color="auto"/>
                <w:right w:val="none" w:sz="0" w:space="0" w:color="auto"/>
              </w:divBdr>
            </w:div>
          </w:divsChild>
        </w:div>
        <w:div w:id="2107847661">
          <w:marLeft w:val="0"/>
          <w:marRight w:val="0"/>
          <w:marTop w:val="0"/>
          <w:marBottom w:val="0"/>
          <w:divBdr>
            <w:top w:val="none" w:sz="0" w:space="0" w:color="auto"/>
            <w:left w:val="none" w:sz="0" w:space="0" w:color="auto"/>
            <w:bottom w:val="none" w:sz="0" w:space="0" w:color="auto"/>
            <w:right w:val="none" w:sz="0" w:space="0" w:color="auto"/>
          </w:divBdr>
          <w:divsChild>
            <w:div w:id="888415334">
              <w:marLeft w:val="0"/>
              <w:marRight w:val="0"/>
              <w:marTop w:val="0"/>
              <w:marBottom w:val="0"/>
              <w:divBdr>
                <w:top w:val="none" w:sz="0" w:space="0" w:color="auto"/>
                <w:left w:val="none" w:sz="0" w:space="0" w:color="auto"/>
                <w:bottom w:val="none" w:sz="0" w:space="0" w:color="auto"/>
                <w:right w:val="none" w:sz="0" w:space="0" w:color="auto"/>
              </w:divBdr>
            </w:div>
          </w:divsChild>
        </w:div>
        <w:div w:id="2111966804">
          <w:marLeft w:val="0"/>
          <w:marRight w:val="0"/>
          <w:marTop w:val="0"/>
          <w:marBottom w:val="0"/>
          <w:divBdr>
            <w:top w:val="none" w:sz="0" w:space="0" w:color="auto"/>
            <w:left w:val="none" w:sz="0" w:space="0" w:color="auto"/>
            <w:bottom w:val="none" w:sz="0" w:space="0" w:color="auto"/>
            <w:right w:val="none" w:sz="0" w:space="0" w:color="auto"/>
          </w:divBdr>
          <w:divsChild>
            <w:div w:id="2116628853">
              <w:marLeft w:val="0"/>
              <w:marRight w:val="0"/>
              <w:marTop w:val="0"/>
              <w:marBottom w:val="0"/>
              <w:divBdr>
                <w:top w:val="none" w:sz="0" w:space="0" w:color="auto"/>
                <w:left w:val="none" w:sz="0" w:space="0" w:color="auto"/>
                <w:bottom w:val="none" w:sz="0" w:space="0" w:color="auto"/>
                <w:right w:val="none" w:sz="0" w:space="0" w:color="auto"/>
              </w:divBdr>
            </w:div>
          </w:divsChild>
        </w:div>
        <w:div w:id="2112315670">
          <w:marLeft w:val="0"/>
          <w:marRight w:val="0"/>
          <w:marTop w:val="0"/>
          <w:marBottom w:val="0"/>
          <w:divBdr>
            <w:top w:val="none" w:sz="0" w:space="0" w:color="auto"/>
            <w:left w:val="none" w:sz="0" w:space="0" w:color="auto"/>
            <w:bottom w:val="none" w:sz="0" w:space="0" w:color="auto"/>
            <w:right w:val="none" w:sz="0" w:space="0" w:color="auto"/>
          </w:divBdr>
          <w:divsChild>
            <w:div w:id="572011313">
              <w:marLeft w:val="0"/>
              <w:marRight w:val="0"/>
              <w:marTop w:val="0"/>
              <w:marBottom w:val="0"/>
              <w:divBdr>
                <w:top w:val="none" w:sz="0" w:space="0" w:color="auto"/>
                <w:left w:val="none" w:sz="0" w:space="0" w:color="auto"/>
                <w:bottom w:val="none" w:sz="0" w:space="0" w:color="auto"/>
                <w:right w:val="none" w:sz="0" w:space="0" w:color="auto"/>
              </w:divBdr>
            </w:div>
          </w:divsChild>
        </w:div>
        <w:div w:id="2114785797">
          <w:marLeft w:val="0"/>
          <w:marRight w:val="0"/>
          <w:marTop w:val="0"/>
          <w:marBottom w:val="0"/>
          <w:divBdr>
            <w:top w:val="none" w:sz="0" w:space="0" w:color="auto"/>
            <w:left w:val="none" w:sz="0" w:space="0" w:color="auto"/>
            <w:bottom w:val="none" w:sz="0" w:space="0" w:color="auto"/>
            <w:right w:val="none" w:sz="0" w:space="0" w:color="auto"/>
          </w:divBdr>
          <w:divsChild>
            <w:div w:id="200438385">
              <w:marLeft w:val="0"/>
              <w:marRight w:val="0"/>
              <w:marTop w:val="0"/>
              <w:marBottom w:val="0"/>
              <w:divBdr>
                <w:top w:val="none" w:sz="0" w:space="0" w:color="auto"/>
                <w:left w:val="none" w:sz="0" w:space="0" w:color="auto"/>
                <w:bottom w:val="none" w:sz="0" w:space="0" w:color="auto"/>
                <w:right w:val="none" w:sz="0" w:space="0" w:color="auto"/>
              </w:divBdr>
            </w:div>
          </w:divsChild>
        </w:div>
        <w:div w:id="2115708893">
          <w:marLeft w:val="0"/>
          <w:marRight w:val="0"/>
          <w:marTop w:val="0"/>
          <w:marBottom w:val="0"/>
          <w:divBdr>
            <w:top w:val="none" w:sz="0" w:space="0" w:color="auto"/>
            <w:left w:val="none" w:sz="0" w:space="0" w:color="auto"/>
            <w:bottom w:val="none" w:sz="0" w:space="0" w:color="auto"/>
            <w:right w:val="none" w:sz="0" w:space="0" w:color="auto"/>
          </w:divBdr>
          <w:divsChild>
            <w:div w:id="1283071225">
              <w:marLeft w:val="0"/>
              <w:marRight w:val="0"/>
              <w:marTop w:val="0"/>
              <w:marBottom w:val="0"/>
              <w:divBdr>
                <w:top w:val="none" w:sz="0" w:space="0" w:color="auto"/>
                <w:left w:val="none" w:sz="0" w:space="0" w:color="auto"/>
                <w:bottom w:val="none" w:sz="0" w:space="0" w:color="auto"/>
                <w:right w:val="none" w:sz="0" w:space="0" w:color="auto"/>
              </w:divBdr>
            </w:div>
          </w:divsChild>
        </w:div>
        <w:div w:id="2117403234">
          <w:marLeft w:val="0"/>
          <w:marRight w:val="0"/>
          <w:marTop w:val="0"/>
          <w:marBottom w:val="0"/>
          <w:divBdr>
            <w:top w:val="none" w:sz="0" w:space="0" w:color="auto"/>
            <w:left w:val="none" w:sz="0" w:space="0" w:color="auto"/>
            <w:bottom w:val="none" w:sz="0" w:space="0" w:color="auto"/>
            <w:right w:val="none" w:sz="0" w:space="0" w:color="auto"/>
          </w:divBdr>
          <w:divsChild>
            <w:div w:id="1853834838">
              <w:marLeft w:val="0"/>
              <w:marRight w:val="0"/>
              <w:marTop w:val="0"/>
              <w:marBottom w:val="0"/>
              <w:divBdr>
                <w:top w:val="none" w:sz="0" w:space="0" w:color="auto"/>
                <w:left w:val="none" w:sz="0" w:space="0" w:color="auto"/>
                <w:bottom w:val="none" w:sz="0" w:space="0" w:color="auto"/>
                <w:right w:val="none" w:sz="0" w:space="0" w:color="auto"/>
              </w:divBdr>
            </w:div>
          </w:divsChild>
        </w:div>
        <w:div w:id="2120030185">
          <w:marLeft w:val="0"/>
          <w:marRight w:val="0"/>
          <w:marTop w:val="0"/>
          <w:marBottom w:val="0"/>
          <w:divBdr>
            <w:top w:val="none" w:sz="0" w:space="0" w:color="auto"/>
            <w:left w:val="none" w:sz="0" w:space="0" w:color="auto"/>
            <w:bottom w:val="none" w:sz="0" w:space="0" w:color="auto"/>
            <w:right w:val="none" w:sz="0" w:space="0" w:color="auto"/>
          </w:divBdr>
          <w:divsChild>
            <w:div w:id="205916651">
              <w:marLeft w:val="0"/>
              <w:marRight w:val="0"/>
              <w:marTop w:val="0"/>
              <w:marBottom w:val="0"/>
              <w:divBdr>
                <w:top w:val="none" w:sz="0" w:space="0" w:color="auto"/>
                <w:left w:val="none" w:sz="0" w:space="0" w:color="auto"/>
                <w:bottom w:val="none" w:sz="0" w:space="0" w:color="auto"/>
                <w:right w:val="none" w:sz="0" w:space="0" w:color="auto"/>
              </w:divBdr>
            </w:div>
          </w:divsChild>
        </w:div>
        <w:div w:id="2121535081">
          <w:marLeft w:val="0"/>
          <w:marRight w:val="0"/>
          <w:marTop w:val="0"/>
          <w:marBottom w:val="0"/>
          <w:divBdr>
            <w:top w:val="none" w:sz="0" w:space="0" w:color="auto"/>
            <w:left w:val="none" w:sz="0" w:space="0" w:color="auto"/>
            <w:bottom w:val="none" w:sz="0" w:space="0" w:color="auto"/>
            <w:right w:val="none" w:sz="0" w:space="0" w:color="auto"/>
          </w:divBdr>
          <w:divsChild>
            <w:div w:id="1535312986">
              <w:marLeft w:val="0"/>
              <w:marRight w:val="0"/>
              <w:marTop w:val="0"/>
              <w:marBottom w:val="0"/>
              <w:divBdr>
                <w:top w:val="none" w:sz="0" w:space="0" w:color="auto"/>
                <w:left w:val="none" w:sz="0" w:space="0" w:color="auto"/>
                <w:bottom w:val="none" w:sz="0" w:space="0" w:color="auto"/>
                <w:right w:val="none" w:sz="0" w:space="0" w:color="auto"/>
              </w:divBdr>
            </w:div>
          </w:divsChild>
        </w:div>
        <w:div w:id="2138404501">
          <w:marLeft w:val="0"/>
          <w:marRight w:val="0"/>
          <w:marTop w:val="0"/>
          <w:marBottom w:val="0"/>
          <w:divBdr>
            <w:top w:val="none" w:sz="0" w:space="0" w:color="auto"/>
            <w:left w:val="none" w:sz="0" w:space="0" w:color="auto"/>
            <w:bottom w:val="none" w:sz="0" w:space="0" w:color="auto"/>
            <w:right w:val="none" w:sz="0" w:space="0" w:color="auto"/>
          </w:divBdr>
          <w:divsChild>
            <w:div w:id="526456106">
              <w:marLeft w:val="0"/>
              <w:marRight w:val="0"/>
              <w:marTop w:val="0"/>
              <w:marBottom w:val="0"/>
              <w:divBdr>
                <w:top w:val="none" w:sz="0" w:space="0" w:color="auto"/>
                <w:left w:val="none" w:sz="0" w:space="0" w:color="auto"/>
                <w:bottom w:val="none" w:sz="0" w:space="0" w:color="auto"/>
                <w:right w:val="none" w:sz="0" w:space="0" w:color="auto"/>
              </w:divBdr>
            </w:div>
          </w:divsChild>
        </w:div>
        <w:div w:id="2138791621">
          <w:marLeft w:val="0"/>
          <w:marRight w:val="0"/>
          <w:marTop w:val="0"/>
          <w:marBottom w:val="0"/>
          <w:divBdr>
            <w:top w:val="none" w:sz="0" w:space="0" w:color="auto"/>
            <w:left w:val="none" w:sz="0" w:space="0" w:color="auto"/>
            <w:bottom w:val="none" w:sz="0" w:space="0" w:color="auto"/>
            <w:right w:val="none" w:sz="0" w:space="0" w:color="auto"/>
          </w:divBdr>
          <w:divsChild>
            <w:div w:id="19471772">
              <w:marLeft w:val="0"/>
              <w:marRight w:val="0"/>
              <w:marTop w:val="0"/>
              <w:marBottom w:val="0"/>
              <w:divBdr>
                <w:top w:val="none" w:sz="0" w:space="0" w:color="auto"/>
                <w:left w:val="none" w:sz="0" w:space="0" w:color="auto"/>
                <w:bottom w:val="none" w:sz="0" w:space="0" w:color="auto"/>
                <w:right w:val="none" w:sz="0" w:space="0" w:color="auto"/>
              </w:divBdr>
            </w:div>
          </w:divsChild>
        </w:div>
        <w:div w:id="2141721320">
          <w:marLeft w:val="0"/>
          <w:marRight w:val="0"/>
          <w:marTop w:val="0"/>
          <w:marBottom w:val="0"/>
          <w:divBdr>
            <w:top w:val="none" w:sz="0" w:space="0" w:color="auto"/>
            <w:left w:val="none" w:sz="0" w:space="0" w:color="auto"/>
            <w:bottom w:val="none" w:sz="0" w:space="0" w:color="auto"/>
            <w:right w:val="none" w:sz="0" w:space="0" w:color="auto"/>
          </w:divBdr>
          <w:divsChild>
            <w:div w:id="737089811">
              <w:marLeft w:val="0"/>
              <w:marRight w:val="0"/>
              <w:marTop w:val="0"/>
              <w:marBottom w:val="0"/>
              <w:divBdr>
                <w:top w:val="none" w:sz="0" w:space="0" w:color="auto"/>
                <w:left w:val="none" w:sz="0" w:space="0" w:color="auto"/>
                <w:bottom w:val="none" w:sz="0" w:space="0" w:color="auto"/>
                <w:right w:val="none" w:sz="0" w:space="0" w:color="auto"/>
              </w:divBdr>
            </w:div>
          </w:divsChild>
        </w:div>
        <w:div w:id="2146850927">
          <w:marLeft w:val="0"/>
          <w:marRight w:val="0"/>
          <w:marTop w:val="0"/>
          <w:marBottom w:val="0"/>
          <w:divBdr>
            <w:top w:val="none" w:sz="0" w:space="0" w:color="auto"/>
            <w:left w:val="none" w:sz="0" w:space="0" w:color="auto"/>
            <w:bottom w:val="none" w:sz="0" w:space="0" w:color="auto"/>
            <w:right w:val="none" w:sz="0" w:space="0" w:color="auto"/>
          </w:divBdr>
          <w:divsChild>
            <w:div w:id="195821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44191">
      <w:bodyDiv w:val="1"/>
      <w:marLeft w:val="0"/>
      <w:marRight w:val="0"/>
      <w:marTop w:val="0"/>
      <w:marBottom w:val="0"/>
      <w:divBdr>
        <w:top w:val="none" w:sz="0" w:space="0" w:color="auto"/>
        <w:left w:val="none" w:sz="0" w:space="0" w:color="auto"/>
        <w:bottom w:val="none" w:sz="0" w:space="0" w:color="auto"/>
        <w:right w:val="none" w:sz="0" w:space="0" w:color="auto"/>
      </w:divBdr>
    </w:div>
    <w:div w:id="425005413">
      <w:bodyDiv w:val="1"/>
      <w:marLeft w:val="0"/>
      <w:marRight w:val="0"/>
      <w:marTop w:val="0"/>
      <w:marBottom w:val="0"/>
      <w:divBdr>
        <w:top w:val="none" w:sz="0" w:space="0" w:color="auto"/>
        <w:left w:val="none" w:sz="0" w:space="0" w:color="auto"/>
        <w:bottom w:val="none" w:sz="0" w:space="0" w:color="auto"/>
        <w:right w:val="none" w:sz="0" w:space="0" w:color="auto"/>
      </w:divBdr>
    </w:div>
    <w:div w:id="476924011">
      <w:bodyDiv w:val="1"/>
      <w:marLeft w:val="0"/>
      <w:marRight w:val="0"/>
      <w:marTop w:val="0"/>
      <w:marBottom w:val="0"/>
      <w:divBdr>
        <w:top w:val="none" w:sz="0" w:space="0" w:color="auto"/>
        <w:left w:val="none" w:sz="0" w:space="0" w:color="auto"/>
        <w:bottom w:val="none" w:sz="0" w:space="0" w:color="auto"/>
        <w:right w:val="none" w:sz="0" w:space="0" w:color="auto"/>
      </w:divBdr>
    </w:div>
    <w:div w:id="558976590">
      <w:bodyDiv w:val="1"/>
      <w:marLeft w:val="0"/>
      <w:marRight w:val="0"/>
      <w:marTop w:val="0"/>
      <w:marBottom w:val="0"/>
      <w:divBdr>
        <w:top w:val="none" w:sz="0" w:space="0" w:color="auto"/>
        <w:left w:val="none" w:sz="0" w:space="0" w:color="auto"/>
        <w:bottom w:val="none" w:sz="0" w:space="0" w:color="auto"/>
        <w:right w:val="none" w:sz="0" w:space="0" w:color="auto"/>
      </w:divBdr>
    </w:div>
    <w:div w:id="634289698">
      <w:bodyDiv w:val="1"/>
      <w:marLeft w:val="0"/>
      <w:marRight w:val="0"/>
      <w:marTop w:val="0"/>
      <w:marBottom w:val="0"/>
      <w:divBdr>
        <w:top w:val="none" w:sz="0" w:space="0" w:color="auto"/>
        <w:left w:val="none" w:sz="0" w:space="0" w:color="auto"/>
        <w:bottom w:val="none" w:sz="0" w:space="0" w:color="auto"/>
        <w:right w:val="none" w:sz="0" w:space="0" w:color="auto"/>
      </w:divBdr>
    </w:div>
    <w:div w:id="666173754">
      <w:bodyDiv w:val="1"/>
      <w:marLeft w:val="0"/>
      <w:marRight w:val="0"/>
      <w:marTop w:val="0"/>
      <w:marBottom w:val="0"/>
      <w:divBdr>
        <w:top w:val="none" w:sz="0" w:space="0" w:color="auto"/>
        <w:left w:val="none" w:sz="0" w:space="0" w:color="auto"/>
        <w:bottom w:val="none" w:sz="0" w:space="0" w:color="auto"/>
        <w:right w:val="none" w:sz="0" w:space="0" w:color="auto"/>
      </w:divBdr>
      <w:divsChild>
        <w:div w:id="5795399">
          <w:marLeft w:val="0"/>
          <w:marRight w:val="0"/>
          <w:marTop w:val="0"/>
          <w:marBottom w:val="0"/>
          <w:divBdr>
            <w:top w:val="none" w:sz="0" w:space="0" w:color="auto"/>
            <w:left w:val="none" w:sz="0" w:space="0" w:color="auto"/>
            <w:bottom w:val="none" w:sz="0" w:space="0" w:color="auto"/>
            <w:right w:val="none" w:sz="0" w:space="0" w:color="auto"/>
          </w:divBdr>
        </w:div>
        <w:div w:id="23792207">
          <w:marLeft w:val="0"/>
          <w:marRight w:val="0"/>
          <w:marTop w:val="0"/>
          <w:marBottom w:val="0"/>
          <w:divBdr>
            <w:top w:val="none" w:sz="0" w:space="0" w:color="auto"/>
            <w:left w:val="none" w:sz="0" w:space="0" w:color="auto"/>
            <w:bottom w:val="none" w:sz="0" w:space="0" w:color="auto"/>
            <w:right w:val="none" w:sz="0" w:space="0" w:color="auto"/>
          </w:divBdr>
        </w:div>
        <w:div w:id="176622433">
          <w:marLeft w:val="0"/>
          <w:marRight w:val="0"/>
          <w:marTop w:val="0"/>
          <w:marBottom w:val="0"/>
          <w:divBdr>
            <w:top w:val="none" w:sz="0" w:space="0" w:color="auto"/>
            <w:left w:val="none" w:sz="0" w:space="0" w:color="auto"/>
            <w:bottom w:val="none" w:sz="0" w:space="0" w:color="auto"/>
            <w:right w:val="none" w:sz="0" w:space="0" w:color="auto"/>
          </w:divBdr>
        </w:div>
        <w:div w:id="194855089">
          <w:marLeft w:val="0"/>
          <w:marRight w:val="0"/>
          <w:marTop w:val="0"/>
          <w:marBottom w:val="0"/>
          <w:divBdr>
            <w:top w:val="none" w:sz="0" w:space="0" w:color="auto"/>
            <w:left w:val="none" w:sz="0" w:space="0" w:color="auto"/>
            <w:bottom w:val="none" w:sz="0" w:space="0" w:color="auto"/>
            <w:right w:val="none" w:sz="0" w:space="0" w:color="auto"/>
          </w:divBdr>
        </w:div>
        <w:div w:id="238251223">
          <w:marLeft w:val="0"/>
          <w:marRight w:val="0"/>
          <w:marTop w:val="0"/>
          <w:marBottom w:val="0"/>
          <w:divBdr>
            <w:top w:val="none" w:sz="0" w:space="0" w:color="auto"/>
            <w:left w:val="none" w:sz="0" w:space="0" w:color="auto"/>
            <w:bottom w:val="none" w:sz="0" w:space="0" w:color="auto"/>
            <w:right w:val="none" w:sz="0" w:space="0" w:color="auto"/>
          </w:divBdr>
        </w:div>
        <w:div w:id="270091636">
          <w:marLeft w:val="0"/>
          <w:marRight w:val="0"/>
          <w:marTop w:val="0"/>
          <w:marBottom w:val="0"/>
          <w:divBdr>
            <w:top w:val="none" w:sz="0" w:space="0" w:color="auto"/>
            <w:left w:val="none" w:sz="0" w:space="0" w:color="auto"/>
            <w:bottom w:val="none" w:sz="0" w:space="0" w:color="auto"/>
            <w:right w:val="none" w:sz="0" w:space="0" w:color="auto"/>
          </w:divBdr>
        </w:div>
        <w:div w:id="363017680">
          <w:marLeft w:val="0"/>
          <w:marRight w:val="0"/>
          <w:marTop w:val="0"/>
          <w:marBottom w:val="0"/>
          <w:divBdr>
            <w:top w:val="none" w:sz="0" w:space="0" w:color="auto"/>
            <w:left w:val="none" w:sz="0" w:space="0" w:color="auto"/>
            <w:bottom w:val="none" w:sz="0" w:space="0" w:color="auto"/>
            <w:right w:val="none" w:sz="0" w:space="0" w:color="auto"/>
          </w:divBdr>
        </w:div>
        <w:div w:id="418601668">
          <w:marLeft w:val="0"/>
          <w:marRight w:val="0"/>
          <w:marTop w:val="0"/>
          <w:marBottom w:val="0"/>
          <w:divBdr>
            <w:top w:val="none" w:sz="0" w:space="0" w:color="auto"/>
            <w:left w:val="none" w:sz="0" w:space="0" w:color="auto"/>
            <w:bottom w:val="none" w:sz="0" w:space="0" w:color="auto"/>
            <w:right w:val="none" w:sz="0" w:space="0" w:color="auto"/>
          </w:divBdr>
        </w:div>
        <w:div w:id="454257962">
          <w:marLeft w:val="0"/>
          <w:marRight w:val="0"/>
          <w:marTop w:val="0"/>
          <w:marBottom w:val="0"/>
          <w:divBdr>
            <w:top w:val="none" w:sz="0" w:space="0" w:color="auto"/>
            <w:left w:val="none" w:sz="0" w:space="0" w:color="auto"/>
            <w:bottom w:val="none" w:sz="0" w:space="0" w:color="auto"/>
            <w:right w:val="none" w:sz="0" w:space="0" w:color="auto"/>
          </w:divBdr>
        </w:div>
        <w:div w:id="471215570">
          <w:marLeft w:val="0"/>
          <w:marRight w:val="0"/>
          <w:marTop w:val="0"/>
          <w:marBottom w:val="0"/>
          <w:divBdr>
            <w:top w:val="none" w:sz="0" w:space="0" w:color="auto"/>
            <w:left w:val="none" w:sz="0" w:space="0" w:color="auto"/>
            <w:bottom w:val="none" w:sz="0" w:space="0" w:color="auto"/>
            <w:right w:val="none" w:sz="0" w:space="0" w:color="auto"/>
          </w:divBdr>
        </w:div>
        <w:div w:id="475923233">
          <w:marLeft w:val="0"/>
          <w:marRight w:val="0"/>
          <w:marTop w:val="0"/>
          <w:marBottom w:val="0"/>
          <w:divBdr>
            <w:top w:val="none" w:sz="0" w:space="0" w:color="auto"/>
            <w:left w:val="none" w:sz="0" w:space="0" w:color="auto"/>
            <w:bottom w:val="none" w:sz="0" w:space="0" w:color="auto"/>
            <w:right w:val="none" w:sz="0" w:space="0" w:color="auto"/>
          </w:divBdr>
        </w:div>
        <w:div w:id="503715358">
          <w:marLeft w:val="0"/>
          <w:marRight w:val="0"/>
          <w:marTop w:val="0"/>
          <w:marBottom w:val="0"/>
          <w:divBdr>
            <w:top w:val="none" w:sz="0" w:space="0" w:color="auto"/>
            <w:left w:val="none" w:sz="0" w:space="0" w:color="auto"/>
            <w:bottom w:val="none" w:sz="0" w:space="0" w:color="auto"/>
            <w:right w:val="none" w:sz="0" w:space="0" w:color="auto"/>
          </w:divBdr>
        </w:div>
        <w:div w:id="527839505">
          <w:marLeft w:val="0"/>
          <w:marRight w:val="0"/>
          <w:marTop w:val="0"/>
          <w:marBottom w:val="0"/>
          <w:divBdr>
            <w:top w:val="none" w:sz="0" w:space="0" w:color="auto"/>
            <w:left w:val="none" w:sz="0" w:space="0" w:color="auto"/>
            <w:bottom w:val="none" w:sz="0" w:space="0" w:color="auto"/>
            <w:right w:val="none" w:sz="0" w:space="0" w:color="auto"/>
          </w:divBdr>
        </w:div>
        <w:div w:id="600917364">
          <w:marLeft w:val="0"/>
          <w:marRight w:val="0"/>
          <w:marTop w:val="0"/>
          <w:marBottom w:val="0"/>
          <w:divBdr>
            <w:top w:val="none" w:sz="0" w:space="0" w:color="auto"/>
            <w:left w:val="none" w:sz="0" w:space="0" w:color="auto"/>
            <w:bottom w:val="none" w:sz="0" w:space="0" w:color="auto"/>
            <w:right w:val="none" w:sz="0" w:space="0" w:color="auto"/>
          </w:divBdr>
        </w:div>
        <w:div w:id="615870226">
          <w:marLeft w:val="0"/>
          <w:marRight w:val="0"/>
          <w:marTop w:val="0"/>
          <w:marBottom w:val="0"/>
          <w:divBdr>
            <w:top w:val="none" w:sz="0" w:space="0" w:color="auto"/>
            <w:left w:val="none" w:sz="0" w:space="0" w:color="auto"/>
            <w:bottom w:val="none" w:sz="0" w:space="0" w:color="auto"/>
            <w:right w:val="none" w:sz="0" w:space="0" w:color="auto"/>
          </w:divBdr>
        </w:div>
        <w:div w:id="617102443">
          <w:marLeft w:val="0"/>
          <w:marRight w:val="0"/>
          <w:marTop w:val="0"/>
          <w:marBottom w:val="0"/>
          <w:divBdr>
            <w:top w:val="none" w:sz="0" w:space="0" w:color="auto"/>
            <w:left w:val="none" w:sz="0" w:space="0" w:color="auto"/>
            <w:bottom w:val="none" w:sz="0" w:space="0" w:color="auto"/>
            <w:right w:val="none" w:sz="0" w:space="0" w:color="auto"/>
          </w:divBdr>
        </w:div>
        <w:div w:id="642387003">
          <w:marLeft w:val="0"/>
          <w:marRight w:val="0"/>
          <w:marTop w:val="0"/>
          <w:marBottom w:val="0"/>
          <w:divBdr>
            <w:top w:val="none" w:sz="0" w:space="0" w:color="auto"/>
            <w:left w:val="none" w:sz="0" w:space="0" w:color="auto"/>
            <w:bottom w:val="none" w:sz="0" w:space="0" w:color="auto"/>
            <w:right w:val="none" w:sz="0" w:space="0" w:color="auto"/>
          </w:divBdr>
        </w:div>
        <w:div w:id="674839227">
          <w:marLeft w:val="0"/>
          <w:marRight w:val="0"/>
          <w:marTop w:val="0"/>
          <w:marBottom w:val="0"/>
          <w:divBdr>
            <w:top w:val="none" w:sz="0" w:space="0" w:color="auto"/>
            <w:left w:val="none" w:sz="0" w:space="0" w:color="auto"/>
            <w:bottom w:val="none" w:sz="0" w:space="0" w:color="auto"/>
            <w:right w:val="none" w:sz="0" w:space="0" w:color="auto"/>
          </w:divBdr>
          <w:divsChild>
            <w:div w:id="27726075">
              <w:marLeft w:val="0"/>
              <w:marRight w:val="0"/>
              <w:marTop w:val="0"/>
              <w:marBottom w:val="0"/>
              <w:divBdr>
                <w:top w:val="none" w:sz="0" w:space="0" w:color="auto"/>
                <w:left w:val="none" w:sz="0" w:space="0" w:color="auto"/>
                <w:bottom w:val="none" w:sz="0" w:space="0" w:color="auto"/>
                <w:right w:val="none" w:sz="0" w:space="0" w:color="auto"/>
              </w:divBdr>
            </w:div>
            <w:div w:id="360859045">
              <w:marLeft w:val="0"/>
              <w:marRight w:val="0"/>
              <w:marTop w:val="0"/>
              <w:marBottom w:val="0"/>
              <w:divBdr>
                <w:top w:val="none" w:sz="0" w:space="0" w:color="auto"/>
                <w:left w:val="none" w:sz="0" w:space="0" w:color="auto"/>
                <w:bottom w:val="none" w:sz="0" w:space="0" w:color="auto"/>
                <w:right w:val="none" w:sz="0" w:space="0" w:color="auto"/>
              </w:divBdr>
            </w:div>
            <w:div w:id="742291346">
              <w:marLeft w:val="0"/>
              <w:marRight w:val="0"/>
              <w:marTop w:val="0"/>
              <w:marBottom w:val="0"/>
              <w:divBdr>
                <w:top w:val="none" w:sz="0" w:space="0" w:color="auto"/>
                <w:left w:val="none" w:sz="0" w:space="0" w:color="auto"/>
                <w:bottom w:val="none" w:sz="0" w:space="0" w:color="auto"/>
                <w:right w:val="none" w:sz="0" w:space="0" w:color="auto"/>
              </w:divBdr>
            </w:div>
            <w:div w:id="928151600">
              <w:marLeft w:val="0"/>
              <w:marRight w:val="0"/>
              <w:marTop w:val="0"/>
              <w:marBottom w:val="0"/>
              <w:divBdr>
                <w:top w:val="none" w:sz="0" w:space="0" w:color="auto"/>
                <w:left w:val="none" w:sz="0" w:space="0" w:color="auto"/>
                <w:bottom w:val="none" w:sz="0" w:space="0" w:color="auto"/>
                <w:right w:val="none" w:sz="0" w:space="0" w:color="auto"/>
              </w:divBdr>
            </w:div>
            <w:div w:id="1118985674">
              <w:marLeft w:val="0"/>
              <w:marRight w:val="0"/>
              <w:marTop w:val="0"/>
              <w:marBottom w:val="0"/>
              <w:divBdr>
                <w:top w:val="none" w:sz="0" w:space="0" w:color="auto"/>
                <w:left w:val="none" w:sz="0" w:space="0" w:color="auto"/>
                <w:bottom w:val="none" w:sz="0" w:space="0" w:color="auto"/>
                <w:right w:val="none" w:sz="0" w:space="0" w:color="auto"/>
              </w:divBdr>
            </w:div>
            <w:div w:id="1155609670">
              <w:marLeft w:val="0"/>
              <w:marRight w:val="0"/>
              <w:marTop w:val="0"/>
              <w:marBottom w:val="0"/>
              <w:divBdr>
                <w:top w:val="none" w:sz="0" w:space="0" w:color="auto"/>
                <w:left w:val="none" w:sz="0" w:space="0" w:color="auto"/>
                <w:bottom w:val="none" w:sz="0" w:space="0" w:color="auto"/>
                <w:right w:val="none" w:sz="0" w:space="0" w:color="auto"/>
              </w:divBdr>
            </w:div>
            <w:div w:id="1199120283">
              <w:marLeft w:val="0"/>
              <w:marRight w:val="0"/>
              <w:marTop w:val="0"/>
              <w:marBottom w:val="0"/>
              <w:divBdr>
                <w:top w:val="none" w:sz="0" w:space="0" w:color="auto"/>
                <w:left w:val="none" w:sz="0" w:space="0" w:color="auto"/>
                <w:bottom w:val="none" w:sz="0" w:space="0" w:color="auto"/>
                <w:right w:val="none" w:sz="0" w:space="0" w:color="auto"/>
              </w:divBdr>
            </w:div>
            <w:div w:id="1216820623">
              <w:marLeft w:val="0"/>
              <w:marRight w:val="0"/>
              <w:marTop w:val="0"/>
              <w:marBottom w:val="0"/>
              <w:divBdr>
                <w:top w:val="none" w:sz="0" w:space="0" w:color="auto"/>
                <w:left w:val="none" w:sz="0" w:space="0" w:color="auto"/>
                <w:bottom w:val="none" w:sz="0" w:space="0" w:color="auto"/>
                <w:right w:val="none" w:sz="0" w:space="0" w:color="auto"/>
              </w:divBdr>
            </w:div>
            <w:div w:id="1236551503">
              <w:marLeft w:val="0"/>
              <w:marRight w:val="0"/>
              <w:marTop w:val="0"/>
              <w:marBottom w:val="0"/>
              <w:divBdr>
                <w:top w:val="none" w:sz="0" w:space="0" w:color="auto"/>
                <w:left w:val="none" w:sz="0" w:space="0" w:color="auto"/>
                <w:bottom w:val="none" w:sz="0" w:space="0" w:color="auto"/>
                <w:right w:val="none" w:sz="0" w:space="0" w:color="auto"/>
              </w:divBdr>
            </w:div>
            <w:div w:id="1373068642">
              <w:marLeft w:val="0"/>
              <w:marRight w:val="0"/>
              <w:marTop w:val="0"/>
              <w:marBottom w:val="0"/>
              <w:divBdr>
                <w:top w:val="none" w:sz="0" w:space="0" w:color="auto"/>
                <w:left w:val="none" w:sz="0" w:space="0" w:color="auto"/>
                <w:bottom w:val="none" w:sz="0" w:space="0" w:color="auto"/>
                <w:right w:val="none" w:sz="0" w:space="0" w:color="auto"/>
              </w:divBdr>
            </w:div>
            <w:div w:id="1421953349">
              <w:marLeft w:val="0"/>
              <w:marRight w:val="0"/>
              <w:marTop w:val="0"/>
              <w:marBottom w:val="0"/>
              <w:divBdr>
                <w:top w:val="none" w:sz="0" w:space="0" w:color="auto"/>
                <w:left w:val="none" w:sz="0" w:space="0" w:color="auto"/>
                <w:bottom w:val="none" w:sz="0" w:space="0" w:color="auto"/>
                <w:right w:val="none" w:sz="0" w:space="0" w:color="auto"/>
              </w:divBdr>
            </w:div>
            <w:div w:id="1605647143">
              <w:marLeft w:val="0"/>
              <w:marRight w:val="0"/>
              <w:marTop w:val="0"/>
              <w:marBottom w:val="0"/>
              <w:divBdr>
                <w:top w:val="none" w:sz="0" w:space="0" w:color="auto"/>
                <w:left w:val="none" w:sz="0" w:space="0" w:color="auto"/>
                <w:bottom w:val="none" w:sz="0" w:space="0" w:color="auto"/>
                <w:right w:val="none" w:sz="0" w:space="0" w:color="auto"/>
              </w:divBdr>
            </w:div>
            <w:div w:id="1617977739">
              <w:marLeft w:val="0"/>
              <w:marRight w:val="0"/>
              <w:marTop w:val="0"/>
              <w:marBottom w:val="0"/>
              <w:divBdr>
                <w:top w:val="none" w:sz="0" w:space="0" w:color="auto"/>
                <w:left w:val="none" w:sz="0" w:space="0" w:color="auto"/>
                <w:bottom w:val="none" w:sz="0" w:space="0" w:color="auto"/>
                <w:right w:val="none" w:sz="0" w:space="0" w:color="auto"/>
              </w:divBdr>
            </w:div>
            <w:div w:id="1752850997">
              <w:marLeft w:val="0"/>
              <w:marRight w:val="0"/>
              <w:marTop w:val="0"/>
              <w:marBottom w:val="0"/>
              <w:divBdr>
                <w:top w:val="none" w:sz="0" w:space="0" w:color="auto"/>
                <w:left w:val="none" w:sz="0" w:space="0" w:color="auto"/>
                <w:bottom w:val="none" w:sz="0" w:space="0" w:color="auto"/>
                <w:right w:val="none" w:sz="0" w:space="0" w:color="auto"/>
              </w:divBdr>
            </w:div>
            <w:div w:id="1792478169">
              <w:marLeft w:val="0"/>
              <w:marRight w:val="0"/>
              <w:marTop w:val="0"/>
              <w:marBottom w:val="0"/>
              <w:divBdr>
                <w:top w:val="none" w:sz="0" w:space="0" w:color="auto"/>
                <w:left w:val="none" w:sz="0" w:space="0" w:color="auto"/>
                <w:bottom w:val="none" w:sz="0" w:space="0" w:color="auto"/>
                <w:right w:val="none" w:sz="0" w:space="0" w:color="auto"/>
              </w:divBdr>
            </w:div>
            <w:div w:id="1856335182">
              <w:marLeft w:val="0"/>
              <w:marRight w:val="0"/>
              <w:marTop w:val="0"/>
              <w:marBottom w:val="0"/>
              <w:divBdr>
                <w:top w:val="none" w:sz="0" w:space="0" w:color="auto"/>
                <w:left w:val="none" w:sz="0" w:space="0" w:color="auto"/>
                <w:bottom w:val="none" w:sz="0" w:space="0" w:color="auto"/>
                <w:right w:val="none" w:sz="0" w:space="0" w:color="auto"/>
              </w:divBdr>
            </w:div>
            <w:div w:id="1923026976">
              <w:marLeft w:val="0"/>
              <w:marRight w:val="0"/>
              <w:marTop w:val="0"/>
              <w:marBottom w:val="0"/>
              <w:divBdr>
                <w:top w:val="none" w:sz="0" w:space="0" w:color="auto"/>
                <w:left w:val="none" w:sz="0" w:space="0" w:color="auto"/>
                <w:bottom w:val="none" w:sz="0" w:space="0" w:color="auto"/>
                <w:right w:val="none" w:sz="0" w:space="0" w:color="auto"/>
              </w:divBdr>
            </w:div>
          </w:divsChild>
        </w:div>
        <w:div w:id="769621163">
          <w:marLeft w:val="0"/>
          <w:marRight w:val="0"/>
          <w:marTop w:val="0"/>
          <w:marBottom w:val="0"/>
          <w:divBdr>
            <w:top w:val="none" w:sz="0" w:space="0" w:color="auto"/>
            <w:left w:val="none" w:sz="0" w:space="0" w:color="auto"/>
            <w:bottom w:val="none" w:sz="0" w:space="0" w:color="auto"/>
            <w:right w:val="none" w:sz="0" w:space="0" w:color="auto"/>
          </w:divBdr>
        </w:div>
        <w:div w:id="785583419">
          <w:marLeft w:val="0"/>
          <w:marRight w:val="0"/>
          <w:marTop w:val="0"/>
          <w:marBottom w:val="0"/>
          <w:divBdr>
            <w:top w:val="none" w:sz="0" w:space="0" w:color="auto"/>
            <w:left w:val="none" w:sz="0" w:space="0" w:color="auto"/>
            <w:bottom w:val="none" w:sz="0" w:space="0" w:color="auto"/>
            <w:right w:val="none" w:sz="0" w:space="0" w:color="auto"/>
          </w:divBdr>
        </w:div>
        <w:div w:id="786316667">
          <w:marLeft w:val="0"/>
          <w:marRight w:val="0"/>
          <w:marTop w:val="0"/>
          <w:marBottom w:val="0"/>
          <w:divBdr>
            <w:top w:val="none" w:sz="0" w:space="0" w:color="auto"/>
            <w:left w:val="none" w:sz="0" w:space="0" w:color="auto"/>
            <w:bottom w:val="none" w:sz="0" w:space="0" w:color="auto"/>
            <w:right w:val="none" w:sz="0" w:space="0" w:color="auto"/>
          </w:divBdr>
        </w:div>
        <w:div w:id="829716077">
          <w:marLeft w:val="0"/>
          <w:marRight w:val="0"/>
          <w:marTop w:val="0"/>
          <w:marBottom w:val="0"/>
          <w:divBdr>
            <w:top w:val="none" w:sz="0" w:space="0" w:color="auto"/>
            <w:left w:val="none" w:sz="0" w:space="0" w:color="auto"/>
            <w:bottom w:val="none" w:sz="0" w:space="0" w:color="auto"/>
            <w:right w:val="none" w:sz="0" w:space="0" w:color="auto"/>
          </w:divBdr>
        </w:div>
        <w:div w:id="1029524599">
          <w:marLeft w:val="0"/>
          <w:marRight w:val="0"/>
          <w:marTop w:val="0"/>
          <w:marBottom w:val="0"/>
          <w:divBdr>
            <w:top w:val="none" w:sz="0" w:space="0" w:color="auto"/>
            <w:left w:val="none" w:sz="0" w:space="0" w:color="auto"/>
            <w:bottom w:val="none" w:sz="0" w:space="0" w:color="auto"/>
            <w:right w:val="none" w:sz="0" w:space="0" w:color="auto"/>
          </w:divBdr>
        </w:div>
        <w:div w:id="1041244832">
          <w:marLeft w:val="0"/>
          <w:marRight w:val="0"/>
          <w:marTop w:val="0"/>
          <w:marBottom w:val="0"/>
          <w:divBdr>
            <w:top w:val="none" w:sz="0" w:space="0" w:color="auto"/>
            <w:left w:val="none" w:sz="0" w:space="0" w:color="auto"/>
            <w:bottom w:val="none" w:sz="0" w:space="0" w:color="auto"/>
            <w:right w:val="none" w:sz="0" w:space="0" w:color="auto"/>
          </w:divBdr>
        </w:div>
        <w:div w:id="1128163843">
          <w:marLeft w:val="0"/>
          <w:marRight w:val="0"/>
          <w:marTop w:val="0"/>
          <w:marBottom w:val="0"/>
          <w:divBdr>
            <w:top w:val="none" w:sz="0" w:space="0" w:color="auto"/>
            <w:left w:val="none" w:sz="0" w:space="0" w:color="auto"/>
            <w:bottom w:val="none" w:sz="0" w:space="0" w:color="auto"/>
            <w:right w:val="none" w:sz="0" w:space="0" w:color="auto"/>
          </w:divBdr>
        </w:div>
        <w:div w:id="1170486449">
          <w:marLeft w:val="0"/>
          <w:marRight w:val="0"/>
          <w:marTop w:val="0"/>
          <w:marBottom w:val="0"/>
          <w:divBdr>
            <w:top w:val="none" w:sz="0" w:space="0" w:color="auto"/>
            <w:left w:val="none" w:sz="0" w:space="0" w:color="auto"/>
            <w:bottom w:val="none" w:sz="0" w:space="0" w:color="auto"/>
            <w:right w:val="none" w:sz="0" w:space="0" w:color="auto"/>
          </w:divBdr>
        </w:div>
        <w:div w:id="1354651721">
          <w:marLeft w:val="0"/>
          <w:marRight w:val="0"/>
          <w:marTop w:val="0"/>
          <w:marBottom w:val="0"/>
          <w:divBdr>
            <w:top w:val="none" w:sz="0" w:space="0" w:color="auto"/>
            <w:left w:val="none" w:sz="0" w:space="0" w:color="auto"/>
            <w:bottom w:val="none" w:sz="0" w:space="0" w:color="auto"/>
            <w:right w:val="none" w:sz="0" w:space="0" w:color="auto"/>
          </w:divBdr>
        </w:div>
        <w:div w:id="1380351446">
          <w:marLeft w:val="0"/>
          <w:marRight w:val="0"/>
          <w:marTop w:val="0"/>
          <w:marBottom w:val="0"/>
          <w:divBdr>
            <w:top w:val="none" w:sz="0" w:space="0" w:color="auto"/>
            <w:left w:val="none" w:sz="0" w:space="0" w:color="auto"/>
            <w:bottom w:val="none" w:sz="0" w:space="0" w:color="auto"/>
            <w:right w:val="none" w:sz="0" w:space="0" w:color="auto"/>
          </w:divBdr>
        </w:div>
        <w:div w:id="1516189318">
          <w:marLeft w:val="0"/>
          <w:marRight w:val="0"/>
          <w:marTop w:val="0"/>
          <w:marBottom w:val="0"/>
          <w:divBdr>
            <w:top w:val="none" w:sz="0" w:space="0" w:color="auto"/>
            <w:left w:val="none" w:sz="0" w:space="0" w:color="auto"/>
            <w:bottom w:val="none" w:sz="0" w:space="0" w:color="auto"/>
            <w:right w:val="none" w:sz="0" w:space="0" w:color="auto"/>
          </w:divBdr>
        </w:div>
        <w:div w:id="1527256799">
          <w:marLeft w:val="0"/>
          <w:marRight w:val="0"/>
          <w:marTop w:val="0"/>
          <w:marBottom w:val="0"/>
          <w:divBdr>
            <w:top w:val="none" w:sz="0" w:space="0" w:color="auto"/>
            <w:left w:val="none" w:sz="0" w:space="0" w:color="auto"/>
            <w:bottom w:val="none" w:sz="0" w:space="0" w:color="auto"/>
            <w:right w:val="none" w:sz="0" w:space="0" w:color="auto"/>
          </w:divBdr>
        </w:div>
        <w:div w:id="1540777314">
          <w:marLeft w:val="0"/>
          <w:marRight w:val="0"/>
          <w:marTop w:val="0"/>
          <w:marBottom w:val="0"/>
          <w:divBdr>
            <w:top w:val="none" w:sz="0" w:space="0" w:color="auto"/>
            <w:left w:val="none" w:sz="0" w:space="0" w:color="auto"/>
            <w:bottom w:val="none" w:sz="0" w:space="0" w:color="auto"/>
            <w:right w:val="none" w:sz="0" w:space="0" w:color="auto"/>
          </w:divBdr>
        </w:div>
        <w:div w:id="1579745926">
          <w:marLeft w:val="0"/>
          <w:marRight w:val="0"/>
          <w:marTop w:val="0"/>
          <w:marBottom w:val="0"/>
          <w:divBdr>
            <w:top w:val="none" w:sz="0" w:space="0" w:color="auto"/>
            <w:left w:val="none" w:sz="0" w:space="0" w:color="auto"/>
            <w:bottom w:val="none" w:sz="0" w:space="0" w:color="auto"/>
            <w:right w:val="none" w:sz="0" w:space="0" w:color="auto"/>
          </w:divBdr>
        </w:div>
        <w:div w:id="1668629348">
          <w:marLeft w:val="0"/>
          <w:marRight w:val="0"/>
          <w:marTop w:val="0"/>
          <w:marBottom w:val="0"/>
          <w:divBdr>
            <w:top w:val="none" w:sz="0" w:space="0" w:color="auto"/>
            <w:left w:val="none" w:sz="0" w:space="0" w:color="auto"/>
            <w:bottom w:val="none" w:sz="0" w:space="0" w:color="auto"/>
            <w:right w:val="none" w:sz="0" w:space="0" w:color="auto"/>
          </w:divBdr>
        </w:div>
        <w:div w:id="1751123506">
          <w:marLeft w:val="0"/>
          <w:marRight w:val="0"/>
          <w:marTop w:val="0"/>
          <w:marBottom w:val="0"/>
          <w:divBdr>
            <w:top w:val="none" w:sz="0" w:space="0" w:color="auto"/>
            <w:left w:val="none" w:sz="0" w:space="0" w:color="auto"/>
            <w:bottom w:val="none" w:sz="0" w:space="0" w:color="auto"/>
            <w:right w:val="none" w:sz="0" w:space="0" w:color="auto"/>
          </w:divBdr>
        </w:div>
        <w:div w:id="1798837018">
          <w:marLeft w:val="0"/>
          <w:marRight w:val="0"/>
          <w:marTop w:val="0"/>
          <w:marBottom w:val="0"/>
          <w:divBdr>
            <w:top w:val="none" w:sz="0" w:space="0" w:color="auto"/>
            <w:left w:val="none" w:sz="0" w:space="0" w:color="auto"/>
            <w:bottom w:val="none" w:sz="0" w:space="0" w:color="auto"/>
            <w:right w:val="none" w:sz="0" w:space="0" w:color="auto"/>
          </w:divBdr>
        </w:div>
        <w:div w:id="1857040060">
          <w:marLeft w:val="0"/>
          <w:marRight w:val="0"/>
          <w:marTop w:val="0"/>
          <w:marBottom w:val="0"/>
          <w:divBdr>
            <w:top w:val="none" w:sz="0" w:space="0" w:color="auto"/>
            <w:left w:val="none" w:sz="0" w:space="0" w:color="auto"/>
            <w:bottom w:val="none" w:sz="0" w:space="0" w:color="auto"/>
            <w:right w:val="none" w:sz="0" w:space="0" w:color="auto"/>
          </w:divBdr>
        </w:div>
        <w:div w:id="1892960152">
          <w:marLeft w:val="0"/>
          <w:marRight w:val="0"/>
          <w:marTop w:val="0"/>
          <w:marBottom w:val="0"/>
          <w:divBdr>
            <w:top w:val="none" w:sz="0" w:space="0" w:color="auto"/>
            <w:left w:val="none" w:sz="0" w:space="0" w:color="auto"/>
            <w:bottom w:val="none" w:sz="0" w:space="0" w:color="auto"/>
            <w:right w:val="none" w:sz="0" w:space="0" w:color="auto"/>
          </w:divBdr>
        </w:div>
        <w:div w:id="2033410550">
          <w:marLeft w:val="0"/>
          <w:marRight w:val="0"/>
          <w:marTop w:val="0"/>
          <w:marBottom w:val="0"/>
          <w:divBdr>
            <w:top w:val="none" w:sz="0" w:space="0" w:color="auto"/>
            <w:left w:val="none" w:sz="0" w:space="0" w:color="auto"/>
            <w:bottom w:val="none" w:sz="0" w:space="0" w:color="auto"/>
            <w:right w:val="none" w:sz="0" w:space="0" w:color="auto"/>
          </w:divBdr>
        </w:div>
        <w:div w:id="2060276906">
          <w:marLeft w:val="0"/>
          <w:marRight w:val="0"/>
          <w:marTop w:val="0"/>
          <w:marBottom w:val="0"/>
          <w:divBdr>
            <w:top w:val="none" w:sz="0" w:space="0" w:color="auto"/>
            <w:left w:val="none" w:sz="0" w:space="0" w:color="auto"/>
            <w:bottom w:val="none" w:sz="0" w:space="0" w:color="auto"/>
            <w:right w:val="none" w:sz="0" w:space="0" w:color="auto"/>
          </w:divBdr>
        </w:div>
        <w:div w:id="2086998759">
          <w:marLeft w:val="0"/>
          <w:marRight w:val="0"/>
          <w:marTop w:val="0"/>
          <w:marBottom w:val="0"/>
          <w:divBdr>
            <w:top w:val="none" w:sz="0" w:space="0" w:color="auto"/>
            <w:left w:val="none" w:sz="0" w:space="0" w:color="auto"/>
            <w:bottom w:val="none" w:sz="0" w:space="0" w:color="auto"/>
            <w:right w:val="none" w:sz="0" w:space="0" w:color="auto"/>
          </w:divBdr>
        </w:div>
        <w:div w:id="2126650970">
          <w:marLeft w:val="0"/>
          <w:marRight w:val="0"/>
          <w:marTop w:val="0"/>
          <w:marBottom w:val="0"/>
          <w:divBdr>
            <w:top w:val="none" w:sz="0" w:space="0" w:color="auto"/>
            <w:left w:val="none" w:sz="0" w:space="0" w:color="auto"/>
            <w:bottom w:val="none" w:sz="0" w:space="0" w:color="auto"/>
            <w:right w:val="none" w:sz="0" w:space="0" w:color="auto"/>
          </w:divBdr>
        </w:div>
      </w:divsChild>
    </w:div>
    <w:div w:id="760373390">
      <w:bodyDiv w:val="1"/>
      <w:marLeft w:val="0"/>
      <w:marRight w:val="0"/>
      <w:marTop w:val="0"/>
      <w:marBottom w:val="0"/>
      <w:divBdr>
        <w:top w:val="none" w:sz="0" w:space="0" w:color="auto"/>
        <w:left w:val="none" w:sz="0" w:space="0" w:color="auto"/>
        <w:bottom w:val="none" w:sz="0" w:space="0" w:color="auto"/>
        <w:right w:val="none" w:sz="0" w:space="0" w:color="auto"/>
      </w:divBdr>
    </w:div>
    <w:div w:id="841117515">
      <w:bodyDiv w:val="1"/>
      <w:marLeft w:val="0"/>
      <w:marRight w:val="0"/>
      <w:marTop w:val="0"/>
      <w:marBottom w:val="0"/>
      <w:divBdr>
        <w:top w:val="none" w:sz="0" w:space="0" w:color="auto"/>
        <w:left w:val="none" w:sz="0" w:space="0" w:color="auto"/>
        <w:bottom w:val="none" w:sz="0" w:space="0" w:color="auto"/>
        <w:right w:val="none" w:sz="0" w:space="0" w:color="auto"/>
      </w:divBdr>
      <w:divsChild>
        <w:div w:id="172453107">
          <w:marLeft w:val="0"/>
          <w:marRight w:val="0"/>
          <w:marTop w:val="0"/>
          <w:marBottom w:val="0"/>
          <w:divBdr>
            <w:top w:val="none" w:sz="0" w:space="0" w:color="auto"/>
            <w:left w:val="none" w:sz="0" w:space="0" w:color="auto"/>
            <w:bottom w:val="none" w:sz="0" w:space="0" w:color="auto"/>
            <w:right w:val="none" w:sz="0" w:space="0" w:color="auto"/>
          </w:divBdr>
        </w:div>
        <w:div w:id="218590157">
          <w:marLeft w:val="0"/>
          <w:marRight w:val="0"/>
          <w:marTop w:val="0"/>
          <w:marBottom w:val="0"/>
          <w:divBdr>
            <w:top w:val="none" w:sz="0" w:space="0" w:color="auto"/>
            <w:left w:val="none" w:sz="0" w:space="0" w:color="auto"/>
            <w:bottom w:val="none" w:sz="0" w:space="0" w:color="auto"/>
            <w:right w:val="none" w:sz="0" w:space="0" w:color="auto"/>
          </w:divBdr>
        </w:div>
        <w:div w:id="338965519">
          <w:marLeft w:val="0"/>
          <w:marRight w:val="0"/>
          <w:marTop w:val="0"/>
          <w:marBottom w:val="0"/>
          <w:divBdr>
            <w:top w:val="none" w:sz="0" w:space="0" w:color="auto"/>
            <w:left w:val="none" w:sz="0" w:space="0" w:color="auto"/>
            <w:bottom w:val="none" w:sz="0" w:space="0" w:color="auto"/>
            <w:right w:val="none" w:sz="0" w:space="0" w:color="auto"/>
          </w:divBdr>
          <w:divsChild>
            <w:div w:id="72821464">
              <w:marLeft w:val="0"/>
              <w:marRight w:val="0"/>
              <w:marTop w:val="0"/>
              <w:marBottom w:val="0"/>
              <w:divBdr>
                <w:top w:val="none" w:sz="0" w:space="0" w:color="auto"/>
                <w:left w:val="none" w:sz="0" w:space="0" w:color="auto"/>
                <w:bottom w:val="none" w:sz="0" w:space="0" w:color="auto"/>
                <w:right w:val="none" w:sz="0" w:space="0" w:color="auto"/>
              </w:divBdr>
            </w:div>
            <w:div w:id="843780701">
              <w:marLeft w:val="0"/>
              <w:marRight w:val="0"/>
              <w:marTop w:val="0"/>
              <w:marBottom w:val="0"/>
              <w:divBdr>
                <w:top w:val="none" w:sz="0" w:space="0" w:color="auto"/>
                <w:left w:val="none" w:sz="0" w:space="0" w:color="auto"/>
                <w:bottom w:val="none" w:sz="0" w:space="0" w:color="auto"/>
                <w:right w:val="none" w:sz="0" w:space="0" w:color="auto"/>
              </w:divBdr>
            </w:div>
            <w:div w:id="1114326704">
              <w:marLeft w:val="0"/>
              <w:marRight w:val="0"/>
              <w:marTop w:val="0"/>
              <w:marBottom w:val="0"/>
              <w:divBdr>
                <w:top w:val="none" w:sz="0" w:space="0" w:color="auto"/>
                <w:left w:val="none" w:sz="0" w:space="0" w:color="auto"/>
                <w:bottom w:val="none" w:sz="0" w:space="0" w:color="auto"/>
                <w:right w:val="none" w:sz="0" w:space="0" w:color="auto"/>
              </w:divBdr>
            </w:div>
            <w:div w:id="1435443953">
              <w:marLeft w:val="0"/>
              <w:marRight w:val="0"/>
              <w:marTop w:val="0"/>
              <w:marBottom w:val="0"/>
              <w:divBdr>
                <w:top w:val="none" w:sz="0" w:space="0" w:color="auto"/>
                <w:left w:val="none" w:sz="0" w:space="0" w:color="auto"/>
                <w:bottom w:val="none" w:sz="0" w:space="0" w:color="auto"/>
                <w:right w:val="none" w:sz="0" w:space="0" w:color="auto"/>
              </w:divBdr>
            </w:div>
            <w:div w:id="1516965074">
              <w:marLeft w:val="0"/>
              <w:marRight w:val="0"/>
              <w:marTop w:val="0"/>
              <w:marBottom w:val="0"/>
              <w:divBdr>
                <w:top w:val="none" w:sz="0" w:space="0" w:color="auto"/>
                <w:left w:val="none" w:sz="0" w:space="0" w:color="auto"/>
                <w:bottom w:val="none" w:sz="0" w:space="0" w:color="auto"/>
                <w:right w:val="none" w:sz="0" w:space="0" w:color="auto"/>
              </w:divBdr>
            </w:div>
            <w:div w:id="1635871649">
              <w:marLeft w:val="0"/>
              <w:marRight w:val="0"/>
              <w:marTop w:val="0"/>
              <w:marBottom w:val="0"/>
              <w:divBdr>
                <w:top w:val="none" w:sz="0" w:space="0" w:color="auto"/>
                <w:left w:val="none" w:sz="0" w:space="0" w:color="auto"/>
                <w:bottom w:val="none" w:sz="0" w:space="0" w:color="auto"/>
                <w:right w:val="none" w:sz="0" w:space="0" w:color="auto"/>
              </w:divBdr>
            </w:div>
            <w:div w:id="1650284199">
              <w:marLeft w:val="0"/>
              <w:marRight w:val="0"/>
              <w:marTop w:val="0"/>
              <w:marBottom w:val="0"/>
              <w:divBdr>
                <w:top w:val="none" w:sz="0" w:space="0" w:color="auto"/>
                <w:left w:val="none" w:sz="0" w:space="0" w:color="auto"/>
                <w:bottom w:val="none" w:sz="0" w:space="0" w:color="auto"/>
                <w:right w:val="none" w:sz="0" w:space="0" w:color="auto"/>
              </w:divBdr>
            </w:div>
            <w:div w:id="2030330452">
              <w:marLeft w:val="0"/>
              <w:marRight w:val="0"/>
              <w:marTop w:val="0"/>
              <w:marBottom w:val="0"/>
              <w:divBdr>
                <w:top w:val="none" w:sz="0" w:space="0" w:color="auto"/>
                <w:left w:val="none" w:sz="0" w:space="0" w:color="auto"/>
                <w:bottom w:val="none" w:sz="0" w:space="0" w:color="auto"/>
                <w:right w:val="none" w:sz="0" w:space="0" w:color="auto"/>
              </w:divBdr>
            </w:div>
            <w:div w:id="2108772638">
              <w:marLeft w:val="0"/>
              <w:marRight w:val="0"/>
              <w:marTop w:val="0"/>
              <w:marBottom w:val="0"/>
              <w:divBdr>
                <w:top w:val="none" w:sz="0" w:space="0" w:color="auto"/>
                <w:left w:val="none" w:sz="0" w:space="0" w:color="auto"/>
                <w:bottom w:val="none" w:sz="0" w:space="0" w:color="auto"/>
                <w:right w:val="none" w:sz="0" w:space="0" w:color="auto"/>
              </w:divBdr>
            </w:div>
            <w:div w:id="2137218612">
              <w:marLeft w:val="0"/>
              <w:marRight w:val="0"/>
              <w:marTop w:val="0"/>
              <w:marBottom w:val="0"/>
              <w:divBdr>
                <w:top w:val="none" w:sz="0" w:space="0" w:color="auto"/>
                <w:left w:val="none" w:sz="0" w:space="0" w:color="auto"/>
                <w:bottom w:val="none" w:sz="0" w:space="0" w:color="auto"/>
                <w:right w:val="none" w:sz="0" w:space="0" w:color="auto"/>
              </w:divBdr>
            </w:div>
          </w:divsChild>
        </w:div>
        <w:div w:id="503665044">
          <w:marLeft w:val="0"/>
          <w:marRight w:val="0"/>
          <w:marTop w:val="0"/>
          <w:marBottom w:val="0"/>
          <w:divBdr>
            <w:top w:val="none" w:sz="0" w:space="0" w:color="auto"/>
            <w:left w:val="none" w:sz="0" w:space="0" w:color="auto"/>
            <w:bottom w:val="none" w:sz="0" w:space="0" w:color="auto"/>
            <w:right w:val="none" w:sz="0" w:space="0" w:color="auto"/>
          </w:divBdr>
        </w:div>
        <w:div w:id="624114764">
          <w:marLeft w:val="0"/>
          <w:marRight w:val="0"/>
          <w:marTop w:val="0"/>
          <w:marBottom w:val="0"/>
          <w:divBdr>
            <w:top w:val="none" w:sz="0" w:space="0" w:color="auto"/>
            <w:left w:val="none" w:sz="0" w:space="0" w:color="auto"/>
            <w:bottom w:val="none" w:sz="0" w:space="0" w:color="auto"/>
            <w:right w:val="none" w:sz="0" w:space="0" w:color="auto"/>
          </w:divBdr>
        </w:div>
        <w:div w:id="786235852">
          <w:marLeft w:val="0"/>
          <w:marRight w:val="0"/>
          <w:marTop w:val="0"/>
          <w:marBottom w:val="0"/>
          <w:divBdr>
            <w:top w:val="none" w:sz="0" w:space="0" w:color="auto"/>
            <w:left w:val="none" w:sz="0" w:space="0" w:color="auto"/>
            <w:bottom w:val="none" w:sz="0" w:space="0" w:color="auto"/>
            <w:right w:val="none" w:sz="0" w:space="0" w:color="auto"/>
          </w:divBdr>
        </w:div>
        <w:div w:id="859245306">
          <w:marLeft w:val="0"/>
          <w:marRight w:val="0"/>
          <w:marTop w:val="0"/>
          <w:marBottom w:val="0"/>
          <w:divBdr>
            <w:top w:val="none" w:sz="0" w:space="0" w:color="auto"/>
            <w:left w:val="none" w:sz="0" w:space="0" w:color="auto"/>
            <w:bottom w:val="none" w:sz="0" w:space="0" w:color="auto"/>
            <w:right w:val="none" w:sz="0" w:space="0" w:color="auto"/>
          </w:divBdr>
        </w:div>
        <w:div w:id="994533355">
          <w:marLeft w:val="0"/>
          <w:marRight w:val="0"/>
          <w:marTop w:val="0"/>
          <w:marBottom w:val="0"/>
          <w:divBdr>
            <w:top w:val="none" w:sz="0" w:space="0" w:color="auto"/>
            <w:left w:val="none" w:sz="0" w:space="0" w:color="auto"/>
            <w:bottom w:val="none" w:sz="0" w:space="0" w:color="auto"/>
            <w:right w:val="none" w:sz="0" w:space="0" w:color="auto"/>
          </w:divBdr>
        </w:div>
        <w:div w:id="1036391789">
          <w:marLeft w:val="0"/>
          <w:marRight w:val="0"/>
          <w:marTop w:val="0"/>
          <w:marBottom w:val="0"/>
          <w:divBdr>
            <w:top w:val="none" w:sz="0" w:space="0" w:color="auto"/>
            <w:left w:val="none" w:sz="0" w:space="0" w:color="auto"/>
            <w:bottom w:val="none" w:sz="0" w:space="0" w:color="auto"/>
            <w:right w:val="none" w:sz="0" w:space="0" w:color="auto"/>
          </w:divBdr>
        </w:div>
        <w:div w:id="1042822460">
          <w:marLeft w:val="0"/>
          <w:marRight w:val="0"/>
          <w:marTop w:val="0"/>
          <w:marBottom w:val="0"/>
          <w:divBdr>
            <w:top w:val="none" w:sz="0" w:space="0" w:color="auto"/>
            <w:left w:val="none" w:sz="0" w:space="0" w:color="auto"/>
            <w:bottom w:val="none" w:sz="0" w:space="0" w:color="auto"/>
            <w:right w:val="none" w:sz="0" w:space="0" w:color="auto"/>
          </w:divBdr>
        </w:div>
        <w:div w:id="1043137256">
          <w:marLeft w:val="0"/>
          <w:marRight w:val="0"/>
          <w:marTop w:val="0"/>
          <w:marBottom w:val="0"/>
          <w:divBdr>
            <w:top w:val="none" w:sz="0" w:space="0" w:color="auto"/>
            <w:left w:val="none" w:sz="0" w:space="0" w:color="auto"/>
            <w:bottom w:val="none" w:sz="0" w:space="0" w:color="auto"/>
            <w:right w:val="none" w:sz="0" w:space="0" w:color="auto"/>
          </w:divBdr>
        </w:div>
        <w:div w:id="1099448104">
          <w:marLeft w:val="0"/>
          <w:marRight w:val="0"/>
          <w:marTop w:val="0"/>
          <w:marBottom w:val="0"/>
          <w:divBdr>
            <w:top w:val="none" w:sz="0" w:space="0" w:color="auto"/>
            <w:left w:val="none" w:sz="0" w:space="0" w:color="auto"/>
            <w:bottom w:val="none" w:sz="0" w:space="0" w:color="auto"/>
            <w:right w:val="none" w:sz="0" w:space="0" w:color="auto"/>
          </w:divBdr>
        </w:div>
        <w:div w:id="1203590509">
          <w:marLeft w:val="0"/>
          <w:marRight w:val="0"/>
          <w:marTop w:val="0"/>
          <w:marBottom w:val="0"/>
          <w:divBdr>
            <w:top w:val="none" w:sz="0" w:space="0" w:color="auto"/>
            <w:left w:val="none" w:sz="0" w:space="0" w:color="auto"/>
            <w:bottom w:val="none" w:sz="0" w:space="0" w:color="auto"/>
            <w:right w:val="none" w:sz="0" w:space="0" w:color="auto"/>
          </w:divBdr>
        </w:div>
        <w:div w:id="1260092793">
          <w:marLeft w:val="0"/>
          <w:marRight w:val="0"/>
          <w:marTop w:val="0"/>
          <w:marBottom w:val="0"/>
          <w:divBdr>
            <w:top w:val="none" w:sz="0" w:space="0" w:color="auto"/>
            <w:left w:val="none" w:sz="0" w:space="0" w:color="auto"/>
            <w:bottom w:val="none" w:sz="0" w:space="0" w:color="auto"/>
            <w:right w:val="none" w:sz="0" w:space="0" w:color="auto"/>
          </w:divBdr>
        </w:div>
        <w:div w:id="1274241555">
          <w:marLeft w:val="0"/>
          <w:marRight w:val="0"/>
          <w:marTop w:val="0"/>
          <w:marBottom w:val="0"/>
          <w:divBdr>
            <w:top w:val="none" w:sz="0" w:space="0" w:color="auto"/>
            <w:left w:val="none" w:sz="0" w:space="0" w:color="auto"/>
            <w:bottom w:val="none" w:sz="0" w:space="0" w:color="auto"/>
            <w:right w:val="none" w:sz="0" w:space="0" w:color="auto"/>
          </w:divBdr>
        </w:div>
        <w:div w:id="1448503525">
          <w:marLeft w:val="0"/>
          <w:marRight w:val="0"/>
          <w:marTop w:val="0"/>
          <w:marBottom w:val="0"/>
          <w:divBdr>
            <w:top w:val="none" w:sz="0" w:space="0" w:color="auto"/>
            <w:left w:val="none" w:sz="0" w:space="0" w:color="auto"/>
            <w:bottom w:val="none" w:sz="0" w:space="0" w:color="auto"/>
            <w:right w:val="none" w:sz="0" w:space="0" w:color="auto"/>
          </w:divBdr>
        </w:div>
        <w:div w:id="1539319760">
          <w:marLeft w:val="0"/>
          <w:marRight w:val="0"/>
          <w:marTop w:val="0"/>
          <w:marBottom w:val="0"/>
          <w:divBdr>
            <w:top w:val="none" w:sz="0" w:space="0" w:color="auto"/>
            <w:left w:val="none" w:sz="0" w:space="0" w:color="auto"/>
            <w:bottom w:val="none" w:sz="0" w:space="0" w:color="auto"/>
            <w:right w:val="none" w:sz="0" w:space="0" w:color="auto"/>
          </w:divBdr>
        </w:div>
        <w:div w:id="1587961954">
          <w:marLeft w:val="0"/>
          <w:marRight w:val="0"/>
          <w:marTop w:val="0"/>
          <w:marBottom w:val="0"/>
          <w:divBdr>
            <w:top w:val="none" w:sz="0" w:space="0" w:color="auto"/>
            <w:left w:val="none" w:sz="0" w:space="0" w:color="auto"/>
            <w:bottom w:val="none" w:sz="0" w:space="0" w:color="auto"/>
            <w:right w:val="none" w:sz="0" w:space="0" w:color="auto"/>
          </w:divBdr>
        </w:div>
        <w:div w:id="1766464659">
          <w:marLeft w:val="0"/>
          <w:marRight w:val="0"/>
          <w:marTop w:val="0"/>
          <w:marBottom w:val="0"/>
          <w:divBdr>
            <w:top w:val="none" w:sz="0" w:space="0" w:color="auto"/>
            <w:left w:val="none" w:sz="0" w:space="0" w:color="auto"/>
            <w:bottom w:val="none" w:sz="0" w:space="0" w:color="auto"/>
            <w:right w:val="none" w:sz="0" w:space="0" w:color="auto"/>
          </w:divBdr>
        </w:div>
        <w:div w:id="1848866960">
          <w:marLeft w:val="0"/>
          <w:marRight w:val="0"/>
          <w:marTop w:val="0"/>
          <w:marBottom w:val="0"/>
          <w:divBdr>
            <w:top w:val="none" w:sz="0" w:space="0" w:color="auto"/>
            <w:left w:val="none" w:sz="0" w:space="0" w:color="auto"/>
            <w:bottom w:val="none" w:sz="0" w:space="0" w:color="auto"/>
            <w:right w:val="none" w:sz="0" w:space="0" w:color="auto"/>
          </w:divBdr>
          <w:divsChild>
            <w:div w:id="281889235">
              <w:marLeft w:val="0"/>
              <w:marRight w:val="0"/>
              <w:marTop w:val="0"/>
              <w:marBottom w:val="0"/>
              <w:divBdr>
                <w:top w:val="none" w:sz="0" w:space="0" w:color="auto"/>
                <w:left w:val="none" w:sz="0" w:space="0" w:color="auto"/>
                <w:bottom w:val="none" w:sz="0" w:space="0" w:color="auto"/>
                <w:right w:val="none" w:sz="0" w:space="0" w:color="auto"/>
              </w:divBdr>
            </w:div>
            <w:div w:id="346717985">
              <w:marLeft w:val="0"/>
              <w:marRight w:val="0"/>
              <w:marTop w:val="0"/>
              <w:marBottom w:val="0"/>
              <w:divBdr>
                <w:top w:val="none" w:sz="0" w:space="0" w:color="auto"/>
                <w:left w:val="none" w:sz="0" w:space="0" w:color="auto"/>
                <w:bottom w:val="none" w:sz="0" w:space="0" w:color="auto"/>
                <w:right w:val="none" w:sz="0" w:space="0" w:color="auto"/>
              </w:divBdr>
            </w:div>
            <w:div w:id="379668520">
              <w:marLeft w:val="0"/>
              <w:marRight w:val="0"/>
              <w:marTop w:val="0"/>
              <w:marBottom w:val="0"/>
              <w:divBdr>
                <w:top w:val="none" w:sz="0" w:space="0" w:color="auto"/>
                <w:left w:val="none" w:sz="0" w:space="0" w:color="auto"/>
                <w:bottom w:val="none" w:sz="0" w:space="0" w:color="auto"/>
                <w:right w:val="none" w:sz="0" w:space="0" w:color="auto"/>
              </w:divBdr>
            </w:div>
            <w:div w:id="397746423">
              <w:marLeft w:val="0"/>
              <w:marRight w:val="0"/>
              <w:marTop w:val="0"/>
              <w:marBottom w:val="0"/>
              <w:divBdr>
                <w:top w:val="none" w:sz="0" w:space="0" w:color="auto"/>
                <w:left w:val="none" w:sz="0" w:space="0" w:color="auto"/>
                <w:bottom w:val="none" w:sz="0" w:space="0" w:color="auto"/>
                <w:right w:val="none" w:sz="0" w:space="0" w:color="auto"/>
              </w:divBdr>
            </w:div>
            <w:div w:id="417139873">
              <w:marLeft w:val="0"/>
              <w:marRight w:val="0"/>
              <w:marTop w:val="0"/>
              <w:marBottom w:val="0"/>
              <w:divBdr>
                <w:top w:val="none" w:sz="0" w:space="0" w:color="auto"/>
                <w:left w:val="none" w:sz="0" w:space="0" w:color="auto"/>
                <w:bottom w:val="none" w:sz="0" w:space="0" w:color="auto"/>
                <w:right w:val="none" w:sz="0" w:space="0" w:color="auto"/>
              </w:divBdr>
            </w:div>
            <w:div w:id="420420911">
              <w:marLeft w:val="0"/>
              <w:marRight w:val="0"/>
              <w:marTop w:val="0"/>
              <w:marBottom w:val="0"/>
              <w:divBdr>
                <w:top w:val="none" w:sz="0" w:space="0" w:color="auto"/>
                <w:left w:val="none" w:sz="0" w:space="0" w:color="auto"/>
                <w:bottom w:val="none" w:sz="0" w:space="0" w:color="auto"/>
                <w:right w:val="none" w:sz="0" w:space="0" w:color="auto"/>
              </w:divBdr>
            </w:div>
            <w:div w:id="638077289">
              <w:marLeft w:val="0"/>
              <w:marRight w:val="0"/>
              <w:marTop w:val="0"/>
              <w:marBottom w:val="0"/>
              <w:divBdr>
                <w:top w:val="none" w:sz="0" w:space="0" w:color="auto"/>
                <w:left w:val="none" w:sz="0" w:space="0" w:color="auto"/>
                <w:bottom w:val="none" w:sz="0" w:space="0" w:color="auto"/>
                <w:right w:val="none" w:sz="0" w:space="0" w:color="auto"/>
              </w:divBdr>
            </w:div>
            <w:div w:id="691419340">
              <w:marLeft w:val="0"/>
              <w:marRight w:val="0"/>
              <w:marTop w:val="0"/>
              <w:marBottom w:val="0"/>
              <w:divBdr>
                <w:top w:val="none" w:sz="0" w:space="0" w:color="auto"/>
                <w:left w:val="none" w:sz="0" w:space="0" w:color="auto"/>
                <w:bottom w:val="none" w:sz="0" w:space="0" w:color="auto"/>
                <w:right w:val="none" w:sz="0" w:space="0" w:color="auto"/>
              </w:divBdr>
            </w:div>
            <w:div w:id="741952372">
              <w:marLeft w:val="0"/>
              <w:marRight w:val="0"/>
              <w:marTop w:val="0"/>
              <w:marBottom w:val="0"/>
              <w:divBdr>
                <w:top w:val="none" w:sz="0" w:space="0" w:color="auto"/>
                <w:left w:val="none" w:sz="0" w:space="0" w:color="auto"/>
                <w:bottom w:val="none" w:sz="0" w:space="0" w:color="auto"/>
                <w:right w:val="none" w:sz="0" w:space="0" w:color="auto"/>
              </w:divBdr>
            </w:div>
            <w:div w:id="859322340">
              <w:marLeft w:val="0"/>
              <w:marRight w:val="0"/>
              <w:marTop w:val="0"/>
              <w:marBottom w:val="0"/>
              <w:divBdr>
                <w:top w:val="none" w:sz="0" w:space="0" w:color="auto"/>
                <w:left w:val="none" w:sz="0" w:space="0" w:color="auto"/>
                <w:bottom w:val="none" w:sz="0" w:space="0" w:color="auto"/>
                <w:right w:val="none" w:sz="0" w:space="0" w:color="auto"/>
              </w:divBdr>
            </w:div>
            <w:div w:id="903951409">
              <w:marLeft w:val="0"/>
              <w:marRight w:val="0"/>
              <w:marTop w:val="0"/>
              <w:marBottom w:val="0"/>
              <w:divBdr>
                <w:top w:val="none" w:sz="0" w:space="0" w:color="auto"/>
                <w:left w:val="none" w:sz="0" w:space="0" w:color="auto"/>
                <w:bottom w:val="none" w:sz="0" w:space="0" w:color="auto"/>
                <w:right w:val="none" w:sz="0" w:space="0" w:color="auto"/>
              </w:divBdr>
            </w:div>
            <w:div w:id="907421227">
              <w:marLeft w:val="0"/>
              <w:marRight w:val="0"/>
              <w:marTop w:val="0"/>
              <w:marBottom w:val="0"/>
              <w:divBdr>
                <w:top w:val="none" w:sz="0" w:space="0" w:color="auto"/>
                <w:left w:val="none" w:sz="0" w:space="0" w:color="auto"/>
                <w:bottom w:val="none" w:sz="0" w:space="0" w:color="auto"/>
                <w:right w:val="none" w:sz="0" w:space="0" w:color="auto"/>
              </w:divBdr>
            </w:div>
            <w:div w:id="991523680">
              <w:marLeft w:val="0"/>
              <w:marRight w:val="0"/>
              <w:marTop w:val="0"/>
              <w:marBottom w:val="0"/>
              <w:divBdr>
                <w:top w:val="none" w:sz="0" w:space="0" w:color="auto"/>
                <w:left w:val="none" w:sz="0" w:space="0" w:color="auto"/>
                <w:bottom w:val="none" w:sz="0" w:space="0" w:color="auto"/>
                <w:right w:val="none" w:sz="0" w:space="0" w:color="auto"/>
              </w:divBdr>
            </w:div>
            <w:div w:id="1154174889">
              <w:marLeft w:val="0"/>
              <w:marRight w:val="0"/>
              <w:marTop w:val="0"/>
              <w:marBottom w:val="0"/>
              <w:divBdr>
                <w:top w:val="none" w:sz="0" w:space="0" w:color="auto"/>
                <w:left w:val="none" w:sz="0" w:space="0" w:color="auto"/>
                <w:bottom w:val="none" w:sz="0" w:space="0" w:color="auto"/>
                <w:right w:val="none" w:sz="0" w:space="0" w:color="auto"/>
              </w:divBdr>
            </w:div>
            <w:div w:id="1185440027">
              <w:marLeft w:val="0"/>
              <w:marRight w:val="0"/>
              <w:marTop w:val="0"/>
              <w:marBottom w:val="0"/>
              <w:divBdr>
                <w:top w:val="none" w:sz="0" w:space="0" w:color="auto"/>
                <w:left w:val="none" w:sz="0" w:space="0" w:color="auto"/>
                <w:bottom w:val="none" w:sz="0" w:space="0" w:color="auto"/>
                <w:right w:val="none" w:sz="0" w:space="0" w:color="auto"/>
              </w:divBdr>
            </w:div>
            <w:div w:id="1242450543">
              <w:marLeft w:val="0"/>
              <w:marRight w:val="0"/>
              <w:marTop w:val="0"/>
              <w:marBottom w:val="0"/>
              <w:divBdr>
                <w:top w:val="none" w:sz="0" w:space="0" w:color="auto"/>
                <w:left w:val="none" w:sz="0" w:space="0" w:color="auto"/>
                <w:bottom w:val="none" w:sz="0" w:space="0" w:color="auto"/>
                <w:right w:val="none" w:sz="0" w:space="0" w:color="auto"/>
              </w:divBdr>
            </w:div>
            <w:div w:id="1346319501">
              <w:marLeft w:val="0"/>
              <w:marRight w:val="0"/>
              <w:marTop w:val="0"/>
              <w:marBottom w:val="0"/>
              <w:divBdr>
                <w:top w:val="none" w:sz="0" w:space="0" w:color="auto"/>
                <w:left w:val="none" w:sz="0" w:space="0" w:color="auto"/>
                <w:bottom w:val="none" w:sz="0" w:space="0" w:color="auto"/>
                <w:right w:val="none" w:sz="0" w:space="0" w:color="auto"/>
              </w:divBdr>
            </w:div>
            <w:div w:id="1665165697">
              <w:marLeft w:val="0"/>
              <w:marRight w:val="0"/>
              <w:marTop w:val="0"/>
              <w:marBottom w:val="0"/>
              <w:divBdr>
                <w:top w:val="none" w:sz="0" w:space="0" w:color="auto"/>
                <w:left w:val="none" w:sz="0" w:space="0" w:color="auto"/>
                <w:bottom w:val="none" w:sz="0" w:space="0" w:color="auto"/>
                <w:right w:val="none" w:sz="0" w:space="0" w:color="auto"/>
              </w:divBdr>
            </w:div>
            <w:div w:id="1795558764">
              <w:marLeft w:val="0"/>
              <w:marRight w:val="0"/>
              <w:marTop w:val="0"/>
              <w:marBottom w:val="0"/>
              <w:divBdr>
                <w:top w:val="none" w:sz="0" w:space="0" w:color="auto"/>
                <w:left w:val="none" w:sz="0" w:space="0" w:color="auto"/>
                <w:bottom w:val="none" w:sz="0" w:space="0" w:color="auto"/>
                <w:right w:val="none" w:sz="0" w:space="0" w:color="auto"/>
              </w:divBdr>
            </w:div>
            <w:div w:id="2028292335">
              <w:marLeft w:val="0"/>
              <w:marRight w:val="0"/>
              <w:marTop w:val="0"/>
              <w:marBottom w:val="0"/>
              <w:divBdr>
                <w:top w:val="none" w:sz="0" w:space="0" w:color="auto"/>
                <w:left w:val="none" w:sz="0" w:space="0" w:color="auto"/>
                <w:bottom w:val="none" w:sz="0" w:space="0" w:color="auto"/>
                <w:right w:val="none" w:sz="0" w:space="0" w:color="auto"/>
              </w:divBdr>
            </w:div>
          </w:divsChild>
        </w:div>
        <w:div w:id="1901818997">
          <w:marLeft w:val="0"/>
          <w:marRight w:val="0"/>
          <w:marTop w:val="0"/>
          <w:marBottom w:val="0"/>
          <w:divBdr>
            <w:top w:val="none" w:sz="0" w:space="0" w:color="auto"/>
            <w:left w:val="none" w:sz="0" w:space="0" w:color="auto"/>
            <w:bottom w:val="none" w:sz="0" w:space="0" w:color="auto"/>
            <w:right w:val="none" w:sz="0" w:space="0" w:color="auto"/>
          </w:divBdr>
          <w:divsChild>
            <w:div w:id="37901779">
              <w:marLeft w:val="0"/>
              <w:marRight w:val="0"/>
              <w:marTop w:val="0"/>
              <w:marBottom w:val="0"/>
              <w:divBdr>
                <w:top w:val="none" w:sz="0" w:space="0" w:color="auto"/>
                <w:left w:val="none" w:sz="0" w:space="0" w:color="auto"/>
                <w:bottom w:val="none" w:sz="0" w:space="0" w:color="auto"/>
                <w:right w:val="none" w:sz="0" w:space="0" w:color="auto"/>
              </w:divBdr>
            </w:div>
            <w:div w:id="312221837">
              <w:marLeft w:val="0"/>
              <w:marRight w:val="0"/>
              <w:marTop w:val="0"/>
              <w:marBottom w:val="0"/>
              <w:divBdr>
                <w:top w:val="none" w:sz="0" w:space="0" w:color="auto"/>
                <w:left w:val="none" w:sz="0" w:space="0" w:color="auto"/>
                <w:bottom w:val="none" w:sz="0" w:space="0" w:color="auto"/>
                <w:right w:val="none" w:sz="0" w:space="0" w:color="auto"/>
              </w:divBdr>
            </w:div>
            <w:div w:id="559173438">
              <w:marLeft w:val="0"/>
              <w:marRight w:val="0"/>
              <w:marTop w:val="0"/>
              <w:marBottom w:val="0"/>
              <w:divBdr>
                <w:top w:val="none" w:sz="0" w:space="0" w:color="auto"/>
                <w:left w:val="none" w:sz="0" w:space="0" w:color="auto"/>
                <w:bottom w:val="none" w:sz="0" w:space="0" w:color="auto"/>
                <w:right w:val="none" w:sz="0" w:space="0" w:color="auto"/>
              </w:divBdr>
            </w:div>
            <w:div w:id="620768207">
              <w:marLeft w:val="0"/>
              <w:marRight w:val="0"/>
              <w:marTop w:val="0"/>
              <w:marBottom w:val="0"/>
              <w:divBdr>
                <w:top w:val="none" w:sz="0" w:space="0" w:color="auto"/>
                <w:left w:val="none" w:sz="0" w:space="0" w:color="auto"/>
                <w:bottom w:val="none" w:sz="0" w:space="0" w:color="auto"/>
                <w:right w:val="none" w:sz="0" w:space="0" w:color="auto"/>
              </w:divBdr>
            </w:div>
            <w:div w:id="841048490">
              <w:marLeft w:val="0"/>
              <w:marRight w:val="0"/>
              <w:marTop w:val="0"/>
              <w:marBottom w:val="0"/>
              <w:divBdr>
                <w:top w:val="none" w:sz="0" w:space="0" w:color="auto"/>
                <w:left w:val="none" w:sz="0" w:space="0" w:color="auto"/>
                <w:bottom w:val="none" w:sz="0" w:space="0" w:color="auto"/>
                <w:right w:val="none" w:sz="0" w:space="0" w:color="auto"/>
              </w:divBdr>
            </w:div>
            <w:div w:id="1104424375">
              <w:marLeft w:val="0"/>
              <w:marRight w:val="0"/>
              <w:marTop w:val="0"/>
              <w:marBottom w:val="0"/>
              <w:divBdr>
                <w:top w:val="none" w:sz="0" w:space="0" w:color="auto"/>
                <w:left w:val="none" w:sz="0" w:space="0" w:color="auto"/>
                <w:bottom w:val="none" w:sz="0" w:space="0" w:color="auto"/>
                <w:right w:val="none" w:sz="0" w:space="0" w:color="auto"/>
              </w:divBdr>
            </w:div>
            <w:div w:id="1139961950">
              <w:marLeft w:val="0"/>
              <w:marRight w:val="0"/>
              <w:marTop w:val="0"/>
              <w:marBottom w:val="0"/>
              <w:divBdr>
                <w:top w:val="none" w:sz="0" w:space="0" w:color="auto"/>
                <w:left w:val="none" w:sz="0" w:space="0" w:color="auto"/>
                <w:bottom w:val="none" w:sz="0" w:space="0" w:color="auto"/>
                <w:right w:val="none" w:sz="0" w:space="0" w:color="auto"/>
              </w:divBdr>
            </w:div>
            <w:div w:id="1143278954">
              <w:marLeft w:val="0"/>
              <w:marRight w:val="0"/>
              <w:marTop w:val="0"/>
              <w:marBottom w:val="0"/>
              <w:divBdr>
                <w:top w:val="none" w:sz="0" w:space="0" w:color="auto"/>
                <w:left w:val="none" w:sz="0" w:space="0" w:color="auto"/>
                <w:bottom w:val="none" w:sz="0" w:space="0" w:color="auto"/>
                <w:right w:val="none" w:sz="0" w:space="0" w:color="auto"/>
              </w:divBdr>
            </w:div>
            <w:div w:id="1203790078">
              <w:marLeft w:val="0"/>
              <w:marRight w:val="0"/>
              <w:marTop w:val="0"/>
              <w:marBottom w:val="0"/>
              <w:divBdr>
                <w:top w:val="none" w:sz="0" w:space="0" w:color="auto"/>
                <w:left w:val="none" w:sz="0" w:space="0" w:color="auto"/>
                <w:bottom w:val="none" w:sz="0" w:space="0" w:color="auto"/>
                <w:right w:val="none" w:sz="0" w:space="0" w:color="auto"/>
              </w:divBdr>
            </w:div>
            <w:div w:id="1225027687">
              <w:marLeft w:val="0"/>
              <w:marRight w:val="0"/>
              <w:marTop w:val="0"/>
              <w:marBottom w:val="0"/>
              <w:divBdr>
                <w:top w:val="none" w:sz="0" w:space="0" w:color="auto"/>
                <w:left w:val="none" w:sz="0" w:space="0" w:color="auto"/>
                <w:bottom w:val="none" w:sz="0" w:space="0" w:color="auto"/>
                <w:right w:val="none" w:sz="0" w:space="0" w:color="auto"/>
              </w:divBdr>
            </w:div>
            <w:div w:id="1249388743">
              <w:marLeft w:val="0"/>
              <w:marRight w:val="0"/>
              <w:marTop w:val="0"/>
              <w:marBottom w:val="0"/>
              <w:divBdr>
                <w:top w:val="none" w:sz="0" w:space="0" w:color="auto"/>
                <w:left w:val="none" w:sz="0" w:space="0" w:color="auto"/>
                <w:bottom w:val="none" w:sz="0" w:space="0" w:color="auto"/>
                <w:right w:val="none" w:sz="0" w:space="0" w:color="auto"/>
              </w:divBdr>
            </w:div>
            <w:div w:id="1493717510">
              <w:marLeft w:val="0"/>
              <w:marRight w:val="0"/>
              <w:marTop w:val="0"/>
              <w:marBottom w:val="0"/>
              <w:divBdr>
                <w:top w:val="none" w:sz="0" w:space="0" w:color="auto"/>
                <w:left w:val="none" w:sz="0" w:space="0" w:color="auto"/>
                <w:bottom w:val="none" w:sz="0" w:space="0" w:color="auto"/>
                <w:right w:val="none" w:sz="0" w:space="0" w:color="auto"/>
              </w:divBdr>
            </w:div>
            <w:div w:id="1605573180">
              <w:marLeft w:val="0"/>
              <w:marRight w:val="0"/>
              <w:marTop w:val="0"/>
              <w:marBottom w:val="0"/>
              <w:divBdr>
                <w:top w:val="none" w:sz="0" w:space="0" w:color="auto"/>
                <w:left w:val="none" w:sz="0" w:space="0" w:color="auto"/>
                <w:bottom w:val="none" w:sz="0" w:space="0" w:color="auto"/>
                <w:right w:val="none" w:sz="0" w:space="0" w:color="auto"/>
              </w:divBdr>
            </w:div>
            <w:div w:id="1645116622">
              <w:marLeft w:val="0"/>
              <w:marRight w:val="0"/>
              <w:marTop w:val="0"/>
              <w:marBottom w:val="0"/>
              <w:divBdr>
                <w:top w:val="none" w:sz="0" w:space="0" w:color="auto"/>
                <w:left w:val="none" w:sz="0" w:space="0" w:color="auto"/>
                <w:bottom w:val="none" w:sz="0" w:space="0" w:color="auto"/>
                <w:right w:val="none" w:sz="0" w:space="0" w:color="auto"/>
              </w:divBdr>
            </w:div>
            <w:div w:id="1712267595">
              <w:marLeft w:val="0"/>
              <w:marRight w:val="0"/>
              <w:marTop w:val="0"/>
              <w:marBottom w:val="0"/>
              <w:divBdr>
                <w:top w:val="none" w:sz="0" w:space="0" w:color="auto"/>
                <w:left w:val="none" w:sz="0" w:space="0" w:color="auto"/>
                <w:bottom w:val="none" w:sz="0" w:space="0" w:color="auto"/>
                <w:right w:val="none" w:sz="0" w:space="0" w:color="auto"/>
              </w:divBdr>
            </w:div>
            <w:div w:id="1733847840">
              <w:marLeft w:val="0"/>
              <w:marRight w:val="0"/>
              <w:marTop w:val="0"/>
              <w:marBottom w:val="0"/>
              <w:divBdr>
                <w:top w:val="none" w:sz="0" w:space="0" w:color="auto"/>
                <w:left w:val="none" w:sz="0" w:space="0" w:color="auto"/>
                <w:bottom w:val="none" w:sz="0" w:space="0" w:color="auto"/>
                <w:right w:val="none" w:sz="0" w:space="0" w:color="auto"/>
              </w:divBdr>
            </w:div>
            <w:div w:id="1860049274">
              <w:marLeft w:val="0"/>
              <w:marRight w:val="0"/>
              <w:marTop w:val="0"/>
              <w:marBottom w:val="0"/>
              <w:divBdr>
                <w:top w:val="none" w:sz="0" w:space="0" w:color="auto"/>
                <w:left w:val="none" w:sz="0" w:space="0" w:color="auto"/>
                <w:bottom w:val="none" w:sz="0" w:space="0" w:color="auto"/>
                <w:right w:val="none" w:sz="0" w:space="0" w:color="auto"/>
              </w:divBdr>
            </w:div>
            <w:div w:id="1876966820">
              <w:marLeft w:val="0"/>
              <w:marRight w:val="0"/>
              <w:marTop w:val="0"/>
              <w:marBottom w:val="0"/>
              <w:divBdr>
                <w:top w:val="none" w:sz="0" w:space="0" w:color="auto"/>
                <w:left w:val="none" w:sz="0" w:space="0" w:color="auto"/>
                <w:bottom w:val="none" w:sz="0" w:space="0" w:color="auto"/>
                <w:right w:val="none" w:sz="0" w:space="0" w:color="auto"/>
              </w:divBdr>
            </w:div>
            <w:div w:id="1968000055">
              <w:marLeft w:val="0"/>
              <w:marRight w:val="0"/>
              <w:marTop w:val="0"/>
              <w:marBottom w:val="0"/>
              <w:divBdr>
                <w:top w:val="none" w:sz="0" w:space="0" w:color="auto"/>
                <w:left w:val="none" w:sz="0" w:space="0" w:color="auto"/>
                <w:bottom w:val="none" w:sz="0" w:space="0" w:color="auto"/>
                <w:right w:val="none" w:sz="0" w:space="0" w:color="auto"/>
              </w:divBdr>
            </w:div>
            <w:div w:id="2132698282">
              <w:marLeft w:val="0"/>
              <w:marRight w:val="0"/>
              <w:marTop w:val="0"/>
              <w:marBottom w:val="0"/>
              <w:divBdr>
                <w:top w:val="none" w:sz="0" w:space="0" w:color="auto"/>
                <w:left w:val="none" w:sz="0" w:space="0" w:color="auto"/>
                <w:bottom w:val="none" w:sz="0" w:space="0" w:color="auto"/>
                <w:right w:val="none" w:sz="0" w:space="0" w:color="auto"/>
              </w:divBdr>
            </w:div>
          </w:divsChild>
        </w:div>
        <w:div w:id="2080981326">
          <w:marLeft w:val="0"/>
          <w:marRight w:val="0"/>
          <w:marTop w:val="0"/>
          <w:marBottom w:val="0"/>
          <w:divBdr>
            <w:top w:val="none" w:sz="0" w:space="0" w:color="auto"/>
            <w:left w:val="none" w:sz="0" w:space="0" w:color="auto"/>
            <w:bottom w:val="none" w:sz="0" w:space="0" w:color="auto"/>
            <w:right w:val="none" w:sz="0" w:space="0" w:color="auto"/>
          </w:divBdr>
        </w:div>
        <w:div w:id="2115468717">
          <w:marLeft w:val="0"/>
          <w:marRight w:val="0"/>
          <w:marTop w:val="0"/>
          <w:marBottom w:val="0"/>
          <w:divBdr>
            <w:top w:val="none" w:sz="0" w:space="0" w:color="auto"/>
            <w:left w:val="none" w:sz="0" w:space="0" w:color="auto"/>
            <w:bottom w:val="none" w:sz="0" w:space="0" w:color="auto"/>
            <w:right w:val="none" w:sz="0" w:space="0" w:color="auto"/>
          </w:divBdr>
        </w:div>
      </w:divsChild>
    </w:div>
    <w:div w:id="863792184">
      <w:bodyDiv w:val="1"/>
      <w:marLeft w:val="0"/>
      <w:marRight w:val="0"/>
      <w:marTop w:val="0"/>
      <w:marBottom w:val="0"/>
      <w:divBdr>
        <w:top w:val="none" w:sz="0" w:space="0" w:color="auto"/>
        <w:left w:val="none" w:sz="0" w:space="0" w:color="auto"/>
        <w:bottom w:val="none" w:sz="0" w:space="0" w:color="auto"/>
        <w:right w:val="none" w:sz="0" w:space="0" w:color="auto"/>
      </w:divBdr>
    </w:div>
    <w:div w:id="874730752">
      <w:bodyDiv w:val="1"/>
      <w:marLeft w:val="0"/>
      <w:marRight w:val="0"/>
      <w:marTop w:val="0"/>
      <w:marBottom w:val="0"/>
      <w:divBdr>
        <w:top w:val="none" w:sz="0" w:space="0" w:color="auto"/>
        <w:left w:val="none" w:sz="0" w:space="0" w:color="auto"/>
        <w:bottom w:val="none" w:sz="0" w:space="0" w:color="auto"/>
        <w:right w:val="none" w:sz="0" w:space="0" w:color="auto"/>
      </w:divBdr>
    </w:div>
    <w:div w:id="891499659">
      <w:bodyDiv w:val="1"/>
      <w:marLeft w:val="0"/>
      <w:marRight w:val="0"/>
      <w:marTop w:val="0"/>
      <w:marBottom w:val="0"/>
      <w:divBdr>
        <w:top w:val="none" w:sz="0" w:space="0" w:color="auto"/>
        <w:left w:val="none" w:sz="0" w:space="0" w:color="auto"/>
        <w:bottom w:val="none" w:sz="0" w:space="0" w:color="auto"/>
        <w:right w:val="none" w:sz="0" w:space="0" w:color="auto"/>
      </w:divBdr>
    </w:div>
    <w:div w:id="902758765">
      <w:bodyDiv w:val="1"/>
      <w:marLeft w:val="0"/>
      <w:marRight w:val="0"/>
      <w:marTop w:val="0"/>
      <w:marBottom w:val="0"/>
      <w:divBdr>
        <w:top w:val="none" w:sz="0" w:space="0" w:color="auto"/>
        <w:left w:val="none" w:sz="0" w:space="0" w:color="auto"/>
        <w:bottom w:val="none" w:sz="0" w:space="0" w:color="auto"/>
        <w:right w:val="none" w:sz="0" w:space="0" w:color="auto"/>
      </w:divBdr>
    </w:div>
    <w:div w:id="969172508">
      <w:bodyDiv w:val="1"/>
      <w:marLeft w:val="0"/>
      <w:marRight w:val="0"/>
      <w:marTop w:val="0"/>
      <w:marBottom w:val="0"/>
      <w:divBdr>
        <w:top w:val="none" w:sz="0" w:space="0" w:color="auto"/>
        <w:left w:val="none" w:sz="0" w:space="0" w:color="auto"/>
        <w:bottom w:val="none" w:sz="0" w:space="0" w:color="auto"/>
        <w:right w:val="none" w:sz="0" w:space="0" w:color="auto"/>
      </w:divBdr>
    </w:div>
    <w:div w:id="1001196200">
      <w:bodyDiv w:val="1"/>
      <w:marLeft w:val="0"/>
      <w:marRight w:val="0"/>
      <w:marTop w:val="0"/>
      <w:marBottom w:val="0"/>
      <w:divBdr>
        <w:top w:val="none" w:sz="0" w:space="0" w:color="auto"/>
        <w:left w:val="none" w:sz="0" w:space="0" w:color="auto"/>
        <w:bottom w:val="none" w:sz="0" w:space="0" w:color="auto"/>
        <w:right w:val="none" w:sz="0" w:space="0" w:color="auto"/>
      </w:divBdr>
    </w:div>
    <w:div w:id="1005867430">
      <w:bodyDiv w:val="1"/>
      <w:marLeft w:val="0"/>
      <w:marRight w:val="0"/>
      <w:marTop w:val="0"/>
      <w:marBottom w:val="0"/>
      <w:divBdr>
        <w:top w:val="none" w:sz="0" w:space="0" w:color="auto"/>
        <w:left w:val="none" w:sz="0" w:space="0" w:color="auto"/>
        <w:bottom w:val="none" w:sz="0" w:space="0" w:color="auto"/>
        <w:right w:val="none" w:sz="0" w:space="0" w:color="auto"/>
      </w:divBdr>
    </w:div>
    <w:div w:id="1233471647">
      <w:bodyDiv w:val="1"/>
      <w:marLeft w:val="0"/>
      <w:marRight w:val="0"/>
      <w:marTop w:val="0"/>
      <w:marBottom w:val="0"/>
      <w:divBdr>
        <w:top w:val="none" w:sz="0" w:space="0" w:color="auto"/>
        <w:left w:val="none" w:sz="0" w:space="0" w:color="auto"/>
        <w:bottom w:val="none" w:sz="0" w:space="0" w:color="auto"/>
        <w:right w:val="none" w:sz="0" w:space="0" w:color="auto"/>
      </w:divBdr>
    </w:div>
    <w:div w:id="1338460312">
      <w:bodyDiv w:val="1"/>
      <w:marLeft w:val="0"/>
      <w:marRight w:val="0"/>
      <w:marTop w:val="0"/>
      <w:marBottom w:val="0"/>
      <w:divBdr>
        <w:top w:val="none" w:sz="0" w:space="0" w:color="auto"/>
        <w:left w:val="none" w:sz="0" w:space="0" w:color="auto"/>
        <w:bottom w:val="none" w:sz="0" w:space="0" w:color="auto"/>
        <w:right w:val="none" w:sz="0" w:space="0" w:color="auto"/>
      </w:divBdr>
    </w:div>
    <w:div w:id="1382946019">
      <w:bodyDiv w:val="1"/>
      <w:marLeft w:val="0"/>
      <w:marRight w:val="0"/>
      <w:marTop w:val="0"/>
      <w:marBottom w:val="0"/>
      <w:divBdr>
        <w:top w:val="none" w:sz="0" w:space="0" w:color="auto"/>
        <w:left w:val="none" w:sz="0" w:space="0" w:color="auto"/>
        <w:bottom w:val="none" w:sz="0" w:space="0" w:color="auto"/>
        <w:right w:val="none" w:sz="0" w:space="0" w:color="auto"/>
      </w:divBdr>
    </w:div>
    <w:div w:id="1426151884">
      <w:bodyDiv w:val="1"/>
      <w:marLeft w:val="0"/>
      <w:marRight w:val="0"/>
      <w:marTop w:val="0"/>
      <w:marBottom w:val="0"/>
      <w:divBdr>
        <w:top w:val="none" w:sz="0" w:space="0" w:color="auto"/>
        <w:left w:val="none" w:sz="0" w:space="0" w:color="auto"/>
        <w:bottom w:val="none" w:sz="0" w:space="0" w:color="auto"/>
        <w:right w:val="none" w:sz="0" w:space="0" w:color="auto"/>
      </w:divBdr>
    </w:div>
    <w:div w:id="1437142189">
      <w:bodyDiv w:val="1"/>
      <w:marLeft w:val="0"/>
      <w:marRight w:val="0"/>
      <w:marTop w:val="0"/>
      <w:marBottom w:val="0"/>
      <w:divBdr>
        <w:top w:val="none" w:sz="0" w:space="0" w:color="auto"/>
        <w:left w:val="none" w:sz="0" w:space="0" w:color="auto"/>
        <w:bottom w:val="none" w:sz="0" w:space="0" w:color="auto"/>
        <w:right w:val="none" w:sz="0" w:space="0" w:color="auto"/>
      </w:divBdr>
    </w:div>
    <w:div w:id="1444953787">
      <w:bodyDiv w:val="1"/>
      <w:marLeft w:val="0"/>
      <w:marRight w:val="0"/>
      <w:marTop w:val="0"/>
      <w:marBottom w:val="0"/>
      <w:divBdr>
        <w:top w:val="none" w:sz="0" w:space="0" w:color="auto"/>
        <w:left w:val="none" w:sz="0" w:space="0" w:color="auto"/>
        <w:bottom w:val="none" w:sz="0" w:space="0" w:color="auto"/>
        <w:right w:val="none" w:sz="0" w:space="0" w:color="auto"/>
      </w:divBdr>
    </w:div>
    <w:div w:id="1533306078">
      <w:bodyDiv w:val="1"/>
      <w:marLeft w:val="0"/>
      <w:marRight w:val="0"/>
      <w:marTop w:val="0"/>
      <w:marBottom w:val="0"/>
      <w:divBdr>
        <w:top w:val="none" w:sz="0" w:space="0" w:color="auto"/>
        <w:left w:val="none" w:sz="0" w:space="0" w:color="auto"/>
        <w:bottom w:val="none" w:sz="0" w:space="0" w:color="auto"/>
        <w:right w:val="none" w:sz="0" w:space="0" w:color="auto"/>
      </w:divBdr>
      <w:divsChild>
        <w:div w:id="98990211">
          <w:marLeft w:val="0"/>
          <w:marRight w:val="0"/>
          <w:marTop w:val="0"/>
          <w:marBottom w:val="0"/>
          <w:divBdr>
            <w:top w:val="none" w:sz="0" w:space="0" w:color="auto"/>
            <w:left w:val="none" w:sz="0" w:space="0" w:color="auto"/>
            <w:bottom w:val="none" w:sz="0" w:space="0" w:color="auto"/>
            <w:right w:val="none" w:sz="0" w:space="0" w:color="auto"/>
          </w:divBdr>
        </w:div>
        <w:div w:id="141431918">
          <w:marLeft w:val="0"/>
          <w:marRight w:val="0"/>
          <w:marTop w:val="0"/>
          <w:marBottom w:val="0"/>
          <w:divBdr>
            <w:top w:val="none" w:sz="0" w:space="0" w:color="auto"/>
            <w:left w:val="none" w:sz="0" w:space="0" w:color="auto"/>
            <w:bottom w:val="none" w:sz="0" w:space="0" w:color="auto"/>
            <w:right w:val="none" w:sz="0" w:space="0" w:color="auto"/>
          </w:divBdr>
        </w:div>
        <w:div w:id="148785826">
          <w:marLeft w:val="0"/>
          <w:marRight w:val="0"/>
          <w:marTop w:val="0"/>
          <w:marBottom w:val="0"/>
          <w:divBdr>
            <w:top w:val="none" w:sz="0" w:space="0" w:color="auto"/>
            <w:left w:val="none" w:sz="0" w:space="0" w:color="auto"/>
            <w:bottom w:val="none" w:sz="0" w:space="0" w:color="auto"/>
            <w:right w:val="none" w:sz="0" w:space="0" w:color="auto"/>
          </w:divBdr>
        </w:div>
        <w:div w:id="293798136">
          <w:marLeft w:val="0"/>
          <w:marRight w:val="0"/>
          <w:marTop w:val="0"/>
          <w:marBottom w:val="0"/>
          <w:divBdr>
            <w:top w:val="none" w:sz="0" w:space="0" w:color="auto"/>
            <w:left w:val="none" w:sz="0" w:space="0" w:color="auto"/>
            <w:bottom w:val="none" w:sz="0" w:space="0" w:color="auto"/>
            <w:right w:val="none" w:sz="0" w:space="0" w:color="auto"/>
          </w:divBdr>
        </w:div>
        <w:div w:id="363362412">
          <w:marLeft w:val="0"/>
          <w:marRight w:val="0"/>
          <w:marTop w:val="0"/>
          <w:marBottom w:val="0"/>
          <w:divBdr>
            <w:top w:val="none" w:sz="0" w:space="0" w:color="auto"/>
            <w:left w:val="none" w:sz="0" w:space="0" w:color="auto"/>
            <w:bottom w:val="none" w:sz="0" w:space="0" w:color="auto"/>
            <w:right w:val="none" w:sz="0" w:space="0" w:color="auto"/>
          </w:divBdr>
        </w:div>
        <w:div w:id="432365813">
          <w:marLeft w:val="0"/>
          <w:marRight w:val="0"/>
          <w:marTop w:val="0"/>
          <w:marBottom w:val="0"/>
          <w:divBdr>
            <w:top w:val="none" w:sz="0" w:space="0" w:color="auto"/>
            <w:left w:val="none" w:sz="0" w:space="0" w:color="auto"/>
            <w:bottom w:val="none" w:sz="0" w:space="0" w:color="auto"/>
            <w:right w:val="none" w:sz="0" w:space="0" w:color="auto"/>
          </w:divBdr>
        </w:div>
        <w:div w:id="457603709">
          <w:marLeft w:val="0"/>
          <w:marRight w:val="0"/>
          <w:marTop w:val="0"/>
          <w:marBottom w:val="0"/>
          <w:divBdr>
            <w:top w:val="none" w:sz="0" w:space="0" w:color="auto"/>
            <w:left w:val="none" w:sz="0" w:space="0" w:color="auto"/>
            <w:bottom w:val="none" w:sz="0" w:space="0" w:color="auto"/>
            <w:right w:val="none" w:sz="0" w:space="0" w:color="auto"/>
          </w:divBdr>
        </w:div>
        <w:div w:id="461001665">
          <w:marLeft w:val="0"/>
          <w:marRight w:val="0"/>
          <w:marTop w:val="0"/>
          <w:marBottom w:val="0"/>
          <w:divBdr>
            <w:top w:val="none" w:sz="0" w:space="0" w:color="auto"/>
            <w:left w:val="none" w:sz="0" w:space="0" w:color="auto"/>
            <w:bottom w:val="none" w:sz="0" w:space="0" w:color="auto"/>
            <w:right w:val="none" w:sz="0" w:space="0" w:color="auto"/>
          </w:divBdr>
        </w:div>
        <w:div w:id="471365581">
          <w:marLeft w:val="0"/>
          <w:marRight w:val="0"/>
          <w:marTop w:val="0"/>
          <w:marBottom w:val="0"/>
          <w:divBdr>
            <w:top w:val="none" w:sz="0" w:space="0" w:color="auto"/>
            <w:left w:val="none" w:sz="0" w:space="0" w:color="auto"/>
            <w:bottom w:val="none" w:sz="0" w:space="0" w:color="auto"/>
            <w:right w:val="none" w:sz="0" w:space="0" w:color="auto"/>
          </w:divBdr>
        </w:div>
        <w:div w:id="511526789">
          <w:marLeft w:val="0"/>
          <w:marRight w:val="0"/>
          <w:marTop w:val="0"/>
          <w:marBottom w:val="0"/>
          <w:divBdr>
            <w:top w:val="none" w:sz="0" w:space="0" w:color="auto"/>
            <w:left w:val="none" w:sz="0" w:space="0" w:color="auto"/>
            <w:bottom w:val="none" w:sz="0" w:space="0" w:color="auto"/>
            <w:right w:val="none" w:sz="0" w:space="0" w:color="auto"/>
          </w:divBdr>
        </w:div>
        <w:div w:id="554859049">
          <w:marLeft w:val="0"/>
          <w:marRight w:val="0"/>
          <w:marTop w:val="0"/>
          <w:marBottom w:val="0"/>
          <w:divBdr>
            <w:top w:val="none" w:sz="0" w:space="0" w:color="auto"/>
            <w:left w:val="none" w:sz="0" w:space="0" w:color="auto"/>
            <w:bottom w:val="none" w:sz="0" w:space="0" w:color="auto"/>
            <w:right w:val="none" w:sz="0" w:space="0" w:color="auto"/>
          </w:divBdr>
        </w:div>
        <w:div w:id="573465741">
          <w:marLeft w:val="0"/>
          <w:marRight w:val="0"/>
          <w:marTop w:val="0"/>
          <w:marBottom w:val="0"/>
          <w:divBdr>
            <w:top w:val="none" w:sz="0" w:space="0" w:color="auto"/>
            <w:left w:val="none" w:sz="0" w:space="0" w:color="auto"/>
            <w:bottom w:val="none" w:sz="0" w:space="0" w:color="auto"/>
            <w:right w:val="none" w:sz="0" w:space="0" w:color="auto"/>
          </w:divBdr>
        </w:div>
        <w:div w:id="592395214">
          <w:marLeft w:val="0"/>
          <w:marRight w:val="0"/>
          <w:marTop w:val="0"/>
          <w:marBottom w:val="0"/>
          <w:divBdr>
            <w:top w:val="none" w:sz="0" w:space="0" w:color="auto"/>
            <w:left w:val="none" w:sz="0" w:space="0" w:color="auto"/>
            <w:bottom w:val="none" w:sz="0" w:space="0" w:color="auto"/>
            <w:right w:val="none" w:sz="0" w:space="0" w:color="auto"/>
          </w:divBdr>
        </w:div>
        <w:div w:id="635573524">
          <w:marLeft w:val="0"/>
          <w:marRight w:val="0"/>
          <w:marTop w:val="0"/>
          <w:marBottom w:val="0"/>
          <w:divBdr>
            <w:top w:val="none" w:sz="0" w:space="0" w:color="auto"/>
            <w:left w:val="none" w:sz="0" w:space="0" w:color="auto"/>
            <w:bottom w:val="none" w:sz="0" w:space="0" w:color="auto"/>
            <w:right w:val="none" w:sz="0" w:space="0" w:color="auto"/>
          </w:divBdr>
        </w:div>
        <w:div w:id="673411849">
          <w:marLeft w:val="0"/>
          <w:marRight w:val="0"/>
          <w:marTop w:val="0"/>
          <w:marBottom w:val="0"/>
          <w:divBdr>
            <w:top w:val="none" w:sz="0" w:space="0" w:color="auto"/>
            <w:left w:val="none" w:sz="0" w:space="0" w:color="auto"/>
            <w:bottom w:val="none" w:sz="0" w:space="0" w:color="auto"/>
            <w:right w:val="none" w:sz="0" w:space="0" w:color="auto"/>
          </w:divBdr>
        </w:div>
        <w:div w:id="682972143">
          <w:marLeft w:val="0"/>
          <w:marRight w:val="0"/>
          <w:marTop w:val="0"/>
          <w:marBottom w:val="0"/>
          <w:divBdr>
            <w:top w:val="none" w:sz="0" w:space="0" w:color="auto"/>
            <w:left w:val="none" w:sz="0" w:space="0" w:color="auto"/>
            <w:bottom w:val="none" w:sz="0" w:space="0" w:color="auto"/>
            <w:right w:val="none" w:sz="0" w:space="0" w:color="auto"/>
          </w:divBdr>
          <w:divsChild>
            <w:div w:id="1670520538">
              <w:marLeft w:val="-75"/>
              <w:marRight w:val="0"/>
              <w:marTop w:val="30"/>
              <w:marBottom w:val="30"/>
              <w:divBdr>
                <w:top w:val="none" w:sz="0" w:space="0" w:color="auto"/>
                <w:left w:val="none" w:sz="0" w:space="0" w:color="auto"/>
                <w:bottom w:val="none" w:sz="0" w:space="0" w:color="auto"/>
                <w:right w:val="none" w:sz="0" w:space="0" w:color="auto"/>
              </w:divBdr>
              <w:divsChild>
                <w:div w:id="17048735">
                  <w:marLeft w:val="0"/>
                  <w:marRight w:val="0"/>
                  <w:marTop w:val="0"/>
                  <w:marBottom w:val="0"/>
                  <w:divBdr>
                    <w:top w:val="none" w:sz="0" w:space="0" w:color="auto"/>
                    <w:left w:val="none" w:sz="0" w:space="0" w:color="auto"/>
                    <w:bottom w:val="none" w:sz="0" w:space="0" w:color="auto"/>
                    <w:right w:val="none" w:sz="0" w:space="0" w:color="auto"/>
                  </w:divBdr>
                  <w:divsChild>
                    <w:div w:id="1895239457">
                      <w:marLeft w:val="0"/>
                      <w:marRight w:val="0"/>
                      <w:marTop w:val="0"/>
                      <w:marBottom w:val="0"/>
                      <w:divBdr>
                        <w:top w:val="none" w:sz="0" w:space="0" w:color="auto"/>
                        <w:left w:val="none" w:sz="0" w:space="0" w:color="auto"/>
                        <w:bottom w:val="none" w:sz="0" w:space="0" w:color="auto"/>
                        <w:right w:val="none" w:sz="0" w:space="0" w:color="auto"/>
                      </w:divBdr>
                    </w:div>
                  </w:divsChild>
                </w:div>
                <w:div w:id="126751427">
                  <w:marLeft w:val="0"/>
                  <w:marRight w:val="0"/>
                  <w:marTop w:val="0"/>
                  <w:marBottom w:val="0"/>
                  <w:divBdr>
                    <w:top w:val="none" w:sz="0" w:space="0" w:color="auto"/>
                    <w:left w:val="none" w:sz="0" w:space="0" w:color="auto"/>
                    <w:bottom w:val="none" w:sz="0" w:space="0" w:color="auto"/>
                    <w:right w:val="none" w:sz="0" w:space="0" w:color="auto"/>
                  </w:divBdr>
                  <w:divsChild>
                    <w:div w:id="658658920">
                      <w:marLeft w:val="0"/>
                      <w:marRight w:val="0"/>
                      <w:marTop w:val="0"/>
                      <w:marBottom w:val="0"/>
                      <w:divBdr>
                        <w:top w:val="none" w:sz="0" w:space="0" w:color="auto"/>
                        <w:left w:val="none" w:sz="0" w:space="0" w:color="auto"/>
                        <w:bottom w:val="none" w:sz="0" w:space="0" w:color="auto"/>
                        <w:right w:val="none" w:sz="0" w:space="0" w:color="auto"/>
                      </w:divBdr>
                    </w:div>
                  </w:divsChild>
                </w:div>
                <w:div w:id="130290120">
                  <w:marLeft w:val="0"/>
                  <w:marRight w:val="0"/>
                  <w:marTop w:val="0"/>
                  <w:marBottom w:val="0"/>
                  <w:divBdr>
                    <w:top w:val="none" w:sz="0" w:space="0" w:color="auto"/>
                    <w:left w:val="none" w:sz="0" w:space="0" w:color="auto"/>
                    <w:bottom w:val="none" w:sz="0" w:space="0" w:color="auto"/>
                    <w:right w:val="none" w:sz="0" w:space="0" w:color="auto"/>
                  </w:divBdr>
                  <w:divsChild>
                    <w:div w:id="1147937297">
                      <w:marLeft w:val="0"/>
                      <w:marRight w:val="0"/>
                      <w:marTop w:val="0"/>
                      <w:marBottom w:val="0"/>
                      <w:divBdr>
                        <w:top w:val="none" w:sz="0" w:space="0" w:color="auto"/>
                        <w:left w:val="none" w:sz="0" w:space="0" w:color="auto"/>
                        <w:bottom w:val="none" w:sz="0" w:space="0" w:color="auto"/>
                        <w:right w:val="none" w:sz="0" w:space="0" w:color="auto"/>
                      </w:divBdr>
                    </w:div>
                  </w:divsChild>
                </w:div>
                <w:div w:id="179665652">
                  <w:marLeft w:val="0"/>
                  <w:marRight w:val="0"/>
                  <w:marTop w:val="0"/>
                  <w:marBottom w:val="0"/>
                  <w:divBdr>
                    <w:top w:val="none" w:sz="0" w:space="0" w:color="auto"/>
                    <w:left w:val="none" w:sz="0" w:space="0" w:color="auto"/>
                    <w:bottom w:val="none" w:sz="0" w:space="0" w:color="auto"/>
                    <w:right w:val="none" w:sz="0" w:space="0" w:color="auto"/>
                  </w:divBdr>
                  <w:divsChild>
                    <w:div w:id="1687975284">
                      <w:marLeft w:val="0"/>
                      <w:marRight w:val="0"/>
                      <w:marTop w:val="0"/>
                      <w:marBottom w:val="0"/>
                      <w:divBdr>
                        <w:top w:val="none" w:sz="0" w:space="0" w:color="auto"/>
                        <w:left w:val="none" w:sz="0" w:space="0" w:color="auto"/>
                        <w:bottom w:val="none" w:sz="0" w:space="0" w:color="auto"/>
                        <w:right w:val="none" w:sz="0" w:space="0" w:color="auto"/>
                      </w:divBdr>
                    </w:div>
                  </w:divsChild>
                </w:div>
                <w:div w:id="194123786">
                  <w:marLeft w:val="0"/>
                  <w:marRight w:val="0"/>
                  <w:marTop w:val="0"/>
                  <w:marBottom w:val="0"/>
                  <w:divBdr>
                    <w:top w:val="none" w:sz="0" w:space="0" w:color="auto"/>
                    <w:left w:val="none" w:sz="0" w:space="0" w:color="auto"/>
                    <w:bottom w:val="none" w:sz="0" w:space="0" w:color="auto"/>
                    <w:right w:val="none" w:sz="0" w:space="0" w:color="auto"/>
                  </w:divBdr>
                  <w:divsChild>
                    <w:div w:id="937182170">
                      <w:marLeft w:val="0"/>
                      <w:marRight w:val="0"/>
                      <w:marTop w:val="0"/>
                      <w:marBottom w:val="0"/>
                      <w:divBdr>
                        <w:top w:val="none" w:sz="0" w:space="0" w:color="auto"/>
                        <w:left w:val="none" w:sz="0" w:space="0" w:color="auto"/>
                        <w:bottom w:val="none" w:sz="0" w:space="0" w:color="auto"/>
                        <w:right w:val="none" w:sz="0" w:space="0" w:color="auto"/>
                      </w:divBdr>
                    </w:div>
                  </w:divsChild>
                </w:div>
                <w:div w:id="202209225">
                  <w:marLeft w:val="0"/>
                  <w:marRight w:val="0"/>
                  <w:marTop w:val="0"/>
                  <w:marBottom w:val="0"/>
                  <w:divBdr>
                    <w:top w:val="none" w:sz="0" w:space="0" w:color="auto"/>
                    <w:left w:val="none" w:sz="0" w:space="0" w:color="auto"/>
                    <w:bottom w:val="none" w:sz="0" w:space="0" w:color="auto"/>
                    <w:right w:val="none" w:sz="0" w:space="0" w:color="auto"/>
                  </w:divBdr>
                  <w:divsChild>
                    <w:div w:id="82142222">
                      <w:marLeft w:val="0"/>
                      <w:marRight w:val="0"/>
                      <w:marTop w:val="0"/>
                      <w:marBottom w:val="0"/>
                      <w:divBdr>
                        <w:top w:val="none" w:sz="0" w:space="0" w:color="auto"/>
                        <w:left w:val="none" w:sz="0" w:space="0" w:color="auto"/>
                        <w:bottom w:val="none" w:sz="0" w:space="0" w:color="auto"/>
                        <w:right w:val="none" w:sz="0" w:space="0" w:color="auto"/>
                      </w:divBdr>
                    </w:div>
                  </w:divsChild>
                </w:div>
                <w:div w:id="448620694">
                  <w:marLeft w:val="0"/>
                  <w:marRight w:val="0"/>
                  <w:marTop w:val="0"/>
                  <w:marBottom w:val="0"/>
                  <w:divBdr>
                    <w:top w:val="none" w:sz="0" w:space="0" w:color="auto"/>
                    <w:left w:val="none" w:sz="0" w:space="0" w:color="auto"/>
                    <w:bottom w:val="none" w:sz="0" w:space="0" w:color="auto"/>
                    <w:right w:val="none" w:sz="0" w:space="0" w:color="auto"/>
                  </w:divBdr>
                  <w:divsChild>
                    <w:div w:id="164057601">
                      <w:marLeft w:val="0"/>
                      <w:marRight w:val="0"/>
                      <w:marTop w:val="0"/>
                      <w:marBottom w:val="0"/>
                      <w:divBdr>
                        <w:top w:val="none" w:sz="0" w:space="0" w:color="auto"/>
                        <w:left w:val="none" w:sz="0" w:space="0" w:color="auto"/>
                        <w:bottom w:val="none" w:sz="0" w:space="0" w:color="auto"/>
                        <w:right w:val="none" w:sz="0" w:space="0" w:color="auto"/>
                      </w:divBdr>
                    </w:div>
                  </w:divsChild>
                </w:div>
                <w:div w:id="543567009">
                  <w:marLeft w:val="0"/>
                  <w:marRight w:val="0"/>
                  <w:marTop w:val="0"/>
                  <w:marBottom w:val="0"/>
                  <w:divBdr>
                    <w:top w:val="none" w:sz="0" w:space="0" w:color="auto"/>
                    <w:left w:val="none" w:sz="0" w:space="0" w:color="auto"/>
                    <w:bottom w:val="none" w:sz="0" w:space="0" w:color="auto"/>
                    <w:right w:val="none" w:sz="0" w:space="0" w:color="auto"/>
                  </w:divBdr>
                  <w:divsChild>
                    <w:div w:id="1681271969">
                      <w:marLeft w:val="0"/>
                      <w:marRight w:val="0"/>
                      <w:marTop w:val="0"/>
                      <w:marBottom w:val="0"/>
                      <w:divBdr>
                        <w:top w:val="none" w:sz="0" w:space="0" w:color="auto"/>
                        <w:left w:val="none" w:sz="0" w:space="0" w:color="auto"/>
                        <w:bottom w:val="none" w:sz="0" w:space="0" w:color="auto"/>
                        <w:right w:val="none" w:sz="0" w:space="0" w:color="auto"/>
                      </w:divBdr>
                    </w:div>
                  </w:divsChild>
                </w:div>
                <w:div w:id="597326288">
                  <w:marLeft w:val="0"/>
                  <w:marRight w:val="0"/>
                  <w:marTop w:val="0"/>
                  <w:marBottom w:val="0"/>
                  <w:divBdr>
                    <w:top w:val="none" w:sz="0" w:space="0" w:color="auto"/>
                    <w:left w:val="none" w:sz="0" w:space="0" w:color="auto"/>
                    <w:bottom w:val="none" w:sz="0" w:space="0" w:color="auto"/>
                    <w:right w:val="none" w:sz="0" w:space="0" w:color="auto"/>
                  </w:divBdr>
                  <w:divsChild>
                    <w:div w:id="49698623">
                      <w:marLeft w:val="0"/>
                      <w:marRight w:val="0"/>
                      <w:marTop w:val="0"/>
                      <w:marBottom w:val="0"/>
                      <w:divBdr>
                        <w:top w:val="none" w:sz="0" w:space="0" w:color="auto"/>
                        <w:left w:val="none" w:sz="0" w:space="0" w:color="auto"/>
                        <w:bottom w:val="none" w:sz="0" w:space="0" w:color="auto"/>
                        <w:right w:val="none" w:sz="0" w:space="0" w:color="auto"/>
                      </w:divBdr>
                    </w:div>
                  </w:divsChild>
                </w:div>
                <w:div w:id="730885992">
                  <w:marLeft w:val="0"/>
                  <w:marRight w:val="0"/>
                  <w:marTop w:val="0"/>
                  <w:marBottom w:val="0"/>
                  <w:divBdr>
                    <w:top w:val="none" w:sz="0" w:space="0" w:color="auto"/>
                    <w:left w:val="none" w:sz="0" w:space="0" w:color="auto"/>
                    <w:bottom w:val="none" w:sz="0" w:space="0" w:color="auto"/>
                    <w:right w:val="none" w:sz="0" w:space="0" w:color="auto"/>
                  </w:divBdr>
                  <w:divsChild>
                    <w:div w:id="1428498956">
                      <w:marLeft w:val="0"/>
                      <w:marRight w:val="0"/>
                      <w:marTop w:val="0"/>
                      <w:marBottom w:val="0"/>
                      <w:divBdr>
                        <w:top w:val="none" w:sz="0" w:space="0" w:color="auto"/>
                        <w:left w:val="none" w:sz="0" w:space="0" w:color="auto"/>
                        <w:bottom w:val="none" w:sz="0" w:space="0" w:color="auto"/>
                        <w:right w:val="none" w:sz="0" w:space="0" w:color="auto"/>
                      </w:divBdr>
                    </w:div>
                  </w:divsChild>
                </w:div>
                <w:div w:id="809178605">
                  <w:marLeft w:val="0"/>
                  <w:marRight w:val="0"/>
                  <w:marTop w:val="0"/>
                  <w:marBottom w:val="0"/>
                  <w:divBdr>
                    <w:top w:val="none" w:sz="0" w:space="0" w:color="auto"/>
                    <w:left w:val="none" w:sz="0" w:space="0" w:color="auto"/>
                    <w:bottom w:val="none" w:sz="0" w:space="0" w:color="auto"/>
                    <w:right w:val="none" w:sz="0" w:space="0" w:color="auto"/>
                  </w:divBdr>
                  <w:divsChild>
                    <w:div w:id="1088161076">
                      <w:marLeft w:val="0"/>
                      <w:marRight w:val="0"/>
                      <w:marTop w:val="0"/>
                      <w:marBottom w:val="0"/>
                      <w:divBdr>
                        <w:top w:val="none" w:sz="0" w:space="0" w:color="auto"/>
                        <w:left w:val="none" w:sz="0" w:space="0" w:color="auto"/>
                        <w:bottom w:val="none" w:sz="0" w:space="0" w:color="auto"/>
                        <w:right w:val="none" w:sz="0" w:space="0" w:color="auto"/>
                      </w:divBdr>
                    </w:div>
                  </w:divsChild>
                </w:div>
                <w:div w:id="956450502">
                  <w:marLeft w:val="0"/>
                  <w:marRight w:val="0"/>
                  <w:marTop w:val="0"/>
                  <w:marBottom w:val="0"/>
                  <w:divBdr>
                    <w:top w:val="none" w:sz="0" w:space="0" w:color="auto"/>
                    <w:left w:val="none" w:sz="0" w:space="0" w:color="auto"/>
                    <w:bottom w:val="none" w:sz="0" w:space="0" w:color="auto"/>
                    <w:right w:val="none" w:sz="0" w:space="0" w:color="auto"/>
                  </w:divBdr>
                  <w:divsChild>
                    <w:div w:id="184102880">
                      <w:marLeft w:val="0"/>
                      <w:marRight w:val="0"/>
                      <w:marTop w:val="0"/>
                      <w:marBottom w:val="0"/>
                      <w:divBdr>
                        <w:top w:val="none" w:sz="0" w:space="0" w:color="auto"/>
                        <w:left w:val="none" w:sz="0" w:space="0" w:color="auto"/>
                        <w:bottom w:val="none" w:sz="0" w:space="0" w:color="auto"/>
                        <w:right w:val="none" w:sz="0" w:space="0" w:color="auto"/>
                      </w:divBdr>
                    </w:div>
                  </w:divsChild>
                </w:div>
                <w:div w:id="957957647">
                  <w:marLeft w:val="0"/>
                  <w:marRight w:val="0"/>
                  <w:marTop w:val="0"/>
                  <w:marBottom w:val="0"/>
                  <w:divBdr>
                    <w:top w:val="none" w:sz="0" w:space="0" w:color="auto"/>
                    <w:left w:val="none" w:sz="0" w:space="0" w:color="auto"/>
                    <w:bottom w:val="none" w:sz="0" w:space="0" w:color="auto"/>
                    <w:right w:val="none" w:sz="0" w:space="0" w:color="auto"/>
                  </w:divBdr>
                  <w:divsChild>
                    <w:div w:id="550700397">
                      <w:marLeft w:val="0"/>
                      <w:marRight w:val="0"/>
                      <w:marTop w:val="0"/>
                      <w:marBottom w:val="0"/>
                      <w:divBdr>
                        <w:top w:val="none" w:sz="0" w:space="0" w:color="auto"/>
                        <w:left w:val="none" w:sz="0" w:space="0" w:color="auto"/>
                        <w:bottom w:val="none" w:sz="0" w:space="0" w:color="auto"/>
                        <w:right w:val="none" w:sz="0" w:space="0" w:color="auto"/>
                      </w:divBdr>
                    </w:div>
                  </w:divsChild>
                </w:div>
                <w:div w:id="976909491">
                  <w:marLeft w:val="0"/>
                  <w:marRight w:val="0"/>
                  <w:marTop w:val="0"/>
                  <w:marBottom w:val="0"/>
                  <w:divBdr>
                    <w:top w:val="none" w:sz="0" w:space="0" w:color="auto"/>
                    <w:left w:val="none" w:sz="0" w:space="0" w:color="auto"/>
                    <w:bottom w:val="none" w:sz="0" w:space="0" w:color="auto"/>
                    <w:right w:val="none" w:sz="0" w:space="0" w:color="auto"/>
                  </w:divBdr>
                  <w:divsChild>
                    <w:div w:id="210920103">
                      <w:marLeft w:val="0"/>
                      <w:marRight w:val="0"/>
                      <w:marTop w:val="0"/>
                      <w:marBottom w:val="0"/>
                      <w:divBdr>
                        <w:top w:val="none" w:sz="0" w:space="0" w:color="auto"/>
                        <w:left w:val="none" w:sz="0" w:space="0" w:color="auto"/>
                        <w:bottom w:val="none" w:sz="0" w:space="0" w:color="auto"/>
                        <w:right w:val="none" w:sz="0" w:space="0" w:color="auto"/>
                      </w:divBdr>
                    </w:div>
                  </w:divsChild>
                </w:div>
                <w:div w:id="1008750128">
                  <w:marLeft w:val="0"/>
                  <w:marRight w:val="0"/>
                  <w:marTop w:val="0"/>
                  <w:marBottom w:val="0"/>
                  <w:divBdr>
                    <w:top w:val="none" w:sz="0" w:space="0" w:color="auto"/>
                    <w:left w:val="none" w:sz="0" w:space="0" w:color="auto"/>
                    <w:bottom w:val="none" w:sz="0" w:space="0" w:color="auto"/>
                    <w:right w:val="none" w:sz="0" w:space="0" w:color="auto"/>
                  </w:divBdr>
                  <w:divsChild>
                    <w:div w:id="1074668568">
                      <w:marLeft w:val="0"/>
                      <w:marRight w:val="0"/>
                      <w:marTop w:val="0"/>
                      <w:marBottom w:val="0"/>
                      <w:divBdr>
                        <w:top w:val="none" w:sz="0" w:space="0" w:color="auto"/>
                        <w:left w:val="none" w:sz="0" w:space="0" w:color="auto"/>
                        <w:bottom w:val="none" w:sz="0" w:space="0" w:color="auto"/>
                        <w:right w:val="none" w:sz="0" w:space="0" w:color="auto"/>
                      </w:divBdr>
                    </w:div>
                  </w:divsChild>
                </w:div>
                <w:div w:id="1050765013">
                  <w:marLeft w:val="0"/>
                  <w:marRight w:val="0"/>
                  <w:marTop w:val="0"/>
                  <w:marBottom w:val="0"/>
                  <w:divBdr>
                    <w:top w:val="none" w:sz="0" w:space="0" w:color="auto"/>
                    <w:left w:val="none" w:sz="0" w:space="0" w:color="auto"/>
                    <w:bottom w:val="none" w:sz="0" w:space="0" w:color="auto"/>
                    <w:right w:val="none" w:sz="0" w:space="0" w:color="auto"/>
                  </w:divBdr>
                  <w:divsChild>
                    <w:div w:id="450980229">
                      <w:marLeft w:val="0"/>
                      <w:marRight w:val="0"/>
                      <w:marTop w:val="0"/>
                      <w:marBottom w:val="0"/>
                      <w:divBdr>
                        <w:top w:val="none" w:sz="0" w:space="0" w:color="auto"/>
                        <w:left w:val="none" w:sz="0" w:space="0" w:color="auto"/>
                        <w:bottom w:val="none" w:sz="0" w:space="0" w:color="auto"/>
                        <w:right w:val="none" w:sz="0" w:space="0" w:color="auto"/>
                      </w:divBdr>
                    </w:div>
                  </w:divsChild>
                </w:div>
                <w:div w:id="1054891196">
                  <w:marLeft w:val="0"/>
                  <w:marRight w:val="0"/>
                  <w:marTop w:val="0"/>
                  <w:marBottom w:val="0"/>
                  <w:divBdr>
                    <w:top w:val="none" w:sz="0" w:space="0" w:color="auto"/>
                    <w:left w:val="none" w:sz="0" w:space="0" w:color="auto"/>
                    <w:bottom w:val="none" w:sz="0" w:space="0" w:color="auto"/>
                    <w:right w:val="none" w:sz="0" w:space="0" w:color="auto"/>
                  </w:divBdr>
                  <w:divsChild>
                    <w:div w:id="230117443">
                      <w:marLeft w:val="0"/>
                      <w:marRight w:val="0"/>
                      <w:marTop w:val="0"/>
                      <w:marBottom w:val="0"/>
                      <w:divBdr>
                        <w:top w:val="none" w:sz="0" w:space="0" w:color="auto"/>
                        <w:left w:val="none" w:sz="0" w:space="0" w:color="auto"/>
                        <w:bottom w:val="none" w:sz="0" w:space="0" w:color="auto"/>
                        <w:right w:val="none" w:sz="0" w:space="0" w:color="auto"/>
                      </w:divBdr>
                    </w:div>
                  </w:divsChild>
                </w:div>
                <w:div w:id="1128741398">
                  <w:marLeft w:val="0"/>
                  <w:marRight w:val="0"/>
                  <w:marTop w:val="0"/>
                  <w:marBottom w:val="0"/>
                  <w:divBdr>
                    <w:top w:val="none" w:sz="0" w:space="0" w:color="auto"/>
                    <w:left w:val="none" w:sz="0" w:space="0" w:color="auto"/>
                    <w:bottom w:val="none" w:sz="0" w:space="0" w:color="auto"/>
                    <w:right w:val="none" w:sz="0" w:space="0" w:color="auto"/>
                  </w:divBdr>
                  <w:divsChild>
                    <w:div w:id="241451922">
                      <w:marLeft w:val="0"/>
                      <w:marRight w:val="0"/>
                      <w:marTop w:val="0"/>
                      <w:marBottom w:val="0"/>
                      <w:divBdr>
                        <w:top w:val="none" w:sz="0" w:space="0" w:color="auto"/>
                        <w:left w:val="none" w:sz="0" w:space="0" w:color="auto"/>
                        <w:bottom w:val="none" w:sz="0" w:space="0" w:color="auto"/>
                        <w:right w:val="none" w:sz="0" w:space="0" w:color="auto"/>
                      </w:divBdr>
                    </w:div>
                  </w:divsChild>
                </w:div>
                <w:div w:id="1206061844">
                  <w:marLeft w:val="0"/>
                  <w:marRight w:val="0"/>
                  <w:marTop w:val="0"/>
                  <w:marBottom w:val="0"/>
                  <w:divBdr>
                    <w:top w:val="none" w:sz="0" w:space="0" w:color="auto"/>
                    <w:left w:val="none" w:sz="0" w:space="0" w:color="auto"/>
                    <w:bottom w:val="none" w:sz="0" w:space="0" w:color="auto"/>
                    <w:right w:val="none" w:sz="0" w:space="0" w:color="auto"/>
                  </w:divBdr>
                  <w:divsChild>
                    <w:div w:id="1685014378">
                      <w:marLeft w:val="0"/>
                      <w:marRight w:val="0"/>
                      <w:marTop w:val="0"/>
                      <w:marBottom w:val="0"/>
                      <w:divBdr>
                        <w:top w:val="none" w:sz="0" w:space="0" w:color="auto"/>
                        <w:left w:val="none" w:sz="0" w:space="0" w:color="auto"/>
                        <w:bottom w:val="none" w:sz="0" w:space="0" w:color="auto"/>
                        <w:right w:val="none" w:sz="0" w:space="0" w:color="auto"/>
                      </w:divBdr>
                    </w:div>
                  </w:divsChild>
                </w:div>
                <w:div w:id="1252201314">
                  <w:marLeft w:val="0"/>
                  <w:marRight w:val="0"/>
                  <w:marTop w:val="0"/>
                  <w:marBottom w:val="0"/>
                  <w:divBdr>
                    <w:top w:val="none" w:sz="0" w:space="0" w:color="auto"/>
                    <w:left w:val="none" w:sz="0" w:space="0" w:color="auto"/>
                    <w:bottom w:val="none" w:sz="0" w:space="0" w:color="auto"/>
                    <w:right w:val="none" w:sz="0" w:space="0" w:color="auto"/>
                  </w:divBdr>
                  <w:divsChild>
                    <w:div w:id="321393347">
                      <w:marLeft w:val="0"/>
                      <w:marRight w:val="0"/>
                      <w:marTop w:val="0"/>
                      <w:marBottom w:val="0"/>
                      <w:divBdr>
                        <w:top w:val="none" w:sz="0" w:space="0" w:color="auto"/>
                        <w:left w:val="none" w:sz="0" w:space="0" w:color="auto"/>
                        <w:bottom w:val="none" w:sz="0" w:space="0" w:color="auto"/>
                        <w:right w:val="none" w:sz="0" w:space="0" w:color="auto"/>
                      </w:divBdr>
                    </w:div>
                  </w:divsChild>
                </w:div>
                <w:div w:id="1527789515">
                  <w:marLeft w:val="0"/>
                  <w:marRight w:val="0"/>
                  <w:marTop w:val="0"/>
                  <w:marBottom w:val="0"/>
                  <w:divBdr>
                    <w:top w:val="none" w:sz="0" w:space="0" w:color="auto"/>
                    <w:left w:val="none" w:sz="0" w:space="0" w:color="auto"/>
                    <w:bottom w:val="none" w:sz="0" w:space="0" w:color="auto"/>
                    <w:right w:val="none" w:sz="0" w:space="0" w:color="auto"/>
                  </w:divBdr>
                  <w:divsChild>
                    <w:div w:id="1519075692">
                      <w:marLeft w:val="0"/>
                      <w:marRight w:val="0"/>
                      <w:marTop w:val="0"/>
                      <w:marBottom w:val="0"/>
                      <w:divBdr>
                        <w:top w:val="none" w:sz="0" w:space="0" w:color="auto"/>
                        <w:left w:val="none" w:sz="0" w:space="0" w:color="auto"/>
                        <w:bottom w:val="none" w:sz="0" w:space="0" w:color="auto"/>
                        <w:right w:val="none" w:sz="0" w:space="0" w:color="auto"/>
                      </w:divBdr>
                    </w:div>
                  </w:divsChild>
                </w:div>
                <w:div w:id="1697191970">
                  <w:marLeft w:val="0"/>
                  <w:marRight w:val="0"/>
                  <w:marTop w:val="0"/>
                  <w:marBottom w:val="0"/>
                  <w:divBdr>
                    <w:top w:val="none" w:sz="0" w:space="0" w:color="auto"/>
                    <w:left w:val="none" w:sz="0" w:space="0" w:color="auto"/>
                    <w:bottom w:val="none" w:sz="0" w:space="0" w:color="auto"/>
                    <w:right w:val="none" w:sz="0" w:space="0" w:color="auto"/>
                  </w:divBdr>
                  <w:divsChild>
                    <w:div w:id="669219704">
                      <w:marLeft w:val="0"/>
                      <w:marRight w:val="0"/>
                      <w:marTop w:val="0"/>
                      <w:marBottom w:val="0"/>
                      <w:divBdr>
                        <w:top w:val="none" w:sz="0" w:space="0" w:color="auto"/>
                        <w:left w:val="none" w:sz="0" w:space="0" w:color="auto"/>
                        <w:bottom w:val="none" w:sz="0" w:space="0" w:color="auto"/>
                        <w:right w:val="none" w:sz="0" w:space="0" w:color="auto"/>
                      </w:divBdr>
                    </w:div>
                  </w:divsChild>
                </w:div>
                <w:div w:id="1700357854">
                  <w:marLeft w:val="0"/>
                  <w:marRight w:val="0"/>
                  <w:marTop w:val="0"/>
                  <w:marBottom w:val="0"/>
                  <w:divBdr>
                    <w:top w:val="none" w:sz="0" w:space="0" w:color="auto"/>
                    <w:left w:val="none" w:sz="0" w:space="0" w:color="auto"/>
                    <w:bottom w:val="none" w:sz="0" w:space="0" w:color="auto"/>
                    <w:right w:val="none" w:sz="0" w:space="0" w:color="auto"/>
                  </w:divBdr>
                  <w:divsChild>
                    <w:div w:id="1736002721">
                      <w:marLeft w:val="0"/>
                      <w:marRight w:val="0"/>
                      <w:marTop w:val="0"/>
                      <w:marBottom w:val="0"/>
                      <w:divBdr>
                        <w:top w:val="none" w:sz="0" w:space="0" w:color="auto"/>
                        <w:left w:val="none" w:sz="0" w:space="0" w:color="auto"/>
                        <w:bottom w:val="none" w:sz="0" w:space="0" w:color="auto"/>
                        <w:right w:val="none" w:sz="0" w:space="0" w:color="auto"/>
                      </w:divBdr>
                    </w:div>
                  </w:divsChild>
                </w:div>
                <w:div w:id="1774132666">
                  <w:marLeft w:val="0"/>
                  <w:marRight w:val="0"/>
                  <w:marTop w:val="0"/>
                  <w:marBottom w:val="0"/>
                  <w:divBdr>
                    <w:top w:val="none" w:sz="0" w:space="0" w:color="auto"/>
                    <w:left w:val="none" w:sz="0" w:space="0" w:color="auto"/>
                    <w:bottom w:val="none" w:sz="0" w:space="0" w:color="auto"/>
                    <w:right w:val="none" w:sz="0" w:space="0" w:color="auto"/>
                  </w:divBdr>
                  <w:divsChild>
                    <w:div w:id="782655878">
                      <w:marLeft w:val="0"/>
                      <w:marRight w:val="0"/>
                      <w:marTop w:val="0"/>
                      <w:marBottom w:val="0"/>
                      <w:divBdr>
                        <w:top w:val="none" w:sz="0" w:space="0" w:color="auto"/>
                        <w:left w:val="none" w:sz="0" w:space="0" w:color="auto"/>
                        <w:bottom w:val="none" w:sz="0" w:space="0" w:color="auto"/>
                        <w:right w:val="none" w:sz="0" w:space="0" w:color="auto"/>
                      </w:divBdr>
                    </w:div>
                  </w:divsChild>
                </w:div>
                <w:div w:id="1836334462">
                  <w:marLeft w:val="0"/>
                  <w:marRight w:val="0"/>
                  <w:marTop w:val="0"/>
                  <w:marBottom w:val="0"/>
                  <w:divBdr>
                    <w:top w:val="none" w:sz="0" w:space="0" w:color="auto"/>
                    <w:left w:val="none" w:sz="0" w:space="0" w:color="auto"/>
                    <w:bottom w:val="none" w:sz="0" w:space="0" w:color="auto"/>
                    <w:right w:val="none" w:sz="0" w:space="0" w:color="auto"/>
                  </w:divBdr>
                  <w:divsChild>
                    <w:div w:id="2028555669">
                      <w:marLeft w:val="0"/>
                      <w:marRight w:val="0"/>
                      <w:marTop w:val="0"/>
                      <w:marBottom w:val="0"/>
                      <w:divBdr>
                        <w:top w:val="none" w:sz="0" w:space="0" w:color="auto"/>
                        <w:left w:val="none" w:sz="0" w:space="0" w:color="auto"/>
                        <w:bottom w:val="none" w:sz="0" w:space="0" w:color="auto"/>
                        <w:right w:val="none" w:sz="0" w:space="0" w:color="auto"/>
                      </w:divBdr>
                    </w:div>
                  </w:divsChild>
                </w:div>
                <w:div w:id="1936669516">
                  <w:marLeft w:val="0"/>
                  <w:marRight w:val="0"/>
                  <w:marTop w:val="0"/>
                  <w:marBottom w:val="0"/>
                  <w:divBdr>
                    <w:top w:val="none" w:sz="0" w:space="0" w:color="auto"/>
                    <w:left w:val="none" w:sz="0" w:space="0" w:color="auto"/>
                    <w:bottom w:val="none" w:sz="0" w:space="0" w:color="auto"/>
                    <w:right w:val="none" w:sz="0" w:space="0" w:color="auto"/>
                  </w:divBdr>
                  <w:divsChild>
                    <w:div w:id="578632481">
                      <w:marLeft w:val="0"/>
                      <w:marRight w:val="0"/>
                      <w:marTop w:val="0"/>
                      <w:marBottom w:val="0"/>
                      <w:divBdr>
                        <w:top w:val="none" w:sz="0" w:space="0" w:color="auto"/>
                        <w:left w:val="none" w:sz="0" w:space="0" w:color="auto"/>
                        <w:bottom w:val="none" w:sz="0" w:space="0" w:color="auto"/>
                        <w:right w:val="none" w:sz="0" w:space="0" w:color="auto"/>
                      </w:divBdr>
                    </w:div>
                  </w:divsChild>
                </w:div>
                <w:div w:id="1956785488">
                  <w:marLeft w:val="0"/>
                  <w:marRight w:val="0"/>
                  <w:marTop w:val="0"/>
                  <w:marBottom w:val="0"/>
                  <w:divBdr>
                    <w:top w:val="none" w:sz="0" w:space="0" w:color="auto"/>
                    <w:left w:val="none" w:sz="0" w:space="0" w:color="auto"/>
                    <w:bottom w:val="none" w:sz="0" w:space="0" w:color="auto"/>
                    <w:right w:val="none" w:sz="0" w:space="0" w:color="auto"/>
                  </w:divBdr>
                  <w:divsChild>
                    <w:div w:id="796070589">
                      <w:marLeft w:val="0"/>
                      <w:marRight w:val="0"/>
                      <w:marTop w:val="0"/>
                      <w:marBottom w:val="0"/>
                      <w:divBdr>
                        <w:top w:val="none" w:sz="0" w:space="0" w:color="auto"/>
                        <w:left w:val="none" w:sz="0" w:space="0" w:color="auto"/>
                        <w:bottom w:val="none" w:sz="0" w:space="0" w:color="auto"/>
                        <w:right w:val="none" w:sz="0" w:space="0" w:color="auto"/>
                      </w:divBdr>
                    </w:div>
                  </w:divsChild>
                </w:div>
                <w:div w:id="1973174497">
                  <w:marLeft w:val="0"/>
                  <w:marRight w:val="0"/>
                  <w:marTop w:val="0"/>
                  <w:marBottom w:val="0"/>
                  <w:divBdr>
                    <w:top w:val="none" w:sz="0" w:space="0" w:color="auto"/>
                    <w:left w:val="none" w:sz="0" w:space="0" w:color="auto"/>
                    <w:bottom w:val="none" w:sz="0" w:space="0" w:color="auto"/>
                    <w:right w:val="none" w:sz="0" w:space="0" w:color="auto"/>
                  </w:divBdr>
                  <w:divsChild>
                    <w:div w:id="1833132192">
                      <w:marLeft w:val="0"/>
                      <w:marRight w:val="0"/>
                      <w:marTop w:val="0"/>
                      <w:marBottom w:val="0"/>
                      <w:divBdr>
                        <w:top w:val="none" w:sz="0" w:space="0" w:color="auto"/>
                        <w:left w:val="none" w:sz="0" w:space="0" w:color="auto"/>
                        <w:bottom w:val="none" w:sz="0" w:space="0" w:color="auto"/>
                        <w:right w:val="none" w:sz="0" w:space="0" w:color="auto"/>
                      </w:divBdr>
                    </w:div>
                  </w:divsChild>
                </w:div>
                <w:div w:id="2061054046">
                  <w:marLeft w:val="0"/>
                  <w:marRight w:val="0"/>
                  <w:marTop w:val="0"/>
                  <w:marBottom w:val="0"/>
                  <w:divBdr>
                    <w:top w:val="none" w:sz="0" w:space="0" w:color="auto"/>
                    <w:left w:val="none" w:sz="0" w:space="0" w:color="auto"/>
                    <w:bottom w:val="none" w:sz="0" w:space="0" w:color="auto"/>
                    <w:right w:val="none" w:sz="0" w:space="0" w:color="auto"/>
                  </w:divBdr>
                  <w:divsChild>
                    <w:div w:id="1079599941">
                      <w:marLeft w:val="0"/>
                      <w:marRight w:val="0"/>
                      <w:marTop w:val="0"/>
                      <w:marBottom w:val="0"/>
                      <w:divBdr>
                        <w:top w:val="none" w:sz="0" w:space="0" w:color="auto"/>
                        <w:left w:val="none" w:sz="0" w:space="0" w:color="auto"/>
                        <w:bottom w:val="none" w:sz="0" w:space="0" w:color="auto"/>
                        <w:right w:val="none" w:sz="0" w:space="0" w:color="auto"/>
                      </w:divBdr>
                    </w:div>
                  </w:divsChild>
                </w:div>
                <w:div w:id="2134590141">
                  <w:marLeft w:val="0"/>
                  <w:marRight w:val="0"/>
                  <w:marTop w:val="0"/>
                  <w:marBottom w:val="0"/>
                  <w:divBdr>
                    <w:top w:val="none" w:sz="0" w:space="0" w:color="auto"/>
                    <w:left w:val="none" w:sz="0" w:space="0" w:color="auto"/>
                    <w:bottom w:val="none" w:sz="0" w:space="0" w:color="auto"/>
                    <w:right w:val="none" w:sz="0" w:space="0" w:color="auto"/>
                  </w:divBdr>
                  <w:divsChild>
                    <w:div w:id="27610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48120">
          <w:marLeft w:val="0"/>
          <w:marRight w:val="0"/>
          <w:marTop w:val="0"/>
          <w:marBottom w:val="0"/>
          <w:divBdr>
            <w:top w:val="none" w:sz="0" w:space="0" w:color="auto"/>
            <w:left w:val="none" w:sz="0" w:space="0" w:color="auto"/>
            <w:bottom w:val="none" w:sz="0" w:space="0" w:color="auto"/>
            <w:right w:val="none" w:sz="0" w:space="0" w:color="auto"/>
          </w:divBdr>
        </w:div>
        <w:div w:id="711074105">
          <w:marLeft w:val="0"/>
          <w:marRight w:val="0"/>
          <w:marTop w:val="0"/>
          <w:marBottom w:val="0"/>
          <w:divBdr>
            <w:top w:val="none" w:sz="0" w:space="0" w:color="auto"/>
            <w:left w:val="none" w:sz="0" w:space="0" w:color="auto"/>
            <w:bottom w:val="none" w:sz="0" w:space="0" w:color="auto"/>
            <w:right w:val="none" w:sz="0" w:space="0" w:color="auto"/>
          </w:divBdr>
        </w:div>
        <w:div w:id="711536619">
          <w:marLeft w:val="0"/>
          <w:marRight w:val="0"/>
          <w:marTop w:val="0"/>
          <w:marBottom w:val="0"/>
          <w:divBdr>
            <w:top w:val="none" w:sz="0" w:space="0" w:color="auto"/>
            <w:left w:val="none" w:sz="0" w:space="0" w:color="auto"/>
            <w:bottom w:val="none" w:sz="0" w:space="0" w:color="auto"/>
            <w:right w:val="none" w:sz="0" w:space="0" w:color="auto"/>
          </w:divBdr>
        </w:div>
        <w:div w:id="716974266">
          <w:marLeft w:val="0"/>
          <w:marRight w:val="0"/>
          <w:marTop w:val="0"/>
          <w:marBottom w:val="0"/>
          <w:divBdr>
            <w:top w:val="none" w:sz="0" w:space="0" w:color="auto"/>
            <w:left w:val="none" w:sz="0" w:space="0" w:color="auto"/>
            <w:bottom w:val="none" w:sz="0" w:space="0" w:color="auto"/>
            <w:right w:val="none" w:sz="0" w:space="0" w:color="auto"/>
          </w:divBdr>
        </w:div>
        <w:div w:id="716976764">
          <w:marLeft w:val="0"/>
          <w:marRight w:val="0"/>
          <w:marTop w:val="0"/>
          <w:marBottom w:val="0"/>
          <w:divBdr>
            <w:top w:val="none" w:sz="0" w:space="0" w:color="auto"/>
            <w:left w:val="none" w:sz="0" w:space="0" w:color="auto"/>
            <w:bottom w:val="none" w:sz="0" w:space="0" w:color="auto"/>
            <w:right w:val="none" w:sz="0" w:space="0" w:color="auto"/>
          </w:divBdr>
        </w:div>
        <w:div w:id="734201604">
          <w:marLeft w:val="0"/>
          <w:marRight w:val="0"/>
          <w:marTop w:val="0"/>
          <w:marBottom w:val="0"/>
          <w:divBdr>
            <w:top w:val="none" w:sz="0" w:space="0" w:color="auto"/>
            <w:left w:val="none" w:sz="0" w:space="0" w:color="auto"/>
            <w:bottom w:val="none" w:sz="0" w:space="0" w:color="auto"/>
            <w:right w:val="none" w:sz="0" w:space="0" w:color="auto"/>
          </w:divBdr>
          <w:divsChild>
            <w:div w:id="910192088">
              <w:marLeft w:val="-75"/>
              <w:marRight w:val="0"/>
              <w:marTop w:val="30"/>
              <w:marBottom w:val="30"/>
              <w:divBdr>
                <w:top w:val="none" w:sz="0" w:space="0" w:color="auto"/>
                <w:left w:val="none" w:sz="0" w:space="0" w:color="auto"/>
                <w:bottom w:val="none" w:sz="0" w:space="0" w:color="auto"/>
                <w:right w:val="none" w:sz="0" w:space="0" w:color="auto"/>
              </w:divBdr>
              <w:divsChild>
                <w:div w:id="365567672">
                  <w:marLeft w:val="0"/>
                  <w:marRight w:val="0"/>
                  <w:marTop w:val="0"/>
                  <w:marBottom w:val="0"/>
                  <w:divBdr>
                    <w:top w:val="none" w:sz="0" w:space="0" w:color="auto"/>
                    <w:left w:val="none" w:sz="0" w:space="0" w:color="auto"/>
                    <w:bottom w:val="none" w:sz="0" w:space="0" w:color="auto"/>
                    <w:right w:val="none" w:sz="0" w:space="0" w:color="auto"/>
                  </w:divBdr>
                  <w:divsChild>
                    <w:div w:id="1848014563">
                      <w:marLeft w:val="0"/>
                      <w:marRight w:val="0"/>
                      <w:marTop w:val="0"/>
                      <w:marBottom w:val="0"/>
                      <w:divBdr>
                        <w:top w:val="none" w:sz="0" w:space="0" w:color="auto"/>
                        <w:left w:val="none" w:sz="0" w:space="0" w:color="auto"/>
                        <w:bottom w:val="none" w:sz="0" w:space="0" w:color="auto"/>
                        <w:right w:val="none" w:sz="0" w:space="0" w:color="auto"/>
                      </w:divBdr>
                    </w:div>
                  </w:divsChild>
                </w:div>
                <w:div w:id="669140746">
                  <w:marLeft w:val="0"/>
                  <w:marRight w:val="0"/>
                  <w:marTop w:val="0"/>
                  <w:marBottom w:val="0"/>
                  <w:divBdr>
                    <w:top w:val="none" w:sz="0" w:space="0" w:color="auto"/>
                    <w:left w:val="none" w:sz="0" w:space="0" w:color="auto"/>
                    <w:bottom w:val="none" w:sz="0" w:space="0" w:color="auto"/>
                    <w:right w:val="none" w:sz="0" w:space="0" w:color="auto"/>
                  </w:divBdr>
                  <w:divsChild>
                    <w:div w:id="1075931388">
                      <w:marLeft w:val="0"/>
                      <w:marRight w:val="0"/>
                      <w:marTop w:val="0"/>
                      <w:marBottom w:val="0"/>
                      <w:divBdr>
                        <w:top w:val="none" w:sz="0" w:space="0" w:color="auto"/>
                        <w:left w:val="none" w:sz="0" w:space="0" w:color="auto"/>
                        <w:bottom w:val="none" w:sz="0" w:space="0" w:color="auto"/>
                        <w:right w:val="none" w:sz="0" w:space="0" w:color="auto"/>
                      </w:divBdr>
                    </w:div>
                  </w:divsChild>
                </w:div>
                <w:div w:id="670058925">
                  <w:marLeft w:val="0"/>
                  <w:marRight w:val="0"/>
                  <w:marTop w:val="0"/>
                  <w:marBottom w:val="0"/>
                  <w:divBdr>
                    <w:top w:val="none" w:sz="0" w:space="0" w:color="auto"/>
                    <w:left w:val="none" w:sz="0" w:space="0" w:color="auto"/>
                    <w:bottom w:val="none" w:sz="0" w:space="0" w:color="auto"/>
                    <w:right w:val="none" w:sz="0" w:space="0" w:color="auto"/>
                  </w:divBdr>
                  <w:divsChild>
                    <w:div w:id="389887281">
                      <w:marLeft w:val="0"/>
                      <w:marRight w:val="0"/>
                      <w:marTop w:val="0"/>
                      <w:marBottom w:val="0"/>
                      <w:divBdr>
                        <w:top w:val="none" w:sz="0" w:space="0" w:color="auto"/>
                        <w:left w:val="none" w:sz="0" w:space="0" w:color="auto"/>
                        <w:bottom w:val="none" w:sz="0" w:space="0" w:color="auto"/>
                        <w:right w:val="none" w:sz="0" w:space="0" w:color="auto"/>
                      </w:divBdr>
                    </w:div>
                  </w:divsChild>
                </w:div>
                <w:div w:id="744036123">
                  <w:marLeft w:val="0"/>
                  <w:marRight w:val="0"/>
                  <w:marTop w:val="0"/>
                  <w:marBottom w:val="0"/>
                  <w:divBdr>
                    <w:top w:val="none" w:sz="0" w:space="0" w:color="auto"/>
                    <w:left w:val="none" w:sz="0" w:space="0" w:color="auto"/>
                    <w:bottom w:val="none" w:sz="0" w:space="0" w:color="auto"/>
                    <w:right w:val="none" w:sz="0" w:space="0" w:color="auto"/>
                  </w:divBdr>
                  <w:divsChild>
                    <w:div w:id="1928146058">
                      <w:marLeft w:val="0"/>
                      <w:marRight w:val="0"/>
                      <w:marTop w:val="0"/>
                      <w:marBottom w:val="0"/>
                      <w:divBdr>
                        <w:top w:val="none" w:sz="0" w:space="0" w:color="auto"/>
                        <w:left w:val="none" w:sz="0" w:space="0" w:color="auto"/>
                        <w:bottom w:val="none" w:sz="0" w:space="0" w:color="auto"/>
                        <w:right w:val="none" w:sz="0" w:space="0" w:color="auto"/>
                      </w:divBdr>
                    </w:div>
                  </w:divsChild>
                </w:div>
                <w:div w:id="794445400">
                  <w:marLeft w:val="0"/>
                  <w:marRight w:val="0"/>
                  <w:marTop w:val="0"/>
                  <w:marBottom w:val="0"/>
                  <w:divBdr>
                    <w:top w:val="none" w:sz="0" w:space="0" w:color="auto"/>
                    <w:left w:val="none" w:sz="0" w:space="0" w:color="auto"/>
                    <w:bottom w:val="none" w:sz="0" w:space="0" w:color="auto"/>
                    <w:right w:val="none" w:sz="0" w:space="0" w:color="auto"/>
                  </w:divBdr>
                  <w:divsChild>
                    <w:div w:id="1483738091">
                      <w:marLeft w:val="0"/>
                      <w:marRight w:val="0"/>
                      <w:marTop w:val="0"/>
                      <w:marBottom w:val="0"/>
                      <w:divBdr>
                        <w:top w:val="none" w:sz="0" w:space="0" w:color="auto"/>
                        <w:left w:val="none" w:sz="0" w:space="0" w:color="auto"/>
                        <w:bottom w:val="none" w:sz="0" w:space="0" w:color="auto"/>
                        <w:right w:val="none" w:sz="0" w:space="0" w:color="auto"/>
                      </w:divBdr>
                    </w:div>
                  </w:divsChild>
                </w:div>
                <w:div w:id="800343617">
                  <w:marLeft w:val="0"/>
                  <w:marRight w:val="0"/>
                  <w:marTop w:val="0"/>
                  <w:marBottom w:val="0"/>
                  <w:divBdr>
                    <w:top w:val="none" w:sz="0" w:space="0" w:color="auto"/>
                    <w:left w:val="none" w:sz="0" w:space="0" w:color="auto"/>
                    <w:bottom w:val="none" w:sz="0" w:space="0" w:color="auto"/>
                    <w:right w:val="none" w:sz="0" w:space="0" w:color="auto"/>
                  </w:divBdr>
                  <w:divsChild>
                    <w:div w:id="1056202807">
                      <w:marLeft w:val="0"/>
                      <w:marRight w:val="0"/>
                      <w:marTop w:val="0"/>
                      <w:marBottom w:val="0"/>
                      <w:divBdr>
                        <w:top w:val="none" w:sz="0" w:space="0" w:color="auto"/>
                        <w:left w:val="none" w:sz="0" w:space="0" w:color="auto"/>
                        <w:bottom w:val="none" w:sz="0" w:space="0" w:color="auto"/>
                        <w:right w:val="none" w:sz="0" w:space="0" w:color="auto"/>
                      </w:divBdr>
                    </w:div>
                  </w:divsChild>
                </w:div>
                <w:div w:id="886449140">
                  <w:marLeft w:val="0"/>
                  <w:marRight w:val="0"/>
                  <w:marTop w:val="0"/>
                  <w:marBottom w:val="0"/>
                  <w:divBdr>
                    <w:top w:val="none" w:sz="0" w:space="0" w:color="auto"/>
                    <w:left w:val="none" w:sz="0" w:space="0" w:color="auto"/>
                    <w:bottom w:val="none" w:sz="0" w:space="0" w:color="auto"/>
                    <w:right w:val="none" w:sz="0" w:space="0" w:color="auto"/>
                  </w:divBdr>
                  <w:divsChild>
                    <w:div w:id="1961256101">
                      <w:marLeft w:val="0"/>
                      <w:marRight w:val="0"/>
                      <w:marTop w:val="0"/>
                      <w:marBottom w:val="0"/>
                      <w:divBdr>
                        <w:top w:val="none" w:sz="0" w:space="0" w:color="auto"/>
                        <w:left w:val="none" w:sz="0" w:space="0" w:color="auto"/>
                        <w:bottom w:val="none" w:sz="0" w:space="0" w:color="auto"/>
                        <w:right w:val="none" w:sz="0" w:space="0" w:color="auto"/>
                      </w:divBdr>
                    </w:div>
                  </w:divsChild>
                </w:div>
                <w:div w:id="956909643">
                  <w:marLeft w:val="0"/>
                  <w:marRight w:val="0"/>
                  <w:marTop w:val="0"/>
                  <w:marBottom w:val="0"/>
                  <w:divBdr>
                    <w:top w:val="none" w:sz="0" w:space="0" w:color="auto"/>
                    <w:left w:val="none" w:sz="0" w:space="0" w:color="auto"/>
                    <w:bottom w:val="none" w:sz="0" w:space="0" w:color="auto"/>
                    <w:right w:val="none" w:sz="0" w:space="0" w:color="auto"/>
                  </w:divBdr>
                  <w:divsChild>
                    <w:div w:id="661465219">
                      <w:marLeft w:val="0"/>
                      <w:marRight w:val="0"/>
                      <w:marTop w:val="0"/>
                      <w:marBottom w:val="0"/>
                      <w:divBdr>
                        <w:top w:val="none" w:sz="0" w:space="0" w:color="auto"/>
                        <w:left w:val="none" w:sz="0" w:space="0" w:color="auto"/>
                        <w:bottom w:val="none" w:sz="0" w:space="0" w:color="auto"/>
                        <w:right w:val="none" w:sz="0" w:space="0" w:color="auto"/>
                      </w:divBdr>
                    </w:div>
                  </w:divsChild>
                </w:div>
                <w:div w:id="970982076">
                  <w:marLeft w:val="0"/>
                  <w:marRight w:val="0"/>
                  <w:marTop w:val="0"/>
                  <w:marBottom w:val="0"/>
                  <w:divBdr>
                    <w:top w:val="none" w:sz="0" w:space="0" w:color="auto"/>
                    <w:left w:val="none" w:sz="0" w:space="0" w:color="auto"/>
                    <w:bottom w:val="none" w:sz="0" w:space="0" w:color="auto"/>
                    <w:right w:val="none" w:sz="0" w:space="0" w:color="auto"/>
                  </w:divBdr>
                  <w:divsChild>
                    <w:div w:id="537746066">
                      <w:marLeft w:val="0"/>
                      <w:marRight w:val="0"/>
                      <w:marTop w:val="0"/>
                      <w:marBottom w:val="0"/>
                      <w:divBdr>
                        <w:top w:val="none" w:sz="0" w:space="0" w:color="auto"/>
                        <w:left w:val="none" w:sz="0" w:space="0" w:color="auto"/>
                        <w:bottom w:val="none" w:sz="0" w:space="0" w:color="auto"/>
                        <w:right w:val="none" w:sz="0" w:space="0" w:color="auto"/>
                      </w:divBdr>
                    </w:div>
                  </w:divsChild>
                </w:div>
                <w:div w:id="1037198748">
                  <w:marLeft w:val="0"/>
                  <w:marRight w:val="0"/>
                  <w:marTop w:val="0"/>
                  <w:marBottom w:val="0"/>
                  <w:divBdr>
                    <w:top w:val="none" w:sz="0" w:space="0" w:color="auto"/>
                    <w:left w:val="none" w:sz="0" w:space="0" w:color="auto"/>
                    <w:bottom w:val="none" w:sz="0" w:space="0" w:color="auto"/>
                    <w:right w:val="none" w:sz="0" w:space="0" w:color="auto"/>
                  </w:divBdr>
                  <w:divsChild>
                    <w:div w:id="179438437">
                      <w:marLeft w:val="0"/>
                      <w:marRight w:val="0"/>
                      <w:marTop w:val="0"/>
                      <w:marBottom w:val="0"/>
                      <w:divBdr>
                        <w:top w:val="none" w:sz="0" w:space="0" w:color="auto"/>
                        <w:left w:val="none" w:sz="0" w:space="0" w:color="auto"/>
                        <w:bottom w:val="none" w:sz="0" w:space="0" w:color="auto"/>
                        <w:right w:val="none" w:sz="0" w:space="0" w:color="auto"/>
                      </w:divBdr>
                    </w:div>
                  </w:divsChild>
                </w:div>
                <w:div w:id="1038628017">
                  <w:marLeft w:val="0"/>
                  <w:marRight w:val="0"/>
                  <w:marTop w:val="0"/>
                  <w:marBottom w:val="0"/>
                  <w:divBdr>
                    <w:top w:val="none" w:sz="0" w:space="0" w:color="auto"/>
                    <w:left w:val="none" w:sz="0" w:space="0" w:color="auto"/>
                    <w:bottom w:val="none" w:sz="0" w:space="0" w:color="auto"/>
                    <w:right w:val="none" w:sz="0" w:space="0" w:color="auto"/>
                  </w:divBdr>
                  <w:divsChild>
                    <w:div w:id="561790475">
                      <w:marLeft w:val="0"/>
                      <w:marRight w:val="0"/>
                      <w:marTop w:val="0"/>
                      <w:marBottom w:val="0"/>
                      <w:divBdr>
                        <w:top w:val="none" w:sz="0" w:space="0" w:color="auto"/>
                        <w:left w:val="none" w:sz="0" w:space="0" w:color="auto"/>
                        <w:bottom w:val="none" w:sz="0" w:space="0" w:color="auto"/>
                        <w:right w:val="none" w:sz="0" w:space="0" w:color="auto"/>
                      </w:divBdr>
                    </w:div>
                  </w:divsChild>
                </w:div>
                <w:div w:id="1120606851">
                  <w:marLeft w:val="0"/>
                  <w:marRight w:val="0"/>
                  <w:marTop w:val="0"/>
                  <w:marBottom w:val="0"/>
                  <w:divBdr>
                    <w:top w:val="none" w:sz="0" w:space="0" w:color="auto"/>
                    <w:left w:val="none" w:sz="0" w:space="0" w:color="auto"/>
                    <w:bottom w:val="none" w:sz="0" w:space="0" w:color="auto"/>
                    <w:right w:val="none" w:sz="0" w:space="0" w:color="auto"/>
                  </w:divBdr>
                  <w:divsChild>
                    <w:div w:id="1445078721">
                      <w:marLeft w:val="0"/>
                      <w:marRight w:val="0"/>
                      <w:marTop w:val="0"/>
                      <w:marBottom w:val="0"/>
                      <w:divBdr>
                        <w:top w:val="none" w:sz="0" w:space="0" w:color="auto"/>
                        <w:left w:val="none" w:sz="0" w:space="0" w:color="auto"/>
                        <w:bottom w:val="none" w:sz="0" w:space="0" w:color="auto"/>
                        <w:right w:val="none" w:sz="0" w:space="0" w:color="auto"/>
                      </w:divBdr>
                    </w:div>
                  </w:divsChild>
                </w:div>
                <w:div w:id="1321732513">
                  <w:marLeft w:val="0"/>
                  <w:marRight w:val="0"/>
                  <w:marTop w:val="0"/>
                  <w:marBottom w:val="0"/>
                  <w:divBdr>
                    <w:top w:val="none" w:sz="0" w:space="0" w:color="auto"/>
                    <w:left w:val="none" w:sz="0" w:space="0" w:color="auto"/>
                    <w:bottom w:val="none" w:sz="0" w:space="0" w:color="auto"/>
                    <w:right w:val="none" w:sz="0" w:space="0" w:color="auto"/>
                  </w:divBdr>
                  <w:divsChild>
                    <w:div w:id="134567544">
                      <w:marLeft w:val="0"/>
                      <w:marRight w:val="0"/>
                      <w:marTop w:val="0"/>
                      <w:marBottom w:val="0"/>
                      <w:divBdr>
                        <w:top w:val="none" w:sz="0" w:space="0" w:color="auto"/>
                        <w:left w:val="none" w:sz="0" w:space="0" w:color="auto"/>
                        <w:bottom w:val="none" w:sz="0" w:space="0" w:color="auto"/>
                        <w:right w:val="none" w:sz="0" w:space="0" w:color="auto"/>
                      </w:divBdr>
                    </w:div>
                  </w:divsChild>
                </w:div>
                <w:div w:id="1326783800">
                  <w:marLeft w:val="0"/>
                  <w:marRight w:val="0"/>
                  <w:marTop w:val="0"/>
                  <w:marBottom w:val="0"/>
                  <w:divBdr>
                    <w:top w:val="none" w:sz="0" w:space="0" w:color="auto"/>
                    <w:left w:val="none" w:sz="0" w:space="0" w:color="auto"/>
                    <w:bottom w:val="none" w:sz="0" w:space="0" w:color="auto"/>
                    <w:right w:val="none" w:sz="0" w:space="0" w:color="auto"/>
                  </w:divBdr>
                  <w:divsChild>
                    <w:div w:id="244147492">
                      <w:marLeft w:val="0"/>
                      <w:marRight w:val="0"/>
                      <w:marTop w:val="0"/>
                      <w:marBottom w:val="0"/>
                      <w:divBdr>
                        <w:top w:val="none" w:sz="0" w:space="0" w:color="auto"/>
                        <w:left w:val="none" w:sz="0" w:space="0" w:color="auto"/>
                        <w:bottom w:val="none" w:sz="0" w:space="0" w:color="auto"/>
                        <w:right w:val="none" w:sz="0" w:space="0" w:color="auto"/>
                      </w:divBdr>
                    </w:div>
                  </w:divsChild>
                </w:div>
                <w:div w:id="1347052071">
                  <w:marLeft w:val="0"/>
                  <w:marRight w:val="0"/>
                  <w:marTop w:val="0"/>
                  <w:marBottom w:val="0"/>
                  <w:divBdr>
                    <w:top w:val="none" w:sz="0" w:space="0" w:color="auto"/>
                    <w:left w:val="none" w:sz="0" w:space="0" w:color="auto"/>
                    <w:bottom w:val="none" w:sz="0" w:space="0" w:color="auto"/>
                    <w:right w:val="none" w:sz="0" w:space="0" w:color="auto"/>
                  </w:divBdr>
                  <w:divsChild>
                    <w:div w:id="2113044411">
                      <w:marLeft w:val="0"/>
                      <w:marRight w:val="0"/>
                      <w:marTop w:val="0"/>
                      <w:marBottom w:val="0"/>
                      <w:divBdr>
                        <w:top w:val="none" w:sz="0" w:space="0" w:color="auto"/>
                        <w:left w:val="none" w:sz="0" w:space="0" w:color="auto"/>
                        <w:bottom w:val="none" w:sz="0" w:space="0" w:color="auto"/>
                        <w:right w:val="none" w:sz="0" w:space="0" w:color="auto"/>
                      </w:divBdr>
                    </w:div>
                  </w:divsChild>
                </w:div>
                <w:div w:id="1451704942">
                  <w:marLeft w:val="0"/>
                  <w:marRight w:val="0"/>
                  <w:marTop w:val="0"/>
                  <w:marBottom w:val="0"/>
                  <w:divBdr>
                    <w:top w:val="none" w:sz="0" w:space="0" w:color="auto"/>
                    <w:left w:val="none" w:sz="0" w:space="0" w:color="auto"/>
                    <w:bottom w:val="none" w:sz="0" w:space="0" w:color="auto"/>
                    <w:right w:val="none" w:sz="0" w:space="0" w:color="auto"/>
                  </w:divBdr>
                  <w:divsChild>
                    <w:div w:id="1038550989">
                      <w:marLeft w:val="0"/>
                      <w:marRight w:val="0"/>
                      <w:marTop w:val="0"/>
                      <w:marBottom w:val="0"/>
                      <w:divBdr>
                        <w:top w:val="none" w:sz="0" w:space="0" w:color="auto"/>
                        <w:left w:val="none" w:sz="0" w:space="0" w:color="auto"/>
                        <w:bottom w:val="none" w:sz="0" w:space="0" w:color="auto"/>
                        <w:right w:val="none" w:sz="0" w:space="0" w:color="auto"/>
                      </w:divBdr>
                    </w:div>
                  </w:divsChild>
                </w:div>
                <w:div w:id="1454248206">
                  <w:marLeft w:val="0"/>
                  <w:marRight w:val="0"/>
                  <w:marTop w:val="0"/>
                  <w:marBottom w:val="0"/>
                  <w:divBdr>
                    <w:top w:val="none" w:sz="0" w:space="0" w:color="auto"/>
                    <w:left w:val="none" w:sz="0" w:space="0" w:color="auto"/>
                    <w:bottom w:val="none" w:sz="0" w:space="0" w:color="auto"/>
                    <w:right w:val="none" w:sz="0" w:space="0" w:color="auto"/>
                  </w:divBdr>
                  <w:divsChild>
                    <w:div w:id="813721372">
                      <w:marLeft w:val="0"/>
                      <w:marRight w:val="0"/>
                      <w:marTop w:val="0"/>
                      <w:marBottom w:val="0"/>
                      <w:divBdr>
                        <w:top w:val="none" w:sz="0" w:space="0" w:color="auto"/>
                        <w:left w:val="none" w:sz="0" w:space="0" w:color="auto"/>
                        <w:bottom w:val="none" w:sz="0" w:space="0" w:color="auto"/>
                        <w:right w:val="none" w:sz="0" w:space="0" w:color="auto"/>
                      </w:divBdr>
                    </w:div>
                  </w:divsChild>
                </w:div>
                <w:div w:id="1588728234">
                  <w:marLeft w:val="0"/>
                  <w:marRight w:val="0"/>
                  <w:marTop w:val="0"/>
                  <w:marBottom w:val="0"/>
                  <w:divBdr>
                    <w:top w:val="none" w:sz="0" w:space="0" w:color="auto"/>
                    <w:left w:val="none" w:sz="0" w:space="0" w:color="auto"/>
                    <w:bottom w:val="none" w:sz="0" w:space="0" w:color="auto"/>
                    <w:right w:val="none" w:sz="0" w:space="0" w:color="auto"/>
                  </w:divBdr>
                  <w:divsChild>
                    <w:div w:id="844635904">
                      <w:marLeft w:val="0"/>
                      <w:marRight w:val="0"/>
                      <w:marTop w:val="0"/>
                      <w:marBottom w:val="0"/>
                      <w:divBdr>
                        <w:top w:val="none" w:sz="0" w:space="0" w:color="auto"/>
                        <w:left w:val="none" w:sz="0" w:space="0" w:color="auto"/>
                        <w:bottom w:val="none" w:sz="0" w:space="0" w:color="auto"/>
                        <w:right w:val="none" w:sz="0" w:space="0" w:color="auto"/>
                      </w:divBdr>
                    </w:div>
                  </w:divsChild>
                </w:div>
                <w:div w:id="1699164951">
                  <w:marLeft w:val="0"/>
                  <w:marRight w:val="0"/>
                  <w:marTop w:val="0"/>
                  <w:marBottom w:val="0"/>
                  <w:divBdr>
                    <w:top w:val="none" w:sz="0" w:space="0" w:color="auto"/>
                    <w:left w:val="none" w:sz="0" w:space="0" w:color="auto"/>
                    <w:bottom w:val="none" w:sz="0" w:space="0" w:color="auto"/>
                    <w:right w:val="none" w:sz="0" w:space="0" w:color="auto"/>
                  </w:divBdr>
                  <w:divsChild>
                    <w:div w:id="1676960487">
                      <w:marLeft w:val="0"/>
                      <w:marRight w:val="0"/>
                      <w:marTop w:val="0"/>
                      <w:marBottom w:val="0"/>
                      <w:divBdr>
                        <w:top w:val="none" w:sz="0" w:space="0" w:color="auto"/>
                        <w:left w:val="none" w:sz="0" w:space="0" w:color="auto"/>
                        <w:bottom w:val="none" w:sz="0" w:space="0" w:color="auto"/>
                        <w:right w:val="none" w:sz="0" w:space="0" w:color="auto"/>
                      </w:divBdr>
                    </w:div>
                  </w:divsChild>
                </w:div>
                <w:div w:id="1774863140">
                  <w:marLeft w:val="0"/>
                  <w:marRight w:val="0"/>
                  <w:marTop w:val="0"/>
                  <w:marBottom w:val="0"/>
                  <w:divBdr>
                    <w:top w:val="none" w:sz="0" w:space="0" w:color="auto"/>
                    <w:left w:val="none" w:sz="0" w:space="0" w:color="auto"/>
                    <w:bottom w:val="none" w:sz="0" w:space="0" w:color="auto"/>
                    <w:right w:val="none" w:sz="0" w:space="0" w:color="auto"/>
                  </w:divBdr>
                  <w:divsChild>
                    <w:div w:id="1627735705">
                      <w:marLeft w:val="0"/>
                      <w:marRight w:val="0"/>
                      <w:marTop w:val="0"/>
                      <w:marBottom w:val="0"/>
                      <w:divBdr>
                        <w:top w:val="none" w:sz="0" w:space="0" w:color="auto"/>
                        <w:left w:val="none" w:sz="0" w:space="0" w:color="auto"/>
                        <w:bottom w:val="none" w:sz="0" w:space="0" w:color="auto"/>
                        <w:right w:val="none" w:sz="0" w:space="0" w:color="auto"/>
                      </w:divBdr>
                    </w:div>
                  </w:divsChild>
                </w:div>
                <w:div w:id="1806465881">
                  <w:marLeft w:val="0"/>
                  <w:marRight w:val="0"/>
                  <w:marTop w:val="0"/>
                  <w:marBottom w:val="0"/>
                  <w:divBdr>
                    <w:top w:val="none" w:sz="0" w:space="0" w:color="auto"/>
                    <w:left w:val="none" w:sz="0" w:space="0" w:color="auto"/>
                    <w:bottom w:val="none" w:sz="0" w:space="0" w:color="auto"/>
                    <w:right w:val="none" w:sz="0" w:space="0" w:color="auto"/>
                  </w:divBdr>
                  <w:divsChild>
                    <w:div w:id="1930193356">
                      <w:marLeft w:val="0"/>
                      <w:marRight w:val="0"/>
                      <w:marTop w:val="0"/>
                      <w:marBottom w:val="0"/>
                      <w:divBdr>
                        <w:top w:val="none" w:sz="0" w:space="0" w:color="auto"/>
                        <w:left w:val="none" w:sz="0" w:space="0" w:color="auto"/>
                        <w:bottom w:val="none" w:sz="0" w:space="0" w:color="auto"/>
                        <w:right w:val="none" w:sz="0" w:space="0" w:color="auto"/>
                      </w:divBdr>
                    </w:div>
                  </w:divsChild>
                </w:div>
                <w:div w:id="1833721154">
                  <w:marLeft w:val="0"/>
                  <w:marRight w:val="0"/>
                  <w:marTop w:val="0"/>
                  <w:marBottom w:val="0"/>
                  <w:divBdr>
                    <w:top w:val="none" w:sz="0" w:space="0" w:color="auto"/>
                    <w:left w:val="none" w:sz="0" w:space="0" w:color="auto"/>
                    <w:bottom w:val="none" w:sz="0" w:space="0" w:color="auto"/>
                    <w:right w:val="none" w:sz="0" w:space="0" w:color="auto"/>
                  </w:divBdr>
                  <w:divsChild>
                    <w:div w:id="1127091350">
                      <w:marLeft w:val="0"/>
                      <w:marRight w:val="0"/>
                      <w:marTop w:val="0"/>
                      <w:marBottom w:val="0"/>
                      <w:divBdr>
                        <w:top w:val="none" w:sz="0" w:space="0" w:color="auto"/>
                        <w:left w:val="none" w:sz="0" w:space="0" w:color="auto"/>
                        <w:bottom w:val="none" w:sz="0" w:space="0" w:color="auto"/>
                        <w:right w:val="none" w:sz="0" w:space="0" w:color="auto"/>
                      </w:divBdr>
                    </w:div>
                  </w:divsChild>
                </w:div>
                <w:div w:id="1837568752">
                  <w:marLeft w:val="0"/>
                  <w:marRight w:val="0"/>
                  <w:marTop w:val="0"/>
                  <w:marBottom w:val="0"/>
                  <w:divBdr>
                    <w:top w:val="none" w:sz="0" w:space="0" w:color="auto"/>
                    <w:left w:val="none" w:sz="0" w:space="0" w:color="auto"/>
                    <w:bottom w:val="none" w:sz="0" w:space="0" w:color="auto"/>
                    <w:right w:val="none" w:sz="0" w:space="0" w:color="auto"/>
                  </w:divBdr>
                  <w:divsChild>
                    <w:div w:id="308480544">
                      <w:marLeft w:val="0"/>
                      <w:marRight w:val="0"/>
                      <w:marTop w:val="0"/>
                      <w:marBottom w:val="0"/>
                      <w:divBdr>
                        <w:top w:val="none" w:sz="0" w:space="0" w:color="auto"/>
                        <w:left w:val="none" w:sz="0" w:space="0" w:color="auto"/>
                        <w:bottom w:val="none" w:sz="0" w:space="0" w:color="auto"/>
                        <w:right w:val="none" w:sz="0" w:space="0" w:color="auto"/>
                      </w:divBdr>
                    </w:div>
                  </w:divsChild>
                </w:div>
                <w:div w:id="2059544159">
                  <w:marLeft w:val="0"/>
                  <w:marRight w:val="0"/>
                  <w:marTop w:val="0"/>
                  <w:marBottom w:val="0"/>
                  <w:divBdr>
                    <w:top w:val="none" w:sz="0" w:space="0" w:color="auto"/>
                    <w:left w:val="none" w:sz="0" w:space="0" w:color="auto"/>
                    <w:bottom w:val="none" w:sz="0" w:space="0" w:color="auto"/>
                    <w:right w:val="none" w:sz="0" w:space="0" w:color="auto"/>
                  </w:divBdr>
                  <w:divsChild>
                    <w:div w:id="273707593">
                      <w:marLeft w:val="0"/>
                      <w:marRight w:val="0"/>
                      <w:marTop w:val="0"/>
                      <w:marBottom w:val="0"/>
                      <w:divBdr>
                        <w:top w:val="none" w:sz="0" w:space="0" w:color="auto"/>
                        <w:left w:val="none" w:sz="0" w:space="0" w:color="auto"/>
                        <w:bottom w:val="none" w:sz="0" w:space="0" w:color="auto"/>
                        <w:right w:val="none" w:sz="0" w:space="0" w:color="auto"/>
                      </w:divBdr>
                    </w:div>
                  </w:divsChild>
                </w:div>
                <w:div w:id="2103868556">
                  <w:marLeft w:val="0"/>
                  <w:marRight w:val="0"/>
                  <w:marTop w:val="0"/>
                  <w:marBottom w:val="0"/>
                  <w:divBdr>
                    <w:top w:val="none" w:sz="0" w:space="0" w:color="auto"/>
                    <w:left w:val="none" w:sz="0" w:space="0" w:color="auto"/>
                    <w:bottom w:val="none" w:sz="0" w:space="0" w:color="auto"/>
                    <w:right w:val="none" w:sz="0" w:space="0" w:color="auto"/>
                  </w:divBdr>
                  <w:divsChild>
                    <w:div w:id="626163491">
                      <w:marLeft w:val="0"/>
                      <w:marRight w:val="0"/>
                      <w:marTop w:val="0"/>
                      <w:marBottom w:val="0"/>
                      <w:divBdr>
                        <w:top w:val="none" w:sz="0" w:space="0" w:color="auto"/>
                        <w:left w:val="none" w:sz="0" w:space="0" w:color="auto"/>
                        <w:bottom w:val="none" w:sz="0" w:space="0" w:color="auto"/>
                        <w:right w:val="none" w:sz="0" w:space="0" w:color="auto"/>
                      </w:divBdr>
                    </w:div>
                  </w:divsChild>
                </w:div>
                <w:div w:id="2109541494">
                  <w:marLeft w:val="0"/>
                  <w:marRight w:val="0"/>
                  <w:marTop w:val="0"/>
                  <w:marBottom w:val="0"/>
                  <w:divBdr>
                    <w:top w:val="none" w:sz="0" w:space="0" w:color="auto"/>
                    <w:left w:val="none" w:sz="0" w:space="0" w:color="auto"/>
                    <w:bottom w:val="none" w:sz="0" w:space="0" w:color="auto"/>
                    <w:right w:val="none" w:sz="0" w:space="0" w:color="auto"/>
                  </w:divBdr>
                  <w:divsChild>
                    <w:div w:id="198955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9298">
          <w:marLeft w:val="0"/>
          <w:marRight w:val="0"/>
          <w:marTop w:val="0"/>
          <w:marBottom w:val="0"/>
          <w:divBdr>
            <w:top w:val="none" w:sz="0" w:space="0" w:color="auto"/>
            <w:left w:val="none" w:sz="0" w:space="0" w:color="auto"/>
            <w:bottom w:val="none" w:sz="0" w:space="0" w:color="auto"/>
            <w:right w:val="none" w:sz="0" w:space="0" w:color="auto"/>
          </w:divBdr>
        </w:div>
        <w:div w:id="872771788">
          <w:marLeft w:val="0"/>
          <w:marRight w:val="0"/>
          <w:marTop w:val="0"/>
          <w:marBottom w:val="0"/>
          <w:divBdr>
            <w:top w:val="none" w:sz="0" w:space="0" w:color="auto"/>
            <w:left w:val="none" w:sz="0" w:space="0" w:color="auto"/>
            <w:bottom w:val="none" w:sz="0" w:space="0" w:color="auto"/>
            <w:right w:val="none" w:sz="0" w:space="0" w:color="auto"/>
          </w:divBdr>
        </w:div>
        <w:div w:id="918715078">
          <w:marLeft w:val="0"/>
          <w:marRight w:val="0"/>
          <w:marTop w:val="0"/>
          <w:marBottom w:val="0"/>
          <w:divBdr>
            <w:top w:val="none" w:sz="0" w:space="0" w:color="auto"/>
            <w:left w:val="none" w:sz="0" w:space="0" w:color="auto"/>
            <w:bottom w:val="none" w:sz="0" w:space="0" w:color="auto"/>
            <w:right w:val="none" w:sz="0" w:space="0" w:color="auto"/>
          </w:divBdr>
        </w:div>
        <w:div w:id="939072805">
          <w:marLeft w:val="0"/>
          <w:marRight w:val="0"/>
          <w:marTop w:val="0"/>
          <w:marBottom w:val="0"/>
          <w:divBdr>
            <w:top w:val="none" w:sz="0" w:space="0" w:color="auto"/>
            <w:left w:val="none" w:sz="0" w:space="0" w:color="auto"/>
            <w:bottom w:val="none" w:sz="0" w:space="0" w:color="auto"/>
            <w:right w:val="none" w:sz="0" w:space="0" w:color="auto"/>
          </w:divBdr>
        </w:div>
        <w:div w:id="993029308">
          <w:marLeft w:val="0"/>
          <w:marRight w:val="0"/>
          <w:marTop w:val="0"/>
          <w:marBottom w:val="0"/>
          <w:divBdr>
            <w:top w:val="none" w:sz="0" w:space="0" w:color="auto"/>
            <w:left w:val="none" w:sz="0" w:space="0" w:color="auto"/>
            <w:bottom w:val="none" w:sz="0" w:space="0" w:color="auto"/>
            <w:right w:val="none" w:sz="0" w:space="0" w:color="auto"/>
          </w:divBdr>
        </w:div>
        <w:div w:id="1036852785">
          <w:marLeft w:val="0"/>
          <w:marRight w:val="0"/>
          <w:marTop w:val="0"/>
          <w:marBottom w:val="0"/>
          <w:divBdr>
            <w:top w:val="none" w:sz="0" w:space="0" w:color="auto"/>
            <w:left w:val="none" w:sz="0" w:space="0" w:color="auto"/>
            <w:bottom w:val="none" w:sz="0" w:space="0" w:color="auto"/>
            <w:right w:val="none" w:sz="0" w:space="0" w:color="auto"/>
          </w:divBdr>
        </w:div>
        <w:div w:id="1139954628">
          <w:marLeft w:val="0"/>
          <w:marRight w:val="0"/>
          <w:marTop w:val="0"/>
          <w:marBottom w:val="0"/>
          <w:divBdr>
            <w:top w:val="none" w:sz="0" w:space="0" w:color="auto"/>
            <w:left w:val="none" w:sz="0" w:space="0" w:color="auto"/>
            <w:bottom w:val="none" w:sz="0" w:space="0" w:color="auto"/>
            <w:right w:val="none" w:sz="0" w:space="0" w:color="auto"/>
          </w:divBdr>
        </w:div>
        <w:div w:id="1206060894">
          <w:marLeft w:val="0"/>
          <w:marRight w:val="0"/>
          <w:marTop w:val="0"/>
          <w:marBottom w:val="0"/>
          <w:divBdr>
            <w:top w:val="none" w:sz="0" w:space="0" w:color="auto"/>
            <w:left w:val="none" w:sz="0" w:space="0" w:color="auto"/>
            <w:bottom w:val="none" w:sz="0" w:space="0" w:color="auto"/>
            <w:right w:val="none" w:sz="0" w:space="0" w:color="auto"/>
          </w:divBdr>
        </w:div>
        <w:div w:id="1309700511">
          <w:marLeft w:val="0"/>
          <w:marRight w:val="0"/>
          <w:marTop w:val="0"/>
          <w:marBottom w:val="0"/>
          <w:divBdr>
            <w:top w:val="none" w:sz="0" w:space="0" w:color="auto"/>
            <w:left w:val="none" w:sz="0" w:space="0" w:color="auto"/>
            <w:bottom w:val="none" w:sz="0" w:space="0" w:color="auto"/>
            <w:right w:val="none" w:sz="0" w:space="0" w:color="auto"/>
          </w:divBdr>
        </w:div>
        <w:div w:id="1337348197">
          <w:marLeft w:val="0"/>
          <w:marRight w:val="0"/>
          <w:marTop w:val="0"/>
          <w:marBottom w:val="0"/>
          <w:divBdr>
            <w:top w:val="none" w:sz="0" w:space="0" w:color="auto"/>
            <w:left w:val="none" w:sz="0" w:space="0" w:color="auto"/>
            <w:bottom w:val="none" w:sz="0" w:space="0" w:color="auto"/>
            <w:right w:val="none" w:sz="0" w:space="0" w:color="auto"/>
          </w:divBdr>
        </w:div>
        <w:div w:id="1394232971">
          <w:marLeft w:val="0"/>
          <w:marRight w:val="0"/>
          <w:marTop w:val="0"/>
          <w:marBottom w:val="0"/>
          <w:divBdr>
            <w:top w:val="none" w:sz="0" w:space="0" w:color="auto"/>
            <w:left w:val="none" w:sz="0" w:space="0" w:color="auto"/>
            <w:bottom w:val="none" w:sz="0" w:space="0" w:color="auto"/>
            <w:right w:val="none" w:sz="0" w:space="0" w:color="auto"/>
          </w:divBdr>
        </w:div>
        <w:div w:id="1415320773">
          <w:marLeft w:val="0"/>
          <w:marRight w:val="0"/>
          <w:marTop w:val="0"/>
          <w:marBottom w:val="0"/>
          <w:divBdr>
            <w:top w:val="none" w:sz="0" w:space="0" w:color="auto"/>
            <w:left w:val="none" w:sz="0" w:space="0" w:color="auto"/>
            <w:bottom w:val="none" w:sz="0" w:space="0" w:color="auto"/>
            <w:right w:val="none" w:sz="0" w:space="0" w:color="auto"/>
          </w:divBdr>
        </w:div>
        <w:div w:id="1467236263">
          <w:marLeft w:val="0"/>
          <w:marRight w:val="0"/>
          <w:marTop w:val="0"/>
          <w:marBottom w:val="0"/>
          <w:divBdr>
            <w:top w:val="none" w:sz="0" w:space="0" w:color="auto"/>
            <w:left w:val="none" w:sz="0" w:space="0" w:color="auto"/>
            <w:bottom w:val="none" w:sz="0" w:space="0" w:color="auto"/>
            <w:right w:val="none" w:sz="0" w:space="0" w:color="auto"/>
          </w:divBdr>
          <w:divsChild>
            <w:div w:id="1078942618">
              <w:marLeft w:val="-75"/>
              <w:marRight w:val="0"/>
              <w:marTop w:val="30"/>
              <w:marBottom w:val="30"/>
              <w:divBdr>
                <w:top w:val="none" w:sz="0" w:space="0" w:color="auto"/>
                <w:left w:val="none" w:sz="0" w:space="0" w:color="auto"/>
                <w:bottom w:val="none" w:sz="0" w:space="0" w:color="auto"/>
                <w:right w:val="none" w:sz="0" w:space="0" w:color="auto"/>
              </w:divBdr>
              <w:divsChild>
                <w:div w:id="121777402">
                  <w:marLeft w:val="0"/>
                  <w:marRight w:val="0"/>
                  <w:marTop w:val="0"/>
                  <w:marBottom w:val="0"/>
                  <w:divBdr>
                    <w:top w:val="none" w:sz="0" w:space="0" w:color="auto"/>
                    <w:left w:val="none" w:sz="0" w:space="0" w:color="auto"/>
                    <w:bottom w:val="none" w:sz="0" w:space="0" w:color="auto"/>
                    <w:right w:val="none" w:sz="0" w:space="0" w:color="auto"/>
                  </w:divBdr>
                  <w:divsChild>
                    <w:div w:id="813526761">
                      <w:marLeft w:val="0"/>
                      <w:marRight w:val="0"/>
                      <w:marTop w:val="0"/>
                      <w:marBottom w:val="0"/>
                      <w:divBdr>
                        <w:top w:val="none" w:sz="0" w:space="0" w:color="auto"/>
                        <w:left w:val="none" w:sz="0" w:space="0" w:color="auto"/>
                        <w:bottom w:val="none" w:sz="0" w:space="0" w:color="auto"/>
                        <w:right w:val="none" w:sz="0" w:space="0" w:color="auto"/>
                      </w:divBdr>
                    </w:div>
                  </w:divsChild>
                </w:div>
                <w:div w:id="172841875">
                  <w:marLeft w:val="0"/>
                  <w:marRight w:val="0"/>
                  <w:marTop w:val="0"/>
                  <w:marBottom w:val="0"/>
                  <w:divBdr>
                    <w:top w:val="none" w:sz="0" w:space="0" w:color="auto"/>
                    <w:left w:val="none" w:sz="0" w:space="0" w:color="auto"/>
                    <w:bottom w:val="none" w:sz="0" w:space="0" w:color="auto"/>
                    <w:right w:val="none" w:sz="0" w:space="0" w:color="auto"/>
                  </w:divBdr>
                  <w:divsChild>
                    <w:div w:id="667631327">
                      <w:marLeft w:val="0"/>
                      <w:marRight w:val="0"/>
                      <w:marTop w:val="0"/>
                      <w:marBottom w:val="0"/>
                      <w:divBdr>
                        <w:top w:val="none" w:sz="0" w:space="0" w:color="auto"/>
                        <w:left w:val="none" w:sz="0" w:space="0" w:color="auto"/>
                        <w:bottom w:val="none" w:sz="0" w:space="0" w:color="auto"/>
                        <w:right w:val="none" w:sz="0" w:space="0" w:color="auto"/>
                      </w:divBdr>
                    </w:div>
                  </w:divsChild>
                </w:div>
                <w:div w:id="212666361">
                  <w:marLeft w:val="0"/>
                  <w:marRight w:val="0"/>
                  <w:marTop w:val="0"/>
                  <w:marBottom w:val="0"/>
                  <w:divBdr>
                    <w:top w:val="none" w:sz="0" w:space="0" w:color="auto"/>
                    <w:left w:val="none" w:sz="0" w:space="0" w:color="auto"/>
                    <w:bottom w:val="none" w:sz="0" w:space="0" w:color="auto"/>
                    <w:right w:val="none" w:sz="0" w:space="0" w:color="auto"/>
                  </w:divBdr>
                  <w:divsChild>
                    <w:div w:id="2047100116">
                      <w:marLeft w:val="0"/>
                      <w:marRight w:val="0"/>
                      <w:marTop w:val="0"/>
                      <w:marBottom w:val="0"/>
                      <w:divBdr>
                        <w:top w:val="none" w:sz="0" w:space="0" w:color="auto"/>
                        <w:left w:val="none" w:sz="0" w:space="0" w:color="auto"/>
                        <w:bottom w:val="none" w:sz="0" w:space="0" w:color="auto"/>
                        <w:right w:val="none" w:sz="0" w:space="0" w:color="auto"/>
                      </w:divBdr>
                    </w:div>
                  </w:divsChild>
                </w:div>
                <w:div w:id="242186111">
                  <w:marLeft w:val="0"/>
                  <w:marRight w:val="0"/>
                  <w:marTop w:val="0"/>
                  <w:marBottom w:val="0"/>
                  <w:divBdr>
                    <w:top w:val="none" w:sz="0" w:space="0" w:color="auto"/>
                    <w:left w:val="none" w:sz="0" w:space="0" w:color="auto"/>
                    <w:bottom w:val="none" w:sz="0" w:space="0" w:color="auto"/>
                    <w:right w:val="none" w:sz="0" w:space="0" w:color="auto"/>
                  </w:divBdr>
                  <w:divsChild>
                    <w:div w:id="1883203818">
                      <w:marLeft w:val="0"/>
                      <w:marRight w:val="0"/>
                      <w:marTop w:val="0"/>
                      <w:marBottom w:val="0"/>
                      <w:divBdr>
                        <w:top w:val="none" w:sz="0" w:space="0" w:color="auto"/>
                        <w:left w:val="none" w:sz="0" w:space="0" w:color="auto"/>
                        <w:bottom w:val="none" w:sz="0" w:space="0" w:color="auto"/>
                        <w:right w:val="none" w:sz="0" w:space="0" w:color="auto"/>
                      </w:divBdr>
                    </w:div>
                  </w:divsChild>
                </w:div>
                <w:div w:id="289018909">
                  <w:marLeft w:val="0"/>
                  <w:marRight w:val="0"/>
                  <w:marTop w:val="0"/>
                  <w:marBottom w:val="0"/>
                  <w:divBdr>
                    <w:top w:val="none" w:sz="0" w:space="0" w:color="auto"/>
                    <w:left w:val="none" w:sz="0" w:space="0" w:color="auto"/>
                    <w:bottom w:val="none" w:sz="0" w:space="0" w:color="auto"/>
                    <w:right w:val="none" w:sz="0" w:space="0" w:color="auto"/>
                  </w:divBdr>
                  <w:divsChild>
                    <w:div w:id="158928681">
                      <w:marLeft w:val="0"/>
                      <w:marRight w:val="0"/>
                      <w:marTop w:val="0"/>
                      <w:marBottom w:val="0"/>
                      <w:divBdr>
                        <w:top w:val="none" w:sz="0" w:space="0" w:color="auto"/>
                        <w:left w:val="none" w:sz="0" w:space="0" w:color="auto"/>
                        <w:bottom w:val="none" w:sz="0" w:space="0" w:color="auto"/>
                        <w:right w:val="none" w:sz="0" w:space="0" w:color="auto"/>
                      </w:divBdr>
                    </w:div>
                  </w:divsChild>
                </w:div>
                <w:div w:id="469127614">
                  <w:marLeft w:val="0"/>
                  <w:marRight w:val="0"/>
                  <w:marTop w:val="0"/>
                  <w:marBottom w:val="0"/>
                  <w:divBdr>
                    <w:top w:val="none" w:sz="0" w:space="0" w:color="auto"/>
                    <w:left w:val="none" w:sz="0" w:space="0" w:color="auto"/>
                    <w:bottom w:val="none" w:sz="0" w:space="0" w:color="auto"/>
                    <w:right w:val="none" w:sz="0" w:space="0" w:color="auto"/>
                  </w:divBdr>
                  <w:divsChild>
                    <w:div w:id="708913195">
                      <w:marLeft w:val="0"/>
                      <w:marRight w:val="0"/>
                      <w:marTop w:val="0"/>
                      <w:marBottom w:val="0"/>
                      <w:divBdr>
                        <w:top w:val="none" w:sz="0" w:space="0" w:color="auto"/>
                        <w:left w:val="none" w:sz="0" w:space="0" w:color="auto"/>
                        <w:bottom w:val="none" w:sz="0" w:space="0" w:color="auto"/>
                        <w:right w:val="none" w:sz="0" w:space="0" w:color="auto"/>
                      </w:divBdr>
                    </w:div>
                  </w:divsChild>
                </w:div>
                <w:div w:id="619340909">
                  <w:marLeft w:val="0"/>
                  <w:marRight w:val="0"/>
                  <w:marTop w:val="0"/>
                  <w:marBottom w:val="0"/>
                  <w:divBdr>
                    <w:top w:val="none" w:sz="0" w:space="0" w:color="auto"/>
                    <w:left w:val="none" w:sz="0" w:space="0" w:color="auto"/>
                    <w:bottom w:val="none" w:sz="0" w:space="0" w:color="auto"/>
                    <w:right w:val="none" w:sz="0" w:space="0" w:color="auto"/>
                  </w:divBdr>
                  <w:divsChild>
                    <w:div w:id="1247032471">
                      <w:marLeft w:val="0"/>
                      <w:marRight w:val="0"/>
                      <w:marTop w:val="0"/>
                      <w:marBottom w:val="0"/>
                      <w:divBdr>
                        <w:top w:val="none" w:sz="0" w:space="0" w:color="auto"/>
                        <w:left w:val="none" w:sz="0" w:space="0" w:color="auto"/>
                        <w:bottom w:val="none" w:sz="0" w:space="0" w:color="auto"/>
                        <w:right w:val="none" w:sz="0" w:space="0" w:color="auto"/>
                      </w:divBdr>
                    </w:div>
                  </w:divsChild>
                </w:div>
                <w:div w:id="647439428">
                  <w:marLeft w:val="0"/>
                  <w:marRight w:val="0"/>
                  <w:marTop w:val="0"/>
                  <w:marBottom w:val="0"/>
                  <w:divBdr>
                    <w:top w:val="none" w:sz="0" w:space="0" w:color="auto"/>
                    <w:left w:val="none" w:sz="0" w:space="0" w:color="auto"/>
                    <w:bottom w:val="none" w:sz="0" w:space="0" w:color="auto"/>
                    <w:right w:val="none" w:sz="0" w:space="0" w:color="auto"/>
                  </w:divBdr>
                  <w:divsChild>
                    <w:div w:id="185142207">
                      <w:marLeft w:val="0"/>
                      <w:marRight w:val="0"/>
                      <w:marTop w:val="0"/>
                      <w:marBottom w:val="0"/>
                      <w:divBdr>
                        <w:top w:val="none" w:sz="0" w:space="0" w:color="auto"/>
                        <w:left w:val="none" w:sz="0" w:space="0" w:color="auto"/>
                        <w:bottom w:val="none" w:sz="0" w:space="0" w:color="auto"/>
                        <w:right w:val="none" w:sz="0" w:space="0" w:color="auto"/>
                      </w:divBdr>
                    </w:div>
                  </w:divsChild>
                </w:div>
                <w:div w:id="743991836">
                  <w:marLeft w:val="0"/>
                  <w:marRight w:val="0"/>
                  <w:marTop w:val="0"/>
                  <w:marBottom w:val="0"/>
                  <w:divBdr>
                    <w:top w:val="none" w:sz="0" w:space="0" w:color="auto"/>
                    <w:left w:val="none" w:sz="0" w:space="0" w:color="auto"/>
                    <w:bottom w:val="none" w:sz="0" w:space="0" w:color="auto"/>
                    <w:right w:val="none" w:sz="0" w:space="0" w:color="auto"/>
                  </w:divBdr>
                  <w:divsChild>
                    <w:div w:id="314378455">
                      <w:marLeft w:val="0"/>
                      <w:marRight w:val="0"/>
                      <w:marTop w:val="0"/>
                      <w:marBottom w:val="0"/>
                      <w:divBdr>
                        <w:top w:val="none" w:sz="0" w:space="0" w:color="auto"/>
                        <w:left w:val="none" w:sz="0" w:space="0" w:color="auto"/>
                        <w:bottom w:val="none" w:sz="0" w:space="0" w:color="auto"/>
                        <w:right w:val="none" w:sz="0" w:space="0" w:color="auto"/>
                      </w:divBdr>
                    </w:div>
                  </w:divsChild>
                </w:div>
                <w:div w:id="771363508">
                  <w:marLeft w:val="0"/>
                  <w:marRight w:val="0"/>
                  <w:marTop w:val="0"/>
                  <w:marBottom w:val="0"/>
                  <w:divBdr>
                    <w:top w:val="none" w:sz="0" w:space="0" w:color="auto"/>
                    <w:left w:val="none" w:sz="0" w:space="0" w:color="auto"/>
                    <w:bottom w:val="none" w:sz="0" w:space="0" w:color="auto"/>
                    <w:right w:val="none" w:sz="0" w:space="0" w:color="auto"/>
                  </w:divBdr>
                  <w:divsChild>
                    <w:div w:id="1877039688">
                      <w:marLeft w:val="0"/>
                      <w:marRight w:val="0"/>
                      <w:marTop w:val="0"/>
                      <w:marBottom w:val="0"/>
                      <w:divBdr>
                        <w:top w:val="none" w:sz="0" w:space="0" w:color="auto"/>
                        <w:left w:val="none" w:sz="0" w:space="0" w:color="auto"/>
                        <w:bottom w:val="none" w:sz="0" w:space="0" w:color="auto"/>
                        <w:right w:val="none" w:sz="0" w:space="0" w:color="auto"/>
                      </w:divBdr>
                    </w:div>
                  </w:divsChild>
                </w:div>
                <w:div w:id="851533708">
                  <w:marLeft w:val="0"/>
                  <w:marRight w:val="0"/>
                  <w:marTop w:val="0"/>
                  <w:marBottom w:val="0"/>
                  <w:divBdr>
                    <w:top w:val="none" w:sz="0" w:space="0" w:color="auto"/>
                    <w:left w:val="none" w:sz="0" w:space="0" w:color="auto"/>
                    <w:bottom w:val="none" w:sz="0" w:space="0" w:color="auto"/>
                    <w:right w:val="none" w:sz="0" w:space="0" w:color="auto"/>
                  </w:divBdr>
                  <w:divsChild>
                    <w:div w:id="490947667">
                      <w:marLeft w:val="0"/>
                      <w:marRight w:val="0"/>
                      <w:marTop w:val="0"/>
                      <w:marBottom w:val="0"/>
                      <w:divBdr>
                        <w:top w:val="none" w:sz="0" w:space="0" w:color="auto"/>
                        <w:left w:val="none" w:sz="0" w:space="0" w:color="auto"/>
                        <w:bottom w:val="none" w:sz="0" w:space="0" w:color="auto"/>
                        <w:right w:val="none" w:sz="0" w:space="0" w:color="auto"/>
                      </w:divBdr>
                    </w:div>
                  </w:divsChild>
                </w:div>
                <w:div w:id="1138063328">
                  <w:marLeft w:val="0"/>
                  <w:marRight w:val="0"/>
                  <w:marTop w:val="0"/>
                  <w:marBottom w:val="0"/>
                  <w:divBdr>
                    <w:top w:val="none" w:sz="0" w:space="0" w:color="auto"/>
                    <w:left w:val="none" w:sz="0" w:space="0" w:color="auto"/>
                    <w:bottom w:val="none" w:sz="0" w:space="0" w:color="auto"/>
                    <w:right w:val="none" w:sz="0" w:space="0" w:color="auto"/>
                  </w:divBdr>
                  <w:divsChild>
                    <w:div w:id="1473869964">
                      <w:marLeft w:val="0"/>
                      <w:marRight w:val="0"/>
                      <w:marTop w:val="0"/>
                      <w:marBottom w:val="0"/>
                      <w:divBdr>
                        <w:top w:val="none" w:sz="0" w:space="0" w:color="auto"/>
                        <w:left w:val="none" w:sz="0" w:space="0" w:color="auto"/>
                        <w:bottom w:val="none" w:sz="0" w:space="0" w:color="auto"/>
                        <w:right w:val="none" w:sz="0" w:space="0" w:color="auto"/>
                      </w:divBdr>
                    </w:div>
                  </w:divsChild>
                </w:div>
                <w:div w:id="1272317020">
                  <w:marLeft w:val="0"/>
                  <w:marRight w:val="0"/>
                  <w:marTop w:val="0"/>
                  <w:marBottom w:val="0"/>
                  <w:divBdr>
                    <w:top w:val="none" w:sz="0" w:space="0" w:color="auto"/>
                    <w:left w:val="none" w:sz="0" w:space="0" w:color="auto"/>
                    <w:bottom w:val="none" w:sz="0" w:space="0" w:color="auto"/>
                    <w:right w:val="none" w:sz="0" w:space="0" w:color="auto"/>
                  </w:divBdr>
                  <w:divsChild>
                    <w:div w:id="1241863543">
                      <w:marLeft w:val="0"/>
                      <w:marRight w:val="0"/>
                      <w:marTop w:val="0"/>
                      <w:marBottom w:val="0"/>
                      <w:divBdr>
                        <w:top w:val="none" w:sz="0" w:space="0" w:color="auto"/>
                        <w:left w:val="none" w:sz="0" w:space="0" w:color="auto"/>
                        <w:bottom w:val="none" w:sz="0" w:space="0" w:color="auto"/>
                        <w:right w:val="none" w:sz="0" w:space="0" w:color="auto"/>
                      </w:divBdr>
                    </w:div>
                  </w:divsChild>
                </w:div>
                <w:div w:id="1305547120">
                  <w:marLeft w:val="0"/>
                  <w:marRight w:val="0"/>
                  <w:marTop w:val="0"/>
                  <w:marBottom w:val="0"/>
                  <w:divBdr>
                    <w:top w:val="none" w:sz="0" w:space="0" w:color="auto"/>
                    <w:left w:val="none" w:sz="0" w:space="0" w:color="auto"/>
                    <w:bottom w:val="none" w:sz="0" w:space="0" w:color="auto"/>
                    <w:right w:val="none" w:sz="0" w:space="0" w:color="auto"/>
                  </w:divBdr>
                  <w:divsChild>
                    <w:div w:id="1945263806">
                      <w:marLeft w:val="0"/>
                      <w:marRight w:val="0"/>
                      <w:marTop w:val="0"/>
                      <w:marBottom w:val="0"/>
                      <w:divBdr>
                        <w:top w:val="none" w:sz="0" w:space="0" w:color="auto"/>
                        <w:left w:val="none" w:sz="0" w:space="0" w:color="auto"/>
                        <w:bottom w:val="none" w:sz="0" w:space="0" w:color="auto"/>
                        <w:right w:val="none" w:sz="0" w:space="0" w:color="auto"/>
                      </w:divBdr>
                    </w:div>
                  </w:divsChild>
                </w:div>
                <w:div w:id="1330907762">
                  <w:marLeft w:val="0"/>
                  <w:marRight w:val="0"/>
                  <w:marTop w:val="0"/>
                  <w:marBottom w:val="0"/>
                  <w:divBdr>
                    <w:top w:val="none" w:sz="0" w:space="0" w:color="auto"/>
                    <w:left w:val="none" w:sz="0" w:space="0" w:color="auto"/>
                    <w:bottom w:val="none" w:sz="0" w:space="0" w:color="auto"/>
                    <w:right w:val="none" w:sz="0" w:space="0" w:color="auto"/>
                  </w:divBdr>
                  <w:divsChild>
                    <w:div w:id="678502421">
                      <w:marLeft w:val="0"/>
                      <w:marRight w:val="0"/>
                      <w:marTop w:val="0"/>
                      <w:marBottom w:val="0"/>
                      <w:divBdr>
                        <w:top w:val="none" w:sz="0" w:space="0" w:color="auto"/>
                        <w:left w:val="none" w:sz="0" w:space="0" w:color="auto"/>
                        <w:bottom w:val="none" w:sz="0" w:space="0" w:color="auto"/>
                        <w:right w:val="none" w:sz="0" w:space="0" w:color="auto"/>
                      </w:divBdr>
                    </w:div>
                  </w:divsChild>
                </w:div>
                <w:div w:id="1349260222">
                  <w:marLeft w:val="0"/>
                  <w:marRight w:val="0"/>
                  <w:marTop w:val="0"/>
                  <w:marBottom w:val="0"/>
                  <w:divBdr>
                    <w:top w:val="none" w:sz="0" w:space="0" w:color="auto"/>
                    <w:left w:val="none" w:sz="0" w:space="0" w:color="auto"/>
                    <w:bottom w:val="none" w:sz="0" w:space="0" w:color="auto"/>
                    <w:right w:val="none" w:sz="0" w:space="0" w:color="auto"/>
                  </w:divBdr>
                  <w:divsChild>
                    <w:div w:id="2026398832">
                      <w:marLeft w:val="0"/>
                      <w:marRight w:val="0"/>
                      <w:marTop w:val="0"/>
                      <w:marBottom w:val="0"/>
                      <w:divBdr>
                        <w:top w:val="none" w:sz="0" w:space="0" w:color="auto"/>
                        <w:left w:val="none" w:sz="0" w:space="0" w:color="auto"/>
                        <w:bottom w:val="none" w:sz="0" w:space="0" w:color="auto"/>
                        <w:right w:val="none" w:sz="0" w:space="0" w:color="auto"/>
                      </w:divBdr>
                    </w:div>
                  </w:divsChild>
                </w:div>
                <w:div w:id="1399791674">
                  <w:marLeft w:val="0"/>
                  <w:marRight w:val="0"/>
                  <w:marTop w:val="0"/>
                  <w:marBottom w:val="0"/>
                  <w:divBdr>
                    <w:top w:val="none" w:sz="0" w:space="0" w:color="auto"/>
                    <w:left w:val="none" w:sz="0" w:space="0" w:color="auto"/>
                    <w:bottom w:val="none" w:sz="0" w:space="0" w:color="auto"/>
                    <w:right w:val="none" w:sz="0" w:space="0" w:color="auto"/>
                  </w:divBdr>
                  <w:divsChild>
                    <w:div w:id="2041273279">
                      <w:marLeft w:val="0"/>
                      <w:marRight w:val="0"/>
                      <w:marTop w:val="0"/>
                      <w:marBottom w:val="0"/>
                      <w:divBdr>
                        <w:top w:val="none" w:sz="0" w:space="0" w:color="auto"/>
                        <w:left w:val="none" w:sz="0" w:space="0" w:color="auto"/>
                        <w:bottom w:val="none" w:sz="0" w:space="0" w:color="auto"/>
                        <w:right w:val="none" w:sz="0" w:space="0" w:color="auto"/>
                      </w:divBdr>
                    </w:div>
                  </w:divsChild>
                </w:div>
                <w:div w:id="1500803224">
                  <w:marLeft w:val="0"/>
                  <w:marRight w:val="0"/>
                  <w:marTop w:val="0"/>
                  <w:marBottom w:val="0"/>
                  <w:divBdr>
                    <w:top w:val="none" w:sz="0" w:space="0" w:color="auto"/>
                    <w:left w:val="none" w:sz="0" w:space="0" w:color="auto"/>
                    <w:bottom w:val="none" w:sz="0" w:space="0" w:color="auto"/>
                    <w:right w:val="none" w:sz="0" w:space="0" w:color="auto"/>
                  </w:divBdr>
                  <w:divsChild>
                    <w:div w:id="1552501707">
                      <w:marLeft w:val="0"/>
                      <w:marRight w:val="0"/>
                      <w:marTop w:val="0"/>
                      <w:marBottom w:val="0"/>
                      <w:divBdr>
                        <w:top w:val="none" w:sz="0" w:space="0" w:color="auto"/>
                        <w:left w:val="none" w:sz="0" w:space="0" w:color="auto"/>
                        <w:bottom w:val="none" w:sz="0" w:space="0" w:color="auto"/>
                        <w:right w:val="none" w:sz="0" w:space="0" w:color="auto"/>
                      </w:divBdr>
                    </w:div>
                  </w:divsChild>
                </w:div>
                <w:div w:id="1555507296">
                  <w:marLeft w:val="0"/>
                  <w:marRight w:val="0"/>
                  <w:marTop w:val="0"/>
                  <w:marBottom w:val="0"/>
                  <w:divBdr>
                    <w:top w:val="none" w:sz="0" w:space="0" w:color="auto"/>
                    <w:left w:val="none" w:sz="0" w:space="0" w:color="auto"/>
                    <w:bottom w:val="none" w:sz="0" w:space="0" w:color="auto"/>
                    <w:right w:val="none" w:sz="0" w:space="0" w:color="auto"/>
                  </w:divBdr>
                  <w:divsChild>
                    <w:div w:id="869799830">
                      <w:marLeft w:val="0"/>
                      <w:marRight w:val="0"/>
                      <w:marTop w:val="0"/>
                      <w:marBottom w:val="0"/>
                      <w:divBdr>
                        <w:top w:val="none" w:sz="0" w:space="0" w:color="auto"/>
                        <w:left w:val="none" w:sz="0" w:space="0" w:color="auto"/>
                        <w:bottom w:val="none" w:sz="0" w:space="0" w:color="auto"/>
                        <w:right w:val="none" w:sz="0" w:space="0" w:color="auto"/>
                      </w:divBdr>
                    </w:div>
                  </w:divsChild>
                </w:div>
                <w:div w:id="1720857501">
                  <w:marLeft w:val="0"/>
                  <w:marRight w:val="0"/>
                  <w:marTop w:val="0"/>
                  <w:marBottom w:val="0"/>
                  <w:divBdr>
                    <w:top w:val="none" w:sz="0" w:space="0" w:color="auto"/>
                    <w:left w:val="none" w:sz="0" w:space="0" w:color="auto"/>
                    <w:bottom w:val="none" w:sz="0" w:space="0" w:color="auto"/>
                    <w:right w:val="none" w:sz="0" w:space="0" w:color="auto"/>
                  </w:divBdr>
                  <w:divsChild>
                    <w:div w:id="1190952918">
                      <w:marLeft w:val="0"/>
                      <w:marRight w:val="0"/>
                      <w:marTop w:val="0"/>
                      <w:marBottom w:val="0"/>
                      <w:divBdr>
                        <w:top w:val="none" w:sz="0" w:space="0" w:color="auto"/>
                        <w:left w:val="none" w:sz="0" w:space="0" w:color="auto"/>
                        <w:bottom w:val="none" w:sz="0" w:space="0" w:color="auto"/>
                        <w:right w:val="none" w:sz="0" w:space="0" w:color="auto"/>
                      </w:divBdr>
                    </w:div>
                  </w:divsChild>
                </w:div>
                <w:div w:id="1756319429">
                  <w:marLeft w:val="0"/>
                  <w:marRight w:val="0"/>
                  <w:marTop w:val="0"/>
                  <w:marBottom w:val="0"/>
                  <w:divBdr>
                    <w:top w:val="none" w:sz="0" w:space="0" w:color="auto"/>
                    <w:left w:val="none" w:sz="0" w:space="0" w:color="auto"/>
                    <w:bottom w:val="none" w:sz="0" w:space="0" w:color="auto"/>
                    <w:right w:val="none" w:sz="0" w:space="0" w:color="auto"/>
                  </w:divBdr>
                  <w:divsChild>
                    <w:div w:id="1409115169">
                      <w:marLeft w:val="0"/>
                      <w:marRight w:val="0"/>
                      <w:marTop w:val="0"/>
                      <w:marBottom w:val="0"/>
                      <w:divBdr>
                        <w:top w:val="none" w:sz="0" w:space="0" w:color="auto"/>
                        <w:left w:val="none" w:sz="0" w:space="0" w:color="auto"/>
                        <w:bottom w:val="none" w:sz="0" w:space="0" w:color="auto"/>
                        <w:right w:val="none" w:sz="0" w:space="0" w:color="auto"/>
                      </w:divBdr>
                    </w:div>
                  </w:divsChild>
                </w:div>
                <w:div w:id="1831557012">
                  <w:marLeft w:val="0"/>
                  <w:marRight w:val="0"/>
                  <w:marTop w:val="0"/>
                  <w:marBottom w:val="0"/>
                  <w:divBdr>
                    <w:top w:val="none" w:sz="0" w:space="0" w:color="auto"/>
                    <w:left w:val="none" w:sz="0" w:space="0" w:color="auto"/>
                    <w:bottom w:val="none" w:sz="0" w:space="0" w:color="auto"/>
                    <w:right w:val="none" w:sz="0" w:space="0" w:color="auto"/>
                  </w:divBdr>
                  <w:divsChild>
                    <w:div w:id="1852791524">
                      <w:marLeft w:val="0"/>
                      <w:marRight w:val="0"/>
                      <w:marTop w:val="0"/>
                      <w:marBottom w:val="0"/>
                      <w:divBdr>
                        <w:top w:val="none" w:sz="0" w:space="0" w:color="auto"/>
                        <w:left w:val="none" w:sz="0" w:space="0" w:color="auto"/>
                        <w:bottom w:val="none" w:sz="0" w:space="0" w:color="auto"/>
                        <w:right w:val="none" w:sz="0" w:space="0" w:color="auto"/>
                      </w:divBdr>
                    </w:div>
                  </w:divsChild>
                </w:div>
                <w:div w:id="1937519995">
                  <w:marLeft w:val="0"/>
                  <w:marRight w:val="0"/>
                  <w:marTop w:val="0"/>
                  <w:marBottom w:val="0"/>
                  <w:divBdr>
                    <w:top w:val="none" w:sz="0" w:space="0" w:color="auto"/>
                    <w:left w:val="none" w:sz="0" w:space="0" w:color="auto"/>
                    <w:bottom w:val="none" w:sz="0" w:space="0" w:color="auto"/>
                    <w:right w:val="none" w:sz="0" w:space="0" w:color="auto"/>
                  </w:divBdr>
                  <w:divsChild>
                    <w:div w:id="1495341247">
                      <w:marLeft w:val="0"/>
                      <w:marRight w:val="0"/>
                      <w:marTop w:val="0"/>
                      <w:marBottom w:val="0"/>
                      <w:divBdr>
                        <w:top w:val="none" w:sz="0" w:space="0" w:color="auto"/>
                        <w:left w:val="none" w:sz="0" w:space="0" w:color="auto"/>
                        <w:bottom w:val="none" w:sz="0" w:space="0" w:color="auto"/>
                        <w:right w:val="none" w:sz="0" w:space="0" w:color="auto"/>
                      </w:divBdr>
                    </w:div>
                  </w:divsChild>
                </w:div>
                <w:div w:id="1972049118">
                  <w:marLeft w:val="0"/>
                  <w:marRight w:val="0"/>
                  <w:marTop w:val="0"/>
                  <w:marBottom w:val="0"/>
                  <w:divBdr>
                    <w:top w:val="none" w:sz="0" w:space="0" w:color="auto"/>
                    <w:left w:val="none" w:sz="0" w:space="0" w:color="auto"/>
                    <w:bottom w:val="none" w:sz="0" w:space="0" w:color="auto"/>
                    <w:right w:val="none" w:sz="0" w:space="0" w:color="auto"/>
                  </w:divBdr>
                  <w:divsChild>
                    <w:div w:id="105274110">
                      <w:marLeft w:val="0"/>
                      <w:marRight w:val="0"/>
                      <w:marTop w:val="0"/>
                      <w:marBottom w:val="0"/>
                      <w:divBdr>
                        <w:top w:val="none" w:sz="0" w:space="0" w:color="auto"/>
                        <w:left w:val="none" w:sz="0" w:space="0" w:color="auto"/>
                        <w:bottom w:val="none" w:sz="0" w:space="0" w:color="auto"/>
                        <w:right w:val="none" w:sz="0" w:space="0" w:color="auto"/>
                      </w:divBdr>
                    </w:div>
                  </w:divsChild>
                </w:div>
                <w:div w:id="2048065577">
                  <w:marLeft w:val="0"/>
                  <w:marRight w:val="0"/>
                  <w:marTop w:val="0"/>
                  <w:marBottom w:val="0"/>
                  <w:divBdr>
                    <w:top w:val="none" w:sz="0" w:space="0" w:color="auto"/>
                    <w:left w:val="none" w:sz="0" w:space="0" w:color="auto"/>
                    <w:bottom w:val="none" w:sz="0" w:space="0" w:color="auto"/>
                    <w:right w:val="none" w:sz="0" w:space="0" w:color="auto"/>
                  </w:divBdr>
                  <w:divsChild>
                    <w:div w:id="674112231">
                      <w:marLeft w:val="0"/>
                      <w:marRight w:val="0"/>
                      <w:marTop w:val="0"/>
                      <w:marBottom w:val="0"/>
                      <w:divBdr>
                        <w:top w:val="none" w:sz="0" w:space="0" w:color="auto"/>
                        <w:left w:val="none" w:sz="0" w:space="0" w:color="auto"/>
                        <w:bottom w:val="none" w:sz="0" w:space="0" w:color="auto"/>
                        <w:right w:val="none" w:sz="0" w:space="0" w:color="auto"/>
                      </w:divBdr>
                    </w:div>
                  </w:divsChild>
                </w:div>
                <w:div w:id="2119451034">
                  <w:marLeft w:val="0"/>
                  <w:marRight w:val="0"/>
                  <w:marTop w:val="0"/>
                  <w:marBottom w:val="0"/>
                  <w:divBdr>
                    <w:top w:val="none" w:sz="0" w:space="0" w:color="auto"/>
                    <w:left w:val="none" w:sz="0" w:space="0" w:color="auto"/>
                    <w:bottom w:val="none" w:sz="0" w:space="0" w:color="auto"/>
                    <w:right w:val="none" w:sz="0" w:space="0" w:color="auto"/>
                  </w:divBdr>
                  <w:divsChild>
                    <w:div w:id="114315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7707">
          <w:marLeft w:val="0"/>
          <w:marRight w:val="0"/>
          <w:marTop w:val="0"/>
          <w:marBottom w:val="0"/>
          <w:divBdr>
            <w:top w:val="none" w:sz="0" w:space="0" w:color="auto"/>
            <w:left w:val="none" w:sz="0" w:space="0" w:color="auto"/>
            <w:bottom w:val="none" w:sz="0" w:space="0" w:color="auto"/>
            <w:right w:val="none" w:sz="0" w:space="0" w:color="auto"/>
          </w:divBdr>
        </w:div>
        <w:div w:id="1509949486">
          <w:marLeft w:val="0"/>
          <w:marRight w:val="0"/>
          <w:marTop w:val="0"/>
          <w:marBottom w:val="0"/>
          <w:divBdr>
            <w:top w:val="none" w:sz="0" w:space="0" w:color="auto"/>
            <w:left w:val="none" w:sz="0" w:space="0" w:color="auto"/>
            <w:bottom w:val="none" w:sz="0" w:space="0" w:color="auto"/>
            <w:right w:val="none" w:sz="0" w:space="0" w:color="auto"/>
          </w:divBdr>
        </w:div>
        <w:div w:id="1540437508">
          <w:marLeft w:val="0"/>
          <w:marRight w:val="0"/>
          <w:marTop w:val="0"/>
          <w:marBottom w:val="0"/>
          <w:divBdr>
            <w:top w:val="none" w:sz="0" w:space="0" w:color="auto"/>
            <w:left w:val="none" w:sz="0" w:space="0" w:color="auto"/>
            <w:bottom w:val="none" w:sz="0" w:space="0" w:color="auto"/>
            <w:right w:val="none" w:sz="0" w:space="0" w:color="auto"/>
          </w:divBdr>
        </w:div>
        <w:div w:id="1597981827">
          <w:marLeft w:val="0"/>
          <w:marRight w:val="0"/>
          <w:marTop w:val="0"/>
          <w:marBottom w:val="0"/>
          <w:divBdr>
            <w:top w:val="none" w:sz="0" w:space="0" w:color="auto"/>
            <w:left w:val="none" w:sz="0" w:space="0" w:color="auto"/>
            <w:bottom w:val="none" w:sz="0" w:space="0" w:color="auto"/>
            <w:right w:val="none" w:sz="0" w:space="0" w:color="auto"/>
          </w:divBdr>
        </w:div>
        <w:div w:id="1681545331">
          <w:marLeft w:val="0"/>
          <w:marRight w:val="0"/>
          <w:marTop w:val="0"/>
          <w:marBottom w:val="0"/>
          <w:divBdr>
            <w:top w:val="none" w:sz="0" w:space="0" w:color="auto"/>
            <w:left w:val="none" w:sz="0" w:space="0" w:color="auto"/>
            <w:bottom w:val="none" w:sz="0" w:space="0" w:color="auto"/>
            <w:right w:val="none" w:sz="0" w:space="0" w:color="auto"/>
          </w:divBdr>
        </w:div>
        <w:div w:id="1769496416">
          <w:marLeft w:val="0"/>
          <w:marRight w:val="0"/>
          <w:marTop w:val="0"/>
          <w:marBottom w:val="0"/>
          <w:divBdr>
            <w:top w:val="none" w:sz="0" w:space="0" w:color="auto"/>
            <w:left w:val="none" w:sz="0" w:space="0" w:color="auto"/>
            <w:bottom w:val="none" w:sz="0" w:space="0" w:color="auto"/>
            <w:right w:val="none" w:sz="0" w:space="0" w:color="auto"/>
          </w:divBdr>
        </w:div>
        <w:div w:id="1772820332">
          <w:marLeft w:val="0"/>
          <w:marRight w:val="0"/>
          <w:marTop w:val="0"/>
          <w:marBottom w:val="0"/>
          <w:divBdr>
            <w:top w:val="none" w:sz="0" w:space="0" w:color="auto"/>
            <w:left w:val="none" w:sz="0" w:space="0" w:color="auto"/>
            <w:bottom w:val="none" w:sz="0" w:space="0" w:color="auto"/>
            <w:right w:val="none" w:sz="0" w:space="0" w:color="auto"/>
          </w:divBdr>
        </w:div>
        <w:div w:id="1894122327">
          <w:marLeft w:val="0"/>
          <w:marRight w:val="0"/>
          <w:marTop w:val="0"/>
          <w:marBottom w:val="0"/>
          <w:divBdr>
            <w:top w:val="none" w:sz="0" w:space="0" w:color="auto"/>
            <w:left w:val="none" w:sz="0" w:space="0" w:color="auto"/>
            <w:bottom w:val="none" w:sz="0" w:space="0" w:color="auto"/>
            <w:right w:val="none" w:sz="0" w:space="0" w:color="auto"/>
          </w:divBdr>
        </w:div>
        <w:div w:id="1903522308">
          <w:marLeft w:val="0"/>
          <w:marRight w:val="0"/>
          <w:marTop w:val="0"/>
          <w:marBottom w:val="0"/>
          <w:divBdr>
            <w:top w:val="none" w:sz="0" w:space="0" w:color="auto"/>
            <w:left w:val="none" w:sz="0" w:space="0" w:color="auto"/>
            <w:bottom w:val="none" w:sz="0" w:space="0" w:color="auto"/>
            <w:right w:val="none" w:sz="0" w:space="0" w:color="auto"/>
          </w:divBdr>
        </w:div>
        <w:div w:id="1921594661">
          <w:marLeft w:val="0"/>
          <w:marRight w:val="0"/>
          <w:marTop w:val="0"/>
          <w:marBottom w:val="0"/>
          <w:divBdr>
            <w:top w:val="none" w:sz="0" w:space="0" w:color="auto"/>
            <w:left w:val="none" w:sz="0" w:space="0" w:color="auto"/>
            <w:bottom w:val="none" w:sz="0" w:space="0" w:color="auto"/>
            <w:right w:val="none" w:sz="0" w:space="0" w:color="auto"/>
          </w:divBdr>
        </w:div>
        <w:div w:id="1956135408">
          <w:marLeft w:val="0"/>
          <w:marRight w:val="0"/>
          <w:marTop w:val="0"/>
          <w:marBottom w:val="0"/>
          <w:divBdr>
            <w:top w:val="none" w:sz="0" w:space="0" w:color="auto"/>
            <w:left w:val="none" w:sz="0" w:space="0" w:color="auto"/>
            <w:bottom w:val="none" w:sz="0" w:space="0" w:color="auto"/>
            <w:right w:val="none" w:sz="0" w:space="0" w:color="auto"/>
          </w:divBdr>
        </w:div>
        <w:div w:id="1960798974">
          <w:marLeft w:val="0"/>
          <w:marRight w:val="0"/>
          <w:marTop w:val="0"/>
          <w:marBottom w:val="0"/>
          <w:divBdr>
            <w:top w:val="none" w:sz="0" w:space="0" w:color="auto"/>
            <w:left w:val="none" w:sz="0" w:space="0" w:color="auto"/>
            <w:bottom w:val="none" w:sz="0" w:space="0" w:color="auto"/>
            <w:right w:val="none" w:sz="0" w:space="0" w:color="auto"/>
          </w:divBdr>
          <w:divsChild>
            <w:div w:id="365521964">
              <w:marLeft w:val="-75"/>
              <w:marRight w:val="0"/>
              <w:marTop w:val="30"/>
              <w:marBottom w:val="30"/>
              <w:divBdr>
                <w:top w:val="none" w:sz="0" w:space="0" w:color="auto"/>
                <w:left w:val="none" w:sz="0" w:space="0" w:color="auto"/>
                <w:bottom w:val="none" w:sz="0" w:space="0" w:color="auto"/>
                <w:right w:val="none" w:sz="0" w:space="0" w:color="auto"/>
              </w:divBdr>
              <w:divsChild>
                <w:div w:id="1906545">
                  <w:marLeft w:val="0"/>
                  <w:marRight w:val="0"/>
                  <w:marTop w:val="0"/>
                  <w:marBottom w:val="0"/>
                  <w:divBdr>
                    <w:top w:val="none" w:sz="0" w:space="0" w:color="auto"/>
                    <w:left w:val="none" w:sz="0" w:space="0" w:color="auto"/>
                    <w:bottom w:val="none" w:sz="0" w:space="0" w:color="auto"/>
                    <w:right w:val="none" w:sz="0" w:space="0" w:color="auto"/>
                  </w:divBdr>
                  <w:divsChild>
                    <w:div w:id="2134978290">
                      <w:marLeft w:val="0"/>
                      <w:marRight w:val="0"/>
                      <w:marTop w:val="0"/>
                      <w:marBottom w:val="0"/>
                      <w:divBdr>
                        <w:top w:val="none" w:sz="0" w:space="0" w:color="auto"/>
                        <w:left w:val="none" w:sz="0" w:space="0" w:color="auto"/>
                        <w:bottom w:val="none" w:sz="0" w:space="0" w:color="auto"/>
                        <w:right w:val="none" w:sz="0" w:space="0" w:color="auto"/>
                      </w:divBdr>
                    </w:div>
                  </w:divsChild>
                </w:div>
                <w:div w:id="22481467">
                  <w:marLeft w:val="0"/>
                  <w:marRight w:val="0"/>
                  <w:marTop w:val="0"/>
                  <w:marBottom w:val="0"/>
                  <w:divBdr>
                    <w:top w:val="none" w:sz="0" w:space="0" w:color="auto"/>
                    <w:left w:val="none" w:sz="0" w:space="0" w:color="auto"/>
                    <w:bottom w:val="none" w:sz="0" w:space="0" w:color="auto"/>
                    <w:right w:val="none" w:sz="0" w:space="0" w:color="auto"/>
                  </w:divBdr>
                  <w:divsChild>
                    <w:div w:id="1052969081">
                      <w:marLeft w:val="0"/>
                      <w:marRight w:val="0"/>
                      <w:marTop w:val="0"/>
                      <w:marBottom w:val="0"/>
                      <w:divBdr>
                        <w:top w:val="none" w:sz="0" w:space="0" w:color="auto"/>
                        <w:left w:val="none" w:sz="0" w:space="0" w:color="auto"/>
                        <w:bottom w:val="none" w:sz="0" w:space="0" w:color="auto"/>
                        <w:right w:val="none" w:sz="0" w:space="0" w:color="auto"/>
                      </w:divBdr>
                    </w:div>
                  </w:divsChild>
                </w:div>
                <w:div w:id="74713804">
                  <w:marLeft w:val="0"/>
                  <w:marRight w:val="0"/>
                  <w:marTop w:val="0"/>
                  <w:marBottom w:val="0"/>
                  <w:divBdr>
                    <w:top w:val="none" w:sz="0" w:space="0" w:color="auto"/>
                    <w:left w:val="none" w:sz="0" w:space="0" w:color="auto"/>
                    <w:bottom w:val="none" w:sz="0" w:space="0" w:color="auto"/>
                    <w:right w:val="none" w:sz="0" w:space="0" w:color="auto"/>
                  </w:divBdr>
                  <w:divsChild>
                    <w:div w:id="1260718010">
                      <w:marLeft w:val="0"/>
                      <w:marRight w:val="0"/>
                      <w:marTop w:val="0"/>
                      <w:marBottom w:val="0"/>
                      <w:divBdr>
                        <w:top w:val="none" w:sz="0" w:space="0" w:color="auto"/>
                        <w:left w:val="none" w:sz="0" w:space="0" w:color="auto"/>
                        <w:bottom w:val="none" w:sz="0" w:space="0" w:color="auto"/>
                        <w:right w:val="none" w:sz="0" w:space="0" w:color="auto"/>
                      </w:divBdr>
                    </w:div>
                  </w:divsChild>
                </w:div>
                <w:div w:id="75833652">
                  <w:marLeft w:val="0"/>
                  <w:marRight w:val="0"/>
                  <w:marTop w:val="0"/>
                  <w:marBottom w:val="0"/>
                  <w:divBdr>
                    <w:top w:val="none" w:sz="0" w:space="0" w:color="auto"/>
                    <w:left w:val="none" w:sz="0" w:space="0" w:color="auto"/>
                    <w:bottom w:val="none" w:sz="0" w:space="0" w:color="auto"/>
                    <w:right w:val="none" w:sz="0" w:space="0" w:color="auto"/>
                  </w:divBdr>
                  <w:divsChild>
                    <w:div w:id="1151098947">
                      <w:marLeft w:val="0"/>
                      <w:marRight w:val="0"/>
                      <w:marTop w:val="0"/>
                      <w:marBottom w:val="0"/>
                      <w:divBdr>
                        <w:top w:val="none" w:sz="0" w:space="0" w:color="auto"/>
                        <w:left w:val="none" w:sz="0" w:space="0" w:color="auto"/>
                        <w:bottom w:val="none" w:sz="0" w:space="0" w:color="auto"/>
                        <w:right w:val="none" w:sz="0" w:space="0" w:color="auto"/>
                      </w:divBdr>
                    </w:div>
                  </w:divsChild>
                </w:div>
                <w:div w:id="155614593">
                  <w:marLeft w:val="0"/>
                  <w:marRight w:val="0"/>
                  <w:marTop w:val="0"/>
                  <w:marBottom w:val="0"/>
                  <w:divBdr>
                    <w:top w:val="none" w:sz="0" w:space="0" w:color="auto"/>
                    <w:left w:val="none" w:sz="0" w:space="0" w:color="auto"/>
                    <w:bottom w:val="none" w:sz="0" w:space="0" w:color="auto"/>
                    <w:right w:val="none" w:sz="0" w:space="0" w:color="auto"/>
                  </w:divBdr>
                  <w:divsChild>
                    <w:div w:id="1731928590">
                      <w:marLeft w:val="0"/>
                      <w:marRight w:val="0"/>
                      <w:marTop w:val="0"/>
                      <w:marBottom w:val="0"/>
                      <w:divBdr>
                        <w:top w:val="none" w:sz="0" w:space="0" w:color="auto"/>
                        <w:left w:val="none" w:sz="0" w:space="0" w:color="auto"/>
                        <w:bottom w:val="none" w:sz="0" w:space="0" w:color="auto"/>
                        <w:right w:val="none" w:sz="0" w:space="0" w:color="auto"/>
                      </w:divBdr>
                    </w:div>
                  </w:divsChild>
                </w:div>
                <w:div w:id="196048483">
                  <w:marLeft w:val="0"/>
                  <w:marRight w:val="0"/>
                  <w:marTop w:val="0"/>
                  <w:marBottom w:val="0"/>
                  <w:divBdr>
                    <w:top w:val="none" w:sz="0" w:space="0" w:color="auto"/>
                    <w:left w:val="none" w:sz="0" w:space="0" w:color="auto"/>
                    <w:bottom w:val="none" w:sz="0" w:space="0" w:color="auto"/>
                    <w:right w:val="none" w:sz="0" w:space="0" w:color="auto"/>
                  </w:divBdr>
                  <w:divsChild>
                    <w:div w:id="112868550">
                      <w:marLeft w:val="0"/>
                      <w:marRight w:val="0"/>
                      <w:marTop w:val="0"/>
                      <w:marBottom w:val="0"/>
                      <w:divBdr>
                        <w:top w:val="none" w:sz="0" w:space="0" w:color="auto"/>
                        <w:left w:val="none" w:sz="0" w:space="0" w:color="auto"/>
                        <w:bottom w:val="none" w:sz="0" w:space="0" w:color="auto"/>
                        <w:right w:val="none" w:sz="0" w:space="0" w:color="auto"/>
                      </w:divBdr>
                    </w:div>
                  </w:divsChild>
                </w:div>
                <w:div w:id="207835770">
                  <w:marLeft w:val="0"/>
                  <w:marRight w:val="0"/>
                  <w:marTop w:val="0"/>
                  <w:marBottom w:val="0"/>
                  <w:divBdr>
                    <w:top w:val="none" w:sz="0" w:space="0" w:color="auto"/>
                    <w:left w:val="none" w:sz="0" w:space="0" w:color="auto"/>
                    <w:bottom w:val="none" w:sz="0" w:space="0" w:color="auto"/>
                    <w:right w:val="none" w:sz="0" w:space="0" w:color="auto"/>
                  </w:divBdr>
                  <w:divsChild>
                    <w:div w:id="1817794526">
                      <w:marLeft w:val="0"/>
                      <w:marRight w:val="0"/>
                      <w:marTop w:val="0"/>
                      <w:marBottom w:val="0"/>
                      <w:divBdr>
                        <w:top w:val="none" w:sz="0" w:space="0" w:color="auto"/>
                        <w:left w:val="none" w:sz="0" w:space="0" w:color="auto"/>
                        <w:bottom w:val="none" w:sz="0" w:space="0" w:color="auto"/>
                        <w:right w:val="none" w:sz="0" w:space="0" w:color="auto"/>
                      </w:divBdr>
                    </w:div>
                  </w:divsChild>
                </w:div>
                <w:div w:id="231159766">
                  <w:marLeft w:val="0"/>
                  <w:marRight w:val="0"/>
                  <w:marTop w:val="0"/>
                  <w:marBottom w:val="0"/>
                  <w:divBdr>
                    <w:top w:val="none" w:sz="0" w:space="0" w:color="auto"/>
                    <w:left w:val="none" w:sz="0" w:space="0" w:color="auto"/>
                    <w:bottom w:val="none" w:sz="0" w:space="0" w:color="auto"/>
                    <w:right w:val="none" w:sz="0" w:space="0" w:color="auto"/>
                  </w:divBdr>
                  <w:divsChild>
                    <w:div w:id="1337536759">
                      <w:marLeft w:val="0"/>
                      <w:marRight w:val="0"/>
                      <w:marTop w:val="0"/>
                      <w:marBottom w:val="0"/>
                      <w:divBdr>
                        <w:top w:val="none" w:sz="0" w:space="0" w:color="auto"/>
                        <w:left w:val="none" w:sz="0" w:space="0" w:color="auto"/>
                        <w:bottom w:val="none" w:sz="0" w:space="0" w:color="auto"/>
                        <w:right w:val="none" w:sz="0" w:space="0" w:color="auto"/>
                      </w:divBdr>
                    </w:div>
                  </w:divsChild>
                </w:div>
                <w:div w:id="274018842">
                  <w:marLeft w:val="0"/>
                  <w:marRight w:val="0"/>
                  <w:marTop w:val="0"/>
                  <w:marBottom w:val="0"/>
                  <w:divBdr>
                    <w:top w:val="none" w:sz="0" w:space="0" w:color="auto"/>
                    <w:left w:val="none" w:sz="0" w:space="0" w:color="auto"/>
                    <w:bottom w:val="none" w:sz="0" w:space="0" w:color="auto"/>
                    <w:right w:val="none" w:sz="0" w:space="0" w:color="auto"/>
                  </w:divBdr>
                  <w:divsChild>
                    <w:div w:id="1082794590">
                      <w:marLeft w:val="0"/>
                      <w:marRight w:val="0"/>
                      <w:marTop w:val="0"/>
                      <w:marBottom w:val="0"/>
                      <w:divBdr>
                        <w:top w:val="none" w:sz="0" w:space="0" w:color="auto"/>
                        <w:left w:val="none" w:sz="0" w:space="0" w:color="auto"/>
                        <w:bottom w:val="none" w:sz="0" w:space="0" w:color="auto"/>
                        <w:right w:val="none" w:sz="0" w:space="0" w:color="auto"/>
                      </w:divBdr>
                    </w:div>
                  </w:divsChild>
                </w:div>
                <w:div w:id="342443465">
                  <w:marLeft w:val="0"/>
                  <w:marRight w:val="0"/>
                  <w:marTop w:val="0"/>
                  <w:marBottom w:val="0"/>
                  <w:divBdr>
                    <w:top w:val="none" w:sz="0" w:space="0" w:color="auto"/>
                    <w:left w:val="none" w:sz="0" w:space="0" w:color="auto"/>
                    <w:bottom w:val="none" w:sz="0" w:space="0" w:color="auto"/>
                    <w:right w:val="none" w:sz="0" w:space="0" w:color="auto"/>
                  </w:divBdr>
                  <w:divsChild>
                    <w:div w:id="1752659710">
                      <w:marLeft w:val="0"/>
                      <w:marRight w:val="0"/>
                      <w:marTop w:val="0"/>
                      <w:marBottom w:val="0"/>
                      <w:divBdr>
                        <w:top w:val="none" w:sz="0" w:space="0" w:color="auto"/>
                        <w:left w:val="none" w:sz="0" w:space="0" w:color="auto"/>
                        <w:bottom w:val="none" w:sz="0" w:space="0" w:color="auto"/>
                        <w:right w:val="none" w:sz="0" w:space="0" w:color="auto"/>
                      </w:divBdr>
                    </w:div>
                  </w:divsChild>
                </w:div>
                <w:div w:id="357632005">
                  <w:marLeft w:val="0"/>
                  <w:marRight w:val="0"/>
                  <w:marTop w:val="0"/>
                  <w:marBottom w:val="0"/>
                  <w:divBdr>
                    <w:top w:val="none" w:sz="0" w:space="0" w:color="auto"/>
                    <w:left w:val="none" w:sz="0" w:space="0" w:color="auto"/>
                    <w:bottom w:val="none" w:sz="0" w:space="0" w:color="auto"/>
                    <w:right w:val="none" w:sz="0" w:space="0" w:color="auto"/>
                  </w:divBdr>
                  <w:divsChild>
                    <w:div w:id="624431045">
                      <w:marLeft w:val="0"/>
                      <w:marRight w:val="0"/>
                      <w:marTop w:val="0"/>
                      <w:marBottom w:val="0"/>
                      <w:divBdr>
                        <w:top w:val="none" w:sz="0" w:space="0" w:color="auto"/>
                        <w:left w:val="none" w:sz="0" w:space="0" w:color="auto"/>
                        <w:bottom w:val="none" w:sz="0" w:space="0" w:color="auto"/>
                        <w:right w:val="none" w:sz="0" w:space="0" w:color="auto"/>
                      </w:divBdr>
                    </w:div>
                  </w:divsChild>
                </w:div>
                <w:div w:id="397746655">
                  <w:marLeft w:val="0"/>
                  <w:marRight w:val="0"/>
                  <w:marTop w:val="0"/>
                  <w:marBottom w:val="0"/>
                  <w:divBdr>
                    <w:top w:val="none" w:sz="0" w:space="0" w:color="auto"/>
                    <w:left w:val="none" w:sz="0" w:space="0" w:color="auto"/>
                    <w:bottom w:val="none" w:sz="0" w:space="0" w:color="auto"/>
                    <w:right w:val="none" w:sz="0" w:space="0" w:color="auto"/>
                  </w:divBdr>
                  <w:divsChild>
                    <w:div w:id="304969020">
                      <w:marLeft w:val="0"/>
                      <w:marRight w:val="0"/>
                      <w:marTop w:val="0"/>
                      <w:marBottom w:val="0"/>
                      <w:divBdr>
                        <w:top w:val="none" w:sz="0" w:space="0" w:color="auto"/>
                        <w:left w:val="none" w:sz="0" w:space="0" w:color="auto"/>
                        <w:bottom w:val="none" w:sz="0" w:space="0" w:color="auto"/>
                        <w:right w:val="none" w:sz="0" w:space="0" w:color="auto"/>
                      </w:divBdr>
                    </w:div>
                  </w:divsChild>
                </w:div>
                <w:div w:id="414206395">
                  <w:marLeft w:val="0"/>
                  <w:marRight w:val="0"/>
                  <w:marTop w:val="0"/>
                  <w:marBottom w:val="0"/>
                  <w:divBdr>
                    <w:top w:val="none" w:sz="0" w:space="0" w:color="auto"/>
                    <w:left w:val="none" w:sz="0" w:space="0" w:color="auto"/>
                    <w:bottom w:val="none" w:sz="0" w:space="0" w:color="auto"/>
                    <w:right w:val="none" w:sz="0" w:space="0" w:color="auto"/>
                  </w:divBdr>
                  <w:divsChild>
                    <w:div w:id="639186551">
                      <w:marLeft w:val="0"/>
                      <w:marRight w:val="0"/>
                      <w:marTop w:val="0"/>
                      <w:marBottom w:val="0"/>
                      <w:divBdr>
                        <w:top w:val="none" w:sz="0" w:space="0" w:color="auto"/>
                        <w:left w:val="none" w:sz="0" w:space="0" w:color="auto"/>
                        <w:bottom w:val="none" w:sz="0" w:space="0" w:color="auto"/>
                        <w:right w:val="none" w:sz="0" w:space="0" w:color="auto"/>
                      </w:divBdr>
                    </w:div>
                  </w:divsChild>
                </w:div>
                <w:div w:id="424805040">
                  <w:marLeft w:val="0"/>
                  <w:marRight w:val="0"/>
                  <w:marTop w:val="0"/>
                  <w:marBottom w:val="0"/>
                  <w:divBdr>
                    <w:top w:val="none" w:sz="0" w:space="0" w:color="auto"/>
                    <w:left w:val="none" w:sz="0" w:space="0" w:color="auto"/>
                    <w:bottom w:val="none" w:sz="0" w:space="0" w:color="auto"/>
                    <w:right w:val="none" w:sz="0" w:space="0" w:color="auto"/>
                  </w:divBdr>
                  <w:divsChild>
                    <w:div w:id="866917215">
                      <w:marLeft w:val="0"/>
                      <w:marRight w:val="0"/>
                      <w:marTop w:val="0"/>
                      <w:marBottom w:val="0"/>
                      <w:divBdr>
                        <w:top w:val="none" w:sz="0" w:space="0" w:color="auto"/>
                        <w:left w:val="none" w:sz="0" w:space="0" w:color="auto"/>
                        <w:bottom w:val="none" w:sz="0" w:space="0" w:color="auto"/>
                        <w:right w:val="none" w:sz="0" w:space="0" w:color="auto"/>
                      </w:divBdr>
                    </w:div>
                  </w:divsChild>
                </w:div>
                <w:div w:id="457262402">
                  <w:marLeft w:val="0"/>
                  <w:marRight w:val="0"/>
                  <w:marTop w:val="0"/>
                  <w:marBottom w:val="0"/>
                  <w:divBdr>
                    <w:top w:val="none" w:sz="0" w:space="0" w:color="auto"/>
                    <w:left w:val="none" w:sz="0" w:space="0" w:color="auto"/>
                    <w:bottom w:val="none" w:sz="0" w:space="0" w:color="auto"/>
                    <w:right w:val="none" w:sz="0" w:space="0" w:color="auto"/>
                  </w:divBdr>
                  <w:divsChild>
                    <w:div w:id="313684193">
                      <w:marLeft w:val="0"/>
                      <w:marRight w:val="0"/>
                      <w:marTop w:val="0"/>
                      <w:marBottom w:val="0"/>
                      <w:divBdr>
                        <w:top w:val="none" w:sz="0" w:space="0" w:color="auto"/>
                        <w:left w:val="none" w:sz="0" w:space="0" w:color="auto"/>
                        <w:bottom w:val="none" w:sz="0" w:space="0" w:color="auto"/>
                        <w:right w:val="none" w:sz="0" w:space="0" w:color="auto"/>
                      </w:divBdr>
                    </w:div>
                  </w:divsChild>
                </w:div>
                <w:div w:id="590553847">
                  <w:marLeft w:val="0"/>
                  <w:marRight w:val="0"/>
                  <w:marTop w:val="0"/>
                  <w:marBottom w:val="0"/>
                  <w:divBdr>
                    <w:top w:val="none" w:sz="0" w:space="0" w:color="auto"/>
                    <w:left w:val="none" w:sz="0" w:space="0" w:color="auto"/>
                    <w:bottom w:val="none" w:sz="0" w:space="0" w:color="auto"/>
                    <w:right w:val="none" w:sz="0" w:space="0" w:color="auto"/>
                  </w:divBdr>
                  <w:divsChild>
                    <w:div w:id="610892950">
                      <w:marLeft w:val="0"/>
                      <w:marRight w:val="0"/>
                      <w:marTop w:val="0"/>
                      <w:marBottom w:val="0"/>
                      <w:divBdr>
                        <w:top w:val="none" w:sz="0" w:space="0" w:color="auto"/>
                        <w:left w:val="none" w:sz="0" w:space="0" w:color="auto"/>
                        <w:bottom w:val="none" w:sz="0" w:space="0" w:color="auto"/>
                        <w:right w:val="none" w:sz="0" w:space="0" w:color="auto"/>
                      </w:divBdr>
                    </w:div>
                  </w:divsChild>
                </w:div>
                <w:div w:id="640581402">
                  <w:marLeft w:val="0"/>
                  <w:marRight w:val="0"/>
                  <w:marTop w:val="0"/>
                  <w:marBottom w:val="0"/>
                  <w:divBdr>
                    <w:top w:val="none" w:sz="0" w:space="0" w:color="auto"/>
                    <w:left w:val="none" w:sz="0" w:space="0" w:color="auto"/>
                    <w:bottom w:val="none" w:sz="0" w:space="0" w:color="auto"/>
                    <w:right w:val="none" w:sz="0" w:space="0" w:color="auto"/>
                  </w:divBdr>
                  <w:divsChild>
                    <w:div w:id="578557914">
                      <w:marLeft w:val="0"/>
                      <w:marRight w:val="0"/>
                      <w:marTop w:val="0"/>
                      <w:marBottom w:val="0"/>
                      <w:divBdr>
                        <w:top w:val="none" w:sz="0" w:space="0" w:color="auto"/>
                        <w:left w:val="none" w:sz="0" w:space="0" w:color="auto"/>
                        <w:bottom w:val="none" w:sz="0" w:space="0" w:color="auto"/>
                        <w:right w:val="none" w:sz="0" w:space="0" w:color="auto"/>
                      </w:divBdr>
                    </w:div>
                  </w:divsChild>
                </w:div>
                <w:div w:id="653290785">
                  <w:marLeft w:val="0"/>
                  <w:marRight w:val="0"/>
                  <w:marTop w:val="0"/>
                  <w:marBottom w:val="0"/>
                  <w:divBdr>
                    <w:top w:val="none" w:sz="0" w:space="0" w:color="auto"/>
                    <w:left w:val="none" w:sz="0" w:space="0" w:color="auto"/>
                    <w:bottom w:val="none" w:sz="0" w:space="0" w:color="auto"/>
                    <w:right w:val="none" w:sz="0" w:space="0" w:color="auto"/>
                  </w:divBdr>
                  <w:divsChild>
                    <w:div w:id="20591460">
                      <w:marLeft w:val="0"/>
                      <w:marRight w:val="0"/>
                      <w:marTop w:val="0"/>
                      <w:marBottom w:val="0"/>
                      <w:divBdr>
                        <w:top w:val="none" w:sz="0" w:space="0" w:color="auto"/>
                        <w:left w:val="none" w:sz="0" w:space="0" w:color="auto"/>
                        <w:bottom w:val="none" w:sz="0" w:space="0" w:color="auto"/>
                        <w:right w:val="none" w:sz="0" w:space="0" w:color="auto"/>
                      </w:divBdr>
                    </w:div>
                  </w:divsChild>
                </w:div>
                <w:div w:id="703100038">
                  <w:marLeft w:val="0"/>
                  <w:marRight w:val="0"/>
                  <w:marTop w:val="0"/>
                  <w:marBottom w:val="0"/>
                  <w:divBdr>
                    <w:top w:val="none" w:sz="0" w:space="0" w:color="auto"/>
                    <w:left w:val="none" w:sz="0" w:space="0" w:color="auto"/>
                    <w:bottom w:val="none" w:sz="0" w:space="0" w:color="auto"/>
                    <w:right w:val="none" w:sz="0" w:space="0" w:color="auto"/>
                  </w:divBdr>
                  <w:divsChild>
                    <w:div w:id="1675914789">
                      <w:marLeft w:val="0"/>
                      <w:marRight w:val="0"/>
                      <w:marTop w:val="0"/>
                      <w:marBottom w:val="0"/>
                      <w:divBdr>
                        <w:top w:val="none" w:sz="0" w:space="0" w:color="auto"/>
                        <w:left w:val="none" w:sz="0" w:space="0" w:color="auto"/>
                        <w:bottom w:val="none" w:sz="0" w:space="0" w:color="auto"/>
                        <w:right w:val="none" w:sz="0" w:space="0" w:color="auto"/>
                      </w:divBdr>
                    </w:div>
                  </w:divsChild>
                </w:div>
                <w:div w:id="703554834">
                  <w:marLeft w:val="0"/>
                  <w:marRight w:val="0"/>
                  <w:marTop w:val="0"/>
                  <w:marBottom w:val="0"/>
                  <w:divBdr>
                    <w:top w:val="none" w:sz="0" w:space="0" w:color="auto"/>
                    <w:left w:val="none" w:sz="0" w:space="0" w:color="auto"/>
                    <w:bottom w:val="none" w:sz="0" w:space="0" w:color="auto"/>
                    <w:right w:val="none" w:sz="0" w:space="0" w:color="auto"/>
                  </w:divBdr>
                  <w:divsChild>
                    <w:div w:id="1518697051">
                      <w:marLeft w:val="0"/>
                      <w:marRight w:val="0"/>
                      <w:marTop w:val="0"/>
                      <w:marBottom w:val="0"/>
                      <w:divBdr>
                        <w:top w:val="none" w:sz="0" w:space="0" w:color="auto"/>
                        <w:left w:val="none" w:sz="0" w:space="0" w:color="auto"/>
                        <w:bottom w:val="none" w:sz="0" w:space="0" w:color="auto"/>
                        <w:right w:val="none" w:sz="0" w:space="0" w:color="auto"/>
                      </w:divBdr>
                    </w:div>
                  </w:divsChild>
                </w:div>
                <w:div w:id="751200002">
                  <w:marLeft w:val="0"/>
                  <w:marRight w:val="0"/>
                  <w:marTop w:val="0"/>
                  <w:marBottom w:val="0"/>
                  <w:divBdr>
                    <w:top w:val="none" w:sz="0" w:space="0" w:color="auto"/>
                    <w:left w:val="none" w:sz="0" w:space="0" w:color="auto"/>
                    <w:bottom w:val="none" w:sz="0" w:space="0" w:color="auto"/>
                    <w:right w:val="none" w:sz="0" w:space="0" w:color="auto"/>
                  </w:divBdr>
                  <w:divsChild>
                    <w:div w:id="777943493">
                      <w:marLeft w:val="0"/>
                      <w:marRight w:val="0"/>
                      <w:marTop w:val="0"/>
                      <w:marBottom w:val="0"/>
                      <w:divBdr>
                        <w:top w:val="none" w:sz="0" w:space="0" w:color="auto"/>
                        <w:left w:val="none" w:sz="0" w:space="0" w:color="auto"/>
                        <w:bottom w:val="none" w:sz="0" w:space="0" w:color="auto"/>
                        <w:right w:val="none" w:sz="0" w:space="0" w:color="auto"/>
                      </w:divBdr>
                    </w:div>
                  </w:divsChild>
                </w:div>
                <w:div w:id="769083893">
                  <w:marLeft w:val="0"/>
                  <w:marRight w:val="0"/>
                  <w:marTop w:val="0"/>
                  <w:marBottom w:val="0"/>
                  <w:divBdr>
                    <w:top w:val="none" w:sz="0" w:space="0" w:color="auto"/>
                    <w:left w:val="none" w:sz="0" w:space="0" w:color="auto"/>
                    <w:bottom w:val="none" w:sz="0" w:space="0" w:color="auto"/>
                    <w:right w:val="none" w:sz="0" w:space="0" w:color="auto"/>
                  </w:divBdr>
                  <w:divsChild>
                    <w:div w:id="1781366090">
                      <w:marLeft w:val="0"/>
                      <w:marRight w:val="0"/>
                      <w:marTop w:val="0"/>
                      <w:marBottom w:val="0"/>
                      <w:divBdr>
                        <w:top w:val="none" w:sz="0" w:space="0" w:color="auto"/>
                        <w:left w:val="none" w:sz="0" w:space="0" w:color="auto"/>
                        <w:bottom w:val="none" w:sz="0" w:space="0" w:color="auto"/>
                        <w:right w:val="none" w:sz="0" w:space="0" w:color="auto"/>
                      </w:divBdr>
                    </w:div>
                  </w:divsChild>
                </w:div>
                <w:div w:id="808981467">
                  <w:marLeft w:val="0"/>
                  <w:marRight w:val="0"/>
                  <w:marTop w:val="0"/>
                  <w:marBottom w:val="0"/>
                  <w:divBdr>
                    <w:top w:val="none" w:sz="0" w:space="0" w:color="auto"/>
                    <w:left w:val="none" w:sz="0" w:space="0" w:color="auto"/>
                    <w:bottom w:val="none" w:sz="0" w:space="0" w:color="auto"/>
                    <w:right w:val="none" w:sz="0" w:space="0" w:color="auto"/>
                  </w:divBdr>
                  <w:divsChild>
                    <w:div w:id="26302131">
                      <w:marLeft w:val="0"/>
                      <w:marRight w:val="0"/>
                      <w:marTop w:val="0"/>
                      <w:marBottom w:val="0"/>
                      <w:divBdr>
                        <w:top w:val="none" w:sz="0" w:space="0" w:color="auto"/>
                        <w:left w:val="none" w:sz="0" w:space="0" w:color="auto"/>
                        <w:bottom w:val="none" w:sz="0" w:space="0" w:color="auto"/>
                        <w:right w:val="none" w:sz="0" w:space="0" w:color="auto"/>
                      </w:divBdr>
                    </w:div>
                  </w:divsChild>
                </w:div>
                <w:div w:id="853501095">
                  <w:marLeft w:val="0"/>
                  <w:marRight w:val="0"/>
                  <w:marTop w:val="0"/>
                  <w:marBottom w:val="0"/>
                  <w:divBdr>
                    <w:top w:val="none" w:sz="0" w:space="0" w:color="auto"/>
                    <w:left w:val="none" w:sz="0" w:space="0" w:color="auto"/>
                    <w:bottom w:val="none" w:sz="0" w:space="0" w:color="auto"/>
                    <w:right w:val="none" w:sz="0" w:space="0" w:color="auto"/>
                  </w:divBdr>
                  <w:divsChild>
                    <w:div w:id="984235220">
                      <w:marLeft w:val="0"/>
                      <w:marRight w:val="0"/>
                      <w:marTop w:val="0"/>
                      <w:marBottom w:val="0"/>
                      <w:divBdr>
                        <w:top w:val="none" w:sz="0" w:space="0" w:color="auto"/>
                        <w:left w:val="none" w:sz="0" w:space="0" w:color="auto"/>
                        <w:bottom w:val="none" w:sz="0" w:space="0" w:color="auto"/>
                        <w:right w:val="none" w:sz="0" w:space="0" w:color="auto"/>
                      </w:divBdr>
                    </w:div>
                  </w:divsChild>
                </w:div>
                <w:div w:id="857963870">
                  <w:marLeft w:val="0"/>
                  <w:marRight w:val="0"/>
                  <w:marTop w:val="0"/>
                  <w:marBottom w:val="0"/>
                  <w:divBdr>
                    <w:top w:val="none" w:sz="0" w:space="0" w:color="auto"/>
                    <w:left w:val="none" w:sz="0" w:space="0" w:color="auto"/>
                    <w:bottom w:val="none" w:sz="0" w:space="0" w:color="auto"/>
                    <w:right w:val="none" w:sz="0" w:space="0" w:color="auto"/>
                  </w:divBdr>
                  <w:divsChild>
                    <w:div w:id="500899877">
                      <w:marLeft w:val="0"/>
                      <w:marRight w:val="0"/>
                      <w:marTop w:val="0"/>
                      <w:marBottom w:val="0"/>
                      <w:divBdr>
                        <w:top w:val="none" w:sz="0" w:space="0" w:color="auto"/>
                        <w:left w:val="none" w:sz="0" w:space="0" w:color="auto"/>
                        <w:bottom w:val="none" w:sz="0" w:space="0" w:color="auto"/>
                        <w:right w:val="none" w:sz="0" w:space="0" w:color="auto"/>
                      </w:divBdr>
                    </w:div>
                  </w:divsChild>
                </w:div>
                <w:div w:id="868570997">
                  <w:marLeft w:val="0"/>
                  <w:marRight w:val="0"/>
                  <w:marTop w:val="0"/>
                  <w:marBottom w:val="0"/>
                  <w:divBdr>
                    <w:top w:val="none" w:sz="0" w:space="0" w:color="auto"/>
                    <w:left w:val="none" w:sz="0" w:space="0" w:color="auto"/>
                    <w:bottom w:val="none" w:sz="0" w:space="0" w:color="auto"/>
                    <w:right w:val="none" w:sz="0" w:space="0" w:color="auto"/>
                  </w:divBdr>
                  <w:divsChild>
                    <w:div w:id="2042121826">
                      <w:marLeft w:val="0"/>
                      <w:marRight w:val="0"/>
                      <w:marTop w:val="0"/>
                      <w:marBottom w:val="0"/>
                      <w:divBdr>
                        <w:top w:val="none" w:sz="0" w:space="0" w:color="auto"/>
                        <w:left w:val="none" w:sz="0" w:space="0" w:color="auto"/>
                        <w:bottom w:val="none" w:sz="0" w:space="0" w:color="auto"/>
                        <w:right w:val="none" w:sz="0" w:space="0" w:color="auto"/>
                      </w:divBdr>
                    </w:div>
                  </w:divsChild>
                </w:div>
                <w:div w:id="895240997">
                  <w:marLeft w:val="0"/>
                  <w:marRight w:val="0"/>
                  <w:marTop w:val="0"/>
                  <w:marBottom w:val="0"/>
                  <w:divBdr>
                    <w:top w:val="none" w:sz="0" w:space="0" w:color="auto"/>
                    <w:left w:val="none" w:sz="0" w:space="0" w:color="auto"/>
                    <w:bottom w:val="none" w:sz="0" w:space="0" w:color="auto"/>
                    <w:right w:val="none" w:sz="0" w:space="0" w:color="auto"/>
                  </w:divBdr>
                  <w:divsChild>
                    <w:div w:id="1365906638">
                      <w:marLeft w:val="0"/>
                      <w:marRight w:val="0"/>
                      <w:marTop w:val="0"/>
                      <w:marBottom w:val="0"/>
                      <w:divBdr>
                        <w:top w:val="none" w:sz="0" w:space="0" w:color="auto"/>
                        <w:left w:val="none" w:sz="0" w:space="0" w:color="auto"/>
                        <w:bottom w:val="none" w:sz="0" w:space="0" w:color="auto"/>
                        <w:right w:val="none" w:sz="0" w:space="0" w:color="auto"/>
                      </w:divBdr>
                    </w:div>
                  </w:divsChild>
                </w:div>
                <w:div w:id="913469353">
                  <w:marLeft w:val="0"/>
                  <w:marRight w:val="0"/>
                  <w:marTop w:val="0"/>
                  <w:marBottom w:val="0"/>
                  <w:divBdr>
                    <w:top w:val="none" w:sz="0" w:space="0" w:color="auto"/>
                    <w:left w:val="none" w:sz="0" w:space="0" w:color="auto"/>
                    <w:bottom w:val="none" w:sz="0" w:space="0" w:color="auto"/>
                    <w:right w:val="none" w:sz="0" w:space="0" w:color="auto"/>
                  </w:divBdr>
                  <w:divsChild>
                    <w:div w:id="2114858105">
                      <w:marLeft w:val="0"/>
                      <w:marRight w:val="0"/>
                      <w:marTop w:val="0"/>
                      <w:marBottom w:val="0"/>
                      <w:divBdr>
                        <w:top w:val="none" w:sz="0" w:space="0" w:color="auto"/>
                        <w:left w:val="none" w:sz="0" w:space="0" w:color="auto"/>
                        <w:bottom w:val="none" w:sz="0" w:space="0" w:color="auto"/>
                        <w:right w:val="none" w:sz="0" w:space="0" w:color="auto"/>
                      </w:divBdr>
                    </w:div>
                  </w:divsChild>
                </w:div>
                <w:div w:id="960652244">
                  <w:marLeft w:val="0"/>
                  <w:marRight w:val="0"/>
                  <w:marTop w:val="0"/>
                  <w:marBottom w:val="0"/>
                  <w:divBdr>
                    <w:top w:val="none" w:sz="0" w:space="0" w:color="auto"/>
                    <w:left w:val="none" w:sz="0" w:space="0" w:color="auto"/>
                    <w:bottom w:val="none" w:sz="0" w:space="0" w:color="auto"/>
                    <w:right w:val="none" w:sz="0" w:space="0" w:color="auto"/>
                  </w:divBdr>
                  <w:divsChild>
                    <w:div w:id="428282669">
                      <w:marLeft w:val="0"/>
                      <w:marRight w:val="0"/>
                      <w:marTop w:val="0"/>
                      <w:marBottom w:val="0"/>
                      <w:divBdr>
                        <w:top w:val="none" w:sz="0" w:space="0" w:color="auto"/>
                        <w:left w:val="none" w:sz="0" w:space="0" w:color="auto"/>
                        <w:bottom w:val="none" w:sz="0" w:space="0" w:color="auto"/>
                        <w:right w:val="none" w:sz="0" w:space="0" w:color="auto"/>
                      </w:divBdr>
                    </w:div>
                  </w:divsChild>
                </w:div>
                <w:div w:id="992415625">
                  <w:marLeft w:val="0"/>
                  <w:marRight w:val="0"/>
                  <w:marTop w:val="0"/>
                  <w:marBottom w:val="0"/>
                  <w:divBdr>
                    <w:top w:val="none" w:sz="0" w:space="0" w:color="auto"/>
                    <w:left w:val="none" w:sz="0" w:space="0" w:color="auto"/>
                    <w:bottom w:val="none" w:sz="0" w:space="0" w:color="auto"/>
                    <w:right w:val="none" w:sz="0" w:space="0" w:color="auto"/>
                  </w:divBdr>
                  <w:divsChild>
                    <w:div w:id="1427849919">
                      <w:marLeft w:val="0"/>
                      <w:marRight w:val="0"/>
                      <w:marTop w:val="0"/>
                      <w:marBottom w:val="0"/>
                      <w:divBdr>
                        <w:top w:val="none" w:sz="0" w:space="0" w:color="auto"/>
                        <w:left w:val="none" w:sz="0" w:space="0" w:color="auto"/>
                        <w:bottom w:val="none" w:sz="0" w:space="0" w:color="auto"/>
                        <w:right w:val="none" w:sz="0" w:space="0" w:color="auto"/>
                      </w:divBdr>
                    </w:div>
                  </w:divsChild>
                </w:div>
                <w:div w:id="996540813">
                  <w:marLeft w:val="0"/>
                  <w:marRight w:val="0"/>
                  <w:marTop w:val="0"/>
                  <w:marBottom w:val="0"/>
                  <w:divBdr>
                    <w:top w:val="none" w:sz="0" w:space="0" w:color="auto"/>
                    <w:left w:val="none" w:sz="0" w:space="0" w:color="auto"/>
                    <w:bottom w:val="none" w:sz="0" w:space="0" w:color="auto"/>
                    <w:right w:val="none" w:sz="0" w:space="0" w:color="auto"/>
                  </w:divBdr>
                  <w:divsChild>
                    <w:div w:id="644823562">
                      <w:marLeft w:val="0"/>
                      <w:marRight w:val="0"/>
                      <w:marTop w:val="0"/>
                      <w:marBottom w:val="0"/>
                      <w:divBdr>
                        <w:top w:val="none" w:sz="0" w:space="0" w:color="auto"/>
                        <w:left w:val="none" w:sz="0" w:space="0" w:color="auto"/>
                        <w:bottom w:val="none" w:sz="0" w:space="0" w:color="auto"/>
                        <w:right w:val="none" w:sz="0" w:space="0" w:color="auto"/>
                      </w:divBdr>
                    </w:div>
                  </w:divsChild>
                </w:div>
                <w:div w:id="997000372">
                  <w:marLeft w:val="0"/>
                  <w:marRight w:val="0"/>
                  <w:marTop w:val="0"/>
                  <w:marBottom w:val="0"/>
                  <w:divBdr>
                    <w:top w:val="none" w:sz="0" w:space="0" w:color="auto"/>
                    <w:left w:val="none" w:sz="0" w:space="0" w:color="auto"/>
                    <w:bottom w:val="none" w:sz="0" w:space="0" w:color="auto"/>
                    <w:right w:val="none" w:sz="0" w:space="0" w:color="auto"/>
                  </w:divBdr>
                  <w:divsChild>
                    <w:div w:id="1446384733">
                      <w:marLeft w:val="0"/>
                      <w:marRight w:val="0"/>
                      <w:marTop w:val="0"/>
                      <w:marBottom w:val="0"/>
                      <w:divBdr>
                        <w:top w:val="none" w:sz="0" w:space="0" w:color="auto"/>
                        <w:left w:val="none" w:sz="0" w:space="0" w:color="auto"/>
                        <w:bottom w:val="none" w:sz="0" w:space="0" w:color="auto"/>
                        <w:right w:val="none" w:sz="0" w:space="0" w:color="auto"/>
                      </w:divBdr>
                    </w:div>
                  </w:divsChild>
                </w:div>
                <w:div w:id="1028719570">
                  <w:marLeft w:val="0"/>
                  <w:marRight w:val="0"/>
                  <w:marTop w:val="0"/>
                  <w:marBottom w:val="0"/>
                  <w:divBdr>
                    <w:top w:val="none" w:sz="0" w:space="0" w:color="auto"/>
                    <w:left w:val="none" w:sz="0" w:space="0" w:color="auto"/>
                    <w:bottom w:val="none" w:sz="0" w:space="0" w:color="auto"/>
                    <w:right w:val="none" w:sz="0" w:space="0" w:color="auto"/>
                  </w:divBdr>
                  <w:divsChild>
                    <w:div w:id="1606183021">
                      <w:marLeft w:val="0"/>
                      <w:marRight w:val="0"/>
                      <w:marTop w:val="0"/>
                      <w:marBottom w:val="0"/>
                      <w:divBdr>
                        <w:top w:val="none" w:sz="0" w:space="0" w:color="auto"/>
                        <w:left w:val="none" w:sz="0" w:space="0" w:color="auto"/>
                        <w:bottom w:val="none" w:sz="0" w:space="0" w:color="auto"/>
                        <w:right w:val="none" w:sz="0" w:space="0" w:color="auto"/>
                      </w:divBdr>
                    </w:div>
                  </w:divsChild>
                </w:div>
                <w:div w:id="1036272021">
                  <w:marLeft w:val="0"/>
                  <w:marRight w:val="0"/>
                  <w:marTop w:val="0"/>
                  <w:marBottom w:val="0"/>
                  <w:divBdr>
                    <w:top w:val="none" w:sz="0" w:space="0" w:color="auto"/>
                    <w:left w:val="none" w:sz="0" w:space="0" w:color="auto"/>
                    <w:bottom w:val="none" w:sz="0" w:space="0" w:color="auto"/>
                    <w:right w:val="none" w:sz="0" w:space="0" w:color="auto"/>
                  </w:divBdr>
                  <w:divsChild>
                    <w:div w:id="1350983161">
                      <w:marLeft w:val="0"/>
                      <w:marRight w:val="0"/>
                      <w:marTop w:val="0"/>
                      <w:marBottom w:val="0"/>
                      <w:divBdr>
                        <w:top w:val="none" w:sz="0" w:space="0" w:color="auto"/>
                        <w:left w:val="none" w:sz="0" w:space="0" w:color="auto"/>
                        <w:bottom w:val="none" w:sz="0" w:space="0" w:color="auto"/>
                        <w:right w:val="none" w:sz="0" w:space="0" w:color="auto"/>
                      </w:divBdr>
                    </w:div>
                  </w:divsChild>
                </w:div>
                <w:div w:id="1040781329">
                  <w:marLeft w:val="0"/>
                  <w:marRight w:val="0"/>
                  <w:marTop w:val="0"/>
                  <w:marBottom w:val="0"/>
                  <w:divBdr>
                    <w:top w:val="none" w:sz="0" w:space="0" w:color="auto"/>
                    <w:left w:val="none" w:sz="0" w:space="0" w:color="auto"/>
                    <w:bottom w:val="none" w:sz="0" w:space="0" w:color="auto"/>
                    <w:right w:val="none" w:sz="0" w:space="0" w:color="auto"/>
                  </w:divBdr>
                  <w:divsChild>
                    <w:div w:id="917978335">
                      <w:marLeft w:val="0"/>
                      <w:marRight w:val="0"/>
                      <w:marTop w:val="0"/>
                      <w:marBottom w:val="0"/>
                      <w:divBdr>
                        <w:top w:val="none" w:sz="0" w:space="0" w:color="auto"/>
                        <w:left w:val="none" w:sz="0" w:space="0" w:color="auto"/>
                        <w:bottom w:val="none" w:sz="0" w:space="0" w:color="auto"/>
                        <w:right w:val="none" w:sz="0" w:space="0" w:color="auto"/>
                      </w:divBdr>
                    </w:div>
                  </w:divsChild>
                </w:div>
                <w:div w:id="1088965212">
                  <w:marLeft w:val="0"/>
                  <w:marRight w:val="0"/>
                  <w:marTop w:val="0"/>
                  <w:marBottom w:val="0"/>
                  <w:divBdr>
                    <w:top w:val="none" w:sz="0" w:space="0" w:color="auto"/>
                    <w:left w:val="none" w:sz="0" w:space="0" w:color="auto"/>
                    <w:bottom w:val="none" w:sz="0" w:space="0" w:color="auto"/>
                    <w:right w:val="none" w:sz="0" w:space="0" w:color="auto"/>
                  </w:divBdr>
                  <w:divsChild>
                    <w:div w:id="1820415801">
                      <w:marLeft w:val="0"/>
                      <w:marRight w:val="0"/>
                      <w:marTop w:val="0"/>
                      <w:marBottom w:val="0"/>
                      <w:divBdr>
                        <w:top w:val="none" w:sz="0" w:space="0" w:color="auto"/>
                        <w:left w:val="none" w:sz="0" w:space="0" w:color="auto"/>
                        <w:bottom w:val="none" w:sz="0" w:space="0" w:color="auto"/>
                        <w:right w:val="none" w:sz="0" w:space="0" w:color="auto"/>
                      </w:divBdr>
                    </w:div>
                  </w:divsChild>
                </w:div>
                <w:div w:id="1137409473">
                  <w:marLeft w:val="0"/>
                  <w:marRight w:val="0"/>
                  <w:marTop w:val="0"/>
                  <w:marBottom w:val="0"/>
                  <w:divBdr>
                    <w:top w:val="none" w:sz="0" w:space="0" w:color="auto"/>
                    <w:left w:val="none" w:sz="0" w:space="0" w:color="auto"/>
                    <w:bottom w:val="none" w:sz="0" w:space="0" w:color="auto"/>
                    <w:right w:val="none" w:sz="0" w:space="0" w:color="auto"/>
                  </w:divBdr>
                  <w:divsChild>
                    <w:div w:id="1801222264">
                      <w:marLeft w:val="0"/>
                      <w:marRight w:val="0"/>
                      <w:marTop w:val="0"/>
                      <w:marBottom w:val="0"/>
                      <w:divBdr>
                        <w:top w:val="none" w:sz="0" w:space="0" w:color="auto"/>
                        <w:left w:val="none" w:sz="0" w:space="0" w:color="auto"/>
                        <w:bottom w:val="none" w:sz="0" w:space="0" w:color="auto"/>
                        <w:right w:val="none" w:sz="0" w:space="0" w:color="auto"/>
                      </w:divBdr>
                    </w:div>
                  </w:divsChild>
                </w:div>
                <w:div w:id="1146968657">
                  <w:marLeft w:val="0"/>
                  <w:marRight w:val="0"/>
                  <w:marTop w:val="0"/>
                  <w:marBottom w:val="0"/>
                  <w:divBdr>
                    <w:top w:val="none" w:sz="0" w:space="0" w:color="auto"/>
                    <w:left w:val="none" w:sz="0" w:space="0" w:color="auto"/>
                    <w:bottom w:val="none" w:sz="0" w:space="0" w:color="auto"/>
                    <w:right w:val="none" w:sz="0" w:space="0" w:color="auto"/>
                  </w:divBdr>
                  <w:divsChild>
                    <w:div w:id="848836410">
                      <w:marLeft w:val="0"/>
                      <w:marRight w:val="0"/>
                      <w:marTop w:val="0"/>
                      <w:marBottom w:val="0"/>
                      <w:divBdr>
                        <w:top w:val="none" w:sz="0" w:space="0" w:color="auto"/>
                        <w:left w:val="none" w:sz="0" w:space="0" w:color="auto"/>
                        <w:bottom w:val="none" w:sz="0" w:space="0" w:color="auto"/>
                        <w:right w:val="none" w:sz="0" w:space="0" w:color="auto"/>
                      </w:divBdr>
                    </w:div>
                  </w:divsChild>
                </w:div>
                <w:div w:id="1214271677">
                  <w:marLeft w:val="0"/>
                  <w:marRight w:val="0"/>
                  <w:marTop w:val="0"/>
                  <w:marBottom w:val="0"/>
                  <w:divBdr>
                    <w:top w:val="none" w:sz="0" w:space="0" w:color="auto"/>
                    <w:left w:val="none" w:sz="0" w:space="0" w:color="auto"/>
                    <w:bottom w:val="none" w:sz="0" w:space="0" w:color="auto"/>
                    <w:right w:val="none" w:sz="0" w:space="0" w:color="auto"/>
                  </w:divBdr>
                  <w:divsChild>
                    <w:div w:id="1727990653">
                      <w:marLeft w:val="0"/>
                      <w:marRight w:val="0"/>
                      <w:marTop w:val="0"/>
                      <w:marBottom w:val="0"/>
                      <w:divBdr>
                        <w:top w:val="none" w:sz="0" w:space="0" w:color="auto"/>
                        <w:left w:val="none" w:sz="0" w:space="0" w:color="auto"/>
                        <w:bottom w:val="none" w:sz="0" w:space="0" w:color="auto"/>
                        <w:right w:val="none" w:sz="0" w:space="0" w:color="auto"/>
                      </w:divBdr>
                    </w:div>
                  </w:divsChild>
                </w:div>
                <w:div w:id="1236283248">
                  <w:marLeft w:val="0"/>
                  <w:marRight w:val="0"/>
                  <w:marTop w:val="0"/>
                  <w:marBottom w:val="0"/>
                  <w:divBdr>
                    <w:top w:val="none" w:sz="0" w:space="0" w:color="auto"/>
                    <w:left w:val="none" w:sz="0" w:space="0" w:color="auto"/>
                    <w:bottom w:val="none" w:sz="0" w:space="0" w:color="auto"/>
                    <w:right w:val="none" w:sz="0" w:space="0" w:color="auto"/>
                  </w:divBdr>
                  <w:divsChild>
                    <w:div w:id="77756943">
                      <w:marLeft w:val="0"/>
                      <w:marRight w:val="0"/>
                      <w:marTop w:val="0"/>
                      <w:marBottom w:val="0"/>
                      <w:divBdr>
                        <w:top w:val="none" w:sz="0" w:space="0" w:color="auto"/>
                        <w:left w:val="none" w:sz="0" w:space="0" w:color="auto"/>
                        <w:bottom w:val="none" w:sz="0" w:space="0" w:color="auto"/>
                        <w:right w:val="none" w:sz="0" w:space="0" w:color="auto"/>
                      </w:divBdr>
                    </w:div>
                  </w:divsChild>
                </w:div>
                <w:div w:id="1243755676">
                  <w:marLeft w:val="0"/>
                  <w:marRight w:val="0"/>
                  <w:marTop w:val="0"/>
                  <w:marBottom w:val="0"/>
                  <w:divBdr>
                    <w:top w:val="none" w:sz="0" w:space="0" w:color="auto"/>
                    <w:left w:val="none" w:sz="0" w:space="0" w:color="auto"/>
                    <w:bottom w:val="none" w:sz="0" w:space="0" w:color="auto"/>
                    <w:right w:val="none" w:sz="0" w:space="0" w:color="auto"/>
                  </w:divBdr>
                  <w:divsChild>
                    <w:div w:id="1507162663">
                      <w:marLeft w:val="0"/>
                      <w:marRight w:val="0"/>
                      <w:marTop w:val="0"/>
                      <w:marBottom w:val="0"/>
                      <w:divBdr>
                        <w:top w:val="none" w:sz="0" w:space="0" w:color="auto"/>
                        <w:left w:val="none" w:sz="0" w:space="0" w:color="auto"/>
                        <w:bottom w:val="none" w:sz="0" w:space="0" w:color="auto"/>
                        <w:right w:val="none" w:sz="0" w:space="0" w:color="auto"/>
                      </w:divBdr>
                    </w:div>
                  </w:divsChild>
                </w:div>
                <w:div w:id="1292326190">
                  <w:marLeft w:val="0"/>
                  <w:marRight w:val="0"/>
                  <w:marTop w:val="0"/>
                  <w:marBottom w:val="0"/>
                  <w:divBdr>
                    <w:top w:val="none" w:sz="0" w:space="0" w:color="auto"/>
                    <w:left w:val="none" w:sz="0" w:space="0" w:color="auto"/>
                    <w:bottom w:val="none" w:sz="0" w:space="0" w:color="auto"/>
                    <w:right w:val="none" w:sz="0" w:space="0" w:color="auto"/>
                  </w:divBdr>
                  <w:divsChild>
                    <w:div w:id="1879581243">
                      <w:marLeft w:val="0"/>
                      <w:marRight w:val="0"/>
                      <w:marTop w:val="0"/>
                      <w:marBottom w:val="0"/>
                      <w:divBdr>
                        <w:top w:val="none" w:sz="0" w:space="0" w:color="auto"/>
                        <w:left w:val="none" w:sz="0" w:space="0" w:color="auto"/>
                        <w:bottom w:val="none" w:sz="0" w:space="0" w:color="auto"/>
                        <w:right w:val="none" w:sz="0" w:space="0" w:color="auto"/>
                      </w:divBdr>
                    </w:div>
                  </w:divsChild>
                </w:div>
                <w:div w:id="1343125303">
                  <w:marLeft w:val="0"/>
                  <w:marRight w:val="0"/>
                  <w:marTop w:val="0"/>
                  <w:marBottom w:val="0"/>
                  <w:divBdr>
                    <w:top w:val="none" w:sz="0" w:space="0" w:color="auto"/>
                    <w:left w:val="none" w:sz="0" w:space="0" w:color="auto"/>
                    <w:bottom w:val="none" w:sz="0" w:space="0" w:color="auto"/>
                    <w:right w:val="none" w:sz="0" w:space="0" w:color="auto"/>
                  </w:divBdr>
                  <w:divsChild>
                    <w:div w:id="2034574454">
                      <w:marLeft w:val="0"/>
                      <w:marRight w:val="0"/>
                      <w:marTop w:val="0"/>
                      <w:marBottom w:val="0"/>
                      <w:divBdr>
                        <w:top w:val="none" w:sz="0" w:space="0" w:color="auto"/>
                        <w:left w:val="none" w:sz="0" w:space="0" w:color="auto"/>
                        <w:bottom w:val="none" w:sz="0" w:space="0" w:color="auto"/>
                        <w:right w:val="none" w:sz="0" w:space="0" w:color="auto"/>
                      </w:divBdr>
                    </w:div>
                  </w:divsChild>
                </w:div>
                <w:div w:id="1420954397">
                  <w:marLeft w:val="0"/>
                  <w:marRight w:val="0"/>
                  <w:marTop w:val="0"/>
                  <w:marBottom w:val="0"/>
                  <w:divBdr>
                    <w:top w:val="none" w:sz="0" w:space="0" w:color="auto"/>
                    <w:left w:val="none" w:sz="0" w:space="0" w:color="auto"/>
                    <w:bottom w:val="none" w:sz="0" w:space="0" w:color="auto"/>
                    <w:right w:val="none" w:sz="0" w:space="0" w:color="auto"/>
                  </w:divBdr>
                  <w:divsChild>
                    <w:div w:id="1516269625">
                      <w:marLeft w:val="0"/>
                      <w:marRight w:val="0"/>
                      <w:marTop w:val="0"/>
                      <w:marBottom w:val="0"/>
                      <w:divBdr>
                        <w:top w:val="none" w:sz="0" w:space="0" w:color="auto"/>
                        <w:left w:val="none" w:sz="0" w:space="0" w:color="auto"/>
                        <w:bottom w:val="none" w:sz="0" w:space="0" w:color="auto"/>
                        <w:right w:val="none" w:sz="0" w:space="0" w:color="auto"/>
                      </w:divBdr>
                    </w:div>
                  </w:divsChild>
                </w:div>
                <w:div w:id="1455248152">
                  <w:marLeft w:val="0"/>
                  <w:marRight w:val="0"/>
                  <w:marTop w:val="0"/>
                  <w:marBottom w:val="0"/>
                  <w:divBdr>
                    <w:top w:val="none" w:sz="0" w:space="0" w:color="auto"/>
                    <w:left w:val="none" w:sz="0" w:space="0" w:color="auto"/>
                    <w:bottom w:val="none" w:sz="0" w:space="0" w:color="auto"/>
                    <w:right w:val="none" w:sz="0" w:space="0" w:color="auto"/>
                  </w:divBdr>
                  <w:divsChild>
                    <w:div w:id="1432819929">
                      <w:marLeft w:val="0"/>
                      <w:marRight w:val="0"/>
                      <w:marTop w:val="0"/>
                      <w:marBottom w:val="0"/>
                      <w:divBdr>
                        <w:top w:val="none" w:sz="0" w:space="0" w:color="auto"/>
                        <w:left w:val="none" w:sz="0" w:space="0" w:color="auto"/>
                        <w:bottom w:val="none" w:sz="0" w:space="0" w:color="auto"/>
                        <w:right w:val="none" w:sz="0" w:space="0" w:color="auto"/>
                      </w:divBdr>
                    </w:div>
                  </w:divsChild>
                </w:div>
                <w:div w:id="1481314584">
                  <w:marLeft w:val="0"/>
                  <w:marRight w:val="0"/>
                  <w:marTop w:val="0"/>
                  <w:marBottom w:val="0"/>
                  <w:divBdr>
                    <w:top w:val="none" w:sz="0" w:space="0" w:color="auto"/>
                    <w:left w:val="none" w:sz="0" w:space="0" w:color="auto"/>
                    <w:bottom w:val="none" w:sz="0" w:space="0" w:color="auto"/>
                    <w:right w:val="none" w:sz="0" w:space="0" w:color="auto"/>
                  </w:divBdr>
                  <w:divsChild>
                    <w:div w:id="685905860">
                      <w:marLeft w:val="0"/>
                      <w:marRight w:val="0"/>
                      <w:marTop w:val="0"/>
                      <w:marBottom w:val="0"/>
                      <w:divBdr>
                        <w:top w:val="none" w:sz="0" w:space="0" w:color="auto"/>
                        <w:left w:val="none" w:sz="0" w:space="0" w:color="auto"/>
                        <w:bottom w:val="none" w:sz="0" w:space="0" w:color="auto"/>
                        <w:right w:val="none" w:sz="0" w:space="0" w:color="auto"/>
                      </w:divBdr>
                    </w:div>
                  </w:divsChild>
                </w:div>
                <w:div w:id="1553348644">
                  <w:marLeft w:val="0"/>
                  <w:marRight w:val="0"/>
                  <w:marTop w:val="0"/>
                  <w:marBottom w:val="0"/>
                  <w:divBdr>
                    <w:top w:val="none" w:sz="0" w:space="0" w:color="auto"/>
                    <w:left w:val="none" w:sz="0" w:space="0" w:color="auto"/>
                    <w:bottom w:val="none" w:sz="0" w:space="0" w:color="auto"/>
                    <w:right w:val="none" w:sz="0" w:space="0" w:color="auto"/>
                  </w:divBdr>
                  <w:divsChild>
                    <w:div w:id="1674380728">
                      <w:marLeft w:val="0"/>
                      <w:marRight w:val="0"/>
                      <w:marTop w:val="0"/>
                      <w:marBottom w:val="0"/>
                      <w:divBdr>
                        <w:top w:val="none" w:sz="0" w:space="0" w:color="auto"/>
                        <w:left w:val="none" w:sz="0" w:space="0" w:color="auto"/>
                        <w:bottom w:val="none" w:sz="0" w:space="0" w:color="auto"/>
                        <w:right w:val="none" w:sz="0" w:space="0" w:color="auto"/>
                      </w:divBdr>
                    </w:div>
                  </w:divsChild>
                </w:div>
                <w:div w:id="1560283921">
                  <w:marLeft w:val="0"/>
                  <w:marRight w:val="0"/>
                  <w:marTop w:val="0"/>
                  <w:marBottom w:val="0"/>
                  <w:divBdr>
                    <w:top w:val="none" w:sz="0" w:space="0" w:color="auto"/>
                    <w:left w:val="none" w:sz="0" w:space="0" w:color="auto"/>
                    <w:bottom w:val="none" w:sz="0" w:space="0" w:color="auto"/>
                    <w:right w:val="none" w:sz="0" w:space="0" w:color="auto"/>
                  </w:divBdr>
                  <w:divsChild>
                    <w:div w:id="897321166">
                      <w:marLeft w:val="0"/>
                      <w:marRight w:val="0"/>
                      <w:marTop w:val="0"/>
                      <w:marBottom w:val="0"/>
                      <w:divBdr>
                        <w:top w:val="none" w:sz="0" w:space="0" w:color="auto"/>
                        <w:left w:val="none" w:sz="0" w:space="0" w:color="auto"/>
                        <w:bottom w:val="none" w:sz="0" w:space="0" w:color="auto"/>
                        <w:right w:val="none" w:sz="0" w:space="0" w:color="auto"/>
                      </w:divBdr>
                    </w:div>
                  </w:divsChild>
                </w:div>
                <w:div w:id="1718551953">
                  <w:marLeft w:val="0"/>
                  <w:marRight w:val="0"/>
                  <w:marTop w:val="0"/>
                  <w:marBottom w:val="0"/>
                  <w:divBdr>
                    <w:top w:val="none" w:sz="0" w:space="0" w:color="auto"/>
                    <w:left w:val="none" w:sz="0" w:space="0" w:color="auto"/>
                    <w:bottom w:val="none" w:sz="0" w:space="0" w:color="auto"/>
                    <w:right w:val="none" w:sz="0" w:space="0" w:color="auto"/>
                  </w:divBdr>
                  <w:divsChild>
                    <w:div w:id="518202109">
                      <w:marLeft w:val="0"/>
                      <w:marRight w:val="0"/>
                      <w:marTop w:val="0"/>
                      <w:marBottom w:val="0"/>
                      <w:divBdr>
                        <w:top w:val="none" w:sz="0" w:space="0" w:color="auto"/>
                        <w:left w:val="none" w:sz="0" w:space="0" w:color="auto"/>
                        <w:bottom w:val="none" w:sz="0" w:space="0" w:color="auto"/>
                        <w:right w:val="none" w:sz="0" w:space="0" w:color="auto"/>
                      </w:divBdr>
                    </w:div>
                  </w:divsChild>
                </w:div>
                <w:div w:id="1796289369">
                  <w:marLeft w:val="0"/>
                  <w:marRight w:val="0"/>
                  <w:marTop w:val="0"/>
                  <w:marBottom w:val="0"/>
                  <w:divBdr>
                    <w:top w:val="none" w:sz="0" w:space="0" w:color="auto"/>
                    <w:left w:val="none" w:sz="0" w:space="0" w:color="auto"/>
                    <w:bottom w:val="none" w:sz="0" w:space="0" w:color="auto"/>
                    <w:right w:val="none" w:sz="0" w:space="0" w:color="auto"/>
                  </w:divBdr>
                  <w:divsChild>
                    <w:div w:id="2131119479">
                      <w:marLeft w:val="0"/>
                      <w:marRight w:val="0"/>
                      <w:marTop w:val="0"/>
                      <w:marBottom w:val="0"/>
                      <w:divBdr>
                        <w:top w:val="none" w:sz="0" w:space="0" w:color="auto"/>
                        <w:left w:val="none" w:sz="0" w:space="0" w:color="auto"/>
                        <w:bottom w:val="none" w:sz="0" w:space="0" w:color="auto"/>
                        <w:right w:val="none" w:sz="0" w:space="0" w:color="auto"/>
                      </w:divBdr>
                    </w:div>
                  </w:divsChild>
                </w:div>
                <w:div w:id="1810126797">
                  <w:marLeft w:val="0"/>
                  <w:marRight w:val="0"/>
                  <w:marTop w:val="0"/>
                  <w:marBottom w:val="0"/>
                  <w:divBdr>
                    <w:top w:val="none" w:sz="0" w:space="0" w:color="auto"/>
                    <w:left w:val="none" w:sz="0" w:space="0" w:color="auto"/>
                    <w:bottom w:val="none" w:sz="0" w:space="0" w:color="auto"/>
                    <w:right w:val="none" w:sz="0" w:space="0" w:color="auto"/>
                  </w:divBdr>
                  <w:divsChild>
                    <w:div w:id="1640111539">
                      <w:marLeft w:val="0"/>
                      <w:marRight w:val="0"/>
                      <w:marTop w:val="0"/>
                      <w:marBottom w:val="0"/>
                      <w:divBdr>
                        <w:top w:val="none" w:sz="0" w:space="0" w:color="auto"/>
                        <w:left w:val="none" w:sz="0" w:space="0" w:color="auto"/>
                        <w:bottom w:val="none" w:sz="0" w:space="0" w:color="auto"/>
                        <w:right w:val="none" w:sz="0" w:space="0" w:color="auto"/>
                      </w:divBdr>
                    </w:div>
                  </w:divsChild>
                </w:div>
                <w:div w:id="1916161802">
                  <w:marLeft w:val="0"/>
                  <w:marRight w:val="0"/>
                  <w:marTop w:val="0"/>
                  <w:marBottom w:val="0"/>
                  <w:divBdr>
                    <w:top w:val="none" w:sz="0" w:space="0" w:color="auto"/>
                    <w:left w:val="none" w:sz="0" w:space="0" w:color="auto"/>
                    <w:bottom w:val="none" w:sz="0" w:space="0" w:color="auto"/>
                    <w:right w:val="none" w:sz="0" w:space="0" w:color="auto"/>
                  </w:divBdr>
                  <w:divsChild>
                    <w:div w:id="1867861697">
                      <w:marLeft w:val="0"/>
                      <w:marRight w:val="0"/>
                      <w:marTop w:val="0"/>
                      <w:marBottom w:val="0"/>
                      <w:divBdr>
                        <w:top w:val="none" w:sz="0" w:space="0" w:color="auto"/>
                        <w:left w:val="none" w:sz="0" w:space="0" w:color="auto"/>
                        <w:bottom w:val="none" w:sz="0" w:space="0" w:color="auto"/>
                        <w:right w:val="none" w:sz="0" w:space="0" w:color="auto"/>
                      </w:divBdr>
                    </w:div>
                  </w:divsChild>
                </w:div>
                <w:div w:id="1930845453">
                  <w:marLeft w:val="0"/>
                  <w:marRight w:val="0"/>
                  <w:marTop w:val="0"/>
                  <w:marBottom w:val="0"/>
                  <w:divBdr>
                    <w:top w:val="none" w:sz="0" w:space="0" w:color="auto"/>
                    <w:left w:val="none" w:sz="0" w:space="0" w:color="auto"/>
                    <w:bottom w:val="none" w:sz="0" w:space="0" w:color="auto"/>
                    <w:right w:val="none" w:sz="0" w:space="0" w:color="auto"/>
                  </w:divBdr>
                  <w:divsChild>
                    <w:div w:id="1160534729">
                      <w:marLeft w:val="0"/>
                      <w:marRight w:val="0"/>
                      <w:marTop w:val="0"/>
                      <w:marBottom w:val="0"/>
                      <w:divBdr>
                        <w:top w:val="none" w:sz="0" w:space="0" w:color="auto"/>
                        <w:left w:val="none" w:sz="0" w:space="0" w:color="auto"/>
                        <w:bottom w:val="none" w:sz="0" w:space="0" w:color="auto"/>
                        <w:right w:val="none" w:sz="0" w:space="0" w:color="auto"/>
                      </w:divBdr>
                    </w:div>
                  </w:divsChild>
                </w:div>
                <w:div w:id="1964385408">
                  <w:marLeft w:val="0"/>
                  <w:marRight w:val="0"/>
                  <w:marTop w:val="0"/>
                  <w:marBottom w:val="0"/>
                  <w:divBdr>
                    <w:top w:val="none" w:sz="0" w:space="0" w:color="auto"/>
                    <w:left w:val="none" w:sz="0" w:space="0" w:color="auto"/>
                    <w:bottom w:val="none" w:sz="0" w:space="0" w:color="auto"/>
                    <w:right w:val="none" w:sz="0" w:space="0" w:color="auto"/>
                  </w:divBdr>
                  <w:divsChild>
                    <w:div w:id="1300576456">
                      <w:marLeft w:val="0"/>
                      <w:marRight w:val="0"/>
                      <w:marTop w:val="0"/>
                      <w:marBottom w:val="0"/>
                      <w:divBdr>
                        <w:top w:val="none" w:sz="0" w:space="0" w:color="auto"/>
                        <w:left w:val="none" w:sz="0" w:space="0" w:color="auto"/>
                        <w:bottom w:val="none" w:sz="0" w:space="0" w:color="auto"/>
                        <w:right w:val="none" w:sz="0" w:space="0" w:color="auto"/>
                      </w:divBdr>
                    </w:div>
                  </w:divsChild>
                </w:div>
                <w:div w:id="2029062486">
                  <w:marLeft w:val="0"/>
                  <w:marRight w:val="0"/>
                  <w:marTop w:val="0"/>
                  <w:marBottom w:val="0"/>
                  <w:divBdr>
                    <w:top w:val="none" w:sz="0" w:space="0" w:color="auto"/>
                    <w:left w:val="none" w:sz="0" w:space="0" w:color="auto"/>
                    <w:bottom w:val="none" w:sz="0" w:space="0" w:color="auto"/>
                    <w:right w:val="none" w:sz="0" w:space="0" w:color="auto"/>
                  </w:divBdr>
                  <w:divsChild>
                    <w:div w:id="1010521254">
                      <w:marLeft w:val="0"/>
                      <w:marRight w:val="0"/>
                      <w:marTop w:val="0"/>
                      <w:marBottom w:val="0"/>
                      <w:divBdr>
                        <w:top w:val="none" w:sz="0" w:space="0" w:color="auto"/>
                        <w:left w:val="none" w:sz="0" w:space="0" w:color="auto"/>
                        <w:bottom w:val="none" w:sz="0" w:space="0" w:color="auto"/>
                        <w:right w:val="none" w:sz="0" w:space="0" w:color="auto"/>
                      </w:divBdr>
                    </w:div>
                  </w:divsChild>
                </w:div>
                <w:div w:id="2055156638">
                  <w:marLeft w:val="0"/>
                  <w:marRight w:val="0"/>
                  <w:marTop w:val="0"/>
                  <w:marBottom w:val="0"/>
                  <w:divBdr>
                    <w:top w:val="none" w:sz="0" w:space="0" w:color="auto"/>
                    <w:left w:val="none" w:sz="0" w:space="0" w:color="auto"/>
                    <w:bottom w:val="none" w:sz="0" w:space="0" w:color="auto"/>
                    <w:right w:val="none" w:sz="0" w:space="0" w:color="auto"/>
                  </w:divBdr>
                  <w:divsChild>
                    <w:div w:id="2082749077">
                      <w:marLeft w:val="0"/>
                      <w:marRight w:val="0"/>
                      <w:marTop w:val="0"/>
                      <w:marBottom w:val="0"/>
                      <w:divBdr>
                        <w:top w:val="none" w:sz="0" w:space="0" w:color="auto"/>
                        <w:left w:val="none" w:sz="0" w:space="0" w:color="auto"/>
                        <w:bottom w:val="none" w:sz="0" w:space="0" w:color="auto"/>
                        <w:right w:val="none" w:sz="0" w:space="0" w:color="auto"/>
                      </w:divBdr>
                    </w:div>
                  </w:divsChild>
                </w:div>
                <w:div w:id="2064786850">
                  <w:marLeft w:val="0"/>
                  <w:marRight w:val="0"/>
                  <w:marTop w:val="0"/>
                  <w:marBottom w:val="0"/>
                  <w:divBdr>
                    <w:top w:val="none" w:sz="0" w:space="0" w:color="auto"/>
                    <w:left w:val="none" w:sz="0" w:space="0" w:color="auto"/>
                    <w:bottom w:val="none" w:sz="0" w:space="0" w:color="auto"/>
                    <w:right w:val="none" w:sz="0" w:space="0" w:color="auto"/>
                  </w:divBdr>
                  <w:divsChild>
                    <w:div w:id="1768689955">
                      <w:marLeft w:val="0"/>
                      <w:marRight w:val="0"/>
                      <w:marTop w:val="0"/>
                      <w:marBottom w:val="0"/>
                      <w:divBdr>
                        <w:top w:val="none" w:sz="0" w:space="0" w:color="auto"/>
                        <w:left w:val="none" w:sz="0" w:space="0" w:color="auto"/>
                        <w:bottom w:val="none" w:sz="0" w:space="0" w:color="auto"/>
                        <w:right w:val="none" w:sz="0" w:space="0" w:color="auto"/>
                      </w:divBdr>
                    </w:div>
                  </w:divsChild>
                </w:div>
                <w:div w:id="2073460409">
                  <w:marLeft w:val="0"/>
                  <w:marRight w:val="0"/>
                  <w:marTop w:val="0"/>
                  <w:marBottom w:val="0"/>
                  <w:divBdr>
                    <w:top w:val="none" w:sz="0" w:space="0" w:color="auto"/>
                    <w:left w:val="none" w:sz="0" w:space="0" w:color="auto"/>
                    <w:bottom w:val="none" w:sz="0" w:space="0" w:color="auto"/>
                    <w:right w:val="none" w:sz="0" w:space="0" w:color="auto"/>
                  </w:divBdr>
                  <w:divsChild>
                    <w:div w:id="2039314230">
                      <w:marLeft w:val="0"/>
                      <w:marRight w:val="0"/>
                      <w:marTop w:val="0"/>
                      <w:marBottom w:val="0"/>
                      <w:divBdr>
                        <w:top w:val="none" w:sz="0" w:space="0" w:color="auto"/>
                        <w:left w:val="none" w:sz="0" w:space="0" w:color="auto"/>
                        <w:bottom w:val="none" w:sz="0" w:space="0" w:color="auto"/>
                        <w:right w:val="none" w:sz="0" w:space="0" w:color="auto"/>
                      </w:divBdr>
                    </w:div>
                  </w:divsChild>
                </w:div>
                <w:div w:id="2080441051">
                  <w:marLeft w:val="0"/>
                  <w:marRight w:val="0"/>
                  <w:marTop w:val="0"/>
                  <w:marBottom w:val="0"/>
                  <w:divBdr>
                    <w:top w:val="none" w:sz="0" w:space="0" w:color="auto"/>
                    <w:left w:val="none" w:sz="0" w:space="0" w:color="auto"/>
                    <w:bottom w:val="none" w:sz="0" w:space="0" w:color="auto"/>
                    <w:right w:val="none" w:sz="0" w:space="0" w:color="auto"/>
                  </w:divBdr>
                  <w:divsChild>
                    <w:div w:id="707266180">
                      <w:marLeft w:val="0"/>
                      <w:marRight w:val="0"/>
                      <w:marTop w:val="0"/>
                      <w:marBottom w:val="0"/>
                      <w:divBdr>
                        <w:top w:val="none" w:sz="0" w:space="0" w:color="auto"/>
                        <w:left w:val="none" w:sz="0" w:space="0" w:color="auto"/>
                        <w:bottom w:val="none" w:sz="0" w:space="0" w:color="auto"/>
                        <w:right w:val="none" w:sz="0" w:space="0" w:color="auto"/>
                      </w:divBdr>
                    </w:div>
                  </w:divsChild>
                </w:div>
                <w:div w:id="2139060805">
                  <w:marLeft w:val="0"/>
                  <w:marRight w:val="0"/>
                  <w:marTop w:val="0"/>
                  <w:marBottom w:val="0"/>
                  <w:divBdr>
                    <w:top w:val="none" w:sz="0" w:space="0" w:color="auto"/>
                    <w:left w:val="none" w:sz="0" w:space="0" w:color="auto"/>
                    <w:bottom w:val="none" w:sz="0" w:space="0" w:color="auto"/>
                    <w:right w:val="none" w:sz="0" w:space="0" w:color="auto"/>
                  </w:divBdr>
                  <w:divsChild>
                    <w:div w:id="2702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268620">
          <w:marLeft w:val="0"/>
          <w:marRight w:val="0"/>
          <w:marTop w:val="0"/>
          <w:marBottom w:val="0"/>
          <w:divBdr>
            <w:top w:val="none" w:sz="0" w:space="0" w:color="auto"/>
            <w:left w:val="none" w:sz="0" w:space="0" w:color="auto"/>
            <w:bottom w:val="none" w:sz="0" w:space="0" w:color="auto"/>
            <w:right w:val="none" w:sz="0" w:space="0" w:color="auto"/>
          </w:divBdr>
        </w:div>
      </w:divsChild>
    </w:div>
    <w:div w:id="1547988184">
      <w:bodyDiv w:val="1"/>
      <w:marLeft w:val="0"/>
      <w:marRight w:val="0"/>
      <w:marTop w:val="0"/>
      <w:marBottom w:val="0"/>
      <w:divBdr>
        <w:top w:val="none" w:sz="0" w:space="0" w:color="auto"/>
        <w:left w:val="none" w:sz="0" w:space="0" w:color="auto"/>
        <w:bottom w:val="none" w:sz="0" w:space="0" w:color="auto"/>
        <w:right w:val="none" w:sz="0" w:space="0" w:color="auto"/>
      </w:divBdr>
      <w:divsChild>
        <w:div w:id="14888530">
          <w:marLeft w:val="0"/>
          <w:marRight w:val="0"/>
          <w:marTop w:val="0"/>
          <w:marBottom w:val="0"/>
          <w:divBdr>
            <w:top w:val="none" w:sz="0" w:space="0" w:color="auto"/>
            <w:left w:val="none" w:sz="0" w:space="0" w:color="auto"/>
            <w:bottom w:val="none" w:sz="0" w:space="0" w:color="auto"/>
            <w:right w:val="none" w:sz="0" w:space="0" w:color="auto"/>
          </w:divBdr>
        </w:div>
        <w:div w:id="48918502">
          <w:marLeft w:val="0"/>
          <w:marRight w:val="0"/>
          <w:marTop w:val="0"/>
          <w:marBottom w:val="0"/>
          <w:divBdr>
            <w:top w:val="none" w:sz="0" w:space="0" w:color="auto"/>
            <w:left w:val="none" w:sz="0" w:space="0" w:color="auto"/>
            <w:bottom w:val="none" w:sz="0" w:space="0" w:color="auto"/>
            <w:right w:val="none" w:sz="0" w:space="0" w:color="auto"/>
          </w:divBdr>
        </w:div>
        <w:div w:id="58401945">
          <w:marLeft w:val="0"/>
          <w:marRight w:val="0"/>
          <w:marTop w:val="0"/>
          <w:marBottom w:val="0"/>
          <w:divBdr>
            <w:top w:val="none" w:sz="0" w:space="0" w:color="auto"/>
            <w:left w:val="none" w:sz="0" w:space="0" w:color="auto"/>
            <w:bottom w:val="none" w:sz="0" w:space="0" w:color="auto"/>
            <w:right w:val="none" w:sz="0" w:space="0" w:color="auto"/>
          </w:divBdr>
        </w:div>
        <w:div w:id="64493353">
          <w:marLeft w:val="0"/>
          <w:marRight w:val="0"/>
          <w:marTop w:val="0"/>
          <w:marBottom w:val="0"/>
          <w:divBdr>
            <w:top w:val="none" w:sz="0" w:space="0" w:color="auto"/>
            <w:left w:val="none" w:sz="0" w:space="0" w:color="auto"/>
            <w:bottom w:val="none" w:sz="0" w:space="0" w:color="auto"/>
            <w:right w:val="none" w:sz="0" w:space="0" w:color="auto"/>
          </w:divBdr>
        </w:div>
        <w:div w:id="79495782">
          <w:marLeft w:val="0"/>
          <w:marRight w:val="0"/>
          <w:marTop w:val="0"/>
          <w:marBottom w:val="0"/>
          <w:divBdr>
            <w:top w:val="none" w:sz="0" w:space="0" w:color="auto"/>
            <w:left w:val="none" w:sz="0" w:space="0" w:color="auto"/>
            <w:bottom w:val="none" w:sz="0" w:space="0" w:color="auto"/>
            <w:right w:val="none" w:sz="0" w:space="0" w:color="auto"/>
          </w:divBdr>
        </w:div>
        <w:div w:id="116532851">
          <w:marLeft w:val="0"/>
          <w:marRight w:val="0"/>
          <w:marTop w:val="0"/>
          <w:marBottom w:val="0"/>
          <w:divBdr>
            <w:top w:val="none" w:sz="0" w:space="0" w:color="auto"/>
            <w:left w:val="none" w:sz="0" w:space="0" w:color="auto"/>
            <w:bottom w:val="none" w:sz="0" w:space="0" w:color="auto"/>
            <w:right w:val="none" w:sz="0" w:space="0" w:color="auto"/>
          </w:divBdr>
        </w:div>
        <w:div w:id="122843966">
          <w:marLeft w:val="0"/>
          <w:marRight w:val="0"/>
          <w:marTop w:val="0"/>
          <w:marBottom w:val="0"/>
          <w:divBdr>
            <w:top w:val="none" w:sz="0" w:space="0" w:color="auto"/>
            <w:left w:val="none" w:sz="0" w:space="0" w:color="auto"/>
            <w:bottom w:val="none" w:sz="0" w:space="0" w:color="auto"/>
            <w:right w:val="none" w:sz="0" w:space="0" w:color="auto"/>
          </w:divBdr>
        </w:div>
        <w:div w:id="142477066">
          <w:marLeft w:val="0"/>
          <w:marRight w:val="0"/>
          <w:marTop w:val="0"/>
          <w:marBottom w:val="0"/>
          <w:divBdr>
            <w:top w:val="none" w:sz="0" w:space="0" w:color="auto"/>
            <w:left w:val="none" w:sz="0" w:space="0" w:color="auto"/>
            <w:bottom w:val="none" w:sz="0" w:space="0" w:color="auto"/>
            <w:right w:val="none" w:sz="0" w:space="0" w:color="auto"/>
          </w:divBdr>
        </w:div>
        <w:div w:id="158082153">
          <w:marLeft w:val="0"/>
          <w:marRight w:val="0"/>
          <w:marTop w:val="0"/>
          <w:marBottom w:val="0"/>
          <w:divBdr>
            <w:top w:val="none" w:sz="0" w:space="0" w:color="auto"/>
            <w:left w:val="none" w:sz="0" w:space="0" w:color="auto"/>
            <w:bottom w:val="none" w:sz="0" w:space="0" w:color="auto"/>
            <w:right w:val="none" w:sz="0" w:space="0" w:color="auto"/>
          </w:divBdr>
        </w:div>
        <w:div w:id="159125638">
          <w:marLeft w:val="0"/>
          <w:marRight w:val="0"/>
          <w:marTop w:val="0"/>
          <w:marBottom w:val="0"/>
          <w:divBdr>
            <w:top w:val="none" w:sz="0" w:space="0" w:color="auto"/>
            <w:left w:val="none" w:sz="0" w:space="0" w:color="auto"/>
            <w:bottom w:val="none" w:sz="0" w:space="0" w:color="auto"/>
            <w:right w:val="none" w:sz="0" w:space="0" w:color="auto"/>
          </w:divBdr>
        </w:div>
        <w:div w:id="190607806">
          <w:marLeft w:val="0"/>
          <w:marRight w:val="0"/>
          <w:marTop w:val="0"/>
          <w:marBottom w:val="0"/>
          <w:divBdr>
            <w:top w:val="none" w:sz="0" w:space="0" w:color="auto"/>
            <w:left w:val="none" w:sz="0" w:space="0" w:color="auto"/>
            <w:bottom w:val="none" w:sz="0" w:space="0" w:color="auto"/>
            <w:right w:val="none" w:sz="0" w:space="0" w:color="auto"/>
          </w:divBdr>
        </w:div>
        <w:div w:id="212927000">
          <w:marLeft w:val="0"/>
          <w:marRight w:val="0"/>
          <w:marTop w:val="0"/>
          <w:marBottom w:val="0"/>
          <w:divBdr>
            <w:top w:val="none" w:sz="0" w:space="0" w:color="auto"/>
            <w:left w:val="none" w:sz="0" w:space="0" w:color="auto"/>
            <w:bottom w:val="none" w:sz="0" w:space="0" w:color="auto"/>
            <w:right w:val="none" w:sz="0" w:space="0" w:color="auto"/>
          </w:divBdr>
        </w:div>
        <w:div w:id="221908652">
          <w:marLeft w:val="0"/>
          <w:marRight w:val="0"/>
          <w:marTop w:val="0"/>
          <w:marBottom w:val="0"/>
          <w:divBdr>
            <w:top w:val="none" w:sz="0" w:space="0" w:color="auto"/>
            <w:left w:val="none" w:sz="0" w:space="0" w:color="auto"/>
            <w:bottom w:val="none" w:sz="0" w:space="0" w:color="auto"/>
            <w:right w:val="none" w:sz="0" w:space="0" w:color="auto"/>
          </w:divBdr>
        </w:div>
        <w:div w:id="223030707">
          <w:marLeft w:val="0"/>
          <w:marRight w:val="0"/>
          <w:marTop w:val="0"/>
          <w:marBottom w:val="0"/>
          <w:divBdr>
            <w:top w:val="none" w:sz="0" w:space="0" w:color="auto"/>
            <w:left w:val="none" w:sz="0" w:space="0" w:color="auto"/>
            <w:bottom w:val="none" w:sz="0" w:space="0" w:color="auto"/>
            <w:right w:val="none" w:sz="0" w:space="0" w:color="auto"/>
          </w:divBdr>
        </w:div>
        <w:div w:id="224797902">
          <w:marLeft w:val="0"/>
          <w:marRight w:val="0"/>
          <w:marTop w:val="0"/>
          <w:marBottom w:val="0"/>
          <w:divBdr>
            <w:top w:val="none" w:sz="0" w:space="0" w:color="auto"/>
            <w:left w:val="none" w:sz="0" w:space="0" w:color="auto"/>
            <w:bottom w:val="none" w:sz="0" w:space="0" w:color="auto"/>
            <w:right w:val="none" w:sz="0" w:space="0" w:color="auto"/>
          </w:divBdr>
        </w:div>
        <w:div w:id="257491049">
          <w:marLeft w:val="0"/>
          <w:marRight w:val="0"/>
          <w:marTop w:val="0"/>
          <w:marBottom w:val="0"/>
          <w:divBdr>
            <w:top w:val="none" w:sz="0" w:space="0" w:color="auto"/>
            <w:left w:val="none" w:sz="0" w:space="0" w:color="auto"/>
            <w:bottom w:val="none" w:sz="0" w:space="0" w:color="auto"/>
            <w:right w:val="none" w:sz="0" w:space="0" w:color="auto"/>
          </w:divBdr>
        </w:div>
        <w:div w:id="269431491">
          <w:marLeft w:val="0"/>
          <w:marRight w:val="0"/>
          <w:marTop w:val="0"/>
          <w:marBottom w:val="0"/>
          <w:divBdr>
            <w:top w:val="none" w:sz="0" w:space="0" w:color="auto"/>
            <w:left w:val="none" w:sz="0" w:space="0" w:color="auto"/>
            <w:bottom w:val="none" w:sz="0" w:space="0" w:color="auto"/>
            <w:right w:val="none" w:sz="0" w:space="0" w:color="auto"/>
          </w:divBdr>
        </w:div>
        <w:div w:id="289171643">
          <w:marLeft w:val="0"/>
          <w:marRight w:val="0"/>
          <w:marTop w:val="0"/>
          <w:marBottom w:val="0"/>
          <w:divBdr>
            <w:top w:val="none" w:sz="0" w:space="0" w:color="auto"/>
            <w:left w:val="none" w:sz="0" w:space="0" w:color="auto"/>
            <w:bottom w:val="none" w:sz="0" w:space="0" w:color="auto"/>
            <w:right w:val="none" w:sz="0" w:space="0" w:color="auto"/>
          </w:divBdr>
        </w:div>
        <w:div w:id="307713971">
          <w:marLeft w:val="0"/>
          <w:marRight w:val="0"/>
          <w:marTop w:val="0"/>
          <w:marBottom w:val="0"/>
          <w:divBdr>
            <w:top w:val="none" w:sz="0" w:space="0" w:color="auto"/>
            <w:left w:val="none" w:sz="0" w:space="0" w:color="auto"/>
            <w:bottom w:val="none" w:sz="0" w:space="0" w:color="auto"/>
            <w:right w:val="none" w:sz="0" w:space="0" w:color="auto"/>
          </w:divBdr>
        </w:div>
        <w:div w:id="357968445">
          <w:marLeft w:val="0"/>
          <w:marRight w:val="0"/>
          <w:marTop w:val="0"/>
          <w:marBottom w:val="0"/>
          <w:divBdr>
            <w:top w:val="none" w:sz="0" w:space="0" w:color="auto"/>
            <w:left w:val="none" w:sz="0" w:space="0" w:color="auto"/>
            <w:bottom w:val="none" w:sz="0" w:space="0" w:color="auto"/>
            <w:right w:val="none" w:sz="0" w:space="0" w:color="auto"/>
          </w:divBdr>
        </w:div>
        <w:div w:id="363600791">
          <w:marLeft w:val="0"/>
          <w:marRight w:val="0"/>
          <w:marTop w:val="0"/>
          <w:marBottom w:val="0"/>
          <w:divBdr>
            <w:top w:val="none" w:sz="0" w:space="0" w:color="auto"/>
            <w:left w:val="none" w:sz="0" w:space="0" w:color="auto"/>
            <w:bottom w:val="none" w:sz="0" w:space="0" w:color="auto"/>
            <w:right w:val="none" w:sz="0" w:space="0" w:color="auto"/>
          </w:divBdr>
          <w:divsChild>
            <w:div w:id="242569137">
              <w:marLeft w:val="0"/>
              <w:marRight w:val="0"/>
              <w:marTop w:val="0"/>
              <w:marBottom w:val="0"/>
              <w:divBdr>
                <w:top w:val="none" w:sz="0" w:space="0" w:color="auto"/>
                <w:left w:val="none" w:sz="0" w:space="0" w:color="auto"/>
                <w:bottom w:val="none" w:sz="0" w:space="0" w:color="auto"/>
                <w:right w:val="none" w:sz="0" w:space="0" w:color="auto"/>
              </w:divBdr>
            </w:div>
            <w:div w:id="244654110">
              <w:marLeft w:val="0"/>
              <w:marRight w:val="0"/>
              <w:marTop w:val="0"/>
              <w:marBottom w:val="0"/>
              <w:divBdr>
                <w:top w:val="none" w:sz="0" w:space="0" w:color="auto"/>
                <w:left w:val="none" w:sz="0" w:space="0" w:color="auto"/>
                <w:bottom w:val="none" w:sz="0" w:space="0" w:color="auto"/>
                <w:right w:val="none" w:sz="0" w:space="0" w:color="auto"/>
              </w:divBdr>
            </w:div>
            <w:div w:id="255212648">
              <w:marLeft w:val="0"/>
              <w:marRight w:val="0"/>
              <w:marTop w:val="0"/>
              <w:marBottom w:val="0"/>
              <w:divBdr>
                <w:top w:val="none" w:sz="0" w:space="0" w:color="auto"/>
                <w:left w:val="none" w:sz="0" w:space="0" w:color="auto"/>
                <w:bottom w:val="none" w:sz="0" w:space="0" w:color="auto"/>
                <w:right w:val="none" w:sz="0" w:space="0" w:color="auto"/>
              </w:divBdr>
            </w:div>
            <w:div w:id="287322108">
              <w:marLeft w:val="0"/>
              <w:marRight w:val="0"/>
              <w:marTop w:val="0"/>
              <w:marBottom w:val="0"/>
              <w:divBdr>
                <w:top w:val="none" w:sz="0" w:space="0" w:color="auto"/>
                <w:left w:val="none" w:sz="0" w:space="0" w:color="auto"/>
                <w:bottom w:val="none" w:sz="0" w:space="0" w:color="auto"/>
                <w:right w:val="none" w:sz="0" w:space="0" w:color="auto"/>
              </w:divBdr>
            </w:div>
            <w:div w:id="861093068">
              <w:marLeft w:val="0"/>
              <w:marRight w:val="0"/>
              <w:marTop w:val="0"/>
              <w:marBottom w:val="0"/>
              <w:divBdr>
                <w:top w:val="none" w:sz="0" w:space="0" w:color="auto"/>
                <w:left w:val="none" w:sz="0" w:space="0" w:color="auto"/>
                <w:bottom w:val="none" w:sz="0" w:space="0" w:color="auto"/>
                <w:right w:val="none" w:sz="0" w:space="0" w:color="auto"/>
              </w:divBdr>
            </w:div>
            <w:div w:id="862748430">
              <w:marLeft w:val="0"/>
              <w:marRight w:val="0"/>
              <w:marTop w:val="0"/>
              <w:marBottom w:val="0"/>
              <w:divBdr>
                <w:top w:val="none" w:sz="0" w:space="0" w:color="auto"/>
                <w:left w:val="none" w:sz="0" w:space="0" w:color="auto"/>
                <w:bottom w:val="none" w:sz="0" w:space="0" w:color="auto"/>
                <w:right w:val="none" w:sz="0" w:space="0" w:color="auto"/>
              </w:divBdr>
            </w:div>
            <w:div w:id="955600636">
              <w:marLeft w:val="0"/>
              <w:marRight w:val="0"/>
              <w:marTop w:val="0"/>
              <w:marBottom w:val="0"/>
              <w:divBdr>
                <w:top w:val="none" w:sz="0" w:space="0" w:color="auto"/>
                <w:left w:val="none" w:sz="0" w:space="0" w:color="auto"/>
                <w:bottom w:val="none" w:sz="0" w:space="0" w:color="auto"/>
                <w:right w:val="none" w:sz="0" w:space="0" w:color="auto"/>
              </w:divBdr>
            </w:div>
            <w:div w:id="1027566314">
              <w:marLeft w:val="0"/>
              <w:marRight w:val="0"/>
              <w:marTop w:val="0"/>
              <w:marBottom w:val="0"/>
              <w:divBdr>
                <w:top w:val="none" w:sz="0" w:space="0" w:color="auto"/>
                <w:left w:val="none" w:sz="0" w:space="0" w:color="auto"/>
                <w:bottom w:val="none" w:sz="0" w:space="0" w:color="auto"/>
                <w:right w:val="none" w:sz="0" w:space="0" w:color="auto"/>
              </w:divBdr>
            </w:div>
            <w:div w:id="1154881907">
              <w:marLeft w:val="0"/>
              <w:marRight w:val="0"/>
              <w:marTop w:val="0"/>
              <w:marBottom w:val="0"/>
              <w:divBdr>
                <w:top w:val="none" w:sz="0" w:space="0" w:color="auto"/>
                <w:left w:val="none" w:sz="0" w:space="0" w:color="auto"/>
                <w:bottom w:val="none" w:sz="0" w:space="0" w:color="auto"/>
                <w:right w:val="none" w:sz="0" w:space="0" w:color="auto"/>
              </w:divBdr>
            </w:div>
            <w:div w:id="1258249619">
              <w:marLeft w:val="0"/>
              <w:marRight w:val="0"/>
              <w:marTop w:val="0"/>
              <w:marBottom w:val="0"/>
              <w:divBdr>
                <w:top w:val="none" w:sz="0" w:space="0" w:color="auto"/>
                <w:left w:val="none" w:sz="0" w:space="0" w:color="auto"/>
                <w:bottom w:val="none" w:sz="0" w:space="0" w:color="auto"/>
                <w:right w:val="none" w:sz="0" w:space="0" w:color="auto"/>
              </w:divBdr>
            </w:div>
            <w:div w:id="1327709035">
              <w:marLeft w:val="0"/>
              <w:marRight w:val="0"/>
              <w:marTop w:val="0"/>
              <w:marBottom w:val="0"/>
              <w:divBdr>
                <w:top w:val="none" w:sz="0" w:space="0" w:color="auto"/>
                <w:left w:val="none" w:sz="0" w:space="0" w:color="auto"/>
                <w:bottom w:val="none" w:sz="0" w:space="0" w:color="auto"/>
                <w:right w:val="none" w:sz="0" w:space="0" w:color="auto"/>
              </w:divBdr>
            </w:div>
            <w:div w:id="1742756343">
              <w:marLeft w:val="0"/>
              <w:marRight w:val="0"/>
              <w:marTop w:val="0"/>
              <w:marBottom w:val="0"/>
              <w:divBdr>
                <w:top w:val="none" w:sz="0" w:space="0" w:color="auto"/>
                <w:left w:val="none" w:sz="0" w:space="0" w:color="auto"/>
                <w:bottom w:val="none" w:sz="0" w:space="0" w:color="auto"/>
                <w:right w:val="none" w:sz="0" w:space="0" w:color="auto"/>
              </w:divBdr>
            </w:div>
            <w:div w:id="1783111309">
              <w:marLeft w:val="0"/>
              <w:marRight w:val="0"/>
              <w:marTop w:val="0"/>
              <w:marBottom w:val="0"/>
              <w:divBdr>
                <w:top w:val="none" w:sz="0" w:space="0" w:color="auto"/>
                <w:left w:val="none" w:sz="0" w:space="0" w:color="auto"/>
                <w:bottom w:val="none" w:sz="0" w:space="0" w:color="auto"/>
                <w:right w:val="none" w:sz="0" w:space="0" w:color="auto"/>
              </w:divBdr>
            </w:div>
            <w:div w:id="1791587658">
              <w:marLeft w:val="0"/>
              <w:marRight w:val="0"/>
              <w:marTop w:val="0"/>
              <w:marBottom w:val="0"/>
              <w:divBdr>
                <w:top w:val="none" w:sz="0" w:space="0" w:color="auto"/>
                <w:left w:val="none" w:sz="0" w:space="0" w:color="auto"/>
                <w:bottom w:val="none" w:sz="0" w:space="0" w:color="auto"/>
                <w:right w:val="none" w:sz="0" w:space="0" w:color="auto"/>
              </w:divBdr>
            </w:div>
            <w:div w:id="1795634400">
              <w:marLeft w:val="0"/>
              <w:marRight w:val="0"/>
              <w:marTop w:val="0"/>
              <w:marBottom w:val="0"/>
              <w:divBdr>
                <w:top w:val="none" w:sz="0" w:space="0" w:color="auto"/>
                <w:left w:val="none" w:sz="0" w:space="0" w:color="auto"/>
                <w:bottom w:val="none" w:sz="0" w:space="0" w:color="auto"/>
                <w:right w:val="none" w:sz="0" w:space="0" w:color="auto"/>
              </w:divBdr>
            </w:div>
            <w:div w:id="1863780084">
              <w:marLeft w:val="0"/>
              <w:marRight w:val="0"/>
              <w:marTop w:val="0"/>
              <w:marBottom w:val="0"/>
              <w:divBdr>
                <w:top w:val="none" w:sz="0" w:space="0" w:color="auto"/>
                <w:left w:val="none" w:sz="0" w:space="0" w:color="auto"/>
                <w:bottom w:val="none" w:sz="0" w:space="0" w:color="auto"/>
                <w:right w:val="none" w:sz="0" w:space="0" w:color="auto"/>
              </w:divBdr>
            </w:div>
            <w:div w:id="1956206189">
              <w:marLeft w:val="0"/>
              <w:marRight w:val="0"/>
              <w:marTop w:val="0"/>
              <w:marBottom w:val="0"/>
              <w:divBdr>
                <w:top w:val="none" w:sz="0" w:space="0" w:color="auto"/>
                <w:left w:val="none" w:sz="0" w:space="0" w:color="auto"/>
                <w:bottom w:val="none" w:sz="0" w:space="0" w:color="auto"/>
                <w:right w:val="none" w:sz="0" w:space="0" w:color="auto"/>
              </w:divBdr>
            </w:div>
            <w:div w:id="2004047840">
              <w:marLeft w:val="0"/>
              <w:marRight w:val="0"/>
              <w:marTop w:val="0"/>
              <w:marBottom w:val="0"/>
              <w:divBdr>
                <w:top w:val="none" w:sz="0" w:space="0" w:color="auto"/>
                <w:left w:val="none" w:sz="0" w:space="0" w:color="auto"/>
                <w:bottom w:val="none" w:sz="0" w:space="0" w:color="auto"/>
                <w:right w:val="none" w:sz="0" w:space="0" w:color="auto"/>
              </w:divBdr>
            </w:div>
          </w:divsChild>
        </w:div>
        <w:div w:id="381633957">
          <w:marLeft w:val="0"/>
          <w:marRight w:val="0"/>
          <w:marTop w:val="0"/>
          <w:marBottom w:val="0"/>
          <w:divBdr>
            <w:top w:val="none" w:sz="0" w:space="0" w:color="auto"/>
            <w:left w:val="none" w:sz="0" w:space="0" w:color="auto"/>
            <w:bottom w:val="none" w:sz="0" w:space="0" w:color="auto"/>
            <w:right w:val="none" w:sz="0" w:space="0" w:color="auto"/>
          </w:divBdr>
        </w:div>
        <w:div w:id="381711527">
          <w:marLeft w:val="0"/>
          <w:marRight w:val="0"/>
          <w:marTop w:val="0"/>
          <w:marBottom w:val="0"/>
          <w:divBdr>
            <w:top w:val="none" w:sz="0" w:space="0" w:color="auto"/>
            <w:left w:val="none" w:sz="0" w:space="0" w:color="auto"/>
            <w:bottom w:val="none" w:sz="0" w:space="0" w:color="auto"/>
            <w:right w:val="none" w:sz="0" w:space="0" w:color="auto"/>
          </w:divBdr>
        </w:div>
        <w:div w:id="427776601">
          <w:marLeft w:val="0"/>
          <w:marRight w:val="0"/>
          <w:marTop w:val="0"/>
          <w:marBottom w:val="0"/>
          <w:divBdr>
            <w:top w:val="none" w:sz="0" w:space="0" w:color="auto"/>
            <w:left w:val="none" w:sz="0" w:space="0" w:color="auto"/>
            <w:bottom w:val="none" w:sz="0" w:space="0" w:color="auto"/>
            <w:right w:val="none" w:sz="0" w:space="0" w:color="auto"/>
          </w:divBdr>
        </w:div>
        <w:div w:id="462356650">
          <w:marLeft w:val="0"/>
          <w:marRight w:val="0"/>
          <w:marTop w:val="0"/>
          <w:marBottom w:val="0"/>
          <w:divBdr>
            <w:top w:val="none" w:sz="0" w:space="0" w:color="auto"/>
            <w:left w:val="none" w:sz="0" w:space="0" w:color="auto"/>
            <w:bottom w:val="none" w:sz="0" w:space="0" w:color="auto"/>
            <w:right w:val="none" w:sz="0" w:space="0" w:color="auto"/>
          </w:divBdr>
        </w:div>
        <w:div w:id="492453674">
          <w:marLeft w:val="0"/>
          <w:marRight w:val="0"/>
          <w:marTop w:val="0"/>
          <w:marBottom w:val="0"/>
          <w:divBdr>
            <w:top w:val="none" w:sz="0" w:space="0" w:color="auto"/>
            <w:left w:val="none" w:sz="0" w:space="0" w:color="auto"/>
            <w:bottom w:val="none" w:sz="0" w:space="0" w:color="auto"/>
            <w:right w:val="none" w:sz="0" w:space="0" w:color="auto"/>
          </w:divBdr>
        </w:div>
        <w:div w:id="564335403">
          <w:marLeft w:val="0"/>
          <w:marRight w:val="0"/>
          <w:marTop w:val="0"/>
          <w:marBottom w:val="0"/>
          <w:divBdr>
            <w:top w:val="none" w:sz="0" w:space="0" w:color="auto"/>
            <w:left w:val="none" w:sz="0" w:space="0" w:color="auto"/>
            <w:bottom w:val="none" w:sz="0" w:space="0" w:color="auto"/>
            <w:right w:val="none" w:sz="0" w:space="0" w:color="auto"/>
          </w:divBdr>
        </w:div>
        <w:div w:id="583761553">
          <w:marLeft w:val="0"/>
          <w:marRight w:val="0"/>
          <w:marTop w:val="0"/>
          <w:marBottom w:val="0"/>
          <w:divBdr>
            <w:top w:val="none" w:sz="0" w:space="0" w:color="auto"/>
            <w:left w:val="none" w:sz="0" w:space="0" w:color="auto"/>
            <w:bottom w:val="none" w:sz="0" w:space="0" w:color="auto"/>
            <w:right w:val="none" w:sz="0" w:space="0" w:color="auto"/>
          </w:divBdr>
        </w:div>
        <w:div w:id="642851542">
          <w:marLeft w:val="0"/>
          <w:marRight w:val="0"/>
          <w:marTop w:val="0"/>
          <w:marBottom w:val="0"/>
          <w:divBdr>
            <w:top w:val="none" w:sz="0" w:space="0" w:color="auto"/>
            <w:left w:val="none" w:sz="0" w:space="0" w:color="auto"/>
            <w:bottom w:val="none" w:sz="0" w:space="0" w:color="auto"/>
            <w:right w:val="none" w:sz="0" w:space="0" w:color="auto"/>
          </w:divBdr>
        </w:div>
        <w:div w:id="649284775">
          <w:marLeft w:val="0"/>
          <w:marRight w:val="0"/>
          <w:marTop w:val="0"/>
          <w:marBottom w:val="0"/>
          <w:divBdr>
            <w:top w:val="none" w:sz="0" w:space="0" w:color="auto"/>
            <w:left w:val="none" w:sz="0" w:space="0" w:color="auto"/>
            <w:bottom w:val="none" w:sz="0" w:space="0" w:color="auto"/>
            <w:right w:val="none" w:sz="0" w:space="0" w:color="auto"/>
          </w:divBdr>
        </w:div>
        <w:div w:id="684786602">
          <w:marLeft w:val="0"/>
          <w:marRight w:val="0"/>
          <w:marTop w:val="0"/>
          <w:marBottom w:val="0"/>
          <w:divBdr>
            <w:top w:val="none" w:sz="0" w:space="0" w:color="auto"/>
            <w:left w:val="none" w:sz="0" w:space="0" w:color="auto"/>
            <w:bottom w:val="none" w:sz="0" w:space="0" w:color="auto"/>
            <w:right w:val="none" w:sz="0" w:space="0" w:color="auto"/>
          </w:divBdr>
        </w:div>
        <w:div w:id="691686084">
          <w:marLeft w:val="0"/>
          <w:marRight w:val="0"/>
          <w:marTop w:val="0"/>
          <w:marBottom w:val="0"/>
          <w:divBdr>
            <w:top w:val="none" w:sz="0" w:space="0" w:color="auto"/>
            <w:left w:val="none" w:sz="0" w:space="0" w:color="auto"/>
            <w:bottom w:val="none" w:sz="0" w:space="0" w:color="auto"/>
            <w:right w:val="none" w:sz="0" w:space="0" w:color="auto"/>
          </w:divBdr>
        </w:div>
        <w:div w:id="701629695">
          <w:marLeft w:val="0"/>
          <w:marRight w:val="0"/>
          <w:marTop w:val="0"/>
          <w:marBottom w:val="0"/>
          <w:divBdr>
            <w:top w:val="none" w:sz="0" w:space="0" w:color="auto"/>
            <w:left w:val="none" w:sz="0" w:space="0" w:color="auto"/>
            <w:bottom w:val="none" w:sz="0" w:space="0" w:color="auto"/>
            <w:right w:val="none" w:sz="0" w:space="0" w:color="auto"/>
          </w:divBdr>
          <w:divsChild>
            <w:div w:id="84344975">
              <w:marLeft w:val="0"/>
              <w:marRight w:val="0"/>
              <w:marTop w:val="0"/>
              <w:marBottom w:val="0"/>
              <w:divBdr>
                <w:top w:val="none" w:sz="0" w:space="0" w:color="auto"/>
                <w:left w:val="none" w:sz="0" w:space="0" w:color="auto"/>
                <w:bottom w:val="none" w:sz="0" w:space="0" w:color="auto"/>
                <w:right w:val="none" w:sz="0" w:space="0" w:color="auto"/>
              </w:divBdr>
            </w:div>
            <w:div w:id="344551466">
              <w:marLeft w:val="0"/>
              <w:marRight w:val="0"/>
              <w:marTop w:val="0"/>
              <w:marBottom w:val="0"/>
              <w:divBdr>
                <w:top w:val="none" w:sz="0" w:space="0" w:color="auto"/>
                <w:left w:val="none" w:sz="0" w:space="0" w:color="auto"/>
                <w:bottom w:val="none" w:sz="0" w:space="0" w:color="auto"/>
                <w:right w:val="none" w:sz="0" w:space="0" w:color="auto"/>
              </w:divBdr>
            </w:div>
            <w:div w:id="787316339">
              <w:marLeft w:val="0"/>
              <w:marRight w:val="0"/>
              <w:marTop w:val="0"/>
              <w:marBottom w:val="0"/>
              <w:divBdr>
                <w:top w:val="none" w:sz="0" w:space="0" w:color="auto"/>
                <w:left w:val="none" w:sz="0" w:space="0" w:color="auto"/>
                <w:bottom w:val="none" w:sz="0" w:space="0" w:color="auto"/>
                <w:right w:val="none" w:sz="0" w:space="0" w:color="auto"/>
              </w:divBdr>
            </w:div>
            <w:div w:id="863401508">
              <w:marLeft w:val="0"/>
              <w:marRight w:val="0"/>
              <w:marTop w:val="0"/>
              <w:marBottom w:val="0"/>
              <w:divBdr>
                <w:top w:val="none" w:sz="0" w:space="0" w:color="auto"/>
                <w:left w:val="none" w:sz="0" w:space="0" w:color="auto"/>
                <w:bottom w:val="none" w:sz="0" w:space="0" w:color="auto"/>
                <w:right w:val="none" w:sz="0" w:space="0" w:color="auto"/>
              </w:divBdr>
            </w:div>
            <w:div w:id="958758301">
              <w:marLeft w:val="0"/>
              <w:marRight w:val="0"/>
              <w:marTop w:val="0"/>
              <w:marBottom w:val="0"/>
              <w:divBdr>
                <w:top w:val="none" w:sz="0" w:space="0" w:color="auto"/>
                <w:left w:val="none" w:sz="0" w:space="0" w:color="auto"/>
                <w:bottom w:val="none" w:sz="0" w:space="0" w:color="auto"/>
                <w:right w:val="none" w:sz="0" w:space="0" w:color="auto"/>
              </w:divBdr>
            </w:div>
            <w:div w:id="1213888148">
              <w:marLeft w:val="0"/>
              <w:marRight w:val="0"/>
              <w:marTop w:val="0"/>
              <w:marBottom w:val="0"/>
              <w:divBdr>
                <w:top w:val="none" w:sz="0" w:space="0" w:color="auto"/>
                <w:left w:val="none" w:sz="0" w:space="0" w:color="auto"/>
                <w:bottom w:val="none" w:sz="0" w:space="0" w:color="auto"/>
                <w:right w:val="none" w:sz="0" w:space="0" w:color="auto"/>
              </w:divBdr>
            </w:div>
            <w:div w:id="1221019565">
              <w:marLeft w:val="0"/>
              <w:marRight w:val="0"/>
              <w:marTop w:val="0"/>
              <w:marBottom w:val="0"/>
              <w:divBdr>
                <w:top w:val="none" w:sz="0" w:space="0" w:color="auto"/>
                <w:left w:val="none" w:sz="0" w:space="0" w:color="auto"/>
                <w:bottom w:val="none" w:sz="0" w:space="0" w:color="auto"/>
                <w:right w:val="none" w:sz="0" w:space="0" w:color="auto"/>
              </w:divBdr>
            </w:div>
            <w:div w:id="1282298578">
              <w:marLeft w:val="0"/>
              <w:marRight w:val="0"/>
              <w:marTop w:val="0"/>
              <w:marBottom w:val="0"/>
              <w:divBdr>
                <w:top w:val="none" w:sz="0" w:space="0" w:color="auto"/>
                <w:left w:val="none" w:sz="0" w:space="0" w:color="auto"/>
                <w:bottom w:val="none" w:sz="0" w:space="0" w:color="auto"/>
                <w:right w:val="none" w:sz="0" w:space="0" w:color="auto"/>
              </w:divBdr>
            </w:div>
            <w:div w:id="1373921264">
              <w:marLeft w:val="0"/>
              <w:marRight w:val="0"/>
              <w:marTop w:val="0"/>
              <w:marBottom w:val="0"/>
              <w:divBdr>
                <w:top w:val="none" w:sz="0" w:space="0" w:color="auto"/>
                <w:left w:val="none" w:sz="0" w:space="0" w:color="auto"/>
                <w:bottom w:val="none" w:sz="0" w:space="0" w:color="auto"/>
                <w:right w:val="none" w:sz="0" w:space="0" w:color="auto"/>
              </w:divBdr>
            </w:div>
            <w:div w:id="1519075758">
              <w:marLeft w:val="0"/>
              <w:marRight w:val="0"/>
              <w:marTop w:val="0"/>
              <w:marBottom w:val="0"/>
              <w:divBdr>
                <w:top w:val="none" w:sz="0" w:space="0" w:color="auto"/>
                <w:left w:val="none" w:sz="0" w:space="0" w:color="auto"/>
                <w:bottom w:val="none" w:sz="0" w:space="0" w:color="auto"/>
                <w:right w:val="none" w:sz="0" w:space="0" w:color="auto"/>
              </w:divBdr>
            </w:div>
            <w:div w:id="1520925978">
              <w:marLeft w:val="0"/>
              <w:marRight w:val="0"/>
              <w:marTop w:val="0"/>
              <w:marBottom w:val="0"/>
              <w:divBdr>
                <w:top w:val="none" w:sz="0" w:space="0" w:color="auto"/>
                <w:left w:val="none" w:sz="0" w:space="0" w:color="auto"/>
                <w:bottom w:val="none" w:sz="0" w:space="0" w:color="auto"/>
                <w:right w:val="none" w:sz="0" w:space="0" w:color="auto"/>
              </w:divBdr>
            </w:div>
            <w:div w:id="1986473022">
              <w:marLeft w:val="0"/>
              <w:marRight w:val="0"/>
              <w:marTop w:val="0"/>
              <w:marBottom w:val="0"/>
              <w:divBdr>
                <w:top w:val="none" w:sz="0" w:space="0" w:color="auto"/>
                <w:left w:val="none" w:sz="0" w:space="0" w:color="auto"/>
                <w:bottom w:val="none" w:sz="0" w:space="0" w:color="auto"/>
                <w:right w:val="none" w:sz="0" w:space="0" w:color="auto"/>
              </w:divBdr>
            </w:div>
            <w:div w:id="2036151475">
              <w:marLeft w:val="0"/>
              <w:marRight w:val="0"/>
              <w:marTop w:val="0"/>
              <w:marBottom w:val="0"/>
              <w:divBdr>
                <w:top w:val="none" w:sz="0" w:space="0" w:color="auto"/>
                <w:left w:val="none" w:sz="0" w:space="0" w:color="auto"/>
                <w:bottom w:val="none" w:sz="0" w:space="0" w:color="auto"/>
                <w:right w:val="none" w:sz="0" w:space="0" w:color="auto"/>
              </w:divBdr>
            </w:div>
            <w:div w:id="2060201853">
              <w:marLeft w:val="0"/>
              <w:marRight w:val="0"/>
              <w:marTop w:val="0"/>
              <w:marBottom w:val="0"/>
              <w:divBdr>
                <w:top w:val="none" w:sz="0" w:space="0" w:color="auto"/>
                <w:left w:val="none" w:sz="0" w:space="0" w:color="auto"/>
                <w:bottom w:val="none" w:sz="0" w:space="0" w:color="auto"/>
                <w:right w:val="none" w:sz="0" w:space="0" w:color="auto"/>
              </w:divBdr>
            </w:div>
            <w:div w:id="2082482816">
              <w:marLeft w:val="0"/>
              <w:marRight w:val="0"/>
              <w:marTop w:val="0"/>
              <w:marBottom w:val="0"/>
              <w:divBdr>
                <w:top w:val="none" w:sz="0" w:space="0" w:color="auto"/>
                <w:left w:val="none" w:sz="0" w:space="0" w:color="auto"/>
                <w:bottom w:val="none" w:sz="0" w:space="0" w:color="auto"/>
                <w:right w:val="none" w:sz="0" w:space="0" w:color="auto"/>
              </w:divBdr>
            </w:div>
            <w:div w:id="2083944586">
              <w:marLeft w:val="0"/>
              <w:marRight w:val="0"/>
              <w:marTop w:val="0"/>
              <w:marBottom w:val="0"/>
              <w:divBdr>
                <w:top w:val="none" w:sz="0" w:space="0" w:color="auto"/>
                <w:left w:val="none" w:sz="0" w:space="0" w:color="auto"/>
                <w:bottom w:val="none" w:sz="0" w:space="0" w:color="auto"/>
                <w:right w:val="none" w:sz="0" w:space="0" w:color="auto"/>
              </w:divBdr>
            </w:div>
          </w:divsChild>
        </w:div>
        <w:div w:id="701829522">
          <w:marLeft w:val="0"/>
          <w:marRight w:val="0"/>
          <w:marTop w:val="0"/>
          <w:marBottom w:val="0"/>
          <w:divBdr>
            <w:top w:val="none" w:sz="0" w:space="0" w:color="auto"/>
            <w:left w:val="none" w:sz="0" w:space="0" w:color="auto"/>
            <w:bottom w:val="none" w:sz="0" w:space="0" w:color="auto"/>
            <w:right w:val="none" w:sz="0" w:space="0" w:color="auto"/>
          </w:divBdr>
        </w:div>
        <w:div w:id="716320234">
          <w:marLeft w:val="0"/>
          <w:marRight w:val="0"/>
          <w:marTop w:val="0"/>
          <w:marBottom w:val="0"/>
          <w:divBdr>
            <w:top w:val="none" w:sz="0" w:space="0" w:color="auto"/>
            <w:left w:val="none" w:sz="0" w:space="0" w:color="auto"/>
            <w:bottom w:val="none" w:sz="0" w:space="0" w:color="auto"/>
            <w:right w:val="none" w:sz="0" w:space="0" w:color="auto"/>
          </w:divBdr>
        </w:div>
        <w:div w:id="750808507">
          <w:marLeft w:val="0"/>
          <w:marRight w:val="0"/>
          <w:marTop w:val="0"/>
          <w:marBottom w:val="0"/>
          <w:divBdr>
            <w:top w:val="none" w:sz="0" w:space="0" w:color="auto"/>
            <w:left w:val="none" w:sz="0" w:space="0" w:color="auto"/>
            <w:bottom w:val="none" w:sz="0" w:space="0" w:color="auto"/>
            <w:right w:val="none" w:sz="0" w:space="0" w:color="auto"/>
          </w:divBdr>
        </w:div>
        <w:div w:id="756638318">
          <w:marLeft w:val="0"/>
          <w:marRight w:val="0"/>
          <w:marTop w:val="0"/>
          <w:marBottom w:val="0"/>
          <w:divBdr>
            <w:top w:val="none" w:sz="0" w:space="0" w:color="auto"/>
            <w:left w:val="none" w:sz="0" w:space="0" w:color="auto"/>
            <w:bottom w:val="none" w:sz="0" w:space="0" w:color="auto"/>
            <w:right w:val="none" w:sz="0" w:space="0" w:color="auto"/>
          </w:divBdr>
        </w:div>
        <w:div w:id="813251869">
          <w:marLeft w:val="0"/>
          <w:marRight w:val="0"/>
          <w:marTop w:val="0"/>
          <w:marBottom w:val="0"/>
          <w:divBdr>
            <w:top w:val="none" w:sz="0" w:space="0" w:color="auto"/>
            <w:left w:val="none" w:sz="0" w:space="0" w:color="auto"/>
            <w:bottom w:val="none" w:sz="0" w:space="0" w:color="auto"/>
            <w:right w:val="none" w:sz="0" w:space="0" w:color="auto"/>
          </w:divBdr>
        </w:div>
        <w:div w:id="860750750">
          <w:marLeft w:val="0"/>
          <w:marRight w:val="0"/>
          <w:marTop w:val="0"/>
          <w:marBottom w:val="0"/>
          <w:divBdr>
            <w:top w:val="none" w:sz="0" w:space="0" w:color="auto"/>
            <w:left w:val="none" w:sz="0" w:space="0" w:color="auto"/>
            <w:bottom w:val="none" w:sz="0" w:space="0" w:color="auto"/>
            <w:right w:val="none" w:sz="0" w:space="0" w:color="auto"/>
          </w:divBdr>
        </w:div>
        <w:div w:id="865607311">
          <w:marLeft w:val="0"/>
          <w:marRight w:val="0"/>
          <w:marTop w:val="0"/>
          <w:marBottom w:val="0"/>
          <w:divBdr>
            <w:top w:val="none" w:sz="0" w:space="0" w:color="auto"/>
            <w:left w:val="none" w:sz="0" w:space="0" w:color="auto"/>
            <w:bottom w:val="none" w:sz="0" w:space="0" w:color="auto"/>
            <w:right w:val="none" w:sz="0" w:space="0" w:color="auto"/>
          </w:divBdr>
        </w:div>
        <w:div w:id="900553886">
          <w:marLeft w:val="0"/>
          <w:marRight w:val="0"/>
          <w:marTop w:val="0"/>
          <w:marBottom w:val="0"/>
          <w:divBdr>
            <w:top w:val="none" w:sz="0" w:space="0" w:color="auto"/>
            <w:left w:val="none" w:sz="0" w:space="0" w:color="auto"/>
            <w:bottom w:val="none" w:sz="0" w:space="0" w:color="auto"/>
            <w:right w:val="none" w:sz="0" w:space="0" w:color="auto"/>
          </w:divBdr>
        </w:div>
        <w:div w:id="919868431">
          <w:marLeft w:val="0"/>
          <w:marRight w:val="0"/>
          <w:marTop w:val="0"/>
          <w:marBottom w:val="0"/>
          <w:divBdr>
            <w:top w:val="none" w:sz="0" w:space="0" w:color="auto"/>
            <w:left w:val="none" w:sz="0" w:space="0" w:color="auto"/>
            <w:bottom w:val="none" w:sz="0" w:space="0" w:color="auto"/>
            <w:right w:val="none" w:sz="0" w:space="0" w:color="auto"/>
          </w:divBdr>
        </w:div>
        <w:div w:id="976648803">
          <w:marLeft w:val="0"/>
          <w:marRight w:val="0"/>
          <w:marTop w:val="0"/>
          <w:marBottom w:val="0"/>
          <w:divBdr>
            <w:top w:val="none" w:sz="0" w:space="0" w:color="auto"/>
            <w:left w:val="none" w:sz="0" w:space="0" w:color="auto"/>
            <w:bottom w:val="none" w:sz="0" w:space="0" w:color="auto"/>
            <w:right w:val="none" w:sz="0" w:space="0" w:color="auto"/>
          </w:divBdr>
        </w:div>
        <w:div w:id="984549944">
          <w:marLeft w:val="0"/>
          <w:marRight w:val="0"/>
          <w:marTop w:val="0"/>
          <w:marBottom w:val="0"/>
          <w:divBdr>
            <w:top w:val="none" w:sz="0" w:space="0" w:color="auto"/>
            <w:left w:val="none" w:sz="0" w:space="0" w:color="auto"/>
            <w:bottom w:val="none" w:sz="0" w:space="0" w:color="auto"/>
            <w:right w:val="none" w:sz="0" w:space="0" w:color="auto"/>
          </w:divBdr>
        </w:div>
        <w:div w:id="1031566491">
          <w:marLeft w:val="0"/>
          <w:marRight w:val="0"/>
          <w:marTop w:val="0"/>
          <w:marBottom w:val="0"/>
          <w:divBdr>
            <w:top w:val="none" w:sz="0" w:space="0" w:color="auto"/>
            <w:left w:val="none" w:sz="0" w:space="0" w:color="auto"/>
            <w:bottom w:val="none" w:sz="0" w:space="0" w:color="auto"/>
            <w:right w:val="none" w:sz="0" w:space="0" w:color="auto"/>
          </w:divBdr>
        </w:div>
        <w:div w:id="1099058723">
          <w:marLeft w:val="0"/>
          <w:marRight w:val="0"/>
          <w:marTop w:val="0"/>
          <w:marBottom w:val="0"/>
          <w:divBdr>
            <w:top w:val="none" w:sz="0" w:space="0" w:color="auto"/>
            <w:left w:val="none" w:sz="0" w:space="0" w:color="auto"/>
            <w:bottom w:val="none" w:sz="0" w:space="0" w:color="auto"/>
            <w:right w:val="none" w:sz="0" w:space="0" w:color="auto"/>
          </w:divBdr>
        </w:div>
        <w:div w:id="1100293536">
          <w:marLeft w:val="0"/>
          <w:marRight w:val="0"/>
          <w:marTop w:val="0"/>
          <w:marBottom w:val="0"/>
          <w:divBdr>
            <w:top w:val="none" w:sz="0" w:space="0" w:color="auto"/>
            <w:left w:val="none" w:sz="0" w:space="0" w:color="auto"/>
            <w:bottom w:val="none" w:sz="0" w:space="0" w:color="auto"/>
            <w:right w:val="none" w:sz="0" w:space="0" w:color="auto"/>
          </w:divBdr>
        </w:div>
        <w:div w:id="1113357487">
          <w:marLeft w:val="0"/>
          <w:marRight w:val="0"/>
          <w:marTop w:val="0"/>
          <w:marBottom w:val="0"/>
          <w:divBdr>
            <w:top w:val="none" w:sz="0" w:space="0" w:color="auto"/>
            <w:left w:val="none" w:sz="0" w:space="0" w:color="auto"/>
            <w:bottom w:val="none" w:sz="0" w:space="0" w:color="auto"/>
            <w:right w:val="none" w:sz="0" w:space="0" w:color="auto"/>
          </w:divBdr>
        </w:div>
        <w:div w:id="1141268243">
          <w:marLeft w:val="0"/>
          <w:marRight w:val="0"/>
          <w:marTop w:val="0"/>
          <w:marBottom w:val="0"/>
          <w:divBdr>
            <w:top w:val="none" w:sz="0" w:space="0" w:color="auto"/>
            <w:left w:val="none" w:sz="0" w:space="0" w:color="auto"/>
            <w:bottom w:val="none" w:sz="0" w:space="0" w:color="auto"/>
            <w:right w:val="none" w:sz="0" w:space="0" w:color="auto"/>
          </w:divBdr>
        </w:div>
        <w:div w:id="1165239262">
          <w:marLeft w:val="0"/>
          <w:marRight w:val="0"/>
          <w:marTop w:val="0"/>
          <w:marBottom w:val="0"/>
          <w:divBdr>
            <w:top w:val="none" w:sz="0" w:space="0" w:color="auto"/>
            <w:left w:val="none" w:sz="0" w:space="0" w:color="auto"/>
            <w:bottom w:val="none" w:sz="0" w:space="0" w:color="auto"/>
            <w:right w:val="none" w:sz="0" w:space="0" w:color="auto"/>
          </w:divBdr>
          <w:divsChild>
            <w:div w:id="1764720194">
              <w:marLeft w:val="-75"/>
              <w:marRight w:val="0"/>
              <w:marTop w:val="30"/>
              <w:marBottom w:val="30"/>
              <w:divBdr>
                <w:top w:val="none" w:sz="0" w:space="0" w:color="auto"/>
                <w:left w:val="none" w:sz="0" w:space="0" w:color="auto"/>
                <w:bottom w:val="none" w:sz="0" w:space="0" w:color="auto"/>
                <w:right w:val="none" w:sz="0" w:space="0" w:color="auto"/>
              </w:divBdr>
              <w:divsChild>
                <w:div w:id="109322250">
                  <w:marLeft w:val="0"/>
                  <w:marRight w:val="0"/>
                  <w:marTop w:val="0"/>
                  <w:marBottom w:val="0"/>
                  <w:divBdr>
                    <w:top w:val="none" w:sz="0" w:space="0" w:color="auto"/>
                    <w:left w:val="none" w:sz="0" w:space="0" w:color="auto"/>
                    <w:bottom w:val="none" w:sz="0" w:space="0" w:color="auto"/>
                    <w:right w:val="none" w:sz="0" w:space="0" w:color="auto"/>
                  </w:divBdr>
                  <w:divsChild>
                    <w:div w:id="2027511755">
                      <w:marLeft w:val="0"/>
                      <w:marRight w:val="0"/>
                      <w:marTop w:val="0"/>
                      <w:marBottom w:val="0"/>
                      <w:divBdr>
                        <w:top w:val="none" w:sz="0" w:space="0" w:color="auto"/>
                        <w:left w:val="none" w:sz="0" w:space="0" w:color="auto"/>
                        <w:bottom w:val="none" w:sz="0" w:space="0" w:color="auto"/>
                        <w:right w:val="none" w:sz="0" w:space="0" w:color="auto"/>
                      </w:divBdr>
                    </w:div>
                  </w:divsChild>
                </w:div>
                <w:div w:id="578372345">
                  <w:marLeft w:val="0"/>
                  <w:marRight w:val="0"/>
                  <w:marTop w:val="0"/>
                  <w:marBottom w:val="0"/>
                  <w:divBdr>
                    <w:top w:val="none" w:sz="0" w:space="0" w:color="auto"/>
                    <w:left w:val="none" w:sz="0" w:space="0" w:color="auto"/>
                    <w:bottom w:val="none" w:sz="0" w:space="0" w:color="auto"/>
                    <w:right w:val="none" w:sz="0" w:space="0" w:color="auto"/>
                  </w:divBdr>
                  <w:divsChild>
                    <w:div w:id="232593312">
                      <w:marLeft w:val="0"/>
                      <w:marRight w:val="0"/>
                      <w:marTop w:val="0"/>
                      <w:marBottom w:val="0"/>
                      <w:divBdr>
                        <w:top w:val="none" w:sz="0" w:space="0" w:color="auto"/>
                        <w:left w:val="none" w:sz="0" w:space="0" w:color="auto"/>
                        <w:bottom w:val="none" w:sz="0" w:space="0" w:color="auto"/>
                        <w:right w:val="none" w:sz="0" w:space="0" w:color="auto"/>
                      </w:divBdr>
                    </w:div>
                    <w:div w:id="245963370">
                      <w:marLeft w:val="0"/>
                      <w:marRight w:val="0"/>
                      <w:marTop w:val="0"/>
                      <w:marBottom w:val="0"/>
                      <w:divBdr>
                        <w:top w:val="none" w:sz="0" w:space="0" w:color="auto"/>
                        <w:left w:val="none" w:sz="0" w:space="0" w:color="auto"/>
                        <w:bottom w:val="none" w:sz="0" w:space="0" w:color="auto"/>
                        <w:right w:val="none" w:sz="0" w:space="0" w:color="auto"/>
                      </w:divBdr>
                    </w:div>
                    <w:div w:id="381442960">
                      <w:marLeft w:val="0"/>
                      <w:marRight w:val="0"/>
                      <w:marTop w:val="0"/>
                      <w:marBottom w:val="0"/>
                      <w:divBdr>
                        <w:top w:val="none" w:sz="0" w:space="0" w:color="auto"/>
                        <w:left w:val="none" w:sz="0" w:space="0" w:color="auto"/>
                        <w:bottom w:val="none" w:sz="0" w:space="0" w:color="auto"/>
                        <w:right w:val="none" w:sz="0" w:space="0" w:color="auto"/>
                      </w:divBdr>
                    </w:div>
                    <w:div w:id="539241417">
                      <w:marLeft w:val="0"/>
                      <w:marRight w:val="0"/>
                      <w:marTop w:val="0"/>
                      <w:marBottom w:val="0"/>
                      <w:divBdr>
                        <w:top w:val="none" w:sz="0" w:space="0" w:color="auto"/>
                        <w:left w:val="none" w:sz="0" w:space="0" w:color="auto"/>
                        <w:bottom w:val="none" w:sz="0" w:space="0" w:color="auto"/>
                        <w:right w:val="none" w:sz="0" w:space="0" w:color="auto"/>
                      </w:divBdr>
                    </w:div>
                    <w:div w:id="541669386">
                      <w:marLeft w:val="0"/>
                      <w:marRight w:val="0"/>
                      <w:marTop w:val="0"/>
                      <w:marBottom w:val="0"/>
                      <w:divBdr>
                        <w:top w:val="none" w:sz="0" w:space="0" w:color="auto"/>
                        <w:left w:val="none" w:sz="0" w:space="0" w:color="auto"/>
                        <w:bottom w:val="none" w:sz="0" w:space="0" w:color="auto"/>
                        <w:right w:val="none" w:sz="0" w:space="0" w:color="auto"/>
                      </w:divBdr>
                    </w:div>
                    <w:div w:id="559557185">
                      <w:marLeft w:val="0"/>
                      <w:marRight w:val="0"/>
                      <w:marTop w:val="0"/>
                      <w:marBottom w:val="0"/>
                      <w:divBdr>
                        <w:top w:val="none" w:sz="0" w:space="0" w:color="auto"/>
                        <w:left w:val="none" w:sz="0" w:space="0" w:color="auto"/>
                        <w:bottom w:val="none" w:sz="0" w:space="0" w:color="auto"/>
                        <w:right w:val="none" w:sz="0" w:space="0" w:color="auto"/>
                      </w:divBdr>
                    </w:div>
                    <w:div w:id="582639820">
                      <w:marLeft w:val="0"/>
                      <w:marRight w:val="0"/>
                      <w:marTop w:val="0"/>
                      <w:marBottom w:val="0"/>
                      <w:divBdr>
                        <w:top w:val="none" w:sz="0" w:space="0" w:color="auto"/>
                        <w:left w:val="none" w:sz="0" w:space="0" w:color="auto"/>
                        <w:bottom w:val="none" w:sz="0" w:space="0" w:color="auto"/>
                        <w:right w:val="none" w:sz="0" w:space="0" w:color="auto"/>
                      </w:divBdr>
                    </w:div>
                    <w:div w:id="610744151">
                      <w:marLeft w:val="0"/>
                      <w:marRight w:val="0"/>
                      <w:marTop w:val="0"/>
                      <w:marBottom w:val="0"/>
                      <w:divBdr>
                        <w:top w:val="none" w:sz="0" w:space="0" w:color="auto"/>
                        <w:left w:val="none" w:sz="0" w:space="0" w:color="auto"/>
                        <w:bottom w:val="none" w:sz="0" w:space="0" w:color="auto"/>
                        <w:right w:val="none" w:sz="0" w:space="0" w:color="auto"/>
                      </w:divBdr>
                    </w:div>
                    <w:div w:id="957222116">
                      <w:marLeft w:val="0"/>
                      <w:marRight w:val="0"/>
                      <w:marTop w:val="0"/>
                      <w:marBottom w:val="0"/>
                      <w:divBdr>
                        <w:top w:val="none" w:sz="0" w:space="0" w:color="auto"/>
                        <w:left w:val="none" w:sz="0" w:space="0" w:color="auto"/>
                        <w:bottom w:val="none" w:sz="0" w:space="0" w:color="auto"/>
                        <w:right w:val="none" w:sz="0" w:space="0" w:color="auto"/>
                      </w:divBdr>
                    </w:div>
                    <w:div w:id="974603819">
                      <w:marLeft w:val="0"/>
                      <w:marRight w:val="0"/>
                      <w:marTop w:val="0"/>
                      <w:marBottom w:val="0"/>
                      <w:divBdr>
                        <w:top w:val="none" w:sz="0" w:space="0" w:color="auto"/>
                        <w:left w:val="none" w:sz="0" w:space="0" w:color="auto"/>
                        <w:bottom w:val="none" w:sz="0" w:space="0" w:color="auto"/>
                        <w:right w:val="none" w:sz="0" w:space="0" w:color="auto"/>
                      </w:divBdr>
                    </w:div>
                    <w:div w:id="1048188013">
                      <w:marLeft w:val="0"/>
                      <w:marRight w:val="0"/>
                      <w:marTop w:val="0"/>
                      <w:marBottom w:val="0"/>
                      <w:divBdr>
                        <w:top w:val="none" w:sz="0" w:space="0" w:color="auto"/>
                        <w:left w:val="none" w:sz="0" w:space="0" w:color="auto"/>
                        <w:bottom w:val="none" w:sz="0" w:space="0" w:color="auto"/>
                        <w:right w:val="none" w:sz="0" w:space="0" w:color="auto"/>
                      </w:divBdr>
                    </w:div>
                    <w:div w:id="1697004095">
                      <w:marLeft w:val="0"/>
                      <w:marRight w:val="0"/>
                      <w:marTop w:val="0"/>
                      <w:marBottom w:val="0"/>
                      <w:divBdr>
                        <w:top w:val="none" w:sz="0" w:space="0" w:color="auto"/>
                        <w:left w:val="none" w:sz="0" w:space="0" w:color="auto"/>
                        <w:bottom w:val="none" w:sz="0" w:space="0" w:color="auto"/>
                        <w:right w:val="none" w:sz="0" w:space="0" w:color="auto"/>
                      </w:divBdr>
                    </w:div>
                    <w:div w:id="1733457429">
                      <w:marLeft w:val="0"/>
                      <w:marRight w:val="0"/>
                      <w:marTop w:val="0"/>
                      <w:marBottom w:val="0"/>
                      <w:divBdr>
                        <w:top w:val="none" w:sz="0" w:space="0" w:color="auto"/>
                        <w:left w:val="none" w:sz="0" w:space="0" w:color="auto"/>
                        <w:bottom w:val="none" w:sz="0" w:space="0" w:color="auto"/>
                        <w:right w:val="none" w:sz="0" w:space="0" w:color="auto"/>
                      </w:divBdr>
                    </w:div>
                    <w:div w:id="1772431173">
                      <w:marLeft w:val="0"/>
                      <w:marRight w:val="0"/>
                      <w:marTop w:val="0"/>
                      <w:marBottom w:val="0"/>
                      <w:divBdr>
                        <w:top w:val="none" w:sz="0" w:space="0" w:color="auto"/>
                        <w:left w:val="none" w:sz="0" w:space="0" w:color="auto"/>
                        <w:bottom w:val="none" w:sz="0" w:space="0" w:color="auto"/>
                        <w:right w:val="none" w:sz="0" w:space="0" w:color="auto"/>
                      </w:divBdr>
                    </w:div>
                    <w:div w:id="1774397136">
                      <w:marLeft w:val="0"/>
                      <w:marRight w:val="0"/>
                      <w:marTop w:val="0"/>
                      <w:marBottom w:val="0"/>
                      <w:divBdr>
                        <w:top w:val="none" w:sz="0" w:space="0" w:color="auto"/>
                        <w:left w:val="none" w:sz="0" w:space="0" w:color="auto"/>
                        <w:bottom w:val="none" w:sz="0" w:space="0" w:color="auto"/>
                        <w:right w:val="none" w:sz="0" w:space="0" w:color="auto"/>
                      </w:divBdr>
                    </w:div>
                    <w:div w:id="1850632146">
                      <w:marLeft w:val="0"/>
                      <w:marRight w:val="0"/>
                      <w:marTop w:val="0"/>
                      <w:marBottom w:val="0"/>
                      <w:divBdr>
                        <w:top w:val="none" w:sz="0" w:space="0" w:color="auto"/>
                        <w:left w:val="none" w:sz="0" w:space="0" w:color="auto"/>
                        <w:bottom w:val="none" w:sz="0" w:space="0" w:color="auto"/>
                        <w:right w:val="none" w:sz="0" w:space="0" w:color="auto"/>
                      </w:divBdr>
                    </w:div>
                    <w:div w:id="1860698428">
                      <w:marLeft w:val="0"/>
                      <w:marRight w:val="0"/>
                      <w:marTop w:val="0"/>
                      <w:marBottom w:val="0"/>
                      <w:divBdr>
                        <w:top w:val="none" w:sz="0" w:space="0" w:color="auto"/>
                        <w:left w:val="none" w:sz="0" w:space="0" w:color="auto"/>
                        <w:bottom w:val="none" w:sz="0" w:space="0" w:color="auto"/>
                        <w:right w:val="none" w:sz="0" w:space="0" w:color="auto"/>
                      </w:divBdr>
                    </w:div>
                    <w:div w:id="1979605464">
                      <w:marLeft w:val="0"/>
                      <w:marRight w:val="0"/>
                      <w:marTop w:val="0"/>
                      <w:marBottom w:val="0"/>
                      <w:divBdr>
                        <w:top w:val="none" w:sz="0" w:space="0" w:color="auto"/>
                        <w:left w:val="none" w:sz="0" w:space="0" w:color="auto"/>
                        <w:bottom w:val="none" w:sz="0" w:space="0" w:color="auto"/>
                        <w:right w:val="none" w:sz="0" w:space="0" w:color="auto"/>
                      </w:divBdr>
                    </w:div>
                    <w:div w:id="2094622119">
                      <w:marLeft w:val="0"/>
                      <w:marRight w:val="0"/>
                      <w:marTop w:val="0"/>
                      <w:marBottom w:val="0"/>
                      <w:divBdr>
                        <w:top w:val="none" w:sz="0" w:space="0" w:color="auto"/>
                        <w:left w:val="none" w:sz="0" w:space="0" w:color="auto"/>
                        <w:bottom w:val="none" w:sz="0" w:space="0" w:color="auto"/>
                        <w:right w:val="none" w:sz="0" w:space="0" w:color="auto"/>
                      </w:divBdr>
                    </w:div>
                  </w:divsChild>
                </w:div>
                <w:div w:id="824511625">
                  <w:marLeft w:val="0"/>
                  <w:marRight w:val="0"/>
                  <w:marTop w:val="0"/>
                  <w:marBottom w:val="0"/>
                  <w:divBdr>
                    <w:top w:val="none" w:sz="0" w:space="0" w:color="auto"/>
                    <w:left w:val="none" w:sz="0" w:space="0" w:color="auto"/>
                    <w:bottom w:val="none" w:sz="0" w:space="0" w:color="auto"/>
                    <w:right w:val="none" w:sz="0" w:space="0" w:color="auto"/>
                  </w:divBdr>
                  <w:divsChild>
                    <w:div w:id="1108309355">
                      <w:marLeft w:val="0"/>
                      <w:marRight w:val="0"/>
                      <w:marTop w:val="0"/>
                      <w:marBottom w:val="0"/>
                      <w:divBdr>
                        <w:top w:val="none" w:sz="0" w:space="0" w:color="auto"/>
                        <w:left w:val="none" w:sz="0" w:space="0" w:color="auto"/>
                        <w:bottom w:val="none" w:sz="0" w:space="0" w:color="auto"/>
                        <w:right w:val="none" w:sz="0" w:space="0" w:color="auto"/>
                      </w:divBdr>
                    </w:div>
                    <w:div w:id="1175994317">
                      <w:marLeft w:val="0"/>
                      <w:marRight w:val="0"/>
                      <w:marTop w:val="0"/>
                      <w:marBottom w:val="0"/>
                      <w:divBdr>
                        <w:top w:val="none" w:sz="0" w:space="0" w:color="auto"/>
                        <w:left w:val="none" w:sz="0" w:space="0" w:color="auto"/>
                        <w:bottom w:val="none" w:sz="0" w:space="0" w:color="auto"/>
                        <w:right w:val="none" w:sz="0" w:space="0" w:color="auto"/>
                      </w:divBdr>
                    </w:div>
                    <w:div w:id="2097555484">
                      <w:marLeft w:val="0"/>
                      <w:marRight w:val="0"/>
                      <w:marTop w:val="0"/>
                      <w:marBottom w:val="0"/>
                      <w:divBdr>
                        <w:top w:val="none" w:sz="0" w:space="0" w:color="auto"/>
                        <w:left w:val="none" w:sz="0" w:space="0" w:color="auto"/>
                        <w:bottom w:val="none" w:sz="0" w:space="0" w:color="auto"/>
                        <w:right w:val="none" w:sz="0" w:space="0" w:color="auto"/>
                      </w:divBdr>
                    </w:div>
                  </w:divsChild>
                </w:div>
                <w:div w:id="1090472641">
                  <w:marLeft w:val="0"/>
                  <w:marRight w:val="0"/>
                  <w:marTop w:val="0"/>
                  <w:marBottom w:val="0"/>
                  <w:divBdr>
                    <w:top w:val="none" w:sz="0" w:space="0" w:color="auto"/>
                    <w:left w:val="none" w:sz="0" w:space="0" w:color="auto"/>
                    <w:bottom w:val="none" w:sz="0" w:space="0" w:color="auto"/>
                    <w:right w:val="none" w:sz="0" w:space="0" w:color="auto"/>
                  </w:divBdr>
                  <w:divsChild>
                    <w:div w:id="939143433">
                      <w:marLeft w:val="0"/>
                      <w:marRight w:val="0"/>
                      <w:marTop w:val="0"/>
                      <w:marBottom w:val="0"/>
                      <w:divBdr>
                        <w:top w:val="none" w:sz="0" w:space="0" w:color="auto"/>
                        <w:left w:val="none" w:sz="0" w:space="0" w:color="auto"/>
                        <w:bottom w:val="none" w:sz="0" w:space="0" w:color="auto"/>
                        <w:right w:val="none" w:sz="0" w:space="0" w:color="auto"/>
                      </w:divBdr>
                    </w:div>
                  </w:divsChild>
                </w:div>
                <w:div w:id="1647053598">
                  <w:marLeft w:val="0"/>
                  <w:marRight w:val="0"/>
                  <w:marTop w:val="0"/>
                  <w:marBottom w:val="0"/>
                  <w:divBdr>
                    <w:top w:val="none" w:sz="0" w:space="0" w:color="auto"/>
                    <w:left w:val="none" w:sz="0" w:space="0" w:color="auto"/>
                    <w:bottom w:val="none" w:sz="0" w:space="0" w:color="auto"/>
                    <w:right w:val="none" w:sz="0" w:space="0" w:color="auto"/>
                  </w:divBdr>
                  <w:divsChild>
                    <w:div w:id="1308431848">
                      <w:marLeft w:val="0"/>
                      <w:marRight w:val="0"/>
                      <w:marTop w:val="0"/>
                      <w:marBottom w:val="0"/>
                      <w:divBdr>
                        <w:top w:val="none" w:sz="0" w:space="0" w:color="auto"/>
                        <w:left w:val="none" w:sz="0" w:space="0" w:color="auto"/>
                        <w:bottom w:val="none" w:sz="0" w:space="0" w:color="auto"/>
                        <w:right w:val="none" w:sz="0" w:space="0" w:color="auto"/>
                      </w:divBdr>
                    </w:div>
                  </w:divsChild>
                </w:div>
                <w:div w:id="1712534903">
                  <w:marLeft w:val="0"/>
                  <w:marRight w:val="0"/>
                  <w:marTop w:val="0"/>
                  <w:marBottom w:val="0"/>
                  <w:divBdr>
                    <w:top w:val="none" w:sz="0" w:space="0" w:color="auto"/>
                    <w:left w:val="none" w:sz="0" w:space="0" w:color="auto"/>
                    <w:bottom w:val="none" w:sz="0" w:space="0" w:color="auto"/>
                    <w:right w:val="none" w:sz="0" w:space="0" w:color="auto"/>
                  </w:divBdr>
                  <w:divsChild>
                    <w:div w:id="69010705">
                      <w:marLeft w:val="0"/>
                      <w:marRight w:val="0"/>
                      <w:marTop w:val="0"/>
                      <w:marBottom w:val="0"/>
                      <w:divBdr>
                        <w:top w:val="none" w:sz="0" w:space="0" w:color="auto"/>
                        <w:left w:val="none" w:sz="0" w:space="0" w:color="auto"/>
                        <w:bottom w:val="none" w:sz="0" w:space="0" w:color="auto"/>
                        <w:right w:val="none" w:sz="0" w:space="0" w:color="auto"/>
                      </w:divBdr>
                    </w:div>
                    <w:div w:id="1103068385">
                      <w:marLeft w:val="0"/>
                      <w:marRight w:val="0"/>
                      <w:marTop w:val="0"/>
                      <w:marBottom w:val="0"/>
                      <w:divBdr>
                        <w:top w:val="none" w:sz="0" w:space="0" w:color="auto"/>
                        <w:left w:val="none" w:sz="0" w:space="0" w:color="auto"/>
                        <w:bottom w:val="none" w:sz="0" w:space="0" w:color="auto"/>
                        <w:right w:val="none" w:sz="0" w:space="0" w:color="auto"/>
                      </w:divBdr>
                    </w:div>
                    <w:div w:id="1457017406">
                      <w:marLeft w:val="0"/>
                      <w:marRight w:val="0"/>
                      <w:marTop w:val="0"/>
                      <w:marBottom w:val="0"/>
                      <w:divBdr>
                        <w:top w:val="none" w:sz="0" w:space="0" w:color="auto"/>
                        <w:left w:val="none" w:sz="0" w:space="0" w:color="auto"/>
                        <w:bottom w:val="none" w:sz="0" w:space="0" w:color="auto"/>
                        <w:right w:val="none" w:sz="0" w:space="0" w:color="auto"/>
                      </w:divBdr>
                    </w:div>
                  </w:divsChild>
                </w:div>
                <w:div w:id="1734424143">
                  <w:marLeft w:val="0"/>
                  <w:marRight w:val="0"/>
                  <w:marTop w:val="0"/>
                  <w:marBottom w:val="0"/>
                  <w:divBdr>
                    <w:top w:val="none" w:sz="0" w:space="0" w:color="auto"/>
                    <w:left w:val="none" w:sz="0" w:space="0" w:color="auto"/>
                    <w:bottom w:val="none" w:sz="0" w:space="0" w:color="auto"/>
                    <w:right w:val="none" w:sz="0" w:space="0" w:color="auto"/>
                  </w:divBdr>
                  <w:divsChild>
                    <w:div w:id="1968124601">
                      <w:marLeft w:val="0"/>
                      <w:marRight w:val="0"/>
                      <w:marTop w:val="0"/>
                      <w:marBottom w:val="0"/>
                      <w:divBdr>
                        <w:top w:val="none" w:sz="0" w:space="0" w:color="auto"/>
                        <w:left w:val="none" w:sz="0" w:space="0" w:color="auto"/>
                        <w:bottom w:val="none" w:sz="0" w:space="0" w:color="auto"/>
                        <w:right w:val="none" w:sz="0" w:space="0" w:color="auto"/>
                      </w:divBdr>
                    </w:div>
                  </w:divsChild>
                </w:div>
                <w:div w:id="1928953624">
                  <w:marLeft w:val="0"/>
                  <w:marRight w:val="0"/>
                  <w:marTop w:val="0"/>
                  <w:marBottom w:val="0"/>
                  <w:divBdr>
                    <w:top w:val="none" w:sz="0" w:space="0" w:color="auto"/>
                    <w:left w:val="none" w:sz="0" w:space="0" w:color="auto"/>
                    <w:bottom w:val="none" w:sz="0" w:space="0" w:color="auto"/>
                    <w:right w:val="none" w:sz="0" w:space="0" w:color="auto"/>
                  </w:divBdr>
                  <w:divsChild>
                    <w:div w:id="101844093">
                      <w:marLeft w:val="0"/>
                      <w:marRight w:val="0"/>
                      <w:marTop w:val="0"/>
                      <w:marBottom w:val="0"/>
                      <w:divBdr>
                        <w:top w:val="none" w:sz="0" w:space="0" w:color="auto"/>
                        <w:left w:val="none" w:sz="0" w:space="0" w:color="auto"/>
                        <w:bottom w:val="none" w:sz="0" w:space="0" w:color="auto"/>
                        <w:right w:val="none" w:sz="0" w:space="0" w:color="auto"/>
                      </w:divBdr>
                    </w:div>
                    <w:div w:id="260067324">
                      <w:marLeft w:val="0"/>
                      <w:marRight w:val="0"/>
                      <w:marTop w:val="0"/>
                      <w:marBottom w:val="0"/>
                      <w:divBdr>
                        <w:top w:val="none" w:sz="0" w:space="0" w:color="auto"/>
                        <w:left w:val="none" w:sz="0" w:space="0" w:color="auto"/>
                        <w:bottom w:val="none" w:sz="0" w:space="0" w:color="auto"/>
                        <w:right w:val="none" w:sz="0" w:space="0" w:color="auto"/>
                      </w:divBdr>
                    </w:div>
                    <w:div w:id="473764091">
                      <w:marLeft w:val="0"/>
                      <w:marRight w:val="0"/>
                      <w:marTop w:val="0"/>
                      <w:marBottom w:val="0"/>
                      <w:divBdr>
                        <w:top w:val="none" w:sz="0" w:space="0" w:color="auto"/>
                        <w:left w:val="none" w:sz="0" w:space="0" w:color="auto"/>
                        <w:bottom w:val="none" w:sz="0" w:space="0" w:color="auto"/>
                        <w:right w:val="none" w:sz="0" w:space="0" w:color="auto"/>
                      </w:divBdr>
                    </w:div>
                    <w:div w:id="643974508">
                      <w:marLeft w:val="0"/>
                      <w:marRight w:val="0"/>
                      <w:marTop w:val="0"/>
                      <w:marBottom w:val="0"/>
                      <w:divBdr>
                        <w:top w:val="none" w:sz="0" w:space="0" w:color="auto"/>
                        <w:left w:val="none" w:sz="0" w:space="0" w:color="auto"/>
                        <w:bottom w:val="none" w:sz="0" w:space="0" w:color="auto"/>
                        <w:right w:val="none" w:sz="0" w:space="0" w:color="auto"/>
                      </w:divBdr>
                    </w:div>
                    <w:div w:id="660307580">
                      <w:marLeft w:val="0"/>
                      <w:marRight w:val="0"/>
                      <w:marTop w:val="0"/>
                      <w:marBottom w:val="0"/>
                      <w:divBdr>
                        <w:top w:val="none" w:sz="0" w:space="0" w:color="auto"/>
                        <w:left w:val="none" w:sz="0" w:space="0" w:color="auto"/>
                        <w:bottom w:val="none" w:sz="0" w:space="0" w:color="auto"/>
                        <w:right w:val="none" w:sz="0" w:space="0" w:color="auto"/>
                      </w:divBdr>
                    </w:div>
                    <w:div w:id="677191693">
                      <w:marLeft w:val="0"/>
                      <w:marRight w:val="0"/>
                      <w:marTop w:val="0"/>
                      <w:marBottom w:val="0"/>
                      <w:divBdr>
                        <w:top w:val="none" w:sz="0" w:space="0" w:color="auto"/>
                        <w:left w:val="none" w:sz="0" w:space="0" w:color="auto"/>
                        <w:bottom w:val="none" w:sz="0" w:space="0" w:color="auto"/>
                        <w:right w:val="none" w:sz="0" w:space="0" w:color="auto"/>
                      </w:divBdr>
                    </w:div>
                    <w:div w:id="695545432">
                      <w:marLeft w:val="0"/>
                      <w:marRight w:val="0"/>
                      <w:marTop w:val="0"/>
                      <w:marBottom w:val="0"/>
                      <w:divBdr>
                        <w:top w:val="none" w:sz="0" w:space="0" w:color="auto"/>
                        <w:left w:val="none" w:sz="0" w:space="0" w:color="auto"/>
                        <w:bottom w:val="none" w:sz="0" w:space="0" w:color="auto"/>
                        <w:right w:val="none" w:sz="0" w:space="0" w:color="auto"/>
                      </w:divBdr>
                    </w:div>
                    <w:div w:id="1088696350">
                      <w:marLeft w:val="0"/>
                      <w:marRight w:val="0"/>
                      <w:marTop w:val="0"/>
                      <w:marBottom w:val="0"/>
                      <w:divBdr>
                        <w:top w:val="none" w:sz="0" w:space="0" w:color="auto"/>
                        <w:left w:val="none" w:sz="0" w:space="0" w:color="auto"/>
                        <w:bottom w:val="none" w:sz="0" w:space="0" w:color="auto"/>
                        <w:right w:val="none" w:sz="0" w:space="0" w:color="auto"/>
                      </w:divBdr>
                    </w:div>
                    <w:div w:id="1154029023">
                      <w:marLeft w:val="0"/>
                      <w:marRight w:val="0"/>
                      <w:marTop w:val="0"/>
                      <w:marBottom w:val="0"/>
                      <w:divBdr>
                        <w:top w:val="none" w:sz="0" w:space="0" w:color="auto"/>
                        <w:left w:val="none" w:sz="0" w:space="0" w:color="auto"/>
                        <w:bottom w:val="none" w:sz="0" w:space="0" w:color="auto"/>
                        <w:right w:val="none" w:sz="0" w:space="0" w:color="auto"/>
                      </w:divBdr>
                    </w:div>
                    <w:div w:id="1347757373">
                      <w:marLeft w:val="0"/>
                      <w:marRight w:val="0"/>
                      <w:marTop w:val="0"/>
                      <w:marBottom w:val="0"/>
                      <w:divBdr>
                        <w:top w:val="none" w:sz="0" w:space="0" w:color="auto"/>
                        <w:left w:val="none" w:sz="0" w:space="0" w:color="auto"/>
                        <w:bottom w:val="none" w:sz="0" w:space="0" w:color="auto"/>
                        <w:right w:val="none" w:sz="0" w:space="0" w:color="auto"/>
                      </w:divBdr>
                    </w:div>
                    <w:div w:id="1877966482">
                      <w:marLeft w:val="0"/>
                      <w:marRight w:val="0"/>
                      <w:marTop w:val="0"/>
                      <w:marBottom w:val="0"/>
                      <w:divBdr>
                        <w:top w:val="none" w:sz="0" w:space="0" w:color="auto"/>
                        <w:left w:val="none" w:sz="0" w:space="0" w:color="auto"/>
                        <w:bottom w:val="none" w:sz="0" w:space="0" w:color="auto"/>
                        <w:right w:val="none" w:sz="0" w:space="0" w:color="auto"/>
                      </w:divBdr>
                    </w:div>
                    <w:div w:id="2064526655">
                      <w:marLeft w:val="0"/>
                      <w:marRight w:val="0"/>
                      <w:marTop w:val="0"/>
                      <w:marBottom w:val="0"/>
                      <w:divBdr>
                        <w:top w:val="none" w:sz="0" w:space="0" w:color="auto"/>
                        <w:left w:val="none" w:sz="0" w:space="0" w:color="auto"/>
                        <w:bottom w:val="none" w:sz="0" w:space="0" w:color="auto"/>
                        <w:right w:val="none" w:sz="0" w:space="0" w:color="auto"/>
                      </w:divBdr>
                    </w:div>
                    <w:div w:id="2120177120">
                      <w:marLeft w:val="0"/>
                      <w:marRight w:val="0"/>
                      <w:marTop w:val="0"/>
                      <w:marBottom w:val="0"/>
                      <w:divBdr>
                        <w:top w:val="none" w:sz="0" w:space="0" w:color="auto"/>
                        <w:left w:val="none" w:sz="0" w:space="0" w:color="auto"/>
                        <w:bottom w:val="none" w:sz="0" w:space="0" w:color="auto"/>
                        <w:right w:val="none" w:sz="0" w:space="0" w:color="auto"/>
                      </w:divBdr>
                    </w:div>
                    <w:div w:id="2130775372">
                      <w:marLeft w:val="0"/>
                      <w:marRight w:val="0"/>
                      <w:marTop w:val="0"/>
                      <w:marBottom w:val="0"/>
                      <w:divBdr>
                        <w:top w:val="none" w:sz="0" w:space="0" w:color="auto"/>
                        <w:left w:val="none" w:sz="0" w:space="0" w:color="auto"/>
                        <w:bottom w:val="none" w:sz="0" w:space="0" w:color="auto"/>
                        <w:right w:val="none" w:sz="0" w:space="0" w:color="auto"/>
                      </w:divBdr>
                    </w:div>
                  </w:divsChild>
                </w:div>
                <w:div w:id="1952273665">
                  <w:marLeft w:val="0"/>
                  <w:marRight w:val="0"/>
                  <w:marTop w:val="0"/>
                  <w:marBottom w:val="0"/>
                  <w:divBdr>
                    <w:top w:val="none" w:sz="0" w:space="0" w:color="auto"/>
                    <w:left w:val="none" w:sz="0" w:space="0" w:color="auto"/>
                    <w:bottom w:val="none" w:sz="0" w:space="0" w:color="auto"/>
                    <w:right w:val="none" w:sz="0" w:space="0" w:color="auto"/>
                  </w:divBdr>
                  <w:divsChild>
                    <w:div w:id="466968719">
                      <w:marLeft w:val="0"/>
                      <w:marRight w:val="0"/>
                      <w:marTop w:val="0"/>
                      <w:marBottom w:val="0"/>
                      <w:divBdr>
                        <w:top w:val="none" w:sz="0" w:space="0" w:color="auto"/>
                        <w:left w:val="none" w:sz="0" w:space="0" w:color="auto"/>
                        <w:bottom w:val="none" w:sz="0" w:space="0" w:color="auto"/>
                        <w:right w:val="none" w:sz="0" w:space="0" w:color="auto"/>
                      </w:divBdr>
                    </w:div>
                    <w:div w:id="533268218">
                      <w:marLeft w:val="0"/>
                      <w:marRight w:val="0"/>
                      <w:marTop w:val="0"/>
                      <w:marBottom w:val="0"/>
                      <w:divBdr>
                        <w:top w:val="none" w:sz="0" w:space="0" w:color="auto"/>
                        <w:left w:val="none" w:sz="0" w:space="0" w:color="auto"/>
                        <w:bottom w:val="none" w:sz="0" w:space="0" w:color="auto"/>
                        <w:right w:val="none" w:sz="0" w:space="0" w:color="auto"/>
                      </w:divBdr>
                    </w:div>
                    <w:div w:id="587884072">
                      <w:marLeft w:val="0"/>
                      <w:marRight w:val="0"/>
                      <w:marTop w:val="0"/>
                      <w:marBottom w:val="0"/>
                      <w:divBdr>
                        <w:top w:val="none" w:sz="0" w:space="0" w:color="auto"/>
                        <w:left w:val="none" w:sz="0" w:space="0" w:color="auto"/>
                        <w:bottom w:val="none" w:sz="0" w:space="0" w:color="auto"/>
                        <w:right w:val="none" w:sz="0" w:space="0" w:color="auto"/>
                      </w:divBdr>
                    </w:div>
                    <w:div w:id="712538131">
                      <w:marLeft w:val="0"/>
                      <w:marRight w:val="0"/>
                      <w:marTop w:val="0"/>
                      <w:marBottom w:val="0"/>
                      <w:divBdr>
                        <w:top w:val="none" w:sz="0" w:space="0" w:color="auto"/>
                        <w:left w:val="none" w:sz="0" w:space="0" w:color="auto"/>
                        <w:bottom w:val="none" w:sz="0" w:space="0" w:color="auto"/>
                        <w:right w:val="none" w:sz="0" w:space="0" w:color="auto"/>
                      </w:divBdr>
                    </w:div>
                    <w:div w:id="732897559">
                      <w:marLeft w:val="0"/>
                      <w:marRight w:val="0"/>
                      <w:marTop w:val="0"/>
                      <w:marBottom w:val="0"/>
                      <w:divBdr>
                        <w:top w:val="none" w:sz="0" w:space="0" w:color="auto"/>
                        <w:left w:val="none" w:sz="0" w:space="0" w:color="auto"/>
                        <w:bottom w:val="none" w:sz="0" w:space="0" w:color="auto"/>
                        <w:right w:val="none" w:sz="0" w:space="0" w:color="auto"/>
                      </w:divBdr>
                    </w:div>
                    <w:div w:id="764304963">
                      <w:marLeft w:val="0"/>
                      <w:marRight w:val="0"/>
                      <w:marTop w:val="0"/>
                      <w:marBottom w:val="0"/>
                      <w:divBdr>
                        <w:top w:val="none" w:sz="0" w:space="0" w:color="auto"/>
                        <w:left w:val="none" w:sz="0" w:space="0" w:color="auto"/>
                        <w:bottom w:val="none" w:sz="0" w:space="0" w:color="auto"/>
                        <w:right w:val="none" w:sz="0" w:space="0" w:color="auto"/>
                      </w:divBdr>
                    </w:div>
                    <w:div w:id="778642970">
                      <w:marLeft w:val="0"/>
                      <w:marRight w:val="0"/>
                      <w:marTop w:val="0"/>
                      <w:marBottom w:val="0"/>
                      <w:divBdr>
                        <w:top w:val="none" w:sz="0" w:space="0" w:color="auto"/>
                        <w:left w:val="none" w:sz="0" w:space="0" w:color="auto"/>
                        <w:bottom w:val="none" w:sz="0" w:space="0" w:color="auto"/>
                        <w:right w:val="none" w:sz="0" w:space="0" w:color="auto"/>
                      </w:divBdr>
                    </w:div>
                    <w:div w:id="838085014">
                      <w:marLeft w:val="0"/>
                      <w:marRight w:val="0"/>
                      <w:marTop w:val="0"/>
                      <w:marBottom w:val="0"/>
                      <w:divBdr>
                        <w:top w:val="none" w:sz="0" w:space="0" w:color="auto"/>
                        <w:left w:val="none" w:sz="0" w:space="0" w:color="auto"/>
                        <w:bottom w:val="none" w:sz="0" w:space="0" w:color="auto"/>
                        <w:right w:val="none" w:sz="0" w:space="0" w:color="auto"/>
                      </w:divBdr>
                    </w:div>
                    <w:div w:id="1350527308">
                      <w:marLeft w:val="0"/>
                      <w:marRight w:val="0"/>
                      <w:marTop w:val="0"/>
                      <w:marBottom w:val="0"/>
                      <w:divBdr>
                        <w:top w:val="none" w:sz="0" w:space="0" w:color="auto"/>
                        <w:left w:val="none" w:sz="0" w:space="0" w:color="auto"/>
                        <w:bottom w:val="none" w:sz="0" w:space="0" w:color="auto"/>
                        <w:right w:val="none" w:sz="0" w:space="0" w:color="auto"/>
                      </w:divBdr>
                    </w:div>
                    <w:div w:id="1440030591">
                      <w:marLeft w:val="0"/>
                      <w:marRight w:val="0"/>
                      <w:marTop w:val="0"/>
                      <w:marBottom w:val="0"/>
                      <w:divBdr>
                        <w:top w:val="none" w:sz="0" w:space="0" w:color="auto"/>
                        <w:left w:val="none" w:sz="0" w:space="0" w:color="auto"/>
                        <w:bottom w:val="none" w:sz="0" w:space="0" w:color="auto"/>
                        <w:right w:val="none" w:sz="0" w:space="0" w:color="auto"/>
                      </w:divBdr>
                    </w:div>
                    <w:div w:id="1663659303">
                      <w:marLeft w:val="0"/>
                      <w:marRight w:val="0"/>
                      <w:marTop w:val="0"/>
                      <w:marBottom w:val="0"/>
                      <w:divBdr>
                        <w:top w:val="none" w:sz="0" w:space="0" w:color="auto"/>
                        <w:left w:val="none" w:sz="0" w:space="0" w:color="auto"/>
                        <w:bottom w:val="none" w:sz="0" w:space="0" w:color="auto"/>
                        <w:right w:val="none" w:sz="0" w:space="0" w:color="auto"/>
                      </w:divBdr>
                    </w:div>
                    <w:div w:id="1903129886">
                      <w:marLeft w:val="0"/>
                      <w:marRight w:val="0"/>
                      <w:marTop w:val="0"/>
                      <w:marBottom w:val="0"/>
                      <w:divBdr>
                        <w:top w:val="none" w:sz="0" w:space="0" w:color="auto"/>
                        <w:left w:val="none" w:sz="0" w:space="0" w:color="auto"/>
                        <w:bottom w:val="none" w:sz="0" w:space="0" w:color="auto"/>
                        <w:right w:val="none" w:sz="0" w:space="0" w:color="auto"/>
                      </w:divBdr>
                    </w:div>
                    <w:div w:id="1965037046">
                      <w:marLeft w:val="0"/>
                      <w:marRight w:val="0"/>
                      <w:marTop w:val="0"/>
                      <w:marBottom w:val="0"/>
                      <w:divBdr>
                        <w:top w:val="none" w:sz="0" w:space="0" w:color="auto"/>
                        <w:left w:val="none" w:sz="0" w:space="0" w:color="auto"/>
                        <w:bottom w:val="none" w:sz="0" w:space="0" w:color="auto"/>
                        <w:right w:val="none" w:sz="0" w:space="0" w:color="auto"/>
                      </w:divBdr>
                    </w:div>
                  </w:divsChild>
                </w:div>
                <w:div w:id="2045444679">
                  <w:marLeft w:val="0"/>
                  <w:marRight w:val="0"/>
                  <w:marTop w:val="0"/>
                  <w:marBottom w:val="0"/>
                  <w:divBdr>
                    <w:top w:val="none" w:sz="0" w:space="0" w:color="auto"/>
                    <w:left w:val="none" w:sz="0" w:space="0" w:color="auto"/>
                    <w:bottom w:val="none" w:sz="0" w:space="0" w:color="auto"/>
                    <w:right w:val="none" w:sz="0" w:space="0" w:color="auto"/>
                  </w:divBdr>
                  <w:divsChild>
                    <w:div w:id="197351700">
                      <w:marLeft w:val="0"/>
                      <w:marRight w:val="0"/>
                      <w:marTop w:val="0"/>
                      <w:marBottom w:val="0"/>
                      <w:divBdr>
                        <w:top w:val="none" w:sz="0" w:space="0" w:color="auto"/>
                        <w:left w:val="none" w:sz="0" w:space="0" w:color="auto"/>
                        <w:bottom w:val="none" w:sz="0" w:space="0" w:color="auto"/>
                        <w:right w:val="none" w:sz="0" w:space="0" w:color="auto"/>
                      </w:divBdr>
                    </w:div>
                    <w:div w:id="325012676">
                      <w:marLeft w:val="0"/>
                      <w:marRight w:val="0"/>
                      <w:marTop w:val="0"/>
                      <w:marBottom w:val="0"/>
                      <w:divBdr>
                        <w:top w:val="none" w:sz="0" w:space="0" w:color="auto"/>
                        <w:left w:val="none" w:sz="0" w:space="0" w:color="auto"/>
                        <w:bottom w:val="none" w:sz="0" w:space="0" w:color="auto"/>
                        <w:right w:val="none" w:sz="0" w:space="0" w:color="auto"/>
                      </w:divBdr>
                    </w:div>
                    <w:div w:id="371927627">
                      <w:marLeft w:val="0"/>
                      <w:marRight w:val="0"/>
                      <w:marTop w:val="0"/>
                      <w:marBottom w:val="0"/>
                      <w:divBdr>
                        <w:top w:val="none" w:sz="0" w:space="0" w:color="auto"/>
                        <w:left w:val="none" w:sz="0" w:space="0" w:color="auto"/>
                        <w:bottom w:val="none" w:sz="0" w:space="0" w:color="auto"/>
                        <w:right w:val="none" w:sz="0" w:space="0" w:color="auto"/>
                      </w:divBdr>
                    </w:div>
                    <w:div w:id="418521454">
                      <w:marLeft w:val="0"/>
                      <w:marRight w:val="0"/>
                      <w:marTop w:val="0"/>
                      <w:marBottom w:val="0"/>
                      <w:divBdr>
                        <w:top w:val="none" w:sz="0" w:space="0" w:color="auto"/>
                        <w:left w:val="none" w:sz="0" w:space="0" w:color="auto"/>
                        <w:bottom w:val="none" w:sz="0" w:space="0" w:color="auto"/>
                        <w:right w:val="none" w:sz="0" w:space="0" w:color="auto"/>
                      </w:divBdr>
                    </w:div>
                    <w:div w:id="474638009">
                      <w:marLeft w:val="0"/>
                      <w:marRight w:val="0"/>
                      <w:marTop w:val="0"/>
                      <w:marBottom w:val="0"/>
                      <w:divBdr>
                        <w:top w:val="none" w:sz="0" w:space="0" w:color="auto"/>
                        <w:left w:val="none" w:sz="0" w:space="0" w:color="auto"/>
                        <w:bottom w:val="none" w:sz="0" w:space="0" w:color="auto"/>
                        <w:right w:val="none" w:sz="0" w:space="0" w:color="auto"/>
                      </w:divBdr>
                    </w:div>
                    <w:div w:id="644360808">
                      <w:marLeft w:val="0"/>
                      <w:marRight w:val="0"/>
                      <w:marTop w:val="0"/>
                      <w:marBottom w:val="0"/>
                      <w:divBdr>
                        <w:top w:val="none" w:sz="0" w:space="0" w:color="auto"/>
                        <w:left w:val="none" w:sz="0" w:space="0" w:color="auto"/>
                        <w:bottom w:val="none" w:sz="0" w:space="0" w:color="auto"/>
                        <w:right w:val="none" w:sz="0" w:space="0" w:color="auto"/>
                      </w:divBdr>
                    </w:div>
                    <w:div w:id="1149244482">
                      <w:marLeft w:val="0"/>
                      <w:marRight w:val="0"/>
                      <w:marTop w:val="0"/>
                      <w:marBottom w:val="0"/>
                      <w:divBdr>
                        <w:top w:val="none" w:sz="0" w:space="0" w:color="auto"/>
                        <w:left w:val="none" w:sz="0" w:space="0" w:color="auto"/>
                        <w:bottom w:val="none" w:sz="0" w:space="0" w:color="auto"/>
                        <w:right w:val="none" w:sz="0" w:space="0" w:color="auto"/>
                      </w:divBdr>
                    </w:div>
                    <w:div w:id="1171529016">
                      <w:marLeft w:val="0"/>
                      <w:marRight w:val="0"/>
                      <w:marTop w:val="0"/>
                      <w:marBottom w:val="0"/>
                      <w:divBdr>
                        <w:top w:val="none" w:sz="0" w:space="0" w:color="auto"/>
                        <w:left w:val="none" w:sz="0" w:space="0" w:color="auto"/>
                        <w:bottom w:val="none" w:sz="0" w:space="0" w:color="auto"/>
                        <w:right w:val="none" w:sz="0" w:space="0" w:color="auto"/>
                      </w:divBdr>
                    </w:div>
                    <w:div w:id="1613903424">
                      <w:marLeft w:val="0"/>
                      <w:marRight w:val="0"/>
                      <w:marTop w:val="0"/>
                      <w:marBottom w:val="0"/>
                      <w:divBdr>
                        <w:top w:val="none" w:sz="0" w:space="0" w:color="auto"/>
                        <w:left w:val="none" w:sz="0" w:space="0" w:color="auto"/>
                        <w:bottom w:val="none" w:sz="0" w:space="0" w:color="auto"/>
                        <w:right w:val="none" w:sz="0" w:space="0" w:color="auto"/>
                      </w:divBdr>
                    </w:div>
                    <w:div w:id="1728262014">
                      <w:marLeft w:val="0"/>
                      <w:marRight w:val="0"/>
                      <w:marTop w:val="0"/>
                      <w:marBottom w:val="0"/>
                      <w:divBdr>
                        <w:top w:val="none" w:sz="0" w:space="0" w:color="auto"/>
                        <w:left w:val="none" w:sz="0" w:space="0" w:color="auto"/>
                        <w:bottom w:val="none" w:sz="0" w:space="0" w:color="auto"/>
                        <w:right w:val="none" w:sz="0" w:space="0" w:color="auto"/>
                      </w:divBdr>
                    </w:div>
                    <w:div w:id="202960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52944">
          <w:marLeft w:val="0"/>
          <w:marRight w:val="0"/>
          <w:marTop w:val="0"/>
          <w:marBottom w:val="0"/>
          <w:divBdr>
            <w:top w:val="none" w:sz="0" w:space="0" w:color="auto"/>
            <w:left w:val="none" w:sz="0" w:space="0" w:color="auto"/>
            <w:bottom w:val="none" w:sz="0" w:space="0" w:color="auto"/>
            <w:right w:val="none" w:sz="0" w:space="0" w:color="auto"/>
          </w:divBdr>
        </w:div>
        <w:div w:id="1262181452">
          <w:marLeft w:val="0"/>
          <w:marRight w:val="0"/>
          <w:marTop w:val="0"/>
          <w:marBottom w:val="0"/>
          <w:divBdr>
            <w:top w:val="none" w:sz="0" w:space="0" w:color="auto"/>
            <w:left w:val="none" w:sz="0" w:space="0" w:color="auto"/>
            <w:bottom w:val="none" w:sz="0" w:space="0" w:color="auto"/>
            <w:right w:val="none" w:sz="0" w:space="0" w:color="auto"/>
          </w:divBdr>
          <w:divsChild>
            <w:div w:id="405494515">
              <w:marLeft w:val="-75"/>
              <w:marRight w:val="0"/>
              <w:marTop w:val="30"/>
              <w:marBottom w:val="30"/>
              <w:divBdr>
                <w:top w:val="none" w:sz="0" w:space="0" w:color="auto"/>
                <w:left w:val="none" w:sz="0" w:space="0" w:color="auto"/>
                <w:bottom w:val="none" w:sz="0" w:space="0" w:color="auto"/>
                <w:right w:val="none" w:sz="0" w:space="0" w:color="auto"/>
              </w:divBdr>
              <w:divsChild>
                <w:div w:id="200703151">
                  <w:marLeft w:val="0"/>
                  <w:marRight w:val="0"/>
                  <w:marTop w:val="0"/>
                  <w:marBottom w:val="0"/>
                  <w:divBdr>
                    <w:top w:val="none" w:sz="0" w:space="0" w:color="auto"/>
                    <w:left w:val="none" w:sz="0" w:space="0" w:color="auto"/>
                    <w:bottom w:val="none" w:sz="0" w:space="0" w:color="auto"/>
                    <w:right w:val="none" w:sz="0" w:space="0" w:color="auto"/>
                  </w:divBdr>
                  <w:divsChild>
                    <w:div w:id="749354203">
                      <w:marLeft w:val="0"/>
                      <w:marRight w:val="0"/>
                      <w:marTop w:val="0"/>
                      <w:marBottom w:val="0"/>
                      <w:divBdr>
                        <w:top w:val="none" w:sz="0" w:space="0" w:color="auto"/>
                        <w:left w:val="none" w:sz="0" w:space="0" w:color="auto"/>
                        <w:bottom w:val="none" w:sz="0" w:space="0" w:color="auto"/>
                        <w:right w:val="none" w:sz="0" w:space="0" w:color="auto"/>
                      </w:divBdr>
                    </w:div>
                    <w:div w:id="1239635184">
                      <w:marLeft w:val="0"/>
                      <w:marRight w:val="0"/>
                      <w:marTop w:val="0"/>
                      <w:marBottom w:val="0"/>
                      <w:divBdr>
                        <w:top w:val="none" w:sz="0" w:space="0" w:color="auto"/>
                        <w:left w:val="none" w:sz="0" w:space="0" w:color="auto"/>
                        <w:bottom w:val="none" w:sz="0" w:space="0" w:color="auto"/>
                        <w:right w:val="none" w:sz="0" w:space="0" w:color="auto"/>
                      </w:divBdr>
                    </w:div>
                    <w:div w:id="1347443666">
                      <w:marLeft w:val="0"/>
                      <w:marRight w:val="0"/>
                      <w:marTop w:val="0"/>
                      <w:marBottom w:val="0"/>
                      <w:divBdr>
                        <w:top w:val="none" w:sz="0" w:space="0" w:color="auto"/>
                        <w:left w:val="none" w:sz="0" w:space="0" w:color="auto"/>
                        <w:bottom w:val="none" w:sz="0" w:space="0" w:color="auto"/>
                        <w:right w:val="none" w:sz="0" w:space="0" w:color="auto"/>
                      </w:divBdr>
                    </w:div>
                  </w:divsChild>
                </w:div>
                <w:div w:id="323824982">
                  <w:marLeft w:val="0"/>
                  <w:marRight w:val="0"/>
                  <w:marTop w:val="0"/>
                  <w:marBottom w:val="0"/>
                  <w:divBdr>
                    <w:top w:val="none" w:sz="0" w:space="0" w:color="auto"/>
                    <w:left w:val="none" w:sz="0" w:space="0" w:color="auto"/>
                    <w:bottom w:val="none" w:sz="0" w:space="0" w:color="auto"/>
                    <w:right w:val="none" w:sz="0" w:space="0" w:color="auto"/>
                  </w:divBdr>
                  <w:divsChild>
                    <w:div w:id="221643093">
                      <w:marLeft w:val="0"/>
                      <w:marRight w:val="0"/>
                      <w:marTop w:val="0"/>
                      <w:marBottom w:val="0"/>
                      <w:divBdr>
                        <w:top w:val="none" w:sz="0" w:space="0" w:color="auto"/>
                        <w:left w:val="none" w:sz="0" w:space="0" w:color="auto"/>
                        <w:bottom w:val="none" w:sz="0" w:space="0" w:color="auto"/>
                        <w:right w:val="none" w:sz="0" w:space="0" w:color="auto"/>
                      </w:divBdr>
                    </w:div>
                    <w:div w:id="655885506">
                      <w:marLeft w:val="0"/>
                      <w:marRight w:val="0"/>
                      <w:marTop w:val="0"/>
                      <w:marBottom w:val="0"/>
                      <w:divBdr>
                        <w:top w:val="none" w:sz="0" w:space="0" w:color="auto"/>
                        <w:left w:val="none" w:sz="0" w:space="0" w:color="auto"/>
                        <w:bottom w:val="none" w:sz="0" w:space="0" w:color="auto"/>
                        <w:right w:val="none" w:sz="0" w:space="0" w:color="auto"/>
                      </w:divBdr>
                    </w:div>
                    <w:div w:id="1536775241">
                      <w:marLeft w:val="0"/>
                      <w:marRight w:val="0"/>
                      <w:marTop w:val="0"/>
                      <w:marBottom w:val="0"/>
                      <w:divBdr>
                        <w:top w:val="none" w:sz="0" w:space="0" w:color="auto"/>
                        <w:left w:val="none" w:sz="0" w:space="0" w:color="auto"/>
                        <w:bottom w:val="none" w:sz="0" w:space="0" w:color="auto"/>
                        <w:right w:val="none" w:sz="0" w:space="0" w:color="auto"/>
                      </w:divBdr>
                    </w:div>
                  </w:divsChild>
                </w:div>
                <w:div w:id="678392610">
                  <w:marLeft w:val="0"/>
                  <w:marRight w:val="0"/>
                  <w:marTop w:val="0"/>
                  <w:marBottom w:val="0"/>
                  <w:divBdr>
                    <w:top w:val="none" w:sz="0" w:space="0" w:color="auto"/>
                    <w:left w:val="none" w:sz="0" w:space="0" w:color="auto"/>
                    <w:bottom w:val="none" w:sz="0" w:space="0" w:color="auto"/>
                    <w:right w:val="none" w:sz="0" w:space="0" w:color="auto"/>
                  </w:divBdr>
                  <w:divsChild>
                    <w:div w:id="1266815175">
                      <w:marLeft w:val="0"/>
                      <w:marRight w:val="0"/>
                      <w:marTop w:val="0"/>
                      <w:marBottom w:val="0"/>
                      <w:divBdr>
                        <w:top w:val="none" w:sz="0" w:space="0" w:color="auto"/>
                        <w:left w:val="none" w:sz="0" w:space="0" w:color="auto"/>
                        <w:bottom w:val="none" w:sz="0" w:space="0" w:color="auto"/>
                        <w:right w:val="none" w:sz="0" w:space="0" w:color="auto"/>
                      </w:divBdr>
                    </w:div>
                  </w:divsChild>
                </w:div>
                <w:div w:id="869495985">
                  <w:marLeft w:val="0"/>
                  <w:marRight w:val="0"/>
                  <w:marTop w:val="0"/>
                  <w:marBottom w:val="0"/>
                  <w:divBdr>
                    <w:top w:val="none" w:sz="0" w:space="0" w:color="auto"/>
                    <w:left w:val="none" w:sz="0" w:space="0" w:color="auto"/>
                    <w:bottom w:val="none" w:sz="0" w:space="0" w:color="auto"/>
                    <w:right w:val="none" w:sz="0" w:space="0" w:color="auto"/>
                  </w:divBdr>
                  <w:divsChild>
                    <w:div w:id="1435398587">
                      <w:marLeft w:val="0"/>
                      <w:marRight w:val="0"/>
                      <w:marTop w:val="0"/>
                      <w:marBottom w:val="0"/>
                      <w:divBdr>
                        <w:top w:val="none" w:sz="0" w:space="0" w:color="auto"/>
                        <w:left w:val="none" w:sz="0" w:space="0" w:color="auto"/>
                        <w:bottom w:val="none" w:sz="0" w:space="0" w:color="auto"/>
                        <w:right w:val="none" w:sz="0" w:space="0" w:color="auto"/>
                      </w:divBdr>
                    </w:div>
                  </w:divsChild>
                </w:div>
                <w:div w:id="1188719218">
                  <w:marLeft w:val="0"/>
                  <w:marRight w:val="0"/>
                  <w:marTop w:val="0"/>
                  <w:marBottom w:val="0"/>
                  <w:divBdr>
                    <w:top w:val="none" w:sz="0" w:space="0" w:color="auto"/>
                    <w:left w:val="none" w:sz="0" w:space="0" w:color="auto"/>
                    <w:bottom w:val="none" w:sz="0" w:space="0" w:color="auto"/>
                    <w:right w:val="none" w:sz="0" w:space="0" w:color="auto"/>
                  </w:divBdr>
                  <w:divsChild>
                    <w:div w:id="782269430">
                      <w:marLeft w:val="0"/>
                      <w:marRight w:val="0"/>
                      <w:marTop w:val="0"/>
                      <w:marBottom w:val="0"/>
                      <w:divBdr>
                        <w:top w:val="none" w:sz="0" w:space="0" w:color="auto"/>
                        <w:left w:val="none" w:sz="0" w:space="0" w:color="auto"/>
                        <w:bottom w:val="none" w:sz="0" w:space="0" w:color="auto"/>
                        <w:right w:val="none" w:sz="0" w:space="0" w:color="auto"/>
                      </w:divBdr>
                    </w:div>
                    <w:div w:id="1091244927">
                      <w:marLeft w:val="0"/>
                      <w:marRight w:val="0"/>
                      <w:marTop w:val="0"/>
                      <w:marBottom w:val="0"/>
                      <w:divBdr>
                        <w:top w:val="none" w:sz="0" w:space="0" w:color="auto"/>
                        <w:left w:val="none" w:sz="0" w:space="0" w:color="auto"/>
                        <w:bottom w:val="none" w:sz="0" w:space="0" w:color="auto"/>
                        <w:right w:val="none" w:sz="0" w:space="0" w:color="auto"/>
                      </w:divBdr>
                    </w:div>
                    <w:div w:id="2062483764">
                      <w:marLeft w:val="0"/>
                      <w:marRight w:val="0"/>
                      <w:marTop w:val="0"/>
                      <w:marBottom w:val="0"/>
                      <w:divBdr>
                        <w:top w:val="none" w:sz="0" w:space="0" w:color="auto"/>
                        <w:left w:val="none" w:sz="0" w:space="0" w:color="auto"/>
                        <w:bottom w:val="none" w:sz="0" w:space="0" w:color="auto"/>
                        <w:right w:val="none" w:sz="0" w:space="0" w:color="auto"/>
                      </w:divBdr>
                    </w:div>
                  </w:divsChild>
                </w:div>
                <w:div w:id="1450051693">
                  <w:marLeft w:val="0"/>
                  <w:marRight w:val="0"/>
                  <w:marTop w:val="0"/>
                  <w:marBottom w:val="0"/>
                  <w:divBdr>
                    <w:top w:val="none" w:sz="0" w:space="0" w:color="auto"/>
                    <w:left w:val="none" w:sz="0" w:space="0" w:color="auto"/>
                    <w:bottom w:val="none" w:sz="0" w:space="0" w:color="auto"/>
                    <w:right w:val="none" w:sz="0" w:space="0" w:color="auto"/>
                  </w:divBdr>
                  <w:divsChild>
                    <w:div w:id="184172464">
                      <w:marLeft w:val="0"/>
                      <w:marRight w:val="0"/>
                      <w:marTop w:val="0"/>
                      <w:marBottom w:val="0"/>
                      <w:divBdr>
                        <w:top w:val="none" w:sz="0" w:space="0" w:color="auto"/>
                        <w:left w:val="none" w:sz="0" w:space="0" w:color="auto"/>
                        <w:bottom w:val="none" w:sz="0" w:space="0" w:color="auto"/>
                        <w:right w:val="none" w:sz="0" w:space="0" w:color="auto"/>
                      </w:divBdr>
                    </w:div>
                    <w:div w:id="1614240426">
                      <w:marLeft w:val="0"/>
                      <w:marRight w:val="0"/>
                      <w:marTop w:val="0"/>
                      <w:marBottom w:val="0"/>
                      <w:divBdr>
                        <w:top w:val="none" w:sz="0" w:space="0" w:color="auto"/>
                        <w:left w:val="none" w:sz="0" w:space="0" w:color="auto"/>
                        <w:bottom w:val="none" w:sz="0" w:space="0" w:color="auto"/>
                        <w:right w:val="none" w:sz="0" w:space="0" w:color="auto"/>
                      </w:divBdr>
                    </w:div>
                  </w:divsChild>
                </w:div>
                <w:div w:id="1550190465">
                  <w:marLeft w:val="0"/>
                  <w:marRight w:val="0"/>
                  <w:marTop w:val="0"/>
                  <w:marBottom w:val="0"/>
                  <w:divBdr>
                    <w:top w:val="none" w:sz="0" w:space="0" w:color="auto"/>
                    <w:left w:val="none" w:sz="0" w:space="0" w:color="auto"/>
                    <w:bottom w:val="none" w:sz="0" w:space="0" w:color="auto"/>
                    <w:right w:val="none" w:sz="0" w:space="0" w:color="auto"/>
                  </w:divBdr>
                  <w:divsChild>
                    <w:div w:id="9913271">
                      <w:marLeft w:val="0"/>
                      <w:marRight w:val="0"/>
                      <w:marTop w:val="0"/>
                      <w:marBottom w:val="0"/>
                      <w:divBdr>
                        <w:top w:val="none" w:sz="0" w:space="0" w:color="auto"/>
                        <w:left w:val="none" w:sz="0" w:space="0" w:color="auto"/>
                        <w:bottom w:val="none" w:sz="0" w:space="0" w:color="auto"/>
                        <w:right w:val="none" w:sz="0" w:space="0" w:color="auto"/>
                      </w:divBdr>
                    </w:div>
                  </w:divsChild>
                </w:div>
                <w:div w:id="1743022733">
                  <w:marLeft w:val="0"/>
                  <w:marRight w:val="0"/>
                  <w:marTop w:val="0"/>
                  <w:marBottom w:val="0"/>
                  <w:divBdr>
                    <w:top w:val="none" w:sz="0" w:space="0" w:color="auto"/>
                    <w:left w:val="none" w:sz="0" w:space="0" w:color="auto"/>
                    <w:bottom w:val="none" w:sz="0" w:space="0" w:color="auto"/>
                    <w:right w:val="none" w:sz="0" w:space="0" w:color="auto"/>
                  </w:divBdr>
                  <w:divsChild>
                    <w:div w:id="114373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7127">
          <w:marLeft w:val="0"/>
          <w:marRight w:val="0"/>
          <w:marTop w:val="0"/>
          <w:marBottom w:val="0"/>
          <w:divBdr>
            <w:top w:val="none" w:sz="0" w:space="0" w:color="auto"/>
            <w:left w:val="none" w:sz="0" w:space="0" w:color="auto"/>
            <w:bottom w:val="none" w:sz="0" w:space="0" w:color="auto"/>
            <w:right w:val="none" w:sz="0" w:space="0" w:color="auto"/>
          </w:divBdr>
        </w:div>
        <w:div w:id="1275213800">
          <w:marLeft w:val="0"/>
          <w:marRight w:val="0"/>
          <w:marTop w:val="0"/>
          <w:marBottom w:val="0"/>
          <w:divBdr>
            <w:top w:val="none" w:sz="0" w:space="0" w:color="auto"/>
            <w:left w:val="none" w:sz="0" w:space="0" w:color="auto"/>
            <w:bottom w:val="none" w:sz="0" w:space="0" w:color="auto"/>
            <w:right w:val="none" w:sz="0" w:space="0" w:color="auto"/>
          </w:divBdr>
        </w:div>
        <w:div w:id="1285039192">
          <w:marLeft w:val="0"/>
          <w:marRight w:val="0"/>
          <w:marTop w:val="0"/>
          <w:marBottom w:val="0"/>
          <w:divBdr>
            <w:top w:val="none" w:sz="0" w:space="0" w:color="auto"/>
            <w:left w:val="none" w:sz="0" w:space="0" w:color="auto"/>
            <w:bottom w:val="none" w:sz="0" w:space="0" w:color="auto"/>
            <w:right w:val="none" w:sz="0" w:space="0" w:color="auto"/>
          </w:divBdr>
        </w:div>
        <w:div w:id="1286345866">
          <w:marLeft w:val="0"/>
          <w:marRight w:val="0"/>
          <w:marTop w:val="0"/>
          <w:marBottom w:val="0"/>
          <w:divBdr>
            <w:top w:val="none" w:sz="0" w:space="0" w:color="auto"/>
            <w:left w:val="none" w:sz="0" w:space="0" w:color="auto"/>
            <w:bottom w:val="none" w:sz="0" w:space="0" w:color="auto"/>
            <w:right w:val="none" w:sz="0" w:space="0" w:color="auto"/>
          </w:divBdr>
        </w:div>
        <w:div w:id="1345665256">
          <w:marLeft w:val="0"/>
          <w:marRight w:val="0"/>
          <w:marTop w:val="0"/>
          <w:marBottom w:val="0"/>
          <w:divBdr>
            <w:top w:val="none" w:sz="0" w:space="0" w:color="auto"/>
            <w:left w:val="none" w:sz="0" w:space="0" w:color="auto"/>
            <w:bottom w:val="none" w:sz="0" w:space="0" w:color="auto"/>
            <w:right w:val="none" w:sz="0" w:space="0" w:color="auto"/>
          </w:divBdr>
        </w:div>
        <w:div w:id="1419522664">
          <w:marLeft w:val="0"/>
          <w:marRight w:val="0"/>
          <w:marTop w:val="0"/>
          <w:marBottom w:val="0"/>
          <w:divBdr>
            <w:top w:val="none" w:sz="0" w:space="0" w:color="auto"/>
            <w:left w:val="none" w:sz="0" w:space="0" w:color="auto"/>
            <w:bottom w:val="none" w:sz="0" w:space="0" w:color="auto"/>
            <w:right w:val="none" w:sz="0" w:space="0" w:color="auto"/>
          </w:divBdr>
        </w:div>
        <w:div w:id="1447311994">
          <w:marLeft w:val="0"/>
          <w:marRight w:val="0"/>
          <w:marTop w:val="0"/>
          <w:marBottom w:val="0"/>
          <w:divBdr>
            <w:top w:val="none" w:sz="0" w:space="0" w:color="auto"/>
            <w:left w:val="none" w:sz="0" w:space="0" w:color="auto"/>
            <w:bottom w:val="none" w:sz="0" w:space="0" w:color="auto"/>
            <w:right w:val="none" w:sz="0" w:space="0" w:color="auto"/>
          </w:divBdr>
        </w:div>
        <w:div w:id="1456634239">
          <w:marLeft w:val="0"/>
          <w:marRight w:val="0"/>
          <w:marTop w:val="0"/>
          <w:marBottom w:val="0"/>
          <w:divBdr>
            <w:top w:val="none" w:sz="0" w:space="0" w:color="auto"/>
            <w:left w:val="none" w:sz="0" w:space="0" w:color="auto"/>
            <w:bottom w:val="none" w:sz="0" w:space="0" w:color="auto"/>
            <w:right w:val="none" w:sz="0" w:space="0" w:color="auto"/>
          </w:divBdr>
        </w:div>
        <w:div w:id="1493644647">
          <w:marLeft w:val="0"/>
          <w:marRight w:val="0"/>
          <w:marTop w:val="0"/>
          <w:marBottom w:val="0"/>
          <w:divBdr>
            <w:top w:val="none" w:sz="0" w:space="0" w:color="auto"/>
            <w:left w:val="none" w:sz="0" w:space="0" w:color="auto"/>
            <w:bottom w:val="none" w:sz="0" w:space="0" w:color="auto"/>
            <w:right w:val="none" w:sz="0" w:space="0" w:color="auto"/>
          </w:divBdr>
        </w:div>
        <w:div w:id="1525360775">
          <w:marLeft w:val="0"/>
          <w:marRight w:val="0"/>
          <w:marTop w:val="0"/>
          <w:marBottom w:val="0"/>
          <w:divBdr>
            <w:top w:val="none" w:sz="0" w:space="0" w:color="auto"/>
            <w:left w:val="none" w:sz="0" w:space="0" w:color="auto"/>
            <w:bottom w:val="none" w:sz="0" w:space="0" w:color="auto"/>
            <w:right w:val="none" w:sz="0" w:space="0" w:color="auto"/>
          </w:divBdr>
        </w:div>
        <w:div w:id="1549106180">
          <w:marLeft w:val="0"/>
          <w:marRight w:val="0"/>
          <w:marTop w:val="0"/>
          <w:marBottom w:val="0"/>
          <w:divBdr>
            <w:top w:val="none" w:sz="0" w:space="0" w:color="auto"/>
            <w:left w:val="none" w:sz="0" w:space="0" w:color="auto"/>
            <w:bottom w:val="none" w:sz="0" w:space="0" w:color="auto"/>
            <w:right w:val="none" w:sz="0" w:space="0" w:color="auto"/>
          </w:divBdr>
        </w:div>
        <w:div w:id="1552382992">
          <w:marLeft w:val="0"/>
          <w:marRight w:val="0"/>
          <w:marTop w:val="0"/>
          <w:marBottom w:val="0"/>
          <w:divBdr>
            <w:top w:val="none" w:sz="0" w:space="0" w:color="auto"/>
            <w:left w:val="none" w:sz="0" w:space="0" w:color="auto"/>
            <w:bottom w:val="none" w:sz="0" w:space="0" w:color="auto"/>
            <w:right w:val="none" w:sz="0" w:space="0" w:color="auto"/>
          </w:divBdr>
        </w:div>
        <w:div w:id="1553465958">
          <w:marLeft w:val="0"/>
          <w:marRight w:val="0"/>
          <w:marTop w:val="0"/>
          <w:marBottom w:val="0"/>
          <w:divBdr>
            <w:top w:val="none" w:sz="0" w:space="0" w:color="auto"/>
            <w:left w:val="none" w:sz="0" w:space="0" w:color="auto"/>
            <w:bottom w:val="none" w:sz="0" w:space="0" w:color="auto"/>
            <w:right w:val="none" w:sz="0" w:space="0" w:color="auto"/>
          </w:divBdr>
          <w:divsChild>
            <w:div w:id="56439802">
              <w:marLeft w:val="0"/>
              <w:marRight w:val="0"/>
              <w:marTop w:val="0"/>
              <w:marBottom w:val="0"/>
              <w:divBdr>
                <w:top w:val="none" w:sz="0" w:space="0" w:color="auto"/>
                <w:left w:val="none" w:sz="0" w:space="0" w:color="auto"/>
                <w:bottom w:val="none" w:sz="0" w:space="0" w:color="auto"/>
                <w:right w:val="none" w:sz="0" w:space="0" w:color="auto"/>
              </w:divBdr>
            </w:div>
            <w:div w:id="392192657">
              <w:marLeft w:val="0"/>
              <w:marRight w:val="0"/>
              <w:marTop w:val="0"/>
              <w:marBottom w:val="0"/>
              <w:divBdr>
                <w:top w:val="none" w:sz="0" w:space="0" w:color="auto"/>
                <w:left w:val="none" w:sz="0" w:space="0" w:color="auto"/>
                <w:bottom w:val="none" w:sz="0" w:space="0" w:color="auto"/>
                <w:right w:val="none" w:sz="0" w:space="0" w:color="auto"/>
              </w:divBdr>
            </w:div>
            <w:div w:id="452097651">
              <w:marLeft w:val="0"/>
              <w:marRight w:val="0"/>
              <w:marTop w:val="0"/>
              <w:marBottom w:val="0"/>
              <w:divBdr>
                <w:top w:val="none" w:sz="0" w:space="0" w:color="auto"/>
                <w:left w:val="none" w:sz="0" w:space="0" w:color="auto"/>
                <w:bottom w:val="none" w:sz="0" w:space="0" w:color="auto"/>
                <w:right w:val="none" w:sz="0" w:space="0" w:color="auto"/>
              </w:divBdr>
            </w:div>
            <w:div w:id="482815715">
              <w:marLeft w:val="0"/>
              <w:marRight w:val="0"/>
              <w:marTop w:val="0"/>
              <w:marBottom w:val="0"/>
              <w:divBdr>
                <w:top w:val="none" w:sz="0" w:space="0" w:color="auto"/>
                <w:left w:val="none" w:sz="0" w:space="0" w:color="auto"/>
                <w:bottom w:val="none" w:sz="0" w:space="0" w:color="auto"/>
                <w:right w:val="none" w:sz="0" w:space="0" w:color="auto"/>
              </w:divBdr>
            </w:div>
            <w:div w:id="635531093">
              <w:marLeft w:val="0"/>
              <w:marRight w:val="0"/>
              <w:marTop w:val="0"/>
              <w:marBottom w:val="0"/>
              <w:divBdr>
                <w:top w:val="none" w:sz="0" w:space="0" w:color="auto"/>
                <w:left w:val="none" w:sz="0" w:space="0" w:color="auto"/>
                <w:bottom w:val="none" w:sz="0" w:space="0" w:color="auto"/>
                <w:right w:val="none" w:sz="0" w:space="0" w:color="auto"/>
              </w:divBdr>
            </w:div>
            <w:div w:id="638148358">
              <w:marLeft w:val="0"/>
              <w:marRight w:val="0"/>
              <w:marTop w:val="0"/>
              <w:marBottom w:val="0"/>
              <w:divBdr>
                <w:top w:val="none" w:sz="0" w:space="0" w:color="auto"/>
                <w:left w:val="none" w:sz="0" w:space="0" w:color="auto"/>
                <w:bottom w:val="none" w:sz="0" w:space="0" w:color="auto"/>
                <w:right w:val="none" w:sz="0" w:space="0" w:color="auto"/>
              </w:divBdr>
            </w:div>
            <w:div w:id="851146659">
              <w:marLeft w:val="0"/>
              <w:marRight w:val="0"/>
              <w:marTop w:val="0"/>
              <w:marBottom w:val="0"/>
              <w:divBdr>
                <w:top w:val="none" w:sz="0" w:space="0" w:color="auto"/>
                <w:left w:val="none" w:sz="0" w:space="0" w:color="auto"/>
                <w:bottom w:val="none" w:sz="0" w:space="0" w:color="auto"/>
                <w:right w:val="none" w:sz="0" w:space="0" w:color="auto"/>
              </w:divBdr>
            </w:div>
            <w:div w:id="855192562">
              <w:marLeft w:val="0"/>
              <w:marRight w:val="0"/>
              <w:marTop w:val="0"/>
              <w:marBottom w:val="0"/>
              <w:divBdr>
                <w:top w:val="none" w:sz="0" w:space="0" w:color="auto"/>
                <w:left w:val="none" w:sz="0" w:space="0" w:color="auto"/>
                <w:bottom w:val="none" w:sz="0" w:space="0" w:color="auto"/>
                <w:right w:val="none" w:sz="0" w:space="0" w:color="auto"/>
              </w:divBdr>
            </w:div>
            <w:div w:id="1124929349">
              <w:marLeft w:val="0"/>
              <w:marRight w:val="0"/>
              <w:marTop w:val="0"/>
              <w:marBottom w:val="0"/>
              <w:divBdr>
                <w:top w:val="none" w:sz="0" w:space="0" w:color="auto"/>
                <w:left w:val="none" w:sz="0" w:space="0" w:color="auto"/>
                <w:bottom w:val="none" w:sz="0" w:space="0" w:color="auto"/>
                <w:right w:val="none" w:sz="0" w:space="0" w:color="auto"/>
              </w:divBdr>
            </w:div>
            <w:div w:id="1180464639">
              <w:marLeft w:val="0"/>
              <w:marRight w:val="0"/>
              <w:marTop w:val="0"/>
              <w:marBottom w:val="0"/>
              <w:divBdr>
                <w:top w:val="none" w:sz="0" w:space="0" w:color="auto"/>
                <w:left w:val="none" w:sz="0" w:space="0" w:color="auto"/>
                <w:bottom w:val="none" w:sz="0" w:space="0" w:color="auto"/>
                <w:right w:val="none" w:sz="0" w:space="0" w:color="auto"/>
              </w:divBdr>
            </w:div>
            <w:div w:id="1245409416">
              <w:marLeft w:val="0"/>
              <w:marRight w:val="0"/>
              <w:marTop w:val="0"/>
              <w:marBottom w:val="0"/>
              <w:divBdr>
                <w:top w:val="none" w:sz="0" w:space="0" w:color="auto"/>
                <w:left w:val="none" w:sz="0" w:space="0" w:color="auto"/>
                <w:bottom w:val="none" w:sz="0" w:space="0" w:color="auto"/>
                <w:right w:val="none" w:sz="0" w:space="0" w:color="auto"/>
              </w:divBdr>
            </w:div>
            <w:div w:id="1409961910">
              <w:marLeft w:val="0"/>
              <w:marRight w:val="0"/>
              <w:marTop w:val="0"/>
              <w:marBottom w:val="0"/>
              <w:divBdr>
                <w:top w:val="none" w:sz="0" w:space="0" w:color="auto"/>
                <w:left w:val="none" w:sz="0" w:space="0" w:color="auto"/>
                <w:bottom w:val="none" w:sz="0" w:space="0" w:color="auto"/>
                <w:right w:val="none" w:sz="0" w:space="0" w:color="auto"/>
              </w:divBdr>
            </w:div>
            <w:div w:id="1436905963">
              <w:marLeft w:val="0"/>
              <w:marRight w:val="0"/>
              <w:marTop w:val="0"/>
              <w:marBottom w:val="0"/>
              <w:divBdr>
                <w:top w:val="none" w:sz="0" w:space="0" w:color="auto"/>
                <w:left w:val="none" w:sz="0" w:space="0" w:color="auto"/>
                <w:bottom w:val="none" w:sz="0" w:space="0" w:color="auto"/>
                <w:right w:val="none" w:sz="0" w:space="0" w:color="auto"/>
              </w:divBdr>
            </w:div>
            <w:div w:id="1509515388">
              <w:marLeft w:val="0"/>
              <w:marRight w:val="0"/>
              <w:marTop w:val="0"/>
              <w:marBottom w:val="0"/>
              <w:divBdr>
                <w:top w:val="none" w:sz="0" w:space="0" w:color="auto"/>
                <w:left w:val="none" w:sz="0" w:space="0" w:color="auto"/>
                <w:bottom w:val="none" w:sz="0" w:space="0" w:color="auto"/>
                <w:right w:val="none" w:sz="0" w:space="0" w:color="auto"/>
              </w:divBdr>
            </w:div>
            <w:div w:id="1547060104">
              <w:marLeft w:val="0"/>
              <w:marRight w:val="0"/>
              <w:marTop w:val="0"/>
              <w:marBottom w:val="0"/>
              <w:divBdr>
                <w:top w:val="none" w:sz="0" w:space="0" w:color="auto"/>
                <w:left w:val="none" w:sz="0" w:space="0" w:color="auto"/>
                <w:bottom w:val="none" w:sz="0" w:space="0" w:color="auto"/>
                <w:right w:val="none" w:sz="0" w:space="0" w:color="auto"/>
              </w:divBdr>
            </w:div>
            <w:div w:id="1799908892">
              <w:marLeft w:val="0"/>
              <w:marRight w:val="0"/>
              <w:marTop w:val="0"/>
              <w:marBottom w:val="0"/>
              <w:divBdr>
                <w:top w:val="none" w:sz="0" w:space="0" w:color="auto"/>
                <w:left w:val="none" w:sz="0" w:space="0" w:color="auto"/>
                <w:bottom w:val="none" w:sz="0" w:space="0" w:color="auto"/>
                <w:right w:val="none" w:sz="0" w:space="0" w:color="auto"/>
              </w:divBdr>
            </w:div>
            <w:div w:id="1888953020">
              <w:marLeft w:val="0"/>
              <w:marRight w:val="0"/>
              <w:marTop w:val="0"/>
              <w:marBottom w:val="0"/>
              <w:divBdr>
                <w:top w:val="none" w:sz="0" w:space="0" w:color="auto"/>
                <w:left w:val="none" w:sz="0" w:space="0" w:color="auto"/>
                <w:bottom w:val="none" w:sz="0" w:space="0" w:color="auto"/>
                <w:right w:val="none" w:sz="0" w:space="0" w:color="auto"/>
              </w:divBdr>
            </w:div>
            <w:div w:id="2097360210">
              <w:marLeft w:val="0"/>
              <w:marRight w:val="0"/>
              <w:marTop w:val="0"/>
              <w:marBottom w:val="0"/>
              <w:divBdr>
                <w:top w:val="none" w:sz="0" w:space="0" w:color="auto"/>
                <w:left w:val="none" w:sz="0" w:space="0" w:color="auto"/>
                <w:bottom w:val="none" w:sz="0" w:space="0" w:color="auto"/>
                <w:right w:val="none" w:sz="0" w:space="0" w:color="auto"/>
              </w:divBdr>
            </w:div>
            <w:div w:id="2124297679">
              <w:marLeft w:val="0"/>
              <w:marRight w:val="0"/>
              <w:marTop w:val="0"/>
              <w:marBottom w:val="0"/>
              <w:divBdr>
                <w:top w:val="none" w:sz="0" w:space="0" w:color="auto"/>
                <w:left w:val="none" w:sz="0" w:space="0" w:color="auto"/>
                <w:bottom w:val="none" w:sz="0" w:space="0" w:color="auto"/>
                <w:right w:val="none" w:sz="0" w:space="0" w:color="auto"/>
              </w:divBdr>
            </w:div>
          </w:divsChild>
        </w:div>
        <w:div w:id="1646665535">
          <w:marLeft w:val="0"/>
          <w:marRight w:val="0"/>
          <w:marTop w:val="0"/>
          <w:marBottom w:val="0"/>
          <w:divBdr>
            <w:top w:val="none" w:sz="0" w:space="0" w:color="auto"/>
            <w:left w:val="none" w:sz="0" w:space="0" w:color="auto"/>
            <w:bottom w:val="none" w:sz="0" w:space="0" w:color="auto"/>
            <w:right w:val="none" w:sz="0" w:space="0" w:color="auto"/>
          </w:divBdr>
          <w:divsChild>
            <w:div w:id="6102145">
              <w:marLeft w:val="0"/>
              <w:marRight w:val="0"/>
              <w:marTop w:val="0"/>
              <w:marBottom w:val="0"/>
              <w:divBdr>
                <w:top w:val="none" w:sz="0" w:space="0" w:color="auto"/>
                <w:left w:val="none" w:sz="0" w:space="0" w:color="auto"/>
                <w:bottom w:val="none" w:sz="0" w:space="0" w:color="auto"/>
                <w:right w:val="none" w:sz="0" w:space="0" w:color="auto"/>
              </w:divBdr>
            </w:div>
            <w:div w:id="38870881">
              <w:marLeft w:val="0"/>
              <w:marRight w:val="0"/>
              <w:marTop w:val="0"/>
              <w:marBottom w:val="0"/>
              <w:divBdr>
                <w:top w:val="none" w:sz="0" w:space="0" w:color="auto"/>
                <w:left w:val="none" w:sz="0" w:space="0" w:color="auto"/>
                <w:bottom w:val="none" w:sz="0" w:space="0" w:color="auto"/>
                <w:right w:val="none" w:sz="0" w:space="0" w:color="auto"/>
              </w:divBdr>
            </w:div>
            <w:div w:id="175731243">
              <w:marLeft w:val="0"/>
              <w:marRight w:val="0"/>
              <w:marTop w:val="0"/>
              <w:marBottom w:val="0"/>
              <w:divBdr>
                <w:top w:val="none" w:sz="0" w:space="0" w:color="auto"/>
                <w:left w:val="none" w:sz="0" w:space="0" w:color="auto"/>
                <w:bottom w:val="none" w:sz="0" w:space="0" w:color="auto"/>
                <w:right w:val="none" w:sz="0" w:space="0" w:color="auto"/>
              </w:divBdr>
            </w:div>
            <w:div w:id="199830040">
              <w:marLeft w:val="0"/>
              <w:marRight w:val="0"/>
              <w:marTop w:val="0"/>
              <w:marBottom w:val="0"/>
              <w:divBdr>
                <w:top w:val="none" w:sz="0" w:space="0" w:color="auto"/>
                <w:left w:val="none" w:sz="0" w:space="0" w:color="auto"/>
                <w:bottom w:val="none" w:sz="0" w:space="0" w:color="auto"/>
                <w:right w:val="none" w:sz="0" w:space="0" w:color="auto"/>
              </w:divBdr>
            </w:div>
            <w:div w:id="239217301">
              <w:marLeft w:val="0"/>
              <w:marRight w:val="0"/>
              <w:marTop w:val="0"/>
              <w:marBottom w:val="0"/>
              <w:divBdr>
                <w:top w:val="none" w:sz="0" w:space="0" w:color="auto"/>
                <w:left w:val="none" w:sz="0" w:space="0" w:color="auto"/>
                <w:bottom w:val="none" w:sz="0" w:space="0" w:color="auto"/>
                <w:right w:val="none" w:sz="0" w:space="0" w:color="auto"/>
              </w:divBdr>
            </w:div>
            <w:div w:id="286932259">
              <w:marLeft w:val="0"/>
              <w:marRight w:val="0"/>
              <w:marTop w:val="0"/>
              <w:marBottom w:val="0"/>
              <w:divBdr>
                <w:top w:val="none" w:sz="0" w:space="0" w:color="auto"/>
                <w:left w:val="none" w:sz="0" w:space="0" w:color="auto"/>
                <w:bottom w:val="none" w:sz="0" w:space="0" w:color="auto"/>
                <w:right w:val="none" w:sz="0" w:space="0" w:color="auto"/>
              </w:divBdr>
            </w:div>
            <w:div w:id="317073790">
              <w:marLeft w:val="0"/>
              <w:marRight w:val="0"/>
              <w:marTop w:val="0"/>
              <w:marBottom w:val="0"/>
              <w:divBdr>
                <w:top w:val="none" w:sz="0" w:space="0" w:color="auto"/>
                <w:left w:val="none" w:sz="0" w:space="0" w:color="auto"/>
                <w:bottom w:val="none" w:sz="0" w:space="0" w:color="auto"/>
                <w:right w:val="none" w:sz="0" w:space="0" w:color="auto"/>
              </w:divBdr>
            </w:div>
            <w:div w:id="334773884">
              <w:marLeft w:val="0"/>
              <w:marRight w:val="0"/>
              <w:marTop w:val="0"/>
              <w:marBottom w:val="0"/>
              <w:divBdr>
                <w:top w:val="none" w:sz="0" w:space="0" w:color="auto"/>
                <w:left w:val="none" w:sz="0" w:space="0" w:color="auto"/>
                <w:bottom w:val="none" w:sz="0" w:space="0" w:color="auto"/>
                <w:right w:val="none" w:sz="0" w:space="0" w:color="auto"/>
              </w:divBdr>
            </w:div>
            <w:div w:id="409549867">
              <w:marLeft w:val="0"/>
              <w:marRight w:val="0"/>
              <w:marTop w:val="0"/>
              <w:marBottom w:val="0"/>
              <w:divBdr>
                <w:top w:val="none" w:sz="0" w:space="0" w:color="auto"/>
                <w:left w:val="none" w:sz="0" w:space="0" w:color="auto"/>
                <w:bottom w:val="none" w:sz="0" w:space="0" w:color="auto"/>
                <w:right w:val="none" w:sz="0" w:space="0" w:color="auto"/>
              </w:divBdr>
            </w:div>
            <w:div w:id="448282568">
              <w:marLeft w:val="0"/>
              <w:marRight w:val="0"/>
              <w:marTop w:val="0"/>
              <w:marBottom w:val="0"/>
              <w:divBdr>
                <w:top w:val="none" w:sz="0" w:space="0" w:color="auto"/>
                <w:left w:val="none" w:sz="0" w:space="0" w:color="auto"/>
                <w:bottom w:val="none" w:sz="0" w:space="0" w:color="auto"/>
                <w:right w:val="none" w:sz="0" w:space="0" w:color="auto"/>
              </w:divBdr>
            </w:div>
            <w:div w:id="462503777">
              <w:marLeft w:val="0"/>
              <w:marRight w:val="0"/>
              <w:marTop w:val="0"/>
              <w:marBottom w:val="0"/>
              <w:divBdr>
                <w:top w:val="none" w:sz="0" w:space="0" w:color="auto"/>
                <w:left w:val="none" w:sz="0" w:space="0" w:color="auto"/>
                <w:bottom w:val="none" w:sz="0" w:space="0" w:color="auto"/>
                <w:right w:val="none" w:sz="0" w:space="0" w:color="auto"/>
              </w:divBdr>
            </w:div>
            <w:div w:id="628167825">
              <w:marLeft w:val="0"/>
              <w:marRight w:val="0"/>
              <w:marTop w:val="0"/>
              <w:marBottom w:val="0"/>
              <w:divBdr>
                <w:top w:val="none" w:sz="0" w:space="0" w:color="auto"/>
                <w:left w:val="none" w:sz="0" w:space="0" w:color="auto"/>
                <w:bottom w:val="none" w:sz="0" w:space="0" w:color="auto"/>
                <w:right w:val="none" w:sz="0" w:space="0" w:color="auto"/>
              </w:divBdr>
            </w:div>
            <w:div w:id="638612193">
              <w:marLeft w:val="0"/>
              <w:marRight w:val="0"/>
              <w:marTop w:val="0"/>
              <w:marBottom w:val="0"/>
              <w:divBdr>
                <w:top w:val="none" w:sz="0" w:space="0" w:color="auto"/>
                <w:left w:val="none" w:sz="0" w:space="0" w:color="auto"/>
                <w:bottom w:val="none" w:sz="0" w:space="0" w:color="auto"/>
                <w:right w:val="none" w:sz="0" w:space="0" w:color="auto"/>
              </w:divBdr>
            </w:div>
            <w:div w:id="723869464">
              <w:marLeft w:val="0"/>
              <w:marRight w:val="0"/>
              <w:marTop w:val="0"/>
              <w:marBottom w:val="0"/>
              <w:divBdr>
                <w:top w:val="none" w:sz="0" w:space="0" w:color="auto"/>
                <w:left w:val="none" w:sz="0" w:space="0" w:color="auto"/>
                <w:bottom w:val="none" w:sz="0" w:space="0" w:color="auto"/>
                <w:right w:val="none" w:sz="0" w:space="0" w:color="auto"/>
              </w:divBdr>
            </w:div>
            <w:div w:id="753359069">
              <w:marLeft w:val="0"/>
              <w:marRight w:val="0"/>
              <w:marTop w:val="0"/>
              <w:marBottom w:val="0"/>
              <w:divBdr>
                <w:top w:val="none" w:sz="0" w:space="0" w:color="auto"/>
                <w:left w:val="none" w:sz="0" w:space="0" w:color="auto"/>
                <w:bottom w:val="none" w:sz="0" w:space="0" w:color="auto"/>
                <w:right w:val="none" w:sz="0" w:space="0" w:color="auto"/>
              </w:divBdr>
            </w:div>
            <w:div w:id="859390649">
              <w:marLeft w:val="0"/>
              <w:marRight w:val="0"/>
              <w:marTop w:val="0"/>
              <w:marBottom w:val="0"/>
              <w:divBdr>
                <w:top w:val="none" w:sz="0" w:space="0" w:color="auto"/>
                <w:left w:val="none" w:sz="0" w:space="0" w:color="auto"/>
                <w:bottom w:val="none" w:sz="0" w:space="0" w:color="auto"/>
                <w:right w:val="none" w:sz="0" w:space="0" w:color="auto"/>
              </w:divBdr>
            </w:div>
            <w:div w:id="945425553">
              <w:marLeft w:val="0"/>
              <w:marRight w:val="0"/>
              <w:marTop w:val="0"/>
              <w:marBottom w:val="0"/>
              <w:divBdr>
                <w:top w:val="none" w:sz="0" w:space="0" w:color="auto"/>
                <w:left w:val="none" w:sz="0" w:space="0" w:color="auto"/>
                <w:bottom w:val="none" w:sz="0" w:space="0" w:color="auto"/>
                <w:right w:val="none" w:sz="0" w:space="0" w:color="auto"/>
              </w:divBdr>
            </w:div>
            <w:div w:id="960769675">
              <w:marLeft w:val="0"/>
              <w:marRight w:val="0"/>
              <w:marTop w:val="0"/>
              <w:marBottom w:val="0"/>
              <w:divBdr>
                <w:top w:val="none" w:sz="0" w:space="0" w:color="auto"/>
                <w:left w:val="none" w:sz="0" w:space="0" w:color="auto"/>
                <w:bottom w:val="none" w:sz="0" w:space="0" w:color="auto"/>
                <w:right w:val="none" w:sz="0" w:space="0" w:color="auto"/>
              </w:divBdr>
            </w:div>
            <w:div w:id="1042678953">
              <w:marLeft w:val="0"/>
              <w:marRight w:val="0"/>
              <w:marTop w:val="0"/>
              <w:marBottom w:val="0"/>
              <w:divBdr>
                <w:top w:val="none" w:sz="0" w:space="0" w:color="auto"/>
                <w:left w:val="none" w:sz="0" w:space="0" w:color="auto"/>
                <w:bottom w:val="none" w:sz="0" w:space="0" w:color="auto"/>
                <w:right w:val="none" w:sz="0" w:space="0" w:color="auto"/>
              </w:divBdr>
            </w:div>
            <w:div w:id="1075861391">
              <w:marLeft w:val="0"/>
              <w:marRight w:val="0"/>
              <w:marTop w:val="0"/>
              <w:marBottom w:val="0"/>
              <w:divBdr>
                <w:top w:val="none" w:sz="0" w:space="0" w:color="auto"/>
                <w:left w:val="none" w:sz="0" w:space="0" w:color="auto"/>
                <w:bottom w:val="none" w:sz="0" w:space="0" w:color="auto"/>
                <w:right w:val="none" w:sz="0" w:space="0" w:color="auto"/>
              </w:divBdr>
            </w:div>
            <w:div w:id="1089037502">
              <w:marLeft w:val="0"/>
              <w:marRight w:val="0"/>
              <w:marTop w:val="0"/>
              <w:marBottom w:val="0"/>
              <w:divBdr>
                <w:top w:val="none" w:sz="0" w:space="0" w:color="auto"/>
                <w:left w:val="none" w:sz="0" w:space="0" w:color="auto"/>
                <w:bottom w:val="none" w:sz="0" w:space="0" w:color="auto"/>
                <w:right w:val="none" w:sz="0" w:space="0" w:color="auto"/>
              </w:divBdr>
            </w:div>
            <w:div w:id="1103643929">
              <w:marLeft w:val="0"/>
              <w:marRight w:val="0"/>
              <w:marTop w:val="0"/>
              <w:marBottom w:val="0"/>
              <w:divBdr>
                <w:top w:val="none" w:sz="0" w:space="0" w:color="auto"/>
                <w:left w:val="none" w:sz="0" w:space="0" w:color="auto"/>
                <w:bottom w:val="none" w:sz="0" w:space="0" w:color="auto"/>
                <w:right w:val="none" w:sz="0" w:space="0" w:color="auto"/>
              </w:divBdr>
            </w:div>
            <w:div w:id="1136678657">
              <w:marLeft w:val="0"/>
              <w:marRight w:val="0"/>
              <w:marTop w:val="0"/>
              <w:marBottom w:val="0"/>
              <w:divBdr>
                <w:top w:val="none" w:sz="0" w:space="0" w:color="auto"/>
                <w:left w:val="none" w:sz="0" w:space="0" w:color="auto"/>
                <w:bottom w:val="none" w:sz="0" w:space="0" w:color="auto"/>
                <w:right w:val="none" w:sz="0" w:space="0" w:color="auto"/>
              </w:divBdr>
            </w:div>
            <w:div w:id="1181551727">
              <w:marLeft w:val="0"/>
              <w:marRight w:val="0"/>
              <w:marTop w:val="0"/>
              <w:marBottom w:val="0"/>
              <w:divBdr>
                <w:top w:val="none" w:sz="0" w:space="0" w:color="auto"/>
                <w:left w:val="none" w:sz="0" w:space="0" w:color="auto"/>
                <w:bottom w:val="none" w:sz="0" w:space="0" w:color="auto"/>
                <w:right w:val="none" w:sz="0" w:space="0" w:color="auto"/>
              </w:divBdr>
            </w:div>
            <w:div w:id="1225025461">
              <w:marLeft w:val="0"/>
              <w:marRight w:val="0"/>
              <w:marTop w:val="0"/>
              <w:marBottom w:val="0"/>
              <w:divBdr>
                <w:top w:val="none" w:sz="0" w:space="0" w:color="auto"/>
                <w:left w:val="none" w:sz="0" w:space="0" w:color="auto"/>
                <w:bottom w:val="none" w:sz="0" w:space="0" w:color="auto"/>
                <w:right w:val="none" w:sz="0" w:space="0" w:color="auto"/>
              </w:divBdr>
            </w:div>
            <w:div w:id="1236017202">
              <w:marLeft w:val="0"/>
              <w:marRight w:val="0"/>
              <w:marTop w:val="0"/>
              <w:marBottom w:val="0"/>
              <w:divBdr>
                <w:top w:val="none" w:sz="0" w:space="0" w:color="auto"/>
                <w:left w:val="none" w:sz="0" w:space="0" w:color="auto"/>
                <w:bottom w:val="none" w:sz="0" w:space="0" w:color="auto"/>
                <w:right w:val="none" w:sz="0" w:space="0" w:color="auto"/>
              </w:divBdr>
            </w:div>
            <w:div w:id="1261328986">
              <w:marLeft w:val="0"/>
              <w:marRight w:val="0"/>
              <w:marTop w:val="0"/>
              <w:marBottom w:val="0"/>
              <w:divBdr>
                <w:top w:val="none" w:sz="0" w:space="0" w:color="auto"/>
                <w:left w:val="none" w:sz="0" w:space="0" w:color="auto"/>
                <w:bottom w:val="none" w:sz="0" w:space="0" w:color="auto"/>
                <w:right w:val="none" w:sz="0" w:space="0" w:color="auto"/>
              </w:divBdr>
            </w:div>
            <w:div w:id="1294944333">
              <w:marLeft w:val="0"/>
              <w:marRight w:val="0"/>
              <w:marTop w:val="0"/>
              <w:marBottom w:val="0"/>
              <w:divBdr>
                <w:top w:val="none" w:sz="0" w:space="0" w:color="auto"/>
                <w:left w:val="none" w:sz="0" w:space="0" w:color="auto"/>
                <w:bottom w:val="none" w:sz="0" w:space="0" w:color="auto"/>
                <w:right w:val="none" w:sz="0" w:space="0" w:color="auto"/>
              </w:divBdr>
            </w:div>
            <w:div w:id="1301839086">
              <w:marLeft w:val="0"/>
              <w:marRight w:val="0"/>
              <w:marTop w:val="0"/>
              <w:marBottom w:val="0"/>
              <w:divBdr>
                <w:top w:val="none" w:sz="0" w:space="0" w:color="auto"/>
                <w:left w:val="none" w:sz="0" w:space="0" w:color="auto"/>
                <w:bottom w:val="none" w:sz="0" w:space="0" w:color="auto"/>
                <w:right w:val="none" w:sz="0" w:space="0" w:color="auto"/>
              </w:divBdr>
            </w:div>
            <w:div w:id="1394423311">
              <w:marLeft w:val="0"/>
              <w:marRight w:val="0"/>
              <w:marTop w:val="0"/>
              <w:marBottom w:val="0"/>
              <w:divBdr>
                <w:top w:val="none" w:sz="0" w:space="0" w:color="auto"/>
                <w:left w:val="none" w:sz="0" w:space="0" w:color="auto"/>
                <w:bottom w:val="none" w:sz="0" w:space="0" w:color="auto"/>
                <w:right w:val="none" w:sz="0" w:space="0" w:color="auto"/>
              </w:divBdr>
            </w:div>
            <w:div w:id="1437288166">
              <w:marLeft w:val="0"/>
              <w:marRight w:val="0"/>
              <w:marTop w:val="0"/>
              <w:marBottom w:val="0"/>
              <w:divBdr>
                <w:top w:val="none" w:sz="0" w:space="0" w:color="auto"/>
                <w:left w:val="none" w:sz="0" w:space="0" w:color="auto"/>
                <w:bottom w:val="none" w:sz="0" w:space="0" w:color="auto"/>
                <w:right w:val="none" w:sz="0" w:space="0" w:color="auto"/>
              </w:divBdr>
            </w:div>
            <w:div w:id="1517310352">
              <w:marLeft w:val="0"/>
              <w:marRight w:val="0"/>
              <w:marTop w:val="0"/>
              <w:marBottom w:val="0"/>
              <w:divBdr>
                <w:top w:val="none" w:sz="0" w:space="0" w:color="auto"/>
                <w:left w:val="none" w:sz="0" w:space="0" w:color="auto"/>
                <w:bottom w:val="none" w:sz="0" w:space="0" w:color="auto"/>
                <w:right w:val="none" w:sz="0" w:space="0" w:color="auto"/>
              </w:divBdr>
            </w:div>
            <w:div w:id="1574852800">
              <w:marLeft w:val="0"/>
              <w:marRight w:val="0"/>
              <w:marTop w:val="0"/>
              <w:marBottom w:val="0"/>
              <w:divBdr>
                <w:top w:val="none" w:sz="0" w:space="0" w:color="auto"/>
                <w:left w:val="none" w:sz="0" w:space="0" w:color="auto"/>
                <w:bottom w:val="none" w:sz="0" w:space="0" w:color="auto"/>
                <w:right w:val="none" w:sz="0" w:space="0" w:color="auto"/>
              </w:divBdr>
            </w:div>
            <w:div w:id="1581450393">
              <w:marLeft w:val="0"/>
              <w:marRight w:val="0"/>
              <w:marTop w:val="0"/>
              <w:marBottom w:val="0"/>
              <w:divBdr>
                <w:top w:val="none" w:sz="0" w:space="0" w:color="auto"/>
                <w:left w:val="none" w:sz="0" w:space="0" w:color="auto"/>
                <w:bottom w:val="none" w:sz="0" w:space="0" w:color="auto"/>
                <w:right w:val="none" w:sz="0" w:space="0" w:color="auto"/>
              </w:divBdr>
            </w:div>
            <w:div w:id="1654868341">
              <w:marLeft w:val="0"/>
              <w:marRight w:val="0"/>
              <w:marTop w:val="0"/>
              <w:marBottom w:val="0"/>
              <w:divBdr>
                <w:top w:val="none" w:sz="0" w:space="0" w:color="auto"/>
                <w:left w:val="none" w:sz="0" w:space="0" w:color="auto"/>
                <w:bottom w:val="none" w:sz="0" w:space="0" w:color="auto"/>
                <w:right w:val="none" w:sz="0" w:space="0" w:color="auto"/>
              </w:divBdr>
            </w:div>
            <w:div w:id="1686708785">
              <w:marLeft w:val="0"/>
              <w:marRight w:val="0"/>
              <w:marTop w:val="0"/>
              <w:marBottom w:val="0"/>
              <w:divBdr>
                <w:top w:val="none" w:sz="0" w:space="0" w:color="auto"/>
                <w:left w:val="none" w:sz="0" w:space="0" w:color="auto"/>
                <w:bottom w:val="none" w:sz="0" w:space="0" w:color="auto"/>
                <w:right w:val="none" w:sz="0" w:space="0" w:color="auto"/>
              </w:divBdr>
            </w:div>
            <w:div w:id="1700356309">
              <w:marLeft w:val="0"/>
              <w:marRight w:val="0"/>
              <w:marTop w:val="0"/>
              <w:marBottom w:val="0"/>
              <w:divBdr>
                <w:top w:val="none" w:sz="0" w:space="0" w:color="auto"/>
                <w:left w:val="none" w:sz="0" w:space="0" w:color="auto"/>
                <w:bottom w:val="none" w:sz="0" w:space="0" w:color="auto"/>
                <w:right w:val="none" w:sz="0" w:space="0" w:color="auto"/>
              </w:divBdr>
            </w:div>
            <w:div w:id="1712263916">
              <w:marLeft w:val="0"/>
              <w:marRight w:val="0"/>
              <w:marTop w:val="0"/>
              <w:marBottom w:val="0"/>
              <w:divBdr>
                <w:top w:val="none" w:sz="0" w:space="0" w:color="auto"/>
                <w:left w:val="none" w:sz="0" w:space="0" w:color="auto"/>
                <w:bottom w:val="none" w:sz="0" w:space="0" w:color="auto"/>
                <w:right w:val="none" w:sz="0" w:space="0" w:color="auto"/>
              </w:divBdr>
            </w:div>
            <w:div w:id="1764303716">
              <w:marLeft w:val="0"/>
              <w:marRight w:val="0"/>
              <w:marTop w:val="0"/>
              <w:marBottom w:val="0"/>
              <w:divBdr>
                <w:top w:val="none" w:sz="0" w:space="0" w:color="auto"/>
                <w:left w:val="none" w:sz="0" w:space="0" w:color="auto"/>
                <w:bottom w:val="none" w:sz="0" w:space="0" w:color="auto"/>
                <w:right w:val="none" w:sz="0" w:space="0" w:color="auto"/>
              </w:divBdr>
            </w:div>
            <w:div w:id="1950165855">
              <w:marLeft w:val="0"/>
              <w:marRight w:val="0"/>
              <w:marTop w:val="0"/>
              <w:marBottom w:val="0"/>
              <w:divBdr>
                <w:top w:val="none" w:sz="0" w:space="0" w:color="auto"/>
                <w:left w:val="none" w:sz="0" w:space="0" w:color="auto"/>
                <w:bottom w:val="none" w:sz="0" w:space="0" w:color="auto"/>
                <w:right w:val="none" w:sz="0" w:space="0" w:color="auto"/>
              </w:divBdr>
            </w:div>
            <w:div w:id="1950505633">
              <w:marLeft w:val="0"/>
              <w:marRight w:val="0"/>
              <w:marTop w:val="0"/>
              <w:marBottom w:val="0"/>
              <w:divBdr>
                <w:top w:val="none" w:sz="0" w:space="0" w:color="auto"/>
                <w:left w:val="none" w:sz="0" w:space="0" w:color="auto"/>
                <w:bottom w:val="none" w:sz="0" w:space="0" w:color="auto"/>
                <w:right w:val="none" w:sz="0" w:space="0" w:color="auto"/>
              </w:divBdr>
              <w:divsChild>
                <w:div w:id="280839362">
                  <w:marLeft w:val="-75"/>
                  <w:marRight w:val="0"/>
                  <w:marTop w:val="30"/>
                  <w:marBottom w:val="30"/>
                  <w:divBdr>
                    <w:top w:val="none" w:sz="0" w:space="0" w:color="auto"/>
                    <w:left w:val="none" w:sz="0" w:space="0" w:color="auto"/>
                    <w:bottom w:val="none" w:sz="0" w:space="0" w:color="auto"/>
                    <w:right w:val="none" w:sz="0" w:space="0" w:color="auto"/>
                  </w:divBdr>
                  <w:divsChild>
                    <w:div w:id="127284234">
                      <w:marLeft w:val="0"/>
                      <w:marRight w:val="0"/>
                      <w:marTop w:val="0"/>
                      <w:marBottom w:val="0"/>
                      <w:divBdr>
                        <w:top w:val="none" w:sz="0" w:space="0" w:color="auto"/>
                        <w:left w:val="none" w:sz="0" w:space="0" w:color="auto"/>
                        <w:bottom w:val="none" w:sz="0" w:space="0" w:color="auto"/>
                        <w:right w:val="none" w:sz="0" w:space="0" w:color="auto"/>
                      </w:divBdr>
                      <w:divsChild>
                        <w:div w:id="845559942">
                          <w:marLeft w:val="0"/>
                          <w:marRight w:val="0"/>
                          <w:marTop w:val="0"/>
                          <w:marBottom w:val="0"/>
                          <w:divBdr>
                            <w:top w:val="none" w:sz="0" w:space="0" w:color="auto"/>
                            <w:left w:val="none" w:sz="0" w:space="0" w:color="auto"/>
                            <w:bottom w:val="none" w:sz="0" w:space="0" w:color="auto"/>
                            <w:right w:val="none" w:sz="0" w:space="0" w:color="auto"/>
                          </w:divBdr>
                        </w:div>
                        <w:div w:id="1976909678">
                          <w:marLeft w:val="0"/>
                          <w:marRight w:val="0"/>
                          <w:marTop w:val="0"/>
                          <w:marBottom w:val="0"/>
                          <w:divBdr>
                            <w:top w:val="none" w:sz="0" w:space="0" w:color="auto"/>
                            <w:left w:val="none" w:sz="0" w:space="0" w:color="auto"/>
                            <w:bottom w:val="none" w:sz="0" w:space="0" w:color="auto"/>
                            <w:right w:val="none" w:sz="0" w:space="0" w:color="auto"/>
                          </w:divBdr>
                        </w:div>
                      </w:divsChild>
                    </w:div>
                    <w:div w:id="302932397">
                      <w:marLeft w:val="0"/>
                      <w:marRight w:val="0"/>
                      <w:marTop w:val="0"/>
                      <w:marBottom w:val="0"/>
                      <w:divBdr>
                        <w:top w:val="none" w:sz="0" w:space="0" w:color="auto"/>
                        <w:left w:val="none" w:sz="0" w:space="0" w:color="auto"/>
                        <w:bottom w:val="none" w:sz="0" w:space="0" w:color="auto"/>
                        <w:right w:val="none" w:sz="0" w:space="0" w:color="auto"/>
                      </w:divBdr>
                      <w:divsChild>
                        <w:div w:id="61102647">
                          <w:marLeft w:val="0"/>
                          <w:marRight w:val="0"/>
                          <w:marTop w:val="0"/>
                          <w:marBottom w:val="0"/>
                          <w:divBdr>
                            <w:top w:val="none" w:sz="0" w:space="0" w:color="auto"/>
                            <w:left w:val="none" w:sz="0" w:space="0" w:color="auto"/>
                            <w:bottom w:val="none" w:sz="0" w:space="0" w:color="auto"/>
                            <w:right w:val="none" w:sz="0" w:space="0" w:color="auto"/>
                          </w:divBdr>
                        </w:div>
                      </w:divsChild>
                    </w:div>
                    <w:div w:id="371803452">
                      <w:marLeft w:val="0"/>
                      <w:marRight w:val="0"/>
                      <w:marTop w:val="0"/>
                      <w:marBottom w:val="0"/>
                      <w:divBdr>
                        <w:top w:val="none" w:sz="0" w:space="0" w:color="auto"/>
                        <w:left w:val="none" w:sz="0" w:space="0" w:color="auto"/>
                        <w:bottom w:val="none" w:sz="0" w:space="0" w:color="auto"/>
                        <w:right w:val="none" w:sz="0" w:space="0" w:color="auto"/>
                      </w:divBdr>
                      <w:divsChild>
                        <w:div w:id="987711734">
                          <w:marLeft w:val="0"/>
                          <w:marRight w:val="0"/>
                          <w:marTop w:val="0"/>
                          <w:marBottom w:val="0"/>
                          <w:divBdr>
                            <w:top w:val="none" w:sz="0" w:space="0" w:color="auto"/>
                            <w:left w:val="none" w:sz="0" w:space="0" w:color="auto"/>
                            <w:bottom w:val="none" w:sz="0" w:space="0" w:color="auto"/>
                            <w:right w:val="none" w:sz="0" w:space="0" w:color="auto"/>
                          </w:divBdr>
                        </w:div>
                      </w:divsChild>
                    </w:div>
                    <w:div w:id="441728226">
                      <w:marLeft w:val="0"/>
                      <w:marRight w:val="0"/>
                      <w:marTop w:val="0"/>
                      <w:marBottom w:val="0"/>
                      <w:divBdr>
                        <w:top w:val="none" w:sz="0" w:space="0" w:color="auto"/>
                        <w:left w:val="none" w:sz="0" w:space="0" w:color="auto"/>
                        <w:bottom w:val="none" w:sz="0" w:space="0" w:color="auto"/>
                        <w:right w:val="none" w:sz="0" w:space="0" w:color="auto"/>
                      </w:divBdr>
                      <w:divsChild>
                        <w:div w:id="854079029">
                          <w:marLeft w:val="0"/>
                          <w:marRight w:val="0"/>
                          <w:marTop w:val="0"/>
                          <w:marBottom w:val="0"/>
                          <w:divBdr>
                            <w:top w:val="none" w:sz="0" w:space="0" w:color="auto"/>
                            <w:left w:val="none" w:sz="0" w:space="0" w:color="auto"/>
                            <w:bottom w:val="none" w:sz="0" w:space="0" w:color="auto"/>
                            <w:right w:val="none" w:sz="0" w:space="0" w:color="auto"/>
                          </w:divBdr>
                        </w:div>
                      </w:divsChild>
                    </w:div>
                    <w:div w:id="562370953">
                      <w:marLeft w:val="0"/>
                      <w:marRight w:val="0"/>
                      <w:marTop w:val="0"/>
                      <w:marBottom w:val="0"/>
                      <w:divBdr>
                        <w:top w:val="none" w:sz="0" w:space="0" w:color="auto"/>
                        <w:left w:val="none" w:sz="0" w:space="0" w:color="auto"/>
                        <w:bottom w:val="none" w:sz="0" w:space="0" w:color="auto"/>
                        <w:right w:val="none" w:sz="0" w:space="0" w:color="auto"/>
                      </w:divBdr>
                      <w:divsChild>
                        <w:div w:id="1578631549">
                          <w:marLeft w:val="0"/>
                          <w:marRight w:val="0"/>
                          <w:marTop w:val="0"/>
                          <w:marBottom w:val="0"/>
                          <w:divBdr>
                            <w:top w:val="none" w:sz="0" w:space="0" w:color="auto"/>
                            <w:left w:val="none" w:sz="0" w:space="0" w:color="auto"/>
                            <w:bottom w:val="none" w:sz="0" w:space="0" w:color="auto"/>
                            <w:right w:val="none" w:sz="0" w:space="0" w:color="auto"/>
                          </w:divBdr>
                        </w:div>
                      </w:divsChild>
                    </w:div>
                    <w:div w:id="1105610598">
                      <w:marLeft w:val="0"/>
                      <w:marRight w:val="0"/>
                      <w:marTop w:val="0"/>
                      <w:marBottom w:val="0"/>
                      <w:divBdr>
                        <w:top w:val="none" w:sz="0" w:space="0" w:color="auto"/>
                        <w:left w:val="none" w:sz="0" w:space="0" w:color="auto"/>
                        <w:bottom w:val="none" w:sz="0" w:space="0" w:color="auto"/>
                        <w:right w:val="none" w:sz="0" w:space="0" w:color="auto"/>
                      </w:divBdr>
                      <w:divsChild>
                        <w:div w:id="895820130">
                          <w:marLeft w:val="0"/>
                          <w:marRight w:val="0"/>
                          <w:marTop w:val="0"/>
                          <w:marBottom w:val="0"/>
                          <w:divBdr>
                            <w:top w:val="none" w:sz="0" w:space="0" w:color="auto"/>
                            <w:left w:val="none" w:sz="0" w:space="0" w:color="auto"/>
                            <w:bottom w:val="none" w:sz="0" w:space="0" w:color="auto"/>
                            <w:right w:val="none" w:sz="0" w:space="0" w:color="auto"/>
                          </w:divBdr>
                        </w:div>
                        <w:div w:id="1577276270">
                          <w:marLeft w:val="0"/>
                          <w:marRight w:val="0"/>
                          <w:marTop w:val="0"/>
                          <w:marBottom w:val="0"/>
                          <w:divBdr>
                            <w:top w:val="none" w:sz="0" w:space="0" w:color="auto"/>
                            <w:left w:val="none" w:sz="0" w:space="0" w:color="auto"/>
                            <w:bottom w:val="none" w:sz="0" w:space="0" w:color="auto"/>
                            <w:right w:val="none" w:sz="0" w:space="0" w:color="auto"/>
                          </w:divBdr>
                        </w:div>
                      </w:divsChild>
                    </w:div>
                    <w:div w:id="1487623891">
                      <w:marLeft w:val="0"/>
                      <w:marRight w:val="0"/>
                      <w:marTop w:val="0"/>
                      <w:marBottom w:val="0"/>
                      <w:divBdr>
                        <w:top w:val="none" w:sz="0" w:space="0" w:color="auto"/>
                        <w:left w:val="none" w:sz="0" w:space="0" w:color="auto"/>
                        <w:bottom w:val="none" w:sz="0" w:space="0" w:color="auto"/>
                        <w:right w:val="none" w:sz="0" w:space="0" w:color="auto"/>
                      </w:divBdr>
                      <w:divsChild>
                        <w:div w:id="701172182">
                          <w:marLeft w:val="0"/>
                          <w:marRight w:val="0"/>
                          <w:marTop w:val="0"/>
                          <w:marBottom w:val="0"/>
                          <w:divBdr>
                            <w:top w:val="none" w:sz="0" w:space="0" w:color="auto"/>
                            <w:left w:val="none" w:sz="0" w:space="0" w:color="auto"/>
                            <w:bottom w:val="none" w:sz="0" w:space="0" w:color="auto"/>
                            <w:right w:val="none" w:sz="0" w:space="0" w:color="auto"/>
                          </w:divBdr>
                        </w:div>
                        <w:div w:id="1420367669">
                          <w:marLeft w:val="0"/>
                          <w:marRight w:val="0"/>
                          <w:marTop w:val="0"/>
                          <w:marBottom w:val="0"/>
                          <w:divBdr>
                            <w:top w:val="none" w:sz="0" w:space="0" w:color="auto"/>
                            <w:left w:val="none" w:sz="0" w:space="0" w:color="auto"/>
                            <w:bottom w:val="none" w:sz="0" w:space="0" w:color="auto"/>
                            <w:right w:val="none" w:sz="0" w:space="0" w:color="auto"/>
                          </w:divBdr>
                        </w:div>
                        <w:div w:id="1539275850">
                          <w:marLeft w:val="0"/>
                          <w:marRight w:val="0"/>
                          <w:marTop w:val="0"/>
                          <w:marBottom w:val="0"/>
                          <w:divBdr>
                            <w:top w:val="none" w:sz="0" w:space="0" w:color="auto"/>
                            <w:left w:val="none" w:sz="0" w:space="0" w:color="auto"/>
                            <w:bottom w:val="none" w:sz="0" w:space="0" w:color="auto"/>
                            <w:right w:val="none" w:sz="0" w:space="0" w:color="auto"/>
                          </w:divBdr>
                        </w:div>
                      </w:divsChild>
                    </w:div>
                    <w:div w:id="1527668781">
                      <w:marLeft w:val="0"/>
                      <w:marRight w:val="0"/>
                      <w:marTop w:val="0"/>
                      <w:marBottom w:val="0"/>
                      <w:divBdr>
                        <w:top w:val="none" w:sz="0" w:space="0" w:color="auto"/>
                        <w:left w:val="none" w:sz="0" w:space="0" w:color="auto"/>
                        <w:bottom w:val="none" w:sz="0" w:space="0" w:color="auto"/>
                        <w:right w:val="none" w:sz="0" w:space="0" w:color="auto"/>
                      </w:divBdr>
                      <w:divsChild>
                        <w:div w:id="1968507697">
                          <w:marLeft w:val="0"/>
                          <w:marRight w:val="0"/>
                          <w:marTop w:val="0"/>
                          <w:marBottom w:val="0"/>
                          <w:divBdr>
                            <w:top w:val="none" w:sz="0" w:space="0" w:color="auto"/>
                            <w:left w:val="none" w:sz="0" w:space="0" w:color="auto"/>
                            <w:bottom w:val="none" w:sz="0" w:space="0" w:color="auto"/>
                            <w:right w:val="none" w:sz="0" w:space="0" w:color="auto"/>
                          </w:divBdr>
                        </w:div>
                      </w:divsChild>
                    </w:div>
                    <w:div w:id="1634215572">
                      <w:marLeft w:val="0"/>
                      <w:marRight w:val="0"/>
                      <w:marTop w:val="0"/>
                      <w:marBottom w:val="0"/>
                      <w:divBdr>
                        <w:top w:val="none" w:sz="0" w:space="0" w:color="auto"/>
                        <w:left w:val="none" w:sz="0" w:space="0" w:color="auto"/>
                        <w:bottom w:val="none" w:sz="0" w:space="0" w:color="auto"/>
                        <w:right w:val="none" w:sz="0" w:space="0" w:color="auto"/>
                      </w:divBdr>
                      <w:divsChild>
                        <w:div w:id="236596626">
                          <w:marLeft w:val="0"/>
                          <w:marRight w:val="0"/>
                          <w:marTop w:val="0"/>
                          <w:marBottom w:val="0"/>
                          <w:divBdr>
                            <w:top w:val="none" w:sz="0" w:space="0" w:color="auto"/>
                            <w:left w:val="none" w:sz="0" w:space="0" w:color="auto"/>
                            <w:bottom w:val="none" w:sz="0" w:space="0" w:color="auto"/>
                            <w:right w:val="none" w:sz="0" w:space="0" w:color="auto"/>
                          </w:divBdr>
                        </w:div>
                      </w:divsChild>
                    </w:div>
                    <w:div w:id="1909149322">
                      <w:marLeft w:val="0"/>
                      <w:marRight w:val="0"/>
                      <w:marTop w:val="0"/>
                      <w:marBottom w:val="0"/>
                      <w:divBdr>
                        <w:top w:val="none" w:sz="0" w:space="0" w:color="auto"/>
                        <w:left w:val="none" w:sz="0" w:space="0" w:color="auto"/>
                        <w:bottom w:val="none" w:sz="0" w:space="0" w:color="auto"/>
                        <w:right w:val="none" w:sz="0" w:space="0" w:color="auto"/>
                      </w:divBdr>
                      <w:divsChild>
                        <w:div w:id="1428963369">
                          <w:marLeft w:val="0"/>
                          <w:marRight w:val="0"/>
                          <w:marTop w:val="0"/>
                          <w:marBottom w:val="0"/>
                          <w:divBdr>
                            <w:top w:val="none" w:sz="0" w:space="0" w:color="auto"/>
                            <w:left w:val="none" w:sz="0" w:space="0" w:color="auto"/>
                            <w:bottom w:val="none" w:sz="0" w:space="0" w:color="auto"/>
                            <w:right w:val="none" w:sz="0" w:space="0" w:color="auto"/>
                          </w:divBdr>
                        </w:div>
                      </w:divsChild>
                    </w:div>
                    <w:div w:id="2038696644">
                      <w:marLeft w:val="0"/>
                      <w:marRight w:val="0"/>
                      <w:marTop w:val="0"/>
                      <w:marBottom w:val="0"/>
                      <w:divBdr>
                        <w:top w:val="none" w:sz="0" w:space="0" w:color="auto"/>
                        <w:left w:val="none" w:sz="0" w:space="0" w:color="auto"/>
                        <w:bottom w:val="none" w:sz="0" w:space="0" w:color="auto"/>
                        <w:right w:val="none" w:sz="0" w:space="0" w:color="auto"/>
                      </w:divBdr>
                      <w:divsChild>
                        <w:div w:id="1101336924">
                          <w:marLeft w:val="0"/>
                          <w:marRight w:val="0"/>
                          <w:marTop w:val="0"/>
                          <w:marBottom w:val="0"/>
                          <w:divBdr>
                            <w:top w:val="none" w:sz="0" w:space="0" w:color="auto"/>
                            <w:left w:val="none" w:sz="0" w:space="0" w:color="auto"/>
                            <w:bottom w:val="none" w:sz="0" w:space="0" w:color="auto"/>
                            <w:right w:val="none" w:sz="0" w:space="0" w:color="auto"/>
                          </w:divBdr>
                        </w:div>
                      </w:divsChild>
                    </w:div>
                    <w:div w:id="2126728940">
                      <w:marLeft w:val="0"/>
                      <w:marRight w:val="0"/>
                      <w:marTop w:val="0"/>
                      <w:marBottom w:val="0"/>
                      <w:divBdr>
                        <w:top w:val="none" w:sz="0" w:space="0" w:color="auto"/>
                        <w:left w:val="none" w:sz="0" w:space="0" w:color="auto"/>
                        <w:bottom w:val="none" w:sz="0" w:space="0" w:color="auto"/>
                        <w:right w:val="none" w:sz="0" w:space="0" w:color="auto"/>
                      </w:divBdr>
                      <w:divsChild>
                        <w:div w:id="3805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148356">
              <w:marLeft w:val="0"/>
              <w:marRight w:val="0"/>
              <w:marTop w:val="0"/>
              <w:marBottom w:val="0"/>
              <w:divBdr>
                <w:top w:val="none" w:sz="0" w:space="0" w:color="auto"/>
                <w:left w:val="none" w:sz="0" w:space="0" w:color="auto"/>
                <w:bottom w:val="none" w:sz="0" w:space="0" w:color="auto"/>
                <w:right w:val="none" w:sz="0" w:space="0" w:color="auto"/>
              </w:divBdr>
            </w:div>
            <w:div w:id="2058845817">
              <w:marLeft w:val="0"/>
              <w:marRight w:val="0"/>
              <w:marTop w:val="0"/>
              <w:marBottom w:val="0"/>
              <w:divBdr>
                <w:top w:val="none" w:sz="0" w:space="0" w:color="auto"/>
                <w:left w:val="none" w:sz="0" w:space="0" w:color="auto"/>
                <w:bottom w:val="none" w:sz="0" w:space="0" w:color="auto"/>
                <w:right w:val="none" w:sz="0" w:space="0" w:color="auto"/>
              </w:divBdr>
            </w:div>
            <w:div w:id="2071538981">
              <w:marLeft w:val="0"/>
              <w:marRight w:val="0"/>
              <w:marTop w:val="0"/>
              <w:marBottom w:val="0"/>
              <w:divBdr>
                <w:top w:val="none" w:sz="0" w:space="0" w:color="auto"/>
                <w:left w:val="none" w:sz="0" w:space="0" w:color="auto"/>
                <w:bottom w:val="none" w:sz="0" w:space="0" w:color="auto"/>
                <w:right w:val="none" w:sz="0" w:space="0" w:color="auto"/>
              </w:divBdr>
            </w:div>
            <w:div w:id="2081051368">
              <w:marLeft w:val="0"/>
              <w:marRight w:val="0"/>
              <w:marTop w:val="0"/>
              <w:marBottom w:val="0"/>
              <w:divBdr>
                <w:top w:val="none" w:sz="0" w:space="0" w:color="auto"/>
                <w:left w:val="none" w:sz="0" w:space="0" w:color="auto"/>
                <w:bottom w:val="none" w:sz="0" w:space="0" w:color="auto"/>
                <w:right w:val="none" w:sz="0" w:space="0" w:color="auto"/>
              </w:divBdr>
            </w:div>
            <w:div w:id="2084907821">
              <w:marLeft w:val="0"/>
              <w:marRight w:val="0"/>
              <w:marTop w:val="0"/>
              <w:marBottom w:val="0"/>
              <w:divBdr>
                <w:top w:val="none" w:sz="0" w:space="0" w:color="auto"/>
                <w:left w:val="none" w:sz="0" w:space="0" w:color="auto"/>
                <w:bottom w:val="none" w:sz="0" w:space="0" w:color="auto"/>
                <w:right w:val="none" w:sz="0" w:space="0" w:color="auto"/>
              </w:divBdr>
            </w:div>
            <w:div w:id="2110928483">
              <w:marLeft w:val="0"/>
              <w:marRight w:val="0"/>
              <w:marTop w:val="0"/>
              <w:marBottom w:val="0"/>
              <w:divBdr>
                <w:top w:val="none" w:sz="0" w:space="0" w:color="auto"/>
                <w:left w:val="none" w:sz="0" w:space="0" w:color="auto"/>
                <w:bottom w:val="none" w:sz="0" w:space="0" w:color="auto"/>
                <w:right w:val="none" w:sz="0" w:space="0" w:color="auto"/>
              </w:divBdr>
            </w:div>
            <w:div w:id="2121758417">
              <w:marLeft w:val="0"/>
              <w:marRight w:val="0"/>
              <w:marTop w:val="0"/>
              <w:marBottom w:val="0"/>
              <w:divBdr>
                <w:top w:val="none" w:sz="0" w:space="0" w:color="auto"/>
                <w:left w:val="none" w:sz="0" w:space="0" w:color="auto"/>
                <w:bottom w:val="none" w:sz="0" w:space="0" w:color="auto"/>
                <w:right w:val="none" w:sz="0" w:space="0" w:color="auto"/>
              </w:divBdr>
            </w:div>
            <w:div w:id="2136168755">
              <w:marLeft w:val="0"/>
              <w:marRight w:val="0"/>
              <w:marTop w:val="0"/>
              <w:marBottom w:val="0"/>
              <w:divBdr>
                <w:top w:val="none" w:sz="0" w:space="0" w:color="auto"/>
                <w:left w:val="none" w:sz="0" w:space="0" w:color="auto"/>
                <w:bottom w:val="none" w:sz="0" w:space="0" w:color="auto"/>
                <w:right w:val="none" w:sz="0" w:space="0" w:color="auto"/>
              </w:divBdr>
            </w:div>
          </w:divsChild>
        </w:div>
        <w:div w:id="1667049532">
          <w:marLeft w:val="0"/>
          <w:marRight w:val="0"/>
          <w:marTop w:val="0"/>
          <w:marBottom w:val="0"/>
          <w:divBdr>
            <w:top w:val="none" w:sz="0" w:space="0" w:color="auto"/>
            <w:left w:val="none" w:sz="0" w:space="0" w:color="auto"/>
            <w:bottom w:val="none" w:sz="0" w:space="0" w:color="auto"/>
            <w:right w:val="none" w:sz="0" w:space="0" w:color="auto"/>
          </w:divBdr>
        </w:div>
        <w:div w:id="1703944401">
          <w:marLeft w:val="0"/>
          <w:marRight w:val="0"/>
          <w:marTop w:val="0"/>
          <w:marBottom w:val="0"/>
          <w:divBdr>
            <w:top w:val="none" w:sz="0" w:space="0" w:color="auto"/>
            <w:left w:val="none" w:sz="0" w:space="0" w:color="auto"/>
            <w:bottom w:val="none" w:sz="0" w:space="0" w:color="auto"/>
            <w:right w:val="none" w:sz="0" w:space="0" w:color="auto"/>
          </w:divBdr>
        </w:div>
        <w:div w:id="1757705783">
          <w:marLeft w:val="0"/>
          <w:marRight w:val="0"/>
          <w:marTop w:val="0"/>
          <w:marBottom w:val="0"/>
          <w:divBdr>
            <w:top w:val="none" w:sz="0" w:space="0" w:color="auto"/>
            <w:left w:val="none" w:sz="0" w:space="0" w:color="auto"/>
            <w:bottom w:val="none" w:sz="0" w:space="0" w:color="auto"/>
            <w:right w:val="none" w:sz="0" w:space="0" w:color="auto"/>
          </w:divBdr>
        </w:div>
        <w:div w:id="1774743073">
          <w:marLeft w:val="0"/>
          <w:marRight w:val="0"/>
          <w:marTop w:val="0"/>
          <w:marBottom w:val="0"/>
          <w:divBdr>
            <w:top w:val="none" w:sz="0" w:space="0" w:color="auto"/>
            <w:left w:val="none" w:sz="0" w:space="0" w:color="auto"/>
            <w:bottom w:val="none" w:sz="0" w:space="0" w:color="auto"/>
            <w:right w:val="none" w:sz="0" w:space="0" w:color="auto"/>
          </w:divBdr>
        </w:div>
        <w:div w:id="1781291805">
          <w:marLeft w:val="0"/>
          <w:marRight w:val="0"/>
          <w:marTop w:val="0"/>
          <w:marBottom w:val="0"/>
          <w:divBdr>
            <w:top w:val="none" w:sz="0" w:space="0" w:color="auto"/>
            <w:left w:val="none" w:sz="0" w:space="0" w:color="auto"/>
            <w:bottom w:val="none" w:sz="0" w:space="0" w:color="auto"/>
            <w:right w:val="none" w:sz="0" w:space="0" w:color="auto"/>
          </w:divBdr>
        </w:div>
        <w:div w:id="1801339917">
          <w:marLeft w:val="0"/>
          <w:marRight w:val="0"/>
          <w:marTop w:val="0"/>
          <w:marBottom w:val="0"/>
          <w:divBdr>
            <w:top w:val="none" w:sz="0" w:space="0" w:color="auto"/>
            <w:left w:val="none" w:sz="0" w:space="0" w:color="auto"/>
            <w:bottom w:val="none" w:sz="0" w:space="0" w:color="auto"/>
            <w:right w:val="none" w:sz="0" w:space="0" w:color="auto"/>
          </w:divBdr>
        </w:div>
        <w:div w:id="1903831393">
          <w:marLeft w:val="0"/>
          <w:marRight w:val="0"/>
          <w:marTop w:val="0"/>
          <w:marBottom w:val="0"/>
          <w:divBdr>
            <w:top w:val="none" w:sz="0" w:space="0" w:color="auto"/>
            <w:left w:val="none" w:sz="0" w:space="0" w:color="auto"/>
            <w:bottom w:val="none" w:sz="0" w:space="0" w:color="auto"/>
            <w:right w:val="none" w:sz="0" w:space="0" w:color="auto"/>
          </w:divBdr>
        </w:div>
        <w:div w:id="1912619381">
          <w:marLeft w:val="0"/>
          <w:marRight w:val="0"/>
          <w:marTop w:val="0"/>
          <w:marBottom w:val="0"/>
          <w:divBdr>
            <w:top w:val="none" w:sz="0" w:space="0" w:color="auto"/>
            <w:left w:val="none" w:sz="0" w:space="0" w:color="auto"/>
            <w:bottom w:val="none" w:sz="0" w:space="0" w:color="auto"/>
            <w:right w:val="none" w:sz="0" w:space="0" w:color="auto"/>
          </w:divBdr>
        </w:div>
        <w:div w:id="1996565361">
          <w:marLeft w:val="0"/>
          <w:marRight w:val="0"/>
          <w:marTop w:val="0"/>
          <w:marBottom w:val="0"/>
          <w:divBdr>
            <w:top w:val="none" w:sz="0" w:space="0" w:color="auto"/>
            <w:left w:val="none" w:sz="0" w:space="0" w:color="auto"/>
            <w:bottom w:val="none" w:sz="0" w:space="0" w:color="auto"/>
            <w:right w:val="none" w:sz="0" w:space="0" w:color="auto"/>
          </w:divBdr>
        </w:div>
        <w:div w:id="2029288635">
          <w:marLeft w:val="0"/>
          <w:marRight w:val="0"/>
          <w:marTop w:val="0"/>
          <w:marBottom w:val="0"/>
          <w:divBdr>
            <w:top w:val="none" w:sz="0" w:space="0" w:color="auto"/>
            <w:left w:val="none" w:sz="0" w:space="0" w:color="auto"/>
            <w:bottom w:val="none" w:sz="0" w:space="0" w:color="auto"/>
            <w:right w:val="none" w:sz="0" w:space="0" w:color="auto"/>
          </w:divBdr>
        </w:div>
        <w:div w:id="2041857500">
          <w:marLeft w:val="0"/>
          <w:marRight w:val="0"/>
          <w:marTop w:val="0"/>
          <w:marBottom w:val="0"/>
          <w:divBdr>
            <w:top w:val="none" w:sz="0" w:space="0" w:color="auto"/>
            <w:left w:val="none" w:sz="0" w:space="0" w:color="auto"/>
            <w:bottom w:val="none" w:sz="0" w:space="0" w:color="auto"/>
            <w:right w:val="none" w:sz="0" w:space="0" w:color="auto"/>
          </w:divBdr>
        </w:div>
        <w:div w:id="2049603644">
          <w:marLeft w:val="0"/>
          <w:marRight w:val="0"/>
          <w:marTop w:val="0"/>
          <w:marBottom w:val="0"/>
          <w:divBdr>
            <w:top w:val="none" w:sz="0" w:space="0" w:color="auto"/>
            <w:left w:val="none" w:sz="0" w:space="0" w:color="auto"/>
            <w:bottom w:val="none" w:sz="0" w:space="0" w:color="auto"/>
            <w:right w:val="none" w:sz="0" w:space="0" w:color="auto"/>
          </w:divBdr>
        </w:div>
        <w:div w:id="2093551084">
          <w:marLeft w:val="0"/>
          <w:marRight w:val="0"/>
          <w:marTop w:val="0"/>
          <w:marBottom w:val="0"/>
          <w:divBdr>
            <w:top w:val="none" w:sz="0" w:space="0" w:color="auto"/>
            <w:left w:val="none" w:sz="0" w:space="0" w:color="auto"/>
            <w:bottom w:val="none" w:sz="0" w:space="0" w:color="auto"/>
            <w:right w:val="none" w:sz="0" w:space="0" w:color="auto"/>
          </w:divBdr>
        </w:div>
        <w:div w:id="2112973554">
          <w:marLeft w:val="0"/>
          <w:marRight w:val="0"/>
          <w:marTop w:val="0"/>
          <w:marBottom w:val="0"/>
          <w:divBdr>
            <w:top w:val="none" w:sz="0" w:space="0" w:color="auto"/>
            <w:left w:val="none" w:sz="0" w:space="0" w:color="auto"/>
            <w:bottom w:val="none" w:sz="0" w:space="0" w:color="auto"/>
            <w:right w:val="none" w:sz="0" w:space="0" w:color="auto"/>
          </w:divBdr>
        </w:div>
        <w:div w:id="2123380797">
          <w:marLeft w:val="0"/>
          <w:marRight w:val="0"/>
          <w:marTop w:val="0"/>
          <w:marBottom w:val="0"/>
          <w:divBdr>
            <w:top w:val="none" w:sz="0" w:space="0" w:color="auto"/>
            <w:left w:val="none" w:sz="0" w:space="0" w:color="auto"/>
            <w:bottom w:val="none" w:sz="0" w:space="0" w:color="auto"/>
            <w:right w:val="none" w:sz="0" w:space="0" w:color="auto"/>
          </w:divBdr>
        </w:div>
        <w:div w:id="2128767677">
          <w:marLeft w:val="0"/>
          <w:marRight w:val="0"/>
          <w:marTop w:val="0"/>
          <w:marBottom w:val="0"/>
          <w:divBdr>
            <w:top w:val="none" w:sz="0" w:space="0" w:color="auto"/>
            <w:left w:val="none" w:sz="0" w:space="0" w:color="auto"/>
            <w:bottom w:val="none" w:sz="0" w:space="0" w:color="auto"/>
            <w:right w:val="none" w:sz="0" w:space="0" w:color="auto"/>
          </w:divBdr>
        </w:div>
        <w:div w:id="2132162309">
          <w:marLeft w:val="0"/>
          <w:marRight w:val="0"/>
          <w:marTop w:val="0"/>
          <w:marBottom w:val="0"/>
          <w:divBdr>
            <w:top w:val="none" w:sz="0" w:space="0" w:color="auto"/>
            <w:left w:val="none" w:sz="0" w:space="0" w:color="auto"/>
            <w:bottom w:val="none" w:sz="0" w:space="0" w:color="auto"/>
            <w:right w:val="none" w:sz="0" w:space="0" w:color="auto"/>
          </w:divBdr>
        </w:div>
      </w:divsChild>
    </w:div>
    <w:div w:id="1556745416">
      <w:bodyDiv w:val="1"/>
      <w:marLeft w:val="0"/>
      <w:marRight w:val="0"/>
      <w:marTop w:val="0"/>
      <w:marBottom w:val="0"/>
      <w:divBdr>
        <w:top w:val="none" w:sz="0" w:space="0" w:color="auto"/>
        <w:left w:val="none" w:sz="0" w:space="0" w:color="auto"/>
        <w:bottom w:val="none" w:sz="0" w:space="0" w:color="auto"/>
        <w:right w:val="none" w:sz="0" w:space="0" w:color="auto"/>
      </w:divBdr>
      <w:divsChild>
        <w:div w:id="50465438">
          <w:marLeft w:val="0"/>
          <w:marRight w:val="0"/>
          <w:marTop w:val="0"/>
          <w:marBottom w:val="0"/>
          <w:divBdr>
            <w:top w:val="none" w:sz="0" w:space="0" w:color="auto"/>
            <w:left w:val="none" w:sz="0" w:space="0" w:color="auto"/>
            <w:bottom w:val="none" w:sz="0" w:space="0" w:color="auto"/>
            <w:right w:val="none" w:sz="0" w:space="0" w:color="auto"/>
          </w:divBdr>
        </w:div>
        <w:div w:id="145513040">
          <w:marLeft w:val="0"/>
          <w:marRight w:val="0"/>
          <w:marTop w:val="0"/>
          <w:marBottom w:val="0"/>
          <w:divBdr>
            <w:top w:val="none" w:sz="0" w:space="0" w:color="auto"/>
            <w:left w:val="none" w:sz="0" w:space="0" w:color="auto"/>
            <w:bottom w:val="none" w:sz="0" w:space="0" w:color="auto"/>
            <w:right w:val="none" w:sz="0" w:space="0" w:color="auto"/>
          </w:divBdr>
        </w:div>
        <w:div w:id="146939392">
          <w:marLeft w:val="0"/>
          <w:marRight w:val="0"/>
          <w:marTop w:val="0"/>
          <w:marBottom w:val="0"/>
          <w:divBdr>
            <w:top w:val="none" w:sz="0" w:space="0" w:color="auto"/>
            <w:left w:val="none" w:sz="0" w:space="0" w:color="auto"/>
            <w:bottom w:val="none" w:sz="0" w:space="0" w:color="auto"/>
            <w:right w:val="none" w:sz="0" w:space="0" w:color="auto"/>
          </w:divBdr>
        </w:div>
        <w:div w:id="272440013">
          <w:marLeft w:val="0"/>
          <w:marRight w:val="0"/>
          <w:marTop w:val="0"/>
          <w:marBottom w:val="0"/>
          <w:divBdr>
            <w:top w:val="none" w:sz="0" w:space="0" w:color="auto"/>
            <w:left w:val="none" w:sz="0" w:space="0" w:color="auto"/>
            <w:bottom w:val="none" w:sz="0" w:space="0" w:color="auto"/>
            <w:right w:val="none" w:sz="0" w:space="0" w:color="auto"/>
          </w:divBdr>
        </w:div>
        <w:div w:id="294527499">
          <w:marLeft w:val="0"/>
          <w:marRight w:val="0"/>
          <w:marTop w:val="0"/>
          <w:marBottom w:val="0"/>
          <w:divBdr>
            <w:top w:val="none" w:sz="0" w:space="0" w:color="auto"/>
            <w:left w:val="none" w:sz="0" w:space="0" w:color="auto"/>
            <w:bottom w:val="none" w:sz="0" w:space="0" w:color="auto"/>
            <w:right w:val="none" w:sz="0" w:space="0" w:color="auto"/>
          </w:divBdr>
        </w:div>
        <w:div w:id="372778619">
          <w:marLeft w:val="0"/>
          <w:marRight w:val="0"/>
          <w:marTop w:val="0"/>
          <w:marBottom w:val="0"/>
          <w:divBdr>
            <w:top w:val="none" w:sz="0" w:space="0" w:color="auto"/>
            <w:left w:val="none" w:sz="0" w:space="0" w:color="auto"/>
            <w:bottom w:val="none" w:sz="0" w:space="0" w:color="auto"/>
            <w:right w:val="none" w:sz="0" w:space="0" w:color="auto"/>
          </w:divBdr>
        </w:div>
        <w:div w:id="515313451">
          <w:marLeft w:val="0"/>
          <w:marRight w:val="0"/>
          <w:marTop w:val="0"/>
          <w:marBottom w:val="0"/>
          <w:divBdr>
            <w:top w:val="none" w:sz="0" w:space="0" w:color="auto"/>
            <w:left w:val="none" w:sz="0" w:space="0" w:color="auto"/>
            <w:bottom w:val="none" w:sz="0" w:space="0" w:color="auto"/>
            <w:right w:val="none" w:sz="0" w:space="0" w:color="auto"/>
          </w:divBdr>
        </w:div>
        <w:div w:id="525488182">
          <w:marLeft w:val="0"/>
          <w:marRight w:val="0"/>
          <w:marTop w:val="0"/>
          <w:marBottom w:val="0"/>
          <w:divBdr>
            <w:top w:val="none" w:sz="0" w:space="0" w:color="auto"/>
            <w:left w:val="none" w:sz="0" w:space="0" w:color="auto"/>
            <w:bottom w:val="none" w:sz="0" w:space="0" w:color="auto"/>
            <w:right w:val="none" w:sz="0" w:space="0" w:color="auto"/>
          </w:divBdr>
        </w:div>
        <w:div w:id="603653412">
          <w:marLeft w:val="0"/>
          <w:marRight w:val="0"/>
          <w:marTop w:val="0"/>
          <w:marBottom w:val="0"/>
          <w:divBdr>
            <w:top w:val="none" w:sz="0" w:space="0" w:color="auto"/>
            <w:left w:val="none" w:sz="0" w:space="0" w:color="auto"/>
            <w:bottom w:val="none" w:sz="0" w:space="0" w:color="auto"/>
            <w:right w:val="none" w:sz="0" w:space="0" w:color="auto"/>
          </w:divBdr>
        </w:div>
        <w:div w:id="616910195">
          <w:marLeft w:val="0"/>
          <w:marRight w:val="0"/>
          <w:marTop w:val="0"/>
          <w:marBottom w:val="0"/>
          <w:divBdr>
            <w:top w:val="none" w:sz="0" w:space="0" w:color="auto"/>
            <w:left w:val="none" w:sz="0" w:space="0" w:color="auto"/>
            <w:bottom w:val="none" w:sz="0" w:space="0" w:color="auto"/>
            <w:right w:val="none" w:sz="0" w:space="0" w:color="auto"/>
          </w:divBdr>
        </w:div>
        <w:div w:id="682240756">
          <w:marLeft w:val="0"/>
          <w:marRight w:val="0"/>
          <w:marTop w:val="0"/>
          <w:marBottom w:val="0"/>
          <w:divBdr>
            <w:top w:val="none" w:sz="0" w:space="0" w:color="auto"/>
            <w:left w:val="none" w:sz="0" w:space="0" w:color="auto"/>
            <w:bottom w:val="none" w:sz="0" w:space="0" w:color="auto"/>
            <w:right w:val="none" w:sz="0" w:space="0" w:color="auto"/>
          </w:divBdr>
        </w:div>
        <w:div w:id="764884638">
          <w:marLeft w:val="0"/>
          <w:marRight w:val="0"/>
          <w:marTop w:val="0"/>
          <w:marBottom w:val="0"/>
          <w:divBdr>
            <w:top w:val="none" w:sz="0" w:space="0" w:color="auto"/>
            <w:left w:val="none" w:sz="0" w:space="0" w:color="auto"/>
            <w:bottom w:val="none" w:sz="0" w:space="0" w:color="auto"/>
            <w:right w:val="none" w:sz="0" w:space="0" w:color="auto"/>
          </w:divBdr>
        </w:div>
        <w:div w:id="814758419">
          <w:marLeft w:val="0"/>
          <w:marRight w:val="0"/>
          <w:marTop w:val="0"/>
          <w:marBottom w:val="0"/>
          <w:divBdr>
            <w:top w:val="none" w:sz="0" w:space="0" w:color="auto"/>
            <w:left w:val="none" w:sz="0" w:space="0" w:color="auto"/>
            <w:bottom w:val="none" w:sz="0" w:space="0" w:color="auto"/>
            <w:right w:val="none" w:sz="0" w:space="0" w:color="auto"/>
          </w:divBdr>
        </w:div>
        <w:div w:id="959799253">
          <w:marLeft w:val="0"/>
          <w:marRight w:val="0"/>
          <w:marTop w:val="0"/>
          <w:marBottom w:val="0"/>
          <w:divBdr>
            <w:top w:val="none" w:sz="0" w:space="0" w:color="auto"/>
            <w:left w:val="none" w:sz="0" w:space="0" w:color="auto"/>
            <w:bottom w:val="none" w:sz="0" w:space="0" w:color="auto"/>
            <w:right w:val="none" w:sz="0" w:space="0" w:color="auto"/>
          </w:divBdr>
        </w:div>
        <w:div w:id="1054960717">
          <w:marLeft w:val="0"/>
          <w:marRight w:val="0"/>
          <w:marTop w:val="0"/>
          <w:marBottom w:val="0"/>
          <w:divBdr>
            <w:top w:val="none" w:sz="0" w:space="0" w:color="auto"/>
            <w:left w:val="none" w:sz="0" w:space="0" w:color="auto"/>
            <w:bottom w:val="none" w:sz="0" w:space="0" w:color="auto"/>
            <w:right w:val="none" w:sz="0" w:space="0" w:color="auto"/>
          </w:divBdr>
        </w:div>
        <w:div w:id="1087194151">
          <w:marLeft w:val="0"/>
          <w:marRight w:val="0"/>
          <w:marTop w:val="0"/>
          <w:marBottom w:val="0"/>
          <w:divBdr>
            <w:top w:val="none" w:sz="0" w:space="0" w:color="auto"/>
            <w:left w:val="none" w:sz="0" w:space="0" w:color="auto"/>
            <w:bottom w:val="none" w:sz="0" w:space="0" w:color="auto"/>
            <w:right w:val="none" w:sz="0" w:space="0" w:color="auto"/>
          </w:divBdr>
        </w:div>
        <w:div w:id="1135874744">
          <w:marLeft w:val="0"/>
          <w:marRight w:val="0"/>
          <w:marTop w:val="0"/>
          <w:marBottom w:val="0"/>
          <w:divBdr>
            <w:top w:val="none" w:sz="0" w:space="0" w:color="auto"/>
            <w:left w:val="none" w:sz="0" w:space="0" w:color="auto"/>
            <w:bottom w:val="none" w:sz="0" w:space="0" w:color="auto"/>
            <w:right w:val="none" w:sz="0" w:space="0" w:color="auto"/>
          </w:divBdr>
        </w:div>
        <w:div w:id="1145199058">
          <w:marLeft w:val="0"/>
          <w:marRight w:val="0"/>
          <w:marTop w:val="0"/>
          <w:marBottom w:val="0"/>
          <w:divBdr>
            <w:top w:val="none" w:sz="0" w:space="0" w:color="auto"/>
            <w:left w:val="none" w:sz="0" w:space="0" w:color="auto"/>
            <w:bottom w:val="none" w:sz="0" w:space="0" w:color="auto"/>
            <w:right w:val="none" w:sz="0" w:space="0" w:color="auto"/>
          </w:divBdr>
        </w:div>
        <w:div w:id="1171456294">
          <w:marLeft w:val="0"/>
          <w:marRight w:val="0"/>
          <w:marTop w:val="0"/>
          <w:marBottom w:val="0"/>
          <w:divBdr>
            <w:top w:val="none" w:sz="0" w:space="0" w:color="auto"/>
            <w:left w:val="none" w:sz="0" w:space="0" w:color="auto"/>
            <w:bottom w:val="none" w:sz="0" w:space="0" w:color="auto"/>
            <w:right w:val="none" w:sz="0" w:space="0" w:color="auto"/>
          </w:divBdr>
        </w:div>
        <w:div w:id="1178933826">
          <w:marLeft w:val="0"/>
          <w:marRight w:val="0"/>
          <w:marTop w:val="0"/>
          <w:marBottom w:val="0"/>
          <w:divBdr>
            <w:top w:val="none" w:sz="0" w:space="0" w:color="auto"/>
            <w:left w:val="none" w:sz="0" w:space="0" w:color="auto"/>
            <w:bottom w:val="none" w:sz="0" w:space="0" w:color="auto"/>
            <w:right w:val="none" w:sz="0" w:space="0" w:color="auto"/>
          </w:divBdr>
        </w:div>
        <w:div w:id="1305695633">
          <w:marLeft w:val="0"/>
          <w:marRight w:val="0"/>
          <w:marTop w:val="0"/>
          <w:marBottom w:val="0"/>
          <w:divBdr>
            <w:top w:val="none" w:sz="0" w:space="0" w:color="auto"/>
            <w:left w:val="none" w:sz="0" w:space="0" w:color="auto"/>
            <w:bottom w:val="none" w:sz="0" w:space="0" w:color="auto"/>
            <w:right w:val="none" w:sz="0" w:space="0" w:color="auto"/>
          </w:divBdr>
        </w:div>
        <w:div w:id="1336494585">
          <w:marLeft w:val="0"/>
          <w:marRight w:val="0"/>
          <w:marTop w:val="0"/>
          <w:marBottom w:val="0"/>
          <w:divBdr>
            <w:top w:val="none" w:sz="0" w:space="0" w:color="auto"/>
            <w:left w:val="none" w:sz="0" w:space="0" w:color="auto"/>
            <w:bottom w:val="none" w:sz="0" w:space="0" w:color="auto"/>
            <w:right w:val="none" w:sz="0" w:space="0" w:color="auto"/>
          </w:divBdr>
        </w:div>
        <w:div w:id="1365599683">
          <w:marLeft w:val="0"/>
          <w:marRight w:val="0"/>
          <w:marTop w:val="0"/>
          <w:marBottom w:val="0"/>
          <w:divBdr>
            <w:top w:val="none" w:sz="0" w:space="0" w:color="auto"/>
            <w:left w:val="none" w:sz="0" w:space="0" w:color="auto"/>
            <w:bottom w:val="none" w:sz="0" w:space="0" w:color="auto"/>
            <w:right w:val="none" w:sz="0" w:space="0" w:color="auto"/>
          </w:divBdr>
        </w:div>
        <w:div w:id="1367754202">
          <w:marLeft w:val="0"/>
          <w:marRight w:val="0"/>
          <w:marTop w:val="0"/>
          <w:marBottom w:val="0"/>
          <w:divBdr>
            <w:top w:val="none" w:sz="0" w:space="0" w:color="auto"/>
            <w:left w:val="none" w:sz="0" w:space="0" w:color="auto"/>
            <w:bottom w:val="none" w:sz="0" w:space="0" w:color="auto"/>
            <w:right w:val="none" w:sz="0" w:space="0" w:color="auto"/>
          </w:divBdr>
        </w:div>
        <w:div w:id="1418483085">
          <w:marLeft w:val="0"/>
          <w:marRight w:val="0"/>
          <w:marTop w:val="0"/>
          <w:marBottom w:val="0"/>
          <w:divBdr>
            <w:top w:val="none" w:sz="0" w:space="0" w:color="auto"/>
            <w:left w:val="none" w:sz="0" w:space="0" w:color="auto"/>
            <w:bottom w:val="none" w:sz="0" w:space="0" w:color="auto"/>
            <w:right w:val="none" w:sz="0" w:space="0" w:color="auto"/>
          </w:divBdr>
        </w:div>
        <w:div w:id="1421096020">
          <w:marLeft w:val="0"/>
          <w:marRight w:val="0"/>
          <w:marTop w:val="0"/>
          <w:marBottom w:val="0"/>
          <w:divBdr>
            <w:top w:val="none" w:sz="0" w:space="0" w:color="auto"/>
            <w:left w:val="none" w:sz="0" w:space="0" w:color="auto"/>
            <w:bottom w:val="none" w:sz="0" w:space="0" w:color="auto"/>
            <w:right w:val="none" w:sz="0" w:space="0" w:color="auto"/>
          </w:divBdr>
        </w:div>
        <w:div w:id="1467166252">
          <w:marLeft w:val="0"/>
          <w:marRight w:val="0"/>
          <w:marTop w:val="0"/>
          <w:marBottom w:val="0"/>
          <w:divBdr>
            <w:top w:val="none" w:sz="0" w:space="0" w:color="auto"/>
            <w:left w:val="none" w:sz="0" w:space="0" w:color="auto"/>
            <w:bottom w:val="none" w:sz="0" w:space="0" w:color="auto"/>
            <w:right w:val="none" w:sz="0" w:space="0" w:color="auto"/>
          </w:divBdr>
        </w:div>
        <w:div w:id="1489790276">
          <w:marLeft w:val="0"/>
          <w:marRight w:val="0"/>
          <w:marTop w:val="0"/>
          <w:marBottom w:val="0"/>
          <w:divBdr>
            <w:top w:val="none" w:sz="0" w:space="0" w:color="auto"/>
            <w:left w:val="none" w:sz="0" w:space="0" w:color="auto"/>
            <w:bottom w:val="none" w:sz="0" w:space="0" w:color="auto"/>
            <w:right w:val="none" w:sz="0" w:space="0" w:color="auto"/>
          </w:divBdr>
        </w:div>
        <w:div w:id="1543901811">
          <w:marLeft w:val="0"/>
          <w:marRight w:val="0"/>
          <w:marTop w:val="0"/>
          <w:marBottom w:val="0"/>
          <w:divBdr>
            <w:top w:val="none" w:sz="0" w:space="0" w:color="auto"/>
            <w:left w:val="none" w:sz="0" w:space="0" w:color="auto"/>
            <w:bottom w:val="none" w:sz="0" w:space="0" w:color="auto"/>
            <w:right w:val="none" w:sz="0" w:space="0" w:color="auto"/>
          </w:divBdr>
        </w:div>
        <w:div w:id="1595627073">
          <w:marLeft w:val="0"/>
          <w:marRight w:val="0"/>
          <w:marTop w:val="0"/>
          <w:marBottom w:val="0"/>
          <w:divBdr>
            <w:top w:val="none" w:sz="0" w:space="0" w:color="auto"/>
            <w:left w:val="none" w:sz="0" w:space="0" w:color="auto"/>
            <w:bottom w:val="none" w:sz="0" w:space="0" w:color="auto"/>
            <w:right w:val="none" w:sz="0" w:space="0" w:color="auto"/>
          </w:divBdr>
        </w:div>
        <w:div w:id="1641421449">
          <w:marLeft w:val="0"/>
          <w:marRight w:val="0"/>
          <w:marTop w:val="0"/>
          <w:marBottom w:val="0"/>
          <w:divBdr>
            <w:top w:val="none" w:sz="0" w:space="0" w:color="auto"/>
            <w:left w:val="none" w:sz="0" w:space="0" w:color="auto"/>
            <w:bottom w:val="none" w:sz="0" w:space="0" w:color="auto"/>
            <w:right w:val="none" w:sz="0" w:space="0" w:color="auto"/>
          </w:divBdr>
        </w:div>
        <w:div w:id="1663925243">
          <w:marLeft w:val="0"/>
          <w:marRight w:val="0"/>
          <w:marTop w:val="0"/>
          <w:marBottom w:val="0"/>
          <w:divBdr>
            <w:top w:val="none" w:sz="0" w:space="0" w:color="auto"/>
            <w:left w:val="none" w:sz="0" w:space="0" w:color="auto"/>
            <w:bottom w:val="none" w:sz="0" w:space="0" w:color="auto"/>
            <w:right w:val="none" w:sz="0" w:space="0" w:color="auto"/>
          </w:divBdr>
        </w:div>
        <w:div w:id="1887133187">
          <w:marLeft w:val="0"/>
          <w:marRight w:val="0"/>
          <w:marTop w:val="0"/>
          <w:marBottom w:val="0"/>
          <w:divBdr>
            <w:top w:val="none" w:sz="0" w:space="0" w:color="auto"/>
            <w:left w:val="none" w:sz="0" w:space="0" w:color="auto"/>
            <w:bottom w:val="none" w:sz="0" w:space="0" w:color="auto"/>
            <w:right w:val="none" w:sz="0" w:space="0" w:color="auto"/>
          </w:divBdr>
        </w:div>
        <w:div w:id="1940091693">
          <w:marLeft w:val="0"/>
          <w:marRight w:val="0"/>
          <w:marTop w:val="0"/>
          <w:marBottom w:val="0"/>
          <w:divBdr>
            <w:top w:val="none" w:sz="0" w:space="0" w:color="auto"/>
            <w:left w:val="none" w:sz="0" w:space="0" w:color="auto"/>
            <w:bottom w:val="none" w:sz="0" w:space="0" w:color="auto"/>
            <w:right w:val="none" w:sz="0" w:space="0" w:color="auto"/>
          </w:divBdr>
        </w:div>
        <w:div w:id="1951424304">
          <w:marLeft w:val="0"/>
          <w:marRight w:val="0"/>
          <w:marTop w:val="0"/>
          <w:marBottom w:val="0"/>
          <w:divBdr>
            <w:top w:val="none" w:sz="0" w:space="0" w:color="auto"/>
            <w:left w:val="none" w:sz="0" w:space="0" w:color="auto"/>
            <w:bottom w:val="none" w:sz="0" w:space="0" w:color="auto"/>
            <w:right w:val="none" w:sz="0" w:space="0" w:color="auto"/>
          </w:divBdr>
          <w:divsChild>
            <w:div w:id="167794617">
              <w:marLeft w:val="0"/>
              <w:marRight w:val="0"/>
              <w:marTop w:val="0"/>
              <w:marBottom w:val="0"/>
              <w:divBdr>
                <w:top w:val="none" w:sz="0" w:space="0" w:color="auto"/>
                <w:left w:val="none" w:sz="0" w:space="0" w:color="auto"/>
                <w:bottom w:val="none" w:sz="0" w:space="0" w:color="auto"/>
                <w:right w:val="none" w:sz="0" w:space="0" w:color="auto"/>
              </w:divBdr>
            </w:div>
            <w:div w:id="261301097">
              <w:marLeft w:val="0"/>
              <w:marRight w:val="0"/>
              <w:marTop w:val="0"/>
              <w:marBottom w:val="0"/>
              <w:divBdr>
                <w:top w:val="none" w:sz="0" w:space="0" w:color="auto"/>
                <w:left w:val="none" w:sz="0" w:space="0" w:color="auto"/>
                <w:bottom w:val="none" w:sz="0" w:space="0" w:color="auto"/>
                <w:right w:val="none" w:sz="0" w:space="0" w:color="auto"/>
              </w:divBdr>
            </w:div>
            <w:div w:id="557209120">
              <w:marLeft w:val="0"/>
              <w:marRight w:val="0"/>
              <w:marTop w:val="0"/>
              <w:marBottom w:val="0"/>
              <w:divBdr>
                <w:top w:val="none" w:sz="0" w:space="0" w:color="auto"/>
                <w:left w:val="none" w:sz="0" w:space="0" w:color="auto"/>
                <w:bottom w:val="none" w:sz="0" w:space="0" w:color="auto"/>
                <w:right w:val="none" w:sz="0" w:space="0" w:color="auto"/>
              </w:divBdr>
            </w:div>
            <w:div w:id="591937200">
              <w:marLeft w:val="0"/>
              <w:marRight w:val="0"/>
              <w:marTop w:val="0"/>
              <w:marBottom w:val="0"/>
              <w:divBdr>
                <w:top w:val="none" w:sz="0" w:space="0" w:color="auto"/>
                <w:left w:val="none" w:sz="0" w:space="0" w:color="auto"/>
                <w:bottom w:val="none" w:sz="0" w:space="0" w:color="auto"/>
                <w:right w:val="none" w:sz="0" w:space="0" w:color="auto"/>
              </w:divBdr>
            </w:div>
            <w:div w:id="682780635">
              <w:marLeft w:val="0"/>
              <w:marRight w:val="0"/>
              <w:marTop w:val="0"/>
              <w:marBottom w:val="0"/>
              <w:divBdr>
                <w:top w:val="none" w:sz="0" w:space="0" w:color="auto"/>
                <w:left w:val="none" w:sz="0" w:space="0" w:color="auto"/>
                <w:bottom w:val="none" w:sz="0" w:space="0" w:color="auto"/>
                <w:right w:val="none" w:sz="0" w:space="0" w:color="auto"/>
              </w:divBdr>
            </w:div>
            <w:div w:id="909929602">
              <w:marLeft w:val="0"/>
              <w:marRight w:val="0"/>
              <w:marTop w:val="0"/>
              <w:marBottom w:val="0"/>
              <w:divBdr>
                <w:top w:val="none" w:sz="0" w:space="0" w:color="auto"/>
                <w:left w:val="none" w:sz="0" w:space="0" w:color="auto"/>
                <w:bottom w:val="none" w:sz="0" w:space="0" w:color="auto"/>
                <w:right w:val="none" w:sz="0" w:space="0" w:color="auto"/>
              </w:divBdr>
            </w:div>
            <w:div w:id="916747987">
              <w:marLeft w:val="0"/>
              <w:marRight w:val="0"/>
              <w:marTop w:val="0"/>
              <w:marBottom w:val="0"/>
              <w:divBdr>
                <w:top w:val="none" w:sz="0" w:space="0" w:color="auto"/>
                <w:left w:val="none" w:sz="0" w:space="0" w:color="auto"/>
                <w:bottom w:val="none" w:sz="0" w:space="0" w:color="auto"/>
                <w:right w:val="none" w:sz="0" w:space="0" w:color="auto"/>
              </w:divBdr>
            </w:div>
            <w:div w:id="963123162">
              <w:marLeft w:val="0"/>
              <w:marRight w:val="0"/>
              <w:marTop w:val="0"/>
              <w:marBottom w:val="0"/>
              <w:divBdr>
                <w:top w:val="none" w:sz="0" w:space="0" w:color="auto"/>
                <w:left w:val="none" w:sz="0" w:space="0" w:color="auto"/>
                <w:bottom w:val="none" w:sz="0" w:space="0" w:color="auto"/>
                <w:right w:val="none" w:sz="0" w:space="0" w:color="auto"/>
              </w:divBdr>
            </w:div>
            <w:div w:id="1062295684">
              <w:marLeft w:val="0"/>
              <w:marRight w:val="0"/>
              <w:marTop w:val="0"/>
              <w:marBottom w:val="0"/>
              <w:divBdr>
                <w:top w:val="none" w:sz="0" w:space="0" w:color="auto"/>
                <w:left w:val="none" w:sz="0" w:space="0" w:color="auto"/>
                <w:bottom w:val="none" w:sz="0" w:space="0" w:color="auto"/>
                <w:right w:val="none" w:sz="0" w:space="0" w:color="auto"/>
              </w:divBdr>
            </w:div>
            <w:div w:id="1127897522">
              <w:marLeft w:val="0"/>
              <w:marRight w:val="0"/>
              <w:marTop w:val="0"/>
              <w:marBottom w:val="0"/>
              <w:divBdr>
                <w:top w:val="none" w:sz="0" w:space="0" w:color="auto"/>
                <w:left w:val="none" w:sz="0" w:space="0" w:color="auto"/>
                <w:bottom w:val="none" w:sz="0" w:space="0" w:color="auto"/>
                <w:right w:val="none" w:sz="0" w:space="0" w:color="auto"/>
              </w:divBdr>
            </w:div>
            <w:div w:id="1314945072">
              <w:marLeft w:val="0"/>
              <w:marRight w:val="0"/>
              <w:marTop w:val="0"/>
              <w:marBottom w:val="0"/>
              <w:divBdr>
                <w:top w:val="none" w:sz="0" w:space="0" w:color="auto"/>
                <w:left w:val="none" w:sz="0" w:space="0" w:color="auto"/>
                <w:bottom w:val="none" w:sz="0" w:space="0" w:color="auto"/>
                <w:right w:val="none" w:sz="0" w:space="0" w:color="auto"/>
              </w:divBdr>
            </w:div>
            <w:div w:id="1477914404">
              <w:marLeft w:val="0"/>
              <w:marRight w:val="0"/>
              <w:marTop w:val="0"/>
              <w:marBottom w:val="0"/>
              <w:divBdr>
                <w:top w:val="none" w:sz="0" w:space="0" w:color="auto"/>
                <w:left w:val="none" w:sz="0" w:space="0" w:color="auto"/>
                <w:bottom w:val="none" w:sz="0" w:space="0" w:color="auto"/>
                <w:right w:val="none" w:sz="0" w:space="0" w:color="auto"/>
              </w:divBdr>
            </w:div>
            <w:div w:id="1560283882">
              <w:marLeft w:val="0"/>
              <w:marRight w:val="0"/>
              <w:marTop w:val="0"/>
              <w:marBottom w:val="0"/>
              <w:divBdr>
                <w:top w:val="none" w:sz="0" w:space="0" w:color="auto"/>
                <w:left w:val="none" w:sz="0" w:space="0" w:color="auto"/>
                <w:bottom w:val="none" w:sz="0" w:space="0" w:color="auto"/>
                <w:right w:val="none" w:sz="0" w:space="0" w:color="auto"/>
              </w:divBdr>
            </w:div>
            <w:div w:id="1685788939">
              <w:marLeft w:val="0"/>
              <w:marRight w:val="0"/>
              <w:marTop w:val="0"/>
              <w:marBottom w:val="0"/>
              <w:divBdr>
                <w:top w:val="none" w:sz="0" w:space="0" w:color="auto"/>
                <w:left w:val="none" w:sz="0" w:space="0" w:color="auto"/>
                <w:bottom w:val="none" w:sz="0" w:space="0" w:color="auto"/>
                <w:right w:val="none" w:sz="0" w:space="0" w:color="auto"/>
              </w:divBdr>
            </w:div>
            <w:div w:id="1934850494">
              <w:marLeft w:val="0"/>
              <w:marRight w:val="0"/>
              <w:marTop w:val="0"/>
              <w:marBottom w:val="0"/>
              <w:divBdr>
                <w:top w:val="none" w:sz="0" w:space="0" w:color="auto"/>
                <w:left w:val="none" w:sz="0" w:space="0" w:color="auto"/>
                <w:bottom w:val="none" w:sz="0" w:space="0" w:color="auto"/>
                <w:right w:val="none" w:sz="0" w:space="0" w:color="auto"/>
              </w:divBdr>
            </w:div>
            <w:div w:id="1954094375">
              <w:marLeft w:val="0"/>
              <w:marRight w:val="0"/>
              <w:marTop w:val="0"/>
              <w:marBottom w:val="0"/>
              <w:divBdr>
                <w:top w:val="none" w:sz="0" w:space="0" w:color="auto"/>
                <w:left w:val="none" w:sz="0" w:space="0" w:color="auto"/>
                <w:bottom w:val="none" w:sz="0" w:space="0" w:color="auto"/>
                <w:right w:val="none" w:sz="0" w:space="0" w:color="auto"/>
              </w:divBdr>
            </w:div>
            <w:div w:id="2030837457">
              <w:marLeft w:val="0"/>
              <w:marRight w:val="0"/>
              <w:marTop w:val="0"/>
              <w:marBottom w:val="0"/>
              <w:divBdr>
                <w:top w:val="none" w:sz="0" w:space="0" w:color="auto"/>
                <w:left w:val="none" w:sz="0" w:space="0" w:color="auto"/>
                <w:bottom w:val="none" w:sz="0" w:space="0" w:color="auto"/>
                <w:right w:val="none" w:sz="0" w:space="0" w:color="auto"/>
              </w:divBdr>
            </w:div>
          </w:divsChild>
        </w:div>
        <w:div w:id="2001737677">
          <w:marLeft w:val="0"/>
          <w:marRight w:val="0"/>
          <w:marTop w:val="0"/>
          <w:marBottom w:val="0"/>
          <w:divBdr>
            <w:top w:val="none" w:sz="0" w:space="0" w:color="auto"/>
            <w:left w:val="none" w:sz="0" w:space="0" w:color="auto"/>
            <w:bottom w:val="none" w:sz="0" w:space="0" w:color="auto"/>
            <w:right w:val="none" w:sz="0" w:space="0" w:color="auto"/>
          </w:divBdr>
        </w:div>
        <w:div w:id="2027903810">
          <w:marLeft w:val="0"/>
          <w:marRight w:val="0"/>
          <w:marTop w:val="0"/>
          <w:marBottom w:val="0"/>
          <w:divBdr>
            <w:top w:val="none" w:sz="0" w:space="0" w:color="auto"/>
            <w:left w:val="none" w:sz="0" w:space="0" w:color="auto"/>
            <w:bottom w:val="none" w:sz="0" w:space="0" w:color="auto"/>
            <w:right w:val="none" w:sz="0" w:space="0" w:color="auto"/>
          </w:divBdr>
        </w:div>
        <w:div w:id="2031372877">
          <w:marLeft w:val="0"/>
          <w:marRight w:val="0"/>
          <w:marTop w:val="0"/>
          <w:marBottom w:val="0"/>
          <w:divBdr>
            <w:top w:val="none" w:sz="0" w:space="0" w:color="auto"/>
            <w:left w:val="none" w:sz="0" w:space="0" w:color="auto"/>
            <w:bottom w:val="none" w:sz="0" w:space="0" w:color="auto"/>
            <w:right w:val="none" w:sz="0" w:space="0" w:color="auto"/>
          </w:divBdr>
        </w:div>
        <w:div w:id="2084981281">
          <w:marLeft w:val="0"/>
          <w:marRight w:val="0"/>
          <w:marTop w:val="0"/>
          <w:marBottom w:val="0"/>
          <w:divBdr>
            <w:top w:val="none" w:sz="0" w:space="0" w:color="auto"/>
            <w:left w:val="none" w:sz="0" w:space="0" w:color="auto"/>
            <w:bottom w:val="none" w:sz="0" w:space="0" w:color="auto"/>
            <w:right w:val="none" w:sz="0" w:space="0" w:color="auto"/>
          </w:divBdr>
        </w:div>
        <w:div w:id="2129856978">
          <w:marLeft w:val="0"/>
          <w:marRight w:val="0"/>
          <w:marTop w:val="0"/>
          <w:marBottom w:val="0"/>
          <w:divBdr>
            <w:top w:val="none" w:sz="0" w:space="0" w:color="auto"/>
            <w:left w:val="none" w:sz="0" w:space="0" w:color="auto"/>
            <w:bottom w:val="none" w:sz="0" w:space="0" w:color="auto"/>
            <w:right w:val="none" w:sz="0" w:space="0" w:color="auto"/>
          </w:divBdr>
        </w:div>
        <w:div w:id="2143033607">
          <w:marLeft w:val="0"/>
          <w:marRight w:val="0"/>
          <w:marTop w:val="0"/>
          <w:marBottom w:val="0"/>
          <w:divBdr>
            <w:top w:val="none" w:sz="0" w:space="0" w:color="auto"/>
            <w:left w:val="none" w:sz="0" w:space="0" w:color="auto"/>
            <w:bottom w:val="none" w:sz="0" w:space="0" w:color="auto"/>
            <w:right w:val="none" w:sz="0" w:space="0" w:color="auto"/>
          </w:divBdr>
        </w:div>
      </w:divsChild>
    </w:div>
    <w:div w:id="1567035114">
      <w:bodyDiv w:val="1"/>
      <w:marLeft w:val="0"/>
      <w:marRight w:val="0"/>
      <w:marTop w:val="0"/>
      <w:marBottom w:val="0"/>
      <w:divBdr>
        <w:top w:val="none" w:sz="0" w:space="0" w:color="auto"/>
        <w:left w:val="none" w:sz="0" w:space="0" w:color="auto"/>
        <w:bottom w:val="none" w:sz="0" w:space="0" w:color="auto"/>
        <w:right w:val="none" w:sz="0" w:space="0" w:color="auto"/>
      </w:divBdr>
    </w:div>
    <w:div w:id="1573613945">
      <w:bodyDiv w:val="1"/>
      <w:marLeft w:val="0"/>
      <w:marRight w:val="0"/>
      <w:marTop w:val="0"/>
      <w:marBottom w:val="0"/>
      <w:divBdr>
        <w:top w:val="none" w:sz="0" w:space="0" w:color="auto"/>
        <w:left w:val="none" w:sz="0" w:space="0" w:color="auto"/>
        <w:bottom w:val="none" w:sz="0" w:space="0" w:color="auto"/>
        <w:right w:val="none" w:sz="0" w:space="0" w:color="auto"/>
      </w:divBdr>
    </w:div>
    <w:div w:id="1653948206">
      <w:bodyDiv w:val="1"/>
      <w:marLeft w:val="0"/>
      <w:marRight w:val="0"/>
      <w:marTop w:val="0"/>
      <w:marBottom w:val="0"/>
      <w:divBdr>
        <w:top w:val="none" w:sz="0" w:space="0" w:color="auto"/>
        <w:left w:val="none" w:sz="0" w:space="0" w:color="auto"/>
        <w:bottom w:val="none" w:sz="0" w:space="0" w:color="auto"/>
        <w:right w:val="none" w:sz="0" w:space="0" w:color="auto"/>
      </w:divBdr>
    </w:div>
    <w:div w:id="1690568974">
      <w:bodyDiv w:val="1"/>
      <w:marLeft w:val="0"/>
      <w:marRight w:val="0"/>
      <w:marTop w:val="0"/>
      <w:marBottom w:val="0"/>
      <w:divBdr>
        <w:top w:val="none" w:sz="0" w:space="0" w:color="auto"/>
        <w:left w:val="none" w:sz="0" w:space="0" w:color="auto"/>
        <w:bottom w:val="none" w:sz="0" w:space="0" w:color="auto"/>
        <w:right w:val="none" w:sz="0" w:space="0" w:color="auto"/>
      </w:divBdr>
      <w:divsChild>
        <w:div w:id="663316">
          <w:marLeft w:val="0"/>
          <w:marRight w:val="0"/>
          <w:marTop w:val="0"/>
          <w:marBottom w:val="0"/>
          <w:divBdr>
            <w:top w:val="none" w:sz="0" w:space="0" w:color="auto"/>
            <w:left w:val="none" w:sz="0" w:space="0" w:color="auto"/>
            <w:bottom w:val="none" w:sz="0" w:space="0" w:color="auto"/>
            <w:right w:val="none" w:sz="0" w:space="0" w:color="auto"/>
          </w:divBdr>
        </w:div>
        <w:div w:id="3212246">
          <w:marLeft w:val="0"/>
          <w:marRight w:val="0"/>
          <w:marTop w:val="0"/>
          <w:marBottom w:val="0"/>
          <w:divBdr>
            <w:top w:val="none" w:sz="0" w:space="0" w:color="auto"/>
            <w:left w:val="none" w:sz="0" w:space="0" w:color="auto"/>
            <w:bottom w:val="none" w:sz="0" w:space="0" w:color="auto"/>
            <w:right w:val="none" w:sz="0" w:space="0" w:color="auto"/>
          </w:divBdr>
        </w:div>
        <w:div w:id="3628277">
          <w:marLeft w:val="0"/>
          <w:marRight w:val="0"/>
          <w:marTop w:val="0"/>
          <w:marBottom w:val="0"/>
          <w:divBdr>
            <w:top w:val="none" w:sz="0" w:space="0" w:color="auto"/>
            <w:left w:val="none" w:sz="0" w:space="0" w:color="auto"/>
            <w:bottom w:val="none" w:sz="0" w:space="0" w:color="auto"/>
            <w:right w:val="none" w:sz="0" w:space="0" w:color="auto"/>
          </w:divBdr>
        </w:div>
        <w:div w:id="4328296">
          <w:marLeft w:val="0"/>
          <w:marRight w:val="0"/>
          <w:marTop w:val="0"/>
          <w:marBottom w:val="0"/>
          <w:divBdr>
            <w:top w:val="none" w:sz="0" w:space="0" w:color="auto"/>
            <w:left w:val="none" w:sz="0" w:space="0" w:color="auto"/>
            <w:bottom w:val="none" w:sz="0" w:space="0" w:color="auto"/>
            <w:right w:val="none" w:sz="0" w:space="0" w:color="auto"/>
          </w:divBdr>
        </w:div>
        <w:div w:id="5250697">
          <w:marLeft w:val="0"/>
          <w:marRight w:val="0"/>
          <w:marTop w:val="0"/>
          <w:marBottom w:val="0"/>
          <w:divBdr>
            <w:top w:val="none" w:sz="0" w:space="0" w:color="auto"/>
            <w:left w:val="none" w:sz="0" w:space="0" w:color="auto"/>
            <w:bottom w:val="none" w:sz="0" w:space="0" w:color="auto"/>
            <w:right w:val="none" w:sz="0" w:space="0" w:color="auto"/>
          </w:divBdr>
        </w:div>
        <w:div w:id="6829492">
          <w:marLeft w:val="0"/>
          <w:marRight w:val="0"/>
          <w:marTop w:val="0"/>
          <w:marBottom w:val="0"/>
          <w:divBdr>
            <w:top w:val="none" w:sz="0" w:space="0" w:color="auto"/>
            <w:left w:val="none" w:sz="0" w:space="0" w:color="auto"/>
            <w:bottom w:val="none" w:sz="0" w:space="0" w:color="auto"/>
            <w:right w:val="none" w:sz="0" w:space="0" w:color="auto"/>
          </w:divBdr>
        </w:div>
        <w:div w:id="8795808">
          <w:marLeft w:val="0"/>
          <w:marRight w:val="0"/>
          <w:marTop w:val="0"/>
          <w:marBottom w:val="0"/>
          <w:divBdr>
            <w:top w:val="none" w:sz="0" w:space="0" w:color="auto"/>
            <w:left w:val="none" w:sz="0" w:space="0" w:color="auto"/>
            <w:bottom w:val="none" w:sz="0" w:space="0" w:color="auto"/>
            <w:right w:val="none" w:sz="0" w:space="0" w:color="auto"/>
          </w:divBdr>
        </w:div>
        <w:div w:id="10688475">
          <w:marLeft w:val="0"/>
          <w:marRight w:val="0"/>
          <w:marTop w:val="0"/>
          <w:marBottom w:val="0"/>
          <w:divBdr>
            <w:top w:val="none" w:sz="0" w:space="0" w:color="auto"/>
            <w:left w:val="none" w:sz="0" w:space="0" w:color="auto"/>
            <w:bottom w:val="none" w:sz="0" w:space="0" w:color="auto"/>
            <w:right w:val="none" w:sz="0" w:space="0" w:color="auto"/>
          </w:divBdr>
        </w:div>
        <w:div w:id="11230914">
          <w:marLeft w:val="0"/>
          <w:marRight w:val="0"/>
          <w:marTop w:val="0"/>
          <w:marBottom w:val="0"/>
          <w:divBdr>
            <w:top w:val="none" w:sz="0" w:space="0" w:color="auto"/>
            <w:left w:val="none" w:sz="0" w:space="0" w:color="auto"/>
            <w:bottom w:val="none" w:sz="0" w:space="0" w:color="auto"/>
            <w:right w:val="none" w:sz="0" w:space="0" w:color="auto"/>
          </w:divBdr>
        </w:div>
        <w:div w:id="13269508">
          <w:marLeft w:val="0"/>
          <w:marRight w:val="0"/>
          <w:marTop w:val="0"/>
          <w:marBottom w:val="0"/>
          <w:divBdr>
            <w:top w:val="none" w:sz="0" w:space="0" w:color="auto"/>
            <w:left w:val="none" w:sz="0" w:space="0" w:color="auto"/>
            <w:bottom w:val="none" w:sz="0" w:space="0" w:color="auto"/>
            <w:right w:val="none" w:sz="0" w:space="0" w:color="auto"/>
          </w:divBdr>
        </w:div>
        <w:div w:id="13581175">
          <w:marLeft w:val="0"/>
          <w:marRight w:val="0"/>
          <w:marTop w:val="0"/>
          <w:marBottom w:val="0"/>
          <w:divBdr>
            <w:top w:val="none" w:sz="0" w:space="0" w:color="auto"/>
            <w:left w:val="none" w:sz="0" w:space="0" w:color="auto"/>
            <w:bottom w:val="none" w:sz="0" w:space="0" w:color="auto"/>
            <w:right w:val="none" w:sz="0" w:space="0" w:color="auto"/>
          </w:divBdr>
        </w:div>
        <w:div w:id="13966954">
          <w:marLeft w:val="0"/>
          <w:marRight w:val="0"/>
          <w:marTop w:val="0"/>
          <w:marBottom w:val="0"/>
          <w:divBdr>
            <w:top w:val="none" w:sz="0" w:space="0" w:color="auto"/>
            <w:left w:val="none" w:sz="0" w:space="0" w:color="auto"/>
            <w:bottom w:val="none" w:sz="0" w:space="0" w:color="auto"/>
            <w:right w:val="none" w:sz="0" w:space="0" w:color="auto"/>
          </w:divBdr>
        </w:div>
        <w:div w:id="17394545">
          <w:marLeft w:val="0"/>
          <w:marRight w:val="0"/>
          <w:marTop w:val="0"/>
          <w:marBottom w:val="0"/>
          <w:divBdr>
            <w:top w:val="none" w:sz="0" w:space="0" w:color="auto"/>
            <w:left w:val="none" w:sz="0" w:space="0" w:color="auto"/>
            <w:bottom w:val="none" w:sz="0" w:space="0" w:color="auto"/>
            <w:right w:val="none" w:sz="0" w:space="0" w:color="auto"/>
          </w:divBdr>
        </w:div>
        <w:div w:id="17582319">
          <w:marLeft w:val="0"/>
          <w:marRight w:val="0"/>
          <w:marTop w:val="0"/>
          <w:marBottom w:val="0"/>
          <w:divBdr>
            <w:top w:val="none" w:sz="0" w:space="0" w:color="auto"/>
            <w:left w:val="none" w:sz="0" w:space="0" w:color="auto"/>
            <w:bottom w:val="none" w:sz="0" w:space="0" w:color="auto"/>
            <w:right w:val="none" w:sz="0" w:space="0" w:color="auto"/>
          </w:divBdr>
        </w:div>
        <w:div w:id="19475785">
          <w:marLeft w:val="0"/>
          <w:marRight w:val="0"/>
          <w:marTop w:val="0"/>
          <w:marBottom w:val="0"/>
          <w:divBdr>
            <w:top w:val="none" w:sz="0" w:space="0" w:color="auto"/>
            <w:left w:val="none" w:sz="0" w:space="0" w:color="auto"/>
            <w:bottom w:val="none" w:sz="0" w:space="0" w:color="auto"/>
            <w:right w:val="none" w:sz="0" w:space="0" w:color="auto"/>
          </w:divBdr>
        </w:div>
        <w:div w:id="19477511">
          <w:marLeft w:val="0"/>
          <w:marRight w:val="0"/>
          <w:marTop w:val="0"/>
          <w:marBottom w:val="0"/>
          <w:divBdr>
            <w:top w:val="none" w:sz="0" w:space="0" w:color="auto"/>
            <w:left w:val="none" w:sz="0" w:space="0" w:color="auto"/>
            <w:bottom w:val="none" w:sz="0" w:space="0" w:color="auto"/>
            <w:right w:val="none" w:sz="0" w:space="0" w:color="auto"/>
          </w:divBdr>
        </w:div>
        <w:div w:id="20589984">
          <w:marLeft w:val="0"/>
          <w:marRight w:val="0"/>
          <w:marTop w:val="0"/>
          <w:marBottom w:val="0"/>
          <w:divBdr>
            <w:top w:val="none" w:sz="0" w:space="0" w:color="auto"/>
            <w:left w:val="none" w:sz="0" w:space="0" w:color="auto"/>
            <w:bottom w:val="none" w:sz="0" w:space="0" w:color="auto"/>
            <w:right w:val="none" w:sz="0" w:space="0" w:color="auto"/>
          </w:divBdr>
        </w:div>
        <w:div w:id="21244353">
          <w:marLeft w:val="0"/>
          <w:marRight w:val="0"/>
          <w:marTop w:val="0"/>
          <w:marBottom w:val="0"/>
          <w:divBdr>
            <w:top w:val="none" w:sz="0" w:space="0" w:color="auto"/>
            <w:left w:val="none" w:sz="0" w:space="0" w:color="auto"/>
            <w:bottom w:val="none" w:sz="0" w:space="0" w:color="auto"/>
            <w:right w:val="none" w:sz="0" w:space="0" w:color="auto"/>
          </w:divBdr>
        </w:div>
        <w:div w:id="22631670">
          <w:marLeft w:val="0"/>
          <w:marRight w:val="0"/>
          <w:marTop w:val="0"/>
          <w:marBottom w:val="0"/>
          <w:divBdr>
            <w:top w:val="none" w:sz="0" w:space="0" w:color="auto"/>
            <w:left w:val="none" w:sz="0" w:space="0" w:color="auto"/>
            <w:bottom w:val="none" w:sz="0" w:space="0" w:color="auto"/>
            <w:right w:val="none" w:sz="0" w:space="0" w:color="auto"/>
          </w:divBdr>
        </w:div>
        <w:div w:id="22748266">
          <w:marLeft w:val="0"/>
          <w:marRight w:val="0"/>
          <w:marTop w:val="0"/>
          <w:marBottom w:val="0"/>
          <w:divBdr>
            <w:top w:val="none" w:sz="0" w:space="0" w:color="auto"/>
            <w:left w:val="none" w:sz="0" w:space="0" w:color="auto"/>
            <w:bottom w:val="none" w:sz="0" w:space="0" w:color="auto"/>
            <w:right w:val="none" w:sz="0" w:space="0" w:color="auto"/>
          </w:divBdr>
        </w:div>
        <w:div w:id="23095714">
          <w:marLeft w:val="0"/>
          <w:marRight w:val="0"/>
          <w:marTop w:val="0"/>
          <w:marBottom w:val="0"/>
          <w:divBdr>
            <w:top w:val="none" w:sz="0" w:space="0" w:color="auto"/>
            <w:left w:val="none" w:sz="0" w:space="0" w:color="auto"/>
            <w:bottom w:val="none" w:sz="0" w:space="0" w:color="auto"/>
            <w:right w:val="none" w:sz="0" w:space="0" w:color="auto"/>
          </w:divBdr>
        </w:div>
        <w:div w:id="24404725">
          <w:marLeft w:val="0"/>
          <w:marRight w:val="0"/>
          <w:marTop w:val="0"/>
          <w:marBottom w:val="0"/>
          <w:divBdr>
            <w:top w:val="none" w:sz="0" w:space="0" w:color="auto"/>
            <w:left w:val="none" w:sz="0" w:space="0" w:color="auto"/>
            <w:bottom w:val="none" w:sz="0" w:space="0" w:color="auto"/>
            <w:right w:val="none" w:sz="0" w:space="0" w:color="auto"/>
          </w:divBdr>
        </w:div>
        <w:div w:id="28531873">
          <w:marLeft w:val="0"/>
          <w:marRight w:val="0"/>
          <w:marTop w:val="0"/>
          <w:marBottom w:val="0"/>
          <w:divBdr>
            <w:top w:val="none" w:sz="0" w:space="0" w:color="auto"/>
            <w:left w:val="none" w:sz="0" w:space="0" w:color="auto"/>
            <w:bottom w:val="none" w:sz="0" w:space="0" w:color="auto"/>
            <w:right w:val="none" w:sz="0" w:space="0" w:color="auto"/>
          </w:divBdr>
        </w:div>
        <w:div w:id="30613089">
          <w:marLeft w:val="0"/>
          <w:marRight w:val="0"/>
          <w:marTop w:val="0"/>
          <w:marBottom w:val="0"/>
          <w:divBdr>
            <w:top w:val="none" w:sz="0" w:space="0" w:color="auto"/>
            <w:left w:val="none" w:sz="0" w:space="0" w:color="auto"/>
            <w:bottom w:val="none" w:sz="0" w:space="0" w:color="auto"/>
            <w:right w:val="none" w:sz="0" w:space="0" w:color="auto"/>
          </w:divBdr>
        </w:div>
        <w:div w:id="31197395">
          <w:marLeft w:val="0"/>
          <w:marRight w:val="0"/>
          <w:marTop w:val="0"/>
          <w:marBottom w:val="0"/>
          <w:divBdr>
            <w:top w:val="none" w:sz="0" w:space="0" w:color="auto"/>
            <w:left w:val="none" w:sz="0" w:space="0" w:color="auto"/>
            <w:bottom w:val="none" w:sz="0" w:space="0" w:color="auto"/>
            <w:right w:val="none" w:sz="0" w:space="0" w:color="auto"/>
          </w:divBdr>
        </w:div>
        <w:div w:id="31541775">
          <w:marLeft w:val="0"/>
          <w:marRight w:val="0"/>
          <w:marTop w:val="0"/>
          <w:marBottom w:val="0"/>
          <w:divBdr>
            <w:top w:val="none" w:sz="0" w:space="0" w:color="auto"/>
            <w:left w:val="none" w:sz="0" w:space="0" w:color="auto"/>
            <w:bottom w:val="none" w:sz="0" w:space="0" w:color="auto"/>
            <w:right w:val="none" w:sz="0" w:space="0" w:color="auto"/>
          </w:divBdr>
        </w:div>
        <w:div w:id="33388384">
          <w:marLeft w:val="0"/>
          <w:marRight w:val="0"/>
          <w:marTop w:val="0"/>
          <w:marBottom w:val="0"/>
          <w:divBdr>
            <w:top w:val="none" w:sz="0" w:space="0" w:color="auto"/>
            <w:left w:val="none" w:sz="0" w:space="0" w:color="auto"/>
            <w:bottom w:val="none" w:sz="0" w:space="0" w:color="auto"/>
            <w:right w:val="none" w:sz="0" w:space="0" w:color="auto"/>
          </w:divBdr>
        </w:div>
        <w:div w:id="36664313">
          <w:marLeft w:val="0"/>
          <w:marRight w:val="0"/>
          <w:marTop w:val="0"/>
          <w:marBottom w:val="0"/>
          <w:divBdr>
            <w:top w:val="none" w:sz="0" w:space="0" w:color="auto"/>
            <w:left w:val="none" w:sz="0" w:space="0" w:color="auto"/>
            <w:bottom w:val="none" w:sz="0" w:space="0" w:color="auto"/>
            <w:right w:val="none" w:sz="0" w:space="0" w:color="auto"/>
          </w:divBdr>
        </w:div>
        <w:div w:id="37702482">
          <w:marLeft w:val="0"/>
          <w:marRight w:val="0"/>
          <w:marTop w:val="0"/>
          <w:marBottom w:val="0"/>
          <w:divBdr>
            <w:top w:val="none" w:sz="0" w:space="0" w:color="auto"/>
            <w:left w:val="none" w:sz="0" w:space="0" w:color="auto"/>
            <w:bottom w:val="none" w:sz="0" w:space="0" w:color="auto"/>
            <w:right w:val="none" w:sz="0" w:space="0" w:color="auto"/>
          </w:divBdr>
        </w:div>
        <w:div w:id="37776723">
          <w:marLeft w:val="0"/>
          <w:marRight w:val="0"/>
          <w:marTop w:val="0"/>
          <w:marBottom w:val="0"/>
          <w:divBdr>
            <w:top w:val="none" w:sz="0" w:space="0" w:color="auto"/>
            <w:left w:val="none" w:sz="0" w:space="0" w:color="auto"/>
            <w:bottom w:val="none" w:sz="0" w:space="0" w:color="auto"/>
            <w:right w:val="none" w:sz="0" w:space="0" w:color="auto"/>
          </w:divBdr>
        </w:div>
        <w:div w:id="39210333">
          <w:marLeft w:val="0"/>
          <w:marRight w:val="0"/>
          <w:marTop w:val="0"/>
          <w:marBottom w:val="0"/>
          <w:divBdr>
            <w:top w:val="none" w:sz="0" w:space="0" w:color="auto"/>
            <w:left w:val="none" w:sz="0" w:space="0" w:color="auto"/>
            <w:bottom w:val="none" w:sz="0" w:space="0" w:color="auto"/>
            <w:right w:val="none" w:sz="0" w:space="0" w:color="auto"/>
          </w:divBdr>
        </w:div>
        <w:div w:id="40371793">
          <w:marLeft w:val="0"/>
          <w:marRight w:val="0"/>
          <w:marTop w:val="0"/>
          <w:marBottom w:val="0"/>
          <w:divBdr>
            <w:top w:val="none" w:sz="0" w:space="0" w:color="auto"/>
            <w:left w:val="none" w:sz="0" w:space="0" w:color="auto"/>
            <w:bottom w:val="none" w:sz="0" w:space="0" w:color="auto"/>
            <w:right w:val="none" w:sz="0" w:space="0" w:color="auto"/>
          </w:divBdr>
        </w:div>
        <w:div w:id="40567385">
          <w:marLeft w:val="0"/>
          <w:marRight w:val="0"/>
          <w:marTop w:val="0"/>
          <w:marBottom w:val="0"/>
          <w:divBdr>
            <w:top w:val="none" w:sz="0" w:space="0" w:color="auto"/>
            <w:left w:val="none" w:sz="0" w:space="0" w:color="auto"/>
            <w:bottom w:val="none" w:sz="0" w:space="0" w:color="auto"/>
            <w:right w:val="none" w:sz="0" w:space="0" w:color="auto"/>
          </w:divBdr>
        </w:div>
        <w:div w:id="44137218">
          <w:marLeft w:val="0"/>
          <w:marRight w:val="0"/>
          <w:marTop w:val="0"/>
          <w:marBottom w:val="0"/>
          <w:divBdr>
            <w:top w:val="none" w:sz="0" w:space="0" w:color="auto"/>
            <w:left w:val="none" w:sz="0" w:space="0" w:color="auto"/>
            <w:bottom w:val="none" w:sz="0" w:space="0" w:color="auto"/>
            <w:right w:val="none" w:sz="0" w:space="0" w:color="auto"/>
          </w:divBdr>
        </w:div>
        <w:div w:id="46270217">
          <w:marLeft w:val="0"/>
          <w:marRight w:val="0"/>
          <w:marTop w:val="0"/>
          <w:marBottom w:val="0"/>
          <w:divBdr>
            <w:top w:val="none" w:sz="0" w:space="0" w:color="auto"/>
            <w:left w:val="none" w:sz="0" w:space="0" w:color="auto"/>
            <w:bottom w:val="none" w:sz="0" w:space="0" w:color="auto"/>
            <w:right w:val="none" w:sz="0" w:space="0" w:color="auto"/>
          </w:divBdr>
        </w:div>
        <w:div w:id="48379980">
          <w:marLeft w:val="0"/>
          <w:marRight w:val="0"/>
          <w:marTop w:val="0"/>
          <w:marBottom w:val="0"/>
          <w:divBdr>
            <w:top w:val="none" w:sz="0" w:space="0" w:color="auto"/>
            <w:left w:val="none" w:sz="0" w:space="0" w:color="auto"/>
            <w:bottom w:val="none" w:sz="0" w:space="0" w:color="auto"/>
            <w:right w:val="none" w:sz="0" w:space="0" w:color="auto"/>
          </w:divBdr>
        </w:div>
        <w:div w:id="49772189">
          <w:marLeft w:val="0"/>
          <w:marRight w:val="0"/>
          <w:marTop w:val="0"/>
          <w:marBottom w:val="0"/>
          <w:divBdr>
            <w:top w:val="none" w:sz="0" w:space="0" w:color="auto"/>
            <w:left w:val="none" w:sz="0" w:space="0" w:color="auto"/>
            <w:bottom w:val="none" w:sz="0" w:space="0" w:color="auto"/>
            <w:right w:val="none" w:sz="0" w:space="0" w:color="auto"/>
          </w:divBdr>
        </w:div>
        <w:div w:id="50278856">
          <w:marLeft w:val="0"/>
          <w:marRight w:val="0"/>
          <w:marTop w:val="0"/>
          <w:marBottom w:val="0"/>
          <w:divBdr>
            <w:top w:val="none" w:sz="0" w:space="0" w:color="auto"/>
            <w:left w:val="none" w:sz="0" w:space="0" w:color="auto"/>
            <w:bottom w:val="none" w:sz="0" w:space="0" w:color="auto"/>
            <w:right w:val="none" w:sz="0" w:space="0" w:color="auto"/>
          </w:divBdr>
        </w:div>
        <w:div w:id="50858594">
          <w:marLeft w:val="0"/>
          <w:marRight w:val="0"/>
          <w:marTop w:val="0"/>
          <w:marBottom w:val="0"/>
          <w:divBdr>
            <w:top w:val="none" w:sz="0" w:space="0" w:color="auto"/>
            <w:left w:val="none" w:sz="0" w:space="0" w:color="auto"/>
            <w:bottom w:val="none" w:sz="0" w:space="0" w:color="auto"/>
            <w:right w:val="none" w:sz="0" w:space="0" w:color="auto"/>
          </w:divBdr>
        </w:div>
        <w:div w:id="53167102">
          <w:marLeft w:val="0"/>
          <w:marRight w:val="0"/>
          <w:marTop w:val="0"/>
          <w:marBottom w:val="0"/>
          <w:divBdr>
            <w:top w:val="none" w:sz="0" w:space="0" w:color="auto"/>
            <w:left w:val="none" w:sz="0" w:space="0" w:color="auto"/>
            <w:bottom w:val="none" w:sz="0" w:space="0" w:color="auto"/>
            <w:right w:val="none" w:sz="0" w:space="0" w:color="auto"/>
          </w:divBdr>
        </w:div>
        <w:div w:id="53967037">
          <w:marLeft w:val="0"/>
          <w:marRight w:val="0"/>
          <w:marTop w:val="0"/>
          <w:marBottom w:val="0"/>
          <w:divBdr>
            <w:top w:val="none" w:sz="0" w:space="0" w:color="auto"/>
            <w:left w:val="none" w:sz="0" w:space="0" w:color="auto"/>
            <w:bottom w:val="none" w:sz="0" w:space="0" w:color="auto"/>
            <w:right w:val="none" w:sz="0" w:space="0" w:color="auto"/>
          </w:divBdr>
        </w:div>
        <w:div w:id="56131553">
          <w:marLeft w:val="0"/>
          <w:marRight w:val="0"/>
          <w:marTop w:val="0"/>
          <w:marBottom w:val="0"/>
          <w:divBdr>
            <w:top w:val="none" w:sz="0" w:space="0" w:color="auto"/>
            <w:left w:val="none" w:sz="0" w:space="0" w:color="auto"/>
            <w:bottom w:val="none" w:sz="0" w:space="0" w:color="auto"/>
            <w:right w:val="none" w:sz="0" w:space="0" w:color="auto"/>
          </w:divBdr>
        </w:div>
        <w:div w:id="57870248">
          <w:marLeft w:val="0"/>
          <w:marRight w:val="0"/>
          <w:marTop w:val="0"/>
          <w:marBottom w:val="0"/>
          <w:divBdr>
            <w:top w:val="none" w:sz="0" w:space="0" w:color="auto"/>
            <w:left w:val="none" w:sz="0" w:space="0" w:color="auto"/>
            <w:bottom w:val="none" w:sz="0" w:space="0" w:color="auto"/>
            <w:right w:val="none" w:sz="0" w:space="0" w:color="auto"/>
          </w:divBdr>
        </w:div>
        <w:div w:id="58527706">
          <w:marLeft w:val="0"/>
          <w:marRight w:val="0"/>
          <w:marTop w:val="0"/>
          <w:marBottom w:val="0"/>
          <w:divBdr>
            <w:top w:val="none" w:sz="0" w:space="0" w:color="auto"/>
            <w:left w:val="none" w:sz="0" w:space="0" w:color="auto"/>
            <w:bottom w:val="none" w:sz="0" w:space="0" w:color="auto"/>
            <w:right w:val="none" w:sz="0" w:space="0" w:color="auto"/>
          </w:divBdr>
        </w:div>
        <w:div w:id="59332036">
          <w:marLeft w:val="0"/>
          <w:marRight w:val="0"/>
          <w:marTop w:val="0"/>
          <w:marBottom w:val="0"/>
          <w:divBdr>
            <w:top w:val="none" w:sz="0" w:space="0" w:color="auto"/>
            <w:left w:val="none" w:sz="0" w:space="0" w:color="auto"/>
            <w:bottom w:val="none" w:sz="0" w:space="0" w:color="auto"/>
            <w:right w:val="none" w:sz="0" w:space="0" w:color="auto"/>
          </w:divBdr>
        </w:div>
        <w:div w:id="59637807">
          <w:marLeft w:val="0"/>
          <w:marRight w:val="0"/>
          <w:marTop w:val="0"/>
          <w:marBottom w:val="0"/>
          <w:divBdr>
            <w:top w:val="none" w:sz="0" w:space="0" w:color="auto"/>
            <w:left w:val="none" w:sz="0" w:space="0" w:color="auto"/>
            <w:bottom w:val="none" w:sz="0" w:space="0" w:color="auto"/>
            <w:right w:val="none" w:sz="0" w:space="0" w:color="auto"/>
          </w:divBdr>
        </w:div>
        <w:div w:id="62027645">
          <w:marLeft w:val="0"/>
          <w:marRight w:val="0"/>
          <w:marTop w:val="0"/>
          <w:marBottom w:val="0"/>
          <w:divBdr>
            <w:top w:val="none" w:sz="0" w:space="0" w:color="auto"/>
            <w:left w:val="none" w:sz="0" w:space="0" w:color="auto"/>
            <w:bottom w:val="none" w:sz="0" w:space="0" w:color="auto"/>
            <w:right w:val="none" w:sz="0" w:space="0" w:color="auto"/>
          </w:divBdr>
        </w:div>
        <w:div w:id="62148519">
          <w:marLeft w:val="0"/>
          <w:marRight w:val="0"/>
          <w:marTop w:val="0"/>
          <w:marBottom w:val="0"/>
          <w:divBdr>
            <w:top w:val="none" w:sz="0" w:space="0" w:color="auto"/>
            <w:left w:val="none" w:sz="0" w:space="0" w:color="auto"/>
            <w:bottom w:val="none" w:sz="0" w:space="0" w:color="auto"/>
            <w:right w:val="none" w:sz="0" w:space="0" w:color="auto"/>
          </w:divBdr>
        </w:div>
        <w:div w:id="68774330">
          <w:marLeft w:val="0"/>
          <w:marRight w:val="0"/>
          <w:marTop w:val="0"/>
          <w:marBottom w:val="0"/>
          <w:divBdr>
            <w:top w:val="none" w:sz="0" w:space="0" w:color="auto"/>
            <w:left w:val="none" w:sz="0" w:space="0" w:color="auto"/>
            <w:bottom w:val="none" w:sz="0" w:space="0" w:color="auto"/>
            <w:right w:val="none" w:sz="0" w:space="0" w:color="auto"/>
          </w:divBdr>
          <w:divsChild>
            <w:div w:id="834537776">
              <w:marLeft w:val="-75"/>
              <w:marRight w:val="0"/>
              <w:marTop w:val="30"/>
              <w:marBottom w:val="30"/>
              <w:divBdr>
                <w:top w:val="none" w:sz="0" w:space="0" w:color="auto"/>
                <w:left w:val="none" w:sz="0" w:space="0" w:color="auto"/>
                <w:bottom w:val="none" w:sz="0" w:space="0" w:color="auto"/>
                <w:right w:val="none" w:sz="0" w:space="0" w:color="auto"/>
              </w:divBdr>
              <w:divsChild>
                <w:div w:id="57755425">
                  <w:marLeft w:val="0"/>
                  <w:marRight w:val="0"/>
                  <w:marTop w:val="0"/>
                  <w:marBottom w:val="0"/>
                  <w:divBdr>
                    <w:top w:val="none" w:sz="0" w:space="0" w:color="auto"/>
                    <w:left w:val="none" w:sz="0" w:space="0" w:color="auto"/>
                    <w:bottom w:val="none" w:sz="0" w:space="0" w:color="auto"/>
                    <w:right w:val="none" w:sz="0" w:space="0" w:color="auto"/>
                  </w:divBdr>
                  <w:divsChild>
                    <w:div w:id="389497771">
                      <w:marLeft w:val="0"/>
                      <w:marRight w:val="0"/>
                      <w:marTop w:val="0"/>
                      <w:marBottom w:val="0"/>
                      <w:divBdr>
                        <w:top w:val="none" w:sz="0" w:space="0" w:color="auto"/>
                        <w:left w:val="none" w:sz="0" w:space="0" w:color="auto"/>
                        <w:bottom w:val="none" w:sz="0" w:space="0" w:color="auto"/>
                        <w:right w:val="none" w:sz="0" w:space="0" w:color="auto"/>
                      </w:divBdr>
                    </w:div>
                  </w:divsChild>
                </w:div>
                <w:div w:id="205531418">
                  <w:marLeft w:val="0"/>
                  <w:marRight w:val="0"/>
                  <w:marTop w:val="0"/>
                  <w:marBottom w:val="0"/>
                  <w:divBdr>
                    <w:top w:val="none" w:sz="0" w:space="0" w:color="auto"/>
                    <w:left w:val="none" w:sz="0" w:space="0" w:color="auto"/>
                    <w:bottom w:val="none" w:sz="0" w:space="0" w:color="auto"/>
                    <w:right w:val="none" w:sz="0" w:space="0" w:color="auto"/>
                  </w:divBdr>
                  <w:divsChild>
                    <w:div w:id="751463115">
                      <w:marLeft w:val="0"/>
                      <w:marRight w:val="0"/>
                      <w:marTop w:val="0"/>
                      <w:marBottom w:val="0"/>
                      <w:divBdr>
                        <w:top w:val="none" w:sz="0" w:space="0" w:color="auto"/>
                        <w:left w:val="none" w:sz="0" w:space="0" w:color="auto"/>
                        <w:bottom w:val="none" w:sz="0" w:space="0" w:color="auto"/>
                        <w:right w:val="none" w:sz="0" w:space="0" w:color="auto"/>
                      </w:divBdr>
                    </w:div>
                  </w:divsChild>
                </w:div>
                <w:div w:id="236743667">
                  <w:marLeft w:val="0"/>
                  <w:marRight w:val="0"/>
                  <w:marTop w:val="0"/>
                  <w:marBottom w:val="0"/>
                  <w:divBdr>
                    <w:top w:val="none" w:sz="0" w:space="0" w:color="auto"/>
                    <w:left w:val="none" w:sz="0" w:space="0" w:color="auto"/>
                    <w:bottom w:val="none" w:sz="0" w:space="0" w:color="auto"/>
                    <w:right w:val="none" w:sz="0" w:space="0" w:color="auto"/>
                  </w:divBdr>
                  <w:divsChild>
                    <w:div w:id="1906139463">
                      <w:marLeft w:val="0"/>
                      <w:marRight w:val="0"/>
                      <w:marTop w:val="0"/>
                      <w:marBottom w:val="0"/>
                      <w:divBdr>
                        <w:top w:val="none" w:sz="0" w:space="0" w:color="auto"/>
                        <w:left w:val="none" w:sz="0" w:space="0" w:color="auto"/>
                        <w:bottom w:val="none" w:sz="0" w:space="0" w:color="auto"/>
                        <w:right w:val="none" w:sz="0" w:space="0" w:color="auto"/>
                      </w:divBdr>
                    </w:div>
                  </w:divsChild>
                </w:div>
                <w:div w:id="279339311">
                  <w:marLeft w:val="0"/>
                  <w:marRight w:val="0"/>
                  <w:marTop w:val="0"/>
                  <w:marBottom w:val="0"/>
                  <w:divBdr>
                    <w:top w:val="none" w:sz="0" w:space="0" w:color="auto"/>
                    <w:left w:val="none" w:sz="0" w:space="0" w:color="auto"/>
                    <w:bottom w:val="none" w:sz="0" w:space="0" w:color="auto"/>
                    <w:right w:val="none" w:sz="0" w:space="0" w:color="auto"/>
                  </w:divBdr>
                  <w:divsChild>
                    <w:div w:id="1239098347">
                      <w:marLeft w:val="0"/>
                      <w:marRight w:val="0"/>
                      <w:marTop w:val="0"/>
                      <w:marBottom w:val="0"/>
                      <w:divBdr>
                        <w:top w:val="none" w:sz="0" w:space="0" w:color="auto"/>
                        <w:left w:val="none" w:sz="0" w:space="0" w:color="auto"/>
                        <w:bottom w:val="none" w:sz="0" w:space="0" w:color="auto"/>
                        <w:right w:val="none" w:sz="0" w:space="0" w:color="auto"/>
                      </w:divBdr>
                    </w:div>
                  </w:divsChild>
                </w:div>
                <w:div w:id="304356389">
                  <w:marLeft w:val="0"/>
                  <w:marRight w:val="0"/>
                  <w:marTop w:val="0"/>
                  <w:marBottom w:val="0"/>
                  <w:divBdr>
                    <w:top w:val="none" w:sz="0" w:space="0" w:color="auto"/>
                    <w:left w:val="none" w:sz="0" w:space="0" w:color="auto"/>
                    <w:bottom w:val="none" w:sz="0" w:space="0" w:color="auto"/>
                    <w:right w:val="none" w:sz="0" w:space="0" w:color="auto"/>
                  </w:divBdr>
                  <w:divsChild>
                    <w:div w:id="1799689918">
                      <w:marLeft w:val="0"/>
                      <w:marRight w:val="0"/>
                      <w:marTop w:val="0"/>
                      <w:marBottom w:val="0"/>
                      <w:divBdr>
                        <w:top w:val="none" w:sz="0" w:space="0" w:color="auto"/>
                        <w:left w:val="none" w:sz="0" w:space="0" w:color="auto"/>
                        <w:bottom w:val="none" w:sz="0" w:space="0" w:color="auto"/>
                        <w:right w:val="none" w:sz="0" w:space="0" w:color="auto"/>
                      </w:divBdr>
                    </w:div>
                  </w:divsChild>
                </w:div>
                <w:div w:id="459614694">
                  <w:marLeft w:val="0"/>
                  <w:marRight w:val="0"/>
                  <w:marTop w:val="0"/>
                  <w:marBottom w:val="0"/>
                  <w:divBdr>
                    <w:top w:val="none" w:sz="0" w:space="0" w:color="auto"/>
                    <w:left w:val="none" w:sz="0" w:space="0" w:color="auto"/>
                    <w:bottom w:val="none" w:sz="0" w:space="0" w:color="auto"/>
                    <w:right w:val="none" w:sz="0" w:space="0" w:color="auto"/>
                  </w:divBdr>
                  <w:divsChild>
                    <w:div w:id="1505515540">
                      <w:marLeft w:val="0"/>
                      <w:marRight w:val="0"/>
                      <w:marTop w:val="0"/>
                      <w:marBottom w:val="0"/>
                      <w:divBdr>
                        <w:top w:val="none" w:sz="0" w:space="0" w:color="auto"/>
                        <w:left w:val="none" w:sz="0" w:space="0" w:color="auto"/>
                        <w:bottom w:val="none" w:sz="0" w:space="0" w:color="auto"/>
                        <w:right w:val="none" w:sz="0" w:space="0" w:color="auto"/>
                      </w:divBdr>
                    </w:div>
                  </w:divsChild>
                </w:div>
                <w:div w:id="463356192">
                  <w:marLeft w:val="0"/>
                  <w:marRight w:val="0"/>
                  <w:marTop w:val="0"/>
                  <w:marBottom w:val="0"/>
                  <w:divBdr>
                    <w:top w:val="none" w:sz="0" w:space="0" w:color="auto"/>
                    <w:left w:val="none" w:sz="0" w:space="0" w:color="auto"/>
                    <w:bottom w:val="none" w:sz="0" w:space="0" w:color="auto"/>
                    <w:right w:val="none" w:sz="0" w:space="0" w:color="auto"/>
                  </w:divBdr>
                  <w:divsChild>
                    <w:div w:id="1949238316">
                      <w:marLeft w:val="0"/>
                      <w:marRight w:val="0"/>
                      <w:marTop w:val="0"/>
                      <w:marBottom w:val="0"/>
                      <w:divBdr>
                        <w:top w:val="none" w:sz="0" w:space="0" w:color="auto"/>
                        <w:left w:val="none" w:sz="0" w:space="0" w:color="auto"/>
                        <w:bottom w:val="none" w:sz="0" w:space="0" w:color="auto"/>
                        <w:right w:val="none" w:sz="0" w:space="0" w:color="auto"/>
                      </w:divBdr>
                    </w:div>
                  </w:divsChild>
                </w:div>
                <w:div w:id="575210421">
                  <w:marLeft w:val="0"/>
                  <w:marRight w:val="0"/>
                  <w:marTop w:val="0"/>
                  <w:marBottom w:val="0"/>
                  <w:divBdr>
                    <w:top w:val="none" w:sz="0" w:space="0" w:color="auto"/>
                    <w:left w:val="none" w:sz="0" w:space="0" w:color="auto"/>
                    <w:bottom w:val="none" w:sz="0" w:space="0" w:color="auto"/>
                    <w:right w:val="none" w:sz="0" w:space="0" w:color="auto"/>
                  </w:divBdr>
                  <w:divsChild>
                    <w:div w:id="1925606545">
                      <w:marLeft w:val="0"/>
                      <w:marRight w:val="0"/>
                      <w:marTop w:val="0"/>
                      <w:marBottom w:val="0"/>
                      <w:divBdr>
                        <w:top w:val="none" w:sz="0" w:space="0" w:color="auto"/>
                        <w:left w:val="none" w:sz="0" w:space="0" w:color="auto"/>
                        <w:bottom w:val="none" w:sz="0" w:space="0" w:color="auto"/>
                        <w:right w:val="none" w:sz="0" w:space="0" w:color="auto"/>
                      </w:divBdr>
                    </w:div>
                  </w:divsChild>
                </w:div>
                <w:div w:id="647979976">
                  <w:marLeft w:val="0"/>
                  <w:marRight w:val="0"/>
                  <w:marTop w:val="0"/>
                  <w:marBottom w:val="0"/>
                  <w:divBdr>
                    <w:top w:val="none" w:sz="0" w:space="0" w:color="auto"/>
                    <w:left w:val="none" w:sz="0" w:space="0" w:color="auto"/>
                    <w:bottom w:val="none" w:sz="0" w:space="0" w:color="auto"/>
                    <w:right w:val="none" w:sz="0" w:space="0" w:color="auto"/>
                  </w:divBdr>
                  <w:divsChild>
                    <w:div w:id="499541700">
                      <w:marLeft w:val="0"/>
                      <w:marRight w:val="0"/>
                      <w:marTop w:val="0"/>
                      <w:marBottom w:val="0"/>
                      <w:divBdr>
                        <w:top w:val="none" w:sz="0" w:space="0" w:color="auto"/>
                        <w:left w:val="none" w:sz="0" w:space="0" w:color="auto"/>
                        <w:bottom w:val="none" w:sz="0" w:space="0" w:color="auto"/>
                        <w:right w:val="none" w:sz="0" w:space="0" w:color="auto"/>
                      </w:divBdr>
                    </w:div>
                  </w:divsChild>
                </w:div>
                <w:div w:id="708650527">
                  <w:marLeft w:val="0"/>
                  <w:marRight w:val="0"/>
                  <w:marTop w:val="0"/>
                  <w:marBottom w:val="0"/>
                  <w:divBdr>
                    <w:top w:val="none" w:sz="0" w:space="0" w:color="auto"/>
                    <w:left w:val="none" w:sz="0" w:space="0" w:color="auto"/>
                    <w:bottom w:val="none" w:sz="0" w:space="0" w:color="auto"/>
                    <w:right w:val="none" w:sz="0" w:space="0" w:color="auto"/>
                  </w:divBdr>
                  <w:divsChild>
                    <w:div w:id="1719737610">
                      <w:marLeft w:val="0"/>
                      <w:marRight w:val="0"/>
                      <w:marTop w:val="0"/>
                      <w:marBottom w:val="0"/>
                      <w:divBdr>
                        <w:top w:val="none" w:sz="0" w:space="0" w:color="auto"/>
                        <w:left w:val="none" w:sz="0" w:space="0" w:color="auto"/>
                        <w:bottom w:val="none" w:sz="0" w:space="0" w:color="auto"/>
                        <w:right w:val="none" w:sz="0" w:space="0" w:color="auto"/>
                      </w:divBdr>
                    </w:div>
                  </w:divsChild>
                </w:div>
                <w:div w:id="745807556">
                  <w:marLeft w:val="0"/>
                  <w:marRight w:val="0"/>
                  <w:marTop w:val="0"/>
                  <w:marBottom w:val="0"/>
                  <w:divBdr>
                    <w:top w:val="none" w:sz="0" w:space="0" w:color="auto"/>
                    <w:left w:val="none" w:sz="0" w:space="0" w:color="auto"/>
                    <w:bottom w:val="none" w:sz="0" w:space="0" w:color="auto"/>
                    <w:right w:val="none" w:sz="0" w:space="0" w:color="auto"/>
                  </w:divBdr>
                  <w:divsChild>
                    <w:div w:id="480998182">
                      <w:marLeft w:val="0"/>
                      <w:marRight w:val="0"/>
                      <w:marTop w:val="0"/>
                      <w:marBottom w:val="0"/>
                      <w:divBdr>
                        <w:top w:val="none" w:sz="0" w:space="0" w:color="auto"/>
                        <w:left w:val="none" w:sz="0" w:space="0" w:color="auto"/>
                        <w:bottom w:val="none" w:sz="0" w:space="0" w:color="auto"/>
                        <w:right w:val="none" w:sz="0" w:space="0" w:color="auto"/>
                      </w:divBdr>
                    </w:div>
                  </w:divsChild>
                </w:div>
                <w:div w:id="772897641">
                  <w:marLeft w:val="0"/>
                  <w:marRight w:val="0"/>
                  <w:marTop w:val="0"/>
                  <w:marBottom w:val="0"/>
                  <w:divBdr>
                    <w:top w:val="none" w:sz="0" w:space="0" w:color="auto"/>
                    <w:left w:val="none" w:sz="0" w:space="0" w:color="auto"/>
                    <w:bottom w:val="none" w:sz="0" w:space="0" w:color="auto"/>
                    <w:right w:val="none" w:sz="0" w:space="0" w:color="auto"/>
                  </w:divBdr>
                  <w:divsChild>
                    <w:div w:id="1059129586">
                      <w:marLeft w:val="0"/>
                      <w:marRight w:val="0"/>
                      <w:marTop w:val="0"/>
                      <w:marBottom w:val="0"/>
                      <w:divBdr>
                        <w:top w:val="none" w:sz="0" w:space="0" w:color="auto"/>
                        <w:left w:val="none" w:sz="0" w:space="0" w:color="auto"/>
                        <w:bottom w:val="none" w:sz="0" w:space="0" w:color="auto"/>
                        <w:right w:val="none" w:sz="0" w:space="0" w:color="auto"/>
                      </w:divBdr>
                    </w:div>
                  </w:divsChild>
                </w:div>
                <w:div w:id="807548764">
                  <w:marLeft w:val="0"/>
                  <w:marRight w:val="0"/>
                  <w:marTop w:val="0"/>
                  <w:marBottom w:val="0"/>
                  <w:divBdr>
                    <w:top w:val="none" w:sz="0" w:space="0" w:color="auto"/>
                    <w:left w:val="none" w:sz="0" w:space="0" w:color="auto"/>
                    <w:bottom w:val="none" w:sz="0" w:space="0" w:color="auto"/>
                    <w:right w:val="none" w:sz="0" w:space="0" w:color="auto"/>
                  </w:divBdr>
                  <w:divsChild>
                    <w:div w:id="1975137695">
                      <w:marLeft w:val="0"/>
                      <w:marRight w:val="0"/>
                      <w:marTop w:val="0"/>
                      <w:marBottom w:val="0"/>
                      <w:divBdr>
                        <w:top w:val="none" w:sz="0" w:space="0" w:color="auto"/>
                        <w:left w:val="none" w:sz="0" w:space="0" w:color="auto"/>
                        <w:bottom w:val="none" w:sz="0" w:space="0" w:color="auto"/>
                        <w:right w:val="none" w:sz="0" w:space="0" w:color="auto"/>
                      </w:divBdr>
                    </w:div>
                  </w:divsChild>
                </w:div>
                <w:div w:id="835878777">
                  <w:marLeft w:val="0"/>
                  <w:marRight w:val="0"/>
                  <w:marTop w:val="0"/>
                  <w:marBottom w:val="0"/>
                  <w:divBdr>
                    <w:top w:val="none" w:sz="0" w:space="0" w:color="auto"/>
                    <w:left w:val="none" w:sz="0" w:space="0" w:color="auto"/>
                    <w:bottom w:val="none" w:sz="0" w:space="0" w:color="auto"/>
                    <w:right w:val="none" w:sz="0" w:space="0" w:color="auto"/>
                  </w:divBdr>
                  <w:divsChild>
                    <w:div w:id="365377004">
                      <w:marLeft w:val="0"/>
                      <w:marRight w:val="0"/>
                      <w:marTop w:val="0"/>
                      <w:marBottom w:val="0"/>
                      <w:divBdr>
                        <w:top w:val="none" w:sz="0" w:space="0" w:color="auto"/>
                        <w:left w:val="none" w:sz="0" w:space="0" w:color="auto"/>
                        <w:bottom w:val="none" w:sz="0" w:space="0" w:color="auto"/>
                        <w:right w:val="none" w:sz="0" w:space="0" w:color="auto"/>
                      </w:divBdr>
                    </w:div>
                  </w:divsChild>
                </w:div>
                <w:div w:id="992879689">
                  <w:marLeft w:val="0"/>
                  <w:marRight w:val="0"/>
                  <w:marTop w:val="0"/>
                  <w:marBottom w:val="0"/>
                  <w:divBdr>
                    <w:top w:val="none" w:sz="0" w:space="0" w:color="auto"/>
                    <w:left w:val="none" w:sz="0" w:space="0" w:color="auto"/>
                    <w:bottom w:val="none" w:sz="0" w:space="0" w:color="auto"/>
                    <w:right w:val="none" w:sz="0" w:space="0" w:color="auto"/>
                  </w:divBdr>
                  <w:divsChild>
                    <w:div w:id="267587286">
                      <w:marLeft w:val="0"/>
                      <w:marRight w:val="0"/>
                      <w:marTop w:val="0"/>
                      <w:marBottom w:val="0"/>
                      <w:divBdr>
                        <w:top w:val="none" w:sz="0" w:space="0" w:color="auto"/>
                        <w:left w:val="none" w:sz="0" w:space="0" w:color="auto"/>
                        <w:bottom w:val="none" w:sz="0" w:space="0" w:color="auto"/>
                        <w:right w:val="none" w:sz="0" w:space="0" w:color="auto"/>
                      </w:divBdr>
                    </w:div>
                  </w:divsChild>
                </w:div>
                <w:div w:id="1035034887">
                  <w:marLeft w:val="0"/>
                  <w:marRight w:val="0"/>
                  <w:marTop w:val="0"/>
                  <w:marBottom w:val="0"/>
                  <w:divBdr>
                    <w:top w:val="none" w:sz="0" w:space="0" w:color="auto"/>
                    <w:left w:val="none" w:sz="0" w:space="0" w:color="auto"/>
                    <w:bottom w:val="none" w:sz="0" w:space="0" w:color="auto"/>
                    <w:right w:val="none" w:sz="0" w:space="0" w:color="auto"/>
                  </w:divBdr>
                  <w:divsChild>
                    <w:div w:id="581721540">
                      <w:marLeft w:val="0"/>
                      <w:marRight w:val="0"/>
                      <w:marTop w:val="0"/>
                      <w:marBottom w:val="0"/>
                      <w:divBdr>
                        <w:top w:val="none" w:sz="0" w:space="0" w:color="auto"/>
                        <w:left w:val="none" w:sz="0" w:space="0" w:color="auto"/>
                        <w:bottom w:val="none" w:sz="0" w:space="0" w:color="auto"/>
                        <w:right w:val="none" w:sz="0" w:space="0" w:color="auto"/>
                      </w:divBdr>
                    </w:div>
                  </w:divsChild>
                </w:div>
                <w:div w:id="1097602719">
                  <w:marLeft w:val="0"/>
                  <w:marRight w:val="0"/>
                  <w:marTop w:val="0"/>
                  <w:marBottom w:val="0"/>
                  <w:divBdr>
                    <w:top w:val="none" w:sz="0" w:space="0" w:color="auto"/>
                    <w:left w:val="none" w:sz="0" w:space="0" w:color="auto"/>
                    <w:bottom w:val="none" w:sz="0" w:space="0" w:color="auto"/>
                    <w:right w:val="none" w:sz="0" w:space="0" w:color="auto"/>
                  </w:divBdr>
                  <w:divsChild>
                    <w:div w:id="477959968">
                      <w:marLeft w:val="0"/>
                      <w:marRight w:val="0"/>
                      <w:marTop w:val="0"/>
                      <w:marBottom w:val="0"/>
                      <w:divBdr>
                        <w:top w:val="none" w:sz="0" w:space="0" w:color="auto"/>
                        <w:left w:val="none" w:sz="0" w:space="0" w:color="auto"/>
                        <w:bottom w:val="none" w:sz="0" w:space="0" w:color="auto"/>
                        <w:right w:val="none" w:sz="0" w:space="0" w:color="auto"/>
                      </w:divBdr>
                    </w:div>
                  </w:divsChild>
                </w:div>
                <w:div w:id="1099326044">
                  <w:marLeft w:val="0"/>
                  <w:marRight w:val="0"/>
                  <w:marTop w:val="0"/>
                  <w:marBottom w:val="0"/>
                  <w:divBdr>
                    <w:top w:val="none" w:sz="0" w:space="0" w:color="auto"/>
                    <w:left w:val="none" w:sz="0" w:space="0" w:color="auto"/>
                    <w:bottom w:val="none" w:sz="0" w:space="0" w:color="auto"/>
                    <w:right w:val="none" w:sz="0" w:space="0" w:color="auto"/>
                  </w:divBdr>
                  <w:divsChild>
                    <w:div w:id="1688435522">
                      <w:marLeft w:val="0"/>
                      <w:marRight w:val="0"/>
                      <w:marTop w:val="0"/>
                      <w:marBottom w:val="0"/>
                      <w:divBdr>
                        <w:top w:val="none" w:sz="0" w:space="0" w:color="auto"/>
                        <w:left w:val="none" w:sz="0" w:space="0" w:color="auto"/>
                        <w:bottom w:val="none" w:sz="0" w:space="0" w:color="auto"/>
                        <w:right w:val="none" w:sz="0" w:space="0" w:color="auto"/>
                      </w:divBdr>
                    </w:div>
                  </w:divsChild>
                </w:div>
                <w:div w:id="1163161475">
                  <w:marLeft w:val="0"/>
                  <w:marRight w:val="0"/>
                  <w:marTop w:val="0"/>
                  <w:marBottom w:val="0"/>
                  <w:divBdr>
                    <w:top w:val="none" w:sz="0" w:space="0" w:color="auto"/>
                    <w:left w:val="none" w:sz="0" w:space="0" w:color="auto"/>
                    <w:bottom w:val="none" w:sz="0" w:space="0" w:color="auto"/>
                    <w:right w:val="none" w:sz="0" w:space="0" w:color="auto"/>
                  </w:divBdr>
                  <w:divsChild>
                    <w:div w:id="108748108">
                      <w:marLeft w:val="0"/>
                      <w:marRight w:val="0"/>
                      <w:marTop w:val="0"/>
                      <w:marBottom w:val="0"/>
                      <w:divBdr>
                        <w:top w:val="none" w:sz="0" w:space="0" w:color="auto"/>
                        <w:left w:val="none" w:sz="0" w:space="0" w:color="auto"/>
                        <w:bottom w:val="none" w:sz="0" w:space="0" w:color="auto"/>
                        <w:right w:val="none" w:sz="0" w:space="0" w:color="auto"/>
                      </w:divBdr>
                    </w:div>
                  </w:divsChild>
                </w:div>
                <w:div w:id="1167477915">
                  <w:marLeft w:val="0"/>
                  <w:marRight w:val="0"/>
                  <w:marTop w:val="0"/>
                  <w:marBottom w:val="0"/>
                  <w:divBdr>
                    <w:top w:val="none" w:sz="0" w:space="0" w:color="auto"/>
                    <w:left w:val="none" w:sz="0" w:space="0" w:color="auto"/>
                    <w:bottom w:val="none" w:sz="0" w:space="0" w:color="auto"/>
                    <w:right w:val="none" w:sz="0" w:space="0" w:color="auto"/>
                  </w:divBdr>
                  <w:divsChild>
                    <w:div w:id="1381858368">
                      <w:marLeft w:val="0"/>
                      <w:marRight w:val="0"/>
                      <w:marTop w:val="0"/>
                      <w:marBottom w:val="0"/>
                      <w:divBdr>
                        <w:top w:val="none" w:sz="0" w:space="0" w:color="auto"/>
                        <w:left w:val="none" w:sz="0" w:space="0" w:color="auto"/>
                        <w:bottom w:val="none" w:sz="0" w:space="0" w:color="auto"/>
                        <w:right w:val="none" w:sz="0" w:space="0" w:color="auto"/>
                      </w:divBdr>
                    </w:div>
                  </w:divsChild>
                </w:div>
                <w:div w:id="1188370225">
                  <w:marLeft w:val="0"/>
                  <w:marRight w:val="0"/>
                  <w:marTop w:val="0"/>
                  <w:marBottom w:val="0"/>
                  <w:divBdr>
                    <w:top w:val="none" w:sz="0" w:space="0" w:color="auto"/>
                    <w:left w:val="none" w:sz="0" w:space="0" w:color="auto"/>
                    <w:bottom w:val="none" w:sz="0" w:space="0" w:color="auto"/>
                    <w:right w:val="none" w:sz="0" w:space="0" w:color="auto"/>
                  </w:divBdr>
                  <w:divsChild>
                    <w:div w:id="1532106929">
                      <w:marLeft w:val="0"/>
                      <w:marRight w:val="0"/>
                      <w:marTop w:val="0"/>
                      <w:marBottom w:val="0"/>
                      <w:divBdr>
                        <w:top w:val="none" w:sz="0" w:space="0" w:color="auto"/>
                        <w:left w:val="none" w:sz="0" w:space="0" w:color="auto"/>
                        <w:bottom w:val="none" w:sz="0" w:space="0" w:color="auto"/>
                        <w:right w:val="none" w:sz="0" w:space="0" w:color="auto"/>
                      </w:divBdr>
                    </w:div>
                  </w:divsChild>
                </w:div>
                <w:div w:id="1210074907">
                  <w:marLeft w:val="0"/>
                  <w:marRight w:val="0"/>
                  <w:marTop w:val="0"/>
                  <w:marBottom w:val="0"/>
                  <w:divBdr>
                    <w:top w:val="none" w:sz="0" w:space="0" w:color="auto"/>
                    <w:left w:val="none" w:sz="0" w:space="0" w:color="auto"/>
                    <w:bottom w:val="none" w:sz="0" w:space="0" w:color="auto"/>
                    <w:right w:val="none" w:sz="0" w:space="0" w:color="auto"/>
                  </w:divBdr>
                  <w:divsChild>
                    <w:div w:id="945423282">
                      <w:marLeft w:val="0"/>
                      <w:marRight w:val="0"/>
                      <w:marTop w:val="0"/>
                      <w:marBottom w:val="0"/>
                      <w:divBdr>
                        <w:top w:val="none" w:sz="0" w:space="0" w:color="auto"/>
                        <w:left w:val="none" w:sz="0" w:space="0" w:color="auto"/>
                        <w:bottom w:val="none" w:sz="0" w:space="0" w:color="auto"/>
                        <w:right w:val="none" w:sz="0" w:space="0" w:color="auto"/>
                      </w:divBdr>
                    </w:div>
                  </w:divsChild>
                </w:div>
                <w:div w:id="1259752564">
                  <w:marLeft w:val="0"/>
                  <w:marRight w:val="0"/>
                  <w:marTop w:val="0"/>
                  <w:marBottom w:val="0"/>
                  <w:divBdr>
                    <w:top w:val="none" w:sz="0" w:space="0" w:color="auto"/>
                    <w:left w:val="none" w:sz="0" w:space="0" w:color="auto"/>
                    <w:bottom w:val="none" w:sz="0" w:space="0" w:color="auto"/>
                    <w:right w:val="none" w:sz="0" w:space="0" w:color="auto"/>
                  </w:divBdr>
                  <w:divsChild>
                    <w:div w:id="2144034478">
                      <w:marLeft w:val="0"/>
                      <w:marRight w:val="0"/>
                      <w:marTop w:val="0"/>
                      <w:marBottom w:val="0"/>
                      <w:divBdr>
                        <w:top w:val="none" w:sz="0" w:space="0" w:color="auto"/>
                        <w:left w:val="none" w:sz="0" w:space="0" w:color="auto"/>
                        <w:bottom w:val="none" w:sz="0" w:space="0" w:color="auto"/>
                        <w:right w:val="none" w:sz="0" w:space="0" w:color="auto"/>
                      </w:divBdr>
                    </w:div>
                  </w:divsChild>
                </w:div>
                <w:div w:id="1318069668">
                  <w:marLeft w:val="0"/>
                  <w:marRight w:val="0"/>
                  <w:marTop w:val="0"/>
                  <w:marBottom w:val="0"/>
                  <w:divBdr>
                    <w:top w:val="none" w:sz="0" w:space="0" w:color="auto"/>
                    <w:left w:val="none" w:sz="0" w:space="0" w:color="auto"/>
                    <w:bottom w:val="none" w:sz="0" w:space="0" w:color="auto"/>
                    <w:right w:val="none" w:sz="0" w:space="0" w:color="auto"/>
                  </w:divBdr>
                  <w:divsChild>
                    <w:div w:id="1733428159">
                      <w:marLeft w:val="0"/>
                      <w:marRight w:val="0"/>
                      <w:marTop w:val="0"/>
                      <w:marBottom w:val="0"/>
                      <w:divBdr>
                        <w:top w:val="none" w:sz="0" w:space="0" w:color="auto"/>
                        <w:left w:val="none" w:sz="0" w:space="0" w:color="auto"/>
                        <w:bottom w:val="none" w:sz="0" w:space="0" w:color="auto"/>
                        <w:right w:val="none" w:sz="0" w:space="0" w:color="auto"/>
                      </w:divBdr>
                    </w:div>
                  </w:divsChild>
                </w:div>
                <w:div w:id="1347321486">
                  <w:marLeft w:val="0"/>
                  <w:marRight w:val="0"/>
                  <w:marTop w:val="0"/>
                  <w:marBottom w:val="0"/>
                  <w:divBdr>
                    <w:top w:val="none" w:sz="0" w:space="0" w:color="auto"/>
                    <w:left w:val="none" w:sz="0" w:space="0" w:color="auto"/>
                    <w:bottom w:val="none" w:sz="0" w:space="0" w:color="auto"/>
                    <w:right w:val="none" w:sz="0" w:space="0" w:color="auto"/>
                  </w:divBdr>
                  <w:divsChild>
                    <w:div w:id="131290106">
                      <w:marLeft w:val="0"/>
                      <w:marRight w:val="0"/>
                      <w:marTop w:val="0"/>
                      <w:marBottom w:val="0"/>
                      <w:divBdr>
                        <w:top w:val="none" w:sz="0" w:space="0" w:color="auto"/>
                        <w:left w:val="none" w:sz="0" w:space="0" w:color="auto"/>
                        <w:bottom w:val="none" w:sz="0" w:space="0" w:color="auto"/>
                        <w:right w:val="none" w:sz="0" w:space="0" w:color="auto"/>
                      </w:divBdr>
                    </w:div>
                  </w:divsChild>
                </w:div>
                <w:div w:id="1395855755">
                  <w:marLeft w:val="0"/>
                  <w:marRight w:val="0"/>
                  <w:marTop w:val="0"/>
                  <w:marBottom w:val="0"/>
                  <w:divBdr>
                    <w:top w:val="none" w:sz="0" w:space="0" w:color="auto"/>
                    <w:left w:val="none" w:sz="0" w:space="0" w:color="auto"/>
                    <w:bottom w:val="none" w:sz="0" w:space="0" w:color="auto"/>
                    <w:right w:val="none" w:sz="0" w:space="0" w:color="auto"/>
                  </w:divBdr>
                  <w:divsChild>
                    <w:div w:id="1865440702">
                      <w:marLeft w:val="0"/>
                      <w:marRight w:val="0"/>
                      <w:marTop w:val="0"/>
                      <w:marBottom w:val="0"/>
                      <w:divBdr>
                        <w:top w:val="none" w:sz="0" w:space="0" w:color="auto"/>
                        <w:left w:val="none" w:sz="0" w:space="0" w:color="auto"/>
                        <w:bottom w:val="none" w:sz="0" w:space="0" w:color="auto"/>
                        <w:right w:val="none" w:sz="0" w:space="0" w:color="auto"/>
                      </w:divBdr>
                    </w:div>
                  </w:divsChild>
                </w:div>
                <w:div w:id="1436754359">
                  <w:marLeft w:val="0"/>
                  <w:marRight w:val="0"/>
                  <w:marTop w:val="0"/>
                  <w:marBottom w:val="0"/>
                  <w:divBdr>
                    <w:top w:val="none" w:sz="0" w:space="0" w:color="auto"/>
                    <w:left w:val="none" w:sz="0" w:space="0" w:color="auto"/>
                    <w:bottom w:val="none" w:sz="0" w:space="0" w:color="auto"/>
                    <w:right w:val="none" w:sz="0" w:space="0" w:color="auto"/>
                  </w:divBdr>
                  <w:divsChild>
                    <w:div w:id="657423841">
                      <w:marLeft w:val="0"/>
                      <w:marRight w:val="0"/>
                      <w:marTop w:val="0"/>
                      <w:marBottom w:val="0"/>
                      <w:divBdr>
                        <w:top w:val="none" w:sz="0" w:space="0" w:color="auto"/>
                        <w:left w:val="none" w:sz="0" w:space="0" w:color="auto"/>
                        <w:bottom w:val="none" w:sz="0" w:space="0" w:color="auto"/>
                        <w:right w:val="none" w:sz="0" w:space="0" w:color="auto"/>
                      </w:divBdr>
                    </w:div>
                  </w:divsChild>
                </w:div>
                <w:div w:id="1482379617">
                  <w:marLeft w:val="0"/>
                  <w:marRight w:val="0"/>
                  <w:marTop w:val="0"/>
                  <w:marBottom w:val="0"/>
                  <w:divBdr>
                    <w:top w:val="none" w:sz="0" w:space="0" w:color="auto"/>
                    <w:left w:val="none" w:sz="0" w:space="0" w:color="auto"/>
                    <w:bottom w:val="none" w:sz="0" w:space="0" w:color="auto"/>
                    <w:right w:val="none" w:sz="0" w:space="0" w:color="auto"/>
                  </w:divBdr>
                  <w:divsChild>
                    <w:div w:id="104925574">
                      <w:marLeft w:val="0"/>
                      <w:marRight w:val="0"/>
                      <w:marTop w:val="0"/>
                      <w:marBottom w:val="0"/>
                      <w:divBdr>
                        <w:top w:val="none" w:sz="0" w:space="0" w:color="auto"/>
                        <w:left w:val="none" w:sz="0" w:space="0" w:color="auto"/>
                        <w:bottom w:val="none" w:sz="0" w:space="0" w:color="auto"/>
                        <w:right w:val="none" w:sz="0" w:space="0" w:color="auto"/>
                      </w:divBdr>
                    </w:div>
                  </w:divsChild>
                </w:div>
                <w:div w:id="1510876600">
                  <w:marLeft w:val="0"/>
                  <w:marRight w:val="0"/>
                  <w:marTop w:val="0"/>
                  <w:marBottom w:val="0"/>
                  <w:divBdr>
                    <w:top w:val="none" w:sz="0" w:space="0" w:color="auto"/>
                    <w:left w:val="none" w:sz="0" w:space="0" w:color="auto"/>
                    <w:bottom w:val="none" w:sz="0" w:space="0" w:color="auto"/>
                    <w:right w:val="none" w:sz="0" w:space="0" w:color="auto"/>
                  </w:divBdr>
                  <w:divsChild>
                    <w:div w:id="1358434124">
                      <w:marLeft w:val="0"/>
                      <w:marRight w:val="0"/>
                      <w:marTop w:val="0"/>
                      <w:marBottom w:val="0"/>
                      <w:divBdr>
                        <w:top w:val="none" w:sz="0" w:space="0" w:color="auto"/>
                        <w:left w:val="none" w:sz="0" w:space="0" w:color="auto"/>
                        <w:bottom w:val="none" w:sz="0" w:space="0" w:color="auto"/>
                        <w:right w:val="none" w:sz="0" w:space="0" w:color="auto"/>
                      </w:divBdr>
                    </w:div>
                  </w:divsChild>
                </w:div>
                <w:div w:id="1523544695">
                  <w:marLeft w:val="0"/>
                  <w:marRight w:val="0"/>
                  <w:marTop w:val="0"/>
                  <w:marBottom w:val="0"/>
                  <w:divBdr>
                    <w:top w:val="none" w:sz="0" w:space="0" w:color="auto"/>
                    <w:left w:val="none" w:sz="0" w:space="0" w:color="auto"/>
                    <w:bottom w:val="none" w:sz="0" w:space="0" w:color="auto"/>
                    <w:right w:val="none" w:sz="0" w:space="0" w:color="auto"/>
                  </w:divBdr>
                  <w:divsChild>
                    <w:div w:id="344601009">
                      <w:marLeft w:val="0"/>
                      <w:marRight w:val="0"/>
                      <w:marTop w:val="0"/>
                      <w:marBottom w:val="0"/>
                      <w:divBdr>
                        <w:top w:val="none" w:sz="0" w:space="0" w:color="auto"/>
                        <w:left w:val="none" w:sz="0" w:space="0" w:color="auto"/>
                        <w:bottom w:val="none" w:sz="0" w:space="0" w:color="auto"/>
                        <w:right w:val="none" w:sz="0" w:space="0" w:color="auto"/>
                      </w:divBdr>
                    </w:div>
                  </w:divsChild>
                </w:div>
                <w:div w:id="1580747213">
                  <w:marLeft w:val="0"/>
                  <w:marRight w:val="0"/>
                  <w:marTop w:val="0"/>
                  <w:marBottom w:val="0"/>
                  <w:divBdr>
                    <w:top w:val="none" w:sz="0" w:space="0" w:color="auto"/>
                    <w:left w:val="none" w:sz="0" w:space="0" w:color="auto"/>
                    <w:bottom w:val="none" w:sz="0" w:space="0" w:color="auto"/>
                    <w:right w:val="none" w:sz="0" w:space="0" w:color="auto"/>
                  </w:divBdr>
                  <w:divsChild>
                    <w:div w:id="242103138">
                      <w:marLeft w:val="0"/>
                      <w:marRight w:val="0"/>
                      <w:marTop w:val="0"/>
                      <w:marBottom w:val="0"/>
                      <w:divBdr>
                        <w:top w:val="none" w:sz="0" w:space="0" w:color="auto"/>
                        <w:left w:val="none" w:sz="0" w:space="0" w:color="auto"/>
                        <w:bottom w:val="none" w:sz="0" w:space="0" w:color="auto"/>
                        <w:right w:val="none" w:sz="0" w:space="0" w:color="auto"/>
                      </w:divBdr>
                    </w:div>
                  </w:divsChild>
                </w:div>
                <w:div w:id="1636568579">
                  <w:marLeft w:val="0"/>
                  <w:marRight w:val="0"/>
                  <w:marTop w:val="0"/>
                  <w:marBottom w:val="0"/>
                  <w:divBdr>
                    <w:top w:val="none" w:sz="0" w:space="0" w:color="auto"/>
                    <w:left w:val="none" w:sz="0" w:space="0" w:color="auto"/>
                    <w:bottom w:val="none" w:sz="0" w:space="0" w:color="auto"/>
                    <w:right w:val="none" w:sz="0" w:space="0" w:color="auto"/>
                  </w:divBdr>
                  <w:divsChild>
                    <w:div w:id="101389045">
                      <w:marLeft w:val="0"/>
                      <w:marRight w:val="0"/>
                      <w:marTop w:val="0"/>
                      <w:marBottom w:val="0"/>
                      <w:divBdr>
                        <w:top w:val="none" w:sz="0" w:space="0" w:color="auto"/>
                        <w:left w:val="none" w:sz="0" w:space="0" w:color="auto"/>
                        <w:bottom w:val="none" w:sz="0" w:space="0" w:color="auto"/>
                        <w:right w:val="none" w:sz="0" w:space="0" w:color="auto"/>
                      </w:divBdr>
                    </w:div>
                  </w:divsChild>
                </w:div>
                <w:div w:id="1683817753">
                  <w:marLeft w:val="0"/>
                  <w:marRight w:val="0"/>
                  <w:marTop w:val="0"/>
                  <w:marBottom w:val="0"/>
                  <w:divBdr>
                    <w:top w:val="none" w:sz="0" w:space="0" w:color="auto"/>
                    <w:left w:val="none" w:sz="0" w:space="0" w:color="auto"/>
                    <w:bottom w:val="none" w:sz="0" w:space="0" w:color="auto"/>
                    <w:right w:val="none" w:sz="0" w:space="0" w:color="auto"/>
                  </w:divBdr>
                  <w:divsChild>
                    <w:div w:id="1790586582">
                      <w:marLeft w:val="0"/>
                      <w:marRight w:val="0"/>
                      <w:marTop w:val="0"/>
                      <w:marBottom w:val="0"/>
                      <w:divBdr>
                        <w:top w:val="none" w:sz="0" w:space="0" w:color="auto"/>
                        <w:left w:val="none" w:sz="0" w:space="0" w:color="auto"/>
                        <w:bottom w:val="none" w:sz="0" w:space="0" w:color="auto"/>
                        <w:right w:val="none" w:sz="0" w:space="0" w:color="auto"/>
                      </w:divBdr>
                    </w:div>
                  </w:divsChild>
                </w:div>
                <w:div w:id="1701393298">
                  <w:marLeft w:val="0"/>
                  <w:marRight w:val="0"/>
                  <w:marTop w:val="0"/>
                  <w:marBottom w:val="0"/>
                  <w:divBdr>
                    <w:top w:val="none" w:sz="0" w:space="0" w:color="auto"/>
                    <w:left w:val="none" w:sz="0" w:space="0" w:color="auto"/>
                    <w:bottom w:val="none" w:sz="0" w:space="0" w:color="auto"/>
                    <w:right w:val="none" w:sz="0" w:space="0" w:color="auto"/>
                  </w:divBdr>
                  <w:divsChild>
                    <w:div w:id="1672030584">
                      <w:marLeft w:val="0"/>
                      <w:marRight w:val="0"/>
                      <w:marTop w:val="0"/>
                      <w:marBottom w:val="0"/>
                      <w:divBdr>
                        <w:top w:val="none" w:sz="0" w:space="0" w:color="auto"/>
                        <w:left w:val="none" w:sz="0" w:space="0" w:color="auto"/>
                        <w:bottom w:val="none" w:sz="0" w:space="0" w:color="auto"/>
                        <w:right w:val="none" w:sz="0" w:space="0" w:color="auto"/>
                      </w:divBdr>
                    </w:div>
                  </w:divsChild>
                </w:div>
                <w:div w:id="1743405647">
                  <w:marLeft w:val="0"/>
                  <w:marRight w:val="0"/>
                  <w:marTop w:val="0"/>
                  <w:marBottom w:val="0"/>
                  <w:divBdr>
                    <w:top w:val="none" w:sz="0" w:space="0" w:color="auto"/>
                    <w:left w:val="none" w:sz="0" w:space="0" w:color="auto"/>
                    <w:bottom w:val="none" w:sz="0" w:space="0" w:color="auto"/>
                    <w:right w:val="none" w:sz="0" w:space="0" w:color="auto"/>
                  </w:divBdr>
                  <w:divsChild>
                    <w:div w:id="219903984">
                      <w:marLeft w:val="0"/>
                      <w:marRight w:val="0"/>
                      <w:marTop w:val="0"/>
                      <w:marBottom w:val="0"/>
                      <w:divBdr>
                        <w:top w:val="none" w:sz="0" w:space="0" w:color="auto"/>
                        <w:left w:val="none" w:sz="0" w:space="0" w:color="auto"/>
                        <w:bottom w:val="none" w:sz="0" w:space="0" w:color="auto"/>
                        <w:right w:val="none" w:sz="0" w:space="0" w:color="auto"/>
                      </w:divBdr>
                    </w:div>
                  </w:divsChild>
                </w:div>
                <w:div w:id="1765954899">
                  <w:marLeft w:val="0"/>
                  <w:marRight w:val="0"/>
                  <w:marTop w:val="0"/>
                  <w:marBottom w:val="0"/>
                  <w:divBdr>
                    <w:top w:val="none" w:sz="0" w:space="0" w:color="auto"/>
                    <w:left w:val="none" w:sz="0" w:space="0" w:color="auto"/>
                    <w:bottom w:val="none" w:sz="0" w:space="0" w:color="auto"/>
                    <w:right w:val="none" w:sz="0" w:space="0" w:color="auto"/>
                  </w:divBdr>
                  <w:divsChild>
                    <w:div w:id="1661036250">
                      <w:marLeft w:val="0"/>
                      <w:marRight w:val="0"/>
                      <w:marTop w:val="0"/>
                      <w:marBottom w:val="0"/>
                      <w:divBdr>
                        <w:top w:val="none" w:sz="0" w:space="0" w:color="auto"/>
                        <w:left w:val="none" w:sz="0" w:space="0" w:color="auto"/>
                        <w:bottom w:val="none" w:sz="0" w:space="0" w:color="auto"/>
                        <w:right w:val="none" w:sz="0" w:space="0" w:color="auto"/>
                      </w:divBdr>
                    </w:div>
                  </w:divsChild>
                </w:div>
                <w:div w:id="1774013046">
                  <w:marLeft w:val="0"/>
                  <w:marRight w:val="0"/>
                  <w:marTop w:val="0"/>
                  <w:marBottom w:val="0"/>
                  <w:divBdr>
                    <w:top w:val="none" w:sz="0" w:space="0" w:color="auto"/>
                    <w:left w:val="none" w:sz="0" w:space="0" w:color="auto"/>
                    <w:bottom w:val="none" w:sz="0" w:space="0" w:color="auto"/>
                    <w:right w:val="none" w:sz="0" w:space="0" w:color="auto"/>
                  </w:divBdr>
                  <w:divsChild>
                    <w:div w:id="1782261782">
                      <w:marLeft w:val="0"/>
                      <w:marRight w:val="0"/>
                      <w:marTop w:val="0"/>
                      <w:marBottom w:val="0"/>
                      <w:divBdr>
                        <w:top w:val="none" w:sz="0" w:space="0" w:color="auto"/>
                        <w:left w:val="none" w:sz="0" w:space="0" w:color="auto"/>
                        <w:bottom w:val="none" w:sz="0" w:space="0" w:color="auto"/>
                        <w:right w:val="none" w:sz="0" w:space="0" w:color="auto"/>
                      </w:divBdr>
                    </w:div>
                  </w:divsChild>
                </w:div>
                <w:div w:id="1810778523">
                  <w:marLeft w:val="0"/>
                  <w:marRight w:val="0"/>
                  <w:marTop w:val="0"/>
                  <w:marBottom w:val="0"/>
                  <w:divBdr>
                    <w:top w:val="none" w:sz="0" w:space="0" w:color="auto"/>
                    <w:left w:val="none" w:sz="0" w:space="0" w:color="auto"/>
                    <w:bottom w:val="none" w:sz="0" w:space="0" w:color="auto"/>
                    <w:right w:val="none" w:sz="0" w:space="0" w:color="auto"/>
                  </w:divBdr>
                  <w:divsChild>
                    <w:div w:id="1775899132">
                      <w:marLeft w:val="0"/>
                      <w:marRight w:val="0"/>
                      <w:marTop w:val="0"/>
                      <w:marBottom w:val="0"/>
                      <w:divBdr>
                        <w:top w:val="none" w:sz="0" w:space="0" w:color="auto"/>
                        <w:left w:val="none" w:sz="0" w:space="0" w:color="auto"/>
                        <w:bottom w:val="none" w:sz="0" w:space="0" w:color="auto"/>
                        <w:right w:val="none" w:sz="0" w:space="0" w:color="auto"/>
                      </w:divBdr>
                    </w:div>
                  </w:divsChild>
                </w:div>
                <w:div w:id="1998067927">
                  <w:marLeft w:val="0"/>
                  <w:marRight w:val="0"/>
                  <w:marTop w:val="0"/>
                  <w:marBottom w:val="0"/>
                  <w:divBdr>
                    <w:top w:val="none" w:sz="0" w:space="0" w:color="auto"/>
                    <w:left w:val="none" w:sz="0" w:space="0" w:color="auto"/>
                    <w:bottom w:val="none" w:sz="0" w:space="0" w:color="auto"/>
                    <w:right w:val="none" w:sz="0" w:space="0" w:color="auto"/>
                  </w:divBdr>
                  <w:divsChild>
                    <w:div w:id="1734623743">
                      <w:marLeft w:val="0"/>
                      <w:marRight w:val="0"/>
                      <w:marTop w:val="0"/>
                      <w:marBottom w:val="0"/>
                      <w:divBdr>
                        <w:top w:val="none" w:sz="0" w:space="0" w:color="auto"/>
                        <w:left w:val="none" w:sz="0" w:space="0" w:color="auto"/>
                        <w:bottom w:val="none" w:sz="0" w:space="0" w:color="auto"/>
                        <w:right w:val="none" w:sz="0" w:space="0" w:color="auto"/>
                      </w:divBdr>
                    </w:div>
                  </w:divsChild>
                </w:div>
                <w:div w:id="2074111307">
                  <w:marLeft w:val="0"/>
                  <w:marRight w:val="0"/>
                  <w:marTop w:val="0"/>
                  <w:marBottom w:val="0"/>
                  <w:divBdr>
                    <w:top w:val="none" w:sz="0" w:space="0" w:color="auto"/>
                    <w:left w:val="none" w:sz="0" w:space="0" w:color="auto"/>
                    <w:bottom w:val="none" w:sz="0" w:space="0" w:color="auto"/>
                    <w:right w:val="none" w:sz="0" w:space="0" w:color="auto"/>
                  </w:divBdr>
                  <w:divsChild>
                    <w:div w:id="1933776360">
                      <w:marLeft w:val="0"/>
                      <w:marRight w:val="0"/>
                      <w:marTop w:val="0"/>
                      <w:marBottom w:val="0"/>
                      <w:divBdr>
                        <w:top w:val="none" w:sz="0" w:space="0" w:color="auto"/>
                        <w:left w:val="none" w:sz="0" w:space="0" w:color="auto"/>
                        <w:bottom w:val="none" w:sz="0" w:space="0" w:color="auto"/>
                        <w:right w:val="none" w:sz="0" w:space="0" w:color="auto"/>
                      </w:divBdr>
                    </w:div>
                  </w:divsChild>
                </w:div>
                <w:div w:id="2083327581">
                  <w:marLeft w:val="0"/>
                  <w:marRight w:val="0"/>
                  <w:marTop w:val="0"/>
                  <w:marBottom w:val="0"/>
                  <w:divBdr>
                    <w:top w:val="none" w:sz="0" w:space="0" w:color="auto"/>
                    <w:left w:val="none" w:sz="0" w:space="0" w:color="auto"/>
                    <w:bottom w:val="none" w:sz="0" w:space="0" w:color="auto"/>
                    <w:right w:val="none" w:sz="0" w:space="0" w:color="auto"/>
                  </w:divBdr>
                  <w:divsChild>
                    <w:div w:id="31549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9115">
          <w:marLeft w:val="0"/>
          <w:marRight w:val="0"/>
          <w:marTop w:val="0"/>
          <w:marBottom w:val="0"/>
          <w:divBdr>
            <w:top w:val="none" w:sz="0" w:space="0" w:color="auto"/>
            <w:left w:val="none" w:sz="0" w:space="0" w:color="auto"/>
            <w:bottom w:val="none" w:sz="0" w:space="0" w:color="auto"/>
            <w:right w:val="none" w:sz="0" w:space="0" w:color="auto"/>
          </w:divBdr>
        </w:div>
        <w:div w:id="73205795">
          <w:marLeft w:val="0"/>
          <w:marRight w:val="0"/>
          <w:marTop w:val="0"/>
          <w:marBottom w:val="0"/>
          <w:divBdr>
            <w:top w:val="none" w:sz="0" w:space="0" w:color="auto"/>
            <w:left w:val="none" w:sz="0" w:space="0" w:color="auto"/>
            <w:bottom w:val="none" w:sz="0" w:space="0" w:color="auto"/>
            <w:right w:val="none" w:sz="0" w:space="0" w:color="auto"/>
          </w:divBdr>
        </w:div>
        <w:div w:id="74515924">
          <w:marLeft w:val="0"/>
          <w:marRight w:val="0"/>
          <w:marTop w:val="0"/>
          <w:marBottom w:val="0"/>
          <w:divBdr>
            <w:top w:val="none" w:sz="0" w:space="0" w:color="auto"/>
            <w:left w:val="none" w:sz="0" w:space="0" w:color="auto"/>
            <w:bottom w:val="none" w:sz="0" w:space="0" w:color="auto"/>
            <w:right w:val="none" w:sz="0" w:space="0" w:color="auto"/>
          </w:divBdr>
        </w:div>
        <w:div w:id="76828225">
          <w:marLeft w:val="0"/>
          <w:marRight w:val="0"/>
          <w:marTop w:val="0"/>
          <w:marBottom w:val="0"/>
          <w:divBdr>
            <w:top w:val="none" w:sz="0" w:space="0" w:color="auto"/>
            <w:left w:val="none" w:sz="0" w:space="0" w:color="auto"/>
            <w:bottom w:val="none" w:sz="0" w:space="0" w:color="auto"/>
            <w:right w:val="none" w:sz="0" w:space="0" w:color="auto"/>
          </w:divBdr>
        </w:div>
        <w:div w:id="77100965">
          <w:marLeft w:val="0"/>
          <w:marRight w:val="0"/>
          <w:marTop w:val="0"/>
          <w:marBottom w:val="0"/>
          <w:divBdr>
            <w:top w:val="none" w:sz="0" w:space="0" w:color="auto"/>
            <w:left w:val="none" w:sz="0" w:space="0" w:color="auto"/>
            <w:bottom w:val="none" w:sz="0" w:space="0" w:color="auto"/>
            <w:right w:val="none" w:sz="0" w:space="0" w:color="auto"/>
          </w:divBdr>
        </w:div>
        <w:div w:id="77139099">
          <w:marLeft w:val="0"/>
          <w:marRight w:val="0"/>
          <w:marTop w:val="0"/>
          <w:marBottom w:val="0"/>
          <w:divBdr>
            <w:top w:val="none" w:sz="0" w:space="0" w:color="auto"/>
            <w:left w:val="none" w:sz="0" w:space="0" w:color="auto"/>
            <w:bottom w:val="none" w:sz="0" w:space="0" w:color="auto"/>
            <w:right w:val="none" w:sz="0" w:space="0" w:color="auto"/>
          </w:divBdr>
        </w:div>
        <w:div w:id="77557152">
          <w:marLeft w:val="0"/>
          <w:marRight w:val="0"/>
          <w:marTop w:val="0"/>
          <w:marBottom w:val="0"/>
          <w:divBdr>
            <w:top w:val="none" w:sz="0" w:space="0" w:color="auto"/>
            <w:left w:val="none" w:sz="0" w:space="0" w:color="auto"/>
            <w:bottom w:val="none" w:sz="0" w:space="0" w:color="auto"/>
            <w:right w:val="none" w:sz="0" w:space="0" w:color="auto"/>
          </w:divBdr>
        </w:div>
        <w:div w:id="78411297">
          <w:marLeft w:val="0"/>
          <w:marRight w:val="0"/>
          <w:marTop w:val="0"/>
          <w:marBottom w:val="0"/>
          <w:divBdr>
            <w:top w:val="none" w:sz="0" w:space="0" w:color="auto"/>
            <w:left w:val="none" w:sz="0" w:space="0" w:color="auto"/>
            <w:bottom w:val="none" w:sz="0" w:space="0" w:color="auto"/>
            <w:right w:val="none" w:sz="0" w:space="0" w:color="auto"/>
          </w:divBdr>
        </w:div>
        <w:div w:id="81490120">
          <w:marLeft w:val="0"/>
          <w:marRight w:val="0"/>
          <w:marTop w:val="0"/>
          <w:marBottom w:val="0"/>
          <w:divBdr>
            <w:top w:val="none" w:sz="0" w:space="0" w:color="auto"/>
            <w:left w:val="none" w:sz="0" w:space="0" w:color="auto"/>
            <w:bottom w:val="none" w:sz="0" w:space="0" w:color="auto"/>
            <w:right w:val="none" w:sz="0" w:space="0" w:color="auto"/>
          </w:divBdr>
        </w:div>
        <w:div w:id="83498365">
          <w:marLeft w:val="0"/>
          <w:marRight w:val="0"/>
          <w:marTop w:val="0"/>
          <w:marBottom w:val="0"/>
          <w:divBdr>
            <w:top w:val="none" w:sz="0" w:space="0" w:color="auto"/>
            <w:left w:val="none" w:sz="0" w:space="0" w:color="auto"/>
            <w:bottom w:val="none" w:sz="0" w:space="0" w:color="auto"/>
            <w:right w:val="none" w:sz="0" w:space="0" w:color="auto"/>
          </w:divBdr>
        </w:div>
        <w:div w:id="84301853">
          <w:marLeft w:val="0"/>
          <w:marRight w:val="0"/>
          <w:marTop w:val="0"/>
          <w:marBottom w:val="0"/>
          <w:divBdr>
            <w:top w:val="none" w:sz="0" w:space="0" w:color="auto"/>
            <w:left w:val="none" w:sz="0" w:space="0" w:color="auto"/>
            <w:bottom w:val="none" w:sz="0" w:space="0" w:color="auto"/>
            <w:right w:val="none" w:sz="0" w:space="0" w:color="auto"/>
          </w:divBdr>
        </w:div>
        <w:div w:id="84960268">
          <w:marLeft w:val="0"/>
          <w:marRight w:val="0"/>
          <w:marTop w:val="0"/>
          <w:marBottom w:val="0"/>
          <w:divBdr>
            <w:top w:val="none" w:sz="0" w:space="0" w:color="auto"/>
            <w:left w:val="none" w:sz="0" w:space="0" w:color="auto"/>
            <w:bottom w:val="none" w:sz="0" w:space="0" w:color="auto"/>
            <w:right w:val="none" w:sz="0" w:space="0" w:color="auto"/>
          </w:divBdr>
        </w:div>
        <w:div w:id="89083202">
          <w:marLeft w:val="0"/>
          <w:marRight w:val="0"/>
          <w:marTop w:val="0"/>
          <w:marBottom w:val="0"/>
          <w:divBdr>
            <w:top w:val="none" w:sz="0" w:space="0" w:color="auto"/>
            <w:left w:val="none" w:sz="0" w:space="0" w:color="auto"/>
            <w:bottom w:val="none" w:sz="0" w:space="0" w:color="auto"/>
            <w:right w:val="none" w:sz="0" w:space="0" w:color="auto"/>
          </w:divBdr>
        </w:div>
        <w:div w:id="90051562">
          <w:marLeft w:val="0"/>
          <w:marRight w:val="0"/>
          <w:marTop w:val="0"/>
          <w:marBottom w:val="0"/>
          <w:divBdr>
            <w:top w:val="none" w:sz="0" w:space="0" w:color="auto"/>
            <w:left w:val="none" w:sz="0" w:space="0" w:color="auto"/>
            <w:bottom w:val="none" w:sz="0" w:space="0" w:color="auto"/>
            <w:right w:val="none" w:sz="0" w:space="0" w:color="auto"/>
          </w:divBdr>
        </w:div>
        <w:div w:id="90249442">
          <w:marLeft w:val="0"/>
          <w:marRight w:val="0"/>
          <w:marTop w:val="0"/>
          <w:marBottom w:val="0"/>
          <w:divBdr>
            <w:top w:val="none" w:sz="0" w:space="0" w:color="auto"/>
            <w:left w:val="none" w:sz="0" w:space="0" w:color="auto"/>
            <w:bottom w:val="none" w:sz="0" w:space="0" w:color="auto"/>
            <w:right w:val="none" w:sz="0" w:space="0" w:color="auto"/>
          </w:divBdr>
        </w:div>
        <w:div w:id="92165979">
          <w:marLeft w:val="0"/>
          <w:marRight w:val="0"/>
          <w:marTop w:val="0"/>
          <w:marBottom w:val="0"/>
          <w:divBdr>
            <w:top w:val="none" w:sz="0" w:space="0" w:color="auto"/>
            <w:left w:val="none" w:sz="0" w:space="0" w:color="auto"/>
            <w:bottom w:val="none" w:sz="0" w:space="0" w:color="auto"/>
            <w:right w:val="none" w:sz="0" w:space="0" w:color="auto"/>
          </w:divBdr>
        </w:div>
        <w:div w:id="92819422">
          <w:marLeft w:val="0"/>
          <w:marRight w:val="0"/>
          <w:marTop w:val="0"/>
          <w:marBottom w:val="0"/>
          <w:divBdr>
            <w:top w:val="none" w:sz="0" w:space="0" w:color="auto"/>
            <w:left w:val="none" w:sz="0" w:space="0" w:color="auto"/>
            <w:bottom w:val="none" w:sz="0" w:space="0" w:color="auto"/>
            <w:right w:val="none" w:sz="0" w:space="0" w:color="auto"/>
          </w:divBdr>
        </w:div>
        <w:div w:id="100733979">
          <w:marLeft w:val="0"/>
          <w:marRight w:val="0"/>
          <w:marTop w:val="0"/>
          <w:marBottom w:val="0"/>
          <w:divBdr>
            <w:top w:val="none" w:sz="0" w:space="0" w:color="auto"/>
            <w:left w:val="none" w:sz="0" w:space="0" w:color="auto"/>
            <w:bottom w:val="none" w:sz="0" w:space="0" w:color="auto"/>
            <w:right w:val="none" w:sz="0" w:space="0" w:color="auto"/>
          </w:divBdr>
        </w:div>
        <w:div w:id="100800645">
          <w:marLeft w:val="0"/>
          <w:marRight w:val="0"/>
          <w:marTop w:val="0"/>
          <w:marBottom w:val="0"/>
          <w:divBdr>
            <w:top w:val="none" w:sz="0" w:space="0" w:color="auto"/>
            <w:left w:val="none" w:sz="0" w:space="0" w:color="auto"/>
            <w:bottom w:val="none" w:sz="0" w:space="0" w:color="auto"/>
            <w:right w:val="none" w:sz="0" w:space="0" w:color="auto"/>
          </w:divBdr>
        </w:div>
        <w:div w:id="100997146">
          <w:marLeft w:val="0"/>
          <w:marRight w:val="0"/>
          <w:marTop w:val="0"/>
          <w:marBottom w:val="0"/>
          <w:divBdr>
            <w:top w:val="none" w:sz="0" w:space="0" w:color="auto"/>
            <w:left w:val="none" w:sz="0" w:space="0" w:color="auto"/>
            <w:bottom w:val="none" w:sz="0" w:space="0" w:color="auto"/>
            <w:right w:val="none" w:sz="0" w:space="0" w:color="auto"/>
          </w:divBdr>
        </w:div>
        <w:div w:id="101144862">
          <w:marLeft w:val="0"/>
          <w:marRight w:val="0"/>
          <w:marTop w:val="0"/>
          <w:marBottom w:val="0"/>
          <w:divBdr>
            <w:top w:val="none" w:sz="0" w:space="0" w:color="auto"/>
            <w:left w:val="none" w:sz="0" w:space="0" w:color="auto"/>
            <w:bottom w:val="none" w:sz="0" w:space="0" w:color="auto"/>
            <w:right w:val="none" w:sz="0" w:space="0" w:color="auto"/>
          </w:divBdr>
        </w:div>
        <w:div w:id="101464668">
          <w:marLeft w:val="0"/>
          <w:marRight w:val="0"/>
          <w:marTop w:val="0"/>
          <w:marBottom w:val="0"/>
          <w:divBdr>
            <w:top w:val="none" w:sz="0" w:space="0" w:color="auto"/>
            <w:left w:val="none" w:sz="0" w:space="0" w:color="auto"/>
            <w:bottom w:val="none" w:sz="0" w:space="0" w:color="auto"/>
            <w:right w:val="none" w:sz="0" w:space="0" w:color="auto"/>
          </w:divBdr>
        </w:div>
        <w:div w:id="101724816">
          <w:marLeft w:val="0"/>
          <w:marRight w:val="0"/>
          <w:marTop w:val="0"/>
          <w:marBottom w:val="0"/>
          <w:divBdr>
            <w:top w:val="none" w:sz="0" w:space="0" w:color="auto"/>
            <w:left w:val="none" w:sz="0" w:space="0" w:color="auto"/>
            <w:bottom w:val="none" w:sz="0" w:space="0" w:color="auto"/>
            <w:right w:val="none" w:sz="0" w:space="0" w:color="auto"/>
          </w:divBdr>
        </w:div>
        <w:div w:id="101727669">
          <w:marLeft w:val="0"/>
          <w:marRight w:val="0"/>
          <w:marTop w:val="0"/>
          <w:marBottom w:val="0"/>
          <w:divBdr>
            <w:top w:val="none" w:sz="0" w:space="0" w:color="auto"/>
            <w:left w:val="none" w:sz="0" w:space="0" w:color="auto"/>
            <w:bottom w:val="none" w:sz="0" w:space="0" w:color="auto"/>
            <w:right w:val="none" w:sz="0" w:space="0" w:color="auto"/>
          </w:divBdr>
        </w:div>
        <w:div w:id="101923616">
          <w:marLeft w:val="0"/>
          <w:marRight w:val="0"/>
          <w:marTop w:val="0"/>
          <w:marBottom w:val="0"/>
          <w:divBdr>
            <w:top w:val="none" w:sz="0" w:space="0" w:color="auto"/>
            <w:left w:val="none" w:sz="0" w:space="0" w:color="auto"/>
            <w:bottom w:val="none" w:sz="0" w:space="0" w:color="auto"/>
            <w:right w:val="none" w:sz="0" w:space="0" w:color="auto"/>
          </w:divBdr>
        </w:div>
        <w:div w:id="103236570">
          <w:marLeft w:val="0"/>
          <w:marRight w:val="0"/>
          <w:marTop w:val="0"/>
          <w:marBottom w:val="0"/>
          <w:divBdr>
            <w:top w:val="none" w:sz="0" w:space="0" w:color="auto"/>
            <w:left w:val="none" w:sz="0" w:space="0" w:color="auto"/>
            <w:bottom w:val="none" w:sz="0" w:space="0" w:color="auto"/>
            <w:right w:val="none" w:sz="0" w:space="0" w:color="auto"/>
          </w:divBdr>
        </w:div>
        <w:div w:id="103424797">
          <w:marLeft w:val="0"/>
          <w:marRight w:val="0"/>
          <w:marTop w:val="0"/>
          <w:marBottom w:val="0"/>
          <w:divBdr>
            <w:top w:val="none" w:sz="0" w:space="0" w:color="auto"/>
            <w:left w:val="none" w:sz="0" w:space="0" w:color="auto"/>
            <w:bottom w:val="none" w:sz="0" w:space="0" w:color="auto"/>
            <w:right w:val="none" w:sz="0" w:space="0" w:color="auto"/>
          </w:divBdr>
        </w:div>
        <w:div w:id="105853928">
          <w:marLeft w:val="0"/>
          <w:marRight w:val="0"/>
          <w:marTop w:val="0"/>
          <w:marBottom w:val="0"/>
          <w:divBdr>
            <w:top w:val="none" w:sz="0" w:space="0" w:color="auto"/>
            <w:left w:val="none" w:sz="0" w:space="0" w:color="auto"/>
            <w:bottom w:val="none" w:sz="0" w:space="0" w:color="auto"/>
            <w:right w:val="none" w:sz="0" w:space="0" w:color="auto"/>
          </w:divBdr>
        </w:div>
        <w:div w:id="106048706">
          <w:marLeft w:val="0"/>
          <w:marRight w:val="0"/>
          <w:marTop w:val="0"/>
          <w:marBottom w:val="0"/>
          <w:divBdr>
            <w:top w:val="none" w:sz="0" w:space="0" w:color="auto"/>
            <w:left w:val="none" w:sz="0" w:space="0" w:color="auto"/>
            <w:bottom w:val="none" w:sz="0" w:space="0" w:color="auto"/>
            <w:right w:val="none" w:sz="0" w:space="0" w:color="auto"/>
          </w:divBdr>
        </w:div>
        <w:div w:id="107625831">
          <w:marLeft w:val="0"/>
          <w:marRight w:val="0"/>
          <w:marTop w:val="0"/>
          <w:marBottom w:val="0"/>
          <w:divBdr>
            <w:top w:val="none" w:sz="0" w:space="0" w:color="auto"/>
            <w:left w:val="none" w:sz="0" w:space="0" w:color="auto"/>
            <w:bottom w:val="none" w:sz="0" w:space="0" w:color="auto"/>
            <w:right w:val="none" w:sz="0" w:space="0" w:color="auto"/>
          </w:divBdr>
          <w:divsChild>
            <w:div w:id="237135700">
              <w:marLeft w:val="0"/>
              <w:marRight w:val="0"/>
              <w:marTop w:val="0"/>
              <w:marBottom w:val="0"/>
              <w:divBdr>
                <w:top w:val="none" w:sz="0" w:space="0" w:color="auto"/>
                <w:left w:val="none" w:sz="0" w:space="0" w:color="auto"/>
                <w:bottom w:val="none" w:sz="0" w:space="0" w:color="auto"/>
                <w:right w:val="none" w:sz="0" w:space="0" w:color="auto"/>
              </w:divBdr>
            </w:div>
            <w:div w:id="275059986">
              <w:marLeft w:val="0"/>
              <w:marRight w:val="0"/>
              <w:marTop w:val="0"/>
              <w:marBottom w:val="0"/>
              <w:divBdr>
                <w:top w:val="none" w:sz="0" w:space="0" w:color="auto"/>
                <w:left w:val="none" w:sz="0" w:space="0" w:color="auto"/>
                <w:bottom w:val="none" w:sz="0" w:space="0" w:color="auto"/>
                <w:right w:val="none" w:sz="0" w:space="0" w:color="auto"/>
              </w:divBdr>
            </w:div>
            <w:div w:id="735661808">
              <w:marLeft w:val="0"/>
              <w:marRight w:val="0"/>
              <w:marTop w:val="0"/>
              <w:marBottom w:val="0"/>
              <w:divBdr>
                <w:top w:val="none" w:sz="0" w:space="0" w:color="auto"/>
                <w:left w:val="none" w:sz="0" w:space="0" w:color="auto"/>
                <w:bottom w:val="none" w:sz="0" w:space="0" w:color="auto"/>
                <w:right w:val="none" w:sz="0" w:space="0" w:color="auto"/>
              </w:divBdr>
            </w:div>
            <w:div w:id="973832171">
              <w:marLeft w:val="0"/>
              <w:marRight w:val="0"/>
              <w:marTop w:val="0"/>
              <w:marBottom w:val="0"/>
              <w:divBdr>
                <w:top w:val="none" w:sz="0" w:space="0" w:color="auto"/>
                <w:left w:val="none" w:sz="0" w:space="0" w:color="auto"/>
                <w:bottom w:val="none" w:sz="0" w:space="0" w:color="auto"/>
                <w:right w:val="none" w:sz="0" w:space="0" w:color="auto"/>
              </w:divBdr>
            </w:div>
            <w:div w:id="1071543392">
              <w:marLeft w:val="0"/>
              <w:marRight w:val="0"/>
              <w:marTop w:val="0"/>
              <w:marBottom w:val="0"/>
              <w:divBdr>
                <w:top w:val="none" w:sz="0" w:space="0" w:color="auto"/>
                <w:left w:val="none" w:sz="0" w:space="0" w:color="auto"/>
                <w:bottom w:val="none" w:sz="0" w:space="0" w:color="auto"/>
                <w:right w:val="none" w:sz="0" w:space="0" w:color="auto"/>
              </w:divBdr>
            </w:div>
            <w:div w:id="1078600834">
              <w:marLeft w:val="0"/>
              <w:marRight w:val="0"/>
              <w:marTop w:val="0"/>
              <w:marBottom w:val="0"/>
              <w:divBdr>
                <w:top w:val="none" w:sz="0" w:space="0" w:color="auto"/>
                <w:left w:val="none" w:sz="0" w:space="0" w:color="auto"/>
                <w:bottom w:val="none" w:sz="0" w:space="0" w:color="auto"/>
                <w:right w:val="none" w:sz="0" w:space="0" w:color="auto"/>
              </w:divBdr>
            </w:div>
            <w:div w:id="1127744996">
              <w:marLeft w:val="0"/>
              <w:marRight w:val="0"/>
              <w:marTop w:val="0"/>
              <w:marBottom w:val="0"/>
              <w:divBdr>
                <w:top w:val="none" w:sz="0" w:space="0" w:color="auto"/>
                <w:left w:val="none" w:sz="0" w:space="0" w:color="auto"/>
                <w:bottom w:val="none" w:sz="0" w:space="0" w:color="auto"/>
                <w:right w:val="none" w:sz="0" w:space="0" w:color="auto"/>
              </w:divBdr>
            </w:div>
            <w:div w:id="1298417289">
              <w:marLeft w:val="0"/>
              <w:marRight w:val="0"/>
              <w:marTop w:val="0"/>
              <w:marBottom w:val="0"/>
              <w:divBdr>
                <w:top w:val="none" w:sz="0" w:space="0" w:color="auto"/>
                <w:left w:val="none" w:sz="0" w:space="0" w:color="auto"/>
                <w:bottom w:val="none" w:sz="0" w:space="0" w:color="auto"/>
                <w:right w:val="none" w:sz="0" w:space="0" w:color="auto"/>
              </w:divBdr>
            </w:div>
            <w:div w:id="1680355412">
              <w:marLeft w:val="0"/>
              <w:marRight w:val="0"/>
              <w:marTop w:val="0"/>
              <w:marBottom w:val="0"/>
              <w:divBdr>
                <w:top w:val="none" w:sz="0" w:space="0" w:color="auto"/>
                <w:left w:val="none" w:sz="0" w:space="0" w:color="auto"/>
                <w:bottom w:val="none" w:sz="0" w:space="0" w:color="auto"/>
                <w:right w:val="none" w:sz="0" w:space="0" w:color="auto"/>
              </w:divBdr>
            </w:div>
            <w:div w:id="1696072588">
              <w:marLeft w:val="0"/>
              <w:marRight w:val="0"/>
              <w:marTop w:val="0"/>
              <w:marBottom w:val="0"/>
              <w:divBdr>
                <w:top w:val="none" w:sz="0" w:space="0" w:color="auto"/>
                <w:left w:val="none" w:sz="0" w:space="0" w:color="auto"/>
                <w:bottom w:val="none" w:sz="0" w:space="0" w:color="auto"/>
                <w:right w:val="none" w:sz="0" w:space="0" w:color="auto"/>
              </w:divBdr>
            </w:div>
            <w:div w:id="1758483431">
              <w:marLeft w:val="0"/>
              <w:marRight w:val="0"/>
              <w:marTop w:val="0"/>
              <w:marBottom w:val="0"/>
              <w:divBdr>
                <w:top w:val="none" w:sz="0" w:space="0" w:color="auto"/>
                <w:left w:val="none" w:sz="0" w:space="0" w:color="auto"/>
                <w:bottom w:val="none" w:sz="0" w:space="0" w:color="auto"/>
                <w:right w:val="none" w:sz="0" w:space="0" w:color="auto"/>
              </w:divBdr>
            </w:div>
            <w:div w:id="1924215751">
              <w:marLeft w:val="0"/>
              <w:marRight w:val="0"/>
              <w:marTop w:val="0"/>
              <w:marBottom w:val="0"/>
              <w:divBdr>
                <w:top w:val="none" w:sz="0" w:space="0" w:color="auto"/>
                <w:left w:val="none" w:sz="0" w:space="0" w:color="auto"/>
                <w:bottom w:val="none" w:sz="0" w:space="0" w:color="auto"/>
                <w:right w:val="none" w:sz="0" w:space="0" w:color="auto"/>
              </w:divBdr>
            </w:div>
            <w:div w:id="1924488244">
              <w:marLeft w:val="0"/>
              <w:marRight w:val="0"/>
              <w:marTop w:val="0"/>
              <w:marBottom w:val="0"/>
              <w:divBdr>
                <w:top w:val="none" w:sz="0" w:space="0" w:color="auto"/>
                <w:left w:val="none" w:sz="0" w:space="0" w:color="auto"/>
                <w:bottom w:val="none" w:sz="0" w:space="0" w:color="auto"/>
                <w:right w:val="none" w:sz="0" w:space="0" w:color="auto"/>
              </w:divBdr>
            </w:div>
            <w:div w:id="1981230963">
              <w:marLeft w:val="0"/>
              <w:marRight w:val="0"/>
              <w:marTop w:val="0"/>
              <w:marBottom w:val="0"/>
              <w:divBdr>
                <w:top w:val="none" w:sz="0" w:space="0" w:color="auto"/>
                <w:left w:val="none" w:sz="0" w:space="0" w:color="auto"/>
                <w:bottom w:val="none" w:sz="0" w:space="0" w:color="auto"/>
                <w:right w:val="none" w:sz="0" w:space="0" w:color="auto"/>
              </w:divBdr>
            </w:div>
          </w:divsChild>
        </w:div>
        <w:div w:id="111024995">
          <w:marLeft w:val="0"/>
          <w:marRight w:val="0"/>
          <w:marTop w:val="0"/>
          <w:marBottom w:val="0"/>
          <w:divBdr>
            <w:top w:val="none" w:sz="0" w:space="0" w:color="auto"/>
            <w:left w:val="none" w:sz="0" w:space="0" w:color="auto"/>
            <w:bottom w:val="none" w:sz="0" w:space="0" w:color="auto"/>
            <w:right w:val="none" w:sz="0" w:space="0" w:color="auto"/>
          </w:divBdr>
        </w:div>
        <w:div w:id="112526452">
          <w:marLeft w:val="0"/>
          <w:marRight w:val="0"/>
          <w:marTop w:val="0"/>
          <w:marBottom w:val="0"/>
          <w:divBdr>
            <w:top w:val="none" w:sz="0" w:space="0" w:color="auto"/>
            <w:left w:val="none" w:sz="0" w:space="0" w:color="auto"/>
            <w:bottom w:val="none" w:sz="0" w:space="0" w:color="auto"/>
            <w:right w:val="none" w:sz="0" w:space="0" w:color="auto"/>
          </w:divBdr>
        </w:div>
        <w:div w:id="112797699">
          <w:marLeft w:val="0"/>
          <w:marRight w:val="0"/>
          <w:marTop w:val="0"/>
          <w:marBottom w:val="0"/>
          <w:divBdr>
            <w:top w:val="none" w:sz="0" w:space="0" w:color="auto"/>
            <w:left w:val="none" w:sz="0" w:space="0" w:color="auto"/>
            <w:bottom w:val="none" w:sz="0" w:space="0" w:color="auto"/>
            <w:right w:val="none" w:sz="0" w:space="0" w:color="auto"/>
          </w:divBdr>
        </w:div>
        <w:div w:id="117072782">
          <w:marLeft w:val="0"/>
          <w:marRight w:val="0"/>
          <w:marTop w:val="0"/>
          <w:marBottom w:val="0"/>
          <w:divBdr>
            <w:top w:val="none" w:sz="0" w:space="0" w:color="auto"/>
            <w:left w:val="none" w:sz="0" w:space="0" w:color="auto"/>
            <w:bottom w:val="none" w:sz="0" w:space="0" w:color="auto"/>
            <w:right w:val="none" w:sz="0" w:space="0" w:color="auto"/>
          </w:divBdr>
        </w:div>
        <w:div w:id="120651885">
          <w:marLeft w:val="0"/>
          <w:marRight w:val="0"/>
          <w:marTop w:val="0"/>
          <w:marBottom w:val="0"/>
          <w:divBdr>
            <w:top w:val="none" w:sz="0" w:space="0" w:color="auto"/>
            <w:left w:val="none" w:sz="0" w:space="0" w:color="auto"/>
            <w:bottom w:val="none" w:sz="0" w:space="0" w:color="auto"/>
            <w:right w:val="none" w:sz="0" w:space="0" w:color="auto"/>
          </w:divBdr>
        </w:div>
        <w:div w:id="121117118">
          <w:marLeft w:val="0"/>
          <w:marRight w:val="0"/>
          <w:marTop w:val="0"/>
          <w:marBottom w:val="0"/>
          <w:divBdr>
            <w:top w:val="none" w:sz="0" w:space="0" w:color="auto"/>
            <w:left w:val="none" w:sz="0" w:space="0" w:color="auto"/>
            <w:bottom w:val="none" w:sz="0" w:space="0" w:color="auto"/>
            <w:right w:val="none" w:sz="0" w:space="0" w:color="auto"/>
          </w:divBdr>
        </w:div>
        <w:div w:id="125466715">
          <w:marLeft w:val="0"/>
          <w:marRight w:val="0"/>
          <w:marTop w:val="0"/>
          <w:marBottom w:val="0"/>
          <w:divBdr>
            <w:top w:val="none" w:sz="0" w:space="0" w:color="auto"/>
            <w:left w:val="none" w:sz="0" w:space="0" w:color="auto"/>
            <w:bottom w:val="none" w:sz="0" w:space="0" w:color="auto"/>
            <w:right w:val="none" w:sz="0" w:space="0" w:color="auto"/>
          </w:divBdr>
        </w:div>
        <w:div w:id="125507664">
          <w:marLeft w:val="0"/>
          <w:marRight w:val="0"/>
          <w:marTop w:val="0"/>
          <w:marBottom w:val="0"/>
          <w:divBdr>
            <w:top w:val="none" w:sz="0" w:space="0" w:color="auto"/>
            <w:left w:val="none" w:sz="0" w:space="0" w:color="auto"/>
            <w:bottom w:val="none" w:sz="0" w:space="0" w:color="auto"/>
            <w:right w:val="none" w:sz="0" w:space="0" w:color="auto"/>
          </w:divBdr>
        </w:div>
        <w:div w:id="127094225">
          <w:marLeft w:val="0"/>
          <w:marRight w:val="0"/>
          <w:marTop w:val="0"/>
          <w:marBottom w:val="0"/>
          <w:divBdr>
            <w:top w:val="none" w:sz="0" w:space="0" w:color="auto"/>
            <w:left w:val="none" w:sz="0" w:space="0" w:color="auto"/>
            <w:bottom w:val="none" w:sz="0" w:space="0" w:color="auto"/>
            <w:right w:val="none" w:sz="0" w:space="0" w:color="auto"/>
          </w:divBdr>
        </w:div>
        <w:div w:id="128863247">
          <w:marLeft w:val="0"/>
          <w:marRight w:val="0"/>
          <w:marTop w:val="0"/>
          <w:marBottom w:val="0"/>
          <w:divBdr>
            <w:top w:val="none" w:sz="0" w:space="0" w:color="auto"/>
            <w:left w:val="none" w:sz="0" w:space="0" w:color="auto"/>
            <w:bottom w:val="none" w:sz="0" w:space="0" w:color="auto"/>
            <w:right w:val="none" w:sz="0" w:space="0" w:color="auto"/>
          </w:divBdr>
        </w:div>
        <w:div w:id="129592145">
          <w:marLeft w:val="0"/>
          <w:marRight w:val="0"/>
          <w:marTop w:val="0"/>
          <w:marBottom w:val="0"/>
          <w:divBdr>
            <w:top w:val="none" w:sz="0" w:space="0" w:color="auto"/>
            <w:left w:val="none" w:sz="0" w:space="0" w:color="auto"/>
            <w:bottom w:val="none" w:sz="0" w:space="0" w:color="auto"/>
            <w:right w:val="none" w:sz="0" w:space="0" w:color="auto"/>
          </w:divBdr>
          <w:divsChild>
            <w:div w:id="61028066">
              <w:marLeft w:val="0"/>
              <w:marRight w:val="0"/>
              <w:marTop w:val="0"/>
              <w:marBottom w:val="0"/>
              <w:divBdr>
                <w:top w:val="none" w:sz="0" w:space="0" w:color="auto"/>
                <w:left w:val="none" w:sz="0" w:space="0" w:color="auto"/>
                <w:bottom w:val="none" w:sz="0" w:space="0" w:color="auto"/>
                <w:right w:val="none" w:sz="0" w:space="0" w:color="auto"/>
              </w:divBdr>
            </w:div>
            <w:div w:id="65226723">
              <w:marLeft w:val="0"/>
              <w:marRight w:val="0"/>
              <w:marTop w:val="0"/>
              <w:marBottom w:val="0"/>
              <w:divBdr>
                <w:top w:val="none" w:sz="0" w:space="0" w:color="auto"/>
                <w:left w:val="none" w:sz="0" w:space="0" w:color="auto"/>
                <w:bottom w:val="none" w:sz="0" w:space="0" w:color="auto"/>
                <w:right w:val="none" w:sz="0" w:space="0" w:color="auto"/>
              </w:divBdr>
            </w:div>
            <w:div w:id="97530601">
              <w:marLeft w:val="0"/>
              <w:marRight w:val="0"/>
              <w:marTop w:val="0"/>
              <w:marBottom w:val="0"/>
              <w:divBdr>
                <w:top w:val="none" w:sz="0" w:space="0" w:color="auto"/>
                <w:left w:val="none" w:sz="0" w:space="0" w:color="auto"/>
                <w:bottom w:val="none" w:sz="0" w:space="0" w:color="auto"/>
                <w:right w:val="none" w:sz="0" w:space="0" w:color="auto"/>
              </w:divBdr>
            </w:div>
            <w:div w:id="158277418">
              <w:marLeft w:val="0"/>
              <w:marRight w:val="0"/>
              <w:marTop w:val="0"/>
              <w:marBottom w:val="0"/>
              <w:divBdr>
                <w:top w:val="none" w:sz="0" w:space="0" w:color="auto"/>
                <w:left w:val="none" w:sz="0" w:space="0" w:color="auto"/>
                <w:bottom w:val="none" w:sz="0" w:space="0" w:color="auto"/>
                <w:right w:val="none" w:sz="0" w:space="0" w:color="auto"/>
              </w:divBdr>
            </w:div>
            <w:div w:id="332073572">
              <w:marLeft w:val="0"/>
              <w:marRight w:val="0"/>
              <w:marTop w:val="0"/>
              <w:marBottom w:val="0"/>
              <w:divBdr>
                <w:top w:val="none" w:sz="0" w:space="0" w:color="auto"/>
                <w:left w:val="none" w:sz="0" w:space="0" w:color="auto"/>
                <w:bottom w:val="none" w:sz="0" w:space="0" w:color="auto"/>
                <w:right w:val="none" w:sz="0" w:space="0" w:color="auto"/>
              </w:divBdr>
            </w:div>
            <w:div w:id="537398315">
              <w:marLeft w:val="0"/>
              <w:marRight w:val="0"/>
              <w:marTop w:val="0"/>
              <w:marBottom w:val="0"/>
              <w:divBdr>
                <w:top w:val="none" w:sz="0" w:space="0" w:color="auto"/>
                <w:left w:val="none" w:sz="0" w:space="0" w:color="auto"/>
                <w:bottom w:val="none" w:sz="0" w:space="0" w:color="auto"/>
                <w:right w:val="none" w:sz="0" w:space="0" w:color="auto"/>
              </w:divBdr>
            </w:div>
            <w:div w:id="630327461">
              <w:marLeft w:val="0"/>
              <w:marRight w:val="0"/>
              <w:marTop w:val="0"/>
              <w:marBottom w:val="0"/>
              <w:divBdr>
                <w:top w:val="none" w:sz="0" w:space="0" w:color="auto"/>
                <w:left w:val="none" w:sz="0" w:space="0" w:color="auto"/>
                <w:bottom w:val="none" w:sz="0" w:space="0" w:color="auto"/>
                <w:right w:val="none" w:sz="0" w:space="0" w:color="auto"/>
              </w:divBdr>
            </w:div>
            <w:div w:id="683632060">
              <w:marLeft w:val="0"/>
              <w:marRight w:val="0"/>
              <w:marTop w:val="0"/>
              <w:marBottom w:val="0"/>
              <w:divBdr>
                <w:top w:val="none" w:sz="0" w:space="0" w:color="auto"/>
                <w:left w:val="none" w:sz="0" w:space="0" w:color="auto"/>
                <w:bottom w:val="none" w:sz="0" w:space="0" w:color="auto"/>
                <w:right w:val="none" w:sz="0" w:space="0" w:color="auto"/>
              </w:divBdr>
            </w:div>
            <w:div w:id="782310309">
              <w:marLeft w:val="0"/>
              <w:marRight w:val="0"/>
              <w:marTop w:val="0"/>
              <w:marBottom w:val="0"/>
              <w:divBdr>
                <w:top w:val="none" w:sz="0" w:space="0" w:color="auto"/>
                <w:left w:val="none" w:sz="0" w:space="0" w:color="auto"/>
                <w:bottom w:val="none" w:sz="0" w:space="0" w:color="auto"/>
                <w:right w:val="none" w:sz="0" w:space="0" w:color="auto"/>
              </w:divBdr>
            </w:div>
            <w:div w:id="1036388653">
              <w:marLeft w:val="0"/>
              <w:marRight w:val="0"/>
              <w:marTop w:val="0"/>
              <w:marBottom w:val="0"/>
              <w:divBdr>
                <w:top w:val="none" w:sz="0" w:space="0" w:color="auto"/>
                <w:left w:val="none" w:sz="0" w:space="0" w:color="auto"/>
                <w:bottom w:val="none" w:sz="0" w:space="0" w:color="auto"/>
                <w:right w:val="none" w:sz="0" w:space="0" w:color="auto"/>
              </w:divBdr>
            </w:div>
            <w:div w:id="1458715683">
              <w:marLeft w:val="0"/>
              <w:marRight w:val="0"/>
              <w:marTop w:val="0"/>
              <w:marBottom w:val="0"/>
              <w:divBdr>
                <w:top w:val="none" w:sz="0" w:space="0" w:color="auto"/>
                <w:left w:val="none" w:sz="0" w:space="0" w:color="auto"/>
                <w:bottom w:val="none" w:sz="0" w:space="0" w:color="auto"/>
                <w:right w:val="none" w:sz="0" w:space="0" w:color="auto"/>
              </w:divBdr>
            </w:div>
            <w:div w:id="1665553257">
              <w:marLeft w:val="0"/>
              <w:marRight w:val="0"/>
              <w:marTop w:val="0"/>
              <w:marBottom w:val="0"/>
              <w:divBdr>
                <w:top w:val="none" w:sz="0" w:space="0" w:color="auto"/>
                <w:left w:val="none" w:sz="0" w:space="0" w:color="auto"/>
                <w:bottom w:val="none" w:sz="0" w:space="0" w:color="auto"/>
                <w:right w:val="none" w:sz="0" w:space="0" w:color="auto"/>
              </w:divBdr>
            </w:div>
            <w:div w:id="2028602829">
              <w:marLeft w:val="0"/>
              <w:marRight w:val="0"/>
              <w:marTop w:val="0"/>
              <w:marBottom w:val="0"/>
              <w:divBdr>
                <w:top w:val="none" w:sz="0" w:space="0" w:color="auto"/>
                <w:left w:val="none" w:sz="0" w:space="0" w:color="auto"/>
                <w:bottom w:val="none" w:sz="0" w:space="0" w:color="auto"/>
                <w:right w:val="none" w:sz="0" w:space="0" w:color="auto"/>
              </w:divBdr>
            </w:div>
            <w:div w:id="2094430494">
              <w:marLeft w:val="0"/>
              <w:marRight w:val="0"/>
              <w:marTop w:val="0"/>
              <w:marBottom w:val="0"/>
              <w:divBdr>
                <w:top w:val="none" w:sz="0" w:space="0" w:color="auto"/>
                <w:left w:val="none" w:sz="0" w:space="0" w:color="auto"/>
                <w:bottom w:val="none" w:sz="0" w:space="0" w:color="auto"/>
                <w:right w:val="none" w:sz="0" w:space="0" w:color="auto"/>
              </w:divBdr>
            </w:div>
            <w:div w:id="2113817105">
              <w:marLeft w:val="0"/>
              <w:marRight w:val="0"/>
              <w:marTop w:val="0"/>
              <w:marBottom w:val="0"/>
              <w:divBdr>
                <w:top w:val="none" w:sz="0" w:space="0" w:color="auto"/>
                <w:left w:val="none" w:sz="0" w:space="0" w:color="auto"/>
                <w:bottom w:val="none" w:sz="0" w:space="0" w:color="auto"/>
                <w:right w:val="none" w:sz="0" w:space="0" w:color="auto"/>
              </w:divBdr>
            </w:div>
          </w:divsChild>
        </w:div>
        <w:div w:id="129980458">
          <w:marLeft w:val="0"/>
          <w:marRight w:val="0"/>
          <w:marTop w:val="0"/>
          <w:marBottom w:val="0"/>
          <w:divBdr>
            <w:top w:val="none" w:sz="0" w:space="0" w:color="auto"/>
            <w:left w:val="none" w:sz="0" w:space="0" w:color="auto"/>
            <w:bottom w:val="none" w:sz="0" w:space="0" w:color="auto"/>
            <w:right w:val="none" w:sz="0" w:space="0" w:color="auto"/>
          </w:divBdr>
        </w:div>
        <w:div w:id="133913787">
          <w:marLeft w:val="0"/>
          <w:marRight w:val="0"/>
          <w:marTop w:val="0"/>
          <w:marBottom w:val="0"/>
          <w:divBdr>
            <w:top w:val="none" w:sz="0" w:space="0" w:color="auto"/>
            <w:left w:val="none" w:sz="0" w:space="0" w:color="auto"/>
            <w:bottom w:val="none" w:sz="0" w:space="0" w:color="auto"/>
            <w:right w:val="none" w:sz="0" w:space="0" w:color="auto"/>
          </w:divBdr>
          <w:divsChild>
            <w:div w:id="2243179">
              <w:marLeft w:val="0"/>
              <w:marRight w:val="0"/>
              <w:marTop w:val="0"/>
              <w:marBottom w:val="0"/>
              <w:divBdr>
                <w:top w:val="none" w:sz="0" w:space="0" w:color="auto"/>
                <w:left w:val="none" w:sz="0" w:space="0" w:color="auto"/>
                <w:bottom w:val="none" w:sz="0" w:space="0" w:color="auto"/>
                <w:right w:val="none" w:sz="0" w:space="0" w:color="auto"/>
              </w:divBdr>
            </w:div>
            <w:div w:id="120921004">
              <w:marLeft w:val="0"/>
              <w:marRight w:val="0"/>
              <w:marTop w:val="0"/>
              <w:marBottom w:val="0"/>
              <w:divBdr>
                <w:top w:val="none" w:sz="0" w:space="0" w:color="auto"/>
                <w:left w:val="none" w:sz="0" w:space="0" w:color="auto"/>
                <w:bottom w:val="none" w:sz="0" w:space="0" w:color="auto"/>
                <w:right w:val="none" w:sz="0" w:space="0" w:color="auto"/>
              </w:divBdr>
            </w:div>
            <w:div w:id="411854882">
              <w:marLeft w:val="0"/>
              <w:marRight w:val="0"/>
              <w:marTop w:val="0"/>
              <w:marBottom w:val="0"/>
              <w:divBdr>
                <w:top w:val="none" w:sz="0" w:space="0" w:color="auto"/>
                <w:left w:val="none" w:sz="0" w:space="0" w:color="auto"/>
                <w:bottom w:val="none" w:sz="0" w:space="0" w:color="auto"/>
                <w:right w:val="none" w:sz="0" w:space="0" w:color="auto"/>
              </w:divBdr>
            </w:div>
            <w:div w:id="429667108">
              <w:marLeft w:val="0"/>
              <w:marRight w:val="0"/>
              <w:marTop w:val="0"/>
              <w:marBottom w:val="0"/>
              <w:divBdr>
                <w:top w:val="none" w:sz="0" w:space="0" w:color="auto"/>
                <w:left w:val="none" w:sz="0" w:space="0" w:color="auto"/>
                <w:bottom w:val="none" w:sz="0" w:space="0" w:color="auto"/>
                <w:right w:val="none" w:sz="0" w:space="0" w:color="auto"/>
              </w:divBdr>
            </w:div>
            <w:div w:id="504325376">
              <w:marLeft w:val="0"/>
              <w:marRight w:val="0"/>
              <w:marTop w:val="0"/>
              <w:marBottom w:val="0"/>
              <w:divBdr>
                <w:top w:val="none" w:sz="0" w:space="0" w:color="auto"/>
                <w:left w:val="none" w:sz="0" w:space="0" w:color="auto"/>
                <w:bottom w:val="none" w:sz="0" w:space="0" w:color="auto"/>
                <w:right w:val="none" w:sz="0" w:space="0" w:color="auto"/>
              </w:divBdr>
            </w:div>
            <w:div w:id="795296734">
              <w:marLeft w:val="0"/>
              <w:marRight w:val="0"/>
              <w:marTop w:val="0"/>
              <w:marBottom w:val="0"/>
              <w:divBdr>
                <w:top w:val="none" w:sz="0" w:space="0" w:color="auto"/>
                <w:left w:val="none" w:sz="0" w:space="0" w:color="auto"/>
                <w:bottom w:val="none" w:sz="0" w:space="0" w:color="auto"/>
                <w:right w:val="none" w:sz="0" w:space="0" w:color="auto"/>
              </w:divBdr>
            </w:div>
            <w:div w:id="949163780">
              <w:marLeft w:val="0"/>
              <w:marRight w:val="0"/>
              <w:marTop w:val="0"/>
              <w:marBottom w:val="0"/>
              <w:divBdr>
                <w:top w:val="none" w:sz="0" w:space="0" w:color="auto"/>
                <w:left w:val="none" w:sz="0" w:space="0" w:color="auto"/>
                <w:bottom w:val="none" w:sz="0" w:space="0" w:color="auto"/>
                <w:right w:val="none" w:sz="0" w:space="0" w:color="auto"/>
              </w:divBdr>
            </w:div>
            <w:div w:id="971400861">
              <w:marLeft w:val="0"/>
              <w:marRight w:val="0"/>
              <w:marTop w:val="0"/>
              <w:marBottom w:val="0"/>
              <w:divBdr>
                <w:top w:val="none" w:sz="0" w:space="0" w:color="auto"/>
                <w:left w:val="none" w:sz="0" w:space="0" w:color="auto"/>
                <w:bottom w:val="none" w:sz="0" w:space="0" w:color="auto"/>
                <w:right w:val="none" w:sz="0" w:space="0" w:color="auto"/>
              </w:divBdr>
            </w:div>
            <w:div w:id="1018049194">
              <w:marLeft w:val="0"/>
              <w:marRight w:val="0"/>
              <w:marTop w:val="0"/>
              <w:marBottom w:val="0"/>
              <w:divBdr>
                <w:top w:val="none" w:sz="0" w:space="0" w:color="auto"/>
                <w:left w:val="none" w:sz="0" w:space="0" w:color="auto"/>
                <w:bottom w:val="none" w:sz="0" w:space="0" w:color="auto"/>
                <w:right w:val="none" w:sz="0" w:space="0" w:color="auto"/>
              </w:divBdr>
            </w:div>
            <w:div w:id="1020356010">
              <w:marLeft w:val="0"/>
              <w:marRight w:val="0"/>
              <w:marTop w:val="0"/>
              <w:marBottom w:val="0"/>
              <w:divBdr>
                <w:top w:val="none" w:sz="0" w:space="0" w:color="auto"/>
                <w:left w:val="none" w:sz="0" w:space="0" w:color="auto"/>
                <w:bottom w:val="none" w:sz="0" w:space="0" w:color="auto"/>
                <w:right w:val="none" w:sz="0" w:space="0" w:color="auto"/>
              </w:divBdr>
            </w:div>
            <w:div w:id="1032075290">
              <w:marLeft w:val="0"/>
              <w:marRight w:val="0"/>
              <w:marTop w:val="0"/>
              <w:marBottom w:val="0"/>
              <w:divBdr>
                <w:top w:val="none" w:sz="0" w:space="0" w:color="auto"/>
                <w:left w:val="none" w:sz="0" w:space="0" w:color="auto"/>
                <w:bottom w:val="none" w:sz="0" w:space="0" w:color="auto"/>
                <w:right w:val="none" w:sz="0" w:space="0" w:color="auto"/>
              </w:divBdr>
            </w:div>
            <w:div w:id="1433477139">
              <w:marLeft w:val="0"/>
              <w:marRight w:val="0"/>
              <w:marTop w:val="0"/>
              <w:marBottom w:val="0"/>
              <w:divBdr>
                <w:top w:val="none" w:sz="0" w:space="0" w:color="auto"/>
                <w:left w:val="none" w:sz="0" w:space="0" w:color="auto"/>
                <w:bottom w:val="none" w:sz="0" w:space="0" w:color="auto"/>
                <w:right w:val="none" w:sz="0" w:space="0" w:color="auto"/>
              </w:divBdr>
            </w:div>
            <w:div w:id="1448887031">
              <w:marLeft w:val="0"/>
              <w:marRight w:val="0"/>
              <w:marTop w:val="0"/>
              <w:marBottom w:val="0"/>
              <w:divBdr>
                <w:top w:val="none" w:sz="0" w:space="0" w:color="auto"/>
                <w:left w:val="none" w:sz="0" w:space="0" w:color="auto"/>
                <w:bottom w:val="none" w:sz="0" w:space="0" w:color="auto"/>
                <w:right w:val="none" w:sz="0" w:space="0" w:color="auto"/>
              </w:divBdr>
            </w:div>
            <w:div w:id="1590582612">
              <w:marLeft w:val="0"/>
              <w:marRight w:val="0"/>
              <w:marTop w:val="0"/>
              <w:marBottom w:val="0"/>
              <w:divBdr>
                <w:top w:val="none" w:sz="0" w:space="0" w:color="auto"/>
                <w:left w:val="none" w:sz="0" w:space="0" w:color="auto"/>
                <w:bottom w:val="none" w:sz="0" w:space="0" w:color="auto"/>
                <w:right w:val="none" w:sz="0" w:space="0" w:color="auto"/>
              </w:divBdr>
            </w:div>
            <w:div w:id="1602644182">
              <w:marLeft w:val="0"/>
              <w:marRight w:val="0"/>
              <w:marTop w:val="0"/>
              <w:marBottom w:val="0"/>
              <w:divBdr>
                <w:top w:val="none" w:sz="0" w:space="0" w:color="auto"/>
                <w:left w:val="none" w:sz="0" w:space="0" w:color="auto"/>
                <w:bottom w:val="none" w:sz="0" w:space="0" w:color="auto"/>
                <w:right w:val="none" w:sz="0" w:space="0" w:color="auto"/>
              </w:divBdr>
            </w:div>
            <w:div w:id="1702438947">
              <w:marLeft w:val="0"/>
              <w:marRight w:val="0"/>
              <w:marTop w:val="0"/>
              <w:marBottom w:val="0"/>
              <w:divBdr>
                <w:top w:val="none" w:sz="0" w:space="0" w:color="auto"/>
                <w:left w:val="none" w:sz="0" w:space="0" w:color="auto"/>
                <w:bottom w:val="none" w:sz="0" w:space="0" w:color="auto"/>
                <w:right w:val="none" w:sz="0" w:space="0" w:color="auto"/>
              </w:divBdr>
            </w:div>
            <w:div w:id="1777486255">
              <w:marLeft w:val="0"/>
              <w:marRight w:val="0"/>
              <w:marTop w:val="0"/>
              <w:marBottom w:val="0"/>
              <w:divBdr>
                <w:top w:val="none" w:sz="0" w:space="0" w:color="auto"/>
                <w:left w:val="none" w:sz="0" w:space="0" w:color="auto"/>
                <w:bottom w:val="none" w:sz="0" w:space="0" w:color="auto"/>
                <w:right w:val="none" w:sz="0" w:space="0" w:color="auto"/>
              </w:divBdr>
            </w:div>
            <w:div w:id="1908875174">
              <w:marLeft w:val="0"/>
              <w:marRight w:val="0"/>
              <w:marTop w:val="0"/>
              <w:marBottom w:val="0"/>
              <w:divBdr>
                <w:top w:val="none" w:sz="0" w:space="0" w:color="auto"/>
                <w:left w:val="none" w:sz="0" w:space="0" w:color="auto"/>
                <w:bottom w:val="none" w:sz="0" w:space="0" w:color="auto"/>
                <w:right w:val="none" w:sz="0" w:space="0" w:color="auto"/>
              </w:divBdr>
            </w:div>
            <w:div w:id="2032143576">
              <w:marLeft w:val="0"/>
              <w:marRight w:val="0"/>
              <w:marTop w:val="0"/>
              <w:marBottom w:val="0"/>
              <w:divBdr>
                <w:top w:val="none" w:sz="0" w:space="0" w:color="auto"/>
                <w:left w:val="none" w:sz="0" w:space="0" w:color="auto"/>
                <w:bottom w:val="none" w:sz="0" w:space="0" w:color="auto"/>
                <w:right w:val="none" w:sz="0" w:space="0" w:color="auto"/>
              </w:divBdr>
            </w:div>
          </w:divsChild>
        </w:div>
        <w:div w:id="134182816">
          <w:marLeft w:val="0"/>
          <w:marRight w:val="0"/>
          <w:marTop w:val="0"/>
          <w:marBottom w:val="0"/>
          <w:divBdr>
            <w:top w:val="none" w:sz="0" w:space="0" w:color="auto"/>
            <w:left w:val="none" w:sz="0" w:space="0" w:color="auto"/>
            <w:bottom w:val="none" w:sz="0" w:space="0" w:color="auto"/>
            <w:right w:val="none" w:sz="0" w:space="0" w:color="auto"/>
          </w:divBdr>
        </w:div>
        <w:div w:id="138113851">
          <w:marLeft w:val="0"/>
          <w:marRight w:val="0"/>
          <w:marTop w:val="0"/>
          <w:marBottom w:val="0"/>
          <w:divBdr>
            <w:top w:val="none" w:sz="0" w:space="0" w:color="auto"/>
            <w:left w:val="none" w:sz="0" w:space="0" w:color="auto"/>
            <w:bottom w:val="none" w:sz="0" w:space="0" w:color="auto"/>
            <w:right w:val="none" w:sz="0" w:space="0" w:color="auto"/>
          </w:divBdr>
          <w:divsChild>
            <w:div w:id="153882725">
              <w:marLeft w:val="0"/>
              <w:marRight w:val="0"/>
              <w:marTop w:val="0"/>
              <w:marBottom w:val="0"/>
              <w:divBdr>
                <w:top w:val="none" w:sz="0" w:space="0" w:color="auto"/>
                <w:left w:val="none" w:sz="0" w:space="0" w:color="auto"/>
                <w:bottom w:val="none" w:sz="0" w:space="0" w:color="auto"/>
                <w:right w:val="none" w:sz="0" w:space="0" w:color="auto"/>
              </w:divBdr>
            </w:div>
            <w:div w:id="217782787">
              <w:marLeft w:val="0"/>
              <w:marRight w:val="0"/>
              <w:marTop w:val="0"/>
              <w:marBottom w:val="0"/>
              <w:divBdr>
                <w:top w:val="none" w:sz="0" w:space="0" w:color="auto"/>
                <w:left w:val="none" w:sz="0" w:space="0" w:color="auto"/>
                <w:bottom w:val="none" w:sz="0" w:space="0" w:color="auto"/>
                <w:right w:val="none" w:sz="0" w:space="0" w:color="auto"/>
              </w:divBdr>
            </w:div>
            <w:div w:id="538973204">
              <w:marLeft w:val="0"/>
              <w:marRight w:val="0"/>
              <w:marTop w:val="0"/>
              <w:marBottom w:val="0"/>
              <w:divBdr>
                <w:top w:val="none" w:sz="0" w:space="0" w:color="auto"/>
                <w:left w:val="none" w:sz="0" w:space="0" w:color="auto"/>
                <w:bottom w:val="none" w:sz="0" w:space="0" w:color="auto"/>
                <w:right w:val="none" w:sz="0" w:space="0" w:color="auto"/>
              </w:divBdr>
            </w:div>
            <w:div w:id="658269140">
              <w:marLeft w:val="0"/>
              <w:marRight w:val="0"/>
              <w:marTop w:val="0"/>
              <w:marBottom w:val="0"/>
              <w:divBdr>
                <w:top w:val="none" w:sz="0" w:space="0" w:color="auto"/>
                <w:left w:val="none" w:sz="0" w:space="0" w:color="auto"/>
                <w:bottom w:val="none" w:sz="0" w:space="0" w:color="auto"/>
                <w:right w:val="none" w:sz="0" w:space="0" w:color="auto"/>
              </w:divBdr>
            </w:div>
            <w:div w:id="740832761">
              <w:marLeft w:val="0"/>
              <w:marRight w:val="0"/>
              <w:marTop w:val="0"/>
              <w:marBottom w:val="0"/>
              <w:divBdr>
                <w:top w:val="none" w:sz="0" w:space="0" w:color="auto"/>
                <w:left w:val="none" w:sz="0" w:space="0" w:color="auto"/>
                <w:bottom w:val="none" w:sz="0" w:space="0" w:color="auto"/>
                <w:right w:val="none" w:sz="0" w:space="0" w:color="auto"/>
              </w:divBdr>
            </w:div>
            <w:div w:id="773212542">
              <w:marLeft w:val="0"/>
              <w:marRight w:val="0"/>
              <w:marTop w:val="0"/>
              <w:marBottom w:val="0"/>
              <w:divBdr>
                <w:top w:val="none" w:sz="0" w:space="0" w:color="auto"/>
                <w:left w:val="none" w:sz="0" w:space="0" w:color="auto"/>
                <w:bottom w:val="none" w:sz="0" w:space="0" w:color="auto"/>
                <w:right w:val="none" w:sz="0" w:space="0" w:color="auto"/>
              </w:divBdr>
            </w:div>
            <w:div w:id="785857397">
              <w:marLeft w:val="0"/>
              <w:marRight w:val="0"/>
              <w:marTop w:val="0"/>
              <w:marBottom w:val="0"/>
              <w:divBdr>
                <w:top w:val="none" w:sz="0" w:space="0" w:color="auto"/>
                <w:left w:val="none" w:sz="0" w:space="0" w:color="auto"/>
                <w:bottom w:val="none" w:sz="0" w:space="0" w:color="auto"/>
                <w:right w:val="none" w:sz="0" w:space="0" w:color="auto"/>
              </w:divBdr>
            </w:div>
            <w:div w:id="905262916">
              <w:marLeft w:val="0"/>
              <w:marRight w:val="0"/>
              <w:marTop w:val="0"/>
              <w:marBottom w:val="0"/>
              <w:divBdr>
                <w:top w:val="none" w:sz="0" w:space="0" w:color="auto"/>
                <w:left w:val="none" w:sz="0" w:space="0" w:color="auto"/>
                <w:bottom w:val="none" w:sz="0" w:space="0" w:color="auto"/>
                <w:right w:val="none" w:sz="0" w:space="0" w:color="auto"/>
              </w:divBdr>
            </w:div>
            <w:div w:id="1003313931">
              <w:marLeft w:val="0"/>
              <w:marRight w:val="0"/>
              <w:marTop w:val="0"/>
              <w:marBottom w:val="0"/>
              <w:divBdr>
                <w:top w:val="none" w:sz="0" w:space="0" w:color="auto"/>
                <w:left w:val="none" w:sz="0" w:space="0" w:color="auto"/>
                <w:bottom w:val="none" w:sz="0" w:space="0" w:color="auto"/>
                <w:right w:val="none" w:sz="0" w:space="0" w:color="auto"/>
              </w:divBdr>
            </w:div>
            <w:div w:id="1051923617">
              <w:marLeft w:val="0"/>
              <w:marRight w:val="0"/>
              <w:marTop w:val="0"/>
              <w:marBottom w:val="0"/>
              <w:divBdr>
                <w:top w:val="none" w:sz="0" w:space="0" w:color="auto"/>
                <w:left w:val="none" w:sz="0" w:space="0" w:color="auto"/>
                <w:bottom w:val="none" w:sz="0" w:space="0" w:color="auto"/>
                <w:right w:val="none" w:sz="0" w:space="0" w:color="auto"/>
              </w:divBdr>
            </w:div>
            <w:div w:id="1305936059">
              <w:marLeft w:val="0"/>
              <w:marRight w:val="0"/>
              <w:marTop w:val="0"/>
              <w:marBottom w:val="0"/>
              <w:divBdr>
                <w:top w:val="none" w:sz="0" w:space="0" w:color="auto"/>
                <w:left w:val="none" w:sz="0" w:space="0" w:color="auto"/>
                <w:bottom w:val="none" w:sz="0" w:space="0" w:color="auto"/>
                <w:right w:val="none" w:sz="0" w:space="0" w:color="auto"/>
              </w:divBdr>
            </w:div>
            <w:div w:id="1349525432">
              <w:marLeft w:val="0"/>
              <w:marRight w:val="0"/>
              <w:marTop w:val="0"/>
              <w:marBottom w:val="0"/>
              <w:divBdr>
                <w:top w:val="none" w:sz="0" w:space="0" w:color="auto"/>
                <w:left w:val="none" w:sz="0" w:space="0" w:color="auto"/>
                <w:bottom w:val="none" w:sz="0" w:space="0" w:color="auto"/>
                <w:right w:val="none" w:sz="0" w:space="0" w:color="auto"/>
              </w:divBdr>
            </w:div>
            <w:div w:id="1419327779">
              <w:marLeft w:val="0"/>
              <w:marRight w:val="0"/>
              <w:marTop w:val="0"/>
              <w:marBottom w:val="0"/>
              <w:divBdr>
                <w:top w:val="none" w:sz="0" w:space="0" w:color="auto"/>
                <w:left w:val="none" w:sz="0" w:space="0" w:color="auto"/>
                <w:bottom w:val="none" w:sz="0" w:space="0" w:color="auto"/>
                <w:right w:val="none" w:sz="0" w:space="0" w:color="auto"/>
              </w:divBdr>
            </w:div>
            <w:div w:id="1469929924">
              <w:marLeft w:val="0"/>
              <w:marRight w:val="0"/>
              <w:marTop w:val="0"/>
              <w:marBottom w:val="0"/>
              <w:divBdr>
                <w:top w:val="none" w:sz="0" w:space="0" w:color="auto"/>
                <w:left w:val="none" w:sz="0" w:space="0" w:color="auto"/>
                <w:bottom w:val="none" w:sz="0" w:space="0" w:color="auto"/>
                <w:right w:val="none" w:sz="0" w:space="0" w:color="auto"/>
              </w:divBdr>
            </w:div>
            <w:div w:id="1613592982">
              <w:marLeft w:val="0"/>
              <w:marRight w:val="0"/>
              <w:marTop w:val="0"/>
              <w:marBottom w:val="0"/>
              <w:divBdr>
                <w:top w:val="none" w:sz="0" w:space="0" w:color="auto"/>
                <w:left w:val="none" w:sz="0" w:space="0" w:color="auto"/>
                <w:bottom w:val="none" w:sz="0" w:space="0" w:color="auto"/>
                <w:right w:val="none" w:sz="0" w:space="0" w:color="auto"/>
              </w:divBdr>
            </w:div>
            <w:div w:id="1622802869">
              <w:marLeft w:val="0"/>
              <w:marRight w:val="0"/>
              <w:marTop w:val="0"/>
              <w:marBottom w:val="0"/>
              <w:divBdr>
                <w:top w:val="none" w:sz="0" w:space="0" w:color="auto"/>
                <w:left w:val="none" w:sz="0" w:space="0" w:color="auto"/>
                <w:bottom w:val="none" w:sz="0" w:space="0" w:color="auto"/>
                <w:right w:val="none" w:sz="0" w:space="0" w:color="auto"/>
              </w:divBdr>
            </w:div>
            <w:div w:id="1755317713">
              <w:marLeft w:val="0"/>
              <w:marRight w:val="0"/>
              <w:marTop w:val="0"/>
              <w:marBottom w:val="0"/>
              <w:divBdr>
                <w:top w:val="none" w:sz="0" w:space="0" w:color="auto"/>
                <w:left w:val="none" w:sz="0" w:space="0" w:color="auto"/>
                <w:bottom w:val="none" w:sz="0" w:space="0" w:color="auto"/>
                <w:right w:val="none" w:sz="0" w:space="0" w:color="auto"/>
              </w:divBdr>
            </w:div>
            <w:div w:id="1901288701">
              <w:marLeft w:val="0"/>
              <w:marRight w:val="0"/>
              <w:marTop w:val="0"/>
              <w:marBottom w:val="0"/>
              <w:divBdr>
                <w:top w:val="none" w:sz="0" w:space="0" w:color="auto"/>
                <w:left w:val="none" w:sz="0" w:space="0" w:color="auto"/>
                <w:bottom w:val="none" w:sz="0" w:space="0" w:color="auto"/>
                <w:right w:val="none" w:sz="0" w:space="0" w:color="auto"/>
              </w:divBdr>
            </w:div>
            <w:div w:id="1902862961">
              <w:marLeft w:val="0"/>
              <w:marRight w:val="0"/>
              <w:marTop w:val="0"/>
              <w:marBottom w:val="0"/>
              <w:divBdr>
                <w:top w:val="none" w:sz="0" w:space="0" w:color="auto"/>
                <w:left w:val="none" w:sz="0" w:space="0" w:color="auto"/>
                <w:bottom w:val="none" w:sz="0" w:space="0" w:color="auto"/>
                <w:right w:val="none" w:sz="0" w:space="0" w:color="auto"/>
              </w:divBdr>
            </w:div>
            <w:div w:id="2040742326">
              <w:marLeft w:val="0"/>
              <w:marRight w:val="0"/>
              <w:marTop w:val="0"/>
              <w:marBottom w:val="0"/>
              <w:divBdr>
                <w:top w:val="none" w:sz="0" w:space="0" w:color="auto"/>
                <w:left w:val="none" w:sz="0" w:space="0" w:color="auto"/>
                <w:bottom w:val="none" w:sz="0" w:space="0" w:color="auto"/>
                <w:right w:val="none" w:sz="0" w:space="0" w:color="auto"/>
              </w:divBdr>
            </w:div>
          </w:divsChild>
        </w:div>
        <w:div w:id="140853379">
          <w:marLeft w:val="0"/>
          <w:marRight w:val="0"/>
          <w:marTop w:val="0"/>
          <w:marBottom w:val="0"/>
          <w:divBdr>
            <w:top w:val="none" w:sz="0" w:space="0" w:color="auto"/>
            <w:left w:val="none" w:sz="0" w:space="0" w:color="auto"/>
            <w:bottom w:val="none" w:sz="0" w:space="0" w:color="auto"/>
            <w:right w:val="none" w:sz="0" w:space="0" w:color="auto"/>
          </w:divBdr>
        </w:div>
        <w:div w:id="142281361">
          <w:marLeft w:val="0"/>
          <w:marRight w:val="0"/>
          <w:marTop w:val="0"/>
          <w:marBottom w:val="0"/>
          <w:divBdr>
            <w:top w:val="none" w:sz="0" w:space="0" w:color="auto"/>
            <w:left w:val="none" w:sz="0" w:space="0" w:color="auto"/>
            <w:bottom w:val="none" w:sz="0" w:space="0" w:color="auto"/>
            <w:right w:val="none" w:sz="0" w:space="0" w:color="auto"/>
          </w:divBdr>
        </w:div>
        <w:div w:id="144444248">
          <w:marLeft w:val="0"/>
          <w:marRight w:val="0"/>
          <w:marTop w:val="0"/>
          <w:marBottom w:val="0"/>
          <w:divBdr>
            <w:top w:val="none" w:sz="0" w:space="0" w:color="auto"/>
            <w:left w:val="none" w:sz="0" w:space="0" w:color="auto"/>
            <w:bottom w:val="none" w:sz="0" w:space="0" w:color="auto"/>
            <w:right w:val="none" w:sz="0" w:space="0" w:color="auto"/>
          </w:divBdr>
        </w:div>
        <w:div w:id="144708529">
          <w:marLeft w:val="0"/>
          <w:marRight w:val="0"/>
          <w:marTop w:val="0"/>
          <w:marBottom w:val="0"/>
          <w:divBdr>
            <w:top w:val="none" w:sz="0" w:space="0" w:color="auto"/>
            <w:left w:val="none" w:sz="0" w:space="0" w:color="auto"/>
            <w:bottom w:val="none" w:sz="0" w:space="0" w:color="auto"/>
            <w:right w:val="none" w:sz="0" w:space="0" w:color="auto"/>
          </w:divBdr>
        </w:div>
        <w:div w:id="145825750">
          <w:marLeft w:val="0"/>
          <w:marRight w:val="0"/>
          <w:marTop w:val="0"/>
          <w:marBottom w:val="0"/>
          <w:divBdr>
            <w:top w:val="none" w:sz="0" w:space="0" w:color="auto"/>
            <w:left w:val="none" w:sz="0" w:space="0" w:color="auto"/>
            <w:bottom w:val="none" w:sz="0" w:space="0" w:color="auto"/>
            <w:right w:val="none" w:sz="0" w:space="0" w:color="auto"/>
          </w:divBdr>
        </w:div>
        <w:div w:id="146434534">
          <w:marLeft w:val="0"/>
          <w:marRight w:val="0"/>
          <w:marTop w:val="0"/>
          <w:marBottom w:val="0"/>
          <w:divBdr>
            <w:top w:val="none" w:sz="0" w:space="0" w:color="auto"/>
            <w:left w:val="none" w:sz="0" w:space="0" w:color="auto"/>
            <w:bottom w:val="none" w:sz="0" w:space="0" w:color="auto"/>
            <w:right w:val="none" w:sz="0" w:space="0" w:color="auto"/>
          </w:divBdr>
        </w:div>
        <w:div w:id="147409043">
          <w:marLeft w:val="0"/>
          <w:marRight w:val="0"/>
          <w:marTop w:val="0"/>
          <w:marBottom w:val="0"/>
          <w:divBdr>
            <w:top w:val="none" w:sz="0" w:space="0" w:color="auto"/>
            <w:left w:val="none" w:sz="0" w:space="0" w:color="auto"/>
            <w:bottom w:val="none" w:sz="0" w:space="0" w:color="auto"/>
            <w:right w:val="none" w:sz="0" w:space="0" w:color="auto"/>
          </w:divBdr>
        </w:div>
        <w:div w:id="148449106">
          <w:marLeft w:val="0"/>
          <w:marRight w:val="0"/>
          <w:marTop w:val="0"/>
          <w:marBottom w:val="0"/>
          <w:divBdr>
            <w:top w:val="none" w:sz="0" w:space="0" w:color="auto"/>
            <w:left w:val="none" w:sz="0" w:space="0" w:color="auto"/>
            <w:bottom w:val="none" w:sz="0" w:space="0" w:color="auto"/>
            <w:right w:val="none" w:sz="0" w:space="0" w:color="auto"/>
          </w:divBdr>
        </w:div>
        <w:div w:id="149444088">
          <w:marLeft w:val="0"/>
          <w:marRight w:val="0"/>
          <w:marTop w:val="0"/>
          <w:marBottom w:val="0"/>
          <w:divBdr>
            <w:top w:val="none" w:sz="0" w:space="0" w:color="auto"/>
            <w:left w:val="none" w:sz="0" w:space="0" w:color="auto"/>
            <w:bottom w:val="none" w:sz="0" w:space="0" w:color="auto"/>
            <w:right w:val="none" w:sz="0" w:space="0" w:color="auto"/>
          </w:divBdr>
        </w:div>
        <w:div w:id="151259496">
          <w:marLeft w:val="0"/>
          <w:marRight w:val="0"/>
          <w:marTop w:val="0"/>
          <w:marBottom w:val="0"/>
          <w:divBdr>
            <w:top w:val="none" w:sz="0" w:space="0" w:color="auto"/>
            <w:left w:val="none" w:sz="0" w:space="0" w:color="auto"/>
            <w:bottom w:val="none" w:sz="0" w:space="0" w:color="auto"/>
            <w:right w:val="none" w:sz="0" w:space="0" w:color="auto"/>
          </w:divBdr>
        </w:div>
        <w:div w:id="151411697">
          <w:marLeft w:val="0"/>
          <w:marRight w:val="0"/>
          <w:marTop w:val="0"/>
          <w:marBottom w:val="0"/>
          <w:divBdr>
            <w:top w:val="none" w:sz="0" w:space="0" w:color="auto"/>
            <w:left w:val="none" w:sz="0" w:space="0" w:color="auto"/>
            <w:bottom w:val="none" w:sz="0" w:space="0" w:color="auto"/>
            <w:right w:val="none" w:sz="0" w:space="0" w:color="auto"/>
          </w:divBdr>
        </w:div>
        <w:div w:id="151917774">
          <w:marLeft w:val="0"/>
          <w:marRight w:val="0"/>
          <w:marTop w:val="0"/>
          <w:marBottom w:val="0"/>
          <w:divBdr>
            <w:top w:val="none" w:sz="0" w:space="0" w:color="auto"/>
            <w:left w:val="none" w:sz="0" w:space="0" w:color="auto"/>
            <w:bottom w:val="none" w:sz="0" w:space="0" w:color="auto"/>
            <w:right w:val="none" w:sz="0" w:space="0" w:color="auto"/>
          </w:divBdr>
        </w:div>
        <w:div w:id="154876529">
          <w:marLeft w:val="0"/>
          <w:marRight w:val="0"/>
          <w:marTop w:val="0"/>
          <w:marBottom w:val="0"/>
          <w:divBdr>
            <w:top w:val="none" w:sz="0" w:space="0" w:color="auto"/>
            <w:left w:val="none" w:sz="0" w:space="0" w:color="auto"/>
            <w:bottom w:val="none" w:sz="0" w:space="0" w:color="auto"/>
            <w:right w:val="none" w:sz="0" w:space="0" w:color="auto"/>
          </w:divBdr>
        </w:div>
        <w:div w:id="155807988">
          <w:marLeft w:val="0"/>
          <w:marRight w:val="0"/>
          <w:marTop w:val="0"/>
          <w:marBottom w:val="0"/>
          <w:divBdr>
            <w:top w:val="none" w:sz="0" w:space="0" w:color="auto"/>
            <w:left w:val="none" w:sz="0" w:space="0" w:color="auto"/>
            <w:bottom w:val="none" w:sz="0" w:space="0" w:color="auto"/>
            <w:right w:val="none" w:sz="0" w:space="0" w:color="auto"/>
          </w:divBdr>
        </w:div>
        <w:div w:id="157890740">
          <w:marLeft w:val="0"/>
          <w:marRight w:val="0"/>
          <w:marTop w:val="0"/>
          <w:marBottom w:val="0"/>
          <w:divBdr>
            <w:top w:val="none" w:sz="0" w:space="0" w:color="auto"/>
            <w:left w:val="none" w:sz="0" w:space="0" w:color="auto"/>
            <w:bottom w:val="none" w:sz="0" w:space="0" w:color="auto"/>
            <w:right w:val="none" w:sz="0" w:space="0" w:color="auto"/>
          </w:divBdr>
        </w:div>
        <w:div w:id="158543931">
          <w:marLeft w:val="0"/>
          <w:marRight w:val="0"/>
          <w:marTop w:val="0"/>
          <w:marBottom w:val="0"/>
          <w:divBdr>
            <w:top w:val="none" w:sz="0" w:space="0" w:color="auto"/>
            <w:left w:val="none" w:sz="0" w:space="0" w:color="auto"/>
            <w:bottom w:val="none" w:sz="0" w:space="0" w:color="auto"/>
            <w:right w:val="none" w:sz="0" w:space="0" w:color="auto"/>
          </w:divBdr>
        </w:div>
        <w:div w:id="160049336">
          <w:marLeft w:val="0"/>
          <w:marRight w:val="0"/>
          <w:marTop w:val="0"/>
          <w:marBottom w:val="0"/>
          <w:divBdr>
            <w:top w:val="none" w:sz="0" w:space="0" w:color="auto"/>
            <w:left w:val="none" w:sz="0" w:space="0" w:color="auto"/>
            <w:bottom w:val="none" w:sz="0" w:space="0" w:color="auto"/>
            <w:right w:val="none" w:sz="0" w:space="0" w:color="auto"/>
          </w:divBdr>
        </w:div>
        <w:div w:id="161628169">
          <w:marLeft w:val="0"/>
          <w:marRight w:val="0"/>
          <w:marTop w:val="0"/>
          <w:marBottom w:val="0"/>
          <w:divBdr>
            <w:top w:val="none" w:sz="0" w:space="0" w:color="auto"/>
            <w:left w:val="none" w:sz="0" w:space="0" w:color="auto"/>
            <w:bottom w:val="none" w:sz="0" w:space="0" w:color="auto"/>
            <w:right w:val="none" w:sz="0" w:space="0" w:color="auto"/>
          </w:divBdr>
        </w:div>
        <w:div w:id="161775168">
          <w:marLeft w:val="0"/>
          <w:marRight w:val="0"/>
          <w:marTop w:val="0"/>
          <w:marBottom w:val="0"/>
          <w:divBdr>
            <w:top w:val="none" w:sz="0" w:space="0" w:color="auto"/>
            <w:left w:val="none" w:sz="0" w:space="0" w:color="auto"/>
            <w:bottom w:val="none" w:sz="0" w:space="0" w:color="auto"/>
            <w:right w:val="none" w:sz="0" w:space="0" w:color="auto"/>
          </w:divBdr>
        </w:div>
        <w:div w:id="163980483">
          <w:marLeft w:val="0"/>
          <w:marRight w:val="0"/>
          <w:marTop w:val="0"/>
          <w:marBottom w:val="0"/>
          <w:divBdr>
            <w:top w:val="none" w:sz="0" w:space="0" w:color="auto"/>
            <w:left w:val="none" w:sz="0" w:space="0" w:color="auto"/>
            <w:bottom w:val="none" w:sz="0" w:space="0" w:color="auto"/>
            <w:right w:val="none" w:sz="0" w:space="0" w:color="auto"/>
          </w:divBdr>
        </w:div>
        <w:div w:id="165555407">
          <w:marLeft w:val="0"/>
          <w:marRight w:val="0"/>
          <w:marTop w:val="0"/>
          <w:marBottom w:val="0"/>
          <w:divBdr>
            <w:top w:val="none" w:sz="0" w:space="0" w:color="auto"/>
            <w:left w:val="none" w:sz="0" w:space="0" w:color="auto"/>
            <w:bottom w:val="none" w:sz="0" w:space="0" w:color="auto"/>
            <w:right w:val="none" w:sz="0" w:space="0" w:color="auto"/>
          </w:divBdr>
          <w:divsChild>
            <w:div w:id="119570133">
              <w:marLeft w:val="0"/>
              <w:marRight w:val="0"/>
              <w:marTop w:val="0"/>
              <w:marBottom w:val="0"/>
              <w:divBdr>
                <w:top w:val="none" w:sz="0" w:space="0" w:color="auto"/>
                <w:left w:val="none" w:sz="0" w:space="0" w:color="auto"/>
                <w:bottom w:val="none" w:sz="0" w:space="0" w:color="auto"/>
                <w:right w:val="none" w:sz="0" w:space="0" w:color="auto"/>
              </w:divBdr>
            </w:div>
            <w:div w:id="228535956">
              <w:marLeft w:val="0"/>
              <w:marRight w:val="0"/>
              <w:marTop w:val="0"/>
              <w:marBottom w:val="0"/>
              <w:divBdr>
                <w:top w:val="none" w:sz="0" w:space="0" w:color="auto"/>
                <w:left w:val="none" w:sz="0" w:space="0" w:color="auto"/>
                <w:bottom w:val="none" w:sz="0" w:space="0" w:color="auto"/>
                <w:right w:val="none" w:sz="0" w:space="0" w:color="auto"/>
              </w:divBdr>
            </w:div>
            <w:div w:id="318508537">
              <w:marLeft w:val="0"/>
              <w:marRight w:val="0"/>
              <w:marTop w:val="0"/>
              <w:marBottom w:val="0"/>
              <w:divBdr>
                <w:top w:val="none" w:sz="0" w:space="0" w:color="auto"/>
                <w:left w:val="none" w:sz="0" w:space="0" w:color="auto"/>
                <w:bottom w:val="none" w:sz="0" w:space="0" w:color="auto"/>
                <w:right w:val="none" w:sz="0" w:space="0" w:color="auto"/>
              </w:divBdr>
            </w:div>
            <w:div w:id="332805858">
              <w:marLeft w:val="0"/>
              <w:marRight w:val="0"/>
              <w:marTop w:val="0"/>
              <w:marBottom w:val="0"/>
              <w:divBdr>
                <w:top w:val="none" w:sz="0" w:space="0" w:color="auto"/>
                <w:left w:val="none" w:sz="0" w:space="0" w:color="auto"/>
                <w:bottom w:val="none" w:sz="0" w:space="0" w:color="auto"/>
                <w:right w:val="none" w:sz="0" w:space="0" w:color="auto"/>
              </w:divBdr>
            </w:div>
            <w:div w:id="715351957">
              <w:marLeft w:val="0"/>
              <w:marRight w:val="0"/>
              <w:marTop w:val="0"/>
              <w:marBottom w:val="0"/>
              <w:divBdr>
                <w:top w:val="none" w:sz="0" w:space="0" w:color="auto"/>
                <w:left w:val="none" w:sz="0" w:space="0" w:color="auto"/>
                <w:bottom w:val="none" w:sz="0" w:space="0" w:color="auto"/>
                <w:right w:val="none" w:sz="0" w:space="0" w:color="auto"/>
              </w:divBdr>
            </w:div>
            <w:div w:id="836964849">
              <w:marLeft w:val="0"/>
              <w:marRight w:val="0"/>
              <w:marTop w:val="0"/>
              <w:marBottom w:val="0"/>
              <w:divBdr>
                <w:top w:val="none" w:sz="0" w:space="0" w:color="auto"/>
                <w:left w:val="none" w:sz="0" w:space="0" w:color="auto"/>
                <w:bottom w:val="none" w:sz="0" w:space="0" w:color="auto"/>
                <w:right w:val="none" w:sz="0" w:space="0" w:color="auto"/>
              </w:divBdr>
            </w:div>
            <w:div w:id="1057123669">
              <w:marLeft w:val="0"/>
              <w:marRight w:val="0"/>
              <w:marTop w:val="0"/>
              <w:marBottom w:val="0"/>
              <w:divBdr>
                <w:top w:val="none" w:sz="0" w:space="0" w:color="auto"/>
                <w:left w:val="none" w:sz="0" w:space="0" w:color="auto"/>
                <w:bottom w:val="none" w:sz="0" w:space="0" w:color="auto"/>
                <w:right w:val="none" w:sz="0" w:space="0" w:color="auto"/>
              </w:divBdr>
            </w:div>
            <w:div w:id="1106924007">
              <w:marLeft w:val="0"/>
              <w:marRight w:val="0"/>
              <w:marTop w:val="0"/>
              <w:marBottom w:val="0"/>
              <w:divBdr>
                <w:top w:val="none" w:sz="0" w:space="0" w:color="auto"/>
                <w:left w:val="none" w:sz="0" w:space="0" w:color="auto"/>
                <w:bottom w:val="none" w:sz="0" w:space="0" w:color="auto"/>
                <w:right w:val="none" w:sz="0" w:space="0" w:color="auto"/>
              </w:divBdr>
            </w:div>
            <w:div w:id="1475098880">
              <w:marLeft w:val="0"/>
              <w:marRight w:val="0"/>
              <w:marTop w:val="0"/>
              <w:marBottom w:val="0"/>
              <w:divBdr>
                <w:top w:val="none" w:sz="0" w:space="0" w:color="auto"/>
                <w:left w:val="none" w:sz="0" w:space="0" w:color="auto"/>
                <w:bottom w:val="none" w:sz="0" w:space="0" w:color="auto"/>
                <w:right w:val="none" w:sz="0" w:space="0" w:color="auto"/>
              </w:divBdr>
            </w:div>
            <w:div w:id="1490512352">
              <w:marLeft w:val="0"/>
              <w:marRight w:val="0"/>
              <w:marTop w:val="0"/>
              <w:marBottom w:val="0"/>
              <w:divBdr>
                <w:top w:val="none" w:sz="0" w:space="0" w:color="auto"/>
                <w:left w:val="none" w:sz="0" w:space="0" w:color="auto"/>
                <w:bottom w:val="none" w:sz="0" w:space="0" w:color="auto"/>
                <w:right w:val="none" w:sz="0" w:space="0" w:color="auto"/>
              </w:divBdr>
            </w:div>
            <w:div w:id="1523664912">
              <w:marLeft w:val="0"/>
              <w:marRight w:val="0"/>
              <w:marTop w:val="0"/>
              <w:marBottom w:val="0"/>
              <w:divBdr>
                <w:top w:val="none" w:sz="0" w:space="0" w:color="auto"/>
                <w:left w:val="none" w:sz="0" w:space="0" w:color="auto"/>
                <w:bottom w:val="none" w:sz="0" w:space="0" w:color="auto"/>
                <w:right w:val="none" w:sz="0" w:space="0" w:color="auto"/>
              </w:divBdr>
            </w:div>
            <w:div w:id="1623145930">
              <w:marLeft w:val="0"/>
              <w:marRight w:val="0"/>
              <w:marTop w:val="0"/>
              <w:marBottom w:val="0"/>
              <w:divBdr>
                <w:top w:val="none" w:sz="0" w:space="0" w:color="auto"/>
                <w:left w:val="none" w:sz="0" w:space="0" w:color="auto"/>
                <w:bottom w:val="none" w:sz="0" w:space="0" w:color="auto"/>
                <w:right w:val="none" w:sz="0" w:space="0" w:color="auto"/>
              </w:divBdr>
            </w:div>
            <w:div w:id="1724793676">
              <w:marLeft w:val="0"/>
              <w:marRight w:val="0"/>
              <w:marTop w:val="0"/>
              <w:marBottom w:val="0"/>
              <w:divBdr>
                <w:top w:val="none" w:sz="0" w:space="0" w:color="auto"/>
                <w:left w:val="none" w:sz="0" w:space="0" w:color="auto"/>
                <w:bottom w:val="none" w:sz="0" w:space="0" w:color="auto"/>
                <w:right w:val="none" w:sz="0" w:space="0" w:color="auto"/>
              </w:divBdr>
            </w:div>
            <w:div w:id="1877809671">
              <w:marLeft w:val="0"/>
              <w:marRight w:val="0"/>
              <w:marTop w:val="0"/>
              <w:marBottom w:val="0"/>
              <w:divBdr>
                <w:top w:val="none" w:sz="0" w:space="0" w:color="auto"/>
                <w:left w:val="none" w:sz="0" w:space="0" w:color="auto"/>
                <w:bottom w:val="none" w:sz="0" w:space="0" w:color="auto"/>
                <w:right w:val="none" w:sz="0" w:space="0" w:color="auto"/>
              </w:divBdr>
            </w:div>
            <w:div w:id="1887184908">
              <w:marLeft w:val="0"/>
              <w:marRight w:val="0"/>
              <w:marTop w:val="0"/>
              <w:marBottom w:val="0"/>
              <w:divBdr>
                <w:top w:val="none" w:sz="0" w:space="0" w:color="auto"/>
                <w:left w:val="none" w:sz="0" w:space="0" w:color="auto"/>
                <w:bottom w:val="none" w:sz="0" w:space="0" w:color="auto"/>
                <w:right w:val="none" w:sz="0" w:space="0" w:color="auto"/>
              </w:divBdr>
            </w:div>
            <w:div w:id="2047094258">
              <w:marLeft w:val="0"/>
              <w:marRight w:val="0"/>
              <w:marTop w:val="0"/>
              <w:marBottom w:val="0"/>
              <w:divBdr>
                <w:top w:val="none" w:sz="0" w:space="0" w:color="auto"/>
                <w:left w:val="none" w:sz="0" w:space="0" w:color="auto"/>
                <w:bottom w:val="none" w:sz="0" w:space="0" w:color="auto"/>
                <w:right w:val="none" w:sz="0" w:space="0" w:color="auto"/>
              </w:divBdr>
            </w:div>
            <w:div w:id="2048917903">
              <w:marLeft w:val="0"/>
              <w:marRight w:val="0"/>
              <w:marTop w:val="0"/>
              <w:marBottom w:val="0"/>
              <w:divBdr>
                <w:top w:val="none" w:sz="0" w:space="0" w:color="auto"/>
                <w:left w:val="none" w:sz="0" w:space="0" w:color="auto"/>
                <w:bottom w:val="none" w:sz="0" w:space="0" w:color="auto"/>
                <w:right w:val="none" w:sz="0" w:space="0" w:color="auto"/>
              </w:divBdr>
            </w:div>
            <w:div w:id="2061853941">
              <w:marLeft w:val="0"/>
              <w:marRight w:val="0"/>
              <w:marTop w:val="0"/>
              <w:marBottom w:val="0"/>
              <w:divBdr>
                <w:top w:val="none" w:sz="0" w:space="0" w:color="auto"/>
                <w:left w:val="none" w:sz="0" w:space="0" w:color="auto"/>
                <w:bottom w:val="none" w:sz="0" w:space="0" w:color="auto"/>
                <w:right w:val="none" w:sz="0" w:space="0" w:color="auto"/>
              </w:divBdr>
            </w:div>
            <w:div w:id="2112388127">
              <w:marLeft w:val="0"/>
              <w:marRight w:val="0"/>
              <w:marTop w:val="0"/>
              <w:marBottom w:val="0"/>
              <w:divBdr>
                <w:top w:val="none" w:sz="0" w:space="0" w:color="auto"/>
                <w:left w:val="none" w:sz="0" w:space="0" w:color="auto"/>
                <w:bottom w:val="none" w:sz="0" w:space="0" w:color="auto"/>
                <w:right w:val="none" w:sz="0" w:space="0" w:color="auto"/>
              </w:divBdr>
            </w:div>
          </w:divsChild>
        </w:div>
        <w:div w:id="165681499">
          <w:marLeft w:val="0"/>
          <w:marRight w:val="0"/>
          <w:marTop w:val="0"/>
          <w:marBottom w:val="0"/>
          <w:divBdr>
            <w:top w:val="none" w:sz="0" w:space="0" w:color="auto"/>
            <w:left w:val="none" w:sz="0" w:space="0" w:color="auto"/>
            <w:bottom w:val="none" w:sz="0" w:space="0" w:color="auto"/>
            <w:right w:val="none" w:sz="0" w:space="0" w:color="auto"/>
          </w:divBdr>
        </w:div>
        <w:div w:id="166527491">
          <w:marLeft w:val="0"/>
          <w:marRight w:val="0"/>
          <w:marTop w:val="0"/>
          <w:marBottom w:val="0"/>
          <w:divBdr>
            <w:top w:val="none" w:sz="0" w:space="0" w:color="auto"/>
            <w:left w:val="none" w:sz="0" w:space="0" w:color="auto"/>
            <w:bottom w:val="none" w:sz="0" w:space="0" w:color="auto"/>
            <w:right w:val="none" w:sz="0" w:space="0" w:color="auto"/>
          </w:divBdr>
        </w:div>
        <w:div w:id="167328785">
          <w:marLeft w:val="0"/>
          <w:marRight w:val="0"/>
          <w:marTop w:val="0"/>
          <w:marBottom w:val="0"/>
          <w:divBdr>
            <w:top w:val="none" w:sz="0" w:space="0" w:color="auto"/>
            <w:left w:val="none" w:sz="0" w:space="0" w:color="auto"/>
            <w:bottom w:val="none" w:sz="0" w:space="0" w:color="auto"/>
            <w:right w:val="none" w:sz="0" w:space="0" w:color="auto"/>
          </w:divBdr>
        </w:div>
        <w:div w:id="167791963">
          <w:marLeft w:val="0"/>
          <w:marRight w:val="0"/>
          <w:marTop w:val="0"/>
          <w:marBottom w:val="0"/>
          <w:divBdr>
            <w:top w:val="none" w:sz="0" w:space="0" w:color="auto"/>
            <w:left w:val="none" w:sz="0" w:space="0" w:color="auto"/>
            <w:bottom w:val="none" w:sz="0" w:space="0" w:color="auto"/>
            <w:right w:val="none" w:sz="0" w:space="0" w:color="auto"/>
          </w:divBdr>
        </w:div>
        <w:div w:id="168759212">
          <w:marLeft w:val="0"/>
          <w:marRight w:val="0"/>
          <w:marTop w:val="0"/>
          <w:marBottom w:val="0"/>
          <w:divBdr>
            <w:top w:val="none" w:sz="0" w:space="0" w:color="auto"/>
            <w:left w:val="none" w:sz="0" w:space="0" w:color="auto"/>
            <w:bottom w:val="none" w:sz="0" w:space="0" w:color="auto"/>
            <w:right w:val="none" w:sz="0" w:space="0" w:color="auto"/>
          </w:divBdr>
        </w:div>
        <w:div w:id="173346868">
          <w:marLeft w:val="0"/>
          <w:marRight w:val="0"/>
          <w:marTop w:val="0"/>
          <w:marBottom w:val="0"/>
          <w:divBdr>
            <w:top w:val="none" w:sz="0" w:space="0" w:color="auto"/>
            <w:left w:val="none" w:sz="0" w:space="0" w:color="auto"/>
            <w:bottom w:val="none" w:sz="0" w:space="0" w:color="auto"/>
            <w:right w:val="none" w:sz="0" w:space="0" w:color="auto"/>
          </w:divBdr>
        </w:div>
        <w:div w:id="173689663">
          <w:marLeft w:val="0"/>
          <w:marRight w:val="0"/>
          <w:marTop w:val="0"/>
          <w:marBottom w:val="0"/>
          <w:divBdr>
            <w:top w:val="none" w:sz="0" w:space="0" w:color="auto"/>
            <w:left w:val="none" w:sz="0" w:space="0" w:color="auto"/>
            <w:bottom w:val="none" w:sz="0" w:space="0" w:color="auto"/>
            <w:right w:val="none" w:sz="0" w:space="0" w:color="auto"/>
          </w:divBdr>
        </w:div>
        <w:div w:id="174030054">
          <w:marLeft w:val="0"/>
          <w:marRight w:val="0"/>
          <w:marTop w:val="0"/>
          <w:marBottom w:val="0"/>
          <w:divBdr>
            <w:top w:val="none" w:sz="0" w:space="0" w:color="auto"/>
            <w:left w:val="none" w:sz="0" w:space="0" w:color="auto"/>
            <w:bottom w:val="none" w:sz="0" w:space="0" w:color="auto"/>
            <w:right w:val="none" w:sz="0" w:space="0" w:color="auto"/>
          </w:divBdr>
        </w:div>
        <w:div w:id="175459269">
          <w:marLeft w:val="0"/>
          <w:marRight w:val="0"/>
          <w:marTop w:val="0"/>
          <w:marBottom w:val="0"/>
          <w:divBdr>
            <w:top w:val="none" w:sz="0" w:space="0" w:color="auto"/>
            <w:left w:val="none" w:sz="0" w:space="0" w:color="auto"/>
            <w:bottom w:val="none" w:sz="0" w:space="0" w:color="auto"/>
            <w:right w:val="none" w:sz="0" w:space="0" w:color="auto"/>
          </w:divBdr>
        </w:div>
        <w:div w:id="177038024">
          <w:marLeft w:val="0"/>
          <w:marRight w:val="0"/>
          <w:marTop w:val="0"/>
          <w:marBottom w:val="0"/>
          <w:divBdr>
            <w:top w:val="none" w:sz="0" w:space="0" w:color="auto"/>
            <w:left w:val="none" w:sz="0" w:space="0" w:color="auto"/>
            <w:bottom w:val="none" w:sz="0" w:space="0" w:color="auto"/>
            <w:right w:val="none" w:sz="0" w:space="0" w:color="auto"/>
          </w:divBdr>
        </w:div>
        <w:div w:id="179047360">
          <w:marLeft w:val="0"/>
          <w:marRight w:val="0"/>
          <w:marTop w:val="0"/>
          <w:marBottom w:val="0"/>
          <w:divBdr>
            <w:top w:val="none" w:sz="0" w:space="0" w:color="auto"/>
            <w:left w:val="none" w:sz="0" w:space="0" w:color="auto"/>
            <w:bottom w:val="none" w:sz="0" w:space="0" w:color="auto"/>
            <w:right w:val="none" w:sz="0" w:space="0" w:color="auto"/>
          </w:divBdr>
        </w:div>
        <w:div w:id="180319531">
          <w:marLeft w:val="0"/>
          <w:marRight w:val="0"/>
          <w:marTop w:val="0"/>
          <w:marBottom w:val="0"/>
          <w:divBdr>
            <w:top w:val="none" w:sz="0" w:space="0" w:color="auto"/>
            <w:left w:val="none" w:sz="0" w:space="0" w:color="auto"/>
            <w:bottom w:val="none" w:sz="0" w:space="0" w:color="auto"/>
            <w:right w:val="none" w:sz="0" w:space="0" w:color="auto"/>
          </w:divBdr>
        </w:div>
        <w:div w:id="182941727">
          <w:marLeft w:val="0"/>
          <w:marRight w:val="0"/>
          <w:marTop w:val="0"/>
          <w:marBottom w:val="0"/>
          <w:divBdr>
            <w:top w:val="none" w:sz="0" w:space="0" w:color="auto"/>
            <w:left w:val="none" w:sz="0" w:space="0" w:color="auto"/>
            <w:bottom w:val="none" w:sz="0" w:space="0" w:color="auto"/>
            <w:right w:val="none" w:sz="0" w:space="0" w:color="auto"/>
          </w:divBdr>
        </w:div>
        <w:div w:id="183327161">
          <w:marLeft w:val="0"/>
          <w:marRight w:val="0"/>
          <w:marTop w:val="0"/>
          <w:marBottom w:val="0"/>
          <w:divBdr>
            <w:top w:val="none" w:sz="0" w:space="0" w:color="auto"/>
            <w:left w:val="none" w:sz="0" w:space="0" w:color="auto"/>
            <w:bottom w:val="none" w:sz="0" w:space="0" w:color="auto"/>
            <w:right w:val="none" w:sz="0" w:space="0" w:color="auto"/>
          </w:divBdr>
        </w:div>
        <w:div w:id="183904480">
          <w:marLeft w:val="0"/>
          <w:marRight w:val="0"/>
          <w:marTop w:val="0"/>
          <w:marBottom w:val="0"/>
          <w:divBdr>
            <w:top w:val="none" w:sz="0" w:space="0" w:color="auto"/>
            <w:left w:val="none" w:sz="0" w:space="0" w:color="auto"/>
            <w:bottom w:val="none" w:sz="0" w:space="0" w:color="auto"/>
            <w:right w:val="none" w:sz="0" w:space="0" w:color="auto"/>
          </w:divBdr>
        </w:div>
        <w:div w:id="184103662">
          <w:marLeft w:val="0"/>
          <w:marRight w:val="0"/>
          <w:marTop w:val="0"/>
          <w:marBottom w:val="0"/>
          <w:divBdr>
            <w:top w:val="none" w:sz="0" w:space="0" w:color="auto"/>
            <w:left w:val="none" w:sz="0" w:space="0" w:color="auto"/>
            <w:bottom w:val="none" w:sz="0" w:space="0" w:color="auto"/>
            <w:right w:val="none" w:sz="0" w:space="0" w:color="auto"/>
          </w:divBdr>
        </w:div>
        <w:div w:id="184639169">
          <w:marLeft w:val="0"/>
          <w:marRight w:val="0"/>
          <w:marTop w:val="0"/>
          <w:marBottom w:val="0"/>
          <w:divBdr>
            <w:top w:val="none" w:sz="0" w:space="0" w:color="auto"/>
            <w:left w:val="none" w:sz="0" w:space="0" w:color="auto"/>
            <w:bottom w:val="none" w:sz="0" w:space="0" w:color="auto"/>
            <w:right w:val="none" w:sz="0" w:space="0" w:color="auto"/>
          </w:divBdr>
        </w:div>
        <w:div w:id="185021361">
          <w:marLeft w:val="0"/>
          <w:marRight w:val="0"/>
          <w:marTop w:val="0"/>
          <w:marBottom w:val="0"/>
          <w:divBdr>
            <w:top w:val="none" w:sz="0" w:space="0" w:color="auto"/>
            <w:left w:val="none" w:sz="0" w:space="0" w:color="auto"/>
            <w:bottom w:val="none" w:sz="0" w:space="0" w:color="auto"/>
            <w:right w:val="none" w:sz="0" w:space="0" w:color="auto"/>
          </w:divBdr>
        </w:div>
        <w:div w:id="185408292">
          <w:marLeft w:val="0"/>
          <w:marRight w:val="0"/>
          <w:marTop w:val="0"/>
          <w:marBottom w:val="0"/>
          <w:divBdr>
            <w:top w:val="none" w:sz="0" w:space="0" w:color="auto"/>
            <w:left w:val="none" w:sz="0" w:space="0" w:color="auto"/>
            <w:bottom w:val="none" w:sz="0" w:space="0" w:color="auto"/>
            <w:right w:val="none" w:sz="0" w:space="0" w:color="auto"/>
          </w:divBdr>
        </w:div>
        <w:div w:id="186455309">
          <w:marLeft w:val="0"/>
          <w:marRight w:val="0"/>
          <w:marTop w:val="0"/>
          <w:marBottom w:val="0"/>
          <w:divBdr>
            <w:top w:val="none" w:sz="0" w:space="0" w:color="auto"/>
            <w:left w:val="none" w:sz="0" w:space="0" w:color="auto"/>
            <w:bottom w:val="none" w:sz="0" w:space="0" w:color="auto"/>
            <w:right w:val="none" w:sz="0" w:space="0" w:color="auto"/>
          </w:divBdr>
        </w:div>
        <w:div w:id="186649904">
          <w:marLeft w:val="0"/>
          <w:marRight w:val="0"/>
          <w:marTop w:val="0"/>
          <w:marBottom w:val="0"/>
          <w:divBdr>
            <w:top w:val="none" w:sz="0" w:space="0" w:color="auto"/>
            <w:left w:val="none" w:sz="0" w:space="0" w:color="auto"/>
            <w:bottom w:val="none" w:sz="0" w:space="0" w:color="auto"/>
            <w:right w:val="none" w:sz="0" w:space="0" w:color="auto"/>
          </w:divBdr>
        </w:div>
        <w:div w:id="188300321">
          <w:marLeft w:val="0"/>
          <w:marRight w:val="0"/>
          <w:marTop w:val="0"/>
          <w:marBottom w:val="0"/>
          <w:divBdr>
            <w:top w:val="none" w:sz="0" w:space="0" w:color="auto"/>
            <w:left w:val="none" w:sz="0" w:space="0" w:color="auto"/>
            <w:bottom w:val="none" w:sz="0" w:space="0" w:color="auto"/>
            <w:right w:val="none" w:sz="0" w:space="0" w:color="auto"/>
          </w:divBdr>
        </w:div>
        <w:div w:id="192546320">
          <w:marLeft w:val="0"/>
          <w:marRight w:val="0"/>
          <w:marTop w:val="0"/>
          <w:marBottom w:val="0"/>
          <w:divBdr>
            <w:top w:val="none" w:sz="0" w:space="0" w:color="auto"/>
            <w:left w:val="none" w:sz="0" w:space="0" w:color="auto"/>
            <w:bottom w:val="none" w:sz="0" w:space="0" w:color="auto"/>
            <w:right w:val="none" w:sz="0" w:space="0" w:color="auto"/>
          </w:divBdr>
        </w:div>
        <w:div w:id="193926076">
          <w:marLeft w:val="0"/>
          <w:marRight w:val="0"/>
          <w:marTop w:val="0"/>
          <w:marBottom w:val="0"/>
          <w:divBdr>
            <w:top w:val="none" w:sz="0" w:space="0" w:color="auto"/>
            <w:left w:val="none" w:sz="0" w:space="0" w:color="auto"/>
            <w:bottom w:val="none" w:sz="0" w:space="0" w:color="auto"/>
            <w:right w:val="none" w:sz="0" w:space="0" w:color="auto"/>
          </w:divBdr>
        </w:div>
        <w:div w:id="194387410">
          <w:marLeft w:val="0"/>
          <w:marRight w:val="0"/>
          <w:marTop w:val="0"/>
          <w:marBottom w:val="0"/>
          <w:divBdr>
            <w:top w:val="none" w:sz="0" w:space="0" w:color="auto"/>
            <w:left w:val="none" w:sz="0" w:space="0" w:color="auto"/>
            <w:bottom w:val="none" w:sz="0" w:space="0" w:color="auto"/>
            <w:right w:val="none" w:sz="0" w:space="0" w:color="auto"/>
          </w:divBdr>
        </w:div>
        <w:div w:id="195125244">
          <w:marLeft w:val="0"/>
          <w:marRight w:val="0"/>
          <w:marTop w:val="0"/>
          <w:marBottom w:val="0"/>
          <w:divBdr>
            <w:top w:val="none" w:sz="0" w:space="0" w:color="auto"/>
            <w:left w:val="none" w:sz="0" w:space="0" w:color="auto"/>
            <w:bottom w:val="none" w:sz="0" w:space="0" w:color="auto"/>
            <w:right w:val="none" w:sz="0" w:space="0" w:color="auto"/>
          </w:divBdr>
        </w:div>
        <w:div w:id="196353457">
          <w:marLeft w:val="0"/>
          <w:marRight w:val="0"/>
          <w:marTop w:val="0"/>
          <w:marBottom w:val="0"/>
          <w:divBdr>
            <w:top w:val="none" w:sz="0" w:space="0" w:color="auto"/>
            <w:left w:val="none" w:sz="0" w:space="0" w:color="auto"/>
            <w:bottom w:val="none" w:sz="0" w:space="0" w:color="auto"/>
            <w:right w:val="none" w:sz="0" w:space="0" w:color="auto"/>
          </w:divBdr>
        </w:div>
        <w:div w:id="196625814">
          <w:marLeft w:val="0"/>
          <w:marRight w:val="0"/>
          <w:marTop w:val="0"/>
          <w:marBottom w:val="0"/>
          <w:divBdr>
            <w:top w:val="none" w:sz="0" w:space="0" w:color="auto"/>
            <w:left w:val="none" w:sz="0" w:space="0" w:color="auto"/>
            <w:bottom w:val="none" w:sz="0" w:space="0" w:color="auto"/>
            <w:right w:val="none" w:sz="0" w:space="0" w:color="auto"/>
          </w:divBdr>
        </w:div>
        <w:div w:id="197016169">
          <w:marLeft w:val="0"/>
          <w:marRight w:val="0"/>
          <w:marTop w:val="0"/>
          <w:marBottom w:val="0"/>
          <w:divBdr>
            <w:top w:val="none" w:sz="0" w:space="0" w:color="auto"/>
            <w:left w:val="none" w:sz="0" w:space="0" w:color="auto"/>
            <w:bottom w:val="none" w:sz="0" w:space="0" w:color="auto"/>
            <w:right w:val="none" w:sz="0" w:space="0" w:color="auto"/>
          </w:divBdr>
        </w:div>
        <w:div w:id="197670597">
          <w:marLeft w:val="0"/>
          <w:marRight w:val="0"/>
          <w:marTop w:val="0"/>
          <w:marBottom w:val="0"/>
          <w:divBdr>
            <w:top w:val="none" w:sz="0" w:space="0" w:color="auto"/>
            <w:left w:val="none" w:sz="0" w:space="0" w:color="auto"/>
            <w:bottom w:val="none" w:sz="0" w:space="0" w:color="auto"/>
            <w:right w:val="none" w:sz="0" w:space="0" w:color="auto"/>
          </w:divBdr>
        </w:div>
        <w:div w:id="199976403">
          <w:marLeft w:val="0"/>
          <w:marRight w:val="0"/>
          <w:marTop w:val="0"/>
          <w:marBottom w:val="0"/>
          <w:divBdr>
            <w:top w:val="none" w:sz="0" w:space="0" w:color="auto"/>
            <w:left w:val="none" w:sz="0" w:space="0" w:color="auto"/>
            <w:bottom w:val="none" w:sz="0" w:space="0" w:color="auto"/>
            <w:right w:val="none" w:sz="0" w:space="0" w:color="auto"/>
          </w:divBdr>
          <w:divsChild>
            <w:div w:id="1160850192">
              <w:marLeft w:val="-75"/>
              <w:marRight w:val="0"/>
              <w:marTop w:val="30"/>
              <w:marBottom w:val="30"/>
              <w:divBdr>
                <w:top w:val="none" w:sz="0" w:space="0" w:color="auto"/>
                <w:left w:val="none" w:sz="0" w:space="0" w:color="auto"/>
                <w:bottom w:val="none" w:sz="0" w:space="0" w:color="auto"/>
                <w:right w:val="none" w:sz="0" w:space="0" w:color="auto"/>
              </w:divBdr>
              <w:divsChild>
                <w:div w:id="4750372">
                  <w:marLeft w:val="0"/>
                  <w:marRight w:val="0"/>
                  <w:marTop w:val="0"/>
                  <w:marBottom w:val="0"/>
                  <w:divBdr>
                    <w:top w:val="none" w:sz="0" w:space="0" w:color="auto"/>
                    <w:left w:val="none" w:sz="0" w:space="0" w:color="auto"/>
                    <w:bottom w:val="none" w:sz="0" w:space="0" w:color="auto"/>
                    <w:right w:val="none" w:sz="0" w:space="0" w:color="auto"/>
                  </w:divBdr>
                  <w:divsChild>
                    <w:div w:id="254017749">
                      <w:marLeft w:val="0"/>
                      <w:marRight w:val="0"/>
                      <w:marTop w:val="0"/>
                      <w:marBottom w:val="0"/>
                      <w:divBdr>
                        <w:top w:val="none" w:sz="0" w:space="0" w:color="auto"/>
                        <w:left w:val="none" w:sz="0" w:space="0" w:color="auto"/>
                        <w:bottom w:val="none" w:sz="0" w:space="0" w:color="auto"/>
                        <w:right w:val="none" w:sz="0" w:space="0" w:color="auto"/>
                      </w:divBdr>
                    </w:div>
                  </w:divsChild>
                </w:div>
                <w:div w:id="10766984">
                  <w:marLeft w:val="0"/>
                  <w:marRight w:val="0"/>
                  <w:marTop w:val="0"/>
                  <w:marBottom w:val="0"/>
                  <w:divBdr>
                    <w:top w:val="none" w:sz="0" w:space="0" w:color="auto"/>
                    <w:left w:val="none" w:sz="0" w:space="0" w:color="auto"/>
                    <w:bottom w:val="none" w:sz="0" w:space="0" w:color="auto"/>
                    <w:right w:val="none" w:sz="0" w:space="0" w:color="auto"/>
                  </w:divBdr>
                  <w:divsChild>
                    <w:div w:id="1605992000">
                      <w:marLeft w:val="0"/>
                      <w:marRight w:val="0"/>
                      <w:marTop w:val="0"/>
                      <w:marBottom w:val="0"/>
                      <w:divBdr>
                        <w:top w:val="none" w:sz="0" w:space="0" w:color="auto"/>
                        <w:left w:val="none" w:sz="0" w:space="0" w:color="auto"/>
                        <w:bottom w:val="none" w:sz="0" w:space="0" w:color="auto"/>
                        <w:right w:val="none" w:sz="0" w:space="0" w:color="auto"/>
                      </w:divBdr>
                    </w:div>
                  </w:divsChild>
                </w:div>
                <w:div w:id="24447826">
                  <w:marLeft w:val="0"/>
                  <w:marRight w:val="0"/>
                  <w:marTop w:val="0"/>
                  <w:marBottom w:val="0"/>
                  <w:divBdr>
                    <w:top w:val="none" w:sz="0" w:space="0" w:color="auto"/>
                    <w:left w:val="none" w:sz="0" w:space="0" w:color="auto"/>
                    <w:bottom w:val="none" w:sz="0" w:space="0" w:color="auto"/>
                    <w:right w:val="none" w:sz="0" w:space="0" w:color="auto"/>
                  </w:divBdr>
                  <w:divsChild>
                    <w:div w:id="106197654">
                      <w:marLeft w:val="0"/>
                      <w:marRight w:val="0"/>
                      <w:marTop w:val="0"/>
                      <w:marBottom w:val="0"/>
                      <w:divBdr>
                        <w:top w:val="none" w:sz="0" w:space="0" w:color="auto"/>
                        <w:left w:val="none" w:sz="0" w:space="0" w:color="auto"/>
                        <w:bottom w:val="none" w:sz="0" w:space="0" w:color="auto"/>
                        <w:right w:val="none" w:sz="0" w:space="0" w:color="auto"/>
                      </w:divBdr>
                    </w:div>
                  </w:divsChild>
                </w:div>
                <w:div w:id="38938270">
                  <w:marLeft w:val="0"/>
                  <w:marRight w:val="0"/>
                  <w:marTop w:val="0"/>
                  <w:marBottom w:val="0"/>
                  <w:divBdr>
                    <w:top w:val="none" w:sz="0" w:space="0" w:color="auto"/>
                    <w:left w:val="none" w:sz="0" w:space="0" w:color="auto"/>
                    <w:bottom w:val="none" w:sz="0" w:space="0" w:color="auto"/>
                    <w:right w:val="none" w:sz="0" w:space="0" w:color="auto"/>
                  </w:divBdr>
                  <w:divsChild>
                    <w:div w:id="325521356">
                      <w:marLeft w:val="0"/>
                      <w:marRight w:val="0"/>
                      <w:marTop w:val="0"/>
                      <w:marBottom w:val="0"/>
                      <w:divBdr>
                        <w:top w:val="none" w:sz="0" w:space="0" w:color="auto"/>
                        <w:left w:val="none" w:sz="0" w:space="0" w:color="auto"/>
                        <w:bottom w:val="none" w:sz="0" w:space="0" w:color="auto"/>
                        <w:right w:val="none" w:sz="0" w:space="0" w:color="auto"/>
                      </w:divBdr>
                    </w:div>
                  </w:divsChild>
                </w:div>
                <w:div w:id="60832964">
                  <w:marLeft w:val="0"/>
                  <w:marRight w:val="0"/>
                  <w:marTop w:val="0"/>
                  <w:marBottom w:val="0"/>
                  <w:divBdr>
                    <w:top w:val="none" w:sz="0" w:space="0" w:color="auto"/>
                    <w:left w:val="none" w:sz="0" w:space="0" w:color="auto"/>
                    <w:bottom w:val="none" w:sz="0" w:space="0" w:color="auto"/>
                    <w:right w:val="none" w:sz="0" w:space="0" w:color="auto"/>
                  </w:divBdr>
                  <w:divsChild>
                    <w:div w:id="1580358883">
                      <w:marLeft w:val="0"/>
                      <w:marRight w:val="0"/>
                      <w:marTop w:val="0"/>
                      <w:marBottom w:val="0"/>
                      <w:divBdr>
                        <w:top w:val="none" w:sz="0" w:space="0" w:color="auto"/>
                        <w:left w:val="none" w:sz="0" w:space="0" w:color="auto"/>
                        <w:bottom w:val="none" w:sz="0" w:space="0" w:color="auto"/>
                        <w:right w:val="none" w:sz="0" w:space="0" w:color="auto"/>
                      </w:divBdr>
                    </w:div>
                  </w:divsChild>
                </w:div>
                <w:div w:id="71583719">
                  <w:marLeft w:val="0"/>
                  <w:marRight w:val="0"/>
                  <w:marTop w:val="0"/>
                  <w:marBottom w:val="0"/>
                  <w:divBdr>
                    <w:top w:val="none" w:sz="0" w:space="0" w:color="auto"/>
                    <w:left w:val="none" w:sz="0" w:space="0" w:color="auto"/>
                    <w:bottom w:val="none" w:sz="0" w:space="0" w:color="auto"/>
                    <w:right w:val="none" w:sz="0" w:space="0" w:color="auto"/>
                  </w:divBdr>
                  <w:divsChild>
                    <w:div w:id="1068259538">
                      <w:marLeft w:val="0"/>
                      <w:marRight w:val="0"/>
                      <w:marTop w:val="0"/>
                      <w:marBottom w:val="0"/>
                      <w:divBdr>
                        <w:top w:val="none" w:sz="0" w:space="0" w:color="auto"/>
                        <w:left w:val="none" w:sz="0" w:space="0" w:color="auto"/>
                        <w:bottom w:val="none" w:sz="0" w:space="0" w:color="auto"/>
                        <w:right w:val="none" w:sz="0" w:space="0" w:color="auto"/>
                      </w:divBdr>
                    </w:div>
                  </w:divsChild>
                </w:div>
                <w:div w:id="82726844">
                  <w:marLeft w:val="0"/>
                  <w:marRight w:val="0"/>
                  <w:marTop w:val="0"/>
                  <w:marBottom w:val="0"/>
                  <w:divBdr>
                    <w:top w:val="none" w:sz="0" w:space="0" w:color="auto"/>
                    <w:left w:val="none" w:sz="0" w:space="0" w:color="auto"/>
                    <w:bottom w:val="none" w:sz="0" w:space="0" w:color="auto"/>
                    <w:right w:val="none" w:sz="0" w:space="0" w:color="auto"/>
                  </w:divBdr>
                  <w:divsChild>
                    <w:div w:id="1946039480">
                      <w:marLeft w:val="0"/>
                      <w:marRight w:val="0"/>
                      <w:marTop w:val="0"/>
                      <w:marBottom w:val="0"/>
                      <w:divBdr>
                        <w:top w:val="none" w:sz="0" w:space="0" w:color="auto"/>
                        <w:left w:val="none" w:sz="0" w:space="0" w:color="auto"/>
                        <w:bottom w:val="none" w:sz="0" w:space="0" w:color="auto"/>
                        <w:right w:val="none" w:sz="0" w:space="0" w:color="auto"/>
                      </w:divBdr>
                    </w:div>
                  </w:divsChild>
                </w:div>
                <w:div w:id="83961816">
                  <w:marLeft w:val="0"/>
                  <w:marRight w:val="0"/>
                  <w:marTop w:val="0"/>
                  <w:marBottom w:val="0"/>
                  <w:divBdr>
                    <w:top w:val="none" w:sz="0" w:space="0" w:color="auto"/>
                    <w:left w:val="none" w:sz="0" w:space="0" w:color="auto"/>
                    <w:bottom w:val="none" w:sz="0" w:space="0" w:color="auto"/>
                    <w:right w:val="none" w:sz="0" w:space="0" w:color="auto"/>
                  </w:divBdr>
                  <w:divsChild>
                    <w:div w:id="838348533">
                      <w:marLeft w:val="0"/>
                      <w:marRight w:val="0"/>
                      <w:marTop w:val="0"/>
                      <w:marBottom w:val="0"/>
                      <w:divBdr>
                        <w:top w:val="none" w:sz="0" w:space="0" w:color="auto"/>
                        <w:left w:val="none" w:sz="0" w:space="0" w:color="auto"/>
                        <w:bottom w:val="none" w:sz="0" w:space="0" w:color="auto"/>
                        <w:right w:val="none" w:sz="0" w:space="0" w:color="auto"/>
                      </w:divBdr>
                    </w:div>
                  </w:divsChild>
                </w:div>
                <w:div w:id="95441745">
                  <w:marLeft w:val="0"/>
                  <w:marRight w:val="0"/>
                  <w:marTop w:val="0"/>
                  <w:marBottom w:val="0"/>
                  <w:divBdr>
                    <w:top w:val="none" w:sz="0" w:space="0" w:color="auto"/>
                    <w:left w:val="none" w:sz="0" w:space="0" w:color="auto"/>
                    <w:bottom w:val="none" w:sz="0" w:space="0" w:color="auto"/>
                    <w:right w:val="none" w:sz="0" w:space="0" w:color="auto"/>
                  </w:divBdr>
                  <w:divsChild>
                    <w:div w:id="795374734">
                      <w:marLeft w:val="0"/>
                      <w:marRight w:val="0"/>
                      <w:marTop w:val="0"/>
                      <w:marBottom w:val="0"/>
                      <w:divBdr>
                        <w:top w:val="none" w:sz="0" w:space="0" w:color="auto"/>
                        <w:left w:val="none" w:sz="0" w:space="0" w:color="auto"/>
                        <w:bottom w:val="none" w:sz="0" w:space="0" w:color="auto"/>
                        <w:right w:val="none" w:sz="0" w:space="0" w:color="auto"/>
                      </w:divBdr>
                    </w:div>
                  </w:divsChild>
                </w:div>
                <w:div w:id="104690445">
                  <w:marLeft w:val="0"/>
                  <w:marRight w:val="0"/>
                  <w:marTop w:val="0"/>
                  <w:marBottom w:val="0"/>
                  <w:divBdr>
                    <w:top w:val="none" w:sz="0" w:space="0" w:color="auto"/>
                    <w:left w:val="none" w:sz="0" w:space="0" w:color="auto"/>
                    <w:bottom w:val="none" w:sz="0" w:space="0" w:color="auto"/>
                    <w:right w:val="none" w:sz="0" w:space="0" w:color="auto"/>
                  </w:divBdr>
                  <w:divsChild>
                    <w:div w:id="1264874511">
                      <w:marLeft w:val="0"/>
                      <w:marRight w:val="0"/>
                      <w:marTop w:val="0"/>
                      <w:marBottom w:val="0"/>
                      <w:divBdr>
                        <w:top w:val="none" w:sz="0" w:space="0" w:color="auto"/>
                        <w:left w:val="none" w:sz="0" w:space="0" w:color="auto"/>
                        <w:bottom w:val="none" w:sz="0" w:space="0" w:color="auto"/>
                        <w:right w:val="none" w:sz="0" w:space="0" w:color="auto"/>
                      </w:divBdr>
                    </w:div>
                  </w:divsChild>
                </w:div>
                <w:div w:id="117185716">
                  <w:marLeft w:val="0"/>
                  <w:marRight w:val="0"/>
                  <w:marTop w:val="0"/>
                  <w:marBottom w:val="0"/>
                  <w:divBdr>
                    <w:top w:val="none" w:sz="0" w:space="0" w:color="auto"/>
                    <w:left w:val="none" w:sz="0" w:space="0" w:color="auto"/>
                    <w:bottom w:val="none" w:sz="0" w:space="0" w:color="auto"/>
                    <w:right w:val="none" w:sz="0" w:space="0" w:color="auto"/>
                  </w:divBdr>
                  <w:divsChild>
                    <w:div w:id="802845741">
                      <w:marLeft w:val="0"/>
                      <w:marRight w:val="0"/>
                      <w:marTop w:val="0"/>
                      <w:marBottom w:val="0"/>
                      <w:divBdr>
                        <w:top w:val="none" w:sz="0" w:space="0" w:color="auto"/>
                        <w:left w:val="none" w:sz="0" w:space="0" w:color="auto"/>
                        <w:bottom w:val="none" w:sz="0" w:space="0" w:color="auto"/>
                        <w:right w:val="none" w:sz="0" w:space="0" w:color="auto"/>
                      </w:divBdr>
                    </w:div>
                  </w:divsChild>
                </w:div>
                <w:div w:id="136722978">
                  <w:marLeft w:val="0"/>
                  <w:marRight w:val="0"/>
                  <w:marTop w:val="0"/>
                  <w:marBottom w:val="0"/>
                  <w:divBdr>
                    <w:top w:val="none" w:sz="0" w:space="0" w:color="auto"/>
                    <w:left w:val="none" w:sz="0" w:space="0" w:color="auto"/>
                    <w:bottom w:val="none" w:sz="0" w:space="0" w:color="auto"/>
                    <w:right w:val="none" w:sz="0" w:space="0" w:color="auto"/>
                  </w:divBdr>
                  <w:divsChild>
                    <w:div w:id="134760637">
                      <w:marLeft w:val="0"/>
                      <w:marRight w:val="0"/>
                      <w:marTop w:val="0"/>
                      <w:marBottom w:val="0"/>
                      <w:divBdr>
                        <w:top w:val="none" w:sz="0" w:space="0" w:color="auto"/>
                        <w:left w:val="none" w:sz="0" w:space="0" w:color="auto"/>
                        <w:bottom w:val="none" w:sz="0" w:space="0" w:color="auto"/>
                        <w:right w:val="none" w:sz="0" w:space="0" w:color="auto"/>
                      </w:divBdr>
                    </w:div>
                  </w:divsChild>
                </w:div>
                <w:div w:id="157502470">
                  <w:marLeft w:val="0"/>
                  <w:marRight w:val="0"/>
                  <w:marTop w:val="0"/>
                  <w:marBottom w:val="0"/>
                  <w:divBdr>
                    <w:top w:val="none" w:sz="0" w:space="0" w:color="auto"/>
                    <w:left w:val="none" w:sz="0" w:space="0" w:color="auto"/>
                    <w:bottom w:val="none" w:sz="0" w:space="0" w:color="auto"/>
                    <w:right w:val="none" w:sz="0" w:space="0" w:color="auto"/>
                  </w:divBdr>
                  <w:divsChild>
                    <w:div w:id="467475702">
                      <w:marLeft w:val="0"/>
                      <w:marRight w:val="0"/>
                      <w:marTop w:val="0"/>
                      <w:marBottom w:val="0"/>
                      <w:divBdr>
                        <w:top w:val="none" w:sz="0" w:space="0" w:color="auto"/>
                        <w:left w:val="none" w:sz="0" w:space="0" w:color="auto"/>
                        <w:bottom w:val="none" w:sz="0" w:space="0" w:color="auto"/>
                        <w:right w:val="none" w:sz="0" w:space="0" w:color="auto"/>
                      </w:divBdr>
                    </w:div>
                  </w:divsChild>
                </w:div>
                <w:div w:id="168100471">
                  <w:marLeft w:val="0"/>
                  <w:marRight w:val="0"/>
                  <w:marTop w:val="0"/>
                  <w:marBottom w:val="0"/>
                  <w:divBdr>
                    <w:top w:val="none" w:sz="0" w:space="0" w:color="auto"/>
                    <w:left w:val="none" w:sz="0" w:space="0" w:color="auto"/>
                    <w:bottom w:val="none" w:sz="0" w:space="0" w:color="auto"/>
                    <w:right w:val="none" w:sz="0" w:space="0" w:color="auto"/>
                  </w:divBdr>
                  <w:divsChild>
                    <w:div w:id="1923488583">
                      <w:marLeft w:val="0"/>
                      <w:marRight w:val="0"/>
                      <w:marTop w:val="0"/>
                      <w:marBottom w:val="0"/>
                      <w:divBdr>
                        <w:top w:val="none" w:sz="0" w:space="0" w:color="auto"/>
                        <w:left w:val="none" w:sz="0" w:space="0" w:color="auto"/>
                        <w:bottom w:val="none" w:sz="0" w:space="0" w:color="auto"/>
                        <w:right w:val="none" w:sz="0" w:space="0" w:color="auto"/>
                      </w:divBdr>
                    </w:div>
                  </w:divsChild>
                </w:div>
                <w:div w:id="168721981">
                  <w:marLeft w:val="0"/>
                  <w:marRight w:val="0"/>
                  <w:marTop w:val="0"/>
                  <w:marBottom w:val="0"/>
                  <w:divBdr>
                    <w:top w:val="none" w:sz="0" w:space="0" w:color="auto"/>
                    <w:left w:val="none" w:sz="0" w:space="0" w:color="auto"/>
                    <w:bottom w:val="none" w:sz="0" w:space="0" w:color="auto"/>
                    <w:right w:val="none" w:sz="0" w:space="0" w:color="auto"/>
                  </w:divBdr>
                  <w:divsChild>
                    <w:div w:id="28383738">
                      <w:marLeft w:val="0"/>
                      <w:marRight w:val="0"/>
                      <w:marTop w:val="0"/>
                      <w:marBottom w:val="0"/>
                      <w:divBdr>
                        <w:top w:val="none" w:sz="0" w:space="0" w:color="auto"/>
                        <w:left w:val="none" w:sz="0" w:space="0" w:color="auto"/>
                        <w:bottom w:val="none" w:sz="0" w:space="0" w:color="auto"/>
                        <w:right w:val="none" w:sz="0" w:space="0" w:color="auto"/>
                      </w:divBdr>
                    </w:div>
                  </w:divsChild>
                </w:div>
                <w:div w:id="175192449">
                  <w:marLeft w:val="0"/>
                  <w:marRight w:val="0"/>
                  <w:marTop w:val="0"/>
                  <w:marBottom w:val="0"/>
                  <w:divBdr>
                    <w:top w:val="none" w:sz="0" w:space="0" w:color="auto"/>
                    <w:left w:val="none" w:sz="0" w:space="0" w:color="auto"/>
                    <w:bottom w:val="none" w:sz="0" w:space="0" w:color="auto"/>
                    <w:right w:val="none" w:sz="0" w:space="0" w:color="auto"/>
                  </w:divBdr>
                  <w:divsChild>
                    <w:div w:id="1988582860">
                      <w:marLeft w:val="0"/>
                      <w:marRight w:val="0"/>
                      <w:marTop w:val="0"/>
                      <w:marBottom w:val="0"/>
                      <w:divBdr>
                        <w:top w:val="none" w:sz="0" w:space="0" w:color="auto"/>
                        <w:left w:val="none" w:sz="0" w:space="0" w:color="auto"/>
                        <w:bottom w:val="none" w:sz="0" w:space="0" w:color="auto"/>
                        <w:right w:val="none" w:sz="0" w:space="0" w:color="auto"/>
                      </w:divBdr>
                    </w:div>
                  </w:divsChild>
                </w:div>
                <w:div w:id="186260915">
                  <w:marLeft w:val="0"/>
                  <w:marRight w:val="0"/>
                  <w:marTop w:val="0"/>
                  <w:marBottom w:val="0"/>
                  <w:divBdr>
                    <w:top w:val="none" w:sz="0" w:space="0" w:color="auto"/>
                    <w:left w:val="none" w:sz="0" w:space="0" w:color="auto"/>
                    <w:bottom w:val="none" w:sz="0" w:space="0" w:color="auto"/>
                    <w:right w:val="none" w:sz="0" w:space="0" w:color="auto"/>
                  </w:divBdr>
                  <w:divsChild>
                    <w:div w:id="604580106">
                      <w:marLeft w:val="0"/>
                      <w:marRight w:val="0"/>
                      <w:marTop w:val="0"/>
                      <w:marBottom w:val="0"/>
                      <w:divBdr>
                        <w:top w:val="none" w:sz="0" w:space="0" w:color="auto"/>
                        <w:left w:val="none" w:sz="0" w:space="0" w:color="auto"/>
                        <w:bottom w:val="none" w:sz="0" w:space="0" w:color="auto"/>
                        <w:right w:val="none" w:sz="0" w:space="0" w:color="auto"/>
                      </w:divBdr>
                    </w:div>
                  </w:divsChild>
                </w:div>
                <w:div w:id="187378768">
                  <w:marLeft w:val="0"/>
                  <w:marRight w:val="0"/>
                  <w:marTop w:val="0"/>
                  <w:marBottom w:val="0"/>
                  <w:divBdr>
                    <w:top w:val="none" w:sz="0" w:space="0" w:color="auto"/>
                    <w:left w:val="none" w:sz="0" w:space="0" w:color="auto"/>
                    <w:bottom w:val="none" w:sz="0" w:space="0" w:color="auto"/>
                    <w:right w:val="none" w:sz="0" w:space="0" w:color="auto"/>
                  </w:divBdr>
                  <w:divsChild>
                    <w:div w:id="647980623">
                      <w:marLeft w:val="0"/>
                      <w:marRight w:val="0"/>
                      <w:marTop w:val="0"/>
                      <w:marBottom w:val="0"/>
                      <w:divBdr>
                        <w:top w:val="none" w:sz="0" w:space="0" w:color="auto"/>
                        <w:left w:val="none" w:sz="0" w:space="0" w:color="auto"/>
                        <w:bottom w:val="none" w:sz="0" w:space="0" w:color="auto"/>
                        <w:right w:val="none" w:sz="0" w:space="0" w:color="auto"/>
                      </w:divBdr>
                    </w:div>
                  </w:divsChild>
                </w:div>
                <w:div w:id="197591125">
                  <w:marLeft w:val="0"/>
                  <w:marRight w:val="0"/>
                  <w:marTop w:val="0"/>
                  <w:marBottom w:val="0"/>
                  <w:divBdr>
                    <w:top w:val="none" w:sz="0" w:space="0" w:color="auto"/>
                    <w:left w:val="none" w:sz="0" w:space="0" w:color="auto"/>
                    <w:bottom w:val="none" w:sz="0" w:space="0" w:color="auto"/>
                    <w:right w:val="none" w:sz="0" w:space="0" w:color="auto"/>
                  </w:divBdr>
                  <w:divsChild>
                    <w:div w:id="965159015">
                      <w:marLeft w:val="0"/>
                      <w:marRight w:val="0"/>
                      <w:marTop w:val="0"/>
                      <w:marBottom w:val="0"/>
                      <w:divBdr>
                        <w:top w:val="none" w:sz="0" w:space="0" w:color="auto"/>
                        <w:left w:val="none" w:sz="0" w:space="0" w:color="auto"/>
                        <w:bottom w:val="none" w:sz="0" w:space="0" w:color="auto"/>
                        <w:right w:val="none" w:sz="0" w:space="0" w:color="auto"/>
                      </w:divBdr>
                    </w:div>
                  </w:divsChild>
                </w:div>
                <w:div w:id="204023299">
                  <w:marLeft w:val="0"/>
                  <w:marRight w:val="0"/>
                  <w:marTop w:val="0"/>
                  <w:marBottom w:val="0"/>
                  <w:divBdr>
                    <w:top w:val="none" w:sz="0" w:space="0" w:color="auto"/>
                    <w:left w:val="none" w:sz="0" w:space="0" w:color="auto"/>
                    <w:bottom w:val="none" w:sz="0" w:space="0" w:color="auto"/>
                    <w:right w:val="none" w:sz="0" w:space="0" w:color="auto"/>
                  </w:divBdr>
                  <w:divsChild>
                    <w:div w:id="1778721478">
                      <w:marLeft w:val="0"/>
                      <w:marRight w:val="0"/>
                      <w:marTop w:val="0"/>
                      <w:marBottom w:val="0"/>
                      <w:divBdr>
                        <w:top w:val="none" w:sz="0" w:space="0" w:color="auto"/>
                        <w:left w:val="none" w:sz="0" w:space="0" w:color="auto"/>
                        <w:bottom w:val="none" w:sz="0" w:space="0" w:color="auto"/>
                        <w:right w:val="none" w:sz="0" w:space="0" w:color="auto"/>
                      </w:divBdr>
                    </w:div>
                  </w:divsChild>
                </w:div>
                <w:div w:id="209731907">
                  <w:marLeft w:val="0"/>
                  <w:marRight w:val="0"/>
                  <w:marTop w:val="0"/>
                  <w:marBottom w:val="0"/>
                  <w:divBdr>
                    <w:top w:val="none" w:sz="0" w:space="0" w:color="auto"/>
                    <w:left w:val="none" w:sz="0" w:space="0" w:color="auto"/>
                    <w:bottom w:val="none" w:sz="0" w:space="0" w:color="auto"/>
                    <w:right w:val="none" w:sz="0" w:space="0" w:color="auto"/>
                  </w:divBdr>
                  <w:divsChild>
                    <w:div w:id="1294091906">
                      <w:marLeft w:val="0"/>
                      <w:marRight w:val="0"/>
                      <w:marTop w:val="0"/>
                      <w:marBottom w:val="0"/>
                      <w:divBdr>
                        <w:top w:val="none" w:sz="0" w:space="0" w:color="auto"/>
                        <w:left w:val="none" w:sz="0" w:space="0" w:color="auto"/>
                        <w:bottom w:val="none" w:sz="0" w:space="0" w:color="auto"/>
                        <w:right w:val="none" w:sz="0" w:space="0" w:color="auto"/>
                      </w:divBdr>
                    </w:div>
                  </w:divsChild>
                </w:div>
                <w:div w:id="214122542">
                  <w:marLeft w:val="0"/>
                  <w:marRight w:val="0"/>
                  <w:marTop w:val="0"/>
                  <w:marBottom w:val="0"/>
                  <w:divBdr>
                    <w:top w:val="none" w:sz="0" w:space="0" w:color="auto"/>
                    <w:left w:val="none" w:sz="0" w:space="0" w:color="auto"/>
                    <w:bottom w:val="none" w:sz="0" w:space="0" w:color="auto"/>
                    <w:right w:val="none" w:sz="0" w:space="0" w:color="auto"/>
                  </w:divBdr>
                  <w:divsChild>
                    <w:div w:id="1831209084">
                      <w:marLeft w:val="0"/>
                      <w:marRight w:val="0"/>
                      <w:marTop w:val="0"/>
                      <w:marBottom w:val="0"/>
                      <w:divBdr>
                        <w:top w:val="none" w:sz="0" w:space="0" w:color="auto"/>
                        <w:left w:val="none" w:sz="0" w:space="0" w:color="auto"/>
                        <w:bottom w:val="none" w:sz="0" w:space="0" w:color="auto"/>
                        <w:right w:val="none" w:sz="0" w:space="0" w:color="auto"/>
                      </w:divBdr>
                    </w:div>
                  </w:divsChild>
                </w:div>
                <w:div w:id="263928705">
                  <w:marLeft w:val="0"/>
                  <w:marRight w:val="0"/>
                  <w:marTop w:val="0"/>
                  <w:marBottom w:val="0"/>
                  <w:divBdr>
                    <w:top w:val="none" w:sz="0" w:space="0" w:color="auto"/>
                    <w:left w:val="none" w:sz="0" w:space="0" w:color="auto"/>
                    <w:bottom w:val="none" w:sz="0" w:space="0" w:color="auto"/>
                    <w:right w:val="none" w:sz="0" w:space="0" w:color="auto"/>
                  </w:divBdr>
                  <w:divsChild>
                    <w:div w:id="318585584">
                      <w:marLeft w:val="0"/>
                      <w:marRight w:val="0"/>
                      <w:marTop w:val="0"/>
                      <w:marBottom w:val="0"/>
                      <w:divBdr>
                        <w:top w:val="none" w:sz="0" w:space="0" w:color="auto"/>
                        <w:left w:val="none" w:sz="0" w:space="0" w:color="auto"/>
                        <w:bottom w:val="none" w:sz="0" w:space="0" w:color="auto"/>
                        <w:right w:val="none" w:sz="0" w:space="0" w:color="auto"/>
                      </w:divBdr>
                    </w:div>
                  </w:divsChild>
                </w:div>
                <w:div w:id="274753418">
                  <w:marLeft w:val="0"/>
                  <w:marRight w:val="0"/>
                  <w:marTop w:val="0"/>
                  <w:marBottom w:val="0"/>
                  <w:divBdr>
                    <w:top w:val="none" w:sz="0" w:space="0" w:color="auto"/>
                    <w:left w:val="none" w:sz="0" w:space="0" w:color="auto"/>
                    <w:bottom w:val="none" w:sz="0" w:space="0" w:color="auto"/>
                    <w:right w:val="none" w:sz="0" w:space="0" w:color="auto"/>
                  </w:divBdr>
                  <w:divsChild>
                    <w:div w:id="2071995989">
                      <w:marLeft w:val="0"/>
                      <w:marRight w:val="0"/>
                      <w:marTop w:val="0"/>
                      <w:marBottom w:val="0"/>
                      <w:divBdr>
                        <w:top w:val="none" w:sz="0" w:space="0" w:color="auto"/>
                        <w:left w:val="none" w:sz="0" w:space="0" w:color="auto"/>
                        <w:bottom w:val="none" w:sz="0" w:space="0" w:color="auto"/>
                        <w:right w:val="none" w:sz="0" w:space="0" w:color="auto"/>
                      </w:divBdr>
                    </w:div>
                  </w:divsChild>
                </w:div>
                <w:div w:id="281159255">
                  <w:marLeft w:val="0"/>
                  <w:marRight w:val="0"/>
                  <w:marTop w:val="0"/>
                  <w:marBottom w:val="0"/>
                  <w:divBdr>
                    <w:top w:val="none" w:sz="0" w:space="0" w:color="auto"/>
                    <w:left w:val="none" w:sz="0" w:space="0" w:color="auto"/>
                    <w:bottom w:val="none" w:sz="0" w:space="0" w:color="auto"/>
                    <w:right w:val="none" w:sz="0" w:space="0" w:color="auto"/>
                  </w:divBdr>
                  <w:divsChild>
                    <w:div w:id="629408832">
                      <w:marLeft w:val="0"/>
                      <w:marRight w:val="0"/>
                      <w:marTop w:val="0"/>
                      <w:marBottom w:val="0"/>
                      <w:divBdr>
                        <w:top w:val="none" w:sz="0" w:space="0" w:color="auto"/>
                        <w:left w:val="none" w:sz="0" w:space="0" w:color="auto"/>
                        <w:bottom w:val="none" w:sz="0" w:space="0" w:color="auto"/>
                        <w:right w:val="none" w:sz="0" w:space="0" w:color="auto"/>
                      </w:divBdr>
                    </w:div>
                  </w:divsChild>
                </w:div>
                <w:div w:id="287324623">
                  <w:marLeft w:val="0"/>
                  <w:marRight w:val="0"/>
                  <w:marTop w:val="0"/>
                  <w:marBottom w:val="0"/>
                  <w:divBdr>
                    <w:top w:val="none" w:sz="0" w:space="0" w:color="auto"/>
                    <w:left w:val="none" w:sz="0" w:space="0" w:color="auto"/>
                    <w:bottom w:val="none" w:sz="0" w:space="0" w:color="auto"/>
                    <w:right w:val="none" w:sz="0" w:space="0" w:color="auto"/>
                  </w:divBdr>
                  <w:divsChild>
                    <w:div w:id="740982273">
                      <w:marLeft w:val="0"/>
                      <w:marRight w:val="0"/>
                      <w:marTop w:val="0"/>
                      <w:marBottom w:val="0"/>
                      <w:divBdr>
                        <w:top w:val="none" w:sz="0" w:space="0" w:color="auto"/>
                        <w:left w:val="none" w:sz="0" w:space="0" w:color="auto"/>
                        <w:bottom w:val="none" w:sz="0" w:space="0" w:color="auto"/>
                        <w:right w:val="none" w:sz="0" w:space="0" w:color="auto"/>
                      </w:divBdr>
                    </w:div>
                  </w:divsChild>
                </w:div>
                <w:div w:id="302198339">
                  <w:marLeft w:val="0"/>
                  <w:marRight w:val="0"/>
                  <w:marTop w:val="0"/>
                  <w:marBottom w:val="0"/>
                  <w:divBdr>
                    <w:top w:val="none" w:sz="0" w:space="0" w:color="auto"/>
                    <w:left w:val="none" w:sz="0" w:space="0" w:color="auto"/>
                    <w:bottom w:val="none" w:sz="0" w:space="0" w:color="auto"/>
                    <w:right w:val="none" w:sz="0" w:space="0" w:color="auto"/>
                  </w:divBdr>
                  <w:divsChild>
                    <w:div w:id="1673297452">
                      <w:marLeft w:val="0"/>
                      <w:marRight w:val="0"/>
                      <w:marTop w:val="0"/>
                      <w:marBottom w:val="0"/>
                      <w:divBdr>
                        <w:top w:val="none" w:sz="0" w:space="0" w:color="auto"/>
                        <w:left w:val="none" w:sz="0" w:space="0" w:color="auto"/>
                        <w:bottom w:val="none" w:sz="0" w:space="0" w:color="auto"/>
                        <w:right w:val="none" w:sz="0" w:space="0" w:color="auto"/>
                      </w:divBdr>
                    </w:div>
                  </w:divsChild>
                </w:div>
                <w:div w:id="326174126">
                  <w:marLeft w:val="0"/>
                  <w:marRight w:val="0"/>
                  <w:marTop w:val="0"/>
                  <w:marBottom w:val="0"/>
                  <w:divBdr>
                    <w:top w:val="none" w:sz="0" w:space="0" w:color="auto"/>
                    <w:left w:val="none" w:sz="0" w:space="0" w:color="auto"/>
                    <w:bottom w:val="none" w:sz="0" w:space="0" w:color="auto"/>
                    <w:right w:val="none" w:sz="0" w:space="0" w:color="auto"/>
                  </w:divBdr>
                  <w:divsChild>
                    <w:div w:id="1410233072">
                      <w:marLeft w:val="0"/>
                      <w:marRight w:val="0"/>
                      <w:marTop w:val="0"/>
                      <w:marBottom w:val="0"/>
                      <w:divBdr>
                        <w:top w:val="none" w:sz="0" w:space="0" w:color="auto"/>
                        <w:left w:val="none" w:sz="0" w:space="0" w:color="auto"/>
                        <w:bottom w:val="none" w:sz="0" w:space="0" w:color="auto"/>
                        <w:right w:val="none" w:sz="0" w:space="0" w:color="auto"/>
                      </w:divBdr>
                    </w:div>
                  </w:divsChild>
                </w:div>
                <w:div w:id="326247613">
                  <w:marLeft w:val="0"/>
                  <w:marRight w:val="0"/>
                  <w:marTop w:val="0"/>
                  <w:marBottom w:val="0"/>
                  <w:divBdr>
                    <w:top w:val="none" w:sz="0" w:space="0" w:color="auto"/>
                    <w:left w:val="none" w:sz="0" w:space="0" w:color="auto"/>
                    <w:bottom w:val="none" w:sz="0" w:space="0" w:color="auto"/>
                    <w:right w:val="none" w:sz="0" w:space="0" w:color="auto"/>
                  </w:divBdr>
                  <w:divsChild>
                    <w:div w:id="317805551">
                      <w:marLeft w:val="0"/>
                      <w:marRight w:val="0"/>
                      <w:marTop w:val="0"/>
                      <w:marBottom w:val="0"/>
                      <w:divBdr>
                        <w:top w:val="none" w:sz="0" w:space="0" w:color="auto"/>
                        <w:left w:val="none" w:sz="0" w:space="0" w:color="auto"/>
                        <w:bottom w:val="none" w:sz="0" w:space="0" w:color="auto"/>
                        <w:right w:val="none" w:sz="0" w:space="0" w:color="auto"/>
                      </w:divBdr>
                    </w:div>
                  </w:divsChild>
                </w:div>
                <w:div w:id="332074843">
                  <w:marLeft w:val="0"/>
                  <w:marRight w:val="0"/>
                  <w:marTop w:val="0"/>
                  <w:marBottom w:val="0"/>
                  <w:divBdr>
                    <w:top w:val="none" w:sz="0" w:space="0" w:color="auto"/>
                    <w:left w:val="none" w:sz="0" w:space="0" w:color="auto"/>
                    <w:bottom w:val="none" w:sz="0" w:space="0" w:color="auto"/>
                    <w:right w:val="none" w:sz="0" w:space="0" w:color="auto"/>
                  </w:divBdr>
                  <w:divsChild>
                    <w:div w:id="812793801">
                      <w:marLeft w:val="0"/>
                      <w:marRight w:val="0"/>
                      <w:marTop w:val="0"/>
                      <w:marBottom w:val="0"/>
                      <w:divBdr>
                        <w:top w:val="none" w:sz="0" w:space="0" w:color="auto"/>
                        <w:left w:val="none" w:sz="0" w:space="0" w:color="auto"/>
                        <w:bottom w:val="none" w:sz="0" w:space="0" w:color="auto"/>
                        <w:right w:val="none" w:sz="0" w:space="0" w:color="auto"/>
                      </w:divBdr>
                    </w:div>
                  </w:divsChild>
                </w:div>
                <w:div w:id="388190080">
                  <w:marLeft w:val="0"/>
                  <w:marRight w:val="0"/>
                  <w:marTop w:val="0"/>
                  <w:marBottom w:val="0"/>
                  <w:divBdr>
                    <w:top w:val="none" w:sz="0" w:space="0" w:color="auto"/>
                    <w:left w:val="none" w:sz="0" w:space="0" w:color="auto"/>
                    <w:bottom w:val="none" w:sz="0" w:space="0" w:color="auto"/>
                    <w:right w:val="none" w:sz="0" w:space="0" w:color="auto"/>
                  </w:divBdr>
                  <w:divsChild>
                    <w:div w:id="1638148736">
                      <w:marLeft w:val="0"/>
                      <w:marRight w:val="0"/>
                      <w:marTop w:val="0"/>
                      <w:marBottom w:val="0"/>
                      <w:divBdr>
                        <w:top w:val="none" w:sz="0" w:space="0" w:color="auto"/>
                        <w:left w:val="none" w:sz="0" w:space="0" w:color="auto"/>
                        <w:bottom w:val="none" w:sz="0" w:space="0" w:color="auto"/>
                        <w:right w:val="none" w:sz="0" w:space="0" w:color="auto"/>
                      </w:divBdr>
                    </w:div>
                  </w:divsChild>
                </w:div>
                <w:div w:id="406417783">
                  <w:marLeft w:val="0"/>
                  <w:marRight w:val="0"/>
                  <w:marTop w:val="0"/>
                  <w:marBottom w:val="0"/>
                  <w:divBdr>
                    <w:top w:val="none" w:sz="0" w:space="0" w:color="auto"/>
                    <w:left w:val="none" w:sz="0" w:space="0" w:color="auto"/>
                    <w:bottom w:val="none" w:sz="0" w:space="0" w:color="auto"/>
                    <w:right w:val="none" w:sz="0" w:space="0" w:color="auto"/>
                  </w:divBdr>
                  <w:divsChild>
                    <w:div w:id="519390527">
                      <w:marLeft w:val="0"/>
                      <w:marRight w:val="0"/>
                      <w:marTop w:val="0"/>
                      <w:marBottom w:val="0"/>
                      <w:divBdr>
                        <w:top w:val="none" w:sz="0" w:space="0" w:color="auto"/>
                        <w:left w:val="none" w:sz="0" w:space="0" w:color="auto"/>
                        <w:bottom w:val="none" w:sz="0" w:space="0" w:color="auto"/>
                        <w:right w:val="none" w:sz="0" w:space="0" w:color="auto"/>
                      </w:divBdr>
                    </w:div>
                  </w:divsChild>
                </w:div>
                <w:div w:id="438724498">
                  <w:marLeft w:val="0"/>
                  <w:marRight w:val="0"/>
                  <w:marTop w:val="0"/>
                  <w:marBottom w:val="0"/>
                  <w:divBdr>
                    <w:top w:val="none" w:sz="0" w:space="0" w:color="auto"/>
                    <w:left w:val="none" w:sz="0" w:space="0" w:color="auto"/>
                    <w:bottom w:val="none" w:sz="0" w:space="0" w:color="auto"/>
                    <w:right w:val="none" w:sz="0" w:space="0" w:color="auto"/>
                  </w:divBdr>
                  <w:divsChild>
                    <w:div w:id="1497917244">
                      <w:marLeft w:val="0"/>
                      <w:marRight w:val="0"/>
                      <w:marTop w:val="0"/>
                      <w:marBottom w:val="0"/>
                      <w:divBdr>
                        <w:top w:val="none" w:sz="0" w:space="0" w:color="auto"/>
                        <w:left w:val="none" w:sz="0" w:space="0" w:color="auto"/>
                        <w:bottom w:val="none" w:sz="0" w:space="0" w:color="auto"/>
                        <w:right w:val="none" w:sz="0" w:space="0" w:color="auto"/>
                      </w:divBdr>
                    </w:div>
                  </w:divsChild>
                </w:div>
                <w:div w:id="446316970">
                  <w:marLeft w:val="0"/>
                  <w:marRight w:val="0"/>
                  <w:marTop w:val="0"/>
                  <w:marBottom w:val="0"/>
                  <w:divBdr>
                    <w:top w:val="none" w:sz="0" w:space="0" w:color="auto"/>
                    <w:left w:val="none" w:sz="0" w:space="0" w:color="auto"/>
                    <w:bottom w:val="none" w:sz="0" w:space="0" w:color="auto"/>
                    <w:right w:val="none" w:sz="0" w:space="0" w:color="auto"/>
                  </w:divBdr>
                  <w:divsChild>
                    <w:div w:id="691959433">
                      <w:marLeft w:val="0"/>
                      <w:marRight w:val="0"/>
                      <w:marTop w:val="0"/>
                      <w:marBottom w:val="0"/>
                      <w:divBdr>
                        <w:top w:val="none" w:sz="0" w:space="0" w:color="auto"/>
                        <w:left w:val="none" w:sz="0" w:space="0" w:color="auto"/>
                        <w:bottom w:val="none" w:sz="0" w:space="0" w:color="auto"/>
                        <w:right w:val="none" w:sz="0" w:space="0" w:color="auto"/>
                      </w:divBdr>
                    </w:div>
                  </w:divsChild>
                </w:div>
                <w:div w:id="449739137">
                  <w:marLeft w:val="0"/>
                  <w:marRight w:val="0"/>
                  <w:marTop w:val="0"/>
                  <w:marBottom w:val="0"/>
                  <w:divBdr>
                    <w:top w:val="none" w:sz="0" w:space="0" w:color="auto"/>
                    <w:left w:val="none" w:sz="0" w:space="0" w:color="auto"/>
                    <w:bottom w:val="none" w:sz="0" w:space="0" w:color="auto"/>
                    <w:right w:val="none" w:sz="0" w:space="0" w:color="auto"/>
                  </w:divBdr>
                  <w:divsChild>
                    <w:div w:id="1018045216">
                      <w:marLeft w:val="0"/>
                      <w:marRight w:val="0"/>
                      <w:marTop w:val="0"/>
                      <w:marBottom w:val="0"/>
                      <w:divBdr>
                        <w:top w:val="none" w:sz="0" w:space="0" w:color="auto"/>
                        <w:left w:val="none" w:sz="0" w:space="0" w:color="auto"/>
                        <w:bottom w:val="none" w:sz="0" w:space="0" w:color="auto"/>
                        <w:right w:val="none" w:sz="0" w:space="0" w:color="auto"/>
                      </w:divBdr>
                    </w:div>
                  </w:divsChild>
                </w:div>
                <w:div w:id="455758640">
                  <w:marLeft w:val="0"/>
                  <w:marRight w:val="0"/>
                  <w:marTop w:val="0"/>
                  <w:marBottom w:val="0"/>
                  <w:divBdr>
                    <w:top w:val="none" w:sz="0" w:space="0" w:color="auto"/>
                    <w:left w:val="none" w:sz="0" w:space="0" w:color="auto"/>
                    <w:bottom w:val="none" w:sz="0" w:space="0" w:color="auto"/>
                    <w:right w:val="none" w:sz="0" w:space="0" w:color="auto"/>
                  </w:divBdr>
                  <w:divsChild>
                    <w:div w:id="348214152">
                      <w:marLeft w:val="0"/>
                      <w:marRight w:val="0"/>
                      <w:marTop w:val="0"/>
                      <w:marBottom w:val="0"/>
                      <w:divBdr>
                        <w:top w:val="none" w:sz="0" w:space="0" w:color="auto"/>
                        <w:left w:val="none" w:sz="0" w:space="0" w:color="auto"/>
                        <w:bottom w:val="none" w:sz="0" w:space="0" w:color="auto"/>
                        <w:right w:val="none" w:sz="0" w:space="0" w:color="auto"/>
                      </w:divBdr>
                    </w:div>
                  </w:divsChild>
                </w:div>
                <w:div w:id="469254106">
                  <w:marLeft w:val="0"/>
                  <w:marRight w:val="0"/>
                  <w:marTop w:val="0"/>
                  <w:marBottom w:val="0"/>
                  <w:divBdr>
                    <w:top w:val="none" w:sz="0" w:space="0" w:color="auto"/>
                    <w:left w:val="none" w:sz="0" w:space="0" w:color="auto"/>
                    <w:bottom w:val="none" w:sz="0" w:space="0" w:color="auto"/>
                    <w:right w:val="none" w:sz="0" w:space="0" w:color="auto"/>
                  </w:divBdr>
                  <w:divsChild>
                    <w:div w:id="938637768">
                      <w:marLeft w:val="0"/>
                      <w:marRight w:val="0"/>
                      <w:marTop w:val="0"/>
                      <w:marBottom w:val="0"/>
                      <w:divBdr>
                        <w:top w:val="none" w:sz="0" w:space="0" w:color="auto"/>
                        <w:left w:val="none" w:sz="0" w:space="0" w:color="auto"/>
                        <w:bottom w:val="none" w:sz="0" w:space="0" w:color="auto"/>
                        <w:right w:val="none" w:sz="0" w:space="0" w:color="auto"/>
                      </w:divBdr>
                    </w:div>
                  </w:divsChild>
                </w:div>
                <w:div w:id="483276965">
                  <w:marLeft w:val="0"/>
                  <w:marRight w:val="0"/>
                  <w:marTop w:val="0"/>
                  <w:marBottom w:val="0"/>
                  <w:divBdr>
                    <w:top w:val="none" w:sz="0" w:space="0" w:color="auto"/>
                    <w:left w:val="none" w:sz="0" w:space="0" w:color="auto"/>
                    <w:bottom w:val="none" w:sz="0" w:space="0" w:color="auto"/>
                    <w:right w:val="none" w:sz="0" w:space="0" w:color="auto"/>
                  </w:divBdr>
                  <w:divsChild>
                    <w:div w:id="1947955932">
                      <w:marLeft w:val="0"/>
                      <w:marRight w:val="0"/>
                      <w:marTop w:val="0"/>
                      <w:marBottom w:val="0"/>
                      <w:divBdr>
                        <w:top w:val="none" w:sz="0" w:space="0" w:color="auto"/>
                        <w:left w:val="none" w:sz="0" w:space="0" w:color="auto"/>
                        <w:bottom w:val="none" w:sz="0" w:space="0" w:color="auto"/>
                        <w:right w:val="none" w:sz="0" w:space="0" w:color="auto"/>
                      </w:divBdr>
                    </w:div>
                  </w:divsChild>
                </w:div>
                <w:div w:id="502664431">
                  <w:marLeft w:val="0"/>
                  <w:marRight w:val="0"/>
                  <w:marTop w:val="0"/>
                  <w:marBottom w:val="0"/>
                  <w:divBdr>
                    <w:top w:val="none" w:sz="0" w:space="0" w:color="auto"/>
                    <w:left w:val="none" w:sz="0" w:space="0" w:color="auto"/>
                    <w:bottom w:val="none" w:sz="0" w:space="0" w:color="auto"/>
                    <w:right w:val="none" w:sz="0" w:space="0" w:color="auto"/>
                  </w:divBdr>
                  <w:divsChild>
                    <w:div w:id="1523284074">
                      <w:marLeft w:val="0"/>
                      <w:marRight w:val="0"/>
                      <w:marTop w:val="0"/>
                      <w:marBottom w:val="0"/>
                      <w:divBdr>
                        <w:top w:val="none" w:sz="0" w:space="0" w:color="auto"/>
                        <w:left w:val="none" w:sz="0" w:space="0" w:color="auto"/>
                        <w:bottom w:val="none" w:sz="0" w:space="0" w:color="auto"/>
                        <w:right w:val="none" w:sz="0" w:space="0" w:color="auto"/>
                      </w:divBdr>
                    </w:div>
                  </w:divsChild>
                </w:div>
                <w:div w:id="514149134">
                  <w:marLeft w:val="0"/>
                  <w:marRight w:val="0"/>
                  <w:marTop w:val="0"/>
                  <w:marBottom w:val="0"/>
                  <w:divBdr>
                    <w:top w:val="none" w:sz="0" w:space="0" w:color="auto"/>
                    <w:left w:val="none" w:sz="0" w:space="0" w:color="auto"/>
                    <w:bottom w:val="none" w:sz="0" w:space="0" w:color="auto"/>
                    <w:right w:val="none" w:sz="0" w:space="0" w:color="auto"/>
                  </w:divBdr>
                  <w:divsChild>
                    <w:div w:id="379132764">
                      <w:marLeft w:val="0"/>
                      <w:marRight w:val="0"/>
                      <w:marTop w:val="0"/>
                      <w:marBottom w:val="0"/>
                      <w:divBdr>
                        <w:top w:val="none" w:sz="0" w:space="0" w:color="auto"/>
                        <w:left w:val="none" w:sz="0" w:space="0" w:color="auto"/>
                        <w:bottom w:val="none" w:sz="0" w:space="0" w:color="auto"/>
                        <w:right w:val="none" w:sz="0" w:space="0" w:color="auto"/>
                      </w:divBdr>
                    </w:div>
                  </w:divsChild>
                </w:div>
                <w:div w:id="524058404">
                  <w:marLeft w:val="0"/>
                  <w:marRight w:val="0"/>
                  <w:marTop w:val="0"/>
                  <w:marBottom w:val="0"/>
                  <w:divBdr>
                    <w:top w:val="none" w:sz="0" w:space="0" w:color="auto"/>
                    <w:left w:val="none" w:sz="0" w:space="0" w:color="auto"/>
                    <w:bottom w:val="none" w:sz="0" w:space="0" w:color="auto"/>
                    <w:right w:val="none" w:sz="0" w:space="0" w:color="auto"/>
                  </w:divBdr>
                  <w:divsChild>
                    <w:div w:id="1232080327">
                      <w:marLeft w:val="0"/>
                      <w:marRight w:val="0"/>
                      <w:marTop w:val="0"/>
                      <w:marBottom w:val="0"/>
                      <w:divBdr>
                        <w:top w:val="none" w:sz="0" w:space="0" w:color="auto"/>
                        <w:left w:val="none" w:sz="0" w:space="0" w:color="auto"/>
                        <w:bottom w:val="none" w:sz="0" w:space="0" w:color="auto"/>
                        <w:right w:val="none" w:sz="0" w:space="0" w:color="auto"/>
                      </w:divBdr>
                    </w:div>
                  </w:divsChild>
                </w:div>
                <w:div w:id="538393839">
                  <w:marLeft w:val="0"/>
                  <w:marRight w:val="0"/>
                  <w:marTop w:val="0"/>
                  <w:marBottom w:val="0"/>
                  <w:divBdr>
                    <w:top w:val="none" w:sz="0" w:space="0" w:color="auto"/>
                    <w:left w:val="none" w:sz="0" w:space="0" w:color="auto"/>
                    <w:bottom w:val="none" w:sz="0" w:space="0" w:color="auto"/>
                    <w:right w:val="none" w:sz="0" w:space="0" w:color="auto"/>
                  </w:divBdr>
                  <w:divsChild>
                    <w:div w:id="919607685">
                      <w:marLeft w:val="0"/>
                      <w:marRight w:val="0"/>
                      <w:marTop w:val="0"/>
                      <w:marBottom w:val="0"/>
                      <w:divBdr>
                        <w:top w:val="none" w:sz="0" w:space="0" w:color="auto"/>
                        <w:left w:val="none" w:sz="0" w:space="0" w:color="auto"/>
                        <w:bottom w:val="none" w:sz="0" w:space="0" w:color="auto"/>
                        <w:right w:val="none" w:sz="0" w:space="0" w:color="auto"/>
                      </w:divBdr>
                    </w:div>
                  </w:divsChild>
                </w:div>
                <w:div w:id="549415434">
                  <w:marLeft w:val="0"/>
                  <w:marRight w:val="0"/>
                  <w:marTop w:val="0"/>
                  <w:marBottom w:val="0"/>
                  <w:divBdr>
                    <w:top w:val="none" w:sz="0" w:space="0" w:color="auto"/>
                    <w:left w:val="none" w:sz="0" w:space="0" w:color="auto"/>
                    <w:bottom w:val="none" w:sz="0" w:space="0" w:color="auto"/>
                    <w:right w:val="none" w:sz="0" w:space="0" w:color="auto"/>
                  </w:divBdr>
                  <w:divsChild>
                    <w:div w:id="1818573222">
                      <w:marLeft w:val="0"/>
                      <w:marRight w:val="0"/>
                      <w:marTop w:val="0"/>
                      <w:marBottom w:val="0"/>
                      <w:divBdr>
                        <w:top w:val="none" w:sz="0" w:space="0" w:color="auto"/>
                        <w:left w:val="none" w:sz="0" w:space="0" w:color="auto"/>
                        <w:bottom w:val="none" w:sz="0" w:space="0" w:color="auto"/>
                        <w:right w:val="none" w:sz="0" w:space="0" w:color="auto"/>
                      </w:divBdr>
                    </w:div>
                  </w:divsChild>
                </w:div>
                <w:div w:id="558632483">
                  <w:marLeft w:val="0"/>
                  <w:marRight w:val="0"/>
                  <w:marTop w:val="0"/>
                  <w:marBottom w:val="0"/>
                  <w:divBdr>
                    <w:top w:val="none" w:sz="0" w:space="0" w:color="auto"/>
                    <w:left w:val="none" w:sz="0" w:space="0" w:color="auto"/>
                    <w:bottom w:val="none" w:sz="0" w:space="0" w:color="auto"/>
                    <w:right w:val="none" w:sz="0" w:space="0" w:color="auto"/>
                  </w:divBdr>
                  <w:divsChild>
                    <w:div w:id="458651113">
                      <w:marLeft w:val="0"/>
                      <w:marRight w:val="0"/>
                      <w:marTop w:val="0"/>
                      <w:marBottom w:val="0"/>
                      <w:divBdr>
                        <w:top w:val="none" w:sz="0" w:space="0" w:color="auto"/>
                        <w:left w:val="none" w:sz="0" w:space="0" w:color="auto"/>
                        <w:bottom w:val="none" w:sz="0" w:space="0" w:color="auto"/>
                        <w:right w:val="none" w:sz="0" w:space="0" w:color="auto"/>
                      </w:divBdr>
                    </w:div>
                  </w:divsChild>
                </w:div>
                <w:div w:id="588538547">
                  <w:marLeft w:val="0"/>
                  <w:marRight w:val="0"/>
                  <w:marTop w:val="0"/>
                  <w:marBottom w:val="0"/>
                  <w:divBdr>
                    <w:top w:val="none" w:sz="0" w:space="0" w:color="auto"/>
                    <w:left w:val="none" w:sz="0" w:space="0" w:color="auto"/>
                    <w:bottom w:val="none" w:sz="0" w:space="0" w:color="auto"/>
                    <w:right w:val="none" w:sz="0" w:space="0" w:color="auto"/>
                  </w:divBdr>
                  <w:divsChild>
                    <w:div w:id="707533199">
                      <w:marLeft w:val="0"/>
                      <w:marRight w:val="0"/>
                      <w:marTop w:val="0"/>
                      <w:marBottom w:val="0"/>
                      <w:divBdr>
                        <w:top w:val="none" w:sz="0" w:space="0" w:color="auto"/>
                        <w:left w:val="none" w:sz="0" w:space="0" w:color="auto"/>
                        <w:bottom w:val="none" w:sz="0" w:space="0" w:color="auto"/>
                        <w:right w:val="none" w:sz="0" w:space="0" w:color="auto"/>
                      </w:divBdr>
                    </w:div>
                  </w:divsChild>
                </w:div>
                <w:div w:id="639848932">
                  <w:marLeft w:val="0"/>
                  <w:marRight w:val="0"/>
                  <w:marTop w:val="0"/>
                  <w:marBottom w:val="0"/>
                  <w:divBdr>
                    <w:top w:val="none" w:sz="0" w:space="0" w:color="auto"/>
                    <w:left w:val="none" w:sz="0" w:space="0" w:color="auto"/>
                    <w:bottom w:val="none" w:sz="0" w:space="0" w:color="auto"/>
                    <w:right w:val="none" w:sz="0" w:space="0" w:color="auto"/>
                  </w:divBdr>
                  <w:divsChild>
                    <w:div w:id="152184292">
                      <w:marLeft w:val="0"/>
                      <w:marRight w:val="0"/>
                      <w:marTop w:val="0"/>
                      <w:marBottom w:val="0"/>
                      <w:divBdr>
                        <w:top w:val="none" w:sz="0" w:space="0" w:color="auto"/>
                        <w:left w:val="none" w:sz="0" w:space="0" w:color="auto"/>
                        <w:bottom w:val="none" w:sz="0" w:space="0" w:color="auto"/>
                        <w:right w:val="none" w:sz="0" w:space="0" w:color="auto"/>
                      </w:divBdr>
                    </w:div>
                  </w:divsChild>
                </w:div>
                <w:div w:id="642733884">
                  <w:marLeft w:val="0"/>
                  <w:marRight w:val="0"/>
                  <w:marTop w:val="0"/>
                  <w:marBottom w:val="0"/>
                  <w:divBdr>
                    <w:top w:val="none" w:sz="0" w:space="0" w:color="auto"/>
                    <w:left w:val="none" w:sz="0" w:space="0" w:color="auto"/>
                    <w:bottom w:val="none" w:sz="0" w:space="0" w:color="auto"/>
                    <w:right w:val="none" w:sz="0" w:space="0" w:color="auto"/>
                  </w:divBdr>
                  <w:divsChild>
                    <w:div w:id="549463494">
                      <w:marLeft w:val="0"/>
                      <w:marRight w:val="0"/>
                      <w:marTop w:val="0"/>
                      <w:marBottom w:val="0"/>
                      <w:divBdr>
                        <w:top w:val="none" w:sz="0" w:space="0" w:color="auto"/>
                        <w:left w:val="none" w:sz="0" w:space="0" w:color="auto"/>
                        <w:bottom w:val="none" w:sz="0" w:space="0" w:color="auto"/>
                        <w:right w:val="none" w:sz="0" w:space="0" w:color="auto"/>
                      </w:divBdr>
                    </w:div>
                  </w:divsChild>
                </w:div>
                <w:div w:id="649600969">
                  <w:marLeft w:val="0"/>
                  <w:marRight w:val="0"/>
                  <w:marTop w:val="0"/>
                  <w:marBottom w:val="0"/>
                  <w:divBdr>
                    <w:top w:val="none" w:sz="0" w:space="0" w:color="auto"/>
                    <w:left w:val="none" w:sz="0" w:space="0" w:color="auto"/>
                    <w:bottom w:val="none" w:sz="0" w:space="0" w:color="auto"/>
                    <w:right w:val="none" w:sz="0" w:space="0" w:color="auto"/>
                  </w:divBdr>
                  <w:divsChild>
                    <w:div w:id="1880048012">
                      <w:marLeft w:val="0"/>
                      <w:marRight w:val="0"/>
                      <w:marTop w:val="0"/>
                      <w:marBottom w:val="0"/>
                      <w:divBdr>
                        <w:top w:val="none" w:sz="0" w:space="0" w:color="auto"/>
                        <w:left w:val="none" w:sz="0" w:space="0" w:color="auto"/>
                        <w:bottom w:val="none" w:sz="0" w:space="0" w:color="auto"/>
                        <w:right w:val="none" w:sz="0" w:space="0" w:color="auto"/>
                      </w:divBdr>
                    </w:div>
                  </w:divsChild>
                </w:div>
                <w:div w:id="661782896">
                  <w:marLeft w:val="0"/>
                  <w:marRight w:val="0"/>
                  <w:marTop w:val="0"/>
                  <w:marBottom w:val="0"/>
                  <w:divBdr>
                    <w:top w:val="none" w:sz="0" w:space="0" w:color="auto"/>
                    <w:left w:val="none" w:sz="0" w:space="0" w:color="auto"/>
                    <w:bottom w:val="none" w:sz="0" w:space="0" w:color="auto"/>
                    <w:right w:val="none" w:sz="0" w:space="0" w:color="auto"/>
                  </w:divBdr>
                  <w:divsChild>
                    <w:div w:id="1172178822">
                      <w:marLeft w:val="0"/>
                      <w:marRight w:val="0"/>
                      <w:marTop w:val="0"/>
                      <w:marBottom w:val="0"/>
                      <w:divBdr>
                        <w:top w:val="none" w:sz="0" w:space="0" w:color="auto"/>
                        <w:left w:val="none" w:sz="0" w:space="0" w:color="auto"/>
                        <w:bottom w:val="none" w:sz="0" w:space="0" w:color="auto"/>
                        <w:right w:val="none" w:sz="0" w:space="0" w:color="auto"/>
                      </w:divBdr>
                    </w:div>
                  </w:divsChild>
                </w:div>
                <w:div w:id="665062141">
                  <w:marLeft w:val="0"/>
                  <w:marRight w:val="0"/>
                  <w:marTop w:val="0"/>
                  <w:marBottom w:val="0"/>
                  <w:divBdr>
                    <w:top w:val="none" w:sz="0" w:space="0" w:color="auto"/>
                    <w:left w:val="none" w:sz="0" w:space="0" w:color="auto"/>
                    <w:bottom w:val="none" w:sz="0" w:space="0" w:color="auto"/>
                    <w:right w:val="none" w:sz="0" w:space="0" w:color="auto"/>
                  </w:divBdr>
                  <w:divsChild>
                    <w:div w:id="1520779863">
                      <w:marLeft w:val="0"/>
                      <w:marRight w:val="0"/>
                      <w:marTop w:val="0"/>
                      <w:marBottom w:val="0"/>
                      <w:divBdr>
                        <w:top w:val="none" w:sz="0" w:space="0" w:color="auto"/>
                        <w:left w:val="none" w:sz="0" w:space="0" w:color="auto"/>
                        <w:bottom w:val="none" w:sz="0" w:space="0" w:color="auto"/>
                        <w:right w:val="none" w:sz="0" w:space="0" w:color="auto"/>
                      </w:divBdr>
                    </w:div>
                  </w:divsChild>
                </w:div>
                <w:div w:id="676419761">
                  <w:marLeft w:val="0"/>
                  <w:marRight w:val="0"/>
                  <w:marTop w:val="0"/>
                  <w:marBottom w:val="0"/>
                  <w:divBdr>
                    <w:top w:val="none" w:sz="0" w:space="0" w:color="auto"/>
                    <w:left w:val="none" w:sz="0" w:space="0" w:color="auto"/>
                    <w:bottom w:val="none" w:sz="0" w:space="0" w:color="auto"/>
                    <w:right w:val="none" w:sz="0" w:space="0" w:color="auto"/>
                  </w:divBdr>
                  <w:divsChild>
                    <w:div w:id="1791585809">
                      <w:marLeft w:val="0"/>
                      <w:marRight w:val="0"/>
                      <w:marTop w:val="0"/>
                      <w:marBottom w:val="0"/>
                      <w:divBdr>
                        <w:top w:val="none" w:sz="0" w:space="0" w:color="auto"/>
                        <w:left w:val="none" w:sz="0" w:space="0" w:color="auto"/>
                        <w:bottom w:val="none" w:sz="0" w:space="0" w:color="auto"/>
                        <w:right w:val="none" w:sz="0" w:space="0" w:color="auto"/>
                      </w:divBdr>
                    </w:div>
                  </w:divsChild>
                </w:div>
                <w:div w:id="678002328">
                  <w:marLeft w:val="0"/>
                  <w:marRight w:val="0"/>
                  <w:marTop w:val="0"/>
                  <w:marBottom w:val="0"/>
                  <w:divBdr>
                    <w:top w:val="none" w:sz="0" w:space="0" w:color="auto"/>
                    <w:left w:val="none" w:sz="0" w:space="0" w:color="auto"/>
                    <w:bottom w:val="none" w:sz="0" w:space="0" w:color="auto"/>
                    <w:right w:val="none" w:sz="0" w:space="0" w:color="auto"/>
                  </w:divBdr>
                  <w:divsChild>
                    <w:div w:id="2031879373">
                      <w:marLeft w:val="0"/>
                      <w:marRight w:val="0"/>
                      <w:marTop w:val="0"/>
                      <w:marBottom w:val="0"/>
                      <w:divBdr>
                        <w:top w:val="none" w:sz="0" w:space="0" w:color="auto"/>
                        <w:left w:val="none" w:sz="0" w:space="0" w:color="auto"/>
                        <w:bottom w:val="none" w:sz="0" w:space="0" w:color="auto"/>
                        <w:right w:val="none" w:sz="0" w:space="0" w:color="auto"/>
                      </w:divBdr>
                    </w:div>
                  </w:divsChild>
                </w:div>
                <w:div w:id="694766955">
                  <w:marLeft w:val="0"/>
                  <w:marRight w:val="0"/>
                  <w:marTop w:val="0"/>
                  <w:marBottom w:val="0"/>
                  <w:divBdr>
                    <w:top w:val="none" w:sz="0" w:space="0" w:color="auto"/>
                    <w:left w:val="none" w:sz="0" w:space="0" w:color="auto"/>
                    <w:bottom w:val="none" w:sz="0" w:space="0" w:color="auto"/>
                    <w:right w:val="none" w:sz="0" w:space="0" w:color="auto"/>
                  </w:divBdr>
                  <w:divsChild>
                    <w:div w:id="220866480">
                      <w:marLeft w:val="0"/>
                      <w:marRight w:val="0"/>
                      <w:marTop w:val="0"/>
                      <w:marBottom w:val="0"/>
                      <w:divBdr>
                        <w:top w:val="none" w:sz="0" w:space="0" w:color="auto"/>
                        <w:left w:val="none" w:sz="0" w:space="0" w:color="auto"/>
                        <w:bottom w:val="none" w:sz="0" w:space="0" w:color="auto"/>
                        <w:right w:val="none" w:sz="0" w:space="0" w:color="auto"/>
                      </w:divBdr>
                    </w:div>
                  </w:divsChild>
                </w:div>
                <w:div w:id="735738487">
                  <w:marLeft w:val="0"/>
                  <w:marRight w:val="0"/>
                  <w:marTop w:val="0"/>
                  <w:marBottom w:val="0"/>
                  <w:divBdr>
                    <w:top w:val="none" w:sz="0" w:space="0" w:color="auto"/>
                    <w:left w:val="none" w:sz="0" w:space="0" w:color="auto"/>
                    <w:bottom w:val="none" w:sz="0" w:space="0" w:color="auto"/>
                    <w:right w:val="none" w:sz="0" w:space="0" w:color="auto"/>
                  </w:divBdr>
                  <w:divsChild>
                    <w:div w:id="1101801179">
                      <w:marLeft w:val="0"/>
                      <w:marRight w:val="0"/>
                      <w:marTop w:val="0"/>
                      <w:marBottom w:val="0"/>
                      <w:divBdr>
                        <w:top w:val="none" w:sz="0" w:space="0" w:color="auto"/>
                        <w:left w:val="none" w:sz="0" w:space="0" w:color="auto"/>
                        <w:bottom w:val="none" w:sz="0" w:space="0" w:color="auto"/>
                        <w:right w:val="none" w:sz="0" w:space="0" w:color="auto"/>
                      </w:divBdr>
                    </w:div>
                  </w:divsChild>
                </w:div>
                <w:div w:id="739249310">
                  <w:marLeft w:val="0"/>
                  <w:marRight w:val="0"/>
                  <w:marTop w:val="0"/>
                  <w:marBottom w:val="0"/>
                  <w:divBdr>
                    <w:top w:val="none" w:sz="0" w:space="0" w:color="auto"/>
                    <w:left w:val="none" w:sz="0" w:space="0" w:color="auto"/>
                    <w:bottom w:val="none" w:sz="0" w:space="0" w:color="auto"/>
                    <w:right w:val="none" w:sz="0" w:space="0" w:color="auto"/>
                  </w:divBdr>
                  <w:divsChild>
                    <w:div w:id="490563025">
                      <w:marLeft w:val="0"/>
                      <w:marRight w:val="0"/>
                      <w:marTop w:val="0"/>
                      <w:marBottom w:val="0"/>
                      <w:divBdr>
                        <w:top w:val="none" w:sz="0" w:space="0" w:color="auto"/>
                        <w:left w:val="none" w:sz="0" w:space="0" w:color="auto"/>
                        <w:bottom w:val="none" w:sz="0" w:space="0" w:color="auto"/>
                        <w:right w:val="none" w:sz="0" w:space="0" w:color="auto"/>
                      </w:divBdr>
                    </w:div>
                  </w:divsChild>
                </w:div>
                <w:div w:id="769470868">
                  <w:marLeft w:val="0"/>
                  <w:marRight w:val="0"/>
                  <w:marTop w:val="0"/>
                  <w:marBottom w:val="0"/>
                  <w:divBdr>
                    <w:top w:val="none" w:sz="0" w:space="0" w:color="auto"/>
                    <w:left w:val="none" w:sz="0" w:space="0" w:color="auto"/>
                    <w:bottom w:val="none" w:sz="0" w:space="0" w:color="auto"/>
                    <w:right w:val="none" w:sz="0" w:space="0" w:color="auto"/>
                  </w:divBdr>
                  <w:divsChild>
                    <w:div w:id="20327615">
                      <w:marLeft w:val="0"/>
                      <w:marRight w:val="0"/>
                      <w:marTop w:val="0"/>
                      <w:marBottom w:val="0"/>
                      <w:divBdr>
                        <w:top w:val="none" w:sz="0" w:space="0" w:color="auto"/>
                        <w:left w:val="none" w:sz="0" w:space="0" w:color="auto"/>
                        <w:bottom w:val="none" w:sz="0" w:space="0" w:color="auto"/>
                        <w:right w:val="none" w:sz="0" w:space="0" w:color="auto"/>
                      </w:divBdr>
                    </w:div>
                  </w:divsChild>
                </w:div>
                <w:div w:id="770927774">
                  <w:marLeft w:val="0"/>
                  <w:marRight w:val="0"/>
                  <w:marTop w:val="0"/>
                  <w:marBottom w:val="0"/>
                  <w:divBdr>
                    <w:top w:val="none" w:sz="0" w:space="0" w:color="auto"/>
                    <w:left w:val="none" w:sz="0" w:space="0" w:color="auto"/>
                    <w:bottom w:val="none" w:sz="0" w:space="0" w:color="auto"/>
                    <w:right w:val="none" w:sz="0" w:space="0" w:color="auto"/>
                  </w:divBdr>
                  <w:divsChild>
                    <w:div w:id="744455234">
                      <w:marLeft w:val="0"/>
                      <w:marRight w:val="0"/>
                      <w:marTop w:val="0"/>
                      <w:marBottom w:val="0"/>
                      <w:divBdr>
                        <w:top w:val="none" w:sz="0" w:space="0" w:color="auto"/>
                        <w:left w:val="none" w:sz="0" w:space="0" w:color="auto"/>
                        <w:bottom w:val="none" w:sz="0" w:space="0" w:color="auto"/>
                        <w:right w:val="none" w:sz="0" w:space="0" w:color="auto"/>
                      </w:divBdr>
                    </w:div>
                  </w:divsChild>
                </w:div>
                <w:div w:id="789665787">
                  <w:marLeft w:val="0"/>
                  <w:marRight w:val="0"/>
                  <w:marTop w:val="0"/>
                  <w:marBottom w:val="0"/>
                  <w:divBdr>
                    <w:top w:val="none" w:sz="0" w:space="0" w:color="auto"/>
                    <w:left w:val="none" w:sz="0" w:space="0" w:color="auto"/>
                    <w:bottom w:val="none" w:sz="0" w:space="0" w:color="auto"/>
                    <w:right w:val="none" w:sz="0" w:space="0" w:color="auto"/>
                  </w:divBdr>
                  <w:divsChild>
                    <w:div w:id="1389836894">
                      <w:marLeft w:val="0"/>
                      <w:marRight w:val="0"/>
                      <w:marTop w:val="0"/>
                      <w:marBottom w:val="0"/>
                      <w:divBdr>
                        <w:top w:val="none" w:sz="0" w:space="0" w:color="auto"/>
                        <w:left w:val="none" w:sz="0" w:space="0" w:color="auto"/>
                        <w:bottom w:val="none" w:sz="0" w:space="0" w:color="auto"/>
                        <w:right w:val="none" w:sz="0" w:space="0" w:color="auto"/>
                      </w:divBdr>
                    </w:div>
                  </w:divsChild>
                </w:div>
                <w:div w:id="812261551">
                  <w:marLeft w:val="0"/>
                  <w:marRight w:val="0"/>
                  <w:marTop w:val="0"/>
                  <w:marBottom w:val="0"/>
                  <w:divBdr>
                    <w:top w:val="none" w:sz="0" w:space="0" w:color="auto"/>
                    <w:left w:val="none" w:sz="0" w:space="0" w:color="auto"/>
                    <w:bottom w:val="none" w:sz="0" w:space="0" w:color="auto"/>
                    <w:right w:val="none" w:sz="0" w:space="0" w:color="auto"/>
                  </w:divBdr>
                  <w:divsChild>
                    <w:div w:id="980965553">
                      <w:marLeft w:val="0"/>
                      <w:marRight w:val="0"/>
                      <w:marTop w:val="0"/>
                      <w:marBottom w:val="0"/>
                      <w:divBdr>
                        <w:top w:val="none" w:sz="0" w:space="0" w:color="auto"/>
                        <w:left w:val="none" w:sz="0" w:space="0" w:color="auto"/>
                        <w:bottom w:val="none" w:sz="0" w:space="0" w:color="auto"/>
                        <w:right w:val="none" w:sz="0" w:space="0" w:color="auto"/>
                      </w:divBdr>
                    </w:div>
                  </w:divsChild>
                </w:div>
                <w:div w:id="815101763">
                  <w:marLeft w:val="0"/>
                  <w:marRight w:val="0"/>
                  <w:marTop w:val="0"/>
                  <w:marBottom w:val="0"/>
                  <w:divBdr>
                    <w:top w:val="none" w:sz="0" w:space="0" w:color="auto"/>
                    <w:left w:val="none" w:sz="0" w:space="0" w:color="auto"/>
                    <w:bottom w:val="none" w:sz="0" w:space="0" w:color="auto"/>
                    <w:right w:val="none" w:sz="0" w:space="0" w:color="auto"/>
                  </w:divBdr>
                  <w:divsChild>
                    <w:div w:id="2073697997">
                      <w:marLeft w:val="0"/>
                      <w:marRight w:val="0"/>
                      <w:marTop w:val="0"/>
                      <w:marBottom w:val="0"/>
                      <w:divBdr>
                        <w:top w:val="none" w:sz="0" w:space="0" w:color="auto"/>
                        <w:left w:val="none" w:sz="0" w:space="0" w:color="auto"/>
                        <w:bottom w:val="none" w:sz="0" w:space="0" w:color="auto"/>
                        <w:right w:val="none" w:sz="0" w:space="0" w:color="auto"/>
                      </w:divBdr>
                    </w:div>
                  </w:divsChild>
                </w:div>
                <w:div w:id="833881036">
                  <w:marLeft w:val="0"/>
                  <w:marRight w:val="0"/>
                  <w:marTop w:val="0"/>
                  <w:marBottom w:val="0"/>
                  <w:divBdr>
                    <w:top w:val="none" w:sz="0" w:space="0" w:color="auto"/>
                    <w:left w:val="none" w:sz="0" w:space="0" w:color="auto"/>
                    <w:bottom w:val="none" w:sz="0" w:space="0" w:color="auto"/>
                    <w:right w:val="none" w:sz="0" w:space="0" w:color="auto"/>
                  </w:divBdr>
                  <w:divsChild>
                    <w:div w:id="129902085">
                      <w:marLeft w:val="0"/>
                      <w:marRight w:val="0"/>
                      <w:marTop w:val="0"/>
                      <w:marBottom w:val="0"/>
                      <w:divBdr>
                        <w:top w:val="none" w:sz="0" w:space="0" w:color="auto"/>
                        <w:left w:val="none" w:sz="0" w:space="0" w:color="auto"/>
                        <w:bottom w:val="none" w:sz="0" w:space="0" w:color="auto"/>
                        <w:right w:val="none" w:sz="0" w:space="0" w:color="auto"/>
                      </w:divBdr>
                    </w:div>
                  </w:divsChild>
                </w:div>
                <w:div w:id="839809140">
                  <w:marLeft w:val="0"/>
                  <w:marRight w:val="0"/>
                  <w:marTop w:val="0"/>
                  <w:marBottom w:val="0"/>
                  <w:divBdr>
                    <w:top w:val="none" w:sz="0" w:space="0" w:color="auto"/>
                    <w:left w:val="none" w:sz="0" w:space="0" w:color="auto"/>
                    <w:bottom w:val="none" w:sz="0" w:space="0" w:color="auto"/>
                    <w:right w:val="none" w:sz="0" w:space="0" w:color="auto"/>
                  </w:divBdr>
                  <w:divsChild>
                    <w:div w:id="615256410">
                      <w:marLeft w:val="0"/>
                      <w:marRight w:val="0"/>
                      <w:marTop w:val="0"/>
                      <w:marBottom w:val="0"/>
                      <w:divBdr>
                        <w:top w:val="none" w:sz="0" w:space="0" w:color="auto"/>
                        <w:left w:val="none" w:sz="0" w:space="0" w:color="auto"/>
                        <w:bottom w:val="none" w:sz="0" w:space="0" w:color="auto"/>
                        <w:right w:val="none" w:sz="0" w:space="0" w:color="auto"/>
                      </w:divBdr>
                    </w:div>
                  </w:divsChild>
                </w:div>
                <w:div w:id="849104473">
                  <w:marLeft w:val="0"/>
                  <w:marRight w:val="0"/>
                  <w:marTop w:val="0"/>
                  <w:marBottom w:val="0"/>
                  <w:divBdr>
                    <w:top w:val="none" w:sz="0" w:space="0" w:color="auto"/>
                    <w:left w:val="none" w:sz="0" w:space="0" w:color="auto"/>
                    <w:bottom w:val="none" w:sz="0" w:space="0" w:color="auto"/>
                    <w:right w:val="none" w:sz="0" w:space="0" w:color="auto"/>
                  </w:divBdr>
                  <w:divsChild>
                    <w:div w:id="1663242166">
                      <w:marLeft w:val="0"/>
                      <w:marRight w:val="0"/>
                      <w:marTop w:val="0"/>
                      <w:marBottom w:val="0"/>
                      <w:divBdr>
                        <w:top w:val="none" w:sz="0" w:space="0" w:color="auto"/>
                        <w:left w:val="none" w:sz="0" w:space="0" w:color="auto"/>
                        <w:bottom w:val="none" w:sz="0" w:space="0" w:color="auto"/>
                        <w:right w:val="none" w:sz="0" w:space="0" w:color="auto"/>
                      </w:divBdr>
                    </w:div>
                  </w:divsChild>
                </w:div>
                <w:div w:id="863329070">
                  <w:marLeft w:val="0"/>
                  <w:marRight w:val="0"/>
                  <w:marTop w:val="0"/>
                  <w:marBottom w:val="0"/>
                  <w:divBdr>
                    <w:top w:val="none" w:sz="0" w:space="0" w:color="auto"/>
                    <w:left w:val="none" w:sz="0" w:space="0" w:color="auto"/>
                    <w:bottom w:val="none" w:sz="0" w:space="0" w:color="auto"/>
                    <w:right w:val="none" w:sz="0" w:space="0" w:color="auto"/>
                  </w:divBdr>
                  <w:divsChild>
                    <w:div w:id="1122269567">
                      <w:marLeft w:val="0"/>
                      <w:marRight w:val="0"/>
                      <w:marTop w:val="0"/>
                      <w:marBottom w:val="0"/>
                      <w:divBdr>
                        <w:top w:val="none" w:sz="0" w:space="0" w:color="auto"/>
                        <w:left w:val="none" w:sz="0" w:space="0" w:color="auto"/>
                        <w:bottom w:val="none" w:sz="0" w:space="0" w:color="auto"/>
                        <w:right w:val="none" w:sz="0" w:space="0" w:color="auto"/>
                      </w:divBdr>
                    </w:div>
                  </w:divsChild>
                </w:div>
                <w:div w:id="875891718">
                  <w:marLeft w:val="0"/>
                  <w:marRight w:val="0"/>
                  <w:marTop w:val="0"/>
                  <w:marBottom w:val="0"/>
                  <w:divBdr>
                    <w:top w:val="none" w:sz="0" w:space="0" w:color="auto"/>
                    <w:left w:val="none" w:sz="0" w:space="0" w:color="auto"/>
                    <w:bottom w:val="none" w:sz="0" w:space="0" w:color="auto"/>
                    <w:right w:val="none" w:sz="0" w:space="0" w:color="auto"/>
                  </w:divBdr>
                  <w:divsChild>
                    <w:div w:id="220409787">
                      <w:marLeft w:val="0"/>
                      <w:marRight w:val="0"/>
                      <w:marTop w:val="0"/>
                      <w:marBottom w:val="0"/>
                      <w:divBdr>
                        <w:top w:val="none" w:sz="0" w:space="0" w:color="auto"/>
                        <w:left w:val="none" w:sz="0" w:space="0" w:color="auto"/>
                        <w:bottom w:val="none" w:sz="0" w:space="0" w:color="auto"/>
                        <w:right w:val="none" w:sz="0" w:space="0" w:color="auto"/>
                      </w:divBdr>
                    </w:div>
                  </w:divsChild>
                </w:div>
                <w:div w:id="880172367">
                  <w:marLeft w:val="0"/>
                  <w:marRight w:val="0"/>
                  <w:marTop w:val="0"/>
                  <w:marBottom w:val="0"/>
                  <w:divBdr>
                    <w:top w:val="none" w:sz="0" w:space="0" w:color="auto"/>
                    <w:left w:val="none" w:sz="0" w:space="0" w:color="auto"/>
                    <w:bottom w:val="none" w:sz="0" w:space="0" w:color="auto"/>
                    <w:right w:val="none" w:sz="0" w:space="0" w:color="auto"/>
                  </w:divBdr>
                  <w:divsChild>
                    <w:div w:id="1541437980">
                      <w:marLeft w:val="0"/>
                      <w:marRight w:val="0"/>
                      <w:marTop w:val="0"/>
                      <w:marBottom w:val="0"/>
                      <w:divBdr>
                        <w:top w:val="none" w:sz="0" w:space="0" w:color="auto"/>
                        <w:left w:val="none" w:sz="0" w:space="0" w:color="auto"/>
                        <w:bottom w:val="none" w:sz="0" w:space="0" w:color="auto"/>
                        <w:right w:val="none" w:sz="0" w:space="0" w:color="auto"/>
                      </w:divBdr>
                    </w:div>
                  </w:divsChild>
                </w:div>
                <w:div w:id="889921594">
                  <w:marLeft w:val="0"/>
                  <w:marRight w:val="0"/>
                  <w:marTop w:val="0"/>
                  <w:marBottom w:val="0"/>
                  <w:divBdr>
                    <w:top w:val="none" w:sz="0" w:space="0" w:color="auto"/>
                    <w:left w:val="none" w:sz="0" w:space="0" w:color="auto"/>
                    <w:bottom w:val="none" w:sz="0" w:space="0" w:color="auto"/>
                    <w:right w:val="none" w:sz="0" w:space="0" w:color="auto"/>
                  </w:divBdr>
                  <w:divsChild>
                    <w:div w:id="1650941263">
                      <w:marLeft w:val="0"/>
                      <w:marRight w:val="0"/>
                      <w:marTop w:val="0"/>
                      <w:marBottom w:val="0"/>
                      <w:divBdr>
                        <w:top w:val="none" w:sz="0" w:space="0" w:color="auto"/>
                        <w:left w:val="none" w:sz="0" w:space="0" w:color="auto"/>
                        <w:bottom w:val="none" w:sz="0" w:space="0" w:color="auto"/>
                        <w:right w:val="none" w:sz="0" w:space="0" w:color="auto"/>
                      </w:divBdr>
                    </w:div>
                  </w:divsChild>
                </w:div>
                <w:div w:id="904339261">
                  <w:marLeft w:val="0"/>
                  <w:marRight w:val="0"/>
                  <w:marTop w:val="0"/>
                  <w:marBottom w:val="0"/>
                  <w:divBdr>
                    <w:top w:val="none" w:sz="0" w:space="0" w:color="auto"/>
                    <w:left w:val="none" w:sz="0" w:space="0" w:color="auto"/>
                    <w:bottom w:val="none" w:sz="0" w:space="0" w:color="auto"/>
                    <w:right w:val="none" w:sz="0" w:space="0" w:color="auto"/>
                  </w:divBdr>
                  <w:divsChild>
                    <w:div w:id="1475488005">
                      <w:marLeft w:val="0"/>
                      <w:marRight w:val="0"/>
                      <w:marTop w:val="0"/>
                      <w:marBottom w:val="0"/>
                      <w:divBdr>
                        <w:top w:val="none" w:sz="0" w:space="0" w:color="auto"/>
                        <w:left w:val="none" w:sz="0" w:space="0" w:color="auto"/>
                        <w:bottom w:val="none" w:sz="0" w:space="0" w:color="auto"/>
                        <w:right w:val="none" w:sz="0" w:space="0" w:color="auto"/>
                      </w:divBdr>
                    </w:div>
                  </w:divsChild>
                </w:div>
                <w:div w:id="912617859">
                  <w:marLeft w:val="0"/>
                  <w:marRight w:val="0"/>
                  <w:marTop w:val="0"/>
                  <w:marBottom w:val="0"/>
                  <w:divBdr>
                    <w:top w:val="none" w:sz="0" w:space="0" w:color="auto"/>
                    <w:left w:val="none" w:sz="0" w:space="0" w:color="auto"/>
                    <w:bottom w:val="none" w:sz="0" w:space="0" w:color="auto"/>
                    <w:right w:val="none" w:sz="0" w:space="0" w:color="auto"/>
                  </w:divBdr>
                  <w:divsChild>
                    <w:div w:id="148324478">
                      <w:marLeft w:val="0"/>
                      <w:marRight w:val="0"/>
                      <w:marTop w:val="0"/>
                      <w:marBottom w:val="0"/>
                      <w:divBdr>
                        <w:top w:val="none" w:sz="0" w:space="0" w:color="auto"/>
                        <w:left w:val="none" w:sz="0" w:space="0" w:color="auto"/>
                        <w:bottom w:val="none" w:sz="0" w:space="0" w:color="auto"/>
                        <w:right w:val="none" w:sz="0" w:space="0" w:color="auto"/>
                      </w:divBdr>
                    </w:div>
                  </w:divsChild>
                </w:div>
                <w:div w:id="951403071">
                  <w:marLeft w:val="0"/>
                  <w:marRight w:val="0"/>
                  <w:marTop w:val="0"/>
                  <w:marBottom w:val="0"/>
                  <w:divBdr>
                    <w:top w:val="none" w:sz="0" w:space="0" w:color="auto"/>
                    <w:left w:val="none" w:sz="0" w:space="0" w:color="auto"/>
                    <w:bottom w:val="none" w:sz="0" w:space="0" w:color="auto"/>
                    <w:right w:val="none" w:sz="0" w:space="0" w:color="auto"/>
                  </w:divBdr>
                  <w:divsChild>
                    <w:div w:id="1190992599">
                      <w:marLeft w:val="0"/>
                      <w:marRight w:val="0"/>
                      <w:marTop w:val="0"/>
                      <w:marBottom w:val="0"/>
                      <w:divBdr>
                        <w:top w:val="none" w:sz="0" w:space="0" w:color="auto"/>
                        <w:left w:val="none" w:sz="0" w:space="0" w:color="auto"/>
                        <w:bottom w:val="none" w:sz="0" w:space="0" w:color="auto"/>
                        <w:right w:val="none" w:sz="0" w:space="0" w:color="auto"/>
                      </w:divBdr>
                    </w:div>
                  </w:divsChild>
                </w:div>
                <w:div w:id="954681165">
                  <w:marLeft w:val="0"/>
                  <w:marRight w:val="0"/>
                  <w:marTop w:val="0"/>
                  <w:marBottom w:val="0"/>
                  <w:divBdr>
                    <w:top w:val="none" w:sz="0" w:space="0" w:color="auto"/>
                    <w:left w:val="none" w:sz="0" w:space="0" w:color="auto"/>
                    <w:bottom w:val="none" w:sz="0" w:space="0" w:color="auto"/>
                    <w:right w:val="none" w:sz="0" w:space="0" w:color="auto"/>
                  </w:divBdr>
                  <w:divsChild>
                    <w:div w:id="1604535943">
                      <w:marLeft w:val="0"/>
                      <w:marRight w:val="0"/>
                      <w:marTop w:val="0"/>
                      <w:marBottom w:val="0"/>
                      <w:divBdr>
                        <w:top w:val="none" w:sz="0" w:space="0" w:color="auto"/>
                        <w:left w:val="none" w:sz="0" w:space="0" w:color="auto"/>
                        <w:bottom w:val="none" w:sz="0" w:space="0" w:color="auto"/>
                        <w:right w:val="none" w:sz="0" w:space="0" w:color="auto"/>
                      </w:divBdr>
                    </w:div>
                  </w:divsChild>
                </w:div>
                <w:div w:id="957639179">
                  <w:marLeft w:val="0"/>
                  <w:marRight w:val="0"/>
                  <w:marTop w:val="0"/>
                  <w:marBottom w:val="0"/>
                  <w:divBdr>
                    <w:top w:val="none" w:sz="0" w:space="0" w:color="auto"/>
                    <w:left w:val="none" w:sz="0" w:space="0" w:color="auto"/>
                    <w:bottom w:val="none" w:sz="0" w:space="0" w:color="auto"/>
                    <w:right w:val="none" w:sz="0" w:space="0" w:color="auto"/>
                  </w:divBdr>
                  <w:divsChild>
                    <w:div w:id="1990358993">
                      <w:marLeft w:val="0"/>
                      <w:marRight w:val="0"/>
                      <w:marTop w:val="0"/>
                      <w:marBottom w:val="0"/>
                      <w:divBdr>
                        <w:top w:val="none" w:sz="0" w:space="0" w:color="auto"/>
                        <w:left w:val="none" w:sz="0" w:space="0" w:color="auto"/>
                        <w:bottom w:val="none" w:sz="0" w:space="0" w:color="auto"/>
                        <w:right w:val="none" w:sz="0" w:space="0" w:color="auto"/>
                      </w:divBdr>
                    </w:div>
                  </w:divsChild>
                </w:div>
                <w:div w:id="1023363266">
                  <w:marLeft w:val="0"/>
                  <w:marRight w:val="0"/>
                  <w:marTop w:val="0"/>
                  <w:marBottom w:val="0"/>
                  <w:divBdr>
                    <w:top w:val="none" w:sz="0" w:space="0" w:color="auto"/>
                    <w:left w:val="none" w:sz="0" w:space="0" w:color="auto"/>
                    <w:bottom w:val="none" w:sz="0" w:space="0" w:color="auto"/>
                    <w:right w:val="none" w:sz="0" w:space="0" w:color="auto"/>
                  </w:divBdr>
                  <w:divsChild>
                    <w:div w:id="1118834660">
                      <w:marLeft w:val="0"/>
                      <w:marRight w:val="0"/>
                      <w:marTop w:val="0"/>
                      <w:marBottom w:val="0"/>
                      <w:divBdr>
                        <w:top w:val="none" w:sz="0" w:space="0" w:color="auto"/>
                        <w:left w:val="none" w:sz="0" w:space="0" w:color="auto"/>
                        <w:bottom w:val="none" w:sz="0" w:space="0" w:color="auto"/>
                        <w:right w:val="none" w:sz="0" w:space="0" w:color="auto"/>
                      </w:divBdr>
                    </w:div>
                  </w:divsChild>
                </w:div>
                <w:div w:id="1025911219">
                  <w:marLeft w:val="0"/>
                  <w:marRight w:val="0"/>
                  <w:marTop w:val="0"/>
                  <w:marBottom w:val="0"/>
                  <w:divBdr>
                    <w:top w:val="none" w:sz="0" w:space="0" w:color="auto"/>
                    <w:left w:val="none" w:sz="0" w:space="0" w:color="auto"/>
                    <w:bottom w:val="none" w:sz="0" w:space="0" w:color="auto"/>
                    <w:right w:val="none" w:sz="0" w:space="0" w:color="auto"/>
                  </w:divBdr>
                  <w:divsChild>
                    <w:div w:id="90126071">
                      <w:marLeft w:val="0"/>
                      <w:marRight w:val="0"/>
                      <w:marTop w:val="0"/>
                      <w:marBottom w:val="0"/>
                      <w:divBdr>
                        <w:top w:val="none" w:sz="0" w:space="0" w:color="auto"/>
                        <w:left w:val="none" w:sz="0" w:space="0" w:color="auto"/>
                        <w:bottom w:val="none" w:sz="0" w:space="0" w:color="auto"/>
                        <w:right w:val="none" w:sz="0" w:space="0" w:color="auto"/>
                      </w:divBdr>
                    </w:div>
                  </w:divsChild>
                </w:div>
                <w:div w:id="1043288910">
                  <w:marLeft w:val="0"/>
                  <w:marRight w:val="0"/>
                  <w:marTop w:val="0"/>
                  <w:marBottom w:val="0"/>
                  <w:divBdr>
                    <w:top w:val="none" w:sz="0" w:space="0" w:color="auto"/>
                    <w:left w:val="none" w:sz="0" w:space="0" w:color="auto"/>
                    <w:bottom w:val="none" w:sz="0" w:space="0" w:color="auto"/>
                    <w:right w:val="none" w:sz="0" w:space="0" w:color="auto"/>
                  </w:divBdr>
                  <w:divsChild>
                    <w:div w:id="1650480075">
                      <w:marLeft w:val="0"/>
                      <w:marRight w:val="0"/>
                      <w:marTop w:val="0"/>
                      <w:marBottom w:val="0"/>
                      <w:divBdr>
                        <w:top w:val="none" w:sz="0" w:space="0" w:color="auto"/>
                        <w:left w:val="none" w:sz="0" w:space="0" w:color="auto"/>
                        <w:bottom w:val="none" w:sz="0" w:space="0" w:color="auto"/>
                        <w:right w:val="none" w:sz="0" w:space="0" w:color="auto"/>
                      </w:divBdr>
                    </w:div>
                  </w:divsChild>
                </w:div>
                <w:div w:id="1054887310">
                  <w:marLeft w:val="0"/>
                  <w:marRight w:val="0"/>
                  <w:marTop w:val="0"/>
                  <w:marBottom w:val="0"/>
                  <w:divBdr>
                    <w:top w:val="none" w:sz="0" w:space="0" w:color="auto"/>
                    <w:left w:val="none" w:sz="0" w:space="0" w:color="auto"/>
                    <w:bottom w:val="none" w:sz="0" w:space="0" w:color="auto"/>
                    <w:right w:val="none" w:sz="0" w:space="0" w:color="auto"/>
                  </w:divBdr>
                  <w:divsChild>
                    <w:div w:id="1721129592">
                      <w:marLeft w:val="0"/>
                      <w:marRight w:val="0"/>
                      <w:marTop w:val="0"/>
                      <w:marBottom w:val="0"/>
                      <w:divBdr>
                        <w:top w:val="none" w:sz="0" w:space="0" w:color="auto"/>
                        <w:left w:val="none" w:sz="0" w:space="0" w:color="auto"/>
                        <w:bottom w:val="none" w:sz="0" w:space="0" w:color="auto"/>
                        <w:right w:val="none" w:sz="0" w:space="0" w:color="auto"/>
                      </w:divBdr>
                    </w:div>
                  </w:divsChild>
                </w:div>
                <w:div w:id="1055271898">
                  <w:marLeft w:val="0"/>
                  <w:marRight w:val="0"/>
                  <w:marTop w:val="0"/>
                  <w:marBottom w:val="0"/>
                  <w:divBdr>
                    <w:top w:val="none" w:sz="0" w:space="0" w:color="auto"/>
                    <w:left w:val="none" w:sz="0" w:space="0" w:color="auto"/>
                    <w:bottom w:val="none" w:sz="0" w:space="0" w:color="auto"/>
                    <w:right w:val="none" w:sz="0" w:space="0" w:color="auto"/>
                  </w:divBdr>
                  <w:divsChild>
                    <w:div w:id="518930254">
                      <w:marLeft w:val="0"/>
                      <w:marRight w:val="0"/>
                      <w:marTop w:val="0"/>
                      <w:marBottom w:val="0"/>
                      <w:divBdr>
                        <w:top w:val="none" w:sz="0" w:space="0" w:color="auto"/>
                        <w:left w:val="none" w:sz="0" w:space="0" w:color="auto"/>
                        <w:bottom w:val="none" w:sz="0" w:space="0" w:color="auto"/>
                        <w:right w:val="none" w:sz="0" w:space="0" w:color="auto"/>
                      </w:divBdr>
                    </w:div>
                  </w:divsChild>
                </w:div>
                <w:div w:id="1063991848">
                  <w:marLeft w:val="0"/>
                  <w:marRight w:val="0"/>
                  <w:marTop w:val="0"/>
                  <w:marBottom w:val="0"/>
                  <w:divBdr>
                    <w:top w:val="none" w:sz="0" w:space="0" w:color="auto"/>
                    <w:left w:val="none" w:sz="0" w:space="0" w:color="auto"/>
                    <w:bottom w:val="none" w:sz="0" w:space="0" w:color="auto"/>
                    <w:right w:val="none" w:sz="0" w:space="0" w:color="auto"/>
                  </w:divBdr>
                  <w:divsChild>
                    <w:div w:id="1350790256">
                      <w:marLeft w:val="0"/>
                      <w:marRight w:val="0"/>
                      <w:marTop w:val="0"/>
                      <w:marBottom w:val="0"/>
                      <w:divBdr>
                        <w:top w:val="none" w:sz="0" w:space="0" w:color="auto"/>
                        <w:left w:val="none" w:sz="0" w:space="0" w:color="auto"/>
                        <w:bottom w:val="none" w:sz="0" w:space="0" w:color="auto"/>
                        <w:right w:val="none" w:sz="0" w:space="0" w:color="auto"/>
                      </w:divBdr>
                    </w:div>
                  </w:divsChild>
                </w:div>
                <w:div w:id="1070231035">
                  <w:marLeft w:val="0"/>
                  <w:marRight w:val="0"/>
                  <w:marTop w:val="0"/>
                  <w:marBottom w:val="0"/>
                  <w:divBdr>
                    <w:top w:val="none" w:sz="0" w:space="0" w:color="auto"/>
                    <w:left w:val="none" w:sz="0" w:space="0" w:color="auto"/>
                    <w:bottom w:val="none" w:sz="0" w:space="0" w:color="auto"/>
                    <w:right w:val="none" w:sz="0" w:space="0" w:color="auto"/>
                  </w:divBdr>
                  <w:divsChild>
                    <w:div w:id="982081257">
                      <w:marLeft w:val="0"/>
                      <w:marRight w:val="0"/>
                      <w:marTop w:val="0"/>
                      <w:marBottom w:val="0"/>
                      <w:divBdr>
                        <w:top w:val="none" w:sz="0" w:space="0" w:color="auto"/>
                        <w:left w:val="none" w:sz="0" w:space="0" w:color="auto"/>
                        <w:bottom w:val="none" w:sz="0" w:space="0" w:color="auto"/>
                        <w:right w:val="none" w:sz="0" w:space="0" w:color="auto"/>
                      </w:divBdr>
                    </w:div>
                  </w:divsChild>
                </w:div>
                <w:div w:id="1100756416">
                  <w:marLeft w:val="0"/>
                  <w:marRight w:val="0"/>
                  <w:marTop w:val="0"/>
                  <w:marBottom w:val="0"/>
                  <w:divBdr>
                    <w:top w:val="none" w:sz="0" w:space="0" w:color="auto"/>
                    <w:left w:val="none" w:sz="0" w:space="0" w:color="auto"/>
                    <w:bottom w:val="none" w:sz="0" w:space="0" w:color="auto"/>
                    <w:right w:val="none" w:sz="0" w:space="0" w:color="auto"/>
                  </w:divBdr>
                  <w:divsChild>
                    <w:div w:id="1818762744">
                      <w:marLeft w:val="0"/>
                      <w:marRight w:val="0"/>
                      <w:marTop w:val="0"/>
                      <w:marBottom w:val="0"/>
                      <w:divBdr>
                        <w:top w:val="none" w:sz="0" w:space="0" w:color="auto"/>
                        <w:left w:val="none" w:sz="0" w:space="0" w:color="auto"/>
                        <w:bottom w:val="none" w:sz="0" w:space="0" w:color="auto"/>
                        <w:right w:val="none" w:sz="0" w:space="0" w:color="auto"/>
                      </w:divBdr>
                    </w:div>
                  </w:divsChild>
                </w:div>
                <w:div w:id="1121337584">
                  <w:marLeft w:val="0"/>
                  <w:marRight w:val="0"/>
                  <w:marTop w:val="0"/>
                  <w:marBottom w:val="0"/>
                  <w:divBdr>
                    <w:top w:val="none" w:sz="0" w:space="0" w:color="auto"/>
                    <w:left w:val="none" w:sz="0" w:space="0" w:color="auto"/>
                    <w:bottom w:val="none" w:sz="0" w:space="0" w:color="auto"/>
                    <w:right w:val="none" w:sz="0" w:space="0" w:color="auto"/>
                  </w:divBdr>
                  <w:divsChild>
                    <w:div w:id="953562815">
                      <w:marLeft w:val="0"/>
                      <w:marRight w:val="0"/>
                      <w:marTop w:val="0"/>
                      <w:marBottom w:val="0"/>
                      <w:divBdr>
                        <w:top w:val="none" w:sz="0" w:space="0" w:color="auto"/>
                        <w:left w:val="none" w:sz="0" w:space="0" w:color="auto"/>
                        <w:bottom w:val="none" w:sz="0" w:space="0" w:color="auto"/>
                        <w:right w:val="none" w:sz="0" w:space="0" w:color="auto"/>
                      </w:divBdr>
                    </w:div>
                  </w:divsChild>
                </w:div>
                <w:div w:id="1133519711">
                  <w:marLeft w:val="0"/>
                  <w:marRight w:val="0"/>
                  <w:marTop w:val="0"/>
                  <w:marBottom w:val="0"/>
                  <w:divBdr>
                    <w:top w:val="none" w:sz="0" w:space="0" w:color="auto"/>
                    <w:left w:val="none" w:sz="0" w:space="0" w:color="auto"/>
                    <w:bottom w:val="none" w:sz="0" w:space="0" w:color="auto"/>
                    <w:right w:val="none" w:sz="0" w:space="0" w:color="auto"/>
                  </w:divBdr>
                  <w:divsChild>
                    <w:div w:id="1771583894">
                      <w:marLeft w:val="0"/>
                      <w:marRight w:val="0"/>
                      <w:marTop w:val="0"/>
                      <w:marBottom w:val="0"/>
                      <w:divBdr>
                        <w:top w:val="none" w:sz="0" w:space="0" w:color="auto"/>
                        <w:left w:val="none" w:sz="0" w:space="0" w:color="auto"/>
                        <w:bottom w:val="none" w:sz="0" w:space="0" w:color="auto"/>
                        <w:right w:val="none" w:sz="0" w:space="0" w:color="auto"/>
                      </w:divBdr>
                    </w:div>
                  </w:divsChild>
                </w:div>
                <w:div w:id="1141578772">
                  <w:marLeft w:val="0"/>
                  <w:marRight w:val="0"/>
                  <w:marTop w:val="0"/>
                  <w:marBottom w:val="0"/>
                  <w:divBdr>
                    <w:top w:val="none" w:sz="0" w:space="0" w:color="auto"/>
                    <w:left w:val="none" w:sz="0" w:space="0" w:color="auto"/>
                    <w:bottom w:val="none" w:sz="0" w:space="0" w:color="auto"/>
                    <w:right w:val="none" w:sz="0" w:space="0" w:color="auto"/>
                  </w:divBdr>
                  <w:divsChild>
                    <w:div w:id="1509566121">
                      <w:marLeft w:val="0"/>
                      <w:marRight w:val="0"/>
                      <w:marTop w:val="0"/>
                      <w:marBottom w:val="0"/>
                      <w:divBdr>
                        <w:top w:val="none" w:sz="0" w:space="0" w:color="auto"/>
                        <w:left w:val="none" w:sz="0" w:space="0" w:color="auto"/>
                        <w:bottom w:val="none" w:sz="0" w:space="0" w:color="auto"/>
                        <w:right w:val="none" w:sz="0" w:space="0" w:color="auto"/>
                      </w:divBdr>
                    </w:div>
                  </w:divsChild>
                </w:div>
                <w:div w:id="1157840682">
                  <w:marLeft w:val="0"/>
                  <w:marRight w:val="0"/>
                  <w:marTop w:val="0"/>
                  <w:marBottom w:val="0"/>
                  <w:divBdr>
                    <w:top w:val="none" w:sz="0" w:space="0" w:color="auto"/>
                    <w:left w:val="none" w:sz="0" w:space="0" w:color="auto"/>
                    <w:bottom w:val="none" w:sz="0" w:space="0" w:color="auto"/>
                    <w:right w:val="none" w:sz="0" w:space="0" w:color="auto"/>
                  </w:divBdr>
                  <w:divsChild>
                    <w:div w:id="966931908">
                      <w:marLeft w:val="0"/>
                      <w:marRight w:val="0"/>
                      <w:marTop w:val="0"/>
                      <w:marBottom w:val="0"/>
                      <w:divBdr>
                        <w:top w:val="none" w:sz="0" w:space="0" w:color="auto"/>
                        <w:left w:val="none" w:sz="0" w:space="0" w:color="auto"/>
                        <w:bottom w:val="none" w:sz="0" w:space="0" w:color="auto"/>
                        <w:right w:val="none" w:sz="0" w:space="0" w:color="auto"/>
                      </w:divBdr>
                    </w:div>
                  </w:divsChild>
                </w:div>
                <w:div w:id="1169827466">
                  <w:marLeft w:val="0"/>
                  <w:marRight w:val="0"/>
                  <w:marTop w:val="0"/>
                  <w:marBottom w:val="0"/>
                  <w:divBdr>
                    <w:top w:val="none" w:sz="0" w:space="0" w:color="auto"/>
                    <w:left w:val="none" w:sz="0" w:space="0" w:color="auto"/>
                    <w:bottom w:val="none" w:sz="0" w:space="0" w:color="auto"/>
                    <w:right w:val="none" w:sz="0" w:space="0" w:color="auto"/>
                  </w:divBdr>
                  <w:divsChild>
                    <w:div w:id="724330385">
                      <w:marLeft w:val="0"/>
                      <w:marRight w:val="0"/>
                      <w:marTop w:val="0"/>
                      <w:marBottom w:val="0"/>
                      <w:divBdr>
                        <w:top w:val="none" w:sz="0" w:space="0" w:color="auto"/>
                        <w:left w:val="none" w:sz="0" w:space="0" w:color="auto"/>
                        <w:bottom w:val="none" w:sz="0" w:space="0" w:color="auto"/>
                        <w:right w:val="none" w:sz="0" w:space="0" w:color="auto"/>
                      </w:divBdr>
                    </w:div>
                  </w:divsChild>
                </w:div>
                <w:div w:id="1176310398">
                  <w:marLeft w:val="0"/>
                  <w:marRight w:val="0"/>
                  <w:marTop w:val="0"/>
                  <w:marBottom w:val="0"/>
                  <w:divBdr>
                    <w:top w:val="none" w:sz="0" w:space="0" w:color="auto"/>
                    <w:left w:val="none" w:sz="0" w:space="0" w:color="auto"/>
                    <w:bottom w:val="none" w:sz="0" w:space="0" w:color="auto"/>
                    <w:right w:val="none" w:sz="0" w:space="0" w:color="auto"/>
                  </w:divBdr>
                  <w:divsChild>
                    <w:div w:id="40445159">
                      <w:marLeft w:val="0"/>
                      <w:marRight w:val="0"/>
                      <w:marTop w:val="0"/>
                      <w:marBottom w:val="0"/>
                      <w:divBdr>
                        <w:top w:val="none" w:sz="0" w:space="0" w:color="auto"/>
                        <w:left w:val="none" w:sz="0" w:space="0" w:color="auto"/>
                        <w:bottom w:val="none" w:sz="0" w:space="0" w:color="auto"/>
                        <w:right w:val="none" w:sz="0" w:space="0" w:color="auto"/>
                      </w:divBdr>
                    </w:div>
                  </w:divsChild>
                </w:div>
                <w:div w:id="1179344700">
                  <w:marLeft w:val="0"/>
                  <w:marRight w:val="0"/>
                  <w:marTop w:val="0"/>
                  <w:marBottom w:val="0"/>
                  <w:divBdr>
                    <w:top w:val="none" w:sz="0" w:space="0" w:color="auto"/>
                    <w:left w:val="none" w:sz="0" w:space="0" w:color="auto"/>
                    <w:bottom w:val="none" w:sz="0" w:space="0" w:color="auto"/>
                    <w:right w:val="none" w:sz="0" w:space="0" w:color="auto"/>
                  </w:divBdr>
                  <w:divsChild>
                    <w:div w:id="1412309129">
                      <w:marLeft w:val="0"/>
                      <w:marRight w:val="0"/>
                      <w:marTop w:val="0"/>
                      <w:marBottom w:val="0"/>
                      <w:divBdr>
                        <w:top w:val="none" w:sz="0" w:space="0" w:color="auto"/>
                        <w:left w:val="none" w:sz="0" w:space="0" w:color="auto"/>
                        <w:bottom w:val="none" w:sz="0" w:space="0" w:color="auto"/>
                        <w:right w:val="none" w:sz="0" w:space="0" w:color="auto"/>
                      </w:divBdr>
                    </w:div>
                  </w:divsChild>
                </w:div>
                <w:div w:id="1189565677">
                  <w:marLeft w:val="0"/>
                  <w:marRight w:val="0"/>
                  <w:marTop w:val="0"/>
                  <w:marBottom w:val="0"/>
                  <w:divBdr>
                    <w:top w:val="none" w:sz="0" w:space="0" w:color="auto"/>
                    <w:left w:val="none" w:sz="0" w:space="0" w:color="auto"/>
                    <w:bottom w:val="none" w:sz="0" w:space="0" w:color="auto"/>
                    <w:right w:val="none" w:sz="0" w:space="0" w:color="auto"/>
                  </w:divBdr>
                  <w:divsChild>
                    <w:div w:id="710806097">
                      <w:marLeft w:val="0"/>
                      <w:marRight w:val="0"/>
                      <w:marTop w:val="0"/>
                      <w:marBottom w:val="0"/>
                      <w:divBdr>
                        <w:top w:val="none" w:sz="0" w:space="0" w:color="auto"/>
                        <w:left w:val="none" w:sz="0" w:space="0" w:color="auto"/>
                        <w:bottom w:val="none" w:sz="0" w:space="0" w:color="auto"/>
                        <w:right w:val="none" w:sz="0" w:space="0" w:color="auto"/>
                      </w:divBdr>
                    </w:div>
                  </w:divsChild>
                </w:div>
                <w:div w:id="1211654037">
                  <w:marLeft w:val="0"/>
                  <w:marRight w:val="0"/>
                  <w:marTop w:val="0"/>
                  <w:marBottom w:val="0"/>
                  <w:divBdr>
                    <w:top w:val="none" w:sz="0" w:space="0" w:color="auto"/>
                    <w:left w:val="none" w:sz="0" w:space="0" w:color="auto"/>
                    <w:bottom w:val="none" w:sz="0" w:space="0" w:color="auto"/>
                    <w:right w:val="none" w:sz="0" w:space="0" w:color="auto"/>
                  </w:divBdr>
                  <w:divsChild>
                    <w:div w:id="400443402">
                      <w:marLeft w:val="0"/>
                      <w:marRight w:val="0"/>
                      <w:marTop w:val="0"/>
                      <w:marBottom w:val="0"/>
                      <w:divBdr>
                        <w:top w:val="none" w:sz="0" w:space="0" w:color="auto"/>
                        <w:left w:val="none" w:sz="0" w:space="0" w:color="auto"/>
                        <w:bottom w:val="none" w:sz="0" w:space="0" w:color="auto"/>
                        <w:right w:val="none" w:sz="0" w:space="0" w:color="auto"/>
                      </w:divBdr>
                    </w:div>
                  </w:divsChild>
                </w:div>
                <w:div w:id="1219516270">
                  <w:marLeft w:val="0"/>
                  <w:marRight w:val="0"/>
                  <w:marTop w:val="0"/>
                  <w:marBottom w:val="0"/>
                  <w:divBdr>
                    <w:top w:val="none" w:sz="0" w:space="0" w:color="auto"/>
                    <w:left w:val="none" w:sz="0" w:space="0" w:color="auto"/>
                    <w:bottom w:val="none" w:sz="0" w:space="0" w:color="auto"/>
                    <w:right w:val="none" w:sz="0" w:space="0" w:color="auto"/>
                  </w:divBdr>
                  <w:divsChild>
                    <w:div w:id="2054578275">
                      <w:marLeft w:val="0"/>
                      <w:marRight w:val="0"/>
                      <w:marTop w:val="0"/>
                      <w:marBottom w:val="0"/>
                      <w:divBdr>
                        <w:top w:val="none" w:sz="0" w:space="0" w:color="auto"/>
                        <w:left w:val="none" w:sz="0" w:space="0" w:color="auto"/>
                        <w:bottom w:val="none" w:sz="0" w:space="0" w:color="auto"/>
                        <w:right w:val="none" w:sz="0" w:space="0" w:color="auto"/>
                      </w:divBdr>
                    </w:div>
                  </w:divsChild>
                </w:div>
                <w:div w:id="1230455855">
                  <w:marLeft w:val="0"/>
                  <w:marRight w:val="0"/>
                  <w:marTop w:val="0"/>
                  <w:marBottom w:val="0"/>
                  <w:divBdr>
                    <w:top w:val="none" w:sz="0" w:space="0" w:color="auto"/>
                    <w:left w:val="none" w:sz="0" w:space="0" w:color="auto"/>
                    <w:bottom w:val="none" w:sz="0" w:space="0" w:color="auto"/>
                    <w:right w:val="none" w:sz="0" w:space="0" w:color="auto"/>
                  </w:divBdr>
                  <w:divsChild>
                    <w:div w:id="475492772">
                      <w:marLeft w:val="0"/>
                      <w:marRight w:val="0"/>
                      <w:marTop w:val="0"/>
                      <w:marBottom w:val="0"/>
                      <w:divBdr>
                        <w:top w:val="none" w:sz="0" w:space="0" w:color="auto"/>
                        <w:left w:val="none" w:sz="0" w:space="0" w:color="auto"/>
                        <w:bottom w:val="none" w:sz="0" w:space="0" w:color="auto"/>
                        <w:right w:val="none" w:sz="0" w:space="0" w:color="auto"/>
                      </w:divBdr>
                    </w:div>
                  </w:divsChild>
                </w:div>
                <w:div w:id="1240948727">
                  <w:marLeft w:val="0"/>
                  <w:marRight w:val="0"/>
                  <w:marTop w:val="0"/>
                  <w:marBottom w:val="0"/>
                  <w:divBdr>
                    <w:top w:val="none" w:sz="0" w:space="0" w:color="auto"/>
                    <w:left w:val="none" w:sz="0" w:space="0" w:color="auto"/>
                    <w:bottom w:val="none" w:sz="0" w:space="0" w:color="auto"/>
                    <w:right w:val="none" w:sz="0" w:space="0" w:color="auto"/>
                  </w:divBdr>
                  <w:divsChild>
                    <w:div w:id="1313758483">
                      <w:marLeft w:val="0"/>
                      <w:marRight w:val="0"/>
                      <w:marTop w:val="0"/>
                      <w:marBottom w:val="0"/>
                      <w:divBdr>
                        <w:top w:val="none" w:sz="0" w:space="0" w:color="auto"/>
                        <w:left w:val="none" w:sz="0" w:space="0" w:color="auto"/>
                        <w:bottom w:val="none" w:sz="0" w:space="0" w:color="auto"/>
                        <w:right w:val="none" w:sz="0" w:space="0" w:color="auto"/>
                      </w:divBdr>
                    </w:div>
                  </w:divsChild>
                </w:div>
                <w:div w:id="1247501263">
                  <w:marLeft w:val="0"/>
                  <w:marRight w:val="0"/>
                  <w:marTop w:val="0"/>
                  <w:marBottom w:val="0"/>
                  <w:divBdr>
                    <w:top w:val="none" w:sz="0" w:space="0" w:color="auto"/>
                    <w:left w:val="none" w:sz="0" w:space="0" w:color="auto"/>
                    <w:bottom w:val="none" w:sz="0" w:space="0" w:color="auto"/>
                    <w:right w:val="none" w:sz="0" w:space="0" w:color="auto"/>
                  </w:divBdr>
                  <w:divsChild>
                    <w:div w:id="805859181">
                      <w:marLeft w:val="0"/>
                      <w:marRight w:val="0"/>
                      <w:marTop w:val="0"/>
                      <w:marBottom w:val="0"/>
                      <w:divBdr>
                        <w:top w:val="none" w:sz="0" w:space="0" w:color="auto"/>
                        <w:left w:val="none" w:sz="0" w:space="0" w:color="auto"/>
                        <w:bottom w:val="none" w:sz="0" w:space="0" w:color="auto"/>
                        <w:right w:val="none" w:sz="0" w:space="0" w:color="auto"/>
                      </w:divBdr>
                    </w:div>
                  </w:divsChild>
                </w:div>
                <w:div w:id="1252087942">
                  <w:marLeft w:val="0"/>
                  <w:marRight w:val="0"/>
                  <w:marTop w:val="0"/>
                  <w:marBottom w:val="0"/>
                  <w:divBdr>
                    <w:top w:val="none" w:sz="0" w:space="0" w:color="auto"/>
                    <w:left w:val="none" w:sz="0" w:space="0" w:color="auto"/>
                    <w:bottom w:val="none" w:sz="0" w:space="0" w:color="auto"/>
                    <w:right w:val="none" w:sz="0" w:space="0" w:color="auto"/>
                  </w:divBdr>
                  <w:divsChild>
                    <w:div w:id="2145461319">
                      <w:marLeft w:val="0"/>
                      <w:marRight w:val="0"/>
                      <w:marTop w:val="0"/>
                      <w:marBottom w:val="0"/>
                      <w:divBdr>
                        <w:top w:val="none" w:sz="0" w:space="0" w:color="auto"/>
                        <w:left w:val="none" w:sz="0" w:space="0" w:color="auto"/>
                        <w:bottom w:val="none" w:sz="0" w:space="0" w:color="auto"/>
                        <w:right w:val="none" w:sz="0" w:space="0" w:color="auto"/>
                      </w:divBdr>
                    </w:div>
                  </w:divsChild>
                </w:div>
                <w:div w:id="1269195071">
                  <w:marLeft w:val="0"/>
                  <w:marRight w:val="0"/>
                  <w:marTop w:val="0"/>
                  <w:marBottom w:val="0"/>
                  <w:divBdr>
                    <w:top w:val="none" w:sz="0" w:space="0" w:color="auto"/>
                    <w:left w:val="none" w:sz="0" w:space="0" w:color="auto"/>
                    <w:bottom w:val="none" w:sz="0" w:space="0" w:color="auto"/>
                    <w:right w:val="none" w:sz="0" w:space="0" w:color="auto"/>
                  </w:divBdr>
                  <w:divsChild>
                    <w:div w:id="942689934">
                      <w:marLeft w:val="0"/>
                      <w:marRight w:val="0"/>
                      <w:marTop w:val="0"/>
                      <w:marBottom w:val="0"/>
                      <w:divBdr>
                        <w:top w:val="none" w:sz="0" w:space="0" w:color="auto"/>
                        <w:left w:val="none" w:sz="0" w:space="0" w:color="auto"/>
                        <w:bottom w:val="none" w:sz="0" w:space="0" w:color="auto"/>
                        <w:right w:val="none" w:sz="0" w:space="0" w:color="auto"/>
                      </w:divBdr>
                    </w:div>
                  </w:divsChild>
                </w:div>
                <w:div w:id="1274898707">
                  <w:marLeft w:val="0"/>
                  <w:marRight w:val="0"/>
                  <w:marTop w:val="0"/>
                  <w:marBottom w:val="0"/>
                  <w:divBdr>
                    <w:top w:val="none" w:sz="0" w:space="0" w:color="auto"/>
                    <w:left w:val="none" w:sz="0" w:space="0" w:color="auto"/>
                    <w:bottom w:val="none" w:sz="0" w:space="0" w:color="auto"/>
                    <w:right w:val="none" w:sz="0" w:space="0" w:color="auto"/>
                  </w:divBdr>
                  <w:divsChild>
                    <w:div w:id="518934582">
                      <w:marLeft w:val="0"/>
                      <w:marRight w:val="0"/>
                      <w:marTop w:val="0"/>
                      <w:marBottom w:val="0"/>
                      <w:divBdr>
                        <w:top w:val="none" w:sz="0" w:space="0" w:color="auto"/>
                        <w:left w:val="none" w:sz="0" w:space="0" w:color="auto"/>
                        <w:bottom w:val="none" w:sz="0" w:space="0" w:color="auto"/>
                        <w:right w:val="none" w:sz="0" w:space="0" w:color="auto"/>
                      </w:divBdr>
                    </w:div>
                  </w:divsChild>
                </w:div>
                <w:div w:id="1274899297">
                  <w:marLeft w:val="0"/>
                  <w:marRight w:val="0"/>
                  <w:marTop w:val="0"/>
                  <w:marBottom w:val="0"/>
                  <w:divBdr>
                    <w:top w:val="none" w:sz="0" w:space="0" w:color="auto"/>
                    <w:left w:val="none" w:sz="0" w:space="0" w:color="auto"/>
                    <w:bottom w:val="none" w:sz="0" w:space="0" w:color="auto"/>
                    <w:right w:val="none" w:sz="0" w:space="0" w:color="auto"/>
                  </w:divBdr>
                  <w:divsChild>
                    <w:div w:id="1956985885">
                      <w:marLeft w:val="0"/>
                      <w:marRight w:val="0"/>
                      <w:marTop w:val="0"/>
                      <w:marBottom w:val="0"/>
                      <w:divBdr>
                        <w:top w:val="none" w:sz="0" w:space="0" w:color="auto"/>
                        <w:left w:val="none" w:sz="0" w:space="0" w:color="auto"/>
                        <w:bottom w:val="none" w:sz="0" w:space="0" w:color="auto"/>
                        <w:right w:val="none" w:sz="0" w:space="0" w:color="auto"/>
                      </w:divBdr>
                    </w:div>
                  </w:divsChild>
                </w:div>
                <w:div w:id="1316447154">
                  <w:marLeft w:val="0"/>
                  <w:marRight w:val="0"/>
                  <w:marTop w:val="0"/>
                  <w:marBottom w:val="0"/>
                  <w:divBdr>
                    <w:top w:val="none" w:sz="0" w:space="0" w:color="auto"/>
                    <w:left w:val="none" w:sz="0" w:space="0" w:color="auto"/>
                    <w:bottom w:val="none" w:sz="0" w:space="0" w:color="auto"/>
                    <w:right w:val="none" w:sz="0" w:space="0" w:color="auto"/>
                  </w:divBdr>
                  <w:divsChild>
                    <w:div w:id="1839538897">
                      <w:marLeft w:val="0"/>
                      <w:marRight w:val="0"/>
                      <w:marTop w:val="0"/>
                      <w:marBottom w:val="0"/>
                      <w:divBdr>
                        <w:top w:val="none" w:sz="0" w:space="0" w:color="auto"/>
                        <w:left w:val="none" w:sz="0" w:space="0" w:color="auto"/>
                        <w:bottom w:val="none" w:sz="0" w:space="0" w:color="auto"/>
                        <w:right w:val="none" w:sz="0" w:space="0" w:color="auto"/>
                      </w:divBdr>
                    </w:div>
                  </w:divsChild>
                </w:div>
                <w:div w:id="1338389829">
                  <w:marLeft w:val="0"/>
                  <w:marRight w:val="0"/>
                  <w:marTop w:val="0"/>
                  <w:marBottom w:val="0"/>
                  <w:divBdr>
                    <w:top w:val="none" w:sz="0" w:space="0" w:color="auto"/>
                    <w:left w:val="none" w:sz="0" w:space="0" w:color="auto"/>
                    <w:bottom w:val="none" w:sz="0" w:space="0" w:color="auto"/>
                    <w:right w:val="none" w:sz="0" w:space="0" w:color="auto"/>
                  </w:divBdr>
                  <w:divsChild>
                    <w:div w:id="21320802">
                      <w:marLeft w:val="0"/>
                      <w:marRight w:val="0"/>
                      <w:marTop w:val="0"/>
                      <w:marBottom w:val="0"/>
                      <w:divBdr>
                        <w:top w:val="none" w:sz="0" w:space="0" w:color="auto"/>
                        <w:left w:val="none" w:sz="0" w:space="0" w:color="auto"/>
                        <w:bottom w:val="none" w:sz="0" w:space="0" w:color="auto"/>
                        <w:right w:val="none" w:sz="0" w:space="0" w:color="auto"/>
                      </w:divBdr>
                    </w:div>
                  </w:divsChild>
                </w:div>
                <w:div w:id="1338725469">
                  <w:marLeft w:val="0"/>
                  <w:marRight w:val="0"/>
                  <w:marTop w:val="0"/>
                  <w:marBottom w:val="0"/>
                  <w:divBdr>
                    <w:top w:val="none" w:sz="0" w:space="0" w:color="auto"/>
                    <w:left w:val="none" w:sz="0" w:space="0" w:color="auto"/>
                    <w:bottom w:val="none" w:sz="0" w:space="0" w:color="auto"/>
                    <w:right w:val="none" w:sz="0" w:space="0" w:color="auto"/>
                  </w:divBdr>
                  <w:divsChild>
                    <w:div w:id="2021470854">
                      <w:marLeft w:val="0"/>
                      <w:marRight w:val="0"/>
                      <w:marTop w:val="0"/>
                      <w:marBottom w:val="0"/>
                      <w:divBdr>
                        <w:top w:val="none" w:sz="0" w:space="0" w:color="auto"/>
                        <w:left w:val="none" w:sz="0" w:space="0" w:color="auto"/>
                        <w:bottom w:val="none" w:sz="0" w:space="0" w:color="auto"/>
                        <w:right w:val="none" w:sz="0" w:space="0" w:color="auto"/>
                      </w:divBdr>
                    </w:div>
                  </w:divsChild>
                </w:div>
                <w:div w:id="1345399415">
                  <w:marLeft w:val="0"/>
                  <w:marRight w:val="0"/>
                  <w:marTop w:val="0"/>
                  <w:marBottom w:val="0"/>
                  <w:divBdr>
                    <w:top w:val="none" w:sz="0" w:space="0" w:color="auto"/>
                    <w:left w:val="none" w:sz="0" w:space="0" w:color="auto"/>
                    <w:bottom w:val="none" w:sz="0" w:space="0" w:color="auto"/>
                    <w:right w:val="none" w:sz="0" w:space="0" w:color="auto"/>
                  </w:divBdr>
                  <w:divsChild>
                    <w:div w:id="1209342189">
                      <w:marLeft w:val="0"/>
                      <w:marRight w:val="0"/>
                      <w:marTop w:val="0"/>
                      <w:marBottom w:val="0"/>
                      <w:divBdr>
                        <w:top w:val="none" w:sz="0" w:space="0" w:color="auto"/>
                        <w:left w:val="none" w:sz="0" w:space="0" w:color="auto"/>
                        <w:bottom w:val="none" w:sz="0" w:space="0" w:color="auto"/>
                        <w:right w:val="none" w:sz="0" w:space="0" w:color="auto"/>
                      </w:divBdr>
                    </w:div>
                  </w:divsChild>
                </w:div>
                <w:div w:id="1363167076">
                  <w:marLeft w:val="0"/>
                  <w:marRight w:val="0"/>
                  <w:marTop w:val="0"/>
                  <w:marBottom w:val="0"/>
                  <w:divBdr>
                    <w:top w:val="none" w:sz="0" w:space="0" w:color="auto"/>
                    <w:left w:val="none" w:sz="0" w:space="0" w:color="auto"/>
                    <w:bottom w:val="none" w:sz="0" w:space="0" w:color="auto"/>
                    <w:right w:val="none" w:sz="0" w:space="0" w:color="auto"/>
                  </w:divBdr>
                  <w:divsChild>
                    <w:div w:id="120266279">
                      <w:marLeft w:val="0"/>
                      <w:marRight w:val="0"/>
                      <w:marTop w:val="0"/>
                      <w:marBottom w:val="0"/>
                      <w:divBdr>
                        <w:top w:val="none" w:sz="0" w:space="0" w:color="auto"/>
                        <w:left w:val="none" w:sz="0" w:space="0" w:color="auto"/>
                        <w:bottom w:val="none" w:sz="0" w:space="0" w:color="auto"/>
                        <w:right w:val="none" w:sz="0" w:space="0" w:color="auto"/>
                      </w:divBdr>
                    </w:div>
                  </w:divsChild>
                </w:div>
                <w:div w:id="1364138212">
                  <w:marLeft w:val="0"/>
                  <w:marRight w:val="0"/>
                  <w:marTop w:val="0"/>
                  <w:marBottom w:val="0"/>
                  <w:divBdr>
                    <w:top w:val="none" w:sz="0" w:space="0" w:color="auto"/>
                    <w:left w:val="none" w:sz="0" w:space="0" w:color="auto"/>
                    <w:bottom w:val="none" w:sz="0" w:space="0" w:color="auto"/>
                    <w:right w:val="none" w:sz="0" w:space="0" w:color="auto"/>
                  </w:divBdr>
                  <w:divsChild>
                    <w:div w:id="405811679">
                      <w:marLeft w:val="0"/>
                      <w:marRight w:val="0"/>
                      <w:marTop w:val="0"/>
                      <w:marBottom w:val="0"/>
                      <w:divBdr>
                        <w:top w:val="none" w:sz="0" w:space="0" w:color="auto"/>
                        <w:left w:val="none" w:sz="0" w:space="0" w:color="auto"/>
                        <w:bottom w:val="none" w:sz="0" w:space="0" w:color="auto"/>
                        <w:right w:val="none" w:sz="0" w:space="0" w:color="auto"/>
                      </w:divBdr>
                    </w:div>
                  </w:divsChild>
                </w:div>
                <w:div w:id="1390500194">
                  <w:marLeft w:val="0"/>
                  <w:marRight w:val="0"/>
                  <w:marTop w:val="0"/>
                  <w:marBottom w:val="0"/>
                  <w:divBdr>
                    <w:top w:val="none" w:sz="0" w:space="0" w:color="auto"/>
                    <w:left w:val="none" w:sz="0" w:space="0" w:color="auto"/>
                    <w:bottom w:val="none" w:sz="0" w:space="0" w:color="auto"/>
                    <w:right w:val="none" w:sz="0" w:space="0" w:color="auto"/>
                  </w:divBdr>
                  <w:divsChild>
                    <w:div w:id="560138666">
                      <w:marLeft w:val="0"/>
                      <w:marRight w:val="0"/>
                      <w:marTop w:val="0"/>
                      <w:marBottom w:val="0"/>
                      <w:divBdr>
                        <w:top w:val="none" w:sz="0" w:space="0" w:color="auto"/>
                        <w:left w:val="none" w:sz="0" w:space="0" w:color="auto"/>
                        <w:bottom w:val="none" w:sz="0" w:space="0" w:color="auto"/>
                        <w:right w:val="none" w:sz="0" w:space="0" w:color="auto"/>
                      </w:divBdr>
                    </w:div>
                  </w:divsChild>
                </w:div>
                <w:div w:id="1406956697">
                  <w:marLeft w:val="0"/>
                  <w:marRight w:val="0"/>
                  <w:marTop w:val="0"/>
                  <w:marBottom w:val="0"/>
                  <w:divBdr>
                    <w:top w:val="none" w:sz="0" w:space="0" w:color="auto"/>
                    <w:left w:val="none" w:sz="0" w:space="0" w:color="auto"/>
                    <w:bottom w:val="none" w:sz="0" w:space="0" w:color="auto"/>
                    <w:right w:val="none" w:sz="0" w:space="0" w:color="auto"/>
                  </w:divBdr>
                  <w:divsChild>
                    <w:div w:id="1439333744">
                      <w:marLeft w:val="0"/>
                      <w:marRight w:val="0"/>
                      <w:marTop w:val="0"/>
                      <w:marBottom w:val="0"/>
                      <w:divBdr>
                        <w:top w:val="none" w:sz="0" w:space="0" w:color="auto"/>
                        <w:left w:val="none" w:sz="0" w:space="0" w:color="auto"/>
                        <w:bottom w:val="none" w:sz="0" w:space="0" w:color="auto"/>
                        <w:right w:val="none" w:sz="0" w:space="0" w:color="auto"/>
                      </w:divBdr>
                    </w:div>
                  </w:divsChild>
                </w:div>
                <w:div w:id="1429078131">
                  <w:marLeft w:val="0"/>
                  <w:marRight w:val="0"/>
                  <w:marTop w:val="0"/>
                  <w:marBottom w:val="0"/>
                  <w:divBdr>
                    <w:top w:val="none" w:sz="0" w:space="0" w:color="auto"/>
                    <w:left w:val="none" w:sz="0" w:space="0" w:color="auto"/>
                    <w:bottom w:val="none" w:sz="0" w:space="0" w:color="auto"/>
                    <w:right w:val="none" w:sz="0" w:space="0" w:color="auto"/>
                  </w:divBdr>
                  <w:divsChild>
                    <w:div w:id="229854142">
                      <w:marLeft w:val="0"/>
                      <w:marRight w:val="0"/>
                      <w:marTop w:val="0"/>
                      <w:marBottom w:val="0"/>
                      <w:divBdr>
                        <w:top w:val="none" w:sz="0" w:space="0" w:color="auto"/>
                        <w:left w:val="none" w:sz="0" w:space="0" w:color="auto"/>
                        <w:bottom w:val="none" w:sz="0" w:space="0" w:color="auto"/>
                        <w:right w:val="none" w:sz="0" w:space="0" w:color="auto"/>
                      </w:divBdr>
                    </w:div>
                  </w:divsChild>
                </w:div>
                <w:div w:id="1433821603">
                  <w:marLeft w:val="0"/>
                  <w:marRight w:val="0"/>
                  <w:marTop w:val="0"/>
                  <w:marBottom w:val="0"/>
                  <w:divBdr>
                    <w:top w:val="none" w:sz="0" w:space="0" w:color="auto"/>
                    <w:left w:val="none" w:sz="0" w:space="0" w:color="auto"/>
                    <w:bottom w:val="none" w:sz="0" w:space="0" w:color="auto"/>
                    <w:right w:val="none" w:sz="0" w:space="0" w:color="auto"/>
                  </w:divBdr>
                  <w:divsChild>
                    <w:div w:id="1649506344">
                      <w:marLeft w:val="0"/>
                      <w:marRight w:val="0"/>
                      <w:marTop w:val="0"/>
                      <w:marBottom w:val="0"/>
                      <w:divBdr>
                        <w:top w:val="none" w:sz="0" w:space="0" w:color="auto"/>
                        <w:left w:val="none" w:sz="0" w:space="0" w:color="auto"/>
                        <w:bottom w:val="none" w:sz="0" w:space="0" w:color="auto"/>
                        <w:right w:val="none" w:sz="0" w:space="0" w:color="auto"/>
                      </w:divBdr>
                    </w:div>
                  </w:divsChild>
                </w:div>
                <w:div w:id="1436050839">
                  <w:marLeft w:val="0"/>
                  <w:marRight w:val="0"/>
                  <w:marTop w:val="0"/>
                  <w:marBottom w:val="0"/>
                  <w:divBdr>
                    <w:top w:val="none" w:sz="0" w:space="0" w:color="auto"/>
                    <w:left w:val="none" w:sz="0" w:space="0" w:color="auto"/>
                    <w:bottom w:val="none" w:sz="0" w:space="0" w:color="auto"/>
                    <w:right w:val="none" w:sz="0" w:space="0" w:color="auto"/>
                  </w:divBdr>
                  <w:divsChild>
                    <w:div w:id="1803108926">
                      <w:marLeft w:val="0"/>
                      <w:marRight w:val="0"/>
                      <w:marTop w:val="0"/>
                      <w:marBottom w:val="0"/>
                      <w:divBdr>
                        <w:top w:val="none" w:sz="0" w:space="0" w:color="auto"/>
                        <w:left w:val="none" w:sz="0" w:space="0" w:color="auto"/>
                        <w:bottom w:val="none" w:sz="0" w:space="0" w:color="auto"/>
                        <w:right w:val="none" w:sz="0" w:space="0" w:color="auto"/>
                      </w:divBdr>
                    </w:div>
                  </w:divsChild>
                </w:div>
                <w:div w:id="1485316582">
                  <w:marLeft w:val="0"/>
                  <w:marRight w:val="0"/>
                  <w:marTop w:val="0"/>
                  <w:marBottom w:val="0"/>
                  <w:divBdr>
                    <w:top w:val="none" w:sz="0" w:space="0" w:color="auto"/>
                    <w:left w:val="none" w:sz="0" w:space="0" w:color="auto"/>
                    <w:bottom w:val="none" w:sz="0" w:space="0" w:color="auto"/>
                    <w:right w:val="none" w:sz="0" w:space="0" w:color="auto"/>
                  </w:divBdr>
                  <w:divsChild>
                    <w:div w:id="691104221">
                      <w:marLeft w:val="0"/>
                      <w:marRight w:val="0"/>
                      <w:marTop w:val="0"/>
                      <w:marBottom w:val="0"/>
                      <w:divBdr>
                        <w:top w:val="none" w:sz="0" w:space="0" w:color="auto"/>
                        <w:left w:val="none" w:sz="0" w:space="0" w:color="auto"/>
                        <w:bottom w:val="none" w:sz="0" w:space="0" w:color="auto"/>
                        <w:right w:val="none" w:sz="0" w:space="0" w:color="auto"/>
                      </w:divBdr>
                    </w:div>
                  </w:divsChild>
                </w:div>
                <w:div w:id="1489516038">
                  <w:marLeft w:val="0"/>
                  <w:marRight w:val="0"/>
                  <w:marTop w:val="0"/>
                  <w:marBottom w:val="0"/>
                  <w:divBdr>
                    <w:top w:val="none" w:sz="0" w:space="0" w:color="auto"/>
                    <w:left w:val="none" w:sz="0" w:space="0" w:color="auto"/>
                    <w:bottom w:val="none" w:sz="0" w:space="0" w:color="auto"/>
                    <w:right w:val="none" w:sz="0" w:space="0" w:color="auto"/>
                  </w:divBdr>
                  <w:divsChild>
                    <w:div w:id="1589802231">
                      <w:marLeft w:val="0"/>
                      <w:marRight w:val="0"/>
                      <w:marTop w:val="0"/>
                      <w:marBottom w:val="0"/>
                      <w:divBdr>
                        <w:top w:val="none" w:sz="0" w:space="0" w:color="auto"/>
                        <w:left w:val="none" w:sz="0" w:space="0" w:color="auto"/>
                        <w:bottom w:val="none" w:sz="0" w:space="0" w:color="auto"/>
                        <w:right w:val="none" w:sz="0" w:space="0" w:color="auto"/>
                      </w:divBdr>
                    </w:div>
                  </w:divsChild>
                </w:div>
                <w:div w:id="1521435393">
                  <w:marLeft w:val="0"/>
                  <w:marRight w:val="0"/>
                  <w:marTop w:val="0"/>
                  <w:marBottom w:val="0"/>
                  <w:divBdr>
                    <w:top w:val="none" w:sz="0" w:space="0" w:color="auto"/>
                    <w:left w:val="none" w:sz="0" w:space="0" w:color="auto"/>
                    <w:bottom w:val="none" w:sz="0" w:space="0" w:color="auto"/>
                    <w:right w:val="none" w:sz="0" w:space="0" w:color="auto"/>
                  </w:divBdr>
                  <w:divsChild>
                    <w:div w:id="1236822019">
                      <w:marLeft w:val="0"/>
                      <w:marRight w:val="0"/>
                      <w:marTop w:val="0"/>
                      <w:marBottom w:val="0"/>
                      <w:divBdr>
                        <w:top w:val="none" w:sz="0" w:space="0" w:color="auto"/>
                        <w:left w:val="none" w:sz="0" w:space="0" w:color="auto"/>
                        <w:bottom w:val="none" w:sz="0" w:space="0" w:color="auto"/>
                        <w:right w:val="none" w:sz="0" w:space="0" w:color="auto"/>
                      </w:divBdr>
                    </w:div>
                  </w:divsChild>
                </w:div>
                <w:div w:id="1526677649">
                  <w:marLeft w:val="0"/>
                  <w:marRight w:val="0"/>
                  <w:marTop w:val="0"/>
                  <w:marBottom w:val="0"/>
                  <w:divBdr>
                    <w:top w:val="none" w:sz="0" w:space="0" w:color="auto"/>
                    <w:left w:val="none" w:sz="0" w:space="0" w:color="auto"/>
                    <w:bottom w:val="none" w:sz="0" w:space="0" w:color="auto"/>
                    <w:right w:val="none" w:sz="0" w:space="0" w:color="auto"/>
                  </w:divBdr>
                  <w:divsChild>
                    <w:div w:id="879629082">
                      <w:marLeft w:val="0"/>
                      <w:marRight w:val="0"/>
                      <w:marTop w:val="0"/>
                      <w:marBottom w:val="0"/>
                      <w:divBdr>
                        <w:top w:val="none" w:sz="0" w:space="0" w:color="auto"/>
                        <w:left w:val="none" w:sz="0" w:space="0" w:color="auto"/>
                        <w:bottom w:val="none" w:sz="0" w:space="0" w:color="auto"/>
                        <w:right w:val="none" w:sz="0" w:space="0" w:color="auto"/>
                      </w:divBdr>
                    </w:div>
                  </w:divsChild>
                </w:div>
                <w:div w:id="1530530278">
                  <w:marLeft w:val="0"/>
                  <w:marRight w:val="0"/>
                  <w:marTop w:val="0"/>
                  <w:marBottom w:val="0"/>
                  <w:divBdr>
                    <w:top w:val="none" w:sz="0" w:space="0" w:color="auto"/>
                    <w:left w:val="none" w:sz="0" w:space="0" w:color="auto"/>
                    <w:bottom w:val="none" w:sz="0" w:space="0" w:color="auto"/>
                    <w:right w:val="none" w:sz="0" w:space="0" w:color="auto"/>
                  </w:divBdr>
                  <w:divsChild>
                    <w:div w:id="967933459">
                      <w:marLeft w:val="0"/>
                      <w:marRight w:val="0"/>
                      <w:marTop w:val="0"/>
                      <w:marBottom w:val="0"/>
                      <w:divBdr>
                        <w:top w:val="none" w:sz="0" w:space="0" w:color="auto"/>
                        <w:left w:val="none" w:sz="0" w:space="0" w:color="auto"/>
                        <w:bottom w:val="none" w:sz="0" w:space="0" w:color="auto"/>
                        <w:right w:val="none" w:sz="0" w:space="0" w:color="auto"/>
                      </w:divBdr>
                    </w:div>
                  </w:divsChild>
                </w:div>
                <w:div w:id="1532691783">
                  <w:marLeft w:val="0"/>
                  <w:marRight w:val="0"/>
                  <w:marTop w:val="0"/>
                  <w:marBottom w:val="0"/>
                  <w:divBdr>
                    <w:top w:val="none" w:sz="0" w:space="0" w:color="auto"/>
                    <w:left w:val="none" w:sz="0" w:space="0" w:color="auto"/>
                    <w:bottom w:val="none" w:sz="0" w:space="0" w:color="auto"/>
                    <w:right w:val="none" w:sz="0" w:space="0" w:color="auto"/>
                  </w:divBdr>
                  <w:divsChild>
                    <w:div w:id="641547057">
                      <w:marLeft w:val="0"/>
                      <w:marRight w:val="0"/>
                      <w:marTop w:val="0"/>
                      <w:marBottom w:val="0"/>
                      <w:divBdr>
                        <w:top w:val="none" w:sz="0" w:space="0" w:color="auto"/>
                        <w:left w:val="none" w:sz="0" w:space="0" w:color="auto"/>
                        <w:bottom w:val="none" w:sz="0" w:space="0" w:color="auto"/>
                        <w:right w:val="none" w:sz="0" w:space="0" w:color="auto"/>
                      </w:divBdr>
                    </w:div>
                  </w:divsChild>
                </w:div>
                <w:div w:id="1538469060">
                  <w:marLeft w:val="0"/>
                  <w:marRight w:val="0"/>
                  <w:marTop w:val="0"/>
                  <w:marBottom w:val="0"/>
                  <w:divBdr>
                    <w:top w:val="none" w:sz="0" w:space="0" w:color="auto"/>
                    <w:left w:val="none" w:sz="0" w:space="0" w:color="auto"/>
                    <w:bottom w:val="none" w:sz="0" w:space="0" w:color="auto"/>
                    <w:right w:val="none" w:sz="0" w:space="0" w:color="auto"/>
                  </w:divBdr>
                  <w:divsChild>
                    <w:div w:id="577445726">
                      <w:marLeft w:val="0"/>
                      <w:marRight w:val="0"/>
                      <w:marTop w:val="0"/>
                      <w:marBottom w:val="0"/>
                      <w:divBdr>
                        <w:top w:val="none" w:sz="0" w:space="0" w:color="auto"/>
                        <w:left w:val="none" w:sz="0" w:space="0" w:color="auto"/>
                        <w:bottom w:val="none" w:sz="0" w:space="0" w:color="auto"/>
                        <w:right w:val="none" w:sz="0" w:space="0" w:color="auto"/>
                      </w:divBdr>
                    </w:div>
                  </w:divsChild>
                </w:div>
                <w:div w:id="1559588973">
                  <w:marLeft w:val="0"/>
                  <w:marRight w:val="0"/>
                  <w:marTop w:val="0"/>
                  <w:marBottom w:val="0"/>
                  <w:divBdr>
                    <w:top w:val="none" w:sz="0" w:space="0" w:color="auto"/>
                    <w:left w:val="none" w:sz="0" w:space="0" w:color="auto"/>
                    <w:bottom w:val="none" w:sz="0" w:space="0" w:color="auto"/>
                    <w:right w:val="none" w:sz="0" w:space="0" w:color="auto"/>
                  </w:divBdr>
                  <w:divsChild>
                    <w:div w:id="1709791948">
                      <w:marLeft w:val="0"/>
                      <w:marRight w:val="0"/>
                      <w:marTop w:val="0"/>
                      <w:marBottom w:val="0"/>
                      <w:divBdr>
                        <w:top w:val="none" w:sz="0" w:space="0" w:color="auto"/>
                        <w:left w:val="none" w:sz="0" w:space="0" w:color="auto"/>
                        <w:bottom w:val="none" w:sz="0" w:space="0" w:color="auto"/>
                        <w:right w:val="none" w:sz="0" w:space="0" w:color="auto"/>
                      </w:divBdr>
                    </w:div>
                  </w:divsChild>
                </w:div>
                <w:div w:id="1583760968">
                  <w:marLeft w:val="0"/>
                  <w:marRight w:val="0"/>
                  <w:marTop w:val="0"/>
                  <w:marBottom w:val="0"/>
                  <w:divBdr>
                    <w:top w:val="none" w:sz="0" w:space="0" w:color="auto"/>
                    <w:left w:val="none" w:sz="0" w:space="0" w:color="auto"/>
                    <w:bottom w:val="none" w:sz="0" w:space="0" w:color="auto"/>
                    <w:right w:val="none" w:sz="0" w:space="0" w:color="auto"/>
                  </w:divBdr>
                  <w:divsChild>
                    <w:div w:id="705985634">
                      <w:marLeft w:val="0"/>
                      <w:marRight w:val="0"/>
                      <w:marTop w:val="0"/>
                      <w:marBottom w:val="0"/>
                      <w:divBdr>
                        <w:top w:val="none" w:sz="0" w:space="0" w:color="auto"/>
                        <w:left w:val="none" w:sz="0" w:space="0" w:color="auto"/>
                        <w:bottom w:val="none" w:sz="0" w:space="0" w:color="auto"/>
                        <w:right w:val="none" w:sz="0" w:space="0" w:color="auto"/>
                      </w:divBdr>
                    </w:div>
                  </w:divsChild>
                </w:div>
                <w:div w:id="1606887511">
                  <w:marLeft w:val="0"/>
                  <w:marRight w:val="0"/>
                  <w:marTop w:val="0"/>
                  <w:marBottom w:val="0"/>
                  <w:divBdr>
                    <w:top w:val="none" w:sz="0" w:space="0" w:color="auto"/>
                    <w:left w:val="none" w:sz="0" w:space="0" w:color="auto"/>
                    <w:bottom w:val="none" w:sz="0" w:space="0" w:color="auto"/>
                    <w:right w:val="none" w:sz="0" w:space="0" w:color="auto"/>
                  </w:divBdr>
                  <w:divsChild>
                    <w:div w:id="1439180471">
                      <w:marLeft w:val="0"/>
                      <w:marRight w:val="0"/>
                      <w:marTop w:val="0"/>
                      <w:marBottom w:val="0"/>
                      <w:divBdr>
                        <w:top w:val="none" w:sz="0" w:space="0" w:color="auto"/>
                        <w:left w:val="none" w:sz="0" w:space="0" w:color="auto"/>
                        <w:bottom w:val="none" w:sz="0" w:space="0" w:color="auto"/>
                        <w:right w:val="none" w:sz="0" w:space="0" w:color="auto"/>
                      </w:divBdr>
                    </w:div>
                  </w:divsChild>
                </w:div>
                <w:div w:id="1611858993">
                  <w:marLeft w:val="0"/>
                  <w:marRight w:val="0"/>
                  <w:marTop w:val="0"/>
                  <w:marBottom w:val="0"/>
                  <w:divBdr>
                    <w:top w:val="none" w:sz="0" w:space="0" w:color="auto"/>
                    <w:left w:val="none" w:sz="0" w:space="0" w:color="auto"/>
                    <w:bottom w:val="none" w:sz="0" w:space="0" w:color="auto"/>
                    <w:right w:val="none" w:sz="0" w:space="0" w:color="auto"/>
                  </w:divBdr>
                  <w:divsChild>
                    <w:div w:id="277832089">
                      <w:marLeft w:val="0"/>
                      <w:marRight w:val="0"/>
                      <w:marTop w:val="0"/>
                      <w:marBottom w:val="0"/>
                      <w:divBdr>
                        <w:top w:val="none" w:sz="0" w:space="0" w:color="auto"/>
                        <w:left w:val="none" w:sz="0" w:space="0" w:color="auto"/>
                        <w:bottom w:val="none" w:sz="0" w:space="0" w:color="auto"/>
                        <w:right w:val="none" w:sz="0" w:space="0" w:color="auto"/>
                      </w:divBdr>
                    </w:div>
                  </w:divsChild>
                </w:div>
                <w:div w:id="1638414910">
                  <w:marLeft w:val="0"/>
                  <w:marRight w:val="0"/>
                  <w:marTop w:val="0"/>
                  <w:marBottom w:val="0"/>
                  <w:divBdr>
                    <w:top w:val="none" w:sz="0" w:space="0" w:color="auto"/>
                    <w:left w:val="none" w:sz="0" w:space="0" w:color="auto"/>
                    <w:bottom w:val="none" w:sz="0" w:space="0" w:color="auto"/>
                    <w:right w:val="none" w:sz="0" w:space="0" w:color="auto"/>
                  </w:divBdr>
                  <w:divsChild>
                    <w:div w:id="2006400497">
                      <w:marLeft w:val="0"/>
                      <w:marRight w:val="0"/>
                      <w:marTop w:val="0"/>
                      <w:marBottom w:val="0"/>
                      <w:divBdr>
                        <w:top w:val="none" w:sz="0" w:space="0" w:color="auto"/>
                        <w:left w:val="none" w:sz="0" w:space="0" w:color="auto"/>
                        <w:bottom w:val="none" w:sz="0" w:space="0" w:color="auto"/>
                        <w:right w:val="none" w:sz="0" w:space="0" w:color="auto"/>
                      </w:divBdr>
                    </w:div>
                  </w:divsChild>
                </w:div>
                <w:div w:id="1643342408">
                  <w:marLeft w:val="0"/>
                  <w:marRight w:val="0"/>
                  <w:marTop w:val="0"/>
                  <w:marBottom w:val="0"/>
                  <w:divBdr>
                    <w:top w:val="none" w:sz="0" w:space="0" w:color="auto"/>
                    <w:left w:val="none" w:sz="0" w:space="0" w:color="auto"/>
                    <w:bottom w:val="none" w:sz="0" w:space="0" w:color="auto"/>
                    <w:right w:val="none" w:sz="0" w:space="0" w:color="auto"/>
                  </w:divBdr>
                  <w:divsChild>
                    <w:div w:id="676613988">
                      <w:marLeft w:val="0"/>
                      <w:marRight w:val="0"/>
                      <w:marTop w:val="0"/>
                      <w:marBottom w:val="0"/>
                      <w:divBdr>
                        <w:top w:val="none" w:sz="0" w:space="0" w:color="auto"/>
                        <w:left w:val="none" w:sz="0" w:space="0" w:color="auto"/>
                        <w:bottom w:val="none" w:sz="0" w:space="0" w:color="auto"/>
                        <w:right w:val="none" w:sz="0" w:space="0" w:color="auto"/>
                      </w:divBdr>
                    </w:div>
                  </w:divsChild>
                </w:div>
                <w:div w:id="1645433165">
                  <w:marLeft w:val="0"/>
                  <w:marRight w:val="0"/>
                  <w:marTop w:val="0"/>
                  <w:marBottom w:val="0"/>
                  <w:divBdr>
                    <w:top w:val="none" w:sz="0" w:space="0" w:color="auto"/>
                    <w:left w:val="none" w:sz="0" w:space="0" w:color="auto"/>
                    <w:bottom w:val="none" w:sz="0" w:space="0" w:color="auto"/>
                    <w:right w:val="none" w:sz="0" w:space="0" w:color="auto"/>
                  </w:divBdr>
                  <w:divsChild>
                    <w:div w:id="999308602">
                      <w:marLeft w:val="0"/>
                      <w:marRight w:val="0"/>
                      <w:marTop w:val="0"/>
                      <w:marBottom w:val="0"/>
                      <w:divBdr>
                        <w:top w:val="none" w:sz="0" w:space="0" w:color="auto"/>
                        <w:left w:val="none" w:sz="0" w:space="0" w:color="auto"/>
                        <w:bottom w:val="none" w:sz="0" w:space="0" w:color="auto"/>
                        <w:right w:val="none" w:sz="0" w:space="0" w:color="auto"/>
                      </w:divBdr>
                    </w:div>
                  </w:divsChild>
                </w:div>
                <w:div w:id="1645767541">
                  <w:marLeft w:val="0"/>
                  <w:marRight w:val="0"/>
                  <w:marTop w:val="0"/>
                  <w:marBottom w:val="0"/>
                  <w:divBdr>
                    <w:top w:val="none" w:sz="0" w:space="0" w:color="auto"/>
                    <w:left w:val="none" w:sz="0" w:space="0" w:color="auto"/>
                    <w:bottom w:val="none" w:sz="0" w:space="0" w:color="auto"/>
                    <w:right w:val="none" w:sz="0" w:space="0" w:color="auto"/>
                  </w:divBdr>
                  <w:divsChild>
                    <w:div w:id="1416315301">
                      <w:marLeft w:val="0"/>
                      <w:marRight w:val="0"/>
                      <w:marTop w:val="0"/>
                      <w:marBottom w:val="0"/>
                      <w:divBdr>
                        <w:top w:val="none" w:sz="0" w:space="0" w:color="auto"/>
                        <w:left w:val="none" w:sz="0" w:space="0" w:color="auto"/>
                        <w:bottom w:val="none" w:sz="0" w:space="0" w:color="auto"/>
                        <w:right w:val="none" w:sz="0" w:space="0" w:color="auto"/>
                      </w:divBdr>
                    </w:div>
                  </w:divsChild>
                </w:div>
                <w:div w:id="1648121262">
                  <w:marLeft w:val="0"/>
                  <w:marRight w:val="0"/>
                  <w:marTop w:val="0"/>
                  <w:marBottom w:val="0"/>
                  <w:divBdr>
                    <w:top w:val="none" w:sz="0" w:space="0" w:color="auto"/>
                    <w:left w:val="none" w:sz="0" w:space="0" w:color="auto"/>
                    <w:bottom w:val="none" w:sz="0" w:space="0" w:color="auto"/>
                    <w:right w:val="none" w:sz="0" w:space="0" w:color="auto"/>
                  </w:divBdr>
                  <w:divsChild>
                    <w:div w:id="699010825">
                      <w:marLeft w:val="0"/>
                      <w:marRight w:val="0"/>
                      <w:marTop w:val="0"/>
                      <w:marBottom w:val="0"/>
                      <w:divBdr>
                        <w:top w:val="none" w:sz="0" w:space="0" w:color="auto"/>
                        <w:left w:val="none" w:sz="0" w:space="0" w:color="auto"/>
                        <w:bottom w:val="none" w:sz="0" w:space="0" w:color="auto"/>
                        <w:right w:val="none" w:sz="0" w:space="0" w:color="auto"/>
                      </w:divBdr>
                    </w:div>
                  </w:divsChild>
                </w:div>
                <w:div w:id="1662271190">
                  <w:marLeft w:val="0"/>
                  <w:marRight w:val="0"/>
                  <w:marTop w:val="0"/>
                  <w:marBottom w:val="0"/>
                  <w:divBdr>
                    <w:top w:val="none" w:sz="0" w:space="0" w:color="auto"/>
                    <w:left w:val="none" w:sz="0" w:space="0" w:color="auto"/>
                    <w:bottom w:val="none" w:sz="0" w:space="0" w:color="auto"/>
                    <w:right w:val="none" w:sz="0" w:space="0" w:color="auto"/>
                  </w:divBdr>
                  <w:divsChild>
                    <w:div w:id="92020180">
                      <w:marLeft w:val="0"/>
                      <w:marRight w:val="0"/>
                      <w:marTop w:val="0"/>
                      <w:marBottom w:val="0"/>
                      <w:divBdr>
                        <w:top w:val="none" w:sz="0" w:space="0" w:color="auto"/>
                        <w:left w:val="none" w:sz="0" w:space="0" w:color="auto"/>
                        <w:bottom w:val="none" w:sz="0" w:space="0" w:color="auto"/>
                        <w:right w:val="none" w:sz="0" w:space="0" w:color="auto"/>
                      </w:divBdr>
                    </w:div>
                  </w:divsChild>
                </w:div>
                <w:div w:id="1678460583">
                  <w:marLeft w:val="0"/>
                  <w:marRight w:val="0"/>
                  <w:marTop w:val="0"/>
                  <w:marBottom w:val="0"/>
                  <w:divBdr>
                    <w:top w:val="none" w:sz="0" w:space="0" w:color="auto"/>
                    <w:left w:val="none" w:sz="0" w:space="0" w:color="auto"/>
                    <w:bottom w:val="none" w:sz="0" w:space="0" w:color="auto"/>
                    <w:right w:val="none" w:sz="0" w:space="0" w:color="auto"/>
                  </w:divBdr>
                  <w:divsChild>
                    <w:div w:id="1371145602">
                      <w:marLeft w:val="0"/>
                      <w:marRight w:val="0"/>
                      <w:marTop w:val="0"/>
                      <w:marBottom w:val="0"/>
                      <w:divBdr>
                        <w:top w:val="none" w:sz="0" w:space="0" w:color="auto"/>
                        <w:left w:val="none" w:sz="0" w:space="0" w:color="auto"/>
                        <w:bottom w:val="none" w:sz="0" w:space="0" w:color="auto"/>
                        <w:right w:val="none" w:sz="0" w:space="0" w:color="auto"/>
                      </w:divBdr>
                    </w:div>
                  </w:divsChild>
                </w:div>
                <w:div w:id="1710761704">
                  <w:marLeft w:val="0"/>
                  <w:marRight w:val="0"/>
                  <w:marTop w:val="0"/>
                  <w:marBottom w:val="0"/>
                  <w:divBdr>
                    <w:top w:val="none" w:sz="0" w:space="0" w:color="auto"/>
                    <w:left w:val="none" w:sz="0" w:space="0" w:color="auto"/>
                    <w:bottom w:val="none" w:sz="0" w:space="0" w:color="auto"/>
                    <w:right w:val="none" w:sz="0" w:space="0" w:color="auto"/>
                  </w:divBdr>
                  <w:divsChild>
                    <w:div w:id="320156598">
                      <w:marLeft w:val="0"/>
                      <w:marRight w:val="0"/>
                      <w:marTop w:val="0"/>
                      <w:marBottom w:val="0"/>
                      <w:divBdr>
                        <w:top w:val="none" w:sz="0" w:space="0" w:color="auto"/>
                        <w:left w:val="none" w:sz="0" w:space="0" w:color="auto"/>
                        <w:bottom w:val="none" w:sz="0" w:space="0" w:color="auto"/>
                        <w:right w:val="none" w:sz="0" w:space="0" w:color="auto"/>
                      </w:divBdr>
                    </w:div>
                  </w:divsChild>
                </w:div>
                <w:div w:id="1747142416">
                  <w:marLeft w:val="0"/>
                  <w:marRight w:val="0"/>
                  <w:marTop w:val="0"/>
                  <w:marBottom w:val="0"/>
                  <w:divBdr>
                    <w:top w:val="none" w:sz="0" w:space="0" w:color="auto"/>
                    <w:left w:val="none" w:sz="0" w:space="0" w:color="auto"/>
                    <w:bottom w:val="none" w:sz="0" w:space="0" w:color="auto"/>
                    <w:right w:val="none" w:sz="0" w:space="0" w:color="auto"/>
                  </w:divBdr>
                  <w:divsChild>
                    <w:div w:id="403644965">
                      <w:marLeft w:val="0"/>
                      <w:marRight w:val="0"/>
                      <w:marTop w:val="0"/>
                      <w:marBottom w:val="0"/>
                      <w:divBdr>
                        <w:top w:val="none" w:sz="0" w:space="0" w:color="auto"/>
                        <w:left w:val="none" w:sz="0" w:space="0" w:color="auto"/>
                        <w:bottom w:val="none" w:sz="0" w:space="0" w:color="auto"/>
                        <w:right w:val="none" w:sz="0" w:space="0" w:color="auto"/>
                      </w:divBdr>
                    </w:div>
                  </w:divsChild>
                </w:div>
                <w:div w:id="1748065404">
                  <w:marLeft w:val="0"/>
                  <w:marRight w:val="0"/>
                  <w:marTop w:val="0"/>
                  <w:marBottom w:val="0"/>
                  <w:divBdr>
                    <w:top w:val="none" w:sz="0" w:space="0" w:color="auto"/>
                    <w:left w:val="none" w:sz="0" w:space="0" w:color="auto"/>
                    <w:bottom w:val="none" w:sz="0" w:space="0" w:color="auto"/>
                    <w:right w:val="none" w:sz="0" w:space="0" w:color="auto"/>
                  </w:divBdr>
                  <w:divsChild>
                    <w:div w:id="1320233843">
                      <w:marLeft w:val="0"/>
                      <w:marRight w:val="0"/>
                      <w:marTop w:val="0"/>
                      <w:marBottom w:val="0"/>
                      <w:divBdr>
                        <w:top w:val="none" w:sz="0" w:space="0" w:color="auto"/>
                        <w:left w:val="none" w:sz="0" w:space="0" w:color="auto"/>
                        <w:bottom w:val="none" w:sz="0" w:space="0" w:color="auto"/>
                        <w:right w:val="none" w:sz="0" w:space="0" w:color="auto"/>
                      </w:divBdr>
                    </w:div>
                  </w:divsChild>
                </w:div>
                <w:div w:id="1764840543">
                  <w:marLeft w:val="0"/>
                  <w:marRight w:val="0"/>
                  <w:marTop w:val="0"/>
                  <w:marBottom w:val="0"/>
                  <w:divBdr>
                    <w:top w:val="none" w:sz="0" w:space="0" w:color="auto"/>
                    <w:left w:val="none" w:sz="0" w:space="0" w:color="auto"/>
                    <w:bottom w:val="none" w:sz="0" w:space="0" w:color="auto"/>
                    <w:right w:val="none" w:sz="0" w:space="0" w:color="auto"/>
                  </w:divBdr>
                  <w:divsChild>
                    <w:div w:id="1595473936">
                      <w:marLeft w:val="0"/>
                      <w:marRight w:val="0"/>
                      <w:marTop w:val="0"/>
                      <w:marBottom w:val="0"/>
                      <w:divBdr>
                        <w:top w:val="none" w:sz="0" w:space="0" w:color="auto"/>
                        <w:left w:val="none" w:sz="0" w:space="0" w:color="auto"/>
                        <w:bottom w:val="none" w:sz="0" w:space="0" w:color="auto"/>
                        <w:right w:val="none" w:sz="0" w:space="0" w:color="auto"/>
                      </w:divBdr>
                    </w:div>
                  </w:divsChild>
                </w:div>
                <w:div w:id="1785152718">
                  <w:marLeft w:val="0"/>
                  <w:marRight w:val="0"/>
                  <w:marTop w:val="0"/>
                  <w:marBottom w:val="0"/>
                  <w:divBdr>
                    <w:top w:val="none" w:sz="0" w:space="0" w:color="auto"/>
                    <w:left w:val="none" w:sz="0" w:space="0" w:color="auto"/>
                    <w:bottom w:val="none" w:sz="0" w:space="0" w:color="auto"/>
                    <w:right w:val="none" w:sz="0" w:space="0" w:color="auto"/>
                  </w:divBdr>
                  <w:divsChild>
                    <w:div w:id="1384212677">
                      <w:marLeft w:val="0"/>
                      <w:marRight w:val="0"/>
                      <w:marTop w:val="0"/>
                      <w:marBottom w:val="0"/>
                      <w:divBdr>
                        <w:top w:val="none" w:sz="0" w:space="0" w:color="auto"/>
                        <w:left w:val="none" w:sz="0" w:space="0" w:color="auto"/>
                        <w:bottom w:val="none" w:sz="0" w:space="0" w:color="auto"/>
                        <w:right w:val="none" w:sz="0" w:space="0" w:color="auto"/>
                      </w:divBdr>
                    </w:div>
                  </w:divsChild>
                </w:div>
                <w:div w:id="1795441135">
                  <w:marLeft w:val="0"/>
                  <w:marRight w:val="0"/>
                  <w:marTop w:val="0"/>
                  <w:marBottom w:val="0"/>
                  <w:divBdr>
                    <w:top w:val="none" w:sz="0" w:space="0" w:color="auto"/>
                    <w:left w:val="none" w:sz="0" w:space="0" w:color="auto"/>
                    <w:bottom w:val="none" w:sz="0" w:space="0" w:color="auto"/>
                    <w:right w:val="none" w:sz="0" w:space="0" w:color="auto"/>
                  </w:divBdr>
                  <w:divsChild>
                    <w:div w:id="1137601960">
                      <w:marLeft w:val="0"/>
                      <w:marRight w:val="0"/>
                      <w:marTop w:val="0"/>
                      <w:marBottom w:val="0"/>
                      <w:divBdr>
                        <w:top w:val="none" w:sz="0" w:space="0" w:color="auto"/>
                        <w:left w:val="none" w:sz="0" w:space="0" w:color="auto"/>
                        <w:bottom w:val="none" w:sz="0" w:space="0" w:color="auto"/>
                        <w:right w:val="none" w:sz="0" w:space="0" w:color="auto"/>
                      </w:divBdr>
                    </w:div>
                  </w:divsChild>
                </w:div>
                <w:div w:id="1799950735">
                  <w:marLeft w:val="0"/>
                  <w:marRight w:val="0"/>
                  <w:marTop w:val="0"/>
                  <w:marBottom w:val="0"/>
                  <w:divBdr>
                    <w:top w:val="none" w:sz="0" w:space="0" w:color="auto"/>
                    <w:left w:val="none" w:sz="0" w:space="0" w:color="auto"/>
                    <w:bottom w:val="none" w:sz="0" w:space="0" w:color="auto"/>
                    <w:right w:val="none" w:sz="0" w:space="0" w:color="auto"/>
                  </w:divBdr>
                  <w:divsChild>
                    <w:div w:id="2003072838">
                      <w:marLeft w:val="0"/>
                      <w:marRight w:val="0"/>
                      <w:marTop w:val="0"/>
                      <w:marBottom w:val="0"/>
                      <w:divBdr>
                        <w:top w:val="none" w:sz="0" w:space="0" w:color="auto"/>
                        <w:left w:val="none" w:sz="0" w:space="0" w:color="auto"/>
                        <w:bottom w:val="none" w:sz="0" w:space="0" w:color="auto"/>
                        <w:right w:val="none" w:sz="0" w:space="0" w:color="auto"/>
                      </w:divBdr>
                    </w:div>
                  </w:divsChild>
                </w:div>
                <w:div w:id="1803420985">
                  <w:marLeft w:val="0"/>
                  <w:marRight w:val="0"/>
                  <w:marTop w:val="0"/>
                  <w:marBottom w:val="0"/>
                  <w:divBdr>
                    <w:top w:val="none" w:sz="0" w:space="0" w:color="auto"/>
                    <w:left w:val="none" w:sz="0" w:space="0" w:color="auto"/>
                    <w:bottom w:val="none" w:sz="0" w:space="0" w:color="auto"/>
                    <w:right w:val="none" w:sz="0" w:space="0" w:color="auto"/>
                  </w:divBdr>
                  <w:divsChild>
                    <w:div w:id="1287807763">
                      <w:marLeft w:val="0"/>
                      <w:marRight w:val="0"/>
                      <w:marTop w:val="0"/>
                      <w:marBottom w:val="0"/>
                      <w:divBdr>
                        <w:top w:val="none" w:sz="0" w:space="0" w:color="auto"/>
                        <w:left w:val="none" w:sz="0" w:space="0" w:color="auto"/>
                        <w:bottom w:val="none" w:sz="0" w:space="0" w:color="auto"/>
                        <w:right w:val="none" w:sz="0" w:space="0" w:color="auto"/>
                      </w:divBdr>
                    </w:div>
                  </w:divsChild>
                </w:div>
                <w:div w:id="1822312828">
                  <w:marLeft w:val="0"/>
                  <w:marRight w:val="0"/>
                  <w:marTop w:val="0"/>
                  <w:marBottom w:val="0"/>
                  <w:divBdr>
                    <w:top w:val="none" w:sz="0" w:space="0" w:color="auto"/>
                    <w:left w:val="none" w:sz="0" w:space="0" w:color="auto"/>
                    <w:bottom w:val="none" w:sz="0" w:space="0" w:color="auto"/>
                    <w:right w:val="none" w:sz="0" w:space="0" w:color="auto"/>
                  </w:divBdr>
                  <w:divsChild>
                    <w:div w:id="1612009627">
                      <w:marLeft w:val="0"/>
                      <w:marRight w:val="0"/>
                      <w:marTop w:val="0"/>
                      <w:marBottom w:val="0"/>
                      <w:divBdr>
                        <w:top w:val="none" w:sz="0" w:space="0" w:color="auto"/>
                        <w:left w:val="none" w:sz="0" w:space="0" w:color="auto"/>
                        <w:bottom w:val="none" w:sz="0" w:space="0" w:color="auto"/>
                        <w:right w:val="none" w:sz="0" w:space="0" w:color="auto"/>
                      </w:divBdr>
                    </w:div>
                  </w:divsChild>
                </w:div>
                <w:div w:id="1826507716">
                  <w:marLeft w:val="0"/>
                  <w:marRight w:val="0"/>
                  <w:marTop w:val="0"/>
                  <w:marBottom w:val="0"/>
                  <w:divBdr>
                    <w:top w:val="none" w:sz="0" w:space="0" w:color="auto"/>
                    <w:left w:val="none" w:sz="0" w:space="0" w:color="auto"/>
                    <w:bottom w:val="none" w:sz="0" w:space="0" w:color="auto"/>
                    <w:right w:val="none" w:sz="0" w:space="0" w:color="auto"/>
                  </w:divBdr>
                  <w:divsChild>
                    <w:div w:id="1627733896">
                      <w:marLeft w:val="0"/>
                      <w:marRight w:val="0"/>
                      <w:marTop w:val="0"/>
                      <w:marBottom w:val="0"/>
                      <w:divBdr>
                        <w:top w:val="none" w:sz="0" w:space="0" w:color="auto"/>
                        <w:left w:val="none" w:sz="0" w:space="0" w:color="auto"/>
                        <w:bottom w:val="none" w:sz="0" w:space="0" w:color="auto"/>
                        <w:right w:val="none" w:sz="0" w:space="0" w:color="auto"/>
                      </w:divBdr>
                    </w:div>
                  </w:divsChild>
                </w:div>
                <w:div w:id="1827893380">
                  <w:marLeft w:val="0"/>
                  <w:marRight w:val="0"/>
                  <w:marTop w:val="0"/>
                  <w:marBottom w:val="0"/>
                  <w:divBdr>
                    <w:top w:val="none" w:sz="0" w:space="0" w:color="auto"/>
                    <w:left w:val="none" w:sz="0" w:space="0" w:color="auto"/>
                    <w:bottom w:val="none" w:sz="0" w:space="0" w:color="auto"/>
                    <w:right w:val="none" w:sz="0" w:space="0" w:color="auto"/>
                  </w:divBdr>
                  <w:divsChild>
                    <w:div w:id="1493178686">
                      <w:marLeft w:val="0"/>
                      <w:marRight w:val="0"/>
                      <w:marTop w:val="0"/>
                      <w:marBottom w:val="0"/>
                      <w:divBdr>
                        <w:top w:val="none" w:sz="0" w:space="0" w:color="auto"/>
                        <w:left w:val="none" w:sz="0" w:space="0" w:color="auto"/>
                        <w:bottom w:val="none" w:sz="0" w:space="0" w:color="auto"/>
                        <w:right w:val="none" w:sz="0" w:space="0" w:color="auto"/>
                      </w:divBdr>
                    </w:div>
                  </w:divsChild>
                </w:div>
                <w:div w:id="1878658935">
                  <w:marLeft w:val="0"/>
                  <w:marRight w:val="0"/>
                  <w:marTop w:val="0"/>
                  <w:marBottom w:val="0"/>
                  <w:divBdr>
                    <w:top w:val="none" w:sz="0" w:space="0" w:color="auto"/>
                    <w:left w:val="none" w:sz="0" w:space="0" w:color="auto"/>
                    <w:bottom w:val="none" w:sz="0" w:space="0" w:color="auto"/>
                    <w:right w:val="none" w:sz="0" w:space="0" w:color="auto"/>
                  </w:divBdr>
                  <w:divsChild>
                    <w:div w:id="476918143">
                      <w:marLeft w:val="0"/>
                      <w:marRight w:val="0"/>
                      <w:marTop w:val="0"/>
                      <w:marBottom w:val="0"/>
                      <w:divBdr>
                        <w:top w:val="none" w:sz="0" w:space="0" w:color="auto"/>
                        <w:left w:val="none" w:sz="0" w:space="0" w:color="auto"/>
                        <w:bottom w:val="none" w:sz="0" w:space="0" w:color="auto"/>
                        <w:right w:val="none" w:sz="0" w:space="0" w:color="auto"/>
                      </w:divBdr>
                    </w:div>
                  </w:divsChild>
                </w:div>
                <w:div w:id="1901480092">
                  <w:marLeft w:val="0"/>
                  <w:marRight w:val="0"/>
                  <w:marTop w:val="0"/>
                  <w:marBottom w:val="0"/>
                  <w:divBdr>
                    <w:top w:val="none" w:sz="0" w:space="0" w:color="auto"/>
                    <w:left w:val="none" w:sz="0" w:space="0" w:color="auto"/>
                    <w:bottom w:val="none" w:sz="0" w:space="0" w:color="auto"/>
                    <w:right w:val="none" w:sz="0" w:space="0" w:color="auto"/>
                  </w:divBdr>
                  <w:divsChild>
                    <w:div w:id="1989940912">
                      <w:marLeft w:val="0"/>
                      <w:marRight w:val="0"/>
                      <w:marTop w:val="0"/>
                      <w:marBottom w:val="0"/>
                      <w:divBdr>
                        <w:top w:val="none" w:sz="0" w:space="0" w:color="auto"/>
                        <w:left w:val="none" w:sz="0" w:space="0" w:color="auto"/>
                        <w:bottom w:val="none" w:sz="0" w:space="0" w:color="auto"/>
                        <w:right w:val="none" w:sz="0" w:space="0" w:color="auto"/>
                      </w:divBdr>
                    </w:div>
                  </w:divsChild>
                </w:div>
                <w:div w:id="1958104095">
                  <w:marLeft w:val="0"/>
                  <w:marRight w:val="0"/>
                  <w:marTop w:val="0"/>
                  <w:marBottom w:val="0"/>
                  <w:divBdr>
                    <w:top w:val="none" w:sz="0" w:space="0" w:color="auto"/>
                    <w:left w:val="none" w:sz="0" w:space="0" w:color="auto"/>
                    <w:bottom w:val="none" w:sz="0" w:space="0" w:color="auto"/>
                    <w:right w:val="none" w:sz="0" w:space="0" w:color="auto"/>
                  </w:divBdr>
                  <w:divsChild>
                    <w:div w:id="709767725">
                      <w:marLeft w:val="0"/>
                      <w:marRight w:val="0"/>
                      <w:marTop w:val="0"/>
                      <w:marBottom w:val="0"/>
                      <w:divBdr>
                        <w:top w:val="none" w:sz="0" w:space="0" w:color="auto"/>
                        <w:left w:val="none" w:sz="0" w:space="0" w:color="auto"/>
                        <w:bottom w:val="none" w:sz="0" w:space="0" w:color="auto"/>
                        <w:right w:val="none" w:sz="0" w:space="0" w:color="auto"/>
                      </w:divBdr>
                    </w:div>
                  </w:divsChild>
                </w:div>
                <w:div w:id="1971354681">
                  <w:marLeft w:val="0"/>
                  <w:marRight w:val="0"/>
                  <w:marTop w:val="0"/>
                  <w:marBottom w:val="0"/>
                  <w:divBdr>
                    <w:top w:val="none" w:sz="0" w:space="0" w:color="auto"/>
                    <w:left w:val="none" w:sz="0" w:space="0" w:color="auto"/>
                    <w:bottom w:val="none" w:sz="0" w:space="0" w:color="auto"/>
                    <w:right w:val="none" w:sz="0" w:space="0" w:color="auto"/>
                  </w:divBdr>
                  <w:divsChild>
                    <w:div w:id="1558475237">
                      <w:marLeft w:val="0"/>
                      <w:marRight w:val="0"/>
                      <w:marTop w:val="0"/>
                      <w:marBottom w:val="0"/>
                      <w:divBdr>
                        <w:top w:val="none" w:sz="0" w:space="0" w:color="auto"/>
                        <w:left w:val="none" w:sz="0" w:space="0" w:color="auto"/>
                        <w:bottom w:val="none" w:sz="0" w:space="0" w:color="auto"/>
                        <w:right w:val="none" w:sz="0" w:space="0" w:color="auto"/>
                      </w:divBdr>
                    </w:div>
                  </w:divsChild>
                </w:div>
                <w:div w:id="1978408496">
                  <w:marLeft w:val="0"/>
                  <w:marRight w:val="0"/>
                  <w:marTop w:val="0"/>
                  <w:marBottom w:val="0"/>
                  <w:divBdr>
                    <w:top w:val="none" w:sz="0" w:space="0" w:color="auto"/>
                    <w:left w:val="none" w:sz="0" w:space="0" w:color="auto"/>
                    <w:bottom w:val="none" w:sz="0" w:space="0" w:color="auto"/>
                    <w:right w:val="none" w:sz="0" w:space="0" w:color="auto"/>
                  </w:divBdr>
                  <w:divsChild>
                    <w:div w:id="1307665101">
                      <w:marLeft w:val="0"/>
                      <w:marRight w:val="0"/>
                      <w:marTop w:val="0"/>
                      <w:marBottom w:val="0"/>
                      <w:divBdr>
                        <w:top w:val="none" w:sz="0" w:space="0" w:color="auto"/>
                        <w:left w:val="none" w:sz="0" w:space="0" w:color="auto"/>
                        <w:bottom w:val="none" w:sz="0" w:space="0" w:color="auto"/>
                        <w:right w:val="none" w:sz="0" w:space="0" w:color="auto"/>
                      </w:divBdr>
                    </w:div>
                  </w:divsChild>
                </w:div>
                <w:div w:id="1982074671">
                  <w:marLeft w:val="0"/>
                  <w:marRight w:val="0"/>
                  <w:marTop w:val="0"/>
                  <w:marBottom w:val="0"/>
                  <w:divBdr>
                    <w:top w:val="none" w:sz="0" w:space="0" w:color="auto"/>
                    <w:left w:val="none" w:sz="0" w:space="0" w:color="auto"/>
                    <w:bottom w:val="none" w:sz="0" w:space="0" w:color="auto"/>
                    <w:right w:val="none" w:sz="0" w:space="0" w:color="auto"/>
                  </w:divBdr>
                  <w:divsChild>
                    <w:div w:id="881405321">
                      <w:marLeft w:val="0"/>
                      <w:marRight w:val="0"/>
                      <w:marTop w:val="0"/>
                      <w:marBottom w:val="0"/>
                      <w:divBdr>
                        <w:top w:val="none" w:sz="0" w:space="0" w:color="auto"/>
                        <w:left w:val="none" w:sz="0" w:space="0" w:color="auto"/>
                        <w:bottom w:val="none" w:sz="0" w:space="0" w:color="auto"/>
                        <w:right w:val="none" w:sz="0" w:space="0" w:color="auto"/>
                      </w:divBdr>
                    </w:div>
                  </w:divsChild>
                </w:div>
                <w:div w:id="1994481703">
                  <w:marLeft w:val="0"/>
                  <w:marRight w:val="0"/>
                  <w:marTop w:val="0"/>
                  <w:marBottom w:val="0"/>
                  <w:divBdr>
                    <w:top w:val="none" w:sz="0" w:space="0" w:color="auto"/>
                    <w:left w:val="none" w:sz="0" w:space="0" w:color="auto"/>
                    <w:bottom w:val="none" w:sz="0" w:space="0" w:color="auto"/>
                    <w:right w:val="none" w:sz="0" w:space="0" w:color="auto"/>
                  </w:divBdr>
                  <w:divsChild>
                    <w:div w:id="286394258">
                      <w:marLeft w:val="0"/>
                      <w:marRight w:val="0"/>
                      <w:marTop w:val="0"/>
                      <w:marBottom w:val="0"/>
                      <w:divBdr>
                        <w:top w:val="none" w:sz="0" w:space="0" w:color="auto"/>
                        <w:left w:val="none" w:sz="0" w:space="0" w:color="auto"/>
                        <w:bottom w:val="none" w:sz="0" w:space="0" w:color="auto"/>
                        <w:right w:val="none" w:sz="0" w:space="0" w:color="auto"/>
                      </w:divBdr>
                    </w:div>
                  </w:divsChild>
                </w:div>
                <w:div w:id="1997606299">
                  <w:marLeft w:val="0"/>
                  <w:marRight w:val="0"/>
                  <w:marTop w:val="0"/>
                  <w:marBottom w:val="0"/>
                  <w:divBdr>
                    <w:top w:val="none" w:sz="0" w:space="0" w:color="auto"/>
                    <w:left w:val="none" w:sz="0" w:space="0" w:color="auto"/>
                    <w:bottom w:val="none" w:sz="0" w:space="0" w:color="auto"/>
                    <w:right w:val="none" w:sz="0" w:space="0" w:color="auto"/>
                  </w:divBdr>
                  <w:divsChild>
                    <w:div w:id="2060400046">
                      <w:marLeft w:val="0"/>
                      <w:marRight w:val="0"/>
                      <w:marTop w:val="0"/>
                      <w:marBottom w:val="0"/>
                      <w:divBdr>
                        <w:top w:val="none" w:sz="0" w:space="0" w:color="auto"/>
                        <w:left w:val="none" w:sz="0" w:space="0" w:color="auto"/>
                        <w:bottom w:val="none" w:sz="0" w:space="0" w:color="auto"/>
                        <w:right w:val="none" w:sz="0" w:space="0" w:color="auto"/>
                      </w:divBdr>
                    </w:div>
                  </w:divsChild>
                </w:div>
                <w:div w:id="2004233971">
                  <w:marLeft w:val="0"/>
                  <w:marRight w:val="0"/>
                  <w:marTop w:val="0"/>
                  <w:marBottom w:val="0"/>
                  <w:divBdr>
                    <w:top w:val="none" w:sz="0" w:space="0" w:color="auto"/>
                    <w:left w:val="none" w:sz="0" w:space="0" w:color="auto"/>
                    <w:bottom w:val="none" w:sz="0" w:space="0" w:color="auto"/>
                    <w:right w:val="none" w:sz="0" w:space="0" w:color="auto"/>
                  </w:divBdr>
                  <w:divsChild>
                    <w:div w:id="241528282">
                      <w:marLeft w:val="0"/>
                      <w:marRight w:val="0"/>
                      <w:marTop w:val="0"/>
                      <w:marBottom w:val="0"/>
                      <w:divBdr>
                        <w:top w:val="none" w:sz="0" w:space="0" w:color="auto"/>
                        <w:left w:val="none" w:sz="0" w:space="0" w:color="auto"/>
                        <w:bottom w:val="none" w:sz="0" w:space="0" w:color="auto"/>
                        <w:right w:val="none" w:sz="0" w:space="0" w:color="auto"/>
                      </w:divBdr>
                    </w:div>
                  </w:divsChild>
                </w:div>
                <w:div w:id="2009399526">
                  <w:marLeft w:val="0"/>
                  <w:marRight w:val="0"/>
                  <w:marTop w:val="0"/>
                  <w:marBottom w:val="0"/>
                  <w:divBdr>
                    <w:top w:val="none" w:sz="0" w:space="0" w:color="auto"/>
                    <w:left w:val="none" w:sz="0" w:space="0" w:color="auto"/>
                    <w:bottom w:val="none" w:sz="0" w:space="0" w:color="auto"/>
                    <w:right w:val="none" w:sz="0" w:space="0" w:color="auto"/>
                  </w:divBdr>
                  <w:divsChild>
                    <w:div w:id="31804768">
                      <w:marLeft w:val="0"/>
                      <w:marRight w:val="0"/>
                      <w:marTop w:val="0"/>
                      <w:marBottom w:val="0"/>
                      <w:divBdr>
                        <w:top w:val="none" w:sz="0" w:space="0" w:color="auto"/>
                        <w:left w:val="none" w:sz="0" w:space="0" w:color="auto"/>
                        <w:bottom w:val="none" w:sz="0" w:space="0" w:color="auto"/>
                        <w:right w:val="none" w:sz="0" w:space="0" w:color="auto"/>
                      </w:divBdr>
                    </w:div>
                  </w:divsChild>
                </w:div>
                <w:div w:id="2017345597">
                  <w:marLeft w:val="0"/>
                  <w:marRight w:val="0"/>
                  <w:marTop w:val="0"/>
                  <w:marBottom w:val="0"/>
                  <w:divBdr>
                    <w:top w:val="none" w:sz="0" w:space="0" w:color="auto"/>
                    <w:left w:val="none" w:sz="0" w:space="0" w:color="auto"/>
                    <w:bottom w:val="none" w:sz="0" w:space="0" w:color="auto"/>
                    <w:right w:val="none" w:sz="0" w:space="0" w:color="auto"/>
                  </w:divBdr>
                  <w:divsChild>
                    <w:div w:id="489323555">
                      <w:marLeft w:val="0"/>
                      <w:marRight w:val="0"/>
                      <w:marTop w:val="0"/>
                      <w:marBottom w:val="0"/>
                      <w:divBdr>
                        <w:top w:val="none" w:sz="0" w:space="0" w:color="auto"/>
                        <w:left w:val="none" w:sz="0" w:space="0" w:color="auto"/>
                        <w:bottom w:val="none" w:sz="0" w:space="0" w:color="auto"/>
                        <w:right w:val="none" w:sz="0" w:space="0" w:color="auto"/>
                      </w:divBdr>
                    </w:div>
                  </w:divsChild>
                </w:div>
                <w:div w:id="2020621421">
                  <w:marLeft w:val="0"/>
                  <w:marRight w:val="0"/>
                  <w:marTop w:val="0"/>
                  <w:marBottom w:val="0"/>
                  <w:divBdr>
                    <w:top w:val="none" w:sz="0" w:space="0" w:color="auto"/>
                    <w:left w:val="none" w:sz="0" w:space="0" w:color="auto"/>
                    <w:bottom w:val="none" w:sz="0" w:space="0" w:color="auto"/>
                    <w:right w:val="none" w:sz="0" w:space="0" w:color="auto"/>
                  </w:divBdr>
                  <w:divsChild>
                    <w:div w:id="186793574">
                      <w:marLeft w:val="0"/>
                      <w:marRight w:val="0"/>
                      <w:marTop w:val="0"/>
                      <w:marBottom w:val="0"/>
                      <w:divBdr>
                        <w:top w:val="none" w:sz="0" w:space="0" w:color="auto"/>
                        <w:left w:val="none" w:sz="0" w:space="0" w:color="auto"/>
                        <w:bottom w:val="none" w:sz="0" w:space="0" w:color="auto"/>
                        <w:right w:val="none" w:sz="0" w:space="0" w:color="auto"/>
                      </w:divBdr>
                    </w:div>
                  </w:divsChild>
                </w:div>
                <w:div w:id="2028091155">
                  <w:marLeft w:val="0"/>
                  <w:marRight w:val="0"/>
                  <w:marTop w:val="0"/>
                  <w:marBottom w:val="0"/>
                  <w:divBdr>
                    <w:top w:val="none" w:sz="0" w:space="0" w:color="auto"/>
                    <w:left w:val="none" w:sz="0" w:space="0" w:color="auto"/>
                    <w:bottom w:val="none" w:sz="0" w:space="0" w:color="auto"/>
                    <w:right w:val="none" w:sz="0" w:space="0" w:color="auto"/>
                  </w:divBdr>
                  <w:divsChild>
                    <w:div w:id="1457144102">
                      <w:marLeft w:val="0"/>
                      <w:marRight w:val="0"/>
                      <w:marTop w:val="0"/>
                      <w:marBottom w:val="0"/>
                      <w:divBdr>
                        <w:top w:val="none" w:sz="0" w:space="0" w:color="auto"/>
                        <w:left w:val="none" w:sz="0" w:space="0" w:color="auto"/>
                        <w:bottom w:val="none" w:sz="0" w:space="0" w:color="auto"/>
                        <w:right w:val="none" w:sz="0" w:space="0" w:color="auto"/>
                      </w:divBdr>
                    </w:div>
                  </w:divsChild>
                </w:div>
                <w:div w:id="2047752863">
                  <w:marLeft w:val="0"/>
                  <w:marRight w:val="0"/>
                  <w:marTop w:val="0"/>
                  <w:marBottom w:val="0"/>
                  <w:divBdr>
                    <w:top w:val="none" w:sz="0" w:space="0" w:color="auto"/>
                    <w:left w:val="none" w:sz="0" w:space="0" w:color="auto"/>
                    <w:bottom w:val="none" w:sz="0" w:space="0" w:color="auto"/>
                    <w:right w:val="none" w:sz="0" w:space="0" w:color="auto"/>
                  </w:divBdr>
                  <w:divsChild>
                    <w:div w:id="1359813353">
                      <w:marLeft w:val="0"/>
                      <w:marRight w:val="0"/>
                      <w:marTop w:val="0"/>
                      <w:marBottom w:val="0"/>
                      <w:divBdr>
                        <w:top w:val="none" w:sz="0" w:space="0" w:color="auto"/>
                        <w:left w:val="none" w:sz="0" w:space="0" w:color="auto"/>
                        <w:bottom w:val="none" w:sz="0" w:space="0" w:color="auto"/>
                        <w:right w:val="none" w:sz="0" w:space="0" w:color="auto"/>
                      </w:divBdr>
                    </w:div>
                  </w:divsChild>
                </w:div>
                <w:div w:id="2051301829">
                  <w:marLeft w:val="0"/>
                  <w:marRight w:val="0"/>
                  <w:marTop w:val="0"/>
                  <w:marBottom w:val="0"/>
                  <w:divBdr>
                    <w:top w:val="none" w:sz="0" w:space="0" w:color="auto"/>
                    <w:left w:val="none" w:sz="0" w:space="0" w:color="auto"/>
                    <w:bottom w:val="none" w:sz="0" w:space="0" w:color="auto"/>
                    <w:right w:val="none" w:sz="0" w:space="0" w:color="auto"/>
                  </w:divBdr>
                  <w:divsChild>
                    <w:div w:id="1127317056">
                      <w:marLeft w:val="0"/>
                      <w:marRight w:val="0"/>
                      <w:marTop w:val="0"/>
                      <w:marBottom w:val="0"/>
                      <w:divBdr>
                        <w:top w:val="none" w:sz="0" w:space="0" w:color="auto"/>
                        <w:left w:val="none" w:sz="0" w:space="0" w:color="auto"/>
                        <w:bottom w:val="none" w:sz="0" w:space="0" w:color="auto"/>
                        <w:right w:val="none" w:sz="0" w:space="0" w:color="auto"/>
                      </w:divBdr>
                    </w:div>
                  </w:divsChild>
                </w:div>
                <w:div w:id="2062242702">
                  <w:marLeft w:val="0"/>
                  <w:marRight w:val="0"/>
                  <w:marTop w:val="0"/>
                  <w:marBottom w:val="0"/>
                  <w:divBdr>
                    <w:top w:val="none" w:sz="0" w:space="0" w:color="auto"/>
                    <w:left w:val="none" w:sz="0" w:space="0" w:color="auto"/>
                    <w:bottom w:val="none" w:sz="0" w:space="0" w:color="auto"/>
                    <w:right w:val="none" w:sz="0" w:space="0" w:color="auto"/>
                  </w:divBdr>
                  <w:divsChild>
                    <w:div w:id="789007332">
                      <w:marLeft w:val="0"/>
                      <w:marRight w:val="0"/>
                      <w:marTop w:val="0"/>
                      <w:marBottom w:val="0"/>
                      <w:divBdr>
                        <w:top w:val="none" w:sz="0" w:space="0" w:color="auto"/>
                        <w:left w:val="none" w:sz="0" w:space="0" w:color="auto"/>
                        <w:bottom w:val="none" w:sz="0" w:space="0" w:color="auto"/>
                        <w:right w:val="none" w:sz="0" w:space="0" w:color="auto"/>
                      </w:divBdr>
                    </w:div>
                  </w:divsChild>
                </w:div>
                <w:div w:id="2067677172">
                  <w:marLeft w:val="0"/>
                  <w:marRight w:val="0"/>
                  <w:marTop w:val="0"/>
                  <w:marBottom w:val="0"/>
                  <w:divBdr>
                    <w:top w:val="none" w:sz="0" w:space="0" w:color="auto"/>
                    <w:left w:val="none" w:sz="0" w:space="0" w:color="auto"/>
                    <w:bottom w:val="none" w:sz="0" w:space="0" w:color="auto"/>
                    <w:right w:val="none" w:sz="0" w:space="0" w:color="auto"/>
                  </w:divBdr>
                  <w:divsChild>
                    <w:div w:id="987244370">
                      <w:marLeft w:val="0"/>
                      <w:marRight w:val="0"/>
                      <w:marTop w:val="0"/>
                      <w:marBottom w:val="0"/>
                      <w:divBdr>
                        <w:top w:val="none" w:sz="0" w:space="0" w:color="auto"/>
                        <w:left w:val="none" w:sz="0" w:space="0" w:color="auto"/>
                        <w:bottom w:val="none" w:sz="0" w:space="0" w:color="auto"/>
                        <w:right w:val="none" w:sz="0" w:space="0" w:color="auto"/>
                      </w:divBdr>
                    </w:div>
                  </w:divsChild>
                </w:div>
                <w:div w:id="2074962092">
                  <w:marLeft w:val="0"/>
                  <w:marRight w:val="0"/>
                  <w:marTop w:val="0"/>
                  <w:marBottom w:val="0"/>
                  <w:divBdr>
                    <w:top w:val="none" w:sz="0" w:space="0" w:color="auto"/>
                    <w:left w:val="none" w:sz="0" w:space="0" w:color="auto"/>
                    <w:bottom w:val="none" w:sz="0" w:space="0" w:color="auto"/>
                    <w:right w:val="none" w:sz="0" w:space="0" w:color="auto"/>
                  </w:divBdr>
                  <w:divsChild>
                    <w:div w:id="733048573">
                      <w:marLeft w:val="0"/>
                      <w:marRight w:val="0"/>
                      <w:marTop w:val="0"/>
                      <w:marBottom w:val="0"/>
                      <w:divBdr>
                        <w:top w:val="none" w:sz="0" w:space="0" w:color="auto"/>
                        <w:left w:val="none" w:sz="0" w:space="0" w:color="auto"/>
                        <w:bottom w:val="none" w:sz="0" w:space="0" w:color="auto"/>
                        <w:right w:val="none" w:sz="0" w:space="0" w:color="auto"/>
                      </w:divBdr>
                    </w:div>
                  </w:divsChild>
                </w:div>
                <w:div w:id="2094735581">
                  <w:marLeft w:val="0"/>
                  <w:marRight w:val="0"/>
                  <w:marTop w:val="0"/>
                  <w:marBottom w:val="0"/>
                  <w:divBdr>
                    <w:top w:val="none" w:sz="0" w:space="0" w:color="auto"/>
                    <w:left w:val="none" w:sz="0" w:space="0" w:color="auto"/>
                    <w:bottom w:val="none" w:sz="0" w:space="0" w:color="auto"/>
                    <w:right w:val="none" w:sz="0" w:space="0" w:color="auto"/>
                  </w:divBdr>
                  <w:divsChild>
                    <w:div w:id="112486904">
                      <w:marLeft w:val="0"/>
                      <w:marRight w:val="0"/>
                      <w:marTop w:val="0"/>
                      <w:marBottom w:val="0"/>
                      <w:divBdr>
                        <w:top w:val="none" w:sz="0" w:space="0" w:color="auto"/>
                        <w:left w:val="none" w:sz="0" w:space="0" w:color="auto"/>
                        <w:bottom w:val="none" w:sz="0" w:space="0" w:color="auto"/>
                        <w:right w:val="none" w:sz="0" w:space="0" w:color="auto"/>
                      </w:divBdr>
                    </w:div>
                  </w:divsChild>
                </w:div>
                <w:div w:id="2119324611">
                  <w:marLeft w:val="0"/>
                  <w:marRight w:val="0"/>
                  <w:marTop w:val="0"/>
                  <w:marBottom w:val="0"/>
                  <w:divBdr>
                    <w:top w:val="none" w:sz="0" w:space="0" w:color="auto"/>
                    <w:left w:val="none" w:sz="0" w:space="0" w:color="auto"/>
                    <w:bottom w:val="none" w:sz="0" w:space="0" w:color="auto"/>
                    <w:right w:val="none" w:sz="0" w:space="0" w:color="auto"/>
                  </w:divBdr>
                  <w:divsChild>
                    <w:div w:id="1405293736">
                      <w:marLeft w:val="0"/>
                      <w:marRight w:val="0"/>
                      <w:marTop w:val="0"/>
                      <w:marBottom w:val="0"/>
                      <w:divBdr>
                        <w:top w:val="none" w:sz="0" w:space="0" w:color="auto"/>
                        <w:left w:val="none" w:sz="0" w:space="0" w:color="auto"/>
                        <w:bottom w:val="none" w:sz="0" w:space="0" w:color="auto"/>
                        <w:right w:val="none" w:sz="0" w:space="0" w:color="auto"/>
                      </w:divBdr>
                    </w:div>
                  </w:divsChild>
                </w:div>
                <w:div w:id="2136672692">
                  <w:marLeft w:val="0"/>
                  <w:marRight w:val="0"/>
                  <w:marTop w:val="0"/>
                  <w:marBottom w:val="0"/>
                  <w:divBdr>
                    <w:top w:val="none" w:sz="0" w:space="0" w:color="auto"/>
                    <w:left w:val="none" w:sz="0" w:space="0" w:color="auto"/>
                    <w:bottom w:val="none" w:sz="0" w:space="0" w:color="auto"/>
                    <w:right w:val="none" w:sz="0" w:space="0" w:color="auto"/>
                  </w:divBdr>
                  <w:divsChild>
                    <w:div w:id="558982228">
                      <w:marLeft w:val="0"/>
                      <w:marRight w:val="0"/>
                      <w:marTop w:val="0"/>
                      <w:marBottom w:val="0"/>
                      <w:divBdr>
                        <w:top w:val="none" w:sz="0" w:space="0" w:color="auto"/>
                        <w:left w:val="none" w:sz="0" w:space="0" w:color="auto"/>
                        <w:bottom w:val="none" w:sz="0" w:space="0" w:color="auto"/>
                        <w:right w:val="none" w:sz="0" w:space="0" w:color="auto"/>
                      </w:divBdr>
                    </w:div>
                  </w:divsChild>
                </w:div>
                <w:div w:id="2146197982">
                  <w:marLeft w:val="0"/>
                  <w:marRight w:val="0"/>
                  <w:marTop w:val="0"/>
                  <w:marBottom w:val="0"/>
                  <w:divBdr>
                    <w:top w:val="none" w:sz="0" w:space="0" w:color="auto"/>
                    <w:left w:val="none" w:sz="0" w:space="0" w:color="auto"/>
                    <w:bottom w:val="none" w:sz="0" w:space="0" w:color="auto"/>
                    <w:right w:val="none" w:sz="0" w:space="0" w:color="auto"/>
                  </w:divBdr>
                  <w:divsChild>
                    <w:div w:id="1084837670">
                      <w:marLeft w:val="0"/>
                      <w:marRight w:val="0"/>
                      <w:marTop w:val="0"/>
                      <w:marBottom w:val="0"/>
                      <w:divBdr>
                        <w:top w:val="none" w:sz="0" w:space="0" w:color="auto"/>
                        <w:left w:val="none" w:sz="0" w:space="0" w:color="auto"/>
                        <w:bottom w:val="none" w:sz="0" w:space="0" w:color="auto"/>
                        <w:right w:val="none" w:sz="0" w:space="0" w:color="auto"/>
                      </w:divBdr>
                    </w:div>
                  </w:divsChild>
                </w:div>
                <w:div w:id="2146267609">
                  <w:marLeft w:val="0"/>
                  <w:marRight w:val="0"/>
                  <w:marTop w:val="0"/>
                  <w:marBottom w:val="0"/>
                  <w:divBdr>
                    <w:top w:val="none" w:sz="0" w:space="0" w:color="auto"/>
                    <w:left w:val="none" w:sz="0" w:space="0" w:color="auto"/>
                    <w:bottom w:val="none" w:sz="0" w:space="0" w:color="auto"/>
                    <w:right w:val="none" w:sz="0" w:space="0" w:color="auto"/>
                  </w:divBdr>
                  <w:divsChild>
                    <w:div w:id="137654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2734">
          <w:marLeft w:val="0"/>
          <w:marRight w:val="0"/>
          <w:marTop w:val="0"/>
          <w:marBottom w:val="0"/>
          <w:divBdr>
            <w:top w:val="none" w:sz="0" w:space="0" w:color="auto"/>
            <w:left w:val="none" w:sz="0" w:space="0" w:color="auto"/>
            <w:bottom w:val="none" w:sz="0" w:space="0" w:color="auto"/>
            <w:right w:val="none" w:sz="0" w:space="0" w:color="auto"/>
          </w:divBdr>
        </w:div>
        <w:div w:id="202014342">
          <w:marLeft w:val="0"/>
          <w:marRight w:val="0"/>
          <w:marTop w:val="0"/>
          <w:marBottom w:val="0"/>
          <w:divBdr>
            <w:top w:val="none" w:sz="0" w:space="0" w:color="auto"/>
            <w:left w:val="none" w:sz="0" w:space="0" w:color="auto"/>
            <w:bottom w:val="none" w:sz="0" w:space="0" w:color="auto"/>
            <w:right w:val="none" w:sz="0" w:space="0" w:color="auto"/>
          </w:divBdr>
        </w:div>
        <w:div w:id="205026791">
          <w:marLeft w:val="0"/>
          <w:marRight w:val="0"/>
          <w:marTop w:val="0"/>
          <w:marBottom w:val="0"/>
          <w:divBdr>
            <w:top w:val="none" w:sz="0" w:space="0" w:color="auto"/>
            <w:left w:val="none" w:sz="0" w:space="0" w:color="auto"/>
            <w:bottom w:val="none" w:sz="0" w:space="0" w:color="auto"/>
            <w:right w:val="none" w:sz="0" w:space="0" w:color="auto"/>
          </w:divBdr>
        </w:div>
        <w:div w:id="206727303">
          <w:marLeft w:val="0"/>
          <w:marRight w:val="0"/>
          <w:marTop w:val="0"/>
          <w:marBottom w:val="0"/>
          <w:divBdr>
            <w:top w:val="none" w:sz="0" w:space="0" w:color="auto"/>
            <w:left w:val="none" w:sz="0" w:space="0" w:color="auto"/>
            <w:bottom w:val="none" w:sz="0" w:space="0" w:color="auto"/>
            <w:right w:val="none" w:sz="0" w:space="0" w:color="auto"/>
          </w:divBdr>
        </w:div>
        <w:div w:id="206727401">
          <w:marLeft w:val="0"/>
          <w:marRight w:val="0"/>
          <w:marTop w:val="0"/>
          <w:marBottom w:val="0"/>
          <w:divBdr>
            <w:top w:val="none" w:sz="0" w:space="0" w:color="auto"/>
            <w:left w:val="none" w:sz="0" w:space="0" w:color="auto"/>
            <w:bottom w:val="none" w:sz="0" w:space="0" w:color="auto"/>
            <w:right w:val="none" w:sz="0" w:space="0" w:color="auto"/>
          </w:divBdr>
        </w:div>
        <w:div w:id="206797703">
          <w:marLeft w:val="0"/>
          <w:marRight w:val="0"/>
          <w:marTop w:val="0"/>
          <w:marBottom w:val="0"/>
          <w:divBdr>
            <w:top w:val="none" w:sz="0" w:space="0" w:color="auto"/>
            <w:left w:val="none" w:sz="0" w:space="0" w:color="auto"/>
            <w:bottom w:val="none" w:sz="0" w:space="0" w:color="auto"/>
            <w:right w:val="none" w:sz="0" w:space="0" w:color="auto"/>
          </w:divBdr>
        </w:div>
        <w:div w:id="206840555">
          <w:marLeft w:val="0"/>
          <w:marRight w:val="0"/>
          <w:marTop w:val="0"/>
          <w:marBottom w:val="0"/>
          <w:divBdr>
            <w:top w:val="none" w:sz="0" w:space="0" w:color="auto"/>
            <w:left w:val="none" w:sz="0" w:space="0" w:color="auto"/>
            <w:bottom w:val="none" w:sz="0" w:space="0" w:color="auto"/>
            <w:right w:val="none" w:sz="0" w:space="0" w:color="auto"/>
          </w:divBdr>
        </w:div>
        <w:div w:id="210268406">
          <w:marLeft w:val="0"/>
          <w:marRight w:val="0"/>
          <w:marTop w:val="0"/>
          <w:marBottom w:val="0"/>
          <w:divBdr>
            <w:top w:val="none" w:sz="0" w:space="0" w:color="auto"/>
            <w:left w:val="none" w:sz="0" w:space="0" w:color="auto"/>
            <w:bottom w:val="none" w:sz="0" w:space="0" w:color="auto"/>
            <w:right w:val="none" w:sz="0" w:space="0" w:color="auto"/>
          </w:divBdr>
        </w:div>
        <w:div w:id="211382028">
          <w:marLeft w:val="0"/>
          <w:marRight w:val="0"/>
          <w:marTop w:val="0"/>
          <w:marBottom w:val="0"/>
          <w:divBdr>
            <w:top w:val="none" w:sz="0" w:space="0" w:color="auto"/>
            <w:left w:val="none" w:sz="0" w:space="0" w:color="auto"/>
            <w:bottom w:val="none" w:sz="0" w:space="0" w:color="auto"/>
            <w:right w:val="none" w:sz="0" w:space="0" w:color="auto"/>
          </w:divBdr>
        </w:div>
        <w:div w:id="211430524">
          <w:marLeft w:val="0"/>
          <w:marRight w:val="0"/>
          <w:marTop w:val="0"/>
          <w:marBottom w:val="0"/>
          <w:divBdr>
            <w:top w:val="none" w:sz="0" w:space="0" w:color="auto"/>
            <w:left w:val="none" w:sz="0" w:space="0" w:color="auto"/>
            <w:bottom w:val="none" w:sz="0" w:space="0" w:color="auto"/>
            <w:right w:val="none" w:sz="0" w:space="0" w:color="auto"/>
          </w:divBdr>
        </w:div>
        <w:div w:id="212809607">
          <w:marLeft w:val="0"/>
          <w:marRight w:val="0"/>
          <w:marTop w:val="0"/>
          <w:marBottom w:val="0"/>
          <w:divBdr>
            <w:top w:val="none" w:sz="0" w:space="0" w:color="auto"/>
            <w:left w:val="none" w:sz="0" w:space="0" w:color="auto"/>
            <w:bottom w:val="none" w:sz="0" w:space="0" w:color="auto"/>
            <w:right w:val="none" w:sz="0" w:space="0" w:color="auto"/>
          </w:divBdr>
        </w:div>
        <w:div w:id="214122331">
          <w:marLeft w:val="0"/>
          <w:marRight w:val="0"/>
          <w:marTop w:val="0"/>
          <w:marBottom w:val="0"/>
          <w:divBdr>
            <w:top w:val="none" w:sz="0" w:space="0" w:color="auto"/>
            <w:left w:val="none" w:sz="0" w:space="0" w:color="auto"/>
            <w:bottom w:val="none" w:sz="0" w:space="0" w:color="auto"/>
            <w:right w:val="none" w:sz="0" w:space="0" w:color="auto"/>
          </w:divBdr>
        </w:div>
        <w:div w:id="215356242">
          <w:marLeft w:val="0"/>
          <w:marRight w:val="0"/>
          <w:marTop w:val="0"/>
          <w:marBottom w:val="0"/>
          <w:divBdr>
            <w:top w:val="none" w:sz="0" w:space="0" w:color="auto"/>
            <w:left w:val="none" w:sz="0" w:space="0" w:color="auto"/>
            <w:bottom w:val="none" w:sz="0" w:space="0" w:color="auto"/>
            <w:right w:val="none" w:sz="0" w:space="0" w:color="auto"/>
          </w:divBdr>
        </w:div>
        <w:div w:id="219050411">
          <w:marLeft w:val="0"/>
          <w:marRight w:val="0"/>
          <w:marTop w:val="0"/>
          <w:marBottom w:val="0"/>
          <w:divBdr>
            <w:top w:val="none" w:sz="0" w:space="0" w:color="auto"/>
            <w:left w:val="none" w:sz="0" w:space="0" w:color="auto"/>
            <w:bottom w:val="none" w:sz="0" w:space="0" w:color="auto"/>
            <w:right w:val="none" w:sz="0" w:space="0" w:color="auto"/>
          </w:divBdr>
        </w:div>
        <w:div w:id="220337455">
          <w:marLeft w:val="0"/>
          <w:marRight w:val="0"/>
          <w:marTop w:val="0"/>
          <w:marBottom w:val="0"/>
          <w:divBdr>
            <w:top w:val="none" w:sz="0" w:space="0" w:color="auto"/>
            <w:left w:val="none" w:sz="0" w:space="0" w:color="auto"/>
            <w:bottom w:val="none" w:sz="0" w:space="0" w:color="auto"/>
            <w:right w:val="none" w:sz="0" w:space="0" w:color="auto"/>
          </w:divBdr>
        </w:div>
        <w:div w:id="222954968">
          <w:marLeft w:val="0"/>
          <w:marRight w:val="0"/>
          <w:marTop w:val="0"/>
          <w:marBottom w:val="0"/>
          <w:divBdr>
            <w:top w:val="none" w:sz="0" w:space="0" w:color="auto"/>
            <w:left w:val="none" w:sz="0" w:space="0" w:color="auto"/>
            <w:bottom w:val="none" w:sz="0" w:space="0" w:color="auto"/>
            <w:right w:val="none" w:sz="0" w:space="0" w:color="auto"/>
          </w:divBdr>
        </w:div>
        <w:div w:id="226190476">
          <w:marLeft w:val="0"/>
          <w:marRight w:val="0"/>
          <w:marTop w:val="0"/>
          <w:marBottom w:val="0"/>
          <w:divBdr>
            <w:top w:val="none" w:sz="0" w:space="0" w:color="auto"/>
            <w:left w:val="none" w:sz="0" w:space="0" w:color="auto"/>
            <w:bottom w:val="none" w:sz="0" w:space="0" w:color="auto"/>
            <w:right w:val="none" w:sz="0" w:space="0" w:color="auto"/>
          </w:divBdr>
        </w:div>
        <w:div w:id="232083559">
          <w:marLeft w:val="0"/>
          <w:marRight w:val="0"/>
          <w:marTop w:val="0"/>
          <w:marBottom w:val="0"/>
          <w:divBdr>
            <w:top w:val="none" w:sz="0" w:space="0" w:color="auto"/>
            <w:left w:val="none" w:sz="0" w:space="0" w:color="auto"/>
            <w:bottom w:val="none" w:sz="0" w:space="0" w:color="auto"/>
            <w:right w:val="none" w:sz="0" w:space="0" w:color="auto"/>
          </w:divBdr>
        </w:div>
        <w:div w:id="233665436">
          <w:marLeft w:val="0"/>
          <w:marRight w:val="0"/>
          <w:marTop w:val="0"/>
          <w:marBottom w:val="0"/>
          <w:divBdr>
            <w:top w:val="none" w:sz="0" w:space="0" w:color="auto"/>
            <w:left w:val="none" w:sz="0" w:space="0" w:color="auto"/>
            <w:bottom w:val="none" w:sz="0" w:space="0" w:color="auto"/>
            <w:right w:val="none" w:sz="0" w:space="0" w:color="auto"/>
          </w:divBdr>
        </w:div>
        <w:div w:id="235172956">
          <w:marLeft w:val="0"/>
          <w:marRight w:val="0"/>
          <w:marTop w:val="0"/>
          <w:marBottom w:val="0"/>
          <w:divBdr>
            <w:top w:val="none" w:sz="0" w:space="0" w:color="auto"/>
            <w:left w:val="none" w:sz="0" w:space="0" w:color="auto"/>
            <w:bottom w:val="none" w:sz="0" w:space="0" w:color="auto"/>
            <w:right w:val="none" w:sz="0" w:space="0" w:color="auto"/>
          </w:divBdr>
        </w:div>
        <w:div w:id="235284076">
          <w:marLeft w:val="0"/>
          <w:marRight w:val="0"/>
          <w:marTop w:val="0"/>
          <w:marBottom w:val="0"/>
          <w:divBdr>
            <w:top w:val="none" w:sz="0" w:space="0" w:color="auto"/>
            <w:left w:val="none" w:sz="0" w:space="0" w:color="auto"/>
            <w:bottom w:val="none" w:sz="0" w:space="0" w:color="auto"/>
            <w:right w:val="none" w:sz="0" w:space="0" w:color="auto"/>
          </w:divBdr>
        </w:div>
        <w:div w:id="237711907">
          <w:marLeft w:val="0"/>
          <w:marRight w:val="0"/>
          <w:marTop w:val="0"/>
          <w:marBottom w:val="0"/>
          <w:divBdr>
            <w:top w:val="none" w:sz="0" w:space="0" w:color="auto"/>
            <w:left w:val="none" w:sz="0" w:space="0" w:color="auto"/>
            <w:bottom w:val="none" w:sz="0" w:space="0" w:color="auto"/>
            <w:right w:val="none" w:sz="0" w:space="0" w:color="auto"/>
          </w:divBdr>
        </w:div>
        <w:div w:id="241372420">
          <w:marLeft w:val="0"/>
          <w:marRight w:val="0"/>
          <w:marTop w:val="0"/>
          <w:marBottom w:val="0"/>
          <w:divBdr>
            <w:top w:val="none" w:sz="0" w:space="0" w:color="auto"/>
            <w:left w:val="none" w:sz="0" w:space="0" w:color="auto"/>
            <w:bottom w:val="none" w:sz="0" w:space="0" w:color="auto"/>
            <w:right w:val="none" w:sz="0" w:space="0" w:color="auto"/>
          </w:divBdr>
        </w:div>
        <w:div w:id="246773691">
          <w:marLeft w:val="0"/>
          <w:marRight w:val="0"/>
          <w:marTop w:val="0"/>
          <w:marBottom w:val="0"/>
          <w:divBdr>
            <w:top w:val="none" w:sz="0" w:space="0" w:color="auto"/>
            <w:left w:val="none" w:sz="0" w:space="0" w:color="auto"/>
            <w:bottom w:val="none" w:sz="0" w:space="0" w:color="auto"/>
            <w:right w:val="none" w:sz="0" w:space="0" w:color="auto"/>
          </w:divBdr>
          <w:divsChild>
            <w:div w:id="77875566">
              <w:marLeft w:val="0"/>
              <w:marRight w:val="0"/>
              <w:marTop w:val="0"/>
              <w:marBottom w:val="0"/>
              <w:divBdr>
                <w:top w:val="none" w:sz="0" w:space="0" w:color="auto"/>
                <w:left w:val="none" w:sz="0" w:space="0" w:color="auto"/>
                <w:bottom w:val="none" w:sz="0" w:space="0" w:color="auto"/>
                <w:right w:val="none" w:sz="0" w:space="0" w:color="auto"/>
              </w:divBdr>
            </w:div>
            <w:div w:id="228464950">
              <w:marLeft w:val="0"/>
              <w:marRight w:val="0"/>
              <w:marTop w:val="0"/>
              <w:marBottom w:val="0"/>
              <w:divBdr>
                <w:top w:val="none" w:sz="0" w:space="0" w:color="auto"/>
                <w:left w:val="none" w:sz="0" w:space="0" w:color="auto"/>
                <w:bottom w:val="none" w:sz="0" w:space="0" w:color="auto"/>
                <w:right w:val="none" w:sz="0" w:space="0" w:color="auto"/>
              </w:divBdr>
            </w:div>
            <w:div w:id="239559978">
              <w:marLeft w:val="0"/>
              <w:marRight w:val="0"/>
              <w:marTop w:val="0"/>
              <w:marBottom w:val="0"/>
              <w:divBdr>
                <w:top w:val="none" w:sz="0" w:space="0" w:color="auto"/>
                <w:left w:val="none" w:sz="0" w:space="0" w:color="auto"/>
                <w:bottom w:val="none" w:sz="0" w:space="0" w:color="auto"/>
                <w:right w:val="none" w:sz="0" w:space="0" w:color="auto"/>
              </w:divBdr>
            </w:div>
            <w:div w:id="245380828">
              <w:marLeft w:val="0"/>
              <w:marRight w:val="0"/>
              <w:marTop w:val="0"/>
              <w:marBottom w:val="0"/>
              <w:divBdr>
                <w:top w:val="none" w:sz="0" w:space="0" w:color="auto"/>
                <w:left w:val="none" w:sz="0" w:space="0" w:color="auto"/>
                <w:bottom w:val="none" w:sz="0" w:space="0" w:color="auto"/>
                <w:right w:val="none" w:sz="0" w:space="0" w:color="auto"/>
              </w:divBdr>
            </w:div>
            <w:div w:id="514269671">
              <w:marLeft w:val="0"/>
              <w:marRight w:val="0"/>
              <w:marTop w:val="0"/>
              <w:marBottom w:val="0"/>
              <w:divBdr>
                <w:top w:val="none" w:sz="0" w:space="0" w:color="auto"/>
                <w:left w:val="none" w:sz="0" w:space="0" w:color="auto"/>
                <w:bottom w:val="none" w:sz="0" w:space="0" w:color="auto"/>
                <w:right w:val="none" w:sz="0" w:space="0" w:color="auto"/>
              </w:divBdr>
            </w:div>
            <w:div w:id="540435567">
              <w:marLeft w:val="0"/>
              <w:marRight w:val="0"/>
              <w:marTop w:val="0"/>
              <w:marBottom w:val="0"/>
              <w:divBdr>
                <w:top w:val="none" w:sz="0" w:space="0" w:color="auto"/>
                <w:left w:val="none" w:sz="0" w:space="0" w:color="auto"/>
                <w:bottom w:val="none" w:sz="0" w:space="0" w:color="auto"/>
                <w:right w:val="none" w:sz="0" w:space="0" w:color="auto"/>
              </w:divBdr>
            </w:div>
            <w:div w:id="595796900">
              <w:marLeft w:val="0"/>
              <w:marRight w:val="0"/>
              <w:marTop w:val="0"/>
              <w:marBottom w:val="0"/>
              <w:divBdr>
                <w:top w:val="none" w:sz="0" w:space="0" w:color="auto"/>
                <w:left w:val="none" w:sz="0" w:space="0" w:color="auto"/>
                <w:bottom w:val="none" w:sz="0" w:space="0" w:color="auto"/>
                <w:right w:val="none" w:sz="0" w:space="0" w:color="auto"/>
              </w:divBdr>
            </w:div>
            <w:div w:id="627972072">
              <w:marLeft w:val="0"/>
              <w:marRight w:val="0"/>
              <w:marTop w:val="0"/>
              <w:marBottom w:val="0"/>
              <w:divBdr>
                <w:top w:val="none" w:sz="0" w:space="0" w:color="auto"/>
                <w:left w:val="none" w:sz="0" w:space="0" w:color="auto"/>
                <w:bottom w:val="none" w:sz="0" w:space="0" w:color="auto"/>
                <w:right w:val="none" w:sz="0" w:space="0" w:color="auto"/>
              </w:divBdr>
            </w:div>
            <w:div w:id="692656006">
              <w:marLeft w:val="0"/>
              <w:marRight w:val="0"/>
              <w:marTop w:val="0"/>
              <w:marBottom w:val="0"/>
              <w:divBdr>
                <w:top w:val="none" w:sz="0" w:space="0" w:color="auto"/>
                <w:left w:val="none" w:sz="0" w:space="0" w:color="auto"/>
                <w:bottom w:val="none" w:sz="0" w:space="0" w:color="auto"/>
                <w:right w:val="none" w:sz="0" w:space="0" w:color="auto"/>
              </w:divBdr>
            </w:div>
            <w:div w:id="768354321">
              <w:marLeft w:val="0"/>
              <w:marRight w:val="0"/>
              <w:marTop w:val="0"/>
              <w:marBottom w:val="0"/>
              <w:divBdr>
                <w:top w:val="none" w:sz="0" w:space="0" w:color="auto"/>
                <w:left w:val="none" w:sz="0" w:space="0" w:color="auto"/>
                <w:bottom w:val="none" w:sz="0" w:space="0" w:color="auto"/>
                <w:right w:val="none" w:sz="0" w:space="0" w:color="auto"/>
              </w:divBdr>
            </w:div>
            <w:div w:id="778835059">
              <w:marLeft w:val="0"/>
              <w:marRight w:val="0"/>
              <w:marTop w:val="0"/>
              <w:marBottom w:val="0"/>
              <w:divBdr>
                <w:top w:val="none" w:sz="0" w:space="0" w:color="auto"/>
                <w:left w:val="none" w:sz="0" w:space="0" w:color="auto"/>
                <w:bottom w:val="none" w:sz="0" w:space="0" w:color="auto"/>
                <w:right w:val="none" w:sz="0" w:space="0" w:color="auto"/>
              </w:divBdr>
            </w:div>
            <w:div w:id="853029750">
              <w:marLeft w:val="0"/>
              <w:marRight w:val="0"/>
              <w:marTop w:val="0"/>
              <w:marBottom w:val="0"/>
              <w:divBdr>
                <w:top w:val="none" w:sz="0" w:space="0" w:color="auto"/>
                <w:left w:val="none" w:sz="0" w:space="0" w:color="auto"/>
                <w:bottom w:val="none" w:sz="0" w:space="0" w:color="auto"/>
                <w:right w:val="none" w:sz="0" w:space="0" w:color="auto"/>
              </w:divBdr>
            </w:div>
            <w:div w:id="870921192">
              <w:marLeft w:val="0"/>
              <w:marRight w:val="0"/>
              <w:marTop w:val="0"/>
              <w:marBottom w:val="0"/>
              <w:divBdr>
                <w:top w:val="none" w:sz="0" w:space="0" w:color="auto"/>
                <w:left w:val="none" w:sz="0" w:space="0" w:color="auto"/>
                <w:bottom w:val="none" w:sz="0" w:space="0" w:color="auto"/>
                <w:right w:val="none" w:sz="0" w:space="0" w:color="auto"/>
              </w:divBdr>
            </w:div>
            <w:div w:id="1351104913">
              <w:marLeft w:val="0"/>
              <w:marRight w:val="0"/>
              <w:marTop w:val="0"/>
              <w:marBottom w:val="0"/>
              <w:divBdr>
                <w:top w:val="none" w:sz="0" w:space="0" w:color="auto"/>
                <w:left w:val="none" w:sz="0" w:space="0" w:color="auto"/>
                <w:bottom w:val="none" w:sz="0" w:space="0" w:color="auto"/>
                <w:right w:val="none" w:sz="0" w:space="0" w:color="auto"/>
              </w:divBdr>
            </w:div>
            <w:div w:id="1473710873">
              <w:marLeft w:val="0"/>
              <w:marRight w:val="0"/>
              <w:marTop w:val="0"/>
              <w:marBottom w:val="0"/>
              <w:divBdr>
                <w:top w:val="none" w:sz="0" w:space="0" w:color="auto"/>
                <w:left w:val="none" w:sz="0" w:space="0" w:color="auto"/>
                <w:bottom w:val="none" w:sz="0" w:space="0" w:color="auto"/>
                <w:right w:val="none" w:sz="0" w:space="0" w:color="auto"/>
              </w:divBdr>
            </w:div>
            <w:div w:id="1505320986">
              <w:marLeft w:val="0"/>
              <w:marRight w:val="0"/>
              <w:marTop w:val="0"/>
              <w:marBottom w:val="0"/>
              <w:divBdr>
                <w:top w:val="none" w:sz="0" w:space="0" w:color="auto"/>
                <w:left w:val="none" w:sz="0" w:space="0" w:color="auto"/>
                <w:bottom w:val="none" w:sz="0" w:space="0" w:color="auto"/>
                <w:right w:val="none" w:sz="0" w:space="0" w:color="auto"/>
              </w:divBdr>
            </w:div>
            <w:div w:id="1641612119">
              <w:marLeft w:val="0"/>
              <w:marRight w:val="0"/>
              <w:marTop w:val="0"/>
              <w:marBottom w:val="0"/>
              <w:divBdr>
                <w:top w:val="none" w:sz="0" w:space="0" w:color="auto"/>
                <w:left w:val="none" w:sz="0" w:space="0" w:color="auto"/>
                <w:bottom w:val="none" w:sz="0" w:space="0" w:color="auto"/>
                <w:right w:val="none" w:sz="0" w:space="0" w:color="auto"/>
              </w:divBdr>
            </w:div>
            <w:div w:id="1716352152">
              <w:marLeft w:val="0"/>
              <w:marRight w:val="0"/>
              <w:marTop w:val="0"/>
              <w:marBottom w:val="0"/>
              <w:divBdr>
                <w:top w:val="none" w:sz="0" w:space="0" w:color="auto"/>
                <w:left w:val="none" w:sz="0" w:space="0" w:color="auto"/>
                <w:bottom w:val="none" w:sz="0" w:space="0" w:color="auto"/>
                <w:right w:val="none" w:sz="0" w:space="0" w:color="auto"/>
              </w:divBdr>
            </w:div>
            <w:div w:id="1861434882">
              <w:marLeft w:val="0"/>
              <w:marRight w:val="0"/>
              <w:marTop w:val="0"/>
              <w:marBottom w:val="0"/>
              <w:divBdr>
                <w:top w:val="none" w:sz="0" w:space="0" w:color="auto"/>
                <w:left w:val="none" w:sz="0" w:space="0" w:color="auto"/>
                <w:bottom w:val="none" w:sz="0" w:space="0" w:color="auto"/>
                <w:right w:val="none" w:sz="0" w:space="0" w:color="auto"/>
              </w:divBdr>
            </w:div>
            <w:div w:id="1915041895">
              <w:marLeft w:val="0"/>
              <w:marRight w:val="0"/>
              <w:marTop w:val="0"/>
              <w:marBottom w:val="0"/>
              <w:divBdr>
                <w:top w:val="none" w:sz="0" w:space="0" w:color="auto"/>
                <w:left w:val="none" w:sz="0" w:space="0" w:color="auto"/>
                <w:bottom w:val="none" w:sz="0" w:space="0" w:color="auto"/>
                <w:right w:val="none" w:sz="0" w:space="0" w:color="auto"/>
              </w:divBdr>
            </w:div>
          </w:divsChild>
        </w:div>
        <w:div w:id="248346626">
          <w:marLeft w:val="0"/>
          <w:marRight w:val="0"/>
          <w:marTop w:val="0"/>
          <w:marBottom w:val="0"/>
          <w:divBdr>
            <w:top w:val="none" w:sz="0" w:space="0" w:color="auto"/>
            <w:left w:val="none" w:sz="0" w:space="0" w:color="auto"/>
            <w:bottom w:val="none" w:sz="0" w:space="0" w:color="auto"/>
            <w:right w:val="none" w:sz="0" w:space="0" w:color="auto"/>
          </w:divBdr>
        </w:div>
        <w:div w:id="248585420">
          <w:marLeft w:val="0"/>
          <w:marRight w:val="0"/>
          <w:marTop w:val="0"/>
          <w:marBottom w:val="0"/>
          <w:divBdr>
            <w:top w:val="none" w:sz="0" w:space="0" w:color="auto"/>
            <w:left w:val="none" w:sz="0" w:space="0" w:color="auto"/>
            <w:bottom w:val="none" w:sz="0" w:space="0" w:color="auto"/>
            <w:right w:val="none" w:sz="0" w:space="0" w:color="auto"/>
          </w:divBdr>
        </w:div>
        <w:div w:id="248928305">
          <w:marLeft w:val="0"/>
          <w:marRight w:val="0"/>
          <w:marTop w:val="0"/>
          <w:marBottom w:val="0"/>
          <w:divBdr>
            <w:top w:val="none" w:sz="0" w:space="0" w:color="auto"/>
            <w:left w:val="none" w:sz="0" w:space="0" w:color="auto"/>
            <w:bottom w:val="none" w:sz="0" w:space="0" w:color="auto"/>
            <w:right w:val="none" w:sz="0" w:space="0" w:color="auto"/>
          </w:divBdr>
        </w:div>
        <w:div w:id="249120143">
          <w:marLeft w:val="0"/>
          <w:marRight w:val="0"/>
          <w:marTop w:val="0"/>
          <w:marBottom w:val="0"/>
          <w:divBdr>
            <w:top w:val="none" w:sz="0" w:space="0" w:color="auto"/>
            <w:left w:val="none" w:sz="0" w:space="0" w:color="auto"/>
            <w:bottom w:val="none" w:sz="0" w:space="0" w:color="auto"/>
            <w:right w:val="none" w:sz="0" w:space="0" w:color="auto"/>
          </w:divBdr>
        </w:div>
        <w:div w:id="250548832">
          <w:marLeft w:val="0"/>
          <w:marRight w:val="0"/>
          <w:marTop w:val="0"/>
          <w:marBottom w:val="0"/>
          <w:divBdr>
            <w:top w:val="none" w:sz="0" w:space="0" w:color="auto"/>
            <w:left w:val="none" w:sz="0" w:space="0" w:color="auto"/>
            <w:bottom w:val="none" w:sz="0" w:space="0" w:color="auto"/>
            <w:right w:val="none" w:sz="0" w:space="0" w:color="auto"/>
          </w:divBdr>
        </w:div>
        <w:div w:id="251474688">
          <w:marLeft w:val="0"/>
          <w:marRight w:val="0"/>
          <w:marTop w:val="0"/>
          <w:marBottom w:val="0"/>
          <w:divBdr>
            <w:top w:val="none" w:sz="0" w:space="0" w:color="auto"/>
            <w:left w:val="none" w:sz="0" w:space="0" w:color="auto"/>
            <w:bottom w:val="none" w:sz="0" w:space="0" w:color="auto"/>
            <w:right w:val="none" w:sz="0" w:space="0" w:color="auto"/>
          </w:divBdr>
        </w:div>
        <w:div w:id="252395212">
          <w:marLeft w:val="0"/>
          <w:marRight w:val="0"/>
          <w:marTop w:val="0"/>
          <w:marBottom w:val="0"/>
          <w:divBdr>
            <w:top w:val="none" w:sz="0" w:space="0" w:color="auto"/>
            <w:left w:val="none" w:sz="0" w:space="0" w:color="auto"/>
            <w:bottom w:val="none" w:sz="0" w:space="0" w:color="auto"/>
            <w:right w:val="none" w:sz="0" w:space="0" w:color="auto"/>
          </w:divBdr>
        </w:div>
        <w:div w:id="252905697">
          <w:marLeft w:val="0"/>
          <w:marRight w:val="0"/>
          <w:marTop w:val="0"/>
          <w:marBottom w:val="0"/>
          <w:divBdr>
            <w:top w:val="none" w:sz="0" w:space="0" w:color="auto"/>
            <w:left w:val="none" w:sz="0" w:space="0" w:color="auto"/>
            <w:bottom w:val="none" w:sz="0" w:space="0" w:color="auto"/>
            <w:right w:val="none" w:sz="0" w:space="0" w:color="auto"/>
          </w:divBdr>
        </w:div>
        <w:div w:id="254293773">
          <w:marLeft w:val="0"/>
          <w:marRight w:val="0"/>
          <w:marTop w:val="0"/>
          <w:marBottom w:val="0"/>
          <w:divBdr>
            <w:top w:val="none" w:sz="0" w:space="0" w:color="auto"/>
            <w:left w:val="none" w:sz="0" w:space="0" w:color="auto"/>
            <w:bottom w:val="none" w:sz="0" w:space="0" w:color="auto"/>
            <w:right w:val="none" w:sz="0" w:space="0" w:color="auto"/>
          </w:divBdr>
        </w:div>
        <w:div w:id="256520326">
          <w:marLeft w:val="0"/>
          <w:marRight w:val="0"/>
          <w:marTop w:val="0"/>
          <w:marBottom w:val="0"/>
          <w:divBdr>
            <w:top w:val="none" w:sz="0" w:space="0" w:color="auto"/>
            <w:left w:val="none" w:sz="0" w:space="0" w:color="auto"/>
            <w:bottom w:val="none" w:sz="0" w:space="0" w:color="auto"/>
            <w:right w:val="none" w:sz="0" w:space="0" w:color="auto"/>
          </w:divBdr>
        </w:div>
        <w:div w:id="258224153">
          <w:marLeft w:val="0"/>
          <w:marRight w:val="0"/>
          <w:marTop w:val="0"/>
          <w:marBottom w:val="0"/>
          <w:divBdr>
            <w:top w:val="none" w:sz="0" w:space="0" w:color="auto"/>
            <w:left w:val="none" w:sz="0" w:space="0" w:color="auto"/>
            <w:bottom w:val="none" w:sz="0" w:space="0" w:color="auto"/>
            <w:right w:val="none" w:sz="0" w:space="0" w:color="auto"/>
          </w:divBdr>
        </w:div>
        <w:div w:id="260144767">
          <w:marLeft w:val="0"/>
          <w:marRight w:val="0"/>
          <w:marTop w:val="0"/>
          <w:marBottom w:val="0"/>
          <w:divBdr>
            <w:top w:val="none" w:sz="0" w:space="0" w:color="auto"/>
            <w:left w:val="none" w:sz="0" w:space="0" w:color="auto"/>
            <w:bottom w:val="none" w:sz="0" w:space="0" w:color="auto"/>
            <w:right w:val="none" w:sz="0" w:space="0" w:color="auto"/>
          </w:divBdr>
          <w:divsChild>
            <w:div w:id="14037996">
              <w:marLeft w:val="0"/>
              <w:marRight w:val="0"/>
              <w:marTop w:val="0"/>
              <w:marBottom w:val="0"/>
              <w:divBdr>
                <w:top w:val="none" w:sz="0" w:space="0" w:color="auto"/>
                <w:left w:val="none" w:sz="0" w:space="0" w:color="auto"/>
                <w:bottom w:val="none" w:sz="0" w:space="0" w:color="auto"/>
                <w:right w:val="none" w:sz="0" w:space="0" w:color="auto"/>
              </w:divBdr>
            </w:div>
            <w:div w:id="31391931">
              <w:marLeft w:val="0"/>
              <w:marRight w:val="0"/>
              <w:marTop w:val="0"/>
              <w:marBottom w:val="0"/>
              <w:divBdr>
                <w:top w:val="none" w:sz="0" w:space="0" w:color="auto"/>
                <w:left w:val="none" w:sz="0" w:space="0" w:color="auto"/>
                <w:bottom w:val="none" w:sz="0" w:space="0" w:color="auto"/>
                <w:right w:val="none" w:sz="0" w:space="0" w:color="auto"/>
              </w:divBdr>
            </w:div>
            <w:div w:id="164059207">
              <w:marLeft w:val="0"/>
              <w:marRight w:val="0"/>
              <w:marTop w:val="0"/>
              <w:marBottom w:val="0"/>
              <w:divBdr>
                <w:top w:val="none" w:sz="0" w:space="0" w:color="auto"/>
                <w:left w:val="none" w:sz="0" w:space="0" w:color="auto"/>
                <w:bottom w:val="none" w:sz="0" w:space="0" w:color="auto"/>
                <w:right w:val="none" w:sz="0" w:space="0" w:color="auto"/>
              </w:divBdr>
            </w:div>
            <w:div w:id="283393435">
              <w:marLeft w:val="0"/>
              <w:marRight w:val="0"/>
              <w:marTop w:val="0"/>
              <w:marBottom w:val="0"/>
              <w:divBdr>
                <w:top w:val="none" w:sz="0" w:space="0" w:color="auto"/>
                <w:left w:val="none" w:sz="0" w:space="0" w:color="auto"/>
                <w:bottom w:val="none" w:sz="0" w:space="0" w:color="auto"/>
                <w:right w:val="none" w:sz="0" w:space="0" w:color="auto"/>
              </w:divBdr>
            </w:div>
            <w:div w:id="323093029">
              <w:marLeft w:val="0"/>
              <w:marRight w:val="0"/>
              <w:marTop w:val="0"/>
              <w:marBottom w:val="0"/>
              <w:divBdr>
                <w:top w:val="none" w:sz="0" w:space="0" w:color="auto"/>
                <w:left w:val="none" w:sz="0" w:space="0" w:color="auto"/>
                <w:bottom w:val="none" w:sz="0" w:space="0" w:color="auto"/>
                <w:right w:val="none" w:sz="0" w:space="0" w:color="auto"/>
              </w:divBdr>
            </w:div>
            <w:div w:id="352538481">
              <w:marLeft w:val="0"/>
              <w:marRight w:val="0"/>
              <w:marTop w:val="0"/>
              <w:marBottom w:val="0"/>
              <w:divBdr>
                <w:top w:val="none" w:sz="0" w:space="0" w:color="auto"/>
                <w:left w:val="none" w:sz="0" w:space="0" w:color="auto"/>
                <w:bottom w:val="none" w:sz="0" w:space="0" w:color="auto"/>
                <w:right w:val="none" w:sz="0" w:space="0" w:color="auto"/>
              </w:divBdr>
            </w:div>
            <w:div w:id="367410594">
              <w:marLeft w:val="0"/>
              <w:marRight w:val="0"/>
              <w:marTop w:val="0"/>
              <w:marBottom w:val="0"/>
              <w:divBdr>
                <w:top w:val="none" w:sz="0" w:space="0" w:color="auto"/>
                <w:left w:val="none" w:sz="0" w:space="0" w:color="auto"/>
                <w:bottom w:val="none" w:sz="0" w:space="0" w:color="auto"/>
                <w:right w:val="none" w:sz="0" w:space="0" w:color="auto"/>
              </w:divBdr>
            </w:div>
            <w:div w:id="553853648">
              <w:marLeft w:val="0"/>
              <w:marRight w:val="0"/>
              <w:marTop w:val="0"/>
              <w:marBottom w:val="0"/>
              <w:divBdr>
                <w:top w:val="none" w:sz="0" w:space="0" w:color="auto"/>
                <w:left w:val="none" w:sz="0" w:space="0" w:color="auto"/>
                <w:bottom w:val="none" w:sz="0" w:space="0" w:color="auto"/>
                <w:right w:val="none" w:sz="0" w:space="0" w:color="auto"/>
              </w:divBdr>
            </w:div>
            <w:div w:id="596981594">
              <w:marLeft w:val="0"/>
              <w:marRight w:val="0"/>
              <w:marTop w:val="0"/>
              <w:marBottom w:val="0"/>
              <w:divBdr>
                <w:top w:val="none" w:sz="0" w:space="0" w:color="auto"/>
                <w:left w:val="none" w:sz="0" w:space="0" w:color="auto"/>
                <w:bottom w:val="none" w:sz="0" w:space="0" w:color="auto"/>
                <w:right w:val="none" w:sz="0" w:space="0" w:color="auto"/>
              </w:divBdr>
            </w:div>
            <w:div w:id="836194335">
              <w:marLeft w:val="0"/>
              <w:marRight w:val="0"/>
              <w:marTop w:val="0"/>
              <w:marBottom w:val="0"/>
              <w:divBdr>
                <w:top w:val="none" w:sz="0" w:space="0" w:color="auto"/>
                <w:left w:val="none" w:sz="0" w:space="0" w:color="auto"/>
                <w:bottom w:val="none" w:sz="0" w:space="0" w:color="auto"/>
                <w:right w:val="none" w:sz="0" w:space="0" w:color="auto"/>
              </w:divBdr>
            </w:div>
            <w:div w:id="978462032">
              <w:marLeft w:val="0"/>
              <w:marRight w:val="0"/>
              <w:marTop w:val="0"/>
              <w:marBottom w:val="0"/>
              <w:divBdr>
                <w:top w:val="none" w:sz="0" w:space="0" w:color="auto"/>
                <w:left w:val="none" w:sz="0" w:space="0" w:color="auto"/>
                <w:bottom w:val="none" w:sz="0" w:space="0" w:color="auto"/>
                <w:right w:val="none" w:sz="0" w:space="0" w:color="auto"/>
              </w:divBdr>
            </w:div>
            <w:div w:id="1075781916">
              <w:marLeft w:val="0"/>
              <w:marRight w:val="0"/>
              <w:marTop w:val="0"/>
              <w:marBottom w:val="0"/>
              <w:divBdr>
                <w:top w:val="none" w:sz="0" w:space="0" w:color="auto"/>
                <w:left w:val="none" w:sz="0" w:space="0" w:color="auto"/>
                <w:bottom w:val="none" w:sz="0" w:space="0" w:color="auto"/>
                <w:right w:val="none" w:sz="0" w:space="0" w:color="auto"/>
              </w:divBdr>
            </w:div>
            <w:div w:id="1137796057">
              <w:marLeft w:val="0"/>
              <w:marRight w:val="0"/>
              <w:marTop w:val="0"/>
              <w:marBottom w:val="0"/>
              <w:divBdr>
                <w:top w:val="none" w:sz="0" w:space="0" w:color="auto"/>
                <w:left w:val="none" w:sz="0" w:space="0" w:color="auto"/>
                <w:bottom w:val="none" w:sz="0" w:space="0" w:color="auto"/>
                <w:right w:val="none" w:sz="0" w:space="0" w:color="auto"/>
              </w:divBdr>
            </w:div>
            <w:div w:id="1481575680">
              <w:marLeft w:val="0"/>
              <w:marRight w:val="0"/>
              <w:marTop w:val="0"/>
              <w:marBottom w:val="0"/>
              <w:divBdr>
                <w:top w:val="none" w:sz="0" w:space="0" w:color="auto"/>
                <w:left w:val="none" w:sz="0" w:space="0" w:color="auto"/>
                <w:bottom w:val="none" w:sz="0" w:space="0" w:color="auto"/>
                <w:right w:val="none" w:sz="0" w:space="0" w:color="auto"/>
              </w:divBdr>
            </w:div>
            <w:div w:id="1858805938">
              <w:marLeft w:val="0"/>
              <w:marRight w:val="0"/>
              <w:marTop w:val="0"/>
              <w:marBottom w:val="0"/>
              <w:divBdr>
                <w:top w:val="none" w:sz="0" w:space="0" w:color="auto"/>
                <w:left w:val="none" w:sz="0" w:space="0" w:color="auto"/>
                <w:bottom w:val="none" w:sz="0" w:space="0" w:color="auto"/>
                <w:right w:val="none" w:sz="0" w:space="0" w:color="auto"/>
              </w:divBdr>
            </w:div>
            <w:div w:id="1899130179">
              <w:marLeft w:val="0"/>
              <w:marRight w:val="0"/>
              <w:marTop w:val="0"/>
              <w:marBottom w:val="0"/>
              <w:divBdr>
                <w:top w:val="none" w:sz="0" w:space="0" w:color="auto"/>
                <w:left w:val="none" w:sz="0" w:space="0" w:color="auto"/>
                <w:bottom w:val="none" w:sz="0" w:space="0" w:color="auto"/>
                <w:right w:val="none" w:sz="0" w:space="0" w:color="auto"/>
              </w:divBdr>
            </w:div>
            <w:div w:id="2010058506">
              <w:marLeft w:val="0"/>
              <w:marRight w:val="0"/>
              <w:marTop w:val="0"/>
              <w:marBottom w:val="0"/>
              <w:divBdr>
                <w:top w:val="none" w:sz="0" w:space="0" w:color="auto"/>
                <w:left w:val="none" w:sz="0" w:space="0" w:color="auto"/>
                <w:bottom w:val="none" w:sz="0" w:space="0" w:color="auto"/>
                <w:right w:val="none" w:sz="0" w:space="0" w:color="auto"/>
              </w:divBdr>
            </w:div>
          </w:divsChild>
        </w:div>
        <w:div w:id="260798324">
          <w:marLeft w:val="0"/>
          <w:marRight w:val="0"/>
          <w:marTop w:val="0"/>
          <w:marBottom w:val="0"/>
          <w:divBdr>
            <w:top w:val="none" w:sz="0" w:space="0" w:color="auto"/>
            <w:left w:val="none" w:sz="0" w:space="0" w:color="auto"/>
            <w:bottom w:val="none" w:sz="0" w:space="0" w:color="auto"/>
            <w:right w:val="none" w:sz="0" w:space="0" w:color="auto"/>
          </w:divBdr>
        </w:div>
        <w:div w:id="261108287">
          <w:marLeft w:val="0"/>
          <w:marRight w:val="0"/>
          <w:marTop w:val="0"/>
          <w:marBottom w:val="0"/>
          <w:divBdr>
            <w:top w:val="none" w:sz="0" w:space="0" w:color="auto"/>
            <w:left w:val="none" w:sz="0" w:space="0" w:color="auto"/>
            <w:bottom w:val="none" w:sz="0" w:space="0" w:color="auto"/>
            <w:right w:val="none" w:sz="0" w:space="0" w:color="auto"/>
          </w:divBdr>
        </w:div>
        <w:div w:id="261651747">
          <w:marLeft w:val="0"/>
          <w:marRight w:val="0"/>
          <w:marTop w:val="0"/>
          <w:marBottom w:val="0"/>
          <w:divBdr>
            <w:top w:val="none" w:sz="0" w:space="0" w:color="auto"/>
            <w:left w:val="none" w:sz="0" w:space="0" w:color="auto"/>
            <w:bottom w:val="none" w:sz="0" w:space="0" w:color="auto"/>
            <w:right w:val="none" w:sz="0" w:space="0" w:color="auto"/>
          </w:divBdr>
        </w:div>
        <w:div w:id="261693431">
          <w:marLeft w:val="0"/>
          <w:marRight w:val="0"/>
          <w:marTop w:val="0"/>
          <w:marBottom w:val="0"/>
          <w:divBdr>
            <w:top w:val="none" w:sz="0" w:space="0" w:color="auto"/>
            <w:left w:val="none" w:sz="0" w:space="0" w:color="auto"/>
            <w:bottom w:val="none" w:sz="0" w:space="0" w:color="auto"/>
            <w:right w:val="none" w:sz="0" w:space="0" w:color="auto"/>
          </w:divBdr>
        </w:div>
        <w:div w:id="262957542">
          <w:marLeft w:val="0"/>
          <w:marRight w:val="0"/>
          <w:marTop w:val="0"/>
          <w:marBottom w:val="0"/>
          <w:divBdr>
            <w:top w:val="none" w:sz="0" w:space="0" w:color="auto"/>
            <w:left w:val="none" w:sz="0" w:space="0" w:color="auto"/>
            <w:bottom w:val="none" w:sz="0" w:space="0" w:color="auto"/>
            <w:right w:val="none" w:sz="0" w:space="0" w:color="auto"/>
          </w:divBdr>
        </w:div>
        <w:div w:id="263345150">
          <w:marLeft w:val="0"/>
          <w:marRight w:val="0"/>
          <w:marTop w:val="0"/>
          <w:marBottom w:val="0"/>
          <w:divBdr>
            <w:top w:val="none" w:sz="0" w:space="0" w:color="auto"/>
            <w:left w:val="none" w:sz="0" w:space="0" w:color="auto"/>
            <w:bottom w:val="none" w:sz="0" w:space="0" w:color="auto"/>
            <w:right w:val="none" w:sz="0" w:space="0" w:color="auto"/>
          </w:divBdr>
        </w:div>
        <w:div w:id="268467488">
          <w:marLeft w:val="0"/>
          <w:marRight w:val="0"/>
          <w:marTop w:val="0"/>
          <w:marBottom w:val="0"/>
          <w:divBdr>
            <w:top w:val="none" w:sz="0" w:space="0" w:color="auto"/>
            <w:left w:val="none" w:sz="0" w:space="0" w:color="auto"/>
            <w:bottom w:val="none" w:sz="0" w:space="0" w:color="auto"/>
            <w:right w:val="none" w:sz="0" w:space="0" w:color="auto"/>
          </w:divBdr>
          <w:divsChild>
            <w:div w:id="197134560">
              <w:marLeft w:val="-75"/>
              <w:marRight w:val="0"/>
              <w:marTop w:val="30"/>
              <w:marBottom w:val="30"/>
              <w:divBdr>
                <w:top w:val="none" w:sz="0" w:space="0" w:color="auto"/>
                <w:left w:val="none" w:sz="0" w:space="0" w:color="auto"/>
                <w:bottom w:val="none" w:sz="0" w:space="0" w:color="auto"/>
                <w:right w:val="none" w:sz="0" w:space="0" w:color="auto"/>
              </w:divBdr>
              <w:divsChild>
                <w:div w:id="293415058">
                  <w:marLeft w:val="0"/>
                  <w:marRight w:val="0"/>
                  <w:marTop w:val="0"/>
                  <w:marBottom w:val="0"/>
                  <w:divBdr>
                    <w:top w:val="none" w:sz="0" w:space="0" w:color="auto"/>
                    <w:left w:val="none" w:sz="0" w:space="0" w:color="auto"/>
                    <w:bottom w:val="none" w:sz="0" w:space="0" w:color="auto"/>
                    <w:right w:val="none" w:sz="0" w:space="0" w:color="auto"/>
                  </w:divBdr>
                  <w:divsChild>
                    <w:div w:id="1814910832">
                      <w:marLeft w:val="0"/>
                      <w:marRight w:val="0"/>
                      <w:marTop w:val="0"/>
                      <w:marBottom w:val="0"/>
                      <w:divBdr>
                        <w:top w:val="none" w:sz="0" w:space="0" w:color="auto"/>
                        <w:left w:val="none" w:sz="0" w:space="0" w:color="auto"/>
                        <w:bottom w:val="none" w:sz="0" w:space="0" w:color="auto"/>
                        <w:right w:val="none" w:sz="0" w:space="0" w:color="auto"/>
                      </w:divBdr>
                    </w:div>
                  </w:divsChild>
                </w:div>
                <w:div w:id="368989648">
                  <w:marLeft w:val="0"/>
                  <w:marRight w:val="0"/>
                  <w:marTop w:val="0"/>
                  <w:marBottom w:val="0"/>
                  <w:divBdr>
                    <w:top w:val="none" w:sz="0" w:space="0" w:color="auto"/>
                    <w:left w:val="none" w:sz="0" w:space="0" w:color="auto"/>
                    <w:bottom w:val="none" w:sz="0" w:space="0" w:color="auto"/>
                    <w:right w:val="none" w:sz="0" w:space="0" w:color="auto"/>
                  </w:divBdr>
                  <w:divsChild>
                    <w:div w:id="171800798">
                      <w:marLeft w:val="0"/>
                      <w:marRight w:val="0"/>
                      <w:marTop w:val="0"/>
                      <w:marBottom w:val="0"/>
                      <w:divBdr>
                        <w:top w:val="none" w:sz="0" w:space="0" w:color="auto"/>
                        <w:left w:val="none" w:sz="0" w:space="0" w:color="auto"/>
                        <w:bottom w:val="none" w:sz="0" w:space="0" w:color="auto"/>
                        <w:right w:val="none" w:sz="0" w:space="0" w:color="auto"/>
                      </w:divBdr>
                    </w:div>
                  </w:divsChild>
                </w:div>
                <w:div w:id="578249496">
                  <w:marLeft w:val="0"/>
                  <w:marRight w:val="0"/>
                  <w:marTop w:val="0"/>
                  <w:marBottom w:val="0"/>
                  <w:divBdr>
                    <w:top w:val="none" w:sz="0" w:space="0" w:color="auto"/>
                    <w:left w:val="none" w:sz="0" w:space="0" w:color="auto"/>
                    <w:bottom w:val="none" w:sz="0" w:space="0" w:color="auto"/>
                    <w:right w:val="none" w:sz="0" w:space="0" w:color="auto"/>
                  </w:divBdr>
                  <w:divsChild>
                    <w:div w:id="1337078511">
                      <w:marLeft w:val="0"/>
                      <w:marRight w:val="0"/>
                      <w:marTop w:val="0"/>
                      <w:marBottom w:val="0"/>
                      <w:divBdr>
                        <w:top w:val="none" w:sz="0" w:space="0" w:color="auto"/>
                        <w:left w:val="none" w:sz="0" w:space="0" w:color="auto"/>
                        <w:bottom w:val="none" w:sz="0" w:space="0" w:color="auto"/>
                        <w:right w:val="none" w:sz="0" w:space="0" w:color="auto"/>
                      </w:divBdr>
                    </w:div>
                  </w:divsChild>
                </w:div>
                <w:div w:id="831455970">
                  <w:marLeft w:val="0"/>
                  <w:marRight w:val="0"/>
                  <w:marTop w:val="0"/>
                  <w:marBottom w:val="0"/>
                  <w:divBdr>
                    <w:top w:val="none" w:sz="0" w:space="0" w:color="auto"/>
                    <w:left w:val="none" w:sz="0" w:space="0" w:color="auto"/>
                    <w:bottom w:val="none" w:sz="0" w:space="0" w:color="auto"/>
                    <w:right w:val="none" w:sz="0" w:space="0" w:color="auto"/>
                  </w:divBdr>
                  <w:divsChild>
                    <w:div w:id="933902381">
                      <w:marLeft w:val="0"/>
                      <w:marRight w:val="0"/>
                      <w:marTop w:val="0"/>
                      <w:marBottom w:val="0"/>
                      <w:divBdr>
                        <w:top w:val="none" w:sz="0" w:space="0" w:color="auto"/>
                        <w:left w:val="none" w:sz="0" w:space="0" w:color="auto"/>
                        <w:bottom w:val="none" w:sz="0" w:space="0" w:color="auto"/>
                        <w:right w:val="none" w:sz="0" w:space="0" w:color="auto"/>
                      </w:divBdr>
                    </w:div>
                  </w:divsChild>
                </w:div>
                <w:div w:id="1228539409">
                  <w:marLeft w:val="0"/>
                  <w:marRight w:val="0"/>
                  <w:marTop w:val="0"/>
                  <w:marBottom w:val="0"/>
                  <w:divBdr>
                    <w:top w:val="none" w:sz="0" w:space="0" w:color="auto"/>
                    <w:left w:val="none" w:sz="0" w:space="0" w:color="auto"/>
                    <w:bottom w:val="none" w:sz="0" w:space="0" w:color="auto"/>
                    <w:right w:val="none" w:sz="0" w:space="0" w:color="auto"/>
                  </w:divBdr>
                  <w:divsChild>
                    <w:div w:id="673190375">
                      <w:marLeft w:val="0"/>
                      <w:marRight w:val="0"/>
                      <w:marTop w:val="0"/>
                      <w:marBottom w:val="0"/>
                      <w:divBdr>
                        <w:top w:val="none" w:sz="0" w:space="0" w:color="auto"/>
                        <w:left w:val="none" w:sz="0" w:space="0" w:color="auto"/>
                        <w:bottom w:val="none" w:sz="0" w:space="0" w:color="auto"/>
                        <w:right w:val="none" w:sz="0" w:space="0" w:color="auto"/>
                      </w:divBdr>
                    </w:div>
                  </w:divsChild>
                </w:div>
                <w:div w:id="1501971379">
                  <w:marLeft w:val="0"/>
                  <w:marRight w:val="0"/>
                  <w:marTop w:val="0"/>
                  <w:marBottom w:val="0"/>
                  <w:divBdr>
                    <w:top w:val="none" w:sz="0" w:space="0" w:color="auto"/>
                    <w:left w:val="none" w:sz="0" w:space="0" w:color="auto"/>
                    <w:bottom w:val="none" w:sz="0" w:space="0" w:color="auto"/>
                    <w:right w:val="none" w:sz="0" w:space="0" w:color="auto"/>
                  </w:divBdr>
                  <w:divsChild>
                    <w:div w:id="506019269">
                      <w:marLeft w:val="0"/>
                      <w:marRight w:val="0"/>
                      <w:marTop w:val="0"/>
                      <w:marBottom w:val="0"/>
                      <w:divBdr>
                        <w:top w:val="none" w:sz="0" w:space="0" w:color="auto"/>
                        <w:left w:val="none" w:sz="0" w:space="0" w:color="auto"/>
                        <w:bottom w:val="none" w:sz="0" w:space="0" w:color="auto"/>
                        <w:right w:val="none" w:sz="0" w:space="0" w:color="auto"/>
                      </w:divBdr>
                    </w:div>
                  </w:divsChild>
                </w:div>
                <w:div w:id="1705328534">
                  <w:marLeft w:val="0"/>
                  <w:marRight w:val="0"/>
                  <w:marTop w:val="0"/>
                  <w:marBottom w:val="0"/>
                  <w:divBdr>
                    <w:top w:val="none" w:sz="0" w:space="0" w:color="auto"/>
                    <w:left w:val="none" w:sz="0" w:space="0" w:color="auto"/>
                    <w:bottom w:val="none" w:sz="0" w:space="0" w:color="auto"/>
                    <w:right w:val="none" w:sz="0" w:space="0" w:color="auto"/>
                  </w:divBdr>
                  <w:divsChild>
                    <w:div w:id="1054739696">
                      <w:marLeft w:val="0"/>
                      <w:marRight w:val="0"/>
                      <w:marTop w:val="0"/>
                      <w:marBottom w:val="0"/>
                      <w:divBdr>
                        <w:top w:val="none" w:sz="0" w:space="0" w:color="auto"/>
                        <w:left w:val="none" w:sz="0" w:space="0" w:color="auto"/>
                        <w:bottom w:val="none" w:sz="0" w:space="0" w:color="auto"/>
                        <w:right w:val="none" w:sz="0" w:space="0" w:color="auto"/>
                      </w:divBdr>
                    </w:div>
                  </w:divsChild>
                </w:div>
                <w:div w:id="1899435064">
                  <w:marLeft w:val="0"/>
                  <w:marRight w:val="0"/>
                  <w:marTop w:val="0"/>
                  <w:marBottom w:val="0"/>
                  <w:divBdr>
                    <w:top w:val="none" w:sz="0" w:space="0" w:color="auto"/>
                    <w:left w:val="none" w:sz="0" w:space="0" w:color="auto"/>
                    <w:bottom w:val="none" w:sz="0" w:space="0" w:color="auto"/>
                    <w:right w:val="none" w:sz="0" w:space="0" w:color="auto"/>
                  </w:divBdr>
                  <w:divsChild>
                    <w:div w:id="629752292">
                      <w:marLeft w:val="0"/>
                      <w:marRight w:val="0"/>
                      <w:marTop w:val="0"/>
                      <w:marBottom w:val="0"/>
                      <w:divBdr>
                        <w:top w:val="none" w:sz="0" w:space="0" w:color="auto"/>
                        <w:left w:val="none" w:sz="0" w:space="0" w:color="auto"/>
                        <w:bottom w:val="none" w:sz="0" w:space="0" w:color="auto"/>
                        <w:right w:val="none" w:sz="0" w:space="0" w:color="auto"/>
                      </w:divBdr>
                    </w:div>
                  </w:divsChild>
                </w:div>
                <w:div w:id="2055301414">
                  <w:marLeft w:val="0"/>
                  <w:marRight w:val="0"/>
                  <w:marTop w:val="0"/>
                  <w:marBottom w:val="0"/>
                  <w:divBdr>
                    <w:top w:val="none" w:sz="0" w:space="0" w:color="auto"/>
                    <w:left w:val="none" w:sz="0" w:space="0" w:color="auto"/>
                    <w:bottom w:val="none" w:sz="0" w:space="0" w:color="auto"/>
                    <w:right w:val="none" w:sz="0" w:space="0" w:color="auto"/>
                  </w:divBdr>
                  <w:divsChild>
                    <w:div w:id="56329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775411">
          <w:marLeft w:val="0"/>
          <w:marRight w:val="0"/>
          <w:marTop w:val="0"/>
          <w:marBottom w:val="0"/>
          <w:divBdr>
            <w:top w:val="none" w:sz="0" w:space="0" w:color="auto"/>
            <w:left w:val="none" w:sz="0" w:space="0" w:color="auto"/>
            <w:bottom w:val="none" w:sz="0" w:space="0" w:color="auto"/>
            <w:right w:val="none" w:sz="0" w:space="0" w:color="auto"/>
          </w:divBdr>
        </w:div>
        <w:div w:id="268897800">
          <w:marLeft w:val="0"/>
          <w:marRight w:val="0"/>
          <w:marTop w:val="0"/>
          <w:marBottom w:val="0"/>
          <w:divBdr>
            <w:top w:val="none" w:sz="0" w:space="0" w:color="auto"/>
            <w:left w:val="none" w:sz="0" w:space="0" w:color="auto"/>
            <w:bottom w:val="none" w:sz="0" w:space="0" w:color="auto"/>
            <w:right w:val="none" w:sz="0" w:space="0" w:color="auto"/>
          </w:divBdr>
        </w:div>
        <w:div w:id="272638424">
          <w:marLeft w:val="0"/>
          <w:marRight w:val="0"/>
          <w:marTop w:val="0"/>
          <w:marBottom w:val="0"/>
          <w:divBdr>
            <w:top w:val="none" w:sz="0" w:space="0" w:color="auto"/>
            <w:left w:val="none" w:sz="0" w:space="0" w:color="auto"/>
            <w:bottom w:val="none" w:sz="0" w:space="0" w:color="auto"/>
            <w:right w:val="none" w:sz="0" w:space="0" w:color="auto"/>
          </w:divBdr>
        </w:div>
        <w:div w:id="272640151">
          <w:marLeft w:val="0"/>
          <w:marRight w:val="0"/>
          <w:marTop w:val="0"/>
          <w:marBottom w:val="0"/>
          <w:divBdr>
            <w:top w:val="none" w:sz="0" w:space="0" w:color="auto"/>
            <w:left w:val="none" w:sz="0" w:space="0" w:color="auto"/>
            <w:bottom w:val="none" w:sz="0" w:space="0" w:color="auto"/>
            <w:right w:val="none" w:sz="0" w:space="0" w:color="auto"/>
          </w:divBdr>
        </w:div>
        <w:div w:id="275600556">
          <w:marLeft w:val="0"/>
          <w:marRight w:val="0"/>
          <w:marTop w:val="0"/>
          <w:marBottom w:val="0"/>
          <w:divBdr>
            <w:top w:val="none" w:sz="0" w:space="0" w:color="auto"/>
            <w:left w:val="none" w:sz="0" w:space="0" w:color="auto"/>
            <w:bottom w:val="none" w:sz="0" w:space="0" w:color="auto"/>
            <w:right w:val="none" w:sz="0" w:space="0" w:color="auto"/>
          </w:divBdr>
        </w:div>
        <w:div w:id="276525583">
          <w:marLeft w:val="0"/>
          <w:marRight w:val="0"/>
          <w:marTop w:val="0"/>
          <w:marBottom w:val="0"/>
          <w:divBdr>
            <w:top w:val="none" w:sz="0" w:space="0" w:color="auto"/>
            <w:left w:val="none" w:sz="0" w:space="0" w:color="auto"/>
            <w:bottom w:val="none" w:sz="0" w:space="0" w:color="auto"/>
            <w:right w:val="none" w:sz="0" w:space="0" w:color="auto"/>
          </w:divBdr>
        </w:div>
        <w:div w:id="277611007">
          <w:marLeft w:val="0"/>
          <w:marRight w:val="0"/>
          <w:marTop w:val="0"/>
          <w:marBottom w:val="0"/>
          <w:divBdr>
            <w:top w:val="none" w:sz="0" w:space="0" w:color="auto"/>
            <w:left w:val="none" w:sz="0" w:space="0" w:color="auto"/>
            <w:bottom w:val="none" w:sz="0" w:space="0" w:color="auto"/>
            <w:right w:val="none" w:sz="0" w:space="0" w:color="auto"/>
          </w:divBdr>
        </w:div>
        <w:div w:id="277953693">
          <w:marLeft w:val="0"/>
          <w:marRight w:val="0"/>
          <w:marTop w:val="0"/>
          <w:marBottom w:val="0"/>
          <w:divBdr>
            <w:top w:val="none" w:sz="0" w:space="0" w:color="auto"/>
            <w:left w:val="none" w:sz="0" w:space="0" w:color="auto"/>
            <w:bottom w:val="none" w:sz="0" w:space="0" w:color="auto"/>
            <w:right w:val="none" w:sz="0" w:space="0" w:color="auto"/>
          </w:divBdr>
        </w:div>
        <w:div w:id="279842828">
          <w:marLeft w:val="0"/>
          <w:marRight w:val="0"/>
          <w:marTop w:val="0"/>
          <w:marBottom w:val="0"/>
          <w:divBdr>
            <w:top w:val="none" w:sz="0" w:space="0" w:color="auto"/>
            <w:left w:val="none" w:sz="0" w:space="0" w:color="auto"/>
            <w:bottom w:val="none" w:sz="0" w:space="0" w:color="auto"/>
            <w:right w:val="none" w:sz="0" w:space="0" w:color="auto"/>
          </w:divBdr>
        </w:div>
        <w:div w:id="282467346">
          <w:marLeft w:val="0"/>
          <w:marRight w:val="0"/>
          <w:marTop w:val="0"/>
          <w:marBottom w:val="0"/>
          <w:divBdr>
            <w:top w:val="none" w:sz="0" w:space="0" w:color="auto"/>
            <w:left w:val="none" w:sz="0" w:space="0" w:color="auto"/>
            <w:bottom w:val="none" w:sz="0" w:space="0" w:color="auto"/>
            <w:right w:val="none" w:sz="0" w:space="0" w:color="auto"/>
          </w:divBdr>
        </w:div>
        <w:div w:id="283585369">
          <w:marLeft w:val="0"/>
          <w:marRight w:val="0"/>
          <w:marTop w:val="0"/>
          <w:marBottom w:val="0"/>
          <w:divBdr>
            <w:top w:val="none" w:sz="0" w:space="0" w:color="auto"/>
            <w:left w:val="none" w:sz="0" w:space="0" w:color="auto"/>
            <w:bottom w:val="none" w:sz="0" w:space="0" w:color="auto"/>
            <w:right w:val="none" w:sz="0" w:space="0" w:color="auto"/>
          </w:divBdr>
        </w:div>
        <w:div w:id="286160638">
          <w:marLeft w:val="0"/>
          <w:marRight w:val="0"/>
          <w:marTop w:val="0"/>
          <w:marBottom w:val="0"/>
          <w:divBdr>
            <w:top w:val="none" w:sz="0" w:space="0" w:color="auto"/>
            <w:left w:val="none" w:sz="0" w:space="0" w:color="auto"/>
            <w:bottom w:val="none" w:sz="0" w:space="0" w:color="auto"/>
            <w:right w:val="none" w:sz="0" w:space="0" w:color="auto"/>
          </w:divBdr>
        </w:div>
        <w:div w:id="286591201">
          <w:marLeft w:val="0"/>
          <w:marRight w:val="0"/>
          <w:marTop w:val="0"/>
          <w:marBottom w:val="0"/>
          <w:divBdr>
            <w:top w:val="none" w:sz="0" w:space="0" w:color="auto"/>
            <w:left w:val="none" w:sz="0" w:space="0" w:color="auto"/>
            <w:bottom w:val="none" w:sz="0" w:space="0" w:color="auto"/>
            <w:right w:val="none" w:sz="0" w:space="0" w:color="auto"/>
          </w:divBdr>
        </w:div>
        <w:div w:id="289552921">
          <w:marLeft w:val="0"/>
          <w:marRight w:val="0"/>
          <w:marTop w:val="0"/>
          <w:marBottom w:val="0"/>
          <w:divBdr>
            <w:top w:val="none" w:sz="0" w:space="0" w:color="auto"/>
            <w:left w:val="none" w:sz="0" w:space="0" w:color="auto"/>
            <w:bottom w:val="none" w:sz="0" w:space="0" w:color="auto"/>
            <w:right w:val="none" w:sz="0" w:space="0" w:color="auto"/>
          </w:divBdr>
        </w:div>
        <w:div w:id="290981228">
          <w:marLeft w:val="0"/>
          <w:marRight w:val="0"/>
          <w:marTop w:val="0"/>
          <w:marBottom w:val="0"/>
          <w:divBdr>
            <w:top w:val="none" w:sz="0" w:space="0" w:color="auto"/>
            <w:left w:val="none" w:sz="0" w:space="0" w:color="auto"/>
            <w:bottom w:val="none" w:sz="0" w:space="0" w:color="auto"/>
            <w:right w:val="none" w:sz="0" w:space="0" w:color="auto"/>
          </w:divBdr>
        </w:div>
        <w:div w:id="292096881">
          <w:marLeft w:val="0"/>
          <w:marRight w:val="0"/>
          <w:marTop w:val="0"/>
          <w:marBottom w:val="0"/>
          <w:divBdr>
            <w:top w:val="none" w:sz="0" w:space="0" w:color="auto"/>
            <w:left w:val="none" w:sz="0" w:space="0" w:color="auto"/>
            <w:bottom w:val="none" w:sz="0" w:space="0" w:color="auto"/>
            <w:right w:val="none" w:sz="0" w:space="0" w:color="auto"/>
          </w:divBdr>
          <w:divsChild>
            <w:div w:id="35081079">
              <w:marLeft w:val="0"/>
              <w:marRight w:val="0"/>
              <w:marTop w:val="0"/>
              <w:marBottom w:val="0"/>
              <w:divBdr>
                <w:top w:val="none" w:sz="0" w:space="0" w:color="auto"/>
                <w:left w:val="none" w:sz="0" w:space="0" w:color="auto"/>
                <w:bottom w:val="none" w:sz="0" w:space="0" w:color="auto"/>
                <w:right w:val="none" w:sz="0" w:space="0" w:color="auto"/>
              </w:divBdr>
            </w:div>
            <w:div w:id="37584688">
              <w:marLeft w:val="0"/>
              <w:marRight w:val="0"/>
              <w:marTop w:val="0"/>
              <w:marBottom w:val="0"/>
              <w:divBdr>
                <w:top w:val="none" w:sz="0" w:space="0" w:color="auto"/>
                <w:left w:val="none" w:sz="0" w:space="0" w:color="auto"/>
                <w:bottom w:val="none" w:sz="0" w:space="0" w:color="auto"/>
                <w:right w:val="none" w:sz="0" w:space="0" w:color="auto"/>
              </w:divBdr>
            </w:div>
            <w:div w:id="182133030">
              <w:marLeft w:val="0"/>
              <w:marRight w:val="0"/>
              <w:marTop w:val="0"/>
              <w:marBottom w:val="0"/>
              <w:divBdr>
                <w:top w:val="none" w:sz="0" w:space="0" w:color="auto"/>
                <w:left w:val="none" w:sz="0" w:space="0" w:color="auto"/>
                <w:bottom w:val="none" w:sz="0" w:space="0" w:color="auto"/>
                <w:right w:val="none" w:sz="0" w:space="0" w:color="auto"/>
              </w:divBdr>
            </w:div>
            <w:div w:id="515197273">
              <w:marLeft w:val="0"/>
              <w:marRight w:val="0"/>
              <w:marTop w:val="0"/>
              <w:marBottom w:val="0"/>
              <w:divBdr>
                <w:top w:val="none" w:sz="0" w:space="0" w:color="auto"/>
                <w:left w:val="none" w:sz="0" w:space="0" w:color="auto"/>
                <w:bottom w:val="none" w:sz="0" w:space="0" w:color="auto"/>
                <w:right w:val="none" w:sz="0" w:space="0" w:color="auto"/>
              </w:divBdr>
            </w:div>
            <w:div w:id="522475202">
              <w:marLeft w:val="0"/>
              <w:marRight w:val="0"/>
              <w:marTop w:val="0"/>
              <w:marBottom w:val="0"/>
              <w:divBdr>
                <w:top w:val="none" w:sz="0" w:space="0" w:color="auto"/>
                <w:left w:val="none" w:sz="0" w:space="0" w:color="auto"/>
                <w:bottom w:val="none" w:sz="0" w:space="0" w:color="auto"/>
                <w:right w:val="none" w:sz="0" w:space="0" w:color="auto"/>
              </w:divBdr>
            </w:div>
            <w:div w:id="574127783">
              <w:marLeft w:val="0"/>
              <w:marRight w:val="0"/>
              <w:marTop w:val="0"/>
              <w:marBottom w:val="0"/>
              <w:divBdr>
                <w:top w:val="none" w:sz="0" w:space="0" w:color="auto"/>
                <w:left w:val="none" w:sz="0" w:space="0" w:color="auto"/>
                <w:bottom w:val="none" w:sz="0" w:space="0" w:color="auto"/>
                <w:right w:val="none" w:sz="0" w:space="0" w:color="auto"/>
              </w:divBdr>
            </w:div>
            <w:div w:id="613638538">
              <w:marLeft w:val="0"/>
              <w:marRight w:val="0"/>
              <w:marTop w:val="0"/>
              <w:marBottom w:val="0"/>
              <w:divBdr>
                <w:top w:val="none" w:sz="0" w:space="0" w:color="auto"/>
                <w:left w:val="none" w:sz="0" w:space="0" w:color="auto"/>
                <w:bottom w:val="none" w:sz="0" w:space="0" w:color="auto"/>
                <w:right w:val="none" w:sz="0" w:space="0" w:color="auto"/>
              </w:divBdr>
            </w:div>
            <w:div w:id="711072759">
              <w:marLeft w:val="0"/>
              <w:marRight w:val="0"/>
              <w:marTop w:val="0"/>
              <w:marBottom w:val="0"/>
              <w:divBdr>
                <w:top w:val="none" w:sz="0" w:space="0" w:color="auto"/>
                <w:left w:val="none" w:sz="0" w:space="0" w:color="auto"/>
                <w:bottom w:val="none" w:sz="0" w:space="0" w:color="auto"/>
                <w:right w:val="none" w:sz="0" w:space="0" w:color="auto"/>
              </w:divBdr>
            </w:div>
            <w:div w:id="958224936">
              <w:marLeft w:val="0"/>
              <w:marRight w:val="0"/>
              <w:marTop w:val="0"/>
              <w:marBottom w:val="0"/>
              <w:divBdr>
                <w:top w:val="none" w:sz="0" w:space="0" w:color="auto"/>
                <w:left w:val="none" w:sz="0" w:space="0" w:color="auto"/>
                <w:bottom w:val="none" w:sz="0" w:space="0" w:color="auto"/>
                <w:right w:val="none" w:sz="0" w:space="0" w:color="auto"/>
              </w:divBdr>
            </w:div>
            <w:div w:id="1131020989">
              <w:marLeft w:val="0"/>
              <w:marRight w:val="0"/>
              <w:marTop w:val="0"/>
              <w:marBottom w:val="0"/>
              <w:divBdr>
                <w:top w:val="none" w:sz="0" w:space="0" w:color="auto"/>
                <w:left w:val="none" w:sz="0" w:space="0" w:color="auto"/>
                <w:bottom w:val="none" w:sz="0" w:space="0" w:color="auto"/>
                <w:right w:val="none" w:sz="0" w:space="0" w:color="auto"/>
              </w:divBdr>
            </w:div>
            <w:div w:id="1447847984">
              <w:marLeft w:val="0"/>
              <w:marRight w:val="0"/>
              <w:marTop w:val="0"/>
              <w:marBottom w:val="0"/>
              <w:divBdr>
                <w:top w:val="none" w:sz="0" w:space="0" w:color="auto"/>
                <w:left w:val="none" w:sz="0" w:space="0" w:color="auto"/>
                <w:bottom w:val="none" w:sz="0" w:space="0" w:color="auto"/>
                <w:right w:val="none" w:sz="0" w:space="0" w:color="auto"/>
              </w:divBdr>
            </w:div>
            <w:div w:id="1463379507">
              <w:marLeft w:val="0"/>
              <w:marRight w:val="0"/>
              <w:marTop w:val="0"/>
              <w:marBottom w:val="0"/>
              <w:divBdr>
                <w:top w:val="none" w:sz="0" w:space="0" w:color="auto"/>
                <w:left w:val="none" w:sz="0" w:space="0" w:color="auto"/>
                <w:bottom w:val="none" w:sz="0" w:space="0" w:color="auto"/>
                <w:right w:val="none" w:sz="0" w:space="0" w:color="auto"/>
              </w:divBdr>
            </w:div>
            <w:div w:id="1575818918">
              <w:marLeft w:val="0"/>
              <w:marRight w:val="0"/>
              <w:marTop w:val="0"/>
              <w:marBottom w:val="0"/>
              <w:divBdr>
                <w:top w:val="none" w:sz="0" w:space="0" w:color="auto"/>
                <w:left w:val="none" w:sz="0" w:space="0" w:color="auto"/>
                <w:bottom w:val="none" w:sz="0" w:space="0" w:color="auto"/>
                <w:right w:val="none" w:sz="0" w:space="0" w:color="auto"/>
              </w:divBdr>
            </w:div>
            <w:div w:id="1609849185">
              <w:marLeft w:val="0"/>
              <w:marRight w:val="0"/>
              <w:marTop w:val="0"/>
              <w:marBottom w:val="0"/>
              <w:divBdr>
                <w:top w:val="none" w:sz="0" w:space="0" w:color="auto"/>
                <w:left w:val="none" w:sz="0" w:space="0" w:color="auto"/>
                <w:bottom w:val="none" w:sz="0" w:space="0" w:color="auto"/>
                <w:right w:val="none" w:sz="0" w:space="0" w:color="auto"/>
              </w:divBdr>
            </w:div>
            <w:div w:id="1624193173">
              <w:marLeft w:val="0"/>
              <w:marRight w:val="0"/>
              <w:marTop w:val="0"/>
              <w:marBottom w:val="0"/>
              <w:divBdr>
                <w:top w:val="none" w:sz="0" w:space="0" w:color="auto"/>
                <w:left w:val="none" w:sz="0" w:space="0" w:color="auto"/>
                <w:bottom w:val="none" w:sz="0" w:space="0" w:color="auto"/>
                <w:right w:val="none" w:sz="0" w:space="0" w:color="auto"/>
              </w:divBdr>
            </w:div>
            <w:div w:id="1709724872">
              <w:marLeft w:val="0"/>
              <w:marRight w:val="0"/>
              <w:marTop w:val="0"/>
              <w:marBottom w:val="0"/>
              <w:divBdr>
                <w:top w:val="none" w:sz="0" w:space="0" w:color="auto"/>
                <w:left w:val="none" w:sz="0" w:space="0" w:color="auto"/>
                <w:bottom w:val="none" w:sz="0" w:space="0" w:color="auto"/>
                <w:right w:val="none" w:sz="0" w:space="0" w:color="auto"/>
              </w:divBdr>
            </w:div>
            <w:div w:id="1791434433">
              <w:marLeft w:val="0"/>
              <w:marRight w:val="0"/>
              <w:marTop w:val="0"/>
              <w:marBottom w:val="0"/>
              <w:divBdr>
                <w:top w:val="none" w:sz="0" w:space="0" w:color="auto"/>
                <w:left w:val="none" w:sz="0" w:space="0" w:color="auto"/>
                <w:bottom w:val="none" w:sz="0" w:space="0" w:color="auto"/>
                <w:right w:val="none" w:sz="0" w:space="0" w:color="auto"/>
              </w:divBdr>
            </w:div>
            <w:div w:id="1942910264">
              <w:marLeft w:val="0"/>
              <w:marRight w:val="0"/>
              <w:marTop w:val="0"/>
              <w:marBottom w:val="0"/>
              <w:divBdr>
                <w:top w:val="none" w:sz="0" w:space="0" w:color="auto"/>
                <w:left w:val="none" w:sz="0" w:space="0" w:color="auto"/>
                <w:bottom w:val="none" w:sz="0" w:space="0" w:color="auto"/>
                <w:right w:val="none" w:sz="0" w:space="0" w:color="auto"/>
              </w:divBdr>
            </w:div>
            <w:div w:id="2083091580">
              <w:marLeft w:val="0"/>
              <w:marRight w:val="0"/>
              <w:marTop w:val="0"/>
              <w:marBottom w:val="0"/>
              <w:divBdr>
                <w:top w:val="none" w:sz="0" w:space="0" w:color="auto"/>
                <w:left w:val="none" w:sz="0" w:space="0" w:color="auto"/>
                <w:bottom w:val="none" w:sz="0" w:space="0" w:color="auto"/>
                <w:right w:val="none" w:sz="0" w:space="0" w:color="auto"/>
              </w:divBdr>
            </w:div>
          </w:divsChild>
        </w:div>
        <w:div w:id="292558745">
          <w:marLeft w:val="0"/>
          <w:marRight w:val="0"/>
          <w:marTop w:val="0"/>
          <w:marBottom w:val="0"/>
          <w:divBdr>
            <w:top w:val="none" w:sz="0" w:space="0" w:color="auto"/>
            <w:left w:val="none" w:sz="0" w:space="0" w:color="auto"/>
            <w:bottom w:val="none" w:sz="0" w:space="0" w:color="auto"/>
            <w:right w:val="none" w:sz="0" w:space="0" w:color="auto"/>
          </w:divBdr>
        </w:div>
        <w:div w:id="292905995">
          <w:marLeft w:val="0"/>
          <w:marRight w:val="0"/>
          <w:marTop w:val="0"/>
          <w:marBottom w:val="0"/>
          <w:divBdr>
            <w:top w:val="none" w:sz="0" w:space="0" w:color="auto"/>
            <w:left w:val="none" w:sz="0" w:space="0" w:color="auto"/>
            <w:bottom w:val="none" w:sz="0" w:space="0" w:color="auto"/>
            <w:right w:val="none" w:sz="0" w:space="0" w:color="auto"/>
          </w:divBdr>
        </w:div>
        <w:div w:id="294678887">
          <w:marLeft w:val="0"/>
          <w:marRight w:val="0"/>
          <w:marTop w:val="0"/>
          <w:marBottom w:val="0"/>
          <w:divBdr>
            <w:top w:val="none" w:sz="0" w:space="0" w:color="auto"/>
            <w:left w:val="none" w:sz="0" w:space="0" w:color="auto"/>
            <w:bottom w:val="none" w:sz="0" w:space="0" w:color="auto"/>
            <w:right w:val="none" w:sz="0" w:space="0" w:color="auto"/>
          </w:divBdr>
        </w:div>
        <w:div w:id="297228791">
          <w:marLeft w:val="0"/>
          <w:marRight w:val="0"/>
          <w:marTop w:val="0"/>
          <w:marBottom w:val="0"/>
          <w:divBdr>
            <w:top w:val="none" w:sz="0" w:space="0" w:color="auto"/>
            <w:left w:val="none" w:sz="0" w:space="0" w:color="auto"/>
            <w:bottom w:val="none" w:sz="0" w:space="0" w:color="auto"/>
            <w:right w:val="none" w:sz="0" w:space="0" w:color="auto"/>
          </w:divBdr>
        </w:div>
        <w:div w:id="298609066">
          <w:marLeft w:val="0"/>
          <w:marRight w:val="0"/>
          <w:marTop w:val="0"/>
          <w:marBottom w:val="0"/>
          <w:divBdr>
            <w:top w:val="none" w:sz="0" w:space="0" w:color="auto"/>
            <w:left w:val="none" w:sz="0" w:space="0" w:color="auto"/>
            <w:bottom w:val="none" w:sz="0" w:space="0" w:color="auto"/>
            <w:right w:val="none" w:sz="0" w:space="0" w:color="auto"/>
          </w:divBdr>
        </w:div>
        <w:div w:id="299267325">
          <w:marLeft w:val="0"/>
          <w:marRight w:val="0"/>
          <w:marTop w:val="0"/>
          <w:marBottom w:val="0"/>
          <w:divBdr>
            <w:top w:val="none" w:sz="0" w:space="0" w:color="auto"/>
            <w:left w:val="none" w:sz="0" w:space="0" w:color="auto"/>
            <w:bottom w:val="none" w:sz="0" w:space="0" w:color="auto"/>
            <w:right w:val="none" w:sz="0" w:space="0" w:color="auto"/>
          </w:divBdr>
        </w:div>
        <w:div w:id="305861918">
          <w:marLeft w:val="0"/>
          <w:marRight w:val="0"/>
          <w:marTop w:val="0"/>
          <w:marBottom w:val="0"/>
          <w:divBdr>
            <w:top w:val="none" w:sz="0" w:space="0" w:color="auto"/>
            <w:left w:val="none" w:sz="0" w:space="0" w:color="auto"/>
            <w:bottom w:val="none" w:sz="0" w:space="0" w:color="auto"/>
            <w:right w:val="none" w:sz="0" w:space="0" w:color="auto"/>
          </w:divBdr>
        </w:div>
        <w:div w:id="306478868">
          <w:marLeft w:val="0"/>
          <w:marRight w:val="0"/>
          <w:marTop w:val="0"/>
          <w:marBottom w:val="0"/>
          <w:divBdr>
            <w:top w:val="none" w:sz="0" w:space="0" w:color="auto"/>
            <w:left w:val="none" w:sz="0" w:space="0" w:color="auto"/>
            <w:bottom w:val="none" w:sz="0" w:space="0" w:color="auto"/>
            <w:right w:val="none" w:sz="0" w:space="0" w:color="auto"/>
          </w:divBdr>
        </w:div>
        <w:div w:id="306861735">
          <w:marLeft w:val="0"/>
          <w:marRight w:val="0"/>
          <w:marTop w:val="0"/>
          <w:marBottom w:val="0"/>
          <w:divBdr>
            <w:top w:val="none" w:sz="0" w:space="0" w:color="auto"/>
            <w:left w:val="none" w:sz="0" w:space="0" w:color="auto"/>
            <w:bottom w:val="none" w:sz="0" w:space="0" w:color="auto"/>
            <w:right w:val="none" w:sz="0" w:space="0" w:color="auto"/>
          </w:divBdr>
        </w:div>
        <w:div w:id="308216800">
          <w:marLeft w:val="0"/>
          <w:marRight w:val="0"/>
          <w:marTop w:val="0"/>
          <w:marBottom w:val="0"/>
          <w:divBdr>
            <w:top w:val="none" w:sz="0" w:space="0" w:color="auto"/>
            <w:left w:val="none" w:sz="0" w:space="0" w:color="auto"/>
            <w:bottom w:val="none" w:sz="0" w:space="0" w:color="auto"/>
            <w:right w:val="none" w:sz="0" w:space="0" w:color="auto"/>
          </w:divBdr>
        </w:div>
        <w:div w:id="310062401">
          <w:marLeft w:val="0"/>
          <w:marRight w:val="0"/>
          <w:marTop w:val="0"/>
          <w:marBottom w:val="0"/>
          <w:divBdr>
            <w:top w:val="none" w:sz="0" w:space="0" w:color="auto"/>
            <w:left w:val="none" w:sz="0" w:space="0" w:color="auto"/>
            <w:bottom w:val="none" w:sz="0" w:space="0" w:color="auto"/>
            <w:right w:val="none" w:sz="0" w:space="0" w:color="auto"/>
          </w:divBdr>
        </w:div>
        <w:div w:id="313145046">
          <w:marLeft w:val="0"/>
          <w:marRight w:val="0"/>
          <w:marTop w:val="0"/>
          <w:marBottom w:val="0"/>
          <w:divBdr>
            <w:top w:val="none" w:sz="0" w:space="0" w:color="auto"/>
            <w:left w:val="none" w:sz="0" w:space="0" w:color="auto"/>
            <w:bottom w:val="none" w:sz="0" w:space="0" w:color="auto"/>
            <w:right w:val="none" w:sz="0" w:space="0" w:color="auto"/>
          </w:divBdr>
        </w:div>
        <w:div w:id="315229964">
          <w:marLeft w:val="0"/>
          <w:marRight w:val="0"/>
          <w:marTop w:val="0"/>
          <w:marBottom w:val="0"/>
          <w:divBdr>
            <w:top w:val="none" w:sz="0" w:space="0" w:color="auto"/>
            <w:left w:val="none" w:sz="0" w:space="0" w:color="auto"/>
            <w:bottom w:val="none" w:sz="0" w:space="0" w:color="auto"/>
            <w:right w:val="none" w:sz="0" w:space="0" w:color="auto"/>
          </w:divBdr>
        </w:div>
        <w:div w:id="318969703">
          <w:marLeft w:val="0"/>
          <w:marRight w:val="0"/>
          <w:marTop w:val="0"/>
          <w:marBottom w:val="0"/>
          <w:divBdr>
            <w:top w:val="none" w:sz="0" w:space="0" w:color="auto"/>
            <w:left w:val="none" w:sz="0" w:space="0" w:color="auto"/>
            <w:bottom w:val="none" w:sz="0" w:space="0" w:color="auto"/>
            <w:right w:val="none" w:sz="0" w:space="0" w:color="auto"/>
          </w:divBdr>
        </w:div>
        <w:div w:id="321398781">
          <w:marLeft w:val="0"/>
          <w:marRight w:val="0"/>
          <w:marTop w:val="0"/>
          <w:marBottom w:val="0"/>
          <w:divBdr>
            <w:top w:val="none" w:sz="0" w:space="0" w:color="auto"/>
            <w:left w:val="none" w:sz="0" w:space="0" w:color="auto"/>
            <w:bottom w:val="none" w:sz="0" w:space="0" w:color="auto"/>
            <w:right w:val="none" w:sz="0" w:space="0" w:color="auto"/>
          </w:divBdr>
          <w:divsChild>
            <w:div w:id="2825209">
              <w:marLeft w:val="0"/>
              <w:marRight w:val="0"/>
              <w:marTop w:val="0"/>
              <w:marBottom w:val="0"/>
              <w:divBdr>
                <w:top w:val="none" w:sz="0" w:space="0" w:color="auto"/>
                <w:left w:val="none" w:sz="0" w:space="0" w:color="auto"/>
                <w:bottom w:val="none" w:sz="0" w:space="0" w:color="auto"/>
                <w:right w:val="none" w:sz="0" w:space="0" w:color="auto"/>
              </w:divBdr>
            </w:div>
            <w:div w:id="20059057">
              <w:marLeft w:val="0"/>
              <w:marRight w:val="0"/>
              <w:marTop w:val="0"/>
              <w:marBottom w:val="0"/>
              <w:divBdr>
                <w:top w:val="none" w:sz="0" w:space="0" w:color="auto"/>
                <w:left w:val="none" w:sz="0" w:space="0" w:color="auto"/>
                <w:bottom w:val="none" w:sz="0" w:space="0" w:color="auto"/>
                <w:right w:val="none" w:sz="0" w:space="0" w:color="auto"/>
              </w:divBdr>
            </w:div>
            <w:div w:id="61876273">
              <w:marLeft w:val="0"/>
              <w:marRight w:val="0"/>
              <w:marTop w:val="0"/>
              <w:marBottom w:val="0"/>
              <w:divBdr>
                <w:top w:val="none" w:sz="0" w:space="0" w:color="auto"/>
                <w:left w:val="none" w:sz="0" w:space="0" w:color="auto"/>
                <w:bottom w:val="none" w:sz="0" w:space="0" w:color="auto"/>
                <w:right w:val="none" w:sz="0" w:space="0" w:color="auto"/>
              </w:divBdr>
            </w:div>
            <w:div w:id="96292049">
              <w:marLeft w:val="0"/>
              <w:marRight w:val="0"/>
              <w:marTop w:val="0"/>
              <w:marBottom w:val="0"/>
              <w:divBdr>
                <w:top w:val="none" w:sz="0" w:space="0" w:color="auto"/>
                <w:left w:val="none" w:sz="0" w:space="0" w:color="auto"/>
                <w:bottom w:val="none" w:sz="0" w:space="0" w:color="auto"/>
                <w:right w:val="none" w:sz="0" w:space="0" w:color="auto"/>
              </w:divBdr>
            </w:div>
            <w:div w:id="201791707">
              <w:marLeft w:val="0"/>
              <w:marRight w:val="0"/>
              <w:marTop w:val="0"/>
              <w:marBottom w:val="0"/>
              <w:divBdr>
                <w:top w:val="none" w:sz="0" w:space="0" w:color="auto"/>
                <w:left w:val="none" w:sz="0" w:space="0" w:color="auto"/>
                <w:bottom w:val="none" w:sz="0" w:space="0" w:color="auto"/>
                <w:right w:val="none" w:sz="0" w:space="0" w:color="auto"/>
              </w:divBdr>
            </w:div>
            <w:div w:id="255864661">
              <w:marLeft w:val="0"/>
              <w:marRight w:val="0"/>
              <w:marTop w:val="0"/>
              <w:marBottom w:val="0"/>
              <w:divBdr>
                <w:top w:val="none" w:sz="0" w:space="0" w:color="auto"/>
                <w:left w:val="none" w:sz="0" w:space="0" w:color="auto"/>
                <w:bottom w:val="none" w:sz="0" w:space="0" w:color="auto"/>
                <w:right w:val="none" w:sz="0" w:space="0" w:color="auto"/>
              </w:divBdr>
            </w:div>
            <w:div w:id="352808455">
              <w:marLeft w:val="0"/>
              <w:marRight w:val="0"/>
              <w:marTop w:val="0"/>
              <w:marBottom w:val="0"/>
              <w:divBdr>
                <w:top w:val="none" w:sz="0" w:space="0" w:color="auto"/>
                <w:left w:val="none" w:sz="0" w:space="0" w:color="auto"/>
                <w:bottom w:val="none" w:sz="0" w:space="0" w:color="auto"/>
                <w:right w:val="none" w:sz="0" w:space="0" w:color="auto"/>
              </w:divBdr>
            </w:div>
            <w:div w:id="541669780">
              <w:marLeft w:val="0"/>
              <w:marRight w:val="0"/>
              <w:marTop w:val="0"/>
              <w:marBottom w:val="0"/>
              <w:divBdr>
                <w:top w:val="none" w:sz="0" w:space="0" w:color="auto"/>
                <w:left w:val="none" w:sz="0" w:space="0" w:color="auto"/>
                <w:bottom w:val="none" w:sz="0" w:space="0" w:color="auto"/>
                <w:right w:val="none" w:sz="0" w:space="0" w:color="auto"/>
              </w:divBdr>
            </w:div>
            <w:div w:id="601643425">
              <w:marLeft w:val="0"/>
              <w:marRight w:val="0"/>
              <w:marTop w:val="0"/>
              <w:marBottom w:val="0"/>
              <w:divBdr>
                <w:top w:val="none" w:sz="0" w:space="0" w:color="auto"/>
                <w:left w:val="none" w:sz="0" w:space="0" w:color="auto"/>
                <w:bottom w:val="none" w:sz="0" w:space="0" w:color="auto"/>
                <w:right w:val="none" w:sz="0" w:space="0" w:color="auto"/>
              </w:divBdr>
            </w:div>
            <w:div w:id="692462719">
              <w:marLeft w:val="0"/>
              <w:marRight w:val="0"/>
              <w:marTop w:val="0"/>
              <w:marBottom w:val="0"/>
              <w:divBdr>
                <w:top w:val="none" w:sz="0" w:space="0" w:color="auto"/>
                <w:left w:val="none" w:sz="0" w:space="0" w:color="auto"/>
                <w:bottom w:val="none" w:sz="0" w:space="0" w:color="auto"/>
                <w:right w:val="none" w:sz="0" w:space="0" w:color="auto"/>
              </w:divBdr>
            </w:div>
            <w:div w:id="863136002">
              <w:marLeft w:val="0"/>
              <w:marRight w:val="0"/>
              <w:marTop w:val="0"/>
              <w:marBottom w:val="0"/>
              <w:divBdr>
                <w:top w:val="none" w:sz="0" w:space="0" w:color="auto"/>
                <w:left w:val="none" w:sz="0" w:space="0" w:color="auto"/>
                <w:bottom w:val="none" w:sz="0" w:space="0" w:color="auto"/>
                <w:right w:val="none" w:sz="0" w:space="0" w:color="auto"/>
              </w:divBdr>
            </w:div>
            <w:div w:id="1006398301">
              <w:marLeft w:val="0"/>
              <w:marRight w:val="0"/>
              <w:marTop w:val="0"/>
              <w:marBottom w:val="0"/>
              <w:divBdr>
                <w:top w:val="none" w:sz="0" w:space="0" w:color="auto"/>
                <w:left w:val="none" w:sz="0" w:space="0" w:color="auto"/>
                <w:bottom w:val="none" w:sz="0" w:space="0" w:color="auto"/>
                <w:right w:val="none" w:sz="0" w:space="0" w:color="auto"/>
              </w:divBdr>
            </w:div>
            <w:div w:id="1070037741">
              <w:marLeft w:val="0"/>
              <w:marRight w:val="0"/>
              <w:marTop w:val="0"/>
              <w:marBottom w:val="0"/>
              <w:divBdr>
                <w:top w:val="none" w:sz="0" w:space="0" w:color="auto"/>
                <w:left w:val="none" w:sz="0" w:space="0" w:color="auto"/>
                <w:bottom w:val="none" w:sz="0" w:space="0" w:color="auto"/>
                <w:right w:val="none" w:sz="0" w:space="0" w:color="auto"/>
              </w:divBdr>
            </w:div>
            <w:div w:id="1165121349">
              <w:marLeft w:val="0"/>
              <w:marRight w:val="0"/>
              <w:marTop w:val="0"/>
              <w:marBottom w:val="0"/>
              <w:divBdr>
                <w:top w:val="none" w:sz="0" w:space="0" w:color="auto"/>
                <w:left w:val="none" w:sz="0" w:space="0" w:color="auto"/>
                <w:bottom w:val="none" w:sz="0" w:space="0" w:color="auto"/>
                <w:right w:val="none" w:sz="0" w:space="0" w:color="auto"/>
              </w:divBdr>
            </w:div>
            <w:div w:id="1496458404">
              <w:marLeft w:val="0"/>
              <w:marRight w:val="0"/>
              <w:marTop w:val="0"/>
              <w:marBottom w:val="0"/>
              <w:divBdr>
                <w:top w:val="none" w:sz="0" w:space="0" w:color="auto"/>
                <w:left w:val="none" w:sz="0" w:space="0" w:color="auto"/>
                <w:bottom w:val="none" w:sz="0" w:space="0" w:color="auto"/>
                <w:right w:val="none" w:sz="0" w:space="0" w:color="auto"/>
              </w:divBdr>
            </w:div>
            <w:div w:id="1820611564">
              <w:marLeft w:val="0"/>
              <w:marRight w:val="0"/>
              <w:marTop w:val="0"/>
              <w:marBottom w:val="0"/>
              <w:divBdr>
                <w:top w:val="none" w:sz="0" w:space="0" w:color="auto"/>
                <w:left w:val="none" w:sz="0" w:space="0" w:color="auto"/>
                <w:bottom w:val="none" w:sz="0" w:space="0" w:color="auto"/>
                <w:right w:val="none" w:sz="0" w:space="0" w:color="auto"/>
              </w:divBdr>
            </w:div>
            <w:div w:id="2011450027">
              <w:marLeft w:val="0"/>
              <w:marRight w:val="0"/>
              <w:marTop w:val="0"/>
              <w:marBottom w:val="0"/>
              <w:divBdr>
                <w:top w:val="none" w:sz="0" w:space="0" w:color="auto"/>
                <w:left w:val="none" w:sz="0" w:space="0" w:color="auto"/>
                <w:bottom w:val="none" w:sz="0" w:space="0" w:color="auto"/>
                <w:right w:val="none" w:sz="0" w:space="0" w:color="auto"/>
              </w:divBdr>
            </w:div>
            <w:div w:id="2085836304">
              <w:marLeft w:val="0"/>
              <w:marRight w:val="0"/>
              <w:marTop w:val="0"/>
              <w:marBottom w:val="0"/>
              <w:divBdr>
                <w:top w:val="none" w:sz="0" w:space="0" w:color="auto"/>
                <w:left w:val="none" w:sz="0" w:space="0" w:color="auto"/>
                <w:bottom w:val="none" w:sz="0" w:space="0" w:color="auto"/>
                <w:right w:val="none" w:sz="0" w:space="0" w:color="auto"/>
              </w:divBdr>
            </w:div>
            <w:div w:id="2087069978">
              <w:marLeft w:val="0"/>
              <w:marRight w:val="0"/>
              <w:marTop w:val="0"/>
              <w:marBottom w:val="0"/>
              <w:divBdr>
                <w:top w:val="none" w:sz="0" w:space="0" w:color="auto"/>
                <w:left w:val="none" w:sz="0" w:space="0" w:color="auto"/>
                <w:bottom w:val="none" w:sz="0" w:space="0" w:color="auto"/>
                <w:right w:val="none" w:sz="0" w:space="0" w:color="auto"/>
              </w:divBdr>
            </w:div>
          </w:divsChild>
        </w:div>
        <w:div w:id="322050231">
          <w:marLeft w:val="0"/>
          <w:marRight w:val="0"/>
          <w:marTop w:val="0"/>
          <w:marBottom w:val="0"/>
          <w:divBdr>
            <w:top w:val="none" w:sz="0" w:space="0" w:color="auto"/>
            <w:left w:val="none" w:sz="0" w:space="0" w:color="auto"/>
            <w:bottom w:val="none" w:sz="0" w:space="0" w:color="auto"/>
            <w:right w:val="none" w:sz="0" w:space="0" w:color="auto"/>
          </w:divBdr>
        </w:div>
        <w:div w:id="323318193">
          <w:marLeft w:val="0"/>
          <w:marRight w:val="0"/>
          <w:marTop w:val="0"/>
          <w:marBottom w:val="0"/>
          <w:divBdr>
            <w:top w:val="none" w:sz="0" w:space="0" w:color="auto"/>
            <w:left w:val="none" w:sz="0" w:space="0" w:color="auto"/>
            <w:bottom w:val="none" w:sz="0" w:space="0" w:color="auto"/>
            <w:right w:val="none" w:sz="0" w:space="0" w:color="auto"/>
          </w:divBdr>
        </w:div>
        <w:div w:id="327100640">
          <w:marLeft w:val="0"/>
          <w:marRight w:val="0"/>
          <w:marTop w:val="0"/>
          <w:marBottom w:val="0"/>
          <w:divBdr>
            <w:top w:val="none" w:sz="0" w:space="0" w:color="auto"/>
            <w:left w:val="none" w:sz="0" w:space="0" w:color="auto"/>
            <w:bottom w:val="none" w:sz="0" w:space="0" w:color="auto"/>
            <w:right w:val="none" w:sz="0" w:space="0" w:color="auto"/>
          </w:divBdr>
        </w:div>
        <w:div w:id="328757258">
          <w:marLeft w:val="0"/>
          <w:marRight w:val="0"/>
          <w:marTop w:val="0"/>
          <w:marBottom w:val="0"/>
          <w:divBdr>
            <w:top w:val="none" w:sz="0" w:space="0" w:color="auto"/>
            <w:left w:val="none" w:sz="0" w:space="0" w:color="auto"/>
            <w:bottom w:val="none" w:sz="0" w:space="0" w:color="auto"/>
            <w:right w:val="none" w:sz="0" w:space="0" w:color="auto"/>
          </w:divBdr>
        </w:div>
        <w:div w:id="330060620">
          <w:marLeft w:val="0"/>
          <w:marRight w:val="0"/>
          <w:marTop w:val="0"/>
          <w:marBottom w:val="0"/>
          <w:divBdr>
            <w:top w:val="none" w:sz="0" w:space="0" w:color="auto"/>
            <w:left w:val="none" w:sz="0" w:space="0" w:color="auto"/>
            <w:bottom w:val="none" w:sz="0" w:space="0" w:color="auto"/>
            <w:right w:val="none" w:sz="0" w:space="0" w:color="auto"/>
          </w:divBdr>
        </w:div>
        <w:div w:id="331488146">
          <w:marLeft w:val="0"/>
          <w:marRight w:val="0"/>
          <w:marTop w:val="0"/>
          <w:marBottom w:val="0"/>
          <w:divBdr>
            <w:top w:val="none" w:sz="0" w:space="0" w:color="auto"/>
            <w:left w:val="none" w:sz="0" w:space="0" w:color="auto"/>
            <w:bottom w:val="none" w:sz="0" w:space="0" w:color="auto"/>
            <w:right w:val="none" w:sz="0" w:space="0" w:color="auto"/>
          </w:divBdr>
        </w:div>
        <w:div w:id="332147152">
          <w:marLeft w:val="0"/>
          <w:marRight w:val="0"/>
          <w:marTop w:val="0"/>
          <w:marBottom w:val="0"/>
          <w:divBdr>
            <w:top w:val="none" w:sz="0" w:space="0" w:color="auto"/>
            <w:left w:val="none" w:sz="0" w:space="0" w:color="auto"/>
            <w:bottom w:val="none" w:sz="0" w:space="0" w:color="auto"/>
            <w:right w:val="none" w:sz="0" w:space="0" w:color="auto"/>
          </w:divBdr>
        </w:div>
        <w:div w:id="332535176">
          <w:marLeft w:val="0"/>
          <w:marRight w:val="0"/>
          <w:marTop w:val="0"/>
          <w:marBottom w:val="0"/>
          <w:divBdr>
            <w:top w:val="none" w:sz="0" w:space="0" w:color="auto"/>
            <w:left w:val="none" w:sz="0" w:space="0" w:color="auto"/>
            <w:bottom w:val="none" w:sz="0" w:space="0" w:color="auto"/>
            <w:right w:val="none" w:sz="0" w:space="0" w:color="auto"/>
          </w:divBdr>
        </w:div>
        <w:div w:id="332612731">
          <w:marLeft w:val="0"/>
          <w:marRight w:val="0"/>
          <w:marTop w:val="0"/>
          <w:marBottom w:val="0"/>
          <w:divBdr>
            <w:top w:val="none" w:sz="0" w:space="0" w:color="auto"/>
            <w:left w:val="none" w:sz="0" w:space="0" w:color="auto"/>
            <w:bottom w:val="none" w:sz="0" w:space="0" w:color="auto"/>
            <w:right w:val="none" w:sz="0" w:space="0" w:color="auto"/>
          </w:divBdr>
        </w:div>
        <w:div w:id="333191925">
          <w:marLeft w:val="0"/>
          <w:marRight w:val="0"/>
          <w:marTop w:val="0"/>
          <w:marBottom w:val="0"/>
          <w:divBdr>
            <w:top w:val="none" w:sz="0" w:space="0" w:color="auto"/>
            <w:left w:val="none" w:sz="0" w:space="0" w:color="auto"/>
            <w:bottom w:val="none" w:sz="0" w:space="0" w:color="auto"/>
            <w:right w:val="none" w:sz="0" w:space="0" w:color="auto"/>
          </w:divBdr>
        </w:div>
        <w:div w:id="333919415">
          <w:marLeft w:val="0"/>
          <w:marRight w:val="0"/>
          <w:marTop w:val="0"/>
          <w:marBottom w:val="0"/>
          <w:divBdr>
            <w:top w:val="none" w:sz="0" w:space="0" w:color="auto"/>
            <w:left w:val="none" w:sz="0" w:space="0" w:color="auto"/>
            <w:bottom w:val="none" w:sz="0" w:space="0" w:color="auto"/>
            <w:right w:val="none" w:sz="0" w:space="0" w:color="auto"/>
          </w:divBdr>
          <w:divsChild>
            <w:div w:id="40594272">
              <w:marLeft w:val="0"/>
              <w:marRight w:val="0"/>
              <w:marTop w:val="0"/>
              <w:marBottom w:val="0"/>
              <w:divBdr>
                <w:top w:val="none" w:sz="0" w:space="0" w:color="auto"/>
                <w:left w:val="none" w:sz="0" w:space="0" w:color="auto"/>
                <w:bottom w:val="none" w:sz="0" w:space="0" w:color="auto"/>
                <w:right w:val="none" w:sz="0" w:space="0" w:color="auto"/>
              </w:divBdr>
            </w:div>
            <w:div w:id="139739173">
              <w:marLeft w:val="0"/>
              <w:marRight w:val="0"/>
              <w:marTop w:val="0"/>
              <w:marBottom w:val="0"/>
              <w:divBdr>
                <w:top w:val="none" w:sz="0" w:space="0" w:color="auto"/>
                <w:left w:val="none" w:sz="0" w:space="0" w:color="auto"/>
                <w:bottom w:val="none" w:sz="0" w:space="0" w:color="auto"/>
                <w:right w:val="none" w:sz="0" w:space="0" w:color="auto"/>
              </w:divBdr>
            </w:div>
            <w:div w:id="281349817">
              <w:marLeft w:val="0"/>
              <w:marRight w:val="0"/>
              <w:marTop w:val="0"/>
              <w:marBottom w:val="0"/>
              <w:divBdr>
                <w:top w:val="none" w:sz="0" w:space="0" w:color="auto"/>
                <w:left w:val="none" w:sz="0" w:space="0" w:color="auto"/>
                <w:bottom w:val="none" w:sz="0" w:space="0" w:color="auto"/>
                <w:right w:val="none" w:sz="0" w:space="0" w:color="auto"/>
              </w:divBdr>
            </w:div>
            <w:div w:id="302539046">
              <w:marLeft w:val="0"/>
              <w:marRight w:val="0"/>
              <w:marTop w:val="0"/>
              <w:marBottom w:val="0"/>
              <w:divBdr>
                <w:top w:val="none" w:sz="0" w:space="0" w:color="auto"/>
                <w:left w:val="none" w:sz="0" w:space="0" w:color="auto"/>
                <w:bottom w:val="none" w:sz="0" w:space="0" w:color="auto"/>
                <w:right w:val="none" w:sz="0" w:space="0" w:color="auto"/>
              </w:divBdr>
            </w:div>
            <w:div w:id="835026570">
              <w:marLeft w:val="0"/>
              <w:marRight w:val="0"/>
              <w:marTop w:val="0"/>
              <w:marBottom w:val="0"/>
              <w:divBdr>
                <w:top w:val="none" w:sz="0" w:space="0" w:color="auto"/>
                <w:left w:val="none" w:sz="0" w:space="0" w:color="auto"/>
                <w:bottom w:val="none" w:sz="0" w:space="0" w:color="auto"/>
                <w:right w:val="none" w:sz="0" w:space="0" w:color="auto"/>
              </w:divBdr>
            </w:div>
            <w:div w:id="840004610">
              <w:marLeft w:val="0"/>
              <w:marRight w:val="0"/>
              <w:marTop w:val="0"/>
              <w:marBottom w:val="0"/>
              <w:divBdr>
                <w:top w:val="none" w:sz="0" w:space="0" w:color="auto"/>
                <w:left w:val="none" w:sz="0" w:space="0" w:color="auto"/>
                <w:bottom w:val="none" w:sz="0" w:space="0" w:color="auto"/>
                <w:right w:val="none" w:sz="0" w:space="0" w:color="auto"/>
              </w:divBdr>
            </w:div>
            <w:div w:id="843979967">
              <w:marLeft w:val="0"/>
              <w:marRight w:val="0"/>
              <w:marTop w:val="0"/>
              <w:marBottom w:val="0"/>
              <w:divBdr>
                <w:top w:val="none" w:sz="0" w:space="0" w:color="auto"/>
                <w:left w:val="none" w:sz="0" w:space="0" w:color="auto"/>
                <w:bottom w:val="none" w:sz="0" w:space="0" w:color="auto"/>
                <w:right w:val="none" w:sz="0" w:space="0" w:color="auto"/>
              </w:divBdr>
            </w:div>
            <w:div w:id="992176130">
              <w:marLeft w:val="0"/>
              <w:marRight w:val="0"/>
              <w:marTop w:val="0"/>
              <w:marBottom w:val="0"/>
              <w:divBdr>
                <w:top w:val="none" w:sz="0" w:space="0" w:color="auto"/>
                <w:left w:val="none" w:sz="0" w:space="0" w:color="auto"/>
                <w:bottom w:val="none" w:sz="0" w:space="0" w:color="auto"/>
                <w:right w:val="none" w:sz="0" w:space="0" w:color="auto"/>
              </w:divBdr>
            </w:div>
            <w:div w:id="1469593558">
              <w:marLeft w:val="0"/>
              <w:marRight w:val="0"/>
              <w:marTop w:val="0"/>
              <w:marBottom w:val="0"/>
              <w:divBdr>
                <w:top w:val="none" w:sz="0" w:space="0" w:color="auto"/>
                <w:left w:val="none" w:sz="0" w:space="0" w:color="auto"/>
                <w:bottom w:val="none" w:sz="0" w:space="0" w:color="auto"/>
                <w:right w:val="none" w:sz="0" w:space="0" w:color="auto"/>
              </w:divBdr>
            </w:div>
            <w:div w:id="1539202401">
              <w:marLeft w:val="0"/>
              <w:marRight w:val="0"/>
              <w:marTop w:val="0"/>
              <w:marBottom w:val="0"/>
              <w:divBdr>
                <w:top w:val="none" w:sz="0" w:space="0" w:color="auto"/>
                <w:left w:val="none" w:sz="0" w:space="0" w:color="auto"/>
                <w:bottom w:val="none" w:sz="0" w:space="0" w:color="auto"/>
                <w:right w:val="none" w:sz="0" w:space="0" w:color="auto"/>
              </w:divBdr>
            </w:div>
            <w:div w:id="1606039116">
              <w:marLeft w:val="0"/>
              <w:marRight w:val="0"/>
              <w:marTop w:val="0"/>
              <w:marBottom w:val="0"/>
              <w:divBdr>
                <w:top w:val="none" w:sz="0" w:space="0" w:color="auto"/>
                <w:left w:val="none" w:sz="0" w:space="0" w:color="auto"/>
                <w:bottom w:val="none" w:sz="0" w:space="0" w:color="auto"/>
                <w:right w:val="none" w:sz="0" w:space="0" w:color="auto"/>
              </w:divBdr>
            </w:div>
            <w:div w:id="1755935555">
              <w:marLeft w:val="0"/>
              <w:marRight w:val="0"/>
              <w:marTop w:val="0"/>
              <w:marBottom w:val="0"/>
              <w:divBdr>
                <w:top w:val="none" w:sz="0" w:space="0" w:color="auto"/>
                <w:left w:val="none" w:sz="0" w:space="0" w:color="auto"/>
                <w:bottom w:val="none" w:sz="0" w:space="0" w:color="auto"/>
                <w:right w:val="none" w:sz="0" w:space="0" w:color="auto"/>
              </w:divBdr>
            </w:div>
            <w:div w:id="1777679451">
              <w:marLeft w:val="0"/>
              <w:marRight w:val="0"/>
              <w:marTop w:val="0"/>
              <w:marBottom w:val="0"/>
              <w:divBdr>
                <w:top w:val="none" w:sz="0" w:space="0" w:color="auto"/>
                <w:left w:val="none" w:sz="0" w:space="0" w:color="auto"/>
                <w:bottom w:val="none" w:sz="0" w:space="0" w:color="auto"/>
                <w:right w:val="none" w:sz="0" w:space="0" w:color="auto"/>
              </w:divBdr>
            </w:div>
            <w:div w:id="1877572710">
              <w:marLeft w:val="0"/>
              <w:marRight w:val="0"/>
              <w:marTop w:val="0"/>
              <w:marBottom w:val="0"/>
              <w:divBdr>
                <w:top w:val="none" w:sz="0" w:space="0" w:color="auto"/>
                <w:left w:val="none" w:sz="0" w:space="0" w:color="auto"/>
                <w:bottom w:val="none" w:sz="0" w:space="0" w:color="auto"/>
                <w:right w:val="none" w:sz="0" w:space="0" w:color="auto"/>
              </w:divBdr>
            </w:div>
            <w:div w:id="2087917159">
              <w:marLeft w:val="0"/>
              <w:marRight w:val="0"/>
              <w:marTop w:val="0"/>
              <w:marBottom w:val="0"/>
              <w:divBdr>
                <w:top w:val="none" w:sz="0" w:space="0" w:color="auto"/>
                <w:left w:val="none" w:sz="0" w:space="0" w:color="auto"/>
                <w:bottom w:val="none" w:sz="0" w:space="0" w:color="auto"/>
                <w:right w:val="none" w:sz="0" w:space="0" w:color="auto"/>
              </w:divBdr>
            </w:div>
            <w:div w:id="2111315204">
              <w:marLeft w:val="0"/>
              <w:marRight w:val="0"/>
              <w:marTop w:val="0"/>
              <w:marBottom w:val="0"/>
              <w:divBdr>
                <w:top w:val="none" w:sz="0" w:space="0" w:color="auto"/>
                <w:left w:val="none" w:sz="0" w:space="0" w:color="auto"/>
                <w:bottom w:val="none" w:sz="0" w:space="0" w:color="auto"/>
                <w:right w:val="none" w:sz="0" w:space="0" w:color="auto"/>
              </w:divBdr>
            </w:div>
          </w:divsChild>
        </w:div>
        <w:div w:id="334961538">
          <w:marLeft w:val="0"/>
          <w:marRight w:val="0"/>
          <w:marTop w:val="0"/>
          <w:marBottom w:val="0"/>
          <w:divBdr>
            <w:top w:val="none" w:sz="0" w:space="0" w:color="auto"/>
            <w:left w:val="none" w:sz="0" w:space="0" w:color="auto"/>
            <w:bottom w:val="none" w:sz="0" w:space="0" w:color="auto"/>
            <w:right w:val="none" w:sz="0" w:space="0" w:color="auto"/>
          </w:divBdr>
        </w:div>
        <w:div w:id="335423722">
          <w:marLeft w:val="0"/>
          <w:marRight w:val="0"/>
          <w:marTop w:val="0"/>
          <w:marBottom w:val="0"/>
          <w:divBdr>
            <w:top w:val="none" w:sz="0" w:space="0" w:color="auto"/>
            <w:left w:val="none" w:sz="0" w:space="0" w:color="auto"/>
            <w:bottom w:val="none" w:sz="0" w:space="0" w:color="auto"/>
            <w:right w:val="none" w:sz="0" w:space="0" w:color="auto"/>
          </w:divBdr>
        </w:div>
        <w:div w:id="336080186">
          <w:marLeft w:val="0"/>
          <w:marRight w:val="0"/>
          <w:marTop w:val="0"/>
          <w:marBottom w:val="0"/>
          <w:divBdr>
            <w:top w:val="none" w:sz="0" w:space="0" w:color="auto"/>
            <w:left w:val="none" w:sz="0" w:space="0" w:color="auto"/>
            <w:bottom w:val="none" w:sz="0" w:space="0" w:color="auto"/>
            <w:right w:val="none" w:sz="0" w:space="0" w:color="auto"/>
          </w:divBdr>
        </w:div>
        <w:div w:id="337124597">
          <w:marLeft w:val="0"/>
          <w:marRight w:val="0"/>
          <w:marTop w:val="0"/>
          <w:marBottom w:val="0"/>
          <w:divBdr>
            <w:top w:val="none" w:sz="0" w:space="0" w:color="auto"/>
            <w:left w:val="none" w:sz="0" w:space="0" w:color="auto"/>
            <w:bottom w:val="none" w:sz="0" w:space="0" w:color="auto"/>
            <w:right w:val="none" w:sz="0" w:space="0" w:color="auto"/>
          </w:divBdr>
        </w:div>
        <w:div w:id="339701371">
          <w:marLeft w:val="0"/>
          <w:marRight w:val="0"/>
          <w:marTop w:val="0"/>
          <w:marBottom w:val="0"/>
          <w:divBdr>
            <w:top w:val="none" w:sz="0" w:space="0" w:color="auto"/>
            <w:left w:val="none" w:sz="0" w:space="0" w:color="auto"/>
            <w:bottom w:val="none" w:sz="0" w:space="0" w:color="auto"/>
            <w:right w:val="none" w:sz="0" w:space="0" w:color="auto"/>
          </w:divBdr>
        </w:div>
        <w:div w:id="340352549">
          <w:marLeft w:val="0"/>
          <w:marRight w:val="0"/>
          <w:marTop w:val="0"/>
          <w:marBottom w:val="0"/>
          <w:divBdr>
            <w:top w:val="none" w:sz="0" w:space="0" w:color="auto"/>
            <w:left w:val="none" w:sz="0" w:space="0" w:color="auto"/>
            <w:bottom w:val="none" w:sz="0" w:space="0" w:color="auto"/>
            <w:right w:val="none" w:sz="0" w:space="0" w:color="auto"/>
          </w:divBdr>
          <w:divsChild>
            <w:div w:id="10839087">
              <w:marLeft w:val="0"/>
              <w:marRight w:val="0"/>
              <w:marTop w:val="0"/>
              <w:marBottom w:val="0"/>
              <w:divBdr>
                <w:top w:val="none" w:sz="0" w:space="0" w:color="auto"/>
                <w:left w:val="none" w:sz="0" w:space="0" w:color="auto"/>
                <w:bottom w:val="none" w:sz="0" w:space="0" w:color="auto"/>
                <w:right w:val="none" w:sz="0" w:space="0" w:color="auto"/>
              </w:divBdr>
            </w:div>
            <w:div w:id="91895812">
              <w:marLeft w:val="0"/>
              <w:marRight w:val="0"/>
              <w:marTop w:val="0"/>
              <w:marBottom w:val="0"/>
              <w:divBdr>
                <w:top w:val="none" w:sz="0" w:space="0" w:color="auto"/>
                <w:left w:val="none" w:sz="0" w:space="0" w:color="auto"/>
                <w:bottom w:val="none" w:sz="0" w:space="0" w:color="auto"/>
                <w:right w:val="none" w:sz="0" w:space="0" w:color="auto"/>
              </w:divBdr>
            </w:div>
            <w:div w:id="124003791">
              <w:marLeft w:val="0"/>
              <w:marRight w:val="0"/>
              <w:marTop w:val="0"/>
              <w:marBottom w:val="0"/>
              <w:divBdr>
                <w:top w:val="none" w:sz="0" w:space="0" w:color="auto"/>
                <w:left w:val="none" w:sz="0" w:space="0" w:color="auto"/>
                <w:bottom w:val="none" w:sz="0" w:space="0" w:color="auto"/>
                <w:right w:val="none" w:sz="0" w:space="0" w:color="auto"/>
              </w:divBdr>
            </w:div>
            <w:div w:id="321550057">
              <w:marLeft w:val="0"/>
              <w:marRight w:val="0"/>
              <w:marTop w:val="0"/>
              <w:marBottom w:val="0"/>
              <w:divBdr>
                <w:top w:val="none" w:sz="0" w:space="0" w:color="auto"/>
                <w:left w:val="none" w:sz="0" w:space="0" w:color="auto"/>
                <w:bottom w:val="none" w:sz="0" w:space="0" w:color="auto"/>
                <w:right w:val="none" w:sz="0" w:space="0" w:color="auto"/>
              </w:divBdr>
            </w:div>
            <w:div w:id="518355438">
              <w:marLeft w:val="0"/>
              <w:marRight w:val="0"/>
              <w:marTop w:val="0"/>
              <w:marBottom w:val="0"/>
              <w:divBdr>
                <w:top w:val="none" w:sz="0" w:space="0" w:color="auto"/>
                <w:left w:val="none" w:sz="0" w:space="0" w:color="auto"/>
                <w:bottom w:val="none" w:sz="0" w:space="0" w:color="auto"/>
                <w:right w:val="none" w:sz="0" w:space="0" w:color="auto"/>
              </w:divBdr>
            </w:div>
            <w:div w:id="529757896">
              <w:marLeft w:val="0"/>
              <w:marRight w:val="0"/>
              <w:marTop w:val="0"/>
              <w:marBottom w:val="0"/>
              <w:divBdr>
                <w:top w:val="none" w:sz="0" w:space="0" w:color="auto"/>
                <w:left w:val="none" w:sz="0" w:space="0" w:color="auto"/>
                <w:bottom w:val="none" w:sz="0" w:space="0" w:color="auto"/>
                <w:right w:val="none" w:sz="0" w:space="0" w:color="auto"/>
              </w:divBdr>
            </w:div>
            <w:div w:id="680936269">
              <w:marLeft w:val="0"/>
              <w:marRight w:val="0"/>
              <w:marTop w:val="0"/>
              <w:marBottom w:val="0"/>
              <w:divBdr>
                <w:top w:val="none" w:sz="0" w:space="0" w:color="auto"/>
                <w:left w:val="none" w:sz="0" w:space="0" w:color="auto"/>
                <w:bottom w:val="none" w:sz="0" w:space="0" w:color="auto"/>
                <w:right w:val="none" w:sz="0" w:space="0" w:color="auto"/>
              </w:divBdr>
            </w:div>
            <w:div w:id="798573444">
              <w:marLeft w:val="0"/>
              <w:marRight w:val="0"/>
              <w:marTop w:val="0"/>
              <w:marBottom w:val="0"/>
              <w:divBdr>
                <w:top w:val="none" w:sz="0" w:space="0" w:color="auto"/>
                <w:left w:val="none" w:sz="0" w:space="0" w:color="auto"/>
                <w:bottom w:val="none" w:sz="0" w:space="0" w:color="auto"/>
                <w:right w:val="none" w:sz="0" w:space="0" w:color="auto"/>
              </w:divBdr>
            </w:div>
            <w:div w:id="880946898">
              <w:marLeft w:val="0"/>
              <w:marRight w:val="0"/>
              <w:marTop w:val="0"/>
              <w:marBottom w:val="0"/>
              <w:divBdr>
                <w:top w:val="none" w:sz="0" w:space="0" w:color="auto"/>
                <w:left w:val="none" w:sz="0" w:space="0" w:color="auto"/>
                <w:bottom w:val="none" w:sz="0" w:space="0" w:color="auto"/>
                <w:right w:val="none" w:sz="0" w:space="0" w:color="auto"/>
              </w:divBdr>
            </w:div>
            <w:div w:id="1023437957">
              <w:marLeft w:val="0"/>
              <w:marRight w:val="0"/>
              <w:marTop w:val="0"/>
              <w:marBottom w:val="0"/>
              <w:divBdr>
                <w:top w:val="none" w:sz="0" w:space="0" w:color="auto"/>
                <w:left w:val="none" w:sz="0" w:space="0" w:color="auto"/>
                <w:bottom w:val="none" w:sz="0" w:space="0" w:color="auto"/>
                <w:right w:val="none" w:sz="0" w:space="0" w:color="auto"/>
              </w:divBdr>
            </w:div>
            <w:div w:id="1071854283">
              <w:marLeft w:val="0"/>
              <w:marRight w:val="0"/>
              <w:marTop w:val="0"/>
              <w:marBottom w:val="0"/>
              <w:divBdr>
                <w:top w:val="none" w:sz="0" w:space="0" w:color="auto"/>
                <w:left w:val="none" w:sz="0" w:space="0" w:color="auto"/>
                <w:bottom w:val="none" w:sz="0" w:space="0" w:color="auto"/>
                <w:right w:val="none" w:sz="0" w:space="0" w:color="auto"/>
              </w:divBdr>
            </w:div>
            <w:div w:id="1219320859">
              <w:marLeft w:val="0"/>
              <w:marRight w:val="0"/>
              <w:marTop w:val="0"/>
              <w:marBottom w:val="0"/>
              <w:divBdr>
                <w:top w:val="none" w:sz="0" w:space="0" w:color="auto"/>
                <w:left w:val="none" w:sz="0" w:space="0" w:color="auto"/>
                <w:bottom w:val="none" w:sz="0" w:space="0" w:color="auto"/>
                <w:right w:val="none" w:sz="0" w:space="0" w:color="auto"/>
              </w:divBdr>
            </w:div>
            <w:div w:id="1571577863">
              <w:marLeft w:val="0"/>
              <w:marRight w:val="0"/>
              <w:marTop w:val="0"/>
              <w:marBottom w:val="0"/>
              <w:divBdr>
                <w:top w:val="none" w:sz="0" w:space="0" w:color="auto"/>
                <w:left w:val="none" w:sz="0" w:space="0" w:color="auto"/>
                <w:bottom w:val="none" w:sz="0" w:space="0" w:color="auto"/>
                <w:right w:val="none" w:sz="0" w:space="0" w:color="auto"/>
              </w:divBdr>
            </w:div>
            <w:div w:id="1781413220">
              <w:marLeft w:val="0"/>
              <w:marRight w:val="0"/>
              <w:marTop w:val="0"/>
              <w:marBottom w:val="0"/>
              <w:divBdr>
                <w:top w:val="none" w:sz="0" w:space="0" w:color="auto"/>
                <w:left w:val="none" w:sz="0" w:space="0" w:color="auto"/>
                <w:bottom w:val="none" w:sz="0" w:space="0" w:color="auto"/>
                <w:right w:val="none" w:sz="0" w:space="0" w:color="auto"/>
              </w:divBdr>
            </w:div>
            <w:div w:id="1921286049">
              <w:marLeft w:val="0"/>
              <w:marRight w:val="0"/>
              <w:marTop w:val="0"/>
              <w:marBottom w:val="0"/>
              <w:divBdr>
                <w:top w:val="none" w:sz="0" w:space="0" w:color="auto"/>
                <w:left w:val="none" w:sz="0" w:space="0" w:color="auto"/>
                <w:bottom w:val="none" w:sz="0" w:space="0" w:color="auto"/>
                <w:right w:val="none" w:sz="0" w:space="0" w:color="auto"/>
              </w:divBdr>
            </w:div>
            <w:div w:id="2034115386">
              <w:marLeft w:val="0"/>
              <w:marRight w:val="0"/>
              <w:marTop w:val="0"/>
              <w:marBottom w:val="0"/>
              <w:divBdr>
                <w:top w:val="none" w:sz="0" w:space="0" w:color="auto"/>
                <w:left w:val="none" w:sz="0" w:space="0" w:color="auto"/>
                <w:bottom w:val="none" w:sz="0" w:space="0" w:color="auto"/>
                <w:right w:val="none" w:sz="0" w:space="0" w:color="auto"/>
              </w:divBdr>
            </w:div>
            <w:div w:id="2089770104">
              <w:marLeft w:val="0"/>
              <w:marRight w:val="0"/>
              <w:marTop w:val="0"/>
              <w:marBottom w:val="0"/>
              <w:divBdr>
                <w:top w:val="none" w:sz="0" w:space="0" w:color="auto"/>
                <w:left w:val="none" w:sz="0" w:space="0" w:color="auto"/>
                <w:bottom w:val="none" w:sz="0" w:space="0" w:color="auto"/>
                <w:right w:val="none" w:sz="0" w:space="0" w:color="auto"/>
              </w:divBdr>
            </w:div>
          </w:divsChild>
        </w:div>
        <w:div w:id="340426230">
          <w:marLeft w:val="0"/>
          <w:marRight w:val="0"/>
          <w:marTop w:val="0"/>
          <w:marBottom w:val="0"/>
          <w:divBdr>
            <w:top w:val="none" w:sz="0" w:space="0" w:color="auto"/>
            <w:left w:val="none" w:sz="0" w:space="0" w:color="auto"/>
            <w:bottom w:val="none" w:sz="0" w:space="0" w:color="auto"/>
            <w:right w:val="none" w:sz="0" w:space="0" w:color="auto"/>
          </w:divBdr>
        </w:div>
        <w:div w:id="341855340">
          <w:marLeft w:val="0"/>
          <w:marRight w:val="0"/>
          <w:marTop w:val="0"/>
          <w:marBottom w:val="0"/>
          <w:divBdr>
            <w:top w:val="none" w:sz="0" w:space="0" w:color="auto"/>
            <w:left w:val="none" w:sz="0" w:space="0" w:color="auto"/>
            <w:bottom w:val="none" w:sz="0" w:space="0" w:color="auto"/>
            <w:right w:val="none" w:sz="0" w:space="0" w:color="auto"/>
          </w:divBdr>
        </w:div>
        <w:div w:id="344406360">
          <w:marLeft w:val="0"/>
          <w:marRight w:val="0"/>
          <w:marTop w:val="0"/>
          <w:marBottom w:val="0"/>
          <w:divBdr>
            <w:top w:val="none" w:sz="0" w:space="0" w:color="auto"/>
            <w:left w:val="none" w:sz="0" w:space="0" w:color="auto"/>
            <w:bottom w:val="none" w:sz="0" w:space="0" w:color="auto"/>
            <w:right w:val="none" w:sz="0" w:space="0" w:color="auto"/>
          </w:divBdr>
        </w:div>
        <w:div w:id="345138309">
          <w:marLeft w:val="0"/>
          <w:marRight w:val="0"/>
          <w:marTop w:val="0"/>
          <w:marBottom w:val="0"/>
          <w:divBdr>
            <w:top w:val="none" w:sz="0" w:space="0" w:color="auto"/>
            <w:left w:val="none" w:sz="0" w:space="0" w:color="auto"/>
            <w:bottom w:val="none" w:sz="0" w:space="0" w:color="auto"/>
            <w:right w:val="none" w:sz="0" w:space="0" w:color="auto"/>
          </w:divBdr>
        </w:div>
        <w:div w:id="345710550">
          <w:marLeft w:val="0"/>
          <w:marRight w:val="0"/>
          <w:marTop w:val="0"/>
          <w:marBottom w:val="0"/>
          <w:divBdr>
            <w:top w:val="none" w:sz="0" w:space="0" w:color="auto"/>
            <w:left w:val="none" w:sz="0" w:space="0" w:color="auto"/>
            <w:bottom w:val="none" w:sz="0" w:space="0" w:color="auto"/>
            <w:right w:val="none" w:sz="0" w:space="0" w:color="auto"/>
          </w:divBdr>
        </w:div>
        <w:div w:id="348289684">
          <w:marLeft w:val="0"/>
          <w:marRight w:val="0"/>
          <w:marTop w:val="0"/>
          <w:marBottom w:val="0"/>
          <w:divBdr>
            <w:top w:val="none" w:sz="0" w:space="0" w:color="auto"/>
            <w:left w:val="none" w:sz="0" w:space="0" w:color="auto"/>
            <w:bottom w:val="none" w:sz="0" w:space="0" w:color="auto"/>
            <w:right w:val="none" w:sz="0" w:space="0" w:color="auto"/>
          </w:divBdr>
        </w:div>
        <w:div w:id="348992883">
          <w:marLeft w:val="0"/>
          <w:marRight w:val="0"/>
          <w:marTop w:val="0"/>
          <w:marBottom w:val="0"/>
          <w:divBdr>
            <w:top w:val="none" w:sz="0" w:space="0" w:color="auto"/>
            <w:left w:val="none" w:sz="0" w:space="0" w:color="auto"/>
            <w:bottom w:val="none" w:sz="0" w:space="0" w:color="auto"/>
            <w:right w:val="none" w:sz="0" w:space="0" w:color="auto"/>
          </w:divBdr>
        </w:div>
        <w:div w:id="350495889">
          <w:marLeft w:val="0"/>
          <w:marRight w:val="0"/>
          <w:marTop w:val="0"/>
          <w:marBottom w:val="0"/>
          <w:divBdr>
            <w:top w:val="none" w:sz="0" w:space="0" w:color="auto"/>
            <w:left w:val="none" w:sz="0" w:space="0" w:color="auto"/>
            <w:bottom w:val="none" w:sz="0" w:space="0" w:color="auto"/>
            <w:right w:val="none" w:sz="0" w:space="0" w:color="auto"/>
          </w:divBdr>
        </w:div>
        <w:div w:id="350573401">
          <w:marLeft w:val="0"/>
          <w:marRight w:val="0"/>
          <w:marTop w:val="0"/>
          <w:marBottom w:val="0"/>
          <w:divBdr>
            <w:top w:val="none" w:sz="0" w:space="0" w:color="auto"/>
            <w:left w:val="none" w:sz="0" w:space="0" w:color="auto"/>
            <w:bottom w:val="none" w:sz="0" w:space="0" w:color="auto"/>
            <w:right w:val="none" w:sz="0" w:space="0" w:color="auto"/>
          </w:divBdr>
        </w:div>
        <w:div w:id="352152281">
          <w:marLeft w:val="0"/>
          <w:marRight w:val="0"/>
          <w:marTop w:val="0"/>
          <w:marBottom w:val="0"/>
          <w:divBdr>
            <w:top w:val="none" w:sz="0" w:space="0" w:color="auto"/>
            <w:left w:val="none" w:sz="0" w:space="0" w:color="auto"/>
            <w:bottom w:val="none" w:sz="0" w:space="0" w:color="auto"/>
            <w:right w:val="none" w:sz="0" w:space="0" w:color="auto"/>
          </w:divBdr>
        </w:div>
        <w:div w:id="354892476">
          <w:marLeft w:val="0"/>
          <w:marRight w:val="0"/>
          <w:marTop w:val="0"/>
          <w:marBottom w:val="0"/>
          <w:divBdr>
            <w:top w:val="none" w:sz="0" w:space="0" w:color="auto"/>
            <w:left w:val="none" w:sz="0" w:space="0" w:color="auto"/>
            <w:bottom w:val="none" w:sz="0" w:space="0" w:color="auto"/>
            <w:right w:val="none" w:sz="0" w:space="0" w:color="auto"/>
          </w:divBdr>
        </w:div>
        <w:div w:id="355615363">
          <w:marLeft w:val="0"/>
          <w:marRight w:val="0"/>
          <w:marTop w:val="0"/>
          <w:marBottom w:val="0"/>
          <w:divBdr>
            <w:top w:val="none" w:sz="0" w:space="0" w:color="auto"/>
            <w:left w:val="none" w:sz="0" w:space="0" w:color="auto"/>
            <w:bottom w:val="none" w:sz="0" w:space="0" w:color="auto"/>
            <w:right w:val="none" w:sz="0" w:space="0" w:color="auto"/>
          </w:divBdr>
        </w:div>
        <w:div w:id="357244839">
          <w:marLeft w:val="0"/>
          <w:marRight w:val="0"/>
          <w:marTop w:val="0"/>
          <w:marBottom w:val="0"/>
          <w:divBdr>
            <w:top w:val="none" w:sz="0" w:space="0" w:color="auto"/>
            <w:left w:val="none" w:sz="0" w:space="0" w:color="auto"/>
            <w:bottom w:val="none" w:sz="0" w:space="0" w:color="auto"/>
            <w:right w:val="none" w:sz="0" w:space="0" w:color="auto"/>
          </w:divBdr>
          <w:divsChild>
            <w:div w:id="39398922">
              <w:marLeft w:val="0"/>
              <w:marRight w:val="0"/>
              <w:marTop w:val="0"/>
              <w:marBottom w:val="0"/>
              <w:divBdr>
                <w:top w:val="none" w:sz="0" w:space="0" w:color="auto"/>
                <w:left w:val="none" w:sz="0" w:space="0" w:color="auto"/>
                <w:bottom w:val="none" w:sz="0" w:space="0" w:color="auto"/>
                <w:right w:val="none" w:sz="0" w:space="0" w:color="auto"/>
              </w:divBdr>
            </w:div>
            <w:div w:id="97259928">
              <w:marLeft w:val="0"/>
              <w:marRight w:val="0"/>
              <w:marTop w:val="0"/>
              <w:marBottom w:val="0"/>
              <w:divBdr>
                <w:top w:val="none" w:sz="0" w:space="0" w:color="auto"/>
                <w:left w:val="none" w:sz="0" w:space="0" w:color="auto"/>
                <w:bottom w:val="none" w:sz="0" w:space="0" w:color="auto"/>
                <w:right w:val="none" w:sz="0" w:space="0" w:color="auto"/>
              </w:divBdr>
            </w:div>
            <w:div w:id="378018532">
              <w:marLeft w:val="0"/>
              <w:marRight w:val="0"/>
              <w:marTop w:val="0"/>
              <w:marBottom w:val="0"/>
              <w:divBdr>
                <w:top w:val="none" w:sz="0" w:space="0" w:color="auto"/>
                <w:left w:val="none" w:sz="0" w:space="0" w:color="auto"/>
                <w:bottom w:val="none" w:sz="0" w:space="0" w:color="auto"/>
                <w:right w:val="none" w:sz="0" w:space="0" w:color="auto"/>
              </w:divBdr>
            </w:div>
            <w:div w:id="430395307">
              <w:marLeft w:val="0"/>
              <w:marRight w:val="0"/>
              <w:marTop w:val="0"/>
              <w:marBottom w:val="0"/>
              <w:divBdr>
                <w:top w:val="none" w:sz="0" w:space="0" w:color="auto"/>
                <w:left w:val="none" w:sz="0" w:space="0" w:color="auto"/>
                <w:bottom w:val="none" w:sz="0" w:space="0" w:color="auto"/>
                <w:right w:val="none" w:sz="0" w:space="0" w:color="auto"/>
              </w:divBdr>
            </w:div>
            <w:div w:id="679284850">
              <w:marLeft w:val="0"/>
              <w:marRight w:val="0"/>
              <w:marTop w:val="0"/>
              <w:marBottom w:val="0"/>
              <w:divBdr>
                <w:top w:val="none" w:sz="0" w:space="0" w:color="auto"/>
                <w:left w:val="none" w:sz="0" w:space="0" w:color="auto"/>
                <w:bottom w:val="none" w:sz="0" w:space="0" w:color="auto"/>
                <w:right w:val="none" w:sz="0" w:space="0" w:color="auto"/>
              </w:divBdr>
            </w:div>
            <w:div w:id="697050086">
              <w:marLeft w:val="0"/>
              <w:marRight w:val="0"/>
              <w:marTop w:val="0"/>
              <w:marBottom w:val="0"/>
              <w:divBdr>
                <w:top w:val="none" w:sz="0" w:space="0" w:color="auto"/>
                <w:left w:val="none" w:sz="0" w:space="0" w:color="auto"/>
                <w:bottom w:val="none" w:sz="0" w:space="0" w:color="auto"/>
                <w:right w:val="none" w:sz="0" w:space="0" w:color="auto"/>
              </w:divBdr>
            </w:div>
            <w:div w:id="715737245">
              <w:marLeft w:val="0"/>
              <w:marRight w:val="0"/>
              <w:marTop w:val="0"/>
              <w:marBottom w:val="0"/>
              <w:divBdr>
                <w:top w:val="none" w:sz="0" w:space="0" w:color="auto"/>
                <w:left w:val="none" w:sz="0" w:space="0" w:color="auto"/>
                <w:bottom w:val="none" w:sz="0" w:space="0" w:color="auto"/>
                <w:right w:val="none" w:sz="0" w:space="0" w:color="auto"/>
              </w:divBdr>
            </w:div>
            <w:div w:id="805243356">
              <w:marLeft w:val="0"/>
              <w:marRight w:val="0"/>
              <w:marTop w:val="0"/>
              <w:marBottom w:val="0"/>
              <w:divBdr>
                <w:top w:val="none" w:sz="0" w:space="0" w:color="auto"/>
                <w:left w:val="none" w:sz="0" w:space="0" w:color="auto"/>
                <w:bottom w:val="none" w:sz="0" w:space="0" w:color="auto"/>
                <w:right w:val="none" w:sz="0" w:space="0" w:color="auto"/>
              </w:divBdr>
            </w:div>
            <w:div w:id="872574818">
              <w:marLeft w:val="0"/>
              <w:marRight w:val="0"/>
              <w:marTop w:val="0"/>
              <w:marBottom w:val="0"/>
              <w:divBdr>
                <w:top w:val="none" w:sz="0" w:space="0" w:color="auto"/>
                <w:left w:val="none" w:sz="0" w:space="0" w:color="auto"/>
                <w:bottom w:val="none" w:sz="0" w:space="0" w:color="auto"/>
                <w:right w:val="none" w:sz="0" w:space="0" w:color="auto"/>
              </w:divBdr>
            </w:div>
            <w:div w:id="1119445887">
              <w:marLeft w:val="0"/>
              <w:marRight w:val="0"/>
              <w:marTop w:val="0"/>
              <w:marBottom w:val="0"/>
              <w:divBdr>
                <w:top w:val="none" w:sz="0" w:space="0" w:color="auto"/>
                <w:left w:val="none" w:sz="0" w:space="0" w:color="auto"/>
                <w:bottom w:val="none" w:sz="0" w:space="0" w:color="auto"/>
                <w:right w:val="none" w:sz="0" w:space="0" w:color="auto"/>
              </w:divBdr>
            </w:div>
            <w:div w:id="1211310376">
              <w:marLeft w:val="0"/>
              <w:marRight w:val="0"/>
              <w:marTop w:val="0"/>
              <w:marBottom w:val="0"/>
              <w:divBdr>
                <w:top w:val="none" w:sz="0" w:space="0" w:color="auto"/>
                <w:left w:val="none" w:sz="0" w:space="0" w:color="auto"/>
                <w:bottom w:val="none" w:sz="0" w:space="0" w:color="auto"/>
                <w:right w:val="none" w:sz="0" w:space="0" w:color="auto"/>
              </w:divBdr>
            </w:div>
            <w:div w:id="1256986373">
              <w:marLeft w:val="0"/>
              <w:marRight w:val="0"/>
              <w:marTop w:val="0"/>
              <w:marBottom w:val="0"/>
              <w:divBdr>
                <w:top w:val="none" w:sz="0" w:space="0" w:color="auto"/>
                <w:left w:val="none" w:sz="0" w:space="0" w:color="auto"/>
                <w:bottom w:val="none" w:sz="0" w:space="0" w:color="auto"/>
                <w:right w:val="none" w:sz="0" w:space="0" w:color="auto"/>
              </w:divBdr>
            </w:div>
            <w:div w:id="1317344042">
              <w:marLeft w:val="0"/>
              <w:marRight w:val="0"/>
              <w:marTop w:val="0"/>
              <w:marBottom w:val="0"/>
              <w:divBdr>
                <w:top w:val="none" w:sz="0" w:space="0" w:color="auto"/>
                <w:left w:val="none" w:sz="0" w:space="0" w:color="auto"/>
                <w:bottom w:val="none" w:sz="0" w:space="0" w:color="auto"/>
                <w:right w:val="none" w:sz="0" w:space="0" w:color="auto"/>
              </w:divBdr>
            </w:div>
            <w:div w:id="1551570601">
              <w:marLeft w:val="0"/>
              <w:marRight w:val="0"/>
              <w:marTop w:val="0"/>
              <w:marBottom w:val="0"/>
              <w:divBdr>
                <w:top w:val="none" w:sz="0" w:space="0" w:color="auto"/>
                <w:left w:val="none" w:sz="0" w:space="0" w:color="auto"/>
                <w:bottom w:val="none" w:sz="0" w:space="0" w:color="auto"/>
                <w:right w:val="none" w:sz="0" w:space="0" w:color="auto"/>
              </w:divBdr>
            </w:div>
            <w:div w:id="1642539965">
              <w:marLeft w:val="0"/>
              <w:marRight w:val="0"/>
              <w:marTop w:val="0"/>
              <w:marBottom w:val="0"/>
              <w:divBdr>
                <w:top w:val="none" w:sz="0" w:space="0" w:color="auto"/>
                <w:left w:val="none" w:sz="0" w:space="0" w:color="auto"/>
                <w:bottom w:val="none" w:sz="0" w:space="0" w:color="auto"/>
                <w:right w:val="none" w:sz="0" w:space="0" w:color="auto"/>
              </w:divBdr>
            </w:div>
            <w:div w:id="1736851537">
              <w:marLeft w:val="0"/>
              <w:marRight w:val="0"/>
              <w:marTop w:val="0"/>
              <w:marBottom w:val="0"/>
              <w:divBdr>
                <w:top w:val="none" w:sz="0" w:space="0" w:color="auto"/>
                <w:left w:val="none" w:sz="0" w:space="0" w:color="auto"/>
                <w:bottom w:val="none" w:sz="0" w:space="0" w:color="auto"/>
                <w:right w:val="none" w:sz="0" w:space="0" w:color="auto"/>
              </w:divBdr>
            </w:div>
            <w:div w:id="1826357509">
              <w:marLeft w:val="0"/>
              <w:marRight w:val="0"/>
              <w:marTop w:val="0"/>
              <w:marBottom w:val="0"/>
              <w:divBdr>
                <w:top w:val="none" w:sz="0" w:space="0" w:color="auto"/>
                <w:left w:val="none" w:sz="0" w:space="0" w:color="auto"/>
                <w:bottom w:val="none" w:sz="0" w:space="0" w:color="auto"/>
                <w:right w:val="none" w:sz="0" w:space="0" w:color="auto"/>
              </w:divBdr>
            </w:div>
            <w:div w:id="2145082251">
              <w:marLeft w:val="0"/>
              <w:marRight w:val="0"/>
              <w:marTop w:val="0"/>
              <w:marBottom w:val="0"/>
              <w:divBdr>
                <w:top w:val="none" w:sz="0" w:space="0" w:color="auto"/>
                <w:left w:val="none" w:sz="0" w:space="0" w:color="auto"/>
                <w:bottom w:val="none" w:sz="0" w:space="0" w:color="auto"/>
                <w:right w:val="none" w:sz="0" w:space="0" w:color="auto"/>
              </w:divBdr>
            </w:div>
          </w:divsChild>
        </w:div>
        <w:div w:id="358052402">
          <w:marLeft w:val="0"/>
          <w:marRight w:val="0"/>
          <w:marTop w:val="0"/>
          <w:marBottom w:val="0"/>
          <w:divBdr>
            <w:top w:val="none" w:sz="0" w:space="0" w:color="auto"/>
            <w:left w:val="none" w:sz="0" w:space="0" w:color="auto"/>
            <w:bottom w:val="none" w:sz="0" w:space="0" w:color="auto"/>
            <w:right w:val="none" w:sz="0" w:space="0" w:color="auto"/>
          </w:divBdr>
        </w:div>
        <w:div w:id="360474005">
          <w:marLeft w:val="0"/>
          <w:marRight w:val="0"/>
          <w:marTop w:val="0"/>
          <w:marBottom w:val="0"/>
          <w:divBdr>
            <w:top w:val="none" w:sz="0" w:space="0" w:color="auto"/>
            <w:left w:val="none" w:sz="0" w:space="0" w:color="auto"/>
            <w:bottom w:val="none" w:sz="0" w:space="0" w:color="auto"/>
            <w:right w:val="none" w:sz="0" w:space="0" w:color="auto"/>
          </w:divBdr>
        </w:div>
        <w:div w:id="362369683">
          <w:marLeft w:val="0"/>
          <w:marRight w:val="0"/>
          <w:marTop w:val="0"/>
          <w:marBottom w:val="0"/>
          <w:divBdr>
            <w:top w:val="none" w:sz="0" w:space="0" w:color="auto"/>
            <w:left w:val="none" w:sz="0" w:space="0" w:color="auto"/>
            <w:bottom w:val="none" w:sz="0" w:space="0" w:color="auto"/>
            <w:right w:val="none" w:sz="0" w:space="0" w:color="auto"/>
          </w:divBdr>
        </w:div>
        <w:div w:id="363016797">
          <w:marLeft w:val="0"/>
          <w:marRight w:val="0"/>
          <w:marTop w:val="0"/>
          <w:marBottom w:val="0"/>
          <w:divBdr>
            <w:top w:val="none" w:sz="0" w:space="0" w:color="auto"/>
            <w:left w:val="none" w:sz="0" w:space="0" w:color="auto"/>
            <w:bottom w:val="none" w:sz="0" w:space="0" w:color="auto"/>
            <w:right w:val="none" w:sz="0" w:space="0" w:color="auto"/>
          </w:divBdr>
        </w:div>
        <w:div w:id="363291698">
          <w:marLeft w:val="0"/>
          <w:marRight w:val="0"/>
          <w:marTop w:val="0"/>
          <w:marBottom w:val="0"/>
          <w:divBdr>
            <w:top w:val="none" w:sz="0" w:space="0" w:color="auto"/>
            <w:left w:val="none" w:sz="0" w:space="0" w:color="auto"/>
            <w:bottom w:val="none" w:sz="0" w:space="0" w:color="auto"/>
            <w:right w:val="none" w:sz="0" w:space="0" w:color="auto"/>
          </w:divBdr>
        </w:div>
        <w:div w:id="364062727">
          <w:marLeft w:val="0"/>
          <w:marRight w:val="0"/>
          <w:marTop w:val="0"/>
          <w:marBottom w:val="0"/>
          <w:divBdr>
            <w:top w:val="none" w:sz="0" w:space="0" w:color="auto"/>
            <w:left w:val="none" w:sz="0" w:space="0" w:color="auto"/>
            <w:bottom w:val="none" w:sz="0" w:space="0" w:color="auto"/>
            <w:right w:val="none" w:sz="0" w:space="0" w:color="auto"/>
          </w:divBdr>
        </w:div>
        <w:div w:id="364912277">
          <w:marLeft w:val="0"/>
          <w:marRight w:val="0"/>
          <w:marTop w:val="0"/>
          <w:marBottom w:val="0"/>
          <w:divBdr>
            <w:top w:val="none" w:sz="0" w:space="0" w:color="auto"/>
            <w:left w:val="none" w:sz="0" w:space="0" w:color="auto"/>
            <w:bottom w:val="none" w:sz="0" w:space="0" w:color="auto"/>
            <w:right w:val="none" w:sz="0" w:space="0" w:color="auto"/>
          </w:divBdr>
        </w:div>
        <w:div w:id="366105257">
          <w:marLeft w:val="0"/>
          <w:marRight w:val="0"/>
          <w:marTop w:val="0"/>
          <w:marBottom w:val="0"/>
          <w:divBdr>
            <w:top w:val="none" w:sz="0" w:space="0" w:color="auto"/>
            <w:left w:val="none" w:sz="0" w:space="0" w:color="auto"/>
            <w:bottom w:val="none" w:sz="0" w:space="0" w:color="auto"/>
            <w:right w:val="none" w:sz="0" w:space="0" w:color="auto"/>
          </w:divBdr>
        </w:div>
        <w:div w:id="367485662">
          <w:marLeft w:val="0"/>
          <w:marRight w:val="0"/>
          <w:marTop w:val="0"/>
          <w:marBottom w:val="0"/>
          <w:divBdr>
            <w:top w:val="none" w:sz="0" w:space="0" w:color="auto"/>
            <w:left w:val="none" w:sz="0" w:space="0" w:color="auto"/>
            <w:bottom w:val="none" w:sz="0" w:space="0" w:color="auto"/>
            <w:right w:val="none" w:sz="0" w:space="0" w:color="auto"/>
          </w:divBdr>
        </w:div>
        <w:div w:id="367491930">
          <w:marLeft w:val="0"/>
          <w:marRight w:val="0"/>
          <w:marTop w:val="0"/>
          <w:marBottom w:val="0"/>
          <w:divBdr>
            <w:top w:val="none" w:sz="0" w:space="0" w:color="auto"/>
            <w:left w:val="none" w:sz="0" w:space="0" w:color="auto"/>
            <w:bottom w:val="none" w:sz="0" w:space="0" w:color="auto"/>
            <w:right w:val="none" w:sz="0" w:space="0" w:color="auto"/>
          </w:divBdr>
        </w:div>
        <w:div w:id="367920446">
          <w:marLeft w:val="0"/>
          <w:marRight w:val="0"/>
          <w:marTop w:val="0"/>
          <w:marBottom w:val="0"/>
          <w:divBdr>
            <w:top w:val="none" w:sz="0" w:space="0" w:color="auto"/>
            <w:left w:val="none" w:sz="0" w:space="0" w:color="auto"/>
            <w:bottom w:val="none" w:sz="0" w:space="0" w:color="auto"/>
            <w:right w:val="none" w:sz="0" w:space="0" w:color="auto"/>
          </w:divBdr>
        </w:div>
        <w:div w:id="371655554">
          <w:marLeft w:val="0"/>
          <w:marRight w:val="0"/>
          <w:marTop w:val="0"/>
          <w:marBottom w:val="0"/>
          <w:divBdr>
            <w:top w:val="none" w:sz="0" w:space="0" w:color="auto"/>
            <w:left w:val="none" w:sz="0" w:space="0" w:color="auto"/>
            <w:bottom w:val="none" w:sz="0" w:space="0" w:color="auto"/>
            <w:right w:val="none" w:sz="0" w:space="0" w:color="auto"/>
          </w:divBdr>
        </w:div>
        <w:div w:id="372317611">
          <w:marLeft w:val="0"/>
          <w:marRight w:val="0"/>
          <w:marTop w:val="0"/>
          <w:marBottom w:val="0"/>
          <w:divBdr>
            <w:top w:val="none" w:sz="0" w:space="0" w:color="auto"/>
            <w:left w:val="none" w:sz="0" w:space="0" w:color="auto"/>
            <w:bottom w:val="none" w:sz="0" w:space="0" w:color="auto"/>
            <w:right w:val="none" w:sz="0" w:space="0" w:color="auto"/>
          </w:divBdr>
        </w:div>
        <w:div w:id="376391940">
          <w:marLeft w:val="0"/>
          <w:marRight w:val="0"/>
          <w:marTop w:val="0"/>
          <w:marBottom w:val="0"/>
          <w:divBdr>
            <w:top w:val="none" w:sz="0" w:space="0" w:color="auto"/>
            <w:left w:val="none" w:sz="0" w:space="0" w:color="auto"/>
            <w:bottom w:val="none" w:sz="0" w:space="0" w:color="auto"/>
            <w:right w:val="none" w:sz="0" w:space="0" w:color="auto"/>
          </w:divBdr>
        </w:div>
        <w:div w:id="377777656">
          <w:marLeft w:val="0"/>
          <w:marRight w:val="0"/>
          <w:marTop w:val="0"/>
          <w:marBottom w:val="0"/>
          <w:divBdr>
            <w:top w:val="none" w:sz="0" w:space="0" w:color="auto"/>
            <w:left w:val="none" w:sz="0" w:space="0" w:color="auto"/>
            <w:bottom w:val="none" w:sz="0" w:space="0" w:color="auto"/>
            <w:right w:val="none" w:sz="0" w:space="0" w:color="auto"/>
          </w:divBdr>
        </w:div>
        <w:div w:id="378479797">
          <w:marLeft w:val="0"/>
          <w:marRight w:val="0"/>
          <w:marTop w:val="0"/>
          <w:marBottom w:val="0"/>
          <w:divBdr>
            <w:top w:val="none" w:sz="0" w:space="0" w:color="auto"/>
            <w:left w:val="none" w:sz="0" w:space="0" w:color="auto"/>
            <w:bottom w:val="none" w:sz="0" w:space="0" w:color="auto"/>
            <w:right w:val="none" w:sz="0" w:space="0" w:color="auto"/>
          </w:divBdr>
        </w:div>
        <w:div w:id="378818927">
          <w:marLeft w:val="0"/>
          <w:marRight w:val="0"/>
          <w:marTop w:val="0"/>
          <w:marBottom w:val="0"/>
          <w:divBdr>
            <w:top w:val="none" w:sz="0" w:space="0" w:color="auto"/>
            <w:left w:val="none" w:sz="0" w:space="0" w:color="auto"/>
            <w:bottom w:val="none" w:sz="0" w:space="0" w:color="auto"/>
            <w:right w:val="none" w:sz="0" w:space="0" w:color="auto"/>
          </w:divBdr>
        </w:div>
        <w:div w:id="378894335">
          <w:marLeft w:val="0"/>
          <w:marRight w:val="0"/>
          <w:marTop w:val="0"/>
          <w:marBottom w:val="0"/>
          <w:divBdr>
            <w:top w:val="none" w:sz="0" w:space="0" w:color="auto"/>
            <w:left w:val="none" w:sz="0" w:space="0" w:color="auto"/>
            <w:bottom w:val="none" w:sz="0" w:space="0" w:color="auto"/>
            <w:right w:val="none" w:sz="0" w:space="0" w:color="auto"/>
          </w:divBdr>
        </w:div>
        <w:div w:id="379479824">
          <w:marLeft w:val="0"/>
          <w:marRight w:val="0"/>
          <w:marTop w:val="0"/>
          <w:marBottom w:val="0"/>
          <w:divBdr>
            <w:top w:val="none" w:sz="0" w:space="0" w:color="auto"/>
            <w:left w:val="none" w:sz="0" w:space="0" w:color="auto"/>
            <w:bottom w:val="none" w:sz="0" w:space="0" w:color="auto"/>
            <w:right w:val="none" w:sz="0" w:space="0" w:color="auto"/>
          </w:divBdr>
        </w:div>
        <w:div w:id="379936739">
          <w:marLeft w:val="0"/>
          <w:marRight w:val="0"/>
          <w:marTop w:val="0"/>
          <w:marBottom w:val="0"/>
          <w:divBdr>
            <w:top w:val="none" w:sz="0" w:space="0" w:color="auto"/>
            <w:left w:val="none" w:sz="0" w:space="0" w:color="auto"/>
            <w:bottom w:val="none" w:sz="0" w:space="0" w:color="auto"/>
            <w:right w:val="none" w:sz="0" w:space="0" w:color="auto"/>
          </w:divBdr>
        </w:div>
        <w:div w:id="380596510">
          <w:marLeft w:val="0"/>
          <w:marRight w:val="0"/>
          <w:marTop w:val="0"/>
          <w:marBottom w:val="0"/>
          <w:divBdr>
            <w:top w:val="none" w:sz="0" w:space="0" w:color="auto"/>
            <w:left w:val="none" w:sz="0" w:space="0" w:color="auto"/>
            <w:bottom w:val="none" w:sz="0" w:space="0" w:color="auto"/>
            <w:right w:val="none" w:sz="0" w:space="0" w:color="auto"/>
          </w:divBdr>
        </w:div>
        <w:div w:id="381755522">
          <w:marLeft w:val="0"/>
          <w:marRight w:val="0"/>
          <w:marTop w:val="0"/>
          <w:marBottom w:val="0"/>
          <w:divBdr>
            <w:top w:val="none" w:sz="0" w:space="0" w:color="auto"/>
            <w:left w:val="none" w:sz="0" w:space="0" w:color="auto"/>
            <w:bottom w:val="none" w:sz="0" w:space="0" w:color="auto"/>
            <w:right w:val="none" w:sz="0" w:space="0" w:color="auto"/>
          </w:divBdr>
        </w:div>
        <w:div w:id="382173148">
          <w:marLeft w:val="0"/>
          <w:marRight w:val="0"/>
          <w:marTop w:val="0"/>
          <w:marBottom w:val="0"/>
          <w:divBdr>
            <w:top w:val="none" w:sz="0" w:space="0" w:color="auto"/>
            <w:left w:val="none" w:sz="0" w:space="0" w:color="auto"/>
            <w:bottom w:val="none" w:sz="0" w:space="0" w:color="auto"/>
            <w:right w:val="none" w:sz="0" w:space="0" w:color="auto"/>
          </w:divBdr>
        </w:div>
        <w:div w:id="382369372">
          <w:marLeft w:val="0"/>
          <w:marRight w:val="0"/>
          <w:marTop w:val="0"/>
          <w:marBottom w:val="0"/>
          <w:divBdr>
            <w:top w:val="none" w:sz="0" w:space="0" w:color="auto"/>
            <w:left w:val="none" w:sz="0" w:space="0" w:color="auto"/>
            <w:bottom w:val="none" w:sz="0" w:space="0" w:color="auto"/>
            <w:right w:val="none" w:sz="0" w:space="0" w:color="auto"/>
          </w:divBdr>
        </w:div>
        <w:div w:id="383482178">
          <w:marLeft w:val="0"/>
          <w:marRight w:val="0"/>
          <w:marTop w:val="0"/>
          <w:marBottom w:val="0"/>
          <w:divBdr>
            <w:top w:val="none" w:sz="0" w:space="0" w:color="auto"/>
            <w:left w:val="none" w:sz="0" w:space="0" w:color="auto"/>
            <w:bottom w:val="none" w:sz="0" w:space="0" w:color="auto"/>
            <w:right w:val="none" w:sz="0" w:space="0" w:color="auto"/>
          </w:divBdr>
        </w:div>
        <w:div w:id="383986215">
          <w:marLeft w:val="0"/>
          <w:marRight w:val="0"/>
          <w:marTop w:val="0"/>
          <w:marBottom w:val="0"/>
          <w:divBdr>
            <w:top w:val="none" w:sz="0" w:space="0" w:color="auto"/>
            <w:left w:val="none" w:sz="0" w:space="0" w:color="auto"/>
            <w:bottom w:val="none" w:sz="0" w:space="0" w:color="auto"/>
            <w:right w:val="none" w:sz="0" w:space="0" w:color="auto"/>
          </w:divBdr>
        </w:div>
        <w:div w:id="386150192">
          <w:marLeft w:val="0"/>
          <w:marRight w:val="0"/>
          <w:marTop w:val="0"/>
          <w:marBottom w:val="0"/>
          <w:divBdr>
            <w:top w:val="none" w:sz="0" w:space="0" w:color="auto"/>
            <w:left w:val="none" w:sz="0" w:space="0" w:color="auto"/>
            <w:bottom w:val="none" w:sz="0" w:space="0" w:color="auto"/>
            <w:right w:val="none" w:sz="0" w:space="0" w:color="auto"/>
          </w:divBdr>
        </w:div>
        <w:div w:id="386221290">
          <w:marLeft w:val="0"/>
          <w:marRight w:val="0"/>
          <w:marTop w:val="0"/>
          <w:marBottom w:val="0"/>
          <w:divBdr>
            <w:top w:val="none" w:sz="0" w:space="0" w:color="auto"/>
            <w:left w:val="none" w:sz="0" w:space="0" w:color="auto"/>
            <w:bottom w:val="none" w:sz="0" w:space="0" w:color="auto"/>
            <w:right w:val="none" w:sz="0" w:space="0" w:color="auto"/>
          </w:divBdr>
        </w:div>
        <w:div w:id="387539545">
          <w:marLeft w:val="0"/>
          <w:marRight w:val="0"/>
          <w:marTop w:val="0"/>
          <w:marBottom w:val="0"/>
          <w:divBdr>
            <w:top w:val="none" w:sz="0" w:space="0" w:color="auto"/>
            <w:left w:val="none" w:sz="0" w:space="0" w:color="auto"/>
            <w:bottom w:val="none" w:sz="0" w:space="0" w:color="auto"/>
            <w:right w:val="none" w:sz="0" w:space="0" w:color="auto"/>
          </w:divBdr>
        </w:div>
        <w:div w:id="388918354">
          <w:marLeft w:val="0"/>
          <w:marRight w:val="0"/>
          <w:marTop w:val="0"/>
          <w:marBottom w:val="0"/>
          <w:divBdr>
            <w:top w:val="none" w:sz="0" w:space="0" w:color="auto"/>
            <w:left w:val="none" w:sz="0" w:space="0" w:color="auto"/>
            <w:bottom w:val="none" w:sz="0" w:space="0" w:color="auto"/>
            <w:right w:val="none" w:sz="0" w:space="0" w:color="auto"/>
          </w:divBdr>
        </w:div>
        <w:div w:id="391269700">
          <w:marLeft w:val="0"/>
          <w:marRight w:val="0"/>
          <w:marTop w:val="0"/>
          <w:marBottom w:val="0"/>
          <w:divBdr>
            <w:top w:val="none" w:sz="0" w:space="0" w:color="auto"/>
            <w:left w:val="none" w:sz="0" w:space="0" w:color="auto"/>
            <w:bottom w:val="none" w:sz="0" w:space="0" w:color="auto"/>
            <w:right w:val="none" w:sz="0" w:space="0" w:color="auto"/>
          </w:divBdr>
        </w:div>
        <w:div w:id="392003412">
          <w:marLeft w:val="0"/>
          <w:marRight w:val="0"/>
          <w:marTop w:val="0"/>
          <w:marBottom w:val="0"/>
          <w:divBdr>
            <w:top w:val="none" w:sz="0" w:space="0" w:color="auto"/>
            <w:left w:val="none" w:sz="0" w:space="0" w:color="auto"/>
            <w:bottom w:val="none" w:sz="0" w:space="0" w:color="auto"/>
            <w:right w:val="none" w:sz="0" w:space="0" w:color="auto"/>
          </w:divBdr>
        </w:div>
        <w:div w:id="393704195">
          <w:marLeft w:val="0"/>
          <w:marRight w:val="0"/>
          <w:marTop w:val="0"/>
          <w:marBottom w:val="0"/>
          <w:divBdr>
            <w:top w:val="none" w:sz="0" w:space="0" w:color="auto"/>
            <w:left w:val="none" w:sz="0" w:space="0" w:color="auto"/>
            <w:bottom w:val="none" w:sz="0" w:space="0" w:color="auto"/>
            <w:right w:val="none" w:sz="0" w:space="0" w:color="auto"/>
          </w:divBdr>
        </w:div>
        <w:div w:id="395206192">
          <w:marLeft w:val="0"/>
          <w:marRight w:val="0"/>
          <w:marTop w:val="0"/>
          <w:marBottom w:val="0"/>
          <w:divBdr>
            <w:top w:val="none" w:sz="0" w:space="0" w:color="auto"/>
            <w:left w:val="none" w:sz="0" w:space="0" w:color="auto"/>
            <w:bottom w:val="none" w:sz="0" w:space="0" w:color="auto"/>
            <w:right w:val="none" w:sz="0" w:space="0" w:color="auto"/>
          </w:divBdr>
        </w:div>
        <w:div w:id="395781031">
          <w:marLeft w:val="0"/>
          <w:marRight w:val="0"/>
          <w:marTop w:val="0"/>
          <w:marBottom w:val="0"/>
          <w:divBdr>
            <w:top w:val="none" w:sz="0" w:space="0" w:color="auto"/>
            <w:left w:val="none" w:sz="0" w:space="0" w:color="auto"/>
            <w:bottom w:val="none" w:sz="0" w:space="0" w:color="auto"/>
            <w:right w:val="none" w:sz="0" w:space="0" w:color="auto"/>
          </w:divBdr>
        </w:div>
        <w:div w:id="395977966">
          <w:marLeft w:val="0"/>
          <w:marRight w:val="0"/>
          <w:marTop w:val="0"/>
          <w:marBottom w:val="0"/>
          <w:divBdr>
            <w:top w:val="none" w:sz="0" w:space="0" w:color="auto"/>
            <w:left w:val="none" w:sz="0" w:space="0" w:color="auto"/>
            <w:bottom w:val="none" w:sz="0" w:space="0" w:color="auto"/>
            <w:right w:val="none" w:sz="0" w:space="0" w:color="auto"/>
          </w:divBdr>
        </w:div>
        <w:div w:id="396589631">
          <w:marLeft w:val="0"/>
          <w:marRight w:val="0"/>
          <w:marTop w:val="0"/>
          <w:marBottom w:val="0"/>
          <w:divBdr>
            <w:top w:val="none" w:sz="0" w:space="0" w:color="auto"/>
            <w:left w:val="none" w:sz="0" w:space="0" w:color="auto"/>
            <w:bottom w:val="none" w:sz="0" w:space="0" w:color="auto"/>
            <w:right w:val="none" w:sz="0" w:space="0" w:color="auto"/>
          </w:divBdr>
        </w:div>
        <w:div w:id="396979104">
          <w:marLeft w:val="0"/>
          <w:marRight w:val="0"/>
          <w:marTop w:val="0"/>
          <w:marBottom w:val="0"/>
          <w:divBdr>
            <w:top w:val="none" w:sz="0" w:space="0" w:color="auto"/>
            <w:left w:val="none" w:sz="0" w:space="0" w:color="auto"/>
            <w:bottom w:val="none" w:sz="0" w:space="0" w:color="auto"/>
            <w:right w:val="none" w:sz="0" w:space="0" w:color="auto"/>
          </w:divBdr>
        </w:div>
        <w:div w:id="397292351">
          <w:marLeft w:val="0"/>
          <w:marRight w:val="0"/>
          <w:marTop w:val="0"/>
          <w:marBottom w:val="0"/>
          <w:divBdr>
            <w:top w:val="none" w:sz="0" w:space="0" w:color="auto"/>
            <w:left w:val="none" w:sz="0" w:space="0" w:color="auto"/>
            <w:bottom w:val="none" w:sz="0" w:space="0" w:color="auto"/>
            <w:right w:val="none" w:sz="0" w:space="0" w:color="auto"/>
          </w:divBdr>
        </w:div>
        <w:div w:id="397441715">
          <w:marLeft w:val="0"/>
          <w:marRight w:val="0"/>
          <w:marTop w:val="0"/>
          <w:marBottom w:val="0"/>
          <w:divBdr>
            <w:top w:val="none" w:sz="0" w:space="0" w:color="auto"/>
            <w:left w:val="none" w:sz="0" w:space="0" w:color="auto"/>
            <w:bottom w:val="none" w:sz="0" w:space="0" w:color="auto"/>
            <w:right w:val="none" w:sz="0" w:space="0" w:color="auto"/>
          </w:divBdr>
        </w:div>
        <w:div w:id="398134988">
          <w:marLeft w:val="0"/>
          <w:marRight w:val="0"/>
          <w:marTop w:val="0"/>
          <w:marBottom w:val="0"/>
          <w:divBdr>
            <w:top w:val="none" w:sz="0" w:space="0" w:color="auto"/>
            <w:left w:val="none" w:sz="0" w:space="0" w:color="auto"/>
            <w:bottom w:val="none" w:sz="0" w:space="0" w:color="auto"/>
            <w:right w:val="none" w:sz="0" w:space="0" w:color="auto"/>
          </w:divBdr>
        </w:div>
        <w:div w:id="398402084">
          <w:marLeft w:val="0"/>
          <w:marRight w:val="0"/>
          <w:marTop w:val="0"/>
          <w:marBottom w:val="0"/>
          <w:divBdr>
            <w:top w:val="none" w:sz="0" w:space="0" w:color="auto"/>
            <w:left w:val="none" w:sz="0" w:space="0" w:color="auto"/>
            <w:bottom w:val="none" w:sz="0" w:space="0" w:color="auto"/>
            <w:right w:val="none" w:sz="0" w:space="0" w:color="auto"/>
          </w:divBdr>
        </w:div>
        <w:div w:id="398750609">
          <w:marLeft w:val="0"/>
          <w:marRight w:val="0"/>
          <w:marTop w:val="0"/>
          <w:marBottom w:val="0"/>
          <w:divBdr>
            <w:top w:val="none" w:sz="0" w:space="0" w:color="auto"/>
            <w:left w:val="none" w:sz="0" w:space="0" w:color="auto"/>
            <w:bottom w:val="none" w:sz="0" w:space="0" w:color="auto"/>
            <w:right w:val="none" w:sz="0" w:space="0" w:color="auto"/>
          </w:divBdr>
        </w:div>
        <w:div w:id="399250390">
          <w:marLeft w:val="0"/>
          <w:marRight w:val="0"/>
          <w:marTop w:val="0"/>
          <w:marBottom w:val="0"/>
          <w:divBdr>
            <w:top w:val="none" w:sz="0" w:space="0" w:color="auto"/>
            <w:left w:val="none" w:sz="0" w:space="0" w:color="auto"/>
            <w:bottom w:val="none" w:sz="0" w:space="0" w:color="auto"/>
            <w:right w:val="none" w:sz="0" w:space="0" w:color="auto"/>
          </w:divBdr>
        </w:div>
        <w:div w:id="400059905">
          <w:marLeft w:val="0"/>
          <w:marRight w:val="0"/>
          <w:marTop w:val="0"/>
          <w:marBottom w:val="0"/>
          <w:divBdr>
            <w:top w:val="none" w:sz="0" w:space="0" w:color="auto"/>
            <w:left w:val="none" w:sz="0" w:space="0" w:color="auto"/>
            <w:bottom w:val="none" w:sz="0" w:space="0" w:color="auto"/>
            <w:right w:val="none" w:sz="0" w:space="0" w:color="auto"/>
          </w:divBdr>
        </w:div>
        <w:div w:id="405149290">
          <w:marLeft w:val="0"/>
          <w:marRight w:val="0"/>
          <w:marTop w:val="0"/>
          <w:marBottom w:val="0"/>
          <w:divBdr>
            <w:top w:val="none" w:sz="0" w:space="0" w:color="auto"/>
            <w:left w:val="none" w:sz="0" w:space="0" w:color="auto"/>
            <w:bottom w:val="none" w:sz="0" w:space="0" w:color="auto"/>
            <w:right w:val="none" w:sz="0" w:space="0" w:color="auto"/>
          </w:divBdr>
        </w:div>
        <w:div w:id="405423073">
          <w:marLeft w:val="0"/>
          <w:marRight w:val="0"/>
          <w:marTop w:val="0"/>
          <w:marBottom w:val="0"/>
          <w:divBdr>
            <w:top w:val="none" w:sz="0" w:space="0" w:color="auto"/>
            <w:left w:val="none" w:sz="0" w:space="0" w:color="auto"/>
            <w:bottom w:val="none" w:sz="0" w:space="0" w:color="auto"/>
            <w:right w:val="none" w:sz="0" w:space="0" w:color="auto"/>
          </w:divBdr>
        </w:div>
        <w:div w:id="409424864">
          <w:marLeft w:val="0"/>
          <w:marRight w:val="0"/>
          <w:marTop w:val="0"/>
          <w:marBottom w:val="0"/>
          <w:divBdr>
            <w:top w:val="none" w:sz="0" w:space="0" w:color="auto"/>
            <w:left w:val="none" w:sz="0" w:space="0" w:color="auto"/>
            <w:bottom w:val="none" w:sz="0" w:space="0" w:color="auto"/>
            <w:right w:val="none" w:sz="0" w:space="0" w:color="auto"/>
          </w:divBdr>
        </w:div>
        <w:div w:id="410349341">
          <w:marLeft w:val="0"/>
          <w:marRight w:val="0"/>
          <w:marTop w:val="0"/>
          <w:marBottom w:val="0"/>
          <w:divBdr>
            <w:top w:val="none" w:sz="0" w:space="0" w:color="auto"/>
            <w:left w:val="none" w:sz="0" w:space="0" w:color="auto"/>
            <w:bottom w:val="none" w:sz="0" w:space="0" w:color="auto"/>
            <w:right w:val="none" w:sz="0" w:space="0" w:color="auto"/>
          </w:divBdr>
        </w:div>
        <w:div w:id="410398506">
          <w:marLeft w:val="0"/>
          <w:marRight w:val="0"/>
          <w:marTop w:val="0"/>
          <w:marBottom w:val="0"/>
          <w:divBdr>
            <w:top w:val="none" w:sz="0" w:space="0" w:color="auto"/>
            <w:left w:val="none" w:sz="0" w:space="0" w:color="auto"/>
            <w:bottom w:val="none" w:sz="0" w:space="0" w:color="auto"/>
            <w:right w:val="none" w:sz="0" w:space="0" w:color="auto"/>
          </w:divBdr>
        </w:div>
        <w:div w:id="411583989">
          <w:marLeft w:val="0"/>
          <w:marRight w:val="0"/>
          <w:marTop w:val="0"/>
          <w:marBottom w:val="0"/>
          <w:divBdr>
            <w:top w:val="none" w:sz="0" w:space="0" w:color="auto"/>
            <w:left w:val="none" w:sz="0" w:space="0" w:color="auto"/>
            <w:bottom w:val="none" w:sz="0" w:space="0" w:color="auto"/>
            <w:right w:val="none" w:sz="0" w:space="0" w:color="auto"/>
          </w:divBdr>
        </w:div>
        <w:div w:id="411977605">
          <w:marLeft w:val="0"/>
          <w:marRight w:val="0"/>
          <w:marTop w:val="0"/>
          <w:marBottom w:val="0"/>
          <w:divBdr>
            <w:top w:val="none" w:sz="0" w:space="0" w:color="auto"/>
            <w:left w:val="none" w:sz="0" w:space="0" w:color="auto"/>
            <w:bottom w:val="none" w:sz="0" w:space="0" w:color="auto"/>
            <w:right w:val="none" w:sz="0" w:space="0" w:color="auto"/>
          </w:divBdr>
        </w:div>
        <w:div w:id="413937394">
          <w:marLeft w:val="0"/>
          <w:marRight w:val="0"/>
          <w:marTop w:val="0"/>
          <w:marBottom w:val="0"/>
          <w:divBdr>
            <w:top w:val="none" w:sz="0" w:space="0" w:color="auto"/>
            <w:left w:val="none" w:sz="0" w:space="0" w:color="auto"/>
            <w:bottom w:val="none" w:sz="0" w:space="0" w:color="auto"/>
            <w:right w:val="none" w:sz="0" w:space="0" w:color="auto"/>
          </w:divBdr>
        </w:div>
        <w:div w:id="414254144">
          <w:marLeft w:val="0"/>
          <w:marRight w:val="0"/>
          <w:marTop w:val="0"/>
          <w:marBottom w:val="0"/>
          <w:divBdr>
            <w:top w:val="none" w:sz="0" w:space="0" w:color="auto"/>
            <w:left w:val="none" w:sz="0" w:space="0" w:color="auto"/>
            <w:bottom w:val="none" w:sz="0" w:space="0" w:color="auto"/>
            <w:right w:val="none" w:sz="0" w:space="0" w:color="auto"/>
          </w:divBdr>
        </w:div>
        <w:div w:id="415133000">
          <w:marLeft w:val="0"/>
          <w:marRight w:val="0"/>
          <w:marTop w:val="0"/>
          <w:marBottom w:val="0"/>
          <w:divBdr>
            <w:top w:val="none" w:sz="0" w:space="0" w:color="auto"/>
            <w:left w:val="none" w:sz="0" w:space="0" w:color="auto"/>
            <w:bottom w:val="none" w:sz="0" w:space="0" w:color="auto"/>
            <w:right w:val="none" w:sz="0" w:space="0" w:color="auto"/>
          </w:divBdr>
        </w:div>
        <w:div w:id="416555034">
          <w:marLeft w:val="0"/>
          <w:marRight w:val="0"/>
          <w:marTop w:val="0"/>
          <w:marBottom w:val="0"/>
          <w:divBdr>
            <w:top w:val="none" w:sz="0" w:space="0" w:color="auto"/>
            <w:left w:val="none" w:sz="0" w:space="0" w:color="auto"/>
            <w:bottom w:val="none" w:sz="0" w:space="0" w:color="auto"/>
            <w:right w:val="none" w:sz="0" w:space="0" w:color="auto"/>
          </w:divBdr>
        </w:div>
        <w:div w:id="417211817">
          <w:marLeft w:val="0"/>
          <w:marRight w:val="0"/>
          <w:marTop w:val="0"/>
          <w:marBottom w:val="0"/>
          <w:divBdr>
            <w:top w:val="none" w:sz="0" w:space="0" w:color="auto"/>
            <w:left w:val="none" w:sz="0" w:space="0" w:color="auto"/>
            <w:bottom w:val="none" w:sz="0" w:space="0" w:color="auto"/>
            <w:right w:val="none" w:sz="0" w:space="0" w:color="auto"/>
          </w:divBdr>
        </w:div>
        <w:div w:id="419177692">
          <w:marLeft w:val="0"/>
          <w:marRight w:val="0"/>
          <w:marTop w:val="0"/>
          <w:marBottom w:val="0"/>
          <w:divBdr>
            <w:top w:val="none" w:sz="0" w:space="0" w:color="auto"/>
            <w:left w:val="none" w:sz="0" w:space="0" w:color="auto"/>
            <w:bottom w:val="none" w:sz="0" w:space="0" w:color="auto"/>
            <w:right w:val="none" w:sz="0" w:space="0" w:color="auto"/>
          </w:divBdr>
        </w:div>
        <w:div w:id="419446028">
          <w:marLeft w:val="0"/>
          <w:marRight w:val="0"/>
          <w:marTop w:val="0"/>
          <w:marBottom w:val="0"/>
          <w:divBdr>
            <w:top w:val="none" w:sz="0" w:space="0" w:color="auto"/>
            <w:left w:val="none" w:sz="0" w:space="0" w:color="auto"/>
            <w:bottom w:val="none" w:sz="0" w:space="0" w:color="auto"/>
            <w:right w:val="none" w:sz="0" w:space="0" w:color="auto"/>
          </w:divBdr>
        </w:div>
        <w:div w:id="420415578">
          <w:marLeft w:val="0"/>
          <w:marRight w:val="0"/>
          <w:marTop w:val="0"/>
          <w:marBottom w:val="0"/>
          <w:divBdr>
            <w:top w:val="none" w:sz="0" w:space="0" w:color="auto"/>
            <w:left w:val="none" w:sz="0" w:space="0" w:color="auto"/>
            <w:bottom w:val="none" w:sz="0" w:space="0" w:color="auto"/>
            <w:right w:val="none" w:sz="0" w:space="0" w:color="auto"/>
          </w:divBdr>
        </w:div>
        <w:div w:id="421685807">
          <w:marLeft w:val="0"/>
          <w:marRight w:val="0"/>
          <w:marTop w:val="0"/>
          <w:marBottom w:val="0"/>
          <w:divBdr>
            <w:top w:val="none" w:sz="0" w:space="0" w:color="auto"/>
            <w:left w:val="none" w:sz="0" w:space="0" w:color="auto"/>
            <w:bottom w:val="none" w:sz="0" w:space="0" w:color="auto"/>
            <w:right w:val="none" w:sz="0" w:space="0" w:color="auto"/>
          </w:divBdr>
        </w:div>
        <w:div w:id="423694340">
          <w:marLeft w:val="0"/>
          <w:marRight w:val="0"/>
          <w:marTop w:val="0"/>
          <w:marBottom w:val="0"/>
          <w:divBdr>
            <w:top w:val="none" w:sz="0" w:space="0" w:color="auto"/>
            <w:left w:val="none" w:sz="0" w:space="0" w:color="auto"/>
            <w:bottom w:val="none" w:sz="0" w:space="0" w:color="auto"/>
            <w:right w:val="none" w:sz="0" w:space="0" w:color="auto"/>
          </w:divBdr>
        </w:div>
        <w:div w:id="424694061">
          <w:marLeft w:val="0"/>
          <w:marRight w:val="0"/>
          <w:marTop w:val="0"/>
          <w:marBottom w:val="0"/>
          <w:divBdr>
            <w:top w:val="none" w:sz="0" w:space="0" w:color="auto"/>
            <w:left w:val="none" w:sz="0" w:space="0" w:color="auto"/>
            <w:bottom w:val="none" w:sz="0" w:space="0" w:color="auto"/>
            <w:right w:val="none" w:sz="0" w:space="0" w:color="auto"/>
          </w:divBdr>
        </w:div>
        <w:div w:id="425227724">
          <w:marLeft w:val="0"/>
          <w:marRight w:val="0"/>
          <w:marTop w:val="0"/>
          <w:marBottom w:val="0"/>
          <w:divBdr>
            <w:top w:val="none" w:sz="0" w:space="0" w:color="auto"/>
            <w:left w:val="none" w:sz="0" w:space="0" w:color="auto"/>
            <w:bottom w:val="none" w:sz="0" w:space="0" w:color="auto"/>
            <w:right w:val="none" w:sz="0" w:space="0" w:color="auto"/>
          </w:divBdr>
        </w:div>
        <w:div w:id="426780274">
          <w:marLeft w:val="0"/>
          <w:marRight w:val="0"/>
          <w:marTop w:val="0"/>
          <w:marBottom w:val="0"/>
          <w:divBdr>
            <w:top w:val="none" w:sz="0" w:space="0" w:color="auto"/>
            <w:left w:val="none" w:sz="0" w:space="0" w:color="auto"/>
            <w:bottom w:val="none" w:sz="0" w:space="0" w:color="auto"/>
            <w:right w:val="none" w:sz="0" w:space="0" w:color="auto"/>
          </w:divBdr>
        </w:div>
        <w:div w:id="427193205">
          <w:marLeft w:val="0"/>
          <w:marRight w:val="0"/>
          <w:marTop w:val="0"/>
          <w:marBottom w:val="0"/>
          <w:divBdr>
            <w:top w:val="none" w:sz="0" w:space="0" w:color="auto"/>
            <w:left w:val="none" w:sz="0" w:space="0" w:color="auto"/>
            <w:bottom w:val="none" w:sz="0" w:space="0" w:color="auto"/>
            <w:right w:val="none" w:sz="0" w:space="0" w:color="auto"/>
          </w:divBdr>
        </w:div>
        <w:div w:id="427236702">
          <w:marLeft w:val="0"/>
          <w:marRight w:val="0"/>
          <w:marTop w:val="0"/>
          <w:marBottom w:val="0"/>
          <w:divBdr>
            <w:top w:val="none" w:sz="0" w:space="0" w:color="auto"/>
            <w:left w:val="none" w:sz="0" w:space="0" w:color="auto"/>
            <w:bottom w:val="none" w:sz="0" w:space="0" w:color="auto"/>
            <w:right w:val="none" w:sz="0" w:space="0" w:color="auto"/>
          </w:divBdr>
        </w:div>
        <w:div w:id="427849717">
          <w:marLeft w:val="0"/>
          <w:marRight w:val="0"/>
          <w:marTop w:val="0"/>
          <w:marBottom w:val="0"/>
          <w:divBdr>
            <w:top w:val="none" w:sz="0" w:space="0" w:color="auto"/>
            <w:left w:val="none" w:sz="0" w:space="0" w:color="auto"/>
            <w:bottom w:val="none" w:sz="0" w:space="0" w:color="auto"/>
            <w:right w:val="none" w:sz="0" w:space="0" w:color="auto"/>
          </w:divBdr>
        </w:div>
        <w:div w:id="427895941">
          <w:marLeft w:val="0"/>
          <w:marRight w:val="0"/>
          <w:marTop w:val="0"/>
          <w:marBottom w:val="0"/>
          <w:divBdr>
            <w:top w:val="none" w:sz="0" w:space="0" w:color="auto"/>
            <w:left w:val="none" w:sz="0" w:space="0" w:color="auto"/>
            <w:bottom w:val="none" w:sz="0" w:space="0" w:color="auto"/>
            <w:right w:val="none" w:sz="0" w:space="0" w:color="auto"/>
          </w:divBdr>
        </w:div>
        <w:div w:id="428431340">
          <w:marLeft w:val="0"/>
          <w:marRight w:val="0"/>
          <w:marTop w:val="0"/>
          <w:marBottom w:val="0"/>
          <w:divBdr>
            <w:top w:val="none" w:sz="0" w:space="0" w:color="auto"/>
            <w:left w:val="none" w:sz="0" w:space="0" w:color="auto"/>
            <w:bottom w:val="none" w:sz="0" w:space="0" w:color="auto"/>
            <w:right w:val="none" w:sz="0" w:space="0" w:color="auto"/>
          </w:divBdr>
        </w:div>
        <w:div w:id="431509307">
          <w:marLeft w:val="0"/>
          <w:marRight w:val="0"/>
          <w:marTop w:val="0"/>
          <w:marBottom w:val="0"/>
          <w:divBdr>
            <w:top w:val="none" w:sz="0" w:space="0" w:color="auto"/>
            <w:left w:val="none" w:sz="0" w:space="0" w:color="auto"/>
            <w:bottom w:val="none" w:sz="0" w:space="0" w:color="auto"/>
            <w:right w:val="none" w:sz="0" w:space="0" w:color="auto"/>
          </w:divBdr>
        </w:div>
        <w:div w:id="433598461">
          <w:marLeft w:val="0"/>
          <w:marRight w:val="0"/>
          <w:marTop w:val="0"/>
          <w:marBottom w:val="0"/>
          <w:divBdr>
            <w:top w:val="none" w:sz="0" w:space="0" w:color="auto"/>
            <w:left w:val="none" w:sz="0" w:space="0" w:color="auto"/>
            <w:bottom w:val="none" w:sz="0" w:space="0" w:color="auto"/>
            <w:right w:val="none" w:sz="0" w:space="0" w:color="auto"/>
          </w:divBdr>
        </w:div>
        <w:div w:id="433867465">
          <w:marLeft w:val="0"/>
          <w:marRight w:val="0"/>
          <w:marTop w:val="0"/>
          <w:marBottom w:val="0"/>
          <w:divBdr>
            <w:top w:val="none" w:sz="0" w:space="0" w:color="auto"/>
            <w:left w:val="none" w:sz="0" w:space="0" w:color="auto"/>
            <w:bottom w:val="none" w:sz="0" w:space="0" w:color="auto"/>
            <w:right w:val="none" w:sz="0" w:space="0" w:color="auto"/>
          </w:divBdr>
        </w:div>
        <w:div w:id="433938335">
          <w:marLeft w:val="0"/>
          <w:marRight w:val="0"/>
          <w:marTop w:val="0"/>
          <w:marBottom w:val="0"/>
          <w:divBdr>
            <w:top w:val="none" w:sz="0" w:space="0" w:color="auto"/>
            <w:left w:val="none" w:sz="0" w:space="0" w:color="auto"/>
            <w:bottom w:val="none" w:sz="0" w:space="0" w:color="auto"/>
            <w:right w:val="none" w:sz="0" w:space="0" w:color="auto"/>
          </w:divBdr>
        </w:div>
        <w:div w:id="434449885">
          <w:marLeft w:val="0"/>
          <w:marRight w:val="0"/>
          <w:marTop w:val="0"/>
          <w:marBottom w:val="0"/>
          <w:divBdr>
            <w:top w:val="none" w:sz="0" w:space="0" w:color="auto"/>
            <w:left w:val="none" w:sz="0" w:space="0" w:color="auto"/>
            <w:bottom w:val="none" w:sz="0" w:space="0" w:color="auto"/>
            <w:right w:val="none" w:sz="0" w:space="0" w:color="auto"/>
          </w:divBdr>
        </w:div>
        <w:div w:id="437989589">
          <w:marLeft w:val="0"/>
          <w:marRight w:val="0"/>
          <w:marTop w:val="0"/>
          <w:marBottom w:val="0"/>
          <w:divBdr>
            <w:top w:val="none" w:sz="0" w:space="0" w:color="auto"/>
            <w:left w:val="none" w:sz="0" w:space="0" w:color="auto"/>
            <w:bottom w:val="none" w:sz="0" w:space="0" w:color="auto"/>
            <w:right w:val="none" w:sz="0" w:space="0" w:color="auto"/>
          </w:divBdr>
        </w:div>
        <w:div w:id="438644687">
          <w:marLeft w:val="0"/>
          <w:marRight w:val="0"/>
          <w:marTop w:val="0"/>
          <w:marBottom w:val="0"/>
          <w:divBdr>
            <w:top w:val="none" w:sz="0" w:space="0" w:color="auto"/>
            <w:left w:val="none" w:sz="0" w:space="0" w:color="auto"/>
            <w:bottom w:val="none" w:sz="0" w:space="0" w:color="auto"/>
            <w:right w:val="none" w:sz="0" w:space="0" w:color="auto"/>
          </w:divBdr>
        </w:div>
        <w:div w:id="441219480">
          <w:marLeft w:val="0"/>
          <w:marRight w:val="0"/>
          <w:marTop w:val="0"/>
          <w:marBottom w:val="0"/>
          <w:divBdr>
            <w:top w:val="none" w:sz="0" w:space="0" w:color="auto"/>
            <w:left w:val="none" w:sz="0" w:space="0" w:color="auto"/>
            <w:bottom w:val="none" w:sz="0" w:space="0" w:color="auto"/>
            <w:right w:val="none" w:sz="0" w:space="0" w:color="auto"/>
          </w:divBdr>
        </w:div>
        <w:div w:id="441608078">
          <w:marLeft w:val="0"/>
          <w:marRight w:val="0"/>
          <w:marTop w:val="0"/>
          <w:marBottom w:val="0"/>
          <w:divBdr>
            <w:top w:val="none" w:sz="0" w:space="0" w:color="auto"/>
            <w:left w:val="none" w:sz="0" w:space="0" w:color="auto"/>
            <w:bottom w:val="none" w:sz="0" w:space="0" w:color="auto"/>
            <w:right w:val="none" w:sz="0" w:space="0" w:color="auto"/>
          </w:divBdr>
          <w:divsChild>
            <w:div w:id="46270219">
              <w:marLeft w:val="0"/>
              <w:marRight w:val="0"/>
              <w:marTop w:val="0"/>
              <w:marBottom w:val="0"/>
              <w:divBdr>
                <w:top w:val="none" w:sz="0" w:space="0" w:color="auto"/>
                <w:left w:val="none" w:sz="0" w:space="0" w:color="auto"/>
                <w:bottom w:val="none" w:sz="0" w:space="0" w:color="auto"/>
                <w:right w:val="none" w:sz="0" w:space="0" w:color="auto"/>
              </w:divBdr>
            </w:div>
            <w:div w:id="95290022">
              <w:marLeft w:val="0"/>
              <w:marRight w:val="0"/>
              <w:marTop w:val="0"/>
              <w:marBottom w:val="0"/>
              <w:divBdr>
                <w:top w:val="none" w:sz="0" w:space="0" w:color="auto"/>
                <w:left w:val="none" w:sz="0" w:space="0" w:color="auto"/>
                <w:bottom w:val="none" w:sz="0" w:space="0" w:color="auto"/>
                <w:right w:val="none" w:sz="0" w:space="0" w:color="auto"/>
              </w:divBdr>
            </w:div>
            <w:div w:id="457722594">
              <w:marLeft w:val="0"/>
              <w:marRight w:val="0"/>
              <w:marTop w:val="0"/>
              <w:marBottom w:val="0"/>
              <w:divBdr>
                <w:top w:val="none" w:sz="0" w:space="0" w:color="auto"/>
                <w:left w:val="none" w:sz="0" w:space="0" w:color="auto"/>
                <w:bottom w:val="none" w:sz="0" w:space="0" w:color="auto"/>
                <w:right w:val="none" w:sz="0" w:space="0" w:color="auto"/>
              </w:divBdr>
            </w:div>
            <w:div w:id="499740867">
              <w:marLeft w:val="0"/>
              <w:marRight w:val="0"/>
              <w:marTop w:val="0"/>
              <w:marBottom w:val="0"/>
              <w:divBdr>
                <w:top w:val="none" w:sz="0" w:space="0" w:color="auto"/>
                <w:left w:val="none" w:sz="0" w:space="0" w:color="auto"/>
                <w:bottom w:val="none" w:sz="0" w:space="0" w:color="auto"/>
                <w:right w:val="none" w:sz="0" w:space="0" w:color="auto"/>
              </w:divBdr>
            </w:div>
            <w:div w:id="766313564">
              <w:marLeft w:val="0"/>
              <w:marRight w:val="0"/>
              <w:marTop w:val="0"/>
              <w:marBottom w:val="0"/>
              <w:divBdr>
                <w:top w:val="none" w:sz="0" w:space="0" w:color="auto"/>
                <w:left w:val="none" w:sz="0" w:space="0" w:color="auto"/>
                <w:bottom w:val="none" w:sz="0" w:space="0" w:color="auto"/>
                <w:right w:val="none" w:sz="0" w:space="0" w:color="auto"/>
              </w:divBdr>
            </w:div>
            <w:div w:id="768888546">
              <w:marLeft w:val="0"/>
              <w:marRight w:val="0"/>
              <w:marTop w:val="0"/>
              <w:marBottom w:val="0"/>
              <w:divBdr>
                <w:top w:val="none" w:sz="0" w:space="0" w:color="auto"/>
                <w:left w:val="none" w:sz="0" w:space="0" w:color="auto"/>
                <w:bottom w:val="none" w:sz="0" w:space="0" w:color="auto"/>
                <w:right w:val="none" w:sz="0" w:space="0" w:color="auto"/>
              </w:divBdr>
            </w:div>
            <w:div w:id="815103106">
              <w:marLeft w:val="0"/>
              <w:marRight w:val="0"/>
              <w:marTop w:val="0"/>
              <w:marBottom w:val="0"/>
              <w:divBdr>
                <w:top w:val="none" w:sz="0" w:space="0" w:color="auto"/>
                <w:left w:val="none" w:sz="0" w:space="0" w:color="auto"/>
                <w:bottom w:val="none" w:sz="0" w:space="0" w:color="auto"/>
                <w:right w:val="none" w:sz="0" w:space="0" w:color="auto"/>
              </w:divBdr>
            </w:div>
            <w:div w:id="908920957">
              <w:marLeft w:val="0"/>
              <w:marRight w:val="0"/>
              <w:marTop w:val="0"/>
              <w:marBottom w:val="0"/>
              <w:divBdr>
                <w:top w:val="none" w:sz="0" w:space="0" w:color="auto"/>
                <w:left w:val="none" w:sz="0" w:space="0" w:color="auto"/>
                <w:bottom w:val="none" w:sz="0" w:space="0" w:color="auto"/>
                <w:right w:val="none" w:sz="0" w:space="0" w:color="auto"/>
              </w:divBdr>
            </w:div>
            <w:div w:id="1001196702">
              <w:marLeft w:val="0"/>
              <w:marRight w:val="0"/>
              <w:marTop w:val="0"/>
              <w:marBottom w:val="0"/>
              <w:divBdr>
                <w:top w:val="none" w:sz="0" w:space="0" w:color="auto"/>
                <w:left w:val="none" w:sz="0" w:space="0" w:color="auto"/>
                <w:bottom w:val="none" w:sz="0" w:space="0" w:color="auto"/>
                <w:right w:val="none" w:sz="0" w:space="0" w:color="auto"/>
              </w:divBdr>
            </w:div>
            <w:div w:id="1144195214">
              <w:marLeft w:val="0"/>
              <w:marRight w:val="0"/>
              <w:marTop w:val="0"/>
              <w:marBottom w:val="0"/>
              <w:divBdr>
                <w:top w:val="none" w:sz="0" w:space="0" w:color="auto"/>
                <w:left w:val="none" w:sz="0" w:space="0" w:color="auto"/>
                <w:bottom w:val="none" w:sz="0" w:space="0" w:color="auto"/>
                <w:right w:val="none" w:sz="0" w:space="0" w:color="auto"/>
              </w:divBdr>
            </w:div>
            <w:div w:id="1180392907">
              <w:marLeft w:val="0"/>
              <w:marRight w:val="0"/>
              <w:marTop w:val="0"/>
              <w:marBottom w:val="0"/>
              <w:divBdr>
                <w:top w:val="none" w:sz="0" w:space="0" w:color="auto"/>
                <w:left w:val="none" w:sz="0" w:space="0" w:color="auto"/>
                <w:bottom w:val="none" w:sz="0" w:space="0" w:color="auto"/>
                <w:right w:val="none" w:sz="0" w:space="0" w:color="auto"/>
              </w:divBdr>
            </w:div>
            <w:div w:id="1192575320">
              <w:marLeft w:val="0"/>
              <w:marRight w:val="0"/>
              <w:marTop w:val="0"/>
              <w:marBottom w:val="0"/>
              <w:divBdr>
                <w:top w:val="none" w:sz="0" w:space="0" w:color="auto"/>
                <w:left w:val="none" w:sz="0" w:space="0" w:color="auto"/>
                <w:bottom w:val="none" w:sz="0" w:space="0" w:color="auto"/>
                <w:right w:val="none" w:sz="0" w:space="0" w:color="auto"/>
              </w:divBdr>
            </w:div>
            <w:div w:id="1308168626">
              <w:marLeft w:val="0"/>
              <w:marRight w:val="0"/>
              <w:marTop w:val="0"/>
              <w:marBottom w:val="0"/>
              <w:divBdr>
                <w:top w:val="none" w:sz="0" w:space="0" w:color="auto"/>
                <w:left w:val="none" w:sz="0" w:space="0" w:color="auto"/>
                <w:bottom w:val="none" w:sz="0" w:space="0" w:color="auto"/>
                <w:right w:val="none" w:sz="0" w:space="0" w:color="auto"/>
              </w:divBdr>
            </w:div>
            <w:div w:id="1530100121">
              <w:marLeft w:val="0"/>
              <w:marRight w:val="0"/>
              <w:marTop w:val="0"/>
              <w:marBottom w:val="0"/>
              <w:divBdr>
                <w:top w:val="none" w:sz="0" w:space="0" w:color="auto"/>
                <w:left w:val="none" w:sz="0" w:space="0" w:color="auto"/>
                <w:bottom w:val="none" w:sz="0" w:space="0" w:color="auto"/>
                <w:right w:val="none" w:sz="0" w:space="0" w:color="auto"/>
              </w:divBdr>
            </w:div>
            <w:div w:id="1581406203">
              <w:marLeft w:val="0"/>
              <w:marRight w:val="0"/>
              <w:marTop w:val="0"/>
              <w:marBottom w:val="0"/>
              <w:divBdr>
                <w:top w:val="none" w:sz="0" w:space="0" w:color="auto"/>
                <w:left w:val="none" w:sz="0" w:space="0" w:color="auto"/>
                <w:bottom w:val="none" w:sz="0" w:space="0" w:color="auto"/>
                <w:right w:val="none" w:sz="0" w:space="0" w:color="auto"/>
              </w:divBdr>
            </w:div>
            <w:div w:id="1633898506">
              <w:marLeft w:val="0"/>
              <w:marRight w:val="0"/>
              <w:marTop w:val="0"/>
              <w:marBottom w:val="0"/>
              <w:divBdr>
                <w:top w:val="none" w:sz="0" w:space="0" w:color="auto"/>
                <w:left w:val="none" w:sz="0" w:space="0" w:color="auto"/>
                <w:bottom w:val="none" w:sz="0" w:space="0" w:color="auto"/>
                <w:right w:val="none" w:sz="0" w:space="0" w:color="auto"/>
              </w:divBdr>
            </w:div>
            <w:div w:id="1692992829">
              <w:marLeft w:val="0"/>
              <w:marRight w:val="0"/>
              <w:marTop w:val="0"/>
              <w:marBottom w:val="0"/>
              <w:divBdr>
                <w:top w:val="none" w:sz="0" w:space="0" w:color="auto"/>
                <w:left w:val="none" w:sz="0" w:space="0" w:color="auto"/>
                <w:bottom w:val="none" w:sz="0" w:space="0" w:color="auto"/>
                <w:right w:val="none" w:sz="0" w:space="0" w:color="auto"/>
              </w:divBdr>
            </w:div>
            <w:div w:id="1956667853">
              <w:marLeft w:val="0"/>
              <w:marRight w:val="0"/>
              <w:marTop w:val="0"/>
              <w:marBottom w:val="0"/>
              <w:divBdr>
                <w:top w:val="none" w:sz="0" w:space="0" w:color="auto"/>
                <w:left w:val="none" w:sz="0" w:space="0" w:color="auto"/>
                <w:bottom w:val="none" w:sz="0" w:space="0" w:color="auto"/>
                <w:right w:val="none" w:sz="0" w:space="0" w:color="auto"/>
              </w:divBdr>
            </w:div>
            <w:div w:id="2119983993">
              <w:marLeft w:val="0"/>
              <w:marRight w:val="0"/>
              <w:marTop w:val="0"/>
              <w:marBottom w:val="0"/>
              <w:divBdr>
                <w:top w:val="none" w:sz="0" w:space="0" w:color="auto"/>
                <w:left w:val="none" w:sz="0" w:space="0" w:color="auto"/>
                <w:bottom w:val="none" w:sz="0" w:space="0" w:color="auto"/>
                <w:right w:val="none" w:sz="0" w:space="0" w:color="auto"/>
              </w:divBdr>
            </w:div>
          </w:divsChild>
        </w:div>
        <w:div w:id="442306201">
          <w:marLeft w:val="0"/>
          <w:marRight w:val="0"/>
          <w:marTop w:val="0"/>
          <w:marBottom w:val="0"/>
          <w:divBdr>
            <w:top w:val="none" w:sz="0" w:space="0" w:color="auto"/>
            <w:left w:val="none" w:sz="0" w:space="0" w:color="auto"/>
            <w:bottom w:val="none" w:sz="0" w:space="0" w:color="auto"/>
            <w:right w:val="none" w:sz="0" w:space="0" w:color="auto"/>
          </w:divBdr>
        </w:div>
        <w:div w:id="442461933">
          <w:marLeft w:val="0"/>
          <w:marRight w:val="0"/>
          <w:marTop w:val="0"/>
          <w:marBottom w:val="0"/>
          <w:divBdr>
            <w:top w:val="none" w:sz="0" w:space="0" w:color="auto"/>
            <w:left w:val="none" w:sz="0" w:space="0" w:color="auto"/>
            <w:bottom w:val="none" w:sz="0" w:space="0" w:color="auto"/>
            <w:right w:val="none" w:sz="0" w:space="0" w:color="auto"/>
          </w:divBdr>
        </w:div>
        <w:div w:id="444077552">
          <w:marLeft w:val="0"/>
          <w:marRight w:val="0"/>
          <w:marTop w:val="0"/>
          <w:marBottom w:val="0"/>
          <w:divBdr>
            <w:top w:val="none" w:sz="0" w:space="0" w:color="auto"/>
            <w:left w:val="none" w:sz="0" w:space="0" w:color="auto"/>
            <w:bottom w:val="none" w:sz="0" w:space="0" w:color="auto"/>
            <w:right w:val="none" w:sz="0" w:space="0" w:color="auto"/>
          </w:divBdr>
        </w:div>
        <w:div w:id="444159527">
          <w:marLeft w:val="0"/>
          <w:marRight w:val="0"/>
          <w:marTop w:val="0"/>
          <w:marBottom w:val="0"/>
          <w:divBdr>
            <w:top w:val="none" w:sz="0" w:space="0" w:color="auto"/>
            <w:left w:val="none" w:sz="0" w:space="0" w:color="auto"/>
            <w:bottom w:val="none" w:sz="0" w:space="0" w:color="auto"/>
            <w:right w:val="none" w:sz="0" w:space="0" w:color="auto"/>
          </w:divBdr>
        </w:div>
        <w:div w:id="444540772">
          <w:marLeft w:val="0"/>
          <w:marRight w:val="0"/>
          <w:marTop w:val="0"/>
          <w:marBottom w:val="0"/>
          <w:divBdr>
            <w:top w:val="none" w:sz="0" w:space="0" w:color="auto"/>
            <w:left w:val="none" w:sz="0" w:space="0" w:color="auto"/>
            <w:bottom w:val="none" w:sz="0" w:space="0" w:color="auto"/>
            <w:right w:val="none" w:sz="0" w:space="0" w:color="auto"/>
          </w:divBdr>
        </w:div>
        <w:div w:id="446042189">
          <w:marLeft w:val="0"/>
          <w:marRight w:val="0"/>
          <w:marTop w:val="0"/>
          <w:marBottom w:val="0"/>
          <w:divBdr>
            <w:top w:val="none" w:sz="0" w:space="0" w:color="auto"/>
            <w:left w:val="none" w:sz="0" w:space="0" w:color="auto"/>
            <w:bottom w:val="none" w:sz="0" w:space="0" w:color="auto"/>
            <w:right w:val="none" w:sz="0" w:space="0" w:color="auto"/>
          </w:divBdr>
        </w:div>
        <w:div w:id="447965222">
          <w:marLeft w:val="0"/>
          <w:marRight w:val="0"/>
          <w:marTop w:val="0"/>
          <w:marBottom w:val="0"/>
          <w:divBdr>
            <w:top w:val="none" w:sz="0" w:space="0" w:color="auto"/>
            <w:left w:val="none" w:sz="0" w:space="0" w:color="auto"/>
            <w:bottom w:val="none" w:sz="0" w:space="0" w:color="auto"/>
            <w:right w:val="none" w:sz="0" w:space="0" w:color="auto"/>
          </w:divBdr>
        </w:div>
        <w:div w:id="448546499">
          <w:marLeft w:val="0"/>
          <w:marRight w:val="0"/>
          <w:marTop w:val="0"/>
          <w:marBottom w:val="0"/>
          <w:divBdr>
            <w:top w:val="none" w:sz="0" w:space="0" w:color="auto"/>
            <w:left w:val="none" w:sz="0" w:space="0" w:color="auto"/>
            <w:bottom w:val="none" w:sz="0" w:space="0" w:color="auto"/>
            <w:right w:val="none" w:sz="0" w:space="0" w:color="auto"/>
          </w:divBdr>
        </w:div>
        <w:div w:id="450058292">
          <w:marLeft w:val="0"/>
          <w:marRight w:val="0"/>
          <w:marTop w:val="0"/>
          <w:marBottom w:val="0"/>
          <w:divBdr>
            <w:top w:val="none" w:sz="0" w:space="0" w:color="auto"/>
            <w:left w:val="none" w:sz="0" w:space="0" w:color="auto"/>
            <w:bottom w:val="none" w:sz="0" w:space="0" w:color="auto"/>
            <w:right w:val="none" w:sz="0" w:space="0" w:color="auto"/>
          </w:divBdr>
        </w:div>
        <w:div w:id="452213321">
          <w:marLeft w:val="0"/>
          <w:marRight w:val="0"/>
          <w:marTop w:val="0"/>
          <w:marBottom w:val="0"/>
          <w:divBdr>
            <w:top w:val="none" w:sz="0" w:space="0" w:color="auto"/>
            <w:left w:val="none" w:sz="0" w:space="0" w:color="auto"/>
            <w:bottom w:val="none" w:sz="0" w:space="0" w:color="auto"/>
            <w:right w:val="none" w:sz="0" w:space="0" w:color="auto"/>
          </w:divBdr>
        </w:div>
        <w:div w:id="452408154">
          <w:marLeft w:val="0"/>
          <w:marRight w:val="0"/>
          <w:marTop w:val="0"/>
          <w:marBottom w:val="0"/>
          <w:divBdr>
            <w:top w:val="none" w:sz="0" w:space="0" w:color="auto"/>
            <w:left w:val="none" w:sz="0" w:space="0" w:color="auto"/>
            <w:bottom w:val="none" w:sz="0" w:space="0" w:color="auto"/>
            <w:right w:val="none" w:sz="0" w:space="0" w:color="auto"/>
          </w:divBdr>
        </w:div>
        <w:div w:id="453212273">
          <w:marLeft w:val="0"/>
          <w:marRight w:val="0"/>
          <w:marTop w:val="0"/>
          <w:marBottom w:val="0"/>
          <w:divBdr>
            <w:top w:val="none" w:sz="0" w:space="0" w:color="auto"/>
            <w:left w:val="none" w:sz="0" w:space="0" w:color="auto"/>
            <w:bottom w:val="none" w:sz="0" w:space="0" w:color="auto"/>
            <w:right w:val="none" w:sz="0" w:space="0" w:color="auto"/>
          </w:divBdr>
        </w:div>
        <w:div w:id="453868709">
          <w:marLeft w:val="0"/>
          <w:marRight w:val="0"/>
          <w:marTop w:val="0"/>
          <w:marBottom w:val="0"/>
          <w:divBdr>
            <w:top w:val="none" w:sz="0" w:space="0" w:color="auto"/>
            <w:left w:val="none" w:sz="0" w:space="0" w:color="auto"/>
            <w:bottom w:val="none" w:sz="0" w:space="0" w:color="auto"/>
            <w:right w:val="none" w:sz="0" w:space="0" w:color="auto"/>
          </w:divBdr>
          <w:divsChild>
            <w:div w:id="74405786">
              <w:marLeft w:val="0"/>
              <w:marRight w:val="0"/>
              <w:marTop w:val="0"/>
              <w:marBottom w:val="0"/>
              <w:divBdr>
                <w:top w:val="none" w:sz="0" w:space="0" w:color="auto"/>
                <w:left w:val="none" w:sz="0" w:space="0" w:color="auto"/>
                <w:bottom w:val="none" w:sz="0" w:space="0" w:color="auto"/>
                <w:right w:val="none" w:sz="0" w:space="0" w:color="auto"/>
              </w:divBdr>
            </w:div>
            <w:div w:id="136187620">
              <w:marLeft w:val="0"/>
              <w:marRight w:val="0"/>
              <w:marTop w:val="0"/>
              <w:marBottom w:val="0"/>
              <w:divBdr>
                <w:top w:val="none" w:sz="0" w:space="0" w:color="auto"/>
                <w:left w:val="none" w:sz="0" w:space="0" w:color="auto"/>
                <w:bottom w:val="none" w:sz="0" w:space="0" w:color="auto"/>
                <w:right w:val="none" w:sz="0" w:space="0" w:color="auto"/>
              </w:divBdr>
            </w:div>
            <w:div w:id="408430489">
              <w:marLeft w:val="0"/>
              <w:marRight w:val="0"/>
              <w:marTop w:val="0"/>
              <w:marBottom w:val="0"/>
              <w:divBdr>
                <w:top w:val="none" w:sz="0" w:space="0" w:color="auto"/>
                <w:left w:val="none" w:sz="0" w:space="0" w:color="auto"/>
                <w:bottom w:val="none" w:sz="0" w:space="0" w:color="auto"/>
                <w:right w:val="none" w:sz="0" w:space="0" w:color="auto"/>
              </w:divBdr>
            </w:div>
            <w:div w:id="479082927">
              <w:marLeft w:val="0"/>
              <w:marRight w:val="0"/>
              <w:marTop w:val="0"/>
              <w:marBottom w:val="0"/>
              <w:divBdr>
                <w:top w:val="none" w:sz="0" w:space="0" w:color="auto"/>
                <w:left w:val="none" w:sz="0" w:space="0" w:color="auto"/>
                <w:bottom w:val="none" w:sz="0" w:space="0" w:color="auto"/>
                <w:right w:val="none" w:sz="0" w:space="0" w:color="auto"/>
              </w:divBdr>
            </w:div>
            <w:div w:id="597055703">
              <w:marLeft w:val="0"/>
              <w:marRight w:val="0"/>
              <w:marTop w:val="0"/>
              <w:marBottom w:val="0"/>
              <w:divBdr>
                <w:top w:val="none" w:sz="0" w:space="0" w:color="auto"/>
                <w:left w:val="none" w:sz="0" w:space="0" w:color="auto"/>
                <w:bottom w:val="none" w:sz="0" w:space="0" w:color="auto"/>
                <w:right w:val="none" w:sz="0" w:space="0" w:color="auto"/>
              </w:divBdr>
            </w:div>
            <w:div w:id="986397969">
              <w:marLeft w:val="0"/>
              <w:marRight w:val="0"/>
              <w:marTop w:val="0"/>
              <w:marBottom w:val="0"/>
              <w:divBdr>
                <w:top w:val="none" w:sz="0" w:space="0" w:color="auto"/>
                <w:left w:val="none" w:sz="0" w:space="0" w:color="auto"/>
                <w:bottom w:val="none" w:sz="0" w:space="0" w:color="auto"/>
                <w:right w:val="none" w:sz="0" w:space="0" w:color="auto"/>
              </w:divBdr>
            </w:div>
            <w:div w:id="1229224718">
              <w:marLeft w:val="0"/>
              <w:marRight w:val="0"/>
              <w:marTop w:val="0"/>
              <w:marBottom w:val="0"/>
              <w:divBdr>
                <w:top w:val="none" w:sz="0" w:space="0" w:color="auto"/>
                <w:left w:val="none" w:sz="0" w:space="0" w:color="auto"/>
                <w:bottom w:val="none" w:sz="0" w:space="0" w:color="auto"/>
                <w:right w:val="none" w:sz="0" w:space="0" w:color="auto"/>
              </w:divBdr>
            </w:div>
            <w:div w:id="1435974492">
              <w:marLeft w:val="0"/>
              <w:marRight w:val="0"/>
              <w:marTop w:val="0"/>
              <w:marBottom w:val="0"/>
              <w:divBdr>
                <w:top w:val="none" w:sz="0" w:space="0" w:color="auto"/>
                <w:left w:val="none" w:sz="0" w:space="0" w:color="auto"/>
                <w:bottom w:val="none" w:sz="0" w:space="0" w:color="auto"/>
                <w:right w:val="none" w:sz="0" w:space="0" w:color="auto"/>
              </w:divBdr>
            </w:div>
            <w:div w:id="1464301303">
              <w:marLeft w:val="0"/>
              <w:marRight w:val="0"/>
              <w:marTop w:val="0"/>
              <w:marBottom w:val="0"/>
              <w:divBdr>
                <w:top w:val="none" w:sz="0" w:space="0" w:color="auto"/>
                <w:left w:val="none" w:sz="0" w:space="0" w:color="auto"/>
                <w:bottom w:val="none" w:sz="0" w:space="0" w:color="auto"/>
                <w:right w:val="none" w:sz="0" w:space="0" w:color="auto"/>
              </w:divBdr>
            </w:div>
            <w:div w:id="1476338520">
              <w:marLeft w:val="0"/>
              <w:marRight w:val="0"/>
              <w:marTop w:val="0"/>
              <w:marBottom w:val="0"/>
              <w:divBdr>
                <w:top w:val="none" w:sz="0" w:space="0" w:color="auto"/>
                <w:left w:val="none" w:sz="0" w:space="0" w:color="auto"/>
                <w:bottom w:val="none" w:sz="0" w:space="0" w:color="auto"/>
                <w:right w:val="none" w:sz="0" w:space="0" w:color="auto"/>
              </w:divBdr>
            </w:div>
            <w:div w:id="1495025535">
              <w:marLeft w:val="0"/>
              <w:marRight w:val="0"/>
              <w:marTop w:val="0"/>
              <w:marBottom w:val="0"/>
              <w:divBdr>
                <w:top w:val="none" w:sz="0" w:space="0" w:color="auto"/>
                <w:left w:val="none" w:sz="0" w:space="0" w:color="auto"/>
                <w:bottom w:val="none" w:sz="0" w:space="0" w:color="auto"/>
                <w:right w:val="none" w:sz="0" w:space="0" w:color="auto"/>
              </w:divBdr>
            </w:div>
            <w:div w:id="1546915354">
              <w:marLeft w:val="0"/>
              <w:marRight w:val="0"/>
              <w:marTop w:val="0"/>
              <w:marBottom w:val="0"/>
              <w:divBdr>
                <w:top w:val="none" w:sz="0" w:space="0" w:color="auto"/>
                <w:left w:val="none" w:sz="0" w:space="0" w:color="auto"/>
                <w:bottom w:val="none" w:sz="0" w:space="0" w:color="auto"/>
                <w:right w:val="none" w:sz="0" w:space="0" w:color="auto"/>
              </w:divBdr>
            </w:div>
            <w:div w:id="1656686002">
              <w:marLeft w:val="0"/>
              <w:marRight w:val="0"/>
              <w:marTop w:val="0"/>
              <w:marBottom w:val="0"/>
              <w:divBdr>
                <w:top w:val="none" w:sz="0" w:space="0" w:color="auto"/>
                <w:left w:val="none" w:sz="0" w:space="0" w:color="auto"/>
                <w:bottom w:val="none" w:sz="0" w:space="0" w:color="auto"/>
                <w:right w:val="none" w:sz="0" w:space="0" w:color="auto"/>
              </w:divBdr>
            </w:div>
            <w:div w:id="1702239927">
              <w:marLeft w:val="0"/>
              <w:marRight w:val="0"/>
              <w:marTop w:val="0"/>
              <w:marBottom w:val="0"/>
              <w:divBdr>
                <w:top w:val="none" w:sz="0" w:space="0" w:color="auto"/>
                <w:left w:val="none" w:sz="0" w:space="0" w:color="auto"/>
                <w:bottom w:val="none" w:sz="0" w:space="0" w:color="auto"/>
                <w:right w:val="none" w:sz="0" w:space="0" w:color="auto"/>
              </w:divBdr>
            </w:div>
            <w:div w:id="1712996456">
              <w:marLeft w:val="0"/>
              <w:marRight w:val="0"/>
              <w:marTop w:val="0"/>
              <w:marBottom w:val="0"/>
              <w:divBdr>
                <w:top w:val="none" w:sz="0" w:space="0" w:color="auto"/>
                <w:left w:val="none" w:sz="0" w:space="0" w:color="auto"/>
                <w:bottom w:val="none" w:sz="0" w:space="0" w:color="auto"/>
                <w:right w:val="none" w:sz="0" w:space="0" w:color="auto"/>
              </w:divBdr>
            </w:div>
            <w:div w:id="1828202943">
              <w:marLeft w:val="0"/>
              <w:marRight w:val="0"/>
              <w:marTop w:val="0"/>
              <w:marBottom w:val="0"/>
              <w:divBdr>
                <w:top w:val="none" w:sz="0" w:space="0" w:color="auto"/>
                <w:left w:val="none" w:sz="0" w:space="0" w:color="auto"/>
                <w:bottom w:val="none" w:sz="0" w:space="0" w:color="auto"/>
                <w:right w:val="none" w:sz="0" w:space="0" w:color="auto"/>
              </w:divBdr>
            </w:div>
            <w:div w:id="1949046556">
              <w:marLeft w:val="0"/>
              <w:marRight w:val="0"/>
              <w:marTop w:val="0"/>
              <w:marBottom w:val="0"/>
              <w:divBdr>
                <w:top w:val="none" w:sz="0" w:space="0" w:color="auto"/>
                <w:left w:val="none" w:sz="0" w:space="0" w:color="auto"/>
                <w:bottom w:val="none" w:sz="0" w:space="0" w:color="auto"/>
                <w:right w:val="none" w:sz="0" w:space="0" w:color="auto"/>
              </w:divBdr>
            </w:div>
          </w:divsChild>
        </w:div>
        <w:div w:id="454836120">
          <w:marLeft w:val="0"/>
          <w:marRight w:val="0"/>
          <w:marTop w:val="0"/>
          <w:marBottom w:val="0"/>
          <w:divBdr>
            <w:top w:val="none" w:sz="0" w:space="0" w:color="auto"/>
            <w:left w:val="none" w:sz="0" w:space="0" w:color="auto"/>
            <w:bottom w:val="none" w:sz="0" w:space="0" w:color="auto"/>
            <w:right w:val="none" w:sz="0" w:space="0" w:color="auto"/>
          </w:divBdr>
        </w:div>
        <w:div w:id="455679657">
          <w:marLeft w:val="0"/>
          <w:marRight w:val="0"/>
          <w:marTop w:val="0"/>
          <w:marBottom w:val="0"/>
          <w:divBdr>
            <w:top w:val="none" w:sz="0" w:space="0" w:color="auto"/>
            <w:left w:val="none" w:sz="0" w:space="0" w:color="auto"/>
            <w:bottom w:val="none" w:sz="0" w:space="0" w:color="auto"/>
            <w:right w:val="none" w:sz="0" w:space="0" w:color="auto"/>
          </w:divBdr>
        </w:div>
        <w:div w:id="456677526">
          <w:marLeft w:val="0"/>
          <w:marRight w:val="0"/>
          <w:marTop w:val="0"/>
          <w:marBottom w:val="0"/>
          <w:divBdr>
            <w:top w:val="none" w:sz="0" w:space="0" w:color="auto"/>
            <w:left w:val="none" w:sz="0" w:space="0" w:color="auto"/>
            <w:bottom w:val="none" w:sz="0" w:space="0" w:color="auto"/>
            <w:right w:val="none" w:sz="0" w:space="0" w:color="auto"/>
          </w:divBdr>
        </w:div>
        <w:div w:id="456992931">
          <w:marLeft w:val="0"/>
          <w:marRight w:val="0"/>
          <w:marTop w:val="0"/>
          <w:marBottom w:val="0"/>
          <w:divBdr>
            <w:top w:val="none" w:sz="0" w:space="0" w:color="auto"/>
            <w:left w:val="none" w:sz="0" w:space="0" w:color="auto"/>
            <w:bottom w:val="none" w:sz="0" w:space="0" w:color="auto"/>
            <w:right w:val="none" w:sz="0" w:space="0" w:color="auto"/>
          </w:divBdr>
        </w:div>
        <w:div w:id="457380027">
          <w:marLeft w:val="0"/>
          <w:marRight w:val="0"/>
          <w:marTop w:val="0"/>
          <w:marBottom w:val="0"/>
          <w:divBdr>
            <w:top w:val="none" w:sz="0" w:space="0" w:color="auto"/>
            <w:left w:val="none" w:sz="0" w:space="0" w:color="auto"/>
            <w:bottom w:val="none" w:sz="0" w:space="0" w:color="auto"/>
            <w:right w:val="none" w:sz="0" w:space="0" w:color="auto"/>
          </w:divBdr>
        </w:div>
        <w:div w:id="458189502">
          <w:marLeft w:val="0"/>
          <w:marRight w:val="0"/>
          <w:marTop w:val="0"/>
          <w:marBottom w:val="0"/>
          <w:divBdr>
            <w:top w:val="none" w:sz="0" w:space="0" w:color="auto"/>
            <w:left w:val="none" w:sz="0" w:space="0" w:color="auto"/>
            <w:bottom w:val="none" w:sz="0" w:space="0" w:color="auto"/>
            <w:right w:val="none" w:sz="0" w:space="0" w:color="auto"/>
          </w:divBdr>
        </w:div>
        <w:div w:id="458648833">
          <w:marLeft w:val="0"/>
          <w:marRight w:val="0"/>
          <w:marTop w:val="0"/>
          <w:marBottom w:val="0"/>
          <w:divBdr>
            <w:top w:val="none" w:sz="0" w:space="0" w:color="auto"/>
            <w:left w:val="none" w:sz="0" w:space="0" w:color="auto"/>
            <w:bottom w:val="none" w:sz="0" w:space="0" w:color="auto"/>
            <w:right w:val="none" w:sz="0" w:space="0" w:color="auto"/>
          </w:divBdr>
        </w:div>
        <w:div w:id="460390654">
          <w:marLeft w:val="0"/>
          <w:marRight w:val="0"/>
          <w:marTop w:val="0"/>
          <w:marBottom w:val="0"/>
          <w:divBdr>
            <w:top w:val="none" w:sz="0" w:space="0" w:color="auto"/>
            <w:left w:val="none" w:sz="0" w:space="0" w:color="auto"/>
            <w:bottom w:val="none" w:sz="0" w:space="0" w:color="auto"/>
            <w:right w:val="none" w:sz="0" w:space="0" w:color="auto"/>
          </w:divBdr>
        </w:div>
        <w:div w:id="461308547">
          <w:marLeft w:val="0"/>
          <w:marRight w:val="0"/>
          <w:marTop w:val="0"/>
          <w:marBottom w:val="0"/>
          <w:divBdr>
            <w:top w:val="none" w:sz="0" w:space="0" w:color="auto"/>
            <w:left w:val="none" w:sz="0" w:space="0" w:color="auto"/>
            <w:bottom w:val="none" w:sz="0" w:space="0" w:color="auto"/>
            <w:right w:val="none" w:sz="0" w:space="0" w:color="auto"/>
          </w:divBdr>
        </w:div>
        <w:div w:id="462776883">
          <w:marLeft w:val="0"/>
          <w:marRight w:val="0"/>
          <w:marTop w:val="0"/>
          <w:marBottom w:val="0"/>
          <w:divBdr>
            <w:top w:val="none" w:sz="0" w:space="0" w:color="auto"/>
            <w:left w:val="none" w:sz="0" w:space="0" w:color="auto"/>
            <w:bottom w:val="none" w:sz="0" w:space="0" w:color="auto"/>
            <w:right w:val="none" w:sz="0" w:space="0" w:color="auto"/>
          </w:divBdr>
        </w:div>
        <w:div w:id="464322833">
          <w:marLeft w:val="0"/>
          <w:marRight w:val="0"/>
          <w:marTop w:val="0"/>
          <w:marBottom w:val="0"/>
          <w:divBdr>
            <w:top w:val="none" w:sz="0" w:space="0" w:color="auto"/>
            <w:left w:val="none" w:sz="0" w:space="0" w:color="auto"/>
            <w:bottom w:val="none" w:sz="0" w:space="0" w:color="auto"/>
            <w:right w:val="none" w:sz="0" w:space="0" w:color="auto"/>
          </w:divBdr>
          <w:divsChild>
            <w:div w:id="473336">
              <w:marLeft w:val="0"/>
              <w:marRight w:val="0"/>
              <w:marTop w:val="0"/>
              <w:marBottom w:val="0"/>
              <w:divBdr>
                <w:top w:val="none" w:sz="0" w:space="0" w:color="auto"/>
                <w:left w:val="none" w:sz="0" w:space="0" w:color="auto"/>
                <w:bottom w:val="none" w:sz="0" w:space="0" w:color="auto"/>
                <w:right w:val="none" w:sz="0" w:space="0" w:color="auto"/>
              </w:divBdr>
            </w:div>
            <w:div w:id="31423589">
              <w:marLeft w:val="0"/>
              <w:marRight w:val="0"/>
              <w:marTop w:val="0"/>
              <w:marBottom w:val="0"/>
              <w:divBdr>
                <w:top w:val="none" w:sz="0" w:space="0" w:color="auto"/>
                <w:left w:val="none" w:sz="0" w:space="0" w:color="auto"/>
                <w:bottom w:val="none" w:sz="0" w:space="0" w:color="auto"/>
                <w:right w:val="none" w:sz="0" w:space="0" w:color="auto"/>
              </w:divBdr>
            </w:div>
            <w:div w:id="169954882">
              <w:marLeft w:val="0"/>
              <w:marRight w:val="0"/>
              <w:marTop w:val="0"/>
              <w:marBottom w:val="0"/>
              <w:divBdr>
                <w:top w:val="none" w:sz="0" w:space="0" w:color="auto"/>
                <w:left w:val="none" w:sz="0" w:space="0" w:color="auto"/>
                <w:bottom w:val="none" w:sz="0" w:space="0" w:color="auto"/>
                <w:right w:val="none" w:sz="0" w:space="0" w:color="auto"/>
              </w:divBdr>
            </w:div>
            <w:div w:id="179899966">
              <w:marLeft w:val="0"/>
              <w:marRight w:val="0"/>
              <w:marTop w:val="0"/>
              <w:marBottom w:val="0"/>
              <w:divBdr>
                <w:top w:val="none" w:sz="0" w:space="0" w:color="auto"/>
                <w:left w:val="none" w:sz="0" w:space="0" w:color="auto"/>
                <w:bottom w:val="none" w:sz="0" w:space="0" w:color="auto"/>
                <w:right w:val="none" w:sz="0" w:space="0" w:color="auto"/>
              </w:divBdr>
            </w:div>
            <w:div w:id="379549475">
              <w:marLeft w:val="0"/>
              <w:marRight w:val="0"/>
              <w:marTop w:val="0"/>
              <w:marBottom w:val="0"/>
              <w:divBdr>
                <w:top w:val="none" w:sz="0" w:space="0" w:color="auto"/>
                <w:left w:val="none" w:sz="0" w:space="0" w:color="auto"/>
                <w:bottom w:val="none" w:sz="0" w:space="0" w:color="auto"/>
                <w:right w:val="none" w:sz="0" w:space="0" w:color="auto"/>
              </w:divBdr>
            </w:div>
            <w:div w:id="501311802">
              <w:marLeft w:val="0"/>
              <w:marRight w:val="0"/>
              <w:marTop w:val="0"/>
              <w:marBottom w:val="0"/>
              <w:divBdr>
                <w:top w:val="none" w:sz="0" w:space="0" w:color="auto"/>
                <w:left w:val="none" w:sz="0" w:space="0" w:color="auto"/>
                <w:bottom w:val="none" w:sz="0" w:space="0" w:color="auto"/>
                <w:right w:val="none" w:sz="0" w:space="0" w:color="auto"/>
              </w:divBdr>
            </w:div>
            <w:div w:id="558323375">
              <w:marLeft w:val="0"/>
              <w:marRight w:val="0"/>
              <w:marTop w:val="0"/>
              <w:marBottom w:val="0"/>
              <w:divBdr>
                <w:top w:val="none" w:sz="0" w:space="0" w:color="auto"/>
                <w:left w:val="none" w:sz="0" w:space="0" w:color="auto"/>
                <w:bottom w:val="none" w:sz="0" w:space="0" w:color="auto"/>
                <w:right w:val="none" w:sz="0" w:space="0" w:color="auto"/>
              </w:divBdr>
            </w:div>
            <w:div w:id="604508258">
              <w:marLeft w:val="0"/>
              <w:marRight w:val="0"/>
              <w:marTop w:val="0"/>
              <w:marBottom w:val="0"/>
              <w:divBdr>
                <w:top w:val="none" w:sz="0" w:space="0" w:color="auto"/>
                <w:left w:val="none" w:sz="0" w:space="0" w:color="auto"/>
                <w:bottom w:val="none" w:sz="0" w:space="0" w:color="auto"/>
                <w:right w:val="none" w:sz="0" w:space="0" w:color="auto"/>
              </w:divBdr>
            </w:div>
            <w:div w:id="621693527">
              <w:marLeft w:val="0"/>
              <w:marRight w:val="0"/>
              <w:marTop w:val="0"/>
              <w:marBottom w:val="0"/>
              <w:divBdr>
                <w:top w:val="none" w:sz="0" w:space="0" w:color="auto"/>
                <w:left w:val="none" w:sz="0" w:space="0" w:color="auto"/>
                <w:bottom w:val="none" w:sz="0" w:space="0" w:color="auto"/>
                <w:right w:val="none" w:sz="0" w:space="0" w:color="auto"/>
              </w:divBdr>
            </w:div>
            <w:div w:id="686833216">
              <w:marLeft w:val="0"/>
              <w:marRight w:val="0"/>
              <w:marTop w:val="0"/>
              <w:marBottom w:val="0"/>
              <w:divBdr>
                <w:top w:val="none" w:sz="0" w:space="0" w:color="auto"/>
                <w:left w:val="none" w:sz="0" w:space="0" w:color="auto"/>
                <w:bottom w:val="none" w:sz="0" w:space="0" w:color="auto"/>
                <w:right w:val="none" w:sz="0" w:space="0" w:color="auto"/>
              </w:divBdr>
            </w:div>
            <w:div w:id="1232737299">
              <w:marLeft w:val="0"/>
              <w:marRight w:val="0"/>
              <w:marTop w:val="0"/>
              <w:marBottom w:val="0"/>
              <w:divBdr>
                <w:top w:val="none" w:sz="0" w:space="0" w:color="auto"/>
                <w:left w:val="none" w:sz="0" w:space="0" w:color="auto"/>
                <w:bottom w:val="none" w:sz="0" w:space="0" w:color="auto"/>
                <w:right w:val="none" w:sz="0" w:space="0" w:color="auto"/>
              </w:divBdr>
            </w:div>
            <w:div w:id="1246500609">
              <w:marLeft w:val="0"/>
              <w:marRight w:val="0"/>
              <w:marTop w:val="0"/>
              <w:marBottom w:val="0"/>
              <w:divBdr>
                <w:top w:val="none" w:sz="0" w:space="0" w:color="auto"/>
                <w:left w:val="none" w:sz="0" w:space="0" w:color="auto"/>
                <w:bottom w:val="none" w:sz="0" w:space="0" w:color="auto"/>
                <w:right w:val="none" w:sz="0" w:space="0" w:color="auto"/>
              </w:divBdr>
            </w:div>
            <w:div w:id="1272861508">
              <w:marLeft w:val="0"/>
              <w:marRight w:val="0"/>
              <w:marTop w:val="0"/>
              <w:marBottom w:val="0"/>
              <w:divBdr>
                <w:top w:val="none" w:sz="0" w:space="0" w:color="auto"/>
                <w:left w:val="none" w:sz="0" w:space="0" w:color="auto"/>
                <w:bottom w:val="none" w:sz="0" w:space="0" w:color="auto"/>
                <w:right w:val="none" w:sz="0" w:space="0" w:color="auto"/>
              </w:divBdr>
            </w:div>
            <w:div w:id="1429734044">
              <w:marLeft w:val="0"/>
              <w:marRight w:val="0"/>
              <w:marTop w:val="0"/>
              <w:marBottom w:val="0"/>
              <w:divBdr>
                <w:top w:val="none" w:sz="0" w:space="0" w:color="auto"/>
                <w:left w:val="none" w:sz="0" w:space="0" w:color="auto"/>
                <w:bottom w:val="none" w:sz="0" w:space="0" w:color="auto"/>
                <w:right w:val="none" w:sz="0" w:space="0" w:color="auto"/>
              </w:divBdr>
            </w:div>
            <w:div w:id="1440100962">
              <w:marLeft w:val="0"/>
              <w:marRight w:val="0"/>
              <w:marTop w:val="0"/>
              <w:marBottom w:val="0"/>
              <w:divBdr>
                <w:top w:val="none" w:sz="0" w:space="0" w:color="auto"/>
                <w:left w:val="none" w:sz="0" w:space="0" w:color="auto"/>
                <w:bottom w:val="none" w:sz="0" w:space="0" w:color="auto"/>
                <w:right w:val="none" w:sz="0" w:space="0" w:color="auto"/>
              </w:divBdr>
            </w:div>
            <w:div w:id="1461654785">
              <w:marLeft w:val="0"/>
              <w:marRight w:val="0"/>
              <w:marTop w:val="0"/>
              <w:marBottom w:val="0"/>
              <w:divBdr>
                <w:top w:val="none" w:sz="0" w:space="0" w:color="auto"/>
                <w:left w:val="none" w:sz="0" w:space="0" w:color="auto"/>
                <w:bottom w:val="none" w:sz="0" w:space="0" w:color="auto"/>
                <w:right w:val="none" w:sz="0" w:space="0" w:color="auto"/>
              </w:divBdr>
            </w:div>
            <w:div w:id="1626352764">
              <w:marLeft w:val="0"/>
              <w:marRight w:val="0"/>
              <w:marTop w:val="0"/>
              <w:marBottom w:val="0"/>
              <w:divBdr>
                <w:top w:val="none" w:sz="0" w:space="0" w:color="auto"/>
                <w:left w:val="none" w:sz="0" w:space="0" w:color="auto"/>
                <w:bottom w:val="none" w:sz="0" w:space="0" w:color="auto"/>
                <w:right w:val="none" w:sz="0" w:space="0" w:color="auto"/>
              </w:divBdr>
            </w:div>
            <w:div w:id="1759673202">
              <w:marLeft w:val="0"/>
              <w:marRight w:val="0"/>
              <w:marTop w:val="0"/>
              <w:marBottom w:val="0"/>
              <w:divBdr>
                <w:top w:val="none" w:sz="0" w:space="0" w:color="auto"/>
                <w:left w:val="none" w:sz="0" w:space="0" w:color="auto"/>
                <w:bottom w:val="none" w:sz="0" w:space="0" w:color="auto"/>
                <w:right w:val="none" w:sz="0" w:space="0" w:color="auto"/>
              </w:divBdr>
            </w:div>
            <w:div w:id="1762796996">
              <w:marLeft w:val="0"/>
              <w:marRight w:val="0"/>
              <w:marTop w:val="0"/>
              <w:marBottom w:val="0"/>
              <w:divBdr>
                <w:top w:val="none" w:sz="0" w:space="0" w:color="auto"/>
                <w:left w:val="none" w:sz="0" w:space="0" w:color="auto"/>
                <w:bottom w:val="none" w:sz="0" w:space="0" w:color="auto"/>
                <w:right w:val="none" w:sz="0" w:space="0" w:color="auto"/>
              </w:divBdr>
            </w:div>
            <w:div w:id="1816794137">
              <w:marLeft w:val="0"/>
              <w:marRight w:val="0"/>
              <w:marTop w:val="0"/>
              <w:marBottom w:val="0"/>
              <w:divBdr>
                <w:top w:val="none" w:sz="0" w:space="0" w:color="auto"/>
                <w:left w:val="none" w:sz="0" w:space="0" w:color="auto"/>
                <w:bottom w:val="none" w:sz="0" w:space="0" w:color="auto"/>
                <w:right w:val="none" w:sz="0" w:space="0" w:color="auto"/>
              </w:divBdr>
            </w:div>
            <w:div w:id="2142072792">
              <w:marLeft w:val="0"/>
              <w:marRight w:val="0"/>
              <w:marTop w:val="0"/>
              <w:marBottom w:val="0"/>
              <w:divBdr>
                <w:top w:val="none" w:sz="0" w:space="0" w:color="auto"/>
                <w:left w:val="none" w:sz="0" w:space="0" w:color="auto"/>
                <w:bottom w:val="none" w:sz="0" w:space="0" w:color="auto"/>
                <w:right w:val="none" w:sz="0" w:space="0" w:color="auto"/>
              </w:divBdr>
            </w:div>
          </w:divsChild>
        </w:div>
        <w:div w:id="464809815">
          <w:marLeft w:val="0"/>
          <w:marRight w:val="0"/>
          <w:marTop w:val="0"/>
          <w:marBottom w:val="0"/>
          <w:divBdr>
            <w:top w:val="none" w:sz="0" w:space="0" w:color="auto"/>
            <w:left w:val="none" w:sz="0" w:space="0" w:color="auto"/>
            <w:bottom w:val="none" w:sz="0" w:space="0" w:color="auto"/>
            <w:right w:val="none" w:sz="0" w:space="0" w:color="auto"/>
          </w:divBdr>
        </w:div>
        <w:div w:id="465009963">
          <w:marLeft w:val="0"/>
          <w:marRight w:val="0"/>
          <w:marTop w:val="0"/>
          <w:marBottom w:val="0"/>
          <w:divBdr>
            <w:top w:val="none" w:sz="0" w:space="0" w:color="auto"/>
            <w:left w:val="none" w:sz="0" w:space="0" w:color="auto"/>
            <w:bottom w:val="none" w:sz="0" w:space="0" w:color="auto"/>
            <w:right w:val="none" w:sz="0" w:space="0" w:color="auto"/>
          </w:divBdr>
        </w:div>
        <w:div w:id="468398509">
          <w:marLeft w:val="0"/>
          <w:marRight w:val="0"/>
          <w:marTop w:val="0"/>
          <w:marBottom w:val="0"/>
          <w:divBdr>
            <w:top w:val="none" w:sz="0" w:space="0" w:color="auto"/>
            <w:left w:val="none" w:sz="0" w:space="0" w:color="auto"/>
            <w:bottom w:val="none" w:sz="0" w:space="0" w:color="auto"/>
            <w:right w:val="none" w:sz="0" w:space="0" w:color="auto"/>
          </w:divBdr>
        </w:div>
        <w:div w:id="468935728">
          <w:marLeft w:val="0"/>
          <w:marRight w:val="0"/>
          <w:marTop w:val="0"/>
          <w:marBottom w:val="0"/>
          <w:divBdr>
            <w:top w:val="none" w:sz="0" w:space="0" w:color="auto"/>
            <w:left w:val="none" w:sz="0" w:space="0" w:color="auto"/>
            <w:bottom w:val="none" w:sz="0" w:space="0" w:color="auto"/>
            <w:right w:val="none" w:sz="0" w:space="0" w:color="auto"/>
          </w:divBdr>
        </w:div>
        <w:div w:id="469136476">
          <w:marLeft w:val="0"/>
          <w:marRight w:val="0"/>
          <w:marTop w:val="0"/>
          <w:marBottom w:val="0"/>
          <w:divBdr>
            <w:top w:val="none" w:sz="0" w:space="0" w:color="auto"/>
            <w:left w:val="none" w:sz="0" w:space="0" w:color="auto"/>
            <w:bottom w:val="none" w:sz="0" w:space="0" w:color="auto"/>
            <w:right w:val="none" w:sz="0" w:space="0" w:color="auto"/>
          </w:divBdr>
        </w:div>
        <w:div w:id="470447222">
          <w:marLeft w:val="0"/>
          <w:marRight w:val="0"/>
          <w:marTop w:val="0"/>
          <w:marBottom w:val="0"/>
          <w:divBdr>
            <w:top w:val="none" w:sz="0" w:space="0" w:color="auto"/>
            <w:left w:val="none" w:sz="0" w:space="0" w:color="auto"/>
            <w:bottom w:val="none" w:sz="0" w:space="0" w:color="auto"/>
            <w:right w:val="none" w:sz="0" w:space="0" w:color="auto"/>
          </w:divBdr>
        </w:div>
        <w:div w:id="470563031">
          <w:marLeft w:val="0"/>
          <w:marRight w:val="0"/>
          <w:marTop w:val="0"/>
          <w:marBottom w:val="0"/>
          <w:divBdr>
            <w:top w:val="none" w:sz="0" w:space="0" w:color="auto"/>
            <w:left w:val="none" w:sz="0" w:space="0" w:color="auto"/>
            <w:bottom w:val="none" w:sz="0" w:space="0" w:color="auto"/>
            <w:right w:val="none" w:sz="0" w:space="0" w:color="auto"/>
          </w:divBdr>
        </w:div>
        <w:div w:id="471947884">
          <w:marLeft w:val="0"/>
          <w:marRight w:val="0"/>
          <w:marTop w:val="0"/>
          <w:marBottom w:val="0"/>
          <w:divBdr>
            <w:top w:val="none" w:sz="0" w:space="0" w:color="auto"/>
            <w:left w:val="none" w:sz="0" w:space="0" w:color="auto"/>
            <w:bottom w:val="none" w:sz="0" w:space="0" w:color="auto"/>
            <w:right w:val="none" w:sz="0" w:space="0" w:color="auto"/>
          </w:divBdr>
        </w:div>
        <w:div w:id="473912934">
          <w:marLeft w:val="0"/>
          <w:marRight w:val="0"/>
          <w:marTop w:val="0"/>
          <w:marBottom w:val="0"/>
          <w:divBdr>
            <w:top w:val="none" w:sz="0" w:space="0" w:color="auto"/>
            <w:left w:val="none" w:sz="0" w:space="0" w:color="auto"/>
            <w:bottom w:val="none" w:sz="0" w:space="0" w:color="auto"/>
            <w:right w:val="none" w:sz="0" w:space="0" w:color="auto"/>
          </w:divBdr>
        </w:div>
        <w:div w:id="474564036">
          <w:marLeft w:val="0"/>
          <w:marRight w:val="0"/>
          <w:marTop w:val="0"/>
          <w:marBottom w:val="0"/>
          <w:divBdr>
            <w:top w:val="none" w:sz="0" w:space="0" w:color="auto"/>
            <w:left w:val="none" w:sz="0" w:space="0" w:color="auto"/>
            <w:bottom w:val="none" w:sz="0" w:space="0" w:color="auto"/>
            <w:right w:val="none" w:sz="0" w:space="0" w:color="auto"/>
          </w:divBdr>
        </w:div>
        <w:div w:id="474684439">
          <w:marLeft w:val="0"/>
          <w:marRight w:val="0"/>
          <w:marTop w:val="0"/>
          <w:marBottom w:val="0"/>
          <w:divBdr>
            <w:top w:val="none" w:sz="0" w:space="0" w:color="auto"/>
            <w:left w:val="none" w:sz="0" w:space="0" w:color="auto"/>
            <w:bottom w:val="none" w:sz="0" w:space="0" w:color="auto"/>
            <w:right w:val="none" w:sz="0" w:space="0" w:color="auto"/>
          </w:divBdr>
        </w:div>
        <w:div w:id="475294617">
          <w:marLeft w:val="0"/>
          <w:marRight w:val="0"/>
          <w:marTop w:val="0"/>
          <w:marBottom w:val="0"/>
          <w:divBdr>
            <w:top w:val="none" w:sz="0" w:space="0" w:color="auto"/>
            <w:left w:val="none" w:sz="0" w:space="0" w:color="auto"/>
            <w:bottom w:val="none" w:sz="0" w:space="0" w:color="auto"/>
            <w:right w:val="none" w:sz="0" w:space="0" w:color="auto"/>
          </w:divBdr>
        </w:div>
        <w:div w:id="475993244">
          <w:marLeft w:val="0"/>
          <w:marRight w:val="0"/>
          <w:marTop w:val="0"/>
          <w:marBottom w:val="0"/>
          <w:divBdr>
            <w:top w:val="none" w:sz="0" w:space="0" w:color="auto"/>
            <w:left w:val="none" w:sz="0" w:space="0" w:color="auto"/>
            <w:bottom w:val="none" w:sz="0" w:space="0" w:color="auto"/>
            <w:right w:val="none" w:sz="0" w:space="0" w:color="auto"/>
          </w:divBdr>
        </w:div>
        <w:div w:id="476336918">
          <w:marLeft w:val="0"/>
          <w:marRight w:val="0"/>
          <w:marTop w:val="0"/>
          <w:marBottom w:val="0"/>
          <w:divBdr>
            <w:top w:val="none" w:sz="0" w:space="0" w:color="auto"/>
            <w:left w:val="none" w:sz="0" w:space="0" w:color="auto"/>
            <w:bottom w:val="none" w:sz="0" w:space="0" w:color="auto"/>
            <w:right w:val="none" w:sz="0" w:space="0" w:color="auto"/>
          </w:divBdr>
        </w:div>
        <w:div w:id="476342859">
          <w:marLeft w:val="0"/>
          <w:marRight w:val="0"/>
          <w:marTop w:val="0"/>
          <w:marBottom w:val="0"/>
          <w:divBdr>
            <w:top w:val="none" w:sz="0" w:space="0" w:color="auto"/>
            <w:left w:val="none" w:sz="0" w:space="0" w:color="auto"/>
            <w:bottom w:val="none" w:sz="0" w:space="0" w:color="auto"/>
            <w:right w:val="none" w:sz="0" w:space="0" w:color="auto"/>
          </w:divBdr>
        </w:div>
        <w:div w:id="477307565">
          <w:marLeft w:val="0"/>
          <w:marRight w:val="0"/>
          <w:marTop w:val="0"/>
          <w:marBottom w:val="0"/>
          <w:divBdr>
            <w:top w:val="none" w:sz="0" w:space="0" w:color="auto"/>
            <w:left w:val="none" w:sz="0" w:space="0" w:color="auto"/>
            <w:bottom w:val="none" w:sz="0" w:space="0" w:color="auto"/>
            <w:right w:val="none" w:sz="0" w:space="0" w:color="auto"/>
          </w:divBdr>
        </w:div>
        <w:div w:id="477653002">
          <w:marLeft w:val="0"/>
          <w:marRight w:val="0"/>
          <w:marTop w:val="0"/>
          <w:marBottom w:val="0"/>
          <w:divBdr>
            <w:top w:val="none" w:sz="0" w:space="0" w:color="auto"/>
            <w:left w:val="none" w:sz="0" w:space="0" w:color="auto"/>
            <w:bottom w:val="none" w:sz="0" w:space="0" w:color="auto"/>
            <w:right w:val="none" w:sz="0" w:space="0" w:color="auto"/>
          </w:divBdr>
        </w:div>
        <w:div w:id="477959548">
          <w:marLeft w:val="0"/>
          <w:marRight w:val="0"/>
          <w:marTop w:val="0"/>
          <w:marBottom w:val="0"/>
          <w:divBdr>
            <w:top w:val="none" w:sz="0" w:space="0" w:color="auto"/>
            <w:left w:val="none" w:sz="0" w:space="0" w:color="auto"/>
            <w:bottom w:val="none" w:sz="0" w:space="0" w:color="auto"/>
            <w:right w:val="none" w:sz="0" w:space="0" w:color="auto"/>
          </w:divBdr>
          <w:divsChild>
            <w:div w:id="258373879">
              <w:marLeft w:val="0"/>
              <w:marRight w:val="0"/>
              <w:marTop w:val="0"/>
              <w:marBottom w:val="0"/>
              <w:divBdr>
                <w:top w:val="none" w:sz="0" w:space="0" w:color="auto"/>
                <w:left w:val="none" w:sz="0" w:space="0" w:color="auto"/>
                <w:bottom w:val="none" w:sz="0" w:space="0" w:color="auto"/>
                <w:right w:val="none" w:sz="0" w:space="0" w:color="auto"/>
              </w:divBdr>
            </w:div>
            <w:div w:id="407313555">
              <w:marLeft w:val="0"/>
              <w:marRight w:val="0"/>
              <w:marTop w:val="0"/>
              <w:marBottom w:val="0"/>
              <w:divBdr>
                <w:top w:val="none" w:sz="0" w:space="0" w:color="auto"/>
                <w:left w:val="none" w:sz="0" w:space="0" w:color="auto"/>
                <w:bottom w:val="none" w:sz="0" w:space="0" w:color="auto"/>
                <w:right w:val="none" w:sz="0" w:space="0" w:color="auto"/>
              </w:divBdr>
            </w:div>
            <w:div w:id="506746678">
              <w:marLeft w:val="0"/>
              <w:marRight w:val="0"/>
              <w:marTop w:val="0"/>
              <w:marBottom w:val="0"/>
              <w:divBdr>
                <w:top w:val="none" w:sz="0" w:space="0" w:color="auto"/>
                <w:left w:val="none" w:sz="0" w:space="0" w:color="auto"/>
                <w:bottom w:val="none" w:sz="0" w:space="0" w:color="auto"/>
                <w:right w:val="none" w:sz="0" w:space="0" w:color="auto"/>
              </w:divBdr>
            </w:div>
            <w:div w:id="630330664">
              <w:marLeft w:val="0"/>
              <w:marRight w:val="0"/>
              <w:marTop w:val="0"/>
              <w:marBottom w:val="0"/>
              <w:divBdr>
                <w:top w:val="none" w:sz="0" w:space="0" w:color="auto"/>
                <w:left w:val="none" w:sz="0" w:space="0" w:color="auto"/>
                <w:bottom w:val="none" w:sz="0" w:space="0" w:color="auto"/>
                <w:right w:val="none" w:sz="0" w:space="0" w:color="auto"/>
              </w:divBdr>
            </w:div>
            <w:div w:id="761994102">
              <w:marLeft w:val="0"/>
              <w:marRight w:val="0"/>
              <w:marTop w:val="0"/>
              <w:marBottom w:val="0"/>
              <w:divBdr>
                <w:top w:val="none" w:sz="0" w:space="0" w:color="auto"/>
                <w:left w:val="none" w:sz="0" w:space="0" w:color="auto"/>
                <w:bottom w:val="none" w:sz="0" w:space="0" w:color="auto"/>
                <w:right w:val="none" w:sz="0" w:space="0" w:color="auto"/>
              </w:divBdr>
            </w:div>
            <w:div w:id="886793320">
              <w:marLeft w:val="0"/>
              <w:marRight w:val="0"/>
              <w:marTop w:val="0"/>
              <w:marBottom w:val="0"/>
              <w:divBdr>
                <w:top w:val="none" w:sz="0" w:space="0" w:color="auto"/>
                <w:left w:val="none" w:sz="0" w:space="0" w:color="auto"/>
                <w:bottom w:val="none" w:sz="0" w:space="0" w:color="auto"/>
                <w:right w:val="none" w:sz="0" w:space="0" w:color="auto"/>
              </w:divBdr>
            </w:div>
            <w:div w:id="949433836">
              <w:marLeft w:val="0"/>
              <w:marRight w:val="0"/>
              <w:marTop w:val="0"/>
              <w:marBottom w:val="0"/>
              <w:divBdr>
                <w:top w:val="none" w:sz="0" w:space="0" w:color="auto"/>
                <w:left w:val="none" w:sz="0" w:space="0" w:color="auto"/>
                <w:bottom w:val="none" w:sz="0" w:space="0" w:color="auto"/>
                <w:right w:val="none" w:sz="0" w:space="0" w:color="auto"/>
              </w:divBdr>
            </w:div>
            <w:div w:id="997877816">
              <w:marLeft w:val="0"/>
              <w:marRight w:val="0"/>
              <w:marTop w:val="0"/>
              <w:marBottom w:val="0"/>
              <w:divBdr>
                <w:top w:val="none" w:sz="0" w:space="0" w:color="auto"/>
                <w:left w:val="none" w:sz="0" w:space="0" w:color="auto"/>
                <w:bottom w:val="none" w:sz="0" w:space="0" w:color="auto"/>
                <w:right w:val="none" w:sz="0" w:space="0" w:color="auto"/>
              </w:divBdr>
            </w:div>
            <w:div w:id="1012803028">
              <w:marLeft w:val="0"/>
              <w:marRight w:val="0"/>
              <w:marTop w:val="0"/>
              <w:marBottom w:val="0"/>
              <w:divBdr>
                <w:top w:val="none" w:sz="0" w:space="0" w:color="auto"/>
                <w:left w:val="none" w:sz="0" w:space="0" w:color="auto"/>
                <w:bottom w:val="none" w:sz="0" w:space="0" w:color="auto"/>
                <w:right w:val="none" w:sz="0" w:space="0" w:color="auto"/>
              </w:divBdr>
            </w:div>
            <w:div w:id="1030646418">
              <w:marLeft w:val="0"/>
              <w:marRight w:val="0"/>
              <w:marTop w:val="0"/>
              <w:marBottom w:val="0"/>
              <w:divBdr>
                <w:top w:val="none" w:sz="0" w:space="0" w:color="auto"/>
                <w:left w:val="none" w:sz="0" w:space="0" w:color="auto"/>
                <w:bottom w:val="none" w:sz="0" w:space="0" w:color="auto"/>
                <w:right w:val="none" w:sz="0" w:space="0" w:color="auto"/>
              </w:divBdr>
            </w:div>
            <w:div w:id="1031759134">
              <w:marLeft w:val="0"/>
              <w:marRight w:val="0"/>
              <w:marTop w:val="0"/>
              <w:marBottom w:val="0"/>
              <w:divBdr>
                <w:top w:val="none" w:sz="0" w:space="0" w:color="auto"/>
                <w:left w:val="none" w:sz="0" w:space="0" w:color="auto"/>
                <w:bottom w:val="none" w:sz="0" w:space="0" w:color="auto"/>
                <w:right w:val="none" w:sz="0" w:space="0" w:color="auto"/>
              </w:divBdr>
            </w:div>
            <w:div w:id="1097795539">
              <w:marLeft w:val="0"/>
              <w:marRight w:val="0"/>
              <w:marTop w:val="0"/>
              <w:marBottom w:val="0"/>
              <w:divBdr>
                <w:top w:val="none" w:sz="0" w:space="0" w:color="auto"/>
                <w:left w:val="none" w:sz="0" w:space="0" w:color="auto"/>
                <w:bottom w:val="none" w:sz="0" w:space="0" w:color="auto"/>
                <w:right w:val="none" w:sz="0" w:space="0" w:color="auto"/>
              </w:divBdr>
            </w:div>
            <w:div w:id="1132749340">
              <w:marLeft w:val="0"/>
              <w:marRight w:val="0"/>
              <w:marTop w:val="0"/>
              <w:marBottom w:val="0"/>
              <w:divBdr>
                <w:top w:val="none" w:sz="0" w:space="0" w:color="auto"/>
                <w:left w:val="none" w:sz="0" w:space="0" w:color="auto"/>
                <w:bottom w:val="none" w:sz="0" w:space="0" w:color="auto"/>
                <w:right w:val="none" w:sz="0" w:space="0" w:color="auto"/>
              </w:divBdr>
            </w:div>
            <w:div w:id="1236819764">
              <w:marLeft w:val="0"/>
              <w:marRight w:val="0"/>
              <w:marTop w:val="0"/>
              <w:marBottom w:val="0"/>
              <w:divBdr>
                <w:top w:val="none" w:sz="0" w:space="0" w:color="auto"/>
                <w:left w:val="none" w:sz="0" w:space="0" w:color="auto"/>
                <w:bottom w:val="none" w:sz="0" w:space="0" w:color="auto"/>
                <w:right w:val="none" w:sz="0" w:space="0" w:color="auto"/>
              </w:divBdr>
            </w:div>
            <w:div w:id="1302272195">
              <w:marLeft w:val="0"/>
              <w:marRight w:val="0"/>
              <w:marTop w:val="0"/>
              <w:marBottom w:val="0"/>
              <w:divBdr>
                <w:top w:val="none" w:sz="0" w:space="0" w:color="auto"/>
                <w:left w:val="none" w:sz="0" w:space="0" w:color="auto"/>
                <w:bottom w:val="none" w:sz="0" w:space="0" w:color="auto"/>
                <w:right w:val="none" w:sz="0" w:space="0" w:color="auto"/>
              </w:divBdr>
            </w:div>
            <w:div w:id="1384404741">
              <w:marLeft w:val="0"/>
              <w:marRight w:val="0"/>
              <w:marTop w:val="0"/>
              <w:marBottom w:val="0"/>
              <w:divBdr>
                <w:top w:val="none" w:sz="0" w:space="0" w:color="auto"/>
                <w:left w:val="none" w:sz="0" w:space="0" w:color="auto"/>
                <w:bottom w:val="none" w:sz="0" w:space="0" w:color="auto"/>
                <w:right w:val="none" w:sz="0" w:space="0" w:color="auto"/>
              </w:divBdr>
            </w:div>
            <w:div w:id="1429889759">
              <w:marLeft w:val="0"/>
              <w:marRight w:val="0"/>
              <w:marTop w:val="0"/>
              <w:marBottom w:val="0"/>
              <w:divBdr>
                <w:top w:val="none" w:sz="0" w:space="0" w:color="auto"/>
                <w:left w:val="none" w:sz="0" w:space="0" w:color="auto"/>
                <w:bottom w:val="none" w:sz="0" w:space="0" w:color="auto"/>
                <w:right w:val="none" w:sz="0" w:space="0" w:color="auto"/>
              </w:divBdr>
            </w:div>
            <w:div w:id="1794054672">
              <w:marLeft w:val="0"/>
              <w:marRight w:val="0"/>
              <w:marTop w:val="0"/>
              <w:marBottom w:val="0"/>
              <w:divBdr>
                <w:top w:val="none" w:sz="0" w:space="0" w:color="auto"/>
                <w:left w:val="none" w:sz="0" w:space="0" w:color="auto"/>
                <w:bottom w:val="none" w:sz="0" w:space="0" w:color="auto"/>
                <w:right w:val="none" w:sz="0" w:space="0" w:color="auto"/>
              </w:divBdr>
            </w:div>
            <w:div w:id="1797019893">
              <w:marLeft w:val="0"/>
              <w:marRight w:val="0"/>
              <w:marTop w:val="0"/>
              <w:marBottom w:val="0"/>
              <w:divBdr>
                <w:top w:val="none" w:sz="0" w:space="0" w:color="auto"/>
                <w:left w:val="none" w:sz="0" w:space="0" w:color="auto"/>
                <w:bottom w:val="none" w:sz="0" w:space="0" w:color="auto"/>
                <w:right w:val="none" w:sz="0" w:space="0" w:color="auto"/>
              </w:divBdr>
            </w:div>
            <w:div w:id="1961955040">
              <w:marLeft w:val="0"/>
              <w:marRight w:val="0"/>
              <w:marTop w:val="0"/>
              <w:marBottom w:val="0"/>
              <w:divBdr>
                <w:top w:val="none" w:sz="0" w:space="0" w:color="auto"/>
                <w:left w:val="none" w:sz="0" w:space="0" w:color="auto"/>
                <w:bottom w:val="none" w:sz="0" w:space="0" w:color="auto"/>
                <w:right w:val="none" w:sz="0" w:space="0" w:color="auto"/>
              </w:divBdr>
            </w:div>
            <w:div w:id="2117677414">
              <w:marLeft w:val="0"/>
              <w:marRight w:val="0"/>
              <w:marTop w:val="0"/>
              <w:marBottom w:val="0"/>
              <w:divBdr>
                <w:top w:val="none" w:sz="0" w:space="0" w:color="auto"/>
                <w:left w:val="none" w:sz="0" w:space="0" w:color="auto"/>
                <w:bottom w:val="none" w:sz="0" w:space="0" w:color="auto"/>
                <w:right w:val="none" w:sz="0" w:space="0" w:color="auto"/>
              </w:divBdr>
            </w:div>
          </w:divsChild>
        </w:div>
        <w:div w:id="477960907">
          <w:marLeft w:val="0"/>
          <w:marRight w:val="0"/>
          <w:marTop w:val="0"/>
          <w:marBottom w:val="0"/>
          <w:divBdr>
            <w:top w:val="none" w:sz="0" w:space="0" w:color="auto"/>
            <w:left w:val="none" w:sz="0" w:space="0" w:color="auto"/>
            <w:bottom w:val="none" w:sz="0" w:space="0" w:color="auto"/>
            <w:right w:val="none" w:sz="0" w:space="0" w:color="auto"/>
          </w:divBdr>
        </w:div>
        <w:div w:id="479156335">
          <w:marLeft w:val="0"/>
          <w:marRight w:val="0"/>
          <w:marTop w:val="0"/>
          <w:marBottom w:val="0"/>
          <w:divBdr>
            <w:top w:val="none" w:sz="0" w:space="0" w:color="auto"/>
            <w:left w:val="none" w:sz="0" w:space="0" w:color="auto"/>
            <w:bottom w:val="none" w:sz="0" w:space="0" w:color="auto"/>
            <w:right w:val="none" w:sz="0" w:space="0" w:color="auto"/>
          </w:divBdr>
        </w:div>
        <w:div w:id="479689958">
          <w:marLeft w:val="0"/>
          <w:marRight w:val="0"/>
          <w:marTop w:val="0"/>
          <w:marBottom w:val="0"/>
          <w:divBdr>
            <w:top w:val="none" w:sz="0" w:space="0" w:color="auto"/>
            <w:left w:val="none" w:sz="0" w:space="0" w:color="auto"/>
            <w:bottom w:val="none" w:sz="0" w:space="0" w:color="auto"/>
            <w:right w:val="none" w:sz="0" w:space="0" w:color="auto"/>
          </w:divBdr>
        </w:div>
        <w:div w:id="482429238">
          <w:marLeft w:val="0"/>
          <w:marRight w:val="0"/>
          <w:marTop w:val="0"/>
          <w:marBottom w:val="0"/>
          <w:divBdr>
            <w:top w:val="none" w:sz="0" w:space="0" w:color="auto"/>
            <w:left w:val="none" w:sz="0" w:space="0" w:color="auto"/>
            <w:bottom w:val="none" w:sz="0" w:space="0" w:color="auto"/>
            <w:right w:val="none" w:sz="0" w:space="0" w:color="auto"/>
          </w:divBdr>
          <w:divsChild>
            <w:div w:id="202597590">
              <w:marLeft w:val="0"/>
              <w:marRight w:val="0"/>
              <w:marTop w:val="0"/>
              <w:marBottom w:val="0"/>
              <w:divBdr>
                <w:top w:val="none" w:sz="0" w:space="0" w:color="auto"/>
                <w:left w:val="none" w:sz="0" w:space="0" w:color="auto"/>
                <w:bottom w:val="none" w:sz="0" w:space="0" w:color="auto"/>
                <w:right w:val="none" w:sz="0" w:space="0" w:color="auto"/>
              </w:divBdr>
            </w:div>
            <w:div w:id="399207553">
              <w:marLeft w:val="0"/>
              <w:marRight w:val="0"/>
              <w:marTop w:val="0"/>
              <w:marBottom w:val="0"/>
              <w:divBdr>
                <w:top w:val="none" w:sz="0" w:space="0" w:color="auto"/>
                <w:left w:val="none" w:sz="0" w:space="0" w:color="auto"/>
                <w:bottom w:val="none" w:sz="0" w:space="0" w:color="auto"/>
                <w:right w:val="none" w:sz="0" w:space="0" w:color="auto"/>
              </w:divBdr>
            </w:div>
            <w:div w:id="408886967">
              <w:marLeft w:val="0"/>
              <w:marRight w:val="0"/>
              <w:marTop w:val="0"/>
              <w:marBottom w:val="0"/>
              <w:divBdr>
                <w:top w:val="none" w:sz="0" w:space="0" w:color="auto"/>
                <w:left w:val="none" w:sz="0" w:space="0" w:color="auto"/>
                <w:bottom w:val="none" w:sz="0" w:space="0" w:color="auto"/>
                <w:right w:val="none" w:sz="0" w:space="0" w:color="auto"/>
              </w:divBdr>
            </w:div>
            <w:div w:id="484206570">
              <w:marLeft w:val="0"/>
              <w:marRight w:val="0"/>
              <w:marTop w:val="0"/>
              <w:marBottom w:val="0"/>
              <w:divBdr>
                <w:top w:val="none" w:sz="0" w:space="0" w:color="auto"/>
                <w:left w:val="none" w:sz="0" w:space="0" w:color="auto"/>
                <w:bottom w:val="none" w:sz="0" w:space="0" w:color="auto"/>
                <w:right w:val="none" w:sz="0" w:space="0" w:color="auto"/>
              </w:divBdr>
            </w:div>
            <w:div w:id="590314738">
              <w:marLeft w:val="0"/>
              <w:marRight w:val="0"/>
              <w:marTop w:val="0"/>
              <w:marBottom w:val="0"/>
              <w:divBdr>
                <w:top w:val="none" w:sz="0" w:space="0" w:color="auto"/>
                <w:left w:val="none" w:sz="0" w:space="0" w:color="auto"/>
                <w:bottom w:val="none" w:sz="0" w:space="0" w:color="auto"/>
                <w:right w:val="none" w:sz="0" w:space="0" w:color="auto"/>
              </w:divBdr>
            </w:div>
            <w:div w:id="869338553">
              <w:marLeft w:val="0"/>
              <w:marRight w:val="0"/>
              <w:marTop w:val="0"/>
              <w:marBottom w:val="0"/>
              <w:divBdr>
                <w:top w:val="none" w:sz="0" w:space="0" w:color="auto"/>
                <w:left w:val="none" w:sz="0" w:space="0" w:color="auto"/>
                <w:bottom w:val="none" w:sz="0" w:space="0" w:color="auto"/>
                <w:right w:val="none" w:sz="0" w:space="0" w:color="auto"/>
              </w:divBdr>
            </w:div>
            <w:div w:id="1041710411">
              <w:marLeft w:val="0"/>
              <w:marRight w:val="0"/>
              <w:marTop w:val="0"/>
              <w:marBottom w:val="0"/>
              <w:divBdr>
                <w:top w:val="none" w:sz="0" w:space="0" w:color="auto"/>
                <w:left w:val="none" w:sz="0" w:space="0" w:color="auto"/>
                <w:bottom w:val="none" w:sz="0" w:space="0" w:color="auto"/>
                <w:right w:val="none" w:sz="0" w:space="0" w:color="auto"/>
              </w:divBdr>
            </w:div>
            <w:div w:id="1376082306">
              <w:marLeft w:val="0"/>
              <w:marRight w:val="0"/>
              <w:marTop w:val="0"/>
              <w:marBottom w:val="0"/>
              <w:divBdr>
                <w:top w:val="none" w:sz="0" w:space="0" w:color="auto"/>
                <w:left w:val="none" w:sz="0" w:space="0" w:color="auto"/>
                <w:bottom w:val="none" w:sz="0" w:space="0" w:color="auto"/>
                <w:right w:val="none" w:sz="0" w:space="0" w:color="auto"/>
              </w:divBdr>
            </w:div>
            <w:div w:id="1398017796">
              <w:marLeft w:val="0"/>
              <w:marRight w:val="0"/>
              <w:marTop w:val="0"/>
              <w:marBottom w:val="0"/>
              <w:divBdr>
                <w:top w:val="none" w:sz="0" w:space="0" w:color="auto"/>
                <w:left w:val="none" w:sz="0" w:space="0" w:color="auto"/>
                <w:bottom w:val="none" w:sz="0" w:space="0" w:color="auto"/>
                <w:right w:val="none" w:sz="0" w:space="0" w:color="auto"/>
              </w:divBdr>
            </w:div>
            <w:div w:id="1550218834">
              <w:marLeft w:val="0"/>
              <w:marRight w:val="0"/>
              <w:marTop w:val="0"/>
              <w:marBottom w:val="0"/>
              <w:divBdr>
                <w:top w:val="none" w:sz="0" w:space="0" w:color="auto"/>
                <w:left w:val="none" w:sz="0" w:space="0" w:color="auto"/>
                <w:bottom w:val="none" w:sz="0" w:space="0" w:color="auto"/>
                <w:right w:val="none" w:sz="0" w:space="0" w:color="auto"/>
              </w:divBdr>
            </w:div>
            <w:div w:id="1607343422">
              <w:marLeft w:val="0"/>
              <w:marRight w:val="0"/>
              <w:marTop w:val="0"/>
              <w:marBottom w:val="0"/>
              <w:divBdr>
                <w:top w:val="none" w:sz="0" w:space="0" w:color="auto"/>
                <w:left w:val="none" w:sz="0" w:space="0" w:color="auto"/>
                <w:bottom w:val="none" w:sz="0" w:space="0" w:color="auto"/>
                <w:right w:val="none" w:sz="0" w:space="0" w:color="auto"/>
              </w:divBdr>
            </w:div>
            <w:div w:id="1617327608">
              <w:marLeft w:val="0"/>
              <w:marRight w:val="0"/>
              <w:marTop w:val="0"/>
              <w:marBottom w:val="0"/>
              <w:divBdr>
                <w:top w:val="none" w:sz="0" w:space="0" w:color="auto"/>
                <w:left w:val="none" w:sz="0" w:space="0" w:color="auto"/>
                <w:bottom w:val="none" w:sz="0" w:space="0" w:color="auto"/>
                <w:right w:val="none" w:sz="0" w:space="0" w:color="auto"/>
              </w:divBdr>
            </w:div>
            <w:div w:id="1845432871">
              <w:marLeft w:val="0"/>
              <w:marRight w:val="0"/>
              <w:marTop w:val="0"/>
              <w:marBottom w:val="0"/>
              <w:divBdr>
                <w:top w:val="none" w:sz="0" w:space="0" w:color="auto"/>
                <w:left w:val="none" w:sz="0" w:space="0" w:color="auto"/>
                <w:bottom w:val="none" w:sz="0" w:space="0" w:color="auto"/>
                <w:right w:val="none" w:sz="0" w:space="0" w:color="auto"/>
              </w:divBdr>
            </w:div>
            <w:div w:id="1877739294">
              <w:marLeft w:val="0"/>
              <w:marRight w:val="0"/>
              <w:marTop w:val="0"/>
              <w:marBottom w:val="0"/>
              <w:divBdr>
                <w:top w:val="none" w:sz="0" w:space="0" w:color="auto"/>
                <w:left w:val="none" w:sz="0" w:space="0" w:color="auto"/>
                <w:bottom w:val="none" w:sz="0" w:space="0" w:color="auto"/>
                <w:right w:val="none" w:sz="0" w:space="0" w:color="auto"/>
              </w:divBdr>
            </w:div>
            <w:div w:id="1916548215">
              <w:marLeft w:val="0"/>
              <w:marRight w:val="0"/>
              <w:marTop w:val="0"/>
              <w:marBottom w:val="0"/>
              <w:divBdr>
                <w:top w:val="none" w:sz="0" w:space="0" w:color="auto"/>
                <w:left w:val="none" w:sz="0" w:space="0" w:color="auto"/>
                <w:bottom w:val="none" w:sz="0" w:space="0" w:color="auto"/>
                <w:right w:val="none" w:sz="0" w:space="0" w:color="auto"/>
              </w:divBdr>
            </w:div>
            <w:div w:id="1956012960">
              <w:marLeft w:val="0"/>
              <w:marRight w:val="0"/>
              <w:marTop w:val="0"/>
              <w:marBottom w:val="0"/>
              <w:divBdr>
                <w:top w:val="none" w:sz="0" w:space="0" w:color="auto"/>
                <w:left w:val="none" w:sz="0" w:space="0" w:color="auto"/>
                <w:bottom w:val="none" w:sz="0" w:space="0" w:color="auto"/>
                <w:right w:val="none" w:sz="0" w:space="0" w:color="auto"/>
              </w:divBdr>
            </w:div>
            <w:div w:id="2022245088">
              <w:marLeft w:val="0"/>
              <w:marRight w:val="0"/>
              <w:marTop w:val="0"/>
              <w:marBottom w:val="0"/>
              <w:divBdr>
                <w:top w:val="none" w:sz="0" w:space="0" w:color="auto"/>
                <w:left w:val="none" w:sz="0" w:space="0" w:color="auto"/>
                <w:bottom w:val="none" w:sz="0" w:space="0" w:color="auto"/>
                <w:right w:val="none" w:sz="0" w:space="0" w:color="auto"/>
              </w:divBdr>
            </w:div>
            <w:div w:id="2055421632">
              <w:marLeft w:val="0"/>
              <w:marRight w:val="0"/>
              <w:marTop w:val="0"/>
              <w:marBottom w:val="0"/>
              <w:divBdr>
                <w:top w:val="none" w:sz="0" w:space="0" w:color="auto"/>
                <w:left w:val="none" w:sz="0" w:space="0" w:color="auto"/>
                <w:bottom w:val="none" w:sz="0" w:space="0" w:color="auto"/>
                <w:right w:val="none" w:sz="0" w:space="0" w:color="auto"/>
              </w:divBdr>
            </w:div>
            <w:div w:id="2076736990">
              <w:marLeft w:val="0"/>
              <w:marRight w:val="0"/>
              <w:marTop w:val="0"/>
              <w:marBottom w:val="0"/>
              <w:divBdr>
                <w:top w:val="none" w:sz="0" w:space="0" w:color="auto"/>
                <w:left w:val="none" w:sz="0" w:space="0" w:color="auto"/>
                <w:bottom w:val="none" w:sz="0" w:space="0" w:color="auto"/>
                <w:right w:val="none" w:sz="0" w:space="0" w:color="auto"/>
              </w:divBdr>
            </w:div>
            <w:div w:id="2107538525">
              <w:marLeft w:val="0"/>
              <w:marRight w:val="0"/>
              <w:marTop w:val="0"/>
              <w:marBottom w:val="0"/>
              <w:divBdr>
                <w:top w:val="none" w:sz="0" w:space="0" w:color="auto"/>
                <w:left w:val="none" w:sz="0" w:space="0" w:color="auto"/>
                <w:bottom w:val="none" w:sz="0" w:space="0" w:color="auto"/>
                <w:right w:val="none" w:sz="0" w:space="0" w:color="auto"/>
              </w:divBdr>
            </w:div>
          </w:divsChild>
        </w:div>
        <w:div w:id="483011979">
          <w:marLeft w:val="0"/>
          <w:marRight w:val="0"/>
          <w:marTop w:val="0"/>
          <w:marBottom w:val="0"/>
          <w:divBdr>
            <w:top w:val="none" w:sz="0" w:space="0" w:color="auto"/>
            <w:left w:val="none" w:sz="0" w:space="0" w:color="auto"/>
            <w:bottom w:val="none" w:sz="0" w:space="0" w:color="auto"/>
            <w:right w:val="none" w:sz="0" w:space="0" w:color="auto"/>
          </w:divBdr>
          <w:divsChild>
            <w:div w:id="291903524">
              <w:marLeft w:val="0"/>
              <w:marRight w:val="0"/>
              <w:marTop w:val="0"/>
              <w:marBottom w:val="0"/>
              <w:divBdr>
                <w:top w:val="none" w:sz="0" w:space="0" w:color="auto"/>
                <w:left w:val="none" w:sz="0" w:space="0" w:color="auto"/>
                <w:bottom w:val="none" w:sz="0" w:space="0" w:color="auto"/>
                <w:right w:val="none" w:sz="0" w:space="0" w:color="auto"/>
              </w:divBdr>
            </w:div>
            <w:div w:id="294601992">
              <w:marLeft w:val="0"/>
              <w:marRight w:val="0"/>
              <w:marTop w:val="0"/>
              <w:marBottom w:val="0"/>
              <w:divBdr>
                <w:top w:val="none" w:sz="0" w:space="0" w:color="auto"/>
                <w:left w:val="none" w:sz="0" w:space="0" w:color="auto"/>
                <w:bottom w:val="none" w:sz="0" w:space="0" w:color="auto"/>
                <w:right w:val="none" w:sz="0" w:space="0" w:color="auto"/>
              </w:divBdr>
            </w:div>
            <w:div w:id="419834291">
              <w:marLeft w:val="0"/>
              <w:marRight w:val="0"/>
              <w:marTop w:val="0"/>
              <w:marBottom w:val="0"/>
              <w:divBdr>
                <w:top w:val="none" w:sz="0" w:space="0" w:color="auto"/>
                <w:left w:val="none" w:sz="0" w:space="0" w:color="auto"/>
                <w:bottom w:val="none" w:sz="0" w:space="0" w:color="auto"/>
                <w:right w:val="none" w:sz="0" w:space="0" w:color="auto"/>
              </w:divBdr>
            </w:div>
            <w:div w:id="457263006">
              <w:marLeft w:val="0"/>
              <w:marRight w:val="0"/>
              <w:marTop w:val="0"/>
              <w:marBottom w:val="0"/>
              <w:divBdr>
                <w:top w:val="none" w:sz="0" w:space="0" w:color="auto"/>
                <w:left w:val="none" w:sz="0" w:space="0" w:color="auto"/>
                <w:bottom w:val="none" w:sz="0" w:space="0" w:color="auto"/>
                <w:right w:val="none" w:sz="0" w:space="0" w:color="auto"/>
              </w:divBdr>
            </w:div>
            <w:div w:id="518392346">
              <w:marLeft w:val="0"/>
              <w:marRight w:val="0"/>
              <w:marTop w:val="0"/>
              <w:marBottom w:val="0"/>
              <w:divBdr>
                <w:top w:val="none" w:sz="0" w:space="0" w:color="auto"/>
                <w:left w:val="none" w:sz="0" w:space="0" w:color="auto"/>
                <w:bottom w:val="none" w:sz="0" w:space="0" w:color="auto"/>
                <w:right w:val="none" w:sz="0" w:space="0" w:color="auto"/>
              </w:divBdr>
            </w:div>
            <w:div w:id="708456976">
              <w:marLeft w:val="0"/>
              <w:marRight w:val="0"/>
              <w:marTop w:val="0"/>
              <w:marBottom w:val="0"/>
              <w:divBdr>
                <w:top w:val="none" w:sz="0" w:space="0" w:color="auto"/>
                <w:left w:val="none" w:sz="0" w:space="0" w:color="auto"/>
                <w:bottom w:val="none" w:sz="0" w:space="0" w:color="auto"/>
                <w:right w:val="none" w:sz="0" w:space="0" w:color="auto"/>
              </w:divBdr>
            </w:div>
            <w:div w:id="754979784">
              <w:marLeft w:val="0"/>
              <w:marRight w:val="0"/>
              <w:marTop w:val="0"/>
              <w:marBottom w:val="0"/>
              <w:divBdr>
                <w:top w:val="none" w:sz="0" w:space="0" w:color="auto"/>
                <w:left w:val="none" w:sz="0" w:space="0" w:color="auto"/>
                <w:bottom w:val="none" w:sz="0" w:space="0" w:color="auto"/>
                <w:right w:val="none" w:sz="0" w:space="0" w:color="auto"/>
              </w:divBdr>
            </w:div>
            <w:div w:id="807479744">
              <w:marLeft w:val="0"/>
              <w:marRight w:val="0"/>
              <w:marTop w:val="0"/>
              <w:marBottom w:val="0"/>
              <w:divBdr>
                <w:top w:val="none" w:sz="0" w:space="0" w:color="auto"/>
                <w:left w:val="none" w:sz="0" w:space="0" w:color="auto"/>
                <w:bottom w:val="none" w:sz="0" w:space="0" w:color="auto"/>
                <w:right w:val="none" w:sz="0" w:space="0" w:color="auto"/>
              </w:divBdr>
            </w:div>
            <w:div w:id="959802944">
              <w:marLeft w:val="0"/>
              <w:marRight w:val="0"/>
              <w:marTop w:val="0"/>
              <w:marBottom w:val="0"/>
              <w:divBdr>
                <w:top w:val="none" w:sz="0" w:space="0" w:color="auto"/>
                <w:left w:val="none" w:sz="0" w:space="0" w:color="auto"/>
                <w:bottom w:val="none" w:sz="0" w:space="0" w:color="auto"/>
                <w:right w:val="none" w:sz="0" w:space="0" w:color="auto"/>
              </w:divBdr>
            </w:div>
            <w:div w:id="1139229897">
              <w:marLeft w:val="0"/>
              <w:marRight w:val="0"/>
              <w:marTop w:val="0"/>
              <w:marBottom w:val="0"/>
              <w:divBdr>
                <w:top w:val="none" w:sz="0" w:space="0" w:color="auto"/>
                <w:left w:val="none" w:sz="0" w:space="0" w:color="auto"/>
                <w:bottom w:val="none" w:sz="0" w:space="0" w:color="auto"/>
                <w:right w:val="none" w:sz="0" w:space="0" w:color="auto"/>
              </w:divBdr>
            </w:div>
            <w:div w:id="1189904135">
              <w:marLeft w:val="0"/>
              <w:marRight w:val="0"/>
              <w:marTop w:val="0"/>
              <w:marBottom w:val="0"/>
              <w:divBdr>
                <w:top w:val="none" w:sz="0" w:space="0" w:color="auto"/>
                <w:left w:val="none" w:sz="0" w:space="0" w:color="auto"/>
                <w:bottom w:val="none" w:sz="0" w:space="0" w:color="auto"/>
                <w:right w:val="none" w:sz="0" w:space="0" w:color="auto"/>
              </w:divBdr>
            </w:div>
            <w:div w:id="1228108616">
              <w:marLeft w:val="0"/>
              <w:marRight w:val="0"/>
              <w:marTop w:val="0"/>
              <w:marBottom w:val="0"/>
              <w:divBdr>
                <w:top w:val="none" w:sz="0" w:space="0" w:color="auto"/>
                <w:left w:val="none" w:sz="0" w:space="0" w:color="auto"/>
                <w:bottom w:val="none" w:sz="0" w:space="0" w:color="auto"/>
                <w:right w:val="none" w:sz="0" w:space="0" w:color="auto"/>
              </w:divBdr>
            </w:div>
            <w:div w:id="1272318391">
              <w:marLeft w:val="0"/>
              <w:marRight w:val="0"/>
              <w:marTop w:val="0"/>
              <w:marBottom w:val="0"/>
              <w:divBdr>
                <w:top w:val="none" w:sz="0" w:space="0" w:color="auto"/>
                <w:left w:val="none" w:sz="0" w:space="0" w:color="auto"/>
                <w:bottom w:val="none" w:sz="0" w:space="0" w:color="auto"/>
                <w:right w:val="none" w:sz="0" w:space="0" w:color="auto"/>
              </w:divBdr>
            </w:div>
            <w:div w:id="1470324380">
              <w:marLeft w:val="0"/>
              <w:marRight w:val="0"/>
              <w:marTop w:val="0"/>
              <w:marBottom w:val="0"/>
              <w:divBdr>
                <w:top w:val="none" w:sz="0" w:space="0" w:color="auto"/>
                <w:left w:val="none" w:sz="0" w:space="0" w:color="auto"/>
                <w:bottom w:val="none" w:sz="0" w:space="0" w:color="auto"/>
                <w:right w:val="none" w:sz="0" w:space="0" w:color="auto"/>
              </w:divBdr>
            </w:div>
            <w:div w:id="1599486457">
              <w:marLeft w:val="0"/>
              <w:marRight w:val="0"/>
              <w:marTop w:val="0"/>
              <w:marBottom w:val="0"/>
              <w:divBdr>
                <w:top w:val="none" w:sz="0" w:space="0" w:color="auto"/>
                <w:left w:val="none" w:sz="0" w:space="0" w:color="auto"/>
                <w:bottom w:val="none" w:sz="0" w:space="0" w:color="auto"/>
                <w:right w:val="none" w:sz="0" w:space="0" w:color="auto"/>
              </w:divBdr>
            </w:div>
            <w:div w:id="1645086158">
              <w:marLeft w:val="0"/>
              <w:marRight w:val="0"/>
              <w:marTop w:val="0"/>
              <w:marBottom w:val="0"/>
              <w:divBdr>
                <w:top w:val="none" w:sz="0" w:space="0" w:color="auto"/>
                <w:left w:val="none" w:sz="0" w:space="0" w:color="auto"/>
                <w:bottom w:val="none" w:sz="0" w:space="0" w:color="auto"/>
                <w:right w:val="none" w:sz="0" w:space="0" w:color="auto"/>
              </w:divBdr>
            </w:div>
            <w:div w:id="1739355744">
              <w:marLeft w:val="0"/>
              <w:marRight w:val="0"/>
              <w:marTop w:val="0"/>
              <w:marBottom w:val="0"/>
              <w:divBdr>
                <w:top w:val="none" w:sz="0" w:space="0" w:color="auto"/>
                <w:left w:val="none" w:sz="0" w:space="0" w:color="auto"/>
                <w:bottom w:val="none" w:sz="0" w:space="0" w:color="auto"/>
                <w:right w:val="none" w:sz="0" w:space="0" w:color="auto"/>
              </w:divBdr>
            </w:div>
            <w:div w:id="1854831397">
              <w:marLeft w:val="0"/>
              <w:marRight w:val="0"/>
              <w:marTop w:val="0"/>
              <w:marBottom w:val="0"/>
              <w:divBdr>
                <w:top w:val="none" w:sz="0" w:space="0" w:color="auto"/>
                <w:left w:val="none" w:sz="0" w:space="0" w:color="auto"/>
                <w:bottom w:val="none" w:sz="0" w:space="0" w:color="auto"/>
                <w:right w:val="none" w:sz="0" w:space="0" w:color="auto"/>
              </w:divBdr>
            </w:div>
            <w:div w:id="1901479451">
              <w:marLeft w:val="0"/>
              <w:marRight w:val="0"/>
              <w:marTop w:val="0"/>
              <w:marBottom w:val="0"/>
              <w:divBdr>
                <w:top w:val="none" w:sz="0" w:space="0" w:color="auto"/>
                <w:left w:val="none" w:sz="0" w:space="0" w:color="auto"/>
                <w:bottom w:val="none" w:sz="0" w:space="0" w:color="auto"/>
                <w:right w:val="none" w:sz="0" w:space="0" w:color="auto"/>
              </w:divBdr>
            </w:div>
          </w:divsChild>
        </w:div>
        <w:div w:id="485247290">
          <w:marLeft w:val="0"/>
          <w:marRight w:val="0"/>
          <w:marTop w:val="0"/>
          <w:marBottom w:val="0"/>
          <w:divBdr>
            <w:top w:val="none" w:sz="0" w:space="0" w:color="auto"/>
            <w:left w:val="none" w:sz="0" w:space="0" w:color="auto"/>
            <w:bottom w:val="none" w:sz="0" w:space="0" w:color="auto"/>
            <w:right w:val="none" w:sz="0" w:space="0" w:color="auto"/>
          </w:divBdr>
        </w:div>
        <w:div w:id="490563389">
          <w:marLeft w:val="0"/>
          <w:marRight w:val="0"/>
          <w:marTop w:val="0"/>
          <w:marBottom w:val="0"/>
          <w:divBdr>
            <w:top w:val="none" w:sz="0" w:space="0" w:color="auto"/>
            <w:left w:val="none" w:sz="0" w:space="0" w:color="auto"/>
            <w:bottom w:val="none" w:sz="0" w:space="0" w:color="auto"/>
            <w:right w:val="none" w:sz="0" w:space="0" w:color="auto"/>
          </w:divBdr>
          <w:divsChild>
            <w:div w:id="167260846">
              <w:marLeft w:val="0"/>
              <w:marRight w:val="0"/>
              <w:marTop w:val="0"/>
              <w:marBottom w:val="0"/>
              <w:divBdr>
                <w:top w:val="none" w:sz="0" w:space="0" w:color="auto"/>
                <w:left w:val="none" w:sz="0" w:space="0" w:color="auto"/>
                <w:bottom w:val="none" w:sz="0" w:space="0" w:color="auto"/>
                <w:right w:val="none" w:sz="0" w:space="0" w:color="auto"/>
              </w:divBdr>
            </w:div>
            <w:div w:id="170879567">
              <w:marLeft w:val="0"/>
              <w:marRight w:val="0"/>
              <w:marTop w:val="0"/>
              <w:marBottom w:val="0"/>
              <w:divBdr>
                <w:top w:val="none" w:sz="0" w:space="0" w:color="auto"/>
                <w:left w:val="none" w:sz="0" w:space="0" w:color="auto"/>
                <w:bottom w:val="none" w:sz="0" w:space="0" w:color="auto"/>
                <w:right w:val="none" w:sz="0" w:space="0" w:color="auto"/>
              </w:divBdr>
            </w:div>
            <w:div w:id="209922020">
              <w:marLeft w:val="0"/>
              <w:marRight w:val="0"/>
              <w:marTop w:val="0"/>
              <w:marBottom w:val="0"/>
              <w:divBdr>
                <w:top w:val="none" w:sz="0" w:space="0" w:color="auto"/>
                <w:left w:val="none" w:sz="0" w:space="0" w:color="auto"/>
                <w:bottom w:val="none" w:sz="0" w:space="0" w:color="auto"/>
                <w:right w:val="none" w:sz="0" w:space="0" w:color="auto"/>
              </w:divBdr>
            </w:div>
            <w:div w:id="244850044">
              <w:marLeft w:val="0"/>
              <w:marRight w:val="0"/>
              <w:marTop w:val="0"/>
              <w:marBottom w:val="0"/>
              <w:divBdr>
                <w:top w:val="none" w:sz="0" w:space="0" w:color="auto"/>
                <w:left w:val="none" w:sz="0" w:space="0" w:color="auto"/>
                <w:bottom w:val="none" w:sz="0" w:space="0" w:color="auto"/>
                <w:right w:val="none" w:sz="0" w:space="0" w:color="auto"/>
              </w:divBdr>
            </w:div>
            <w:div w:id="303587468">
              <w:marLeft w:val="0"/>
              <w:marRight w:val="0"/>
              <w:marTop w:val="0"/>
              <w:marBottom w:val="0"/>
              <w:divBdr>
                <w:top w:val="none" w:sz="0" w:space="0" w:color="auto"/>
                <w:left w:val="none" w:sz="0" w:space="0" w:color="auto"/>
                <w:bottom w:val="none" w:sz="0" w:space="0" w:color="auto"/>
                <w:right w:val="none" w:sz="0" w:space="0" w:color="auto"/>
              </w:divBdr>
            </w:div>
            <w:div w:id="412244067">
              <w:marLeft w:val="0"/>
              <w:marRight w:val="0"/>
              <w:marTop w:val="0"/>
              <w:marBottom w:val="0"/>
              <w:divBdr>
                <w:top w:val="none" w:sz="0" w:space="0" w:color="auto"/>
                <w:left w:val="none" w:sz="0" w:space="0" w:color="auto"/>
                <w:bottom w:val="none" w:sz="0" w:space="0" w:color="auto"/>
                <w:right w:val="none" w:sz="0" w:space="0" w:color="auto"/>
              </w:divBdr>
            </w:div>
            <w:div w:id="669674527">
              <w:marLeft w:val="0"/>
              <w:marRight w:val="0"/>
              <w:marTop w:val="0"/>
              <w:marBottom w:val="0"/>
              <w:divBdr>
                <w:top w:val="none" w:sz="0" w:space="0" w:color="auto"/>
                <w:left w:val="none" w:sz="0" w:space="0" w:color="auto"/>
                <w:bottom w:val="none" w:sz="0" w:space="0" w:color="auto"/>
                <w:right w:val="none" w:sz="0" w:space="0" w:color="auto"/>
              </w:divBdr>
            </w:div>
            <w:div w:id="793644173">
              <w:marLeft w:val="0"/>
              <w:marRight w:val="0"/>
              <w:marTop w:val="0"/>
              <w:marBottom w:val="0"/>
              <w:divBdr>
                <w:top w:val="none" w:sz="0" w:space="0" w:color="auto"/>
                <w:left w:val="none" w:sz="0" w:space="0" w:color="auto"/>
                <w:bottom w:val="none" w:sz="0" w:space="0" w:color="auto"/>
                <w:right w:val="none" w:sz="0" w:space="0" w:color="auto"/>
              </w:divBdr>
            </w:div>
            <w:div w:id="1133136891">
              <w:marLeft w:val="0"/>
              <w:marRight w:val="0"/>
              <w:marTop w:val="0"/>
              <w:marBottom w:val="0"/>
              <w:divBdr>
                <w:top w:val="none" w:sz="0" w:space="0" w:color="auto"/>
                <w:left w:val="none" w:sz="0" w:space="0" w:color="auto"/>
                <w:bottom w:val="none" w:sz="0" w:space="0" w:color="auto"/>
                <w:right w:val="none" w:sz="0" w:space="0" w:color="auto"/>
              </w:divBdr>
            </w:div>
            <w:div w:id="1944921687">
              <w:marLeft w:val="0"/>
              <w:marRight w:val="0"/>
              <w:marTop w:val="0"/>
              <w:marBottom w:val="0"/>
              <w:divBdr>
                <w:top w:val="none" w:sz="0" w:space="0" w:color="auto"/>
                <w:left w:val="none" w:sz="0" w:space="0" w:color="auto"/>
                <w:bottom w:val="none" w:sz="0" w:space="0" w:color="auto"/>
                <w:right w:val="none" w:sz="0" w:space="0" w:color="auto"/>
              </w:divBdr>
            </w:div>
            <w:div w:id="1950509931">
              <w:marLeft w:val="0"/>
              <w:marRight w:val="0"/>
              <w:marTop w:val="0"/>
              <w:marBottom w:val="0"/>
              <w:divBdr>
                <w:top w:val="none" w:sz="0" w:space="0" w:color="auto"/>
                <w:left w:val="none" w:sz="0" w:space="0" w:color="auto"/>
                <w:bottom w:val="none" w:sz="0" w:space="0" w:color="auto"/>
                <w:right w:val="none" w:sz="0" w:space="0" w:color="auto"/>
              </w:divBdr>
            </w:div>
            <w:div w:id="2016837060">
              <w:marLeft w:val="0"/>
              <w:marRight w:val="0"/>
              <w:marTop w:val="0"/>
              <w:marBottom w:val="0"/>
              <w:divBdr>
                <w:top w:val="none" w:sz="0" w:space="0" w:color="auto"/>
                <w:left w:val="none" w:sz="0" w:space="0" w:color="auto"/>
                <w:bottom w:val="none" w:sz="0" w:space="0" w:color="auto"/>
                <w:right w:val="none" w:sz="0" w:space="0" w:color="auto"/>
              </w:divBdr>
            </w:div>
            <w:div w:id="2043313602">
              <w:marLeft w:val="0"/>
              <w:marRight w:val="0"/>
              <w:marTop w:val="0"/>
              <w:marBottom w:val="0"/>
              <w:divBdr>
                <w:top w:val="none" w:sz="0" w:space="0" w:color="auto"/>
                <w:left w:val="none" w:sz="0" w:space="0" w:color="auto"/>
                <w:bottom w:val="none" w:sz="0" w:space="0" w:color="auto"/>
                <w:right w:val="none" w:sz="0" w:space="0" w:color="auto"/>
              </w:divBdr>
            </w:div>
            <w:div w:id="2050255387">
              <w:marLeft w:val="0"/>
              <w:marRight w:val="0"/>
              <w:marTop w:val="0"/>
              <w:marBottom w:val="0"/>
              <w:divBdr>
                <w:top w:val="none" w:sz="0" w:space="0" w:color="auto"/>
                <w:left w:val="none" w:sz="0" w:space="0" w:color="auto"/>
                <w:bottom w:val="none" w:sz="0" w:space="0" w:color="auto"/>
                <w:right w:val="none" w:sz="0" w:space="0" w:color="auto"/>
              </w:divBdr>
            </w:div>
            <w:div w:id="2073036671">
              <w:marLeft w:val="0"/>
              <w:marRight w:val="0"/>
              <w:marTop w:val="0"/>
              <w:marBottom w:val="0"/>
              <w:divBdr>
                <w:top w:val="none" w:sz="0" w:space="0" w:color="auto"/>
                <w:left w:val="none" w:sz="0" w:space="0" w:color="auto"/>
                <w:bottom w:val="none" w:sz="0" w:space="0" w:color="auto"/>
                <w:right w:val="none" w:sz="0" w:space="0" w:color="auto"/>
              </w:divBdr>
            </w:div>
            <w:div w:id="2114737463">
              <w:marLeft w:val="0"/>
              <w:marRight w:val="0"/>
              <w:marTop w:val="0"/>
              <w:marBottom w:val="0"/>
              <w:divBdr>
                <w:top w:val="none" w:sz="0" w:space="0" w:color="auto"/>
                <w:left w:val="none" w:sz="0" w:space="0" w:color="auto"/>
                <w:bottom w:val="none" w:sz="0" w:space="0" w:color="auto"/>
                <w:right w:val="none" w:sz="0" w:space="0" w:color="auto"/>
              </w:divBdr>
            </w:div>
          </w:divsChild>
        </w:div>
        <w:div w:id="490679191">
          <w:marLeft w:val="0"/>
          <w:marRight w:val="0"/>
          <w:marTop w:val="0"/>
          <w:marBottom w:val="0"/>
          <w:divBdr>
            <w:top w:val="none" w:sz="0" w:space="0" w:color="auto"/>
            <w:left w:val="none" w:sz="0" w:space="0" w:color="auto"/>
            <w:bottom w:val="none" w:sz="0" w:space="0" w:color="auto"/>
            <w:right w:val="none" w:sz="0" w:space="0" w:color="auto"/>
          </w:divBdr>
        </w:div>
        <w:div w:id="491943761">
          <w:marLeft w:val="0"/>
          <w:marRight w:val="0"/>
          <w:marTop w:val="0"/>
          <w:marBottom w:val="0"/>
          <w:divBdr>
            <w:top w:val="none" w:sz="0" w:space="0" w:color="auto"/>
            <w:left w:val="none" w:sz="0" w:space="0" w:color="auto"/>
            <w:bottom w:val="none" w:sz="0" w:space="0" w:color="auto"/>
            <w:right w:val="none" w:sz="0" w:space="0" w:color="auto"/>
          </w:divBdr>
        </w:div>
        <w:div w:id="494342734">
          <w:marLeft w:val="0"/>
          <w:marRight w:val="0"/>
          <w:marTop w:val="0"/>
          <w:marBottom w:val="0"/>
          <w:divBdr>
            <w:top w:val="none" w:sz="0" w:space="0" w:color="auto"/>
            <w:left w:val="none" w:sz="0" w:space="0" w:color="auto"/>
            <w:bottom w:val="none" w:sz="0" w:space="0" w:color="auto"/>
            <w:right w:val="none" w:sz="0" w:space="0" w:color="auto"/>
          </w:divBdr>
        </w:div>
        <w:div w:id="494734694">
          <w:marLeft w:val="0"/>
          <w:marRight w:val="0"/>
          <w:marTop w:val="0"/>
          <w:marBottom w:val="0"/>
          <w:divBdr>
            <w:top w:val="none" w:sz="0" w:space="0" w:color="auto"/>
            <w:left w:val="none" w:sz="0" w:space="0" w:color="auto"/>
            <w:bottom w:val="none" w:sz="0" w:space="0" w:color="auto"/>
            <w:right w:val="none" w:sz="0" w:space="0" w:color="auto"/>
          </w:divBdr>
        </w:div>
        <w:div w:id="495650595">
          <w:marLeft w:val="0"/>
          <w:marRight w:val="0"/>
          <w:marTop w:val="0"/>
          <w:marBottom w:val="0"/>
          <w:divBdr>
            <w:top w:val="none" w:sz="0" w:space="0" w:color="auto"/>
            <w:left w:val="none" w:sz="0" w:space="0" w:color="auto"/>
            <w:bottom w:val="none" w:sz="0" w:space="0" w:color="auto"/>
            <w:right w:val="none" w:sz="0" w:space="0" w:color="auto"/>
          </w:divBdr>
        </w:div>
        <w:div w:id="495808580">
          <w:marLeft w:val="0"/>
          <w:marRight w:val="0"/>
          <w:marTop w:val="0"/>
          <w:marBottom w:val="0"/>
          <w:divBdr>
            <w:top w:val="none" w:sz="0" w:space="0" w:color="auto"/>
            <w:left w:val="none" w:sz="0" w:space="0" w:color="auto"/>
            <w:bottom w:val="none" w:sz="0" w:space="0" w:color="auto"/>
            <w:right w:val="none" w:sz="0" w:space="0" w:color="auto"/>
          </w:divBdr>
        </w:div>
        <w:div w:id="496917836">
          <w:marLeft w:val="0"/>
          <w:marRight w:val="0"/>
          <w:marTop w:val="0"/>
          <w:marBottom w:val="0"/>
          <w:divBdr>
            <w:top w:val="none" w:sz="0" w:space="0" w:color="auto"/>
            <w:left w:val="none" w:sz="0" w:space="0" w:color="auto"/>
            <w:bottom w:val="none" w:sz="0" w:space="0" w:color="auto"/>
            <w:right w:val="none" w:sz="0" w:space="0" w:color="auto"/>
          </w:divBdr>
        </w:div>
        <w:div w:id="499855140">
          <w:marLeft w:val="0"/>
          <w:marRight w:val="0"/>
          <w:marTop w:val="0"/>
          <w:marBottom w:val="0"/>
          <w:divBdr>
            <w:top w:val="none" w:sz="0" w:space="0" w:color="auto"/>
            <w:left w:val="none" w:sz="0" w:space="0" w:color="auto"/>
            <w:bottom w:val="none" w:sz="0" w:space="0" w:color="auto"/>
            <w:right w:val="none" w:sz="0" w:space="0" w:color="auto"/>
          </w:divBdr>
        </w:div>
        <w:div w:id="500971956">
          <w:marLeft w:val="0"/>
          <w:marRight w:val="0"/>
          <w:marTop w:val="0"/>
          <w:marBottom w:val="0"/>
          <w:divBdr>
            <w:top w:val="none" w:sz="0" w:space="0" w:color="auto"/>
            <w:left w:val="none" w:sz="0" w:space="0" w:color="auto"/>
            <w:bottom w:val="none" w:sz="0" w:space="0" w:color="auto"/>
            <w:right w:val="none" w:sz="0" w:space="0" w:color="auto"/>
          </w:divBdr>
        </w:div>
        <w:div w:id="501091504">
          <w:marLeft w:val="0"/>
          <w:marRight w:val="0"/>
          <w:marTop w:val="0"/>
          <w:marBottom w:val="0"/>
          <w:divBdr>
            <w:top w:val="none" w:sz="0" w:space="0" w:color="auto"/>
            <w:left w:val="none" w:sz="0" w:space="0" w:color="auto"/>
            <w:bottom w:val="none" w:sz="0" w:space="0" w:color="auto"/>
            <w:right w:val="none" w:sz="0" w:space="0" w:color="auto"/>
          </w:divBdr>
        </w:div>
        <w:div w:id="501631379">
          <w:marLeft w:val="0"/>
          <w:marRight w:val="0"/>
          <w:marTop w:val="0"/>
          <w:marBottom w:val="0"/>
          <w:divBdr>
            <w:top w:val="none" w:sz="0" w:space="0" w:color="auto"/>
            <w:left w:val="none" w:sz="0" w:space="0" w:color="auto"/>
            <w:bottom w:val="none" w:sz="0" w:space="0" w:color="auto"/>
            <w:right w:val="none" w:sz="0" w:space="0" w:color="auto"/>
          </w:divBdr>
        </w:div>
        <w:div w:id="502747686">
          <w:marLeft w:val="0"/>
          <w:marRight w:val="0"/>
          <w:marTop w:val="0"/>
          <w:marBottom w:val="0"/>
          <w:divBdr>
            <w:top w:val="none" w:sz="0" w:space="0" w:color="auto"/>
            <w:left w:val="none" w:sz="0" w:space="0" w:color="auto"/>
            <w:bottom w:val="none" w:sz="0" w:space="0" w:color="auto"/>
            <w:right w:val="none" w:sz="0" w:space="0" w:color="auto"/>
          </w:divBdr>
        </w:div>
        <w:div w:id="503252306">
          <w:marLeft w:val="0"/>
          <w:marRight w:val="0"/>
          <w:marTop w:val="0"/>
          <w:marBottom w:val="0"/>
          <w:divBdr>
            <w:top w:val="none" w:sz="0" w:space="0" w:color="auto"/>
            <w:left w:val="none" w:sz="0" w:space="0" w:color="auto"/>
            <w:bottom w:val="none" w:sz="0" w:space="0" w:color="auto"/>
            <w:right w:val="none" w:sz="0" w:space="0" w:color="auto"/>
          </w:divBdr>
        </w:div>
        <w:div w:id="505636348">
          <w:marLeft w:val="0"/>
          <w:marRight w:val="0"/>
          <w:marTop w:val="0"/>
          <w:marBottom w:val="0"/>
          <w:divBdr>
            <w:top w:val="none" w:sz="0" w:space="0" w:color="auto"/>
            <w:left w:val="none" w:sz="0" w:space="0" w:color="auto"/>
            <w:bottom w:val="none" w:sz="0" w:space="0" w:color="auto"/>
            <w:right w:val="none" w:sz="0" w:space="0" w:color="auto"/>
          </w:divBdr>
        </w:div>
        <w:div w:id="509175678">
          <w:marLeft w:val="0"/>
          <w:marRight w:val="0"/>
          <w:marTop w:val="0"/>
          <w:marBottom w:val="0"/>
          <w:divBdr>
            <w:top w:val="none" w:sz="0" w:space="0" w:color="auto"/>
            <w:left w:val="none" w:sz="0" w:space="0" w:color="auto"/>
            <w:bottom w:val="none" w:sz="0" w:space="0" w:color="auto"/>
            <w:right w:val="none" w:sz="0" w:space="0" w:color="auto"/>
          </w:divBdr>
          <w:divsChild>
            <w:div w:id="7831369">
              <w:marLeft w:val="0"/>
              <w:marRight w:val="0"/>
              <w:marTop w:val="0"/>
              <w:marBottom w:val="0"/>
              <w:divBdr>
                <w:top w:val="none" w:sz="0" w:space="0" w:color="auto"/>
                <w:left w:val="none" w:sz="0" w:space="0" w:color="auto"/>
                <w:bottom w:val="none" w:sz="0" w:space="0" w:color="auto"/>
                <w:right w:val="none" w:sz="0" w:space="0" w:color="auto"/>
              </w:divBdr>
            </w:div>
            <w:div w:id="58597070">
              <w:marLeft w:val="0"/>
              <w:marRight w:val="0"/>
              <w:marTop w:val="0"/>
              <w:marBottom w:val="0"/>
              <w:divBdr>
                <w:top w:val="none" w:sz="0" w:space="0" w:color="auto"/>
                <w:left w:val="none" w:sz="0" w:space="0" w:color="auto"/>
                <w:bottom w:val="none" w:sz="0" w:space="0" w:color="auto"/>
                <w:right w:val="none" w:sz="0" w:space="0" w:color="auto"/>
              </w:divBdr>
            </w:div>
            <w:div w:id="272135559">
              <w:marLeft w:val="0"/>
              <w:marRight w:val="0"/>
              <w:marTop w:val="0"/>
              <w:marBottom w:val="0"/>
              <w:divBdr>
                <w:top w:val="none" w:sz="0" w:space="0" w:color="auto"/>
                <w:left w:val="none" w:sz="0" w:space="0" w:color="auto"/>
                <w:bottom w:val="none" w:sz="0" w:space="0" w:color="auto"/>
                <w:right w:val="none" w:sz="0" w:space="0" w:color="auto"/>
              </w:divBdr>
            </w:div>
            <w:div w:id="356539005">
              <w:marLeft w:val="0"/>
              <w:marRight w:val="0"/>
              <w:marTop w:val="0"/>
              <w:marBottom w:val="0"/>
              <w:divBdr>
                <w:top w:val="none" w:sz="0" w:space="0" w:color="auto"/>
                <w:left w:val="none" w:sz="0" w:space="0" w:color="auto"/>
                <w:bottom w:val="none" w:sz="0" w:space="0" w:color="auto"/>
                <w:right w:val="none" w:sz="0" w:space="0" w:color="auto"/>
              </w:divBdr>
            </w:div>
            <w:div w:id="810832325">
              <w:marLeft w:val="0"/>
              <w:marRight w:val="0"/>
              <w:marTop w:val="0"/>
              <w:marBottom w:val="0"/>
              <w:divBdr>
                <w:top w:val="none" w:sz="0" w:space="0" w:color="auto"/>
                <w:left w:val="none" w:sz="0" w:space="0" w:color="auto"/>
                <w:bottom w:val="none" w:sz="0" w:space="0" w:color="auto"/>
                <w:right w:val="none" w:sz="0" w:space="0" w:color="auto"/>
              </w:divBdr>
            </w:div>
            <w:div w:id="890195600">
              <w:marLeft w:val="0"/>
              <w:marRight w:val="0"/>
              <w:marTop w:val="0"/>
              <w:marBottom w:val="0"/>
              <w:divBdr>
                <w:top w:val="none" w:sz="0" w:space="0" w:color="auto"/>
                <w:left w:val="none" w:sz="0" w:space="0" w:color="auto"/>
                <w:bottom w:val="none" w:sz="0" w:space="0" w:color="auto"/>
                <w:right w:val="none" w:sz="0" w:space="0" w:color="auto"/>
              </w:divBdr>
            </w:div>
            <w:div w:id="894197678">
              <w:marLeft w:val="0"/>
              <w:marRight w:val="0"/>
              <w:marTop w:val="0"/>
              <w:marBottom w:val="0"/>
              <w:divBdr>
                <w:top w:val="none" w:sz="0" w:space="0" w:color="auto"/>
                <w:left w:val="none" w:sz="0" w:space="0" w:color="auto"/>
                <w:bottom w:val="none" w:sz="0" w:space="0" w:color="auto"/>
                <w:right w:val="none" w:sz="0" w:space="0" w:color="auto"/>
              </w:divBdr>
            </w:div>
            <w:div w:id="1012299421">
              <w:marLeft w:val="0"/>
              <w:marRight w:val="0"/>
              <w:marTop w:val="0"/>
              <w:marBottom w:val="0"/>
              <w:divBdr>
                <w:top w:val="none" w:sz="0" w:space="0" w:color="auto"/>
                <w:left w:val="none" w:sz="0" w:space="0" w:color="auto"/>
                <w:bottom w:val="none" w:sz="0" w:space="0" w:color="auto"/>
                <w:right w:val="none" w:sz="0" w:space="0" w:color="auto"/>
              </w:divBdr>
            </w:div>
            <w:div w:id="1164510342">
              <w:marLeft w:val="0"/>
              <w:marRight w:val="0"/>
              <w:marTop w:val="0"/>
              <w:marBottom w:val="0"/>
              <w:divBdr>
                <w:top w:val="none" w:sz="0" w:space="0" w:color="auto"/>
                <w:left w:val="none" w:sz="0" w:space="0" w:color="auto"/>
                <w:bottom w:val="none" w:sz="0" w:space="0" w:color="auto"/>
                <w:right w:val="none" w:sz="0" w:space="0" w:color="auto"/>
              </w:divBdr>
            </w:div>
            <w:div w:id="1168205876">
              <w:marLeft w:val="0"/>
              <w:marRight w:val="0"/>
              <w:marTop w:val="0"/>
              <w:marBottom w:val="0"/>
              <w:divBdr>
                <w:top w:val="none" w:sz="0" w:space="0" w:color="auto"/>
                <w:left w:val="none" w:sz="0" w:space="0" w:color="auto"/>
                <w:bottom w:val="none" w:sz="0" w:space="0" w:color="auto"/>
                <w:right w:val="none" w:sz="0" w:space="0" w:color="auto"/>
              </w:divBdr>
            </w:div>
            <w:div w:id="1302155585">
              <w:marLeft w:val="0"/>
              <w:marRight w:val="0"/>
              <w:marTop w:val="0"/>
              <w:marBottom w:val="0"/>
              <w:divBdr>
                <w:top w:val="none" w:sz="0" w:space="0" w:color="auto"/>
                <w:left w:val="none" w:sz="0" w:space="0" w:color="auto"/>
                <w:bottom w:val="none" w:sz="0" w:space="0" w:color="auto"/>
                <w:right w:val="none" w:sz="0" w:space="0" w:color="auto"/>
              </w:divBdr>
            </w:div>
            <w:div w:id="1376663158">
              <w:marLeft w:val="0"/>
              <w:marRight w:val="0"/>
              <w:marTop w:val="0"/>
              <w:marBottom w:val="0"/>
              <w:divBdr>
                <w:top w:val="none" w:sz="0" w:space="0" w:color="auto"/>
                <w:left w:val="none" w:sz="0" w:space="0" w:color="auto"/>
                <w:bottom w:val="none" w:sz="0" w:space="0" w:color="auto"/>
                <w:right w:val="none" w:sz="0" w:space="0" w:color="auto"/>
              </w:divBdr>
            </w:div>
            <w:div w:id="1504248007">
              <w:marLeft w:val="0"/>
              <w:marRight w:val="0"/>
              <w:marTop w:val="0"/>
              <w:marBottom w:val="0"/>
              <w:divBdr>
                <w:top w:val="none" w:sz="0" w:space="0" w:color="auto"/>
                <w:left w:val="none" w:sz="0" w:space="0" w:color="auto"/>
                <w:bottom w:val="none" w:sz="0" w:space="0" w:color="auto"/>
                <w:right w:val="none" w:sz="0" w:space="0" w:color="auto"/>
              </w:divBdr>
            </w:div>
            <w:div w:id="1561818643">
              <w:marLeft w:val="0"/>
              <w:marRight w:val="0"/>
              <w:marTop w:val="0"/>
              <w:marBottom w:val="0"/>
              <w:divBdr>
                <w:top w:val="none" w:sz="0" w:space="0" w:color="auto"/>
                <w:left w:val="none" w:sz="0" w:space="0" w:color="auto"/>
                <w:bottom w:val="none" w:sz="0" w:space="0" w:color="auto"/>
                <w:right w:val="none" w:sz="0" w:space="0" w:color="auto"/>
              </w:divBdr>
            </w:div>
            <w:div w:id="1619486895">
              <w:marLeft w:val="0"/>
              <w:marRight w:val="0"/>
              <w:marTop w:val="0"/>
              <w:marBottom w:val="0"/>
              <w:divBdr>
                <w:top w:val="none" w:sz="0" w:space="0" w:color="auto"/>
                <w:left w:val="none" w:sz="0" w:space="0" w:color="auto"/>
                <w:bottom w:val="none" w:sz="0" w:space="0" w:color="auto"/>
                <w:right w:val="none" w:sz="0" w:space="0" w:color="auto"/>
              </w:divBdr>
            </w:div>
            <w:div w:id="1785346497">
              <w:marLeft w:val="0"/>
              <w:marRight w:val="0"/>
              <w:marTop w:val="0"/>
              <w:marBottom w:val="0"/>
              <w:divBdr>
                <w:top w:val="none" w:sz="0" w:space="0" w:color="auto"/>
                <w:left w:val="none" w:sz="0" w:space="0" w:color="auto"/>
                <w:bottom w:val="none" w:sz="0" w:space="0" w:color="auto"/>
                <w:right w:val="none" w:sz="0" w:space="0" w:color="auto"/>
              </w:divBdr>
            </w:div>
            <w:div w:id="1799029904">
              <w:marLeft w:val="0"/>
              <w:marRight w:val="0"/>
              <w:marTop w:val="0"/>
              <w:marBottom w:val="0"/>
              <w:divBdr>
                <w:top w:val="none" w:sz="0" w:space="0" w:color="auto"/>
                <w:left w:val="none" w:sz="0" w:space="0" w:color="auto"/>
                <w:bottom w:val="none" w:sz="0" w:space="0" w:color="auto"/>
                <w:right w:val="none" w:sz="0" w:space="0" w:color="auto"/>
              </w:divBdr>
            </w:div>
            <w:div w:id="2052799433">
              <w:marLeft w:val="0"/>
              <w:marRight w:val="0"/>
              <w:marTop w:val="0"/>
              <w:marBottom w:val="0"/>
              <w:divBdr>
                <w:top w:val="none" w:sz="0" w:space="0" w:color="auto"/>
                <w:left w:val="none" w:sz="0" w:space="0" w:color="auto"/>
                <w:bottom w:val="none" w:sz="0" w:space="0" w:color="auto"/>
                <w:right w:val="none" w:sz="0" w:space="0" w:color="auto"/>
              </w:divBdr>
            </w:div>
          </w:divsChild>
        </w:div>
        <w:div w:id="509611366">
          <w:marLeft w:val="0"/>
          <w:marRight w:val="0"/>
          <w:marTop w:val="0"/>
          <w:marBottom w:val="0"/>
          <w:divBdr>
            <w:top w:val="none" w:sz="0" w:space="0" w:color="auto"/>
            <w:left w:val="none" w:sz="0" w:space="0" w:color="auto"/>
            <w:bottom w:val="none" w:sz="0" w:space="0" w:color="auto"/>
            <w:right w:val="none" w:sz="0" w:space="0" w:color="auto"/>
          </w:divBdr>
        </w:div>
        <w:div w:id="515854329">
          <w:marLeft w:val="0"/>
          <w:marRight w:val="0"/>
          <w:marTop w:val="0"/>
          <w:marBottom w:val="0"/>
          <w:divBdr>
            <w:top w:val="none" w:sz="0" w:space="0" w:color="auto"/>
            <w:left w:val="none" w:sz="0" w:space="0" w:color="auto"/>
            <w:bottom w:val="none" w:sz="0" w:space="0" w:color="auto"/>
            <w:right w:val="none" w:sz="0" w:space="0" w:color="auto"/>
          </w:divBdr>
        </w:div>
        <w:div w:id="518128870">
          <w:marLeft w:val="0"/>
          <w:marRight w:val="0"/>
          <w:marTop w:val="0"/>
          <w:marBottom w:val="0"/>
          <w:divBdr>
            <w:top w:val="none" w:sz="0" w:space="0" w:color="auto"/>
            <w:left w:val="none" w:sz="0" w:space="0" w:color="auto"/>
            <w:bottom w:val="none" w:sz="0" w:space="0" w:color="auto"/>
            <w:right w:val="none" w:sz="0" w:space="0" w:color="auto"/>
          </w:divBdr>
        </w:div>
        <w:div w:id="520045206">
          <w:marLeft w:val="0"/>
          <w:marRight w:val="0"/>
          <w:marTop w:val="0"/>
          <w:marBottom w:val="0"/>
          <w:divBdr>
            <w:top w:val="none" w:sz="0" w:space="0" w:color="auto"/>
            <w:left w:val="none" w:sz="0" w:space="0" w:color="auto"/>
            <w:bottom w:val="none" w:sz="0" w:space="0" w:color="auto"/>
            <w:right w:val="none" w:sz="0" w:space="0" w:color="auto"/>
          </w:divBdr>
          <w:divsChild>
            <w:div w:id="64845591">
              <w:marLeft w:val="0"/>
              <w:marRight w:val="0"/>
              <w:marTop w:val="0"/>
              <w:marBottom w:val="0"/>
              <w:divBdr>
                <w:top w:val="none" w:sz="0" w:space="0" w:color="auto"/>
                <w:left w:val="none" w:sz="0" w:space="0" w:color="auto"/>
                <w:bottom w:val="none" w:sz="0" w:space="0" w:color="auto"/>
                <w:right w:val="none" w:sz="0" w:space="0" w:color="auto"/>
              </w:divBdr>
            </w:div>
            <w:div w:id="111244123">
              <w:marLeft w:val="0"/>
              <w:marRight w:val="0"/>
              <w:marTop w:val="0"/>
              <w:marBottom w:val="0"/>
              <w:divBdr>
                <w:top w:val="none" w:sz="0" w:space="0" w:color="auto"/>
                <w:left w:val="none" w:sz="0" w:space="0" w:color="auto"/>
                <w:bottom w:val="none" w:sz="0" w:space="0" w:color="auto"/>
                <w:right w:val="none" w:sz="0" w:space="0" w:color="auto"/>
              </w:divBdr>
            </w:div>
            <w:div w:id="122503691">
              <w:marLeft w:val="0"/>
              <w:marRight w:val="0"/>
              <w:marTop w:val="0"/>
              <w:marBottom w:val="0"/>
              <w:divBdr>
                <w:top w:val="none" w:sz="0" w:space="0" w:color="auto"/>
                <w:left w:val="none" w:sz="0" w:space="0" w:color="auto"/>
                <w:bottom w:val="none" w:sz="0" w:space="0" w:color="auto"/>
                <w:right w:val="none" w:sz="0" w:space="0" w:color="auto"/>
              </w:divBdr>
            </w:div>
            <w:div w:id="351495440">
              <w:marLeft w:val="0"/>
              <w:marRight w:val="0"/>
              <w:marTop w:val="0"/>
              <w:marBottom w:val="0"/>
              <w:divBdr>
                <w:top w:val="none" w:sz="0" w:space="0" w:color="auto"/>
                <w:left w:val="none" w:sz="0" w:space="0" w:color="auto"/>
                <w:bottom w:val="none" w:sz="0" w:space="0" w:color="auto"/>
                <w:right w:val="none" w:sz="0" w:space="0" w:color="auto"/>
              </w:divBdr>
            </w:div>
            <w:div w:id="477117275">
              <w:marLeft w:val="0"/>
              <w:marRight w:val="0"/>
              <w:marTop w:val="0"/>
              <w:marBottom w:val="0"/>
              <w:divBdr>
                <w:top w:val="none" w:sz="0" w:space="0" w:color="auto"/>
                <w:left w:val="none" w:sz="0" w:space="0" w:color="auto"/>
                <w:bottom w:val="none" w:sz="0" w:space="0" w:color="auto"/>
                <w:right w:val="none" w:sz="0" w:space="0" w:color="auto"/>
              </w:divBdr>
            </w:div>
            <w:div w:id="567423035">
              <w:marLeft w:val="0"/>
              <w:marRight w:val="0"/>
              <w:marTop w:val="0"/>
              <w:marBottom w:val="0"/>
              <w:divBdr>
                <w:top w:val="none" w:sz="0" w:space="0" w:color="auto"/>
                <w:left w:val="none" w:sz="0" w:space="0" w:color="auto"/>
                <w:bottom w:val="none" w:sz="0" w:space="0" w:color="auto"/>
                <w:right w:val="none" w:sz="0" w:space="0" w:color="auto"/>
              </w:divBdr>
            </w:div>
            <w:div w:id="575481958">
              <w:marLeft w:val="0"/>
              <w:marRight w:val="0"/>
              <w:marTop w:val="0"/>
              <w:marBottom w:val="0"/>
              <w:divBdr>
                <w:top w:val="none" w:sz="0" w:space="0" w:color="auto"/>
                <w:left w:val="none" w:sz="0" w:space="0" w:color="auto"/>
                <w:bottom w:val="none" w:sz="0" w:space="0" w:color="auto"/>
                <w:right w:val="none" w:sz="0" w:space="0" w:color="auto"/>
              </w:divBdr>
            </w:div>
            <w:div w:id="898906638">
              <w:marLeft w:val="0"/>
              <w:marRight w:val="0"/>
              <w:marTop w:val="0"/>
              <w:marBottom w:val="0"/>
              <w:divBdr>
                <w:top w:val="none" w:sz="0" w:space="0" w:color="auto"/>
                <w:left w:val="none" w:sz="0" w:space="0" w:color="auto"/>
                <w:bottom w:val="none" w:sz="0" w:space="0" w:color="auto"/>
                <w:right w:val="none" w:sz="0" w:space="0" w:color="auto"/>
              </w:divBdr>
            </w:div>
            <w:div w:id="1115759084">
              <w:marLeft w:val="0"/>
              <w:marRight w:val="0"/>
              <w:marTop w:val="0"/>
              <w:marBottom w:val="0"/>
              <w:divBdr>
                <w:top w:val="none" w:sz="0" w:space="0" w:color="auto"/>
                <w:left w:val="none" w:sz="0" w:space="0" w:color="auto"/>
                <w:bottom w:val="none" w:sz="0" w:space="0" w:color="auto"/>
                <w:right w:val="none" w:sz="0" w:space="0" w:color="auto"/>
              </w:divBdr>
            </w:div>
            <w:div w:id="1137378764">
              <w:marLeft w:val="0"/>
              <w:marRight w:val="0"/>
              <w:marTop w:val="0"/>
              <w:marBottom w:val="0"/>
              <w:divBdr>
                <w:top w:val="none" w:sz="0" w:space="0" w:color="auto"/>
                <w:left w:val="none" w:sz="0" w:space="0" w:color="auto"/>
                <w:bottom w:val="none" w:sz="0" w:space="0" w:color="auto"/>
                <w:right w:val="none" w:sz="0" w:space="0" w:color="auto"/>
              </w:divBdr>
            </w:div>
            <w:div w:id="1202398576">
              <w:marLeft w:val="0"/>
              <w:marRight w:val="0"/>
              <w:marTop w:val="0"/>
              <w:marBottom w:val="0"/>
              <w:divBdr>
                <w:top w:val="none" w:sz="0" w:space="0" w:color="auto"/>
                <w:left w:val="none" w:sz="0" w:space="0" w:color="auto"/>
                <w:bottom w:val="none" w:sz="0" w:space="0" w:color="auto"/>
                <w:right w:val="none" w:sz="0" w:space="0" w:color="auto"/>
              </w:divBdr>
            </w:div>
            <w:div w:id="1460339339">
              <w:marLeft w:val="0"/>
              <w:marRight w:val="0"/>
              <w:marTop w:val="0"/>
              <w:marBottom w:val="0"/>
              <w:divBdr>
                <w:top w:val="none" w:sz="0" w:space="0" w:color="auto"/>
                <w:left w:val="none" w:sz="0" w:space="0" w:color="auto"/>
                <w:bottom w:val="none" w:sz="0" w:space="0" w:color="auto"/>
                <w:right w:val="none" w:sz="0" w:space="0" w:color="auto"/>
              </w:divBdr>
            </w:div>
            <w:div w:id="1470126848">
              <w:marLeft w:val="0"/>
              <w:marRight w:val="0"/>
              <w:marTop w:val="0"/>
              <w:marBottom w:val="0"/>
              <w:divBdr>
                <w:top w:val="none" w:sz="0" w:space="0" w:color="auto"/>
                <w:left w:val="none" w:sz="0" w:space="0" w:color="auto"/>
                <w:bottom w:val="none" w:sz="0" w:space="0" w:color="auto"/>
                <w:right w:val="none" w:sz="0" w:space="0" w:color="auto"/>
              </w:divBdr>
            </w:div>
            <w:div w:id="1508406560">
              <w:marLeft w:val="0"/>
              <w:marRight w:val="0"/>
              <w:marTop w:val="0"/>
              <w:marBottom w:val="0"/>
              <w:divBdr>
                <w:top w:val="none" w:sz="0" w:space="0" w:color="auto"/>
                <w:left w:val="none" w:sz="0" w:space="0" w:color="auto"/>
                <w:bottom w:val="none" w:sz="0" w:space="0" w:color="auto"/>
                <w:right w:val="none" w:sz="0" w:space="0" w:color="auto"/>
              </w:divBdr>
            </w:div>
            <w:div w:id="1512135296">
              <w:marLeft w:val="0"/>
              <w:marRight w:val="0"/>
              <w:marTop w:val="0"/>
              <w:marBottom w:val="0"/>
              <w:divBdr>
                <w:top w:val="none" w:sz="0" w:space="0" w:color="auto"/>
                <w:left w:val="none" w:sz="0" w:space="0" w:color="auto"/>
                <w:bottom w:val="none" w:sz="0" w:space="0" w:color="auto"/>
                <w:right w:val="none" w:sz="0" w:space="0" w:color="auto"/>
              </w:divBdr>
            </w:div>
            <w:div w:id="1778938221">
              <w:marLeft w:val="0"/>
              <w:marRight w:val="0"/>
              <w:marTop w:val="0"/>
              <w:marBottom w:val="0"/>
              <w:divBdr>
                <w:top w:val="none" w:sz="0" w:space="0" w:color="auto"/>
                <w:left w:val="none" w:sz="0" w:space="0" w:color="auto"/>
                <w:bottom w:val="none" w:sz="0" w:space="0" w:color="auto"/>
                <w:right w:val="none" w:sz="0" w:space="0" w:color="auto"/>
              </w:divBdr>
            </w:div>
            <w:div w:id="1907642484">
              <w:marLeft w:val="0"/>
              <w:marRight w:val="0"/>
              <w:marTop w:val="0"/>
              <w:marBottom w:val="0"/>
              <w:divBdr>
                <w:top w:val="none" w:sz="0" w:space="0" w:color="auto"/>
                <w:left w:val="none" w:sz="0" w:space="0" w:color="auto"/>
                <w:bottom w:val="none" w:sz="0" w:space="0" w:color="auto"/>
                <w:right w:val="none" w:sz="0" w:space="0" w:color="auto"/>
              </w:divBdr>
            </w:div>
          </w:divsChild>
        </w:div>
        <w:div w:id="521820470">
          <w:marLeft w:val="0"/>
          <w:marRight w:val="0"/>
          <w:marTop w:val="0"/>
          <w:marBottom w:val="0"/>
          <w:divBdr>
            <w:top w:val="none" w:sz="0" w:space="0" w:color="auto"/>
            <w:left w:val="none" w:sz="0" w:space="0" w:color="auto"/>
            <w:bottom w:val="none" w:sz="0" w:space="0" w:color="auto"/>
            <w:right w:val="none" w:sz="0" w:space="0" w:color="auto"/>
          </w:divBdr>
        </w:div>
        <w:div w:id="521936816">
          <w:marLeft w:val="0"/>
          <w:marRight w:val="0"/>
          <w:marTop w:val="0"/>
          <w:marBottom w:val="0"/>
          <w:divBdr>
            <w:top w:val="none" w:sz="0" w:space="0" w:color="auto"/>
            <w:left w:val="none" w:sz="0" w:space="0" w:color="auto"/>
            <w:bottom w:val="none" w:sz="0" w:space="0" w:color="auto"/>
            <w:right w:val="none" w:sz="0" w:space="0" w:color="auto"/>
          </w:divBdr>
        </w:div>
        <w:div w:id="523591973">
          <w:marLeft w:val="0"/>
          <w:marRight w:val="0"/>
          <w:marTop w:val="0"/>
          <w:marBottom w:val="0"/>
          <w:divBdr>
            <w:top w:val="none" w:sz="0" w:space="0" w:color="auto"/>
            <w:left w:val="none" w:sz="0" w:space="0" w:color="auto"/>
            <w:bottom w:val="none" w:sz="0" w:space="0" w:color="auto"/>
            <w:right w:val="none" w:sz="0" w:space="0" w:color="auto"/>
          </w:divBdr>
        </w:div>
        <w:div w:id="523982923">
          <w:marLeft w:val="0"/>
          <w:marRight w:val="0"/>
          <w:marTop w:val="0"/>
          <w:marBottom w:val="0"/>
          <w:divBdr>
            <w:top w:val="none" w:sz="0" w:space="0" w:color="auto"/>
            <w:left w:val="none" w:sz="0" w:space="0" w:color="auto"/>
            <w:bottom w:val="none" w:sz="0" w:space="0" w:color="auto"/>
            <w:right w:val="none" w:sz="0" w:space="0" w:color="auto"/>
          </w:divBdr>
        </w:div>
        <w:div w:id="527958580">
          <w:marLeft w:val="0"/>
          <w:marRight w:val="0"/>
          <w:marTop w:val="0"/>
          <w:marBottom w:val="0"/>
          <w:divBdr>
            <w:top w:val="none" w:sz="0" w:space="0" w:color="auto"/>
            <w:left w:val="none" w:sz="0" w:space="0" w:color="auto"/>
            <w:bottom w:val="none" w:sz="0" w:space="0" w:color="auto"/>
            <w:right w:val="none" w:sz="0" w:space="0" w:color="auto"/>
          </w:divBdr>
        </w:div>
        <w:div w:id="528764068">
          <w:marLeft w:val="0"/>
          <w:marRight w:val="0"/>
          <w:marTop w:val="0"/>
          <w:marBottom w:val="0"/>
          <w:divBdr>
            <w:top w:val="none" w:sz="0" w:space="0" w:color="auto"/>
            <w:left w:val="none" w:sz="0" w:space="0" w:color="auto"/>
            <w:bottom w:val="none" w:sz="0" w:space="0" w:color="auto"/>
            <w:right w:val="none" w:sz="0" w:space="0" w:color="auto"/>
          </w:divBdr>
        </w:div>
        <w:div w:id="529420804">
          <w:marLeft w:val="0"/>
          <w:marRight w:val="0"/>
          <w:marTop w:val="0"/>
          <w:marBottom w:val="0"/>
          <w:divBdr>
            <w:top w:val="none" w:sz="0" w:space="0" w:color="auto"/>
            <w:left w:val="none" w:sz="0" w:space="0" w:color="auto"/>
            <w:bottom w:val="none" w:sz="0" w:space="0" w:color="auto"/>
            <w:right w:val="none" w:sz="0" w:space="0" w:color="auto"/>
          </w:divBdr>
        </w:div>
        <w:div w:id="529682663">
          <w:marLeft w:val="0"/>
          <w:marRight w:val="0"/>
          <w:marTop w:val="0"/>
          <w:marBottom w:val="0"/>
          <w:divBdr>
            <w:top w:val="none" w:sz="0" w:space="0" w:color="auto"/>
            <w:left w:val="none" w:sz="0" w:space="0" w:color="auto"/>
            <w:bottom w:val="none" w:sz="0" w:space="0" w:color="auto"/>
            <w:right w:val="none" w:sz="0" w:space="0" w:color="auto"/>
          </w:divBdr>
        </w:div>
        <w:div w:id="530217953">
          <w:marLeft w:val="0"/>
          <w:marRight w:val="0"/>
          <w:marTop w:val="0"/>
          <w:marBottom w:val="0"/>
          <w:divBdr>
            <w:top w:val="none" w:sz="0" w:space="0" w:color="auto"/>
            <w:left w:val="none" w:sz="0" w:space="0" w:color="auto"/>
            <w:bottom w:val="none" w:sz="0" w:space="0" w:color="auto"/>
            <w:right w:val="none" w:sz="0" w:space="0" w:color="auto"/>
          </w:divBdr>
        </w:div>
        <w:div w:id="531916795">
          <w:marLeft w:val="0"/>
          <w:marRight w:val="0"/>
          <w:marTop w:val="0"/>
          <w:marBottom w:val="0"/>
          <w:divBdr>
            <w:top w:val="none" w:sz="0" w:space="0" w:color="auto"/>
            <w:left w:val="none" w:sz="0" w:space="0" w:color="auto"/>
            <w:bottom w:val="none" w:sz="0" w:space="0" w:color="auto"/>
            <w:right w:val="none" w:sz="0" w:space="0" w:color="auto"/>
          </w:divBdr>
        </w:div>
        <w:div w:id="533229991">
          <w:marLeft w:val="0"/>
          <w:marRight w:val="0"/>
          <w:marTop w:val="0"/>
          <w:marBottom w:val="0"/>
          <w:divBdr>
            <w:top w:val="none" w:sz="0" w:space="0" w:color="auto"/>
            <w:left w:val="none" w:sz="0" w:space="0" w:color="auto"/>
            <w:bottom w:val="none" w:sz="0" w:space="0" w:color="auto"/>
            <w:right w:val="none" w:sz="0" w:space="0" w:color="auto"/>
          </w:divBdr>
        </w:div>
        <w:div w:id="533812838">
          <w:marLeft w:val="0"/>
          <w:marRight w:val="0"/>
          <w:marTop w:val="0"/>
          <w:marBottom w:val="0"/>
          <w:divBdr>
            <w:top w:val="none" w:sz="0" w:space="0" w:color="auto"/>
            <w:left w:val="none" w:sz="0" w:space="0" w:color="auto"/>
            <w:bottom w:val="none" w:sz="0" w:space="0" w:color="auto"/>
            <w:right w:val="none" w:sz="0" w:space="0" w:color="auto"/>
          </w:divBdr>
        </w:div>
        <w:div w:id="534737376">
          <w:marLeft w:val="0"/>
          <w:marRight w:val="0"/>
          <w:marTop w:val="0"/>
          <w:marBottom w:val="0"/>
          <w:divBdr>
            <w:top w:val="none" w:sz="0" w:space="0" w:color="auto"/>
            <w:left w:val="none" w:sz="0" w:space="0" w:color="auto"/>
            <w:bottom w:val="none" w:sz="0" w:space="0" w:color="auto"/>
            <w:right w:val="none" w:sz="0" w:space="0" w:color="auto"/>
          </w:divBdr>
        </w:div>
        <w:div w:id="537547300">
          <w:marLeft w:val="0"/>
          <w:marRight w:val="0"/>
          <w:marTop w:val="0"/>
          <w:marBottom w:val="0"/>
          <w:divBdr>
            <w:top w:val="none" w:sz="0" w:space="0" w:color="auto"/>
            <w:left w:val="none" w:sz="0" w:space="0" w:color="auto"/>
            <w:bottom w:val="none" w:sz="0" w:space="0" w:color="auto"/>
            <w:right w:val="none" w:sz="0" w:space="0" w:color="auto"/>
          </w:divBdr>
        </w:div>
        <w:div w:id="537931150">
          <w:marLeft w:val="0"/>
          <w:marRight w:val="0"/>
          <w:marTop w:val="0"/>
          <w:marBottom w:val="0"/>
          <w:divBdr>
            <w:top w:val="none" w:sz="0" w:space="0" w:color="auto"/>
            <w:left w:val="none" w:sz="0" w:space="0" w:color="auto"/>
            <w:bottom w:val="none" w:sz="0" w:space="0" w:color="auto"/>
            <w:right w:val="none" w:sz="0" w:space="0" w:color="auto"/>
          </w:divBdr>
        </w:div>
        <w:div w:id="538974471">
          <w:marLeft w:val="0"/>
          <w:marRight w:val="0"/>
          <w:marTop w:val="0"/>
          <w:marBottom w:val="0"/>
          <w:divBdr>
            <w:top w:val="none" w:sz="0" w:space="0" w:color="auto"/>
            <w:left w:val="none" w:sz="0" w:space="0" w:color="auto"/>
            <w:bottom w:val="none" w:sz="0" w:space="0" w:color="auto"/>
            <w:right w:val="none" w:sz="0" w:space="0" w:color="auto"/>
          </w:divBdr>
        </w:div>
        <w:div w:id="541553216">
          <w:marLeft w:val="0"/>
          <w:marRight w:val="0"/>
          <w:marTop w:val="0"/>
          <w:marBottom w:val="0"/>
          <w:divBdr>
            <w:top w:val="none" w:sz="0" w:space="0" w:color="auto"/>
            <w:left w:val="none" w:sz="0" w:space="0" w:color="auto"/>
            <w:bottom w:val="none" w:sz="0" w:space="0" w:color="auto"/>
            <w:right w:val="none" w:sz="0" w:space="0" w:color="auto"/>
          </w:divBdr>
        </w:div>
        <w:div w:id="541983888">
          <w:marLeft w:val="0"/>
          <w:marRight w:val="0"/>
          <w:marTop w:val="0"/>
          <w:marBottom w:val="0"/>
          <w:divBdr>
            <w:top w:val="none" w:sz="0" w:space="0" w:color="auto"/>
            <w:left w:val="none" w:sz="0" w:space="0" w:color="auto"/>
            <w:bottom w:val="none" w:sz="0" w:space="0" w:color="auto"/>
            <w:right w:val="none" w:sz="0" w:space="0" w:color="auto"/>
          </w:divBdr>
        </w:div>
        <w:div w:id="542715439">
          <w:marLeft w:val="0"/>
          <w:marRight w:val="0"/>
          <w:marTop w:val="0"/>
          <w:marBottom w:val="0"/>
          <w:divBdr>
            <w:top w:val="none" w:sz="0" w:space="0" w:color="auto"/>
            <w:left w:val="none" w:sz="0" w:space="0" w:color="auto"/>
            <w:bottom w:val="none" w:sz="0" w:space="0" w:color="auto"/>
            <w:right w:val="none" w:sz="0" w:space="0" w:color="auto"/>
          </w:divBdr>
        </w:div>
        <w:div w:id="544177901">
          <w:marLeft w:val="0"/>
          <w:marRight w:val="0"/>
          <w:marTop w:val="0"/>
          <w:marBottom w:val="0"/>
          <w:divBdr>
            <w:top w:val="none" w:sz="0" w:space="0" w:color="auto"/>
            <w:left w:val="none" w:sz="0" w:space="0" w:color="auto"/>
            <w:bottom w:val="none" w:sz="0" w:space="0" w:color="auto"/>
            <w:right w:val="none" w:sz="0" w:space="0" w:color="auto"/>
          </w:divBdr>
        </w:div>
        <w:div w:id="544374562">
          <w:marLeft w:val="0"/>
          <w:marRight w:val="0"/>
          <w:marTop w:val="0"/>
          <w:marBottom w:val="0"/>
          <w:divBdr>
            <w:top w:val="none" w:sz="0" w:space="0" w:color="auto"/>
            <w:left w:val="none" w:sz="0" w:space="0" w:color="auto"/>
            <w:bottom w:val="none" w:sz="0" w:space="0" w:color="auto"/>
            <w:right w:val="none" w:sz="0" w:space="0" w:color="auto"/>
          </w:divBdr>
        </w:div>
        <w:div w:id="544416642">
          <w:marLeft w:val="0"/>
          <w:marRight w:val="0"/>
          <w:marTop w:val="0"/>
          <w:marBottom w:val="0"/>
          <w:divBdr>
            <w:top w:val="none" w:sz="0" w:space="0" w:color="auto"/>
            <w:left w:val="none" w:sz="0" w:space="0" w:color="auto"/>
            <w:bottom w:val="none" w:sz="0" w:space="0" w:color="auto"/>
            <w:right w:val="none" w:sz="0" w:space="0" w:color="auto"/>
          </w:divBdr>
        </w:div>
        <w:div w:id="546457561">
          <w:marLeft w:val="0"/>
          <w:marRight w:val="0"/>
          <w:marTop w:val="0"/>
          <w:marBottom w:val="0"/>
          <w:divBdr>
            <w:top w:val="none" w:sz="0" w:space="0" w:color="auto"/>
            <w:left w:val="none" w:sz="0" w:space="0" w:color="auto"/>
            <w:bottom w:val="none" w:sz="0" w:space="0" w:color="auto"/>
            <w:right w:val="none" w:sz="0" w:space="0" w:color="auto"/>
          </w:divBdr>
        </w:div>
        <w:div w:id="547184635">
          <w:marLeft w:val="0"/>
          <w:marRight w:val="0"/>
          <w:marTop w:val="0"/>
          <w:marBottom w:val="0"/>
          <w:divBdr>
            <w:top w:val="none" w:sz="0" w:space="0" w:color="auto"/>
            <w:left w:val="none" w:sz="0" w:space="0" w:color="auto"/>
            <w:bottom w:val="none" w:sz="0" w:space="0" w:color="auto"/>
            <w:right w:val="none" w:sz="0" w:space="0" w:color="auto"/>
          </w:divBdr>
        </w:div>
        <w:div w:id="547645580">
          <w:marLeft w:val="0"/>
          <w:marRight w:val="0"/>
          <w:marTop w:val="0"/>
          <w:marBottom w:val="0"/>
          <w:divBdr>
            <w:top w:val="none" w:sz="0" w:space="0" w:color="auto"/>
            <w:left w:val="none" w:sz="0" w:space="0" w:color="auto"/>
            <w:bottom w:val="none" w:sz="0" w:space="0" w:color="auto"/>
            <w:right w:val="none" w:sz="0" w:space="0" w:color="auto"/>
          </w:divBdr>
        </w:div>
        <w:div w:id="547839924">
          <w:marLeft w:val="0"/>
          <w:marRight w:val="0"/>
          <w:marTop w:val="0"/>
          <w:marBottom w:val="0"/>
          <w:divBdr>
            <w:top w:val="none" w:sz="0" w:space="0" w:color="auto"/>
            <w:left w:val="none" w:sz="0" w:space="0" w:color="auto"/>
            <w:bottom w:val="none" w:sz="0" w:space="0" w:color="auto"/>
            <w:right w:val="none" w:sz="0" w:space="0" w:color="auto"/>
          </w:divBdr>
        </w:div>
        <w:div w:id="548106449">
          <w:marLeft w:val="0"/>
          <w:marRight w:val="0"/>
          <w:marTop w:val="0"/>
          <w:marBottom w:val="0"/>
          <w:divBdr>
            <w:top w:val="none" w:sz="0" w:space="0" w:color="auto"/>
            <w:left w:val="none" w:sz="0" w:space="0" w:color="auto"/>
            <w:bottom w:val="none" w:sz="0" w:space="0" w:color="auto"/>
            <w:right w:val="none" w:sz="0" w:space="0" w:color="auto"/>
          </w:divBdr>
        </w:div>
        <w:div w:id="548734086">
          <w:marLeft w:val="0"/>
          <w:marRight w:val="0"/>
          <w:marTop w:val="0"/>
          <w:marBottom w:val="0"/>
          <w:divBdr>
            <w:top w:val="none" w:sz="0" w:space="0" w:color="auto"/>
            <w:left w:val="none" w:sz="0" w:space="0" w:color="auto"/>
            <w:bottom w:val="none" w:sz="0" w:space="0" w:color="auto"/>
            <w:right w:val="none" w:sz="0" w:space="0" w:color="auto"/>
          </w:divBdr>
        </w:div>
        <w:div w:id="548877652">
          <w:marLeft w:val="0"/>
          <w:marRight w:val="0"/>
          <w:marTop w:val="0"/>
          <w:marBottom w:val="0"/>
          <w:divBdr>
            <w:top w:val="none" w:sz="0" w:space="0" w:color="auto"/>
            <w:left w:val="none" w:sz="0" w:space="0" w:color="auto"/>
            <w:bottom w:val="none" w:sz="0" w:space="0" w:color="auto"/>
            <w:right w:val="none" w:sz="0" w:space="0" w:color="auto"/>
          </w:divBdr>
        </w:div>
        <w:div w:id="548882931">
          <w:marLeft w:val="0"/>
          <w:marRight w:val="0"/>
          <w:marTop w:val="0"/>
          <w:marBottom w:val="0"/>
          <w:divBdr>
            <w:top w:val="none" w:sz="0" w:space="0" w:color="auto"/>
            <w:left w:val="none" w:sz="0" w:space="0" w:color="auto"/>
            <w:bottom w:val="none" w:sz="0" w:space="0" w:color="auto"/>
            <w:right w:val="none" w:sz="0" w:space="0" w:color="auto"/>
          </w:divBdr>
        </w:div>
        <w:div w:id="553006441">
          <w:marLeft w:val="0"/>
          <w:marRight w:val="0"/>
          <w:marTop w:val="0"/>
          <w:marBottom w:val="0"/>
          <w:divBdr>
            <w:top w:val="none" w:sz="0" w:space="0" w:color="auto"/>
            <w:left w:val="none" w:sz="0" w:space="0" w:color="auto"/>
            <w:bottom w:val="none" w:sz="0" w:space="0" w:color="auto"/>
            <w:right w:val="none" w:sz="0" w:space="0" w:color="auto"/>
          </w:divBdr>
        </w:div>
        <w:div w:id="554006499">
          <w:marLeft w:val="0"/>
          <w:marRight w:val="0"/>
          <w:marTop w:val="0"/>
          <w:marBottom w:val="0"/>
          <w:divBdr>
            <w:top w:val="none" w:sz="0" w:space="0" w:color="auto"/>
            <w:left w:val="none" w:sz="0" w:space="0" w:color="auto"/>
            <w:bottom w:val="none" w:sz="0" w:space="0" w:color="auto"/>
            <w:right w:val="none" w:sz="0" w:space="0" w:color="auto"/>
          </w:divBdr>
          <w:divsChild>
            <w:div w:id="26494251">
              <w:marLeft w:val="0"/>
              <w:marRight w:val="0"/>
              <w:marTop w:val="0"/>
              <w:marBottom w:val="0"/>
              <w:divBdr>
                <w:top w:val="none" w:sz="0" w:space="0" w:color="auto"/>
                <w:left w:val="none" w:sz="0" w:space="0" w:color="auto"/>
                <w:bottom w:val="none" w:sz="0" w:space="0" w:color="auto"/>
                <w:right w:val="none" w:sz="0" w:space="0" w:color="auto"/>
              </w:divBdr>
            </w:div>
            <w:div w:id="185368512">
              <w:marLeft w:val="0"/>
              <w:marRight w:val="0"/>
              <w:marTop w:val="0"/>
              <w:marBottom w:val="0"/>
              <w:divBdr>
                <w:top w:val="none" w:sz="0" w:space="0" w:color="auto"/>
                <w:left w:val="none" w:sz="0" w:space="0" w:color="auto"/>
                <w:bottom w:val="none" w:sz="0" w:space="0" w:color="auto"/>
                <w:right w:val="none" w:sz="0" w:space="0" w:color="auto"/>
              </w:divBdr>
            </w:div>
            <w:div w:id="380903546">
              <w:marLeft w:val="0"/>
              <w:marRight w:val="0"/>
              <w:marTop w:val="0"/>
              <w:marBottom w:val="0"/>
              <w:divBdr>
                <w:top w:val="none" w:sz="0" w:space="0" w:color="auto"/>
                <w:left w:val="none" w:sz="0" w:space="0" w:color="auto"/>
                <w:bottom w:val="none" w:sz="0" w:space="0" w:color="auto"/>
                <w:right w:val="none" w:sz="0" w:space="0" w:color="auto"/>
              </w:divBdr>
            </w:div>
            <w:div w:id="450133748">
              <w:marLeft w:val="0"/>
              <w:marRight w:val="0"/>
              <w:marTop w:val="0"/>
              <w:marBottom w:val="0"/>
              <w:divBdr>
                <w:top w:val="none" w:sz="0" w:space="0" w:color="auto"/>
                <w:left w:val="none" w:sz="0" w:space="0" w:color="auto"/>
                <w:bottom w:val="none" w:sz="0" w:space="0" w:color="auto"/>
                <w:right w:val="none" w:sz="0" w:space="0" w:color="auto"/>
              </w:divBdr>
            </w:div>
            <w:div w:id="482358183">
              <w:marLeft w:val="0"/>
              <w:marRight w:val="0"/>
              <w:marTop w:val="0"/>
              <w:marBottom w:val="0"/>
              <w:divBdr>
                <w:top w:val="none" w:sz="0" w:space="0" w:color="auto"/>
                <w:left w:val="none" w:sz="0" w:space="0" w:color="auto"/>
                <w:bottom w:val="none" w:sz="0" w:space="0" w:color="auto"/>
                <w:right w:val="none" w:sz="0" w:space="0" w:color="auto"/>
              </w:divBdr>
            </w:div>
            <w:div w:id="573785256">
              <w:marLeft w:val="0"/>
              <w:marRight w:val="0"/>
              <w:marTop w:val="0"/>
              <w:marBottom w:val="0"/>
              <w:divBdr>
                <w:top w:val="none" w:sz="0" w:space="0" w:color="auto"/>
                <w:left w:val="none" w:sz="0" w:space="0" w:color="auto"/>
                <w:bottom w:val="none" w:sz="0" w:space="0" w:color="auto"/>
                <w:right w:val="none" w:sz="0" w:space="0" w:color="auto"/>
              </w:divBdr>
            </w:div>
            <w:div w:id="616332096">
              <w:marLeft w:val="0"/>
              <w:marRight w:val="0"/>
              <w:marTop w:val="0"/>
              <w:marBottom w:val="0"/>
              <w:divBdr>
                <w:top w:val="none" w:sz="0" w:space="0" w:color="auto"/>
                <w:left w:val="none" w:sz="0" w:space="0" w:color="auto"/>
                <w:bottom w:val="none" w:sz="0" w:space="0" w:color="auto"/>
                <w:right w:val="none" w:sz="0" w:space="0" w:color="auto"/>
              </w:divBdr>
            </w:div>
            <w:div w:id="1063915208">
              <w:marLeft w:val="0"/>
              <w:marRight w:val="0"/>
              <w:marTop w:val="0"/>
              <w:marBottom w:val="0"/>
              <w:divBdr>
                <w:top w:val="none" w:sz="0" w:space="0" w:color="auto"/>
                <w:left w:val="none" w:sz="0" w:space="0" w:color="auto"/>
                <w:bottom w:val="none" w:sz="0" w:space="0" w:color="auto"/>
                <w:right w:val="none" w:sz="0" w:space="0" w:color="auto"/>
              </w:divBdr>
            </w:div>
            <w:div w:id="1200554941">
              <w:marLeft w:val="0"/>
              <w:marRight w:val="0"/>
              <w:marTop w:val="0"/>
              <w:marBottom w:val="0"/>
              <w:divBdr>
                <w:top w:val="none" w:sz="0" w:space="0" w:color="auto"/>
                <w:left w:val="none" w:sz="0" w:space="0" w:color="auto"/>
                <w:bottom w:val="none" w:sz="0" w:space="0" w:color="auto"/>
                <w:right w:val="none" w:sz="0" w:space="0" w:color="auto"/>
              </w:divBdr>
            </w:div>
            <w:div w:id="1311596025">
              <w:marLeft w:val="0"/>
              <w:marRight w:val="0"/>
              <w:marTop w:val="0"/>
              <w:marBottom w:val="0"/>
              <w:divBdr>
                <w:top w:val="none" w:sz="0" w:space="0" w:color="auto"/>
                <w:left w:val="none" w:sz="0" w:space="0" w:color="auto"/>
                <w:bottom w:val="none" w:sz="0" w:space="0" w:color="auto"/>
                <w:right w:val="none" w:sz="0" w:space="0" w:color="auto"/>
              </w:divBdr>
            </w:div>
            <w:div w:id="1313825535">
              <w:marLeft w:val="0"/>
              <w:marRight w:val="0"/>
              <w:marTop w:val="0"/>
              <w:marBottom w:val="0"/>
              <w:divBdr>
                <w:top w:val="none" w:sz="0" w:space="0" w:color="auto"/>
                <w:left w:val="none" w:sz="0" w:space="0" w:color="auto"/>
                <w:bottom w:val="none" w:sz="0" w:space="0" w:color="auto"/>
                <w:right w:val="none" w:sz="0" w:space="0" w:color="auto"/>
              </w:divBdr>
            </w:div>
            <w:div w:id="1489514885">
              <w:marLeft w:val="0"/>
              <w:marRight w:val="0"/>
              <w:marTop w:val="0"/>
              <w:marBottom w:val="0"/>
              <w:divBdr>
                <w:top w:val="none" w:sz="0" w:space="0" w:color="auto"/>
                <w:left w:val="none" w:sz="0" w:space="0" w:color="auto"/>
                <w:bottom w:val="none" w:sz="0" w:space="0" w:color="auto"/>
                <w:right w:val="none" w:sz="0" w:space="0" w:color="auto"/>
              </w:divBdr>
            </w:div>
            <w:div w:id="1662197559">
              <w:marLeft w:val="0"/>
              <w:marRight w:val="0"/>
              <w:marTop w:val="0"/>
              <w:marBottom w:val="0"/>
              <w:divBdr>
                <w:top w:val="none" w:sz="0" w:space="0" w:color="auto"/>
                <w:left w:val="none" w:sz="0" w:space="0" w:color="auto"/>
                <w:bottom w:val="none" w:sz="0" w:space="0" w:color="auto"/>
                <w:right w:val="none" w:sz="0" w:space="0" w:color="auto"/>
              </w:divBdr>
            </w:div>
            <w:div w:id="1711416245">
              <w:marLeft w:val="0"/>
              <w:marRight w:val="0"/>
              <w:marTop w:val="0"/>
              <w:marBottom w:val="0"/>
              <w:divBdr>
                <w:top w:val="none" w:sz="0" w:space="0" w:color="auto"/>
                <w:left w:val="none" w:sz="0" w:space="0" w:color="auto"/>
                <w:bottom w:val="none" w:sz="0" w:space="0" w:color="auto"/>
                <w:right w:val="none" w:sz="0" w:space="0" w:color="auto"/>
              </w:divBdr>
            </w:div>
            <w:div w:id="1923834570">
              <w:marLeft w:val="0"/>
              <w:marRight w:val="0"/>
              <w:marTop w:val="0"/>
              <w:marBottom w:val="0"/>
              <w:divBdr>
                <w:top w:val="none" w:sz="0" w:space="0" w:color="auto"/>
                <w:left w:val="none" w:sz="0" w:space="0" w:color="auto"/>
                <w:bottom w:val="none" w:sz="0" w:space="0" w:color="auto"/>
                <w:right w:val="none" w:sz="0" w:space="0" w:color="auto"/>
              </w:divBdr>
            </w:div>
            <w:div w:id="1972519224">
              <w:marLeft w:val="0"/>
              <w:marRight w:val="0"/>
              <w:marTop w:val="0"/>
              <w:marBottom w:val="0"/>
              <w:divBdr>
                <w:top w:val="none" w:sz="0" w:space="0" w:color="auto"/>
                <w:left w:val="none" w:sz="0" w:space="0" w:color="auto"/>
                <w:bottom w:val="none" w:sz="0" w:space="0" w:color="auto"/>
                <w:right w:val="none" w:sz="0" w:space="0" w:color="auto"/>
              </w:divBdr>
            </w:div>
            <w:div w:id="2105958779">
              <w:marLeft w:val="0"/>
              <w:marRight w:val="0"/>
              <w:marTop w:val="0"/>
              <w:marBottom w:val="0"/>
              <w:divBdr>
                <w:top w:val="none" w:sz="0" w:space="0" w:color="auto"/>
                <w:left w:val="none" w:sz="0" w:space="0" w:color="auto"/>
                <w:bottom w:val="none" w:sz="0" w:space="0" w:color="auto"/>
                <w:right w:val="none" w:sz="0" w:space="0" w:color="auto"/>
              </w:divBdr>
            </w:div>
          </w:divsChild>
        </w:div>
        <w:div w:id="556161362">
          <w:marLeft w:val="0"/>
          <w:marRight w:val="0"/>
          <w:marTop w:val="0"/>
          <w:marBottom w:val="0"/>
          <w:divBdr>
            <w:top w:val="none" w:sz="0" w:space="0" w:color="auto"/>
            <w:left w:val="none" w:sz="0" w:space="0" w:color="auto"/>
            <w:bottom w:val="none" w:sz="0" w:space="0" w:color="auto"/>
            <w:right w:val="none" w:sz="0" w:space="0" w:color="auto"/>
          </w:divBdr>
        </w:div>
        <w:div w:id="556672018">
          <w:marLeft w:val="0"/>
          <w:marRight w:val="0"/>
          <w:marTop w:val="0"/>
          <w:marBottom w:val="0"/>
          <w:divBdr>
            <w:top w:val="none" w:sz="0" w:space="0" w:color="auto"/>
            <w:left w:val="none" w:sz="0" w:space="0" w:color="auto"/>
            <w:bottom w:val="none" w:sz="0" w:space="0" w:color="auto"/>
            <w:right w:val="none" w:sz="0" w:space="0" w:color="auto"/>
          </w:divBdr>
        </w:div>
        <w:div w:id="557126914">
          <w:marLeft w:val="0"/>
          <w:marRight w:val="0"/>
          <w:marTop w:val="0"/>
          <w:marBottom w:val="0"/>
          <w:divBdr>
            <w:top w:val="none" w:sz="0" w:space="0" w:color="auto"/>
            <w:left w:val="none" w:sz="0" w:space="0" w:color="auto"/>
            <w:bottom w:val="none" w:sz="0" w:space="0" w:color="auto"/>
            <w:right w:val="none" w:sz="0" w:space="0" w:color="auto"/>
          </w:divBdr>
        </w:div>
        <w:div w:id="559559483">
          <w:marLeft w:val="0"/>
          <w:marRight w:val="0"/>
          <w:marTop w:val="0"/>
          <w:marBottom w:val="0"/>
          <w:divBdr>
            <w:top w:val="none" w:sz="0" w:space="0" w:color="auto"/>
            <w:left w:val="none" w:sz="0" w:space="0" w:color="auto"/>
            <w:bottom w:val="none" w:sz="0" w:space="0" w:color="auto"/>
            <w:right w:val="none" w:sz="0" w:space="0" w:color="auto"/>
          </w:divBdr>
        </w:div>
        <w:div w:id="563491812">
          <w:marLeft w:val="0"/>
          <w:marRight w:val="0"/>
          <w:marTop w:val="0"/>
          <w:marBottom w:val="0"/>
          <w:divBdr>
            <w:top w:val="none" w:sz="0" w:space="0" w:color="auto"/>
            <w:left w:val="none" w:sz="0" w:space="0" w:color="auto"/>
            <w:bottom w:val="none" w:sz="0" w:space="0" w:color="auto"/>
            <w:right w:val="none" w:sz="0" w:space="0" w:color="auto"/>
          </w:divBdr>
        </w:div>
        <w:div w:id="563495330">
          <w:marLeft w:val="0"/>
          <w:marRight w:val="0"/>
          <w:marTop w:val="0"/>
          <w:marBottom w:val="0"/>
          <w:divBdr>
            <w:top w:val="none" w:sz="0" w:space="0" w:color="auto"/>
            <w:left w:val="none" w:sz="0" w:space="0" w:color="auto"/>
            <w:bottom w:val="none" w:sz="0" w:space="0" w:color="auto"/>
            <w:right w:val="none" w:sz="0" w:space="0" w:color="auto"/>
          </w:divBdr>
          <w:divsChild>
            <w:div w:id="439908693">
              <w:marLeft w:val="0"/>
              <w:marRight w:val="0"/>
              <w:marTop w:val="0"/>
              <w:marBottom w:val="0"/>
              <w:divBdr>
                <w:top w:val="none" w:sz="0" w:space="0" w:color="auto"/>
                <w:left w:val="none" w:sz="0" w:space="0" w:color="auto"/>
                <w:bottom w:val="none" w:sz="0" w:space="0" w:color="auto"/>
                <w:right w:val="none" w:sz="0" w:space="0" w:color="auto"/>
              </w:divBdr>
            </w:div>
            <w:div w:id="830557488">
              <w:marLeft w:val="0"/>
              <w:marRight w:val="0"/>
              <w:marTop w:val="0"/>
              <w:marBottom w:val="0"/>
              <w:divBdr>
                <w:top w:val="none" w:sz="0" w:space="0" w:color="auto"/>
                <w:left w:val="none" w:sz="0" w:space="0" w:color="auto"/>
                <w:bottom w:val="none" w:sz="0" w:space="0" w:color="auto"/>
                <w:right w:val="none" w:sz="0" w:space="0" w:color="auto"/>
              </w:divBdr>
            </w:div>
            <w:div w:id="1072309879">
              <w:marLeft w:val="0"/>
              <w:marRight w:val="0"/>
              <w:marTop w:val="0"/>
              <w:marBottom w:val="0"/>
              <w:divBdr>
                <w:top w:val="none" w:sz="0" w:space="0" w:color="auto"/>
                <w:left w:val="none" w:sz="0" w:space="0" w:color="auto"/>
                <w:bottom w:val="none" w:sz="0" w:space="0" w:color="auto"/>
                <w:right w:val="none" w:sz="0" w:space="0" w:color="auto"/>
              </w:divBdr>
            </w:div>
            <w:div w:id="1156072436">
              <w:marLeft w:val="0"/>
              <w:marRight w:val="0"/>
              <w:marTop w:val="0"/>
              <w:marBottom w:val="0"/>
              <w:divBdr>
                <w:top w:val="none" w:sz="0" w:space="0" w:color="auto"/>
                <w:left w:val="none" w:sz="0" w:space="0" w:color="auto"/>
                <w:bottom w:val="none" w:sz="0" w:space="0" w:color="auto"/>
                <w:right w:val="none" w:sz="0" w:space="0" w:color="auto"/>
              </w:divBdr>
            </w:div>
            <w:div w:id="1194882903">
              <w:marLeft w:val="0"/>
              <w:marRight w:val="0"/>
              <w:marTop w:val="0"/>
              <w:marBottom w:val="0"/>
              <w:divBdr>
                <w:top w:val="none" w:sz="0" w:space="0" w:color="auto"/>
                <w:left w:val="none" w:sz="0" w:space="0" w:color="auto"/>
                <w:bottom w:val="none" w:sz="0" w:space="0" w:color="auto"/>
                <w:right w:val="none" w:sz="0" w:space="0" w:color="auto"/>
              </w:divBdr>
            </w:div>
            <w:div w:id="1410732949">
              <w:marLeft w:val="0"/>
              <w:marRight w:val="0"/>
              <w:marTop w:val="0"/>
              <w:marBottom w:val="0"/>
              <w:divBdr>
                <w:top w:val="none" w:sz="0" w:space="0" w:color="auto"/>
                <w:left w:val="none" w:sz="0" w:space="0" w:color="auto"/>
                <w:bottom w:val="none" w:sz="0" w:space="0" w:color="auto"/>
                <w:right w:val="none" w:sz="0" w:space="0" w:color="auto"/>
              </w:divBdr>
            </w:div>
            <w:div w:id="1481993418">
              <w:marLeft w:val="0"/>
              <w:marRight w:val="0"/>
              <w:marTop w:val="0"/>
              <w:marBottom w:val="0"/>
              <w:divBdr>
                <w:top w:val="none" w:sz="0" w:space="0" w:color="auto"/>
                <w:left w:val="none" w:sz="0" w:space="0" w:color="auto"/>
                <w:bottom w:val="none" w:sz="0" w:space="0" w:color="auto"/>
                <w:right w:val="none" w:sz="0" w:space="0" w:color="auto"/>
              </w:divBdr>
            </w:div>
            <w:div w:id="1710910608">
              <w:marLeft w:val="0"/>
              <w:marRight w:val="0"/>
              <w:marTop w:val="0"/>
              <w:marBottom w:val="0"/>
              <w:divBdr>
                <w:top w:val="none" w:sz="0" w:space="0" w:color="auto"/>
                <w:left w:val="none" w:sz="0" w:space="0" w:color="auto"/>
                <w:bottom w:val="none" w:sz="0" w:space="0" w:color="auto"/>
                <w:right w:val="none" w:sz="0" w:space="0" w:color="auto"/>
              </w:divBdr>
            </w:div>
            <w:div w:id="1837763602">
              <w:marLeft w:val="0"/>
              <w:marRight w:val="0"/>
              <w:marTop w:val="0"/>
              <w:marBottom w:val="0"/>
              <w:divBdr>
                <w:top w:val="none" w:sz="0" w:space="0" w:color="auto"/>
                <w:left w:val="none" w:sz="0" w:space="0" w:color="auto"/>
                <w:bottom w:val="none" w:sz="0" w:space="0" w:color="auto"/>
                <w:right w:val="none" w:sz="0" w:space="0" w:color="auto"/>
              </w:divBdr>
            </w:div>
            <w:div w:id="2063018171">
              <w:marLeft w:val="0"/>
              <w:marRight w:val="0"/>
              <w:marTop w:val="0"/>
              <w:marBottom w:val="0"/>
              <w:divBdr>
                <w:top w:val="none" w:sz="0" w:space="0" w:color="auto"/>
                <w:left w:val="none" w:sz="0" w:space="0" w:color="auto"/>
                <w:bottom w:val="none" w:sz="0" w:space="0" w:color="auto"/>
                <w:right w:val="none" w:sz="0" w:space="0" w:color="auto"/>
              </w:divBdr>
            </w:div>
            <w:div w:id="2095199862">
              <w:marLeft w:val="0"/>
              <w:marRight w:val="0"/>
              <w:marTop w:val="0"/>
              <w:marBottom w:val="0"/>
              <w:divBdr>
                <w:top w:val="none" w:sz="0" w:space="0" w:color="auto"/>
                <w:left w:val="none" w:sz="0" w:space="0" w:color="auto"/>
                <w:bottom w:val="none" w:sz="0" w:space="0" w:color="auto"/>
                <w:right w:val="none" w:sz="0" w:space="0" w:color="auto"/>
              </w:divBdr>
            </w:div>
            <w:div w:id="2096054156">
              <w:marLeft w:val="0"/>
              <w:marRight w:val="0"/>
              <w:marTop w:val="0"/>
              <w:marBottom w:val="0"/>
              <w:divBdr>
                <w:top w:val="none" w:sz="0" w:space="0" w:color="auto"/>
                <w:left w:val="none" w:sz="0" w:space="0" w:color="auto"/>
                <w:bottom w:val="none" w:sz="0" w:space="0" w:color="auto"/>
                <w:right w:val="none" w:sz="0" w:space="0" w:color="auto"/>
              </w:divBdr>
            </w:div>
          </w:divsChild>
        </w:div>
        <w:div w:id="564026062">
          <w:marLeft w:val="0"/>
          <w:marRight w:val="0"/>
          <w:marTop w:val="0"/>
          <w:marBottom w:val="0"/>
          <w:divBdr>
            <w:top w:val="none" w:sz="0" w:space="0" w:color="auto"/>
            <w:left w:val="none" w:sz="0" w:space="0" w:color="auto"/>
            <w:bottom w:val="none" w:sz="0" w:space="0" w:color="auto"/>
            <w:right w:val="none" w:sz="0" w:space="0" w:color="auto"/>
          </w:divBdr>
          <w:divsChild>
            <w:div w:id="239489294">
              <w:marLeft w:val="0"/>
              <w:marRight w:val="0"/>
              <w:marTop w:val="0"/>
              <w:marBottom w:val="0"/>
              <w:divBdr>
                <w:top w:val="none" w:sz="0" w:space="0" w:color="auto"/>
                <w:left w:val="none" w:sz="0" w:space="0" w:color="auto"/>
                <w:bottom w:val="none" w:sz="0" w:space="0" w:color="auto"/>
                <w:right w:val="none" w:sz="0" w:space="0" w:color="auto"/>
              </w:divBdr>
            </w:div>
            <w:div w:id="305553697">
              <w:marLeft w:val="0"/>
              <w:marRight w:val="0"/>
              <w:marTop w:val="0"/>
              <w:marBottom w:val="0"/>
              <w:divBdr>
                <w:top w:val="none" w:sz="0" w:space="0" w:color="auto"/>
                <w:left w:val="none" w:sz="0" w:space="0" w:color="auto"/>
                <w:bottom w:val="none" w:sz="0" w:space="0" w:color="auto"/>
                <w:right w:val="none" w:sz="0" w:space="0" w:color="auto"/>
              </w:divBdr>
            </w:div>
            <w:div w:id="842815841">
              <w:marLeft w:val="0"/>
              <w:marRight w:val="0"/>
              <w:marTop w:val="0"/>
              <w:marBottom w:val="0"/>
              <w:divBdr>
                <w:top w:val="none" w:sz="0" w:space="0" w:color="auto"/>
                <w:left w:val="none" w:sz="0" w:space="0" w:color="auto"/>
                <w:bottom w:val="none" w:sz="0" w:space="0" w:color="auto"/>
                <w:right w:val="none" w:sz="0" w:space="0" w:color="auto"/>
              </w:divBdr>
            </w:div>
            <w:div w:id="1009334271">
              <w:marLeft w:val="0"/>
              <w:marRight w:val="0"/>
              <w:marTop w:val="0"/>
              <w:marBottom w:val="0"/>
              <w:divBdr>
                <w:top w:val="none" w:sz="0" w:space="0" w:color="auto"/>
                <w:left w:val="none" w:sz="0" w:space="0" w:color="auto"/>
                <w:bottom w:val="none" w:sz="0" w:space="0" w:color="auto"/>
                <w:right w:val="none" w:sz="0" w:space="0" w:color="auto"/>
              </w:divBdr>
            </w:div>
            <w:div w:id="1097484790">
              <w:marLeft w:val="0"/>
              <w:marRight w:val="0"/>
              <w:marTop w:val="0"/>
              <w:marBottom w:val="0"/>
              <w:divBdr>
                <w:top w:val="none" w:sz="0" w:space="0" w:color="auto"/>
                <w:left w:val="none" w:sz="0" w:space="0" w:color="auto"/>
                <w:bottom w:val="none" w:sz="0" w:space="0" w:color="auto"/>
                <w:right w:val="none" w:sz="0" w:space="0" w:color="auto"/>
              </w:divBdr>
            </w:div>
            <w:div w:id="1326087932">
              <w:marLeft w:val="0"/>
              <w:marRight w:val="0"/>
              <w:marTop w:val="0"/>
              <w:marBottom w:val="0"/>
              <w:divBdr>
                <w:top w:val="none" w:sz="0" w:space="0" w:color="auto"/>
                <w:left w:val="none" w:sz="0" w:space="0" w:color="auto"/>
                <w:bottom w:val="none" w:sz="0" w:space="0" w:color="auto"/>
                <w:right w:val="none" w:sz="0" w:space="0" w:color="auto"/>
              </w:divBdr>
            </w:div>
            <w:div w:id="1420713242">
              <w:marLeft w:val="0"/>
              <w:marRight w:val="0"/>
              <w:marTop w:val="0"/>
              <w:marBottom w:val="0"/>
              <w:divBdr>
                <w:top w:val="none" w:sz="0" w:space="0" w:color="auto"/>
                <w:left w:val="none" w:sz="0" w:space="0" w:color="auto"/>
                <w:bottom w:val="none" w:sz="0" w:space="0" w:color="auto"/>
                <w:right w:val="none" w:sz="0" w:space="0" w:color="auto"/>
              </w:divBdr>
            </w:div>
            <w:div w:id="1723022009">
              <w:marLeft w:val="0"/>
              <w:marRight w:val="0"/>
              <w:marTop w:val="0"/>
              <w:marBottom w:val="0"/>
              <w:divBdr>
                <w:top w:val="none" w:sz="0" w:space="0" w:color="auto"/>
                <w:left w:val="none" w:sz="0" w:space="0" w:color="auto"/>
                <w:bottom w:val="none" w:sz="0" w:space="0" w:color="auto"/>
                <w:right w:val="none" w:sz="0" w:space="0" w:color="auto"/>
              </w:divBdr>
            </w:div>
            <w:div w:id="2087991798">
              <w:marLeft w:val="0"/>
              <w:marRight w:val="0"/>
              <w:marTop w:val="0"/>
              <w:marBottom w:val="0"/>
              <w:divBdr>
                <w:top w:val="none" w:sz="0" w:space="0" w:color="auto"/>
                <w:left w:val="none" w:sz="0" w:space="0" w:color="auto"/>
                <w:bottom w:val="none" w:sz="0" w:space="0" w:color="auto"/>
                <w:right w:val="none" w:sz="0" w:space="0" w:color="auto"/>
              </w:divBdr>
            </w:div>
          </w:divsChild>
        </w:div>
        <w:div w:id="564030024">
          <w:marLeft w:val="0"/>
          <w:marRight w:val="0"/>
          <w:marTop w:val="0"/>
          <w:marBottom w:val="0"/>
          <w:divBdr>
            <w:top w:val="none" w:sz="0" w:space="0" w:color="auto"/>
            <w:left w:val="none" w:sz="0" w:space="0" w:color="auto"/>
            <w:bottom w:val="none" w:sz="0" w:space="0" w:color="auto"/>
            <w:right w:val="none" w:sz="0" w:space="0" w:color="auto"/>
          </w:divBdr>
        </w:div>
        <w:div w:id="565454362">
          <w:marLeft w:val="0"/>
          <w:marRight w:val="0"/>
          <w:marTop w:val="0"/>
          <w:marBottom w:val="0"/>
          <w:divBdr>
            <w:top w:val="none" w:sz="0" w:space="0" w:color="auto"/>
            <w:left w:val="none" w:sz="0" w:space="0" w:color="auto"/>
            <w:bottom w:val="none" w:sz="0" w:space="0" w:color="auto"/>
            <w:right w:val="none" w:sz="0" w:space="0" w:color="auto"/>
          </w:divBdr>
        </w:div>
        <w:div w:id="565727708">
          <w:marLeft w:val="0"/>
          <w:marRight w:val="0"/>
          <w:marTop w:val="0"/>
          <w:marBottom w:val="0"/>
          <w:divBdr>
            <w:top w:val="none" w:sz="0" w:space="0" w:color="auto"/>
            <w:left w:val="none" w:sz="0" w:space="0" w:color="auto"/>
            <w:bottom w:val="none" w:sz="0" w:space="0" w:color="auto"/>
            <w:right w:val="none" w:sz="0" w:space="0" w:color="auto"/>
          </w:divBdr>
          <w:divsChild>
            <w:div w:id="20985070">
              <w:marLeft w:val="0"/>
              <w:marRight w:val="0"/>
              <w:marTop w:val="0"/>
              <w:marBottom w:val="0"/>
              <w:divBdr>
                <w:top w:val="none" w:sz="0" w:space="0" w:color="auto"/>
                <w:left w:val="none" w:sz="0" w:space="0" w:color="auto"/>
                <w:bottom w:val="none" w:sz="0" w:space="0" w:color="auto"/>
                <w:right w:val="none" w:sz="0" w:space="0" w:color="auto"/>
              </w:divBdr>
            </w:div>
            <w:div w:id="52126442">
              <w:marLeft w:val="0"/>
              <w:marRight w:val="0"/>
              <w:marTop w:val="0"/>
              <w:marBottom w:val="0"/>
              <w:divBdr>
                <w:top w:val="none" w:sz="0" w:space="0" w:color="auto"/>
                <w:left w:val="none" w:sz="0" w:space="0" w:color="auto"/>
                <w:bottom w:val="none" w:sz="0" w:space="0" w:color="auto"/>
                <w:right w:val="none" w:sz="0" w:space="0" w:color="auto"/>
              </w:divBdr>
            </w:div>
            <w:div w:id="178662449">
              <w:marLeft w:val="0"/>
              <w:marRight w:val="0"/>
              <w:marTop w:val="0"/>
              <w:marBottom w:val="0"/>
              <w:divBdr>
                <w:top w:val="none" w:sz="0" w:space="0" w:color="auto"/>
                <w:left w:val="none" w:sz="0" w:space="0" w:color="auto"/>
                <w:bottom w:val="none" w:sz="0" w:space="0" w:color="auto"/>
                <w:right w:val="none" w:sz="0" w:space="0" w:color="auto"/>
              </w:divBdr>
            </w:div>
            <w:div w:id="212156341">
              <w:marLeft w:val="0"/>
              <w:marRight w:val="0"/>
              <w:marTop w:val="0"/>
              <w:marBottom w:val="0"/>
              <w:divBdr>
                <w:top w:val="none" w:sz="0" w:space="0" w:color="auto"/>
                <w:left w:val="none" w:sz="0" w:space="0" w:color="auto"/>
                <w:bottom w:val="none" w:sz="0" w:space="0" w:color="auto"/>
                <w:right w:val="none" w:sz="0" w:space="0" w:color="auto"/>
              </w:divBdr>
            </w:div>
            <w:div w:id="515850353">
              <w:marLeft w:val="0"/>
              <w:marRight w:val="0"/>
              <w:marTop w:val="0"/>
              <w:marBottom w:val="0"/>
              <w:divBdr>
                <w:top w:val="none" w:sz="0" w:space="0" w:color="auto"/>
                <w:left w:val="none" w:sz="0" w:space="0" w:color="auto"/>
                <w:bottom w:val="none" w:sz="0" w:space="0" w:color="auto"/>
                <w:right w:val="none" w:sz="0" w:space="0" w:color="auto"/>
              </w:divBdr>
            </w:div>
            <w:div w:id="554975840">
              <w:marLeft w:val="0"/>
              <w:marRight w:val="0"/>
              <w:marTop w:val="0"/>
              <w:marBottom w:val="0"/>
              <w:divBdr>
                <w:top w:val="none" w:sz="0" w:space="0" w:color="auto"/>
                <w:left w:val="none" w:sz="0" w:space="0" w:color="auto"/>
                <w:bottom w:val="none" w:sz="0" w:space="0" w:color="auto"/>
                <w:right w:val="none" w:sz="0" w:space="0" w:color="auto"/>
              </w:divBdr>
            </w:div>
            <w:div w:id="563686328">
              <w:marLeft w:val="0"/>
              <w:marRight w:val="0"/>
              <w:marTop w:val="0"/>
              <w:marBottom w:val="0"/>
              <w:divBdr>
                <w:top w:val="none" w:sz="0" w:space="0" w:color="auto"/>
                <w:left w:val="none" w:sz="0" w:space="0" w:color="auto"/>
                <w:bottom w:val="none" w:sz="0" w:space="0" w:color="auto"/>
                <w:right w:val="none" w:sz="0" w:space="0" w:color="auto"/>
              </w:divBdr>
            </w:div>
            <w:div w:id="642389239">
              <w:marLeft w:val="0"/>
              <w:marRight w:val="0"/>
              <w:marTop w:val="0"/>
              <w:marBottom w:val="0"/>
              <w:divBdr>
                <w:top w:val="none" w:sz="0" w:space="0" w:color="auto"/>
                <w:left w:val="none" w:sz="0" w:space="0" w:color="auto"/>
                <w:bottom w:val="none" w:sz="0" w:space="0" w:color="auto"/>
                <w:right w:val="none" w:sz="0" w:space="0" w:color="auto"/>
              </w:divBdr>
            </w:div>
            <w:div w:id="941187302">
              <w:marLeft w:val="0"/>
              <w:marRight w:val="0"/>
              <w:marTop w:val="0"/>
              <w:marBottom w:val="0"/>
              <w:divBdr>
                <w:top w:val="none" w:sz="0" w:space="0" w:color="auto"/>
                <w:left w:val="none" w:sz="0" w:space="0" w:color="auto"/>
                <w:bottom w:val="none" w:sz="0" w:space="0" w:color="auto"/>
                <w:right w:val="none" w:sz="0" w:space="0" w:color="auto"/>
              </w:divBdr>
            </w:div>
            <w:div w:id="1061294608">
              <w:marLeft w:val="0"/>
              <w:marRight w:val="0"/>
              <w:marTop w:val="0"/>
              <w:marBottom w:val="0"/>
              <w:divBdr>
                <w:top w:val="none" w:sz="0" w:space="0" w:color="auto"/>
                <w:left w:val="none" w:sz="0" w:space="0" w:color="auto"/>
                <w:bottom w:val="none" w:sz="0" w:space="0" w:color="auto"/>
                <w:right w:val="none" w:sz="0" w:space="0" w:color="auto"/>
              </w:divBdr>
            </w:div>
            <w:div w:id="1202013356">
              <w:marLeft w:val="0"/>
              <w:marRight w:val="0"/>
              <w:marTop w:val="0"/>
              <w:marBottom w:val="0"/>
              <w:divBdr>
                <w:top w:val="none" w:sz="0" w:space="0" w:color="auto"/>
                <w:left w:val="none" w:sz="0" w:space="0" w:color="auto"/>
                <w:bottom w:val="none" w:sz="0" w:space="0" w:color="auto"/>
                <w:right w:val="none" w:sz="0" w:space="0" w:color="auto"/>
              </w:divBdr>
            </w:div>
            <w:div w:id="1401323452">
              <w:marLeft w:val="0"/>
              <w:marRight w:val="0"/>
              <w:marTop w:val="0"/>
              <w:marBottom w:val="0"/>
              <w:divBdr>
                <w:top w:val="none" w:sz="0" w:space="0" w:color="auto"/>
                <w:left w:val="none" w:sz="0" w:space="0" w:color="auto"/>
                <w:bottom w:val="none" w:sz="0" w:space="0" w:color="auto"/>
                <w:right w:val="none" w:sz="0" w:space="0" w:color="auto"/>
              </w:divBdr>
            </w:div>
            <w:div w:id="1425300360">
              <w:marLeft w:val="0"/>
              <w:marRight w:val="0"/>
              <w:marTop w:val="0"/>
              <w:marBottom w:val="0"/>
              <w:divBdr>
                <w:top w:val="none" w:sz="0" w:space="0" w:color="auto"/>
                <w:left w:val="none" w:sz="0" w:space="0" w:color="auto"/>
                <w:bottom w:val="none" w:sz="0" w:space="0" w:color="auto"/>
                <w:right w:val="none" w:sz="0" w:space="0" w:color="auto"/>
              </w:divBdr>
            </w:div>
            <w:div w:id="1434015946">
              <w:marLeft w:val="0"/>
              <w:marRight w:val="0"/>
              <w:marTop w:val="0"/>
              <w:marBottom w:val="0"/>
              <w:divBdr>
                <w:top w:val="none" w:sz="0" w:space="0" w:color="auto"/>
                <w:left w:val="none" w:sz="0" w:space="0" w:color="auto"/>
                <w:bottom w:val="none" w:sz="0" w:space="0" w:color="auto"/>
                <w:right w:val="none" w:sz="0" w:space="0" w:color="auto"/>
              </w:divBdr>
            </w:div>
            <w:div w:id="1552112030">
              <w:marLeft w:val="0"/>
              <w:marRight w:val="0"/>
              <w:marTop w:val="0"/>
              <w:marBottom w:val="0"/>
              <w:divBdr>
                <w:top w:val="none" w:sz="0" w:space="0" w:color="auto"/>
                <w:left w:val="none" w:sz="0" w:space="0" w:color="auto"/>
                <w:bottom w:val="none" w:sz="0" w:space="0" w:color="auto"/>
                <w:right w:val="none" w:sz="0" w:space="0" w:color="auto"/>
              </w:divBdr>
            </w:div>
            <w:div w:id="1687630423">
              <w:marLeft w:val="0"/>
              <w:marRight w:val="0"/>
              <w:marTop w:val="0"/>
              <w:marBottom w:val="0"/>
              <w:divBdr>
                <w:top w:val="none" w:sz="0" w:space="0" w:color="auto"/>
                <w:left w:val="none" w:sz="0" w:space="0" w:color="auto"/>
                <w:bottom w:val="none" w:sz="0" w:space="0" w:color="auto"/>
                <w:right w:val="none" w:sz="0" w:space="0" w:color="auto"/>
              </w:divBdr>
            </w:div>
            <w:div w:id="1760639677">
              <w:marLeft w:val="0"/>
              <w:marRight w:val="0"/>
              <w:marTop w:val="0"/>
              <w:marBottom w:val="0"/>
              <w:divBdr>
                <w:top w:val="none" w:sz="0" w:space="0" w:color="auto"/>
                <w:left w:val="none" w:sz="0" w:space="0" w:color="auto"/>
                <w:bottom w:val="none" w:sz="0" w:space="0" w:color="auto"/>
                <w:right w:val="none" w:sz="0" w:space="0" w:color="auto"/>
              </w:divBdr>
            </w:div>
            <w:div w:id="1895651634">
              <w:marLeft w:val="0"/>
              <w:marRight w:val="0"/>
              <w:marTop w:val="0"/>
              <w:marBottom w:val="0"/>
              <w:divBdr>
                <w:top w:val="none" w:sz="0" w:space="0" w:color="auto"/>
                <w:left w:val="none" w:sz="0" w:space="0" w:color="auto"/>
                <w:bottom w:val="none" w:sz="0" w:space="0" w:color="auto"/>
                <w:right w:val="none" w:sz="0" w:space="0" w:color="auto"/>
              </w:divBdr>
            </w:div>
            <w:div w:id="2062898059">
              <w:marLeft w:val="0"/>
              <w:marRight w:val="0"/>
              <w:marTop w:val="0"/>
              <w:marBottom w:val="0"/>
              <w:divBdr>
                <w:top w:val="none" w:sz="0" w:space="0" w:color="auto"/>
                <w:left w:val="none" w:sz="0" w:space="0" w:color="auto"/>
                <w:bottom w:val="none" w:sz="0" w:space="0" w:color="auto"/>
                <w:right w:val="none" w:sz="0" w:space="0" w:color="auto"/>
              </w:divBdr>
            </w:div>
            <w:div w:id="2088068377">
              <w:marLeft w:val="0"/>
              <w:marRight w:val="0"/>
              <w:marTop w:val="0"/>
              <w:marBottom w:val="0"/>
              <w:divBdr>
                <w:top w:val="none" w:sz="0" w:space="0" w:color="auto"/>
                <w:left w:val="none" w:sz="0" w:space="0" w:color="auto"/>
                <w:bottom w:val="none" w:sz="0" w:space="0" w:color="auto"/>
                <w:right w:val="none" w:sz="0" w:space="0" w:color="auto"/>
              </w:divBdr>
            </w:div>
          </w:divsChild>
        </w:div>
        <w:div w:id="565803911">
          <w:marLeft w:val="0"/>
          <w:marRight w:val="0"/>
          <w:marTop w:val="0"/>
          <w:marBottom w:val="0"/>
          <w:divBdr>
            <w:top w:val="none" w:sz="0" w:space="0" w:color="auto"/>
            <w:left w:val="none" w:sz="0" w:space="0" w:color="auto"/>
            <w:bottom w:val="none" w:sz="0" w:space="0" w:color="auto"/>
            <w:right w:val="none" w:sz="0" w:space="0" w:color="auto"/>
          </w:divBdr>
        </w:div>
        <w:div w:id="567886032">
          <w:marLeft w:val="0"/>
          <w:marRight w:val="0"/>
          <w:marTop w:val="0"/>
          <w:marBottom w:val="0"/>
          <w:divBdr>
            <w:top w:val="none" w:sz="0" w:space="0" w:color="auto"/>
            <w:left w:val="none" w:sz="0" w:space="0" w:color="auto"/>
            <w:bottom w:val="none" w:sz="0" w:space="0" w:color="auto"/>
            <w:right w:val="none" w:sz="0" w:space="0" w:color="auto"/>
          </w:divBdr>
        </w:div>
        <w:div w:id="568080257">
          <w:marLeft w:val="0"/>
          <w:marRight w:val="0"/>
          <w:marTop w:val="0"/>
          <w:marBottom w:val="0"/>
          <w:divBdr>
            <w:top w:val="none" w:sz="0" w:space="0" w:color="auto"/>
            <w:left w:val="none" w:sz="0" w:space="0" w:color="auto"/>
            <w:bottom w:val="none" w:sz="0" w:space="0" w:color="auto"/>
            <w:right w:val="none" w:sz="0" w:space="0" w:color="auto"/>
          </w:divBdr>
        </w:div>
        <w:div w:id="569317069">
          <w:marLeft w:val="0"/>
          <w:marRight w:val="0"/>
          <w:marTop w:val="0"/>
          <w:marBottom w:val="0"/>
          <w:divBdr>
            <w:top w:val="none" w:sz="0" w:space="0" w:color="auto"/>
            <w:left w:val="none" w:sz="0" w:space="0" w:color="auto"/>
            <w:bottom w:val="none" w:sz="0" w:space="0" w:color="auto"/>
            <w:right w:val="none" w:sz="0" w:space="0" w:color="auto"/>
          </w:divBdr>
        </w:div>
        <w:div w:id="570313790">
          <w:marLeft w:val="0"/>
          <w:marRight w:val="0"/>
          <w:marTop w:val="0"/>
          <w:marBottom w:val="0"/>
          <w:divBdr>
            <w:top w:val="none" w:sz="0" w:space="0" w:color="auto"/>
            <w:left w:val="none" w:sz="0" w:space="0" w:color="auto"/>
            <w:bottom w:val="none" w:sz="0" w:space="0" w:color="auto"/>
            <w:right w:val="none" w:sz="0" w:space="0" w:color="auto"/>
          </w:divBdr>
        </w:div>
        <w:div w:id="574781535">
          <w:marLeft w:val="0"/>
          <w:marRight w:val="0"/>
          <w:marTop w:val="0"/>
          <w:marBottom w:val="0"/>
          <w:divBdr>
            <w:top w:val="none" w:sz="0" w:space="0" w:color="auto"/>
            <w:left w:val="none" w:sz="0" w:space="0" w:color="auto"/>
            <w:bottom w:val="none" w:sz="0" w:space="0" w:color="auto"/>
            <w:right w:val="none" w:sz="0" w:space="0" w:color="auto"/>
          </w:divBdr>
        </w:div>
        <w:div w:id="576138660">
          <w:marLeft w:val="0"/>
          <w:marRight w:val="0"/>
          <w:marTop w:val="0"/>
          <w:marBottom w:val="0"/>
          <w:divBdr>
            <w:top w:val="none" w:sz="0" w:space="0" w:color="auto"/>
            <w:left w:val="none" w:sz="0" w:space="0" w:color="auto"/>
            <w:bottom w:val="none" w:sz="0" w:space="0" w:color="auto"/>
            <w:right w:val="none" w:sz="0" w:space="0" w:color="auto"/>
          </w:divBdr>
        </w:div>
        <w:div w:id="576789646">
          <w:marLeft w:val="0"/>
          <w:marRight w:val="0"/>
          <w:marTop w:val="0"/>
          <w:marBottom w:val="0"/>
          <w:divBdr>
            <w:top w:val="none" w:sz="0" w:space="0" w:color="auto"/>
            <w:left w:val="none" w:sz="0" w:space="0" w:color="auto"/>
            <w:bottom w:val="none" w:sz="0" w:space="0" w:color="auto"/>
            <w:right w:val="none" w:sz="0" w:space="0" w:color="auto"/>
          </w:divBdr>
        </w:div>
        <w:div w:id="577180862">
          <w:marLeft w:val="0"/>
          <w:marRight w:val="0"/>
          <w:marTop w:val="0"/>
          <w:marBottom w:val="0"/>
          <w:divBdr>
            <w:top w:val="none" w:sz="0" w:space="0" w:color="auto"/>
            <w:left w:val="none" w:sz="0" w:space="0" w:color="auto"/>
            <w:bottom w:val="none" w:sz="0" w:space="0" w:color="auto"/>
            <w:right w:val="none" w:sz="0" w:space="0" w:color="auto"/>
          </w:divBdr>
        </w:div>
        <w:div w:id="580917423">
          <w:marLeft w:val="0"/>
          <w:marRight w:val="0"/>
          <w:marTop w:val="0"/>
          <w:marBottom w:val="0"/>
          <w:divBdr>
            <w:top w:val="none" w:sz="0" w:space="0" w:color="auto"/>
            <w:left w:val="none" w:sz="0" w:space="0" w:color="auto"/>
            <w:bottom w:val="none" w:sz="0" w:space="0" w:color="auto"/>
            <w:right w:val="none" w:sz="0" w:space="0" w:color="auto"/>
          </w:divBdr>
        </w:div>
        <w:div w:id="584534261">
          <w:marLeft w:val="0"/>
          <w:marRight w:val="0"/>
          <w:marTop w:val="0"/>
          <w:marBottom w:val="0"/>
          <w:divBdr>
            <w:top w:val="none" w:sz="0" w:space="0" w:color="auto"/>
            <w:left w:val="none" w:sz="0" w:space="0" w:color="auto"/>
            <w:bottom w:val="none" w:sz="0" w:space="0" w:color="auto"/>
            <w:right w:val="none" w:sz="0" w:space="0" w:color="auto"/>
          </w:divBdr>
        </w:div>
        <w:div w:id="585306505">
          <w:marLeft w:val="0"/>
          <w:marRight w:val="0"/>
          <w:marTop w:val="0"/>
          <w:marBottom w:val="0"/>
          <w:divBdr>
            <w:top w:val="none" w:sz="0" w:space="0" w:color="auto"/>
            <w:left w:val="none" w:sz="0" w:space="0" w:color="auto"/>
            <w:bottom w:val="none" w:sz="0" w:space="0" w:color="auto"/>
            <w:right w:val="none" w:sz="0" w:space="0" w:color="auto"/>
          </w:divBdr>
        </w:div>
        <w:div w:id="585769920">
          <w:marLeft w:val="0"/>
          <w:marRight w:val="0"/>
          <w:marTop w:val="0"/>
          <w:marBottom w:val="0"/>
          <w:divBdr>
            <w:top w:val="none" w:sz="0" w:space="0" w:color="auto"/>
            <w:left w:val="none" w:sz="0" w:space="0" w:color="auto"/>
            <w:bottom w:val="none" w:sz="0" w:space="0" w:color="auto"/>
            <w:right w:val="none" w:sz="0" w:space="0" w:color="auto"/>
          </w:divBdr>
        </w:div>
        <w:div w:id="586885818">
          <w:marLeft w:val="0"/>
          <w:marRight w:val="0"/>
          <w:marTop w:val="0"/>
          <w:marBottom w:val="0"/>
          <w:divBdr>
            <w:top w:val="none" w:sz="0" w:space="0" w:color="auto"/>
            <w:left w:val="none" w:sz="0" w:space="0" w:color="auto"/>
            <w:bottom w:val="none" w:sz="0" w:space="0" w:color="auto"/>
            <w:right w:val="none" w:sz="0" w:space="0" w:color="auto"/>
          </w:divBdr>
        </w:div>
        <w:div w:id="588394322">
          <w:marLeft w:val="0"/>
          <w:marRight w:val="0"/>
          <w:marTop w:val="0"/>
          <w:marBottom w:val="0"/>
          <w:divBdr>
            <w:top w:val="none" w:sz="0" w:space="0" w:color="auto"/>
            <w:left w:val="none" w:sz="0" w:space="0" w:color="auto"/>
            <w:bottom w:val="none" w:sz="0" w:space="0" w:color="auto"/>
            <w:right w:val="none" w:sz="0" w:space="0" w:color="auto"/>
          </w:divBdr>
        </w:div>
        <w:div w:id="589194684">
          <w:marLeft w:val="0"/>
          <w:marRight w:val="0"/>
          <w:marTop w:val="0"/>
          <w:marBottom w:val="0"/>
          <w:divBdr>
            <w:top w:val="none" w:sz="0" w:space="0" w:color="auto"/>
            <w:left w:val="none" w:sz="0" w:space="0" w:color="auto"/>
            <w:bottom w:val="none" w:sz="0" w:space="0" w:color="auto"/>
            <w:right w:val="none" w:sz="0" w:space="0" w:color="auto"/>
          </w:divBdr>
        </w:div>
        <w:div w:id="591856464">
          <w:marLeft w:val="0"/>
          <w:marRight w:val="0"/>
          <w:marTop w:val="0"/>
          <w:marBottom w:val="0"/>
          <w:divBdr>
            <w:top w:val="none" w:sz="0" w:space="0" w:color="auto"/>
            <w:left w:val="none" w:sz="0" w:space="0" w:color="auto"/>
            <w:bottom w:val="none" w:sz="0" w:space="0" w:color="auto"/>
            <w:right w:val="none" w:sz="0" w:space="0" w:color="auto"/>
          </w:divBdr>
        </w:div>
        <w:div w:id="593441498">
          <w:marLeft w:val="0"/>
          <w:marRight w:val="0"/>
          <w:marTop w:val="0"/>
          <w:marBottom w:val="0"/>
          <w:divBdr>
            <w:top w:val="none" w:sz="0" w:space="0" w:color="auto"/>
            <w:left w:val="none" w:sz="0" w:space="0" w:color="auto"/>
            <w:bottom w:val="none" w:sz="0" w:space="0" w:color="auto"/>
            <w:right w:val="none" w:sz="0" w:space="0" w:color="auto"/>
          </w:divBdr>
        </w:div>
        <w:div w:id="593511745">
          <w:marLeft w:val="0"/>
          <w:marRight w:val="0"/>
          <w:marTop w:val="0"/>
          <w:marBottom w:val="0"/>
          <w:divBdr>
            <w:top w:val="none" w:sz="0" w:space="0" w:color="auto"/>
            <w:left w:val="none" w:sz="0" w:space="0" w:color="auto"/>
            <w:bottom w:val="none" w:sz="0" w:space="0" w:color="auto"/>
            <w:right w:val="none" w:sz="0" w:space="0" w:color="auto"/>
          </w:divBdr>
        </w:div>
        <w:div w:id="593587313">
          <w:marLeft w:val="0"/>
          <w:marRight w:val="0"/>
          <w:marTop w:val="0"/>
          <w:marBottom w:val="0"/>
          <w:divBdr>
            <w:top w:val="none" w:sz="0" w:space="0" w:color="auto"/>
            <w:left w:val="none" w:sz="0" w:space="0" w:color="auto"/>
            <w:bottom w:val="none" w:sz="0" w:space="0" w:color="auto"/>
            <w:right w:val="none" w:sz="0" w:space="0" w:color="auto"/>
          </w:divBdr>
        </w:div>
        <w:div w:id="596211328">
          <w:marLeft w:val="0"/>
          <w:marRight w:val="0"/>
          <w:marTop w:val="0"/>
          <w:marBottom w:val="0"/>
          <w:divBdr>
            <w:top w:val="none" w:sz="0" w:space="0" w:color="auto"/>
            <w:left w:val="none" w:sz="0" w:space="0" w:color="auto"/>
            <w:bottom w:val="none" w:sz="0" w:space="0" w:color="auto"/>
            <w:right w:val="none" w:sz="0" w:space="0" w:color="auto"/>
          </w:divBdr>
        </w:div>
        <w:div w:id="600451668">
          <w:marLeft w:val="0"/>
          <w:marRight w:val="0"/>
          <w:marTop w:val="0"/>
          <w:marBottom w:val="0"/>
          <w:divBdr>
            <w:top w:val="none" w:sz="0" w:space="0" w:color="auto"/>
            <w:left w:val="none" w:sz="0" w:space="0" w:color="auto"/>
            <w:bottom w:val="none" w:sz="0" w:space="0" w:color="auto"/>
            <w:right w:val="none" w:sz="0" w:space="0" w:color="auto"/>
          </w:divBdr>
        </w:div>
        <w:div w:id="601456387">
          <w:marLeft w:val="0"/>
          <w:marRight w:val="0"/>
          <w:marTop w:val="0"/>
          <w:marBottom w:val="0"/>
          <w:divBdr>
            <w:top w:val="none" w:sz="0" w:space="0" w:color="auto"/>
            <w:left w:val="none" w:sz="0" w:space="0" w:color="auto"/>
            <w:bottom w:val="none" w:sz="0" w:space="0" w:color="auto"/>
            <w:right w:val="none" w:sz="0" w:space="0" w:color="auto"/>
          </w:divBdr>
        </w:div>
        <w:div w:id="603341068">
          <w:marLeft w:val="0"/>
          <w:marRight w:val="0"/>
          <w:marTop w:val="0"/>
          <w:marBottom w:val="0"/>
          <w:divBdr>
            <w:top w:val="none" w:sz="0" w:space="0" w:color="auto"/>
            <w:left w:val="none" w:sz="0" w:space="0" w:color="auto"/>
            <w:bottom w:val="none" w:sz="0" w:space="0" w:color="auto"/>
            <w:right w:val="none" w:sz="0" w:space="0" w:color="auto"/>
          </w:divBdr>
        </w:div>
        <w:div w:id="603616140">
          <w:marLeft w:val="0"/>
          <w:marRight w:val="0"/>
          <w:marTop w:val="0"/>
          <w:marBottom w:val="0"/>
          <w:divBdr>
            <w:top w:val="none" w:sz="0" w:space="0" w:color="auto"/>
            <w:left w:val="none" w:sz="0" w:space="0" w:color="auto"/>
            <w:bottom w:val="none" w:sz="0" w:space="0" w:color="auto"/>
            <w:right w:val="none" w:sz="0" w:space="0" w:color="auto"/>
          </w:divBdr>
        </w:div>
        <w:div w:id="606890855">
          <w:marLeft w:val="0"/>
          <w:marRight w:val="0"/>
          <w:marTop w:val="0"/>
          <w:marBottom w:val="0"/>
          <w:divBdr>
            <w:top w:val="none" w:sz="0" w:space="0" w:color="auto"/>
            <w:left w:val="none" w:sz="0" w:space="0" w:color="auto"/>
            <w:bottom w:val="none" w:sz="0" w:space="0" w:color="auto"/>
            <w:right w:val="none" w:sz="0" w:space="0" w:color="auto"/>
          </w:divBdr>
        </w:div>
        <w:div w:id="608126702">
          <w:marLeft w:val="0"/>
          <w:marRight w:val="0"/>
          <w:marTop w:val="0"/>
          <w:marBottom w:val="0"/>
          <w:divBdr>
            <w:top w:val="none" w:sz="0" w:space="0" w:color="auto"/>
            <w:left w:val="none" w:sz="0" w:space="0" w:color="auto"/>
            <w:bottom w:val="none" w:sz="0" w:space="0" w:color="auto"/>
            <w:right w:val="none" w:sz="0" w:space="0" w:color="auto"/>
          </w:divBdr>
        </w:div>
        <w:div w:id="609893861">
          <w:marLeft w:val="0"/>
          <w:marRight w:val="0"/>
          <w:marTop w:val="0"/>
          <w:marBottom w:val="0"/>
          <w:divBdr>
            <w:top w:val="none" w:sz="0" w:space="0" w:color="auto"/>
            <w:left w:val="none" w:sz="0" w:space="0" w:color="auto"/>
            <w:bottom w:val="none" w:sz="0" w:space="0" w:color="auto"/>
            <w:right w:val="none" w:sz="0" w:space="0" w:color="auto"/>
          </w:divBdr>
          <w:divsChild>
            <w:div w:id="346567178">
              <w:marLeft w:val="0"/>
              <w:marRight w:val="0"/>
              <w:marTop w:val="0"/>
              <w:marBottom w:val="0"/>
              <w:divBdr>
                <w:top w:val="none" w:sz="0" w:space="0" w:color="auto"/>
                <w:left w:val="none" w:sz="0" w:space="0" w:color="auto"/>
                <w:bottom w:val="none" w:sz="0" w:space="0" w:color="auto"/>
                <w:right w:val="none" w:sz="0" w:space="0" w:color="auto"/>
              </w:divBdr>
            </w:div>
            <w:div w:id="349992721">
              <w:marLeft w:val="0"/>
              <w:marRight w:val="0"/>
              <w:marTop w:val="0"/>
              <w:marBottom w:val="0"/>
              <w:divBdr>
                <w:top w:val="none" w:sz="0" w:space="0" w:color="auto"/>
                <w:left w:val="none" w:sz="0" w:space="0" w:color="auto"/>
                <w:bottom w:val="none" w:sz="0" w:space="0" w:color="auto"/>
                <w:right w:val="none" w:sz="0" w:space="0" w:color="auto"/>
              </w:divBdr>
            </w:div>
            <w:div w:id="454106180">
              <w:marLeft w:val="0"/>
              <w:marRight w:val="0"/>
              <w:marTop w:val="0"/>
              <w:marBottom w:val="0"/>
              <w:divBdr>
                <w:top w:val="none" w:sz="0" w:space="0" w:color="auto"/>
                <w:left w:val="none" w:sz="0" w:space="0" w:color="auto"/>
                <w:bottom w:val="none" w:sz="0" w:space="0" w:color="auto"/>
                <w:right w:val="none" w:sz="0" w:space="0" w:color="auto"/>
              </w:divBdr>
            </w:div>
            <w:div w:id="608779867">
              <w:marLeft w:val="0"/>
              <w:marRight w:val="0"/>
              <w:marTop w:val="0"/>
              <w:marBottom w:val="0"/>
              <w:divBdr>
                <w:top w:val="none" w:sz="0" w:space="0" w:color="auto"/>
                <w:left w:val="none" w:sz="0" w:space="0" w:color="auto"/>
                <w:bottom w:val="none" w:sz="0" w:space="0" w:color="auto"/>
                <w:right w:val="none" w:sz="0" w:space="0" w:color="auto"/>
              </w:divBdr>
            </w:div>
            <w:div w:id="663431248">
              <w:marLeft w:val="0"/>
              <w:marRight w:val="0"/>
              <w:marTop w:val="0"/>
              <w:marBottom w:val="0"/>
              <w:divBdr>
                <w:top w:val="none" w:sz="0" w:space="0" w:color="auto"/>
                <w:left w:val="none" w:sz="0" w:space="0" w:color="auto"/>
                <w:bottom w:val="none" w:sz="0" w:space="0" w:color="auto"/>
                <w:right w:val="none" w:sz="0" w:space="0" w:color="auto"/>
              </w:divBdr>
            </w:div>
            <w:div w:id="744768708">
              <w:marLeft w:val="0"/>
              <w:marRight w:val="0"/>
              <w:marTop w:val="0"/>
              <w:marBottom w:val="0"/>
              <w:divBdr>
                <w:top w:val="none" w:sz="0" w:space="0" w:color="auto"/>
                <w:left w:val="none" w:sz="0" w:space="0" w:color="auto"/>
                <w:bottom w:val="none" w:sz="0" w:space="0" w:color="auto"/>
                <w:right w:val="none" w:sz="0" w:space="0" w:color="auto"/>
              </w:divBdr>
            </w:div>
            <w:div w:id="775640937">
              <w:marLeft w:val="0"/>
              <w:marRight w:val="0"/>
              <w:marTop w:val="0"/>
              <w:marBottom w:val="0"/>
              <w:divBdr>
                <w:top w:val="none" w:sz="0" w:space="0" w:color="auto"/>
                <w:left w:val="none" w:sz="0" w:space="0" w:color="auto"/>
                <w:bottom w:val="none" w:sz="0" w:space="0" w:color="auto"/>
                <w:right w:val="none" w:sz="0" w:space="0" w:color="auto"/>
              </w:divBdr>
            </w:div>
            <w:div w:id="793409512">
              <w:marLeft w:val="0"/>
              <w:marRight w:val="0"/>
              <w:marTop w:val="0"/>
              <w:marBottom w:val="0"/>
              <w:divBdr>
                <w:top w:val="none" w:sz="0" w:space="0" w:color="auto"/>
                <w:left w:val="none" w:sz="0" w:space="0" w:color="auto"/>
                <w:bottom w:val="none" w:sz="0" w:space="0" w:color="auto"/>
                <w:right w:val="none" w:sz="0" w:space="0" w:color="auto"/>
              </w:divBdr>
            </w:div>
            <w:div w:id="1196652358">
              <w:marLeft w:val="0"/>
              <w:marRight w:val="0"/>
              <w:marTop w:val="0"/>
              <w:marBottom w:val="0"/>
              <w:divBdr>
                <w:top w:val="none" w:sz="0" w:space="0" w:color="auto"/>
                <w:left w:val="none" w:sz="0" w:space="0" w:color="auto"/>
                <w:bottom w:val="none" w:sz="0" w:space="0" w:color="auto"/>
                <w:right w:val="none" w:sz="0" w:space="0" w:color="auto"/>
              </w:divBdr>
            </w:div>
            <w:div w:id="1202401704">
              <w:marLeft w:val="0"/>
              <w:marRight w:val="0"/>
              <w:marTop w:val="0"/>
              <w:marBottom w:val="0"/>
              <w:divBdr>
                <w:top w:val="none" w:sz="0" w:space="0" w:color="auto"/>
                <w:left w:val="none" w:sz="0" w:space="0" w:color="auto"/>
                <w:bottom w:val="none" w:sz="0" w:space="0" w:color="auto"/>
                <w:right w:val="none" w:sz="0" w:space="0" w:color="auto"/>
              </w:divBdr>
            </w:div>
            <w:div w:id="1358699669">
              <w:marLeft w:val="0"/>
              <w:marRight w:val="0"/>
              <w:marTop w:val="0"/>
              <w:marBottom w:val="0"/>
              <w:divBdr>
                <w:top w:val="none" w:sz="0" w:space="0" w:color="auto"/>
                <w:left w:val="none" w:sz="0" w:space="0" w:color="auto"/>
                <w:bottom w:val="none" w:sz="0" w:space="0" w:color="auto"/>
                <w:right w:val="none" w:sz="0" w:space="0" w:color="auto"/>
              </w:divBdr>
            </w:div>
            <w:div w:id="1586451843">
              <w:marLeft w:val="0"/>
              <w:marRight w:val="0"/>
              <w:marTop w:val="0"/>
              <w:marBottom w:val="0"/>
              <w:divBdr>
                <w:top w:val="none" w:sz="0" w:space="0" w:color="auto"/>
                <w:left w:val="none" w:sz="0" w:space="0" w:color="auto"/>
                <w:bottom w:val="none" w:sz="0" w:space="0" w:color="auto"/>
                <w:right w:val="none" w:sz="0" w:space="0" w:color="auto"/>
              </w:divBdr>
            </w:div>
            <w:div w:id="1655261517">
              <w:marLeft w:val="0"/>
              <w:marRight w:val="0"/>
              <w:marTop w:val="0"/>
              <w:marBottom w:val="0"/>
              <w:divBdr>
                <w:top w:val="none" w:sz="0" w:space="0" w:color="auto"/>
                <w:left w:val="none" w:sz="0" w:space="0" w:color="auto"/>
                <w:bottom w:val="none" w:sz="0" w:space="0" w:color="auto"/>
                <w:right w:val="none" w:sz="0" w:space="0" w:color="auto"/>
              </w:divBdr>
            </w:div>
            <w:div w:id="1705867475">
              <w:marLeft w:val="0"/>
              <w:marRight w:val="0"/>
              <w:marTop w:val="0"/>
              <w:marBottom w:val="0"/>
              <w:divBdr>
                <w:top w:val="none" w:sz="0" w:space="0" w:color="auto"/>
                <w:left w:val="none" w:sz="0" w:space="0" w:color="auto"/>
                <w:bottom w:val="none" w:sz="0" w:space="0" w:color="auto"/>
                <w:right w:val="none" w:sz="0" w:space="0" w:color="auto"/>
              </w:divBdr>
            </w:div>
            <w:div w:id="1741900046">
              <w:marLeft w:val="0"/>
              <w:marRight w:val="0"/>
              <w:marTop w:val="0"/>
              <w:marBottom w:val="0"/>
              <w:divBdr>
                <w:top w:val="none" w:sz="0" w:space="0" w:color="auto"/>
                <w:left w:val="none" w:sz="0" w:space="0" w:color="auto"/>
                <w:bottom w:val="none" w:sz="0" w:space="0" w:color="auto"/>
                <w:right w:val="none" w:sz="0" w:space="0" w:color="auto"/>
              </w:divBdr>
            </w:div>
            <w:div w:id="1970089658">
              <w:marLeft w:val="0"/>
              <w:marRight w:val="0"/>
              <w:marTop w:val="0"/>
              <w:marBottom w:val="0"/>
              <w:divBdr>
                <w:top w:val="none" w:sz="0" w:space="0" w:color="auto"/>
                <w:left w:val="none" w:sz="0" w:space="0" w:color="auto"/>
                <w:bottom w:val="none" w:sz="0" w:space="0" w:color="auto"/>
                <w:right w:val="none" w:sz="0" w:space="0" w:color="auto"/>
              </w:divBdr>
            </w:div>
          </w:divsChild>
        </w:div>
        <w:div w:id="612908439">
          <w:marLeft w:val="0"/>
          <w:marRight w:val="0"/>
          <w:marTop w:val="0"/>
          <w:marBottom w:val="0"/>
          <w:divBdr>
            <w:top w:val="none" w:sz="0" w:space="0" w:color="auto"/>
            <w:left w:val="none" w:sz="0" w:space="0" w:color="auto"/>
            <w:bottom w:val="none" w:sz="0" w:space="0" w:color="auto"/>
            <w:right w:val="none" w:sz="0" w:space="0" w:color="auto"/>
          </w:divBdr>
        </w:div>
        <w:div w:id="613290048">
          <w:marLeft w:val="0"/>
          <w:marRight w:val="0"/>
          <w:marTop w:val="0"/>
          <w:marBottom w:val="0"/>
          <w:divBdr>
            <w:top w:val="none" w:sz="0" w:space="0" w:color="auto"/>
            <w:left w:val="none" w:sz="0" w:space="0" w:color="auto"/>
            <w:bottom w:val="none" w:sz="0" w:space="0" w:color="auto"/>
            <w:right w:val="none" w:sz="0" w:space="0" w:color="auto"/>
          </w:divBdr>
        </w:div>
        <w:div w:id="614748217">
          <w:marLeft w:val="0"/>
          <w:marRight w:val="0"/>
          <w:marTop w:val="0"/>
          <w:marBottom w:val="0"/>
          <w:divBdr>
            <w:top w:val="none" w:sz="0" w:space="0" w:color="auto"/>
            <w:left w:val="none" w:sz="0" w:space="0" w:color="auto"/>
            <w:bottom w:val="none" w:sz="0" w:space="0" w:color="auto"/>
            <w:right w:val="none" w:sz="0" w:space="0" w:color="auto"/>
          </w:divBdr>
        </w:div>
        <w:div w:id="615602848">
          <w:marLeft w:val="0"/>
          <w:marRight w:val="0"/>
          <w:marTop w:val="0"/>
          <w:marBottom w:val="0"/>
          <w:divBdr>
            <w:top w:val="none" w:sz="0" w:space="0" w:color="auto"/>
            <w:left w:val="none" w:sz="0" w:space="0" w:color="auto"/>
            <w:bottom w:val="none" w:sz="0" w:space="0" w:color="auto"/>
            <w:right w:val="none" w:sz="0" w:space="0" w:color="auto"/>
          </w:divBdr>
        </w:div>
        <w:div w:id="618142864">
          <w:marLeft w:val="0"/>
          <w:marRight w:val="0"/>
          <w:marTop w:val="0"/>
          <w:marBottom w:val="0"/>
          <w:divBdr>
            <w:top w:val="none" w:sz="0" w:space="0" w:color="auto"/>
            <w:left w:val="none" w:sz="0" w:space="0" w:color="auto"/>
            <w:bottom w:val="none" w:sz="0" w:space="0" w:color="auto"/>
            <w:right w:val="none" w:sz="0" w:space="0" w:color="auto"/>
          </w:divBdr>
        </w:div>
        <w:div w:id="622464838">
          <w:marLeft w:val="0"/>
          <w:marRight w:val="0"/>
          <w:marTop w:val="0"/>
          <w:marBottom w:val="0"/>
          <w:divBdr>
            <w:top w:val="none" w:sz="0" w:space="0" w:color="auto"/>
            <w:left w:val="none" w:sz="0" w:space="0" w:color="auto"/>
            <w:bottom w:val="none" w:sz="0" w:space="0" w:color="auto"/>
            <w:right w:val="none" w:sz="0" w:space="0" w:color="auto"/>
          </w:divBdr>
        </w:div>
        <w:div w:id="622614731">
          <w:marLeft w:val="0"/>
          <w:marRight w:val="0"/>
          <w:marTop w:val="0"/>
          <w:marBottom w:val="0"/>
          <w:divBdr>
            <w:top w:val="none" w:sz="0" w:space="0" w:color="auto"/>
            <w:left w:val="none" w:sz="0" w:space="0" w:color="auto"/>
            <w:bottom w:val="none" w:sz="0" w:space="0" w:color="auto"/>
            <w:right w:val="none" w:sz="0" w:space="0" w:color="auto"/>
          </w:divBdr>
        </w:div>
        <w:div w:id="626548269">
          <w:marLeft w:val="0"/>
          <w:marRight w:val="0"/>
          <w:marTop w:val="0"/>
          <w:marBottom w:val="0"/>
          <w:divBdr>
            <w:top w:val="none" w:sz="0" w:space="0" w:color="auto"/>
            <w:left w:val="none" w:sz="0" w:space="0" w:color="auto"/>
            <w:bottom w:val="none" w:sz="0" w:space="0" w:color="auto"/>
            <w:right w:val="none" w:sz="0" w:space="0" w:color="auto"/>
          </w:divBdr>
          <w:divsChild>
            <w:div w:id="142237947">
              <w:marLeft w:val="0"/>
              <w:marRight w:val="0"/>
              <w:marTop w:val="0"/>
              <w:marBottom w:val="0"/>
              <w:divBdr>
                <w:top w:val="none" w:sz="0" w:space="0" w:color="auto"/>
                <w:left w:val="none" w:sz="0" w:space="0" w:color="auto"/>
                <w:bottom w:val="none" w:sz="0" w:space="0" w:color="auto"/>
                <w:right w:val="none" w:sz="0" w:space="0" w:color="auto"/>
              </w:divBdr>
            </w:div>
            <w:div w:id="289896391">
              <w:marLeft w:val="0"/>
              <w:marRight w:val="0"/>
              <w:marTop w:val="0"/>
              <w:marBottom w:val="0"/>
              <w:divBdr>
                <w:top w:val="none" w:sz="0" w:space="0" w:color="auto"/>
                <w:left w:val="none" w:sz="0" w:space="0" w:color="auto"/>
                <w:bottom w:val="none" w:sz="0" w:space="0" w:color="auto"/>
                <w:right w:val="none" w:sz="0" w:space="0" w:color="auto"/>
              </w:divBdr>
            </w:div>
            <w:div w:id="494229484">
              <w:marLeft w:val="0"/>
              <w:marRight w:val="0"/>
              <w:marTop w:val="0"/>
              <w:marBottom w:val="0"/>
              <w:divBdr>
                <w:top w:val="none" w:sz="0" w:space="0" w:color="auto"/>
                <w:left w:val="none" w:sz="0" w:space="0" w:color="auto"/>
                <w:bottom w:val="none" w:sz="0" w:space="0" w:color="auto"/>
                <w:right w:val="none" w:sz="0" w:space="0" w:color="auto"/>
              </w:divBdr>
            </w:div>
            <w:div w:id="558058955">
              <w:marLeft w:val="0"/>
              <w:marRight w:val="0"/>
              <w:marTop w:val="0"/>
              <w:marBottom w:val="0"/>
              <w:divBdr>
                <w:top w:val="none" w:sz="0" w:space="0" w:color="auto"/>
                <w:left w:val="none" w:sz="0" w:space="0" w:color="auto"/>
                <w:bottom w:val="none" w:sz="0" w:space="0" w:color="auto"/>
                <w:right w:val="none" w:sz="0" w:space="0" w:color="auto"/>
              </w:divBdr>
            </w:div>
            <w:div w:id="674037777">
              <w:marLeft w:val="0"/>
              <w:marRight w:val="0"/>
              <w:marTop w:val="0"/>
              <w:marBottom w:val="0"/>
              <w:divBdr>
                <w:top w:val="none" w:sz="0" w:space="0" w:color="auto"/>
                <w:left w:val="none" w:sz="0" w:space="0" w:color="auto"/>
                <w:bottom w:val="none" w:sz="0" w:space="0" w:color="auto"/>
                <w:right w:val="none" w:sz="0" w:space="0" w:color="auto"/>
              </w:divBdr>
            </w:div>
            <w:div w:id="697196555">
              <w:marLeft w:val="0"/>
              <w:marRight w:val="0"/>
              <w:marTop w:val="0"/>
              <w:marBottom w:val="0"/>
              <w:divBdr>
                <w:top w:val="none" w:sz="0" w:space="0" w:color="auto"/>
                <w:left w:val="none" w:sz="0" w:space="0" w:color="auto"/>
                <w:bottom w:val="none" w:sz="0" w:space="0" w:color="auto"/>
                <w:right w:val="none" w:sz="0" w:space="0" w:color="auto"/>
              </w:divBdr>
            </w:div>
            <w:div w:id="714818967">
              <w:marLeft w:val="0"/>
              <w:marRight w:val="0"/>
              <w:marTop w:val="0"/>
              <w:marBottom w:val="0"/>
              <w:divBdr>
                <w:top w:val="none" w:sz="0" w:space="0" w:color="auto"/>
                <w:left w:val="none" w:sz="0" w:space="0" w:color="auto"/>
                <w:bottom w:val="none" w:sz="0" w:space="0" w:color="auto"/>
                <w:right w:val="none" w:sz="0" w:space="0" w:color="auto"/>
              </w:divBdr>
            </w:div>
            <w:div w:id="733313253">
              <w:marLeft w:val="0"/>
              <w:marRight w:val="0"/>
              <w:marTop w:val="0"/>
              <w:marBottom w:val="0"/>
              <w:divBdr>
                <w:top w:val="none" w:sz="0" w:space="0" w:color="auto"/>
                <w:left w:val="none" w:sz="0" w:space="0" w:color="auto"/>
                <w:bottom w:val="none" w:sz="0" w:space="0" w:color="auto"/>
                <w:right w:val="none" w:sz="0" w:space="0" w:color="auto"/>
              </w:divBdr>
            </w:div>
            <w:div w:id="750394600">
              <w:marLeft w:val="0"/>
              <w:marRight w:val="0"/>
              <w:marTop w:val="0"/>
              <w:marBottom w:val="0"/>
              <w:divBdr>
                <w:top w:val="none" w:sz="0" w:space="0" w:color="auto"/>
                <w:left w:val="none" w:sz="0" w:space="0" w:color="auto"/>
                <w:bottom w:val="none" w:sz="0" w:space="0" w:color="auto"/>
                <w:right w:val="none" w:sz="0" w:space="0" w:color="auto"/>
              </w:divBdr>
            </w:div>
            <w:div w:id="874661090">
              <w:marLeft w:val="0"/>
              <w:marRight w:val="0"/>
              <w:marTop w:val="0"/>
              <w:marBottom w:val="0"/>
              <w:divBdr>
                <w:top w:val="none" w:sz="0" w:space="0" w:color="auto"/>
                <w:left w:val="none" w:sz="0" w:space="0" w:color="auto"/>
                <w:bottom w:val="none" w:sz="0" w:space="0" w:color="auto"/>
                <w:right w:val="none" w:sz="0" w:space="0" w:color="auto"/>
              </w:divBdr>
            </w:div>
            <w:div w:id="995451723">
              <w:marLeft w:val="0"/>
              <w:marRight w:val="0"/>
              <w:marTop w:val="0"/>
              <w:marBottom w:val="0"/>
              <w:divBdr>
                <w:top w:val="none" w:sz="0" w:space="0" w:color="auto"/>
                <w:left w:val="none" w:sz="0" w:space="0" w:color="auto"/>
                <w:bottom w:val="none" w:sz="0" w:space="0" w:color="auto"/>
                <w:right w:val="none" w:sz="0" w:space="0" w:color="auto"/>
              </w:divBdr>
            </w:div>
            <w:div w:id="1143154377">
              <w:marLeft w:val="0"/>
              <w:marRight w:val="0"/>
              <w:marTop w:val="0"/>
              <w:marBottom w:val="0"/>
              <w:divBdr>
                <w:top w:val="none" w:sz="0" w:space="0" w:color="auto"/>
                <w:left w:val="none" w:sz="0" w:space="0" w:color="auto"/>
                <w:bottom w:val="none" w:sz="0" w:space="0" w:color="auto"/>
                <w:right w:val="none" w:sz="0" w:space="0" w:color="auto"/>
              </w:divBdr>
            </w:div>
            <w:div w:id="1228102804">
              <w:marLeft w:val="0"/>
              <w:marRight w:val="0"/>
              <w:marTop w:val="0"/>
              <w:marBottom w:val="0"/>
              <w:divBdr>
                <w:top w:val="none" w:sz="0" w:space="0" w:color="auto"/>
                <w:left w:val="none" w:sz="0" w:space="0" w:color="auto"/>
                <w:bottom w:val="none" w:sz="0" w:space="0" w:color="auto"/>
                <w:right w:val="none" w:sz="0" w:space="0" w:color="auto"/>
              </w:divBdr>
            </w:div>
            <w:div w:id="1243219789">
              <w:marLeft w:val="0"/>
              <w:marRight w:val="0"/>
              <w:marTop w:val="0"/>
              <w:marBottom w:val="0"/>
              <w:divBdr>
                <w:top w:val="none" w:sz="0" w:space="0" w:color="auto"/>
                <w:left w:val="none" w:sz="0" w:space="0" w:color="auto"/>
                <w:bottom w:val="none" w:sz="0" w:space="0" w:color="auto"/>
                <w:right w:val="none" w:sz="0" w:space="0" w:color="auto"/>
              </w:divBdr>
            </w:div>
            <w:div w:id="1460491504">
              <w:marLeft w:val="0"/>
              <w:marRight w:val="0"/>
              <w:marTop w:val="0"/>
              <w:marBottom w:val="0"/>
              <w:divBdr>
                <w:top w:val="none" w:sz="0" w:space="0" w:color="auto"/>
                <w:left w:val="none" w:sz="0" w:space="0" w:color="auto"/>
                <w:bottom w:val="none" w:sz="0" w:space="0" w:color="auto"/>
                <w:right w:val="none" w:sz="0" w:space="0" w:color="auto"/>
              </w:divBdr>
            </w:div>
            <w:div w:id="1727559778">
              <w:marLeft w:val="0"/>
              <w:marRight w:val="0"/>
              <w:marTop w:val="0"/>
              <w:marBottom w:val="0"/>
              <w:divBdr>
                <w:top w:val="none" w:sz="0" w:space="0" w:color="auto"/>
                <w:left w:val="none" w:sz="0" w:space="0" w:color="auto"/>
                <w:bottom w:val="none" w:sz="0" w:space="0" w:color="auto"/>
                <w:right w:val="none" w:sz="0" w:space="0" w:color="auto"/>
              </w:divBdr>
            </w:div>
            <w:div w:id="1990282227">
              <w:marLeft w:val="0"/>
              <w:marRight w:val="0"/>
              <w:marTop w:val="0"/>
              <w:marBottom w:val="0"/>
              <w:divBdr>
                <w:top w:val="none" w:sz="0" w:space="0" w:color="auto"/>
                <w:left w:val="none" w:sz="0" w:space="0" w:color="auto"/>
                <w:bottom w:val="none" w:sz="0" w:space="0" w:color="auto"/>
                <w:right w:val="none" w:sz="0" w:space="0" w:color="auto"/>
              </w:divBdr>
            </w:div>
            <w:div w:id="2000306302">
              <w:marLeft w:val="0"/>
              <w:marRight w:val="0"/>
              <w:marTop w:val="0"/>
              <w:marBottom w:val="0"/>
              <w:divBdr>
                <w:top w:val="none" w:sz="0" w:space="0" w:color="auto"/>
                <w:left w:val="none" w:sz="0" w:space="0" w:color="auto"/>
                <w:bottom w:val="none" w:sz="0" w:space="0" w:color="auto"/>
                <w:right w:val="none" w:sz="0" w:space="0" w:color="auto"/>
              </w:divBdr>
            </w:div>
          </w:divsChild>
        </w:div>
        <w:div w:id="626735945">
          <w:marLeft w:val="0"/>
          <w:marRight w:val="0"/>
          <w:marTop w:val="0"/>
          <w:marBottom w:val="0"/>
          <w:divBdr>
            <w:top w:val="none" w:sz="0" w:space="0" w:color="auto"/>
            <w:left w:val="none" w:sz="0" w:space="0" w:color="auto"/>
            <w:bottom w:val="none" w:sz="0" w:space="0" w:color="auto"/>
            <w:right w:val="none" w:sz="0" w:space="0" w:color="auto"/>
          </w:divBdr>
        </w:div>
        <w:div w:id="627779371">
          <w:marLeft w:val="0"/>
          <w:marRight w:val="0"/>
          <w:marTop w:val="0"/>
          <w:marBottom w:val="0"/>
          <w:divBdr>
            <w:top w:val="none" w:sz="0" w:space="0" w:color="auto"/>
            <w:left w:val="none" w:sz="0" w:space="0" w:color="auto"/>
            <w:bottom w:val="none" w:sz="0" w:space="0" w:color="auto"/>
            <w:right w:val="none" w:sz="0" w:space="0" w:color="auto"/>
          </w:divBdr>
        </w:div>
        <w:div w:id="629282950">
          <w:marLeft w:val="0"/>
          <w:marRight w:val="0"/>
          <w:marTop w:val="0"/>
          <w:marBottom w:val="0"/>
          <w:divBdr>
            <w:top w:val="none" w:sz="0" w:space="0" w:color="auto"/>
            <w:left w:val="none" w:sz="0" w:space="0" w:color="auto"/>
            <w:bottom w:val="none" w:sz="0" w:space="0" w:color="auto"/>
            <w:right w:val="none" w:sz="0" w:space="0" w:color="auto"/>
          </w:divBdr>
        </w:div>
        <w:div w:id="633219476">
          <w:marLeft w:val="0"/>
          <w:marRight w:val="0"/>
          <w:marTop w:val="0"/>
          <w:marBottom w:val="0"/>
          <w:divBdr>
            <w:top w:val="none" w:sz="0" w:space="0" w:color="auto"/>
            <w:left w:val="none" w:sz="0" w:space="0" w:color="auto"/>
            <w:bottom w:val="none" w:sz="0" w:space="0" w:color="auto"/>
            <w:right w:val="none" w:sz="0" w:space="0" w:color="auto"/>
          </w:divBdr>
        </w:div>
        <w:div w:id="633873434">
          <w:marLeft w:val="0"/>
          <w:marRight w:val="0"/>
          <w:marTop w:val="0"/>
          <w:marBottom w:val="0"/>
          <w:divBdr>
            <w:top w:val="none" w:sz="0" w:space="0" w:color="auto"/>
            <w:left w:val="none" w:sz="0" w:space="0" w:color="auto"/>
            <w:bottom w:val="none" w:sz="0" w:space="0" w:color="auto"/>
            <w:right w:val="none" w:sz="0" w:space="0" w:color="auto"/>
          </w:divBdr>
        </w:div>
        <w:div w:id="634405884">
          <w:marLeft w:val="0"/>
          <w:marRight w:val="0"/>
          <w:marTop w:val="0"/>
          <w:marBottom w:val="0"/>
          <w:divBdr>
            <w:top w:val="none" w:sz="0" w:space="0" w:color="auto"/>
            <w:left w:val="none" w:sz="0" w:space="0" w:color="auto"/>
            <w:bottom w:val="none" w:sz="0" w:space="0" w:color="auto"/>
            <w:right w:val="none" w:sz="0" w:space="0" w:color="auto"/>
          </w:divBdr>
        </w:div>
        <w:div w:id="639070781">
          <w:marLeft w:val="0"/>
          <w:marRight w:val="0"/>
          <w:marTop w:val="0"/>
          <w:marBottom w:val="0"/>
          <w:divBdr>
            <w:top w:val="none" w:sz="0" w:space="0" w:color="auto"/>
            <w:left w:val="none" w:sz="0" w:space="0" w:color="auto"/>
            <w:bottom w:val="none" w:sz="0" w:space="0" w:color="auto"/>
            <w:right w:val="none" w:sz="0" w:space="0" w:color="auto"/>
          </w:divBdr>
        </w:div>
        <w:div w:id="640037219">
          <w:marLeft w:val="0"/>
          <w:marRight w:val="0"/>
          <w:marTop w:val="0"/>
          <w:marBottom w:val="0"/>
          <w:divBdr>
            <w:top w:val="none" w:sz="0" w:space="0" w:color="auto"/>
            <w:left w:val="none" w:sz="0" w:space="0" w:color="auto"/>
            <w:bottom w:val="none" w:sz="0" w:space="0" w:color="auto"/>
            <w:right w:val="none" w:sz="0" w:space="0" w:color="auto"/>
          </w:divBdr>
        </w:div>
        <w:div w:id="640308089">
          <w:marLeft w:val="0"/>
          <w:marRight w:val="0"/>
          <w:marTop w:val="0"/>
          <w:marBottom w:val="0"/>
          <w:divBdr>
            <w:top w:val="none" w:sz="0" w:space="0" w:color="auto"/>
            <w:left w:val="none" w:sz="0" w:space="0" w:color="auto"/>
            <w:bottom w:val="none" w:sz="0" w:space="0" w:color="auto"/>
            <w:right w:val="none" w:sz="0" w:space="0" w:color="auto"/>
          </w:divBdr>
        </w:div>
        <w:div w:id="645743191">
          <w:marLeft w:val="0"/>
          <w:marRight w:val="0"/>
          <w:marTop w:val="0"/>
          <w:marBottom w:val="0"/>
          <w:divBdr>
            <w:top w:val="none" w:sz="0" w:space="0" w:color="auto"/>
            <w:left w:val="none" w:sz="0" w:space="0" w:color="auto"/>
            <w:bottom w:val="none" w:sz="0" w:space="0" w:color="auto"/>
            <w:right w:val="none" w:sz="0" w:space="0" w:color="auto"/>
          </w:divBdr>
        </w:div>
        <w:div w:id="646394038">
          <w:marLeft w:val="0"/>
          <w:marRight w:val="0"/>
          <w:marTop w:val="0"/>
          <w:marBottom w:val="0"/>
          <w:divBdr>
            <w:top w:val="none" w:sz="0" w:space="0" w:color="auto"/>
            <w:left w:val="none" w:sz="0" w:space="0" w:color="auto"/>
            <w:bottom w:val="none" w:sz="0" w:space="0" w:color="auto"/>
            <w:right w:val="none" w:sz="0" w:space="0" w:color="auto"/>
          </w:divBdr>
        </w:div>
        <w:div w:id="646858986">
          <w:marLeft w:val="0"/>
          <w:marRight w:val="0"/>
          <w:marTop w:val="0"/>
          <w:marBottom w:val="0"/>
          <w:divBdr>
            <w:top w:val="none" w:sz="0" w:space="0" w:color="auto"/>
            <w:left w:val="none" w:sz="0" w:space="0" w:color="auto"/>
            <w:bottom w:val="none" w:sz="0" w:space="0" w:color="auto"/>
            <w:right w:val="none" w:sz="0" w:space="0" w:color="auto"/>
          </w:divBdr>
        </w:div>
        <w:div w:id="649409298">
          <w:marLeft w:val="0"/>
          <w:marRight w:val="0"/>
          <w:marTop w:val="0"/>
          <w:marBottom w:val="0"/>
          <w:divBdr>
            <w:top w:val="none" w:sz="0" w:space="0" w:color="auto"/>
            <w:left w:val="none" w:sz="0" w:space="0" w:color="auto"/>
            <w:bottom w:val="none" w:sz="0" w:space="0" w:color="auto"/>
            <w:right w:val="none" w:sz="0" w:space="0" w:color="auto"/>
          </w:divBdr>
        </w:div>
        <w:div w:id="651445415">
          <w:marLeft w:val="0"/>
          <w:marRight w:val="0"/>
          <w:marTop w:val="0"/>
          <w:marBottom w:val="0"/>
          <w:divBdr>
            <w:top w:val="none" w:sz="0" w:space="0" w:color="auto"/>
            <w:left w:val="none" w:sz="0" w:space="0" w:color="auto"/>
            <w:bottom w:val="none" w:sz="0" w:space="0" w:color="auto"/>
            <w:right w:val="none" w:sz="0" w:space="0" w:color="auto"/>
          </w:divBdr>
        </w:div>
        <w:div w:id="651645487">
          <w:marLeft w:val="0"/>
          <w:marRight w:val="0"/>
          <w:marTop w:val="0"/>
          <w:marBottom w:val="0"/>
          <w:divBdr>
            <w:top w:val="none" w:sz="0" w:space="0" w:color="auto"/>
            <w:left w:val="none" w:sz="0" w:space="0" w:color="auto"/>
            <w:bottom w:val="none" w:sz="0" w:space="0" w:color="auto"/>
            <w:right w:val="none" w:sz="0" w:space="0" w:color="auto"/>
          </w:divBdr>
        </w:div>
        <w:div w:id="651832037">
          <w:marLeft w:val="0"/>
          <w:marRight w:val="0"/>
          <w:marTop w:val="0"/>
          <w:marBottom w:val="0"/>
          <w:divBdr>
            <w:top w:val="none" w:sz="0" w:space="0" w:color="auto"/>
            <w:left w:val="none" w:sz="0" w:space="0" w:color="auto"/>
            <w:bottom w:val="none" w:sz="0" w:space="0" w:color="auto"/>
            <w:right w:val="none" w:sz="0" w:space="0" w:color="auto"/>
          </w:divBdr>
        </w:div>
        <w:div w:id="651953494">
          <w:marLeft w:val="0"/>
          <w:marRight w:val="0"/>
          <w:marTop w:val="0"/>
          <w:marBottom w:val="0"/>
          <w:divBdr>
            <w:top w:val="none" w:sz="0" w:space="0" w:color="auto"/>
            <w:left w:val="none" w:sz="0" w:space="0" w:color="auto"/>
            <w:bottom w:val="none" w:sz="0" w:space="0" w:color="auto"/>
            <w:right w:val="none" w:sz="0" w:space="0" w:color="auto"/>
          </w:divBdr>
          <w:divsChild>
            <w:div w:id="178663057">
              <w:marLeft w:val="0"/>
              <w:marRight w:val="0"/>
              <w:marTop w:val="0"/>
              <w:marBottom w:val="0"/>
              <w:divBdr>
                <w:top w:val="none" w:sz="0" w:space="0" w:color="auto"/>
                <w:left w:val="none" w:sz="0" w:space="0" w:color="auto"/>
                <w:bottom w:val="none" w:sz="0" w:space="0" w:color="auto"/>
                <w:right w:val="none" w:sz="0" w:space="0" w:color="auto"/>
              </w:divBdr>
            </w:div>
            <w:div w:id="280185716">
              <w:marLeft w:val="0"/>
              <w:marRight w:val="0"/>
              <w:marTop w:val="0"/>
              <w:marBottom w:val="0"/>
              <w:divBdr>
                <w:top w:val="none" w:sz="0" w:space="0" w:color="auto"/>
                <w:left w:val="none" w:sz="0" w:space="0" w:color="auto"/>
                <w:bottom w:val="none" w:sz="0" w:space="0" w:color="auto"/>
                <w:right w:val="none" w:sz="0" w:space="0" w:color="auto"/>
              </w:divBdr>
            </w:div>
            <w:div w:id="485363940">
              <w:marLeft w:val="0"/>
              <w:marRight w:val="0"/>
              <w:marTop w:val="0"/>
              <w:marBottom w:val="0"/>
              <w:divBdr>
                <w:top w:val="none" w:sz="0" w:space="0" w:color="auto"/>
                <w:left w:val="none" w:sz="0" w:space="0" w:color="auto"/>
                <w:bottom w:val="none" w:sz="0" w:space="0" w:color="auto"/>
                <w:right w:val="none" w:sz="0" w:space="0" w:color="auto"/>
              </w:divBdr>
            </w:div>
            <w:div w:id="832525441">
              <w:marLeft w:val="0"/>
              <w:marRight w:val="0"/>
              <w:marTop w:val="0"/>
              <w:marBottom w:val="0"/>
              <w:divBdr>
                <w:top w:val="none" w:sz="0" w:space="0" w:color="auto"/>
                <w:left w:val="none" w:sz="0" w:space="0" w:color="auto"/>
                <w:bottom w:val="none" w:sz="0" w:space="0" w:color="auto"/>
                <w:right w:val="none" w:sz="0" w:space="0" w:color="auto"/>
              </w:divBdr>
            </w:div>
            <w:div w:id="1015883505">
              <w:marLeft w:val="0"/>
              <w:marRight w:val="0"/>
              <w:marTop w:val="0"/>
              <w:marBottom w:val="0"/>
              <w:divBdr>
                <w:top w:val="none" w:sz="0" w:space="0" w:color="auto"/>
                <w:left w:val="none" w:sz="0" w:space="0" w:color="auto"/>
                <w:bottom w:val="none" w:sz="0" w:space="0" w:color="auto"/>
                <w:right w:val="none" w:sz="0" w:space="0" w:color="auto"/>
              </w:divBdr>
            </w:div>
            <w:div w:id="1250849984">
              <w:marLeft w:val="0"/>
              <w:marRight w:val="0"/>
              <w:marTop w:val="0"/>
              <w:marBottom w:val="0"/>
              <w:divBdr>
                <w:top w:val="none" w:sz="0" w:space="0" w:color="auto"/>
                <w:left w:val="none" w:sz="0" w:space="0" w:color="auto"/>
                <w:bottom w:val="none" w:sz="0" w:space="0" w:color="auto"/>
                <w:right w:val="none" w:sz="0" w:space="0" w:color="auto"/>
              </w:divBdr>
            </w:div>
            <w:div w:id="1312754140">
              <w:marLeft w:val="0"/>
              <w:marRight w:val="0"/>
              <w:marTop w:val="0"/>
              <w:marBottom w:val="0"/>
              <w:divBdr>
                <w:top w:val="none" w:sz="0" w:space="0" w:color="auto"/>
                <w:left w:val="none" w:sz="0" w:space="0" w:color="auto"/>
                <w:bottom w:val="none" w:sz="0" w:space="0" w:color="auto"/>
                <w:right w:val="none" w:sz="0" w:space="0" w:color="auto"/>
              </w:divBdr>
            </w:div>
            <w:div w:id="1379430177">
              <w:marLeft w:val="0"/>
              <w:marRight w:val="0"/>
              <w:marTop w:val="0"/>
              <w:marBottom w:val="0"/>
              <w:divBdr>
                <w:top w:val="none" w:sz="0" w:space="0" w:color="auto"/>
                <w:left w:val="none" w:sz="0" w:space="0" w:color="auto"/>
                <w:bottom w:val="none" w:sz="0" w:space="0" w:color="auto"/>
                <w:right w:val="none" w:sz="0" w:space="0" w:color="auto"/>
              </w:divBdr>
            </w:div>
            <w:div w:id="1479566329">
              <w:marLeft w:val="0"/>
              <w:marRight w:val="0"/>
              <w:marTop w:val="0"/>
              <w:marBottom w:val="0"/>
              <w:divBdr>
                <w:top w:val="none" w:sz="0" w:space="0" w:color="auto"/>
                <w:left w:val="none" w:sz="0" w:space="0" w:color="auto"/>
                <w:bottom w:val="none" w:sz="0" w:space="0" w:color="auto"/>
                <w:right w:val="none" w:sz="0" w:space="0" w:color="auto"/>
              </w:divBdr>
            </w:div>
            <w:div w:id="1525946673">
              <w:marLeft w:val="0"/>
              <w:marRight w:val="0"/>
              <w:marTop w:val="0"/>
              <w:marBottom w:val="0"/>
              <w:divBdr>
                <w:top w:val="none" w:sz="0" w:space="0" w:color="auto"/>
                <w:left w:val="none" w:sz="0" w:space="0" w:color="auto"/>
                <w:bottom w:val="none" w:sz="0" w:space="0" w:color="auto"/>
                <w:right w:val="none" w:sz="0" w:space="0" w:color="auto"/>
              </w:divBdr>
            </w:div>
            <w:div w:id="1589656645">
              <w:marLeft w:val="0"/>
              <w:marRight w:val="0"/>
              <w:marTop w:val="0"/>
              <w:marBottom w:val="0"/>
              <w:divBdr>
                <w:top w:val="none" w:sz="0" w:space="0" w:color="auto"/>
                <w:left w:val="none" w:sz="0" w:space="0" w:color="auto"/>
                <w:bottom w:val="none" w:sz="0" w:space="0" w:color="auto"/>
                <w:right w:val="none" w:sz="0" w:space="0" w:color="auto"/>
              </w:divBdr>
            </w:div>
            <w:div w:id="1802504120">
              <w:marLeft w:val="0"/>
              <w:marRight w:val="0"/>
              <w:marTop w:val="0"/>
              <w:marBottom w:val="0"/>
              <w:divBdr>
                <w:top w:val="none" w:sz="0" w:space="0" w:color="auto"/>
                <w:left w:val="none" w:sz="0" w:space="0" w:color="auto"/>
                <w:bottom w:val="none" w:sz="0" w:space="0" w:color="auto"/>
                <w:right w:val="none" w:sz="0" w:space="0" w:color="auto"/>
              </w:divBdr>
            </w:div>
            <w:div w:id="1834025104">
              <w:marLeft w:val="0"/>
              <w:marRight w:val="0"/>
              <w:marTop w:val="0"/>
              <w:marBottom w:val="0"/>
              <w:divBdr>
                <w:top w:val="none" w:sz="0" w:space="0" w:color="auto"/>
                <w:left w:val="none" w:sz="0" w:space="0" w:color="auto"/>
                <w:bottom w:val="none" w:sz="0" w:space="0" w:color="auto"/>
                <w:right w:val="none" w:sz="0" w:space="0" w:color="auto"/>
              </w:divBdr>
            </w:div>
            <w:div w:id="1866671779">
              <w:marLeft w:val="0"/>
              <w:marRight w:val="0"/>
              <w:marTop w:val="0"/>
              <w:marBottom w:val="0"/>
              <w:divBdr>
                <w:top w:val="none" w:sz="0" w:space="0" w:color="auto"/>
                <w:left w:val="none" w:sz="0" w:space="0" w:color="auto"/>
                <w:bottom w:val="none" w:sz="0" w:space="0" w:color="auto"/>
                <w:right w:val="none" w:sz="0" w:space="0" w:color="auto"/>
              </w:divBdr>
            </w:div>
            <w:div w:id="1894271864">
              <w:marLeft w:val="0"/>
              <w:marRight w:val="0"/>
              <w:marTop w:val="0"/>
              <w:marBottom w:val="0"/>
              <w:divBdr>
                <w:top w:val="none" w:sz="0" w:space="0" w:color="auto"/>
                <w:left w:val="none" w:sz="0" w:space="0" w:color="auto"/>
                <w:bottom w:val="none" w:sz="0" w:space="0" w:color="auto"/>
                <w:right w:val="none" w:sz="0" w:space="0" w:color="auto"/>
              </w:divBdr>
            </w:div>
            <w:div w:id="1917277065">
              <w:marLeft w:val="0"/>
              <w:marRight w:val="0"/>
              <w:marTop w:val="0"/>
              <w:marBottom w:val="0"/>
              <w:divBdr>
                <w:top w:val="none" w:sz="0" w:space="0" w:color="auto"/>
                <w:left w:val="none" w:sz="0" w:space="0" w:color="auto"/>
                <w:bottom w:val="none" w:sz="0" w:space="0" w:color="auto"/>
                <w:right w:val="none" w:sz="0" w:space="0" w:color="auto"/>
              </w:divBdr>
            </w:div>
            <w:div w:id="1990985391">
              <w:marLeft w:val="0"/>
              <w:marRight w:val="0"/>
              <w:marTop w:val="0"/>
              <w:marBottom w:val="0"/>
              <w:divBdr>
                <w:top w:val="none" w:sz="0" w:space="0" w:color="auto"/>
                <w:left w:val="none" w:sz="0" w:space="0" w:color="auto"/>
                <w:bottom w:val="none" w:sz="0" w:space="0" w:color="auto"/>
                <w:right w:val="none" w:sz="0" w:space="0" w:color="auto"/>
              </w:divBdr>
            </w:div>
            <w:div w:id="2017951266">
              <w:marLeft w:val="0"/>
              <w:marRight w:val="0"/>
              <w:marTop w:val="0"/>
              <w:marBottom w:val="0"/>
              <w:divBdr>
                <w:top w:val="none" w:sz="0" w:space="0" w:color="auto"/>
                <w:left w:val="none" w:sz="0" w:space="0" w:color="auto"/>
                <w:bottom w:val="none" w:sz="0" w:space="0" w:color="auto"/>
                <w:right w:val="none" w:sz="0" w:space="0" w:color="auto"/>
              </w:divBdr>
            </w:div>
            <w:div w:id="2051876959">
              <w:marLeft w:val="0"/>
              <w:marRight w:val="0"/>
              <w:marTop w:val="0"/>
              <w:marBottom w:val="0"/>
              <w:divBdr>
                <w:top w:val="none" w:sz="0" w:space="0" w:color="auto"/>
                <w:left w:val="none" w:sz="0" w:space="0" w:color="auto"/>
                <w:bottom w:val="none" w:sz="0" w:space="0" w:color="auto"/>
                <w:right w:val="none" w:sz="0" w:space="0" w:color="auto"/>
              </w:divBdr>
            </w:div>
            <w:div w:id="2077120177">
              <w:marLeft w:val="0"/>
              <w:marRight w:val="0"/>
              <w:marTop w:val="0"/>
              <w:marBottom w:val="0"/>
              <w:divBdr>
                <w:top w:val="none" w:sz="0" w:space="0" w:color="auto"/>
                <w:left w:val="none" w:sz="0" w:space="0" w:color="auto"/>
                <w:bottom w:val="none" w:sz="0" w:space="0" w:color="auto"/>
                <w:right w:val="none" w:sz="0" w:space="0" w:color="auto"/>
              </w:divBdr>
            </w:div>
          </w:divsChild>
        </w:div>
        <w:div w:id="653031216">
          <w:marLeft w:val="0"/>
          <w:marRight w:val="0"/>
          <w:marTop w:val="0"/>
          <w:marBottom w:val="0"/>
          <w:divBdr>
            <w:top w:val="none" w:sz="0" w:space="0" w:color="auto"/>
            <w:left w:val="none" w:sz="0" w:space="0" w:color="auto"/>
            <w:bottom w:val="none" w:sz="0" w:space="0" w:color="auto"/>
            <w:right w:val="none" w:sz="0" w:space="0" w:color="auto"/>
          </w:divBdr>
        </w:div>
        <w:div w:id="656542398">
          <w:marLeft w:val="0"/>
          <w:marRight w:val="0"/>
          <w:marTop w:val="0"/>
          <w:marBottom w:val="0"/>
          <w:divBdr>
            <w:top w:val="none" w:sz="0" w:space="0" w:color="auto"/>
            <w:left w:val="none" w:sz="0" w:space="0" w:color="auto"/>
            <w:bottom w:val="none" w:sz="0" w:space="0" w:color="auto"/>
            <w:right w:val="none" w:sz="0" w:space="0" w:color="auto"/>
          </w:divBdr>
        </w:div>
        <w:div w:id="658775283">
          <w:marLeft w:val="0"/>
          <w:marRight w:val="0"/>
          <w:marTop w:val="0"/>
          <w:marBottom w:val="0"/>
          <w:divBdr>
            <w:top w:val="none" w:sz="0" w:space="0" w:color="auto"/>
            <w:left w:val="none" w:sz="0" w:space="0" w:color="auto"/>
            <w:bottom w:val="none" w:sz="0" w:space="0" w:color="auto"/>
            <w:right w:val="none" w:sz="0" w:space="0" w:color="auto"/>
          </w:divBdr>
        </w:div>
        <w:div w:id="658969542">
          <w:marLeft w:val="0"/>
          <w:marRight w:val="0"/>
          <w:marTop w:val="0"/>
          <w:marBottom w:val="0"/>
          <w:divBdr>
            <w:top w:val="none" w:sz="0" w:space="0" w:color="auto"/>
            <w:left w:val="none" w:sz="0" w:space="0" w:color="auto"/>
            <w:bottom w:val="none" w:sz="0" w:space="0" w:color="auto"/>
            <w:right w:val="none" w:sz="0" w:space="0" w:color="auto"/>
          </w:divBdr>
        </w:div>
        <w:div w:id="659773765">
          <w:marLeft w:val="0"/>
          <w:marRight w:val="0"/>
          <w:marTop w:val="0"/>
          <w:marBottom w:val="0"/>
          <w:divBdr>
            <w:top w:val="none" w:sz="0" w:space="0" w:color="auto"/>
            <w:left w:val="none" w:sz="0" w:space="0" w:color="auto"/>
            <w:bottom w:val="none" w:sz="0" w:space="0" w:color="auto"/>
            <w:right w:val="none" w:sz="0" w:space="0" w:color="auto"/>
          </w:divBdr>
        </w:div>
        <w:div w:id="661858055">
          <w:marLeft w:val="0"/>
          <w:marRight w:val="0"/>
          <w:marTop w:val="0"/>
          <w:marBottom w:val="0"/>
          <w:divBdr>
            <w:top w:val="none" w:sz="0" w:space="0" w:color="auto"/>
            <w:left w:val="none" w:sz="0" w:space="0" w:color="auto"/>
            <w:bottom w:val="none" w:sz="0" w:space="0" w:color="auto"/>
            <w:right w:val="none" w:sz="0" w:space="0" w:color="auto"/>
          </w:divBdr>
        </w:div>
        <w:div w:id="662122330">
          <w:marLeft w:val="0"/>
          <w:marRight w:val="0"/>
          <w:marTop w:val="0"/>
          <w:marBottom w:val="0"/>
          <w:divBdr>
            <w:top w:val="none" w:sz="0" w:space="0" w:color="auto"/>
            <w:left w:val="none" w:sz="0" w:space="0" w:color="auto"/>
            <w:bottom w:val="none" w:sz="0" w:space="0" w:color="auto"/>
            <w:right w:val="none" w:sz="0" w:space="0" w:color="auto"/>
          </w:divBdr>
        </w:div>
        <w:div w:id="662395110">
          <w:marLeft w:val="0"/>
          <w:marRight w:val="0"/>
          <w:marTop w:val="0"/>
          <w:marBottom w:val="0"/>
          <w:divBdr>
            <w:top w:val="none" w:sz="0" w:space="0" w:color="auto"/>
            <w:left w:val="none" w:sz="0" w:space="0" w:color="auto"/>
            <w:bottom w:val="none" w:sz="0" w:space="0" w:color="auto"/>
            <w:right w:val="none" w:sz="0" w:space="0" w:color="auto"/>
          </w:divBdr>
        </w:div>
        <w:div w:id="663627258">
          <w:marLeft w:val="0"/>
          <w:marRight w:val="0"/>
          <w:marTop w:val="0"/>
          <w:marBottom w:val="0"/>
          <w:divBdr>
            <w:top w:val="none" w:sz="0" w:space="0" w:color="auto"/>
            <w:left w:val="none" w:sz="0" w:space="0" w:color="auto"/>
            <w:bottom w:val="none" w:sz="0" w:space="0" w:color="auto"/>
            <w:right w:val="none" w:sz="0" w:space="0" w:color="auto"/>
          </w:divBdr>
        </w:div>
        <w:div w:id="664478704">
          <w:marLeft w:val="0"/>
          <w:marRight w:val="0"/>
          <w:marTop w:val="0"/>
          <w:marBottom w:val="0"/>
          <w:divBdr>
            <w:top w:val="none" w:sz="0" w:space="0" w:color="auto"/>
            <w:left w:val="none" w:sz="0" w:space="0" w:color="auto"/>
            <w:bottom w:val="none" w:sz="0" w:space="0" w:color="auto"/>
            <w:right w:val="none" w:sz="0" w:space="0" w:color="auto"/>
          </w:divBdr>
        </w:div>
        <w:div w:id="664744996">
          <w:marLeft w:val="0"/>
          <w:marRight w:val="0"/>
          <w:marTop w:val="0"/>
          <w:marBottom w:val="0"/>
          <w:divBdr>
            <w:top w:val="none" w:sz="0" w:space="0" w:color="auto"/>
            <w:left w:val="none" w:sz="0" w:space="0" w:color="auto"/>
            <w:bottom w:val="none" w:sz="0" w:space="0" w:color="auto"/>
            <w:right w:val="none" w:sz="0" w:space="0" w:color="auto"/>
          </w:divBdr>
        </w:div>
        <w:div w:id="665327728">
          <w:marLeft w:val="0"/>
          <w:marRight w:val="0"/>
          <w:marTop w:val="0"/>
          <w:marBottom w:val="0"/>
          <w:divBdr>
            <w:top w:val="none" w:sz="0" w:space="0" w:color="auto"/>
            <w:left w:val="none" w:sz="0" w:space="0" w:color="auto"/>
            <w:bottom w:val="none" w:sz="0" w:space="0" w:color="auto"/>
            <w:right w:val="none" w:sz="0" w:space="0" w:color="auto"/>
          </w:divBdr>
        </w:div>
        <w:div w:id="665976891">
          <w:marLeft w:val="0"/>
          <w:marRight w:val="0"/>
          <w:marTop w:val="0"/>
          <w:marBottom w:val="0"/>
          <w:divBdr>
            <w:top w:val="none" w:sz="0" w:space="0" w:color="auto"/>
            <w:left w:val="none" w:sz="0" w:space="0" w:color="auto"/>
            <w:bottom w:val="none" w:sz="0" w:space="0" w:color="auto"/>
            <w:right w:val="none" w:sz="0" w:space="0" w:color="auto"/>
          </w:divBdr>
        </w:div>
        <w:div w:id="666321632">
          <w:marLeft w:val="0"/>
          <w:marRight w:val="0"/>
          <w:marTop w:val="0"/>
          <w:marBottom w:val="0"/>
          <w:divBdr>
            <w:top w:val="none" w:sz="0" w:space="0" w:color="auto"/>
            <w:left w:val="none" w:sz="0" w:space="0" w:color="auto"/>
            <w:bottom w:val="none" w:sz="0" w:space="0" w:color="auto"/>
            <w:right w:val="none" w:sz="0" w:space="0" w:color="auto"/>
          </w:divBdr>
          <w:divsChild>
            <w:div w:id="356855110">
              <w:marLeft w:val="0"/>
              <w:marRight w:val="0"/>
              <w:marTop w:val="0"/>
              <w:marBottom w:val="0"/>
              <w:divBdr>
                <w:top w:val="none" w:sz="0" w:space="0" w:color="auto"/>
                <w:left w:val="none" w:sz="0" w:space="0" w:color="auto"/>
                <w:bottom w:val="none" w:sz="0" w:space="0" w:color="auto"/>
                <w:right w:val="none" w:sz="0" w:space="0" w:color="auto"/>
              </w:divBdr>
            </w:div>
            <w:div w:id="472524045">
              <w:marLeft w:val="0"/>
              <w:marRight w:val="0"/>
              <w:marTop w:val="0"/>
              <w:marBottom w:val="0"/>
              <w:divBdr>
                <w:top w:val="none" w:sz="0" w:space="0" w:color="auto"/>
                <w:left w:val="none" w:sz="0" w:space="0" w:color="auto"/>
                <w:bottom w:val="none" w:sz="0" w:space="0" w:color="auto"/>
                <w:right w:val="none" w:sz="0" w:space="0" w:color="auto"/>
              </w:divBdr>
            </w:div>
            <w:div w:id="596602085">
              <w:marLeft w:val="0"/>
              <w:marRight w:val="0"/>
              <w:marTop w:val="0"/>
              <w:marBottom w:val="0"/>
              <w:divBdr>
                <w:top w:val="none" w:sz="0" w:space="0" w:color="auto"/>
                <w:left w:val="none" w:sz="0" w:space="0" w:color="auto"/>
                <w:bottom w:val="none" w:sz="0" w:space="0" w:color="auto"/>
                <w:right w:val="none" w:sz="0" w:space="0" w:color="auto"/>
              </w:divBdr>
            </w:div>
            <w:div w:id="689260365">
              <w:marLeft w:val="0"/>
              <w:marRight w:val="0"/>
              <w:marTop w:val="0"/>
              <w:marBottom w:val="0"/>
              <w:divBdr>
                <w:top w:val="none" w:sz="0" w:space="0" w:color="auto"/>
                <w:left w:val="none" w:sz="0" w:space="0" w:color="auto"/>
                <w:bottom w:val="none" w:sz="0" w:space="0" w:color="auto"/>
                <w:right w:val="none" w:sz="0" w:space="0" w:color="auto"/>
              </w:divBdr>
            </w:div>
            <w:div w:id="726414952">
              <w:marLeft w:val="0"/>
              <w:marRight w:val="0"/>
              <w:marTop w:val="0"/>
              <w:marBottom w:val="0"/>
              <w:divBdr>
                <w:top w:val="none" w:sz="0" w:space="0" w:color="auto"/>
                <w:left w:val="none" w:sz="0" w:space="0" w:color="auto"/>
                <w:bottom w:val="none" w:sz="0" w:space="0" w:color="auto"/>
                <w:right w:val="none" w:sz="0" w:space="0" w:color="auto"/>
              </w:divBdr>
            </w:div>
            <w:div w:id="876163156">
              <w:marLeft w:val="0"/>
              <w:marRight w:val="0"/>
              <w:marTop w:val="0"/>
              <w:marBottom w:val="0"/>
              <w:divBdr>
                <w:top w:val="none" w:sz="0" w:space="0" w:color="auto"/>
                <w:left w:val="none" w:sz="0" w:space="0" w:color="auto"/>
                <w:bottom w:val="none" w:sz="0" w:space="0" w:color="auto"/>
                <w:right w:val="none" w:sz="0" w:space="0" w:color="auto"/>
              </w:divBdr>
            </w:div>
            <w:div w:id="1013141676">
              <w:marLeft w:val="0"/>
              <w:marRight w:val="0"/>
              <w:marTop w:val="0"/>
              <w:marBottom w:val="0"/>
              <w:divBdr>
                <w:top w:val="none" w:sz="0" w:space="0" w:color="auto"/>
                <w:left w:val="none" w:sz="0" w:space="0" w:color="auto"/>
                <w:bottom w:val="none" w:sz="0" w:space="0" w:color="auto"/>
                <w:right w:val="none" w:sz="0" w:space="0" w:color="auto"/>
              </w:divBdr>
            </w:div>
            <w:div w:id="1051878719">
              <w:marLeft w:val="0"/>
              <w:marRight w:val="0"/>
              <w:marTop w:val="0"/>
              <w:marBottom w:val="0"/>
              <w:divBdr>
                <w:top w:val="none" w:sz="0" w:space="0" w:color="auto"/>
                <w:left w:val="none" w:sz="0" w:space="0" w:color="auto"/>
                <w:bottom w:val="none" w:sz="0" w:space="0" w:color="auto"/>
                <w:right w:val="none" w:sz="0" w:space="0" w:color="auto"/>
              </w:divBdr>
            </w:div>
            <w:div w:id="1132014994">
              <w:marLeft w:val="0"/>
              <w:marRight w:val="0"/>
              <w:marTop w:val="0"/>
              <w:marBottom w:val="0"/>
              <w:divBdr>
                <w:top w:val="none" w:sz="0" w:space="0" w:color="auto"/>
                <w:left w:val="none" w:sz="0" w:space="0" w:color="auto"/>
                <w:bottom w:val="none" w:sz="0" w:space="0" w:color="auto"/>
                <w:right w:val="none" w:sz="0" w:space="0" w:color="auto"/>
              </w:divBdr>
            </w:div>
            <w:div w:id="1210143082">
              <w:marLeft w:val="0"/>
              <w:marRight w:val="0"/>
              <w:marTop w:val="0"/>
              <w:marBottom w:val="0"/>
              <w:divBdr>
                <w:top w:val="none" w:sz="0" w:space="0" w:color="auto"/>
                <w:left w:val="none" w:sz="0" w:space="0" w:color="auto"/>
                <w:bottom w:val="none" w:sz="0" w:space="0" w:color="auto"/>
                <w:right w:val="none" w:sz="0" w:space="0" w:color="auto"/>
              </w:divBdr>
            </w:div>
            <w:div w:id="1216091055">
              <w:marLeft w:val="0"/>
              <w:marRight w:val="0"/>
              <w:marTop w:val="0"/>
              <w:marBottom w:val="0"/>
              <w:divBdr>
                <w:top w:val="none" w:sz="0" w:space="0" w:color="auto"/>
                <w:left w:val="none" w:sz="0" w:space="0" w:color="auto"/>
                <w:bottom w:val="none" w:sz="0" w:space="0" w:color="auto"/>
                <w:right w:val="none" w:sz="0" w:space="0" w:color="auto"/>
              </w:divBdr>
            </w:div>
            <w:div w:id="1273317946">
              <w:marLeft w:val="0"/>
              <w:marRight w:val="0"/>
              <w:marTop w:val="0"/>
              <w:marBottom w:val="0"/>
              <w:divBdr>
                <w:top w:val="none" w:sz="0" w:space="0" w:color="auto"/>
                <w:left w:val="none" w:sz="0" w:space="0" w:color="auto"/>
                <w:bottom w:val="none" w:sz="0" w:space="0" w:color="auto"/>
                <w:right w:val="none" w:sz="0" w:space="0" w:color="auto"/>
              </w:divBdr>
            </w:div>
            <w:div w:id="1485703471">
              <w:marLeft w:val="0"/>
              <w:marRight w:val="0"/>
              <w:marTop w:val="0"/>
              <w:marBottom w:val="0"/>
              <w:divBdr>
                <w:top w:val="none" w:sz="0" w:space="0" w:color="auto"/>
                <w:left w:val="none" w:sz="0" w:space="0" w:color="auto"/>
                <w:bottom w:val="none" w:sz="0" w:space="0" w:color="auto"/>
                <w:right w:val="none" w:sz="0" w:space="0" w:color="auto"/>
              </w:divBdr>
            </w:div>
            <w:div w:id="1500971233">
              <w:marLeft w:val="0"/>
              <w:marRight w:val="0"/>
              <w:marTop w:val="0"/>
              <w:marBottom w:val="0"/>
              <w:divBdr>
                <w:top w:val="none" w:sz="0" w:space="0" w:color="auto"/>
                <w:left w:val="none" w:sz="0" w:space="0" w:color="auto"/>
                <w:bottom w:val="none" w:sz="0" w:space="0" w:color="auto"/>
                <w:right w:val="none" w:sz="0" w:space="0" w:color="auto"/>
              </w:divBdr>
            </w:div>
            <w:div w:id="1547260481">
              <w:marLeft w:val="0"/>
              <w:marRight w:val="0"/>
              <w:marTop w:val="0"/>
              <w:marBottom w:val="0"/>
              <w:divBdr>
                <w:top w:val="none" w:sz="0" w:space="0" w:color="auto"/>
                <w:left w:val="none" w:sz="0" w:space="0" w:color="auto"/>
                <w:bottom w:val="none" w:sz="0" w:space="0" w:color="auto"/>
                <w:right w:val="none" w:sz="0" w:space="0" w:color="auto"/>
              </w:divBdr>
            </w:div>
            <w:div w:id="1575703076">
              <w:marLeft w:val="0"/>
              <w:marRight w:val="0"/>
              <w:marTop w:val="0"/>
              <w:marBottom w:val="0"/>
              <w:divBdr>
                <w:top w:val="none" w:sz="0" w:space="0" w:color="auto"/>
                <w:left w:val="none" w:sz="0" w:space="0" w:color="auto"/>
                <w:bottom w:val="none" w:sz="0" w:space="0" w:color="auto"/>
                <w:right w:val="none" w:sz="0" w:space="0" w:color="auto"/>
              </w:divBdr>
            </w:div>
            <w:div w:id="1746099147">
              <w:marLeft w:val="0"/>
              <w:marRight w:val="0"/>
              <w:marTop w:val="0"/>
              <w:marBottom w:val="0"/>
              <w:divBdr>
                <w:top w:val="none" w:sz="0" w:space="0" w:color="auto"/>
                <w:left w:val="none" w:sz="0" w:space="0" w:color="auto"/>
                <w:bottom w:val="none" w:sz="0" w:space="0" w:color="auto"/>
                <w:right w:val="none" w:sz="0" w:space="0" w:color="auto"/>
              </w:divBdr>
            </w:div>
            <w:div w:id="1980333977">
              <w:marLeft w:val="0"/>
              <w:marRight w:val="0"/>
              <w:marTop w:val="0"/>
              <w:marBottom w:val="0"/>
              <w:divBdr>
                <w:top w:val="none" w:sz="0" w:space="0" w:color="auto"/>
                <w:left w:val="none" w:sz="0" w:space="0" w:color="auto"/>
                <w:bottom w:val="none" w:sz="0" w:space="0" w:color="auto"/>
                <w:right w:val="none" w:sz="0" w:space="0" w:color="auto"/>
              </w:divBdr>
            </w:div>
            <w:div w:id="2018846824">
              <w:marLeft w:val="0"/>
              <w:marRight w:val="0"/>
              <w:marTop w:val="0"/>
              <w:marBottom w:val="0"/>
              <w:divBdr>
                <w:top w:val="none" w:sz="0" w:space="0" w:color="auto"/>
                <w:left w:val="none" w:sz="0" w:space="0" w:color="auto"/>
                <w:bottom w:val="none" w:sz="0" w:space="0" w:color="auto"/>
                <w:right w:val="none" w:sz="0" w:space="0" w:color="auto"/>
              </w:divBdr>
            </w:div>
          </w:divsChild>
        </w:div>
        <w:div w:id="668482233">
          <w:marLeft w:val="0"/>
          <w:marRight w:val="0"/>
          <w:marTop w:val="0"/>
          <w:marBottom w:val="0"/>
          <w:divBdr>
            <w:top w:val="none" w:sz="0" w:space="0" w:color="auto"/>
            <w:left w:val="none" w:sz="0" w:space="0" w:color="auto"/>
            <w:bottom w:val="none" w:sz="0" w:space="0" w:color="auto"/>
            <w:right w:val="none" w:sz="0" w:space="0" w:color="auto"/>
          </w:divBdr>
        </w:div>
        <w:div w:id="671570432">
          <w:marLeft w:val="0"/>
          <w:marRight w:val="0"/>
          <w:marTop w:val="0"/>
          <w:marBottom w:val="0"/>
          <w:divBdr>
            <w:top w:val="none" w:sz="0" w:space="0" w:color="auto"/>
            <w:left w:val="none" w:sz="0" w:space="0" w:color="auto"/>
            <w:bottom w:val="none" w:sz="0" w:space="0" w:color="auto"/>
            <w:right w:val="none" w:sz="0" w:space="0" w:color="auto"/>
          </w:divBdr>
        </w:div>
        <w:div w:id="671571622">
          <w:marLeft w:val="0"/>
          <w:marRight w:val="0"/>
          <w:marTop w:val="0"/>
          <w:marBottom w:val="0"/>
          <w:divBdr>
            <w:top w:val="none" w:sz="0" w:space="0" w:color="auto"/>
            <w:left w:val="none" w:sz="0" w:space="0" w:color="auto"/>
            <w:bottom w:val="none" w:sz="0" w:space="0" w:color="auto"/>
            <w:right w:val="none" w:sz="0" w:space="0" w:color="auto"/>
          </w:divBdr>
        </w:div>
        <w:div w:id="672609280">
          <w:marLeft w:val="0"/>
          <w:marRight w:val="0"/>
          <w:marTop w:val="0"/>
          <w:marBottom w:val="0"/>
          <w:divBdr>
            <w:top w:val="none" w:sz="0" w:space="0" w:color="auto"/>
            <w:left w:val="none" w:sz="0" w:space="0" w:color="auto"/>
            <w:bottom w:val="none" w:sz="0" w:space="0" w:color="auto"/>
            <w:right w:val="none" w:sz="0" w:space="0" w:color="auto"/>
          </w:divBdr>
        </w:div>
        <w:div w:id="672994311">
          <w:marLeft w:val="0"/>
          <w:marRight w:val="0"/>
          <w:marTop w:val="0"/>
          <w:marBottom w:val="0"/>
          <w:divBdr>
            <w:top w:val="none" w:sz="0" w:space="0" w:color="auto"/>
            <w:left w:val="none" w:sz="0" w:space="0" w:color="auto"/>
            <w:bottom w:val="none" w:sz="0" w:space="0" w:color="auto"/>
            <w:right w:val="none" w:sz="0" w:space="0" w:color="auto"/>
          </w:divBdr>
        </w:div>
        <w:div w:id="673653900">
          <w:marLeft w:val="0"/>
          <w:marRight w:val="0"/>
          <w:marTop w:val="0"/>
          <w:marBottom w:val="0"/>
          <w:divBdr>
            <w:top w:val="none" w:sz="0" w:space="0" w:color="auto"/>
            <w:left w:val="none" w:sz="0" w:space="0" w:color="auto"/>
            <w:bottom w:val="none" w:sz="0" w:space="0" w:color="auto"/>
            <w:right w:val="none" w:sz="0" w:space="0" w:color="auto"/>
          </w:divBdr>
        </w:div>
        <w:div w:id="674306985">
          <w:marLeft w:val="0"/>
          <w:marRight w:val="0"/>
          <w:marTop w:val="0"/>
          <w:marBottom w:val="0"/>
          <w:divBdr>
            <w:top w:val="none" w:sz="0" w:space="0" w:color="auto"/>
            <w:left w:val="none" w:sz="0" w:space="0" w:color="auto"/>
            <w:bottom w:val="none" w:sz="0" w:space="0" w:color="auto"/>
            <w:right w:val="none" w:sz="0" w:space="0" w:color="auto"/>
          </w:divBdr>
        </w:div>
        <w:div w:id="674308451">
          <w:marLeft w:val="0"/>
          <w:marRight w:val="0"/>
          <w:marTop w:val="0"/>
          <w:marBottom w:val="0"/>
          <w:divBdr>
            <w:top w:val="none" w:sz="0" w:space="0" w:color="auto"/>
            <w:left w:val="none" w:sz="0" w:space="0" w:color="auto"/>
            <w:bottom w:val="none" w:sz="0" w:space="0" w:color="auto"/>
            <w:right w:val="none" w:sz="0" w:space="0" w:color="auto"/>
          </w:divBdr>
        </w:div>
        <w:div w:id="675575232">
          <w:marLeft w:val="0"/>
          <w:marRight w:val="0"/>
          <w:marTop w:val="0"/>
          <w:marBottom w:val="0"/>
          <w:divBdr>
            <w:top w:val="none" w:sz="0" w:space="0" w:color="auto"/>
            <w:left w:val="none" w:sz="0" w:space="0" w:color="auto"/>
            <w:bottom w:val="none" w:sz="0" w:space="0" w:color="auto"/>
            <w:right w:val="none" w:sz="0" w:space="0" w:color="auto"/>
          </w:divBdr>
        </w:div>
        <w:div w:id="675695079">
          <w:marLeft w:val="0"/>
          <w:marRight w:val="0"/>
          <w:marTop w:val="0"/>
          <w:marBottom w:val="0"/>
          <w:divBdr>
            <w:top w:val="none" w:sz="0" w:space="0" w:color="auto"/>
            <w:left w:val="none" w:sz="0" w:space="0" w:color="auto"/>
            <w:bottom w:val="none" w:sz="0" w:space="0" w:color="auto"/>
            <w:right w:val="none" w:sz="0" w:space="0" w:color="auto"/>
          </w:divBdr>
          <w:divsChild>
            <w:div w:id="15278235">
              <w:marLeft w:val="0"/>
              <w:marRight w:val="0"/>
              <w:marTop w:val="0"/>
              <w:marBottom w:val="0"/>
              <w:divBdr>
                <w:top w:val="none" w:sz="0" w:space="0" w:color="auto"/>
                <w:left w:val="none" w:sz="0" w:space="0" w:color="auto"/>
                <w:bottom w:val="none" w:sz="0" w:space="0" w:color="auto"/>
                <w:right w:val="none" w:sz="0" w:space="0" w:color="auto"/>
              </w:divBdr>
            </w:div>
            <w:div w:id="293675945">
              <w:marLeft w:val="0"/>
              <w:marRight w:val="0"/>
              <w:marTop w:val="0"/>
              <w:marBottom w:val="0"/>
              <w:divBdr>
                <w:top w:val="none" w:sz="0" w:space="0" w:color="auto"/>
                <w:left w:val="none" w:sz="0" w:space="0" w:color="auto"/>
                <w:bottom w:val="none" w:sz="0" w:space="0" w:color="auto"/>
                <w:right w:val="none" w:sz="0" w:space="0" w:color="auto"/>
              </w:divBdr>
            </w:div>
            <w:div w:id="353460530">
              <w:marLeft w:val="0"/>
              <w:marRight w:val="0"/>
              <w:marTop w:val="0"/>
              <w:marBottom w:val="0"/>
              <w:divBdr>
                <w:top w:val="none" w:sz="0" w:space="0" w:color="auto"/>
                <w:left w:val="none" w:sz="0" w:space="0" w:color="auto"/>
                <w:bottom w:val="none" w:sz="0" w:space="0" w:color="auto"/>
                <w:right w:val="none" w:sz="0" w:space="0" w:color="auto"/>
              </w:divBdr>
            </w:div>
            <w:div w:id="427846548">
              <w:marLeft w:val="0"/>
              <w:marRight w:val="0"/>
              <w:marTop w:val="0"/>
              <w:marBottom w:val="0"/>
              <w:divBdr>
                <w:top w:val="none" w:sz="0" w:space="0" w:color="auto"/>
                <w:left w:val="none" w:sz="0" w:space="0" w:color="auto"/>
                <w:bottom w:val="none" w:sz="0" w:space="0" w:color="auto"/>
                <w:right w:val="none" w:sz="0" w:space="0" w:color="auto"/>
              </w:divBdr>
            </w:div>
            <w:div w:id="767623618">
              <w:marLeft w:val="0"/>
              <w:marRight w:val="0"/>
              <w:marTop w:val="0"/>
              <w:marBottom w:val="0"/>
              <w:divBdr>
                <w:top w:val="none" w:sz="0" w:space="0" w:color="auto"/>
                <w:left w:val="none" w:sz="0" w:space="0" w:color="auto"/>
                <w:bottom w:val="none" w:sz="0" w:space="0" w:color="auto"/>
                <w:right w:val="none" w:sz="0" w:space="0" w:color="auto"/>
              </w:divBdr>
            </w:div>
            <w:div w:id="888037088">
              <w:marLeft w:val="0"/>
              <w:marRight w:val="0"/>
              <w:marTop w:val="0"/>
              <w:marBottom w:val="0"/>
              <w:divBdr>
                <w:top w:val="none" w:sz="0" w:space="0" w:color="auto"/>
                <w:left w:val="none" w:sz="0" w:space="0" w:color="auto"/>
                <w:bottom w:val="none" w:sz="0" w:space="0" w:color="auto"/>
                <w:right w:val="none" w:sz="0" w:space="0" w:color="auto"/>
              </w:divBdr>
            </w:div>
            <w:div w:id="1056316230">
              <w:marLeft w:val="0"/>
              <w:marRight w:val="0"/>
              <w:marTop w:val="0"/>
              <w:marBottom w:val="0"/>
              <w:divBdr>
                <w:top w:val="none" w:sz="0" w:space="0" w:color="auto"/>
                <w:left w:val="none" w:sz="0" w:space="0" w:color="auto"/>
                <w:bottom w:val="none" w:sz="0" w:space="0" w:color="auto"/>
                <w:right w:val="none" w:sz="0" w:space="0" w:color="auto"/>
              </w:divBdr>
            </w:div>
            <w:div w:id="1183275916">
              <w:marLeft w:val="0"/>
              <w:marRight w:val="0"/>
              <w:marTop w:val="0"/>
              <w:marBottom w:val="0"/>
              <w:divBdr>
                <w:top w:val="none" w:sz="0" w:space="0" w:color="auto"/>
                <w:left w:val="none" w:sz="0" w:space="0" w:color="auto"/>
                <w:bottom w:val="none" w:sz="0" w:space="0" w:color="auto"/>
                <w:right w:val="none" w:sz="0" w:space="0" w:color="auto"/>
              </w:divBdr>
            </w:div>
            <w:div w:id="1222596946">
              <w:marLeft w:val="0"/>
              <w:marRight w:val="0"/>
              <w:marTop w:val="0"/>
              <w:marBottom w:val="0"/>
              <w:divBdr>
                <w:top w:val="none" w:sz="0" w:space="0" w:color="auto"/>
                <w:left w:val="none" w:sz="0" w:space="0" w:color="auto"/>
                <w:bottom w:val="none" w:sz="0" w:space="0" w:color="auto"/>
                <w:right w:val="none" w:sz="0" w:space="0" w:color="auto"/>
              </w:divBdr>
            </w:div>
            <w:div w:id="1280913445">
              <w:marLeft w:val="0"/>
              <w:marRight w:val="0"/>
              <w:marTop w:val="0"/>
              <w:marBottom w:val="0"/>
              <w:divBdr>
                <w:top w:val="none" w:sz="0" w:space="0" w:color="auto"/>
                <w:left w:val="none" w:sz="0" w:space="0" w:color="auto"/>
                <w:bottom w:val="none" w:sz="0" w:space="0" w:color="auto"/>
                <w:right w:val="none" w:sz="0" w:space="0" w:color="auto"/>
              </w:divBdr>
            </w:div>
            <w:div w:id="1389954144">
              <w:marLeft w:val="0"/>
              <w:marRight w:val="0"/>
              <w:marTop w:val="0"/>
              <w:marBottom w:val="0"/>
              <w:divBdr>
                <w:top w:val="none" w:sz="0" w:space="0" w:color="auto"/>
                <w:left w:val="none" w:sz="0" w:space="0" w:color="auto"/>
                <w:bottom w:val="none" w:sz="0" w:space="0" w:color="auto"/>
                <w:right w:val="none" w:sz="0" w:space="0" w:color="auto"/>
              </w:divBdr>
            </w:div>
            <w:div w:id="1410732979">
              <w:marLeft w:val="0"/>
              <w:marRight w:val="0"/>
              <w:marTop w:val="0"/>
              <w:marBottom w:val="0"/>
              <w:divBdr>
                <w:top w:val="none" w:sz="0" w:space="0" w:color="auto"/>
                <w:left w:val="none" w:sz="0" w:space="0" w:color="auto"/>
                <w:bottom w:val="none" w:sz="0" w:space="0" w:color="auto"/>
                <w:right w:val="none" w:sz="0" w:space="0" w:color="auto"/>
              </w:divBdr>
            </w:div>
            <w:div w:id="1496918390">
              <w:marLeft w:val="0"/>
              <w:marRight w:val="0"/>
              <w:marTop w:val="0"/>
              <w:marBottom w:val="0"/>
              <w:divBdr>
                <w:top w:val="none" w:sz="0" w:space="0" w:color="auto"/>
                <w:left w:val="none" w:sz="0" w:space="0" w:color="auto"/>
                <w:bottom w:val="none" w:sz="0" w:space="0" w:color="auto"/>
                <w:right w:val="none" w:sz="0" w:space="0" w:color="auto"/>
              </w:divBdr>
            </w:div>
            <w:div w:id="1643580020">
              <w:marLeft w:val="0"/>
              <w:marRight w:val="0"/>
              <w:marTop w:val="0"/>
              <w:marBottom w:val="0"/>
              <w:divBdr>
                <w:top w:val="none" w:sz="0" w:space="0" w:color="auto"/>
                <w:left w:val="none" w:sz="0" w:space="0" w:color="auto"/>
                <w:bottom w:val="none" w:sz="0" w:space="0" w:color="auto"/>
                <w:right w:val="none" w:sz="0" w:space="0" w:color="auto"/>
              </w:divBdr>
            </w:div>
            <w:div w:id="1653215836">
              <w:marLeft w:val="0"/>
              <w:marRight w:val="0"/>
              <w:marTop w:val="0"/>
              <w:marBottom w:val="0"/>
              <w:divBdr>
                <w:top w:val="none" w:sz="0" w:space="0" w:color="auto"/>
                <w:left w:val="none" w:sz="0" w:space="0" w:color="auto"/>
                <w:bottom w:val="none" w:sz="0" w:space="0" w:color="auto"/>
                <w:right w:val="none" w:sz="0" w:space="0" w:color="auto"/>
              </w:divBdr>
            </w:div>
            <w:div w:id="1743018883">
              <w:marLeft w:val="0"/>
              <w:marRight w:val="0"/>
              <w:marTop w:val="0"/>
              <w:marBottom w:val="0"/>
              <w:divBdr>
                <w:top w:val="none" w:sz="0" w:space="0" w:color="auto"/>
                <w:left w:val="none" w:sz="0" w:space="0" w:color="auto"/>
                <w:bottom w:val="none" w:sz="0" w:space="0" w:color="auto"/>
                <w:right w:val="none" w:sz="0" w:space="0" w:color="auto"/>
              </w:divBdr>
            </w:div>
            <w:div w:id="1905404845">
              <w:marLeft w:val="0"/>
              <w:marRight w:val="0"/>
              <w:marTop w:val="0"/>
              <w:marBottom w:val="0"/>
              <w:divBdr>
                <w:top w:val="none" w:sz="0" w:space="0" w:color="auto"/>
                <w:left w:val="none" w:sz="0" w:space="0" w:color="auto"/>
                <w:bottom w:val="none" w:sz="0" w:space="0" w:color="auto"/>
                <w:right w:val="none" w:sz="0" w:space="0" w:color="auto"/>
              </w:divBdr>
            </w:div>
            <w:div w:id="1971203646">
              <w:marLeft w:val="0"/>
              <w:marRight w:val="0"/>
              <w:marTop w:val="0"/>
              <w:marBottom w:val="0"/>
              <w:divBdr>
                <w:top w:val="none" w:sz="0" w:space="0" w:color="auto"/>
                <w:left w:val="none" w:sz="0" w:space="0" w:color="auto"/>
                <w:bottom w:val="none" w:sz="0" w:space="0" w:color="auto"/>
                <w:right w:val="none" w:sz="0" w:space="0" w:color="auto"/>
              </w:divBdr>
            </w:div>
          </w:divsChild>
        </w:div>
        <w:div w:id="677076220">
          <w:marLeft w:val="0"/>
          <w:marRight w:val="0"/>
          <w:marTop w:val="0"/>
          <w:marBottom w:val="0"/>
          <w:divBdr>
            <w:top w:val="none" w:sz="0" w:space="0" w:color="auto"/>
            <w:left w:val="none" w:sz="0" w:space="0" w:color="auto"/>
            <w:bottom w:val="none" w:sz="0" w:space="0" w:color="auto"/>
            <w:right w:val="none" w:sz="0" w:space="0" w:color="auto"/>
          </w:divBdr>
        </w:div>
        <w:div w:id="679236330">
          <w:marLeft w:val="0"/>
          <w:marRight w:val="0"/>
          <w:marTop w:val="0"/>
          <w:marBottom w:val="0"/>
          <w:divBdr>
            <w:top w:val="none" w:sz="0" w:space="0" w:color="auto"/>
            <w:left w:val="none" w:sz="0" w:space="0" w:color="auto"/>
            <w:bottom w:val="none" w:sz="0" w:space="0" w:color="auto"/>
            <w:right w:val="none" w:sz="0" w:space="0" w:color="auto"/>
          </w:divBdr>
        </w:div>
        <w:div w:id="679548623">
          <w:marLeft w:val="0"/>
          <w:marRight w:val="0"/>
          <w:marTop w:val="0"/>
          <w:marBottom w:val="0"/>
          <w:divBdr>
            <w:top w:val="none" w:sz="0" w:space="0" w:color="auto"/>
            <w:left w:val="none" w:sz="0" w:space="0" w:color="auto"/>
            <w:bottom w:val="none" w:sz="0" w:space="0" w:color="auto"/>
            <w:right w:val="none" w:sz="0" w:space="0" w:color="auto"/>
          </w:divBdr>
        </w:div>
        <w:div w:id="681206158">
          <w:marLeft w:val="0"/>
          <w:marRight w:val="0"/>
          <w:marTop w:val="0"/>
          <w:marBottom w:val="0"/>
          <w:divBdr>
            <w:top w:val="none" w:sz="0" w:space="0" w:color="auto"/>
            <w:left w:val="none" w:sz="0" w:space="0" w:color="auto"/>
            <w:bottom w:val="none" w:sz="0" w:space="0" w:color="auto"/>
            <w:right w:val="none" w:sz="0" w:space="0" w:color="auto"/>
          </w:divBdr>
        </w:div>
        <w:div w:id="681248790">
          <w:marLeft w:val="0"/>
          <w:marRight w:val="0"/>
          <w:marTop w:val="0"/>
          <w:marBottom w:val="0"/>
          <w:divBdr>
            <w:top w:val="none" w:sz="0" w:space="0" w:color="auto"/>
            <w:left w:val="none" w:sz="0" w:space="0" w:color="auto"/>
            <w:bottom w:val="none" w:sz="0" w:space="0" w:color="auto"/>
            <w:right w:val="none" w:sz="0" w:space="0" w:color="auto"/>
          </w:divBdr>
        </w:div>
        <w:div w:id="681395285">
          <w:marLeft w:val="0"/>
          <w:marRight w:val="0"/>
          <w:marTop w:val="0"/>
          <w:marBottom w:val="0"/>
          <w:divBdr>
            <w:top w:val="none" w:sz="0" w:space="0" w:color="auto"/>
            <w:left w:val="none" w:sz="0" w:space="0" w:color="auto"/>
            <w:bottom w:val="none" w:sz="0" w:space="0" w:color="auto"/>
            <w:right w:val="none" w:sz="0" w:space="0" w:color="auto"/>
          </w:divBdr>
        </w:div>
        <w:div w:id="683703586">
          <w:marLeft w:val="0"/>
          <w:marRight w:val="0"/>
          <w:marTop w:val="0"/>
          <w:marBottom w:val="0"/>
          <w:divBdr>
            <w:top w:val="none" w:sz="0" w:space="0" w:color="auto"/>
            <w:left w:val="none" w:sz="0" w:space="0" w:color="auto"/>
            <w:bottom w:val="none" w:sz="0" w:space="0" w:color="auto"/>
            <w:right w:val="none" w:sz="0" w:space="0" w:color="auto"/>
          </w:divBdr>
        </w:div>
        <w:div w:id="684403597">
          <w:marLeft w:val="0"/>
          <w:marRight w:val="0"/>
          <w:marTop w:val="0"/>
          <w:marBottom w:val="0"/>
          <w:divBdr>
            <w:top w:val="none" w:sz="0" w:space="0" w:color="auto"/>
            <w:left w:val="none" w:sz="0" w:space="0" w:color="auto"/>
            <w:bottom w:val="none" w:sz="0" w:space="0" w:color="auto"/>
            <w:right w:val="none" w:sz="0" w:space="0" w:color="auto"/>
          </w:divBdr>
        </w:div>
        <w:div w:id="686953317">
          <w:marLeft w:val="0"/>
          <w:marRight w:val="0"/>
          <w:marTop w:val="0"/>
          <w:marBottom w:val="0"/>
          <w:divBdr>
            <w:top w:val="none" w:sz="0" w:space="0" w:color="auto"/>
            <w:left w:val="none" w:sz="0" w:space="0" w:color="auto"/>
            <w:bottom w:val="none" w:sz="0" w:space="0" w:color="auto"/>
            <w:right w:val="none" w:sz="0" w:space="0" w:color="auto"/>
          </w:divBdr>
        </w:div>
        <w:div w:id="689725442">
          <w:marLeft w:val="0"/>
          <w:marRight w:val="0"/>
          <w:marTop w:val="0"/>
          <w:marBottom w:val="0"/>
          <w:divBdr>
            <w:top w:val="none" w:sz="0" w:space="0" w:color="auto"/>
            <w:left w:val="none" w:sz="0" w:space="0" w:color="auto"/>
            <w:bottom w:val="none" w:sz="0" w:space="0" w:color="auto"/>
            <w:right w:val="none" w:sz="0" w:space="0" w:color="auto"/>
          </w:divBdr>
        </w:div>
        <w:div w:id="690568135">
          <w:marLeft w:val="0"/>
          <w:marRight w:val="0"/>
          <w:marTop w:val="0"/>
          <w:marBottom w:val="0"/>
          <w:divBdr>
            <w:top w:val="none" w:sz="0" w:space="0" w:color="auto"/>
            <w:left w:val="none" w:sz="0" w:space="0" w:color="auto"/>
            <w:bottom w:val="none" w:sz="0" w:space="0" w:color="auto"/>
            <w:right w:val="none" w:sz="0" w:space="0" w:color="auto"/>
          </w:divBdr>
        </w:div>
        <w:div w:id="691300980">
          <w:marLeft w:val="0"/>
          <w:marRight w:val="0"/>
          <w:marTop w:val="0"/>
          <w:marBottom w:val="0"/>
          <w:divBdr>
            <w:top w:val="none" w:sz="0" w:space="0" w:color="auto"/>
            <w:left w:val="none" w:sz="0" w:space="0" w:color="auto"/>
            <w:bottom w:val="none" w:sz="0" w:space="0" w:color="auto"/>
            <w:right w:val="none" w:sz="0" w:space="0" w:color="auto"/>
          </w:divBdr>
        </w:div>
        <w:div w:id="691341289">
          <w:marLeft w:val="0"/>
          <w:marRight w:val="0"/>
          <w:marTop w:val="0"/>
          <w:marBottom w:val="0"/>
          <w:divBdr>
            <w:top w:val="none" w:sz="0" w:space="0" w:color="auto"/>
            <w:left w:val="none" w:sz="0" w:space="0" w:color="auto"/>
            <w:bottom w:val="none" w:sz="0" w:space="0" w:color="auto"/>
            <w:right w:val="none" w:sz="0" w:space="0" w:color="auto"/>
          </w:divBdr>
          <w:divsChild>
            <w:div w:id="116528140">
              <w:marLeft w:val="0"/>
              <w:marRight w:val="0"/>
              <w:marTop w:val="0"/>
              <w:marBottom w:val="0"/>
              <w:divBdr>
                <w:top w:val="none" w:sz="0" w:space="0" w:color="auto"/>
                <w:left w:val="none" w:sz="0" w:space="0" w:color="auto"/>
                <w:bottom w:val="none" w:sz="0" w:space="0" w:color="auto"/>
                <w:right w:val="none" w:sz="0" w:space="0" w:color="auto"/>
              </w:divBdr>
            </w:div>
            <w:div w:id="173960248">
              <w:marLeft w:val="0"/>
              <w:marRight w:val="0"/>
              <w:marTop w:val="0"/>
              <w:marBottom w:val="0"/>
              <w:divBdr>
                <w:top w:val="none" w:sz="0" w:space="0" w:color="auto"/>
                <w:left w:val="none" w:sz="0" w:space="0" w:color="auto"/>
                <w:bottom w:val="none" w:sz="0" w:space="0" w:color="auto"/>
                <w:right w:val="none" w:sz="0" w:space="0" w:color="auto"/>
              </w:divBdr>
            </w:div>
            <w:div w:id="331228818">
              <w:marLeft w:val="0"/>
              <w:marRight w:val="0"/>
              <w:marTop w:val="0"/>
              <w:marBottom w:val="0"/>
              <w:divBdr>
                <w:top w:val="none" w:sz="0" w:space="0" w:color="auto"/>
                <w:left w:val="none" w:sz="0" w:space="0" w:color="auto"/>
                <w:bottom w:val="none" w:sz="0" w:space="0" w:color="auto"/>
                <w:right w:val="none" w:sz="0" w:space="0" w:color="auto"/>
              </w:divBdr>
            </w:div>
            <w:div w:id="424108103">
              <w:marLeft w:val="0"/>
              <w:marRight w:val="0"/>
              <w:marTop w:val="0"/>
              <w:marBottom w:val="0"/>
              <w:divBdr>
                <w:top w:val="none" w:sz="0" w:space="0" w:color="auto"/>
                <w:left w:val="none" w:sz="0" w:space="0" w:color="auto"/>
                <w:bottom w:val="none" w:sz="0" w:space="0" w:color="auto"/>
                <w:right w:val="none" w:sz="0" w:space="0" w:color="auto"/>
              </w:divBdr>
            </w:div>
            <w:div w:id="473372237">
              <w:marLeft w:val="0"/>
              <w:marRight w:val="0"/>
              <w:marTop w:val="0"/>
              <w:marBottom w:val="0"/>
              <w:divBdr>
                <w:top w:val="none" w:sz="0" w:space="0" w:color="auto"/>
                <w:left w:val="none" w:sz="0" w:space="0" w:color="auto"/>
                <w:bottom w:val="none" w:sz="0" w:space="0" w:color="auto"/>
                <w:right w:val="none" w:sz="0" w:space="0" w:color="auto"/>
              </w:divBdr>
            </w:div>
            <w:div w:id="568613689">
              <w:marLeft w:val="0"/>
              <w:marRight w:val="0"/>
              <w:marTop w:val="0"/>
              <w:marBottom w:val="0"/>
              <w:divBdr>
                <w:top w:val="none" w:sz="0" w:space="0" w:color="auto"/>
                <w:left w:val="none" w:sz="0" w:space="0" w:color="auto"/>
                <w:bottom w:val="none" w:sz="0" w:space="0" w:color="auto"/>
                <w:right w:val="none" w:sz="0" w:space="0" w:color="auto"/>
              </w:divBdr>
            </w:div>
            <w:div w:id="678850154">
              <w:marLeft w:val="0"/>
              <w:marRight w:val="0"/>
              <w:marTop w:val="0"/>
              <w:marBottom w:val="0"/>
              <w:divBdr>
                <w:top w:val="none" w:sz="0" w:space="0" w:color="auto"/>
                <w:left w:val="none" w:sz="0" w:space="0" w:color="auto"/>
                <w:bottom w:val="none" w:sz="0" w:space="0" w:color="auto"/>
                <w:right w:val="none" w:sz="0" w:space="0" w:color="auto"/>
              </w:divBdr>
            </w:div>
            <w:div w:id="795804463">
              <w:marLeft w:val="0"/>
              <w:marRight w:val="0"/>
              <w:marTop w:val="0"/>
              <w:marBottom w:val="0"/>
              <w:divBdr>
                <w:top w:val="none" w:sz="0" w:space="0" w:color="auto"/>
                <w:left w:val="none" w:sz="0" w:space="0" w:color="auto"/>
                <w:bottom w:val="none" w:sz="0" w:space="0" w:color="auto"/>
                <w:right w:val="none" w:sz="0" w:space="0" w:color="auto"/>
              </w:divBdr>
            </w:div>
            <w:div w:id="905140380">
              <w:marLeft w:val="0"/>
              <w:marRight w:val="0"/>
              <w:marTop w:val="0"/>
              <w:marBottom w:val="0"/>
              <w:divBdr>
                <w:top w:val="none" w:sz="0" w:space="0" w:color="auto"/>
                <w:left w:val="none" w:sz="0" w:space="0" w:color="auto"/>
                <w:bottom w:val="none" w:sz="0" w:space="0" w:color="auto"/>
                <w:right w:val="none" w:sz="0" w:space="0" w:color="auto"/>
              </w:divBdr>
            </w:div>
            <w:div w:id="915481076">
              <w:marLeft w:val="0"/>
              <w:marRight w:val="0"/>
              <w:marTop w:val="0"/>
              <w:marBottom w:val="0"/>
              <w:divBdr>
                <w:top w:val="none" w:sz="0" w:space="0" w:color="auto"/>
                <w:left w:val="none" w:sz="0" w:space="0" w:color="auto"/>
                <w:bottom w:val="none" w:sz="0" w:space="0" w:color="auto"/>
                <w:right w:val="none" w:sz="0" w:space="0" w:color="auto"/>
              </w:divBdr>
            </w:div>
            <w:div w:id="934509250">
              <w:marLeft w:val="0"/>
              <w:marRight w:val="0"/>
              <w:marTop w:val="0"/>
              <w:marBottom w:val="0"/>
              <w:divBdr>
                <w:top w:val="none" w:sz="0" w:space="0" w:color="auto"/>
                <w:left w:val="none" w:sz="0" w:space="0" w:color="auto"/>
                <w:bottom w:val="none" w:sz="0" w:space="0" w:color="auto"/>
                <w:right w:val="none" w:sz="0" w:space="0" w:color="auto"/>
              </w:divBdr>
            </w:div>
            <w:div w:id="1007055325">
              <w:marLeft w:val="0"/>
              <w:marRight w:val="0"/>
              <w:marTop w:val="0"/>
              <w:marBottom w:val="0"/>
              <w:divBdr>
                <w:top w:val="none" w:sz="0" w:space="0" w:color="auto"/>
                <w:left w:val="none" w:sz="0" w:space="0" w:color="auto"/>
                <w:bottom w:val="none" w:sz="0" w:space="0" w:color="auto"/>
                <w:right w:val="none" w:sz="0" w:space="0" w:color="auto"/>
              </w:divBdr>
            </w:div>
            <w:div w:id="1191989743">
              <w:marLeft w:val="0"/>
              <w:marRight w:val="0"/>
              <w:marTop w:val="0"/>
              <w:marBottom w:val="0"/>
              <w:divBdr>
                <w:top w:val="none" w:sz="0" w:space="0" w:color="auto"/>
                <w:left w:val="none" w:sz="0" w:space="0" w:color="auto"/>
                <w:bottom w:val="none" w:sz="0" w:space="0" w:color="auto"/>
                <w:right w:val="none" w:sz="0" w:space="0" w:color="auto"/>
              </w:divBdr>
            </w:div>
            <w:div w:id="1483547960">
              <w:marLeft w:val="0"/>
              <w:marRight w:val="0"/>
              <w:marTop w:val="0"/>
              <w:marBottom w:val="0"/>
              <w:divBdr>
                <w:top w:val="none" w:sz="0" w:space="0" w:color="auto"/>
                <w:left w:val="none" w:sz="0" w:space="0" w:color="auto"/>
                <w:bottom w:val="none" w:sz="0" w:space="0" w:color="auto"/>
                <w:right w:val="none" w:sz="0" w:space="0" w:color="auto"/>
              </w:divBdr>
            </w:div>
            <w:div w:id="1940134501">
              <w:marLeft w:val="0"/>
              <w:marRight w:val="0"/>
              <w:marTop w:val="0"/>
              <w:marBottom w:val="0"/>
              <w:divBdr>
                <w:top w:val="none" w:sz="0" w:space="0" w:color="auto"/>
                <w:left w:val="none" w:sz="0" w:space="0" w:color="auto"/>
                <w:bottom w:val="none" w:sz="0" w:space="0" w:color="auto"/>
                <w:right w:val="none" w:sz="0" w:space="0" w:color="auto"/>
              </w:divBdr>
            </w:div>
            <w:div w:id="1988626423">
              <w:marLeft w:val="0"/>
              <w:marRight w:val="0"/>
              <w:marTop w:val="0"/>
              <w:marBottom w:val="0"/>
              <w:divBdr>
                <w:top w:val="none" w:sz="0" w:space="0" w:color="auto"/>
                <w:left w:val="none" w:sz="0" w:space="0" w:color="auto"/>
                <w:bottom w:val="none" w:sz="0" w:space="0" w:color="auto"/>
                <w:right w:val="none" w:sz="0" w:space="0" w:color="auto"/>
              </w:divBdr>
            </w:div>
            <w:div w:id="2090691255">
              <w:marLeft w:val="0"/>
              <w:marRight w:val="0"/>
              <w:marTop w:val="0"/>
              <w:marBottom w:val="0"/>
              <w:divBdr>
                <w:top w:val="none" w:sz="0" w:space="0" w:color="auto"/>
                <w:left w:val="none" w:sz="0" w:space="0" w:color="auto"/>
                <w:bottom w:val="none" w:sz="0" w:space="0" w:color="auto"/>
                <w:right w:val="none" w:sz="0" w:space="0" w:color="auto"/>
              </w:divBdr>
            </w:div>
            <w:div w:id="2117407524">
              <w:marLeft w:val="0"/>
              <w:marRight w:val="0"/>
              <w:marTop w:val="0"/>
              <w:marBottom w:val="0"/>
              <w:divBdr>
                <w:top w:val="none" w:sz="0" w:space="0" w:color="auto"/>
                <w:left w:val="none" w:sz="0" w:space="0" w:color="auto"/>
                <w:bottom w:val="none" w:sz="0" w:space="0" w:color="auto"/>
                <w:right w:val="none" w:sz="0" w:space="0" w:color="auto"/>
              </w:divBdr>
            </w:div>
          </w:divsChild>
        </w:div>
        <w:div w:id="697043878">
          <w:marLeft w:val="0"/>
          <w:marRight w:val="0"/>
          <w:marTop w:val="0"/>
          <w:marBottom w:val="0"/>
          <w:divBdr>
            <w:top w:val="none" w:sz="0" w:space="0" w:color="auto"/>
            <w:left w:val="none" w:sz="0" w:space="0" w:color="auto"/>
            <w:bottom w:val="none" w:sz="0" w:space="0" w:color="auto"/>
            <w:right w:val="none" w:sz="0" w:space="0" w:color="auto"/>
          </w:divBdr>
        </w:div>
        <w:div w:id="703209732">
          <w:marLeft w:val="0"/>
          <w:marRight w:val="0"/>
          <w:marTop w:val="0"/>
          <w:marBottom w:val="0"/>
          <w:divBdr>
            <w:top w:val="none" w:sz="0" w:space="0" w:color="auto"/>
            <w:left w:val="none" w:sz="0" w:space="0" w:color="auto"/>
            <w:bottom w:val="none" w:sz="0" w:space="0" w:color="auto"/>
            <w:right w:val="none" w:sz="0" w:space="0" w:color="auto"/>
          </w:divBdr>
        </w:div>
        <w:div w:id="708603724">
          <w:marLeft w:val="0"/>
          <w:marRight w:val="0"/>
          <w:marTop w:val="0"/>
          <w:marBottom w:val="0"/>
          <w:divBdr>
            <w:top w:val="none" w:sz="0" w:space="0" w:color="auto"/>
            <w:left w:val="none" w:sz="0" w:space="0" w:color="auto"/>
            <w:bottom w:val="none" w:sz="0" w:space="0" w:color="auto"/>
            <w:right w:val="none" w:sz="0" w:space="0" w:color="auto"/>
          </w:divBdr>
        </w:div>
        <w:div w:id="709233730">
          <w:marLeft w:val="0"/>
          <w:marRight w:val="0"/>
          <w:marTop w:val="0"/>
          <w:marBottom w:val="0"/>
          <w:divBdr>
            <w:top w:val="none" w:sz="0" w:space="0" w:color="auto"/>
            <w:left w:val="none" w:sz="0" w:space="0" w:color="auto"/>
            <w:bottom w:val="none" w:sz="0" w:space="0" w:color="auto"/>
            <w:right w:val="none" w:sz="0" w:space="0" w:color="auto"/>
          </w:divBdr>
        </w:div>
        <w:div w:id="709842177">
          <w:marLeft w:val="0"/>
          <w:marRight w:val="0"/>
          <w:marTop w:val="0"/>
          <w:marBottom w:val="0"/>
          <w:divBdr>
            <w:top w:val="none" w:sz="0" w:space="0" w:color="auto"/>
            <w:left w:val="none" w:sz="0" w:space="0" w:color="auto"/>
            <w:bottom w:val="none" w:sz="0" w:space="0" w:color="auto"/>
            <w:right w:val="none" w:sz="0" w:space="0" w:color="auto"/>
          </w:divBdr>
        </w:div>
        <w:div w:id="712771069">
          <w:marLeft w:val="0"/>
          <w:marRight w:val="0"/>
          <w:marTop w:val="0"/>
          <w:marBottom w:val="0"/>
          <w:divBdr>
            <w:top w:val="none" w:sz="0" w:space="0" w:color="auto"/>
            <w:left w:val="none" w:sz="0" w:space="0" w:color="auto"/>
            <w:bottom w:val="none" w:sz="0" w:space="0" w:color="auto"/>
            <w:right w:val="none" w:sz="0" w:space="0" w:color="auto"/>
          </w:divBdr>
          <w:divsChild>
            <w:div w:id="82802657">
              <w:marLeft w:val="0"/>
              <w:marRight w:val="0"/>
              <w:marTop w:val="0"/>
              <w:marBottom w:val="0"/>
              <w:divBdr>
                <w:top w:val="none" w:sz="0" w:space="0" w:color="auto"/>
                <w:left w:val="none" w:sz="0" w:space="0" w:color="auto"/>
                <w:bottom w:val="none" w:sz="0" w:space="0" w:color="auto"/>
                <w:right w:val="none" w:sz="0" w:space="0" w:color="auto"/>
              </w:divBdr>
            </w:div>
            <w:div w:id="558056392">
              <w:marLeft w:val="0"/>
              <w:marRight w:val="0"/>
              <w:marTop w:val="0"/>
              <w:marBottom w:val="0"/>
              <w:divBdr>
                <w:top w:val="none" w:sz="0" w:space="0" w:color="auto"/>
                <w:left w:val="none" w:sz="0" w:space="0" w:color="auto"/>
                <w:bottom w:val="none" w:sz="0" w:space="0" w:color="auto"/>
                <w:right w:val="none" w:sz="0" w:space="0" w:color="auto"/>
              </w:divBdr>
            </w:div>
            <w:div w:id="583536150">
              <w:marLeft w:val="0"/>
              <w:marRight w:val="0"/>
              <w:marTop w:val="0"/>
              <w:marBottom w:val="0"/>
              <w:divBdr>
                <w:top w:val="none" w:sz="0" w:space="0" w:color="auto"/>
                <w:left w:val="none" w:sz="0" w:space="0" w:color="auto"/>
                <w:bottom w:val="none" w:sz="0" w:space="0" w:color="auto"/>
                <w:right w:val="none" w:sz="0" w:space="0" w:color="auto"/>
              </w:divBdr>
            </w:div>
            <w:div w:id="592590203">
              <w:marLeft w:val="0"/>
              <w:marRight w:val="0"/>
              <w:marTop w:val="0"/>
              <w:marBottom w:val="0"/>
              <w:divBdr>
                <w:top w:val="none" w:sz="0" w:space="0" w:color="auto"/>
                <w:left w:val="none" w:sz="0" w:space="0" w:color="auto"/>
                <w:bottom w:val="none" w:sz="0" w:space="0" w:color="auto"/>
                <w:right w:val="none" w:sz="0" w:space="0" w:color="auto"/>
              </w:divBdr>
            </w:div>
            <w:div w:id="690183133">
              <w:marLeft w:val="0"/>
              <w:marRight w:val="0"/>
              <w:marTop w:val="0"/>
              <w:marBottom w:val="0"/>
              <w:divBdr>
                <w:top w:val="none" w:sz="0" w:space="0" w:color="auto"/>
                <w:left w:val="none" w:sz="0" w:space="0" w:color="auto"/>
                <w:bottom w:val="none" w:sz="0" w:space="0" w:color="auto"/>
                <w:right w:val="none" w:sz="0" w:space="0" w:color="auto"/>
              </w:divBdr>
            </w:div>
            <w:div w:id="694036585">
              <w:marLeft w:val="0"/>
              <w:marRight w:val="0"/>
              <w:marTop w:val="0"/>
              <w:marBottom w:val="0"/>
              <w:divBdr>
                <w:top w:val="none" w:sz="0" w:space="0" w:color="auto"/>
                <w:left w:val="none" w:sz="0" w:space="0" w:color="auto"/>
                <w:bottom w:val="none" w:sz="0" w:space="0" w:color="auto"/>
                <w:right w:val="none" w:sz="0" w:space="0" w:color="auto"/>
              </w:divBdr>
            </w:div>
            <w:div w:id="741803043">
              <w:marLeft w:val="0"/>
              <w:marRight w:val="0"/>
              <w:marTop w:val="0"/>
              <w:marBottom w:val="0"/>
              <w:divBdr>
                <w:top w:val="none" w:sz="0" w:space="0" w:color="auto"/>
                <w:left w:val="none" w:sz="0" w:space="0" w:color="auto"/>
                <w:bottom w:val="none" w:sz="0" w:space="0" w:color="auto"/>
                <w:right w:val="none" w:sz="0" w:space="0" w:color="auto"/>
              </w:divBdr>
            </w:div>
            <w:div w:id="831800560">
              <w:marLeft w:val="0"/>
              <w:marRight w:val="0"/>
              <w:marTop w:val="0"/>
              <w:marBottom w:val="0"/>
              <w:divBdr>
                <w:top w:val="none" w:sz="0" w:space="0" w:color="auto"/>
                <w:left w:val="none" w:sz="0" w:space="0" w:color="auto"/>
                <w:bottom w:val="none" w:sz="0" w:space="0" w:color="auto"/>
                <w:right w:val="none" w:sz="0" w:space="0" w:color="auto"/>
              </w:divBdr>
            </w:div>
            <w:div w:id="944653641">
              <w:marLeft w:val="0"/>
              <w:marRight w:val="0"/>
              <w:marTop w:val="0"/>
              <w:marBottom w:val="0"/>
              <w:divBdr>
                <w:top w:val="none" w:sz="0" w:space="0" w:color="auto"/>
                <w:left w:val="none" w:sz="0" w:space="0" w:color="auto"/>
                <w:bottom w:val="none" w:sz="0" w:space="0" w:color="auto"/>
                <w:right w:val="none" w:sz="0" w:space="0" w:color="auto"/>
              </w:divBdr>
            </w:div>
            <w:div w:id="1154102367">
              <w:marLeft w:val="0"/>
              <w:marRight w:val="0"/>
              <w:marTop w:val="0"/>
              <w:marBottom w:val="0"/>
              <w:divBdr>
                <w:top w:val="none" w:sz="0" w:space="0" w:color="auto"/>
                <w:left w:val="none" w:sz="0" w:space="0" w:color="auto"/>
                <w:bottom w:val="none" w:sz="0" w:space="0" w:color="auto"/>
                <w:right w:val="none" w:sz="0" w:space="0" w:color="auto"/>
              </w:divBdr>
            </w:div>
            <w:div w:id="1194197519">
              <w:marLeft w:val="0"/>
              <w:marRight w:val="0"/>
              <w:marTop w:val="0"/>
              <w:marBottom w:val="0"/>
              <w:divBdr>
                <w:top w:val="none" w:sz="0" w:space="0" w:color="auto"/>
                <w:left w:val="none" w:sz="0" w:space="0" w:color="auto"/>
                <w:bottom w:val="none" w:sz="0" w:space="0" w:color="auto"/>
                <w:right w:val="none" w:sz="0" w:space="0" w:color="auto"/>
              </w:divBdr>
            </w:div>
            <w:div w:id="1501312535">
              <w:marLeft w:val="0"/>
              <w:marRight w:val="0"/>
              <w:marTop w:val="0"/>
              <w:marBottom w:val="0"/>
              <w:divBdr>
                <w:top w:val="none" w:sz="0" w:space="0" w:color="auto"/>
                <w:left w:val="none" w:sz="0" w:space="0" w:color="auto"/>
                <w:bottom w:val="none" w:sz="0" w:space="0" w:color="auto"/>
                <w:right w:val="none" w:sz="0" w:space="0" w:color="auto"/>
              </w:divBdr>
            </w:div>
            <w:div w:id="1516262006">
              <w:marLeft w:val="0"/>
              <w:marRight w:val="0"/>
              <w:marTop w:val="0"/>
              <w:marBottom w:val="0"/>
              <w:divBdr>
                <w:top w:val="none" w:sz="0" w:space="0" w:color="auto"/>
                <w:left w:val="none" w:sz="0" w:space="0" w:color="auto"/>
                <w:bottom w:val="none" w:sz="0" w:space="0" w:color="auto"/>
                <w:right w:val="none" w:sz="0" w:space="0" w:color="auto"/>
              </w:divBdr>
            </w:div>
            <w:div w:id="1575890917">
              <w:marLeft w:val="0"/>
              <w:marRight w:val="0"/>
              <w:marTop w:val="0"/>
              <w:marBottom w:val="0"/>
              <w:divBdr>
                <w:top w:val="none" w:sz="0" w:space="0" w:color="auto"/>
                <w:left w:val="none" w:sz="0" w:space="0" w:color="auto"/>
                <w:bottom w:val="none" w:sz="0" w:space="0" w:color="auto"/>
                <w:right w:val="none" w:sz="0" w:space="0" w:color="auto"/>
              </w:divBdr>
            </w:div>
            <w:div w:id="1599287113">
              <w:marLeft w:val="0"/>
              <w:marRight w:val="0"/>
              <w:marTop w:val="0"/>
              <w:marBottom w:val="0"/>
              <w:divBdr>
                <w:top w:val="none" w:sz="0" w:space="0" w:color="auto"/>
                <w:left w:val="none" w:sz="0" w:space="0" w:color="auto"/>
                <w:bottom w:val="none" w:sz="0" w:space="0" w:color="auto"/>
                <w:right w:val="none" w:sz="0" w:space="0" w:color="auto"/>
              </w:divBdr>
            </w:div>
            <w:div w:id="1714766801">
              <w:marLeft w:val="0"/>
              <w:marRight w:val="0"/>
              <w:marTop w:val="0"/>
              <w:marBottom w:val="0"/>
              <w:divBdr>
                <w:top w:val="none" w:sz="0" w:space="0" w:color="auto"/>
                <w:left w:val="none" w:sz="0" w:space="0" w:color="auto"/>
                <w:bottom w:val="none" w:sz="0" w:space="0" w:color="auto"/>
                <w:right w:val="none" w:sz="0" w:space="0" w:color="auto"/>
              </w:divBdr>
            </w:div>
            <w:div w:id="1797407503">
              <w:marLeft w:val="0"/>
              <w:marRight w:val="0"/>
              <w:marTop w:val="0"/>
              <w:marBottom w:val="0"/>
              <w:divBdr>
                <w:top w:val="none" w:sz="0" w:space="0" w:color="auto"/>
                <w:left w:val="none" w:sz="0" w:space="0" w:color="auto"/>
                <w:bottom w:val="none" w:sz="0" w:space="0" w:color="auto"/>
                <w:right w:val="none" w:sz="0" w:space="0" w:color="auto"/>
              </w:divBdr>
            </w:div>
            <w:div w:id="1885747069">
              <w:marLeft w:val="0"/>
              <w:marRight w:val="0"/>
              <w:marTop w:val="0"/>
              <w:marBottom w:val="0"/>
              <w:divBdr>
                <w:top w:val="none" w:sz="0" w:space="0" w:color="auto"/>
                <w:left w:val="none" w:sz="0" w:space="0" w:color="auto"/>
                <w:bottom w:val="none" w:sz="0" w:space="0" w:color="auto"/>
                <w:right w:val="none" w:sz="0" w:space="0" w:color="auto"/>
              </w:divBdr>
            </w:div>
            <w:div w:id="2127507238">
              <w:marLeft w:val="0"/>
              <w:marRight w:val="0"/>
              <w:marTop w:val="0"/>
              <w:marBottom w:val="0"/>
              <w:divBdr>
                <w:top w:val="none" w:sz="0" w:space="0" w:color="auto"/>
                <w:left w:val="none" w:sz="0" w:space="0" w:color="auto"/>
                <w:bottom w:val="none" w:sz="0" w:space="0" w:color="auto"/>
                <w:right w:val="none" w:sz="0" w:space="0" w:color="auto"/>
              </w:divBdr>
            </w:div>
          </w:divsChild>
        </w:div>
        <w:div w:id="713310391">
          <w:marLeft w:val="0"/>
          <w:marRight w:val="0"/>
          <w:marTop w:val="0"/>
          <w:marBottom w:val="0"/>
          <w:divBdr>
            <w:top w:val="none" w:sz="0" w:space="0" w:color="auto"/>
            <w:left w:val="none" w:sz="0" w:space="0" w:color="auto"/>
            <w:bottom w:val="none" w:sz="0" w:space="0" w:color="auto"/>
            <w:right w:val="none" w:sz="0" w:space="0" w:color="auto"/>
          </w:divBdr>
        </w:div>
        <w:div w:id="714084243">
          <w:marLeft w:val="0"/>
          <w:marRight w:val="0"/>
          <w:marTop w:val="0"/>
          <w:marBottom w:val="0"/>
          <w:divBdr>
            <w:top w:val="none" w:sz="0" w:space="0" w:color="auto"/>
            <w:left w:val="none" w:sz="0" w:space="0" w:color="auto"/>
            <w:bottom w:val="none" w:sz="0" w:space="0" w:color="auto"/>
            <w:right w:val="none" w:sz="0" w:space="0" w:color="auto"/>
          </w:divBdr>
        </w:div>
        <w:div w:id="714620051">
          <w:marLeft w:val="0"/>
          <w:marRight w:val="0"/>
          <w:marTop w:val="0"/>
          <w:marBottom w:val="0"/>
          <w:divBdr>
            <w:top w:val="none" w:sz="0" w:space="0" w:color="auto"/>
            <w:left w:val="none" w:sz="0" w:space="0" w:color="auto"/>
            <w:bottom w:val="none" w:sz="0" w:space="0" w:color="auto"/>
            <w:right w:val="none" w:sz="0" w:space="0" w:color="auto"/>
          </w:divBdr>
        </w:div>
        <w:div w:id="714743175">
          <w:marLeft w:val="0"/>
          <w:marRight w:val="0"/>
          <w:marTop w:val="0"/>
          <w:marBottom w:val="0"/>
          <w:divBdr>
            <w:top w:val="none" w:sz="0" w:space="0" w:color="auto"/>
            <w:left w:val="none" w:sz="0" w:space="0" w:color="auto"/>
            <w:bottom w:val="none" w:sz="0" w:space="0" w:color="auto"/>
            <w:right w:val="none" w:sz="0" w:space="0" w:color="auto"/>
          </w:divBdr>
        </w:div>
        <w:div w:id="715354324">
          <w:marLeft w:val="0"/>
          <w:marRight w:val="0"/>
          <w:marTop w:val="0"/>
          <w:marBottom w:val="0"/>
          <w:divBdr>
            <w:top w:val="none" w:sz="0" w:space="0" w:color="auto"/>
            <w:left w:val="none" w:sz="0" w:space="0" w:color="auto"/>
            <w:bottom w:val="none" w:sz="0" w:space="0" w:color="auto"/>
            <w:right w:val="none" w:sz="0" w:space="0" w:color="auto"/>
          </w:divBdr>
        </w:div>
        <w:div w:id="716126174">
          <w:marLeft w:val="0"/>
          <w:marRight w:val="0"/>
          <w:marTop w:val="0"/>
          <w:marBottom w:val="0"/>
          <w:divBdr>
            <w:top w:val="none" w:sz="0" w:space="0" w:color="auto"/>
            <w:left w:val="none" w:sz="0" w:space="0" w:color="auto"/>
            <w:bottom w:val="none" w:sz="0" w:space="0" w:color="auto"/>
            <w:right w:val="none" w:sz="0" w:space="0" w:color="auto"/>
          </w:divBdr>
        </w:div>
        <w:div w:id="716974726">
          <w:marLeft w:val="0"/>
          <w:marRight w:val="0"/>
          <w:marTop w:val="0"/>
          <w:marBottom w:val="0"/>
          <w:divBdr>
            <w:top w:val="none" w:sz="0" w:space="0" w:color="auto"/>
            <w:left w:val="none" w:sz="0" w:space="0" w:color="auto"/>
            <w:bottom w:val="none" w:sz="0" w:space="0" w:color="auto"/>
            <w:right w:val="none" w:sz="0" w:space="0" w:color="auto"/>
          </w:divBdr>
        </w:div>
        <w:div w:id="718013889">
          <w:marLeft w:val="0"/>
          <w:marRight w:val="0"/>
          <w:marTop w:val="0"/>
          <w:marBottom w:val="0"/>
          <w:divBdr>
            <w:top w:val="none" w:sz="0" w:space="0" w:color="auto"/>
            <w:left w:val="none" w:sz="0" w:space="0" w:color="auto"/>
            <w:bottom w:val="none" w:sz="0" w:space="0" w:color="auto"/>
            <w:right w:val="none" w:sz="0" w:space="0" w:color="auto"/>
          </w:divBdr>
        </w:div>
        <w:div w:id="719093104">
          <w:marLeft w:val="0"/>
          <w:marRight w:val="0"/>
          <w:marTop w:val="0"/>
          <w:marBottom w:val="0"/>
          <w:divBdr>
            <w:top w:val="none" w:sz="0" w:space="0" w:color="auto"/>
            <w:left w:val="none" w:sz="0" w:space="0" w:color="auto"/>
            <w:bottom w:val="none" w:sz="0" w:space="0" w:color="auto"/>
            <w:right w:val="none" w:sz="0" w:space="0" w:color="auto"/>
          </w:divBdr>
        </w:div>
        <w:div w:id="719549455">
          <w:marLeft w:val="0"/>
          <w:marRight w:val="0"/>
          <w:marTop w:val="0"/>
          <w:marBottom w:val="0"/>
          <w:divBdr>
            <w:top w:val="none" w:sz="0" w:space="0" w:color="auto"/>
            <w:left w:val="none" w:sz="0" w:space="0" w:color="auto"/>
            <w:bottom w:val="none" w:sz="0" w:space="0" w:color="auto"/>
            <w:right w:val="none" w:sz="0" w:space="0" w:color="auto"/>
          </w:divBdr>
        </w:div>
        <w:div w:id="721447129">
          <w:marLeft w:val="0"/>
          <w:marRight w:val="0"/>
          <w:marTop w:val="0"/>
          <w:marBottom w:val="0"/>
          <w:divBdr>
            <w:top w:val="none" w:sz="0" w:space="0" w:color="auto"/>
            <w:left w:val="none" w:sz="0" w:space="0" w:color="auto"/>
            <w:bottom w:val="none" w:sz="0" w:space="0" w:color="auto"/>
            <w:right w:val="none" w:sz="0" w:space="0" w:color="auto"/>
          </w:divBdr>
        </w:div>
        <w:div w:id="721517834">
          <w:marLeft w:val="0"/>
          <w:marRight w:val="0"/>
          <w:marTop w:val="0"/>
          <w:marBottom w:val="0"/>
          <w:divBdr>
            <w:top w:val="none" w:sz="0" w:space="0" w:color="auto"/>
            <w:left w:val="none" w:sz="0" w:space="0" w:color="auto"/>
            <w:bottom w:val="none" w:sz="0" w:space="0" w:color="auto"/>
            <w:right w:val="none" w:sz="0" w:space="0" w:color="auto"/>
          </w:divBdr>
        </w:div>
        <w:div w:id="722170920">
          <w:marLeft w:val="0"/>
          <w:marRight w:val="0"/>
          <w:marTop w:val="0"/>
          <w:marBottom w:val="0"/>
          <w:divBdr>
            <w:top w:val="none" w:sz="0" w:space="0" w:color="auto"/>
            <w:left w:val="none" w:sz="0" w:space="0" w:color="auto"/>
            <w:bottom w:val="none" w:sz="0" w:space="0" w:color="auto"/>
            <w:right w:val="none" w:sz="0" w:space="0" w:color="auto"/>
          </w:divBdr>
        </w:div>
        <w:div w:id="722488790">
          <w:marLeft w:val="0"/>
          <w:marRight w:val="0"/>
          <w:marTop w:val="0"/>
          <w:marBottom w:val="0"/>
          <w:divBdr>
            <w:top w:val="none" w:sz="0" w:space="0" w:color="auto"/>
            <w:left w:val="none" w:sz="0" w:space="0" w:color="auto"/>
            <w:bottom w:val="none" w:sz="0" w:space="0" w:color="auto"/>
            <w:right w:val="none" w:sz="0" w:space="0" w:color="auto"/>
          </w:divBdr>
        </w:div>
        <w:div w:id="722876603">
          <w:marLeft w:val="0"/>
          <w:marRight w:val="0"/>
          <w:marTop w:val="0"/>
          <w:marBottom w:val="0"/>
          <w:divBdr>
            <w:top w:val="none" w:sz="0" w:space="0" w:color="auto"/>
            <w:left w:val="none" w:sz="0" w:space="0" w:color="auto"/>
            <w:bottom w:val="none" w:sz="0" w:space="0" w:color="auto"/>
            <w:right w:val="none" w:sz="0" w:space="0" w:color="auto"/>
          </w:divBdr>
        </w:div>
        <w:div w:id="723598909">
          <w:marLeft w:val="0"/>
          <w:marRight w:val="0"/>
          <w:marTop w:val="0"/>
          <w:marBottom w:val="0"/>
          <w:divBdr>
            <w:top w:val="none" w:sz="0" w:space="0" w:color="auto"/>
            <w:left w:val="none" w:sz="0" w:space="0" w:color="auto"/>
            <w:bottom w:val="none" w:sz="0" w:space="0" w:color="auto"/>
            <w:right w:val="none" w:sz="0" w:space="0" w:color="auto"/>
          </w:divBdr>
        </w:div>
        <w:div w:id="723992588">
          <w:marLeft w:val="0"/>
          <w:marRight w:val="0"/>
          <w:marTop w:val="0"/>
          <w:marBottom w:val="0"/>
          <w:divBdr>
            <w:top w:val="none" w:sz="0" w:space="0" w:color="auto"/>
            <w:left w:val="none" w:sz="0" w:space="0" w:color="auto"/>
            <w:bottom w:val="none" w:sz="0" w:space="0" w:color="auto"/>
            <w:right w:val="none" w:sz="0" w:space="0" w:color="auto"/>
          </w:divBdr>
        </w:div>
        <w:div w:id="723993649">
          <w:marLeft w:val="0"/>
          <w:marRight w:val="0"/>
          <w:marTop w:val="0"/>
          <w:marBottom w:val="0"/>
          <w:divBdr>
            <w:top w:val="none" w:sz="0" w:space="0" w:color="auto"/>
            <w:left w:val="none" w:sz="0" w:space="0" w:color="auto"/>
            <w:bottom w:val="none" w:sz="0" w:space="0" w:color="auto"/>
            <w:right w:val="none" w:sz="0" w:space="0" w:color="auto"/>
          </w:divBdr>
        </w:div>
        <w:div w:id="726419505">
          <w:marLeft w:val="0"/>
          <w:marRight w:val="0"/>
          <w:marTop w:val="0"/>
          <w:marBottom w:val="0"/>
          <w:divBdr>
            <w:top w:val="none" w:sz="0" w:space="0" w:color="auto"/>
            <w:left w:val="none" w:sz="0" w:space="0" w:color="auto"/>
            <w:bottom w:val="none" w:sz="0" w:space="0" w:color="auto"/>
            <w:right w:val="none" w:sz="0" w:space="0" w:color="auto"/>
          </w:divBdr>
        </w:div>
        <w:div w:id="727071396">
          <w:marLeft w:val="0"/>
          <w:marRight w:val="0"/>
          <w:marTop w:val="0"/>
          <w:marBottom w:val="0"/>
          <w:divBdr>
            <w:top w:val="none" w:sz="0" w:space="0" w:color="auto"/>
            <w:left w:val="none" w:sz="0" w:space="0" w:color="auto"/>
            <w:bottom w:val="none" w:sz="0" w:space="0" w:color="auto"/>
            <w:right w:val="none" w:sz="0" w:space="0" w:color="auto"/>
          </w:divBdr>
        </w:div>
        <w:div w:id="730426669">
          <w:marLeft w:val="0"/>
          <w:marRight w:val="0"/>
          <w:marTop w:val="0"/>
          <w:marBottom w:val="0"/>
          <w:divBdr>
            <w:top w:val="none" w:sz="0" w:space="0" w:color="auto"/>
            <w:left w:val="none" w:sz="0" w:space="0" w:color="auto"/>
            <w:bottom w:val="none" w:sz="0" w:space="0" w:color="auto"/>
            <w:right w:val="none" w:sz="0" w:space="0" w:color="auto"/>
          </w:divBdr>
        </w:div>
        <w:div w:id="731847586">
          <w:marLeft w:val="0"/>
          <w:marRight w:val="0"/>
          <w:marTop w:val="0"/>
          <w:marBottom w:val="0"/>
          <w:divBdr>
            <w:top w:val="none" w:sz="0" w:space="0" w:color="auto"/>
            <w:left w:val="none" w:sz="0" w:space="0" w:color="auto"/>
            <w:bottom w:val="none" w:sz="0" w:space="0" w:color="auto"/>
            <w:right w:val="none" w:sz="0" w:space="0" w:color="auto"/>
          </w:divBdr>
        </w:div>
        <w:div w:id="732123358">
          <w:marLeft w:val="0"/>
          <w:marRight w:val="0"/>
          <w:marTop w:val="0"/>
          <w:marBottom w:val="0"/>
          <w:divBdr>
            <w:top w:val="none" w:sz="0" w:space="0" w:color="auto"/>
            <w:left w:val="none" w:sz="0" w:space="0" w:color="auto"/>
            <w:bottom w:val="none" w:sz="0" w:space="0" w:color="auto"/>
            <w:right w:val="none" w:sz="0" w:space="0" w:color="auto"/>
          </w:divBdr>
        </w:div>
        <w:div w:id="733042022">
          <w:marLeft w:val="0"/>
          <w:marRight w:val="0"/>
          <w:marTop w:val="0"/>
          <w:marBottom w:val="0"/>
          <w:divBdr>
            <w:top w:val="none" w:sz="0" w:space="0" w:color="auto"/>
            <w:left w:val="none" w:sz="0" w:space="0" w:color="auto"/>
            <w:bottom w:val="none" w:sz="0" w:space="0" w:color="auto"/>
            <w:right w:val="none" w:sz="0" w:space="0" w:color="auto"/>
          </w:divBdr>
        </w:div>
        <w:div w:id="733619981">
          <w:marLeft w:val="0"/>
          <w:marRight w:val="0"/>
          <w:marTop w:val="0"/>
          <w:marBottom w:val="0"/>
          <w:divBdr>
            <w:top w:val="none" w:sz="0" w:space="0" w:color="auto"/>
            <w:left w:val="none" w:sz="0" w:space="0" w:color="auto"/>
            <w:bottom w:val="none" w:sz="0" w:space="0" w:color="auto"/>
            <w:right w:val="none" w:sz="0" w:space="0" w:color="auto"/>
          </w:divBdr>
        </w:div>
        <w:div w:id="734202399">
          <w:marLeft w:val="0"/>
          <w:marRight w:val="0"/>
          <w:marTop w:val="0"/>
          <w:marBottom w:val="0"/>
          <w:divBdr>
            <w:top w:val="none" w:sz="0" w:space="0" w:color="auto"/>
            <w:left w:val="none" w:sz="0" w:space="0" w:color="auto"/>
            <w:bottom w:val="none" w:sz="0" w:space="0" w:color="auto"/>
            <w:right w:val="none" w:sz="0" w:space="0" w:color="auto"/>
          </w:divBdr>
        </w:div>
        <w:div w:id="736779929">
          <w:marLeft w:val="0"/>
          <w:marRight w:val="0"/>
          <w:marTop w:val="0"/>
          <w:marBottom w:val="0"/>
          <w:divBdr>
            <w:top w:val="none" w:sz="0" w:space="0" w:color="auto"/>
            <w:left w:val="none" w:sz="0" w:space="0" w:color="auto"/>
            <w:bottom w:val="none" w:sz="0" w:space="0" w:color="auto"/>
            <w:right w:val="none" w:sz="0" w:space="0" w:color="auto"/>
          </w:divBdr>
        </w:div>
        <w:div w:id="736782617">
          <w:marLeft w:val="0"/>
          <w:marRight w:val="0"/>
          <w:marTop w:val="0"/>
          <w:marBottom w:val="0"/>
          <w:divBdr>
            <w:top w:val="none" w:sz="0" w:space="0" w:color="auto"/>
            <w:left w:val="none" w:sz="0" w:space="0" w:color="auto"/>
            <w:bottom w:val="none" w:sz="0" w:space="0" w:color="auto"/>
            <w:right w:val="none" w:sz="0" w:space="0" w:color="auto"/>
          </w:divBdr>
        </w:div>
        <w:div w:id="737097215">
          <w:marLeft w:val="0"/>
          <w:marRight w:val="0"/>
          <w:marTop w:val="0"/>
          <w:marBottom w:val="0"/>
          <w:divBdr>
            <w:top w:val="none" w:sz="0" w:space="0" w:color="auto"/>
            <w:left w:val="none" w:sz="0" w:space="0" w:color="auto"/>
            <w:bottom w:val="none" w:sz="0" w:space="0" w:color="auto"/>
            <w:right w:val="none" w:sz="0" w:space="0" w:color="auto"/>
          </w:divBdr>
        </w:div>
        <w:div w:id="738552257">
          <w:marLeft w:val="0"/>
          <w:marRight w:val="0"/>
          <w:marTop w:val="0"/>
          <w:marBottom w:val="0"/>
          <w:divBdr>
            <w:top w:val="none" w:sz="0" w:space="0" w:color="auto"/>
            <w:left w:val="none" w:sz="0" w:space="0" w:color="auto"/>
            <w:bottom w:val="none" w:sz="0" w:space="0" w:color="auto"/>
            <w:right w:val="none" w:sz="0" w:space="0" w:color="auto"/>
          </w:divBdr>
        </w:div>
        <w:div w:id="740257275">
          <w:marLeft w:val="0"/>
          <w:marRight w:val="0"/>
          <w:marTop w:val="0"/>
          <w:marBottom w:val="0"/>
          <w:divBdr>
            <w:top w:val="none" w:sz="0" w:space="0" w:color="auto"/>
            <w:left w:val="none" w:sz="0" w:space="0" w:color="auto"/>
            <w:bottom w:val="none" w:sz="0" w:space="0" w:color="auto"/>
            <w:right w:val="none" w:sz="0" w:space="0" w:color="auto"/>
          </w:divBdr>
        </w:div>
        <w:div w:id="741370348">
          <w:marLeft w:val="0"/>
          <w:marRight w:val="0"/>
          <w:marTop w:val="0"/>
          <w:marBottom w:val="0"/>
          <w:divBdr>
            <w:top w:val="none" w:sz="0" w:space="0" w:color="auto"/>
            <w:left w:val="none" w:sz="0" w:space="0" w:color="auto"/>
            <w:bottom w:val="none" w:sz="0" w:space="0" w:color="auto"/>
            <w:right w:val="none" w:sz="0" w:space="0" w:color="auto"/>
          </w:divBdr>
        </w:div>
        <w:div w:id="741605425">
          <w:marLeft w:val="0"/>
          <w:marRight w:val="0"/>
          <w:marTop w:val="0"/>
          <w:marBottom w:val="0"/>
          <w:divBdr>
            <w:top w:val="none" w:sz="0" w:space="0" w:color="auto"/>
            <w:left w:val="none" w:sz="0" w:space="0" w:color="auto"/>
            <w:bottom w:val="none" w:sz="0" w:space="0" w:color="auto"/>
            <w:right w:val="none" w:sz="0" w:space="0" w:color="auto"/>
          </w:divBdr>
        </w:div>
        <w:div w:id="743332376">
          <w:marLeft w:val="0"/>
          <w:marRight w:val="0"/>
          <w:marTop w:val="0"/>
          <w:marBottom w:val="0"/>
          <w:divBdr>
            <w:top w:val="none" w:sz="0" w:space="0" w:color="auto"/>
            <w:left w:val="none" w:sz="0" w:space="0" w:color="auto"/>
            <w:bottom w:val="none" w:sz="0" w:space="0" w:color="auto"/>
            <w:right w:val="none" w:sz="0" w:space="0" w:color="auto"/>
          </w:divBdr>
        </w:div>
        <w:div w:id="743531442">
          <w:marLeft w:val="0"/>
          <w:marRight w:val="0"/>
          <w:marTop w:val="0"/>
          <w:marBottom w:val="0"/>
          <w:divBdr>
            <w:top w:val="none" w:sz="0" w:space="0" w:color="auto"/>
            <w:left w:val="none" w:sz="0" w:space="0" w:color="auto"/>
            <w:bottom w:val="none" w:sz="0" w:space="0" w:color="auto"/>
            <w:right w:val="none" w:sz="0" w:space="0" w:color="auto"/>
          </w:divBdr>
        </w:div>
        <w:div w:id="746076983">
          <w:marLeft w:val="0"/>
          <w:marRight w:val="0"/>
          <w:marTop w:val="0"/>
          <w:marBottom w:val="0"/>
          <w:divBdr>
            <w:top w:val="none" w:sz="0" w:space="0" w:color="auto"/>
            <w:left w:val="none" w:sz="0" w:space="0" w:color="auto"/>
            <w:bottom w:val="none" w:sz="0" w:space="0" w:color="auto"/>
            <w:right w:val="none" w:sz="0" w:space="0" w:color="auto"/>
          </w:divBdr>
        </w:div>
        <w:div w:id="747579824">
          <w:marLeft w:val="0"/>
          <w:marRight w:val="0"/>
          <w:marTop w:val="0"/>
          <w:marBottom w:val="0"/>
          <w:divBdr>
            <w:top w:val="none" w:sz="0" w:space="0" w:color="auto"/>
            <w:left w:val="none" w:sz="0" w:space="0" w:color="auto"/>
            <w:bottom w:val="none" w:sz="0" w:space="0" w:color="auto"/>
            <w:right w:val="none" w:sz="0" w:space="0" w:color="auto"/>
          </w:divBdr>
        </w:div>
        <w:div w:id="748187986">
          <w:marLeft w:val="0"/>
          <w:marRight w:val="0"/>
          <w:marTop w:val="0"/>
          <w:marBottom w:val="0"/>
          <w:divBdr>
            <w:top w:val="none" w:sz="0" w:space="0" w:color="auto"/>
            <w:left w:val="none" w:sz="0" w:space="0" w:color="auto"/>
            <w:bottom w:val="none" w:sz="0" w:space="0" w:color="auto"/>
            <w:right w:val="none" w:sz="0" w:space="0" w:color="auto"/>
          </w:divBdr>
        </w:div>
        <w:div w:id="750545414">
          <w:marLeft w:val="0"/>
          <w:marRight w:val="0"/>
          <w:marTop w:val="0"/>
          <w:marBottom w:val="0"/>
          <w:divBdr>
            <w:top w:val="none" w:sz="0" w:space="0" w:color="auto"/>
            <w:left w:val="none" w:sz="0" w:space="0" w:color="auto"/>
            <w:bottom w:val="none" w:sz="0" w:space="0" w:color="auto"/>
            <w:right w:val="none" w:sz="0" w:space="0" w:color="auto"/>
          </w:divBdr>
        </w:div>
        <w:div w:id="751390323">
          <w:marLeft w:val="0"/>
          <w:marRight w:val="0"/>
          <w:marTop w:val="0"/>
          <w:marBottom w:val="0"/>
          <w:divBdr>
            <w:top w:val="none" w:sz="0" w:space="0" w:color="auto"/>
            <w:left w:val="none" w:sz="0" w:space="0" w:color="auto"/>
            <w:bottom w:val="none" w:sz="0" w:space="0" w:color="auto"/>
            <w:right w:val="none" w:sz="0" w:space="0" w:color="auto"/>
          </w:divBdr>
        </w:div>
        <w:div w:id="751507952">
          <w:marLeft w:val="0"/>
          <w:marRight w:val="0"/>
          <w:marTop w:val="0"/>
          <w:marBottom w:val="0"/>
          <w:divBdr>
            <w:top w:val="none" w:sz="0" w:space="0" w:color="auto"/>
            <w:left w:val="none" w:sz="0" w:space="0" w:color="auto"/>
            <w:bottom w:val="none" w:sz="0" w:space="0" w:color="auto"/>
            <w:right w:val="none" w:sz="0" w:space="0" w:color="auto"/>
          </w:divBdr>
        </w:div>
        <w:div w:id="752238372">
          <w:marLeft w:val="0"/>
          <w:marRight w:val="0"/>
          <w:marTop w:val="0"/>
          <w:marBottom w:val="0"/>
          <w:divBdr>
            <w:top w:val="none" w:sz="0" w:space="0" w:color="auto"/>
            <w:left w:val="none" w:sz="0" w:space="0" w:color="auto"/>
            <w:bottom w:val="none" w:sz="0" w:space="0" w:color="auto"/>
            <w:right w:val="none" w:sz="0" w:space="0" w:color="auto"/>
          </w:divBdr>
        </w:div>
        <w:div w:id="752581269">
          <w:marLeft w:val="0"/>
          <w:marRight w:val="0"/>
          <w:marTop w:val="0"/>
          <w:marBottom w:val="0"/>
          <w:divBdr>
            <w:top w:val="none" w:sz="0" w:space="0" w:color="auto"/>
            <w:left w:val="none" w:sz="0" w:space="0" w:color="auto"/>
            <w:bottom w:val="none" w:sz="0" w:space="0" w:color="auto"/>
            <w:right w:val="none" w:sz="0" w:space="0" w:color="auto"/>
          </w:divBdr>
        </w:div>
        <w:div w:id="753088258">
          <w:marLeft w:val="0"/>
          <w:marRight w:val="0"/>
          <w:marTop w:val="0"/>
          <w:marBottom w:val="0"/>
          <w:divBdr>
            <w:top w:val="none" w:sz="0" w:space="0" w:color="auto"/>
            <w:left w:val="none" w:sz="0" w:space="0" w:color="auto"/>
            <w:bottom w:val="none" w:sz="0" w:space="0" w:color="auto"/>
            <w:right w:val="none" w:sz="0" w:space="0" w:color="auto"/>
          </w:divBdr>
        </w:div>
        <w:div w:id="753166320">
          <w:marLeft w:val="0"/>
          <w:marRight w:val="0"/>
          <w:marTop w:val="0"/>
          <w:marBottom w:val="0"/>
          <w:divBdr>
            <w:top w:val="none" w:sz="0" w:space="0" w:color="auto"/>
            <w:left w:val="none" w:sz="0" w:space="0" w:color="auto"/>
            <w:bottom w:val="none" w:sz="0" w:space="0" w:color="auto"/>
            <w:right w:val="none" w:sz="0" w:space="0" w:color="auto"/>
          </w:divBdr>
        </w:div>
        <w:div w:id="753430961">
          <w:marLeft w:val="0"/>
          <w:marRight w:val="0"/>
          <w:marTop w:val="0"/>
          <w:marBottom w:val="0"/>
          <w:divBdr>
            <w:top w:val="none" w:sz="0" w:space="0" w:color="auto"/>
            <w:left w:val="none" w:sz="0" w:space="0" w:color="auto"/>
            <w:bottom w:val="none" w:sz="0" w:space="0" w:color="auto"/>
            <w:right w:val="none" w:sz="0" w:space="0" w:color="auto"/>
          </w:divBdr>
          <w:divsChild>
            <w:div w:id="402064117">
              <w:marLeft w:val="0"/>
              <w:marRight w:val="0"/>
              <w:marTop w:val="0"/>
              <w:marBottom w:val="0"/>
              <w:divBdr>
                <w:top w:val="none" w:sz="0" w:space="0" w:color="auto"/>
                <w:left w:val="none" w:sz="0" w:space="0" w:color="auto"/>
                <w:bottom w:val="none" w:sz="0" w:space="0" w:color="auto"/>
                <w:right w:val="none" w:sz="0" w:space="0" w:color="auto"/>
              </w:divBdr>
            </w:div>
            <w:div w:id="474374976">
              <w:marLeft w:val="0"/>
              <w:marRight w:val="0"/>
              <w:marTop w:val="0"/>
              <w:marBottom w:val="0"/>
              <w:divBdr>
                <w:top w:val="none" w:sz="0" w:space="0" w:color="auto"/>
                <w:left w:val="none" w:sz="0" w:space="0" w:color="auto"/>
                <w:bottom w:val="none" w:sz="0" w:space="0" w:color="auto"/>
                <w:right w:val="none" w:sz="0" w:space="0" w:color="auto"/>
              </w:divBdr>
            </w:div>
            <w:div w:id="612783199">
              <w:marLeft w:val="0"/>
              <w:marRight w:val="0"/>
              <w:marTop w:val="0"/>
              <w:marBottom w:val="0"/>
              <w:divBdr>
                <w:top w:val="none" w:sz="0" w:space="0" w:color="auto"/>
                <w:left w:val="none" w:sz="0" w:space="0" w:color="auto"/>
                <w:bottom w:val="none" w:sz="0" w:space="0" w:color="auto"/>
                <w:right w:val="none" w:sz="0" w:space="0" w:color="auto"/>
              </w:divBdr>
            </w:div>
            <w:div w:id="830874766">
              <w:marLeft w:val="0"/>
              <w:marRight w:val="0"/>
              <w:marTop w:val="0"/>
              <w:marBottom w:val="0"/>
              <w:divBdr>
                <w:top w:val="none" w:sz="0" w:space="0" w:color="auto"/>
                <w:left w:val="none" w:sz="0" w:space="0" w:color="auto"/>
                <w:bottom w:val="none" w:sz="0" w:space="0" w:color="auto"/>
                <w:right w:val="none" w:sz="0" w:space="0" w:color="auto"/>
              </w:divBdr>
            </w:div>
            <w:div w:id="907232960">
              <w:marLeft w:val="0"/>
              <w:marRight w:val="0"/>
              <w:marTop w:val="0"/>
              <w:marBottom w:val="0"/>
              <w:divBdr>
                <w:top w:val="none" w:sz="0" w:space="0" w:color="auto"/>
                <w:left w:val="none" w:sz="0" w:space="0" w:color="auto"/>
                <w:bottom w:val="none" w:sz="0" w:space="0" w:color="auto"/>
                <w:right w:val="none" w:sz="0" w:space="0" w:color="auto"/>
              </w:divBdr>
            </w:div>
            <w:div w:id="908807485">
              <w:marLeft w:val="0"/>
              <w:marRight w:val="0"/>
              <w:marTop w:val="0"/>
              <w:marBottom w:val="0"/>
              <w:divBdr>
                <w:top w:val="none" w:sz="0" w:space="0" w:color="auto"/>
                <w:left w:val="none" w:sz="0" w:space="0" w:color="auto"/>
                <w:bottom w:val="none" w:sz="0" w:space="0" w:color="auto"/>
                <w:right w:val="none" w:sz="0" w:space="0" w:color="auto"/>
              </w:divBdr>
            </w:div>
            <w:div w:id="932398720">
              <w:marLeft w:val="0"/>
              <w:marRight w:val="0"/>
              <w:marTop w:val="0"/>
              <w:marBottom w:val="0"/>
              <w:divBdr>
                <w:top w:val="none" w:sz="0" w:space="0" w:color="auto"/>
                <w:left w:val="none" w:sz="0" w:space="0" w:color="auto"/>
                <w:bottom w:val="none" w:sz="0" w:space="0" w:color="auto"/>
                <w:right w:val="none" w:sz="0" w:space="0" w:color="auto"/>
              </w:divBdr>
            </w:div>
            <w:div w:id="1147286983">
              <w:marLeft w:val="0"/>
              <w:marRight w:val="0"/>
              <w:marTop w:val="0"/>
              <w:marBottom w:val="0"/>
              <w:divBdr>
                <w:top w:val="none" w:sz="0" w:space="0" w:color="auto"/>
                <w:left w:val="none" w:sz="0" w:space="0" w:color="auto"/>
                <w:bottom w:val="none" w:sz="0" w:space="0" w:color="auto"/>
                <w:right w:val="none" w:sz="0" w:space="0" w:color="auto"/>
              </w:divBdr>
            </w:div>
            <w:div w:id="1310399779">
              <w:marLeft w:val="0"/>
              <w:marRight w:val="0"/>
              <w:marTop w:val="0"/>
              <w:marBottom w:val="0"/>
              <w:divBdr>
                <w:top w:val="none" w:sz="0" w:space="0" w:color="auto"/>
                <w:left w:val="none" w:sz="0" w:space="0" w:color="auto"/>
                <w:bottom w:val="none" w:sz="0" w:space="0" w:color="auto"/>
                <w:right w:val="none" w:sz="0" w:space="0" w:color="auto"/>
              </w:divBdr>
            </w:div>
            <w:div w:id="1385828856">
              <w:marLeft w:val="0"/>
              <w:marRight w:val="0"/>
              <w:marTop w:val="0"/>
              <w:marBottom w:val="0"/>
              <w:divBdr>
                <w:top w:val="none" w:sz="0" w:space="0" w:color="auto"/>
                <w:left w:val="none" w:sz="0" w:space="0" w:color="auto"/>
                <w:bottom w:val="none" w:sz="0" w:space="0" w:color="auto"/>
                <w:right w:val="none" w:sz="0" w:space="0" w:color="auto"/>
              </w:divBdr>
            </w:div>
            <w:div w:id="1504323601">
              <w:marLeft w:val="0"/>
              <w:marRight w:val="0"/>
              <w:marTop w:val="0"/>
              <w:marBottom w:val="0"/>
              <w:divBdr>
                <w:top w:val="none" w:sz="0" w:space="0" w:color="auto"/>
                <w:left w:val="none" w:sz="0" w:space="0" w:color="auto"/>
                <w:bottom w:val="none" w:sz="0" w:space="0" w:color="auto"/>
                <w:right w:val="none" w:sz="0" w:space="0" w:color="auto"/>
              </w:divBdr>
            </w:div>
            <w:div w:id="1854958056">
              <w:marLeft w:val="0"/>
              <w:marRight w:val="0"/>
              <w:marTop w:val="0"/>
              <w:marBottom w:val="0"/>
              <w:divBdr>
                <w:top w:val="none" w:sz="0" w:space="0" w:color="auto"/>
                <w:left w:val="none" w:sz="0" w:space="0" w:color="auto"/>
                <w:bottom w:val="none" w:sz="0" w:space="0" w:color="auto"/>
                <w:right w:val="none" w:sz="0" w:space="0" w:color="auto"/>
              </w:divBdr>
            </w:div>
            <w:div w:id="1953592242">
              <w:marLeft w:val="0"/>
              <w:marRight w:val="0"/>
              <w:marTop w:val="0"/>
              <w:marBottom w:val="0"/>
              <w:divBdr>
                <w:top w:val="none" w:sz="0" w:space="0" w:color="auto"/>
                <w:left w:val="none" w:sz="0" w:space="0" w:color="auto"/>
                <w:bottom w:val="none" w:sz="0" w:space="0" w:color="auto"/>
                <w:right w:val="none" w:sz="0" w:space="0" w:color="auto"/>
              </w:divBdr>
            </w:div>
            <w:div w:id="2041322229">
              <w:marLeft w:val="0"/>
              <w:marRight w:val="0"/>
              <w:marTop w:val="0"/>
              <w:marBottom w:val="0"/>
              <w:divBdr>
                <w:top w:val="none" w:sz="0" w:space="0" w:color="auto"/>
                <w:left w:val="none" w:sz="0" w:space="0" w:color="auto"/>
                <w:bottom w:val="none" w:sz="0" w:space="0" w:color="auto"/>
                <w:right w:val="none" w:sz="0" w:space="0" w:color="auto"/>
              </w:divBdr>
            </w:div>
            <w:div w:id="2055881471">
              <w:marLeft w:val="0"/>
              <w:marRight w:val="0"/>
              <w:marTop w:val="0"/>
              <w:marBottom w:val="0"/>
              <w:divBdr>
                <w:top w:val="none" w:sz="0" w:space="0" w:color="auto"/>
                <w:left w:val="none" w:sz="0" w:space="0" w:color="auto"/>
                <w:bottom w:val="none" w:sz="0" w:space="0" w:color="auto"/>
                <w:right w:val="none" w:sz="0" w:space="0" w:color="auto"/>
              </w:divBdr>
            </w:div>
          </w:divsChild>
        </w:div>
        <w:div w:id="754739259">
          <w:marLeft w:val="0"/>
          <w:marRight w:val="0"/>
          <w:marTop w:val="0"/>
          <w:marBottom w:val="0"/>
          <w:divBdr>
            <w:top w:val="none" w:sz="0" w:space="0" w:color="auto"/>
            <w:left w:val="none" w:sz="0" w:space="0" w:color="auto"/>
            <w:bottom w:val="none" w:sz="0" w:space="0" w:color="auto"/>
            <w:right w:val="none" w:sz="0" w:space="0" w:color="auto"/>
          </w:divBdr>
        </w:div>
        <w:div w:id="757486631">
          <w:marLeft w:val="0"/>
          <w:marRight w:val="0"/>
          <w:marTop w:val="0"/>
          <w:marBottom w:val="0"/>
          <w:divBdr>
            <w:top w:val="none" w:sz="0" w:space="0" w:color="auto"/>
            <w:left w:val="none" w:sz="0" w:space="0" w:color="auto"/>
            <w:bottom w:val="none" w:sz="0" w:space="0" w:color="auto"/>
            <w:right w:val="none" w:sz="0" w:space="0" w:color="auto"/>
          </w:divBdr>
        </w:div>
        <w:div w:id="759908819">
          <w:marLeft w:val="0"/>
          <w:marRight w:val="0"/>
          <w:marTop w:val="0"/>
          <w:marBottom w:val="0"/>
          <w:divBdr>
            <w:top w:val="none" w:sz="0" w:space="0" w:color="auto"/>
            <w:left w:val="none" w:sz="0" w:space="0" w:color="auto"/>
            <w:bottom w:val="none" w:sz="0" w:space="0" w:color="auto"/>
            <w:right w:val="none" w:sz="0" w:space="0" w:color="auto"/>
          </w:divBdr>
        </w:div>
        <w:div w:id="762799318">
          <w:marLeft w:val="0"/>
          <w:marRight w:val="0"/>
          <w:marTop w:val="0"/>
          <w:marBottom w:val="0"/>
          <w:divBdr>
            <w:top w:val="none" w:sz="0" w:space="0" w:color="auto"/>
            <w:left w:val="none" w:sz="0" w:space="0" w:color="auto"/>
            <w:bottom w:val="none" w:sz="0" w:space="0" w:color="auto"/>
            <w:right w:val="none" w:sz="0" w:space="0" w:color="auto"/>
          </w:divBdr>
          <w:divsChild>
            <w:div w:id="107051128">
              <w:marLeft w:val="0"/>
              <w:marRight w:val="0"/>
              <w:marTop w:val="0"/>
              <w:marBottom w:val="0"/>
              <w:divBdr>
                <w:top w:val="none" w:sz="0" w:space="0" w:color="auto"/>
                <w:left w:val="none" w:sz="0" w:space="0" w:color="auto"/>
                <w:bottom w:val="none" w:sz="0" w:space="0" w:color="auto"/>
                <w:right w:val="none" w:sz="0" w:space="0" w:color="auto"/>
              </w:divBdr>
            </w:div>
            <w:div w:id="217475424">
              <w:marLeft w:val="0"/>
              <w:marRight w:val="0"/>
              <w:marTop w:val="0"/>
              <w:marBottom w:val="0"/>
              <w:divBdr>
                <w:top w:val="none" w:sz="0" w:space="0" w:color="auto"/>
                <w:left w:val="none" w:sz="0" w:space="0" w:color="auto"/>
                <w:bottom w:val="none" w:sz="0" w:space="0" w:color="auto"/>
                <w:right w:val="none" w:sz="0" w:space="0" w:color="auto"/>
              </w:divBdr>
            </w:div>
            <w:div w:id="225604451">
              <w:marLeft w:val="0"/>
              <w:marRight w:val="0"/>
              <w:marTop w:val="0"/>
              <w:marBottom w:val="0"/>
              <w:divBdr>
                <w:top w:val="none" w:sz="0" w:space="0" w:color="auto"/>
                <w:left w:val="none" w:sz="0" w:space="0" w:color="auto"/>
                <w:bottom w:val="none" w:sz="0" w:space="0" w:color="auto"/>
                <w:right w:val="none" w:sz="0" w:space="0" w:color="auto"/>
              </w:divBdr>
            </w:div>
            <w:div w:id="690759908">
              <w:marLeft w:val="0"/>
              <w:marRight w:val="0"/>
              <w:marTop w:val="0"/>
              <w:marBottom w:val="0"/>
              <w:divBdr>
                <w:top w:val="none" w:sz="0" w:space="0" w:color="auto"/>
                <w:left w:val="none" w:sz="0" w:space="0" w:color="auto"/>
                <w:bottom w:val="none" w:sz="0" w:space="0" w:color="auto"/>
                <w:right w:val="none" w:sz="0" w:space="0" w:color="auto"/>
              </w:divBdr>
            </w:div>
            <w:div w:id="872382316">
              <w:marLeft w:val="0"/>
              <w:marRight w:val="0"/>
              <w:marTop w:val="0"/>
              <w:marBottom w:val="0"/>
              <w:divBdr>
                <w:top w:val="none" w:sz="0" w:space="0" w:color="auto"/>
                <w:left w:val="none" w:sz="0" w:space="0" w:color="auto"/>
                <w:bottom w:val="none" w:sz="0" w:space="0" w:color="auto"/>
                <w:right w:val="none" w:sz="0" w:space="0" w:color="auto"/>
              </w:divBdr>
            </w:div>
            <w:div w:id="948468823">
              <w:marLeft w:val="0"/>
              <w:marRight w:val="0"/>
              <w:marTop w:val="0"/>
              <w:marBottom w:val="0"/>
              <w:divBdr>
                <w:top w:val="none" w:sz="0" w:space="0" w:color="auto"/>
                <w:left w:val="none" w:sz="0" w:space="0" w:color="auto"/>
                <w:bottom w:val="none" w:sz="0" w:space="0" w:color="auto"/>
                <w:right w:val="none" w:sz="0" w:space="0" w:color="auto"/>
              </w:divBdr>
            </w:div>
            <w:div w:id="1091313159">
              <w:marLeft w:val="0"/>
              <w:marRight w:val="0"/>
              <w:marTop w:val="0"/>
              <w:marBottom w:val="0"/>
              <w:divBdr>
                <w:top w:val="none" w:sz="0" w:space="0" w:color="auto"/>
                <w:left w:val="none" w:sz="0" w:space="0" w:color="auto"/>
                <w:bottom w:val="none" w:sz="0" w:space="0" w:color="auto"/>
                <w:right w:val="none" w:sz="0" w:space="0" w:color="auto"/>
              </w:divBdr>
            </w:div>
            <w:div w:id="1265000449">
              <w:marLeft w:val="0"/>
              <w:marRight w:val="0"/>
              <w:marTop w:val="0"/>
              <w:marBottom w:val="0"/>
              <w:divBdr>
                <w:top w:val="none" w:sz="0" w:space="0" w:color="auto"/>
                <w:left w:val="none" w:sz="0" w:space="0" w:color="auto"/>
                <w:bottom w:val="none" w:sz="0" w:space="0" w:color="auto"/>
                <w:right w:val="none" w:sz="0" w:space="0" w:color="auto"/>
              </w:divBdr>
            </w:div>
            <w:div w:id="1266310061">
              <w:marLeft w:val="0"/>
              <w:marRight w:val="0"/>
              <w:marTop w:val="0"/>
              <w:marBottom w:val="0"/>
              <w:divBdr>
                <w:top w:val="none" w:sz="0" w:space="0" w:color="auto"/>
                <w:left w:val="none" w:sz="0" w:space="0" w:color="auto"/>
                <w:bottom w:val="none" w:sz="0" w:space="0" w:color="auto"/>
                <w:right w:val="none" w:sz="0" w:space="0" w:color="auto"/>
              </w:divBdr>
            </w:div>
            <w:div w:id="1294099920">
              <w:marLeft w:val="0"/>
              <w:marRight w:val="0"/>
              <w:marTop w:val="0"/>
              <w:marBottom w:val="0"/>
              <w:divBdr>
                <w:top w:val="none" w:sz="0" w:space="0" w:color="auto"/>
                <w:left w:val="none" w:sz="0" w:space="0" w:color="auto"/>
                <w:bottom w:val="none" w:sz="0" w:space="0" w:color="auto"/>
                <w:right w:val="none" w:sz="0" w:space="0" w:color="auto"/>
              </w:divBdr>
            </w:div>
            <w:div w:id="1474060885">
              <w:marLeft w:val="0"/>
              <w:marRight w:val="0"/>
              <w:marTop w:val="0"/>
              <w:marBottom w:val="0"/>
              <w:divBdr>
                <w:top w:val="none" w:sz="0" w:space="0" w:color="auto"/>
                <w:left w:val="none" w:sz="0" w:space="0" w:color="auto"/>
                <w:bottom w:val="none" w:sz="0" w:space="0" w:color="auto"/>
                <w:right w:val="none" w:sz="0" w:space="0" w:color="auto"/>
              </w:divBdr>
            </w:div>
            <w:div w:id="1482502575">
              <w:marLeft w:val="0"/>
              <w:marRight w:val="0"/>
              <w:marTop w:val="0"/>
              <w:marBottom w:val="0"/>
              <w:divBdr>
                <w:top w:val="none" w:sz="0" w:space="0" w:color="auto"/>
                <w:left w:val="none" w:sz="0" w:space="0" w:color="auto"/>
                <w:bottom w:val="none" w:sz="0" w:space="0" w:color="auto"/>
                <w:right w:val="none" w:sz="0" w:space="0" w:color="auto"/>
              </w:divBdr>
            </w:div>
            <w:div w:id="1968121377">
              <w:marLeft w:val="0"/>
              <w:marRight w:val="0"/>
              <w:marTop w:val="0"/>
              <w:marBottom w:val="0"/>
              <w:divBdr>
                <w:top w:val="none" w:sz="0" w:space="0" w:color="auto"/>
                <w:left w:val="none" w:sz="0" w:space="0" w:color="auto"/>
                <w:bottom w:val="none" w:sz="0" w:space="0" w:color="auto"/>
                <w:right w:val="none" w:sz="0" w:space="0" w:color="auto"/>
              </w:divBdr>
            </w:div>
            <w:div w:id="2113696614">
              <w:marLeft w:val="0"/>
              <w:marRight w:val="0"/>
              <w:marTop w:val="0"/>
              <w:marBottom w:val="0"/>
              <w:divBdr>
                <w:top w:val="none" w:sz="0" w:space="0" w:color="auto"/>
                <w:left w:val="none" w:sz="0" w:space="0" w:color="auto"/>
                <w:bottom w:val="none" w:sz="0" w:space="0" w:color="auto"/>
                <w:right w:val="none" w:sz="0" w:space="0" w:color="auto"/>
              </w:divBdr>
            </w:div>
          </w:divsChild>
        </w:div>
        <w:div w:id="764570285">
          <w:marLeft w:val="0"/>
          <w:marRight w:val="0"/>
          <w:marTop w:val="0"/>
          <w:marBottom w:val="0"/>
          <w:divBdr>
            <w:top w:val="none" w:sz="0" w:space="0" w:color="auto"/>
            <w:left w:val="none" w:sz="0" w:space="0" w:color="auto"/>
            <w:bottom w:val="none" w:sz="0" w:space="0" w:color="auto"/>
            <w:right w:val="none" w:sz="0" w:space="0" w:color="auto"/>
          </w:divBdr>
        </w:div>
        <w:div w:id="766077901">
          <w:marLeft w:val="0"/>
          <w:marRight w:val="0"/>
          <w:marTop w:val="0"/>
          <w:marBottom w:val="0"/>
          <w:divBdr>
            <w:top w:val="none" w:sz="0" w:space="0" w:color="auto"/>
            <w:left w:val="none" w:sz="0" w:space="0" w:color="auto"/>
            <w:bottom w:val="none" w:sz="0" w:space="0" w:color="auto"/>
            <w:right w:val="none" w:sz="0" w:space="0" w:color="auto"/>
          </w:divBdr>
        </w:div>
        <w:div w:id="767122647">
          <w:marLeft w:val="0"/>
          <w:marRight w:val="0"/>
          <w:marTop w:val="0"/>
          <w:marBottom w:val="0"/>
          <w:divBdr>
            <w:top w:val="none" w:sz="0" w:space="0" w:color="auto"/>
            <w:left w:val="none" w:sz="0" w:space="0" w:color="auto"/>
            <w:bottom w:val="none" w:sz="0" w:space="0" w:color="auto"/>
            <w:right w:val="none" w:sz="0" w:space="0" w:color="auto"/>
          </w:divBdr>
        </w:div>
        <w:div w:id="767774779">
          <w:marLeft w:val="0"/>
          <w:marRight w:val="0"/>
          <w:marTop w:val="0"/>
          <w:marBottom w:val="0"/>
          <w:divBdr>
            <w:top w:val="none" w:sz="0" w:space="0" w:color="auto"/>
            <w:left w:val="none" w:sz="0" w:space="0" w:color="auto"/>
            <w:bottom w:val="none" w:sz="0" w:space="0" w:color="auto"/>
            <w:right w:val="none" w:sz="0" w:space="0" w:color="auto"/>
          </w:divBdr>
        </w:div>
        <w:div w:id="767777659">
          <w:marLeft w:val="0"/>
          <w:marRight w:val="0"/>
          <w:marTop w:val="0"/>
          <w:marBottom w:val="0"/>
          <w:divBdr>
            <w:top w:val="none" w:sz="0" w:space="0" w:color="auto"/>
            <w:left w:val="none" w:sz="0" w:space="0" w:color="auto"/>
            <w:bottom w:val="none" w:sz="0" w:space="0" w:color="auto"/>
            <w:right w:val="none" w:sz="0" w:space="0" w:color="auto"/>
          </w:divBdr>
        </w:div>
        <w:div w:id="768696623">
          <w:marLeft w:val="0"/>
          <w:marRight w:val="0"/>
          <w:marTop w:val="0"/>
          <w:marBottom w:val="0"/>
          <w:divBdr>
            <w:top w:val="none" w:sz="0" w:space="0" w:color="auto"/>
            <w:left w:val="none" w:sz="0" w:space="0" w:color="auto"/>
            <w:bottom w:val="none" w:sz="0" w:space="0" w:color="auto"/>
            <w:right w:val="none" w:sz="0" w:space="0" w:color="auto"/>
          </w:divBdr>
        </w:div>
        <w:div w:id="768892487">
          <w:marLeft w:val="0"/>
          <w:marRight w:val="0"/>
          <w:marTop w:val="0"/>
          <w:marBottom w:val="0"/>
          <w:divBdr>
            <w:top w:val="none" w:sz="0" w:space="0" w:color="auto"/>
            <w:left w:val="none" w:sz="0" w:space="0" w:color="auto"/>
            <w:bottom w:val="none" w:sz="0" w:space="0" w:color="auto"/>
            <w:right w:val="none" w:sz="0" w:space="0" w:color="auto"/>
          </w:divBdr>
        </w:div>
        <w:div w:id="770274690">
          <w:marLeft w:val="0"/>
          <w:marRight w:val="0"/>
          <w:marTop w:val="0"/>
          <w:marBottom w:val="0"/>
          <w:divBdr>
            <w:top w:val="none" w:sz="0" w:space="0" w:color="auto"/>
            <w:left w:val="none" w:sz="0" w:space="0" w:color="auto"/>
            <w:bottom w:val="none" w:sz="0" w:space="0" w:color="auto"/>
            <w:right w:val="none" w:sz="0" w:space="0" w:color="auto"/>
          </w:divBdr>
        </w:div>
        <w:div w:id="770473868">
          <w:marLeft w:val="0"/>
          <w:marRight w:val="0"/>
          <w:marTop w:val="0"/>
          <w:marBottom w:val="0"/>
          <w:divBdr>
            <w:top w:val="none" w:sz="0" w:space="0" w:color="auto"/>
            <w:left w:val="none" w:sz="0" w:space="0" w:color="auto"/>
            <w:bottom w:val="none" w:sz="0" w:space="0" w:color="auto"/>
            <w:right w:val="none" w:sz="0" w:space="0" w:color="auto"/>
          </w:divBdr>
        </w:div>
        <w:div w:id="770588876">
          <w:marLeft w:val="0"/>
          <w:marRight w:val="0"/>
          <w:marTop w:val="0"/>
          <w:marBottom w:val="0"/>
          <w:divBdr>
            <w:top w:val="none" w:sz="0" w:space="0" w:color="auto"/>
            <w:left w:val="none" w:sz="0" w:space="0" w:color="auto"/>
            <w:bottom w:val="none" w:sz="0" w:space="0" w:color="auto"/>
            <w:right w:val="none" w:sz="0" w:space="0" w:color="auto"/>
          </w:divBdr>
        </w:div>
        <w:div w:id="771051246">
          <w:marLeft w:val="0"/>
          <w:marRight w:val="0"/>
          <w:marTop w:val="0"/>
          <w:marBottom w:val="0"/>
          <w:divBdr>
            <w:top w:val="none" w:sz="0" w:space="0" w:color="auto"/>
            <w:left w:val="none" w:sz="0" w:space="0" w:color="auto"/>
            <w:bottom w:val="none" w:sz="0" w:space="0" w:color="auto"/>
            <w:right w:val="none" w:sz="0" w:space="0" w:color="auto"/>
          </w:divBdr>
        </w:div>
        <w:div w:id="771321492">
          <w:marLeft w:val="0"/>
          <w:marRight w:val="0"/>
          <w:marTop w:val="0"/>
          <w:marBottom w:val="0"/>
          <w:divBdr>
            <w:top w:val="none" w:sz="0" w:space="0" w:color="auto"/>
            <w:left w:val="none" w:sz="0" w:space="0" w:color="auto"/>
            <w:bottom w:val="none" w:sz="0" w:space="0" w:color="auto"/>
            <w:right w:val="none" w:sz="0" w:space="0" w:color="auto"/>
          </w:divBdr>
        </w:div>
        <w:div w:id="771705226">
          <w:marLeft w:val="0"/>
          <w:marRight w:val="0"/>
          <w:marTop w:val="0"/>
          <w:marBottom w:val="0"/>
          <w:divBdr>
            <w:top w:val="none" w:sz="0" w:space="0" w:color="auto"/>
            <w:left w:val="none" w:sz="0" w:space="0" w:color="auto"/>
            <w:bottom w:val="none" w:sz="0" w:space="0" w:color="auto"/>
            <w:right w:val="none" w:sz="0" w:space="0" w:color="auto"/>
          </w:divBdr>
        </w:div>
        <w:div w:id="772477428">
          <w:marLeft w:val="0"/>
          <w:marRight w:val="0"/>
          <w:marTop w:val="0"/>
          <w:marBottom w:val="0"/>
          <w:divBdr>
            <w:top w:val="none" w:sz="0" w:space="0" w:color="auto"/>
            <w:left w:val="none" w:sz="0" w:space="0" w:color="auto"/>
            <w:bottom w:val="none" w:sz="0" w:space="0" w:color="auto"/>
            <w:right w:val="none" w:sz="0" w:space="0" w:color="auto"/>
          </w:divBdr>
        </w:div>
        <w:div w:id="776557052">
          <w:marLeft w:val="0"/>
          <w:marRight w:val="0"/>
          <w:marTop w:val="0"/>
          <w:marBottom w:val="0"/>
          <w:divBdr>
            <w:top w:val="none" w:sz="0" w:space="0" w:color="auto"/>
            <w:left w:val="none" w:sz="0" w:space="0" w:color="auto"/>
            <w:bottom w:val="none" w:sz="0" w:space="0" w:color="auto"/>
            <w:right w:val="none" w:sz="0" w:space="0" w:color="auto"/>
          </w:divBdr>
        </w:div>
        <w:div w:id="776799028">
          <w:marLeft w:val="0"/>
          <w:marRight w:val="0"/>
          <w:marTop w:val="0"/>
          <w:marBottom w:val="0"/>
          <w:divBdr>
            <w:top w:val="none" w:sz="0" w:space="0" w:color="auto"/>
            <w:left w:val="none" w:sz="0" w:space="0" w:color="auto"/>
            <w:bottom w:val="none" w:sz="0" w:space="0" w:color="auto"/>
            <w:right w:val="none" w:sz="0" w:space="0" w:color="auto"/>
          </w:divBdr>
        </w:div>
        <w:div w:id="777334964">
          <w:marLeft w:val="0"/>
          <w:marRight w:val="0"/>
          <w:marTop w:val="0"/>
          <w:marBottom w:val="0"/>
          <w:divBdr>
            <w:top w:val="none" w:sz="0" w:space="0" w:color="auto"/>
            <w:left w:val="none" w:sz="0" w:space="0" w:color="auto"/>
            <w:bottom w:val="none" w:sz="0" w:space="0" w:color="auto"/>
            <w:right w:val="none" w:sz="0" w:space="0" w:color="auto"/>
          </w:divBdr>
        </w:div>
        <w:div w:id="777411751">
          <w:marLeft w:val="0"/>
          <w:marRight w:val="0"/>
          <w:marTop w:val="0"/>
          <w:marBottom w:val="0"/>
          <w:divBdr>
            <w:top w:val="none" w:sz="0" w:space="0" w:color="auto"/>
            <w:left w:val="none" w:sz="0" w:space="0" w:color="auto"/>
            <w:bottom w:val="none" w:sz="0" w:space="0" w:color="auto"/>
            <w:right w:val="none" w:sz="0" w:space="0" w:color="auto"/>
          </w:divBdr>
        </w:div>
        <w:div w:id="777913205">
          <w:marLeft w:val="0"/>
          <w:marRight w:val="0"/>
          <w:marTop w:val="0"/>
          <w:marBottom w:val="0"/>
          <w:divBdr>
            <w:top w:val="none" w:sz="0" w:space="0" w:color="auto"/>
            <w:left w:val="none" w:sz="0" w:space="0" w:color="auto"/>
            <w:bottom w:val="none" w:sz="0" w:space="0" w:color="auto"/>
            <w:right w:val="none" w:sz="0" w:space="0" w:color="auto"/>
          </w:divBdr>
          <w:divsChild>
            <w:div w:id="30300167">
              <w:marLeft w:val="0"/>
              <w:marRight w:val="0"/>
              <w:marTop w:val="0"/>
              <w:marBottom w:val="0"/>
              <w:divBdr>
                <w:top w:val="none" w:sz="0" w:space="0" w:color="auto"/>
                <w:left w:val="none" w:sz="0" w:space="0" w:color="auto"/>
                <w:bottom w:val="none" w:sz="0" w:space="0" w:color="auto"/>
                <w:right w:val="none" w:sz="0" w:space="0" w:color="auto"/>
              </w:divBdr>
            </w:div>
            <w:div w:id="47460798">
              <w:marLeft w:val="0"/>
              <w:marRight w:val="0"/>
              <w:marTop w:val="0"/>
              <w:marBottom w:val="0"/>
              <w:divBdr>
                <w:top w:val="none" w:sz="0" w:space="0" w:color="auto"/>
                <w:left w:val="none" w:sz="0" w:space="0" w:color="auto"/>
                <w:bottom w:val="none" w:sz="0" w:space="0" w:color="auto"/>
                <w:right w:val="none" w:sz="0" w:space="0" w:color="auto"/>
              </w:divBdr>
            </w:div>
            <w:div w:id="95517570">
              <w:marLeft w:val="0"/>
              <w:marRight w:val="0"/>
              <w:marTop w:val="0"/>
              <w:marBottom w:val="0"/>
              <w:divBdr>
                <w:top w:val="none" w:sz="0" w:space="0" w:color="auto"/>
                <w:left w:val="none" w:sz="0" w:space="0" w:color="auto"/>
                <w:bottom w:val="none" w:sz="0" w:space="0" w:color="auto"/>
                <w:right w:val="none" w:sz="0" w:space="0" w:color="auto"/>
              </w:divBdr>
            </w:div>
            <w:div w:id="295990808">
              <w:marLeft w:val="0"/>
              <w:marRight w:val="0"/>
              <w:marTop w:val="0"/>
              <w:marBottom w:val="0"/>
              <w:divBdr>
                <w:top w:val="none" w:sz="0" w:space="0" w:color="auto"/>
                <w:left w:val="none" w:sz="0" w:space="0" w:color="auto"/>
                <w:bottom w:val="none" w:sz="0" w:space="0" w:color="auto"/>
                <w:right w:val="none" w:sz="0" w:space="0" w:color="auto"/>
              </w:divBdr>
            </w:div>
            <w:div w:id="419645026">
              <w:marLeft w:val="0"/>
              <w:marRight w:val="0"/>
              <w:marTop w:val="0"/>
              <w:marBottom w:val="0"/>
              <w:divBdr>
                <w:top w:val="none" w:sz="0" w:space="0" w:color="auto"/>
                <w:left w:val="none" w:sz="0" w:space="0" w:color="auto"/>
                <w:bottom w:val="none" w:sz="0" w:space="0" w:color="auto"/>
                <w:right w:val="none" w:sz="0" w:space="0" w:color="auto"/>
              </w:divBdr>
            </w:div>
            <w:div w:id="501436854">
              <w:marLeft w:val="0"/>
              <w:marRight w:val="0"/>
              <w:marTop w:val="0"/>
              <w:marBottom w:val="0"/>
              <w:divBdr>
                <w:top w:val="none" w:sz="0" w:space="0" w:color="auto"/>
                <w:left w:val="none" w:sz="0" w:space="0" w:color="auto"/>
                <w:bottom w:val="none" w:sz="0" w:space="0" w:color="auto"/>
                <w:right w:val="none" w:sz="0" w:space="0" w:color="auto"/>
              </w:divBdr>
            </w:div>
            <w:div w:id="503670144">
              <w:marLeft w:val="0"/>
              <w:marRight w:val="0"/>
              <w:marTop w:val="0"/>
              <w:marBottom w:val="0"/>
              <w:divBdr>
                <w:top w:val="none" w:sz="0" w:space="0" w:color="auto"/>
                <w:left w:val="none" w:sz="0" w:space="0" w:color="auto"/>
                <w:bottom w:val="none" w:sz="0" w:space="0" w:color="auto"/>
                <w:right w:val="none" w:sz="0" w:space="0" w:color="auto"/>
              </w:divBdr>
            </w:div>
            <w:div w:id="605698337">
              <w:marLeft w:val="0"/>
              <w:marRight w:val="0"/>
              <w:marTop w:val="0"/>
              <w:marBottom w:val="0"/>
              <w:divBdr>
                <w:top w:val="none" w:sz="0" w:space="0" w:color="auto"/>
                <w:left w:val="none" w:sz="0" w:space="0" w:color="auto"/>
                <w:bottom w:val="none" w:sz="0" w:space="0" w:color="auto"/>
                <w:right w:val="none" w:sz="0" w:space="0" w:color="auto"/>
              </w:divBdr>
            </w:div>
            <w:div w:id="639458094">
              <w:marLeft w:val="0"/>
              <w:marRight w:val="0"/>
              <w:marTop w:val="0"/>
              <w:marBottom w:val="0"/>
              <w:divBdr>
                <w:top w:val="none" w:sz="0" w:space="0" w:color="auto"/>
                <w:left w:val="none" w:sz="0" w:space="0" w:color="auto"/>
                <w:bottom w:val="none" w:sz="0" w:space="0" w:color="auto"/>
                <w:right w:val="none" w:sz="0" w:space="0" w:color="auto"/>
              </w:divBdr>
            </w:div>
            <w:div w:id="779952868">
              <w:marLeft w:val="0"/>
              <w:marRight w:val="0"/>
              <w:marTop w:val="0"/>
              <w:marBottom w:val="0"/>
              <w:divBdr>
                <w:top w:val="none" w:sz="0" w:space="0" w:color="auto"/>
                <w:left w:val="none" w:sz="0" w:space="0" w:color="auto"/>
                <w:bottom w:val="none" w:sz="0" w:space="0" w:color="auto"/>
                <w:right w:val="none" w:sz="0" w:space="0" w:color="auto"/>
              </w:divBdr>
            </w:div>
            <w:div w:id="840241409">
              <w:marLeft w:val="0"/>
              <w:marRight w:val="0"/>
              <w:marTop w:val="0"/>
              <w:marBottom w:val="0"/>
              <w:divBdr>
                <w:top w:val="none" w:sz="0" w:space="0" w:color="auto"/>
                <w:left w:val="none" w:sz="0" w:space="0" w:color="auto"/>
                <w:bottom w:val="none" w:sz="0" w:space="0" w:color="auto"/>
                <w:right w:val="none" w:sz="0" w:space="0" w:color="auto"/>
              </w:divBdr>
            </w:div>
            <w:div w:id="947157017">
              <w:marLeft w:val="0"/>
              <w:marRight w:val="0"/>
              <w:marTop w:val="0"/>
              <w:marBottom w:val="0"/>
              <w:divBdr>
                <w:top w:val="none" w:sz="0" w:space="0" w:color="auto"/>
                <w:left w:val="none" w:sz="0" w:space="0" w:color="auto"/>
                <w:bottom w:val="none" w:sz="0" w:space="0" w:color="auto"/>
                <w:right w:val="none" w:sz="0" w:space="0" w:color="auto"/>
              </w:divBdr>
            </w:div>
            <w:div w:id="1406606936">
              <w:marLeft w:val="0"/>
              <w:marRight w:val="0"/>
              <w:marTop w:val="0"/>
              <w:marBottom w:val="0"/>
              <w:divBdr>
                <w:top w:val="none" w:sz="0" w:space="0" w:color="auto"/>
                <w:left w:val="none" w:sz="0" w:space="0" w:color="auto"/>
                <w:bottom w:val="none" w:sz="0" w:space="0" w:color="auto"/>
                <w:right w:val="none" w:sz="0" w:space="0" w:color="auto"/>
              </w:divBdr>
            </w:div>
            <w:div w:id="1656447857">
              <w:marLeft w:val="0"/>
              <w:marRight w:val="0"/>
              <w:marTop w:val="0"/>
              <w:marBottom w:val="0"/>
              <w:divBdr>
                <w:top w:val="none" w:sz="0" w:space="0" w:color="auto"/>
                <w:left w:val="none" w:sz="0" w:space="0" w:color="auto"/>
                <w:bottom w:val="none" w:sz="0" w:space="0" w:color="auto"/>
                <w:right w:val="none" w:sz="0" w:space="0" w:color="auto"/>
              </w:divBdr>
            </w:div>
            <w:div w:id="1703508181">
              <w:marLeft w:val="0"/>
              <w:marRight w:val="0"/>
              <w:marTop w:val="0"/>
              <w:marBottom w:val="0"/>
              <w:divBdr>
                <w:top w:val="none" w:sz="0" w:space="0" w:color="auto"/>
                <w:left w:val="none" w:sz="0" w:space="0" w:color="auto"/>
                <w:bottom w:val="none" w:sz="0" w:space="0" w:color="auto"/>
                <w:right w:val="none" w:sz="0" w:space="0" w:color="auto"/>
              </w:divBdr>
            </w:div>
            <w:div w:id="1712270554">
              <w:marLeft w:val="0"/>
              <w:marRight w:val="0"/>
              <w:marTop w:val="0"/>
              <w:marBottom w:val="0"/>
              <w:divBdr>
                <w:top w:val="none" w:sz="0" w:space="0" w:color="auto"/>
                <w:left w:val="none" w:sz="0" w:space="0" w:color="auto"/>
                <w:bottom w:val="none" w:sz="0" w:space="0" w:color="auto"/>
                <w:right w:val="none" w:sz="0" w:space="0" w:color="auto"/>
              </w:divBdr>
            </w:div>
            <w:div w:id="1860047730">
              <w:marLeft w:val="0"/>
              <w:marRight w:val="0"/>
              <w:marTop w:val="0"/>
              <w:marBottom w:val="0"/>
              <w:divBdr>
                <w:top w:val="none" w:sz="0" w:space="0" w:color="auto"/>
                <w:left w:val="none" w:sz="0" w:space="0" w:color="auto"/>
                <w:bottom w:val="none" w:sz="0" w:space="0" w:color="auto"/>
                <w:right w:val="none" w:sz="0" w:space="0" w:color="auto"/>
              </w:divBdr>
            </w:div>
            <w:div w:id="2110274351">
              <w:marLeft w:val="0"/>
              <w:marRight w:val="0"/>
              <w:marTop w:val="0"/>
              <w:marBottom w:val="0"/>
              <w:divBdr>
                <w:top w:val="none" w:sz="0" w:space="0" w:color="auto"/>
                <w:left w:val="none" w:sz="0" w:space="0" w:color="auto"/>
                <w:bottom w:val="none" w:sz="0" w:space="0" w:color="auto"/>
                <w:right w:val="none" w:sz="0" w:space="0" w:color="auto"/>
              </w:divBdr>
            </w:div>
            <w:div w:id="2130776405">
              <w:marLeft w:val="0"/>
              <w:marRight w:val="0"/>
              <w:marTop w:val="0"/>
              <w:marBottom w:val="0"/>
              <w:divBdr>
                <w:top w:val="none" w:sz="0" w:space="0" w:color="auto"/>
                <w:left w:val="none" w:sz="0" w:space="0" w:color="auto"/>
                <w:bottom w:val="none" w:sz="0" w:space="0" w:color="auto"/>
                <w:right w:val="none" w:sz="0" w:space="0" w:color="auto"/>
              </w:divBdr>
            </w:div>
          </w:divsChild>
        </w:div>
        <w:div w:id="779447754">
          <w:marLeft w:val="0"/>
          <w:marRight w:val="0"/>
          <w:marTop w:val="0"/>
          <w:marBottom w:val="0"/>
          <w:divBdr>
            <w:top w:val="none" w:sz="0" w:space="0" w:color="auto"/>
            <w:left w:val="none" w:sz="0" w:space="0" w:color="auto"/>
            <w:bottom w:val="none" w:sz="0" w:space="0" w:color="auto"/>
            <w:right w:val="none" w:sz="0" w:space="0" w:color="auto"/>
          </w:divBdr>
        </w:div>
        <w:div w:id="779646951">
          <w:marLeft w:val="0"/>
          <w:marRight w:val="0"/>
          <w:marTop w:val="0"/>
          <w:marBottom w:val="0"/>
          <w:divBdr>
            <w:top w:val="none" w:sz="0" w:space="0" w:color="auto"/>
            <w:left w:val="none" w:sz="0" w:space="0" w:color="auto"/>
            <w:bottom w:val="none" w:sz="0" w:space="0" w:color="auto"/>
            <w:right w:val="none" w:sz="0" w:space="0" w:color="auto"/>
          </w:divBdr>
        </w:div>
        <w:div w:id="780149648">
          <w:marLeft w:val="0"/>
          <w:marRight w:val="0"/>
          <w:marTop w:val="0"/>
          <w:marBottom w:val="0"/>
          <w:divBdr>
            <w:top w:val="none" w:sz="0" w:space="0" w:color="auto"/>
            <w:left w:val="none" w:sz="0" w:space="0" w:color="auto"/>
            <w:bottom w:val="none" w:sz="0" w:space="0" w:color="auto"/>
            <w:right w:val="none" w:sz="0" w:space="0" w:color="auto"/>
          </w:divBdr>
        </w:div>
        <w:div w:id="780807007">
          <w:marLeft w:val="0"/>
          <w:marRight w:val="0"/>
          <w:marTop w:val="0"/>
          <w:marBottom w:val="0"/>
          <w:divBdr>
            <w:top w:val="none" w:sz="0" w:space="0" w:color="auto"/>
            <w:left w:val="none" w:sz="0" w:space="0" w:color="auto"/>
            <w:bottom w:val="none" w:sz="0" w:space="0" w:color="auto"/>
            <w:right w:val="none" w:sz="0" w:space="0" w:color="auto"/>
          </w:divBdr>
        </w:div>
        <w:div w:id="781650250">
          <w:marLeft w:val="0"/>
          <w:marRight w:val="0"/>
          <w:marTop w:val="0"/>
          <w:marBottom w:val="0"/>
          <w:divBdr>
            <w:top w:val="none" w:sz="0" w:space="0" w:color="auto"/>
            <w:left w:val="none" w:sz="0" w:space="0" w:color="auto"/>
            <w:bottom w:val="none" w:sz="0" w:space="0" w:color="auto"/>
            <w:right w:val="none" w:sz="0" w:space="0" w:color="auto"/>
          </w:divBdr>
        </w:div>
        <w:div w:id="784081868">
          <w:marLeft w:val="0"/>
          <w:marRight w:val="0"/>
          <w:marTop w:val="0"/>
          <w:marBottom w:val="0"/>
          <w:divBdr>
            <w:top w:val="none" w:sz="0" w:space="0" w:color="auto"/>
            <w:left w:val="none" w:sz="0" w:space="0" w:color="auto"/>
            <w:bottom w:val="none" w:sz="0" w:space="0" w:color="auto"/>
            <w:right w:val="none" w:sz="0" w:space="0" w:color="auto"/>
          </w:divBdr>
        </w:div>
        <w:div w:id="784890041">
          <w:marLeft w:val="0"/>
          <w:marRight w:val="0"/>
          <w:marTop w:val="0"/>
          <w:marBottom w:val="0"/>
          <w:divBdr>
            <w:top w:val="none" w:sz="0" w:space="0" w:color="auto"/>
            <w:left w:val="none" w:sz="0" w:space="0" w:color="auto"/>
            <w:bottom w:val="none" w:sz="0" w:space="0" w:color="auto"/>
            <w:right w:val="none" w:sz="0" w:space="0" w:color="auto"/>
          </w:divBdr>
        </w:div>
        <w:div w:id="784930408">
          <w:marLeft w:val="0"/>
          <w:marRight w:val="0"/>
          <w:marTop w:val="0"/>
          <w:marBottom w:val="0"/>
          <w:divBdr>
            <w:top w:val="none" w:sz="0" w:space="0" w:color="auto"/>
            <w:left w:val="none" w:sz="0" w:space="0" w:color="auto"/>
            <w:bottom w:val="none" w:sz="0" w:space="0" w:color="auto"/>
            <w:right w:val="none" w:sz="0" w:space="0" w:color="auto"/>
          </w:divBdr>
        </w:div>
        <w:div w:id="786045595">
          <w:marLeft w:val="0"/>
          <w:marRight w:val="0"/>
          <w:marTop w:val="0"/>
          <w:marBottom w:val="0"/>
          <w:divBdr>
            <w:top w:val="none" w:sz="0" w:space="0" w:color="auto"/>
            <w:left w:val="none" w:sz="0" w:space="0" w:color="auto"/>
            <w:bottom w:val="none" w:sz="0" w:space="0" w:color="auto"/>
            <w:right w:val="none" w:sz="0" w:space="0" w:color="auto"/>
          </w:divBdr>
        </w:div>
        <w:div w:id="786703780">
          <w:marLeft w:val="0"/>
          <w:marRight w:val="0"/>
          <w:marTop w:val="0"/>
          <w:marBottom w:val="0"/>
          <w:divBdr>
            <w:top w:val="none" w:sz="0" w:space="0" w:color="auto"/>
            <w:left w:val="none" w:sz="0" w:space="0" w:color="auto"/>
            <w:bottom w:val="none" w:sz="0" w:space="0" w:color="auto"/>
            <w:right w:val="none" w:sz="0" w:space="0" w:color="auto"/>
          </w:divBdr>
          <w:divsChild>
            <w:div w:id="48266809">
              <w:marLeft w:val="0"/>
              <w:marRight w:val="0"/>
              <w:marTop w:val="0"/>
              <w:marBottom w:val="0"/>
              <w:divBdr>
                <w:top w:val="none" w:sz="0" w:space="0" w:color="auto"/>
                <w:left w:val="none" w:sz="0" w:space="0" w:color="auto"/>
                <w:bottom w:val="none" w:sz="0" w:space="0" w:color="auto"/>
                <w:right w:val="none" w:sz="0" w:space="0" w:color="auto"/>
              </w:divBdr>
            </w:div>
            <w:div w:id="117341017">
              <w:marLeft w:val="0"/>
              <w:marRight w:val="0"/>
              <w:marTop w:val="0"/>
              <w:marBottom w:val="0"/>
              <w:divBdr>
                <w:top w:val="none" w:sz="0" w:space="0" w:color="auto"/>
                <w:left w:val="none" w:sz="0" w:space="0" w:color="auto"/>
                <w:bottom w:val="none" w:sz="0" w:space="0" w:color="auto"/>
                <w:right w:val="none" w:sz="0" w:space="0" w:color="auto"/>
              </w:divBdr>
            </w:div>
            <w:div w:id="128793130">
              <w:marLeft w:val="0"/>
              <w:marRight w:val="0"/>
              <w:marTop w:val="0"/>
              <w:marBottom w:val="0"/>
              <w:divBdr>
                <w:top w:val="none" w:sz="0" w:space="0" w:color="auto"/>
                <w:left w:val="none" w:sz="0" w:space="0" w:color="auto"/>
                <w:bottom w:val="none" w:sz="0" w:space="0" w:color="auto"/>
                <w:right w:val="none" w:sz="0" w:space="0" w:color="auto"/>
              </w:divBdr>
            </w:div>
            <w:div w:id="268897075">
              <w:marLeft w:val="0"/>
              <w:marRight w:val="0"/>
              <w:marTop w:val="0"/>
              <w:marBottom w:val="0"/>
              <w:divBdr>
                <w:top w:val="none" w:sz="0" w:space="0" w:color="auto"/>
                <w:left w:val="none" w:sz="0" w:space="0" w:color="auto"/>
                <w:bottom w:val="none" w:sz="0" w:space="0" w:color="auto"/>
                <w:right w:val="none" w:sz="0" w:space="0" w:color="auto"/>
              </w:divBdr>
            </w:div>
            <w:div w:id="299381172">
              <w:marLeft w:val="0"/>
              <w:marRight w:val="0"/>
              <w:marTop w:val="0"/>
              <w:marBottom w:val="0"/>
              <w:divBdr>
                <w:top w:val="none" w:sz="0" w:space="0" w:color="auto"/>
                <w:left w:val="none" w:sz="0" w:space="0" w:color="auto"/>
                <w:bottom w:val="none" w:sz="0" w:space="0" w:color="auto"/>
                <w:right w:val="none" w:sz="0" w:space="0" w:color="auto"/>
              </w:divBdr>
            </w:div>
            <w:div w:id="321744002">
              <w:marLeft w:val="0"/>
              <w:marRight w:val="0"/>
              <w:marTop w:val="0"/>
              <w:marBottom w:val="0"/>
              <w:divBdr>
                <w:top w:val="none" w:sz="0" w:space="0" w:color="auto"/>
                <w:left w:val="none" w:sz="0" w:space="0" w:color="auto"/>
                <w:bottom w:val="none" w:sz="0" w:space="0" w:color="auto"/>
                <w:right w:val="none" w:sz="0" w:space="0" w:color="auto"/>
              </w:divBdr>
            </w:div>
            <w:div w:id="398402691">
              <w:marLeft w:val="0"/>
              <w:marRight w:val="0"/>
              <w:marTop w:val="0"/>
              <w:marBottom w:val="0"/>
              <w:divBdr>
                <w:top w:val="none" w:sz="0" w:space="0" w:color="auto"/>
                <w:left w:val="none" w:sz="0" w:space="0" w:color="auto"/>
                <w:bottom w:val="none" w:sz="0" w:space="0" w:color="auto"/>
                <w:right w:val="none" w:sz="0" w:space="0" w:color="auto"/>
              </w:divBdr>
            </w:div>
            <w:div w:id="519320890">
              <w:marLeft w:val="0"/>
              <w:marRight w:val="0"/>
              <w:marTop w:val="0"/>
              <w:marBottom w:val="0"/>
              <w:divBdr>
                <w:top w:val="none" w:sz="0" w:space="0" w:color="auto"/>
                <w:left w:val="none" w:sz="0" w:space="0" w:color="auto"/>
                <w:bottom w:val="none" w:sz="0" w:space="0" w:color="auto"/>
                <w:right w:val="none" w:sz="0" w:space="0" w:color="auto"/>
              </w:divBdr>
            </w:div>
            <w:div w:id="748237346">
              <w:marLeft w:val="0"/>
              <w:marRight w:val="0"/>
              <w:marTop w:val="0"/>
              <w:marBottom w:val="0"/>
              <w:divBdr>
                <w:top w:val="none" w:sz="0" w:space="0" w:color="auto"/>
                <w:left w:val="none" w:sz="0" w:space="0" w:color="auto"/>
                <w:bottom w:val="none" w:sz="0" w:space="0" w:color="auto"/>
                <w:right w:val="none" w:sz="0" w:space="0" w:color="auto"/>
              </w:divBdr>
            </w:div>
            <w:div w:id="796723650">
              <w:marLeft w:val="0"/>
              <w:marRight w:val="0"/>
              <w:marTop w:val="0"/>
              <w:marBottom w:val="0"/>
              <w:divBdr>
                <w:top w:val="none" w:sz="0" w:space="0" w:color="auto"/>
                <w:left w:val="none" w:sz="0" w:space="0" w:color="auto"/>
                <w:bottom w:val="none" w:sz="0" w:space="0" w:color="auto"/>
                <w:right w:val="none" w:sz="0" w:space="0" w:color="auto"/>
              </w:divBdr>
            </w:div>
            <w:div w:id="822159681">
              <w:marLeft w:val="0"/>
              <w:marRight w:val="0"/>
              <w:marTop w:val="0"/>
              <w:marBottom w:val="0"/>
              <w:divBdr>
                <w:top w:val="none" w:sz="0" w:space="0" w:color="auto"/>
                <w:left w:val="none" w:sz="0" w:space="0" w:color="auto"/>
                <w:bottom w:val="none" w:sz="0" w:space="0" w:color="auto"/>
                <w:right w:val="none" w:sz="0" w:space="0" w:color="auto"/>
              </w:divBdr>
            </w:div>
            <w:div w:id="1022391251">
              <w:marLeft w:val="0"/>
              <w:marRight w:val="0"/>
              <w:marTop w:val="0"/>
              <w:marBottom w:val="0"/>
              <w:divBdr>
                <w:top w:val="none" w:sz="0" w:space="0" w:color="auto"/>
                <w:left w:val="none" w:sz="0" w:space="0" w:color="auto"/>
                <w:bottom w:val="none" w:sz="0" w:space="0" w:color="auto"/>
                <w:right w:val="none" w:sz="0" w:space="0" w:color="auto"/>
              </w:divBdr>
            </w:div>
            <w:div w:id="1322271803">
              <w:marLeft w:val="0"/>
              <w:marRight w:val="0"/>
              <w:marTop w:val="0"/>
              <w:marBottom w:val="0"/>
              <w:divBdr>
                <w:top w:val="none" w:sz="0" w:space="0" w:color="auto"/>
                <w:left w:val="none" w:sz="0" w:space="0" w:color="auto"/>
                <w:bottom w:val="none" w:sz="0" w:space="0" w:color="auto"/>
                <w:right w:val="none" w:sz="0" w:space="0" w:color="auto"/>
              </w:divBdr>
            </w:div>
            <w:div w:id="1399592130">
              <w:marLeft w:val="0"/>
              <w:marRight w:val="0"/>
              <w:marTop w:val="0"/>
              <w:marBottom w:val="0"/>
              <w:divBdr>
                <w:top w:val="none" w:sz="0" w:space="0" w:color="auto"/>
                <w:left w:val="none" w:sz="0" w:space="0" w:color="auto"/>
                <w:bottom w:val="none" w:sz="0" w:space="0" w:color="auto"/>
                <w:right w:val="none" w:sz="0" w:space="0" w:color="auto"/>
              </w:divBdr>
            </w:div>
            <w:div w:id="1449664723">
              <w:marLeft w:val="0"/>
              <w:marRight w:val="0"/>
              <w:marTop w:val="0"/>
              <w:marBottom w:val="0"/>
              <w:divBdr>
                <w:top w:val="none" w:sz="0" w:space="0" w:color="auto"/>
                <w:left w:val="none" w:sz="0" w:space="0" w:color="auto"/>
                <w:bottom w:val="none" w:sz="0" w:space="0" w:color="auto"/>
                <w:right w:val="none" w:sz="0" w:space="0" w:color="auto"/>
              </w:divBdr>
            </w:div>
            <w:div w:id="1538590473">
              <w:marLeft w:val="0"/>
              <w:marRight w:val="0"/>
              <w:marTop w:val="0"/>
              <w:marBottom w:val="0"/>
              <w:divBdr>
                <w:top w:val="none" w:sz="0" w:space="0" w:color="auto"/>
                <w:left w:val="none" w:sz="0" w:space="0" w:color="auto"/>
                <w:bottom w:val="none" w:sz="0" w:space="0" w:color="auto"/>
                <w:right w:val="none" w:sz="0" w:space="0" w:color="auto"/>
              </w:divBdr>
            </w:div>
            <w:div w:id="1768963767">
              <w:marLeft w:val="0"/>
              <w:marRight w:val="0"/>
              <w:marTop w:val="0"/>
              <w:marBottom w:val="0"/>
              <w:divBdr>
                <w:top w:val="none" w:sz="0" w:space="0" w:color="auto"/>
                <w:left w:val="none" w:sz="0" w:space="0" w:color="auto"/>
                <w:bottom w:val="none" w:sz="0" w:space="0" w:color="auto"/>
                <w:right w:val="none" w:sz="0" w:space="0" w:color="auto"/>
              </w:divBdr>
            </w:div>
            <w:div w:id="1808624385">
              <w:marLeft w:val="0"/>
              <w:marRight w:val="0"/>
              <w:marTop w:val="0"/>
              <w:marBottom w:val="0"/>
              <w:divBdr>
                <w:top w:val="none" w:sz="0" w:space="0" w:color="auto"/>
                <w:left w:val="none" w:sz="0" w:space="0" w:color="auto"/>
                <w:bottom w:val="none" w:sz="0" w:space="0" w:color="auto"/>
                <w:right w:val="none" w:sz="0" w:space="0" w:color="auto"/>
              </w:divBdr>
            </w:div>
            <w:div w:id="1810515188">
              <w:marLeft w:val="0"/>
              <w:marRight w:val="0"/>
              <w:marTop w:val="0"/>
              <w:marBottom w:val="0"/>
              <w:divBdr>
                <w:top w:val="none" w:sz="0" w:space="0" w:color="auto"/>
                <w:left w:val="none" w:sz="0" w:space="0" w:color="auto"/>
                <w:bottom w:val="none" w:sz="0" w:space="0" w:color="auto"/>
                <w:right w:val="none" w:sz="0" w:space="0" w:color="auto"/>
              </w:divBdr>
            </w:div>
            <w:div w:id="1848522829">
              <w:marLeft w:val="0"/>
              <w:marRight w:val="0"/>
              <w:marTop w:val="0"/>
              <w:marBottom w:val="0"/>
              <w:divBdr>
                <w:top w:val="none" w:sz="0" w:space="0" w:color="auto"/>
                <w:left w:val="none" w:sz="0" w:space="0" w:color="auto"/>
                <w:bottom w:val="none" w:sz="0" w:space="0" w:color="auto"/>
                <w:right w:val="none" w:sz="0" w:space="0" w:color="auto"/>
              </w:divBdr>
            </w:div>
          </w:divsChild>
        </w:div>
        <w:div w:id="788010403">
          <w:marLeft w:val="0"/>
          <w:marRight w:val="0"/>
          <w:marTop w:val="0"/>
          <w:marBottom w:val="0"/>
          <w:divBdr>
            <w:top w:val="none" w:sz="0" w:space="0" w:color="auto"/>
            <w:left w:val="none" w:sz="0" w:space="0" w:color="auto"/>
            <w:bottom w:val="none" w:sz="0" w:space="0" w:color="auto"/>
            <w:right w:val="none" w:sz="0" w:space="0" w:color="auto"/>
          </w:divBdr>
        </w:div>
        <w:div w:id="788932622">
          <w:marLeft w:val="0"/>
          <w:marRight w:val="0"/>
          <w:marTop w:val="0"/>
          <w:marBottom w:val="0"/>
          <w:divBdr>
            <w:top w:val="none" w:sz="0" w:space="0" w:color="auto"/>
            <w:left w:val="none" w:sz="0" w:space="0" w:color="auto"/>
            <w:bottom w:val="none" w:sz="0" w:space="0" w:color="auto"/>
            <w:right w:val="none" w:sz="0" w:space="0" w:color="auto"/>
          </w:divBdr>
        </w:div>
        <w:div w:id="791286193">
          <w:marLeft w:val="0"/>
          <w:marRight w:val="0"/>
          <w:marTop w:val="0"/>
          <w:marBottom w:val="0"/>
          <w:divBdr>
            <w:top w:val="none" w:sz="0" w:space="0" w:color="auto"/>
            <w:left w:val="none" w:sz="0" w:space="0" w:color="auto"/>
            <w:bottom w:val="none" w:sz="0" w:space="0" w:color="auto"/>
            <w:right w:val="none" w:sz="0" w:space="0" w:color="auto"/>
          </w:divBdr>
        </w:div>
        <w:div w:id="793912178">
          <w:marLeft w:val="0"/>
          <w:marRight w:val="0"/>
          <w:marTop w:val="0"/>
          <w:marBottom w:val="0"/>
          <w:divBdr>
            <w:top w:val="none" w:sz="0" w:space="0" w:color="auto"/>
            <w:left w:val="none" w:sz="0" w:space="0" w:color="auto"/>
            <w:bottom w:val="none" w:sz="0" w:space="0" w:color="auto"/>
            <w:right w:val="none" w:sz="0" w:space="0" w:color="auto"/>
          </w:divBdr>
        </w:div>
        <w:div w:id="794834084">
          <w:marLeft w:val="0"/>
          <w:marRight w:val="0"/>
          <w:marTop w:val="0"/>
          <w:marBottom w:val="0"/>
          <w:divBdr>
            <w:top w:val="none" w:sz="0" w:space="0" w:color="auto"/>
            <w:left w:val="none" w:sz="0" w:space="0" w:color="auto"/>
            <w:bottom w:val="none" w:sz="0" w:space="0" w:color="auto"/>
            <w:right w:val="none" w:sz="0" w:space="0" w:color="auto"/>
          </w:divBdr>
        </w:div>
        <w:div w:id="795177493">
          <w:marLeft w:val="0"/>
          <w:marRight w:val="0"/>
          <w:marTop w:val="0"/>
          <w:marBottom w:val="0"/>
          <w:divBdr>
            <w:top w:val="none" w:sz="0" w:space="0" w:color="auto"/>
            <w:left w:val="none" w:sz="0" w:space="0" w:color="auto"/>
            <w:bottom w:val="none" w:sz="0" w:space="0" w:color="auto"/>
            <w:right w:val="none" w:sz="0" w:space="0" w:color="auto"/>
          </w:divBdr>
        </w:div>
        <w:div w:id="797458671">
          <w:marLeft w:val="0"/>
          <w:marRight w:val="0"/>
          <w:marTop w:val="0"/>
          <w:marBottom w:val="0"/>
          <w:divBdr>
            <w:top w:val="none" w:sz="0" w:space="0" w:color="auto"/>
            <w:left w:val="none" w:sz="0" w:space="0" w:color="auto"/>
            <w:bottom w:val="none" w:sz="0" w:space="0" w:color="auto"/>
            <w:right w:val="none" w:sz="0" w:space="0" w:color="auto"/>
          </w:divBdr>
        </w:div>
        <w:div w:id="797605210">
          <w:marLeft w:val="0"/>
          <w:marRight w:val="0"/>
          <w:marTop w:val="0"/>
          <w:marBottom w:val="0"/>
          <w:divBdr>
            <w:top w:val="none" w:sz="0" w:space="0" w:color="auto"/>
            <w:left w:val="none" w:sz="0" w:space="0" w:color="auto"/>
            <w:bottom w:val="none" w:sz="0" w:space="0" w:color="auto"/>
            <w:right w:val="none" w:sz="0" w:space="0" w:color="auto"/>
          </w:divBdr>
        </w:div>
        <w:div w:id="797800049">
          <w:marLeft w:val="0"/>
          <w:marRight w:val="0"/>
          <w:marTop w:val="0"/>
          <w:marBottom w:val="0"/>
          <w:divBdr>
            <w:top w:val="none" w:sz="0" w:space="0" w:color="auto"/>
            <w:left w:val="none" w:sz="0" w:space="0" w:color="auto"/>
            <w:bottom w:val="none" w:sz="0" w:space="0" w:color="auto"/>
            <w:right w:val="none" w:sz="0" w:space="0" w:color="auto"/>
          </w:divBdr>
        </w:div>
        <w:div w:id="798766294">
          <w:marLeft w:val="0"/>
          <w:marRight w:val="0"/>
          <w:marTop w:val="0"/>
          <w:marBottom w:val="0"/>
          <w:divBdr>
            <w:top w:val="none" w:sz="0" w:space="0" w:color="auto"/>
            <w:left w:val="none" w:sz="0" w:space="0" w:color="auto"/>
            <w:bottom w:val="none" w:sz="0" w:space="0" w:color="auto"/>
            <w:right w:val="none" w:sz="0" w:space="0" w:color="auto"/>
          </w:divBdr>
        </w:div>
        <w:div w:id="799345182">
          <w:marLeft w:val="0"/>
          <w:marRight w:val="0"/>
          <w:marTop w:val="0"/>
          <w:marBottom w:val="0"/>
          <w:divBdr>
            <w:top w:val="none" w:sz="0" w:space="0" w:color="auto"/>
            <w:left w:val="none" w:sz="0" w:space="0" w:color="auto"/>
            <w:bottom w:val="none" w:sz="0" w:space="0" w:color="auto"/>
            <w:right w:val="none" w:sz="0" w:space="0" w:color="auto"/>
          </w:divBdr>
        </w:div>
        <w:div w:id="802121441">
          <w:marLeft w:val="0"/>
          <w:marRight w:val="0"/>
          <w:marTop w:val="0"/>
          <w:marBottom w:val="0"/>
          <w:divBdr>
            <w:top w:val="none" w:sz="0" w:space="0" w:color="auto"/>
            <w:left w:val="none" w:sz="0" w:space="0" w:color="auto"/>
            <w:bottom w:val="none" w:sz="0" w:space="0" w:color="auto"/>
            <w:right w:val="none" w:sz="0" w:space="0" w:color="auto"/>
          </w:divBdr>
          <w:divsChild>
            <w:div w:id="277183231">
              <w:marLeft w:val="0"/>
              <w:marRight w:val="0"/>
              <w:marTop w:val="0"/>
              <w:marBottom w:val="0"/>
              <w:divBdr>
                <w:top w:val="none" w:sz="0" w:space="0" w:color="auto"/>
                <w:left w:val="none" w:sz="0" w:space="0" w:color="auto"/>
                <w:bottom w:val="none" w:sz="0" w:space="0" w:color="auto"/>
                <w:right w:val="none" w:sz="0" w:space="0" w:color="auto"/>
              </w:divBdr>
            </w:div>
            <w:div w:id="303045462">
              <w:marLeft w:val="0"/>
              <w:marRight w:val="0"/>
              <w:marTop w:val="0"/>
              <w:marBottom w:val="0"/>
              <w:divBdr>
                <w:top w:val="none" w:sz="0" w:space="0" w:color="auto"/>
                <w:left w:val="none" w:sz="0" w:space="0" w:color="auto"/>
                <w:bottom w:val="none" w:sz="0" w:space="0" w:color="auto"/>
                <w:right w:val="none" w:sz="0" w:space="0" w:color="auto"/>
              </w:divBdr>
            </w:div>
            <w:div w:id="381057893">
              <w:marLeft w:val="0"/>
              <w:marRight w:val="0"/>
              <w:marTop w:val="0"/>
              <w:marBottom w:val="0"/>
              <w:divBdr>
                <w:top w:val="none" w:sz="0" w:space="0" w:color="auto"/>
                <w:left w:val="none" w:sz="0" w:space="0" w:color="auto"/>
                <w:bottom w:val="none" w:sz="0" w:space="0" w:color="auto"/>
                <w:right w:val="none" w:sz="0" w:space="0" w:color="auto"/>
              </w:divBdr>
            </w:div>
            <w:div w:id="462891048">
              <w:marLeft w:val="0"/>
              <w:marRight w:val="0"/>
              <w:marTop w:val="0"/>
              <w:marBottom w:val="0"/>
              <w:divBdr>
                <w:top w:val="none" w:sz="0" w:space="0" w:color="auto"/>
                <w:left w:val="none" w:sz="0" w:space="0" w:color="auto"/>
                <w:bottom w:val="none" w:sz="0" w:space="0" w:color="auto"/>
                <w:right w:val="none" w:sz="0" w:space="0" w:color="auto"/>
              </w:divBdr>
            </w:div>
            <w:div w:id="485246009">
              <w:marLeft w:val="0"/>
              <w:marRight w:val="0"/>
              <w:marTop w:val="0"/>
              <w:marBottom w:val="0"/>
              <w:divBdr>
                <w:top w:val="none" w:sz="0" w:space="0" w:color="auto"/>
                <w:left w:val="none" w:sz="0" w:space="0" w:color="auto"/>
                <w:bottom w:val="none" w:sz="0" w:space="0" w:color="auto"/>
                <w:right w:val="none" w:sz="0" w:space="0" w:color="auto"/>
              </w:divBdr>
            </w:div>
            <w:div w:id="616570247">
              <w:marLeft w:val="0"/>
              <w:marRight w:val="0"/>
              <w:marTop w:val="0"/>
              <w:marBottom w:val="0"/>
              <w:divBdr>
                <w:top w:val="none" w:sz="0" w:space="0" w:color="auto"/>
                <w:left w:val="none" w:sz="0" w:space="0" w:color="auto"/>
                <w:bottom w:val="none" w:sz="0" w:space="0" w:color="auto"/>
                <w:right w:val="none" w:sz="0" w:space="0" w:color="auto"/>
              </w:divBdr>
            </w:div>
            <w:div w:id="656883893">
              <w:marLeft w:val="0"/>
              <w:marRight w:val="0"/>
              <w:marTop w:val="0"/>
              <w:marBottom w:val="0"/>
              <w:divBdr>
                <w:top w:val="none" w:sz="0" w:space="0" w:color="auto"/>
                <w:left w:val="none" w:sz="0" w:space="0" w:color="auto"/>
                <w:bottom w:val="none" w:sz="0" w:space="0" w:color="auto"/>
                <w:right w:val="none" w:sz="0" w:space="0" w:color="auto"/>
              </w:divBdr>
            </w:div>
            <w:div w:id="679547048">
              <w:marLeft w:val="0"/>
              <w:marRight w:val="0"/>
              <w:marTop w:val="0"/>
              <w:marBottom w:val="0"/>
              <w:divBdr>
                <w:top w:val="none" w:sz="0" w:space="0" w:color="auto"/>
                <w:left w:val="none" w:sz="0" w:space="0" w:color="auto"/>
                <w:bottom w:val="none" w:sz="0" w:space="0" w:color="auto"/>
                <w:right w:val="none" w:sz="0" w:space="0" w:color="auto"/>
              </w:divBdr>
            </w:div>
            <w:div w:id="725643093">
              <w:marLeft w:val="0"/>
              <w:marRight w:val="0"/>
              <w:marTop w:val="0"/>
              <w:marBottom w:val="0"/>
              <w:divBdr>
                <w:top w:val="none" w:sz="0" w:space="0" w:color="auto"/>
                <w:left w:val="none" w:sz="0" w:space="0" w:color="auto"/>
                <w:bottom w:val="none" w:sz="0" w:space="0" w:color="auto"/>
                <w:right w:val="none" w:sz="0" w:space="0" w:color="auto"/>
              </w:divBdr>
            </w:div>
            <w:div w:id="795829043">
              <w:marLeft w:val="0"/>
              <w:marRight w:val="0"/>
              <w:marTop w:val="0"/>
              <w:marBottom w:val="0"/>
              <w:divBdr>
                <w:top w:val="none" w:sz="0" w:space="0" w:color="auto"/>
                <w:left w:val="none" w:sz="0" w:space="0" w:color="auto"/>
                <w:bottom w:val="none" w:sz="0" w:space="0" w:color="auto"/>
                <w:right w:val="none" w:sz="0" w:space="0" w:color="auto"/>
              </w:divBdr>
            </w:div>
            <w:div w:id="817652357">
              <w:marLeft w:val="0"/>
              <w:marRight w:val="0"/>
              <w:marTop w:val="0"/>
              <w:marBottom w:val="0"/>
              <w:divBdr>
                <w:top w:val="none" w:sz="0" w:space="0" w:color="auto"/>
                <w:left w:val="none" w:sz="0" w:space="0" w:color="auto"/>
                <w:bottom w:val="none" w:sz="0" w:space="0" w:color="auto"/>
                <w:right w:val="none" w:sz="0" w:space="0" w:color="auto"/>
              </w:divBdr>
            </w:div>
            <w:div w:id="983433686">
              <w:marLeft w:val="0"/>
              <w:marRight w:val="0"/>
              <w:marTop w:val="0"/>
              <w:marBottom w:val="0"/>
              <w:divBdr>
                <w:top w:val="none" w:sz="0" w:space="0" w:color="auto"/>
                <w:left w:val="none" w:sz="0" w:space="0" w:color="auto"/>
                <w:bottom w:val="none" w:sz="0" w:space="0" w:color="auto"/>
                <w:right w:val="none" w:sz="0" w:space="0" w:color="auto"/>
              </w:divBdr>
            </w:div>
            <w:div w:id="1190417059">
              <w:marLeft w:val="0"/>
              <w:marRight w:val="0"/>
              <w:marTop w:val="0"/>
              <w:marBottom w:val="0"/>
              <w:divBdr>
                <w:top w:val="none" w:sz="0" w:space="0" w:color="auto"/>
                <w:left w:val="none" w:sz="0" w:space="0" w:color="auto"/>
                <w:bottom w:val="none" w:sz="0" w:space="0" w:color="auto"/>
                <w:right w:val="none" w:sz="0" w:space="0" w:color="auto"/>
              </w:divBdr>
            </w:div>
            <w:div w:id="1423990248">
              <w:marLeft w:val="0"/>
              <w:marRight w:val="0"/>
              <w:marTop w:val="0"/>
              <w:marBottom w:val="0"/>
              <w:divBdr>
                <w:top w:val="none" w:sz="0" w:space="0" w:color="auto"/>
                <w:left w:val="none" w:sz="0" w:space="0" w:color="auto"/>
                <w:bottom w:val="none" w:sz="0" w:space="0" w:color="auto"/>
                <w:right w:val="none" w:sz="0" w:space="0" w:color="auto"/>
              </w:divBdr>
            </w:div>
            <w:div w:id="1625428480">
              <w:marLeft w:val="0"/>
              <w:marRight w:val="0"/>
              <w:marTop w:val="0"/>
              <w:marBottom w:val="0"/>
              <w:divBdr>
                <w:top w:val="none" w:sz="0" w:space="0" w:color="auto"/>
                <w:left w:val="none" w:sz="0" w:space="0" w:color="auto"/>
                <w:bottom w:val="none" w:sz="0" w:space="0" w:color="auto"/>
                <w:right w:val="none" w:sz="0" w:space="0" w:color="auto"/>
              </w:divBdr>
            </w:div>
            <w:div w:id="1708097435">
              <w:marLeft w:val="0"/>
              <w:marRight w:val="0"/>
              <w:marTop w:val="0"/>
              <w:marBottom w:val="0"/>
              <w:divBdr>
                <w:top w:val="none" w:sz="0" w:space="0" w:color="auto"/>
                <w:left w:val="none" w:sz="0" w:space="0" w:color="auto"/>
                <w:bottom w:val="none" w:sz="0" w:space="0" w:color="auto"/>
                <w:right w:val="none" w:sz="0" w:space="0" w:color="auto"/>
              </w:divBdr>
            </w:div>
            <w:div w:id="1717317583">
              <w:marLeft w:val="0"/>
              <w:marRight w:val="0"/>
              <w:marTop w:val="0"/>
              <w:marBottom w:val="0"/>
              <w:divBdr>
                <w:top w:val="none" w:sz="0" w:space="0" w:color="auto"/>
                <w:left w:val="none" w:sz="0" w:space="0" w:color="auto"/>
                <w:bottom w:val="none" w:sz="0" w:space="0" w:color="auto"/>
                <w:right w:val="none" w:sz="0" w:space="0" w:color="auto"/>
              </w:divBdr>
            </w:div>
            <w:div w:id="1720788570">
              <w:marLeft w:val="0"/>
              <w:marRight w:val="0"/>
              <w:marTop w:val="0"/>
              <w:marBottom w:val="0"/>
              <w:divBdr>
                <w:top w:val="none" w:sz="0" w:space="0" w:color="auto"/>
                <w:left w:val="none" w:sz="0" w:space="0" w:color="auto"/>
                <w:bottom w:val="none" w:sz="0" w:space="0" w:color="auto"/>
                <w:right w:val="none" w:sz="0" w:space="0" w:color="auto"/>
              </w:divBdr>
            </w:div>
            <w:div w:id="2055734807">
              <w:marLeft w:val="0"/>
              <w:marRight w:val="0"/>
              <w:marTop w:val="0"/>
              <w:marBottom w:val="0"/>
              <w:divBdr>
                <w:top w:val="none" w:sz="0" w:space="0" w:color="auto"/>
                <w:left w:val="none" w:sz="0" w:space="0" w:color="auto"/>
                <w:bottom w:val="none" w:sz="0" w:space="0" w:color="auto"/>
                <w:right w:val="none" w:sz="0" w:space="0" w:color="auto"/>
              </w:divBdr>
            </w:div>
          </w:divsChild>
        </w:div>
        <w:div w:id="802504744">
          <w:marLeft w:val="0"/>
          <w:marRight w:val="0"/>
          <w:marTop w:val="0"/>
          <w:marBottom w:val="0"/>
          <w:divBdr>
            <w:top w:val="none" w:sz="0" w:space="0" w:color="auto"/>
            <w:left w:val="none" w:sz="0" w:space="0" w:color="auto"/>
            <w:bottom w:val="none" w:sz="0" w:space="0" w:color="auto"/>
            <w:right w:val="none" w:sz="0" w:space="0" w:color="auto"/>
          </w:divBdr>
        </w:div>
        <w:div w:id="803304962">
          <w:marLeft w:val="0"/>
          <w:marRight w:val="0"/>
          <w:marTop w:val="0"/>
          <w:marBottom w:val="0"/>
          <w:divBdr>
            <w:top w:val="none" w:sz="0" w:space="0" w:color="auto"/>
            <w:left w:val="none" w:sz="0" w:space="0" w:color="auto"/>
            <w:bottom w:val="none" w:sz="0" w:space="0" w:color="auto"/>
            <w:right w:val="none" w:sz="0" w:space="0" w:color="auto"/>
          </w:divBdr>
        </w:div>
        <w:div w:id="806750072">
          <w:marLeft w:val="0"/>
          <w:marRight w:val="0"/>
          <w:marTop w:val="0"/>
          <w:marBottom w:val="0"/>
          <w:divBdr>
            <w:top w:val="none" w:sz="0" w:space="0" w:color="auto"/>
            <w:left w:val="none" w:sz="0" w:space="0" w:color="auto"/>
            <w:bottom w:val="none" w:sz="0" w:space="0" w:color="auto"/>
            <w:right w:val="none" w:sz="0" w:space="0" w:color="auto"/>
          </w:divBdr>
          <w:divsChild>
            <w:div w:id="811286187">
              <w:marLeft w:val="-75"/>
              <w:marRight w:val="0"/>
              <w:marTop w:val="30"/>
              <w:marBottom w:val="30"/>
              <w:divBdr>
                <w:top w:val="none" w:sz="0" w:space="0" w:color="auto"/>
                <w:left w:val="none" w:sz="0" w:space="0" w:color="auto"/>
                <w:bottom w:val="none" w:sz="0" w:space="0" w:color="auto"/>
                <w:right w:val="none" w:sz="0" w:space="0" w:color="auto"/>
              </w:divBdr>
              <w:divsChild>
                <w:div w:id="3021750">
                  <w:marLeft w:val="0"/>
                  <w:marRight w:val="0"/>
                  <w:marTop w:val="0"/>
                  <w:marBottom w:val="0"/>
                  <w:divBdr>
                    <w:top w:val="none" w:sz="0" w:space="0" w:color="auto"/>
                    <w:left w:val="none" w:sz="0" w:space="0" w:color="auto"/>
                    <w:bottom w:val="none" w:sz="0" w:space="0" w:color="auto"/>
                    <w:right w:val="none" w:sz="0" w:space="0" w:color="auto"/>
                  </w:divBdr>
                  <w:divsChild>
                    <w:div w:id="24379479">
                      <w:marLeft w:val="0"/>
                      <w:marRight w:val="0"/>
                      <w:marTop w:val="0"/>
                      <w:marBottom w:val="0"/>
                      <w:divBdr>
                        <w:top w:val="none" w:sz="0" w:space="0" w:color="auto"/>
                        <w:left w:val="none" w:sz="0" w:space="0" w:color="auto"/>
                        <w:bottom w:val="none" w:sz="0" w:space="0" w:color="auto"/>
                        <w:right w:val="none" w:sz="0" w:space="0" w:color="auto"/>
                      </w:divBdr>
                    </w:div>
                  </w:divsChild>
                </w:div>
                <w:div w:id="39673908">
                  <w:marLeft w:val="0"/>
                  <w:marRight w:val="0"/>
                  <w:marTop w:val="0"/>
                  <w:marBottom w:val="0"/>
                  <w:divBdr>
                    <w:top w:val="none" w:sz="0" w:space="0" w:color="auto"/>
                    <w:left w:val="none" w:sz="0" w:space="0" w:color="auto"/>
                    <w:bottom w:val="none" w:sz="0" w:space="0" w:color="auto"/>
                    <w:right w:val="none" w:sz="0" w:space="0" w:color="auto"/>
                  </w:divBdr>
                  <w:divsChild>
                    <w:div w:id="1839612032">
                      <w:marLeft w:val="0"/>
                      <w:marRight w:val="0"/>
                      <w:marTop w:val="0"/>
                      <w:marBottom w:val="0"/>
                      <w:divBdr>
                        <w:top w:val="none" w:sz="0" w:space="0" w:color="auto"/>
                        <w:left w:val="none" w:sz="0" w:space="0" w:color="auto"/>
                        <w:bottom w:val="none" w:sz="0" w:space="0" w:color="auto"/>
                        <w:right w:val="none" w:sz="0" w:space="0" w:color="auto"/>
                      </w:divBdr>
                    </w:div>
                  </w:divsChild>
                </w:div>
                <w:div w:id="45154785">
                  <w:marLeft w:val="0"/>
                  <w:marRight w:val="0"/>
                  <w:marTop w:val="0"/>
                  <w:marBottom w:val="0"/>
                  <w:divBdr>
                    <w:top w:val="none" w:sz="0" w:space="0" w:color="auto"/>
                    <w:left w:val="none" w:sz="0" w:space="0" w:color="auto"/>
                    <w:bottom w:val="none" w:sz="0" w:space="0" w:color="auto"/>
                    <w:right w:val="none" w:sz="0" w:space="0" w:color="auto"/>
                  </w:divBdr>
                  <w:divsChild>
                    <w:div w:id="1646661850">
                      <w:marLeft w:val="0"/>
                      <w:marRight w:val="0"/>
                      <w:marTop w:val="0"/>
                      <w:marBottom w:val="0"/>
                      <w:divBdr>
                        <w:top w:val="none" w:sz="0" w:space="0" w:color="auto"/>
                        <w:left w:val="none" w:sz="0" w:space="0" w:color="auto"/>
                        <w:bottom w:val="none" w:sz="0" w:space="0" w:color="auto"/>
                        <w:right w:val="none" w:sz="0" w:space="0" w:color="auto"/>
                      </w:divBdr>
                    </w:div>
                  </w:divsChild>
                </w:div>
                <w:div w:id="45840843">
                  <w:marLeft w:val="0"/>
                  <w:marRight w:val="0"/>
                  <w:marTop w:val="0"/>
                  <w:marBottom w:val="0"/>
                  <w:divBdr>
                    <w:top w:val="none" w:sz="0" w:space="0" w:color="auto"/>
                    <w:left w:val="none" w:sz="0" w:space="0" w:color="auto"/>
                    <w:bottom w:val="none" w:sz="0" w:space="0" w:color="auto"/>
                    <w:right w:val="none" w:sz="0" w:space="0" w:color="auto"/>
                  </w:divBdr>
                  <w:divsChild>
                    <w:div w:id="1404983456">
                      <w:marLeft w:val="0"/>
                      <w:marRight w:val="0"/>
                      <w:marTop w:val="0"/>
                      <w:marBottom w:val="0"/>
                      <w:divBdr>
                        <w:top w:val="none" w:sz="0" w:space="0" w:color="auto"/>
                        <w:left w:val="none" w:sz="0" w:space="0" w:color="auto"/>
                        <w:bottom w:val="none" w:sz="0" w:space="0" w:color="auto"/>
                        <w:right w:val="none" w:sz="0" w:space="0" w:color="auto"/>
                      </w:divBdr>
                    </w:div>
                  </w:divsChild>
                </w:div>
                <w:div w:id="48841759">
                  <w:marLeft w:val="0"/>
                  <w:marRight w:val="0"/>
                  <w:marTop w:val="0"/>
                  <w:marBottom w:val="0"/>
                  <w:divBdr>
                    <w:top w:val="none" w:sz="0" w:space="0" w:color="auto"/>
                    <w:left w:val="none" w:sz="0" w:space="0" w:color="auto"/>
                    <w:bottom w:val="none" w:sz="0" w:space="0" w:color="auto"/>
                    <w:right w:val="none" w:sz="0" w:space="0" w:color="auto"/>
                  </w:divBdr>
                  <w:divsChild>
                    <w:div w:id="1586843133">
                      <w:marLeft w:val="0"/>
                      <w:marRight w:val="0"/>
                      <w:marTop w:val="0"/>
                      <w:marBottom w:val="0"/>
                      <w:divBdr>
                        <w:top w:val="none" w:sz="0" w:space="0" w:color="auto"/>
                        <w:left w:val="none" w:sz="0" w:space="0" w:color="auto"/>
                        <w:bottom w:val="none" w:sz="0" w:space="0" w:color="auto"/>
                        <w:right w:val="none" w:sz="0" w:space="0" w:color="auto"/>
                      </w:divBdr>
                    </w:div>
                  </w:divsChild>
                </w:div>
                <w:div w:id="65420867">
                  <w:marLeft w:val="0"/>
                  <w:marRight w:val="0"/>
                  <w:marTop w:val="0"/>
                  <w:marBottom w:val="0"/>
                  <w:divBdr>
                    <w:top w:val="none" w:sz="0" w:space="0" w:color="auto"/>
                    <w:left w:val="none" w:sz="0" w:space="0" w:color="auto"/>
                    <w:bottom w:val="none" w:sz="0" w:space="0" w:color="auto"/>
                    <w:right w:val="none" w:sz="0" w:space="0" w:color="auto"/>
                  </w:divBdr>
                  <w:divsChild>
                    <w:div w:id="1896622743">
                      <w:marLeft w:val="0"/>
                      <w:marRight w:val="0"/>
                      <w:marTop w:val="0"/>
                      <w:marBottom w:val="0"/>
                      <w:divBdr>
                        <w:top w:val="none" w:sz="0" w:space="0" w:color="auto"/>
                        <w:left w:val="none" w:sz="0" w:space="0" w:color="auto"/>
                        <w:bottom w:val="none" w:sz="0" w:space="0" w:color="auto"/>
                        <w:right w:val="none" w:sz="0" w:space="0" w:color="auto"/>
                      </w:divBdr>
                    </w:div>
                  </w:divsChild>
                </w:div>
                <w:div w:id="66920795">
                  <w:marLeft w:val="0"/>
                  <w:marRight w:val="0"/>
                  <w:marTop w:val="0"/>
                  <w:marBottom w:val="0"/>
                  <w:divBdr>
                    <w:top w:val="none" w:sz="0" w:space="0" w:color="auto"/>
                    <w:left w:val="none" w:sz="0" w:space="0" w:color="auto"/>
                    <w:bottom w:val="none" w:sz="0" w:space="0" w:color="auto"/>
                    <w:right w:val="none" w:sz="0" w:space="0" w:color="auto"/>
                  </w:divBdr>
                  <w:divsChild>
                    <w:div w:id="662053410">
                      <w:marLeft w:val="0"/>
                      <w:marRight w:val="0"/>
                      <w:marTop w:val="0"/>
                      <w:marBottom w:val="0"/>
                      <w:divBdr>
                        <w:top w:val="none" w:sz="0" w:space="0" w:color="auto"/>
                        <w:left w:val="none" w:sz="0" w:space="0" w:color="auto"/>
                        <w:bottom w:val="none" w:sz="0" w:space="0" w:color="auto"/>
                        <w:right w:val="none" w:sz="0" w:space="0" w:color="auto"/>
                      </w:divBdr>
                    </w:div>
                  </w:divsChild>
                </w:div>
                <w:div w:id="75397454">
                  <w:marLeft w:val="0"/>
                  <w:marRight w:val="0"/>
                  <w:marTop w:val="0"/>
                  <w:marBottom w:val="0"/>
                  <w:divBdr>
                    <w:top w:val="none" w:sz="0" w:space="0" w:color="auto"/>
                    <w:left w:val="none" w:sz="0" w:space="0" w:color="auto"/>
                    <w:bottom w:val="none" w:sz="0" w:space="0" w:color="auto"/>
                    <w:right w:val="none" w:sz="0" w:space="0" w:color="auto"/>
                  </w:divBdr>
                  <w:divsChild>
                    <w:div w:id="822160304">
                      <w:marLeft w:val="0"/>
                      <w:marRight w:val="0"/>
                      <w:marTop w:val="0"/>
                      <w:marBottom w:val="0"/>
                      <w:divBdr>
                        <w:top w:val="none" w:sz="0" w:space="0" w:color="auto"/>
                        <w:left w:val="none" w:sz="0" w:space="0" w:color="auto"/>
                        <w:bottom w:val="none" w:sz="0" w:space="0" w:color="auto"/>
                        <w:right w:val="none" w:sz="0" w:space="0" w:color="auto"/>
                      </w:divBdr>
                    </w:div>
                  </w:divsChild>
                </w:div>
                <w:div w:id="86850979">
                  <w:marLeft w:val="0"/>
                  <w:marRight w:val="0"/>
                  <w:marTop w:val="0"/>
                  <w:marBottom w:val="0"/>
                  <w:divBdr>
                    <w:top w:val="none" w:sz="0" w:space="0" w:color="auto"/>
                    <w:left w:val="none" w:sz="0" w:space="0" w:color="auto"/>
                    <w:bottom w:val="none" w:sz="0" w:space="0" w:color="auto"/>
                    <w:right w:val="none" w:sz="0" w:space="0" w:color="auto"/>
                  </w:divBdr>
                  <w:divsChild>
                    <w:div w:id="951858223">
                      <w:marLeft w:val="0"/>
                      <w:marRight w:val="0"/>
                      <w:marTop w:val="0"/>
                      <w:marBottom w:val="0"/>
                      <w:divBdr>
                        <w:top w:val="none" w:sz="0" w:space="0" w:color="auto"/>
                        <w:left w:val="none" w:sz="0" w:space="0" w:color="auto"/>
                        <w:bottom w:val="none" w:sz="0" w:space="0" w:color="auto"/>
                        <w:right w:val="none" w:sz="0" w:space="0" w:color="auto"/>
                      </w:divBdr>
                    </w:div>
                  </w:divsChild>
                </w:div>
                <w:div w:id="87581115">
                  <w:marLeft w:val="0"/>
                  <w:marRight w:val="0"/>
                  <w:marTop w:val="0"/>
                  <w:marBottom w:val="0"/>
                  <w:divBdr>
                    <w:top w:val="none" w:sz="0" w:space="0" w:color="auto"/>
                    <w:left w:val="none" w:sz="0" w:space="0" w:color="auto"/>
                    <w:bottom w:val="none" w:sz="0" w:space="0" w:color="auto"/>
                    <w:right w:val="none" w:sz="0" w:space="0" w:color="auto"/>
                  </w:divBdr>
                  <w:divsChild>
                    <w:div w:id="181862854">
                      <w:marLeft w:val="0"/>
                      <w:marRight w:val="0"/>
                      <w:marTop w:val="0"/>
                      <w:marBottom w:val="0"/>
                      <w:divBdr>
                        <w:top w:val="none" w:sz="0" w:space="0" w:color="auto"/>
                        <w:left w:val="none" w:sz="0" w:space="0" w:color="auto"/>
                        <w:bottom w:val="none" w:sz="0" w:space="0" w:color="auto"/>
                        <w:right w:val="none" w:sz="0" w:space="0" w:color="auto"/>
                      </w:divBdr>
                    </w:div>
                  </w:divsChild>
                </w:div>
                <w:div w:id="93718171">
                  <w:marLeft w:val="0"/>
                  <w:marRight w:val="0"/>
                  <w:marTop w:val="0"/>
                  <w:marBottom w:val="0"/>
                  <w:divBdr>
                    <w:top w:val="none" w:sz="0" w:space="0" w:color="auto"/>
                    <w:left w:val="none" w:sz="0" w:space="0" w:color="auto"/>
                    <w:bottom w:val="none" w:sz="0" w:space="0" w:color="auto"/>
                    <w:right w:val="none" w:sz="0" w:space="0" w:color="auto"/>
                  </w:divBdr>
                  <w:divsChild>
                    <w:div w:id="1476877095">
                      <w:marLeft w:val="0"/>
                      <w:marRight w:val="0"/>
                      <w:marTop w:val="0"/>
                      <w:marBottom w:val="0"/>
                      <w:divBdr>
                        <w:top w:val="none" w:sz="0" w:space="0" w:color="auto"/>
                        <w:left w:val="none" w:sz="0" w:space="0" w:color="auto"/>
                        <w:bottom w:val="none" w:sz="0" w:space="0" w:color="auto"/>
                        <w:right w:val="none" w:sz="0" w:space="0" w:color="auto"/>
                      </w:divBdr>
                    </w:div>
                  </w:divsChild>
                </w:div>
                <w:div w:id="96219846">
                  <w:marLeft w:val="0"/>
                  <w:marRight w:val="0"/>
                  <w:marTop w:val="0"/>
                  <w:marBottom w:val="0"/>
                  <w:divBdr>
                    <w:top w:val="none" w:sz="0" w:space="0" w:color="auto"/>
                    <w:left w:val="none" w:sz="0" w:space="0" w:color="auto"/>
                    <w:bottom w:val="none" w:sz="0" w:space="0" w:color="auto"/>
                    <w:right w:val="none" w:sz="0" w:space="0" w:color="auto"/>
                  </w:divBdr>
                  <w:divsChild>
                    <w:div w:id="1961301414">
                      <w:marLeft w:val="0"/>
                      <w:marRight w:val="0"/>
                      <w:marTop w:val="0"/>
                      <w:marBottom w:val="0"/>
                      <w:divBdr>
                        <w:top w:val="none" w:sz="0" w:space="0" w:color="auto"/>
                        <w:left w:val="none" w:sz="0" w:space="0" w:color="auto"/>
                        <w:bottom w:val="none" w:sz="0" w:space="0" w:color="auto"/>
                        <w:right w:val="none" w:sz="0" w:space="0" w:color="auto"/>
                      </w:divBdr>
                    </w:div>
                  </w:divsChild>
                </w:div>
                <w:div w:id="124474484">
                  <w:marLeft w:val="0"/>
                  <w:marRight w:val="0"/>
                  <w:marTop w:val="0"/>
                  <w:marBottom w:val="0"/>
                  <w:divBdr>
                    <w:top w:val="none" w:sz="0" w:space="0" w:color="auto"/>
                    <w:left w:val="none" w:sz="0" w:space="0" w:color="auto"/>
                    <w:bottom w:val="none" w:sz="0" w:space="0" w:color="auto"/>
                    <w:right w:val="none" w:sz="0" w:space="0" w:color="auto"/>
                  </w:divBdr>
                  <w:divsChild>
                    <w:div w:id="1028028228">
                      <w:marLeft w:val="0"/>
                      <w:marRight w:val="0"/>
                      <w:marTop w:val="0"/>
                      <w:marBottom w:val="0"/>
                      <w:divBdr>
                        <w:top w:val="none" w:sz="0" w:space="0" w:color="auto"/>
                        <w:left w:val="none" w:sz="0" w:space="0" w:color="auto"/>
                        <w:bottom w:val="none" w:sz="0" w:space="0" w:color="auto"/>
                        <w:right w:val="none" w:sz="0" w:space="0" w:color="auto"/>
                      </w:divBdr>
                    </w:div>
                  </w:divsChild>
                </w:div>
                <w:div w:id="128522314">
                  <w:marLeft w:val="0"/>
                  <w:marRight w:val="0"/>
                  <w:marTop w:val="0"/>
                  <w:marBottom w:val="0"/>
                  <w:divBdr>
                    <w:top w:val="none" w:sz="0" w:space="0" w:color="auto"/>
                    <w:left w:val="none" w:sz="0" w:space="0" w:color="auto"/>
                    <w:bottom w:val="none" w:sz="0" w:space="0" w:color="auto"/>
                    <w:right w:val="none" w:sz="0" w:space="0" w:color="auto"/>
                  </w:divBdr>
                  <w:divsChild>
                    <w:div w:id="1219852810">
                      <w:marLeft w:val="0"/>
                      <w:marRight w:val="0"/>
                      <w:marTop w:val="0"/>
                      <w:marBottom w:val="0"/>
                      <w:divBdr>
                        <w:top w:val="none" w:sz="0" w:space="0" w:color="auto"/>
                        <w:left w:val="none" w:sz="0" w:space="0" w:color="auto"/>
                        <w:bottom w:val="none" w:sz="0" w:space="0" w:color="auto"/>
                        <w:right w:val="none" w:sz="0" w:space="0" w:color="auto"/>
                      </w:divBdr>
                    </w:div>
                  </w:divsChild>
                </w:div>
                <w:div w:id="129566384">
                  <w:marLeft w:val="0"/>
                  <w:marRight w:val="0"/>
                  <w:marTop w:val="0"/>
                  <w:marBottom w:val="0"/>
                  <w:divBdr>
                    <w:top w:val="none" w:sz="0" w:space="0" w:color="auto"/>
                    <w:left w:val="none" w:sz="0" w:space="0" w:color="auto"/>
                    <w:bottom w:val="none" w:sz="0" w:space="0" w:color="auto"/>
                    <w:right w:val="none" w:sz="0" w:space="0" w:color="auto"/>
                  </w:divBdr>
                  <w:divsChild>
                    <w:div w:id="734619859">
                      <w:marLeft w:val="0"/>
                      <w:marRight w:val="0"/>
                      <w:marTop w:val="0"/>
                      <w:marBottom w:val="0"/>
                      <w:divBdr>
                        <w:top w:val="none" w:sz="0" w:space="0" w:color="auto"/>
                        <w:left w:val="none" w:sz="0" w:space="0" w:color="auto"/>
                        <w:bottom w:val="none" w:sz="0" w:space="0" w:color="auto"/>
                        <w:right w:val="none" w:sz="0" w:space="0" w:color="auto"/>
                      </w:divBdr>
                    </w:div>
                  </w:divsChild>
                </w:div>
                <w:div w:id="132449788">
                  <w:marLeft w:val="0"/>
                  <w:marRight w:val="0"/>
                  <w:marTop w:val="0"/>
                  <w:marBottom w:val="0"/>
                  <w:divBdr>
                    <w:top w:val="none" w:sz="0" w:space="0" w:color="auto"/>
                    <w:left w:val="none" w:sz="0" w:space="0" w:color="auto"/>
                    <w:bottom w:val="none" w:sz="0" w:space="0" w:color="auto"/>
                    <w:right w:val="none" w:sz="0" w:space="0" w:color="auto"/>
                  </w:divBdr>
                  <w:divsChild>
                    <w:div w:id="1229414467">
                      <w:marLeft w:val="0"/>
                      <w:marRight w:val="0"/>
                      <w:marTop w:val="0"/>
                      <w:marBottom w:val="0"/>
                      <w:divBdr>
                        <w:top w:val="none" w:sz="0" w:space="0" w:color="auto"/>
                        <w:left w:val="none" w:sz="0" w:space="0" w:color="auto"/>
                        <w:bottom w:val="none" w:sz="0" w:space="0" w:color="auto"/>
                        <w:right w:val="none" w:sz="0" w:space="0" w:color="auto"/>
                      </w:divBdr>
                    </w:div>
                  </w:divsChild>
                </w:div>
                <w:div w:id="135100944">
                  <w:marLeft w:val="0"/>
                  <w:marRight w:val="0"/>
                  <w:marTop w:val="0"/>
                  <w:marBottom w:val="0"/>
                  <w:divBdr>
                    <w:top w:val="none" w:sz="0" w:space="0" w:color="auto"/>
                    <w:left w:val="none" w:sz="0" w:space="0" w:color="auto"/>
                    <w:bottom w:val="none" w:sz="0" w:space="0" w:color="auto"/>
                    <w:right w:val="none" w:sz="0" w:space="0" w:color="auto"/>
                  </w:divBdr>
                  <w:divsChild>
                    <w:div w:id="192036899">
                      <w:marLeft w:val="0"/>
                      <w:marRight w:val="0"/>
                      <w:marTop w:val="0"/>
                      <w:marBottom w:val="0"/>
                      <w:divBdr>
                        <w:top w:val="none" w:sz="0" w:space="0" w:color="auto"/>
                        <w:left w:val="none" w:sz="0" w:space="0" w:color="auto"/>
                        <w:bottom w:val="none" w:sz="0" w:space="0" w:color="auto"/>
                        <w:right w:val="none" w:sz="0" w:space="0" w:color="auto"/>
                      </w:divBdr>
                    </w:div>
                  </w:divsChild>
                </w:div>
                <w:div w:id="138428870">
                  <w:marLeft w:val="0"/>
                  <w:marRight w:val="0"/>
                  <w:marTop w:val="0"/>
                  <w:marBottom w:val="0"/>
                  <w:divBdr>
                    <w:top w:val="none" w:sz="0" w:space="0" w:color="auto"/>
                    <w:left w:val="none" w:sz="0" w:space="0" w:color="auto"/>
                    <w:bottom w:val="none" w:sz="0" w:space="0" w:color="auto"/>
                    <w:right w:val="none" w:sz="0" w:space="0" w:color="auto"/>
                  </w:divBdr>
                  <w:divsChild>
                    <w:div w:id="287048694">
                      <w:marLeft w:val="0"/>
                      <w:marRight w:val="0"/>
                      <w:marTop w:val="0"/>
                      <w:marBottom w:val="0"/>
                      <w:divBdr>
                        <w:top w:val="none" w:sz="0" w:space="0" w:color="auto"/>
                        <w:left w:val="none" w:sz="0" w:space="0" w:color="auto"/>
                        <w:bottom w:val="none" w:sz="0" w:space="0" w:color="auto"/>
                        <w:right w:val="none" w:sz="0" w:space="0" w:color="auto"/>
                      </w:divBdr>
                    </w:div>
                  </w:divsChild>
                </w:div>
                <w:div w:id="141700005">
                  <w:marLeft w:val="0"/>
                  <w:marRight w:val="0"/>
                  <w:marTop w:val="0"/>
                  <w:marBottom w:val="0"/>
                  <w:divBdr>
                    <w:top w:val="none" w:sz="0" w:space="0" w:color="auto"/>
                    <w:left w:val="none" w:sz="0" w:space="0" w:color="auto"/>
                    <w:bottom w:val="none" w:sz="0" w:space="0" w:color="auto"/>
                    <w:right w:val="none" w:sz="0" w:space="0" w:color="auto"/>
                  </w:divBdr>
                  <w:divsChild>
                    <w:div w:id="279804867">
                      <w:marLeft w:val="0"/>
                      <w:marRight w:val="0"/>
                      <w:marTop w:val="0"/>
                      <w:marBottom w:val="0"/>
                      <w:divBdr>
                        <w:top w:val="none" w:sz="0" w:space="0" w:color="auto"/>
                        <w:left w:val="none" w:sz="0" w:space="0" w:color="auto"/>
                        <w:bottom w:val="none" w:sz="0" w:space="0" w:color="auto"/>
                        <w:right w:val="none" w:sz="0" w:space="0" w:color="auto"/>
                      </w:divBdr>
                    </w:div>
                  </w:divsChild>
                </w:div>
                <w:div w:id="142165912">
                  <w:marLeft w:val="0"/>
                  <w:marRight w:val="0"/>
                  <w:marTop w:val="0"/>
                  <w:marBottom w:val="0"/>
                  <w:divBdr>
                    <w:top w:val="none" w:sz="0" w:space="0" w:color="auto"/>
                    <w:left w:val="none" w:sz="0" w:space="0" w:color="auto"/>
                    <w:bottom w:val="none" w:sz="0" w:space="0" w:color="auto"/>
                    <w:right w:val="none" w:sz="0" w:space="0" w:color="auto"/>
                  </w:divBdr>
                  <w:divsChild>
                    <w:div w:id="761486493">
                      <w:marLeft w:val="0"/>
                      <w:marRight w:val="0"/>
                      <w:marTop w:val="0"/>
                      <w:marBottom w:val="0"/>
                      <w:divBdr>
                        <w:top w:val="none" w:sz="0" w:space="0" w:color="auto"/>
                        <w:left w:val="none" w:sz="0" w:space="0" w:color="auto"/>
                        <w:bottom w:val="none" w:sz="0" w:space="0" w:color="auto"/>
                        <w:right w:val="none" w:sz="0" w:space="0" w:color="auto"/>
                      </w:divBdr>
                    </w:div>
                  </w:divsChild>
                </w:div>
                <w:div w:id="144123991">
                  <w:marLeft w:val="0"/>
                  <w:marRight w:val="0"/>
                  <w:marTop w:val="0"/>
                  <w:marBottom w:val="0"/>
                  <w:divBdr>
                    <w:top w:val="none" w:sz="0" w:space="0" w:color="auto"/>
                    <w:left w:val="none" w:sz="0" w:space="0" w:color="auto"/>
                    <w:bottom w:val="none" w:sz="0" w:space="0" w:color="auto"/>
                    <w:right w:val="none" w:sz="0" w:space="0" w:color="auto"/>
                  </w:divBdr>
                  <w:divsChild>
                    <w:div w:id="74788610">
                      <w:marLeft w:val="0"/>
                      <w:marRight w:val="0"/>
                      <w:marTop w:val="0"/>
                      <w:marBottom w:val="0"/>
                      <w:divBdr>
                        <w:top w:val="none" w:sz="0" w:space="0" w:color="auto"/>
                        <w:left w:val="none" w:sz="0" w:space="0" w:color="auto"/>
                        <w:bottom w:val="none" w:sz="0" w:space="0" w:color="auto"/>
                        <w:right w:val="none" w:sz="0" w:space="0" w:color="auto"/>
                      </w:divBdr>
                    </w:div>
                  </w:divsChild>
                </w:div>
                <w:div w:id="150634471">
                  <w:marLeft w:val="0"/>
                  <w:marRight w:val="0"/>
                  <w:marTop w:val="0"/>
                  <w:marBottom w:val="0"/>
                  <w:divBdr>
                    <w:top w:val="none" w:sz="0" w:space="0" w:color="auto"/>
                    <w:left w:val="none" w:sz="0" w:space="0" w:color="auto"/>
                    <w:bottom w:val="none" w:sz="0" w:space="0" w:color="auto"/>
                    <w:right w:val="none" w:sz="0" w:space="0" w:color="auto"/>
                  </w:divBdr>
                  <w:divsChild>
                    <w:div w:id="1226063159">
                      <w:marLeft w:val="0"/>
                      <w:marRight w:val="0"/>
                      <w:marTop w:val="0"/>
                      <w:marBottom w:val="0"/>
                      <w:divBdr>
                        <w:top w:val="none" w:sz="0" w:space="0" w:color="auto"/>
                        <w:left w:val="none" w:sz="0" w:space="0" w:color="auto"/>
                        <w:bottom w:val="none" w:sz="0" w:space="0" w:color="auto"/>
                        <w:right w:val="none" w:sz="0" w:space="0" w:color="auto"/>
                      </w:divBdr>
                    </w:div>
                  </w:divsChild>
                </w:div>
                <w:div w:id="162597683">
                  <w:marLeft w:val="0"/>
                  <w:marRight w:val="0"/>
                  <w:marTop w:val="0"/>
                  <w:marBottom w:val="0"/>
                  <w:divBdr>
                    <w:top w:val="none" w:sz="0" w:space="0" w:color="auto"/>
                    <w:left w:val="none" w:sz="0" w:space="0" w:color="auto"/>
                    <w:bottom w:val="none" w:sz="0" w:space="0" w:color="auto"/>
                    <w:right w:val="none" w:sz="0" w:space="0" w:color="auto"/>
                  </w:divBdr>
                  <w:divsChild>
                    <w:div w:id="719288308">
                      <w:marLeft w:val="0"/>
                      <w:marRight w:val="0"/>
                      <w:marTop w:val="0"/>
                      <w:marBottom w:val="0"/>
                      <w:divBdr>
                        <w:top w:val="none" w:sz="0" w:space="0" w:color="auto"/>
                        <w:left w:val="none" w:sz="0" w:space="0" w:color="auto"/>
                        <w:bottom w:val="none" w:sz="0" w:space="0" w:color="auto"/>
                        <w:right w:val="none" w:sz="0" w:space="0" w:color="auto"/>
                      </w:divBdr>
                    </w:div>
                  </w:divsChild>
                </w:div>
                <w:div w:id="163016432">
                  <w:marLeft w:val="0"/>
                  <w:marRight w:val="0"/>
                  <w:marTop w:val="0"/>
                  <w:marBottom w:val="0"/>
                  <w:divBdr>
                    <w:top w:val="none" w:sz="0" w:space="0" w:color="auto"/>
                    <w:left w:val="none" w:sz="0" w:space="0" w:color="auto"/>
                    <w:bottom w:val="none" w:sz="0" w:space="0" w:color="auto"/>
                    <w:right w:val="none" w:sz="0" w:space="0" w:color="auto"/>
                  </w:divBdr>
                  <w:divsChild>
                    <w:div w:id="641472677">
                      <w:marLeft w:val="0"/>
                      <w:marRight w:val="0"/>
                      <w:marTop w:val="0"/>
                      <w:marBottom w:val="0"/>
                      <w:divBdr>
                        <w:top w:val="none" w:sz="0" w:space="0" w:color="auto"/>
                        <w:left w:val="none" w:sz="0" w:space="0" w:color="auto"/>
                        <w:bottom w:val="none" w:sz="0" w:space="0" w:color="auto"/>
                        <w:right w:val="none" w:sz="0" w:space="0" w:color="auto"/>
                      </w:divBdr>
                    </w:div>
                  </w:divsChild>
                </w:div>
                <w:div w:id="169414194">
                  <w:marLeft w:val="0"/>
                  <w:marRight w:val="0"/>
                  <w:marTop w:val="0"/>
                  <w:marBottom w:val="0"/>
                  <w:divBdr>
                    <w:top w:val="none" w:sz="0" w:space="0" w:color="auto"/>
                    <w:left w:val="none" w:sz="0" w:space="0" w:color="auto"/>
                    <w:bottom w:val="none" w:sz="0" w:space="0" w:color="auto"/>
                    <w:right w:val="none" w:sz="0" w:space="0" w:color="auto"/>
                  </w:divBdr>
                  <w:divsChild>
                    <w:div w:id="1492864156">
                      <w:marLeft w:val="0"/>
                      <w:marRight w:val="0"/>
                      <w:marTop w:val="0"/>
                      <w:marBottom w:val="0"/>
                      <w:divBdr>
                        <w:top w:val="none" w:sz="0" w:space="0" w:color="auto"/>
                        <w:left w:val="none" w:sz="0" w:space="0" w:color="auto"/>
                        <w:bottom w:val="none" w:sz="0" w:space="0" w:color="auto"/>
                        <w:right w:val="none" w:sz="0" w:space="0" w:color="auto"/>
                      </w:divBdr>
                    </w:div>
                  </w:divsChild>
                </w:div>
                <w:div w:id="172575061">
                  <w:marLeft w:val="0"/>
                  <w:marRight w:val="0"/>
                  <w:marTop w:val="0"/>
                  <w:marBottom w:val="0"/>
                  <w:divBdr>
                    <w:top w:val="none" w:sz="0" w:space="0" w:color="auto"/>
                    <w:left w:val="none" w:sz="0" w:space="0" w:color="auto"/>
                    <w:bottom w:val="none" w:sz="0" w:space="0" w:color="auto"/>
                    <w:right w:val="none" w:sz="0" w:space="0" w:color="auto"/>
                  </w:divBdr>
                  <w:divsChild>
                    <w:div w:id="499928436">
                      <w:marLeft w:val="0"/>
                      <w:marRight w:val="0"/>
                      <w:marTop w:val="0"/>
                      <w:marBottom w:val="0"/>
                      <w:divBdr>
                        <w:top w:val="none" w:sz="0" w:space="0" w:color="auto"/>
                        <w:left w:val="none" w:sz="0" w:space="0" w:color="auto"/>
                        <w:bottom w:val="none" w:sz="0" w:space="0" w:color="auto"/>
                        <w:right w:val="none" w:sz="0" w:space="0" w:color="auto"/>
                      </w:divBdr>
                    </w:div>
                  </w:divsChild>
                </w:div>
                <w:div w:id="176386149">
                  <w:marLeft w:val="0"/>
                  <w:marRight w:val="0"/>
                  <w:marTop w:val="0"/>
                  <w:marBottom w:val="0"/>
                  <w:divBdr>
                    <w:top w:val="none" w:sz="0" w:space="0" w:color="auto"/>
                    <w:left w:val="none" w:sz="0" w:space="0" w:color="auto"/>
                    <w:bottom w:val="none" w:sz="0" w:space="0" w:color="auto"/>
                    <w:right w:val="none" w:sz="0" w:space="0" w:color="auto"/>
                  </w:divBdr>
                  <w:divsChild>
                    <w:div w:id="1138378580">
                      <w:marLeft w:val="0"/>
                      <w:marRight w:val="0"/>
                      <w:marTop w:val="0"/>
                      <w:marBottom w:val="0"/>
                      <w:divBdr>
                        <w:top w:val="none" w:sz="0" w:space="0" w:color="auto"/>
                        <w:left w:val="none" w:sz="0" w:space="0" w:color="auto"/>
                        <w:bottom w:val="none" w:sz="0" w:space="0" w:color="auto"/>
                        <w:right w:val="none" w:sz="0" w:space="0" w:color="auto"/>
                      </w:divBdr>
                    </w:div>
                  </w:divsChild>
                </w:div>
                <w:div w:id="176583015">
                  <w:marLeft w:val="0"/>
                  <w:marRight w:val="0"/>
                  <w:marTop w:val="0"/>
                  <w:marBottom w:val="0"/>
                  <w:divBdr>
                    <w:top w:val="none" w:sz="0" w:space="0" w:color="auto"/>
                    <w:left w:val="none" w:sz="0" w:space="0" w:color="auto"/>
                    <w:bottom w:val="none" w:sz="0" w:space="0" w:color="auto"/>
                    <w:right w:val="none" w:sz="0" w:space="0" w:color="auto"/>
                  </w:divBdr>
                  <w:divsChild>
                    <w:div w:id="1551922378">
                      <w:marLeft w:val="0"/>
                      <w:marRight w:val="0"/>
                      <w:marTop w:val="0"/>
                      <w:marBottom w:val="0"/>
                      <w:divBdr>
                        <w:top w:val="none" w:sz="0" w:space="0" w:color="auto"/>
                        <w:left w:val="none" w:sz="0" w:space="0" w:color="auto"/>
                        <w:bottom w:val="none" w:sz="0" w:space="0" w:color="auto"/>
                        <w:right w:val="none" w:sz="0" w:space="0" w:color="auto"/>
                      </w:divBdr>
                    </w:div>
                  </w:divsChild>
                </w:div>
                <w:div w:id="178813779">
                  <w:marLeft w:val="0"/>
                  <w:marRight w:val="0"/>
                  <w:marTop w:val="0"/>
                  <w:marBottom w:val="0"/>
                  <w:divBdr>
                    <w:top w:val="none" w:sz="0" w:space="0" w:color="auto"/>
                    <w:left w:val="none" w:sz="0" w:space="0" w:color="auto"/>
                    <w:bottom w:val="none" w:sz="0" w:space="0" w:color="auto"/>
                    <w:right w:val="none" w:sz="0" w:space="0" w:color="auto"/>
                  </w:divBdr>
                  <w:divsChild>
                    <w:div w:id="529951805">
                      <w:marLeft w:val="0"/>
                      <w:marRight w:val="0"/>
                      <w:marTop w:val="0"/>
                      <w:marBottom w:val="0"/>
                      <w:divBdr>
                        <w:top w:val="none" w:sz="0" w:space="0" w:color="auto"/>
                        <w:left w:val="none" w:sz="0" w:space="0" w:color="auto"/>
                        <w:bottom w:val="none" w:sz="0" w:space="0" w:color="auto"/>
                        <w:right w:val="none" w:sz="0" w:space="0" w:color="auto"/>
                      </w:divBdr>
                    </w:div>
                  </w:divsChild>
                </w:div>
                <w:div w:id="190849993">
                  <w:marLeft w:val="0"/>
                  <w:marRight w:val="0"/>
                  <w:marTop w:val="0"/>
                  <w:marBottom w:val="0"/>
                  <w:divBdr>
                    <w:top w:val="none" w:sz="0" w:space="0" w:color="auto"/>
                    <w:left w:val="none" w:sz="0" w:space="0" w:color="auto"/>
                    <w:bottom w:val="none" w:sz="0" w:space="0" w:color="auto"/>
                    <w:right w:val="none" w:sz="0" w:space="0" w:color="auto"/>
                  </w:divBdr>
                  <w:divsChild>
                    <w:div w:id="93210336">
                      <w:marLeft w:val="0"/>
                      <w:marRight w:val="0"/>
                      <w:marTop w:val="0"/>
                      <w:marBottom w:val="0"/>
                      <w:divBdr>
                        <w:top w:val="none" w:sz="0" w:space="0" w:color="auto"/>
                        <w:left w:val="none" w:sz="0" w:space="0" w:color="auto"/>
                        <w:bottom w:val="none" w:sz="0" w:space="0" w:color="auto"/>
                        <w:right w:val="none" w:sz="0" w:space="0" w:color="auto"/>
                      </w:divBdr>
                    </w:div>
                  </w:divsChild>
                </w:div>
                <w:div w:id="205919512">
                  <w:marLeft w:val="0"/>
                  <w:marRight w:val="0"/>
                  <w:marTop w:val="0"/>
                  <w:marBottom w:val="0"/>
                  <w:divBdr>
                    <w:top w:val="none" w:sz="0" w:space="0" w:color="auto"/>
                    <w:left w:val="none" w:sz="0" w:space="0" w:color="auto"/>
                    <w:bottom w:val="none" w:sz="0" w:space="0" w:color="auto"/>
                    <w:right w:val="none" w:sz="0" w:space="0" w:color="auto"/>
                  </w:divBdr>
                  <w:divsChild>
                    <w:div w:id="2146507027">
                      <w:marLeft w:val="0"/>
                      <w:marRight w:val="0"/>
                      <w:marTop w:val="0"/>
                      <w:marBottom w:val="0"/>
                      <w:divBdr>
                        <w:top w:val="none" w:sz="0" w:space="0" w:color="auto"/>
                        <w:left w:val="none" w:sz="0" w:space="0" w:color="auto"/>
                        <w:bottom w:val="none" w:sz="0" w:space="0" w:color="auto"/>
                        <w:right w:val="none" w:sz="0" w:space="0" w:color="auto"/>
                      </w:divBdr>
                    </w:div>
                  </w:divsChild>
                </w:div>
                <w:div w:id="208884297">
                  <w:marLeft w:val="0"/>
                  <w:marRight w:val="0"/>
                  <w:marTop w:val="0"/>
                  <w:marBottom w:val="0"/>
                  <w:divBdr>
                    <w:top w:val="none" w:sz="0" w:space="0" w:color="auto"/>
                    <w:left w:val="none" w:sz="0" w:space="0" w:color="auto"/>
                    <w:bottom w:val="none" w:sz="0" w:space="0" w:color="auto"/>
                    <w:right w:val="none" w:sz="0" w:space="0" w:color="auto"/>
                  </w:divBdr>
                  <w:divsChild>
                    <w:div w:id="1261718237">
                      <w:marLeft w:val="0"/>
                      <w:marRight w:val="0"/>
                      <w:marTop w:val="0"/>
                      <w:marBottom w:val="0"/>
                      <w:divBdr>
                        <w:top w:val="none" w:sz="0" w:space="0" w:color="auto"/>
                        <w:left w:val="none" w:sz="0" w:space="0" w:color="auto"/>
                        <w:bottom w:val="none" w:sz="0" w:space="0" w:color="auto"/>
                        <w:right w:val="none" w:sz="0" w:space="0" w:color="auto"/>
                      </w:divBdr>
                    </w:div>
                  </w:divsChild>
                </w:div>
                <w:div w:id="218707709">
                  <w:marLeft w:val="0"/>
                  <w:marRight w:val="0"/>
                  <w:marTop w:val="0"/>
                  <w:marBottom w:val="0"/>
                  <w:divBdr>
                    <w:top w:val="none" w:sz="0" w:space="0" w:color="auto"/>
                    <w:left w:val="none" w:sz="0" w:space="0" w:color="auto"/>
                    <w:bottom w:val="none" w:sz="0" w:space="0" w:color="auto"/>
                    <w:right w:val="none" w:sz="0" w:space="0" w:color="auto"/>
                  </w:divBdr>
                  <w:divsChild>
                    <w:div w:id="2072658465">
                      <w:marLeft w:val="0"/>
                      <w:marRight w:val="0"/>
                      <w:marTop w:val="0"/>
                      <w:marBottom w:val="0"/>
                      <w:divBdr>
                        <w:top w:val="none" w:sz="0" w:space="0" w:color="auto"/>
                        <w:left w:val="none" w:sz="0" w:space="0" w:color="auto"/>
                        <w:bottom w:val="none" w:sz="0" w:space="0" w:color="auto"/>
                        <w:right w:val="none" w:sz="0" w:space="0" w:color="auto"/>
                      </w:divBdr>
                    </w:div>
                  </w:divsChild>
                </w:div>
                <w:div w:id="247153944">
                  <w:marLeft w:val="0"/>
                  <w:marRight w:val="0"/>
                  <w:marTop w:val="0"/>
                  <w:marBottom w:val="0"/>
                  <w:divBdr>
                    <w:top w:val="none" w:sz="0" w:space="0" w:color="auto"/>
                    <w:left w:val="none" w:sz="0" w:space="0" w:color="auto"/>
                    <w:bottom w:val="none" w:sz="0" w:space="0" w:color="auto"/>
                    <w:right w:val="none" w:sz="0" w:space="0" w:color="auto"/>
                  </w:divBdr>
                  <w:divsChild>
                    <w:div w:id="341442924">
                      <w:marLeft w:val="0"/>
                      <w:marRight w:val="0"/>
                      <w:marTop w:val="0"/>
                      <w:marBottom w:val="0"/>
                      <w:divBdr>
                        <w:top w:val="none" w:sz="0" w:space="0" w:color="auto"/>
                        <w:left w:val="none" w:sz="0" w:space="0" w:color="auto"/>
                        <w:bottom w:val="none" w:sz="0" w:space="0" w:color="auto"/>
                        <w:right w:val="none" w:sz="0" w:space="0" w:color="auto"/>
                      </w:divBdr>
                    </w:div>
                  </w:divsChild>
                </w:div>
                <w:div w:id="256255590">
                  <w:marLeft w:val="0"/>
                  <w:marRight w:val="0"/>
                  <w:marTop w:val="0"/>
                  <w:marBottom w:val="0"/>
                  <w:divBdr>
                    <w:top w:val="none" w:sz="0" w:space="0" w:color="auto"/>
                    <w:left w:val="none" w:sz="0" w:space="0" w:color="auto"/>
                    <w:bottom w:val="none" w:sz="0" w:space="0" w:color="auto"/>
                    <w:right w:val="none" w:sz="0" w:space="0" w:color="auto"/>
                  </w:divBdr>
                  <w:divsChild>
                    <w:div w:id="712386700">
                      <w:marLeft w:val="0"/>
                      <w:marRight w:val="0"/>
                      <w:marTop w:val="0"/>
                      <w:marBottom w:val="0"/>
                      <w:divBdr>
                        <w:top w:val="none" w:sz="0" w:space="0" w:color="auto"/>
                        <w:left w:val="none" w:sz="0" w:space="0" w:color="auto"/>
                        <w:bottom w:val="none" w:sz="0" w:space="0" w:color="auto"/>
                        <w:right w:val="none" w:sz="0" w:space="0" w:color="auto"/>
                      </w:divBdr>
                    </w:div>
                  </w:divsChild>
                </w:div>
                <w:div w:id="257297165">
                  <w:marLeft w:val="0"/>
                  <w:marRight w:val="0"/>
                  <w:marTop w:val="0"/>
                  <w:marBottom w:val="0"/>
                  <w:divBdr>
                    <w:top w:val="none" w:sz="0" w:space="0" w:color="auto"/>
                    <w:left w:val="none" w:sz="0" w:space="0" w:color="auto"/>
                    <w:bottom w:val="none" w:sz="0" w:space="0" w:color="auto"/>
                    <w:right w:val="none" w:sz="0" w:space="0" w:color="auto"/>
                  </w:divBdr>
                  <w:divsChild>
                    <w:div w:id="1812282773">
                      <w:marLeft w:val="0"/>
                      <w:marRight w:val="0"/>
                      <w:marTop w:val="0"/>
                      <w:marBottom w:val="0"/>
                      <w:divBdr>
                        <w:top w:val="none" w:sz="0" w:space="0" w:color="auto"/>
                        <w:left w:val="none" w:sz="0" w:space="0" w:color="auto"/>
                        <w:bottom w:val="none" w:sz="0" w:space="0" w:color="auto"/>
                        <w:right w:val="none" w:sz="0" w:space="0" w:color="auto"/>
                      </w:divBdr>
                    </w:div>
                  </w:divsChild>
                </w:div>
                <w:div w:id="257718211">
                  <w:marLeft w:val="0"/>
                  <w:marRight w:val="0"/>
                  <w:marTop w:val="0"/>
                  <w:marBottom w:val="0"/>
                  <w:divBdr>
                    <w:top w:val="none" w:sz="0" w:space="0" w:color="auto"/>
                    <w:left w:val="none" w:sz="0" w:space="0" w:color="auto"/>
                    <w:bottom w:val="none" w:sz="0" w:space="0" w:color="auto"/>
                    <w:right w:val="none" w:sz="0" w:space="0" w:color="auto"/>
                  </w:divBdr>
                  <w:divsChild>
                    <w:div w:id="992372994">
                      <w:marLeft w:val="0"/>
                      <w:marRight w:val="0"/>
                      <w:marTop w:val="0"/>
                      <w:marBottom w:val="0"/>
                      <w:divBdr>
                        <w:top w:val="none" w:sz="0" w:space="0" w:color="auto"/>
                        <w:left w:val="none" w:sz="0" w:space="0" w:color="auto"/>
                        <w:bottom w:val="none" w:sz="0" w:space="0" w:color="auto"/>
                        <w:right w:val="none" w:sz="0" w:space="0" w:color="auto"/>
                      </w:divBdr>
                    </w:div>
                  </w:divsChild>
                </w:div>
                <w:div w:id="259489723">
                  <w:marLeft w:val="0"/>
                  <w:marRight w:val="0"/>
                  <w:marTop w:val="0"/>
                  <w:marBottom w:val="0"/>
                  <w:divBdr>
                    <w:top w:val="none" w:sz="0" w:space="0" w:color="auto"/>
                    <w:left w:val="none" w:sz="0" w:space="0" w:color="auto"/>
                    <w:bottom w:val="none" w:sz="0" w:space="0" w:color="auto"/>
                    <w:right w:val="none" w:sz="0" w:space="0" w:color="auto"/>
                  </w:divBdr>
                  <w:divsChild>
                    <w:div w:id="344594244">
                      <w:marLeft w:val="0"/>
                      <w:marRight w:val="0"/>
                      <w:marTop w:val="0"/>
                      <w:marBottom w:val="0"/>
                      <w:divBdr>
                        <w:top w:val="none" w:sz="0" w:space="0" w:color="auto"/>
                        <w:left w:val="none" w:sz="0" w:space="0" w:color="auto"/>
                        <w:bottom w:val="none" w:sz="0" w:space="0" w:color="auto"/>
                        <w:right w:val="none" w:sz="0" w:space="0" w:color="auto"/>
                      </w:divBdr>
                    </w:div>
                  </w:divsChild>
                </w:div>
                <w:div w:id="282925424">
                  <w:marLeft w:val="0"/>
                  <w:marRight w:val="0"/>
                  <w:marTop w:val="0"/>
                  <w:marBottom w:val="0"/>
                  <w:divBdr>
                    <w:top w:val="none" w:sz="0" w:space="0" w:color="auto"/>
                    <w:left w:val="none" w:sz="0" w:space="0" w:color="auto"/>
                    <w:bottom w:val="none" w:sz="0" w:space="0" w:color="auto"/>
                    <w:right w:val="none" w:sz="0" w:space="0" w:color="auto"/>
                  </w:divBdr>
                  <w:divsChild>
                    <w:div w:id="436143622">
                      <w:marLeft w:val="0"/>
                      <w:marRight w:val="0"/>
                      <w:marTop w:val="0"/>
                      <w:marBottom w:val="0"/>
                      <w:divBdr>
                        <w:top w:val="none" w:sz="0" w:space="0" w:color="auto"/>
                        <w:left w:val="none" w:sz="0" w:space="0" w:color="auto"/>
                        <w:bottom w:val="none" w:sz="0" w:space="0" w:color="auto"/>
                        <w:right w:val="none" w:sz="0" w:space="0" w:color="auto"/>
                      </w:divBdr>
                    </w:div>
                  </w:divsChild>
                </w:div>
                <w:div w:id="305940089">
                  <w:marLeft w:val="0"/>
                  <w:marRight w:val="0"/>
                  <w:marTop w:val="0"/>
                  <w:marBottom w:val="0"/>
                  <w:divBdr>
                    <w:top w:val="none" w:sz="0" w:space="0" w:color="auto"/>
                    <w:left w:val="none" w:sz="0" w:space="0" w:color="auto"/>
                    <w:bottom w:val="none" w:sz="0" w:space="0" w:color="auto"/>
                    <w:right w:val="none" w:sz="0" w:space="0" w:color="auto"/>
                  </w:divBdr>
                  <w:divsChild>
                    <w:div w:id="1601915192">
                      <w:marLeft w:val="0"/>
                      <w:marRight w:val="0"/>
                      <w:marTop w:val="0"/>
                      <w:marBottom w:val="0"/>
                      <w:divBdr>
                        <w:top w:val="none" w:sz="0" w:space="0" w:color="auto"/>
                        <w:left w:val="none" w:sz="0" w:space="0" w:color="auto"/>
                        <w:bottom w:val="none" w:sz="0" w:space="0" w:color="auto"/>
                        <w:right w:val="none" w:sz="0" w:space="0" w:color="auto"/>
                      </w:divBdr>
                    </w:div>
                  </w:divsChild>
                </w:div>
                <w:div w:id="317850096">
                  <w:marLeft w:val="0"/>
                  <w:marRight w:val="0"/>
                  <w:marTop w:val="0"/>
                  <w:marBottom w:val="0"/>
                  <w:divBdr>
                    <w:top w:val="none" w:sz="0" w:space="0" w:color="auto"/>
                    <w:left w:val="none" w:sz="0" w:space="0" w:color="auto"/>
                    <w:bottom w:val="none" w:sz="0" w:space="0" w:color="auto"/>
                    <w:right w:val="none" w:sz="0" w:space="0" w:color="auto"/>
                  </w:divBdr>
                  <w:divsChild>
                    <w:div w:id="1662807845">
                      <w:marLeft w:val="0"/>
                      <w:marRight w:val="0"/>
                      <w:marTop w:val="0"/>
                      <w:marBottom w:val="0"/>
                      <w:divBdr>
                        <w:top w:val="none" w:sz="0" w:space="0" w:color="auto"/>
                        <w:left w:val="none" w:sz="0" w:space="0" w:color="auto"/>
                        <w:bottom w:val="none" w:sz="0" w:space="0" w:color="auto"/>
                        <w:right w:val="none" w:sz="0" w:space="0" w:color="auto"/>
                      </w:divBdr>
                    </w:div>
                  </w:divsChild>
                </w:div>
                <w:div w:id="347485251">
                  <w:marLeft w:val="0"/>
                  <w:marRight w:val="0"/>
                  <w:marTop w:val="0"/>
                  <w:marBottom w:val="0"/>
                  <w:divBdr>
                    <w:top w:val="none" w:sz="0" w:space="0" w:color="auto"/>
                    <w:left w:val="none" w:sz="0" w:space="0" w:color="auto"/>
                    <w:bottom w:val="none" w:sz="0" w:space="0" w:color="auto"/>
                    <w:right w:val="none" w:sz="0" w:space="0" w:color="auto"/>
                  </w:divBdr>
                  <w:divsChild>
                    <w:div w:id="1896547619">
                      <w:marLeft w:val="0"/>
                      <w:marRight w:val="0"/>
                      <w:marTop w:val="0"/>
                      <w:marBottom w:val="0"/>
                      <w:divBdr>
                        <w:top w:val="none" w:sz="0" w:space="0" w:color="auto"/>
                        <w:left w:val="none" w:sz="0" w:space="0" w:color="auto"/>
                        <w:bottom w:val="none" w:sz="0" w:space="0" w:color="auto"/>
                        <w:right w:val="none" w:sz="0" w:space="0" w:color="auto"/>
                      </w:divBdr>
                    </w:div>
                  </w:divsChild>
                </w:div>
                <w:div w:id="350880894">
                  <w:marLeft w:val="0"/>
                  <w:marRight w:val="0"/>
                  <w:marTop w:val="0"/>
                  <w:marBottom w:val="0"/>
                  <w:divBdr>
                    <w:top w:val="none" w:sz="0" w:space="0" w:color="auto"/>
                    <w:left w:val="none" w:sz="0" w:space="0" w:color="auto"/>
                    <w:bottom w:val="none" w:sz="0" w:space="0" w:color="auto"/>
                    <w:right w:val="none" w:sz="0" w:space="0" w:color="auto"/>
                  </w:divBdr>
                  <w:divsChild>
                    <w:div w:id="1007901199">
                      <w:marLeft w:val="0"/>
                      <w:marRight w:val="0"/>
                      <w:marTop w:val="0"/>
                      <w:marBottom w:val="0"/>
                      <w:divBdr>
                        <w:top w:val="none" w:sz="0" w:space="0" w:color="auto"/>
                        <w:left w:val="none" w:sz="0" w:space="0" w:color="auto"/>
                        <w:bottom w:val="none" w:sz="0" w:space="0" w:color="auto"/>
                        <w:right w:val="none" w:sz="0" w:space="0" w:color="auto"/>
                      </w:divBdr>
                    </w:div>
                  </w:divsChild>
                </w:div>
                <w:div w:id="355232112">
                  <w:marLeft w:val="0"/>
                  <w:marRight w:val="0"/>
                  <w:marTop w:val="0"/>
                  <w:marBottom w:val="0"/>
                  <w:divBdr>
                    <w:top w:val="none" w:sz="0" w:space="0" w:color="auto"/>
                    <w:left w:val="none" w:sz="0" w:space="0" w:color="auto"/>
                    <w:bottom w:val="none" w:sz="0" w:space="0" w:color="auto"/>
                    <w:right w:val="none" w:sz="0" w:space="0" w:color="auto"/>
                  </w:divBdr>
                  <w:divsChild>
                    <w:div w:id="1682731820">
                      <w:marLeft w:val="0"/>
                      <w:marRight w:val="0"/>
                      <w:marTop w:val="0"/>
                      <w:marBottom w:val="0"/>
                      <w:divBdr>
                        <w:top w:val="none" w:sz="0" w:space="0" w:color="auto"/>
                        <w:left w:val="none" w:sz="0" w:space="0" w:color="auto"/>
                        <w:bottom w:val="none" w:sz="0" w:space="0" w:color="auto"/>
                        <w:right w:val="none" w:sz="0" w:space="0" w:color="auto"/>
                      </w:divBdr>
                    </w:div>
                  </w:divsChild>
                </w:div>
                <w:div w:id="356737108">
                  <w:marLeft w:val="0"/>
                  <w:marRight w:val="0"/>
                  <w:marTop w:val="0"/>
                  <w:marBottom w:val="0"/>
                  <w:divBdr>
                    <w:top w:val="none" w:sz="0" w:space="0" w:color="auto"/>
                    <w:left w:val="none" w:sz="0" w:space="0" w:color="auto"/>
                    <w:bottom w:val="none" w:sz="0" w:space="0" w:color="auto"/>
                    <w:right w:val="none" w:sz="0" w:space="0" w:color="auto"/>
                  </w:divBdr>
                  <w:divsChild>
                    <w:div w:id="681400126">
                      <w:marLeft w:val="0"/>
                      <w:marRight w:val="0"/>
                      <w:marTop w:val="0"/>
                      <w:marBottom w:val="0"/>
                      <w:divBdr>
                        <w:top w:val="none" w:sz="0" w:space="0" w:color="auto"/>
                        <w:left w:val="none" w:sz="0" w:space="0" w:color="auto"/>
                        <w:bottom w:val="none" w:sz="0" w:space="0" w:color="auto"/>
                        <w:right w:val="none" w:sz="0" w:space="0" w:color="auto"/>
                      </w:divBdr>
                    </w:div>
                  </w:divsChild>
                </w:div>
                <w:div w:id="369187407">
                  <w:marLeft w:val="0"/>
                  <w:marRight w:val="0"/>
                  <w:marTop w:val="0"/>
                  <w:marBottom w:val="0"/>
                  <w:divBdr>
                    <w:top w:val="none" w:sz="0" w:space="0" w:color="auto"/>
                    <w:left w:val="none" w:sz="0" w:space="0" w:color="auto"/>
                    <w:bottom w:val="none" w:sz="0" w:space="0" w:color="auto"/>
                    <w:right w:val="none" w:sz="0" w:space="0" w:color="auto"/>
                  </w:divBdr>
                  <w:divsChild>
                    <w:div w:id="1005550965">
                      <w:marLeft w:val="0"/>
                      <w:marRight w:val="0"/>
                      <w:marTop w:val="0"/>
                      <w:marBottom w:val="0"/>
                      <w:divBdr>
                        <w:top w:val="none" w:sz="0" w:space="0" w:color="auto"/>
                        <w:left w:val="none" w:sz="0" w:space="0" w:color="auto"/>
                        <w:bottom w:val="none" w:sz="0" w:space="0" w:color="auto"/>
                        <w:right w:val="none" w:sz="0" w:space="0" w:color="auto"/>
                      </w:divBdr>
                    </w:div>
                  </w:divsChild>
                </w:div>
                <w:div w:id="370689413">
                  <w:marLeft w:val="0"/>
                  <w:marRight w:val="0"/>
                  <w:marTop w:val="0"/>
                  <w:marBottom w:val="0"/>
                  <w:divBdr>
                    <w:top w:val="none" w:sz="0" w:space="0" w:color="auto"/>
                    <w:left w:val="none" w:sz="0" w:space="0" w:color="auto"/>
                    <w:bottom w:val="none" w:sz="0" w:space="0" w:color="auto"/>
                    <w:right w:val="none" w:sz="0" w:space="0" w:color="auto"/>
                  </w:divBdr>
                  <w:divsChild>
                    <w:div w:id="1320961613">
                      <w:marLeft w:val="0"/>
                      <w:marRight w:val="0"/>
                      <w:marTop w:val="0"/>
                      <w:marBottom w:val="0"/>
                      <w:divBdr>
                        <w:top w:val="none" w:sz="0" w:space="0" w:color="auto"/>
                        <w:left w:val="none" w:sz="0" w:space="0" w:color="auto"/>
                        <w:bottom w:val="none" w:sz="0" w:space="0" w:color="auto"/>
                        <w:right w:val="none" w:sz="0" w:space="0" w:color="auto"/>
                      </w:divBdr>
                    </w:div>
                  </w:divsChild>
                </w:div>
                <w:div w:id="375008839">
                  <w:marLeft w:val="0"/>
                  <w:marRight w:val="0"/>
                  <w:marTop w:val="0"/>
                  <w:marBottom w:val="0"/>
                  <w:divBdr>
                    <w:top w:val="none" w:sz="0" w:space="0" w:color="auto"/>
                    <w:left w:val="none" w:sz="0" w:space="0" w:color="auto"/>
                    <w:bottom w:val="none" w:sz="0" w:space="0" w:color="auto"/>
                    <w:right w:val="none" w:sz="0" w:space="0" w:color="auto"/>
                  </w:divBdr>
                  <w:divsChild>
                    <w:div w:id="665784001">
                      <w:marLeft w:val="0"/>
                      <w:marRight w:val="0"/>
                      <w:marTop w:val="0"/>
                      <w:marBottom w:val="0"/>
                      <w:divBdr>
                        <w:top w:val="none" w:sz="0" w:space="0" w:color="auto"/>
                        <w:left w:val="none" w:sz="0" w:space="0" w:color="auto"/>
                        <w:bottom w:val="none" w:sz="0" w:space="0" w:color="auto"/>
                        <w:right w:val="none" w:sz="0" w:space="0" w:color="auto"/>
                      </w:divBdr>
                    </w:div>
                  </w:divsChild>
                </w:div>
                <w:div w:id="388116472">
                  <w:marLeft w:val="0"/>
                  <w:marRight w:val="0"/>
                  <w:marTop w:val="0"/>
                  <w:marBottom w:val="0"/>
                  <w:divBdr>
                    <w:top w:val="none" w:sz="0" w:space="0" w:color="auto"/>
                    <w:left w:val="none" w:sz="0" w:space="0" w:color="auto"/>
                    <w:bottom w:val="none" w:sz="0" w:space="0" w:color="auto"/>
                    <w:right w:val="none" w:sz="0" w:space="0" w:color="auto"/>
                  </w:divBdr>
                  <w:divsChild>
                    <w:div w:id="1284069863">
                      <w:marLeft w:val="0"/>
                      <w:marRight w:val="0"/>
                      <w:marTop w:val="0"/>
                      <w:marBottom w:val="0"/>
                      <w:divBdr>
                        <w:top w:val="none" w:sz="0" w:space="0" w:color="auto"/>
                        <w:left w:val="none" w:sz="0" w:space="0" w:color="auto"/>
                        <w:bottom w:val="none" w:sz="0" w:space="0" w:color="auto"/>
                        <w:right w:val="none" w:sz="0" w:space="0" w:color="auto"/>
                      </w:divBdr>
                    </w:div>
                  </w:divsChild>
                </w:div>
                <w:div w:id="398868683">
                  <w:marLeft w:val="0"/>
                  <w:marRight w:val="0"/>
                  <w:marTop w:val="0"/>
                  <w:marBottom w:val="0"/>
                  <w:divBdr>
                    <w:top w:val="none" w:sz="0" w:space="0" w:color="auto"/>
                    <w:left w:val="none" w:sz="0" w:space="0" w:color="auto"/>
                    <w:bottom w:val="none" w:sz="0" w:space="0" w:color="auto"/>
                    <w:right w:val="none" w:sz="0" w:space="0" w:color="auto"/>
                  </w:divBdr>
                  <w:divsChild>
                    <w:div w:id="1084259357">
                      <w:marLeft w:val="0"/>
                      <w:marRight w:val="0"/>
                      <w:marTop w:val="0"/>
                      <w:marBottom w:val="0"/>
                      <w:divBdr>
                        <w:top w:val="none" w:sz="0" w:space="0" w:color="auto"/>
                        <w:left w:val="none" w:sz="0" w:space="0" w:color="auto"/>
                        <w:bottom w:val="none" w:sz="0" w:space="0" w:color="auto"/>
                        <w:right w:val="none" w:sz="0" w:space="0" w:color="auto"/>
                      </w:divBdr>
                    </w:div>
                  </w:divsChild>
                </w:div>
                <w:div w:id="399983901">
                  <w:marLeft w:val="0"/>
                  <w:marRight w:val="0"/>
                  <w:marTop w:val="0"/>
                  <w:marBottom w:val="0"/>
                  <w:divBdr>
                    <w:top w:val="none" w:sz="0" w:space="0" w:color="auto"/>
                    <w:left w:val="none" w:sz="0" w:space="0" w:color="auto"/>
                    <w:bottom w:val="none" w:sz="0" w:space="0" w:color="auto"/>
                    <w:right w:val="none" w:sz="0" w:space="0" w:color="auto"/>
                  </w:divBdr>
                  <w:divsChild>
                    <w:div w:id="1001933309">
                      <w:marLeft w:val="0"/>
                      <w:marRight w:val="0"/>
                      <w:marTop w:val="0"/>
                      <w:marBottom w:val="0"/>
                      <w:divBdr>
                        <w:top w:val="none" w:sz="0" w:space="0" w:color="auto"/>
                        <w:left w:val="none" w:sz="0" w:space="0" w:color="auto"/>
                        <w:bottom w:val="none" w:sz="0" w:space="0" w:color="auto"/>
                        <w:right w:val="none" w:sz="0" w:space="0" w:color="auto"/>
                      </w:divBdr>
                    </w:div>
                  </w:divsChild>
                </w:div>
                <w:div w:id="405303410">
                  <w:marLeft w:val="0"/>
                  <w:marRight w:val="0"/>
                  <w:marTop w:val="0"/>
                  <w:marBottom w:val="0"/>
                  <w:divBdr>
                    <w:top w:val="none" w:sz="0" w:space="0" w:color="auto"/>
                    <w:left w:val="none" w:sz="0" w:space="0" w:color="auto"/>
                    <w:bottom w:val="none" w:sz="0" w:space="0" w:color="auto"/>
                    <w:right w:val="none" w:sz="0" w:space="0" w:color="auto"/>
                  </w:divBdr>
                  <w:divsChild>
                    <w:div w:id="872035382">
                      <w:marLeft w:val="0"/>
                      <w:marRight w:val="0"/>
                      <w:marTop w:val="0"/>
                      <w:marBottom w:val="0"/>
                      <w:divBdr>
                        <w:top w:val="none" w:sz="0" w:space="0" w:color="auto"/>
                        <w:left w:val="none" w:sz="0" w:space="0" w:color="auto"/>
                        <w:bottom w:val="none" w:sz="0" w:space="0" w:color="auto"/>
                        <w:right w:val="none" w:sz="0" w:space="0" w:color="auto"/>
                      </w:divBdr>
                    </w:div>
                  </w:divsChild>
                </w:div>
                <w:div w:id="416679784">
                  <w:marLeft w:val="0"/>
                  <w:marRight w:val="0"/>
                  <w:marTop w:val="0"/>
                  <w:marBottom w:val="0"/>
                  <w:divBdr>
                    <w:top w:val="none" w:sz="0" w:space="0" w:color="auto"/>
                    <w:left w:val="none" w:sz="0" w:space="0" w:color="auto"/>
                    <w:bottom w:val="none" w:sz="0" w:space="0" w:color="auto"/>
                    <w:right w:val="none" w:sz="0" w:space="0" w:color="auto"/>
                  </w:divBdr>
                  <w:divsChild>
                    <w:div w:id="1971158682">
                      <w:marLeft w:val="0"/>
                      <w:marRight w:val="0"/>
                      <w:marTop w:val="0"/>
                      <w:marBottom w:val="0"/>
                      <w:divBdr>
                        <w:top w:val="none" w:sz="0" w:space="0" w:color="auto"/>
                        <w:left w:val="none" w:sz="0" w:space="0" w:color="auto"/>
                        <w:bottom w:val="none" w:sz="0" w:space="0" w:color="auto"/>
                        <w:right w:val="none" w:sz="0" w:space="0" w:color="auto"/>
                      </w:divBdr>
                    </w:div>
                  </w:divsChild>
                </w:div>
                <w:div w:id="419908505">
                  <w:marLeft w:val="0"/>
                  <w:marRight w:val="0"/>
                  <w:marTop w:val="0"/>
                  <w:marBottom w:val="0"/>
                  <w:divBdr>
                    <w:top w:val="none" w:sz="0" w:space="0" w:color="auto"/>
                    <w:left w:val="none" w:sz="0" w:space="0" w:color="auto"/>
                    <w:bottom w:val="none" w:sz="0" w:space="0" w:color="auto"/>
                    <w:right w:val="none" w:sz="0" w:space="0" w:color="auto"/>
                  </w:divBdr>
                  <w:divsChild>
                    <w:div w:id="1295789186">
                      <w:marLeft w:val="0"/>
                      <w:marRight w:val="0"/>
                      <w:marTop w:val="0"/>
                      <w:marBottom w:val="0"/>
                      <w:divBdr>
                        <w:top w:val="none" w:sz="0" w:space="0" w:color="auto"/>
                        <w:left w:val="none" w:sz="0" w:space="0" w:color="auto"/>
                        <w:bottom w:val="none" w:sz="0" w:space="0" w:color="auto"/>
                        <w:right w:val="none" w:sz="0" w:space="0" w:color="auto"/>
                      </w:divBdr>
                    </w:div>
                  </w:divsChild>
                </w:div>
                <w:div w:id="422647435">
                  <w:marLeft w:val="0"/>
                  <w:marRight w:val="0"/>
                  <w:marTop w:val="0"/>
                  <w:marBottom w:val="0"/>
                  <w:divBdr>
                    <w:top w:val="none" w:sz="0" w:space="0" w:color="auto"/>
                    <w:left w:val="none" w:sz="0" w:space="0" w:color="auto"/>
                    <w:bottom w:val="none" w:sz="0" w:space="0" w:color="auto"/>
                    <w:right w:val="none" w:sz="0" w:space="0" w:color="auto"/>
                  </w:divBdr>
                  <w:divsChild>
                    <w:div w:id="73935739">
                      <w:marLeft w:val="0"/>
                      <w:marRight w:val="0"/>
                      <w:marTop w:val="0"/>
                      <w:marBottom w:val="0"/>
                      <w:divBdr>
                        <w:top w:val="none" w:sz="0" w:space="0" w:color="auto"/>
                        <w:left w:val="none" w:sz="0" w:space="0" w:color="auto"/>
                        <w:bottom w:val="none" w:sz="0" w:space="0" w:color="auto"/>
                        <w:right w:val="none" w:sz="0" w:space="0" w:color="auto"/>
                      </w:divBdr>
                    </w:div>
                  </w:divsChild>
                </w:div>
                <w:div w:id="427964132">
                  <w:marLeft w:val="0"/>
                  <w:marRight w:val="0"/>
                  <w:marTop w:val="0"/>
                  <w:marBottom w:val="0"/>
                  <w:divBdr>
                    <w:top w:val="none" w:sz="0" w:space="0" w:color="auto"/>
                    <w:left w:val="none" w:sz="0" w:space="0" w:color="auto"/>
                    <w:bottom w:val="none" w:sz="0" w:space="0" w:color="auto"/>
                    <w:right w:val="none" w:sz="0" w:space="0" w:color="auto"/>
                  </w:divBdr>
                  <w:divsChild>
                    <w:div w:id="1233543439">
                      <w:marLeft w:val="0"/>
                      <w:marRight w:val="0"/>
                      <w:marTop w:val="0"/>
                      <w:marBottom w:val="0"/>
                      <w:divBdr>
                        <w:top w:val="none" w:sz="0" w:space="0" w:color="auto"/>
                        <w:left w:val="none" w:sz="0" w:space="0" w:color="auto"/>
                        <w:bottom w:val="none" w:sz="0" w:space="0" w:color="auto"/>
                        <w:right w:val="none" w:sz="0" w:space="0" w:color="auto"/>
                      </w:divBdr>
                    </w:div>
                  </w:divsChild>
                </w:div>
                <w:div w:id="439494389">
                  <w:marLeft w:val="0"/>
                  <w:marRight w:val="0"/>
                  <w:marTop w:val="0"/>
                  <w:marBottom w:val="0"/>
                  <w:divBdr>
                    <w:top w:val="none" w:sz="0" w:space="0" w:color="auto"/>
                    <w:left w:val="none" w:sz="0" w:space="0" w:color="auto"/>
                    <w:bottom w:val="none" w:sz="0" w:space="0" w:color="auto"/>
                    <w:right w:val="none" w:sz="0" w:space="0" w:color="auto"/>
                  </w:divBdr>
                  <w:divsChild>
                    <w:div w:id="838544751">
                      <w:marLeft w:val="0"/>
                      <w:marRight w:val="0"/>
                      <w:marTop w:val="0"/>
                      <w:marBottom w:val="0"/>
                      <w:divBdr>
                        <w:top w:val="none" w:sz="0" w:space="0" w:color="auto"/>
                        <w:left w:val="none" w:sz="0" w:space="0" w:color="auto"/>
                        <w:bottom w:val="none" w:sz="0" w:space="0" w:color="auto"/>
                        <w:right w:val="none" w:sz="0" w:space="0" w:color="auto"/>
                      </w:divBdr>
                    </w:div>
                  </w:divsChild>
                </w:div>
                <w:div w:id="455410395">
                  <w:marLeft w:val="0"/>
                  <w:marRight w:val="0"/>
                  <w:marTop w:val="0"/>
                  <w:marBottom w:val="0"/>
                  <w:divBdr>
                    <w:top w:val="none" w:sz="0" w:space="0" w:color="auto"/>
                    <w:left w:val="none" w:sz="0" w:space="0" w:color="auto"/>
                    <w:bottom w:val="none" w:sz="0" w:space="0" w:color="auto"/>
                    <w:right w:val="none" w:sz="0" w:space="0" w:color="auto"/>
                  </w:divBdr>
                  <w:divsChild>
                    <w:div w:id="836845787">
                      <w:marLeft w:val="0"/>
                      <w:marRight w:val="0"/>
                      <w:marTop w:val="0"/>
                      <w:marBottom w:val="0"/>
                      <w:divBdr>
                        <w:top w:val="none" w:sz="0" w:space="0" w:color="auto"/>
                        <w:left w:val="none" w:sz="0" w:space="0" w:color="auto"/>
                        <w:bottom w:val="none" w:sz="0" w:space="0" w:color="auto"/>
                        <w:right w:val="none" w:sz="0" w:space="0" w:color="auto"/>
                      </w:divBdr>
                    </w:div>
                  </w:divsChild>
                </w:div>
                <w:div w:id="460342843">
                  <w:marLeft w:val="0"/>
                  <w:marRight w:val="0"/>
                  <w:marTop w:val="0"/>
                  <w:marBottom w:val="0"/>
                  <w:divBdr>
                    <w:top w:val="none" w:sz="0" w:space="0" w:color="auto"/>
                    <w:left w:val="none" w:sz="0" w:space="0" w:color="auto"/>
                    <w:bottom w:val="none" w:sz="0" w:space="0" w:color="auto"/>
                    <w:right w:val="none" w:sz="0" w:space="0" w:color="auto"/>
                  </w:divBdr>
                  <w:divsChild>
                    <w:div w:id="1149589841">
                      <w:marLeft w:val="0"/>
                      <w:marRight w:val="0"/>
                      <w:marTop w:val="0"/>
                      <w:marBottom w:val="0"/>
                      <w:divBdr>
                        <w:top w:val="none" w:sz="0" w:space="0" w:color="auto"/>
                        <w:left w:val="none" w:sz="0" w:space="0" w:color="auto"/>
                        <w:bottom w:val="none" w:sz="0" w:space="0" w:color="auto"/>
                        <w:right w:val="none" w:sz="0" w:space="0" w:color="auto"/>
                      </w:divBdr>
                    </w:div>
                  </w:divsChild>
                </w:div>
                <w:div w:id="464860386">
                  <w:marLeft w:val="0"/>
                  <w:marRight w:val="0"/>
                  <w:marTop w:val="0"/>
                  <w:marBottom w:val="0"/>
                  <w:divBdr>
                    <w:top w:val="none" w:sz="0" w:space="0" w:color="auto"/>
                    <w:left w:val="none" w:sz="0" w:space="0" w:color="auto"/>
                    <w:bottom w:val="none" w:sz="0" w:space="0" w:color="auto"/>
                    <w:right w:val="none" w:sz="0" w:space="0" w:color="auto"/>
                  </w:divBdr>
                  <w:divsChild>
                    <w:div w:id="2093311050">
                      <w:marLeft w:val="0"/>
                      <w:marRight w:val="0"/>
                      <w:marTop w:val="0"/>
                      <w:marBottom w:val="0"/>
                      <w:divBdr>
                        <w:top w:val="none" w:sz="0" w:space="0" w:color="auto"/>
                        <w:left w:val="none" w:sz="0" w:space="0" w:color="auto"/>
                        <w:bottom w:val="none" w:sz="0" w:space="0" w:color="auto"/>
                        <w:right w:val="none" w:sz="0" w:space="0" w:color="auto"/>
                      </w:divBdr>
                    </w:div>
                  </w:divsChild>
                </w:div>
                <w:div w:id="468209491">
                  <w:marLeft w:val="0"/>
                  <w:marRight w:val="0"/>
                  <w:marTop w:val="0"/>
                  <w:marBottom w:val="0"/>
                  <w:divBdr>
                    <w:top w:val="none" w:sz="0" w:space="0" w:color="auto"/>
                    <w:left w:val="none" w:sz="0" w:space="0" w:color="auto"/>
                    <w:bottom w:val="none" w:sz="0" w:space="0" w:color="auto"/>
                    <w:right w:val="none" w:sz="0" w:space="0" w:color="auto"/>
                  </w:divBdr>
                  <w:divsChild>
                    <w:div w:id="1347562640">
                      <w:marLeft w:val="0"/>
                      <w:marRight w:val="0"/>
                      <w:marTop w:val="0"/>
                      <w:marBottom w:val="0"/>
                      <w:divBdr>
                        <w:top w:val="none" w:sz="0" w:space="0" w:color="auto"/>
                        <w:left w:val="none" w:sz="0" w:space="0" w:color="auto"/>
                        <w:bottom w:val="none" w:sz="0" w:space="0" w:color="auto"/>
                        <w:right w:val="none" w:sz="0" w:space="0" w:color="auto"/>
                      </w:divBdr>
                    </w:div>
                  </w:divsChild>
                </w:div>
                <w:div w:id="472987898">
                  <w:marLeft w:val="0"/>
                  <w:marRight w:val="0"/>
                  <w:marTop w:val="0"/>
                  <w:marBottom w:val="0"/>
                  <w:divBdr>
                    <w:top w:val="none" w:sz="0" w:space="0" w:color="auto"/>
                    <w:left w:val="none" w:sz="0" w:space="0" w:color="auto"/>
                    <w:bottom w:val="none" w:sz="0" w:space="0" w:color="auto"/>
                    <w:right w:val="none" w:sz="0" w:space="0" w:color="auto"/>
                  </w:divBdr>
                  <w:divsChild>
                    <w:div w:id="1679578999">
                      <w:marLeft w:val="0"/>
                      <w:marRight w:val="0"/>
                      <w:marTop w:val="0"/>
                      <w:marBottom w:val="0"/>
                      <w:divBdr>
                        <w:top w:val="none" w:sz="0" w:space="0" w:color="auto"/>
                        <w:left w:val="none" w:sz="0" w:space="0" w:color="auto"/>
                        <w:bottom w:val="none" w:sz="0" w:space="0" w:color="auto"/>
                        <w:right w:val="none" w:sz="0" w:space="0" w:color="auto"/>
                      </w:divBdr>
                    </w:div>
                  </w:divsChild>
                </w:div>
                <w:div w:id="498814971">
                  <w:marLeft w:val="0"/>
                  <w:marRight w:val="0"/>
                  <w:marTop w:val="0"/>
                  <w:marBottom w:val="0"/>
                  <w:divBdr>
                    <w:top w:val="none" w:sz="0" w:space="0" w:color="auto"/>
                    <w:left w:val="none" w:sz="0" w:space="0" w:color="auto"/>
                    <w:bottom w:val="none" w:sz="0" w:space="0" w:color="auto"/>
                    <w:right w:val="none" w:sz="0" w:space="0" w:color="auto"/>
                  </w:divBdr>
                  <w:divsChild>
                    <w:div w:id="43918116">
                      <w:marLeft w:val="0"/>
                      <w:marRight w:val="0"/>
                      <w:marTop w:val="0"/>
                      <w:marBottom w:val="0"/>
                      <w:divBdr>
                        <w:top w:val="none" w:sz="0" w:space="0" w:color="auto"/>
                        <w:left w:val="none" w:sz="0" w:space="0" w:color="auto"/>
                        <w:bottom w:val="none" w:sz="0" w:space="0" w:color="auto"/>
                        <w:right w:val="none" w:sz="0" w:space="0" w:color="auto"/>
                      </w:divBdr>
                    </w:div>
                  </w:divsChild>
                </w:div>
                <w:div w:id="518475332">
                  <w:marLeft w:val="0"/>
                  <w:marRight w:val="0"/>
                  <w:marTop w:val="0"/>
                  <w:marBottom w:val="0"/>
                  <w:divBdr>
                    <w:top w:val="none" w:sz="0" w:space="0" w:color="auto"/>
                    <w:left w:val="none" w:sz="0" w:space="0" w:color="auto"/>
                    <w:bottom w:val="none" w:sz="0" w:space="0" w:color="auto"/>
                    <w:right w:val="none" w:sz="0" w:space="0" w:color="auto"/>
                  </w:divBdr>
                  <w:divsChild>
                    <w:div w:id="957569765">
                      <w:marLeft w:val="0"/>
                      <w:marRight w:val="0"/>
                      <w:marTop w:val="0"/>
                      <w:marBottom w:val="0"/>
                      <w:divBdr>
                        <w:top w:val="none" w:sz="0" w:space="0" w:color="auto"/>
                        <w:left w:val="none" w:sz="0" w:space="0" w:color="auto"/>
                        <w:bottom w:val="none" w:sz="0" w:space="0" w:color="auto"/>
                        <w:right w:val="none" w:sz="0" w:space="0" w:color="auto"/>
                      </w:divBdr>
                    </w:div>
                  </w:divsChild>
                </w:div>
                <w:div w:id="522788784">
                  <w:marLeft w:val="0"/>
                  <w:marRight w:val="0"/>
                  <w:marTop w:val="0"/>
                  <w:marBottom w:val="0"/>
                  <w:divBdr>
                    <w:top w:val="none" w:sz="0" w:space="0" w:color="auto"/>
                    <w:left w:val="none" w:sz="0" w:space="0" w:color="auto"/>
                    <w:bottom w:val="none" w:sz="0" w:space="0" w:color="auto"/>
                    <w:right w:val="none" w:sz="0" w:space="0" w:color="auto"/>
                  </w:divBdr>
                  <w:divsChild>
                    <w:div w:id="586227742">
                      <w:marLeft w:val="0"/>
                      <w:marRight w:val="0"/>
                      <w:marTop w:val="0"/>
                      <w:marBottom w:val="0"/>
                      <w:divBdr>
                        <w:top w:val="none" w:sz="0" w:space="0" w:color="auto"/>
                        <w:left w:val="none" w:sz="0" w:space="0" w:color="auto"/>
                        <w:bottom w:val="none" w:sz="0" w:space="0" w:color="auto"/>
                        <w:right w:val="none" w:sz="0" w:space="0" w:color="auto"/>
                      </w:divBdr>
                    </w:div>
                  </w:divsChild>
                </w:div>
                <w:div w:id="541670541">
                  <w:marLeft w:val="0"/>
                  <w:marRight w:val="0"/>
                  <w:marTop w:val="0"/>
                  <w:marBottom w:val="0"/>
                  <w:divBdr>
                    <w:top w:val="none" w:sz="0" w:space="0" w:color="auto"/>
                    <w:left w:val="none" w:sz="0" w:space="0" w:color="auto"/>
                    <w:bottom w:val="none" w:sz="0" w:space="0" w:color="auto"/>
                    <w:right w:val="none" w:sz="0" w:space="0" w:color="auto"/>
                  </w:divBdr>
                  <w:divsChild>
                    <w:div w:id="1226144260">
                      <w:marLeft w:val="0"/>
                      <w:marRight w:val="0"/>
                      <w:marTop w:val="0"/>
                      <w:marBottom w:val="0"/>
                      <w:divBdr>
                        <w:top w:val="none" w:sz="0" w:space="0" w:color="auto"/>
                        <w:left w:val="none" w:sz="0" w:space="0" w:color="auto"/>
                        <w:bottom w:val="none" w:sz="0" w:space="0" w:color="auto"/>
                        <w:right w:val="none" w:sz="0" w:space="0" w:color="auto"/>
                      </w:divBdr>
                    </w:div>
                  </w:divsChild>
                </w:div>
                <w:div w:id="543563281">
                  <w:marLeft w:val="0"/>
                  <w:marRight w:val="0"/>
                  <w:marTop w:val="0"/>
                  <w:marBottom w:val="0"/>
                  <w:divBdr>
                    <w:top w:val="none" w:sz="0" w:space="0" w:color="auto"/>
                    <w:left w:val="none" w:sz="0" w:space="0" w:color="auto"/>
                    <w:bottom w:val="none" w:sz="0" w:space="0" w:color="auto"/>
                    <w:right w:val="none" w:sz="0" w:space="0" w:color="auto"/>
                  </w:divBdr>
                  <w:divsChild>
                    <w:div w:id="54621593">
                      <w:marLeft w:val="0"/>
                      <w:marRight w:val="0"/>
                      <w:marTop w:val="0"/>
                      <w:marBottom w:val="0"/>
                      <w:divBdr>
                        <w:top w:val="none" w:sz="0" w:space="0" w:color="auto"/>
                        <w:left w:val="none" w:sz="0" w:space="0" w:color="auto"/>
                        <w:bottom w:val="none" w:sz="0" w:space="0" w:color="auto"/>
                        <w:right w:val="none" w:sz="0" w:space="0" w:color="auto"/>
                      </w:divBdr>
                    </w:div>
                  </w:divsChild>
                </w:div>
                <w:div w:id="559368520">
                  <w:marLeft w:val="0"/>
                  <w:marRight w:val="0"/>
                  <w:marTop w:val="0"/>
                  <w:marBottom w:val="0"/>
                  <w:divBdr>
                    <w:top w:val="none" w:sz="0" w:space="0" w:color="auto"/>
                    <w:left w:val="none" w:sz="0" w:space="0" w:color="auto"/>
                    <w:bottom w:val="none" w:sz="0" w:space="0" w:color="auto"/>
                    <w:right w:val="none" w:sz="0" w:space="0" w:color="auto"/>
                  </w:divBdr>
                  <w:divsChild>
                    <w:div w:id="1290432144">
                      <w:marLeft w:val="0"/>
                      <w:marRight w:val="0"/>
                      <w:marTop w:val="0"/>
                      <w:marBottom w:val="0"/>
                      <w:divBdr>
                        <w:top w:val="none" w:sz="0" w:space="0" w:color="auto"/>
                        <w:left w:val="none" w:sz="0" w:space="0" w:color="auto"/>
                        <w:bottom w:val="none" w:sz="0" w:space="0" w:color="auto"/>
                        <w:right w:val="none" w:sz="0" w:space="0" w:color="auto"/>
                      </w:divBdr>
                    </w:div>
                  </w:divsChild>
                </w:div>
                <w:div w:id="561523694">
                  <w:marLeft w:val="0"/>
                  <w:marRight w:val="0"/>
                  <w:marTop w:val="0"/>
                  <w:marBottom w:val="0"/>
                  <w:divBdr>
                    <w:top w:val="none" w:sz="0" w:space="0" w:color="auto"/>
                    <w:left w:val="none" w:sz="0" w:space="0" w:color="auto"/>
                    <w:bottom w:val="none" w:sz="0" w:space="0" w:color="auto"/>
                    <w:right w:val="none" w:sz="0" w:space="0" w:color="auto"/>
                  </w:divBdr>
                  <w:divsChild>
                    <w:div w:id="1006786627">
                      <w:marLeft w:val="0"/>
                      <w:marRight w:val="0"/>
                      <w:marTop w:val="0"/>
                      <w:marBottom w:val="0"/>
                      <w:divBdr>
                        <w:top w:val="none" w:sz="0" w:space="0" w:color="auto"/>
                        <w:left w:val="none" w:sz="0" w:space="0" w:color="auto"/>
                        <w:bottom w:val="none" w:sz="0" w:space="0" w:color="auto"/>
                        <w:right w:val="none" w:sz="0" w:space="0" w:color="auto"/>
                      </w:divBdr>
                    </w:div>
                  </w:divsChild>
                </w:div>
                <w:div w:id="561841049">
                  <w:marLeft w:val="0"/>
                  <w:marRight w:val="0"/>
                  <w:marTop w:val="0"/>
                  <w:marBottom w:val="0"/>
                  <w:divBdr>
                    <w:top w:val="none" w:sz="0" w:space="0" w:color="auto"/>
                    <w:left w:val="none" w:sz="0" w:space="0" w:color="auto"/>
                    <w:bottom w:val="none" w:sz="0" w:space="0" w:color="auto"/>
                    <w:right w:val="none" w:sz="0" w:space="0" w:color="auto"/>
                  </w:divBdr>
                  <w:divsChild>
                    <w:div w:id="1422870644">
                      <w:marLeft w:val="0"/>
                      <w:marRight w:val="0"/>
                      <w:marTop w:val="0"/>
                      <w:marBottom w:val="0"/>
                      <w:divBdr>
                        <w:top w:val="none" w:sz="0" w:space="0" w:color="auto"/>
                        <w:left w:val="none" w:sz="0" w:space="0" w:color="auto"/>
                        <w:bottom w:val="none" w:sz="0" w:space="0" w:color="auto"/>
                        <w:right w:val="none" w:sz="0" w:space="0" w:color="auto"/>
                      </w:divBdr>
                    </w:div>
                  </w:divsChild>
                </w:div>
                <w:div w:id="564073780">
                  <w:marLeft w:val="0"/>
                  <w:marRight w:val="0"/>
                  <w:marTop w:val="0"/>
                  <w:marBottom w:val="0"/>
                  <w:divBdr>
                    <w:top w:val="none" w:sz="0" w:space="0" w:color="auto"/>
                    <w:left w:val="none" w:sz="0" w:space="0" w:color="auto"/>
                    <w:bottom w:val="none" w:sz="0" w:space="0" w:color="auto"/>
                    <w:right w:val="none" w:sz="0" w:space="0" w:color="auto"/>
                  </w:divBdr>
                  <w:divsChild>
                    <w:div w:id="425618754">
                      <w:marLeft w:val="0"/>
                      <w:marRight w:val="0"/>
                      <w:marTop w:val="0"/>
                      <w:marBottom w:val="0"/>
                      <w:divBdr>
                        <w:top w:val="none" w:sz="0" w:space="0" w:color="auto"/>
                        <w:left w:val="none" w:sz="0" w:space="0" w:color="auto"/>
                        <w:bottom w:val="none" w:sz="0" w:space="0" w:color="auto"/>
                        <w:right w:val="none" w:sz="0" w:space="0" w:color="auto"/>
                      </w:divBdr>
                    </w:div>
                  </w:divsChild>
                </w:div>
                <w:div w:id="573393309">
                  <w:marLeft w:val="0"/>
                  <w:marRight w:val="0"/>
                  <w:marTop w:val="0"/>
                  <w:marBottom w:val="0"/>
                  <w:divBdr>
                    <w:top w:val="none" w:sz="0" w:space="0" w:color="auto"/>
                    <w:left w:val="none" w:sz="0" w:space="0" w:color="auto"/>
                    <w:bottom w:val="none" w:sz="0" w:space="0" w:color="auto"/>
                    <w:right w:val="none" w:sz="0" w:space="0" w:color="auto"/>
                  </w:divBdr>
                  <w:divsChild>
                    <w:div w:id="967587297">
                      <w:marLeft w:val="0"/>
                      <w:marRight w:val="0"/>
                      <w:marTop w:val="0"/>
                      <w:marBottom w:val="0"/>
                      <w:divBdr>
                        <w:top w:val="none" w:sz="0" w:space="0" w:color="auto"/>
                        <w:left w:val="none" w:sz="0" w:space="0" w:color="auto"/>
                        <w:bottom w:val="none" w:sz="0" w:space="0" w:color="auto"/>
                        <w:right w:val="none" w:sz="0" w:space="0" w:color="auto"/>
                      </w:divBdr>
                    </w:div>
                  </w:divsChild>
                </w:div>
                <w:div w:id="573734396">
                  <w:marLeft w:val="0"/>
                  <w:marRight w:val="0"/>
                  <w:marTop w:val="0"/>
                  <w:marBottom w:val="0"/>
                  <w:divBdr>
                    <w:top w:val="none" w:sz="0" w:space="0" w:color="auto"/>
                    <w:left w:val="none" w:sz="0" w:space="0" w:color="auto"/>
                    <w:bottom w:val="none" w:sz="0" w:space="0" w:color="auto"/>
                    <w:right w:val="none" w:sz="0" w:space="0" w:color="auto"/>
                  </w:divBdr>
                  <w:divsChild>
                    <w:div w:id="1972247354">
                      <w:marLeft w:val="0"/>
                      <w:marRight w:val="0"/>
                      <w:marTop w:val="0"/>
                      <w:marBottom w:val="0"/>
                      <w:divBdr>
                        <w:top w:val="none" w:sz="0" w:space="0" w:color="auto"/>
                        <w:left w:val="none" w:sz="0" w:space="0" w:color="auto"/>
                        <w:bottom w:val="none" w:sz="0" w:space="0" w:color="auto"/>
                        <w:right w:val="none" w:sz="0" w:space="0" w:color="auto"/>
                      </w:divBdr>
                    </w:div>
                  </w:divsChild>
                </w:div>
                <w:div w:id="574751104">
                  <w:marLeft w:val="0"/>
                  <w:marRight w:val="0"/>
                  <w:marTop w:val="0"/>
                  <w:marBottom w:val="0"/>
                  <w:divBdr>
                    <w:top w:val="none" w:sz="0" w:space="0" w:color="auto"/>
                    <w:left w:val="none" w:sz="0" w:space="0" w:color="auto"/>
                    <w:bottom w:val="none" w:sz="0" w:space="0" w:color="auto"/>
                    <w:right w:val="none" w:sz="0" w:space="0" w:color="auto"/>
                  </w:divBdr>
                  <w:divsChild>
                    <w:div w:id="300814635">
                      <w:marLeft w:val="0"/>
                      <w:marRight w:val="0"/>
                      <w:marTop w:val="0"/>
                      <w:marBottom w:val="0"/>
                      <w:divBdr>
                        <w:top w:val="none" w:sz="0" w:space="0" w:color="auto"/>
                        <w:left w:val="none" w:sz="0" w:space="0" w:color="auto"/>
                        <w:bottom w:val="none" w:sz="0" w:space="0" w:color="auto"/>
                        <w:right w:val="none" w:sz="0" w:space="0" w:color="auto"/>
                      </w:divBdr>
                    </w:div>
                  </w:divsChild>
                </w:div>
                <w:div w:id="581453296">
                  <w:marLeft w:val="0"/>
                  <w:marRight w:val="0"/>
                  <w:marTop w:val="0"/>
                  <w:marBottom w:val="0"/>
                  <w:divBdr>
                    <w:top w:val="none" w:sz="0" w:space="0" w:color="auto"/>
                    <w:left w:val="none" w:sz="0" w:space="0" w:color="auto"/>
                    <w:bottom w:val="none" w:sz="0" w:space="0" w:color="auto"/>
                    <w:right w:val="none" w:sz="0" w:space="0" w:color="auto"/>
                  </w:divBdr>
                  <w:divsChild>
                    <w:div w:id="893157249">
                      <w:marLeft w:val="0"/>
                      <w:marRight w:val="0"/>
                      <w:marTop w:val="0"/>
                      <w:marBottom w:val="0"/>
                      <w:divBdr>
                        <w:top w:val="none" w:sz="0" w:space="0" w:color="auto"/>
                        <w:left w:val="none" w:sz="0" w:space="0" w:color="auto"/>
                        <w:bottom w:val="none" w:sz="0" w:space="0" w:color="auto"/>
                        <w:right w:val="none" w:sz="0" w:space="0" w:color="auto"/>
                      </w:divBdr>
                    </w:div>
                  </w:divsChild>
                </w:div>
                <w:div w:id="601962502">
                  <w:marLeft w:val="0"/>
                  <w:marRight w:val="0"/>
                  <w:marTop w:val="0"/>
                  <w:marBottom w:val="0"/>
                  <w:divBdr>
                    <w:top w:val="none" w:sz="0" w:space="0" w:color="auto"/>
                    <w:left w:val="none" w:sz="0" w:space="0" w:color="auto"/>
                    <w:bottom w:val="none" w:sz="0" w:space="0" w:color="auto"/>
                    <w:right w:val="none" w:sz="0" w:space="0" w:color="auto"/>
                  </w:divBdr>
                  <w:divsChild>
                    <w:div w:id="355355497">
                      <w:marLeft w:val="0"/>
                      <w:marRight w:val="0"/>
                      <w:marTop w:val="0"/>
                      <w:marBottom w:val="0"/>
                      <w:divBdr>
                        <w:top w:val="none" w:sz="0" w:space="0" w:color="auto"/>
                        <w:left w:val="none" w:sz="0" w:space="0" w:color="auto"/>
                        <w:bottom w:val="none" w:sz="0" w:space="0" w:color="auto"/>
                        <w:right w:val="none" w:sz="0" w:space="0" w:color="auto"/>
                      </w:divBdr>
                    </w:div>
                  </w:divsChild>
                </w:div>
                <w:div w:id="633758912">
                  <w:marLeft w:val="0"/>
                  <w:marRight w:val="0"/>
                  <w:marTop w:val="0"/>
                  <w:marBottom w:val="0"/>
                  <w:divBdr>
                    <w:top w:val="none" w:sz="0" w:space="0" w:color="auto"/>
                    <w:left w:val="none" w:sz="0" w:space="0" w:color="auto"/>
                    <w:bottom w:val="none" w:sz="0" w:space="0" w:color="auto"/>
                    <w:right w:val="none" w:sz="0" w:space="0" w:color="auto"/>
                  </w:divBdr>
                  <w:divsChild>
                    <w:div w:id="1224952504">
                      <w:marLeft w:val="0"/>
                      <w:marRight w:val="0"/>
                      <w:marTop w:val="0"/>
                      <w:marBottom w:val="0"/>
                      <w:divBdr>
                        <w:top w:val="none" w:sz="0" w:space="0" w:color="auto"/>
                        <w:left w:val="none" w:sz="0" w:space="0" w:color="auto"/>
                        <w:bottom w:val="none" w:sz="0" w:space="0" w:color="auto"/>
                        <w:right w:val="none" w:sz="0" w:space="0" w:color="auto"/>
                      </w:divBdr>
                    </w:div>
                  </w:divsChild>
                </w:div>
                <w:div w:id="635992516">
                  <w:marLeft w:val="0"/>
                  <w:marRight w:val="0"/>
                  <w:marTop w:val="0"/>
                  <w:marBottom w:val="0"/>
                  <w:divBdr>
                    <w:top w:val="none" w:sz="0" w:space="0" w:color="auto"/>
                    <w:left w:val="none" w:sz="0" w:space="0" w:color="auto"/>
                    <w:bottom w:val="none" w:sz="0" w:space="0" w:color="auto"/>
                    <w:right w:val="none" w:sz="0" w:space="0" w:color="auto"/>
                  </w:divBdr>
                  <w:divsChild>
                    <w:div w:id="1040744428">
                      <w:marLeft w:val="0"/>
                      <w:marRight w:val="0"/>
                      <w:marTop w:val="0"/>
                      <w:marBottom w:val="0"/>
                      <w:divBdr>
                        <w:top w:val="none" w:sz="0" w:space="0" w:color="auto"/>
                        <w:left w:val="none" w:sz="0" w:space="0" w:color="auto"/>
                        <w:bottom w:val="none" w:sz="0" w:space="0" w:color="auto"/>
                        <w:right w:val="none" w:sz="0" w:space="0" w:color="auto"/>
                      </w:divBdr>
                    </w:div>
                  </w:divsChild>
                </w:div>
                <w:div w:id="639312800">
                  <w:marLeft w:val="0"/>
                  <w:marRight w:val="0"/>
                  <w:marTop w:val="0"/>
                  <w:marBottom w:val="0"/>
                  <w:divBdr>
                    <w:top w:val="none" w:sz="0" w:space="0" w:color="auto"/>
                    <w:left w:val="none" w:sz="0" w:space="0" w:color="auto"/>
                    <w:bottom w:val="none" w:sz="0" w:space="0" w:color="auto"/>
                    <w:right w:val="none" w:sz="0" w:space="0" w:color="auto"/>
                  </w:divBdr>
                  <w:divsChild>
                    <w:div w:id="928270205">
                      <w:marLeft w:val="0"/>
                      <w:marRight w:val="0"/>
                      <w:marTop w:val="0"/>
                      <w:marBottom w:val="0"/>
                      <w:divBdr>
                        <w:top w:val="none" w:sz="0" w:space="0" w:color="auto"/>
                        <w:left w:val="none" w:sz="0" w:space="0" w:color="auto"/>
                        <w:bottom w:val="none" w:sz="0" w:space="0" w:color="auto"/>
                        <w:right w:val="none" w:sz="0" w:space="0" w:color="auto"/>
                      </w:divBdr>
                    </w:div>
                  </w:divsChild>
                </w:div>
                <w:div w:id="639916719">
                  <w:marLeft w:val="0"/>
                  <w:marRight w:val="0"/>
                  <w:marTop w:val="0"/>
                  <w:marBottom w:val="0"/>
                  <w:divBdr>
                    <w:top w:val="none" w:sz="0" w:space="0" w:color="auto"/>
                    <w:left w:val="none" w:sz="0" w:space="0" w:color="auto"/>
                    <w:bottom w:val="none" w:sz="0" w:space="0" w:color="auto"/>
                    <w:right w:val="none" w:sz="0" w:space="0" w:color="auto"/>
                  </w:divBdr>
                  <w:divsChild>
                    <w:div w:id="525170657">
                      <w:marLeft w:val="0"/>
                      <w:marRight w:val="0"/>
                      <w:marTop w:val="0"/>
                      <w:marBottom w:val="0"/>
                      <w:divBdr>
                        <w:top w:val="none" w:sz="0" w:space="0" w:color="auto"/>
                        <w:left w:val="none" w:sz="0" w:space="0" w:color="auto"/>
                        <w:bottom w:val="none" w:sz="0" w:space="0" w:color="auto"/>
                        <w:right w:val="none" w:sz="0" w:space="0" w:color="auto"/>
                      </w:divBdr>
                    </w:div>
                  </w:divsChild>
                </w:div>
                <w:div w:id="641617206">
                  <w:marLeft w:val="0"/>
                  <w:marRight w:val="0"/>
                  <w:marTop w:val="0"/>
                  <w:marBottom w:val="0"/>
                  <w:divBdr>
                    <w:top w:val="none" w:sz="0" w:space="0" w:color="auto"/>
                    <w:left w:val="none" w:sz="0" w:space="0" w:color="auto"/>
                    <w:bottom w:val="none" w:sz="0" w:space="0" w:color="auto"/>
                    <w:right w:val="none" w:sz="0" w:space="0" w:color="auto"/>
                  </w:divBdr>
                  <w:divsChild>
                    <w:div w:id="1859544556">
                      <w:marLeft w:val="0"/>
                      <w:marRight w:val="0"/>
                      <w:marTop w:val="0"/>
                      <w:marBottom w:val="0"/>
                      <w:divBdr>
                        <w:top w:val="none" w:sz="0" w:space="0" w:color="auto"/>
                        <w:left w:val="none" w:sz="0" w:space="0" w:color="auto"/>
                        <w:bottom w:val="none" w:sz="0" w:space="0" w:color="auto"/>
                        <w:right w:val="none" w:sz="0" w:space="0" w:color="auto"/>
                      </w:divBdr>
                    </w:div>
                  </w:divsChild>
                </w:div>
                <w:div w:id="642656078">
                  <w:marLeft w:val="0"/>
                  <w:marRight w:val="0"/>
                  <w:marTop w:val="0"/>
                  <w:marBottom w:val="0"/>
                  <w:divBdr>
                    <w:top w:val="none" w:sz="0" w:space="0" w:color="auto"/>
                    <w:left w:val="none" w:sz="0" w:space="0" w:color="auto"/>
                    <w:bottom w:val="none" w:sz="0" w:space="0" w:color="auto"/>
                    <w:right w:val="none" w:sz="0" w:space="0" w:color="auto"/>
                  </w:divBdr>
                  <w:divsChild>
                    <w:div w:id="583999361">
                      <w:marLeft w:val="0"/>
                      <w:marRight w:val="0"/>
                      <w:marTop w:val="0"/>
                      <w:marBottom w:val="0"/>
                      <w:divBdr>
                        <w:top w:val="none" w:sz="0" w:space="0" w:color="auto"/>
                        <w:left w:val="none" w:sz="0" w:space="0" w:color="auto"/>
                        <w:bottom w:val="none" w:sz="0" w:space="0" w:color="auto"/>
                        <w:right w:val="none" w:sz="0" w:space="0" w:color="auto"/>
                      </w:divBdr>
                    </w:div>
                  </w:divsChild>
                </w:div>
                <w:div w:id="662707528">
                  <w:marLeft w:val="0"/>
                  <w:marRight w:val="0"/>
                  <w:marTop w:val="0"/>
                  <w:marBottom w:val="0"/>
                  <w:divBdr>
                    <w:top w:val="none" w:sz="0" w:space="0" w:color="auto"/>
                    <w:left w:val="none" w:sz="0" w:space="0" w:color="auto"/>
                    <w:bottom w:val="none" w:sz="0" w:space="0" w:color="auto"/>
                    <w:right w:val="none" w:sz="0" w:space="0" w:color="auto"/>
                  </w:divBdr>
                  <w:divsChild>
                    <w:div w:id="469633432">
                      <w:marLeft w:val="0"/>
                      <w:marRight w:val="0"/>
                      <w:marTop w:val="0"/>
                      <w:marBottom w:val="0"/>
                      <w:divBdr>
                        <w:top w:val="none" w:sz="0" w:space="0" w:color="auto"/>
                        <w:left w:val="none" w:sz="0" w:space="0" w:color="auto"/>
                        <w:bottom w:val="none" w:sz="0" w:space="0" w:color="auto"/>
                        <w:right w:val="none" w:sz="0" w:space="0" w:color="auto"/>
                      </w:divBdr>
                    </w:div>
                  </w:divsChild>
                </w:div>
                <w:div w:id="667564770">
                  <w:marLeft w:val="0"/>
                  <w:marRight w:val="0"/>
                  <w:marTop w:val="0"/>
                  <w:marBottom w:val="0"/>
                  <w:divBdr>
                    <w:top w:val="none" w:sz="0" w:space="0" w:color="auto"/>
                    <w:left w:val="none" w:sz="0" w:space="0" w:color="auto"/>
                    <w:bottom w:val="none" w:sz="0" w:space="0" w:color="auto"/>
                    <w:right w:val="none" w:sz="0" w:space="0" w:color="auto"/>
                  </w:divBdr>
                  <w:divsChild>
                    <w:div w:id="571158092">
                      <w:marLeft w:val="0"/>
                      <w:marRight w:val="0"/>
                      <w:marTop w:val="0"/>
                      <w:marBottom w:val="0"/>
                      <w:divBdr>
                        <w:top w:val="none" w:sz="0" w:space="0" w:color="auto"/>
                        <w:left w:val="none" w:sz="0" w:space="0" w:color="auto"/>
                        <w:bottom w:val="none" w:sz="0" w:space="0" w:color="auto"/>
                        <w:right w:val="none" w:sz="0" w:space="0" w:color="auto"/>
                      </w:divBdr>
                    </w:div>
                  </w:divsChild>
                </w:div>
                <w:div w:id="671369667">
                  <w:marLeft w:val="0"/>
                  <w:marRight w:val="0"/>
                  <w:marTop w:val="0"/>
                  <w:marBottom w:val="0"/>
                  <w:divBdr>
                    <w:top w:val="none" w:sz="0" w:space="0" w:color="auto"/>
                    <w:left w:val="none" w:sz="0" w:space="0" w:color="auto"/>
                    <w:bottom w:val="none" w:sz="0" w:space="0" w:color="auto"/>
                    <w:right w:val="none" w:sz="0" w:space="0" w:color="auto"/>
                  </w:divBdr>
                  <w:divsChild>
                    <w:div w:id="1186821049">
                      <w:marLeft w:val="0"/>
                      <w:marRight w:val="0"/>
                      <w:marTop w:val="0"/>
                      <w:marBottom w:val="0"/>
                      <w:divBdr>
                        <w:top w:val="none" w:sz="0" w:space="0" w:color="auto"/>
                        <w:left w:val="none" w:sz="0" w:space="0" w:color="auto"/>
                        <w:bottom w:val="none" w:sz="0" w:space="0" w:color="auto"/>
                        <w:right w:val="none" w:sz="0" w:space="0" w:color="auto"/>
                      </w:divBdr>
                    </w:div>
                  </w:divsChild>
                </w:div>
                <w:div w:id="684020043">
                  <w:marLeft w:val="0"/>
                  <w:marRight w:val="0"/>
                  <w:marTop w:val="0"/>
                  <w:marBottom w:val="0"/>
                  <w:divBdr>
                    <w:top w:val="none" w:sz="0" w:space="0" w:color="auto"/>
                    <w:left w:val="none" w:sz="0" w:space="0" w:color="auto"/>
                    <w:bottom w:val="none" w:sz="0" w:space="0" w:color="auto"/>
                    <w:right w:val="none" w:sz="0" w:space="0" w:color="auto"/>
                  </w:divBdr>
                  <w:divsChild>
                    <w:div w:id="95366071">
                      <w:marLeft w:val="0"/>
                      <w:marRight w:val="0"/>
                      <w:marTop w:val="0"/>
                      <w:marBottom w:val="0"/>
                      <w:divBdr>
                        <w:top w:val="none" w:sz="0" w:space="0" w:color="auto"/>
                        <w:left w:val="none" w:sz="0" w:space="0" w:color="auto"/>
                        <w:bottom w:val="none" w:sz="0" w:space="0" w:color="auto"/>
                        <w:right w:val="none" w:sz="0" w:space="0" w:color="auto"/>
                      </w:divBdr>
                    </w:div>
                  </w:divsChild>
                </w:div>
                <w:div w:id="692731401">
                  <w:marLeft w:val="0"/>
                  <w:marRight w:val="0"/>
                  <w:marTop w:val="0"/>
                  <w:marBottom w:val="0"/>
                  <w:divBdr>
                    <w:top w:val="none" w:sz="0" w:space="0" w:color="auto"/>
                    <w:left w:val="none" w:sz="0" w:space="0" w:color="auto"/>
                    <w:bottom w:val="none" w:sz="0" w:space="0" w:color="auto"/>
                    <w:right w:val="none" w:sz="0" w:space="0" w:color="auto"/>
                  </w:divBdr>
                  <w:divsChild>
                    <w:div w:id="1965111491">
                      <w:marLeft w:val="0"/>
                      <w:marRight w:val="0"/>
                      <w:marTop w:val="0"/>
                      <w:marBottom w:val="0"/>
                      <w:divBdr>
                        <w:top w:val="none" w:sz="0" w:space="0" w:color="auto"/>
                        <w:left w:val="none" w:sz="0" w:space="0" w:color="auto"/>
                        <w:bottom w:val="none" w:sz="0" w:space="0" w:color="auto"/>
                        <w:right w:val="none" w:sz="0" w:space="0" w:color="auto"/>
                      </w:divBdr>
                    </w:div>
                  </w:divsChild>
                </w:div>
                <w:div w:id="692876293">
                  <w:marLeft w:val="0"/>
                  <w:marRight w:val="0"/>
                  <w:marTop w:val="0"/>
                  <w:marBottom w:val="0"/>
                  <w:divBdr>
                    <w:top w:val="none" w:sz="0" w:space="0" w:color="auto"/>
                    <w:left w:val="none" w:sz="0" w:space="0" w:color="auto"/>
                    <w:bottom w:val="none" w:sz="0" w:space="0" w:color="auto"/>
                    <w:right w:val="none" w:sz="0" w:space="0" w:color="auto"/>
                  </w:divBdr>
                  <w:divsChild>
                    <w:div w:id="612976703">
                      <w:marLeft w:val="0"/>
                      <w:marRight w:val="0"/>
                      <w:marTop w:val="0"/>
                      <w:marBottom w:val="0"/>
                      <w:divBdr>
                        <w:top w:val="none" w:sz="0" w:space="0" w:color="auto"/>
                        <w:left w:val="none" w:sz="0" w:space="0" w:color="auto"/>
                        <w:bottom w:val="none" w:sz="0" w:space="0" w:color="auto"/>
                        <w:right w:val="none" w:sz="0" w:space="0" w:color="auto"/>
                      </w:divBdr>
                    </w:div>
                  </w:divsChild>
                </w:div>
                <w:div w:id="694968254">
                  <w:marLeft w:val="0"/>
                  <w:marRight w:val="0"/>
                  <w:marTop w:val="0"/>
                  <w:marBottom w:val="0"/>
                  <w:divBdr>
                    <w:top w:val="none" w:sz="0" w:space="0" w:color="auto"/>
                    <w:left w:val="none" w:sz="0" w:space="0" w:color="auto"/>
                    <w:bottom w:val="none" w:sz="0" w:space="0" w:color="auto"/>
                    <w:right w:val="none" w:sz="0" w:space="0" w:color="auto"/>
                  </w:divBdr>
                  <w:divsChild>
                    <w:div w:id="302010171">
                      <w:marLeft w:val="0"/>
                      <w:marRight w:val="0"/>
                      <w:marTop w:val="0"/>
                      <w:marBottom w:val="0"/>
                      <w:divBdr>
                        <w:top w:val="none" w:sz="0" w:space="0" w:color="auto"/>
                        <w:left w:val="none" w:sz="0" w:space="0" w:color="auto"/>
                        <w:bottom w:val="none" w:sz="0" w:space="0" w:color="auto"/>
                        <w:right w:val="none" w:sz="0" w:space="0" w:color="auto"/>
                      </w:divBdr>
                    </w:div>
                  </w:divsChild>
                </w:div>
                <w:div w:id="705326644">
                  <w:marLeft w:val="0"/>
                  <w:marRight w:val="0"/>
                  <w:marTop w:val="0"/>
                  <w:marBottom w:val="0"/>
                  <w:divBdr>
                    <w:top w:val="none" w:sz="0" w:space="0" w:color="auto"/>
                    <w:left w:val="none" w:sz="0" w:space="0" w:color="auto"/>
                    <w:bottom w:val="none" w:sz="0" w:space="0" w:color="auto"/>
                    <w:right w:val="none" w:sz="0" w:space="0" w:color="auto"/>
                  </w:divBdr>
                  <w:divsChild>
                    <w:div w:id="765922139">
                      <w:marLeft w:val="0"/>
                      <w:marRight w:val="0"/>
                      <w:marTop w:val="0"/>
                      <w:marBottom w:val="0"/>
                      <w:divBdr>
                        <w:top w:val="none" w:sz="0" w:space="0" w:color="auto"/>
                        <w:left w:val="none" w:sz="0" w:space="0" w:color="auto"/>
                        <w:bottom w:val="none" w:sz="0" w:space="0" w:color="auto"/>
                        <w:right w:val="none" w:sz="0" w:space="0" w:color="auto"/>
                      </w:divBdr>
                    </w:div>
                  </w:divsChild>
                </w:div>
                <w:div w:id="712268113">
                  <w:marLeft w:val="0"/>
                  <w:marRight w:val="0"/>
                  <w:marTop w:val="0"/>
                  <w:marBottom w:val="0"/>
                  <w:divBdr>
                    <w:top w:val="none" w:sz="0" w:space="0" w:color="auto"/>
                    <w:left w:val="none" w:sz="0" w:space="0" w:color="auto"/>
                    <w:bottom w:val="none" w:sz="0" w:space="0" w:color="auto"/>
                    <w:right w:val="none" w:sz="0" w:space="0" w:color="auto"/>
                  </w:divBdr>
                  <w:divsChild>
                    <w:div w:id="886451154">
                      <w:marLeft w:val="0"/>
                      <w:marRight w:val="0"/>
                      <w:marTop w:val="0"/>
                      <w:marBottom w:val="0"/>
                      <w:divBdr>
                        <w:top w:val="none" w:sz="0" w:space="0" w:color="auto"/>
                        <w:left w:val="none" w:sz="0" w:space="0" w:color="auto"/>
                        <w:bottom w:val="none" w:sz="0" w:space="0" w:color="auto"/>
                        <w:right w:val="none" w:sz="0" w:space="0" w:color="auto"/>
                      </w:divBdr>
                    </w:div>
                  </w:divsChild>
                </w:div>
                <w:div w:id="712312639">
                  <w:marLeft w:val="0"/>
                  <w:marRight w:val="0"/>
                  <w:marTop w:val="0"/>
                  <w:marBottom w:val="0"/>
                  <w:divBdr>
                    <w:top w:val="none" w:sz="0" w:space="0" w:color="auto"/>
                    <w:left w:val="none" w:sz="0" w:space="0" w:color="auto"/>
                    <w:bottom w:val="none" w:sz="0" w:space="0" w:color="auto"/>
                    <w:right w:val="none" w:sz="0" w:space="0" w:color="auto"/>
                  </w:divBdr>
                  <w:divsChild>
                    <w:div w:id="233708537">
                      <w:marLeft w:val="0"/>
                      <w:marRight w:val="0"/>
                      <w:marTop w:val="0"/>
                      <w:marBottom w:val="0"/>
                      <w:divBdr>
                        <w:top w:val="none" w:sz="0" w:space="0" w:color="auto"/>
                        <w:left w:val="none" w:sz="0" w:space="0" w:color="auto"/>
                        <w:bottom w:val="none" w:sz="0" w:space="0" w:color="auto"/>
                        <w:right w:val="none" w:sz="0" w:space="0" w:color="auto"/>
                      </w:divBdr>
                    </w:div>
                  </w:divsChild>
                </w:div>
                <w:div w:id="728041746">
                  <w:marLeft w:val="0"/>
                  <w:marRight w:val="0"/>
                  <w:marTop w:val="0"/>
                  <w:marBottom w:val="0"/>
                  <w:divBdr>
                    <w:top w:val="none" w:sz="0" w:space="0" w:color="auto"/>
                    <w:left w:val="none" w:sz="0" w:space="0" w:color="auto"/>
                    <w:bottom w:val="none" w:sz="0" w:space="0" w:color="auto"/>
                    <w:right w:val="none" w:sz="0" w:space="0" w:color="auto"/>
                  </w:divBdr>
                  <w:divsChild>
                    <w:div w:id="479730764">
                      <w:marLeft w:val="0"/>
                      <w:marRight w:val="0"/>
                      <w:marTop w:val="0"/>
                      <w:marBottom w:val="0"/>
                      <w:divBdr>
                        <w:top w:val="none" w:sz="0" w:space="0" w:color="auto"/>
                        <w:left w:val="none" w:sz="0" w:space="0" w:color="auto"/>
                        <w:bottom w:val="none" w:sz="0" w:space="0" w:color="auto"/>
                        <w:right w:val="none" w:sz="0" w:space="0" w:color="auto"/>
                      </w:divBdr>
                    </w:div>
                  </w:divsChild>
                </w:div>
                <w:div w:id="747921554">
                  <w:marLeft w:val="0"/>
                  <w:marRight w:val="0"/>
                  <w:marTop w:val="0"/>
                  <w:marBottom w:val="0"/>
                  <w:divBdr>
                    <w:top w:val="none" w:sz="0" w:space="0" w:color="auto"/>
                    <w:left w:val="none" w:sz="0" w:space="0" w:color="auto"/>
                    <w:bottom w:val="none" w:sz="0" w:space="0" w:color="auto"/>
                    <w:right w:val="none" w:sz="0" w:space="0" w:color="auto"/>
                  </w:divBdr>
                  <w:divsChild>
                    <w:div w:id="1247806368">
                      <w:marLeft w:val="0"/>
                      <w:marRight w:val="0"/>
                      <w:marTop w:val="0"/>
                      <w:marBottom w:val="0"/>
                      <w:divBdr>
                        <w:top w:val="none" w:sz="0" w:space="0" w:color="auto"/>
                        <w:left w:val="none" w:sz="0" w:space="0" w:color="auto"/>
                        <w:bottom w:val="none" w:sz="0" w:space="0" w:color="auto"/>
                        <w:right w:val="none" w:sz="0" w:space="0" w:color="auto"/>
                      </w:divBdr>
                    </w:div>
                  </w:divsChild>
                </w:div>
                <w:div w:id="765082452">
                  <w:marLeft w:val="0"/>
                  <w:marRight w:val="0"/>
                  <w:marTop w:val="0"/>
                  <w:marBottom w:val="0"/>
                  <w:divBdr>
                    <w:top w:val="none" w:sz="0" w:space="0" w:color="auto"/>
                    <w:left w:val="none" w:sz="0" w:space="0" w:color="auto"/>
                    <w:bottom w:val="none" w:sz="0" w:space="0" w:color="auto"/>
                    <w:right w:val="none" w:sz="0" w:space="0" w:color="auto"/>
                  </w:divBdr>
                  <w:divsChild>
                    <w:div w:id="1246572178">
                      <w:marLeft w:val="0"/>
                      <w:marRight w:val="0"/>
                      <w:marTop w:val="0"/>
                      <w:marBottom w:val="0"/>
                      <w:divBdr>
                        <w:top w:val="none" w:sz="0" w:space="0" w:color="auto"/>
                        <w:left w:val="none" w:sz="0" w:space="0" w:color="auto"/>
                        <w:bottom w:val="none" w:sz="0" w:space="0" w:color="auto"/>
                        <w:right w:val="none" w:sz="0" w:space="0" w:color="auto"/>
                      </w:divBdr>
                    </w:div>
                  </w:divsChild>
                </w:div>
                <w:div w:id="768158135">
                  <w:marLeft w:val="0"/>
                  <w:marRight w:val="0"/>
                  <w:marTop w:val="0"/>
                  <w:marBottom w:val="0"/>
                  <w:divBdr>
                    <w:top w:val="none" w:sz="0" w:space="0" w:color="auto"/>
                    <w:left w:val="none" w:sz="0" w:space="0" w:color="auto"/>
                    <w:bottom w:val="none" w:sz="0" w:space="0" w:color="auto"/>
                    <w:right w:val="none" w:sz="0" w:space="0" w:color="auto"/>
                  </w:divBdr>
                  <w:divsChild>
                    <w:div w:id="1225605019">
                      <w:marLeft w:val="0"/>
                      <w:marRight w:val="0"/>
                      <w:marTop w:val="0"/>
                      <w:marBottom w:val="0"/>
                      <w:divBdr>
                        <w:top w:val="none" w:sz="0" w:space="0" w:color="auto"/>
                        <w:left w:val="none" w:sz="0" w:space="0" w:color="auto"/>
                        <w:bottom w:val="none" w:sz="0" w:space="0" w:color="auto"/>
                        <w:right w:val="none" w:sz="0" w:space="0" w:color="auto"/>
                      </w:divBdr>
                    </w:div>
                  </w:divsChild>
                </w:div>
                <w:div w:id="788159201">
                  <w:marLeft w:val="0"/>
                  <w:marRight w:val="0"/>
                  <w:marTop w:val="0"/>
                  <w:marBottom w:val="0"/>
                  <w:divBdr>
                    <w:top w:val="none" w:sz="0" w:space="0" w:color="auto"/>
                    <w:left w:val="none" w:sz="0" w:space="0" w:color="auto"/>
                    <w:bottom w:val="none" w:sz="0" w:space="0" w:color="auto"/>
                    <w:right w:val="none" w:sz="0" w:space="0" w:color="auto"/>
                  </w:divBdr>
                  <w:divsChild>
                    <w:div w:id="151408537">
                      <w:marLeft w:val="0"/>
                      <w:marRight w:val="0"/>
                      <w:marTop w:val="0"/>
                      <w:marBottom w:val="0"/>
                      <w:divBdr>
                        <w:top w:val="none" w:sz="0" w:space="0" w:color="auto"/>
                        <w:left w:val="none" w:sz="0" w:space="0" w:color="auto"/>
                        <w:bottom w:val="none" w:sz="0" w:space="0" w:color="auto"/>
                        <w:right w:val="none" w:sz="0" w:space="0" w:color="auto"/>
                      </w:divBdr>
                    </w:div>
                  </w:divsChild>
                </w:div>
                <w:div w:id="792946447">
                  <w:marLeft w:val="0"/>
                  <w:marRight w:val="0"/>
                  <w:marTop w:val="0"/>
                  <w:marBottom w:val="0"/>
                  <w:divBdr>
                    <w:top w:val="none" w:sz="0" w:space="0" w:color="auto"/>
                    <w:left w:val="none" w:sz="0" w:space="0" w:color="auto"/>
                    <w:bottom w:val="none" w:sz="0" w:space="0" w:color="auto"/>
                    <w:right w:val="none" w:sz="0" w:space="0" w:color="auto"/>
                  </w:divBdr>
                  <w:divsChild>
                    <w:div w:id="263418552">
                      <w:marLeft w:val="0"/>
                      <w:marRight w:val="0"/>
                      <w:marTop w:val="0"/>
                      <w:marBottom w:val="0"/>
                      <w:divBdr>
                        <w:top w:val="none" w:sz="0" w:space="0" w:color="auto"/>
                        <w:left w:val="none" w:sz="0" w:space="0" w:color="auto"/>
                        <w:bottom w:val="none" w:sz="0" w:space="0" w:color="auto"/>
                        <w:right w:val="none" w:sz="0" w:space="0" w:color="auto"/>
                      </w:divBdr>
                    </w:div>
                  </w:divsChild>
                </w:div>
                <w:div w:id="806513030">
                  <w:marLeft w:val="0"/>
                  <w:marRight w:val="0"/>
                  <w:marTop w:val="0"/>
                  <w:marBottom w:val="0"/>
                  <w:divBdr>
                    <w:top w:val="none" w:sz="0" w:space="0" w:color="auto"/>
                    <w:left w:val="none" w:sz="0" w:space="0" w:color="auto"/>
                    <w:bottom w:val="none" w:sz="0" w:space="0" w:color="auto"/>
                    <w:right w:val="none" w:sz="0" w:space="0" w:color="auto"/>
                  </w:divBdr>
                  <w:divsChild>
                    <w:div w:id="1466318163">
                      <w:marLeft w:val="0"/>
                      <w:marRight w:val="0"/>
                      <w:marTop w:val="0"/>
                      <w:marBottom w:val="0"/>
                      <w:divBdr>
                        <w:top w:val="none" w:sz="0" w:space="0" w:color="auto"/>
                        <w:left w:val="none" w:sz="0" w:space="0" w:color="auto"/>
                        <w:bottom w:val="none" w:sz="0" w:space="0" w:color="auto"/>
                        <w:right w:val="none" w:sz="0" w:space="0" w:color="auto"/>
                      </w:divBdr>
                    </w:div>
                  </w:divsChild>
                </w:div>
                <w:div w:id="808476042">
                  <w:marLeft w:val="0"/>
                  <w:marRight w:val="0"/>
                  <w:marTop w:val="0"/>
                  <w:marBottom w:val="0"/>
                  <w:divBdr>
                    <w:top w:val="none" w:sz="0" w:space="0" w:color="auto"/>
                    <w:left w:val="none" w:sz="0" w:space="0" w:color="auto"/>
                    <w:bottom w:val="none" w:sz="0" w:space="0" w:color="auto"/>
                    <w:right w:val="none" w:sz="0" w:space="0" w:color="auto"/>
                  </w:divBdr>
                  <w:divsChild>
                    <w:div w:id="1481463048">
                      <w:marLeft w:val="0"/>
                      <w:marRight w:val="0"/>
                      <w:marTop w:val="0"/>
                      <w:marBottom w:val="0"/>
                      <w:divBdr>
                        <w:top w:val="none" w:sz="0" w:space="0" w:color="auto"/>
                        <w:left w:val="none" w:sz="0" w:space="0" w:color="auto"/>
                        <w:bottom w:val="none" w:sz="0" w:space="0" w:color="auto"/>
                        <w:right w:val="none" w:sz="0" w:space="0" w:color="auto"/>
                      </w:divBdr>
                    </w:div>
                  </w:divsChild>
                </w:div>
                <w:div w:id="814755724">
                  <w:marLeft w:val="0"/>
                  <w:marRight w:val="0"/>
                  <w:marTop w:val="0"/>
                  <w:marBottom w:val="0"/>
                  <w:divBdr>
                    <w:top w:val="none" w:sz="0" w:space="0" w:color="auto"/>
                    <w:left w:val="none" w:sz="0" w:space="0" w:color="auto"/>
                    <w:bottom w:val="none" w:sz="0" w:space="0" w:color="auto"/>
                    <w:right w:val="none" w:sz="0" w:space="0" w:color="auto"/>
                  </w:divBdr>
                  <w:divsChild>
                    <w:div w:id="1991133988">
                      <w:marLeft w:val="0"/>
                      <w:marRight w:val="0"/>
                      <w:marTop w:val="0"/>
                      <w:marBottom w:val="0"/>
                      <w:divBdr>
                        <w:top w:val="none" w:sz="0" w:space="0" w:color="auto"/>
                        <w:left w:val="none" w:sz="0" w:space="0" w:color="auto"/>
                        <w:bottom w:val="none" w:sz="0" w:space="0" w:color="auto"/>
                        <w:right w:val="none" w:sz="0" w:space="0" w:color="auto"/>
                      </w:divBdr>
                    </w:div>
                  </w:divsChild>
                </w:div>
                <w:div w:id="815149243">
                  <w:marLeft w:val="0"/>
                  <w:marRight w:val="0"/>
                  <w:marTop w:val="0"/>
                  <w:marBottom w:val="0"/>
                  <w:divBdr>
                    <w:top w:val="none" w:sz="0" w:space="0" w:color="auto"/>
                    <w:left w:val="none" w:sz="0" w:space="0" w:color="auto"/>
                    <w:bottom w:val="none" w:sz="0" w:space="0" w:color="auto"/>
                    <w:right w:val="none" w:sz="0" w:space="0" w:color="auto"/>
                  </w:divBdr>
                  <w:divsChild>
                    <w:div w:id="78066583">
                      <w:marLeft w:val="0"/>
                      <w:marRight w:val="0"/>
                      <w:marTop w:val="0"/>
                      <w:marBottom w:val="0"/>
                      <w:divBdr>
                        <w:top w:val="none" w:sz="0" w:space="0" w:color="auto"/>
                        <w:left w:val="none" w:sz="0" w:space="0" w:color="auto"/>
                        <w:bottom w:val="none" w:sz="0" w:space="0" w:color="auto"/>
                        <w:right w:val="none" w:sz="0" w:space="0" w:color="auto"/>
                      </w:divBdr>
                    </w:div>
                  </w:divsChild>
                </w:div>
                <w:div w:id="831874211">
                  <w:marLeft w:val="0"/>
                  <w:marRight w:val="0"/>
                  <w:marTop w:val="0"/>
                  <w:marBottom w:val="0"/>
                  <w:divBdr>
                    <w:top w:val="none" w:sz="0" w:space="0" w:color="auto"/>
                    <w:left w:val="none" w:sz="0" w:space="0" w:color="auto"/>
                    <w:bottom w:val="none" w:sz="0" w:space="0" w:color="auto"/>
                    <w:right w:val="none" w:sz="0" w:space="0" w:color="auto"/>
                  </w:divBdr>
                  <w:divsChild>
                    <w:div w:id="1776093232">
                      <w:marLeft w:val="0"/>
                      <w:marRight w:val="0"/>
                      <w:marTop w:val="0"/>
                      <w:marBottom w:val="0"/>
                      <w:divBdr>
                        <w:top w:val="none" w:sz="0" w:space="0" w:color="auto"/>
                        <w:left w:val="none" w:sz="0" w:space="0" w:color="auto"/>
                        <w:bottom w:val="none" w:sz="0" w:space="0" w:color="auto"/>
                        <w:right w:val="none" w:sz="0" w:space="0" w:color="auto"/>
                      </w:divBdr>
                    </w:div>
                  </w:divsChild>
                </w:div>
                <w:div w:id="837496822">
                  <w:marLeft w:val="0"/>
                  <w:marRight w:val="0"/>
                  <w:marTop w:val="0"/>
                  <w:marBottom w:val="0"/>
                  <w:divBdr>
                    <w:top w:val="none" w:sz="0" w:space="0" w:color="auto"/>
                    <w:left w:val="none" w:sz="0" w:space="0" w:color="auto"/>
                    <w:bottom w:val="none" w:sz="0" w:space="0" w:color="auto"/>
                    <w:right w:val="none" w:sz="0" w:space="0" w:color="auto"/>
                  </w:divBdr>
                  <w:divsChild>
                    <w:div w:id="154683622">
                      <w:marLeft w:val="0"/>
                      <w:marRight w:val="0"/>
                      <w:marTop w:val="0"/>
                      <w:marBottom w:val="0"/>
                      <w:divBdr>
                        <w:top w:val="none" w:sz="0" w:space="0" w:color="auto"/>
                        <w:left w:val="none" w:sz="0" w:space="0" w:color="auto"/>
                        <w:bottom w:val="none" w:sz="0" w:space="0" w:color="auto"/>
                        <w:right w:val="none" w:sz="0" w:space="0" w:color="auto"/>
                      </w:divBdr>
                    </w:div>
                  </w:divsChild>
                </w:div>
                <w:div w:id="844973241">
                  <w:marLeft w:val="0"/>
                  <w:marRight w:val="0"/>
                  <w:marTop w:val="0"/>
                  <w:marBottom w:val="0"/>
                  <w:divBdr>
                    <w:top w:val="none" w:sz="0" w:space="0" w:color="auto"/>
                    <w:left w:val="none" w:sz="0" w:space="0" w:color="auto"/>
                    <w:bottom w:val="none" w:sz="0" w:space="0" w:color="auto"/>
                    <w:right w:val="none" w:sz="0" w:space="0" w:color="auto"/>
                  </w:divBdr>
                  <w:divsChild>
                    <w:div w:id="1149521730">
                      <w:marLeft w:val="0"/>
                      <w:marRight w:val="0"/>
                      <w:marTop w:val="0"/>
                      <w:marBottom w:val="0"/>
                      <w:divBdr>
                        <w:top w:val="none" w:sz="0" w:space="0" w:color="auto"/>
                        <w:left w:val="none" w:sz="0" w:space="0" w:color="auto"/>
                        <w:bottom w:val="none" w:sz="0" w:space="0" w:color="auto"/>
                        <w:right w:val="none" w:sz="0" w:space="0" w:color="auto"/>
                      </w:divBdr>
                    </w:div>
                  </w:divsChild>
                </w:div>
                <w:div w:id="845825490">
                  <w:marLeft w:val="0"/>
                  <w:marRight w:val="0"/>
                  <w:marTop w:val="0"/>
                  <w:marBottom w:val="0"/>
                  <w:divBdr>
                    <w:top w:val="none" w:sz="0" w:space="0" w:color="auto"/>
                    <w:left w:val="none" w:sz="0" w:space="0" w:color="auto"/>
                    <w:bottom w:val="none" w:sz="0" w:space="0" w:color="auto"/>
                    <w:right w:val="none" w:sz="0" w:space="0" w:color="auto"/>
                  </w:divBdr>
                  <w:divsChild>
                    <w:div w:id="882249727">
                      <w:marLeft w:val="0"/>
                      <w:marRight w:val="0"/>
                      <w:marTop w:val="0"/>
                      <w:marBottom w:val="0"/>
                      <w:divBdr>
                        <w:top w:val="none" w:sz="0" w:space="0" w:color="auto"/>
                        <w:left w:val="none" w:sz="0" w:space="0" w:color="auto"/>
                        <w:bottom w:val="none" w:sz="0" w:space="0" w:color="auto"/>
                        <w:right w:val="none" w:sz="0" w:space="0" w:color="auto"/>
                      </w:divBdr>
                    </w:div>
                  </w:divsChild>
                </w:div>
                <w:div w:id="857894906">
                  <w:marLeft w:val="0"/>
                  <w:marRight w:val="0"/>
                  <w:marTop w:val="0"/>
                  <w:marBottom w:val="0"/>
                  <w:divBdr>
                    <w:top w:val="none" w:sz="0" w:space="0" w:color="auto"/>
                    <w:left w:val="none" w:sz="0" w:space="0" w:color="auto"/>
                    <w:bottom w:val="none" w:sz="0" w:space="0" w:color="auto"/>
                    <w:right w:val="none" w:sz="0" w:space="0" w:color="auto"/>
                  </w:divBdr>
                  <w:divsChild>
                    <w:div w:id="599994306">
                      <w:marLeft w:val="0"/>
                      <w:marRight w:val="0"/>
                      <w:marTop w:val="0"/>
                      <w:marBottom w:val="0"/>
                      <w:divBdr>
                        <w:top w:val="none" w:sz="0" w:space="0" w:color="auto"/>
                        <w:left w:val="none" w:sz="0" w:space="0" w:color="auto"/>
                        <w:bottom w:val="none" w:sz="0" w:space="0" w:color="auto"/>
                        <w:right w:val="none" w:sz="0" w:space="0" w:color="auto"/>
                      </w:divBdr>
                    </w:div>
                  </w:divsChild>
                </w:div>
                <w:div w:id="885992678">
                  <w:marLeft w:val="0"/>
                  <w:marRight w:val="0"/>
                  <w:marTop w:val="0"/>
                  <w:marBottom w:val="0"/>
                  <w:divBdr>
                    <w:top w:val="none" w:sz="0" w:space="0" w:color="auto"/>
                    <w:left w:val="none" w:sz="0" w:space="0" w:color="auto"/>
                    <w:bottom w:val="none" w:sz="0" w:space="0" w:color="auto"/>
                    <w:right w:val="none" w:sz="0" w:space="0" w:color="auto"/>
                  </w:divBdr>
                  <w:divsChild>
                    <w:div w:id="188832585">
                      <w:marLeft w:val="0"/>
                      <w:marRight w:val="0"/>
                      <w:marTop w:val="0"/>
                      <w:marBottom w:val="0"/>
                      <w:divBdr>
                        <w:top w:val="none" w:sz="0" w:space="0" w:color="auto"/>
                        <w:left w:val="none" w:sz="0" w:space="0" w:color="auto"/>
                        <w:bottom w:val="none" w:sz="0" w:space="0" w:color="auto"/>
                        <w:right w:val="none" w:sz="0" w:space="0" w:color="auto"/>
                      </w:divBdr>
                    </w:div>
                  </w:divsChild>
                </w:div>
                <w:div w:id="893589070">
                  <w:marLeft w:val="0"/>
                  <w:marRight w:val="0"/>
                  <w:marTop w:val="0"/>
                  <w:marBottom w:val="0"/>
                  <w:divBdr>
                    <w:top w:val="none" w:sz="0" w:space="0" w:color="auto"/>
                    <w:left w:val="none" w:sz="0" w:space="0" w:color="auto"/>
                    <w:bottom w:val="none" w:sz="0" w:space="0" w:color="auto"/>
                    <w:right w:val="none" w:sz="0" w:space="0" w:color="auto"/>
                  </w:divBdr>
                  <w:divsChild>
                    <w:div w:id="306521579">
                      <w:marLeft w:val="0"/>
                      <w:marRight w:val="0"/>
                      <w:marTop w:val="0"/>
                      <w:marBottom w:val="0"/>
                      <w:divBdr>
                        <w:top w:val="none" w:sz="0" w:space="0" w:color="auto"/>
                        <w:left w:val="none" w:sz="0" w:space="0" w:color="auto"/>
                        <w:bottom w:val="none" w:sz="0" w:space="0" w:color="auto"/>
                        <w:right w:val="none" w:sz="0" w:space="0" w:color="auto"/>
                      </w:divBdr>
                    </w:div>
                  </w:divsChild>
                </w:div>
                <w:div w:id="906183473">
                  <w:marLeft w:val="0"/>
                  <w:marRight w:val="0"/>
                  <w:marTop w:val="0"/>
                  <w:marBottom w:val="0"/>
                  <w:divBdr>
                    <w:top w:val="none" w:sz="0" w:space="0" w:color="auto"/>
                    <w:left w:val="none" w:sz="0" w:space="0" w:color="auto"/>
                    <w:bottom w:val="none" w:sz="0" w:space="0" w:color="auto"/>
                    <w:right w:val="none" w:sz="0" w:space="0" w:color="auto"/>
                  </w:divBdr>
                  <w:divsChild>
                    <w:div w:id="1402172025">
                      <w:marLeft w:val="0"/>
                      <w:marRight w:val="0"/>
                      <w:marTop w:val="0"/>
                      <w:marBottom w:val="0"/>
                      <w:divBdr>
                        <w:top w:val="none" w:sz="0" w:space="0" w:color="auto"/>
                        <w:left w:val="none" w:sz="0" w:space="0" w:color="auto"/>
                        <w:bottom w:val="none" w:sz="0" w:space="0" w:color="auto"/>
                        <w:right w:val="none" w:sz="0" w:space="0" w:color="auto"/>
                      </w:divBdr>
                    </w:div>
                  </w:divsChild>
                </w:div>
                <w:div w:id="907687655">
                  <w:marLeft w:val="0"/>
                  <w:marRight w:val="0"/>
                  <w:marTop w:val="0"/>
                  <w:marBottom w:val="0"/>
                  <w:divBdr>
                    <w:top w:val="none" w:sz="0" w:space="0" w:color="auto"/>
                    <w:left w:val="none" w:sz="0" w:space="0" w:color="auto"/>
                    <w:bottom w:val="none" w:sz="0" w:space="0" w:color="auto"/>
                    <w:right w:val="none" w:sz="0" w:space="0" w:color="auto"/>
                  </w:divBdr>
                  <w:divsChild>
                    <w:div w:id="1934701766">
                      <w:marLeft w:val="0"/>
                      <w:marRight w:val="0"/>
                      <w:marTop w:val="0"/>
                      <w:marBottom w:val="0"/>
                      <w:divBdr>
                        <w:top w:val="none" w:sz="0" w:space="0" w:color="auto"/>
                        <w:left w:val="none" w:sz="0" w:space="0" w:color="auto"/>
                        <w:bottom w:val="none" w:sz="0" w:space="0" w:color="auto"/>
                        <w:right w:val="none" w:sz="0" w:space="0" w:color="auto"/>
                      </w:divBdr>
                    </w:div>
                  </w:divsChild>
                </w:div>
                <w:div w:id="922106078">
                  <w:marLeft w:val="0"/>
                  <w:marRight w:val="0"/>
                  <w:marTop w:val="0"/>
                  <w:marBottom w:val="0"/>
                  <w:divBdr>
                    <w:top w:val="none" w:sz="0" w:space="0" w:color="auto"/>
                    <w:left w:val="none" w:sz="0" w:space="0" w:color="auto"/>
                    <w:bottom w:val="none" w:sz="0" w:space="0" w:color="auto"/>
                    <w:right w:val="none" w:sz="0" w:space="0" w:color="auto"/>
                  </w:divBdr>
                  <w:divsChild>
                    <w:div w:id="582297848">
                      <w:marLeft w:val="0"/>
                      <w:marRight w:val="0"/>
                      <w:marTop w:val="0"/>
                      <w:marBottom w:val="0"/>
                      <w:divBdr>
                        <w:top w:val="none" w:sz="0" w:space="0" w:color="auto"/>
                        <w:left w:val="none" w:sz="0" w:space="0" w:color="auto"/>
                        <w:bottom w:val="none" w:sz="0" w:space="0" w:color="auto"/>
                        <w:right w:val="none" w:sz="0" w:space="0" w:color="auto"/>
                      </w:divBdr>
                    </w:div>
                  </w:divsChild>
                </w:div>
                <w:div w:id="931428499">
                  <w:marLeft w:val="0"/>
                  <w:marRight w:val="0"/>
                  <w:marTop w:val="0"/>
                  <w:marBottom w:val="0"/>
                  <w:divBdr>
                    <w:top w:val="none" w:sz="0" w:space="0" w:color="auto"/>
                    <w:left w:val="none" w:sz="0" w:space="0" w:color="auto"/>
                    <w:bottom w:val="none" w:sz="0" w:space="0" w:color="auto"/>
                    <w:right w:val="none" w:sz="0" w:space="0" w:color="auto"/>
                  </w:divBdr>
                  <w:divsChild>
                    <w:div w:id="925500147">
                      <w:marLeft w:val="0"/>
                      <w:marRight w:val="0"/>
                      <w:marTop w:val="0"/>
                      <w:marBottom w:val="0"/>
                      <w:divBdr>
                        <w:top w:val="none" w:sz="0" w:space="0" w:color="auto"/>
                        <w:left w:val="none" w:sz="0" w:space="0" w:color="auto"/>
                        <w:bottom w:val="none" w:sz="0" w:space="0" w:color="auto"/>
                        <w:right w:val="none" w:sz="0" w:space="0" w:color="auto"/>
                      </w:divBdr>
                    </w:div>
                  </w:divsChild>
                </w:div>
                <w:div w:id="936795427">
                  <w:marLeft w:val="0"/>
                  <w:marRight w:val="0"/>
                  <w:marTop w:val="0"/>
                  <w:marBottom w:val="0"/>
                  <w:divBdr>
                    <w:top w:val="none" w:sz="0" w:space="0" w:color="auto"/>
                    <w:left w:val="none" w:sz="0" w:space="0" w:color="auto"/>
                    <w:bottom w:val="none" w:sz="0" w:space="0" w:color="auto"/>
                    <w:right w:val="none" w:sz="0" w:space="0" w:color="auto"/>
                  </w:divBdr>
                  <w:divsChild>
                    <w:div w:id="1132288701">
                      <w:marLeft w:val="0"/>
                      <w:marRight w:val="0"/>
                      <w:marTop w:val="0"/>
                      <w:marBottom w:val="0"/>
                      <w:divBdr>
                        <w:top w:val="none" w:sz="0" w:space="0" w:color="auto"/>
                        <w:left w:val="none" w:sz="0" w:space="0" w:color="auto"/>
                        <w:bottom w:val="none" w:sz="0" w:space="0" w:color="auto"/>
                        <w:right w:val="none" w:sz="0" w:space="0" w:color="auto"/>
                      </w:divBdr>
                    </w:div>
                  </w:divsChild>
                </w:div>
                <w:div w:id="940256818">
                  <w:marLeft w:val="0"/>
                  <w:marRight w:val="0"/>
                  <w:marTop w:val="0"/>
                  <w:marBottom w:val="0"/>
                  <w:divBdr>
                    <w:top w:val="none" w:sz="0" w:space="0" w:color="auto"/>
                    <w:left w:val="none" w:sz="0" w:space="0" w:color="auto"/>
                    <w:bottom w:val="none" w:sz="0" w:space="0" w:color="auto"/>
                    <w:right w:val="none" w:sz="0" w:space="0" w:color="auto"/>
                  </w:divBdr>
                  <w:divsChild>
                    <w:div w:id="2136093838">
                      <w:marLeft w:val="0"/>
                      <w:marRight w:val="0"/>
                      <w:marTop w:val="0"/>
                      <w:marBottom w:val="0"/>
                      <w:divBdr>
                        <w:top w:val="none" w:sz="0" w:space="0" w:color="auto"/>
                        <w:left w:val="none" w:sz="0" w:space="0" w:color="auto"/>
                        <w:bottom w:val="none" w:sz="0" w:space="0" w:color="auto"/>
                        <w:right w:val="none" w:sz="0" w:space="0" w:color="auto"/>
                      </w:divBdr>
                    </w:div>
                  </w:divsChild>
                </w:div>
                <w:div w:id="948852340">
                  <w:marLeft w:val="0"/>
                  <w:marRight w:val="0"/>
                  <w:marTop w:val="0"/>
                  <w:marBottom w:val="0"/>
                  <w:divBdr>
                    <w:top w:val="none" w:sz="0" w:space="0" w:color="auto"/>
                    <w:left w:val="none" w:sz="0" w:space="0" w:color="auto"/>
                    <w:bottom w:val="none" w:sz="0" w:space="0" w:color="auto"/>
                    <w:right w:val="none" w:sz="0" w:space="0" w:color="auto"/>
                  </w:divBdr>
                  <w:divsChild>
                    <w:div w:id="590432729">
                      <w:marLeft w:val="0"/>
                      <w:marRight w:val="0"/>
                      <w:marTop w:val="0"/>
                      <w:marBottom w:val="0"/>
                      <w:divBdr>
                        <w:top w:val="none" w:sz="0" w:space="0" w:color="auto"/>
                        <w:left w:val="none" w:sz="0" w:space="0" w:color="auto"/>
                        <w:bottom w:val="none" w:sz="0" w:space="0" w:color="auto"/>
                        <w:right w:val="none" w:sz="0" w:space="0" w:color="auto"/>
                      </w:divBdr>
                    </w:div>
                  </w:divsChild>
                </w:div>
                <w:div w:id="952319877">
                  <w:marLeft w:val="0"/>
                  <w:marRight w:val="0"/>
                  <w:marTop w:val="0"/>
                  <w:marBottom w:val="0"/>
                  <w:divBdr>
                    <w:top w:val="none" w:sz="0" w:space="0" w:color="auto"/>
                    <w:left w:val="none" w:sz="0" w:space="0" w:color="auto"/>
                    <w:bottom w:val="none" w:sz="0" w:space="0" w:color="auto"/>
                    <w:right w:val="none" w:sz="0" w:space="0" w:color="auto"/>
                  </w:divBdr>
                  <w:divsChild>
                    <w:div w:id="309558425">
                      <w:marLeft w:val="0"/>
                      <w:marRight w:val="0"/>
                      <w:marTop w:val="0"/>
                      <w:marBottom w:val="0"/>
                      <w:divBdr>
                        <w:top w:val="none" w:sz="0" w:space="0" w:color="auto"/>
                        <w:left w:val="none" w:sz="0" w:space="0" w:color="auto"/>
                        <w:bottom w:val="none" w:sz="0" w:space="0" w:color="auto"/>
                        <w:right w:val="none" w:sz="0" w:space="0" w:color="auto"/>
                      </w:divBdr>
                    </w:div>
                  </w:divsChild>
                </w:div>
                <w:div w:id="959845978">
                  <w:marLeft w:val="0"/>
                  <w:marRight w:val="0"/>
                  <w:marTop w:val="0"/>
                  <w:marBottom w:val="0"/>
                  <w:divBdr>
                    <w:top w:val="none" w:sz="0" w:space="0" w:color="auto"/>
                    <w:left w:val="none" w:sz="0" w:space="0" w:color="auto"/>
                    <w:bottom w:val="none" w:sz="0" w:space="0" w:color="auto"/>
                    <w:right w:val="none" w:sz="0" w:space="0" w:color="auto"/>
                  </w:divBdr>
                  <w:divsChild>
                    <w:div w:id="1235621551">
                      <w:marLeft w:val="0"/>
                      <w:marRight w:val="0"/>
                      <w:marTop w:val="0"/>
                      <w:marBottom w:val="0"/>
                      <w:divBdr>
                        <w:top w:val="none" w:sz="0" w:space="0" w:color="auto"/>
                        <w:left w:val="none" w:sz="0" w:space="0" w:color="auto"/>
                        <w:bottom w:val="none" w:sz="0" w:space="0" w:color="auto"/>
                        <w:right w:val="none" w:sz="0" w:space="0" w:color="auto"/>
                      </w:divBdr>
                    </w:div>
                  </w:divsChild>
                </w:div>
                <w:div w:id="965505855">
                  <w:marLeft w:val="0"/>
                  <w:marRight w:val="0"/>
                  <w:marTop w:val="0"/>
                  <w:marBottom w:val="0"/>
                  <w:divBdr>
                    <w:top w:val="none" w:sz="0" w:space="0" w:color="auto"/>
                    <w:left w:val="none" w:sz="0" w:space="0" w:color="auto"/>
                    <w:bottom w:val="none" w:sz="0" w:space="0" w:color="auto"/>
                    <w:right w:val="none" w:sz="0" w:space="0" w:color="auto"/>
                  </w:divBdr>
                  <w:divsChild>
                    <w:div w:id="1748653404">
                      <w:marLeft w:val="0"/>
                      <w:marRight w:val="0"/>
                      <w:marTop w:val="0"/>
                      <w:marBottom w:val="0"/>
                      <w:divBdr>
                        <w:top w:val="none" w:sz="0" w:space="0" w:color="auto"/>
                        <w:left w:val="none" w:sz="0" w:space="0" w:color="auto"/>
                        <w:bottom w:val="none" w:sz="0" w:space="0" w:color="auto"/>
                        <w:right w:val="none" w:sz="0" w:space="0" w:color="auto"/>
                      </w:divBdr>
                    </w:div>
                  </w:divsChild>
                </w:div>
                <w:div w:id="970667974">
                  <w:marLeft w:val="0"/>
                  <w:marRight w:val="0"/>
                  <w:marTop w:val="0"/>
                  <w:marBottom w:val="0"/>
                  <w:divBdr>
                    <w:top w:val="none" w:sz="0" w:space="0" w:color="auto"/>
                    <w:left w:val="none" w:sz="0" w:space="0" w:color="auto"/>
                    <w:bottom w:val="none" w:sz="0" w:space="0" w:color="auto"/>
                    <w:right w:val="none" w:sz="0" w:space="0" w:color="auto"/>
                  </w:divBdr>
                  <w:divsChild>
                    <w:div w:id="260182652">
                      <w:marLeft w:val="0"/>
                      <w:marRight w:val="0"/>
                      <w:marTop w:val="0"/>
                      <w:marBottom w:val="0"/>
                      <w:divBdr>
                        <w:top w:val="none" w:sz="0" w:space="0" w:color="auto"/>
                        <w:left w:val="none" w:sz="0" w:space="0" w:color="auto"/>
                        <w:bottom w:val="none" w:sz="0" w:space="0" w:color="auto"/>
                        <w:right w:val="none" w:sz="0" w:space="0" w:color="auto"/>
                      </w:divBdr>
                    </w:div>
                  </w:divsChild>
                </w:div>
                <w:div w:id="975724008">
                  <w:marLeft w:val="0"/>
                  <w:marRight w:val="0"/>
                  <w:marTop w:val="0"/>
                  <w:marBottom w:val="0"/>
                  <w:divBdr>
                    <w:top w:val="none" w:sz="0" w:space="0" w:color="auto"/>
                    <w:left w:val="none" w:sz="0" w:space="0" w:color="auto"/>
                    <w:bottom w:val="none" w:sz="0" w:space="0" w:color="auto"/>
                    <w:right w:val="none" w:sz="0" w:space="0" w:color="auto"/>
                  </w:divBdr>
                  <w:divsChild>
                    <w:div w:id="624849342">
                      <w:marLeft w:val="0"/>
                      <w:marRight w:val="0"/>
                      <w:marTop w:val="0"/>
                      <w:marBottom w:val="0"/>
                      <w:divBdr>
                        <w:top w:val="none" w:sz="0" w:space="0" w:color="auto"/>
                        <w:left w:val="none" w:sz="0" w:space="0" w:color="auto"/>
                        <w:bottom w:val="none" w:sz="0" w:space="0" w:color="auto"/>
                        <w:right w:val="none" w:sz="0" w:space="0" w:color="auto"/>
                      </w:divBdr>
                    </w:div>
                  </w:divsChild>
                </w:div>
                <w:div w:id="976184705">
                  <w:marLeft w:val="0"/>
                  <w:marRight w:val="0"/>
                  <w:marTop w:val="0"/>
                  <w:marBottom w:val="0"/>
                  <w:divBdr>
                    <w:top w:val="none" w:sz="0" w:space="0" w:color="auto"/>
                    <w:left w:val="none" w:sz="0" w:space="0" w:color="auto"/>
                    <w:bottom w:val="none" w:sz="0" w:space="0" w:color="auto"/>
                    <w:right w:val="none" w:sz="0" w:space="0" w:color="auto"/>
                  </w:divBdr>
                  <w:divsChild>
                    <w:div w:id="1149400694">
                      <w:marLeft w:val="0"/>
                      <w:marRight w:val="0"/>
                      <w:marTop w:val="0"/>
                      <w:marBottom w:val="0"/>
                      <w:divBdr>
                        <w:top w:val="none" w:sz="0" w:space="0" w:color="auto"/>
                        <w:left w:val="none" w:sz="0" w:space="0" w:color="auto"/>
                        <w:bottom w:val="none" w:sz="0" w:space="0" w:color="auto"/>
                        <w:right w:val="none" w:sz="0" w:space="0" w:color="auto"/>
                      </w:divBdr>
                    </w:div>
                  </w:divsChild>
                </w:div>
                <w:div w:id="976450839">
                  <w:marLeft w:val="0"/>
                  <w:marRight w:val="0"/>
                  <w:marTop w:val="0"/>
                  <w:marBottom w:val="0"/>
                  <w:divBdr>
                    <w:top w:val="none" w:sz="0" w:space="0" w:color="auto"/>
                    <w:left w:val="none" w:sz="0" w:space="0" w:color="auto"/>
                    <w:bottom w:val="none" w:sz="0" w:space="0" w:color="auto"/>
                    <w:right w:val="none" w:sz="0" w:space="0" w:color="auto"/>
                  </w:divBdr>
                  <w:divsChild>
                    <w:div w:id="589118923">
                      <w:marLeft w:val="0"/>
                      <w:marRight w:val="0"/>
                      <w:marTop w:val="0"/>
                      <w:marBottom w:val="0"/>
                      <w:divBdr>
                        <w:top w:val="none" w:sz="0" w:space="0" w:color="auto"/>
                        <w:left w:val="none" w:sz="0" w:space="0" w:color="auto"/>
                        <w:bottom w:val="none" w:sz="0" w:space="0" w:color="auto"/>
                        <w:right w:val="none" w:sz="0" w:space="0" w:color="auto"/>
                      </w:divBdr>
                    </w:div>
                  </w:divsChild>
                </w:div>
                <w:div w:id="976565266">
                  <w:marLeft w:val="0"/>
                  <w:marRight w:val="0"/>
                  <w:marTop w:val="0"/>
                  <w:marBottom w:val="0"/>
                  <w:divBdr>
                    <w:top w:val="none" w:sz="0" w:space="0" w:color="auto"/>
                    <w:left w:val="none" w:sz="0" w:space="0" w:color="auto"/>
                    <w:bottom w:val="none" w:sz="0" w:space="0" w:color="auto"/>
                    <w:right w:val="none" w:sz="0" w:space="0" w:color="auto"/>
                  </w:divBdr>
                  <w:divsChild>
                    <w:div w:id="46035287">
                      <w:marLeft w:val="0"/>
                      <w:marRight w:val="0"/>
                      <w:marTop w:val="0"/>
                      <w:marBottom w:val="0"/>
                      <w:divBdr>
                        <w:top w:val="none" w:sz="0" w:space="0" w:color="auto"/>
                        <w:left w:val="none" w:sz="0" w:space="0" w:color="auto"/>
                        <w:bottom w:val="none" w:sz="0" w:space="0" w:color="auto"/>
                        <w:right w:val="none" w:sz="0" w:space="0" w:color="auto"/>
                      </w:divBdr>
                    </w:div>
                  </w:divsChild>
                </w:div>
                <w:div w:id="990868582">
                  <w:marLeft w:val="0"/>
                  <w:marRight w:val="0"/>
                  <w:marTop w:val="0"/>
                  <w:marBottom w:val="0"/>
                  <w:divBdr>
                    <w:top w:val="none" w:sz="0" w:space="0" w:color="auto"/>
                    <w:left w:val="none" w:sz="0" w:space="0" w:color="auto"/>
                    <w:bottom w:val="none" w:sz="0" w:space="0" w:color="auto"/>
                    <w:right w:val="none" w:sz="0" w:space="0" w:color="auto"/>
                  </w:divBdr>
                  <w:divsChild>
                    <w:div w:id="710107988">
                      <w:marLeft w:val="0"/>
                      <w:marRight w:val="0"/>
                      <w:marTop w:val="0"/>
                      <w:marBottom w:val="0"/>
                      <w:divBdr>
                        <w:top w:val="none" w:sz="0" w:space="0" w:color="auto"/>
                        <w:left w:val="none" w:sz="0" w:space="0" w:color="auto"/>
                        <w:bottom w:val="none" w:sz="0" w:space="0" w:color="auto"/>
                        <w:right w:val="none" w:sz="0" w:space="0" w:color="auto"/>
                      </w:divBdr>
                    </w:div>
                  </w:divsChild>
                </w:div>
                <w:div w:id="1016539944">
                  <w:marLeft w:val="0"/>
                  <w:marRight w:val="0"/>
                  <w:marTop w:val="0"/>
                  <w:marBottom w:val="0"/>
                  <w:divBdr>
                    <w:top w:val="none" w:sz="0" w:space="0" w:color="auto"/>
                    <w:left w:val="none" w:sz="0" w:space="0" w:color="auto"/>
                    <w:bottom w:val="none" w:sz="0" w:space="0" w:color="auto"/>
                    <w:right w:val="none" w:sz="0" w:space="0" w:color="auto"/>
                  </w:divBdr>
                  <w:divsChild>
                    <w:div w:id="465507574">
                      <w:marLeft w:val="0"/>
                      <w:marRight w:val="0"/>
                      <w:marTop w:val="0"/>
                      <w:marBottom w:val="0"/>
                      <w:divBdr>
                        <w:top w:val="none" w:sz="0" w:space="0" w:color="auto"/>
                        <w:left w:val="none" w:sz="0" w:space="0" w:color="auto"/>
                        <w:bottom w:val="none" w:sz="0" w:space="0" w:color="auto"/>
                        <w:right w:val="none" w:sz="0" w:space="0" w:color="auto"/>
                      </w:divBdr>
                    </w:div>
                  </w:divsChild>
                </w:div>
                <w:div w:id="1025402631">
                  <w:marLeft w:val="0"/>
                  <w:marRight w:val="0"/>
                  <w:marTop w:val="0"/>
                  <w:marBottom w:val="0"/>
                  <w:divBdr>
                    <w:top w:val="none" w:sz="0" w:space="0" w:color="auto"/>
                    <w:left w:val="none" w:sz="0" w:space="0" w:color="auto"/>
                    <w:bottom w:val="none" w:sz="0" w:space="0" w:color="auto"/>
                    <w:right w:val="none" w:sz="0" w:space="0" w:color="auto"/>
                  </w:divBdr>
                  <w:divsChild>
                    <w:div w:id="87695841">
                      <w:marLeft w:val="0"/>
                      <w:marRight w:val="0"/>
                      <w:marTop w:val="0"/>
                      <w:marBottom w:val="0"/>
                      <w:divBdr>
                        <w:top w:val="none" w:sz="0" w:space="0" w:color="auto"/>
                        <w:left w:val="none" w:sz="0" w:space="0" w:color="auto"/>
                        <w:bottom w:val="none" w:sz="0" w:space="0" w:color="auto"/>
                        <w:right w:val="none" w:sz="0" w:space="0" w:color="auto"/>
                      </w:divBdr>
                    </w:div>
                  </w:divsChild>
                </w:div>
                <w:div w:id="1037320515">
                  <w:marLeft w:val="0"/>
                  <w:marRight w:val="0"/>
                  <w:marTop w:val="0"/>
                  <w:marBottom w:val="0"/>
                  <w:divBdr>
                    <w:top w:val="none" w:sz="0" w:space="0" w:color="auto"/>
                    <w:left w:val="none" w:sz="0" w:space="0" w:color="auto"/>
                    <w:bottom w:val="none" w:sz="0" w:space="0" w:color="auto"/>
                    <w:right w:val="none" w:sz="0" w:space="0" w:color="auto"/>
                  </w:divBdr>
                  <w:divsChild>
                    <w:div w:id="1502508465">
                      <w:marLeft w:val="0"/>
                      <w:marRight w:val="0"/>
                      <w:marTop w:val="0"/>
                      <w:marBottom w:val="0"/>
                      <w:divBdr>
                        <w:top w:val="none" w:sz="0" w:space="0" w:color="auto"/>
                        <w:left w:val="none" w:sz="0" w:space="0" w:color="auto"/>
                        <w:bottom w:val="none" w:sz="0" w:space="0" w:color="auto"/>
                        <w:right w:val="none" w:sz="0" w:space="0" w:color="auto"/>
                      </w:divBdr>
                    </w:div>
                  </w:divsChild>
                </w:div>
                <w:div w:id="1042024189">
                  <w:marLeft w:val="0"/>
                  <w:marRight w:val="0"/>
                  <w:marTop w:val="0"/>
                  <w:marBottom w:val="0"/>
                  <w:divBdr>
                    <w:top w:val="none" w:sz="0" w:space="0" w:color="auto"/>
                    <w:left w:val="none" w:sz="0" w:space="0" w:color="auto"/>
                    <w:bottom w:val="none" w:sz="0" w:space="0" w:color="auto"/>
                    <w:right w:val="none" w:sz="0" w:space="0" w:color="auto"/>
                  </w:divBdr>
                  <w:divsChild>
                    <w:div w:id="1558543630">
                      <w:marLeft w:val="0"/>
                      <w:marRight w:val="0"/>
                      <w:marTop w:val="0"/>
                      <w:marBottom w:val="0"/>
                      <w:divBdr>
                        <w:top w:val="none" w:sz="0" w:space="0" w:color="auto"/>
                        <w:left w:val="none" w:sz="0" w:space="0" w:color="auto"/>
                        <w:bottom w:val="none" w:sz="0" w:space="0" w:color="auto"/>
                        <w:right w:val="none" w:sz="0" w:space="0" w:color="auto"/>
                      </w:divBdr>
                    </w:div>
                  </w:divsChild>
                </w:div>
                <w:div w:id="1048724163">
                  <w:marLeft w:val="0"/>
                  <w:marRight w:val="0"/>
                  <w:marTop w:val="0"/>
                  <w:marBottom w:val="0"/>
                  <w:divBdr>
                    <w:top w:val="none" w:sz="0" w:space="0" w:color="auto"/>
                    <w:left w:val="none" w:sz="0" w:space="0" w:color="auto"/>
                    <w:bottom w:val="none" w:sz="0" w:space="0" w:color="auto"/>
                    <w:right w:val="none" w:sz="0" w:space="0" w:color="auto"/>
                  </w:divBdr>
                  <w:divsChild>
                    <w:div w:id="1877623104">
                      <w:marLeft w:val="0"/>
                      <w:marRight w:val="0"/>
                      <w:marTop w:val="0"/>
                      <w:marBottom w:val="0"/>
                      <w:divBdr>
                        <w:top w:val="none" w:sz="0" w:space="0" w:color="auto"/>
                        <w:left w:val="none" w:sz="0" w:space="0" w:color="auto"/>
                        <w:bottom w:val="none" w:sz="0" w:space="0" w:color="auto"/>
                        <w:right w:val="none" w:sz="0" w:space="0" w:color="auto"/>
                      </w:divBdr>
                    </w:div>
                  </w:divsChild>
                </w:div>
                <w:div w:id="1084033800">
                  <w:marLeft w:val="0"/>
                  <w:marRight w:val="0"/>
                  <w:marTop w:val="0"/>
                  <w:marBottom w:val="0"/>
                  <w:divBdr>
                    <w:top w:val="none" w:sz="0" w:space="0" w:color="auto"/>
                    <w:left w:val="none" w:sz="0" w:space="0" w:color="auto"/>
                    <w:bottom w:val="none" w:sz="0" w:space="0" w:color="auto"/>
                    <w:right w:val="none" w:sz="0" w:space="0" w:color="auto"/>
                  </w:divBdr>
                  <w:divsChild>
                    <w:div w:id="849105087">
                      <w:marLeft w:val="0"/>
                      <w:marRight w:val="0"/>
                      <w:marTop w:val="0"/>
                      <w:marBottom w:val="0"/>
                      <w:divBdr>
                        <w:top w:val="none" w:sz="0" w:space="0" w:color="auto"/>
                        <w:left w:val="none" w:sz="0" w:space="0" w:color="auto"/>
                        <w:bottom w:val="none" w:sz="0" w:space="0" w:color="auto"/>
                        <w:right w:val="none" w:sz="0" w:space="0" w:color="auto"/>
                      </w:divBdr>
                    </w:div>
                  </w:divsChild>
                </w:div>
                <w:div w:id="1136681908">
                  <w:marLeft w:val="0"/>
                  <w:marRight w:val="0"/>
                  <w:marTop w:val="0"/>
                  <w:marBottom w:val="0"/>
                  <w:divBdr>
                    <w:top w:val="none" w:sz="0" w:space="0" w:color="auto"/>
                    <w:left w:val="none" w:sz="0" w:space="0" w:color="auto"/>
                    <w:bottom w:val="none" w:sz="0" w:space="0" w:color="auto"/>
                    <w:right w:val="none" w:sz="0" w:space="0" w:color="auto"/>
                  </w:divBdr>
                  <w:divsChild>
                    <w:div w:id="655690521">
                      <w:marLeft w:val="0"/>
                      <w:marRight w:val="0"/>
                      <w:marTop w:val="0"/>
                      <w:marBottom w:val="0"/>
                      <w:divBdr>
                        <w:top w:val="none" w:sz="0" w:space="0" w:color="auto"/>
                        <w:left w:val="none" w:sz="0" w:space="0" w:color="auto"/>
                        <w:bottom w:val="none" w:sz="0" w:space="0" w:color="auto"/>
                        <w:right w:val="none" w:sz="0" w:space="0" w:color="auto"/>
                      </w:divBdr>
                    </w:div>
                  </w:divsChild>
                </w:div>
                <w:div w:id="1158493129">
                  <w:marLeft w:val="0"/>
                  <w:marRight w:val="0"/>
                  <w:marTop w:val="0"/>
                  <w:marBottom w:val="0"/>
                  <w:divBdr>
                    <w:top w:val="none" w:sz="0" w:space="0" w:color="auto"/>
                    <w:left w:val="none" w:sz="0" w:space="0" w:color="auto"/>
                    <w:bottom w:val="none" w:sz="0" w:space="0" w:color="auto"/>
                    <w:right w:val="none" w:sz="0" w:space="0" w:color="auto"/>
                  </w:divBdr>
                  <w:divsChild>
                    <w:div w:id="609746982">
                      <w:marLeft w:val="0"/>
                      <w:marRight w:val="0"/>
                      <w:marTop w:val="0"/>
                      <w:marBottom w:val="0"/>
                      <w:divBdr>
                        <w:top w:val="none" w:sz="0" w:space="0" w:color="auto"/>
                        <w:left w:val="none" w:sz="0" w:space="0" w:color="auto"/>
                        <w:bottom w:val="none" w:sz="0" w:space="0" w:color="auto"/>
                        <w:right w:val="none" w:sz="0" w:space="0" w:color="auto"/>
                      </w:divBdr>
                    </w:div>
                  </w:divsChild>
                </w:div>
                <w:div w:id="1161313530">
                  <w:marLeft w:val="0"/>
                  <w:marRight w:val="0"/>
                  <w:marTop w:val="0"/>
                  <w:marBottom w:val="0"/>
                  <w:divBdr>
                    <w:top w:val="none" w:sz="0" w:space="0" w:color="auto"/>
                    <w:left w:val="none" w:sz="0" w:space="0" w:color="auto"/>
                    <w:bottom w:val="none" w:sz="0" w:space="0" w:color="auto"/>
                    <w:right w:val="none" w:sz="0" w:space="0" w:color="auto"/>
                  </w:divBdr>
                  <w:divsChild>
                    <w:div w:id="1820028434">
                      <w:marLeft w:val="0"/>
                      <w:marRight w:val="0"/>
                      <w:marTop w:val="0"/>
                      <w:marBottom w:val="0"/>
                      <w:divBdr>
                        <w:top w:val="none" w:sz="0" w:space="0" w:color="auto"/>
                        <w:left w:val="none" w:sz="0" w:space="0" w:color="auto"/>
                        <w:bottom w:val="none" w:sz="0" w:space="0" w:color="auto"/>
                        <w:right w:val="none" w:sz="0" w:space="0" w:color="auto"/>
                      </w:divBdr>
                    </w:div>
                  </w:divsChild>
                </w:div>
                <w:div w:id="1162619752">
                  <w:marLeft w:val="0"/>
                  <w:marRight w:val="0"/>
                  <w:marTop w:val="0"/>
                  <w:marBottom w:val="0"/>
                  <w:divBdr>
                    <w:top w:val="none" w:sz="0" w:space="0" w:color="auto"/>
                    <w:left w:val="none" w:sz="0" w:space="0" w:color="auto"/>
                    <w:bottom w:val="none" w:sz="0" w:space="0" w:color="auto"/>
                    <w:right w:val="none" w:sz="0" w:space="0" w:color="auto"/>
                  </w:divBdr>
                  <w:divsChild>
                    <w:div w:id="1312366269">
                      <w:marLeft w:val="0"/>
                      <w:marRight w:val="0"/>
                      <w:marTop w:val="0"/>
                      <w:marBottom w:val="0"/>
                      <w:divBdr>
                        <w:top w:val="none" w:sz="0" w:space="0" w:color="auto"/>
                        <w:left w:val="none" w:sz="0" w:space="0" w:color="auto"/>
                        <w:bottom w:val="none" w:sz="0" w:space="0" w:color="auto"/>
                        <w:right w:val="none" w:sz="0" w:space="0" w:color="auto"/>
                      </w:divBdr>
                    </w:div>
                  </w:divsChild>
                </w:div>
                <w:div w:id="1165433665">
                  <w:marLeft w:val="0"/>
                  <w:marRight w:val="0"/>
                  <w:marTop w:val="0"/>
                  <w:marBottom w:val="0"/>
                  <w:divBdr>
                    <w:top w:val="none" w:sz="0" w:space="0" w:color="auto"/>
                    <w:left w:val="none" w:sz="0" w:space="0" w:color="auto"/>
                    <w:bottom w:val="none" w:sz="0" w:space="0" w:color="auto"/>
                    <w:right w:val="none" w:sz="0" w:space="0" w:color="auto"/>
                  </w:divBdr>
                  <w:divsChild>
                    <w:div w:id="913007888">
                      <w:marLeft w:val="0"/>
                      <w:marRight w:val="0"/>
                      <w:marTop w:val="0"/>
                      <w:marBottom w:val="0"/>
                      <w:divBdr>
                        <w:top w:val="none" w:sz="0" w:space="0" w:color="auto"/>
                        <w:left w:val="none" w:sz="0" w:space="0" w:color="auto"/>
                        <w:bottom w:val="none" w:sz="0" w:space="0" w:color="auto"/>
                        <w:right w:val="none" w:sz="0" w:space="0" w:color="auto"/>
                      </w:divBdr>
                    </w:div>
                  </w:divsChild>
                </w:div>
                <w:div w:id="1183013321">
                  <w:marLeft w:val="0"/>
                  <w:marRight w:val="0"/>
                  <w:marTop w:val="0"/>
                  <w:marBottom w:val="0"/>
                  <w:divBdr>
                    <w:top w:val="none" w:sz="0" w:space="0" w:color="auto"/>
                    <w:left w:val="none" w:sz="0" w:space="0" w:color="auto"/>
                    <w:bottom w:val="none" w:sz="0" w:space="0" w:color="auto"/>
                    <w:right w:val="none" w:sz="0" w:space="0" w:color="auto"/>
                  </w:divBdr>
                  <w:divsChild>
                    <w:div w:id="1849782912">
                      <w:marLeft w:val="0"/>
                      <w:marRight w:val="0"/>
                      <w:marTop w:val="0"/>
                      <w:marBottom w:val="0"/>
                      <w:divBdr>
                        <w:top w:val="none" w:sz="0" w:space="0" w:color="auto"/>
                        <w:left w:val="none" w:sz="0" w:space="0" w:color="auto"/>
                        <w:bottom w:val="none" w:sz="0" w:space="0" w:color="auto"/>
                        <w:right w:val="none" w:sz="0" w:space="0" w:color="auto"/>
                      </w:divBdr>
                    </w:div>
                  </w:divsChild>
                </w:div>
                <w:div w:id="1186553602">
                  <w:marLeft w:val="0"/>
                  <w:marRight w:val="0"/>
                  <w:marTop w:val="0"/>
                  <w:marBottom w:val="0"/>
                  <w:divBdr>
                    <w:top w:val="none" w:sz="0" w:space="0" w:color="auto"/>
                    <w:left w:val="none" w:sz="0" w:space="0" w:color="auto"/>
                    <w:bottom w:val="none" w:sz="0" w:space="0" w:color="auto"/>
                    <w:right w:val="none" w:sz="0" w:space="0" w:color="auto"/>
                  </w:divBdr>
                  <w:divsChild>
                    <w:div w:id="140581718">
                      <w:marLeft w:val="0"/>
                      <w:marRight w:val="0"/>
                      <w:marTop w:val="0"/>
                      <w:marBottom w:val="0"/>
                      <w:divBdr>
                        <w:top w:val="none" w:sz="0" w:space="0" w:color="auto"/>
                        <w:left w:val="none" w:sz="0" w:space="0" w:color="auto"/>
                        <w:bottom w:val="none" w:sz="0" w:space="0" w:color="auto"/>
                        <w:right w:val="none" w:sz="0" w:space="0" w:color="auto"/>
                      </w:divBdr>
                    </w:div>
                  </w:divsChild>
                </w:div>
                <w:div w:id="1200783267">
                  <w:marLeft w:val="0"/>
                  <w:marRight w:val="0"/>
                  <w:marTop w:val="0"/>
                  <w:marBottom w:val="0"/>
                  <w:divBdr>
                    <w:top w:val="none" w:sz="0" w:space="0" w:color="auto"/>
                    <w:left w:val="none" w:sz="0" w:space="0" w:color="auto"/>
                    <w:bottom w:val="none" w:sz="0" w:space="0" w:color="auto"/>
                    <w:right w:val="none" w:sz="0" w:space="0" w:color="auto"/>
                  </w:divBdr>
                  <w:divsChild>
                    <w:div w:id="1236277895">
                      <w:marLeft w:val="0"/>
                      <w:marRight w:val="0"/>
                      <w:marTop w:val="0"/>
                      <w:marBottom w:val="0"/>
                      <w:divBdr>
                        <w:top w:val="none" w:sz="0" w:space="0" w:color="auto"/>
                        <w:left w:val="none" w:sz="0" w:space="0" w:color="auto"/>
                        <w:bottom w:val="none" w:sz="0" w:space="0" w:color="auto"/>
                        <w:right w:val="none" w:sz="0" w:space="0" w:color="auto"/>
                      </w:divBdr>
                    </w:div>
                  </w:divsChild>
                </w:div>
                <w:div w:id="1202280009">
                  <w:marLeft w:val="0"/>
                  <w:marRight w:val="0"/>
                  <w:marTop w:val="0"/>
                  <w:marBottom w:val="0"/>
                  <w:divBdr>
                    <w:top w:val="none" w:sz="0" w:space="0" w:color="auto"/>
                    <w:left w:val="none" w:sz="0" w:space="0" w:color="auto"/>
                    <w:bottom w:val="none" w:sz="0" w:space="0" w:color="auto"/>
                    <w:right w:val="none" w:sz="0" w:space="0" w:color="auto"/>
                  </w:divBdr>
                  <w:divsChild>
                    <w:div w:id="843670320">
                      <w:marLeft w:val="0"/>
                      <w:marRight w:val="0"/>
                      <w:marTop w:val="0"/>
                      <w:marBottom w:val="0"/>
                      <w:divBdr>
                        <w:top w:val="none" w:sz="0" w:space="0" w:color="auto"/>
                        <w:left w:val="none" w:sz="0" w:space="0" w:color="auto"/>
                        <w:bottom w:val="none" w:sz="0" w:space="0" w:color="auto"/>
                        <w:right w:val="none" w:sz="0" w:space="0" w:color="auto"/>
                      </w:divBdr>
                    </w:div>
                  </w:divsChild>
                </w:div>
                <w:div w:id="1203522709">
                  <w:marLeft w:val="0"/>
                  <w:marRight w:val="0"/>
                  <w:marTop w:val="0"/>
                  <w:marBottom w:val="0"/>
                  <w:divBdr>
                    <w:top w:val="none" w:sz="0" w:space="0" w:color="auto"/>
                    <w:left w:val="none" w:sz="0" w:space="0" w:color="auto"/>
                    <w:bottom w:val="none" w:sz="0" w:space="0" w:color="auto"/>
                    <w:right w:val="none" w:sz="0" w:space="0" w:color="auto"/>
                  </w:divBdr>
                  <w:divsChild>
                    <w:div w:id="184297787">
                      <w:marLeft w:val="0"/>
                      <w:marRight w:val="0"/>
                      <w:marTop w:val="0"/>
                      <w:marBottom w:val="0"/>
                      <w:divBdr>
                        <w:top w:val="none" w:sz="0" w:space="0" w:color="auto"/>
                        <w:left w:val="none" w:sz="0" w:space="0" w:color="auto"/>
                        <w:bottom w:val="none" w:sz="0" w:space="0" w:color="auto"/>
                        <w:right w:val="none" w:sz="0" w:space="0" w:color="auto"/>
                      </w:divBdr>
                    </w:div>
                  </w:divsChild>
                </w:div>
                <w:div w:id="1212156024">
                  <w:marLeft w:val="0"/>
                  <w:marRight w:val="0"/>
                  <w:marTop w:val="0"/>
                  <w:marBottom w:val="0"/>
                  <w:divBdr>
                    <w:top w:val="none" w:sz="0" w:space="0" w:color="auto"/>
                    <w:left w:val="none" w:sz="0" w:space="0" w:color="auto"/>
                    <w:bottom w:val="none" w:sz="0" w:space="0" w:color="auto"/>
                    <w:right w:val="none" w:sz="0" w:space="0" w:color="auto"/>
                  </w:divBdr>
                  <w:divsChild>
                    <w:div w:id="526603872">
                      <w:marLeft w:val="0"/>
                      <w:marRight w:val="0"/>
                      <w:marTop w:val="0"/>
                      <w:marBottom w:val="0"/>
                      <w:divBdr>
                        <w:top w:val="none" w:sz="0" w:space="0" w:color="auto"/>
                        <w:left w:val="none" w:sz="0" w:space="0" w:color="auto"/>
                        <w:bottom w:val="none" w:sz="0" w:space="0" w:color="auto"/>
                        <w:right w:val="none" w:sz="0" w:space="0" w:color="auto"/>
                      </w:divBdr>
                    </w:div>
                  </w:divsChild>
                </w:div>
                <w:div w:id="1234120223">
                  <w:marLeft w:val="0"/>
                  <w:marRight w:val="0"/>
                  <w:marTop w:val="0"/>
                  <w:marBottom w:val="0"/>
                  <w:divBdr>
                    <w:top w:val="none" w:sz="0" w:space="0" w:color="auto"/>
                    <w:left w:val="none" w:sz="0" w:space="0" w:color="auto"/>
                    <w:bottom w:val="none" w:sz="0" w:space="0" w:color="auto"/>
                    <w:right w:val="none" w:sz="0" w:space="0" w:color="auto"/>
                  </w:divBdr>
                  <w:divsChild>
                    <w:div w:id="170070252">
                      <w:marLeft w:val="0"/>
                      <w:marRight w:val="0"/>
                      <w:marTop w:val="0"/>
                      <w:marBottom w:val="0"/>
                      <w:divBdr>
                        <w:top w:val="none" w:sz="0" w:space="0" w:color="auto"/>
                        <w:left w:val="none" w:sz="0" w:space="0" w:color="auto"/>
                        <w:bottom w:val="none" w:sz="0" w:space="0" w:color="auto"/>
                        <w:right w:val="none" w:sz="0" w:space="0" w:color="auto"/>
                      </w:divBdr>
                    </w:div>
                  </w:divsChild>
                </w:div>
                <w:div w:id="1239561256">
                  <w:marLeft w:val="0"/>
                  <w:marRight w:val="0"/>
                  <w:marTop w:val="0"/>
                  <w:marBottom w:val="0"/>
                  <w:divBdr>
                    <w:top w:val="none" w:sz="0" w:space="0" w:color="auto"/>
                    <w:left w:val="none" w:sz="0" w:space="0" w:color="auto"/>
                    <w:bottom w:val="none" w:sz="0" w:space="0" w:color="auto"/>
                    <w:right w:val="none" w:sz="0" w:space="0" w:color="auto"/>
                  </w:divBdr>
                  <w:divsChild>
                    <w:div w:id="1121995496">
                      <w:marLeft w:val="0"/>
                      <w:marRight w:val="0"/>
                      <w:marTop w:val="0"/>
                      <w:marBottom w:val="0"/>
                      <w:divBdr>
                        <w:top w:val="none" w:sz="0" w:space="0" w:color="auto"/>
                        <w:left w:val="none" w:sz="0" w:space="0" w:color="auto"/>
                        <w:bottom w:val="none" w:sz="0" w:space="0" w:color="auto"/>
                        <w:right w:val="none" w:sz="0" w:space="0" w:color="auto"/>
                      </w:divBdr>
                    </w:div>
                  </w:divsChild>
                </w:div>
                <w:div w:id="1240600919">
                  <w:marLeft w:val="0"/>
                  <w:marRight w:val="0"/>
                  <w:marTop w:val="0"/>
                  <w:marBottom w:val="0"/>
                  <w:divBdr>
                    <w:top w:val="none" w:sz="0" w:space="0" w:color="auto"/>
                    <w:left w:val="none" w:sz="0" w:space="0" w:color="auto"/>
                    <w:bottom w:val="none" w:sz="0" w:space="0" w:color="auto"/>
                    <w:right w:val="none" w:sz="0" w:space="0" w:color="auto"/>
                  </w:divBdr>
                  <w:divsChild>
                    <w:div w:id="1801222311">
                      <w:marLeft w:val="0"/>
                      <w:marRight w:val="0"/>
                      <w:marTop w:val="0"/>
                      <w:marBottom w:val="0"/>
                      <w:divBdr>
                        <w:top w:val="none" w:sz="0" w:space="0" w:color="auto"/>
                        <w:left w:val="none" w:sz="0" w:space="0" w:color="auto"/>
                        <w:bottom w:val="none" w:sz="0" w:space="0" w:color="auto"/>
                        <w:right w:val="none" w:sz="0" w:space="0" w:color="auto"/>
                      </w:divBdr>
                    </w:div>
                  </w:divsChild>
                </w:div>
                <w:div w:id="1243297328">
                  <w:marLeft w:val="0"/>
                  <w:marRight w:val="0"/>
                  <w:marTop w:val="0"/>
                  <w:marBottom w:val="0"/>
                  <w:divBdr>
                    <w:top w:val="none" w:sz="0" w:space="0" w:color="auto"/>
                    <w:left w:val="none" w:sz="0" w:space="0" w:color="auto"/>
                    <w:bottom w:val="none" w:sz="0" w:space="0" w:color="auto"/>
                    <w:right w:val="none" w:sz="0" w:space="0" w:color="auto"/>
                  </w:divBdr>
                  <w:divsChild>
                    <w:div w:id="1681227526">
                      <w:marLeft w:val="0"/>
                      <w:marRight w:val="0"/>
                      <w:marTop w:val="0"/>
                      <w:marBottom w:val="0"/>
                      <w:divBdr>
                        <w:top w:val="none" w:sz="0" w:space="0" w:color="auto"/>
                        <w:left w:val="none" w:sz="0" w:space="0" w:color="auto"/>
                        <w:bottom w:val="none" w:sz="0" w:space="0" w:color="auto"/>
                        <w:right w:val="none" w:sz="0" w:space="0" w:color="auto"/>
                      </w:divBdr>
                    </w:div>
                  </w:divsChild>
                </w:div>
                <w:div w:id="1244605676">
                  <w:marLeft w:val="0"/>
                  <w:marRight w:val="0"/>
                  <w:marTop w:val="0"/>
                  <w:marBottom w:val="0"/>
                  <w:divBdr>
                    <w:top w:val="none" w:sz="0" w:space="0" w:color="auto"/>
                    <w:left w:val="none" w:sz="0" w:space="0" w:color="auto"/>
                    <w:bottom w:val="none" w:sz="0" w:space="0" w:color="auto"/>
                    <w:right w:val="none" w:sz="0" w:space="0" w:color="auto"/>
                  </w:divBdr>
                  <w:divsChild>
                    <w:div w:id="1621767207">
                      <w:marLeft w:val="0"/>
                      <w:marRight w:val="0"/>
                      <w:marTop w:val="0"/>
                      <w:marBottom w:val="0"/>
                      <w:divBdr>
                        <w:top w:val="none" w:sz="0" w:space="0" w:color="auto"/>
                        <w:left w:val="none" w:sz="0" w:space="0" w:color="auto"/>
                        <w:bottom w:val="none" w:sz="0" w:space="0" w:color="auto"/>
                        <w:right w:val="none" w:sz="0" w:space="0" w:color="auto"/>
                      </w:divBdr>
                    </w:div>
                  </w:divsChild>
                </w:div>
                <w:div w:id="1245609793">
                  <w:marLeft w:val="0"/>
                  <w:marRight w:val="0"/>
                  <w:marTop w:val="0"/>
                  <w:marBottom w:val="0"/>
                  <w:divBdr>
                    <w:top w:val="none" w:sz="0" w:space="0" w:color="auto"/>
                    <w:left w:val="none" w:sz="0" w:space="0" w:color="auto"/>
                    <w:bottom w:val="none" w:sz="0" w:space="0" w:color="auto"/>
                    <w:right w:val="none" w:sz="0" w:space="0" w:color="auto"/>
                  </w:divBdr>
                  <w:divsChild>
                    <w:div w:id="512690212">
                      <w:marLeft w:val="0"/>
                      <w:marRight w:val="0"/>
                      <w:marTop w:val="0"/>
                      <w:marBottom w:val="0"/>
                      <w:divBdr>
                        <w:top w:val="none" w:sz="0" w:space="0" w:color="auto"/>
                        <w:left w:val="none" w:sz="0" w:space="0" w:color="auto"/>
                        <w:bottom w:val="none" w:sz="0" w:space="0" w:color="auto"/>
                        <w:right w:val="none" w:sz="0" w:space="0" w:color="auto"/>
                      </w:divBdr>
                    </w:div>
                  </w:divsChild>
                </w:div>
                <w:div w:id="1250306261">
                  <w:marLeft w:val="0"/>
                  <w:marRight w:val="0"/>
                  <w:marTop w:val="0"/>
                  <w:marBottom w:val="0"/>
                  <w:divBdr>
                    <w:top w:val="none" w:sz="0" w:space="0" w:color="auto"/>
                    <w:left w:val="none" w:sz="0" w:space="0" w:color="auto"/>
                    <w:bottom w:val="none" w:sz="0" w:space="0" w:color="auto"/>
                    <w:right w:val="none" w:sz="0" w:space="0" w:color="auto"/>
                  </w:divBdr>
                  <w:divsChild>
                    <w:div w:id="576669576">
                      <w:marLeft w:val="0"/>
                      <w:marRight w:val="0"/>
                      <w:marTop w:val="0"/>
                      <w:marBottom w:val="0"/>
                      <w:divBdr>
                        <w:top w:val="none" w:sz="0" w:space="0" w:color="auto"/>
                        <w:left w:val="none" w:sz="0" w:space="0" w:color="auto"/>
                        <w:bottom w:val="none" w:sz="0" w:space="0" w:color="auto"/>
                        <w:right w:val="none" w:sz="0" w:space="0" w:color="auto"/>
                      </w:divBdr>
                    </w:div>
                  </w:divsChild>
                </w:div>
                <w:div w:id="1254510904">
                  <w:marLeft w:val="0"/>
                  <w:marRight w:val="0"/>
                  <w:marTop w:val="0"/>
                  <w:marBottom w:val="0"/>
                  <w:divBdr>
                    <w:top w:val="none" w:sz="0" w:space="0" w:color="auto"/>
                    <w:left w:val="none" w:sz="0" w:space="0" w:color="auto"/>
                    <w:bottom w:val="none" w:sz="0" w:space="0" w:color="auto"/>
                    <w:right w:val="none" w:sz="0" w:space="0" w:color="auto"/>
                  </w:divBdr>
                  <w:divsChild>
                    <w:div w:id="275867861">
                      <w:marLeft w:val="0"/>
                      <w:marRight w:val="0"/>
                      <w:marTop w:val="0"/>
                      <w:marBottom w:val="0"/>
                      <w:divBdr>
                        <w:top w:val="none" w:sz="0" w:space="0" w:color="auto"/>
                        <w:left w:val="none" w:sz="0" w:space="0" w:color="auto"/>
                        <w:bottom w:val="none" w:sz="0" w:space="0" w:color="auto"/>
                        <w:right w:val="none" w:sz="0" w:space="0" w:color="auto"/>
                      </w:divBdr>
                    </w:div>
                  </w:divsChild>
                </w:div>
                <w:div w:id="1263149129">
                  <w:marLeft w:val="0"/>
                  <w:marRight w:val="0"/>
                  <w:marTop w:val="0"/>
                  <w:marBottom w:val="0"/>
                  <w:divBdr>
                    <w:top w:val="none" w:sz="0" w:space="0" w:color="auto"/>
                    <w:left w:val="none" w:sz="0" w:space="0" w:color="auto"/>
                    <w:bottom w:val="none" w:sz="0" w:space="0" w:color="auto"/>
                    <w:right w:val="none" w:sz="0" w:space="0" w:color="auto"/>
                  </w:divBdr>
                  <w:divsChild>
                    <w:div w:id="697044484">
                      <w:marLeft w:val="0"/>
                      <w:marRight w:val="0"/>
                      <w:marTop w:val="0"/>
                      <w:marBottom w:val="0"/>
                      <w:divBdr>
                        <w:top w:val="none" w:sz="0" w:space="0" w:color="auto"/>
                        <w:left w:val="none" w:sz="0" w:space="0" w:color="auto"/>
                        <w:bottom w:val="none" w:sz="0" w:space="0" w:color="auto"/>
                        <w:right w:val="none" w:sz="0" w:space="0" w:color="auto"/>
                      </w:divBdr>
                    </w:div>
                  </w:divsChild>
                </w:div>
                <w:div w:id="1263877909">
                  <w:marLeft w:val="0"/>
                  <w:marRight w:val="0"/>
                  <w:marTop w:val="0"/>
                  <w:marBottom w:val="0"/>
                  <w:divBdr>
                    <w:top w:val="none" w:sz="0" w:space="0" w:color="auto"/>
                    <w:left w:val="none" w:sz="0" w:space="0" w:color="auto"/>
                    <w:bottom w:val="none" w:sz="0" w:space="0" w:color="auto"/>
                    <w:right w:val="none" w:sz="0" w:space="0" w:color="auto"/>
                  </w:divBdr>
                  <w:divsChild>
                    <w:div w:id="2108311596">
                      <w:marLeft w:val="0"/>
                      <w:marRight w:val="0"/>
                      <w:marTop w:val="0"/>
                      <w:marBottom w:val="0"/>
                      <w:divBdr>
                        <w:top w:val="none" w:sz="0" w:space="0" w:color="auto"/>
                        <w:left w:val="none" w:sz="0" w:space="0" w:color="auto"/>
                        <w:bottom w:val="none" w:sz="0" w:space="0" w:color="auto"/>
                        <w:right w:val="none" w:sz="0" w:space="0" w:color="auto"/>
                      </w:divBdr>
                    </w:div>
                  </w:divsChild>
                </w:div>
                <w:div w:id="1270237403">
                  <w:marLeft w:val="0"/>
                  <w:marRight w:val="0"/>
                  <w:marTop w:val="0"/>
                  <w:marBottom w:val="0"/>
                  <w:divBdr>
                    <w:top w:val="none" w:sz="0" w:space="0" w:color="auto"/>
                    <w:left w:val="none" w:sz="0" w:space="0" w:color="auto"/>
                    <w:bottom w:val="none" w:sz="0" w:space="0" w:color="auto"/>
                    <w:right w:val="none" w:sz="0" w:space="0" w:color="auto"/>
                  </w:divBdr>
                  <w:divsChild>
                    <w:div w:id="399445959">
                      <w:marLeft w:val="0"/>
                      <w:marRight w:val="0"/>
                      <w:marTop w:val="0"/>
                      <w:marBottom w:val="0"/>
                      <w:divBdr>
                        <w:top w:val="none" w:sz="0" w:space="0" w:color="auto"/>
                        <w:left w:val="none" w:sz="0" w:space="0" w:color="auto"/>
                        <w:bottom w:val="none" w:sz="0" w:space="0" w:color="auto"/>
                        <w:right w:val="none" w:sz="0" w:space="0" w:color="auto"/>
                      </w:divBdr>
                    </w:div>
                  </w:divsChild>
                </w:div>
                <w:div w:id="1299260620">
                  <w:marLeft w:val="0"/>
                  <w:marRight w:val="0"/>
                  <w:marTop w:val="0"/>
                  <w:marBottom w:val="0"/>
                  <w:divBdr>
                    <w:top w:val="none" w:sz="0" w:space="0" w:color="auto"/>
                    <w:left w:val="none" w:sz="0" w:space="0" w:color="auto"/>
                    <w:bottom w:val="none" w:sz="0" w:space="0" w:color="auto"/>
                    <w:right w:val="none" w:sz="0" w:space="0" w:color="auto"/>
                  </w:divBdr>
                  <w:divsChild>
                    <w:div w:id="911622247">
                      <w:marLeft w:val="0"/>
                      <w:marRight w:val="0"/>
                      <w:marTop w:val="0"/>
                      <w:marBottom w:val="0"/>
                      <w:divBdr>
                        <w:top w:val="none" w:sz="0" w:space="0" w:color="auto"/>
                        <w:left w:val="none" w:sz="0" w:space="0" w:color="auto"/>
                        <w:bottom w:val="none" w:sz="0" w:space="0" w:color="auto"/>
                        <w:right w:val="none" w:sz="0" w:space="0" w:color="auto"/>
                      </w:divBdr>
                    </w:div>
                  </w:divsChild>
                </w:div>
                <w:div w:id="1307199154">
                  <w:marLeft w:val="0"/>
                  <w:marRight w:val="0"/>
                  <w:marTop w:val="0"/>
                  <w:marBottom w:val="0"/>
                  <w:divBdr>
                    <w:top w:val="none" w:sz="0" w:space="0" w:color="auto"/>
                    <w:left w:val="none" w:sz="0" w:space="0" w:color="auto"/>
                    <w:bottom w:val="none" w:sz="0" w:space="0" w:color="auto"/>
                    <w:right w:val="none" w:sz="0" w:space="0" w:color="auto"/>
                  </w:divBdr>
                  <w:divsChild>
                    <w:div w:id="411633763">
                      <w:marLeft w:val="0"/>
                      <w:marRight w:val="0"/>
                      <w:marTop w:val="0"/>
                      <w:marBottom w:val="0"/>
                      <w:divBdr>
                        <w:top w:val="none" w:sz="0" w:space="0" w:color="auto"/>
                        <w:left w:val="none" w:sz="0" w:space="0" w:color="auto"/>
                        <w:bottom w:val="none" w:sz="0" w:space="0" w:color="auto"/>
                        <w:right w:val="none" w:sz="0" w:space="0" w:color="auto"/>
                      </w:divBdr>
                    </w:div>
                  </w:divsChild>
                </w:div>
                <w:div w:id="1313291789">
                  <w:marLeft w:val="0"/>
                  <w:marRight w:val="0"/>
                  <w:marTop w:val="0"/>
                  <w:marBottom w:val="0"/>
                  <w:divBdr>
                    <w:top w:val="none" w:sz="0" w:space="0" w:color="auto"/>
                    <w:left w:val="none" w:sz="0" w:space="0" w:color="auto"/>
                    <w:bottom w:val="none" w:sz="0" w:space="0" w:color="auto"/>
                    <w:right w:val="none" w:sz="0" w:space="0" w:color="auto"/>
                  </w:divBdr>
                  <w:divsChild>
                    <w:div w:id="1467360270">
                      <w:marLeft w:val="0"/>
                      <w:marRight w:val="0"/>
                      <w:marTop w:val="0"/>
                      <w:marBottom w:val="0"/>
                      <w:divBdr>
                        <w:top w:val="none" w:sz="0" w:space="0" w:color="auto"/>
                        <w:left w:val="none" w:sz="0" w:space="0" w:color="auto"/>
                        <w:bottom w:val="none" w:sz="0" w:space="0" w:color="auto"/>
                        <w:right w:val="none" w:sz="0" w:space="0" w:color="auto"/>
                      </w:divBdr>
                    </w:div>
                  </w:divsChild>
                </w:div>
                <w:div w:id="1325353018">
                  <w:marLeft w:val="0"/>
                  <w:marRight w:val="0"/>
                  <w:marTop w:val="0"/>
                  <w:marBottom w:val="0"/>
                  <w:divBdr>
                    <w:top w:val="none" w:sz="0" w:space="0" w:color="auto"/>
                    <w:left w:val="none" w:sz="0" w:space="0" w:color="auto"/>
                    <w:bottom w:val="none" w:sz="0" w:space="0" w:color="auto"/>
                    <w:right w:val="none" w:sz="0" w:space="0" w:color="auto"/>
                  </w:divBdr>
                  <w:divsChild>
                    <w:div w:id="1944454727">
                      <w:marLeft w:val="0"/>
                      <w:marRight w:val="0"/>
                      <w:marTop w:val="0"/>
                      <w:marBottom w:val="0"/>
                      <w:divBdr>
                        <w:top w:val="none" w:sz="0" w:space="0" w:color="auto"/>
                        <w:left w:val="none" w:sz="0" w:space="0" w:color="auto"/>
                        <w:bottom w:val="none" w:sz="0" w:space="0" w:color="auto"/>
                        <w:right w:val="none" w:sz="0" w:space="0" w:color="auto"/>
                      </w:divBdr>
                    </w:div>
                  </w:divsChild>
                </w:div>
                <w:div w:id="1339846202">
                  <w:marLeft w:val="0"/>
                  <w:marRight w:val="0"/>
                  <w:marTop w:val="0"/>
                  <w:marBottom w:val="0"/>
                  <w:divBdr>
                    <w:top w:val="none" w:sz="0" w:space="0" w:color="auto"/>
                    <w:left w:val="none" w:sz="0" w:space="0" w:color="auto"/>
                    <w:bottom w:val="none" w:sz="0" w:space="0" w:color="auto"/>
                    <w:right w:val="none" w:sz="0" w:space="0" w:color="auto"/>
                  </w:divBdr>
                  <w:divsChild>
                    <w:div w:id="602882868">
                      <w:marLeft w:val="0"/>
                      <w:marRight w:val="0"/>
                      <w:marTop w:val="0"/>
                      <w:marBottom w:val="0"/>
                      <w:divBdr>
                        <w:top w:val="none" w:sz="0" w:space="0" w:color="auto"/>
                        <w:left w:val="none" w:sz="0" w:space="0" w:color="auto"/>
                        <w:bottom w:val="none" w:sz="0" w:space="0" w:color="auto"/>
                        <w:right w:val="none" w:sz="0" w:space="0" w:color="auto"/>
                      </w:divBdr>
                    </w:div>
                  </w:divsChild>
                </w:div>
                <w:div w:id="1341398073">
                  <w:marLeft w:val="0"/>
                  <w:marRight w:val="0"/>
                  <w:marTop w:val="0"/>
                  <w:marBottom w:val="0"/>
                  <w:divBdr>
                    <w:top w:val="none" w:sz="0" w:space="0" w:color="auto"/>
                    <w:left w:val="none" w:sz="0" w:space="0" w:color="auto"/>
                    <w:bottom w:val="none" w:sz="0" w:space="0" w:color="auto"/>
                    <w:right w:val="none" w:sz="0" w:space="0" w:color="auto"/>
                  </w:divBdr>
                  <w:divsChild>
                    <w:div w:id="1165823706">
                      <w:marLeft w:val="0"/>
                      <w:marRight w:val="0"/>
                      <w:marTop w:val="0"/>
                      <w:marBottom w:val="0"/>
                      <w:divBdr>
                        <w:top w:val="none" w:sz="0" w:space="0" w:color="auto"/>
                        <w:left w:val="none" w:sz="0" w:space="0" w:color="auto"/>
                        <w:bottom w:val="none" w:sz="0" w:space="0" w:color="auto"/>
                        <w:right w:val="none" w:sz="0" w:space="0" w:color="auto"/>
                      </w:divBdr>
                    </w:div>
                  </w:divsChild>
                </w:div>
                <w:div w:id="1343632676">
                  <w:marLeft w:val="0"/>
                  <w:marRight w:val="0"/>
                  <w:marTop w:val="0"/>
                  <w:marBottom w:val="0"/>
                  <w:divBdr>
                    <w:top w:val="none" w:sz="0" w:space="0" w:color="auto"/>
                    <w:left w:val="none" w:sz="0" w:space="0" w:color="auto"/>
                    <w:bottom w:val="none" w:sz="0" w:space="0" w:color="auto"/>
                    <w:right w:val="none" w:sz="0" w:space="0" w:color="auto"/>
                  </w:divBdr>
                  <w:divsChild>
                    <w:div w:id="342586255">
                      <w:marLeft w:val="0"/>
                      <w:marRight w:val="0"/>
                      <w:marTop w:val="0"/>
                      <w:marBottom w:val="0"/>
                      <w:divBdr>
                        <w:top w:val="none" w:sz="0" w:space="0" w:color="auto"/>
                        <w:left w:val="none" w:sz="0" w:space="0" w:color="auto"/>
                        <w:bottom w:val="none" w:sz="0" w:space="0" w:color="auto"/>
                        <w:right w:val="none" w:sz="0" w:space="0" w:color="auto"/>
                      </w:divBdr>
                    </w:div>
                  </w:divsChild>
                </w:div>
                <w:div w:id="1369255487">
                  <w:marLeft w:val="0"/>
                  <w:marRight w:val="0"/>
                  <w:marTop w:val="0"/>
                  <w:marBottom w:val="0"/>
                  <w:divBdr>
                    <w:top w:val="none" w:sz="0" w:space="0" w:color="auto"/>
                    <w:left w:val="none" w:sz="0" w:space="0" w:color="auto"/>
                    <w:bottom w:val="none" w:sz="0" w:space="0" w:color="auto"/>
                    <w:right w:val="none" w:sz="0" w:space="0" w:color="auto"/>
                  </w:divBdr>
                  <w:divsChild>
                    <w:div w:id="1717854737">
                      <w:marLeft w:val="0"/>
                      <w:marRight w:val="0"/>
                      <w:marTop w:val="0"/>
                      <w:marBottom w:val="0"/>
                      <w:divBdr>
                        <w:top w:val="none" w:sz="0" w:space="0" w:color="auto"/>
                        <w:left w:val="none" w:sz="0" w:space="0" w:color="auto"/>
                        <w:bottom w:val="none" w:sz="0" w:space="0" w:color="auto"/>
                        <w:right w:val="none" w:sz="0" w:space="0" w:color="auto"/>
                      </w:divBdr>
                    </w:div>
                  </w:divsChild>
                </w:div>
                <w:div w:id="1381705800">
                  <w:marLeft w:val="0"/>
                  <w:marRight w:val="0"/>
                  <w:marTop w:val="0"/>
                  <w:marBottom w:val="0"/>
                  <w:divBdr>
                    <w:top w:val="none" w:sz="0" w:space="0" w:color="auto"/>
                    <w:left w:val="none" w:sz="0" w:space="0" w:color="auto"/>
                    <w:bottom w:val="none" w:sz="0" w:space="0" w:color="auto"/>
                    <w:right w:val="none" w:sz="0" w:space="0" w:color="auto"/>
                  </w:divBdr>
                  <w:divsChild>
                    <w:div w:id="1784690624">
                      <w:marLeft w:val="0"/>
                      <w:marRight w:val="0"/>
                      <w:marTop w:val="0"/>
                      <w:marBottom w:val="0"/>
                      <w:divBdr>
                        <w:top w:val="none" w:sz="0" w:space="0" w:color="auto"/>
                        <w:left w:val="none" w:sz="0" w:space="0" w:color="auto"/>
                        <w:bottom w:val="none" w:sz="0" w:space="0" w:color="auto"/>
                        <w:right w:val="none" w:sz="0" w:space="0" w:color="auto"/>
                      </w:divBdr>
                    </w:div>
                  </w:divsChild>
                </w:div>
                <w:div w:id="1385331365">
                  <w:marLeft w:val="0"/>
                  <w:marRight w:val="0"/>
                  <w:marTop w:val="0"/>
                  <w:marBottom w:val="0"/>
                  <w:divBdr>
                    <w:top w:val="none" w:sz="0" w:space="0" w:color="auto"/>
                    <w:left w:val="none" w:sz="0" w:space="0" w:color="auto"/>
                    <w:bottom w:val="none" w:sz="0" w:space="0" w:color="auto"/>
                    <w:right w:val="none" w:sz="0" w:space="0" w:color="auto"/>
                  </w:divBdr>
                  <w:divsChild>
                    <w:div w:id="1517579831">
                      <w:marLeft w:val="0"/>
                      <w:marRight w:val="0"/>
                      <w:marTop w:val="0"/>
                      <w:marBottom w:val="0"/>
                      <w:divBdr>
                        <w:top w:val="none" w:sz="0" w:space="0" w:color="auto"/>
                        <w:left w:val="none" w:sz="0" w:space="0" w:color="auto"/>
                        <w:bottom w:val="none" w:sz="0" w:space="0" w:color="auto"/>
                        <w:right w:val="none" w:sz="0" w:space="0" w:color="auto"/>
                      </w:divBdr>
                    </w:div>
                  </w:divsChild>
                </w:div>
                <w:div w:id="1385641648">
                  <w:marLeft w:val="0"/>
                  <w:marRight w:val="0"/>
                  <w:marTop w:val="0"/>
                  <w:marBottom w:val="0"/>
                  <w:divBdr>
                    <w:top w:val="none" w:sz="0" w:space="0" w:color="auto"/>
                    <w:left w:val="none" w:sz="0" w:space="0" w:color="auto"/>
                    <w:bottom w:val="none" w:sz="0" w:space="0" w:color="auto"/>
                    <w:right w:val="none" w:sz="0" w:space="0" w:color="auto"/>
                  </w:divBdr>
                  <w:divsChild>
                    <w:div w:id="2109110346">
                      <w:marLeft w:val="0"/>
                      <w:marRight w:val="0"/>
                      <w:marTop w:val="0"/>
                      <w:marBottom w:val="0"/>
                      <w:divBdr>
                        <w:top w:val="none" w:sz="0" w:space="0" w:color="auto"/>
                        <w:left w:val="none" w:sz="0" w:space="0" w:color="auto"/>
                        <w:bottom w:val="none" w:sz="0" w:space="0" w:color="auto"/>
                        <w:right w:val="none" w:sz="0" w:space="0" w:color="auto"/>
                      </w:divBdr>
                    </w:div>
                  </w:divsChild>
                </w:div>
                <w:div w:id="1410270325">
                  <w:marLeft w:val="0"/>
                  <w:marRight w:val="0"/>
                  <w:marTop w:val="0"/>
                  <w:marBottom w:val="0"/>
                  <w:divBdr>
                    <w:top w:val="none" w:sz="0" w:space="0" w:color="auto"/>
                    <w:left w:val="none" w:sz="0" w:space="0" w:color="auto"/>
                    <w:bottom w:val="none" w:sz="0" w:space="0" w:color="auto"/>
                    <w:right w:val="none" w:sz="0" w:space="0" w:color="auto"/>
                  </w:divBdr>
                  <w:divsChild>
                    <w:div w:id="2053310477">
                      <w:marLeft w:val="0"/>
                      <w:marRight w:val="0"/>
                      <w:marTop w:val="0"/>
                      <w:marBottom w:val="0"/>
                      <w:divBdr>
                        <w:top w:val="none" w:sz="0" w:space="0" w:color="auto"/>
                        <w:left w:val="none" w:sz="0" w:space="0" w:color="auto"/>
                        <w:bottom w:val="none" w:sz="0" w:space="0" w:color="auto"/>
                        <w:right w:val="none" w:sz="0" w:space="0" w:color="auto"/>
                      </w:divBdr>
                    </w:div>
                  </w:divsChild>
                </w:div>
                <w:div w:id="1413891021">
                  <w:marLeft w:val="0"/>
                  <w:marRight w:val="0"/>
                  <w:marTop w:val="0"/>
                  <w:marBottom w:val="0"/>
                  <w:divBdr>
                    <w:top w:val="none" w:sz="0" w:space="0" w:color="auto"/>
                    <w:left w:val="none" w:sz="0" w:space="0" w:color="auto"/>
                    <w:bottom w:val="none" w:sz="0" w:space="0" w:color="auto"/>
                    <w:right w:val="none" w:sz="0" w:space="0" w:color="auto"/>
                  </w:divBdr>
                  <w:divsChild>
                    <w:div w:id="1493986554">
                      <w:marLeft w:val="0"/>
                      <w:marRight w:val="0"/>
                      <w:marTop w:val="0"/>
                      <w:marBottom w:val="0"/>
                      <w:divBdr>
                        <w:top w:val="none" w:sz="0" w:space="0" w:color="auto"/>
                        <w:left w:val="none" w:sz="0" w:space="0" w:color="auto"/>
                        <w:bottom w:val="none" w:sz="0" w:space="0" w:color="auto"/>
                        <w:right w:val="none" w:sz="0" w:space="0" w:color="auto"/>
                      </w:divBdr>
                    </w:div>
                  </w:divsChild>
                </w:div>
                <w:div w:id="1420178180">
                  <w:marLeft w:val="0"/>
                  <w:marRight w:val="0"/>
                  <w:marTop w:val="0"/>
                  <w:marBottom w:val="0"/>
                  <w:divBdr>
                    <w:top w:val="none" w:sz="0" w:space="0" w:color="auto"/>
                    <w:left w:val="none" w:sz="0" w:space="0" w:color="auto"/>
                    <w:bottom w:val="none" w:sz="0" w:space="0" w:color="auto"/>
                    <w:right w:val="none" w:sz="0" w:space="0" w:color="auto"/>
                  </w:divBdr>
                  <w:divsChild>
                    <w:div w:id="758789963">
                      <w:marLeft w:val="0"/>
                      <w:marRight w:val="0"/>
                      <w:marTop w:val="0"/>
                      <w:marBottom w:val="0"/>
                      <w:divBdr>
                        <w:top w:val="none" w:sz="0" w:space="0" w:color="auto"/>
                        <w:left w:val="none" w:sz="0" w:space="0" w:color="auto"/>
                        <w:bottom w:val="none" w:sz="0" w:space="0" w:color="auto"/>
                        <w:right w:val="none" w:sz="0" w:space="0" w:color="auto"/>
                      </w:divBdr>
                    </w:div>
                  </w:divsChild>
                </w:div>
                <w:div w:id="1422599972">
                  <w:marLeft w:val="0"/>
                  <w:marRight w:val="0"/>
                  <w:marTop w:val="0"/>
                  <w:marBottom w:val="0"/>
                  <w:divBdr>
                    <w:top w:val="none" w:sz="0" w:space="0" w:color="auto"/>
                    <w:left w:val="none" w:sz="0" w:space="0" w:color="auto"/>
                    <w:bottom w:val="none" w:sz="0" w:space="0" w:color="auto"/>
                    <w:right w:val="none" w:sz="0" w:space="0" w:color="auto"/>
                  </w:divBdr>
                  <w:divsChild>
                    <w:div w:id="578296382">
                      <w:marLeft w:val="0"/>
                      <w:marRight w:val="0"/>
                      <w:marTop w:val="0"/>
                      <w:marBottom w:val="0"/>
                      <w:divBdr>
                        <w:top w:val="none" w:sz="0" w:space="0" w:color="auto"/>
                        <w:left w:val="none" w:sz="0" w:space="0" w:color="auto"/>
                        <w:bottom w:val="none" w:sz="0" w:space="0" w:color="auto"/>
                        <w:right w:val="none" w:sz="0" w:space="0" w:color="auto"/>
                      </w:divBdr>
                    </w:div>
                  </w:divsChild>
                </w:div>
                <w:div w:id="1439328267">
                  <w:marLeft w:val="0"/>
                  <w:marRight w:val="0"/>
                  <w:marTop w:val="0"/>
                  <w:marBottom w:val="0"/>
                  <w:divBdr>
                    <w:top w:val="none" w:sz="0" w:space="0" w:color="auto"/>
                    <w:left w:val="none" w:sz="0" w:space="0" w:color="auto"/>
                    <w:bottom w:val="none" w:sz="0" w:space="0" w:color="auto"/>
                    <w:right w:val="none" w:sz="0" w:space="0" w:color="auto"/>
                  </w:divBdr>
                  <w:divsChild>
                    <w:div w:id="165828446">
                      <w:marLeft w:val="0"/>
                      <w:marRight w:val="0"/>
                      <w:marTop w:val="0"/>
                      <w:marBottom w:val="0"/>
                      <w:divBdr>
                        <w:top w:val="none" w:sz="0" w:space="0" w:color="auto"/>
                        <w:left w:val="none" w:sz="0" w:space="0" w:color="auto"/>
                        <w:bottom w:val="none" w:sz="0" w:space="0" w:color="auto"/>
                        <w:right w:val="none" w:sz="0" w:space="0" w:color="auto"/>
                      </w:divBdr>
                    </w:div>
                  </w:divsChild>
                </w:div>
                <w:div w:id="1449854380">
                  <w:marLeft w:val="0"/>
                  <w:marRight w:val="0"/>
                  <w:marTop w:val="0"/>
                  <w:marBottom w:val="0"/>
                  <w:divBdr>
                    <w:top w:val="none" w:sz="0" w:space="0" w:color="auto"/>
                    <w:left w:val="none" w:sz="0" w:space="0" w:color="auto"/>
                    <w:bottom w:val="none" w:sz="0" w:space="0" w:color="auto"/>
                    <w:right w:val="none" w:sz="0" w:space="0" w:color="auto"/>
                  </w:divBdr>
                  <w:divsChild>
                    <w:div w:id="432213806">
                      <w:marLeft w:val="0"/>
                      <w:marRight w:val="0"/>
                      <w:marTop w:val="0"/>
                      <w:marBottom w:val="0"/>
                      <w:divBdr>
                        <w:top w:val="none" w:sz="0" w:space="0" w:color="auto"/>
                        <w:left w:val="none" w:sz="0" w:space="0" w:color="auto"/>
                        <w:bottom w:val="none" w:sz="0" w:space="0" w:color="auto"/>
                        <w:right w:val="none" w:sz="0" w:space="0" w:color="auto"/>
                      </w:divBdr>
                    </w:div>
                  </w:divsChild>
                </w:div>
                <w:div w:id="1457024565">
                  <w:marLeft w:val="0"/>
                  <w:marRight w:val="0"/>
                  <w:marTop w:val="0"/>
                  <w:marBottom w:val="0"/>
                  <w:divBdr>
                    <w:top w:val="none" w:sz="0" w:space="0" w:color="auto"/>
                    <w:left w:val="none" w:sz="0" w:space="0" w:color="auto"/>
                    <w:bottom w:val="none" w:sz="0" w:space="0" w:color="auto"/>
                    <w:right w:val="none" w:sz="0" w:space="0" w:color="auto"/>
                  </w:divBdr>
                  <w:divsChild>
                    <w:div w:id="195389700">
                      <w:marLeft w:val="0"/>
                      <w:marRight w:val="0"/>
                      <w:marTop w:val="0"/>
                      <w:marBottom w:val="0"/>
                      <w:divBdr>
                        <w:top w:val="none" w:sz="0" w:space="0" w:color="auto"/>
                        <w:left w:val="none" w:sz="0" w:space="0" w:color="auto"/>
                        <w:bottom w:val="none" w:sz="0" w:space="0" w:color="auto"/>
                        <w:right w:val="none" w:sz="0" w:space="0" w:color="auto"/>
                      </w:divBdr>
                    </w:div>
                  </w:divsChild>
                </w:div>
                <w:div w:id="1461269108">
                  <w:marLeft w:val="0"/>
                  <w:marRight w:val="0"/>
                  <w:marTop w:val="0"/>
                  <w:marBottom w:val="0"/>
                  <w:divBdr>
                    <w:top w:val="none" w:sz="0" w:space="0" w:color="auto"/>
                    <w:left w:val="none" w:sz="0" w:space="0" w:color="auto"/>
                    <w:bottom w:val="none" w:sz="0" w:space="0" w:color="auto"/>
                    <w:right w:val="none" w:sz="0" w:space="0" w:color="auto"/>
                  </w:divBdr>
                  <w:divsChild>
                    <w:div w:id="715814529">
                      <w:marLeft w:val="0"/>
                      <w:marRight w:val="0"/>
                      <w:marTop w:val="0"/>
                      <w:marBottom w:val="0"/>
                      <w:divBdr>
                        <w:top w:val="none" w:sz="0" w:space="0" w:color="auto"/>
                        <w:left w:val="none" w:sz="0" w:space="0" w:color="auto"/>
                        <w:bottom w:val="none" w:sz="0" w:space="0" w:color="auto"/>
                        <w:right w:val="none" w:sz="0" w:space="0" w:color="auto"/>
                      </w:divBdr>
                    </w:div>
                  </w:divsChild>
                </w:div>
                <w:div w:id="1464882713">
                  <w:marLeft w:val="0"/>
                  <w:marRight w:val="0"/>
                  <w:marTop w:val="0"/>
                  <w:marBottom w:val="0"/>
                  <w:divBdr>
                    <w:top w:val="none" w:sz="0" w:space="0" w:color="auto"/>
                    <w:left w:val="none" w:sz="0" w:space="0" w:color="auto"/>
                    <w:bottom w:val="none" w:sz="0" w:space="0" w:color="auto"/>
                    <w:right w:val="none" w:sz="0" w:space="0" w:color="auto"/>
                  </w:divBdr>
                  <w:divsChild>
                    <w:div w:id="1134828051">
                      <w:marLeft w:val="0"/>
                      <w:marRight w:val="0"/>
                      <w:marTop w:val="0"/>
                      <w:marBottom w:val="0"/>
                      <w:divBdr>
                        <w:top w:val="none" w:sz="0" w:space="0" w:color="auto"/>
                        <w:left w:val="none" w:sz="0" w:space="0" w:color="auto"/>
                        <w:bottom w:val="none" w:sz="0" w:space="0" w:color="auto"/>
                        <w:right w:val="none" w:sz="0" w:space="0" w:color="auto"/>
                      </w:divBdr>
                    </w:div>
                  </w:divsChild>
                </w:div>
                <w:div w:id="1483430365">
                  <w:marLeft w:val="0"/>
                  <w:marRight w:val="0"/>
                  <w:marTop w:val="0"/>
                  <w:marBottom w:val="0"/>
                  <w:divBdr>
                    <w:top w:val="none" w:sz="0" w:space="0" w:color="auto"/>
                    <w:left w:val="none" w:sz="0" w:space="0" w:color="auto"/>
                    <w:bottom w:val="none" w:sz="0" w:space="0" w:color="auto"/>
                    <w:right w:val="none" w:sz="0" w:space="0" w:color="auto"/>
                  </w:divBdr>
                  <w:divsChild>
                    <w:div w:id="1818915553">
                      <w:marLeft w:val="0"/>
                      <w:marRight w:val="0"/>
                      <w:marTop w:val="0"/>
                      <w:marBottom w:val="0"/>
                      <w:divBdr>
                        <w:top w:val="none" w:sz="0" w:space="0" w:color="auto"/>
                        <w:left w:val="none" w:sz="0" w:space="0" w:color="auto"/>
                        <w:bottom w:val="none" w:sz="0" w:space="0" w:color="auto"/>
                        <w:right w:val="none" w:sz="0" w:space="0" w:color="auto"/>
                      </w:divBdr>
                    </w:div>
                  </w:divsChild>
                </w:div>
                <w:div w:id="1487742698">
                  <w:marLeft w:val="0"/>
                  <w:marRight w:val="0"/>
                  <w:marTop w:val="0"/>
                  <w:marBottom w:val="0"/>
                  <w:divBdr>
                    <w:top w:val="none" w:sz="0" w:space="0" w:color="auto"/>
                    <w:left w:val="none" w:sz="0" w:space="0" w:color="auto"/>
                    <w:bottom w:val="none" w:sz="0" w:space="0" w:color="auto"/>
                    <w:right w:val="none" w:sz="0" w:space="0" w:color="auto"/>
                  </w:divBdr>
                  <w:divsChild>
                    <w:div w:id="1632594487">
                      <w:marLeft w:val="0"/>
                      <w:marRight w:val="0"/>
                      <w:marTop w:val="0"/>
                      <w:marBottom w:val="0"/>
                      <w:divBdr>
                        <w:top w:val="none" w:sz="0" w:space="0" w:color="auto"/>
                        <w:left w:val="none" w:sz="0" w:space="0" w:color="auto"/>
                        <w:bottom w:val="none" w:sz="0" w:space="0" w:color="auto"/>
                        <w:right w:val="none" w:sz="0" w:space="0" w:color="auto"/>
                      </w:divBdr>
                    </w:div>
                  </w:divsChild>
                </w:div>
                <w:div w:id="1495532803">
                  <w:marLeft w:val="0"/>
                  <w:marRight w:val="0"/>
                  <w:marTop w:val="0"/>
                  <w:marBottom w:val="0"/>
                  <w:divBdr>
                    <w:top w:val="none" w:sz="0" w:space="0" w:color="auto"/>
                    <w:left w:val="none" w:sz="0" w:space="0" w:color="auto"/>
                    <w:bottom w:val="none" w:sz="0" w:space="0" w:color="auto"/>
                    <w:right w:val="none" w:sz="0" w:space="0" w:color="auto"/>
                  </w:divBdr>
                  <w:divsChild>
                    <w:div w:id="27723789">
                      <w:marLeft w:val="0"/>
                      <w:marRight w:val="0"/>
                      <w:marTop w:val="0"/>
                      <w:marBottom w:val="0"/>
                      <w:divBdr>
                        <w:top w:val="none" w:sz="0" w:space="0" w:color="auto"/>
                        <w:left w:val="none" w:sz="0" w:space="0" w:color="auto"/>
                        <w:bottom w:val="none" w:sz="0" w:space="0" w:color="auto"/>
                        <w:right w:val="none" w:sz="0" w:space="0" w:color="auto"/>
                      </w:divBdr>
                    </w:div>
                  </w:divsChild>
                </w:div>
                <w:div w:id="1504202167">
                  <w:marLeft w:val="0"/>
                  <w:marRight w:val="0"/>
                  <w:marTop w:val="0"/>
                  <w:marBottom w:val="0"/>
                  <w:divBdr>
                    <w:top w:val="none" w:sz="0" w:space="0" w:color="auto"/>
                    <w:left w:val="none" w:sz="0" w:space="0" w:color="auto"/>
                    <w:bottom w:val="none" w:sz="0" w:space="0" w:color="auto"/>
                    <w:right w:val="none" w:sz="0" w:space="0" w:color="auto"/>
                  </w:divBdr>
                  <w:divsChild>
                    <w:div w:id="1923371676">
                      <w:marLeft w:val="0"/>
                      <w:marRight w:val="0"/>
                      <w:marTop w:val="0"/>
                      <w:marBottom w:val="0"/>
                      <w:divBdr>
                        <w:top w:val="none" w:sz="0" w:space="0" w:color="auto"/>
                        <w:left w:val="none" w:sz="0" w:space="0" w:color="auto"/>
                        <w:bottom w:val="none" w:sz="0" w:space="0" w:color="auto"/>
                        <w:right w:val="none" w:sz="0" w:space="0" w:color="auto"/>
                      </w:divBdr>
                    </w:div>
                  </w:divsChild>
                </w:div>
                <w:div w:id="1506480259">
                  <w:marLeft w:val="0"/>
                  <w:marRight w:val="0"/>
                  <w:marTop w:val="0"/>
                  <w:marBottom w:val="0"/>
                  <w:divBdr>
                    <w:top w:val="none" w:sz="0" w:space="0" w:color="auto"/>
                    <w:left w:val="none" w:sz="0" w:space="0" w:color="auto"/>
                    <w:bottom w:val="none" w:sz="0" w:space="0" w:color="auto"/>
                    <w:right w:val="none" w:sz="0" w:space="0" w:color="auto"/>
                  </w:divBdr>
                  <w:divsChild>
                    <w:div w:id="1328628272">
                      <w:marLeft w:val="0"/>
                      <w:marRight w:val="0"/>
                      <w:marTop w:val="0"/>
                      <w:marBottom w:val="0"/>
                      <w:divBdr>
                        <w:top w:val="none" w:sz="0" w:space="0" w:color="auto"/>
                        <w:left w:val="none" w:sz="0" w:space="0" w:color="auto"/>
                        <w:bottom w:val="none" w:sz="0" w:space="0" w:color="auto"/>
                        <w:right w:val="none" w:sz="0" w:space="0" w:color="auto"/>
                      </w:divBdr>
                    </w:div>
                  </w:divsChild>
                </w:div>
                <w:div w:id="1517039691">
                  <w:marLeft w:val="0"/>
                  <w:marRight w:val="0"/>
                  <w:marTop w:val="0"/>
                  <w:marBottom w:val="0"/>
                  <w:divBdr>
                    <w:top w:val="none" w:sz="0" w:space="0" w:color="auto"/>
                    <w:left w:val="none" w:sz="0" w:space="0" w:color="auto"/>
                    <w:bottom w:val="none" w:sz="0" w:space="0" w:color="auto"/>
                    <w:right w:val="none" w:sz="0" w:space="0" w:color="auto"/>
                  </w:divBdr>
                  <w:divsChild>
                    <w:div w:id="1308052267">
                      <w:marLeft w:val="0"/>
                      <w:marRight w:val="0"/>
                      <w:marTop w:val="0"/>
                      <w:marBottom w:val="0"/>
                      <w:divBdr>
                        <w:top w:val="none" w:sz="0" w:space="0" w:color="auto"/>
                        <w:left w:val="none" w:sz="0" w:space="0" w:color="auto"/>
                        <w:bottom w:val="none" w:sz="0" w:space="0" w:color="auto"/>
                        <w:right w:val="none" w:sz="0" w:space="0" w:color="auto"/>
                      </w:divBdr>
                    </w:div>
                  </w:divsChild>
                </w:div>
                <w:div w:id="1523278224">
                  <w:marLeft w:val="0"/>
                  <w:marRight w:val="0"/>
                  <w:marTop w:val="0"/>
                  <w:marBottom w:val="0"/>
                  <w:divBdr>
                    <w:top w:val="none" w:sz="0" w:space="0" w:color="auto"/>
                    <w:left w:val="none" w:sz="0" w:space="0" w:color="auto"/>
                    <w:bottom w:val="none" w:sz="0" w:space="0" w:color="auto"/>
                    <w:right w:val="none" w:sz="0" w:space="0" w:color="auto"/>
                  </w:divBdr>
                  <w:divsChild>
                    <w:div w:id="974063135">
                      <w:marLeft w:val="0"/>
                      <w:marRight w:val="0"/>
                      <w:marTop w:val="0"/>
                      <w:marBottom w:val="0"/>
                      <w:divBdr>
                        <w:top w:val="none" w:sz="0" w:space="0" w:color="auto"/>
                        <w:left w:val="none" w:sz="0" w:space="0" w:color="auto"/>
                        <w:bottom w:val="none" w:sz="0" w:space="0" w:color="auto"/>
                        <w:right w:val="none" w:sz="0" w:space="0" w:color="auto"/>
                      </w:divBdr>
                    </w:div>
                  </w:divsChild>
                </w:div>
                <w:div w:id="1536112193">
                  <w:marLeft w:val="0"/>
                  <w:marRight w:val="0"/>
                  <w:marTop w:val="0"/>
                  <w:marBottom w:val="0"/>
                  <w:divBdr>
                    <w:top w:val="none" w:sz="0" w:space="0" w:color="auto"/>
                    <w:left w:val="none" w:sz="0" w:space="0" w:color="auto"/>
                    <w:bottom w:val="none" w:sz="0" w:space="0" w:color="auto"/>
                    <w:right w:val="none" w:sz="0" w:space="0" w:color="auto"/>
                  </w:divBdr>
                  <w:divsChild>
                    <w:div w:id="715350319">
                      <w:marLeft w:val="0"/>
                      <w:marRight w:val="0"/>
                      <w:marTop w:val="0"/>
                      <w:marBottom w:val="0"/>
                      <w:divBdr>
                        <w:top w:val="none" w:sz="0" w:space="0" w:color="auto"/>
                        <w:left w:val="none" w:sz="0" w:space="0" w:color="auto"/>
                        <w:bottom w:val="none" w:sz="0" w:space="0" w:color="auto"/>
                        <w:right w:val="none" w:sz="0" w:space="0" w:color="auto"/>
                      </w:divBdr>
                    </w:div>
                  </w:divsChild>
                </w:div>
                <w:div w:id="1538201911">
                  <w:marLeft w:val="0"/>
                  <w:marRight w:val="0"/>
                  <w:marTop w:val="0"/>
                  <w:marBottom w:val="0"/>
                  <w:divBdr>
                    <w:top w:val="none" w:sz="0" w:space="0" w:color="auto"/>
                    <w:left w:val="none" w:sz="0" w:space="0" w:color="auto"/>
                    <w:bottom w:val="none" w:sz="0" w:space="0" w:color="auto"/>
                    <w:right w:val="none" w:sz="0" w:space="0" w:color="auto"/>
                  </w:divBdr>
                  <w:divsChild>
                    <w:div w:id="744959645">
                      <w:marLeft w:val="0"/>
                      <w:marRight w:val="0"/>
                      <w:marTop w:val="0"/>
                      <w:marBottom w:val="0"/>
                      <w:divBdr>
                        <w:top w:val="none" w:sz="0" w:space="0" w:color="auto"/>
                        <w:left w:val="none" w:sz="0" w:space="0" w:color="auto"/>
                        <w:bottom w:val="none" w:sz="0" w:space="0" w:color="auto"/>
                        <w:right w:val="none" w:sz="0" w:space="0" w:color="auto"/>
                      </w:divBdr>
                    </w:div>
                  </w:divsChild>
                </w:div>
                <w:div w:id="1557276315">
                  <w:marLeft w:val="0"/>
                  <w:marRight w:val="0"/>
                  <w:marTop w:val="0"/>
                  <w:marBottom w:val="0"/>
                  <w:divBdr>
                    <w:top w:val="none" w:sz="0" w:space="0" w:color="auto"/>
                    <w:left w:val="none" w:sz="0" w:space="0" w:color="auto"/>
                    <w:bottom w:val="none" w:sz="0" w:space="0" w:color="auto"/>
                    <w:right w:val="none" w:sz="0" w:space="0" w:color="auto"/>
                  </w:divBdr>
                  <w:divsChild>
                    <w:div w:id="692223114">
                      <w:marLeft w:val="0"/>
                      <w:marRight w:val="0"/>
                      <w:marTop w:val="0"/>
                      <w:marBottom w:val="0"/>
                      <w:divBdr>
                        <w:top w:val="none" w:sz="0" w:space="0" w:color="auto"/>
                        <w:left w:val="none" w:sz="0" w:space="0" w:color="auto"/>
                        <w:bottom w:val="none" w:sz="0" w:space="0" w:color="auto"/>
                        <w:right w:val="none" w:sz="0" w:space="0" w:color="auto"/>
                      </w:divBdr>
                    </w:div>
                  </w:divsChild>
                </w:div>
                <w:div w:id="1567371774">
                  <w:marLeft w:val="0"/>
                  <w:marRight w:val="0"/>
                  <w:marTop w:val="0"/>
                  <w:marBottom w:val="0"/>
                  <w:divBdr>
                    <w:top w:val="none" w:sz="0" w:space="0" w:color="auto"/>
                    <w:left w:val="none" w:sz="0" w:space="0" w:color="auto"/>
                    <w:bottom w:val="none" w:sz="0" w:space="0" w:color="auto"/>
                    <w:right w:val="none" w:sz="0" w:space="0" w:color="auto"/>
                  </w:divBdr>
                  <w:divsChild>
                    <w:div w:id="1830095662">
                      <w:marLeft w:val="0"/>
                      <w:marRight w:val="0"/>
                      <w:marTop w:val="0"/>
                      <w:marBottom w:val="0"/>
                      <w:divBdr>
                        <w:top w:val="none" w:sz="0" w:space="0" w:color="auto"/>
                        <w:left w:val="none" w:sz="0" w:space="0" w:color="auto"/>
                        <w:bottom w:val="none" w:sz="0" w:space="0" w:color="auto"/>
                        <w:right w:val="none" w:sz="0" w:space="0" w:color="auto"/>
                      </w:divBdr>
                    </w:div>
                  </w:divsChild>
                </w:div>
                <w:div w:id="1569223947">
                  <w:marLeft w:val="0"/>
                  <w:marRight w:val="0"/>
                  <w:marTop w:val="0"/>
                  <w:marBottom w:val="0"/>
                  <w:divBdr>
                    <w:top w:val="none" w:sz="0" w:space="0" w:color="auto"/>
                    <w:left w:val="none" w:sz="0" w:space="0" w:color="auto"/>
                    <w:bottom w:val="none" w:sz="0" w:space="0" w:color="auto"/>
                    <w:right w:val="none" w:sz="0" w:space="0" w:color="auto"/>
                  </w:divBdr>
                  <w:divsChild>
                    <w:div w:id="780104381">
                      <w:marLeft w:val="0"/>
                      <w:marRight w:val="0"/>
                      <w:marTop w:val="0"/>
                      <w:marBottom w:val="0"/>
                      <w:divBdr>
                        <w:top w:val="none" w:sz="0" w:space="0" w:color="auto"/>
                        <w:left w:val="none" w:sz="0" w:space="0" w:color="auto"/>
                        <w:bottom w:val="none" w:sz="0" w:space="0" w:color="auto"/>
                        <w:right w:val="none" w:sz="0" w:space="0" w:color="auto"/>
                      </w:divBdr>
                    </w:div>
                  </w:divsChild>
                </w:div>
                <w:div w:id="1580410419">
                  <w:marLeft w:val="0"/>
                  <w:marRight w:val="0"/>
                  <w:marTop w:val="0"/>
                  <w:marBottom w:val="0"/>
                  <w:divBdr>
                    <w:top w:val="none" w:sz="0" w:space="0" w:color="auto"/>
                    <w:left w:val="none" w:sz="0" w:space="0" w:color="auto"/>
                    <w:bottom w:val="none" w:sz="0" w:space="0" w:color="auto"/>
                    <w:right w:val="none" w:sz="0" w:space="0" w:color="auto"/>
                  </w:divBdr>
                  <w:divsChild>
                    <w:div w:id="1762137238">
                      <w:marLeft w:val="0"/>
                      <w:marRight w:val="0"/>
                      <w:marTop w:val="0"/>
                      <w:marBottom w:val="0"/>
                      <w:divBdr>
                        <w:top w:val="none" w:sz="0" w:space="0" w:color="auto"/>
                        <w:left w:val="none" w:sz="0" w:space="0" w:color="auto"/>
                        <w:bottom w:val="none" w:sz="0" w:space="0" w:color="auto"/>
                        <w:right w:val="none" w:sz="0" w:space="0" w:color="auto"/>
                      </w:divBdr>
                    </w:div>
                  </w:divsChild>
                </w:div>
                <w:div w:id="1583678412">
                  <w:marLeft w:val="0"/>
                  <w:marRight w:val="0"/>
                  <w:marTop w:val="0"/>
                  <w:marBottom w:val="0"/>
                  <w:divBdr>
                    <w:top w:val="none" w:sz="0" w:space="0" w:color="auto"/>
                    <w:left w:val="none" w:sz="0" w:space="0" w:color="auto"/>
                    <w:bottom w:val="none" w:sz="0" w:space="0" w:color="auto"/>
                    <w:right w:val="none" w:sz="0" w:space="0" w:color="auto"/>
                  </w:divBdr>
                  <w:divsChild>
                    <w:div w:id="210315139">
                      <w:marLeft w:val="0"/>
                      <w:marRight w:val="0"/>
                      <w:marTop w:val="0"/>
                      <w:marBottom w:val="0"/>
                      <w:divBdr>
                        <w:top w:val="none" w:sz="0" w:space="0" w:color="auto"/>
                        <w:left w:val="none" w:sz="0" w:space="0" w:color="auto"/>
                        <w:bottom w:val="none" w:sz="0" w:space="0" w:color="auto"/>
                        <w:right w:val="none" w:sz="0" w:space="0" w:color="auto"/>
                      </w:divBdr>
                    </w:div>
                  </w:divsChild>
                </w:div>
                <w:div w:id="1586063729">
                  <w:marLeft w:val="0"/>
                  <w:marRight w:val="0"/>
                  <w:marTop w:val="0"/>
                  <w:marBottom w:val="0"/>
                  <w:divBdr>
                    <w:top w:val="none" w:sz="0" w:space="0" w:color="auto"/>
                    <w:left w:val="none" w:sz="0" w:space="0" w:color="auto"/>
                    <w:bottom w:val="none" w:sz="0" w:space="0" w:color="auto"/>
                    <w:right w:val="none" w:sz="0" w:space="0" w:color="auto"/>
                  </w:divBdr>
                  <w:divsChild>
                    <w:div w:id="2013213245">
                      <w:marLeft w:val="0"/>
                      <w:marRight w:val="0"/>
                      <w:marTop w:val="0"/>
                      <w:marBottom w:val="0"/>
                      <w:divBdr>
                        <w:top w:val="none" w:sz="0" w:space="0" w:color="auto"/>
                        <w:left w:val="none" w:sz="0" w:space="0" w:color="auto"/>
                        <w:bottom w:val="none" w:sz="0" w:space="0" w:color="auto"/>
                        <w:right w:val="none" w:sz="0" w:space="0" w:color="auto"/>
                      </w:divBdr>
                    </w:div>
                  </w:divsChild>
                </w:div>
                <w:div w:id="1589733043">
                  <w:marLeft w:val="0"/>
                  <w:marRight w:val="0"/>
                  <w:marTop w:val="0"/>
                  <w:marBottom w:val="0"/>
                  <w:divBdr>
                    <w:top w:val="none" w:sz="0" w:space="0" w:color="auto"/>
                    <w:left w:val="none" w:sz="0" w:space="0" w:color="auto"/>
                    <w:bottom w:val="none" w:sz="0" w:space="0" w:color="auto"/>
                    <w:right w:val="none" w:sz="0" w:space="0" w:color="auto"/>
                  </w:divBdr>
                  <w:divsChild>
                    <w:div w:id="517936525">
                      <w:marLeft w:val="0"/>
                      <w:marRight w:val="0"/>
                      <w:marTop w:val="0"/>
                      <w:marBottom w:val="0"/>
                      <w:divBdr>
                        <w:top w:val="none" w:sz="0" w:space="0" w:color="auto"/>
                        <w:left w:val="none" w:sz="0" w:space="0" w:color="auto"/>
                        <w:bottom w:val="none" w:sz="0" w:space="0" w:color="auto"/>
                        <w:right w:val="none" w:sz="0" w:space="0" w:color="auto"/>
                      </w:divBdr>
                    </w:div>
                  </w:divsChild>
                </w:div>
                <w:div w:id="1591233571">
                  <w:marLeft w:val="0"/>
                  <w:marRight w:val="0"/>
                  <w:marTop w:val="0"/>
                  <w:marBottom w:val="0"/>
                  <w:divBdr>
                    <w:top w:val="none" w:sz="0" w:space="0" w:color="auto"/>
                    <w:left w:val="none" w:sz="0" w:space="0" w:color="auto"/>
                    <w:bottom w:val="none" w:sz="0" w:space="0" w:color="auto"/>
                    <w:right w:val="none" w:sz="0" w:space="0" w:color="auto"/>
                  </w:divBdr>
                  <w:divsChild>
                    <w:div w:id="764350768">
                      <w:marLeft w:val="0"/>
                      <w:marRight w:val="0"/>
                      <w:marTop w:val="0"/>
                      <w:marBottom w:val="0"/>
                      <w:divBdr>
                        <w:top w:val="none" w:sz="0" w:space="0" w:color="auto"/>
                        <w:left w:val="none" w:sz="0" w:space="0" w:color="auto"/>
                        <w:bottom w:val="none" w:sz="0" w:space="0" w:color="auto"/>
                        <w:right w:val="none" w:sz="0" w:space="0" w:color="auto"/>
                      </w:divBdr>
                    </w:div>
                  </w:divsChild>
                </w:div>
                <w:div w:id="1601327131">
                  <w:marLeft w:val="0"/>
                  <w:marRight w:val="0"/>
                  <w:marTop w:val="0"/>
                  <w:marBottom w:val="0"/>
                  <w:divBdr>
                    <w:top w:val="none" w:sz="0" w:space="0" w:color="auto"/>
                    <w:left w:val="none" w:sz="0" w:space="0" w:color="auto"/>
                    <w:bottom w:val="none" w:sz="0" w:space="0" w:color="auto"/>
                    <w:right w:val="none" w:sz="0" w:space="0" w:color="auto"/>
                  </w:divBdr>
                  <w:divsChild>
                    <w:div w:id="252398449">
                      <w:marLeft w:val="0"/>
                      <w:marRight w:val="0"/>
                      <w:marTop w:val="0"/>
                      <w:marBottom w:val="0"/>
                      <w:divBdr>
                        <w:top w:val="none" w:sz="0" w:space="0" w:color="auto"/>
                        <w:left w:val="none" w:sz="0" w:space="0" w:color="auto"/>
                        <w:bottom w:val="none" w:sz="0" w:space="0" w:color="auto"/>
                        <w:right w:val="none" w:sz="0" w:space="0" w:color="auto"/>
                      </w:divBdr>
                    </w:div>
                  </w:divsChild>
                </w:div>
                <w:div w:id="1612006530">
                  <w:marLeft w:val="0"/>
                  <w:marRight w:val="0"/>
                  <w:marTop w:val="0"/>
                  <w:marBottom w:val="0"/>
                  <w:divBdr>
                    <w:top w:val="none" w:sz="0" w:space="0" w:color="auto"/>
                    <w:left w:val="none" w:sz="0" w:space="0" w:color="auto"/>
                    <w:bottom w:val="none" w:sz="0" w:space="0" w:color="auto"/>
                    <w:right w:val="none" w:sz="0" w:space="0" w:color="auto"/>
                  </w:divBdr>
                  <w:divsChild>
                    <w:div w:id="89201291">
                      <w:marLeft w:val="0"/>
                      <w:marRight w:val="0"/>
                      <w:marTop w:val="0"/>
                      <w:marBottom w:val="0"/>
                      <w:divBdr>
                        <w:top w:val="none" w:sz="0" w:space="0" w:color="auto"/>
                        <w:left w:val="none" w:sz="0" w:space="0" w:color="auto"/>
                        <w:bottom w:val="none" w:sz="0" w:space="0" w:color="auto"/>
                        <w:right w:val="none" w:sz="0" w:space="0" w:color="auto"/>
                      </w:divBdr>
                    </w:div>
                  </w:divsChild>
                </w:div>
                <w:div w:id="1613318490">
                  <w:marLeft w:val="0"/>
                  <w:marRight w:val="0"/>
                  <w:marTop w:val="0"/>
                  <w:marBottom w:val="0"/>
                  <w:divBdr>
                    <w:top w:val="none" w:sz="0" w:space="0" w:color="auto"/>
                    <w:left w:val="none" w:sz="0" w:space="0" w:color="auto"/>
                    <w:bottom w:val="none" w:sz="0" w:space="0" w:color="auto"/>
                    <w:right w:val="none" w:sz="0" w:space="0" w:color="auto"/>
                  </w:divBdr>
                  <w:divsChild>
                    <w:div w:id="1591042578">
                      <w:marLeft w:val="0"/>
                      <w:marRight w:val="0"/>
                      <w:marTop w:val="0"/>
                      <w:marBottom w:val="0"/>
                      <w:divBdr>
                        <w:top w:val="none" w:sz="0" w:space="0" w:color="auto"/>
                        <w:left w:val="none" w:sz="0" w:space="0" w:color="auto"/>
                        <w:bottom w:val="none" w:sz="0" w:space="0" w:color="auto"/>
                        <w:right w:val="none" w:sz="0" w:space="0" w:color="auto"/>
                      </w:divBdr>
                    </w:div>
                  </w:divsChild>
                </w:div>
                <w:div w:id="1615941707">
                  <w:marLeft w:val="0"/>
                  <w:marRight w:val="0"/>
                  <w:marTop w:val="0"/>
                  <w:marBottom w:val="0"/>
                  <w:divBdr>
                    <w:top w:val="none" w:sz="0" w:space="0" w:color="auto"/>
                    <w:left w:val="none" w:sz="0" w:space="0" w:color="auto"/>
                    <w:bottom w:val="none" w:sz="0" w:space="0" w:color="auto"/>
                    <w:right w:val="none" w:sz="0" w:space="0" w:color="auto"/>
                  </w:divBdr>
                  <w:divsChild>
                    <w:div w:id="2066294189">
                      <w:marLeft w:val="0"/>
                      <w:marRight w:val="0"/>
                      <w:marTop w:val="0"/>
                      <w:marBottom w:val="0"/>
                      <w:divBdr>
                        <w:top w:val="none" w:sz="0" w:space="0" w:color="auto"/>
                        <w:left w:val="none" w:sz="0" w:space="0" w:color="auto"/>
                        <w:bottom w:val="none" w:sz="0" w:space="0" w:color="auto"/>
                        <w:right w:val="none" w:sz="0" w:space="0" w:color="auto"/>
                      </w:divBdr>
                    </w:div>
                  </w:divsChild>
                </w:div>
                <w:div w:id="1625888931">
                  <w:marLeft w:val="0"/>
                  <w:marRight w:val="0"/>
                  <w:marTop w:val="0"/>
                  <w:marBottom w:val="0"/>
                  <w:divBdr>
                    <w:top w:val="none" w:sz="0" w:space="0" w:color="auto"/>
                    <w:left w:val="none" w:sz="0" w:space="0" w:color="auto"/>
                    <w:bottom w:val="none" w:sz="0" w:space="0" w:color="auto"/>
                    <w:right w:val="none" w:sz="0" w:space="0" w:color="auto"/>
                  </w:divBdr>
                  <w:divsChild>
                    <w:div w:id="1936088523">
                      <w:marLeft w:val="0"/>
                      <w:marRight w:val="0"/>
                      <w:marTop w:val="0"/>
                      <w:marBottom w:val="0"/>
                      <w:divBdr>
                        <w:top w:val="none" w:sz="0" w:space="0" w:color="auto"/>
                        <w:left w:val="none" w:sz="0" w:space="0" w:color="auto"/>
                        <w:bottom w:val="none" w:sz="0" w:space="0" w:color="auto"/>
                        <w:right w:val="none" w:sz="0" w:space="0" w:color="auto"/>
                      </w:divBdr>
                    </w:div>
                  </w:divsChild>
                </w:div>
                <w:div w:id="1625893058">
                  <w:marLeft w:val="0"/>
                  <w:marRight w:val="0"/>
                  <w:marTop w:val="0"/>
                  <w:marBottom w:val="0"/>
                  <w:divBdr>
                    <w:top w:val="none" w:sz="0" w:space="0" w:color="auto"/>
                    <w:left w:val="none" w:sz="0" w:space="0" w:color="auto"/>
                    <w:bottom w:val="none" w:sz="0" w:space="0" w:color="auto"/>
                    <w:right w:val="none" w:sz="0" w:space="0" w:color="auto"/>
                  </w:divBdr>
                  <w:divsChild>
                    <w:div w:id="1974209789">
                      <w:marLeft w:val="0"/>
                      <w:marRight w:val="0"/>
                      <w:marTop w:val="0"/>
                      <w:marBottom w:val="0"/>
                      <w:divBdr>
                        <w:top w:val="none" w:sz="0" w:space="0" w:color="auto"/>
                        <w:left w:val="none" w:sz="0" w:space="0" w:color="auto"/>
                        <w:bottom w:val="none" w:sz="0" w:space="0" w:color="auto"/>
                        <w:right w:val="none" w:sz="0" w:space="0" w:color="auto"/>
                      </w:divBdr>
                    </w:div>
                  </w:divsChild>
                </w:div>
                <w:div w:id="1626500746">
                  <w:marLeft w:val="0"/>
                  <w:marRight w:val="0"/>
                  <w:marTop w:val="0"/>
                  <w:marBottom w:val="0"/>
                  <w:divBdr>
                    <w:top w:val="none" w:sz="0" w:space="0" w:color="auto"/>
                    <w:left w:val="none" w:sz="0" w:space="0" w:color="auto"/>
                    <w:bottom w:val="none" w:sz="0" w:space="0" w:color="auto"/>
                    <w:right w:val="none" w:sz="0" w:space="0" w:color="auto"/>
                  </w:divBdr>
                  <w:divsChild>
                    <w:div w:id="98916751">
                      <w:marLeft w:val="0"/>
                      <w:marRight w:val="0"/>
                      <w:marTop w:val="0"/>
                      <w:marBottom w:val="0"/>
                      <w:divBdr>
                        <w:top w:val="none" w:sz="0" w:space="0" w:color="auto"/>
                        <w:left w:val="none" w:sz="0" w:space="0" w:color="auto"/>
                        <w:bottom w:val="none" w:sz="0" w:space="0" w:color="auto"/>
                        <w:right w:val="none" w:sz="0" w:space="0" w:color="auto"/>
                      </w:divBdr>
                    </w:div>
                  </w:divsChild>
                </w:div>
                <w:div w:id="1635521593">
                  <w:marLeft w:val="0"/>
                  <w:marRight w:val="0"/>
                  <w:marTop w:val="0"/>
                  <w:marBottom w:val="0"/>
                  <w:divBdr>
                    <w:top w:val="none" w:sz="0" w:space="0" w:color="auto"/>
                    <w:left w:val="none" w:sz="0" w:space="0" w:color="auto"/>
                    <w:bottom w:val="none" w:sz="0" w:space="0" w:color="auto"/>
                    <w:right w:val="none" w:sz="0" w:space="0" w:color="auto"/>
                  </w:divBdr>
                  <w:divsChild>
                    <w:div w:id="287975449">
                      <w:marLeft w:val="0"/>
                      <w:marRight w:val="0"/>
                      <w:marTop w:val="0"/>
                      <w:marBottom w:val="0"/>
                      <w:divBdr>
                        <w:top w:val="none" w:sz="0" w:space="0" w:color="auto"/>
                        <w:left w:val="none" w:sz="0" w:space="0" w:color="auto"/>
                        <w:bottom w:val="none" w:sz="0" w:space="0" w:color="auto"/>
                        <w:right w:val="none" w:sz="0" w:space="0" w:color="auto"/>
                      </w:divBdr>
                    </w:div>
                  </w:divsChild>
                </w:div>
                <w:div w:id="1638336822">
                  <w:marLeft w:val="0"/>
                  <w:marRight w:val="0"/>
                  <w:marTop w:val="0"/>
                  <w:marBottom w:val="0"/>
                  <w:divBdr>
                    <w:top w:val="none" w:sz="0" w:space="0" w:color="auto"/>
                    <w:left w:val="none" w:sz="0" w:space="0" w:color="auto"/>
                    <w:bottom w:val="none" w:sz="0" w:space="0" w:color="auto"/>
                    <w:right w:val="none" w:sz="0" w:space="0" w:color="auto"/>
                  </w:divBdr>
                  <w:divsChild>
                    <w:div w:id="1184511709">
                      <w:marLeft w:val="0"/>
                      <w:marRight w:val="0"/>
                      <w:marTop w:val="0"/>
                      <w:marBottom w:val="0"/>
                      <w:divBdr>
                        <w:top w:val="none" w:sz="0" w:space="0" w:color="auto"/>
                        <w:left w:val="none" w:sz="0" w:space="0" w:color="auto"/>
                        <w:bottom w:val="none" w:sz="0" w:space="0" w:color="auto"/>
                        <w:right w:val="none" w:sz="0" w:space="0" w:color="auto"/>
                      </w:divBdr>
                    </w:div>
                  </w:divsChild>
                </w:div>
                <w:div w:id="1639722852">
                  <w:marLeft w:val="0"/>
                  <w:marRight w:val="0"/>
                  <w:marTop w:val="0"/>
                  <w:marBottom w:val="0"/>
                  <w:divBdr>
                    <w:top w:val="none" w:sz="0" w:space="0" w:color="auto"/>
                    <w:left w:val="none" w:sz="0" w:space="0" w:color="auto"/>
                    <w:bottom w:val="none" w:sz="0" w:space="0" w:color="auto"/>
                    <w:right w:val="none" w:sz="0" w:space="0" w:color="auto"/>
                  </w:divBdr>
                  <w:divsChild>
                    <w:div w:id="1574967267">
                      <w:marLeft w:val="0"/>
                      <w:marRight w:val="0"/>
                      <w:marTop w:val="0"/>
                      <w:marBottom w:val="0"/>
                      <w:divBdr>
                        <w:top w:val="none" w:sz="0" w:space="0" w:color="auto"/>
                        <w:left w:val="none" w:sz="0" w:space="0" w:color="auto"/>
                        <w:bottom w:val="none" w:sz="0" w:space="0" w:color="auto"/>
                        <w:right w:val="none" w:sz="0" w:space="0" w:color="auto"/>
                      </w:divBdr>
                    </w:div>
                  </w:divsChild>
                </w:div>
                <w:div w:id="1642467633">
                  <w:marLeft w:val="0"/>
                  <w:marRight w:val="0"/>
                  <w:marTop w:val="0"/>
                  <w:marBottom w:val="0"/>
                  <w:divBdr>
                    <w:top w:val="none" w:sz="0" w:space="0" w:color="auto"/>
                    <w:left w:val="none" w:sz="0" w:space="0" w:color="auto"/>
                    <w:bottom w:val="none" w:sz="0" w:space="0" w:color="auto"/>
                    <w:right w:val="none" w:sz="0" w:space="0" w:color="auto"/>
                  </w:divBdr>
                  <w:divsChild>
                    <w:div w:id="1208880925">
                      <w:marLeft w:val="0"/>
                      <w:marRight w:val="0"/>
                      <w:marTop w:val="0"/>
                      <w:marBottom w:val="0"/>
                      <w:divBdr>
                        <w:top w:val="none" w:sz="0" w:space="0" w:color="auto"/>
                        <w:left w:val="none" w:sz="0" w:space="0" w:color="auto"/>
                        <w:bottom w:val="none" w:sz="0" w:space="0" w:color="auto"/>
                        <w:right w:val="none" w:sz="0" w:space="0" w:color="auto"/>
                      </w:divBdr>
                    </w:div>
                  </w:divsChild>
                </w:div>
                <w:div w:id="1651404429">
                  <w:marLeft w:val="0"/>
                  <w:marRight w:val="0"/>
                  <w:marTop w:val="0"/>
                  <w:marBottom w:val="0"/>
                  <w:divBdr>
                    <w:top w:val="none" w:sz="0" w:space="0" w:color="auto"/>
                    <w:left w:val="none" w:sz="0" w:space="0" w:color="auto"/>
                    <w:bottom w:val="none" w:sz="0" w:space="0" w:color="auto"/>
                    <w:right w:val="none" w:sz="0" w:space="0" w:color="auto"/>
                  </w:divBdr>
                  <w:divsChild>
                    <w:div w:id="882986799">
                      <w:marLeft w:val="0"/>
                      <w:marRight w:val="0"/>
                      <w:marTop w:val="0"/>
                      <w:marBottom w:val="0"/>
                      <w:divBdr>
                        <w:top w:val="none" w:sz="0" w:space="0" w:color="auto"/>
                        <w:left w:val="none" w:sz="0" w:space="0" w:color="auto"/>
                        <w:bottom w:val="none" w:sz="0" w:space="0" w:color="auto"/>
                        <w:right w:val="none" w:sz="0" w:space="0" w:color="auto"/>
                      </w:divBdr>
                    </w:div>
                  </w:divsChild>
                </w:div>
                <w:div w:id="1653026501">
                  <w:marLeft w:val="0"/>
                  <w:marRight w:val="0"/>
                  <w:marTop w:val="0"/>
                  <w:marBottom w:val="0"/>
                  <w:divBdr>
                    <w:top w:val="none" w:sz="0" w:space="0" w:color="auto"/>
                    <w:left w:val="none" w:sz="0" w:space="0" w:color="auto"/>
                    <w:bottom w:val="none" w:sz="0" w:space="0" w:color="auto"/>
                    <w:right w:val="none" w:sz="0" w:space="0" w:color="auto"/>
                  </w:divBdr>
                  <w:divsChild>
                    <w:div w:id="1540970338">
                      <w:marLeft w:val="0"/>
                      <w:marRight w:val="0"/>
                      <w:marTop w:val="0"/>
                      <w:marBottom w:val="0"/>
                      <w:divBdr>
                        <w:top w:val="none" w:sz="0" w:space="0" w:color="auto"/>
                        <w:left w:val="none" w:sz="0" w:space="0" w:color="auto"/>
                        <w:bottom w:val="none" w:sz="0" w:space="0" w:color="auto"/>
                        <w:right w:val="none" w:sz="0" w:space="0" w:color="auto"/>
                      </w:divBdr>
                    </w:div>
                  </w:divsChild>
                </w:div>
                <w:div w:id="1672374553">
                  <w:marLeft w:val="0"/>
                  <w:marRight w:val="0"/>
                  <w:marTop w:val="0"/>
                  <w:marBottom w:val="0"/>
                  <w:divBdr>
                    <w:top w:val="none" w:sz="0" w:space="0" w:color="auto"/>
                    <w:left w:val="none" w:sz="0" w:space="0" w:color="auto"/>
                    <w:bottom w:val="none" w:sz="0" w:space="0" w:color="auto"/>
                    <w:right w:val="none" w:sz="0" w:space="0" w:color="auto"/>
                  </w:divBdr>
                  <w:divsChild>
                    <w:div w:id="843858774">
                      <w:marLeft w:val="0"/>
                      <w:marRight w:val="0"/>
                      <w:marTop w:val="0"/>
                      <w:marBottom w:val="0"/>
                      <w:divBdr>
                        <w:top w:val="none" w:sz="0" w:space="0" w:color="auto"/>
                        <w:left w:val="none" w:sz="0" w:space="0" w:color="auto"/>
                        <w:bottom w:val="none" w:sz="0" w:space="0" w:color="auto"/>
                        <w:right w:val="none" w:sz="0" w:space="0" w:color="auto"/>
                      </w:divBdr>
                    </w:div>
                  </w:divsChild>
                </w:div>
                <w:div w:id="1677688676">
                  <w:marLeft w:val="0"/>
                  <w:marRight w:val="0"/>
                  <w:marTop w:val="0"/>
                  <w:marBottom w:val="0"/>
                  <w:divBdr>
                    <w:top w:val="none" w:sz="0" w:space="0" w:color="auto"/>
                    <w:left w:val="none" w:sz="0" w:space="0" w:color="auto"/>
                    <w:bottom w:val="none" w:sz="0" w:space="0" w:color="auto"/>
                    <w:right w:val="none" w:sz="0" w:space="0" w:color="auto"/>
                  </w:divBdr>
                  <w:divsChild>
                    <w:div w:id="1655914566">
                      <w:marLeft w:val="0"/>
                      <w:marRight w:val="0"/>
                      <w:marTop w:val="0"/>
                      <w:marBottom w:val="0"/>
                      <w:divBdr>
                        <w:top w:val="none" w:sz="0" w:space="0" w:color="auto"/>
                        <w:left w:val="none" w:sz="0" w:space="0" w:color="auto"/>
                        <w:bottom w:val="none" w:sz="0" w:space="0" w:color="auto"/>
                        <w:right w:val="none" w:sz="0" w:space="0" w:color="auto"/>
                      </w:divBdr>
                    </w:div>
                  </w:divsChild>
                </w:div>
                <w:div w:id="1686058628">
                  <w:marLeft w:val="0"/>
                  <w:marRight w:val="0"/>
                  <w:marTop w:val="0"/>
                  <w:marBottom w:val="0"/>
                  <w:divBdr>
                    <w:top w:val="none" w:sz="0" w:space="0" w:color="auto"/>
                    <w:left w:val="none" w:sz="0" w:space="0" w:color="auto"/>
                    <w:bottom w:val="none" w:sz="0" w:space="0" w:color="auto"/>
                    <w:right w:val="none" w:sz="0" w:space="0" w:color="auto"/>
                  </w:divBdr>
                  <w:divsChild>
                    <w:div w:id="1485703018">
                      <w:marLeft w:val="0"/>
                      <w:marRight w:val="0"/>
                      <w:marTop w:val="0"/>
                      <w:marBottom w:val="0"/>
                      <w:divBdr>
                        <w:top w:val="none" w:sz="0" w:space="0" w:color="auto"/>
                        <w:left w:val="none" w:sz="0" w:space="0" w:color="auto"/>
                        <w:bottom w:val="none" w:sz="0" w:space="0" w:color="auto"/>
                        <w:right w:val="none" w:sz="0" w:space="0" w:color="auto"/>
                      </w:divBdr>
                    </w:div>
                  </w:divsChild>
                </w:div>
                <w:div w:id="1689915325">
                  <w:marLeft w:val="0"/>
                  <w:marRight w:val="0"/>
                  <w:marTop w:val="0"/>
                  <w:marBottom w:val="0"/>
                  <w:divBdr>
                    <w:top w:val="none" w:sz="0" w:space="0" w:color="auto"/>
                    <w:left w:val="none" w:sz="0" w:space="0" w:color="auto"/>
                    <w:bottom w:val="none" w:sz="0" w:space="0" w:color="auto"/>
                    <w:right w:val="none" w:sz="0" w:space="0" w:color="auto"/>
                  </w:divBdr>
                  <w:divsChild>
                    <w:div w:id="1668170642">
                      <w:marLeft w:val="0"/>
                      <w:marRight w:val="0"/>
                      <w:marTop w:val="0"/>
                      <w:marBottom w:val="0"/>
                      <w:divBdr>
                        <w:top w:val="none" w:sz="0" w:space="0" w:color="auto"/>
                        <w:left w:val="none" w:sz="0" w:space="0" w:color="auto"/>
                        <w:bottom w:val="none" w:sz="0" w:space="0" w:color="auto"/>
                        <w:right w:val="none" w:sz="0" w:space="0" w:color="auto"/>
                      </w:divBdr>
                    </w:div>
                  </w:divsChild>
                </w:div>
                <w:div w:id="1694719870">
                  <w:marLeft w:val="0"/>
                  <w:marRight w:val="0"/>
                  <w:marTop w:val="0"/>
                  <w:marBottom w:val="0"/>
                  <w:divBdr>
                    <w:top w:val="none" w:sz="0" w:space="0" w:color="auto"/>
                    <w:left w:val="none" w:sz="0" w:space="0" w:color="auto"/>
                    <w:bottom w:val="none" w:sz="0" w:space="0" w:color="auto"/>
                    <w:right w:val="none" w:sz="0" w:space="0" w:color="auto"/>
                  </w:divBdr>
                  <w:divsChild>
                    <w:div w:id="671294422">
                      <w:marLeft w:val="0"/>
                      <w:marRight w:val="0"/>
                      <w:marTop w:val="0"/>
                      <w:marBottom w:val="0"/>
                      <w:divBdr>
                        <w:top w:val="none" w:sz="0" w:space="0" w:color="auto"/>
                        <w:left w:val="none" w:sz="0" w:space="0" w:color="auto"/>
                        <w:bottom w:val="none" w:sz="0" w:space="0" w:color="auto"/>
                        <w:right w:val="none" w:sz="0" w:space="0" w:color="auto"/>
                      </w:divBdr>
                    </w:div>
                  </w:divsChild>
                </w:div>
                <w:div w:id="1697460299">
                  <w:marLeft w:val="0"/>
                  <w:marRight w:val="0"/>
                  <w:marTop w:val="0"/>
                  <w:marBottom w:val="0"/>
                  <w:divBdr>
                    <w:top w:val="none" w:sz="0" w:space="0" w:color="auto"/>
                    <w:left w:val="none" w:sz="0" w:space="0" w:color="auto"/>
                    <w:bottom w:val="none" w:sz="0" w:space="0" w:color="auto"/>
                    <w:right w:val="none" w:sz="0" w:space="0" w:color="auto"/>
                  </w:divBdr>
                  <w:divsChild>
                    <w:div w:id="763569647">
                      <w:marLeft w:val="0"/>
                      <w:marRight w:val="0"/>
                      <w:marTop w:val="0"/>
                      <w:marBottom w:val="0"/>
                      <w:divBdr>
                        <w:top w:val="none" w:sz="0" w:space="0" w:color="auto"/>
                        <w:left w:val="none" w:sz="0" w:space="0" w:color="auto"/>
                        <w:bottom w:val="none" w:sz="0" w:space="0" w:color="auto"/>
                        <w:right w:val="none" w:sz="0" w:space="0" w:color="auto"/>
                      </w:divBdr>
                    </w:div>
                  </w:divsChild>
                </w:div>
                <w:div w:id="1714576627">
                  <w:marLeft w:val="0"/>
                  <w:marRight w:val="0"/>
                  <w:marTop w:val="0"/>
                  <w:marBottom w:val="0"/>
                  <w:divBdr>
                    <w:top w:val="none" w:sz="0" w:space="0" w:color="auto"/>
                    <w:left w:val="none" w:sz="0" w:space="0" w:color="auto"/>
                    <w:bottom w:val="none" w:sz="0" w:space="0" w:color="auto"/>
                    <w:right w:val="none" w:sz="0" w:space="0" w:color="auto"/>
                  </w:divBdr>
                  <w:divsChild>
                    <w:div w:id="2052682219">
                      <w:marLeft w:val="0"/>
                      <w:marRight w:val="0"/>
                      <w:marTop w:val="0"/>
                      <w:marBottom w:val="0"/>
                      <w:divBdr>
                        <w:top w:val="none" w:sz="0" w:space="0" w:color="auto"/>
                        <w:left w:val="none" w:sz="0" w:space="0" w:color="auto"/>
                        <w:bottom w:val="none" w:sz="0" w:space="0" w:color="auto"/>
                        <w:right w:val="none" w:sz="0" w:space="0" w:color="auto"/>
                      </w:divBdr>
                    </w:div>
                  </w:divsChild>
                </w:div>
                <w:div w:id="1725442526">
                  <w:marLeft w:val="0"/>
                  <w:marRight w:val="0"/>
                  <w:marTop w:val="0"/>
                  <w:marBottom w:val="0"/>
                  <w:divBdr>
                    <w:top w:val="none" w:sz="0" w:space="0" w:color="auto"/>
                    <w:left w:val="none" w:sz="0" w:space="0" w:color="auto"/>
                    <w:bottom w:val="none" w:sz="0" w:space="0" w:color="auto"/>
                    <w:right w:val="none" w:sz="0" w:space="0" w:color="auto"/>
                  </w:divBdr>
                  <w:divsChild>
                    <w:div w:id="90392060">
                      <w:marLeft w:val="0"/>
                      <w:marRight w:val="0"/>
                      <w:marTop w:val="0"/>
                      <w:marBottom w:val="0"/>
                      <w:divBdr>
                        <w:top w:val="none" w:sz="0" w:space="0" w:color="auto"/>
                        <w:left w:val="none" w:sz="0" w:space="0" w:color="auto"/>
                        <w:bottom w:val="none" w:sz="0" w:space="0" w:color="auto"/>
                        <w:right w:val="none" w:sz="0" w:space="0" w:color="auto"/>
                      </w:divBdr>
                    </w:div>
                  </w:divsChild>
                </w:div>
                <w:div w:id="1727296723">
                  <w:marLeft w:val="0"/>
                  <w:marRight w:val="0"/>
                  <w:marTop w:val="0"/>
                  <w:marBottom w:val="0"/>
                  <w:divBdr>
                    <w:top w:val="none" w:sz="0" w:space="0" w:color="auto"/>
                    <w:left w:val="none" w:sz="0" w:space="0" w:color="auto"/>
                    <w:bottom w:val="none" w:sz="0" w:space="0" w:color="auto"/>
                    <w:right w:val="none" w:sz="0" w:space="0" w:color="auto"/>
                  </w:divBdr>
                  <w:divsChild>
                    <w:div w:id="796491287">
                      <w:marLeft w:val="0"/>
                      <w:marRight w:val="0"/>
                      <w:marTop w:val="0"/>
                      <w:marBottom w:val="0"/>
                      <w:divBdr>
                        <w:top w:val="none" w:sz="0" w:space="0" w:color="auto"/>
                        <w:left w:val="none" w:sz="0" w:space="0" w:color="auto"/>
                        <w:bottom w:val="none" w:sz="0" w:space="0" w:color="auto"/>
                        <w:right w:val="none" w:sz="0" w:space="0" w:color="auto"/>
                      </w:divBdr>
                    </w:div>
                  </w:divsChild>
                </w:div>
                <w:div w:id="1743719347">
                  <w:marLeft w:val="0"/>
                  <w:marRight w:val="0"/>
                  <w:marTop w:val="0"/>
                  <w:marBottom w:val="0"/>
                  <w:divBdr>
                    <w:top w:val="none" w:sz="0" w:space="0" w:color="auto"/>
                    <w:left w:val="none" w:sz="0" w:space="0" w:color="auto"/>
                    <w:bottom w:val="none" w:sz="0" w:space="0" w:color="auto"/>
                    <w:right w:val="none" w:sz="0" w:space="0" w:color="auto"/>
                  </w:divBdr>
                  <w:divsChild>
                    <w:div w:id="235554717">
                      <w:marLeft w:val="0"/>
                      <w:marRight w:val="0"/>
                      <w:marTop w:val="0"/>
                      <w:marBottom w:val="0"/>
                      <w:divBdr>
                        <w:top w:val="none" w:sz="0" w:space="0" w:color="auto"/>
                        <w:left w:val="none" w:sz="0" w:space="0" w:color="auto"/>
                        <w:bottom w:val="none" w:sz="0" w:space="0" w:color="auto"/>
                        <w:right w:val="none" w:sz="0" w:space="0" w:color="auto"/>
                      </w:divBdr>
                    </w:div>
                  </w:divsChild>
                </w:div>
                <w:div w:id="1755278247">
                  <w:marLeft w:val="0"/>
                  <w:marRight w:val="0"/>
                  <w:marTop w:val="0"/>
                  <w:marBottom w:val="0"/>
                  <w:divBdr>
                    <w:top w:val="none" w:sz="0" w:space="0" w:color="auto"/>
                    <w:left w:val="none" w:sz="0" w:space="0" w:color="auto"/>
                    <w:bottom w:val="none" w:sz="0" w:space="0" w:color="auto"/>
                    <w:right w:val="none" w:sz="0" w:space="0" w:color="auto"/>
                  </w:divBdr>
                  <w:divsChild>
                    <w:div w:id="408502693">
                      <w:marLeft w:val="0"/>
                      <w:marRight w:val="0"/>
                      <w:marTop w:val="0"/>
                      <w:marBottom w:val="0"/>
                      <w:divBdr>
                        <w:top w:val="none" w:sz="0" w:space="0" w:color="auto"/>
                        <w:left w:val="none" w:sz="0" w:space="0" w:color="auto"/>
                        <w:bottom w:val="none" w:sz="0" w:space="0" w:color="auto"/>
                        <w:right w:val="none" w:sz="0" w:space="0" w:color="auto"/>
                      </w:divBdr>
                    </w:div>
                  </w:divsChild>
                </w:div>
                <w:div w:id="1762407045">
                  <w:marLeft w:val="0"/>
                  <w:marRight w:val="0"/>
                  <w:marTop w:val="0"/>
                  <w:marBottom w:val="0"/>
                  <w:divBdr>
                    <w:top w:val="none" w:sz="0" w:space="0" w:color="auto"/>
                    <w:left w:val="none" w:sz="0" w:space="0" w:color="auto"/>
                    <w:bottom w:val="none" w:sz="0" w:space="0" w:color="auto"/>
                    <w:right w:val="none" w:sz="0" w:space="0" w:color="auto"/>
                  </w:divBdr>
                  <w:divsChild>
                    <w:div w:id="982807076">
                      <w:marLeft w:val="0"/>
                      <w:marRight w:val="0"/>
                      <w:marTop w:val="0"/>
                      <w:marBottom w:val="0"/>
                      <w:divBdr>
                        <w:top w:val="none" w:sz="0" w:space="0" w:color="auto"/>
                        <w:left w:val="none" w:sz="0" w:space="0" w:color="auto"/>
                        <w:bottom w:val="none" w:sz="0" w:space="0" w:color="auto"/>
                        <w:right w:val="none" w:sz="0" w:space="0" w:color="auto"/>
                      </w:divBdr>
                    </w:div>
                  </w:divsChild>
                </w:div>
                <w:div w:id="1764959721">
                  <w:marLeft w:val="0"/>
                  <w:marRight w:val="0"/>
                  <w:marTop w:val="0"/>
                  <w:marBottom w:val="0"/>
                  <w:divBdr>
                    <w:top w:val="none" w:sz="0" w:space="0" w:color="auto"/>
                    <w:left w:val="none" w:sz="0" w:space="0" w:color="auto"/>
                    <w:bottom w:val="none" w:sz="0" w:space="0" w:color="auto"/>
                    <w:right w:val="none" w:sz="0" w:space="0" w:color="auto"/>
                  </w:divBdr>
                  <w:divsChild>
                    <w:div w:id="1940215260">
                      <w:marLeft w:val="0"/>
                      <w:marRight w:val="0"/>
                      <w:marTop w:val="0"/>
                      <w:marBottom w:val="0"/>
                      <w:divBdr>
                        <w:top w:val="none" w:sz="0" w:space="0" w:color="auto"/>
                        <w:left w:val="none" w:sz="0" w:space="0" w:color="auto"/>
                        <w:bottom w:val="none" w:sz="0" w:space="0" w:color="auto"/>
                        <w:right w:val="none" w:sz="0" w:space="0" w:color="auto"/>
                      </w:divBdr>
                    </w:div>
                  </w:divsChild>
                </w:div>
                <w:div w:id="1766532751">
                  <w:marLeft w:val="0"/>
                  <w:marRight w:val="0"/>
                  <w:marTop w:val="0"/>
                  <w:marBottom w:val="0"/>
                  <w:divBdr>
                    <w:top w:val="none" w:sz="0" w:space="0" w:color="auto"/>
                    <w:left w:val="none" w:sz="0" w:space="0" w:color="auto"/>
                    <w:bottom w:val="none" w:sz="0" w:space="0" w:color="auto"/>
                    <w:right w:val="none" w:sz="0" w:space="0" w:color="auto"/>
                  </w:divBdr>
                  <w:divsChild>
                    <w:div w:id="2030787339">
                      <w:marLeft w:val="0"/>
                      <w:marRight w:val="0"/>
                      <w:marTop w:val="0"/>
                      <w:marBottom w:val="0"/>
                      <w:divBdr>
                        <w:top w:val="none" w:sz="0" w:space="0" w:color="auto"/>
                        <w:left w:val="none" w:sz="0" w:space="0" w:color="auto"/>
                        <w:bottom w:val="none" w:sz="0" w:space="0" w:color="auto"/>
                        <w:right w:val="none" w:sz="0" w:space="0" w:color="auto"/>
                      </w:divBdr>
                    </w:div>
                  </w:divsChild>
                </w:div>
                <w:div w:id="1767116971">
                  <w:marLeft w:val="0"/>
                  <w:marRight w:val="0"/>
                  <w:marTop w:val="0"/>
                  <w:marBottom w:val="0"/>
                  <w:divBdr>
                    <w:top w:val="none" w:sz="0" w:space="0" w:color="auto"/>
                    <w:left w:val="none" w:sz="0" w:space="0" w:color="auto"/>
                    <w:bottom w:val="none" w:sz="0" w:space="0" w:color="auto"/>
                    <w:right w:val="none" w:sz="0" w:space="0" w:color="auto"/>
                  </w:divBdr>
                  <w:divsChild>
                    <w:div w:id="935290987">
                      <w:marLeft w:val="0"/>
                      <w:marRight w:val="0"/>
                      <w:marTop w:val="0"/>
                      <w:marBottom w:val="0"/>
                      <w:divBdr>
                        <w:top w:val="none" w:sz="0" w:space="0" w:color="auto"/>
                        <w:left w:val="none" w:sz="0" w:space="0" w:color="auto"/>
                        <w:bottom w:val="none" w:sz="0" w:space="0" w:color="auto"/>
                        <w:right w:val="none" w:sz="0" w:space="0" w:color="auto"/>
                      </w:divBdr>
                    </w:div>
                  </w:divsChild>
                </w:div>
                <w:div w:id="1774588035">
                  <w:marLeft w:val="0"/>
                  <w:marRight w:val="0"/>
                  <w:marTop w:val="0"/>
                  <w:marBottom w:val="0"/>
                  <w:divBdr>
                    <w:top w:val="none" w:sz="0" w:space="0" w:color="auto"/>
                    <w:left w:val="none" w:sz="0" w:space="0" w:color="auto"/>
                    <w:bottom w:val="none" w:sz="0" w:space="0" w:color="auto"/>
                    <w:right w:val="none" w:sz="0" w:space="0" w:color="auto"/>
                  </w:divBdr>
                  <w:divsChild>
                    <w:div w:id="911233089">
                      <w:marLeft w:val="0"/>
                      <w:marRight w:val="0"/>
                      <w:marTop w:val="0"/>
                      <w:marBottom w:val="0"/>
                      <w:divBdr>
                        <w:top w:val="none" w:sz="0" w:space="0" w:color="auto"/>
                        <w:left w:val="none" w:sz="0" w:space="0" w:color="auto"/>
                        <w:bottom w:val="none" w:sz="0" w:space="0" w:color="auto"/>
                        <w:right w:val="none" w:sz="0" w:space="0" w:color="auto"/>
                      </w:divBdr>
                    </w:div>
                  </w:divsChild>
                </w:div>
                <w:div w:id="1802458189">
                  <w:marLeft w:val="0"/>
                  <w:marRight w:val="0"/>
                  <w:marTop w:val="0"/>
                  <w:marBottom w:val="0"/>
                  <w:divBdr>
                    <w:top w:val="none" w:sz="0" w:space="0" w:color="auto"/>
                    <w:left w:val="none" w:sz="0" w:space="0" w:color="auto"/>
                    <w:bottom w:val="none" w:sz="0" w:space="0" w:color="auto"/>
                    <w:right w:val="none" w:sz="0" w:space="0" w:color="auto"/>
                  </w:divBdr>
                  <w:divsChild>
                    <w:div w:id="319043437">
                      <w:marLeft w:val="0"/>
                      <w:marRight w:val="0"/>
                      <w:marTop w:val="0"/>
                      <w:marBottom w:val="0"/>
                      <w:divBdr>
                        <w:top w:val="none" w:sz="0" w:space="0" w:color="auto"/>
                        <w:left w:val="none" w:sz="0" w:space="0" w:color="auto"/>
                        <w:bottom w:val="none" w:sz="0" w:space="0" w:color="auto"/>
                        <w:right w:val="none" w:sz="0" w:space="0" w:color="auto"/>
                      </w:divBdr>
                    </w:div>
                  </w:divsChild>
                </w:div>
                <w:div w:id="1808665254">
                  <w:marLeft w:val="0"/>
                  <w:marRight w:val="0"/>
                  <w:marTop w:val="0"/>
                  <w:marBottom w:val="0"/>
                  <w:divBdr>
                    <w:top w:val="none" w:sz="0" w:space="0" w:color="auto"/>
                    <w:left w:val="none" w:sz="0" w:space="0" w:color="auto"/>
                    <w:bottom w:val="none" w:sz="0" w:space="0" w:color="auto"/>
                    <w:right w:val="none" w:sz="0" w:space="0" w:color="auto"/>
                  </w:divBdr>
                  <w:divsChild>
                    <w:div w:id="1559708112">
                      <w:marLeft w:val="0"/>
                      <w:marRight w:val="0"/>
                      <w:marTop w:val="0"/>
                      <w:marBottom w:val="0"/>
                      <w:divBdr>
                        <w:top w:val="none" w:sz="0" w:space="0" w:color="auto"/>
                        <w:left w:val="none" w:sz="0" w:space="0" w:color="auto"/>
                        <w:bottom w:val="none" w:sz="0" w:space="0" w:color="auto"/>
                        <w:right w:val="none" w:sz="0" w:space="0" w:color="auto"/>
                      </w:divBdr>
                    </w:div>
                  </w:divsChild>
                </w:div>
                <w:div w:id="1812408834">
                  <w:marLeft w:val="0"/>
                  <w:marRight w:val="0"/>
                  <w:marTop w:val="0"/>
                  <w:marBottom w:val="0"/>
                  <w:divBdr>
                    <w:top w:val="none" w:sz="0" w:space="0" w:color="auto"/>
                    <w:left w:val="none" w:sz="0" w:space="0" w:color="auto"/>
                    <w:bottom w:val="none" w:sz="0" w:space="0" w:color="auto"/>
                    <w:right w:val="none" w:sz="0" w:space="0" w:color="auto"/>
                  </w:divBdr>
                  <w:divsChild>
                    <w:div w:id="1528332113">
                      <w:marLeft w:val="0"/>
                      <w:marRight w:val="0"/>
                      <w:marTop w:val="0"/>
                      <w:marBottom w:val="0"/>
                      <w:divBdr>
                        <w:top w:val="none" w:sz="0" w:space="0" w:color="auto"/>
                        <w:left w:val="none" w:sz="0" w:space="0" w:color="auto"/>
                        <w:bottom w:val="none" w:sz="0" w:space="0" w:color="auto"/>
                        <w:right w:val="none" w:sz="0" w:space="0" w:color="auto"/>
                      </w:divBdr>
                    </w:div>
                  </w:divsChild>
                </w:div>
                <w:div w:id="1816527111">
                  <w:marLeft w:val="0"/>
                  <w:marRight w:val="0"/>
                  <w:marTop w:val="0"/>
                  <w:marBottom w:val="0"/>
                  <w:divBdr>
                    <w:top w:val="none" w:sz="0" w:space="0" w:color="auto"/>
                    <w:left w:val="none" w:sz="0" w:space="0" w:color="auto"/>
                    <w:bottom w:val="none" w:sz="0" w:space="0" w:color="auto"/>
                    <w:right w:val="none" w:sz="0" w:space="0" w:color="auto"/>
                  </w:divBdr>
                  <w:divsChild>
                    <w:div w:id="78794630">
                      <w:marLeft w:val="0"/>
                      <w:marRight w:val="0"/>
                      <w:marTop w:val="0"/>
                      <w:marBottom w:val="0"/>
                      <w:divBdr>
                        <w:top w:val="none" w:sz="0" w:space="0" w:color="auto"/>
                        <w:left w:val="none" w:sz="0" w:space="0" w:color="auto"/>
                        <w:bottom w:val="none" w:sz="0" w:space="0" w:color="auto"/>
                        <w:right w:val="none" w:sz="0" w:space="0" w:color="auto"/>
                      </w:divBdr>
                    </w:div>
                  </w:divsChild>
                </w:div>
                <w:div w:id="1820925153">
                  <w:marLeft w:val="0"/>
                  <w:marRight w:val="0"/>
                  <w:marTop w:val="0"/>
                  <w:marBottom w:val="0"/>
                  <w:divBdr>
                    <w:top w:val="none" w:sz="0" w:space="0" w:color="auto"/>
                    <w:left w:val="none" w:sz="0" w:space="0" w:color="auto"/>
                    <w:bottom w:val="none" w:sz="0" w:space="0" w:color="auto"/>
                    <w:right w:val="none" w:sz="0" w:space="0" w:color="auto"/>
                  </w:divBdr>
                  <w:divsChild>
                    <w:div w:id="1460756333">
                      <w:marLeft w:val="0"/>
                      <w:marRight w:val="0"/>
                      <w:marTop w:val="0"/>
                      <w:marBottom w:val="0"/>
                      <w:divBdr>
                        <w:top w:val="none" w:sz="0" w:space="0" w:color="auto"/>
                        <w:left w:val="none" w:sz="0" w:space="0" w:color="auto"/>
                        <w:bottom w:val="none" w:sz="0" w:space="0" w:color="auto"/>
                        <w:right w:val="none" w:sz="0" w:space="0" w:color="auto"/>
                      </w:divBdr>
                    </w:div>
                  </w:divsChild>
                </w:div>
                <w:div w:id="1829319968">
                  <w:marLeft w:val="0"/>
                  <w:marRight w:val="0"/>
                  <w:marTop w:val="0"/>
                  <w:marBottom w:val="0"/>
                  <w:divBdr>
                    <w:top w:val="none" w:sz="0" w:space="0" w:color="auto"/>
                    <w:left w:val="none" w:sz="0" w:space="0" w:color="auto"/>
                    <w:bottom w:val="none" w:sz="0" w:space="0" w:color="auto"/>
                    <w:right w:val="none" w:sz="0" w:space="0" w:color="auto"/>
                  </w:divBdr>
                  <w:divsChild>
                    <w:div w:id="467940732">
                      <w:marLeft w:val="0"/>
                      <w:marRight w:val="0"/>
                      <w:marTop w:val="0"/>
                      <w:marBottom w:val="0"/>
                      <w:divBdr>
                        <w:top w:val="none" w:sz="0" w:space="0" w:color="auto"/>
                        <w:left w:val="none" w:sz="0" w:space="0" w:color="auto"/>
                        <w:bottom w:val="none" w:sz="0" w:space="0" w:color="auto"/>
                        <w:right w:val="none" w:sz="0" w:space="0" w:color="auto"/>
                      </w:divBdr>
                    </w:div>
                  </w:divsChild>
                </w:div>
                <w:div w:id="1850634185">
                  <w:marLeft w:val="0"/>
                  <w:marRight w:val="0"/>
                  <w:marTop w:val="0"/>
                  <w:marBottom w:val="0"/>
                  <w:divBdr>
                    <w:top w:val="none" w:sz="0" w:space="0" w:color="auto"/>
                    <w:left w:val="none" w:sz="0" w:space="0" w:color="auto"/>
                    <w:bottom w:val="none" w:sz="0" w:space="0" w:color="auto"/>
                    <w:right w:val="none" w:sz="0" w:space="0" w:color="auto"/>
                  </w:divBdr>
                  <w:divsChild>
                    <w:div w:id="2005090191">
                      <w:marLeft w:val="0"/>
                      <w:marRight w:val="0"/>
                      <w:marTop w:val="0"/>
                      <w:marBottom w:val="0"/>
                      <w:divBdr>
                        <w:top w:val="none" w:sz="0" w:space="0" w:color="auto"/>
                        <w:left w:val="none" w:sz="0" w:space="0" w:color="auto"/>
                        <w:bottom w:val="none" w:sz="0" w:space="0" w:color="auto"/>
                        <w:right w:val="none" w:sz="0" w:space="0" w:color="auto"/>
                      </w:divBdr>
                    </w:div>
                  </w:divsChild>
                </w:div>
                <w:div w:id="1891569035">
                  <w:marLeft w:val="0"/>
                  <w:marRight w:val="0"/>
                  <w:marTop w:val="0"/>
                  <w:marBottom w:val="0"/>
                  <w:divBdr>
                    <w:top w:val="none" w:sz="0" w:space="0" w:color="auto"/>
                    <w:left w:val="none" w:sz="0" w:space="0" w:color="auto"/>
                    <w:bottom w:val="none" w:sz="0" w:space="0" w:color="auto"/>
                    <w:right w:val="none" w:sz="0" w:space="0" w:color="auto"/>
                  </w:divBdr>
                  <w:divsChild>
                    <w:div w:id="1431659443">
                      <w:marLeft w:val="0"/>
                      <w:marRight w:val="0"/>
                      <w:marTop w:val="0"/>
                      <w:marBottom w:val="0"/>
                      <w:divBdr>
                        <w:top w:val="none" w:sz="0" w:space="0" w:color="auto"/>
                        <w:left w:val="none" w:sz="0" w:space="0" w:color="auto"/>
                        <w:bottom w:val="none" w:sz="0" w:space="0" w:color="auto"/>
                        <w:right w:val="none" w:sz="0" w:space="0" w:color="auto"/>
                      </w:divBdr>
                    </w:div>
                  </w:divsChild>
                </w:div>
                <w:div w:id="1900285789">
                  <w:marLeft w:val="0"/>
                  <w:marRight w:val="0"/>
                  <w:marTop w:val="0"/>
                  <w:marBottom w:val="0"/>
                  <w:divBdr>
                    <w:top w:val="none" w:sz="0" w:space="0" w:color="auto"/>
                    <w:left w:val="none" w:sz="0" w:space="0" w:color="auto"/>
                    <w:bottom w:val="none" w:sz="0" w:space="0" w:color="auto"/>
                    <w:right w:val="none" w:sz="0" w:space="0" w:color="auto"/>
                  </w:divBdr>
                  <w:divsChild>
                    <w:div w:id="1477605347">
                      <w:marLeft w:val="0"/>
                      <w:marRight w:val="0"/>
                      <w:marTop w:val="0"/>
                      <w:marBottom w:val="0"/>
                      <w:divBdr>
                        <w:top w:val="none" w:sz="0" w:space="0" w:color="auto"/>
                        <w:left w:val="none" w:sz="0" w:space="0" w:color="auto"/>
                        <w:bottom w:val="none" w:sz="0" w:space="0" w:color="auto"/>
                        <w:right w:val="none" w:sz="0" w:space="0" w:color="auto"/>
                      </w:divBdr>
                    </w:div>
                  </w:divsChild>
                </w:div>
                <w:div w:id="1906064952">
                  <w:marLeft w:val="0"/>
                  <w:marRight w:val="0"/>
                  <w:marTop w:val="0"/>
                  <w:marBottom w:val="0"/>
                  <w:divBdr>
                    <w:top w:val="none" w:sz="0" w:space="0" w:color="auto"/>
                    <w:left w:val="none" w:sz="0" w:space="0" w:color="auto"/>
                    <w:bottom w:val="none" w:sz="0" w:space="0" w:color="auto"/>
                    <w:right w:val="none" w:sz="0" w:space="0" w:color="auto"/>
                  </w:divBdr>
                  <w:divsChild>
                    <w:div w:id="595594834">
                      <w:marLeft w:val="0"/>
                      <w:marRight w:val="0"/>
                      <w:marTop w:val="0"/>
                      <w:marBottom w:val="0"/>
                      <w:divBdr>
                        <w:top w:val="none" w:sz="0" w:space="0" w:color="auto"/>
                        <w:left w:val="none" w:sz="0" w:space="0" w:color="auto"/>
                        <w:bottom w:val="none" w:sz="0" w:space="0" w:color="auto"/>
                        <w:right w:val="none" w:sz="0" w:space="0" w:color="auto"/>
                      </w:divBdr>
                    </w:div>
                  </w:divsChild>
                </w:div>
                <w:div w:id="1913734125">
                  <w:marLeft w:val="0"/>
                  <w:marRight w:val="0"/>
                  <w:marTop w:val="0"/>
                  <w:marBottom w:val="0"/>
                  <w:divBdr>
                    <w:top w:val="none" w:sz="0" w:space="0" w:color="auto"/>
                    <w:left w:val="none" w:sz="0" w:space="0" w:color="auto"/>
                    <w:bottom w:val="none" w:sz="0" w:space="0" w:color="auto"/>
                    <w:right w:val="none" w:sz="0" w:space="0" w:color="auto"/>
                  </w:divBdr>
                  <w:divsChild>
                    <w:div w:id="1792237661">
                      <w:marLeft w:val="0"/>
                      <w:marRight w:val="0"/>
                      <w:marTop w:val="0"/>
                      <w:marBottom w:val="0"/>
                      <w:divBdr>
                        <w:top w:val="none" w:sz="0" w:space="0" w:color="auto"/>
                        <w:left w:val="none" w:sz="0" w:space="0" w:color="auto"/>
                        <w:bottom w:val="none" w:sz="0" w:space="0" w:color="auto"/>
                        <w:right w:val="none" w:sz="0" w:space="0" w:color="auto"/>
                      </w:divBdr>
                    </w:div>
                  </w:divsChild>
                </w:div>
                <w:div w:id="1933321065">
                  <w:marLeft w:val="0"/>
                  <w:marRight w:val="0"/>
                  <w:marTop w:val="0"/>
                  <w:marBottom w:val="0"/>
                  <w:divBdr>
                    <w:top w:val="none" w:sz="0" w:space="0" w:color="auto"/>
                    <w:left w:val="none" w:sz="0" w:space="0" w:color="auto"/>
                    <w:bottom w:val="none" w:sz="0" w:space="0" w:color="auto"/>
                    <w:right w:val="none" w:sz="0" w:space="0" w:color="auto"/>
                  </w:divBdr>
                  <w:divsChild>
                    <w:div w:id="183255591">
                      <w:marLeft w:val="0"/>
                      <w:marRight w:val="0"/>
                      <w:marTop w:val="0"/>
                      <w:marBottom w:val="0"/>
                      <w:divBdr>
                        <w:top w:val="none" w:sz="0" w:space="0" w:color="auto"/>
                        <w:left w:val="none" w:sz="0" w:space="0" w:color="auto"/>
                        <w:bottom w:val="none" w:sz="0" w:space="0" w:color="auto"/>
                        <w:right w:val="none" w:sz="0" w:space="0" w:color="auto"/>
                      </w:divBdr>
                    </w:div>
                  </w:divsChild>
                </w:div>
                <w:div w:id="1933666073">
                  <w:marLeft w:val="0"/>
                  <w:marRight w:val="0"/>
                  <w:marTop w:val="0"/>
                  <w:marBottom w:val="0"/>
                  <w:divBdr>
                    <w:top w:val="none" w:sz="0" w:space="0" w:color="auto"/>
                    <w:left w:val="none" w:sz="0" w:space="0" w:color="auto"/>
                    <w:bottom w:val="none" w:sz="0" w:space="0" w:color="auto"/>
                    <w:right w:val="none" w:sz="0" w:space="0" w:color="auto"/>
                  </w:divBdr>
                  <w:divsChild>
                    <w:div w:id="1788429513">
                      <w:marLeft w:val="0"/>
                      <w:marRight w:val="0"/>
                      <w:marTop w:val="0"/>
                      <w:marBottom w:val="0"/>
                      <w:divBdr>
                        <w:top w:val="none" w:sz="0" w:space="0" w:color="auto"/>
                        <w:left w:val="none" w:sz="0" w:space="0" w:color="auto"/>
                        <w:bottom w:val="none" w:sz="0" w:space="0" w:color="auto"/>
                        <w:right w:val="none" w:sz="0" w:space="0" w:color="auto"/>
                      </w:divBdr>
                    </w:div>
                  </w:divsChild>
                </w:div>
                <w:div w:id="1936785702">
                  <w:marLeft w:val="0"/>
                  <w:marRight w:val="0"/>
                  <w:marTop w:val="0"/>
                  <w:marBottom w:val="0"/>
                  <w:divBdr>
                    <w:top w:val="none" w:sz="0" w:space="0" w:color="auto"/>
                    <w:left w:val="none" w:sz="0" w:space="0" w:color="auto"/>
                    <w:bottom w:val="none" w:sz="0" w:space="0" w:color="auto"/>
                    <w:right w:val="none" w:sz="0" w:space="0" w:color="auto"/>
                  </w:divBdr>
                  <w:divsChild>
                    <w:div w:id="27068923">
                      <w:marLeft w:val="0"/>
                      <w:marRight w:val="0"/>
                      <w:marTop w:val="0"/>
                      <w:marBottom w:val="0"/>
                      <w:divBdr>
                        <w:top w:val="none" w:sz="0" w:space="0" w:color="auto"/>
                        <w:left w:val="none" w:sz="0" w:space="0" w:color="auto"/>
                        <w:bottom w:val="none" w:sz="0" w:space="0" w:color="auto"/>
                        <w:right w:val="none" w:sz="0" w:space="0" w:color="auto"/>
                      </w:divBdr>
                    </w:div>
                  </w:divsChild>
                </w:div>
                <w:div w:id="1941180604">
                  <w:marLeft w:val="0"/>
                  <w:marRight w:val="0"/>
                  <w:marTop w:val="0"/>
                  <w:marBottom w:val="0"/>
                  <w:divBdr>
                    <w:top w:val="none" w:sz="0" w:space="0" w:color="auto"/>
                    <w:left w:val="none" w:sz="0" w:space="0" w:color="auto"/>
                    <w:bottom w:val="none" w:sz="0" w:space="0" w:color="auto"/>
                    <w:right w:val="none" w:sz="0" w:space="0" w:color="auto"/>
                  </w:divBdr>
                  <w:divsChild>
                    <w:div w:id="375158331">
                      <w:marLeft w:val="0"/>
                      <w:marRight w:val="0"/>
                      <w:marTop w:val="0"/>
                      <w:marBottom w:val="0"/>
                      <w:divBdr>
                        <w:top w:val="none" w:sz="0" w:space="0" w:color="auto"/>
                        <w:left w:val="none" w:sz="0" w:space="0" w:color="auto"/>
                        <w:bottom w:val="none" w:sz="0" w:space="0" w:color="auto"/>
                        <w:right w:val="none" w:sz="0" w:space="0" w:color="auto"/>
                      </w:divBdr>
                    </w:div>
                  </w:divsChild>
                </w:div>
                <w:div w:id="1941641149">
                  <w:marLeft w:val="0"/>
                  <w:marRight w:val="0"/>
                  <w:marTop w:val="0"/>
                  <w:marBottom w:val="0"/>
                  <w:divBdr>
                    <w:top w:val="none" w:sz="0" w:space="0" w:color="auto"/>
                    <w:left w:val="none" w:sz="0" w:space="0" w:color="auto"/>
                    <w:bottom w:val="none" w:sz="0" w:space="0" w:color="auto"/>
                    <w:right w:val="none" w:sz="0" w:space="0" w:color="auto"/>
                  </w:divBdr>
                  <w:divsChild>
                    <w:div w:id="713500007">
                      <w:marLeft w:val="0"/>
                      <w:marRight w:val="0"/>
                      <w:marTop w:val="0"/>
                      <w:marBottom w:val="0"/>
                      <w:divBdr>
                        <w:top w:val="none" w:sz="0" w:space="0" w:color="auto"/>
                        <w:left w:val="none" w:sz="0" w:space="0" w:color="auto"/>
                        <w:bottom w:val="none" w:sz="0" w:space="0" w:color="auto"/>
                        <w:right w:val="none" w:sz="0" w:space="0" w:color="auto"/>
                      </w:divBdr>
                    </w:div>
                  </w:divsChild>
                </w:div>
                <w:div w:id="1954481492">
                  <w:marLeft w:val="0"/>
                  <w:marRight w:val="0"/>
                  <w:marTop w:val="0"/>
                  <w:marBottom w:val="0"/>
                  <w:divBdr>
                    <w:top w:val="none" w:sz="0" w:space="0" w:color="auto"/>
                    <w:left w:val="none" w:sz="0" w:space="0" w:color="auto"/>
                    <w:bottom w:val="none" w:sz="0" w:space="0" w:color="auto"/>
                    <w:right w:val="none" w:sz="0" w:space="0" w:color="auto"/>
                  </w:divBdr>
                  <w:divsChild>
                    <w:div w:id="780687766">
                      <w:marLeft w:val="0"/>
                      <w:marRight w:val="0"/>
                      <w:marTop w:val="0"/>
                      <w:marBottom w:val="0"/>
                      <w:divBdr>
                        <w:top w:val="none" w:sz="0" w:space="0" w:color="auto"/>
                        <w:left w:val="none" w:sz="0" w:space="0" w:color="auto"/>
                        <w:bottom w:val="none" w:sz="0" w:space="0" w:color="auto"/>
                        <w:right w:val="none" w:sz="0" w:space="0" w:color="auto"/>
                      </w:divBdr>
                    </w:div>
                  </w:divsChild>
                </w:div>
                <w:div w:id="1979071033">
                  <w:marLeft w:val="0"/>
                  <w:marRight w:val="0"/>
                  <w:marTop w:val="0"/>
                  <w:marBottom w:val="0"/>
                  <w:divBdr>
                    <w:top w:val="none" w:sz="0" w:space="0" w:color="auto"/>
                    <w:left w:val="none" w:sz="0" w:space="0" w:color="auto"/>
                    <w:bottom w:val="none" w:sz="0" w:space="0" w:color="auto"/>
                    <w:right w:val="none" w:sz="0" w:space="0" w:color="auto"/>
                  </w:divBdr>
                  <w:divsChild>
                    <w:div w:id="1345595087">
                      <w:marLeft w:val="0"/>
                      <w:marRight w:val="0"/>
                      <w:marTop w:val="0"/>
                      <w:marBottom w:val="0"/>
                      <w:divBdr>
                        <w:top w:val="none" w:sz="0" w:space="0" w:color="auto"/>
                        <w:left w:val="none" w:sz="0" w:space="0" w:color="auto"/>
                        <w:bottom w:val="none" w:sz="0" w:space="0" w:color="auto"/>
                        <w:right w:val="none" w:sz="0" w:space="0" w:color="auto"/>
                      </w:divBdr>
                    </w:div>
                  </w:divsChild>
                </w:div>
                <w:div w:id="1984388244">
                  <w:marLeft w:val="0"/>
                  <w:marRight w:val="0"/>
                  <w:marTop w:val="0"/>
                  <w:marBottom w:val="0"/>
                  <w:divBdr>
                    <w:top w:val="none" w:sz="0" w:space="0" w:color="auto"/>
                    <w:left w:val="none" w:sz="0" w:space="0" w:color="auto"/>
                    <w:bottom w:val="none" w:sz="0" w:space="0" w:color="auto"/>
                    <w:right w:val="none" w:sz="0" w:space="0" w:color="auto"/>
                  </w:divBdr>
                  <w:divsChild>
                    <w:div w:id="180169734">
                      <w:marLeft w:val="0"/>
                      <w:marRight w:val="0"/>
                      <w:marTop w:val="0"/>
                      <w:marBottom w:val="0"/>
                      <w:divBdr>
                        <w:top w:val="none" w:sz="0" w:space="0" w:color="auto"/>
                        <w:left w:val="none" w:sz="0" w:space="0" w:color="auto"/>
                        <w:bottom w:val="none" w:sz="0" w:space="0" w:color="auto"/>
                        <w:right w:val="none" w:sz="0" w:space="0" w:color="auto"/>
                      </w:divBdr>
                    </w:div>
                  </w:divsChild>
                </w:div>
                <w:div w:id="1985348391">
                  <w:marLeft w:val="0"/>
                  <w:marRight w:val="0"/>
                  <w:marTop w:val="0"/>
                  <w:marBottom w:val="0"/>
                  <w:divBdr>
                    <w:top w:val="none" w:sz="0" w:space="0" w:color="auto"/>
                    <w:left w:val="none" w:sz="0" w:space="0" w:color="auto"/>
                    <w:bottom w:val="none" w:sz="0" w:space="0" w:color="auto"/>
                    <w:right w:val="none" w:sz="0" w:space="0" w:color="auto"/>
                  </w:divBdr>
                  <w:divsChild>
                    <w:div w:id="858399172">
                      <w:marLeft w:val="0"/>
                      <w:marRight w:val="0"/>
                      <w:marTop w:val="0"/>
                      <w:marBottom w:val="0"/>
                      <w:divBdr>
                        <w:top w:val="none" w:sz="0" w:space="0" w:color="auto"/>
                        <w:left w:val="none" w:sz="0" w:space="0" w:color="auto"/>
                        <w:bottom w:val="none" w:sz="0" w:space="0" w:color="auto"/>
                        <w:right w:val="none" w:sz="0" w:space="0" w:color="auto"/>
                      </w:divBdr>
                    </w:div>
                  </w:divsChild>
                </w:div>
                <w:div w:id="1991980822">
                  <w:marLeft w:val="0"/>
                  <w:marRight w:val="0"/>
                  <w:marTop w:val="0"/>
                  <w:marBottom w:val="0"/>
                  <w:divBdr>
                    <w:top w:val="none" w:sz="0" w:space="0" w:color="auto"/>
                    <w:left w:val="none" w:sz="0" w:space="0" w:color="auto"/>
                    <w:bottom w:val="none" w:sz="0" w:space="0" w:color="auto"/>
                    <w:right w:val="none" w:sz="0" w:space="0" w:color="auto"/>
                  </w:divBdr>
                  <w:divsChild>
                    <w:div w:id="2097822917">
                      <w:marLeft w:val="0"/>
                      <w:marRight w:val="0"/>
                      <w:marTop w:val="0"/>
                      <w:marBottom w:val="0"/>
                      <w:divBdr>
                        <w:top w:val="none" w:sz="0" w:space="0" w:color="auto"/>
                        <w:left w:val="none" w:sz="0" w:space="0" w:color="auto"/>
                        <w:bottom w:val="none" w:sz="0" w:space="0" w:color="auto"/>
                        <w:right w:val="none" w:sz="0" w:space="0" w:color="auto"/>
                      </w:divBdr>
                    </w:div>
                  </w:divsChild>
                </w:div>
                <w:div w:id="2003240454">
                  <w:marLeft w:val="0"/>
                  <w:marRight w:val="0"/>
                  <w:marTop w:val="0"/>
                  <w:marBottom w:val="0"/>
                  <w:divBdr>
                    <w:top w:val="none" w:sz="0" w:space="0" w:color="auto"/>
                    <w:left w:val="none" w:sz="0" w:space="0" w:color="auto"/>
                    <w:bottom w:val="none" w:sz="0" w:space="0" w:color="auto"/>
                    <w:right w:val="none" w:sz="0" w:space="0" w:color="auto"/>
                  </w:divBdr>
                  <w:divsChild>
                    <w:div w:id="838352073">
                      <w:marLeft w:val="0"/>
                      <w:marRight w:val="0"/>
                      <w:marTop w:val="0"/>
                      <w:marBottom w:val="0"/>
                      <w:divBdr>
                        <w:top w:val="none" w:sz="0" w:space="0" w:color="auto"/>
                        <w:left w:val="none" w:sz="0" w:space="0" w:color="auto"/>
                        <w:bottom w:val="none" w:sz="0" w:space="0" w:color="auto"/>
                        <w:right w:val="none" w:sz="0" w:space="0" w:color="auto"/>
                      </w:divBdr>
                    </w:div>
                  </w:divsChild>
                </w:div>
                <w:div w:id="2004966231">
                  <w:marLeft w:val="0"/>
                  <w:marRight w:val="0"/>
                  <w:marTop w:val="0"/>
                  <w:marBottom w:val="0"/>
                  <w:divBdr>
                    <w:top w:val="none" w:sz="0" w:space="0" w:color="auto"/>
                    <w:left w:val="none" w:sz="0" w:space="0" w:color="auto"/>
                    <w:bottom w:val="none" w:sz="0" w:space="0" w:color="auto"/>
                    <w:right w:val="none" w:sz="0" w:space="0" w:color="auto"/>
                  </w:divBdr>
                  <w:divsChild>
                    <w:div w:id="1987513998">
                      <w:marLeft w:val="0"/>
                      <w:marRight w:val="0"/>
                      <w:marTop w:val="0"/>
                      <w:marBottom w:val="0"/>
                      <w:divBdr>
                        <w:top w:val="none" w:sz="0" w:space="0" w:color="auto"/>
                        <w:left w:val="none" w:sz="0" w:space="0" w:color="auto"/>
                        <w:bottom w:val="none" w:sz="0" w:space="0" w:color="auto"/>
                        <w:right w:val="none" w:sz="0" w:space="0" w:color="auto"/>
                      </w:divBdr>
                    </w:div>
                  </w:divsChild>
                </w:div>
                <w:div w:id="2010674711">
                  <w:marLeft w:val="0"/>
                  <w:marRight w:val="0"/>
                  <w:marTop w:val="0"/>
                  <w:marBottom w:val="0"/>
                  <w:divBdr>
                    <w:top w:val="none" w:sz="0" w:space="0" w:color="auto"/>
                    <w:left w:val="none" w:sz="0" w:space="0" w:color="auto"/>
                    <w:bottom w:val="none" w:sz="0" w:space="0" w:color="auto"/>
                    <w:right w:val="none" w:sz="0" w:space="0" w:color="auto"/>
                  </w:divBdr>
                  <w:divsChild>
                    <w:div w:id="1952391627">
                      <w:marLeft w:val="0"/>
                      <w:marRight w:val="0"/>
                      <w:marTop w:val="0"/>
                      <w:marBottom w:val="0"/>
                      <w:divBdr>
                        <w:top w:val="none" w:sz="0" w:space="0" w:color="auto"/>
                        <w:left w:val="none" w:sz="0" w:space="0" w:color="auto"/>
                        <w:bottom w:val="none" w:sz="0" w:space="0" w:color="auto"/>
                        <w:right w:val="none" w:sz="0" w:space="0" w:color="auto"/>
                      </w:divBdr>
                    </w:div>
                  </w:divsChild>
                </w:div>
                <w:div w:id="2012439874">
                  <w:marLeft w:val="0"/>
                  <w:marRight w:val="0"/>
                  <w:marTop w:val="0"/>
                  <w:marBottom w:val="0"/>
                  <w:divBdr>
                    <w:top w:val="none" w:sz="0" w:space="0" w:color="auto"/>
                    <w:left w:val="none" w:sz="0" w:space="0" w:color="auto"/>
                    <w:bottom w:val="none" w:sz="0" w:space="0" w:color="auto"/>
                    <w:right w:val="none" w:sz="0" w:space="0" w:color="auto"/>
                  </w:divBdr>
                  <w:divsChild>
                    <w:div w:id="1619490414">
                      <w:marLeft w:val="0"/>
                      <w:marRight w:val="0"/>
                      <w:marTop w:val="0"/>
                      <w:marBottom w:val="0"/>
                      <w:divBdr>
                        <w:top w:val="none" w:sz="0" w:space="0" w:color="auto"/>
                        <w:left w:val="none" w:sz="0" w:space="0" w:color="auto"/>
                        <w:bottom w:val="none" w:sz="0" w:space="0" w:color="auto"/>
                        <w:right w:val="none" w:sz="0" w:space="0" w:color="auto"/>
                      </w:divBdr>
                    </w:div>
                  </w:divsChild>
                </w:div>
                <w:div w:id="2016373670">
                  <w:marLeft w:val="0"/>
                  <w:marRight w:val="0"/>
                  <w:marTop w:val="0"/>
                  <w:marBottom w:val="0"/>
                  <w:divBdr>
                    <w:top w:val="none" w:sz="0" w:space="0" w:color="auto"/>
                    <w:left w:val="none" w:sz="0" w:space="0" w:color="auto"/>
                    <w:bottom w:val="none" w:sz="0" w:space="0" w:color="auto"/>
                    <w:right w:val="none" w:sz="0" w:space="0" w:color="auto"/>
                  </w:divBdr>
                  <w:divsChild>
                    <w:div w:id="179783831">
                      <w:marLeft w:val="0"/>
                      <w:marRight w:val="0"/>
                      <w:marTop w:val="0"/>
                      <w:marBottom w:val="0"/>
                      <w:divBdr>
                        <w:top w:val="none" w:sz="0" w:space="0" w:color="auto"/>
                        <w:left w:val="none" w:sz="0" w:space="0" w:color="auto"/>
                        <w:bottom w:val="none" w:sz="0" w:space="0" w:color="auto"/>
                        <w:right w:val="none" w:sz="0" w:space="0" w:color="auto"/>
                      </w:divBdr>
                    </w:div>
                  </w:divsChild>
                </w:div>
                <w:div w:id="2017994087">
                  <w:marLeft w:val="0"/>
                  <w:marRight w:val="0"/>
                  <w:marTop w:val="0"/>
                  <w:marBottom w:val="0"/>
                  <w:divBdr>
                    <w:top w:val="none" w:sz="0" w:space="0" w:color="auto"/>
                    <w:left w:val="none" w:sz="0" w:space="0" w:color="auto"/>
                    <w:bottom w:val="none" w:sz="0" w:space="0" w:color="auto"/>
                    <w:right w:val="none" w:sz="0" w:space="0" w:color="auto"/>
                  </w:divBdr>
                  <w:divsChild>
                    <w:div w:id="2116358919">
                      <w:marLeft w:val="0"/>
                      <w:marRight w:val="0"/>
                      <w:marTop w:val="0"/>
                      <w:marBottom w:val="0"/>
                      <w:divBdr>
                        <w:top w:val="none" w:sz="0" w:space="0" w:color="auto"/>
                        <w:left w:val="none" w:sz="0" w:space="0" w:color="auto"/>
                        <w:bottom w:val="none" w:sz="0" w:space="0" w:color="auto"/>
                        <w:right w:val="none" w:sz="0" w:space="0" w:color="auto"/>
                      </w:divBdr>
                    </w:div>
                  </w:divsChild>
                </w:div>
                <w:div w:id="2026319801">
                  <w:marLeft w:val="0"/>
                  <w:marRight w:val="0"/>
                  <w:marTop w:val="0"/>
                  <w:marBottom w:val="0"/>
                  <w:divBdr>
                    <w:top w:val="none" w:sz="0" w:space="0" w:color="auto"/>
                    <w:left w:val="none" w:sz="0" w:space="0" w:color="auto"/>
                    <w:bottom w:val="none" w:sz="0" w:space="0" w:color="auto"/>
                    <w:right w:val="none" w:sz="0" w:space="0" w:color="auto"/>
                  </w:divBdr>
                  <w:divsChild>
                    <w:div w:id="53745605">
                      <w:marLeft w:val="0"/>
                      <w:marRight w:val="0"/>
                      <w:marTop w:val="0"/>
                      <w:marBottom w:val="0"/>
                      <w:divBdr>
                        <w:top w:val="none" w:sz="0" w:space="0" w:color="auto"/>
                        <w:left w:val="none" w:sz="0" w:space="0" w:color="auto"/>
                        <w:bottom w:val="none" w:sz="0" w:space="0" w:color="auto"/>
                        <w:right w:val="none" w:sz="0" w:space="0" w:color="auto"/>
                      </w:divBdr>
                    </w:div>
                  </w:divsChild>
                </w:div>
                <w:div w:id="2035383591">
                  <w:marLeft w:val="0"/>
                  <w:marRight w:val="0"/>
                  <w:marTop w:val="0"/>
                  <w:marBottom w:val="0"/>
                  <w:divBdr>
                    <w:top w:val="none" w:sz="0" w:space="0" w:color="auto"/>
                    <w:left w:val="none" w:sz="0" w:space="0" w:color="auto"/>
                    <w:bottom w:val="none" w:sz="0" w:space="0" w:color="auto"/>
                    <w:right w:val="none" w:sz="0" w:space="0" w:color="auto"/>
                  </w:divBdr>
                  <w:divsChild>
                    <w:div w:id="1636445484">
                      <w:marLeft w:val="0"/>
                      <w:marRight w:val="0"/>
                      <w:marTop w:val="0"/>
                      <w:marBottom w:val="0"/>
                      <w:divBdr>
                        <w:top w:val="none" w:sz="0" w:space="0" w:color="auto"/>
                        <w:left w:val="none" w:sz="0" w:space="0" w:color="auto"/>
                        <w:bottom w:val="none" w:sz="0" w:space="0" w:color="auto"/>
                        <w:right w:val="none" w:sz="0" w:space="0" w:color="auto"/>
                      </w:divBdr>
                    </w:div>
                  </w:divsChild>
                </w:div>
                <w:div w:id="2038581503">
                  <w:marLeft w:val="0"/>
                  <w:marRight w:val="0"/>
                  <w:marTop w:val="0"/>
                  <w:marBottom w:val="0"/>
                  <w:divBdr>
                    <w:top w:val="none" w:sz="0" w:space="0" w:color="auto"/>
                    <w:left w:val="none" w:sz="0" w:space="0" w:color="auto"/>
                    <w:bottom w:val="none" w:sz="0" w:space="0" w:color="auto"/>
                    <w:right w:val="none" w:sz="0" w:space="0" w:color="auto"/>
                  </w:divBdr>
                  <w:divsChild>
                    <w:div w:id="1137988747">
                      <w:marLeft w:val="0"/>
                      <w:marRight w:val="0"/>
                      <w:marTop w:val="0"/>
                      <w:marBottom w:val="0"/>
                      <w:divBdr>
                        <w:top w:val="none" w:sz="0" w:space="0" w:color="auto"/>
                        <w:left w:val="none" w:sz="0" w:space="0" w:color="auto"/>
                        <w:bottom w:val="none" w:sz="0" w:space="0" w:color="auto"/>
                        <w:right w:val="none" w:sz="0" w:space="0" w:color="auto"/>
                      </w:divBdr>
                    </w:div>
                  </w:divsChild>
                </w:div>
                <w:div w:id="2045717094">
                  <w:marLeft w:val="0"/>
                  <w:marRight w:val="0"/>
                  <w:marTop w:val="0"/>
                  <w:marBottom w:val="0"/>
                  <w:divBdr>
                    <w:top w:val="none" w:sz="0" w:space="0" w:color="auto"/>
                    <w:left w:val="none" w:sz="0" w:space="0" w:color="auto"/>
                    <w:bottom w:val="none" w:sz="0" w:space="0" w:color="auto"/>
                    <w:right w:val="none" w:sz="0" w:space="0" w:color="auto"/>
                  </w:divBdr>
                  <w:divsChild>
                    <w:div w:id="1483623462">
                      <w:marLeft w:val="0"/>
                      <w:marRight w:val="0"/>
                      <w:marTop w:val="0"/>
                      <w:marBottom w:val="0"/>
                      <w:divBdr>
                        <w:top w:val="none" w:sz="0" w:space="0" w:color="auto"/>
                        <w:left w:val="none" w:sz="0" w:space="0" w:color="auto"/>
                        <w:bottom w:val="none" w:sz="0" w:space="0" w:color="auto"/>
                        <w:right w:val="none" w:sz="0" w:space="0" w:color="auto"/>
                      </w:divBdr>
                    </w:div>
                  </w:divsChild>
                </w:div>
                <w:div w:id="2053964033">
                  <w:marLeft w:val="0"/>
                  <w:marRight w:val="0"/>
                  <w:marTop w:val="0"/>
                  <w:marBottom w:val="0"/>
                  <w:divBdr>
                    <w:top w:val="none" w:sz="0" w:space="0" w:color="auto"/>
                    <w:left w:val="none" w:sz="0" w:space="0" w:color="auto"/>
                    <w:bottom w:val="none" w:sz="0" w:space="0" w:color="auto"/>
                    <w:right w:val="none" w:sz="0" w:space="0" w:color="auto"/>
                  </w:divBdr>
                  <w:divsChild>
                    <w:div w:id="88433020">
                      <w:marLeft w:val="0"/>
                      <w:marRight w:val="0"/>
                      <w:marTop w:val="0"/>
                      <w:marBottom w:val="0"/>
                      <w:divBdr>
                        <w:top w:val="none" w:sz="0" w:space="0" w:color="auto"/>
                        <w:left w:val="none" w:sz="0" w:space="0" w:color="auto"/>
                        <w:bottom w:val="none" w:sz="0" w:space="0" w:color="auto"/>
                        <w:right w:val="none" w:sz="0" w:space="0" w:color="auto"/>
                      </w:divBdr>
                    </w:div>
                  </w:divsChild>
                </w:div>
                <w:div w:id="2056344799">
                  <w:marLeft w:val="0"/>
                  <w:marRight w:val="0"/>
                  <w:marTop w:val="0"/>
                  <w:marBottom w:val="0"/>
                  <w:divBdr>
                    <w:top w:val="none" w:sz="0" w:space="0" w:color="auto"/>
                    <w:left w:val="none" w:sz="0" w:space="0" w:color="auto"/>
                    <w:bottom w:val="none" w:sz="0" w:space="0" w:color="auto"/>
                    <w:right w:val="none" w:sz="0" w:space="0" w:color="auto"/>
                  </w:divBdr>
                  <w:divsChild>
                    <w:div w:id="135071677">
                      <w:marLeft w:val="0"/>
                      <w:marRight w:val="0"/>
                      <w:marTop w:val="0"/>
                      <w:marBottom w:val="0"/>
                      <w:divBdr>
                        <w:top w:val="none" w:sz="0" w:space="0" w:color="auto"/>
                        <w:left w:val="none" w:sz="0" w:space="0" w:color="auto"/>
                        <w:bottom w:val="none" w:sz="0" w:space="0" w:color="auto"/>
                        <w:right w:val="none" w:sz="0" w:space="0" w:color="auto"/>
                      </w:divBdr>
                    </w:div>
                  </w:divsChild>
                </w:div>
                <w:div w:id="2064134921">
                  <w:marLeft w:val="0"/>
                  <w:marRight w:val="0"/>
                  <w:marTop w:val="0"/>
                  <w:marBottom w:val="0"/>
                  <w:divBdr>
                    <w:top w:val="none" w:sz="0" w:space="0" w:color="auto"/>
                    <w:left w:val="none" w:sz="0" w:space="0" w:color="auto"/>
                    <w:bottom w:val="none" w:sz="0" w:space="0" w:color="auto"/>
                    <w:right w:val="none" w:sz="0" w:space="0" w:color="auto"/>
                  </w:divBdr>
                  <w:divsChild>
                    <w:div w:id="1656760229">
                      <w:marLeft w:val="0"/>
                      <w:marRight w:val="0"/>
                      <w:marTop w:val="0"/>
                      <w:marBottom w:val="0"/>
                      <w:divBdr>
                        <w:top w:val="none" w:sz="0" w:space="0" w:color="auto"/>
                        <w:left w:val="none" w:sz="0" w:space="0" w:color="auto"/>
                        <w:bottom w:val="none" w:sz="0" w:space="0" w:color="auto"/>
                        <w:right w:val="none" w:sz="0" w:space="0" w:color="auto"/>
                      </w:divBdr>
                    </w:div>
                  </w:divsChild>
                </w:div>
                <w:div w:id="2075470536">
                  <w:marLeft w:val="0"/>
                  <w:marRight w:val="0"/>
                  <w:marTop w:val="0"/>
                  <w:marBottom w:val="0"/>
                  <w:divBdr>
                    <w:top w:val="none" w:sz="0" w:space="0" w:color="auto"/>
                    <w:left w:val="none" w:sz="0" w:space="0" w:color="auto"/>
                    <w:bottom w:val="none" w:sz="0" w:space="0" w:color="auto"/>
                    <w:right w:val="none" w:sz="0" w:space="0" w:color="auto"/>
                  </w:divBdr>
                  <w:divsChild>
                    <w:div w:id="1205600372">
                      <w:marLeft w:val="0"/>
                      <w:marRight w:val="0"/>
                      <w:marTop w:val="0"/>
                      <w:marBottom w:val="0"/>
                      <w:divBdr>
                        <w:top w:val="none" w:sz="0" w:space="0" w:color="auto"/>
                        <w:left w:val="none" w:sz="0" w:space="0" w:color="auto"/>
                        <w:bottom w:val="none" w:sz="0" w:space="0" w:color="auto"/>
                        <w:right w:val="none" w:sz="0" w:space="0" w:color="auto"/>
                      </w:divBdr>
                    </w:div>
                  </w:divsChild>
                </w:div>
                <w:div w:id="2077511570">
                  <w:marLeft w:val="0"/>
                  <w:marRight w:val="0"/>
                  <w:marTop w:val="0"/>
                  <w:marBottom w:val="0"/>
                  <w:divBdr>
                    <w:top w:val="none" w:sz="0" w:space="0" w:color="auto"/>
                    <w:left w:val="none" w:sz="0" w:space="0" w:color="auto"/>
                    <w:bottom w:val="none" w:sz="0" w:space="0" w:color="auto"/>
                    <w:right w:val="none" w:sz="0" w:space="0" w:color="auto"/>
                  </w:divBdr>
                  <w:divsChild>
                    <w:div w:id="1243099866">
                      <w:marLeft w:val="0"/>
                      <w:marRight w:val="0"/>
                      <w:marTop w:val="0"/>
                      <w:marBottom w:val="0"/>
                      <w:divBdr>
                        <w:top w:val="none" w:sz="0" w:space="0" w:color="auto"/>
                        <w:left w:val="none" w:sz="0" w:space="0" w:color="auto"/>
                        <w:bottom w:val="none" w:sz="0" w:space="0" w:color="auto"/>
                        <w:right w:val="none" w:sz="0" w:space="0" w:color="auto"/>
                      </w:divBdr>
                    </w:div>
                  </w:divsChild>
                </w:div>
                <w:div w:id="2093161641">
                  <w:marLeft w:val="0"/>
                  <w:marRight w:val="0"/>
                  <w:marTop w:val="0"/>
                  <w:marBottom w:val="0"/>
                  <w:divBdr>
                    <w:top w:val="none" w:sz="0" w:space="0" w:color="auto"/>
                    <w:left w:val="none" w:sz="0" w:space="0" w:color="auto"/>
                    <w:bottom w:val="none" w:sz="0" w:space="0" w:color="auto"/>
                    <w:right w:val="none" w:sz="0" w:space="0" w:color="auto"/>
                  </w:divBdr>
                  <w:divsChild>
                    <w:div w:id="1755010888">
                      <w:marLeft w:val="0"/>
                      <w:marRight w:val="0"/>
                      <w:marTop w:val="0"/>
                      <w:marBottom w:val="0"/>
                      <w:divBdr>
                        <w:top w:val="none" w:sz="0" w:space="0" w:color="auto"/>
                        <w:left w:val="none" w:sz="0" w:space="0" w:color="auto"/>
                        <w:bottom w:val="none" w:sz="0" w:space="0" w:color="auto"/>
                        <w:right w:val="none" w:sz="0" w:space="0" w:color="auto"/>
                      </w:divBdr>
                    </w:div>
                  </w:divsChild>
                </w:div>
                <w:div w:id="2098868437">
                  <w:marLeft w:val="0"/>
                  <w:marRight w:val="0"/>
                  <w:marTop w:val="0"/>
                  <w:marBottom w:val="0"/>
                  <w:divBdr>
                    <w:top w:val="none" w:sz="0" w:space="0" w:color="auto"/>
                    <w:left w:val="none" w:sz="0" w:space="0" w:color="auto"/>
                    <w:bottom w:val="none" w:sz="0" w:space="0" w:color="auto"/>
                    <w:right w:val="none" w:sz="0" w:space="0" w:color="auto"/>
                  </w:divBdr>
                  <w:divsChild>
                    <w:div w:id="1165165731">
                      <w:marLeft w:val="0"/>
                      <w:marRight w:val="0"/>
                      <w:marTop w:val="0"/>
                      <w:marBottom w:val="0"/>
                      <w:divBdr>
                        <w:top w:val="none" w:sz="0" w:space="0" w:color="auto"/>
                        <w:left w:val="none" w:sz="0" w:space="0" w:color="auto"/>
                        <w:bottom w:val="none" w:sz="0" w:space="0" w:color="auto"/>
                        <w:right w:val="none" w:sz="0" w:space="0" w:color="auto"/>
                      </w:divBdr>
                    </w:div>
                  </w:divsChild>
                </w:div>
                <w:div w:id="2104104385">
                  <w:marLeft w:val="0"/>
                  <w:marRight w:val="0"/>
                  <w:marTop w:val="0"/>
                  <w:marBottom w:val="0"/>
                  <w:divBdr>
                    <w:top w:val="none" w:sz="0" w:space="0" w:color="auto"/>
                    <w:left w:val="none" w:sz="0" w:space="0" w:color="auto"/>
                    <w:bottom w:val="none" w:sz="0" w:space="0" w:color="auto"/>
                    <w:right w:val="none" w:sz="0" w:space="0" w:color="auto"/>
                  </w:divBdr>
                  <w:divsChild>
                    <w:div w:id="111368488">
                      <w:marLeft w:val="0"/>
                      <w:marRight w:val="0"/>
                      <w:marTop w:val="0"/>
                      <w:marBottom w:val="0"/>
                      <w:divBdr>
                        <w:top w:val="none" w:sz="0" w:space="0" w:color="auto"/>
                        <w:left w:val="none" w:sz="0" w:space="0" w:color="auto"/>
                        <w:bottom w:val="none" w:sz="0" w:space="0" w:color="auto"/>
                        <w:right w:val="none" w:sz="0" w:space="0" w:color="auto"/>
                      </w:divBdr>
                    </w:div>
                  </w:divsChild>
                </w:div>
                <w:div w:id="2113696332">
                  <w:marLeft w:val="0"/>
                  <w:marRight w:val="0"/>
                  <w:marTop w:val="0"/>
                  <w:marBottom w:val="0"/>
                  <w:divBdr>
                    <w:top w:val="none" w:sz="0" w:space="0" w:color="auto"/>
                    <w:left w:val="none" w:sz="0" w:space="0" w:color="auto"/>
                    <w:bottom w:val="none" w:sz="0" w:space="0" w:color="auto"/>
                    <w:right w:val="none" w:sz="0" w:space="0" w:color="auto"/>
                  </w:divBdr>
                  <w:divsChild>
                    <w:div w:id="1157964999">
                      <w:marLeft w:val="0"/>
                      <w:marRight w:val="0"/>
                      <w:marTop w:val="0"/>
                      <w:marBottom w:val="0"/>
                      <w:divBdr>
                        <w:top w:val="none" w:sz="0" w:space="0" w:color="auto"/>
                        <w:left w:val="none" w:sz="0" w:space="0" w:color="auto"/>
                        <w:bottom w:val="none" w:sz="0" w:space="0" w:color="auto"/>
                        <w:right w:val="none" w:sz="0" w:space="0" w:color="auto"/>
                      </w:divBdr>
                    </w:div>
                  </w:divsChild>
                </w:div>
                <w:div w:id="2117675650">
                  <w:marLeft w:val="0"/>
                  <w:marRight w:val="0"/>
                  <w:marTop w:val="0"/>
                  <w:marBottom w:val="0"/>
                  <w:divBdr>
                    <w:top w:val="none" w:sz="0" w:space="0" w:color="auto"/>
                    <w:left w:val="none" w:sz="0" w:space="0" w:color="auto"/>
                    <w:bottom w:val="none" w:sz="0" w:space="0" w:color="auto"/>
                    <w:right w:val="none" w:sz="0" w:space="0" w:color="auto"/>
                  </w:divBdr>
                  <w:divsChild>
                    <w:div w:id="2106999405">
                      <w:marLeft w:val="0"/>
                      <w:marRight w:val="0"/>
                      <w:marTop w:val="0"/>
                      <w:marBottom w:val="0"/>
                      <w:divBdr>
                        <w:top w:val="none" w:sz="0" w:space="0" w:color="auto"/>
                        <w:left w:val="none" w:sz="0" w:space="0" w:color="auto"/>
                        <w:bottom w:val="none" w:sz="0" w:space="0" w:color="auto"/>
                        <w:right w:val="none" w:sz="0" w:space="0" w:color="auto"/>
                      </w:divBdr>
                    </w:div>
                  </w:divsChild>
                </w:div>
                <w:div w:id="2124954472">
                  <w:marLeft w:val="0"/>
                  <w:marRight w:val="0"/>
                  <w:marTop w:val="0"/>
                  <w:marBottom w:val="0"/>
                  <w:divBdr>
                    <w:top w:val="none" w:sz="0" w:space="0" w:color="auto"/>
                    <w:left w:val="none" w:sz="0" w:space="0" w:color="auto"/>
                    <w:bottom w:val="none" w:sz="0" w:space="0" w:color="auto"/>
                    <w:right w:val="none" w:sz="0" w:space="0" w:color="auto"/>
                  </w:divBdr>
                  <w:divsChild>
                    <w:div w:id="1630814833">
                      <w:marLeft w:val="0"/>
                      <w:marRight w:val="0"/>
                      <w:marTop w:val="0"/>
                      <w:marBottom w:val="0"/>
                      <w:divBdr>
                        <w:top w:val="none" w:sz="0" w:space="0" w:color="auto"/>
                        <w:left w:val="none" w:sz="0" w:space="0" w:color="auto"/>
                        <w:bottom w:val="none" w:sz="0" w:space="0" w:color="auto"/>
                        <w:right w:val="none" w:sz="0" w:space="0" w:color="auto"/>
                      </w:divBdr>
                    </w:div>
                  </w:divsChild>
                </w:div>
                <w:div w:id="2128507196">
                  <w:marLeft w:val="0"/>
                  <w:marRight w:val="0"/>
                  <w:marTop w:val="0"/>
                  <w:marBottom w:val="0"/>
                  <w:divBdr>
                    <w:top w:val="none" w:sz="0" w:space="0" w:color="auto"/>
                    <w:left w:val="none" w:sz="0" w:space="0" w:color="auto"/>
                    <w:bottom w:val="none" w:sz="0" w:space="0" w:color="auto"/>
                    <w:right w:val="none" w:sz="0" w:space="0" w:color="auto"/>
                  </w:divBdr>
                  <w:divsChild>
                    <w:div w:id="2086298637">
                      <w:marLeft w:val="0"/>
                      <w:marRight w:val="0"/>
                      <w:marTop w:val="0"/>
                      <w:marBottom w:val="0"/>
                      <w:divBdr>
                        <w:top w:val="none" w:sz="0" w:space="0" w:color="auto"/>
                        <w:left w:val="none" w:sz="0" w:space="0" w:color="auto"/>
                        <w:bottom w:val="none" w:sz="0" w:space="0" w:color="auto"/>
                        <w:right w:val="none" w:sz="0" w:space="0" w:color="auto"/>
                      </w:divBdr>
                    </w:div>
                  </w:divsChild>
                </w:div>
                <w:div w:id="2133477389">
                  <w:marLeft w:val="0"/>
                  <w:marRight w:val="0"/>
                  <w:marTop w:val="0"/>
                  <w:marBottom w:val="0"/>
                  <w:divBdr>
                    <w:top w:val="none" w:sz="0" w:space="0" w:color="auto"/>
                    <w:left w:val="none" w:sz="0" w:space="0" w:color="auto"/>
                    <w:bottom w:val="none" w:sz="0" w:space="0" w:color="auto"/>
                    <w:right w:val="none" w:sz="0" w:space="0" w:color="auto"/>
                  </w:divBdr>
                  <w:divsChild>
                    <w:div w:id="1290041626">
                      <w:marLeft w:val="0"/>
                      <w:marRight w:val="0"/>
                      <w:marTop w:val="0"/>
                      <w:marBottom w:val="0"/>
                      <w:divBdr>
                        <w:top w:val="none" w:sz="0" w:space="0" w:color="auto"/>
                        <w:left w:val="none" w:sz="0" w:space="0" w:color="auto"/>
                        <w:bottom w:val="none" w:sz="0" w:space="0" w:color="auto"/>
                        <w:right w:val="none" w:sz="0" w:space="0" w:color="auto"/>
                      </w:divBdr>
                    </w:div>
                  </w:divsChild>
                </w:div>
                <w:div w:id="2137291726">
                  <w:marLeft w:val="0"/>
                  <w:marRight w:val="0"/>
                  <w:marTop w:val="0"/>
                  <w:marBottom w:val="0"/>
                  <w:divBdr>
                    <w:top w:val="none" w:sz="0" w:space="0" w:color="auto"/>
                    <w:left w:val="none" w:sz="0" w:space="0" w:color="auto"/>
                    <w:bottom w:val="none" w:sz="0" w:space="0" w:color="auto"/>
                    <w:right w:val="none" w:sz="0" w:space="0" w:color="auto"/>
                  </w:divBdr>
                  <w:divsChild>
                    <w:div w:id="1971089352">
                      <w:marLeft w:val="0"/>
                      <w:marRight w:val="0"/>
                      <w:marTop w:val="0"/>
                      <w:marBottom w:val="0"/>
                      <w:divBdr>
                        <w:top w:val="none" w:sz="0" w:space="0" w:color="auto"/>
                        <w:left w:val="none" w:sz="0" w:space="0" w:color="auto"/>
                        <w:bottom w:val="none" w:sz="0" w:space="0" w:color="auto"/>
                        <w:right w:val="none" w:sz="0" w:space="0" w:color="auto"/>
                      </w:divBdr>
                    </w:div>
                  </w:divsChild>
                </w:div>
                <w:div w:id="2141219304">
                  <w:marLeft w:val="0"/>
                  <w:marRight w:val="0"/>
                  <w:marTop w:val="0"/>
                  <w:marBottom w:val="0"/>
                  <w:divBdr>
                    <w:top w:val="none" w:sz="0" w:space="0" w:color="auto"/>
                    <w:left w:val="none" w:sz="0" w:space="0" w:color="auto"/>
                    <w:bottom w:val="none" w:sz="0" w:space="0" w:color="auto"/>
                    <w:right w:val="none" w:sz="0" w:space="0" w:color="auto"/>
                  </w:divBdr>
                  <w:divsChild>
                    <w:div w:id="194317193">
                      <w:marLeft w:val="0"/>
                      <w:marRight w:val="0"/>
                      <w:marTop w:val="0"/>
                      <w:marBottom w:val="0"/>
                      <w:divBdr>
                        <w:top w:val="none" w:sz="0" w:space="0" w:color="auto"/>
                        <w:left w:val="none" w:sz="0" w:space="0" w:color="auto"/>
                        <w:bottom w:val="none" w:sz="0" w:space="0" w:color="auto"/>
                        <w:right w:val="none" w:sz="0" w:space="0" w:color="auto"/>
                      </w:divBdr>
                    </w:div>
                  </w:divsChild>
                </w:div>
                <w:div w:id="2146963395">
                  <w:marLeft w:val="0"/>
                  <w:marRight w:val="0"/>
                  <w:marTop w:val="0"/>
                  <w:marBottom w:val="0"/>
                  <w:divBdr>
                    <w:top w:val="none" w:sz="0" w:space="0" w:color="auto"/>
                    <w:left w:val="none" w:sz="0" w:space="0" w:color="auto"/>
                    <w:bottom w:val="none" w:sz="0" w:space="0" w:color="auto"/>
                    <w:right w:val="none" w:sz="0" w:space="0" w:color="auto"/>
                  </w:divBdr>
                  <w:divsChild>
                    <w:div w:id="186778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783415">
          <w:marLeft w:val="0"/>
          <w:marRight w:val="0"/>
          <w:marTop w:val="0"/>
          <w:marBottom w:val="0"/>
          <w:divBdr>
            <w:top w:val="none" w:sz="0" w:space="0" w:color="auto"/>
            <w:left w:val="none" w:sz="0" w:space="0" w:color="auto"/>
            <w:bottom w:val="none" w:sz="0" w:space="0" w:color="auto"/>
            <w:right w:val="none" w:sz="0" w:space="0" w:color="auto"/>
          </w:divBdr>
        </w:div>
        <w:div w:id="809446335">
          <w:marLeft w:val="0"/>
          <w:marRight w:val="0"/>
          <w:marTop w:val="0"/>
          <w:marBottom w:val="0"/>
          <w:divBdr>
            <w:top w:val="none" w:sz="0" w:space="0" w:color="auto"/>
            <w:left w:val="none" w:sz="0" w:space="0" w:color="auto"/>
            <w:bottom w:val="none" w:sz="0" w:space="0" w:color="auto"/>
            <w:right w:val="none" w:sz="0" w:space="0" w:color="auto"/>
          </w:divBdr>
        </w:div>
        <w:div w:id="809520214">
          <w:marLeft w:val="0"/>
          <w:marRight w:val="0"/>
          <w:marTop w:val="0"/>
          <w:marBottom w:val="0"/>
          <w:divBdr>
            <w:top w:val="none" w:sz="0" w:space="0" w:color="auto"/>
            <w:left w:val="none" w:sz="0" w:space="0" w:color="auto"/>
            <w:bottom w:val="none" w:sz="0" w:space="0" w:color="auto"/>
            <w:right w:val="none" w:sz="0" w:space="0" w:color="auto"/>
          </w:divBdr>
        </w:div>
        <w:div w:id="811361219">
          <w:marLeft w:val="0"/>
          <w:marRight w:val="0"/>
          <w:marTop w:val="0"/>
          <w:marBottom w:val="0"/>
          <w:divBdr>
            <w:top w:val="none" w:sz="0" w:space="0" w:color="auto"/>
            <w:left w:val="none" w:sz="0" w:space="0" w:color="auto"/>
            <w:bottom w:val="none" w:sz="0" w:space="0" w:color="auto"/>
            <w:right w:val="none" w:sz="0" w:space="0" w:color="auto"/>
          </w:divBdr>
        </w:div>
        <w:div w:id="811365794">
          <w:marLeft w:val="0"/>
          <w:marRight w:val="0"/>
          <w:marTop w:val="0"/>
          <w:marBottom w:val="0"/>
          <w:divBdr>
            <w:top w:val="none" w:sz="0" w:space="0" w:color="auto"/>
            <w:left w:val="none" w:sz="0" w:space="0" w:color="auto"/>
            <w:bottom w:val="none" w:sz="0" w:space="0" w:color="auto"/>
            <w:right w:val="none" w:sz="0" w:space="0" w:color="auto"/>
          </w:divBdr>
        </w:div>
        <w:div w:id="811481163">
          <w:marLeft w:val="0"/>
          <w:marRight w:val="0"/>
          <w:marTop w:val="0"/>
          <w:marBottom w:val="0"/>
          <w:divBdr>
            <w:top w:val="none" w:sz="0" w:space="0" w:color="auto"/>
            <w:left w:val="none" w:sz="0" w:space="0" w:color="auto"/>
            <w:bottom w:val="none" w:sz="0" w:space="0" w:color="auto"/>
            <w:right w:val="none" w:sz="0" w:space="0" w:color="auto"/>
          </w:divBdr>
        </w:div>
        <w:div w:id="811753659">
          <w:marLeft w:val="0"/>
          <w:marRight w:val="0"/>
          <w:marTop w:val="0"/>
          <w:marBottom w:val="0"/>
          <w:divBdr>
            <w:top w:val="none" w:sz="0" w:space="0" w:color="auto"/>
            <w:left w:val="none" w:sz="0" w:space="0" w:color="auto"/>
            <w:bottom w:val="none" w:sz="0" w:space="0" w:color="auto"/>
            <w:right w:val="none" w:sz="0" w:space="0" w:color="auto"/>
          </w:divBdr>
          <w:divsChild>
            <w:div w:id="2171127">
              <w:marLeft w:val="0"/>
              <w:marRight w:val="0"/>
              <w:marTop w:val="0"/>
              <w:marBottom w:val="0"/>
              <w:divBdr>
                <w:top w:val="none" w:sz="0" w:space="0" w:color="auto"/>
                <w:left w:val="none" w:sz="0" w:space="0" w:color="auto"/>
                <w:bottom w:val="none" w:sz="0" w:space="0" w:color="auto"/>
                <w:right w:val="none" w:sz="0" w:space="0" w:color="auto"/>
              </w:divBdr>
            </w:div>
            <w:div w:id="27799932">
              <w:marLeft w:val="0"/>
              <w:marRight w:val="0"/>
              <w:marTop w:val="0"/>
              <w:marBottom w:val="0"/>
              <w:divBdr>
                <w:top w:val="none" w:sz="0" w:space="0" w:color="auto"/>
                <w:left w:val="none" w:sz="0" w:space="0" w:color="auto"/>
                <w:bottom w:val="none" w:sz="0" w:space="0" w:color="auto"/>
                <w:right w:val="none" w:sz="0" w:space="0" w:color="auto"/>
              </w:divBdr>
            </w:div>
            <w:div w:id="68431160">
              <w:marLeft w:val="0"/>
              <w:marRight w:val="0"/>
              <w:marTop w:val="0"/>
              <w:marBottom w:val="0"/>
              <w:divBdr>
                <w:top w:val="none" w:sz="0" w:space="0" w:color="auto"/>
                <w:left w:val="none" w:sz="0" w:space="0" w:color="auto"/>
                <w:bottom w:val="none" w:sz="0" w:space="0" w:color="auto"/>
                <w:right w:val="none" w:sz="0" w:space="0" w:color="auto"/>
              </w:divBdr>
            </w:div>
            <w:div w:id="403138579">
              <w:marLeft w:val="0"/>
              <w:marRight w:val="0"/>
              <w:marTop w:val="0"/>
              <w:marBottom w:val="0"/>
              <w:divBdr>
                <w:top w:val="none" w:sz="0" w:space="0" w:color="auto"/>
                <w:left w:val="none" w:sz="0" w:space="0" w:color="auto"/>
                <w:bottom w:val="none" w:sz="0" w:space="0" w:color="auto"/>
                <w:right w:val="none" w:sz="0" w:space="0" w:color="auto"/>
              </w:divBdr>
            </w:div>
            <w:div w:id="510334110">
              <w:marLeft w:val="0"/>
              <w:marRight w:val="0"/>
              <w:marTop w:val="0"/>
              <w:marBottom w:val="0"/>
              <w:divBdr>
                <w:top w:val="none" w:sz="0" w:space="0" w:color="auto"/>
                <w:left w:val="none" w:sz="0" w:space="0" w:color="auto"/>
                <w:bottom w:val="none" w:sz="0" w:space="0" w:color="auto"/>
                <w:right w:val="none" w:sz="0" w:space="0" w:color="auto"/>
              </w:divBdr>
            </w:div>
            <w:div w:id="643196158">
              <w:marLeft w:val="0"/>
              <w:marRight w:val="0"/>
              <w:marTop w:val="0"/>
              <w:marBottom w:val="0"/>
              <w:divBdr>
                <w:top w:val="none" w:sz="0" w:space="0" w:color="auto"/>
                <w:left w:val="none" w:sz="0" w:space="0" w:color="auto"/>
                <w:bottom w:val="none" w:sz="0" w:space="0" w:color="auto"/>
                <w:right w:val="none" w:sz="0" w:space="0" w:color="auto"/>
              </w:divBdr>
            </w:div>
            <w:div w:id="875853198">
              <w:marLeft w:val="0"/>
              <w:marRight w:val="0"/>
              <w:marTop w:val="0"/>
              <w:marBottom w:val="0"/>
              <w:divBdr>
                <w:top w:val="none" w:sz="0" w:space="0" w:color="auto"/>
                <w:left w:val="none" w:sz="0" w:space="0" w:color="auto"/>
                <w:bottom w:val="none" w:sz="0" w:space="0" w:color="auto"/>
                <w:right w:val="none" w:sz="0" w:space="0" w:color="auto"/>
              </w:divBdr>
            </w:div>
            <w:div w:id="1060636041">
              <w:marLeft w:val="0"/>
              <w:marRight w:val="0"/>
              <w:marTop w:val="0"/>
              <w:marBottom w:val="0"/>
              <w:divBdr>
                <w:top w:val="none" w:sz="0" w:space="0" w:color="auto"/>
                <w:left w:val="none" w:sz="0" w:space="0" w:color="auto"/>
                <w:bottom w:val="none" w:sz="0" w:space="0" w:color="auto"/>
                <w:right w:val="none" w:sz="0" w:space="0" w:color="auto"/>
              </w:divBdr>
            </w:div>
            <w:div w:id="1260799502">
              <w:marLeft w:val="0"/>
              <w:marRight w:val="0"/>
              <w:marTop w:val="0"/>
              <w:marBottom w:val="0"/>
              <w:divBdr>
                <w:top w:val="none" w:sz="0" w:space="0" w:color="auto"/>
                <w:left w:val="none" w:sz="0" w:space="0" w:color="auto"/>
                <w:bottom w:val="none" w:sz="0" w:space="0" w:color="auto"/>
                <w:right w:val="none" w:sz="0" w:space="0" w:color="auto"/>
              </w:divBdr>
            </w:div>
            <w:div w:id="1281036540">
              <w:marLeft w:val="0"/>
              <w:marRight w:val="0"/>
              <w:marTop w:val="0"/>
              <w:marBottom w:val="0"/>
              <w:divBdr>
                <w:top w:val="none" w:sz="0" w:space="0" w:color="auto"/>
                <w:left w:val="none" w:sz="0" w:space="0" w:color="auto"/>
                <w:bottom w:val="none" w:sz="0" w:space="0" w:color="auto"/>
                <w:right w:val="none" w:sz="0" w:space="0" w:color="auto"/>
              </w:divBdr>
            </w:div>
            <w:div w:id="1348361067">
              <w:marLeft w:val="0"/>
              <w:marRight w:val="0"/>
              <w:marTop w:val="0"/>
              <w:marBottom w:val="0"/>
              <w:divBdr>
                <w:top w:val="none" w:sz="0" w:space="0" w:color="auto"/>
                <w:left w:val="none" w:sz="0" w:space="0" w:color="auto"/>
                <w:bottom w:val="none" w:sz="0" w:space="0" w:color="auto"/>
                <w:right w:val="none" w:sz="0" w:space="0" w:color="auto"/>
              </w:divBdr>
            </w:div>
            <w:div w:id="1638418497">
              <w:marLeft w:val="0"/>
              <w:marRight w:val="0"/>
              <w:marTop w:val="0"/>
              <w:marBottom w:val="0"/>
              <w:divBdr>
                <w:top w:val="none" w:sz="0" w:space="0" w:color="auto"/>
                <w:left w:val="none" w:sz="0" w:space="0" w:color="auto"/>
                <w:bottom w:val="none" w:sz="0" w:space="0" w:color="auto"/>
                <w:right w:val="none" w:sz="0" w:space="0" w:color="auto"/>
              </w:divBdr>
            </w:div>
            <w:div w:id="1776712333">
              <w:marLeft w:val="0"/>
              <w:marRight w:val="0"/>
              <w:marTop w:val="0"/>
              <w:marBottom w:val="0"/>
              <w:divBdr>
                <w:top w:val="none" w:sz="0" w:space="0" w:color="auto"/>
                <w:left w:val="none" w:sz="0" w:space="0" w:color="auto"/>
                <w:bottom w:val="none" w:sz="0" w:space="0" w:color="auto"/>
                <w:right w:val="none" w:sz="0" w:space="0" w:color="auto"/>
              </w:divBdr>
            </w:div>
            <w:div w:id="1816945485">
              <w:marLeft w:val="0"/>
              <w:marRight w:val="0"/>
              <w:marTop w:val="0"/>
              <w:marBottom w:val="0"/>
              <w:divBdr>
                <w:top w:val="none" w:sz="0" w:space="0" w:color="auto"/>
                <w:left w:val="none" w:sz="0" w:space="0" w:color="auto"/>
                <w:bottom w:val="none" w:sz="0" w:space="0" w:color="auto"/>
                <w:right w:val="none" w:sz="0" w:space="0" w:color="auto"/>
              </w:divBdr>
            </w:div>
            <w:div w:id="1844541524">
              <w:marLeft w:val="0"/>
              <w:marRight w:val="0"/>
              <w:marTop w:val="0"/>
              <w:marBottom w:val="0"/>
              <w:divBdr>
                <w:top w:val="none" w:sz="0" w:space="0" w:color="auto"/>
                <w:left w:val="none" w:sz="0" w:space="0" w:color="auto"/>
                <w:bottom w:val="none" w:sz="0" w:space="0" w:color="auto"/>
                <w:right w:val="none" w:sz="0" w:space="0" w:color="auto"/>
              </w:divBdr>
            </w:div>
            <w:div w:id="1875728757">
              <w:marLeft w:val="0"/>
              <w:marRight w:val="0"/>
              <w:marTop w:val="0"/>
              <w:marBottom w:val="0"/>
              <w:divBdr>
                <w:top w:val="none" w:sz="0" w:space="0" w:color="auto"/>
                <w:left w:val="none" w:sz="0" w:space="0" w:color="auto"/>
                <w:bottom w:val="none" w:sz="0" w:space="0" w:color="auto"/>
                <w:right w:val="none" w:sz="0" w:space="0" w:color="auto"/>
              </w:divBdr>
            </w:div>
            <w:div w:id="2138600986">
              <w:marLeft w:val="0"/>
              <w:marRight w:val="0"/>
              <w:marTop w:val="0"/>
              <w:marBottom w:val="0"/>
              <w:divBdr>
                <w:top w:val="none" w:sz="0" w:space="0" w:color="auto"/>
                <w:left w:val="none" w:sz="0" w:space="0" w:color="auto"/>
                <w:bottom w:val="none" w:sz="0" w:space="0" w:color="auto"/>
                <w:right w:val="none" w:sz="0" w:space="0" w:color="auto"/>
              </w:divBdr>
            </w:div>
          </w:divsChild>
        </w:div>
        <w:div w:id="812333276">
          <w:marLeft w:val="0"/>
          <w:marRight w:val="0"/>
          <w:marTop w:val="0"/>
          <w:marBottom w:val="0"/>
          <w:divBdr>
            <w:top w:val="none" w:sz="0" w:space="0" w:color="auto"/>
            <w:left w:val="none" w:sz="0" w:space="0" w:color="auto"/>
            <w:bottom w:val="none" w:sz="0" w:space="0" w:color="auto"/>
            <w:right w:val="none" w:sz="0" w:space="0" w:color="auto"/>
          </w:divBdr>
        </w:div>
        <w:div w:id="813989525">
          <w:marLeft w:val="0"/>
          <w:marRight w:val="0"/>
          <w:marTop w:val="0"/>
          <w:marBottom w:val="0"/>
          <w:divBdr>
            <w:top w:val="none" w:sz="0" w:space="0" w:color="auto"/>
            <w:left w:val="none" w:sz="0" w:space="0" w:color="auto"/>
            <w:bottom w:val="none" w:sz="0" w:space="0" w:color="auto"/>
            <w:right w:val="none" w:sz="0" w:space="0" w:color="auto"/>
          </w:divBdr>
          <w:divsChild>
            <w:div w:id="44990220">
              <w:marLeft w:val="0"/>
              <w:marRight w:val="0"/>
              <w:marTop w:val="0"/>
              <w:marBottom w:val="0"/>
              <w:divBdr>
                <w:top w:val="none" w:sz="0" w:space="0" w:color="auto"/>
                <w:left w:val="none" w:sz="0" w:space="0" w:color="auto"/>
                <w:bottom w:val="none" w:sz="0" w:space="0" w:color="auto"/>
                <w:right w:val="none" w:sz="0" w:space="0" w:color="auto"/>
              </w:divBdr>
            </w:div>
            <w:div w:id="178852796">
              <w:marLeft w:val="0"/>
              <w:marRight w:val="0"/>
              <w:marTop w:val="0"/>
              <w:marBottom w:val="0"/>
              <w:divBdr>
                <w:top w:val="none" w:sz="0" w:space="0" w:color="auto"/>
                <w:left w:val="none" w:sz="0" w:space="0" w:color="auto"/>
                <w:bottom w:val="none" w:sz="0" w:space="0" w:color="auto"/>
                <w:right w:val="none" w:sz="0" w:space="0" w:color="auto"/>
              </w:divBdr>
            </w:div>
            <w:div w:id="305864544">
              <w:marLeft w:val="0"/>
              <w:marRight w:val="0"/>
              <w:marTop w:val="0"/>
              <w:marBottom w:val="0"/>
              <w:divBdr>
                <w:top w:val="none" w:sz="0" w:space="0" w:color="auto"/>
                <w:left w:val="none" w:sz="0" w:space="0" w:color="auto"/>
                <w:bottom w:val="none" w:sz="0" w:space="0" w:color="auto"/>
                <w:right w:val="none" w:sz="0" w:space="0" w:color="auto"/>
              </w:divBdr>
            </w:div>
            <w:div w:id="458493645">
              <w:marLeft w:val="0"/>
              <w:marRight w:val="0"/>
              <w:marTop w:val="0"/>
              <w:marBottom w:val="0"/>
              <w:divBdr>
                <w:top w:val="none" w:sz="0" w:space="0" w:color="auto"/>
                <w:left w:val="none" w:sz="0" w:space="0" w:color="auto"/>
                <w:bottom w:val="none" w:sz="0" w:space="0" w:color="auto"/>
                <w:right w:val="none" w:sz="0" w:space="0" w:color="auto"/>
              </w:divBdr>
            </w:div>
            <w:div w:id="613093131">
              <w:marLeft w:val="0"/>
              <w:marRight w:val="0"/>
              <w:marTop w:val="0"/>
              <w:marBottom w:val="0"/>
              <w:divBdr>
                <w:top w:val="none" w:sz="0" w:space="0" w:color="auto"/>
                <w:left w:val="none" w:sz="0" w:space="0" w:color="auto"/>
                <w:bottom w:val="none" w:sz="0" w:space="0" w:color="auto"/>
                <w:right w:val="none" w:sz="0" w:space="0" w:color="auto"/>
              </w:divBdr>
            </w:div>
            <w:div w:id="746152750">
              <w:marLeft w:val="0"/>
              <w:marRight w:val="0"/>
              <w:marTop w:val="0"/>
              <w:marBottom w:val="0"/>
              <w:divBdr>
                <w:top w:val="none" w:sz="0" w:space="0" w:color="auto"/>
                <w:left w:val="none" w:sz="0" w:space="0" w:color="auto"/>
                <w:bottom w:val="none" w:sz="0" w:space="0" w:color="auto"/>
                <w:right w:val="none" w:sz="0" w:space="0" w:color="auto"/>
              </w:divBdr>
            </w:div>
            <w:div w:id="813596460">
              <w:marLeft w:val="0"/>
              <w:marRight w:val="0"/>
              <w:marTop w:val="0"/>
              <w:marBottom w:val="0"/>
              <w:divBdr>
                <w:top w:val="none" w:sz="0" w:space="0" w:color="auto"/>
                <w:left w:val="none" w:sz="0" w:space="0" w:color="auto"/>
                <w:bottom w:val="none" w:sz="0" w:space="0" w:color="auto"/>
                <w:right w:val="none" w:sz="0" w:space="0" w:color="auto"/>
              </w:divBdr>
            </w:div>
            <w:div w:id="970788636">
              <w:marLeft w:val="0"/>
              <w:marRight w:val="0"/>
              <w:marTop w:val="0"/>
              <w:marBottom w:val="0"/>
              <w:divBdr>
                <w:top w:val="none" w:sz="0" w:space="0" w:color="auto"/>
                <w:left w:val="none" w:sz="0" w:space="0" w:color="auto"/>
                <w:bottom w:val="none" w:sz="0" w:space="0" w:color="auto"/>
                <w:right w:val="none" w:sz="0" w:space="0" w:color="auto"/>
              </w:divBdr>
            </w:div>
            <w:div w:id="1012032261">
              <w:marLeft w:val="0"/>
              <w:marRight w:val="0"/>
              <w:marTop w:val="0"/>
              <w:marBottom w:val="0"/>
              <w:divBdr>
                <w:top w:val="none" w:sz="0" w:space="0" w:color="auto"/>
                <w:left w:val="none" w:sz="0" w:space="0" w:color="auto"/>
                <w:bottom w:val="none" w:sz="0" w:space="0" w:color="auto"/>
                <w:right w:val="none" w:sz="0" w:space="0" w:color="auto"/>
              </w:divBdr>
            </w:div>
            <w:div w:id="1012491174">
              <w:marLeft w:val="0"/>
              <w:marRight w:val="0"/>
              <w:marTop w:val="0"/>
              <w:marBottom w:val="0"/>
              <w:divBdr>
                <w:top w:val="none" w:sz="0" w:space="0" w:color="auto"/>
                <w:left w:val="none" w:sz="0" w:space="0" w:color="auto"/>
                <w:bottom w:val="none" w:sz="0" w:space="0" w:color="auto"/>
                <w:right w:val="none" w:sz="0" w:space="0" w:color="auto"/>
              </w:divBdr>
            </w:div>
            <w:div w:id="1501894200">
              <w:marLeft w:val="0"/>
              <w:marRight w:val="0"/>
              <w:marTop w:val="0"/>
              <w:marBottom w:val="0"/>
              <w:divBdr>
                <w:top w:val="none" w:sz="0" w:space="0" w:color="auto"/>
                <w:left w:val="none" w:sz="0" w:space="0" w:color="auto"/>
                <w:bottom w:val="none" w:sz="0" w:space="0" w:color="auto"/>
                <w:right w:val="none" w:sz="0" w:space="0" w:color="auto"/>
              </w:divBdr>
            </w:div>
            <w:div w:id="1546331698">
              <w:marLeft w:val="0"/>
              <w:marRight w:val="0"/>
              <w:marTop w:val="0"/>
              <w:marBottom w:val="0"/>
              <w:divBdr>
                <w:top w:val="none" w:sz="0" w:space="0" w:color="auto"/>
                <w:left w:val="none" w:sz="0" w:space="0" w:color="auto"/>
                <w:bottom w:val="none" w:sz="0" w:space="0" w:color="auto"/>
                <w:right w:val="none" w:sz="0" w:space="0" w:color="auto"/>
              </w:divBdr>
            </w:div>
            <w:div w:id="1646470973">
              <w:marLeft w:val="0"/>
              <w:marRight w:val="0"/>
              <w:marTop w:val="0"/>
              <w:marBottom w:val="0"/>
              <w:divBdr>
                <w:top w:val="none" w:sz="0" w:space="0" w:color="auto"/>
                <w:left w:val="none" w:sz="0" w:space="0" w:color="auto"/>
                <w:bottom w:val="none" w:sz="0" w:space="0" w:color="auto"/>
                <w:right w:val="none" w:sz="0" w:space="0" w:color="auto"/>
              </w:divBdr>
            </w:div>
            <w:div w:id="1648509491">
              <w:marLeft w:val="0"/>
              <w:marRight w:val="0"/>
              <w:marTop w:val="0"/>
              <w:marBottom w:val="0"/>
              <w:divBdr>
                <w:top w:val="none" w:sz="0" w:space="0" w:color="auto"/>
                <w:left w:val="none" w:sz="0" w:space="0" w:color="auto"/>
                <w:bottom w:val="none" w:sz="0" w:space="0" w:color="auto"/>
                <w:right w:val="none" w:sz="0" w:space="0" w:color="auto"/>
              </w:divBdr>
            </w:div>
            <w:div w:id="1759981620">
              <w:marLeft w:val="0"/>
              <w:marRight w:val="0"/>
              <w:marTop w:val="0"/>
              <w:marBottom w:val="0"/>
              <w:divBdr>
                <w:top w:val="none" w:sz="0" w:space="0" w:color="auto"/>
                <w:left w:val="none" w:sz="0" w:space="0" w:color="auto"/>
                <w:bottom w:val="none" w:sz="0" w:space="0" w:color="auto"/>
                <w:right w:val="none" w:sz="0" w:space="0" w:color="auto"/>
              </w:divBdr>
            </w:div>
            <w:div w:id="1860778460">
              <w:marLeft w:val="0"/>
              <w:marRight w:val="0"/>
              <w:marTop w:val="0"/>
              <w:marBottom w:val="0"/>
              <w:divBdr>
                <w:top w:val="none" w:sz="0" w:space="0" w:color="auto"/>
                <w:left w:val="none" w:sz="0" w:space="0" w:color="auto"/>
                <w:bottom w:val="none" w:sz="0" w:space="0" w:color="auto"/>
                <w:right w:val="none" w:sz="0" w:space="0" w:color="auto"/>
              </w:divBdr>
            </w:div>
            <w:div w:id="1935629420">
              <w:marLeft w:val="0"/>
              <w:marRight w:val="0"/>
              <w:marTop w:val="0"/>
              <w:marBottom w:val="0"/>
              <w:divBdr>
                <w:top w:val="none" w:sz="0" w:space="0" w:color="auto"/>
                <w:left w:val="none" w:sz="0" w:space="0" w:color="auto"/>
                <w:bottom w:val="none" w:sz="0" w:space="0" w:color="auto"/>
                <w:right w:val="none" w:sz="0" w:space="0" w:color="auto"/>
              </w:divBdr>
            </w:div>
            <w:div w:id="2016418767">
              <w:marLeft w:val="0"/>
              <w:marRight w:val="0"/>
              <w:marTop w:val="0"/>
              <w:marBottom w:val="0"/>
              <w:divBdr>
                <w:top w:val="none" w:sz="0" w:space="0" w:color="auto"/>
                <w:left w:val="none" w:sz="0" w:space="0" w:color="auto"/>
                <w:bottom w:val="none" w:sz="0" w:space="0" w:color="auto"/>
                <w:right w:val="none" w:sz="0" w:space="0" w:color="auto"/>
              </w:divBdr>
            </w:div>
            <w:div w:id="2102292146">
              <w:marLeft w:val="0"/>
              <w:marRight w:val="0"/>
              <w:marTop w:val="0"/>
              <w:marBottom w:val="0"/>
              <w:divBdr>
                <w:top w:val="none" w:sz="0" w:space="0" w:color="auto"/>
                <w:left w:val="none" w:sz="0" w:space="0" w:color="auto"/>
                <w:bottom w:val="none" w:sz="0" w:space="0" w:color="auto"/>
                <w:right w:val="none" w:sz="0" w:space="0" w:color="auto"/>
              </w:divBdr>
            </w:div>
          </w:divsChild>
        </w:div>
        <w:div w:id="815101654">
          <w:marLeft w:val="0"/>
          <w:marRight w:val="0"/>
          <w:marTop w:val="0"/>
          <w:marBottom w:val="0"/>
          <w:divBdr>
            <w:top w:val="none" w:sz="0" w:space="0" w:color="auto"/>
            <w:left w:val="none" w:sz="0" w:space="0" w:color="auto"/>
            <w:bottom w:val="none" w:sz="0" w:space="0" w:color="auto"/>
            <w:right w:val="none" w:sz="0" w:space="0" w:color="auto"/>
          </w:divBdr>
        </w:div>
        <w:div w:id="817965420">
          <w:marLeft w:val="0"/>
          <w:marRight w:val="0"/>
          <w:marTop w:val="0"/>
          <w:marBottom w:val="0"/>
          <w:divBdr>
            <w:top w:val="none" w:sz="0" w:space="0" w:color="auto"/>
            <w:left w:val="none" w:sz="0" w:space="0" w:color="auto"/>
            <w:bottom w:val="none" w:sz="0" w:space="0" w:color="auto"/>
            <w:right w:val="none" w:sz="0" w:space="0" w:color="auto"/>
          </w:divBdr>
        </w:div>
        <w:div w:id="822770864">
          <w:marLeft w:val="0"/>
          <w:marRight w:val="0"/>
          <w:marTop w:val="0"/>
          <w:marBottom w:val="0"/>
          <w:divBdr>
            <w:top w:val="none" w:sz="0" w:space="0" w:color="auto"/>
            <w:left w:val="none" w:sz="0" w:space="0" w:color="auto"/>
            <w:bottom w:val="none" w:sz="0" w:space="0" w:color="auto"/>
            <w:right w:val="none" w:sz="0" w:space="0" w:color="auto"/>
          </w:divBdr>
        </w:div>
        <w:div w:id="823744632">
          <w:marLeft w:val="0"/>
          <w:marRight w:val="0"/>
          <w:marTop w:val="0"/>
          <w:marBottom w:val="0"/>
          <w:divBdr>
            <w:top w:val="none" w:sz="0" w:space="0" w:color="auto"/>
            <w:left w:val="none" w:sz="0" w:space="0" w:color="auto"/>
            <w:bottom w:val="none" w:sz="0" w:space="0" w:color="auto"/>
            <w:right w:val="none" w:sz="0" w:space="0" w:color="auto"/>
          </w:divBdr>
        </w:div>
        <w:div w:id="825437890">
          <w:marLeft w:val="0"/>
          <w:marRight w:val="0"/>
          <w:marTop w:val="0"/>
          <w:marBottom w:val="0"/>
          <w:divBdr>
            <w:top w:val="none" w:sz="0" w:space="0" w:color="auto"/>
            <w:left w:val="none" w:sz="0" w:space="0" w:color="auto"/>
            <w:bottom w:val="none" w:sz="0" w:space="0" w:color="auto"/>
            <w:right w:val="none" w:sz="0" w:space="0" w:color="auto"/>
          </w:divBdr>
        </w:div>
        <w:div w:id="826435753">
          <w:marLeft w:val="0"/>
          <w:marRight w:val="0"/>
          <w:marTop w:val="0"/>
          <w:marBottom w:val="0"/>
          <w:divBdr>
            <w:top w:val="none" w:sz="0" w:space="0" w:color="auto"/>
            <w:left w:val="none" w:sz="0" w:space="0" w:color="auto"/>
            <w:bottom w:val="none" w:sz="0" w:space="0" w:color="auto"/>
            <w:right w:val="none" w:sz="0" w:space="0" w:color="auto"/>
          </w:divBdr>
        </w:div>
        <w:div w:id="827288988">
          <w:marLeft w:val="0"/>
          <w:marRight w:val="0"/>
          <w:marTop w:val="0"/>
          <w:marBottom w:val="0"/>
          <w:divBdr>
            <w:top w:val="none" w:sz="0" w:space="0" w:color="auto"/>
            <w:left w:val="none" w:sz="0" w:space="0" w:color="auto"/>
            <w:bottom w:val="none" w:sz="0" w:space="0" w:color="auto"/>
            <w:right w:val="none" w:sz="0" w:space="0" w:color="auto"/>
          </w:divBdr>
        </w:div>
        <w:div w:id="830218908">
          <w:marLeft w:val="0"/>
          <w:marRight w:val="0"/>
          <w:marTop w:val="0"/>
          <w:marBottom w:val="0"/>
          <w:divBdr>
            <w:top w:val="none" w:sz="0" w:space="0" w:color="auto"/>
            <w:left w:val="none" w:sz="0" w:space="0" w:color="auto"/>
            <w:bottom w:val="none" w:sz="0" w:space="0" w:color="auto"/>
            <w:right w:val="none" w:sz="0" w:space="0" w:color="auto"/>
          </w:divBdr>
        </w:div>
        <w:div w:id="830412527">
          <w:marLeft w:val="0"/>
          <w:marRight w:val="0"/>
          <w:marTop w:val="0"/>
          <w:marBottom w:val="0"/>
          <w:divBdr>
            <w:top w:val="none" w:sz="0" w:space="0" w:color="auto"/>
            <w:left w:val="none" w:sz="0" w:space="0" w:color="auto"/>
            <w:bottom w:val="none" w:sz="0" w:space="0" w:color="auto"/>
            <w:right w:val="none" w:sz="0" w:space="0" w:color="auto"/>
          </w:divBdr>
        </w:div>
        <w:div w:id="830412996">
          <w:marLeft w:val="0"/>
          <w:marRight w:val="0"/>
          <w:marTop w:val="0"/>
          <w:marBottom w:val="0"/>
          <w:divBdr>
            <w:top w:val="none" w:sz="0" w:space="0" w:color="auto"/>
            <w:left w:val="none" w:sz="0" w:space="0" w:color="auto"/>
            <w:bottom w:val="none" w:sz="0" w:space="0" w:color="auto"/>
            <w:right w:val="none" w:sz="0" w:space="0" w:color="auto"/>
          </w:divBdr>
        </w:div>
        <w:div w:id="830676843">
          <w:marLeft w:val="0"/>
          <w:marRight w:val="0"/>
          <w:marTop w:val="0"/>
          <w:marBottom w:val="0"/>
          <w:divBdr>
            <w:top w:val="none" w:sz="0" w:space="0" w:color="auto"/>
            <w:left w:val="none" w:sz="0" w:space="0" w:color="auto"/>
            <w:bottom w:val="none" w:sz="0" w:space="0" w:color="auto"/>
            <w:right w:val="none" w:sz="0" w:space="0" w:color="auto"/>
          </w:divBdr>
        </w:div>
        <w:div w:id="831525789">
          <w:marLeft w:val="0"/>
          <w:marRight w:val="0"/>
          <w:marTop w:val="0"/>
          <w:marBottom w:val="0"/>
          <w:divBdr>
            <w:top w:val="none" w:sz="0" w:space="0" w:color="auto"/>
            <w:left w:val="none" w:sz="0" w:space="0" w:color="auto"/>
            <w:bottom w:val="none" w:sz="0" w:space="0" w:color="auto"/>
            <w:right w:val="none" w:sz="0" w:space="0" w:color="auto"/>
          </w:divBdr>
        </w:div>
        <w:div w:id="838040899">
          <w:marLeft w:val="0"/>
          <w:marRight w:val="0"/>
          <w:marTop w:val="0"/>
          <w:marBottom w:val="0"/>
          <w:divBdr>
            <w:top w:val="none" w:sz="0" w:space="0" w:color="auto"/>
            <w:left w:val="none" w:sz="0" w:space="0" w:color="auto"/>
            <w:bottom w:val="none" w:sz="0" w:space="0" w:color="auto"/>
            <w:right w:val="none" w:sz="0" w:space="0" w:color="auto"/>
          </w:divBdr>
        </w:div>
        <w:div w:id="838155903">
          <w:marLeft w:val="0"/>
          <w:marRight w:val="0"/>
          <w:marTop w:val="0"/>
          <w:marBottom w:val="0"/>
          <w:divBdr>
            <w:top w:val="none" w:sz="0" w:space="0" w:color="auto"/>
            <w:left w:val="none" w:sz="0" w:space="0" w:color="auto"/>
            <w:bottom w:val="none" w:sz="0" w:space="0" w:color="auto"/>
            <w:right w:val="none" w:sz="0" w:space="0" w:color="auto"/>
          </w:divBdr>
        </w:div>
        <w:div w:id="839852130">
          <w:marLeft w:val="0"/>
          <w:marRight w:val="0"/>
          <w:marTop w:val="0"/>
          <w:marBottom w:val="0"/>
          <w:divBdr>
            <w:top w:val="none" w:sz="0" w:space="0" w:color="auto"/>
            <w:left w:val="none" w:sz="0" w:space="0" w:color="auto"/>
            <w:bottom w:val="none" w:sz="0" w:space="0" w:color="auto"/>
            <w:right w:val="none" w:sz="0" w:space="0" w:color="auto"/>
          </w:divBdr>
        </w:div>
        <w:div w:id="840898132">
          <w:marLeft w:val="0"/>
          <w:marRight w:val="0"/>
          <w:marTop w:val="0"/>
          <w:marBottom w:val="0"/>
          <w:divBdr>
            <w:top w:val="none" w:sz="0" w:space="0" w:color="auto"/>
            <w:left w:val="none" w:sz="0" w:space="0" w:color="auto"/>
            <w:bottom w:val="none" w:sz="0" w:space="0" w:color="auto"/>
            <w:right w:val="none" w:sz="0" w:space="0" w:color="auto"/>
          </w:divBdr>
        </w:div>
        <w:div w:id="841160659">
          <w:marLeft w:val="0"/>
          <w:marRight w:val="0"/>
          <w:marTop w:val="0"/>
          <w:marBottom w:val="0"/>
          <w:divBdr>
            <w:top w:val="none" w:sz="0" w:space="0" w:color="auto"/>
            <w:left w:val="none" w:sz="0" w:space="0" w:color="auto"/>
            <w:bottom w:val="none" w:sz="0" w:space="0" w:color="auto"/>
            <w:right w:val="none" w:sz="0" w:space="0" w:color="auto"/>
          </w:divBdr>
        </w:div>
        <w:div w:id="841243229">
          <w:marLeft w:val="0"/>
          <w:marRight w:val="0"/>
          <w:marTop w:val="0"/>
          <w:marBottom w:val="0"/>
          <w:divBdr>
            <w:top w:val="none" w:sz="0" w:space="0" w:color="auto"/>
            <w:left w:val="none" w:sz="0" w:space="0" w:color="auto"/>
            <w:bottom w:val="none" w:sz="0" w:space="0" w:color="auto"/>
            <w:right w:val="none" w:sz="0" w:space="0" w:color="auto"/>
          </w:divBdr>
        </w:div>
        <w:div w:id="841972230">
          <w:marLeft w:val="0"/>
          <w:marRight w:val="0"/>
          <w:marTop w:val="0"/>
          <w:marBottom w:val="0"/>
          <w:divBdr>
            <w:top w:val="none" w:sz="0" w:space="0" w:color="auto"/>
            <w:left w:val="none" w:sz="0" w:space="0" w:color="auto"/>
            <w:bottom w:val="none" w:sz="0" w:space="0" w:color="auto"/>
            <w:right w:val="none" w:sz="0" w:space="0" w:color="auto"/>
          </w:divBdr>
        </w:div>
        <w:div w:id="843395834">
          <w:marLeft w:val="0"/>
          <w:marRight w:val="0"/>
          <w:marTop w:val="0"/>
          <w:marBottom w:val="0"/>
          <w:divBdr>
            <w:top w:val="none" w:sz="0" w:space="0" w:color="auto"/>
            <w:left w:val="none" w:sz="0" w:space="0" w:color="auto"/>
            <w:bottom w:val="none" w:sz="0" w:space="0" w:color="auto"/>
            <w:right w:val="none" w:sz="0" w:space="0" w:color="auto"/>
          </w:divBdr>
        </w:div>
        <w:div w:id="843982777">
          <w:marLeft w:val="0"/>
          <w:marRight w:val="0"/>
          <w:marTop w:val="0"/>
          <w:marBottom w:val="0"/>
          <w:divBdr>
            <w:top w:val="none" w:sz="0" w:space="0" w:color="auto"/>
            <w:left w:val="none" w:sz="0" w:space="0" w:color="auto"/>
            <w:bottom w:val="none" w:sz="0" w:space="0" w:color="auto"/>
            <w:right w:val="none" w:sz="0" w:space="0" w:color="auto"/>
          </w:divBdr>
        </w:div>
        <w:div w:id="844783832">
          <w:marLeft w:val="0"/>
          <w:marRight w:val="0"/>
          <w:marTop w:val="0"/>
          <w:marBottom w:val="0"/>
          <w:divBdr>
            <w:top w:val="none" w:sz="0" w:space="0" w:color="auto"/>
            <w:left w:val="none" w:sz="0" w:space="0" w:color="auto"/>
            <w:bottom w:val="none" w:sz="0" w:space="0" w:color="auto"/>
            <w:right w:val="none" w:sz="0" w:space="0" w:color="auto"/>
          </w:divBdr>
        </w:div>
        <w:div w:id="847209852">
          <w:marLeft w:val="0"/>
          <w:marRight w:val="0"/>
          <w:marTop w:val="0"/>
          <w:marBottom w:val="0"/>
          <w:divBdr>
            <w:top w:val="none" w:sz="0" w:space="0" w:color="auto"/>
            <w:left w:val="none" w:sz="0" w:space="0" w:color="auto"/>
            <w:bottom w:val="none" w:sz="0" w:space="0" w:color="auto"/>
            <w:right w:val="none" w:sz="0" w:space="0" w:color="auto"/>
          </w:divBdr>
        </w:div>
        <w:div w:id="848762754">
          <w:marLeft w:val="0"/>
          <w:marRight w:val="0"/>
          <w:marTop w:val="0"/>
          <w:marBottom w:val="0"/>
          <w:divBdr>
            <w:top w:val="none" w:sz="0" w:space="0" w:color="auto"/>
            <w:left w:val="none" w:sz="0" w:space="0" w:color="auto"/>
            <w:bottom w:val="none" w:sz="0" w:space="0" w:color="auto"/>
            <w:right w:val="none" w:sz="0" w:space="0" w:color="auto"/>
          </w:divBdr>
        </w:div>
        <w:div w:id="849216099">
          <w:marLeft w:val="0"/>
          <w:marRight w:val="0"/>
          <w:marTop w:val="0"/>
          <w:marBottom w:val="0"/>
          <w:divBdr>
            <w:top w:val="none" w:sz="0" w:space="0" w:color="auto"/>
            <w:left w:val="none" w:sz="0" w:space="0" w:color="auto"/>
            <w:bottom w:val="none" w:sz="0" w:space="0" w:color="auto"/>
            <w:right w:val="none" w:sz="0" w:space="0" w:color="auto"/>
          </w:divBdr>
        </w:div>
        <w:div w:id="851605663">
          <w:marLeft w:val="0"/>
          <w:marRight w:val="0"/>
          <w:marTop w:val="0"/>
          <w:marBottom w:val="0"/>
          <w:divBdr>
            <w:top w:val="none" w:sz="0" w:space="0" w:color="auto"/>
            <w:left w:val="none" w:sz="0" w:space="0" w:color="auto"/>
            <w:bottom w:val="none" w:sz="0" w:space="0" w:color="auto"/>
            <w:right w:val="none" w:sz="0" w:space="0" w:color="auto"/>
          </w:divBdr>
        </w:div>
        <w:div w:id="852499866">
          <w:marLeft w:val="0"/>
          <w:marRight w:val="0"/>
          <w:marTop w:val="0"/>
          <w:marBottom w:val="0"/>
          <w:divBdr>
            <w:top w:val="none" w:sz="0" w:space="0" w:color="auto"/>
            <w:left w:val="none" w:sz="0" w:space="0" w:color="auto"/>
            <w:bottom w:val="none" w:sz="0" w:space="0" w:color="auto"/>
            <w:right w:val="none" w:sz="0" w:space="0" w:color="auto"/>
          </w:divBdr>
        </w:div>
        <w:div w:id="854610719">
          <w:marLeft w:val="0"/>
          <w:marRight w:val="0"/>
          <w:marTop w:val="0"/>
          <w:marBottom w:val="0"/>
          <w:divBdr>
            <w:top w:val="none" w:sz="0" w:space="0" w:color="auto"/>
            <w:left w:val="none" w:sz="0" w:space="0" w:color="auto"/>
            <w:bottom w:val="none" w:sz="0" w:space="0" w:color="auto"/>
            <w:right w:val="none" w:sz="0" w:space="0" w:color="auto"/>
          </w:divBdr>
        </w:div>
        <w:div w:id="854802300">
          <w:marLeft w:val="0"/>
          <w:marRight w:val="0"/>
          <w:marTop w:val="0"/>
          <w:marBottom w:val="0"/>
          <w:divBdr>
            <w:top w:val="none" w:sz="0" w:space="0" w:color="auto"/>
            <w:left w:val="none" w:sz="0" w:space="0" w:color="auto"/>
            <w:bottom w:val="none" w:sz="0" w:space="0" w:color="auto"/>
            <w:right w:val="none" w:sz="0" w:space="0" w:color="auto"/>
          </w:divBdr>
        </w:div>
        <w:div w:id="855072532">
          <w:marLeft w:val="0"/>
          <w:marRight w:val="0"/>
          <w:marTop w:val="0"/>
          <w:marBottom w:val="0"/>
          <w:divBdr>
            <w:top w:val="none" w:sz="0" w:space="0" w:color="auto"/>
            <w:left w:val="none" w:sz="0" w:space="0" w:color="auto"/>
            <w:bottom w:val="none" w:sz="0" w:space="0" w:color="auto"/>
            <w:right w:val="none" w:sz="0" w:space="0" w:color="auto"/>
          </w:divBdr>
        </w:div>
        <w:div w:id="855458597">
          <w:marLeft w:val="0"/>
          <w:marRight w:val="0"/>
          <w:marTop w:val="0"/>
          <w:marBottom w:val="0"/>
          <w:divBdr>
            <w:top w:val="none" w:sz="0" w:space="0" w:color="auto"/>
            <w:left w:val="none" w:sz="0" w:space="0" w:color="auto"/>
            <w:bottom w:val="none" w:sz="0" w:space="0" w:color="auto"/>
            <w:right w:val="none" w:sz="0" w:space="0" w:color="auto"/>
          </w:divBdr>
        </w:div>
        <w:div w:id="855849925">
          <w:marLeft w:val="0"/>
          <w:marRight w:val="0"/>
          <w:marTop w:val="0"/>
          <w:marBottom w:val="0"/>
          <w:divBdr>
            <w:top w:val="none" w:sz="0" w:space="0" w:color="auto"/>
            <w:left w:val="none" w:sz="0" w:space="0" w:color="auto"/>
            <w:bottom w:val="none" w:sz="0" w:space="0" w:color="auto"/>
            <w:right w:val="none" w:sz="0" w:space="0" w:color="auto"/>
          </w:divBdr>
        </w:div>
        <w:div w:id="856584158">
          <w:marLeft w:val="0"/>
          <w:marRight w:val="0"/>
          <w:marTop w:val="0"/>
          <w:marBottom w:val="0"/>
          <w:divBdr>
            <w:top w:val="none" w:sz="0" w:space="0" w:color="auto"/>
            <w:left w:val="none" w:sz="0" w:space="0" w:color="auto"/>
            <w:bottom w:val="none" w:sz="0" w:space="0" w:color="auto"/>
            <w:right w:val="none" w:sz="0" w:space="0" w:color="auto"/>
          </w:divBdr>
        </w:div>
        <w:div w:id="858129364">
          <w:marLeft w:val="0"/>
          <w:marRight w:val="0"/>
          <w:marTop w:val="0"/>
          <w:marBottom w:val="0"/>
          <w:divBdr>
            <w:top w:val="none" w:sz="0" w:space="0" w:color="auto"/>
            <w:left w:val="none" w:sz="0" w:space="0" w:color="auto"/>
            <w:bottom w:val="none" w:sz="0" w:space="0" w:color="auto"/>
            <w:right w:val="none" w:sz="0" w:space="0" w:color="auto"/>
          </w:divBdr>
        </w:div>
        <w:div w:id="858350509">
          <w:marLeft w:val="0"/>
          <w:marRight w:val="0"/>
          <w:marTop w:val="0"/>
          <w:marBottom w:val="0"/>
          <w:divBdr>
            <w:top w:val="none" w:sz="0" w:space="0" w:color="auto"/>
            <w:left w:val="none" w:sz="0" w:space="0" w:color="auto"/>
            <w:bottom w:val="none" w:sz="0" w:space="0" w:color="auto"/>
            <w:right w:val="none" w:sz="0" w:space="0" w:color="auto"/>
          </w:divBdr>
        </w:div>
        <w:div w:id="858391676">
          <w:marLeft w:val="0"/>
          <w:marRight w:val="0"/>
          <w:marTop w:val="0"/>
          <w:marBottom w:val="0"/>
          <w:divBdr>
            <w:top w:val="none" w:sz="0" w:space="0" w:color="auto"/>
            <w:left w:val="none" w:sz="0" w:space="0" w:color="auto"/>
            <w:bottom w:val="none" w:sz="0" w:space="0" w:color="auto"/>
            <w:right w:val="none" w:sz="0" w:space="0" w:color="auto"/>
          </w:divBdr>
          <w:divsChild>
            <w:div w:id="375012060">
              <w:marLeft w:val="0"/>
              <w:marRight w:val="0"/>
              <w:marTop w:val="0"/>
              <w:marBottom w:val="0"/>
              <w:divBdr>
                <w:top w:val="none" w:sz="0" w:space="0" w:color="auto"/>
                <w:left w:val="none" w:sz="0" w:space="0" w:color="auto"/>
                <w:bottom w:val="none" w:sz="0" w:space="0" w:color="auto"/>
                <w:right w:val="none" w:sz="0" w:space="0" w:color="auto"/>
              </w:divBdr>
            </w:div>
            <w:div w:id="412624327">
              <w:marLeft w:val="0"/>
              <w:marRight w:val="0"/>
              <w:marTop w:val="0"/>
              <w:marBottom w:val="0"/>
              <w:divBdr>
                <w:top w:val="none" w:sz="0" w:space="0" w:color="auto"/>
                <w:left w:val="none" w:sz="0" w:space="0" w:color="auto"/>
                <w:bottom w:val="none" w:sz="0" w:space="0" w:color="auto"/>
                <w:right w:val="none" w:sz="0" w:space="0" w:color="auto"/>
              </w:divBdr>
            </w:div>
            <w:div w:id="461774742">
              <w:marLeft w:val="0"/>
              <w:marRight w:val="0"/>
              <w:marTop w:val="0"/>
              <w:marBottom w:val="0"/>
              <w:divBdr>
                <w:top w:val="none" w:sz="0" w:space="0" w:color="auto"/>
                <w:left w:val="none" w:sz="0" w:space="0" w:color="auto"/>
                <w:bottom w:val="none" w:sz="0" w:space="0" w:color="auto"/>
                <w:right w:val="none" w:sz="0" w:space="0" w:color="auto"/>
              </w:divBdr>
            </w:div>
            <w:div w:id="477186051">
              <w:marLeft w:val="0"/>
              <w:marRight w:val="0"/>
              <w:marTop w:val="0"/>
              <w:marBottom w:val="0"/>
              <w:divBdr>
                <w:top w:val="none" w:sz="0" w:space="0" w:color="auto"/>
                <w:left w:val="none" w:sz="0" w:space="0" w:color="auto"/>
                <w:bottom w:val="none" w:sz="0" w:space="0" w:color="auto"/>
                <w:right w:val="none" w:sz="0" w:space="0" w:color="auto"/>
              </w:divBdr>
            </w:div>
            <w:div w:id="546185472">
              <w:marLeft w:val="0"/>
              <w:marRight w:val="0"/>
              <w:marTop w:val="0"/>
              <w:marBottom w:val="0"/>
              <w:divBdr>
                <w:top w:val="none" w:sz="0" w:space="0" w:color="auto"/>
                <w:left w:val="none" w:sz="0" w:space="0" w:color="auto"/>
                <w:bottom w:val="none" w:sz="0" w:space="0" w:color="auto"/>
                <w:right w:val="none" w:sz="0" w:space="0" w:color="auto"/>
              </w:divBdr>
            </w:div>
            <w:div w:id="577635471">
              <w:marLeft w:val="0"/>
              <w:marRight w:val="0"/>
              <w:marTop w:val="0"/>
              <w:marBottom w:val="0"/>
              <w:divBdr>
                <w:top w:val="none" w:sz="0" w:space="0" w:color="auto"/>
                <w:left w:val="none" w:sz="0" w:space="0" w:color="auto"/>
                <w:bottom w:val="none" w:sz="0" w:space="0" w:color="auto"/>
                <w:right w:val="none" w:sz="0" w:space="0" w:color="auto"/>
              </w:divBdr>
            </w:div>
            <w:div w:id="689796545">
              <w:marLeft w:val="0"/>
              <w:marRight w:val="0"/>
              <w:marTop w:val="0"/>
              <w:marBottom w:val="0"/>
              <w:divBdr>
                <w:top w:val="none" w:sz="0" w:space="0" w:color="auto"/>
                <w:left w:val="none" w:sz="0" w:space="0" w:color="auto"/>
                <w:bottom w:val="none" w:sz="0" w:space="0" w:color="auto"/>
                <w:right w:val="none" w:sz="0" w:space="0" w:color="auto"/>
              </w:divBdr>
            </w:div>
            <w:div w:id="712119015">
              <w:marLeft w:val="0"/>
              <w:marRight w:val="0"/>
              <w:marTop w:val="0"/>
              <w:marBottom w:val="0"/>
              <w:divBdr>
                <w:top w:val="none" w:sz="0" w:space="0" w:color="auto"/>
                <w:left w:val="none" w:sz="0" w:space="0" w:color="auto"/>
                <w:bottom w:val="none" w:sz="0" w:space="0" w:color="auto"/>
                <w:right w:val="none" w:sz="0" w:space="0" w:color="auto"/>
              </w:divBdr>
            </w:div>
            <w:div w:id="836648383">
              <w:marLeft w:val="0"/>
              <w:marRight w:val="0"/>
              <w:marTop w:val="0"/>
              <w:marBottom w:val="0"/>
              <w:divBdr>
                <w:top w:val="none" w:sz="0" w:space="0" w:color="auto"/>
                <w:left w:val="none" w:sz="0" w:space="0" w:color="auto"/>
                <w:bottom w:val="none" w:sz="0" w:space="0" w:color="auto"/>
                <w:right w:val="none" w:sz="0" w:space="0" w:color="auto"/>
              </w:divBdr>
            </w:div>
            <w:div w:id="1022632112">
              <w:marLeft w:val="0"/>
              <w:marRight w:val="0"/>
              <w:marTop w:val="0"/>
              <w:marBottom w:val="0"/>
              <w:divBdr>
                <w:top w:val="none" w:sz="0" w:space="0" w:color="auto"/>
                <w:left w:val="none" w:sz="0" w:space="0" w:color="auto"/>
                <w:bottom w:val="none" w:sz="0" w:space="0" w:color="auto"/>
                <w:right w:val="none" w:sz="0" w:space="0" w:color="auto"/>
              </w:divBdr>
            </w:div>
            <w:div w:id="1030840312">
              <w:marLeft w:val="0"/>
              <w:marRight w:val="0"/>
              <w:marTop w:val="0"/>
              <w:marBottom w:val="0"/>
              <w:divBdr>
                <w:top w:val="none" w:sz="0" w:space="0" w:color="auto"/>
                <w:left w:val="none" w:sz="0" w:space="0" w:color="auto"/>
                <w:bottom w:val="none" w:sz="0" w:space="0" w:color="auto"/>
                <w:right w:val="none" w:sz="0" w:space="0" w:color="auto"/>
              </w:divBdr>
            </w:div>
            <w:div w:id="1126587540">
              <w:marLeft w:val="0"/>
              <w:marRight w:val="0"/>
              <w:marTop w:val="0"/>
              <w:marBottom w:val="0"/>
              <w:divBdr>
                <w:top w:val="none" w:sz="0" w:space="0" w:color="auto"/>
                <w:left w:val="none" w:sz="0" w:space="0" w:color="auto"/>
                <w:bottom w:val="none" w:sz="0" w:space="0" w:color="auto"/>
                <w:right w:val="none" w:sz="0" w:space="0" w:color="auto"/>
              </w:divBdr>
            </w:div>
            <w:div w:id="1364280589">
              <w:marLeft w:val="0"/>
              <w:marRight w:val="0"/>
              <w:marTop w:val="0"/>
              <w:marBottom w:val="0"/>
              <w:divBdr>
                <w:top w:val="none" w:sz="0" w:space="0" w:color="auto"/>
                <w:left w:val="none" w:sz="0" w:space="0" w:color="auto"/>
                <w:bottom w:val="none" w:sz="0" w:space="0" w:color="auto"/>
                <w:right w:val="none" w:sz="0" w:space="0" w:color="auto"/>
              </w:divBdr>
            </w:div>
            <w:div w:id="1628704583">
              <w:marLeft w:val="0"/>
              <w:marRight w:val="0"/>
              <w:marTop w:val="0"/>
              <w:marBottom w:val="0"/>
              <w:divBdr>
                <w:top w:val="none" w:sz="0" w:space="0" w:color="auto"/>
                <w:left w:val="none" w:sz="0" w:space="0" w:color="auto"/>
                <w:bottom w:val="none" w:sz="0" w:space="0" w:color="auto"/>
                <w:right w:val="none" w:sz="0" w:space="0" w:color="auto"/>
              </w:divBdr>
            </w:div>
            <w:div w:id="1637374106">
              <w:marLeft w:val="0"/>
              <w:marRight w:val="0"/>
              <w:marTop w:val="0"/>
              <w:marBottom w:val="0"/>
              <w:divBdr>
                <w:top w:val="none" w:sz="0" w:space="0" w:color="auto"/>
                <w:left w:val="none" w:sz="0" w:space="0" w:color="auto"/>
                <w:bottom w:val="none" w:sz="0" w:space="0" w:color="auto"/>
                <w:right w:val="none" w:sz="0" w:space="0" w:color="auto"/>
              </w:divBdr>
            </w:div>
            <w:div w:id="1674992271">
              <w:marLeft w:val="0"/>
              <w:marRight w:val="0"/>
              <w:marTop w:val="0"/>
              <w:marBottom w:val="0"/>
              <w:divBdr>
                <w:top w:val="none" w:sz="0" w:space="0" w:color="auto"/>
                <w:left w:val="none" w:sz="0" w:space="0" w:color="auto"/>
                <w:bottom w:val="none" w:sz="0" w:space="0" w:color="auto"/>
                <w:right w:val="none" w:sz="0" w:space="0" w:color="auto"/>
              </w:divBdr>
            </w:div>
            <w:div w:id="1907910765">
              <w:marLeft w:val="0"/>
              <w:marRight w:val="0"/>
              <w:marTop w:val="0"/>
              <w:marBottom w:val="0"/>
              <w:divBdr>
                <w:top w:val="none" w:sz="0" w:space="0" w:color="auto"/>
                <w:left w:val="none" w:sz="0" w:space="0" w:color="auto"/>
                <w:bottom w:val="none" w:sz="0" w:space="0" w:color="auto"/>
                <w:right w:val="none" w:sz="0" w:space="0" w:color="auto"/>
              </w:divBdr>
            </w:div>
            <w:div w:id="2022662018">
              <w:marLeft w:val="0"/>
              <w:marRight w:val="0"/>
              <w:marTop w:val="0"/>
              <w:marBottom w:val="0"/>
              <w:divBdr>
                <w:top w:val="none" w:sz="0" w:space="0" w:color="auto"/>
                <w:left w:val="none" w:sz="0" w:space="0" w:color="auto"/>
                <w:bottom w:val="none" w:sz="0" w:space="0" w:color="auto"/>
                <w:right w:val="none" w:sz="0" w:space="0" w:color="auto"/>
              </w:divBdr>
            </w:div>
            <w:div w:id="2096970103">
              <w:marLeft w:val="0"/>
              <w:marRight w:val="0"/>
              <w:marTop w:val="0"/>
              <w:marBottom w:val="0"/>
              <w:divBdr>
                <w:top w:val="none" w:sz="0" w:space="0" w:color="auto"/>
                <w:left w:val="none" w:sz="0" w:space="0" w:color="auto"/>
                <w:bottom w:val="none" w:sz="0" w:space="0" w:color="auto"/>
                <w:right w:val="none" w:sz="0" w:space="0" w:color="auto"/>
              </w:divBdr>
            </w:div>
            <w:div w:id="2113815122">
              <w:marLeft w:val="0"/>
              <w:marRight w:val="0"/>
              <w:marTop w:val="0"/>
              <w:marBottom w:val="0"/>
              <w:divBdr>
                <w:top w:val="none" w:sz="0" w:space="0" w:color="auto"/>
                <w:left w:val="none" w:sz="0" w:space="0" w:color="auto"/>
                <w:bottom w:val="none" w:sz="0" w:space="0" w:color="auto"/>
                <w:right w:val="none" w:sz="0" w:space="0" w:color="auto"/>
              </w:divBdr>
            </w:div>
          </w:divsChild>
        </w:div>
        <w:div w:id="858392723">
          <w:marLeft w:val="0"/>
          <w:marRight w:val="0"/>
          <w:marTop w:val="0"/>
          <w:marBottom w:val="0"/>
          <w:divBdr>
            <w:top w:val="none" w:sz="0" w:space="0" w:color="auto"/>
            <w:left w:val="none" w:sz="0" w:space="0" w:color="auto"/>
            <w:bottom w:val="none" w:sz="0" w:space="0" w:color="auto"/>
            <w:right w:val="none" w:sz="0" w:space="0" w:color="auto"/>
          </w:divBdr>
        </w:div>
        <w:div w:id="858735822">
          <w:marLeft w:val="0"/>
          <w:marRight w:val="0"/>
          <w:marTop w:val="0"/>
          <w:marBottom w:val="0"/>
          <w:divBdr>
            <w:top w:val="none" w:sz="0" w:space="0" w:color="auto"/>
            <w:left w:val="none" w:sz="0" w:space="0" w:color="auto"/>
            <w:bottom w:val="none" w:sz="0" w:space="0" w:color="auto"/>
            <w:right w:val="none" w:sz="0" w:space="0" w:color="auto"/>
          </w:divBdr>
        </w:div>
        <w:div w:id="859243993">
          <w:marLeft w:val="0"/>
          <w:marRight w:val="0"/>
          <w:marTop w:val="0"/>
          <w:marBottom w:val="0"/>
          <w:divBdr>
            <w:top w:val="none" w:sz="0" w:space="0" w:color="auto"/>
            <w:left w:val="none" w:sz="0" w:space="0" w:color="auto"/>
            <w:bottom w:val="none" w:sz="0" w:space="0" w:color="auto"/>
            <w:right w:val="none" w:sz="0" w:space="0" w:color="auto"/>
          </w:divBdr>
        </w:div>
        <w:div w:id="861163102">
          <w:marLeft w:val="0"/>
          <w:marRight w:val="0"/>
          <w:marTop w:val="0"/>
          <w:marBottom w:val="0"/>
          <w:divBdr>
            <w:top w:val="none" w:sz="0" w:space="0" w:color="auto"/>
            <w:left w:val="none" w:sz="0" w:space="0" w:color="auto"/>
            <w:bottom w:val="none" w:sz="0" w:space="0" w:color="auto"/>
            <w:right w:val="none" w:sz="0" w:space="0" w:color="auto"/>
          </w:divBdr>
        </w:div>
        <w:div w:id="863128175">
          <w:marLeft w:val="0"/>
          <w:marRight w:val="0"/>
          <w:marTop w:val="0"/>
          <w:marBottom w:val="0"/>
          <w:divBdr>
            <w:top w:val="none" w:sz="0" w:space="0" w:color="auto"/>
            <w:left w:val="none" w:sz="0" w:space="0" w:color="auto"/>
            <w:bottom w:val="none" w:sz="0" w:space="0" w:color="auto"/>
            <w:right w:val="none" w:sz="0" w:space="0" w:color="auto"/>
          </w:divBdr>
        </w:div>
        <w:div w:id="863401460">
          <w:marLeft w:val="0"/>
          <w:marRight w:val="0"/>
          <w:marTop w:val="0"/>
          <w:marBottom w:val="0"/>
          <w:divBdr>
            <w:top w:val="none" w:sz="0" w:space="0" w:color="auto"/>
            <w:left w:val="none" w:sz="0" w:space="0" w:color="auto"/>
            <w:bottom w:val="none" w:sz="0" w:space="0" w:color="auto"/>
            <w:right w:val="none" w:sz="0" w:space="0" w:color="auto"/>
          </w:divBdr>
        </w:div>
        <w:div w:id="864099661">
          <w:marLeft w:val="0"/>
          <w:marRight w:val="0"/>
          <w:marTop w:val="0"/>
          <w:marBottom w:val="0"/>
          <w:divBdr>
            <w:top w:val="none" w:sz="0" w:space="0" w:color="auto"/>
            <w:left w:val="none" w:sz="0" w:space="0" w:color="auto"/>
            <w:bottom w:val="none" w:sz="0" w:space="0" w:color="auto"/>
            <w:right w:val="none" w:sz="0" w:space="0" w:color="auto"/>
          </w:divBdr>
        </w:div>
        <w:div w:id="866061871">
          <w:marLeft w:val="0"/>
          <w:marRight w:val="0"/>
          <w:marTop w:val="0"/>
          <w:marBottom w:val="0"/>
          <w:divBdr>
            <w:top w:val="none" w:sz="0" w:space="0" w:color="auto"/>
            <w:left w:val="none" w:sz="0" w:space="0" w:color="auto"/>
            <w:bottom w:val="none" w:sz="0" w:space="0" w:color="auto"/>
            <w:right w:val="none" w:sz="0" w:space="0" w:color="auto"/>
          </w:divBdr>
        </w:div>
        <w:div w:id="866212768">
          <w:marLeft w:val="0"/>
          <w:marRight w:val="0"/>
          <w:marTop w:val="0"/>
          <w:marBottom w:val="0"/>
          <w:divBdr>
            <w:top w:val="none" w:sz="0" w:space="0" w:color="auto"/>
            <w:left w:val="none" w:sz="0" w:space="0" w:color="auto"/>
            <w:bottom w:val="none" w:sz="0" w:space="0" w:color="auto"/>
            <w:right w:val="none" w:sz="0" w:space="0" w:color="auto"/>
          </w:divBdr>
        </w:div>
        <w:div w:id="867181503">
          <w:marLeft w:val="0"/>
          <w:marRight w:val="0"/>
          <w:marTop w:val="0"/>
          <w:marBottom w:val="0"/>
          <w:divBdr>
            <w:top w:val="none" w:sz="0" w:space="0" w:color="auto"/>
            <w:left w:val="none" w:sz="0" w:space="0" w:color="auto"/>
            <w:bottom w:val="none" w:sz="0" w:space="0" w:color="auto"/>
            <w:right w:val="none" w:sz="0" w:space="0" w:color="auto"/>
          </w:divBdr>
        </w:div>
        <w:div w:id="867566242">
          <w:marLeft w:val="0"/>
          <w:marRight w:val="0"/>
          <w:marTop w:val="0"/>
          <w:marBottom w:val="0"/>
          <w:divBdr>
            <w:top w:val="none" w:sz="0" w:space="0" w:color="auto"/>
            <w:left w:val="none" w:sz="0" w:space="0" w:color="auto"/>
            <w:bottom w:val="none" w:sz="0" w:space="0" w:color="auto"/>
            <w:right w:val="none" w:sz="0" w:space="0" w:color="auto"/>
          </w:divBdr>
        </w:div>
        <w:div w:id="868564802">
          <w:marLeft w:val="0"/>
          <w:marRight w:val="0"/>
          <w:marTop w:val="0"/>
          <w:marBottom w:val="0"/>
          <w:divBdr>
            <w:top w:val="none" w:sz="0" w:space="0" w:color="auto"/>
            <w:left w:val="none" w:sz="0" w:space="0" w:color="auto"/>
            <w:bottom w:val="none" w:sz="0" w:space="0" w:color="auto"/>
            <w:right w:val="none" w:sz="0" w:space="0" w:color="auto"/>
          </w:divBdr>
        </w:div>
        <w:div w:id="869874020">
          <w:marLeft w:val="0"/>
          <w:marRight w:val="0"/>
          <w:marTop w:val="0"/>
          <w:marBottom w:val="0"/>
          <w:divBdr>
            <w:top w:val="none" w:sz="0" w:space="0" w:color="auto"/>
            <w:left w:val="none" w:sz="0" w:space="0" w:color="auto"/>
            <w:bottom w:val="none" w:sz="0" w:space="0" w:color="auto"/>
            <w:right w:val="none" w:sz="0" w:space="0" w:color="auto"/>
          </w:divBdr>
        </w:div>
        <w:div w:id="871069991">
          <w:marLeft w:val="0"/>
          <w:marRight w:val="0"/>
          <w:marTop w:val="0"/>
          <w:marBottom w:val="0"/>
          <w:divBdr>
            <w:top w:val="none" w:sz="0" w:space="0" w:color="auto"/>
            <w:left w:val="none" w:sz="0" w:space="0" w:color="auto"/>
            <w:bottom w:val="none" w:sz="0" w:space="0" w:color="auto"/>
            <w:right w:val="none" w:sz="0" w:space="0" w:color="auto"/>
          </w:divBdr>
        </w:div>
        <w:div w:id="872380273">
          <w:marLeft w:val="0"/>
          <w:marRight w:val="0"/>
          <w:marTop w:val="0"/>
          <w:marBottom w:val="0"/>
          <w:divBdr>
            <w:top w:val="none" w:sz="0" w:space="0" w:color="auto"/>
            <w:left w:val="none" w:sz="0" w:space="0" w:color="auto"/>
            <w:bottom w:val="none" w:sz="0" w:space="0" w:color="auto"/>
            <w:right w:val="none" w:sz="0" w:space="0" w:color="auto"/>
          </w:divBdr>
        </w:div>
        <w:div w:id="876551917">
          <w:marLeft w:val="0"/>
          <w:marRight w:val="0"/>
          <w:marTop w:val="0"/>
          <w:marBottom w:val="0"/>
          <w:divBdr>
            <w:top w:val="none" w:sz="0" w:space="0" w:color="auto"/>
            <w:left w:val="none" w:sz="0" w:space="0" w:color="auto"/>
            <w:bottom w:val="none" w:sz="0" w:space="0" w:color="auto"/>
            <w:right w:val="none" w:sz="0" w:space="0" w:color="auto"/>
          </w:divBdr>
        </w:div>
        <w:div w:id="877159865">
          <w:marLeft w:val="0"/>
          <w:marRight w:val="0"/>
          <w:marTop w:val="0"/>
          <w:marBottom w:val="0"/>
          <w:divBdr>
            <w:top w:val="none" w:sz="0" w:space="0" w:color="auto"/>
            <w:left w:val="none" w:sz="0" w:space="0" w:color="auto"/>
            <w:bottom w:val="none" w:sz="0" w:space="0" w:color="auto"/>
            <w:right w:val="none" w:sz="0" w:space="0" w:color="auto"/>
          </w:divBdr>
        </w:div>
        <w:div w:id="877200407">
          <w:marLeft w:val="0"/>
          <w:marRight w:val="0"/>
          <w:marTop w:val="0"/>
          <w:marBottom w:val="0"/>
          <w:divBdr>
            <w:top w:val="none" w:sz="0" w:space="0" w:color="auto"/>
            <w:left w:val="none" w:sz="0" w:space="0" w:color="auto"/>
            <w:bottom w:val="none" w:sz="0" w:space="0" w:color="auto"/>
            <w:right w:val="none" w:sz="0" w:space="0" w:color="auto"/>
          </w:divBdr>
        </w:div>
        <w:div w:id="878669403">
          <w:marLeft w:val="0"/>
          <w:marRight w:val="0"/>
          <w:marTop w:val="0"/>
          <w:marBottom w:val="0"/>
          <w:divBdr>
            <w:top w:val="none" w:sz="0" w:space="0" w:color="auto"/>
            <w:left w:val="none" w:sz="0" w:space="0" w:color="auto"/>
            <w:bottom w:val="none" w:sz="0" w:space="0" w:color="auto"/>
            <w:right w:val="none" w:sz="0" w:space="0" w:color="auto"/>
          </w:divBdr>
        </w:div>
        <w:div w:id="882642357">
          <w:marLeft w:val="0"/>
          <w:marRight w:val="0"/>
          <w:marTop w:val="0"/>
          <w:marBottom w:val="0"/>
          <w:divBdr>
            <w:top w:val="none" w:sz="0" w:space="0" w:color="auto"/>
            <w:left w:val="none" w:sz="0" w:space="0" w:color="auto"/>
            <w:bottom w:val="none" w:sz="0" w:space="0" w:color="auto"/>
            <w:right w:val="none" w:sz="0" w:space="0" w:color="auto"/>
          </w:divBdr>
        </w:div>
        <w:div w:id="883059842">
          <w:marLeft w:val="0"/>
          <w:marRight w:val="0"/>
          <w:marTop w:val="0"/>
          <w:marBottom w:val="0"/>
          <w:divBdr>
            <w:top w:val="none" w:sz="0" w:space="0" w:color="auto"/>
            <w:left w:val="none" w:sz="0" w:space="0" w:color="auto"/>
            <w:bottom w:val="none" w:sz="0" w:space="0" w:color="auto"/>
            <w:right w:val="none" w:sz="0" w:space="0" w:color="auto"/>
          </w:divBdr>
        </w:div>
        <w:div w:id="884489750">
          <w:marLeft w:val="0"/>
          <w:marRight w:val="0"/>
          <w:marTop w:val="0"/>
          <w:marBottom w:val="0"/>
          <w:divBdr>
            <w:top w:val="none" w:sz="0" w:space="0" w:color="auto"/>
            <w:left w:val="none" w:sz="0" w:space="0" w:color="auto"/>
            <w:bottom w:val="none" w:sz="0" w:space="0" w:color="auto"/>
            <w:right w:val="none" w:sz="0" w:space="0" w:color="auto"/>
          </w:divBdr>
        </w:div>
        <w:div w:id="884607834">
          <w:marLeft w:val="0"/>
          <w:marRight w:val="0"/>
          <w:marTop w:val="0"/>
          <w:marBottom w:val="0"/>
          <w:divBdr>
            <w:top w:val="none" w:sz="0" w:space="0" w:color="auto"/>
            <w:left w:val="none" w:sz="0" w:space="0" w:color="auto"/>
            <w:bottom w:val="none" w:sz="0" w:space="0" w:color="auto"/>
            <w:right w:val="none" w:sz="0" w:space="0" w:color="auto"/>
          </w:divBdr>
        </w:div>
        <w:div w:id="885457677">
          <w:marLeft w:val="0"/>
          <w:marRight w:val="0"/>
          <w:marTop w:val="0"/>
          <w:marBottom w:val="0"/>
          <w:divBdr>
            <w:top w:val="none" w:sz="0" w:space="0" w:color="auto"/>
            <w:left w:val="none" w:sz="0" w:space="0" w:color="auto"/>
            <w:bottom w:val="none" w:sz="0" w:space="0" w:color="auto"/>
            <w:right w:val="none" w:sz="0" w:space="0" w:color="auto"/>
          </w:divBdr>
        </w:div>
        <w:div w:id="886182178">
          <w:marLeft w:val="0"/>
          <w:marRight w:val="0"/>
          <w:marTop w:val="0"/>
          <w:marBottom w:val="0"/>
          <w:divBdr>
            <w:top w:val="none" w:sz="0" w:space="0" w:color="auto"/>
            <w:left w:val="none" w:sz="0" w:space="0" w:color="auto"/>
            <w:bottom w:val="none" w:sz="0" w:space="0" w:color="auto"/>
            <w:right w:val="none" w:sz="0" w:space="0" w:color="auto"/>
          </w:divBdr>
        </w:div>
        <w:div w:id="887110096">
          <w:marLeft w:val="0"/>
          <w:marRight w:val="0"/>
          <w:marTop w:val="0"/>
          <w:marBottom w:val="0"/>
          <w:divBdr>
            <w:top w:val="none" w:sz="0" w:space="0" w:color="auto"/>
            <w:left w:val="none" w:sz="0" w:space="0" w:color="auto"/>
            <w:bottom w:val="none" w:sz="0" w:space="0" w:color="auto"/>
            <w:right w:val="none" w:sz="0" w:space="0" w:color="auto"/>
          </w:divBdr>
          <w:divsChild>
            <w:div w:id="119499672">
              <w:marLeft w:val="0"/>
              <w:marRight w:val="0"/>
              <w:marTop w:val="0"/>
              <w:marBottom w:val="0"/>
              <w:divBdr>
                <w:top w:val="none" w:sz="0" w:space="0" w:color="auto"/>
                <w:left w:val="none" w:sz="0" w:space="0" w:color="auto"/>
                <w:bottom w:val="none" w:sz="0" w:space="0" w:color="auto"/>
                <w:right w:val="none" w:sz="0" w:space="0" w:color="auto"/>
              </w:divBdr>
            </w:div>
            <w:div w:id="151719497">
              <w:marLeft w:val="0"/>
              <w:marRight w:val="0"/>
              <w:marTop w:val="0"/>
              <w:marBottom w:val="0"/>
              <w:divBdr>
                <w:top w:val="none" w:sz="0" w:space="0" w:color="auto"/>
                <w:left w:val="none" w:sz="0" w:space="0" w:color="auto"/>
                <w:bottom w:val="none" w:sz="0" w:space="0" w:color="auto"/>
                <w:right w:val="none" w:sz="0" w:space="0" w:color="auto"/>
              </w:divBdr>
            </w:div>
            <w:div w:id="315456232">
              <w:marLeft w:val="0"/>
              <w:marRight w:val="0"/>
              <w:marTop w:val="0"/>
              <w:marBottom w:val="0"/>
              <w:divBdr>
                <w:top w:val="none" w:sz="0" w:space="0" w:color="auto"/>
                <w:left w:val="none" w:sz="0" w:space="0" w:color="auto"/>
                <w:bottom w:val="none" w:sz="0" w:space="0" w:color="auto"/>
                <w:right w:val="none" w:sz="0" w:space="0" w:color="auto"/>
              </w:divBdr>
            </w:div>
            <w:div w:id="423915175">
              <w:marLeft w:val="0"/>
              <w:marRight w:val="0"/>
              <w:marTop w:val="0"/>
              <w:marBottom w:val="0"/>
              <w:divBdr>
                <w:top w:val="none" w:sz="0" w:space="0" w:color="auto"/>
                <w:left w:val="none" w:sz="0" w:space="0" w:color="auto"/>
                <w:bottom w:val="none" w:sz="0" w:space="0" w:color="auto"/>
                <w:right w:val="none" w:sz="0" w:space="0" w:color="auto"/>
              </w:divBdr>
            </w:div>
            <w:div w:id="454442875">
              <w:marLeft w:val="0"/>
              <w:marRight w:val="0"/>
              <w:marTop w:val="0"/>
              <w:marBottom w:val="0"/>
              <w:divBdr>
                <w:top w:val="none" w:sz="0" w:space="0" w:color="auto"/>
                <w:left w:val="none" w:sz="0" w:space="0" w:color="auto"/>
                <w:bottom w:val="none" w:sz="0" w:space="0" w:color="auto"/>
                <w:right w:val="none" w:sz="0" w:space="0" w:color="auto"/>
              </w:divBdr>
            </w:div>
            <w:div w:id="521014153">
              <w:marLeft w:val="0"/>
              <w:marRight w:val="0"/>
              <w:marTop w:val="0"/>
              <w:marBottom w:val="0"/>
              <w:divBdr>
                <w:top w:val="none" w:sz="0" w:space="0" w:color="auto"/>
                <w:left w:val="none" w:sz="0" w:space="0" w:color="auto"/>
                <w:bottom w:val="none" w:sz="0" w:space="0" w:color="auto"/>
                <w:right w:val="none" w:sz="0" w:space="0" w:color="auto"/>
              </w:divBdr>
            </w:div>
            <w:div w:id="693574418">
              <w:marLeft w:val="0"/>
              <w:marRight w:val="0"/>
              <w:marTop w:val="0"/>
              <w:marBottom w:val="0"/>
              <w:divBdr>
                <w:top w:val="none" w:sz="0" w:space="0" w:color="auto"/>
                <w:left w:val="none" w:sz="0" w:space="0" w:color="auto"/>
                <w:bottom w:val="none" w:sz="0" w:space="0" w:color="auto"/>
                <w:right w:val="none" w:sz="0" w:space="0" w:color="auto"/>
              </w:divBdr>
            </w:div>
            <w:div w:id="747770724">
              <w:marLeft w:val="0"/>
              <w:marRight w:val="0"/>
              <w:marTop w:val="0"/>
              <w:marBottom w:val="0"/>
              <w:divBdr>
                <w:top w:val="none" w:sz="0" w:space="0" w:color="auto"/>
                <w:left w:val="none" w:sz="0" w:space="0" w:color="auto"/>
                <w:bottom w:val="none" w:sz="0" w:space="0" w:color="auto"/>
                <w:right w:val="none" w:sz="0" w:space="0" w:color="auto"/>
              </w:divBdr>
            </w:div>
            <w:div w:id="770276441">
              <w:marLeft w:val="0"/>
              <w:marRight w:val="0"/>
              <w:marTop w:val="0"/>
              <w:marBottom w:val="0"/>
              <w:divBdr>
                <w:top w:val="none" w:sz="0" w:space="0" w:color="auto"/>
                <w:left w:val="none" w:sz="0" w:space="0" w:color="auto"/>
                <w:bottom w:val="none" w:sz="0" w:space="0" w:color="auto"/>
                <w:right w:val="none" w:sz="0" w:space="0" w:color="auto"/>
              </w:divBdr>
            </w:div>
            <w:div w:id="1144814310">
              <w:marLeft w:val="0"/>
              <w:marRight w:val="0"/>
              <w:marTop w:val="0"/>
              <w:marBottom w:val="0"/>
              <w:divBdr>
                <w:top w:val="none" w:sz="0" w:space="0" w:color="auto"/>
                <w:left w:val="none" w:sz="0" w:space="0" w:color="auto"/>
                <w:bottom w:val="none" w:sz="0" w:space="0" w:color="auto"/>
                <w:right w:val="none" w:sz="0" w:space="0" w:color="auto"/>
              </w:divBdr>
            </w:div>
            <w:div w:id="1484814560">
              <w:marLeft w:val="0"/>
              <w:marRight w:val="0"/>
              <w:marTop w:val="0"/>
              <w:marBottom w:val="0"/>
              <w:divBdr>
                <w:top w:val="none" w:sz="0" w:space="0" w:color="auto"/>
                <w:left w:val="none" w:sz="0" w:space="0" w:color="auto"/>
                <w:bottom w:val="none" w:sz="0" w:space="0" w:color="auto"/>
                <w:right w:val="none" w:sz="0" w:space="0" w:color="auto"/>
              </w:divBdr>
            </w:div>
            <w:div w:id="1549999594">
              <w:marLeft w:val="0"/>
              <w:marRight w:val="0"/>
              <w:marTop w:val="0"/>
              <w:marBottom w:val="0"/>
              <w:divBdr>
                <w:top w:val="none" w:sz="0" w:space="0" w:color="auto"/>
                <w:left w:val="none" w:sz="0" w:space="0" w:color="auto"/>
                <w:bottom w:val="none" w:sz="0" w:space="0" w:color="auto"/>
                <w:right w:val="none" w:sz="0" w:space="0" w:color="auto"/>
              </w:divBdr>
            </w:div>
            <w:div w:id="1633975346">
              <w:marLeft w:val="0"/>
              <w:marRight w:val="0"/>
              <w:marTop w:val="0"/>
              <w:marBottom w:val="0"/>
              <w:divBdr>
                <w:top w:val="none" w:sz="0" w:space="0" w:color="auto"/>
                <w:left w:val="none" w:sz="0" w:space="0" w:color="auto"/>
                <w:bottom w:val="none" w:sz="0" w:space="0" w:color="auto"/>
                <w:right w:val="none" w:sz="0" w:space="0" w:color="auto"/>
              </w:divBdr>
            </w:div>
            <w:div w:id="1696692458">
              <w:marLeft w:val="0"/>
              <w:marRight w:val="0"/>
              <w:marTop w:val="0"/>
              <w:marBottom w:val="0"/>
              <w:divBdr>
                <w:top w:val="none" w:sz="0" w:space="0" w:color="auto"/>
                <w:left w:val="none" w:sz="0" w:space="0" w:color="auto"/>
                <w:bottom w:val="none" w:sz="0" w:space="0" w:color="auto"/>
                <w:right w:val="none" w:sz="0" w:space="0" w:color="auto"/>
              </w:divBdr>
            </w:div>
            <w:div w:id="1739597215">
              <w:marLeft w:val="0"/>
              <w:marRight w:val="0"/>
              <w:marTop w:val="0"/>
              <w:marBottom w:val="0"/>
              <w:divBdr>
                <w:top w:val="none" w:sz="0" w:space="0" w:color="auto"/>
                <w:left w:val="none" w:sz="0" w:space="0" w:color="auto"/>
                <w:bottom w:val="none" w:sz="0" w:space="0" w:color="auto"/>
                <w:right w:val="none" w:sz="0" w:space="0" w:color="auto"/>
              </w:divBdr>
            </w:div>
            <w:div w:id="1773358846">
              <w:marLeft w:val="0"/>
              <w:marRight w:val="0"/>
              <w:marTop w:val="0"/>
              <w:marBottom w:val="0"/>
              <w:divBdr>
                <w:top w:val="none" w:sz="0" w:space="0" w:color="auto"/>
                <w:left w:val="none" w:sz="0" w:space="0" w:color="auto"/>
                <w:bottom w:val="none" w:sz="0" w:space="0" w:color="auto"/>
                <w:right w:val="none" w:sz="0" w:space="0" w:color="auto"/>
              </w:divBdr>
            </w:div>
            <w:div w:id="1882354906">
              <w:marLeft w:val="0"/>
              <w:marRight w:val="0"/>
              <w:marTop w:val="0"/>
              <w:marBottom w:val="0"/>
              <w:divBdr>
                <w:top w:val="none" w:sz="0" w:space="0" w:color="auto"/>
                <w:left w:val="none" w:sz="0" w:space="0" w:color="auto"/>
                <w:bottom w:val="none" w:sz="0" w:space="0" w:color="auto"/>
                <w:right w:val="none" w:sz="0" w:space="0" w:color="auto"/>
              </w:divBdr>
            </w:div>
            <w:div w:id="1964191800">
              <w:marLeft w:val="0"/>
              <w:marRight w:val="0"/>
              <w:marTop w:val="0"/>
              <w:marBottom w:val="0"/>
              <w:divBdr>
                <w:top w:val="none" w:sz="0" w:space="0" w:color="auto"/>
                <w:left w:val="none" w:sz="0" w:space="0" w:color="auto"/>
                <w:bottom w:val="none" w:sz="0" w:space="0" w:color="auto"/>
                <w:right w:val="none" w:sz="0" w:space="0" w:color="auto"/>
              </w:divBdr>
            </w:div>
            <w:div w:id="2032561703">
              <w:marLeft w:val="0"/>
              <w:marRight w:val="0"/>
              <w:marTop w:val="0"/>
              <w:marBottom w:val="0"/>
              <w:divBdr>
                <w:top w:val="none" w:sz="0" w:space="0" w:color="auto"/>
                <w:left w:val="none" w:sz="0" w:space="0" w:color="auto"/>
                <w:bottom w:val="none" w:sz="0" w:space="0" w:color="auto"/>
                <w:right w:val="none" w:sz="0" w:space="0" w:color="auto"/>
              </w:divBdr>
            </w:div>
            <w:div w:id="2046519101">
              <w:marLeft w:val="0"/>
              <w:marRight w:val="0"/>
              <w:marTop w:val="0"/>
              <w:marBottom w:val="0"/>
              <w:divBdr>
                <w:top w:val="none" w:sz="0" w:space="0" w:color="auto"/>
                <w:left w:val="none" w:sz="0" w:space="0" w:color="auto"/>
                <w:bottom w:val="none" w:sz="0" w:space="0" w:color="auto"/>
                <w:right w:val="none" w:sz="0" w:space="0" w:color="auto"/>
              </w:divBdr>
            </w:div>
            <w:div w:id="2144880441">
              <w:marLeft w:val="0"/>
              <w:marRight w:val="0"/>
              <w:marTop w:val="0"/>
              <w:marBottom w:val="0"/>
              <w:divBdr>
                <w:top w:val="none" w:sz="0" w:space="0" w:color="auto"/>
                <w:left w:val="none" w:sz="0" w:space="0" w:color="auto"/>
                <w:bottom w:val="none" w:sz="0" w:space="0" w:color="auto"/>
                <w:right w:val="none" w:sz="0" w:space="0" w:color="auto"/>
              </w:divBdr>
            </w:div>
          </w:divsChild>
        </w:div>
        <w:div w:id="888880711">
          <w:marLeft w:val="0"/>
          <w:marRight w:val="0"/>
          <w:marTop w:val="0"/>
          <w:marBottom w:val="0"/>
          <w:divBdr>
            <w:top w:val="none" w:sz="0" w:space="0" w:color="auto"/>
            <w:left w:val="none" w:sz="0" w:space="0" w:color="auto"/>
            <w:bottom w:val="none" w:sz="0" w:space="0" w:color="auto"/>
            <w:right w:val="none" w:sz="0" w:space="0" w:color="auto"/>
          </w:divBdr>
        </w:div>
        <w:div w:id="890457649">
          <w:marLeft w:val="0"/>
          <w:marRight w:val="0"/>
          <w:marTop w:val="0"/>
          <w:marBottom w:val="0"/>
          <w:divBdr>
            <w:top w:val="none" w:sz="0" w:space="0" w:color="auto"/>
            <w:left w:val="none" w:sz="0" w:space="0" w:color="auto"/>
            <w:bottom w:val="none" w:sz="0" w:space="0" w:color="auto"/>
            <w:right w:val="none" w:sz="0" w:space="0" w:color="auto"/>
          </w:divBdr>
          <w:divsChild>
            <w:div w:id="33625330">
              <w:marLeft w:val="0"/>
              <w:marRight w:val="0"/>
              <w:marTop w:val="0"/>
              <w:marBottom w:val="0"/>
              <w:divBdr>
                <w:top w:val="none" w:sz="0" w:space="0" w:color="auto"/>
                <w:left w:val="none" w:sz="0" w:space="0" w:color="auto"/>
                <w:bottom w:val="none" w:sz="0" w:space="0" w:color="auto"/>
                <w:right w:val="none" w:sz="0" w:space="0" w:color="auto"/>
              </w:divBdr>
            </w:div>
            <w:div w:id="61685337">
              <w:marLeft w:val="0"/>
              <w:marRight w:val="0"/>
              <w:marTop w:val="0"/>
              <w:marBottom w:val="0"/>
              <w:divBdr>
                <w:top w:val="none" w:sz="0" w:space="0" w:color="auto"/>
                <w:left w:val="none" w:sz="0" w:space="0" w:color="auto"/>
                <w:bottom w:val="none" w:sz="0" w:space="0" w:color="auto"/>
                <w:right w:val="none" w:sz="0" w:space="0" w:color="auto"/>
              </w:divBdr>
            </w:div>
            <w:div w:id="351339721">
              <w:marLeft w:val="0"/>
              <w:marRight w:val="0"/>
              <w:marTop w:val="0"/>
              <w:marBottom w:val="0"/>
              <w:divBdr>
                <w:top w:val="none" w:sz="0" w:space="0" w:color="auto"/>
                <w:left w:val="none" w:sz="0" w:space="0" w:color="auto"/>
                <w:bottom w:val="none" w:sz="0" w:space="0" w:color="auto"/>
                <w:right w:val="none" w:sz="0" w:space="0" w:color="auto"/>
              </w:divBdr>
            </w:div>
            <w:div w:id="541599590">
              <w:marLeft w:val="0"/>
              <w:marRight w:val="0"/>
              <w:marTop w:val="0"/>
              <w:marBottom w:val="0"/>
              <w:divBdr>
                <w:top w:val="none" w:sz="0" w:space="0" w:color="auto"/>
                <w:left w:val="none" w:sz="0" w:space="0" w:color="auto"/>
                <w:bottom w:val="none" w:sz="0" w:space="0" w:color="auto"/>
                <w:right w:val="none" w:sz="0" w:space="0" w:color="auto"/>
              </w:divBdr>
            </w:div>
            <w:div w:id="603878172">
              <w:marLeft w:val="0"/>
              <w:marRight w:val="0"/>
              <w:marTop w:val="0"/>
              <w:marBottom w:val="0"/>
              <w:divBdr>
                <w:top w:val="none" w:sz="0" w:space="0" w:color="auto"/>
                <w:left w:val="none" w:sz="0" w:space="0" w:color="auto"/>
                <w:bottom w:val="none" w:sz="0" w:space="0" w:color="auto"/>
                <w:right w:val="none" w:sz="0" w:space="0" w:color="auto"/>
              </w:divBdr>
            </w:div>
            <w:div w:id="668482923">
              <w:marLeft w:val="0"/>
              <w:marRight w:val="0"/>
              <w:marTop w:val="0"/>
              <w:marBottom w:val="0"/>
              <w:divBdr>
                <w:top w:val="none" w:sz="0" w:space="0" w:color="auto"/>
                <w:left w:val="none" w:sz="0" w:space="0" w:color="auto"/>
                <w:bottom w:val="none" w:sz="0" w:space="0" w:color="auto"/>
                <w:right w:val="none" w:sz="0" w:space="0" w:color="auto"/>
              </w:divBdr>
            </w:div>
            <w:div w:id="773285263">
              <w:marLeft w:val="0"/>
              <w:marRight w:val="0"/>
              <w:marTop w:val="0"/>
              <w:marBottom w:val="0"/>
              <w:divBdr>
                <w:top w:val="none" w:sz="0" w:space="0" w:color="auto"/>
                <w:left w:val="none" w:sz="0" w:space="0" w:color="auto"/>
                <w:bottom w:val="none" w:sz="0" w:space="0" w:color="auto"/>
                <w:right w:val="none" w:sz="0" w:space="0" w:color="auto"/>
              </w:divBdr>
            </w:div>
            <w:div w:id="835537314">
              <w:marLeft w:val="0"/>
              <w:marRight w:val="0"/>
              <w:marTop w:val="0"/>
              <w:marBottom w:val="0"/>
              <w:divBdr>
                <w:top w:val="none" w:sz="0" w:space="0" w:color="auto"/>
                <w:left w:val="none" w:sz="0" w:space="0" w:color="auto"/>
                <w:bottom w:val="none" w:sz="0" w:space="0" w:color="auto"/>
                <w:right w:val="none" w:sz="0" w:space="0" w:color="auto"/>
              </w:divBdr>
            </w:div>
            <w:div w:id="862671685">
              <w:marLeft w:val="0"/>
              <w:marRight w:val="0"/>
              <w:marTop w:val="0"/>
              <w:marBottom w:val="0"/>
              <w:divBdr>
                <w:top w:val="none" w:sz="0" w:space="0" w:color="auto"/>
                <w:left w:val="none" w:sz="0" w:space="0" w:color="auto"/>
                <w:bottom w:val="none" w:sz="0" w:space="0" w:color="auto"/>
                <w:right w:val="none" w:sz="0" w:space="0" w:color="auto"/>
              </w:divBdr>
            </w:div>
            <w:div w:id="866141430">
              <w:marLeft w:val="0"/>
              <w:marRight w:val="0"/>
              <w:marTop w:val="0"/>
              <w:marBottom w:val="0"/>
              <w:divBdr>
                <w:top w:val="none" w:sz="0" w:space="0" w:color="auto"/>
                <w:left w:val="none" w:sz="0" w:space="0" w:color="auto"/>
                <w:bottom w:val="none" w:sz="0" w:space="0" w:color="auto"/>
                <w:right w:val="none" w:sz="0" w:space="0" w:color="auto"/>
              </w:divBdr>
            </w:div>
            <w:div w:id="912277269">
              <w:marLeft w:val="0"/>
              <w:marRight w:val="0"/>
              <w:marTop w:val="0"/>
              <w:marBottom w:val="0"/>
              <w:divBdr>
                <w:top w:val="none" w:sz="0" w:space="0" w:color="auto"/>
                <w:left w:val="none" w:sz="0" w:space="0" w:color="auto"/>
                <w:bottom w:val="none" w:sz="0" w:space="0" w:color="auto"/>
                <w:right w:val="none" w:sz="0" w:space="0" w:color="auto"/>
              </w:divBdr>
            </w:div>
            <w:div w:id="1012292886">
              <w:marLeft w:val="0"/>
              <w:marRight w:val="0"/>
              <w:marTop w:val="0"/>
              <w:marBottom w:val="0"/>
              <w:divBdr>
                <w:top w:val="none" w:sz="0" w:space="0" w:color="auto"/>
                <w:left w:val="none" w:sz="0" w:space="0" w:color="auto"/>
                <w:bottom w:val="none" w:sz="0" w:space="0" w:color="auto"/>
                <w:right w:val="none" w:sz="0" w:space="0" w:color="auto"/>
              </w:divBdr>
            </w:div>
            <w:div w:id="1119757144">
              <w:marLeft w:val="0"/>
              <w:marRight w:val="0"/>
              <w:marTop w:val="0"/>
              <w:marBottom w:val="0"/>
              <w:divBdr>
                <w:top w:val="none" w:sz="0" w:space="0" w:color="auto"/>
                <w:left w:val="none" w:sz="0" w:space="0" w:color="auto"/>
                <w:bottom w:val="none" w:sz="0" w:space="0" w:color="auto"/>
                <w:right w:val="none" w:sz="0" w:space="0" w:color="auto"/>
              </w:divBdr>
            </w:div>
            <w:div w:id="1234243796">
              <w:marLeft w:val="0"/>
              <w:marRight w:val="0"/>
              <w:marTop w:val="0"/>
              <w:marBottom w:val="0"/>
              <w:divBdr>
                <w:top w:val="none" w:sz="0" w:space="0" w:color="auto"/>
                <w:left w:val="none" w:sz="0" w:space="0" w:color="auto"/>
                <w:bottom w:val="none" w:sz="0" w:space="0" w:color="auto"/>
                <w:right w:val="none" w:sz="0" w:space="0" w:color="auto"/>
              </w:divBdr>
            </w:div>
            <w:div w:id="1532643484">
              <w:marLeft w:val="0"/>
              <w:marRight w:val="0"/>
              <w:marTop w:val="0"/>
              <w:marBottom w:val="0"/>
              <w:divBdr>
                <w:top w:val="none" w:sz="0" w:space="0" w:color="auto"/>
                <w:left w:val="none" w:sz="0" w:space="0" w:color="auto"/>
                <w:bottom w:val="none" w:sz="0" w:space="0" w:color="auto"/>
                <w:right w:val="none" w:sz="0" w:space="0" w:color="auto"/>
              </w:divBdr>
            </w:div>
            <w:div w:id="1687362027">
              <w:marLeft w:val="0"/>
              <w:marRight w:val="0"/>
              <w:marTop w:val="0"/>
              <w:marBottom w:val="0"/>
              <w:divBdr>
                <w:top w:val="none" w:sz="0" w:space="0" w:color="auto"/>
                <w:left w:val="none" w:sz="0" w:space="0" w:color="auto"/>
                <w:bottom w:val="none" w:sz="0" w:space="0" w:color="auto"/>
                <w:right w:val="none" w:sz="0" w:space="0" w:color="auto"/>
              </w:divBdr>
            </w:div>
            <w:div w:id="1692032535">
              <w:marLeft w:val="0"/>
              <w:marRight w:val="0"/>
              <w:marTop w:val="0"/>
              <w:marBottom w:val="0"/>
              <w:divBdr>
                <w:top w:val="none" w:sz="0" w:space="0" w:color="auto"/>
                <w:left w:val="none" w:sz="0" w:space="0" w:color="auto"/>
                <w:bottom w:val="none" w:sz="0" w:space="0" w:color="auto"/>
                <w:right w:val="none" w:sz="0" w:space="0" w:color="auto"/>
              </w:divBdr>
            </w:div>
            <w:div w:id="1732074610">
              <w:marLeft w:val="0"/>
              <w:marRight w:val="0"/>
              <w:marTop w:val="0"/>
              <w:marBottom w:val="0"/>
              <w:divBdr>
                <w:top w:val="none" w:sz="0" w:space="0" w:color="auto"/>
                <w:left w:val="none" w:sz="0" w:space="0" w:color="auto"/>
                <w:bottom w:val="none" w:sz="0" w:space="0" w:color="auto"/>
                <w:right w:val="none" w:sz="0" w:space="0" w:color="auto"/>
              </w:divBdr>
            </w:div>
            <w:div w:id="1920753486">
              <w:marLeft w:val="0"/>
              <w:marRight w:val="0"/>
              <w:marTop w:val="0"/>
              <w:marBottom w:val="0"/>
              <w:divBdr>
                <w:top w:val="none" w:sz="0" w:space="0" w:color="auto"/>
                <w:left w:val="none" w:sz="0" w:space="0" w:color="auto"/>
                <w:bottom w:val="none" w:sz="0" w:space="0" w:color="auto"/>
                <w:right w:val="none" w:sz="0" w:space="0" w:color="auto"/>
              </w:divBdr>
            </w:div>
            <w:div w:id="2087530943">
              <w:marLeft w:val="0"/>
              <w:marRight w:val="0"/>
              <w:marTop w:val="0"/>
              <w:marBottom w:val="0"/>
              <w:divBdr>
                <w:top w:val="none" w:sz="0" w:space="0" w:color="auto"/>
                <w:left w:val="none" w:sz="0" w:space="0" w:color="auto"/>
                <w:bottom w:val="none" w:sz="0" w:space="0" w:color="auto"/>
                <w:right w:val="none" w:sz="0" w:space="0" w:color="auto"/>
              </w:divBdr>
            </w:div>
          </w:divsChild>
        </w:div>
        <w:div w:id="890503522">
          <w:marLeft w:val="0"/>
          <w:marRight w:val="0"/>
          <w:marTop w:val="0"/>
          <w:marBottom w:val="0"/>
          <w:divBdr>
            <w:top w:val="none" w:sz="0" w:space="0" w:color="auto"/>
            <w:left w:val="none" w:sz="0" w:space="0" w:color="auto"/>
            <w:bottom w:val="none" w:sz="0" w:space="0" w:color="auto"/>
            <w:right w:val="none" w:sz="0" w:space="0" w:color="auto"/>
          </w:divBdr>
        </w:div>
        <w:div w:id="890843553">
          <w:marLeft w:val="0"/>
          <w:marRight w:val="0"/>
          <w:marTop w:val="0"/>
          <w:marBottom w:val="0"/>
          <w:divBdr>
            <w:top w:val="none" w:sz="0" w:space="0" w:color="auto"/>
            <w:left w:val="none" w:sz="0" w:space="0" w:color="auto"/>
            <w:bottom w:val="none" w:sz="0" w:space="0" w:color="auto"/>
            <w:right w:val="none" w:sz="0" w:space="0" w:color="auto"/>
          </w:divBdr>
        </w:div>
        <w:div w:id="894126400">
          <w:marLeft w:val="0"/>
          <w:marRight w:val="0"/>
          <w:marTop w:val="0"/>
          <w:marBottom w:val="0"/>
          <w:divBdr>
            <w:top w:val="none" w:sz="0" w:space="0" w:color="auto"/>
            <w:left w:val="none" w:sz="0" w:space="0" w:color="auto"/>
            <w:bottom w:val="none" w:sz="0" w:space="0" w:color="auto"/>
            <w:right w:val="none" w:sz="0" w:space="0" w:color="auto"/>
          </w:divBdr>
        </w:div>
        <w:div w:id="898369839">
          <w:marLeft w:val="0"/>
          <w:marRight w:val="0"/>
          <w:marTop w:val="0"/>
          <w:marBottom w:val="0"/>
          <w:divBdr>
            <w:top w:val="none" w:sz="0" w:space="0" w:color="auto"/>
            <w:left w:val="none" w:sz="0" w:space="0" w:color="auto"/>
            <w:bottom w:val="none" w:sz="0" w:space="0" w:color="auto"/>
            <w:right w:val="none" w:sz="0" w:space="0" w:color="auto"/>
          </w:divBdr>
        </w:div>
        <w:div w:id="898857583">
          <w:marLeft w:val="0"/>
          <w:marRight w:val="0"/>
          <w:marTop w:val="0"/>
          <w:marBottom w:val="0"/>
          <w:divBdr>
            <w:top w:val="none" w:sz="0" w:space="0" w:color="auto"/>
            <w:left w:val="none" w:sz="0" w:space="0" w:color="auto"/>
            <w:bottom w:val="none" w:sz="0" w:space="0" w:color="auto"/>
            <w:right w:val="none" w:sz="0" w:space="0" w:color="auto"/>
          </w:divBdr>
        </w:div>
        <w:div w:id="900411092">
          <w:marLeft w:val="0"/>
          <w:marRight w:val="0"/>
          <w:marTop w:val="0"/>
          <w:marBottom w:val="0"/>
          <w:divBdr>
            <w:top w:val="none" w:sz="0" w:space="0" w:color="auto"/>
            <w:left w:val="none" w:sz="0" w:space="0" w:color="auto"/>
            <w:bottom w:val="none" w:sz="0" w:space="0" w:color="auto"/>
            <w:right w:val="none" w:sz="0" w:space="0" w:color="auto"/>
          </w:divBdr>
        </w:div>
        <w:div w:id="901675291">
          <w:marLeft w:val="0"/>
          <w:marRight w:val="0"/>
          <w:marTop w:val="0"/>
          <w:marBottom w:val="0"/>
          <w:divBdr>
            <w:top w:val="none" w:sz="0" w:space="0" w:color="auto"/>
            <w:left w:val="none" w:sz="0" w:space="0" w:color="auto"/>
            <w:bottom w:val="none" w:sz="0" w:space="0" w:color="auto"/>
            <w:right w:val="none" w:sz="0" w:space="0" w:color="auto"/>
          </w:divBdr>
        </w:div>
        <w:div w:id="903494886">
          <w:marLeft w:val="0"/>
          <w:marRight w:val="0"/>
          <w:marTop w:val="0"/>
          <w:marBottom w:val="0"/>
          <w:divBdr>
            <w:top w:val="none" w:sz="0" w:space="0" w:color="auto"/>
            <w:left w:val="none" w:sz="0" w:space="0" w:color="auto"/>
            <w:bottom w:val="none" w:sz="0" w:space="0" w:color="auto"/>
            <w:right w:val="none" w:sz="0" w:space="0" w:color="auto"/>
          </w:divBdr>
        </w:div>
        <w:div w:id="905186990">
          <w:marLeft w:val="0"/>
          <w:marRight w:val="0"/>
          <w:marTop w:val="0"/>
          <w:marBottom w:val="0"/>
          <w:divBdr>
            <w:top w:val="none" w:sz="0" w:space="0" w:color="auto"/>
            <w:left w:val="none" w:sz="0" w:space="0" w:color="auto"/>
            <w:bottom w:val="none" w:sz="0" w:space="0" w:color="auto"/>
            <w:right w:val="none" w:sz="0" w:space="0" w:color="auto"/>
          </w:divBdr>
        </w:div>
        <w:div w:id="910504230">
          <w:marLeft w:val="0"/>
          <w:marRight w:val="0"/>
          <w:marTop w:val="0"/>
          <w:marBottom w:val="0"/>
          <w:divBdr>
            <w:top w:val="none" w:sz="0" w:space="0" w:color="auto"/>
            <w:left w:val="none" w:sz="0" w:space="0" w:color="auto"/>
            <w:bottom w:val="none" w:sz="0" w:space="0" w:color="auto"/>
            <w:right w:val="none" w:sz="0" w:space="0" w:color="auto"/>
          </w:divBdr>
        </w:div>
        <w:div w:id="912620211">
          <w:marLeft w:val="0"/>
          <w:marRight w:val="0"/>
          <w:marTop w:val="0"/>
          <w:marBottom w:val="0"/>
          <w:divBdr>
            <w:top w:val="none" w:sz="0" w:space="0" w:color="auto"/>
            <w:left w:val="none" w:sz="0" w:space="0" w:color="auto"/>
            <w:bottom w:val="none" w:sz="0" w:space="0" w:color="auto"/>
            <w:right w:val="none" w:sz="0" w:space="0" w:color="auto"/>
          </w:divBdr>
        </w:div>
        <w:div w:id="913783132">
          <w:marLeft w:val="0"/>
          <w:marRight w:val="0"/>
          <w:marTop w:val="0"/>
          <w:marBottom w:val="0"/>
          <w:divBdr>
            <w:top w:val="none" w:sz="0" w:space="0" w:color="auto"/>
            <w:left w:val="none" w:sz="0" w:space="0" w:color="auto"/>
            <w:bottom w:val="none" w:sz="0" w:space="0" w:color="auto"/>
            <w:right w:val="none" w:sz="0" w:space="0" w:color="auto"/>
          </w:divBdr>
        </w:div>
        <w:div w:id="913856419">
          <w:marLeft w:val="0"/>
          <w:marRight w:val="0"/>
          <w:marTop w:val="0"/>
          <w:marBottom w:val="0"/>
          <w:divBdr>
            <w:top w:val="none" w:sz="0" w:space="0" w:color="auto"/>
            <w:left w:val="none" w:sz="0" w:space="0" w:color="auto"/>
            <w:bottom w:val="none" w:sz="0" w:space="0" w:color="auto"/>
            <w:right w:val="none" w:sz="0" w:space="0" w:color="auto"/>
          </w:divBdr>
          <w:divsChild>
            <w:div w:id="407531926">
              <w:marLeft w:val="0"/>
              <w:marRight w:val="0"/>
              <w:marTop w:val="0"/>
              <w:marBottom w:val="0"/>
              <w:divBdr>
                <w:top w:val="none" w:sz="0" w:space="0" w:color="auto"/>
                <w:left w:val="none" w:sz="0" w:space="0" w:color="auto"/>
                <w:bottom w:val="none" w:sz="0" w:space="0" w:color="auto"/>
                <w:right w:val="none" w:sz="0" w:space="0" w:color="auto"/>
              </w:divBdr>
            </w:div>
            <w:div w:id="582110358">
              <w:marLeft w:val="0"/>
              <w:marRight w:val="0"/>
              <w:marTop w:val="0"/>
              <w:marBottom w:val="0"/>
              <w:divBdr>
                <w:top w:val="none" w:sz="0" w:space="0" w:color="auto"/>
                <w:left w:val="none" w:sz="0" w:space="0" w:color="auto"/>
                <w:bottom w:val="none" w:sz="0" w:space="0" w:color="auto"/>
                <w:right w:val="none" w:sz="0" w:space="0" w:color="auto"/>
              </w:divBdr>
            </w:div>
            <w:div w:id="601105340">
              <w:marLeft w:val="0"/>
              <w:marRight w:val="0"/>
              <w:marTop w:val="0"/>
              <w:marBottom w:val="0"/>
              <w:divBdr>
                <w:top w:val="none" w:sz="0" w:space="0" w:color="auto"/>
                <w:left w:val="none" w:sz="0" w:space="0" w:color="auto"/>
                <w:bottom w:val="none" w:sz="0" w:space="0" w:color="auto"/>
                <w:right w:val="none" w:sz="0" w:space="0" w:color="auto"/>
              </w:divBdr>
            </w:div>
            <w:div w:id="669985906">
              <w:marLeft w:val="0"/>
              <w:marRight w:val="0"/>
              <w:marTop w:val="0"/>
              <w:marBottom w:val="0"/>
              <w:divBdr>
                <w:top w:val="none" w:sz="0" w:space="0" w:color="auto"/>
                <w:left w:val="none" w:sz="0" w:space="0" w:color="auto"/>
                <w:bottom w:val="none" w:sz="0" w:space="0" w:color="auto"/>
                <w:right w:val="none" w:sz="0" w:space="0" w:color="auto"/>
              </w:divBdr>
            </w:div>
            <w:div w:id="781076116">
              <w:marLeft w:val="0"/>
              <w:marRight w:val="0"/>
              <w:marTop w:val="0"/>
              <w:marBottom w:val="0"/>
              <w:divBdr>
                <w:top w:val="none" w:sz="0" w:space="0" w:color="auto"/>
                <w:left w:val="none" w:sz="0" w:space="0" w:color="auto"/>
                <w:bottom w:val="none" w:sz="0" w:space="0" w:color="auto"/>
                <w:right w:val="none" w:sz="0" w:space="0" w:color="auto"/>
              </w:divBdr>
            </w:div>
            <w:div w:id="789126272">
              <w:marLeft w:val="0"/>
              <w:marRight w:val="0"/>
              <w:marTop w:val="0"/>
              <w:marBottom w:val="0"/>
              <w:divBdr>
                <w:top w:val="none" w:sz="0" w:space="0" w:color="auto"/>
                <w:left w:val="none" w:sz="0" w:space="0" w:color="auto"/>
                <w:bottom w:val="none" w:sz="0" w:space="0" w:color="auto"/>
                <w:right w:val="none" w:sz="0" w:space="0" w:color="auto"/>
              </w:divBdr>
            </w:div>
            <w:div w:id="847866258">
              <w:marLeft w:val="0"/>
              <w:marRight w:val="0"/>
              <w:marTop w:val="0"/>
              <w:marBottom w:val="0"/>
              <w:divBdr>
                <w:top w:val="none" w:sz="0" w:space="0" w:color="auto"/>
                <w:left w:val="none" w:sz="0" w:space="0" w:color="auto"/>
                <w:bottom w:val="none" w:sz="0" w:space="0" w:color="auto"/>
                <w:right w:val="none" w:sz="0" w:space="0" w:color="auto"/>
              </w:divBdr>
            </w:div>
            <w:div w:id="883517144">
              <w:marLeft w:val="0"/>
              <w:marRight w:val="0"/>
              <w:marTop w:val="0"/>
              <w:marBottom w:val="0"/>
              <w:divBdr>
                <w:top w:val="none" w:sz="0" w:space="0" w:color="auto"/>
                <w:left w:val="none" w:sz="0" w:space="0" w:color="auto"/>
                <w:bottom w:val="none" w:sz="0" w:space="0" w:color="auto"/>
                <w:right w:val="none" w:sz="0" w:space="0" w:color="auto"/>
              </w:divBdr>
            </w:div>
            <w:div w:id="1091655727">
              <w:marLeft w:val="0"/>
              <w:marRight w:val="0"/>
              <w:marTop w:val="0"/>
              <w:marBottom w:val="0"/>
              <w:divBdr>
                <w:top w:val="none" w:sz="0" w:space="0" w:color="auto"/>
                <w:left w:val="none" w:sz="0" w:space="0" w:color="auto"/>
                <w:bottom w:val="none" w:sz="0" w:space="0" w:color="auto"/>
                <w:right w:val="none" w:sz="0" w:space="0" w:color="auto"/>
              </w:divBdr>
            </w:div>
            <w:div w:id="1167401662">
              <w:marLeft w:val="0"/>
              <w:marRight w:val="0"/>
              <w:marTop w:val="0"/>
              <w:marBottom w:val="0"/>
              <w:divBdr>
                <w:top w:val="none" w:sz="0" w:space="0" w:color="auto"/>
                <w:left w:val="none" w:sz="0" w:space="0" w:color="auto"/>
                <w:bottom w:val="none" w:sz="0" w:space="0" w:color="auto"/>
                <w:right w:val="none" w:sz="0" w:space="0" w:color="auto"/>
              </w:divBdr>
            </w:div>
            <w:div w:id="1243107652">
              <w:marLeft w:val="0"/>
              <w:marRight w:val="0"/>
              <w:marTop w:val="0"/>
              <w:marBottom w:val="0"/>
              <w:divBdr>
                <w:top w:val="none" w:sz="0" w:space="0" w:color="auto"/>
                <w:left w:val="none" w:sz="0" w:space="0" w:color="auto"/>
                <w:bottom w:val="none" w:sz="0" w:space="0" w:color="auto"/>
                <w:right w:val="none" w:sz="0" w:space="0" w:color="auto"/>
              </w:divBdr>
            </w:div>
            <w:div w:id="1418281950">
              <w:marLeft w:val="0"/>
              <w:marRight w:val="0"/>
              <w:marTop w:val="0"/>
              <w:marBottom w:val="0"/>
              <w:divBdr>
                <w:top w:val="none" w:sz="0" w:space="0" w:color="auto"/>
                <w:left w:val="none" w:sz="0" w:space="0" w:color="auto"/>
                <w:bottom w:val="none" w:sz="0" w:space="0" w:color="auto"/>
                <w:right w:val="none" w:sz="0" w:space="0" w:color="auto"/>
              </w:divBdr>
            </w:div>
            <w:div w:id="1434935863">
              <w:marLeft w:val="0"/>
              <w:marRight w:val="0"/>
              <w:marTop w:val="0"/>
              <w:marBottom w:val="0"/>
              <w:divBdr>
                <w:top w:val="none" w:sz="0" w:space="0" w:color="auto"/>
                <w:left w:val="none" w:sz="0" w:space="0" w:color="auto"/>
                <w:bottom w:val="none" w:sz="0" w:space="0" w:color="auto"/>
                <w:right w:val="none" w:sz="0" w:space="0" w:color="auto"/>
              </w:divBdr>
            </w:div>
            <w:div w:id="1649673559">
              <w:marLeft w:val="0"/>
              <w:marRight w:val="0"/>
              <w:marTop w:val="0"/>
              <w:marBottom w:val="0"/>
              <w:divBdr>
                <w:top w:val="none" w:sz="0" w:space="0" w:color="auto"/>
                <w:left w:val="none" w:sz="0" w:space="0" w:color="auto"/>
                <w:bottom w:val="none" w:sz="0" w:space="0" w:color="auto"/>
                <w:right w:val="none" w:sz="0" w:space="0" w:color="auto"/>
              </w:divBdr>
            </w:div>
            <w:div w:id="1855876531">
              <w:marLeft w:val="0"/>
              <w:marRight w:val="0"/>
              <w:marTop w:val="0"/>
              <w:marBottom w:val="0"/>
              <w:divBdr>
                <w:top w:val="none" w:sz="0" w:space="0" w:color="auto"/>
                <w:left w:val="none" w:sz="0" w:space="0" w:color="auto"/>
                <w:bottom w:val="none" w:sz="0" w:space="0" w:color="auto"/>
                <w:right w:val="none" w:sz="0" w:space="0" w:color="auto"/>
              </w:divBdr>
            </w:div>
            <w:div w:id="1935700374">
              <w:marLeft w:val="0"/>
              <w:marRight w:val="0"/>
              <w:marTop w:val="0"/>
              <w:marBottom w:val="0"/>
              <w:divBdr>
                <w:top w:val="none" w:sz="0" w:space="0" w:color="auto"/>
                <w:left w:val="none" w:sz="0" w:space="0" w:color="auto"/>
                <w:bottom w:val="none" w:sz="0" w:space="0" w:color="auto"/>
                <w:right w:val="none" w:sz="0" w:space="0" w:color="auto"/>
              </w:divBdr>
            </w:div>
            <w:div w:id="2001343578">
              <w:marLeft w:val="0"/>
              <w:marRight w:val="0"/>
              <w:marTop w:val="0"/>
              <w:marBottom w:val="0"/>
              <w:divBdr>
                <w:top w:val="none" w:sz="0" w:space="0" w:color="auto"/>
                <w:left w:val="none" w:sz="0" w:space="0" w:color="auto"/>
                <w:bottom w:val="none" w:sz="0" w:space="0" w:color="auto"/>
                <w:right w:val="none" w:sz="0" w:space="0" w:color="auto"/>
              </w:divBdr>
            </w:div>
            <w:div w:id="2063285940">
              <w:marLeft w:val="0"/>
              <w:marRight w:val="0"/>
              <w:marTop w:val="0"/>
              <w:marBottom w:val="0"/>
              <w:divBdr>
                <w:top w:val="none" w:sz="0" w:space="0" w:color="auto"/>
                <w:left w:val="none" w:sz="0" w:space="0" w:color="auto"/>
                <w:bottom w:val="none" w:sz="0" w:space="0" w:color="auto"/>
                <w:right w:val="none" w:sz="0" w:space="0" w:color="auto"/>
              </w:divBdr>
            </w:div>
          </w:divsChild>
        </w:div>
        <w:div w:id="915046203">
          <w:marLeft w:val="0"/>
          <w:marRight w:val="0"/>
          <w:marTop w:val="0"/>
          <w:marBottom w:val="0"/>
          <w:divBdr>
            <w:top w:val="none" w:sz="0" w:space="0" w:color="auto"/>
            <w:left w:val="none" w:sz="0" w:space="0" w:color="auto"/>
            <w:bottom w:val="none" w:sz="0" w:space="0" w:color="auto"/>
            <w:right w:val="none" w:sz="0" w:space="0" w:color="auto"/>
          </w:divBdr>
        </w:div>
        <w:div w:id="915941842">
          <w:marLeft w:val="0"/>
          <w:marRight w:val="0"/>
          <w:marTop w:val="0"/>
          <w:marBottom w:val="0"/>
          <w:divBdr>
            <w:top w:val="none" w:sz="0" w:space="0" w:color="auto"/>
            <w:left w:val="none" w:sz="0" w:space="0" w:color="auto"/>
            <w:bottom w:val="none" w:sz="0" w:space="0" w:color="auto"/>
            <w:right w:val="none" w:sz="0" w:space="0" w:color="auto"/>
          </w:divBdr>
        </w:div>
        <w:div w:id="919799051">
          <w:marLeft w:val="0"/>
          <w:marRight w:val="0"/>
          <w:marTop w:val="0"/>
          <w:marBottom w:val="0"/>
          <w:divBdr>
            <w:top w:val="none" w:sz="0" w:space="0" w:color="auto"/>
            <w:left w:val="none" w:sz="0" w:space="0" w:color="auto"/>
            <w:bottom w:val="none" w:sz="0" w:space="0" w:color="auto"/>
            <w:right w:val="none" w:sz="0" w:space="0" w:color="auto"/>
          </w:divBdr>
        </w:div>
        <w:div w:id="921181363">
          <w:marLeft w:val="0"/>
          <w:marRight w:val="0"/>
          <w:marTop w:val="0"/>
          <w:marBottom w:val="0"/>
          <w:divBdr>
            <w:top w:val="none" w:sz="0" w:space="0" w:color="auto"/>
            <w:left w:val="none" w:sz="0" w:space="0" w:color="auto"/>
            <w:bottom w:val="none" w:sz="0" w:space="0" w:color="auto"/>
            <w:right w:val="none" w:sz="0" w:space="0" w:color="auto"/>
          </w:divBdr>
        </w:div>
        <w:div w:id="921573206">
          <w:marLeft w:val="0"/>
          <w:marRight w:val="0"/>
          <w:marTop w:val="0"/>
          <w:marBottom w:val="0"/>
          <w:divBdr>
            <w:top w:val="none" w:sz="0" w:space="0" w:color="auto"/>
            <w:left w:val="none" w:sz="0" w:space="0" w:color="auto"/>
            <w:bottom w:val="none" w:sz="0" w:space="0" w:color="auto"/>
            <w:right w:val="none" w:sz="0" w:space="0" w:color="auto"/>
          </w:divBdr>
        </w:div>
        <w:div w:id="923613110">
          <w:marLeft w:val="0"/>
          <w:marRight w:val="0"/>
          <w:marTop w:val="0"/>
          <w:marBottom w:val="0"/>
          <w:divBdr>
            <w:top w:val="none" w:sz="0" w:space="0" w:color="auto"/>
            <w:left w:val="none" w:sz="0" w:space="0" w:color="auto"/>
            <w:bottom w:val="none" w:sz="0" w:space="0" w:color="auto"/>
            <w:right w:val="none" w:sz="0" w:space="0" w:color="auto"/>
          </w:divBdr>
        </w:div>
        <w:div w:id="924189761">
          <w:marLeft w:val="0"/>
          <w:marRight w:val="0"/>
          <w:marTop w:val="0"/>
          <w:marBottom w:val="0"/>
          <w:divBdr>
            <w:top w:val="none" w:sz="0" w:space="0" w:color="auto"/>
            <w:left w:val="none" w:sz="0" w:space="0" w:color="auto"/>
            <w:bottom w:val="none" w:sz="0" w:space="0" w:color="auto"/>
            <w:right w:val="none" w:sz="0" w:space="0" w:color="auto"/>
          </w:divBdr>
        </w:div>
        <w:div w:id="925454747">
          <w:marLeft w:val="0"/>
          <w:marRight w:val="0"/>
          <w:marTop w:val="0"/>
          <w:marBottom w:val="0"/>
          <w:divBdr>
            <w:top w:val="none" w:sz="0" w:space="0" w:color="auto"/>
            <w:left w:val="none" w:sz="0" w:space="0" w:color="auto"/>
            <w:bottom w:val="none" w:sz="0" w:space="0" w:color="auto"/>
            <w:right w:val="none" w:sz="0" w:space="0" w:color="auto"/>
          </w:divBdr>
        </w:div>
        <w:div w:id="928465996">
          <w:marLeft w:val="0"/>
          <w:marRight w:val="0"/>
          <w:marTop w:val="0"/>
          <w:marBottom w:val="0"/>
          <w:divBdr>
            <w:top w:val="none" w:sz="0" w:space="0" w:color="auto"/>
            <w:left w:val="none" w:sz="0" w:space="0" w:color="auto"/>
            <w:bottom w:val="none" w:sz="0" w:space="0" w:color="auto"/>
            <w:right w:val="none" w:sz="0" w:space="0" w:color="auto"/>
          </w:divBdr>
        </w:div>
        <w:div w:id="929970198">
          <w:marLeft w:val="0"/>
          <w:marRight w:val="0"/>
          <w:marTop w:val="0"/>
          <w:marBottom w:val="0"/>
          <w:divBdr>
            <w:top w:val="none" w:sz="0" w:space="0" w:color="auto"/>
            <w:left w:val="none" w:sz="0" w:space="0" w:color="auto"/>
            <w:bottom w:val="none" w:sz="0" w:space="0" w:color="auto"/>
            <w:right w:val="none" w:sz="0" w:space="0" w:color="auto"/>
          </w:divBdr>
        </w:div>
        <w:div w:id="930047624">
          <w:marLeft w:val="0"/>
          <w:marRight w:val="0"/>
          <w:marTop w:val="0"/>
          <w:marBottom w:val="0"/>
          <w:divBdr>
            <w:top w:val="none" w:sz="0" w:space="0" w:color="auto"/>
            <w:left w:val="none" w:sz="0" w:space="0" w:color="auto"/>
            <w:bottom w:val="none" w:sz="0" w:space="0" w:color="auto"/>
            <w:right w:val="none" w:sz="0" w:space="0" w:color="auto"/>
          </w:divBdr>
        </w:div>
        <w:div w:id="930815988">
          <w:marLeft w:val="0"/>
          <w:marRight w:val="0"/>
          <w:marTop w:val="0"/>
          <w:marBottom w:val="0"/>
          <w:divBdr>
            <w:top w:val="none" w:sz="0" w:space="0" w:color="auto"/>
            <w:left w:val="none" w:sz="0" w:space="0" w:color="auto"/>
            <w:bottom w:val="none" w:sz="0" w:space="0" w:color="auto"/>
            <w:right w:val="none" w:sz="0" w:space="0" w:color="auto"/>
          </w:divBdr>
        </w:div>
        <w:div w:id="931861201">
          <w:marLeft w:val="0"/>
          <w:marRight w:val="0"/>
          <w:marTop w:val="0"/>
          <w:marBottom w:val="0"/>
          <w:divBdr>
            <w:top w:val="none" w:sz="0" w:space="0" w:color="auto"/>
            <w:left w:val="none" w:sz="0" w:space="0" w:color="auto"/>
            <w:bottom w:val="none" w:sz="0" w:space="0" w:color="auto"/>
            <w:right w:val="none" w:sz="0" w:space="0" w:color="auto"/>
          </w:divBdr>
        </w:div>
        <w:div w:id="933050798">
          <w:marLeft w:val="0"/>
          <w:marRight w:val="0"/>
          <w:marTop w:val="0"/>
          <w:marBottom w:val="0"/>
          <w:divBdr>
            <w:top w:val="none" w:sz="0" w:space="0" w:color="auto"/>
            <w:left w:val="none" w:sz="0" w:space="0" w:color="auto"/>
            <w:bottom w:val="none" w:sz="0" w:space="0" w:color="auto"/>
            <w:right w:val="none" w:sz="0" w:space="0" w:color="auto"/>
          </w:divBdr>
        </w:div>
        <w:div w:id="934215711">
          <w:marLeft w:val="0"/>
          <w:marRight w:val="0"/>
          <w:marTop w:val="0"/>
          <w:marBottom w:val="0"/>
          <w:divBdr>
            <w:top w:val="none" w:sz="0" w:space="0" w:color="auto"/>
            <w:left w:val="none" w:sz="0" w:space="0" w:color="auto"/>
            <w:bottom w:val="none" w:sz="0" w:space="0" w:color="auto"/>
            <w:right w:val="none" w:sz="0" w:space="0" w:color="auto"/>
          </w:divBdr>
        </w:div>
        <w:div w:id="938172639">
          <w:marLeft w:val="0"/>
          <w:marRight w:val="0"/>
          <w:marTop w:val="0"/>
          <w:marBottom w:val="0"/>
          <w:divBdr>
            <w:top w:val="none" w:sz="0" w:space="0" w:color="auto"/>
            <w:left w:val="none" w:sz="0" w:space="0" w:color="auto"/>
            <w:bottom w:val="none" w:sz="0" w:space="0" w:color="auto"/>
            <w:right w:val="none" w:sz="0" w:space="0" w:color="auto"/>
          </w:divBdr>
        </w:div>
        <w:div w:id="939415454">
          <w:marLeft w:val="0"/>
          <w:marRight w:val="0"/>
          <w:marTop w:val="0"/>
          <w:marBottom w:val="0"/>
          <w:divBdr>
            <w:top w:val="none" w:sz="0" w:space="0" w:color="auto"/>
            <w:left w:val="none" w:sz="0" w:space="0" w:color="auto"/>
            <w:bottom w:val="none" w:sz="0" w:space="0" w:color="auto"/>
            <w:right w:val="none" w:sz="0" w:space="0" w:color="auto"/>
          </w:divBdr>
        </w:div>
        <w:div w:id="940382659">
          <w:marLeft w:val="0"/>
          <w:marRight w:val="0"/>
          <w:marTop w:val="0"/>
          <w:marBottom w:val="0"/>
          <w:divBdr>
            <w:top w:val="none" w:sz="0" w:space="0" w:color="auto"/>
            <w:left w:val="none" w:sz="0" w:space="0" w:color="auto"/>
            <w:bottom w:val="none" w:sz="0" w:space="0" w:color="auto"/>
            <w:right w:val="none" w:sz="0" w:space="0" w:color="auto"/>
          </w:divBdr>
        </w:div>
        <w:div w:id="940453576">
          <w:marLeft w:val="0"/>
          <w:marRight w:val="0"/>
          <w:marTop w:val="0"/>
          <w:marBottom w:val="0"/>
          <w:divBdr>
            <w:top w:val="none" w:sz="0" w:space="0" w:color="auto"/>
            <w:left w:val="none" w:sz="0" w:space="0" w:color="auto"/>
            <w:bottom w:val="none" w:sz="0" w:space="0" w:color="auto"/>
            <w:right w:val="none" w:sz="0" w:space="0" w:color="auto"/>
          </w:divBdr>
        </w:div>
        <w:div w:id="941499930">
          <w:marLeft w:val="0"/>
          <w:marRight w:val="0"/>
          <w:marTop w:val="0"/>
          <w:marBottom w:val="0"/>
          <w:divBdr>
            <w:top w:val="none" w:sz="0" w:space="0" w:color="auto"/>
            <w:left w:val="none" w:sz="0" w:space="0" w:color="auto"/>
            <w:bottom w:val="none" w:sz="0" w:space="0" w:color="auto"/>
            <w:right w:val="none" w:sz="0" w:space="0" w:color="auto"/>
          </w:divBdr>
        </w:div>
        <w:div w:id="944575781">
          <w:marLeft w:val="0"/>
          <w:marRight w:val="0"/>
          <w:marTop w:val="0"/>
          <w:marBottom w:val="0"/>
          <w:divBdr>
            <w:top w:val="none" w:sz="0" w:space="0" w:color="auto"/>
            <w:left w:val="none" w:sz="0" w:space="0" w:color="auto"/>
            <w:bottom w:val="none" w:sz="0" w:space="0" w:color="auto"/>
            <w:right w:val="none" w:sz="0" w:space="0" w:color="auto"/>
          </w:divBdr>
        </w:div>
        <w:div w:id="945163157">
          <w:marLeft w:val="0"/>
          <w:marRight w:val="0"/>
          <w:marTop w:val="0"/>
          <w:marBottom w:val="0"/>
          <w:divBdr>
            <w:top w:val="none" w:sz="0" w:space="0" w:color="auto"/>
            <w:left w:val="none" w:sz="0" w:space="0" w:color="auto"/>
            <w:bottom w:val="none" w:sz="0" w:space="0" w:color="auto"/>
            <w:right w:val="none" w:sz="0" w:space="0" w:color="auto"/>
          </w:divBdr>
        </w:div>
        <w:div w:id="946041587">
          <w:marLeft w:val="0"/>
          <w:marRight w:val="0"/>
          <w:marTop w:val="0"/>
          <w:marBottom w:val="0"/>
          <w:divBdr>
            <w:top w:val="none" w:sz="0" w:space="0" w:color="auto"/>
            <w:left w:val="none" w:sz="0" w:space="0" w:color="auto"/>
            <w:bottom w:val="none" w:sz="0" w:space="0" w:color="auto"/>
            <w:right w:val="none" w:sz="0" w:space="0" w:color="auto"/>
          </w:divBdr>
        </w:div>
        <w:div w:id="946808503">
          <w:marLeft w:val="0"/>
          <w:marRight w:val="0"/>
          <w:marTop w:val="0"/>
          <w:marBottom w:val="0"/>
          <w:divBdr>
            <w:top w:val="none" w:sz="0" w:space="0" w:color="auto"/>
            <w:left w:val="none" w:sz="0" w:space="0" w:color="auto"/>
            <w:bottom w:val="none" w:sz="0" w:space="0" w:color="auto"/>
            <w:right w:val="none" w:sz="0" w:space="0" w:color="auto"/>
          </w:divBdr>
        </w:div>
        <w:div w:id="947859576">
          <w:marLeft w:val="0"/>
          <w:marRight w:val="0"/>
          <w:marTop w:val="0"/>
          <w:marBottom w:val="0"/>
          <w:divBdr>
            <w:top w:val="none" w:sz="0" w:space="0" w:color="auto"/>
            <w:left w:val="none" w:sz="0" w:space="0" w:color="auto"/>
            <w:bottom w:val="none" w:sz="0" w:space="0" w:color="auto"/>
            <w:right w:val="none" w:sz="0" w:space="0" w:color="auto"/>
          </w:divBdr>
        </w:div>
        <w:div w:id="950670436">
          <w:marLeft w:val="0"/>
          <w:marRight w:val="0"/>
          <w:marTop w:val="0"/>
          <w:marBottom w:val="0"/>
          <w:divBdr>
            <w:top w:val="none" w:sz="0" w:space="0" w:color="auto"/>
            <w:left w:val="none" w:sz="0" w:space="0" w:color="auto"/>
            <w:bottom w:val="none" w:sz="0" w:space="0" w:color="auto"/>
            <w:right w:val="none" w:sz="0" w:space="0" w:color="auto"/>
          </w:divBdr>
        </w:div>
        <w:div w:id="950672725">
          <w:marLeft w:val="0"/>
          <w:marRight w:val="0"/>
          <w:marTop w:val="0"/>
          <w:marBottom w:val="0"/>
          <w:divBdr>
            <w:top w:val="none" w:sz="0" w:space="0" w:color="auto"/>
            <w:left w:val="none" w:sz="0" w:space="0" w:color="auto"/>
            <w:bottom w:val="none" w:sz="0" w:space="0" w:color="auto"/>
            <w:right w:val="none" w:sz="0" w:space="0" w:color="auto"/>
          </w:divBdr>
        </w:div>
        <w:div w:id="950823465">
          <w:marLeft w:val="0"/>
          <w:marRight w:val="0"/>
          <w:marTop w:val="0"/>
          <w:marBottom w:val="0"/>
          <w:divBdr>
            <w:top w:val="none" w:sz="0" w:space="0" w:color="auto"/>
            <w:left w:val="none" w:sz="0" w:space="0" w:color="auto"/>
            <w:bottom w:val="none" w:sz="0" w:space="0" w:color="auto"/>
            <w:right w:val="none" w:sz="0" w:space="0" w:color="auto"/>
          </w:divBdr>
        </w:div>
        <w:div w:id="951522902">
          <w:marLeft w:val="0"/>
          <w:marRight w:val="0"/>
          <w:marTop w:val="0"/>
          <w:marBottom w:val="0"/>
          <w:divBdr>
            <w:top w:val="none" w:sz="0" w:space="0" w:color="auto"/>
            <w:left w:val="none" w:sz="0" w:space="0" w:color="auto"/>
            <w:bottom w:val="none" w:sz="0" w:space="0" w:color="auto"/>
            <w:right w:val="none" w:sz="0" w:space="0" w:color="auto"/>
          </w:divBdr>
        </w:div>
        <w:div w:id="952588886">
          <w:marLeft w:val="0"/>
          <w:marRight w:val="0"/>
          <w:marTop w:val="0"/>
          <w:marBottom w:val="0"/>
          <w:divBdr>
            <w:top w:val="none" w:sz="0" w:space="0" w:color="auto"/>
            <w:left w:val="none" w:sz="0" w:space="0" w:color="auto"/>
            <w:bottom w:val="none" w:sz="0" w:space="0" w:color="auto"/>
            <w:right w:val="none" w:sz="0" w:space="0" w:color="auto"/>
          </w:divBdr>
        </w:div>
        <w:div w:id="953705448">
          <w:marLeft w:val="0"/>
          <w:marRight w:val="0"/>
          <w:marTop w:val="0"/>
          <w:marBottom w:val="0"/>
          <w:divBdr>
            <w:top w:val="none" w:sz="0" w:space="0" w:color="auto"/>
            <w:left w:val="none" w:sz="0" w:space="0" w:color="auto"/>
            <w:bottom w:val="none" w:sz="0" w:space="0" w:color="auto"/>
            <w:right w:val="none" w:sz="0" w:space="0" w:color="auto"/>
          </w:divBdr>
        </w:div>
        <w:div w:id="955678711">
          <w:marLeft w:val="0"/>
          <w:marRight w:val="0"/>
          <w:marTop w:val="0"/>
          <w:marBottom w:val="0"/>
          <w:divBdr>
            <w:top w:val="none" w:sz="0" w:space="0" w:color="auto"/>
            <w:left w:val="none" w:sz="0" w:space="0" w:color="auto"/>
            <w:bottom w:val="none" w:sz="0" w:space="0" w:color="auto"/>
            <w:right w:val="none" w:sz="0" w:space="0" w:color="auto"/>
          </w:divBdr>
        </w:div>
        <w:div w:id="960189352">
          <w:marLeft w:val="0"/>
          <w:marRight w:val="0"/>
          <w:marTop w:val="0"/>
          <w:marBottom w:val="0"/>
          <w:divBdr>
            <w:top w:val="none" w:sz="0" w:space="0" w:color="auto"/>
            <w:left w:val="none" w:sz="0" w:space="0" w:color="auto"/>
            <w:bottom w:val="none" w:sz="0" w:space="0" w:color="auto"/>
            <w:right w:val="none" w:sz="0" w:space="0" w:color="auto"/>
          </w:divBdr>
        </w:div>
        <w:div w:id="960723238">
          <w:marLeft w:val="0"/>
          <w:marRight w:val="0"/>
          <w:marTop w:val="0"/>
          <w:marBottom w:val="0"/>
          <w:divBdr>
            <w:top w:val="none" w:sz="0" w:space="0" w:color="auto"/>
            <w:left w:val="none" w:sz="0" w:space="0" w:color="auto"/>
            <w:bottom w:val="none" w:sz="0" w:space="0" w:color="auto"/>
            <w:right w:val="none" w:sz="0" w:space="0" w:color="auto"/>
          </w:divBdr>
        </w:div>
        <w:div w:id="963654676">
          <w:marLeft w:val="0"/>
          <w:marRight w:val="0"/>
          <w:marTop w:val="0"/>
          <w:marBottom w:val="0"/>
          <w:divBdr>
            <w:top w:val="none" w:sz="0" w:space="0" w:color="auto"/>
            <w:left w:val="none" w:sz="0" w:space="0" w:color="auto"/>
            <w:bottom w:val="none" w:sz="0" w:space="0" w:color="auto"/>
            <w:right w:val="none" w:sz="0" w:space="0" w:color="auto"/>
          </w:divBdr>
        </w:div>
        <w:div w:id="964392358">
          <w:marLeft w:val="0"/>
          <w:marRight w:val="0"/>
          <w:marTop w:val="0"/>
          <w:marBottom w:val="0"/>
          <w:divBdr>
            <w:top w:val="none" w:sz="0" w:space="0" w:color="auto"/>
            <w:left w:val="none" w:sz="0" w:space="0" w:color="auto"/>
            <w:bottom w:val="none" w:sz="0" w:space="0" w:color="auto"/>
            <w:right w:val="none" w:sz="0" w:space="0" w:color="auto"/>
          </w:divBdr>
        </w:div>
        <w:div w:id="966542933">
          <w:marLeft w:val="0"/>
          <w:marRight w:val="0"/>
          <w:marTop w:val="0"/>
          <w:marBottom w:val="0"/>
          <w:divBdr>
            <w:top w:val="none" w:sz="0" w:space="0" w:color="auto"/>
            <w:left w:val="none" w:sz="0" w:space="0" w:color="auto"/>
            <w:bottom w:val="none" w:sz="0" w:space="0" w:color="auto"/>
            <w:right w:val="none" w:sz="0" w:space="0" w:color="auto"/>
          </w:divBdr>
        </w:div>
        <w:div w:id="966855434">
          <w:marLeft w:val="0"/>
          <w:marRight w:val="0"/>
          <w:marTop w:val="0"/>
          <w:marBottom w:val="0"/>
          <w:divBdr>
            <w:top w:val="none" w:sz="0" w:space="0" w:color="auto"/>
            <w:left w:val="none" w:sz="0" w:space="0" w:color="auto"/>
            <w:bottom w:val="none" w:sz="0" w:space="0" w:color="auto"/>
            <w:right w:val="none" w:sz="0" w:space="0" w:color="auto"/>
          </w:divBdr>
        </w:div>
        <w:div w:id="966936590">
          <w:marLeft w:val="0"/>
          <w:marRight w:val="0"/>
          <w:marTop w:val="0"/>
          <w:marBottom w:val="0"/>
          <w:divBdr>
            <w:top w:val="none" w:sz="0" w:space="0" w:color="auto"/>
            <w:left w:val="none" w:sz="0" w:space="0" w:color="auto"/>
            <w:bottom w:val="none" w:sz="0" w:space="0" w:color="auto"/>
            <w:right w:val="none" w:sz="0" w:space="0" w:color="auto"/>
          </w:divBdr>
        </w:div>
        <w:div w:id="967080383">
          <w:marLeft w:val="0"/>
          <w:marRight w:val="0"/>
          <w:marTop w:val="0"/>
          <w:marBottom w:val="0"/>
          <w:divBdr>
            <w:top w:val="none" w:sz="0" w:space="0" w:color="auto"/>
            <w:left w:val="none" w:sz="0" w:space="0" w:color="auto"/>
            <w:bottom w:val="none" w:sz="0" w:space="0" w:color="auto"/>
            <w:right w:val="none" w:sz="0" w:space="0" w:color="auto"/>
          </w:divBdr>
        </w:div>
        <w:div w:id="967736715">
          <w:marLeft w:val="0"/>
          <w:marRight w:val="0"/>
          <w:marTop w:val="0"/>
          <w:marBottom w:val="0"/>
          <w:divBdr>
            <w:top w:val="none" w:sz="0" w:space="0" w:color="auto"/>
            <w:left w:val="none" w:sz="0" w:space="0" w:color="auto"/>
            <w:bottom w:val="none" w:sz="0" w:space="0" w:color="auto"/>
            <w:right w:val="none" w:sz="0" w:space="0" w:color="auto"/>
          </w:divBdr>
        </w:div>
        <w:div w:id="968128443">
          <w:marLeft w:val="0"/>
          <w:marRight w:val="0"/>
          <w:marTop w:val="0"/>
          <w:marBottom w:val="0"/>
          <w:divBdr>
            <w:top w:val="none" w:sz="0" w:space="0" w:color="auto"/>
            <w:left w:val="none" w:sz="0" w:space="0" w:color="auto"/>
            <w:bottom w:val="none" w:sz="0" w:space="0" w:color="auto"/>
            <w:right w:val="none" w:sz="0" w:space="0" w:color="auto"/>
          </w:divBdr>
        </w:div>
        <w:div w:id="970087482">
          <w:marLeft w:val="0"/>
          <w:marRight w:val="0"/>
          <w:marTop w:val="0"/>
          <w:marBottom w:val="0"/>
          <w:divBdr>
            <w:top w:val="none" w:sz="0" w:space="0" w:color="auto"/>
            <w:left w:val="none" w:sz="0" w:space="0" w:color="auto"/>
            <w:bottom w:val="none" w:sz="0" w:space="0" w:color="auto"/>
            <w:right w:val="none" w:sz="0" w:space="0" w:color="auto"/>
          </w:divBdr>
        </w:div>
        <w:div w:id="970289887">
          <w:marLeft w:val="0"/>
          <w:marRight w:val="0"/>
          <w:marTop w:val="0"/>
          <w:marBottom w:val="0"/>
          <w:divBdr>
            <w:top w:val="none" w:sz="0" w:space="0" w:color="auto"/>
            <w:left w:val="none" w:sz="0" w:space="0" w:color="auto"/>
            <w:bottom w:val="none" w:sz="0" w:space="0" w:color="auto"/>
            <w:right w:val="none" w:sz="0" w:space="0" w:color="auto"/>
          </w:divBdr>
        </w:div>
        <w:div w:id="971324141">
          <w:marLeft w:val="0"/>
          <w:marRight w:val="0"/>
          <w:marTop w:val="0"/>
          <w:marBottom w:val="0"/>
          <w:divBdr>
            <w:top w:val="none" w:sz="0" w:space="0" w:color="auto"/>
            <w:left w:val="none" w:sz="0" w:space="0" w:color="auto"/>
            <w:bottom w:val="none" w:sz="0" w:space="0" w:color="auto"/>
            <w:right w:val="none" w:sz="0" w:space="0" w:color="auto"/>
          </w:divBdr>
        </w:div>
        <w:div w:id="972252502">
          <w:marLeft w:val="0"/>
          <w:marRight w:val="0"/>
          <w:marTop w:val="0"/>
          <w:marBottom w:val="0"/>
          <w:divBdr>
            <w:top w:val="none" w:sz="0" w:space="0" w:color="auto"/>
            <w:left w:val="none" w:sz="0" w:space="0" w:color="auto"/>
            <w:bottom w:val="none" w:sz="0" w:space="0" w:color="auto"/>
            <w:right w:val="none" w:sz="0" w:space="0" w:color="auto"/>
          </w:divBdr>
        </w:div>
        <w:div w:id="973023208">
          <w:marLeft w:val="0"/>
          <w:marRight w:val="0"/>
          <w:marTop w:val="0"/>
          <w:marBottom w:val="0"/>
          <w:divBdr>
            <w:top w:val="none" w:sz="0" w:space="0" w:color="auto"/>
            <w:left w:val="none" w:sz="0" w:space="0" w:color="auto"/>
            <w:bottom w:val="none" w:sz="0" w:space="0" w:color="auto"/>
            <w:right w:val="none" w:sz="0" w:space="0" w:color="auto"/>
          </w:divBdr>
        </w:div>
        <w:div w:id="973216391">
          <w:marLeft w:val="0"/>
          <w:marRight w:val="0"/>
          <w:marTop w:val="0"/>
          <w:marBottom w:val="0"/>
          <w:divBdr>
            <w:top w:val="none" w:sz="0" w:space="0" w:color="auto"/>
            <w:left w:val="none" w:sz="0" w:space="0" w:color="auto"/>
            <w:bottom w:val="none" w:sz="0" w:space="0" w:color="auto"/>
            <w:right w:val="none" w:sz="0" w:space="0" w:color="auto"/>
          </w:divBdr>
        </w:div>
        <w:div w:id="974992823">
          <w:marLeft w:val="0"/>
          <w:marRight w:val="0"/>
          <w:marTop w:val="0"/>
          <w:marBottom w:val="0"/>
          <w:divBdr>
            <w:top w:val="none" w:sz="0" w:space="0" w:color="auto"/>
            <w:left w:val="none" w:sz="0" w:space="0" w:color="auto"/>
            <w:bottom w:val="none" w:sz="0" w:space="0" w:color="auto"/>
            <w:right w:val="none" w:sz="0" w:space="0" w:color="auto"/>
          </w:divBdr>
        </w:div>
        <w:div w:id="976299731">
          <w:marLeft w:val="0"/>
          <w:marRight w:val="0"/>
          <w:marTop w:val="0"/>
          <w:marBottom w:val="0"/>
          <w:divBdr>
            <w:top w:val="none" w:sz="0" w:space="0" w:color="auto"/>
            <w:left w:val="none" w:sz="0" w:space="0" w:color="auto"/>
            <w:bottom w:val="none" w:sz="0" w:space="0" w:color="auto"/>
            <w:right w:val="none" w:sz="0" w:space="0" w:color="auto"/>
          </w:divBdr>
        </w:div>
        <w:div w:id="978068036">
          <w:marLeft w:val="0"/>
          <w:marRight w:val="0"/>
          <w:marTop w:val="0"/>
          <w:marBottom w:val="0"/>
          <w:divBdr>
            <w:top w:val="none" w:sz="0" w:space="0" w:color="auto"/>
            <w:left w:val="none" w:sz="0" w:space="0" w:color="auto"/>
            <w:bottom w:val="none" w:sz="0" w:space="0" w:color="auto"/>
            <w:right w:val="none" w:sz="0" w:space="0" w:color="auto"/>
          </w:divBdr>
        </w:div>
        <w:div w:id="979965181">
          <w:marLeft w:val="0"/>
          <w:marRight w:val="0"/>
          <w:marTop w:val="0"/>
          <w:marBottom w:val="0"/>
          <w:divBdr>
            <w:top w:val="none" w:sz="0" w:space="0" w:color="auto"/>
            <w:left w:val="none" w:sz="0" w:space="0" w:color="auto"/>
            <w:bottom w:val="none" w:sz="0" w:space="0" w:color="auto"/>
            <w:right w:val="none" w:sz="0" w:space="0" w:color="auto"/>
          </w:divBdr>
        </w:div>
        <w:div w:id="982195424">
          <w:marLeft w:val="0"/>
          <w:marRight w:val="0"/>
          <w:marTop w:val="0"/>
          <w:marBottom w:val="0"/>
          <w:divBdr>
            <w:top w:val="none" w:sz="0" w:space="0" w:color="auto"/>
            <w:left w:val="none" w:sz="0" w:space="0" w:color="auto"/>
            <w:bottom w:val="none" w:sz="0" w:space="0" w:color="auto"/>
            <w:right w:val="none" w:sz="0" w:space="0" w:color="auto"/>
          </w:divBdr>
        </w:div>
        <w:div w:id="984043035">
          <w:marLeft w:val="0"/>
          <w:marRight w:val="0"/>
          <w:marTop w:val="0"/>
          <w:marBottom w:val="0"/>
          <w:divBdr>
            <w:top w:val="none" w:sz="0" w:space="0" w:color="auto"/>
            <w:left w:val="none" w:sz="0" w:space="0" w:color="auto"/>
            <w:bottom w:val="none" w:sz="0" w:space="0" w:color="auto"/>
            <w:right w:val="none" w:sz="0" w:space="0" w:color="auto"/>
          </w:divBdr>
        </w:div>
        <w:div w:id="984427788">
          <w:marLeft w:val="0"/>
          <w:marRight w:val="0"/>
          <w:marTop w:val="0"/>
          <w:marBottom w:val="0"/>
          <w:divBdr>
            <w:top w:val="none" w:sz="0" w:space="0" w:color="auto"/>
            <w:left w:val="none" w:sz="0" w:space="0" w:color="auto"/>
            <w:bottom w:val="none" w:sz="0" w:space="0" w:color="auto"/>
            <w:right w:val="none" w:sz="0" w:space="0" w:color="auto"/>
          </w:divBdr>
        </w:div>
        <w:div w:id="985279034">
          <w:marLeft w:val="0"/>
          <w:marRight w:val="0"/>
          <w:marTop w:val="0"/>
          <w:marBottom w:val="0"/>
          <w:divBdr>
            <w:top w:val="none" w:sz="0" w:space="0" w:color="auto"/>
            <w:left w:val="none" w:sz="0" w:space="0" w:color="auto"/>
            <w:bottom w:val="none" w:sz="0" w:space="0" w:color="auto"/>
            <w:right w:val="none" w:sz="0" w:space="0" w:color="auto"/>
          </w:divBdr>
        </w:div>
        <w:div w:id="985742231">
          <w:marLeft w:val="0"/>
          <w:marRight w:val="0"/>
          <w:marTop w:val="0"/>
          <w:marBottom w:val="0"/>
          <w:divBdr>
            <w:top w:val="none" w:sz="0" w:space="0" w:color="auto"/>
            <w:left w:val="none" w:sz="0" w:space="0" w:color="auto"/>
            <w:bottom w:val="none" w:sz="0" w:space="0" w:color="auto"/>
            <w:right w:val="none" w:sz="0" w:space="0" w:color="auto"/>
          </w:divBdr>
        </w:div>
        <w:div w:id="987585925">
          <w:marLeft w:val="0"/>
          <w:marRight w:val="0"/>
          <w:marTop w:val="0"/>
          <w:marBottom w:val="0"/>
          <w:divBdr>
            <w:top w:val="none" w:sz="0" w:space="0" w:color="auto"/>
            <w:left w:val="none" w:sz="0" w:space="0" w:color="auto"/>
            <w:bottom w:val="none" w:sz="0" w:space="0" w:color="auto"/>
            <w:right w:val="none" w:sz="0" w:space="0" w:color="auto"/>
          </w:divBdr>
        </w:div>
        <w:div w:id="989674386">
          <w:marLeft w:val="0"/>
          <w:marRight w:val="0"/>
          <w:marTop w:val="0"/>
          <w:marBottom w:val="0"/>
          <w:divBdr>
            <w:top w:val="none" w:sz="0" w:space="0" w:color="auto"/>
            <w:left w:val="none" w:sz="0" w:space="0" w:color="auto"/>
            <w:bottom w:val="none" w:sz="0" w:space="0" w:color="auto"/>
            <w:right w:val="none" w:sz="0" w:space="0" w:color="auto"/>
          </w:divBdr>
        </w:div>
        <w:div w:id="992832635">
          <w:marLeft w:val="0"/>
          <w:marRight w:val="0"/>
          <w:marTop w:val="0"/>
          <w:marBottom w:val="0"/>
          <w:divBdr>
            <w:top w:val="none" w:sz="0" w:space="0" w:color="auto"/>
            <w:left w:val="none" w:sz="0" w:space="0" w:color="auto"/>
            <w:bottom w:val="none" w:sz="0" w:space="0" w:color="auto"/>
            <w:right w:val="none" w:sz="0" w:space="0" w:color="auto"/>
          </w:divBdr>
        </w:div>
        <w:div w:id="994067007">
          <w:marLeft w:val="0"/>
          <w:marRight w:val="0"/>
          <w:marTop w:val="0"/>
          <w:marBottom w:val="0"/>
          <w:divBdr>
            <w:top w:val="none" w:sz="0" w:space="0" w:color="auto"/>
            <w:left w:val="none" w:sz="0" w:space="0" w:color="auto"/>
            <w:bottom w:val="none" w:sz="0" w:space="0" w:color="auto"/>
            <w:right w:val="none" w:sz="0" w:space="0" w:color="auto"/>
          </w:divBdr>
        </w:div>
        <w:div w:id="994380449">
          <w:marLeft w:val="0"/>
          <w:marRight w:val="0"/>
          <w:marTop w:val="0"/>
          <w:marBottom w:val="0"/>
          <w:divBdr>
            <w:top w:val="none" w:sz="0" w:space="0" w:color="auto"/>
            <w:left w:val="none" w:sz="0" w:space="0" w:color="auto"/>
            <w:bottom w:val="none" w:sz="0" w:space="0" w:color="auto"/>
            <w:right w:val="none" w:sz="0" w:space="0" w:color="auto"/>
          </w:divBdr>
        </w:div>
        <w:div w:id="994799627">
          <w:marLeft w:val="0"/>
          <w:marRight w:val="0"/>
          <w:marTop w:val="0"/>
          <w:marBottom w:val="0"/>
          <w:divBdr>
            <w:top w:val="none" w:sz="0" w:space="0" w:color="auto"/>
            <w:left w:val="none" w:sz="0" w:space="0" w:color="auto"/>
            <w:bottom w:val="none" w:sz="0" w:space="0" w:color="auto"/>
            <w:right w:val="none" w:sz="0" w:space="0" w:color="auto"/>
          </w:divBdr>
        </w:div>
        <w:div w:id="996155115">
          <w:marLeft w:val="0"/>
          <w:marRight w:val="0"/>
          <w:marTop w:val="0"/>
          <w:marBottom w:val="0"/>
          <w:divBdr>
            <w:top w:val="none" w:sz="0" w:space="0" w:color="auto"/>
            <w:left w:val="none" w:sz="0" w:space="0" w:color="auto"/>
            <w:bottom w:val="none" w:sz="0" w:space="0" w:color="auto"/>
            <w:right w:val="none" w:sz="0" w:space="0" w:color="auto"/>
          </w:divBdr>
        </w:div>
        <w:div w:id="996689911">
          <w:marLeft w:val="0"/>
          <w:marRight w:val="0"/>
          <w:marTop w:val="0"/>
          <w:marBottom w:val="0"/>
          <w:divBdr>
            <w:top w:val="none" w:sz="0" w:space="0" w:color="auto"/>
            <w:left w:val="none" w:sz="0" w:space="0" w:color="auto"/>
            <w:bottom w:val="none" w:sz="0" w:space="0" w:color="auto"/>
            <w:right w:val="none" w:sz="0" w:space="0" w:color="auto"/>
          </w:divBdr>
        </w:div>
        <w:div w:id="996960501">
          <w:marLeft w:val="0"/>
          <w:marRight w:val="0"/>
          <w:marTop w:val="0"/>
          <w:marBottom w:val="0"/>
          <w:divBdr>
            <w:top w:val="none" w:sz="0" w:space="0" w:color="auto"/>
            <w:left w:val="none" w:sz="0" w:space="0" w:color="auto"/>
            <w:bottom w:val="none" w:sz="0" w:space="0" w:color="auto"/>
            <w:right w:val="none" w:sz="0" w:space="0" w:color="auto"/>
          </w:divBdr>
        </w:div>
        <w:div w:id="1000305297">
          <w:marLeft w:val="0"/>
          <w:marRight w:val="0"/>
          <w:marTop w:val="0"/>
          <w:marBottom w:val="0"/>
          <w:divBdr>
            <w:top w:val="none" w:sz="0" w:space="0" w:color="auto"/>
            <w:left w:val="none" w:sz="0" w:space="0" w:color="auto"/>
            <w:bottom w:val="none" w:sz="0" w:space="0" w:color="auto"/>
            <w:right w:val="none" w:sz="0" w:space="0" w:color="auto"/>
          </w:divBdr>
        </w:div>
        <w:div w:id="1001661232">
          <w:marLeft w:val="0"/>
          <w:marRight w:val="0"/>
          <w:marTop w:val="0"/>
          <w:marBottom w:val="0"/>
          <w:divBdr>
            <w:top w:val="none" w:sz="0" w:space="0" w:color="auto"/>
            <w:left w:val="none" w:sz="0" w:space="0" w:color="auto"/>
            <w:bottom w:val="none" w:sz="0" w:space="0" w:color="auto"/>
            <w:right w:val="none" w:sz="0" w:space="0" w:color="auto"/>
          </w:divBdr>
        </w:div>
        <w:div w:id="1002392104">
          <w:marLeft w:val="0"/>
          <w:marRight w:val="0"/>
          <w:marTop w:val="0"/>
          <w:marBottom w:val="0"/>
          <w:divBdr>
            <w:top w:val="none" w:sz="0" w:space="0" w:color="auto"/>
            <w:left w:val="none" w:sz="0" w:space="0" w:color="auto"/>
            <w:bottom w:val="none" w:sz="0" w:space="0" w:color="auto"/>
            <w:right w:val="none" w:sz="0" w:space="0" w:color="auto"/>
          </w:divBdr>
          <w:divsChild>
            <w:div w:id="29957950">
              <w:marLeft w:val="0"/>
              <w:marRight w:val="0"/>
              <w:marTop w:val="0"/>
              <w:marBottom w:val="0"/>
              <w:divBdr>
                <w:top w:val="none" w:sz="0" w:space="0" w:color="auto"/>
                <w:left w:val="none" w:sz="0" w:space="0" w:color="auto"/>
                <w:bottom w:val="none" w:sz="0" w:space="0" w:color="auto"/>
                <w:right w:val="none" w:sz="0" w:space="0" w:color="auto"/>
              </w:divBdr>
            </w:div>
            <w:div w:id="122047327">
              <w:marLeft w:val="0"/>
              <w:marRight w:val="0"/>
              <w:marTop w:val="0"/>
              <w:marBottom w:val="0"/>
              <w:divBdr>
                <w:top w:val="none" w:sz="0" w:space="0" w:color="auto"/>
                <w:left w:val="none" w:sz="0" w:space="0" w:color="auto"/>
                <w:bottom w:val="none" w:sz="0" w:space="0" w:color="auto"/>
                <w:right w:val="none" w:sz="0" w:space="0" w:color="auto"/>
              </w:divBdr>
            </w:div>
            <w:div w:id="287703847">
              <w:marLeft w:val="0"/>
              <w:marRight w:val="0"/>
              <w:marTop w:val="0"/>
              <w:marBottom w:val="0"/>
              <w:divBdr>
                <w:top w:val="none" w:sz="0" w:space="0" w:color="auto"/>
                <w:left w:val="none" w:sz="0" w:space="0" w:color="auto"/>
                <w:bottom w:val="none" w:sz="0" w:space="0" w:color="auto"/>
                <w:right w:val="none" w:sz="0" w:space="0" w:color="auto"/>
              </w:divBdr>
            </w:div>
            <w:div w:id="413471973">
              <w:marLeft w:val="0"/>
              <w:marRight w:val="0"/>
              <w:marTop w:val="0"/>
              <w:marBottom w:val="0"/>
              <w:divBdr>
                <w:top w:val="none" w:sz="0" w:space="0" w:color="auto"/>
                <w:left w:val="none" w:sz="0" w:space="0" w:color="auto"/>
                <w:bottom w:val="none" w:sz="0" w:space="0" w:color="auto"/>
                <w:right w:val="none" w:sz="0" w:space="0" w:color="auto"/>
              </w:divBdr>
            </w:div>
            <w:div w:id="469597600">
              <w:marLeft w:val="0"/>
              <w:marRight w:val="0"/>
              <w:marTop w:val="0"/>
              <w:marBottom w:val="0"/>
              <w:divBdr>
                <w:top w:val="none" w:sz="0" w:space="0" w:color="auto"/>
                <w:left w:val="none" w:sz="0" w:space="0" w:color="auto"/>
                <w:bottom w:val="none" w:sz="0" w:space="0" w:color="auto"/>
                <w:right w:val="none" w:sz="0" w:space="0" w:color="auto"/>
              </w:divBdr>
            </w:div>
            <w:div w:id="515538701">
              <w:marLeft w:val="0"/>
              <w:marRight w:val="0"/>
              <w:marTop w:val="0"/>
              <w:marBottom w:val="0"/>
              <w:divBdr>
                <w:top w:val="none" w:sz="0" w:space="0" w:color="auto"/>
                <w:left w:val="none" w:sz="0" w:space="0" w:color="auto"/>
                <w:bottom w:val="none" w:sz="0" w:space="0" w:color="auto"/>
                <w:right w:val="none" w:sz="0" w:space="0" w:color="auto"/>
              </w:divBdr>
            </w:div>
            <w:div w:id="597833696">
              <w:marLeft w:val="0"/>
              <w:marRight w:val="0"/>
              <w:marTop w:val="0"/>
              <w:marBottom w:val="0"/>
              <w:divBdr>
                <w:top w:val="none" w:sz="0" w:space="0" w:color="auto"/>
                <w:left w:val="none" w:sz="0" w:space="0" w:color="auto"/>
                <w:bottom w:val="none" w:sz="0" w:space="0" w:color="auto"/>
                <w:right w:val="none" w:sz="0" w:space="0" w:color="auto"/>
              </w:divBdr>
            </w:div>
            <w:div w:id="672925367">
              <w:marLeft w:val="0"/>
              <w:marRight w:val="0"/>
              <w:marTop w:val="0"/>
              <w:marBottom w:val="0"/>
              <w:divBdr>
                <w:top w:val="none" w:sz="0" w:space="0" w:color="auto"/>
                <w:left w:val="none" w:sz="0" w:space="0" w:color="auto"/>
                <w:bottom w:val="none" w:sz="0" w:space="0" w:color="auto"/>
                <w:right w:val="none" w:sz="0" w:space="0" w:color="auto"/>
              </w:divBdr>
            </w:div>
            <w:div w:id="728959381">
              <w:marLeft w:val="0"/>
              <w:marRight w:val="0"/>
              <w:marTop w:val="0"/>
              <w:marBottom w:val="0"/>
              <w:divBdr>
                <w:top w:val="none" w:sz="0" w:space="0" w:color="auto"/>
                <w:left w:val="none" w:sz="0" w:space="0" w:color="auto"/>
                <w:bottom w:val="none" w:sz="0" w:space="0" w:color="auto"/>
                <w:right w:val="none" w:sz="0" w:space="0" w:color="auto"/>
              </w:divBdr>
            </w:div>
            <w:div w:id="922959351">
              <w:marLeft w:val="0"/>
              <w:marRight w:val="0"/>
              <w:marTop w:val="0"/>
              <w:marBottom w:val="0"/>
              <w:divBdr>
                <w:top w:val="none" w:sz="0" w:space="0" w:color="auto"/>
                <w:left w:val="none" w:sz="0" w:space="0" w:color="auto"/>
                <w:bottom w:val="none" w:sz="0" w:space="0" w:color="auto"/>
                <w:right w:val="none" w:sz="0" w:space="0" w:color="auto"/>
              </w:divBdr>
            </w:div>
            <w:div w:id="978805599">
              <w:marLeft w:val="0"/>
              <w:marRight w:val="0"/>
              <w:marTop w:val="0"/>
              <w:marBottom w:val="0"/>
              <w:divBdr>
                <w:top w:val="none" w:sz="0" w:space="0" w:color="auto"/>
                <w:left w:val="none" w:sz="0" w:space="0" w:color="auto"/>
                <w:bottom w:val="none" w:sz="0" w:space="0" w:color="auto"/>
                <w:right w:val="none" w:sz="0" w:space="0" w:color="auto"/>
              </w:divBdr>
            </w:div>
            <w:div w:id="1052777449">
              <w:marLeft w:val="0"/>
              <w:marRight w:val="0"/>
              <w:marTop w:val="0"/>
              <w:marBottom w:val="0"/>
              <w:divBdr>
                <w:top w:val="none" w:sz="0" w:space="0" w:color="auto"/>
                <w:left w:val="none" w:sz="0" w:space="0" w:color="auto"/>
                <w:bottom w:val="none" w:sz="0" w:space="0" w:color="auto"/>
                <w:right w:val="none" w:sz="0" w:space="0" w:color="auto"/>
              </w:divBdr>
            </w:div>
            <w:div w:id="1436897500">
              <w:marLeft w:val="0"/>
              <w:marRight w:val="0"/>
              <w:marTop w:val="0"/>
              <w:marBottom w:val="0"/>
              <w:divBdr>
                <w:top w:val="none" w:sz="0" w:space="0" w:color="auto"/>
                <w:left w:val="none" w:sz="0" w:space="0" w:color="auto"/>
                <w:bottom w:val="none" w:sz="0" w:space="0" w:color="auto"/>
                <w:right w:val="none" w:sz="0" w:space="0" w:color="auto"/>
              </w:divBdr>
            </w:div>
            <w:div w:id="1525289321">
              <w:marLeft w:val="0"/>
              <w:marRight w:val="0"/>
              <w:marTop w:val="0"/>
              <w:marBottom w:val="0"/>
              <w:divBdr>
                <w:top w:val="none" w:sz="0" w:space="0" w:color="auto"/>
                <w:left w:val="none" w:sz="0" w:space="0" w:color="auto"/>
                <w:bottom w:val="none" w:sz="0" w:space="0" w:color="auto"/>
                <w:right w:val="none" w:sz="0" w:space="0" w:color="auto"/>
              </w:divBdr>
            </w:div>
            <w:div w:id="1627004572">
              <w:marLeft w:val="0"/>
              <w:marRight w:val="0"/>
              <w:marTop w:val="0"/>
              <w:marBottom w:val="0"/>
              <w:divBdr>
                <w:top w:val="none" w:sz="0" w:space="0" w:color="auto"/>
                <w:left w:val="none" w:sz="0" w:space="0" w:color="auto"/>
                <w:bottom w:val="none" w:sz="0" w:space="0" w:color="auto"/>
                <w:right w:val="none" w:sz="0" w:space="0" w:color="auto"/>
              </w:divBdr>
            </w:div>
            <w:div w:id="1630745523">
              <w:marLeft w:val="0"/>
              <w:marRight w:val="0"/>
              <w:marTop w:val="0"/>
              <w:marBottom w:val="0"/>
              <w:divBdr>
                <w:top w:val="none" w:sz="0" w:space="0" w:color="auto"/>
                <w:left w:val="none" w:sz="0" w:space="0" w:color="auto"/>
                <w:bottom w:val="none" w:sz="0" w:space="0" w:color="auto"/>
                <w:right w:val="none" w:sz="0" w:space="0" w:color="auto"/>
              </w:divBdr>
            </w:div>
            <w:div w:id="1867861890">
              <w:marLeft w:val="0"/>
              <w:marRight w:val="0"/>
              <w:marTop w:val="0"/>
              <w:marBottom w:val="0"/>
              <w:divBdr>
                <w:top w:val="none" w:sz="0" w:space="0" w:color="auto"/>
                <w:left w:val="none" w:sz="0" w:space="0" w:color="auto"/>
                <w:bottom w:val="none" w:sz="0" w:space="0" w:color="auto"/>
                <w:right w:val="none" w:sz="0" w:space="0" w:color="auto"/>
              </w:divBdr>
            </w:div>
            <w:div w:id="2071222655">
              <w:marLeft w:val="0"/>
              <w:marRight w:val="0"/>
              <w:marTop w:val="0"/>
              <w:marBottom w:val="0"/>
              <w:divBdr>
                <w:top w:val="none" w:sz="0" w:space="0" w:color="auto"/>
                <w:left w:val="none" w:sz="0" w:space="0" w:color="auto"/>
                <w:bottom w:val="none" w:sz="0" w:space="0" w:color="auto"/>
                <w:right w:val="none" w:sz="0" w:space="0" w:color="auto"/>
              </w:divBdr>
            </w:div>
          </w:divsChild>
        </w:div>
        <w:div w:id="1004283424">
          <w:marLeft w:val="0"/>
          <w:marRight w:val="0"/>
          <w:marTop w:val="0"/>
          <w:marBottom w:val="0"/>
          <w:divBdr>
            <w:top w:val="none" w:sz="0" w:space="0" w:color="auto"/>
            <w:left w:val="none" w:sz="0" w:space="0" w:color="auto"/>
            <w:bottom w:val="none" w:sz="0" w:space="0" w:color="auto"/>
            <w:right w:val="none" w:sz="0" w:space="0" w:color="auto"/>
          </w:divBdr>
        </w:div>
        <w:div w:id="1004360459">
          <w:marLeft w:val="0"/>
          <w:marRight w:val="0"/>
          <w:marTop w:val="0"/>
          <w:marBottom w:val="0"/>
          <w:divBdr>
            <w:top w:val="none" w:sz="0" w:space="0" w:color="auto"/>
            <w:left w:val="none" w:sz="0" w:space="0" w:color="auto"/>
            <w:bottom w:val="none" w:sz="0" w:space="0" w:color="auto"/>
            <w:right w:val="none" w:sz="0" w:space="0" w:color="auto"/>
          </w:divBdr>
        </w:div>
        <w:div w:id="1004556060">
          <w:marLeft w:val="0"/>
          <w:marRight w:val="0"/>
          <w:marTop w:val="0"/>
          <w:marBottom w:val="0"/>
          <w:divBdr>
            <w:top w:val="none" w:sz="0" w:space="0" w:color="auto"/>
            <w:left w:val="none" w:sz="0" w:space="0" w:color="auto"/>
            <w:bottom w:val="none" w:sz="0" w:space="0" w:color="auto"/>
            <w:right w:val="none" w:sz="0" w:space="0" w:color="auto"/>
          </w:divBdr>
        </w:div>
        <w:div w:id="1005864513">
          <w:marLeft w:val="0"/>
          <w:marRight w:val="0"/>
          <w:marTop w:val="0"/>
          <w:marBottom w:val="0"/>
          <w:divBdr>
            <w:top w:val="none" w:sz="0" w:space="0" w:color="auto"/>
            <w:left w:val="none" w:sz="0" w:space="0" w:color="auto"/>
            <w:bottom w:val="none" w:sz="0" w:space="0" w:color="auto"/>
            <w:right w:val="none" w:sz="0" w:space="0" w:color="auto"/>
          </w:divBdr>
        </w:div>
        <w:div w:id="1006174896">
          <w:marLeft w:val="0"/>
          <w:marRight w:val="0"/>
          <w:marTop w:val="0"/>
          <w:marBottom w:val="0"/>
          <w:divBdr>
            <w:top w:val="none" w:sz="0" w:space="0" w:color="auto"/>
            <w:left w:val="none" w:sz="0" w:space="0" w:color="auto"/>
            <w:bottom w:val="none" w:sz="0" w:space="0" w:color="auto"/>
            <w:right w:val="none" w:sz="0" w:space="0" w:color="auto"/>
          </w:divBdr>
        </w:div>
        <w:div w:id="1012805396">
          <w:marLeft w:val="0"/>
          <w:marRight w:val="0"/>
          <w:marTop w:val="0"/>
          <w:marBottom w:val="0"/>
          <w:divBdr>
            <w:top w:val="none" w:sz="0" w:space="0" w:color="auto"/>
            <w:left w:val="none" w:sz="0" w:space="0" w:color="auto"/>
            <w:bottom w:val="none" w:sz="0" w:space="0" w:color="auto"/>
            <w:right w:val="none" w:sz="0" w:space="0" w:color="auto"/>
          </w:divBdr>
          <w:divsChild>
            <w:div w:id="7874149">
              <w:marLeft w:val="0"/>
              <w:marRight w:val="0"/>
              <w:marTop w:val="0"/>
              <w:marBottom w:val="0"/>
              <w:divBdr>
                <w:top w:val="none" w:sz="0" w:space="0" w:color="auto"/>
                <w:left w:val="none" w:sz="0" w:space="0" w:color="auto"/>
                <w:bottom w:val="none" w:sz="0" w:space="0" w:color="auto"/>
                <w:right w:val="none" w:sz="0" w:space="0" w:color="auto"/>
              </w:divBdr>
            </w:div>
            <w:div w:id="119307192">
              <w:marLeft w:val="0"/>
              <w:marRight w:val="0"/>
              <w:marTop w:val="0"/>
              <w:marBottom w:val="0"/>
              <w:divBdr>
                <w:top w:val="none" w:sz="0" w:space="0" w:color="auto"/>
                <w:left w:val="none" w:sz="0" w:space="0" w:color="auto"/>
                <w:bottom w:val="none" w:sz="0" w:space="0" w:color="auto"/>
                <w:right w:val="none" w:sz="0" w:space="0" w:color="auto"/>
              </w:divBdr>
            </w:div>
            <w:div w:id="247466633">
              <w:marLeft w:val="0"/>
              <w:marRight w:val="0"/>
              <w:marTop w:val="0"/>
              <w:marBottom w:val="0"/>
              <w:divBdr>
                <w:top w:val="none" w:sz="0" w:space="0" w:color="auto"/>
                <w:left w:val="none" w:sz="0" w:space="0" w:color="auto"/>
                <w:bottom w:val="none" w:sz="0" w:space="0" w:color="auto"/>
                <w:right w:val="none" w:sz="0" w:space="0" w:color="auto"/>
              </w:divBdr>
            </w:div>
            <w:div w:id="420838388">
              <w:marLeft w:val="0"/>
              <w:marRight w:val="0"/>
              <w:marTop w:val="0"/>
              <w:marBottom w:val="0"/>
              <w:divBdr>
                <w:top w:val="none" w:sz="0" w:space="0" w:color="auto"/>
                <w:left w:val="none" w:sz="0" w:space="0" w:color="auto"/>
                <w:bottom w:val="none" w:sz="0" w:space="0" w:color="auto"/>
                <w:right w:val="none" w:sz="0" w:space="0" w:color="auto"/>
              </w:divBdr>
            </w:div>
            <w:div w:id="618100796">
              <w:marLeft w:val="0"/>
              <w:marRight w:val="0"/>
              <w:marTop w:val="0"/>
              <w:marBottom w:val="0"/>
              <w:divBdr>
                <w:top w:val="none" w:sz="0" w:space="0" w:color="auto"/>
                <w:left w:val="none" w:sz="0" w:space="0" w:color="auto"/>
                <w:bottom w:val="none" w:sz="0" w:space="0" w:color="auto"/>
                <w:right w:val="none" w:sz="0" w:space="0" w:color="auto"/>
              </w:divBdr>
            </w:div>
            <w:div w:id="748620294">
              <w:marLeft w:val="0"/>
              <w:marRight w:val="0"/>
              <w:marTop w:val="0"/>
              <w:marBottom w:val="0"/>
              <w:divBdr>
                <w:top w:val="none" w:sz="0" w:space="0" w:color="auto"/>
                <w:left w:val="none" w:sz="0" w:space="0" w:color="auto"/>
                <w:bottom w:val="none" w:sz="0" w:space="0" w:color="auto"/>
                <w:right w:val="none" w:sz="0" w:space="0" w:color="auto"/>
              </w:divBdr>
            </w:div>
            <w:div w:id="774325119">
              <w:marLeft w:val="0"/>
              <w:marRight w:val="0"/>
              <w:marTop w:val="0"/>
              <w:marBottom w:val="0"/>
              <w:divBdr>
                <w:top w:val="none" w:sz="0" w:space="0" w:color="auto"/>
                <w:left w:val="none" w:sz="0" w:space="0" w:color="auto"/>
                <w:bottom w:val="none" w:sz="0" w:space="0" w:color="auto"/>
                <w:right w:val="none" w:sz="0" w:space="0" w:color="auto"/>
              </w:divBdr>
            </w:div>
            <w:div w:id="779447089">
              <w:marLeft w:val="0"/>
              <w:marRight w:val="0"/>
              <w:marTop w:val="0"/>
              <w:marBottom w:val="0"/>
              <w:divBdr>
                <w:top w:val="none" w:sz="0" w:space="0" w:color="auto"/>
                <w:left w:val="none" w:sz="0" w:space="0" w:color="auto"/>
                <w:bottom w:val="none" w:sz="0" w:space="0" w:color="auto"/>
                <w:right w:val="none" w:sz="0" w:space="0" w:color="auto"/>
              </w:divBdr>
            </w:div>
            <w:div w:id="873079943">
              <w:marLeft w:val="0"/>
              <w:marRight w:val="0"/>
              <w:marTop w:val="0"/>
              <w:marBottom w:val="0"/>
              <w:divBdr>
                <w:top w:val="none" w:sz="0" w:space="0" w:color="auto"/>
                <w:left w:val="none" w:sz="0" w:space="0" w:color="auto"/>
                <w:bottom w:val="none" w:sz="0" w:space="0" w:color="auto"/>
                <w:right w:val="none" w:sz="0" w:space="0" w:color="auto"/>
              </w:divBdr>
            </w:div>
            <w:div w:id="915552829">
              <w:marLeft w:val="0"/>
              <w:marRight w:val="0"/>
              <w:marTop w:val="0"/>
              <w:marBottom w:val="0"/>
              <w:divBdr>
                <w:top w:val="none" w:sz="0" w:space="0" w:color="auto"/>
                <w:left w:val="none" w:sz="0" w:space="0" w:color="auto"/>
                <w:bottom w:val="none" w:sz="0" w:space="0" w:color="auto"/>
                <w:right w:val="none" w:sz="0" w:space="0" w:color="auto"/>
              </w:divBdr>
            </w:div>
            <w:div w:id="918366434">
              <w:marLeft w:val="0"/>
              <w:marRight w:val="0"/>
              <w:marTop w:val="0"/>
              <w:marBottom w:val="0"/>
              <w:divBdr>
                <w:top w:val="none" w:sz="0" w:space="0" w:color="auto"/>
                <w:left w:val="none" w:sz="0" w:space="0" w:color="auto"/>
                <w:bottom w:val="none" w:sz="0" w:space="0" w:color="auto"/>
                <w:right w:val="none" w:sz="0" w:space="0" w:color="auto"/>
              </w:divBdr>
            </w:div>
            <w:div w:id="1067459168">
              <w:marLeft w:val="0"/>
              <w:marRight w:val="0"/>
              <w:marTop w:val="0"/>
              <w:marBottom w:val="0"/>
              <w:divBdr>
                <w:top w:val="none" w:sz="0" w:space="0" w:color="auto"/>
                <w:left w:val="none" w:sz="0" w:space="0" w:color="auto"/>
                <w:bottom w:val="none" w:sz="0" w:space="0" w:color="auto"/>
                <w:right w:val="none" w:sz="0" w:space="0" w:color="auto"/>
              </w:divBdr>
            </w:div>
            <w:div w:id="1101025893">
              <w:marLeft w:val="0"/>
              <w:marRight w:val="0"/>
              <w:marTop w:val="0"/>
              <w:marBottom w:val="0"/>
              <w:divBdr>
                <w:top w:val="none" w:sz="0" w:space="0" w:color="auto"/>
                <w:left w:val="none" w:sz="0" w:space="0" w:color="auto"/>
                <w:bottom w:val="none" w:sz="0" w:space="0" w:color="auto"/>
                <w:right w:val="none" w:sz="0" w:space="0" w:color="auto"/>
              </w:divBdr>
            </w:div>
            <w:div w:id="1416323743">
              <w:marLeft w:val="0"/>
              <w:marRight w:val="0"/>
              <w:marTop w:val="0"/>
              <w:marBottom w:val="0"/>
              <w:divBdr>
                <w:top w:val="none" w:sz="0" w:space="0" w:color="auto"/>
                <w:left w:val="none" w:sz="0" w:space="0" w:color="auto"/>
                <w:bottom w:val="none" w:sz="0" w:space="0" w:color="auto"/>
                <w:right w:val="none" w:sz="0" w:space="0" w:color="auto"/>
              </w:divBdr>
            </w:div>
            <w:div w:id="1519930591">
              <w:marLeft w:val="0"/>
              <w:marRight w:val="0"/>
              <w:marTop w:val="0"/>
              <w:marBottom w:val="0"/>
              <w:divBdr>
                <w:top w:val="none" w:sz="0" w:space="0" w:color="auto"/>
                <w:left w:val="none" w:sz="0" w:space="0" w:color="auto"/>
                <w:bottom w:val="none" w:sz="0" w:space="0" w:color="auto"/>
                <w:right w:val="none" w:sz="0" w:space="0" w:color="auto"/>
              </w:divBdr>
            </w:div>
            <w:div w:id="1546139520">
              <w:marLeft w:val="0"/>
              <w:marRight w:val="0"/>
              <w:marTop w:val="0"/>
              <w:marBottom w:val="0"/>
              <w:divBdr>
                <w:top w:val="none" w:sz="0" w:space="0" w:color="auto"/>
                <w:left w:val="none" w:sz="0" w:space="0" w:color="auto"/>
                <w:bottom w:val="none" w:sz="0" w:space="0" w:color="auto"/>
                <w:right w:val="none" w:sz="0" w:space="0" w:color="auto"/>
              </w:divBdr>
            </w:div>
            <w:div w:id="1742868496">
              <w:marLeft w:val="0"/>
              <w:marRight w:val="0"/>
              <w:marTop w:val="0"/>
              <w:marBottom w:val="0"/>
              <w:divBdr>
                <w:top w:val="none" w:sz="0" w:space="0" w:color="auto"/>
                <w:left w:val="none" w:sz="0" w:space="0" w:color="auto"/>
                <w:bottom w:val="none" w:sz="0" w:space="0" w:color="auto"/>
                <w:right w:val="none" w:sz="0" w:space="0" w:color="auto"/>
              </w:divBdr>
            </w:div>
            <w:div w:id="1865095998">
              <w:marLeft w:val="0"/>
              <w:marRight w:val="0"/>
              <w:marTop w:val="0"/>
              <w:marBottom w:val="0"/>
              <w:divBdr>
                <w:top w:val="none" w:sz="0" w:space="0" w:color="auto"/>
                <w:left w:val="none" w:sz="0" w:space="0" w:color="auto"/>
                <w:bottom w:val="none" w:sz="0" w:space="0" w:color="auto"/>
                <w:right w:val="none" w:sz="0" w:space="0" w:color="auto"/>
              </w:divBdr>
            </w:div>
            <w:div w:id="2038653964">
              <w:marLeft w:val="0"/>
              <w:marRight w:val="0"/>
              <w:marTop w:val="0"/>
              <w:marBottom w:val="0"/>
              <w:divBdr>
                <w:top w:val="none" w:sz="0" w:space="0" w:color="auto"/>
                <w:left w:val="none" w:sz="0" w:space="0" w:color="auto"/>
                <w:bottom w:val="none" w:sz="0" w:space="0" w:color="auto"/>
                <w:right w:val="none" w:sz="0" w:space="0" w:color="auto"/>
              </w:divBdr>
            </w:div>
            <w:div w:id="2042626670">
              <w:marLeft w:val="0"/>
              <w:marRight w:val="0"/>
              <w:marTop w:val="0"/>
              <w:marBottom w:val="0"/>
              <w:divBdr>
                <w:top w:val="none" w:sz="0" w:space="0" w:color="auto"/>
                <w:left w:val="none" w:sz="0" w:space="0" w:color="auto"/>
                <w:bottom w:val="none" w:sz="0" w:space="0" w:color="auto"/>
                <w:right w:val="none" w:sz="0" w:space="0" w:color="auto"/>
              </w:divBdr>
            </w:div>
            <w:div w:id="2093312110">
              <w:marLeft w:val="0"/>
              <w:marRight w:val="0"/>
              <w:marTop w:val="0"/>
              <w:marBottom w:val="0"/>
              <w:divBdr>
                <w:top w:val="none" w:sz="0" w:space="0" w:color="auto"/>
                <w:left w:val="none" w:sz="0" w:space="0" w:color="auto"/>
                <w:bottom w:val="none" w:sz="0" w:space="0" w:color="auto"/>
                <w:right w:val="none" w:sz="0" w:space="0" w:color="auto"/>
              </w:divBdr>
            </w:div>
          </w:divsChild>
        </w:div>
        <w:div w:id="1013075041">
          <w:marLeft w:val="0"/>
          <w:marRight w:val="0"/>
          <w:marTop w:val="0"/>
          <w:marBottom w:val="0"/>
          <w:divBdr>
            <w:top w:val="none" w:sz="0" w:space="0" w:color="auto"/>
            <w:left w:val="none" w:sz="0" w:space="0" w:color="auto"/>
            <w:bottom w:val="none" w:sz="0" w:space="0" w:color="auto"/>
            <w:right w:val="none" w:sz="0" w:space="0" w:color="auto"/>
          </w:divBdr>
        </w:div>
        <w:div w:id="1013921356">
          <w:marLeft w:val="0"/>
          <w:marRight w:val="0"/>
          <w:marTop w:val="0"/>
          <w:marBottom w:val="0"/>
          <w:divBdr>
            <w:top w:val="none" w:sz="0" w:space="0" w:color="auto"/>
            <w:left w:val="none" w:sz="0" w:space="0" w:color="auto"/>
            <w:bottom w:val="none" w:sz="0" w:space="0" w:color="auto"/>
            <w:right w:val="none" w:sz="0" w:space="0" w:color="auto"/>
          </w:divBdr>
        </w:div>
        <w:div w:id="1014769624">
          <w:marLeft w:val="0"/>
          <w:marRight w:val="0"/>
          <w:marTop w:val="0"/>
          <w:marBottom w:val="0"/>
          <w:divBdr>
            <w:top w:val="none" w:sz="0" w:space="0" w:color="auto"/>
            <w:left w:val="none" w:sz="0" w:space="0" w:color="auto"/>
            <w:bottom w:val="none" w:sz="0" w:space="0" w:color="auto"/>
            <w:right w:val="none" w:sz="0" w:space="0" w:color="auto"/>
          </w:divBdr>
        </w:div>
        <w:div w:id="1016734625">
          <w:marLeft w:val="0"/>
          <w:marRight w:val="0"/>
          <w:marTop w:val="0"/>
          <w:marBottom w:val="0"/>
          <w:divBdr>
            <w:top w:val="none" w:sz="0" w:space="0" w:color="auto"/>
            <w:left w:val="none" w:sz="0" w:space="0" w:color="auto"/>
            <w:bottom w:val="none" w:sz="0" w:space="0" w:color="auto"/>
            <w:right w:val="none" w:sz="0" w:space="0" w:color="auto"/>
          </w:divBdr>
        </w:div>
        <w:div w:id="1017077521">
          <w:marLeft w:val="0"/>
          <w:marRight w:val="0"/>
          <w:marTop w:val="0"/>
          <w:marBottom w:val="0"/>
          <w:divBdr>
            <w:top w:val="none" w:sz="0" w:space="0" w:color="auto"/>
            <w:left w:val="none" w:sz="0" w:space="0" w:color="auto"/>
            <w:bottom w:val="none" w:sz="0" w:space="0" w:color="auto"/>
            <w:right w:val="none" w:sz="0" w:space="0" w:color="auto"/>
          </w:divBdr>
        </w:div>
        <w:div w:id="1018851290">
          <w:marLeft w:val="0"/>
          <w:marRight w:val="0"/>
          <w:marTop w:val="0"/>
          <w:marBottom w:val="0"/>
          <w:divBdr>
            <w:top w:val="none" w:sz="0" w:space="0" w:color="auto"/>
            <w:left w:val="none" w:sz="0" w:space="0" w:color="auto"/>
            <w:bottom w:val="none" w:sz="0" w:space="0" w:color="auto"/>
            <w:right w:val="none" w:sz="0" w:space="0" w:color="auto"/>
          </w:divBdr>
          <w:divsChild>
            <w:div w:id="203908122">
              <w:marLeft w:val="0"/>
              <w:marRight w:val="0"/>
              <w:marTop w:val="0"/>
              <w:marBottom w:val="0"/>
              <w:divBdr>
                <w:top w:val="none" w:sz="0" w:space="0" w:color="auto"/>
                <w:left w:val="none" w:sz="0" w:space="0" w:color="auto"/>
                <w:bottom w:val="none" w:sz="0" w:space="0" w:color="auto"/>
                <w:right w:val="none" w:sz="0" w:space="0" w:color="auto"/>
              </w:divBdr>
            </w:div>
            <w:div w:id="365373728">
              <w:marLeft w:val="0"/>
              <w:marRight w:val="0"/>
              <w:marTop w:val="0"/>
              <w:marBottom w:val="0"/>
              <w:divBdr>
                <w:top w:val="none" w:sz="0" w:space="0" w:color="auto"/>
                <w:left w:val="none" w:sz="0" w:space="0" w:color="auto"/>
                <w:bottom w:val="none" w:sz="0" w:space="0" w:color="auto"/>
                <w:right w:val="none" w:sz="0" w:space="0" w:color="auto"/>
              </w:divBdr>
            </w:div>
            <w:div w:id="436025347">
              <w:marLeft w:val="0"/>
              <w:marRight w:val="0"/>
              <w:marTop w:val="0"/>
              <w:marBottom w:val="0"/>
              <w:divBdr>
                <w:top w:val="none" w:sz="0" w:space="0" w:color="auto"/>
                <w:left w:val="none" w:sz="0" w:space="0" w:color="auto"/>
                <w:bottom w:val="none" w:sz="0" w:space="0" w:color="auto"/>
                <w:right w:val="none" w:sz="0" w:space="0" w:color="auto"/>
              </w:divBdr>
            </w:div>
            <w:div w:id="441919887">
              <w:marLeft w:val="0"/>
              <w:marRight w:val="0"/>
              <w:marTop w:val="0"/>
              <w:marBottom w:val="0"/>
              <w:divBdr>
                <w:top w:val="none" w:sz="0" w:space="0" w:color="auto"/>
                <w:left w:val="none" w:sz="0" w:space="0" w:color="auto"/>
                <w:bottom w:val="none" w:sz="0" w:space="0" w:color="auto"/>
                <w:right w:val="none" w:sz="0" w:space="0" w:color="auto"/>
              </w:divBdr>
            </w:div>
            <w:div w:id="550462072">
              <w:marLeft w:val="0"/>
              <w:marRight w:val="0"/>
              <w:marTop w:val="0"/>
              <w:marBottom w:val="0"/>
              <w:divBdr>
                <w:top w:val="none" w:sz="0" w:space="0" w:color="auto"/>
                <w:left w:val="none" w:sz="0" w:space="0" w:color="auto"/>
                <w:bottom w:val="none" w:sz="0" w:space="0" w:color="auto"/>
                <w:right w:val="none" w:sz="0" w:space="0" w:color="auto"/>
              </w:divBdr>
            </w:div>
            <w:div w:id="643780244">
              <w:marLeft w:val="0"/>
              <w:marRight w:val="0"/>
              <w:marTop w:val="0"/>
              <w:marBottom w:val="0"/>
              <w:divBdr>
                <w:top w:val="none" w:sz="0" w:space="0" w:color="auto"/>
                <w:left w:val="none" w:sz="0" w:space="0" w:color="auto"/>
                <w:bottom w:val="none" w:sz="0" w:space="0" w:color="auto"/>
                <w:right w:val="none" w:sz="0" w:space="0" w:color="auto"/>
              </w:divBdr>
            </w:div>
            <w:div w:id="665010849">
              <w:marLeft w:val="0"/>
              <w:marRight w:val="0"/>
              <w:marTop w:val="0"/>
              <w:marBottom w:val="0"/>
              <w:divBdr>
                <w:top w:val="none" w:sz="0" w:space="0" w:color="auto"/>
                <w:left w:val="none" w:sz="0" w:space="0" w:color="auto"/>
                <w:bottom w:val="none" w:sz="0" w:space="0" w:color="auto"/>
                <w:right w:val="none" w:sz="0" w:space="0" w:color="auto"/>
              </w:divBdr>
            </w:div>
            <w:div w:id="900792837">
              <w:marLeft w:val="0"/>
              <w:marRight w:val="0"/>
              <w:marTop w:val="0"/>
              <w:marBottom w:val="0"/>
              <w:divBdr>
                <w:top w:val="none" w:sz="0" w:space="0" w:color="auto"/>
                <w:left w:val="none" w:sz="0" w:space="0" w:color="auto"/>
                <w:bottom w:val="none" w:sz="0" w:space="0" w:color="auto"/>
                <w:right w:val="none" w:sz="0" w:space="0" w:color="auto"/>
              </w:divBdr>
            </w:div>
            <w:div w:id="981348121">
              <w:marLeft w:val="0"/>
              <w:marRight w:val="0"/>
              <w:marTop w:val="0"/>
              <w:marBottom w:val="0"/>
              <w:divBdr>
                <w:top w:val="none" w:sz="0" w:space="0" w:color="auto"/>
                <w:left w:val="none" w:sz="0" w:space="0" w:color="auto"/>
                <w:bottom w:val="none" w:sz="0" w:space="0" w:color="auto"/>
                <w:right w:val="none" w:sz="0" w:space="0" w:color="auto"/>
              </w:divBdr>
            </w:div>
            <w:div w:id="1000039913">
              <w:marLeft w:val="0"/>
              <w:marRight w:val="0"/>
              <w:marTop w:val="0"/>
              <w:marBottom w:val="0"/>
              <w:divBdr>
                <w:top w:val="none" w:sz="0" w:space="0" w:color="auto"/>
                <w:left w:val="none" w:sz="0" w:space="0" w:color="auto"/>
                <w:bottom w:val="none" w:sz="0" w:space="0" w:color="auto"/>
                <w:right w:val="none" w:sz="0" w:space="0" w:color="auto"/>
              </w:divBdr>
            </w:div>
            <w:div w:id="1123572502">
              <w:marLeft w:val="0"/>
              <w:marRight w:val="0"/>
              <w:marTop w:val="0"/>
              <w:marBottom w:val="0"/>
              <w:divBdr>
                <w:top w:val="none" w:sz="0" w:space="0" w:color="auto"/>
                <w:left w:val="none" w:sz="0" w:space="0" w:color="auto"/>
                <w:bottom w:val="none" w:sz="0" w:space="0" w:color="auto"/>
                <w:right w:val="none" w:sz="0" w:space="0" w:color="auto"/>
              </w:divBdr>
            </w:div>
            <w:div w:id="1167401535">
              <w:marLeft w:val="0"/>
              <w:marRight w:val="0"/>
              <w:marTop w:val="0"/>
              <w:marBottom w:val="0"/>
              <w:divBdr>
                <w:top w:val="none" w:sz="0" w:space="0" w:color="auto"/>
                <w:left w:val="none" w:sz="0" w:space="0" w:color="auto"/>
                <w:bottom w:val="none" w:sz="0" w:space="0" w:color="auto"/>
                <w:right w:val="none" w:sz="0" w:space="0" w:color="auto"/>
              </w:divBdr>
            </w:div>
            <w:div w:id="1169519034">
              <w:marLeft w:val="0"/>
              <w:marRight w:val="0"/>
              <w:marTop w:val="0"/>
              <w:marBottom w:val="0"/>
              <w:divBdr>
                <w:top w:val="none" w:sz="0" w:space="0" w:color="auto"/>
                <w:left w:val="none" w:sz="0" w:space="0" w:color="auto"/>
                <w:bottom w:val="none" w:sz="0" w:space="0" w:color="auto"/>
                <w:right w:val="none" w:sz="0" w:space="0" w:color="auto"/>
              </w:divBdr>
            </w:div>
            <w:div w:id="1240170390">
              <w:marLeft w:val="0"/>
              <w:marRight w:val="0"/>
              <w:marTop w:val="0"/>
              <w:marBottom w:val="0"/>
              <w:divBdr>
                <w:top w:val="none" w:sz="0" w:space="0" w:color="auto"/>
                <w:left w:val="none" w:sz="0" w:space="0" w:color="auto"/>
                <w:bottom w:val="none" w:sz="0" w:space="0" w:color="auto"/>
                <w:right w:val="none" w:sz="0" w:space="0" w:color="auto"/>
              </w:divBdr>
            </w:div>
            <w:div w:id="1387218360">
              <w:marLeft w:val="0"/>
              <w:marRight w:val="0"/>
              <w:marTop w:val="0"/>
              <w:marBottom w:val="0"/>
              <w:divBdr>
                <w:top w:val="none" w:sz="0" w:space="0" w:color="auto"/>
                <w:left w:val="none" w:sz="0" w:space="0" w:color="auto"/>
                <w:bottom w:val="none" w:sz="0" w:space="0" w:color="auto"/>
                <w:right w:val="none" w:sz="0" w:space="0" w:color="auto"/>
              </w:divBdr>
            </w:div>
            <w:div w:id="1875388612">
              <w:marLeft w:val="0"/>
              <w:marRight w:val="0"/>
              <w:marTop w:val="0"/>
              <w:marBottom w:val="0"/>
              <w:divBdr>
                <w:top w:val="none" w:sz="0" w:space="0" w:color="auto"/>
                <w:left w:val="none" w:sz="0" w:space="0" w:color="auto"/>
                <w:bottom w:val="none" w:sz="0" w:space="0" w:color="auto"/>
                <w:right w:val="none" w:sz="0" w:space="0" w:color="auto"/>
              </w:divBdr>
            </w:div>
            <w:div w:id="1890678702">
              <w:marLeft w:val="0"/>
              <w:marRight w:val="0"/>
              <w:marTop w:val="0"/>
              <w:marBottom w:val="0"/>
              <w:divBdr>
                <w:top w:val="none" w:sz="0" w:space="0" w:color="auto"/>
                <w:left w:val="none" w:sz="0" w:space="0" w:color="auto"/>
                <w:bottom w:val="none" w:sz="0" w:space="0" w:color="auto"/>
                <w:right w:val="none" w:sz="0" w:space="0" w:color="auto"/>
              </w:divBdr>
            </w:div>
            <w:div w:id="1949966964">
              <w:marLeft w:val="0"/>
              <w:marRight w:val="0"/>
              <w:marTop w:val="0"/>
              <w:marBottom w:val="0"/>
              <w:divBdr>
                <w:top w:val="none" w:sz="0" w:space="0" w:color="auto"/>
                <w:left w:val="none" w:sz="0" w:space="0" w:color="auto"/>
                <w:bottom w:val="none" w:sz="0" w:space="0" w:color="auto"/>
                <w:right w:val="none" w:sz="0" w:space="0" w:color="auto"/>
              </w:divBdr>
            </w:div>
            <w:div w:id="2010791125">
              <w:marLeft w:val="0"/>
              <w:marRight w:val="0"/>
              <w:marTop w:val="0"/>
              <w:marBottom w:val="0"/>
              <w:divBdr>
                <w:top w:val="none" w:sz="0" w:space="0" w:color="auto"/>
                <w:left w:val="none" w:sz="0" w:space="0" w:color="auto"/>
                <w:bottom w:val="none" w:sz="0" w:space="0" w:color="auto"/>
                <w:right w:val="none" w:sz="0" w:space="0" w:color="auto"/>
              </w:divBdr>
            </w:div>
            <w:div w:id="2126339176">
              <w:marLeft w:val="0"/>
              <w:marRight w:val="0"/>
              <w:marTop w:val="0"/>
              <w:marBottom w:val="0"/>
              <w:divBdr>
                <w:top w:val="none" w:sz="0" w:space="0" w:color="auto"/>
                <w:left w:val="none" w:sz="0" w:space="0" w:color="auto"/>
                <w:bottom w:val="none" w:sz="0" w:space="0" w:color="auto"/>
                <w:right w:val="none" w:sz="0" w:space="0" w:color="auto"/>
              </w:divBdr>
            </w:div>
          </w:divsChild>
        </w:div>
        <w:div w:id="1019897092">
          <w:marLeft w:val="0"/>
          <w:marRight w:val="0"/>
          <w:marTop w:val="0"/>
          <w:marBottom w:val="0"/>
          <w:divBdr>
            <w:top w:val="none" w:sz="0" w:space="0" w:color="auto"/>
            <w:left w:val="none" w:sz="0" w:space="0" w:color="auto"/>
            <w:bottom w:val="none" w:sz="0" w:space="0" w:color="auto"/>
            <w:right w:val="none" w:sz="0" w:space="0" w:color="auto"/>
          </w:divBdr>
        </w:div>
        <w:div w:id="1021005361">
          <w:marLeft w:val="0"/>
          <w:marRight w:val="0"/>
          <w:marTop w:val="0"/>
          <w:marBottom w:val="0"/>
          <w:divBdr>
            <w:top w:val="none" w:sz="0" w:space="0" w:color="auto"/>
            <w:left w:val="none" w:sz="0" w:space="0" w:color="auto"/>
            <w:bottom w:val="none" w:sz="0" w:space="0" w:color="auto"/>
            <w:right w:val="none" w:sz="0" w:space="0" w:color="auto"/>
          </w:divBdr>
        </w:div>
        <w:div w:id="1022587070">
          <w:marLeft w:val="0"/>
          <w:marRight w:val="0"/>
          <w:marTop w:val="0"/>
          <w:marBottom w:val="0"/>
          <w:divBdr>
            <w:top w:val="none" w:sz="0" w:space="0" w:color="auto"/>
            <w:left w:val="none" w:sz="0" w:space="0" w:color="auto"/>
            <w:bottom w:val="none" w:sz="0" w:space="0" w:color="auto"/>
            <w:right w:val="none" w:sz="0" w:space="0" w:color="auto"/>
          </w:divBdr>
          <w:divsChild>
            <w:div w:id="353655222">
              <w:marLeft w:val="0"/>
              <w:marRight w:val="0"/>
              <w:marTop w:val="0"/>
              <w:marBottom w:val="0"/>
              <w:divBdr>
                <w:top w:val="none" w:sz="0" w:space="0" w:color="auto"/>
                <w:left w:val="none" w:sz="0" w:space="0" w:color="auto"/>
                <w:bottom w:val="none" w:sz="0" w:space="0" w:color="auto"/>
                <w:right w:val="none" w:sz="0" w:space="0" w:color="auto"/>
              </w:divBdr>
            </w:div>
            <w:div w:id="417751420">
              <w:marLeft w:val="0"/>
              <w:marRight w:val="0"/>
              <w:marTop w:val="0"/>
              <w:marBottom w:val="0"/>
              <w:divBdr>
                <w:top w:val="none" w:sz="0" w:space="0" w:color="auto"/>
                <w:left w:val="none" w:sz="0" w:space="0" w:color="auto"/>
                <w:bottom w:val="none" w:sz="0" w:space="0" w:color="auto"/>
                <w:right w:val="none" w:sz="0" w:space="0" w:color="auto"/>
              </w:divBdr>
            </w:div>
            <w:div w:id="610014862">
              <w:marLeft w:val="0"/>
              <w:marRight w:val="0"/>
              <w:marTop w:val="0"/>
              <w:marBottom w:val="0"/>
              <w:divBdr>
                <w:top w:val="none" w:sz="0" w:space="0" w:color="auto"/>
                <w:left w:val="none" w:sz="0" w:space="0" w:color="auto"/>
                <w:bottom w:val="none" w:sz="0" w:space="0" w:color="auto"/>
                <w:right w:val="none" w:sz="0" w:space="0" w:color="auto"/>
              </w:divBdr>
            </w:div>
            <w:div w:id="779103988">
              <w:marLeft w:val="0"/>
              <w:marRight w:val="0"/>
              <w:marTop w:val="0"/>
              <w:marBottom w:val="0"/>
              <w:divBdr>
                <w:top w:val="none" w:sz="0" w:space="0" w:color="auto"/>
                <w:left w:val="none" w:sz="0" w:space="0" w:color="auto"/>
                <w:bottom w:val="none" w:sz="0" w:space="0" w:color="auto"/>
                <w:right w:val="none" w:sz="0" w:space="0" w:color="auto"/>
              </w:divBdr>
            </w:div>
            <w:div w:id="1171719552">
              <w:marLeft w:val="0"/>
              <w:marRight w:val="0"/>
              <w:marTop w:val="0"/>
              <w:marBottom w:val="0"/>
              <w:divBdr>
                <w:top w:val="none" w:sz="0" w:space="0" w:color="auto"/>
                <w:left w:val="none" w:sz="0" w:space="0" w:color="auto"/>
                <w:bottom w:val="none" w:sz="0" w:space="0" w:color="auto"/>
                <w:right w:val="none" w:sz="0" w:space="0" w:color="auto"/>
              </w:divBdr>
            </w:div>
            <w:div w:id="1294599435">
              <w:marLeft w:val="0"/>
              <w:marRight w:val="0"/>
              <w:marTop w:val="0"/>
              <w:marBottom w:val="0"/>
              <w:divBdr>
                <w:top w:val="none" w:sz="0" w:space="0" w:color="auto"/>
                <w:left w:val="none" w:sz="0" w:space="0" w:color="auto"/>
                <w:bottom w:val="none" w:sz="0" w:space="0" w:color="auto"/>
                <w:right w:val="none" w:sz="0" w:space="0" w:color="auto"/>
              </w:divBdr>
            </w:div>
            <w:div w:id="1357124623">
              <w:marLeft w:val="0"/>
              <w:marRight w:val="0"/>
              <w:marTop w:val="0"/>
              <w:marBottom w:val="0"/>
              <w:divBdr>
                <w:top w:val="none" w:sz="0" w:space="0" w:color="auto"/>
                <w:left w:val="none" w:sz="0" w:space="0" w:color="auto"/>
                <w:bottom w:val="none" w:sz="0" w:space="0" w:color="auto"/>
                <w:right w:val="none" w:sz="0" w:space="0" w:color="auto"/>
              </w:divBdr>
            </w:div>
            <w:div w:id="1360618932">
              <w:marLeft w:val="0"/>
              <w:marRight w:val="0"/>
              <w:marTop w:val="0"/>
              <w:marBottom w:val="0"/>
              <w:divBdr>
                <w:top w:val="none" w:sz="0" w:space="0" w:color="auto"/>
                <w:left w:val="none" w:sz="0" w:space="0" w:color="auto"/>
                <w:bottom w:val="none" w:sz="0" w:space="0" w:color="auto"/>
                <w:right w:val="none" w:sz="0" w:space="0" w:color="auto"/>
              </w:divBdr>
            </w:div>
            <w:div w:id="1383558578">
              <w:marLeft w:val="0"/>
              <w:marRight w:val="0"/>
              <w:marTop w:val="0"/>
              <w:marBottom w:val="0"/>
              <w:divBdr>
                <w:top w:val="none" w:sz="0" w:space="0" w:color="auto"/>
                <w:left w:val="none" w:sz="0" w:space="0" w:color="auto"/>
                <w:bottom w:val="none" w:sz="0" w:space="0" w:color="auto"/>
                <w:right w:val="none" w:sz="0" w:space="0" w:color="auto"/>
              </w:divBdr>
            </w:div>
            <w:div w:id="1426341038">
              <w:marLeft w:val="0"/>
              <w:marRight w:val="0"/>
              <w:marTop w:val="0"/>
              <w:marBottom w:val="0"/>
              <w:divBdr>
                <w:top w:val="none" w:sz="0" w:space="0" w:color="auto"/>
                <w:left w:val="none" w:sz="0" w:space="0" w:color="auto"/>
                <w:bottom w:val="none" w:sz="0" w:space="0" w:color="auto"/>
                <w:right w:val="none" w:sz="0" w:space="0" w:color="auto"/>
              </w:divBdr>
            </w:div>
            <w:div w:id="1493639471">
              <w:marLeft w:val="0"/>
              <w:marRight w:val="0"/>
              <w:marTop w:val="0"/>
              <w:marBottom w:val="0"/>
              <w:divBdr>
                <w:top w:val="none" w:sz="0" w:space="0" w:color="auto"/>
                <w:left w:val="none" w:sz="0" w:space="0" w:color="auto"/>
                <w:bottom w:val="none" w:sz="0" w:space="0" w:color="auto"/>
                <w:right w:val="none" w:sz="0" w:space="0" w:color="auto"/>
              </w:divBdr>
            </w:div>
            <w:div w:id="1534226412">
              <w:marLeft w:val="0"/>
              <w:marRight w:val="0"/>
              <w:marTop w:val="0"/>
              <w:marBottom w:val="0"/>
              <w:divBdr>
                <w:top w:val="none" w:sz="0" w:space="0" w:color="auto"/>
                <w:left w:val="none" w:sz="0" w:space="0" w:color="auto"/>
                <w:bottom w:val="none" w:sz="0" w:space="0" w:color="auto"/>
                <w:right w:val="none" w:sz="0" w:space="0" w:color="auto"/>
              </w:divBdr>
            </w:div>
            <w:div w:id="1645617179">
              <w:marLeft w:val="0"/>
              <w:marRight w:val="0"/>
              <w:marTop w:val="0"/>
              <w:marBottom w:val="0"/>
              <w:divBdr>
                <w:top w:val="none" w:sz="0" w:space="0" w:color="auto"/>
                <w:left w:val="none" w:sz="0" w:space="0" w:color="auto"/>
                <w:bottom w:val="none" w:sz="0" w:space="0" w:color="auto"/>
                <w:right w:val="none" w:sz="0" w:space="0" w:color="auto"/>
              </w:divBdr>
            </w:div>
            <w:div w:id="1772896151">
              <w:marLeft w:val="0"/>
              <w:marRight w:val="0"/>
              <w:marTop w:val="0"/>
              <w:marBottom w:val="0"/>
              <w:divBdr>
                <w:top w:val="none" w:sz="0" w:space="0" w:color="auto"/>
                <w:left w:val="none" w:sz="0" w:space="0" w:color="auto"/>
                <w:bottom w:val="none" w:sz="0" w:space="0" w:color="auto"/>
                <w:right w:val="none" w:sz="0" w:space="0" w:color="auto"/>
              </w:divBdr>
            </w:div>
            <w:div w:id="1927112270">
              <w:marLeft w:val="0"/>
              <w:marRight w:val="0"/>
              <w:marTop w:val="0"/>
              <w:marBottom w:val="0"/>
              <w:divBdr>
                <w:top w:val="none" w:sz="0" w:space="0" w:color="auto"/>
                <w:left w:val="none" w:sz="0" w:space="0" w:color="auto"/>
                <w:bottom w:val="none" w:sz="0" w:space="0" w:color="auto"/>
                <w:right w:val="none" w:sz="0" w:space="0" w:color="auto"/>
              </w:divBdr>
            </w:div>
            <w:div w:id="1983004238">
              <w:marLeft w:val="0"/>
              <w:marRight w:val="0"/>
              <w:marTop w:val="0"/>
              <w:marBottom w:val="0"/>
              <w:divBdr>
                <w:top w:val="none" w:sz="0" w:space="0" w:color="auto"/>
                <w:left w:val="none" w:sz="0" w:space="0" w:color="auto"/>
                <w:bottom w:val="none" w:sz="0" w:space="0" w:color="auto"/>
                <w:right w:val="none" w:sz="0" w:space="0" w:color="auto"/>
              </w:divBdr>
            </w:div>
            <w:div w:id="2048990319">
              <w:marLeft w:val="0"/>
              <w:marRight w:val="0"/>
              <w:marTop w:val="0"/>
              <w:marBottom w:val="0"/>
              <w:divBdr>
                <w:top w:val="none" w:sz="0" w:space="0" w:color="auto"/>
                <w:left w:val="none" w:sz="0" w:space="0" w:color="auto"/>
                <w:bottom w:val="none" w:sz="0" w:space="0" w:color="auto"/>
                <w:right w:val="none" w:sz="0" w:space="0" w:color="auto"/>
              </w:divBdr>
            </w:div>
            <w:div w:id="2116052725">
              <w:marLeft w:val="0"/>
              <w:marRight w:val="0"/>
              <w:marTop w:val="0"/>
              <w:marBottom w:val="0"/>
              <w:divBdr>
                <w:top w:val="none" w:sz="0" w:space="0" w:color="auto"/>
                <w:left w:val="none" w:sz="0" w:space="0" w:color="auto"/>
                <w:bottom w:val="none" w:sz="0" w:space="0" w:color="auto"/>
                <w:right w:val="none" w:sz="0" w:space="0" w:color="auto"/>
              </w:divBdr>
            </w:div>
          </w:divsChild>
        </w:div>
        <w:div w:id="1022900635">
          <w:marLeft w:val="0"/>
          <w:marRight w:val="0"/>
          <w:marTop w:val="0"/>
          <w:marBottom w:val="0"/>
          <w:divBdr>
            <w:top w:val="none" w:sz="0" w:space="0" w:color="auto"/>
            <w:left w:val="none" w:sz="0" w:space="0" w:color="auto"/>
            <w:bottom w:val="none" w:sz="0" w:space="0" w:color="auto"/>
            <w:right w:val="none" w:sz="0" w:space="0" w:color="auto"/>
          </w:divBdr>
        </w:div>
        <w:div w:id="1023283321">
          <w:marLeft w:val="0"/>
          <w:marRight w:val="0"/>
          <w:marTop w:val="0"/>
          <w:marBottom w:val="0"/>
          <w:divBdr>
            <w:top w:val="none" w:sz="0" w:space="0" w:color="auto"/>
            <w:left w:val="none" w:sz="0" w:space="0" w:color="auto"/>
            <w:bottom w:val="none" w:sz="0" w:space="0" w:color="auto"/>
            <w:right w:val="none" w:sz="0" w:space="0" w:color="auto"/>
          </w:divBdr>
          <w:divsChild>
            <w:div w:id="83453072">
              <w:marLeft w:val="0"/>
              <w:marRight w:val="0"/>
              <w:marTop w:val="0"/>
              <w:marBottom w:val="0"/>
              <w:divBdr>
                <w:top w:val="none" w:sz="0" w:space="0" w:color="auto"/>
                <w:left w:val="none" w:sz="0" w:space="0" w:color="auto"/>
                <w:bottom w:val="none" w:sz="0" w:space="0" w:color="auto"/>
                <w:right w:val="none" w:sz="0" w:space="0" w:color="auto"/>
              </w:divBdr>
            </w:div>
            <w:div w:id="115562238">
              <w:marLeft w:val="0"/>
              <w:marRight w:val="0"/>
              <w:marTop w:val="0"/>
              <w:marBottom w:val="0"/>
              <w:divBdr>
                <w:top w:val="none" w:sz="0" w:space="0" w:color="auto"/>
                <w:left w:val="none" w:sz="0" w:space="0" w:color="auto"/>
                <w:bottom w:val="none" w:sz="0" w:space="0" w:color="auto"/>
                <w:right w:val="none" w:sz="0" w:space="0" w:color="auto"/>
              </w:divBdr>
            </w:div>
            <w:div w:id="119342415">
              <w:marLeft w:val="0"/>
              <w:marRight w:val="0"/>
              <w:marTop w:val="0"/>
              <w:marBottom w:val="0"/>
              <w:divBdr>
                <w:top w:val="none" w:sz="0" w:space="0" w:color="auto"/>
                <w:left w:val="none" w:sz="0" w:space="0" w:color="auto"/>
                <w:bottom w:val="none" w:sz="0" w:space="0" w:color="auto"/>
                <w:right w:val="none" w:sz="0" w:space="0" w:color="auto"/>
              </w:divBdr>
            </w:div>
            <w:div w:id="157813000">
              <w:marLeft w:val="0"/>
              <w:marRight w:val="0"/>
              <w:marTop w:val="0"/>
              <w:marBottom w:val="0"/>
              <w:divBdr>
                <w:top w:val="none" w:sz="0" w:space="0" w:color="auto"/>
                <w:left w:val="none" w:sz="0" w:space="0" w:color="auto"/>
                <w:bottom w:val="none" w:sz="0" w:space="0" w:color="auto"/>
                <w:right w:val="none" w:sz="0" w:space="0" w:color="auto"/>
              </w:divBdr>
            </w:div>
            <w:div w:id="353655970">
              <w:marLeft w:val="0"/>
              <w:marRight w:val="0"/>
              <w:marTop w:val="0"/>
              <w:marBottom w:val="0"/>
              <w:divBdr>
                <w:top w:val="none" w:sz="0" w:space="0" w:color="auto"/>
                <w:left w:val="none" w:sz="0" w:space="0" w:color="auto"/>
                <w:bottom w:val="none" w:sz="0" w:space="0" w:color="auto"/>
                <w:right w:val="none" w:sz="0" w:space="0" w:color="auto"/>
              </w:divBdr>
            </w:div>
            <w:div w:id="440074769">
              <w:marLeft w:val="0"/>
              <w:marRight w:val="0"/>
              <w:marTop w:val="0"/>
              <w:marBottom w:val="0"/>
              <w:divBdr>
                <w:top w:val="none" w:sz="0" w:space="0" w:color="auto"/>
                <w:left w:val="none" w:sz="0" w:space="0" w:color="auto"/>
                <w:bottom w:val="none" w:sz="0" w:space="0" w:color="auto"/>
                <w:right w:val="none" w:sz="0" w:space="0" w:color="auto"/>
              </w:divBdr>
            </w:div>
            <w:div w:id="795754456">
              <w:marLeft w:val="0"/>
              <w:marRight w:val="0"/>
              <w:marTop w:val="0"/>
              <w:marBottom w:val="0"/>
              <w:divBdr>
                <w:top w:val="none" w:sz="0" w:space="0" w:color="auto"/>
                <w:left w:val="none" w:sz="0" w:space="0" w:color="auto"/>
                <w:bottom w:val="none" w:sz="0" w:space="0" w:color="auto"/>
                <w:right w:val="none" w:sz="0" w:space="0" w:color="auto"/>
              </w:divBdr>
            </w:div>
            <w:div w:id="1002320341">
              <w:marLeft w:val="0"/>
              <w:marRight w:val="0"/>
              <w:marTop w:val="0"/>
              <w:marBottom w:val="0"/>
              <w:divBdr>
                <w:top w:val="none" w:sz="0" w:space="0" w:color="auto"/>
                <w:left w:val="none" w:sz="0" w:space="0" w:color="auto"/>
                <w:bottom w:val="none" w:sz="0" w:space="0" w:color="auto"/>
                <w:right w:val="none" w:sz="0" w:space="0" w:color="auto"/>
              </w:divBdr>
            </w:div>
            <w:div w:id="1008756321">
              <w:marLeft w:val="0"/>
              <w:marRight w:val="0"/>
              <w:marTop w:val="0"/>
              <w:marBottom w:val="0"/>
              <w:divBdr>
                <w:top w:val="none" w:sz="0" w:space="0" w:color="auto"/>
                <w:left w:val="none" w:sz="0" w:space="0" w:color="auto"/>
                <w:bottom w:val="none" w:sz="0" w:space="0" w:color="auto"/>
                <w:right w:val="none" w:sz="0" w:space="0" w:color="auto"/>
              </w:divBdr>
            </w:div>
            <w:div w:id="1029530019">
              <w:marLeft w:val="0"/>
              <w:marRight w:val="0"/>
              <w:marTop w:val="0"/>
              <w:marBottom w:val="0"/>
              <w:divBdr>
                <w:top w:val="none" w:sz="0" w:space="0" w:color="auto"/>
                <w:left w:val="none" w:sz="0" w:space="0" w:color="auto"/>
                <w:bottom w:val="none" w:sz="0" w:space="0" w:color="auto"/>
                <w:right w:val="none" w:sz="0" w:space="0" w:color="auto"/>
              </w:divBdr>
            </w:div>
            <w:div w:id="1213539640">
              <w:marLeft w:val="0"/>
              <w:marRight w:val="0"/>
              <w:marTop w:val="0"/>
              <w:marBottom w:val="0"/>
              <w:divBdr>
                <w:top w:val="none" w:sz="0" w:space="0" w:color="auto"/>
                <w:left w:val="none" w:sz="0" w:space="0" w:color="auto"/>
                <w:bottom w:val="none" w:sz="0" w:space="0" w:color="auto"/>
                <w:right w:val="none" w:sz="0" w:space="0" w:color="auto"/>
              </w:divBdr>
            </w:div>
            <w:div w:id="1419255940">
              <w:marLeft w:val="0"/>
              <w:marRight w:val="0"/>
              <w:marTop w:val="0"/>
              <w:marBottom w:val="0"/>
              <w:divBdr>
                <w:top w:val="none" w:sz="0" w:space="0" w:color="auto"/>
                <w:left w:val="none" w:sz="0" w:space="0" w:color="auto"/>
                <w:bottom w:val="none" w:sz="0" w:space="0" w:color="auto"/>
                <w:right w:val="none" w:sz="0" w:space="0" w:color="auto"/>
              </w:divBdr>
            </w:div>
            <w:div w:id="1422680236">
              <w:marLeft w:val="0"/>
              <w:marRight w:val="0"/>
              <w:marTop w:val="0"/>
              <w:marBottom w:val="0"/>
              <w:divBdr>
                <w:top w:val="none" w:sz="0" w:space="0" w:color="auto"/>
                <w:left w:val="none" w:sz="0" w:space="0" w:color="auto"/>
                <w:bottom w:val="none" w:sz="0" w:space="0" w:color="auto"/>
                <w:right w:val="none" w:sz="0" w:space="0" w:color="auto"/>
              </w:divBdr>
            </w:div>
            <w:div w:id="1558082154">
              <w:marLeft w:val="0"/>
              <w:marRight w:val="0"/>
              <w:marTop w:val="0"/>
              <w:marBottom w:val="0"/>
              <w:divBdr>
                <w:top w:val="none" w:sz="0" w:space="0" w:color="auto"/>
                <w:left w:val="none" w:sz="0" w:space="0" w:color="auto"/>
                <w:bottom w:val="none" w:sz="0" w:space="0" w:color="auto"/>
                <w:right w:val="none" w:sz="0" w:space="0" w:color="auto"/>
              </w:divBdr>
            </w:div>
            <w:div w:id="1580020433">
              <w:marLeft w:val="0"/>
              <w:marRight w:val="0"/>
              <w:marTop w:val="0"/>
              <w:marBottom w:val="0"/>
              <w:divBdr>
                <w:top w:val="none" w:sz="0" w:space="0" w:color="auto"/>
                <w:left w:val="none" w:sz="0" w:space="0" w:color="auto"/>
                <w:bottom w:val="none" w:sz="0" w:space="0" w:color="auto"/>
                <w:right w:val="none" w:sz="0" w:space="0" w:color="auto"/>
              </w:divBdr>
            </w:div>
            <w:div w:id="1608849735">
              <w:marLeft w:val="0"/>
              <w:marRight w:val="0"/>
              <w:marTop w:val="0"/>
              <w:marBottom w:val="0"/>
              <w:divBdr>
                <w:top w:val="none" w:sz="0" w:space="0" w:color="auto"/>
                <w:left w:val="none" w:sz="0" w:space="0" w:color="auto"/>
                <w:bottom w:val="none" w:sz="0" w:space="0" w:color="auto"/>
                <w:right w:val="none" w:sz="0" w:space="0" w:color="auto"/>
              </w:divBdr>
            </w:div>
            <w:div w:id="1636450954">
              <w:marLeft w:val="0"/>
              <w:marRight w:val="0"/>
              <w:marTop w:val="0"/>
              <w:marBottom w:val="0"/>
              <w:divBdr>
                <w:top w:val="none" w:sz="0" w:space="0" w:color="auto"/>
                <w:left w:val="none" w:sz="0" w:space="0" w:color="auto"/>
                <w:bottom w:val="none" w:sz="0" w:space="0" w:color="auto"/>
                <w:right w:val="none" w:sz="0" w:space="0" w:color="auto"/>
              </w:divBdr>
            </w:div>
            <w:div w:id="2012367147">
              <w:marLeft w:val="0"/>
              <w:marRight w:val="0"/>
              <w:marTop w:val="0"/>
              <w:marBottom w:val="0"/>
              <w:divBdr>
                <w:top w:val="none" w:sz="0" w:space="0" w:color="auto"/>
                <w:left w:val="none" w:sz="0" w:space="0" w:color="auto"/>
                <w:bottom w:val="none" w:sz="0" w:space="0" w:color="auto"/>
                <w:right w:val="none" w:sz="0" w:space="0" w:color="auto"/>
              </w:divBdr>
            </w:div>
            <w:div w:id="2061441154">
              <w:marLeft w:val="0"/>
              <w:marRight w:val="0"/>
              <w:marTop w:val="0"/>
              <w:marBottom w:val="0"/>
              <w:divBdr>
                <w:top w:val="none" w:sz="0" w:space="0" w:color="auto"/>
                <w:left w:val="none" w:sz="0" w:space="0" w:color="auto"/>
                <w:bottom w:val="none" w:sz="0" w:space="0" w:color="auto"/>
                <w:right w:val="none" w:sz="0" w:space="0" w:color="auto"/>
              </w:divBdr>
            </w:div>
            <w:div w:id="2063022754">
              <w:marLeft w:val="0"/>
              <w:marRight w:val="0"/>
              <w:marTop w:val="0"/>
              <w:marBottom w:val="0"/>
              <w:divBdr>
                <w:top w:val="none" w:sz="0" w:space="0" w:color="auto"/>
                <w:left w:val="none" w:sz="0" w:space="0" w:color="auto"/>
                <w:bottom w:val="none" w:sz="0" w:space="0" w:color="auto"/>
                <w:right w:val="none" w:sz="0" w:space="0" w:color="auto"/>
              </w:divBdr>
            </w:div>
          </w:divsChild>
        </w:div>
        <w:div w:id="1025248168">
          <w:marLeft w:val="0"/>
          <w:marRight w:val="0"/>
          <w:marTop w:val="0"/>
          <w:marBottom w:val="0"/>
          <w:divBdr>
            <w:top w:val="none" w:sz="0" w:space="0" w:color="auto"/>
            <w:left w:val="none" w:sz="0" w:space="0" w:color="auto"/>
            <w:bottom w:val="none" w:sz="0" w:space="0" w:color="auto"/>
            <w:right w:val="none" w:sz="0" w:space="0" w:color="auto"/>
          </w:divBdr>
        </w:div>
        <w:div w:id="1026251629">
          <w:marLeft w:val="0"/>
          <w:marRight w:val="0"/>
          <w:marTop w:val="0"/>
          <w:marBottom w:val="0"/>
          <w:divBdr>
            <w:top w:val="none" w:sz="0" w:space="0" w:color="auto"/>
            <w:left w:val="none" w:sz="0" w:space="0" w:color="auto"/>
            <w:bottom w:val="none" w:sz="0" w:space="0" w:color="auto"/>
            <w:right w:val="none" w:sz="0" w:space="0" w:color="auto"/>
          </w:divBdr>
        </w:div>
        <w:div w:id="1030375897">
          <w:marLeft w:val="0"/>
          <w:marRight w:val="0"/>
          <w:marTop w:val="0"/>
          <w:marBottom w:val="0"/>
          <w:divBdr>
            <w:top w:val="none" w:sz="0" w:space="0" w:color="auto"/>
            <w:left w:val="none" w:sz="0" w:space="0" w:color="auto"/>
            <w:bottom w:val="none" w:sz="0" w:space="0" w:color="auto"/>
            <w:right w:val="none" w:sz="0" w:space="0" w:color="auto"/>
          </w:divBdr>
        </w:div>
        <w:div w:id="1031685809">
          <w:marLeft w:val="0"/>
          <w:marRight w:val="0"/>
          <w:marTop w:val="0"/>
          <w:marBottom w:val="0"/>
          <w:divBdr>
            <w:top w:val="none" w:sz="0" w:space="0" w:color="auto"/>
            <w:left w:val="none" w:sz="0" w:space="0" w:color="auto"/>
            <w:bottom w:val="none" w:sz="0" w:space="0" w:color="auto"/>
            <w:right w:val="none" w:sz="0" w:space="0" w:color="auto"/>
          </w:divBdr>
        </w:div>
        <w:div w:id="1032460484">
          <w:marLeft w:val="0"/>
          <w:marRight w:val="0"/>
          <w:marTop w:val="0"/>
          <w:marBottom w:val="0"/>
          <w:divBdr>
            <w:top w:val="none" w:sz="0" w:space="0" w:color="auto"/>
            <w:left w:val="none" w:sz="0" w:space="0" w:color="auto"/>
            <w:bottom w:val="none" w:sz="0" w:space="0" w:color="auto"/>
            <w:right w:val="none" w:sz="0" w:space="0" w:color="auto"/>
          </w:divBdr>
        </w:div>
        <w:div w:id="1033119822">
          <w:marLeft w:val="0"/>
          <w:marRight w:val="0"/>
          <w:marTop w:val="0"/>
          <w:marBottom w:val="0"/>
          <w:divBdr>
            <w:top w:val="none" w:sz="0" w:space="0" w:color="auto"/>
            <w:left w:val="none" w:sz="0" w:space="0" w:color="auto"/>
            <w:bottom w:val="none" w:sz="0" w:space="0" w:color="auto"/>
            <w:right w:val="none" w:sz="0" w:space="0" w:color="auto"/>
          </w:divBdr>
        </w:div>
        <w:div w:id="1036850036">
          <w:marLeft w:val="0"/>
          <w:marRight w:val="0"/>
          <w:marTop w:val="0"/>
          <w:marBottom w:val="0"/>
          <w:divBdr>
            <w:top w:val="none" w:sz="0" w:space="0" w:color="auto"/>
            <w:left w:val="none" w:sz="0" w:space="0" w:color="auto"/>
            <w:bottom w:val="none" w:sz="0" w:space="0" w:color="auto"/>
            <w:right w:val="none" w:sz="0" w:space="0" w:color="auto"/>
          </w:divBdr>
        </w:div>
        <w:div w:id="1040205386">
          <w:marLeft w:val="0"/>
          <w:marRight w:val="0"/>
          <w:marTop w:val="0"/>
          <w:marBottom w:val="0"/>
          <w:divBdr>
            <w:top w:val="none" w:sz="0" w:space="0" w:color="auto"/>
            <w:left w:val="none" w:sz="0" w:space="0" w:color="auto"/>
            <w:bottom w:val="none" w:sz="0" w:space="0" w:color="auto"/>
            <w:right w:val="none" w:sz="0" w:space="0" w:color="auto"/>
          </w:divBdr>
        </w:div>
        <w:div w:id="1040208702">
          <w:marLeft w:val="0"/>
          <w:marRight w:val="0"/>
          <w:marTop w:val="0"/>
          <w:marBottom w:val="0"/>
          <w:divBdr>
            <w:top w:val="none" w:sz="0" w:space="0" w:color="auto"/>
            <w:left w:val="none" w:sz="0" w:space="0" w:color="auto"/>
            <w:bottom w:val="none" w:sz="0" w:space="0" w:color="auto"/>
            <w:right w:val="none" w:sz="0" w:space="0" w:color="auto"/>
          </w:divBdr>
        </w:div>
        <w:div w:id="1044141616">
          <w:marLeft w:val="0"/>
          <w:marRight w:val="0"/>
          <w:marTop w:val="0"/>
          <w:marBottom w:val="0"/>
          <w:divBdr>
            <w:top w:val="none" w:sz="0" w:space="0" w:color="auto"/>
            <w:left w:val="none" w:sz="0" w:space="0" w:color="auto"/>
            <w:bottom w:val="none" w:sz="0" w:space="0" w:color="auto"/>
            <w:right w:val="none" w:sz="0" w:space="0" w:color="auto"/>
          </w:divBdr>
        </w:div>
        <w:div w:id="1044208518">
          <w:marLeft w:val="0"/>
          <w:marRight w:val="0"/>
          <w:marTop w:val="0"/>
          <w:marBottom w:val="0"/>
          <w:divBdr>
            <w:top w:val="none" w:sz="0" w:space="0" w:color="auto"/>
            <w:left w:val="none" w:sz="0" w:space="0" w:color="auto"/>
            <w:bottom w:val="none" w:sz="0" w:space="0" w:color="auto"/>
            <w:right w:val="none" w:sz="0" w:space="0" w:color="auto"/>
          </w:divBdr>
        </w:div>
        <w:div w:id="1046031893">
          <w:marLeft w:val="0"/>
          <w:marRight w:val="0"/>
          <w:marTop w:val="0"/>
          <w:marBottom w:val="0"/>
          <w:divBdr>
            <w:top w:val="none" w:sz="0" w:space="0" w:color="auto"/>
            <w:left w:val="none" w:sz="0" w:space="0" w:color="auto"/>
            <w:bottom w:val="none" w:sz="0" w:space="0" w:color="auto"/>
            <w:right w:val="none" w:sz="0" w:space="0" w:color="auto"/>
          </w:divBdr>
        </w:div>
        <w:div w:id="1049303329">
          <w:marLeft w:val="0"/>
          <w:marRight w:val="0"/>
          <w:marTop w:val="0"/>
          <w:marBottom w:val="0"/>
          <w:divBdr>
            <w:top w:val="none" w:sz="0" w:space="0" w:color="auto"/>
            <w:left w:val="none" w:sz="0" w:space="0" w:color="auto"/>
            <w:bottom w:val="none" w:sz="0" w:space="0" w:color="auto"/>
            <w:right w:val="none" w:sz="0" w:space="0" w:color="auto"/>
          </w:divBdr>
        </w:div>
        <w:div w:id="1050960610">
          <w:marLeft w:val="0"/>
          <w:marRight w:val="0"/>
          <w:marTop w:val="0"/>
          <w:marBottom w:val="0"/>
          <w:divBdr>
            <w:top w:val="none" w:sz="0" w:space="0" w:color="auto"/>
            <w:left w:val="none" w:sz="0" w:space="0" w:color="auto"/>
            <w:bottom w:val="none" w:sz="0" w:space="0" w:color="auto"/>
            <w:right w:val="none" w:sz="0" w:space="0" w:color="auto"/>
          </w:divBdr>
        </w:div>
        <w:div w:id="1052312330">
          <w:marLeft w:val="0"/>
          <w:marRight w:val="0"/>
          <w:marTop w:val="0"/>
          <w:marBottom w:val="0"/>
          <w:divBdr>
            <w:top w:val="none" w:sz="0" w:space="0" w:color="auto"/>
            <w:left w:val="none" w:sz="0" w:space="0" w:color="auto"/>
            <w:bottom w:val="none" w:sz="0" w:space="0" w:color="auto"/>
            <w:right w:val="none" w:sz="0" w:space="0" w:color="auto"/>
          </w:divBdr>
        </w:div>
        <w:div w:id="1054351324">
          <w:marLeft w:val="0"/>
          <w:marRight w:val="0"/>
          <w:marTop w:val="0"/>
          <w:marBottom w:val="0"/>
          <w:divBdr>
            <w:top w:val="none" w:sz="0" w:space="0" w:color="auto"/>
            <w:left w:val="none" w:sz="0" w:space="0" w:color="auto"/>
            <w:bottom w:val="none" w:sz="0" w:space="0" w:color="auto"/>
            <w:right w:val="none" w:sz="0" w:space="0" w:color="auto"/>
          </w:divBdr>
        </w:div>
        <w:div w:id="1057051203">
          <w:marLeft w:val="0"/>
          <w:marRight w:val="0"/>
          <w:marTop w:val="0"/>
          <w:marBottom w:val="0"/>
          <w:divBdr>
            <w:top w:val="none" w:sz="0" w:space="0" w:color="auto"/>
            <w:left w:val="none" w:sz="0" w:space="0" w:color="auto"/>
            <w:bottom w:val="none" w:sz="0" w:space="0" w:color="auto"/>
            <w:right w:val="none" w:sz="0" w:space="0" w:color="auto"/>
          </w:divBdr>
        </w:div>
        <w:div w:id="1057557083">
          <w:marLeft w:val="0"/>
          <w:marRight w:val="0"/>
          <w:marTop w:val="0"/>
          <w:marBottom w:val="0"/>
          <w:divBdr>
            <w:top w:val="none" w:sz="0" w:space="0" w:color="auto"/>
            <w:left w:val="none" w:sz="0" w:space="0" w:color="auto"/>
            <w:bottom w:val="none" w:sz="0" w:space="0" w:color="auto"/>
            <w:right w:val="none" w:sz="0" w:space="0" w:color="auto"/>
          </w:divBdr>
        </w:div>
        <w:div w:id="1059983512">
          <w:marLeft w:val="0"/>
          <w:marRight w:val="0"/>
          <w:marTop w:val="0"/>
          <w:marBottom w:val="0"/>
          <w:divBdr>
            <w:top w:val="none" w:sz="0" w:space="0" w:color="auto"/>
            <w:left w:val="none" w:sz="0" w:space="0" w:color="auto"/>
            <w:bottom w:val="none" w:sz="0" w:space="0" w:color="auto"/>
            <w:right w:val="none" w:sz="0" w:space="0" w:color="auto"/>
          </w:divBdr>
        </w:div>
        <w:div w:id="1060011074">
          <w:marLeft w:val="0"/>
          <w:marRight w:val="0"/>
          <w:marTop w:val="0"/>
          <w:marBottom w:val="0"/>
          <w:divBdr>
            <w:top w:val="none" w:sz="0" w:space="0" w:color="auto"/>
            <w:left w:val="none" w:sz="0" w:space="0" w:color="auto"/>
            <w:bottom w:val="none" w:sz="0" w:space="0" w:color="auto"/>
            <w:right w:val="none" w:sz="0" w:space="0" w:color="auto"/>
          </w:divBdr>
        </w:div>
        <w:div w:id="1060247954">
          <w:marLeft w:val="0"/>
          <w:marRight w:val="0"/>
          <w:marTop w:val="0"/>
          <w:marBottom w:val="0"/>
          <w:divBdr>
            <w:top w:val="none" w:sz="0" w:space="0" w:color="auto"/>
            <w:left w:val="none" w:sz="0" w:space="0" w:color="auto"/>
            <w:bottom w:val="none" w:sz="0" w:space="0" w:color="auto"/>
            <w:right w:val="none" w:sz="0" w:space="0" w:color="auto"/>
          </w:divBdr>
        </w:div>
        <w:div w:id="1060521843">
          <w:marLeft w:val="0"/>
          <w:marRight w:val="0"/>
          <w:marTop w:val="0"/>
          <w:marBottom w:val="0"/>
          <w:divBdr>
            <w:top w:val="none" w:sz="0" w:space="0" w:color="auto"/>
            <w:left w:val="none" w:sz="0" w:space="0" w:color="auto"/>
            <w:bottom w:val="none" w:sz="0" w:space="0" w:color="auto"/>
            <w:right w:val="none" w:sz="0" w:space="0" w:color="auto"/>
          </w:divBdr>
        </w:div>
        <w:div w:id="1063411454">
          <w:marLeft w:val="0"/>
          <w:marRight w:val="0"/>
          <w:marTop w:val="0"/>
          <w:marBottom w:val="0"/>
          <w:divBdr>
            <w:top w:val="none" w:sz="0" w:space="0" w:color="auto"/>
            <w:left w:val="none" w:sz="0" w:space="0" w:color="auto"/>
            <w:bottom w:val="none" w:sz="0" w:space="0" w:color="auto"/>
            <w:right w:val="none" w:sz="0" w:space="0" w:color="auto"/>
          </w:divBdr>
          <w:divsChild>
            <w:div w:id="100877551">
              <w:marLeft w:val="0"/>
              <w:marRight w:val="0"/>
              <w:marTop w:val="0"/>
              <w:marBottom w:val="0"/>
              <w:divBdr>
                <w:top w:val="none" w:sz="0" w:space="0" w:color="auto"/>
                <w:left w:val="none" w:sz="0" w:space="0" w:color="auto"/>
                <w:bottom w:val="none" w:sz="0" w:space="0" w:color="auto"/>
                <w:right w:val="none" w:sz="0" w:space="0" w:color="auto"/>
              </w:divBdr>
            </w:div>
            <w:div w:id="112286413">
              <w:marLeft w:val="0"/>
              <w:marRight w:val="0"/>
              <w:marTop w:val="0"/>
              <w:marBottom w:val="0"/>
              <w:divBdr>
                <w:top w:val="none" w:sz="0" w:space="0" w:color="auto"/>
                <w:left w:val="none" w:sz="0" w:space="0" w:color="auto"/>
                <w:bottom w:val="none" w:sz="0" w:space="0" w:color="auto"/>
                <w:right w:val="none" w:sz="0" w:space="0" w:color="auto"/>
              </w:divBdr>
            </w:div>
            <w:div w:id="280453376">
              <w:marLeft w:val="0"/>
              <w:marRight w:val="0"/>
              <w:marTop w:val="0"/>
              <w:marBottom w:val="0"/>
              <w:divBdr>
                <w:top w:val="none" w:sz="0" w:space="0" w:color="auto"/>
                <w:left w:val="none" w:sz="0" w:space="0" w:color="auto"/>
                <w:bottom w:val="none" w:sz="0" w:space="0" w:color="auto"/>
                <w:right w:val="none" w:sz="0" w:space="0" w:color="auto"/>
              </w:divBdr>
            </w:div>
            <w:div w:id="370226147">
              <w:marLeft w:val="0"/>
              <w:marRight w:val="0"/>
              <w:marTop w:val="0"/>
              <w:marBottom w:val="0"/>
              <w:divBdr>
                <w:top w:val="none" w:sz="0" w:space="0" w:color="auto"/>
                <w:left w:val="none" w:sz="0" w:space="0" w:color="auto"/>
                <w:bottom w:val="none" w:sz="0" w:space="0" w:color="auto"/>
                <w:right w:val="none" w:sz="0" w:space="0" w:color="auto"/>
              </w:divBdr>
            </w:div>
            <w:div w:id="379479460">
              <w:marLeft w:val="0"/>
              <w:marRight w:val="0"/>
              <w:marTop w:val="0"/>
              <w:marBottom w:val="0"/>
              <w:divBdr>
                <w:top w:val="none" w:sz="0" w:space="0" w:color="auto"/>
                <w:left w:val="none" w:sz="0" w:space="0" w:color="auto"/>
                <w:bottom w:val="none" w:sz="0" w:space="0" w:color="auto"/>
                <w:right w:val="none" w:sz="0" w:space="0" w:color="auto"/>
              </w:divBdr>
            </w:div>
            <w:div w:id="447969345">
              <w:marLeft w:val="0"/>
              <w:marRight w:val="0"/>
              <w:marTop w:val="0"/>
              <w:marBottom w:val="0"/>
              <w:divBdr>
                <w:top w:val="none" w:sz="0" w:space="0" w:color="auto"/>
                <w:left w:val="none" w:sz="0" w:space="0" w:color="auto"/>
                <w:bottom w:val="none" w:sz="0" w:space="0" w:color="auto"/>
                <w:right w:val="none" w:sz="0" w:space="0" w:color="auto"/>
              </w:divBdr>
            </w:div>
            <w:div w:id="650907608">
              <w:marLeft w:val="0"/>
              <w:marRight w:val="0"/>
              <w:marTop w:val="0"/>
              <w:marBottom w:val="0"/>
              <w:divBdr>
                <w:top w:val="none" w:sz="0" w:space="0" w:color="auto"/>
                <w:left w:val="none" w:sz="0" w:space="0" w:color="auto"/>
                <w:bottom w:val="none" w:sz="0" w:space="0" w:color="auto"/>
                <w:right w:val="none" w:sz="0" w:space="0" w:color="auto"/>
              </w:divBdr>
            </w:div>
            <w:div w:id="680159237">
              <w:marLeft w:val="0"/>
              <w:marRight w:val="0"/>
              <w:marTop w:val="0"/>
              <w:marBottom w:val="0"/>
              <w:divBdr>
                <w:top w:val="none" w:sz="0" w:space="0" w:color="auto"/>
                <w:left w:val="none" w:sz="0" w:space="0" w:color="auto"/>
                <w:bottom w:val="none" w:sz="0" w:space="0" w:color="auto"/>
                <w:right w:val="none" w:sz="0" w:space="0" w:color="auto"/>
              </w:divBdr>
            </w:div>
            <w:div w:id="733621399">
              <w:marLeft w:val="0"/>
              <w:marRight w:val="0"/>
              <w:marTop w:val="0"/>
              <w:marBottom w:val="0"/>
              <w:divBdr>
                <w:top w:val="none" w:sz="0" w:space="0" w:color="auto"/>
                <w:left w:val="none" w:sz="0" w:space="0" w:color="auto"/>
                <w:bottom w:val="none" w:sz="0" w:space="0" w:color="auto"/>
                <w:right w:val="none" w:sz="0" w:space="0" w:color="auto"/>
              </w:divBdr>
            </w:div>
            <w:div w:id="759451857">
              <w:marLeft w:val="0"/>
              <w:marRight w:val="0"/>
              <w:marTop w:val="0"/>
              <w:marBottom w:val="0"/>
              <w:divBdr>
                <w:top w:val="none" w:sz="0" w:space="0" w:color="auto"/>
                <w:left w:val="none" w:sz="0" w:space="0" w:color="auto"/>
                <w:bottom w:val="none" w:sz="0" w:space="0" w:color="auto"/>
                <w:right w:val="none" w:sz="0" w:space="0" w:color="auto"/>
              </w:divBdr>
            </w:div>
            <w:div w:id="793209954">
              <w:marLeft w:val="0"/>
              <w:marRight w:val="0"/>
              <w:marTop w:val="0"/>
              <w:marBottom w:val="0"/>
              <w:divBdr>
                <w:top w:val="none" w:sz="0" w:space="0" w:color="auto"/>
                <w:left w:val="none" w:sz="0" w:space="0" w:color="auto"/>
                <w:bottom w:val="none" w:sz="0" w:space="0" w:color="auto"/>
                <w:right w:val="none" w:sz="0" w:space="0" w:color="auto"/>
              </w:divBdr>
            </w:div>
            <w:div w:id="885067073">
              <w:marLeft w:val="0"/>
              <w:marRight w:val="0"/>
              <w:marTop w:val="0"/>
              <w:marBottom w:val="0"/>
              <w:divBdr>
                <w:top w:val="none" w:sz="0" w:space="0" w:color="auto"/>
                <w:left w:val="none" w:sz="0" w:space="0" w:color="auto"/>
                <w:bottom w:val="none" w:sz="0" w:space="0" w:color="auto"/>
                <w:right w:val="none" w:sz="0" w:space="0" w:color="auto"/>
              </w:divBdr>
            </w:div>
            <w:div w:id="1196960921">
              <w:marLeft w:val="0"/>
              <w:marRight w:val="0"/>
              <w:marTop w:val="0"/>
              <w:marBottom w:val="0"/>
              <w:divBdr>
                <w:top w:val="none" w:sz="0" w:space="0" w:color="auto"/>
                <w:left w:val="none" w:sz="0" w:space="0" w:color="auto"/>
                <w:bottom w:val="none" w:sz="0" w:space="0" w:color="auto"/>
                <w:right w:val="none" w:sz="0" w:space="0" w:color="auto"/>
              </w:divBdr>
            </w:div>
            <w:div w:id="1435394712">
              <w:marLeft w:val="0"/>
              <w:marRight w:val="0"/>
              <w:marTop w:val="0"/>
              <w:marBottom w:val="0"/>
              <w:divBdr>
                <w:top w:val="none" w:sz="0" w:space="0" w:color="auto"/>
                <w:left w:val="none" w:sz="0" w:space="0" w:color="auto"/>
                <w:bottom w:val="none" w:sz="0" w:space="0" w:color="auto"/>
                <w:right w:val="none" w:sz="0" w:space="0" w:color="auto"/>
              </w:divBdr>
            </w:div>
            <w:div w:id="1598292066">
              <w:marLeft w:val="0"/>
              <w:marRight w:val="0"/>
              <w:marTop w:val="0"/>
              <w:marBottom w:val="0"/>
              <w:divBdr>
                <w:top w:val="none" w:sz="0" w:space="0" w:color="auto"/>
                <w:left w:val="none" w:sz="0" w:space="0" w:color="auto"/>
                <w:bottom w:val="none" w:sz="0" w:space="0" w:color="auto"/>
                <w:right w:val="none" w:sz="0" w:space="0" w:color="auto"/>
              </w:divBdr>
            </w:div>
            <w:div w:id="1759978544">
              <w:marLeft w:val="0"/>
              <w:marRight w:val="0"/>
              <w:marTop w:val="0"/>
              <w:marBottom w:val="0"/>
              <w:divBdr>
                <w:top w:val="none" w:sz="0" w:space="0" w:color="auto"/>
                <w:left w:val="none" w:sz="0" w:space="0" w:color="auto"/>
                <w:bottom w:val="none" w:sz="0" w:space="0" w:color="auto"/>
                <w:right w:val="none" w:sz="0" w:space="0" w:color="auto"/>
              </w:divBdr>
            </w:div>
            <w:div w:id="1888947916">
              <w:marLeft w:val="0"/>
              <w:marRight w:val="0"/>
              <w:marTop w:val="0"/>
              <w:marBottom w:val="0"/>
              <w:divBdr>
                <w:top w:val="none" w:sz="0" w:space="0" w:color="auto"/>
                <w:left w:val="none" w:sz="0" w:space="0" w:color="auto"/>
                <w:bottom w:val="none" w:sz="0" w:space="0" w:color="auto"/>
                <w:right w:val="none" w:sz="0" w:space="0" w:color="auto"/>
              </w:divBdr>
            </w:div>
            <w:div w:id="1950619320">
              <w:marLeft w:val="0"/>
              <w:marRight w:val="0"/>
              <w:marTop w:val="0"/>
              <w:marBottom w:val="0"/>
              <w:divBdr>
                <w:top w:val="none" w:sz="0" w:space="0" w:color="auto"/>
                <w:left w:val="none" w:sz="0" w:space="0" w:color="auto"/>
                <w:bottom w:val="none" w:sz="0" w:space="0" w:color="auto"/>
                <w:right w:val="none" w:sz="0" w:space="0" w:color="auto"/>
              </w:divBdr>
            </w:div>
            <w:div w:id="1971470280">
              <w:marLeft w:val="0"/>
              <w:marRight w:val="0"/>
              <w:marTop w:val="0"/>
              <w:marBottom w:val="0"/>
              <w:divBdr>
                <w:top w:val="none" w:sz="0" w:space="0" w:color="auto"/>
                <w:left w:val="none" w:sz="0" w:space="0" w:color="auto"/>
                <w:bottom w:val="none" w:sz="0" w:space="0" w:color="auto"/>
                <w:right w:val="none" w:sz="0" w:space="0" w:color="auto"/>
              </w:divBdr>
            </w:div>
            <w:div w:id="2112823243">
              <w:marLeft w:val="0"/>
              <w:marRight w:val="0"/>
              <w:marTop w:val="0"/>
              <w:marBottom w:val="0"/>
              <w:divBdr>
                <w:top w:val="none" w:sz="0" w:space="0" w:color="auto"/>
                <w:left w:val="none" w:sz="0" w:space="0" w:color="auto"/>
                <w:bottom w:val="none" w:sz="0" w:space="0" w:color="auto"/>
                <w:right w:val="none" w:sz="0" w:space="0" w:color="auto"/>
              </w:divBdr>
            </w:div>
          </w:divsChild>
        </w:div>
        <w:div w:id="1063603226">
          <w:marLeft w:val="0"/>
          <w:marRight w:val="0"/>
          <w:marTop w:val="0"/>
          <w:marBottom w:val="0"/>
          <w:divBdr>
            <w:top w:val="none" w:sz="0" w:space="0" w:color="auto"/>
            <w:left w:val="none" w:sz="0" w:space="0" w:color="auto"/>
            <w:bottom w:val="none" w:sz="0" w:space="0" w:color="auto"/>
            <w:right w:val="none" w:sz="0" w:space="0" w:color="auto"/>
          </w:divBdr>
        </w:div>
        <w:div w:id="1064715592">
          <w:marLeft w:val="0"/>
          <w:marRight w:val="0"/>
          <w:marTop w:val="0"/>
          <w:marBottom w:val="0"/>
          <w:divBdr>
            <w:top w:val="none" w:sz="0" w:space="0" w:color="auto"/>
            <w:left w:val="none" w:sz="0" w:space="0" w:color="auto"/>
            <w:bottom w:val="none" w:sz="0" w:space="0" w:color="auto"/>
            <w:right w:val="none" w:sz="0" w:space="0" w:color="auto"/>
          </w:divBdr>
        </w:div>
        <w:div w:id="1064840745">
          <w:marLeft w:val="0"/>
          <w:marRight w:val="0"/>
          <w:marTop w:val="0"/>
          <w:marBottom w:val="0"/>
          <w:divBdr>
            <w:top w:val="none" w:sz="0" w:space="0" w:color="auto"/>
            <w:left w:val="none" w:sz="0" w:space="0" w:color="auto"/>
            <w:bottom w:val="none" w:sz="0" w:space="0" w:color="auto"/>
            <w:right w:val="none" w:sz="0" w:space="0" w:color="auto"/>
          </w:divBdr>
        </w:div>
        <w:div w:id="1065224082">
          <w:marLeft w:val="0"/>
          <w:marRight w:val="0"/>
          <w:marTop w:val="0"/>
          <w:marBottom w:val="0"/>
          <w:divBdr>
            <w:top w:val="none" w:sz="0" w:space="0" w:color="auto"/>
            <w:left w:val="none" w:sz="0" w:space="0" w:color="auto"/>
            <w:bottom w:val="none" w:sz="0" w:space="0" w:color="auto"/>
            <w:right w:val="none" w:sz="0" w:space="0" w:color="auto"/>
          </w:divBdr>
        </w:div>
        <w:div w:id="1066344682">
          <w:marLeft w:val="0"/>
          <w:marRight w:val="0"/>
          <w:marTop w:val="0"/>
          <w:marBottom w:val="0"/>
          <w:divBdr>
            <w:top w:val="none" w:sz="0" w:space="0" w:color="auto"/>
            <w:left w:val="none" w:sz="0" w:space="0" w:color="auto"/>
            <w:bottom w:val="none" w:sz="0" w:space="0" w:color="auto"/>
            <w:right w:val="none" w:sz="0" w:space="0" w:color="auto"/>
          </w:divBdr>
        </w:div>
        <w:div w:id="1066534916">
          <w:marLeft w:val="0"/>
          <w:marRight w:val="0"/>
          <w:marTop w:val="0"/>
          <w:marBottom w:val="0"/>
          <w:divBdr>
            <w:top w:val="none" w:sz="0" w:space="0" w:color="auto"/>
            <w:left w:val="none" w:sz="0" w:space="0" w:color="auto"/>
            <w:bottom w:val="none" w:sz="0" w:space="0" w:color="auto"/>
            <w:right w:val="none" w:sz="0" w:space="0" w:color="auto"/>
          </w:divBdr>
        </w:div>
        <w:div w:id="1067798363">
          <w:marLeft w:val="0"/>
          <w:marRight w:val="0"/>
          <w:marTop w:val="0"/>
          <w:marBottom w:val="0"/>
          <w:divBdr>
            <w:top w:val="none" w:sz="0" w:space="0" w:color="auto"/>
            <w:left w:val="none" w:sz="0" w:space="0" w:color="auto"/>
            <w:bottom w:val="none" w:sz="0" w:space="0" w:color="auto"/>
            <w:right w:val="none" w:sz="0" w:space="0" w:color="auto"/>
          </w:divBdr>
        </w:div>
        <w:div w:id="1069232749">
          <w:marLeft w:val="0"/>
          <w:marRight w:val="0"/>
          <w:marTop w:val="0"/>
          <w:marBottom w:val="0"/>
          <w:divBdr>
            <w:top w:val="none" w:sz="0" w:space="0" w:color="auto"/>
            <w:left w:val="none" w:sz="0" w:space="0" w:color="auto"/>
            <w:bottom w:val="none" w:sz="0" w:space="0" w:color="auto"/>
            <w:right w:val="none" w:sz="0" w:space="0" w:color="auto"/>
          </w:divBdr>
        </w:div>
        <w:div w:id="1072122389">
          <w:marLeft w:val="0"/>
          <w:marRight w:val="0"/>
          <w:marTop w:val="0"/>
          <w:marBottom w:val="0"/>
          <w:divBdr>
            <w:top w:val="none" w:sz="0" w:space="0" w:color="auto"/>
            <w:left w:val="none" w:sz="0" w:space="0" w:color="auto"/>
            <w:bottom w:val="none" w:sz="0" w:space="0" w:color="auto"/>
            <w:right w:val="none" w:sz="0" w:space="0" w:color="auto"/>
          </w:divBdr>
          <w:divsChild>
            <w:div w:id="109590482">
              <w:marLeft w:val="0"/>
              <w:marRight w:val="0"/>
              <w:marTop w:val="0"/>
              <w:marBottom w:val="0"/>
              <w:divBdr>
                <w:top w:val="none" w:sz="0" w:space="0" w:color="auto"/>
                <w:left w:val="none" w:sz="0" w:space="0" w:color="auto"/>
                <w:bottom w:val="none" w:sz="0" w:space="0" w:color="auto"/>
                <w:right w:val="none" w:sz="0" w:space="0" w:color="auto"/>
              </w:divBdr>
            </w:div>
            <w:div w:id="129835137">
              <w:marLeft w:val="0"/>
              <w:marRight w:val="0"/>
              <w:marTop w:val="0"/>
              <w:marBottom w:val="0"/>
              <w:divBdr>
                <w:top w:val="none" w:sz="0" w:space="0" w:color="auto"/>
                <w:left w:val="none" w:sz="0" w:space="0" w:color="auto"/>
                <w:bottom w:val="none" w:sz="0" w:space="0" w:color="auto"/>
                <w:right w:val="none" w:sz="0" w:space="0" w:color="auto"/>
              </w:divBdr>
            </w:div>
            <w:div w:id="187912418">
              <w:marLeft w:val="0"/>
              <w:marRight w:val="0"/>
              <w:marTop w:val="0"/>
              <w:marBottom w:val="0"/>
              <w:divBdr>
                <w:top w:val="none" w:sz="0" w:space="0" w:color="auto"/>
                <w:left w:val="none" w:sz="0" w:space="0" w:color="auto"/>
                <w:bottom w:val="none" w:sz="0" w:space="0" w:color="auto"/>
                <w:right w:val="none" w:sz="0" w:space="0" w:color="auto"/>
              </w:divBdr>
            </w:div>
            <w:div w:id="560871260">
              <w:marLeft w:val="0"/>
              <w:marRight w:val="0"/>
              <w:marTop w:val="0"/>
              <w:marBottom w:val="0"/>
              <w:divBdr>
                <w:top w:val="none" w:sz="0" w:space="0" w:color="auto"/>
                <w:left w:val="none" w:sz="0" w:space="0" w:color="auto"/>
                <w:bottom w:val="none" w:sz="0" w:space="0" w:color="auto"/>
                <w:right w:val="none" w:sz="0" w:space="0" w:color="auto"/>
              </w:divBdr>
            </w:div>
            <w:div w:id="1060323681">
              <w:marLeft w:val="0"/>
              <w:marRight w:val="0"/>
              <w:marTop w:val="0"/>
              <w:marBottom w:val="0"/>
              <w:divBdr>
                <w:top w:val="none" w:sz="0" w:space="0" w:color="auto"/>
                <w:left w:val="none" w:sz="0" w:space="0" w:color="auto"/>
                <w:bottom w:val="none" w:sz="0" w:space="0" w:color="auto"/>
                <w:right w:val="none" w:sz="0" w:space="0" w:color="auto"/>
              </w:divBdr>
            </w:div>
            <w:div w:id="1327630979">
              <w:marLeft w:val="0"/>
              <w:marRight w:val="0"/>
              <w:marTop w:val="0"/>
              <w:marBottom w:val="0"/>
              <w:divBdr>
                <w:top w:val="none" w:sz="0" w:space="0" w:color="auto"/>
                <w:left w:val="none" w:sz="0" w:space="0" w:color="auto"/>
                <w:bottom w:val="none" w:sz="0" w:space="0" w:color="auto"/>
                <w:right w:val="none" w:sz="0" w:space="0" w:color="auto"/>
              </w:divBdr>
            </w:div>
            <w:div w:id="1330446395">
              <w:marLeft w:val="0"/>
              <w:marRight w:val="0"/>
              <w:marTop w:val="0"/>
              <w:marBottom w:val="0"/>
              <w:divBdr>
                <w:top w:val="none" w:sz="0" w:space="0" w:color="auto"/>
                <w:left w:val="none" w:sz="0" w:space="0" w:color="auto"/>
                <w:bottom w:val="none" w:sz="0" w:space="0" w:color="auto"/>
                <w:right w:val="none" w:sz="0" w:space="0" w:color="auto"/>
              </w:divBdr>
            </w:div>
            <w:div w:id="1330713603">
              <w:marLeft w:val="0"/>
              <w:marRight w:val="0"/>
              <w:marTop w:val="0"/>
              <w:marBottom w:val="0"/>
              <w:divBdr>
                <w:top w:val="none" w:sz="0" w:space="0" w:color="auto"/>
                <w:left w:val="none" w:sz="0" w:space="0" w:color="auto"/>
                <w:bottom w:val="none" w:sz="0" w:space="0" w:color="auto"/>
                <w:right w:val="none" w:sz="0" w:space="0" w:color="auto"/>
              </w:divBdr>
            </w:div>
            <w:div w:id="1637103093">
              <w:marLeft w:val="0"/>
              <w:marRight w:val="0"/>
              <w:marTop w:val="0"/>
              <w:marBottom w:val="0"/>
              <w:divBdr>
                <w:top w:val="none" w:sz="0" w:space="0" w:color="auto"/>
                <w:left w:val="none" w:sz="0" w:space="0" w:color="auto"/>
                <w:bottom w:val="none" w:sz="0" w:space="0" w:color="auto"/>
                <w:right w:val="none" w:sz="0" w:space="0" w:color="auto"/>
              </w:divBdr>
            </w:div>
            <w:div w:id="1807776109">
              <w:marLeft w:val="0"/>
              <w:marRight w:val="0"/>
              <w:marTop w:val="0"/>
              <w:marBottom w:val="0"/>
              <w:divBdr>
                <w:top w:val="none" w:sz="0" w:space="0" w:color="auto"/>
                <w:left w:val="none" w:sz="0" w:space="0" w:color="auto"/>
                <w:bottom w:val="none" w:sz="0" w:space="0" w:color="auto"/>
                <w:right w:val="none" w:sz="0" w:space="0" w:color="auto"/>
              </w:divBdr>
            </w:div>
            <w:div w:id="2086756814">
              <w:marLeft w:val="0"/>
              <w:marRight w:val="0"/>
              <w:marTop w:val="0"/>
              <w:marBottom w:val="0"/>
              <w:divBdr>
                <w:top w:val="none" w:sz="0" w:space="0" w:color="auto"/>
                <w:left w:val="none" w:sz="0" w:space="0" w:color="auto"/>
                <w:bottom w:val="none" w:sz="0" w:space="0" w:color="auto"/>
                <w:right w:val="none" w:sz="0" w:space="0" w:color="auto"/>
              </w:divBdr>
            </w:div>
            <w:div w:id="2091348877">
              <w:marLeft w:val="0"/>
              <w:marRight w:val="0"/>
              <w:marTop w:val="0"/>
              <w:marBottom w:val="0"/>
              <w:divBdr>
                <w:top w:val="none" w:sz="0" w:space="0" w:color="auto"/>
                <w:left w:val="none" w:sz="0" w:space="0" w:color="auto"/>
                <w:bottom w:val="none" w:sz="0" w:space="0" w:color="auto"/>
                <w:right w:val="none" w:sz="0" w:space="0" w:color="auto"/>
              </w:divBdr>
            </w:div>
            <w:div w:id="2144351212">
              <w:marLeft w:val="0"/>
              <w:marRight w:val="0"/>
              <w:marTop w:val="0"/>
              <w:marBottom w:val="0"/>
              <w:divBdr>
                <w:top w:val="none" w:sz="0" w:space="0" w:color="auto"/>
                <w:left w:val="none" w:sz="0" w:space="0" w:color="auto"/>
                <w:bottom w:val="none" w:sz="0" w:space="0" w:color="auto"/>
                <w:right w:val="none" w:sz="0" w:space="0" w:color="auto"/>
              </w:divBdr>
            </w:div>
          </w:divsChild>
        </w:div>
        <w:div w:id="1075322070">
          <w:marLeft w:val="0"/>
          <w:marRight w:val="0"/>
          <w:marTop w:val="0"/>
          <w:marBottom w:val="0"/>
          <w:divBdr>
            <w:top w:val="none" w:sz="0" w:space="0" w:color="auto"/>
            <w:left w:val="none" w:sz="0" w:space="0" w:color="auto"/>
            <w:bottom w:val="none" w:sz="0" w:space="0" w:color="auto"/>
            <w:right w:val="none" w:sz="0" w:space="0" w:color="auto"/>
          </w:divBdr>
        </w:div>
        <w:div w:id="1076511022">
          <w:marLeft w:val="0"/>
          <w:marRight w:val="0"/>
          <w:marTop w:val="0"/>
          <w:marBottom w:val="0"/>
          <w:divBdr>
            <w:top w:val="none" w:sz="0" w:space="0" w:color="auto"/>
            <w:left w:val="none" w:sz="0" w:space="0" w:color="auto"/>
            <w:bottom w:val="none" w:sz="0" w:space="0" w:color="auto"/>
            <w:right w:val="none" w:sz="0" w:space="0" w:color="auto"/>
          </w:divBdr>
          <w:divsChild>
            <w:div w:id="41025598">
              <w:marLeft w:val="0"/>
              <w:marRight w:val="0"/>
              <w:marTop w:val="0"/>
              <w:marBottom w:val="0"/>
              <w:divBdr>
                <w:top w:val="none" w:sz="0" w:space="0" w:color="auto"/>
                <w:left w:val="none" w:sz="0" w:space="0" w:color="auto"/>
                <w:bottom w:val="none" w:sz="0" w:space="0" w:color="auto"/>
                <w:right w:val="none" w:sz="0" w:space="0" w:color="auto"/>
              </w:divBdr>
            </w:div>
            <w:div w:id="147939504">
              <w:marLeft w:val="0"/>
              <w:marRight w:val="0"/>
              <w:marTop w:val="0"/>
              <w:marBottom w:val="0"/>
              <w:divBdr>
                <w:top w:val="none" w:sz="0" w:space="0" w:color="auto"/>
                <w:left w:val="none" w:sz="0" w:space="0" w:color="auto"/>
                <w:bottom w:val="none" w:sz="0" w:space="0" w:color="auto"/>
                <w:right w:val="none" w:sz="0" w:space="0" w:color="auto"/>
              </w:divBdr>
            </w:div>
            <w:div w:id="197551632">
              <w:marLeft w:val="0"/>
              <w:marRight w:val="0"/>
              <w:marTop w:val="0"/>
              <w:marBottom w:val="0"/>
              <w:divBdr>
                <w:top w:val="none" w:sz="0" w:space="0" w:color="auto"/>
                <w:left w:val="none" w:sz="0" w:space="0" w:color="auto"/>
                <w:bottom w:val="none" w:sz="0" w:space="0" w:color="auto"/>
                <w:right w:val="none" w:sz="0" w:space="0" w:color="auto"/>
              </w:divBdr>
            </w:div>
            <w:div w:id="208150104">
              <w:marLeft w:val="0"/>
              <w:marRight w:val="0"/>
              <w:marTop w:val="0"/>
              <w:marBottom w:val="0"/>
              <w:divBdr>
                <w:top w:val="none" w:sz="0" w:space="0" w:color="auto"/>
                <w:left w:val="none" w:sz="0" w:space="0" w:color="auto"/>
                <w:bottom w:val="none" w:sz="0" w:space="0" w:color="auto"/>
                <w:right w:val="none" w:sz="0" w:space="0" w:color="auto"/>
              </w:divBdr>
            </w:div>
            <w:div w:id="315650218">
              <w:marLeft w:val="0"/>
              <w:marRight w:val="0"/>
              <w:marTop w:val="0"/>
              <w:marBottom w:val="0"/>
              <w:divBdr>
                <w:top w:val="none" w:sz="0" w:space="0" w:color="auto"/>
                <w:left w:val="none" w:sz="0" w:space="0" w:color="auto"/>
                <w:bottom w:val="none" w:sz="0" w:space="0" w:color="auto"/>
                <w:right w:val="none" w:sz="0" w:space="0" w:color="auto"/>
              </w:divBdr>
            </w:div>
            <w:div w:id="562259624">
              <w:marLeft w:val="0"/>
              <w:marRight w:val="0"/>
              <w:marTop w:val="0"/>
              <w:marBottom w:val="0"/>
              <w:divBdr>
                <w:top w:val="none" w:sz="0" w:space="0" w:color="auto"/>
                <w:left w:val="none" w:sz="0" w:space="0" w:color="auto"/>
                <w:bottom w:val="none" w:sz="0" w:space="0" w:color="auto"/>
                <w:right w:val="none" w:sz="0" w:space="0" w:color="auto"/>
              </w:divBdr>
            </w:div>
            <w:div w:id="1027172305">
              <w:marLeft w:val="0"/>
              <w:marRight w:val="0"/>
              <w:marTop w:val="0"/>
              <w:marBottom w:val="0"/>
              <w:divBdr>
                <w:top w:val="none" w:sz="0" w:space="0" w:color="auto"/>
                <w:left w:val="none" w:sz="0" w:space="0" w:color="auto"/>
                <w:bottom w:val="none" w:sz="0" w:space="0" w:color="auto"/>
                <w:right w:val="none" w:sz="0" w:space="0" w:color="auto"/>
              </w:divBdr>
            </w:div>
            <w:div w:id="1159229668">
              <w:marLeft w:val="0"/>
              <w:marRight w:val="0"/>
              <w:marTop w:val="0"/>
              <w:marBottom w:val="0"/>
              <w:divBdr>
                <w:top w:val="none" w:sz="0" w:space="0" w:color="auto"/>
                <w:left w:val="none" w:sz="0" w:space="0" w:color="auto"/>
                <w:bottom w:val="none" w:sz="0" w:space="0" w:color="auto"/>
                <w:right w:val="none" w:sz="0" w:space="0" w:color="auto"/>
              </w:divBdr>
            </w:div>
            <w:div w:id="1237742193">
              <w:marLeft w:val="0"/>
              <w:marRight w:val="0"/>
              <w:marTop w:val="0"/>
              <w:marBottom w:val="0"/>
              <w:divBdr>
                <w:top w:val="none" w:sz="0" w:space="0" w:color="auto"/>
                <w:left w:val="none" w:sz="0" w:space="0" w:color="auto"/>
                <w:bottom w:val="none" w:sz="0" w:space="0" w:color="auto"/>
                <w:right w:val="none" w:sz="0" w:space="0" w:color="auto"/>
              </w:divBdr>
            </w:div>
            <w:div w:id="1239487378">
              <w:marLeft w:val="0"/>
              <w:marRight w:val="0"/>
              <w:marTop w:val="0"/>
              <w:marBottom w:val="0"/>
              <w:divBdr>
                <w:top w:val="none" w:sz="0" w:space="0" w:color="auto"/>
                <w:left w:val="none" w:sz="0" w:space="0" w:color="auto"/>
                <w:bottom w:val="none" w:sz="0" w:space="0" w:color="auto"/>
                <w:right w:val="none" w:sz="0" w:space="0" w:color="auto"/>
              </w:divBdr>
            </w:div>
            <w:div w:id="1277177221">
              <w:marLeft w:val="0"/>
              <w:marRight w:val="0"/>
              <w:marTop w:val="0"/>
              <w:marBottom w:val="0"/>
              <w:divBdr>
                <w:top w:val="none" w:sz="0" w:space="0" w:color="auto"/>
                <w:left w:val="none" w:sz="0" w:space="0" w:color="auto"/>
                <w:bottom w:val="none" w:sz="0" w:space="0" w:color="auto"/>
                <w:right w:val="none" w:sz="0" w:space="0" w:color="auto"/>
              </w:divBdr>
            </w:div>
            <w:div w:id="1302349718">
              <w:marLeft w:val="0"/>
              <w:marRight w:val="0"/>
              <w:marTop w:val="0"/>
              <w:marBottom w:val="0"/>
              <w:divBdr>
                <w:top w:val="none" w:sz="0" w:space="0" w:color="auto"/>
                <w:left w:val="none" w:sz="0" w:space="0" w:color="auto"/>
                <w:bottom w:val="none" w:sz="0" w:space="0" w:color="auto"/>
                <w:right w:val="none" w:sz="0" w:space="0" w:color="auto"/>
              </w:divBdr>
            </w:div>
            <w:div w:id="1388803662">
              <w:marLeft w:val="0"/>
              <w:marRight w:val="0"/>
              <w:marTop w:val="0"/>
              <w:marBottom w:val="0"/>
              <w:divBdr>
                <w:top w:val="none" w:sz="0" w:space="0" w:color="auto"/>
                <w:left w:val="none" w:sz="0" w:space="0" w:color="auto"/>
                <w:bottom w:val="none" w:sz="0" w:space="0" w:color="auto"/>
                <w:right w:val="none" w:sz="0" w:space="0" w:color="auto"/>
              </w:divBdr>
            </w:div>
            <w:div w:id="1482113444">
              <w:marLeft w:val="0"/>
              <w:marRight w:val="0"/>
              <w:marTop w:val="0"/>
              <w:marBottom w:val="0"/>
              <w:divBdr>
                <w:top w:val="none" w:sz="0" w:space="0" w:color="auto"/>
                <w:left w:val="none" w:sz="0" w:space="0" w:color="auto"/>
                <w:bottom w:val="none" w:sz="0" w:space="0" w:color="auto"/>
                <w:right w:val="none" w:sz="0" w:space="0" w:color="auto"/>
              </w:divBdr>
            </w:div>
            <w:div w:id="1588997058">
              <w:marLeft w:val="0"/>
              <w:marRight w:val="0"/>
              <w:marTop w:val="0"/>
              <w:marBottom w:val="0"/>
              <w:divBdr>
                <w:top w:val="none" w:sz="0" w:space="0" w:color="auto"/>
                <w:left w:val="none" w:sz="0" w:space="0" w:color="auto"/>
                <w:bottom w:val="none" w:sz="0" w:space="0" w:color="auto"/>
                <w:right w:val="none" w:sz="0" w:space="0" w:color="auto"/>
              </w:divBdr>
            </w:div>
            <w:div w:id="1675495745">
              <w:marLeft w:val="0"/>
              <w:marRight w:val="0"/>
              <w:marTop w:val="0"/>
              <w:marBottom w:val="0"/>
              <w:divBdr>
                <w:top w:val="none" w:sz="0" w:space="0" w:color="auto"/>
                <w:left w:val="none" w:sz="0" w:space="0" w:color="auto"/>
                <w:bottom w:val="none" w:sz="0" w:space="0" w:color="auto"/>
                <w:right w:val="none" w:sz="0" w:space="0" w:color="auto"/>
              </w:divBdr>
            </w:div>
            <w:div w:id="1678577277">
              <w:marLeft w:val="0"/>
              <w:marRight w:val="0"/>
              <w:marTop w:val="0"/>
              <w:marBottom w:val="0"/>
              <w:divBdr>
                <w:top w:val="none" w:sz="0" w:space="0" w:color="auto"/>
                <w:left w:val="none" w:sz="0" w:space="0" w:color="auto"/>
                <w:bottom w:val="none" w:sz="0" w:space="0" w:color="auto"/>
                <w:right w:val="none" w:sz="0" w:space="0" w:color="auto"/>
              </w:divBdr>
            </w:div>
            <w:div w:id="1742173701">
              <w:marLeft w:val="0"/>
              <w:marRight w:val="0"/>
              <w:marTop w:val="0"/>
              <w:marBottom w:val="0"/>
              <w:divBdr>
                <w:top w:val="none" w:sz="0" w:space="0" w:color="auto"/>
                <w:left w:val="none" w:sz="0" w:space="0" w:color="auto"/>
                <w:bottom w:val="none" w:sz="0" w:space="0" w:color="auto"/>
                <w:right w:val="none" w:sz="0" w:space="0" w:color="auto"/>
              </w:divBdr>
            </w:div>
            <w:div w:id="1903784690">
              <w:marLeft w:val="0"/>
              <w:marRight w:val="0"/>
              <w:marTop w:val="0"/>
              <w:marBottom w:val="0"/>
              <w:divBdr>
                <w:top w:val="none" w:sz="0" w:space="0" w:color="auto"/>
                <w:left w:val="none" w:sz="0" w:space="0" w:color="auto"/>
                <w:bottom w:val="none" w:sz="0" w:space="0" w:color="auto"/>
                <w:right w:val="none" w:sz="0" w:space="0" w:color="auto"/>
              </w:divBdr>
            </w:div>
          </w:divsChild>
        </w:div>
        <w:div w:id="1076511437">
          <w:marLeft w:val="0"/>
          <w:marRight w:val="0"/>
          <w:marTop w:val="0"/>
          <w:marBottom w:val="0"/>
          <w:divBdr>
            <w:top w:val="none" w:sz="0" w:space="0" w:color="auto"/>
            <w:left w:val="none" w:sz="0" w:space="0" w:color="auto"/>
            <w:bottom w:val="none" w:sz="0" w:space="0" w:color="auto"/>
            <w:right w:val="none" w:sz="0" w:space="0" w:color="auto"/>
          </w:divBdr>
        </w:div>
        <w:div w:id="1078480075">
          <w:marLeft w:val="0"/>
          <w:marRight w:val="0"/>
          <w:marTop w:val="0"/>
          <w:marBottom w:val="0"/>
          <w:divBdr>
            <w:top w:val="none" w:sz="0" w:space="0" w:color="auto"/>
            <w:left w:val="none" w:sz="0" w:space="0" w:color="auto"/>
            <w:bottom w:val="none" w:sz="0" w:space="0" w:color="auto"/>
            <w:right w:val="none" w:sz="0" w:space="0" w:color="auto"/>
          </w:divBdr>
        </w:div>
        <w:div w:id="1080054481">
          <w:marLeft w:val="0"/>
          <w:marRight w:val="0"/>
          <w:marTop w:val="0"/>
          <w:marBottom w:val="0"/>
          <w:divBdr>
            <w:top w:val="none" w:sz="0" w:space="0" w:color="auto"/>
            <w:left w:val="none" w:sz="0" w:space="0" w:color="auto"/>
            <w:bottom w:val="none" w:sz="0" w:space="0" w:color="auto"/>
            <w:right w:val="none" w:sz="0" w:space="0" w:color="auto"/>
          </w:divBdr>
        </w:div>
        <w:div w:id="1085345769">
          <w:marLeft w:val="0"/>
          <w:marRight w:val="0"/>
          <w:marTop w:val="0"/>
          <w:marBottom w:val="0"/>
          <w:divBdr>
            <w:top w:val="none" w:sz="0" w:space="0" w:color="auto"/>
            <w:left w:val="none" w:sz="0" w:space="0" w:color="auto"/>
            <w:bottom w:val="none" w:sz="0" w:space="0" w:color="auto"/>
            <w:right w:val="none" w:sz="0" w:space="0" w:color="auto"/>
          </w:divBdr>
        </w:div>
        <w:div w:id="1086344321">
          <w:marLeft w:val="0"/>
          <w:marRight w:val="0"/>
          <w:marTop w:val="0"/>
          <w:marBottom w:val="0"/>
          <w:divBdr>
            <w:top w:val="none" w:sz="0" w:space="0" w:color="auto"/>
            <w:left w:val="none" w:sz="0" w:space="0" w:color="auto"/>
            <w:bottom w:val="none" w:sz="0" w:space="0" w:color="auto"/>
            <w:right w:val="none" w:sz="0" w:space="0" w:color="auto"/>
          </w:divBdr>
        </w:div>
        <w:div w:id="1086458976">
          <w:marLeft w:val="0"/>
          <w:marRight w:val="0"/>
          <w:marTop w:val="0"/>
          <w:marBottom w:val="0"/>
          <w:divBdr>
            <w:top w:val="none" w:sz="0" w:space="0" w:color="auto"/>
            <w:left w:val="none" w:sz="0" w:space="0" w:color="auto"/>
            <w:bottom w:val="none" w:sz="0" w:space="0" w:color="auto"/>
            <w:right w:val="none" w:sz="0" w:space="0" w:color="auto"/>
          </w:divBdr>
        </w:div>
        <w:div w:id="1087188588">
          <w:marLeft w:val="0"/>
          <w:marRight w:val="0"/>
          <w:marTop w:val="0"/>
          <w:marBottom w:val="0"/>
          <w:divBdr>
            <w:top w:val="none" w:sz="0" w:space="0" w:color="auto"/>
            <w:left w:val="none" w:sz="0" w:space="0" w:color="auto"/>
            <w:bottom w:val="none" w:sz="0" w:space="0" w:color="auto"/>
            <w:right w:val="none" w:sz="0" w:space="0" w:color="auto"/>
          </w:divBdr>
        </w:div>
        <w:div w:id="1088816670">
          <w:marLeft w:val="0"/>
          <w:marRight w:val="0"/>
          <w:marTop w:val="0"/>
          <w:marBottom w:val="0"/>
          <w:divBdr>
            <w:top w:val="none" w:sz="0" w:space="0" w:color="auto"/>
            <w:left w:val="none" w:sz="0" w:space="0" w:color="auto"/>
            <w:bottom w:val="none" w:sz="0" w:space="0" w:color="auto"/>
            <w:right w:val="none" w:sz="0" w:space="0" w:color="auto"/>
          </w:divBdr>
        </w:div>
        <w:div w:id="1088843322">
          <w:marLeft w:val="0"/>
          <w:marRight w:val="0"/>
          <w:marTop w:val="0"/>
          <w:marBottom w:val="0"/>
          <w:divBdr>
            <w:top w:val="none" w:sz="0" w:space="0" w:color="auto"/>
            <w:left w:val="none" w:sz="0" w:space="0" w:color="auto"/>
            <w:bottom w:val="none" w:sz="0" w:space="0" w:color="auto"/>
            <w:right w:val="none" w:sz="0" w:space="0" w:color="auto"/>
          </w:divBdr>
          <w:divsChild>
            <w:div w:id="71514140">
              <w:marLeft w:val="0"/>
              <w:marRight w:val="0"/>
              <w:marTop w:val="0"/>
              <w:marBottom w:val="0"/>
              <w:divBdr>
                <w:top w:val="none" w:sz="0" w:space="0" w:color="auto"/>
                <w:left w:val="none" w:sz="0" w:space="0" w:color="auto"/>
                <w:bottom w:val="none" w:sz="0" w:space="0" w:color="auto"/>
                <w:right w:val="none" w:sz="0" w:space="0" w:color="auto"/>
              </w:divBdr>
            </w:div>
            <w:div w:id="127286120">
              <w:marLeft w:val="0"/>
              <w:marRight w:val="0"/>
              <w:marTop w:val="0"/>
              <w:marBottom w:val="0"/>
              <w:divBdr>
                <w:top w:val="none" w:sz="0" w:space="0" w:color="auto"/>
                <w:left w:val="none" w:sz="0" w:space="0" w:color="auto"/>
                <w:bottom w:val="none" w:sz="0" w:space="0" w:color="auto"/>
                <w:right w:val="none" w:sz="0" w:space="0" w:color="auto"/>
              </w:divBdr>
            </w:div>
            <w:div w:id="177044108">
              <w:marLeft w:val="0"/>
              <w:marRight w:val="0"/>
              <w:marTop w:val="0"/>
              <w:marBottom w:val="0"/>
              <w:divBdr>
                <w:top w:val="none" w:sz="0" w:space="0" w:color="auto"/>
                <w:left w:val="none" w:sz="0" w:space="0" w:color="auto"/>
                <w:bottom w:val="none" w:sz="0" w:space="0" w:color="auto"/>
                <w:right w:val="none" w:sz="0" w:space="0" w:color="auto"/>
              </w:divBdr>
            </w:div>
            <w:div w:id="314796204">
              <w:marLeft w:val="0"/>
              <w:marRight w:val="0"/>
              <w:marTop w:val="0"/>
              <w:marBottom w:val="0"/>
              <w:divBdr>
                <w:top w:val="none" w:sz="0" w:space="0" w:color="auto"/>
                <w:left w:val="none" w:sz="0" w:space="0" w:color="auto"/>
                <w:bottom w:val="none" w:sz="0" w:space="0" w:color="auto"/>
                <w:right w:val="none" w:sz="0" w:space="0" w:color="auto"/>
              </w:divBdr>
            </w:div>
            <w:div w:id="447046307">
              <w:marLeft w:val="0"/>
              <w:marRight w:val="0"/>
              <w:marTop w:val="0"/>
              <w:marBottom w:val="0"/>
              <w:divBdr>
                <w:top w:val="none" w:sz="0" w:space="0" w:color="auto"/>
                <w:left w:val="none" w:sz="0" w:space="0" w:color="auto"/>
                <w:bottom w:val="none" w:sz="0" w:space="0" w:color="auto"/>
                <w:right w:val="none" w:sz="0" w:space="0" w:color="auto"/>
              </w:divBdr>
            </w:div>
            <w:div w:id="468477070">
              <w:marLeft w:val="0"/>
              <w:marRight w:val="0"/>
              <w:marTop w:val="0"/>
              <w:marBottom w:val="0"/>
              <w:divBdr>
                <w:top w:val="none" w:sz="0" w:space="0" w:color="auto"/>
                <w:left w:val="none" w:sz="0" w:space="0" w:color="auto"/>
                <w:bottom w:val="none" w:sz="0" w:space="0" w:color="auto"/>
                <w:right w:val="none" w:sz="0" w:space="0" w:color="auto"/>
              </w:divBdr>
            </w:div>
            <w:div w:id="562328986">
              <w:marLeft w:val="0"/>
              <w:marRight w:val="0"/>
              <w:marTop w:val="0"/>
              <w:marBottom w:val="0"/>
              <w:divBdr>
                <w:top w:val="none" w:sz="0" w:space="0" w:color="auto"/>
                <w:left w:val="none" w:sz="0" w:space="0" w:color="auto"/>
                <w:bottom w:val="none" w:sz="0" w:space="0" w:color="auto"/>
                <w:right w:val="none" w:sz="0" w:space="0" w:color="auto"/>
              </w:divBdr>
            </w:div>
            <w:div w:id="580797731">
              <w:marLeft w:val="0"/>
              <w:marRight w:val="0"/>
              <w:marTop w:val="0"/>
              <w:marBottom w:val="0"/>
              <w:divBdr>
                <w:top w:val="none" w:sz="0" w:space="0" w:color="auto"/>
                <w:left w:val="none" w:sz="0" w:space="0" w:color="auto"/>
                <w:bottom w:val="none" w:sz="0" w:space="0" w:color="auto"/>
                <w:right w:val="none" w:sz="0" w:space="0" w:color="auto"/>
              </w:divBdr>
            </w:div>
            <w:div w:id="620040456">
              <w:marLeft w:val="0"/>
              <w:marRight w:val="0"/>
              <w:marTop w:val="0"/>
              <w:marBottom w:val="0"/>
              <w:divBdr>
                <w:top w:val="none" w:sz="0" w:space="0" w:color="auto"/>
                <w:left w:val="none" w:sz="0" w:space="0" w:color="auto"/>
                <w:bottom w:val="none" w:sz="0" w:space="0" w:color="auto"/>
                <w:right w:val="none" w:sz="0" w:space="0" w:color="auto"/>
              </w:divBdr>
            </w:div>
            <w:div w:id="783381139">
              <w:marLeft w:val="0"/>
              <w:marRight w:val="0"/>
              <w:marTop w:val="0"/>
              <w:marBottom w:val="0"/>
              <w:divBdr>
                <w:top w:val="none" w:sz="0" w:space="0" w:color="auto"/>
                <w:left w:val="none" w:sz="0" w:space="0" w:color="auto"/>
                <w:bottom w:val="none" w:sz="0" w:space="0" w:color="auto"/>
                <w:right w:val="none" w:sz="0" w:space="0" w:color="auto"/>
              </w:divBdr>
            </w:div>
            <w:div w:id="921715263">
              <w:marLeft w:val="0"/>
              <w:marRight w:val="0"/>
              <w:marTop w:val="0"/>
              <w:marBottom w:val="0"/>
              <w:divBdr>
                <w:top w:val="none" w:sz="0" w:space="0" w:color="auto"/>
                <w:left w:val="none" w:sz="0" w:space="0" w:color="auto"/>
                <w:bottom w:val="none" w:sz="0" w:space="0" w:color="auto"/>
                <w:right w:val="none" w:sz="0" w:space="0" w:color="auto"/>
              </w:divBdr>
            </w:div>
            <w:div w:id="939530760">
              <w:marLeft w:val="0"/>
              <w:marRight w:val="0"/>
              <w:marTop w:val="0"/>
              <w:marBottom w:val="0"/>
              <w:divBdr>
                <w:top w:val="none" w:sz="0" w:space="0" w:color="auto"/>
                <w:left w:val="none" w:sz="0" w:space="0" w:color="auto"/>
                <w:bottom w:val="none" w:sz="0" w:space="0" w:color="auto"/>
                <w:right w:val="none" w:sz="0" w:space="0" w:color="auto"/>
              </w:divBdr>
            </w:div>
            <w:div w:id="987787783">
              <w:marLeft w:val="0"/>
              <w:marRight w:val="0"/>
              <w:marTop w:val="0"/>
              <w:marBottom w:val="0"/>
              <w:divBdr>
                <w:top w:val="none" w:sz="0" w:space="0" w:color="auto"/>
                <w:left w:val="none" w:sz="0" w:space="0" w:color="auto"/>
                <w:bottom w:val="none" w:sz="0" w:space="0" w:color="auto"/>
                <w:right w:val="none" w:sz="0" w:space="0" w:color="auto"/>
              </w:divBdr>
            </w:div>
            <w:div w:id="1136413665">
              <w:marLeft w:val="0"/>
              <w:marRight w:val="0"/>
              <w:marTop w:val="0"/>
              <w:marBottom w:val="0"/>
              <w:divBdr>
                <w:top w:val="none" w:sz="0" w:space="0" w:color="auto"/>
                <w:left w:val="none" w:sz="0" w:space="0" w:color="auto"/>
                <w:bottom w:val="none" w:sz="0" w:space="0" w:color="auto"/>
                <w:right w:val="none" w:sz="0" w:space="0" w:color="auto"/>
              </w:divBdr>
            </w:div>
            <w:div w:id="1182016166">
              <w:marLeft w:val="0"/>
              <w:marRight w:val="0"/>
              <w:marTop w:val="0"/>
              <w:marBottom w:val="0"/>
              <w:divBdr>
                <w:top w:val="none" w:sz="0" w:space="0" w:color="auto"/>
                <w:left w:val="none" w:sz="0" w:space="0" w:color="auto"/>
                <w:bottom w:val="none" w:sz="0" w:space="0" w:color="auto"/>
                <w:right w:val="none" w:sz="0" w:space="0" w:color="auto"/>
              </w:divBdr>
            </w:div>
            <w:div w:id="1666394508">
              <w:marLeft w:val="0"/>
              <w:marRight w:val="0"/>
              <w:marTop w:val="0"/>
              <w:marBottom w:val="0"/>
              <w:divBdr>
                <w:top w:val="none" w:sz="0" w:space="0" w:color="auto"/>
                <w:left w:val="none" w:sz="0" w:space="0" w:color="auto"/>
                <w:bottom w:val="none" w:sz="0" w:space="0" w:color="auto"/>
                <w:right w:val="none" w:sz="0" w:space="0" w:color="auto"/>
              </w:divBdr>
            </w:div>
            <w:div w:id="1733432246">
              <w:marLeft w:val="0"/>
              <w:marRight w:val="0"/>
              <w:marTop w:val="0"/>
              <w:marBottom w:val="0"/>
              <w:divBdr>
                <w:top w:val="none" w:sz="0" w:space="0" w:color="auto"/>
                <w:left w:val="none" w:sz="0" w:space="0" w:color="auto"/>
                <w:bottom w:val="none" w:sz="0" w:space="0" w:color="auto"/>
                <w:right w:val="none" w:sz="0" w:space="0" w:color="auto"/>
              </w:divBdr>
            </w:div>
            <w:div w:id="1760062697">
              <w:marLeft w:val="0"/>
              <w:marRight w:val="0"/>
              <w:marTop w:val="0"/>
              <w:marBottom w:val="0"/>
              <w:divBdr>
                <w:top w:val="none" w:sz="0" w:space="0" w:color="auto"/>
                <w:left w:val="none" w:sz="0" w:space="0" w:color="auto"/>
                <w:bottom w:val="none" w:sz="0" w:space="0" w:color="auto"/>
                <w:right w:val="none" w:sz="0" w:space="0" w:color="auto"/>
              </w:divBdr>
            </w:div>
            <w:div w:id="2009627727">
              <w:marLeft w:val="0"/>
              <w:marRight w:val="0"/>
              <w:marTop w:val="0"/>
              <w:marBottom w:val="0"/>
              <w:divBdr>
                <w:top w:val="none" w:sz="0" w:space="0" w:color="auto"/>
                <w:left w:val="none" w:sz="0" w:space="0" w:color="auto"/>
                <w:bottom w:val="none" w:sz="0" w:space="0" w:color="auto"/>
                <w:right w:val="none" w:sz="0" w:space="0" w:color="auto"/>
              </w:divBdr>
            </w:div>
          </w:divsChild>
        </w:div>
        <w:div w:id="1088959414">
          <w:marLeft w:val="0"/>
          <w:marRight w:val="0"/>
          <w:marTop w:val="0"/>
          <w:marBottom w:val="0"/>
          <w:divBdr>
            <w:top w:val="none" w:sz="0" w:space="0" w:color="auto"/>
            <w:left w:val="none" w:sz="0" w:space="0" w:color="auto"/>
            <w:bottom w:val="none" w:sz="0" w:space="0" w:color="auto"/>
            <w:right w:val="none" w:sz="0" w:space="0" w:color="auto"/>
          </w:divBdr>
        </w:div>
        <w:div w:id="1090202729">
          <w:marLeft w:val="0"/>
          <w:marRight w:val="0"/>
          <w:marTop w:val="0"/>
          <w:marBottom w:val="0"/>
          <w:divBdr>
            <w:top w:val="none" w:sz="0" w:space="0" w:color="auto"/>
            <w:left w:val="none" w:sz="0" w:space="0" w:color="auto"/>
            <w:bottom w:val="none" w:sz="0" w:space="0" w:color="auto"/>
            <w:right w:val="none" w:sz="0" w:space="0" w:color="auto"/>
          </w:divBdr>
          <w:divsChild>
            <w:div w:id="91510270">
              <w:marLeft w:val="0"/>
              <w:marRight w:val="0"/>
              <w:marTop w:val="0"/>
              <w:marBottom w:val="0"/>
              <w:divBdr>
                <w:top w:val="none" w:sz="0" w:space="0" w:color="auto"/>
                <w:left w:val="none" w:sz="0" w:space="0" w:color="auto"/>
                <w:bottom w:val="none" w:sz="0" w:space="0" w:color="auto"/>
                <w:right w:val="none" w:sz="0" w:space="0" w:color="auto"/>
              </w:divBdr>
            </w:div>
            <w:div w:id="162818224">
              <w:marLeft w:val="0"/>
              <w:marRight w:val="0"/>
              <w:marTop w:val="0"/>
              <w:marBottom w:val="0"/>
              <w:divBdr>
                <w:top w:val="none" w:sz="0" w:space="0" w:color="auto"/>
                <w:left w:val="none" w:sz="0" w:space="0" w:color="auto"/>
                <w:bottom w:val="none" w:sz="0" w:space="0" w:color="auto"/>
                <w:right w:val="none" w:sz="0" w:space="0" w:color="auto"/>
              </w:divBdr>
            </w:div>
            <w:div w:id="164321144">
              <w:marLeft w:val="0"/>
              <w:marRight w:val="0"/>
              <w:marTop w:val="0"/>
              <w:marBottom w:val="0"/>
              <w:divBdr>
                <w:top w:val="none" w:sz="0" w:space="0" w:color="auto"/>
                <w:left w:val="none" w:sz="0" w:space="0" w:color="auto"/>
                <w:bottom w:val="none" w:sz="0" w:space="0" w:color="auto"/>
                <w:right w:val="none" w:sz="0" w:space="0" w:color="auto"/>
              </w:divBdr>
            </w:div>
            <w:div w:id="195654236">
              <w:marLeft w:val="0"/>
              <w:marRight w:val="0"/>
              <w:marTop w:val="0"/>
              <w:marBottom w:val="0"/>
              <w:divBdr>
                <w:top w:val="none" w:sz="0" w:space="0" w:color="auto"/>
                <w:left w:val="none" w:sz="0" w:space="0" w:color="auto"/>
                <w:bottom w:val="none" w:sz="0" w:space="0" w:color="auto"/>
                <w:right w:val="none" w:sz="0" w:space="0" w:color="auto"/>
              </w:divBdr>
            </w:div>
            <w:div w:id="295064413">
              <w:marLeft w:val="0"/>
              <w:marRight w:val="0"/>
              <w:marTop w:val="0"/>
              <w:marBottom w:val="0"/>
              <w:divBdr>
                <w:top w:val="none" w:sz="0" w:space="0" w:color="auto"/>
                <w:left w:val="none" w:sz="0" w:space="0" w:color="auto"/>
                <w:bottom w:val="none" w:sz="0" w:space="0" w:color="auto"/>
                <w:right w:val="none" w:sz="0" w:space="0" w:color="auto"/>
              </w:divBdr>
            </w:div>
            <w:div w:id="352540571">
              <w:marLeft w:val="0"/>
              <w:marRight w:val="0"/>
              <w:marTop w:val="0"/>
              <w:marBottom w:val="0"/>
              <w:divBdr>
                <w:top w:val="none" w:sz="0" w:space="0" w:color="auto"/>
                <w:left w:val="none" w:sz="0" w:space="0" w:color="auto"/>
                <w:bottom w:val="none" w:sz="0" w:space="0" w:color="auto"/>
                <w:right w:val="none" w:sz="0" w:space="0" w:color="auto"/>
              </w:divBdr>
            </w:div>
            <w:div w:id="659966761">
              <w:marLeft w:val="0"/>
              <w:marRight w:val="0"/>
              <w:marTop w:val="0"/>
              <w:marBottom w:val="0"/>
              <w:divBdr>
                <w:top w:val="none" w:sz="0" w:space="0" w:color="auto"/>
                <w:left w:val="none" w:sz="0" w:space="0" w:color="auto"/>
                <w:bottom w:val="none" w:sz="0" w:space="0" w:color="auto"/>
                <w:right w:val="none" w:sz="0" w:space="0" w:color="auto"/>
              </w:divBdr>
            </w:div>
            <w:div w:id="694964790">
              <w:marLeft w:val="0"/>
              <w:marRight w:val="0"/>
              <w:marTop w:val="0"/>
              <w:marBottom w:val="0"/>
              <w:divBdr>
                <w:top w:val="none" w:sz="0" w:space="0" w:color="auto"/>
                <w:left w:val="none" w:sz="0" w:space="0" w:color="auto"/>
                <w:bottom w:val="none" w:sz="0" w:space="0" w:color="auto"/>
                <w:right w:val="none" w:sz="0" w:space="0" w:color="auto"/>
              </w:divBdr>
            </w:div>
            <w:div w:id="756825804">
              <w:marLeft w:val="0"/>
              <w:marRight w:val="0"/>
              <w:marTop w:val="0"/>
              <w:marBottom w:val="0"/>
              <w:divBdr>
                <w:top w:val="none" w:sz="0" w:space="0" w:color="auto"/>
                <w:left w:val="none" w:sz="0" w:space="0" w:color="auto"/>
                <w:bottom w:val="none" w:sz="0" w:space="0" w:color="auto"/>
                <w:right w:val="none" w:sz="0" w:space="0" w:color="auto"/>
              </w:divBdr>
            </w:div>
            <w:div w:id="797726498">
              <w:marLeft w:val="0"/>
              <w:marRight w:val="0"/>
              <w:marTop w:val="0"/>
              <w:marBottom w:val="0"/>
              <w:divBdr>
                <w:top w:val="none" w:sz="0" w:space="0" w:color="auto"/>
                <w:left w:val="none" w:sz="0" w:space="0" w:color="auto"/>
                <w:bottom w:val="none" w:sz="0" w:space="0" w:color="auto"/>
                <w:right w:val="none" w:sz="0" w:space="0" w:color="auto"/>
              </w:divBdr>
            </w:div>
            <w:div w:id="821040723">
              <w:marLeft w:val="0"/>
              <w:marRight w:val="0"/>
              <w:marTop w:val="0"/>
              <w:marBottom w:val="0"/>
              <w:divBdr>
                <w:top w:val="none" w:sz="0" w:space="0" w:color="auto"/>
                <w:left w:val="none" w:sz="0" w:space="0" w:color="auto"/>
                <w:bottom w:val="none" w:sz="0" w:space="0" w:color="auto"/>
                <w:right w:val="none" w:sz="0" w:space="0" w:color="auto"/>
              </w:divBdr>
            </w:div>
            <w:div w:id="833570439">
              <w:marLeft w:val="0"/>
              <w:marRight w:val="0"/>
              <w:marTop w:val="0"/>
              <w:marBottom w:val="0"/>
              <w:divBdr>
                <w:top w:val="none" w:sz="0" w:space="0" w:color="auto"/>
                <w:left w:val="none" w:sz="0" w:space="0" w:color="auto"/>
                <w:bottom w:val="none" w:sz="0" w:space="0" w:color="auto"/>
                <w:right w:val="none" w:sz="0" w:space="0" w:color="auto"/>
              </w:divBdr>
            </w:div>
            <w:div w:id="1123572017">
              <w:marLeft w:val="0"/>
              <w:marRight w:val="0"/>
              <w:marTop w:val="0"/>
              <w:marBottom w:val="0"/>
              <w:divBdr>
                <w:top w:val="none" w:sz="0" w:space="0" w:color="auto"/>
                <w:left w:val="none" w:sz="0" w:space="0" w:color="auto"/>
                <w:bottom w:val="none" w:sz="0" w:space="0" w:color="auto"/>
                <w:right w:val="none" w:sz="0" w:space="0" w:color="auto"/>
              </w:divBdr>
            </w:div>
            <w:div w:id="1132939982">
              <w:marLeft w:val="0"/>
              <w:marRight w:val="0"/>
              <w:marTop w:val="0"/>
              <w:marBottom w:val="0"/>
              <w:divBdr>
                <w:top w:val="none" w:sz="0" w:space="0" w:color="auto"/>
                <w:left w:val="none" w:sz="0" w:space="0" w:color="auto"/>
                <w:bottom w:val="none" w:sz="0" w:space="0" w:color="auto"/>
                <w:right w:val="none" w:sz="0" w:space="0" w:color="auto"/>
              </w:divBdr>
            </w:div>
            <w:div w:id="1427262264">
              <w:marLeft w:val="0"/>
              <w:marRight w:val="0"/>
              <w:marTop w:val="0"/>
              <w:marBottom w:val="0"/>
              <w:divBdr>
                <w:top w:val="none" w:sz="0" w:space="0" w:color="auto"/>
                <w:left w:val="none" w:sz="0" w:space="0" w:color="auto"/>
                <w:bottom w:val="none" w:sz="0" w:space="0" w:color="auto"/>
                <w:right w:val="none" w:sz="0" w:space="0" w:color="auto"/>
              </w:divBdr>
            </w:div>
            <w:div w:id="1430346853">
              <w:marLeft w:val="0"/>
              <w:marRight w:val="0"/>
              <w:marTop w:val="0"/>
              <w:marBottom w:val="0"/>
              <w:divBdr>
                <w:top w:val="none" w:sz="0" w:space="0" w:color="auto"/>
                <w:left w:val="none" w:sz="0" w:space="0" w:color="auto"/>
                <w:bottom w:val="none" w:sz="0" w:space="0" w:color="auto"/>
                <w:right w:val="none" w:sz="0" w:space="0" w:color="auto"/>
              </w:divBdr>
            </w:div>
            <w:div w:id="1507550329">
              <w:marLeft w:val="0"/>
              <w:marRight w:val="0"/>
              <w:marTop w:val="0"/>
              <w:marBottom w:val="0"/>
              <w:divBdr>
                <w:top w:val="none" w:sz="0" w:space="0" w:color="auto"/>
                <w:left w:val="none" w:sz="0" w:space="0" w:color="auto"/>
                <w:bottom w:val="none" w:sz="0" w:space="0" w:color="auto"/>
                <w:right w:val="none" w:sz="0" w:space="0" w:color="auto"/>
              </w:divBdr>
            </w:div>
            <w:div w:id="1611038474">
              <w:marLeft w:val="0"/>
              <w:marRight w:val="0"/>
              <w:marTop w:val="0"/>
              <w:marBottom w:val="0"/>
              <w:divBdr>
                <w:top w:val="none" w:sz="0" w:space="0" w:color="auto"/>
                <w:left w:val="none" w:sz="0" w:space="0" w:color="auto"/>
                <w:bottom w:val="none" w:sz="0" w:space="0" w:color="auto"/>
                <w:right w:val="none" w:sz="0" w:space="0" w:color="auto"/>
              </w:divBdr>
            </w:div>
            <w:div w:id="1897740643">
              <w:marLeft w:val="0"/>
              <w:marRight w:val="0"/>
              <w:marTop w:val="0"/>
              <w:marBottom w:val="0"/>
              <w:divBdr>
                <w:top w:val="none" w:sz="0" w:space="0" w:color="auto"/>
                <w:left w:val="none" w:sz="0" w:space="0" w:color="auto"/>
                <w:bottom w:val="none" w:sz="0" w:space="0" w:color="auto"/>
                <w:right w:val="none" w:sz="0" w:space="0" w:color="auto"/>
              </w:divBdr>
            </w:div>
            <w:div w:id="2075739559">
              <w:marLeft w:val="0"/>
              <w:marRight w:val="0"/>
              <w:marTop w:val="0"/>
              <w:marBottom w:val="0"/>
              <w:divBdr>
                <w:top w:val="none" w:sz="0" w:space="0" w:color="auto"/>
                <w:left w:val="none" w:sz="0" w:space="0" w:color="auto"/>
                <w:bottom w:val="none" w:sz="0" w:space="0" w:color="auto"/>
                <w:right w:val="none" w:sz="0" w:space="0" w:color="auto"/>
              </w:divBdr>
            </w:div>
          </w:divsChild>
        </w:div>
        <w:div w:id="1090541526">
          <w:marLeft w:val="0"/>
          <w:marRight w:val="0"/>
          <w:marTop w:val="0"/>
          <w:marBottom w:val="0"/>
          <w:divBdr>
            <w:top w:val="none" w:sz="0" w:space="0" w:color="auto"/>
            <w:left w:val="none" w:sz="0" w:space="0" w:color="auto"/>
            <w:bottom w:val="none" w:sz="0" w:space="0" w:color="auto"/>
            <w:right w:val="none" w:sz="0" w:space="0" w:color="auto"/>
          </w:divBdr>
        </w:div>
        <w:div w:id="1092777449">
          <w:marLeft w:val="0"/>
          <w:marRight w:val="0"/>
          <w:marTop w:val="0"/>
          <w:marBottom w:val="0"/>
          <w:divBdr>
            <w:top w:val="none" w:sz="0" w:space="0" w:color="auto"/>
            <w:left w:val="none" w:sz="0" w:space="0" w:color="auto"/>
            <w:bottom w:val="none" w:sz="0" w:space="0" w:color="auto"/>
            <w:right w:val="none" w:sz="0" w:space="0" w:color="auto"/>
          </w:divBdr>
        </w:div>
        <w:div w:id="1094058074">
          <w:marLeft w:val="0"/>
          <w:marRight w:val="0"/>
          <w:marTop w:val="0"/>
          <w:marBottom w:val="0"/>
          <w:divBdr>
            <w:top w:val="none" w:sz="0" w:space="0" w:color="auto"/>
            <w:left w:val="none" w:sz="0" w:space="0" w:color="auto"/>
            <w:bottom w:val="none" w:sz="0" w:space="0" w:color="auto"/>
            <w:right w:val="none" w:sz="0" w:space="0" w:color="auto"/>
          </w:divBdr>
        </w:div>
        <w:div w:id="1095176596">
          <w:marLeft w:val="0"/>
          <w:marRight w:val="0"/>
          <w:marTop w:val="0"/>
          <w:marBottom w:val="0"/>
          <w:divBdr>
            <w:top w:val="none" w:sz="0" w:space="0" w:color="auto"/>
            <w:left w:val="none" w:sz="0" w:space="0" w:color="auto"/>
            <w:bottom w:val="none" w:sz="0" w:space="0" w:color="auto"/>
            <w:right w:val="none" w:sz="0" w:space="0" w:color="auto"/>
          </w:divBdr>
        </w:div>
        <w:div w:id="1096748596">
          <w:marLeft w:val="0"/>
          <w:marRight w:val="0"/>
          <w:marTop w:val="0"/>
          <w:marBottom w:val="0"/>
          <w:divBdr>
            <w:top w:val="none" w:sz="0" w:space="0" w:color="auto"/>
            <w:left w:val="none" w:sz="0" w:space="0" w:color="auto"/>
            <w:bottom w:val="none" w:sz="0" w:space="0" w:color="auto"/>
            <w:right w:val="none" w:sz="0" w:space="0" w:color="auto"/>
          </w:divBdr>
        </w:div>
        <w:div w:id="1096903890">
          <w:marLeft w:val="0"/>
          <w:marRight w:val="0"/>
          <w:marTop w:val="0"/>
          <w:marBottom w:val="0"/>
          <w:divBdr>
            <w:top w:val="none" w:sz="0" w:space="0" w:color="auto"/>
            <w:left w:val="none" w:sz="0" w:space="0" w:color="auto"/>
            <w:bottom w:val="none" w:sz="0" w:space="0" w:color="auto"/>
            <w:right w:val="none" w:sz="0" w:space="0" w:color="auto"/>
          </w:divBdr>
        </w:div>
        <w:div w:id="1097941541">
          <w:marLeft w:val="0"/>
          <w:marRight w:val="0"/>
          <w:marTop w:val="0"/>
          <w:marBottom w:val="0"/>
          <w:divBdr>
            <w:top w:val="none" w:sz="0" w:space="0" w:color="auto"/>
            <w:left w:val="none" w:sz="0" w:space="0" w:color="auto"/>
            <w:bottom w:val="none" w:sz="0" w:space="0" w:color="auto"/>
            <w:right w:val="none" w:sz="0" w:space="0" w:color="auto"/>
          </w:divBdr>
        </w:div>
        <w:div w:id="1098019430">
          <w:marLeft w:val="0"/>
          <w:marRight w:val="0"/>
          <w:marTop w:val="0"/>
          <w:marBottom w:val="0"/>
          <w:divBdr>
            <w:top w:val="none" w:sz="0" w:space="0" w:color="auto"/>
            <w:left w:val="none" w:sz="0" w:space="0" w:color="auto"/>
            <w:bottom w:val="none" w:sz="0" w:space="0" w:color="auto"/>
            <w:right w:val="none" w:sz="0" w:space="0" w:color="auto"/>
          </w:divBdr>
        </w:div>
        <w:div w:id="1098134929">
          <w:marLeft w:val="0"/>
          <w:marRight w:val="0"/>
          <w:marTop w:val="0"/>
          <w:marBottom w:val="0"/>
          <w:divBdr>
            <w:top w:val="none" w:sz="0" w:space="0" w:color="auto"/>
            <w:left w:val="none" w:sz="0" w:space="0" w:color="auto"/>
            <w:bottom w:val="none" w:sz="0" w:space="0" w:color="auto"/>
            <w:right w:val="none" w:sz="0" w:space="0" w:color="auto"/>
          </w:divBdr>
        </w:div>
        <w:div w:id="1099060915">
          <w:marLeft w:val="0"/>
          <w:marRight w:val="0"/>
          <w:marTop w:val="0"/>
          <w:marBottom w:val="0"/>
          <w:divBdr>
            <w:top w:val="none" w:sz="0" w:space="0" w:color="auto"/>
            <w:left w:val="none" w:sz="0" w:space="0" w:color="auto"/>
            <w:bottom w:val="none" w:sz="0" w:space="0" w:color="auto"/>
            <w:right w:val="none" w:sz="0" w:space="0" w:color="auto"/>
          </w:divBdr>
        </w:div>
        <w:div w:id="1100222345">
          <w:marLeft w:val="0"/>
          <w:marRight w:val="0"/>
          <w:marTop w:val="0"/>
          <w:marBottom w:val="0"/>
          <w:divBdr>
            <w:top w:val="none" w:sz="0" w:space="0" w:color="auto"/>
            <w:left w:val="none" w:sz="0" w:space="0" w:color="auto"/>
            <w:bottom w:val="none" w:sz="0" w:space="0" w:color="auto"/>
            <w:right w:val="none" w:sz="0" w:space="0" w:color="auto"/>
          </w:divBdr>
        </w:div>
        <w:div w:id="1100298732">
          <w:marLeft w:val="0"/>
          <w:marRight w:val="0"/>
          <w:marTop w:val="0"/>
          <w:marBottom w:val="0"/>
          <w:divBdr>
            <w:top w:val="none" w:sz="0" w:space="0" w:color="auto"/>
            <w:left w:val="none" w:sz="0" w:space="0" w:color="auto"/>
            <w:bottom w:val="none" w:sz="0" w:space="0" w:color="auto"/>
            <w:right w:val="none" w:sz="0" w:space="0" w:color="auto"/>
          </w:divBdr>
        </w:div>
        <w:div w:id="1100447663">
          <w:marLeft w:val="0"/>
          <w:marRight w:val="0"/>
          <w:marTop w:val="0"/>
          <w:marBottom w:val="0"/>
          <w:divBdr>
            <w:top w:val="none" w:sz="0" w:space="0" w:color="auto"/>
            <w:left w:val="none" w:sz="0" w:space="0" w:color="auto"/>
            <w:bottom w:val="none" w:sz="0" w:space="0" w:color="auto"/>
            <w:right w:val="none" w:sz="0" w:space="0" w:color="auto"/>
          </w:divBdr>
        </w:div>
        <w:div w:id="1100562471">
          <w:marLeft w:val="0"/>
          <w:marRight w:val="0"/>
          <w:marTop w:val="0"/>
          <w:marBottom w:val="0"/>
          <w:divBdr>
            <w:top w:val="none" w:sz="0" w:space="0" w:color="auto"/>
            <w:left w:val="none" w:sz="0" w:space="0" w:color="auto"/>
            <w:bottom w:val="none" w:sz="0" w:space="0" w:color="auto"/>
            <w:right w:val="none" w:sz="0" w:space="0" w:color="auto"/>
          </w:divBdr>
        </w:div>
        <w:div w:id="1101030317">
          <w:marLeft w:val="0"/>
          <w:marRight w:val="0"/>
          <w:marTop w:val="0"/>
          <w:marBottom w:val="0"/>
          <w:divBdr>
            <w:top w:val="none" w:sz="0" w:space="0" w:color="auto"/>
            <w:left w:val="none" w:sz="0" w:space="0" w:color="auto"/>
            <w:bottom w:val="none" w:sz="0" w:space="0" w:color="auto"/>
            <w:right w:val="none" w:sz="0" w:space="0" w:color="auto"/>
          </w:divBdr>
        </w:div>
        <w:div w:id="1102990099">
          <w:marLeft w:val="0"/>
          <w:marRight w:val="0"/>
          <w:marTop w:val="0"/>
          <w:marBottom w:val="0"/>
          <w:divBdr>
            <w:top w:val="none" w:sz="0" w:space="0" w:color="auto"/>
            <w:left w:val="none" w:sz="0" w:space="0" w:color="auto"/>
            <w:bottom w:val="none" w:sz="0" w:space="0" w:color="auto"/>
            <w:right w:val="none" w:sz="0" w:space="0" w:color="auto"/>
          </w:divBdr>
        </w:div>
        <w:div w:id="1103265426">
          <w:marLeft w:val="0"/>
          <w:marRight w:val="0"/>
          <w:marTop w:val="0"/>
          <w:marBottom w:val="0"/>
          <w:divBdr>
            <w:top w:val="none" w:sz="0" w:space="0" w:color="auto"/>
            <w:left w:val="none" w:sz="0" w:space="0" w:color="auto"/>
            <w:bottom w:val="none" w:sz="0" w:space="0" w:color="auto"/>
            <w:right w:val="none" w:sz="0" w:space="0" w:color="auto"/>
          </w:divBdr>
        </w:div>
        <w:div w:id="1103846121">
          <w:marLeft w:val="0"/>
          <w:marRight w:val="0"/>
          <w:marTop w:val="0"/>
          <w:marBottom w:val="0"/>
          <w:divBdr>
            <w:top w:val="none" w:sz="0" w:space="0" w:color="auto"/>
            <w:left w:val="none" w:sz="0" w:space="0" w:color="auto"/>
            <w:bottom w:val="none" w:sz="0" w:space="0" w:color="auto"/>
            <w:right w:val="none" w:sz="0" w:space="0" w:color="auto"/>
          </w:divBdr>
        </w:div>
        <w:div w:id="1104306244">
          <w:marLeft w:val="0"/>
          <w:marRight w:val="0"/>
          <w:marTop w:val="0"/>
          <w:marBottom w:val="0"/>
          <w:divBdr>
            <w:top w:val="none" w:sz="0" w:space="0" w:color="auto"/>
            <w:left w:val="none" w:sz="0" w:space="0" w:color="auto"/>
            <w:bottom w:val="none" w:sz="0" w:space="0" w:color="auto"/>
            <w:right w:val="none" w:sz="0" w:space="0" w:color="auto"/>
          </w:divBdr>
        </w:div>
        <w:div w:id="1104883032">
          <w:marLeft w:val="0"/>
          <w:marRight w:val="0"/>
          <w:marTop w:val="0"/>
          <w:marBottom w:val="0"/>
          <w:divBdr>
            <w:top w:val="none" w:sz="0" w:space="0" w:color="auto"/>
            <w:left w:val="none" w:sz="0" w:space="0" w:color="auto"/>
            <w:bottom w:val="none" w:sz="0" w:space="0" w:color="auto"/>
            <w:right w:val="none" w:sz="0" w:space="0" w:color="auto"/>
          </w:divBdr>
        </w:div>
        <w:div w:id="1105731069">
          <w:marLeft w:val="0"/>
          <w:marRight w:val="0"/>
          <w:marTop w:val="0"/>
          <w:marBottom w:val="0"/>
          <w:divBdr>
            <w:top w:val="none" w:sz="0" w:space="0" w:color="auto"/>
            <w:left w:val="none" w:sz="0" w:space="0" w:color="auto"/>
            <w:bottom w:val="none" w:sz="0" w:space="0" w:color="auto"/>
            <w:right w:val="none" w:sz="0" w:space="0" w:color="auto"/>
          </w:divBdr>
        </w:div>
        <w:div w:id="1106734834">
          <w:marLeft w:val="0"/>
          <w:marRight w:val="0"/>
          <w:marTop w:val="0"/>
          <w:marBottom w:val="0"/>
          <w:divBdr>
            <w:top w:val="none" w:sz="0" w:space="0" w:color="auto"/>
            <w:left w:val="none" w:sz="0" w:space="0" w:color="auto"/>
            <w:bottom w:val="none" w:sz="0" w:space="0" w:color="auto"/>
            <w:right w:val="none" w:sz="0" w:space="0" w:color="auto"/>
          </w:divBdr>
        </w:div>
        <w:div w:id="1109349060">
          <w:marLeft w:val="0"/>
          <w:marRight w:val="0"/>
          <w:marTop w:val="0"/>
          <w:marBottom w:val="0"/>
          <w:divBdr>
            <w:top w:val="none" w:sz="0" w:space="0" w:color="auto"/>
            <w:left w:val="none" w:sz="0" w:space="0" w:color="auto"/>
            <w:bottom w:val="none" w:sz="0" w:space="0" w:color="auto"/>
            <w:right w:val="none" w:sz="0" w:space="0" w:color="auto"/>
          </w:divBdr>
        </w:div>
        <w:div w:id="1109469822">
          <w:marLeft w:val="0"/>
          <w:marRight w:val="0"/>
          <w:marTop w:val="0"/>
          <w:marBottom w:val="0"/>
          <w:divBdr>
            <w:top w:val="none" w:sz="0" w:space="0" w:color="auto"/>
            <w:left w:val="none" w:sz="0" w:space="0" w:color="auto"/>
            <w:bottom w:val="none" w:sz="0" w:space="0" w:color="auto"/>
            <w:right w:val="none" w:sz="0" w:space="0" w:color="auto"/>
          </w:divBdr>
        </w:div>
        <w:div w:id="1110589699">
          <w:marLeft w:val="0"/>
          <w:marRight w:val="0"/>
          <w:marTop w:val="0"/>
          <w:marBottom w:val="0"/>
          <w:divBdr>
            <w:top w:val="none" w:sz="0" w:space="0" w:color="auto"/>
            <w:left w:val="none" w:sz="0" w:space="0" w:color="auto"/>
            <w:bottom w:val="none" w:sz="0" w:space="0" w:color="auto"/>
            <w:right w:val="none" w:sz="0" w:space="0" w:color="auto"/>
          </w:divBdr>
        </w:div>
        <w:div w:id="1110930915">
          <w:marLeft w:val="0"/>
          <w:marRight w:val="0"/>
          <w:marTop w:val="0"/>
          <w:marBottom w:val="0"/>
          <w:divBdr>
            <w:top w:val="none" w:sz="0" w:space="0" w:color="auto"/>
            <w:left w:val="none" w:sz="0" w:space="0" w:color="auto"/>
            <w:bottom w:val="none" w:sz="0" w:space="0" w:color="auto"/>
            <w:right w:val="none" w:sz="0" w:space="0" w:color="auto"/>
          </w:divBdr>
        </w:div>
        <w:div w:id="1111557628">
          <w:marLeft w:val="0"/>
          <w:marRight w:val="0"/>
          <w:marTop w:val="0"/>
          <w:marBottom w:val="0"/>
          <w:divBdr>
            <w:top w:val="none" w:sz="0" w:space="0" w:color="auto"/>
            <w:left w:val="none" w:sz="0" w:space="0" w:color="auto"/>
            <w:bottom w:val="none" w:sz="0" w:space="0" w:color="auto"/>
            <w:right w:val="none" w:sz="0" w:space="0" w:color="auto"/>
          </w:divBdr>
        </w:div>
        <w:div w:id="1112093487">
          <w:marLeft w:val="0"/>
          <w:marRight w:val="0"/>
          <w:marTop w:val="0"/>
          <w:marBottom w:val="0"/>
          <w:divBdr>
            <w:top w:val="none" w:sz="0" w:space="0" w:color="auto"/>
            <w:left w:val="none" w:sz="0" w:space="0" w:color="auto"/>
            <w:bottom w:val="none" w:sz="0" w:space="0" w:color="auto"/>
            <w:right w:val="none" w:sz="0" w:space="0" w:color="auto"/>
          </w:divBdr>
        </w:div>
        <w:div w:id="1112940094">
          <w:marLeft w:val="0"/>
          <w:marRight w:val="0"/>
          <w:marTop w:val="0"/>
          <w:marBottom w:val="0"/>
          <w:divBdr>
            <w:top w:val="none" w:sz="0" w:space="0" w:color="auto"/>
            <w:left w:val="none" w:sz="0" w:space="0" w:color="auto"/>
            <w:bottom w:val="none" w:sz="0" w:space="0" w:color="auto"/>
            <w:right w:val="none" w:sz="0" w:space="0" w:color="auto"/>
          </w:divBdr>
        </w:div>
        <w:div w:id="1113327874">
          <w:marLeft w:val="0"/>
          <w:marRight w:val="0"/>
          <w:marTop w:val="0"/>
          <w:marBottom w:val="0"/>
          <w:divBdr>
            <w:top w:val="none" w:sz="0" w:space="0" w:color="auto"/>
            <w:left w:val="none" w:sz="0" w:space="0" w:color="auto"/>
            <w:bottom w:val="none" w:sz="0" w:space="0" w:color="auto"/>
            <w:right w:val="none" w:sz="0" w:space="0" w:color="auto"/>
          </w:divBdr>
        </w:div>
        <w:div w:id="1115175626">
          <w:marLeft w:val="0"/>
          <w:marRight w:val="0"/>
          <w:marTop w:val="0"/>
          <w:marBottom w:val="0"/>
          <w:divBdr>
            <w:top w:val="none" w:sz="0" w:space="0" w:color="auto"/>
            <w:left w:val="none" w:sz="0" w:space="0" w:color="auto"/>
            <w:bottom w:val="none" w:sz="0" w:space="0" w:color="auto"/>
            <w:right w:val="none" w:sz="0" w:space="0" w:color="auto"/>
          </w:divBdr>
        </w:div>
        <w:div w:id="1116366170">
          <w:marLeft w:val="0"/>
          <w:marRight w:val="0"/>
          <w:marTop w:val="0"/>
          <w:marBottom w:val="0"/>
          <w:divBdr>
            <w:top w:val="none" w:sz="0" w:space="0" w:color="auto"/>
            <w:left w:val="none" w:sz="0" w:space="0" w:color="auto"/>
            <w:bottom w:val="none" w:sz="0" w:space="0" w:color="auto"/>
            <w:right w:val="none" w:sz="0" w:space="0" w:color="auto"/>
          </w:divBdr>
        </w:div>
        <w:div w:id="1117289922">
          <w:marLeft w:val="0"/>
          <w:marRight w:val="0"/>
          <w:marTop w:val="0"/>
          <w:marBottom w:val="0"/>
          <w:divBdr>
            <w:top w:val="none" w:sz="0" w:space="0" w:color="auto"/>
            <w:left w:val="none" w:sz="0" w:space="0" w:color="auto"/>
            <w:bottom w:val="none" w:sz="0" w:space="0" w:color="auto"/>
            <w:right w:val="none" w:sz="0" w:space="0" w:color="auto"/>
          </w:divBdr>
        </w:div>
        <w:div w:id="1117329615">
          <w:marLeft w:val="0"/>
          <w:marRight w:val="0"/>
          <w:marTop w:val="0"/>
          <w:marBottom w:val="0"/>
          <w:divBdr>
            <w:top w:val="none" w:sz="0" w:space="0" w:color="auto"/>
            <w:left w:val="none" w:sz="0" w:space="0" w:color="auto"/>
            <w:bottom w:val="none" w:sz="0" w:space="0" w:color="auto"/>
            <w:right w:val="none" w:sz="0" w:space="0" w:color="auto"/>
          </w:divBdr>
        </w:div>
        <w:div w:id="1117749100">
          <w:marLeft w:val="0"/>
          <w:marRight w:val="0"/>
          <w:marTop w:val="0"/>
          <w:marBottom w:val="0"/>
          <w:divBdr>
            <w:top w:val="none" w:sz="0" w:space="0" w:color="auto"/>
            <w:left w:val="none" w:sz="0" w:space="0" w:color="auto"/>
            <w:bottom w:val="none" w:sz="0" w:space="0" w:color="auto"/>
            <w:right w:val="none" w:sz="0" w:space="0" w:color="auto"/>
          </w:divBdr>
        </w:div>
        <w:div w:id="1118568468">
          <w:marLeft w:val="0"/>
          <w:marRight w:val="0"/>
          <w:marTop w:val="0"/>
          <w:marBottom w:val="0"/>
          <w:divBdr>
            <w:top w:val="none" w:sz="0" w:space="0" w:color="auto"/>
            <w:left w:val="none" w:sz="0" w:space="0" w:color="auto"/>
            <w:bottom w:val="none" w:sz="0" w:space="0" w:color="auto"/>
            <w:right w:val="none" w:sz="0" w:space="0" w:color="auto"/>
          </w:divBdr>
        </w:div>
        <w:div w:id="1120412884">
          <w:marLeft w:val="0"/>
          <w:marRight w:val="0"/>
          <w:marTop w:val="0"/>
          <w:marBottom w:val="0"/>
          <w:divBdr>
            <w:top w:val="none" w:sz="0" w:space="0" w:color="auto"/>
            <w:left w:val="none" w:sz="0" w:space="0" w:color="auto"/>
            <w:bottom w:val="none" w:sz="0" w:space="0" w:color="auto"/>
            <w:right w:val="none" w:sz="0" w:space="0" w:color="auto"/>
          </w:divBdr>
        </w:div>
        <w:div w:id="1120687710">
          <w:marLeft w:val="0"/>
          <w:marRight w:val="0"/>
          <w:marTop w:val="0"/>
          <w:marBottom w:val="0"/>
          <w:divBdr>
            <w:top w:val="none" w:sz="0" w:space="0" w:color="auto"/>
            <w:left w:val="none" w:sz="0" w:space="0" w:color="auto"/>
            <w:bottom w:val="none" w:sz="0" w:space="0" w:color="auto"/>
            <w:right w:val="none" w:sz="0" w:space="0" w:color="auto"/>
          </w:divBdr>
        </w:div>
        <w:div w:id="1121262050">
          <w:marLeft w:val="0"/>
          <w:marRight w:val="0"/>
          <w:marTop w:val="0"/>
          <w:marBottom w:val="0"/>
          <w:divBdr>
            <w:top w:val="none" w:sz="0" w:space="0" w:color="auto"/>
            <w:left w:val="none" w:sz="0" w:space="0" w:color="auto"/>
            <w:bottom w:val="none" w:sz="0" w:space="0" w:color="auto"/>
            <w:right w:val="none" w:sz="0" w:space="0" w:color="auto"/>
          </w:divBdr>
        </w:div>
        <w:div w:id="1121536920">
          <w:marLeft w:val="0"/>
          <w:marRight w:val="0"/>
          <w:marTop w:val="0"/>
          <w:marBottom w:val="0"/>
          <w:divBdr>
            <w:top w:val="none" w:sz="0" w:space="0" w:color="auto"/>
            <w:left w:val="none" w:sz="0" w:space="0" w:color="auto"/>
            <w:bottom w:val="none" w:sz="0" w:space="0" w:color="auto"/>
            <w:right w:val="none" w:sz="0" w:space="0" w:color="auto"/>
          </w:divBdr>
        </w:div>
        <w:div w:id="1121918642">
          <w:marLeft w:val="0"/>
          <w:marRight w:val="0"/>
          <w:marTop w:val="0"/>
          <w:marBottom w:val="0"/>
          <w:divBdr>
            <w:top w:val="none" w:sz="0" w:space="0" w:color="auto"/>
            <w:left w:val="none" w:sz="0" w:space="0" w:color="auto"/>
            <w:bottom w:val="none" w:sz="0" w:space="0" w:color="auto"/>
            <w:right w:val="none" w:sz="0" w:space="0" w:color="auto"/>
          </w:divBdr>
        </w:div>
        <w:div w:id="1122723504">
          <w:marLeft w:val="0"/>
          <w:marRight w:val="0"/>
          <w:marTop w:val="0"/>
          <w:marBottom w:val="0"/>
          <w:divBdr>
            <w:top w:val="none" w:sz="0" w:space="0" w:color="auto"/>
            <w:left w:val="none" w:sz="0" w:space="0" w:color="auto"/>
            <w:bottom w:val="none" w:sz="0" w:space="0" w:color="auto"/>
            <w:right w:val="none" w:sz="0" w:space="0" w:color="auto"/>
          </w:divBdr>
        </w:div>
        <w:div w:id="1123380749">
          <w:marLeft w:val="0"/>
          <w:marRight w:val="0"/>
          <w:marTop w:val="0"/>
          <w:marBottom w:val="0"/>
          <w:divBdr>
            <w:top w:val="none" w:sz="0" w:space="0" w:color="auto"/>
            <w:left w:val="none" w:sz="0" w:space="0" w:color="auto"/>
            <w:bottom w:val="none" w:sz="0" w:space="0" w:color="auto"/>
            <w:right w:val="none" w:sz="0" w:space="0" w:color="auto"/>
          </w:divBdr>
        </w:div>
        <w:div w:id="1124084262">
          <w:marLeft w:val="0"/>
          <w:marRight w:val="0"/>
          <w:marTop w:val="0"/>
          <w:marBottom w:val="0"/>
          <w:divBdr>
            <w:top w:val="none" w:sz="0" w:space="0" w:color="auto"/>
            <w:left w:val="none" w:sz="0" w:space="0" w:color="auto"/>
            <w:bottom w:val="none" w:sz="0" w:space="0" w:color="auto"/>
            <w:right w:val="none" w:sz="0" w:space="0" w:color="auto"/>
          </w:divBdr>
          <w:divsChild>
            <w:div w:id="55279198">
              <w:marLeft w:val="0"/>
              <w:marRight w:val="0"/>
              <w:marTop w:val="0"/>
              <w:marBottom w:val="0"/>
              <w:divBdr>
                <w:top w:val="none" w:sz="0" w:space="0" w:color="auto"/>
                <w:left w:val="none" w:sz="0" w:space="0" w:color="auto"/>
                <w:bottom w:val="none" w:sz="0" w:space="0" w:color="auto"/>
                <w:right w:val="none" w:sz="0" w:space="0" w:color="auto"/>
              </w:divBdr>
            </w:div>
            <w:div w:id="340857436">
              <w:marLeft w:val="0"/>
              <w:marRight w:val="0"/>
              <w:marTop w:val="0"/>
              <w:marBottom w:val="0"/>
              <w:divBdr>
                <w:top w:val="none" w:sz="0" w:space="0" w:color="auto"/>
                <w:left w:val="none" w:sz="0" w:space="0" w:color="auto"/>
                <w:bottom w:val="none" w:sz="0" w:space="0" w:color="auto"/>
                <w:right w:val="none" w:sz="0" w:space="0" w:color="auto"/>
              </w:divBdr>
            </w:div>
            <w:div w:id="518005243">
              <w:marLeft w:val="0"/>
              <w:marRight w:val="0"/>
              <w:marTop w:val="0"/>
              <w:marBottom w:val="0"/>
              <w:divBdr>
                <w:top w:val="none" w:sz="0" w:space="0" w:color="auto"/>
                <w:left w:val="none" w:sz="0" w:space="0" w:color="auto"/>
                <w:bottom w:val="none" w:sz="0" w:space="0" w:color="auto"/>
                <w:right w:val="none" w:sz="0" w:space="0" w:color="auto"/>
              </w:divBdr>
            </w:div>
            <w:div w:id="672270116">
              <w:marLeft w:val="0"/>
              <w:marRight w:val="0"/>
              <w:marTop w:val="0"/>
              <w:marBottom w:val="0"/>
              <w:divBdr>
                <w:top w:val="none" w:sz="0" w:space="0" w:color="auto"/>
                <w:left w:val="none" w:sz="0" w:space="0" w:color="auto"/>
                <w:bottom w:val="none" w:sz="0" w:space="0" w:color="auto"/>
                <w:right w:val="none" w:sz="0" w:space="0" w:color="auto"/>
              </w:divBdr>
            </w:div>
            <w:div w:id="785852207">
              <w:marLeft w:val="0"/>
              <w:marRight w:val="0"/>
              <w:marTop w:val="0"/>
              <w:marBottom w:val="0"/>
              <w:divBdr>
                <w:top w:val="none" w:sz="0" w:space="0" w:color="auto"/>
                <w:left w:val="none" w:sz="0" w:space="0" w:color="auto"/>
                <w:bottom w:val="none" w:sz="0" w:space="0" w:color="auto"/>
                <w:right w:val="none" w:sz="0" w:space="0" w:color="auto"/>
              </w:divBdr>
            </w:div>
            <w:div w:id="804198393">
              <w:marLeft w:val="0"/>
              <w:marRight w:val="0"/>
              <w:marTop w:val="0"/>
              <w:marBottom w:val="0"/>
              <w:divBdr>
                <w:top w:val="none" w:sz="0" w:space="0" w:color="auto"/>
                <w:left w:val="none" w:sz="0" w:space="0" w:color="auto"/>
                <w:bottom w:val="none" w:sz="0" w:space="0" w:color="auto"/>
                <w:right w:val="none" w:sz="0" w:space="0" w:color="auto"/>
              </w:divBdr>
            </w:div>
            <w:div w:id="1060639615">
              <w:marLeft w:val="0"/>
              <w:marRight w:val="0"/>
              <w:marTop w:val="0"/>
              <w:marBottom w:val="0"/>
              <w:divBdr>
                <w:top w:val="none" w:sz="0" w:space="0" w:color="auto"/>
                <w:left w:val="none" w:sz="0" w:space="0" w:color="auto"/>
                <w:bottom w:val="none" w:sz="0" w:space="0" w:color="auto"/>
                <w:right w:val="none" w:sz="0" w:space="0" w:color="auto"/>
              </w:divBdr>
            </w:div>
            <w:div w:id="1067924049">
              <w:marLeft w:val="0"/>
              <w:marRight w:val="0"/>
              <w:marTop w:val="0"/>
              <w:marBottom w:val="0"/>
              <w:divBdr>
                <w:top w:val="none" w:sz="0" w:space="0" w:color="auto"/>
                <w:left w:val="none" w:sz="0" w:space="0" w:color="auto"/>
                <w:bottom w:val="none" w:sz="0" w:space="0" w:color="auto"/>
                <w:right w:val="none" w:sz="0" w:space="0" w:color="auto"/>
              </w:divBdr>
            </w:div>
            <w:div w:id="1161460388">
              <w:marLeft w:val="0"/>
              <w:marRight w:val="0"/>
              <w:marTop w:val="0"/>
              <w:marBottom w:val="0"/>
              <w:divBdr>
                <w:top w:val="none" w:sz="0" w:space="0" w:color="auto"/>
                <w:left w:val="none" w:sz="0" w:space="0" w:color="auto"/>
                <w:bottom w:val="none" w:sz="0" w:space="0" w:color="auto"/>
                <w:right w:val="none" w:sz="0" w:space="0" w:color="auto"/>
              </w:divBdr>
            </w:div>
            <w:div w:id="1243569869">
              <w:marLeft w:val="0"/>
              <w:marRight w:val="0"/>
              <w:marTop w:val="0"/>
              <w:marBottom w:val="0"/>
              <w:divBdr>
                <w:top w:val="none" w:sz="0" w:space="0" w:color="auto"/>
                <w:left w:val="none" w:sz="0" w:space="0" w:color="auto"/>
                <w:bottom w:val="none" w:sz="0" w:space="0" w:color="auto"/>
                <w:right w:val="none" w:sz="0" w:space="0" w:color="auto"/>
              </w:divBdr>
            </w:div>
            <w:div w:id="1532303781">
              <w:marLeft w:val="0"/>
              <w:marRight w:val="0"/>
              <w:marTop w:val="0"/>
              <w:marBottom w:val="0"/>
              <w:divBdr>
                <w:top w:val="none" w:sz="0" w:space="0" w:color="auto"/>
                <w:left w:val="none" w:sz="0" w:space="0" w:color="auto"/>
                <w:bottom w:val="none" w:sz="0" w:space="0" w:color="auto"/>
                <w:right w:val="none" w:sz="0" w:space="0" w:color="auto"/>
              </w:divBdr>
            </w:div>
            <w:div w:id="1640527635">
              <w:marLeft w:val="0"/>
              <w:marRight w:val="0"/>
              <w:marTop w:val="0"/>
              <w:marBottom w:val="0"/>
              <w:divBdr>
                <w:top w:val="none" w:sz="0" w:space="0" w:color="auto"/>
                <w:left w:val="none" w:sz="0" w:space="0" w:color="auto"/>
                <w:bottom w:val="none" w:sz="0" w:space="0" w:color="auto"/>
                <w:right w:val="none" w:sz="0" w:space="0" w:color="auto"/>
              </w:divBdr>
            </w:div>
            <w:div w:id="1711494928">
              <w:marLeft w:val="0"/>
              <w:marRight w:val="0"/>
              <w:marTop w:val="0"/>
              <w:marBottom w:val="0"/>
              <w:divBdr>
                <w:top w:val="none" w:sz="0" w:space="0" w:color="auto"/>
                <w:left w:val="none" w:sz="0" w:space="0" w:color="auto"/>
                <w:bottom w:val="none" w:sz="0" w:space="0" w:color="auto"/>
                <w:right w:val="none" w:sz="0" w:space="0" w:color="auto"/>
              </w:divBdr>
            </w:div>
            <w:div w:id="1751661184">
              <w:marLeft w:val="0"/>
              <w:marRight w:val="0"/>
              <w:marTop w:val="0"/>
              <w:marBottom w:val="0"/>
              <w:divBdr>
                <w:top w:val="none" w:sz="0" w:space="0" w:color="auto"/>
                <w:left w:val="none" w:sz="0" w:space="0" w:color="auto"/>
                <w:bottom w:val="none" w:sz="0" w:space="0" w:color="auto"/>
                <w:right w:val="none" w:sz="0" w:space="0" w:color="auto"/>
              </w:divBdr>
            </w:div>
            <w:div w:id="1867021676">
              <w:marLeft w:val="0"/>
              <w:marRight w:val="0"/>
              <w:marTop w:val="0"/>
              <w:marBottom w:val="0"/>
              <w:divBdr>
                <w:top w:val="none" w:sz="0" w:space="0" w:color="auto"/>
                <w:left w:val="none" w:sz="0" w:space="0" w:color="auto"/>
                <w:bottom w:val="none" w:sz="0" w:space="0" w:color="auto"/>
                <w:right w:val="none" w:sz="0" w:space="0" w:color="auto"/>
              </w:divBdr>
            </w:div>
            <w:div w:id="2053115286">
              <w:marLeft w:val="0"/>
              <w:marRight w:val="0"/>
              <w:marTop w:val="0"/>
              <w:marBottom w:val="0"/>
              <w:divBdr>
                <w:top w:val="none" w:sz="0" w:space="0" w:color="auto"/>
                <w:left w:val="none" w:sz="0" w:space="0" w:color="auto"/>
                <w:bottom w:val="none" w:sz="0" w:space="0" w:color="auto"/>
                <w:right w:val="none" w:sz="0" w:space="0" w:color="auto"/>
              </w:divBdr>
            </w:div>
            <w:div w:id="2067098685">
              <w:marLeft w:val="0"/>
              <w:marRight w:val="0"/>
              <w:marTop w:val="0"/>
              <w:marBottom w:val="0"/>
              <w:divBdr>
                <w:top w:val="none" w:sz="0" w:space="0" w:color="auto"/>
                <w:left w:val="none" w:sz="0" w:space="0" w:color="auto"/>
                <w:bottom w:val="none" w:sz="0" w:space="0" w:color="auto"/>
                <w:right w:val="none" w:sz="0" w:space="0" w:color="auto"/>
              </w:divBdr>
            </w:div>
            <w:div w:id="2084913773">
              <w:marLeft w:val="0"/>
              <w:marRight w:val="0"/>
              <w:marTop w:val="0"/>
              <w:marBottom w:val="0"/>
              <w:divBdr>
                <w:top w:val="none" w:sz="0" w:space="0" w:color="auto"/>
                <w:left w:val="none" w:sz="0" w:space="0" w:color="auto"/>
                <w:bottom w:val="none" w:sz="0" w:space="0" w:color="auto"/>
                <w:right w:val="none" w:sz="0" w:space="0" w:color="auto"/>
              </w:divBdr>
            </w:div>
            <w:div w:id="2103796041">
              <w:marLeft w:val="0"/>
              <w:marRight w:val="0"/>
              <w:marTop w:val="0"/>
              <w:marBottom w:val="0"/>
              <w:divBdr>
                <w:top w:val="none" w:sz="0" w:space="0" w:color="auto"/>
                <w:left w:val="none" w:sz="0" w:space="0" w:color="auto"/>
                <w:bottom w:val="none" w:sz="0" w:space="0" w:color="auto"/>
                <w:right w:val="none" w:sz="0" w:space="0" w:color="auto"/>
              </w:divBdr>
            </w:div>
            <w:div w:id="2129081283">
              <w:marLeft w:val="0"/>
              <w:marRight w:val="0"/>
              <w:marTop w:val="0"/>
              <w:marBottom w:val="0"/>
              <w:divBdr>
                <w:top w:val="none" w:sz="0" w:space="0" w:color="auto"/>
                <w:left w:val="none" w:sz="0" w:space="0" w:color="auto"/>
                <w:bottom w:val="none" w:sz="0" w:space="0" w:color="auto"/>
                <w:right w:val="none" w:sz="0" w:space="0" w:color="auto"/>
              </w:divBdr>
            </w:div>
          </w:divsChild>
        </w:div>
        <w:div w:id="1125152090">
          <w:marLeft w:val="0"/>
          <w:marRight w:val="0"/>
          <w:marTop w:val="0"/>
          <w:marBottom w:val="0"/>
          <w:divBdr>
            <w:top w:val="none" w:sz="0" w:space="0" w:color="auto"/>
            <w:left w:val="none" w:sz="0" w:space="0" w:color="auto"/>
            <w:bottom w:val="none" w:sz="0" w:space="0" w:color="auto"/>
            <w:right w:val="none" w:sz="0" w:space="0" w:color="auto"/>
          </w:divBdr>
        </w:div>
        <w:div w:id="1125850701">
          <w:marLeft w:val="0"/>
          <w:marRight w:val="0"/>
          <w:marTop w:val="0"/>
          <w:marBottom w:val="0"/>
          <w:divBdr>
            <w:top w:val="none" w:sz="0" w:space="0" w:color="auto"/>
            <w:left w:val="none" w:sz="0" w:space="0" w:color="auto"/>
            <w:bottom w:val="none" w:sz="0" w:space="0" w:color="auto"/>
            <w:right w:val="none" w:sz="0" w:space="0" w:color="auto"/>
          </w:divBdr>
        </w:div>
        <w:div w:id="1126775889">
          <w:marLeft w:val="0"/>
          <w:marRight w:val="0"/>
          <w:marTop w:val="0"/>
          <w:marBottom w:val="0"/>
          <w:divBdr>
            <w:top w:val="none" w:sz="0" w:space="0" w:color="auto"/>
            <w:left w:val="none" w:sz="0" w:space="0" w:color="auto"/>
            <w:bottom w:val="none" w:sz="0" w:space="0" w:color="auto"/>
            <w:right w:val="none" w:sz="0" w:space="0" w:color="auto"/>
          </w:divBdr>
        </w:div>
        <w:div w:id="1127894565">
          <w:marLeft w:val="0"/>
          <w:marRight w:val="0"/>
          <w:marTop w:val="0"/>
          <w:marBottom w:val="0"/>
          <w:divBdr>
            <w:top w:val="none" w:sz="0" w:space="0" w:color="auto"/>
            <w:left w:val="none" w:sz="0" w:space="0" w:color="auto"/>
            <w:bottom w:val="none" w:sz="0" w:space="0" w:color="auto"/>
            <w:right w:val="none" w:sz="0" w:space="0" w:color="auto"/>
          </w:divBdr>
        </w:div>
        <w:div w:id="1129742333">
          <w:marLeft w:val="0"/>
          <w:marRight w:val="0"/>
          <w:marTop w:val="0"/>
          <w:marBottom w:val="0"/>
          <w:divBdr>
            <w:top w:val="none" w:sz="0" w:space="0" w:color="auto"/>
            <w:left w:val="none" w:sz="0" w:space="0" w:color="auto"/>
            <w:bottom w:val="none" w:sz="0" w:space="0" w:color="auto"/>
            <w:right w:val="none" w:sz="0" w:space="0" w:color="auto"/>
          </w:divBdr>
        </w:div>
        <w:div w:id="1129933486">
          <w:marLeft w:val="0"/>
          <w:marRight w:val="0"/>
          <w:marTop w:val="0"/>
          <w:marBottom w:val="0"/>
          <w:divBdr>
            <w:top w:val="none" w:sz="0" w:space="0" w:color="auto"/>
            <w:left w:val="none" w:sz="0" w:space="0" w:color="auto"/>
            <w:bottom w:val="none" w:sz="0" w:space="0" w:color="auto"/>
            <w:right w:val="none" w:sz="0" w:space="0" w:color="auto"/>
          </w:divBdr>
        </w:div>
        <w:div w:id="1131634371">
          <w:marLeft w:val="0"/>
          <w:marRight w:val="0"/>
          <w:marTop w:val="0"/>
          <w:marBottom w:val="0"/>
          <w:divBdr>
            <w:top w:val="none" w:sz="0" w:space="0" w:color="auto"/>
            <w:left w:val="none" w:sz="0" w:space="0" w:color="auto"/>
            <w:bottom w:val="none" w:sz="0" w:space="0" w:color="auto"/>
            <w:right w:val="none" w:sz="0" w:space="0" w:color="auto"/>
          </w:divBdr>
        </w:div>
        <w:div w:id="1135180619">
          <w:marLeft w:val="0"/>
          <w:marRight w:val="0"/>
          <w:marTop w:val="0"/>
          <w:marBottom w:val="0"/>
          <w:divBdr>
            <w:top w:val="none" w:sz="0" w:space="0" w:color="auto"/>
            <w:left w:val="none" w:sz="0" w:space="0" w:color="auto"/>
            <w:bottom w:val="none" w:sz="0" w:space="0" w:color="auto"/>
            <w:right w:val="none" w:sz="0" w:space="0" w:color="auto"/>
          </w:divBdr>
        </w:div>
        <w:div w:id="1136222214">
          <w:marLeft w:val="0"/>
          <w:marRight w:val="0"/>
          <w:marTop w:val="0"/>
          <w:marBottom w:val="0"/>
          <w:divBdr>
            <w:top w:val="none" w:sz="0" w:space="0" w:color="auto"/>
            <w:left w:val="none" w:sz="0" w:space="0" w:color="auto"/>
            <w:bottom w:val="none" w:sz="0" w:space="0" w:color="auto"/>
            <w:right w:val="none" w:sz="0" w:space="0" w:color="auto"/>
          </w:divBdr>
        </w:div>
        <w:div w:id="1137260299">
          <w:marLeft w:val="0"/>
          <w:marRight w:val="0"/>
          <w:marTop w:val="0"/>
          <w:marBottom w:val="0"/>
          <w:divBdr>
            <w:top w:val="none" w:sz="0" w:space="0" w:color="auto"/>
            <w:left w:val="none" w:sz="0" w:space="0" w:color="auto"/>
            <w:bottom w:val="none" w:sz="0" w:space="0" w:color="auto"/>
            <w:right w:val="none" w:sz="0" w:space="0" w:color="auto"/>
          </w:divBdr>
        </w:div>
        <w:div w:id="1139299909">
          <w:marLeft w:val="0"/>
          <w:marRight w:val="0"/>
          <w:marTop w:val="0"/>
          <w:marBottom w:val="0"/>
          <w:divBdr>
            <w:top w:val="none" w:sz="0" w:space="0" w:color="auto"/>
            <w:left w:val="none" w:sz="0" w:space="0" w:color="auto"/>
            <w:bottom w:val="none" w:sz="0" w:space="0" w:color="auto"/>
            <w:right w:val="none" w:sz="0" w:space="0" w:color="auto"/>
          </w:divBdr>
        </w:div>
        <w:div w:id="1140071247">
          <w:marLeft w:val="0"/>
          <w:marRight w:val="0"/>
          <w:marTop w:val="0"/>
          <w:marBottom w:val="0"/>
          <w:divBdr>
            <w:top w:val="none" w:sz="0" w:space="0" w:color="auto"/>
            <w:left w:val="none" w:sz="0" w:space="0" w:color="auto"/>
            <w:bottom w:val="none" w:sz="0" w:space="0" w:color="auto"/>
            <w:right w:val="none" w:sz="0" w:space="0" w:color="auto"/>
          </w:divBdr>
        </w:div>
        <w:div w:id="1140462168">
          <w:marLeft w:val="0"/>
          <w:marRight w:val="0"/>
          <w:marTop w:val="0"/>
          <w:marBottom w:val="0"/>
          <w:divBdr>
            <w:top w:val="none" w:sz="0" w:space="0" w:color="auto"/>
            <w:left w:val="none" w:sz="0" w:space="0" w:color="auto"/>
            <w:bottom w:val="none" w:sz="0" w:space="0" w:color="auto"/>
            <w:right w:val="none" w:sz="0" w:space="0" w:color="auto"/>
          </w:divBdr>
        </w:div>
        <w:div w:id="1141076891">
          <w:marLeft w:val="0"/>
          <w:marRight w:val="0"/>
          <w:marTop w:val="0"/>
          <w:marBottom w:val="0"/>
          <w:divBdr>
            <w:top w:val="none" w:sz="0" w:space="0" w:color="auto"/>
            <w:left w:val="none" w:sz="0" w:space="0" w:color="auto"/>
            <w:bottom w:val="none" w:sz="0" w:space="0" w:color="auto"/>
            <w:right w:val="none" w:sz="0" w:space="0" w:color="auto"/>
          </w:divBdr>
        </w:div>
        <w:div w:id="1141313261">
          <w:marLeft w:val="0"/>
          <w:marRight w:val="0"/>
          <w:marTop w:val="0"/>
          <w:marBottom w:val="0"/>
          <w:divBdr>
            <w:top w:val="none" w:sz="0" w:space="0" w:color="auto"/>
            <w:left w:val="none" w:sz="0" w:space="0" w:color="auto"/>
            <w:bottom w:val="none" w:sz="0" w:space="0" w:color="auto"/>
            <w:right w:val="none" w:sz="0" w:space="0" w:color="auto"/>
          </w:divBdr>
        </w:div>
        <w:div w:id="1141966186">
          <w:marLeft w:val="0"/>
          <w:marRight w:val="0"/>
          <w:marTop w:val="0"/>
          <w:marBottom w:val="0"/>
          <w:divBdr>
            <w:top w:val="none" w:sz="0" w:space="0" w:color="auto"/>
            <w:left w:val="none" w:sz="0" w:space="0" w:color="auto"/>
            <w:bottom w:val="none" w:sz="0" w:space="0" w:color="auto"/>
            <w:right w:val="none" w:sz="0" w:space="0" w:color="auto"/>
          </w:divBdr>
        </w:div>
        <w:div w:id="1142118282">
          <w:marLeft w:val="0"/>
          <w:marRight w:val="0"/>
          <w:marTop w:val="0"/>
          <w:marBottom w:val="0"/>
          <w:divBdr>
            <w:top w:val="none" w:sz="0" w:space="0" w:color="auto"/>
            <w:left w:val="none" w:sz="0" w:space="0" w:color="auto"/>
            <w:bottom w:val="none" w:sz="0" w:space="0" w:color="auto"/>
            <w:right w:val="none" w:sz="0" w:space="0" w:color="auto"/>
          </w:divBdr>
        </w:div>
        <w:div w:id="1142121099">
          <w:marLeft w:val="0"/>
          <w:marRight w:val="0"/>
          <w:marTop w:val="0"/>
          <w:marBottom w:val="0"/>
          <w:divBdr>
            <w:top w:val="none" w:sz="0" w:space="0" w:color="auto"/>
            <w:left w:val="none" w:sz="0" w:space="0" w:color="auto"/>
            <w:bottom w:val="none" w:sz="0" w:space="0" w:color="auto"/>
            <w:right w:val="none" w:sz="0" w:space="0" w:color="auto"/>
          </w:divBdr>
        </w:div>
        <w:div w:id="1142502366">
          <w:marLeft w:val="0"/>
          <w:marRight w:val="0"/>
          <w:marTop w:val="0"/>
          <w:marBottom w:val="0"/>
          <w:divBdr>
            <w:top w:val="none" w:sz="0" w:space="0" w:color="auto"/>
            <w:left w:val="none" w:sz="0" w:space="0" w:color="auto"/>
            <w:bottom w:val="none" w:sz="0" w:space="0" w:color="auto"/>
            <w:right w:val="none" w:sz="0" w:space="0" w:color="auto"/>
          </w:divBdr>
        </w:div>
        <w:div w:id="1144084107">
          <w:marLeft w:val="0"/>
          <w:marRight w:val="0"/>
          <w:marTop w:val="0"/>
          <w:marBottom w:val="0"/>
          <w:divBdr>
            <w:top w:val="none" w:sz="0" w:space="0" w:color="auto"/>
            <w:left w:val="none" w:sz="0" w:space="0" w:color="auto"/>
            <w:bottom w:val="none" w:sz="0" w:space="0" w:color="auto"/>
            <w:right w:val="none" w:sz="0" w:space="0" w:color="auto"/>
          </w:divBdr>
        </w:div>
        <w:div w:id="1144471002">
          <w:marLeft w:val="0"/>
          <w:marRight w:val="0"/>
          <w:marTop w:val="0"/>
          <w:marBottom w:val="0"/>
          <w:divBdr>
            <w:top w:val="none" w:sz="0" w:space="0" w:color="auto"/>
            <w:left w:val="none" w:sz="0" w:space="0" w:color="auto"/>
            <w:bottom w:val="none" w:sz="0" w:space="0" w:color="auto"/>
            <w:right w:val="none" w:sz="0" w:space="0" w:color="auto"/>
          </w:divBdr>
        </w:div>
        <w:div w:id="1144734770">
          <w:marLeft w:val="0"/>
          <w:marRight w:val="0"/>
          <w:marTop w:val="0"/>
          <w:marBottom w:val="0"/>
          <w:divBdr>
            <w:top w:val="none" w:sz="0" w:space="0" w:color="auto"/>
            <w:left w:val="none" w:sz="0" w:space="0" w:color="auto"/>
            <w:bottom w:val="none" w:sz="0" w:space="0" w:color="auto"/>
            <w:right w:val="none" w:sz="0" w:space="0" w:color="auto"/>
          </w:divBdr>
        </w:div>
        <w:div w:id="1144851416">
          <w:marLeft w:val="0"/>
          <w:marRight w:val="0"/>
          <w:marTop w:val="0"/>
          <w:marBottom w:val="0"/>
          <w:divBdr>
            <w:top w:val="none" w:sz="0" w:space="0" w:color="auto"/>
            <w:left w:val="none" w:sz="0" w:space="0" w:color="auto"/>
            <w:bottom w:val="none" w:sz="0" w:space="0" w:color="auto"/>
            <w:right w:val="none" w:sz="0" w:space="0" w:color="auto"/>
          </w:divBdr>
          <w:divsChild>
            <w:div w:id="511453226">
              <w:marLeft w:val="0"/>
              <w:marRight w:val="0"/>
              <w:marTop w:val="0"/>
              <w:marBottom w:val="0"/>
              <w:divBdr>
                <w:top w:val="none" w:sz="0" w:space="0" w:color="auto"/>
                <w:left w:val="none" w:sz="0" w:space="0" w:color="auto"/>
                <w:bottom w:val="none" w:sz="0" w:space="0" w:color="auto"/>
                <w:right w:val="none" w:sz="0" w:space="0" w:color="auto"/>
              </w:divBdr>
            </w:div>
            <w:div w:id="526409980">
              <w:marLeft w:val="0"/>
              <w:marRight w:val="0"/>
              <w:marTop w:val="0"/>
              <w:marBottom w:val="0"/>
              <w:divBdr>
                <w:top w:val="none" w:sz="0" w:space="0" w:color="auto"/>
                <w:left w:val="none" w:sz="0" w:space="0" w:color="auto"/>
                <w:bottom w:val="none" w:sz="0" w:space="0" w:color="auto"/>
                <w:right w:val="none" w:sz="0" w:space="0" w:color="auto"/>
              </w:divBdr>
            </w:div>
            <w:div w:id="683900506">
              <w:marLeft w:val="0"/>
              <w:marRight w:val="0"/>
              <w:marTop w:val="0"/>
              <w:marBottom w:val="0"/>
              <w:divBdr>
                <w:top w:val="none" w:sz="0" w:space="0" w:color="auto"/>
                <w:left w:val="none" w:sz="0" w:space="0" w:color="auto"/>
                <w:bottom w:val="none" w:sz="0" w:space="0" w:color="auto"/>
                <w:right w:val="none" w:sz="0" w:space="0" w:color="auto"/>
              </w:divBdr>
            </w:div>
            <w:div w:id="1026759348">
              <w:marLeft w:val="0"/>
              <w:marRight w:val="0"/>
              <w:marTop w:val="0"/>
              <w:marBottom w:val="0"/>
              <w:divBdr>
                <w:top w:val="none" w:sz="0" w:space="0" w:color="auto"/>
                <w:left w:val="none" w:sz="0" w:space="0" w:color="auto"/>
                <w:bottom w:val="none" w:sz="0" w:space="0" w:color="auto"/>
                <w:right w:val="none" w:sz="0" w:space="0" w:color="auto"/>
              </w:divBdr>
            </w:div>
            <w:div w:id="1074543335">
              <w:marLeft w:val="0"/>
              <w:marRight w:val="0"/>
              <w:marTop w:val="0"/>
              <w:marBottom w:val="0"/>
              <w:divBdr>
                <w:top w:val="none" w:sz="0" w:space="0" w:color="auto"/>
                <w:left w:val="none" w:sz="0" w:space="0" w:color="auto"/>
                <w:bottom w:val="none" w:sz="0" w:space="0" w:color="auto"/>
                <w:right w:val="none" w:sz="0" w:space="0" w:color="auto"/>
              </w:divBdr>
            </w:div>
            <w:div w:id="1084764209">
              <w:marLeft w:val="0"/>
              <w:marRight w:val="0"/>
              <w:marTop w:val="0"/>
              <w:marBottom w:val="0"/>
              <w:divBdr>
                <w:top w:val="none" w:sz="0" w:space="0" w:color="auto"/>
                <w:left w:val="none" w:sz="0" w:space="0" w:color="auto"/>
                <w:bottom w:val="none" w:sz="0" w:space="0" w:color="auto"/>
                <w:right w:val="none" w:sz="0" w:space="0" w:color="auto"/>
              </w:divBdr>
            </w:div>
            <w:div w:id="1147622929">
              <w:marLeft w:val="0"/>
              <w:marRight w:val="0"/>
              <w:marTop w:val="0"/>
              <w:marBottom w:val="0"/>
              <w:divBdr>
                <w:top w:val="none" w:sz="0" w:space="0" w:color="auto"/>
                <w:left w:val="none" w:sz="0" w:space="0" w:color="auto"/>
                <w:bottom w:val="none" w:sz="0" w:space="0" w:color="auto"/>
                <w:right w:val="none" w:sz="0" w:space="0" w:color="auto"/>
              </w:divBdr>
            </w:div>
            <w:div w:id="1186099089">
              <w:marLeft w:val="0"/>
              <w:marRight w:val="0"/>
              <w:marTop w:val="0"/>
              <w:marBottom w:val="0"/>
              <w:divBdr>
                <w:top w:val="none" w:sz="0" w:space="0" w:color="auto"/>
                <w:left w:val="none" w:sz="0" w:space="0" w:color="auto"/>
                <w:bottom w:val="none" w:sz="0" w:space="0" w:color="auto"/>
                <w:right w:val="none" w:sz="0" w:space="0" w:color="auto"/>
              </w:divBdr>
            </w:div>
            <w:div w:id="1328050723">
              <w:marLeft w:val="0"/>
              <w:marRight w:val="0"/>
              <w:marTop w:val="0"/>
              <w:marBottom w:val="0"/>
              <w:divBdr>
                <w:top w:val="none" w:sz="0" w:space="0" w:color="auto"/>
                <w:left w:val="none" w:sz="0" w:space="0" w:color="auto"/>
                <w:bottom w:val="none" w:sz="0" w:space="0" w:color="auto"/>
                <w:right w:val="none" w:sz="0" w:space="0" w:color="auto"/>
              </w:divBdr>
            </w:div>
            <w:div w:id="1483735152">
              <w:marLeft w:val="0"/>
              <w:marRight w:val="0"/>
              <w:marTop w:val="0"/>
              <w:marBottom w:val="0"/>
              <w:divBdr>
                <w:top w:val="none" w:sz="0" w:space="0" w:color="auto"/>
                <w:left w:val="none" w:sz="0" w:space="0" w:color="auto"/>
                <w:bottom w:val="none" w:sz="0" w:space="0" w:color="auto"/>
                <w:right w:val="none" w:sz="0" w:space="0" w:color="auto"/>
              </w:divBdr>
            </w:div>
            <w:div w:id="1534221293">
              <w:marLeft w:val="0"/>
              <w:marRight w:val="0"/>
              <w:marTop w:val="0"/>
              <w:marBottom w:val="0"/>
              <w:divBdr>
                <w:top w:val="none" w:sz="0" w:space="0" w:color="auto"/>
                <w:left w:val="none" w:sz="0" w:space="0" w:color="auto"/>
                <w:bottom w:val="none" w:sz="0" w:space="0" w:color="auto"/>
                <w:right w:val="none" w:sz="0" w:space="0" w:color="auto"/>
              </w:divBdr>
            </w:div>
            <w:div w:id="1594556761">
              <w:marLeft w:val="0"/>
              <w:marRight w:val="0"/>
              <w:marTop w:val="0"/>
              <w:marBottom w:val="0"/>
              <w:divBdr>
                <w:top w:val="none" w:sz="0" w:space="0" w:color="auto"/>
                <w:left w:val="none" w:sz="0" w:space="0" w:color="auto"/>
                <w:bottom w:val="none" w:sz="0" w:space="0" w:color="auto"/>
                <w:right w:val="none" w:sz="0" w:space="0" w:color="auto"/>
              </w:divBdr>
            </w:div>
            <w:div w:id="1643920522">
              <w:marLeft w:val="0"/>
              <w:marRight w:val="0"/>
              <w:marTop w:val="0"/>
              <w:marBottom w:val="0"/>
              <w:divBdr>
                <w:top w:val="none" w:sz="0" w:space="0" w:color="auto"/>
                <w:left w:val="none" w:sz="0" w:space="0" w:color="auto"/>
                <w:bottom w:val="none" w:sz="0" w:space="0" w:color="auto"/>
                <w:right w:val="none" w:sz="0" w:space="0" w:color="auto"/>
              </w:divBdr>
            </w:div>
            <w:div w:id="1761751501">
              <w:marLeft w:val="0"/>
              <w:marRight w:val="0"/>
              <w:marTop w:val="0"/>
              <w:marBottom w:val="0"/>
              <w:divBdr>
                <w:top w:val="none" w:sz="0" w:space="0" w:color="auto"/>
                <w:left w:val="none" w:sz="0" w:space="0" w:color="auto"/>
                <w:bottom w:val="none" w:sz="0" w:space="0" w:color="auto"/>
                <w:right w:val="none" w:sz="0" w:space="0" w:color="auto"/>
              </w:divBdr>
            </w:div>
            <w:div w:id="1830243473">
              <w:marLeft w:val="0"/>
              <w:marRight w:val="0"/>
              <w:marTop w:val="0"/>
              <w:marBottom w:val="0"/>
              <w:divBdr>
                <w:top w:val="none" w:sz="0" w:space="0" w:color="auto"/>
                <w:left w:val="none" w:sz="0" w:space="0" w:color="auto"/>
                <w:bottom w:val="none" w:sz="0" w:space="0" w:color="auto"/>
                <w:right w:val="none" w:sz="0" w:space="0" w:color="auto"/>
              </w:divBdr>
            </w:div>
            <w:div w:id="1840805127">
              <w:marLeft w:val="0"/>
              <w:marRight w:val="0"/>
              <w:marTop w:val="0"/>
              <w:marBottom w:val="0"/>
              <w:divBdr>
                <w:top w:val="none" w:sz="0" w:space="0" w:color="auto"/>
                <w:left w:val="none" w:sz="0" w:space="0" w:color="auto"/>
                <w:bottom w:val="none" w:sz="0" w:space="0" w:color="auto"/>
                <w:right w:val="none" w:sz="0" w:space="0" w:color="auto"/>
              </w:divBdr>
            </w:div>
            <w:div w:id="1907690129">
              <w:marLeft w:val="0"/>
              <w:marRight w:val="0"/>
              <w:marTop w:val="0"/>
              <w:marBottom w:val="0"/>
              <w:divBdr>
                <w:top w:val="none" w:sz="0" w:space="0" w:color="auto"/>
                <w:left w:val="none" w:sz="0" w:space="0" w:color="auto"/>
                <w:bottom w:val="none" w:sz="0" w:space="0" w:color="auto"/>
                <w:right w:val="none" w:sz="0" w:space="0" w:color="auto"/>
              </w:divBdr>
            </w:div>
            <w:div w:id="1943681226">
              <w:marLeft w:val="0"/>
              <w:marRight w:val="0"/>
              <w:marTop w:val="0"/>
              <w:marBottom w:val="0"/>
              <w:divBdr>
                <w:top w:val="none" w:sz="0" w:space="0" w:color="auto"/>
                <w:left w:val="none" w:sz="0" w:space="0" w:color="auto"/>
                <w:bottom w:val="none" w:sz="0" w:space="0" w:color="auto"/>
                <w:right w:val="none" w:sz="0" w:space="0" w:color="auto"/>
              </w:divBdr>
            </w:div>
            <w:div w:id="2025403852">
              <w:marLeft w:val="0"/>
              <w:marRight w:val="0"/>
              <w:marTop w:val="0"/>
              <w:marBottom w:val="0"/>
              <w:divBdr>
                <w:top w:val="none" w:sz="0" w:space="0" w:color="auto"/>
                <w:left w:val="none" w:sz="0" w:space="0" w:color="auto"/>
                <w:bottom w:val="none" w:sz="0" w:space="0" w:color="auto"/>
                <w:right w:val="none" w:sz="0" w:space="0" w:color="auto"/>
              </w:divBdr>
            </w:div>
            <w:div w:id="2077239742">
              <w:marLeft w:val="0"/>
              <w:marRight w:val="0"/>
              <w:marTop w:val="0"/>
              <w:marBottom w:val="0"/>
              <w:divBdr>
                <w:top w:val="none" w:sz="0" w:space="0" w:color="auto"/>
                <w:left w:val="none" w:sz="0" w:space="0" w:color="auto"/>
                <w:bottom w:val="none" w:sz="0" w:space="0" w:color="auto"/>
                <w:right w:val="none" w:sz="0" w:space="0" w:color="auto"/>
              </w:divBdr>
            </w:div>
          </w:divsChild>
        </w:div>
        <w:div w:id="1147167650">
          <w:marLeft w:val="0"/>
          <w:marRight w:val="0"/>
          <w:marTop w:val="0"/>
          <w:marBottom w:val="0"/>
          <w:divBdr>
            <w:top w:val="none" w:sz="0" w:space="0" w:color="auto"/>
            <w:left w:val="none" w:sz="0" w:space="0" w:color="auto"/>
            <w:bottom w:val="none" w:sz="0" w:space="0" w:color="auto"/>
            <w:right w:val="none" w:sz="0" w:space="0" w:color="auto"/>
          </w:divBdr>
        </w:div>
        <w:div w:id="1148135708">
          <w:marLeft w:val="0"/>
          <w:marRight w:val="0"/>
          <w:marTop w:val="0"/>
          <w:marBottom w:val="0"/>
          <w:divBdr>
            <w:top w:val="none" w:sz="0" w:space="0" w:color="auto"/>
            <w:left w:val="none" w:sz="0" w:space="0" w:color="auto"/>
            <w:bottom w:val="none" w:sz="0" w:space="0" w:color="auto"/>
            <w:right w:val="none" w:sz="0" w:space="0" w:color="auto"/>
          </w:divBdr>
          <w:divsChild>
            <w:div w:id="79181590">
              <w:marLeft w:val="0"/>
              <w:marRight w:val="0"/>
              <w:marTop w:val="0"/>
              <w:marBottom w:val="0"/>
              <w:divBdr>
                <w:top w:val="none" w:sz="0" w:space="0" w:color="auto"/>
                <w:left w:val="none" w:sz="0" w:space="0" w:color="auto"/>
                <w:bottom w:val="none" w:sz="0" w:space="0" w:color="auto"/>
                <w:right w:val="none" w:sz="0" w:space="0" w:color="auto"/>
              </w:divBdr>
            </w:div>
            <w:div w:id="79374828">
              <w:marLeft w:val="0"/>
              <w:marRight w:val="0"/>
              <w:marTop w:val="0"/>
              <w:marBottom w:val="0"/>
              <w:divBdr>
                <w:top w:val="none" w:sz="0" w:space="0" w:color="auto"/>
                <w:left w:val="none" w:sz="0" w:space="0" w:color="auto"/>
                <w:bottom w:val="none" w:sz="0" w:space="0" w:color="auto"/>
                <w:right w:val="none" w:sz="0" w:space="0" w:color="auto"/>
              </w:divBdr>
            </w:div>
            <w:div w:id="295645425">
              <w:marLeft w:val="0"/>
              <w:marRight w:val="0"/>
              <w:marTop w:val="0"/>
              <w:marBottom w:val="0"/>
              <w:divBdr>
                <w:top w:val="none" w:sz="0" w:space="0" w:color="auto"/>
                <w:left w:val="none" w:sz="0" w:space="0" w:color="auto"/>
                <w:bottom w:val="none" w:sz="0" w:space="0" w:color="auto"/>
                <w:right w:val="none" w:sz="0" w:space="0" w:color="auto"/>
              </w:divBdr>
            </w:div>
            <w:div w:id="347218617">
              <w:marLeft w:val="0"/>
              <w:marRight w:val="0"/>
              <w:marTop w:val="0"/>
              <w:marBottom w:val="0"/>
              <w:divBdr>
                <w:top w:val="none" w:sz="0" w:space="0" w:color="auto"/>
                <w:left w:val="none" w:sz="0" w:space="0" w:color="auto"/>
                <w:bottom w:val="none" w:sz="0" w:space="0" w:color="auto"/>
                <w:right w:val="none" w:sz="0" w:space="0" w:color="auto"/>
              </w:divBdr>
            </w:div>
            <w:div w:id="1078593848">
              <w:marLeft w:val="0"/>
              <w:marRight w:val="0"/>
              <w:marTop w:val="0"/>
              <w:marBottom w:val="0"/>
              <w:divBdr>
                <w:top w:val="none" w:sz="0" w:space="0" w:color="auto"/>
                <w:left w:val="none" w:sz="0" w:space="0" w:color="auto"/>
                <w:bottom w:val="none" w:sz="0" w:space="0" w:color="auto"/>
                <w:right w:val="none" w:sz="0" w:space="0" w:color="auto"/>
              </w:divBdr>
            </w:div>
            <w:div w:id="1110468551">
              <w:marLeft w:val="0"/>
              <w:marRight w:val="0"/>
              <w:marTop w:val="0"/>
              <w:marBottom w:val="0"/>
              <w:divBdr>
                <w:top w:val="none" w:sz="0" w:space="0" w:color="auto"/>
                <w:left w:val="none" w:sz="0" w:space="0" w:color="auto"/>
                <w:bottom w:val="none" w:sz="0" w:space="0" w:color="auto"/>
                <w:right w:val="none" w:sz="0" w:space="0" w:color="auto"/>
              </w:divBdr>
            </w:div>
            <w:div w:id="1390037643">
              <w:marLeft w:val="0"/>
              <w:marRight w:val="0"/>
              <w:marTop w:val="0"/>
              <w:marBottom w:val="0"/>
              <w:divBdr>
                <w:top w:val="none" w:sz="0" w:space="0" w:color="auto"/>
                <w:left w:val="none" w:sz="0" w:space="0" w:color="auto"/>
                <w:bottom w:val="none" w:sz="0" w:space="0" w:color="auto"/>
                <w:right w:val="none" w:sz="0" w:space="0" w:color="auto"/>
              </w:divBdr>
            </w:div>
            <w:div w:id="1627156611">
              <w:marLeft w:val="0"/>
              <w:marRight w:val="0"/>
              <w:marTop w:val="0"/>
              <w:marBottom w:val="0"/>
              <w:divBdr>
                <w:top w:val="none" w:sz="0" w:space="0" w:color="auto"/>
                <w:left w:val="none" w:sz="0" w:space="0" w:color="auto"/>
                <w:bottom w:val="none" w:sz="0" w:space="0" w:color="auto"/>
                <w:right w:val="none" w:sz="0" w:space="0" w:color="auto"/>
              </w:divBdr>
            </w:div>
            <w:div w:id="1789352635">
              <w:marLeft w:val="0"/>
              <w:marRight w:val="0"/>
              <w:marTop w:val="0"/>
              <w:marBottom w:val="0"/>
              <w:divBdr>
                <w:top w:val="none" w:sz="0" w:space="0" w:color="auto"/>
                <w:left w:val="none" w:sz="0" w:space="0" w:color="auto"/>
                <w:bottom w:val="none" w:sz="0" w:space="0" w:color="auto"/>
                <w:right w:val="none" w:sz="0" w:space="0" w:color="auto"/>
              </w:divBdr>
            </w:div>
            <w:div w:id="1900240547">
              <w:marLeft w:val="0"/>
              <w:marRight w:val="0"/>
              <w:marTop w:val="0"/>
              <w:marBottom w:val="0"/>
              <w:divBdr>
                <w:top w:val="none" w:sz="0" w:space="0" w:color="auto"/>
                <w:left w:val="none" w:sz="0" w:space="0" w:color="auto"/>
                <w:bottom w:val="none" w:sz="0" w:space="0" w:color="auto"/>
                <w:right w:val="none" w:sz="0" w:space="0" w:color="auto"/>
              </w:divBdr>
            </w:div>
          </w:divsChild>
        </w:div>
        <w:div w:id="1148597129">
          <w:marLeft w:val="0"/>
          <w:marRight w:val="0"/>
          <w:marTop w:val="0"/>
          <w:marBottom w:val="0"/>
          <w:divBdr>
            <w:top w:val="none" w:sz="0" w:space="0" w:color="auto"/>
            <w:left w:val="none" w:sz="0" w:space="0" w:color="auto"/>
            <w:bottom w:val="none" w:sz="0" w:space="0" w:color="auto"/>
            <w:right w:val="none" w:sz="0" w:space="0" w:color="auto"/>
          </w:divBdr>
        </w:div>
        <w:div w:id="1148980204">
          <w:marLeft w:val="0"/>
          <w:marRight w:val="0"/>
          <w:marTop w:val="0"/>
          <w:marBottom w:val="0"/>
          <w:divBdr>
            <w:top w:val="none" w:sz="0" w:space="0" w:color="auto"/>
            <w:left w:val="none" w:sz="0" w:space="0" w:color="auto"/>
            <w:bottom w:val="none" w:sz="0" w:space="0" w:color="auto"/>
            <w:right w:val="none" w:sz="0" w:space="0" w:color="auto"/>
          </w:divBdr>
        </w:div>
        <w:div w:id="1152674188">
          <w:marLeft w:val="0"/>
          <w:marRight w:val="0"/>
          <w:marTop w:val="0"/>
          <w:marBottom w:val="0"/>
          <w:divBdr>
            <w:top w:val="none" w:sz="0" w:space="0" w:color="auto"/>
            <w:left w:val="none" w:sz="0" w:space="0" w:color="auto"/>
            <w:bottom w:val="none" w:sz="0" w:space="0" w:color="auto"/>
            <w:right w:val="none" w:sz="0" w:space="0" w:color="auto"/>
          </w:divBdr>
        </w:div>
        <w:div w:id="1152675795">
          <w:marLeft w:val="0"/>
          <w:marRight w:val="0"/>
          <w:marTop w:val="0"/>
          <w:marBottom w:val="0"/>
          <w:divBdr>
            <w:top w:val="none" w:sz="0" w:space="0" w:color="auto"/>
            <w:left w:val="none" w:sz="0" w:space="0" w:color="auto"/>
            <w:bottom w:val="none" w:sz="0" w:space="0" w:color="auto"/>
            <w:right w:val="none" w:sz="0" w:space="0" w:color="auto"/>
          </w:divBdr>
        </w:div>
        <w:div w:id="1156145840">
          <w:marLeft w:val="0"/>
          <w:marRight w:val="0"/>
          <w:marTop w:val="0"/>
          <w:marBottom w:val="0"/>
          <w:divBdr>
            <w:top w:val="none" w:sz="0" w:space="0" w:color="auto"/>
            <w:left w:val="none" w:sz="0" w:space="0" w:color="auto"/>
            <w:bottom w:val="none" w:sz="0" w:space="0" w:color="auto"/>
            <w:right w:val="none" w:sz="0" w:space="0" w:color="auto"/>
          </w:divBdr>
        </w:div>
        <w:div w:id="1157649369">
          <w:marLeft w:val="0"/>
          <w:marRight w:val="0"/>
          <w:marTop w:val="0"/>
          <w:marBottom w:val="0"/>
          <w:divBdr>
            <w:top w:val="none" w:sz="0" w:space="0" w:color="auto"/>
            <w:left w:val="none" w:sz="0" w:space="0" w:color="auto"/>
            <w:bottom w:val="none" w:sz="0" w:space="0" w:color="auto"/>
            <w:right w:val="none" w:sz="0" w:space="0" w:color="auto"/>
          </w:divBdr>
        </w:div>
        <w:div w:id="1157771139">
          <w:marLeft w:val="0"/>
          <w:marRight w:val="0"/>
          <w:marTop w:val="0"/>
          <w:marBottom w:val="0"/>
          <w:divBdr>
            <w:top w:val="none" w:sz="0" w:space="0" w:color="auto"/>
            <w:left w:val="none" w:sz="0" w:space="0" w:color="auto"/>
            <w:bottom w:val="none" w:sz="0" w:space="0" w:color="auto"/>
            <w:right w:val="none" w:sz="0" w:space="0" w:color="auto"/>
          </w:divBdr>
        </w:div>
        <w:div w:id="1159149921">
          <w:marLeft w:val="0"/>
          <w:marRight w:val="0"/>
          <w:marTop w:val="0"/>
          <w:marBottom w:val="0"/>
          <w:divBdr>
            <w:top w:val="none" w:sz="0" w:space="0" w:color="auto"/>
            <w:left w:val="none" w:sz="0" w:space="0" w:color="auto"/>
            <w:bottom w:val="none" w:sz="0" w:space="0" w:color="auto"/>
            <w:right w:val="none" w:sz="0" w:space="0" w:color="auto"/>
          </w:divBdr>
        </w:div>
        <w:div w:id="1160270883">
          <w:marLeft w:val="0"/>
          <w:marRight w:val="0"/>
          <w:marTop w:val="0"/>
          <w:marBottom w:val="0"/>
          <w:divBdr>
            <w:top w:val="none" w:sz="0" w:space="0" w:color="auto"/>
            <w:left w:val="none" w:sz="0" w:space="0" w:color="auto"/>
            <w:bottom w:val="none" w:sz="0" w:space="0" w:color="auto"/>
            <w:right w:val="none" w:sz="0" w:space="0" w:color="auto"/>
          </w:divBdr>
        </w:div>
        <w:div w:id="1165247820">
          <w:marLeft w:val="0"/>
          <w:marRight w:val="0"/>
          <w:marTop w:val="0"/>
          <w:marBottom w:val="0"/>
          <w:divBdr>
            <w:top w:val="none" w:sz="0" w:space="0" w:color="auto"/>
            <w:left w:val="none" w:sz="0" w:space="0" w:color="auto"/>
            <w:bottom w:val="none" w:sz="0" w:space="0" w:color="auto"/>
            <w:right w:val="none" w:sz="0" w:space="0" w:color="auto"/>
          </w:divBdr>
        </w:div>
        <w:div w:id="1166170187">
          <w:marLeft w:val="0"/>
          <w:marRight w:val="0"/>
          <w:marTop w:val="0"/>
          <w:marBottom w:val="0"/>
          <w:divBdr>
            <w:top w:val="none" w:sz="0" w:space="0" w:color="auto"/>
            <w:left w:val="none" w:sz="0" w:space="0" w:color="auto"/>
            <w:bottom w:val="none" w:sz="0" w:space="0" w:color="auto"/>
            <w:right w:val="none" w:sz="0" w:space="0" w:color="auto"/>
          </w:divBdr>
        </w:div>
        <w:div w:id="1166629220">
          <w:marLeft w:val="0"/>
          <w:marRight w:val="0"/>
          <w:marTop w:val="0"/>
          <w:marBottom w:val="0"/>
          <w:divBdr>
            <w:top w:val="none" w:sz="0" w:space="0" w:color="auto"/>
            <w:left w:val="none" w:sz="0" w:space="0" w:color="auto"/>
            <w:bottom w:val="none" w:sz="0" w:space="0" w:color="auto"/>
            <w:right w:val="none" w:sz="0" w:space="0" w:color="auto"/>
          </w:divBdr>
        </w:div>
        <w:div w:id="1169251528">
          <w:marLeft w:val="0"/>
          <w:marRight w:val="0"/>
          <w:marTop w:val="0"/>
          <w:marBottom w:val="0"/>
          <w:divBdr>
            <w:top w:val="none" w:sz="0" w:space="0" w:color="auto"/>
            <w:left w:val="none" w:sz="0" w:space="0" w:color="auto"/>
            <w:bottom w:val="none" w:sz="0" w:space="0" w:color="auto"/>
            <w:right w:val="none" w:sz="0" w:space="0" w:color="auto"/>
          </w:divBdr>
        </w:div>
        <w:div w:id="1169633112">
          <w:marLeft w:val="0"/>
          <w:marRight w:val="0"/>
          <w:marTop w:val="0"/>
          <w:marBottom w:val="0"/>
          <w:divBdr>
            <w:top w:val="none" w:sz="0" w:space="0" w:color="auto"/>
            <w:left w:val="none" w:sz="0" w:space="0" w:color="auto"/>
            <w:bottom w:val="none" w:sz="0" w:space="0" w:color="auto"/>
            <w:right w:val="none" w:sz="0" w:space="0" w:color="auto"/>
          </w:divBdr>
        </w:div>
        <w:div w:id="1169717690">
          <w:marLeft w:val="0"/>
          <w:marRight w:val="0"/>
          <w:marTop w:val="0"/>
          <w:marBottom w:val="0"/>
          <w:divBdr>
            <w:top w:val="none" w:sz="0" w:space="0" w:color="auto"/>
            <w:left w:val="none" w:sz="0" w:space="0" w:color="auto"/>
            <w:bottom w:val="none" w:sz="0" w:space="0" w:color="auto"/>
            <w:right w:val="none" w:sz="0" w:space="0" w:color="auto"/>
          </w:divBdr>
        </w:div>
        <w:div w:id="1170832260">
          <w:marLeft w:val="0"/>
          <w:marRight w:val="0"/>
          <w:marTop w:val="0"/>
          <w:marBottom w:val="0"/>
          <w:divBdr>
            <w:top w:val="none" w:sz="0" w:space="0" w:color="auto"/>
            <w:left w:val="none" w:sz="0" w:space="0" w:color="auto"/>
            <w:bottom w:val="none" w:sz="0" w:space="0" w:color="auto"/>
            <w:right w:val="none" w:sz="0" w:space="0" w:color="auto"/>
          </w:divBdr>
        </w:div>
        <w:div w:id="1171217670">
          <w:marLeft w:val="0"/>
          <w:marRight w:val="0"/>
          <w:marTop w:val="0"/>
          <w:marBottom w:val="0"/>
          <w:divBdr>
            <w:top w:val="none" w:sz="0" w:space="0" w:color="auto"/>
            <w:left w:val="none" w:sz="0" w:space="0" w:color="auto"/>
            <w:bottom w:val="none" w:sz="0" w:space="0" w:color="auto"/>
            <w:right w:val="none" w:sz="0" w:space="0" w:color="auto"/>
          </w:divBdr>
        </w:div>
        <w:div w:id="1172257015">
          <w:marLeft w:val="0"/>
          <w:marRight w:val="0"/>
          <w:marTop w:val="0"/>
          <w:marBottom w:val="0"/>
          <w:divBdr>
            <w:top w:val="none" w:sz="0" w:space="0" w:color="auto"/>
            <w:left w:val="none" w:sz="0" w:space="0" w:color="auto"/>
            <w:bottom w:val="none" w:sz="0" w:space="0" w:color="auto"/>
            <w:right w:val="none" w:sz="0" w:space="0" w:color="auto"/>
          </w:divBdr>
        </w:div>
        <w:div w:id="1173715108">
          <w:marLeft w:val="0"/>
          <w:marRight w:val="0"/>
          <w:marTop w:val="0"/>
          <w:marBottom w:val="0"/>
          <w:divBdr>
            <w:top w:val="none" w:sz="0" w:space="0" w:color="auto"/>
            <w:left w:val="none" w:sz="0" w:space="0" w:color="auto"/>
            <w:bottom w:val="none" w:sz="0" w:space="0" w:color="auto"/>
            <w:right w:val="none" w:sz="0" w:space="0" w:color="auto"/>
          </w:divBdr>
        </w:div>
        <w:div w:id="1174027685">
          <w:marLeft w:val="0"/>
          <w:marRight w:val="0"/>
          <w:marTop w:val="0"/>
          <w:marBottom w:val="0"/>
          <w:divBdr>
            <w:top w:val="none" w:sz="0" w:space="0" w:color="auto"/>
            <w:left w:val="none" w:sz="0" w:space="0" w:color="auto"/>
            <w:bottom w:val="none" w:sz="0" w:space="0" w:color="auto"/>
            <w:right w:val="none" w:sz="0" w:space="0" w:color="auto"/>
          </w:divBdr>
        </w:div>
        <w:div w:id="1174223436">
          <w:marLeft w:val="0"/>
          <w:marRight w:val="0"/>
          <w:marTop w:val="0"/>
          <w:marBottom w:val="0"/>
          <w:divBdr>
            <w:top w:val="none" w:sz="0" w:space="0" w:color="auto"/>
            <w:left w:val="none" w:sz="0" w:space="0" w:color="auto"/>
            <w:bottom w:val="none" w:sz="0" w:space="0" w:color="auto"/>
            <w:right w:val="none" w:sz="0" w:space="0" w:color="auto"/>
          </w:divBdr>
        </w:div>
        <w:div w:id="1175878044">
          <w:marLeft w:val="0"/>
          <w:marRight w:val="0"/>
          <w:marTop w:val="0"/>
          <w:marBottom w:val="0"/>
          <w:divBdr>
            <w:top w:val="none" w:sz="0" w:space="0" w:color="auto"/>
            <w:left w:val="none" w:sz="0" w:space="0" w:color="auto"/>
            <w:bottom w:val="none" w:sz="0" w:space="0" w:color="auto"/>
            <w:right w:val="none" w:sz="0" w:space="0" w:color="auto"/>
          </w:divBdr>
        </w:div>
        <w:div w:id="1176262744">
          <w:marLeft w:val="0"/>
          <w:marRight w:val="0"/>
          <w:marTop w:val="0"/>
          <w:marBottom w:val="0"/>
          <w:divBdr>
            <w:top w:val="none" w:sz="0" w:space="0" w:color="auto"/>
            <w:left w:val="none" w:sz="0" w:space="0" w:color="auto"/>
            <w:bottom w:val="none" w:sz="0" w:space="0" w:color="auto"/>
            <w:right w:val="none" w:sz="0" w:space="0" w:color="auto"/>
          </w:divBdr>
        </w:div>
        <w:div w:id="1177227386">
          <w:marLeft w:val="0"/>
          <w:marRight w:val="0"/>
          <w:marTop w:val="0"/>
          <w:marBottom w:val="0"/>
          <w:divBdr>
            <w:top w:val="none" w:sz="0" w:space="0" w:color="auto"/>
            <w:left w:val="none" w:sz="0" w:space="0" w:color="auto"/>
            <w:bottom w:val="none" w:sz="0" w:space="0" w:color="auto"/>
            <w:right w:val="none" w:sz="0" w:space="0" w:color="auto"/>
          </w:divBdr>
        </w:div>
        <w:div w:id="1179348819">
          <w:marLeft w:val="0"/>
          <w:marRight w:val="0"/>
          <w:marTop w:val="0"/>
          <w:marBottom w:val="0"/>
          <w:divBdr>
            <w:top w:val="none" w:sz="0" w:space="0" w:color="auto"/>
            <w:left w:val="none" w:sz="0" w:space="0" w:color="auto"/>
            <w:bottom w:val="none" w:sz="0" w:space="0" w:color="auto"/>
            <w:right w:val="none" w:sz="0" w:space="0" w:color="auto"/>
          </w:divBdr>
        </w:div>
        <w:div w:id="1180587055">
          <w:marLeft w:val="0"/>
          <w:marRight w:val="0"/>
          <w:marTop w:val="0"/>
          <w:marBottom w:val="0"/>
          <w:divBdr>
            <w:top w:val="none" w:sz="0" w:space="0" w:color="auto"/>
            <w:left w:val="none" w:sz="0" w:space="0" w:color="auto"/>
            <w:bottom w:val="none" w:sz="0" w:space="0" w:color="auto"/>
            <w:right w:val="none" w:sz="0" w:space="0" w:color="auto"/>
          </w:divBdr>
        </w:div>
        <w:div w:id="1181776025">
          <w:marLeft w:val="0"/>
          <w:marRight w:val="0"/>
          <w:marTop w:val="0"/>
          <w:marBottom w:val="0"/>
          <w:divBdr>
            <w:top w:val="none" w:sz="0" w:space="0" w:color="auto"/>
            <w:left w:val="none" w:sz="0" w:space="0" w:color="auto"/>
            <w:bottom w:val="none" w:sz="0" w:space="0" w:color="auto"/>
            <w:right w:val="none" w:sz="0" w:space="0" w:color="auto"/>
          </w:divBdr>
        </w:div>
        <w:div w:id="1182091545">
          <w:marLeft w:val="0"/>
          <w:marRight w:val="0"/>
          <w:marTop w:val="0"/>
          <w:marBottom w:val="0"/>
          <w:divBdr>
            <w:top w:val="none" w:sz="0" w:space="0" w:color="auto"/>
            <w:left w:val="none" w:sz="0" w:space="0" w:color="auto"/>
            <w:bottom w:val="none" w:sz="0" w:space="0" w:color="auto"/>
            <w:right w:val="none" w:sz="0" w:space="0" w:color="auto"/>
          </w:divBdr>
        </w:div>
        <w:div w:id="1184782796">
          <w:marLeft w:val="0"/>
          <w:marRight w:val="0"/>
          <w:marTop w:val="0"/>
          <w:marBottom w:val="0"/>
          <w:divBdr>
            <w:top w:val="none" w:sz="0" w:space="0" w:color="auto"/>
            <w:left w:val="none" w:sz="0" w:space="0" w:color="auto"/>
            <w:bottom w:val="none" w:sz="0" w:space="0" w:color="auto"/>
            <w:right w:val="none" w:sz="0" w:space="0" w:color="auto"/>
          </w:divBdr>
        </w:div>
        <w:div w:id="1186406474">
          <w:marLeft w:val="0"/>
          <w:marRight w:val="0"/>
          <w:marTop w:val="0"/>
          <w:marBottom w:val="0"/>
          <w:divBdr>
            <w:top w:val="none" w:sz="0" w:space="0" w:color="auto"/>
            <w:left w:val="none" w:sz="0" w:space="0" w:color="auto"/>
            <w:bottom w:val="none" w:sz="0" w:space="0" w:color="auto"/>
            <w:right w:val="none" w:sz="0" w:space="0" w:color="auto"/>
          </w:divBdr>
        </w:div>
        <w:div w:id="1188640843">
          <w:marLeft w:val="0"/>
          <w:marRight w:val="0"/>
          <w:marTop w:val="0"/>
          <w:marBottom w:val="0"/>
          <w:divBdr>
            <w:top w:val="none" w:sz="0" w:space="0" w:color="auto"/>
            <w:left w:val="none" w:sz="0" w:space="0" w:color="auto"/>
            <w:bottom w:val="none" w:sz="0" w:space="0" w:color="auto"/>
            <w:right w:val="none" w:sz="0" w:space="0" w:color="auto"/>
          </w:divBdr>
        </w:div>
        <w:div w:id="1191068723">
          <w:marLeft w:val="0"/>
          <w:marRight w:val="0"/>
          <w:marTop w:val="0"/>
          <w:marBottom w:val="0"/>
          <w:divBdr>
            <w:top w:val="none" w:sz="0" w:space="0" w:color="auto"/>
            <w:left w:val="none" w:sz="0" w:space="0" w:color="auto"/>
            <w:bottom w:val="none" w:sz="0" w:space="0" w:color="auto"/>
            <w:right w:val="none" w:sz="0" w:space="0" w:color="auto"/>
          </w:divBdr>
        </w:div>
        <w:div w:id="1191841865">
          <w:marLeft w:val="0"/>
          <w:marRight w:val="0"/>
          <w:marTop w:val="0"/>
          <w:marBottom w:val="0"/>
          <w:divBdr>
            <w:top w:val="none" w:sz="0" w:space="0" w:color="auto"/>
            <w:left w:val="none" w:sz="0" w:space="0" w:color="auto"/>
            <w:bottom w:val="none" w:sz="0" w:space="0" w:color="auto"/>
            <w:right w:val="none" w:sz="0" w:space="0" w:color="auto"/>
          </w:divBdr>
        </w:div>
        <w:div w:id="1192299346">
          <w:marLeft w:val="0"/>
          <w:marRight w:val="0"/>
          <w:marTop w:val="0"/>
          <w:marBottom w:val="0"/>
          <w:divBdr>
            <w:top w:val="none" w:sz="0" w:space="0" w:color="auto"/>
            <w:left w:val="none" w:sz="0" w:space="0" w:color="auto"/>
            <w:bottom w:val="none" w:sz="0" w:space="0" w:color="auto"/>
            <w:right w:val="none" w:sz="0" w:space="0" w:color="auto"/>
          </w:divBdr>
          <w:divsChild>
            <w:div w:id="40374717">
              <w:marLeft w:val="0"/>
              <w:marRight w:val="0"/>
              <w:marTop w:val="0"/>
              <w:marBottom w:val="0"/>
              <w:divBdr>
                <w:top w:val="none" w:sz="0" w:space="0" w:color="auto"/>
                <w:left w:val="none" w:sz="0" w:space="0" w:color="auto"/>
                <w:bottom w:val="none" w:sz="0" w:space="0" w:color="auto"/>
                <w:right w:val="none" w:sz="0" w:space="0" w:color="auto"/>
              </w:divBdr>
            </w:div>
            <w:div w:id="219247011">
              <w:marLeft w:val="0"/>
              <w:marRight w:val="0"/>
              <w:marTop w:val="0"/>
              <w:marBottom w:val="0"/>
              <w:divBdr>
                <w:top w:val="none" w:sz="0" w:space="0" w:color="auto"/>
                <w:left w:val="none" w:sz="0" w:space="0" w:color="auto"/>
                <w:bottom w:val="none" w:sz="0" w:space="0" w:color="auto"/>
                <w:right w:val="none" w:sz="0" w:space="0" w:color="auto"/>
              </w:divBdr>
            </w:div>
            <w:div w:id="356347132">
              <w:marLeft w:val="0"/>
              <w:marRight w:val="0"/>
              <w:marTop w:val="0"/>
              <w:marBottom w:val="0"/>
              <w:divBdr>
                <w:top w:val="none" w:sz="0" w:space="0" w:color="auto"/>
                <w:left w:val="none" w:sz="0" w:space="0" w:color="auto"/>
                <w:bottom w:val="none" w:sz="0" w:space="0" w:color="auto"/>
                <w:right w:val="none" w:sz="0" w:space="0" w:color="auto"/>
              </w:divBdr>
            </w:div>
            <w:div w:id="388114790">
              <w:marLeft w:val="0"/>
              <w:marRight w:val="0"/>
              <w:marTop w:val="0"/>
              <w:marBottom w:val="0"/>
              <w:divBdr>
                <w:top w:val="none" w:sz="0" w:space="0" w:color="auto"/>
                <w:left w:val="none" w:sz="0" w:space="0" w:color="auto"/>
                <w:bottom w:val="none" w:sz="0" w:space="0" w:color="auto"/>
                <w:right w:val="none" w:sz="0" w:space="0" w:color="auto"/>
              </w:divBdr>
            </w:div>
            <w:div w:id="391119502">
              <w:marLeft w:val="0"/>
              <w:marRight w:val="0"/>
              <w:marTop w:val="0"/>
              <w:marBottom w:val="0"/>
              <w:divBdr>
                <w:top w:val="none" w:sz="0" w:space="0" w:color="auto"/>
                <w:left w:val="none" w:sz="0" w:space="0" w:color="auto"/>
                <w:bottom w:val="none" w:sz="0" w:space="0" w:color="auto"/>
                <w:right w:val="none" w:sz="0" w:space="0" w:color="auto"/>
              </w:divBdr>
            </w:div>
            <w:div w:id="674454423">
              <w:marLeft w:val="0"/>
              <w:marRight w:val="0"/>
              <w:marTop w:val="0"/>
              <w:marBottom w:val="0"/>
              <w:divBdr>
                <w:top w:val="none" w:sz="0" w:space="0" w:color="auto"/>
                <w:left w:val="none" w:sz="0" w:space="0" w:color="auto"/>
                <w:bottom w:val="none" w:sz="0" w:space="0" w:color="auto"/>
                <w:right w:val="none" w:sz="0" w:space="0" w:color="auto"/>
              </w:divBdr>
            </w:div>
            <w:div w:id="813520674">
              <w:marLeft w:val="0"/>
              <w:marRight w:val="0"/>
              <w:marTop w:val="0"/>
              <w:marBottom w:val="0"/>
              <w:divBdr>
                <w:top w:val="none" w:sz="0" w:space="0" w:color="auto"/>
                <w:left w:val="none" w:sz="0" w:space="0" w:color="auto"/>
                <w:bottom w:val="none" w:sz="0" w:space="0" w:color="auto"/>
                <w:right w:val="none" w:sz="0" w:space="0" w:color="auto"/>
              </w:divBdr>
            </w:div>
            <w:div w:id="903756334">
              <w:marLeft w:val="0"/>
              <w:marRight w:val="0"/>
              <w:marTop w:val="0"/>
              <w:marBottom w:val="0"/>
              <w:divBdr>
                <w:top w:val="none" w:sz="0" w:space="0" w:color="auto"/>
                <w:left w:val="none" w:sz="0" w:space="0" w:color="auto"/>
                <w:bottom w:val="none" w:sz="0" w:space="0" w:color="auto"/>
                <w:right w:val="none" w:sz="0" w:space="0" w:color="auto"/>
              </w:divBdr>
            </w:div>
            <w:div w:id="946154528">
              <w:marLeft w:val="0"/>
              <w:marRight w:val="0"/>
              <w:marTop w:val="0"/>
              <w:marBottom w:val="0"/>
              <w:divBdr>
                <w:top w:val="none" w:sz="0" w:space="0" w:color="auto"/>
                <w:left w:val="none" w:sz="0" w:space="0" w:color="auto"/>
                <w:bottom w:val="none" w:sz="0" w:space="0" w:color="auto"/>
                <w:right w:val="none" w:sz="0" w:space="0" w:color="auto"/>
              </w:divBdr>
            </w:div>
            <w:div w:id="1084692229">
              <w:marLeft w:val="0"/>
              <w:marRight w:val="0"/>
              <w:marTop w:val="0"/>
              <w:marBottom w:val="0"/>
              <w:divBdr>
                <w:top w:val="none" w:sz="0" w:space="0" w:color="auto"/>
                <w:left w:val="none" w:sz="0" w:space="0" w:color="auto"/>
                <w:bottom w:val="none" w:sz="0" w:space="0" w:color="auto"/>
                <w:right w:val="none" w:sz="0" w:space="0" w:color="auto"/>
              </w:divBdr>
            </w:div>
            <w:div w:id="1136798864">
              <w:marLeft w:val="0"/>
              <w:marRight w:val="0"/>
              <w:marTop w:val="0"/>
              <w:marBottom w:val="0"/>
              <w:divBdr>
                <w:top w:val="none" w:sz="0" w:space="0" w:color="auto"/>
                <w:left w:val="none" w:sz="0" w:space="0" w:color="auto"/>
                <w:bottom w:val="none" w:sz="0" w:space="0" w:color="auto"/>
                <w:right w:val="none" w:sz="0" w:space="0" w:color="auto"/>
              </w:divBdr>
            </w:div>
            <w:div w:id="1317882094">
              <w:marLeft w:val="0"/>
              <w:marRight w:val="0"/>
              <w:marTop w:val="0"/>
              <w:marBottom w:val="0"/>
              <w:divBdr>
                <w:top w:val="none" w:sz="0" w:space="0" w:color="auto"/>
                <w:left w:val="none" w:sz="0" w:space="0" w:color="auto"/>
                <w:bottom w:val="none" w:sz="0" w:space="0" w:color="auto"/>
                <w:right w:val="none" w:sz="0" w:space="0" w:color="auto"/>
              </w:divBdr>
            </w:div>
            <w:div w:id="1392195232">
              <w:marLeft w:val="0"/>
              <w:marRight w:val="0"/>
              <w:marTop w:val="0"/>
              <w:marBottom w:val="0"/>
              <w:divBdr>
                <w:top w:val="none" w:sz="0" w:space="0" w:color="auto"/>
                <w:left w:val="none" w:sz="0" w:space="0" w:color="auto"/>
                <w:bottom w:val="none" w:sz="0" w:space="0" w:color="auto"/>
                <w:right w:val="none" w:sz="0" w:space="0" w:color="auto"/>
              </w:divBdr>
            </w:div>
            <w:div w:id="1628271343">
              <w:marLeft w:val="0"/>
              <w:marRight w:val="0"/>
              <w:marTop w:val="0"/>
              <w:marBottom w:val="0"/>
              <w:divBdr>
                <w:top w:val="none" w:sz="0" w:space="0" w:color="auto"/>
                <w:left w:val="none" w:sz="0" w:space="0" w:color="auto"/>
                <w:bottom w:val="none" w:sz="0" w:space="0" w:color="auto"/>
                <w:right w:val="none" w:sz="0" w:space="0" w:color="auto"/>
              </w:divBdr>
            </w:div>
            <w:div w:id="2016031074">
              <w:marLeft w:val="0"/>
              <w:marRight w:val="0"/>
              <w:marTop w:val="0"/>
              <w:marBottom w:val="0"/>
              <w:divBdr>
                <w:top w:val="none" w:sz="0" w:space="0" w:color="auto"/>
                <w:left w:val="none" w:sz="0" w:space="0" w:color="auto"/>
                <w:bottom w:val="none" w:sz="0" w:space="0" w:color="auto"/>
                <w:right w:val="none" w:sz="0" w:space="0" w:color="auto"/>
              </w:divBdr>
            </w:div>
            <w:div w:id="2056393217">
              <w:marLeft w:val="0"/>
              <w:marRight w:val="0"/>
              <w:marTop w:val="0"/>
              <w:marBottom w:val="0"/>
              <w:divBdr>
                <w:top w:val="none" w:sz="0" w:space="0" w:color="auto"/>
                <w:left w:val="none" w:sz="0" w:space="0" w:color="auto"/>
                <w:bottom w:val="none" w:sz="0" w:space="0" w:color="auto"/>
                <w:right w:val="none" w:sz="0" w:space="0" w:color="auto"/>
              </w:divBdr>
            </w:div>
          </w:divsChild>
        </w:div>
        <w:div w:id="1193768034">
          <w:marLeft w:val="0"/>
          <w:marRight w:val="0"/>
          <w:marTop w:val="0"/>
          <w:marBottom w:val="0"/>
          <w:divBdr>
            <w:top w:val="none" w:sz="0" w:space="0" w:color="auto"/>
            <w:left w:val="none" w:sz="0" w:space="0" w:color="auto"/>
            <w:bottom w:val="none" w:sz="0" w:space="0" w:color="auto"/>
            <w:right w:val="none" w:sz="0" w:space="0" w:color="auto"/>
          </w:divBdr>
        </w:div>
        <w:div w:id="1197037912">
          <w:marLeft w:val="0"/>
          <w:marRight w:val="0"/>
          <w:marTop w:val="0"/>
          <w:marBottom w:val="0"/>
          <w:divBdr>
            <w:top w:val="none" w:sz="0" w:space="0" w:color="auto"/>
            <w:left w:val="none" w:sz="0" w:space="0" w:color="auto"/>
            <w:bottom w:val="none" w:sz="0" w:space="0" w:color="auto"/>
            <w:right w:val="none" w:sz="0" w:space="0" w:color="auto"/>
          </w:divBdr>
        </w:div>
        <w:div w:id="1198004314">
          <w:marLeft w:val="0"/>
          <w:marRight w:val="0"/>
          <w:marTop w:val="0"/>
          <w:marBottom w:val="0"/>
          <w:divBdr>
            <w:top w:val="none" w:sz="0" w:space="0" w:color="auto"/>
            <w:left w:val="none" w:sz="0" w:space="0" w:color="auto"/>
            <w:bottom w:val="none" w:sz="0" w:space="0" w:color="auto"/>
            <w:right w:val="none" w:sz="0" w:space="0" w:color="auto"/>
          </w:divBdr>
        </w:div>
        <w:div w:id="1198083800">
          <w:marLeft w:val="0"/>
          <w:marRight w:val="0"/>
          <w:marTop w:val="0"/>
          <w:marBottom w:val="0"/>
          <w:divBdr>
            <w:top w:val="none" w:sz="0" w:space="0" w:color="auto"/>
            <w:left w:val="none" w:sz="0" w:space="0" w:color="auto"/>
            <w:bottom w:val="none" w:sz="0" w:space="0" w:color="auto"/>
            <w:right w:val="none" w:sz="0" w:space="0" w:color="auto"/>
          </w:divBdr>
        </w:div>
        <w:div w:id="1198547575">
          <w:marLeft w:val="0"/>
          <w:marRight w:val="0"/>
          <w:marTop w:val="0"/>
          <w:marBottom w:val="0"/>
          <w:divBdr>
            <w:top w:val="none" w:sz="0" w:space="0" w:color="auto"/>
            <w:left w:val="none" w:sz="0" w:space="0" w:color="auto"/>
            <w:bottom w:val="none" w:sz="0" w:space="0" w:color="auto"/>
            <w:right w:val="none" w:sz="0" w:space="0" w:color="auto"/>
          </w:divBdr>
        </w:div>
        <w:div w:id="1200779563">
          <w:marLeft w:val="0"/>
          <w:marRight w:val="0"/>
          <w:marTop w:val="0"/>
          <w:marBottom w:val="0"/>
          <w:divBdr>
            <w:top w:val="none" w:sz="0" w:space="0" w:color="auto"/>
            <w:left w:val="none" w:sz="0" w:space="0" w:color="auto"/>
            <w:bottom w:val="none" w:sz="0" w:space="0" w:color="auto"/>
            <w:right w:val="none" w:sz="0" w:space="0" w:color="auto"/>
          </w:divBdr>
        </w:div>
        <w:div w:id="1203246974">
          <w:marLeft w:val="0"/>
          <w:marRight w:val="0"/>
          <w:marTop w:val="0"/>
          <w:marBottom w:val="0"/>
          <w:divBdr>
            <w:top w:val="none" w:sz="0" w:space="0" w:color="auto"/>
            <w:left w:val="none" w:sz="0" w:space="0" w:color="auto"/>
            <w:bottom w:val="none" w:sz="0" w:space="0" w:color="auto"/>
            <w:right w:val="none" w:sz="0" w:space="0" w:color="auto"/>
          </w:divBdr>
        </w:div>
        <w:div w:id="1204293246">
          <w:marLeft w:val="0"/>
          <w:marRight w:val="0"/>
          <w:marTop w:val="0"/>
          <w:marBottom w:val="0"/>
          <w:divBdr>
            <w:top w:val="none" w:sz="0" w:space="0" w:color="auto"/>
            <w:left w:val="none" w:sz="0" w:space="0" w:color="auto"/>
            <w:bottom w:val="none" w:sz="0" w:space="0" w:color="auto"/>
            <w:right w:val="none" w:sz="0" w:space="0" w:color="auto"/>
          </w:divBdr>
        </w:div>
        <w:div w:id="1205173002">
          <w:marLeft w:val="0"/>
          <w:marRight w:val="0"/>
          <w:marTop w:val="0"/>
          <w:marBottom w:val="0"/>
          <w:divBdr>
            <w:top w:val="none" w:sz="0" w:space="0" w:color="auto"/>
            <w:left w:val="none" w:sz="0" w:space="0" w:color="auto"/>
            <w:bottom w:val="none" w:sz="0" w:space="0" w:color="auto"/>
            <w:right w:val="none" w:sz="0" w:space="0" w:color="auto"/>
          </w:divBdr>
        </w:div>
        <w:div w:id="1205404424">
          <w:marLeft w:val="0"/>
          <w:marRight w:val="0"/>
          <w:marTop w:val="0"/>
          <w:marBottom w:val="0"/>
          <w:divBdr>
            <w:top w:val="none" w:sz="0" w:space="0" w:color="auto"/>
            <w:left w:val="none" w:sz="0" w:space="0" w:color="auto"/>
            <w:bottom w:val="none" w:sz="0" w:space="0" w:color="auto"/>
            <w:right w:val="none" w:sz="0" w:space="0" w:color="auto"/>
          </w:divBdr>
        </w:div>
        <w:div w:id="1207521134">
          <w:marLeft w:val="0"/>
          <w:marRight w:val="0"/>
          <w:marTop w:val="0"/>
          <w:marBottom w:val="0"/>
          <w:divBdr>
            <w:top w:val="none" w:sz="0" w:space="0" w:color="auto"/>
            <w:left w:val="none" w:sz="0" w:space="0" w:color="auto"/>
            <w:bottom w:val="none" w:sz="0" w:space="0" w:color="auto"/>
            <w:right w:val="none" w:sz="0" w:space="0" w:color="auto"/>
          </w:divBdr>
        </w:div>
        <w:div w:id="1211922997">
          <w:marLeft w:val="0"/>
          <w:marRight w:val="0"/>
          <w:marTop w:val="0"/>
          <w:marBottom w:val="0"/>
          <w:divBdr>
            <w:top w:val="none" w:sz="0" w:space="0" w:color="auto"/>
            <w:left w:val="none" w:sz="0" w:space="0" w:color="auto"/>
            <w:bottom w:val="none" w:sz="0" w:space="0" w:color="auto"/>
            <w:right w:val="none" w:sz="0" w:space="0" w:color="auto"/>
          </w:divBdr>
          <w:divsChild>
            <w:div w:id="26684199">
              <w:marLeft w:val="0"/>
              <w:marRight w:val="0"/>
              <w:marTop w:val="0"/>
              <w:marBottom w:val="0"/>
              <w:divBdr>
                <w:top w:val="none" w:sz="0" w:space="0" w:color="auto"/>
                <w:left w:val="none" w:sz="0" w:space="0" w:color="auto"/>
                <w:bottom w:val="none" w:sz="0" w:space="0" w:color="auto"/>
                <w:right w:val="none" w:sz="0" w:space="0" w:color="auto"/>
              </w:divBdr>
            </w:div>
            <w:div w:id="92894745">
              <w:marLeft w:val="0"/>
              <w:marRight w:val="0"/>
              <w:marTop w:val="0"/>
              <w:marBottom w:val="0"/>
              <w:divBdr>
                <w:top w:val="none" w:sz="0" w:space="0" w:color="auto"/>
                <w:left w:val="none" w:sz="0" w:space="0" w:color="auto"/>
                <w:bottom w:val="none" w:sz="0" w:space="0" w:color="auto"/>
                <w:right w:val="none" w:sz="0" w:space="0" w:color="auto"/>
              </w:divBdr>
            </w:div>
            <w:div w:id="276110172">
              <w:marLeft w:val="0"/>
              <w:marRight w:val="0"/>
              <w:marTop w:val="0"/>
              <w:marBottom w:val="0"/>
              <w:divBdr>
                <w:top w:val="none" w:sz="0" w:space="0" w:color="auto"/>
                <w:left w:val="none" w:sz="0" w:space="0" w:color="auto"/>
                <w:bottom w:val="none" w:sz="0" w:space="0" w:color="auto"/>
                <w:right w:val="none" w:sz="0" w:space="0" w:color="auto"/>
              </w:divBdr>
            </w:div>
            <w:div w:id="588923965">
              <w:marLeft w:val="0"/>
              <w:marRight w:val="0"/>
              <w:marTop w:val="0"/>
              <w:marBottom w:val="0"/>
              <w:divBdr>
                <w:top w:val="none" w:sz="0" w:space="0" w:color="auto"/>
                <w:left w:val="none" w:sz="0" w:space="0" w:color="auto"/>
                <w:bottom w:val="none" w:sz="0" w:space="0" w:color="auto"/>
                <w:right w:val="none" w:sz="0" w:space="0" w:color="auto"/>
              </w:divBdr>
            </w:div>
            <w:div w:id="614485251">
              <w:marLeft w:val="0"/>
              <w:marRight w:val="0"/>
              <w:marTop w:val="0"/>
              <w:marBottom w:val="0"/>
              <w:divBdr>
                <w:top w:val="none" w:sz="0" w:space="0" w:color="auto"/>
                <w:left w:val="none" w:sz="0" w:space="0" w:color="auto"/>
                <w:bottom w:val="none" w:sz="0" w:space="0" w:color="auto"/>
                <w:right w:val="none" w:sz="0" w:space="0" w:color="auto"/>
              </w:divBdr>
            </w:div>
            <w:div w:id="780606206">
              <w:marLeft w:val="0"/>
              <w:marRight w:val="0"/>
              <w:marTop w:val="0"/>
              <w:marBottom w:val="0"/>
              <w:divBdr>
                <w:top w:val="none" w:sz="0" w:space="0" w:color="auto"/>
                <w:left w:val="none" w:sz="0" w:space="0" w:color="auto"/>
                <w:bottom w:val="none" w:sz="0" w:space="0" w:color="auto"/>
                <w:right w:val="none" w:sz="0" w:space="0" w:color="auto"/>
              </w:divBdr>
            </w:div>
            <w:div w:id="970211496">
              <w:marLeft w:val="0"/>
              <w:marRight w:val="0"/>
              <w:marTop w:val="0"/>
              <w:marBottom w:val="0"/>
              <w:divBdr>
                <w:top w:val="none" w:sz="0" w:space="0" w:color="auto"/>
                <w:left w:val="none" w:sz="0" w:space="0" w:color="auto"/>
                <w:bottom w:val="none" w:sz="0" w:space="0" w:color="auto"/>
                <w:right w:val="none" w:sz="0" w:space="0" w:color="auto"/>
              </w:divBdr>
            </w:div>
            <w:div w:id="1037437294">
              <w:marLeft w:val="0"/>
              <w:marRight w:val="0"/>
              <w:marTop w:val="0"/>
              <w:marBottom w:val="0"/>
              <w:divBdr>
                <w:top w:val="none" w:sz="0" w:space="0" w:color="auto"/>
                <w:left w:val="none" w:sz="0" w:space="0" w:color="auto"/>
                <w:bottom w:val="none" w:sz="0" w:space="0" w:color="auto"/>
                <w:right w:val="none" w:sz="0" w:space="0" w:color="auto"/>
              </w:divBdr>
            </w:div>
            <w:div w:id="1083719421">
              <w:marLeft w:val="0"/>
              <w:marRight w:val="0"/>
              <w:marTop w:val="0"/>
              <w:marBottom w:val="0"/>
              <w:divBdr>
                <w:top w:val="none" w:sz="0" w:space="0" w:color="auto"/>
                <w:left w:val="none" w:sz="0" w:space="0" w:color="auto"/>
                <w:bottom w:val="none" w:sz="0" w:space="0" w:color="auto"/>
                <w:right w:val="none" w:sz="0" w:space="0" w:color="auto"/>
              </w:divBdr>
            </w:div>
            <w:div w:id="1106533697">
              <w:marLeft w:val="0"/>
              <w:marRight w:val="0"/>
              <w:marTop w:val="0"/>
              <w:marBottom w:val="0"/>
              <w:divBdr>
                <w:top w:val="none" w:sz="0" w:space="0" w:color="auto"/>
                <w:left w:val="none" w:sz="0" w:space="0" w:color="auto"/>
                <w:bottom w:val="none" w:sz="0" w:space="0" w:color="auto"/>
                <w:right w:val="none" w:sz="0" w:space="0" w:color="auto"/>
              </w:divBdr>
            </w:div>
            <w:div w:id="1152330296">
              <w:marLeft w:val="0"/>
              <w:marRight w:val="0"/>
              <w:marTop w:val="0"/>
              <w:marBottom w:val="0"/>
              <w:divBdr>
                <w:top w:val="none" w:sz="0" w:space="0" w:color="auto"/>
                <w:left w:val="none" w:sz="0" w:space="0" w:color="auto"/>
                <w:bottom w:val="none" w:sz="0" w:space="0" w:color="auto"/>
                <w:right w:val="none" w:sz="0" w:space="0" w:color="auto"/>
              </w:divBdr>
            </w:div>
            <w:div w:id="1255171380">
              <w:marLeft w:val="0"/>
              <w:marRight w:val="0"/>
              <w:marTop w:val="0"/>
              <w:marBottom w:val="0"/>
              <w:divBdr>
                <w:top w:val="none" w:sz="0" w:space="0" w:color="auto"/>
                <w:left w:val="none" w:sz="0" w:space="0" w:color="auto"/>
                <w:bottom w:val="none" w:sz="0" w:space="0" w:color="auto"/>
                <w:right w:val="none" w:sz="0" w:space="0" w:color="auto"/>
              </w:divBdr>
            </w:div>
            <w:div w:id="1264267617">
              <w:marLeft w:val="0"/>
              <w:marRight w:val="0"/>
              <w:marTop w:val="0"/>
              <w:marBottom w:val="0"/>
              <w:divBdr>
                <w:top w:val="none" w:sz="0" w:space="0" w:color="auto"/>
                <w:left w:val="none" w:sz="0" w:space="0" w:color="auto"/>
                <w:bottom w:val="none" w:sz="0" w:space="0" w:color="auto"/>
                <w:right w:val="none" w:sz="0" w:space="0" w:color="auto"/>
              </w:divBdr>
            </w:div>
            <w:div w:id="1360625348">
              <w:marLeft w:val="0"/>
              <w:marRight w:val="0"/>
              <w:marTop w:val="0"/>
              <w:marBottom w:val="0"/>
              <w:divBdr>
                <w:top w:val="none" w:sz="0" w:space="0" w:color="auto"/>
                <w:left w:val="none" w:sz="0" w:space="0" w:color="auto"/>
                <w:bottom w:val="none" w:sz="0" w:space="0" w:color="auto"/>
                <w:right w:val="none" w:sz="0" w:space="0" w:color="auto"/>
              </w:divBdr>
            </w:div>
            <w:div w:id="1730766765">
              <w:marLeft w:val="0"/>
              <w:marRight w:val="0"/>
              <w:marTop w:val="0"/>
              <w:marBottom w:val="0"/>
              <w:divBdr>
                <w:top w:val="none" w:sz="0" w:space="0" w:color="auto"/>
                <w:left w:val="none" w:sz="0" w:space="0" w:color="auto"/>
                <w:bottom w:val="none" w:sz="0" w:space="0" w:color="auto"/>
                <w:right w:val="none" w:sz="0" w:space="0" w:color="auto"/>
              </w:divBdr>
            </w:div>
            <w:div w:id="1812364543">
              <w:marLeft w:val="0"/>
              <w:marRight w:val="0"/>
              <w:marTop w:val="0"/>
              <w:marBottom w:val="0"/>
              <w:divBdr>
                <w:top w:val="none" w:sz="0" w:space="0" w:color="auto"/>
                <w:left w:val="none" w:sz="0" w:space="0" w:color="auto"/>
                <w:bottom w:val="none" w:sz="0" w:space="0" w:color="auto"/>
                <w:right w:val="none" w:sz="0" w:space="0" w:color="auto"/>
              </w:divBdr>
            </w:div>
            <w:div w:id="1862817655">
              <w:marLeft w:val="0"/>
              <w:marRight w:val="0"/>
              <w:marTop w:val="0"/>
              <w:marBottom w:val="0"/>
              <w:divBdr>
                <w:top w:val="none" w:sz="0" w:space="0" w:color="auto"/>
                <w:left w:val="none" w:sz="0" w:space="0" w:color="auto"/>
                <w:bottom w:val="none" w:sz="0" w:space="0" w:color="auto"/>
                <w:right w:val="none" w:sz="0" w:space="0" w:color="auto"/>
              </w:divBdr>
            </w:div>
            <w:div w:id="1973973439">
              <w:marLeft w:val="0"/>
              <w:marRight w:val="0"/>
              <w:marTop w:val="0"/>
              <w:marBottom w:val="0"/>
              <w:divBdr>
                <w:top w:val="none" w:sz="0" w:space="0" w:color="auto"/>
                <w:left w:val="none" w:sz="0" w:space="0" w:color="auto"/>
                <w:bottom w:val="none" w:sz="0" w:space="0" w:color="auto"/>
                <w:right w:val="none" w:sz="0" w:space="0" w:color="auto"/>
              </w:divBdr>
            </w:div>
            <w:div w:id="2065518793">
              <w:marLeft w:val="0"/>
              <w:marRight w:val="0"/>
              <w:marTop w:val="0"/>
              <w:marBottom w:val="0"/>
              <w:divBdr>
                <w:top w:val="none" w:sz="0" w:space="0" w:color="auto"/>
                <w:left w:val="none" w:sz="0" w:space="0" w:color="auto"/>
                <w:bottom w:val="none" w:sz="0" w:space="0" w:color="auto"/>
                <w:right w:val="none" w:sz="0" w:space="0" w:color="auto"/>
              </w:divBdr>
            </w:div>
            <w:div w:id="2137481793">
              <w:marLeft w:val="0"/>
              <w:marRight w:val="0"/>
              <w:marTop w:val="0"/>
              <w:marBottom w:val="0"/>
              <w:divBdr>
                <w:top w:val="none" w:sz="0" w:space="0" w:color="auto"/>
                <w:left w:val="none" w:sz="0" w:space="0" w:color="auto"/>
                <w:bottom w:val="none" w:sz="0" w:space="0" w:color="auto"/>
                <w:right w:val="none" w:sz="0" w:space="0" w:color="auto"/>
              </w:divBdr>
            </w:div>
          </w:divsChild>
        </w:div>
        <w:div w:id="1212183378">
          <w:marLeft w:val="0"/>
          <w:marRight w:val="0"/>
          <w:marTop w:val="0"/>
          <w:marBottom w:val="0"/>
          <w:divBdr>
            <w:top w:val="none" w:sz="0" w:space="0" w:color="auto"/>
            <w:left w:val="none" w:sz="0" w:space="0" w:color="auto"/>
            <w:bottom w:val="none" w:sz="0" w:space="0" w:color="auto"/>
            <w:right w:val="none" w:sz="0" w:space="0" w:color="auto"/>
          </w:divBdr>
        </w:div>
        <w:div w:id="1212959887">
          <w:marLeft w:val="0"/>
          <w:marRight w:val="0"/>
          <w:marTop w:val="0"/>
          <w:marBottom w:val="0"/>
          <w:divBdr>
            <w:top w:val="none" w:sz="0" w:space="0" w:color="auto"/>
            <w:left w:val="none" w:sz="0" w:space="0" w:color="auto"/>
            <w:bottom w:val="none" w:sz="0" w:space="0" w:color="auto"/>
            <w:right w:val="none" w:sz="0" w:space="0" w:color="auto"/>
          </w:divBdr>
        </w:div>
        <w:div w:id="1214270676">
          <w:marLeft w:val="0"/>
          <w:marRight w:val="0"/>
          <w:marTop w:val="0"/>
          <w:marBottom w:val="0"/>
          <w:divBdr>
            <w:top w:val="none" w:sz="0" w:space="0" w:color="auto"/>
            <w:left w:val="none" w:sz="0" w:space="0" w:color="auto"/>
            <w:bottom w:val="none" w:sz="0" w:space="0" w:color="auto"/>
            <w:right w:val="none" w:sz="0" w:space="0" w:color="auto"/>
          </w:divBdr>
        </w:div>
        <w:div w:id="1215772670">
          <w:marLeft w:val="0"/>
          <w:marRight w:val="0"/>
          <w:marTop w:val="0"/>
          <w:marBottom w:val="0"/>
          <w:divBdr>
            <w:top w:val="none" w:sz="0" w:space="0" w:color="auto"/>
            <w:left w:val="none" w:sz="0" w:space="0" w:color="auto"/>
            <w:bottom w:val="none" w:sz="0" w:space="0" w:color="auto"/>
            <w:right w:val="none" w:sz="0" w:space="0" w:color="auto"/>
          </w:divBdr>
        </w:div>
        <w:div w:id="1218974332">
          <w:marLeft w:val="0"/>
          <w:marRight w:val="0"/>
          <w:marTop w:val="0"/>
          <w:marBottom w:val="0"/>
          <w:divBdr>
            <w:top w:val="none" w:sz="0" w:space="0" w:color="auto"/>
            <w:left w:val="none" w:sz="0" w:space="0" w:color="auto"/>
            <w:bottom w:val="none" w:sz="0" w:space="0" w:color="auto"/>
            <w:right w:val="none" w:sz="0" w:space="0" w:color="auto"/>
          </w:divBdr>
        </w:div>
        <w:div w:id="1220046723">
          <w:marLeft w:val="0"/>
          <w:marRight w:val="0"/>
          <w:marTop w:val="0"/>
          <w:marBottom w:val="0"/>
          <w:divBdr>
            <w:top w:val="none" w:sz="0" w:space="0" w:color="auto"/>
            <w:left w:val="none" w:sz="0" w:space="0" w:color="auto"/>
            <w:bottom w:val="none" w:sz="0" w:space="0" w:color="auto"/>
            <w:right w:val="none" w:sz="0" w:space="0" w:color="auto"/>
          </w:divBdr>
        </w:div>
        <w:div w:id="1225263583">
          <w:marLeft w:val="0"/>
          <w:marRight w:val="0"/>
          <w:marTop w:val="0"/>
          <w:marBottom w:val="0"/>
          <w:divBdr>
            <w:top w:val="none" w:sz="0" w:space="0" w:color="auto"/>
            <w:left w:val="none" w:sz="0" w:space="0" w:color="auto"/>
            <w:bottom w:val="none" w:sz="0" w:space="0" w:color="auto"/>
            <w:right w:val="none" w:sz="0" w:space="0" w:color="auto"/>
          </w:divBdr>
          <w:divsChild>
            <w:div w:id="431560365">
              <w:marLeft w:val="0"/>
              <w:marRight w:val="0"/>
              <w:marTop w:val="0"/>
              <w:marBottom w:val="0"/>
              <w:divBdr>
                <w:top w:val="none" w:sz="0" w:space="0" w:color="auto"/>
                <w:left w:val="none" w:sz="0" w:space="0" w:color="auto"/>
                <w:bottom w:val="none" w:sz="0" w:space="0" w:color="auto"/>
                <w:right w:val="none" w:sz="0" w:space="0" w:color="auto"/>
              </w:divBdr>
            </w:div>
            <w:div w:id="553931740">
              <w:marLeft w:val="0"/>
              <w:marRight w:val="0"/>
              <w:marTop w:val="0"/>
              <w:marBottom w:val="0"/>
              <w:divBdr>
                <w:top w:val="none" w:sz="0" w:space="0" w:color="auto"/>
                <w:left w:val="none" w:sz="0" w:space="0" w:color="auto"/>
                <w:bottom w:val="none" w:sz="0" w:space="0" w:color="auto"/>
                <w:right w:val="none" w:sz="0" w:space="0" w:color="auto"/>
              </w:divBdr>
            </w:div>
            <w:div w:id="628244036">
              <w:marLeft w:val="0"/>
              <w:marRight w:val="0"/>
              <w:marTop w:val="0"/>
              <w:marBottom w:val="0"/>
              <w:divBdr>
                <w:top w:val="none" w:sz="0" w:space="0" w:color="auto"/>
                <w:left w:val="none" w:sz="0" w:space="0" w:color="auto"/>
                <w:bottom w:val="none" w:sz="0" w:space="0" w:color="auto"/>
                <w:right w:val="none" w:sz="0" w:space="0" w:color="auto"/>
              </w:divBdr>
            </w:div>
            <w:div w:id="841630488">
              <w:marLeft w:val="0"/>
              <w:marRight w:val="0"/>
              <w:marTop w:val="0"/>
              <w:marBottom w:val="0"/>
              <w:divBdr>
                <w:top w:val="none" w:sz="0" w:space="0" w:color="auto"/>
                <w:left w:val="none" w:sz="0" w:space="0" w:color="auto"/>
                <w:bottom w:val="none" w:sz="0" w:space="0" w:color="auto"/>
                <w:right w:val="none" w:sz="0" w:space="0" w:color="auto"/>
              </w:divBdr>
            </w:div>
            <w:div w:id="867915338">
              <w:marLeft w:val="0"/>
              <w:marRight w:val="0"/>
              <w:marTop w:val="0"/>
              <w:marBottom w:val="0"/>
              <w:divBdr>
                <w:top w:val="none" w:sz="0" w:space="0" w:color="auto"/>
                <w:left w:val="none" w:sz="0" w:space="0" w:color="auto"/>
                <w:bottom w:val="none" w:sz="0" w:space="0" w:color="auto"/>
                <w:right w:val="none" w:sz="0" w:space="0" w:color="auto"/>
              </w:divBdr>
            </w:div>
            <w:div w:id="1289623061">
              <w:marLeft w:val="0"/>
              <w:marRight w:val="0"/>
              <w:marTop w:val="0"/>
              <w:marBottom w:val="0"/>
              <w:divBdr>
                <w:top w:val="none" w:sz="0" w:space="0" w:color="auto"/>
                <w:left w:val="none" w:sz="0" w:space="0" w:color="auto"/>
                <w:bottom w:val="none" w:sz="0" w:space="0" w:color="auto"/>
                <w:right w:val="none" w:sz="0" w:space="0" w:color="auto"/>
              </w:divBdr>
            </w:div>
            <w:div w:id="1449008090">
              <w:marLeft w:val="0"/>
              <w:marRight w:val="0"/>
              <w:marTop w:val="0"/>
              <w:marBottom w:val="0"/>
              <w:divBdr>
                <w:top w:val="none" w:sz="0" w:space="0" w:color="auto"/>
                <w:left w:val="none" w:sz="0" w:space="0" w:color="auto"/>
                <w:bottom w:val="none" w:sz="0" w:space="0" w:color="auto"/>
                <w:right w:val="none" w:sz="0" w:space="0" w:color="auto"/>
              </w:divBdr>
            </w:div>
            <w:div w:id="1666518572">
              <w:marLeft w:val="0"/>
              <w:marRight w:val="0"/>
              <w:marTop w:val="0"/>
              <w:marBottom w:val="0"/>
              <w:divBdr>
                <w:top w:val="none" w:sz="0" w:space="0" w:color="auto"/>
                <w:left w:val="none" w:sz="0" w:space="0" w:color="auto"/>
                <w:bottom w:val="none" w:sz="0" w:space="0" w:color="auto"/>
                <w:right w:val="none" w:sz="0" w:space="0" w:color="auto"/>
              </w:divBdr>
            </w:div>
            <w:div w:id="1814517126">
              <w:marLeft w:val="0"/>
              <w:marRight w:val="0"/>
              <w:marTop w:val="0"/>
              <w:marBottom w:val="0"/>
              <w:divBdr>
                <w:top w:val="none" w:sz="0" w:space="0" w:color="auto"/>
                <w:left w:val="none" w:sz="0" w:space="0" w:color="auto"/>
                <w:bottom w:val="none" w:sz="0" w:space="0" w:color="auto"/>
                <w:right w:val="none" w:sz="0" w:space="0" w:color="auto"/>
              </w:divBdr>
            </w:div>
            <w:div w:id="2027827639">
              <w:marLeft w:val="0"/>
              <w:marRight w:val="0"/>
              <w:marTop w:val="0"/>
              <w:marBottom w:val="0"/>
              <w:divBdr>
                <w:top w:val="none" w:sz="0" w:space="0" w:color="auto"/>
                <w:left w:val="none" w:sz="0" w:space="0" w:color="auto"/>
                <w:bottom w:val="none" w:sz="0" w:space="0" w:color="auto"/>
                <w:right w:val="none" w:sz="0" w:space="0" w:color="auto"/>
              </w:divBdr>
            </w:div>
            <w:div w:id="2141653669">
              <w:marLeft w:val="0"/>
              <w:marRight w:val="0"/>
              <w:marTop w:val="0"/>
              <w:marBottom w:val="0"/>
              <w:divBdr>
                <w:top w:val="none" w:sz="0" w:space="0" w:color="auto"/>
                <w:left w:val="none" w:sz="0" w:space="0" w:color="auto"/>
                <w:bottom w:val="none" w:sz="0" w:space="0" w:color="auto"/>
                <w:right w:val="none" w:sz="0" w:space="0" w:color="auto"/>
              </w:divBdr>
            </w:div>
          </w:divsChild>
        </w:div>
        <w:div w:id="1227229825">
          <w:marLeft w:val="0"/>
          <w:marRight w:val="0"/>
          <w:marTop w:val="0"/>
          <w:marBottom w:val="0"/>
          <w:divBdr>
            <w:top w:val="none" w:sz="0" w:space="0" w:color="auto"/>
            <w:left w:val="none" w:sz="0" w:space="0" w:color="auto"/>
            <w:bottom w:val="none" w:sz="0" w:space="0" w:color="auto"/>
            <w:right w:val="none" w:sz="0" w:space="0" w:color="auto"/>
          </w:divBdr>
        </w:div>
        <w:div w:id="1229147731">
          <w:marLeft w:val="0"/>
          <w:marRight w:val="0"/>
          <w:marTop w:val="0"/>
          <w:marBottom w:val="0"/>
          <w:divBdr>
            <w:top w:val="none" w:sz="0" w:space="0" w:color="auto"/>
            <w:left w:val="none" w:sz="0" w:space="0" w:color="auto"/>
            <w:bottom w:val="none" w:sz="0" w:space="0" w:color="auto"/>
            <w:right w:val="none" w:sz="0" w:space="0" w:color="auto"/>
          </w:divBdr>
        </w:div>
        <w:div w:id="1231697249">
          <w:marLeft w:val="0"/>
          <w:marRight w:val="0"/>
          <w:marTop w:val="0"/>
          <w:marBottom w:val="0"/>
          <w:divBdr>
            <w:top w:val="none" w:sz="0" w:space="0" w:color="auto"/>
            <w:left w:val="none" w:sz="0" w:space="0" w:color="auto"/>
            <w:bottom w:val="none" w:sz="0" w:space="0" w:color="auto"/>
            <w:right w:val="none" w:sz="0" w:space="0" w:color="auto"/>
          </w:divBdr>
          <w:divsChild>
            <w:div w:id="45493153">
              <w:marLeft w:val="0"/>
              <w:marRight w:val="0"/>
              <w:marTop w:val="0"/>
              <w:marBottom w:val="0"/>
              <w:divBdr>
                <w:top w:val="none" w:sz="0" w:space="0" w:color="auto"/>
                <w:left w:val="none" w:sz="0" w:space="0" w:color="auto"/>
                <w:bottom w:val="none" w:sz="0" w:space="0" w:color="auto"/>
                <w:right w:val="none" w:sz="0" w:space="0" w:color="auto"/>
              </w:divBdr>
            </w:div>
            <w:div w:id="54013136">
              <w:marLeft w:val="0"/>
              <w:marRight w:val="0"/>
              <w:marTop w:val="0"/>
              <w:marBottom w:val="0"/>
              <w:divBdr>
                <w:top w:val="none" w:sz="0" w:space="0" w:color="auto"/>
                <w:left w:val="none" w:sz="0" w:space="0" w:color="auto"/>
                <w:bottom w:val="none" w:sz="0" w:space="0" w:color="auto"/>
                <w:right w:val="none" w:sz="0" w:space="0" w:color="auto"/>
              </w:divBdr>
            </w:div>
            <w:div w:id="123349416">
              <w:marLeft w:val="0"/>
              <w:marRight w:val="0"/>
              <w:marTop w:val="0"/>
              <w:marBottom w:val="0"/>
              <w:divBdr>
                <w:top w:val="none" w:sz="0" w:space="0" w:color="auto"/>
                <w:left w:val="none" w:sz="0" w:space="0" w:color="auto"/>
                <w:bottom w:val="none" w:sz="0" w:space="0" w:color="auto"/>
                <w:right w:val="none" w:sz="0" w:space="0" w:color="auto"/>
              </w:divBdr>
            </w:div>
            <w:div w:id="324825118">
              <w:marLeft w:val="0"/>
              <w:marRight w:val="0"/>
              <w:marTop w:val="0"/>
              <w:marBottom w:val="0"/>
              <w:divBdr>
                <w:top w:val="none" w:sz="0" w:space="0" w:color="auto"/>
                <w:left w:val="none" w:sz="0" w:space="0" w:color="auto"/>
                <w:bottom w:val="none" w:sz="0" w:space="0" w:color="auto"/>
                <w:right w:val="none" w:sz="0" w:space="0" w:color="auto"/>
              </w:divBdr>
            </w:div>
            <w:div w:id="643394235">
              <w:marLeft w:val="0"/>
              <w:marRight w:val="0"/>
              <w:marTop w:val="0"/>
              <w:marBottom w:val="0"/>
              <w:divBdr>
                <w:top w:val="none" w:sz="0" w:space="0" w:color="auto"/>
                <w:left w:val="none" w:sz="0" w:space="0" w:color="auto"/>
                <w:bottom w:val="none" w:sz="0" w:space="0" w:color="auto"/>
                <w:right w:val="none" w:sz="0" w:space="0" w:color="auto"/>
              </w:divBdr>
            </w:div>
            <w:div w:id="795299870">
              <w:marLeft w:val="0"/>
              <w:marRight w:val="0"/>
              <w:marTop w:val="0"/>
              <w:marBottom w:val="0"/>
              <w:divBdr>
                <w:top w:val="none" w:sz="0" w:space="0" w:color="auto"/>
                <w:left w:val="none" w:sz="0" w:space="0" w:color="auto"/>
                <w:bottom w:val="none" w:sz="0" w:space="0" w:color="auto"/>
                <w:right w:val="none" w:sz="0" w:space="0" w:color="auto"/>
              </w:divBdr>
            </w:div>
            <w:div w:id="816648084">
              <w:marLeft w:val="0"/>
              <w:marRight w:val="0"/>
              <w:marTop w:val="0"/>
              <w:marBottom w:val="0"/>
              <w:divBdr>
                <w:top w:val="none" w:sz="0" w:space="0" w:color="auto"/>
                <w:left w:val="none" w:sz="0" w:space="0" w:color="auto"/>
                <w:bottom w:val="none" w:sz="0" w:space="0" w:color="auto"/>
                <w:right w:val="none" w:sz="0" w:space="0" w:color="auto"/>
              </w:divBdr>
            </w:div>
            <w:div w:id="1002968251">
              <w:marLeft w:val="0"/>
              <w:marRight w:val="0"/>
              <w:marTop w:val="0"/>
              <w:marBottom w:val="0"/>
              <w:divBdr>
                <w:top w:val="none" w:sz="0" w:space="0" w:color="auto"/>
                <w:left w:val="none" w:sz="0" w:space="0" w:color="auto"/>
                <w:bottom w:val="none" w:sz="0" w:space="0" w:color="auto"/>
                <w:right w:val="none" w:sz="0" w:space="0" w:color="auto"/>
              </w:divBdr>
            </w:div>
            <w:div w:id="1047678684">
              <w:marLeft w:val="0"/>
              <w:marRight w:val="0"/>
              <w:marTop w:val="0"/>
              <w:marBottom w:val="0"/>
              <w:divBdr>
                <w:top w:val="none" w:sz="0" w:space="0" w:color="auto"/>
                <w:left w:val="none" w:sz="0" w:space="0" w:color="auto"/>
                <w:bottom w:val="none" w:sz="0" w:space="0" w:color="auto"/>
                <w:right w:val="none" w:sz="0" w:space="0" w:color="auto"/>
              </w:divBdr>
            </w:div>
            <w:div w:id="1098872519">
              <w:marLeft w:val="0"/>
              <w:marRight w:val="0"/>
              <w:marTop w:val="0"/>
              <w:marBottom w:val="0"/>
              <w:divBdr>
                <w:top w:val="none" w:sz="0" w:space="0" w:color="auto"/>
                <w:left w:val="none" w:sz="0" w:space="0" w:color="auto"/>
                <w:bottom w:val="none" w:sz="0" w:space="0" w:color="auto"/>
                <w:right w:val="none" w:sz="0" w:space="0" w:color="auto"/>
              </w:divBdr>
            </w:div>
            <w:div w:id="1181508942">
              <w:marLeft w:val="0"/>
              <w:marRight w:val="0"/>
              <w:marTop w:val="0"/>
              <w:marBottom w:val="0"/>
              <w:divBdr>
                <w:top w:val="none" w:sz="0" w:space="0" w:color="auto"/>
                <w:left w:val="none" w:sz="0" w:space="0" w:color="auto"/>
                <w:bottom w:val="none" w:sz="0" w:space="0" w:color="auto"/>
                <w:right w:val="none" w:sz="0" w:space="0" w:color="auto"/>
              </w:divBdr>
            </w:div>
            <w:div w:id="1332878777">
              <w:marLeft w:val="0"/>
              <w:marRight w:val="0"/>
              <w:marTop w:val="0"/>
              <w:marBottom w:val="0"/>
              <w:divBdr>
                <w:top w:val="none" w:sz="0" w:space="0" w:color="auto"/>
                <w:left w:val="none" w:sz="0" w:space="0" w:color="auto"/>
                <w:bottom w:val="none" w:sz="0" w:space="0" w:color="auto"/>
                <w:right w:val="none" w:sz="0" w:space="0" w:color="auto"/>
              </w:divBdr>
            </w:div>
            <w:div w:id="1335373528">
              <w:marLeft w:val="0"/>
              <w:marRight w:val="0"/>
              <w:marTop w:val="0"/>
              <w:marBottom w:val="0"/>
              <w:divBdr>
                <w:top w:val="none" w:sz="0" w:space="0" w:color="auto"/>
                <w:left w:val="none" w:sz="0" w:space="0" w:color="auto"/>
                <w:bottom w:val="none" w:sz="0" w:space="0" w:color="auto"/>
                <w:right w:val="none" w:sz="0" w:space="0" w:color="auto"/>
              </w:divBdr>
            </w:div>
            <w:div w:id="1399521826">
              <w:marLeft w:val="0"/>
              <w:marRight w:val="0"/>
              <w:marTop w:val="0"/>
              <w:marBottom w:val="0"/>
              <w:divBdr>
                <w:top w:val="none" w:sz="0" w:space="0" w:color="auto"/>
                <w:left w:val="none" w:sz="0" w:space="0" w:color="auto"/>
                <w:bottom w:val="none" w:sz="0" w:space="0" w:color="auto"/>
                <w:right w:val="none" w:sz="0" w:space="0" w:color="auto"/>
              </w:divBdr>
            </w:div>
            <w:div w:id="1712027698">
              <w:marLeft w:val="0"/>
              <w:marRight w:val="0"/>
              <w:marTop w:val="0"/>
              <w:marBottom w:val="0"/>
              <w:divBdr>
                <w:top w:val="none" w:sz="0" w:space="0" w:color="auto"/>
                <w:left w:val="none" w:sz="0" w:space="0" w:color="auto"/>
                <w:bottom w:val="none" w:sz="0" w:space="0" w:color="auto"/>
                <w:right w:val="none" w:sz="0" w:space="0" w:color="auto"/>
              </w:divBdr>
            </w:div>
            <w:div w:id="1796480937">
              <w:marLeft w:val="0"/>
              <w:marRight w:val="0"/>
              <w:marTop w:val="0"/>
              <w:marBottom w:val="0"/>
              <w:divBdr>
                <w:top w:val="none" w:sz="0" w:space="0" w:color="auto"/>
                <w:left w:val="none" w:sz="0" w:space="0" w:color="auto"/>
                <w:bottom w:val="none" w:sz="0" w:space="0" w:color="auto"/>
                <w:right w:val="none" w:sz="0" w:space="0" w:color="auto"/>
              </w:divBdr>
            </w:div>
            <w:div w:id="1870798126">
              <w:marLeft w:val="0"/>
              <w:marRight w:val="0"/>
              <w:marTop w:val="0"/>
              <w:marBottom w:val="0"/>
              <w:divBdr>
                <w:top w:val="none" w:sz="0" w:space="0" w:color="auto"/>
                <w:left w:val="none" w:sz="0" w:space="0" w:color="auto"/>
                <w:bottom w:val="none" w:sz="0" w:space="0" w:color="auto"/>
                <w:right w:val="none" w:sz="0" w:space="0" w:color="auto"/>
              </w:divBdr>
            </w:div>
            <w:div w:id="2032605334">
              <w:marLeft w:val="0"/>
              <w:marRight w:val="0"/>
              <w:marTop w:val="0"/>
              <w:marBottom w:val="0"/>
              <w:divBdr>
                <w:top w:val="none" w:sz="0" w:space="0" w:color="auto"/>
                <w:left w:val="none" w:sz="0" w:space="0" w:color="auto"/>
                <w:bottom w:val="none" w:sz="0" w:space="0" w:color="auto"/>
                <w:right w:val="none" w:sz="0" w:space="0" w:color="auto"/>
              </w:divBdr>
            </w:div>
            <w:div w:id="2093353901">
              <w:marLeft w:val="0"/>
              <w:marRight w:val="0"/>
              <w:marTop w:val="0"/>
              <w:marBottom w:val="0"/>
              <w:divBdr>
                <w:top w:val="none" w:sz="0" w:space="0" w:color="auto"/>
                <w:left w:val="none" w:sz="0" w:space="0" w:color="auto"/>
                <w:bottom w:val="none" w:sz="0" w:space="0" w:color="auto"/>
                <w:right w:val="none" w:sz="0" w:space="0" w:color="auto"/>
              </w:divBdr>
            </w:div>
          </w:divsChild>
        </w:div>
        <w:div w:id="1232546677">
          <w:marLeft w:val="0"/>
          <w:marRight w:val="0"/>
          <w:marTop w:val="0"/>
          <w:marBottom w:val="0"/>
          <w:divBdr>
            <w:top w:val="none" w:sz="0" w:space="0" w:color="auto"/>
            <w:left w:val="none" w:sz="0" w:space="0" w:color="auto"/>
            <w:bottom w:val="none" w:sz="0" w:space="0" w:color="auto"/>
            <w:right w:val="none" w:sz="0" w:space="0" w:color="auto"/>
          </w:divBdr>
        </w:div>
        <w:div w:id="1233349914">
          <w:marLeft w:val="0"/>
          <w:marRight w:val="0"/>
          <w:marTop w:val="0"/>
          <w:marBottom w:val="0"/>
          <w:divBdr>
            <w:top w:val="none" w:sz="0" w:space="0" w:color="auto"/>
            <w:left w:val="none" w:sz="0" w:space="0" w:color="auto"/>
            <w:bottom w:val="none" w:sz="0" w:space="0" w:color="auto"/>
            <w:right w:val="none" w:sz="0" w:space="0" w:color="auto"/>
          </w:divBdr>
        </w:div>
        <w:div w:id="1234118288">
          <w:marLeft w:val="0"/>
          <w:marRight w:val="0"/>
          <w:marTop w:val="0"/>
          <w:marBottom w:val="0"/>
          <w:divBdr>
            <w:top w:val="none" w:sz="0" w:space="0" w:color="auto"/>
            <w:left w:val="none" w:sz="0" w:space="0" w:color="auto"/>
            <w:bottom w:val="none" w:sz="0" w:space="0" w:color="auto"/>
            <w:right w:val="none" w:sz="0" w:space="0" w:color="auto"/>
          </w:divBdr>
        </w:div>
        <w:div w:id="1234973269">
          <w:marLeft w:val="0"/>
          <w:marRight w:val="0"/>
          <w:marTop w:val="0"/>
          <w:marBottom w:val="0"/>
          <w:divBdr>
            <w:top w:val="none" w:sz="0" w:space="0" w:color="auto"/>
            <w:left w:val="none" w:sz="0" w:space="0" w:color="auto"/>
            <w:bottom w:val="none" w:sz="0" w:space="0" w:color="auto"/>
            <w:right w:val="none" w:sz="0" w:space="0" w:color="auto"/>
          </w:divBdr>
        </w:div>
        <w:div w:id="1240018791">
          <w:marLeft w:val="0"/>
          <w:marRight w:val="0"/>
          <w:marTop w:val="0"/>
          <w:marBottom w:val="0"/>
          <w:divBdr>
            <w:top w:val="none" w:sz="0" w:space="0" w:color="auto"/>
            <w:left w:val="none" w:sz="0" w:space="0" w:color="auto"/>
            <w:bottom w:val="none" w:sz="0" w:space="0" w:color="auto"/>
            <w:right w:val="none" w:sz="0" w:space="0" w:color="auto"/>
          </w:divBdr>
        </w:div>
        <w:div w:id="1241715196">
          <w:marLeft w:val="0"/>
          <w:marRight w:val="0"/>
          <w:marTop w:val="0"/>
          <w:marBottom w:val="0"/>
          <w:divBdr>
            <w:top w:val="none" w:sz="0" w:space="0" w:color="auto"/>
            <w:left w:val="none" w:sz="0" w:space="0" w:color="auto"/>
            <w:bottom w:val="none" w:sz="0" w:space="0" w:color="auto"/>
            <w:right w:val="none" w:sz="0" w:space="0" w:color="auto"/>
          </w:divBdr>
        </w:div>
        <w:div w:id="1241718585">
          <w:marLeft w:val="0"/>
          <w:marRight w:val="0"/>
          <w:marTop w:val="0"/>
          <w:marBottom w:val="0"/>
          <w:divBdr>
            <w:top w:val="none" w:sz="0" w:space="0" w:color="auto"/>
            <w:left w:val="none" w:sz="0" w:space="0" w:color="auto"/>
            <w:bottom w:val="none" w:sz="0" w:space="0" w:color="auto"/>
            <w:right w:val="none" w:sz="0" w:space="0" w:color="auto"/>
          </w:divBdr>
        </w:div>
        <w:div w:id="1243299273">
          <w:marLeft w:val="0"/>
          <w:marRight w:val="0"/>
          <w:marTop w:val="0"/>
          <w:marBottom w:val="0"/>
          <w:divBdr>
            <w:top w:val="none" w:sz="0" w:space="0" w:color="auto"/>
            <w:left w:val="none" w:sz="0" w:space="0" w:color="auto"/>
            <w:bottom w:val="none" w:sz="0" w:space="0" w:color="auto"/>
            <w:right w:val="none" w:sz="0" w:space="0" w:color="auto"/>
          </w:divBdr>
        </w:div>
        <w:div w:id="1243678429">
          <w:marLeft w:val="0"/>
          <w:marRight w:val="0"/>
          <w:marTop w:val="0"/>
          <w:marBottom w:val="0"/>
          <w:divBdr>
            <w:top w:val="none" w:sz="0" w:space="0" w:color="auto"/>
            <w:left w:val="none" w:sz="0" w:space="0" w:color="auto"/>
            <w:bottom w:val="none" w:sz="0" w:space="0" w:color="auto"/>
            <w:right w:val="none" w:sz="0" w:space="0" w:color="auto"/>
          </w:divBdr>
        </w:div>
        <w:div w:id="1244024406">
          <w:marLeft w:val="0"/>
          <w:marRight w:val="0"/>
          <w:marTop w:val="0"/>
          <w:marBottom w:val="0"/>
          <w:divBdr>
            <w:top w:val="none" w:sz="0" w:space="0" w:color="auto"/>
            <w:left w:val="none" w:sz="0" w:space="0" w:color="auto"/>
            <w:bottom w:val="none" w:sz="0" w:space="0" w:color="auto"/>
            <w:right w:val="none" w:sz="0" w:space="0" w:color="auto"/>
          </w:divBdr>
        </w:div>
        <w:div w:id="1244728721">
          <w:marLeft w:val="0"/>
          <w:marRight w:val="0"/>
          <w:marTop w:val="0"/>
          <w:marBottom w:val="0"/>
          <w:divBdr>
            <w:top w:val="none" w:sz="0" w:space="0" w:color="auto"/>
            <w:left w:val="none" w:sz="0" w:space="0" w:color="auto"/>
            <w:bottom w:val="none" w:sz="0" w:space="0" w:color="auto"/>
            <w:right w:val="none" w:sz="0" w:space="0" w:color="auto"/>
          </w:divBdr>
        </w:div>
        <w:div w:id="1248611254">
          <w:marLeft w:val="0"/>
          <w:marRight w:val="0"/>
          <w:marTop w:val="0"/>
          <w:marBottom w:val="0"/>
          <w:divBdr>
            <w:top w:val="none" w:sz="0" w:space="0" w:color="auto"/>
            <w:left w:val="none" w:sz="0" w:space="0" w:color="auto"/>
            <w:bottom w:val="none" w:sz="0" w:space="0" w:color="auto"/>
            <w:right w:val="none" w:sz="0" w:space="0" w:color="auto"/>
          </w:divBdr>
        </w:div>
        <w:div w:id="1248735325">
          <w:marLeft w:val="0"/>
          <w:marRight w:val="0"/>
          <w:marTop w:val="0"/>
          <w:marBottom w:val="0"/>
          <w:divBdr>
            <w:top w:val="none" w:sz="0" w:space="0" w:color="auto"/>
            <w:left w:val="none" w:sz="0" w:space="0" w:color="auto"/>
            <w:bottom w:val="none" w:sz="0" w:space="0" w:color="auto"/>
            <w:right w:val="none" w:sz="0" w:space="0" w:color="auto"/>
          </w:divBdr>
          <w:divsChild>
            <w:div w:id="92552170">
              <w:marLeft w:val="0"/>
              <w:marRight w:val="0"/>
              <w:marTop w:val="0"/>
              <w:marBottom w:val="0"/>
              <w:divBdr>
                <w:top w:val="none" w:sz="0" w:space="0" w:color="auto"/>
                <w:left w:val="none" w:sz="0" w:space="0" w:color="auto"/>
                <w:bottom w:val="none" w:sz="0" w:space="0" w:color="auto"/>
                <w:right w:val="none" w:sz="0" w:space="0" w:color="auto"/>
              </w:divBdr>
            </w:div>
            <w:div w:id="116880599">
              <w:marLeft w:val="0"/>
              <w:marRight w:val="0"/>
              <w:marTop w:val="0"/>
              <w:marBottom w:val="0"/>
              <w:divBdr>
                <w:top w:val="none" w:sz="0" w:space="0" w:color="auto"/>
                <w:left w:val="none" w:sz="0" w:space="0" w:color="auto"/>
                <w:bottom w:val="none" w:sz="0" w:space="0" w:color="auto"/>
                <w:right w:val="none" w:sz="0" w:space="0" w:color="auto"/>
              </w:divBdr>
            </w:div>
            <w:div w:id="203061045">
              <w:marLeft w:val="0"/>
              <w:marRight w:val="0"/>
              <w:marTop w:val="0"/>
              <w:marBottom w:val="0"/>
              <w:divBdr>
                <w:top w:val="none" w:sz="0" w:space="0" w:color="auto"/>
                <w:left w:val="none" w:sz="0" w:space="0" w:color="auto"/>
                <w:bottom w:val="none" w:sz="0" w:space="0" w:color="auto"/>
                <w:right w:val="none" w:sz="0" w:space="0" w:color="auto"/>
              </w:divBdr>
            </w:div>
            <w:div w:id="210532693">
              <w:marLeft w:val="0"/>
              <w:marRight w:val="0"/>
              <w:marTop w:val="0"/>
              <w:marBottom w:val="0"/>
              <w:divBdr>
                <w:top w:val="none" w:sz="0" w:space="0" w:color="auto"/>
                <w:left w:val="none" w:sz="0" w:space="0" w:color="auto"/>
                <w:bottom w:val="none" w:sz="0" w:space="0" w:color="auto"/>
                <w:right w:val="none" w:sz="0" w:space="0" w:color="auto"/>
              </w:divBdr>
            </w:div>
            <w:div w:id="442967986">
              <w:marLeft w:val="0"/>
              <w:marRight w:val="0"/>
              <w:marTop w:val="0"/>
              <w:marBottom w:val="0"/>
              <w:divBdr>
                <w:top w:val="none" w:sz="0" w:space="0" w:color="auto"/>
                <w:left w:val="none" w:sz="0" w:space="0" w:color="auto"/>
                <w:bottom w:val="none" w:sz="0" w:space="0" w:color="auto"/>
                <w:right w:val="none" w:sz="0" w:space="0" w:color="auto"/>
              </w:divBdr>
            </w:div>
            <w:div w:id="460613215">
              <w:marLeft w:val="0"/>
              <w:marRight w:val="0"/>
              <w:marTop w:val="0"/>
              <w:marBottom w:val="0"/>
              <w:divBdr>
                <w:top w:val="none" w:sz="0" w:space="0" w:color="auto"/>
                <w:left w:val="none" w:sz="0" w:space="0" w:color="auto"/>
                <w:bottom w:val="none" w:sz="0" w:space="0" w:color="auto"/>
                <w:right w:val="none" w:sz="0" w:space="0" w:color="auto"/>
              </w:divBdr>
            </w:div>
            <w:div w:id="697782799">
              <w:marLeft w:val="0"/>
              <w:marRight w:val="0"/>
              <w:marTop w:val="0"/>
              <w:marBottom w:val="0"/>
              <w:divBdr>
                <w:top w:val="none" w:sz="0" w:space="0" w:color="auto"/>
                <w:left w:val="none" w:sz="0" w:space="0" w:color="auto"/>
                <w:bottom w:val="none" w:sz="0" w:space="0" w:color="auto"/>
                <w:right w:val="none" w:sz="0" w:space="0" w:color="auto"/>
              </w:divBdr>
            </w:div>
            <w:div w:id="828716067">
              <w:marLeft w:val="0"/>
              <w:marRight w:val="0"/>
              <w:marTop w:val="0"/>
              <w:marBottom w:val="0"/>
              <w:divBdr>
                <w:top w:val="none" w:sz="0" w:space="0" w:color="auto"/>
                <w:left w:val="none" w:sz="0" w:space="0" w:color="auto"/>
                <w:bottom w:val="none" w:sz="0" w:space="0" w:color="auto"/>
                <w:right w:val="none" w:sz="0" w:space="0" w:color="auto"/>
              </w:divBdr>
            </w:div>
            <w:div w:id="841354283">
              <w:marLeft w:val="0"/>
              <w:marRight w:val="0"/>
              <w:marTop w:val="0"/>
              <w:marBottom w:val="0"/>
              <w:divBdr>
                <w:top w:val="none" w:sz="0" w:space="0" w:color="auto"/>
                <w:left w:val="none" w:sz="0" w:space="0" w:color="auto"/>
                <w:bottom w:val="none" w:sz="0" w:space="0" w:color="auto"/>
                <w:right w:val="none" w:sz="0" w:space="0" w:color="auto"/>
              </w:divBdr>
            </w:div>
            <w:div w:id="883060748">
              <w:marLeft w:val="0"/>
              <w:marRight w:val="0"/>
              <w:marTop w:val="0"/>
              <w:marBottom w:val="0"/>
              <w:divBdr>
                <w:top w:val="none" w:sz="0" w:space="0" w:color="auto"/>
                <w:left w:val="none" w:sz="0" w:space="0" w:color="auto"/>
                <w:bottom w:val="none" w:sz="0" w:space="0" w:color="auto"/>
                <w:right w:val="none" w:sz="0" w:space="0" w:color="auto"/>
              </w:divBdr>
            </w:div>
            <w:div w:id="930427922">
              <w:marLeft w:val="0"/>
              <w:marRight w:val="0"/>
              <w:marTop w:val="0"/>
              <w:marBottom w:val="0"/>
              <w:divBdr>
                <w:top w:val="none" w:sz="0" w:space="0" w:color="auto"/>
                <w:left w:val="none" w:sz="0" w:space="0" w:color="auto"/>
                <w:bottom w:val="none" w:sz="0" w:space="0" w:color="auto"/>
                <w:right w:val="none" w:sz="0" w:space="0" w:color="auto"/>
              </w:divBdr>
            </w:div>
            <w:div w:id="984773076">
              <w:marLeft w:val="0"/>
              <w:marRight w:val="0"/>
              <w:marTop w:val="0"/>
              <w:marBottom w:val="0"/>
              <w:divBdr>
                <w:top w:val="none" w:sz="0" w:space="0" w:color="auto"/>
                <w:left w:val="none" w:sz="0" w:space="0" w:color="auto"/>
                <w:bottom w:val="none" w:sz="0" w:space="0" w:color="auto"/>
                <w:right w:val="none" w:sz="0" w:space="0" w:color="auto"/>
              </w:divBdr>
            </w:div>
            <w:div w:id="1220751801">
              <w:marLeft w:val="0"/>
              <w:marRight w:val="0"/>
              <w:marTop w:val="0"/>
              <w:marBottom w:val="0"/>
              <w:divBdr>
                <w:top w:val="none" w:sz="0" w:space="0" w:color="auto"/>
                <w:left w:val="none" w:sz="0" w:space="0" w:color="auto"/>
                <w:bottom w:val="none" w:sz="0" w:space="0" w:color="auto"/>
                <w:right w:val="none" w:sz="0" w:space="0" w:color="auto"/>
              </w:divBdr>
            </w:div>
            <w:div w:id="1317488192">
              <w:marLeft w:val="0"/>
              <w:marRight w:val="0"/>
              <w:marTop w:val="0"/>
              <w:marBottom w:val="0"/>
              <w:divBdr>
                <w:top w:val="none" w:sz="0" w:space="0" w:color="auto"/>
                <w:left w:val="none" w:sz="0" w:space="0" w:color="auto"/>
                <w:bottom w:val="none" w:sz="0" w:space="0" w:color="auto"/>
                <w:right w:val="none" w:sz="0" w:space="0" w:color="auto"/>
              </w:divBdr>
            </w:div>
            <w:div w:id="1528983512">
              <w:marLeft w:val="0"/>
              <w:marRight w:val="0"/>
              <w:marTop w:val="0"/>
              <w:marBottom w:val="0"/>
              <w:divBdr>
                <w:top w:val="none" w:sz="0" w:space="0" w:color="auto"/>
                <w:left w:val="none" w:sz="0" w:space="0" w:color="auto"/>
                <w:bottom w:val="none" w:sz="0" w:space="0" w:color="auto"/>
                <w:right w:val="none" w:sz="0" w:space="0" w:color="auto"/>
              </w:divBdr>
            </w:div>
            <w:div w:id="1598757483">
              <w:marLeft w:val="0"/>
              <w:marRight w:val="0"/>
              <w:marTop w:val="0"/>
              <w:marBottom w:val="0"/>
              <w:divBdr>
                <w:top w:val="none" w:sz="0" w:space="0" w:color="auto"/>
                <w:left w:val="none" w:sz="0" w:space="0" w:color="auto"/>
                <w:bottom w:val="none" w:sz="0" w:space="0" w:color="auto"/>
                <w:right w:val="none" w:sz="0" w:space="0" w:color="auto"/>
              </w:divBdr>
            </w:div>
            <w:div w:id="1852522400">
              <w:marLeft w:val="0"/>
              <w:marRight w:val="0"/>
              <w:marTop w:val="0"/>
              <w:marBottom w:val="0"/>
              <w:divBdr>
                <w:top w:val="none" w:sz="0" w:space="0" w:color="auto"/>
                <w:left w:val="none" w:sz="0" w:space="0" w:color="auto"/>
                <w:bottom w:val="none" w:sz="0" w:space="0" w:color="auto"/>
                <w:right w:val="none" w:sz="0" w:space="0" w:color="auto"/>
              </w:divBdr>
            </w:div>
            <w:div w:id="2115127524">
              <w:marLeft w:val="0"/>
              <w:marRight w:val="0"/>
              <w:marTop w:val="0"/>
              <w:marBottom w:val="0"/>
              <w:divBdr>
                <w:top w:val="none" w:sz="0" w:space="0" w:color="auto"/>
                <w:left w:val="none" w:sz="0" w:space="0" w:color="auto"/>
                <w:bottom w:val="none" w:sz="0" w:space="0" w:color="auto"/>
                <w:right w:val="none" w:sz="0" w:space="0" w:color="auto"/>
              </w:divBdr>
            </w:div>
            <w:div w:id="2129859530">
              <w:marLeft w:val="0"/>
              <w:marRight w:val="0"/>
              <w:marTop w:val="0"/>
              <w:marBottom w:val="0"/>
              <w:divBdr>
                <w:top w:val="none" w:sz="0" w:space="0" w:color="auto"/>
                <w:left w:val="none" w:sz="0" w:space="0" w:color="auto"/>
                <w:bottom w:val="none" w:sz="0" w:space="0" w:color="auto"/>
                <w:right w:val="none" w:sz="0" w:space="0" w:color="auto"/>
              </w:divBdr>
            </w:div>
          </w:divsChild>
        </w:div>
        <w:div w:id="1248922206">
          <w:marLeft w:val="0"/>
          <w:marRight w:val="0"/>
          <w:marTop w:val="0"/>
          <w:marBottom w:val="0"/>
          <w:divBdr>
            <w:top w:val="none" w:sz="0" w:space="0" w:color="auto"/>
            <w:left w:val="none" w:sz="0" w:space="0" w:color="auto"/>
            <w:bottom w:val="none" w:sz="0" w:space="0" w:color="auto"/>
            <w:right w:val="none" w:sz="0" w:space="0" w:color="auto"/>
          </w:divBdr>
        </w:div>
        <w:div w:id="1252003898">
          <w:marLeft w:val="0"/>
          <w:marRight w:val="0"/>
          <w:marTop w:val="0"/>
          <w:marBottom w:val="0"/>
          <w:divBdr>
            <w:top w:val="none" w:sz="0" w:space="0" w:color="auto"/>
            <w:left w:val="none" w:sz="0" w:space="0" w:color="auto"/>
            <w:bottom w:val="none" w:sz="0" w:space="0" w:color="auto"/>
            <w:right w:val="none" w:sz="0" w:space="0" w:color="auto"/>
          </w:divBdr>
        </w:div>
        <w:div w:id="1252086439">
          <w:marLeft w:val="0"/>
          <w:marRight w:val="0"/>
          <w:marTop w:val="0"/>
          <w:marBottom w:val="0"/>
          <w:divBdr>
            <w:top w:val="none" w:sz="0" w:space="0" w:color="auto"/>
            <w:left w:val="none" w:sz="0" w:space="0" w:color="auto"/>
            <w:bottom w:val="none" w:sz="0" w:space="0" w:color="auto"/>
            <w:right w:val="none" w:sz="0" w:space="0" w:color="auto"/>
          </w:divBdr>
        </w:div>
        <w:div w:id="1256203915">
          <w:marLeft w:val="0"/>
          <w:marRight w:val="0"/>
          <w:marTop w:val="0"/>
          <w:marBottom w:val="0"/>
          <w:divBdr>
            <w:top w:val="none" w:sz="0" w:space="0" w:color="auto"/>
            <w:left w:val="none" w:sz="0" w:space="0" w:color="auto"/>
            <w:bottom w:val="none" w:sz="0" w:space="0" w:color="auto"/>
            <w:right w:val="none" w:sz="0" w:space="0" w:color="auto"/>
          </w:divBdr>
        </w:div>
        <w:div w:id="1256328772">
          <w:marLeft w:val="0"/>
          <w:marRight w:val="0"/>
          <w:marTop w:val="0"/>
          <w:marBottom w:val="0"/>
          <w:divBdr>
            <w:top w:val="none" w:sz="0" w:space="0" w:color="auto"/>
            <w:left w:val="none" w:sz="0" w:space="0" w:color="auto"/>
            <w:bottom w:val="none" w:sz="0" w:space="0" w:color="auto"/>
            <w:right w:val="none" w:sz="0" w:space="0" w:color="auto"/>
          </w:divBdr>
        </w:div>
        <w:div w:id="1257060457">
          <w:marLeft w:val="0"/>
          <w:marRight w:val="0"/>
          <w:marTop w:val="0"/>
          <w:marBottom w:val="0"/>
          <w:divBdr>
            <w:top w:val="none" w:sz="0" w:space="0" w:color="auto"/>
            <w:left w:val="none" w:sz="0" w:space="0" w:color="auto"/>
            <w:bottom w:val="none" w:sz="0" w:space="0" w:color="auto"/>
            <w:right w:val="none" w:sz="0" w:space="0" w:color="auto"/>
          </w:divBdr>
        </w:div>
        <w:div w:id="1259367958">
          <w:marLeft w:val="0"/>
          <w:marRight w:val="0"/>
          <w:marTop w:val="0"/>
          <w:marBottom w:val="0"/>
          <w:divBdr>
            <w:top w:val="none" w:sz="0" w:space="0" w:color="auto"/>
            <w:left w:val="none" w:sz="0" w:space="0" w:color="auto"/>
            <w:bottom w:val="none" w:sz="0" w:space="0" w:color="auto"/>
            <w:right w:val="none" w:sz="0" w:space="0" w:color="auto"/>
          </w:divBdr>
        </w:div>
        <w:div w:id="1260216904">
          <w:marLeft w:val="0"/>
          <w:marRight w:val="0"/>
          <w:marTop w:val="0"/>
          <w:marBottom w:val="0"/>
          <w:divBdr>
            <w:top w:val="none" w:sz="0" w:space="0" w:color="auto"/>
            <w:left w:val="none" w:sz="0" w:space="0" w:color="auto"/>
            <w:bottom w:val="none" w:sz="0" w:space="0" w:color="auto"/>
            <w:right w:val="none" w:sz="0" w:space="0" w:color="auto"/>
          </w:divBdr>
        </w:div>
        <w:div w:id="1260944554">
          <w:marLeft w:val="0"/>
          <w:marRight w:val="0"/>
          <w:marTop w:val="0"/>
          <w:marBottom w:val="0"/>
          <w:divBdr>
            <w:top w:val="none" w:sz="0" w:space="0" w:color="auto"/>
            <w:left w:val="none" w:sz="0" w:space="0" w:color="auto"/>
            <w:bottom w:val="none" w:sz="0" w:space="0" w:color="auto"/>
            <w:right w:val="none" w:sz="0" w:space="0" w:color="auto"/>
          </w:divBdr>
        </w:div>
        <w:div w:id="1261720049">
          <w:marLeft w:val="0"/>
          <w:marRight w:val="0"/>
          <w:marTop w:val="0"/>
          <w:marBottom w:val="0"/>
          <w:divBdr>
            <w:top w:val="none" w:sz="0" w:space="0" w:color="auto"/>
            <w:left w:val="none" w:sz="0" w:space="0" w:color="auto"/>
            <w:bottom w:val="none" w:sz="0" w:space="0" w:color="auto"/>
            <w:right w:val="none" w:sz="0" w:space="0" w:color="auto"/>
          </w:divBdr>
        </w:div>
        <w:div w:id="1263337489">
          <w:marLeft w:val="0"/>
          <w:marRight w:val="0"/>
          <w:marTop w:val="0"/>
          <w:marBottom w:val="0"/>
          <w:divBdr>
            <w:top w:val="none" w:sz="0" w:space="0" w:color="auto"/>
            <w:left w:val="none" w:sz="0" w:space="0" w:color="auto"/>
            <w:bottom w:val="none" w:sz="0" w:space="0" w:color="auto"/>
            <w:right w:val="none" w:sz="0" w:space="0" w:color="auto"/>
          </w:divBdr>
        </w:div>
        <w:div w:id="1263492428">
          <w:marLeft w:val="0"/>
          <w:marRight w:val="0"/>
          <w:marTop w:val="0"/>
          <w:marBottom w:val="0"/>
          <w:divBdr>
            <w:top w:val="none" w:sz="0" w:space="0" w:color="auto"/>
            <w:left w:val="none" w:sz="0" w:space="0" w:color="auto"/>
            <w:bottom w:val="none" w:sz="0" w:space="0" w:color="auto"/>
            <w:right w:val="none" w:sz="0" w:space="0" w:color="auto"/>
          </w:divBdr>
        </w:div>
        <w:div w:id="1263803181">
          <w:marLeft w:val="0"/>
          <w:marRight w:val="0"/>
          <w:marTop w:val="0"/>
          <w:marBottom w:val="0"/>
          <w:divBdr>
            <w:top w:val="none" w:sz="0" w:space="0" w:color="auto"/>
            <w:left w:val="none" w:sz="0" w:space="0" w:color="auto"/>
            <w:bottom w:val="none" w:sz="0" w:space="0" w:color="auto"/>
            <w:right w:val="none" w:sz="0" w:space="0" w:color="auto"/>
          </w:divBdr>
        </w:div>
        <w:div w:id="1264147336">
          <w:marLeft w:val="0"/>
          <w:marRight w:val="0"/>
          <w:marTop w:val="0"/>
          <w:marBottom w:val="0"/>
          <w:divBdr>
            <w:top w:val="none" w:sz="0" w:space="0" w:color="auto"/>
            <w:left w:val="none" w:sz="0" w:space="0" w:color="auto"/>
            <w:bottom w:val="none" w:sz="0" w:space="0" w:color="auto"/>
            <w:right w:val="none" w:sz="0" w:space="0" w:color="auto"/>
          </w:divBdr>
        </w:div>
        <w:div w:id="1266040423">
          <w:marLeft w:val="0"/>
          <w:marRight w:val="0"/>
          <w:marTop w:val="0"/>
          <w:marBottom w:val="0"/>
          <w:divBdr>
            <w:top w:val="none" w:sz="0" w:space="0" w:color="auto"/>
            <w:left w:val="none" w:sz="0" w:space="0" w:color="auto"/>
            <w:bottom w:val="none" w:sz="0" w:space="0" w:color="auto"/>
            <w:right w:val="none" w:sz="0" w:space="0" w:color="auto"/>
          </w:divBdr>
          <w:divsChild>
            <w:div w:id="2094203699">
              <w:marLeft w:val="-75"/>
              <w:marRight w:val="0"/>
              <w:marTop w:val="30"/>
              <w:marBottom w:val="30"/>
              <w:divBdr>
                <w:top w:val="none" w:sz="0" w:space="0" w:color="auto"/>
                <w:left w:val="none" w:sz="0" w:space="0" w:color="auto"/>
                <w:bottom w:val="none" w:sz="0" w:space="0" w:color="auto"/>
                <w:right w:val="none" w:sz="0" w:space="0" w:color="auto"/>
              </w:divBdr>
              <w:divsChild>
                <w:div w:id="62266338">
                  <w:marLeft w:val="0"/>
                  <w:marRight w:val="0"/>
                  <w:marTop w:val="0"/>
                  <w:marBottom w:val="0"/>
                  <w:divBdr>
                    <w:top w:val="none" w:sz="0" w:space="0" w:color="auto"/>
                    <w:left w:val="none" w:sz="0" w:space="0" w:color="auto"/>
                    <w:bottom w:val="none" w:sz="0" w:space="0" w:color="auto"/>
                    <w:right w:val="none" w:sz="0" w:space="0" w:color="auto"/>
                  </w:divBdr>
                  <w:divsChild>
                    <w:div w:id="593247149">
                      <w:marLeft w:val="0"/>
                      <w:marRight w:val="0"/>
                      <w:marTop w:val="0"/>
                      <w:marBottom w:val="0"/>
                      <w:divBdr>
                        <w:top w:val="none" w:sz="0" w:space="0" w:color="auto"/>
                        <w:left w:val="none" w:sz="0" w:space="0" w:color="auto"/>
                        <w:bottom w:val="none" w:sz="0" w:space="0" w:color="auto"/>
                        <w:right w:val="none" w:sz="0" w:space="0" w:color="auto"/>
                      </w:divBdr>
                    </w:div>
                  </w:divsChild>
                </w:div>
                <w:div w:id="90905491">
                  <w:marLeft w:val="0"/>
                  <w:marRight w:val="0"/>
                  <w:marTop w:val="0"/>
                  <w:marBottom w:val="0"/>
                  <w:divBdr>
                    <w:top w:val="none" w:sz="0" w:space="0" w:color="auto"/>
                    <w:left w:val="none" w:sz="0" w:space="0" w:color="auto"/>
                    <w:bottom w:val="none" w:sz="0" w:space="0" w:color="auto"/>
                    <w:right w:val="none" w:sz="0" w:space="0" w:color="auto"/>
                  </w:divBdr>
                  <w:divsChild>
                    <w:div w:id="802770179">
                      <w:marLeft w:val="0"/>
                      <w:marRight w:val="0"/>
                      <w:marTop w:val="0"/>
                      <w:marBottom w:val="0"/>
                      <w:divBdr>
                        <w:top w:val="none" w:sz="0" w:space="0" w:color="auto"/>
                        <w:left w:val="none" w:sz="0" w:space="0" w:color="auto"/>
                        <w:bottom w:val="none" w:sz="0" w:space="0" w:color="auto"/>
                        <w:right w:val="none" w:sz="0" w:space="0" w:color="auto"/>
                      </w:divBdr>
                    </w:div>
                  </w:divsChild>
                </w:div>
                <w:div w:id="93332552">
                  <w:marLeft w:val="0"/>
                  <w:marRight w:val="0"/>
                  <w:marTop w:val="0"/>
                  <w:marBottom w:val="0"/>
                  <w:divBdr>
                    <w:top w:val="none" w:sz="0" w:space="0" w:color="auto"/>
                    <w:left w:val="none" w:sz="0" w:space="0" w:color="auto"/>
                    <w:bottom w:val="none" w:sz="0" w:space="0" w:color="auto"/>
                    <w:right w:val="none" w:sz="0" w:space="0" w:color="auto"/>
                  </w:divBdr>
                  <w:divsChild>
                    <w:div w:id="1489906955">
                      <w:marLeft w:val="0"/>
                      <w:marRight w:val="0"/>
                      <w:marTop w:val="0"/>
                      <w:marBottom w:val="0"/>
                      <w:divBdr>
                        <w:top w:val="none" w:sz="0" w:space="0" w:color="auto"/>
                        <w:left w:val="none" w:sz="0" w:space="0" w:color="auto"/>
                        <w:bottom w:val="none" w:sz="0" w:space="0" w:color="auto"/>
                        <w:right w:val="none" w:sz="0" w:space="0" w:color="auto"/>
                      </w:divBdr>
                    </w:div>
                  </w:divsChild>
                </w:div>
                <w:div w:id="240258902">
                  <w:marLeft w:val="0"/>
                  <w:marRight w:val="0"/>
                  <w:marTop w:val="0"/>
                  <w:marBottom w:val="0"/>
                  <w:divBdr>
                    <w:top w:val="none" w:sz="0" w:space="0" w:color="auto"/>
                    <w:left w:val="none" w:sz="0" w:space="0" w:color="auto"/>
                    <w:bottom w:val="none" w:sz="0" w:space="0" w:color="auto"/>
                    <w:right w:val="none" w:sz="0" w:space="0" w:color="auto"/>
                  </w:divBdr>
                  <w:divsChild>
                    <w:div w:id="1914969928">
                      <w:marLeft w:val="0"/>
                      <w:marRight w:val="0"/>
                      <w:marTop w:val="0"/>
                      <w:marBottom w:val="0"/>
                      <w:divBdr>
                        <w:top w:val="none" w:sz="0" w:space="0" w:color="auto"/>
                        <w:left w:val="none" w:sz="0" w:space="0" w:color="auto"/>
                        <w:bottom w:val="none" w:sz="0" w:space="0" w:color="auto"/>
                        <w:right w:val="none" w:sz="0" w:space="0" w:color="auto"/>
                      </w:divBdr>
                    </w:div>
                  </w:divsChild>
                </w:div>
                <w:div w:id="255601375">
                  <w:marLeft w:val="0"/>
                  <w:marRight w:val="0"/>
                  <w:marTop w:val="0"/>
                  <w:marBottom w:val="0"/>
                  <w:divBdr>
                    <w:top w:val="none" w:sz="0" w:space="0" w:color="auto"/>
                    <w:left w:val="none" w:sz="0" w:space="0" w:color="auto"/>
                    <w:bottom w:val="none" w:sz="0" w:space="0" w:color="auto"/>
                    <w:right w:val="none" w:sz="0" w:space="0" w:color="auto"/>
                  </w:divBdr>
                  <w:divsChild>
                    <w:div w:id="587075739">
                      <w:marLeft w:val="0"/>
                      <w:marRight w:val="0"/>
                      <w:marTop w:val="0"/>
                      <w:marBottom w:val="0"/>
                      <w:divBdr>
                        <w:top w:val="none" w:sz="0" w:space="0" w:color="auto"/>
                        <w:left w:val="none" w:sz="0" w:space="0" w:color="auto"/>
                        <w:bottom w:val="none" w:sz="0" w:space="0" w:color="auto"/>
                        <w:right w:val="none" w:sz="0" w:space="0" w:color="auto"/>
                      </w:divBdr>
                    </w:div>
                  </w:divsChild>
                </w:div>
                <w:div w:id="450903914">
                  <w:marLeft w:val="0"/>
                  <w:marRight w:val="0"/>
                  <w:marTop w:val="0"/>
                  <w:marBottom w:val="0"/>
                  <w:divBdr>
                    <w:top w:val="none" w:sz="0" w:space="0" w:color="auto"/>
                    <w:left w:val="none" w:sz="0" w:space="0" w:color="auto"/>
                    <w:bottom w:val="none" w:sz="0" w:space="0" w:color="auto"/>
                    <w:right w:val="none" w:sz="0" w:space="0" w:color="auto"/>
                  </w:divBdr>
                  <w:divsChild>
                    <w:div w:id="1771387905">
                      <w:marLeft w:val="0"/>
                      <w:marRight w:val="0"/>
                      <w:marTop w:val="0"/>
                      <w:marBottom w:val="0"/>
                      <w:divBdr>
                        <w:top w:val="none" w:sz="0" w:space="0" w:color="auto"/>
                        <w:left w:val="none" w:sz="0" w:space="0" w:color="auto"/>
                        <w:bottom w:val="none" w:sz="0" w:space="0" w:color="auto"/>
                        <w:right w:val="none" w:sz="0" w:space="0" w:color="auto"/>
                      </w:divBdr>
                    </w:div>
                  </w:divsChild>
                </w:div>
                <w:div w:id="464855436">
                  <w:marLeft w:val="0"/>
                  <w:marRight w:val="0"/>
                  <w:marTop w:val="0"/>
                  <w:marBottom w:val="0"/>
                  <w:divBdr>
                    <w:top w:val="none" w:sz="0" w:space="0" w:color="auto"/>
                    <w:left w:val="none" w:sz="0" w:space="0" w:color="auto"/>
                    <w:bottom w:val="none" w:sz="0" w:space="0" w:color="auto"/>
                    <w:right w:val="none" w:sz="0" w:space="0" w:color="auto"/>
                  </w:divBdr>
                  <w:divsChild>
                    <w:div w:id="1709186274">
                      <w:marLeft w:val="0"/>
                      <w:marRight w:val="0"/>
                      <w:marTop w:val="0"/>
                      <w:marBottom w:val="0"/>
                      <w:divBdr>
                        <w:top w:val="none" w:sz="0" w:space="0" w:color="auto"/>
                        <w:left w:val="none" w:sz="0" w:space="0" w:color="auto"/>
                        <w:bottom w:val="none" w:sz="0" w:space="0" w:color="auto"/>
                        <w:right w:val="none" w:sz="0" w:space="0" w:color="auto"/>
                      </w:divBdr>
                    </w:div>
                  </w:divsChild>
                </w:div>
                <w:div w:id="507527498">
                  <w:marLeft w:val="0"/>
                  <w:marRight w:val="0"/>
                  <w:marTop w:val="0"/>
                  <w:marBottom w:val="0"/>
                  <w:divBdr>
                    <w:top w:val="none" w:sz="0" w:space="0" w:color="auto"/>
                    <w:left w:val="none" w:sz="0" w:space="0" w:color="auto"/>
                    <w:bottom w:val="none" w:sz="0" w:space="0" w:color="auto"/>
                    <w:right w:val="none" w:sz="0" w:space="0" w:color="auto"/>
                  </w:divBdr>
                  <w:divsChild>
                    <w:div w:id="2108307390">
                      <w:marLeft w:val="0"/>
                      <w:marRight w:val="0"/>
                      <w:marTop w:val="0"/>
                      <w:marBottom w:val="0"/>
                      <w:divBdr>
                        <w:top w:val="none" w:sz="0" w:space="0" w:color="auto"/>
                        <w:left w:val="none" w:sz="0" w:space="0" w:color="auto"/>
                        <w:bottom w:val="none" w:sz="0" w:space="0" w:color="auto"/>
                        <w:right w:val="none" w:sz="0" w:space="0" w:color="auto"/>
                      </w:divBdr>
                    </w:div>
                  </w:divsChild>
                </w:div>
                <w:div w:id="549271160">
                  <w:marLeft w:val="0"/>
                  <w:marRight w:val="0"/>
                  <w:marTop w:val="0"/>
                  <w:marBottom w:val="0"/>
                  <w:divBdr>
                    <w:top w:val="none" w:sz="0" w:space="0" w:color="auto"/>
                    <w:left w:val="none" w:sz="0" w:space="0" w:color="auto"/>
                    <w:bottom w:val="none" w:sz="0" w:space="0" w:color="auto"/>
                    <w:right w:val="none" w:sz="0" w:space="0" w:color="auto"/>
                  </w:divBdr>
                  <w:divsChild>
                    <w:div w:id="1740515055">
                      <w:marLeft w:val="0"/>
                      <w:marRight w:val="0"/>
                      <w:marTop w:val="0"/>
                      <w:marBottom w:val="0"/>
                      <w:divBdr>
                        <w:top w:val="none" w:sz="0" w:space="0" w:color="auto"/>
                        <w:left w:val="none" w:sz="0" w:space="0" w:color="auto"/>
                        <w:bottom w:val="none" w:sz="0" w:space="0" w:color="auto"/>
                        <w:right w:val="none" w:sz="0" w:space="0" w:color="auto"/>
                      </w:divBdr>
                    </w:div>
                  </w:divsChild>
                </w:div>
                <w:div w:id="551189539">
                  <w:marLeft w:val="0"/>
                  <w:marRight w:val="0"/>
                  <w:marTop w:val="0"/>
                  <w:marBottom w:val="0"/>
                  <w:divBdr>
                    <w:top w:val="none" w:sz="0" w:space="0" w:color="auto"/>
                    <w:left w:val="none" w:sz="0" w:space="0" w:color="auto"/>
                    <w:bottom w:val="none" w:sz="0" w:space="0" w:color="auto"/>
                    <w:right w:val="none" w:sz="0" w:space="0" w:color="auto"/>
                  </w:divBdr>
                  <w:divsChild>
                    <w:div w:id="921179235">
                      <w:marLeft w:val="0"/>
                      <w:marRight w:val="0"/>
                      <w:marTop w:val="0"/>
                      <w:marBottom w:val="0"/>
                      <w:divBdr>
                        <w:top w:val="none" w:sz="0" w:space="0" w:color="auto"/>
                        <w:left w:val="none" w:sz="0" w:space="0" w:color="auto"/>
                        <w:bottom w:val="none" w:sz="0" w:space="0" w:color="auto"/>
                        <w:right w:val="none" w:sz="0" w:space="0" w:color="auto"/>
                      </w:divBdr>
                    </w:div>
                  </w:divsChild>
                </w:div>
                <w:div w:id="801771834">
                  <w:marLeft w:val="0"/>
                  <w:marRight w:val="0"/>
                  <w:marTop w:val="0"/>
                  <w:marBottom w:val="0"/>
                  <w:divBdr>
                    <w:top w:val="none" w:sz="0" w:space="0" w:color="auto"/>
                    <w:left w:val="none" w:sz="0" w:space="0" w:color="auto"/>
                    <w:bottom w:val="none" w:sz="0" w:space="0" w:color="auto"/>
                    <w:right w:val="none" w:sz="0" w:space="0" w:color="auto"/>
                  </w:divBdr>
                  <w:divsChild>
                    <w:div w:id="289870036">
                      <w:marLeft w:val="0"/>
                      <w:marRight w:val="0"/>
                      <w:marTop w:val="0"/>
                      <w:marBottom w:val="0"/>
                      <w:divBdr>
                        <w:top w:val="none" w:sz="0" w:space="0" w:color="auto"/>
                        <w:left w:val="none" w:sz="0" w:space="0" w:color="auto"/>
                        <w:bottom w:val="none" w:sz="0" w:space="0" w:color="auto"/>
                        <w:right w:val="none" w:sz="0" w:space="0" w:color="auto"/>
                      </w:divBdr>
                    </w:div>
                  </w:divsChild>
                </w:div>
                <w:div w:id="1110391363">
                  <w:marLeft w:val="0"/>
                  <w:marRight w:val="0"/>
                  <w:marTop w:val="0"/>
                  <w:marBottom w:val="0"/>
                  <w:divBdr>
                    <w:top w:val="none" w:sz="0" w:space="0" w:color="auto"/>
                    <w:left w:val="none" w:sz="0" w:space="0" w:color="auto"/>
                    <w:bottom w:val="none" w:sz="0" w:space="0" w:color="auto"/>
                    <w:right w:val="none" w:sz="0" w:space="0" w:color="auto"/>
                  </w:divBdr>
                  <w:divsChild>
                    <w:div w:id="703797949">
                      <w:marLeft w:val="0"/>
                      <w:marRight w:val="0"/>
                      <w:marTop w:val="0"/>
                      <w:marBottom w:val="0"/>
                      <w:divBdr>
                        <w:top w:val="none" w:sz="0" w:space="0" w:color="auto"/>
                        <w:left w:val="none" w:sz="0" w:space="0" w:color="auto"/>
                        <w:bottom w:val="none" w:sz="0" w:space="0" w:color="auto"/>
                        <w:right w:val="none" w:sz="0" w:space="0" w:color="auto"/>
                      </w:divBdr>
                    </w:div>
                  </w:divsChild>
                </w:div>
                <w:div w:id="1204293734">
                  <w:marLeft w:val="0"/>
                  <w:marRight w:val="0"/>
                  <w:marTop w:val="0"/>
                  <w:marBottom w:val="0"/>
                  <w:divBdr>
                    <w:top w:val="none" w:sz="0" w:space="0" w:color="auto"/>
                    <w:left w:val="none" w:sz="0" w:space="0" w:color="auto"/>
                    <w:bottom w:val="none" w:sz="0" w:space="0" w:color="auto"/>
                    <w:right w:val="none" w:sz="0" w:space="0" w:color="auto"/>
                  </w:divBdr>
                  <w:divsChild>
                    <w:div w:id="1459105834">
                      <w:marLeft w:val="0"/>
                      <w:marRight w:val="0"/>
                      <w:marTop w:val="0"/>
                      <w:marBottom w:val="0"/>
                      <w:divBdr>
                        <w:top w:val="none" w:sz="0" w:space="0" w:color="auto"/>
                        <w:left w:val="none" w:sz="0" w:space="0" w:color="auto"/>
                        <w:bottom w:val="none" w:sz="0" w:space="0" w:color="auto"/>
                        <w:right w:val="none" w:sz="0" w:space="0" w:color="auto"/>
                      </w:divBdr>
                    </w:div>
                  </w:divsChild>
                </w:div>
                <w:div w:id="1268079495">
                  <w:marLeft w:val="0"/>
                  <w:marRight w:val="0"/>
                  <w:marTop w:val="0"/>
                  <w:marBottom w:val="0"/>
                  <w:divBdr>
                    <w:top w:val="none" w:sz="0" w:space="0" w:color="auto"/>
                    <w:left w:val="none" w:sz="0" w:space="0" w:color="auto"/>
                    <w:bottom w:val="none" w:sz="0" w:space="0" w:color="auto"/>
                    <w:right w:val="none" w:sz="0" w:space="0" w:color="auto"/>
                  </w:divBdr>
                  <w:divsChild>
                    <w:div w:id="859976753">
                      <w:marLeft w:val="0"/>
                      <w:marRight w:val="0"/>
                      <w:marTop w:val="0"/>
                      <w:marBottom w:val="0"/>
                      <w:divBdr>
                        <w:top w:val="none" w:sz="0" w:space="0" w:color="auto"/>
                        <w:left w:val="none" w:sz="0" w:space="0" w:color="auto"/>
                        <w:bottom w:val="none" w:sz="0" w:space="0" w:color="auto"/>
                        <w:right w:val="none" w:sz="0" w:space="0" w:color="auto"/>
                      </w:divBdr>
                    </w:div>
                  </w:divsChild>
                </w:div>
                <w:div w:id="1399599245">
                  <w:marLeft w:val="0"/>
                  <w:marRight w:val="0"/>
                  <w:marTop w:val="0"/>
                  <w:marBottom w:val="0"/>
                  <w:divBdr>
                    <w:top w:val="none" w:sz="0" w:space="0" w:color="auto"/>
                    <w:left w:val="none" w:sz="0" w:space="0" w:color="auto"/>
                    <w:bottom w:val="none" w:sz="0" w:space="0" w:color="auto"/>
                    <w:right w:val="none" w:sz="0" w:space="0" w:color="auto"/>
                  </w:divBdr>
                  <w:divsChild>
                    <w:div w:id="1372801768">
                      <w:marLeft w:val="0"/>
                      <w:marRight w:val="0"/>
                      <w:marTop w:val="0"/>
                      <w:marBottom w:val="0"/>
                      <w:divBdr>
                        <w:top w:val="none" w:sz="0" w:space="0" w:color="auto"/>
                        <w:left w:val="none" w:sz="0" w:space="0" w:color="auto"/>
                        <w:bottom w:val="none" w:sz="0" w:space="0" w:color="auto"/>
                        <w:right w:val="none" w:sz="0" w:space="0" w:color="auto"/>
                      </w:divBdr>
                    </w:div>
                  </w:divsChild>
                </w:div>
                <w:div w:id="1462848477">
                  <w:marLeft w:val="0"/>
                  <w:marRight w:val="0"/>
                  <w:marTop w:val="0"/>
                  <w:marBottom w:val="0"/>
                  <w:divBdr>
                    <w:top w:val="none" w:sz="0" w:space="0" w:color="auto"/>
                    <w:left w:val="none" w:sz="0" w:space="0" w:color="auto"/>
                    <w:bottom w:val="none" w:sz="0" w:space="0" w:color="auto"/>
                    <w:right w:val="none" w:sz="0" w:space="0" w:color="auto"/>
                  </w:divBdr>
                  <w:divsChild>
                    <w:div w:id="2143837446">
                      <w:marLeft w:val="0"/>
                      <w:marRight w:val="0"/>
                      <w:marTop w:val="0"/>
                      <w:marBottom w:val="0"/>
                      <w:divBdr>
                        <w:top w:val="none" w:sz="0" w:space="0" w:color="auto"/>
                        <w:left w:val="none" w:sz="0" w:space="0" w:color="auto"/>
                        <w:bottom w:val="none" w:sz="0" w:space="0" w:color="auto"/>
                        <w:right w:val="none" w:sz="0" w:space="0" w:color="auto"/>
                      </w:divBdr>
                    </w:div>
                  </w:divsChild>
                </w:div>
                <w:div w:id="1618757364">
                  <w:marLeft w:val="0"/>
                  <w:marRight w:val="0"/>
                  <w:marTop w:val="0"/>
                  <w:marBottom w:val="0"/>
                  <w:divBdr>
                    <w:top w:val="none" w:sz="0" w:space="0" w:color="auto"/>
                    <w:left w:val="none" w:sz="0" w:space="0" w:color="auto"/>
                    <w:bottom w:val="none" w:sz="0" w:space="0" w:color="auto"/>
                    <w:right w:val="none" w:sz="0" w:space="0" w:color="auto"/>
                  </w:divBdr>
                  <w:divsChild>
                    <w:div w:id="2008097700">
                      <w:marLeft w:val="0"/>
                      <w:marRight w:val="0"/>
                      <w:marTop w:val="0"/>
                      <w:marBottom w:val="0"/>
                      <w:divBdr>
                        <w:top w:val="none" w:sz="0" w:space="0" w:color="auto"/>
                        <w:left w:val="none" w:sz="0" w:space="0" w:color="auto"/>
                        <w:bottom w:val="none" w:sz="0" w:space="0" w:color="auto"/>
                        <w:right w:val="none" w:sz="0" w:space="0" w:color="auto"/>
                      </w:divBdr>
                    </w:div>
                  </w:divsChild>
                </w:div>
                <w:div w:id="1624655346">
                  <w:marLeft w:val="0"/>
                  <w:marRight w:val="0"/>
                  <w:marTop w:val="0"/>
                  <w:marBottom w:val="0"/>
                  <w:divBdr>
                    <w:top w:val="none" w:sz="0" w:space="0" w:color="auto"/>
                    <w:left w:val="none" w:sz="0" w:space="0" w:color="auto"/>
                    <w:bottom w:val="none" w:sz="0" w:space="0" w:color="auto"/>
                    <w:right w:val="none" w:sz="0" w:space="0" w:color="auto"/>
                  </w:divBdr>
                  <w:divsChild>
                    <w:div w:id="1522664621">
                      <w:marLeft w:val="0"/>
                      <w:marRight w:val="0"/>
                      <w:marTop w:val="0"/>
                      <w:marBottom w:val="0"/>
                      <w:divBdr>
                        <w:top w:val="none" w:sz="0" w:space="0" w:color="auto"/>
                        <w:left w:val="none" w:sz="0" w:space="0" w:color="auto"/>
                        <w:bottom w:val="none" w:sz="0" w:space="0" w:color="auto"/>
                        <w:right w:val="none" w:sz="0" w:space="0" w:color="auto"/>
                      </w:divBdr>
                    </w:div>
                  </w:divsChild>
                </w:div>
                <w:div w:id="1630547634">
                  <w:marLeft w:val="0"/>
                  <w:marRight w:val="0"/>
                  <w:marTop w:val="0"/>
                  <w:marBottom w:val="0"/>
                  <w:divBdr>
                    <w:top w:val="none" w:sz="0" w:space="0" w:color="auto"/>
                    <w:left w:val="none" w:sz="0" w:space="0" w:color="auto"/>
                    <w:bottom w:val="none" w:sz="0" w:space="0" w:color="auto"/>
                    <w:right w:val="none" w:sz="0" w:space="0" w:color="auto"/>
                  </w:divBdr>
                  <w:divsChild>
                    <w:div w:id="1180703752">
                      <w:marLeft w:val="0"/>
                      <w:marRight w:val="0"/>
                      <w:marTop w:val="0"/>
                      <w:marBottom w:val="0"/>
                      <w:divBdr>
                        <w:top w:val="none" w:sz="0" w:space="0" w:color="auto"/>
                        <w:left w:val="none" w:sz="0" w:space="0" w:color="auto"/>
                        <w:bottom w:val="none" w:sz="0" w:space="0" w:color="auto"/>
                        <w:right w:val="none" w:sz="0" w:space="0" w:color="auto"/>
                      </w:divBdr>
                    </w:div>
                  </w:divsChild>
                </w:div>
                <w:div w:id="1753699174">
                  <w:marLeft w:val="0"/>
                  <w:marRight w:val="0"/>
                  <w:marTop w:val="0"/>
                  <w:marBottom w:val="0"/>
                  <w:divBdr>
                    <w:top w:val="none" w:sz="0" w:space="0" w:color="auto"/>
                    <w:left w:val="none" w:sz="0" w:space="0" w:color="auto"/>
                    <w:bottom w:val="none" w:sz="0" w:space="0" w:color="auto"/>
                    <w:right w:val="none" w:sz="0" w:space="0" w:color="auto"/>
                  </w:divBdr>
                  <w:divsChild>
                    <w:div w:id="839543258">
                      <w:marLeft w:val="0"/>
                      <w:marRight w:val="0"/>
                      <w:marTop w:val="0"/>
                      <w:marBottom w:val="0"/>
                      <w:divBdr>
                        <w:top w:val="none" w:sz="0" w:space="0" w:color="auto"/>
                        <w:left w:val="none" w:sz="0" w:space="0" w:color="auto"/>
                        <w:bottom w:val="none" w:sz="0" w:space="0" w:color="auto"/>
                        <w:right w:val="none" w:sz="0" w:space="0" w:color="auto"/>
                      </w:divBdr>
                    </w:div>
                  </w:divsChild>
                </w:div>
                <w:div w:id="1867480297">
                  <w:marLeft w:val="0"/>
                  <w:marRight w:val="0"/>
                  <w:marTop w:val="0"/>
                  <w:marBottom w:val="0"/>
                  <w:divBdr>
                    <w:top w:val="none" w:sz="0" w:space="0" w:color="auto"/>
                    <w:left w:val="none" w:sz="0" w:space="0" w:color="auto"/>
                    <w:bottom w:val="none" w:sz="0" w:space="0" w:color="auto"/>
                    <w:right w:val="none" w:sz="0" w:space="0" w:color="auto"/>
                  </w:divBdr>
                  <w:divsChild>
                    <w:div w:id="1846167019">
                      <w:marLeft w:val="0"/>
                      <w:marRight w:val="0"/>
                      <w:marTop w:val="0"/>
                      <w:marBottom w:val="0"/>
                      <w:divBdr>
                        <w:top w:val="none" w:sz="0" w:space="0" w:color="auto"/>
                        <w:left w:val="none" w:sz="0" w:space="0" w:color="auto"/>
                        <w:bottom w:val="none" w:sz="0" w:space="0" w:color="auto"/>
                        <w:right w:val="none" w:sz="0" w:space="0" w:color="auto"/>
                      </w:divBdr>
                    </w:div>
                  </w:divsChild>
                </w:div>
                <w:div w:id="1889486668">
                  <w:marLeft w:val="0"/>
                  <w:marRight w:val="0"/>
                  <w:marTop w:val="0"/>
                  <w:marBottom w:val="0"/>
                  <w:divBdr>
                    <w:top w:val="none" w:sz="0" w:space="0" w:color="auto"/>
                    <w:left w:val="none" w:sz="0" w:space="0" w:color="auto"/>
                    <w:bottom w:val="none" w:sz="0" w:space="0" w:color="auto"/>
                    <w:right w:val="none" w:sz="0" w:space="0" w:color="auto"/>
                  </w:divBdr>
                  <w:divsChild>
                    <w:div w:id="59597030">
                      <w:marLeft w:val="0"/>
                      <w:marRight w:val="0"/>
                      <w:marTop w:val="0"/>
                      <w:marBottom w:val="0"/>
                      <w:divBdr>
                        <w:top w:val="none" w:sz="0" w:space="0" w:color="auto"/>
                        <w:left w:val="none" w:sz="0" w:space="0" w:color="auto"/>
                        <w:bottom w:val="none" w:sz="0" w:space="0" w:color="auto"/>
                        <w:right w:val="none" w:sz="0" w:space="0" w:color="auto"/>
                      </w:divBdr>
                    </w:div>
                  </w:divsChild>
                </w:div>
                <w:div w:id="1900745442">
                  <w:marLeft w:val="0"/>
                  <w:marRight w:val="0"/>
                  <w:marTop w:val="0"/>
                  <w:marBottom w:val="0"/>
                  <w:divBdr>
                    <w:top w:val="none" w:sz="0" w:space="0" w:color="auto"/>
                    <w:left w:val="none" w:sz="0" w:space="0" w:color="auto"/>
                    <w:bottom w:val="none" w:sz="0" w:space="0" w:color="auto"/>
                    <w:right w:val="none" w:sz="0" w:space="0" w:color="auto"/>
                  </w:divBdr>
                  <w:divsChild>
                    <w:div w:id="19998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353547">
          <w:marLeft w:val="0"/>
          <w:marRight w:val="0"/>
          <w:marTop w:val="0"/>
          <w:marBottom w:val="0"/>
          <w:divBdr>
            <w:top w:val="none" w:sz="0" w:space="0" w:color="auto"/>
            <w:left w:val="none" w:sz="0" w:space="0" w:color="auto"/>
            <w:bottom w:val="none" w:sz="0" w:space="0" w:color="auto"/>
            <w:right w:val="none" w:sz="0" w:space="0" w:color="auto"/>
          </w:divBdr>
        </w:div>
        <w:div w:id="1267423074">
          <w:marLeft w:val="0"/>
          <w:marRight w:val="0"/>
          <w:marTop w:val="0"/>
          <w:marBottom w:val="0"/>
          <w:divBdr>
            <w:top w:val="none" w:sz="0" w:space="0" w:color="auto"/>
            <w:left w:val="none" w:sz="0" w:space="0" w:color="auto"/>
            <w:bottom w:val="none" w:sz="0" w:space="0" w:color="auto"/>
            <w:right w:val="none" w:sz="0" w:space="0" w:color="auto"/>
          </w:divBdr>
        </w:div>
        <w:div w:id="1270043235">
          <w:marLeft w:val="0"/>
          <w:marRight w:val="0"/>
          <w:marTop w:val="0"/>
          <w:marBottom w:val="0"/>
          <w:divBdr>
            <w:top w:val="none" w:sz="0" w:space="0" w:color="auto"/>
            <w:left w:val="none" w:sz="0" w:space="0" w:color="auto"/>
            <w:bottom w:val="none" w:sz="0" w:space="0" w:color="auto"/>
            <w:right w:val="none" w:sz="0" w:space="0" w:color="auto"/>
          </w:divBdr>
        </w:div>
        <w:div w:id="1270966727">
          <w:marLeft w:val="0"/>
          <w:marRight w:val="0"/>
          <w:marTop w:val="0"/>
          <w:marBottom w:val="0"/>
          <w:divBdr>
            <w:top w:val="none" w:sz="0" w:space="0" w:color="auto"/>
            <w:left w:val="none" w:sz="0" w:space="0" w:color="auto"/>
            <w:bottom w:val="none" w:sz="0" w:space="0" w:color="auto"/>
            <w:right w:val="none" w:sz="0" w:space="0" w:color="auto"/>
          </w:divBdr>
        </w:div>
        <w:div w:id="1275676950">
          <w:marLeft w:val="0"/>
          <w:marRight w:val="0"/>
          <w:marTop w:val="0"/>
          <w:marBottom w:val="0"/>
          <w:divBdr>
            <w:top w:val="none" w:sz="0" w:space="0" w:color="auto"/>
            <w:left w:val="none" w:sz="0" w:space="0" w:color="auto"/>
            <w:bottom w:val="none" w:sz="0" w:space="0" w:color="auto"/>
            <w:right w:val="none" w:sz="0" w:space="0" w:color="auto"/>
          </w:divBdr>
          <w:divsChild>
            <w:div w:id="40524366">
              <w:marLeft w:val="0"/>
              <w:marRight w:val="0"/>
              <w:marTop w:val="0"/>
              <w:marBottom w:val="0"/>
              <w:divBdr>
                <w:top w:val="none" w:sz="0" w:space="0" w:color="auto"/>
                <w:left w:val="none" w:sz="0" w:space="0" w:color="auto"/>
                <w:bottom w:val="none" w:sz="0" w:space="0" w:color="auto"/>
                <w:right w:val="none" w:sz="0" w:space="0" w:color="auto"/>
              </w:divBdr>
            </w:div>
            <w:div w:id="191696008">
              <w:marLeft w:val="0"/>
              <w:marRight w:val="0"/>
              <w:marTop w:val="0"/>
              <w:marBottom w:val="0"/>
              <w:divBdr>
                <w:top w:val="none" w:sz="0" w:space="0" w:color="auto"/>
                <w:left w:val="none" w:sz="0" w:space="0" w:color="auto"/>
                <w:bottom w:val="none" w:sz="0" w:space="0" w:color="auto"/>
                <w:right w:val="none" w:sz="0" w:space="0" w:color="auto"/>
              </w:divBdr>
            </w:div>
            <w:div w:id="213978439">
              <w:marLeft w:val="0"/>
              <w:marRight w:val="0"/>
              <w:marTop w:val="0"/>
              <w:marBottom w:val="0"/>
              <w:divBdr>
                <w:top w:val="none" w:sz="0" w:space="0" w:color="auto"/>
                <w:left w:val="none" w:sz="0" w:space="0" w:color="auto"/>
                <w:bottom w:val="none" w:sz="0" w:space="0" w:color="auto"/>
                <w:right w:val="none" w:sz="0" w:space="0" w:color="auto"/>
              </w:divBdr>
            </w:div>
            <w:div w:id="411270359">
              <w:marLeft w:val="0"/>
              <w:marRight w:val="0"/>
              <w:marTop w:val="0"/>
              <w:marBottom w:val="0"/>
              <w:divBdr>
                <w:top w:val="none" w:sz="0" w:space="0" w:color="auto"/>
                <w:left w:val="none" w:sz="0" w:space="0" w:color="auto"/>
                <w:bottom w:val="none" w:sz="0" w:space="0" w:color="auto"/>
                <w:right w:val="none" w:sz="0" w:space="0" w:color="auto"/>
              </w:divBdr>
            </w:div>
            <w:div w:id="460077708">
              <w:marLeft w:val="0"/>
              <w:marRight w:val="0"/>
              <w:marTop w:val="0"/>
              <w:marBottom w:val="0"/>
              <w:divBdr>
                <w:top w:val="none" w:sz="0" w:space="0" w:color="auto"/>
                <w:left w:val="none" w:sz="0" w:space="0" w:color="auto"/>
                <w:bottom w:val="none" w:sz="0" w:space="0" w:color="auto"/>
                <w:right w:val="none" w:sz="0" w:space="0" w:color="auto"/>
              </w:divBdr>
            </w:div>
            <w:div w:id="595796500">
              <w:marLeft w:val="0"/>
              <w:marRight w:val="0"/>
              <w:marTop w:val="0"/>
              <w:marBottom w:val="0"/>
              <w:divBdr>
                <w:top w:val="none" w:sz="0" w:space="0" w:color="auto"/>
                <w:left w:val="none" w:sz="0" w:space="0" w:color="auto"/>
                <w:bottom w:val="none" w:sz="0" w:space="0" w:color="auto"/>
                <w:right w:val="none" w:sz="0" w:space="0" w:color="auto"/>
              </w:divBdr>
            </w:div>
            <w:div w:id="764378487">
              <w:marLeft w:val="0"/>
              <w:marRight w:val="0"/>
              <w:marTop w:val="0"/>
              <w:marBottom w:val="0"/>
              <w:divBdr>
                <w:top w:val="none" w:sz="0" w:space="0" w:color="auto"/>
                <w:left w:val="none" w:sz="0" w:space="0" w:color="auto"/>
                <w:bottom w:val="none" w:sz="0" w:space="0" w:color="auto"/>
                <w:right w:val="none" w:sz="0" w:space="0" w:color="auto"/>
              </w:divBdr>
            </w:div>
            <w:div w:id="838351385">
              <w:marLeft w:val="0"/>
              <w:marRight w:val="0"/>
              <w:marTop w:val="0"/>
              <w:marBottom w:val="0"/>
              <w:divBdr>
                <w:top w:val="none" w:sz="0" w:space="0" w:color="auto"/>
                <w:left w:val="none" w:sz="0" w:space="0" w:color="auto"/>
                <w:bottom w:val="none" w:sz="0" w:space="0" w:color="auto"/>
                <w:right w:val="none" w:sz="0" w:space="0" w:color="auto"/>
              </w:divBdr>
            </w:div>
            <w:div w:id="1034305182">
              <w:marLeft w:val="0"/>
              <w:marRight w:val="0"/>
              <w:marTop w:val="0"/>
              <w:marBottom w:val="0"/>
              <w:divBdr>
                <w:top w:val="none" w:sz="0" w:space="0" w:color="auto"/>
                <w:left w:val="none" w:sz="0" w:space="0" w:color="auto"/>
                <w:bottom w:val="none" w:sz="0" w:space="0" w:color="auto"/>
                <w:right w:val="none" w:sz="0" w:space="0" w:color="auto"/>
              </w:divBdr>
            </w:div>
            <w:div w:id="1223103294">
              <w:marLeft w:val="0"/>
              <w:marRight w:val="0"/>
              <w:marTop w:val="0"/>
              <w:marBottom w:val="0"/>
              <w:divBdr>
                <w:top w:val="none" w:sz="0" w:space="0" w:color="auto"/>
                <w:left w:val="none" w:sz="0" w:space="0" w:color="auto"/>
                <w:bottom w:val="none" w:sz="0" w:space="0" w:color="auto"/>
                <w:right w:val="none" w:sz="0" w:space="0" w:color="auto"/>
              </w:divBdr>
            </w:div>
            <w:div w:id="1460682026">
              <w:marLeft w:val="0"/>
              <w:marRight w:val="0"/>
              <w:marTop w:val="0"/>
              <w:marBottom w:val="0"/>
              <w:divBdr>
                <w:top w:val="none" w:sz="0" w:space="0" w:color="auto"/>
                <w:left w:val="none" w:sz="0" w:space="0" w:color="auto"/>
                <w:bottom w:val="none" w:sz="0" w:space="0" w:color="auto"/>
                <w:right w:val="none" w:sz="0" w:space="0" w:color="auto"/>
              </w:divBdr>
            </w:div>
            <w:div w:id="1528979971">
              <w:marLeft w:val="0"/>
              <w:marRight w:val="0"/>
              <w:marTop w:val="0"/>
              <w:marBottom w:val="0"/>
              <w:divBdr>
                <w:top w:val="none" w:sz="0" w:space="0" w:color="auto"/>
                <w:left w:val="none" w:sz="0" w:space="0" w:color="auto"/>
                <w:bottom w:val="none" w:sz="0" w:space="0" w:color="auto"/>
                <w:right w:val="none" w:sz="0" w:space="0" w:color="auto"/>
              </w:divBdr>
            </w:div>
            <w:div w:id="1627932160">
              <w:marLeft w:val="0"/>
              <w:marRight w:val="0"/>
              <w:marTop w:val="0"/>
              <w:marBottom w:val="0"/>
              <w:divBdr>
                <w:top w:val="none" w:sz="0" w:space="0" w:color="auto"/>
                <w:left w:val="none" w:sz="0" w:space="0" w:color="auto"/>
                <w:bottom w:val="none" w:sz="0" w:space="0" w:color="auto"/>
                <w:right w:val="none" w:sz="0" w:space="0" w:color="auto"/>
              </w:divBdr>
            </w:div>
            <w:div w:id="1789085358">
              <w:marLeft w:val="0"/>
              <w:marRight w:val="0"/>
              <w:marTop w:val="0"/>
              <w:marBottom w:val="0"/>
              <w:divBdr>
                <w:top w:val="none" w:sz="0" w:space="0" w:color="auto"/>
                <w:left w:val="none" w:sz="0" w:space="0" w:color="auto"/>
                <w:bottom w:val="none" w:sz="0" w:space="0" w:color="auto"/>
                <w:right w:val="none" w:sz="0" w:space="0" w:color="auto"/>
              </w:divBdr>
            </w:div>
            <w:div w:id="1867327051">
              <w:marLeft w:val="0"/>
              <w:marRight w:val="0"/>
              <w:marTop w:val="0"/>
              <w:marBottom w:val="0"/>
              <w:divBdr>
                <w:top w:val="none" w:sz="0" w:space="0" w:color="auto"/>
                <w:left w:val="none" w:sz="0" w:space="0" w:color="auto"/>
                <w:bottom w:val="none" w:sz="0" w:space="0" w:color="auto"/>
                <w:right w:val="none" w:sz="0" w:space="0" w:color="auto"/>
              </w:divBdr>
            </w:div>
            <w:div w:id="1941062876">
              <w:marLeft w:val="0"/>
              <w:marRight w:val="0"/>
              <w:marTop w:val="0"/>
              <w:marBottom w:val="0"/>
              <w:divBdr>
                <w:top w:val="none" w:sz="0" w:space="0" w:color="auto"/>
                <w:left w:val="none" w:sz="0" w:space="0" w:color="auto"/>
                <w:bottom w:val="none" w:sz="0" w:space="0" w:color="auto"/>
                <w:right w:val="none" w:sz="0" w:space="0" w:color="auto"/>
              </w:divBdr>
            </w:div>
            <w:div w:id="2089841182">
              <w:marLeft w:val="0"/>
              <w:marRight w:val="0"/>
              <w:marTop w:val="0"/>
              <w:marBottom w:val="0"/>
              <w:divBdr>
                <w:top w:val="none" w:sz="0" w:space="0" w:color="auto"/>
                <w:left w:val="none" w:sz="0" w:space="0" w:color="auto"/>
                <w:bottom w:val="none" w:sz="0" w:space="0" w:color="auto"/>
                <w:right w:val="none" w:sz="0" w:space="0" w:color="auto"/>
              </w:divBdr>
            </w:div>
          </w:divsChild>
        </w:div>
        <w:div w:id="1278217030">
          <w:marLeft w:val="0"/>
          <w:marRight w:val="0"/>
          <w:marTop w:val="0"/>
          <w:marBottom w:val="0"/>
          <w:divBdr>
            <w:top w:val="none" w:sz="0" w:space="0" w:color="auto"/>
            <w:left w:val="none" w:sz="0" w:space="0" w:color="auto"/>
            <w:bottom w:val="none" w:sz="0" w:space="0" w:color="auto"/>
            <w:right w:val="none" w:sz="0" w:space="0" w:color="auto"/>
          </w:divBdr>
        </w:div>
        <w:div w:id="1278828265">
          <w:marLeft w:val="0"/>
          <w:marRight w:val="0"/>
          <w:marTop w:val="0"/>
          <w:marBottom w:val="0"/>
          <w:divBdr>
            <w:top w:val="none" w:sz="0" w:space="0" w:color="auto"/>
            <w:left w:val="none" w:sz="0" w:space="0" w:color="auto"/>
            <w:bottom w:val="none" w:sz="0" w:space="0" w:color="auto"/>
            <w:right w:val="none" w:sz="0" w:space="0" w:color="auto"/>
          </w:divBdr>
        </w:div>
        <w:div w:id="1279214207">
          <w:marLeft w:val="0"/>
          <w:marRight w:val="0"/>
          <w:marTop w:val="0"/>
          <w:marBottom w:val="0"/>
          <w:divBdr>
            <w:top w:val="none" w:sz="0" w:space="0" w:color="auto"/>
            <w:left w:val="none" w:sz="0" w:space="0" w:color="auto"/>
            <w:bottom w:val="none" w:sz="0" w:space="0" w:color="auto"/>
            <w:right w:val="none" w:sz="0" w:space="0" w:color="auto"/>
          </w:divBdr>
        </w:div>
        <w:div w:id="1279946779">
          <w:marLeft w:val="0"/>
          <w:marRight w:val="0"/>
          <w:marTop w:val="0"/>
          <w:marBottom w:val="0"/>
          <w:divBdr>
            <w:top w:val="none" w:sz="0" w:space="0" w:color="auto"/>
            <w:left w:val="none" w:sz="0" w:space="0" w:color="auto"/>
            <w:bottom w:val="none" w:sz="0" w:space="0" w:color="auto"/>
            <w:right w:val="none" w:sz="0" w:space="0" w:color="auto"/>
          </w:divBdr>
        </w:div>
        <w:div w:id="1279947097">
          <w:marLeft w:val="0"/>
          <w:marRight w:val="0"/>
          <w:marTop w:val="0"/>
          <w:marBottom w:val="0"/>
          <w:divBdr>
            <w:top w:val="none" w:sz="0" w:space="0" w:color="auto"/>
            <w:left w:val="none" w:sz="0" w:space="0" w:color="auto"/>
            <w:bottom w:val="none" w:sz="0" w:space="0" w:color="auto"/>
            <w:right w:val="none" w:sz="0" w:space="0" w:color="auto"/>
          </w:divBdr>
        </w:div>
        <w:div w:id="1281568994">
          <w:marLeft w:val="0"/>
          <w:marRight w:val="0"/>
          <w:marTop w:val="0"/>
          <w:marBottom w:val="0"/>
          <w:divBdr>
            <w:top w:val="none" w:sz="0" w:space="0" w:color="auto"/>
            <w:left w:val="none" w:sz="0" w:space="0" w:color="auto"/>
            <w:bottom w:val="none" w:sz="0" w:space="0" w:color="auto"/>
            <w:right w:val="none" w:sz="0" w:space="0" w:color="auto"/>
          </w:divBdr>
        </w:div>
        <w:div w:id="1283028068">
          <w:marLeft w:val="0"/>
          <w:marRight w:val="0"/>
          <w:marTop w:val="0"/>
          <w:marBottom w:val="0"/>
          <w:divBdr>
            <w:top w:val="none" w:sz="0" w:space="0" w:color="auto"/>
            <w:left w:val="none" w:sz="0" w:space="0" w:color="auto"/>
            <w:bottom w:val="none" w:sz="0" w:space="0" w:color="auto"/>
            <w:right w:val="none" w:sz="0" w:space="0" w:color="auto"/>
          </w:divBdr>
        </w:div>
        <w:div w:id="1284071247">
          <w:marLeft w:val="0"/>
          <w:marRight w:val="0"/>
          <w:marTop w:val="0"/>
          <w:marBottom w:val="0"/>
          <w:divBdr>
            <w:top w:val="none" w:sz="0" w:space="0" w:color="auto"/>
            <w:left w:val="none" w:sz="0" w:space="0" w:color="auto"/>
            <w:bottom w:val="none" w:sz="0" w:space="0" w:color="auto"/>
            <w:right w:val="none" w:sz="0" w:space="0" w:color="auto"/>
          </w:divBdr>
        </w:div>
        <w:div w:id="1285379874">
          <w:marLeft w:val="0"/>
          <w:marRight w:val="0"/>
          <w:marTop w:val="0"/>
          <w:marBottom w:val="0"/>
          <w:divBdr>
            <w:top w:val="none" w:sz="0" w:space="0" w:color="auto"/>
            <w:left w:val="none" w:sz="0" w:space="0" w:color="auto"/>
            <w:bottom w:val="none" w:sz="0" w:space="0" w:color="auto"/>
            <w:right w:val="none" w:sz="0" w:space="0" w:color="auto"/>
          </w:divBdr>
        </w:div>
        <w:div w:id="1286738199">
          <w:marLeft w:val="0"/>
          <w:marRight w:val="0"/>
          <w:marTop w:val="0"/>
          <w:marBottom w:val="0"/>
          <w:divBdr>
            <w:top w:val="none" w:sz="0" w:space="0" w:color="auto"/>
            <w:left w:val="none" w:sz="0" w:space="0" w:color="auto"/>
            <w:bottom w:val="none" w:sz="0" w:space="0" w:color="auto"/>
            <w:right w:val="none" w:sz="0" w:space="0" w:color="auto"/>
          </w:divBdr>
        </w:div>
        <w:div w:id="1287195737">
          <w:marLeft w:val="0"/>
          <w:marRight w:val="0"/>
          <w:marTop w:val="0"/>
          <w:marBottom w:val="0"/>
          <w:divBdr>
            <w:top w:val="none" w:sz="0" w:space="0" w:color="auto"/>
            <w:left w:val="none" w:sz="0" w:space="0" w:color="auto"/>
            <w:bottom w:val="none" w:sz="0" w:space="0" w:color="auto"/>
            <w:right w:val="none" w:sz="0" w:space="0" w:color="auto"/>
          </w:divBdr>
        </w:div>
        <w:div w:id="1288198538">
          <w:marLeft w:val="0"/>
          <w:marRight w:val="0"/>
          <w:marTop w:val="0"/>
          <w:marBottom w:val="0"/>
          <w:divBdr>
            <w:top w:val="none" w:sz="0" w:space="0" w:color="auto"/>
            <w:left w:val="none" w:sz="0" w:space="0" w:color="auto"/>
            <w:bottom w:val="none" w:sz="0" w:space="0" w:color="auto"/>
            <w:right w:val="none" w:sz="0" w:space="0" w:color="auto"/>
          </w:divBdr>
        </w:div>
        <w:div w:id="1288853301">
          <w:marLeft w:val="0"/>
          <w:marRight w:val="0"/>
          <w:marTop w:val="0"/>
          <w:marBottom w:val="0"/>
          <w:divBdr>
            <w:top w:val="none" w:sz="0" w:space="0" w:color="auto"/>
            <w:left w:val="none" w:sz="0" w:space="0" w:color="auto"/>
            <w:bottom w:val="none" w:sz="0" w:space="0" w:color="auto"/>
            <w:right w:val="none" w:sz="0" w:space="0" w:color="auto"/>
          </w:divBdr>
        </w:div>
        <w:div w:id="1289315821">
          <w:marLeft w:val="0"/>
          <w:marRight w:val="0"/>
          <w:marTop w:val="0"/>
          <w:marBottom w:val="0"/>
          <w:divBdr>
            <w:top w:val="none" w:sz="0" w:space="0" w:color="auto"/>
            <w:left w:val="none" w:sz="0" w:space="0" w:color="auto"/>
            <w:bottom w:val="none" w:sz="0" w:space="0" w:color="auto"/>
            <w:right w:val="none" w:sz="0" w:space="0" w:color="auto"/>
          </w:divBdr>
        </w:div>
        <w:div w:id="1290355036">
          <w:marLeft w:val="0"/>
          <w:marRight w:val="0"/>
          <w:marTop w:val="0"/>
          <w:marBottom w:val="0"/>
          <w:divBdr>
            <w:top w:val="none" w:sz="0" w:space="0" w:color="auto"/>
            <w:left w:val="none" w:sz="0" w:space="0" w:color="auto"/>
            <w:bottom w:val="none" w:sz="0" w:space="0" w:color="auto"/>
            <w:right w:val="none" w:sz="0" w:space="0" w:color="auto"/>
          </w:divBdr>
        </w:div>
        <w:div w:id="1292712027">
          <w:marLeft w:val="0"/>
          <w:marRight w:val="0"/>
          <w:marTop w:val="0"/>
          <w:marBottom w:val="0"/>
          <w:divBdr>
            <w:top w:val="none" w:sz="0" w:space="0" w:color="auto"/>
            <w:left w:val="none" w:sz="0" w:space="0" w:color="auto"/>
            <w:bottom w:val="none" w:sz="0" w:space="0" w:color="auto"/>
            <w:right w:val="none" w:sz="0" w:space="0" w:color="auto"/>
          </w:divBdr>
        </w:div>
        <w:div w:id="1293712599">
          <w:marLeft w:val="0"/>
          <w:marRight w:val="0"/>
          <w:marTop w:val="0"/>
          <w:marBottom w:val="0"/>
          <w:divBdr>
            <w:top w:val="none" w:sz="0" w:space="0" w:color="auto"/>
            <w:left w:val="none" w:sz="0" w:space="0" w:color="auto"/>
            <w:bottom w:val="none" w:sz="0" w:space="0" w:color="auto"/>
            <w:right w:val="none" w:sz="0" w:space="0" w:color="auto"/>
          </w:divBdr>
        </w:div>
        <w:div w:id="1293825083">
          <w:marLeft w:val="0"/>
          <w:marRight w:val="0"/>
          <w:marTop w:val="0"/>
          <w:marBottom w:val="0"/>
          <w:divBdr>
            <w:top w:val="none" w:sz="0" w:space="0" w:color="auto"/>
            <w:left w:val="none" w:sz="0" w:space="0" w:color="auto"/>
            <w:bottom w:val="none" w:sz="0" w:space="0" w:color="auto"/>
            <w:right w:val="none" w:sz="0" w:space="0" w:color="auto"/>
          </w:divBdr>
        </w:div>
        <w:div w:id="1294555076">
          <w:marLeft w:val="0"/>
          <w:marRight w:val="0"/>
          <w:marTop w:val="0"/>
          <w:marBottom w:val="0"/>
          <w:divBdr>
            <w:top w:val="none" w:sz="0" w:space="0" w:color="auto"/>
            <w:left w:val="none" w:sz="0" w:space="0" w:color="auto"/>
            <w:bottom w:val="none" w:sz="0" w:space="0" w:color="auto"/>
            <w:right w:val="none" w:sz="0" w:space="0" w:color="auto"/>
          </w:divBdr>
        </w:div>
        <w:div w:id="1296181727">
          <w:marLeft w:val="0"/>
          <w:marRight w:val="0"/>
          <w:marTop w:val="0"/>
          <w:marBottom w:val="0"/>
          <w:divBdr>
            <w:top w:val="none" w:sz="0" w:space="0" w:color="auto"/>
            <w:left w:val="none" w:sz="0" w:space="0" w:color="auto"/>
            <w:bottom w:val="none" w:sz="0" w:space="0" w:color="auto"/>
            <w:right w:val="none" w:sz="0" w:space="0" w:color="auto"/>
          </w:divBdr>
        </w:div>
        <w:div w:id="1296790024">
          <w:marLeft w:val="0"/>
          <w:marRight w:val="0"/>
          <w:marTop w:val="0"/>
          <w:marBottom w:val="0"/>
          <w:divBdr>
            <w:top w:val="none" w:sz="0" w:space="0" w:color="auto"/>
            <w:left w:val="none" w:sz="0" w:space="0" w:color="auto"/>
            <w:bottom w:val="none" w:sz="0" w:space="0" w:color="auto"/>
            <w:right w:val="none" w:sz="0" w:space="0" w:color="auto"/>
          </w:divBdr>
        </w:div>
        <w:div w:id="1297175162">
          <w:marLeft w:val="0"/>
          <w:marRight w:val="0"/>
          <w:marTop w:val="0"/>
          <w:marBottom w:val="0"/>
          <w:divBdr>
            <w:top w:val="none" w:sz="0" w:space="0" w:color="auto"/>
            <w:left w:val="none" w:sz="0" w:space="0" w:color="auto"/>
            <w:bottom w:val="none" w:sz="0" w:space="0" w:color="auto"/>
            <w:right w:val="none" w:sz="0" w:space="0" w:color="auto"/>
          </w:divBdr>
        </w:div>
        <w:div w:id="1297177050">
          <w:marLeft w:val="0"/>
          <w:marRight w:val="0"/>
          <w:marTop w:val="0"/>
          <w:marBottom w:val="0"/>
          <w:divBdr>
            <w:top w:val="none" w:sz="0" w:space="0" w:color="auto"/>
            <w:left w:val="none" w:sz="0" w:space="0" w:color="auto"/>
            <w:bottom w:val="none" w:sz="0" w:space="0" w:color="auto"/>
            <w:right w:val="none" w:sz="0" w:space="0" w:color="auto"/>
          </w:divBdr>
        </w:div>
        <w:div w:id="1297682487">
          <w:marLeft w:val="0"/>
          <w:marRight w:val="0"/>
          <w:marTop w:val="0"/>
          <w:marBottom w:val="0"/>
          <w:divBdr>
            <w:top w:val="none" w:sz="0" w:space="0" w:color="auto"/>
            <w:left w:val="none" w:sz="0" w:space="0" w:color="auto"/>
            <w:bottom w:val="none" w:sz="0" w:space="0" w:color="auto"/>
            <w:right w:val="none" w:sz="0" w:space="0" w:color="auto"/>
          </w:divBdr>
        </w:div>
        <w:div w:id="1298412262">
          <w:marLeft w:val="0"/>
          <w:marRight w:val="0"/>
          <w:marTop w:val="0"/>
          <w:marBottom w:val="0"/>
          <w:divBdr>
            <w:top w:val="none" w:sz="0" w:space="0" w:color="auto"/>
            <w:left w:val="none" w:sz="0" w:space="0" w:color="auto"/>
            <w:bottom w:val="none" w:sz="0" w:space="0" w:color="auto"/>
            <w:right w:val="none" w:sz="0" w:space="0" w:color="auto"/>
          </w:divBdr>
        </w:div>
        <w:div w:id="1298533307">
          <w:marLeft w:val="0"/>
          <w:marRight w:val="0"/>
          <w:marTop w:val="0"/>
          <w:marBottom w:val="0"/>
          <w:divBdr>
            <w:top w:val="none" w:sz="0" w:space="0" w:color="auto"/>
            <w:left w:val="none" w:sz="0" w:space="0" w:color="auto"/>
            <w:bottom w:val="none" w:sz="0" w:space="0" w:color="auto"/>
            <w:right w:val="none" w:sz="0" w:space="0" w:color="auto"/>
          </w:divBdr>
        </w:div>
        <w:div w:id="1299997272">
          <w:marLeft w:val="0"/>
          <w:marRight w:val="0"/>
          <w:marTop w:val="0"/>
          <w:marBottom w:val="0"/>
          <w:divBdr>
            <w:top w:val="none" w:sz="0" w:space="0" w:color="auto"/>
            <w:left w:val="none" w:sz="0" w:space="0" w:color="auto"/>
            <w:bottom w:val="none" w:sz="0" w:space="0" w:color="auto"/>
            <w:right w:val="none" w:sz="0" w:space="0" w:color="auto"/>
          </w:divBdr>
        </w:div>
        <w:div w:id="1300650620">
          <w:marLeft w:val="0"/>
          <w:marRight w:val="0"/>
          <w:marTop w:val="0"/>
          <w:marBottom w:val="0"/>
          <w:divBdr>
            <w:top w:val="none" w:sz="0" w:space="0" w:color="auto"/>
            <w:left w:val="none" w:sz="0" w:space="0" w:color="auto"/>
            <w:bottom w:val="none" w:sz="0" w:space="0" w:color="auto"/>
            <w:right w:val="none" w:sz="0" w:space="0" w:color="auto"/>
          </w:divBdr>
        </w:div>
        <w:div w:id="1301764631">
          <w:marLeft w:val="0"/>
          <w:marRight w:val="0"/>
          <w:marTop w:val="0"/>
          <w:marBottom w:val="0"/>
          <w:divBdr>
            <w:top w:val="none" w:sz="0" w:space="0" w:color="auto"/>
            <w:left w:val="none" w:sz="0" w:space="0" w:color="auto"/>
            <w:bottom w:val="none" w:sz="0" w:space="0" w:color="auto"/>
            <w:right w:val="none" w:sz="0" w:space="0" w:color="auto"/>
          </w:divBdr>
        </w:div>
        <w:div w:id="1302494156">
          <w:marLeft w:val="0"/>
          <w:marRight w:val="0"/>
          <w:marTop w:val="0"/>
          <w:marBottom w:val="0"/>
          <w:divBdr>
            <w:top w:val="none" w:sz="0" w:space="0" w:color="auto"/>
            <w:left w:val="none" w:sz="0" w:space="0" w:color="auto"/>
            <w:bottom w:val="none" w:sz="0" w:space="0" w:color="auto"/>
            <w:right w:val="none" w:sz="0" w:space="0" w:color="auto"/>
          </w:divBdr>
        </w:div>
        <w:div w:id="1302616916">
          <w:marLeft w:val="0"/>
          <w:marRight w:val="0"/>
          <w:marTop w:val="0"/>
          <w:marBottom w:val="0"/>
          <w:divBdr>
            <w:top w:val="none" w:sz="0" w:space="0" w:color="auto"/>
            <w:left w:val="none" w:sz="0" w:space="0" w:color="auto"/>
            <w:bottom w:val="none" w:sz="0" w:space="0" w:color="auto"/>
            <w:right w:val="none" w:sz="0" w:space="0" w:color="auto"/>
          </w:divBdr>
        </w:div>
        <w:div w:id="1304239967">
          <w:marLeft w:val="0"/>
          <w:marRight w:val="0"/>
          <w:marTop w:val="0"/>
          <w:marBottom w:val="0"/>
          <w:divBdr>
            <w:top w:val="none" w:sz="0" w:space="0" w:color="auto"/>
            <w:left w:val="none" w:sz="0" w:space="0" w:color="auto"/>
            <w:bottom w:val="none" w:sz="0" w:space="0" w:color="auto"/>
            <w:right w:val="none" w:sz="0" w:space="0" w:color="auto"/>
          </w:divBdr>
          <w:divsChild>
            <w:div w:id="83428951">
              <w:marLeft w:val="0"/>
              <w:marRight w:val="0"/>
              <w:marTop w:val="0"/>
              <w:marBottom w:val="0"/>
              <w:divBdr>
                <w:top w:val="none" w:sz="0" w:space="0" w:color="auto"/>
                <w:left w:val="none" w:sz="0" w:space="0" w:color="auto"/>
                <w:bottom w:val="none" w:sz="0" w:space="0" w:color="auto"/>
                <w:right w:val="none" w:sz="0" w:space="0" w:color="auto"/>
              </w:divBdr>
            </w:div>
            <w:div w:id="160970750">
              <w:marLeft w:val="0"/>
              <w:marRight w:val="0"/>
              <w:marTop w:val="0"/>
              <w:marBottom w:val="0"/>
              <w:divBdr>
                <w:top w:val="none" w:sz="0" w:space="0" w:color="auto"/>
                <w:left w:val="none" w:sz="0" w:space="0" w:color="auto"/>
                <w:bottom w:val="none" w:sz="0" w:space="0" w:color="auto"/>
                <w:right w:val="none" w:sz="0" w:space="0" w:color="auto"/>
              </w:divBdr>
            </w:div>
            <w:div w:id="351998119">
              <w:marLeft w:val="0"/>
              <w:marRight w:val="0"/>
              <w:marTop w:val="0"/>
              <w:marBottom w:val="0"/>
              <w:divBdr>
                <w:top w:val="none" w:sz="0" w:space="0" w:color="auto"/>
                <w:left w:val="none" w:sz="0" w:space="0" w:color="auto"/>
                <w:bottom w:val="none" w:sz="0" w:space="0" w:color="auto"/>
                <w:right w:val="none" w:sz="0" w:space="0" w:color="auto"/>
              </w:divBdr>
            </w:div>
            <w:div w:id="465394531">
              <w:marLeft w:val="0"/>
              <w:marRight w:val="0"/>
              <w:marTop w:val="0"/>
              <w:marBottom w:val="0"/>
              <w:divBdr>
                <w:top w:val="none" w:sz="0" w:space="0" w:color="auto"/>
                <w:left w:val="none" w:sz="0" w:space="0" w:color="auto"/>
                <w:bottom w:val="none" w:sz="0" w:space="0" w:color="auto"/>
                <w:right w:val="none" w:sz="0" w:space="0" w:color="auto"/>
              </w:divBdr>
            </w:div>
            <w:div w:id="533344837">
              <w:marLeft w:val="0"/>
              <w:marRight w:val="0"/>
              <w:marTop w:val="0"/>
              <w:marBottom w:val="0"/>
              <w:divBdr>
                <w:top w:val="none" w:sz="0" w:space="0" w:color="auto"/>
                <w:left w:val="none" w:sz="0" w:space="0" w:color="auto"/>
                <w:bottom w:val="none" w:sz="0" w:space="0" w:color="auto"/>
                <w:right w:val="none" w:sz="0" w:space="0" w:color="auto"/>
              </w:divBdr>
            </w:div>
            <w:div w:id="751202194">
              <w:marLeft w:val="0"/>
              <w:marRight w:val="0"/>
              <w:marTop w:val="0"/>
              <w:marBottom w:val="0"/>
              <w:divBdr>
                <w:top w:val="none" w:sz="0" w:space="0" w:color="auto"/>
                <w:left w:val="none" w:sz="0" w:space="0" w:color="auto"/>
                <w:bottom w:val="none" w:sz="0" w:space="0" w:color="auto"/>
                <w:right w:val="none" w:sz="0" w:space="0" w:color="auto"/>
              </w:divBdr>
            </w:div>
            <w:div w:id="786778531">
              <w:marLeft w:val="0"/>
              <w:marRight w:val="0"/>
              <w:marTop w:val="0"/>
              <w:marBottom w:val="0"/>
              <w:divBdr>
                <w:top w:val="none" w:sz="0" w:space="0" w:color="auto"/>
                <w:left w:val="none" w:sz="0" w:space="0" w:color="auto"/>
                <w:bottom w:val="none" w:sz="0" w:space="0" w:color="auto"/>
                <w:right w:val="none" w:sz="0" w:space="0" w:color="auto"/>
              </w:divBdr>
            </w:div>
            <w:div w:id="792789569">
              <w:marLeft w:val="0"/>
              <w:marRight w:val="0"/>
              <w:marTop w:val="0"/>
              <w:marBottom w:val="0"/>
              <w:divBdr>
                <w:top w:val="none" w:sz="0" w:space="0" w:color="auto"/>
                <w:left w:val="none" w:sz="0" w:space="0" w:color="auto"/>
                <w:bottom w:val="none" w:sz="0" w:space="0" w:color="auto"/>
                <w:right w:val="none" w:sz="0" w:space="0" w:color="auto"/>
              </w:divBdr>
            </w:div>
            <w:div w:id="891696381">
              <w:marLeft w:val="0"/>
              <w:marRight w:val="0"/>
              <w:marTop w:val="0"/>
              <w:marBottom w:val="0"/>
              <w:divBdr>
                <w:top w:val="none" w:sz="0" w:space="0" w:color="auto"/>
                <w:left w:val="none" w:sz="0" w:space="0" w:color="auto"/>
                <w:bottom w:val="none" w:sz="0" w:space="0" w:color="auto"/>
                <w:right w:val="none" w:sz="0" w:space="0" w:color="auto"/>
              </w:divBdr>
            </w:div>
            <w:div w:id="911235857">
              <w:marLeft w:val="0"/>
              <w:marRight w:val="0"/>
              <w:marTop w:val="0"/>
              <w:marBottom w:val="0"/>
              <w:divBdr>
                <w:top w:val="none" w:sz="0" w:space="0" w:color="auto"/>
                <w:left w:val="none" w:sz="0" w:space="0" w:color="auto"/>
                <w:bottom w:val="none" w:sz="0" w:space="0" w:color="auto"/>
                <w:right w:val="none" w:sz="0" w:space="0" w:color="auto"/>
              </w:divBdr>
            </w:div>
            <w:div w:id="1161508577">
              <w:marLeft w:val="0"/>
              <w:marRight w:val="0"/>
              <w:marTop w:val="0"/>
              <w:marBottom w:val="0"/>
              <w:divBdr>
                <w:top w:val="none" w:sz="0" w:space="0" w:color="auto"/>
                <w:left w:val="none" w:sz="0" w:space="0" w:color="auto"/>
                <w:bottom w:val="none" w:sz="0" w:space="0" w:color="auto"/>
                <w:right w:val="none" w:sz="0" w:space="0" w:color="auto"/>
              </w:divBdr>
            </w:div>
            <w:div w:id="1357198995">
              <w:marLeft w:val="0"/>
              <w:marRight w:val="0"/>
              <w:marTop w:val="0"/>
              <w:marBottom w:val="0"/>
              <w:divBdr>
                <w:top w:val="none" w:sz="0" w:space="0" w:color="auto"/>
                <w:left w:val="none" w:sz="0" w:space="0" w:color="auto"/>
                <w:bottom w:val="none" w:sz="0" w:space="0" w:color="auto"/>
                <w:right w:val="none" w:sz="0" w:space="0" w:color="auto"/>
              </w:divBdr>
            </w:div>
            <w:div w:id="1467116854">
              <w:marLeft w:val="0"/>
              <w:marRight w:val="0"/>
              <w:marTop w:val="0"/>
              <w:marBottom w:val="0"/>
              <w:divBdr>
                <w:top w:val="none" w:sz="0" w:space="0" w:color="auto"/>
                <w:left w:val="none" w:sz="0" w:space="0" w:color="auto"/>
                <w:bottom w:val="none" w:sz="0" w:space="0" w:color="auto"/>
                <w:right w:val="none" w:sz="0" w:space="0" w:color="auto"/>
              </w:divBdr>
            </w:div>
            <w:div w:id="1478571197">
              <w:marLeft w:val="0"/>
              <w:marRight w:val="0"/>
              <w:marTop w:val="0"/>
              <w:marBottom w:val="0"/>
              <w:divBdr>
                <w:top w:val="none" w:sz="0" w:space="0" w:color="auto"/>
                <w:left w:val="none" w:sz="0" w:space="0" w:color="auto"/>
                <w:bottom w:val="none" w:sz="0" w:space="0" w:color="auto"/>
                <w:right w:val="none" w:sz="0" w:space="0" w:color="auto"/>
              </w:divBdr>
            </w:div>
            <w:div w:id="1549225380">
              <w:marLeft w:val="0"/>
              <w:marRight w:val="0"/>
              <w:marTop w:val="0"/>
              <w:marBottom w:val="0"/>
              <w:divBdr>
                <w:top w:val="none" w:sz="0" w:space="0" w:color="auto"/>
                <w:left w:val="none" w:sz="0" w:space="0" w:color="auto"/>
                <w:bottom w:val="none" w:sz="0" w:space="0" w:color="auto"/>
                <w:right w:val="none" w:sz="0" w:space="0" w:color="auto"/>
              </w:divBdr>
            </w:div>
            <w:div w:id="1644383715">
              <w:marLeft w:val="0"/>
              <w:marRight w:val="0"/>
              <w:marTop w:val="0"/>
              <w:marBottom w:val="0"/>
              <w:divBdr>
                <w:top w:val="none" w:sz="0" w:space="0" w:color="auto"/>
                <w:left w:val="none" w:sz="0" w:space="0" w:color="auto"/>
                <w:bottom w:val="none" w:sz="0" w:space="0" w:color="auto"/>
                <w:right w:val="none" w:sz="0" w:space="0" w:color="auto"/>
              </w:divBdr>
            </w:div>
            <w:div w:id="1722944908">
              <w:marLeft w:val="0"/>
              <w:marRight w:val="0"/>
              <w:marTop w:val="0"/>
              <w:marBottom w:val="0"/>
              <w:divBdr>
                <w:top w:val="none" w:sz="0" w:space="0" w:color="auto"/>
                <w:left w:val="none" w:sz="0" w:space="0" w:color="auto"/>
                <w:bottom w:val="none" w:sz="0" w:space="0" w:color="auto"/>
                <w:right w:val="none" w:sz="0" w:space="0" w:color="auto"/>
              </w:divBdr>
            </w:div>
            <w:div w:id="1756239659">
              <w:marLeft w:val="0"/>
              <w:marRight w:val="0"/>
              <w:marTop w:val="0"/>
              <w:marBottom w:val="0"/>
              <w:divBdr>
                <w:top w:val="none" w:sz="0" w:space="0" w:color="auto"/>
                <w:left w:val="none" w:sz="0" w:space="0" w:color="auto"/>
                <w:bottom w:val="none" w:sz="0" w:space="0" w:color="auto"/>
                <w:right w:val="none" w:sz="0" w:space="0" w:color="auto"/>
              </w:divBdr>
            </w:div>
            <w:div w:id="1828010098">
              <w:marLeft w:val="0"/>
              <w:marRight w:val="0"/>
              <w:marTop w:val="0"/>
              <w:marBottom w:val="0"/>
              <w:divBdr>
                <w:top w:val="none" w:sz="0" w:space="0" w:color="auto"/>
                <w:left w:val="none" w:sz="0" w:space="0" w:color="auto"/>
                <w:bottom w:val="none" w:sz="0" w:space="0" w:color="auto"/>
                <w:right w:val="none" w:sz="0" w:space="0" w:color="auto"/>
              </w:divBdr>
            </w:div>
            <w:div w:id="2005694302">
              <w:marLeft w:val="0"/>
              <w:marRight w:val="0"/>
              <w:marTop w:val="0"/>
              <w:marBottom w:val="0"/>
              <w:divBdr>
                <w:top w:val="none" w:sz="0" w:space="0" w:color="auto"/>
                <w:left w:val="none" w:sz="0" w:space="0" w:color="auto"/>
                <w:bottom w:val="none" w:sz="0" w:space="0" w:color="auto"/>
                <w:right w:val="none" w:sz="0" w:space="0" w:color="auto"/>
              </w:divBdr>
            </w:div>
          </w:divsChild>
        </w:div>
        <w:div w:id="1304891572">
          <w:marLeft w:val="0"/>
          <w:marRight w:val="0"/>
          <w:marTop w:val="0"/>
          <w:marBottom w:val="0"/>
          <w:divBdr>
            <w:top w:val="none" w:sz="0" w:space="0" w:color="auto"/>
            <w:left w:val="none" w:sz="0" w:space="0" w:color="auto"/>
            <w:bottom w:val="none" w:sz="0" w:space="0" w:color="auto"/>
            <w:right w:val="none" w:sz="0" w:space="0" w:color="auto"/>
          </w:divBdr>
        </w:div>
        <w:div w:id="1306424594">
          <w:marLeft w:val="0"/>
          <w:marRight w:val="0"/>
          <w:marTop w:val="0"/>
          <w:marBottom w:val="0"/>
          <w:divBdr>
            <w:top w:val="none" w:sz="0" w:space="0" w:color="auto"/>
            <w:left w:val="none" w:sz="0" w:space="0" w:color="auto"/>
            <w:bottom w:val="none" w:sz="0" w:space="0" w:color="auto"/>
            <w:right w:val="none" w:sz="0" w:space="0" w:color="auto"/>
          </w:divBdr>
        </w:div>
        <w:div w:id="1309171006">
          <w:marLeft w:val="0"/>
          <w:marRight w:val="0"/>
          <w:marTop w:val="0"/>
          <w:marBottom w:val="0"/>
          <w:divBdr>
            <w:top w:val="none" w:sz="0" w:space="0" w:color="auto"/>
            <w:left w:val="none" w:sz="0" w:space="0" w:color="auto"/>
            <w:bottom w:val="none" w:sz="0" w:space="0" w:color="auto"/>
            <w:right w:val="none" w:sz="0" w:space="0" w:color="auto"/>
          </w:divBdr>
        </w:div>
        <w:div w:id="1310282310">
          <w:marLeft w:val="0"/>
          <w:marRight w:val="0"/>
          <w:marTop w:val="0"/>
          <w:marBottom w:val="0"/>
          <w:divBdr>
            <w:top w:val="none" w:sz="0" w:space="0" w:color="auto"/>
            <w:left w:val="none" w:sz="0" w:space="0" w:color="auto"/>
            <w:bottom w:val="none" w:sz="0" w:space="0" w:color="auto"/>
            <w:right w:val="none" w:sz="0" w:space="0" w:color="auto"/>
          </w:divBdr>
        </w:div>
        <w:div w:id="1312173465">
          <w:marLeft w:val="0"/>
          <w:marRight w:val="0"/>
          <w:marTop w:val="0"/>
          <w:marBottom w:val="0"/>
          <w:divBdr>
            <w:top w:val="none" w:sz="0" w:space="0" w:color="auto"/>
            <w:left w:val="none" w:sz="0" w:space="0" w:color="auto"/>
            <w:bottom w:val="none" w:sz="0" w:space="0" w:color="auto"/>
            <w:right w:val="none" w:sz="0" w:space="0" w:color="auto"/>
          </w:divBdr>
        </w:div>
        <w:div w:id="1317151986">
          <w:marLeft w:val="0"/>
          <w:marRight w:val="0"/>
          <w:marTop w:val="0"/>
          <w:marBottom w:val="0"/>
          <w:divBdr>
            <w:top w:val="none" w:sz="0" w:space="0" w:color="auto"/>
            <w:left w:val="none" w:sz="0" w:space="0" w:color="auto"/>
            <w:bottom w:val="none" w:sz="0" w:space="0" w:color="auto"/>
            <w:right w:val="none" w:sz="0" w:space="0" w:color="auto"/>
          </w:divBdr>
        </w:div>
        <w:div w:id="1320571972">
          <w:marLeft w:val="0"/>
          <w:marRight w:val="0"/>
          <w:marTop w:val="0"/>
          <w:marBottom w:val="0"/>
          <w:divBdr>
            <w:top w:val="none" w:sz="0" w:space="0" w:color="auto"/>
            <w:left w:val="none" w:sz="0" w:space="0" w:color="auto"/>
            <w:bottom w:val="none" w:sz="0" w:space="0" w:color="auto"/>
            <w:right w:val="none" w:sz="0" w:space="0" w:color="auto"/>
          </w:divBdr>
        </w:div>
        <w:div w:id="1321350907">
          <w:marLeft w:val="0"/>
          <w:marRight w:val="0"/>
          <w:marTop w:val="0"/>
          <w:marBottom w:val="0"/>
          <w:divBdr>
            <w:top w:val="none" w:sz="0" w:space="0" w:color="auto"/>
            <w:left w:val="none" w:sz="0" w:space="0" w:color="auto"/>
            <w:bottom w:val="none" w:sz="0" w:space="0" w:color="auto"/>
            <w:right w:val="none" w:sz="0" w:space="0" w:color="auto"/>
          </w:divBdr>
        </w:div>
        <w:div w:id="1322780551">
          <w:marLeft w:val="0"/>
          <w:marRight w:val="0"/>
          <w:marTop w:val="0"/>
          <w:marBottom w:val="0"/>
          <w:divBdr>
            <w:top w:val="none" w:sz="0" w:space="0" w:color="auto"/>
            <w:left w:val="none" w:sz="0" w:space="0" w:color="auto"/>
            <w:bottom w:val="none" w:sz="0" w:space="0" w:color="auto"/>
            <w:right w:val="none" w:sz="0" w:space="0" w:color="auto"/>
          </w:divBdr>
        </w:div>
        <w:div w:id="1323317715">
          <w:marLeft w:val="0"/>
          <w:marRight w:val="0"/>
          <w:marTop w:val="0"/>
          <w:marBottom w:val="0"/>
          <w:divBdr>
            <w:top w:val="none" w:sz="0" w:space="0" w:color="auto"/>
            <w:left w:val="none" w:sz="0" w:space="0" w:color="auto"/>
            <w:bottom w:val="none" w:sz="0" w:space="0" w:color="auto"/>
            <w:right w:val="none" w:sz="0" w:space="0" w:color="auto"/>
          </w:divBdr>
        </w:div>
        <w:div w:id="1324973566">
          <w:marLeft w:val="0"/>
          <w:marRight w:val="0"/>
          <w:marTop w:val="0"/>
          <w:marBottom w:val="0"/>
          <w:divBdr>
            <w:top w:val="none" w:sz="0" w:space="0" w:color="auto"/>
            <w:left w:val="none" w:sz="0" w:space="0" w:color="auto"/>
            <w:bottom w:val="none" w:sz="0" w:space="0" w:color="auto"/>
            <w:right w:val="none" w:sz="0" w:space="0" w:color="auto"/>
          </w:divBdr>
        </w:div>
        <w:div w:id="1325817973">
          <w:marLeft w:val="0"/>
          <w:marRight w:val="0"/>
          <w:marTop w:val="0"/>
          <w:marBottom w:val="0"/>
          <w:divBdr>
            <w:top w:val="none" w:sz="0" w:space="0" w:color="auto"/>
            <w:left w:val="none" w:sz="0" w:space="0" w:color="auto"/>
            <w:bottom w:val="none" w:sz="0" w:space="0" w:color="auto"/>
            <w:right w:val="none" w:sz="0" w:space="0" w:color="auto"/>
          </w:divBdr>
        </w:div>
        <w:div w:id="1326125602">
          <w:marLeft w:val="0"/>
          <w:marRight w:val="0"/>
          <w:marTop w:val="0"/>
          <w:marBottom w:val="0"/>
          <w:divBdr>
            <w:top w:val="none" w:sz="0" w:space="0" w:color="auto"/>
            <w:left w:val="none" w:sz="0" w:space="0" w:color="auto"/>
            <w:bottom w:val="none" w:sz="0" w:space="0" w:color="auto"/>
            <w:right w:val="none" w:sz="0" w:space="0" w:color="auto"/>
          </w:divBdr>
        </w:div>
        <w:div w:id="1327980155">
          <w:marLeft w:val="0"/>
          <w:marRight w:val="0"/>
          <w:marTop w:val="0"/>
          <w:marBottom w:val="0"/>
          <w:divBdr>
            <w:top w:val="none" w:sz="0" w:space="0" w:color="auto"/>
            <w:left w:val="none" w:sz="0" w:space="0" w:color="auto"/>
            <w:bottom w:val="none" w:sz="0" w:space="0" w:color="auto"/>
            <w:right w:val="none" w:sz="0" w:space="0" w:color="auto"/>
          </w:divBdr>
        </w:div>
        <w:div w:id="1328167800">
          <w:marLeft w:val="0"/>
          <w:marRight w:val="0"/>
          <w:marTop w:val="0"/>
          <w:marBottom w:val="0"/>
          <w:divBdr>
            <w:top w:val="none" w:sz="0" w:space="0" w:color="auto"/>
            <w:left w:val="none" w:sz="0" w:space="0" w:color="auto"/>
            <w:bottom w:val="none" w:sz="0" w:space="0" w:color="auto"/>
            <w:right w:val="none" w:sz="0" w:space="0" w:color="auto"/>
          </w:divBdr>
        </w:div>
        <w:div w:id="1328707903">
          <w:marLeft w:val="0"/>
          <w:marRight w:val="0"/>
          <w:marTop w:val="0"/>
          <w:marBottom w:val="0"/>
          <w:divBdr>
            <w:top w:val="none" w:sz="0" w:space="0" w:color="auto"/>
            <w:left w:val="none" w:sz="0" w:space="0" w:color="auto"/>
            <w:bottom w:val="none" w:sz="0" w:space="0" w:color="auto"/>
            <w:right w:val="none" w:sz="0" w:space="0" w:color="auto"/>
          </w:divBdr>
        </w:div>
        <w:div w:id="1329403093">
          <w:marLeft w:val="0"/>
          <w:marRight w:val="0"/>
          <w:marTop w:val="0"/>
          <w:marBottom w:val="0"/>
          <w:divBdr>
            <w:top w:val="none" w:sz="0" w:space="0" w:color="auto"/>
            <w:left w:val="none" w:sz="0" w:space="0" w:color="auto"/>
            <w:bottom w:val="none" w:sz="0" w:space="0" w:color="auto"/>
            <w:right w:val="none" w:sz="0" w:space="0" w:color="auto"/>
          </w:divBdr>
        </w:div>
        <w:div w:id="1332218258">
          <w:marLeft w:val="0"/>
          <w:marRight w:val="0"/>
          <w:marTop w:val="0"/>
          <w:marBottom w:val="0"/>
          <w:divBdr>
            <w:top w:val="none" w:sz="0" w:space="0" w:color="auto"/>
            <w:left w:val="none" w:sz="0" w:space="0" w:color="auto"/>
            <w:bottom w:val="none" w:sz="0" w:space="0" w:color="auto"/>
            <w:right w:val="none" w:sz="0" w:space="0" w:color="auto"/>
          </w:divBdr>
        </w:div>
        <w:div w:id="1332681484">
          <w:marLeft w:val="0"/>
          <w:marRight w:val="0"/>
          <w:marTop w:val="0"/>
          <w:marBottom w:val="0"/>
          <w:divBdr>
            <w:top w:val="none" w:sz="0" w:space="0" w:color="auto"/>
            <w:left w:val="none" w:sz="0" w:space="0" w:color="auto"/>
            <w:bottom w:val="none" w:sz="0" w:space="0" w:color="auto"/>
            <w:right w:val="none" w:sz="0" w:space="0" w:color="auto"/>
          </w:divBdr>
        </w:div>
        <w:div w:id="1332833032">
          <w:marLeft w:val="0"/>
          <w:marRight w:val="0"/>
          <w:marTop w:val="0"/>
          <w:marBottom w:val="0"/>
          <w:divBdr>
            <w:top w:val="none" w:sz="0" w:space="0" w:color="auto"/>
            <w:left w:val="none" w:sz="0" w:space="0" w:color="auto"/>
            <w:bottom w:val="none" w:sz="0" w:space="0" w:color="auto"/>
            <w:right w:val="none" w:sz="0" w:space="0" w:color="auto"/>
          </w:divBdr>
        </w:div>
        <w:div w:id="1333295349">
          <w:marLeft w:val="0"/>
          <w:marRight w:val="0"/>
          <w:marTop w:val="0"/>
          <w:marBottom w:val="0"/>
          <w:divBdr>
            <w:top w:val="none" w:sz="0" w:space="0" w:color="auto"/>
            <w:left w:val="none" w:sz="0" w:space="0" w:color="auto"/>
            <w:bottom w:val="none" w:sz="0" w:space="0" w:color="auto"/>
            <w:right w:val="none" w:sz="0" w:space="0" w:color="auto"/>
          </w:divBdr>
        </w:div>
        <w:div w:id="1333482773">
          <w:marLeft w:val="0"/>
          <w:marRight w:val="0"/>
          <w:marTop w:val="0"/>
          <w:marBottom w:val="0"/>
          <w:divBdr>
            <w:top w:val="none" w:sz="0" w:space="0" w:color="auto"/>
            <w:left w:val="none" w:sz="0" w:space="0" w:color="auto"/>
            <w:bottom w:val="none" w:sz="0" w:space="0" w:color="auto"/>
            <w:right w:val="none" w:sz="0" w:space="0" w:color="auto"/>
          </w:divBdr>
        </w:div>
        <w:div w:id="1335915850">
          <w:marLeft w:val="0"/>
          <w:marRight w:val="0"/>
          <w:marTop w:val="0"/>
          <w:marBottom w:val="0"/>
          <w:divBdr>
            <w:top w:val="none" w:sz="0" w:space="0" w:color="auto"/>
            <w:left w:val="none" w:sz="0" w:space="0" w:color="auto"/>
            <w:bottom w:val="none" w:sz="0" w:space="0" w:color="auto"/>
            <w:right w:val="none" w:sz="0" w:space="0" w:color="auto"/>
          </w:divBdr>
        </w:div>
        <w:div w:id="1336149468">
          <w:marLeft w:val="0"/>
          <w:marRight w:val="0"/>
          <w:marTop w:val="0"/>
          <w:marBottom w:val="0"/>
          <w:divBdr>
            <w:top w:val="none" w:sz="0" w:space="0" w:color="auto"/>
            <w:left w:val="none" w:sz="0" w:space="0" w:color="auto"/>
            <w:bottom w:val="none" w:sz="0" w:space="0" w:color="auto"/>
            <w:right w:val="none" w:sz="0" w:space="0" w:color="auto"/>
          </w:divBdr>
        </w:div>
        <w:div w:id="1337343702">
          <w:marLeft w:val="0"/>
          <w:marRight w:val="0"/>
          <w:marTop w:val="0"/>
          <w:marBottom w:val="0"/>
          <w:divBdr>
            <w:top w:val="none" w:sz="0" w:space="0" w:color="auto"/>
            <w:left w:val="none" w:sz="0" w:space="0" w:color="auto"/>
            <w:bottom w:val="none" w:sz="0" w:space="0" w:color="auto"/>
            <w:right w:val="none" w:sz="0" w:space="0" w:color="auto"/>
          </w:divBdr>
        </w:div>
        <w:div w:id="1338729404">
          <w:marLeft w:val="0"/>
          <w:marRight w:val="0"/>
          <w:marTop w:val="0"/>
          <w:marBottom w:val="0"/>
          <w:divBdr>
            <w:top w:val="none" w:sz="0" w:space="0" w:color="auto"/>
            <w:left w:val="none" w:sz="0" w:space="0" w:color="auto"/>
            <w:bottom w:val="none" w:sz="0" w:space="0" w:color="auto"/>
            <w:right w:val="none" w:sz="0" w:space="0" w:color="auto"/>
          </w:divBdr>
        </w:div>
        <w:div w:id="1340430995">
          <w:marLeft w:val="0"/>
          <w:marRight w:val="0"/>
          <w:marTop w:val="0"/>
          <w:marBottom w:val="0"/>
          <w:divBdr>
            <w:top w:val="none" w:sz="0" w:space="0" w:color="auto"/>
            <w:left w:val="none" w:sz="0" w:space="0" w:color="auto"/>
            <w:bottom w:val="none" w:sz="0" w:space="0" w:color="auto"/>
            <w:right w:val="none" w:sz="0" w:space="0" w:color="auto"/>
          </w:divBdr>
        </w:div>
        <w:div w:id="1343123376">
          <w:marLeft w:val="0"/>
          <w:marRight w:val="0"/>
          <w:marTop w:val="0"/>
          <w:marBottom w:val="0"/>
          <w:divBdr>
            <w:top w:val="none" w:sz="0" w:space="0" w:color="auto"/>
            <w:left w:val="none" w:sz="0" w:space="0" w:color="auto"/>
            <w:bottom w:val="none" w:sz="0" w:space="0" w:color="auto"/>
            <w:right w:val="none" w:sz="0" w:space="0" w:color="auto"/>
          </w:divBdr>
        </w:div>
        <w:div w:id="1343388227">
          <w:marLeft w:val="0"/>
          <w:marRight w:val="0"/>
          <w:marTop w:val="0"/>
          <w:marBottom w:val="0"/>
          <w:divBdr>
            <w:top w:val="none" w:sz="0" w:space="0" w:color="auto"/>
            <w:left w:val="none" w:sz="0" w:space="0" w:color="auto"/>
            <w:bottom w:val="none" w:sz="0" w:space="0" w:color="auto"/>
            <w:right w:val="none" w:sz="0" w:space="0" w:color="auto"/>
          </w:divBdr>
        </w:div>
        <w:div w:id="1344816528">
          <w:marLeft w:val="0"/>
          <w:marRight w:val="0"/>
          <w:marTop w:val="0"/>
          <w:marBottom w:val="0"/>
          <w:divBdr>
            <w:top w:val="none" w:sz="0" w:space="0" w:color="auto"/>
            <w:left w:val="none" w:sz="0" w:space="0" w:color="auto"/>
            <w:bottom w:val="none" w:sz="0" w:space="0" w:color="auto"/>
            <w:right w:val="none" w:sz="0" w:space="0" w:color="auto"/>
          </w:divBdr>
          <w:divsChild>
            <w:div w:id="79647137">
              <w:marLeft w:val="0"/>
              <w:marRight w:val="0"/>
              <w:marTop w:val="0"/>
              <w:marBottom w:val="0"/>
              <w:divBdr>
                <w:top w:val="none" w:sz="0" w:space="0" w:color="auto"/>
                <w:left w:val="none" w:sz="0" w:space="0" w:color="auto"/>
                <w:bottom w:val="none" w:sz="0" w:space="0" w:color="auto"/>
                <w:right w:val="none" w:sz="0" w:space="0" w:color="auto"/>
              </w:divBdr>
            </w:div>
            <w:div w:id="134683310">
              <w:marLeft w:val="0"/>
              <w:marRight w:val="0"/>
              <w:marTop w:val="0"/>
              <w:marBottom w:val="0"/>
              <w:divBdr>
                <w:top w:val="none" w:sz="0" w:space="0" w:color="auto"/>
                <w:left w:val="none" w:sz="0" w:space="0" w:color="auto"/>
                <w:bottom w:val="none" w:sz="0" w:space="0" w:color="auto"/>
                <w:right w:val="none" w:sz="0" w:space="0" w:color="auto"/>
              </w:divBdr>
            </w:div>
            <w:div w:id="217401030">
              <w:marLeft w:val="0"/>
              <w:marRight w:val="0"/>
              <w:marTop w:val="0"/>
              <w:marBottom w:val="0"/>
              <w:divBdr>
                <w:top w:val="none" w:sz="0" w:space="0" w:color="auto"/>
                <w:left w:val="none" w:sz="0" w:space="0" w:color="auto"/>
                <w:bottom w:val="none" w:sz="0" w:space="0" w:color="auto"/>
                <w:right w:val="none" w:sz="0" w:space="0" w:color="auto"/>
              </w:divBdr>
            </w:div>
            <w:div w:id="318265005">
              <w:marLeft w:val="0"/>
              <w:marRight w:val="0"/>
              <w:marTop w:val="0"/>
              <w:marBottom w:val="0"/>
              <w:divBdr>
                <w:top w:val="none" w:sz="0" w:space="0" w:color="auto"/>
                <w:left w:val="none" w:sz="0" w:space="0" w:color="auto"/>
                <w:bottom w:val="none" w:sz="0" w:space="0" w:color="auto"/>
                <w:right w:val="none" w:sz="0" w:space="0" w:color="auto"/>
              </w:divBdr>
            </w:div>
            <w:div w:id="469982839">
              <w:marLeft w:val="0"/>
              <w:marRight w:val="0"/>
              <w:marTop w:val="0"/>
              <w:marBottom w:val="0"/>
              <w:divBdr>
                <w:top w:val="none" w:sz="0" w:space="0" w:color="auto"/>
                <w:left w:val="none" w:sz="0" w:space="0" w:color="auto"/>
                <w:bottom w:val="none" w:sz="0" w:space="0" w:color="auto"/>
                <w:right w:val="none" w:sz="0" w:space="0" w:color="auto"/>
              </w:divBdr>
            </w:div>
            <w:div w:id="507839159">
              <w:marLeft w:val="0"/>
              <w:marRight w:val="0"/>
              <w:marTop w:val="0"/>
              <w:marBottom w:val="0"/>
              <w:divBdr>
                <w:top w:val="none" w:sz="0" w:space="0" w:color="auto"/>
                <w:left w:val="none" w:sz="0" w:space="0" w:color="auto"/>
                <w:bottom w:val="none" w:sz="0" w:space="0" w:color="auto"/>
                <w:right w:val="none" w:sz="0" w:space="0" w:color="auto"/>
              </w:divBdr>
            </w:div>
            <w:div w:id="694189134">
              <w:marLeft w:val="0"/>
              <w:marRight w:val="0"/>
              <w:marTop w:val="0"/>
              <w:marBottom w:val="0"/>
              <w:divBdr>
                <w:top w:val="none" w:sz="0" w:space="0" w:color="auto"/>
                <w:left w:val="none" w:sz="0" w:space="0" w:color="auto"/>
                <w:bottom w:val="none" w:sz="0" w:space="0" w:color="auto"/>
                <w:right w:val="none" w:sz="0" w:space="0" w:color="auto"/>
              </w:divBdr>
            </w:div>
            <w:div w:id="726340248">
              <w:marLeft w:val="0"/>
              <w:marRight w:val="0"/>
              <w:marTop w:val="0"/>
              <w:marBottom w:val="0"/>
              <w:divBdr>
                <w:top w:val="none" w:sz="0" w:space="0" w:color="auto"/>
                <w:left w:val="none" w:sz="0" w:space="0" w:color="auto"/>
                <w:bottom w:val="none" w:sz="0" w:space="0" w:color="auto"/>
                <w:right w:val="none" w:sz="0" w:space="0" w:color="auto"/>
              </w:divBdr>
            </w:div>
            <w:div w:id="770515826">
              <w:marLeft w:val="0"/>
              <w:marRight w:val="0"/>
              <w:marTop w:val="0"/>
              <w:marBottom w:val="0"/>
              <w:divBdr>
                <w:top w:val="none" w:sz="0" w:space="0" w:color="auto"/>
                <w:left w:val="none" w:sz="0" w:space="0" w:color="auto"/>
                <w:bottom w:val="none" w:sz="0" w:space="0" w:color="auto"/>
                <w:right w:val="none" w:sz="0" w:space="0" w:color="auto"/>
              </w:divBdr>
            </w:div>
            <w:div w:id="810488168">
              <w:marLeft w:val="0"/>
              <w:marRight w:val="0"/>
              <w:marTop w:val="0"/>
              <w:marBottom w:val="0"/>
              <w:divBdr>
                <w:top w:val="none" w:sz="0" w:space="0" w:color="auto"/>
                <w:left w:val="none" w:sz="0" w:space="0" w:color="auto"/>
                <w:bottom w:val="none" w:sz="0" w:space="0" w:color="auto"/>
                <w:right w:val="none" w:sz="0" w:space="0" w:color="auto"/>
              </w:divBdr>
            </w:div>
            <w:div w:id="813717666">
              <w:marLeft w:val="0"/>
              <w:marRight w:val="0"/>
              <w:marTop w:val="0"/>
              <w:marBottom w:val="0"/>
              <w:divBdr>
                <w:top w:val="none" w:sz="0" w:space="0" w:color="auto"/>
                <w:left w:val="none" w:sz="0" w:space="0" w:color="auto"/>
                <w:bottom w:val="none" w:sz="0" w:space="0" w:color="auto"/>
                <w:right w:val="none" w:sz="0" w:space="0" w:color="auto"/>
              </w:divBdr>
            </w:div>
            <w:div w:id="1200359922">
              <w:marLeft w:val="0"/>
              <w:marRight w:val="0"/>
              <w:marTop w:val="0"/>
              <w:marBottom w:val="0"/>
              <w:divBdr>
                <w:top w:val="none" w:sz="0" w:space="0" w:color="auto"/>
                <w:left w:val="none" w:sz="0" w:space="0" w:color="auto"/>
                <w:bottom w:val="none" w:sz="0" w:space="0" w:color="auto"/>
                <w:right w:val="none" w:sz="0" w:space="0" w:color="auto"/>
              </w:divBdr>
            </w:div>
            <w:div w:id="1362508421">
              <w:marLeft w:val="0"/>
              <w:marRight w:val="0"/>
              <w:marTop w:val="0"/>
              <w:marBottom w:val="0"/>
              <w:divBdr>
                <w:top w:val="none" w:sz="0" w:space="0" w:color="auto"/>
                <w:left w:val="none" w:sz="0" w:space="0" w:color="auto"/>
                <w:bottom w:val="none" w:sz="0" w:space="0" w:color="auto"/>
                <w:right w:val="none" w:sz="0" w:space="0" w:color="auto"/>
              </w:divBdr>
            </w:div>
            <w:div w:id="1391609827">
              <w:marLeft w:val="0"/>
              <w:marRight w:val="0"/>
              <w:marTop w:val="0"/>
              <w:marBottom w:val="0"/>
              <w:divBdr>
                <w:top w:val="none" w:sz="0" w:space="0" w:color="auto"/>
                <w:left w:val="none" w:sz="0" w:space="0" w:color="auto"/>
                <w:bottom w:val="none" w:sz="0" w:space="0" w:color="auto"/>
                <w:right w:val="none" w:sz="0" w:space="0" w:color="auto"/>
              </w:divBdr>
            </w:div>
            <w:div w:id="1475562539">
              <w:marLeft w:val="0"/>
              <w:marRight w:val="0"/>
              <w:marTop w:val="0"/>
              <w:marBottom w:val="0"/>
              <w:divBdr>
                <w:top w:val="none" w:sz="0" w:space="0" w:color="auto"/>
                <w:left w:val="none" w:sz="0" w:space="0" w:color="auto"/>
                <w:bottom w:val="none" w:sz="0" w:space="0" w:color="auto"/>
                <w:right w:val="none" w:sz="0" w:space="0" w:color="auto"/>
              </w:divBdr>
            </w:div>
            <w:div w:id="1564634056">
              <w:marLeft w:val="0"/>
              <w:marRight w:val="0"/>
              <w:marTop w:val="0"/>
              <w:marBottom w:val="0"/>
              <w:divBdr>
                <w:top w:val="none" w:sz="0" w:space="0" w:color="auto"/>
                <w:left w:val="none" w:sz="0" w:space="0" w:color="auto"/>
                <w:bottom w:val="none" w:sz="0" w:space="0" w:color="auto"/>
                <w:right w:val="none" w:sz="0" w:space="0" w:color="auto"/>
              </w:divBdr>
            </w:div>
            <w:div w:id="1575968435">
              <w:marLeft w:val="0"/>
              <w:marRight w:val="0"/>
              <w:marTop w:val="0"/>
              <w:marBottom w:val="0"/>
              <w:divBdr>
                <w:top w:val="none" w:sz="0" w:space="0" w:color="auto"/>
                <w:left w:val="none" w:sz="0" w:space="0" w:color="auto"/>
                <w:bottom w:val="none" w:sz="0" w:space="0" w:color="auto"/>
                <w:right w:val="none" w:sz="0" w:space="0" w:color="auto"/>
              </w:divBdr>
            </w:div>
            <w:div w:id="1767263239">
              <w:marLeft w:val="0"/>
              <w:marRight w:val="0"/>
              <w:marTop w:val="0"/>
              <w:marBottom w:val="0"/>
              <w:divBdr>
                <w:top w:val="none" w:sz="0" w:space="0" w:color="auto"/>
                <w:left w:val="none" w:sz="0" w:space="0" w:color="auto"/>
                <w:bottom w:val="none" w:sz="0" w:space="0" w:color="auto"/>
                <w:right w:val="none" w:sz="0" w:space="0" w:color="auto"/>
              </w:divBdr>
            </w:div>
            <w:div w:id="2139099902">
              <w:marLeft w:val="0"/>
              <w:marRight w:val="0"/>
              <w:marTop w:val="0"/>
              <w:marBottom w:val="0"/>
              <w:divBdr>
                <w:top w:val="none" w:sz="0" w:space="0" w:color="auto"/>
                <w:left w:val="none" w:sz="0" w:space="0" w:color="auto"/>
                <w:bottom w:val="none" w:sz="0" w:space="0" w:color="auto"/>
                <w:right w:val="none" w:sz="0" w:space="0" w:color="auto"/>
              </w:divBdr>
            </w:div>
          </w:divsChild>
        </w:div>
        <w:div w:id="1344821565">
          <w:marLeft w:val="0"/>
          <w:marRight w:val="0"/>
          <w:marTop w:val="0"/>
          <w:marBottom w:val="0"/>
          <w:divBdr>
            <w:top w:val="none" w:sz="0" w:space="0" w:color="auto"/>
            <w:left w:val="none" w:sz="0" w:space="0" w:color="auto"/>
            <w:bottom w:val="none" w:sz="0" w:space="0" w:color="auto"/>
            <w:right w:val="none" w:sz="0" w:space="0" w:color="auto"/>
          </w:divBdr>
        </w:div>
        <w:div w:id="1345087722">
          <w:marLeft w:val="0"/>
          <w:marRight w:val="0"/>
          <w:marTop w:val="0"/>
          <w:marBottom w:val="0"/>
          <w:divBdr>
            <w:top w:val="none" w:sz="0" w:space="0" w:color="auto"/>
            <w:left w:val="none" w:sz="0" w:space="0" w:color="auto"/>
            <w:bottom w:val="none" w:sz="0" w:space="0" w:color="auto"/>
            <w:right w:val="none" w:sz="0" w:space="0" w:color="auto"/>
          </w:divBdr>
        </w:div>
        <w:div w:id="1346440998">
          <w:marLeft w:val="0"/>
          <w:marRight w:val="0"/>
          <w:marTop w:val="0"/>
          <w:marBottom w:val="0"/>
          <w:divBdr>
            <w:top w:val="none" w:sz="0" w:space="0" w:color="auto"/>
            <w:left w:val="none" w:sz="0" w:space="0" w:color="auto"/>
            <w:bottom w:val="none" w:sz="0" w:space="0" w:color="auto"/>
            <w:right w:val="none" w:sz="0" w:space="0" w:color="auto"/>
          </w:divBdr>
        </w:div>
        <w:div w:id="1346903309">
          <w:marLeft w:val="0"/>
          <w:marRight w:val="0"/>
          <w:marTop w:val="0"/>
          <w:marBottom w:val="0"/>
          <w:divBdr>
            <w:top w:val="none" w:sz="0" w:space="0" w:color="auto"/>
            <w:left w:val="none" w:sz="0" w:space="0" w:color="auto"/>
            <w:bottom w:val="none" w:sz="0" w:space="0" w:color="auto"/>
            <w:right w:val="none" w:sz="0" w:space="0" w:color="auto"/>
          </w:divBdr>
        </w:div>
        <w:div w:id="1350376698">
          <w:marLeft w:val="0"/>
          <w:marRight w:val="0"/>
          <w:marTop w:val="0"/>
          <w:marBottom w:val="0"/>
          <w:divBdr>
            <w:top w:val="none" w:sz="0" w:space="0" w:color="auto"/>
            <w:left w:val="none" w:sz="0" w:space="0" w:color="auto"/>
            <w:bottom w:val="none" w:sz="0" w:space="0" w:color="auto"/>
            <w:right w:val="none" w:sz="0" w:space="0" w:color="auto"/>
          </w:divBdr>
        </w:div>
        <w:div w:id="1353066003">
          <w:marLeft w:val="0"/>
          <w:marRight w:val="0"/>
          <w:marTop w:val="0"/>
          <w:marBottom w:val="0"/>
          <w:divBdr>
            <w:top w:val="none" w:sz="0" w:space="0" w:color="auto"/>
            <w:left w:val="none" w:sz="0" w:space="0" w:color="auto"/>
            <w:bottom w:val="none" w:sz="0" w:space="0" w:color="auto"/>
            <w:right w:val="none" w:sz="0" w:space="0" w:color="auto"/>
          </w:divBdr>
        </w:div>
        <w:div w:id="1353338313">
          <w:marLeft w:val="0"/>
          <w:marRight w:val="0"/>
          <w:marTop w:val="0"/>
          <w:marBottom w:val="0"/>
          <w:divBdr>
            <w:top w:val="none" w:sz="0" w:space="0" w:color="auto"/>
            <w:left w:val="none" w:sz="0" w:space="0" w:color="auto"/>
            <w:bottom w:val="none" w:sz="0" w:space="0" w:color="auto"/>
            <w:right w:val="none" w:sz="0" w:space="0" w:color="auto"/>
          </w:divBdr>
        </w:div>
        <w:div w:id="1353460154">
          <w:marLeft w:val="0"/>
          <w:marRight w:val="0"/>
          <w:marTop w:val="0"/>
          <w:marBottom w:val="0"/>
          <w:divBdr>
            <w:top w:val="none" w:sz="0" w:space="0" w:color="auto"/>
            <w:left w:val="none" w:sz="0" w:space="0" w:color="auto"/>
            <w:bottom w:val="none" w:sz="0" w:space="0" w:color="auto"/>
            <w:right w:val="none" w:sz="0" w:space="0" w:color="auto"/>
          </w:divBdr>
        </w:div>
        <w:div w:id="1358039239">
          <w:marLeft w:val="0"/>
          <w:marRight w:val="0"/>
          <w:marTop w:val="0"/>
          <w:marBottom w:val="0"/>
          <w:divBdr>
            <w:top w:val="none" w:sz="0" w:space="0" w:color="auto"/>
            <w:left w:val="none" w:sz="0" w:space="0" w:color="auto"/>
            <w:bottom w:val="none" w:sz="0" w:space="0" w:color="auto"/>
            <w:right w:val="none" w:sz="0" w:space="0" w:color="auto"/>
          </w:divBdr>
        </w:div>
        <w:div w:id="1361391298">
          <w:marLeft w:val="0"/>
          <w:marRight w:val="0"/>
          <w:marTop w:val="0"/>
          <w:marBottom w:val="0"/>
          <w:divBdr>
            <w:top w:val="none" w:sz="0" w:space="0" w:color="auto"/>
            <w:left w:val="none" w:sz="0" w:space="0" w:color="auto"/>
            <w:bottom w:val="none" w:sz="0" w:space="0" w:color="auto"/>
            <w:right w:val="none" w:sz="0" w:space="0" w:color="auto"/>
          </w:divBdr>
        </w:div>
        <w:div w:id="1361513469">
          <w:marLeft w:val="0"/>
          <w:marRight w:val="0"/>
          <w:marTop w:val="0"/>
          <w:marBottom w:val="0"/>
          <w:divBdr>
            <w:top w:val="none" w:sz="0" w:space="0" w:color="auto"/>
            <w:left w:val="none" w:sz="0" w:space="0" w:color="auto"/>
            <w:bottom w:val="none" w:sz="0" w:space="0" w:color="auto"/>
            <w:right w:val="none" w:sz="0" w:space="0" w:color="auto"/>
          </w:divBdr>
        </w:div>
        <w:div w:id="1362315461">
          <w:marLeft w:val="0"/>
          <w:marRight w:val="0"/>
          <w:marTop w:val="0"/>
          <w:marBottom w:val="0"/>
          <w:divBdr>
            <w:top w:val="none" w:sz="0" w:space="0" w:color="auto"/>
            <w:left w:val="none" w:sz="0" w:space="0" w:color="auto"/>
            <w:bottom w:val="none" w:sz="0" w:space="0" w:color="auto"/>
            <w:right w:val="none" w:sz="0" w:space="0" w:color="auto"/>
          </w:divBdr>
          <w:divsChild>
            <w:div w:id="268587403">
              <w:marLeft w:val="0"/>
              <w:marRight w:val="0"/>
              <w:marTop w:val="0"/>
              <w:marBottom w:val="0"/>
              <w:divBdr>
                <w:top w:val="none" w:sz="0" w:space="0" w:color="auto"/>
                <w:left w:val="none" w:sz="0" w:space="0" w:color="auto"/>
                <w:bottom w:val="none" w:sz="0" w:space="0" w:color="auto"/>
                <w:right w:val="none" w:sz="0" w:space="0" w:color="auto"/>
              </w:divBdr>
            </w:div>
            <w:div w:id="273101004">
              <w:marLeft w:val="0"/>
              <w:marRight w:val="0"/>
              <w:marTop w:val="0"/>
              <w:marBottom w:val="0"/>
              <w:divBdr>
                <w:top w:val="none" w:sz="0" w:space="0" w:color="auto"/>
                <w:left w:val="none" w:sz="0" w:space="0" w:color="auto"/>
                <w:bottom w:val="none" w:sz="0" w:space="0" w:color="auto"/>
                <w:right w:val="none" w:sz="0" w:space="0" w:color="auto"/>
              </w:divBdr>
            </w:div>
            <w:div w:id="312221121">
              <w:marLeft w:val="0"/>
              <w:marRight w:val="0"/>
              <w:marTop w:val="0"/>
              <w:marBottom w:val="0"/>
              <w:divBdr>
                <w:top w:val="none" w:sz="0" w:space="0" w:color="auto"/>
                <w:left w:val="none" w:sz="0" w:space="0" w:color="auto"/>
                <w:bottom w:val="none" w:sz="0" w:space="0" w:color="auto"/>
                <w:right w:val="none" w:sz="0" w:space="0" w:color="auto"/>
              </w:divBdr>
            </w:div>
            <w:div w:id="388649683">
              <w:marLeft w:val="0"/>
              <w:marRight w:val="0"/>
              <w:marTop w:val="0"/>
              <w:marBottom w:val="0"/>
              <w:divBdr>
                <w:top w:val="none" w:sz="0" w:space="0" w:color="auto"/>
                <w:left w:val="none" w:sz="0" w:space="0" w:color="auto"/>
                <w:bottom w:val="none" w:sz="0" w:space="0" w:color="auto"/>
                <w:right w:val="none" w:sz="0" w:space="0" w:color="auto"/>
              </w:divBdr>
            </w:div>
            <w:div w:id="421410742">
              <w:marLeft w:val="0"/>
              <w:marRight w:val="0"/>
              <w:marTop w:val="0"/>
              <w:marBottom w:val="0"/>
              <w:divBdr>
                <w:top w:val="none" w:sz="0" w:space="0" w:color="auto"/>
                <w:left w:val="none" w:sz="0" w:space="0" w:color="auto"/>
                <w:bottom w:val="none" w:sz="0" w:space="0" w:color="auto"/>
                <w:right w:val="none" w:sz="0" w:space="0" w:color="auto"/>
              </w:divBdr>
            </w:div>
            <w:div w:id="625816166">
              <w:marLeft w:val="0"/>
              <w:marRight w:val="0"/>
              <w:marTop w:val="0"/>
              <w:marBottom w:val="0"/>
              <w:divBdr>
                <w:top w:val="none" w:sz="0" w:space="0" w:color="auto"/>
                <w:left w:val="none" w:sz="0" w:space="0" w:color="auto"/>
                <w:bottom w:val="none" w:sz="0" w:space="0" w:color="auto"/>
                <w:right w:val="none" w:sz="0" w:space="0" w:color="auto"/>
              </w:divBdr>
            </w:div>
            <w:div w:id="1397821391">
              <w:marLeft w:val="0"/>
              <w:marRight w:val="0"/>
              <w:marTop w:val="0"/>
              <w:marBottom w:val="0"/>
              <w:divBdr>
                <w:top w:val="none" w:sz="0" w:space="0" w:color="auto"/>
                <w:left w:val="none" w:sz="0" w:space="0" w:color="auto"/>
                <w:bottom w:val="none" w:sz="0" w:space="0" w:color="auto"/>
                <w:right w:val="none" w:sz="0" w:space="0" w:color="auto"/>
              </w:divBdr>
            </w:div>
            <w:div w:id="1548447202">
              <w:marLeft w:val="0"/>
              <w:marRight w:val="0"/>
              <w:marTop w:val="0"/>
              <w:marBottom w:val="0"/>
              <w:divBdr>
                <w:top w:val="none" w:sz="0" w:space="0" w:color="auto"/>
                <w:left w:val="none" w:sz="0" w:space="0" w:color="auto"/>
                <w:bottom w:val="none" w:sz="0" w:space="0" w:color="auto"/>
                <w:right w:val="none" w:sz="0" w:space="0" w:color="auto"/>
              </w:divBdr>
            </w:div>
            <w:div w:id="1784229034">
              <w:marLeft w:val="0"/>
              <w:marRight w:val="0"/>
              <w:marTop w:val="0"/>
              <w:marBottom w:val="0"/>
              <w:divBdr>
                <w:top w:val="none" w:sz="0" w:space="0" w:color="auto"/>
                <w:left w:val="none" w:sz="0" w:space="0" w:color="auto"/>
                <w:bottom w:val="none" w:sz="0" w:space="0" w:color="auto"/>
                <w:right w:val="none" w:sz="0" w:space="0" w:color="auto"/>
              </w:divBdr>
            </w:div>
            <w:div w:id="1850025418">
              <w:marLeft w:val="0"/>
              <w:marRight w:val="0"/>
              <w:marTop w:val="0"/>
              <w:marBottom w:val="0"/>
              <w:divBdr>
                <w:top w:val="none" w:sz="0" w:space="0" w:color="auto"/>
                <w:left w:val="none" w:sz="0" w:space="0" w:color="auto"/>
                <w:bottom w:val="none" w:sz="0" w:space="0" w:color="auto"/>
                <w:right w:val="none" w:sz="0" w:space="0" w:color="auto"/>
              </w:divBdr>
            </w:div>
            <w:div w:id="2132625831">
              <w:marLeft w:val="0"/>
              <w:marRight w:val="0"/>
              <w:marTop w:val="0"/>
              <w:marBottom w:val="0"/>
              <w:divBdr>
                <w:top w:val="none" w:sz="0" w:space="0" w:color="auto"/>
                <w:left w:val="none" w:sz="0" w:space="0" w:color="auto"/>
                <w:bottom w:val="none" w:sz="0" w:space="0" w:color="auto"/>
                <w:right w:val="none" w:sz="0" w:space="0" w:color="auto"/>
              </w:divBdr>
            </w:div>
          </w:divsChild>
        </w:div>
        <w:div w:id="1363364269">
          <w:marLeft w:val="0"/>
          <w:marRight w:val="0"/>
          <w:marTop w:val="0"/>
          <w:marBottom w:val="0"/>
          <w:divBdr>
            <w:top w:val="none" w:sz="0" w:space="0" w:color="auto"/>
            <w:left w:val="none" w:sz="0" w:space="0" w:color="auto"/>
            <w:bottom w:val="none" w:sz="0" w:space="0" w:color="auto"/>
            <w:right w:val="none" w:sz="0" w:space="0" w:color="auto"/>
          </w:divBdr>
        </w:div>
        <w:div w:id="1364285662">
          <w:marLeft w:val="0"/>
          <w:marRight w:val="0"/>
          <w:marTop w:val="0"/>
          <w:marBottom w:val="0"/>
          <w:divBdr>
            <w:top w:val="none" w:sz="0" w:space="0" w:color="auto"/>
            <w:left w:val="none" w:sz="0" w:space="0" w:color="auto"/>
            <w:bottom w:val="none" w:sz="0" w:space="0" w:color="auto"/>
            <w:right w:val="none" w:sz="0" w:space="0" w:color="auto"/>
          </w:divBdr>
        </w:div>
        <w:div w:id="1365137242">
          <w:marLeft w:val="0"/>
          <w:marRight w:val="0"/>
          <w:marTop w:val="0"/>
          <w:marBottom w:val="0"/>
          <w:divBdr>
            <w:top w:val="none" w:sz="0" w:space="0" w:color="auto"/>
            <w:left w:val="none" w:sz="0" w:space="0" w:color="auto"/>
            <w:bottom w:val="none" w:sz="0" w:space="0" w:color="auto"/>
            <w:right w:val="none" w:sz="0" w:space="0" w:color="auto"/>
          </w:divBdr>
        </w:div>
        <w:div w:id="1365521541">
          <w:marLeft w:val="0"/>
          <w:marRight w:val="0"/>
          <w:marTop w:val="0"/>
          <w:marBottom w:val="0"/>
          <w:divBdr>
            <w:top w:val="none" w:sz="0" w:space="0" w:color="auto"/>
            <w:left w:val="none" w:sz="0" w:space="0" w:color="auto"/>
            <w:bottom w:val="none" w:sz="0" w:space="0" w:color="auto"/>
            <w:right w:val="none" w:sz="0" w:space="0" w:color="auto"/>
          </w:divBdr>
        </w:div>
        <w:div w:id="1365786974">
          <w:marLeft w:val="0"/>
          <w:marRight w:val="0"/>
          <w:marTop w:val="0"/>
          <w:marBottom w:val="0"/>
          <w:divBdr>
            <w:top w:val="none" w:sz="0" w:space="0" w:color="auto"/>
            <w:left w:val="none" w:sz="0" w:space="0" w:color="auto"/>
            <w:bottom w:val="none" w:sz="0" w:space="0" w:color="auto"/>
            <w:right w:val="none" w:sz="0" w:space="0" w:color="auto"/>
          </w:divBdr>
        </w:div>
        <w:div w:id="1366902538">
          <w:marLeft w:val="0"/>
          <w:marRight w:val="0"/>
          <w:marTop w:val="0"/>
          <w:marBottom w:val="0"/>
          <w:divBdr>
            <w:top w:val="none" w:sz="0" w:space="0" w:color="auto"/>
            <w:left w:val="none" w:sz="0" w:space="0" w:color="auto"/>
            <w:bottom w:val="none" w:sz="0" w:space="0" w:color="auto"/>
            <w:right w:val="none" w:sz="0" w:space="0" w:color="auto"/>
          </w:divBdr>
        </w:div>
        <w:div w:id="1367364328">
          <w:marLeft w:val="0"/>
          <w:marRight w:val="0"/>
          <w:marTop w:val="0"/>
          <w:marBottom w:val="0"/>
          <w:divBdr>
            <w:top w:val="none" w:sz="0" w:space="0" w:color="auto"/>
            <w:left w:val="none" w:sz="0" w:space="0" w:color="auto"/>
            <w:bottom w:val="none" w:sz="0" w:space="0" w:color="auto"/>
            <w:right w:val="none" w:sz="0" w:space="0" w:color="auto"/>
          </w:divBdr>
        </w:div>
        <w:div w:id="1367947252">
          <w:marLeft w:val="0"/>
          <w:marRight w:val="0"/>
          <w:marTop w:val="0"/>
          <w:marBottom w:val="0"/>
          <w:divBdr>
            <w:top w:val="none" w:sz="0" w:space="0" w:color="auto"/>
            <w:left w:val="none" w:sz="0" w:space="0" w:color="auto"/>
            <w:bottom w:val="none" w:sz="0" w:space="0" w:color="auto"/>
            <w:right w:val="none" w:sz="0" w:space="0" w:color="auto"/>
          </w:divBdr>
          <w:divsChild>
            <w:div w:id="92014428">
              <w:marLeft w:val="0"/>
              <w:marRight w:val="0"/>
              <w:marTop w:val="0"/>
              <w:marBottom w:val="0"/>
              <w:divBdr>
                <w:top w:val="none" w:sz="0" w:space="0" w:color="auto"/>
                <w:left w:val="none" w:sz="0" w:space="0" w:color="auto"/>
                <w:bottom w:val="none" w:sz="0" w:space="0" w:color="auto"/>
                <w:right w:val="none" w:sz="0" w:space="0" w:color="auto"/>
              </w:divBdr>
            </w:div>
            <w:div w:id="191654621">
              <w:marLeft w:val="0"/>
              <w:marRight w:val="0"/>
              <w:marTop w:val="0"/>
              <w:marBottom w:val="0"/>
              <w:divBdr>
                <w:top w:val="none" w:sz="0" w:space="0" w:color="auto"/>
                <w:left w:val="none" w:sz="0" w:space="0" w:color="auto"/>
                <w:bottom w:val="none" w:sz="0" w:space="0" w:color="auto"/>
                <w:right w:val="none" w:sz="0" w:space="0" w:color="auto"/>
              </w:divBdr>
            </w:div>
            <w:div w:id="358287716">
              <w:marLeft w:val="0"/>
              <w:marRight w:val="0"/>
              <w:marTop w:val="0"/>
              <w:marBottom w:val="0"/>
              <w:divBdr>
                <w:top w:val="none" w:sz="0" w:space="0" w:color="auto"/>
                <w:left w:val="none" w:sz="0" w:space="0" w:color="auto"/>
                <w:bottom w:val="none" w:sz="0" w:space="0" w:color="auto"/>
                <w:right w:val="none" w:sz="0" w:space="0" w:color="auto"/>
              </w:divBdr>
            </w:div>
            <w:div w:id="700858330">
              <w:marLeft w:val="0"/>
              <w:marRight w:val="0"/>
              <w:marTop w:val="0"/>
              <w:marBottom w:val="0"/>
              <w:divBdr>
                <w:top w:val="none" w:sz="0" w:space="0" w:color="auto"/>
                <w:left w:val="none" w:sz="0" w:space="0" w:color="auto"/>
                <w:bottom w:val="none" w:sz="0" w:space="0" w:color="auto"/>
                <w:right w:val="none" w:sz="0" w:space="0" w:color="auto"/>
              </w:divBdr>
            </w:div>
            <w:div w:id="780035313">
              <w:marLeft w:val="0"/>
              <w:marRight w:val="0"/>
              <w:marTop w:val="0"/>
              <w:marBottom w:val="0"/>
              <w:divBdr>
                <w:top w:val="none" w:sz="0" w:space="0" w:color="auto"/>
                <w:left w:val="none" w:sz="0" w:space="0" w:color="auto"/>
                <w:bottom w:val="none" w:sz="0" w:space="0" w:color="auto"/>
                <w:right w:val="none" w:sz="0" w:space="0" w:color="auto"/>
              </w:divBdr>
            </w:div>
            <w:div w:id="900402869">
              <w:marLeft w:val="0"/>
              <w:marRight w:val="0"/>
              <w:marTop w:val="0"/>
              <w:marBottom w:val="0"/>
              <w:divBdr>
                <w:top w:val="none" w:sz="0" w:space="0" w:color="auto"/>
                <w:left w:val="none" w:sz="0" w:space="0" w:color="auto"/>
                <w:bottom w:val="none" w:sz="0" w:space="0" w:color="auto"/>
                <w:right w:val="none" w:sz="0" w:space="0" w:color="auto"/>
              </w:divBdr>
            </w:div>
            <w:div w:id="939490527">
              <w:marLeft w:val="0"/>
              <w:marRight w:val="0"/>
              <w:marTop w:val="0"/>
              <w:marBottom w:val="0"/>
              <w:divBdr>
                <w:top w:val="none" w:sz="0" w:space="0" w:color="auto"/>
                <w:left w:val="none" w:sz="0" w:space="0" w:color="auto"/>
                <w:bottom w:val="none" w:sz="0" w:space="0" w:color="auto"/>
                <w:right w:val="none" w:sz="0" w:space="0" w:color="auto"/>
              </w:divBdr>
            </w:div>
            <w:div w:id="964392468">
              <w:marLeft w:val="0"/>
              <w:marRight w:val="0"/>
              <w:marTop w:val="0"/>
              <w:marBottom w:val="0"/>
              <w:divBdr>
                <w:top w:val="none" w:sz="0" w:space="0" w:color="auto"/>
                <w:left w:val="none" w:sz="0" w:space="0" w:color="auto"/>
                <w:bottom w:val="none" w:sz="0" w:space="0" w:color="auto"/>
                <w:right w:val="none" w:sz="0" w:space="0" w:color="auto"/>
              </w:divBdr>
            </w:div>
            <w:div w:id="981345331">
              <w:marLeft w:val="0"/>
              <w:marRight w:val="0"/>
              <w:marTop w:val="0"/>
              <w:marBottom w:val="0"/>
              <w:divBdr>
                <w:top w:val="none" w:sz="0" w:space="0" w:color="auto"/>
                <w:left w:val="none" w:sz="0" w:space="0" w:color="auto"/>
                <w:bottom w:val="none" w:sz="0" w:space="0" w:color="auto"/>
                <w:right w:val="none" w:sz="0" w:space="0" w:color="auto"/>
              </w:divBdr>
            </w:div>
            <w:div w:id="1001006848">
              <w:marLeft w:val="0"/>
              <w:marRight w:val="0"/>
              <w:marTop w:val="0"/>
              <w:marBottom w:val="0"/>
              <w:divBdr>
                <w:top w:val="none" w:sz="0" w:space="0" w:color="auto"/>
                <w:left w:val="none" w:sz="0" w:space="0" w:color="auto"/>
                <w:bottom w:val="none" w:sz="0" w:space="0" w:color="auto"/>
                <w:right w:val="none" w:sz="0" w:space="0" w:color="auto"/>
              </w:divBdr>
            </w:div>
            <w:div w:id="1311910260">
              <w:marLeft w:val="0"/>
              <w:marRight w:val="0"/>
              <w:marTop w:val="0"/>
              <w:marBottom w:val="0"/>
              <w:divBdr>
                <w:top w:val="none" w:sz="0" w:space="0" w:color="auto"/>
                <w:left w:val="none" w:sz="0" w:space="0" w:color="auto"/>
                <w:bottom w:val="none" w:sz="0" w:space="0" w:color="auto"/>
                <w:right w:val="none" w:sz="0" w:space="0" w:color="auto"/>
              </w:divBdr>
            </w:div>
            <w:div w:id="1328434874">
              <w:marLeft w:val="0"/>
              <w:marRight w:val="0"/>
              <w:marTop w:val="0"/>
              <w:marBottom w:val="0"/>
              <w:divBdr>
                <w:top w:val="none" w:sz="0" w:space="0" w:color="auto"/>
                <w:left w:val="none" w:sz="0" w:space="0" w:color="auto"/>
                <w:bottom w:val="none" w:sz="0" w:space="0" w:color="auto"/>
                <w:right w:val="none" w:sz="0" w:space="0" w:color="auto"/>
              </w:divBdr>
            </w:div>
            <w:div w:id="1473526611">
              <w:marLeft w:val="0"/>
              <w:marRight w:val="0"/>
              <w:marTop w:val="0"/>
              <w:marBottom w:val="0"/>
              <w:divBdr>
                <w:top w:val="none" w:sz="0" w:space="0" w:color="auto"/>
                <w:left w:val="none" w:sz="0" w:space="0" w:color="auto"/>
                <w:bottom w:val="none" w:sz="0" w:space="0" w:color="auto"/>
                <w:right w:val="none" w:sz="0" w:space="0" w:color="auto"/>
              </w:divBdr>
            </w:div>
            <w:div w:id="1528833516">
              <w:marLeft w:val="0"/>
              <w:marRight w:val="0"/>
              <w:marTop w:val="0"/>
              <w:marBottom w:val="0"/>
              <w:divBdr>
                <w:top w:val="none" w:sz="0" w:space="0" w:color="auto"/>
                <w:left w:val="none" w:sz="0" w:space="0" w:color="auto"/>
                <w:bottom w:val="none" w:sz="0" w:space="0" w:color="auto"/>
                <w:right w:val="none" w:sz="0" w:space="0" w:color="auto"/>
              </w:divBdr>
            </w:div>
            <w:div w:id="1698433136">
              <w:marLeft w:val="0"/>
              <w:marRight w:val="0"/>
              <w:marTop w:val="0"/>
              <w:marBottom w:val="0"/>
              <w:divBdr>
                <w:top w:val="none" w:sz="0" w:space="0" w:color="auto"/>
                <w:left w:val="none" w:sz="0" w:space="0" w:color="auto"/>
                <w:bottom w:val="none" w:sz="0" w:space="0" w:color="auto"/>
                <w:right w:val="none" w:sz="0" w:space="0" w:color="auto"/>
              </w:divBdr>
            </w:div>
            <w:div w:id="1717196697">
              <w:marLeft w:val="0"/>
              <w:marRight w:val="0"/>
              <w:marTop w:val="0"/>
              <w:marBottom w:val="0"/>
              <w:divBdr>
                <w:top w:val="none" w:sz="0" w:space="0" w:color="auto"/>
                <w:left w:val="none" w:sz="0" w:space="0" w:color="auto"/>
                <w:bottom w:val="none" w:sz="0" w:space="0" w:color="auto"/>
                <w:right w:val="none" w:sz="0" w:space="0" w:color="auto"/>
              </w:divBdr>
            </w:div>
            <w:div w:id="1952859683">
              <w:marLeft w:val="0"/>
              <w:marRight w:val="0"/>
              <w:marTop w:val="0"/>
              <w:marBottom w:val="0"/>
              <w:divBdr>
                <w:top w:val="none" w:sz="0" w:space="0" w:color="auto"/>
                <w:left w:val="none" w:sz="0" w:space="0" w:color="auto"/>
                <w:bottom w:val="none" w:sz="0" w:space="0" w:color="auto"/>
                <w:right w:val="none" w:sz="0" w:space="0" w:color="auto"/>
              </w:divBdr>
            </w:div>
            <w:div w:id="2010018348">
              <w:marLeft w:val="0"/>
              <w:marRight w:val="0"/>
              <w:marTop w:val="0"/>
              <w:marBottom w:val="0"/>
              <w:divBdr>
                <w:top w:val="none" w:sz="0" w:space="0" w:color="auto"/>
                <w:left w:val="none" w:sz="0" w:space="0" w:color="auto"/>
                <w:bottom w:val="none" w:sz="0" w:space="0" w:color="auto"/>
                <w:right w:val="none" w:sz="0" w:space="0" w:color="auto"/>
              </w:divBdr>
            </w:div>
            <w:div w:id="2127386090">
              <w:marLeft w:val="0"/>
              <w:marRight w:val="0"/>
              <w:marTop w:val="0"/>
              <w:marBottom w:val="0"/>
              <w:divBdr>
                <w:top w:val="none" w:sz="0" w:space="0" w:color="auto"/>
                <w:left w:val="none" w:sz="0" w:space="0" w:color="auto"/>
                <w:bottom w:val="none" w:sz="0" w:space="0" w:color="auto"/>
                <w:right w:val="none" w:sz="0" w:space="0" w:color="auto"/>
              </w:divBdr>
            </w:div>
            <w:div w:id="2131318516">
              <w:marLeft w:val="0"/>
              <w:marRight w:val="0"/>
              <w:marTop w:val="0"/>
              <w:marBottom w:val="0"/>
              <w:divBdr>
                <w:top w:val="none" w:sz="0" w:space="0" w:color="auto"/>
                <w:left w:val="none" w:sz="0" w:space="0" w:color="auto"/>
                <w:bottom w:val="none" w:sz="0" w:space="0" w:color="auto"/>
                <w:right w:val="none" w:sz="0" w:space="0" w:color="auto"/>
              </w:divBdr>
            </w:div>
          </w:divsChild>
        </w:div>
        <w:div w:id="1368799757">
          <w:marLeft w:val="0"/>
          <w:marRight w:val="0"/>
          <w:marTop w:val="0"/>
          <w:marBottom w:val="0"/>
          <w:divBdr>
            <w:top w:val="none" w:sz="0" w:space="0" w:color="auto"/>
            <w:left w:val="none" w:sz="0" w:space="0" w:color="auto"/>
            <w:bottom w:val="none" w:sz="0" w:space="0" w:color="auto"/>
            <w:right w:val="none" w:sz="0" w:space="0" w:color="auto"/>
          </w:divBdr>
        </w:div>
        <w:div w:id="1369178858">
          <w:marLeft w:val="0"/>
          <w:marRight w:val="0"/>
          <w:marTop w:val="0"/>
          <w:marBottom w:val="0"/>
          <w:divBdr>
            <w:top w:val="none" w:sz="0" w:space="0" w:color="auto"/>
            <w:left w:val="none" w:sz="0" w:space="0" w:color="auto"/>
            <w:bottom w:val="none" w:sz="0" w:space="0" w:color="auto"/>
            <w:right w:val="none" w:sz="0" w:space="0" w:color="auto"/>
          </w:divBdr>
        </w:div>
        <w:div w:id="1372800681">
          <w:marLeft w:val="0"/>
          <w:marRight w:val="0"/>
          <w:marTop w:val="0"/>
          <w:marBottom w:val="0"/>
          <w:divBdr>
            <w:top w:val="none" w:sz="0" w:space="0" w:color="auto"/>
            <w:left w:val="none" w:sz="0" w:space="0" w:color="auto"/>
            <w:bottom w:val="none" w:sz="0" w:space="0" w:color="auto"/>
            <w:right w:val="none" w:sz="0" w:space="0" w:color="auto"/>
          </w:divBdr>
        </w:div>
        <w:div w:id="1377702605">
          <w:marLeft w:val="0"/>
          <w:marRight w:val="0"/>
          <w:marTop w:val="0"/>
          <w:marBottom w:val="0"/>
          <w:divBdr>
            <w:top w:val="none" w:sz="0" w:space="0" w:color="auto"/>
            <w:left w:val="none" w:sz="0" w:space="0" w:color="auto"/>
            <w:bottom w:val="none" w:sz="0" w:space="0" w:color="auto"/>
            <w:right w:val="none" w:sz="0" w:space="0" w:color="auto"/>
          </w:divBdr>
        </w:div>
        <w:div w:id="1383558845">
          <w:marLeft w:val="0"/>
          <w:marRight w:val="0"/>
          <w:marTop w:val="0"/>
          <w:marBottom w:val="0"/>
          <w:divBdr>
            <w:top w:val="none" w:sz="0" w:space="0" w:color="auto"/>
            <w:left w:val="none" w:sz="0" w:space="0" w:color="auto"/>
            <w:bottom w:val="none" w:sz="0" w:space="0" w:color="auto"/>
            <w:right w:val="none" w:sz="0" w:space="0" w:color="auto"/>
          </w:divBdr>
          <w:divsChild>
            <w:div w:id="4793564">
              <w:marLeft w:val="0"/>
              <w:marRight w:val="0"/>
              <w:marTop w:val="0"/>
              <w:marBottom w:val="0"/>
              <w:divBdr>
                <w:top w:val="none" w:sz="0" w:space="0" w:color="auto"/>
                <w:left w:val="none" w:sz="0" w:space="0" w:color="auto"/>
                <w:bottom w:val="none" w:sz="0" w:space="0" w:color="auto"/>
                <w:right w:val="none" w:sz="0" w:space="0" w:color="auto"/>
              </w:divBdr>
            </w:div>
            <w:div w:id="155463125">
              <w:marLeft w:val="0"/>
              <w:marRight w:val="0"/>
              <w:marTop w:val="0"/>
              <w:marBottom w:val="0"/>
              <w:divBdr>
                <w:top w:val="none" w:sz="0" w:space="0" w:color="auto"/>
                <w:left w:val="none" w:sz="0" w:space="0" w:color="auto"/>
                <w:bottom w:val="none" w:sz="0" w:space="0" w:color="auto"/>
                <w:right w:val="none" w:sz="0" w:space="0" w:color="auto"/>
              </w:divBdr>
            </w:div>
            <w:div w:id="614825479">
              <w:marLeft w:val="0"/>
              <w:marRight w:val="0"/>
              <w:marTop w:val="0"/>
              <w:marBottom w:val="0"/>
              <w:divBdr>
                <w:top w:val="none" w:sz="0" w:space="0" w:color="auto"/>
                <w:left w:val="none" w:sz="0" w:space="0" w:color="auto"/>
                <w:bottom w:val="none" w:sz="0" w:space="0" w:color="auto"/>
                <w:right w:val="none" w:sz="0" w:space="0" w:color="auto"/>
              </w:divBdr>
            </w:div>
            <w:div w:id="634219939">
              <w:marLeft w:val="0"/>
              <w:marRight w:val="0"/>
              <w:marTop w:val="0"/>
              <w:marBottom w:val="0"/>
              <w:divBdr>
                <w:top w:val="none" w:sz="0" w:space="0" w:color="auto"/>
                <w:left w:val="none" w:sz="0" w:space="0" w:color="auto"/>
                <w:bottom w:val="none" w:sz="0" w:space="0" w:color="auto"/>
                <w:right w:val="none" w:sz="0" w:space="0" w:color="auto"/>
              </w:divBdr>
            </w:div>
            <w:div w:id="1036128079">
              <w:marLeft w:val="0"/>
              <w:marRight w:val="0"/>
              <w:marTop w:val="0"/>
              <w:marBottom w:val="0"/>
              <w:divBdr>
                <w:top w:val="none" w:sz="0" w:space="0" w:color="auto"/>
                <w:left w:val="none" w:sz="0" w:space="0" w:color="auto"/>
                <w:bottom w:val="none" w:sz="0" w:space="0" w:color="auto"/>
                <w:right w:val="none" w:sz="0" w:space="0" w:color="auto"/>
              </w:divBdr>
            </w:div>
            <w:div w:id="1161892475">
              <w:marLeft w:val="0"/>
              <w:marRight w:val="0"/>
              <w:marTop w:val="0"/>
              <w:marBottom w:val="0"/>
              <w:divBdr>
                <w:top w:val="none" w:sz="0" w:space="0" w:color="auto"/>
                <w:left w:val="none" w:sz="0" w:space="0" w:color="auto"/>
                <w:bottom w:val="none" w:sz="0" w:space="0" w:color="auto"/>
                <w:right w:val="none" w:sz="0" w:space="0" w:color="auto"/>
              </w:divBdr>
            </w:div>
            <w:div w:id="1407874245">
              <w:marLeft w:val="0"/>
              <w:marRight w:val="0"/>
              <w:marTop w:val="0"/>
              <w:marBottom w:val="0"/>
              <w:divBdr>
                <w:top w:val="none" w:sz="0" w:space="0" w:color="auto"/>
                <w:left w:val="none" w:sz="0" w:space="0" w:color="auto"/>
                <w:bottom w:val="none" w:sz="0" w:space="0" w:color="auto"/>
                <w:right w:val="none" w:sz="0" w:space="0" w:color="auto"/>
              </w:divBdr>
            </w:div>
            <w:div w:id="1603951134">
              <w:marLeft w:val="0"/>
              <w:marRight w:val="0"/>
              <w:marTop w:val="0"/>
              <w:marBottom w:val="0"/>
              <w:divBdr>
                <w:top w:val="none" w:sz="0" w:space="0" w:color="auto"/>
                <w:left w:val="none" w:sz="0" w:space="0" w:color="auto"/>
                <w:bottom w:val="none" w:sz="0" w:space="0" w:color="auto"/>
                <w:right w:val="none" w:sz="0" w:space="0" w:color="auto"/>
              </w:divBdr>
            </w:div>
            <w:div w:id="2001502038">
              <w:marLeft w:val="0"/>
              <w:marRight w:val="0"/>
              <w:marTop w:val="0"/>
              <w:marBottom w:val="0"/>
              <w:divBdr>
                <w:top w:val="none" w:sz="0" w:space="0" w:color="auto"/>
                <w:left w:val="none" w:sz="0" w:space="0" w:color="auto"/>
                <w:bottom w:val="none" w:sz="0" w:space="0" w:color="auto"/>
                <w:right w:val="none" w:sz="0" w:space="0" w:color="auto"/>
              </w:divBdr>
            </w:div>
            <w:div w:id="2136678057">
              <w:marLeft w:val="0"/>
              <w:marRight w:val="0"/>
              <w:marTop w:val="0"/>
              <w:marBottom w:val="0"/>
              <w:divBdr>
                <w:top w:val="none" w:sz="0" w:space="0" w:color="auto"/>
                <w:left w:val="none" w:sz="0" w:space="0" w:color="auto"/>
                <w:bottom w:val="none" w:sz="0" w:space="0" w:color="auto"/>
                <w:right w:val="none" w:sz="0" w:space="0" w:color="auto"/>
              </w:divBdr>
            </w:div>
          </w:divsChild>
        </w:div>
        <w:div w:id="1383672339">
          <w:marLeft w:val="0"/>
          <w:marRight w:val="0"/>
          <w:marTop w:val="0"/>
          <w:marBottom w:val="0"/>
          <w:divBdr>
            <w:top w:val="none" w:sz="0" w:space="0" w:color="auto"/>
            <w:left w:val="none" w:sz="0" w:space="0" w:color="auto"/>
            <w:bottom w:val="none" w:sz="0" w:space="0" w:color="auto"/>
            <w:right w:val="none" w:sz="0" w:space="0" w:color="auto"/>
          </w:divBdr>
        </w:div>
        <w:div w:id="1384138136">
          <w:marLeft w:val="0"/>
          <w:marRight w:val="0"/>
          <w:marTop w:val="0"/>
          <w:marBottom w:val="0"/>
          <w:divBdr>
            <w:top w:val="none" w:sz="0" w:space="0" w:color="auto"/>
            <w:left w:val="none" w:sz="0" w:space="0" w:color="auto"/>
            <w:bottom w:val="none" w:sz="0" w:space="0" w:color="auto"/>
            <w:right w:val="none" w:sz="0" w:space="0" w:color="auto"/>
          </w:divBdr>
        </w:div>
        <w:div w:id="1384601798">
          <w:marLeft w:val="0"/>
          <w:marRight w:val="0"/>
          <w:marTop w:val="0"/>
          <w:marBottom w:val="0"/>
          <w:divBdr>
            <w:top w:val="none" w:sz="0" w:space="0" w:color="auto"/>
            <w:left w:val="none" w:sz="0" w:space="0" w:color="auto"/>
            <w:bottom w:val="none" w:sz="0" w:space="0" w:color="auto"/>
            <w:right w:val="none" w:sz="0" w:space="0" w:color="auto"/>
          </w:divBdr>
        </w:div>
        <w:div w:id="1385525589">
          <w:marLeft w:val="0"/>
          <w:marRight w:val="0"/>
          <w:marTop w:val="0"/>
          <w:marBottom w:val="0"/>
          <w:divBdr>
            <w:top w:val="none" w:sz="0" w:space="0" w:color="auto"/>
            <w:left w:val="none" w:sz="0" w:space="0" w:color="auto"/>
            <w:bottom w:val="none" w:sz="0" w:space="0" w:color="auto"/>
            <w:right w:val="none" w:sz="0" w:space="0" w:color="auto"/>
          </w:divBdr>
        </w:div>
        <w:div w:id="1388839046">
          <w:marLeft w:val="0"/>
          <w:marRight w:val="0"/>
          <w:marTop w:val="0"/>
          <w:marBottom w:val="0"/>
          <w:divBdr>
            <w:top w:val="none" w:sz="0" w:space="0" w:color="auto"/>
            <w:left w:val="none" w:sz="0" w:space="0" w:color="auto"/>
            <w:bottom w:val="none" w:sz="0" w:space="0" w:color="auto"/>
            <w:right w:val="none" w:sz="0" w:space="0" w:color="auto"/>
          </w:divBdr>
        </w:div>
        <w:div w:id="1393770594">
          <w:marLeft w:val="0"/>
          <w:marRight w:val="0"/>
          <w:marTop w:val="0"/>
          <w:marBottom w:val="0"/>
          <w:divBdr>
            <w:top w:val="none" w:sz="0" w:space="0" w:color="auto"/>
            <w:left w:val="none" w:sz="0" w:space="0" w:color="auto"/>
            <w:bottom w:val="none" w:sz="0" w:space="0" w:color="auto"/>
            <w:right w:val="none" w:sz="0" w:space="0" w:color="auto"/>
          </w:divBdr>
        </w:div>
        <w:div w:id="1394038185">
          <w:marLeft w:val="0"/>
          <w:marRight w:val="0"/>
          <w:marTop w:val="0"/>
          <w:marBottom w:val="0"/>
          <w:divBdr>
            <w:top w:val="none" w:sz="0" w:space="0" w:color="auto"/>
            <w:left w:val="none" w:sz="0" w:space="0" w:color="auto"/>
            <w:bottom w:val="none" w:sz="0" w:space="0" w:color="auto"/>
            <w:right w:val="none" w:sz="0" w:space="0" w:color="auto"/>
          </w:divBdr>
        </w:div>
        <w:div w:id="1395933034">
          <w:marLeft w:val="0"/>
          <w:marRight w:val="0"/>
          <w:marTop w:val="0"/>
          <w:marBottom w:val="0"/>
          <w:divBdr>
            <w:top w:val="none" w:sz="0" w:space="0" w:color="auto"/>
            <w:left w:val="none" w:sz="0" w:space="0" w:color="auto"/>
            <w:bottom w:val="none" w:sz="0" w:space="0" w:color="auto"/>
            <w:right w:val="none" w:sz="0" w:space="0" w:color="auto"/>
          </w:divBdr>
        </w:div>
        <w:div w:id="1399128460">
          <w:marLeft w:val="0"/>
          <w:marRight w:val="0"/>
          <w:marTop w:val="0"/>
          <w:marBottom w:val="0"/>
          <w:divBdr>
            <w:top w:val="none" w:sz="0" w:space="0" w:color="auto"/>
            <w:left w:val="none" w:sz="0" w:space="0" w:color="auto"/>
            <w:bottom w:val="none" w:sz="0" w:space="0" w:color="auto"/>
            <w:right w:val="none" w:sz="0" w:space="0" w:color="auto"/>
          </w:divBdr>
        </w:div>
        <w:div w:id="1401715549">
          <w:marLeft w:val="0"/>
          <w:marRight w:val="0"/>
          <w:marTop w:val="0"/>
          <w:marBottom w:val="0"/>
          <w:divBdr>
            <w:top w:val="none" w:sz="0" w:space="0" w:color="auto"/>
            <w:left w:val="none" w:sz="0" w:space="0" w:color="auto"/>
            <w:bottom w:val="none" w:sz="0" w:space="0" w:color="auto"/>
            <w:right w:val="none" w:sz="0" w:space="0" w:color="auto"/>
          </w:divBdr>
        </w:div>
        <w:div w:id="1401906096">
          <w:marLeft w:val="0"/>
          <w:marRight w:val="0"/>
          <w:marTop w:val="0"/>
          <w:marBottom w:val="0"/>
          <w:divBdr>
            <w:top w:val="none" w:sz="0" w:space="0" w:color="auto"/>
            <w:left w:val="none" w:sz="0" w:space="0" w:color="auto"/>
            <w:bottom w:val="none" w:sz="0" w:space="0" w:color="auto"/>
            <w:right w:val="none" w:sz="0" w:space="0" w:color="auto"/>
          </w:divBdr>
        </w:div>
        <w:div w:id="1403455288">
          <w:marLeft w:val="0"/>
          <w:marRight w:val="0"/>
          <w:marTop w:val="0"/>
          <w:marBottom w:val="0"/>
          <w:divBdr>
            <w:top w:val="none" w:sz="0" w:space="0" w:color="auto"/>
            <w:left w:val="none" w:sz="0" w:space="0" w:color="auto"/>
            <w:bottom w:val="none" w:sz="0" w:space="0" w:color="auto"/>
            <w:right w:val="none" w:sz="0" w:space="0" w:color="auto"/>
          </w:divBdr>
        </w:div>
        <w:div w:id="1404446329">
          <w:marLeft w:val="0"/>
          <w:marRight w:val="0"/>
          <w:marTop w:val="0"/>
          <w:marBottom w:val="0"/>
          <w:divBdr>
            <w:top w:val="none" w:sz="0" w:space="0" w:color="auto"/>
            <w:left w:val="none" w:sz="0" w:space="0" w:color="auto"/>
            <w:bottom w:val="none" w:sz="0" w:space="0" w:color="auto"/>
            <w:right w:val="none" w:sz="0" w:space="0" w:color="auto"/>
          </w:divBdr>
        </w:div>
        <w:div w:id="1404834900">
          <w:marLeft w:val="0"/>
          <w:marRight w:val="0"/>
          <w:marTop w:val="0"/>
          <w:marBottom w:val="0"/>
          <w:divBdr>
            <w:top w:val="none" w:sz="0" w:space="0" w:color="auto"/>
            <w:left w:val="none" w:sz="0" w:space="0" w:color="auto"/>
            <w:bottom w:val="none" w:sz="0" w:space="0" w:color="auto"/>
            <w:right w:val="none" w:sz="0" w:space="0" w:color="auto"/>
          </w:divBdr>
        </w:div>
        <w:div w:id="1406144702">
          <w:marLeft w:val="0"/>
          <w:marRight w:val="0"/>
          <w:marTop w:val="0"/>
          <w:marBottom w:val="0"/>
          <w:divBdr>
            <w:top w:val="none" w:sz="0" w:space="0" w:color="auto"/>
            <w:left w:val="none" w:sz="0" w:space="0" w:color="auto"/>
            <w:bottom w:val="none" w:sz="0" w:space="0" w:color="auto"/>
            <w:right w:val="none" w:sz="0" w:space="0" w:color="auto"/>
          </w:divBdr>
        </w:div>
        <w:div w:id="1406493876">
          <w:marLeft w:val="0"/>
          <w:marRight w:val="0"/>
          <w:marTop w:val="0"/>
          <w:marBottom w:val="0"/>
          <w:divBdr>
            <w:top w:val="none" w:sz="0" w:space="0" w:color="auto"/>
            <w:left w:val="none" w:sz="0" w:space="0" w:color="auto"/>
            <w:bottom w:val="none" w:sz="0" w:space="0" w:color="auto"/>
            <w:right w:val="none" w:sz="0" w:space="0" w:color="auto"/>
          </w:divBdr>
        </w:div>
        <w:div w:id="1407650468">
          <w:marLeft w:val="0"/>
          <w:marRight w:val="0"/>
          <w:marTop w:val="0"/>
          <w:marBottom w:val="0"/>
          <w:divBdr>
            <w:top w:val="none" w:sz="0" w:space="0" w:color="auto"/>
            <w:left w:val="none" w:sz="0" w:space="0" w:color="auto"/>
            <w:bottom w:val="none" w:sz="0" w:space="0" w:color="auto"/>
            <w:right w:val="none" w:sz="0" w:space="0" w:color="auto"/>
          </w:divBdr>
        </w:div>
        <w:div w:id="1409690502">
          <w:marLeft w:val="0"/>
          <w:marRight w:val="0"/>
          <w:marTop w:val="0"/>
          <w:marBottom w:val="0"/>
          <w:divBdr>
            <w:top w:val="none" w:sz="0" w:space="0" w:color="auto"/>
            <w:left w:val="none" w:sz="0" w:space="0" w:color="auto"/>
            <w:bottom w:val="none" w:sz="0" w:space="0" w:color="auto"/>
            <w:right w:val="none" w:sz="0" w:space="0" w:color="auto"/>
          </w:divBdr>
        </w:div>
        <w:div w:id="1410691143">
          <w:marLeft w:val="0"/>
          <w:marRight w:val="0"/>
          <w:marTop w:val="0"/>
          <w:marBottom w:val="0"/>
          <w:divBdr>
            <w:top w:val="none" w:sz="0" w:space="0" w:color="auto"/>
            <w:left w:val="none" w:sz="0" w:space="0" w:color="auto"/>
            <w:bottom w:val="none" w:sz="0" w:space="0" w:color="auto"/>
            <w:right w:val="none" w:sz="0" w:space="0" w:color="auto"/>
          </w:divBdr>
        </w:div>
        <w:div w:id="1411392807">
          <w:marLeft w:val="0"/>
          <w:marRight w:val="0"/>
          <w:marTop w:val="0"/>
          <w:marBottom w:val="0"/>
          <w:divBdr>
            <w:top w:val="none" w:sz="0" w:space="0" w:color="auto"/>
            <w:left w:val="none" w:sz="0" w:space="0" w:color="auto"/>
            <w:bottom w:val="none" w:sz="0" w:space="0" w:color="auto"/>
            <w:right w:val="none" w:sz="0" w:space="0" w:color="auto"/>
          </w:divBdr>
        </w:div>
        <w:div w:id="1412897388">
          <w:marLeft w:val="0"/>
          <w:marRight w:val="0"/>
          <w:marTop w:val="0"/>
          <w:marBottom w:val="0"/>
          <w:divBdr>
            <w:top w:val="none" w:sz="0" w:space="0" w:color="auto"/>
            <w:left w:val="none" w:sz="0" w:space="0" w:color="auto"/>
            <w:bottom w:val="none" w:sz="0" w:space="0" w:color="auto"/>
            <w:right w:val="none" w:sz="0" w:space="0" w:color="auto"/>
          </w:divBdr>
        </w:div>
        <w:div w:id="1415202728">
          <w:marLeft w:val="0"/>
          <w:marRight w:val="0"/>
          <w:marTop w:val="0"/>
          <w:marBottom w:val="0"/>
          <w:divBdr>
            <w:top w:val="none" w:sz="0" w:space="0" w:color="auto"/>
            <w:left w:val="none" w:sz="0" w:space="0" w:color="auto"/>
            <w:bottom w:val="none" w:sz="0" w:space="0" w:color="auto"/>
            <w:right w:val="none" w:sz="0" w:space="0" w:color="auto"/>
          </w:divBdr>
        </w:div>
        <w:div w:id="1417364011">
          <w:marLeft w:val="0"/>
          <w:marRight w:val="0"/>
          <w:marTop w:val="0"/>
          <w:marBottom w:val="0"/>
          <w:divBdr>
            <w:top w:val="none" w:sz="0" w:space="0" w:color="auto"/>
            <w:left w:val="none" w:sz="0" w:space="0" w:color="auto"/>
            <w:bottom w:val="none" w:sz="0" w:space="0" w:color="auto"/>
            <w:right w:val="none" w:sz="0" w:space="0" w:color="auto"/>
          </w:divBdr>
        </w:div>
        <w:div w:id="1417483205">
          <w:marLeft w:val="0"/>
          <w:marRight w:val="0"/>
          <w:marTop w:val="0"/>
          <w:marBottom w:val="0"/>
          <w:divBdr>
            <w:top w:val="none" w:sz="0" w:space="0" w:color="auto"/>
            <w:left w:val="none" w:sz="0" w:space="0" w:color="auto"/>
            <w:bottom w:val="none" w:sz="0" w:space="0" w:color="auto"/>
            <w:right w:val="none" w:sz="0" w:space="0" w:color="auto"/>
          </w:divBdr>
        </w:div>
        <w:div w:id="1418014913">
          <w:marLeft w:val="0"/>
          <w:marRight w:val="0"/>
          <w:marTop w:val="0"/>
          <w:marBottom w:val="0"/>
          <w:divBdr>
            <w:top w:val="none" w:sz="0" w:space="0" w:color="auto"/>
            <w:left w:val="none" w:sz="0" w:space="0" w:color="auto"/>
            <w:bottom w:val="none" w:sz="0" w:space="0" w:color="auto"/>
            <w:right w:val="none" w:sz="0" w:space="0" w:color="auto"/>
          </w:divBdr>
        </w:div>
        <w:div w:id="1418090568">
          <w:marLeft w:val="0"/>
          <w:marRight w:val="0"/>
          <w:marTop w:val="0"/>
          <w:marBottom w:val="0"/>
          <w:divBdr>
            <w:top w:val="none" w:sz="0" w:space="0" w:color="auto"/>
            <w:left w:val="none" w:sz="0" w:space="0" w:color="auto"/>
            <w:bottom w:val="none" w:sz="0" w:space="0" w:color="auto"/>
            <w:right w:val="none" w:sz="0" w:space="0" w:color="auto"/>
          </w:divBdr>
        </w:div>
        <w:div w:id="1418747675">
          <w:marLeft w:val="0"/>
          <w:marRight w:val="0"/>
          <w:marTop w:val="0"/>
          <w:marBottom w:val="0"/>
          <w:divBdr>
            <w:top w:val="none" w:sz="0" w:space="0" w:color="auto"/>
            <w:left w:val="none" w:sz="0" w:space="0" w:color="auto"/>
            <w:bottom w:val="none" w:sz="0" w:space="0" w:color="auto"/>
            <w:right w:val="none" w:sz="0" w:space="0" w:color="auto"/>
          </w:divBdr>
        </w:div>
        <w:div w:id="1419673234">
          <w:marLeft w:val="0"/>
          <w:marRight w:val="0"/>
          <w:marTop w:val="0"/>
          <w:marBottom w:val="0"/>
          <w:divBdr>
            <w:top w:val="none" w:sz="0" w:space="0" w:color="auto"/>
            <w:left w:val="none" w:sz="0" w:space="0" w:color="auto"/>
            <w:bottom w:val="none" w:sz="0" w:space="0" w:color="auto"/>
            <w:right w:val="none" w:sz="0" w:space="0" w:color="auto"/>
          </w:divBdr>
        </w:div>
        <w:div w:id="1421101338">
          <w:marLeft w:val="0"/>
          <w:marRight w:val="0"/>
          <w:marTop w:val="0"/>
          <w:marBottom w:val="0"/>
          <w:divBdr>
            <w:top w:val="none" w:sz="0" w:space="0" w:color="auto"/>
            <w:left w:val="none" w:sz="0" w:space="0" w:color="auto"/>
            <w:bottom w:val="none" w:sz="0" w:space="0" w:color="auto"/>
            <w:right w:val="none" w:sz="0" w:space="0" w:color="auto"/>
          </w:divBdr>
        </w:div>
        <w:div w:id="1421953600">
          <w:marLeft w:val="0"/>
          <w:marRight w:val="0"/>
          <w:marTop w:val="0"/>
          <w:marBottom w:val="0"/>
          <w:divBdr>
            <w:top w:val="none" w:sz="0" w:space="0" w:color="auto"/>
            <w:left w:val="none" w:sz="0" w:space="0" w:color="auto"/>
            <w:bottom w:val="none" w:sz="0" w:space="0" w:color="auto"/>
            <w:right w:val="none" w:sz="0" w:space="0" w:color="auto"/>
          </w:divBdr>
        </w:div>
        <w:div w:id="1422753432">
          <w:marLeft w:val="0"/>
          <w:marRight w:val="0"/>
          <w:marTop w:val="0"/>
          <w:marBottom w:val="0"/>
          <w:divBdr>
            <w:top w:val="none" w:sz="0" w:space="0" w:color="auto"/>
            <w:left w:val="none" w:sz="0" w:space="0" w:color="auto"/>
            <w:bottom w:val="none" w:sz="0" w:space="0" w:color="auto"/>
            <w:right w:val="none" w:sz="0" w:space="0" w:color="auto"/>
          </w:divBdr>
        </w:div>
        <w:div w:id="1427578384">
          <w:marLeft w:val="0"/>
          <w:marRight w:val="0"/>
          <w:marTop w:val="0"/>
          <w:marBottom w:val="0"/>
          <w:divBdr>
            <w:top w:val="none" w:sz="0" w:space="0" w:color="auto"/>
            <w:left w:val="none" w:sz="0" w:space="0" w:color="auto"/>
            <w:bottom w:val="none" w:sz="0" w:space="0" w:color="auto"/>
            <w:right w:val="none" w:sz="0" w:space="0" w:color="auto"/>
          </w:divBdr>
          <w:divsChild>
            <w:div w:id="128130830">
              <w:marLeft w:val="0"/>
              <w:marRight w:val="0"/>
              <w:marTop w:val="0"/>
              <w:marBottom w:val="0"/>
              <w:divBdr>
                <w:top w:val="none" w:sz="0" w:space="0" w:color="auto"/>
                <w:left w:val="none" w:sz="0" w:space="0" w:color="auto"/>
                <w:bottom w:val="none" w:sz="0" w:space="0" w:color="auto"/>
                <w:right w:val="none" w:sz="0" w:space="0" w:color="auto"/>
              </w:divBdr>
            </w:div>
            <w:div w:id="368801591">
              <w:marLeft w:val="0"/>
              <w:marRight w:val="0"/>
              <w:marTop w:val="0"/>
              <w:marBottom w:val="0"/>
              <w:divBdr>
                <w:top w:val="none" w:sz="0" w:space="0" w:color="auto"/>
                <w:left w:val="none" w:sz="0" w:space="0" w:color="auto"/>
                <w:bottom w:val="none" w:sz="0" w:space="0" w:color="auto"/>
                <w:right w:val="none" w:sz="0" w:space="0" w:color="auto"/>
              </w:divBdr>
            </w:div>
            <w:div w:id="416831612">
              <w:marLeft w:val="0"/>
              <w:marRight w:val="0"/>
              <w:marTop w:val="0"/>
              <w:marBottom w:val="0"/>
              <w:divBdr>
                <w:top w:val="none" w:sz="0" w:space="0" w:color="auto"/>
                <w:left w:val="none" w:sz="0" w:space="0" w:color="auto"/>
                <w:bottom w:val="none" w:sz="0" w:space="0" w:color="auto"/>
                <w:right w:val="none" w:sz="0" w:space="0" w:color="auto"/>
              </w:divBdr>
            </w:div>
            <w:div w:id="419525246">
              <w:marLeft w:val="0"/>
              <w:marRight w:val="0"/>
              <w:marTop w:val="0"/>
              <w:marBottom w:val="0"/>
              <w:divBdr>
                <w:top w:val="none" w:sz="0" w:space="0" w:color="auto"/>
                <w:left w:val="none" w:sz="0" w:space="0" w:color="auto"/>
                <w:bottom w:val="none" w:sz="0" w:space="0" w:color="auto"/>
                <w:right w:val="none" w:sz="0" w:space="0" w:color="auto"/>
              </w:divBdr>
            </w:div>
            <w:div w:id="443817031">
              <w:marLeft w:val="0"/>
              <w:marRight w:val="0"/>
              <w:marTop w:val="0"/>
              <w:marBottom w:val="0"/>
              <w:divBdr>
                <w:top w:val="none" w:sz="0" w:space="0" w:color="auto"/>
                <w:left w:val="none" w:sz="0" w:space="0" w:color="auto"/>
                <w:bottom w:val="none" w:sz="0" w:space="0" w:color="auto"/>
                <w:right w:val="none" w:sz="0" w:space="0" w:color="auto"/>
              </w:divBdr>
            </w:div>
            <w:div w:id="748581404">
              <w:marLeft w:val="0"/>
              <w:marRight w:val="0"/>
              <w:marTop w:val="0"/>
              <w:marBottom w:val="0"/>
              <w:divBdr>
                <w:top w:val="none" w:sz="0" w:space="0" w:color="auto"/>
                <w:left w:val="none" w:sz="0" w:space="0" w:color="auto"/>
                <w:bottom w:val="none" w:sz="0" w:space="0" w:color="auto"/>
                <w:right w:val="none" w:sz="0" w:space="0" w:color="auto"/>
              </w:divBdr>
            </w:div>
            <w:div w:id="753010006">
              <w:marLeft w:val="0"/>
              <w:marRight w:val="0"/>
              <w:marTop w:val="0"/>
              <w:marBottom w:val="0"/>
              <w:divBdr>
                <w:top w:val="none" w:sz="0" w:space="0" w:color="auto"/>
                <w:left w:val="none" w:sz="0" w:space="0" w:color="auto"/>
                <w:bottom w:val="none" w:sz="0" w:space="0" w:color="auto"/>
                <w:right w:val="none" w:sz="0" w:space="0" w:color="auto"/>
              </w:divBdr>
            </w:div>
            <w:div w:id="781803738">
              <w:marLeft w:val="0"/>
              <w:marRight w:val="0"/>
              <w:marTop w:val="0"/>
              <w:marBottom w:val="0"/>
              <w:divBdr>
                <w:top w:val="none" w:sz="0" w:space="0" w:color="auto"/>
                <w:left w:val="none" w:sz="0" w:space="0" w:color="auto"/>
                <w:bottom w:val="none" w:sz="0" w:space="0" w:color="auto"/>
                <w:right w:val="none" w:sz="0" w:space="0" w:color="auto"/>
              </w:divBdr>
            </w:div>
            <w:div w:id="860388597">
              <w:marLeft w:val="0"/>
              <w:marRight w:val="0"/>
              <w:marTop w:val="0"/>
              <w:marBottom w:val="0"/>
              <w:divBdr>
                <w:top w:val="none" w:sz="0" w:space="0" w:color="auto"/>
                <w:left w:val="none" w:sz="0" w:space="0" w:color="auto"/>
                <w:bottom w:val="none" w:sz="0" w:space="0" w:color="auto"/>
                <w:right w:val="none" w:sz="0" w:space="0" w:color="auto"/>
              </w:divBdr>
            </w:div>
            <w:div w:id="965742518">
              <w:marLeft w:val="0"/>
              <w:marRight w:val="0"/>
              <w:marTop w:val="0"/>
              <w:marBottom w:val="0"/>
              <w:divBdr>
                <w:top w:val="none" w:sz="0" w:space="0" w:color="auto"/>
                <w:left w:val="none" w:sz="0" w:space="0" w:color="auto"/>
                <w:bottom w:val="none" w:sz="0" w:space="0" w:color="auto"/>
                <w:right w:val="none" w:sz="0" w:space="0" w:color="auto"/>
              </w:divBdr>
            </w:div>
            <w:div w:id="974411656">
              <w:marLeft w:val="0"/>
              <w:marRight w:val="0"/>
              <w:marTop w:val="0"/>
              <w:marBottom w:val="0"/>
              <w:divBdr>
                <w:top w:val="none" w:sz="0" w:space="0" w:color="auto"/>
                <w:left w:val="none" w:sz="0" w:space="0" w:color="auto"/>
                <w:bottom w:val="none" w:sz="0" w:space="0" w:color="auto"/>
                <w:right w:val="none" w:sz="0" w:space="0" w:color="auto"/>
              </w:divBdr>
            </w:div>
            <w:div w:id="1046225443">
              <w:marLeft w:val="0"/>
              <w:marRight w:val="0"/>
              <w:marTop w:val="0"/>
              <w:marBottom w:val="0"/>
              <w:divBdr>
                <w:top w:val="none" w:sz="0" w:space="0" w:color="auto"/>
                <w:left w:val="none" w:sz="0" w:space="0" w:color="auto"/>
                <w:bottom w:val="none" w:sz="0" w:space="0" w:color="auto"/>
                <w:right w:val="none" w:sz="0" w:space="0" w:color="auto"/>
              </w:divBdr>
            </w:div>
            <w:div w:id="1346058425">
              <w:marLeft w:val="0"/>
              <w:marRight w:val="0"/>
              <w:marTop w:val="0"/>
              <w:marBottom w:val="0"/>
              <w:divBdr>
                <w:top w:val="none" w:sz="0" w:space="0" w:color="auto"/>
                <w:left w:val="none" w:sz="0" w:space="0" w:color="auto"/>
                <w:bottom w:val="none" w:sz="0" w:space="0" w:color="auto"/>
                <w:right w:val="none" w:sz="0" w:space="0" w:color="auto"/>
              </w:divBdr>
            </w:div>
            <w:div w:id="1432778075">
              <w:marLeft w:val="0"/>
              <w:marRight w:val="0"/>
              <w:marTop w:val="0"/>
              <w:marBottom w:val="0"/>
              <w:divBdr>
                <w:top w:val="none" w:sz="0" w:space="0" w:color="auto"/>
                <w:left w:val="none" w:sz="0" w:space="0" w:color="auto"/>
                <w:bottom w:val="none" w:sz="0" w:space="0" w:color="auto"/>
                <w:right w:val="none" w:sz="0" w:space="0" w:color="auto"/>
              </w:divBdr>
            </w:div>
            <w:div w:id="1496190651">
              <w:marLeft w:val="0"/>
              <w:marRight w:val="0"/>
              <w:marTop w:val="0"/>
              <w:marBottom w:val="0"/>
              <w:divBdr>
                <w:top w:val="none" w:sz="0" w:space="0" w:color="auto"/>
                <w:left w:val="none" w:sz="0" w:space="0" w:color="auto"/>
                <w:bottom w:val="none" w:sz="0" w:space="0" w:color="auto"/>
                <w:right w:val="none" w:sz="0" w:space="0" w:color="auto"/>
              </w:divBdr>
            </w:div>
            <w:div w:id="1659000099">
              <w:marLeft w:val="0"/>
              <w:marRight w:val="0"/>
              <w:marTop w:val="0"/>
              <w:marBottom w:val="0"/>
              <w:divBdr>
                <w:top w:val="none" w:sz="0" w:space="0" w:color="auto"/>
                <w:left w:val="none" w:sz="0" w:space="0" w:color="auto"/>
                <w:bottom w:val="none" w:sz="0" w:space="0" w:color="auto"/>
                <w:right w:val="none" w:sz="0" w:space="0" w:color="auto"/>
              </w:divBdr>
            </w:div>
            <w:div w:id="1885286681">
              <w:marLeft w:val="0"/>
              <w:marRight w:val="0"/>
              <w:marTop w:val="0"/>
              <w:marBottom w:val="0"/>
              <w:divBdr>
                <w:top w:val="none" w:sz="0" w:space="0" w:color="auto"/>
                <w:left w:val="none" w:sz="0" w:space="0" w:color="auto"/>
                <w:bottom w:val="none" w:sz="0" w:space="0" w:color="auto"/>
                <w:right w:val="none" w:sz="0" w:space="0" w:color="auto"/>
              </w:divBdr>
            </w:div>
            <w:div w:id="1887910505">
              <w:marLeft w:val="0"/>
              <w:marRight w:val="0"/>
              <w:marTop w:val="0"/>
              <w:marBottom w:val="0"/>
              <w:divBdr>
                <w:top w:val="none" w:sz="0" w:space="0" w:color="auto"/>
                <w:left w:val="none" w:sz="0" w:space="0" w:color="auto"/>
                <w:bottom w:val="none" w:sz="0" w:space="0" w:color="auto"/>
                <w:right w:val="none" w:sz="0" w:space="0" w:color="auto"/>
              </w:divBdr>
            </w:div>
            <w:div w:id="1894077378">
              <w:marLeft w:val="0"/>
              <w:marRight w:val="0"/>
              <w:marTop w:val="0"/>
              <w:marBottom w:val="0"/>
              <w:divBdr>
                <w:top w:val="none" w:sz="0" w:space="0" w:color="auto"/>
                <w:left w:val="none" w:sz="0" w:space="0" w:color="auto"/>
                <w:bottom w:val="none" w:sz="0" w:space="0" w:color="auto"/>
                <w:right w:val="none" w:sz="0" w:space="0" w:color="auto"/>
              </w:divBdr>
            </w:div>
            <w:div w:id="1898782851">
              <w:marLeft w:val="0"/>
              <w:marRight w:val="0"/>
              <w:marTop w:val="0"/>
              <w:marBottom w:val="0"/>
              <w:divBdr>
                <w:top w:val="none" w:sz="0" w:space="0" w:color="auto"/>
                <w:left w:val="none" w:sz="0" w:space="0" w:color="auto"/>
                <w:bottom w:val="none" w:sz="0" w:space="0" w:color="auto"/>
                <w:right w:val="none" w:sz="0" w:space="0" w:color="auto"/>
              </w:divBdr>
            </w:div>
          </w:divsChild>
        </w:div>
        <w:div w:id="1428192783">
          <w:marLeft w:val="0"/>
          <w:marRight w:val="0"/>
          <w:marTop w:val="0"/>
          <w:marBottom w:val="0"/>
          <w:divBdr>
            <w:top w:val="none" w:sz="0" w:space="0" w:color="auto"/>
            <w:left w:val="none" w:sz="0" w:space="0" w:color="auto"/>
            <w:bottom w:val="none" w:sz="0" w:space="0" w:color="auto"/>
            <w:right w:val="none" w:sz="0" w:space="0" w:color="auto"/>
          </w:divBdr>
        </w:div>
        <w:div w:id="1432316307">
          <w:marLeft w:val="0"/>
          <w:marRight w:val="0"/>
          <w:marTop w:val="0"/>
          <w:marBottom w:val="0"/>
          <w:divBdr>
            <w:top w:val="none" w:sz="0" w:space="0" w:color="auto"/>
            <w:left w:val="none" w:sz="0" w:space="0" w:color="auto"/>
            <w:bottom w:val="none" w:sz="0" w:space="0" w:color="auto"/>
            <w:right w:val="none" w:sz="0" w:space="0" w:color="auto"/>
          </w:divBdr>
        </w:div>
        <w:div w:id="1432361704">
          <w:marLeft w:val="0"/>
          <w:marRight w:val="0"/>
          <w:marTop w:val="0"/>
          <w:marBottom w:val="0"/>
          <w:divBdr>
            <w:top w:val="none" w:sz="0" w:space="0" w:color="auto"/>
            <w:left w:val="none" w:sz="0" w:space="0" w:color="auto"/>
            <w:bottom w:val="none" w:sz="0" w:space="0" w:color="auto"/>
            <w:right w:val="none" w:sz="0" w:space="0" w:color="auto"/>
          </w:divBdr>
        </w:div>
        <w:div w:id="1434977093">
          <w:marLeft w:val="0"/>
          <w:marRight w:val="0"/>
          <w:marTop w:val="0"/>
          <w:marBottom w:val="0"/>
          <w:divBdr>
            <w:top w:val="none" w:sz="0" w:space="0" w:color="auto"/>
            <w:left w:val="none" w:sz="0" w:space="0" w:color="auto"/>
            <w:bottom w:val="none" w:sz="0" w:space="0" w:color="auto"/>
            <w:right w:val="none" w:sz="0" w:space="0" w:color="auto"/>
          </w:divBdr>
        </w:div>
        <w:div w:id="1435437505">
          <w:marLeft w:val="0"/>
          <w:marRight w:val="0"/>
          <w:marTop w:val="0"/>
          <w:marBottom w:val="0"/>
          <w:divBdr>
            <w:top w:val="none" w:sz="0" w:space="0" w:color="auto"/>
            <w:left w:val="none" w:sz="0" w:space="0" w:color="auto"/>
            <w:bottom w:val="none" w:sz="0" w:space="0" w:color="auto"/>
            <w:right w:val="none" w:sz="0" w:space="0" w:color="auto"/>
          </w:divBdr>
        </w:div>
        <w:div w:id="1435443978">
          <w:marLeft w:val="0"/>
          <w:marRight w:val="0"/>
          <w:marTop w:val="0"/>
          <w:marBottom w:val="0"/>
          <w:divBdr>
            <w:top w:val="none" w:sz="0" w:space="0" w:color="auto"/>
            <w:left w:val="none" w:sz="0" w:space="0" w:color="auto"/>
            <w:bottom w:val="none" w:sz="0" w:space="0" w:color="auto"/>
            <w:right w:val="none" w:sz="0" w:space="0" w:color="auto"/>
          </w:divBdr>
        </w:div>
        <w:div w:id="1440833310">
          <w:marLeft w:val="0"/>
          <w:marRight w:val="0"/>
          <w:marTop w:val="0"/>
          <w:marBottom w:val="0"/>
          <w:divBdr>
            <w:top w:val="none" w:sz="0" w:space="0" w:color="auto"/>
            <w:left w:val="none" w:sz="0" w:space="0" w:color="auto"/>
            <w:bottom w:val="none" w:sz="0" w:space="0" w:color="auto"/>
            <w:right w:val="none" w:sz="0" w:space="0" w:color="auto"/>
          </w:divBdr>
        </w:div>
        <w:div w:id="1441410724">
          <w:marLeft w:val="0"/>
          <w:marRight w:val="0"/>
          <w:marTop w:val="0"/>
          <w:marBottom w:val="0"/>
          <w:divBdr>
            <w:top w:val="none" w:sz="0" w:space="0" w:color="auto"/>
            <w:left w:val="none" w:sz="0" w:space="0" w:color="auto"/>
            <w:bottom w:val="none" w:sz="0" w:space="0" w:color="auto"/>
            <w:right w:val="none" w:sz="0" w:space="0" w:color="auto"/>
          </w:divBdr>
        </w:div>
        <w:div w:id="1442146886">
          <w:marLeft w:val="0"/>
          <w:marRight w:val="0"/>
          <w:marTop w:val="0"/>
          <w:marBottom w:val="0"/>
          <w:divBdr>
            <w:top w:val="none" w:sz="0" w:space="0" w:color="auto"/>
            <w:left w:val="none" w:sz="0" w:space="0" w:color="auto"/>
            <w:bottom w:val="none" w:sz="0" w:space="0" w:color="auto"/>
            <w:right w:val="none" w:sz="0" w:space="0" w:color="auto"/>
          </w:divBdr>
        </w:div>
        <w:div w:id="1446928168">
          <w:marLeft w:val="0"/>
          <w:marRight w:val="0"/>
          <w:marTop w:val="0"/>
          <w:marBottom w:val="0"/>
          <w:divBdr>
            <w:top w:val="none" w:sz="0" w:space="0" w:color="auto"/>
            <w:left w:val="none" w:sz="0" w:space="0" w:color="auto"/>
            <w:bottom w:val="none" w:sz="0" w:space="0" w:color="auto"/>
            <w:right w:val="none" w:sz="0" w:space="0" w:color="auto"/>
          </w:divBdr>
        </w:div>
        <w:div w:id="1448238221">
          <w:marLeft w:val="0"/>
          <w:marRight w:val="0"/>
          <w:marTop w:val="0"/>
          <w:marBottom w:val="0"/>
          <w:divBdr>
            <w:top w:val="none" w:sz="0" w:space="0" w:color="auto"/>
            <w:left w:val="none" w:sz="0" w:space="0" w:color="auto"/>
            <w:bottom w:val="none" w:sz="0" w:space="0" w:color="auto"/>
            <w:right w:val="none" w:sz="0" w:space="0" w:color="auto"/>
          </w:divBdr>
        </w:div>
        <w:div w:id="1448818407">
          <w:marLeft w:val="0"/>
          <w:marRight w:val="0"/>
          <w:marTop w:val="0"/>
          <w:marBottom w:val="0"/>
          <w:divBdr>
            <w:top w:val="none" w:sz="0" w:space="0" w:color="auto"/>
            <w:left w:val="none" w:sz="0" w:space="0" w:color="auto"/>
            <w:bottom w:val="none" w:sz="0" w:space="0" w:color="auto"/>
            <w:right w:val="none" w:sz="0" w:space="0" w:color="auto"/>
          </w:divBdr>
        </w:div>
        <w:div w:id="1449936471">
          <w:marLeft w:val="0"/>
          <w:marRight w:val="0"/>
          <w:marTop w:val="0"/>
          <w:marBottom w:val="0"/>
          <w:divBdr>
            <w:top w:val="none" w:sz="0" w:space="0" w:color="auto"/>
            <w:left w:val="none" w:sz="0" w:space="0" w:color="auto"/>
            <w:bottom w:val="none" w:sz="0" w:space="0" w:color="auto"/>
            <w:right w:val="none" w:sz="0" w:space="0" w:color="auto"/>
          </w:divBdr>
        </w:div>
        <w:div w:id="1450079590">
          <w:marLeft w:val="0"/>
          <w:marRight w:val="0"/>
          <w:marTop w:val="0"/>
          <w:marBottom w:val="0"/>
          <w:divBdr>
            <w:top w:val="none" w:sz="0" w:space="0" w:color="auto"/>
            <w:left w:val="none" w:sz="0" w:space="0" w:color="auto"/>
            <w:bottom w:val="none" w:sz="0" w:space="0" w:color="auto"/>
            <w:right w:val="none" w:sz="0" w:space="0" w:color="auto"/>
          </w:divBdr>
        </w:div>
        <w:div w:id="1450464810">
          <w:marLeft w:val="0"/>
          <w:marRight w:val="0"/>
          <w:marTop w:val="0"/>
          <w:marBottom w:val="0"/>
          <w:divBdr>
            <w:top w:val="none" w:sz="0" w:space="0" w:color="auto"/>
            <w:left w:val="none" w:sz="0" w:space="0" w:color="auto"/>
            <w:bottom w:val="none" w:sz="0" w:space="0" w:color="auto"/>
            <w:right w:val="none" w:sz="0" w:space="0" w:color="auto"/>
          </w:divBdr>
        </w:div>
        <w:div w:id="1450659226">
          <w:marLeft w:val="0"/>
          <w:marRight w:val="0"/>
          <w:marTop w:val="0"/>
          <w:marBottom w:val="0"/>
          <w:divBdr>
            <w:top w:val="none" w:sz="0" w:space="0" w:color="auto"/>
            <w:left w:val="none" w:sz="0" w:space="0" w:color="auto"/>
            <w:bottom w:val="none" w:sz="0" w:space="0" w:color="auto"/>
            <w:right w:val="none" w:sz="0" w:space="0" w:color="auto"/>
          </w:divBdr>
        </w:div>
        <w:div w:id="1450662049">
          <w:marLeft w:val="0"/>
          <w:marRight w:val="0"/>
          <w:marTop w:val="0"/>
          <w:marBottom w:val="0"/>
          <w:divBdr>
            <w:top w:val="none" w:sz="0" w:space="0" w:color="auto"/>
            <w:left w:val="none" w:sz="0" w:space="0" w:color="auto"/>
            <w:bottom w:val="none" w:sz="0" w:space="0" w:color="auto"/>
            <w:right w:val="none" w:sz="0" w:space="0" w:color="auto"/>
          </w:divBdr>
        </w:div>
        <w:div w:id="1451392607">
          <w:marLeft w:val="0"/>
          <w:marRight w:val="0"/>
          <w:marTop w:val="0"/>
          <w:marBottom w:val="0"/>
          <w:divBdr>
            <w:top w:val="none" w:sz="0" w:space="0" w:color="auto"/>
            <w:left w:val="none" w:sz="0" w:space="0" w:color="auto"/>
            <w:bottom w:val="none" w:sz="0" w:space="0" w:color="auto"/>
            <w:right w:val="none" w:sz="0" w:space="0" w:color="auto"/>
          </w:divBdr>
        </w:div>
        <w:div w:id="1452284438">
          <w:marLeft w:val="0"/>
          <w:marRight w:val="0"/>
          <w:marTop w:val="0"/>
          <w:marBottom w:val="0"/>
          <w:divBdr>
            <w:top w:val="none" w:sz="0" w:space="0" w:color="auto"/>
            <w:left w:val="none" w:sz="0" w:space="0" w:color="auto"/>
            <w:bottom w:val="none" w:sz="0" w:space="0" w:color="auto"/>
            <w:right w:val="none" w:sz="0" w:space="0" w:color="auto"/>
          </w:divBdr>
        </w:div>
        <w:div w:id="1452356949">
          <w:marLeft w:val="0"/>
          <w:marRight w:val="0"/>
          <w:marTop w:val="0"/>
          <w:marBottom w:val="0"/>
          <w:divBdr>
            <w:top w:val="none" w:sz="0" w:space="0" w:color="auto"/>
            <w:left w:val="none" w:sz="0" w:space="0" w:color="auto"/>
            <w:bottom w:val="none" w:sz="0" w:space="0" w:color="auto"/>
            <w:right w:val="none" w:sz="0" w:space="0" w:color="auto"/>
          </w:divBdr>
        </w:div>
        <w:div w:id="1453817393">
          <w:marLeft w:val="0"/>
          <w:marRight w:val="0"/>
          <w:marTop w:val="0"/>
          <w:marBottom w:val="0"/>
          <w:divBdr>
            <w:top w:val="none" w:sz="0" w:space="0" w:color="auto"/>
            <w:left w:val="none" w:sz="0" w:space="0" w:color="auto"/>
            <w:bottom w:val="none" w:sz="0" w:space="0" w:color="auto"/>
            <w:right w:val="none" w:sz="0" w:space="0" w:color="auto"/>
          </w:divBdr>
        </w:div>
        <w:div w:id="1455248154">
          <w:marLeft w:val="0"/>
          <w:marRight w:val="0"/>
          <w:marTop w:val="0"/>
          <w:marBottom w:val="0"/>
          <w:divBdr>
            <w:top w:val="none" w:sz="0" w:space="0" w:color="auto"/>
            <w:left w:val="none" w:sz="0" w:space="0" w:color="auto"/>
            <w:bottom w:val="none" w:sz="0" w:space="0" w:color="auto"/>
            <w:right w:val="none" w:sz="0" w:space="0" w:color="auto"/>
          </w:divBdr>
          <w:divsChild>
            <w:div w:id="71393442">
              <w:marLeft w:val="0"/>
              <w:marRight w:val="0"/>
              <w:marTop w:val="0"/>
              <w:marBottom w:val="0"/>
              <w:divBdr>
                <w:top w:val="none" w:sz="0" w:space="0" w:color="auto"/>
                <w:left w:val="none" w:sz="0" w:space="0" w:color="auto"/>
                <w:bottom w:val="none" w:sz="0" w:space="0" w:color="auto"/>
                <w:right w:val="none" w:sz="0" w:space="0" w:color="auto"/>
              </w:divBdr>
            </w:div>
            <w:div w:id="113254215">
              <w:marLeft w:val="0"/>
              <w:marRight w:val="0"/>
              <w:marTop w:val="0"/>
              <w:marBottom w:val="0"/>
              <w:divBdr>
                <w:top w:val="none" w:sz="0" w:space="0" w:color="auto"/>
                <w:left w:val="none" w:sz="0" w:space="0" w:color="auto"/>
                <w:bottom w:val="none" w:sz="0" w:space="0" w:color="auto"/>
                <w:right w:val="none" w:sz="0" w:space="0" w:color="auto"/>
              </w:divBdr>
            </w:div>
            <w:div w:id="237983227">
              <w:marLeft w:val="0"/>
              <w:marRight w:val="0"/>
              <w:marTop w:val="0"/>
              <w:marBottom w:val="0"/>
              <w:divBdr>
                <w:top w:val="none" w:sz="0" w:space="0" w:color="auto"/>
                <w:left w:val="none" w:sz="0" w:space="0" w:color="auto"/>
                <w:bottom w:val="none" w:sz="0" w:space="0" w:color="auto"/>
                <w:right w:val="none" w:sz="0" w:space="0" w:color="auto"/>
              </w:divBdr>
            </w:div>
            <w:div w:id="389229643">
              <w:marLeft w:val="0"/>
              <w:marRight w:val="0"/>
              <w:marTop w:val="0"/>
              <w:marBottom w:val="0"/>
              <w:divBdr>
                <w:top w:val="none" w:sz="0" w:space="0" w:color="auto"/>
                <w:left w:val="none" w:sz="0" w:space="0" w:color="auto"/>
                <w:bottom w:val="none" w:sz="0" w:space="0" w:color="auto"/>
                <w:right w:val="none" w:sz="0" w:space="0" w:color="auto"/>
              </w:divBdr>
            </w:div>
            <w:div w:id="441994823">
              <w:marLeft w:val="0"/>
              <w:marRight w:val="0"/>
              <w:marTop w:val="0"/>
              <w:marBottom w:val="0"/>
              <w:divBdr>
                <w:top w:val="none" w:sz="0" w:space="0" w:color="auto"/>
                <w:left w:val="none" w:sz="0" w:space="0" w:color="auto"/>
                <w:bottom w:val="none" w:sz="0" w:space="0" w:color="auto"/>
                <w:right w:val="none" w:sz="0" w:space="0" w:color="auto"/>
              </w:divBdr>
            </w:div>
            <w:div w:id="528955384">
              <w:marLeft w:val="0"/>
              <w:marRight w:val="0"/>
              <w:marTop w:val="0"/>
              <w:marBottom w:val="0"/>
              <w:divBdr>
                <w:top w:val="none" w:sz="0" w:space="0" w:color="auto"/>
                <w:left w:val="none" w:sz="0" w:space="0" w:color="auto"/>
                <w:bottom w:val="none" w:sz="0" w:space="0" w:color="auto"/>
                <w:right w:val="none" w:sz="0" w:space="0" w:color="auto"/>
              </w:divBdr>
            </w:div>
            <w:div w:id="665862896">
              <w:marLeft w:val="0"/>
              <w:marRight w:val="0"/>
              <w:marTop w:val="0"/>
              <w:marBottom w:val="0"/>
              <w:divBdr>
                <w:top w:val="none" w:sz="0" w:space="0" w:color="auto"/>
                <w:left w:val="none" w:sz="0" w:space="0" w:color="auto"/>
                <w:bottom w:val="none" w:sz="0" w:space="0" w:color="auto"/>
                <w:right w:val="none" w:sz="0" w:space="0" w:color="auto"/>
              </w:divBdr>
            </w:div>
            <w:div w:id="689919330">
              <w:marLeft w:val="0"/>
              <w:marRight w:val="0"/>
              <w:marTop w:val="0"/>
              <w:marBottom w:val="0"/>
              <w:divBdr>
                <w:top w:val="none" w:sz="0" w:space="0" w:color="auto"/>
                <w:left w:val="none" w:sz="0" w:space="0" w:color="auto"/>
                <w:bottom w:val="none" w:sz="0" w:space="0" w:color="auto"/>
                <w:right w:val="none" w:sz="0" w:space="0" w:color="auto"/>
              </w:divBdr>
            </w:div>
            <w:div w:id="940651909">
              <w:marLeft w:val="0"/>
              <w:marRight w:val="0"/>
              <w:marTop w:val="0"/>
              <w:marBottom w:val="0"/>
              <w:divBdr>
                <w:top w:val="none" w:sz="0" w:space="0" w:color="auto"/>
                <w:left w:val="none" w:sz="0" w:space="0" w:color="auto"/>
                <w:bottom w:val="none" w:sz="0" w:space="0" w:color="auto"/>
                <w:right w:val="none" w:sz="0" w:space="0" w:color="auto"/>
              </w:divBdr>
            </w:div>
            <w:div w:id="1011293865">
              <w:marLeft w:val="0"/>
              <w:marRight w:val="0"/>
              <w:marTop w:val="0"/>
              <w:marBottom w:val="0"/>
              <w:divBdr>
                <w:top w:val="none" w:sz="0" w:space="0" w:color="auto"/>
                <w:left w:val="none" w:sz="0" w:space="0" w:color="auto"/>
                <w:bottom w:val="none" w:sz="0" w:space="0" w:color="auto"/>
                <w:right w:val="none" w:sz="0" w:space="0" w:color="auto"/>
              </w:divBdr>
            </w:div>
            <w:div w:id="1023167343">
              <w:marLeft w:val="0"/>
              <w:marRight w:val="0"/>
              <w:marTop w:val="0"/>
              <w:marBottom w:val="0"/>
              <w:divBdr>
                <w:top w:val="none" w:sz="0" w:space="0" w:color="auto"/>
                <w:left w:val="none" w:sz="0" w:space="0" w:color="auto"/>
                <w:bottom w:val="none" w:sz="0" w:space="0" w:color="auto"/>
                <w:right w:val="none" w:sz="0" w:space="0" w:color="auto"/>
              </w:divBdr>
            </w:div>
            <w:div w:id="1030884934">
              <w:marLeft w:val="0"/>
              <w:marRight w:val="0"/>
              <w:marTop w:val="0"/>
              <w:marBottom w:val="0"/>
              <w:divBdr>
                <w:top w:val="none" w:sz="0" w:space="0" w:color="auto"/>
                <w:left w:val="none" w:sz="0" w:space="0" w:color="auto"/>
                <w:bottom w:val="none" w:sz="0" w:space="0" w:color="auto"/>
                <w:right w:val="none" w:sz="0" w:space="0" w:color="auto"/>
              </w:divBdr>
            </w:div>
            <w:div w:id="1210532102">
              <w:marLeft w:val="0"/>
              <w:marRight w:val="0"/>
              <w:marTop w:val="0"/>
              <w:marBottom w:val="0"/>
              <w:divBdr>
                <w:top w:val="none" w:sz="0" w:space="0" w:color="auto"/>
                <w:left w:val="none" w:sz="0" w:space="0" w:color="auto"/>
                <w:bottom w:val="none" w:sz="0" w:space="0" w:color="auto"/>
                <w:right w:val="none" w:sz="0" w:space="0" w:color="auto"/>
              </w:divBdr>
            </w:div>
            <w:div w:id="1400253159">
              <w:marLeft w:val="0"/>
              <w:marRight w:val="0"/>
              <w:marTop w:val="0"/>
              <w:marBottom w:val="0"/>
              <w:divBdr>
                <w:top w:val="none" w:sz="0" w:space="0" w:color="auto"/>
                <w:left w:val="none" w:sz="0" w:space="0" w:color="auto"/>
                <w:bottom w:val="none" w:sz="0" w:space="0" w:color="auto"/>
                <w:right w:val="none" w:sz="0" w:space="0" w:color="auto"/>
              </w:divBdr>
            </w:div>
            <w:div w:id="1523008512">
              <w:marLeft w:val="0"/>
              <w:marRight w:val="0"/>
              <w:marTop w:val="0"/>
              <w:marBottom w:val="0"/>
              <w:divBdr>
                <w:top w:val="none" w:sz="0" w:space="0" w:color="auto"/>
                <w:left w:val="none" w:sz="0" w:space="0" w:color="auto"/>
                <w:bottom w:val="none" w:sz="0" w:space="0" w:color="auto"/>
                <w:right w:val="none" w:sz="0" w:space="0" w:color="auto"/>
              </w:divBdr>
            </w:div>
            <w:div w:id="1613786132">
              <w:marLeft w:val="0"/>
              <w:marRight w:val="0"/>
              <w:marTop w:val="0"/>
              <w:marBottom w:val="0"/>
              <w:divBdr>
                <w:top w:val="none" w:sz="0" w:space="0" w:color="auto"/>
                <w:left w:val="none" w:sz="0" w:space="0" w:color="auto"/>
                <w:bottom w:val="none" w:sz="0" w:space="0" w:color="auto"/>
                <w:right w:val="none" w:sz="0" w:space="0" w:color="auto"/>
              </w:divBdr>
            </w:div>
            <w:div w:id="1697657687">
              <w:marLeft w:val="0"/>
              <w:marRight w:val="0"/>
              <w:marTop w:val="0"/>
              <w:marBottom w:val="0"/>
              <w:divBdr>
                <w:top w:val="none" w:sz="0" w:space="0" w:color="auto"/>
                <w:left w:val="none" w:sz="0" w:space="0" w:color="auto"/>
                <w:bottom w:val="none" w:sz="0" w:space="0" w:color="auto"/>
                <w:right w:val="none" w:sz="0" w:space="0" w:color="auto"/>
              </w:divBdr>
            </w:div>
            <w:div w:id="2031908731">
              <w:marLeft w:val="0"/>
              <w:marRight w:val="0"/>
              <w:marTop w:val="0"/>
              <w:marBottom w:val="0"/>
              <w:divBdr>
                <w:top w:val="none" w:sz="0" w:space="0" w:color="auto"/>
                <w:left w:val="none" w:sz="0" w:space="0" w:color="auto"/>
                <w:bottom w:val="none" w:sz="0" w:space="0" w:color="auto"/>
                <w:right w:val="none" w:sz="0" w:space="0" w:color="auto"/>
              </w:divBdr>
            </w:div>
          </w:divsChild>
        </w:div>
        <w:div w:id="1456481536">
          <w:marLeft w:val="0"/>
          <w:marRight w:val="0"/>
          <w:marTop w:val="0"/>
          <w:marBottom w:val="0"/>
          <w:divBdr>
            <w:top w:val="none" w:sz="0" w:space="0" w:color="auto"/>
            <w:left w:val="none" w:sz="0" w:space="0" w:color="auto"/>
            <w:bottom w:val="none" w:sz="0" w:space="0" w:color="auto"/>
            <w:right w:val="none" w:sz="0" w:space="0" w:color="auto"/>
          </w:divBdr>
        </w:div>
        <w:div w:id="1456951527">
          <w:marLeft w:val="0"/>
          <w:marRight w:val="0"/>
          <w:marTop w:val="0"/>
          <w:marBottom w:val="0"/>
          <w:divBdr>
            <w:top w:val="none" w:sz="0" w:space="0" w:color="auto"/>
            <w:left w:val="none" w:sz="0" w:space="0" w:color="auto"/>
            <w:bottom w:val="none" w:sz="0" w:space="0" w:color="auto"/>
            <w:right w:val="none" w:sz="0" w:space="0" w:color="auto"/>
          </w:divBdr>
        </w:div>
        <w:div w:id="1457285991">
          <w:marLeft w:val="0"/>
          <w:marRight w:val="0"/>
          <w:marTop w:val="0"/>
          <w:marBottom w:val="0"/>
          <w:divBdr>
            <w:top w:val="none" w:sz="0" w:space="0" w:color="auto"/>
            <w:left w:val="none" w:sz="0" w:space="0" w:color="auto"/>
            <w:bottom w:val="none" w:sz="0" w:space="0" w:color="auto"/>
            <w:right w:val="none" w:sz="0" w:space="0" w:color="auto"/>
          </w:divBdr>
        </w:div>
        <w:div w:id="1457676250">
          <w:marLeft w:val="0"/>
          <w:marRight w:val="0"/>
          <w:marTop w:val="0"/>
          <w:marBottom w:val="0"/>
          <w:divBdr>
            <w:top w:val="none" w:sz="0" w:space="0" w:color="auto"/>
            <w:left w:val="none" w:sz="0" w:space="0" w:color="auto"/>
            <w:bottom w:val="none" w:sz="0" w:space="0" w:color="auto"/>
            <w:right w:val="none" w:sz="0" w:space="0" w:color="auto"/>
          </w:divBdr>
        </w:div>
        <w:div w:id="1458834373">
          <w:marLeft w:val="0"/>
          <w:marRight w:val="0"/>
          <w:marTop w:val="0"/>
          <w:marBottom w:val="0"/>
          <w:divBdr>
            <w:top w:val="none" w:sz="0" w:space="0" w:color="auto"/>
            <w:left w:val="none" w:sz="0" w:space="0" w:color="auto"/>
            <w:bottom w:val="none" w:sz="0" w:space="0" w:color="auto"/>
            <w:right w:val="none" w:sz="0" w:space="0" w:color="auto"/>
          </w:divBdr>
        </w:div>
        <w:div w:id="1462841612">
          <w:marLeft w:val="0"/>
          <w:marRight w:val="0"/>
          <w:marTop w:val="0"/>
          <w:marBottom w:val="0"/>
          <w:divBdr>
            <w:top w:val="none" w:sz="0" w:space="0" w:color="auto"/>
            <w:left w:val="none" w:sz="0" w:space="0" w:color="auto"/>
            <w:bottom w:val="none" w:sz="0" w:space="0" w:color="auto"/>
            <w:right w:val="none" w:sz="0" w:space="0" w:color="auto"/>
          </w:divBdr>
        </w:div>
        <w:div w:id="1462915642">
          <w:marLeft w:val="0"/>
          <w:marRight w:val="0"/>
          <w:marTop w:val="0"/>
          <w:marBottom w:val="0"/>
          <w:divBdr>
            <w:top w:val="none" w:sz="0" w:space="0" w:color="auto"/>
            <w:left w:val="none" w:sz="0" w:space="0" w:color="auto"/>
            <w:bottom w:val="none" w:sz="0" w:space="0" w:color="auto"/>
            <w:right w:val="none" w:sz="0" w:space="0" w:color="auto"/>
          </w:divBdr>
        </w:div>
        <w:div w:id="1465078328">
          <w:marLeft w:val="0"/>
          <w:marRight w:val="0"/>
          <w:marTop w:val="0"/>
          <w:marBottom w:val="0"/>
          <w:divBdr>
            <w:top w:val="none" w:sz="0" w:space="0" w:color="auto"/>
            <w:left w:val="none" w:sz="0" w:space="0" w:color="auto"/>
            <w:bottom w:val="none" w:sz="0" w:space="0" w:color="auto"/>
            <w:right w:val="none" w:sz="0" w:space="0" w:color="auto"/>
          </w:divBdr>
        </w:div>
        <w:div w:id="1465537869">
          <w:marLeft w:val="0"/>
          <w:marRight w:val="0"/>
          <w:marTop w:val="0"/>
          <w:marBottom w:val="0"/>
          <w:divBdr>
            <w:top w:val="none" w:sz="0" w:space="0" w:color="auto"/>
            <w:left w:val="none" w:sz="0" w:space="0" w:color="auto"/>
            <w:bottom w:val="none" w:sz="0" w:space="0" w:color="auto"/>
            <w:right w:val="none" w:sz="0" w:space="0" w:color="auto"/>
          </w:divBdr>
        </w:div>
        <w:div w:id="1466384513">
          <w:marLeft w:val="0"/>
          <w:marRight w:val="0"/>
          <w:marTop w:val="0"/>
          <w:marBottom w:val="0"/>
          <w:divBdr>
            <w:top w:val="none" w:sz="0" w:space="0" w:color="auto"/>
            <w:left w:val="none" w:sz="0" w:space="0" w:color="auto"/>
            <w:bottom w:val="none" w:sz="0" w:space="0" w:color="auto"/>
            <w:right w:val="none" w:sz="0" w:space="0" w:color="auto"/>
          </w:divBdr>
        </w:div>
        <w:div w:id="1466968734">
          <w:marLeft w:val="0"/>
          <w:marRight w:val="0"/>
          <w:marTop w:val="0"/>
          <w:marBottom w:val="0"/>
          <w:divBdr>
            <w:top w:val="none" w:sz="0" w:space="0" w:color="auto"/>
            <w:left w:val="none" w:sz="0" w:space="0" w:color="auto"/>
            <w:bottom w:val="none" w:sz="0" w:space="0" w:color="auto"/>
            <w:right w:val="none" w:sz="0" w:space="0" w:color="auto"/>
          </w:divBdr>
        </w:div>
        <w:div w:id="1467696376">
          <w:marLeft w:val="0"/>
          <w:marRight w:val="0"/>
          <w:marTop w:val="0"/>
          <w:marBottom w:val="0"/>
          <w:divBdr>
            <w:top w:val="none" w:sz="0" w:space="0" w:color="auto"/>
            <w:left w:val="none" w:sz="0" w:space="0" w:color="auto"/>
            <w:bottom w:val="none" w:sz="0" w:space="0" w:color="auto"/>
            <w:right w:val="none" w:sz="0" w:space="0" w:color="auto"/>
          </w:divBdr>
        </w:div>
        <w:div w:id="1467698528">
          <w:marLeft w:val="0"/>
          <w:marRight w:val="0"/>
          <w:marTop w:val="0"/>
          <w:marBottom w:val="0"/>
          <w:divBdr>
            <w:top w:val="none" w:sz="0" w:space="0" w:color="auto"/>
            <w:left w:val="none" w:sz="0" w:space="0" w:color="auto"/>
            <w:bottom w:val="none" w:sz="0" w:space="0" w:color="auto"/>
            <w:right w:val="none" w:sz="0" w:space="0" w:color="auto"/>
          </w:divBdr>
        </w:div>
        <w:div w:id="1468620289">
          <w:marLeft w:val="0"/>
          <w:marRight w:val="0"/>
          <w:marTop w:val="0"/>
          <w:marBottom w:val="0"/>
          <w:divBdr>
            <w:top w:val="none" w:sz="0" w:space="0" w:color="auto"/>
            <w:left w:val="none" w:sz="0" w:space="0" w:color="auto"/>
            <w:bottom w:val="none" w:sz="0" w:space="0" w:color="auto"/>
            <w:right w:val="none" w:sz="0" w:space="0" w:color="auto"/>
          </w:divBdr>
        </w:div>
        <w:div w:id="1469588460">
          <w:marLeft w:val="0"/>
          <w:marRight w:val="0"/>
          <w:marTop w:val="0"/>
          <w:marBottom w:val="0"/>
          <w:divBdr>
            <w:top w:val="none" w:sz="0" w:space="0" w:color="auto"/>
            <w:left w:val="none" w:sz="0" w:space="0" w:color="auto"/>
            <w:bottom w:val="none" w:sz="0" w:space="0" w:color="auto"/>
            <w:right w:val="none" w:sz="0" w:space="0" w:color="auto"/>
          </w:divBdr>
        </w:div>
        <w:div w:id="1470787112">
          <w:marLeft w:val="0"/>
          <w:marRight w:val="0"/>
          <w:marTop w:val="0"/>
          <w:marBottom w:val="0"/>
          <w:divBdr>
            <w:top w:val="none" w:sz="0" w:space="0" w:color="auto"/>
            <w:left w:val="none" w:sz="0" w:space="0" w:color="auto"/>
            <w:bottom w:val="none" w:sz="0" w:space="0" w:color="auto"/>
            <w:right w:val="none" w:sz="0" w:space="0" w:color="auto"/>
          </w:divBdr>
        </w:div>
        <w:div w:id="1471094648">
          <w:marLeft w:val="0"/>
          <w:marRight w:val="0"/>
          <w:marTop w:val="0"/>
          <w:marBottom w:val="0"/>
          <w:divBdr>
            <w:top w:val="none" w:sz="0" w:space="0" w:color="auto"/>
            <w:left w:val="none" w:sz="0" w:space="0" w:color="auto"/>
            <w:bottom w:val="none" w:sz="0" w:space="0" w:color="auto"/>
            <w:right w:val="none" w:sz="0" w:space="0" w:color="auto"/>
          </w:divBdr>
        </w:div>
        <w:div w:id="1471244252">
          <w:marLeft w:val="0"/>
          <w:marRight w:val="0"/>
          <w:marTop w:val="0"/>
          <w:marBottom w:val="0"/>
          <w:divBdr>
            <w:top w:val="none" w:sz="0" w:space="0" w:color="auto"/>
            <w:left w:val="none" w:sz="0" w:space="0" w:color="auto"/>
            <w:bottom w:val="none" w:sz="0" w:space="0" w:color="auto"/>
            <w:right w:val="none" w:sz="0" w:space="0" w:color="auto"/>
          </w:divBdr>
          <w:divsChild>
            <w:div w:id="4064016">
              <w:marLeft w:val="0"/>
              <w:marRight w:val="0"/>
              <w:marTop w:val="0"/>
              <w:marBottom w:val="0"/>
              <w:divBdr>
                <w:top w:val="none" w:sz="0" w:space="0" w:color="auto"/>
                <w:left w:val="none" w:sz="0" w:space="0" w:color="auto"/>
                <w:bottom w:val="none" w:sz="0" w:space="0" w:color="auto"/>
                <w:right w:val="none" w:sz="0" w:space="0" w:color="auto"/>
              </w:divBdr>
            </w:div>
            <w:div w:id="220093841">
              <w:marLeft w:val="0"/>
              <w:marRight w:val="0"/>
              <w:marTop w:val="0"/>
              <w:marBottom w:val="0"/>
              <w:divBdr>
                <w:top w:val="none" w:sz="0" w:space="0" w:color="auto"/>
                <w:left w:val="none" w:sz="0" w:space="0" w:color="auto"/>
                <w:bottom w:val="none" w:sz="0" w:space="0" w:color="auto"/>
                <w:right w:val="none" w:sz="0" w:space="0" w:color="auto"/>
              </w:divBdr>
            </w:div>
            <w:div w:id="282730599">
              <w:marLeft w:val="0"/>
              <w:marRight w:val="0"/>
              <w:marTop w:val="0"/>
              <w:marBottom w:val="0"/>
              <w:divBdr>
                <w:top w:val="none" w:sz="0" w:space="0" w:color="auto"/>
                <w:left w:val="none" w:sz="0" w:space="0" w:color="auto"/>
                <w:bottom w:val="none" w:sz="0" w:space="0" w:color="auto"/>
                <w:right w:val="none" w:sz="0" w:space="0" w:color="auto"/>
              </w:divBdr>
            </w:div>
            <w:div w:id="654258416">
              <w:marLeft w:val="0"/>
              <w:marRight w:val="0"/>
              <w:marTop w:val="0"/>
              <w:marBottom w:val="0"/>
              <w:divBdr>
                <w:top w:val="none" w:sz="0" w:space="0" w:color="auto"/>
                <w:left w:val="none" w:sz="0" w:space="0" w:color="auto"/>
                <w:bottom w:val="none" w:sz="0" w:space="0" w:color="auto"/>
                <w:right w:val="none" w:sz="0" w:space="0" w:color="auto"/>
              </w:divBdr>
            </w:div>
            <w:div w:id="657465794">
              <w:marLeft w:val="0"/>
              <w:marRight w:val="0"/>
              <w:marTop w:val="0"/>
              <w:marBottom w:val="0"/>
              <w:divBdr>
                <w:top w:val="none" w:sz="0" w:space="0" w:color="auto"/>
                <w:left w:val="none" w:sz="0" w:space="0" w:color="auto"/>
                <w:bottom w:val="none" w:sz="0" w:space="0" w:color="auto"/>
                <w:right w:val="none" w:sz="0" w:space="0" w:color="auto"/>
              </w:divBdr>
            </w:div>
            <w:div w:id="828792494">
              <w:marLeft w:val="0"/>
              <w:marRight w:val="0"/>
              <w:marTop w:val="0"/>
              <w:marBottom w:val="0"/>
              <w:divBdr>
                <w:top w:val="none" w:sz="0" w:space="0" w:color="auto"/>
                <w:left w:val="none" w:sz="0" w:space="0" w:color="auto"/>
                <w:bottom w:val="none" w:sz="0" w:space="0" w:color="auto"/>
                <w:right w:val="none" w:sz="0" w:space="0" w:color="auto"/>
              </w:divBdr>
            </w:div>
            <w:div w:id="1084255704">
              <w:marLeft w:val="0"/>
              <w:marRight w:val="0"/>
              <w:marTop w:val="0"/>
              <w:marBottom w:val="0"/>
              <w:divBdr>
                <w:top w:val="none" w:sz="0" w:space="0" w:color="auto"/>
                <w:left w:val="none" w:sz="0" w:space="0" w:color="auto"/>
                <w:bottom w:val="none" w:sz="0" w:space="0" w:color="auto"/>
                <w:right w:val="none" w:sz="0" w:space="0" w:color="auto"/>
              </w:divBdr>
            </w:div>
            <w:div w:id="1351759027">
              <w:marLeft w:val="0"/>
              <w:marRight w:val="0"/>
              <w:marTop w:val="0"/>
              <w:marBottom w:val="0"/>
              <w:divBdr>
                <w:top w:val="none" w:sz="0" w:space="0" w:color="auto"/>
                <w:left w:val="none" w:sz="0" w:space="0" w:color="auto"/>
                <w:bottom w:val="none" w:sz="0" w:space="0" w:color="auto"/>
                <w:right w:val="none" w:sz="0" w:space="0" w:color="auto"/>
              </w:divBdr>
            </w:div>
            <w:div w:id="1409494305">
              <w:marLeft w:val="0"/>
              <w:marRight w:val="0"/>
              <w:marTop w:val="0"/>
              <w:marBottom w:val="0"/>
              <w:divBdr>
                <w:top w:val="none" w:sz="0" w:space="0" w:color="auto"/>
                <w:left w:val="none" w:sz="0" w:space="0" w:color="auto"/>
                <w:bottom w:val="none" w:sz="0" w:space="0" w:color="auto"/>
                <w:right w:val="none" w:sz="0" w:space="0" w:color="auto"/>
              </w:divBdr>
            </w:div>
            <w:div w:id="1570923283">
              <w:marLeft w:val="0"/>
              <w:marRight w:val="0"/>
              <w:marTop w:val="0"/>
              <w:marBottom w:val="0"/>
              <w:divBdr>
                <w:top w:val="none" w:sz="0" w:space="0" w:color="auto"/>
                <w:left w:val="none" w:sz="0" w:space="0" w:color="auto"/>
                <w:bottom w:val="none" w:sz="0" w:space="0" w:color="auto"/>
                <w:right w:val="none" w:sz="0" w:space="0" w:color="auto"/>
              </w:divBdr>
            </w:div>
            <w:div w:id="1619409623">
              <w:marLeft w:val="0"/>
              <w:marRight w:val="0"/>
              <w:marTop w:val="0"/>
              <w:marBottom w:val="0"/>
              <w:divBdr>
                <w:top w:val="none" w:sz="0" w:space="0" w:color="auto"/>
                <w:left w:val="none" w:sz="0" w:space="0" w:color="auto"/>
                <w:bottom w:val="none" w:sz="0" w:space="0" w:color="auto"/>
                <w:right w:val="none" w:sz="0" w:space="0" w:color="auto"/>
              </w:divBdr>
            </w:div>
            <w:div w:id="1667174295">
              <w:marLeft w:val="0"/>
              <w:marRight w:val="0"/>
              <w:marTop w:val="0"/>
              <w:marBottom w:val="0"/>
              <w:divBdr>
                <w:top w:val="none" w:sz="0" w:space="0" w:color="auto"/>
                <w:left w:val="none" w:sz="0" w:space="0" w:color="auto"/>
                <w:bottom w:val="none" w:sz="0" w:space="0" w:color="auto"/>
                <w:right w:val="none" w:sz="0" w:space="0" w:color="auto"/>
              </w:divBdr>
            </w:div>
            <w:div w:id="1747723091">
              <w:marLeft w:val="0"/>
              <w:marRight w:val="0"/>
              <w:marTop w:val="0"/>
              <w:marBottom w:val="0"/>
              <w:divBdr>
                <w:top w:val="none" w:sz="0" w:space="0" w:color="auto"/>
                <w:left w:val="none" w:sz="0" w:space="0" w:color="auto"/>
                <w:bottom w:val="none" w:sz="0" w:space="0" w:color="auto"/>
                <w:right w:val="none" w:sz="0" w:space="0" w:color="auto"/>
              </w:divBdr>
            </w:div>
          </w:divsChild>
        </w:div>
        <w:div w:id="1471747815">
          <w:marLeft w:val="0"/>
          <w:marRight w:val="0"/>
          <w:marTop w:val="0"/>
          <w:marBottom w:val="0"/>
          <w:divBdr>
            <w:top w:val="none" w:sz="0" w:space="0" w:color="auto"/>
            <w:left w:val="none" w:sz="0" w:space="0" w:color="auto"/>
            <w:bottom w:val="none" w:sz="0" w:space="0" w:color="auto"/>
            <w:right w:val="none" w:sz="0" w:space="0" w:color="auto"/>
          </w:divBdr>
        </w:div>
        <w:div w:id="1472408058">
          <w:marLeft w:val="0"/>
          <w:marRight w:val="0"/>
          <w:marTop w:val="0"/>
          <w:marBottom w:val="0"/>
          <w:divBdr>
            <w:top w:val="none" w:sz="0" w:space="0" w:color="auto"/>
            <w:left w:val="none" w:sz="0" w:space="0" w:color="auto"/>
            <w:bottom w:val="none" w:sz="0" w:space="0" w:color="auto"/>
            <w:right w:val="none" w:sz="0" w:space="0" w:color="auto"/>
          </w:divBdr>
        </w:div>
        <w:div w:id="1473597057">
          <w:marLeft w:val="0"/>
          <w:marRight w:val="0"/>
          <w:marTop w:val="0"/>
          <w:marBottom w:val="0"/>
          <w:divBdr>
            <w:top w:val="none" w:sz="0" w:space="0" w:color="auto"/>
            <w:left w:val="none" w:sz="0" w:space="0" w:color="auto"/>
            <w:bottom w:val="none" w:sz="0" w:space="0" w:color="auto"/>
            <w:right w:val="none" w:sz="0" w:space="0" w:color="auto"/>
          </w:divBdr>
        </w:div>
        <w:div w:id="1474983847">
          <w:marLeft w:val="0"/>
          <w:marRight w:val="0"/>
          <w:marTop w:val="0"/>
          <w:marBottom w:val="0"/>
          <w:divBdr>
            <w:top w:val="none" w:sz="0" w:space="0" w:color="auto"/>
            <w:left w:val="none" w:sz="0" w:space="0" w:color="auto"/>
            <w:bottom w:val="none" w:sz="0" w:space="0" w:color="auto"/>
            <w:right w:val="none" w:sz="0" w:space="0" w:color="auto"/>
          </w:divBdr>
        </w:div>
        <w:div w:id="1475215479">
          <w:marLeft w:val="0"/>
          <w:marRight w:val="0"/>
          <w:marTop w:val="0"/>
          <w:marBottom w:val="0"/>
          <w:divBdr>
            <w:top w:val="none" w:sz="0" w:space="0" w:color="auto"/>
            <w:left w:val="none" w:sz="0" w:space="0" w:color="auto"/>
            <w:bottom w:val="none" w:sz="0" w:space="0" w:color="auto"/>
            <w:right w:val="none" w:sz="0" w:space="0" w:color="auto"/>
          </w:divBdr>
        </w:div>
        <w:div w:id="1476601397">
          <w:marLeft w:val="0"/>
          <w:marRight w:val="0"/>
          <w:marTop w:val="0"/>
          <w:marBottom w:val="0"/>
          <w:divBdr>
            <w:top w:val="none" w:sz="0" w:space="0" w:color="auto"/>
            <w:left w:val="none" w:sz="0" w:space="0" w:color="auto"/>
            <w:bottom w:val="none" w:sz="0" w:space="0" w:color="auto"/>
            <w:right w:val="none" w:sz="0" w:space="0" w:color="auto"/>
          </w:divBdr>
        </w:div>
        <w:div w:id="1479804061">
          <w:marLeft w:val="0"/>
          <w:marRight w:val="0"/>
          <w:marTop w:val="0"/>
          <w:marBottom w:val="0"/>
          <w:divBdr>
            <w:top w:val="none" w:sz="0" w:space="0" w:color="auto"/>
            <w:left w:val="none" w:sz="0" w:space="0" w:color="auto"/>
            <w:bottom w:val="none" w:sz="0" w:space="0" w:color="auto"/>
            <w:right w:val="none" w:sz="0" w:space="0" w:color="auto"/>
          </w:divBdr>
        </w:div>
        <w:div w:id="1480615866">
          <w:marLeft w:val="0"/>
          <w:marRight w:val="0"/>
          <w:marTop w:val="0"/>
          <w:marBottom w:val="0"/>
          <w:divBdr>
            <w:top w:val="none" w:sz="0" w:space="0" w:color="auto"/>
            <w:left w:val="none" w:sz="0" w:space="0" w:color="auto"/>
            <w:bottom w:val="none" w:sz="0" w:space="0" w:color="auto"/>
            <w:right w:val="none" w:sz="0" w:space="0" w:color="auto"/>
          </w:divBdr>
        </w:div>
        <w:div w:id="1481000822">
          <w:marLeft w:val="0"/>
          <w:marRight w:val="0"/>
          <w:marTop w:val="0"/>
          <w:marBottom w:val="0"/>
          <w:divBdr>
            <w:top w:val="none" w:sz="0" w:space="0" w:color="auto"/>
            <w:left w:val="none" w:sz="0" w:space="0" w:color="auto"/>
            <w:bottom w:val="none" w:sz="0" w:space="0" w:color="auto"/>
            <w:right w:val="none" w:sz="0" w:space="0" w:color="auto"/>
          </w:divBdr>
        </w:div>
        <w:div w:id="1482698482">
          <w:marLeft w:val="0"/>
          <w:marRight w:val="0"/>
          <w:marTop w:val="0"/>
          <w:marBottom w:val="0"/>
          <w:divBdr>
            <w:top w:val="none" w:sz="0" w:space="0" w:color="auto"/>
            <w:left w:val="none" w:sz="0" w:space="0" w:color="auto"/>
            <w:bottom w:val="none" w:sz="0" w:space="0" w:color="auto"/>
            <w:right w:val="none" w:sz="0" w:space="0" w:color="auto"/>
          </w:divBdr>
        </w:div>
        <w:div w:id="1482771751">
          <w:marLeft w:val="0"/>
          <w:marRight w:val="0"/>
          <w:marTop w:val="0"/>
          <w:marBottom w:val="0"/>
          <w:divBdr>
            <w:top w:val="none" w:sz="0" w:space="0" w:color="auto"/>
            <w:left w:val="none" w:sz="0" w:space="0" w:color="auto"/>
            <w:bottom w:val="none" w:sz="0" w:space="0" w:color="auto"/>
            <w:right w:val="none" w:sz="0" w:space="0" w:color="auto"/>
          </w:divBdr>
        </w:div>
        <w:div w:id="1484852740">
          <w:marLeft w:val="0"/>
          <w:marRight w:val="0"/>
          <w:marTop w:val="0"/>
          <w:marBottom w:val="0"/>
          <w:divBdr>
            <w:top w:val="none" w:sz="0" w:space="0" w:color="auto"/>
            <w:left w:val="none" w:sz="0" w:space="0" w:color="auto"/>
            <w:bottom w:val="none" w:sz="0" w:space="0" w:color="auto"/>
            <w:right w:val="none" w:sz="0" w:space="0" w:color="auto"/>
          </w:divBdr>
        </w:div>
        <w:div w:id="1485513908">
          <w:marLeft w:val="0"/>
          <w:marRight w:val="0"/>
          <w:marTop w:val="0"/>
          <w:marBottom w:val="0"/>
          <w:divBdr>
            <w:top w:val="none" w:sz="0" w:space="0" w:color="auto"/>
            <w:left w:val="none" w:sz="0" w:space="0" w:color="auto"/>
            <w:bottom w:val="none" w:sz="0" w:space="0" w:color="auto"/>
            <w:right w:val="none" w:sz="0" w:space="0" w:color="auto"/>
          </w:divBdr>
        </w:div>
        <w:div w:id="1489513728">
          <w:marLeft w:val="0"/>
          <w:marRight w:val="0"/>
          <w:marTop w:val="0"/>
          <w:marBottom w:val="0"/>
          <w:divBdr>
            <w:top w:val="none" w:sz="0" w:space="0" w:color="auto"/>
            <w:left w:val="none" w:sz="0" w:space="0" w:color="auto"/>
            <w:bottom w:val="none" w:sz="0" w:space="0" w:color="auto"/>
            <w:right w:val="none" w:sz="0" w:space="0" w:color="auto"/>
          </w:divBdr>
        </w:div>
        <w:div w:id="1490052307">
          <w:marLeft w:val="0"/>
          <w:marRight w:val="0"/>
          <w:marTop w:val="0"/>
          <w:marBottom w:val="0"/>
          <w:divBdr>
            <w:top w:val="none" w:sz="0" w:space="0" w:color="auto"/>
            <w:left w:val="none" w:sz="0" w:space="0" w:color="auto"/>
            <w:bottom w:val="none" w:sz="0" w:space="0" w:color="auto"/>
            <w:right w:val="none" w:sz="0" w:space="0" w:color="auto"/>
          </w:divBdr>
        </w:div>
        <w:div w:id="1494639862">
          <w:marLeft w:val="0"/>
          <w:marRight w:val="0"/>
          <w:marTop w:val="0"/>
          <w:marBottom w:val="0"/>
          <w:divBdr>
            <w:top w:val="none" w:sz="0" w:space="0" w:color="auto"/>
            <w:left w:val="none" w:sz="0" w:space="0" w:color="auto"/>
            <w:bottom w:val="none" w:sz="0" w:space="0" w:color="auto"/>
            <w:right w:val="none" w:sz="0" w:space="0" w:color="auto"/>
          </w:divBdr>
        </w:div>
        <w:div w:id="1495335029">
          <w:marLeft w:val="0"/>
          <w:marRight w:val="0"/>
          <w:marTop w:val="0"/>
          <w:marBottom w:val="0"/>
          <w:divBdr>
            <w:top w:val="none" w:sz="0" w:space="0" w:color="auto"/>
            <w:left w:val="none" w:sz="0" w:space="0" w:color="auto"/>
            <w:bottom w:val="none" w:sz="0" w:space="0" w:color="auto"/>
            <w:right w:val="none" w:sz="0" w:space="0" w:color="auto"/>
          </w:divBdr>
        </w:div>
        <w:div w:id="1498039824">
          <w:marLeft w:val="0"/>
          <w:marRight w:val="0"/>
          <w:marTop w:val="0"/>
          <w:marBottom w:val="0"/>
          <w:divBdr>
            <w:top w:val="none" w:sz="0" w:space="0" w:color="auto"/>
            <w:left w:val="none" w:sz="0" w:space="0" w:color="auto"/>
            <w:bottom w:val="none" w:sz="0" w:space="0" w:color="auto"/>
            <w:right w:val="none" w:sz="0" w:space="0" w:color="auto"/>
          </w:divBdr>
        </w:div>
        <w:div w:id="1498963976">
          <w:marLeft w:val="0"/>
          <w:marRight w:val="0"/>
          <w:marTop w:val="0"/>
          <w:marBottom w:val="0"/>
          <w:divBdr>
            <w:top w:val="none" w:sz="0" w:space="0" w:color="auto"/>
            <w:left w:val="none" w:sz="0" w:space="0" w:color="auto"/>
            <w:bottom w:val="none" w:sz="0" w:space="0" w:color="auto"/>
            <w:right w:val="none" w:sz="0" w:space="0" w:color="auto"/>
          </w:divBdr>
        </w:div>
        <w:div w:id="1501432791">
          <w:marLeft w:val="0"/>
          <w:marRight w:val="0"/>
          <w:marTop w:val="0"/>
          <w:marBottom w:val="0"/>
          <w:divBdr>
            <w:top w:val="none" w:sz="0" w:space="0" w:color="auto"/>
            <w:left w:val="none" w:sz="0" w:space="0" w:color="auto"/>
            <w:bottom w:val="none" w:sz="0" w:space="0" w:color="auto"/>
            <w:right w:val="none" w:sz="0" w:space="0" w:color="auto"/>
          </w:divBdr>
          <w:divsChild>
            <w:div w:id="42799414">
              <w:marLeft w:val="0"/>
              <w:marRight w:val="0"/>
              <w:marTop w:val="0"/>
              <w:marBottom w:val="0"/>
              <w:divBdr>
                <w:top w:val="none" w:sz="0" w:space="0" w:color="auto"/>
                <w:left w:val="none" w:sz="0" w:space="0" w:color="auto"/>
                <w:bottom w:val="none" w:sz="0" w:space="0" w:color="auto"/>
                <w:right w:val="none" w:sz="0" w:space="0" w:color="auto"/>
              </w:divBdr>
            </w:div>
            <w:div w:id="78797237">
              <w:marLeft w:val="0"/>
              <w:marRight w:val="0"/>
              <w:marTop w:val="0"/>
              <w:marBottom w:val="0"/>
              <w:divBdr>
                <w:top w:val="none" w:sz="0" w:space="0" w:color="auto"/>
                <w:left w:val="none" w:sz="0" w:space="0" w:color="auto"/>
                <w:bottom w:val="none" w:sz="0" w:space="0" w:color="auto"/>
                <w:right w:val="none" w:sz="0" w:space="0" w:color="auto"/>
              </w:divBdr>
            </w:div>
            <w:div w:id="137066376">
              <w:marLeft w:val="0"/>
              <w:marRight w:val="0"/>
              <w:marTop w:val="0"/>
              <w:marBottom w:val="0"/>
              <w:divBdr>
                <w:top w:val="none" w:sz="0" w:space="0" w:color="auto"/>
                <w:left w:val="none" w:sz="0" w:space="0" w:color="auto"/>
                <w:bottom w:val="none" w:sz="0" w:space="0" w:color="auto"/>
                <w:right w:val="none" w:sz="0" w:space="0" w:color="auto"/>
              </w:divBdr>
            </w:div>
            <w:div w:id="591594622">
              <w:marLeft w:val="0"/>
              <w:marRight w:val="0"/>
              <w:marTop w:val="0"/>
              <w:marBottom w:val="0"/>
              <w:divBdr>
                <w:top w:val="none" w:sz="0" w:space="0" w:color="auto"/>
                <w:left w:val="none" w:sz="0" w:space="0" w:color="auto"/>
                <w:bottom w:val="none" w:sz="0" w:space="0" w:color="auto"/>
                <w:right w:val="none" w:sz="0" w:space="0" w:color="auto"/>
              </w:divBdr>
            </w:div>
            <w:div w:id="720440329">
              <w:marLeft w:val="0"/>
              <w:marRight w:val="0"/>
              <w:marTop w:val="0"/>
              <w:marBottom w:val="0"/>
              <w:divBdr>
                <w:top w:val="none" w:sz="0" w:space="0" w:color="auto"/>
                <w:left w:val="none" w:sz="0" w:space="0" w:color="auto"/>
                <w:bottom w:val="none" w:sz="0" w:space="0" w:color="auto"/>
                <w:right w:val="none" w:sz="0" w:space="0" w:color="auto"/>
              </w:divBdr>
            </w:div>
            <w:div w:id="789400284">
              <w:marLeft w:val="0"/>
              <w:marRight w:val="0"/>
              <w:marTop w:val="0"/>
              <w:marBottom w:val="0"/>
              <w:divBdr>
                <w:top w:val="none" w:sz="0" w:space="0" w:color="auto"/>
                <w:left w:val="none" w:sz="0" w:space="0" w:color="auto"/>
                <w:bottom w:val="none" w:sz="0" w:space="0" w:color="auto"/>
                <w:right w:val="none" w:sz="0" w:space="0" w:color="auto"/>
              </w:divBdr>
            </w:div>
            <w:div w:id="995953692">
              <w:marLeft w:val="0"/>
              <w:marRight w:val="0"/>
              <w:marTop w:val="0"/>
              <w:marBottom w:val="0"/>
              <w:divBdr>
                <w:top w:val="none" w:sz="0" w:space="0" w:color="auto"/>
                <w:left w:val="none" w:sz="0" w:space="0" w:color="auto"/>
                <w:bottom w:val="none" w:sz="0" w:space="0" w:color="auto"/>
                <w:right w:val="none" w:sz="0" w:space="0" w:color="auto"/>
              </w:divBdr>
            </w:div>
            <w:div w:id="1010330067">
              <w:marLeft w:val="0"/>
              <w:marRight w:val="0"/>
              <w:marTop w:val="0"/>
              <w:marBottom w:val="0"/>
              <w:divBdr>
                <w:top w:val="none" w:sz="0" w:space="0" w:color="auto"/>
                <w:left w:val="none" w:sz="0" w:space="0" w:color="auto"/>
                <w:bottom w:val="none" w:sz="0" w:space="0" w:color="auto"/>
                <w:right w:val="none" w:sz="0" w:space="0" w:color="auto"/>
              </w:divBdr>
            </w:div>
            <w:div w:id="1112015204">
              <w:marLeft w:val="0"/>
              <w:marRight w:val="0"/>
              <w:marTop w:val="0"/>
              <w:marBottom w:val="0"/>
              <w:divBdr>
                <w:top w:val="none" w:sz="0" w:space="0" w:color="auto"/>
                <w:left w:val="none" w:sz="0" w:space="0" w:color="auto"/>
                <w:bottom w:val="none" w:sz="0" w:space="0" w:color="auto"/>
                <w:right w:val="none" w:sz="0" w:space="0" w:color="auto"/>
              </w:divBdr>
            </w:div>
            <w:div w:id="1116216442">
              <w:marLeft w:val="0"/>
              <w:marRight w:val="0"/>
              <w:marTop w:val="0"/>
              <w:marBottom w:val="0"/>
              <w:divBdr>
                <w:top w:val="none" w:sz="0" w:space="0" w:color="auto"/>
                <w:left w:val="none" w:sz="0" w:space="0" w:color="auto"/>
                <w:bottom w:val="none" w:sz="0" w:space="0" w:color="auto"/>
                <w:right w:val="none" w:sz="0" w:space="0" w:color="auto"/>
              </w:divBdr>
            </w:div>
            <w:div w:id="1121613254">
              <w:marLeft w:val="0"/>
              <w:marRight w:val="0"/>
              <w:marTop w:val="0"/>
              <w:marBottom w:val="0"/>
              <w:divBdr>
                <w:top w:val="none" w:sz="0" w:space="0" w:color="auto"/>
                <w:left w:val="none" w:sz="0" w:space="0" w:color="auto"/>
                <w:bottom w:val="none" w:sz="0" w:space="0" w:color="auto"/>
                <w:right w:val="none" w:sz="0" w:space="0" w:color="auto"/>
              </w:divBdr>
            </w:div>
            <w:div w:id="1216546769">
              <w:marLeft w:val="0"/>
              <w:marRight w:val="0"/>
              <w:marTop w:val="0"/>
              <w:marBottom w:val="0"/>
              <w:divBdr>
                <w:top w:val="none" w:sz="0" w:space="0" w:color="auto"/>
                <w:left w:val="none" w:sz="0" w:space="0" w:color="auto"/>
                <w:bottom w:val="none" w:sz="0" w:space="0" w:color="auto"/>
                <w:right w:val="none" w:sz="0" w:space="0" w:color="auto"/>
              </w:divBdr>
            </w:div>
            <w:div w:id="1519805547">
              <w:marLeft w:val="0"/>
              <w:marRight w:val="0"/>
              <w:marTop w:val="0"/>
              <w:marBottom w:val="0"/>
              <w:divBdr>
                <w:top w:val="none" w:sz="0" w:space="0" w:color="auto"/>
                <w:left w:val="none" w:sz="0" w:space="0" w:color="auto"/>
                <w:bottom w:val="none" w:sz="0" w:space="0" w:color="auto"/>
                <w:right w:val="none" w:sz="0" w:space="0" w:color="auto"/>
              </w:divBdr>
            </w:div>
            <w:div w:id="1590233623">
              <w:marLeft w:val="0"/>
              <w:marRight w:val="0"/>
              <w:marTop w:val="0"/>
              <w:marBottom w:val="0"/>
              <w:divBdr>
                <w:top w:val="none" w:sz="0" w:space="0" w:color="auto"/>
                <w:left w:val="none" w:sz="0" w:space="0" w:color="auto"/>
                <w:bottom w:val="none" w:sz="0" w:space="0" w:color="auto"/>
                <w:right w:val="none" w:sz="0" w:space="0" w:color="auto"/>
              </w:divBdr>
            </w:div>
            <w:div w:id="1665545259">
              <w:marLeft w:val="0"/>
              <w:marRight w:val="0"/>
              <w:marTop w:val="0"/>
              <w:marBottom w:val="0"/>
              <w:divBdr>
                <w:top w:val="none" w:sz="0" w:space="0" w:color="auto"/>
                <w:left w:val="none" w:sz="0" w:space="0" w:color="auto"/>
                <w:bottom w:val="none" w:sz="0" w:space="0" w:color="auto"/>
                <w:right w:val="none" w:sz="0" w:space="0" w:color="auto"/>
              </w:divBdr>
            </w:div>
            <w:div w:id="1728069806">
              <w:marLeft w:val="0"/>
              <w:marRight w:val="0"/>
              <w:marTop w:val="0"/>
              <w:marBottom w:val="0"/>
              <w:divBdr>
                <w:top w:val="none" w:sz="0" w:space="0" w:color="auto"/>
                <w:left w:val="none" w:sz="0" w:space="0" w:color="auto"/>
                <w:bottom w:val="none" w:sz="0" w:space="0" w:color="auto"/>
                <w:right w:val="none" w:sz="0" w:space="0" w:color="auto"/>
              </w:divBdr>
            </w:div>
            <w:div w:id="1732578330">
              <w:marLeft w:val="0"/>
              <w:marRight w:val="0"/>
              <w:marTop w:val="0"/>
              <w:marBottom w:val="0"/>
              <w:divBdr>
                <w:top w:val="none" w:sz="0" w:space="0" w:color="auto"/>
                <w:left w:val="none" w:sz="0" w:space="0" w:color="auto"/>
                <w:bottom w:val="none" w:sz="0" w:space="0" w:color="auto"/>
                <w:right w:val="none" w:sz="0" w:space="0" w:color="auto"/>
              </w:divBdr>
            </w:div>
            <w:div w:id="2061854162">
              <w:marLeft w:val="0"/>
              <w:marRight w:val="0"/>
              <w:marTop w:val="0"/>
              <w:marBottom w:val="0"/>
              <w:divBdr>
                <w:top w:val="none" w:sz="0" w:space="0" w:color="auto"/>
                <w:left w:val="none" w:sz="0" w:space="0" w:color="auto"/>
                <w:bottom w:val="none" w:sz="0" w:space="0" w:color="auto"/>
                <w:right w:val="none" w:sz="0" w:space="0" w:color="auto"/>
              </w:divBdr>
            </w:div>
            <w:div w:id="2123526071">
              <w:marLeft w:val="0"/>
              <w:marRight w:val="0"/>
              <w:marTop w:val="0"/>
              <w:marBottom w:val="0"/>
              <w:divBdr>
                <w:top w:val="none" w:sz="0" w:space="0" w:color="auto"/>
                <w:left w:val="none" w:sz="0" w:space="0" w:color="auto"/>
                <w:bottom w:val="none" w:sz="0" w:space="0" w:color="auto"/>
                <w:right w:val="none" w:sz="0" w:space="0" w:color="auto"/>
              </w:divBdr>
            </w:div>
          </w:divsChild>
        </w:div>
        <w:div w:id="1502232718">
          <w:marLeft w:val="0"/>
          <w:marRight w:val="0"/>
          <w:marTop w:val="0"/>
          <w:marBottom w:val="0"/>
          <w:divBdr>
            <w:top w:val="none" w:sz="0" w:space="0" w:color="auto"/>
            <w:left w:val="none" w:sz="0" w:space="0" w:color="auto"/>
            <w:bottom w:val="none" w:sz="0" w:space="0" w:color="auto"/>
            <w:right w:val="none" w:sz="0" w:space="0" w:color="auto"/>
          </w:divBdr>
        </w:div>
        <w:div w:id="1507357061">
          <w:marLeft w:val="0"/>
          <w:marRight w:val="0"/>
          <w:marTop w:val="0"/>
          <w:marBottom w:val="0"/>
          <w:divBdr>
            <w:top w:val="none" w:sz="0" w:space="0" w:color="auto"/>
            <w:left w:val="none" w:sz="0" w:space="0" w:color="auto"/>
            <w:bottom w:val="none" w:sz="0" w:space="0" w:color="auto"/>
            <w:right w:val="none" w:sz="0" w:space="0" w:color="auto"/>
          </w:divBdr>
        </w:div>
        <w:div w:id="1507789041">
          <w:marLeft w:val="0"/>
          <w:marRight w:val="0"/>
          <w:marTop w:val="0"/>
          <w:marBottom w:val="0"/>
          <w:divBdr>
            <w:top w:val="none" w:sz="0" w:space="0" w:color="auto"/>
            <w:left w:val="none" w:sz="0" w:space="0" w:color="auto"/>
            <w:bottom w:val="none" w:sz="0" w:space="0" w:color="auto"/>
            <w:right w:val="none" w:sz="0" w:space="0" w:color="auto"/>
          </w:divBdr>
        </w:div>
        <w:div w:id="1508249270">
          <w:marLeft w:val="0"/>
          <w:marRight w:val="0"/>
          <w:marTop w:val="0"/>
          <w:marBottom w:val="0"/>
          <w:divBdr>
            <w:top w:val="none" w:sz="0" w:space="0" w:color="auto"/>
            <w:left w:val="none" w:sz="0" w:space="0" w:color="auto"/>
            <w:bottom w:val="none" w:sz="0" w:space="0" w:color="auto"/>
            <w:right w:val="none" w:sz="0" w:space="0" w:color="auto"/>
          </w:divBdr>
        </w:div>
        <w:div w:id="1509179643">
          <w:marLeft w:val="0"/>
          <w:marRight w:val="0"/>
          <w:marTop w:val="0"/>
          <w:marBottom w:val="0"/>
          <w:divBdr>
            <w:top w:val="none" w:sz="0" w:space="0" w:color="auto"/>
            <w:left w:val="none" w:sz="0" w:space="0" w:color="auto"/>
            <w:bottom w:val="none" w:sz="0" w:space="0" w:color="auto"/>
            <w:right w:val="none" w:sz="0" w:space="0" w:color="auto"/>
          </w:divBdr>
        </w:div>
        <w:div w:id="1511678141">
          <w:marLeft w:val="0"/>
          <w:marRight w:val="0"/>
          <w:marTop w:val="0"/>
          <w:marBottom w:val="0"/>
          <w:divBdr>
            <w:top w:val="none" w:sz="0" w:space="0" w:color="auto"/>
            <w:left w:val="none" w:sz="0" w:space="0" w:color="auto"/>
            <w:bottom w:val="none" w:sz="0" w:space="0" w:color="auto"/>
            <w:right w:val="none" w:sz="0" w:space="0" w:color="auto"/>
          </w:divBdr>
        </w:div>
        <w:div w:id="1511867899">
          <w:marLeft w:val="0"/>
          <w:marRight w:val="0"/>
          <w:marTop w:val="0"/>
          <w:marBottom w:val="0"/>
          <w:divBdr>
            <w:top w:val="none" w:sz="0" w:space="0" w:color="auto"/>
            <w:left w:val="none" w:sz="0" w:space="0" w:color="auto"/>
            <w:bottom w:val="none" w:sz="0" w:space="0" w:color="auto"/>
            <w:right w:val="none" w:sz="0" w:space="0" w:color="auto"/>
          </w:divBdr>
        </w:div>
        <w:div w:id="1514035263">
          <w:marLeft w:val="0"/>
          <w:marRight w:val="0"/>
          <w:marTop w:val="0"/>
          <w:marBottom w:val="0"/>
          <w:divBdr>
            <w:top w:val="none" w:sz="0" w:space="0" w:color="auto"/>
            <w:left w:val="none" w:sz="0" w:space="0" w:color="auto"/>
            <w:bottom w:val="none" w:sz="0" w:space="0" w:color="auto"/>
            <w:right w:val="none" w:sz="0" w:space="0" w:color="auto"/>
          </w:divBdr>
        </w:div>
        <w:div w:id="1514225160">
          <w:marLeft w:val="0"/>
          <w:marRight w:val="0"/>
          <w:marTop w:val="0"/>
          <w:marBottom w:val="0"/>
          <w:divBdr>
            <w:top w:val="none" w:sz="0" w:space="0" w:color="auto"/>
            <w:left w:val="none" w:sz="0" w:space="0" w:color="auto"/>
            <w:bottom w:val="none" w:sz="0" w:space="0" w:color="auto"/>
            <w:right w:val="none" w:sz="0" w:space="0" w:color="auto"/>
          </w:divBdr>
        </w:div>
        <w:div w:id="1514419267">
          <w:marLeft w:val="0"/>
          <w:marRight w:val="0"/>
          <w:marTop w:val="0"/>
          <w:marBottom w:val="0"/>
          <w:divBdr>
            <w:top w:val="none" w:sz="0" w:space="0" w:color="auto"/>
            <w:left w:val="none" w:sz="0" w:space="0" w:color="auto"/>
            <w:bottom w:val="none" w:sz="0" w:space="0" w:color="auto"/>
            <w:right w:val="none" w:sz="0" w:space="0" w:color="auto"/>
          </w:divBdr>
        </w:div>
        <w:div w:id="1515995654">
          <w:marLeft w:val="0"/>
          <w:marRight w:val="0"/>
          <w:marTop w:val="0"/>
          <w:marBottom w:val="0"/>
          <w:divBdr>
            <w:top w:val="none" w:sz="0" w:space="0" w:color="auto"/>
            <w:left w:val="none" w:sz="0" w:space="0" w:color="auto"/>
            <w:bottom w:val="none" w:sz="0" w:space="0" w:color="auto"/>
            <w:right w:val="none" w:sz="0" w:space="0" w:color="auto"/>
          </w:divBdr>
        </w:div>
        <w:div w:id="1517234443">
          <w:marLeft w:val="0"/>
          <w:marRight w:val="0"/>
          <w:marTop w:val="0"/>
          <w:marBottom w:val="0"/>
          <w:divBdr>
            <w:top w:val="none" w:sz="0" w:space="0" w:color="auto"/>
            <w:left w:val="none" w:sz="0" w:space="0" w:color="auto"/>
            <w:bottom w:val="none" w:sz="0" w:space="0" w:color="auto"/>
            <w:right w:val="none" w:sz="0" w:space="0" w:color="auto"/>
          </w:divBdr>
        </w:div>
        <w:div w:id="1517308870">
          <w:marLeft w:val="0"/>
          <w:marRight w:val="0"/>
          <w:marTop w:val="0"/>
          <w:marBottom w:val="0"/>
          <w:divBdr>
            <w:top w:val="none" w:sz="0" w:space="0" w:color="auto"/>
            <w:left w:val="none" w:sz="0" w:space="0" w:color="auto"/>
            <w:bottom w:val="none" w:sz="0" w:space="0" w:color="auto"/>
            <w:right w:val="none" w:sz="0" w:space="0" w:color="auto"/>
          </w:divBdr>
        </w:div>
        <w:div w:id="1518234783">
          <w:marLeft w:val="0"/>
          <w:marRight w:val="0"/>
          <w:marTop w:val="0"/>
          <w:marBottom w:val="0"/>
          <w:divBdr>
            <w:top w:val="none" w:sz="0" w:space="0" w:color="auto"/>
            <w:left w:val="none" w:sz="0" w:space="0" w:color="auto"/>
            <w:bottom w:val="none" w:sz="0" w:space="0" w:color="auto"/>
            <w:right w:val="none" w:sz="0" w:space="0" w:color="auto"/>
          </w:divBdr>
        </w:div>
        <w:div w:id="1519419289">
          <w:marLeft w:val="0"/>
          <w:marRight w:val="0"/>
          <w:marTop w:val="0"/>
          <w:marBottom w:val="0"/>
          <w:divBdr>
            <w:top w:val="none" w:sz="0" w:space="0" w:color="auto"/>
            <w:left w:val="none" w:sz="0" w:space="0" w:color="auto"/>
            <w:bottom w:val="none" w:sz="0" w:space="0" w:color="auto"/>
            <w:right w:val="none" w:sz="0" w:space="0" w:color="auto"/>
          </w:divBdr>
        </w:div>
        <w:div w:id="1521233965">
          <w:marLeft w:val="0"/>
          <w:marRight w:val="0"/>
          <w:marTop w:val="0"/>
          <w:marBottom w:val="0"/>
          <w:divBdr>
            <w:top w:val="none" w:sz="0" w:space="0" w:color="auto"/>
            <w:left w:val="none" w:sz="0" w:space="0" w:color="auto"/>
            <w:bottom w:val="none" w:sz="0" w:space="0" w:color="auto"/>
            <w:right w:val="none" w:sz="0" w:space="0" w:color="auto"/>
          </w:divBdr>
        </w:div>
        <w:div w:id="1521234396">
          <w:marLeft w:val="0"/>
          <w:marRight w:val="0"/>
          <w:marTop w:val="0"/>
          <w:marBottom w:val="0"/>
          <w:divBdr>
            <w:top w:val="none" w:sz="0" w:space="0" w:color="auto"/>
            <w:left w:val="none" w:sz="0" w:space="0" w:color="auto"/>
            <w:bottom w:val="none" w:sz="0" w:space="0" w:color="auto"/>
            <w:right w:val="none" w:sz="0" w:space="0" w:color="auto"/>
          </w:divBdr>
        </w:div>
        <w:div w:id="1521816929">
          <w:marLeft w:val="0"/>
          <w:marRight w:val="0"/>
          <w:marTop w:val="0"/>
          <w:marBottom w:val="0"/>
          <w:divBdr>
            <w:top w:val="none" w:sz="0" w:space="0" w:color="auto"/>
            <w:left w:val="none" w:sz="0" w:space="0" w:color="auto"/>
            <w:bottom w:val="none" w:sz="0" w:space="0" w:color="auto"/>
            <w:right w:val="none" w:sz="0" w:space="0" w:color="auto"/>
          </w:divBdr>
        </w:div>
        <w:div w:id="1521819562">
          <w:marLeft w:val="0"/>
          <w:marRight w:val="0"/>
          <w:marTop w:val="0"/>
          <w:marBottom w:val="0"/>
          <w:divBdr>
            <w:top w:val="none" w:sz="0" w:space="0" w:color="auto"/>
            <w:left w:val="none" w:sz="0" w:space="0" w:color="auto"/>
            <w:bottom w:val="none" w:sz="0" w:space="0" w:color="auto"/>
            <w:right w:val="none" w:sz="0" w:space="0" w:color="auto"/>
          </w:divBdr>
        </w:div>
        <w:div w:id="1523395911">
          <w:marLeft w:val="0"/>
          <w:marRight w:val="0"/>
          <w:marTop w:val="0"/>
          <w:marBottom w:val="0"/>
          <w:divBdr>
            <w:top w:val="none" w:sz="0" w:space="0" w:color="auto"/>
            <w:left w:val="none" w:sz="0" w:space="0" w:color="auto"/>
            <w:bottom w:val="none" w:sz="0" w:space="0" w:color="auto"/>
            <w:right w:val="none" w:sz="0" w:space="0" w:color="auto"/>
          </w:divBdr>
        </w:div>
        <w:div w:id="1524397567">
          <w:marLeft w:val="0"/>
          <w:marRight w:val="0"/>
          <w:marTop w:val="0"/>
          <w:marBottom w:val="0"/>
          <w:divBdr>
            <w:top w:val="none" w:sz="0" w:space="0" w:color="auto"/>
            <w:left w:val="none" w:sz="0" w:space="0" w:color="auto"/>
            <w:bottom w:val="none" w:sz="0" w:space="0" w:color="auto"/>
            <w:right w:val="none" w:sz="0" w:space="0" w:color="auto"/>
          </w:divBdr>
        </w:div>
        <w:div w:id="1524436825">
          <w:marLeft w:val="0"/>
          <w:marRight w:val="0"/>
          <w:marTop w:val="0"/>
          <w:marBottom w:val="0"/>
          <w:divBdr>
            <w:top w:val="none" w:sz="0" w:space="0" w:color="auto"/>
            <w:left w:val="none" w:sz="0" w:space="0" w:color="auto"/>
            <w:bottom w:val="none" w:sz="0" w:space="0" w:color="auto"/>
            <w:right w:val="none" w:sz="0" w:space="0" w:color="auto"/>
          </w:divBdr>
        </w:div>
        <w:div w:id="1524594278">
          <w:marLeft w:val="0"/>
          <w:marRight w:val="0"/>
          <w:marTop w:val="0"/>
          <w:marBottom w:val="0"/>
          <w:divBdr>
            <w:top w:val="none" w:sz="0" w:space="0" w:color="auto"/>
            <w:left w:val="none" w:sz="0" w:space="0" w:color="auto"/>
            <w:bottom w:val="none" w:sz="0" w:space="0" w:color="auto"/>
            <w:right w:val="none" w:sz="0" w:space="0" w:color="auto"/>
          </w:divBdr>
        </w:div>
        <w:div w:id="1525898903">
          <w:marLeft w:val="0"/>
          <w:marRight w:val="0"/>
          <w:marTop w:val="0"/>
          <w:marBottom w:val="0"/>
          <w:divBdr>
            <w:top w:val="none" w:sz="0" w:space="0" w:color="auto"/>
            <w:left w:val="none" w:sz="0" w:space="0" w:color="auto"/>
            <w:bottom w:val="none" w:sz="0" w:space="0" w:color="auto"/>
            <w:right w:val="none" w:sz="0" w:space="0" w:color="auto"/>
          </w:divBdr>
        </w:div>
        <w:div w:id="1529491664">
          <w:marLeft w:val="0"/>
          <w:marRight w:val="0"/>
          <w:marTop w:val="0"/>
          <w:marBottom w:val="0"/>
          <w:divBdr>
            <w:top w:val="none" w:sz="0" w:space="0" w:color="auto"/>
            <w:left w:val="none" w:sz="0" w:space="0" w:color="auto"/>
            <w:bottom w:val="none" w:sz="0" w:space="0" w:color="auto"/>
            <w:right w:val="none" w:sz="0" w:space="0" w:color="auto"/>
          </w:divBdr>
        </w:div>
        <w:div w:id="1533111545">
          <w:marLeft w:val="0"/>
          <w:marRight w:val="0"/>
          <w:marTop w:val="0"/>
          <w:marBottom w:val="0"/>
          <w:divBdr>
            <w:top w:val="none" w:sz="0" w:space="0" w:color="auto"/>
            <w:left w:val="none" w:sz="0" w:space="0" w:color="auto"/>
            <w:bottom w:val="none" w:sz="0" w:space="0" w:color="auto"/>
            <w:right w:val="none" w:sz="0" w:space="0" w:color="auto"/>
          </w:divBdr>
        </w:div>
        <w:div w:id="1533766363">
          <w:marLeft w:val="0"/>
          <w:marRight w:val="0"/>
          <w:marTop w:val="0"/>
          <w:marBottom w:val="0"/>
          <w:divBdr>
            <w:top w:val="none" w:sz="0" w:space="0" w:color="auto"/>
            <w:left w:val="none" w:sz="0" w:space="0" w:color="auto"/>
            <w:bottom w:val="none" w:sz="0" w:space="0" w:color="auto"/>
            <w:right w:val="none" w:sz="0" w:space="0" w:color="auto"/>
          </w:divBdr>
          <w:divsChild>
            <w:div w:id="2172744">
              <w:marLeft w:val="0"/>
              <w:marRight w:val="0"/>
              <w:marTop w:val="0"/>
              <w:marBottom w:val="0"/>
              <w:divBdr>
                <w:top w:val="none" w:sz="0" w:space="0" w:color="auto"/>
                <w:left w:val="none" w:sz="0" w:space="0" w:color="auto"/>
                <w:bottom w:val="none" w:sz="0" w:space="0" w:color="auto"/>
                <w:right w:val="none" w:sz="0" w:space="0" w:color="auto"/>
              </w:divBdr>
            </w:div>
            <w:div w:id="101608129">
              <w:marLeft w:val="0"/>
              <w:marRight w:val="0"/>
              <w:marTop w:val="0"/>
              <w:marBottom w:val="0"/>
              <w:divBdr>
                <w:top w:val="none" w:sz="0" w:space="0" w:color="auto"/>
                <w:left w:val="none" w:sz="0" w:space="0" w:color="auto"/>
                <w:bottom w:val="none" w:sz="0" w:space="0" w:color="auto"/>
                <w:right w:val="none" w:sz="0" w:space="0" w:color="auto"/>
              </w:divBdr>
            </w:div>
            <w:div w:id="114104075">
              <w:marLeft w:val="0"/>
              <w:marRight w:val="0"/>
              <w:marTop w:val="0"/>
              <w:marBottom w:val="0"/>
              <w:divBdr>
                <w:top w:val="none" w:sz="0" w:space="0" w:color="auto"/>
                <w:left w:val="none" w:sz="0" w:space="0" w:color="auto"/>
                <w:bottom w:val="none" w:sz="0" w:space="0" w:color="auto"/>
                <w:right w:val="none" w:sz="0" w:space="0" w:color="auto"/>
              </w:divBdr>
            </w:div>
            <w:div w:id="256794900">
              <w:marLeft w:val="0"/>
              <w:marRight w:val="0"/>
              <w:marTop w:val="0"/>
              <w:marBottom w:val="0"/>
              <w:divBdr>
                <w:top w:val="none" w:sz="0" w:space="0" w:color="auto"/>
                <w:left w:val="none" w:sz="0" w:space="0" w:color="auto"/>
                <w:bottom w:val="none" w:sz="0" w:space="0" w:color="auto"/>
                <w:right w:val="none" w:sz="0" w:space="0" w:color="auto"/>
              </w:divBdr>
            </w:div>
            <w:div w:id="287667177">
              <w:marLeft w:val="0"/>
              <w:marRight w:val="0"/>
              <w:marTop w:val="0"/>
              <w:marBottom w:val="0"/>
              <w:divBdr>
                <w:top w:val="none" w:sz="0" w:space="0" w:color="auto"/>
                <w:left w:val="none" w:sz="0" w:space="0" w:color="auto"/>
                <w:bottom w:val="none" w:sz="0" w:space="0" w:color="auto"/>
                <w:right w:val="none" w:sz="0" w:space="0" w:color="auto"/>
              </w:divBdr>
            </w:div>
            <w:div w:id="299386181">
              <w:marLeft w:val="0"/>
              <w:marRight w:val="0"/>
              <w:marTop w:val="0"/>
              <w:marBottom w:val="0"/>
              <w:divBdr>
                <w:top w:val="none" w:sz="0" w:space="0" w:color="auto"/>
                <w:left w:val="none" w:sz="0" w:space="0" w:color="auto"/>
                <w:bottom w:val="none" w:sz="0" w:space="0" w:color="auto"/>
                <w:right w:val="none" w:sz="0" w:space="0" w:color="auto"/>
              </w:divBdr>
            </w:div>
            <w:div w:id="310522899">
              <w:marLeft w:val="0"/>
              <w:marRight w:val="0"/>
              <w:marTop w:val="0"/>
              <w:marBottom w:val="0"/>
              <w:divBdr>
                <w:top w:val="none" w:sz="0" w:space="0" w:color="auto"/>
                <w:left w:val="none" w:sz="0" w:space="0" w:color="auto"/>
                <w:bottom w:val="none" w:sz="0" w:space="0" w:color="auto"/>
                <w:right w:val="none" w:sz="0" w:space="0" w:color="auto"/>
              </w:divBdr>
            </w:div>
            <w:div w:id="332729329">
              <w:marLeft w:val="0"/>
              <w:marRight w:val="0"/>
              <w:marTop w:val="0"/>
              <w:marBottom w:val="0"/>
              <w:divBdr>
                <w:top w:val="none" w:sz="0" w:space="0" w:color="auto"/>
                <w:left w:val="none" w:sz="0" w:space="0" w:color="auto"/>
                <w:bottom w:val="none" w:sz="0" w:space="0" w:color="auto"/>
                <w:right w:val="none" w:sz="0" w:space="0" w:color="auto"/>
              </w:divBdr>
            </w:div>
            <w:div w:id="332806332">
              <w:marLeft w:val="0"/>
              <w:marRight w:val="0"/>
              <w:marTop w:val="0"/>
              <w:marBottom w:val="0"/>
              <w:divBdr>
                <w:top w:val="none" w:sz="0" w:space="0" w:color="auto"/>
                <w:left w:val="none" w:sz="0" w:space="0" w:color="auto"/>
                <w:bottom w:val="none" w:sz="0" w:space="0" w:color="auto"/>
                <w:right w:val="none" w:sz="0" w:space="0" w:color="auto"/>
              </w:divBdr>
            </w:div>
            <w:div w:id="453060954">
              <w:marLeft w:val="0"/>
              <w:marRight w:val="0"/>
              <w:marTop w:val="0"/>
              <w:marBottom w:val="0"/>
              <w:divBdr>
                <w:top w:val="none" w:sz="0" w:space="0" w:color="auto"/>
                <w:left w:val="none" w:sz="0" w:space="0" w:color="auto"/>
                <w:bottom w:val="none" w:sz="0" w:space="0" w:color="auto"/>
                <w:right w:val="none" w:sz="0" w:space="0" w:color="auto"/>
              </w:divBdr>
            </w:div>
            <w:div w:id="482428424">
              <w:marLeft w:val="0"/>
              <w:marRight w:val="0"/>
              <w:marTop w:val="0"/>
              <w:marBottom w:val="0"/>
              <w:divBdr>
                <w:top w:val="none" w:sz="0" w:space="0" w:color="auto"/>
                <w:left w:val="none" w:sz="0" w:space="0" w:color="auto"/>
                <w:bottom w:val="none" w:sz="0" w:space="0" w:color="auto"/>
                <w:right w:val="none" w:sz="0" w:space="0" w:color="auto"/>
              </w:divBdr>
            </w:div>
            <w:div w:id="949045231">
              <w:marLeft w:val="0"/>
              <w:marRight w:val="0"/>
              <w:marTop w:val="0"/>
              <w:marBottom w:val="0"/>
              <w:divBdr>
                <w:top w:val="none" w:sz="0" w:space="0" w:color="auto"/>
                <w:left w:val="none" w:sz="0" w:space="0" w:color="auto"/>
                <w:bottom w:val="none" w:sz="0" w:space="0" w:color="auto"/>
                <w:right w:val="none" w:sz="0" w:space="0" w:color="auto"/>
              </w:divBdr>
            </w:div>
            <w:div w:id="973608283">
              <w:marLeft w:val="0"/>
              <w:marRight w:val="0"/>
              <w:marTop w:val="0"/>
              <w:marBottom w:val="0"/>
              <w:divBdr>
                <w:top w:val="none" w:sz="0" w:space="0" w:color="auto"/>
                <w:left w:val="none" w:sz="0" w:space="0" w:color="auto"/>
                <w:bottom w:val="none" w:sz="0" w:space="0" w:color="auto"/>
                <w:right w:val="none" w:sz="0" w:space="0" w:color="auto"/>
              </w:divBdr>
            </w:div>
            <w:div w:id="1163815589">
              <w:marLeft w:val="0"/>
              <w:marRight w:val="0"/>
              <w:marTop w:val="0"/>
              <w:marBottom w:val="0"/>
              <w:divBdr>
                <w:top w:val="none" w:sz="0" w:space="0" w:color="auto"/>
                <w:left w:val="none" w:sz="0" w:space="0" w:color="auto"/>
                <w:bottom w:val="none" w:sz="0" w:space="0" w:color="auto"/>
                <w:right w:val="none" w:sz="0" w:space="0" w:color="auto"/>
              </w:divBdr>
            </w:div>
            <w:div w:id="1406613656">
              <w:marLeft w:val="0"/>
              <w:marRight w:val="0"/>
              <w:marTop w:val="0"/>
              <w:marBottom w:val="0"/>
              <w:divBdr>
                <w:top w:val="none" w:sz="0" w:space="0" w:color="auto"/>
                <w:left w:val="none" w:sz="0" w:space="0" w:color="auto"/>
                <w:bottom w:val="none" w:sz="0" w:space="0" w:color="auto"/>
                <w:right w:val="none" w:sz="0" w:space="0" w:color="auto"/>
              </w:divBdr>
            </w:div>
            <w:div w:id="1430614139">
              <w:marLeft w:val="0"/>
              <w:marRight w:val="0"/>
              <w:marTop w:val="0"/>
              <w:marBottom w:val="0"/>
              <w:divBdr>
                <w:top w:val="none" w:sz="0" w:space="0" w:color="auto"/>
                <w:left w:val="none" w:sz="0" w:space="0" w:color="auto"/>
                <w:bottom w:val="none" w:sz="0" w:space="0" w:color="auto"/>
                <w:right w:val="none" w:sz="0" w:space="0" w:color="auto"/>
              </w:divBdr>
            </w:div>
            <w:div w:id="1468354101">
              <w:marLeft w:val="0"/>
              <w:marRight w:val="0"/>
              <w:marTop w:val="0"/>
              <w:marBottom w:val="0"/>
              <w:divBdr>
                <w:top w:val="none" w:sz="0" w:space="0" w:color="auto"/>
                <w:left w:val="none" w:sz="0" w:space="0" w:color="auto"/>
                <w:bottom w:val="none" w:sz="0" w:space="0" w:color="auto"/>
                <w:right w:val="none" w:sz="0" w:space="0" w:color="auto"/>
              </w:divBdr>
            </w:div>
            <w:div w:id="1596358655">
              <w:marLeft w:val="0"/>
              <w:marRight w:val="0"/>
              <w:marTop w:val="0"/>
              <w:marBottom w:val="0"/>
              <w:divBdr>
                <w:top w:val="none" w:sz="0" w:space="0" w:color="auto"/>
                <w:left w:val="none" w:sz="0" w:space="0" w:color="auto"/>
                <w:bottom w:val="none" w:sz="0" w:space="0" w:color="auto"/>
                <w:right w:val="none" w:sz="0" w:space="0" w:color="auto"/>
              </w:divBdr>
            </w:div>
            <w:div w:id="1853185214">
              <w:marLeft w:val="0"/>
              <w:marRight w:val="0"/>
              <w:marTop w:val="0"/>
              <w:marBottom w:val="0"/>
              <w:divBdr>
                <w:top w:val="none" w:sz="0" w:space="0" w:color="auto"/>
                <w:left w:val="none" w:sz="0" w:space="0" w:color="auto"/>
                <w:bottom w:val="none" w:sz="0" w:space="0" w:color="auto"/>
                <w:right w:val="none" w:sz="0" w:space="0" w:color="auto"/>
              </w:divBdr>
            </w:div>
          </w:divsChild>
        </w:div>
        <w:div w:id="1536581445">
          <w:marLeft w:val="0"/>
          <w:marRight w:val="0"/>
          <w:marTop w:val="0"/>
          <w:marBottom w:val="0"/>
          <w:divBdr>
            <w:top w:val="none" w:sz="0" w:space="0" w:color="auto"/>
            <w:left w:val="none" w:sz="0" w:space="0" w:color="auto"/>
            <w:bottom w:val="none" w:sz="0" w:space="0" w:color="auto"/>
            <w:right w:val="none" w:sz="0" w:space="0" w:color="auto"/>
          </w:divBdr>
          <w:divsChild>
            <w:div w:id="86388129">
              <w:marLeft w:val="0"/>
              <w:marRight w:val="0"/>
              <w:marTop w:val="0"/>
              <w:marBottom w:val="0"/>
              <w:divBdr>
                <w:top w:val="none" w:sz="0" w:space="0" w:color="auto"/>
                <w:left w:val="none" w:sz="0" w:space="0" w:color="auto"/>
                <w:bottom w:val="none" w:sz="0" w:space="0" w:color="auto"/>
                <w:right w:val="none" w:sz="0" w:space="0" w:color="auto"/>
              </w:divBdr>
            </w:div>
            <w:div w:id="123886035">
              <w:marLeft w:val="0"/>
              <w:marRight w:val="0"/>
              <w:marTop w:val="0"/>
              <w:marBottom w:val="0"/>
              <w:divBdr>
                <w:top w:val="none" w:sz="0" w:space="0" w:color="auto"/>
                <w:left w:val="none" w:sz="0" w:space="0" w:color="auto"/>
                <w:bottom w:val="none" w:sz="0" w:space="0" w:color="auto"/>
                <w:right w:val="none" w:sz="0" w:space="0" w:color="auto"/>
              </w:divBdr>
            </w:div>
            <w:div w:id="149518810">
              <w:marLeft w:val="0"/>
              <w:marRight w:val="0"/>
              <w:marTop w:val="0"/>
              <w:marBottom w:val="0"/>
              <w:divBdr>
                <w:top w:val="none" w:sz="0" w:space="0" w:color="auto"/>
                <w:left w:val="none" w:sz="0" w:space="0" w:color="auto"/>
                <w:bottom w:val="none" w:sz="0" w:space="0" w:color="auto"/>
                <w:right w:val="none" w:sz="0" w:space="0" w:color="auto"/>
              </w:divBdr>
            </w:div>
            <w:div w:id="193426641">
              <w:marLeft w:val="0"/>
              <w:marRight w:val="0"/>
              <w:marTop w:val="0"/>
              <w:marBottom w:val="0"/>
              <w:divBdr>
                <w:top w:val="none" w:sz="0" w:space="0" w:color="auto"/>
                <w:left w:val="none" w:sz="0" w:space="0" w:color="auto"/>
                <w:bottom w:val="none" w:sz="0" w:space="0" w:color="auto"/>
                <w:right w:val="none" w:sz="0" w:space="0" w:color="auto"/>
              </w:divBdr>
            </w:div>
            <w:div w:id="214969906">
              <w:marLeft w:val="0"/>
              <w:marRight w:val="0"/>
              <w:marTop w:val="0"/>
              <w:marBottom w:val="0"/>
              <w:divBdr>
                <w:top w:val="none" w:sz="0" w:space="0" w:color="auto"/>
                <w:left w:val="none" w:sz="0" w:space="0" w:color="auto"/>
                <w:bottom w:val="none" w:sz="0" w:space="0" w:color="auto"/>
                <w:right w:val="none" w:sz="0" w:space="0" w:color="auto"/>
              </w:divBdr>
            </w:div>
            <w:div w:id="317225484">
              <w:marLeft w:val="0"/>
              <w:marRight w:val="0"/>
              <w:marTop w:val="0"/>
              <w:marBottom w:val="0"/>
              <w:divBdr>
                <w:top w:val="none" w:sz="0" w:space="0" w:color="auto"/>
                <w:left w:val="none" w:sz="0" w:space="0" w:color="auto"/>
                <w:bottom w:val="none" w:sz="0" w:space="0" w:color="auto"/>
                <w:right w:val="none" w:sz="0" w:space="0" w:color="auto"/>
              </w:divBdr>
            </w:div>
            <w:div w:id="340619107">
              <w:marLeft w:val="0"/>
              <w:marRight w:val="0"/>
              <w:marTop w:val="0"/>
              <w:marBottom w:val="0"/>
              <w:divBdr>
                <w:top w:val="none" w:sz="0" w:space="0" w:color="auto"/>
                <w:left w:val="none" w:sz="0" w:space="0" w:color="auto"/>
                <w:bottom w:val="none" w:sz="0" w:space="0" w:color="auto"/>
                <w:right w:val="none" w:sz="0" w:space="0" w:color="auto"/>
              </w:divBdr>
            </w:div>
            <w:div w:id="483206584">
              <w:marLeft w:val="0"/>
              <w:marRight w:val="0"/>
              <w:marTop w:val="0"/>
              <w:marBottom w:val="0"/>
              <w:divBdr>
                <w:top w:val="none" w:sz="0" w:space="0" w:color="auto"/>
                <w:left w:val="none" w:sz="0" w:space="0" w:color="auto"/>
                <w:bottom w:val="none" w:sz="0" w:space="0" w:color="auto"/>
                <w:right w:val="none" w:sz="0" w:space="0" w:color="auto"/>
              </w:divBdr>
            </w:div>
            <w:div w:id="501093975">
              <w:marLeft w:val="0"/>
              <w:marRight w:val="0"/>
              <w:marTop w:val="0"/>
              <w:marBottom w:val="0"/>
              <w:divBdr>
                <w:top w:val="none" w:sz="0" w:space="0" w:color="auto"/>
                <w:left w:val="none" w:sz="0" w:space="0" w:color="auto"/>
                <w:bottom w:val="none" w:sz="0" w:space="0" w:color="auto"/>
                <w:right w:val="none" w:sz="0" w:space="0" w:color="auto"/>
              </w:divBdr>
            </w:div>
            <w:div w:id="540169804">
              <w:marLeft w:val="0"/>
              <w:marRight w:val="0"/>
              <w:marTop w:val="0"/>
              <w:marBottom w:val="0"/>
              <w:divBdr>
                <w:top w:val="none" w:sz="0" w:space="0" w:color="auto"/>
                <w:left w:val="none" w:sz="0" w:space="0" w:color="auto"/>
                <w:bottom w:val="none" w:sz="0" w:space="0" w:color="auto"/>
                <w:right w:val="none" w:sz="0" w:space="0" w:color="auto"/>
              </w:divBdr>
            </w:div>
            <w:div w:id="1018236603">
              <w:marLeft w:val="0"/>
              <w:marRight w:val="0"/>
              <w:marTop w:val="0"/>
              <w:marBottom w:val="0"/>
              <w:divBdr>
                <w:top w:val="none" w:sz="0" w:space="0" w:color="auto"/>
                <w:left w:val="none" w:sz="0" w:space="0" w:color="auto"/>
                <w:bottom w:val="none" w:sz="0" w:space="0" w:color="auto"/>
                <w:right w:val="none" w:sz="0" w:space="0" w:color="auto"/>
              </w:divBdr>
            </w:div>
            <w:div w:id="1085342456">
              <w:marLeft w:val="0"/>
              <w:marRight w:val="0"/>
              <w:marTop w:val="0"/>
              <w:marBottom w:val="0"/>
              <w:divBdr>
                <w:top w:val="none" w:sz="0" w:space="0" w:color="auto"/>
                <w:left w:val="none" w:sz="0" w:space="0" w:color="auto"/>
                <w:bottom w:val="none" w:sz="0" w:space="0" w:color="auto"/>
                <w:right w:val="none" w:sz="0" w:space="0" w:color="auto"/>
              </w:divBdr>
            </w:div>
            <w:div w:id="1105268768">
              <w:marLeft w:val="0"/>
              <w:marRight w:val="0"/>
              <w:marTop w:val="0"/>
              <w:marBottom w:val="0"/>
              <w:divBdr>
                <w:top w:val="none" w:sz="0" w:space="0" w:color="auto"/>
                <w:left w:val="none" w:sz="0" w:space="0" w:color="auto"/>
                <w:bottom w:val="none" w:sz="0" w:space="0" w:color="auto"/>
                <w:right w:val="none" w:sz="0" w:space="0" w:color="auto"/>
              </w:divBdr>
            </w:div>
            <w:div w:id="1463041200">
              <w:marLeft w:val="0"/>
              <w:marRight w:val="0"/>
              <w:marTop w:val="0"/>
              <w:marBottom w:val="0"/>
              <w:divBdr>
                <w:top w:val="none" w:sz="0" w:space="0" w:color="auto"/>
                <w:left w:val="none" w:sz="0" w:space="0" w:color="auto"/>
                <w:bottom w:val="none" w:sz="0" w:space="0" w:color="auto"/>
                <w:right w:val="none" w:sz="0" w:space="0" w:color="auto"/>
              </w:divBdr>
            </w:div>
            <w:div w:id="1550992164">
              <w:marLeft w:val="0"/>
              <w:marRight w:val="0"/>
              <w:marTop w:val="0"/>
              <w:marBottom w:val="0"/>
              <w:divBdr>
                <w:top w:val="none" w:sz="0" w:space="0" w:color="auto"/>
                <w:left w:val="none" w:sz="0" w:space="0" w:color="auto"/>
                <w:bottom w:val="none" w:sz="0" w:space="0" w:color="auto"/>
                <w:right w:val="none" w:sz="0" w:space="0" w:color="auto"/>
              </w:divBdr>
            </w:div>
            <w:div w:id="1625498290">
              <w:marLeft w:val="0"/>
              <w:marRight w:val="0"/>
              <w:marTop w:val="0"/>
              <w:marBottom w:val="0"/>
              <w:divBdr>
                <w:top w:val="none" w:sz="0" w:space="0" w:color="auto"/>
                <w:left w:val="none" w:sz="0" w:space="0" w:color="auto"/>
                <w:bottom w:val="none" w:sz="0" w:space="0" w:color="auto"/>
                <w:right w:val="none" w:sz="0" w:space="0" w:color="auto"/>
              </w:divBdr>
            </w:div>
            <w:div w:id="1631747068">
              <w:marLeft w:val="0"/>
              <w:marRight w:val="0"/>
              <w:marTop w:val="0"/>
              <w:marBottom w:val="0"/>
              <w:divBdr>
                <w:top w:val="none" w:sz="0" w:space="0" w:color="auto"/>
                <w:left w:val="none" w:sz="0" w:space="0" w:color="auto"/>
                <w:bottom w:val="none" w:sz="0" w:space="0" w:color="auto"/>
                <w:right w:val="none" w:sz="0" w:space="0" w:color="auto"/>
              </w:divBdr>
            </w:div>
            <w:div w:id="1693192010">
              <w:marLeft w:val="0"/>
              <w:marRight w:val="0"/>
              <w:marTop w:val="0"/>
              <w:marBottom w:val="0"/>
              <w:divBdr>
                <w:top w:val="none" w:sz="0" w:space="0" w:color="auto"/>
                <w:left w:val="none" w:sz="0" w:space="0" w:color="auto"/>
                <w:bottom w:val="none" w:sz="0" w:space="0" w:color="auto"/>
                <w:right w:val="none" w:sz="0" w:space="0" w:color="auto"/>
              </w:divBdr>
            </w:div>
            <w:div w:id="1932929266">
              <w:marLeft w:val="0"/>
              <w:marRight w:val="0"/>
              <w:marTop w:val="0"/>
              <w:marBottom w:val="0"/>
              <w:divBdr>
                <w:top w:val="none" w:sz="0" w:space="0" w:color="auto"/>
                <w:left w:val="none" w:sz="0" w:space="0" w:color="auto"/>
                <w:bottom w:val="none" w:sz="0" w:space="0" w:color="auto"/>
                <w:right w:val="none" w:sz="0" w:space="0" w:color="auto"/>
              </w:divBdr>
            </w:div>
          </w:divsChild>
        </w:div>
        <w:div w:id="1537084254">
          <w:marLeft w:val="0"/>
          <w:marRight w:val="0"/>
          <w:marTop w:val="0"/>
          <w:marBottom w:val="0"/>
          <w:divBdr>
            <w:top w:val="none" w:sz="0" w:space="0" w:color="auto"/>
            <w:left w:val="none" w:sz="0" w:space="0" w:color="auto"/>
            <w:bottom w:val="none" w:sz="0" w:space="0" w:color="auto"/>
            <w:right w:val="none" w:sz="0" w:space="0" w:color="auto"/>
          </w:divBdr>
        </w:div>
        <w:div w:id="1537228724">
          <w:marLeft w:val="0"/>
          <w:marRight w:val="0"/>
          <w:marTop w:val="0"/>
          <w:marBottom w:val="0"/>
          <w:divBdr>
            <w:top w:val="none" w:sz="0" w:space="0" w:color="auto"/>
            <w:left w:val="none" w:sz="0" w:space="0" w:color="auto"/>
            <w:bottom w:val="none" w:sz="0" w:space="0" w:color="auto"/>
            <w:right w:val="none" w:sz="0" w:space="0" w:color="auto"/>
          </w:divBdr>
        </w:div>
        <w:div w:id="1539775779">
          <w:marLeft w:val="0"/>
          <w:marRight w:val="0"/>
          <w:marTop w:val="0"/>
          <w:marBottom w:val="0"/>
          <w:divBdr>
            <w:top w:val="none" w:sz="0" w:space="0" w:color="auto"/>
            <w:left w:val="none" w:sz="0" w:space="0" w:color="auto"/>
            <w:bottom w:val="none" w:sz="0" w:space="0" w:color="auto"/>
            <w:right w:val="none" w:sz="0" w:space="0" w:color="auto"/>
          </w:divBdr>
        </w:div>
        <w:div w:id="1541430034">
          <w:marLeft w:val="0"/>
          <w:marRight w:val="0"/>
          <w:marTop w:val="0"/>
          <w:marBottom w:val="0"/>
          <w:divBdr>
            <w:top w:val="none" w:sz="0" w:space="0" w:color="auto"/>
            <w:left w:val="none" w:sz="0" w:space="0" w:color="auto"/>
            <w:bottom w:val="none" w:sz="0" w:space="0" w:color="auto"/>
            <w:right w:val="none" w:sz="0" w:space="0" w:color="auto"/>
          </w:divBdr>
        </w:div>
        <w:div w:id="1543787328">
          <w:marLeft w:val="0"/>
          <w:marRight w:val="0"/>
          <w:marTop w:val="0"/>
          <w:marBottom w:val="0"/>
          <w:divBdr>
            <w:top w:val="none" w:sz="0" w:space="0" w:color="auto"/>
            <w:left w:val="none" w:sz="0" w:space="0" w:color="auto"/>
            <w:bottom w:val="none" w:sz="0" w:space="0" w:color="auto"/>
            <w:right w:val="none" w:sz="0" w:space="0" w:color="auto"/>
          </w:divBdr>
        </w:div>
        <w:div w:id="1543902234">
          <w:marLeft w:val="0"/>
          <w:marRight w:val="0"/>
          <w:marTop w:val="0"/>
          <w:marBottom w:val="0"/>
          <w:divBdr>
            <w:top w:val="none" w:sz="0" w:space="0" w:color="auto"/>
            <w:left w:val="none" w:sz="0" w:space="0" w:color="auto"/>
            <w:bottom w:val="none" w:sz="0" w:space="0" w:color="auto"/>
            <w:right w:val="none" w:sz="0" w:space="0" w:color="auto"/>
          </w:divBdr>
        </w:div>
        <w:div w:id="1545404938">
          <w:marLeft w:val="0"/>
          <w:marRight w:val="0"/>
          <w:marTop w:val="0"/>
          <w:marBottom w:val="0"/>
          <w:divBdr>
            <w:top w:val="none" w:sz="0" w:space="0" w:color="auto"/>
            <w:left w:val="none" w:sz="0" w:space="0" w:color="auto"/>
            <w:bottom w:val="none" w:sz="0" w:space="0" w:color="auto"/>
            <w:right w:val="none" w:sz="0" w:space="0" w:color="auto"/>
          </w:divBdr>
          <w:divsChild>
            <w:div w:id="162820726">
              <w:marLeft w:val="0"/>
              <w:marRight w:val="0"/>
              <w:marTop w:val="0"/>
              <w:marBottom w:val="0"/>
              <w:divBdr>
                <w:top w:val="none" w:sz="0" w:space="0" w:color="auto"/>
                <w:left w:val="none" w:sz="0" w:space="0" w:color="auto"/>
                <w:bottom w:val="none" w:sz="0" w:space="0" w:color="auto"/>
                <w:right w:val="none" w:sz="0" w:space="0" w:color="auto"/>
              </w:divBdr>
            </w:div>
            <w:div w:id="268704713">
              <w:marLeft w:val="0"/>
              <w:marRight w:val="0"/>
              <w:marTop w:val="0"/>
              <w:marBottom w:val="0"/>
              <w:divBdr>
                <w:top w:val="none" w:sz="0" w:space="0" w:color="auto"/>
                <w:left w:val="none" w:sz="0" w:space="0" w:color="auto"/>
                <w:bottom w:val="none" w:sz="0" w:space="0" w:color="auto"/>
                <w:right w:val="none" w:sz="0" w:space="0" w:color="auto"/>
              </w:divBdr>
            </w:div>
            <w:div w:id="313147342">
              <w:marLeft w:val="0"/>
              <w:marRight w:val="0"/>
              <w:marTop w:val="0"/>
              <w:marBottom w:val="0"/>
              <w:divBdr>
                <w:top w:val="none" w:sz="0" w:space="0" w:color="auto"/>
                <w:left w:val="none" w:sz="0" w:space="0" w:color="auto"/>
                <w:bottom w:val="none" w:sz="0" w:space="0" w:color="auto"/>
                <w:right w:val="none" w:sz="0" w:space="0" w:color="auto"/>
              </w:divBdr>
            </w:div>
            <w:div w:id="385220659">
              <w:marLeft w:val="0"/>
              <w:marRight w:val="0"/>
              <w:marTop w:val="0"/>
              <w:marBottom w:val="0"/>
              <w:divBdr>
                <w:top w:val="none" w:sz="0" w:space="0" w:color="auto"/>
                <w:left w:val="none" w:sz="0" w:space="0" w:color="auto"/>
                <w:bottom w:val="none" w:sz="0" w:space="0" w:color="auto"/>
                <w:right w:val="none" w:sz="0" w:space="0" w:color="auto"/>
              </w:divBdr>
            </w:div>
            <w:div w:id="405954052">
              <w:marLeft w:val="0"/>
              <w:marRight w:val="0"/>
              <w:marTop w:val="0"/>
              <w:marBottom w:val="0"/>
              <w:divBdr>
                <w:top w:val="none" w:sz="0" w:space="0" w:color="auto"/>
                <w:left w:val="none" w:sz="0" w:space="0" w:color="auto"/>
                <w:bottom w:val="none" w:sz="0" w:space="0" w:color="auto"/>
                <w:right w:val="none" w:sz="0" w:space="0" w:color="auto"/>
              </w:divBdr>
            </w:div>
            <w:div w:id="411391592">
              <w:marLeft w:val="0"/>
              <w:marRight w:val="0"/>
              <w:marTop w:val="0"/>
              <w:marBottom w:val="0"/>
              <w:divBdr>
                <w:top w:val="none" w:sz="0" w:space="0" w:color="auto"/>
                <w:left w:val="none" w:sz="0" w:space="0" w:color="auto"/>
                <w:bottom w:val="none" w:sz="0" w:space="0" w:color="auto"/>
                <w:right w:val="none" w:sz="0" w:space="0" w:color="auto"/>
              </w:divBdr>
            </w:div>
            <w:div w:id="440611167">
              <w:marLeft w:val="0"/>
              <w:marRight w:val="0"/>
              <w:marTop w:val="0"/>
              <w:marBottom w:val="0"/>
              <w:divBdr>
                <w:top w:val="none" w:sz="0" w:space="0" w:color="auto"/>
                <w:left w:val="none" w:sz="0" w:space="0" w:color="auto"/>
                <w:bottom w:val="none" w:sz="0" w:space="0" w:color="auto"/>
                <w:right w:val="none" w:sz="0" w:space="0" w:color="auto"/>
              </w:divBdr>
            </w:div>
            <w:div w:id="538981713">
              <w:marLeft w:val="0"/>
              <w:marRight w:val="0"/>
              <w:marTop w:val="0"/>
              <w:marBottom w:val="0"/>
              <w:divBdr>
                <w:top w:val="none" w:sz="0" w:space="0" w:color="auto"/>
                <w:left w:val="none" w:sz="0" w:space="0" w:color="auto"/>
                <w:bottom w:val="none" w:sz="0" w:space="0" w:color="auto"/>
                <w:right w:val="none" w:sz="0" w:space="0" w:color="auto"/>
              </w:divBdr>
            </w:div>
            <w:div w:id="860126447">
              <w:marLeft w:val="0"/>
              <w:marRight w:val="0"/>
              <w:marTop w:val="0"/>
              <w:marBottom w:val="0"/>
              <w:divBdr>
                <w:top w:val="none" w:sz="0" w:space="0" w:color="auto"/>
                <w:left w:val="none" w:sz="0" w:space="0" w:color="auto"/>
                <w:bottom w:val="none" w:sz="0" w:space="0" w:color="auto"/>
                <w:right w:val="none" w:sz="0" w:space="0" w:color="auto"/>
              </w:divBdr>
            </w:div>
            <w:div w:id="866604123">
              <w:marLeft w:val="0"/>
              <w:marRight w:val="0"/>
              <w:marTop w:val="0"/>
              <w:marBottom w:val="0"/>
              <w:divBdr>
                <w:top w:val="none" w:sz="0" w:space="0" w:color="auto"/>
                <w:left w:val="none" w:sz="0" w:space="0" w:color="auto"/>
                <w:bottom w:val="none" w:sz="0" w:space="0" w:color="auto"/>
                <w:right w:val="none" w:sz="0" w:space="0" w:color="auto"/>
              </w:divBdr>
            </w:div>
            <w:div w:id="884296588">
              <w:marLeft w:val="0"/>
              <w:marRight w:val="0"/>
              <w:marTop w:val="0"/>
              <w:marBottom w:val="0"/>
              <w:divBdr>
                <w:top w:val="none" w:sz="0" w:space="0" w:color="auto"/>
                <w:left w:val="none" w:sz="0" w:space="0" w:color="auto"/>
                <w:bottom w:val="none" w:sz="0" w:space="0" w:color="auto"/>
                <w:right w:val="none" w:sz="0" w:space="0" w:color="auto"/>
              </w:divBdr>
            </w:div>
            <w:div w:id="962661891">
              <w:marLeft w:val="0"/>
              <w:marRight w:val="0"/>
              <w:marTop w:val="0"/>
              <w:marBottom w:val="0"/>
              <w:divBdr>
                <w:top w:val="none" w:sz="0" w:space="0" w:color="auto"/>
                <w:left w:val="none" w:sz="0" w:space="0" w:color="auto"/>
                <w:bottom w:val="none" w:sz="0" w:space="0" w:color="auto"/>
                <w:right w:val="none" w:sz="0" w:space="0" w:color="auto"/>
              </w:divBdr>
            </w:div>
            <w:div w:id="1028414476">
              <w:marLeft w:val="0"/>
              <w:marRight w:val="0"/>
              <w:marTop w:val="0"/>
              <w:marBottom w:val="0"/>
              <w:divBdr>
                <w:top w:val="none" w:sz="0" w:space="0" w:color="auto"/>
                <w:left w:val="none" w:sz="0" w:space="0" w:color="auto"/>
                <w:bottom w:val="none" w:sz="0" w:space="0" w:color="auto"/>
                <w:right w:val="none" w:sz="0" w:space="0" w:color="auto"/>
              </w:divBdr>
            </w:div>
            <w:div w:id="1072628024">
              <w:marLeft w:val="0"/>
              <w:marRight w:val="0"/>
              <w:marTop w:val="0"/>
              <w:marBottom w:val="0"/>
              <w:divBdr>
                <w:top w:val="none" w:sz="0" w:space="0" w:color="auto"/>
                <w:left w:val="none" w:sz="0" w:space="0" w:color="auto"/>
                <w:bottom w:val="none" w:sz="0" w:space="0" w:color="auto"/>
                <w:right w:val="none" w:sz="0" w:space="0" w:color="auto"/>
              </w:divBdr>
            </w:div>
            <w:div w:id="1193349509">
              <w:marLeft w:val="0"/>
              <w:marRight w:val="0"/>
              <w:marTop w:val="0"/>
              <w:marBottom w:val="0"/>
              <w:divBdr>
                <w:top w:val="none" w:sz="0" w:space="0" w:color="auto"/>
                <w:left w:val="none" w:sz="0" w:space="0" w:color="auto"/>
                <w:bottom w:val="none" w:sz="0" w:space="0" w:color="auto"/>
                <w:right w:val="none" w:sz="0" w:space="0" w:color="auto"/>
              </w:divBdr>
            </w:div>
            <w:div w:id="1279490110">
              <w:marLeft w:val="0"/>
              <w:marRight w:val="0"/>
              <w:marTop w:val="0"/>
              <w:marBottom w:val="0"/>
              <w:divBdr>
                <w:top w:val="none" w:sz="0" w:space="0" w:color="auto"/>
                <w:left w:val="none" w:sz="0" w:space="0" w:color="auto"/>
                <w:bottom w:val="none" w:sz="0" w:space="0" w:color="auto"/>
                <w:right w:val="none" w:sz="0" w:space="0" w:color="auto"/>
              </w:divBdr>
            </w:div>
            <w:div w:id="1318611230">
              <w:marLeft w:val="0"/>
              <w:marRight w:val="0"/>
              <w:marTop w:val="0"/>
              <w:marBottom w:val="0"/>
              <w:divBdr>
                <w:top w:val="none" w:sz="0" w:space="0" w:color="auto"/>
                <w:left w:val="none" w:sz="0" w:space="0" w:color="auto"/>
                <w:bottom w:val="none" w:sz="0" w:space="0" w:color="auto"/>
                <w:right w:val="none" w:sz="0" w:space="0" w:color="auto"/>
              </w:divBdr>
            </w:div>
            <w:div w:id="1323119513">
              <w:marLeft w:val="0"/>
              <w:marRight w:val="0"/>
              <w:marTop w:val="0"/>
              <w:marBottom w:val="0"/>
              <w:divBdr>
                <w:top w:val="none" w:sz="0" w:space="0" w:color="auto"/>
                <w:left w:val="none" w:sz="0" w:space="0" w:color="auto"/>
                <w:bottom w:val="none" w:sz="0" w:space="0" w:color="auto"/>
                <w:right w:val="none" w:sz="0" w:space="0" w:color="auto"/>
              </w:divBdr>
            </w:div>
            <w:div w:id="1518494666">
              <w:marLeft w:val="0"/>
              <w:marRight w:val="0"/>
              <w:marTop w:val="0"/>
              <w:marBottom w:val="0"/>
              <w:divBdr>
                <w:top w:val="none" w:sz="0" w:space="0" w:color="auto"/>
                <w:left w:val="none" w:sz="0" w:space="0" w:color="auto"/>
                <w:bottom w:val="none" w:sz="0" w:space="0" w:color="auto"/>
                <w:right w:val="none" w:sz="0" w:space="0" w:color="auto"/>
              </w:divBdr>
            </w:div>
            <w:div w:id="1544369777">
              <w:marLeft w:val="0"/>
              <w:marRight w:val="0"/>
              <w:marTop w:val="0"/>
              <w:marBottom w:val="0"/>
              <w:divBdr>
                <w:top w:val="none" w:sz="0" w:space="0" w:color="auto"/>
                <w:left w:val="none" w:sz="0" w:space="0" w:color="auto"/>
                <w:bottom w:val="none" w:sz="0" w:space="0" w:color="auto"/>
                <w:right w:val="none" w:sz="0" w:space="0" w:color="auto"/>
              </w:divBdr>
            </w:div>
            <w:div w:id="1546212141">
              <w:marLeft w:val="0"/>
              <w:marRight w:val="0"/>
              <w:marTop w:val="0"/>
              <w:marBottom w:val="0"/>
              <w:divBdr>
                <w:top w:val="none" w:sz="0" w:space="0" w:color="auto"/>
                <w:left w:val="none" w:sz="0" w:space="0" w:color="auto"/>
                <w:bottom w:val="none" w:sz="0" w:space="0" w:color="auto"/>
                <w:right w:val="none" w:sz="0" w:space="0" w:color="auto"/>
              </w:divBdr>
            </w:div>
            <w:div w:id="1600135478">
              <w:marLeft w:val="0"/>
              <w:marRight w:val="0"/>
              <w:marTop w:val="0"/>
              <w:marBottom w:val="0"/>
              <w:divBdr>
                <w:top w:val="none" w:sz="0" w:space="0" w:color="auto"/>
                <w:left w:val="none" w:sz="0" w:space="0" w:color="auto"/>
                <w:bottom w:val="none" w:sz="0" w:space="0" w:color="auto"/>
                <w:right w:val="none" w:sz="0" w:space="0" w:color="auto"/>
              </w:divBdr>
            </w:div>
            <w:div w:id="2044279292">
              <w:marLeft w:val="0"/>
              <w:marRight w:val="0"/>
              <w:marTop w:val="0"/>
              <w:marBottom w:val="0"/>
              <w:divBdr>
                <w:top w:val="none" w:sz="0" w:space="0" w:color="auto"/>
                <w:left w:val="none" w:sz="0" w:space="0" w:color="auto"/>
                <w:bottom w:val="none" w:sz="0" w:space="0" w:color="auto"/>
                <w:right w:val="none" w:sz="0" w:space="0" w:color="auto"/>
              </w:divBdr>
            </w:div>
            <w:div w:id="2118058060">
              <w:marLeft w:val="0"/>
              <w:marRight w:val="0"/>
              <w:marTop w:val="0"/>
              <w:marBottom w:val="0"/>
              <w:divBdr>
                <w:top w:val="none" w:sz="0" w:space="0" w:color="auto"/>
                <w:left w:val="none" w:sz="0" w:space="0" w:color="auto"/>
                <w:bottom w:val="none" w:sz="0" w:space="0" w:color="auto"/>
                <w:right w:val="none" w:sz="0" w:space="0" w:color="auto"/>
              </w:divBdr>
            </w:div>
          </w:divsChild>
        </w:div>
        <w:div w:id="1545947018">
          <w:marLeft w:val="0"/>
          <w:marRight w:val="0"/>
          <w:marTop w:val="0"/>
          <w:marBottom w:val="0"/>
          <w:divBdr>
            <w:top w:val="none" w:sz="0" w:space="0" w:color="auto"/>
            <w:left w:val="none" w:sz="0" w:space="0" w:color="auto"/>
            <w:bottom w:val="none" w:sz="0" w:space="0" w:color="auto"/>
            <w:right w:val="none" w:sz="0" w:space="0" w:color="auto"/>
          </w:divBdr>
          <w:divsChild>
            <w:div w:id="159007397">
              <w:marLeft w:val="0"/>
              <w:marRight w:val="0"/>
              <w:marTop w:val="0"/>
              <w:marBottom w:val="0"/>
              <w:divBdr>
                <w:top w:val="none" w:sz="0" w:space="0" w:color="auto"/>
                <w:left w:val="none" w:sz="0" w:space="0" w:color="auto"/>
                <w:bottom w:val="none" w:sz="0" w:space="0" w:color="auto"/>
                <w:right w:val="none" w:sz="0" w:space="0" w:color="auto"/>
              </w:divBdr>
            </w:div>
            <w:div w:id="184295630">
              <w:marLeft w:val="0"/>
              <w:marRight w:val="0"/>
              <w:marTop w:val="0"/>
              <w:marBottom w:val="0"/>
              <w:divBdr>
                <w:top w:val="none" w:sz="0" w:space="0" w:color="auto"/>
                <w:left w:val="none" w:sz="0" w:space="0" w:color="auto"/>
                <w:bottom w:val="none" w:sz="0" w:space="0" w:color="auto"/>
                <w:right w:val="none" w:sz="0" w:space="0" w:color="auto"/>
              </w:divBdr>
            </w:div>
            <w:div w:id="499586866">
              <w:marLeft w:val="0"/>
              <w:marRight w:val="0"/>
              <w:marTop w:val="0"/>
              <w:marBottom w:val="0"/>
              <w:divBdr>
                <w:top w:val="none" w:sz="0" w:space="0" w:color="auto"/>
                <w:left w:val="none" w:sz="0" w:space="0" w:color="auto"/>
                <w:bottom w:val="none" w:sz="0" w:space="0" w:color="auto"/>
                <w:right w:val="none" w:sz="0" w:space="0" w:color="auto"/>
              </w:divBdr>
            </w:div>
            <w:div w:id="694623967">
              <w:marLeft w:val="0"/>
              <w:marRight w:val="0"/>
              <w:marTop w:val="0"/>
              <w:marBottom w:val="0"/>
              <w:divBdr>
                <w:top w:val="none" w:sz="0" w:space="0" w:color="auto"/>
                <w:left w:val="none" w:sz="0" w:space="0" w:color="auto"/>
                <w:bottom w:val="none" w:sz="0" w:space="0" w:color="auto"/>
                <w:right w:val="none" w:sz="0" w:space="0" w:color="auto"/>
              </w:divBdr>
            </w:div>
            <w:div w:id="728504894">
              <w:marLeft w:val="0"/>
              <w:marRight w:val="0"/>
              <w:marTop w:val="0"/>
              <w:marBottom w:val="0"/>
              <w:divBdr>
                <w:top w:val="none" w:sz="0" w:space="0" w:color="auto"/>
                <w:left w:val="none" w:sz="0" w:space="0" w:color="auto"/>
                <w:bottom w:val="none" w:sz="0" w:space="0" w:color="auto"/>
                <w:right w:val="none" w:sz="0" w:space="0" w:color="auto"/>
              </w:divBdr>
            </w:div>
            <w:div w:id="785008408">
              <w:marLeft w:val="0"/>
              <w:marRight w:val="0"/>
              <w:marTop w:val="0"/>
              <w:marBottom w:val="0"/>
              <w:divBdr>
                <w:top w:val="none" w:sz="0" w:space="0" w:color="auto"/>
                <w:left w:val="none" w:sz="0" w:space="0" w:color="auto"/>
                <w:bottom w:val="none" w:sz="0" w:space="0" w:color="auto"/>
                <w:right w:val="none" w:sz="0" w:space="0" w:color="auto"/>
              </w:divBdr>
            </w:div>
            <w:div w:id="858355825">
              <w:marLeft w:val="0"/>
              <w:marRight w:val="0"/>
              <w:marTop w:val="0"/>
              <w:marBottom w:val="0"/>
              <w:divBdr>
                <w:top w:val="none" w:sz="0" w:space="0" w:color="auto"/>
                <w:left w:val="none" w:sz="0" w:space="0" w:color="auto"/>
                <w:bottom w:val="none" w:sz="0" w:space="0" w:color="auto"/>
                <w:right w:val="none" w:sz="0" w:space="0" w:color="auto"/>
              </w:divBdr>
            </w:div>
            <w:div w:id="919750566">
              <w:marLeft w:val="0"/>
              <w:marRight w:val="0"/>
              <w:marTop w:val="0"/>
              <w:marBottom w:val="0"/>
              <w:divBdr>
                <w:top w:val="none" w:sz="0" w:space="0" w:color="auto"/>
                <w:left w:val="none" w:sz="0" w:space="0" w:color="auto"/>
                <w:bottom w:val="none" w:sz="0" w:space="0" w:color="auto"/>
                <w:right w:val="none" w:sz="0" w:space="0" w:color="auto"/>
              </w:divBdr>
            </w:div>
            <w:div w:id="954869747">
              <w:marLeft w:val="0"/>
              <w:marRight w:val="0"/>
              <w:marTop w:val="0"/>
              <w:marBottom w:val="0"/>
              <w:divBdr>
                <w:top w:val="none" w:sz="0" w:space="0" w:color="auto"/>
                <w:left w:val="none" w:sz="0" w:space="0" w:color="auto"/>
                <w:bottom w:val="none" w:sz="0" w:space="0" w:color="auto"/>
                <w:right w:val="none" w:sz="0" w:space="0" w:color="auto"/>
              </w:divBdr>
            </w:div>
            <w:div w:id="1003438747">
              <w:marLeft w:val="0"/>
              <w:marRight w:val="0"/>
              <w:marTop w:val="0"/>
              <w:marBottom w:val="0"/>
              <w:divBdr>
                <w:top w:val="none" w:sz="0" w:space="0" w:color="auto"/>
                <w:left w:val="none" w:sz="0" w:space="0" w:color="auto"/>
                <w:bottom w:val="none" w:sz="0" w:space="0" w:color="auto"/>
                <w:right w:val="none" w:sz="0" w:space="0" w:color="auto"/>
              </w:divBdr>
            </w:div>
            <w:div w:id="1125346203">
              <w:marLeft w:val="0"/>
              <w:marRight w:val="0"/>
              <w:marTop w:val="0"/>
              <w:marBottom w:val="0"/>
              <w:divBdr>
                <w:top w:val="none" w:sz="0" w:space="0" w:color="auto"/>
                <w:left w:val="none" w:sz="0" w:space="0" w:color="auto"/>
                <w:bottom w:val="none" w:sz="0" w:space="0" w:color="auto"/>
                <w:right w:val="none" w:sz="0" w:space="0" w:color="auto"/>
              </w:divBdr>
            </w:div>
            <w:div w:id="1160538217">
              <w:marLeft w:val="0"/>
              <w:marRight w:val="0"/>
              <w:marTop w:val="0"/>
              <w:marBottom w:val="0"/>
              <w:divBdr>
                <w:top w:val="none" w:sz="0" w:space="0" w:color="auto"/>
                <w:left w:val="none" w:sz="0" w:space="0" w:color="auto"/>
                <w:bottom w:val="none" w:sz="0" w:space="0" w:color="auto"/>
                <w:right w:val="none" w:sz="0" w:space="0" w:color="auto"/>
              </w:divBdr>
            </w:div>
            <w:div w:id="1356081502">
              <w:marLeft w:val="0"/>
              <w:marRight w:val="0"/>
              <w:marTop w:val="0"/>
              <w:marBottom w:val="0"/>
              <w:divBdr>
                <w:top w:val="none" w:sz="0" w:space="0" w:color="auto"/>
                <w:left w:val="none" w:sz="0" w:space="0" w:color="auto"/>
                <w:bottom w:val="none" w:sz="0" w:space="0" w:color="auto"/>
                <w:right w:val="none" w:sz="0" w:space="0" w:color="auto"/>
              </w:divBdr>
            </w:div>
            <w:div w:id="1368524595">
              <w:marLeft w:val="0"/>
              <w:marRight w:val="0"/>
              <w:marTop w:val="0"/>
              <w:marBottom w:val="0"/>
              <w:divBdr>
                <w:top w:val="none" w:sz="0" w:space="0" w:color="auto"/>
                <w:left w:val="none" w:sz="0" w:space="0" w:color="auto"/>
                <w:bottom w:val="none" w:sz="0" w:space="0" w:color="auto"/>
                <w:right w:val="none" w:sz="0" w:space="0" w:color="auto"/>
              </w:divBdr>
            </w:div>
            <w:div w:id="1457723039">
              <w:marLeft w:val="0"/>
              <w:marRight w:val="0"/>
              <w:marTop w:val="0"/>
              <w:marBottom w:val="0"/>
              <w:divBdr>
                <w:top w:val="none" w:sz="0" w:space="0" w:color="auto"/>
                <w:left w:val="none" w:sz="0" w:space="0" w:color="auto"/>
                <w:bottom w:val="none" w:sz="0" w:space="0" w:color="auto"/>
                <w:right w:val="none" w:sz="0" w:space="0" w:color="auto"/>
              </w:divBdr>
            </w:div>
            <w:div w:id="1484541717">
              <w:marLeft w:val="0"/>
              <w:marRight w:val="0"/>
              <w:marTop w:val="0"/>
              <w:marBottom w:val="0"/>
              <w:divBdr>
                <w:top w:val="none" w:sz="0" w:space="0" w:color="auto"/>
                <w:left w:val="none" w:sz="0" w:space="0" w:color="auto"/>
                <w:bottom w:val="none" w:sz="0" w:space="0" w:color="auto"/>
                <w:right w:val="none" w:sz="0" w:space="0" w:color="auto"/>
              </w:divBdr>
            </w:div>
            <w:div w:id="1510833396">
              <w:marLeft w:val="0"/>
              <w:marRight w:val="0"/>
              <w:marTop w:val="0"/>
              <w:marBottom w:val="0"/>
              <w:divBdr>
                <w:top w:val="none" w:sz="0" w:space="0" w:color="auto"/>
                <w:left w:val="none" w:sz="0" w:space="0" w:color="auto"/>
                <w:bottom w:val="none" w:sz="0" w:space="0" w:color="auto"/>
                <w:right w:val="none" w:sz="0" w:space="0" w:color="auto"/>
              </w:divBdr>
            </w:div>
            <w:div w:id="1700663098">
              <w:marLeft w:val="0"/>
              <w:marRight w:val="0"/>
              <w:marTop w:val="0"/>
              <w:marBottom w:val="0"/>
              <w:divBdr>
                <w:top w:val="none" w:sz="0" w:space="0" w:color="auto"/>
                <w:left w:val="none" w:sz="0" w:space="0" w:color="auto"/>
                <w:bottom w:val="none" w:sz="0" w:space="0" w:color="auto"/>
                <w:right w:val="none" w:sz="0" w:space="0" w:color="auto"/>
              </w:divBdr>
            </w:div>
            <w:div w:id="1741441927">
              <w:marLeft w:val="0"/>
              <w:marRight w:val="0"/>
              <w:marTop w:val="0"/>
              <w:marBottom w:val="0"/>
              <w:divBdr>
                <w:top w:val="none" w:sz="0" w:space="0" w:color="auto"/>
                <w:left w:val="none" w:sz="0" w:space="0" w:color="auto"/>
                <w:bottom w:val="none" w:sz="0" w:space="0" w:color="auto"/>
                <w:right w:val="none" w:sz="0" w:space="0" w:color="auto"/>
              </w:divBdr>
            </w:div>
            <w:div w:id="1858084047">
              <w:marLeft w:val="0"/>
              <w:marRight w:val="0"/>
              <w:marTop w:val="0"/>
              <w:marBottom w:val="0"/>
              <w:divBdr>
                <w:top w:val="none" w:sz="0" w:space="0" w:color="auto"/>
                <w:left w:val="none" w:sz="0" w:space="0" w:color="auto"/>
                <w:bottom w:val="none" w:sz="0" w:space="0" w:color="auto"/>
                <w:right w:val="none" w:sz="0" w:space="0" w:color="auto"/>
              </w:divBdr>
            </w:div>
            <w:div w:id="1897275265">
              <w:marLeft w:val="0"/>
              <w:marRight w:val="0"/>
              <w:marTop w:val="0"/>
              <w:marBottom w:val="0"/>
              <w:divBdr>
                <w:top w:val="none" w:sz="0" w:space="0" w:color="auto"/>
                <w:left w:val="none" w:sz="0" w:space="0" w:color="auto"/>
                <w:bottom w:val="none" w:sz="0" w:space="0" w:color="auto"/>
                <w:right w:val="none" w:sz="0" w:space="0" w:color="auto"/>
              </w:divBdr>
            </w:div>
          </w:divsChild>
        </w:div>
        <w:div w:id="1546747263">
          <w:marLeft w:val="0"/>
          <w:marRight w:val="0"/>
          <w:marTop w:val="0"/>
          <w:marBottom w:val="0"/>
          <w:divBdr>
            <w:top w:val="none" w:sz="0" w:space="0" w:color="auto"/>
            <w:left w:val="none" w:sz="0" w:space="0" w:color="auto"/>
            <w:bottom w:val="none" w:sz="0" w:space="0" w:color="auto"/>
            <w:right w:val="none" w:sz="0" w:space="0" w:color="auto"/>
          </w:divBdr>
        </w:div>
        <w:div w:id="1548646624">
          <w:marLeft w:val="0"/>
          <w:marRight w:val="0"/>
          <w:marTop w:val="0"/>
          <w:marBottom w:val="0"/>
          <w:divBdr>
            <w:top w:val="none" w:sz="0" w:space="0" w:color="auto"/>
            <w:left w:val="none" w:sz="0" w:space="0" w:color="auto"/>
            <w:bottom w:val="none" w:sz="0" w:space="0" w:color="auto"/>
            <w:right w:val="none" w:sz="0" w:space="0" w:color="auto"/>
          </w:divBdr>
        </w:div>
        <w:div w:id="1551456376">
          <w:marLeft w:val="0"/>
          <w:marRight w:val="0"/>
          <w:marTop w:val="0"/>
          <w:marBottom w:val="0"/>
          <w:divBdr>
            <w:top w:val="none" w:sz="0" w:space="0" w:color="auto"/>
            <w:left w:val="none" w:sz="0" w:space="0" w:color="auto"/>
            <w:bottom w:val="none" w:sz="0" w:space="0" w:color="auto"/>
            <w:right w:val="none" w:sz="0" w:space="0" w:color="auto"/>
          </w:divBdr>
        </w:div>
        <w:div w:id="1551722655">
          <w:marLeft w:val="0"/>
          <w:marRight w:val="0"/>
          <w:marTop w:val="0"/>
          <w:marBottom w:val="0"/>
          <w:divBdr>
            <w:top w:val="none" w:sz="0" w:space="0" w:color="auto"/>
            <w:left w:val="none" w:sz="0" w:space="0" w:color="auto"/>
            <w:bottom w:val="none" w:sz="0" w:space="0" w:color="auto"/>
            <w:right w:val="none" w:sz="0" w:space="0" w:color="auto"/>
          </w:divBdr>
        </w:div>
        <w:div w:id="1552111186">
          <w:marLeft w:val="0"/>
          <w:marRight w:val="0"/>
          <w:marTop w:val="0"/>
          <w:marBottom w:val="0"/>
          <w:divBdr>
            <w:top w:val="none" w:sz="0" w:space="0" w:color="auto"/>
            <w:left w:val="none" w:sz="0" w:space="0" w:color="auto"/>
            <w:bottom w:val="none" w:sz="0" w:space="0" w:color="auto"/>
            <w:right w:val="none" w:sz="0" w:space="0" w:color="auto"/>
          </w:divBdr>
        </w:div>
        <w:div w:id="1552225579">
          <w:marLeft w:val="0"/>
          <w:marRight w:val="0"/>
          <w:marTop w:val="0"/>
          <w:marBottom w:val="0"/>
          <w:divBdr>
            <w:top w:val="none" w:sz="0" w:space="0" w:color="auto"/>
            <w:left w:val="none" w:sz="0" w:space="0" w:color="auto"/>
            <w:bottom w:val="none" w:sz="0" w:space="0" w:color="auto"/>
            <w:right w:val="none" w:sz="0" w:space="0" w:color="auto"/>
          </w:divBdr>
        </w:div>
        <w:div w:id="1555265309">
          <w:marLeft w:val="0"/>
          <w:marRight w:val="0"/>
          <w:marTop w:val="0"/>
          <w:marBottom w:val="0"/>
          <w:divBdr>
            <w:top w:val="none" w:sz="0" w:space="0" w:color="auto"/>
            <w:left w:val="none" w:sz="0" w:space="0" w:color="auto"/>
            <w:bottom w:val="none" w:sz="0" w:space="0" w:color="auto"/>
            <w:right w:val="none" w:sz="0" w:space="0" w:color="auto"/>
          </w:divBdr>
        </w:div>
        <w:div w:id="1558474011">
          <w:marLeft w:val="0"/>
          <w:marRight w:val="0"/>
          <w:marTop w:val="0"/>
          <w:marBottom w:val="0"/>
          <w:divBdr>
            <w:top w:val="none" w:sz="0" w:space="0" w:color="auto"/>
            <w:left w:val="none" w:sz="0" w:space="0" w:color="auto"/>
            <w:bottom w:val="none" w:sz="0" w:space="0" w:color="auto"/>
            <w:right w:val="none" w:sz="0" w:space="0" w:color="auto"/>
          </w:divBdr>
        </w:div>
        <w:div w:id="1560092871">
          <w:marLeft w:val="0"/>
          <w:marRight w:val="0"/>
          <w:marTop w:val="0"/>
          <w:marBottom w:val="0"/>
          <w:divBdr>
            <w:top w:val="none" w:sz="0" w:space="0" w:color="auto"/>
            <w:left w:val="none" w:sz="0" w:space="0" w:color="auto"/>
            <w:bottom w:val="none" w:sz="0" w:space="0" w:color="auto"/>
            <w:right w:val="none" w:sz="0" w:space="0" w:color="auto"/>
          </w:divBdr>
        </w:div>
        <w:div w:id="1562519076">
          <w:marLeft w:val="0"/>
          <w:marRight w:val="0"/>
          <w:marTop w:val="0"/>
          <w:marBottom w:val="0"/>
          <w:divBdr>
            <w:top w:val="none" w:sz="0" w:space="0" w:color="auto"/>
            <w:left w:val="none" w:sz="0" w:space="0" w:color="auto"/>
            <w:bottom w:val="none" w:sz="0" w:space="0" w:color="auto"/>
            <w:right w:val="none" w:sz="0" w:space="0" w:color="auto"/>
          </w:divBdr>
        </w:div>
        <w:div w:id="1562595788">
          <w:marLeft w:val="0"/>
          <w:marRight w:val="0"/>
          <w:marTop w:val="0"/>
          <w:marBottom w:val="0"/>
          <w:divBdr>
            <w:top w:val="none" w:sz="0" w:space="0" w:color="auto"/>
            <w:left w:val="none" w:sz="0" w:space="0" w:color="auto"/>
            <w:bottom w:val="none" w:sz="0" w:space="0" w:color="auto"/>
            <w:right w:val="none" w:sz="0" w:space="0" w:color="auto"/>
          </w:divBdr>
        </w:div>
        <w:div w:id="1564483734">
          <w:marLeft w:val="0"/>
          <w:marRight w:val="0"/>
          <w:marTop w:val="0"/>
          <w:marBottom w:val="0"/>
          <w:divBdr>
            <w:top w:val="none" w:sz="0" w:space="0" w:color="auto"/>
            <w:left w:val="none" w:sz="0" w:space="0" w:color="auto"/>
            <w:bottom w:val="none" w:sz="0" w:space="0" w:color="auto"/>
            <w:right w:val="none" w:sz="0" w:space="0" w:color="auto"/>
          </w:divBdr>
        </w:div>
        <w:div w:id="1567454804">
          <w:marLeft w:val="0"/>
          <w:marRight w:val="0"/>
          <w:marTop w:val="0"/>
          <w:marBottom w:val="0"/>
          <w:divBdr>
            <w:top w:val="none" w:sz="0" w:space="0" w:color="auto"/>
            <w:left w:val="none" w:sz="0" w:space="0" w:color="auto"/>
            <w:bottom w:val="none" w:sz="0" w:space="0" w:color="auto"/>
            <w:right w:val="none" w:sz="0" w:space="0" w:color="auto"/>
          </w:divBdr>
        </w:div>
        <w:div w:id="1568611155">
          <w:marLeft w:val="0"/>
          <w:marRight w:val="0"/>
          <w:marTop w:val="0"/>
          <w:marBottom w:val="0"/>
          <w:divBdr>
            <w:top w:val="none" w:sz="0" w:space="0" w:color="auto"/>
            <w:left w:val="none" w:sz="0" w:space="0" w:color="auto"/>
            <w:bottom w:val="none" w:sz="0" w:space="0" w:color="auto"/>
            <w:right w:val="none" w:sz="0" w:space="0" w:color="auto"/>
          </w:divBdr>
        </w:div>
        <w:div w:id="1569458157">
          <w:marLeft w:val="0"/>
          <w:marRight w:val="0"/>
          <w:marTop w:val="0"/>
          <w:marBottom w:val="0"/>
          <w:divBdr>
            <w:top w:val="none" w:sz="0" w:space="0" w:color="auto"/>
            <w:left w:val="none" w:sz="0" w:space="0" w:color="auto"/>
            <w:bottom w:val="none" w:sz="0" w:space="0" w:color="auto"/>
            <w:right w:val="none" w:sz="0" w:space="0" w:color="auto"/>
          </w:divBdr>
        </w:div>
        <w:div w:id="1570115398">
          <w:marLeft w:val="0"/>
          <w:marRight w:val="0"/>
          <w:marTop w:val="0"/>
          <w:marBottom w:val="0"/>
          <w:divBdr>
            <w:top w:val="none" w:sz="0" w:space="0" w:color="auto"/>
            <w:left w:val="none" w:sz="0" w:space="0" w:color="auto"/>
            <w:bottom w:val="none" w:sz="0" w:space="0" w:color="auto"/>
            <w:right w:val="none" w:sz="0" w:space="0" w:color="auto"/>
          </w:divBdr>
        </w:div>
        <w:div w:id="1570340168">
          <w:marLeft w:val="0"/>
          <w:marRight w:val="0"/>
          <w:marTop w:val="0"/>
          <w:marBottom w:val="0"/>
          <w:divBdr>
            <w:top w:val="none" w:sz="0" w:space="0" w:color="auto"/>
            <w:left w:val="none" w:sz="0" w:space="0" w:color="auto"/>
            <w:bottom w:val="none" w:sz="0" w:space="0" w:color="auto"/>
            <w:right w:val="none" w:sz="0" w:space="0" w:color="auto"/>
          </w:divBdr>
        </w:div>
        <w:div w:id="1572428234">
          <w:marLeft w:val="0"/>
          <w:marRight w:val="0"/>
          <w:marTop w:val="0"/>
          <w:marBottom w:val="0"/>
          <w:divBdr>
            <w:top w:val="none" w:sz="0" w:space="0" w:color="auto"/>
            <w:left w:val="none" w:sz="0" w:space="0" w:color="auto"/>
            <w:bottom w:val="none" w:sz="0" w:space="0" w:color="auto"/>
            <w:right w:val="none" w:sz="0" w:space="0" w:color="auto"/>
          </w:divBdr>
        </w:div>
        <w:div w:id="1572739459">
          <w:marLeft w:val="0"/>
          <w:marRight w:val="0"/>
          <w:marTop w:val="0"/>
          <w:marBottom w:val="0"/>
          <w:divBdr>
            <w:top w:val="none" w:sz="0" w:space="0" w:color="auto"/>
            <w:left w:val="none" w:sz="0" w:space="0" w:color="auto"/>
            <w:bottom w:val="none" w:sz="0" w:space="0" w:color="auto"/>
            <w:right w:val="none" w:sz="0" w:space="0" w:color="auto"/>
          </w:divBdr>
        </w:div>
        <w:div w:id="1576547928">
          <w:marLeft w:val="0"/>
          <w:marRight w:val="0"/>
          <w:marTop w:val="0"/>
          <w:marBottom w:val="0"/>
          <w:divBdr>
            <w:top w:val="none" w:sz="0" w:space="0" w:color="auto"/>
            <w:left w:val="none" w:sz="0" w:space="0" w:color="auto"/>
            <w:bottom w:val="none" w:sz="0" w:space="0" w:color="auto"/>
            <w:right w:val="none" w:sz="0" w:space="0" w:color="auto"/>
          </w:divBdr>
        </w:div>
        <w:div w:id="1576891693">
          <w:marLeft w:val="0"/>
          <w:marRight w:val="0"/>
          <w:marTop w:val="0"/>
          <w:marBottom w:val="0"/>
          <w:divBdr>
            <w:top w:val="none" w:sz="0" w:space="0" w:color="auto"/>
            <w:left w:val="none" w:sz="0" w:space="0" w:color="auto"/>
            <w:bottom w:val="none" w:sz="0" w:space="0" w:color="auto"/>
            <w:right w:val="none" w:sz="0" w:space="0" w:color="auto"/>
          </w:divBdr>
        </w:div>
        <w:div w:id="1577518753">
          <w:marLeft w:val="0"/>
          <w:marRight w:val="0"/>
          <w:marTop w:val="0"/>
          <w:marBottom w:val="0"/>
          <w:divBdr>
            <w:top w:val="none" w:sz="0" w:space="0" w:color="auto"/>
            <w:left w:val="none" w:sz="0" w:space="0" w:color="auto"/>
            <w:bottom w:val="none" w:sz="0" w:space="0" w:color="auto"/>
            <w:right w:val="none" w:sz="0" w:space="0" w:color="auto"/>
          </w:divBdr>
        </w:div>
        <w:div w:id="1578439783">
          <w:marLeft w:val="0"/>
          <w:marRight w:val="0"/>
          <w:marTop w:val="0"/>
          <w:marBottom w:val="0"/>
          <w:divBdr>
            <w:top w:val="none" w:sz="0" w:space="0" w:color="auto"/>
            <w:left w:val="none" w:sz="0" w:space="0" w:color="auto"/>
            <w:bottom w:val="none" w:sz="0" w:space="0" w:color="auto"/>
            <w:right w:val="none" w:sz="0" w:space="0" w:color="auto"/>
          </w:divBdr>
        </w:div>
        <w:div w:id="1578636784">
          <w:marLeft w:val="0"/>
          <w:marRight w:val="0"/>
          <w:marTop w:val="0"/>
          <w:marBottom w:val="0"/>
          <w:divBdr>
            <w:top w:val="none" w:sz="0" w:space="0" w:color="auto"/>
            <w:left w:val="none" w:sz="0" w:space="0" w:color="auto"/>
            <w:bottom w:val="none" w:sz="0" w:space="0" w:color="auto"/>
            <w:right w:val="none" w:sz="0" w:space="0" w:color="auto"/>
          </w:divBdr>
        </w:div>
        <w:div w:id="1581332132">
          <w:marLeft w:val="0"/>
          <w:marRight w:val="0"/>
          <w:marTop w:val="0"/>
          <w:marBottom w:val="0"/>
          <w:divBdr>
            <w:top w:val="none" w:sz="0" w:space="0" w:color="auto"/>
            <w:left w:val="none" w:sz="0" w:space="0" w:color="auto"/>
            <w:bottom w:val="none" w:sz="0" w:space="0" w:color="auto"/>
            <w:right w:val="none" w:sz="0" w:space="0" w:color="auto"/>
          </w:divBdr>
        </w:div>
        <w:div w:id="1583293252">
          <w:marLeft w:val="0"/>
          <w:marRight w:val="0"/>
          <w:marTop w:val="0"/>
          <w:marBottom w:val="0"/>
          <w:divBdr>
            <w:top w:val="none" w:sz="0" w:space="0" w:color="auto"/>
            <w:left w:val="none" w:sz="0" w:space="0" w:color="auto"/>
            <w:bottom w:val="none" w:sz="0" w:space="0" w:color="auto"/>
            <w:right w:val="none" w:sz="0" w:space="0" w:color="auto"/>
          </w:divBdr>
        </w:div>
        <w:div w:id="1583294722">
          <w:marLeft w:val="0"/>
          <w:marRight w:val="0"/>
          <w:marTop w:val="0"/>
          <w:marBottom w:val="0"/>
          <w:divBdr>
            <w:top w:val="none" w:sz="0" w:space="0" w:color="auto"/>
            <w:left w:val="none" w:sz="0" w:space="0" w:color="auto"/>
            <w:bottom w:val="none" w:sz="0" w:space="0" w:color="auto"/>
            <w:right w:val="none" w:sz="0" w:space="0" w:color="auto"/>
          </w:divBdr>
        </w:div>
        <w:div w:id="1583445735">
          <w:marLeft w:val="0"/>
          <w:marRight w:val="0"/>
          <w:marTop w:val="0"/>
          <w:marBottom w:val="0"/>
          <w:divBdr>
            <w:top w:val="none" w:sz="0" w:space="0" w:color="auto"/>
            <w:left w:val="none" w:sz="0" w:space="0" w:color="auto"/>
            <w:bottom w:val="none" w:sz="0" w:space="0" w:color="auto"/>
            <w:right w:val="none" w:sz="0" w:space="0" w:color="auto"/>
          </w:divBdr>
        </w:div>
        <w:div w:id="1584224194">
          <w:marLeft w:val="0"/>
          <w:marRight w:val="0"/>
          <w:marTop w:val="0"/>
          <w:marBottom w:val="0"/>
          <w:divBdr>
            <w:top w:val="none" w:sz="0" w:space="0" w:color="auto"/>
            <w:left w:val="none" w:sz="0" w:space="0" w:color="auto"/>
            <w:bottom w:val="none" w:sz="0" w:space="0" w:color="auto"/>
            <w:right w:val="none" w:sz="0" w:space="0" w:color="auto"/>
          </w:divBdr>
        </w:div>
        <w:div w:id="1584333380">
          <w:marLeft w:val="0"/>
          <w:marRight w:val="0"/>
          <w:marTop w:val="0"/>
          <w:marBottom w:val="0"/>
          <w:divBdr>
            <w:top w:val="none" w:sz="0" w:space="0" w:color="auto"/>
            <w:left w:val="none" w:sz="0" w:space="0" w:color="auto"/>
            <w:bottom w:val="none" w:sz="0" w:space="0" w:color="auto"/>
            <w:right w:val="none" w:sz="0" w:space="0" w:color="auto"/>
          </w:divBdr>
        </w:div>
        <w:div w:id="1587962172">
          <w:marLeft w:val="0"/>
          <w:marRight w:val="0"/>
          <w:marTop w:val="0"/>
          <w:marBottom w:val="0"/>
          <w:divBdr>
            <w:top w:val="none" w:sz="0" w:space="0" w:color="auto"/>
            <w:left w:val="none" w:sz="0" w:space="0" w:color="auto"/>
            <w:bottom w:val="none" w:sz="0" w:space="0" w:color="auto"/>
            <w:right w:val="none" w:sz="0" w:space="0" w:color="auto"/>
          </w:divBdr>
          <w:divsChild>
            <w:div w:id="42680903">
              <w:marLeft w:val="0"/>
              <w:marRight w:val="0"/>
              <w:marTop w:val="0"/>
              <w:marBottom w:val="0"/>
              <w:divBdr>
                <w:top w:val="none" w:sz="0" w:space="0" w:color="auto"/>
                <w:left w:val="none" w:sz="0" w:space="0" w:color="auto"/>
                <w:bottom w:val="none" w:sz="0" w:space="0" w:color="auto"/>
                <w:right w:val="none" w:sz="0" w:space="0" w:color="auto"/>
              </w:divBdr>
            </w:div>
            <w:div w:id="110320800">
              <w:marLeft w:val="0"/>
              <w:marRight w:val="0"/>
              <w:marTop w:val="0"/>
              <w:marBottom w:val="0"/>
              <w:divBdr>
                <w:top w:val="none" w:sz="0" w:space="0" w:color="auto"/>
                <w:left w:val="none" w:sz="0" w:space="0" w:color="auto"/>
                <w:bottom w:val="none" w:sz="0" w:space="0" w:color="auto"/>
                <w:right w:val="none" w:sz="0" w:space="0" w:color="auto"/>
              </w:divBdr>
            </w:div>
            <w:div w:id="225068947">
              <w:marLeft w:val="0"/>
              <w:marRight w:val="0"/>
              <w:marTop w:val="0"/>
              <w:marBottom w:val="0"/>
              <w:divBdr>
                <w:top w:val="none" w:sz="0" w:space="0" w:color="auto"/>
                <w:left w:val="none" w:sz="0" w:space="0" w:color="auto"/>
                <w:bottom w:val="none" w:sz="0" w:space="0" w:color="auto"/>
                <w:right w:val="none" w:sz="0" w:space="0" w:color="auto"/>
              </w:divBdr>
            </w:div>
            <w:div w:id="335575268">
              <w:marLeft w:val="0"/>
              <w:marRight w:val="0"/>
              <w:marTop w:val="0"/>
              <w:marBottom w:val="0"/>
              <w:divBdr>
                <w:top w:val="none" w:sz="0" w:space="0" w:color="auto"/>
                <w:left w:val="none" w:sz="0" w:space="0" w:color="auto"/>
                <w:bottom w:val="none" w:sz="0" w:space="0" w:color="auto"/>
                <w:right w:val="none" w:sz="0" w:space="0" w:color="auto"/>
              </w:divBdr>
            </w:div>
            <w:div w:id="414280108">
              <w:marLeft w:val="0"/>
              <w:marRight w:val="0"/>
              <w:marTop w:val="0"/>
              <w:marBottom w:val="0"/>
              <w:divBdr>
                <w:top w:val="none" w:sz="0" w:space="0" w:color="auto"/>
                <w:left w:val="none" w:sz="0" w:space="0" w:color="auto"/>
                <w:bottom w:val="none" w:sz="0" w:space="0" w:color="auto"/>
                <w:right w:val="none" w:sz="0" w:space="0" w:color="auto"/>
              </w:divBdr>
            </w:div>
            <w:div w:id="446433382">
              <w:marLeft w:val="0"/>
              <w:marRight w:val="0"/>
              <w:marTop w:val="0"/>
              <w:marBottom w:val="0"/>
              <w:divBdr>
                <w:top w:val="none" w:sz="0" w:space="0" w:color="auto"/>
                <w:left w:val="none" w:sz="0" w:space="0" w:color="auto"/>
                <w:bottom w:val="none" w:sz="0" w:space="0" w:color="auto"/>
                <w:right w:val="none" w:sz="0" w:space="0" w:color="auto"/>
              </w:divBdr>
            </w:div>
            <w:div w:id="482162754">
              <w:marLeft w:val="0"/>
              <w:marRight w:val="0"/>
              <w:marTop w:val="0"/>
              <w:marBottom w:val="0"/>
              <w:divBdr>
                <w:top w:val="none" w:sz="0" w:space="0" w:color="auto"/>
                <w:left w:val="none" w:sz="0" w:space="0" w:color="auto"/>
                <w:bottom w:val="none" w:sz="0" w:space="0" w:color="auto"/>
                <w:right w:val="none" w:sz="0" w:space="0" w:color="auto"/>
              </w:divBdr>
            </w:div>
            <w:div w:id="811097628">
              <w:marLeft w:val="0"/>
              <w:marRight w:val="0"/>
              <w:marTop w:val="0"/>
              <w:marBottom w:val="0"/>
              <w:divBdr>
                <w:top w:val="none" w:sz="0" w:space="0" w:color="auto"/>
                <w:left w:val="none" w:sz="0" w:space="0" w:color="auto"/>
                <w:bottom w:val="none" w:sz="0" w:space="0" w:color="auto"/>
                <w:right w:val="none" w:sz="0" w:space="0" w:color="auto"/>
              </w:divBdr>
            </w:div>
            <w:div w:id="919294058">
              <w:marLeft w:val="0"/>
              <w:marRight w:val="0"/>
              <w:marTop w:val="0"/>
              <w:marBottom w:val="0"/>
              <w:divBdr>
                <w:top w:val="none" w:sz="0" w:space="0" w:color="auto"/>
                <w:left w:val="none" w:sz="0" w:space="0" w:color="auto"/>
                <w:bottom w:val="none" w:sz="0" w:space="0" w:color="auto"/>
                <w:right w:val="none" w:sz="0" w:space="0" w:color="auto"/>
              </w:divBdr>
            </w:div>
            <w:div w:id="1061751175">
              <w:marLeft w:val="0"/>
              <w:marRight w:val="0"/>
              <w:marTop w:val="0"/>
              <w:marBottom w:val="0"/>
              <w:divBdr>
                <w:top w:val="none" w:sz="0" w:space="0" w:color="auto"/>
                <w:left w:val="none" w:sz="0" w:space="0" w:color="auto"/>
                <w:bottom w:val="none" w:sz="0" w:space="0" w:color="auto"/>
                <w:right w:val="none" w:sz="0" w:space="0" w:color="auto"/>
              </w:divBdr>
            </w:div>
            <w:div w:id="1138764257">
              <w:marLeft w:val="0"/>
              <w:marRight w:val="0"/>
              <w:marTop w:val="0"/>
              <w:marBottom w:val="0"/>
              <w:divBdr>
                <w:top w:val="none" w:sz="0" w:space="0" w:color="auto"/>
                <w:left w:val="none" w:sz="0" w:space="0" w:color="auto"/>
                <w:bottom w:val="none" w:sz="0" w:space="0" w:color="auto"/>
                <w:right w:val="none" w:sz="0" w:space="0" w:color="auto"/>
              </w:divBdr>
            </w:div>
            <w:div w:id="1231622052">
              <w:marLeft w:val="0"/>
              <w:marRight w:val="0"/>
              <w:marTop w:val="0"/>
              <w:marBottom w:val="0"/>
              <w:divBdr>
                <w:top w:val="none" w:sz="0" w:space="0" w:color="auto"/>
                <w:left w:val="none" w:sz="0" w:space="0" w:color="auto"/>
                <w:bottom w:val="none" w:sz="0" w:space="0" w:color="auto"/>
                <w:right w:val="none" w:sz="0" w:space="0" w:color="auto"/>
              </w:divBdr>
            </w:div>
            <w:div w:id="1328824504">
              <w:marLeft w:val="0"/>
              <w:marRight w:val="0"/>
              <w:marTop w:val="0"/>
              <w:marBottom w:val="0"/>
              <w:divBdr>
                <w:top w:val="none" w:sz="0" w:space="0" w:color="auto"/>
                <w:left w:val="none" w:sz="0" w:space="0" w:color="auto"/>
                <w:bottom w:val="none" w:sz="0" w:space="0" w:color="auto"/>
                <w:right w:val="none" w:sz="0" w:space="0" w:color="auto"/>
              </w:divBdr>
            </w:div>
            <w:div w:id="1539271422">
              <w:marLeft w:val="0"/>
              <w:marRight w:val="0"/>
              <w:marTop w:val="0"/>
              <w:marBottom w:val="0"/>
              <w:divBdr>
                <w:top w:val="none" w:sz="0" w:space="0" w:color="auto"/>
                <w:left w:val="none" w:sz="0" w:space="0" w:color="auto"/>
                <w:bottom w:val="none" w:sz="0" w:space="0" w:color="auto"/>
                <w:right w:val="none" w:sz="0" w:space="0" w:color="auto"/>
              </w:divBdr>
            </w:div>
            <w:div w:id="1677729279">
              <w:marLeft w:val="0"/>
              <w:marRight w:val="0"/>
              <w:marTop w:val="0"/>
              <w:marBottom w:val="0"/>
              <w:divBdr>
                <w:top w:val="none" w:sz="0" w:space="0" w:color="auto"/>
                <w:left w:val="none" w:sz="0" w:space="0" w:color="auto"/>
                <w:bottom w:val="none" w:sz="0" w:space="0" w:color="auto"/>
                <w:right w:val="none" w:sz="0" w:space="0" w:color="auto"/>
              </w:divBdr>
            </w:div>
            <w:div w:id="1695302041">
              <w:marLeft w:val="0"/>
              <w:marRight w:val="0"/>
              <w:marTop w:val="0"/>
              <w:marBottom w:val="0"/>
              <w:divBdr>
                <w:top w:val="none" w:sz="0" w:space="0" w:color="auto"/>
                <w:left w:val="none" w:sz="0" w:space="0" w:color="auto"/>
                <w:bottom w:val="none" w:sz="0" w:space="0" w:color="auto"/>
                <w:right w:val="none" w:sz="0" w:space="0" w:color="auto"/>
              </w:divBdr>
            </w:div>
            <w:div w:id="1706783870">
              <w:marLeft w:val="0"/>
              <w:marRight w:val="0"/>
              <w:marTop w:val="0"/>
              <w:marBottom w:val="0"/>
              <w:divBdr>
                <w:top w:val="none" w:sz="0" w:space="0" w:color="auto"/>
                <w:left w:val="none" w:sz="0" w:space="0" w:color="auto"/>
                <w:bottom w:val="none" w:sz="0" w:space="0" w:color="auto"/>
                <w:right w:val="none" w:sz="0" w:space="0" w:color="auto"/>
              </w:divBdr>
            </w:div>
            <w:div w:id="1849518223">
              <w:marLeft w:val="0"/>
              <w:marRight w:val="0"/>
              <w:marTop w:val="0"/>
              <w:marBottom w:val="0"/>
              <w:divBdr>
                <w:top w:val="none" w:sz="0" w:space="0" w:color="auto"/>
                <w:left w:val="none" w:sz="0" w:space="0" w:color="auto"/>
                <w:bottom w:val="none" w:sz="0" w:space="0" w:color="auto"/>
                <w:right w:val="none" w:sz="0" w:space="0" w:color="auto"/>
              </w:divBdr>
            </w:div>
            <w:div w:id="1928270418">
              <w:marLeft w:val="0"/>
              <w:marRight w:val="0"/>
              <w:marTop w:val="0"/>
              <w:marBottom w:val="0"/>
              <w:divBdr>
                <w:top w:val="none" w:sz="0" w:space="0" w:color="auto"/>
                <w:left w:val="none" w:sz="0" w:space="0" w:color="auto"/>
                <w:bottom w:val="none" w:sz="0" w:space="0" w:color="auto"/>
                <w:right w:val="none" w:sz="0" w:space="0" w:color="auto"/>
              </w:divBdr>
            </w:div>
          </w:divsChild>
        </w:div>
        <w:div w:id="1589271466">
          <w:marLeft w:val="0"/>
          <w:marRight w:val="0"/>
          <w:marTop w:val="0"/>
          <w:marBottom w:val="0"/>
          <w:divBdr>
            <w:top w:val="none" w:sz="0" w:space="0" w:color="auto"/>
            <w:left w:val="none" w:sz="0" w:space="0" w:color="auto"/>
            <w:bottom w:val="none" w:sz="0" w:space="0" w:color="auto"/>
            <w:right w:val="none" w:sz="0" w:space="0" w:color="auto"/>
          </w:divBdr>
        </w:div>
        <w:div w:id="1592010173">
          <w:marLeft w:val="0"/>
          <w:marRight w:val="0"/>
          <w:marTop w:val="0"/>
          <w:marBottom w:val="0"/>
          <w:divBdr>
            <w:top w:val="none" w:sz="0" w:space="0" w:color="auto"/>
            <w:left w:val="none" w:sz="0" w:space="0" w:color="auto"/>
            <w:bottom w:val="none" w:sz="0" w:space="0" w:color="auto"/>
            <w:right w:val="none" w:sz="0" w:space="0" w:color="auto"/>
          </w:divBdr>
        </w:div>
        <w:div w:id="1592735259">
          <w:marLeft w:val="0"/>
          <w:marRight w:val="0"/>
          <w:marTop w:val="0"/>
          <w:marBottom w:val="0"/>
          <w:divBdr>
            <w:top w:val="none" w:sz="0" w:space="0" w:color="auto"/>
            <w:left w:val="none" w:sz="0" w:space="0" w:color="auto"/>
            <w:bottom w:val="none" w:sz="0" w:space="0" w:color="auto"/>
            <w:right w:val="none" w:sz="0" w:space="0" w:color="auto"/>
          </w:divBdr>
        </w:div>
        <w:div w:id="1593124796">
          <w:marLeft w:val="0"/>
          <w:marRight w:val="0"/>
          <w:marTop w:val="0"/>
          <w:marBottom w:val="0"/>
          <w:divBdr>
            <w:top w:val="none" w:sz="0" w:space="0" w:color="auto"/>
            <w:left w:val="none" w:sz="0" w:space="0" w:color="auto"/>
            <w:bottom w:val="none" w:sz="0" w:space="0" w:color="auto"/>
            <w:right w:val="none" w:sz="0" w:space="0" w:color="auto"/>
          </w:divBdr>
        </w:div>
        <w:div w:id="1596984910">
          <w:marLeft w:val="0"/>
          <w:marRight w:val="0"/>
          <w:marTop w:val="0"/>
          <w:marBottom w:val="0"/>
          <w:divBdr>
            <w:top w:val="none" w:sz="0" w:space="0" w:color="auto"/>
            <w:left w:val="none" w:sz="0" w:space="0" w:color="auto"/>
            <w:bottom w:val="none" w:sz="0" w:space="0" w:color="auto"/>
            <w:right w:val="none" w:sz="0" w:space="0" w:color="auto"/>
          </w:divBdr>
        </w:div>
        <w:div w:id="1598900410">
          <w:marLeft w:val="0"/>
          <w:marRight w:val="0"/>
          <w:marTop w:val="0"/>
          <w:marBottom w:val="0"/>
          <w:divBdr>
            <w:top w:val="none" w:sz="0" w:space="0" w:color="auto"/>
            <w:left w:val="none" w:sz="0" w:space="0" w:color="auto"/>
            <w:bottom w:val="none" w:sz="0" w:space="0" w:color="auto"/>
            <w:right w:val="none" w:sz="0" w:space="0" w:color="auto"/>
          </w:divBdr>
        </w:div>
        <w:div w:id="1599480560">
          <w:marLeft w:val="0"/>
          <w:marRight w:val="0"/>
          <w:marTop w:val="0"/>
          <w:marBottom w:val="0"/>
          <w:divBdr>
            <w:top w:val="none" w:sz="0" w:space="0" w:color="auto"/>
            <w:left w:val="none" w:sz="0" w:space="0" w:color="auto"/>
            <w:bottom w:val="none" w:sz="0" w:space="0" w:color="auto"/>
            <w:right w:val="none" w:sz="0" w:space="0" w:color="auto"/>
          </w:divBdr>
        </w:div>
        <w:div w:id="1602372797">
          <w:marLeft w:val="0"/>
          <w:marRight w:val="0"/>
          <w:marTop w:val="0"/>
          <w:marBottom w:val="0"/>
          <w:divBdr>
            <w:top w:val="none" w:sz="0" w:space="0" w:color="auto"/>
            <w:left w:val="none" w:sz="0" w:space="0" w:color="auto"/>
            <w:bottom w:val="none" w:sz="0" w:space="0" w:color="auto"/>
            <w:right w:val="none" w:sz="0" w:space="0" w:color="auto"/>
          </w:divBdr>
        </w:div>
        <w:div w:id="1602910572">
          <w:marLeft w:val="0"/>
          <w:marRight w:val="0"/>
          <w:marTop w:val="0"/>
          <w:marBottom w:val="0"/>
          <w:divBdr>
            <w:top w:val="none" w:sz="0" w:space="0" w:color="auto"/>
            <w:left w:val="none" w:sz="0" w:space="0" w:color="auto"/>
            <w:bottom w:val="none" w:sz="0" w:space="0" w:color="auto"/>
            <w:right w:val="none" w:sz="0" w:space="0" w:color="auto"/>
          </w:divBdr>
        </w:div>
        <w:div w:id="1603369214">
          <w:marLeft w:val="0"/>
          <w:marRight w:val="0"/>
          <w:marTop w:val="0"/>
          <w:marBottom w:val="0"/>
          <w:divBdr>
            <w:top w:val="none" w:sz="0" w:space="0" w:color="auto"/>
            <w:left w:val="none" w:sz="0" w:space="0" w:color="auto"/>
            <w:bottom w:val="none" w:sz="0" w:space="0" w:color="auto"/>
            <w:right w:val="none" w:sz="0" w:space="0" w:color="auto"/>
          </w:divBdr>
        </w:div>
        <w:div w:id="1604218252">
          <w:marLeft w:val="0"/>
          <w:marRight w:val="0"/>
          <w:marTop w:val="0"/>
          <w:marBottom w:val="0"/>
          <w:divBdr>
            <w:top w:val="none" w:sz="0" w:space="0" w:color="auto"/>
            <w:left w:val="none" w:sz="0" w:space="0" w:color="auto"/>
            <w:bottom w:val="none" w:sz="0" w:space="0" w:color="auto"/>
            <w:right w:val="none" w:sz="0" w:space="0" w:color="auto"/>
          </w:divBdr>
        </w:div>
        <w:div w:id="1604339855">
          <w:marLeft w:val="0"/>
          <w:marRight w:val="0"/>
          <w:marTop w:val="0"/>
          <w:marBottom w:val="0"/>
          <w:divBdr>
            <w:top w:val="none" w:sz="0" w:space="0" w:color="auto"/>
            <w:left w:val="none" w:sz="0" w:space="0" w:color="auto"/>
            <w:bottom w:val="none" w:sz="0" w:space="0" w:color="auto"/>
            <w:right w:val="none" w:sz="0" w:space="0" w:color="auto"/>
          </w:divBdr>
        </w:div>
        <w:div w:id="1605382988">
          <w:marLeft w:val="0"/>
          <w:marRight w:val="0"/>
          <w:marTop w:val="0"/>
          <w:marBottom w:val="0"/>
          <w:divBdr>
            <w:top w:val="none" w:sz="0" w:space="0" w:color="auto"/>
            <w:left w:val="none" w:sz="0" w:space="0" w:color="auto"/>
            <w:bottom w:val="none" w:sz="0" w:space="0" w:color="auto"/>
            <w:right w:val="none" w:sz="0" w:space="0" w:color="auto"/>
          </w:divBdr>
        </w:div>
        <w:div w:id="1606574500">
          <w:marLeft w:val="0"/>
          <w:marRight w:val="0"/>
          <w:marTop w:val="0"/>
          <w:marBottom w:val="0"/>
          <w:divBdr>
            <w:top w:val="none" w:sz="0" w:space="0" w:color="auto"/>
            <w:left w:val="none" w:sz="0" w:space="0" w:color="auto"/>
            <w:bottom w:val="none" w:sz="0" w:space="0" w:color="auto"/>
            <w:right w:val="none" w:sz="0" w:space="0" w:color="auto"/>
          </w:divBdr>
        </w:div>
        <w:div w:id="1607349949">
          <w:marLeft w:val="0"/>
          <w:marRight w:val="0"/>
          <w:marTop w:val="0"/>
          <w:marBottom w:val="0"/>
          <w:divBdr>
            <w:top w:val="none" w:sz="0" w:space="0" w:color="auto"/>
            <w:left w:val="none" w:sz="0" w:space="0" w:color="auto"/>
            <w:bottom w:val="none" w:sz="0" w:space="0" w:color="auto"/>
            <w:right w:val="none" w:sz="0" w:space="0" w:color="auto"/>
          </w:divBdr>
        </w:div>
        <w:div w:id="1607424901">
          <w:marLeft w:val="0"/>
          <w:marRight w:val="0"/>
          <w:marTop w:val="0"/>
          <w:marBottom w:val="0"/>
          <w:divBdr>
            <w:top w:val="none" w:sz="0" w:space="0" w:color="auto"/>
            <w:left w:val="none" w:sz="0" w:space="0" w:color="auto"/>
            <w:bottom w:val="none" w:sz="0" w:space="0" w:color="auto"/>
            <w:right w:val="none" w:sz="0" w:space="0" w:color="auto"/>
          </w:divBdr>
        </w:div>
        <w:div w:id="1608193205">
          <w:marLeft w:val="0"/>
          <w:marRight w:val="0"/>
          <w:marTop w:val="0"/>
          <w:marBottom w:val="0"/>
          <w:divBdr>
            <w:top w:val="none" w:sz="0" w:space="0" w:color="auto"/>
            <w:left w:val="none" w:sz="0" w:space="0" w:color="auto"/>
            <w:bottom w:val="none" w:sz="0" w:space="0" w:color="auto"/>
            <w:right w:val="none" w:sz="0" w:space="0" w:color="auto"/>
          </w:divBdr>
        </w:div>
        <w:div w:id="1609391866">
          <w:marLeft w:val="0"/>
          <w:marRight w:val="0"/>
          <w:marTop w:val="0"/>
          <w:marBottom w:val="0"/>
          <w:divBdr>
            <w:top w:val="none" w:sz="0" w:space="0" w:color="auto"/>
            <w:left w:val="none" w:sz="0" w:space="0" w:color="auto"/>
            <w:bottom w:val="none" w:sz="0" w:space="0" w:color="auto"/>
            <w:right w:val="none" w:sz="0" w:space="0" w:color="auto"/>
          </w:divBdr>
        </w:div>
        <w:div w:id="1609696557">
          <w:marLeft w:val="0"/>
          <w:marRight w:val="0"/>
          <w:marTop w:val="0"/>
          <w:marBottom w:val="0"/>
          <w:divBdr>
            <w:top w:val="none" w:sz="0" w:space="0" w:color="auto"/>
            <w:left w:val="none" w:sz="0" w:space="0" w:color="auto"/>
            <w:bottom w:val="none" w:sz="0" w:space="0" w:color="auto"/>
            <w:right w:val="none" w:sz="0" w:space="0" w:color="auto"/>
          </w:divBdr>
        </w:div>
        <w:div w:id="1609850703">
          <w:marLeft w:val="0"/>
          <w:marRight w:val="0"/>
          <w:marTop w:val="0"/>
          <w:marBottom w:val="0"/>
          <w:divBdr>
            <w:top w:val="none" w:sz="0" w:space="0" w:color="auto"/>
            <w:left w:val="none" w:sz="0" w:space="0" w:color="auto"/>
            <w:bottom w:val="none" w:sz="0" w:space="0" w:color="auto"/>
            <w:right w:val="none" w:sz="0" w:space="0" w:color="auto"/>
          </w:divBdr>
          <w:divsChild>
            <w:div w:id="313996594">
              <w:marLeft w:val="0"/>
              <w:marRight w:val="0"/>
              <w:marTop w:val="0"/>
              <w:marBottom w:val="0"/>
              <w:divBdr>
                <w:top w:val="none" w:sz="0" w:space="0" w:color="auto"/>
                <w:left w:val="none" w:sz="0" w:space="0" w:color="auto"/>
                <w:bottom w:val="none" w:sz="0" w:space="0" w:color="auto"/>
                <w:right w:val="none" w:sz="0" w:space="0" w:color="auto"/>
              </w:divBdr>
            </w:div>
            <w:div w:id="609245908">
              <w:marLeft w:val="0"/>
              <w:marRight w:val="0"/>
              <w:marTop w:val="0"/>
              <w:marBottom w:val="0"/>
              <w:divBdr>
                <w:top w:val="none" w:sz="0" w:space="0" w:color="auto"/>
                <w:left w:val="none" w:sz="0" w:space="0" w:color="auto"/>
                <w:bottom w:val="none" w:sz="0" w:space="0" w:color="auto"/>
                <w:right w:val="none" w:sz="0" w:space="0" w:color="auto"/>
              </w:divBdr>
            </w:div>
            <w:div w:id="632908031">
              <w:marLeft w:val="0"/>
              <w:marRight w:val="0"/>
              <w:marTop w:val="0"/>
              <w:marBottom w:val="0"/>
              <w:divBdr>
                <w:top w:val="none" w:sz="0" w:space="0" w:color="auto"/>
                <w:left w:val="none" w:sz="0" w:space="0" w:color="auto"/>
                <w:bottom w:val="none" w:sz="0" w:space="0" w:color="auto"/>
                <w:right w:val="none" w:sz="0" w:space="0" w:color="auto"/>
              </w:divBdr>
            </w:div>
            <w:div w:id="1170214429">
              <w:marLeft w:val="0"/>
              <w:marRight w:val="0"/>
              <w:marTop w:val="0"/>
              <w:marBottom w:val="0"/>
              <w:divBdr>
                <w:top w:val="none" w:sz="0" w:space="0" w:color="auto"/>
                <w:left w:val="none" w:sz="0" w:space="0" w:color="auto"/>
                <w:bottom w:val="none" w:sz="0" w:space="0" w:color="auto"/>
                <w:right w:val="none" w:sz="0" w:space="0" w:color="auto"/>
              </w:divBdr>
            </w:div>
            <w:div w:id="1534071537">
              <w:marLeft w:val="0"/>
              <w:marRight w:val="0"/>
              <w:marTop w:val="0"/>
              <w:marBottom w:val="0"/>
              <w:divBdr>
                <w:top w:val="none" w:sz="0" w:space="0" w:color="auto"/>
                <w:left w:val="none" w:sz="0" w:space="0" w:color="auto"/>
                <w:bottom w:val="none" w:sz="0" w:space="0" w:color="auto"/>
                <w:right w:val="none" w:sz="0" w:space="0" w:color="auto"/>
              </w:divBdr>
            </w:div>
            <w:div w:id="1742679364">
              <w:marLeft w:val="0"/>
              <w:marRight w:val="0"/>
              <w:marTop w:val="0"/>
              <w:marBottom w:val="0"/>
              <w:divBdr>
                <w:top w:val="none" w:sz="0" w:space="0" w:color="auto"/>
                <w:left w:val="none" w:sz="0" w:space="0" w:color="auto"/>
                <w:bottom w:val="none" w:sz="0" w:space="0" w:color="auto"/>
                <w:right w:val="none" w:sz="0" w:space="0" w:color="auto"/>
              </w:divBdr>
            </w:div>
            <w:div w:id="1788426036">
              <w:marLeft w:val="0"/>
              <w:marRight w:val="0"/>
              <w:marTop w:val="0"/>
              <w:marBottom w:val="0"/>
              <w:divBdr>
                <w:top w:val="none" w:sz="0" w:space="0" w:color="auto"/>
                <w:left w:val="none" w:sz="0" w:space="0" w:color="auto"/>
                <w:bottom w:val="none" w:sz="0" w:space="0" w:color="auto"/>
                <w:right w:val="none" w:sz="0" w:space="0" w:color="auto"/>
              </w:divBdr>
            </w:div>
            <w:div w:id="2044818613">
              <w:marLeft w:val="0"/>
              <w:marRight w:val="0"/>
              <w:marTop w:val="0"/>
              <w:marBottom w:val="0"/>
              <w:divBdr>
                <w:top w:val="none" w:sz="0" w:space="0" w:color="auto"/>
                <w:left w:val="none" w:sz="0" w:space="0" w:color="auto"/>
                <w:bottom w:val="none" w:sz="0" w:space="0" w:color="auto"/>
                <w:right w:val="none" w:sz="0" w:space="0" w:color="auto"/>
              </w:divBdr>
            </w:div>
            <w:div w:id="2127043404">
              <w:marLeft w:val="0"/>
              <w:marRight w:val="0"/>
              <w:marTop w:val="0"/>
              <w:marBottom w:val="0"/>
              <w:divBdr>
                <w:top w:val="none" w:sz="0" w:space="0" w:color="auto"/>
                <w:left w:val="none" w:sz="0" w:space="0" w:color="auto"/>
                <w:bottom w:val="none" w:sz="0" w:space="0" w:color="auto"/>
                <w:right w:val="none" w:sz="0" w:space="0" w:color="auto"/>
              </w:divBdr>
            </w:div>
          </w:divsChild>
        </w:div>
        <w:div w:id="1611816510">
          <w:marLeft w:val="0"/>
          <w:marRight w:val="0"/>
          <w:marTop w:val="0"/>
          <w:marBottom w:val="0"/>
          <w:divBdr>
            <w:top w:val="none" w:sz="0" w:space="0" w:color="auto"/>
            <w:left w:val="none" w:sz="0" w:space="0" w:color="auto"/>
            <w:bottom w:val="none" w:sz="0" w:space="0" w:color="auto"/>
            <w:right w:val="none" w:sz="0" w:space="0" w:color="auto"/>
          </w:divBdr>
          <w:divsChild>
            <w:div w:id="550195782">
              <w:marLeft w:val="-75"/>
              <w:marRight w:val="0"/>
              <w:marTop w:val="30"/>
              <w:marBottom w:val="30"/>
              <w:divBdr>
                <w:top w:val="none" w:sz="0" w:space="0" w:color="auto"/>
                <w:left w:val="none" w:sz="0" w:space="0" w:color="auto"/>
                <w:bottom w:val="none" w:sz="0" w:space="0" w:color="auto"/>
                <w:right w:val="none" w:sz="0" w:space="0" w:color="auto"/>
              </w:divBdr>
              <w:divsChild>
                <w:div w:id="78721026">
                  <w:marLeft w:val="0"/>
                  <w:marRight w:val="0"/>
                  <w:marTop w:val="0"/>
                  <w:marBottom w:val="0"/>
                  <w:divBdr>
                    <w:top w:val="none" w:sz="0" w:space="0" w:color="auto"/>
                    <w:left w:val="none" w:sz="0" w:space="0" w:color="auto"/>
                    <w:bottom w:val="none" w:sz="0" w:space="0" w:color="auto"/>
                    <w:right w:val="none" w:sz="0" w:space="0" w:color="auto"/>
                  </w:divBdr>
                  <w:divsChild>
                    <w:div w:id="1033119366">
                      <w:marLeft w:val="0"/>
                      <w:marRight w:val="0"/>
                      <w:marTop w:val="0"/>
                      <w:marBottom w:val="0"/>
                      <w:divBdr>
                        <w:top w:val="none" w:sz="0" w:space="0" w:color="auto"/>
                        <w:left w:val="none" w:sz="0" w:space="0" w:color="auto"/>
                        <w:bottom w:val="none" w:sz="0" w:space="0" w:color="auto"/>
                        <w:right w:val="none" w:sz="0" w:space="0" w:color="auto"/>
                      </w:divBdr>
                    </w:div>
                  </w:divsChild>
                </w:div>
                <w:div w:id="290944992">
                  <w:marLeft w:val="0"/>
                  <w:marRight w:val="0"/>
                  <w:marTop w:val="0"/>
                  <w:marBottom w:val="0"/>
                  <w:divBdr>
                    <w:top w:val="none" w:sz="0" w:space="0" w:color="auto"/>
                    <w:left w:val="none" w:sz="0" w:space="0" w:color="auto"/>
                    <w:bottom w:val="none" w:sz="0" w:space="0" w:color="auto"/>
                    <w:right w:val="none" w:sz="0" w:space="0" w:color="auto"/>
                  </w:divBdr>
                  <w:divsChild>
                    <w:div w:id="1038773239">
                      <w:marLeft w:val="0"/>
                      <w:marRight w:val="0"/>
                      <w:marTop w:val="0"/>
                      <w:marBottom w:val="0"/>
                      <w:divBdr>
                        <w:top w:val="none" w:sz="0" w:space="0" w:color="auto"/>
                        <w:left w:val="none" w:sz="0" w:space="0" w:color="auto"/>
                        <w:bottom w:val="none" w:sz="0" w:space="0" w:color="auto"/>
                        <w:right w:val="none" w:sz="0" w:space="0" w:color="auto"/>
                      </w:divBdr>
                    </w:div>
                  </w:divsChild>
                </w:div>
                <w:div w:id="336270663">
                  <w:marLeft w:val="0"/>
                  <w:marRight w:val="0"/>
                  <w:marTop w:val="0"/>
                  <w:marBottom w:val="0"/>
                  <w:divBdr>
                    <w:top w:val="none" w:sz="0" w:space="0" w:color="auto"/>
                    <w:left w:val="none" w:sz="0" w:space="0" w:color="auto"/>
                    <w:bottom w:val="none" w:sz="0" w:space="0" w:color="auto"/>
                    <w:right w:val="none" w:sz="0" w:space="0" w:color="auto"/>
                  </w:divBdr>
                  <w:divsChild>
                    <w:div w:id="1100293700">
                      <w:marLeft w:val="0"/>
                      <w:marRight w:val="0"/>
                      <w:marTop w:val="0"/>
                      <w:marBottom w:val="0"/>
                      <w:divBdr>
                        <w:top w:val="none" w:sz="0" w:space="0" w:color="auto"/>
                        <w:left w:val="none" w:sz="0" w:space="0" w:color="auto"/>
                        <w:bottom w:val="none" w:sz="0" w:space="0" w:color="auto"/>
                        <w:right w:val="none" w:sz="0" w:space="0" w:color="auto"/>
                      </w:divBdr>
                    </w:div>
                  </w:divsChild>
                </w:div>
                <w:div w:id="422721081">
                  <w:marLeft w:val="0"/>
                  <w:marRight w:val="0"/>
                  <w:marTop w:val="0"/>
                  <w:marBottom w:val="0"/>
                  <w:divBdr>
                    <w:top w:val="none" w:sz="0" w:space="0" w:color="auto"/>
                    <w:left w:val="none" w:sz="0" w:space="0" w:color="auto"/>
                    <w:bottom w:val="none" w:sz="0" w:space="0" w:color="auto"/>
                    <w:right w:val="none" w:sz="0" w:space="0" w:color="auto"/>
                  </w:divBdr>
                  <w:divsChild>
                    <w:div w:id="1390958275">
                      <w:marLeft w:val="0"/>
                      <w:marRight w:val="0"/>
                      <w:marTop w:val="0"/>
                      <w:marBottom w:val="0"/>
                      <w:divBdr>
                        <w:top w:val="none" w:sz="0" w:space="0" w:color="auto"/>
                        <w:left w:val="none" w:sz="0" w:space="0" w:color="auto"/>
                        <w:bottom w:val="none" w:sz="0" w:space="0" w:color="auto"/>
                        <w:right w:val="none" w:sz="0" w:space="0" w:color="auto"/>
                      </w:divBdr>
                    </w:div>
                  </w:divsChild>
                </w:div>
                <w:div w:id="540440312">
                  <w:marLeft w:val="0"/>
                  <w:marRight w:val="0"/>
                  <w:marTop w:val="0"/>
                  <w:marBottom w:val="0"/>
                  <w:divBdr>
                    <w:top w:val="none" w:sz="0" w:space="0" w:color="auto"/>
                    <w:left w:val="none" w:sz="0" w:space="0" w:color="auto"/>
                    <w:bottom w:val="none" w:sz="0" w:space="0" w:color="auto"/>
                    <w:right w:val="none" w:sz="0" w:space="0" w:color="auto"/>
                  </w:divBdr>
                  <w:divsChild>
                    <w:div w:id="1841312796">
                      <w:marLeft w:val="0"/>
                      <w:marRight w:val="0"/>
                      <w:marTop w:val="0"/>
                      <w:marBottom w:val="0"/>
                      <w:divBdr>
                        <w:top w:val="none" w:sz="0" w:space="0" w:color="auto"/>
                        <w:left w:val="none" w:sz="0" w:space="0" w:color="auto"/>
                        <w:bottom w:val="none" w:sz="0" w:space="0" w:color="auto"/>
                        <w:right w:val="none" w:sz="0" w:space="0" w:color="auto"/>
                      </w:divBdr>
                    </w:div>
                  </w:divsChild>
                </w:div>
                <w:div w:id="790712890">
                  <w:marLeft w:val="0"/>
                  <w:marRight w:val="0"/>
                  <w:marTop w:val="0"/>
                  <w:marBottom w:val="0"/>
                  <w:divBdr>
                    <w:top w:val="none" w:sz="0" w:space="0" w:color="auto"/>
                    <w:left w:val="none" w:sz="0" w:space="0" w:color="auto"/>
                    <w:bottom w:val="none" w:sz="0" w:space="0" w:color="auto"/>
                    <w:right w:val="none" w:sz="0" w:space="0" w:color="auto"/>
                  </w:divBdr>
                  <w:divsChild>
                    <w:div w:id="1271935698">
                      <w:marLeft w:val="0"/>
                      <w:marRight w:val="0"/>
                      <w:marTop w:val="0"/>
                      <w:marBottom w:val="0"/>
                      <w:divBdr>
                        <w:top w:val="none" w:sz="0" w:space="0" w:color="auto"/>
                        <w:left w:val="none" w:sz="0" w:space="0" w:color="auto"/>
                        <w:bottom w:val="none" w:sz="0" w:space="0" w:color="auto"/>
                        <w:right w:val="none" w:sz="0" w:space="0" w:color="auto"/>
                      </w:divBdr>
                    </w:div>
                  </w:divsChild>
                </w:div>
                <w:div w:id="974070142">
                  <w:marLeft w:val="0"/>
                  <w:marRight w:val="0"/>
                  <w:marTop w:val="0"/>
                  <w:marBottom w:val="0"/>
                  <w:divBdr>
                    <w:top w:val="none" w:sz="0" w:space="0" w:color="auto"/>
                    <w:left w:val="none" w:sz="0" w:space="0" w:color="auto"/>
                    <w:bottom w:val="none" w:sz="0" w:space="0" w:color="auto"/>
                    <w:right w:val="none" w:sz="0" w:space="0" w:color="auto"/>
                  </w:divBdr>
                  <w:divsChild>
                    <w:div w:id="1192648445">
                      <w:marLeft w:val="0"/>
                      <w:marRight w:val="0"/>
                      <w:marTop w:val="0"/>
                      <w:marBottom w:val="0"/>
                      <w:divBdr>
                        <w:top w:val="none" w:sz="0" w:space="0" w:color="auto"/>
                        <w:left w:val="none" w:sz="0" w:space="0" w:color="auto"/>
                        <w:bottom w:val="none" w:sz="0" w:space="0" w:color="auto"/>
                        <w:right w:val="none" w:sz="0" w:space="0" w:color="auto"/>
                      </w:divBdr>
                    </w:div>
                  </w:divsChild>
                </w:div>
                <w:div w:id="1198353701">
                  <w:marLeft w:val="0"/>
                  <w:marRight w:val="0"/>
                  <w:marTop w:val="0"/>
                  <w:marBottom w:val="0"/>
                  <w:divBdr>
                    <w:top w:val="none" w:sz="0" w:space="0" w:color="auto"/>
                    <w:left w:val="none" w:sz="0" w:space="0" w:color="auto"/>
                    <w:bottom w:val="none" w:sz="0" w:space="0" w:color="auto"/>
                    <w:right w:val="none" w:sz="0" w:space="0" w:color="auto"/>
                  </w:divBdr>
                  <w:divsChild>
                    <w:div w:id="130247239">
                      <w:marLeft w:val="0"/>
                      <w:marRight w:val="0"/>
                      <w:marTop w:val="0"/>
                      <w:marBottom w:val="0"/>
                      <w:divBdr>
                        <w:top w:val="none" w:sz="0" w:space="0" w:color="auto"/>
                        <w:left w:val="none" w:sz="0" w:space="0" w:color="auto"/>
                        <w:bottom w:val="none" w:sz="0" w:space="0" w:color="auto"/>
                        <w:right w:val="none" w:sz="0" w:space="0" w:color="auto"/>
                      </w:divBdr>
                    </w:div>
                  </w:divsChild>
                </w:div>
                <w:div w:id="1280333225">
                  <w:marLeft w:val="0"/>
                  <w:marRight w:val="0"/>
                  <w:marTop w:val="0"/>
                  <w:marBottom w:val="0"/>
                  <w:divBdr>
                    <w:top w:val="none" w:sz="0" w:space="0" w:color="auto"/>
                    <w:left w:val="none" w:sz="0" w:space="0" w:color="auto"/>
                    <w:bottom w:val="none" w:sz="0" w:space="0" w:color="auto"/>
                    <w:right w:val="none" w:sz="0" w:space="0" w:color="auto"/>
                  </w:divBdr>
                  <w:divsChild>
                    <w:div w:id="1709647146">
                      <w:marLeft w:val="0"/>
                      <w:marRight w:val="0"/>
                      <w:marTop w:val="0"/>
                      <w:marBottom w:val="0"/>
                      <w:divBdr>
                        <w:top w:val="none" w:sz="0" w:space="0" w:color="auto"/>
                        <w:left w:val="none" w:sz="0" w:space="0" w:color="auto"/>
                        <w:bottom w:val="none" w:sz="0" w:space="0" w:color="auto"/>
                        <w:right w:val="none" w:sz="0" w:space="0" w:color="auto"/>
                      </w:divBdr>
                    </w:div>
                  </w:divsChild>
                </w:div>
                <w:div w:id="1344353667">
                  <w:marLeft w:val="0"/>
                  <w:marRight w:val="0"/>
                  <w:marTop w:val="0"/>
                  <w:marBottom w:val="0"/>
                  <w:divBdr>
                    <w:top w:val="none" w:sz="0" w:space="0" w:color="auto"/>
                    <w:left w:val="none" w:sz="0" w:space="0" w:color="auto"/>
                    <w:bottom w:val="none" w:sz="0" w:space="0" w:color="auto"/>
                    <w:right w:val="none" w:sz="0" w:space="0" w:color="auto"/>
                  </w:divBdr>
                  <w:divsChild>
                    <w:div w:id="825515860">
                      <w:marLeft w:val="0"/>
                      <w:marRight w:val="0"/>
                      <w:marTop w:val="0"/>
                      <w:marBottom w:val="0"/>
                      <w:divBdr>
                        <w:top w:val="none" w:sz="0" w:space="0" w:color="auto"/>
                        <w:left w:val="none" w:sz="0" w:space="0" w:color="auto"/>
                        <w:bottom w:val="none" w:sz="0" w:space="0" w:color="auto"/>
                        <w:right w:val="none" w:sz="0" w:space="0" w:color="auto"/>
                      </w:divBdr>
                    </w:div>
                  </w:divsChild>
                </w:div>
                <w:div w:id="1683506002">
                  <w:marLeft w:val="0"/>
                  <w:marRight w:val="0"/>
                  <w:marTop w:val="0"/>
                  <w:marBottom w:val="0"/>
                  <w:divBdr>
                    <w:top w:val="none" w:sz="0" w:space="0" w:color="auto"/>
                    <w:left w:val="none" w:sz="0" w:space="0" w:color="auto"/>
                    <w:bottom w:val="none" w:sz="0" w:space="0" w:color="auto"/>
                    <w:right w:val="none" w:sz="0" w:space="0" w:color="auto"/>
                  </w:divBdr>
                  <w:divsChild>
                    <w:div w:id="1877309578">
                      <w:marLeft w:val="0"/>
                      <w:marRight w:val="0"/>
                      <w:marTop w:val="0"/>
                      <w:marBottom w:val="0"/>
                      <w:divBdr>
                        <w:top w:val="none" w:sz="0" w:space="0" w:color="auto"/>
                        <w:left w:val="none" w:sz="0" w:space="0" w:color="auto"/>
                        <w:bottom w:val="none" w:sz="0" w:space="0" w:color="auto"/>
                        <w:right w:val="none" w:sz="0" w:space="0" w:color="auto"/>
                      </w:divBdr>
                    </w:div>
                  </w:divsChild>
                </w:div>
                <w:div w:id="1813448470">
                  <w:marLeft w:val="0"/>
                  <w:marRight w:val="0"/>
                  <w:marTop w:val="0"/>
                  <w:marBottom w:val="0"/>
                  <w:divBdr>
                    <w:top w:val="none" w:sz="0" w:space="0" w:color="auto"/>
                    <w:left w:val="none" w:sz="0" w:space="0" w:color="auto"/>
                    <w:bottom w:val="none" w:sz="0" w:space="0" w:color="auto"/>
                    <w:right w:val="none" w:sz="0" w:space="0" w:color="auto"/>
                  </w:divBdr>
                  <w:divsChild>
                    <w:div w:id="180692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5400">
          <w:marLeft w:val="0"/>
          <w:marRight w:val="0"/>
          <w:marTop w:val="0"/>
          <w:marBottom w:val="0"/>
          <w:divBdr>
            <w:top w:val="none" w:sz="0" w:space="0" w:color="auto"/>
            <w:left w:val="none" w:sz="0" w:space="0" w:color="auto"/>
            <w:bottom w:val="none" w:sz="0" w:space="0" w:color="auto"/>
            <w:right w:val="none" w:sz="0" w:space="0" w:color="auto"/>
          </w:divBdr>
        </w:div>
        <w:div w:id="1612737474">
          <w:marLeft w:val="0"/>
          <w:marRight w:val="0"/>
          <w:marTop w:val="0"/>
          <w:marBottom w:val="0"/>
          <w:divBdr>
            <w:top w:val="none" w:sz="0" w:space="0" w:color="auto"/>
            <w:left w:val="none" w:sz="0" w:space="0" w:color="auto"/>
            <w:bottom w:val="none" w:sz="0" w:space="0" w:color="auto"/>
            <w:right w:val="none" w:sz="0" w:space="0" w:color="auto"/>
          </w:divBdr>
        </w:div>
        <w:div w:id="1617298299">
          <w:marLeft w:val="0"/>
          <w:marRight w:val="0"/>
          <w:marTop w:val="0"/>
          <w:marBottom w:val="0"/>
          <w:divBdr>
            <w:top w:val="none" w:sz="0" w:space="0" w:color="auto"/>
            <w:left w:val="none" w:sz="0" w:space="0" w:color="auto"/>
            <w:bottom w:val="none" w:sz="0" w:space="0" w:color="auto"/>
            <w:right w:val="none" w:sz="0" w:space="0" w:color="auto"/>
          </w:divBdr>
        </w:div>
        <w:div w:id="1617711469">
          <w:marLeft w:val="0"/>
          <w:marRight w:val="0"/>
          <w:marTop w:val="0"/>
          <w:marBottom w:val="0"/>
          <w:divBdr>
            <w:top w:val="none" w:sz="0" w:space="0" w:color="auto"/>
            <w:left w:val="none" w:sz="0" w:space="0" w:color="auto"/>
            <w:bottom w:val="none" w:sz="0" w:space="0" w:color="auto"/>
            <w:right w:val="none" w:sz="0" w:space="0" w:color="auto"/>
          </w:divBdr>
        </w:div>
        <w:div w:id="1618756229">
          <w:marLeft w:val="0"/>
          <w:marRight w:val="0"/>
          <w:marTop w:val="0"/>
          <w:marBottom w:val="0"/>
          <w:divBdr>
            <w:top w:val="none" w:sz="0" w:space="0" w:color="auto"/>
            <w:left w:val="none" w:sz="0" w:space="0" w:color="auto"/>
            <w:bottom w:val="none" w:sz="0" w:space="0" w:color="auto"/>
            <w:right w:val="none" w:sz="0" w:space="0" w:color="auto"/>
          </w:divBdr>
        </w:div>
        <w:div w:id="1620918856">
          <w:marLeft w:val="0"/>
          <w:marRight w:val="0"/>
          <w:marTop w:val="0"/>
          <w:marBottom w:val="0"/>
          <w:divBdr>
            <w:top w:val="none" w:sz="0" w:space="0" w:color="auto"/>
            <w:left w:val="none" w:sz="0" w:space="0" w:color="auto"/>
            <w:bottom w:val="none" w:sz="0" w:space="0" w:color="auto"/>
            <w:right w:val="none" w:sz="0" w:space="0" w:color="auto"/>
          </w:divBdr>
          <w:divsChild>
            <w:div w:id="9845722">
              <w:marLeft w:val="0"/>
              <w:marRight w:val="0"/>
              <w:marTop w:val="0"/>
              <w:marBottom w:val="0"/>
              <w:divBdr>
                <w:top w:val="none" w:sz="0" w:space="0" w:color="auto"/>
                <w:left w:val="none" w:sz="0" w:space="0" w:color="auto"/>
                <w:bottom w:val="none" w:sz="0" w:space="0" w:color="auto"/>
                <w:right w:val="none" w:sz="0" w:space="0" w:color="auto"/>
              </w:divBdr>
            </w:div>
            <w:div w:id="375937317">
              <w:marLeft w:val="0"/>
              <w:marRight w:val="0"/>
              <w:marTop w:val="0"/>
              <w:marBottom w:val="0"/>
              <w:divBdr>
                <w:top w:val="none" w:sz="0" w:space="0" w:color="auto"/>
                <w:left w:val="none" w:sz="0" w:space="0" w:color="auto"/>
                <w:bottom w:val="none" w:sz="0" w:space="0" w:color="auto"/>
                <w:right w:val="none" w:sz="0" w:space="0" w:color="auto"/>
              </w:divBdr>
            </w:div>
            <w:div w:id="402483021">
              <w:marLeft w:val="0"/>
              <w:marRight w:val="0"/>
              <w:marTop w:val="0"/>
              <w:marBottom w:val="0"/>
              <w:divBdr>
                <w:top w:val="none" w:sz="0" w:space="0" w:color="auto"/>
                <w:left w:val="none" w:sz="0" w:space="0" w:color="auto"/>
                <w:bottom w:val="none" w:sz="0" w:space="0" w:color="auto"/>
                <w:right w:val="none" w:sz="0" w:space="0" w:color="auto"/>
              </w:divBdr>
            </w:div>
            <w:div w:id="532301732">
              <w:marLeft w:val="0"/>
              <w:marRight w:val="0"/>
              <w:marTop w:val="0"/>
              <w:marBottom w:val="0"/>
              <w:divBdr>
                <w:top w:val="none" w:sz="0" w:space="0" w:color="auto"/>
                <w:left w:val="none" w:sz="0" w:space="0" w:color="auto"/>
                <w:bottom w:val="none" w:sz="0" w:space="0" w:color="auto"/>
                <w:right w:val="none" w:sz="0" w:space="0" w:color="auto"/>
              </w:divBdr>
            </w:div>
            <w:div w:id="546844744">
              <w:marLeft w:val="0"/>
              <w:marRight w:val="0"/>
              <w:marTop w:val="0"/>
              <w:marBottom w:val="0"/>
              <w:divBdr>
                <w:top w:val="none" w:sz="0" w:space="0" w:color="auto"/>
                <w:left w:val="none" w:sz="0" w:space="0" w:color="auto"/>
                <w:bottom w:val="none" w:sz="0" w:space="0" w:color="auto"/>
                <w:right w:val="none" w:sz="0" w:space="0" w:color="auto"/>
              </w:divBdr>
            </w:div>
            <w:div w:id="666982472">
              <w:marLeft w:val="0"/>
              <w:marRight w:val="0"/>
              <w:marTop w:val="0"/>
              <w:marBottom w:val="0"/>
              <w:divBdr>
                <w:top w:val="none" w:sz="0" w:space="0" w:color="auto"/>
                <w:left w:val="none" w:sz="0" w:space="0" w:color="auto"/>
                <w:bottom w:val="none" w:sz="0" w:space="0" w:color="auto"/>
                <w:right w:val="none" w:sz="0" w:space="0" w:color="auto"/>
              </w:divBdr>
            </w:div>
            <w:div w:id="705376383">
              <w:marLeft w:val="0"/>
              <w:marRight w:val="0"/>
              <w:marTop w:val="0"/>
              <w:marBottom w:val="0"/>
              <w:divBdr>
                <w:top w:val="none" w:sz="0" w:space="0" w:color="auto"/>
                <w:left w:val="none" w:sz="0" w:space="0" w:color="auto"/>
                <w:bottom w:val="none" w:sz="0" w:space="0" w:color="auto"/>
                <w:right w:val="none" w:sz="0" w:space="0" w:color="auto"/>
              </w:divBdr>
            </w:div>
            <w:div w:id="732654547">
              <w:marLeft w:val="0"/>
              <w:marRight w:val="0"/>
              <w:marTop w:val="0"/>
              <w:marBottom w:val="0"/>
              <w:divBdr>
                <w:top w:val="none" w:sz="0" w:space="0" w:color="auto"/>
                <w:left w:val="none" w:sz="0" w:space="0" w:color="auto"/>
                <w:bottom w:val="none" w:sz="0" w:space="0" w:color="auto"/>
                <w:right w:val="none" w:sz="0" w:space="0" w:color="auto"/>
              </w:divBdr>
            </w:div>
            <w:div w:id="826558622">
              <w:marLeft w:val="0"/>
              <w:marRight w:val="0"/>
              <w:marTop w:val="0"/>
              <w:marBottom w:val="0"/>
              <w:divBdr>
                <w:top w:val="none" w:sz="0" w:space="0" w:color="auto"/>
                <w:left w:val="none" w:sz="0" w:space="0" w:color="auto"/>
                <w:bottom w:val="none" w:sz="0" w:space="0" w:color="auto"/>
                <w:right w:val="none" w:sz="0" w:space="0" w:color="auto"/>
              </w:divBdr>
            </w:div>
            <w:div w:id="1151096201">
              <w:marLeft w:val="0"/>
              <w:marRight w:val="0"/>
              <w:marTop w:val="0"/>
              <w:marBottom w:val="0"/>
              <w:divBdr>
                <w:top w:val="none" w:sz="0" w:space="0" w:color="auto"/>
                <w:left w:val="none" w:sz="0" w:space="0" w:color="auto"/>
                <w:bottom w:val="none" w:sz="0" w:space="0" w:color="auto"/>
                <w:right w:val="none" w:sz="0" w:space="0" w:color="auto"/>
              </w:divBdr>
            </w:div>
            <w:div w:id="1272785722">
              <w:marLeft w:val="0"/>
              <w:marRight w:val="0"/>
              <w:marTop w:val="0"/>
              <w:marBottom w:val="0"/>
              <w:divBdr>
                <w:top w:val="none" w:sz="0" w:space="0" w:color="auto"/>
                <w:left w:val="none" w:sz="0" w:space="0" w:color="auto"/>
                <w:bottom w:val="none" w:sz="0" w:space="0" w:color="auto"/>
                <w:right w:val="none" w:sz="0" w:space="0" w:color="auto"/>
              </w:divBdr>
            </w:div>
            <w:div w:id="1495680143">
              <w:marLeft w:val="0"/>
              <w:marRight w:val="0"/>
              <w:marTop w:val="0"/>
              <w:marBottom w:val="0"/>
              <w:divBdr>
                <w:top w:val="none" w:sz="0" w:space="0" w:color="auto"/>
                <w:left w:val="none" w:sz="0" w:space="0" w:color="auto"/>
                <w:bottom w:val="none" w:sz="0" w:space="0" w:color="auto"/>
                <w:right w:val="none" w:sz="0" w:space="0" w:color="auto"/>
              </w:divBdr>
            </w:div>
            <w:div w:id="1885873011">
              <w:marLeft w:val="0"/>
              <w:marRight w:val="0"/>
              <w:marTop w:val="0"/>
              <w:marBottom w:val="0"/>
              <w:divBdr>
                <w:top w:val="none" w:sz="0" w:space="0" w:color="auto"/>
                <w:left w:val="none" w:sz="0" w:space="0" w:color="auto"/>
                <w:bottom w:val="none" w:sz="0" w:space="0" w:color="auto"/>
                <w:right w:val="none" w:sz="0" w:space="0" w:color="auto"/>
              </w:divBdr>
            </w:div>
            <w:div w:id="1900818389">
              <w:marLeft w:val="0"/>
              <w:marRight w:val="0"/>
              <w:marTop w:val="0"/>
              <w:marBottom w:val="0"/>
              <w:divBdr>
                <w:top w:val="none" w:sz="0" w:space="0" w:color="auto"/>
                <w:left w:val="none" w:sz="0" w:space="0" w:color="auto"/>
                <w:bottom w:val="none" w:sz="0" w:space="0" w:color="auto"/>
                <w:right w:val="none" w:sz="0" w:space="0" w:color="auto"/>
              </w:divBdr>
            </w:div>
            <w:div w:id="1902785282">
              <w:marLeft w:val="0"/>
              <w:marRight w:val="0"/>
              <w:marTop w:val="0"/>
              <w:marBottom w:val="0"/>
              <w:divBdr>
                <w:top w:val="none" w:sz="0" w:space="0" w:color="auto"/>
                <w:left w:val="none" w:sz="0" w:space="0" w:color="auto"/>
                <w:bottom w:val="none" w:sz="0" w:space="0" w:color="auto"/>
                <w:right w:val="none" w:sz="0" w:space="0" w:color="auto"/>
              </w:divBdr>
            </w:div>
            <w:div w:id="1911500649">
              <w:marLeft w:val="0"/>
              <w:marRight w:val="0"/>
              <w:marTop w:val="0"/>
              <w:marBottom w:val="0"/>
              <w:divBdr>
                <w:top w:val="none" w:sz="0" w:space="0" w:color="auto"/>
                <w:left w:val="none" w:sz="0" w:space="0" w:color="auto"/>
                <w:bottom w:val="none" w:sz="0" w:space="0" w:color="auto"/>
                <w:right w:val="none" w:sz="0" w:space="0" w:color="auto"/>
              </w:divBdr>
            </w:div>
            <w:div w:id="1965189722">
              <w:marLeft w:val="0"/>
              <w:marRight w:val="0"/>
              <w:marTop w:val="0"/>
              <w:marBottom w:val="0"/>
              <w:divBdr>
                <w:top w:val="none" w:sz="0" w:space="0" w:color="auto"/>
                <w:left w:val="none" w:sz="0" w:space="0" w:color="auto"/>
                <w:bottom w:val="none" w:sz="0" w:space="0" w:color="auto"/>
                <w:right w:val="none" w:sz="0" w:space="0" w:color="auto"/>
              </w:divBdr>
            </w:div>
            <w:div w:id="2022513851">
              <w:marLeft w:val="0"/>
              <w:marRight w:val="0"/>
              <w:marTop w:val="0"/>
              <w:marBottom w:val="0"/>
              <w:divBdr>
                <w:top w:val="none" w:sz="0" w:space="0" w:color="auto"/>
                <w:left w:val="none" w:sz="0" w:space="0" w:color="auto"/>
                <w:bottom w:val="none" w:sz="0" w:space="0" w:color="auto"/>
                <w:right w:val="none" w:sz="0" w:space="0" w:color="auto"/>
              </w:divBdr>
            </w:div>
          </w:divsChild>
        </w:div>
        <w:div w:id="1620990699">
          <w:marLeft w:val="0"/>
          <w:marRight w:val="0"/>
          <w:marTop w:val="0"/>
          <w:marBottom w:val="0"/>
          <w:divBdr>
            <w:top w:val="none" w:sz="0" w:space="0" w:color="auto"/>
            <w:left w:val="none" w:sz="0" w:space="0" w:color="auto"/>
            <w:bottom w:val="none" w:sz="0" w:space="0" w:color="auto"/>
            <w:right w:val="none" w:sz="0" w:space="0" w:color="auto"/>
          </w:divBdr>
        </w:div>
        <w:div w:id="1622956331">
          <w:marLeft w:val="0"/>
          <w:marRight w:val="0"/>
          <w:marTop w:val="0"/>
          <w:marBottom w:val="0"/>
          <w:divBdr>
            <w:top w:val="none" w:sz="0" w:space="0" w:color="auto"/>
            <w:left w:val="none" w:sz="0" w:space="0" w:color="auto"/>
            <w:bottom w:val="none" w:sz="0" w:space="0" w:color="auto"/>
            <w:right w:val="none" w:sz="0" w:space="0" w:color="auto"/>
          </w:divBdr>
        </w:div>
        <w:div w:id="1623069301">
          <w:marLeft w:val="0"/>
          <w:marRight w:val="0"/>
          <w:marTop w:val="0"/>
          <w:marBottom w:val="0"/>
          <w:divBdr>
            <w:top w:val="none" w:sz="0" w:space="0" w:color="auto"/>
            <w:left w:val="none" w:sz="0" w:space="0" w:color="auto"/>
            <w:bottom w:val="none" w:sz="0" w:space="0" w:color="auto"/>
            <w:right w:val="none" w:sz="0" w:space="0" w:color="auto"/>
          </w:divBdr>
        </w:div>
        <w:div w:id="1624389100">
          <w:marLeft w:val="0"/>
          <w:marRight w:val="0"/>
          <w:marTop w:val="0"/>
          <w:marBottom w:val="0"/>
          <w:divBdr>
            <w:top w:val="none" w:sz="0" w:space="0" w:color="auto"/>
            <w:left w:val="none" w:sz="0" w:space="0" w:color="auto"/>
            <w:bottom w:val="none" w:sz="0" w:space="0" w:color="auto"/>
            <w:right w:val="none" w:sz="0" w:space="0" w:color="auto"/>
          </w:divBdr>
        </w:div>
        <w:div w:id="1624648216">
          <w:marLeft w:val="0"/>
          <w:marRight w:val="0"/>
          <w:marTop w:val="0"/>
          <w:marBottom w:val="0"/>
          <w:divBdr>
            <w:top w:val="none" w:sz="0" w:space="0" w:color="auto"/>
            <w:left w:val="none" w:sz="0" w:space="0" w:color="auto"/>
            <w:bottom w:val="none" w:sz="0" w:space="0" w:color="auto"/>
            <w:right w:val="none" w:sz="0" w:space="0" w:color="auto"/>
          </w:divBdr>
        </w:div>
        <w:div w:id="1626154458">
          <w:marLeft w:val="0"/>
          <w:marRight w:val="0"/>
          <w:marTop w:val="0"/>
          <w:marBottom w:val="0"/>
          <w:divBdr>
            <w:top w:val="none" w:sz="0" w:space="0" w:color="auto"/>
            <w:left w:val="none" w:sz="0" w:space="0" w:color="auto"/>
            <w:bottom w:val="none" w:sz="0" w:space="0" w:color="auto"/>
            <w:right w:val="none" w:sz="0" w:space="0" w:color="auto"/>
          </w:divBdr>
        </w:div>
        <w:div w:id="1626346834">
          <w:marLeft w:val="0"/>
          <w:marRight w:val="0"/>
          <w:marTop w:val="0"/>
          <w:marBottom w:val="0"/>
          <w:divBdr>
            <w:top w:val="none" w:sz="0" w:space="0" w:color="auto"/>
            <w:left w:val="none" w:sz="0" w:space="0" w:color="auto"/>
            <w:bottom w:val="none" w:sz="0" w:space="0" w:color="auto"/>
            <w:right w:val="none" w:sz="0" w:space="0" w:color="auto"/>
          </w:divBdr>
        </w:div>
        <w:div w:id="1626692298">
          <w:marLeft w:val="0"/>
          <w:marRight w:val="0"/>
          <w:marTop w:val="0"/>
          <w:marBottom w:val="0"/>
          <w:divBdr>
            <w:top w:val="none" w:sz="0" w:space="0" w:color="auto"/>
            <w:left w:val="none" w:sz="0" w:space="0" w:color="auto"/>
            <w:bottom w:val="none" w:sz="0" w:space="0" w:color="auto"/>
            <w:right w:val="none" w:sz="0" w:space="0" w:color="auto"/>
          </w:divBdr>
        </w:div>
        <w:div w:id="1627655934">
          <w:marLeft w:val="0"/>
          <w:marRight w:val="0"/>
          <w:marTop w:val="0"/>
          <w:marBottom w:val="0"/>
          <w:divBdr>
            <w:top w:val="none" w:sz="0" w:space="0" w:color="auto"/>
            <w:left w:val="none" w:sz="0" w:space="0" w:color="auto"/>
            <w:bottom w:val="none" w:sz="0" w:space="0" w:color="auto"/>
            <w:right w:val="none" w:sz="0" w:space="0" w:color="auto"/>
          </w:divBdr>
        </w:div>
        <w:div w:id="1627926686">
          <w:marLeft w:val="0"/>
          <w:marRight w:val="0"/>
          <w:marTop w:val="0"/>
          <w:marBottom w:val="0"/>
          <w:divBdr>
            <w:top w:val="none" w:sz="0" w:space="0" w:color="auto"/>
            <w:left w:val="none" w:sz="0" w:space="0" w:color="auto"/>
            <w:bottom w:val="none" w:sz="0" w:space="0" w:color="auto"/>
            <w:right w:val="none" w:sz="0" w:space="0" w:color="auto"/>
          </w:divBdr>
        </w:div>
        <w:div w:id="1630208685">
          <w:marLeft w:val="0"/>
          <w:marRight w:val="0"/>
          <w:marTop w:val="0"/>
          <w:marBottom w:val="0"/>
          <w:divBdr>
            <w:top w:val="none" w:sz="0" w:space="0" w:color="auto"/>
            <w:left w:val="none" w:sz="0" w:space="0" w:color="auto"/>
            <w:bottom w:val="none" w:sz="0" w:space="0" w:color="auto"/>
            <w:right w:val="none" w:sz="0" w:space="0" w:color="auto"/>
          </w:divBdr>
        </w:div>
        <w:div w:id="1633438629">
          <w:marLeft w:val="0"/>
          <w:marRight w:val="0"/>
          <w:marTop w:val="0"/>
          <w:marBottom w:val="0"/>
          <w:divBdr>
            <w:top w:val="none" w:sz="0" w:space="0" w:color="auto"/>
            <w:left w:val="none" w:sz="0" w:space="0" w:color="auto"/>
            <w:bottom w:val="none" w:sz="0" w:space="0" w:color="auto"/>
            <w:right w:val="none" w:sz="0" w:space="0" w:color="auto"/>
          </w:divBdr>
        </w:div>
        <w:div w:id="1634753417">
          <w:marLeft w:val="0"/>
          <w:marRight w:val="0"/>
          <w:marTop w:val="0"/>
          <w:marBottom w:val="0"/>
          <w:divBdr>
            <w:top w:val="none" w:sz="0" w:space="0" w:color="auto"/>
            <w:left w:val="none" w:sz="0" w:space="0" w:color="auto"/>
            <w:bottom w:val="none" w:sz="0" w:space="0" w:color="auto"/>
            <w:right w:val="none" w:sz="0" w:space="0" w:color="auto"/>
          </w:divBdr>
        </w:div>
        <w:div w:id="1634754632">
          <w:marLeft w:val="0"/>
          <w:marRight w:val="0"/>
          <w:marTop w:val="0"/>
          <w:marBottom w:val="0"/>
          <w:divBdr>
            <w:top w:val="none" w:sz="0" w:space="0" w:color="auto"/>
            <w:left w:val="none" w:sz="0" w:space="0" w:color="auto"/>
            <w:bottom w:val="none" w:sz="0" w:space="0" w:color="auto"/>
            <w:right w:val="none" w:sz="0" w:space="0" w:color="auto"/>
          </w:divBdr>
        </w:div>
        <w:div w:id="1634866018">
          <w:marLeft w:val="0"/>
          <w:marRight w:val="0"/>
          <w:marTop w:val="0"/>
          <w:marBottom w:val="0"/>
          <w:divBdr>
            <w:top w:val="none" w:sz="0" w:space="0" w:color="auto"/>
            <w:left w:val="none" w:sz="0" w:space="0" w:color="auto"/>
            <w:bottom w:val="none" w:sz="0" w:space="0" w:color="auto"/>
            <w:right w:val="none" w:sz="0" w:space="0" w:color="auto"/>
          </w:divBdr>
        </w:div>
        <w:div w:id="1635329501">
          <w:marLeft w:val="0"/>
          <w:marRight w:val="0"/>
          <w:marTop w:val="0"/>
          <w:marBottom w:val="0"/>
          <w:divBdr>
            <w:top w:val="none" w:sz="0" w:space="0" w:color="auto"/>
            <w:left w:val="none" w:sz="0" w:space="0" w:color="auto"/>
            <w:bottom w:val="none" w:sz="0" w:space="0" w:color="auto"/>
            <w:right w:val="none" w:sz="0" w:space="0" w:color="auto"/>
          </w:divBdr>
        </w:div>
        <w:div w:id="1635453489">
          <w:marLeft w:val="0"/>
          <w:marRight w:val="0"/>
          <w:marTop w:val="0"/>
          <w:marBottom w:val="0"/>
          <w:divBdr>
            <w:top w:val="none" w:sz="0" w:space="0" w:color="auto"/>
            <w:left w:val="none" w:sz="0" w:space="0" w:color="auto"/>
            <w:bottom w:val="none" w:sz="0" w:space="0" w:color="auto"/>
            <w:right w:val="none" w:sz="0" w:space="0" w:color="auto"/>
          </w:divBdr>
        </w:div>
        <w:div w:id="1636792541">
          <w:marLeft w:val="0"/>
          <w:marRight w:val="0"/>
          <w:marTop w:val="0"/>
          <w:marBottom w:val="0"/>
          <w:divBdr>
            <w:top w:val="none" w:sz="0" w:space="0" w:color="auto"/>
            <w:left w:val="none" w:sz="0" w:space="0" w:color="auto"/>
            <w:bottom w:val="none" w:sz="0" w:space="0" w:color="auto"/>
            <w:right w:val="none" w:sz="0" w:space="0" w:color="auto"/>
          </w:divBdr>
        </w:div>
        <w:div w:id="1636981996">
          <w:marLeft w:val="0"/>
          <w:marRight w:val="0"/>
          <w:marTop w:val="0"/>
          <w:marBottom w:val="0"/>
          <w:divBdr>
            <w:top w:val="none" w:sz="0" w:space="0" w:color="auto"/>
            <w:left w:val="none" w:sz="0" w:space="0" w:color="auto"/>
            <w:bottom w:val="none" w:sz="0" w:space="0" w:color="auto"/>
            <w:right w:val="none" w:sz="0" w:space="0" w:color="auto"/>
          </w:divBdr>
        </w:div>
        <w:div w:id="1642928071">
          <w:marLeft w:val="0"/>
          <w:marRight w:val="0"/>
          <w:marTop w:val="0"/>
          <w:marBottom w:val="0"/>
          <w:divBdr>
            <w:top w:val="none" w:sz="0" w:space="0" w:color="auto"/>
            <w:left w:val="none" w:sz="0" w:space="0" w:color="auto"/>
            <w:bottom w:val="none" w:sz="0" w:space="0" w:color="auto"/>
            <w:right w:val="none" w:sz="0" w:space="0" w:color="auto"/>
          </w:divBdr>
        </w:div>
        <w:div w:id="1643391547">
          <w:marLeft w:val="0"/>
          <w:marRight w:val="0"/>
          <w:marTop w:val="0"/>
          <w:marBottom w:val="0"/>
          <w:divBdr>
            <w:top w:val="none" w:sz="0" w:space="0" w:color="auto"/>
            <w:left w:val="none" w:sz="0" w:space="0" w:color="auto"/>
            <w:bottom w:val="none" w:sz="0" w:space="0" w:color="auto"/>
            <w:right w:val="none" w:sz="0" w:space="0" w:color="auto"/>
          </w:divBdr>
        </w:div>
        <w:div w:id="1646811523">
          <w:marLeft w:val="0"/>
          <w:marRight w:val="0"/>
          <w:marTop w:val="0"/>
          <w:marBottom w:val="0"/>
          <w:divBdr>
            <w:top w:val="none" w:sz="0" w:space="0" w:color="auto"/>
            <w:left w:val="none" w:sz="0" w:space="0" w:color="auto"/>
            <w:bottom w:val="none" w:sz="0" w:space="0" w:color="auto"/>
            <w:right w:val="none" w:sz="0" w:space="0" w:color="auto"/>
          </w:divBdr>
        </w:div>
        <w:div w:id="1647660637">
          <w:marLeft w:val="0"/>
          <w:marRight w:val="0"/>
          <w:marTop w:val="0"/>
          <w:marBottom w:val="0"/>
          <w:divBdr>
            <w:top w:val="none" w:sz="0" w:space="0" w:color="auto"/>
            <w:left w:val="none" w:sz="0" w:space="0" w:color="auto"/>
            <w:bottom w:val="none" w:sz="0" w:space="0" w:color="auto"/>
            <w:right w:val="none" w:sz="0" w:space="0" w:color="auto"/>
          </w:divBdr>
        </w:div>
        <w:div w:id="1648778399">
          <w:marLeft w:val="0"/>
          <w:marRight w:val="0"/>
          <w:marTop w:val="0"/>
          <w:marBottom w:val="0"/>
          <w:divBdr>
            <w:top w:val="none" w:sz="0" w:space="0" w:color="auto"/>
            <w:left w:val="none" w:sz="0" w:space="0" w:color="auto"/>
            <w:bottom w:val="none" w:sz="0" w:space="0" w:color="auto"/>
            <w:right w:val="none" w:sz="0" w:space="0" w:color="auto"/>
          </w:divBdr>
        </w:div>
        <w:div w:id="1650787493">
          <w:marLeft w:val="0"/>
          <w:marRight w:val="0"/>
          <w:marTop w:val="0"/>
          <w:marBottom w:val="0"/>
          <w:divBdr>
            <w:top w:val="none" w:sz="0" w:space="0" w:color="auto"/>
            <w:left w:val="none" w:sz="0" w:space="0" w:color="auto"/>
            <w:bottom w:val="none" w:sz="0" w:space="0" w:color="auto"/>
            <w:right w:val="none" w:sz="0" w:space="0" w:color="auto"/>
          </w:divBdr>
        </w:div>
        <w:div w:id="1652826472">
          <w:marLeft w:val="0"/>
          <w:marRight w:val="0"/>
          <w:marTop w:val="0"/>
          <w:marBottom w:val="0"/>
          <w:divBdr>
            <w:top w:val="none" w:sz="0" w:space="0" w:color="auto"/>
            <w:left w:val="none" w:sz="0" w:space="0" w:color="auto"/>
            <w:bottom w:val="none" w:sz="0" w:space="0" w:color="auto"/>
            <w:right w:val="none" w:sz="0" w:space="0" w:color="auto"/>
          </w:divBdr>
        </w:div>
        <w:div w:id="1656684678">
          <w:marLeft w:val="0"/>
          <w:marRight w:val="0"/>
          <w:marTop w:val="0"/>
          <w:marBottom w:val="0"/>
          <w:divBdr>
            <w:top w:val="none" w:sz="0" w:space="0" w:color="auto"/>
            <w:left w:val="none" w:sz="0" w:space="0" w:color="auto"/>
            <w:bottom w:val="none" w:sz="0" w:space="0" w:color="auto"/>
            <w:right w:val="none" w:sz="0" w:space="0" w:color="auto"/>
          </w:divBdr>
        </w:div>
        <w:div w:id="1658681622">
          <w:marLeft w:val="0"/>
          <w:marRight w:val="0"/>
          <w:marTop w:val="0"/>
          <w:marBottom w:val="0"/>
          <w:divBdr>
            <w:top w:val="none" w:sz="0" w:space="0" w:color="auto"/>
            <w:left w:val="none" w:sz="0" w:space="0" w:color="auto"/>
            <w:bottom w:val="none" w:sz="0" w:space="0" w:color="auto"/>
            <w:right w:val="none" w:sz="0" w:space="0" w:color="auto"/>
          </w:divBdr>
          <w:divsChild>
            <w:div w:id="211385578">
              <w:marLeft w:val="0"/>
              <w:marRight w:val="0"/>
              <w:marTop w:val="0"/>
              <w:marBottom w:val="0"/>
              <w:divBdr>
                <w:top w:val="none" w:sz="0" w:space="0" w:color="auto"/>
                <w:left w:val="none" w:sz="0" w:space="0" w:color="auto"/>
                <w:bottom w:val="none" w:sz="0" w:space="0" w:color="auto"/>
                <w:right w:val="none" w:sz="0" w:space="0" w:color="auto"/>
              </w:divBdr>
            </w:div>
            <w:div w:id="389697404">
              <w:marLeft w:val="0"/>
              <w:marRight w:val="0"/>
              <w:marTop w:val="0"/>
              <w:marBottom w:val="0"/>
              <w:divBdr>
                <w:top w:val="none" w:sz="0" w:space="0" w:color="auto"/>
                <w:left w:val="none" w:sz="0" w:space="0" w:color="auto"/>
                <w:bottom w:val="none" w:sz="0" w:space="0" w:color="auto"/>
                <w:right w:val="none" w:sz="0" w:space="0" w:color="auto"/>
              </w:divBdr>
            </w:div>
            <w:div w:id="607196404">
              <w:marLeft w:val="0"/>
              <w:marRight w:val="0"/>
              <w:marTop w:val="0"/>
              <w:marBottom w:val="0"/>
              <w:divBdr>
                <w:top w:val="none" w:sz="0" w:space="0" w:color="auto"/>
                <w:left w:val="none" w:sz="0" w:space="0" w:color="auto"/>
                <w:bottom w:val="none" w:sz="0" w:space="0" w:color="auto"/>
                <w:right w:val="none" w:sz="0" w:space="0" w:color="auto"/>
              </w:divBdr>
            </w:div>
            <w:div w:id="618493924">
              <w:marLeft w:val="0"/>
              <w:marRight w:val="0"/>
              <w:marTop w:val="0"/>
              <w:marBottom w:val="0"/>
              <w:divBdr>
                <w:top w:val="none" w:sz="0" w:space="0" w:color="auto"/>
                <w:left w:val="none" w:sz="0" w:space="0" w:color="auto"/>
                <w:bottom w:val="none" w:sz="0" w:space="0" w:color="auto"/>
                <w:right w:val="none" w:sz="0" w:space="0" w:color="auto"/>
              </w:divBdr>
            </w:div>
            <w:div w:id="643464191">
              <w:marLeft w:val="0"/>
              <w:marRight w:val="0"/>
              <w:marTop w:val="0"/>
              <w:marBottom w:val="0"/>
              <w:divBdr>
                <w:top w:val="none" w:sz="0" w:space="0" w:color="auto"/>
                <w:left w:val="none" w:sz="0" w:space="0" w:color="auto"/>
                <w:bottom w:val="none" w:sz="0" w:space="0" w:color="auto"/>
                <w:right w:val="none" w:sz="0" w:space="0" w:color="auto"/>
              </w:divBdr>
            </w:div>
            <w:div w:id="740904409">
              <w:marLeft w:val="0"/>
              <w:marRight w:val="0"/>
              <w:marTop w:val="0"/>
              <w:marBottom w:val="0"/>
              <w:divBdr>
                <w:top w:val="none" w:sz="0" w:space="0" w:color="auto"/>
                <w:left w:val="none" w:sz="0" w:space="0" w:color="auto"/>
                <w:bottom w:val="none" w:sz="0" w:space="0" w:color="auto"/>
                <w:right w:val="none" w:sz="0" w:space="0" w:color="auto"/>
              </w:divBdr>
            </w:div>
            <w:div w:id="783885306">
              <w:marLeft w:val="0"/>
              <w:marRight w:val="0"/>
              <w:marTop w:val="0"/>
              <w:marBottom w:val="0"/>
              <w:divBdr>
                <w:top w:val="none" w:sz="0" w:space="0" w:color="auto"/>
                <w:left w:val="none" w:sz="0" w:space="0" w:color="auto"/>
                <w:bottom w:val="none" w:sz="0" w:space="0" w:color="auto"/>
                <w:right w:val="none" w:sz="0" w:space="0" w:color="auto"/>
              </w:divBdr>
            </w:div>
            <w:div w:id="795685876">
              <w:marLeft w:val="0"/>
              <w:marRight w:val="0"/>
              <w:marTop w:val="0"/>
              <w:marBottom w:val="0"/>
              <w:divBdr>
                <w:top w:val="none" w:sz="0" w:space="0" w:color="auto"/>
                <w:left w:val="none" w:sz="0" w:space="0" w:color="auto"/>
                <w:bottom w:val="none" w:sz="0" w:space="0" w:color="auto"/>
                <w:right w:val="none" w:sz="0" w:space="0" w:color="auto"/>
              </w:divBdr>
            </w:div>
            <w:div w:id="846404155">
              <w:marLeft w:val="0"/>
              <w:marRight w:val="0"/>
              <w:marTop w:val="0"/>
              <w:marBottom w:val="0"/>
              <w:divBdr>
                <w:top w:val="none" w:sz="0" w:space="0" w:color="auto"/>
                <w:left w:val="none" w:sz="0" w:space="0" w:color="auto"/>
                <w:bottom w:val="none" w:sz="0" w:space="0" w:color="auto"/>
                <w:right w:val="none" w:sz="0" w:space="0" w:color="auto"/>
              </w:divBdr>
            </w:div>
            <w:div w:id="1091202275">
              <w:marLeft w:val="0"/>
              <w:marRight w:val="0"/>
              <w:marTop w:val="0"/>
              <w:marBottom w:val="0"/>
              <w:divBdr>
                <w:top w:val="none" w:sz="0" w:space="0" w:color="auto"/>
                <w:left w:val="none" w:sz="0" w:space="0" w:color="auto"/>
                <w:bottom w:val="none" w:sz="0" w:space="0" w:color="auto"/>
                <w:right w:val="none" w:sz="0" w:space="0" w:color="auto"/>
              </w:divBdr>
            </w:div>
            <w:div w:id="1133522678">
              <w:marLeft w:val="0"/>
              <w:marRight w:val="0"/>
              <w:marTop w:val="0"/>
              <w:marBottom w:val="0"/>
              <w:divBdr>
                <w:top w:val="none" w:sz="0" w:space="0" w:color="auto"/>
                <w:left w:val="none" w:sz="0" w:space="0" w:color="auto"/>
                <w:bottom w:val="none" w:sz="0" w:space="0" w:color="auto"/>
                <w:right w:val="none" w:sz="0" w:space="0" w:color="auto"/>
              </w:divBdr>
            </w:div>
            <w:div w:id="1279022023">
              <w:marLeft w:val="0"/>
              <w:marRight w:val="0"/>
              <w:marTop w:val="0"/>
              <w:marBottom w:val="0"/>
              <w:divBdr>
                <w:top w:val="none" w:sz="0" w:space="0" w:color="auto"/>
                <w:left w:val="none" w:sz="0" w:space="0" w:color="auto"/>
                <w:bottom w:val="none" w:sz="0" w:space="0" w:color="auto"/>
                <w:right w:val="none" w:sz="0" w:space="0" w:color="auto"/>
              </w:divBdr>
            </w:div>
            <w:div w:id="1333992431">
              <w:marLeft w:val="0"/>
              <w:marRight w:val="0"/>
              <w:marTop w:val="0"/>
              <w:marBottom w:val="0"/>
              <w:divBdr>
                <w:top w:val="none" w:sz="0" w:space="0" w:color="auto"/>
                <w:left w:val="none" w:sz="0" w:space="0" w:color="auto"/>
                <w:bottom w:val="none" w:sz="0" w:space="0" w:color="auto"/>
                <w:right w:val="none" w:sz="0" w:space="0" w:color="auto"/>
              </w:divBdr>
            </w:div>
            <w:div w:id="1429157938">
              <w:marLeft w:val="0"/>
              <w:marRight w:val="0"/>
              <w:marTop w:val="0"/>
              <w:marBottom w:val="0"/>
              <w:divBdr>
                <w:top w:val="none" w:sz="0" w:space="0" w:color="auto"/>
                <w:left w:val="none" w:sz="0" w:space="0" w:color="auto"/>
                <w:bottom w:val="none" w:sz="0" w:space="0" w:color="auto"/>
                <w:right w:val="none" w:sz="0" w:space="0" w:color="auto"/>
              </w:divBdr>
            </w:div>
            <w:div w:id="1453594783">
              <w:marLeft w:val="0"/>
              <w:marRight w:val="0"/>
              <w:marTop w:val="0"/>
              <w:marBottom w:val="0"/>
              <w:divBdr>
                <w:top w:val="none" w:sz="0" w:space="0" w:color="auto"/>
                <w:left w:val="none" w:sz="0" w:space="0" w:color="auto"/>
                <w:bottom w:val="none" w:sz="0" w:space="0" w:color="auto"/>
                <w:right w:val="none" w:sz="0" w:space="0" w:color="auto"/>
              </w:divBdr>
            </w:div>
            <w:div w:id="1754007533">
              <w:marLeft w:val="0"/>
              <w:marRight w:val="0"/>
              <w:marTop w:val="0"/>
              <w:marBottom w:val="0"/>
              <w:divBdr>
                <w:top w:val="none" w:sz="0" w:space="0" w:color="auto"/>
                <w:left w:val="none" w:sz="0" w:space="0" w:color="auto"/>
                <w:bottom w:val="none" w:sz="0" w:space="0" w:color="auto"/>
                <w:right w:val="none" w:sz="0" w:space="0" w:color="auto"/>
              </w:divBdr>
            </w:div>
            <w:div w:id="1754860541">
              <w:marLeft w:val="0"/>
              <w:marRight w:val="0"/>
              <w:marTop w:val="0"/>
              <w:marBottom w:val="0"/>
              <w:divBdr>
                <w:top w:val="none" w:sz="0" w:space="0" w:color="auto"/>
                <w:left w:val="none" w:sz="0" w:space="0" w:color="auto"/>
                <w:bottom w:val="none" w:sz="0" w:space="0" w:color="auto"/>
                <w:right w:val="none" w:sz="0" w:space="0" w:color="auto"/>
              </w:divBdr>
            </w:div>
            <w:div w:id="1811946012">
              <w:marLeft w:val="0"/>
              <w:marRight w:val="0"/>
              <w:marTop w:val="0"/>
              <w:marBottom w:val="0"/>
              <w:divBdr>
                <w:top w:val="none" w:sz="0" w:space="0" w:color="auto"/>
                <w:left w:val="none" w:sz="0" w:space="0" w:color="auto"/>
                <w:bottom w:val="none" w:sz="0" w:space="0" w:color="auto"/>
                <w:right w:val="none" w:sz="0" w:space="0" w:color="auto"/>
              </w:divBdr>
            </w:div>
            <w:div w:id="1852909754">
              <w:marLeft w:val="0"/>
              <w:marRight w:val="0"/>
              <w:marTop w:val="0"/>
              <w:marBottom w:val="0"/>
              <w:divBdr>
                <w:top w:val="none" w:sz="0" w:space="0" w:color="auto"/>
                <w:left w:val="none" w:sz="0" w:space="0" w:color="auto"/>
                <w:bottom w:val="none" w:sz="0" w:space="0" w:color="auto"/>
                <w:right w:val="none" w:sz="0" w:space="0" w:color="auto"/>
              </w:divBdr>
            </w:div>
            <w:div w:id="1964917383">
              <w:marLeft w:val="0"/>
              <w:marRight w:val="0"/>
              <w:marTop w:val="0"/>
              <w:marBottom w:val="0"/>
              <w:divBdr>
                <w:top w:val="none" w:sz="0" w:space="0" w:color="auto"/>
                <w:left w:val="none" w:sz="0" w:space="0" w:color="auto"/>
                <w:bottom w:val="none" w:sz="0" w:space="0" w:color="auto"/>
                <w:right w:val="none" w:sz="0" w:space="0" w:color="auto"/>
              </w:divBdr>
            </w:div>
          </w:divsChild>
        </w:div>
        <w:div w:id="1659651781">
          <w:marLeft w:val="0"/>
          <w:marRight w:val="0"/>
          <w:marTop w:val="0"/>
          <w:marBottom w:val="0"/>
          <w:divBdr>
            <w:top w:val="none" w:sz="0" w:space="0" w:color="auto"/>
            <w:left w:val="none" w:sz="0" w:space="0" w:color="auto"/>
            <w:bottom w:val="none" w:sz="0" w:space="0" w:color="auto"/>
            <w:right w:val="none" w:sz="0" w:space="0" w:color="auto"/>
          </w:divBdr>
        </w:div>
        <w:div w:id="1661809404">
          <w:marLeft w:val="0"/>
          <w:marRight w:val="0"/>
          <w:marTop w:val="0"/>
          <w:marBottom w:val="0"/>
          <w:divBdr>
            <w:top w:val="none" w:sz="0" w:space="0" w:color="auto"/>
            <w:left w:val="none" w:sz="0" w:space="0" w:color="auto"/>
            <w:bottom w:val="none" w:sz="0" w:space="0" w:color="auto"/>
            <w:right w:val="none" w:sz="0" w:space="0" w:color="auto"/>
          </w:divBdr>
        </w:div>
        <w:div w:id="1662349192">
          <w:marLeft w:val="0"/>
          <w:marRight w:val="0"/>
          <w:marTop w:val="0"/>
          <w:marBottom w:val="0"/>
          <w:divBdr>
            <w:top w:val="none" w:sz="0" w:space="0" w:color="auto"/>
            <w:left w:val="none" w:sz="0" w:space="0" w:color="auto"/>
            <w:bottom w:val="none" w:sz="0" w:space="0" w:color="auto"/>
            <w:right w:val="none" w:sz="0" w:space="0" w:color="auto"/>
          </w:divBdr>
        </w:div>
        <w:div w:id="1664622076">
          <w:marLeft w:val="0"/>
          <w:marRight w:val="0"/>
          <w:marTop w:val="0"/>
          <w:marBottom w:val="0"/>
          <w:divBdr>
            <w:top w:val="none" w:sz="0" w:space="0" w:color="auto"/>
            <w:left w:val="none" w:sz="0" w:space="0" w:color="auto"/>
            <w:bottom w:val="none" w:sz="0" w:space="0" w:color="auto"/>
            <w:right w:val="none" w:sz="0" w:space="0" w:color="auto"/>
          </w:divBdr>
          <w:divsChild>
            <w:div w:id="15085957">
              <w:marLeft w:val="0"/>
              <w:marRight w:val="0"/>
              <w:marTop w:val="0"/>
              <w:marBottom w:val="0"/>
              <w:divBdr>
                <w:top w:val="none" w:sz="0" w:space="0" w:color="auto"/>
                <w:left w:val="none" w:sz="0" w:space="0" w:color="auto"/>
                <w:bottom w:val="none" w:sz="0" w:space="0" w:color="auto"/>
                <w:right w:val="none" w:sz="0" w:space="0" w:color="auto"/>
              </w:divBdr>
            </w:div>
            <w:div w:id="131948661">
              <w:marLeft w:val="0"/>
              <w:marRight w:val="0"/>
              <w:marTop w:val="0"/>
              <w:marBottom w:val="0"/>
              <w:divBdr>
                <w:top w:val="none" w:sz="0" w:space="0" w:color="auto"/>
                <w:left w:val="none" w:sz="0" w:space="0" w:color="auto"/>
                <w:bottom w:val="none" w:sz="0" w:space="0" w:color="auto"/>
                <w:right w:val="none" w:sz="0" w:space="0" w:color="auto"/>
              </w:divBdr>
            </w:div>
            <w:div w:id="352656013">
              <w:marLeft w:val="0"/>
              <w:marRight w:val="0"/>
              <w:marTop w:val="0"/>
              <w:marBottom w:val="0"/>
              <w:divBdr>
                <w:top w:val="none" w:sz="0" w:space="0" w:color="auto"/>
                <w:left w:val="none" w:sz="0" w:space="0" w:color="auto"/>
                <w:bottom w:val="none" w:sz="0" w:space="0" w:color="auto"/>
                <w:right w:val="none" w:sz="0" w:space="0" w:color="auto"/>
              </w:divBdr>
            </w:div>
            <w:div w:id="450394908">
              <w:marLeft w:val="0"/>
              <w:marRight w:val="0"/>
              <w:marTop w:val="0"/>
              <w:marBottom w:val="0"/>
              <w:divBdr>
                <w:top w:val="none" w:sz="0" w:space="0" w:color="auto"/>
                <w:left w:val="none" w:sz="0" w:space="0" w:color="auto"/>
                <w:bottom w:val="none" w:sz="0" w:space="0" w:color="auto"/>
                <w:right w:val="none" w:sz="0" w:space="0" w:color="auto"/>
              </w:divBdr>
            </w:div>
            <w:div w:id="808011109">
              <w:marLeft w:val="0"/>
              <w:marRight w:val="0"/>
              <w:marTop w:val="0"/>
              <w:marBottom w:val="0"/>
              <w:divBdr>
                <w:top w:val="none" w:sz="0" w:space="0" w:color="auto"/>
                <w:left w:val="none" w:sz="0" w:space="0" w:color="auto"/>
                <w:bottom w:val="none" w:sz="0" w:space="0" w:color="auto"/>
                <w:right w:val="none" w:sz="0" w:space="0" w:color="auto"/>
              </w:divBdr>
            </w:div>
            <w:div w:id="916130540">
              <w:marLeft w:val="0"/>
              <w:marRight w:val="0"/>
              <w:marTop w:val="0"/>
              <w:marBottom w:val="0"/>
              <w:divBdr>
                <w:top w:val="none" w:sz="0" w:space="0" w:color="auto"/>
                <w:left w:val="none" w:sz="0" w:space="0" w:color="auto"/>
                <w:bottom w:val="none" w:sz="0" w:space="0" w:color="auto"/>
                <w:right w:val="none" w:sz="0" w:space="0" w:color="auto"/>
              </w:divBdr>
            </w:div>
            <w:div w:id="1013067244">
              <w:marLeft w:val="0"/>
              <w:marRight w:val="0"/>
              <w:marTop w:val="0"/>
              <w:marBottom w:val="0"/>
              <w:divBdr>
                <w:top w:val="none" w:sz="0" w:space="0" w:color="auto"/>
                <w:left w:val="none" w:sz="0" w:space="0" w:color="auto"/>
                <w:bottom w:val="none" w:sz="0" w:space="0" w:color="auto"/>
                <w:right w:val="none" w:sz="0" w:space="0" w:color="auto"/>
              </w:divBdr>
            </w:div>
            <w:div w:id="1233272557">
              <w:marLeft w:val="0"/>
              <w:marRight w:val="0"/>
              <w:marTop w:val="0"/>
              <w:marBottom w:val="0"/>
              <w:divBdr>
                <w:top w:val="none" w:sz="0" w:space="0" w:color="auto"/>
                <w:left w:val="none" w:sz="0" w:space="0" w:color="auto"/>
                <w:bottom w:val="none" w:sz="0" w:space="0" w:color="auto"/>
                <w:right w:val="none" w:sz="0" w:space="0" w:color="auto"/>
              </w:divBdr>
            </w:div>
            <w:div w:id="1462654097">
              <w:marLeft w:val="0"/>
              <w:marRight w:val="0"/>
              <w:marTop w:val="0"/>
              <w:marBottom w:val="0"/>
              <w:divBdr>
                <w:top w:val="none" w:sz="0" w:space="0" w:color="auto"/>
                <w:left w:val="none" w:sz="0" w:space="0" w:color="auto"/>
                <w:bottom w:val="none" w:sz="0" w:space="0" w:color="auto"/>
                <w:right w:val="none" w:sz="0" w:space="0" w:color="auto"/>
              </w:divBdr>
            </w:div>
            <w:div w:id="1481578344">
              <w:marLeft w:val="0"/>
              <w:marRight w:val="0"/>
              <w:marTop w:val="0"/>
              <w:marBottom w:val="0"/>
              <w:divBdr>
                <w:top w:val="none" w:sz="0" w:space="0" w:color="auto"/>
                <w:left w:val="none" w:sz="0" w:space="0" w:color="auto"/>
                <w:bottom w:val="none" w:sz="0" w:space="0" w:color="auto"/>
                <w:right w:val="none" w:sz="0" w:space="0" w:color="auto"/>
              </w:divBdr>
            </w:div>
          </w:divsChild>
        </w:div>
        <w:div w:id="1665930235">
          <w:marLeft w:val="0"/>
          <w:marRight w:val="0"/>
          <w:marTop w:val="0"/>
          <w:marBottom w:val="0"/>
          <w:divBdr>
            <w:top w:val="none" w:sz="0" w:space="0" w:color="auto"/>
            <w:left w:val="none" w:sz="0" w:space="0" w:color="auto"/>
            <w:bottom w:val="none" w:sz="0" w:space="0" w:color="auto"/>
            <w:right w:val="none" w:sz="0" w:space="0" w:color="auto"/>
          </w:divBdr>
        </w:div>
        <w:div w:id="1669479066">
          <w:marLeft w:val="0"/>
          <w:marRight w:val="0"/>
          <w:marTop w:val="0"/>
          <w:marBottom w:val="0"/>
          <w:divBdr>
            <w:top w:val="none" w:sz="0" w:space="0" w:color="auto"/>
            <w:left w:val="none" w:sz="0" w:space="0" w:color="auto"/>
            <w:bottom w:val="none" w:sz="0" w:space="0" w:color="auto"/>
            <w:right w:val="none" w:sz="0" w:space="0" w:color="auto"/>
          </w:divBdr>
        </w:div>
        <w:div w:id="1670055895">
          <w:marLeft w:val="0"/>
          <w:marRight w:val="0"/>
          <w:marTop w:val="0"/>
          <w:marBottom w:val="0"/>
          <w:divBdr>
            <w:top w:val="none" w:sz="0" w:space="0" w:color="auto"/>
            <w:left w:val="none" w:sz="0" w:space="0" w:color="auto"/>
            <w:bottom w:val="none" w:sz="0" w:space="0" w:color="auto"/>
            <w:right w:val="none" w:sz="0" w:space="0" w:color="auto"/>
          </w:divBdr>
        </w:div>
        <w:div w:id="1670596309">
          <w:marLeft w:val="0"/>
          <w:marRight w:val="0"/>
          <w:marTop w:val="0"/>
          <w:marBottom w:val="0"/>
          <w:divBdr>
            <w:top w:val="none" w:sz="0" w:space="0" w:color="auto"/>
            <w:left w:val="none" w:sz="0" w:space="0" w:color="auto"/>
            <w:bottom w:val="none" w:sz="0" w:space="0" w:color="auto"/>
            <w:right w:val="none" w:sz="0" w:space="0" w:color="auto"/>
          </w:divBdr>
        </w:div>
        <w:div w:id="1671448345">
          <w:marLeft w:val="0"/>
          <w:marRight w:val="0"/>
          <w:marTop w:val="0"/>
          <w:marBottom w:val="0"/>
          <w:divBdr>
            <w:top w:val="none" w:sz="0" w:space="0" w:color="auto"/>
            <w:left w:val="none" w:sz="0" w:space="0" w:color="auto"/>
            <w:bottom w:val="none" w:sz="0" w:space="0" w:color="auto"/>
            <w:right w:val="none" w:sz="0" w:space="0" w:color="auto"/>
          </w:divBdr>
        </w:div>
        <w:div w:id="1671907637">
          <w:marLeft w:val="0"/>
          <w:marRight w:val="0"/>
          <w:marTop w:val="0"/>
          <w:marBottom w:val="0"/>
          <w:divBdr>
            <w:top w:val="none" w:sz="0" w:space="0" w:color="auto"/>
            <w:left w:val="none" w:sz="0" w:space="0" w:color="auto"/>
            <w:bottom w:val="none" w:sz="0" w:space="0" w:color="auto"/>
            <w:right w:val="none" w:sz="0" w:space="0" w:color="auto"/>
          </w:divBdr>
        </w:div>
        <w:div w:id="1672247879">
          <w:marLeft w:val="0"/>
          <w:marRight w:val="0"/>
          <w:marTop w:val="0"/>
          <w:marBottom w:val="0"/>
          <w:divBdr>
            <w:top w:val="none" w:sz="0" w:space="0" w:color="auto"/>
            <w:left w:val="none" w:sz="0" w:space="0" w:color="auto"/>
            <w:bottom w:val="none" w:sz="0" w:space="0" w:color="auto"/>
            <w:right w:val="none" w:sz="0" w:space="0" w:color="auto"/>
          </w:divBdr>
        </w:div>
        <w:div w:id="1673139891">
          <w:marLeft w:val="0"/>
          <w:marRight w:val="0"/>
          <w:marTop w:val="0"/>
          <w:marBottom w:val="0"/>
          <w:divBdr>
            <w:top w:val="none" w:sz="0" w:space="0" w:color="auto"/>
            <w:left w:val="none" w:sz="0" w:space="0" w:color="auto"/>
            <w:bottom w:val="none" w:sz="0" w:space="0" w:color="auto"/>
            <w:right w:val="none" w:sz="0" w:space="0" w:color="auto"/>
          </w:divBdr>
        </w:div>
        <w:div w:id="1674338903">
          <w:marLeft w:val="0"/>
          <w:marRight w:val="0"/>
          <w:marTop w:val="0"/>
          <w:marBottom w:val="0"/>
          <w:divBdr>
            <w:top w:val="none" w:sz="0" w:space="0" w:color="auto"/>
            <w:left w:val="none" w:sz="0" w:space="0" w:color="auto"/>
            <w:bottom w:val="none" w:sz="0" w:space="0" w:color="auto"/>
            <w:right w:val="none" w:sz="0" w:space="0" w:color="auto"/>
          </w:divBdr>
          <w:divsChild>
            <w:div w:id="154735242">
              <w:marLeft w:val="0"/>
              <w:marRight w:val="0"/>
              <w:marTop w:val="0"/>
              <w:marBottom w:val="0"/>
              <w:divBdr>
                <w:top w:val="none" w:sz="0" w:space="0" w:color="auto"/>
                <w:left w:val="none" w:sz="0" w:space="0" w:color="auto"/>
                <w:bottom w:val="none" w:sz="0" w:space="0" w:color="auto"/>
                <w:right w:val="none" w:sz="0" w:space="0" w:color="auto"/>
              </w:divBdr>
            </w:div>
            <w:div w:id="184559123">
              <w:marLeft w:val="0"/>
              <w:marRight w:val="0"/>
              <w:marTop w:val="0"/>
              <w:marBottom w:val="0"/>
              <w:divBdr>
                <w:top w:val="none" w:sz="0" w:space="0" w:color="auto"/>
                <w:left w:val="none" w:sz="0" w:space="0" w:color="auto"/>
                <w:bottom w:val="none" w:sz="0" w:space="0" w:color="auto"/>
                <w:right w:val="none" w:sz="0" w:space="0" w:color="auto"/>
              </w:divBdr>
            </w:div>
            <w:div w:id="245503392">
              <w:marLeft w:val="0"/>
              <w:marRight w:val="0"/>
              <w:marTop w:val="0"/>
              <w:marBottom w:val="0"/>
              <w:divBdr>
                <w:top w:val="none" w:sz="0" w:space="0" w:color="auto"/>
                <w:left w:val="none" w:sz="0" w:space="0" w:color="auto"/>
                <w:bottom w:val="none" w:sz="0" w:space="0" w:color="auto"/>
                <w:right w:val="none" w:sz="0" w:space="0" w:color="auto"/>
              </w:divBdr>
            </w:div>
            <w:div w:id="328288234">
              <w:marLeft w:val="0"/>
              <w:marRight w:val="0"/>
              <w:marTop w:val="0"/>
              <w:marBottom w:val="0"/>
              <w:divBdr>
                <w:top w:val="none" w:sz="0" w:space="0" w:color="auto"/>
                <w:left w:val="none" w:sz="0" w:space="0" w:color="auto"/>
                <w:bottom w:val="none" w:sz="0" w:space="0" w:color="auto"/>
                <w:right w:val="none" w:sz="0" w:space="0" w:color="auto"/>
              </w:divBdr>
            </w:div>
            <w:div w:id="445320020">
              <w:marLeft w:val="0"/>
              <w:marRight w:val="0"/>
              <w:marTop w:val="0"/>
              <w:marBottom w:val="0"/>
              <w:divBdr>
                <w:top w:val="none" w:sz="0" w:space="0" w:color="auto"/>
                <w:left w:val="none" w:sz="0" w:space="0" w:color="auto"/>
                <w:bottom w:val="none" w:sz="0" w:space="0" w:color="auto"/>
                <w:right w:val="none" w:sz="0" w:space="0" w:color="auto"/>
              </w:divBdr>
            </w:div>
            <w:div w:id="550847086">
              <w:marLeft w:val="0"/>
              <w:marRight w:val="0"/>
              <w:marTop w:val="0"/>
              <w:marBottom w:val="0"/>
              <w:divBdr>
                <w:top w:val="none" w:sz="0" w:space="0" w:color="auto"/>
                <w:left w:val="none" w:sz="0" w:space="0" w:color="auto"/>
                <w:bottom w:val="none" w:sz="0" w:space="0" w:color="auto"/>
                <w:right w:val="none" w:sz="0" w:space="0" w:color="auto"/>
              </w:divBdr>
            </w:div>
            <w:div w:id="588513591">
              <w:marLeft w:val="0"/>
              <w:marRight w:val="0"/>
              <w:marTop w:val="0"/>
              <w:marBottom w:val="0"/>
              <w:divBdr>
                <w:top w:val="none" w:sz="0" w:space="0" w:color="auto"/>
                <w:left w:val="none" w:sz="0" w:space="0" w:color="auto"/>
                <w:bottom w:val="none" w:sz="0" w:space="0" w:color="auto"/>
                <w:right w:val="none" w:sz="0" w:space="0" w:color="auto"/>
              </w:divBdr>
            </w:div>
            <w:div w:id="815102948">
              <w:marLeft w:val="0"/>
              <w:marRight w:val="0"/>
              <w:marTop w:val="0"/>
              <w:marBottom w:val="0"/>
              <w:divBdr>
                <w:top w:val="none" w:sz="0" w:space="0" w:color="auto"/>
                <w:left w:val="none" w:sz="0" w:space="0" w:color="auto"/>
                <w:bottom w:val="none" w:sz="0" w:space="0" w:color="auto"/>
                <w:right w:val="none" w:sz="0" w:space="0" w:color="auto"/>
              </w:divBdr>
            </w:div>
            <w:div w:id="832338779">
              <w:marLeft w:val="0"/>
              <w:marRight w:val="0"/>
              <w:marTop w:val="0"/>
              <w:marBottom w:val="0"/>
              <w:divBdr>
                <w:top w:val="none" w:sz="0" w:space="0" w:color="auto"/>
                <w:left w:val="none" w:sz="0" w:space="0" w:color="auto"/>
                <w:bottom w:val="none" w:sz="0" w:space="0" w:color="auto"/>
                <w:right w:val="none" w:sz="0" w:space="0" w:color="auto"/>
              </w:divBdr>
            </w:div>
            <w:div w:id="927270109">
              <w:marLeft w:val="0"/>
              <w:marRight w:val="0"/>
              <w:marTop w:val="0"/>
              <w:marBottom w:val="0"/>
              <w:divBdr>
                <w:top w:val="none" w:sz="0" w:space="0" w:color="auto"/>
                <w:left w:val="none" w:sz="0" w:space="0" w:color="auto"/>
                <w:bottom w:val="none" w:sz="0" w:space="0" w:color="auto"/>
                <w:right w:val="none" w:sz="0" w:space="0" w:color="auto"/>
              </w:divBdr>
            </w:div>
            <w:div w:id="1178354160">
              <w:marLeft w:val="0"/>
              <w:marRight w:val="0"/>
              <w:marTop w:val="0"/>
              <w:marBottom w:val="0"/>
              <w:divBdr>
                <w:top w:val="none" w:sz="0" w:space="0" w:color="auto"/>
                <w:left w:val="none" w:sz="0" w:space="0" w:color="auto"/>
                <w:bottom w:val="none" w:sz="0" w:space="0" w:color="auto"/>
                <w:right w:val="none" w:sz="0" w:space="0" w:color="auto"/>
              </w:divBdr>
            </w:div>
            <w:div w:id="1231505011">
              <w:marLeft w:val="0"/>
              <w:marRight w:val="0"/>
              <w:marTop w:val="0"/>
              <w:marBottom w:val="0"/>
              <w:divBdr>
                <w:top w:val="none" w:sz="0" w:space="0" w:color="auto"/>
                <w:left w:val="none" w:sz="0" w:space="0" w:color="auto"/>
                <w:bottom w:val="none" w:sz="0" w:space="0" w:color="auto"/>
                <w:right w:val="none" w:sz="0" w:space="0" w:color="auto"/>
              </w:divBdr>
            </w:div>
            <w:div w:id="1238704840">
              <w:marLeft w:val="0"/>
              <w:marRight w:val="0"/>
              <w:marTop w:val="0"/>
              <w:marBottom w:val="0"/>
              <w:divBdr>
                <w:top w:val="none" w:sz="0" w:space="0" w:color="auto"/>
                <w:left w:val="none" w:sz="0" w:space="0" w:color="auto"/>
                <w:bottom w:val="none" w:sz="0" w:space="0" w:color="auto"/>
                <w:right w:val="none" w:sz="0" w:space="0" w:color="auto"/>
              </w:divBdr>
            </w:div>
            <w:div w:id="1331059823">
              <w:marLeft w:val="0"/>
              <w:marRight w:val="0"/>
              <w:marTop w:val="0"/>
              <w:marBottom w:val="0"/>
              <w:divBdr>
                <w:top w:val="none" w:sz="0" w:space="0" w:color="auto"/>
                <w:left w:val="none" w:sz="0" w:space="0" w:color="auto"/>
                <w:bottom w:val="none" w:sz="0" w:space="0" w:color="auto"/>
                <w:right w:val="none" w:sz="0" w:space="0" w:color="auto"/>
              </w:divBdr>
            </w:div>
            <w:div w:id="1367676762">
              <w:marLeft w:val="0"/>
              <w:marRight w:val="0"/>
              <w:marTop w:val="0"/>
              <w:marBottom w:val="0"/>
              <w:divBdr>
                <w:top w:val="none" w:sz="0" w:space="0" w:color="auto"/>
                <w:left w:val="none" w:sz="0" w:space="0" w:color="auto"/>
                <w:bottom w:val="none" w:sz="0" w:space="0" w:color="auto"/>
                <w:right w:val="none" w:sz="0" w:space="0" w:color="auto"/>
              </w:divBdr>
            </w:div>
            <w:div w:id="1785684307">
              <w:marLeft w:val="0"/>
              <w:marRight w:val="0"/>
              <w:marTop w:val="0"/>
              <w:marBottom w:val="0"/>
              <w:divBdr>
                <w:top w:val="none" w:sz="0" w:space="0" w:color="auto"/>
                <w:left w:val="none" w:sz="0" w:space="0" w:color="auto"/>
                <w:bottom w:val="none" w:sz="0" w:space="0" w:color="auto"/>
                <w:right w:val="none" w:sz="0" w:space="0" w:color="auto"/>
              </w:divBdr>
            </w:div>
            <w:div w:id="1848792482">
              <w:marLeft w:val="0"/>
              <w:marRight w:val="0"/>
              <w:marTop w:val="0"/>
              <w:marBottom w:val="0"/>
              <w:divBdr>
                <w:top w:val="none" w:sz="0" w:space="0" w:color="auto"/>
                <w:left w:val="none" w:sz="0" w:space="0" w:color="auto"/>
                <w:bottom w:val="none" w:sz="0" w:space="0" w:color="auto"/>
                <w:right w:val="none" w:sz="0" w:space="0" w:color="auto"/>
              </w:divBdr>
            </w:div>
            <w:div w:id="1932273330">
              <w:marLeft w:val="0"/>
              <w:marRight w:val="0"/>
              <w:marTop w:val="0"/>
              <w:marBottom w:val="0"/>
              <w:divBdr>
                <w:top w:val="none" w:sz="0" w:space="0" w:color="auto"/>
                <w:left w:val="none" w:sz="0" w:space="0" w:color="auto"/>
                <w:bottom w:val="none" w:sz="0" w:space="0" w:color="auto"/>
                <w:right w:val="none" w:sz="0" w:space="0" w:color="auto"/>
              </w:divBdr>
            </w:div>
            <w:div w:id="1959215090">
              <w:marLeft w:val="0"/>
              <w:marRight w:val="0"/>
              <w:marTop w:val="0"/>
              <w:marBottom w:val="0"/>
              <w:divBdr>
                <w:top w:val="none" w:sz="0" w:space="0" w:color="auto"/>
                <w:left w:val="none" w:sz="0" w:space="0" w:color="auto"/>
                <w:bottom w:val="none" w:sz="0" w:space="0" w:color="auto"/>
                <w:right w:val="none" w:sz="0" w:space="0" w:color="auto"/>
              </w:divBdr>
            </w:div>
            <w:div w:id="2041542600">
              <w:marLeft w:val="0"/>
              <w:marRight w:val="0"/>
              <w:marTop w:val="0"/>
              <w:marBottom w:val="0"/>
              <w:divBdr>
                <w:top w:val="none" w:sz="0" w:space="0" w:color="auto"/>
                <w:left w:val="none" w:sz="0" w:space="0" w:color="auto"/>
                <w:bottom w:val="none" w:sz="0" w:space="0" w:color="auto"/>
                <w:right w:val="none" w:sz="0" w:space="0" w:color="auto"/>
              </w:divBdr>
            </w:div>
          </w:divsChild>
        </w:div>
        <w:div w:id="1675182743">
          <w:marLeft w:val="0"/>
          <w:marRight w:val="0"/>
          <w:marTop w:val="0"/>
          <w:marBottom w:val="0"/>
          <w:divBdr>
            <w:top w:val="none" w:sz="0" w:space="0" w:color="auto"/>
            <w:left w:val="none" w:sz="0" w:space="0" w:color="auto"/>
            <w:bottom w:val="none" w:sz="0" w:space="0" w:color="auto"/>
            <w:right w:val="none" w:sz="0" w:space="0" w:color="auto"/>
          </w:divBdr>
        </w:div>
        <w:div w:id="1675500054">
          <w:marLeft w:val="0"/>
          <w:marRight w:val="0"/>
          <w:marTop w:val="0"/>
          <w:marBottom w:val="0"/>
          <w:divBdr>
            <w:top w:val="none" w:sz="0" w:space="0" w:color="auto"/>
            <w:left w:val="none" w:sz="0" w:space="0" w:color="auto"/>
            <w:bottom w:val="none" w:sz="0" w:space="0" w:color="auto"/>
            <w:right w:val="none" w:sz="0" w:space="0" w:color="auto"/>
          </w:divBdr>
        </w:div>
        <w:div w:id="1675844075">
          <w:marLeft w:val="0"/>
          <w:marRight w:val="0"/>
          <w:marTop w:val="0"/>
          <w:marBottom w:val="0"/>
          <w:divBdr>
            <w:top w:val="none" w:sz="0" w:space="0" w:color="auto"/>
            <w:left w:val="none" w:sz="0" w:space="0" w:color="auto"/>
            <w:bottom w:val="none" w:sz="0" w:space="0" w:color="auto"/>
            <w:right w:val="none" w:sz="0" w:space="0" w:color="auto"/>
          </w:divBdr>
        </w:div>
        <w:div w:id="1676423976">
          <w:marLeft w:val="0"/>
          <w:marRight w:val="0"/>
          <w:marTop w:val="0"/>
          <w:marBottom w:val="0"/>
          <w:divBdr>
            <w:top w:val="none" w:sz="0" w:space="0" w:color="auto"/>
            <w:left w:val="none" w:sz="0" w:space="0" w:color="auto"/>
            <w:bottom w:val="none" w:sz="0" w:space="0" w:color="auto"/>
            <w:right w:val="none" w:sz="0" w:space="0" w:color="auto"/>
          </w:divBdr>
        </w:div>
        <w:div w:id="1676883059">
          <w:marLeft w:val="0"/>
          <w:marRight w:val="0"/>
          <w:marTop w:val="0"/>
          <w:marBottom w:val="0"/>
          <w:divBdr>
            <w:top w:val="none" w:sz="0" w:space="0" w:color="auto"/>
            <w:left w:val="none" w:sz="0" w:space="0" w:color="auto"/>
            <w:bottom w:val="none" w:sz="0" w:space="0" w:color="auto"/>
            <w:right w:val="none" w:sz="0" w:space="0" w:color="auto"/>
          </w:divBdr>
        </w:div>
        <w:div w:id="1677688739">
          <w:marLeft w:val="0"/>
          <w:marRight w:val="0"/>
          <w:marTop w:val="0"/>
          <w:marBottom w:val="0"/>
          <w:divBdr>
            <w:top w:val="none" w:sz="0" w:space="0" w:color="auto"/>
            <w:left w:val="none" w:sz="0" w:space="0" w:color="auto"/>
            <w:bottom w:val="none" w:sz="0" w:space="0" w:color="auto"/>
            <w:right w:val="none" w:sz="0" w:space="0" w:color="auto"/>
          </w:divBdr>
        </w:div>
        <w:div w:id="1678580973">
          <w:marLeft w:val="0"/>
          <w:marRight w:val="0"/>
          <w:marTop w:val="0"/>
          <w:marBottom w:val="0"/>
          <w:divBdr>
            <w:top w:val="none" w:sz="0" w:space="0" w:color="auto"/>
            <w:left w:val="none" w:sz="0" w:space="0" w:color="auto"/>
            <w:bottom w:val="none" w:sz="0" w:space="0" w:color="auto"/>
            <w:right w:val="none" w:sz="0" w:space="0" w:color="auto"/>
          </w:divBdr>
        </w:div>
        <w:div w:id="1680306167">
          <w:marLeft w:val="0"/>
          <w:marRight w:val="0"/>
          <w:marTop w:val="0"/>
          <w:marBottom w:val="0"/>
          <w:divBdr>
            <w:top w:val="none" w:sz="0" w:space="0" w:color="auto"/>
            <w:left w:val="none" w:sz="0" w:space="0" w:color="auto"/>
            <w:bottom w:val="none" w:sz="0" w:space="0" w:color="auto"/>
            <w:right w:val="none" w:sz="0" w:space="0" w:color="auto"/>
          </w:divBdr>
        </w:div>
        <w:div w:id="1682197796">
          <w:marLeft w:val="0"/>
          <w:marRight w:val="0"/>
          <w:marTop w:val="0"/>
          <w:marBottom w:val="0"/>
          <w:divBdr>
            <w:top w:val="none" w:sz="0" w:space="0" w:color="auto"/>
            <w:left w:val="none" w:sz="0" w:space="0" w:color="auto"/>
            <w:bottom w:val="none" w:sz="0" w:space="0" w:color="auto"/>
            <w:right w:val="none" w:sz="0" w:space="0" w:color="auto"/>
          </w:divBdr>
        </w:div>
        <w:div w:id="1682850290">
          <w:marLeft w:val="0"/>
          <w:marRight w:val="0"/>
          <w:marTop w:val="0"/>
          <w:marBottom w:val="0"/>
          <w:divBdr>
            <w:top w:val="none" w:sz="0" w:space="0" w:color="auto"/>
            <w:left w:val="none" w:sz="0" w:space="0" w:color="auto"/>
            <w:bottom w:val="none" w:sz="0" w:space="0" w:color="auto"/>
            <w:right w:val="none" w:sz="0" w:space="0" w:color="auto"/>
          </w:divBdr>
        </w:div>
        <w:div w:id="1683240533">
          <w:marLeft w:val="0"/>
          <w:marRight w:val="0"/>
          <w:marTop w:val="0"/>
          <w:marBottom w:val="0"/>
          <w:divBdr>
            <w:top w:val="none" w:sz="0" w:space="0" w:color="auto"/>
            <w:left w:val="none" w:sz="0" w:space="0" w:color="auto"/>
            <w:bottom w:val="none" w:sz="0" w:space="0" w:color="auto"/>
            <w:right w:val="none" w:sz="0" w:space="0" w:color="auto"/>
          </w:divBdr>
        </w:div>
        <w:div w:id="1685548255">
          <w:marLeft w:val="0"/>
          <w:marRight w:val="0"/>
          <w:marTop w:val="0"/>
          <w:marBottom w:val="0"/>
          <w:divBdr>
            <w:top w:val="none" w:sz="0" w:space="0" w:color="auto"/>
            <w:left w:val="none" w:sz="0" w:space="0" w:color="auto"/>
            <w:bottom w:val="none" w:sz="0" w:space="0" w:color="auto"/>
            <w:right w:val="none" w:sz="0" w:space="0" w:color="auto"/>
          </w:divBdr>
        </w:div>
        <w:div w:id="1689599570">
          <w:marLeft w:val="0"/>
          <w:marRight w:val="0"/>
          <w:marTop w:val="0"/>
          <w:marBottom w:val="0"/>
          <w:divBdr>
            <w:top w:val="none" w:sz="0" w:space="0" w:color="auto"/>
            <w:left w:val="none" w:sz="0" w:space="0" w:color="auto"/>
            <w:bottom w:val="none" w:sz="0" w:space="0" w:color="auto"/>
            <w:right w:val="none" w:sz="0" w:space="0" w:color="auto"/>
          </w:divBdr>
        </w:div>
        <w:div w:id="1690135488">
          <w:marLeft w:val="0"/>
          <w:marRight w:val="0"/>
          <w:marTop w:val="0"/>
          <w:marBottom w:val="0"/>
          <w:divBdr>
            <w:top w:val="none" w:sz="0" w:space="0" w:color="auto"/>
            <w:left w:val="none" w:sz="0" w:space="0" w:color="auto"/>
            <w:bottom w:val="none" w:sz="0" w:space="0" w:color="auto"/>
            <w:right w:val="none" w:sz="0" w:space="0" w:color="auto"/>
          </w:divBdr>
        </w:div>
        <w:div w:id="1695767539">
          <w:marLeft w:val="0"/>
          <w:marRight w:val="0"/>
          <w:marTop w:val="0"/>
          <w:marBottom w:val="0"/>
          <w:divBdr>
            <w:top w:val="none" w:sz="0" w:space="0" w:color="auto"/>
            <w:left w:val="none" w:sz="0" w:space="0" w:color="auto"/>
            <w:bottom w:val="none" w:sz="0" w:space="0" w:color="auto"/>
            <w:right w:val="none" w:sz="0" w:space="0" w:color="auto"/>
          </w:divBdr>
        </w:div>
        <w:div w:id="1700352494">
          <w:marLeft w:val="0"/>
          <w:marRight w:val="0"/>
          <w:marTop w:val="0"/>
          <w:marBottom w:val="0"/>
          <w:divBdr>
            <w:top w:val="none" w:sz="0" w:space="0" w:color="auto"/>
            <w:left w:val="none" w:sz="0" w:space="0" w:color="auto"/>
            <w:bottom w:val="none" w:sz="0" w:space="0" w:color="auto"/>
            <w:right w:val="none" w:sz="0" w:space="0" w:color="auto"/>
          </w:divBdr>
        </w:div>
        <w:div w:id="1701129584">
          <w:marLeft w:val="0"/>
          <w:marRight w:val="0"/>
          <w:marTop w:val="0"/>
          <w:marBottom w:val="0"/>
          <w:divBdr>
            <w:top w:val="none" w:sz="0" w:space="0" w:color="auto"/>
            <w:left w:val="none" w:sz="0" w:space="0" w:color="auto"/>
            <w:bottom w:val="none" w:sz="0" w:space="0" w:color="auto"/>
            <w:right w:val="none" w:sz="0" w:space="0" w:color="auto"/>
          </w:divBdr>
        </w:div>
        <w:div w:id="1703824135">
          <w:marLeft w:val="0"/>
          <w:marRight w:val="0"/>
          <w:marTop w:val="0"/>
          <w:marBottom w:val="0"/>
          <w:divBdr>
            <w:top w:val="none" w:sz="0" w:space="0" w:color="auto"/>
            <w:left w:val="none" w:sz="0" w:space="0" w:color="auto"/>
            <w:bottom w:val="none" w:sz="0" w:space="0" w:color="auto"/>
            <w:right w:val="none" w:sz="0" w:space="0" w:color="auto"/>
          </w:divBdr>
        </w:div>
        <w:div w:id="1705060032">
          <w:marLeft w:val="0"/>
          <w:marRight w:val="0"/>
          <w:marTop w:val="0"/>
          <w:marBottom w:val="0"/>
          <w:divBdr>
            <w:top w:val="none" w:sz="0" w:space="0" w:color="auto"/>
            <w:left w:val="none" w:sz="0" w:space="0" w:color="auto"/>
            <w:bottom w:val="none" w:sz="0" w:space="0" w:color="auto"/>
            <w:right w:val="none" w:sz="0" w:space="0" w:color="auto"/>
          </w:divBdr>
        </w:div>
        <w:div w:id="1706056169">
          <w:marLeft w:val="0"/>
          <w:marRight w:val="0"/>
          <w:marTop w:val="0"/>
          <w:marBottom w:val="0"/>
          <w:divBdr>
            <w:top w:val="none" w:sz="0" w:space="0" w:color="auto"/>
            <w:left w:val="none" w:sz="0" w:space="0" w:color="auto"/>
            <w:bottom w:val="none" w:sz="0" w:space="0" w:color="auto"/>
            <w:right w:val="none" w:sz="0" w:space="0" w:color="auto"/>
          </w:divBdr>
        </w:div>
        <w:div w:id="1707170867">
          <w:marLeft w:val="0"/>
          <w:marRight w:val="0"/>
          <w:marTop w:val="0"/>
          <w:marBottom w:val="0"/>
          <w:divBdr>
            <w:top w:val="none" w:sz="0" w:space="0" w:color="auto"/>
            <w:left w:val="none" w:sz="0" w:space="0" w:color="auto"/>
            <w:bottom w:val="none" w:sz="0" w:space="0" w:color="auto"/>
            <w:right w:val="none" w:sz="0" w:space="0" w:color="auto"/>
          </w:divBdr>
        </w:div>
        <w:div w:id="1709799452">
          <w:marLeft w:val="0"/>
          <w:marRight w:val="0"/>
          <w:marTop w:val="0"/>
          <w:marBottom w:val="0"/>
          <w:divBdr>
            <w:top w:val="none" w:sz="0" w:space="0" w:color="auto"/>
            <w:left w:val="none" w:sz="0" w:space="0" w:color="auto"/>
            <w:bottom w:val="none" w:sz="0" w:space="0" w:color="auto"/>
            <w:right w:val="none" w:sz="0" w:space="0" w:color="auto"/>
          </w:divBdr>
        </w:div>
        <w:div w:id="1712419879">
          <w:marLeft w:val="0"/>
          <w:marRight w:val="0"/>
          <w:marTop w:val="0"/>
          <w:marBottom w:val="0"/>
          <w:divBdr>
            <w:top w:val="none" w:sz="0" w:space="0" w:color="auto"/>
            <w:left w:val="none" w:sz="0" w:space="0" w:color="auto"/>
            <w:bottom w:val="none" w:sz="0" w:space="0" w:color="auto"/>
            <w:right w:val="none" w:sz="0" w:space="0" w:color="auto"/>
          </w:divBdr>
        </w:div>
        <w:div w:id="1713142932">
          <w:marLeft w:val="0"/>
          <w:marRight w:val="0"/>
          <w:marTop w:val="0"/>
          <w:marBottom w:val="0"/>
          <w:divBdr>
            <w:top w:val="none" w:sz="0" w:space="0" w:color="auto"/>
            <w:left w:val="none" w:sz="0" w:space="0" w:color="auto"/>
            <w:bottom w:val="none" w:sz="0" w:space="0" w:color="auto"/>
            <w:right w:val="none" w:sz="0" w:space="0" w:color="auto"/>
          </w:divBdr>
        </w:div>
        <w:div w:id="1714696394">
          <w:marLeft w:val="0"/>
          <w:marRight w:val="0"/>
          <w:marTop w:val="0"/>
          <w:marBottom w:val="0"/>
          <w:divBdr>
            <w:top w:val="none" w:sz="0" w:space="0" w:color="auto"/>
            <w:left w:val="none" w:sz="0" w:space="0" w:color="auto"/>
            <w:bottom w:val="none" w:sz="0" w:space="0" w:color="auto"/>
            <w:right w:val="none" w:sz="0" w:space="0" w:color="auto"/>
          </w:divBdr>
        </w:div>
        <w:div w:id="1716151363">
          <w:marLeft w:val="0"/>
          <w:marRight w:val="0"/>
          <w:marTop w:val="0"/>
          <w:marBottom w:val="0"/>
          <w:divBdr>
            <w:top w:val="none" w:sz="0" w:space="0" w:color="auto"/>
            <w:left w:val="none" w:sz="0" w:space="0" w:color="auto"/>
            <w:bottom w:val="none" w:sz="0" w:space="0" w:color="auto"/>
            <w:right w:val="none" w:sz="0" w:space="0" w:color="auto"/>
          </w:divBdr>
        </w:div>
        <w:div w:id="1716275212">
          <w:marLeft w:val="0"/>
          <w:marRight w:val="0"/>
          <w:marTop w:val="0"/>
          <w:marBottom w:val="0"/>
          <w:divBdr>
            <w:top w:val="none" w:sz="0" w:space="0" w:color="auto"/>
            <w:left w:val="none" w:sz="0" w:space="0" w:color="auto"/>
            <w:bottom w:val="none" w:sz="0" w:space="0" w:color="auto"/>
            <w:right w:val="none" w:sz="0" w:space="0" w:color="auto"/>
          </w:divBdr>
        </w:div>
        <w:div w:id="1719089251">
          <w:marLeft w:val="0"/>
          <w:marRight w:val="0"/>
          <w:marTop w:val="0"/>
          <w:marBottom w:val="0"/>
          <w:divBdr>
            <w:top w:val="none" w:sz="0" w:space="0" w:color="auto"/>
            <w:left w:val="none" w:sz="0" w:space="0" w:color="auto"/>
            <w:bottom w:val="none" w:sz="0" w:space="0" w:color="auto"/>
            <w:right w:val="none" w:sz="0" w:space="0" w:color="auto"/>
          </w:divBdr>
        </w:div>
        <w:div w:id="1719429221">
          <w:marLeft w:val="0"/>
          <w:marRight w:val="0"/>
          <w:marTop w:val="0"/>
          <w:marBottom w:val="0"/>
          <w:divBdr>
            <w:top w:val="none" w:sz="0" w:space="0" w:color="auto"/>
            <w:left w:val="none" w:sz="0" w:space="0" w:color="auto"/>
            <w:bottom w:val="none" w:sz="0" w:space="0" w:color="auto"/>
            <w:right w:val="none" w:sz="0" w:space="0" w:color="auto"/>
          </w:divBdr>
        </w:div>
        <w:div w:id="1720090072">
          <w:marLeft w:val="0"/>
          <w:marRight w:val="0"/>
          <w:marTop w:val="0"/>
          <w:marBottom w:val="0"/>
          <w:divBdr>
            <w:top w:val="none" w:sz="0" w:space="0" w:color="auto"/>
            <w:left w:val="none" w:sz="0" w:space="0" w:color="auto"/>
            <w:bottom w:val="none" w:sz="0" w:space="0" w:color="auto"/>
            <w:right w:val="none" w:sz="0" w:space="0" w:color="auto"/>
          </w:divBdr>
        </w:div>
        <w:div w:id="1720471026">
          <w:marLeft w:val="0"/>
          <w:marRight w:val="0"/>
          <w:marTop w:val="0"/>
          <w:marBottom w:val="0"/>
          <w:divBdr>
            <w:top w:val="none" w:sz="0" w:space="0" w:color="auto"/>
            <w:left w:val="none" w:sz="0" w:space="0" w:color="auto"/>
            <w:bottom w:val="none" w:sz="0" w:space="0" w:color="auto"/>
            <w:right w:val="none" w:sz="0" w:space="0" w:color="auto"/>
          </w:divBdr>
        </w:div>
        <w:div w:id="1720473339">
          <w:marLeft w:val="0"/>
          <w:marRight w:val="0"/>
          <w:marTop w:val="0"/>
          <w:marBottom w:val="0"/>
          <w:divBdr>
            <w:top w:val="none" w:sz="0" w:space="0" w:color="auto"/>
            <w:left w:val="none" w:sz="0" w:space="0" w:color="auto"/>
            <w:bottom w:val="none" w:sz="0" w:space="0" w:color="auto"/>
            <w:right w:val="none" w:sz="0" w:space="0" w:color="auto"/>
          </w:divBdr>
        </w:div>
        <w:div w:id="1722947713">
          <w:marLeft w:val="0"/>
          <w:marRight w:val="0"/>
          <w:marTop w:val="0"/>
          <w:marBottom w:val="0"/>
          <w:divBdr>
            <w:top w:val="none" w:sz="0" w:space="0" w:color="auto"/>
            <w:left w:val="none" w:sz="0" w:space="0" w:color="auto"/>
            <w:bottom w:val="none" w:sz="0" w:space="0" w:color="auto"/>
            <w:right w:val="none" w:sz="0" w:space="0" w:color="auto"/>
          </w:divBdr>
        </w:div>
        <w:div w:id="1724282929">
          <w:marLeft w:val="0"/>
          <w:marRight w:val="0"/>
          <w:marTop w:val="0"/>
          <w:marBottom w:val="0"/>
          <w:divBdr>
            <w:top w:val="none" w:sz="0" w:space="0" w:color="auto"/>
            <w:left w:val="none" w:sz="0" w:space="0" w:color="auto"/>
            <w:bottom w:val="none" w:sz="0" w:space="0" w:color="auto"/>
            <w:right w:val="none" w:sz="0" w:space="0" w:color="auto"/>
          </w:divBdr>
        </w:div>
        <w:div w:id="1724597744">
          <w:marLeft w:val="0"/>
          <w:marRight w:val="0"/>
          <w:marTop w:val="0"/>
          <w:marBottom w:val="0"/>
          <w:divBdr>
            <w:top w:val="none" w:sz="0" w:space="0" w:color="auto"/>
            <w:left w:val="none" w:sz="0" w:space="0" w:color="auto"/>
            <w:bottom w:val="none" w:sz="0" w:space="0" w:color="auto"/>
            <w:right w:val="none" w:sz="0" w:space="0" w:color="auto"/>
          </w:divBdr>
        </w:div>
        <w:div w:id="1726173874">
          <w:marLeft w:val="0"/>
          <w:marRight w:val="0"/>
          <w:marTop w:val="0"/>
          <w:marBottom w:val="0"/>
          <w:divBdr>
            <w:top w:val="none" w:sz="0" w:space="0" w:color="auto"/>
            <w:left w:val="none" w:sz="0" w:space="0" w:color="auto"/>
            <w:bottom w:val="none" w:sz="0" w:space="0" w:color="auto"/>
            <w:right w:val="none" w:sz="0" w:space="0" w:color="auto"/>
          </w:divBdr>
        </w:div>
        <w:div w:id="1728071953">
          <w:marLeft w:val="0"/>
          <w:marRight w:val="0"/>
          <w:marTop w:val="0"/>
          <w:marBottom w:val="0"/>
          <w:divBdr>
            <w:top w:val="none" w:sz="0" w:space="0" w:color="auto"/>
            <w:left w:val="none" w:sz="0" w:space="0" w:color="auto"/>
            <w:bottom w:val="none" w:sz="0" w:space="0" w:color="auto"/>
            <w:right w:val="none" w:sz="0" w:space="0" w:color="auto"/>
          </w:divBdr>
        </w:div>
        <w:div w:id="1728143862">
          <w:marLeft w:val="0"/>
          <w:marRight w:val="0"/>
          <w:marTop w:val="0"/>
          <w:marBottom w:val="0"/>
          <w:divBdr>
            <w:top w:val="none" w:sz="0" w:space="0" w:color="auto"/>
            <w:left w:val="none" w:sz="0" w:space="0" w:color="auto"/>
            <w:bottom w:val="none" w:sz="0" w:space="0" w:color="auto"/>
            <w:right w:val="none" w:sz="0" w:space="0" w:color="auto"/>
          </w:divBdr>
        </w:div>
        <w:div w:id="1728449596">
          <w:marLeft w:val="0"/>
          <w:marRight w:val="0"/>
          <w:marTop w:val="0"/>
          <w:marBottom w:val="0"/>
          <w:divBdr>
            <w:top w:val="none" w:sz="0" w:space="0" w:color="auto"/>
            <w:left w:val="none" w:sz="0" w:space="0" w:color="auto"/>
            <w:bottom w:val="none" w:sz="0" w:space="0" w:color="auto"/>
            <w:right w:val="none" w:sz="0" w:space="0" w:color="auto"/>
          </w:divBdr>
        </w:div>
        <w:div w:id="1728528928">
          <w:marLeft w:val="0"/>
          <w:marRight w:val="0"/>
          <w:marTop w:val="0"/>
          <w:marBottom w:val="0"/>
          <w:divBdr>
            <w:top w:val="none" w:sz="0" w:space="0" w:color="auto"/>
            <w:left w:val="none" w:sz="0" w:space="0" w:color="auto"/>
            <w:bottom w:val="none" w:sz="0" w:space="0" w:color="auto"/>
            <w:right w:val="none" w:sz="0" w:space="0" w:color="auto"/>
          </w:divBdr>
        </w:div>
        <w:div w:id="1729260590">
          <w:marLeft w:val="0"/>
          <w:marRight w:val="0"/>
          <w:marTop w:val="0"/>
          <w:marBottom w:val="0"/>
          <w:divBdr>
            <w:top w:val="none" w:sz="0" w:space="0" w:color="auto"/>
            <w:left w:val="none" w:sz="0" w:space="0" w:color="auto"/>
            <w:bottom w:val="none" w:sz="0" w:space="0" w:color="auto"/>
            <w:right w:val="none" w:sz="0" w:space="0" w:color="auto"/>
          </w:divBdr>
          <w:divsChild>
            <w:div w:id="1443508">
              <w:marLeft w:val="0"/>
              <w:marRight w:val="0"/>
              <w:marTop w:val="0"/>
              <w:marBottom w:val="0"/>
              <w:divBdr>
                <w:top w:val="none" w:sz="0" w:space="0" w:color="auto"/>
                <w:left w:val="none" w:sz="0" w:space="0" w:color="auto"/>
                <w:bottom w:val="none" w:sz="0" w:space="0" w:color="auto"/>
                <w:right w:val="none" w:sz="0" w:space="0" w:color="auto"/>
              </w:divBdr>
            </w:div>
            <w:div w:id="73401970">
              <w:marLeft w:val="0"/>
              <w:marRight w:val="0"/>
              <w:marTop w:val="0"/>
              <w:marBottom w:val="0"/>
              <w:divBdr>
                <w:top w:val="none" w:sz="0" w:space="0" w:color="auto"/>
                <w:left w:val="none" w:sz="0" w:space="0" w:color="auto"/>
                <w:bottom w:val="none" w:sz="0" w:space="0" w:color="auto"/>
                <w:right w:val="none" w:sz="0" w:space="0" w:color="auto"/>
              </w:divBdr>
            </w:div>
            <w:div w:id="103430598">
              <w:marLeft w:val="0"/>
              <w:marRight w:val="0"/>
              <w:marTop w:val="0"/>
              <w:marBottom w:val="0"/>
              <w:divBdr>
                <w:top w:val="none" w:sz="0" w:space="0" w:color="auto"/>
                <w:left w:val="none" w:sz="0" w:space="0" w:color="auto"/>
                <w:bottom w:val="none" w:sz="0" w:space="0" w:color="auto"/>
                <w:right w:val="none" w:sz="0" w:space="0" w:color="auto"/>
              </w:divBdr>
            </w:div>
            <w:div w:id="110054623">
              <w:marLeft w:val="0"/>
              <w:marRight w:val="0"/>
              <w:marTop w:val="0"/>
              <w:marBottom w:val="0"/>
              <w:divBdr>
                <w:top w:val="none" w:sz="0" w:space="0" w:color="auto"/>
                <w:left w:val="none" w:sz="0" w:space="0" w:color="auto"/>
                <w:bottom w:val="none" w:sz="0" w:space="0" w:color="auto"/>
                <w:right w:val="none" w:sz="0" w:space="0" w:color="auto"/>
              </w:divBdr>
            </w:div>
            <w:div w:id="451479218">
              <w:marLeft w:val="0"/>
              <w:marRight w:val="0"/>
              <w:marTop w:val="0"/>
              <w:marBottom w:val="0"/>
              <w:divBdr>
                <w:top w:val="none" w:sz="0" w:space="0" w:color="auto"/>
                <w:left w:val="none" w:sz="0" w:space="0" w:color="auto"/>
                <w:bottom w:val="none" w:sz="0" w:space="0" w:color="auto"/>
                <w:right w:val="none" w:sz="0" w:space="0" w:color="auto"/>
              </w:divBdr>
            </w:div>
            <w:div w:id="514416491">
              <w:marLeft w:val="0"/>
              <w:marRight w:val="0"/>
              <w:marTop w:val="0"/>
              <w:marBottom w:val="0"/>
              <w:divBdr>
                <w:top w:val="none" w:sz="0" w:space="0" w:color="auto"/>
                <w:left w:val="none" w:sz="0" w:space="0" w:color="auto"/>
                <w:bottom w:val="none" w:sz="0" w:space="0" w:color="auto"/>
                <w:right w:val="none" w:sz="0" w:space="0" w:color="auto"/>
              </w:divBdr>
            </w:div>
            <w:div w:id="524827518">
              <w:marLeft w:val="0"/>
              <w:marRight w:val="0"/>
              <w:marTop w:val="0"/>
              <w:marBottom w:val="0"/>
              <w:divBdr>
                <w:top w:val="none" w:sz="0" w:space="0" w:color="auto"/>
                <w:left w:val="none" w:sz="0" w:space="0" w:color="auto"/>
                <w:bottom w:val="none" w:sz="0" w:space="0" w:color="auto"/>
                <w:right w:val="none" w:sz="0" w:space="0" w:color="auto"/>
              </w:divBdr>
            </w:div>
            <w:div w:id="656691015">
              <w:marLeft w:val="0"/>
              <w:marRight w:val="0"/>
              <w:marTop w:val="0"/>
              <w:marBottom w:val="0"/>
              <w:divBdr>
                <w:top w:val="none" w:sz="0" w:space="0" w:color="auto"/>
                <w:left w:val="none" w:sz="0" w:space="0" w:color="auto"/>
                <w:bottom w:val="none" w:sz="0" w:space="0" w:color="auto"/>
                <w:right w:val="none" w:sz="0" w:space="0" w:color="auto"/>
              </w:divBdr>
            </w:div>
            <w:div w:id="713693628">
              <w:marLeft w:val="0"/>
              <w:marRight w:val="0"/>
              <w:marTop w:val="0"/>
              <w:marBottom w:val="0"/>
              <w:divBdr>
                <w:top w:val="none" w:sz="0" w:space="0" w:color="auto"/>
                <w:left w:val="none" w:sz="0" w:space="0" w:color="auto"/>
                <w:bottom w:val="none" w:sz="0" w:space="0" w:color="auto"/>
                <w:right w:val="none" w:sz="0" w:space="0" w:color="auto"/>
              </w:divBdr>
            </w:div>
            <w:div w:id="925843553">
              <w:marLeft w:val="0"/>
              <w:marRight w:val="0"/>
              <w:marTop w:val="0"/>
              <w:marBottom w:val="0"/>
              <w:divBdr>
                <w:top w:val="none" w:sz="0" w:space="0" w:color="auto"/>
                <w:left w:val="none" w:sz="0" w:space="0" w:color="auto"/>
                <w:bottom w:val="none" w:sz="0" w:space="0" w:color="auto"/>
                <w:right w:val="none" w:sz="0" w:space="0" w:color="auto"/>
              </w:divBdr>
            </w:div>
            <w:div w:id="1037925560">
              <w:marLeft w:val="0"/>
              <w:marRight w:val="0"/>
              <w:marTop w:val="0"/>
              <w:marBottom w:val="0"/>
              <w:divBdr>
                <w:top w:val="none" w:sz="0" w:space="0" w:color="auto"/>
                <w:left w:val="none" w:sz="0" w:space="0" w:color="auto"/>
                <w:bottom w:val="none" w:sz="0" w:space="0" w:color="auto"/>
                <w:right w:val="none" w:sz="0" w:space="0" w:color="auto"/>
              </w:divBdr>
            </w:div>
            <w:div w:id="1040939279">
              <w:marLeft w:val="0"/>
              <w:marRight w:val="0"/>
              <w:marTop w:val="0"/>
              <w:marBottom w:val="0"/>
              <w:divBdr>
                <w:top w:val="none" w:sz="0" w:space="0" w:color="auto"/>
                <w:left w:val="none" w:sz="0" w:space="0" w:color="auto"/>
                <w:bottom w:val="none" w:sz="0" w:space="0" w:color="auto"/>
                <w:right w:val="none" w:sz="0" w:space="0" w:color="auto"/>
              </w:divBdr>
            </w:div>
            <w:div w:id="1132484382">
              <w:marLeft w:val="0"/>
              <w:marRight w:val="0"/>
              <w:marTop w:val="0"/>
              <w:marBottom w:val="0"/>
              <w:divBdr>
                <w:top w:val="none" w:sz="0" w:space="0" w:color="auto"/>
                <w:left w:val="none" w:sz="0" w:space="0" w:color="auto"/>
                <w:bottom w:val="none" w:sz="0" w:space="0" w:color="auto"/>
                <w:right w:val="none" w:sz="0" w:space="0" w:color="auto"/>
              </w:divBdr>
            </w:div>
            <w:div w:id="1267154144">
              <w:marLeft w:val="0"/>
              <w:marRight w:val="0"/>
              <w:marTop w:val="0"/>
              <w:marBottom w:val="0"/>
              <w:divBdr>
                <w:top w:val="none" w:sz="0" w:space="0" w:color="auto"/>
                <w:left w:val="none" w:sz="0" w:space="0" w:color="auto"/>
                <w:bottom w:val="none" w:sz="0" w:space="0" w:color="auto"/>
                <w:right w:val="none" w:sz="0" w:space="0" w:color="auto"/>
              </w:divBdr>
            </w:div>
            <w:div w:id="1482234656">
              <w:marLeft w:val="0"/>
              <w:marRight w:val="0"/>
              <w:marTop w:val="0"/>
              <w:marBottom w:val="0"/>
              <w:divBdr>
                <w:top w:val="none" w:sz="0" w:space="0" w:color="auto"/>
                <w:left w:val="none" w:sz="0" w:space="0" w:color="auto"/>
                <w:bottom w:val="none" w:sz="0" w:space="0" w:color="auto"/>
                <w:right w:val="none" w:sz="0" w:space="0" w:color="auto"/>
              </w:divBdr>
            </w:div>
            <w:div w:id="1556312222">
              <w:marLeft w:val="0"/>
              <w:marRight w:val="0"/>
              <w:marTop w:val="0"/>
              <w:marBottom w:val="0"/>
              <w:divBdr>
                <w:top w:val="none" w:sz="0" w:space="0" w:color="auto"/>
                <w:left w:val="none" w:sz="0" w:space="0" w:color="auto"/>
                <w:bottom w:val="none" w:sz="0" w:space="0" w:color="auto"/>
                <w:right w:val="none" w:sz="0" w:space="0" w:color="auto"/>
              </w:divBdr>
            </w:div>
            <w:div w:id="1619146917">
              <w:marLeft w:val="0"/>
              <w:marRight w:val="0"/>
              <w:marTop w:val="0"/>
              <w:marBottom w:val="0"/>
              <w:divBdr>
                <w:top w:val="none" w:sz="0" w:space="0" w:color="auto"/>
                <w:left w:val="none" w:sz="0" w:space="0" w:color="auto"/>
                <w:bottom w:val="none" w:sz="0" w:space="0" w:color="auto"/>
                <w:right w:val="none" w:sz="0" w:space="0" w:color="auto"/>
              </w:divBdr>
            </w:div>
            <w:div w:id="1752583468">
              <w:marLeft w:val="0"/>
              <w:marRight w:val="0"/>
              <w:marTop w:val="0"/>
              <w:marBottom w:val="0"/>
              <w:divBdr>
                <w:top w:val="none" w:sz="0" w:space="0" w:color="auto"/>
                <w:left w:val="none" w:sz="0" w:space="0" w:color="auto"/>
                <w:bottom w:val="none" w:sz="0" w:space="0" w:color="auto"/>
                <w:right w:val="none" w:sz="0" w:space="0" w:color="auto"/>
              </w:divBdr>
            </w:div>
            <w:div w:id="1923904240">
              <w:marLeft w:val="0"/>
              <w:marRight w:val="0"/>
              <w:marTop w:val="0"/>
              <w:marBottom w:val="0"/>
              <w:divBdr>
                <w:top w:val="none" w:sz="0" w:space="0" w:color="auto"/>
                <w:left w:val="none" w:sz="0" w:space="0" w:color="auto"/>
                <w:bottom w:val="none" w:sz="0" w:space="0" w:color="auto"/>
                <w:right w:val="none" w:sz="0" w:space="0" w:color="auto"/>
              </w:divBdr>
            </w:div>
            <w:div w:id="2090612505">
              <w:marLeft w:val="0"/>
              <w:marRight w:val="0"/>
              <w:marTop w:val="0"/>
              <w:marBottom w:val="0"/>
              <w:divBdr>
                <w:top w:val="none" w:sz="0" w:space="0" w:color="auto"/>
                <w:left w:val="none" w:sz="0" w:space="0" w:color="auto"/>
                <w:bottom w:val="none" w:sz="0" w:space="0" w:color="auto"/>
                <w:right w:val="none" w:sz="0" w:space="0" w:color="auto"/>
              </w:divBdr>
            </w:div>
          </w:divsChild>
        </w:div>
        <w:div w:id="1729498661">
          <w:marLeft w:val="0"/>
          <w:marRight w:val="0"/>
          <w:marTop w:val="0"/>
          <w:marBottom w:val="0"/>
          <w:divBdr>
            <w:top w:val="none" w:sz="0" w:space="0" w:color="auto"/>
            <w:left w:val="none" w:sz="0" w:space="0" w:color="auto"/>
            <w:bottom w:val="none" w:sz="0" w:space="0" w:color="auto"/>
            <w:right w:val="none" w:sz="0" w:space="0" w:color="auto"/>
          </w:divBdr>
        </w:div>
        <w:div w:id="1730566893">
          <w:marLeft w:val="0"/>
          <w:marRight w:val="0"/>
          <w:marTop w:val="0"/>
          <w:marBottom w:val="0"/>
          <w:divBdr>
            <w:top w:val="none" w:sz="0" w:space="0" w:color="auto"/>
            <w:left w:val="none" w:sz="0" w:space="0" w:color="auto"/>
            <w:bottom w:val="none" w:sz="0" w:space="0" w:color="auto"/>
            <w:right w:val="none" w:sz="0" w:space="0" w:color="auto"/>
          </w:divBdr>
        </w:div>
        <w:div w:id="1732078118">
          <w:marLeft w:val="0"/>
          <w:marRight w:val="0"/>
          <w:marTop w:val="0"/>
          <w:marBottom w:val="0"/>
          <w:divBdr>
            <w:top w:val="none" w:sz="0" w:space="0" w:color="auto"/>
            <w:left w:val="none" w:sz="0" w:space="0" w:color="auto"/>
            <w:bottom w:val="none" w:sz="0" w:space="0" w:color="auto"/>
            <w:right w:val="none" w:sz="0" w:space="0" w:color="auto"/>
          </w:divBdr>
        </w:div>
        <w:div w:id="1734158613">
          <w:marLeft w:val="0"/>
          <w:marRight w:val="0"/>
          <w:marTop w:val="0"/>
          <w:marBottom w:val="0"/>
          <w:divBdr>
            <w:top w:val="none" w:sz="0" w:space="0" w:color="auto"/>
            <w:left w:val="none" w:sz="0" w:space="0" w:color="auto"/>
            <w:bottom w:val="none" w:sz="0" w:space="0" w:color="auto"/>
            <w:right w:val="none" w:sz="0" w:space="0" w:color="auto"/>
          </w:divBdr>
        </w:div>
        <w:div w:id="1735852512">
          <w:marLeft w:val="0"/>
          <w:marRight w:val="0"/>
          <w:marTop w:val="0"/>
          <w:marBottom w:val="0"/>
          <w:divBdr>
            <w:top w:val="none" w:sz="0" w:space="0" w:color="auto"/>
            <w:left w:val="none" w:sz="0" w:space="0" w:color="auto"/>
            <w:bottom w:val="none" w:sz="0" w:space="0" w:color="auto"/>
            <w:right w:val="none" w:sz="0" w:space="0" w:color="auto"/>
          </w:divBdr>
        </w:div>
        <w:div w:id="1736124355">
          <w:marLeft w:val="0"/>
          <w:marRight w:val="0"/>
          <w:marTop w:val="0"/>
          <w:marBottom w:val="0"/>
          <w:divBdr>
            <w:top w:val="none" w:sz="0" w:space="0" w:color="auto"/>
            <w:left w:val="none" w:sz="0" w:space="0" w:color="auto"/>
            <w:bottom w:val="none" w:sz="0" w:space="0" w:color="auto"/>
            <w:right w:val="none" w:sz="0" w:space="0" w:color="auto"/>
          </w:divBdr>
        </w:div>
        <w:div w:id="1736704239">
          <w:marLeft w:val="0"/>
          <w:marRight w:val="0"/>
          <w:marTop w:val="0"/>
          <w:marBottom w:val="0"/>
          <w:divBdr>
            <w:top w:val="none" w:sz="0" w:space="0" w:color="auto"/>
            <w:left w:val="none" w:sz="0" w:space="0" w:color="auto"/>
            <w:bottom w:val="none" w:sz="0" w:space="0" w:color="auto"/>
            <w:right w:val="none" w:sz="0" w:space="0" w:color="auto"/>
          </w:divBdr>
        </w:div>
        <w:div w:id="1736972118">
          <w:marLeft w:val="0"/>
          <w:marRight w:val="0"/>
          <w:marTop w:val="0"/>
          <w:marBottom w:val="0"/>
          <w:divBdr>
            <w:top w:val="none" w:sz="0" w:space="0" w:color="auto"/>
            <w:left w:val="none" w:sz="0" w:space="0" w:color="auto"/>
            <w:bottom w:val="none" w:sz="0" w:space="0" w:color="auto"/>
            <w:right w:val="none" w:sz="0" w:space="0" w:color="auto"/>
          </w:divBdr>
        </w:div>
        <w:div w:id="1738165453">
          <w:marLeft w:val="0"/>
          <w:marRight w:val="0"/>
          <w:marTop w:val="0"/>
          <w:marBottom w:val="0"/>
          <w:divBdr>
            <w:top w:val="none" w:sz="0" w:space="0" w:color="auto"/>
            <w:left w:val="none" w:sz="0" w:space="0" w:color="auto"/>
            <w:bottom w:val="none" w:sz="0" w:space="0" w:color="auto"/>
            <w:right w:val="none" w:sz="0" w:space="0" w:color="auto"/>
          </w:divBdr>
        </w:div>
        <w:div w:id="1740134205">
          <w:marLeft w:val="0"/>
          <w:marRight w:val="0"/>
          <w:marTop w:val="0"/>
          <w:marBottom w:val="0"/>
          <w:divBdr>
            <w:top w:val="none" w:sz="0" w:space="0" w:color="auto"/>
            <w:left w:val="none" w:sz="0" w:space="0" w:color="auto"/>
            <w:bottom w:val="none" w:sz="0" w:space="0" w:color="auto"/>
            <w:right w:val="none" w:sz="0" w:space="0" w:color="auto"/>
          </w:divBdr>
        </w:div>
        <w:div w:id="1740638908">
          <w:marLeft w:val="0"/>
          <w:marRight w:val="0"/>
          <w:marTop w:val="0"/>
          <w:marBottom w:val="0"/>
          <w:divBdr>
            <w:top w:val="none" w:sz="0" w:space="0" w:color="auto"/>
            <w:left w:val="none" w:sz="0" w:space="0" w:color="auto"/>
            <w:bottom w:val="none" w:sz="0" w:space="0" w:color="auto"/>
            <w:right w:val="none" w:sz="0" w:space="0" w:color="auto"/>
          </w:divBdr>
        </w:div>
        <w:div w:id="1741363830">
          <w:marLeft w:val="0"/>
          <w:marRight w:val="0"/>
          <w:marTop w:val="0"/>
          <w:marBottom w:val="0"/>
          <w:divBdr>
            <w:top w:val="none" w:sz="0" w:space="0" w:color="auto"/>
            <w:left w:val="none" w:sz="0" w:space="0" w:color="auto"/>
            <w:bottom w:val="none" w:sz="0" w:space="0" w:color="auto"/>
            <w:right w:val="none" w:sz="0" w:space="0" w:color="auto"/>
          </w:divBdr>
        </w:div>
        <w:div w:id="1741630512">
          <w:marLeft w:val="0"/>
          <w:marRight w:val="0"/>
          <w:marTop w:val="0"/>
          <w:marBottom w:val="0"/>
          <w:divBdr>
            <w:top w:val="none" w:sz="0" w:space="0" w:color="auto"/>
            <w:left w:val="none" w:sz="0" w:space="0" w:color="auto"/>
            <w:bottom w:val="none" w:sz="0" w:space="0" w:color="auto"/>
            <w:right w:val="none" w:sz="0" w:space="0" w:color="auto"/>
          </w:divBdr>
        </w:div>
        <w:div w:id="1743209586">
          <w:marLeft w:val="0"/>
          <w:marRight w:val="0"/>
          <w:marTop w:val="0"/>
          <w:marBottom w:val="0"/>
          <w:divBdr>
            <w:top w:val="none" w:sz="0" w:space="0" w:color="auto"/>
            <w:left w:val="none" w:sz="0" w:space="0" w:color="auto"/>
            <w:bottom w:val="none" w:sz="0" w:space="0" w:color="auto"/>
            <w:right w:val="none" w:sz="0" w:space="0" w:color="auto"/>
          </w:divBdr>
        </w:div>
        <w:div w:id="1744404105">
          <w:marLeft w:val="0"/>
          <w:marRight w:val="0"/>
          <w:marTop w:val="0"/>
          <w:marBottom w:val="0"/>
          <w:divBdr>
            <w:top w:val="none" w:sz="0" w:space="0" w:color="auto"/>
            <w:left w:val="none" w:sz="0" w:space="0" w:color="auto"/>
            <w:bottom w:val="none" w:sz="0" w:space="0" w:color="auto"/>
            <w:right w:val="none" w:sz="0" w:space="0" w:color="auto"/>
          </w:divBdr>
        </w:div>
        <w:div w:id="1744449513">
          <w:marLeft w:val="0"/>
          <w:marRight w:val="0"/>
          <w:marTop w:val="0"/>
          <w:marBottom w:val="0"/>
          <w:divBdr>
            <w:top w:val="none" w:sz="0" w:space="0" w:color="auto"/>
            <w:left w:val="none" w:sz="0" w:space="0" w:color="auto"/>
            <w:bottom w:val="none" w:sz="0" w:space="0" w:color="auto"/>
            <w:right w:val="none" w:sz="0" w:space="0" w:color="auto"/>
          </w:divBdr>
        </w:div>
        <w:div w:id="1744640389">
          <w:marLeft w:val="0"/>
          <w:marRight w:val="0"/>
          <w:marTop w:val="0"/>
          <w:marBottom w:val="0"/>
          <w:divBdr>
            <w:top w:val="none" w:sz="0" w:space="0" w:color="auto"/>
            <w:left w:val="none" w:sz="0" w:space="0" w:color="auto"/>
            <w:bottom w:val="none" w:sz="0" w:space="0" w:color="auto"/>
            <w:right w:val="none" w:sz="0" w:space="0" w:color="auto"/>
          </w:divBdr>
        </w:div>
        <w:div w:id="1745420540">
          <w:marLeft w:val="0"/>
          <w:marRight w:val="0"/>
          <w:marTop w:val="0"/>
          <w:marBottom w:val="0"/>
          <w:divBdr>
            <w:top w:val="none" w:sz="0" w:space="0" w:color="auto"/>
            <w:left w:val="none" w:sz="0" w:space="0" w:color="auto"/>
            <w:bottom w:val="none" w:sz="0" w:space="0" w:color="auto"/>
            <w:right w:val="none" w:sz="0" w:space="0" w:color="auto"/>
          </w:divBdr>
        </w:div>
        <w:div w:id="1745687484">
          <w:marLeft w:val="0"/>
          <w:marRight w:val="0"/>
          <w:marTop w:val="0"/>
          <w:marBottom w:val="0"/>
          <w:divBdr>
            <w:top w:val="none" w:sz="0" w:space="0" w:color="auto"/>
            <w:left w:val="none" w:sz="0" w:space="0" w:color="auto"/>
            <w:bottom w:val="none" w:sz="0" w:space="0" w:color="auto"/>
            <w:right w:val="none" w:sz="0" w:space="0" w:color="auto"/>
          </w:divBdr>
          <w:divsChild>
            <w:div w:id="49959398">
              <w:marLeft w:val="0"/>
              <w:marRight w:val="0"/>
              <w:marTop w:val="0"/>
              <w:marBottom w:val="0"/>
              <w:divBdr>
                <w:top w:val="none" w:sz="0" w:space="0" w:color="auto"/>
                <w:left w:val="none" w:sz="0" w:space="0" w:color="auto"/>
                <w:bottom w:val="none" w:sz="0" w:space="0" w:color="auto"/>
                <w:right w:val="none" w:sz="0" w:space="0" w:color="auto"/>
              </w:divBdr>
            </w:div>
            <w:div w:id="52894542">
              <w:marLeft w:val="0"/>
              <w:marRight w:val="0"/>
              <w:marTop w:val="0"/>
              <w:marBottom w:val="0"/>
              <w:divBdr>
                <w:top w:val="none" w:sz="0" w:space="0" w:color="auto"/>
                <w:left w:val="none" w:sz="0" w:space="0" w:color="auto"/>
                <w:bottom w:val="none" w:sz="0" w:space="0" w:color="auto"/>
                <w:right w:val="none" w:sz="0" w:space="0" w:color="auto"/>
              </w:divBdr>
            </w:div>
            <w:div w:id="56900712">
              <w:marLeft w:val="0"/>
              <w:marRight w:val="0"/>
              <w:marTop w:val="0"/>
              <w:marBottom w:val="0"/>
              <w:divBdr>
                <w:top w:val="none" w:sz="0" w:space="0" w:color="auto"/>
                <w:left w:val="none" w:sz="0" w:space="0" w:color="auto"/>
                <w:bottom w:val="none" w:sz="0" w:space="0" w:color="auto"/>
                <w:right w:val="none" w:sz="0" w:space="0" w:color="auto"/>
              </w:divBdr>
            </w:div>
            <w:div w:id="58984697">
              <w:marLeft w:val="0"/>
              <w:marRight w:val="0"/>
              <w:marTop w:val="0"/>
              <w:marBottom w:val="0"/>
              <w:divBdr>
                <w:top w:val="none" w:sz="0" w:space="0" w:color="auto"/>
                <w:left w:val="none" w:sz="0" w:space="0" w:color="auto"/>
                <w:bottom w:val="none" w:sz="0" w:space="0" w:color="auto"/>
                <w:right w:val="none" w:sz="0" w:space="0" w:color="auto"/>
              </w:divBdr>
            </w:div>
            <w:div w:id="84616753">
              <w:marLeft w:val="0"/>
              <w:marRight w:val="0"/>
              <w:marTop w:val="0"/>
              <w:marBottom w:val="0"/>
              <w:divBdr>
                <w:top w:val="none" w:sz="0" w:space="0" w:color="auto"/>
                <w:left w:val="none" w:sz="0" w:space="0" w:color="auto"/>
                <w:bottom w:val="none" w:sz="0" w:space="0" w:color="auto"/>
                <w:right w:val="none" w:sz="0" w:space="0" w:color="auto"/>
              </w:divBdr>
            </w:div>
            <w:div w:id="116339010">
              <w:marLeft w:val="0"/>
              <w:marRight w:val="0"/>
              <w:marTop w:val="0"/>
              <w:marBottom w:val="0"/>
              <w:divBdr>
                <w:top w:val="none" w:sz="0" w:space="0" w:color="auto"/>
                <w:left w:val="none" w:sz="0" w:space="0" w:color="auto"/>
                <w:bottom w:val="none" w:sz="0" w:space="0" w:color="auto"/>
                <w:right w:val="none" w:sz="0" w:space="0" w:color="auto"/>
              </w:divBdr>
            </w:div>
            <w:div w:id="232591336">
              <w:marLeft w:val="0"/>
              <w:marRight w:val="0"/>
              <w:marTop w:val="0"/>
              <w:marBottom w:val="0"/>
              <w:divBdr>
                <w:top w:val="none" w:sz="0" w:space="0" w:color="auto"/>
                <w:left w:val="none" w:sz="0" w:space="0" w:color="auto"/>
                <w:bottom w:val="none" w:sz="0" w:space="0" w:color="auto"/>
                <w:right w:val="none" w:sz="0" w:space="0" w:color="auto"/>
              </w:divBdr>
            </w:div>
            <w:div w:id="792748040">
              <w:marLeft w:val="0"/>
              <w:marRight w:val="0"/>
              <w:marTop w:val="0"/>
              <w:marBottom w:val="0"/>
              <w:divBdr>
                <w:top w:val="none" w:sz="0" w:space="0" w:color="auto"/>
                <w:left w:val="none" w:sz="0" w:space="0" w:color="auto"/>
                <w:bottom w:val="none" w:sz="0" w:space="0" w:color="auto"/>
                <w:right w:val="none" w:sz="0" w:space="0" w:color="auto"/>
              </w:divBdr>
            </w:div>
            <w:div w:id="832141607">
              <w:marLeft w:val="0"/>
              <w:marRight w:val="0"/>
              <w:marTop w:val="0"/>
              <w:marBottom w:val="0"/>
              <w:divBdr>
                <w:top w:val="none" w:sz="0" w:space="0" w:color="auto"/>
                <w:left w:val="none" w:sz="0" w:space="0" w:color="auto"/>
                <w:bottom w:val="none" w:sz="0" w:space="0" w:color="auto"/>
                <w:right w:val="none" w:sz="0" w:space="0" w:color="auto"/>
              </w:divBdr>
            </w:div>
            <w:div w:id="1183742196">
              <w:marLeft w:val="0"/>
              <w:marRight w:val="0"/>
              <w:marTop w:val="0"/>
              <w:marBottom w:val="0"/>
              <w:divBdr>
                <w:top w:val="none" w:sz="0" w:space="0" w:color="auto"/>
                <w:left w:val="none" w:sz="0" w:space="0" w:color="auto"/>
                <w:bottom w:val="none" w:sz="0" w:space="0" w:color="auto"/>
                <w:right w:val="none" w:sz="0" w:space="0" w:color="auto"/>
              </w:divBdr>
            </w:div>
            <w:div w:id="1265504997">
              <w:marLeft w:val="0"/>
              <w:marRight w:val="0"/>
              <w:marTop w:val="0"/>
              <w:marBottom w:val="0"/>
              <w:divBdr>
                <w:top w:val="none" w:sz="0" w:space="0" w:color="auto"/>
                <w:left w:val="none" w:sz="0" w:space="0" w:color="auto"/>
                <w:bottom w:val="none" w:sz="0" w:space="0" w:color="auto"/>
                <w:right w:val="none" w:sz="0" w:space="0" w:color="auto"/>
              </w:divBdr>
            </w:div>
            <w:div w:id="1485318968">
              <w:marLeft w:val="0"/>
              <w:marRight w:val="0"/>
              <w:marTop w:val="0"/>
              <w:marBottom w:val="0"/>
              <w:divBdr>
                <w:top w:val="none" w:sz="0" w:space="0" w:color="auto"/>
                <w:left w:val="none" w:sz="0" w:space="0" w:color="auto"/>
                <w:bottom w:val="none" w:sz="0" w:space="0" w:color="auto"/>
                <w:right w:val="none" w:sz="0" w:space="0" w:color="auto"/>
              </w:divBdr>
            </w:div>
            <w:div w:id="1686712179">
              <w:marLeft w:val="0"/>
              <w:marRight w:val="0"/>
              <w:marTop w:val="0"/>
              <w:marBottom w:val="0"/>
              <w:divBdr>
                <w:top w:val="none" w:sz="0" w:space="0" w:color="auto"/>
                <w:left w:val="none" w:sz="0" w:space="0" w:color="auto"/>
                <w:bottom w:val="none" w:sz="0" w:space="0" w:color="auto"/>
                <w:right w:val="none" w:sz="0" w:space="0" w:color="auto"/>
              </w:divBdr>
            </w:div>
            <w:div w:id="1729455164">
              <w:marLeft w:val="0"/>
              <w:marRight w:val="0"/>
              <w:marTop w:val="0"/>
              <w:marBottom w:val="0"/>
              <w:divBdr>
                <w:top w:val="none" w:sz="0" w:space="0" w:color="auto"/>
                <w:left w:val="none" w:sz="0" w:space="0" w:color="auto"/>
                <w:bottom w:val="none" w:sz="0" w:space="0" w:color="auto"/>
                <w:right w:val="none" w:sz="0" w:space="0" w:color="auto"/>
              </w:divBdr>
            </w:div>
            <w:div w:id="1878353554">
              <w:marLeft w:val="0"/>
              <w:marRight w:val="0"/>
              <w:marTop w:val="0"/>
              <w:marBottom w:val="0"/>
              <w:divBdr>
                <w:top w:val="none" w:sz="0" w:space="0" w:color="auto"/>
                <w:left w:val="none" w:sz="0" w:space="0" w:color="auto"/>
                <w:bottom w:val="none" w:sz="0" w:space="0" w:color="auto"/>
                <w:right w:val="none" w:sz="0" w:space="0" w:color="auto"/>
              </w:divBdr>
            </w:div>
            <w:div w:id="1940526988">
              <w:marLeft w:val="0"/>
              <w:marRight w:val="0"/>
              <w:marTop w:val="0"/>
              <w:marBottom w:val="0"/>
              <w:divBdr>
                <w:top w:val="none" w:sz="0" w:space="0" w:color="auto"/>
                <w:left w:val="none" w:sz="0" w:space="0" w:color="auto"/>
                <w:bottom w:val="none" w:sz="0" w:space="0" w:color="auto"/>
                <w:right w:val="none" w:sz="0" w:space="0" w:color="auto"/>
              </w:divBdr>
            </w:div>
            <w:div w:id="1949847567">
              <w:marLeft w:val="0"/>
              <w:marRight w:val="0"/>
              <w:marTop w:val="0"/>
              <w:marBottom w:val="0"/>
              <w:divBdr>
                <w:top w:val="none" w:sz="0" w:space="0" w:color="auto"/>
                <w:left w:val="none" w:sz="0" w:space="0" w:color="auto"/>
                <w:bottom w:val="none" w:sz="0" w:space="0" w:color="auto"/>
                <w:right w:val="none" w:sz="0" w:space="0" w:color="auto"/>
              </w:divBdr>
            </w:div>
            <w:div w:id="1972131439">
              <w:marLeft w:val="0"/>
              <w:marRight w:val="0"/>
              <w:marTop w:val="0"/>
              <w:marBottom w:val="0"/>
              <w:divBdr>
                <w:top w:val="none" w:sz="0" w:space="0" w:color="auto"/>
                <w:left w:val="none" w:sz="0" w:space="0" w:color="auto"/>
                <w:bottom w:val="none" w:sz="0" w:space="0" w:color="auto"/>
                <w:right w:val="none" w:sz="0" w:space="0" w:color="auto"/>
              </w:divBdr>
            </w:div>
            <w:div w:id="2010912596">
              <w:marLeft w:val="0"/>
              <w:marRight w:val="0"/>
              <w:marTop w:val="0"/>
              <w:marBottom w:val="0"/>
              <w:divBdr>
                <w:top w:val="none" w:sz="0" w:space="0" w:color="auto"/>
                <w:left w:val="none" w:sz="0" w:space="0" w:color="auto"/>
                <w:bottom w:val="none" w:sz="0" w:space="0" w:color="auto"/>
                <w:right w:val="none" w:sz="0" w:space="0" w:color="auto"/>
              </w:divBdr>
            </w:div>
            <w:div w:id="2138137957">
              <w:marLeft w:val="0"/>
              <w:marRight w:val="0"/>
              <w:marTop w:val="0"/>
              <w:marBottom w:val="0"/>
              <w:divBdr>
                <w:top w:val="none" w:sz="0" w:space="0" w:color="auto"/>
                <w:left w:val="none" w:sz="0" w:space="0" w:color="auto"/>
                <w:bottom w:val="none" w:sz="0" w:space="0" w:color="auto"/>
                <w:right w:val="none" w:sz="0" w:space="0" w:color="auto"/>
              </w:divBdr>
            </w:div>
          </w:divsChild>
        </w:div>
        <w:div w:id="1746295705">
          <w:marLeft w:val="0"/>
          <w:marRight w:val="0"/>
          <w:marTop w:val="0"/>
          <w:marBottom w:val="0"/>
          <w:divBdr>
            <w:top w:val="none" w:sz="0" w:space="0" w:color="auto"/>
            <w:left w:val="none" w:sz="0" w:space="0" w:color="auto"/>
            <w:bottom w:val="none" w:sz="0" w:space="0" w:color="auto"/>
            <w:right w:val="none" w:sz="0" w:space="0" w:color="auto"/>
          </w:divBdr>
        </w:div>
        <w:div w:id="1746536138">
          <w:marLeft w:val="0"/>
          <w:marRight w:val="0"/>
          <w:marTop w:val="0"/>
          <w:marBottom w:val="0"/>
          <w:divBdr>
            <w:top w:val="none" w:sz="0" w:space="0" w:color="auto"/>
            <w:left w:val="none" w:sz="0" w:space="0" w:color="auto"/>
            <w:bottom w:val="none" w:sz="0" w:space="0" w:color="auto"/>
            <w:right w:val="none" w:sz="0" w:space="0" w:color="auto"/>
          </w:divBdr>
        </w:div>
        <w:div w:id="1747453212">
          <w:marLeft w:val="0"/>
          <w:marRight w:val="0"/>
          <w:marTop w:val="0"/>
          <w:marBottom w:val="0"/>
          <w:divBdr>
            <w:top w:val="none" w:sz="0" w:space="0" w:color="auto"/>
            <w:left w:val="none" w:sz="0" w:space="0" w:color="auto"/>
            <w:bottom w:val="none" w:sz="0" w:space="0" w:color="auto"/>
            <w:right w:val="none" w:sz="0" w:space="0" w:color="auto"/>
          </w:divBdr>
        </w:div>
        <w:div w:id="1748190005">
          <w:marLeft w:val="0"/>
          <w:marRight w:val="0"/>
          <w:marTop w:val="0"/>
          <w:marBottom w:val="0"/>
          <w:divBdr>
            <w:top w:val="none" w:sz="0" w:space="0" w:color="auto"/>
            <w:left w:val="none" w:sz="0" w:space="0" w:color="auto"/>
            <w:bottom w:val="none" w:sz="0" w:space="0" w:color="auto"/>
            <w:right w:val="none" w:sz="0" w:space="0" w:color="auto"/>
          </w:divBdr>
        </w:div>
        <w:div w:id="1749309488">
          <w:marLeft w:val="0"/>
          <w:marRight w:val="0"/>
          <w:marTop w:val="0"/>
          <w:marBottom w:val="0"/>
          <w:divBdr>
            <w:top w:val="none" w:sz="0" w:space="0" w:color="auto"/>
            <w:left w:val="none" w:sz="0" w:space="0" w:color="auto"/>
            <w:bottom w:val="none" w:sz="0" w:space="0" w:color="auto"/>
            <w:right w:val="none" w:sz="0" w:space="0" w:color="auto"/>
          </w:divBdr>
        </w:div>
        <w:div w:id="1750617609">
          <w:marLeft w:val="0"/>
          <w:marRight w:val="0"/>
          <w:marTop w:val="0"/>
          <w:marBottom w:val="0"/>
          <w:divBdr>
            <w:top w:val="none" w:sz="0" w:space="0" w:color="auto"/>
            <w:left w:val="none" w:sz="0" w:space="0" w:color="auto"/>
            <w:bottom w:val="none" w:sz="0" w:space="0" w:color="auto"/>
            <w:right w:val="none" w:sz="0" w:space="0" w:color="auto"/>
          </w:divBdr>
        </w:div>
        <w:div w:id="1750731205">
          <w:marLeft w:val="0"/>
          <w:marRight w:val="0"/>
          <w:marTop w:val="0"/>
          <w:marBottom w:val="0"/>
          <w:divBdr>
            <w:top w:val="none" w:sz="0" w:space="0" w:color="auto"/>
            <w:left w:val="none" w:sz="0" w:space="0" w:color="auto"/>
            <w:bottom w:val="none" w:sz="0" w:space="0" w:color="auto"/>
            <w:right w:val="none" w:sz="0" w:space="0" w:color="auto"/>
          </w:divBdr>
        </w:div>
        <w:div w:id="1753814133">
          <w:marLeft w:val="0"/>
          <w:marRight w:val="0"/>
          <w:marTop w:val="0"/>
          <w:marBottom w:val="0"/>
          <w:divBdr>
            <w:top w:val="none" w:sz="0" w:space="0" w:color="auto"/>
            <w:left w:val="none" w:sz="0" w:space="0" w:color="auto"/>
            <w:bottom w:val="none" w:sz="0" w:space="0" w:color="auto"/>
            <w:right w:val="none" w:sz="0" w:space="0" w:color="auto"/>
          </w:divBdr>
        </w:div>
        <w:div w:id="1754202113">
          <w:marLeft w:val="0"/>
          <w:marRight w:val="0"/>
          <w:marTop w:val="0"/>
          <w:marBottom w:val="0"/>
          <w:divBdr>
            <w:top w:val="none" w:sz="0" w:space="0" w:color="auto"/>
            <w:left w:val="none" w:sz="0" w:space="0" w:color="auto"/>
            <w:bottom w:val="none" w:sz="0" w:space="0" w:color="auto"/>
            <w:right w:val="none" w:sz="0" w:space="0" w:color="auto"/>
          </w:divBdr>
        </w:div>
        <w:div w:id="1754202374">
          <w:marLeft w:val="0"/>
          <w:marRight w:val="0"/>
          <w:marTop w:val="0"/>
          <w:marBottom w:val="0"/>
          <w:divBdr>
            <w:top w:val="none" w:sz="0" w:space="0" w:color="auto"/>
            <w:left w:val="none" w:sz="0" w:space="0" w:color="auto"/>
            <w:bottom w:val="none" w:sz="0" w:space="0" w:color="auto"/>
            <w:right w:val="none" w:sz="0" w:space="0" w:color="auto"/>
          </w:divBdr>
        </w:div>
        <w:div w:id="1754886693">
          <w:marLeft w:val="0"/>
          <w:marRight w:val="0"/>
          <w:marTop w:val="0"/>
          <w:marBottom w:val="0"/>
          <w:divBdr>
            <w:top w:val="none" w:sz="0" w:space="0" w:color="auto"/>
            <w:left w:val="none" w:sz="0" w:space="0" w:color="auto"/>
            <w:bottom w:val="none" w:sz="0" w:space="0" w:color="auto"/>
            <w:right w:val="none" w:sz="0" w:space="0" w:color="auto"/>
          </w:divBdr>
        </w:div>
        <w:div w:id="1756852373">
          <w:marLeft w:val="0"/>
          <w:marRight w:val="0"/>
          <w:marTop w:val="0"/>
          <w:marBottom w:val="0"/>
          <w:divBdr>
            <w:top w:val="none" w:sz="0" w:space="0" w:color="auto"/>
            <w:left w:val="none" w:sz="0" w:space="0" w:color="auto"/>
            <w:bottom w:val="none" w:sz="0" w:space="0" w:color="auto"/>
            <w:right w:val="none" w:sz="0" w:space="0" w:color="auto"/>
          </w:divBdr>
        </w:div>
        <w:div w:id="1758402833">
          <w:marLeft w:val="0"/>
          <w:marRight w:val="0"/>
          <w:marTop w:val="0"/>
          <w:marBottom w:val="0"/>
          <w:divBdr>
            <w:top w:val="none" w:sz="0" w:space="0" w:color="auto"/>
            <w:left w:val="none" w:sz="0" w:space="0" w:color="auto"/>
            <w:bottom w:val="none" w:sz="0" w:space="0" w:color="auto"/>
            <w:right w:val="none" w:sz="0" w:space="0" w:color="auto"/>
          </w:divBdr>
        </w:div>
        <w:div w:id="1758668859">
          <w:marLeft w:val="0"/>
          <w:marRight w:val="0"/>
          <w:marTop w:val="0"/>
          <w:marBottom w:val="0"/>
          <w:divBdr>
            <w:top w:val="none" w:sz="0" w:space="0" w:color="auto"/>
            <w:left w:val="none" w:sz="0" w:space="0" w:color="auto"/>
            <w:bottom w:val="none" w:sz="0" w:space="0" w:color="auto"/>
            <w:right w:val="none" w:sz="0" w:space="0" w:color="auto"/>
          </w:divBdr>
        </w:div>
        <w:div w:id="1761022840">
          <w:marLeft w:val="0"/>
          <w:marRight w:val="0"/>
          <w:marTop w:val="0"/>
          <w:marBottom w:val="0"/>
          <w:divBdr>
            <w:top w:val="none" w:sz="0" w:space="0" w:color="auto"/>
            <w:left w:val="none" w:sz="0" w:space="0" w:color="auto"/>
            <w:bottom w:val="none" w:sz="0" w:space="0" w:color="auto"/>
            <w:right w:val="none" w:sz="0" w:space="0" w:color="auto"/>
          </w:divBdr>
        </w:div>
        <w:div w:id="1761559055">
          <w:marLeft w:val="0"/>
          <w:marRight w:val="0"/>
          <w:marTop w:val="0"/>
          <w:marBottom w:val="0"/>
          <w:divBdr>
            <w:top w:val="none" w:sz="0" w:space="0" w:color="auto"/>
            <w:left w:val="none" w:sz="0" w:space="0" w:color="auto"/>
            <w:bottom w:val="none" w:sz="0" w:space="0" w:color="auto"/>
            <w:right w:val="none" w:sz="0" w:space="0" w:color="auto"/>
          </w:divBdr>
          <w:divsChild>
            <w:div w:id="47147877">
              <w:marLeft w:val="0"/>
              <w:marRight w:val="0"/>
              <w:marTop w:val="0"/>
              <w:marBottom w:val="0"/>
              <w:divBdr>
                <w:top w:val="none" w:sz="0" w:space="0" w:color="auto"/>
                <w:left w:val="none" w:sz="0" w:space="0" w:color="auto"/>
                <w:bottom w:val="none" w:sz="0" w:space="0" w:color="auto"/>
                <w:right w:val="none" w:sz="0" w:space="0" w:color="auto"/>
              </w:divBdr>
            </w:div>
            <w:div w:id="80877929">
              <w:marLeft w:val="0"/>
              <w:marRight w:val="0"/>
              <w:marTop w:val="0"/>
              <w:marBottom w:val="0"/>
              <w:divBdr>
                <w:top w:val="none" w:sz="0" w:space="0" w:color="auto"/>
                <w:left w:val="none" w:sz="0" w:space="0" w:color="auto"/>
                <w:bottom w:val="none" w:sz="0" w:space="0" w:color="auto"/>
                <w:right w:val="none" w:sz="0" w:space="0" w:color="auto"/>
              </w:divBdr>
            </w:div>
            <w:div w:id="92171838">
              <w:marLeft w:val="0"/>
              <w:marRight w:val="0"/>
              <w:marTop w:val="0"/>
              <w:marBottom w:val="0"/>
              <w:divBdr>
                <w:top w:val="none" w:sz="0" w:space="0" w:color="auto"/>
                <w:left w:val="none" w:sz="0" w:space="0" w:color="auto"/>
                <w:bottom w:val="none" w:sz="0" w:space="0" w:color="auto"/>
                <w:right w:val="none" w:sz="0" w:space="0" w:color="auto"/>
              </w:divBdr>
            </w:div>
            <w:div w:id="263727092">
              <w:marLeft w:val="0"/>
              <w:marRight w:val="0"/>
              <w:marTop w:val="0"/>
              <w:marBottom w:val="0"/>
              <w:divBdr>
                <w:top w:val="none" w:sz="0" w:space="0" w:color="auto"/>
                <w:left w:val="none" w:sz="0" w:space="0" w:color="auto"/>
                <w:bottom w:val="none" w:sz="0" w:space="0" w:color="auto"/>
                <w:right w:val="none" w:sz="0" w:space="0" w:color="auto"/>
              </w:divBdr>
            </w:div>
            <w:div w:id="348289607">
              <w:marLeft w:val="0"/>
              <w:marRight w:val="0"/>
              <w:marTop w:val="0"/>
              <w:marBottom w:val="0"/>
              <w:divBdr>
                <w:top w:val="none" w:sz="0" w:space="0" w:color="auto"/>
                <w:left w:val="none" w:sz="0" w:space="0" w:color="auto"/>
                <w:bottom w:val="none" w:sz="0" w:space="0" w:color="auto"/>
                <w:right w:val="none" w:sz="0" w:space="0" w:color="auto"/>
              </w:divBdr>
            </w:div>
            <w:div w:id="356467379">
              <w:marLeft w:val="0"/>
              <w:marRight w:val="0"/>
              <w:marTop w:val="0"/>
              <w:marBottom w:val="0"/>
              <w:divBdr>
                <w:top w:val="none" w:sz="0" w:space="0" w:color="auto"/>
                <w:left w:val="none" w:sz="0" w:space="0" w:color="auto"/>
                <w:bottom w:val="none" w:sz="0" w:space="0" w:color="auto"/>
                <w:right w:val="none" w:sz="0" w:space="0" w:color="auto"/>
              </w:divBdr>
            </w:div>
            <w:div w:id="387725960">
              <w:marLeft w:val="0"/>
              <w:marRight w:val="0"/>
              <w:marTop w:val="0"/>
              <w:marBottom w:val="0"/>
              <w:divBdr>
                <w:top w:val="none" w:sz="0" w:space="0" w:color="auto"/>
                <w:left w:val="none" w:sz="0" w:space="0" w:color="auto"/>
                <w:bottom w:val="none" w:sz="0" w:space="0" w:color="auto"/>
                <w:right w:val="none" w:sz="0" w:space="0" w:color="auto"/>
              </w:divBdr>
            </w:div>
            <w:div w:id="483787771">
              <w:marLeft w:val="0"/>
              <w:marRight w:val="0"/>
              <w:marTop w:val="0"/>
              <w:marBottom w:val="0"/>
              <w:divBdr>
                <w:top w:val="none" w:sz="0" w:space="0" w:color="auto"/>
                <w:left w:val="none" w:sz="0" w:space="0" w:color="auto"/>
                <w:bottom w:val="none" w:sz="0" w:space="0" w:color="auto"/>
                <w:right w:val="none" w:sz="0" w:space="0" w:color="auto"/>
              </w:divBdr>
            </w:div>
            <w:div w:id="531891444">
              <w:marLeft w:val="0"/>
              <w:marRight w:val="0"/>
              <w:marTop w:val="0"/>
              <w:marBottom w:val="0"/>
              <w:divBdr>
                <w:top w:val="none" w:sz="0" w:space="0" w:color="auto"/>
                <w:left w:val="none" w:sz="0" w:space="0" w:color="auto"/>
                <w:bottom w:val="none" w:sz="0" w:space="0" w:color="auto"/>
                <w:right w:val="none" w:sz="0" w:space="0" w:color="auto"/>
              </w:divBdr>
            </w:div>
            <w:div w:id="542644848">
              <w:marLeft w:val="0"/>
              <w:marRight w:val="0"/>
              <w:marTop w:val="0"/>
              <w:marBottom w:val="0"/>
              <w:divBdr>
                <w:top w:val="none" w:sz="0" w:space="0" w:color="auto"/>
                <w:left w:val="none" w:sz="0" w:space="0" w:color="auto"/>
                <w:bottom w:val="none" w:sz="0" w:space="0" w:color="auto"/>
                <w:right w:val="none" w:sz="0" w:space="0" w:color="auto"/>
              </w:divBdr>
            </w:div>
            <w:div w:id="658461590">
              <w:marLeft w:val="0"/>
              <w:marRight w:val="0"/>
              <w:marTop w:val="0"/>
              <w:marBottom w:val="0"/>
              <w:divBdr>
                <w:top w:val="none" w:sz="0" w:space="0" w:color="auto"/>
                <w:left w:val="none" w:sz="0" w:space="0" w:color="auto"/>
                <w:bottom w:val="none" w:sz="0" w:space="0" w:color="auto"/>
                <w:right w:val="none" w:sz="0" w:space="0" w:color="auto"/>
              </w:divBdr>
            </w:div>
            <w:div w:id="911308562">
              <w:marLeft w:val="0"/>
              <w:marRight w:val="0"/>
              <w:marTop w:val="0"/>
              <w:marBottom w:val="0"/>
              <w:divBdr>
                <w:top w:val="none" w:sz="0" w:space="0" w:color="auto"/>
                <w:left w:val="none" w:sz="0" w:space="0" w:color="auto"/>
                <w:bottom w:val="none" w:sz="0" w:space="0" w:color="auto"/>
                <w:right w:val="none" w:sz="0" w:space="0" w:color="auto"/>
              </w:divBdr>
            </w:div>
            <w:div w:id="982857813">
              <w:marLeft w:val="0"/>
              <w:marRight w:val="0"/>
              <w:marTop w:val="0"/>
              <w:marBottom w:val="0"/>
              <w:divBdr>
                <w:top w:val="none" w:sz="0" w:space="0" w:color="auto"/>
                <w:left w:val="none" w:sz="0" w:space="0" w:color="auto"/>
                <w:bottom w:val="none" w:sz="0" w:space="0" w:color="auto"/>
                <w:right w:val="none" w:sz="0" w:space="0" w:color="auto"/>
              </w:divBdr>
            </w:div>
            <w:div w:id="1061753244">
              <w:marLeft w:val="0"/>
              <w:marRight w:val="0"/>
              <w:marTop w:val="0"/>
              <w:marBottom w:val="0"/>
              <w:divBdr>
                <w:top w:val="none" w:sz="0" w:space="0" w:color="auto"/>
                <w:left w:val="none" w:sz="0" w:space="0" w:color="auto"/>
                <w:bottom w:val="none" w:sz="0" w:space="0" w:color="auto"/>
                <w:right w:val="none" w:sz="0" w:space="0" w:color="auto"/>
              </w:divBdr>
            </w:div>
            <w:div w:id="1298023289">
              <w:marLeft w:val="0"/>
              <w:marRight w:val="0"/>
              <w:marTop w:val="0"/>
              <w:marBottom w:val="0"/>
              <w:divBdr>
                <w:top w:val="none" w:sz="0" w:space="0" w:color="auto"/>
                <w:left w:val="none" w:sz="0" w:space="0" w:color="auto"/>
                <w:bottom w:val="none" w:sz="0" w:space="0" w:color="auto"/>
                <w:right w:val="none" w:sz="0" w:space="0" w:color="auto"/>
              </w:divBdr>
            </w:div>
            <w:div w:id="1487168759">
              <w:marLeft w:val="0"/>
              <w:marRight w:val="0"/>
              <w:marTop w:val="0"/>
              <w:marBottom w:val="0"/>
              <w:divBdr>
                <w:top w:val="none" w:sz="0" w:space="0" w:color="auto"/>
                <w:left w:val="none" w:sz="0" w:space="0" w:color="auto"/>
                <w:bottom w:val="none" w:sz="0" w:space="0" w:color="auto"/>
                <w:right w:val="none" w:sz="0" w:space="0" w:color="auto"/>
              </w:divBdr>
            </w:div>
            <w:div w:id="1635990092">
              <w:marLeft w:val="0"/>
              <w:marRight w:val="0"/>
              <w:marTop w:val="0"/>
              <w:marBottom w:val="0"/>
              <w:divBdr>
                <w:top w:val="none" w:sz="0" w:space="0" w:color="auto"/>
                <w:left w:val="none" w:sz="0" w:space="0" w:color="auto"/>
                <w:bottom w:val="none" w:sz="0" w:space="0" w:color="auto"/>
                <w:right w:val="none" w:sz="0" w:space="0" w:color="auto"/>
              </w:divBdr>
            </w:div>
            <w:div w:id="1772124208">
              <w:marLeft w:val="0"/>
              <w:marRight w:val="0"/>
              <w:marTop w:val="0"/>
              <w:marBottom w:val="0"/>
              <w:divBdr>
                <w:top w:val="none" w:sz="0" w:space="0" w:color="auto"/>
                <w:left w:val="none" w:sz="0" w:space="0" w:color="auto"/>
                <w:bottom w:val="none" w:sz="0" w:space="0" w:color="auto"/>
                <w:right w:val="none" w:sz="0" w:space="0" w:color="auto"/>
              </w:divBdr>
            </w:div>
            <w:div w:id="1937715960">
              <w:marLeft w:val="0"/>
              <w:marRight w:val="0"/>
              <w:marTop w:val="0"/>
              <w:marBottom w:val="0"/>
              <w:divBdr>
                <w:top w:val="none" w:sz="0" w:space="0" w:color="auto"/>
                <w:left w:val="none" w:sz="0" w:space="0" w:color="auto"/>
                <w:bottom w:val="none" w:sz="0" w:space="0" w:color="auto"/>
                <w:right w:val="none" w:sz="0" w:space="0" w:color="auto"/>
              </w:divBdr>
            </w:div>
            <w:div w:id="2054302070">
              <w:marLeft w:val="0"/>
              <w:marRight w:val="0"/>
              <w:marTop w:val="0"/>
              <w:marBottom w:val="0"/>
              <w:divBdr>
                <w:top w:val="none" w:sz="0" w:space="0" w:color="auto"/>
                <w:left w:val="none" w:sz="0" w:space="0" w:color="auto"/>
                <w:bottom w:val="none" w:sz="0" w:space="0" w:color="auto"/>
                <w:right w:val="none" w:sz="0" w:space="0" w:color="auto"/>
              </w:divBdr>
            </w:div>
            <w:div w:id="2106883065">
              <w:marLeft w:val="0"/>
              <w:marRight w:val="0"/>
              <w:marTop w:val="0"/>
              <w:marBottom w:val="0"/>
              <w:divBdr>
                <w:top w:val="none" w:sz="0" w:space="0" w:color="auto"/>
                <w:left w:val="none" w:sz="0" w:space="0" w:color="auto"/>
                <w:bottom w:val="none" w:sz="0" w:space="0" w:color="auto"/>
                <w:right w:val="none" w:sz="0" w:space="0" w:color="auto"/>
              </w:divBdr>
            </w:div>
          </w:divsChild>
        </w:div>
        <w:div w:id="1761754362">
          <w:marLeft w:val="0"/>
          <w:marRight w:val="0"/>
          <w:marTop w:val="0"/>
          <w:marBottom w:val="0"/>
          <w:divBdr>
            <w:top w:val="none" w:sz="0" w:space="0" w:color="auto"/>
            <w:left w:val="none" w:sz="0" w:space="0" w:color="auto"/>
            <w:bottom w:val="none" w:sz="0" w:space="0" w:color="auto"/>
            <w:right w:val="none" w:sz="0" w:space="0" w:color="auto"/>
          </w:divBdr>
        </w:div>
        <w:div w:id="1762025047">
          <w:marLeft w:val="0"/>
          <w:marRight w:val="0"/>
          <w:marTop w:val="0"/>
          <w:marBottom w:val="0"/>
          <w:divBdr>
            <w:top w:val="none" w:sz="0" w:space="0" w:color="auto"/>
            <w:left w:val="none" w:sz="0" w:space="0" w:color="auto"/>
            <w:bottom w:val="none" w:sz="0" w:space="0" w:color="auto"/>
            <w:right w:val="none" w:sz="0" w:space="0" w:color="auto"/>
          </w:divBdr>
        </w:div>
        <w:div w:id="1762096049">
          <w:marLeft w:val="0"/>
          <w:marRight w:val="0"/>
          <w:marTop w:val="0"/>
          <w:marBottom w:val="0"/>
          <w:divBdr>
            <w:top w:val="none" w:sz="0" w:space="0" w:color="auto"/>
            <w:left w:val="none" w:sz="0" w:space="0" w:color="auto"/>
            <w:bottom w:val="none" w:sz="0" w:space="0" w:color="auto"/>
            <w:right w:val="none" w:sz="0" w:space="0" w:color="auto"/>
          </w:divBdr>
        </w:div>
        <w:div w:id="1764301990">
          <w:marLeft w:val="0"/>
          <w:marRight w:val="0"/>
          <w:marTop w:val="0"/>
          <w:marBottom w:val="0"/>
          <w:divBdr>
            <w:top w:val="none" w:sz="0" w:space="0" w:color="auto"/>
            <w:left w:val="none" w:sz="0" w:space="0" w:color="auto"/>
            <w:bottom w:val="none" w:sz="0" w:space="0" w:color="auto"/>
            <w:right w:val="none" w:sz="0" w:space="0" w:color="auto"/>
          </w:divBdr>
        </w:div>
        <w:div w:id="1765683995">
          <w:marLeft w:val="0"/>
          <w:marRight w:val="0"/>
          <w:marTop w:val="0"/>
          <w:marBottom w:val="0"/>
          <w:divBdr>
            <w:top w:val="none" w:sz="0" w:space="0" w:color="auto"/>
            <w:left w:val="none" w:sz="0" w:space="0" w:color="auto"/>
            <w:bottom w:val="none" w:sz="0" w:space="0" w:color="auto"/>
            <w:right w:val="none" w:sz="0" w:space="0" w:color="auto"/>
          </w:divBdr>
        </w:div>
        <w:div w:id="1766001357">
          <w:marLeft w:val="0"/>
          <w:marRight w:val="0"/>
          <w:marTop w:val="0"/>
          <w:marBottom w:val="0"/>
          <w:divBdr>
            <w:top w:val="none" w:sz="0" w:space="0" w:color="auto"/>
            <w:left w:val="none" w:sz="0" w:space="0" w:color="auto"/>
            <w:bottom w:val="none" w:sz="0" w:space="0" w:color="auto"/>
            <w:right w:val="none" w:sz="0" w:space="0" w:color="auto"/>
          </w:divBdr>
        </w:div>
        <w:div w:id="1766345470">
          <w:marLeft w:val="0"/>
          <w:marRight w:val="0"/>
          <w:marTop w:val="0"/>
          <w:marBottom w:val="0"/>
          <w:divBdr>
            <w:top w:val="none" w:sz="0" w:space="0" w:color="auto"/>
            <w:left w:val="none" w:sz="0" w:space="0" w:color="auto"/>
            <w:bottom w:val="none" w:sz="0" w:space="0" w:color="auto"/>
            <w:right w:val="none" w:sz="0" w:space="0" w:color="auto"/>
          </w:divBdr>
        </w:div>
        <w:div w:id="1766458017">
          <w:marLeft w:val="0"/>
          <w:marRight w:val="0"/>
          <w:marTop w:val="0"/>
          <w:marBottom w:val="0"/>
          <w:divBdr>
            <w:top w:val="none" w:sz="0" w:space="0" w:color="auto"/>
            <w:left w:val="none" w:sz="0" w:space="0" w:color="auto"/>
            <w:bottom w:val="none" w:sz="0" w:space="0" w:color="auto"/>
            <w:right w:val="none" w:sz="0" w:space="0" w:color="auto"/>
          </w:divBdr>
        </w:div>
        <w:div w:id="1767506048">
          <w:marLeft w:val="0"/>
          <w:marRight w:val="0"/>
          <w:marTop w:val="0"/>
          <w:marBottom w:val="0"/>
          <w:divBdr>
            <w:top w:val="none" w:sz="0" w:space="0" w:color="auto"/>
            <w:left w:val="none" w:sz="0" w:space="0" w:color="auto"/>
            <w:bottom w:val="none" w:sz="0" w:space="0" w:color="auto"/>
            <w:right w:val="none" w:sz="0" w:space="0" w:color="auto"/>
          </w:divBdr>
        </w:div>
        <w:div w:id="1768184919">
          <w:marLeft w:val="0"/>
          <w:marRight w:val="0"/>
          <w:marTop w:val="0"/>
          <w:marBottom w:val="0"/>
          <w:divBdr>
            <w:top w:val="none" w:sz="0" w:space="0" w:color="auto"/>
            <w:left w:val="none" w:sz="0" w:space="0" w:color="auto"/>
            <w:bottom w:val="none" w:sz="0" w:space="0" w:color="auto"/>
            <w:right w:val="none" w:sz="0" w:space="0" w:color="auto"/>
          </w:divBdr>
        </w:div>
        <w:div w:id="1768185812">
          <w:marLeft w:val="0"/>
          <w:marRight w:val="0"/>
          <w:marTop w:val="0"/>
          <w:marBottom w:val="0"/>
          <w:divBdr>
            <w:top w:val="none" w:sz="0" w:space="0" w:color="auto"/>
            <w:left w:val="none" w:sz="0" w:space="0" w:color="auto"/>
            <w:bottom w:val="none" w:sz="0" w:space="0" w:color="auto"/>
            <w:right w:val="none" w:sz="0" w:space="0" w:color="auto"/>
          </w:divBdr>
        </w:div>
        <w:div w:id="1768889781">
          <w:marLeft w:val="0"/>
          <w:marRight w:val="0"/>
          <w:marTop w:val="0"/>
          <w:marBottom w:val="0"/>
          <w:divBdr>
            <w:top w:val="none" w:sz="0" w:space="0" w:color="auto"/>
            <w:left w:val="none" w:sz="0" w:space="0" w:color="auto"/>
            <w:bottom w:val="none" w:sz="0" w:space="0" w:color="auto"/>
            <w:right w:val="none" w:sz="0" w:space="0" w:color="auto"/>
          </w:divBdr>
        </w:div>
        <w:div w:id="1769539713">
          <w:marLeft w:val="0"/>
          <w:marRight w:val="0"/>
          <w:marTop w:val="0"/>
          <w:marBottom w:val="0"/>
          <w:divBdr>
            <w:top w:val="none" w:sz="0" w:space="0" w:color="auto"/>
            <w:left w:val="none" w:sz="0" w:space="0" w:color="auto"/>
            <w:bottom w:val="none" w:sz="0" w:space="0" w:color="auto"/>
            <w:right w:val="none" w:sz="0" w:space="0" w:color="auto"/>
          </w:divBdr>
        </w:div>
        <w:div w:id="1770545337">
          <w:marLeft w:val="0"/>
          <w:marRight w:val="0"/>
          <w:marTop w:val="0"/>
          <w:marBottom w:val="0"/>
          <w:divBdr>
            <w:top w:val="none" w:sz="0" w:space="0" w:color="auto"/>
            <w:left w:val="none" w:sz="0" w:space="0" w:color="auto"/>
            <w:bottom w:val="none" w:sz="0" w:space="0" w:color="auto"/>
            <w:right w:val="none" w:sz="0" w:space="0" w:color="auto"/>
          </w:divBdr>
        </w:div>
        <w:div w:id="1771197583">
          <w:marLeft w:val="0"/>
          <w:marRight w:val="0"/>
          <w:marTop w:val="0"/>
          <w:marBottom w:val="0"/>
          <w:divBdr>
            <w:top w:val="none" w:sz="0" w:space="0" w:color="auto"/>
            <w:left w:val="none" w:sz="0" w:space="0" w:color="auto"/>
            <w:bottom w:val="none" w:sz="0" w:space="0" w:color="auto"/>
            <w:right w:val="none" w:sz="0" w:space="0" w:color="auto"/>
          </w:divBdr>
        </w:div>
        <w:div w:id="1771390134">
          <w:marLeft w:val="0"/>
          <w:marRight w:val="0"/>
          <w:marTop w:val="0"/>
          <w:marBottom w:val="0"/>
          <w:divBdr>
            <w:top w:val="none" w:sz="0" w:space="0" w:color="auto"/>
            <w:left w:val="none" w:sz="0" w:space="0" w:color="auto"/>
            <w:bottom w:val="none" w:sz="0" w:space="0" w:color="auto"/>
            <w:right w:val="none" w:sz="0" w:space="0" w:color="auto"/>
          </w:divBdr>
          <w:divsChild>
            <w:div w:id="94181402">
              <w:marLeft w:val="0"/>
              <w:marRight w:val="0"/>
              <w:marTop w:val="0"/>
              <w:marBottom w:val="0"/>
              <w:divBdr>
                <w:top w:val="none" w:sz="0" w:space="0" w:color="auto"/>
                <w:left w:val="none" w:sz="0" w:space="0" w:color="auto"/>
                <w:bottom w:val="none" w:sz="0" w:space="0" w:color="auto"/>
                <w:right w:val="none" w:sz="0" w:space="0" w:color="auto"/>
              </w:divBdr>
            </w:div>
            <w:div w:id="117334367">
              <w:marLeft w:val="0"/>
              <w:marRight w:val="0"/>
              <w:marTop w:val="0"/>
              <w:marBottom w:val="0"/>
              <w:divBdr>
                <w:top w:val="none" w:sz="0" w:space="0" w:color="auto"/>
                <w:left w:val="none" w:sz="0" w:space="0" w:color="auto"/>
                <w:bottom w:val="none" w:sz="0" w:space="0" w:color="auto"/>
                <w:right w:val="none" w:sz="0" w:space="0" w:color="auto"/>
              </w:divBdr>
            </w:div>
            <w:div w:id="226845338">
              <w:marLeft w:val="0"/>
              <w:marRight w:val="0"/>
              <w:marTop w:val="0"/>
              <w:marBottom w:val="0"/>
              <w:divBdr>
                <w:top w:val="none" w:sz="0" w:space="0" w:color="auto"/>
                <w:left w:val="none" w:sz="0" w:space="0" w:color="auto"/>
                <w:bottom w:val="none" w:sz="0" w:space="0" w:color="auto"/>
                <w:right w:val="none" w:sz="0" w:space="0" w:color="auto"/>
              </w:divBdr>
            </w:div>
            <w:div w:id="562181657">
              <w:marLeft w:val="0"/>
              <w:marRight w:val="0"/>
              <w:marTop w:val="0"/>
              <w:marBottom w:val="0"/>
              <w:divBdr>
                <w:top w:val="none" w:sz="0" w:space="0" w:color="auto"/>
                <w:left w:val="none" w:sz="0" w:space="0" w:color="auto"/>
                <w:bottom w:val="none" w:sz="0" w:space="0" w:color="auto"/>
                <w:right w:val="none" w:sz="0" w:space="0" w:color="auto"/>
              </w:divBdr>
            </w:div>
            <w:div w:id="699477063">
              <w:marLeft w:val="0"/>
              <w:marRight w:val="0"/>
              <w:marTop w:val="0"/>
              <w:marBottom w:val="0"/>
              <w:divBdr>
                <w:top w:val="none" w:sz="0" w:space="0" w:color="auto"/>
                <w:left w:val="none" w:sz="0" w:space="0" w:color="auto"/>
                <w:bottom w:val="none" w:sz="0" w:space="0" w:color="auto"/>
                <w:right w:val="none" w:sz="0" w:space="0" w:color="auto"/>
              </w:divBdr>
            </w:div>
            <w:div w:id="840386885">
              <w:marLeft w:val="0"/>
              <w:marRight w:val="0"/>
              <w:marTop w:val="0"/>
              <w:marBottom w:val="0"/>
              <w:divBdr>
                <w:top w:val="none" w:sz="0" w:space="0" w:color="auto"/>
                <w:left w:val="none" w:sz="0" w:space="0" w:color="auto"/>
                <w:bottom w:val="none" w:sz="0" w:space="0" w:color="auto"/>
                <w:right w:val="none" w:sz="0" w:space="0" w:color="auto"/>
              </w:divBdr>
            </w:div>
            <w:div w:id="1015614097">
              <w:marLeft w:val="0"/>
              <w:marRight w:val="0"/>
              <w:marTop w:val="0"/>
              <w:marBottom w:val="0"/>
              <w:divBdr>
                <w:top w:val="none" w:sz="0" w:space="0" w:color="auto"/>
                <w:left w:val="none" w:sz="0" w:space="0" w:color="auto"/>
                <w:bottom w:val="none" w:sz="0" w:space="0" w:color="auto"/>
                <w:right w:val="none" w:sz="0" w:space="0" w:color="auto"/>
              </w:divBdr>
            </w:div>
            <w:div w:id="1062873498">
              <w:marLeft w:val="0"/>
              <w:marRight w:val="0"/>
              <w:marTop w:val="0"/>
              <w:marBottom w:val="0"/>
              <w:divBdr>
                <w:top w:val="none" w:sz="0" w:space="0" w:color="auto"/>
                <w:left w:val="none" w:sz="0" w:space="0" w:color="auto"/>
                <w:bottom w:val="none" w:sz="0" w:space="0" w:color="auto"/>
                <w:right w:val="none" w:sz="0" w:space="0" w:color="auto"/>
              </w:divBdr>
            </w:div>
            <w:div w:id="1085032255">
              <w:marLeft w:val="0"/>
              <w:marRight w:val="0"/>
              <w:marTop w:val="0"/>
              <w:marBottom w:val="0"/>
              <w:divBdr>
                <w:top w:val="none" w:sz="0" w:space="0" w:color="auto"/>
                <w:left w:val="none" w:sz="0" w:space="0" w:color="auto"/>
                <w:bottom w:val="none" w:sz="0" w:space="0" w:color="auto"/>
                <w:right w:val="none" w:sz="0" w:space="0" w:color="auto"/>
              </w:divBdr>
            </w:div>
            <w:div w:id="1096095827">
              <w:marLeft w:val="0"/>
              <w:marRight w:val="0"/>
              <w:marTop w:val="0"/>
              <w:marBottom w:val="0"/>
              <w:divBdr>
                <w:top w:val="none" w:sz="0" w:space="0" w:color="auto"/>
                <w:left w:val="none" w:sz="0" w:space="0" w:color="auto"/>
                <w:bottom w:val="none" w:sz="0" w:space="0" w:color="auto"/>
                <w:right w:val="none" w:sz="0" w:space="0" w:color="auto"/>
              </w:divBdr>
            </w:div>
            <w:div w:id="1209149261">
              <w:marLeft w:val="0"/>
              <w:marRight w:val="0"/>
              <w:marTop w:val="0"/>
              <w:marBottom w:val="0"/>
              <w:divBdr>
                <w:top w:val="none" w:sz="0" w:space="0" w:color="auto"/>
                <w:left w:val="none" w:sz="0" w:space="0" w:color="auto"/>
                <w:bottom w:val="none" w:sz="0" w:space="0" w:color="auto"/>
                <w:right w:val="none" w:sz="0" w:space="0" w:color="auto"/>
              </w:divBdr>
            </w:div>
            <w:div w:id="1217814566">
              <w:marLeft w:val="0"/>
              <w:marRight w:val="0"/>
              <w:marTop w:val="0"/>
              <w:marBottom w:val="0"/>
              <w:divBdr>
                <w:top w:val="none" w:sz="0" w:space="0" w:color="auto"/>
                <w:left w:val="none" w:sz="0" w:space="0" w:color="auto"/>
                <w:bottom w:val="none" w:sz="0" w:space="0" w:color="auto"/>
                <w:right w:val="none" w:sz="0" w:space="0" w:color="auto"/>
              </w:divBdr>
            </w:div>
            <w:div w:id="1513257246">
              <w:marLeft w:val="0"/>
              <w:marRight w:val="0"/>
              <w:marTop w:val="0"/>
              <w:marBottom w:val="0"/>
              <w:divBdr>
                <w:top w:val="none" w:sz="0" w:space="0" w:color="auto"/>
                <w:left w:val="none" w:sz="0" w:space="0" w:color="auto"/>
                <w:bottom w:val="none" w:sz="0" w:space="0" w:color="auto"/>
                <w:right w:val="none" w:sz="0" w:space="0" w:color="auto"/>
              </w:divBdr>
            </w:div>
            <w:div w:id="1683169958">
              <w:marLeft w:val="0"/>
              <w:marRight w:val="0"/>
              <w:marTop w:val="0"/>
              <w:marBottom w:val="0"/>
              <w:divBdr>
                <w:top w:val="none" w:sz="0" w:space="0" w:color="auto"/>
                <w:left w:val="none" w:sz="0" w:space="0" w:color="auto"/>
                <w:bottom w:val="none" w:sz="0" w:space="0" w:color="auto"/>
                <w:right w:val="none" w:sz="0" w:space="0" w:color="auto"/>
              </w:divBdr>
            </w:div>
            <w:div w:id="1699430403">
              <w:marLeft w:val="0"/>
              <w:marRight w:val="0"/>
              <w:marTop w:val="0"/>
              <w:marBottom w:val="0"/>
              <w:divBdr>
                <w:top w:val="none" w:sz="0" w:space="0" w:color="auto"/>
                <w:left w:val="none" w:sz="0" w:space="0" w:color="auto"/>
                <w:bottom w:val="none" w:sz="0" w:space="0" w:color="auto"/>
                <w:right w:val="none" w:sz="0" w:space="0" w:color="auto"/>
              </w:divBdr>
            </w:div>
            <w:div w:id="1972320327">
              <w:marLeft w:val="0"/>
              <w:marRight w:val="0"/>
              <w:marTop w:val="0"/>
              <w:marBottom w:val="0"/>
              <w:divBdr>
                <w:top w:val="none" w:sz="0" w:space="0" w:color="auto"/>
                <w:left w:val="none" w:sz="0" w:space="0" w:color="auto"/>
                <w:bottom w:val="none" w:sz="0" w:space="0" w:color="auto"/>
                <w:right w:val="none" w:sz="0" w:space="0" w:color="auto"/>
              </w:divBdr>
            </w:div>
          </w:divsChild>
        </w:div>
        <w:div w:id="1773738681">
          <w:marLeft w:val="0"/>
          <w:marRight w:val="0"/>
          <w:marTop w:val="0"/>
          <w:marBottom w:val="0"/>
          <w:divBdr>
            <w:top w:val="none" w:sz="0" w:space="0" w:color="auto"/>
            <w:left w:val="none" w:sz="0" w:space="0" w:color="auto"/>
            <w:bottom w:val="none" w:sz="0" w:space="0" w:color="auto"/>
            <w:right w:val="none" w:sz="0" w:space="0" w:color="auto"/>
          </w:divBdr>
        </w:div>
        <w:div w:id="1773864221">
          <w:marLeft w:val="0"/>
          <w:marRight w:val="0"/>
          <w:marTop w:val="0"/>
          <w:marBottom w:val="0"/>
          <w:divBdr>
            <w:top w:val="none" w:sz="0" w:space="0" w:color="auto"/>
            <w:left w:val="none" w:sz="0" w:space="0" w:color="auto"/>
            <w:bottom w:val="none" w:sz="0" w:space="0" w:color="auto"/>
            <w:right w:val="none" w:sz="0" w:space="0" w:color="auto"/>
          </w:divBdr>
        </w:div>
        <w:div w:id="1775897622">
          <w:marLeft w:val="0"/>
          <w:marRight w:val="0"/>
          <w:marTop w:val="0"/>
          <w:marBottom w:val="0"/>
          <w:divBdr>
            <w:top w:val="none" w:sz="0" w:space="0" w:color="auto"/>
            <w:left w:val="none" w:sz="0" w:space="0" w:color="auto"/>
            <w:bottom w:val="none" w:sz="0" w:space="0" w:color="auto"/>
            <w:right w:val="none" w:sz="0" w:space="0" w:color="auto"/>
          </w:divBdr>
        </w:div>
        <w:div w:id="1776435961">
          <w:marLeft w:val="0"/>
          <w:marRight w:val="0"/>
          <w:marTop w:val="0"/>
          <w:marBottom w:val="0"/>
          <w:divBdr>
            <w:top w:val="none" w:sz="0" w:space="0" w:color="auto"/>
            <w:left w:val="none" w:sz="0" w:space="0" w:color="auto"/>
            <w:bottom w:val="none" w:sz="0" w:space="0" w:color="auto"/>
            <w:right w:val="none" w:sz="0" w:space="0" w:color="auto"/>
          </w:divBdr>
        </w:div>
        <w:div w:id="1779527106">
          <w:marLeft w:val="0"/>
          <w:marRight w:val="0"/>
          <w:marTop w:val="0"/>
          <w:marBottom w:val="0"/>
          <w:divBdr>
            <w:top w:val="none" w:sz="0" w:space="0" w:color="auto"/>
            <w:left w:val="none" w:sz="0" w:space="0" w:color="auto"/>
            <w:bottom w:val="none" w:sz="0" w:space="0" w:color="auto"/>
            <w:right w:val="none" w:sz="0" w:space="0" w:color="auto"/>
          </w:divBdr>
        </w:div>
        <w:div w:id="1782070416">
          <w:marLeft w:val="0"/>
          <w:marRight w:val="0"/>
          <w:marTop w:val="0"/>
          <w:marBottom w:val="0"/>
          <w:divBdr>
            <w:top w:val="none" w:sz="0" w:space="0" w:color="auto"/>
            <w:left w:val="none" w:sz="0" w:space="0" w:color="auto"/>
            <w:bottom w:val="none" w:sz="0" w:space="0" w:color="auto"/>
            <w:right w:val="none" w:sz="0" w:space="0" w:color="auto"/>
          </w:divBdr>
        </w:div>
        <w:div w:id="1782457601">
          <w:marLeft w:val="0"/>
          <w:marRight w:val="0"/>
          <w:marTop w:val="0"/>
          <w:marBottom w:val="0"/>
          <w:divBdr>
            <w:top w:val="none" w:sz="0" w:space="0" w:color="auto"/>
            <w:left w:val="none" w:sz="0" w:space="0" w:color="auto"/>
            <w:bottom w:val="none" w:sz="0" w:space="0" w:color="auto"/>
            <w:right w:val="none" w:sz="0" w:space="0" w:color="auto"/>
          </w:divBdr>
        </w:div>
        <w:div w:id="1784807762">
          <w:marLeft w:val="0"/>
          <w:marRight w:val="0"/>
          <w:marTop w:val="0"/>
          <w:marBottom w:val="0"/>
          <w:divBdr>
            <w:top w:val="none" w:sz="0" w:space="0" w:color="auto"/>
            <w:left w:val="none" w:sz="0" w:space="0" w:color="auto"/>
            <w:bottom w:val="none" w:sz="0" w:space="0" w:color="auto"/>
            <w:right w:val="none" w:sz="0" w:space="0" w:color="auto"/>
          </w:divBdr>
        </w:div>
        <w:div w:id="1785147033">
          <w:marLeft w:val="0"/>
          <w:marRight w:val="0"/>
          <w:marTop w:val="0"/>
          <w:marBottom w:val="0"/>
          <w:divBdr>
            <w:top w:val="none" w:sz="0" w:space="0" w:color="auto"/>
            <w:left w:val="none" w:sz="0" w:space="0" w:color="auto"/>
            <w:bottom w:val="none" w:sz="0" w:space="0" w:color="auto"/>
            <w:right w:val="none" w:sz="0" w:space="0" w:color="auto"/>
          </w:divBdr>
        </w:div>
        <w:div w:id="1785269005">
          <w:marLeft w:val="0"/>
          <w:marRight w:val="0"/>
          <w:marTop w:val="0"/>
          <w:marBottom w:val="0"/>
          <w:divBdr>
            <w:top w:val="none" w:sz="0" w:space="0" w:color="auto"/>
            <w:left w:val="none" w:sz="0" w:space="0" w:color="auto"/>
            <w:bottom w:val="none" w:sz="0" w:space="0" w:color="auto"/>
            <w:right w:val="none" w:sz="0" w:space="0" w:color="auto"/>
          </w:divBdr>
        </w:div>
        <w:div w:id="1786728568">
          <w:marLeft w:val="0"/>
          <w:marRight w:val="0"/>
          <w:marTop w:val="0"/>
          <w:marBottom w:val="0"/>
          <w:divBdr>
            <w:top w:val="none" w:sz="0" w:space="0" w:color="auto"/>
            <w:left w:val="none" w:sz="0" w:space="0" w:color="auto"/>
            <w:bottom w:val="none" w:sz="0" w:space="0" w:color="auto"/>
            <w:right w:val="none" w:sz="0" w:space="0" w:color="auto"/>
          </w:divBdr>
        </w:div>
        <w:div w:id="1787190581">
          <w:marLeft w:val="0"/>
          <w:marRight w:val="0"/>
          <w:marTop w:val="0"/>
          <w:marBottom w:val="0"/>
          <w:divBdr>
            <w:top w:val="none" w:sz="0" w:space="0" w:color="auto"/>
            <w:left w:val="none" w:sz="0" w:space="0" w:color="auto"/>
            <w:bottom w:val="none" w:sz="0" w:space="0" w:color="auto"/>
            <w:right w:val="none" w:sz="0" w:space="0" w:color="auto"/>
          </w:divBdr>
        </w:div>
        <w:div w:id="1787383666">
          <w:marLeft w:val="0"/>
          <w:marRight w:val="0"/>
          <w:marTop w:val="0"/>
          <w:marBottom w:val="0"/>
          <w:divBdr>
            <w:top w:val="none" w:sz="0" w:space="0" w:color="auto"/>
            <w:left w:val="none" w:sz="0" w:space="0" w:color="auto"/>
            <w:bottom w:val="none" w:sz="0" w:space="0" w:color="auto"/>
            <w:right w:val="none" w:sz="0" w:space="0" w:color="auto"/>
          </w:divBdr>
        </w:div>
        <w:div w:id="1787461260">
          <w:marLeft w:val="0"/>
          <w:marRight w:val="0"/>
          <w:marTop w:val="0"/>
          <w:marBottom w:val="0"/>
          <w:divBdr>
            <w:top w:val="none" w:sz="0" w:space="0" w:color="auto"/>
            <w:left w:val="none" w:sz="0" w:space="0" w:color="auto"/>
            <w:bottom w:val="none" w:sz="0" w:space="0" w:color="auto"/>
            <w:right w:val="none" w:sz="0" w:space="0" w:color="auto"/>
          </w:divBdr>
          <w:divsChild>
            <w:div w:id="130826862">
              <w:marLeft w:val="0"/>
              <w:marRight w:val="0"/>
              <w:marTop w:val="0"/>
              <w:marBottom w:val="0"/>
              <w:divBdr>
                <w:top w:val="none" w:sz="0" w:space="0" w:color="auto"/>
                <w:left w:val="none" w:sz="0" w:space="0" w:color="auto"/>
                <w:bottom w:val="none" w:sz="0" w:space="0" w:color="auto"/>
                <w:right w:val="none" w:sz="0" w:space="0" w:color="auto"/>
              </w:divBdr>
            </w:div>
            <w:div w:id="357463531">
              <w:marLeft w:val="0"/>
              <w:marRight w:val="0"/>
              <w:marTop w:val="0"/>
              <w:marBottom w:val="0"/>
              <w:divBdr>
                <w:top w:val="none" w:sz="0" w:space="0" w:color="auto"/>
                <w:left w:val="none" w:sz="0" w:space="0" w:color="auto"/>
                <w:bottom w:val="none" w:sz="0" w:space="0" w:color="auto"/>
                <w:right w:val="none" w:sz="0" w:space="0" w:color="auto"/>
              </w:divBdr>
            </w:div>
            <w:div w:id="419566651">
              <w:marLeft w:val="0"/>
              <w:marRight w:val="0"/>
              <w:marTop w:val="0"/>
              <w:marBottom w:val="0"/>
              <w:divBdr>
                <w:top w:val="none" w:sz="0" w:space="0" w:color="auto"/>
                <w:left w:val="none" w:sz="0" w:space="0" w:color="auto"/>
                <w:bottom w:val="none" w:sz="0" w:space="0" w:color="auto"/>
                <w:right w:val="none" w:sz="0" w:space="0" w:color="auto"/>
              </w:divBdr>
            </w:div>
            <w:div w:id="580414241">
              <w:marLeft w:val="0"/>
              <w:marRight w:val="0"/>
              <w:marTop w:val="0"/>
              <w:marBottom w:val="0"/>
              <w:divBdr>
                <w:top w:val="none" w:sz="0" w:space="0" w:color="auto"/>
                <w:left w:val="none" w:sz="0" w:space="0" w:color="auto"/>
                <w:bottom w:val="none" w:sz="0" w:space="0" w:color="auto"/>
                <w:right w:val="none" w:sz="0" w:space="0" w:color="auto"/>
              </w:divBdr>
            </w:div>
            <w:div w:id="791290828">
              <w:marLeft w:val="0"/>
              <w:marRight w:val="0"/>
              <w:marTop w:val="0"/>
              <w:marBottom w:val="0"/>
              <w:divBdr>
                <w:top w:val="none" w:sz="0" w:space="0" w:color="auto"/>
                <w:left w:val="none" w:sz="0" w:space="0" w:color="auto"/>
                <w:bottom w:val="none" w:sz="0" w:space="0" w:color="auto"/>
                <w:right w:val="none" w:sz="0" w:space="0" w:color="auto"/>
              </w:divBdr>
            </w:div>
            <w:div w:id="959267530">
              <w:marLeft w:val="0"/>
              <w:marRight w:val="0"/>
              <w:marTop w:val="0"/>
              <w:marBottom w:val="0"/>
              <w:divBdr>
                <w:top w:val="none" w:sz="0" w:space="0" w:color="auto"/>
                <w:left w:val="none" w:sz="0" w:space="0" w:color="auto"/>
                <w:bottom w:val="none" w:sz="0" w:space="0" w:color="auto"/>
                <w:right w:val="none" w:sz="0" w:space="0" w:color="auto"/>
              </w:divBdr>
            </w:div>
            <w:div w:id="1465076719">
              <w:marLeft w:val="0"/>
              <w:marRight w:val="0"/>
              <w:marTop w:val="0"/>
              <w:marBottom w:val="0"/>
              <w:divBdr>
                <w:top w:val="none" w:sz="0" w:space="0" w:color="auto"/>
                <w:left w:val="none" w:sz="0" w:space="0" w:color="auto"/>
                <w:bottom w:val="none" w:sz="0" w:space="0" w:color="auto"/>
                <w:right w:val="none" w:sz="0" w:space="0" w:color="auto"/>
              </w:divBdr>
            </w:div>
            <w:div w:id="1502116928">
              <w:marLeft w:val="0"/>
              <w:marRight w:val="0"/>
              <w:marTop w:val="0"/>
              <w:marBottom w:val="0"/>
              <w:divBdr>
                <w:top w:val="none" w:sz="0" w:space="0" w:color="auto"/>
                <w:left w:val="none" w:sz="0" w:space="0" w:color="auto"/>
                <w:bottom w:val="none" w:sz="0" w:space="0" w:color="auto"/>
                <w:right w:val="none" w:sz="0" w:space="0" w:color="auto"/>
              </w:divBdr>
            </w:div>
            <w:div w:id="1527404633">
              <w:marLeft w:val="0"/>
              <w:marRight w:val="0"/>
              <w:marTop w:val="0"/>
              <w:marBottom w:val="0"/>
              <w:divBdr>
                <w:top w:val="none" w:sz="0" w:space="0" w:color="auto"/>
                <w:left w:val="none" w:sz="0" w:space="0" w:color="auto"/>
                <w:bottom w:val="none" w:sz="0" w:space="0" w:color="auto"/>
                <w:right w:val="none" w:sz="0" w:space="0" w:color="auto"/>
              </w:divBdr>
            </w:div>
            <w:div w:id="1537817673">
              <w:marLeft w:val="0"/>
              <w:marRight w:val="0"/>
              <w:marTop w:val="0"/>
              <w:marBottom w:val="0"/>
              <w:divBdr>
                <w:top w:val="none" w:sz="0" w:space="0" w:color="auto"/>
                <w:left w:val="none" w:sz="0" w:space="0" w:color="auto"/>
                <w:bottom w:val="none" w:sz="0" w:space="0" w:color="auto"/>
                <w:right w:val="none" w:sz="0" w:space="0" w:color="auto"/>
              </w:divBdr>
            </w:div>
            <w:div w:id="1606502076">
              <w:marLeft w:val="0"/>
              <w:marRight w:val="0"/>
              <w:marTop w:val="0"/>
              <w:marBottom w:val="0"/>
              <w:divBdr>
                <w:top w:val="none" w:sz="0" w:space="0" w:color="auto"/>
                <w:left w:val="none" w:sz="0" w:space="0" w:color="auto"/>
                <w:bottom w:val="none" w:sz="0" w:space="0" w:color="auto"/>
                <w:right w:val="none" w:sz="0" w:space="0" w:color="auto"/>
              </w:divBdr>
            </w:div>
            <w:div w:id="1729837890">
              <w:marLeft w:val="0"/>
              <w:marRight w:val="0"/>
              <w:marTop w:val="0"/>
              <w:marBottom w:val="0"/>
              <w:divBdr>
                <w:top w:val="none" w:sz="0" w:space="0" w:color="auto"/>
                <w:left w:val="none" w:sz="0" w:space="0" w:color="auto"/>
                <w:bottom w:val="none" w:sz="0" w:space="0" w:color="auto"/>
                <w:right w:val="none" w:sz="0" w:space="0" w:color="auto"/>
              </w:divBdr>
            </w:div>
            <w:div w:id="1736271139">
              <w:marLeft w:val="0"/>
              <w:marRight w:val="0"/>
              <w:marTop w:val="0"/>
              <w:marBottom w:val="0"/>
              <w:divBdr>
                <w:top w:val="none" w:sz="0" w:space="0" w:color="auto"/>
                <w:left w:val="none" w:sz="0" w:space="0" w:color="auto"/>
                <w:bottom w:val="none" w:sz="0" w:space="0" w:color="auto"/>
                <w:right w:val="none" w:sz="0" w:space="0" w:color="auto"/>
              </w:divBdr>
            </w:div>
            <w:div w:id="1756970495">
              <w:marLeft w:val="0"/>
              <w:marRight w:val="0"/>
              <w:marTop w:val="0"/>
              <w:marBottom w:val="0"/>
              <w:divBdr>
                <w:top w:val="none" w:sz="0" w:space="0" w:color="auto"/>
                <w:left w:val="none" w:sz="0" w:space="0" w:color="auto"/>
                <w:bottom w:val="none" w:sz="0" w:space="0" w:color="auto"/>
                <w:right w:val="none" w:sz="0" w:space="0" w:color="auto"/>
              </w:divBdr>
            </w:div>
            <w:div w:id="1894583816">
              <w:marLeft w:val="0"/>
              <w:marRight w:val="0"/>
              <w:marTop w:val="0"/>
              <w:marBottom w:val="0"/>
              <w:divBdr>
                <w:top w:val="none" w:sz="0" w:space="0" w:color="auto"/>
                <w:left w:val="none" w:sz="0" w:space="0" w:color="auto"/>
                <w:bottom w:val="none" w:sz="0" w:space="0" w:color="auto"/>
                <w:right w:val="none" w:sz="0" w:space="0" w:color="auto"/>
              </w:divBdr>
            </w:div>
            <w:div w:id="1975715678">
              <w:marLeft w:val="0"/>
              <w:marRight w:val="0"/>
              <w:marTop w:val="0"/>
              <w:marBottom w:val="0"/>
              <w:divBdr>
                <w:top w:val="none" w:sz="0" w:space="0" w:color="auto"/>
                <w:left w:val="none" w:sz="0" w:space="0" w:color="auto"/>
                <w:bottom w:val="none" w:sz="0" w:space="0" w:color="auto"/>
                <w:right w:val="none" w:sz="0" w:space="0" w:color="auto"/>
              </w:divBdr>
            </w:div>
            <w:div w:id="1990591634">
              <w:marLeft w:val="0"/>
              <w:marRight w:val="0"/>
              <w:marTop w:val="0"/>
              <w:marBottom w:val="0"/>
              <w:divBdr>
                <w:top w:val="none" w:sz="0" w:space="0" w:color="auto"/>
                <w:left w:val="none" w:sz="0" w:space="0" w:color="auto"/>
                <w:bottom w:val="none" w:sz="0" w:space="0" w:color="auto"/>
                <w:right w:val="none" w:sz="0" w:space="0" w:color="auto"/>
              </w:divBdr>
            </w:div>
            <w:div w:id="2047215058">
              <w:marLeft w:val="0"/>
              <w:marRight w:val="0"/>
              <w:marTop w:val="0"/>
              <w:marBottom w:val="0"/>
              <w:divBdr>
                <w:top w:val="none" w:sz="0" w:space="0" w:color="auto"/>
                <w:left w:val="none" w:sz="0" w:space="0" w:color="auto"/>
                <w:bottom w:val="none" w:sz="0" w:space="0" w:color="auto"/>
                <w:right w:val="none" w:sz="0" w:space="0" w:color="auto"/>
              </w:divBdr>
            </w:div>
          </w:divsChild>
        </w:div>
        <w:div w:id="1788112579">
          <w:marLeft w:val="0"/>
          <w:marRight w:val="0"/>
          <w:marTop w:val="0"/>
          <w:marBottom w:val="0"/>
          <w:divBdr>
            <w:top w:val="none" w:sz="0" w:space="0" w:color="auto"/>
            <w:left w:val="none" w:sz="0" w:space="0" w:color="auto"/>
            <w:bottom w:val="none" w:sz="0" w:space="0" w:color="auto"/>
            <w:right w:val="none" w:sz="0" w:space="0" w:color="auto"/>
          </w:divBdr>
        </w:div>
        <w:div w:id="1789279843">
          <w:marLeft w:val="0"/>
          <w:marRight w:val="0"/>
          <w:marTop w:val="0"/>
          <w:marBottom w:val="0"/>
          <w:divBdr>
            <w:top w:val="none" w:sz="0" w:space="0" w:color="auto"/>
            <w:left w:val="none" w:sz="0" w:space="0" w:color="auto"/>
            <w:bottom w:val="none" w:sz="0" w:space="0" w:color="auto"/>
            <w:right w:val="none" w:sz="0" w:space="0" w:color="auto"/>
          </w:divBdr>
        </w:div>
        <w:div w:id="1789619771">
          <w:marLeft w:val="0"/>
          <w:marRight w:val="0"/>
          <w:marTop w:val="0"/>
          <w:marBottom w:val="0"/>
          <w:divBdr>
            <w:top w:val="none" w:sz="0" w:space="0" w:color="auto"/>
            <w:left w:val="none" w:sz="0" w:space="0" w:color="auto"/>
            <w:bottom w:val="none" w:sz="0" w:space="0" w:color="auto"/>
            <w:right w:val="none" w:sz="0" w:space="0" w:color="auto"/>
          </w:divBdr>
        </w:div>
        <w:div w:id="1789735879">
          <w:marLeft w:val="0"/>
          <w:marRight w:val="0"/>
          <w:marTop w:val="0"/>
          <w:marBottom w:val="0"/>
          <w:divBdr>
            <w:top w:val="none" w:sz="0" w:space="0" w:color="auto"/>
            <w:left w:val="none" w:sz="0" w:space="0" w:color="auto"/>
            <w:bottom w:val="none" w:sz="0" w:space="0" w:color="auto"/>
            <w:right w:val="none" w:sz="0" w:space="0" w:color="auto"/>
          </w:divBdr>
        </w:div>
        <w:div w:id="1790392932">
          <w:marLeft w:val="0"/>
          <w:marRight w:val="0"/>
          <w:marTop w:val="0"/>
          <w:marBottom w:val="0"/>
          <w:divBdr>
            <w:top w:val="none" w:sz="0" w:space="0" w:color="auto"/>
            <w:left w:val="none" w:sz="0" w:space="0" w:color="auto"/>
            <w:bottom w:val="none" w:sz="0" w:space="0" w:color="auto"/>
            <w:right w:val="none" w:sz="0" w:space="0" w:color="auto"/>
          </w:divBdr>
        </w:div>
        <w:div w:id="1795635250">
          <w:marLeft w:val="0"/>
          <w:marRight w:val="0"/>
          <w:marTop w:val="0"/>
          <w:marBottom w:val="0"/>
          <w:divBdr>
            <w:top w:val="none" w:sz="0" w:space="0" w:color="auto"/>
            <w:left w:val="none" w:sz="0" w:space="0" w:color="auto"/>
            <w:bottom w:val="none" w:sz="0" w:space="0" w:color="auto"/>
            <w:right w:val="none" w:sz="0" w:space="0" w:color="auto"/>
          </w:divBdr>
          <w:divsChild>
            <w:div w:id="310982979">
              <w:marLeft w:val="0"/>
              <w:marRight w:val="0"/>
              <w:marTop w:val="0"/>
              <w:marBottom w:val="0"/>
              <w:divBdr>
                <w:top w:val="none" w:sz="0" w:space="0" w:color="auto"/>
                <w:left w:val="none" w:sz="0" w:space="0" w:color="auto"/>
                <w:bottom w:val="none" w:sz="0" w:space="0" w:color="auto"/>
                <w:right w:val="none" w:sz="0" w:space="0" w:color="auto"/>
              </w:divBdr>
            </w:div>
            <w:div w:id="366415337">
              <w:marLeft w:val="0"/>
              <w:marRight w:val="0"/>
              <w:marTop w:val="0"/>
              <w:marBottom w:val="0"/>
              <w:divBdr>
                <w:top w:val="none" w:sz="0" w:space="0" w:color="auto"/>
                <w:left w:val="none" w:sz="0" w:space="0" w:color="auto"/>
                <w:bottom w:val="none" w:sz="0" w:space="0" w:color="auto"/>
                <w:right w:val="none" w:sz="0" w:space="0" w:color="auto"/>
              </w:divBdr>
            </w:div>
            <w:div w:id="410007017">
              <w:marLeft w:val="0"/>
              <w:marRight w:val="0"/>
              <w:marTop w:val="0"/>
              <w:marBottom w:val="0"/>
              <w:divBdr>
                <w:top w:val="none" w:sz="0" w:space="0" w:color="auto"/>
                <w:left w:val="none" w:sz="0" w:space="0" w:color="auto"/>
                <w:bottom w:val="none" w:sz="0" w:space="0" w:color="auto"/>
                <w:right w:val="none" w:sz="0" w:space="0" w:color="auto"/>
              </w:divBdr>
            </w:div>
            <w:div w:id="806628698">
              <w:marLeft w:val="0"/>
              <w:marRight w:val="0"/>
              <w:marTop w:val="0"/>
              <w:marBottom w:val="0"/>
              <w:divBdr>
                <w:top w:val="none" w:sz="0" w:space="0" w:color="auto"/>
                <w:left w:val="none" w:sz="0" w:space="0" w:color="auto"/>
                <w:bottom w:val="none" w:sz="0" w:space="0" w:color="auto"/>
                <w:right w:val="none" w:sz="0" w:space="0" w:color="auto"/>
              </w:divBdr>
            </w:div>
            <w:div w:id="1136143623">
              <w:marLeft w:val="0"/>
              <w:marRight w:val="0"/>
              <w:marTop w:val="0"/>
              <w:marBottom w:val="0"/>
              <w:divBdr>
                <w:top w:val="none" w:sz="0" w:space="0" w:color="auto"/>
                <w:left w:val="none" w:sz="0" w:space="0" w:color="auto"/>
                <w:bottom w:val="none" w:sz="0" w:space="0" w:color="auto"/>
                <w:right w:val="none" w:sz="0" w:space="0" w:color="auto"/>
              </w:divBdr>
            </w:div>
            <w:div w:id="1161193059">
              <w:marLeft w:val="0"/>
              <w:marRight w:val="0"/>
              <w:marTop w:val="0"/>
              <w:marBottom w:val="0"/>
              <w:divBdr>
                <w:top w:val="none" w:sz="0" w:space="0" w:color="auto"/>
                <w:left w:val="none" w:sz="0" w:space="0" w:color="auto"/>
                <w:bottom w:val="none" w:sz="0" w:space="0" w:color="auto"/>
                <w:right w:val="none" w:sz="0" w:space="0" w:color="auto"/>
              </w:divBdr>
            </w:div>
            <w:div w:id="1186868795">
              <w:marLeft w:val="0"/>
              <w:marRight w:val="0"/>
              <w:marTop w:val="0"/>
              <w:marBottom w:val="0"/>
              <w:divBdr>
                <w:top w:val="none" w:sz="0" w:space="0" w:color="auto"/>
                <w:left w:val="none" w:sz="0" w:space="0" w:color="auto"/>
                <w:bottom w:val="none" w:sz="0" w:space="0" w:color="auto"/>
                <w:right w:val="none" w:sz="0" w:space="0" w:color="auto"/>
              </w:divBdr>
            </w:div>
            <w:div w:id="1269891983">
              <w:marLeft w:val="0"/>
              <w:marRight w:val="0"/>
              <w:marTop w:val="0"/>
              <w:marBottom w:val="0"/>
              <w:divBdr>
                <w:top w:val="none" w:sz="0" w:space="0" w:color="auto"/>
                <w:left w:val="none" w:sz="0" w:space="0" w:color="auto"/>
                <w:bottom w:val="none" w:sz="0" w:space="0" w:color="auto"/>
                <w:right w:val="none" w:sz="0" w:space="0" w:color="auto"/>
              </w:divBdr>
            </w:div>
            <w:div w:id="1465469178">
              <w:marLeft w:val="0"/>
              <w:marRight w:val="0"/>
              <w:marTop w:val="0"/>
              <w:marBottom w:val="0"/>
              <w:divBdr>
                <w:top w:val="none" w:sz="0" w:space="0" w:color="auto"/>
                <w:left w:val="none" w:sz="0" w:space="0" w:color="auto"/>
                <w:bottom w:val="none" w:sz="0" w:space="0" w:color="auto"/>
                <w:right w:val="none" w:sz="0" w:space="0" w:color="auto"/>
              </w:divBdr>
            </w:div>
            <w:div w:id="1593275583">
              <w:marLeft w:val="0"/>
              <w:marRight w:val="0"/>
              <w:marTop w:val="0"/>
              <w:marBottom w:val="0"/>
              <w:divBdr>
                <w:top w:val="none" w:sz="0" w:space="0" w:color="auto"/>
                <w:left w:val="none" w:sz="0" w:space="0" w:color="auto"/>
                <w:bottom w:val="none" w:sz="0" w:space="0" w:color="auto"/>
                <w:right w:val="none" w:sz="0" w:space="0" w:color="auto"/>
              </w:divBdr>
            </w:div>
            <w:div w:id="1612545156">
              <w:marLeft w:val="0"/>
              <w:marRight w:val="0"/>
              <w:marTop w:val="0"/>
              <w:marBottom w:val="0"/>
              <w:divBdr>
                <w:top w:val="none" w:sz="0" w:space="0" w:color="auto"/>
                <w:left w:val="none" w:sz="0" w:space="0" w:color="auto"/>
                <w:bottom w:val="none" w:sz="0" w:space="0" w:color="auto"/>
                <w:right w:val="none" w:sz="0" w:space="0" w:color="auto"/>
              </w:divBdr>
            </w:div>
            <w:div w:id="1678115857">
              <w:marLeft w:val="0"/>
              <w:marRight w:val="0"/>
              <w:marTop w:val="0"/>
              <w:marBottom w:val="0"/>
              <w:divBdr>
                <w:top w:val="none" w:sz="0" w:space="0" w:color="auto"/>
                <w:left w:val="none" w:sz="0" w:space="0" w:color="auto"/>
                <w:bottom w:val="none" w:sz="0" w:space="0" w:color="auto"/>
                <w:right w:val="none" w:sz="0" w:space="0" w:color="auto"/>
              </w:divBdr>
            </w:div>
            <w:div w:id="1701315315">
              <w:marLeft w:val="0"/>
              <w:marRight w:val="0"/>
              <w:marTop w:val="0"/>
              <w:marBottom w:val="0"/>
              <w:divBdr>
                <w:top w:val="none" w:sz="0" w:space="0" w:color="auto"/>
                <w:left w:val="none" w:sz="0" w:space="0" w:color="auto"/>
                <w:bottom w:val="none" w:sz="0" w:space="0" w:color="auto"/>
                <w:right w:val="none" w:sz="0" w:space="0" w:color="auto"/>
              </w:divBdr>
            </w:div>
            <w:div w:id="1744645408">
              <w:marLeft w:val="0"/>
              <w:marRight w:val="0"/>
              <w:marTop w:val="0"/>
              <w:marBottom w:val="0"/>
              <w:divBdr>
                <w:top w:val="none" w:sz="0" w:space="0" w:color="auto"/>
                <w:left w:val="none" w:sz="0" w:space="0" w:color="auto"/>
                <w:bottom w:val="none" w:sz="0" w:space="0" w:color="auto"/>
                <w:right w:val="none" w:sz="0" w:space="0" w:color="auto"/>
              </w:divBdr>
            </w:div>
            <w:div w:id="1914966163">
              <w:marLeft w:val="0"/>
              <w:marRight w:val="0"/>
              <w:marTop w:val="0"/>
              <w:marBottom w:val="0"/>
              <w:divBdr>
                <w:top w:val="none" w:sz="0" w:space="0" w:color="auto"/>
                <w:left w:val="none" w:sz="0" w:space="0" w:color="auto"/>
                <w:bottom w:val="none" w:sz="0" w:space="0" w:color="auto"/>
                <w:right w:val="none" w:sz="0" w:space="0" w:color="auto"/>
              </w:divBdr>
            </w:div>
            <w:div w:id="1924145563">
              <w:marLeft w:val="0"/>
              <w:marRight w:val="0"/>
              <w:marTop w:val="0"/>
              <w:marBottom w:val="0"/>
              <w:divBdr>
                <w:top w:val="none" w:sz="0" w:space="0" w:color="auto"/>
                <w:left w:val="none" w:sz="0" w:space="0" w:color="auto"/>
                <w:bottom w:val="none" w:sz="0" w:space="0" w:color="auto"/>
                <w:right w:val="none" w:sz="0" w:space="0" w:color="auto"/>
              </w:divBdr>
            </w:div>
            <w:div w:id="2067800785">
              <w:marLeft w:val="0"/>
              <w:marRight w:val="0"/>
              <w:marTop w:val="0"/>
              <w:marBottom w:val="0"/>
              <w:divBdr>
                <w:top w:val="none" w:sz="0" w:space="0" w:color="auto"/>
                <w:left w:val="none" w:sz="0" w:space="0" w:color="auto"/>
                <w:bottom w:val="none" w:sz="0" w:space="0" w:color="auto"/>
                <w:right w:val="none" w:sz="0" w:space="0" w:color="auto"/>
              </w:divBdr>
            </w:div>
            <w:div w:id="2102792004">
              <w:marLeft w:val="0"/>
              <w:marRight w:val="0"/>
              <w:marTop w:val="0"/>
              <w:marBottom w:val="0"/>
              <w:divBdr>
                <w:top w:val="none" w:sz="0" w:space="0" w:color="auto"/>
                <w:left w:val="none" w:sz="0" w:space="0" w:color="auto"/>
                <w:bottom w:val="none" w:sz="0" w:space="0" w:color="auto"/>
                <w:right w:val="none" w:sz="0" w:space="0" w:color="auto"/>
              </w:divBdr>
            </w:div>
            <w:div w:id="2114010622">
              <w:marLeft w:val="0"/>
              <w:marRight w:val="0"/>
              <w:marTop w:val="0"/>
              <w:marBottom w:val="0"/>
              <w:divBdr>
                <w:top w:val="none" w:sz="0" w:space="0" w:color="auto"/>
                <w:left w:val="none" w:sz="0" w:space="0" w:color="auto"/>
                <w:bottom w:val="none" w:sz="0" w:space="0" w:color="auto"/>
                <w:right w:val="none" w:sz="0" w:space="0" w:color="auto"/>
              </w:divBdr>
            </w:div>
          </w:divsChild>
        </w:div>
        <w:div w:id="1795635293">
          <w:marLeft w:val="0"/>
          <w:marRight w:val="0"/>
          <w:marTop w:val="0"/>
          <w:marBottom w:val="0"/>
          <w:divBdr>
            <w:top w:val="none" w:sz="0" w:space="0" w:color="auto"/>
            <w:left w:val="none" w:sz="0" w:space="0" w:color="auto"/>
            <w:bottom w:val="none" w:sz="0" w:space="0" w:color="auto"/>
            <w:right w:val="none" w:sz="0" w:space="0" w:color="auto"/>
          </w:divBdr>
        </w:div>
        <w:div w:id="1798138966">
          <w:marLeft w:val="0"/>
          <w:marRight w:val="0"/>
          <w:marTop w:val="0"/>
          <w:marBottom w:val="0"/>
          <w:divBdr>
            <w:top w:val="none" w:sz="0" w:space="0" w:color="auto"/>
            <w:left w:val="none" w:sz="0" w:space="0" w:color="auto"/>
            <w:bottom w:val="none" w:sz="0" w:space="0" w:color="auto"/>
            <w:right w:val="none" w:sz="0" w:space="0" w:color="auto"/>
          </w:divBdr>
        </w:div>
        <w:div w:id="1798523049">
          <w:marLeft w:val="0"/>
          <w:marRight w:val="0"/>
          <w:marTop w:val="0"/>
          <w:marBottom w:val="0"/>
          <w:divBdr>
            <w:top w:val="none" w:sz="0" w:space="0" w:color="auto"/>
            <w:left w:val="none" w:sz="0" w:space="0" w:color="auto"/>
            <w:bottom w:val="none" w:sz="0" w:space="0" w:color="auto"/>
            <w:right w:val="none" w:sz="0" w:space="0" w:color="auto"/>
          </w:divBdr>
        </w:div>
        <w:div w:id="1798832418">
          <w:marLeft w:val="0"/>
          <w:marRight w:val="0"/>
          <w:marTop w:val="0"/>
          <w:marBottom w:val="0"/>
          <w:divBdr>
            <w:top w:val="none" w:sz="0" w:space="0" w:color="auto"/>
            <w:left w:val="none" w:sz="0" w:space="0" w:color="auto"/>
            <w:bottom w:val="none" w:sz="0" w:space="0" w:color="auto"/>
            <w:right w:val="none" w:sz="0" w:space="0" w:color="auto"/>
          </w:divBdr>
        </w:div>
        <w:div w:id="1799034164">
          <w:marLeft w:val="0"/>
          <w:marRight w:val="0"/>
          <w:marTop w:val="0"/>
          <w:marBottom w:val="0"/>
          <w:divBdr>
            <w:top w:val="none" w:sz="0" w:space="0" w:color="auto"/>
            <w:left w:val="none" w:sz="0" w:space="0" w:color="auto"/>
            <w:bottom w:val="none" w:sz="0" w:space="0" w:color="auto"/>
            <w:right w:val="none" w:sz="0" w:space="0" w:color="auto"/>
          </w:divBdr>
        </w:div>
        <w:div w:id="1799954900">
          <w:marLeft w:val="0"/>
          <w:marRight w:val="0"/>
          <w:marTop w:val="0"/>
          <w:marBottom w:val="0"/>
          <w:divBdr>
            <w:top w:val="none" w:sz="0" w:space="0" w:color="auto"/>
            <w:left w:val="none" w:sz="0" w:space="0" w:color="auto"/>
            <w:bottom w:val="none" w:sz="0" w:space="0" w:color="auto"/>
            <w:right w:val="none" w:sz="0" w:space="0" w:color="auto"/>
          </w:divBdr>
        </w:div>
        <w:div w:id="1804228742">
          <w:marLeft w:val="0"/>
          <w:marRight w:val="0"/>
          <w:marTop w:val="0"/>
          <w:marBottom w:val="0"/>
          <w:divBdr>
            <w:top w:val="none" w:sz="0" w:space="0" w:color="auto"/>
            <w:left w:val="none" w:sz="0" w:space="0" w:color="auto"/>
            <w:bottom w:val="none" w:sz="0" w:space="0" w:color="auto"/>
            <w:right w:val="none" w:sz="0" w:space="0" w:color="auto"/>
          </w:divBdr>
        </w:div>
        <w:div w:id="1805928626">
          <w:marLeft w:val="0"/>
          <w:marRight w:val="0"/>
          <w:marTop w:val="0"/>
          <w:marBottom w:val="0"/>
          <w:divBdr>
            <w:top w:val="none" w:sz="0" w:space="0" w:color="auto"/>
            <w:left w:val="none" w:sz="0" w:space="0" w:color="auto"/>
            <w:bottom w:val="none" w:sz="0" w:space="0" w:color="auto"/>
            <w:right w:val="none" w:sz="0" w:space="0" w:color="auto"/>
          </w:divBdr>
        </w:div>
        <w:div w:id="1806313089">
          <w:marLeft w:val="0"/>
          <w:marRight w:val="0"/>
          <w:marTop w:val="0"/>
          <w:marBottom w:val="0"/>
          <w:divBdr>
            <w:top w:val="none" w:sz="0" w:space="0" w:color="auto"/>
            <w:left w:val="none" w:sz="0" w:space="0" w:color="auto"/>
            <w:bottom w:val="none" w:sz="0" w:space="0" w:color="auto"/>
            <w:right w:val="none" w:sz="0" w:space="0" w:color="auto"/>
          </w:divBdr>
        </w:div>
        <w:div w:id="1806388357">
          <w:marLeft w:val="0"/>
          <w:marRight w:val="0"/>
          <w:marTop w:val="0"/>
          <w:marBottom w:val="0"/>
          <w:divBdr>
            <w:top w:val="none" w:sz="0" w:space="0" w:color="auto"/>
            <w:left w:val="none" w:sz="0" w:space="0" w:color="auto"/>
            <w:bottom w:val="none" w:sz="0" w:space="0" w:color="auto"/>
            <w:right w:val="none" w:sz="0" w:space="0" w:color="auto"/>
          </w:divBdr>
        </w:div>
        <w:div w:id="1806971465">
          <w:marLeft w:val="0"/>
          <w:marRight w:val="0"/>
          <w:marTop w:val="0"/>
          <w:marBottom w:val="0"/>
          <w:divBdr>
            <w:top w:val="none" w:sz="0" w:space="0" w:color="auto"/>
            <w:left w:val="none" w:sz="0" w:space="0" w:color="auto"/>
            <w:bottom w:val="none" w:sz="0" w:space="0" w:color="auto"/>
            <w:right w:val="none" w:sz="0" w:space="0" w:color="auto"/>
          </w:divBdr>
        </w:div>
        <w:div w:id="1808206687">
          <w:marLeft w:val="0"/>
          <w:marRight w:val="0"/>
          <w:marTop w:val="0"/>
          <w:marBottom w:val="0"/>
          <w:divBdr>
            <w:top w:val="none" w:sz="0" w:space="0" w:color="auto"/>
            <w:left w:val="none" w:sz="0" w:space="0" w:color="auto"/>
            <w:bottom w:val="none" w:sz="0" w:space="0" w:color="auto"/>
            <w:right w:val="none" w:sz="0" w:space="0" w:color="auto"/>
          </w:divBdr>
        </w:div>
        <w:div w:id="1808543653">
          <w:marLeft w:val="0"/>
          <w:marRight w:val="0"/>
          <w:marTop w:val="0"/>
          <w:marBottom w:val="0"/>
          <w:divBdr>
            <w:top w:val="none" w:sz="0" w:space="0" w:color="auto"/>
            <w:left w:val="none" w:sz="0" w:space="0" w:color="auto"/>
            <w:bottom w:val="none" w:sz="0" w:space="0" w:color="auto"/>
            <w:right w:val="none" w:sz="0" w:space="0" w:color="auto"/>
          </w:divBdr>
        </w:div>
        <w:div w:id="1809009599">
          <w:marLeft w:val="0"/>
          <w:marRight w:val="0"/>
          <w:marTop w:val="0"/>
          <w:marBottom w:val="0"/>
          <w:divBdr>
            <w:top w:val="none" w:sz="0" w:space="0" w:color="auto"/>
            <w:left w:val="none" w:sz="0" w:space="0" w:color="auto"/>
            <w:bottom w:val="none" w:sz="0" w:space="0" w:color="auto"/>
            <w:right w:val="none" w:sz="0" w:space="0" w:color="auto"/>
          </w:divBdr>
        </w:div>
        <w:div w:id="1809281507">
          <w:marLeft w:val="0"/>
          <w:marRight w:val="0"/>
          <w:marTop w:val="0"/>
          <w:marBottom w:val="0"/>
          <w:divBdr>
            <w:top w:val="none" w:sz="0" w:space="0" w:color="auto"/>
            <w:left w:val="none" w:sz="0" w:space="0" w:color="auto"/>
            <w:bottom w:val="none" w:sz="0" w:space="0" w:color="auto"/>
            <w:right w:val="none" w:sz="0" w:space="0" w:color="auto"/>
          </w:divBdr>
        </w:div>
        <w:div w:id="1810048640">
          <w:marLeft w:val="0"/>
          <w:marRight w:val="0"/>
          <w:marTop w:val="0"/>
          <w:marBottom w:val="0"/>
          <w:divBdr>
            <w:top w:val="none" w:sz="0" w:space="0" w:color="auto"/>
            <w:left w:val="none" w:sz="0" w:space="0" w:color="auto"/>
            <w:bottom w:val="none" w:sz="0" w:space="0" w:color="auto"/>
            <w:right w:val="none" w:sz="0" w:space="0" w:color="auto"/>
          </w:divBdr>
        </w:div>
        <w:div w:id="1810517430">
          <w:marLeft w:val="0"/>
          <w:marRight w:val="0"/>
          <w:marTop w:val="0"/>
          <w:marBottom w:val="0"/>
          <w:divBdr>
            <w:top w:val="none" w:sz="0" w:space="0" w:color="auto"/>
            <w:left w:val="none" w:sz="0" w:space="0" w:color="auto"/>
            <w:bottom w:val="none" w:sz="0" w:space="0" w:color="auto"/>
            <w:right w:val="none" w:sz="0" w:space="0" w:color="auto"/>
          </w:divBdr>
        </w:div>
        <w:div w:id="1811359610">
          <w:marLeft w:val="0"/>
          <w:marRight w:val="0"/>
          <w:marTop w:val="0"/>
          <w:marBottom w:val="0"/>
          <w:divBdr>
            <w:top w:val="none" w:sz="0" w:space="0" w:color="auto"/>
            <w:left w:val="none" w:sz="0" w:space="0" w:color="auto"/>
            <w:bottom w:val="none" w:sz="0" w:space="0" w:color="auto"/>
            <w:right w:val="none" w:sz="0" w:space="0" w:color="auto"/>
          </w:divBdr>
        </w:div>
        <w:div w:id="1812089598">
          <w:marLeft w:val="0"/>
          <w:marRight w:val="0"/>
          <w:marTop w:val="0"/>
          <w:marBottom w:val="0"/>
          <w:divBdr>
            <w:top w:val="none" w:sz="0" w:space="0" w:color="auto"/>
            <w:left w:val="none" w:sz="0" w:space="0" w:color="auto"/>
            <w:bottom w:val="none" w:sz="0" w:space="0" w:color="auto"/>
            <w:right w:val="none" w:sz="0" w:space="0" w:color="auto"/>
          </w:divBdr>
        </w:div>
        <w:div w:id="1814716883">
          <w:marLeft w:val="0"/>
          <w:marRight w:val="0"/>
          <w:marTop w:val="0"/>
          <w:marBottom w:val="0"/>
          <w:divBdr>
            <w:top w:val="none" w:sz="0" w:space="0" w:color="auto"/>
            <w:left w:val="none" w:sz="0" w:space="0" w:color="auto"/>
            <w:bottom w:val="none" w:sz="0" w:space="0" w:color="auto"/>
            <w:right w:val="none" w:sz="0" w:space="0" w:color="auto"/>
          </w:divBdr>
        </w:div>
        <w:div w:id="1815558825">
          <w:marLeft w:val="0"/>
          <w:marRight w:val="0"/>
          <w:marTop w:val="0"/>
          <w:marBottom w:val="0"/>
          <w:divBdr>
            <w:top w:val="none" w:sz="0" w:space="0" w:color="auto"/>
            <w:left w:val="none" w:sz="0" w:space="0" w:color="auto"/>
            <w:bottom w:val="none" w:sz="0" w:space="0" w:color="auto"/>
            <w:right w:val="none" w:sz="0" w:space="0" w:color="auto"/>
          </w:divBdr>
        </w:div>
        <w:div w:id="1816335864">
          <w:marLeft w:val="0"/>
          <w:marRight w:val="0"/>
          <w:marTop w:val="0"/>
          <w:marBottom w:val="0"/>
          <w:divBdr>
            <w:top w:val="none" w:sz="0" w:space="0" w:color="auto"/>
            <w:left w:val="none" w:sz="0" w:space="0" w:color="auto"/>
            <w:bottom w:val="none" w:sz="0" w:space="0" w:color="auto"/>
            <w:right w:val="none" w:sz="0" w:space="0" w:color="auto"/>
          </w:divBdr>
        </w:div>
        <w:div w:id="1818296803">
          <w:marLeft w:val="0"/>
          <w:marRight w:val="0"/>
          <w:marTop w:val="0"/>
          <w:marBottom w:val="0"/>
          <w:divBdr>
            <w:top w:val="none" w:sz="0" w:space="0" w:color="auto"/>
            <w:left w:val="none" w:sz="0" w:space="0" w:color="auto"/>
            <w:bottom w:val="none" w:sz="0" w:space="0" w:color="auto"/>
            <w:right w:val="none" w:sz="0" w:space="0" w:color="auto"/>
          </w:divBdr>
        </w:div>
        <w:div w:id="1819422808">
          <w:marLeft w:val="0"/>
          <w:marRight w:val="0"/>
          <w:marTop w:val="0"/>
          <w:marBottom w:val="0"/>
          <w:divBdr>
            <w:top w:val="none" w:sz="0" w:space="0" w:color="auto"/>
            <w:left w:val="none" w:sz="0" w:space="0" w:color="auto"/>
            <w:bottom w:val="none" w:sz="0" w:space="0" w:color="auto"/>
            <w:right w:val="none" w:sz="0" w:space="0" w:color="auto"/>
          </w:divBdr>
        </w:div>
        <w:div w:id="1819574181">
          <w:marLeft w:val="0"/>
          <w:marRight w:val="0"/>
          <w:marTop w:val="0"/>
          <w:marBottom w:val="0"/>
          <w:divBdr>
            <w:top w:val="none" w:sz="0" w:space="0" w:color="auto"/>
            <w:left w:val="none" w:sz="0" w:space="0" w:color="auto"/>
            <w:bottom w:val="none" w:sz="0" w:space="0" w:color="auto"/>
            <w:right w:val="none" w:sz="0" w:space="0" w:color="auto"/>
          </w:divBdr>
        </w:div>
        <w:div w:id="1822111174">
          <w:marLeft w:val="0"/>
          <w:marRight w:val="0"/>
          <w:marTop w:val="0"/>
          <w:marBottom w:val="0"/>
          <w:divBdr>
            <w:top w:val="none" w:sz="0" w:space="0" w:color="auto"/>
            <w:left w:val="none" w:sz="0" w:space="0" w:color="auto"/>
            <w:bottom w:val="none" w:sz="0" w:space="0" w:color="auto"/>
            <w:right w:val="none" w:sz="0" w:space="0" w:color="auto"/>
          </w:divBdr>
        </w:div>
        <w:div w:id="1822186095">
          <w:marLeft w:val="0"/>
          <w:marRight w:val="0"/>
          <w:marTop w:val="0"/>
          <w:marBottom w:val="0"/>
          <w:divBdr>
            <w:top w:val="none" w:sz="0" w:space="0" w:color="auto"/>
            <w:left w:val="none" w:sz="0" w:space="0" w:color="auto"/>
            <w:bottom w:val="none" w:sz="0" w:space="0" w:color="auto"/>
            <w:right w:val="none" w:sz="0" w:space="0" w:color="auto"/>
          </w:divBdr>
        </w:div>
        <w:div w:id="1824003608">
          <w:marLeft w:val="0"/>
          <w:marRight w:val="0"/>
          <w:marTop w:val="0"/>
          <w:marBottom w:val="0"/>
          <w:divBdr>
            <w:top w:val="none" w:sz="0" w:space="0" w:color="auto"/>
            <w:left w:val="none" w:sz="0" w:space="0" w:color="auto"/>
            <w:bottom w:val="none" w:sz="0" w:space="0" w:color="auto"/>
            <w:right w:val="none" w:sz="0" w:space="0" w:color="auto"/>
          </w:divBdr>
        </w:div>
        <w:div w:id="1824656944">
          <w:marLeft w:val="0"/>
          <w:marRight w:val="0"/>
          <w:marTop w:val="0"/>
          <w:marBottom w:val="0"/>
          <w:divBdr>
            <w:top w:val="none" w:sz="0" w:space="0" w:color="auto"/>
            <w:left w:val="none" w:sz="0" w:space="0" w:color="auto"/>
            <w:bottom w:val="none" w:sz="0" w:space="0" w:color="auto"/>
            <w:right w:val="none" w:sz="0" w:space="0" w:color="auto"/>
          </w:divBdr>
        </w:div>
        <w:div w:id="1827939740">
          <w:marLeft w:val="0"/>
          <w:marRight w:val="0"/>
          <w:marTop w:val="0"/>
          <w:marBottom w:val="0"/>
          <w:divBdr>
            <w:top w:val="none" w:sz="0" w:space="0" w:color="auto"/>
            <w:left w:val="none" w:sz="0" w:space="0" w:color="auto"/>
            <w:bottom w:val="none" w:sz="0" w:space="0" w:color="auto"/>
            <w:right w:val="none" w:sz="0" w:space="0" w:color="auto"/>
          </w:divBdr>
        </w:div>
        <w:div w:id="1831824928">
          <w:marLeft w:val="0"/>
          <w:marRight w:val="0"/>
          <w:marTop w:val="0"/>
          <w:marBottom w:val="0"/>
          <w:divBdr>
            <w:top w:val="none" w:sz="0" w:space="0" w:color="auto"/>
            <w:left w:val="none" w:sz="0" w:space="0" w:color="auto"/>
            <w:bottom w:val="none" w:sz="0" w:space="0" w:color="auto"/>
            <w:right w:val="none" w:sz="0" w:space="0" w:color="auto"/>
          </w:divBdr>
        </w:div>
        <w:div w:id="1832794939">
          <w:marLeft w:val="0"/>
          <w:marRight w:val="0"/>
          <w:marTop w:val="0"/>
          <w:marBottom w:val="0"/>
          <w:divBdr>
            <w:top w:val="none" w:sz="0" w:space="0" w:color="auto"/>
            <w:left w:val="none" w:sz="0" w:space="0" w:color="auto"/>
            <w:bottom w:val="none" w:sz="0" w:space="0" w:color="auto"/>
            <w:right w:val="none" w:sz="0" w:space="0" w:color="auto"/>
          </w:divBdr>
        </w:div>
        <w:div w:id="1832863634">
          <w:marLeft w:val="0"/>
          <w:marRight w:val="0"/>
          <w:marTop w:val="0"/>
          <w:marBottom w:val="0"/>
          <w:divBdr>
            <w:top w:val="none" w:sz="0" w:space="0" w:color="auto"/>
            <w:left w:val="none" w:sz="0" w:space="0" w:color="auto"/>
            <w:bottom w:val="none" w:sz="0" w:space="0" w:color="auto"/>
            <w:right w:val="none" w:sz="0" w:space="0" w:color="auto"/>
          </w:divBdr>
        </w:div>
        <w:div w:id="1833794504">
          <w:marLeft w:val="0"/>
          <w:marRight w:val="0"/>
          <w:marTop w:val="0"/>
          <w:marBottom w:val="0"/>
          <w:divBdr>
            <w:top w:val="none" w:sz="0" w:space="0" w:color="auto"/>
            <w:left w:val="none" w:sz="0" w:space="0" w:color="auto"/>
            <w:bottom w:val="none" w:sz="0" w:space="0" w:color="auto"/>
            <w:right w:val="none" w:sz="0" w:space="0" w:color="auto"/>
          </w:divBdr>
        </w:div>
        <w:div w:id="1834026483">
          <w:marLeft w:val="0"/>
          <w:marRight w:val="0"/>
          <w:marTop w:val="0"/>
          <w:marBottom w:val="0"/>
          <w:divBdr>
            <w:top w:val="none" w:sz="0" w:space="0" w:color="auto"/>
            <w:left w:val="none" w:sz="0" w:space="0" w:color="auto"/>
            <w:bottom w:val="none" w:sz="0" w:space="0" w:color="auto"/>
            <w:right w:val="none" w:sz="0" w:space="0" w:color="auto"/>
          </w:divBdr>
        </w:div>
        <w:div w:id="1834371116">
          <w:marLeft w:val="0"/>
          <w:marRight w:val="0"/>
          <w:marTop w:val="0"/>
          <w:marBottom w:val="0"/>
          <w:divBdr>
            <w:top w:val="none" w:sz="0" w:space="0" w:color="auto"/>
            <w:left w:val="none" w:sz="0" w:space="0" w:color="auto"/>
            <w:bottom w:val="none" w:sz="0" w:space="0" w:color="auto"/>
            <w:right w:val="none" w:sz="0" w:space="0" w:color="auto"/>
          </w:divBdr>
        </w:div>
        <w:div w:id="1834448263">
          <w:marLeft w:val="0"/>
          <w:marRight w:val="0"/>
          <w:marTop w:val="0"/>
          <w:marBottom w:val="0"/>
          <w:divBdr>
            <w:top w:val="none" w:sz="0" w:space="0" w:color="auto"/>
            <w:left w:val="none" w:sz="0" w:space="0" w:color="auto"/>
            <w:bottom w:val="none" w:sz="0" w:space="0" w:color="auto"/>
            <w:right w:val="none" w:sz="0" w:space="0" w:color="auto"/>
          </w:divBdr>
        </w:div>
        <w:div w:id="1836528811">
          <w:marLeft w:val="0"/>
          <w:marRight w:val="0"/>
          <w:marTop w:val="0"/>
          <w:marBottom w:val="0"/>
          <w:divBdr>
            <w:top w:val="none" w:sz="0" w:space="0" w:color="auto"/>
            <w:left w:val="none" w:sz="0" w:space="0" w:color="auto"/>
            <w:bottom w:val="none" w:sz="0" w:space="0" w:color="auto"/>
            <w:right w:val="none" w:sz="0" w:space="0" w:color="auto"/>
          </w:divBdr>
        </w:div>
        <w:div w:id="1836677515">
          <w:marLeft w:val="0"/>
          <w:marRight w:val="0"/>
          <w:marTop w:val="0"/>
          <w:marBottom w:val="0"/>
          <w:divBdr>
            <w:top w:val="none" w:sz="0" w:space="0" w:color="auto"/>
            <w:left w:val="none" w:sz="0" w:space="0" w:color="auto"/>
            <w:bottom w:val="none" w:sz="0" w:space="0" w:color="auto"/>
            <w:right w:val="none" w:sz="0" w:space="0" w:color="auto"/>
          </w:divBdr>
        </w:div>
        <w:div w:id="1836992980">
          <w:marLeft w:val="0"/>
          <w:marRight w:val="0"/>
          <w:marTop w:val="0"/>
          <w:marBottom w:val="0"/>
          <w:divBdr>
            <w:top w:val="none" w:sz="0" w:space="0" w:color="auto"/>
            <w:left w:val="none" w:sz="0" w:space="0" w:color="auto"/>
            <w:bottom w:val="none" w:sz="0" w:space="0" w:color="auto"/>
            <w:right w:val="none" w:sz="0" w:space="0" w:color="auto"/>
          </w:divBdr>
        </w:div>
        <w:div w:id="1837530861">
          <w:marLeft w:val="0"/>
          <w:marRight w:val="0"/>
          <w:marTop w:val="0"/>
          <w:marBottom w:val="0"/>
          <w:divBdr>
            <w:top w:val="none" w:sz="0" w:space="0" w:color="auto"/>
            <w:left w:val="none" w:sz="0" w:space="0" w:color="auto"/>
            <w:bottom w:val="none" w:sz="0" w:space="0" w:color="auto"/>
            <w:right w:val="none" w:sz="0" w:space="0" w:color="auto"/>
          </w:divBdr>
        </w:div>
        <w:div w:id="1843081705">
          <w:marLeft w:val="0"/>
          <w:marRight w:val="0"/>
          <w:marTop w:val="0"/>
          <w:marBottom w:val="0"/>
          <w:divBdr>
            <w:top w:val="none" w:sz="0" w:space="0" w:color="auto"/>
            <w:left w:val="none" w:sz="0" w:space="0" w:color="auto"/>
            <w:bottom w:val="none" w:sz="0" w:space="0" w:color="auto"/>
            <w:right w:val="none" w:sz="0" w:space="0" w:color="auto"/>
          </w:divBdr>
        </w:div>
        <w:div w:id="1843665841">
          <w:marLeft w:val="0"/>
          <w:marRight w:val="0"/>
          <w:marTop w:val="0"/>
          <w:marBottom w:val="0"/>
          <w:divBdr>
            <w:top w:val="none" w:sz="0" w:space="0" w:color="auto"/>
            <w:left w:val="none" w:sz="0" w:space="0" w:color="auto"/>
            <w:bottom w:val="none" w:sz="0" w:space="0" w:color="auto"/>
            <w:right w:val="none" w:sz="0" w:space="0" w:color="auto"/>
          </w:divBdr>
        </w:div>
        <w:div w:id="1844002905">
          <w:marLeft w:val="0"/>
          <w:marRight w:val="0"/>
          <w:marTop w:val="0"/>
          <w:marBottom w:val="0"/>
          <w:divBdr>
            <w:top w:val="none" w:sz="0" w:space="0" w:color="auto"/>
            <w:left w:val="none" w:sz="0" w:space="0" w:color="auto"/>
            <w:bottom w:val="none" w:sz="0" w:space="0" w:color="auto"/>
            <w:right w:val="none" w:sz="0" w:space="0" w:color="auto"/>
          </w:divBdr>
        </w:div>
        <w:div w:id="1844054826">
          <w:marLeft w:val="0"/>
          <w:marRight w:val="0"/>
          <w:marTop w:val="0"/>
          <w:marBottom w:val="0"/>
          <w:divBdr>
            <w:top w:val="none" w:sz="0" w:space="0" w:color="auto"/>
            <w:left w:val="none" w:sz="0" w:space="0" w:color="auto"/>
            <w:bottom w:val="none" w:sz="0" w:space="0" w:color="auto"/>
            <w:right w:val="none" w:sz="0" w:space="0" w:color="auto"/>
          </w:divBdr>
        </w:div>
        <w:div w:id="1844662106">
          <w:marLeft w:val="0"/>
          <w:marRight w:val="0"/>
          <w:marTop w:val="0"/>
          <w:marBottom w:val="0"/>
          <w:divBdr>
            <w:top w:val="none" w:sz="0" w:space="0" w:color="auto"/>
            <w:left w:val="none" w:sz="0" w:space="0" w:color="auto"/>
            <w:bottom w:val="none" w:sz="0" w:space="0" w:color="auto"/>
            <w:right w:val="none" w:sz="0" w:space="0" w:color="auto"/>
          </w:divBdr>
        </w:div>
        <w:div w:id="1855415096">
          <w:marLeft w:val="0"/>
          <w:marRight w:val="0"/>
          <w:marTop w:val="0"/>
          <w:marBottom w:val="0"/>
          <w:divBdr>
            <w:top w:val="none" w:sz="0" w:space="0" w:color="auto"/>
            <w:left w:val="none" w:sz="0" w:space="0" w:color="auto"/>
            <w:bottom w:val="none" w:sz="0" w:space="0" w:color="auto"/>
            <w:right w:val="none" w:sz="0" w:space="0" w:color="auto"/>
          </w:divBdr>
        </w:div>
        <w:div w:id="1855611323">
          <w:marLeft w:val="0"/>
          <w:marRight w:val="0"/>
          <w:marTop w:val="0"/>
          <w:marBottom w:val="0"/>
          <w:divBdr>
            <w:top w:val="none" w:sz="0" w:space="0" w:color="auto"/>
            <w:left w:val="none" w:sz="0" w:space="0" w:color="auto"/>
            <w:bottom w:val="none" w:sz="0" w:space="0" w:color="auto"/>
            <w:right w:val="none" w:sz="0" w:space="0" w:color="auto"/>
          </w:divBdr>
        </w:div>
        <w:div w:id="1858695897">
          <w:marLeft w:val="0"/>
          <w:marRight w:val="0"/>
          <w:marTop w:val="0"/>
          <w:marBottom w:val="0"/>
          <w:divBdr>
            <w:top w:val="none" w:sz="0" w:space="0" w:color="auto"/>
            <w:left w:val="none" w:sz="0" w:space="0" w:color="auto"/>
            <w:bottom w:val="none" w:sz="0" w:space="0" w:color="auto"/>
            <w:right w:val="none" w:sz="0" w:space="0" w:color="auto"/>
          </w:divBdr>
          <w:divsChild>
            <w:div w:id="5524195">
              <w:marLeft w:val="0"/>
              <w:marRight w:val="0"/>
              <w:marTop w:val="0"/>
              <w:marBottom w:val="0"/>
              <w:divBdr>
                <w:top w:val="none" w:sz="0" w:space="0" w:color="auto"/>
                <w:left w:val="none" w:sz="0" w:space="0" w:color="auto"/>
                <w:bottom w:val="none" w:sz="0" w:space="0" w:color="auto"/>
                <w:right w:val="none" w:sz="0" w:space="0" w:color="auto"/>
              </w:divBdr>
            </w:div>
            <w:div w:id="35400466">
              <w:marLeft w:val="0"/>
              <w:marRight w:val="0"/>
              <w:marTop w:val="0"/>
              <w:marBottom w:val="0"/>
              <w:divBdr>
                <w:top w:val="none" w:sz="0" w:space="0" w:color="auto"/>
                <w:left w:val="none" w:sz="0" w:space="0" w:color="auto"/>
                <w:bottom w:val="none" w:sz="0" w:space="0" w:color="auto"/>
                <w:right w:val="none" w:sz="0" w:space="0" w:color="auto"/>
              </w:divBdr>
            </w:div>
            <w:div w:id="71512559">
              <w:marLeft w:val="0"/>
              <w:marRight w:val="0"/>
              <w:marTop w:val="0"/>
              <w:marBottom w:val="0"/>
              <w:divBdr>
                <w:top w:val="none" w:sz="0" w:space="0" w:color="auto"/>
                <w:left w:val="none" w:sz="0" w:space="0" w:color="auto"/>
                <w:bottom w:val="none" w:sz="0" w:space="0" w:color="auto"/>
                <w:right w:val="none" w:sz="0" w:space="0" w:color="auto"/>
              </w:divBdr>
            </w:div>
            <w:div w:id="332338696">
              <w:marLeft w:val="0"/>
              <w:marRight w:val="0"/>
              <w:marTop w:val="0"/>
              <w:marBottom w:val="0"/>
              <w:divBdr>
                <w:top w:val="none" w:sz="0" w:space="0" w:color="auto"/>
                <w:left w:val="none" w:sz="0" w:space="0" w:color="auto"/>
                <w:bottom w:val="none" w:sz="0" w:space="0" w:color="auto"/>
                <w:right w:val="none" w:sz="0" w:space="0" w:color="auto"/>
              </w:divBdr>
            </w:div>
            <w:div w:id="605308760">
              <w:marLeft w:val="0"/>
              <w:marRight w:val="0"/>
              <w:marTop w:val="0"/>
              <w:marBottom w:val="0"/>
              <w:divBdr>
                <w:top w:val="none" w:sz="0" w:space="0" w:color="auto"/>
                <w:left w:val="none" w:sz="0" w:space="0" w:color="auto"/>
                <w:bottom w:val="none" w:sz="0" w:space="0" w:color="auto"/>
                <w:right w:val="none" w:sz="0" w:space="0" w:color="auto"/>
              </w:divBdr>
            </w:div>
            <w:div w:id="622617273">
              <w:marLeft w:val="0"/>
              <w:marRight w:val="0"/>
              <w:marTop w:val="0"/>
              <w:marBottom w:val="0"/>
              <w:divBdr>
                <w:top w:val="none" w:sz="0" w:space="0" w:color="auto"/>
                <w:left w:val="none" w:sz="0" w:space="0" w:color="auto"/>
                <w:bottom w:val="none" w:sz="0" w:space="0" w:color="auto"/>
                <w:right w:val="none" w:sz="0" w:space="0" w:color="auto"/>
              </w:divBdr>
              <w:divsChild>
                <w:div w:id="321743577">
                  <w:marLeft w:val="-75"/>
                  <w:marRight w:val="0"/>
                  <w:marTop w:val="30"/>
                  <w:marBottom w:val="30"/>
                  <w:divBdr>
                    <w:top w:val="none" w:sz="0" w:space="0" w:color="auto"/>
                    <w:left w:val="none" w:sz="0" w:space="0" w:color="auto"/>
                    <w:bottom w:val="none" w:sz="0" w:space="0" w:color="auto"/>
                    <w:right w:val="none" w:sz="0" w:space="0" w:color="auto"/>
                  </w:divBdr>
                  <w:divsChild>
                    <w:div w:id="2897708">
                      <w:marLeft w:val="0"/>
                      <w:marRight w:val="0"/>
                      <w:marTop w:val="0"/>
                      <w:marBottom w:val="0"/>
                      <w:divBdr>
                        <w:top w:val="none" w:sz="0" w:space="0" w:color="auto"/>
                        <w:left w:val="none" w:sz="0" w:space="0" w:color="auto"/>
                        <w:bottom w:val="none" w:sz="0" w:space="0" w:color="auto"/>
                        <w:right w:val="none" w:sz="0" w:space="0" w:color="auto"/>
                      </w:divBdr>
                      <w:divsChild>
                        <w:div w:id="207036421">
                          <w:marLeft w:val="0"/>
                          <w:marRight w:val="0"/>
                          <w:marTop w:val="0"/>
                          <w:marBottom w:val="0"/>
                          <w:divBdr>
                            <w:top w:val="none" w:sz="0" w:space="0" w:color="auto"/>
                            <w:left w:val="none" w:sz="0" w:space="0" w:color="auto"/>
                            <w:bottom w:val="none" w:sz="0" w:space="0" w:color="auto"/>
                            <w:right w:val="none" w:sz="0" w:space="0" w:color="auto"/>
                          </w:divBdr>
                        </w:div>
                      </w:divsChild>
                    </w:div>
                    <w:div w:id="7562615">
                      <w:marLeft w:val="0"/>
                      <w:marRight w:val="0"/>
                      <w:marTop w:val="0"/>
                      <w:marBottom w:val="0"/>
                      <w:divBdr>
                        <w:top w:val="none" w:sz="0" w:space="0" w:color="auto"/>
                        <w:left w:val="none" w:sz="0" w:space="0" w:color="auto"/>
                        <w:bottom w:val="none" w:sz="0" w:space="0" w:color="auto"/>
                        <w:right w:val="none" w:sz="0" w:space="0" w:color="auto"/>
                      </w:divBdr>
                      <w:divsChild>
                        <w:div w:id="1580604198">
                          <w:marLeft w:val="0"/>
                          <w:marRight w:val="0"/>
                          <w:marTop w:val="0"/>
                          <w:marBottom w:val="0"/>
                          <w:divBdr>
                            <w:top w:val="none" w:sz="0" w:space="0" w:color="auto"/>
                            <w:left w:val="none" w:sz="0" w:space="0" w:color="auto"/>
                            <w:bottom w:val="none" w:sz="0" w:space="0" w:color="auto"/>
                            <w:right w:val="none" w:sz="0" w:space="0" w:color="auto"/>
                          </w:divBdr>
                        </w:div>
                      </w:divsChild>
                    </w:div>
                    <w:div w:id="10841801">
                      <w:marLeft w:val="0"/>
                      <w:marRight w:val="0"/>
                      <w:marTop w:val="0"/>
                      <w:marBottom w:val="0"/>
                      <w:divBdr>
                        <w:top w:val="none" w:sz="0" w:space="0" w:color="auto"/>
                        <w:left w:val="none" w:sz="0" w:space="0" w:color="auto"/>
                        <w:bottom w:val="none" w:sz="0" w:space="0" w:color="auto"/>
                        <w:right w:val="none" w:sz="0" w:space="0" w:color="auto"/>
                      </w:divBdr>
                      <w:divsChild>
                        <w:div w:id="1228608150">
                          <w:marLeft w:val="0"/>
                          <w:marRight w:val="0"/>
                          <w:marTop w:val="0"/>
                          <w:marBottom w:val="0"/>
                          <w:divBdr>
                            <w:top w:val="none" w:sz="0" w:space="0" w:color="auto"/>
                            <w:left w:val="none" w:sz="0" w:space="0" w:color="auto"/>
                            <w:bottom w:val="none" w:sz="0" w:space="0" w:color="auto"/>
                            <w:right w:val="none" w:sz="0" w:space="0" w:color="auto"/>
                          </w:divBdr>
                        </w:div>
                      </w:divsChild>
                    </w:div>
                    <w:div w:id="22363483">
                      <w:marLeft w:val="0"/>
                      <w:marRight w:val="0"/>
                      <w:marTop w:val="0"/>
                      <w:marBottom w:val="0"/>
                      <w:divBdr>
                        <w:top w:val="none" w:sz="0" w:space="0" w:color="auto"/>
                        <w:left w:val="none" w:sz="0" w:space="0" w:color="auto"/>
                        <w:bottom w:val="none" w:sz="0" w:space="0" w:color="auto"/>
                        <w:right w:val="none" w:sz="0" w:space="0" w:color="auto"/>
                      </w:divBdr>
                      <w:divsChild>
                        <w:div w:id="900596009">
                          <w:marLeft w:val="0"/>
                          <w:marRight w:val="0"/>
                          <w:marTop w:val="0"/>
                          <w:marBottom w:val="0"/>
                          <w:divBdr>
                            <w:top w:val="none" w:sz="0" w:space="0" w:color="auto"/>
                            <w:left w:val="none" w:sz="0" w:space="0" w:color="auto"/>
                            <w:bottom w:val="none" w:sz="0" w:space="0" w:color="auto"/>
                            <w:right w:val="none" w:sz="0" w:space="0" w:color="auto"/>
                          </w:divBdr>
                        </w:div>
                      </w:divsChild>
                    </w:div>
                    <w:div w:id="26949867">
                      <w:marLeft w:val="0"/>
                      <w:marRight w:val="0"/>
                      <w:marTop w:val="0"/>
                      <w:marBottom w:val="0"/>
                      <w:divBdr>
                        <w:top w:val="none" w:sz="0" w:space="0" w:color="auto"/>
                        <w:left w:val="none" w:sz="0" w:space="0" w:color="auto"/>
                        <w:bottom w:val="none" w:sz="0" w:space="0" w:color="auto"/>
                        <w:right w:val="none" w:sz="0" w:space="0" w:color="auto"/>
                      </w:divBdr>
                      <w:divsChild>
                        <w:div w:id="1845365167">
                          <w:marLeft w:val="0"/>
                          <w:marRight w:val="0"/>
                          <w:marTop w:val="0"/>
                          <w:marBottom w:val="0"/>
                          <w:divBdr>
                            <w:top w:val="none" w:sz="0" w:space="0" w:color="auto"/>
                            <w:left w:val="none" w:sz="0" w:space="0" w:color="auto"/>
                            <w:bottom w:val="none" w:sz="0" w:space="0" w:color="auto"/>
                            <w:right w:val="none" w:sz="0" w:space="0" w:color="auto"/>
                          </w:divBdr>
                        </w:div>
                      </w:divsChild>
                    </w:div>
                    <w:div w:id="46340042">
                      <w:marLeft w:val="0"/>
                      <w:marRight w:val="0"/>
                      <w:marTop w:val="0"/>
                      <w:marBottom w:val="0"/>
                      <w:divBdr>
                        <w:top w:val="none" w:sz="0" w:space="0" w:color="auto"/>
                        <w:left w:val="none" w:sz="0" w:space="0" w:color="auto"/>
                        <w:bottom w:val="none" w:sz="0" w:space="0" w:color="auto"/>
                        <w:right w:val="none" w:sz="0" w:space="0" w:color="auto"/>
                      </w:divBdr>
                      <w:divsChild>
                        <w:div w:id="1171723883">
                          <w:marLeft w:val="0"/>
                          <w:marRight w:val="0"/>
                          <w:marTop w:val="0"/>
                          <w:marBottom w:val="0"/>
                          <w:divBdr>
                            <w:top w:val="none" w:sz="0" w:space="0" w:color="auto"/>
                            <w:left w:val="none" w:sz="0" w:space="0" w:color="auto"/>
                            <w:bottom w:val="none" w:sz="0" w:space="0" w:color="auto"/>
                            <w:right w:val="none" w:sz="0" w:space="0" w:color="auto"/>
                          </w:divBdr>
                        </w:div>
                      </w:divsChild>
                    </w:div>
                    <w:div w:id="59518951">
                      <w:marLeft w:val="0"/>
                      <w:marRight w:val="0"/>
                      <w:marTop w:val="0"/>
                      <w:marBottom w:val="0"/>
                      <w:divBdr>
                        <w:top w:val="none" w:sz="0" w:space="0" w:color="auto"/>
                        <w:left w:val="none" w:sz="0" w:space="0" w:color="auto"/>
                        <w:bottom w:val="none" w:sz="0" w:space="0" w:color="auto"/>
                        <w:right w:val="none" w:sz="0" w:space="0" w:color="auto"/>
                      </w:divBdr>
                      <w:divsChild>
                        <w:div w:id="489559071">
                          <w:marLeft w:val="0"/>
                          <w:marRight w:val="0"/>
                          <w:marTop w:val="0"/>
                          <w:marBottom w:val="0"/>
                          <w:divBdr>
                            <w:top w:val="none" w:sz="0" w:space="0" w:color="auto"/>
                            <w:left w:val="none" w:sz="0" w:space="0" w:color="auto"/>
                            <w:bottom w:val="none" w:sz="0" w:space="0" w:color="auto"/>
                            <w:right w:val="none" w:sz="0" w:space="0" w:color="auto"/>
                          </w:divBdr>
                        </w:div>
                      </w:divsChild>
                    </w:div>
                    <w:div w:id="81881418">
                      <w:marLeft w:val="0"/>
                      <w:marRight w:val="0"/>
                      <w:marTop w:val="0"/>
                      <w:marBottom w:val="0"/>
                      <w:divBdr>
                        <w:top w:val="none" w:sz="0" w:space="0" w:color="auto"/>
                        <w:left w:val="none" w:sz="0" w:space="0" w:color="auto"/>
                        <w:bottom w:val="none" w:sz="0" w:space="0" w:color="auto"/>
                        <w:right w:val="none" w:sz="0" w:space="0" w:color="auto"/>
                      </w:divBdr>
                      <w:divsChild>
                        <w:div w:id="872957513">
                          <w:marLeft w:val="0"/>
                          <w:marRight w:val="0"/>
                          <w:marTop w:val="0"/>
                          <w:marBottom w:val="0"/>
                          <w:divBdr>
                            <w:top w:val="none" w:sz="0" w:space="0" w:color="auto"/>
                            <w:left w:val="none" w:sz="0" w:space="0" w:color="auto"/>
                            <w:bottom w:val="none" w:sz="0" w:space="0" w:color="auto"/>
                            <w:right w:val="none" w:sz="0" w:space="0" w:color="auto"/>
                          </w:divBdr>
                        </w:div>
                      </w:divsChild>
                    </w:div>
                    <w:div w:id="87121512">
                      <w:marLeft w:val="0"/>
                      <w:marRight w:val="0"/>
                      <w:marTop w:val="0"/>
                      <w:marBottom w:val="0"/>
                      <w:divBdr>
                        <w:top w:val="none" w:sz="0" w:space="0" w:color="auto"/>
                        <w:left w:val="none" w:sz="0" w:space="0" w:color="auto"/>
                        <w:bottom w:val="none" w:sz="0" w:space="0" w:color="auto"/>
                        <w:right w:val="none" w:sz="0" w:space="0" w:color="auto"/>
                      </w:divBdr>
                      <w:divsChild>
                        <w:div w:id="1514228561">
                          <w:marLeft w:val="0"/>
                          <w:marRight w:val="0"/>
                          <w:marTop w:val="0"/>
                          <w:marBottom w:val="0"/>
                          <w:divBdr>
                            <w:top w:val="none" w:sz="0" w:space="0" w:color="auto"/>
                            <w:left w:val="none" w:sz="0" w:space="0" w:color="auto"/>
                            <w:bottom w:val="none" w:sz="0" w:space="0" w:color="auto"/>
                            <w:right w:val="none" w:sz="0" w:space="0" w:color="auto"/>
                          </w:divBdr>
                        </w:div>
                      </w:divsChild>
                    </w:div>
                    <w:div w:id="117456282">
                      <w:marLeft w:val="0"/>
                      <w:marRight w:val="0"/>
                      <w:marTop w:val="0"/>
                      <w:marBottom w:val="0"/>
                      <w:divBdr>
                        <w:top w:val="none" w:sz="0" w:space="0" w:color="auto"/>
                        <w:left w:val="none" w:sz="0" w:space="0" w:color="auto"/>
                        <w:bottom w:val="none" w:sz="0" w:space="0" w:color="auto"/>
                        <w:right w:val="none" w:sz="0" w:space="0" w:color="auto"/>
                      </w:divBdr>
                      <w:divsChild>
                        <w:div w:id="2026636345">
                          <w:marLeft w:val="0"/>
                          <w:marRight w:val="0"/>
                          <w:marTop w:val="0"/>
                          <w:marBottom w:val="0"/>
                          <w:divBdr>
                            <w:top w:val="none" w:sz="0" w:space="0" w:color="auto"/>
                            <w:left w:val="none" w:sz="0" w:space="0" w:color="auto"/>
                            <w:bottom w:val="none" w:sz="0" w:space="0" w:color="auto"/>
                            <w:right w:val="none" w:sz="0" w:space="0" w:color="auto"/>
                          </w:divBdr>
                        </w:div>
                      </w:divsChild>
                    </w:div>
                    <w:div w:id="125896168">
                      <w:marLeft w:val="0"/>
                      <w:marRight w:val="0"/>
                      <w:marTop w:val="0"/>
                      <w:marBottom w:val="0"/>
                      <w:divBdr>
                        <w:top w:val="none" w:sz="0" w:space="0" w:color="auto"/>
                        <w:left w:val="none" w:sz="0" w:space="0" w:color="auto"/>
                        <w:bottom w:val="none" w:sz="0" w:space="0" w:color="auto"/>
                        <w:right w:val="none" w:sz="0" w:space="0" w:color="auto"/>
                      </w:divBdr>
                      <w:divsChild>
                        <w:div w:id="1000431916">
                          <w:marLeft w:val="0"/>
                          <w:marRight w:val="0"/>
                          <w:marTop w:val="0"/>
                          <w:marBottom w:val="0"/>
                          <w:divBdr>
                            <w:top w:val="none" w:sz="0" w:space="0" w:color="auto"/>
                            <w:left w:val="none" w:sz="0" w:space="0" w:color="auto"/>
                            <w:bottom w:val="none" w:sz="0" w:space="0" w:color="auto"/>
                            <w:right w:val="none" w:sz="0" w:space="0" w:color="auto"/>
                          </w:divBdr>
                        </w:div>
                      </w:divsChild>
                    </w:div>
                    <w:div w:id="152454686">
                      <w:marLeft w:val="0"/>
                      <w:marRight w:val="0"/>
                      <w:marTop w:val="0"/>
                      <w:marBottom w:val="0"/>
                      <w:divBdr>
                        <w:top w:val="none" w:sz="0" w:space="0" w:color="auto"/>
                        <w:left w:val="none" w:sz="0" w:space="0" w:color="auto"/>
                        <w:bottom w:val="none" w:sz="0" w:space="0" w:color="auto"/>
                        <w:right w:val="none" w:sz="0" w:space="0" w:color="auto"/>
                      </w:divBdr>
                      <w:divsChild>
                        <w:div w:id="1785806769">
                          <w:marLeft w:val="0"/>
                          <w:marRight w:val="0"/>
                          <w:marTop w:val="0"/>
                          <w:marBottom w:val="0"/>
                          <w:divBdr>
                            <w:top w:val="none" w:sz="0" w:space="0" w:color="auto"/>
                            <w:left w:val="none" w:sz="0" w:space="0" w:color="auto"/>
                            <w:bottom w:val="none" w:sz="0" w:space="0" w:color="auto"/>
                            <w:right w:val="none" w:sz="0" w:space="0" w:color="auto"/>
                          </w:divBdr>
                        </w:div>
                      </w:divsChild>
                    </w:div>
                    <w:div w:id="181483312">
                      <w:marLeft w:val="0"/>
                      <w:marRight w:val="0"/>
                      <w:marTop w:val="0"/>
                      <w:marBottom w:val="0"/>
                      <w:divBdr>
                        <w:top w:val="none" w:sz="0" w:space="0" w:color="auto"/>
                        <w:left w:val="none" w:sz="0" w:space="0" w:color="auto"/>
                        <w:bottom w:val="none" w:sz="0" w:space="0" w:color="auto"/>
                        <w:right w:val="none" w:sz="0" w:space="0" w:color="auto"/>
                      </w:divBdr>
                      <w:divsChild>
                        <w:div w:id="208152852">
                          <w:marLeft w:val="0"/>
                          <w:marRight w:val="0"/>
                          <w:marTop w:val="0"/>
                          <w:marBottom w:val="0"/>
                          <w:divBdr>
                            <w:top w:val="none" w:sz="0" w:space="0" w:color="auto"/>
                            <w:left w:val="none" w:sz="0" w:space="0" w:color="auto"/>
                            <w:bottom w:val="none" w:sz="0" w:space="0" w:color="auto"/>
                            <w:right w:val="none" w:sz="0" w:space="0" w:color="auto"/>
                          </w:divBdr>
                        </w:div>
                      </w:divsChild>
                    </w:div>
                    <w:div w:id="230776486">
                      <w:marLeft w:val="0"/>
                      <w:marRight w:val="0"/>
                      <w:marTop w:val="0"/>
                      <w:marBottom w:val="0"/>
                      <w:divBdr>
                        <w:top w:val="none" w:sz="0" w:space="0" w:color="auto"/>
                        <w:left w:val="none" w:sz="0" w:space="0" w:color="auto"/>
                        <w:bottom w:val="none" w:sz="0" w:space="0" w:color="auto"/>
                        <w:right w:val="none" w:sz="0" w:space="0" w:color="auto"/>
                      </w:divBdr>
                      <w:divsChild>
                        <w:div w:id="1284456386">
                          <w:marLeft w:val="0"/>
                          <w:marRight w:val="0"/>
                          <w:marTop w:val="0"/>
                          <w:marBottom w:val="0"/>
                          <w:divBdr>
                            <w:top w:val="none" w:sz="0" w:space="0" w:color="auto"/>
                            <w:left w:val="none" w:sz="0" w:space="0" w:color="auto"/>
                            <w:bottom w:val="none" w:sz="0" w:space="0" w:color="auto"/>
                            <w:right w:val="none" w:sz="0" w:space="0" w:color="auto"/>
                          </w:divBdr>
                        </w:div>
                      </w:divsChild>
                    </w:div>
                    <w:div w:id="283460576">
                      <w:marLeft w:val="0"/>
                      <w:marRight w:val="0"/>
                      <w:marTop w:val="0"/>
                      <w:marBottom w:val="0"/>
                      <w:divBdr>
                        <w:top w:val="none" w:sz="0" w:space="0" w:color="auto"/>
                        <w:left w:val="none" w:sz="0" w:space="0" w:color="auto"/>
                        <w:bottom w:val="none" w:sz="0" w:space="0" w:color="auto"/>
                        <w:right w:val="none" w:sz="0" w:space="0" w:color="auto"/>
                      </w:divBdr>
                      <w:divsChild>
                        <w:div w:id="1919442938">
                          <w:marLeft w:val="0"/>
                          <w:marRight w:val="0"/>
                          <w:marTop w:val="0"/>
                          <w:marBottom w:val="0"/>
                          <w:divBdr>
                            <w:top w:val="none" w:sz="0" w:space="0" w:color="auto"/>
                            <w:left w:val="none" w:sz="0" w:space="0" w:color="auto"/>
                            <w:bottom w:val="none" w:sz="0" w:space="0" w:color="auto"/>
                            <w:right w:val="none" w:sz="0" w:space="0" w:color="auto"/>
                          </w:divBdr>
                        </w:div>
                      </w:divsChild>
                    </w:div>
                    <w:div w:id="301078482">
                      <w:marLeft w:val="0"/>
                      <w:marRight w:val="0"/>
                      <w:marTop w:val="0"/>
                      <w:marBottom w:val="0"/>
                      <w:divBdr>
                        <w:top w:val="none" w:sz="0" w:space="0" w:color="auto"/>
                        <w:left w:val="none" w:sz="0" w:space="0" w:color="auto"/>
                        <w:bottom w:val="none" w:sz="0" w:space="0" w:color="auto"/>
                        <w:right w:val="none" w:sz="0" w:space="0" w:color="auto"/>
                      </w:divBdr>
                      <w:divsChild>
                        <w:div w:id="1071611353">
                          <w:marLeft w:val="0"/>
                          <w:marRight w:val="0"/>
                          <w:marTop w:val="0"/>
                          <w:marBottom w:val="0"/>
                          <w:divBdr>
                            <w:top w:val="none" w:sz="0" w:space="0" w:color="auto"/>
                            <w:left w:val="none" w:sz="0" w:space="0" w:color="auto"/>
                            <w:bottom w:val="none" w:sz="0" w:space="0" w:color="auto"/>
                            <w:right w:val="none" w:sz="0" w:space="0" w:color="auto"/>
                          </w:divBdr>
                        </w:div>
                      </w:divsChild>
                    </w:div>
                    <w:div w:id="311449562">
                      <w:marLeft w:val="0"/>
                      <w:marRight w:val="0"/>
                      <w:marTop w:val="0"/>
                      <w:marBottom w:val="0"/>
                      <w:divBdr>
                        <w:top w:val="none" w:sz="0" w:space="0" w:color="auto"/>
                        <w:left w:val="none" w:sz="0" w:space="0" w:color="auto"/>
                        <w:bottom w:val="none" w:sz="0" w:space="0" w:color="auto"/>
                        <w:right w:val="none" w:sz="0" w:space="0" w:color="auto"/>
                      </w:divBdr>
                      <w:divsChild>
                        <w:div w:id="2060976772">
                          <w:marLeft w:val="0"/>
                          <w:marRight w:val="0"/>
                          <w:marTop w:val="0"/>
                          <w:marBottom w:val="0"/>
                          <w:divBdr>
                            <w:top w:val="none" w:sz="0" w:space="0" w:color="auto"/>
                            <w:left w:val="none" w:sz="0" w:space="0" w:color="auto"/>
                            <w:bottom w:val="none" w:sz="0" w:space="0" w:color="auto"/>
                            <w:right w:val="none" w:sz="0" w:space="0" w:color="auto"/>
                          </w:divBdr>
                        </w:div>
                      </w:divsChild>
                    </w:div>
                    <w:div w:id="312686088">
                      <w:marLeft w:val="0"/>
                      <w:marRight w:val="0"/>
                      <w:marTop w:val="0"/>
                      <w:marBottom w:val="0"/>
                      <w:divBdr>
                        <w:top w:val="none" w:sz="0" w:space="0" w:color="auto"/>
                        <w:left w:val="none" w:sz="0" w:space="0" w:color="auto"/>
                        <w:bottom w:val="none" w:sz="0" w:space="0" w:color="auto"/>
                        <w:right w:val="none" w:sz="0" w:space="0" w:color="auto"/>
                      </w:divBdr>
                      <w:divsChild>
                        <w:div w:id="638535842">
                          <w:marLeft w:val="0"/>
                          <w:marRight w:val="0"/>
                          <w:marTop w:val="0"/>
                          <w:marBottom w:val="0"/>
                          <w:divBdr>
                            <w:top w:val="none" w:sz="0" w:space="0" w:color="auto"/>
                            <w:left w:val="none" w:sz="0" w:space="0" w:color="auto"/>
                            <w:bottom w:val="none" w:sz="0" w:space="0" w:color="auto"/>
                            <w:right w:val="none" w:sz="0" w:space="0" w:color="auto"/>
                          </w:divBdr>
                        </w:div>
                      </w:divsChild>
                    </w:div>
                    <w:div w:id="312947698">
                      <w:marLeft w:val="0"/>
                      <w:marRight w:val="0"/>
                      <w:marTop w:val="0"/>
                      <w:marBottom w:val="0"/>
                      <w:divBdr>
                        <w:top w:val="none" w:sz="0" w:space="0" w:color="auto"/>
                        <w:left w:val="none" w:sz="0" w:space="0" w:color="auto"/>
                        <w:bottom w:val="none" w:sz="0" w:space="0" w:color="auto"/>
                        <w:right w:val="none" w:sz="0" w:space="0" w:color="auto"/>
                      </w:divBdr>
                      <w:divsChild>
                        <w:div w:id="1053886565">
                          <w:marLeft w:val="0"/>
                          <w:marRight w:val="0"/>
                          <w:marTop w:val="0"/>
                          <w:marBottom w:val="0"/>
                          <w:divBdr>
                            <w:top w:val="none" w:sz="0" w:space="0" w:color="auto"/>
                            <w:left w:val="none" w:sz="0" w:space="0" w:color="auto"/>
                            <w:bottom w:val="none" w:sz="0" w:space="0" w:color="auto"/>
                            <w:right w:val="none" w:sz="0" w:space="0" w:color="auto"/>
                          </w:divBdr>
                        </w:div>
                      </w:divsChild>
                    </w:div>
                    <w:div w:id="345448907">
                      <w:marLeft w:val="0"/>
                      <w:marRight w:val="0"/>
                      <w:marTop w:val="0"/>
                      <w:marBottom w:val="0"/>
                      <w:divBdr>
                        <w:top w:val="none" w:sz="0" w:space="0" w:color="auto"/>
                        <w:left w:val="none" w:sz="0" w:space="0" w:color="auto"/>
                        <w:bottom w:val="none" w:sz="0" w:space="0" w:color="auto"/>
                        <w:right w:val="none" w:sz="0" w:space="0" w:color="auto"/>
                      </w:divBdr>
                      <w:divsChild>
                        <w:div w:id="293291717">
                          <w:marLeft w:val="0"/>
                          <w:marRight w:val="0"/>
                          <w:marTop w:val="0"/>
                          <w:marBottom w:val="0"/>
                          <w:divBdr>
                            <w:top w:val="none" w:sz="0" w:space="0" w:color="auto"/>
                            <w:left w:val="none" w:sz="0" w:space="0" w:color="auto"/>
                            <w:bottom w:val="none" w:sz="0" w:space="0" w:color="auto"/>
                            <w:right w:val="none" w:sz="0" w:space="0" w:color="auto"/>
                          </w:divBdr>
                        </w:div>
                      </w:divsChild>
                    </w:div>
                    <w:div w:id="367875213">
                      <w:marLeft w:val="0"/>
                      <w:marRight w:val="0"/>
                      <w:marTop w:val="0"/>
                      <w:marBottom w:val="0"/>
                      <w:divBdr>
                        <w:top w:val="none" w:sz="0" w:space="0" w:color="auto"/>
                        <w:left w:val="none" w:sz="0" w:space="0" w:color="auto"/>
                        <w:bottom w:val="none" w:sz="0" w:space="0" w:color="auto"/>
                        <w:right w:val="none" w:sz="0" w:space="0" w:color="auto"/>
                      </w:divBdr>
                      <w:divsChild>
                        <w:div w:id="1149055837">
                          <w:marLeft w:val="0"/>
                          <w:marRight w:val="0"/>
                          <w:marTop w:val="0"/>
                          <w:marBottom w:val="0"/>
                          <w:divBdr>
                            <w:top w:val="none" w:sz="0" w:space="0" w:color="auto"/>
                            <w:left w:val="none" w:sz="0" w:space="0" w:color="auto"/>
                            <w:bottom w:val="none" w:sz="0" w:space="0" w:color="auto"/>
                            <w:right w:val="none" w:sz="0" w:space="0" w:color="auto"/>
                          </w:divBdr>
                        </w:div>
                      </w:divsChild>
                    </w:div>
                    <w:div w:id="387191483">
                      <w:marLeft w:val="0"/>
                      <w:marRight w:val="0"/>
                      <w:marTop w:val="0"/>
                      <w:marBottom w:val="0"/>
                      <w:divBdr>
                        <w:top w:val="none" w:sz="0" w:space="0" w:color="auto"/>
                        <w:left w:val="none" w:sz="0" w:space="0" w:color="auto"/>
                        <w:bottom w:val="none" w:sz="0" w:space="0" w:color="auto"/>
                        <w:right w:val="none" w:sz="0" w:space="0" w:color="auto"/>
                      </w:divBdr>
                      <w:divsChild>
                        <w:div w:id="2142920514">
                          <w:marLeft w:val="0"/>
                          <w:marRight w:val="0"/>
                          <w:marTop w:val="0"/>
                          <w:marBottom w:val="0"/>
                          <w:divBdr>
                            <w:top w:val="none" w:sz="0" w:space="0" w:color="auto"/>
                            <w:left w:val="none" w:sz="0" w:space="0" w:color="auto"/>
                            <w:bottom w:val="none" w:sz="0" w:space="0" w:color="auto"/>
                            <w:right w:val="none" w:sz="0" w:space="0" w:color="auto"/>
                          </w:divBdr>
                        </w:div>
                      </w:divsChild>
                    </w:div>
                    <w:div w:id="410470167">
                      <w:marLeft w:val="0"/>
                      <w:marRight w:val="0"/>
                      <w:marTop w:val="0"/>
                      <w:marBottom w:val="0"/>
                      <w:divBdr>
                        <w:top w:val="none" w:sz="0" w:space="0" w:color="auto"/>
                        <w:left w:val="none" w:sz="0" w:space="0" w:color="auto"/>
                        <w:bottom w:val="none" w:sz="0" w:space="0" w:color="auto"/>
                        <w:right w:val="none" w:sz="0" w:space="0" w:color="auto"/>
                      </w:divBdr>
                      <w:divsChild>
                        <w:div w:id="782386318">
                          <w:marLeft w:val="0"/>
                          <w:marRight w:val="0"/>
                          <w:marTop w:val="0"/>
                          <w:marBottom w:val="0"/>
                          <w:divBdr>
                            <w:top w:val="none" w:sz="0" w:space="0" w:color="auto"/>
                            <w:left w:val="none" w:sz="0" w:space="0" w:color="auto"/>
                            <w:bottom w:val="none" w:sz="0" w:space="0" w:color="auto"/>
                            <w:right w:val="none" w:sz="0" w:space="0" w:color="auto"/>
                          </w:divBdr>
                        </w:div>
                      </w:divsChild>
                    </w:div>
                    <w:div w:id="448356090">
                      <w:marLeft w:val="0"/>
                      <w:marRight w:val="0"/>
                      <w:marTop w:val="0"/>
                      <w:marBottom w:val="0"/>
                      <w:divBdr>
                        <w:top w:val="none" w:sz="0" w:space="0" w:color="auto"/>
                        <w:left w:val="none" w:sz="0" w:space="0" w:color="auto"/>
                        <w:bottom w:val="none" w:sz="0" w:space="0" w:color="auto"/>
                        <w:right w:val="none" w:sz="0" w:space="0" w:color="auto"/>
                      </w:divBdr>
                      <w:divsChild>
                        <w:div w:id="1286080466">
                          <w:marLeft w:val="0"/>
                          <w:marRight w:val="0"/>
                          <w:marTop w:val="0"/>
                          <w:marBottom w:val="0"/>
                          <w:divBdr>
                            <w:top w:val="none" w:sz="0" w:space="0" w:color="auto"/>
                            <w:left w:val="none" w:sz="0" w:space="0" w:color="auto"/>
                            <w:bottom w:val="none" w:sz="0" w:space="0" w:color="auto"/>
                            <w:right w:val="none" w:sz="0" w:space="0" w:color="auto"/>
                          </w:divBdr>
                        </w:div>
                      </w:divsChild>
                    </w:div>
                    <w:div w:id="452789479">
                      <w:marLeft w:val="0"/>
                      <w:marRight w:val="0"/>
                      <w:marTop w:val="0"/>
                      <w:marBottom w:val="0"/>
                      <w:divBdr>
                        <w:top w:val="none" w:sz="0" w:space="0" w:color="auto"/>
                        <w:left w:val="none" w:sz="0" w:space="0" w:color="auto"/>
                        <w:bottom w:val="none" w:sz="0" w:space="0" w:color="auto"/>
                        <w:right w:val="none" w:sz="0" w:space="0" w:color="auto"/>
                      </w:divBdr>
                      <w:divsChild>
                        <w:div w:id="521827020">
                          <w:marLeft w:val="0"/>
                          <w:marRight w:val="0"/>
                          <w:marTop w:val="0"/>
                          <w:marBottom w:val="0"/>
                          <w:divBdr>
                            <w:top w:val="none" w:sz="0" w:space="0" w:color="auto"/>
                            <w:left w:val="none" w:sz="0" w:space="0" w:color="auto"/>
                            <w:bottom w:val="none" w:sz="0" w:space="0" w:color="auto"/>
                            <w:right w:val="none" w:sz="0" w:space="0" w:color="auto"/>
                          </w:divBdr>
                        </w:div>
                      </w:divsChild>
                    </w:div>
                    <w:div w:id="496190856">
                      <w:marLeft w:val="0"/>
                      <w:marRight w:val="0"/>
                      <w:marTop w:val="0"/>
                      <w:marBottom w:val="0"/>
                      <w:divBdr>
                        <w:top w:val="none" w:sz="0" w:space="0" w:color="auto"/>
                        <w:left w:val="none" w:sz="0" w:space="0" w:color="auto"/>
                        <w:bottom w:val="none" w:sz="0" w:space="0" w:color="auto"/>
                        <w:right w:val="none" w:sz="0" w:space="0" w:color="auto"/>
                      </w:divBdr>
                      <w:divsChild>
                        <w:div w:id="823813218">
                          <w:marLeft w:val="0"/>
                          <w:marRight w:val="0"/>
                          <w:marTop w:val="0"/>
                          <w:marBottom w:val="0"/>
                          <w:divBdr>
                            <w:top w:val="none" w:sz="0" w:space="0" w:color="auto"/>
                            <w:left w:val="none" w:sz="0" w:space="0" w:color="auto"/>
                            <w:bottom w:val="none" w:sz="0" w:space="0" w:color="auto"/>
                            <w:right w:val="none" w:sz="0" w:space="0" w:color="auto"/>
                          </w:divBdr>
                        </w:div>
                      </w:divsChild>
                    </w:div>
                    <w:div w:id="501242636">
                      <w:marLeft w:val="0"/>
                      <w:marRight w:val="0"/>
                      <w:marTop w:val="0"/>
                      <w:marBottom w:val="0"/>
                      <w:divBdr>
                        <w:top w:val="none" w:sz="0" w:space="0" w:color="auto"/>
                        <w:left w:val="none" w:sz="0" w:space="0" w:color="auto"/>
                        <w:bottom w:val="none" w:sz="0" w:space="0" w:color="auto"/>
                        <w:right w:val="none" w:sz="0" w:space="0" w:color="auto"/>
                      </w:divBdr>
                      <w:divsChild>
                        <w:div w:id="1848325925">
                          <w:marLeft w:val="0"/>
                          <w:marRight w:val="0"/>
                          <w:marTop w:val="0"/>
                          <w:marBottom w:val="0"/>
                          <w:divBdr>
                            <w:top w:val="none" w:sz="0" w:space="0" w:color="auto"/>
                            <w:left w:val="none" w:sz="0" w:space="0" w:color="auto"/>
                            <w:bottom w:val="none" w:sz="0" w:space="0" w:color="auto"/>
                            <w:right w:val="none" w:sz="0" w:space="0" w:color="auto"/>
                          </w:divBdr>
                        </w:div>
                      </w:divsChild>
                    </w:div>
                    <w:div w:id="501510118">
                      <w:marLeft w:val="0"/>
                      <w:marRight w:val="0"/>
                      <w:marTop w:val="0"/>
                      <w:marBottom w:val="0"/>
                      <w:divBdr>
                        <w:top w:val="none" w:sz="0" w:space="0" w:color="auto"/>
                        <w:left w:val="none" w:sz="0" w:space="0" w:color="auto"/>
                        <w:bottom w:val="none" w:sz="0" w:space="0" w:color="auto"/>
                        <w:right w:val="none" w:sz="0" w:space="0" w:color="auto"/>
                      </w:divBdr>
                      <w:divsChild>
                        <w:div w:id="465588210">
                          <w:marLeft w:val="0"/>
                          <w:marRight w:val="0"/>
                          <w:marTop w:val="0"/>
                          <w:marBottom w:val="0"/>
                          <w:divBdr>
                            <w:top w:val="none" w:sz="0" w:space="0" w:color="auto"/>
                            <w:left w:val="none" w:sz="0" w:space="0" w:color="auto"/>
                            <w:bottom w:val="none" w:sz="0" w:space="0" w:color="auto"/>
                            <w:right w:val="none" w:sz="0" w:space="0" w:color="auto"/>
                          </w:divBdr>
                        </w:div>
                      </w:divsChild>
                    </w:div>
                    <w:div w:id="574434256">
                      <w:marLeft w:val="0"/>
                      <w:marRight w:val="0"/>
                      <w:marTop w:val="0"/>
                      <w:marBottom w:val="0"/>
                      <w:divBdr>
                        <w:top w:val="none" w:sz="0" w:space="0" w:color="auto"/>
                        <w:left w:val="none" w:sz="0" w:space="0" w:color="auto"/>
                        <w:bottom w:val="none" w:sz="0" w:space="0" w:color="auto"/>
                        <w:right w:val="none" w:sz="0" w:space="0" w:color="auto"/>
                      </w:divBdr>
                      <w:divsChild>
                        <w:div w:id="198321806">
                          <w:marLeft w:val="0"/>
                          <w:marRight w:val="0"/>
                          <w:marTop w:val="0"/>
                          <w:marBottom w:val="0"/>
                          <w:divBdr>
                            <w:top w:val="none" w:sz="0" w:space="0" w:color="auto"/>
                            <w:left w:val="none" w:sz="0" w:space="0" w:color="auto"/>
                            <w:bottom w:val="none" w:sz="0" w:space="0" w:color="auto"/>
                            <w:right w:val="none" w:sz="0" w:space="0" w:color="auto"/>
                          </w:divBdr>
                        </w:div>
                      </w:divsChild>
                    </w:div>
                    <w:div w:id="602809445">
                      <w:marLeft w:val="0"/>
                      <w:marRight w:val="0"/>
                      <w:marTop w:val="0"/>
                      <w:marBottom w:val="0"/>
                      <w:divBdr>
                        <w:top w:val="none" w:sz="0" w:space="0" w:color="auto"/>
                        <w:left w:val="none" w:sz="0" w:space="0" w:color="auto"/>
                        <w:bottom w:val="none" w:sz="0" w:space="0" w:color="auto"/>
                        <w:right w:val="none" w:sz="0" w:space="0" w:color="auto"/>
                      </w:divBdr>
                      <w:divsChild>
                        <w:div w:id="267927674">
                          <w:marLeft w:val="0"/>
                          <w:marRight w:val="0"/>
                          <w:marTop w:val="0"/>
                          <w:marBottom w:val="0"/>
                          <w:divBdr>
                            <w:top w:val="none" w:sz="0" w:space="0" w:color="auto"/>
                            <w:left w:val="none" w:sz="0" w:space="0" w:color="auto"/>
                            <w:bottom w:val="none" w:sz="0" w:space="0" w:color="auto"/>
                            <w:right w:val="none" w:sz="0" w:space="0" w:color="auto"/>
                          </w:divBdr>
                        </w:div>
                      </w:divsChild>
                    </w:div>
                    <w:div w:id="618100014">
                      <w:marLeft w:val="0"/>
                      <w:marRight w:val="0"/>
                      <w:marTop w:val="0"/>
                      <w:marBottom w:val="0"/>
                      <w:divBdr>
                        <w:top w:val="none" w:sz="0" w:space="0" w:color="auto"/>
                        <w:left w:val="none" w:sz="0" w:space="0" w:color="auto"/>
                        <w:bottom w:val="none" w:sz="0" w:space="0" w:color="auto"/>
                        <w:right w:val="none" w:sz="0" w:space="0" w:color="auto"/>
                      </w:divBdr>
                      <w:divsChild>
                        <w:div w:id="1571425061">
                          <w:marLeft w:val="0"/>
                          <w:marRight w:val="0"/>
                          <w:marTop w:val="0"/>
                          <w:marBottom w:val="0"/>
                          <w:divBdr>
                            <w:top w:val="none" w:sz="0" w:space="0" w:color="auto"/>
                            <w:left w:val="none" w:sz="0" w:space="0" w:color="auto"/>
                            <w:bottom w:val="none" w:sz="0" w:space="0" w:color="auto"/>
                            <w:right w:val="none" w:sz="0" w:space="0" w:color="auto"/>
                          </w:divBdr>
                        </w:div>
                      </w:divsChild>
                    </w:div>
                    <w:div w:id="628362579">
                      <w:marLeft w:val="0"/>
                      <w:marRight w:val="0"/>
                      <w:marTop w:val="0"/>
                      <w:marBottom w:val="0"/>
                      <w:divBdr>
                        <w:top w:val="none" w:sz="0" w:space="0" w:color="auto"/>
                        <w:left w:val="none" w:sz="0" w:space="0" w:color="auto"/>
                        <w:bottom w:val="none" w:sz="0" w:space="0" w:color="auto"/>
                        <w:right w:val="none" w:sz="0" w:space="0" w:color="auto"/>
                      </w:divBdr>
                      <w:divsChild>
                        <w:div w:id="462356818">
                          <w:marLeft w:val="0"/>
                          <w:marRight w:val="0"/>
                          <w:marTop w:val="0"/>
                          <w:marBottom w:val="0"/>
                          <w:divBdr>
                            <w:top w:val="none" w:sz="0" w:space="0" w:color="auto"/>
                            <w:left w:val="none" w:sz="0" w:space="0" w:color="auto"/>
                            <w:bottom w:val="none" w:sz="0" w:space="0" w:color="auto"/>
                            <w:right w:val="none" w:sz="0" w:space="0" w:color="auto"/>
                          </w:divBdr>
                        </w:div>
                      </w:divsChild>
                    </w:div>
                    <w:div w:id="647444089">
                      <w:marLeft w:val="0"/>
                      <w:marRight w:val="0"/>
                      <w:marTop w:val="0"/>
                      <w:marBottom w:val="0"/>
                      <w:divBdr>
                        <w:top w:val="none" w:sz="0" w:space="0" w:color="auto"/>
                        <w:left w:val="none" w:sz="0" w:space="0" w:color="auto"/>
                        <w:bottom w:val="none" w:sz="0" w:space="0" w:color="auto"/>
                        <w:right w:val="none" w:sz="0" w:space="0" w:color="auto"/>
                      </w:divBdr>
                      <w:divsChild>
                        <w:div w:id="1130854483">
                          <w:marLeft w:val="0"/>
                          <w:marRight w:val="0"/>
                          <w:marTop w:val="0"/>
                          <w:marBottom w:val="0"/>
                          <w:divBdr>
                            <w:top w:val="none" w:sz="0" w:space="0" w:color="auto"/>
                            <w:left w:val="none" w:sz="0" w:space="0" w:color="auto"/>
                            <w:bottom w:val="none" w:sz="0" w:space="0" w:color="auto"/>
                            <w:right w:val="none" w:sz="0" w:space="0" w:color="auto"/>
                          </w:divBdr>
                        </w:div>
                      </w:divsChild>
                    </w:div>
                    <w:div w:id="657609206">
                      <w:marLeft w:val="0"/>
                      <w:marRight w:val="0"/>
                      <w:marTop w:val="0"/>
                      <w:marBottom w:val="0"/>
                      <w:divBdr>
                        <w:top w:val="none" w:sz="0" w:space="0" w:color="auto"/>
                        <w:left w:val="none" w:sz="0" w:space="0" w:color="auto"/>
                        <w:bottom w:val="none" w:sz="0" w:space="0" w:color="auto"/>
                        <w:right w:val="none" w:sz="0" w:space="0" w:color="auto"/>
                      </w:divBdr>
                      <w:divsChild>
                        <w:div w:id="895354588">
                          <w:marLeft w:val="0"/>
                          <w:marRight w:val="0"/>
                          <w:marTop w:val="0"/>
                          <w:marBottom w:val="0"/>
                          <w:divBdr>
                            <w:top w:val="none" w:sz="0" w:space="0" w:color="auto"/>
                            <w:left w:val="none" w:sz="0" w:space="0" w:color="auto"/>
                            <w:bottom w:val="none" w:sz="0" w:space="0" w:color="auto"/>
                            <w:right w:val="none" w:sz="0" w:space="0" w:color="auto"/>
                          </w:divBdr>
                        </w:div>
                      </w:divsChild>
                    </w:div>
                    <w:div w:id="699203956">
                      <w:marLeft w:val="0"/>
                      <w:marRight w:val="0"/>
                      <w:marTop w:val="0"/>
                      <w:marBottom w:val="0"/>
                      <w:divBdr>
                        <w:top w:val="none" w:sz="0" w:space="0" w:color="auto"/>
                        <w:left w:val="none" w:sz="0" w:space="0" w:color="auto"/>
                        <w:bottom w:val="none" w:sz="0" w:space="0" w:color="auto"/>
                        <w:right w:val="none" w:sz="0" w:space="0" w:color="auto"/>
                      </w:divBdr>
                      <w:divsChild>
                        <w:div w:id="967779432">
                          <w:marLeft w:val="0"/>
                          <w:marRight w:val="0"/>
                          <w:marTop w:val="0"/>
                          <w:marBottom w:val="0"/>
                          <w:divBdr>
                            <w:top w:val="none" w:sz="0" w:space="0" w:color="auto"/>
                            <w:left w:val="none" w:sz="0" w:space="0" w:color="auto"/>
                            <w:bottom w:val="none" w:sz="0" w:space="0" w:color="auto"/>
                            <w:right w:val="none" w:sz="0" w:space="0" w:color="auto"/>
                          </w:divBdr>
                        </w:div>
                      </w:divsChild>
                    </w:div>
                    <w:div w:id="700011149">
                      <w:marLeft w:val="0"/>
                      <w:marRight w:val="0"/>
                      <w:marTop w:val="0"/>
                      <w:marBottom w:val="0"/>
                      <w:divBdr>
                        <w:top w:val="none" w:sz="0" w:space="0" w:color="auto"/>
                        <w:left w:val="none" w:sz="0" w:space="0" w:color="auto"/>
                        <w:bottom w:val="none" w:sz="0" w:space="0" w:color="auto"/>
                        <w:right w:val="none" w:sz="0" w:space="0" w:color="auto"/>
                      </w:divBdr>
                      <w:divsChild>
                        <w:div w:id="335503384">
                          <w:marLeft w:val="0"/>
                          <w:marRight w:val="0"/>
                          <w:marTop w:val="0"/>
                          <w:marBottom w:val="0"/>
                          <w:divBdr>
                            <w:top w:val="none" w:sz="0" w:space="0" w:color="auto"/>
                            <w:left w:val="none" w:sz="0" w:space="0" w:color="auto"/>
                            <w:bottom w:val="none" w:sz="0" w:space="0" w:color="auto"/>
                            <w:right w:val="none" w:sz="0" w:space="0" w:color="auto"/>
                          </w:divBdr>
                        </w:div>
                      </w:divsChild>
                    </w:div>
                    <w:div w:id="711534259">
                      <w:marLeft w:val="0"/>
                      <w:marRight w:val="0"/>
                      <w:marTop w:val="0"/>
                      <w:marBottom w:val="0"/>
                      <w:divBdr>
                        <w:top w:val="none" w:sz="0" w:space="0" w:color="auto"/>
                        <w:left w:val="none" w:sz="0" w:space="0" w:color="auto"/>
                        <w:bottom w:val="none" w:sz="0" w:space="0" w:color="auto"/>
                        <w:right w:val="none" w:sz="0" w:space="0" w:color="auto"/>
                      </w:divBdr>
                      <w:divsChild>
                        <w:div w:id="65685970">
                          <w:marLeft w:val="0"/>
                          <w:marRight w:val="0"/>
                          <w:marTop w:val="0"/>
                          <w:marBottom w:val="0"/>
                          <w:divBdr>
                            <w:top w:val="none" w:sz="0" w:space="0" w:color="auto"/>
                            <w:left w:val="none" w:sz="0" w:space="0" w:color="auto"/>
                            <w:bottom w:val="none" w:sz="0" w:space="0" w:color="auto"/>
                            <w:right w:val="none" w:sz="0" w:space="0" w:color="auto"/>
                          </w:divBdr>
                        </w:div>
                      </w:divsChild>
                    </w:div>
                    <w:div w:id="718019041">
                      <w:marLeft w:val="0"/>
                      <w:marRight w:val="0"/>
                      <w:marTop w:val="0"/>
                      <w:marBottom w:val="0"/>
                      <w:divBdr>
                        <w:top w:val="none" w:sz="0" w:space="0" w:color="auto"/>
                        <w:left w:val="none" w:sz="0" w:space="0" w:color="auto"/>
                        <w:bottom w:val="none" w:sz="0" w:space="0" w:color="auto"/>
                        <w:right w:val="none" w:sz="0" w:space="0" w:color="auto"/>
                      </w:divBdr>
                      <w:divsChild>
                        <w:div w:id="1839270674">
                          <w:marLeft w:val="0"/>
                          <w:marRight w:val="0"/>
                          <w:marTop w:val="0"/>
                          <w:marBottom w:val="0"/>
                          <w:divBdr>
                            <w:top w:val="none" w:sz="0" w:space="0" w:color="auto"/>
                            <w:left w:val="none" w:sz="0" w:space="0" w:color="auto"/>
                            <w:bottom w:val="none" w:sz="0" w:space="0" w:color="auto"/>
                            <w:right w:val="none" w:sz="0" w:space="0" w:color="auto"/>
                          </w:divBdr>
                        </w:div>
                      </w:divsChild>
                    </w:div>
                    <w:div w:id="745148959">
                      <w:marLeft w:val="0"/>
                      <w:marRight w:val="0"/>
                      <w:marTop w:val="0"/>
                      <w:marBottom w:val="0"/>
                      <w:divBdr>
                        <w:top w:val="none" w:sz="0" w:space="0" w:color="auto"/>
                        <w:left w:val="none" w:sz="0" w:space="0" w:color="auto"/>
                        <w:bottom w:val="none" w:sz="0" w:space="0" w:color="auto"/>
                        <w:right w:val="none" w:sz="0" w:space="0" w:color="auto"/>
                      </w:divBdr>
                      <w:divsChild>
                        <w:div w:id="48261772">
                          <w:marLeft w:val="0"/>
                          <w:marRight w:val="0"/>
                          <w:marTop w:val="0"/>
                          <w:marBottom w:val="0"/>
                          <w:divBdr>
                            <w:top w:val="none" w:sz="0" w:space="0" w:color="auto"/>
                            <w:left w:val="none" w:sz="0" w:space="0" w:color="auto"/>
                            <w:bottom w:val="none" w:sz="0" w:space="0" w:color="auto"/>
                            <w:right w:val="none" w:sz="0" w:space="0" w:color="auto"/>
                          </w:divBdr>
                        </w:div>
                      </w:divsChild>
                    </w:div>
                    <w:div w:id="753355097">
                      <w:marLeft w:val="0"/>
                      <w:marRight w:val="0"/>
                      <w:marTop w:val="0"/>
                      <w:marBottom w:val="0"/>
                      <w:divBdr>
                        <w:top w:val="none" w:sz="0" w:space="0" w:color="auto"/>
                        <w:left w:val="none" w:sz="0" w:space="0" w:color="auto"/>
                        <w:bottom w:val="none" w:sz="0" w:space="0" w:color="auto"/>
                        <w:right w:val="none" w:sz="0" w:space="0" w:color="auto"/>
                      </w:divBdr>
                      <w:divsChild>
                        <w:div w:id="1343166664">
                          <w:marLeft w:val="0"/>
                          <w:marRight w:val="0"/>
                          <w:marTop w:val="0"/>
                          <w:marBottom w:val="0"/>
                          <w:divBdr>
                            <w:top w:val="none" w:sz="0" w:space="0" w:color="auto"/>
                            <w:left w:val="none" w:sz="0" w:space="0" w:color="auto"/>
                            <w:bottom w:val="none" w:sz="0" w:space="0" w:color="auto"/>
                            <w:right w:val="none" w:sz="0" w:space="0" w:color="auto"/>
                          </w:divBdr>
                        </w:div>
                      </w:divsChild>
                    </w:div>
                    <w:div w:id="779104743">
                      <w:marLeft w:val="0"/>
                      <w:marRight w:val="0"/>
                      <w:marTop w:val="0"/>
                      <w:marBottom w:val="0"/>
                      <w:divBdr>
                        <w:top w:val="none" w:sz="0" w:space="0" w:color="auto"/>
                        <w:left w:val="none" w:sz="0" w:space="0" w:color="auto"/>
                        <w:bottom w:val="none" w:sz="0" w:space="0" w:color="auto"/>
                        <w:right w:val="none" w:sz="0" w:space="0" w:color="auto"/>
                      </w:divBdr>
                      <w:divsChild>
                        <w:div w:id="1658264606">
                          <w:marLeft w:val="0"/>
                          <w:marRight w:val="0"/>
                          <w:marTop w:val="0"/>
                          <w:marBottom w:val="0"/>
                          <w:divBdr>
                            <w:top w:val="none" w:sz="0" w:space="0" w:color="auto"/>
                            <w:left w:val="none" w:sz="0" w:space="0" w:color="auto"/>
                            <w:bottom w:val="none" w:sz="0" w:space="0" w:color="auto"/>
                            <w:right w:val="none" w:sz="0" w:space="0" w:color="auto"/>
                          </w:divBdr>
                        </w:div>
                      </w:divsChild>
                    </w:div>
                    <w:div w:id="815683385">
                      <w:marLeft w:val="0"/>
                      <w:marRight w:val="0"/>
                      <w:marTop w:val="0"/>
                      <w:marBottom w:val="0"/>
                      <w:divBdr>
                        <w:top w:val="none" w:sz="0" w:space="0" w:color="auto"/>
                        <w:left w:val="none" w:sz="0" w:space="0" w:color="auto"/>
                        <w:bottom w:val="none" w:sz="0" w:space="0" w:color="auto"/>
                        <w:right w:val="none" w:sz="0" w:space="0" w:color="auto"/>
                      </w:divBdr>
                      <w:divsChild>
                        <w:div w:id="1995916177">
                          <w:marLeft w:val="0"/>
                          <w:marRight w:val="0"/>
                          <w:marTop w:val="0"/>
                          <w:marBottom w:val="0"/>
                          <w:divBdr>
                            <w:top w:val="none" w:sz="0" w:space="0" w:color="auto"/>
                            <w:left w:val="none" w:sz="0" w:space="0" w:color="auto"/>
                            <w:bottom w:val="none" w:sz="0" w:space="0" w:color="auto"/>
                            <w:right w:val="none" w:sz="0" w:space="0" w:color="auto"/>
                          </w:divBdr>
                        </w:div>
                      </w:divsChild>
                    </w:div>
                    <w:div w:id="838009297">
                      <w:marLeft w:val="0"/>
                      <w:marRight w:val="0"/>
                      <w:marTop w:val="0"/>
                      <w:marBottom w:val="0"/>
                      <w:divBdr>
                        <w:top w:val="none" w:sz="0" w:space="0" w:color="auto"/>
                        <w:left w:val="none" w:sz="0" w:space="0" w:color="auto"/>
                        <w:bottom w:val="none" w:sz="0" w:space="0" w:color="auto"/>
                        <w:right w:val="none" w:sz="0" w:space="0" w:color="auto"/>
                      </w:divBdr>
                      <w:divsChild>
                        <w:div w:id="892959667">
                          <w:marLeft w:val="0"/>
                          <w:marRight w:val="0"/>
                          <w:marTop w:val="0"/>
                          <w:marBottom w:val="0"/>
                          <w:divBdr>
                            <w:top w:val="none" w:sz="0" w:space="0" w:color="auto"/>
                            <w:left w:val="none" w:sz="0" w:space="0" w:color="auto"/>
                            <w:bottom w:val="none" w:sz="0" w:space="0" w:color="auto"/>
                            <w:right w:val="none" w:sz="0" w:space="0" w:color="auto"/>
                          </w:divBdr>
                        </w:div>
                      </w:divsChild>
                    </w:div>
                    <w:div w:id="844713230">
                      <w:marLeft w:val="0"/>
                      <w:marRight w:val="0"/>
                      <w:marTop w:val="0"/>
                      <w:marBottom w:val="0"/>
                      <w:divBdr>
                        <w:top w:val="none" w:sz="0" w:space="0" w:color="auto"/>
                        <w:left w:val="none" w:sz="0" w:space="0" w:color="auto"/>
                        <w:bottom w:val="none" w:sz="0" w:space="0" w:color="auto"/>
                        <w:right w:val="none" w:sz="0" w:space="0" w:color="auto"/>
                      </w:divBdr>
                      <w:divsChild>
                        <w:div w:id="1835604685">
                          <w:marLeft w:val="0"/>
                          <w:marRight w:val="0"/>
                          <w:marTop w:val="0"/>
                          <w:marBottom w:val="0"/>
                          <w:divBdr>
                            <w:top w:val="none" w:sz="0" w:space="0" w:color="auto"/>
                            <w:left w:val="none" w:sz="0" w:space="0" w:color="auto"/>
                            <w:bottom w:val="none" w:sz="0" w:space="0" w:color="auto"/>
                            <w:right w:val="none" w:sz="0" w:space="0" w:color="auto"/>
                          </w:divBdr>
                        </w:div>
                      </w:divsChild>
                    </w:div>
                    <w:div w:id="906646432">
                      <w:marLeft w:val="0"/>
                      <w:marRight w:val="0"/>
                      <w:marTop w:val="0"/>
                      <w:marBottom w:val="0"/>
                      <w:divBdr>
                        <w:top w:val="none" w:sz="0" w:space="0" w:color="auto"/>
                        <w:left w:val="none" w:sz="0" w:space="0" w:color="auto"/>
                        <w:bottom w:val="none" w:sz="0" w:space="0" w:color="auto"/>
                        <w:right w:val="none" w:sz="0" w:space="0" w:color="auto"/>
                      </w:divBdr>
                      <w:divsChild>
                        <w:div w:id="1208836474">
                          <w:marLeft w:val="0"/>
                          <w:marRight w:val="0"/>
                          <w:marTop w:val="0"/>
                          <w:marBottom w:val="0"/>
                          <w:divBdr>
                            <w:top w:val="none" w:sz="0" w:space="0" w:color="auto"/>
                            <w:left w:val="none" w:sz="0" w:space="0" w:color="auto"/>
                            <w:bottom w:val="none" w:sz="0" w:space="0" w:color="auto"/>
                            <w:right w:val="none" w:sz="0" w:space="0" w:color="auto"/>
                          </w:divBdr>
                        </w:div>
                      </w:divsChild>
                    </w:div>
                    <w:div w:id="1007369022">
                      <w:marLeft w:val="0"/>
                      <w:marRight w:val="0"/>
                      <w:marTop w:val="0"/>
                      <w:marBottom w:val="0"/>
                      <w:divBdr>
                        <w:top w:val="none" w:sz="0" w:space="0" w:color="auto"/>
                        <w:left w:val="none" w:sz="0" w:space="0" w:color="auto"/>
                        <w:bottom w:val="none" w:sz="0" w:space="0" w:color="auto"/>
                        <w:right w:val="none" w:sz="0" w:space="0" w:color="auto"/>
                      </w:divBdr>
                      <w:divsChild>
                        <w:div w:id="1865096526">
                          <w:marLeft w:val="0"/>
                          <w:marRight w:val="0"/>
                          <w:marTop w:val="0"/>
                          <w:marBottom w:val="0"/>
                          <w:divBdr>
                            <w:top w:val="none" w:sz="0" w:space="0" w:color="auto"/>
                            <w:left w:val="none" w:sz="0" w:space="0" w:color="auto"/>
                            <w:bottom w:val="none" w:sz="0" w:space="0" w:color="auto"/>
                            <w:right w:val="none" w:sz="0" w:space="0" w:color="auto"/>
                          </w:divBdr>
                        </w:div>
                      </w:divsChild>
                    </w:div>
                    <w:div w:id="1037000386">
                      <w:marLeft w:val="0"/>
                      <w:marRight w:val="0"/>
                      <w:marTop w:val="0"/>
                      <w:marBottom w:val="0"/>
                      <w:divBdr>
                        <w:top w:val="none" w:sz="0" w:space="0" w:color="auto"/>
                        <w:left w:val="none" w:sz="0" w:space="0" w:color="auto"/>
                        <w:bottom w:val="none" w:sz="0" w:space="0" w:color="auto"/>
                        <w:right w:val="none" w:sz="0" w:space="0" w:color="auto"/>
                      </w:divBdr>
                      <w:divsChild>
                        <w:div w:id="960838508">
                          <w:marLeft w:val="0"/>
                          <w:marRight w:val="0"/>
                          <w:marTop w:val="0"/>
                          <w:marBottom w:val="0"/>
                          <w:divBdr>
                            <w:top w:val="none" w:sz="0" w:space="0" w:color="auto"/>
                            <w:left w:val="none" w:sz="0" w:space="0" w:color="auto"/>
                            <w:bottom w:val="none" w:sz="0" w:space="0" w:color="auto"/>
                            <w:right w:val="none" w:sz="0" w:space="0" w:color="auto"/>
                          </w:divBdr>
                        </w:div>
                      </w:divsChild>
                    </w:div>
                    <w:div w:id="1046952361">
                      <w:marLeft w:val="0"/>
                      <w:marRight w:val="0"/>
                      <w:marTop w:val="0"/>
                      <w:marBottom w:val="0"/>
                      <w:divBdr>
                        <w:top w:val="none" w:sz="0" w:space="0" w:color="auto"/>
                        <w:left w:val="none" w:sz="0" w:space="0" w:color="auto"/>
                        <w:bottom w:val="none" w:sz="0" w:space="0" w:color="auto"/>
                        <w:right w:val="none" w:sz="0" w:space="0" w:color="auto"/>
                      </w:divBdr>
                      <w:divsChild>
                        <w:div w:id="841354296">
                          <w:marLeft w:val="0"/>
                          <w:marRight w:val="0"/>
                          <w:marTop w:val="0"/>
                          <w:marBottom w:val="0"/>
                          <w:divBdr>
                            <w:top w:val="none" w:sz="0" w:space="0" w:color="auto"/>
                            <w:left w:val="none" w:sz="0" w:space="0" w:color="auto"/>
                            <w:bottom w:val="none" w:sz="0" w:space="0" w:color="auto"/>
                            <w:right w:val="none" w:sz="0" w:space="0" w:color="auto"/>
                          </w:divBdr>
                        </w:div>
                      </w:divsChild>
                    </w:div>
                    <w:div w:id="1060179377">
                      <w:marLeft w:val="0"/>
                      <w:marRight w:val="0"/>
                      <w:marTop w:val="0"/>
                      <w:marBottom w:val="0"/>
                      <w:divBdr>
                        <w:top w:val="none" w:sz="0" w:space="0" w:color="auto"/>
                        <w:left w:val="none" w:sz="0" w:space="0" w:color="auto"/>
                        <w:bottom w:val="none" w:sz="0" w:space="0" w:color="auto"/>
                        <w:right w:val="none" w:sz="0" w:space="0" w:color="auto"/>
                      </w:divBdr>
                      <w:divsChild>
                        <w:div w:id="174736454">
                          <w:marLeft w:val="0"/>
                          <w:marRight w:val="0"/>
                          <w:marTop w:val="0"/>
                          <w:marBottom w:val="0"/>
                          <w:divBdr>
                            <w:top w:val="none" w:sz="0" w:space="0" w:color="auto"/>
                            <w:left w:val="none" w:sz="0" w:space="0" w:color="auto"/>
                            <w:bottom w:val="none" w:sz="0" w:space="0" w:color="auto"/>
                            <w:right w:val="none" w:sz="0" w:space="0" w:color="auto"/>
                          </w:divBdr>
                        </w:div>
                      </w:divsChild>
                    </w:div>
                    <w:div w:id="1063676191">
                      <w:marLeft w:val="0"/>
                      <w:marRight w:val="0"/>
                      <w:marTop w:val="0"/>
                      <w:marBottom w:val="0"/>
                      <w:divBdr>
                        <w:top w:val="none" w:sz="0" w:space="0" w:color="auto"/>
                        <w:left w:val="none" w:sz="0" w:space="0" w:color="auto"/>
                        <w:bottom w:val="none" w:sz="0" w:space="0" w:color="auto"/>
                        <w:right w:val="none" w:sz="0" w:space="0" w:color="auto"/>
                      </w:divBdr>
                      <w:divsChild>
                        <w:div w:id="1217663899">
                          <w:marLeft w:val="0"/>
                          <w:marRight w:val="0"/>
                          <w:marTop w:val="0"/>
                          <w:marBottom w:val="0"/>
                          <w:divBdr>
                            <w:top w:val="none" w:sz="0" w:space="0" w:color="auto"/>
                            <w:left w:val="none" w:sz="0" w:space="0" w:color="auto"/>
                            <w:bottom w:val="none" w:sz="0" w:space="0" w:color="auto"/>
                            <w:right w:val="none" w:sz="0" w:space="0" w:color="auto"/>
                          </w:divBdr>
                        </w:div>
                      </w:divsChild>
                    </w:div>
                    <w:div w:id="1087531569">
                      <w:marLeft w:val="0"/>
                      <w:marRight w:val="0"/>
                      <w:marTop w:val="0"/>
                      <w:marBottom w:val="0"/>
                      <w:divBdr>
                        <w:top w:val="none" w:sz="0" w:space="0" w:color="auto"/>
                        <w:left w:val="none" w:sz="0" w:space="0" w:color="auto"/>
                        <w:bottom w:val="none" w:sz="0" w:space="0" w:color="auto"/>
                        <w:right w:val="none" w:sz="0" w:space="0" w:color="auto"/>
                      </w:divBdr>
                      <w:divsChild>
                        <w:div w:id="1506554772">
                          <w:marLeft w:val="0"/>
                          <w:marRight w:val="0"/>
                          <w:marTop w:val="0"/>
                          <w:marBottom w:val="0"/>
                          <w:divBdr>
                            <w:top w:val="none" w:sz="0" w:space="0" w:color="auto"/>
                            <w:left w:val="none" w:sz="0" w:space="0" w:color="auto"/>
                            <w:bottom w:val="none" w:sz="0" w:space="0" w:color="auto"/>
                            <w:right w:val="none" w:sz="0" w:space="0" w:color="auto"/>
                          </w:divBdr>
                        </w:div>
                      </w:divsChild>
                    </w:div>
                    <w:div w:id="1094398517">
                      <w:marLeft w:val="0"/>
                      <w:marRight w:val="0"/>
                      <w:marTop w:val="0"/>
                      <w:marBottom w:val="0"/>
                      <w:divBdr>
                        <w:top w:val="none" w:sz="0" w:space="0" w:color="auto"/>
                        <w:left w:val="none" w:sz="0" w:space="0" w:color="auto"/>
                        <w:bottom w:val="none" w:sz="0" w:space="0" w:color="auto"/>
                        <w:right w:val="none" w:sz="0" w:space="0" w:color="auto"/>
                      </w:divBdr>
                      <w:divsChild>
                        <w:div w:id="848789444">
                          <w:marLeft w:val="0"/>
                          <w:marRight w:val="0"/>
                          <w:marTop w:val="0"/>
                          <w:marBottom w:val="0"/>
                          <w:divBdr>
                            <w:top w:val="none" w:sz="0" w:space="0" w:color="auto"/>
                            <w:left w:val="none" w:sz="0" w:space="0" w:color="auto"/>
                            <w:bottom w:val="none" w:sz="0" w:space="0" w:color="auto"/>
                            <w:right w:val="none" w:sz="0" w:space="0" w:color="auto"/>
                          </w:divBdr>
                        </w:div>
                      </w:divsChild>
                    </w:div>
                    <w:div w:id="1096947274">
                      <w:marLeft w:val="0"/>
                      <w:marRight w:val="0"/>
                      <w:marTop w:val="0"/>
                      <w:marBottom w:val="0"/>
                      <w:divBdr>
                        <w:top w:val="none" w:sz="0" w:space="0" w:color="auto"/>
                        <w:left w:val="none" w:sz="0" w:space="0" w:color="auto"/>
                        <w:bottom w:val="none" w:sz="0" w:space="0" w:color="auto"/>
                        <w:right w:val="none" w:sz="0" w:space="0" w:color="auto"/>
                      </w:divBdr>
                      <w:divsChild>
                        <w:div w:id="1297178676">
                          <w:marLeft w:val="0"/>
                          <w:marRight w:val="0"/>
                          <w:marTop w:val="0"/>
                          <w:marBottom w:val="0"/>
                          <w:divBdr>
                            <w:top w:val="none" w:sz="0" w:space="0" w:color="auto"/>
                            <w:left w:val="none" w:sz="0" w:space="0" w:color="auto"/>
                            <w:bottom w:val="none" w:sz="0" w:space="0" w:color="auto"/>
                            <w:right w:val="none" w:sz="0" w:space="0" w:color="auto"/>
                          </w:divBdr>
                        </w:div>
                      </w:divsChild>
                    </w:div>
                    <w:div w:id="1097796117">
                      <w:marLeft w:val="0"/>
                      <w:marRight w:val="0"/>
                      <w:marTop w:val="0"/>
                      <w:marBottom w:val="0"/>
                      <w:divBdr>
                        <w:top w:val="none" w:sz="0" w:space="0" w:color="auto"/>
                        <w:left w:val="none" w:sz="0" w:space="0" w:color="auto"/>
                        <w:bottom w:val="none" w:sz="0" w:space="0" w:color="auto"/>
                        <w:right w:val="none" w:sz="0" w:space="0" w:color="auto"/>
                      </w:divBdr>
                      <w:divsChild>
                        <w:div w:id="1114326102">
                          <w:marLeft w:val="0"/>
                          <w:marRight w:val="0"/>
                          <w:marTop w:val="0"/>
                          <w:marBottom w:val="0"/>
                          <w:divBdr>
                            <w:top w:val="none" w:sz="0" w:space="0" w:color="auto"/>
                            <w:left w:val="none" w:sz="0" w:space="0" w:color="auto"/>
                            <w:bottom w:val="none" w:sz="0" w:space="0" w:color="auto"/>
                            <w:right w:val="none" w:sz="0" w:space="0" w:color="auto"/>
                          </w:divBdr>
                        </w:div>
                      </w:divsChild>
                    </w:div>
                    <w:div w:id="1120294760">
                      <w:marLeft w:val="0"/>
                      <w:marRight w:val="0"/>
                      <w:marTop w:val="0"/>
                      <w:marBottom w:val="0"/>
                      <w:divBdr>
                        <w:top w:val="none" w:sz="0" w:space="0" w:color="auto"/>
                        <w:left w:val="none" w:sz="0" w:space="0" w:color="auto"/>
                        <w:bottom w:val="none" w:sz="0" w:space="0" w:color="auto"/>
                        <w:right w:val="none" w:sz="0" w:space="0" w:color="auto"/>
                      </w:divBdr>
                      <w:divsChild>
                        <w:div w:id="350571881">
                          <w:marLeft w:val="0"/>
                          <w:marRight w:val="0"/>
                          <w:marTop w:val="0"/>
                          <w:marBottom w:val="0"/>
                          <w:divBdr>
                            <w:top w:val="none" w:sz="0" w:space="0" w:color="auto"/>
                            <w:left w:val="none" w:sz="0" w:space="0" w:color="auto"/>
                            <w:bottom w:val="none" w:sz="0" w:space="0" w:color="auto"/>
                            <w:right w:val="none" w:sz="0" w:space="0" w:color="auto"/>
                          </w:divBdr>
                        </w:div>
                      </w:divsChild>
                    </w:div>
                    <w:div w:id="1127311988">
                      <w:marLeft w:val="0"/>
                      <w:marRight w:val="0"/>
                      <w:marTop w:val="0"/>
                      <w:marBottom w:val="0"/>
                      <w:divBdr>
                        <w:top w:val="none" w:sz="0" w:space="0" w:color="auto"/>
                        <w:left w:val="none" w:sz="0" w:space="0" w:color="auto"/>
                        <w:bottom w:val="none" w:sz="0" w:space="0" w:color="auto"/>
                        <w:right w:val="none" w:sz="0" w:space="0" w:color="auto"/>
                      </w:divBdr>
                      <w:divsChild>
                        <w:div w:id="594099262">
                          <w:marLeft w:val="0"/>
                          <w:marRight w:val="0"/>
                          <w:marTop w:val="0"/>
                          <w:marBottom w:val="0"/>
                          <w:divBdr>
                            <w:top w:val="none" w:sz="0" w:space="0" w:color="auto"/>
                            <w:left w:val="none" w:sz="0" w:space="0" w:color="auto"/>
                            <w:bottom w:val="none" w:sz="0" w:space="0" w:color="auto"/>
                            <w:right w:val="none" w:sz="0" w:space="0" w:color="auto"/>
                          </w:divBdr>
                        </w:div>
                      </w:divsChild>
                    </w:div>
                    <w:div w:id="1129326561">
                      <w:marLeft w:val="0"/>
                      <w:marRight w:val="0"/>
                      <w:marTop w:val="0"/>
                      <w:marBottom w:val="0"/>
                      <w:divBdr>
                        <w:top w:val="none" w:sz="0" w:space="0" w:color="auto"/>
                        <w:left w:val="none" w:sz="0" w:space="0" w:color="auto"/>
                        <w:bottom w:val="none" w:sz="0" w:space="0" w:color="auto"/>
                        <w:right w:val="none" w:sz="0" w:space="0" w:color="auto"/>
                      </w:divBdr>
                      <w:divsChild>
                        <w:div w:id="1246525186">
                          <w:marLeft w:val="0"/>
                          <w:marRight w:val="0"/>
                          <w:marTop w:val="0"/>
                          <w:marBottom w:val="0"/>
                          <w:divBdr>
                            <w:top w:val="none" w:sz="0" w:space="0" w:color="auto"/>
                            <w:left w:val="none" w:sz="0" w:space="0" w:color="auto"/>
                            <w:bottom w:val="none" w:sz="0" w:space="0" w:color="auto"/>
                            <w:right w:val="none" w:sz="0" w:space="0" w:color="auto"/>
                          </w:divBdr>
                        </w:div>
                      </w:divsChild>
                    </w:div>
                    <w:div w:id="1136139616">
                      <w:marLeft w:val="0"/>
                      <w:marRight w:val="0"/>
                      <w:marTop w:val="0"/>
                      <w:marBottom w:val="0"/>
                      <w:divBdr>
                        <w:top w:val="none" w:sz="0" w:space="0" w:color="auto"/>
                        <w:left w:val="none" w:sz="0" w:space="0" w:color="auto"/>
                        <w:bottom w:val="none" w:sz="0" w:space="0" w:color="auto"/>
                        <w:right w:val="none" w:sz="0" w:space="0" w:color="auto"/>
                      </w:divBdr>
                      <w:divsChild>
                        <w:div w:id="1174606734">
                          <w:marLeft w:val="0"/>
                          <w:marRight w:val="0"/>
                          <w:marTop w:val="0"/>
                          <w:marBottom w:val="0"/>
                          <w:divBdr>
                            <w:top w:val="none" w:sz="0" w:space="0" w:color="auto"/>
                            <w:left w:val="none" w:sz="0" w:space="0" w:color="auto"/>
                            <w:bottom w:val="none" w:sz="0" w:space="0" w:color="auto"/>
                            <w:right w:val="none" w:sz="0" w:space="0" w:color="auto"/>
                          </w:divBdr>
                        </w:div>
                      </w:divsChild>
                    </w:div>
                    <w:div w:id="1141310072">
                      <w:marLeft w:val="0"/>
                      <w:marRight w:val="0"/>
                      <w:marTop w:val="0"/>
                      <w:marBottom w:val="0"/>
                      <w:divBdr>
                        <w:top w:val="none" w:sz="0" w:space="0" w:color="auto"/>
                        <w:left w:val="none" w:sz="0" w:space="0" w:color="auto"/>
                        <w:bottom w:val="none" w:sz="0" w:space="0" w:color="auto"/>
                        <w:right w:val="none" w:sz="0" w:space="0" w:color="auto"/>
                      </w:divBdr>
                      <w:divsChild>
                        <w:div w:id="1193104585">
                          <w:marLeft w:val="0"/>
                          <w:marRight w:val="0"/>
                          <w:marTop w:val="0"/>
                          <w:marBottom w:val="0"/>
                          <w:divBdr>
                            <w:top w:val="none" w:sz="0" w:space="0" w:color="auto"/>
                            <w:left w:val="none" w:sz="0" w:space="0" w:color="auto"/>
                            <w:bottom w:val="none" w:sz="0" w:space="0" w:color="auto"/>
                            <w:right w:val="none" w:sz="0" w:space="0" w:color="auto"/>
                          </w:divBdr>
                        </w:div>
                      </w:divsChild>
                    </w:div>
                    <w:div w:id="1146163667">
                      <w:marLeft w:val="0"/>
                      <w:marRight w:val="0"/>
                      <w:marTop w:val="0"/>
                      <w:marBottom w:val="0"/>
                      <w:divBdr>
                        <w:top w:val="none" w:sz="0" w:space="0" w:color="auto"/>
                        <w:left w:val="none" w:sz="0" w:space="0" w:color="auto"/>
                        <w:bottom w:val="none" w:sz="0" w:space="0" w:color="auto"/>
                        <w:right w:val="none" w:sz="0" w:space="0" w:color="auto"/>
                      </w:divBdr>
                      <w:divsChild>
                        <w:div w:id="1505900022">
                          <w:marLeft w:val="0"/>
                          <w:marRight w:val="0"/>
                          <w:marTop w:val="0"/>
                          <w:marBottom w:val="0"/>
                          <w:divBdr>
                            <w:top w:val="none" w:sz="0" w:space="0" w:color="auto"/>
                            <w:left w:val="none" w:sz="0" w:space="0" w:color="auto"/>
                            <w:bottom w:val="none" w:sz="0" w:space="0" w:color="auto"/>
                            <w:right w:val="none" w:sz="0" w:space="0" w:color="auto"/>
                          </w:divBdr>
                        </w:div>
                      </w:divsChild>
                    </w:div>
                    <w:div w:id="1147553839">
                      <w:marLeft w:val="0"/>
                      <w:marRight w:val="0"/>
                      <w:marTop w:val="0"/>
                      <w:marBottom w:val="0"/>
                      <w:divBdr>
                        <w:top w:val="none" w:sz="0" w:space="0" w:color="auto"/>
                        <w:left w:val="none" w:sz="0" w:space="0" w:color="auto"/>
                        <w:bottom w:val="none" w:sz="0" w:space="0" w:color="auto"/>
                        <w:right w:val="none" w:sz="0" w:space="0" w:color="auto"/>
                      </w:divBdr>
                      <w:divsChild>
                        <w:div w:id="496115025">
                          <w:marLeft w:val="0"/>
                          <w:marRight w:val="0"/>
                          <w:marTop w:val="0"/>
                          <w:marBottom w:val="0"/>
                          <w:divBdr>
                            <w:top w:val="none" w:sz="0" w:space="0" w:color="auto"/>
                            <w:left w:val="none" w:sz="0" w:space="0" w:color="auto"/>
                            <w:bottom w:val="none" w:sz="0" w:space="0" w:color="auto"/>
                            <w:right w:val="none" w:sz="0" w:space="0" w:color="auto"/>
                          </w:divBdr>
                        </w:div>
                      </w:divsChild>
                    </w:div>
                    <w:div w:id="1155145022">
                      <w:marLeft w:val="0"/>
                      <w:marRight w:val="0"/>
                      <w:marTop w:val="0"/>
                      <w:marBottom w:val="0"/>
                      <w:divBdr>
                        <w:top w:val="none" w:sz="0" w:space="0" w:color="auto"/>
                        <w:left w:val="none" w:sz="0" w:space="0" w:color="auto"/>
                        <w:bottom w:val="none" w:sz="0" w:space="0" w:color="auto"/>
                        <w:right w:val="none" w:sz="0" w:space="0" w:color="auto"/>
                      </w:divBdr>
                      <w:divsChild>
                        <w:div w:id="1253855386">
                          <w:marLeft w:val="0"/>
                          <w:marRight w:val="0"/>
                          <w:marTop w:val="0"/>
                          <w:marBottom w:val="0"/>
                          <w:divBdr>
                            <w:top w:val="none" w:sz="0" w:space="0" w:color="auto"/>
                            <w:left w:val="none" w:sz="0" w:space="0" w:color="auto"/>
                            <w:bottom w:val="none" w:sz="0" w:space="0" w:color="auto"/>
                            <w:right w:val="none" w:sz="0" w:space="0" w:color="auto"/>
                          </w:divBdr>
                        </w:div>
                      </w:divsChild>
                    </w:div>
                    <w:div w:id="1159492967">
                      <w:marLeft w:val="0"/>
                      <w:marRight w:val="0"/>
                      <w:marTop w:val="0"/>
                      <w:marBottom w:val="0"/>
                      <w:divBdr>
                        <w:top w:val="none" w:sz="0" w:space="0" w:color="auto"/>
                        <w:left w:val="none" w:sz="0" w:space="0" w:color="auto"/>
                        <w:bottom w:val="none" w:sz="0" w:space="0" w:color="auto"/>
                        <w:right w:val="none" w:sz="0" w:space="0" w:color="auto"/>
                      </w:divBdr>
                      <w:divsChild>
                        <w:div w:id="1492211379">
                          <w:marLeft w:val="0"/>
                          <w:marRight w:val="0"/>
                          <w:marTop w:val="0"/>
                          <w:marBottom w:val="0"/>
                          <w:divBdr>
                            <w:top w:val="none" w:sz="0" w:space="0" w:color="auto"/>
                            <w:left w:val="none" w:sz="0" w:space="0" w:color="auto"/>
                            <w:bottom w:val="none" w:sz="0" w:space="0" w:color="auto"/>
                            <w:right w:val="none" w:sz="0" w:space="0" w:color="auto"/>
                          </w:divBdr>
                        </w:div>
                      </w:divsChild>
                    </w:div>
                    <w:div w:id="1192571842">
                      <w:marLeft w:val="0"/>
                      <w:marRight w:val="0"/>
                      <w:marTop w:val="0"/>
                      <w:marBottom w:val="0"/>
                      <w:divBdr>
                        <w:top w:val="none" w:sz="0" w:space="0" w:color="auto"/>
                        <w:left w:val="none" w:sz="0" w:space="0" w:color="auto"/>
                        <w:bottom w:val="none" w:sz="0" w:space="0" w:color="auto"/>
                        <w:right w:val="none" w:sz="0" w:space="0" w:color="auto"/>
                      </w:divBdr>
                      <w:divsChild>
                        <w:div w:id="708065649">
                          <w:marLeft w:val="0"/>
                          <w:marRight w:val="0"/>
                          <w:marTop w:val="0"/>
                          <w:marBottom w:val="0"/>
                          <w:divBdr>
                            <w:top w:val="none" w:sz="0" w:space="0" w:color="auto"/>
                            <w:left w:val="none" w:sz="0" w:space="0" w:color="auto"/>
                            <w:bottom w:val="none" w:sz="0" w:space="0" w:color="auto"/>
                            <w:right w:val="none" w:sz="0" w:space="0" w:color="auto"/>
                          </w:divBdr>
                        </w:div>
                      </w:divsChild>
                    </w:div>
                    <w:div w:id="1204094094">
                      <w:marLeft w:val="0"/>
                      <w:marRight w:val="0"/>
                      <w:marTop w:val="0"/>
                      <w:marBottom w:val="0"/>
                      <w:divBdr>
                        <w:top w:val="none" w:sz="0" w:space="0" w:color="auto"/>
                        <w:left w:val="none" w:sz="0" w:space="0" w:color="auto"/>
                        <w:bottom w:val="none" w:sz="0" w:space="0" w:color="auto"/>
                        <w:right w:val="none" w:sz="0" w:space="0" w:color="auto"/>
                      </w:divBdr>
                      <w:divsChild>
                        <w:div w:id="2110007824">
                          <w:marLeft w:val="0"/>
                          <w:marRight w:val="0"/>
                          <w:marTop w:val="0"/>
                          <w:marBottom w:val="0"/>
                          <w:divBdr>
                            <w:top w:val="none" w:sz="0" w:space="0" w:color="auto"/>
                            <w:left w:val="none" w:sz="0" w:space="0" w:color="auto"/>
                            <w:bottom w:val="none" w:sz="0" w:space="0" w:color="auto"/>
                            <w:right w:val="none" w:sz="0" w:space="0" w:color="auto"/>
                          </w:divBdr>
                        </w:div>
                      </w:divsChild>
                    </w:div>
                    <w:div w:id="1208302090">
                      <w:marLeft w:val="0"/>
                      <w:marRight w:val="0"/>
                      <w:marTop w:val="0"/>
                      <w:marBottom w:val="0"/>
                      <w:divBdr>
                        <w:top w:val="none" w:sz="0" w:space="0" w:color="auto"/>
                        <w:left w:val="none" w:sz="0" w:space="0" w:color="auto"/>
                        <w:bottom w:val="none" w:sz="0" w:space="0" w:color="auto"/>
                        <w:right w:val="none" w:sz="0" w:space="0" w:color="auto"/>
                      </w:divBdr>
                      <w:divsChild>
                        <w:div w:id="544219804">
                          <w:marLeft w:val="0"/>
                          <w:marRight w:val="0"/>
                          <w:marTop w:val="0"/>
                          <w:marBottom w:val="0"/>
                          <w:divBdr>
                            <w:top w:val="none" w:sz="0" w:space="0" w:color="auto"/>
                            <w:left w:val="none" w:sz="0" w:space="0" w:color="auto"/>
                            <w:bottom w:val="none" w:sz="0" w:space="0" w:color="auto"/>
                            <w:right w:val="none" w:sz="0" w:space="0" w:color="auto"/>
                          </w:divBdr>
                        </w:div>
                      </w:divsChild>
                    </w:div>
                    <w:div w:id="1219324901">
                      <w:marLeft w:val="0"/>
                      <w:marRight w:val="0"/>
                      <w:marTop w:val="0"/>
                      <w:marBottom w:val="0"/>
                      <w:divBdr>
                        <w:top w:val="none" w:sz="0" w:space="0" w:color="auto"/>
                        <w:left w:val="none" w:sz="0" w:space="0" w:color="auto"/>
                        <w:bottom w:val="none" w:sz="0" w:space="0" w:color="auto"/>
                        <w:right w:val="none" w:sz="0" w:space="0" w:color="auto"/>
                      </w:divBdr>
                      <w:divsChild>
                        <w:div w:id="303002904">
                          <w:marLeft w:val="0"/>
                          <w:marRight w:val="0"/>
                          <w:marTop w:val="0"/>
                          <w:marBottom w:val="0"/>
                          <w:divBdr>
                            <w:top w:val="none" w:sz="0" w:space="0" w:color="auto"/>
                            <w:left w:val="none" w:sz="0" w:space="0" w:color="auto"/>
                            <w:bottom w:val="none" w:sz="0" w:space="0" w:color="auto"/>
                            <w:right w:val="none" w:sz="0" w:space="0" w:color="auto"/>
                          </w:divBdr>
                        </w:div>
                      </w:divsChild>
                    </w:div>
                    <w:div w:id="1222134866">
                      <w:marLeft w:val="0"/>
                      <w:marRight w:val="0"/>
                      <w:marTop w:val="0"/>
                      <w:marBottom w:val="0"/>
                      <w:divBdr>
                        <w:top w:val="none" w:sz="0" w:space="0" w:color="auto"/>
                        <w:left w:val="none" w:sz="0" w:space="0" w:color="auto"/>
                        <w:bottom w:val="none" w:sz="0" w:space="0" w:color="auto"/>
                        <w:right w:val="none" w:sz="0" w:space="0" w:color="auto"/>
                      </w:divBdr>
                      <w:divsChild>
                        <w:div w:id="1417899041">
                          <w:marLeft w:val="0"/>
                          <w:marRight w:val="0"/>
                          <w:marTop w:val="0"/>
                          <w:marBottom w:val="0"/>
                          <w:divBdr>
                            <w:top w:val="none" w:sz="0" w:space="0" w:color="auto"/>
                            <w:left w:val="none" w:sz="0" w:space="0" w:color="auto"/>
                            <w:bottom w:val="none" w:sz="0" w:space="0" w:color="auto"/>
                            <w:right w:val="none" w:sz="0" w:space="0" w:color="auto"/>
                          </w:divBdr>
                        </w:div>
                      </w:divsChild>
                    </w:div>
                    <w:div w:id="1253472635">
                      <w:marLeft w:val="0"/>
                      <w:marRight w:val="0"/>
                      <w:marTop w:val="0"/>
                      <w:marBottom w:val="0"/>
                      <w:divBdr>
                        <w:top w:val="none" w:sz="0" w:space="0" w:color="auto"/>
                        <w:left w:val="none" w:sz="0" w:space="0" w:color="auto"/>
                        <w:bottom w:val="none" w:sz="0" w:space="0" w:color="auto"/>
                        <w:right w:val="none" w:sz="0" w:space="0" w:color="auto"/>
                      </w:divBdr>
                      <w:divsChild>
                        <w:div w:id="276329942">
                          <w:marLeft w:val="0"/>
                          <w:marRight w:val="0"/>
                          <w:marTop w:val="0"/>
                          <w:marBottom w:val="0"/>
                          <w:divBdr>
                            <w:top w:val="none" w:sz="0" w:space="0" w:color="auto"/>
                            <w:left w:val="none" w:sz="0" w:space="0" w:color="auto"/>
                            <w:bottom w:val="none" w:sz="0" w:space="0" w:color="auto"/>
                            <w:right w:val="none" w:sz="0" w:space="0" w:color="auto"/>
                          </w:divBdr>
                        </w:div>
                      </w:divsChild>
                    </w:div>
                    <w:div w:id="1285040328">
                      <w:marLeft w:val="0"/>
                      <w:marRight w:val="0"/>
                      <w:marTop w:val="0"/>
                      <w:marBottom w:val="0"/>
                      <w:divBdr>
                        <w:top w:val="none" w:sz="0" w:space="0" w:color="auto"/>
                        <w:left w:val="none" w:sz="0" w:space="0" w:color="auto"/>
                        <w:bottom w:val="none" w:sz="0" w:space="0" w:color="auto"/>
                        <w:right w:val="none" w:sz="0" w:space="0" w:color="auto"/>
                      </w:divBdr>
                      <w:divsChild>
                        <w:div w:id="1181552980">
                          <w:marLeft w:val="0"/>
                          <w:marRight w:val="0"/>
                          <w:marTop w:val="0"/>
                          <w:marBottom w:val="0"/>
                          <w:divBdr>
                            <w:top w:val="none" w:sz="0" w:space="0" w:color="auto"/>
                            <w:left w:val="none" w:sz="0" w:space="0" w:color="auto"/>
                            <w:bottom w:val="none" w:sz="0" w:space="0" w:color="auto"/>
                            <w:right w:val="none" w:sz="0" w:space="0" w:color="auto"/>
                          </w:divBdr>
                        </w:div>
                      </w:divsChild>
                    </w:div>
                    <w:div w:id="1313632025">
                      <w:marLeft w:val="0"/>
                      <w:marRight w:val="0"/>
                      <w:marTop w:val="0"/>
                      <w:marBottom w:val="0"/>
                      <w:divBdr>
                        <w:top w:val="none" w:sz="0" w:space="0" w:color="auto"/>
                        <w:left w:val="none" w:sz="0" w:space="0" w:color="auto"/>
                        <w:bottom w:val="none" w:sz="0" w:space="0" w:color="auto"/>
                        <w:right w:val="none" w:sz="0" w:space="0" w:color="auto"/>
                      </w:divBdr>
                      <w:divsChild>
                        <w:div w:id="1077945318">
                          <w:marLeft w:val="0"/>
                          <w:marRight w:val="0"/>
                          <w:marTop w:val="0"/>
                          <w:marBottom w:val="0"/>
                          <w:divBdr>
                            <w:top w:val="none" w:sz="0" w:space="0" w:color="auto"/>
                            <w:left w:val="none" w:sz="0" w:space="0" w:color="auto"/>
                            <w:bottom w:val="none" w:sz="0" w:space="0" w:color="auto"/>
                            <w:right w:val="none" w:sz="0" w:space="0" w:color="auto"/>
                          </w:divBdr>
                        </w:div>
                      </w:divsChild>
                    </w:div>
                    <w:div w:id="1334139750">
                      <w:marLeft w:val="0"/>
                      <w:marRight w:val="0"/>
                      <w:marTop w:val="0"/>
                      <w:marBottom w:val="0"/>
                      <w:divBdr>
                        <w:top w:val="none" w:sz="0" w:space="0" w:color="auto"/>
                        <w:left w:val="none" w:sz="0" w:space="0" w:color="auto"/>
                        <w:bottom w:val="none" w:sz="0" w:space="0" w:color="auto"/>
                        <w:right w:val="none" w:sz="0" w:space="0" w:color="auto"/>
                      </w:divBdr>
                      <w:divsChild>
                        <w:div w:id="919827249">
                          <w:marLeft w:val="0"/>
                          <w:marRight w:val="0"/>
                          <w:marTop w:val="0"/>
                          <w:marBottom w:val="0"/>
                          <w:divBdr>
                            <w:top w:val="none" w:sz="0" w:space="0" w:color="auto"/>
                            <w:left w:val="none" w:sz="0" w:space="0" w:color="auto"/>
                            <w:bottom w:val="none" w:sz="0" w:space="0" w:color="auto"/>
                            <w:right w:val="none" w:sz="0" w:space="0" w:color="auto"/>
                          </w:divBdr>
                        </w:div>
                      </w:divsChild>
                    </w:div>
                    <w:div w:id="1335844445">
                      <w:marLeft w:val="0"/>
                      <w:marRight w:val="0"/>
                      <w:marTop w:val="0"/>
                      <w:marBottom w:val="0"/>
                      <w:divBdr>
                        <w:top w:val="none" w:sz="0" w:space="0" w:color="auto"/>
                        <w:left w:val="none" w:sz="0" w:space="0" w:color="auto"/>
                        <w:bottom w:val="none" w:sz="0" w:space="0" w:color="auto"/>
                        <w:right w:val="none" w:sz="0" w:space="0" w:color="auto"/>
                      </w:divBdr>
                      <w:divsChild>
                        <w:div w:id="1167212554">
                          <w:marLeft w:val="0"/>
                          <w:marRight w:val="0"/>
                          <w:marTop w:val="0"/>
                          <w:marBottom w:val="0"/>
                          <w:divBdr>
                            <w:top w:val="none" w:sz="0" w:space="0" w:color="auto"/>
                            <w:left w:val="none" w:sz="0" w:space="0" w:color="auto"/>
                            <w:bottom w:val="none" w:sz="0" w:space="0" w:color="auto"/>
                            <w:right w:val="none" w:sz="0" w:space="0" w:color="auto"/>
                          </w:divBdr>
                        </w:div>
                      </w:divsChild>
                    </w:div>
                    <w:div w:id="1335915859">
                      <w:marLeft w:val="0"/>
                      <w:marRight w:val="0"/>
                      <w:marTop w:val="0"/>
                      <w:marBottom w:val="0"/>
                      <w:divBdr>
                        <w:top w:val="none" w:sz="0" w:space="0" w:color="auto"/>
                        <w:left w:val="none" w:sz="0" w:space="0" w:color="auto"/>
                        <w:bottom w:val="none" w:sz="0" w:space="0" w:color="auto"/>
                        <w:right w:val="none" w:sz="0" w:space="0" w:color="auto"/>
                      </w:divBdr>
                      <w:divsChild>
                        <w:div w:id="483133142">
                          <w:marLeft w:val="0"/>
                          <w:marRight w:val="0"/>
                          <w:marTop w:val="0"/>
                          <w:marBottom w:val="0"/>
                          <w:divBdr>
                            <w:top w:val="none" w:sz="0" w:space="0" w:color="auto"/>
                            <w:left w:val="none" w:sz="0" w:space="0" w:color="auto"/>
                            <w:bottom w:val="none" w:sz="0" w:space="0" w:color="auto"/>
                            <w:right w:val="none" w:sz="0" w:space="0" w:color="auto"/>
                          </w:divBdr>
                        </w:div>
                      </w:divsChild>
                    </w:div>
                    <w:div w:id="1354500686">
                      <w:marLeft w:val="0"/>
                      <w:marRight w:val="0"/>
                      <w:marTop w:val="0"/>
                      <w:marBottom w:val="0"/>
                      <w:divBdr>
                        <w:top w:val="none" w:sz="0" w:space="0" w:color="auto"/>
                        <w:left w:val="none" w:sz="0" w:space="0" w:color="auto"/>
                        <w:bottom w:val="none" w:sz="0" w:space="0" w:color="auto"/>
                        <w:right w:val="none" w:sz="0" w:space="0" w:color="auto"/>
                      </w:divBdr>
                      <w:divsChild>
                        <w:div w:id="1466659146">
                          <w:marLeft w:val="0"/>
                          <w:marRight w:val="0"/>
                          <w:marTop w:val="0"/>
                          <w:marBottom w:val="0"/>
                          <w:divBdr>
                            <w:top w:val="none" w:sz="0" w:space="0" w:color="auto"/>
                            <w:left w:val="none" w:sz="0" w:space="0" w:color="auto"/>
                            <w:bottom w:val="none" w:sz="0" w:space="0" w:color="auto"/>
                            <w:right w:val="none" w:sz="0" w:space="0" w:color="auto"/>
                          </w:divBdr>
                        </w:div>
                      </w:divsChild>
                    </w:div>
                    <w:div w:id="1395005518">
                      <w:marLeft w:val="0"/>
                      <w:marRight w:val="0"/>
                      <w:marTop w:val="0"/>
                      <w:marBottom w:val="0"/>
                      <w:divBdr>
                        <w:top w:val="none" w:sz="0" w:space="0" w:color="auto"/>
                        <w:left w:val="none" w:sz="0" w:space="0" w:color="auto"/>
                        <w:bottom w:val="none" w:sz="0" w:space="0" w:color="auto"/>
                        <w:right w:val="none" w:sz="0" w:space="0" w:color="auto"/>
                      </w:divBdr>
                      <w:divsChild>
                        <w:div w:id="254484761">
                          <w:marLeft w:val="0"/>
                          <w:marRight w:val="0"/>
                          <w:marTop w:val="0"/>
                          <w:marBottom w:val="0"/>
                          <w:divBdr>
                            <w:top w:val="none" w:sz="0" w:space="0" w:color="auto"/>
                            <w:left w:val="none" w:sz="0" w:space="0" w:color="auto"/>
                            <w:bottom w:val="none" w:sz="0" w:space="0" w:color="auto"/>
                            <w:right w:val="none" w:sz="0" w:space="0" w:color="auto"/>
                          </w:divBdr>
                        </w:div>
                      </w:divsChild>
                    </w:div>
                    <w:div w:id="1402366371">
                      <w:marLeft w:val="0"/>
                      <w:marRight w:val="0"/>
                      <w:marTop w:val="0"/>
                      <w:marBottom w:val="0"/>
                      <w:divBdr>
                        <w:top w:val="none" w:sz="0" w:space="0" w:color="auto"/>
                        <w:left w:val="none" w:sz="0" w:space="0" w:color="auto"/>
                        <w:bottom w:val="none" w:sz="0" w:space="0" w:color="auto"/>
                        <w:right w:val="none" w:sz="0" w:space="0" w:color="auto"/>
                      </w:divBdr>
                      <w:divsChild>
                        <w:div w:id="1864434630">
                          <w:marLeft w:val="0"/>
                          <w:marRight w:val="0"/>
                          <w:marTop w:val="0"/>
                          <w:marBottom w:val="0"/>
                          <w:divBdr>
                            <w:top w:val="none" w:sz="0" w:space="0" w:color="auto"/>
                            <w:left w:val="none" w:sz="0" w:space="0" w:color="auto"/>
                            <w:bottom w:val="none" w:sz="0" w:space="0" w:color="auto"/>
                            <w:right w:val="none" w:sz="0" w:space="0" w:color="auto"/>
                          </w:divBdr>
                        </w:div>
                      </w:divsChild>
                    </w:div>
                    <w:div w:id="1409230987">
                      <w:marLeft w:val="0"/>
                      <w:marRight w:val="0"/>
                      <w:marTop w:val="0"/>
                      <w:marBottom w:val="0"/>
                      <w:divBdr>
                        <w:top w:val="none" w:sz="0" w:space="0" w:color="auto"/>
                        <w:left w:val="none" w:sz="0" w:space="0" w:color="auto"/>
                        <w:bottom w:val="none" w:sz="0" w:space="0" w:color="auto"/>
                        <w:right w:val="none" w:sz="0" w:space="0" w:color="auto"/>
                      </w:divBdr>
                      <w:divsChild>
                        <w:div w:id="526142051">
                          <w:marLeft w:val="0"/>
                          <w:marRight w:val="0"/>
                          <w:marTop w:val="0"/>
                          <w:marBottom w:val="0"/>
                          <w:divBdr>
                            <w:top w:val="none" w:sz="0" w:space="0" w:color="auto"/>
                            <w:left w:val="none" w:sz="0" w:space="0" w:color="auto"/>
                            <w:bottom w:val="none" w:sz="0" w:space="0" w:color="auto"/>
                            <w:right w:val="none" w:sz="0" w:space="0" w:color="auto"/>
                          </w:divBdr>
                        </w:div>
                      </w:divsChild>
                    </w:div>
                    <w:div w:id="1422990953">
                      <w:marLeft w:val="0"/>
                      <w:marRight w:val="0"/>
                      <w:marTop w:val="0"/>
                      <w:marBottom w:val="0"/>
                      <w:divBdr>
                        <w:top w:val="none" w:sz="0" w:space="0" w:color="auto"/>
                        <w:left w:val="none" w:sz="0" w:space="0" w:color="auto"/>
                        <w:bottom w:val="none" w:sz="0" w:space="0" w:color="auto"/>
                        <w:right w:val="none" w:sz="0" w:space="0" w:color="auto"/>
                      </w:divBdr>
                      <w:divsChild>
                        <w:div w:id="1673609276">
                          <w:marLeft w:val="0"/>
                          <w:marRight w:val="0"/>
                          <w:marTop w:val="0"/>
                          <w:marBottom w:val="0"/>
                          <w:divBdr>
                            <w:top w:val="none" w:sz="0" w:space="0" w:color="auto"/>
                            <w:left w:val="none" w:sz="0" w:space="0" w:color="auto"/>
                            <w:bottom w:val="none" w:sz="0" w:space="0" w:color="auto"/>
                            <w:right w:val="none" w:sz="0" w:space="0" w:color="auto"/>
                          </w:divBdr>
                        </w:div>
                      </w:divsChild>
                    </w:div>
                    <w:div w:id="1432703872">
                      <w:marLeft w:val="0"/>
                      <w:marRight w:val="0"/>
                      <w:marTop w:val="0"/>
                      <w:marBottom w:val="0"/>
                      <w:divBdr>
                        <w:top w:val="none" w:sz="0" w:space="0" w:color="auto"/>
                        <w:left w:val="none" w:sz="0" w:space="0" w:color="auto"/>
                        <w:bottom w:val="none" w:sz="0" w:space="0" w:color="auto"/>
                        <w:right w:val="none" w:sz="0" w:space="0" w:color="auto"/>
                      </w:divBdr>
                      <w:divsChild>
                        <w:div w:id="906648638">
                          <w:marLeft w:val="0"/>
                          <w:marRight w:val="0"/>
                          <w:marTop w:val="0"/>
                          <w:marBottom w:val="0"/>
                          <w:divBdr>
                            <w:top w:val="none" w:sz="0" w:space="0" w:color="auto"/>
                            <w:left w:val="none" w:sz="0" w:space="0" w:color="auto"/>
                            <w:bottom w:val="none" w:sz="0" w:space="0" w:color="auto"/>
                            <w:right w:val="none" w:sz="0" w:space="0" w:color="auto"/>
                          </w:divBdr>
                        </w:div>
                      </w:divsChild>
                    </w:div>
                    <w:div w:id="1448960801">
                      <w:marLeft w:val="0"/>
                      <w:marRight w:val="0"/>
                      <w:marTop w:val="0"/>
                      <w:marBottom w:val="0"/>
                      <w:divBdr>
                        <w:top w:val="none" w:sz="0" w:space="0" w:color="auto"/>
                        <w:left w:val="none" w:sz="0" w:space="0" w:color="auto"/>
                        <w:bottom w:val="none" w:sz="0" w:space="0" w:color="auto"/>
                        <w:right w:val="none" w:sz="0" w:space="0" w:color="auto"/>
                      </w:divBdr>
                      <w:divsChild>
                        <w:div w:id="1275596900">
                          <w:marLeft w:val="0"/>
                          <w:marRight w:val="0"/>
                          <w:marTop w:val="0"/>
                          <w:marBottom w:val="0"/>
                          <w:divBdr>
                            <w:top w:val="none" w:sz="0" w:space="0" w:color="auto"/>
                            <w:left w:val="none" w:sz="0" w:space="0" w:color="auto"/>
                            <w:bottom w:val="none" w:sz="0" w:space="0" w:color="auto"/>
                            <w:right w:val="none" w:sz="0" w:space="0" w:color="auto"/>
                          </w:divBdr>
                        </w:div>
                      </w:divsChild>
                    </w:div>
                    <w:div w:id="1470853743">
                      <w:marLeft w:val="0"/>
                      <w:marRight w:val="0"/>
                      <w:marTop w:val="0"/>
                      <w:marBottom w:val="0"/>
                      <w:divBdr>
                        <w:top w:val="none" w:sz="0" w:space="0" w:color="auto"/>
                        <w:left w:val="none" w:sz="0" w:space="0" w:color="auto"/>
                        <w:bottom w:val="none" w:sz="0" w:space="0" w:color="auto"/>
                        <w:right w:val="none" w:sz="0" w:space="0" w:color="auto"/>
                      </w:divBdr>
                      <w:divsChild>
                        <w:div w:id="1912227630">
                          <w:marLeft w:val="0"/>
                          <w:marRight w:val="0"/>
                          <w:marTop w:val="0"/>
                          <w:marBottom w:val="0"/>
                          <w:divBdr>
                            <w:top w:val="none" w:sz="0" w:space="0" w:color="auto"/>
                            <w:left w:val="none" w:sz="0" w:space="0" w:color="auto"/>
                            <w:bottom w:val="none" w:sz="0" w:space="0" w:color="auto"/>
                            <w:right w:val="none" w:sz="0" w:space="0" w:color="auto"/>
                          </w:divBdr>
                        </w:div>
                      </w:divsChild>
                    </w:div>
                    <w:div w:id="1474370987">
                      <w:marLeft w:val="0"/>
                      <w:marRight w:val="0"/>
                      <w:marTop w:val="0"/>
                      <w:marBottom w:val="0"/>
                      <w:divBdr>
                        <w:top w:val="none" w:sz="0" w:space="0" w:color="auto"/>
                        <w:left w:val="none" w:sz="0" w:space="0" w:color="auto"/>
                        <w:bottom w:val="none" w:sz="0" w:space="0" w:color="auto"/>
                        <w:right w:val="none" w:sz="0" w:space="0" w:color="auto"/>
                      </w:divBdr>
                      <w:divsChild>
                        <w:div w:id="1654219955">
                          <w:marLeft w:val="0"/>
                          <w:marRight w:val="0"/>
                          <w:marTop w:val="0"/>
                          <w:marBottom w:val="0"/>
                          <w:divBdr>
                            <w:top w:val="none" w:sz="0" w:space="0" w:color="auto"/>
                            <w:left w:val="none" w:sz="0" w:space="0" w:color="auto"/>
                            <w:bottom w:val="none" w:sz="0" w:space="0" w:color="auto"/>
                            <w:right w:val="none" w:sz="0" w:space="0" w:color="auto"/>
                          </w:divBdr>
                        </w:div>
                      </w:divsChild>
                    </w:div>
                    <w:div w:id="1475222122">
                      <w:marLeft w:val="0"/>
                      <w:marRight w:val="0"/>
                      <w:marTop w:val="0"/>
                      <w:marBottom w:val="0"/>
                      <w:divBdr>
                        <w:top w:val="none" w:sz="0" w:space="0" w:color="auto"/>
                        <w:left w:val="none" w:sz="0" w:space="0" w:color="auto"/>
                        <w:bottom w:val="none" w:sz="0" w:space="0" w:color="auto"/>
                        <w:right w:val="none" w:sz="0" w:space="0" w:color="auto"/>
                      </w:divBdr>
                      <w:divsChild>
                        <w:div w:id="1716927281">
                          <w:marLeft w:val="0"/>
                          <w:marRight w:val="0"/>
                          <w:marTop w:val="0"/>
                          <w:marBottom w:val="0"/>
                          <w:divBdr>
                            <w:top w:val="none" w:sz="0" w:space="0" w:color="auto"/>
                            <w:left w:val="none" w:sz="0" w:space="0" w:color="auto"/>
                            <w:bottom w:val="none" w:sz="0" w:space="0" w:color="auto"/>
                            <w:right w:val="none" w:sz="0" w:space="0" w:color="auto"/>
                          </w:divBdr>
                        </w:div>
                      </w:divsChild>
                    </w:div>
                    <w:div w:id="1477647757">
                      <w:marLeft w:val="0"/>
                      <w:marRight w:val="0"/>
                      <w:marTop w:val="0"/>
                      <w:marBottom w:val="0"/>
                      <w:divBdr>
                        <w:top w:val="none" w:sz="0" w:space="0" w:color="auto"/>
                        <w:left w:val="none" w:sz="0" w:space="0" w:color="auto"/>
                        <w:bottom w:val="none" w:sz="0" w:space="0" w:color="auto"/>
                        <w:right w:val="none" w:sz="0" w:space="0" w:color="auto"/>
                      </w:divBdr>
                      <w:divsChild>
                        <w:div w:id="164323580">
                          <w:marLeft w:val="0"/>
                          <w:marRight w:val="0"/>
                          <w:marTop w:val="0"/>
                          <w:marBottom w:val="0"/>
                          <w:divBdr>
                            <w:top w:val="none" w:sz="0" w:space="0" w:color="auto"/>
                            <w:left w:val="none" w:sz="0" w:space="0" w:color="auto"/>
                            <w:bottom w:val="none" w:sz="0" w:space="0" w:color="auto"/>
                            <w:right w:val="none" w:sz="0" w:space="0" w:color="auto"/>
                          </w:divBdr>
                        </w:div>
                      </w:divsChild>
                    </w:div>
                    <w:div w:id="1483622530">
                      <w:marLeft w:val="0"/>
                      <w:marRight w:val="0"/>
                      <w:marTop w:val="0"/>
                      <w:marBottom w:val="0"/>
                      <w:divBdr>
                        <w:top w:val="none" w:sz="0" w:space="0" w:color="auto"/>
                        <w:left w:val="none" w:sz="0" w:space="0" w:color="auto"/>
                        <w:bottom w:val="none" w:sz="0" w:space="0" w:color="auto"/>
                        <w:right w:val="none" w:sz="0" w:space="0" w:color="auto"/>
                      </w:divBdr>
                      <w:divsChild>
                        <w:div w:id="1767844936">
                          <w:marLeft w:val="0"/>
                          <w:marRight w:val="0"/>
                          <w:marTop w:val="0"/>
                          <w:marBottom w:val="0"/>
                          <w:divBdr>
                            <w:top w:val="none" w:sz="0" w:space="0" w:color="auto"/>
                            <w:left w:val="none" w:sz="0" w:space="0" w:color="auto"/>
                            <w:bottom w:val="none" w:sz="0" w:space="0" w:color="auto"/>
                            <w:right w:val="none" w:sz="0" w:space="0" w:color="auto"/>
                          </w:divBdr>
                        </w:div>
                      </w:divsChild>
                    </w:div>
                    <w:div w:id="1512525946">
                      <w:marLeft w:val="0"/>
                      <w:marRight w:val="0"/>
                      <w:marTop w:val="0"/>
                      <w:marBottom w:val="0"/>
                      <w:divBdr>
                        <w:top w:val="none" w:sz="0" w:space="0" w:color="auto"/>
                        <w:left w:val="none" w:sz="0" w:space="0" w:color="auto"/>
                        <w:bottom w:val="none" w:sz="0" w:space="0" w:color="auto"/>
                        <w:right w:val="none" w:sz="0" w:space="0" w:color="auto"/>
                      </w:divBdr>
                      <w:divsChild>
                        <w:div w:id="1492519759">
                          <w:marLeft w:val="0"/>
                          <w:marRight w:val="0"/>
                          <w:marTop w:val="0"/>
                          <w:marBottom w:val="0"/>
                          <w:divBdr>
                            <w:top w:val="none" w:sz="0" w:space="0" w:color="auto"/>
                            <w:left w:val="none" w:sz="0" w:space="0" w:color="auto"/>
                            <w:bottom w:val="none" w:sz="0" w:space="0" w:color="auto"/>
                            <w:right w:val="none" w:sz="0" w:space="0" w:color="auto"/>
                          </w:divBdr>
                        </w:div>
                      </w:divsChild>
                    </w:div>
                    <w:div w:id="1545555035">
                      <w:marLeft w:val="0"/>
                      <w:marRight w:val="0"/>
                      <w:marTop w:val="0"/>
                      <w:marBottom w:val="0"/>
                      <w:divBdr>
                        <w:top w:val="none" w:sz="0" w:space="0" w:color="auto"/>
                        <w:left w:val="none" w:sz="0" w:space="0" w:color="auto"/>
                        <w:bottom w:val="none" w:sz="0" w:space="0" w:color="auto"/>
                        <w:right w:val="none" w:sz="0" w:space="0" w:color="auto"/>
                      </w:divBdr>
                      <w:divsChild>
                        <w:div w:id="495728636">
                          <w:marLeft w:val="0"/>
                          <w:marRight w:val="0"/>
                          <w:marTop w:val="0"/>
                          <w:marBottom w:val="0"/>
                          <w:divBdr>
                            <w:top w:val="none" w:sz="0" w:space="0" w:color="auto"/>
                            <w:left w:val="none" w:sz="0" w:space="0" w:color="auto"/>
                            <w:bottom w:val="none" w:sz="0" w:space="0" w:color="auto"/>
                            <w:right w:val="none" w:sz="0" w:space="0" w:color="auto"/>
                          </w:divBdr>
                        </w:div>
                      </w:divsChild>
                    </w:div>
                    <w:div w:id="1550218631">
                      <w:marLeft w:val="0"/>
                      <w:marRight w:val="0"/>
                      <w:marTop w:val="0"/>
                      <w:marBottom w:val="0"/>
                      <w:divBdr>
                        <w:top w:val="none" w:sz="0" w:space="0" w:color="auto"/>
                        <w:left w:val="none" w:sz="0" w:space="0" w:color="auto"/>
                        <w:bottom w:val="none" w:sz="0" w:space="0" w:color="auto"/>
                        <w:right w:val="none" w:sz="0" w:space="0" w:color="auto"/>
                      </w:divBdr>
                      <w:divsChild>
                        <w:div w:id="713582204">
                          <w:marLeft w:val="0"/>
                          <w:marRight w:val="0"/>
                          <w:marTop w:val="0"/>
                          <w:marBottom w:val="0"/>
                          <w:divBdr>
                            <w:top w:val="none" w:sz="0" w:space="0" w:color="auto"/>
                            <w:left w:val="none" w:sz="0" w:space="0" w:color="auto"/>
                            <w:bottom w:val="none" w:sz="0" w:space="0" w:color="auto"/>
                            <w:right w:val="none" w:sz="0" w:space="0" w:color="auto"/>
                          </w:divBdr>
                        </w:div>
                      </w:divsChild>
                    </w:div>
                    <w:div w:id="1599870026">
                      <w:marLeft w:val="0"/>
                      <w:marRight w:val="0"/>
                      <w:marTop w:val="0"/>
                      <w:marBottom w:val="0"/>
                      <w:divBdr>
                        <w:top w:val="none" w:sz="0" w:space="0" w:color="auto"/>
                        <w:left w:val="none" w:sz="0" w:space="0" w:color="auto"/>
                        <w:bottom w:val="none" w:sz="0" w:space="0" w:color="auto"/>
                        <w:right w:val="none" w:sz="0" w:space="0" w:color="auto"/>
                      </w:divBdr>
                      <w:divsChild>
                        <w:div w:id="685982627">
                          <w:marLeft w:val="0"/>
                          <w:marRight w:val="0"/>
                          <w:marTop w:val="0"/>
                          <w:marBottom w:val="0"/>
                          <w:divBdr>
                            <w:top w:val="none" w:sz="0" w:space="0" w:color="auto"/>
                            <w:left w:val="none" w:sz="0" w:space="0" w:color="auto"/>
                            <w:bottom w:val="none" w:sz="0" w:space="0" w:color="auto"/>
                            <w:right w:val="none" w:sz="0" w:space="0" w:color="auto"/>
                          </w:divBdr>
                        </w:div>
                      </w:divsChild>
                    </w:div>
                    <w:div w:id="1601521390">
                      <w:marLeft w:val="0"/>
                      <w:marRight w:val="0"/>
                      <w:marTop w:val="0"/>
                      <w:marBottom w:val="0"/>
                      <w:divBdr>
                        <w:top w:val="none" w:sz="0" w:space="0" w:color="auto"/>
                        <w:left w:val="none" w:sz="0" w:space="0" w:color="auto"/>
                        <w:bottom w:val="none" w:sz="0" w:space="0" w:color="auto"/>
                        <w:right w:val="none" w:sz="0" w:space="0" w:color="auto"/>
                      </w:divBdr>
                      <w:divsChild>
                        <w:div w:id="1337609457">
                          <w:marLeft w:val="0"/>
                          <w:marRight w:val="0"/>
                          <w:marTop w:val="0"/>
                          <w:marBottom w:val="0"/>
                          <w:divBdr>
                            <w:top w:val="none" w:sz="0" w:space="0" w:color="auto"/>
                            <w:left w:val="none" w:sz="0" w:space="0" w:color="auto"/>
                            <w:bottom w:val="none" w:sz="0" w:space="0" w:color="auto"/>
                            <w:right w:val="none" w:sz="0" w:space="0" w:color="auto"/>
                          </w:divBdr>
                        </w:div>
                      </w:divsChild>
                    </w:div>
                    <w:div w:id="1601715670">
                      <w:marLeft w:val="0"/>
                      <w:marRight w:val="0"/>
                      <w:marTop w:val="0"/>
                      <w:marBottom w:val="0"/>
                      <w:divBdr>
                        <w:top w:val="none" w:sz="0" w:space="0" w:color="auto"/>
                        <w:left w:val="none" w:sz="0" w:space="0" w:color="auto"/>
                        <w:bottom w:val="none" w:sz="0" w:space="0" w:color="auto"/>
                        <w:right w:val="none" w:sz="0" w:space="0" w:color="auto"/>
                      </w:divBdr>
                      <w:divsChild>
                        <w:div w:id="110706748">
                          <w:marLeft w:val="0"/>
                          <w:marRight w:val="0"/>
                          <w:marTop w:val="0"/>
                          <w:marBottom w:val="0"/>
                          <w:divBdr>
                            <w:top w:val="none" w:sz="0" w:space="0" w:color="auto"/>
                            <w:left w:val="none" w:sz="0" w:space="0" w:color="auto"/>
                            <w:bottom w:val="none" w:sz="0" w:space="0" w:color="auto"/>
                            <w:right w:val="none" w:sz="0" w:space="0" w:color="auto"/>
                          </w:divBdr>
                        </w:div>
                      </w:divsChild>
                    </w:div>
                    <w:div w:id="1701543295">
                      <w:marLeft w:val="0"/>
                      <w:marRight w:val="0"/>
                      <w:marTop w:val="0"/>
                      <w:marBottom w:val="0"/>
                      <w:divBdr>
                        <w:top w:val="none" w:sz="0" w:space="0" w:color="auto"/>
                        <w:left w:val="none" w:sz="0" w:space="0" w:color="auto"/>
                        <w:bottom w:val="none" w:sz="0" w:space="0" w:color="auto"/>
                        <w:right w:val="none" w:sz="0" w:space="0" w:color="auto"/>
                      </w:divBdr>
                      <w:divsChild>
                        <w:div w:id="251016298">
                          <w:marLeft w:val="0"/>
                          <w:marRight w:val="0"/>
                          <w:marTop w:val="0"/>
                          <w:marBottom w:val="0"/>
                          <w:divBdr>
                            <w:top w:val="none" w:sz="0" w:space="0" w:color="auto"/>
                            <w:left w:val="none" w:sz="0" w:space="0" w:color="auto"/>
                            <w:bottom w:val="none" w:sz="0" w:space="0" w:color="auto"/>
                            <w:right w:val="none" w:sz="0" w:space="0" w:color="auto"/>
                          </w:divBdr>
                        </w:div>
                      </w:divsChild>
                    </w:div>
                    <w:div w:id="1762019050">
                      <w:marLeft w:val="0"/>
                      <w:marRight w:val="0"/>
                      <w:marTop w:val="0"/>
                      <w:marBottom w:val="0"/>
                      <w:divBdr>
                        <w:top w:val="none" w:sz="0" w:space="0" w:color="auto"/>
                        <w:left w:val="none" w:sz="0" w:space="0" w:color="auto"/>
                        <w:bottom w:val="none" w:sz="0" w:space="0" w:color="auto"/>
                        <w:right w:val="none" w:sz="0" w:space="0" w:color="auto"/>
                      </w:divBdr>
                      <w:divsChild>
                        <w:div w:id="385185766">
                          <w:marLeft w:val="0"/>
                          <w:marRight w:val="0"/>
                          <w:marTop w:val="0"/>
                          <w:marBottom w:val="0"/>
                          <w:divBdr>
                            <w:top w:val="none" w:sz="0" w:space="0" w:color="auto"/>
                            <w:left w:val="none" w:sz="0" w:space="0" w:color="auto"/>
                            <w:bottom w:val="none" w:sz="0" w:space="0" w:color="auto"/>
                            <w:right w:val="none" w:sz="0" w:space="0" w:color="auto"/>
                          </w:divBdr>
                        </w:div>
                      </w:divsChild>
                    </w:div>
                    <w:div w:id="1768116084">
                      <w:marLeft w:val="0"/>
                      <w:marRight w:val="0"/>
                      <w:marTop w:val="0"/>
                      <w:marBottom w:val="0"/>
                      <w:divBdr>
                        <w:top w:val="none" w:sz="0" w:space="0" w:color="auto"/>
                        <w:left w:val="none" w:sz="0" w:space="0" w:color="auto"/>
                        <w:bottom w:val="none" w:sz="0" w:space="0" w:color="auto"/>
                        <w:right w:val="none" w:sz="0" w:space="0" w:color="auto"/>
                      </w:divBdr>
                      <w:divsChild>
                        <w:div w:id="2079402390">
                          <w:marLeft w:val="0"/>
                          <w:marRight w:val="0"/>
                          <w:marTop w:val="0"/>
                          <w:marBottom w:val="0"/>
                          <w:divBdr>
                            <w:top w:val="none" w:sz="0" w:space="0" w:color="auto"/>
                            <w:left w:val="none" w:sz="0" w:space="0" w:color="auto"/>
                            <w:bottom w:val="none" w:sz="0" w:space="0" w:color="auto"/>
                            <w:right w:val="none" w:sz="0" w:space="0" w:color="auto"/>
                          </w:divBdr>
                        </w:div>
                      </w:divsChild>
                    </w:div>
                    <w:div w:id="1769034103">
                      <w:marLeft w:val="0"/>
                      <w:marRight w:val="0"/>
                      <w:marTop w:val="0"/>
                      <w:marBottom w:val="0"/>
                      <w:divBdr>
                        <w:top w:val="none" w:sz="0" w:space="0" w:color="auto"/>
                        <w:left w:val="none" w:sz="0" w:space="0" w:color="auto"/>
                        <w:bottom w:val="none" w:sz="0" w:space="0" w:color="auto"/>
                        <w:right w:val="none" w:sz="0" w:space="0" w:color="auto"/>
                      </w:divBdr>
                      <w:divsChild>
                        <w:div w:id="1475026215">
                          <w:marLeft w:val="0"/>
                          <w:marRight w:val="0"/>
                          <w:marTop w:val="0"/>
                          <w:marBottom w:val="0"/>
                          <w:divBdr>
                            <w:top w:val="none" w:sz="0" w:space="0" w:color="auto"/>
                            <w:left w:val="none" w:sz="0" w:space="0" w:color="auto"/>
                            <w:bottom w:val="none" w:sz="0" w:space="0" w:color="auto"/>
                            <w:right w:val="none" w:sz="0" w:space="0" w:color="auto"/>
                          </w:divBdr>
                        </w:div>
                      </w:divsChild>
                    </w:div>
                    <w:div w:id="1782920349">
                      <w:marLeft w:val="0"/>
                      <w:marRight w:val="0"/>
                      <w:marTop w:val="0"/>
                      <w:marBottom w:val="0"/>
                      <w:divBdr>
                        <w:top w:val="none" w:sz="0" w:space="0" w:color="auto"/>
                        <w:left w:val="none" w:sz="0" w:space="0" w:color="auto"/>
                        <w:bottom w:val="none" w:sz="0" w:space="0" w:color="auto"/>
                        <w:right w:val="none" w:sz="0" w:space="0" w:color="auto"/>
                      </w:divBdr>
                      <w:divsChild>
                        <w:div w:id="477697685">
                          <w:marLeft w:val="0"/>
                          <w:marRight w:val="0"/>
                          <w:marTop w:val="0"/>
                          <w:marBottom w:val="0"/>
                          <w:divBdr>
                            <w:top w:val="none" w:sz="0" w:space="0" w:color="auto"/>
                            <w:left w:val="none" w:sz="0" w:space="0" w:color="auto"/>
                            <w:bottom w:val="none" w:sz="0" w:space="0" w:color="auto"/>
                            <w:right w:val="none" w:sz="0" w:space="0" w:color="auto"/>
                          </w:divBdr>
                        </w:div>
                      </w:divsChild>
                    </w:div>
                    <w:div w:id="1786459347">
                      <w:marLeft w:val="0"/>
                      <w:marRight w:val="0"/>
                      <w:marTop w:val="0"/>
                      <w:marBottom w:val="0"/>
                      <w:divBdr>
                        <w:top w:val="none" w:sz="0" w:space="0" w:color="auto"/>
                        <w:left w:val="none" w:sz="0" w:space="0" w:color="auto"/>
                        <w:bottom w:val="none" w:sz="0" w:space="0" w:color="auto"/>
                        <w:right w:val="none" w:sz="0" w:space="0" w:color="auto"/>
                      </w:divBdr>
                      <w:divsChild>
                        <w:div w:id="857934391">
                          <w:marLeft w:val="0"/>
                          <w:marRight w:val="0"/>
                          <w:marTop w:val="0"/>
                          <w:marBottom w:val="0"/>
                          <w:divBdr>
                            <w:top w:val="none" w:sz="0" w:space="0" w:color="auto"/>
                            <w:left w:val="none" w:sz="0" w:space="0" w:color="auto"/>
                            <w:bottom w:val="none" w:sz="0" w:space="0" w:color="auto"/>
                            <w:right w:val="none" w:sz="0" w:space="0" w:color="auto"/>
                          </w:divBdr>
                        </w:div>
                      </w:divsChild>
                    </w:div>
                    <w:div w:id="1795715374">
                      <w:marLeft w:val="0"/>
                      <w:marRight w:val="0"/>
                      <w:marTop w:val="0"/>
                      <w:marBottom w:val="0"/>
                      <w:divBdr>
                        <w:top w:val="none" w:sz="0" w:space="0" w:color="auto"/>
                        <w:left w:val="none" w:sz="0" w:space="0" w:color="auto"/>
                        <w:bottom w:val="none" w:sz="0" w:space="0" w:color="auto"/>
                        <w:right w:val="none" w:sz="0" w:space="0" w:color="auto"/>
                      </w:divBdr>
                      <w:divsChild>
                        <w:div w:id="904728016">
                          <w:marLeft w:val="0"/>
                          <w:marRight w:val="0"/>
                          <w:marTop w:val="0"/>
                          <w:marBottom w:val="0"/>
                          <w:divBdr>
                            <w:top w:val="none" w:sz="0" w:space="0" w:color="auto"/>
                            <w:left w:val="none" w:sz="0" w:space="0" w:color="auto"/>
                            <w:bottom w:val="none" w:sz="0" w:space="0" w:color="auto"/>
                            <w:right w:val="none" w:sz="0" w:space="0" w:color="auto"/>
                          </w:divBdr>
                        </w:div>
                      </w:divsChild>
                    </w:div>
                    <w:div w:id="1809128561">
                      <w:marLeft w:val="0"/>
                      <w:marRight w:val="0"/>
                      <w:marTop w:val="0"/>
                      <w:marBottom w:val="0"/>
                      <w:divBdr>
                        <w:top w:val="none" w:sz="0" w:space="0" w:color="auto"/>
                        <w:left w:val="none" w:sz="0" w:space="0" w:color="auto"/>
                        <w:bottom w:val="none" w:sz="0" w:space="0" w:color="auto"/>
                        <w:right w:val="none" w:sz="0" w:space="0" w:color="auto"/>
                      </w:divBdr>
                      <w:divsChild>
                        <w:div w:id="940912976">
                          <w:marLeft w:val="0"/>
                          <w:marRight w:val="0"/>
                          <w:marTop w:val="0"/>
                          <w:marBottom w:val="0"/>
                          <w:divBdr>
                            <w:top w:val="none" w:sz="0" w:space="0" w:color="auto"/>
                            <w:left w:val="none" w:sz="0" w:space="0" w:color="auto"/>
                            <w:bottom w:val="none" w:sz="0" w:space="0" w:color="auto"/>
                            <w:right w:val="none" w:sz="0" w:space="0" w:color="auto"/>
                          </w:divBdr>
                        </w:div>
                      </w:divsChild>
                    </w:div>
                    <w:div w:id="1820152633">
                      <w:marLeft w:val="0"/>
                      <w:marRight w:val="0"/>
                      <w:marTop w:val="0"/>
                      <w:marBottom w:val="0"/>
                      <w:divBdr>
                        <w:top w:val="none" w:sz="0" w:space="0" w:color="auto"/>
                        <w:left w:val="none" w:sz="0" w:space="0" w:color="auto"/>
                        <w:bottom w:val="none" w:sz="0" w:space="0" w:color="auto"/>
                        <w:right w:val="none" w:sz="0" w:space="0" w:color="auto"/>
                      </w:divBdr>
                      <w:divsChild>
                        <w:div w:id="1258827689">
                          <w:marLeft w:val="0"/>
                          <w:marRight w:val="0"/>
                          <w:marTop w:val="0"/>
                          <w:marBottom w:val="0"/>
                          <w:divBdr>
                            <w:top w:val="none" w:sz="0" w:space="0" w:color="auto"/>
                            <w:left w:val="none" w:sz="0" w:space="0" w:color="auto"/>
                            <w:bottom w:val="none" w:sz="0" w:space="0" w:color="auto"/>
                            <w:right w:val="none" w:sz="0" w:space="0" w:color="auto"/>
                          </w:divBdr>
                        </w:div>
                      </w:divsChild>
                    </w:div>
                    <w:div w:id="1831873103">
                      <w:marLeft w:val="0"/>
                      <w:marRight w:val="0"/>
                      <w:marTop w:val="0"/>
                      <w:marBottom w:val="0"/>
                      <w:divBdr>
                        <w:top w:val="none" w:sz="0" w:space="0" w:color="auto"/>
                        <w:left w:val="none" w:sz="0" w:space="0" w:color="auto"/>
                        <w:bottom w:val="none" w:sz="0" w:space="0" w:color="auto"/>
                        <w:right w:val="none" w:sz="0" w:space="0" w:color="auto"/>
                      </w:divBdr>
                      <w:divsChild>
                        <w:div w:id="747926826">
                          <w:marLeft w:val="0"/>
                          <w:marRight w:val="0"/>
                          <w:marTop w:val="0"/>
                          <w:marBottom w:val="0"/>
                          <w:divBdr>
                            <w:top w:val="none" w:sz="0" w:space="0" w:color="auto"/>
                            <w:left w:val="none" w:sz="0" w:space="0" w:color="auto"/>
                            <w:bottom w:val="none" w:sz="0" w:space="0" w:color="auto"/>
                            <w:right w:val="none" w:sz="0" w:space="0" w:color="auto"/>
                          </w:divBdr>
                        </w:div>
                      </w:divsChild>
                    </w:div>
                    <w:div w:id="1833989502">
                      <w:marLeft w:val="0"/>
                      <w:marRight w:val="0"/>
                      <w:marTop w:val="0"/>
                      <w:marBottom w:val="0"/>
                      <w:divBdr>
                        <w:top w:val="none" w:sz="0" w:space="0" w:color="auto"/>
                        <w:left w:val="none" w:sz="0" w:space="0" w:color="auto"/>
                        <w:bottom w:val="none" w:sz="0" w:space="0" w:color="auto"/>
                        <w:right w:val="none" w:sz="0" w:space="0" w:color="auto"/>
                      </w:divBdr>
                      <w:divsChild>
                        <w:div w:id="2138571172">
                          <w:marLeft w:val="0"/>
                          <w:marRight w:val="0"/>
                          <w:marTop w:val="0"/>
                          <w:marBottom w:val="0"/>
                          <w:divBdr>
                            <w:top w:val="none" w:sz="0" w:space="0" w:color="auto"/>
                            <w:left w:val="none" w:sz="0" w:space="0" w:color="auto"/>
                            <w:bottom w:val="none" w:sz="0" w:space="0" w:color="auto"/>
                            <w:right w:val="none" w:sz="0" w:space="0" w:color="auto"/>
                          </w:divBdr>
                        </w:div>
                      </w:divsChild>
                    </w:div>
                    <w:div w:id="1856459449">
                      <w:marLeft w:val="0"/>
                      <w:marRight w:val="0"/>
                      <w:marTop w:val="0"/>
                      <w:marBottom w:val="0"/>
                      <w:divBdr>
                        <w:top w:val="none" w:sz="0" w:space="0" w:color="auto"/>
                        <w:left w:val="none" w:sz="0" w:space="0" w:color="auto"/>
                        <w:bottom w:val="none" w:sz="0" w:space="0" w:color="auto"/>
                        <w:right w:val="none" w:sz="0" w:space="0" w:color="auto"/>
                      </w:divBdr>
                      <w:divsChild>
                        <w:div w:id="1868831405">
                          <w:marLeft w:val="0"/>
                          <w:marRight w:val="0"/>
                          <w:marTop w:val="0"/>
                          <w:marBottom w:val="0"/>
                          <w:divBdr>
                            <w:top w:val="none" w:sz="0" w:space="0" w:color="auto"/>
                            <w:left w:val="none" w:sz="0" w:space="0" w:color="auto"/>
                            <w:bottom w:val="none" w:sz="0" w:space="0" w:color="auto"/>
                            <w:right w:val="none" w:sz="0" w:space="0" w:color="auto"/>
                          </w:divBdr>
                        </w:div>
                      </w:divsChild>
                    </w:div>
                    <w:div w:id="1875384139">
                      <w:marLeft w:val="0"/>
                      <w:marRight w:val="0"/>
                      <w:marTop w:val="0"/>
                      <w:marBottom w:val="0"/>
                      <w:divBdr>
                        <w:top w:val="none" w:sz="0" w:space="0" w:color="auto"/>
                        <w:left w:val="none" w:sz="0" w:space="0" w:color="auto"/>
                        <w:bottom w:val="none" w:sz="0" w:space="0" w:color="auto"/>
                        <w:right w:val="none" w:sz="0" w:space="0" w:color="auto"/>
                      </w:divBdr>
                      <w:divsChild>
                        <w:div w:id="1890334954">
                          <w:marLeft w:val="0"/>
                          <w:marRight w:val="0"/>
                          <w:marTop w:val="0"/>
                          <w:marBottom w:val="0"/>
                          <w:divBdr>
                            <w:top w:val="none" w:sz="0" w:space="0" w:color="auto"/>
                            <w:left w:val="none" w:sz="0" w:space="0" w:color="auto"/>
                            <w:bottom w:val="none" w:sz="0" w:space="0" w:color="auto"/>
                            <w:right w:val="none" w:sz="0" w:space="0" w:color="auto"/>
                          </w:divBdr>
                        </w:div>
                      </w:divsChild>
                    </w:div>
                    <w:div w:id="1884825231">
                      <w:marLeft w:val="0"/>
                      <w:marRight w:val="0"/>
                      <w:marTop w:val="0"/>
                      <w:marBottom w:val="0"/>
                      <w:divBdr>
                        <w:top w:val="none" w:sz="0" w:space="0" w:color="auto"/>
                        <w:left w:val="none" w:sz="0" w:space="0" w:color="auto"/>
                        <w:bottom w:val="none" w:sz="0" w:space="0" w:color="auto"/>
                        <w:right w:val="none" w:sz="0" w:space="0" w:color="auto"/>
                      </w:divBdr>
                      <w:divsChild>
                        <w:div w:id="949242464">
                          <w:marLeft w:val="0"/>
                          <w:marRight w:val="0"/>
                          <w:marTop w:val="0"/>
                          <w:marBottom w:val="0"/>
                          <w:divBdr>
                            <w:top w:val="none" w:sz="0" w:space="0" w:color="auto"/>
                            <w:left w:val="none" w:sz="0" w:space="0" w:color="auto"/>
                            <w:bottom w:val="none" w:sz="0" w:space="0" w:color="auto"/>
                            <w:right w:val="none" w:sz="0" w:space="0" w:color="auto"/>
                          </w:divBdr>
                        </w:div>
                      </w:divsChild>
                    </w:div>
                    <w:div w:id="1891919001">
                      <w:marLeft w:val="0"/>
                      <w:marRight w:val="0"/>
                      <w:marTop w:val="0"/>
                      <w:marBottom w:val="0"/>
                      <w:divBdr>
                        <w:top w:val="none" w:sz="0" w:space="0" w:color="auto"/>
                        <w:left w:val="none" w:sz="0" w:space="0" w:color="auto"/>
                        <w:bottom w:val="none" w:sz="0" w:space="0" w:color="auto"/>
                        <w:right w:val="none" w:sz="0" w:space="0" w:color="auto"/>
                      </w:divBdr>
                      <w:divsChild>
                        <w:div w:id="1706902802">
                          <w:marLeft w:val="0"/>
                          <w:marRight w:val="0"/>
                          <w:marTop w:val="0"/>
                          <w:marBottom w:val="0"/>
                          <w:divBdr>
                            <w:top w:val="none" w:sz="0" w:space="0" w:color="auto"/>
                            <w:left w:val="none" w:sz="0" w:space="0" w:color="auto"/>
                            <w:bottom w:val="none" w:sz="0" w:space="0" w:color="auto"/>
                            <w:right w:val="none" w:sz="0" w:space="0" w:color="auto"/>
                          </w:divBdr>
                        </w:div>
                      </w:divsChild>
                    </w:div>
                    <w:div w:id="1917127011">
                      <w:marLeft w:val="0"/>
                      <w:marRight w:val="0"/>
                      <w:marTop w:val="0"/>
                      <w:marBottom w:val="0"/>
                      <w:divBdr>
                        <w:top w:val="none" w:sz="0" w:space="0" w:color="auto"/>
                        <w:left w:val="none" w:sz="0" w:space="0" w:color="auto"/>
                        <w:bottom w:val="none" w:sz="0" w:space="0" w:color="auto"/>
                        <w:right w:val="none" w:sz="0" w:space="0" w:color="auto"/>
                      </w:divBdr>
                      <w:divsChild>
                        <w:div w:id="1955359374">
                          <w:marLeft w:val="0"/>
                          <w:marRight w:val="0"/>
                          <w:marTop w:val="0"/>
                          <w:marBottom w:val="0"/>
                          <w:divBdr>
                            <w:top w:val="none" w:sz="0" w:space="0" w:color="auto"/>
                            <w:left w:val="none" w:sz="0" w:space="0" w:color="auto"/>
                            <w:bottom w:val="none" w:sz="0" w:space="0" w:color="auto"/>
                            <w:right w:val="none" w:sz="0" w:space="0" w:color="auto"/>
                          </w:divBdr>
                        </w:div>
                      </w:divsChild>
                    </w:div>
                    <w:div w:id="1941066710">
                      <w:marLeft w:val="0"/>
                      <w:marRight w:val="0"/>
                      <w:marTop w:val="0"/>
                      <w:marBottom w:val="0"/>
                      <w:divBdr>
                        <w:top w:val="none" w:sz="0" w:space="0" w:color="auto"/>
                        <w:left w:val="none" w:sz="0" w:space="0" w:color="auto"/>
                        <w:bottom w:val="none" w:sz="0" w:space="0" w:color="auto"/>
                        <w:right w:val="none" w:sz="0" w:space="0" w:color="auto"/>
                      </w:divBdr>
                      <w:divsChild>
                        <w:div w:id="61368080">
                          <w:marLeft w:val="0"/>
                          <w:marRight w:val="0"/>
                          <w:marTop w:val="0"/>
                          <w:marBottom w:val="0"/>
                          <w:divBdr>
                            <w:top w:val="none" w:sz="0" w:space="0" w:color="auto"/>
                            <w:left w:val="none" w:sz="0" w:space="0" w:color="auto"/>
                            <w:bottom w:val="none" w:sz="0" w:space="0" w:color="auto"/>
                            <w:right w:val="none" w:sz="0" w:space="0" w:color="auto"/>
                          </w:divBdr>
                        </w:div>
                      </w:divsChild>
                    </w:div>
                    <w:div w:id="1942763511">
                      <w:marLeft w:val="0"/>
                      <w:marRight w:val="0"/>
                      <w:marTop w:val="0"/>
                      <w:marBottom w:val="0"/>
                      <w:divBdr>
                        <w:top w:val="none" w:sz="0" w:space="0" w:color="auto"/>
                        <w:left w:val="none" w:sz="0" w:space="0" w:color="auto"/>
                        <w:bottom w:val="none" w:sz="0" w:space="0" w:color="auto"/>
                        <w:right w:val="none" w:sz="0" w:space="0" w:color="auto"/>
                      </w:divBdr>
                      <w:divsChild>
                        <w:div w:id="287708615">
                          <w:marLeft w:val="0"/>
                          <w:marRight w:val="0"/>
                          <w:marTop w:val="0"/>
                          <w:marBottom w:val="0"/>
                          <w:divBdr>
                            <w:top w:val="none" w:sz="0" w:space="0" w:color="auto"/>
                            <w:left w:val="none" w:sz="0" w:space="0" w:color="auto"/>
                            <w:bottom w:val="none" w:sz="0" w:space="0" w:color="auto"/>
                            <w:right w:val="none" w:sz="0" w:space="0" w:color="auto"/>
                          </w:divBdr>
                        </w:div>
                      </w:divsChild>
                    </w:div>
                    <w:div w:id="1987708912">
                      <w:marLeft w:val="0"/>
                      <w:marRight w:val="0"/>
                      <w:marTop w:val="0"/>
                      <w:marBottom w:val="0"/>
                      <w:divBdr>
                        <w:top w:val="none" w:sz="0" w:space="0" w:color="auto"/>
                        <w:left w:val="none" w:sz="0" w:space="0" w:color="auto"/>
                        <w:bottom w:val="none" w:sz="0" w:space="0" w:color="auto"/>
                        <w:right w:val="none" w:sz="0" w:space="0" w:color="auto"/>
                      </w:divBdr>
                      <w:divsChild>
                        <w:div w:id="1841693025">
                          <w:marLeft w:val="0"/>
                          <w:marRight w:val="0"/>
                          <w:marTop w:val="0"/>
                          <w:marBottom w:val="0"/>
                          <w:divBdr>
                            <w:top w:val="none" w:sz="0" w:space="0" w:color="auto"/>
                            <w:left w:val="none" w:sz="0" w:space="0" w:color="auto"/>
                            <w:bottom w:val="none" w:sz="0" w:space="0" w:color="auto"/>
                            <w:right w:val="none" w:sz="0" w:space="0" w:color="auto"/>
                          </w:divBdr>
                        </w:div>
                      </w:divsChild>
                    </w:div>
                    <w:div w:id="2000305698">
                      <w:marLeft w:val="0"/>
                      <w:marRight w:val="0"/>
                      <w:marTop w:val="0"/>
                      <w:marBottom w:val="0"/>
                      <w:divBdr>
                        <w:top w:val="none" w:sz="0" w:space="0" w:color="auto"/>
                        <w:left w:val="none" w:sz="0" w:space="0" w:color="auto"/>
                        <w:bottom w:val="none" w:sz="0" w:space="0" w:color="auto"/>
                        <w:right w:val="none" w:sz="0" w:space="0" w:color="auto"/>
                      </w:divBdr>
                      <w:divsChild>
                        <w:div w:id="2092844607">
                          <w:marLeft w:val="0"/>
                          <w:marRight w:val="0"/>
                          <w:marTop w:val="0"/>
                          <w:marBottom w:val="0"/>
                          <w:divBdr>
                            <w:top w:val="none" w:sz="0" w:space="0" w:color="auto"/>
                            <w:left w:val="none" w:sz="0" w:space="0" w:color="auto"/>
                            <w:bottom w:val="none" w:sz="0" w:space="0" w:color="auto"/>
                            <w:right w:val="none" w:sz="0" w:space="0" w:color="auto"/>
                          </w:divBdr>
                        </w:div>
                      </w:divsChild>
                    </w:div>
                    <w:div w:id="2029721562">
                      <w:marLeft w:val="0"/>
                      <w:marRight w:val="0"/>
                      <w:marTop w:val="0"/>
                      <w:marBottom w:val="0"/>
                      <w:divBdr>
                        <w:top w:val="none" w:sz="0" w:space="0" w:color="auto"/>
                        <w:left w:val="none" w:sz="0" w:space="0" w:color="auto"/>
                        <w:bottom w:val="none" w:sz="0" w:space="0" w:color="auto"/>
                        <w:right w:val="none" w:sz="0" w:space="0" w:color="auto"/>
                      </w:divBdr>
                      <w:divsChild>
                        <w:div w:id="1918632790">
                          <w:marLeft w:val="0"/>
                          <w:marRight w:val="0"/>
                          <w:marTop w:val="0"/>
                          <w:marBottom w:val="0"/>
                          <w:divBdr>
                            <w:top w:val="none" w:sz="0" w:space="0" w:color="auto"/>
                            <w:left w:val="none" w:sz="0" w:space="0" w:color="auto"/>
                            <w:bottom w:val="none" w:sz="0" w:space="0" w:color="auto"/>
                            <w:right w:val="none" w:sz="0" w:space="0" w:color="auto"/>
                          </w:divBdr>
                        </w:div>
                      </w:divsChild>
                    </w:div>
                    <w:div w:id="2058387265">
                      <w:marLeft w:val="0"/>
                      <w:marRight w:val="0"/>
                      <w:marTop w:val="0"/>
                      <w:marBottom w:val="0"/>
                      <w:divBdr>
                        <w:top w:val="none" w:sz="0" w:space="0" w:color="auto"/>
                        <w:left w:val="none" w:sz="0" w:space="0" w:color="auto"/>
                        <w:bottom w:val="none" w:sz="0" w:space="0" w:color="auto"/>
                        <w:right w:val="none" w:sz="0" w:space="0" w:color="auto"/>
                      </w:divBdr>
                      <w:divsChild>
                        <w:div w:id="1912344453">
                          <w:marLeft w:val="0"/>
                          <w:marRight w:val="0"/>
                          <w:marTop w:val="0"/>
                          <w:marBottom w:val="0"/>
                          <w:divBdr>
                            <w:top w:val="none" w:sz="0" w:space="0" w:color="auto"/>
                            <w:left w:val="none" w:sz="0" w:space="0" w:color="auto"/>
                            <w:bottom w:val="none" w:sz="0" w:space="0" w:color="auto"/>
                            <w:right w:val="none" w:sz="0" w:space="0" w:color="auto"/>
                          </w:divBdr>
                        </w:div>
                      </w:divsChild>
                    </w:div>
                    <w:div w:id="2091540491">
                      <w:marLeft w:val="0"/>
                      <w:marRight w:val="0"/>
                      <w:marTop w:val="0"/>
                      <w:marBottom w:val="0"/>
                      <w:divBdr>
                        <w:top w:val="none" w:sz="0" w:space="0" w:color="auto"/>
                        <w:left w:val="none" w:sz="0" w:space="0" w:color="auto"/>
                        <w:bottom w:val="none" w:sz="0" w:space="0" w:color="auto"/>
                        <w:right w:val="none" w:sz="0" w:space="0" w:color="auto"/>
                      </w:divBdr>
                      <w:divsChild>
                        <w:div w:id="1364401874">
                          <w:marLeft w:val="0"/>
                          <w:marRight w:val="0"/>
                          <w:marTop w:val="0"/>
                          <w:marBottom w:val="0"/>
                          <w:divBdr>
                            <w:top w:val="none" w:sz="0" w:space="0" w:color="auto"/>
                            <w:left w:val="none" w:sz="0" w:space="0" w:color="auto"/>
                            <w:bottom w:val="none" w:sz="0" w:space="0" w:color="auto"/>
                            <w:right w:val="none" w:sz="0" w:space="0" w:color="auto"/>
                          </w:divBdr>
                        </w:div>
                      </w:divsChild>
                    </w:div>
                    <w:div w:id="2102025947">
                      <w:marLeft w:val="0"/>
                      <w:marRight w:val="0"/>
                      <w:marTop w:val="0"/>
                      <w:marBottom w:val="0"/>
                      <w:divBdr>
                        <w:top w:val="none" w:sz="0" w:space="0" w:color="auto"/>
                        <w:left w:val="none" w:sz="0" w:space="0" w:color="auto"/>
                        <w:bottom w:val="none" w:sz="0" w:space="0" w:color="auto"/>
                        <w:right w:val="none" w:sz="0" w:space="0" w:color="auto"/>
                      </w:divBdr>
                      <w:divsChild>
                        <w:div w:id="1078404866">
                          <w:marLeft w:val="0"/>
                          <w:marRight w:val="0"/>
                          <w:marTop w:val="0"/>
                          <w:marBottom w:val="0"/>
                          <w:divBdr>
                            <w:top w:val="none" w:sz="0" w:space="0" w:color="auto"/>
                            <w:left w:val="none" w:sz="0" w:space="0" w:color="auto"/>
                            <w:bottom w:val="none" w:sz="0" w:space="0" w:color="auto"/>
                            <w:right w:val="none" w:sz="0" w:space="0" w:color="auto"/>
                          </w:divBdr>
                        </w:div>
                      </w:divsChild>
                    </w:div>
                    <w:div w:id="2104060276">
                      <w:marLeft w:val="0"/>
                      <w:marRight w:val="0"/>
                      <w:marTop w:val="0"/>
                      <w:marBottom w:val="0"/>
                      <w:divBdr>
                        <w:top w:val="none" w:sz="0" w:space="0" w:color="auto"/>
                        <w:left w:val="none" w:sz="0" w:space="0" w:color="auto"/>
                        <w:bottom w:val="none" w:sz="0" w:space="0" w:color="auto"/>
                        <w:right w:val="none" w:sz="0" w:space="0" w:color="auto"/>
                      </w:divBdr>
                      <w:divsChild>
                        <w:div w:id="12423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11146">
              <w:marLeft w:val="0"/>
              <w:marRight w:val="0"/>
              <w:marTop w:val="0"/>
              <w:marBottom w:val="0"/>
              <w:divBdr>
                <w:top w:val="none" w:sz="0" w:space="0" w:color="auto"/>
                <w:left w:val="none" w:sz="0" w:space="0" w:color="auto"/>
                <w:bottom w:val="none" w:sz="0" w:space="0" w:color="auto"/>
                <w:right w:val="none" w:sz="0" w:space="0" w:color="auto"/>
              </w:divBdr>
            </w:div>
            <w:div w:id="983316361">
              <w:marLeft w:val="0"/>
              <w:marRight w:val="0"/>
              <w:marTop w:val="0"/>
              <w:marBottom w:val="0"/>
              <w:divBdr>
                <w:top w:val="none" w:sz="0" w:space="0" w:color="auto"/>
                <w:left w:val="none" w:sz="0" w:space="0" w:color="auto"/>
                <w:bottom w:val="none" w:sz="0" w:space="0" w:color="auto"/>
                <w:right w:val="none" w:sz="0" w:space="0" w:color="auto"/>
              </w:divBdr>
            </w:div>
            <w:div w:id="1008295255">
              <w:marLeft w:val="0"/>
              <w:marRight w:val="0"/>
              <w:marTop w:val="0"/>
              <w:marBottom w:val="0"/>
              <w:divBdr>
                <w:top w:val="none" w:sz="0" w:space="0" w:color="auto"/>
                <w:left w:val="none" w:sz="0" w:space="0" w:color="auto"/>
                <w:bottom w:val="none" w:sz="0" w:space="0" w:color="auto"/>
                <w:right w:val="none" w:sz="0" w:space="0" w:color="auto"/>
              </w:divBdr>
            </w:div>
            <w:div w:id="1166897373">
              <w:marLeft w:val="0"/>
              <w:marRight w:val="0"/>
              <w:marTop w:val="0"/>
              <w:marBottom w:val="0"/>
              <w:divBdr>
                <w:top w:val="none" w:sz="0" w:space="0" w:color="auto"/>
                <w:left w:val="none" w:sz="0" w:space="0" w:color="auto"/>
                <w:bottom w:val="none" w:sz="0" w:space="0" w:color="auto"/>
                <w:right w:val="none" w:sz="0" w:space="0" w:color="auto"/>
              </w:divBdr>
            </w:div>
            <w:div w:id="1242909003">
              <w:marLeft w:val="0"/>
              <w:marRight w:val="0"/>
              <w:marTop w:val="0"/>
              <w:marBottom w:val="0"/>
              <w:divBdr>
                <w:top w:val="none" w:sz="0" w:space="0" w:color="auto"/>
                <w:left w:val="none" w:sz="0" w:space="0" w:color="auto"/>
                <w:bottom w:val="none" w:sz="0" w:space="0" w:color="auto"/>
                <w:right w:val="none" w:sz="0" w:space="0" w:color="auto"/>
              </w:divBdr>
            </w:div>
            <w:div w:id="1309553015">
              <w:marLeft w:val="0"/>
              <w:marRight w:val="0"/>
              <w:marTop w:val="0"/>
              <w:marBottom w:val="0"/>
              <w:divBdr>
                <w:top w:val="none" w:sz="0" w:space="0" w:color="auto"/>
                <w:left w:val="none" w:sz="0" w:space="0" w:color="auto"/>
                <w:bottom w:val="none" w:sz="0" w:space="0" w:color="auto"/>
                <w:right w:val="none" w:sz="0" w:space="0" w:color="auto"/>
              </w:divBdr>
            </w:div>
            <w:div w:id="1345862332">
              <w:marLeft w:val="0"/>
              <w:marRight w:val="0"/>
              <w:marTop w:val="0"/>
              <w:marBottom w:val="0"/>
              <w:divBdr>
                <w:top w:val="none" w:sz="0" w:space="0" w:color="auto"/>
                <w:left w:val="none" w:sz="0" w:space="0" w:color="auto"/>
                <w:bottom w:val="none" w:sz="0" w:space="0" w:color="auto"/>
                <w:right w:val="none" w:sz="0" w:space="0" w:color="auto"/>
              </w:divBdr>
            </w:div>
            <w:div w:id="1446383873">
              <w:marLeft w:val="0"/>
              <w:marRight w:val="0"/>
              <w:marTop w:val="0"/>
              <w:marBottom w:val="0"/>
              <w:divBdr>
                <w:top w:val="none" w:sz="0" w:space="0" w:color="auto"/>
                <w:left w:val="none" w:sz="0" w:space="0" w:color="auto"/>
                <w:bottom w:val="none" w:sz="0" w:space="0" w:color="auto"/>
                <w:right w:val="none" w:sz="0" w:space="0" w:color="auto"/>
              </w:divBdr>
            </w:div>
            <w:div w:id="1551528212">
              <w:marLeft w:val="0"/>
              <w:marRight w:val="0"/>
              <w:marTop w:val="0"/>
              <w:marBottom w:val="0"/>
              <w:divBdr>
                <w:top w:val="none" w:sz="0" w:space="0" w:color="auto"/>
                <w:left w:val="none" w:sz="0" w:space="0" w:color="auto"/>
                <w:bottom w:val="none" w:sz="0" w:space="0" w:color="auto"/>
                <w:right w:val="none" w:sz="0" w:space="0" w:color="auto"/>
              </w:divBdr>
            </w:div>
            <w:div w:id="1603688069">
              <w:marLeft w:val="0"/>
              <w:marRight w:val="0"/>
              <w:marTop w:val="0"/>
              <w:marBottom w:val="0"/>
              <w:divBdr>
                <w:top w:val="none" w:sz="0" w:space="0" w:color="auto"/>
                <w:left w:val="none" w:sz="0" w:space="0" w:color="auto"/>
                <w:bottom w:val="none" w:sz="0" w:space="0" w:color="auto"/>
                <w:right w:val="none" w:sz="0" w:space="0" w:color="auto"/>
              </w:divBdr>
            </w:div>
            <w:div w:id="1650938929">
              <w:marLeft w:val="0"/>
              <w:marRight w:val="0"/>
              <w:marTop w:val="0"/>
              <w:marBottom w:val="0"/>
              <w:divBdr>
                <w:top w:val="none" w:sz="0" w:space="0" w:color="auto"/>
                <w:left w:val="none" w:sz="0" w:space="0" w:color="auto"/>
                <w:bottom w:val="none" w:sz="0" w:space="0" w:color="auto"/>
                <w:right w:val="none" w:sz="0" w:space="0" w:color="auto"/>
              </w:divBdr>
            </w:div>
            <w:div w:id="2042053965">
              <w:marLeft w:val="0"/>
              <w:marRight w:val="0"/>
              <w:marTop w:val="0"/>
              <w:marBottom w:val="0"/>
              <w:divBdr>
                <w:top w:val="none" w:sz="0" w:space="0" w:color="auto"/>
                <w:left w:val="none" w:sz="0" w:space="0" w:color="auto"/>
                <w:bottom w:val="none" w:sz="0" w:space="0" w:color="auto"/>
                <w:right w:val="none" w:sz="0" w:space="0" w:color="auto"/>
              </w:divBdr>
            </w:div>
            <w:div w:id="2054769216">
              <w:marLeft w:val="0"/>
              <w:marRight w:val="0"/>
              <w:marTop w:val="0"/>
              <w:marBottom w:val="0"/>
              <w:divBdr>
                <w:top w:val="none" w:sz="0" w:space="0" w:color="auto"/>
                <w:left w:val="none" w:sz="0" w:space="0" w:color="auto"/>
                <w:bottom w:val="none" w:sz="0" w:space="0" w:color="auto"/>
                <w:right w:val="none" w:sz="0" w:space="0" w:color="auto"/>
              </w:divBdr>
            </w:div>
          </w:divsChild>
        </w:div>
        <w:div w:id="1859466777">
          <w:marLeft w:val="0"/>
          <w:marRight w:val="0"/>
          <w:marTop w:val="0"/>
          <w:marBottom w:val="0"/>
          <w:divBdr>
            <w:top w:val="none" w:sz="0" w:space="0" w:color="auto"/>
            <w:left w:val="none" w:sz="0" w:space="0" w:color="auto"/>
            <w:bottom w:val="none" w:sz="0" w:space="0" w:color="auto"/>
            <w:right w:val="none" w:sz="0" w:space="0" w:color="auto"/>
          </w:divBdr>
        </w:div>
        <w:div w:id="1859851732">
          <w:marLeft w:val="0"/>
          <w:marRight w:val="0"/>
          <w:marTop w:val="0"/>
          <w:marBottom w:val="0"/>
          <w:divBdr>
            <w:top w:val="none" w:sz="0" w:space="0" w:color="auto"/>
            <w:left w:val="none" w:sz="0" w:space="0" w:color="auto"/>
            <w:bottom w:val="none" w:sz="0" w:space="0" w:color="auto"/>
            <w:right w:val="none" w:sz="0" w:space="0" w:color="auto"/>
          </w:divBdr>
        </w:div>
        <w:div w:id="1861582008">
          <w:marLeft w:val="0"/>
          <w:marRight w:val="0"/>
          <w:marTop w:val="0"/>
          <w:marBottom w:val="0"/>
          <w:divBdr>
            <w:top w:val="none" w:sz="0" w:space="0" w:color="auto"/>
            <w:left w:val="none" w:sz="0" w:space="0" w:color="auto"/>
            <w:bottom w:val="none" w:sz="0" w:space="0" w:color="auto"/>
            <w:right w:val="none" w:sz="0" w:space="0" w:color="auto"/>
          </w:divBdr>
        </w:div>
        <w:div w:id="1863594178">
          <w:marLeft w:val="0"/>
          <w:marRight w:val="0"/>
          <w:marTop w:val="0"/>
          <w:marBottom w:val="0"/>
          <w:divBdr>
            <w:top w:val="none" w:sz="0" w:space="0" w:color="auto"/>
            <w:left w:val="none" w:sz="0" w:space="0" w:color="auto"/>
            <w:bottom w:val="none" w:sz="0" w:space="0" w:color="auto"/>
            <w:right w:val="none" w:sz="0" w:space="0" w:color="auto"/>
          </w:divBdr>
        </w:div>
        <w:div w:id="1865171245">
          <w:marLeft w:val="0"/>
          <w:marRight w:val="0"/>
          <w:marTop w:val="0"/>
          <w:marBottom w:val="0"/>
          <w:divBdr>
            <w:top w:val="none" w:sz="0" w:space="0" w:color="auto"/>
            <w:left w:val="none" w:sz="0" w:space="0" w:color="auto"/>
            <w:bottom w:val="none" w:sz="0" w:space="0" w:color="auto"/>
            <w:right w:val="none" w:sz="0" w:space="0" w:color="auto"/>
          </w:divBdr>
        </w:div>
        <w:div w:id="1865971466">
          <w:marLeft w:val="0"/>
          <w:marRight w:val="0"/>
          <w:marTop w:val="0"/>
          <w:marBottom w:val="0"/>
          <w:divBdr>
            <w:top w:val="none" w:sz="0" w:space="0" w:color="auto"/>
            <w:left w:val="none" w:sz="0" w:space="0" w:color="auto"/>
            <w:bottom w:val="none" w:sz="0" w:space="0" w:color="auto"/>
            <w:right w:val="none" w:sz="0" w:space="0" w:color="auto"/>
          </w:divBdr>
        </w:div>
        <w:div w:id="1867987020">
          <w:marLeft w:val="0"/>
          <w:marRight w:val="0"/>
          <w:marTop w:val="0"/>
          <w:marBottom w:val="0"/>
          <w:divBdr>
            <w:top w:val="none" w:sz="0" w:space="0" w:color="auto"/>
            <w:left w:val="none" w:sz="0" w:space="0" w:color="auto"/>
            <w:bottom w:val="none" w:sz="0" w:space="0" w:color="auto"/>
            <w:right w:val="none" w:sz="0" w:space="0" w:color="auto"/>
          </w:divBdr>
        </w:div>
        <w:div w:id="1870796699">
          <w:marLeft w:val="0"/>
          <w:marRight w:val="0"/>
          <w:marTop w:val="0"/>
          <w:marBottom w:val="0"/>
          <w:divBdr>
            <w:top w:val="none" w:sz="0" w:space="0" w:color="auto"/>
            <w:left w:val="none" w:sz="0" w:space="0" w:color="auto"/>
            <w:bottom w:val="none" w:sz="0" w:space="0" w:color="auto"/>
            <w:right w:val="none" w:sz="0" w:space="0" w:color="auto"/>
          </w:divBdr>
        </w:div>
        <w:div w:id="1873376801">
          <w:marLeft w:val="0"/>
          <w:marRight w:val="0"/>
          <w:marTop w:val="0"/>
          <w:marBottom w:val="0"/>
          <w:divBdr>
            <w:top w:val="none" w:sz="0" w:space="0" w:color="auto"/>
            <w:left w:val="none" w:sz="0" w:space="0" w:color="auto"/>
            <w:bottom w:val="none" w:sz="0" w:space="0" w:color="auto"/>
            <w:right w:val="none" w:sz="0" w:space="0" w:color="auto"/>
          </w:divBdr>
        </w:div>
        <w:div w:id="1873879951">
          <w:marLeft w:val="0"/>
          <w:marRight w:val="0"/>
          <w:marTop w:val="0"/>
          <w:marBottom w:val="0"/>
          <w:divBdr>
            <w:top w:val="none" w:sz="0" w:space="0" w:color="auto"/>
            <w:left w:val="none" w:sz="0" w:space="0" w:color="auto"/>
            <w:bottom w:val="none" w:sz="0" w:space="0" w:color="auto"/>
            <w:right w:val="none" w:sz="0" w:space="0" w:color="auto"/>
          </w:divBdr>
        </w:div>
        <w:div w:id="1874342311">
          <w:marLeft w:val="0"/>
          <w:marRight w:val="0"/>
          <w:marTop w:val="0"/>
          <w:marBottom w:val="0"/>
          <w:divBdr>
            <w:top w:val="none" w:sz="0" w:space="0" w:color="auto"/>
            <w:left w:val="none" w:sz="0" w:space="0" w:color="auto"/>
            <w:bottom w:val="none" w:sz="0" w:space="0" w:color="auto"/>
            <w:right w:val="none" w:sz="0" w:space="0" w:color="auto"/>
          </w:divBdr>
          <w:divsChild>
            <w:div w:id="86000694">
              <w:marLeft w:val="0"/>
              <w:marRight w:val="0"/>
              <w:marTop w:val="0"/>
              <w:marBottom w:val="0"/>
              <w:divBdr>
                <w:top w:val="none" w:sz="0" w:space="0" w:color="auto"/>
                <w:left w:val="none" w:sz="0" w:space="0" w:color="auto"/>
                <w:bottom w:val="none" w:sz="0" w:space="0" w:color="auto"/>
                <w:right w:val="none" w:sz="0" w:space="0" w:color="auto"/>
              </w:divBdr>
            </w:div>
            <w:div w:id="173148871">
              <w:marLeft w:val="0"/>
              <w:marRight w:val="0"/>
              <w:marTop w:val="0"/>
              <w:marBottom w:val="0"/>
              <w:divBdr>
                <w:top w:val="none" w:sz="0" w:space="0" w:color="auto"/>
                <w:left w:val="none" w:sz="0" w:space="0" w:color="auto"/>
                <w:bottom w:val="none" w:sz="0" w:space="0" w:color="auto"/>
                <w:right w:val="none" w:sz="0" w:space="0" w:color="auto"/>
              </w:divBdr>
            </w:div>
            <w:div w:id="213934137">
              <w:marLeft w:val="0"/>
              <w:marRight w:val="0"/>
              <w:marTop w:val="0"/>
              <w:marBottom w:val="0"/>
              <w:divBdr>
                <w:top w:val="none" w:sz="0" w:space="0" w:color="auto"/>
                <w:left w:val="none" w:sz="0" w:space="0" w:color="auto"/>
                <w:bottom w:val="none" w:sz="0" w:space="0" w:color="auto"/>
                <w:right w:val="none" w:sz="0" w:space="0" w:color="auto"/>
              </w:divBdr>
            </w:div>
            <w:div w:id="341127841">
              <w:marLeft w:val="0"/>
              <w:marRight w:val="0"/>
              <w:marTop w:val="0"/>
              <w:marBottom w:val="0"/>
              <w:divBdr>
                <w:top w:val="none" w:sz="0" w:space="0" w:color="auto"/>
                <w:left w:val="none" w:sz="0" w:space="0" w:color="auto"/>
                <w:bottom w:val="none" w:sz="0" w:space="0" w:color="auto"/>
                <w:right w:val="none" w:sz="0" w:space="0" w:color="auto"/>
              </w:divBdr>
            </w:div>
            <w:div w:id="358317987">
              <w:marLeft w:val="0"/>
              <w:marRight w:val="0"/>
              <w:marTop w:val="0"/>
              <w:marBottom w:val="0"/>
              <w:divBdr>
                <w:top w:val="none" w:sz="0" w:space="0" w:color="auto"/>
                <w:left w:val="none" w:sz="0" w:space="0" w:color="auto"/>
                <w:bottom w:val="none" w:sz="0" w:space="0" w:color="auto"/>
                <w:right w:val="none" w:sz="0" w:space="0" w:color="auto"/>
              </w:divBdr>
            </w:div>
            <w:div w:id="374502498">
              <w:marLeft w:val="0"/>
              <w:marRight w:val="0"/>
              <w:marTop w:val="0"/>
              <w:marBottom w:val="0"/>
              <w:divBdr>
                <w:top w:val="none" w:sz="0" w:space="0" w:color="auto"/>
                <w:left w:val="none" w:sz="0" w:space="0" w:color="auto"/>
                <w:bottom w:val="none" w:sz="0" w:space="0" w:color="auto"/>
                <w:right w:val="none" w:sz="0" w:space="0" w:color="auto"/>
              </w:divBdr>
            </w:div>
            <w:div w:id="524097901">
              <w:marLeft w:val="0"/>
              <w:marRight w:val="0"/>
              <w:marTop w:val="0"/>
              <w:marBottom w:val="0"/>
              <w:divBdr>
                <w:top w:val="none" w:sz="0" w:space="0" w:color="auto"/>
                <w:left w:val="none" w:sz="0" w:space="0" w:color="auto"/>
                <w:bottom w:val="none" w:sz="0" w:space="0" w:color="auto"/>
                <w:right w:val="none" w:sz="0" w:space="0" w:color="auto"/>
              </w:divBdr>
            </w:div>
            <w:div w:id="533084358">
              <w:marLeft w:val="0"/>
              <w:marRight w:val="0"/>
              <w:marTop w:val="0"/>
              <w:marBottom w:val="0"/>
              <w:divBdr>
                <w:top w:val="none" w:sz="0" w:space="0" w:color="auto"/>
                <w:left w:val="none" w:sz="0" w:space="0" w:color="auto"/>
                <w:bottom w:val="none" w:sz="0" w:space="0" w:color="auto"/>
                <w:right w:val="none" w:sz="0" w:space="0" w:color="auto"/>
              </w:divBdr>
            </w:div>
            <w:div w:id="628973489">
              <w:marLeft w:val="0"/>
              <w:marRight w:val="0"/>
              <w:marTop w:val="0"/>
              <w:marBottom w:val="0"/>
              <w:divBdr>
                <w:top w:val="none" w:sz="0" w:space="0" w:color="auto"/>
                <w:left w:val="none" w:sz="0" w:space="0" w:color="auto"/>
                <w:bottom w:val="none" w:sz="0" w:space="0" w:color="auto"/>
                <w:right w:val="none" w:sz="0" w:space="0" w:color="auto"/>
              </w:divBdr>
            </w:div>
            <w:div w:id="807480878">
              <w:marLeft w:val="0"/>
              <w:marRight w:val="0"/>
              <w:marTop w:val="0"/>
              <w:marBottom w:val="0"/>
              <w:divBdr>
                <w:top w:val="none" w:sz="0" w:space="0" w:color="auto"/>
                <w:left w:val="none" w:sz="0" w:space="0" w:color="auto"/>
                <w:bottom w:val="none" w:sz="0" w:space="0" w:color="auto"/>
                <w:right w:val="none" w:sz="0" w:space="0" w:color="auto"/>
              </w:divBdr>
            </w:div>
            <w:div w:id="850410831">
              <w:marLeft w:val="0"/>
              <w:marRight w:val="0"/>
              <w:marTop w:val="0"/>
              <w:marBottom w:val="0"/>
              <w:divBdr>
                <w:top w:val="none" w:sz="0" w:space="0" w:color="auto"/>
                <w:left w:val="none" w:sz="0" w:space="0" w:color="auto"/>
                <w:bottom w:val="none" w:sz="0" w:space="0" w:color="auto"/>
                <w:right w:val="none" w:sz="0" w:space="0" w:color="auto"/>
              </w:divBdr>
            </w:div>
            <w:div w:id="1168011782">
              <w:marLeft w:val="0"/>
              <w:marRight w:val="0"/>
              <w:marTop w:val="0"/>
              <w:marBottom w:val="0"/>
              <w:divBdr>
                <w:top w:val="none" w:sz="0" w:space="0" w:color="auto"/>
                <w:left w:val="none" w:sz="0" w:space="0" w:color="auto"/>
                <w:bottom w:val="none" w:sz="0" w:space="0" w:color="auto"/>
                <w:right w:val="none" w:sz="0" w:space="0" w:color="auto"/>
              </w:divBdr>
            </w:div>
            <w:div w:id="1313949881">
              <w:marLeft w:val="0"/>
              <w:marRight w:val="0"/>
              <w:marTop w:val="0"/>
              <w:marBottom w:val="0"/>
              <w:divBdr>
                <w:top w:val="none" w:sz="0" w:space="0" w:color="auto"/>
                <w:left w:val="none" w:sz="0" w:space="0" w:color="auto"/>
                <w:bottom w:val="none" w:sz="0" w:space="0" w:color="auto"/>
                <w:right w:val="none" w:sz="0" w:space="0" w:color="auto"/>
              </w:divBdr>
            </w:div>
            <w:div w:id="1641960163">
              <w:marLeft w:val="0"/>
              <w:marRight w:val="0"/>
              <w:marTop w:val="0"/>
              <w:marBottom w:val="0"/>
              <w:divBdr>
                <w:top w:val="none" w:sz="0" w:space="0" w:color="auto"/>
                <w:left w:val="none" w:sz="0" w:space="0" w:color="auto"/>
                <w:bottom w:val="none" w:sz="0" w:space="0" w:color="auto"/>
                <w:right w:val="none" w:sz="0" w:space="0" w:color="auto"/>
              </w:divBdr>
            </w:div>
            <w:div w:id="1697193837">
              <w:marLeft w:val="0"/>
              <w:marRight w:val="0"/>
              <w:marTop w:val="0"/>
              <w:marBottom w:val="0"/>
              <w:divBdr>
                <w:top w:val="none" w:sz="0" w:space="0" w:color="auto"/>
                <w:left w:val="none" w:sz="0" w:space="0" w:color="auto"/>
                <w:bottom w:val="none" w:sz="0" w:space="0" w:color="auto"/>
                <w:right w:val="none" w:sz="0" w:space="0" w:color="auto"/>
              </w:divBdr>
            </w:div>
            <w:div w:id="1759865255">
              <w:marLeft w:val="0"/>
              <w:marRight w:val="0"/>
              <w:marTop w:val="0"/>
              <w:marBottom w:val="0"/>
              <w:divBdr>
                <w:top w:val="none" w:sz="0" w:space="0" w:color="auto"/>
                <w:left w:val="none" w:sz="0" w:space="0" w:color="auto"/>
                <w:bottom w:val="none" w:sz="0" w:space="0" w:color="auto"/>
                <w:right w:val="none" w:sz="0" w:space="0" w:color="auto"/>
              </w:divBdr>
            </w:div>
            <w:div w:id="1780443417">
              <w:marLeft w:val="0"/>
              <w:marRight w:val="0"/>
              <w:marTop w:val="0"/>
              <w:marBottom w:val="0"/>
              <w:divBdr>
                <w:top w:val="none" w:sz="0" w:space="0" w:color="auto"/>
                <w:left w:val="none" w:sz="0" w:space="0" w:color="auto"/>
                <w:bottom w:val="none" w:sz="0" w:space="0" w:color="auto"/>
                <w:right w:val="none" w:sz="0" w:space="0" w:color="auto"/>
              </w:divBdr>
            </w:div>
            <w:div w:id="1909850369">
              <w:marLeft w:val="0"/>
              <w:marRight w:val="0"/>
              <w:marTop w:val="0"/>
              <w:marBottom w:val="0"/>
              <w:divBdr>
                <w:top w:val="none" w:sz="0" w:space="0" w:color="auto"/>
                <w:left w:val="none" w:sz="0" w:space="0" w:color="auto"/>
                <w:bottom w:val="none" w:sz="0" w:space="0" w:color="auto"/>
                <w:right w:val="none" w:sz="0" w:space="0" w:color="auto"/>
              </w:divBdr>
            </w:div>
            <w:div w:id="2053311311">
              <w:marLeft w:val="0"/>
              <w:marRight w:val="0"/>
              <w:marTop w:val="0"/>
              <w:marBottom w:val="0"/>
              <w:divBdr>
                <w:top w:val="none" w:sz="0" w:space="0" w:color="auto"/>
                <w:left w:val="none" w:sz="0" w:space="0" w:color="auto"/>
                <w:bottom w:val="none" w:sz="0" w:space="0" w:color="auto"/>
                <w:right w:val="none" w:sz="0" w:space="0" w:color="auto"/>
              </w:divBdr>
            </w:div>
            <w:div w:id="2076198676">
              <w:marLeft w:val="0"/>
              <w:marRight w:val="0"/>
              <w:marTop w:val="0"/>
              <w:marBottom w:val="0"/>
              <w:divBdr>
                <w:top w:val="none" w:sz="0" w:space="0" w:color="auto"/>
                <w:left w:val="none" w:sz="0" w:space="0" w:color="auto"/>
                <w:bottom w:val="none" w:sz="0" w:space="0" w:color="auto"/>
                <w:right w:val="none" w:sz="0" w:space="0" w:color="auto"/>
              </w:divBdr>
            </w:div>
          </w:divsChild>
        </w:div>
        <w:div w:id="1874882346">
          <w:marLeft w:val="0"/>
          <w:marRight w:val="0"/>
          <w:marTop w:val="0"/>
          <w:marBottom w:val="0"/>
          <w:divBdr>
            <w:top w:val="none" w:sz="0" w:space="0" w:color="auto"/>
            <w:left w:val="none" w:sz="0" w:space="0" w:color="auto"/>
            <w:bottom w:val="none" w:sz="0" w:space="0" w:color="auto"/>
            <w:right w:val="none" w:sz="0" w:space="0" w:color="auto"/>
          </w:divBdr>
        </w:div>
        <w:div w:id="1876693385">
          <w:marLeft w:val="0"/>
          <w:marRight w:val="0"/>
          <w:marTop w:val="0"/>
          <w:marBottom w:val="0"/>
          <w:divBdr>
            <w:top w:val="none" w:sz="0" w:space="0" w:color="auto"/>
            <w:left w:val="none" w:sz="0" w:space="0" w:color="auto"/>
            <w:bottom w:val="none" w:sz="0" w:space="0" w:color="auto"/>
            <w:right w:val="none" w:sz="0" w:space="0" w:color="auto"/>
          </w:divBdr>
        </w:div>
        <w:div w:id="1876850192">
          <w:marLeft w:val="0"/>
          <w:marRight w:val="0"/>
          <w:marTop w:val="0"/>
          <w:marBottom w:val="0"/>
          <w:divBdr>
            <w:top w:val="none" w:sz="0" w:space="0" w:color="auto"/>
            <w:left w:val="none" w:sz="0" w:space="0" w:color="auto"/>
            <w:bottom w:val="none" w:sz="0" w:space="0" w:color="auto"/>
            <w:right w:val="none" w:sz="0" w:space="0" w:color="auto"/>
          </w:divBdr>
        </w:div>
        <w:div w:id="1877890248">
          <w:marLeft w:val="0"/>
          <w:marRight w:val="0"/>
          <w:marTop w:val="0"/>
          <w:marBottom w:val="0"/>
          <w:divBdr>
            <w:top w:val="none" w:sz="0" w:space="0" w:color="auto"/>
            <w:left w:val="none" w:sz="0" w:space="0" w:color="auto"/>
            <w:bottom w:val="none" w:sz="0" w:space="0" w:color="auto"/>
            <w:right w:val="none" w:sz="0" w:space="0" w:color="auto"/>
          </w:divBdr>
        </w:div>
        <w:div w:id="1878004596">
          <w:marLeft w:val="0"/>
          <w:marRight w:val="0"/>
          <w:marTop w:val="0"/>
          <w:marBottom w:val="0"/>
          <w:divBdr>
            <w:top w:val="none" w:sz="0" w:space="0" w:color="auto"/>
            <w:left w:val="none" w:sz="0" w:space="0" w:color="auto"/>
            <w:bottom w:val="none" w:sz="0" w:space="0" w:color="auto"/>
            <w:right w:val="none" w:sz="0" w:space="0" w:color="auto"/>
          </w:divBdr>
        </w:div>
        <w:div w:id="1878930892">
          <w:marLeft w:val="0"/>
          <w:marRight w:val="0"/>
          <w:marTop w:val="0"/>
          <w:marBottom w:val="0"/>
          <w:divBdr>
            <w:top w:val="none" w:sz="0" w:space="0" w:color="auto"/>
            <w:left w:val="none" w:sz="0" w:space="0" w:color="auto"/>
            <w:bottom w:val="none" w:sz="0" w:space="0" w:color="auto"/>
            <w:right w:val="none" w:sz="0" w:space="0" w:color="auto"/>
          </w:divBdr>
        </w:div>
        <w:div w:id="1879200183">
          <w:marLeft w:val="0"/>
          <w:marRight w:val="0"/>
          <w:marTop w:val="0"/>
          <w:marBottom w:val="0"/>
          <w:divBdr>
            <w:top w:val="none" w:sz="0" w:space="0" w:color="auto"/>
            <w:left w:val="none" w:sz="0" w:space="0" w:color="auto"/>
            <w:bottom w:val="none" w:sz="0" w:space="0" w:color="auto"/>
            <w:right w:val="none" w:sz="0" w:space="0" w:color="auto"/>
          </w:divBdr>
        </w:div>
        <w:div w:id="1879317599">
          <w:marLeft w:val="0"/>
          <w:marRight w:val="0"/>
          <w:marTop w:val="0"/>
          <w:marBottom w:val="0"/>
          <w:divBdr>
            <w:top w:val="none" w:sz="0" w:space="0" w:color="auto"/>
            <w:left w:val="none" w:sz="0" w:space="0" w:color="auto"/>
            <w:bottom w:val="none" w:sz="0" w:space="0" w:color="auto"/>
            <w:right w:val="none" w:sz="0" w:space="0" w:color="auto"/>
          </w:divBdr>
        </w:div>
        <w:div w:id="1881243280">
          <w:marLeft w:val="0"/>
          <w:marRight w:val="0"/>
          <w:marTop w:val="0"/>
          <w:marBottom w:val="0"/>
          <w:divBdr>
            <w:top w:val="none" w:sz="0" w:space="0" w:color="auto"/>
            <w:left w:val="none" w:sz="0" w:space="0" w:color="auto"/>
            <w:bottom w:val="none" w:sz="0" w:space="0" w:color="auto"/>
            <w:right w:val="none" w:sz="0" w:space="0" w:color="auto"/>
          </w:divBdr>
          <w:divsChild>
            <w:div w:id="34504654">
              <w:marLeft w:val="0"/>
              <w:marRight w:val="0"/>
              <w:marTop w:val="0"/>
              <w:marBottom w:val="0"/>
              <w:divBdr>
                <w:top w:val="none" w:sz="0" w:space="0" w:color="auto"/>
                <w:left w:val="none" w:sz="0" w:space="0" w:color="auto"/>
                <w:bottom w:val="none" w:sz="0" w:space="0" w:color="auto"/>
                <w:right w:val="none" w:sz="0" w:space="0" w:color="auto"/>
              </w:divBdr>
            </w:div>
            <w:div w:id="193462687">
              <w:marLeft w:val="0"/>
              <w:marRight w:val="0"/>
              <w:marTop w:val="0"/>
              <w:marBottom w:val="0"/>
              <w:divBdr>
                <w:top w:val="none" w:sz="0" w:space="0" w:color="auto"/>
                <w:left w:val="none" w:sz="0" w:space="0" w:color="auto"/>
                <w:bottom w:val="none" w:sz="0" w:space="0" w:color="auto"/>
                <w:right w:val="none" w:sz="0" w:space="0" w:color="auto"/>
              </w:divBdr>
            </w:div>
            <w:div w:id="194317325">
              <w:marLeft w:val="0"/>
              <w:marRight w:val="0"/>
              <w:marTop w:val="0"/>
              <w:marBottom w:val="0"/>
              <w:divBdr>
                <w:top w:val="none" w:sz="0" w:space="0" w:color="auto"/>
                <w:left w:val="none" w:sz="0" w:space="0" w:color="auto"/>
                <w:bottom w:val="none" w:sz="0" w:space="0" w:color="auto"/>
                <w:right w:val="none" w:sz="0" w:space="0" w:color="auto"/>
              </w:divBdr>
            </w:div>
            <w:div w:id="323438999">
              <w:marLeft w:val="0"/>
              <w:marRight w:val="0"/>
              <w:marTop w:val="0"/>
              <w:marBottom w:val="0"/>
              <w:divBdr>
                <w:top w:val="none" w:sz="0" w:space="0" w:color="auto"/>
                <w:left w:val="none" w:sz="0" w:space="0" w:color="auto"/>
                <w:bottom w:val="none" w:sz="0" w:space="0" w:color="auto"/>
                <w:right w:val="none" w:sz="0" w:space="0" w:color="auto"/>
              </w:divBdr>
            </w:div>
            <w:div w:id="460075155">
              <w:marLeft w:val="0"/>
              <w:marRight w:val="0"/>
              <w:marTop w:val="0"/>
              <w:marBottom w:val="0"/>
              <w:divBdr>
                <w:top w:val="none" w:sz="0" w:space="0" w:color="auto"/>
                <w:left w:val="none" w:sz="0" w:space="0" w:color="auto"/>
                <w:bottom w:val="none" w:sz="0" w:space="0" w:color="auto"/>
                <w:right w:val="none" w:sz="0" w:space="0" w:color="auto"/>
              </w:divBdr>
            </w:div>
            <w:div w:id="509876202">
              <w:marLeft w:val="0"/>
              <w:marRight w:val="0"/>
              <w:marTop w:val="0"/>
              <w:marBottom w:val="0"/>
              <w:divBdr>
                <w:top w:val="none" w:sz="0" w:space="0" w:color="auto"/>
                <w:left w:val="none" w:sz="0" w:space="0" w:color="auto"/>
                <w:bottom w:val="none" w:sz="0" w:space="0" w:color="auto"/>
                <w:right w:val="none" w:sz="0" w:space="0" w:color="auto"/>
              </w:divBdr>
            </w:div>
            <w:div w:id="844438137">
              <w:marLeft w:val="0"/>
              <w:marRight w:val="0"/>
              <w:marTop w:val="0"/>
              <w:marBottom w:val="0"/>
              <w:divBdr>
                <w:top w:val="none" w:sz="0" w:space="0" w:color="auto"/>
                <w:left w:val="none" w:sz="0" w:space="0" w:color="auto"/>
                <w:bottom w:val="none" w:sz="0" w:space="0" w:color="auto"/>
                <w:right w:val="none" w:sz="0" w:space="0" w:color="auto"/>
              </w:divBdr>
            </w:div>
            <w:div w:id="850725425">
              <w:marLeft w:val="0"/>
              <w:marRight w:val="0"/>
              <w:marTop w:val="0"/>
              <w:marBottom w:val="0"/>
              <w:divBdr>
                <w:top w:val="none" w:sz="0" w:space="0" w:color="auto"/>
                <w:left w:val="none" w:sz="0" w:space="0" w:color="auto"/>
                <w:bottom w:val="none" w:sz="0" w:space="0" w:color="auto"/>
                <w:right w:val="none" w:sz="0" w:space="0" w:color="auto"/>
              </w:divBdr>
            </w:div>
            <w:div w:id="976684493">
              <w:marLeft w:val="0"/>
              <w:marRight w:val="0"/>
              <w:marTop w:val="0"/>
              <w:marBottom w:val="0"/>
              <w:divBdr>
                <w:top w:val="none" w:sz="0" w:space="0" w:color="auto"/>
                <w:left w:val="none" w:sz="0" w:space="0" w:color="auto"/>
                <w:bottom w:val="none" w:sz="0" w:space="0" w:color="auto"/>
                <w:right w:val="none" w:sz="0" w:space="0" w:color="auto"/>
              </w:divBdr>
            </w:div>
            <w:div w:id="1069813840">
              <w:marLeft w:val="0"/>
              <w:marRight w:val="0"/>
              <w:marTop w:val="0"/>
              <w:marBottom w:val="0"/>
              <w:divBdr>
                <w:top w:val="none" w:sz="0" w:space="0" w:color="auto"/>
                <w:left w:val="none" w:sz="0" w:space="0" w:color="auto"/>
                <w:bottom w:val="none" w:sz="0" w:space="0" w:color="auto"/>
                <w:right w:val="none" w:sz="0" w:space="0" w:color="auto"/>
              </w:divBdr>
            </w:div>
            <w:div w:id="1219829227">
              <w:marLeft w:val="0"/>
              <w:marRight w:val="0"/>
              <w:marTop w:val="0"/>
              <w:marBottom w:val="0"/>
              <w:divBdr>
                <w:top w:val="none" w:sz="0" w:space="0" w:color="auto"/>
                <w:left w:val="none" w:sz="0" w:space="0" w:color="auto"/>
                <w:bottom w:val="none" w:sz="0" w:space="0" w:color="auto"/>
                <w:right w:val="none" w:sz="0" w:space="0" w:color="auto"/>
              </w:divBdr>
            </w:div>
            <w:div w:id="1340041822">
              <w:marLeft w:val="0"/>
              <w:marRight w:val="0"/>
              <w:marTop w:val="0"/>
              <w:marBottom w:val="0"/>
              <w:divBdr>
                <w:top w:val="none" w:sz="0" w:space="0" w:color="auto"/>
                <w:left w:val="none" w:sz="0" w:space="0" w:color="auto"/>
                <w:bottom w:val="none" w:sz="0" w:space="0" w:color="auto"/>
                <w:right w:val="none" w:sz="0" w:space="0" w:color="auto"/>
              </w:divBdr>
            </w:div>
            <w:div w:id="1549535206">
              <w:marLeft w:val="0"/>
              <w:marRight w:val="0"/>
              <w:marTop w:val="0"/>
              <w:marBottom w:val="0"/>
              <w:divBdr>
                <w:top w:val="none" w:sz="0" w:space="0" w:color="auto"/>
                <w:left w:val="none" w:sz="0" w:space="0" w:color="auto"/>
                <w:bottom w:val="none" w:sz="0" w:space="0" w:color="auto"/>
                <w:right w:val="none" w:sz="0" w:space="0" w:color="auto"/>
              </w:divBdr>
            </w:div>
            <w:div w:id="1624534031">
              <w:marLeft w:val="0"/>
              <w:marRight w:val="0"/>
              <w:marTop w:val="0"/>
              <w:marBottom w:val="0"/>
              <w:divBdr>
                <w:top w:val="none" w:sz="0" w:space="0" w:color="auto"/>
                <w:left w:val="none" w:sz="0" w:space="0" w:color="auto"/>
                <w:bottom w:val="none" w:sz="0" w:space="0" w:color="auto"/>
                <w:right w:val="none" w:sz="0" w:space="0" w:color="auto"/>
              </w:divBdr>
            </w:div>
            <w:div w:id="1730030868">
              <w:marLeft w:val="0"/>
              <w:marRight w:val="0"/>
              <w:marTop w:val="0"/>
              <w:marBottom w:val="0"/>
              <w:divBdr>
                <w:top w:val="none" w:sz="0" w:space="0" w:color="auto"/>
                <w:left w:val="none" w:sz="0" w:space="0" w:color="auto"/>
                <w:bottom w:val="none" w:sz="0" w:space="0" w:color="auto"/>
                <w:right w:val="none" w:sz="0" w:space="0" w:color="auto"/>
              </w:divBdr>
            </w:div>
          </w:divsChild>
        </w:div>
        <w:div w:id="1883205000">
          <w:marLeft w:val="0"/>
          <w:marRight w:val="0"/>
          <w:marTop w:val="0"/>
          <w:marBottom w:val="0"/>
          <w:divBdr>
            <w:top w:val="none" w:sz="0" w:space="0" w:color="auto"/>
            <w:left w:val="none" w:sz="0" w:space="0" w:color="auto"/>
            <w:bottom w:val="none" w:sz="0" w:space="0" w:color="auto"/>
            <w:right w:val="none" w:sz="0" w:space="0" w:color="auto"/>
          </w:divBdr>
        </w:div>
        <w:div w:id="1883205272">
          <w:marLeft w:val="0"/>
          <w:marRight w:val="0"/>
          <w:marTop w:val="0"/>
          <w:marBottom w:val="0"/>
          <w:divBdr>
            <w:top w:val="none" w:sz="0" w:space="0" w:color="auto"/>
            <w:left w:val="none" w:sz="0" w:space="0" w:color="auto"/>
            <w:bottom w:val="none" w:sz="0" w:space="0" w:color="auto"/>
            <w:right w:val="none" w:sz="0" w:space="0" w:color="auto"/>
          </w:divBdr>
          <w:divsChild>
            <w:div w:id="81687791">
              <w:marLeft w:val="0"/>
              <w:marRight w:val="0"/>
              <w:marTop w:val="0"/>
              <w:marBottom w:val="0"/>
              <w:divBdr>
                <w:top w:val="none" w:sz="0" w:space="0" w:color="auto"/>
                <w:left w:val="none" w:sz="0" w:space="0" w:color="auto"/>
                <w:bottom w:val="none" w:sz="0" w:space="0" w:color="auto"/>
                <w:right w:val="none" w:sz="0" w:space="0" w:color="auto"/>
              </w:divBdr>
            </w:div>
            <w:div w:id="82265326">
              <w:marLeft w:val="0"/>
              <w:marRight w:val="0"/>
              <w:marTop w:val="0"/>
              <w:marBottom w:val="0"/>
              <w:divBdr>
                <w:top w:val="none" w:sz="0" w:space="0" w:color="auto"/>
                <w:left w:val="none" w:sz="0" w:space="0" w:color="auto"/>
                <w:bottom w:val="none" w:sz="0" w:space="0" w:color="auto"/>
                <w:right w:val="none" w:sz="0" w:space="0" w:color="auto"/>
              </w:divBdr>
            </w:div>
            <w:div w:id="409694112">
              <w:marLeft w:val="0"/>
              <w:marRight w:val="0"/>
              <w:marTop w:val="0"/>
              <w:marBottom w:val="0"/>
              <w:divBdr>
                <w:top w:val="none" w:sz="0" w:space="0" w:color="auto"/>
                <w:left w:val="none" w:sz="0" w:space="0" w:color="auto"/>
                <w:bottom w:val="none" w:sz="0" w:space="0" w:color="auto"/>
                <w:right w:val="none" w:sz="0" w:space="0" w:color="auto"/>
              </w:divBdr>
            </w:div>
            <w:div w:id="521170493">
              <w:marLeft w:val="0"/>
              <w:marRight w:val="0"/>
              <w:marTop w:val="0"/>
              <w:marBottom w:val="0"/>
              <w:divBdr>
                <w:top w:val="none" w:sz="0" w:space="0" w:color="auto"/>
                <w:left w:val="none" w:sz="0" w:space="0" w:color="auto"/>
                <w:bottom w:val="none" w:sz="0" w:space="0" w:color="auto"/>
                <w:right w:val="none" w:sz="0" w:space="0" w:color="auto"/>
              </w:divBdr>
            </w:div>
            <w:div w:id="616452553">
              <w:marLeft w:val="0"/>
              <w:marRight w:val="0"/>
              <w:marTop w:val="0"/>
              <w:marBottom w:val="0"/>
              <w:divBdr>
                <w:top w:val="none" w:sz="0" w:space="0" w:color="auto"/>
                <w:left w:val="none" w:sz="0" w:space="0" w:color="auto"/>
                <w:bottom w:val="none" w:sz="0" w:space="0" w:color="auto"/>
                <w:right w:val="none" w:sz="0" w:space="0" w:color="auto"/>
              </w:divBdr>
            </w:div>
            <w:div w:id="676688292">
              <w:marLeft w:val="0"/>
              <w:marRight w:val="0"/>
              <w:marTop w:val="0"/>
              <w:marBottom w:val="0"/>
              <w:divBdr>
                <w:top w:val="none" w:sz="0" w:space="0" w:color="auto"/>
                <w:left w:val="none" w:sz="0" w:space="0" w:color="auto"/>
                <w:bottom w:val="none" w:sz="0" w:space="0" w:color="auto"/>
                <w:right w:val="none" w:sz="0" w:space="0" w:color="auto"/>
              </w:divBdr>
            </w:div>
            <w:div w:id="786042253">
              <w:marLeft w:val="0"/>
              <w:marRight w:val="0"/>
              <w:marTop w:val="0"/>
              <w:marBottom w:val="0"/>
              <w:divBdr>
                <w:top w:val="none" w:sz="0" w:space="0" w:color="auto"/>
                <w:left w:val="none" w:sz="0" w:space="0" w:color="auto"/>
                <w:bottom w:val="none" w:sz="0" w:space="0" w:color="auto"/>
                <w:right w:val="none" w:sz="0" w:space="0" w:color="auto"/>
              </w:divBdr>
            </w:div>
            <w:div w:id="873464509">
              <w:marLeft w:val="0"/>
              <w:marRight w:val="0"/>
              <w:marTop w:val="0"/>
              <w:marBottom w:val="0"/>
              <w:divBdr>
                <w:top w:val="none" w:sz="0" w:space="0" w:color="auto"/>
                <w:left w:val="none" w:sz="0" w:space="0" w:color="auto"/>
                <w:bottom w:val="none" w:sz="0" w:space="0" w:color="auto"/>
                <w:right w:val="none" w:sz="0" w:space="0" w:color="auto"/>
              </w:divBdr>
            </w:div>
            <w:div w:id="1020084722">
              <w:marLeft w:val="0"/>
              <w:marRight w:val="0"/>
              <w:marTop w:val="0"/>
              <w:marBottom w:val="0"/>
              <w:divBdr>
                <w:top w:val="none" w:sz="0" w:space="0" w:color="auto"/>
                <w:left w:val="none" w:sz="0" w:space="0" w:color="auto"/>
                <w:bottom w:val="none" w:sz="0" w:space="0" w:color="auto"/>
                <w:right w:val="none" w:sz="0" w:space="0" w:color="auto"/>
              </w:divBdr>
            </w:div>
            <w:div w:id="1165442083">
              <w:marLeft w:val="0"/>
              <w:marRight w:val="0"/>
              <w:marTop w:val="0"/>
              <w:marBottom w:val="0"/>
              <w:divBdr>
                <w:top w:val="none" w:sz="0" w:space="0" w:color="auto"/>
                <w:left w:val="none" w:sz="0" w:space="0" w:color="auto"/>
                <w:bottom w:val="none" w:sz="0" w:space="0" w:color="auto"/>
                <w:right w:val="none" w:sz="0" w:space="0" w:color="auto"/>
              </w:divBdr>
            </w:div>
            <w:div w:id="1477378671">
              <w:marLeft w:val="0"/>
              <w:marRight w:val="0"/>
              <w:marTop w:val="0"/>
              <w:marBottom w:val="0"/>
              <w:divBdr>
                <w:top w:val="none" w:sz="0" w:space="0" w:color="auto"/>
                <w:left w:val="none" w:sz="0" w:space="0" w:color="auto"/>
                <w:bottom w:val="none" w:sz="0" w:space="0" w:color="auto"/>
                <w:right w:val="none" w:sz="0" w:space="0" w:color="auto"/>
              </w:divBdr>
            </w:div>
            <w:div w:id="1527983715">
              <w:marLeft w:val="0"/>
              <w:marRight w:val="0"/>
              <w:marTop w:val="0"/>
              <w:marBottom w:val="0"/>
              <w:divBdr>
                <w:top w:val="none" w:sz="0" w:space="0" w:color="auto"/>
                <w:left w:val="none" w:sz="0" w:space="0" w:color="auto"/>
                <w:bottom w:val="none" w:sz="0" w:space="0" w:color="auto"/>
                <w:right w:val="none" w:sz="0" w:space="0" w:color="auto"/>
              </w:divBdr>
            </w:div>
            <w:div w:id="1851682433">
              <w:marLeft w:val="0"/>
              <w:marRight w:val="0"/>
              <w:marTop w:val="0"/>
              <w:marBottom w:val="0"/>
              <w:divBdr>
                <w:top w:val="none" w:sz="0" w:space="0" w:color="auto"/>
                <w:left w:val="none" w:sz="0" w:space="0" w:color="auto"/>
                <w:bottom w:val="none" w:sz="0" w:space="0" w:color="auto"/>
                <w:right w:val="none" w:sz="0" w:space="0" w:color="auto"/>
              </w:divBdr>
            </w:div>
            <w:div w:id="1899245027">
              <w:marLeft w:val="0"/>
              <w:marRight w:val="0"/>
              <w:marTop w:val="0"/>
              <w:marBottom w:val="0"/>
              <w:divBdr>
                <w:top w:val="none" w:sz="0" w:space="0" w:color="auto"/>
                <w:left w:val="none" w:sz="0" w:space="0" w:color="auto"/>
                <w:bottom w:val="none" w:sz="0" w:space="0" w:color="auto"/>
                <w:right w:val="none" w:sz="0" w:space="0" w:color="auto"/>
              </w:divBdr>
            </w:div>
            <w:div w:id="2009676613">
              <w:marLeft w:val="0"/>
              <w:marRight w:val="0"/>
              <w:marTop w:val="0"/>
              <w:marBottom w:val="0"/>
              <w:divBdr>
                <w:top w:val="none" w:sz="0" w:space="0" w:color="auto"/>
                <w:left w:val="none" w:sz="0" w:space="0" w:color="auto"/>
                <w:bottom w:val="none" w:sz="0" w:space="0" w:color="auto"/>
                <w:right w:val="none" w:sz="0" w:space="0" w:color="auto"/>
              </w:divBdr>
            </w:div>
            <w:div w:id="2076321599">
              <w:marLeft w:val="0"/>
              <w:marRight w:val="0"/>
              <w:marTop w:val="0"/>
              <w:marBottom w:val="0"/>
              <w:divBdr>
                <w:top w:val="none" w:sz="0" w:space="0" w:color="auto"/>
                <w:left w:val="none" w:sz="0" w:space="0" w:color="auto"/>
                <w:bottom w:val="none" w:sz="0" w:space="0" w:color="auto"/>
                <w:right w:val="none" w:sz="0" w:space="0" w:color="auto"/>
              </w:divBdr>
            </w:div>
          </w:divsChild>
        </w:div>
        <w:div w:id="1883253047">
          <w:marLeft w:val="0"/>
          <w:marRight w:val="0"/>
          <w:marTop w:val="0"/>
          <w:marBottom w:val="0"/>
          <w:divBdr>
            <w:top w:val="none" w:sz="0" w:space="0" w:color="auto"/>
            <w:left w:val="none" w:sz="0" w:space="0" w:color="auto"/>
            <w:bottom w:val="none" w:sz="0" w:space="0" w:color="auto"/>
            <w:right w:val="none" w:sz="0" w:space="0" w:color="auto"/>
          </w:divBdr>
        </w:div>
        <w:div w:id="1885409195">
          <w:marLeft w:val="0"/>
          <w:marRight w:val="0"/>
          <w:marTop w:val="0"/>
          <w:marBottom w:val="0"/>
          <w:divBdr>
            <w:top w:val="none" w:sz="0" w:space="0" w:color="auto"/>
            <w:left w:val="none" w:sz="0" w:space="0" w:color="auto"/>
            <w:bottom w:val="none" w:sz="0" w:space="0" w:color="auto"/>
            <w:right w:val="none" w:sz="0" w:space="0" w:color="auto"/>
          </w:divBdr>
        </w:div>
        <w:div w:id="1885479555">
          <w:marLeft w:val="0"/>
          <w:marRight w:val="0"/>
          <w:marTop w:val="0"/>
          <w:marBottom w:val="0"/>
          <w:divBdr>
            <w:top w:val="none" w:sz="0" w:space="0" w:color="auto"/>
            <w:left w:val="none" w:sz="0" w:space="0" w:color="auto"/>
            <w:bottom w:val="none" w:sz="0" w:space="0" w:color="auto"/>
            <w:right w:val="none" w:sz="0" w:space="0" w:color="auto"/>
          </w:divBdr>
        </w:div>
        <w:div w:id="1885485950">
          <w:marLeft w:val="0"/>
          <w:marRight w:val="0"/>
          <w:marTop w:val="0"/>
          <w:marBottom w:val="0"/>
          <w:divBdr>
            <w:top w:val="none" w:sz="0" w:space="0" w:color="auto"/>
            <w:left w:val="none" w:sz="0" w:space="0" w:color="auto"/>
            <w:bottom w:val="none" w:sz="0" w:space="0" w:color="auto"/>
            <w:right w:val="none" w:sz="0" w:space="0" w:color="auto"/>
          </w:divBdr>
        </w:div>
        <w:div w:id="1890529568">
          <w:marLeft w:val="0"/>
          <w:marRight w:val="0"/>
          <w:marTop w:val="0"/>
          <w:marBottom w:val="0"/>
          <w:divBdr>
            <w:top w:val="none" w:sz="0" w:space="0" w:color="auto"/>
            <w:left w:val="none" w:sz="0" w:space="0" w:color="auto"/>
            <w:bottom w:val="none" w:sz="0" w:space="0" w:color="auto"/>
            <w:right w:val="none" w:sz="0" w:space="0" w:color="auto"/>
          </w:divBdr>
        </w:div>
        <w:div w:id="1890723583">
          <w:marLeft w:val="0"/>
          <w:marRight w:val="0"/>
          <w:marTop w:val="0"/>
          <w:marBottom w:val="0"/>
          <w:divBdr>
            <w:top w:val="none" w:sz="0" w:space="0" w:color="auto"/>
            <w:left w:val="none" w:sz="0" w:space="0" w:color="auto"/>
            <w:bottom w:val="none" w:sz="0" w:space="0" w:color="auto"/>
            <w:right w:val="none" w:sz="0" w:space="0" w:color="auto"/>
          </w:divBdr>
        </w:div>
        <w:div w:id="1891721032">
          <w:marLeft w:val="0"/>
          <w:marRight w:val="0"/>
          <w:marTop w:val="0"/>
          <w:marBottom w:val="0"/>
          <w:divBdr>
            <w:top w:val="none" w:sz="0" w:space="0" w:color="auto"/>
            <w:left w:val="none" w:sz="0" w:space="0" w:color="auto"/>
            <w:bottom w:val="none" w:sz="0" w:space="0" w:color="auto"/>
            <w:right w:val="none" w:sz="0" w:space="0" w:color="auto"/>
          </w:divBdr>
        </w:div>
        <w:div w:id="1892036487">
          <w:marLeft w:val="0"/>
          <w:marRight w:val="0"/>
          <w:marTop w:val="0"/>
          <w:marBottom w:val="0"/>
          <w:divBdr>
            <w:top w:val="none" w:sz="0" w:space="0" w:color="auto"/>
            <w:left w:val="none" w:sz="0" w:space="0" w:color="auto"/>
            <w:bottom w:val="none" w:sz="0" w:space="0" w:color="auto"/>
            <w:right w:val="none" w:sz="0" w:space="0" w:color="auto"/>
          </w:divBdr>
        </w:div>
        <w:div w:id="1897467675">
          <w:marLeft w:val="0"/>
          <w:marRight w:val="0"/>
          <w:marTop w:val="0"/>
          <w:marBottom w:val="0"/>
          <w:divBdr>
            <w:top w:val="none" w:sz="0" w:space="0" w:color="auto"/>
            <w:left w:val="none" w:sz="0" w:space="0" w:color="auto"/>
            <w:bottom w:val="none" w:sz="0" w:space="0" w:color="auto"/>
            <w:right w:val="none" w:sz="0" w:space="0" w:color="auto"/>
          </w:divBdr>
        </w:div>
        <w:div w:id="1898202136">
          <w:marLeft w:val="0"/>
          <w:marRight w:val="0"/>
          <w:marTop w:val="0"/>
          <w:marBottom w:val="0"/>
          <w:divBdr>
            <w:top w:val="none" w:sz="0" w:space="0" w:color="auto"/>
            <w:left w:val="none" w:sz="0" w:space="0" w:color="auto"/>
            <w:bottom w:val="none" w:sz="0" w:space="0" w:color="auto"/>
            <w:right w:val="none" w:sz="0" w:space="0" w:color="auto"/>
          </w:divBdr>
        </w:div>
        <w:div w:id="1900048200">
          <w:marLeft w:val="0"/>
          <w:marRight w:val="0"/>
          <w:marTop w:val="0"/>
          <w:marBottom w:val="0"/>
          <w:divBdr>
            <w:top w:val="none" w:sz="0" w:space="0" w:color="auto"/>
            <w:left w:val="none" w:sz="0" w:space="0" w:color="auto"/>
            <w:bottom w:val="none" w:sz="0" w:space="0" w:color="auto"/>
            <w:right w:val="none" w:sz="0" w:space="0" w:color="auto"/>
          </w:divBdr>
        </w:div>
        <w:div w:id="1904870421">
          <w:marLeft w:val="0"/>
          <w:marRight w:val="0"/>
          <w:marTop w:val="0"/>
          <w:marBottom w:val="0"/>
          <w:divBdr>
            <w:top w:val="none" w:sz="0" w:space="0" w:color="auto"/>
            <w:left w:val="none" w:sz="0" w:space="0" w:color="auto"/>
            <w:bottom w:val="none" w:sz="0" w:space="0" w:color="auto"/>
            <w:right w:val="none" w:sz="0" w:space="0" w:color="auto"/>
          </w:divBdr>
        </w:div>
        <w:div w:id="1905136315">
          <w:marLeft w:val="0"/>
          <w:marRight w:val="0"/>
          <w:marTop w:val="0"/>
          <w:marBottom w:val="0"/>
          <w:divBdr>
            <w:top w:val="none" w:sz="0" w:space="0" w:color="auto"/>
            <w:left w:val="none" w:sz="0" w:space="0" w:color="auto"/>
            <w:bottom w:val="none" w:sz="0" w:space="0" w:color="auto"/>
            <w:right w:val="none" w:sz="0" w:space="0" w:color="auto"/>
          </w:divBdr>
        </w:div>
        <w:div w:id="1905219921">
          <w:marLeft w:val="0"/>
          <w:marRight w:val="0"/>
          <w:marTop w:val="0"/>
          <w:marBottom w:val="0"/>
          <w:divBdr>
            <w:top w:val="none" w:sz="0" w:space="0" w:color="auto"/>
            <w:left w:val="none" w:sz="0" w:space="0" w:color="auto"/>
            <w:bottom w:val="none" w:sz="0" w:space="0" w:color="auto"/>
            <w:right w:val="none" w:sz="0" w:space="0" w:color="auto"/>
          </w:divBdr>
        </w:div>
        <w:div w:id="1906185647">
          <w:marLeft w:val="0"/>
          <w:marRight w:val="0"/>
          <w:marTop w:val="0"/>
          <w:marBottom w:val="0"/>
          <w:divBdr>
            <w:top w:val="none" w:sz="0" w:space="0" w:color="auto"/>
            <w:left w:val="none" w:sz="0" w:space="0" w:color="auto"/>
            <w:bottom w:val="none" w:sz="0" w:space="0" w:color="auto"/>
            <w:right w:val="none" w:sz="0" w:space="0" w:color="auto"/>
          </w:divBdr>
        </w:div>
        <w:div w:id="1906523374">
          <w:marLeft w:val="0"/>
          <w:marRight w:val="0"/>
          <w:marTop w:val="0"/>
          <w:marBottom w:val="0"/>
          <w:divBdr>
            <w:top w:val="none" w:sz="0" w:space="0" w:color="auto"/>
            <w:left w:val="none" w:sz="0" w:space="0" w:color="auto"/>
            <w:bottom w:val="none" w:sz="0" w:space="0" w:color="auto"/>
            <w:right w:val="none" w:sz="0" w:space="0" w:color="auto"/>
          </w:divBdr>
        </w:div>
        <w:div w:id="1907183360">
          <w:marLeft w:val="0"/>
          <w:marRight w:val="0"/>
          <w:marTop w:val="0"/>
          <w:marBottom w:val="0"/>
          <w:divBdr>
            <w:top w:val="none" w:sz="0" w:space="0" w:color="auto"/>
            <w:left w:val="none" w:sz="0" w:space="0" w:color="auto"/>
            <w:bottom w:val="none" w:sz="0" w:space="0" w:color="auto"/>
            <w:right w:val="none" w:sz="0" w:space="0" w:color="auto"/>
          </w:divBdr>
        </w:div>
        <w:div w:id="1907494230">
          <w:marLeft w:val="0"/>
          <w:marRight w:val="0"/>
          <w:marTop w:val="0"/>
          <w:marBottom w:val="0"/>
          <w:divBdr>
            <w:top w:val="none" w:sz="0" w:space="0" w:color="auto"/>
            <w:left w:val="none" w:sz="0" w:space="0" w:color="auto"/>
            <w:bottom w:val="none" w:sz="0" w:space="0" w:color="auto"/>
            <w:right w:val="none" w:sz="0" w:space="0" w:color="auto"/>
          </w:divBdr>
        </w:div>
        <w:div w:id="1909459878">
          <w:marLeft w:val="0"/>
          <w:marRight w:val="0"/>
          <w:marTop w:val="0"/>
          <w:marBottom w:val="0"/>
          <w:divBdr>
            <w:top w:val="none" w:sz="0" w:space="0" w:color="auto"/>
            <w:left w:val="none" w:sz="0" w:space="0" w:color="auto"/>
            <w:bottom w:val="none" w:sz="0" w:space="0" w:color="auto"/>
            <w:right w:val="none" w:sz="0" w:space="0" w:color="auto"/>
          </w:divBdr>
        </w:div>
        <w:div w:id="1910189802">
          <w:marLeft w:val="0"/>
          <w:marRight w:val="0"/>
          <w:marTop w:val="0"/>
          <w:marBottom w:val="0"/>
          <w:divBdr>
            <w:top w:val="none" w:sz="0" w:space="0" w:color="auto"/>
            <w:left w:val="none" w:sz="0" w:space="0" w:color="auto"/>
            <w:bottom w:val="none" w:sz="0" w:space="0" w:color="auto"/>
            <w:right w:val="none" w:sz="0" w:space="0" w:color="auto"/>
          </w:divBdr>
        </w:div>
        <w:div w:id="1911378122">
          <w:marLeft w:val="0"/>
          <w:marRight w:val="0"/>
          <w:marTop w:val="0"/>
          <w:marBottom w:val="0"/>
          <w:divBdr>
            <w:top w:val="none" w:sz="0" w:space="0" w:color="auto"/>
            <w:left w:val="none" w:sz="0" w:space="0" w:color="auto"/>
            <w:bottom w:val="none" w:sz="0" w:space="0" w:color="auto"/>
            <w:right w:val="none" w:sz="0" w:space="0" w:color="auto"/>
          </w:divBdr>
        </w:div>
        <w:div w:id="1911498541">
          <w:marLeft w:val="0"/>
          <w:marRight w:val="0"/>
          <w:marTop w:val="0"/>
          <w:marBottom w:val="0"/>
          <w:divBdr>
            <w:top w:val="none" w:sz="0" w:space="0" w:color="auto"/>
            <w:left w:val="none" w:sz="0" w:space="0" w:color="auto"/>
            <w:bottom w:val="none" w:sz="0" w:space="0" w:color="auto"/>
            <w:right w:val="none" w:sz="0" w:space="0" w:color="auto"/>
          </w:divBdr>
        </w:div>
        <w:div w:id="1912424790">
          <w:marLeft w:val="0"/>
          <w:marRight w:val="0"/>
          <w:marTop w:val="0"/>
          <w:marBottom w:val="0"/>
          <w:divBdr>
            <w:top w:val="none" w:sz="0" w:space="0" w:color="auto"/>
            <w:left w:val="none" w:sz="0" w:space="0" w:color="auto"/>
            <w:bottom w:val="none" w:sz="0" w:space="0" w:color="auto"/>
            <w:right w:val="none" w:sz="0" w:space="0" w:color="auto"/>
          </w:divBdr>
        </w:div>
        <w:div w:id="1914122988">
          <w:marLeft w:val="0"/>
          <w:marRight w:val="0"/>
          <w:marTop w:val="0"/>
          <w:marBottom w:val="0"/>
          <w:divBdr>
            <w:top w:val="none" w:sz="0" w:space="0" w:color="auto"/>
            <w:left w:val="none" w:sz="0" w:space="0" w:color="auto"/>
            <w:bottom w:val="none" w:sz="0" w:space="0" w:color="auto"/>
            <w:right w:val="none" w:sz="0" w:space="0" w:color="auto"/>
          </w:divBdr>
        </w:div>
        <w:div w:id="1920216644">
          <w:marLeft w:val="0"/>
          <w:marRight w:val="0"/>
          <w:marTop w:val="0"/>
          <w:marBottom w:val="0"/>
          <w:divBdr>
            <w:top w:val="none" w:sz="0" w:space="0" w:color="auto"/>
            <w:left w:val="none" w:sz="0" w:space="0" w:color="auto"/>
            <w:bottom w:val="none" w:sz="0" w:space="0" w:color="auto"/>
            <w:right w:val="none" w:sz="0" w:space="0" w:color="auto"/>
          </w:divBdr>
        </w:div>
        <w:div w:id="1923299763">
          <w:marLeft w:val="0"/>
          <w:marRight w:val="0"/>
          <w:marTop w:val="0"/>
          <w:marBottom w:val="0"/>
          <w:divBdr>
            <w:top w:val="none" w:sz="0" w:space="0" w:color="auto"/>
            <w:left w:val="none" w:sz="0" w:space="0" w:color="auto"/>
            <w:bottom w:val="none" w:sz="0" w:space="0" w:color="auto"/>
            <w:right w:val="none" w:sz="0" w:space="0" w:color="auto"/>
          </w:divBdr>
        </w:div>
        <w:div w:id="1923561192">
          <w:marLeft w:val="0"/>
          <w:marRight w:val="0"/>
          <w:marTop w:val="0"/>
          <w:marBottom w:val="0"/>
          <w:divBdr>
            <w:top w:val="none" w:sz="0" w:space="0" w:color="auto"/>
            <w:left w:val="none" w:sz="0" w:space="0" w:color="auto"/>
            <w:bottom w:val="none" w:sz="0" w:space="0" w:color="auto"/>
            <w:right w:val="none" w:sz="0" w:space="0" w:color="auto"/>
          </w:divBdr>
        </w:div>
        <w:div w:id="1925263384">
          <w:marLeft w:val="0"/>
          <w:marRight w:val="0"/>
          <w:marTop w:val="0"/>
          <w:marBottom w:val="0"/>
          <w:divBdr>
            <w:top w:val="none" w:sz="0" w:space="0" w:color="auto"/>
            <w:left w:val="none" w:sz="0" w:space="0" w:color="auto"/>
            <w:bottom w:val="none" w:sz="0" w:space="0" w:color="auto"/>
            <w:right w:val="none" w:sz="0" w:space="0" w:color="auto"/>
          </w:divBdr>
        </w:div>
        <w:div w:id="1927225639">
          <w:marLeft w:val="0"/>
          <w:marRight w:val="0"/>
          <w:marTop w:val="0"/>
          <w:marBottom w:val="0"/>
          <w:divBdr>
            <w:top w:val="none" w:sz="0" w:space="0" w:color="auto"/>
            <w:left w:val="none" w:sz="0" w:space="0" w:color="auto"/>
            <w:bottom w:val="none" w:sz="0" w:space="0" w:color="auto"/>
            <w:right w:val="none" w:sz="0" w:space="0" w:color="auto"/>
          </w:divBdr>
        </w:div>
        <w:div w:id="1928348238">
          <w:marLeft w:val="0"/>
          <w:marRight w:val="0"/>
          <w:marTop w:val="0"/>
          <w:marBottom w:val="0"/>
          <w:divBdr>
            <w:top w:val="none" w:sz="0" w:space="0" w:color="auto"/>
            <w:left w:val="none" w:sz="0" w:space="0" w:color="auto"/>
            <w:bottom w:val="none" w:sz="0" w:space="0" w:color="auto"/>
            <w:right w:val="none" w:sz="0" w:space="0" w:color="auto"/>
          </w:divBdr>
        </w:div>
        <w:div w:id="1932199272">
          <w:marLeft w:val="0"/>
          <w:marRight w:val="0"/>
          <w:marTop w:val="0"/>
          <w:marBottom w:val="0"/>
          <w:divBdr>
            <w:top w:val="none" w:sz="0" w:space="0" w:color="auto"/>
            <w:left w:val="none" w:sz="0" w:space="0" w:color="auto"/>
            <w:bottom w:val="none" w:sz="0" w:space="0" w:color="auto"/>
            <w:right w:val="none" w:sz="0" w:space="0" w:color="auto"/>
          </w:divBdr>
        </w:div>
        <w:div w:id="1934122700">
          <w:marLeft w:val="0"/>
          <w:marRight w:val="0"/>
          <w:marTop w:val="0"/>
          <w:marBottom w:val="0"/>
          <w:divBdr>
            <w:top w:val="none" w:sz="0" w:space="0" w:color="auto"/>
            <w:left w:val="none" w:sz="0" w:space="0" w:color="auto"/>
            <w:bottom w:val="none" w:sz="0" w:space="0" w:color="auto"/>
            <w:right w:val="none" w:sz="0" w:space="0" w:color="auto"/>
          </w:divBdr>
        </w:div>
        <w:div w:id="1934245109">
          <w:marLeft w:val="0"/>
          <w:marRight w:val="0"/>
          <w:marTop w:val="0"/>
          <w:marBottom w:val="0"/>
          <w:divBdr>
            <w:top w:val="none" w:sz="0" w:space="0" w:color="auto"/>
            <w:left w:val="none" w:sz="0" w:space="0" w:color="auto"/>
            <w:bottom w:val="none" w:sz="0" w:space="0" w:color="auto"/>
            <w:right w:val="none" w:sz="0" w:space="0" w:color="auto"/>
          </w:divBdr>
        </w:div>
        <w:div w:id="1934782203">
          <w:marLeft w:val="0"/>
          <w:marRight w:val="0"/>
          <w:marTop w:val="0"/>
          <w:marBottom w:val="0"/>
          <w:divBdr>
            <w:top w:val="none" w:sz="0" w:space="0" w:color="auto"/>
            <w:left w:val="none" w:sz="0" w:space="0" w:color="auto"/>
            <w:bottom w:val="none" w:sz="0" w:space="0" w:color="auto"/>
            <w:right w:val="none" w:sz="0" w:space="0" w:color="auto"/>
          </w:divBdr>
        </w:div>
        <w:div w:id="1936356683">
          <w:marLeft w:val="0"/>
          <w:marRight w:val="0"/>
          <w:marTop w:val="0"/>
          <w:marBottom w:val="0"/>
          <w:divBdr>
            <w:top w:val="none" w:sz="0" w:space="0" w:color="auto"/>
            <w:left w:val="none" w:sz="0" w:space="0" w:color="auto"/>
            <w:bottom w:val="none" w:sz="0" w:space="0" w:color="auto"/>
            <w:right w:val="none" w:sz="0" w:space="0" w:color="auto"/>
          </w:divBdr>
        </w:div>
        <w:div w:id="1936818144">
          <w:marLeft w:val="0"/>
          <w:marRight w:val="0"/>
          <w:marTop w:val="0"/>
          <w:marBottom w:val="0"/>
          <w:divBdr>
            <w:top w:val="none" w:sz="0" w:space="0" w:color="auto"/>
            <w:left w:val="none" w:sz="0" w:space="0" w:color="auto"/>
            <w:bottom w:val="none" w:sz="0" w:space="0" w:color="auto"/>
            <w:right w:val="none" w:sz="0" w:space="0" w:color="auto"/>
          </w:divBdr>
        </w:div>
        <w:div w:id="1936866701">
          <w:marLeft w:val="0"/>
          <w:marRight w:val="0"/>
          <w:marTop w:val="0"/>
          <w:marBottom w:val="0"/>
          <w:divBdr>
            <w:top w:val="none" w:sz="0" w:space="0" w:color="auto"/>
            <w:left w:val="none" w:sz="0" w:space="0" w:color="auto"/>
            <w:bottom w:val="none" w:sz="0" w:space="0" w:color="auto"/>
            <w:right w:val="none" w:sz="0" w:space="0" w:color="auto"/>
          </w:divBdr>
        </w:div>
        <w:div w:id="1938293691">
          <w:marLeft w:val="0"/>
          <w:marRight w:val="0"/>
          <w:marTop w:val="0"/>
          <w:marBottom w:val="0"/>
          <w:divBdr>
            <w:top w:val="none" w:sz="0" w:space="0" w:color="auto"/>
            <w:left w:val="none" w:sz="0" w:space="0" w:color="auto"/>
            <w:bottom w:val="none" w:sz="0" w:space="0" w:color="auto"/>
            <w:right w:val="none" w:sz="0" w:space="0" w:color="auto"/>
          </w:divBdr>
        </w:div>
        <w:div w:id="1938363859">
          <w:marLeft w:val="0"/>
          <w:marRight w:val="0"/>
          <w:marTop w:val="0"/>
          <w:marBottom w:val="0"/>
          <w:divBdr>
            <w:top w:val="none" w:sz="0" w:space="0" w:color="auto"/>
            <w:left w:val="none" w:sz="0" w:space="0" w:color="auto"/>
            <w:bottom w:val="none" w:sz="0" w:space="0" w:color="auto"/>
            <w:right w:val="none" w:sz="0" w:space="0" w:color="auto"/>
          </w:divBdr>
          <w:divsChild>
            <w:div w:id="196622749">
              <w:marLeft w:val="0"/>
              <w:marRight w:val="0"/>
              <w:marTop w:val="0"/>
              <w:marBottom w:val="0"/>
              <w:divBdr>
                <w:top w:val="none" w:sz="0" w:space="0" w:color="auto"/>
                <w:left w:val="none" w:sz="0" w:space="0" w:color="auto"/>
                <w:bottom w:val="none" w:sz="0" w:space="0" w:color="auto"/>
                <w:right w:val="none" w:sz="0" w:space="0" w:color="auto"/>
              </w:divBdr>
            </w:div>
            <w:div w:id="209079067">
              <w:marLeft w:val="0"/>
              <w:marRight w:val="0"/>
              <w:marTop w:val="0"/>
              <w:marBottom w:val="0"/>
              <w:divBdr>
                <w:top w:val="none" w:sz="0" w:space="0" w:color="auto"/>
                <w:left w:val="none" w:sz="0" w:space="0" w:color="auto"/>
                <w:bottom w:val="none" w:sz="0" w:space="0" w:color="auto"/>
                <w:right w:val="none" w:sz="0" w:space="0" w:color="auto"/>
              </w:divBdr>
            </w:div>
            <w:div w:id="253055795">
              <w:marLeft w:val="0"/>
              <w:marRight w:val="0"/>
              <w:marTop w:val="0"/>
              <w:marBottom w:val="0"/>
              <w:divBdr>
                <w:top w:val="none" w:sz="0" w:space="0" w:color="auto"/>
                <w:left w:val="none" w:sz="0" w:space="0" w:color="auto"/>
                <w:bottom w:val="none" w:sz="0" w:space="0" w:color="auto"/>
                <w:right w:val="none" w:sz="0" w:space="0" w:color="auto"/>
              </w:divBdr>
            </w:div>
            <w:div w:id="609434755">
              <w:marLeft w:val="0"/>
              <w:marRight w:val="0"/>
              <w:marTop w:val="0"/>
              <w:marBottom w:val="0"/>
              <w:divBdr>
                <w:top w:val="none" w:sz="0" w:space="0" w:color="auto"/>
                <w:left w:val="none" w:sz="0" w:space="0" w:color="auto"/>
                <w:bottom w:val="none" w:sz="0" w:space="0" w:color="auto"/>
                <w:right w:val="none" w:sz="0" w:space="0" w:color="auto"/>
              </w:divBdr>
            </w:div>
            <w:div w:id="924462484">
              <w:marLeft w:val="0"/>
              <w:marRight w:val="0"/>
              <w:marTop w:val="0"/>
              <w:marBottom w:val="0"/>
              <w:divBdr>
                <w:top w:val="none" w:sz="0" w:space="0" w:color="auto"/>
                <w:left w:val="none" w:sz="0" w:space="0" w:color="auto"/>
                <w:bottom w:val="none" w:sz="0" w:space="0" w:color="auto"/>
                <w:right w:val="none" w:sz="0" w:space="0" w:color="auto"/>
              </w:divBdr>
            </w:div>
            <w:div w:id="1038966614">
              <w:marLeft w:val="0"/>
              <w:marRight w:val="0"/>
              <w:marTop w:val="0"/>
              <w:marBottom w:val="0"/>
              <w:divBdr>
                <w:top w:val="none" w:sz="0" w:space="0" w:color="auto"/>
                <w:left w:val="none" w:sz="0" w:space="0" w:color="auto"/>
                <w:bottom w:val="none" w:sz="0" w:space="0" w:color="auto"/>
                <w:right w:val="none" w:sz="0" w:space="0" w:color="auto"/>
              </w:divBdr>
            </w:div>
            <w:div w:id="1173569116">
              <w:marLeft w:val="0"/>
              <w:marRight w:val="0"/>
              <w:marTop w:val="0"/>
              <w:marBottom w:val="0"/>
              <w:divBdr>
                <w:top w:val="none" w:sz="0" w:space="0" w:color="auto"/>
                <w:left w:val="none" w:sz="0" w:space="0" w:color="auto"/>
                <w:bottom w:val="none" w:sz="0" w:space="0" w:color="auto"/>
                <w:right w:val="none" w:sz="0" w:space="0" w:color="auto"/>
              </w:divBdr>
            </w:div>
            <w:div w:id="1191607290">
              <w:marLeft w:val="0"/>
              <w:marRight w:val="0"/>
              <w:marTop w:val="0"/>
              <w:marBottom w:val="0"/>
              <w:divBdr>
                <w:top w:val="none" w:sz="0" w:space="0" w:color="auto"/>
                <w:left w:val="none" w:sz="0" w:space="0" w:color="auto"/>
                <w:bottom w:val="none" w:sz="0" w:space="0" w:color="auto"/>
                <w:right w:val="none" w:sz="0" w:space="0" w:color="auto"/>
              </w:divBdr>
            </w:div>
            <w:div w:id="1247760547">
              <w:marLeft w:val="0"/>
              <w:marRight w:val="0"/>
              <w:marTop w:val="0"/>
              <w:marBottom w:val="0"/>
              <w:divBdr>
                <w:top w:val="none" w:sz="0" w:space="0" w:color="auto"/>
                <w:left w:val="none" w:sz="0" w:space="0" w:color="auto"/>
                <w:bottom w:val="none" w:sz="0" w:space="0" w:color="auto"/>
                <w:right w:val="none" w:sz="0" w:space="0" w:color="auto"/>
              </w:divBdr>
            </w:div>
            <w:div w:id="1457598037">
              <w:marLeft w:val="0"/>
              <w:marRight w:val="0"/>
              <w:marTop w:val="0"/>
              <w:marBottom w:val="0"/>
              <w:divBdr>
                <w:top w:val="none" w:sz="0" w:space="0" w:color="auto"/>
                <w:left w:val="none" w:sz="0" w:space="0" w:color="auto"/>
                <w:bottom w:val="none" w:sz="0" w:space="0" w:color="auto"/>
                <w:right w:val="none" w:sz="0" w:space="0" w:color="auto"/>
              </w:divBdr>
            </w:div>
            <w:div w:id="1552570204">
              <w:marLeft w:val="0"/>
              <w:marRight w:val="0"/>
              <w:marTop w:val="0"/>
              <w:marBottom w:val="0"/>
              <w:divBdr>
                <w:top w:val="none" w:sz="0" w:space="0" w:color="auto"/>
                <w:left w:val="none" w:sz="0" w:space="0" w:color="auto"/>
                <w:bottom w:val="none" w:sz="0" w:space="0" w:color="auto"/>
                <w:right w:val="none" w:sz="0" w:space="0" w:color="auto"/>
              </w:divBdr>
            </w:div>
            <w:div w:id="1646743697">
              <w:marLeft w:val="0"/>
              <w:marRight w:val="0"/>
              <w:marTop w:val="0"/>
              <w:marBottom w:val="0"/>
              <w:divBdr>
                <w:top w:val="none" w:sz="0" w:space="0" w:color="auto"/>
                <w:left w:val="none" w:sz="0" w:space="0" w:color="auto"/>
                <w:bottom w:val="none" w:sz="0" w:space="0" w:color="auto"/>
                <w:right w:val="none" w:sz="0" w:space="0" w:color="auto"/>
              </w:divBdr>
            </w:div>
            <w:div w:id="1775049741">
              <w:marLeft w:val="0"/>
              <w:marRight w:val="0"/>
              <w:marTop w:val="0"/>
              <w:marBottom w:val="0"/>
              <w:divBdr>
                <w:top w:val="none" w:sz="0" w:space="0" w:color="auto"/>
                <w:left w:val="none" w:sz="0" w:space="0" w:color="auto"/>
                <w:bottom w:val="none" w:sz="0" w:space="0" w:color="auto"/>
                <w:right w:val="none" w:sz="0" w:space="0" w:color="auto"/>
              </w:divBdr>
            </w:div>
            <w:div w:id="1878618849">
              <w:marLeft w:val="0"/>
              <w:marRight w:val="0"/>
              <w:marTop w:val="0"/>
              <w:marBottom w:val="0"/>
              <w:divBdr>
                <w:top w:val="none" w:sz="0" w:space="0" w:color="auto"/>
                <w:left w:val="none" w:sz="0" w:space="0" w:color="auto"/>
                <w:bottom w:val="none" w:sz="0" w:space="0" w:color="auto"/>
                <w:right w:val="none" w:sz="0" w:space="0" w:color="auto"/>
              </w:divBdr>
            </w:div>
            <w:div w:id="2016111916">
              <w:marLeft w:val="0"/>
              <w:marRight w:val="0"/>
              <w:marTop w:val="0"/>
              <w:marBottom w:val="0"/>
              <w:divBdr>
                <w:top w:val="none" w:sz="0" w:space="0" w:color="auto"/>
                <w:left w:val="none" w:sz="0" w:space="0" w:color="auto"/>
                <w:bottom w:val="none" w:sz="0" w:space="0" w:color="auto"/>
                <w:right w:val="none" w:sz="0" w:space="0" w:color="auto"/>
              </w:divBdr>
            </w:div>
            <w:div w:id="2130971282">
              <w:marLeft w:val="0"/>
              <w:marRight w:val="0"/>
              <w:marTop w:val="0"/>
              <w:marBottom w:val="0"/>
              <w:divBdr>
                <w:top w:val="none" w:sz="0" w:space="0" w:color="auto"/>
                <w:left w:val="none" w:sz="0" w:space="0" w:color="auto"/>
                <w:bottom w:val="none" w:sz="0" w:space="0" w:color="auto"/>
                <w:right w:val="none" w:sz="0" w:space="0" w:color="auto"/>
              </w:divBdr>
            </w:div>
            <w:div w:id="2132937707">
              <w:marLeft w:val="0"/>
              <w:marRight w:val="0"/>
              <w:marTop w:val="0"/>
              <w:marBottom w:val="0"/>
              <w:divBdr>
                <w:top w:val="none" w:sz="0" w:space="0" w:color="auto"/>
                <w:left w:val="none" w:sz="0" w:space="0" w:color="auto"/>
                <w:bottom w:val="none" w:sz="0" w:space="0" w:color="auto"/>
                <w:right w:val="none" w:sz="0" w:space="0" w:color="auto"/>
              </w:divBdr>
            </w:div>
          </w:divsChild>
        </w:div>
        <w:div w:id="1938364051">
          <w:marLeft w:val="0"/>
          <w:marRight w:val="0"/>
          <w:marTop w:val="0"/>
          <w:marBottom w:val="0"/>
          <w:divBdr>
            <w:top w:val="none" w:sz="0" w:space="0" w:color="auto"/>
            <w:left w:val="none" w:sz="0" w:space="0" w:color="auto"/>
            <w:bottom w:val="none" w:sz="0" w:space="0" w:color="auto"/>
            <w:right w:val="none" w:sz="0" w:space="0" w:color="auto"/>
          </w:divBdr>
        </w:div>
        <w:div w:id="1939634497">
          <w:marLeft w:val="0"/>
          <w:marRight w:val="0"/>
          <w:marTop w:val="0"/>
          <w:marBottom w:val="0"/>
          <w:divBdr>
            <w:top w:val="none" w:sz="0" w:space="0" w:color="auto"/>
            <w:left w:val="none" w:sz="0" w:space="0" w:color="auto"/>
            <w:bottom w:val="none" w:sz="0" w:space="0" w:color="auto"/>
            <w:right w:val="none" w:sz="0" w:space="0" w:color="auto"/>
          </w:divBdr>
        </w:div>
        <w:div w:id="1941061796">
          <w:marLeft w:val="0"/>
          <w:marRight w:val="0"/>
          <w:marTop w:val="0"/>
          <w:marBottom w:val="0"/>
          <w:divBdr>
            <w:top w:val="none" w:sz="0" w:space="0" w:color="auto"/>
            <w:left w:val="none" w:sz="0" w:space="0" w:color="auto"/>
            <w:bottom w:val="none" w:sz="0" w:space="0" w:color="auto"/>
            <w:right w:val="none" w:sz="0" w:space="0" w:color="auto"/>
          </w:divBdr>
        </w:div>
        <w:div w:id="1941721806">
          <w:marLeft w:val="0"/>
          <w:marRight w:val="0"/>
          <w:marTop w:val="0"/>
          <w:marBottom w:val="0"/>
          <w:divBdr>
            <w:top w:val="none" w:sz="0" w:space="0" w:color="auto"/>
            <w:left w:val="none" w:sz="0" w:space="0" w:color="auto"/>
            <w:bottom w:val="none" w:sz="0" w:space="0" w:color="auto"/>
            <w:right w:val="none" w:sz="0" w:space="0" w:color="auto"/>
          </w:divBdr>
        </w:div>
        <w:div w:id="1942567375">
          <w:marLeft w:val="0"/>
          <w:marRight w:val="0"/>
          <w:marTop w:val="0"/>
          <w:marBottom w:val="0"/>
          <w:divBdr>
            <w:top w:val="none" w:sz="0" w:space="0" w:color="auto"/>
            <w:left w:val="none" w:sz="0" w:space="0" w:color="auto"/>
            <w:bottom w:val="none" w:sz="0" w:space="0" w:color="auto"/>
            <w:right w:val="none" w:sz="0" w:space="0" w:color="auto"/>
          </w:divBdr>
        </w:div>
        <w:div w:id="1944143016">
          <w:marLeft w:val="0"/>
          <w:marRight w:val="0"/>
          <w:marTop w:val="0"/>
          <w:marBottom w:val="0"/>
          <w:divBdr>
            <w:top w:val="none" w:sz="0" w:space="0" w:color="auto"/>
            <w:left w:val="none" w:sz="0" w:space="0" w:color="auto"/>
            <w:bottom w:val="none" w:sz="0" w:space="0" w:color="auto"/>
            <w:right w:val="none" w:sz="0" w:space="0" w:color="auto"/>
          </w:divBdr>
        </w:div>
        <w:div w:id="1944143490">
          <w:marLeft w:val="0"/>
          <w:marRight w:val="0"/>
          <w:marTop w:val="0"/>
          <w:marBottom w:val="0"/>
          <w:divBdr>
            <w:top w:val="none" w:sz="0" w:space="0" w:color="auto"/>
            <w:left w:val="none" w:sz="0" w:space="0" w:color="auto"/>
            <w:bottom w:val="none" w:sz="0" w:space="0" w:color="auto"/>
            <w:right w:val="none" w:sz="0" w:space="0" w:color="auto"/>
          </w:divBdr>
        </w:div>
        <w:div w:id="1944193163">
          <w:marLeft w:val="0"/>
          <w:marRight w:val="0"/>
          <w:marTop w:val="0"/>
          <w:marBottom w:val="0"/>
          <w:divBdr>
            <w:top w:val="none" w:sz="0" w:space="0" w:color="auto"/>
            <w:left w:val="none" w:sz="0" w:space="0" w:color="auto"/>
            <w:bottom w:val="none" w:sz="0" w:space="0" w:color="auto"/>
            <w:right w:val="none" w:sz="0" w:space="0" w:color="auto"/>
          </w:divBdr>
        </w:div>
        <w:div w:id="1944337330">
          <w:marLeft w:val="0"/>
          <w:marRight w:val="0"/>
          <w:marTop w:val="0"/>
          <w:marBottom w:val="0"/>
          <w:divBdr>
            <w:top w:val="none" w:sz="0" w:space="0" w:color="auto"/>
            <w:left w:val="none" w:sz="0" w:space="0" w:color="auto"/>
            <w:bottom w:val="none" w:sz="0" w:space="0" w:color="auto"/>
            <w:right w:val="none" w:sz="0" w:space="0" w:color="auto"/>
          </w:divBdr>
        </w:div>
        <w:div w:id="1944410191">
          <w:marLeft w:val="0"/>
          <w:marRight w:val="0"/>
          <w:marTop w:val="0"/>
          <w:marBottom w:val="0"/>
          <w:divBdr>
            <w:top w:val="none" w:sz="0" w:space="0" w:color="auto"/>
            <w:left w:val="none" w:sz="0" w:space="0" w:color="auto"/>
            <w:bottom w:val="none" w:sz="0" w:space="0" w:color="auto"/>
            <w:right w:val="none" w:sz="0" w:space="0" w:color="auto"/>
          </w:divBdr>
        </w:div>
        <w:div w:id="1944528089">
          <w:marLeft w:val="0"/>
          <w:marRight w:val="0"/>
          <w:marTop w:val="0"/>
          <w:marBottom w:val="0"/>
          <w:divBdr>
            <w:top w:val="none" w:sz="0" w:space="0" w:color="auto"/>
            <w:left w:val="none" w:sz="0" w:space="0" w:color="auto"/>
            <w:bottom w:val="none" w:sz="0" w:space="0" w:color="auto"/>
            <w:right w:val="none" w:sz="0" w:space="0" w:color="auto"/>
          </w:divBdr>
        </w:div>
        <w:div w:id="1945191396">
          <w:marLeft w:val="0"/>
          <w:marRight w:val="0"/>
          <w:marTop w:val="0"/>
          <w:marBottom w:val="0"/>
          <w:divBdr>
            <w:top w:val="none" w:sz="0" w:space="0" w:color="auto"/>
            <w:left w:val="none" w:sz="0" w:space="0" w:color="auto"/>
            <w:bottom w:val="none" w:sz="0" w:space="0" w:color="auto"/>
            <w:right w:val="none" w:sz="0" w:space="0" w:color="auto"/>
          </w:divBdr>
        </w:div>
        <w:div w:id="1945992846">
          <w:marLeft w:val="0"/>
          <w:marRight w:val="0"/>
          <w:marTop w:val="0"/>
          <w:marBottom w:val="0"/>
          <w:divBdr>
            <w:top w:val="none" w:sz="0" w:space="0" w:color="auto"/>
            <w:left w:val="none" w:sz="0" w:space="0" w:color="auto"/>
            <w:bottom w:val="none" w:sz="0" w:space="0" w:color="auto"/>
            <w:right w:val="none" w:sz="0" w:space="0" w:color="auto"/>
          </w:divBdr>
        </w:div>
        <w:div w:id="1946231534">
          <w:marLeft w:val="0"/>
          <w:marRight w:val="0"/>
          <w:marTop w:val="0"/>
          <w:marBottom w:val="0"/>
          <w:divBdr>
            <w:top w:val="none" w:sz="0" w:space="0" w:color="auto"/>
            <w:left w:val="none" w:sz="0" w:space="0" w:color="auto"/>
            <w:bottom w:val="none" w:sz="0" w:space="0" w:color="auto"/>
            <w:right w:val="none" w:sz="0" w:space="0" w:color="auto"/>
          </w:divBdr>
        </w:div>
        <w:div w:id="1948198486">
          <w:marLeft w:val="0"/>
          <w:marRight w:val="0"/>
          <w:marTop w:val="0"/>
          <w:marBottom w:val="0"/>
          <w:divBdr>
            <w:top w:val="none" w:sz="0" w:space="0" w:color="auto"/>
            <w:left w:val="none" w:sz="0" w:space="0" w:color="auto"/>
            <w:bottom w:val="none" w:sz="0" w:space="0" w:color="auto"/>
            <w:right w:val="none" w:sz="0" w:space="0" w:color="auto"/>
          </w:divBdr>
        </w:div>
        <w:div w:id="1951738476">
          <w:marLeft w:val="0"/>
          <w:marRight w:val="0"/>
          <w:marTop w:val="0"/>
          <w:marBottom w:val="0"/>
          <w:divBdr>
            <w:top w:val="none" w:sz="0" w:space="0" w:color="auto"/>
            <w:left w:val="none" w:sz="0" w:space="0" w:color="auto"/>
            <w:bottom w:val="none" w:sz="0" w:space="0" w:color="auto"/>
            <w:right w:val="none" w:sz="0" w:space="0" w:color="auto"/>
          </w:divBdr>
        </w:div>
        <w:div w:id="1951819988">
          <w:marLeft w:val="0"/>
          <w:marRight w:val="0"/>
          <w:marTop w:val="0"/>
          <w:marBottom w:val="0"/>
          <w:divBdr>
            <w:top w:val="none" w:sz="0" w:space="0" w:color="auto"/>
            <w:left w:val="none" w:sz="0" w:space="0" w:color="auto"/>
            <w:bottom w:val="none" w:sz="0" w:space="0" w:color="auto"/>
            <w:right w:val="none" w:sz="0" w:space="0" w:color="auto"/>
          </w:divBdr>
        </w:div>
        <w:div w:id="1956211418">
          <w:marLeft w:val="0"/>
          <w:marRight w:val="0"/>
          <w:marTop w:val="0"/>
          <w:marBottom w:val="0"/>
          <w:divBdr>
            <w:top w:val="none" w:sz="0" w:space="0" w:color="auto"/>
            <w:left w:val="none" w:sz="0" w:space="0" w:color="auto"/>
            <w:bottom w:val="none" w:sz="0" w:space="0" w:color="auto"/>
            <w:right w:val="none" w:sz="0" w:space="0" w:color="auto"/>
          </w:divBdr>
        </w:div>
        <w:div w:id="1956906730">
          <w:marLeft w:val="0"/>
          <w:marRight w:val="0"/>
          <w:marTop w:val="0"/>
          <w:marBottom w:val="0"/>
          <w:divBdr>
            <w:top w:val="none" w:sz="0" w:space="0" w:color="auto"/>
            <w:left w:val="none" w:sz="0" w:space="0" w:color="auto"/>
            <w:bottom w:val="none" w:sz="0" w:space="0" w:color="auto"/>
            <w:right w:val="none" w:sz="0" w:space="0" w:color="auto"/>
          </w:divBdr>
        </w:div>
        <w:div w:id="1956909768">
          <w:marLeft w:val="0"/>
          <w:marRight w:val="0"/>
          <w:marTop w:val="0"/>
          <w:marBottom w:val="0"/>
          <w:divBdr>
            <w:top w:val="none" w:sz="0" w:space="0" w:color="auto"/>
            <w:left w:val="none" w:sz="0" w:space="0" w:color="auto"/>
            <w:bottom w:val="none" w:sz="0" w:space="0" w:color="auto"/>
            <w:right w:val="none" w:sz="0" w:space="0" w:color="auto"/>
          </w:divBdr>
        </w:div>
        <w:div w:id="1957440290">
          <w:marLeft w:val="0"/>
          <w:marRight w:val="0"/>
          <w:marTop w:val="0"/>
          <w:marBottom w:val="0"/>
          <w:divBdr>
            <w:top w:val="none" w:sz="0" w:space="0" w:color="auto"/>
            <w:left w:val="none" w:sz="0" w:space="0" w:color="auto"/>
            <w:bottom w:val="none" w:sz="0" w:space="0" w:color="auto"/>
            <w:right w:val="none" w:sz="0" w:space="0" w:color="auto"/>
          </w:divBdr>
        </w:div>
        <w:div w:id="1957760307">
          <w:marLeft w:val="0"/>
          <w:marRight w:val="0"/>
          <w:marTop w:val="0"/>
          <w:marBottom w:val="0"/>
          <w:divBdr>
            <w:top w:val="none" w:sz="0" w:space="0" w:color="auto"/>
            <w:left w:val="none" w:sz="0" w:space="0" w:color="auto"/>
            <w:bottom w:val="none" w:sz="0" w:space="0" w:color="auto"/>
            <w:right w:val="none" w:sz="0" w:space="0" w:color="auto"/>
          </w:divBdr>
        </w:div>
        <w:div w:id="1957785469">
          <w:marLeft w:val="0"/>
          <w:marRight w:val="0"/>
          <w:marTop w:val="0"/>
          <w:marBottom w:val="0"/>
          <w:divBdr>
            <w:top w:val="none" w:sz="0" w:space="0" w:color="auto"/>
            <w:left w:val="none" w:sz="0" w:space="0" w:color="auto"/>
            <w:bottom w:val="none" w:sz="0" w:space="0" w:color="auto"/>
            <w:right w:val="none" w:sz="0" w:space="0" w:color="auto"/>
          </w:divBdr>
        </w:div>
        <w:div w:id="1959602753">
          <w:marLeft w:val="0"/>
          <w:marRight w:val="0"/>
          <w:marTop w:val="0"/>
          <w:marBottom w:val="0"/>
          <w:divBdr>
            <w:top w:val="none" w:sz="0" w:space="0" w:color="auto"/>
            <w:left w:val="none" w:sz="0" w:space="0" w:color="auto"/>
            <w:bottom w:val="none" w:sz="0" w:space="0" w:color="auto"/>
            <w:right w:val="none" w:sz="0" w:space="0" w:color="auto"/>
          </w:divBdr>
          <w:divsChild>
            <w:div w:id="767390884">
              <w:marLeft w:val="-75"/>
              <w:marRight w:val="0"/>
              <w:marTop w:val="30"/>
              <w:marBottom w:val="30"/>
              <w:divBdr>
                <w:top w:val="none" w:sz="0" w:space="0" w:color="auto"/>
                <w:left w:val="none" w:sz="0" w:space="0" w:color="auto"/>
                <w:bottom w:val="none" w:sz="0" w:space="0" w:color="auto"/>
                <w:right w:val="none" w:sz="0" w:space="0" w:color="auto"/>
              </w:divBdr>
              <w:divsChild>
                <w:div w:id="70540549">
                  <w:marLeft w:val="0"/>
                  <w:marRight w:val="0"/>
                  <w:marTop w:val="0"/>
                  <w:marBottom w:val="0"/>
                  <w:divBdr>
                    <w:top w:val="none" w:sz="0" w:space="0" w:color="auto"/>
                    <w:left w:val="none" w:sz="0" w:space="0" w:color="auto"/>
                    <w:bottom w:val="none" w:sz="0" w:space="0" w:color="auto"/>
                    <w:right w:val="none" w:sz="0" w:space="0" w:color="auto"/>
                  </w:divBdr>
                  <w:divsChild>
                    <w:div w:id="287201887">
                      <w:marLeft w:val="0"/>
                      <w:marRight w:val="0"/>
                      <w:marTop w:val="0"/>
                      <w:marBottom w:val="0"/>
                      <w:divBdr>
                        <w:top w:val="none" w:sz="0" w:space="0" w:color="auto"/>
                        <w:left w:val="none" w:sz="0" w:space="0" w:color="auto"/>
                        <w:bottom w:val="none" w:sz="0" w:space="0" w:color="auto"/>
                        <w:right w:val="none" w:sz="0" w:space="0" w:color="auto"/>
                      </w:divBdr>
                    </w:div>
                  </w:divsChild>
                </w:div>
                <w:div w:id="118570343">
                  <w:marLeft w:val="0"/>
                  <w:marRight w:val="0"/>
                  <w:marTop w:val="0"/>
                  <w:marBottom w:val="0"/>
                  <w:divBdr>
                    <w:top w:val="none" w:sz="0" w:space="0" w:color="auto"/>
                    <w:left w:val="none" w:sz="0" w:space="0" w:color="auto"/>
                    <w:bottom w:val="none" w:sz="0" w:space="0" w:color="auto"/>
                    <w:right w:val="none" w:sz="0" w:space="0" w:color="auto"/>
                  </w:divBdr>
                  <w:divsChild>
                    <w:div w:id="631637883">
                      <w:marLeft w:val="0"/>
                      <w:marRight w:val="0"/>
                      <w:marTop w:val="0"/>
                      <w:marBottom w:val="0"/>
                      <w:divBdr>
                        <w:top w:val="none" w:sz="0" w:space="0" w:color="auto"/>
                        <w:left w:val="none" w:sz="0" w:space="0" w:color="auto"/>
                        <w:bottom w:val="none" w:sz="0" w:space="0" w:color="auto"/>
                        <w:right w:val="none" w:sz="0" w:space="0" w:color="auto"/>
                      </w:divBdr>
                    </w:div>
                  </w:divsChild>
                </w:div>
                <w:div w:id="154416425">
                  <w:marLeft w:val="0"/>
                  <w:marRight w:val="0"/>
                  <w:marTop w:val="0"/>
                  <w:marBottom w:val="0"/>
                  <w:divBdr>
                    <w:top w:val="none" w:sz="0" w:space="0" w:color="auto"/>
                    <w:left w:val="none" w:sz="0" w:space="0" w:color="auto"/>
                    <w:bottom w:val="none" w:sz="0" w:space="0" w:color="auto"/>
                    <w:right w:val="none" w:sz="0" w:space="0" w:color="auto"/>
                  </w:divBdr>
                  <w:divsChild>
                    <w:div w:id="172032781">
                      <w:marLeft w:val="0"/>
                      <w:marRight w:val="0"/>
                      <w:marTop w:val="0"/>
                      <w:marBottom w:val="0"/>
                      <w:divBdr>
                        <w:top w:val="none" w:sz="0" w:space="0" w:color="auto"/>
                        <w:left w:val="none" w:sz="0" w:space="0" w:color="auto"/>
                        <w:bottom w:val="none" w:sz="0" w:space="0" w:color="auto"/>
                        <w:right w:val="none" w:sz="0" w:space="0" w:color="auto"/>
                      </w:divBdr>
                    </w:div>
                  </w:divsChild>
                </w:div>
                <w:div w:id="173224881">
                  <w:marLeft w:val="0"/>
                  <w:marRight w:val="0"/>
                  <w:marTop w:val="0"/>
                  <w:marBottom w:val="0"/>
                  <w:divBdr>
                    <w:top w:val="none" w:sz="0" w:space="0" w:color="auto"/>
                    <w:left w:val="none" w:sz="0" w:space="0" w:color="auto"/>
                    <w:bottom w:val="none" w:sz="0" w:space="0" w:color="auto"/>
                    <w:right w:val="none" w:sz="0" w:space="0" w:color="auto"/>
                  </w:divBdr>
                  <w:divsChild>
                    <w:div w:id="1360934562">
                      <w:marLeft w:val="0"/>
                      <w:marRight w:val="0"/>
                      <w:marTop w:val="0"/>
                      <w:marBottom w:val="0"/>
                      <w:divBdr>
                        <w:top w:val="none" w:sz="0" w:space="0" w:color="auto"/>
                        <w:left w:val="none" w:sz="0" w:space="0" w:color="auto"/>
                        <w:bottom w:val="none" w:sz="0" w:space="0" w:color="auto"/>
                        <w:right w:val="none" w:sz="0" w:space="0" w:color="auto"/>
                      </w:divBdr>
                    </w:div>
                  </w:divsChild>
                </w:div>
                <w:div w:id="178325102">
                  <w:marLeft w:val="0"/>
                  <w:marRight w:val="0"/>
                  <w:marTop w:val="0"/>
                  <w:marBottom w:val="0"/>
                  <w:divBdr>
                    <w:top w:val="none" w:sz="0" w:space="0" w:color="auto"/>
                    <w:left w:val="none" w:sz="0" w:space="0" w:color="auto"/>
                    <w:bottom w:val="none" w:sz="0" w:space="0" w:color="auto"/>
                    <w:right w:val="none" w:sz="0" w:space="0" w:color="auto"/>
                  </w:divBdr>
                  <w:divsChild>
                    <w:div w:id="1827431855">
                      <w:marLeft w:val="0"/>
                      <w:marRight w:val="0"/>
                      <w:marTop w:val="0"/>
                      <w:marBottom w:val="0"/>
                      <w:divBdr>
                        <w:top w:val="none" w:sz="0" w:space="0" w:color="auto"/>
                        <w:left w:val="none" w:sz="0" w:space="0" w:color="auto"/>
                        <w:bottom w:val="none" w:sz="0" w:space="0" w:color="auto"/>
                        <w:right w:val="none" w:sz="0" w:space="0" w:color="auto"/>
                      </w:divBdr>
                    </w:div>
                  </w:divsChild>
                </w:div>
                <w:div w:id="305280379">
                  <w:marLeft w:val="0"/>
                  <w:marRight w:val="0"/>
                  <w:marTop w:val="0"/>
                  <w:marBottom w:val="0"/>
                  <w:divBdr>
                    <w:top w:val="none" w:sz="0" w:space="0" w:color="auto"/>
                    <w:left w:val="none" w:sz="0" w:space="0" w:color="auto"/>
                    <w:bottom w:val="none" w:sz="0" w:space="0" w:color="auto"/>
                    <w:right w:val="none" w:sz="0" w:space="0" w:color="auto"/>
                  </w:divBdr>
                  <w:divsChild>
                    <w:div w:id="1190753876">
                      <w:marLeft w:val="0"/>
                      <w:marRight w:val="0"/>
                      <w:marTop w:val="0"/>
                      <w:marBottom w:val="0"/>
                      <w:divBdr>
                        <w:top w:val="none" w:sz="0" w:space="0" w:color="auto"/>
                        <w:left w:val="none" w:sz="0" w:space="0" w:color="auto"/>
                        <w:bottom w:val="none" w:sz="0" w:space="0" w:color="auto"/>
                        <w:right w:val="none" w:sz="0" w:space="0" w:color="auto"/>
                      </w:divBdr>
                    </w:div>
                  </w:divsChild>
                </w:div>
                <w:div w:id="458646051">
                  <w:marLeft w:val="0"/>
                  <w:marRight w:val="0"/>
                  <w:marTop w:val="0"/>
                  <w:marBottom w:val="0"/>
                  <w:divBdr>
                    <w:top w:val="none" w:sz="0" w:space="0" w:color="auto"/>
                    <w:left w:val="none" w:sz="0" w:space="0" w:color="auto"/>
                    <w:bottom w:val="none" w:sz="0" w:space="0" w:color="auto"/>
                    <w:right w:val="none" w:sz="0" w:space="0" w:color="auto"/>
                  </w:divBdr>
                  <w:divsChild>
                    <w:div w:id="1946307433">
                      <w:marLeft w:val="0"/>
                      <w:marRight w:val="0"/>
                      <w:marTop w:val="0"/>
                      <w:marBottom w:val="0"/>
                      <w:divBdr>
                        <w:top w:val="none" w:sz="0" w:space="0" w:color="auto"/>
                        <w:left w:val="none" w:sz="0" w:space="0" w:color="auto"/>
                        <w:bottom w:val="none" w:sz="0" w:space="0" w:color="auto"/>
                        <w:right w:val="none" w:sz="0" w:space="0" w:color="auto"/>
                      </w:divBdr>
                    </w:div>
                  </w:divsChild>
                </w:div>
                <w:div w:id="517239913">
                  <w:marLeft w:val="0"/>
                  <w:marRight w:val="0"/>
                  <w:marTop w:val="0"/>
                  <w:marBottom w:val="0"/>
                  <w:divBdr>
                    <w:top w:val="none" w:sz="0" w:space="0" w:color="auto"/>
                    <w:left w:val="none" w:sz="0" w:space="0" w:color="auto"/>
                    <w:bottom w:val="none" w:sz="0" w:space="0" w:color="auto"/>
                    <w:right w:val="none" w:sz="0" w:space="0" w:color="auto"/>
                  </w:divBdr>
                  <w:divsChild>
                    <w:div w:id="1470047539">
                      <w:marLeft w:val="0"/>
                      <w:marRight w:val="0"/>
                      <w:marTop w:val="0"/>
                      <w:marBottom w:val="0"/>
                      <w:divBdr>
                        <w:top w:val="none" w:sz="0" w:space="0" w:color="auto"/>
                        <w:left w:val="none" w:sz="0" w:space="0" w:color="auto"/>
                        <w:bottom w:val="none" w:sz="0" w:space="0" w:color="auto"/>
                        <w:right w:val="none" w:sz="0" w:space="0" w:color="auto"/>
                      </w:divBdr>
                    </w:div>
                  </w:divsChild>
                </w:div>
                <w:div w:id="568266671">
                  <w:marLeft w:val="0"/>
                  <w:marRight w:val="0"/>
                  <w:marTop w:val="0"/>
                  <w:marBottom w:val="0"/>
                  <w:divBdr>
                    <w:top w:val="none" w:sz="0" w:space="0" w:color="auto"/>
                    <w:left w:val="none" w:sz="0" w:space="0" w:color="auto"/>
                    <w:bottom w:val="none" w:sz="0" w:space="0" w:color="auto"/>
                    <w:right w:val="none" w:sz="0" w:space="0" w:color="auto"/>
                  </w:divBdr>
                  <w:divsChild>
                    <w:div w:id="1475021312">
                      <w:marLeft w:val="0"/>
                      <w:marRight w:val="0"/>
                      <w:marTop w:val="0"/>
                      <w:marBottom w:val="0"/>
                      <w:divBdr>
                        <w:top w:val="none" w:sz="0" w:space="0" w:color="auto"/>
                        <w:left w:val="none" w:sz="0" w:space="0" w:color="auto"/>
                        <w:bottom w:val="none" w:sz="0" w:space="0" w:color="auto"/>
                        <w:right w:val="none" w:sz="0" w:space="0" w:color="auto"/>
                      </w:divBdr>
                    </w:div>
                  </w:divsChild>
                </w:div>
                <w:div w:id="603730483">
                  <w:marLeft w:val="0"/>
                  <w:marRight w:val="0"/>
                  <w:marTop w:val="0"/>
                  <w:marBottom w:val="0"/>
                  <w:divBdr>
                    <w:top w:val="none" w:sz="0" w:space="0" w:color="auto"/>
                    <w:left w:val="none" w:sz="0" w:space="0" w:color="auto"/>
                    <w:bottom w:val="none" w:sz="0" w:space="0" w:color="auto"/>
                    <w:right w:val="none" w:sz="0" w:space="0" w:color="auto"/>
                  </w:divBdr>
                  <w:divsChild>
                    <w:div w:id="1240672697">
                      <w:marLeft w:val="0"/>
                      <w:marRight w:val="0"/>
                      <w:marTop w:val="0"/>
                      <w:marBottom w:val="0"/>
                      <w:divBdr>
                        <w:top w:val="none" w:sz="0" w:space="0" w:color="auto"/>
                        <w:left w:val="none" w:sz="0" w:space="0" w:color="auto"/>
                        <w:bottom w:val="none" w:sz="0" w:space="0" w:color="auto"/>
                        <w:right w:val="none" w:sz="0" w:space="0" w:color="auto"/>
                      </w:divBdr>
                    </w:div>
                  </w:divsChild>
                </w:div>
                <w:div w:id="617756971">
                  <w:marLeft w:val="0"/>
                  <w:marRight w:val="0"/>
                  <w:marTop w:val="0"/>
                  <w:marBottom w:val="0"/>
                  <w:divBdr>
                    <w:top w:val="none" w:sz="0" w:space="0" w:color="auto"/>
                    <w:left w:val="none" w:sz="0" w:space="0" w:color="auto"/>
                    <w:bottom w:val="none" w:sz="0" w:space="0" w:color="auto"/>
                    <w:right w:val="none" w:sz="0" w:space="0" w:color="auto"/>
                  </w:divBdr>
                  <w:divsChild>
                    <w:div w:id="962612197">
                      <w:marLeft w:val="0"/>
                      <w:marRight w:val="0"/>
                      <w:marTop w:val="0"/>
                      <w:marBottom w:val="0"/>
                      <w:divBdr>
                        <w:top w:val="none" w:sz="0" w:space="0" w:color="auto"/>
                        <w:left w:val="none" w:sz="0" w:space="0" w:color="auto"/>
                        <w:bottom w:val="none" w:sz="0" w:space="0" w:color="auto"/>
                        <w:right w:val="none" w:sz="0" w:space="0" w:color="auto"/>
                      </w:divBdr>
                    </w:div>
                  </w:divsChild>
                </w:div>
                <w:div w:id="637688234">
                  <w:marLeft w:val="0"/>
                  <w:marRight w:val="0"/>
                  <w:marTop w:val="0"/>
                  <w:marBottom w:val="0"/>
                  <w:divBdr>
                    <w:top w:val="none" w:sz="0" w:space="0" w:color="auto"/>
                    <w:left w:val="none" w:sz="0" w:space="0" w:color="auto"/>
                    <w:bottom w:val="none" w:sz="0" w:space="0" w:color="auto"/>
                    <w:right w:val="none" w:sz="0" w:space="0" w:color="auto"/>
                  </w:divBdr>
                  <w:divsChild>
                    <w:div w:id="1637418799">
                      <w:marLeft w:val="0"/>
                      <w:marRight w:val="0"/>
                      <w:marTop w:val="0"/>
                      <w:marBottom w:val="0"/>
                      <w:divBdr>
                        <w:top w:val="none" w:sz="0" w:space="0" w:color="auto"/>
                        <w:left w:val="none" w:sz="0" w:space="0" w:color="auto"/>
                        <w:bottom w:val="none" w:sz="0" w:space="0" w:color="auto"/>
                        <w:right w:val="none" w:sz="0" w:space="0" w:color="auto"/>
                      </w:divBdr>
                    </w:div>
                  </w:divsChild>
                </w:div>
                <w:div w:id="717558678">
                  <w:marLeft w:val="0"/>
                  <w:marRight w:val="0"/>
                  <w:marTop w:val="0"/>
                  <w:marBottom w:val="0"/>
                  <w:divBdr>
                    <w:top w:val="none" w:sz="0" w:space="0" w:color="auto"/>
                    <w:left w:val="none" w:sz="0" w:space="0" w:color="auto"/>
                    <w:bottom w:val="none" w:sz="0" w:space="0" w:color="auto"/>
                    <w:right w:val="none" w:sz="0" w:space="0" w:color="auto"/>
                  </w:divBdr>
                  <w:divsChild>
                    <w:div w:id="171726675">
                      <w:marLeft w:val="0"/>
                      <w:marRight w:val="0"/>
                      <w:marTop w:val="0"/>
                      <w:marBottom w:val="0"/>
                      <w:divBdr>
                        <w:top w:val="none" w:sz="0" w:space="0" w:color="auto"/>
                        <w:left w:val="none" w:sz="0" w:space="0" w:color="auto"/>
                        <w:bottom w:val="none" w:sz="0" w:space="0" w:color="auto"/>
                        <w:right w:val="none" w:sz="0" w:space="0" w:color="auto"/>
                      </w:divBdr>
                    </w:div>
                  </w:divsChild>
                </w:div>
                <w:div w:id="772438633">
                  <w:marLeft w:val="0"/>
                  <w:marRight w:val="0"/>
                  <w:marTop w:val="0"/>
                  <w:marBottom w:val="0"/>
                  <w:divBdr>
                    <w:top w:val="none" w:sz="0" w:space="0" w:color="auto"/>
                    <w:left w:val="none" w:sz="0" w:space="0" w:color="auto"/>
                    <w:bottom w:val="none" w:sz="0" w:space="0" w:color="auto"/>
                    <w:right w:val="none" w:sz="0" w:space="0" w:color="auto"/>
                  </w:divBdr>
                  <w:divsChild>
                    <w:div w:id="1592081577">
                      <w:marLeft w:val="0"/>
                      <w:marRight w:val="0"/>
                      <w:marTop w:val="0"/>
                      <w:marBottom w:val="0"/>
                      <w:divBdr>
                        <w:top w:val="none" w:sz="0" w:space="0" w:color="auto"/>
                        <w:left w:val="none" w:sz="0" w:space="0" w:color="auto"/>
                        <w:bottom w:val="none" w:sz="0" w:space="0" w:color="auto"/>
                        <w:right w:val="none" w:sz="0" w:space="0" w:color="auto"/>
                      </w:divBdr>
                    </w:div>
                  </w:divsChild>
                </w:div>
                <w:div w:id="807547796">
                  <w:marLeft w:val="0"/>
                  <w:marRight w:val="0"/>
                  <w:marTop w:val="0"/>
                  <w:marBottom w:val="0"/>
                  <w:divBdr>
                    <w:top w:val="none" w:sz="0" w:space="0" w:color="auto"/>
                    <w:left w:val="none" w:sz="0" w:space="0" w:color="auto"/>
                    <w:bottom w:val="none" w:sz="0" w:space="0" w:color="auto"/>
                    <w:right w:val="none" w:sz="0" w:space="0" w:color="auto"/>
                  </w:divBdr>
                  <w:divsChild>
                    <w:div w:id="2132895505">
                      <w:marLeft w:val="0"/>
                      <w:marRight w:val="0"/>
                      <w:marTop w:val="0"/>
                      <w:marBottom w:val="0"/>
                      <w:divBdr>
                        <w:top w:val="none" w:sz="0" w:space="0" w:color="auto"/>
                        <w:left w:val="none" w:sz="0" w:space="0" w:color="auto"/>
                        <w:bottom w:val="none" w:sz="0" w:space="0" w:color="auto"/>
                        <w:right w:val="none" w:sz="0" w:space="0" w:color="auto"/>
                      </w:divBdr>
                    </w:div>
                  </w:divsChild>
                </w:div>
                <w:div w:id="850071095">
                  <w:marLeft w:val="0"/>
                  <w:marRight w:val="0"/>
                  <w:marTop w:val="0"/>
                  <w:marBottom w:val="0"/>
                  <w:divBdr>
                    <w:top w:val="none" w:sz="0" w:space="0" w:color="auto"/>
                    <w:left w:val="none" w:sz="0" w:space="0" w:color="auto"/>
                    <w:bottom w:val="none" w:sz="0" w:space="0" w:color="auto"/>
                    <w:right w:val="none" w:sz="0" w:space="0" w:color="auto"/>
                  </w:divBdr>
                  <w:divsChild>
                    <w:div w:id="956907843">
                      <w:marLeft w:val="0"/>
                      <w:marRight w:val="0"/>
                      <w:marTop w:val="0"/>
                      <w:marBottom w:val="0"/>
                      <w:divBdr>
                        <w:top w:val="none" w:sz="0" w:space="0" w:color="auto"/>
                        <w:left w:val="none" w:sz="0" w:space="0" w:color="auto"/>
                        <w:bottom w:val="none" w:sz="0" w:space="0" w:color="auto"/>
                        <w:right w:val="none" w:sz="0" w:space="0" w:color="auto"/>
                      </w:divBdr>
                    </w:div>
                  </w:divsChild>
                </w:div>
                <w:div w:id="881671763">
                  <w:marLeft w:val="0"/>
                  <w:marRight w:val="0"/>
                  <w:marTop w:val="0"/>
                  <w:marBottom w:val="0"/>
                  <w:divBdr>
                    <w:top w:val="none" w:sz="0" w:space="0" w:color="auto"/>
                    <w:left w:val="none" w:sz="0" w:space="0" w:color="auto"/>
                    <w:bottom w:val="none" w:sz="0" w:space="0" w:color="auto"/>
                    <w:right w:val="none" w:sz="0" w:space="0" w:color="auto"/>
                  </w:divBdr>
                  <w:divsChild>
                    <w:div w:id="276763744">
                      <w:marLeft w:val="0"/>
                      <w:marRight w:val="0"/>
                      <w:marTop w:val="0"/>
                      <w:marBottom w:val="0"/>
                      <w:divBdr>
                        <w:top w:val="none" w:sz="0" w:space="0" w:color="auto"/>
                        <w:left w:val="none" w:sz="0" w:space="0" w:color="auto"/>
                        <w:bottom w:val="none" w:sz="0" w:space="0" w:color="auto"/>
                        <w:right w:val="none" w:sz="0" w:space="0" w:color="auto"/>
                      </w:divBdr>
                    </w:div>
                  </w:divsChild>
                </w:div>
                <w:div w:id="921642805">
                  <w:marLeft w:val="0"/>
                  <w:marRight w:val="0"/>
                  <w:marTop w:val="0"/>
                  <w:marBottom w:val="0"/>
                  <w:divBdr>
                    <w:top w:val="none" w:sz="0" w:space="0" w:color="auto"/>
                    <w:left w:val="none" w:sz="0" w:space="0" w:color="auto"/>
                    <w:bottom w:val="none" w:sz="0" w:space="0" w:color="auto"/>
                    <w:right w:val="none" w:sz="0" w:space="0" w:color="auto"/>
                  </w:divBdr>
                  <w:divsChild>
                    <w:div w:id="893010394">
                      <w:marLeft w:val="0"/>
                      <w:marRight w:val="0"/>
                      <w:marTop w:val="0"/>
                      <w:marBottom w:val="0"/>
                      <w:divBdr>
                        <w:top w:val="none" w:sz="0" w:space="0" w:color="auto"/>
                        <w:left w:val="none" w:sz="0" w:space="0" w:color="auto"/>
                        <w:bottom w:val="none" w:sz="0" w:space="0" w:color="auto"/>
                        <w:right w:val="none" w:sz="0" w:space="0" w:color="auto"/>
                      </w:divBdr>
                    </w:div>
                    <w:div w:id="1940747957">
                      <w:marLeft w:val="0"/>
                      <w:marRight w:val="0"/>
                      <w:marTop w:val="0"/>
                      <w:marBottom w:val="0"/>
                      <w:divBdr>
                        <w:top w:val="none" w:sz="0" w:space="0" w:color="auto"/>
                        <w:left w:val="none" w:sz="0" w:space="0" w:color="auto"/>
                        <w:bottom w:val="none" w:sz="0" w:space="0" w:color="auto"/>
                        <w:right w:val="none" w:sz="0" w:space="0" w:color="auto"/>
                      </w:divBdr>
                    </w:div>
                  </w:divsChild>
                </w:div>
                <w:div w:id="929660755">
                  <w:marLeft w:val="0"/>
                  <w:marRight w:val="0"/>
                  <w:marTop w:val="0"/>
                  <w:marBottom w:val="0"/>
                  <w:divBdr>
                    <w:top w:val="none" w:sz="0" w:space="0" w:color="auto"/>
                    <w:left w:val="none" w:sz="0" w:space="0" w:color="auto"/>
                    <w:bottom w:val="none" w:sz="0" w:space="0" w:color="auto"/>
                    <w:right w:val="none" w:sz="0" w:space="0" w:color="auto"/>
                  </w:divBdr>
                  <w:divsChild>
                    <w:div w:id="339039960">
                      <w:marLeft w:val="0"/>
                      <w:marRight w:val="0"/>
                      <w:marTop w:val="0"/>
                      <w:marBottom w:val="0"/>
                      <w:divBdr>
                        <w:top w:val="none" w:sz="0" w:space="0" w:color="auto"/>
                        <w:left w:val="none" w:sz="0" w:space="0" w:color="auto"/>
                        <w:bottom w:val="none" w:sz="0" w:space="0" w:color="auto"/>
                        <w:right w:val="none" w:sz="0" w:space="0" w:color="auto"/>
                      </w:divBdr>
                    </w:div>
                  </w:divsChild>
                </w:div>
                <w:div w:id="998845415">
                  <w:marLeft w:val="0"/>
                  <w:marRight w:val="0"/>
                  <w:marTop w:val="0"/>
                  <w:marBottom w:val="0"/>
                  <w:divBdr>
                    <w:top w:val="none" w:sz="0" w:space="0" w:color="auto"/>
                    <w:left w:val="none" w:sz="0" w:space="0" w:color="auto"/>
                    <w:bottom w:val="none" w:sz="0" w:space="0" w:color="auto"/>
                    <w:right w:val="none" w:sz="0" w:space="0" w:color="auto"/>
                  </w:divBdr>
                  <w:divsChild>
                    <w:div w:id="729352187">
                      <w:marLeft w:val="0"/>
                      <w:marRight w:val="0"/>
                      <w:marTop w:val="0"/>
                      <w:marBottom w:val="0"/>
                      <w:divBdr>
                        <w:top w:val="none" w:sz="0" w:space="0" w:color="auto"/>
                        <w:left w:val="none" w:sz="0" w:space="0" w:color="auto"/>
                        <w:bottom w:val="none" w:sz="0" w:space="0" w:color="auto"/>
                        <w:right w:val="none" w:sz="0" w:space="0" w:color="auto"/>
                      </w:divBdr>
                    </w:div>
                  </w:divsChild>
                </w:div>
                <w:div w:id="1171602454">
                  <w:marLeft w:val="0"/>
                  <w:marRight w:val="0"/>
                  <w:marTop w:val="0"/>
                  <w:marBottom w:val="0"/>
                  <w:divBdr>
                    <w:top w:val="none" w:sz="0" w:space="0" w:color="auto"/>
                    <w:left w:val="none" w:sz="0" w:space="0" w:color="auto"/>
                    <w:bottom w:val="none" w:sz="0" w:space="0" w:color="auto"/>
                    <w:right w:val="none" w:sz="0" w:space="0" w:color="auto"/>
                  </w:divBdr>
                  <w:divsChild>
                    <w:div w:id="778334121">
                      <w:marLeft w:val="0"/>
                      <w:marRight w:val="0"/>
                      <w:marTop w:val="0"/>
                      <w:marBottom w:val="0"/>
                      <w:divBdr>
                        <w:top w:val="none" w:sz="0" w:space="0" w:color="auto"/>
                        <w:left w:val="none" w:sz="0" w:space="0" w:color="auto"/>
                        <w:bottom w:val="none" w:sz="0" w:space="0" w:color="auto"/>
                        <w:right w:val="none" w:sz="0" w:space="0" w:color="auto"/>
                      </w:divBdr>
                    </w:div>
                  </w:divsChild>
                </w:div>
                <w:div w:id="1178958621">
                  <w:marLeft w:val="0"/>
                  <w:marRight w:val="0"/>
                  <w:marTop w:val="0"/>
                  <w:marBottom w:val="0"/>
                  <w:divBdr>
                    <w:top w:val="none" w:sz="0" w:space="0" w:color="auto"/>
                    <w:left w:val="none" w:sz="0" w:space="0" w:color="auto"/>
                    <w:bottom w:val="none" w:sz="0" w:space="0" w:color="auto"/>
                    <w:right w:val="none" w:sz="0" w:space="0" w:color="auto"/>
                  </w:divBdr>
                  <w:divsChild>
                    <w:div w:id="1632206505">
                      <w:marLeft w:val="0"/>
                      <w:marRight w:val="0"/>
                      <w:marTop w:val="0"/>
                      <w:marBottom w:val="0"/>
                      <w:divBdr>
                        <w:top w:val="none" w:sz="0" w:space="0" w:color="auto"/>
                        <w:left w:val="none" w:sz="0" w:space="0" w:color="auto"/>
                        <w:bottom w:val="none" w:sz="0" w:space="0" w:color="auto"/>
                        <w:right w:val="none" w:sz="0" w:space="0" w:color="auto"/>
                      </w:divBdr>
                    </w:div>
                  </w:divsChild>
                </w:div>
                <w:div w:id="1212034069">
                  <w:marLeft w:val="0"/>
                  <w:marRight w:val="0"/>
                  <w:marTop w:val="0"/>
                  <w:marBottom w:val="0"/>
                  <w:divBdr>
                    <w:top w:val="none" w:sz="0" w:space="0" w:color="auto"/>
                    <w:left w:val="none" w:sz="0" w:space="0" w:color="auto"/>
                    <w:bottom w:val="none" w:sz="0" w:space="0" w:color="auto"/>
                    <w:right w:val="none" w:sz="0" w:space="0" w:color="auto"/>
                  </w:divBdr>
                  <w:divsChild>
                    <w:div w:id="1796096560">
                      <w:marLeft w:val="0"/>
                      <w:marRight w:val="0"/>
                      <w:marTop w:val="0"/>
                      <w:marBottom w:val="0"/>
                      <w:divBdr>
                        <w:top w:val="none" w:sz="0" w:space="0" w:color="auto"/>
                        <w:left w:val="none" w:sz="0" w:space="0" w:color="auto"/>
                        <w:bottom w:val="none" w:sz="0" w:space="0" w:color="auto"/>
                        <w:right w:val="none" w:sz="0" w:space="0" w:color="auto"/>
                      </w:divBdr>
                    </w:div>
                  </w:divsChild>
                </w:div>
                <w:div w:id="1298489153">
                  <w:marLeft w:val="0"/>
                  <w:marRight w:val="0"/>
                  <w:marTop w:val="0"/>
                  <w:marBottom w:val="0"/>
                  <w:divBdr>
                    <w:top w:val="none" w:sz="0" w:space="0" w:color="auto"/>
                    <w:left w:val="none" w:sz="0" w:space="0" w:color="auto"/>
                    <w:bottom w:val="none" w:sz="0" w:space="0" w:color="auto"/>
                    <w:right w:val="none" w:sz="0" w:space="0" w:color="auto"/>
                  </w:divBdr>
                  <w:divsChild>
                    <w:div w:id="1011835052">
                      <w:marLeft w:val="0"/>
                      <w:marRight w:val="0"/>
                      <w:marTop w:val="0"/>
                      <w:marBottom w:val="0"/>
                      <w:divBdr>
                        <w:top w:val="none" w:sz="0" w:space="0" w:color="auto"/>
                        <w:left w:val="none" w:sz="0" w:space="0" w:color="auto"/>
                        <w:bottom w:val="none" w:sz="0" w:space="0" w:color="auto"/>
                        <w:right w:val="none" w:sz="0" w:space="0" w:color="auto"/>
                      </w:divBdr>
                    </w:div>
                  </w:divsChild>
                </w:div>
                <w:div w:id="1302224846">
                  <w:marLeft w:val="0"/>
                  <w:marRight w:val="0"/>
                  <w:marTop w:val="0"/>
                  <w:marBottom w:val="0"/>
                  <w:divBdr>
                    <w:top w:val="none" w:sz="0" w:space="0" w:color="auto"/>
                    <w:left w:val="none" w:sz="0" w:space="0" w:color="auto"/>
                    <w:bottom w:val="none" w:sz="0" w:space="0" w:color="auto"/>
                    <w:right w:val="none" w:sz="0" w:space="0" w:color="auto"/>
                  </w:divBdr>
                  <w:divsChild>
                    <w:div w:id="1608268242">
                      <w:marLeft w:val="0"/>
                      <w:marRight w:val="0"/>
                      <w:marTop w:val="0"/>
                      <w:marBottom w:val="0"/>
                      <w:divBdr>
                        <w:top w:val="none" w:sz="0" w:space="0" w:color="auto"/>
                        <w:left w:val="none" w:sz="0" w:space="0" w:color="auto"/>
                        <w:bottom w:val="none" w:sz="0" w:space="0" w:color="auto"/>
                        <w:right w:val="none" w:sz="0" w:space="0" w:color="auto"/>
                      </w:divBdr>
                    </w:div>
                  </w:divsChild>
                </w:div>
                <w:div w:id="1308170893">
                  <w:marLeft w:val="0"/>
                  <w:marRight w:val="0"/>
                  <w:marTop w:val="0"/>
                  <w:marBottom w:val="0"/>
                  <w:divBdr>
                    <w:top w:val="none" w:sz="0" w:space="0" w:color="auto"/>
                    <w:left w:val="none" w:sz="0" w:space="0" w:color="auto"/>
                    <w:bottom w:val="none" w:sz="0" w:space="0" w:color="auto"/>
                    <w:right w:val="none" w:sz="0" w:space="0" w:color="auto"/>
                  </w:divBdr>
                  <w:divsChild>
                    <w:div w:id="831683511">
                      <w:marLeft w:val="0"/>
                      <w:marRight w:val="0"/>
                      <w:marTop w:val="0"/>
                      <w:marBottom w:val="0"/>
                      <w:divBdr>
                        <w:top w:val="none" w:sz="0" w:space="0" w:color="auto"/>
                        <w:left w:val="none" w:sz="0" w:space="0" w:color="auto"/>
                        <w:bottom w:val="none" w:sz="0" w:space="0" w:color="auto"/>
                        <w:right w:val="none" w:sz="0" w:space="0" w:color="auto"/>
                      </w:divBdr>
                    </w:div>
                  </w:divsChild>
                </w:div>
                <w:div w:id="1330909581">
                  <w:marLeft w:val="0"/>
                  <w:marRight w:val="0"/>
                  <w:marTop w:val="0"/>
                  <w:marBottom w:val="0"/>
                  <w:divBdr>
                    <w:top w:val="none" w:sz="0" w:space="0" w:color="auto"/>
                    <w:left w:val="none" w:sz="0" w:space="0" w:color="auto"/>
                    <w:bottom w:val="none" w:sz="0" w:space="0" w:color="auto"/>
                    <w:right w:val="none" w:sz="0" w:space="0" w:color="auto"/>
                  </w:divBdr>
                  <w:divsChild>
                    <w:div w:id="685256706">
                      <w:marLeft w:val="0"/>
                      <w:marRight w:val="0"/>
                      <w:marTop w:val="0"/>
                      <w:marBottom w:val="0"/>
                      <w:divBdr>
                        <w:top w:val="none" w:sz="0" w:space="0" w:color="auto"/>
                        <w:left w:val="none" w:sz="0" w:space="0" w:color="auto"/>
                        <w:bottom w:val="none" w:sz="0" w:space="0" w:color="auto"/>
                        <w:right w:val="none" w:sz="0" w:space="0" w:color="auto"/>
                      </w:divBdr>
                    </w:div>
                  </w:divsChild>
                </w:div>
                <w:div w:id="1356688393">
                  <w:marLeft w:val="0"/>
                  <w:marRight w:val="0"/>
                  <w:marTop w:val="0"/>
                  <w:marBottom w:val="0"/>
                  <w:divBdr>
                    <w:top w:val="none" w:sz="0" w:space="0" w:color="auto"/>
                    <w:left w:val="none" w:sz="0" w:space="0" w:color="auto"/>
                    <w:bottom w:val="none" w:sz="0" w:space="0" w:color="auto"/>
                    <w:right w:val="none" w:sz="0" w:space="0" w:color="auto"/>
                  </w:divBdr>
                  <w:divsChild>
                    <w:div w:id="842473329">
                      <w:marLeft w:val="0"/>
                      <w:marRight w:val="0"/>
                      <w:marTop w:val="0"/>
                      <w:marBottom w:val="0"/>
                      <w:divBdr>
                        <w:top w:val="none" w:sz="0" w:space="0" w:color="auto"/>
                        <w:left w:val="none" w:sz="0" w:space="0" w:color="auto"/>
                        <w:bottom w:val="none" w:sz="0" w:space="0" w:color="auto"/>
                        <w:right w:val="none" w:sz="0" w:space="0" w:color="auto"/>
                      </w:divBdr>
                    </w:div>
                  </w:divsChild>
                </w:div>
                <w:div w:id="1503737075">
                  <w:marLeft w:val="0"/>
                  <w:marRight w:val="0"/>
                  <w:marTop w:val="0"/>
                  <w:marBottom w:val="0"/>
                  <w:divBdr>
                    <w:top w:val="none" w:sz="0" w:space="0" w:color="auto"/>
                    <w:left w:val="none" w:sz="0" w:space="0" w:color="auto"/>
                    <w:bottom w:val="none" w:sz="0" w:space="0" w:color="auto"/>
                    <w:right w:val="none" w:sz="0" w:space="0" w:color="auto"/>
                  </w:divBdr>
                  <w:divsChild>
                    <w:div w:id="867836793">
                      <w:marLeft w:val="0"/>
                      <w:marRight w:val="0"/>
                      <w:marTop w:val="0"/>
                      <w:marBottom w:val="0"/>
                      <w:divBdr>
                        <w:top w:val="none" w:sz="0" w:space="0" w:color="auto"/>
                        <w:left w:val="none" w:sz="0" w:space="0" w:color="auto"/>
                        <w:bottom w:val="none" w:sz="0" w:space="0" w:color="auto"/>
                        <w:right w:val="none" w:sz="0" w:space="0" w:color="auto"/>
                      </w:divBdr>
                    </w:div>
                  </w:divsChild>
                </w:div>
                <w:div w:id="1519394592">
                  <w:marLeft w:val="0"/>
                  <w:marRight w:val="0"/>
                  <w:marTop w:val="0"/>
                  <w:marBottom w:val="0"/>
                  <w:divBdr>
                    <w:top w:val="none" w:sz="0" w:space="0" w:color="auto"/>
                    <w:left w:val="none" w:sz="0" w:space="0" w:color="auto"/>
                    <w:bottom w:val="none" w:sz="0" w:space="0" w:color="auto"/>
                    <w:right w:val="none" w:sz="0" w:space="0" w:color="auto"/>
                  </w:divBdr>
                  <w:divsChild>
                    <w:div w:id="1588266934">
                      <w:marLeft w:val="0"/>
                      <w:marRight w:val="0"/>
                      <w:marTop w:val="0"/>
                      <w:marBottom w:val="0"/>
                      <w:divBdr>
                        <w:top w:val="none" w:sz="0" w:space="0" w:color="auto"/>
                        <w:left w:val="none" w:sz="0" w:space="0" w:color="auto"/>
                        <w:bottom w:val="none" w:sz="0" w:space="0" w:color="auto"/>
                        <w:right w:val="none" w:sz="0" w:space="0" w:color="auto"/>
                      </w:divBdr>
                    </w:div>
                  </w:divsChild>
                </w:div>
                <w:div w:id="1641422753">
                  <w:marLeft w:val="0"/>
                  <w:marRight w:val="0"/>
                  <w:marTop w:val="0"/>
                  <w:marBottom w:val="0"/>
                  <w:divBdr>
                    <w:top w:val="none" w:sz="0" w:space="0" w:color="auto"/>
                    <w:left w:val="none" w:sz="0" w:space="0" w:color="auto"/>
                    <w:bottom w:val="none" w:sz="0" w:space="0" w:color="auto"/>
                    <w:right w:val="none" w:sz="0" w:space="0" w:color="auto"/>
                  </w:divBdr>
                  <w:divsChild>
                    <w:div w:id="1091195609">
                      <w:marLeft w:val="0"/>
                      <w:marRight w:val="0"/>
                      <w:marTop w:val="0"/>
                      <w:marBottom w:val="0"/>
                      <w:divBdr>
                        <w:top w:val="none" w:sz="0" w:space="0" w:color="auto"/>
                        <w:left w:val="none" w:sz="0" w:space="0" w:color="auto"/>
                        <w:bottom w:val="none" w:sz="0" w:space="0" w:color="auto"/>
                        <w:right w:val="none" w:sz="0" w:space="0" w:color="auto"/>
                      </w:divBdr>
                    </w:div>
                  </w:divsChild>
                </w:div>
                <w:div w:id="1654602315">
                  <w:marLeft w:val="0"/>
                  <w:marRight w:val="0"/>
                  <w:marTop w:val="0"/>
                  <w:marBottom w:val="0"/>
                  <w:divBdr>
                    <w:top w:val="none" w:sz="0" w:space="0" w:color="auto"/>
                    <w:left w:val="none" w:sz="0" w:space="0" w:color="auto"/>
                    <w:bottom w:val="none" w:sz="0" w:space="0" w:color="auto"/>
                    <w:right w:val="none" w:sz="0" w:space="0" w:color="auto"/>
                  </w:divBdr>
                  <w:divsChild>
                    <w:div w:id="1714967050">
                      <w:marLeft w:val="0"/>
                      <w:marRight w:val="0"/>
                      <w:marTop w:val="0"/>
                      <w:marBottom w:val="0"/>
                      <w:divBdr>
                        <w:top w:val="none" w:sz="0" w:space="0" w:color="auto"/>
                        <w:left w:val="none" w:sz="0" w:space="0" w:color="auto"/>
                        <w:bottom w:val="none" w:sz="0" w:space="0" w:color="auto"/>
                        <w:right w:val="none" w:sz="0" w:space="0" w:color="auto"/>
                      </w:divBdr>
                    </w:div>
                  </w:divsChild>
                </w:div>
                <w:div w:id="1723404328">
                  <w:marLeft w:val="0"/>
                  <w:marRight w:val="0"/>
                  <w:marTop w:val="0"/>
                  <w:marBottom w:val="0"/>
                  <w:divBdr>
                    <w:top w:val="none" w:sz="0" w:space="0" w:color="auto"/>
                    <w:left w:val="none" w:sz="0" w:space="0" w:color="auto"/>
                    <w:bottom w:val="none" w:sz="0" w:space="0" w:color="auto"/>
                    <w:right w:val="none" w:sz="0" w:space="0" w:color="auto"/>
                  </w:divBdr>
                  <w:divsChild>
                    <w:div w:id="949168467">
                      <w:marLeft w:val="0"/>
                      <w:marRight w:val="0"/>
                      <w:marTop w:val="0"/>
                      <w:marBottom w:val="0"/>
                      <w:divBdr>
                        <w:top w:val="none" w:sz="0" w:space="0" w:color="auto"/>
                        <w:left w:val="none" w:sz="0" w:space="0" w:color="auto"/>
                        <w:bottom w:val="none" w:sz="0" w:space="0" w:color="auto"/>
                        <w:right w:val="none" w:sz="0" w:space="0" w:color="auto"/>
                      </w:divBdr>
                    </w:div>
                  </w:divsChild>
                </w:div>
                <w:div w:id="1758137831">
                  <w:marLeft w:val="0"/>
                  <w:marRight w:val="0"/>
                  <w:marTop w:val="0"/>
                  <w:marBottom w:val="0"/>
                  <w:divBdr>
                    <w:top w:val="none" w:sz="0" w:space="0" w:color="auto"/>
                    <w:left w:val="none" w:sz="0" w:space="0" w:color="auto"/>
                    <w:bottom w:val="none" w:sz="0" w:space="0" w:color="auto"/>
                    <w:right w:val="none" w:sz="0" w:space="0" w:color="auto"/>
                  </w:divBdr>
                  <w:divsChild>
                    <w:div w:id="616717031">
                      <w:marLeft w:val="0"/>
                      <w:marRight w:val="0"/>
                      <w:marTop w:val="0"/>
                      <w:marBottom w:val="0"/>
                      <w:divBdr>
                        <w:top w:val="none" w:sz="0" w:space="0" w:color="auto"/>
                        <w:left w:val="none" w:sz="0" w:space="0" w:color="auto"/>
                        <w:bottom w:val="none" w:sz="0" w:space="0" w:color="auto"/>
                        <w:right w:val="none" w:sz="0" w:space="0" w:color="auto"/>
                      </w:divBdr>
                    </w:div>
                  </w:divsChild>
                </w:div>
                <w:div w:id="1763453249">
                  <w:marLeft w:val="0"/>
                  <w:marRight w:val="0"/>
                  <w:marTop w:val="0"/>
                  <w:marBottom w:val="0"/>
                  <w:divBdr>
                    <w:top w:val="none" w:sz="0" w:space="0" w:color="auto"/>
                    <w:left w:val="none" w:sz="0" w:space="0" w:color="auto"/>
                    <w:bottom w:val="none" w:sz="0" w:space="0" w:color="auto"/>
                    <w:right w:val="none" w:sz="0" w:space="0" w:color="auto"/>
                  </w:divBdr>
                  <w:divsChild>
                    <w:div w:id="507595967">
                      <w:marLeft w:val="0"/>
                      <w:marRight w:val="0"/>
                      <w:marTop w:val="0"/>
                      <w:marBottom w:val="0"/>
                      <w:divBdr>
                        <w:top w:val="none" w:sz="0" w:space="0" w:color="auto"/>
                        <w:left w:val="none" w:sz="0" w:space="0" w:color="auto"/>
                        <w:bottom w:val="none" w:sz="0" w:space="0" w:color="auto"/>
                        <w:right w:val="none" w:sz="0" w:space="0" w:color="auto"/>
                      </w:divBdr>
                    </w:div>
                  </w:divsChild>
                </w:div>
                <w:div w:id="1772046303">
                  <w:marLeft w:val="0"/>
                  <w:marRight w:val="0"/>
                  <w:marTop w:val="0"/>
                  <w:marBottom w:val="0"/>
                  <w:divBdr>
                    <w:top w:val="none" w:sz="0" w:space="0" w:color="auto"/>
                    <w:left w:val="none" w:sz="0" w:space="0" w:color="auto"/>
                    <w:bottom w:val="none" w:sz="0" w:space="0" w:color="auto"/>
                    <w:right w:val="none" w:sz="0" w:space="0" w:color="auto"/>
                  </w:divBdr>
                  <w:divsChild>
                    <w:div w:id="2005890970">
                      <w:marLeft w:val="0"/>
                      <w:marRight w:val="0"/>
                      <w:marTop w:val="0"/>
                      <w:marBottom w:val="0"/>
                      <w:divBdr>
                        <w:top w:val="none" w:sz="0" w:space="0" w:color="auto"/>
                        <w:left w:val="none" w:sz="0" w:space="0" w:color="auto"/>
                        <w:bottom w:val="none" w:sz="0" w:space="0" w:color="auto"/>
                        <w:right w:val="none" w:sz="0" w:space="0" w:color="auto"/>
                      </w:divBdr>
                    </w:div>
                  </w:divsChild>
                </w:div>
                <w:div w:id="1807552431">
                  <w:marLeft w:val="0"/>
                  <w:marRight w:val="0"/>
                  <w:marTop w:val="0"/>
                  <w:marBottom w:val="0"/>
                  <w:divBdr>
                    <w:top w:val="none" w:sz="0" w:space="0" w:color="auto"/>
                    <w:left w:val="none" w:sz="0" w:space="0" w:color="auto"/>
                    <w:bottom w:val="none" w:sz="0" w:space="0" w:color="auto"/>
                    <w:right w:val="none" w:sz="0" w:space="0" w:color="auto"/>
                  </w:divBdr>
                  <w:divsChild>
                    <w:div w:id="1338458169">
                      <w:marLeft w:val="0"/>
                      <w:marRight w:val="0"/>
                      <w:marTop w:val="0"/>
                      <w:marBottom w:val="0"/>
                      <w:divBdr>
                        <w:top w:val="none" w:sz="0" w:space="0" w:color="auto"/>
                        <w:left w:val="none" w:sz="0" w:space="0" w:color="auto"/>
                        <w:bottom w:val="none" w:sz="0" w:space="0" w:color="auto"/>
                        <w:right w:val="none" w:sz="0" w:space="0" w:color="auto"/>
                      </w:divBdr>
                    </w:div>
                  </w:divsChild>
                </w:div>
                <w:div w:id="1826968541">
                  <w:marLeft w:val="0"/>
                  <w:marRight w:val="0"/>
                  <w:marTop w:val="0"/>
                  <w:marBottom w:val="0"/>
                  <w:divBdr>
                    <w:top w:val="none" w:sz="0" w:space="0" w:color="auto"/>
                    <w:left w:val="none" w:sz="0" w:space="0" w:color="auto"/>
                    <w:bottom w:val="none" w:sz="0" w:space="0" w:color="auto"/>
                    <w:right w:val="none" w:sz="0" w:space="0" w:color="auto"/>
                  </w:divBdr>
                  <w:divsChild>
                    <w:div w:id="644745493">
                      <w:marLeft w:val="0"/>
                      <w:marRight w:val="0"/>
                      <w:marTop w:val="0"/>
                      <w:marBottom w:val="0"/>
                      <w:divBdr>
                        <w:top w:val="none" w:sz="0" w:space="0" w:color="auto"/>
                        <w:left w:val="none" w:sz="0" w:space="0" w:color="auto"/>
                        <w:bottom w:val="none" w:sz="0" w:space="0" w:color="auto"/>
                        <w:right w:val="none" w:sz="0" w:space="0" w:color="auto"/>
                      </w:divBdr>
                    </w:div>
                  </w:divsChild>
                </w:div>
                <w:div w:id="1856651073">
                  <w:marLeft w:val="0"/>
                  <w:marRight w:val="0"/>
                  <w:marTop w:val="0"/>
                  <w:marBottom w:val="0"/>
                  <w:divBdr>
                    <w:top w:val="none" w:sz="0" w:space="0" w:color="auto"/>
                    <w:left w:val="none" w:sz="0" w:space="0" w:color="auto"/>
                    <w:bottom w:val="none" w:sz="0" w:space="0" w:color="auto"/>
                    <w:right w:val="none" w:sz="0" w:space="0" w:color="auto"/>
                  </w:divBdr>
                  <w:divsChild>
                    <w:div w:id="222837897">
                      <w:marLeft w:val="0"/>
                      <w:marRight w:val="0"/>
                      <w:marTop w:val="0"/>
                      <w:marBottom w:val="0"/>
                      <w:divBdr>
                        <w:top w:val="none" w:sz="0" w:space="0" w:color="auto"/>
                        <w:left w:val="none" w:sz="0" w:space="0" w:color="auto"/>
                        <w:bottom w:val="none" w:sz="0" w:space="0" w:color="auto"/>
                        <w:right w:val="none" w:sz="0" w:space="0" w:color="auto"/>
                      </w:divBdr>
                    </w:div>
                  </w:divsChild>
                </w:div>
                <w:div w:id="1894468235">
                  <w:marLeft w:val="0"/>
                  <w:marRight w:val="0"/>
                  <w:marTop w:val="0"/>
                  <w:marBottom w:val="0"/>
                  <w:divBdr>
                    <w:top w:val="none" w:sz="0" w:space="0" w:color="auto"/>
                    <w:left w:val="none" w:sz="0" w:space="0" w:color="auto"/>
                    <w:bottom w:val="none" w:sz="0" w:space="0" w:color="auto"/>
                    <w:right w:val="none" w:sz="0" w:space="0" w:color="auto"/>
                  </w:divBdr>
                  <w:divsChild>
                    <w:div w:id="1646200428">
                      <w:marLeft w:val="0"/>
                      <w:marRight w:val="0"/>
                      <w:marTop w:val="0"/>
                      <w:marBottom w:val="0"/>
                      <w:divBdr>
                        <w:top w:val="none" w:sz="0" w:space="0" w:color="auto"/>
                        <w:left w:val="none" w:sz="0" w:space="0" w:color="auto"/>
                        <w:bottom w:val="none" w:sz="0" w:space="0" w:color="auto"/>
                        <w:right w:val="none" w:sz="0" w:space="0" w:color="auto"/>
                      </w:divBdr>
                    </w:div>
                  </w:divsChild>
                </w:div>
                <w:div w:id="1952665137">
                  <w:marLeft w:val="0"/>
                  <w:marRight w:val="0"/>
                  <w:marTop w:val="0"/>
                  <w:marBottom w:val="0"/>
                  <w:divBdr>
                    <w:top w:val="none" w:sz="0" w:space="0" w:color="auto"/>
                    <w:left w:val="none" w:sz="0" w:space="0" w:color="auto"/>
                    <w:bottom w:val="none" w:sz="0" w:space="0" w:color="auto"/>
                    <w:right w:val="none" w:sz="0" w:space="0" w:color="auto"/>
                  </w:divBdr>
                  <w:divsChild>
                    <w:div w:id="1107654357">
                      <w:marLeft w:val="0"/>
                      <w:marRight w:val="0"/>
                      <w:marTop w:val="0"/>
                      <w:marBottom w:val="0"/>
                      <w:divBdr>
                        <w:top w:val="none" w:sz="0" w:space="0" w:color="auto"/>
                        <w:left w:val="none" w:sz="0" w:space="0" w:color="auto"/>
                        <w:bottom w:val="none" w:sz="0" w:space="0" w:color="auto"/>
                        <w:right w:val="none" w:sz="0" w:space="0" w:color="auto"/>
                      </w:divBdr>
                    </w:div>
                  </w:divsChild>
                </w:div>
                <w:div w:id="2041007967">
                  <w:marLeft w:val="0"/>
                  <w:marRight w:val="0"/>
                  <w:marTop w:val="0"/>
                  <w:marBottom w:val="0"/>
                  <w:divBdr>
                    <w:top w:val="none" w:sz="0" w:space="0" w:color="auto"/>
                    <w:left w:val="none" w:sz="0" w:space="0" w:color="auto"/>
                    <w:bottom w:val="none" w:sz="0" w:space="0" w:color="auto"/>
                    <w:right w:val="none" w:sz="0" w:space="0" w:color="auto"/>
                  </w:divBdr>
                  <w:divsChild>
                    <w:div w:id="1186098667">
                      <w:marLeft w:val="0"/>
                      <w:marRight w:val="0"/>
                      <w:marTop w:val="0"/>
                      <w:marBottom w:val="0"/>
                      <w:divBdr>
                        <w:top w:val="none" w:sz="0" w:space="0" w:color="auto"/>
                        <w:left w:val="none" w:sz="0" w:space="0" w:color="auto"/>
                        <w:bottom w:val="none" w:sz="0" w:space="0" w:color="auto"/>
                        <w:right w:val="none" w:sz="0" w:space="0" w:color="auto"/>
                      </w:divBdr>
                    </w:div>
                  </w:divsChild>
                </w:div>
                <w:div w:id="2093355539">
                  <w:marLeft w:val="0"/>
                  <w:marRight w:val="0"/>
                  <w:marTop w:val="0"/>
                  <w:marBottom w:val="0"/>
                  <w:divBdr>
                    <w:top w:val="none" w:sz="0" w:space="0" w:color="auto"/>
                    <w:left w:val="none" w:sz="0" w:space="0" w:color="auto"/>
                    <w:bottom w:val="none" w:sz="0" w:space="0" w:color="auto"/>
                    <w:right w:val="none" w:sz="0" w:space="0" w:color="auto"/>
                  </w:divBdr>
                  <w:divsChild>
                    <w:div w:id="1594051079">
                      <w:marLeft w:val="0"/>
                      <w:marRight w:val="0"/>
                      <w:marTop w:val="0"/>
                      <w:marBottom w:val="0"/>
                      <w:divBdr>
                        <w:top w:val="none" w:sz="0" w:space="0" w:color="auto"/>
                        <w:left w:val="none" w:sz="0" w:space="0" w:color="auto"/>
                        <w:bottom w:val="none" w:sz="0" w:space="0" w:color="auto"/>
                        <w:right w:val="none" w:sz="0" w:space="0" w:color="auto"/>
                      </w:divBdr>
                    </w:div>
                  </w:divsChild>
                </w:div>
                <w:div w:id="2093428973">
                  <w:marLeft w:val="0"/>
                  <w:marRight w:val="0"/>
                  <w:marTop w:val="0"/>
                  <w:marBottom w:val="0"/>
                  <w:divBdr>
                    <w:top w:val="none" w:sz="0" w:space="0" w:color="auto"/>
                    <w:left w:val="none" w:sz="0" w:space="0" w:color="auto"/>
                    <w:bottom w:val="none" w:sz="0" w:space="0" w:color="auto"/>
                    <w:right w:val="none" w:sz="0" w:space="0" w:color="auto"/>
                  </w:divBdr>
                  <w:divsChild>
                    <w:div w:id="1058481521">
                      <w:marLeft w:val="0"/>
                      <w:marRight w:val="0"/>
                      <w:marTop w:val="0"/>
                      <w:marBottom w:val="0"/>
                      <w:divBdr>
                        <w:top w:val="none" w:sz="0" w:space="0" w:color="auto"/>
                        <w:left w:val="none" w:sz="0" w:space="0" w:color="auto"/>
                        <w:bottom w:val="none" w:sz="0" w:space="0" w:color="auto"/>
                        <w:right w:val="none" w:sz="0" w:space="0" w:color="auto"/>
                      </w:divBdr>
                    </w:div>
                  </w:divsChild>
                </w:div>
                <w:div w:id="2127117433">
                  <w:marLeft w:val="0"/>
                  <w:marRight w:val="0"/>
                  <w:marTop w:val="0"/>
                  <w:marBottom w:val="0"/>
                  <w:divBdr>
                    <w:top w:val="none" w:sz="0" w:space="0" w:color="auto"/>
                    <w:left w:val="none" w:sz="0" w:space="0" w:color="auto"/>
                    <w:bottom w:val="none" w:sz="0" w:space="0" w:color="auto"/>
                    <w:right w:val="none" w:sz="0" w:space="0" w:color="auto"/>
                  </w:divBdr>
                  <w:divsChild>
                    <w:div w:id="1769231292">
                      <w:marLeft w:val="0"/>
                      <w:marRight w:val="0"/>
                      <w:marTop w:val="0"/>
                      <w:marBottom w:val="0"/>
                      <w:divBdr>
                        <w:top w:val="none" w:sz="0" w:space="0" w:color="auto"/>
                        <w:left w:val="none" w:sz="0" w:space="0" w:color="auto"/>
                        <w:bottom w:val="none" w:sz="0" w:space="0" w:color="auto"/>
                        <w:right w:val="none" w:sz="0" w:space="0" w:color="auto"/>
                      </w:divBdr>
                    </w:div>
                  </w:divsChild>
                </w:div>
                <w:div w:id="2130513298">
                  <w:marLeft w:val="0"/>
                  <w:marRight w:val="0"/>
                  <w:marTop w:val="0"/>
                  <w:marBottom w:val="0"/>
                  <w:divBdr>
                    <w:top w:val="none" w:sz="0" w:space="0" w:color="auto"/>
                    <w:left w:val="none" w:sz="0" w:space="0" w:color="auto"/>
                    <w:bottom w:val="none" w:sz="0" w:space="0" w:color="auto"/>
                    <w:right w:val="none" w:sz="0" w:space="0" w:color="auto"/>
                  </w:divBdr>
                  <w:divsChild>
                    <w:div w:id="45063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6625">
          <w:marLeft w:val="0"/>
          <w:marRight w:val="0"/>
          <w:marTop w:val="0"/>
          <w:marBottom w:val="0"/>
          <w:divBdr>
            <w:top w:val="none" w:sz="0" w:space="0" w:color="auto"/>
            <w:left w:val="none" w:sz="0" w:space="0" w:color="auto"/>
            <w:bottom w:val="none" w:sz="0" w:space="0" w:color="auto"/>
            <w:right w:val="none" w:sz="0" w:space="0" w:color="auto"/>
          </w:divBdr>
        </w:div>
        <w:div w:id="1965111380">
          <w:marLeft w:val="0"/>
          <w:marRight w:val="0"/>
          <w:marTop w:val="0"/>
          <w:marBottom w:val="0"/>
          <w:divBdr>
            <w:top w:val="none" w:sz="0" w:space="0" w:color="auto"/>
            <w:left w:val="none" w:sz="0" w:space="0" w:color="auto"/>
            <w:bottom w:val="none" w:sz="0" w:space="0" w:color="auto"/>
            <w:right w:val="none" w:sz="0" w:space="0" w:color="auto"/>
          </w:divBdr>
        </w:div>
        <w:div w:id="1965771449">
          <w:marLeft w:val="0"/>
          <w:marRight w:val="0"/>
          <w:marTop w:val="0"/>
          <w:marBottom w:val="0"/>
          <w:divBdr>
            <w:top w:val="none" w:sz="0" w:space="0" w:color="auto"/>
            <w:left w:val="none" w:sz="0" w:space="0" w:color="auto"/>
            <w:bottom w:val="none" w:sz="0" w:space="0" w:color="auto"/>
            <w:right w:val="none" w:sz="0" w:space="0" w:color="auto"/>
          </w:divBdr>
        </w:div>
        <w:div w:id="1968124513">
          <w:marLeft w:val="0"/>
          <w:marRight w:val="0"/>
          <w:marTop w:val="0"/>
          <w:marBottom w:val="0"/>
          <w:divBdr>
            <w:top w:val="none" w:sz="0" w:space="0" w:color="auto"/>
            <w:left w:val="none" w:sz="0" w:space="0" w:color="auto"/>
            <w:bottom w:val="none" w:sz="0" w:space="0" w:color="auto"/>
            <w:right w:val="none" w:sz="0" w:space="0" w:color="auto"/>
          </w:divBdr>
        </w:div>
        <w:div w:id="1969624661">
          <w:marLeft w:val="0"/>
          <w:marRight w:val="0"/>
          <w:marTop w:val="0"/>
          <w:marBottom w:val="0"/>
          <w:divBdr>
            <w:top w:val="none" w:sz="0" w:space="0" w:color="auto"/>
            <w:left w:val="none" w:sz="0" w:space="0" w:color="auto"/>
            <w:bottom w:val="none" w:sz="0" w:space="0" w:color="auto"/>
            <w:right w:val="none" w:sz="0" w:space="0" w:color="auto"/>
          </w:divBdr>
        </w:div>
        <w:div w:id="1970043503">
          <w:marLeft w:val="0"/>
          <w:marRight w:val="0"/>
          <w:marTop w:val="0"/>
          <w:marBottom w:val="0"/>
          <w:divBdr>
            <w:top w:val="none" w:sz="0" w:space="0" w:color="auto"/>
            <w:left w:val="none" w:sz="0" w:space="0" w:color="auto"/>
            <w:bottom w:val="none" w:sz="0" w:space="0" w:color="auto"/>
            <w:right w:val="none" w:sz="0" w:space="0" w:color="auto"/>
          </w:divBdr>
        </w:div>
        <w:div w:id="1972007577">
          <w:marLeft w:val="0"/>
          <w:marRight w:val="0"/>
          <w:marTop w:val="0"/>
          <w:marBottom w:val="0"/>
          <w:divBdr>
            <w:top w:val="none" w:sz="0" w:space="0" w:color="auto"/>
            <w:left w:val="none" w:sz="0" w:space="0" w:color="auto"/>
            <w:bottom w:val="none" w:sz="0" w:space="0" w:color="auto"/>
            <w:right w:val="none" w:sz="0" w:space="0" w:color="auto"/>
          </w:divBdr>
        </w:div>
        <w:div w:id="1973630022">
          <w:marLeft w:val="0"/>
          <w:marRight w:val="0"/>
          <w:marTop w:val="0"/>
          <w:marBottom w:val="0"/>
          <w:divBdr>
            <w:top w:val="none" w:sz="0" w:space="0" w:color="auto"/>
            <w:left w:val="none" w:sz="0" w:space="0" w:color="auto"/>
            <w:bottom w:val="none" w:sz="0" w:space="0" w:color="auto"/>
            <w:right w:val="none" w:sz="0" w:space="0" w:color="auto"/>
          </w:divBdr>
        </w:div>
        <w:div w:id="1976057366">
          <w:marLeft w:val="0"/>
          <w:marRight w:val="0"/>
          <w:marTop w:val="0"/>
          <w:marBottom w:val="0"/>
          <w:divBdr>
            <w:top w:val="none" w:sz="0" w:space="0" w:color="auto"/>
            <w:left w:val="none" w:sz="0" w:space="0" w:color="auto"/>
            <w:bottom w:val="none" w:sz="0" w:space="0" w:color="auto"/>
            <w:right w:val="none" w:sz="0" w:space="0" w:color="auto"/>
          </w:divBdr>
        </w:div>
        <w:div w:id="1976443956">
          <w:marLeft w:val="0"/>
          <w:marRight w:val="0"/>
          <w:marTop w:val="0"/>
          <w:marBottom w:val="0"/>
          <w:divBdr>
            <w:top w:val="none" w:sz="0" w:space="0" w:color="auto"/>
            <w:left w:val="none" w:sz="0" w:space="0" w:color="auto"/>
            <w:bottom w:val="none" w:sz="0" w:space="0" w:color="auto"/>
            <w:right w:val="none" w:sz="0" w:space="0" w:color="auto"/>
          </w:divBdr>
        </w:div>
        <w:div w:id="1977638022">
          <w:marLeft w:val="0"/>
          <w:marRight w:val="0"/>
          <w:marTop w:val="0"/>
          <w:marBottom w:val="0"/>
          <w:divBdr>
            <w:top w:val="none" w:sz="0" w:space="0" w:color="auto"/>
            <w:left w:val="none" w:sz="0" w:space="0" w:color="auto"/>
            <w:bottom w:val="none" w:sz="0" w:space="0" w:color="auto"/>
            <w:right w:val="none" w:sz="0" w:space="0" w:color="auto"/>
          </w:divBdr>
        </w:div>
        <w:div w:id="1978681985">
          <w:marLeft w:val="0"/>
          <w:marRight w:val="0"/>
          <w:marTop w:val="0"/>
          <w:marBottom w:val="0"/>
          <w:divBdr>
            <w:top w:val="none" w:sz="0" w:space="0" w:color="auto"/>
            <w:left w:val="none" w:sz="0" w:space="0" w:color="auto"/>
            <w:bottom w:val="none" w:sz="0" w:space="0" w:color="auto"/>
            <w:right w:val="none" w:sz="0" w:space="0" w:color="auto"/>
          </w:divBdr>
        </w:div>
        <w:div w:id="1979605279">
          <w:marLeft w:val="0"/>
          <w:marRight w:val="0"/>
          <w:marTop w:val="0"/>
          <w:marBottom w:val="0"/>
          <w:divBdr>
            <w:top w:val="none" w:sz="0" w:space="0" w:color="auto"/>
            <w:left w:val="none" w:sz="0" w:space="0" w:color="auto"/>
            <w:bottom w:val="none" w:sz="0" w:space="0" w:color="auto"/>
            <w:right w:val="none" w:sz="0" w:space="0" w:color="auto"/>
          </w:divBdr>
        </w:div>
        <w:div w:id="1979609456">
          <w:marLeft w:val="0"/>
          <w:marRight w:val="0"/>
          <w:marTop w:val="0"/>
          <w:marBottom w:val="0"/>
          <w:divBdr>
            <w:top w:val="none" w:sz="0" w:space="0" w:color="auto"/>
            <w:left w:val="none" w:sz="0" w:space="0" w:color="auto"/>
            <w:bottom w:val="none" w:sz="0" w:space="0" w:color="auto"/>
            <w:right w:val="none" w:sz="0" w:space="0" w:color="auto"/>
          </w:divBdr>
        </w:div>
        <w:div w:id="1979726178">
          <w:marLeft w:val="0"/>
          <w:marRight w:val="0"/>
          <w:marTop w:val="0"/>
          <w:marBottom w:val="0"/>
          <w:divBdr>
            <w:top w:val="none" w:sz="0" w:space="0" w:color="auto"/>
            <w:left w:val="none" w:sz="0" w:space="0" w:color="auto"/>
            <w:bottom w:val="none" w:sz="0" w:space="0" w:color="auto"/>
            <w:right w:val="none" w:sz="0" w:space="0" w:color="auto"/>
          </w:divBdr>
        </w:div>
        <w:div w:id="1980263788">
          <w:marLeft w:val="0"/>
          <w:marRight w:val="0"/>
          <w:marTop w:val="0"/>
          <w:marBottom w:val="0"/>
          <w:divBdr>
            <w:top w:val="none" w:sz="0" w:space="0" w:color="auto"/>
            <w:left w:val="none" w:sz="0" w:space="0" w:color="auto"/>
            <w:bottom w:val="none" w:sz="0" w:space="0" w:color="auto"/>
            <w:right w:val="none" w:sz="0" w:space="0" w:color="auto"/>
          </w:divBdr>
        </w:div>
        <w:div w:id="1980574631">
          <w:marLeft w:val="0"/>
          <w:marRight w:val="0"/>
          <w:marTop w:val="0"/>
          <w:marBottom w:val="0"/>
          <w:divBdr>
            <w:top w:val="none" w:sz="0" w:space="0" w:color="auto"/>
            <w:left w:val="none" w:sz="0" w:space="0" w:color="auto"/>
            <w:bottom w:val="none" w:sz="0" w:space="0" w:color="auto"/>
            <w:right w:val="none" w:sz="0" w:space="0" w:color="auto"/>
          </w:divBdr>
        </w:div>
        <w:div w:id="1981300599">
          <w:marLeft w:val="0"/>
          <w:marRight w:val="0"/>
          <w:marTop w:val="0"/>
          <w:marBottom w:val="0"/>
          <w:divBdr>
            <w:top w:val="none" w:sz="0" w:space="0" w:color="auto"/>
            <w:left w:val="none" w:sz="0" w:space="0" w:color="auto"/>
            <w:bottom w:val="none" w:sz="0" w:space="0" w:color="auto"/>
            <w:right w:val="none" w:sz="0" w:space="0" w:color="auto"/>
          </w:divBdr>
        </w:div>
        <w:div w:id="1981568038">
          <w:marLeft w:val="0"/>
          <w:marRight w:val="0"/>
          <w:marTop w:val="0"/>
          <w:marBottom w:val="0"/>
          <w:divBdr>
            <w:top w:val="none" w:sz="0" w:space="0" w:color="auto"/>
            <w:left w:val="none" w:sz="0" w:space="0" w:color="auto"/>
            <w:bottom w:val="none" w:sz="0" w:space="0" w:color="auto"/>
            <w:right w:val="none" w:sz="0" w:space="0" w:color="auto"/>
          </w:divBdr>
        </w:div>
        <w:div w:id="1984386779">
          <w:marLeft w:val="0"/>
          <w:marRight w:val="0"/>
          <w:marTop w:val="0"/>
          <w:marBottom w:val="0"/>
          <w:divBdr>
            <w:top w:val="none" w:sz="0" w:space="0" w:color="auto"/>
            <w:left w:val="none" w:sz="0" w:space="0" w:color="auto"/>
            <w:bottom w:val="none" w:sz="0" w:space="0" w:color="auto"/>
            <w:right w:val="none" w:sz="0" w:space="0" w:color="auto"/>
          </w:divBdr>
        </w:div>
        <w:div w:id="1984430921">
          <w:marLeft w:val="0"/>
          <w:marRight w:val="0"/>
          <w:marTop w:val="0"/>
          <w:marBottom w:val="0"/>
          <w:divBdr>
            <w:top w:val="none" w:sz="0" w:space="0" w:color="auto"/>
            <w:left w:val="none" w:sz="0" w:space="0" w:color="auto"/>
            <w:bottom w:val="none" w:sz="0" w:space="0" w:color="auto"/>
            <w:right w:val="none" w:sz="0" w:space="0" w:color="auto"/>
          </w:divBdr>
        </w:div>
        <w:div w:id="1985085840">
          <w:marLeft w:val="0"/>
          <w:marRight w:val="0"/>
          <w:marTop w:val="0"/>
          <w:marBottom w:val="0"/>
          <w:divBdr>
            <w:top w:val="none" w:sz="0" w:space="0" w:color="auto"/>
            <w:left w:val="none" w:sz="0" w:space="0" w:color="auto"/>
            <w:bottom w:val="none" w:sz="0" w:space="0" w:color="auto"/>
            <w:right w:val="none" w:sz="0" w:space="0" w:color="auto"/>
          </w:divBdr>
        </w:div>
        <w:div w:id="1986158773">
          <w:marLeft w:val="0"/>
          <w:marRight w:val="0"/>
          <w:marTop w:val="0"/>
          <w:marBottom w:val="0"/>
          <w:divBdr>
            <w:top w:val="none" w:sz="0" w:space="0" w:color="auto"/>
            <w:left w:val="none" w:sz="0" w:space="0" w:color="auto"/>
            <w:bottom w:val="none" w:sz="0" w:space="0" w:color="auto"/>
            <w:right w:val="none" w:sz="0" w:space="0" w:color="auto"/>
          </w:divBdr>
          <w:divsChild>
            <w:div w:id="1474025">
              <w:marLeft w:val="0"/>
              <w:marRight w:val="0"/>
              <w:marTop w:val="0"/>
              <w:marBottom w:val="0"/>
              <w:divBdr>
                <w:top w:val="none" w:sz="0" w:space="0" w:color="auto"/>
                <w:left w:val="none" w:sz="0" w:space="0" w:color="auto"/>
                <w:bottom w:val="none" w:sz="0" w:space="0" w:color="auto"/>
                <w:right w:val="none" w:sz="0" w:space="0" w:color="auto"/>
              </w:divBdr>
            </w:div>
            <w:div w:id="45574152">
              <w:marLeft w:val="0"/>
              <w:marRight w:val="0"/>
              <w:marTop w:val="0"/>
              <w:marBottom w:val="0"/>
              <w:divBdr>
                <w:top w:val="none" w:sz="0" w:space="0" w:color="auto"/>
                <w:left w:val="none" w:sz="0" w:space="0" w:color="auto"/>
                <w:bottom w:val="none" w:sz="0" w:space="0" w:color="auto"/>
                <w:right w:val="none" w:sz="0" w:space="0" w:color="auto"/>
              </w:divBdr>
            </w:div>
            <w:div w:id="216937203">
              <w:marLeft w:val="0"/>
              <w:marRight w:val="0"/>
              <w:marTop w:val="0"/>
              <w:marBottom w:val="0"/>
              <w:divBdr>
                <w:top w:val="none" w:sz="0" w:space="0" w:color="auto"/>
                <w:left w:val="none" w:sz="0" w:space="0" w:color="auto"/>
                <w:bottom w:val="none" w:sz="0" w:space="0" w:color="auto"/>
                <w:right w:val="none" w:sz="0" w:space="0" w:color="auto"/>
              </w:divBdr>
            </w:div>
            <w:div w:id="355884222">
              <w:marLeft w:val="0"/>
              <w:marRight w:val="0"/>
              <w:marTop w:val="0"/>
              <w:marBottom w:val="0"/>
              <w:divBdr>
                <w:top w:val="none" w:sz="0" w:space="0" w:color="auto"/>
                <w:left w:val="none" w:sz="0" w:space="0" w:color="auto"/>
                <w:bottom w:val="none" w:sz="0" w:space="0" w:color="auto"/>
                <w:right w:val="none" w:sz="0" w:space="0" w:color="auto"/>
              </w:divBdr>
            </w:div>
            <w:div w:id="377435151">
              <w:marLeft w:val="0"/>
              <w:marRight w:val="0"/>
              <w:marTop w:val="0"/>
              <w:marBottom w:val="0"/>
              <w:divBdr>
                <w:top w:val="none" w:sz="0" w:space="0" w:color="auto"/>
                <w:left w:val="none" w:sz="0" w:space="0" w:color="auto"/>
                <w:bottom w:val="none" w:sz="0" w:space="0" w:color="auto"/>
                <w:right w:val="none" w:sz="0" w:space="0" w:color="auto"/>
              </w:divBdr>
            </w:div>
            <w:div w:id="390931258">
              <w:marLeft w:val="0"/>
              <w:marRight w:val="0"/>
              <w:marTop w:val="0"/>
              <w:marBottom w:val="0"/>
              <w:divBdr>
                <w:top w:val="none" w:sz="0" w:space="0" w:color="auto"/>
                <w:left w:val="none" w:sz="0" w:space="0" w:color="auto"/>
                <w:bottom w:val="none" w:sz="0" w:space="0" w:color="auto"/>
                <w:right w:val="none" w:sz="0" w:space="0" w:color="auto"/>
              </w:divBdr>
            </w:div>
            <w:div w:id="599798009">
              <w:marLeft w:val="0"/>
              <w:marRight w:val="0"/>
              <w:marTop w:val="0"/>
              <w:marBottom w:val="0"/>
              <w:divBdr>
                <w:top w:val="none" w:sz="0" w:space="0" w:color="auto"/>
                <w:left w:val="none" w:sz="0" w:space="0" w:color="auto"/>
                <w:bottom w:val="none" w:sz="0" w:space="0" w:color="auto"/>
                <w:right w:val="none" w:sz="0" w:space="0" w:color="auto"/>
              </w:divBdr>
            </w:div>
            <w:div w:id="935788770">
              <w:marLeft w:val="0"/>
              <w:marRight w:val="0"/>
              <w:marTop w:val="0"/>
              <w:marBottom w:val="0"/>
              <w:divBdr>
                <w:top w:val="none" w:sz="0" w:space="0" w:color="auto"/>
                <w:left w:val="none" w:sz="0" w:space="0" w:color="auto"/>
                <w:bottom w:val="none" w:sz="0" w:space="0" w:color="auto"/>
                <w:right w:val="none" w:sz="0" w:space="0" w:color="auto"/>
              </w:divBdr>
            </w:div>
            <w:div w:id="1043797748">
              <w:marLeft w:val="0"/>
              <w:marRight w:val="0"/>
              <w:marTop w:val="0"/>
              <w:marBottom w:val="0"/>
              <w:divBdr>
                <w:top w:val="none" w:sz="0" w:space="0" w:color="auto"/>
                <w:left w:val="none" w:sz="0" w:space="0" w:color="auto"/>
                <w:bottom w:val="none" w:sz="0" w:space="0" w:color="auto"/>
                <w:right w:val="none" w:sz="0" w:space="0" w:color="auto"/>
              </w:divBdr>
            </w:div>
            <w:div w:id="1081179786">
              <w:marLeft w:val="0"/>
              <w:marRight w:val="0"/>
              <w:marTop w:val="0"/>
              <w:marBottom w:val="0"/>
              <w:divBdr>
                <w:top w:val="none" w:sz="0" w:space="0" w:color="auto"/>
                <w:left w:val="none" w:sz="0" w:space="0" w:color="auto"/>
                <w:bottom w:val="none" w:sz="0" w:space="0" w:color="auto"/>
                <w:right w:val="none" w:sz="0" w:space="0" w:color="auto"/>
              </w:divBdr>
            </w:div>
            <w:div w:id="1189759248">
              <w:marLeft w:val="0"/>
              <w:marRight w:val="0"/>
              <w:marTop w:val="0"/>
              <w:marBottom w:val="0"/>
              <w:divBdr>
                <w:top w:val="none" w:sz="0" w:space="0" w:color="auto"/>
                <w:left w:val="none" w:sz="0" w:space="0" w:color="auto"/>
                <w:bottom w:val="none" w:sz="0" w:space="0" w:color="auto"/>
                <w:right w:val="none" w:sz="0" w:space="0" w:color="auto"/>
              </w:divBdr>
            </w:div>
            <w:div w:id="1345015643">
              <w:marLeft w:val="0"/>
              <w:marRight w:val="0"/>
              <w:marTop w:val="0"/>
              <w:marBottom w:val="0"/>
              <w:divBdr>
                <w:top w:val="none" w:sz="0" w:space="0" w:color="auto"/>
                <w:left w:val="none" w:sz="0" w:space="0" w:color="auto"/>
                <w:bottom w:val="none" w:sz="0" w:space="0" w:color="auto"/>
                <w:right w:val="none" w:sz="0" w:space="0" w:color="auto"/>
              </w:divBdr>
            </w:div>
            <w:div w:id="1425035595">
              <w:marLeft w:val="0"/>
              <w:marRight w:val="0"/>
              <w:marTop w:val="0"/>
              <w:marBottom w:val="0"/>
              <w:divBdr>
                <w:top w:val="none" w:sz="0" w:space="0" w:color="auto"/>
                <w:left w:val="none" w:sz="0" w:space="0" w:color="auto"/>
                <w:bottom w:val="none" w:sz="0" w:space="0" w:color="auto"/>
                <w:right w:val="none" w:sz="0" w:space="0" w:color="auto"/>
              </w:divBdr>
            </w:div>
            <w:div w:id="1515416647">
              <w:marLeft w:val="0"/>
              <w:marRight w:val="0"/>
              <w:marTop w:val="0"/>
              <w:marBottom w:val="0"/>
              <w:divBdr>
                <w:top w:val="none" w:sz="0" w:space="0" w:color="auto"/>
                <w:left w:val="none" w:sz="0" w:space="0" w:color="auto"/>
                <w:bottom w:val="none" w:sz="0" w:space="0" w:color="auto"/>
                <w:right w:val="none" w:sz="0" w:space="0" w:color="auto"/>
              </w:divBdr>
            </w:div>
            <w:div w:id="1863088463">
              <w:marLeft w:val="0"/>
              <w:marRight w:val="0"/>
              <w:marTop w:val="0"/>
              <w:marBottom w:val="0"/>
              <w:divBdr>
                <w:top w:val="none" w:sz="0" w:space="0" w:color="auto"/>
                <w:left w:val="none" w:sz="0" w:space="0" w:color="auto"/>
                <w:bottom w:val="none" w:sz="0" w:space="0" w:color="auto"/>
                <w:right w:val="none" w:sz="0" w:space="0" w:color="auto"/>
              </w:divBdr>
            </w:div>
            <w:div w:id="1909270608">
              <w:marLeft w:val="0"/>
              <w:marRight w:val="0"/>
              <w:marTop w:val="0"/>
              <w:marBottom w:val="0"/>
              <w:divBdr>
                <w:top w:val="none" w:sz="0" w:space="0" w:color="auto"/>
                <w:left w:val="none" w:sz="0" w:space="0" w:color="auto"/>
                <w:bottom w:val="none" w:sz="0" w:space="0" w:color="auto"/>
                <w:right w:val="none" w:sz="0" w:space="0" w:color="auto"/>
              </w:divBdr>
            </w:div>
            <w:div w:id="1958170776">
              <w:marLeft w:val="0"/>
              <w:marRight w:val="0"/>
              <w:marTop w:val="0"/>
              <w:marBottom w:val="0"/>
              <w:divBdr>
                <w:top w:val="none" w:sz="0" w:space="0" w:color="auto"/>
                <w:left w:val="none" w:sz="0" w:space="0" w:color="auto"/>
                <w:bottom w:val="none" w:sz="0" w:space="0" w:color="auto"/>
                <w:right w:val="none" w:sz="0" w:space="0" w:color="auto"/>
              </w:divBdr>
            </w:div>
            <w:div w:id="2128423117">
              <w:marLeft w:val="0"/>
              <w:marRight w:val="0"/>
              <w:marTop w:val="0"/>
              <w:marBottom w:val="0"/>
              <w:divBdr>
                <w:top w:val="none" w:sz="0" w:space="0" w:color="auto"/>
                <w:left w:val="none" w:sz="0" w:space="0" w:color="auto"/>
                <w:bottom w:val="none" w:sz="0" w:space="0" w:color="auto"/>
                <w:right w:val="none" w:sz="0" w:space="0" w:color="auto"/>
              </w:divBdr>
            </w:div>
          </w:divsChild>
        </w:div>
        <w:div w:id="1986658808">
          <w:marLeft w:val="0"/>
          <w:marRight w:val="0"/>
          <w:marTop w:val="0"/>
          <w:marBottom w:val="0"/>
          <w:divBdr>
            <w:top w:val="none" w:sz="0" w:space="0" w:color="auto"/>
            <w:left w:val="none" w:sz="0" w:space="0" w:color="auto"/>
            <w:bottom w:val="none" w:sz="0" w:space="0" w:color="auto"/>
            <w:right w:val="none" w:sz="0" w:space="0" w:color="auto"/>
          </w:divBdr>
        </w:div>
        <w:div w:id="1989049522">
          <w:marLeft w:val="0"/>
          <w:marRight w:val="0"/>
          <w:marTop w:val="0"/>
          <w:marBottom w:val="0"/>
          <w:divBdr>
            <w:top w:val="none" w:sz="0" w:space="0" w:color="auto"/>
            <w:left w:val="none" w:sz="0" w:space="0" w:color="auto"/>
            <w:bottom w:val="none" w:sz="0" w:space="0" w:color="auto"/>
            <w:right w:val="none" w:sz="0" w:space="0" w:color="auto"/>
          </w:divBdr>
          <w:divsChild>
            <w:div w:id="22176505">
              <w:marLeft w:val="0"/>
              <w:marRight w:val="0"/>
              <w:marTop w:val="0"/>
              <w:marBottom w:val="0"/>
              <w:divBdr>
                <w:top w:val="none" w:sz="0" w:space="0" w:color="auto"/>
                <w:left w:val="none" w:sz="0" w:space="0" w:color="auto"/>
                <w:bottom w:val="none" w:sz="0" w:space="0" w:color="auto"/>
                <w:right w:val="none" w:sz="0" w:space="0" w:color="auto"/>
              </w:divBdr>
            </w:div>
            <w:div w:id="166330513">
              <w:marLeft w:val="0"/>
              <w:marRight w:val="0"/>
              <w:marTop w:val="0"/>
              <w:marBottom w:val="0"/>
              <w:divBdr>
                <w:top w:val="none" w:sz="0" w:space="0" w:color="auto"/>
                <w:left w:val="none" w:sz="0" w:space="0" w:color="auto"/>
                <w:bottom w:val="none" w:sz="0" w:space="0" w:color="auto"/>
                <w:right w:val="none" w:sz="0" w:space="0" w:color="auto"/>
              </w:divBdr>
            </w:div>
            <w:div w:id="171065442">
              <w:marLeft w:val="0"/>
              <w:marRight w:val="0"/>
              <w:marTop w:val="0"/>
              <w:marBottom w:val="0"/>
              <w:divBdr>
                <w:top w:val="none" w:sz="0" w:space="0" w:color="auto"/>
                <w:left w:val="none" w:sz="0" w:space="0" w:color="auto"/>
                <w:bottom w:val="none" w:sz="0" w:space="0" w:color="auto"/>
                <w:right w:val="none" w:sz="0" w:space="0" w:color="auto"/>
              </w:divBdr>
            </w:div>
            <w:div w:id="218055472">
              <w:marLeft w:val="0"/>
              <w:marRight w:val="0"/>
              <w:marTop w:val="0"/>
              <w:marBottom w:val="0"/>
              <w:divBdr>
                <w:top w:val="none" w:sz="0" w:space="0" w:color="auto"/>
                <w:left w:val="none" w:sz="0" w:space="0" w:color="auto"/>
                <w:bottom w:val="none" w:sz="0" w:space="0" w:color="auto"/>
                <w:right w:val="none" w:sz="0" w:space="0" w:color="auto"/>
              </w:divBdr>
            </w:div>
            <w:div w:id="231550195">
              <w:marLeft w:val="0"/>
              <w:marRight w:val="0"/>
              <w:marTop w:val="0"/>
              <w:marBottom w:val="0"/>
              <w:divBdr>
                <w:top w:val="none" w:sz="0" w:space="0" w:color="auto"/>
                <w:left w:val="none" w:sz="0" w:space="0" w:color="auto"/>
                <w:bottom w:val="none" w:sz="0" w:space="0" w:color="auto"/>
                <w:right w:val="none" w:sz="0" w:space="0" w:color="auto"/>
              </w:divBdr>
            </w:div>
            <w:div w:id="258224363">
              <w:marLeft w:val="0"/>
              <w:marRight w:val="0"/>
              <w:marTop w:val="0"/>
              <w:marBottom w:val="0"/>
              <w:divBdr>
                <w:top w:val="none" w:sz="0" w:space="0" w:color="auto"/>
                <w:left w:val="none" w:sz="0" w:space="0" w:color="auto"/>
                <w:bottom w:val="none" w:sz="0" w:space="0" w:color="auto"/>
                <w:right w:val="none" w:sz="0" w:space="0" w:color="auto"/>
              </w:divBdr>
            </w:div>
            <w:div w:id="449398271">
              <w:marLeft w:val="0"/>
              <w:marRight w:val="0"/>
              <w:marTop w:val="0"/>
              <w:marBottom w:val="0"/>
              <w:divBdr>
                <w:top w:val="none" w:sz="0" w:space="0" w:color="auto"/>
                <w:left w:val="none" w:sz="0" w:space="0" w:color="auto"/>
                <w:bottom w:val="none" w:sz="0" w:space="0" w:color="auto"/>
                <w:right w:val="none" w:sz="0" w:space="0" w:color="auto"/>
              </w:divBdr>
            </w:div>
            <w:div w:id="542180172">
              <w:marLeft w:val="0"/>
              <w:marRight w:val="0"/>
              <w:marTop w:val="0"/>
              <w:marBottom w:val="0"/>
              <w:divBdr>
                <w:top w:val="none" w:sz="0" w:space="0" w:color="auto"/>
                <w:left w:val="none" w:sz="0" w:space="0" w:color="auto"/>
                <w:bottom w:val="none" w:sz="0" w:space="0" w:color="auto"/>
                <w:right w:val="none" w:sz="0" w:space="0" w:color="auto"/>
              </w:divBdr>
            </w:div>
            <w:div w:id="1014070038">
              <w:marLeft w:val="0"/>
              <w:marRight w:val="0"/>
              <w:marTop w:val="0"/>
              <w:marBottom w:val="0"/>
              <w:divBdr>
                <w:top w:val="none" w:sz="0" w:space="0" w:color="auto"/>
                <w:left w:val="none" w:sz="0" w:space="0" w:color="auto"/>
                <w:bottom w:val="none" w:sz="0" w:space="0" w:color="auto"/>
                <w:right w:val="none" w:sz="0" w:space="0" w:color="auto"/>
              </w:divBdr>
            </w:div>
            <w:div w:id="1253245629">
              <w:marLeft w:val="0"/>
              <w:marRight w:val="0"/>
              <w:marTop w:val="0"/>
              <w:marBottom w:val="0"/>
              <w:divBdr>
                <w:top w:val="none" w:sz="0" w:space="0" w:color="auto"/>
                <w:left w:val="none" w:sz="0" w:space="0" w:color="auto"/>
                <w:bottom w:val="none" w:sz="0" w:space="0" w:color="auto"/>
                <w:right w:val="none" w:sz="0" w:space="0" w:color="auto"/>
              </w:divBdr>
            </w:div>
            <w:div w:id="1440298704">
              <w:marLeft w:val="0"/>
              <w:marRight w:val="0"/>
              <w:marTop w:val="0"/>
              <w:marBottom w:val="0"/>
              <w:divBdr>
                <w:top w:val="none" w:sz="0" w:space="0" w:color="auto"/>
                <w:left w:val="none" w:sz="0" w:space="0" w:color="auto"/>
                <w:bottom w:val="none" w:sz="0" w:space="0" w:color="auto"/>
                <w:right w:val="none" w:sz="0" w:space="0" w:color="auto"/>
              </w:divBdr>
            </w:div>
            <w:div w:id="1452475973">
              <w:marLeft w:val="0"/>
              <w:marRight w:val="0"/>
              <w:marTop w:val="0"/>
              <w:marBottom w:val="0"/>
              <w:divBdr>
                <w:top w:val="none" w:sz="0" w:space="0" w:color="auto"/>
                <w:left w:val="none" w:sz="0" w:space="0" w:color="auto"/>
                <w:bottom w:val="none" w:sz="0" w:space="0" w:color="auto"/>
                <w:right w:val="none" w:sz="0" w:space="0" w:color="auto"/>
              </w:divBdr>
            </w:div>
            <w:div w:id="1471437966">
              <w:marLeft w:val="0"/>
              <w:marRight w:val="0"/>
              <w:marTop w:val="0"/>
              <w:marBottom w:val="0"/>
              <w:divBdr>
                <w:top w:val="none" w:sz="0" w:space="0" w:color="auto"/>
                <w:left w:val="none" w:sz="0" w:space="0" w:color="auto"/>
                <w:bottom w:val="none" w:sz="0" w:space="0" w:color="auto"/>
                <w:right w:val="none" w:sz="0" w:space="0" w:color="auto"/>
              </w:divBdr>
            </w:div>
            <w:div w:id="1884638350">
              <w:marLeft w:val="0"/>
              <w:marRight w:val="0"/>
              <w:marTop w:val="0"/>
              <w:marBottom w:val="0"/>
              <w:divBdr>
                <w:top w:val="none" w:sz="0" w:space="0" w:color="auto"/>
                <w:left w:val="none" w:sz="0" w:space="0" w:color="auto"/>
                <w:bottom w:val="none" w:sz="0" w:space="0" w:color="auto"/>
                <w:right w:val="none" w:sz="0" w:space="0" w:color="auto"/>
              </w:divBdr>
            </w:div>
            <w:div w:id="2044792029">
              <w:marLeft w:val="0"/>
              <w:marRight w:val="0"/>
              <w:marTop w:val="0"/>
              <w:marBottom w:val="0"/>
              <w:divBdr>
                <w:top w:val="none" w:sz="0" w:space="0" w:color="auto"/>
                <w:left w:val="none" w:sz="0" w:space="0" w:color="auto"/>
                <w:bottom w:val="none" w:sz="0" w:space="0" w:color="auto"/>
                <w:right w:val="none" w:sz="0" w:space="0" w:color="auto"/>
              </w:divBdr>
            </w:div>
          </w:divsChild>
        </w:div>
        <w:div w:id="1989894380">
          <w:marLeft w:val="0"/>
          <w:marRight w:val="0"/>
          <w:marTop w:val="0"/>
          <w:marBottom w:val="0"/>
          <w:divBdr>
            <w:top w:val="none" w:sz="0" w:space="0" w:color="auto"/>
            <w:left w:val="none" w:sz="0" w:space="0" w:color="auto"/>
            <w:bottom w:val="none" w:sz="0" w:space="0" w:color="auto"/>
            <w:right w:val="none" w:sz="0" w:space="0" w:color="auto"/>
          </w:divBdr>
        </w:div>
        <w:div w:id="1994066357">
          <w:marLeft w:val="0"/>
          <w:marRight w:val="0"/>
          <w:marTop w:val="0"/>
          <w:marBottom w:val="0"/>
          <w:divBdr>
            <w:top w:val="none" w:sz="0" w:space="0" w:color="auto"/>
            <w:left w:val="none" w:sz="0" w:space="0" w:color="auto"/>
            <w:bottom w:val="none" w:sz="0" w:space="0" w:color="auto"/>
            <w:right w:val="none" w:sz="0" w:space="0" w:color="auto"/>
          </w:divBdr>
        </w:div>
        <w:div w:id="1996031678">
          <w:marLeft w:val="0"/>
          <w:marRight w:val="0"/>
          <w:marTop w:val="0"/>
          <w:marBottom w:val="0"/>
          <w:divBdr>
            <w:top w:val="none" w:sz="0" w:space="0" w:color="auto"/>
            <w:left w:val="none" w:sz="0" w:space="0" w:color="auto"/>
            <w:bottom w:val="none" w:sz="0" w:space="0" w:color="auto"/>
            <w:right w:val="none" w:sz="0" w:space="0" w:color="auto"/>
          </w:divBdr>
        </w:div>
        <w:div w:id="1998535581">
          <w:marLeft w:val="0"/>
          <w:marRight w:val="0"/>
          <w:marTop w:val="0"/>
          <w:marBottom w:val="0"/>
          <w:divBdr>
            <w:top w:val="none" w:sz="0" w:space="0" w:color="auto"/>
            <w:left w:val="none" w:sz="0" w:space="0" w:color="auto"/>
            <w:bottom w:val="none" w:sz="0" w:space="0" w:color="auto"/>
            <w:right w:val="none" w:sz="0" w:space="0" w:color="auto"/>
          </w:divBdr>
        </w:div>
        <w:div w:id="2001225559">
          <w:marLeft w:val="0"/>
          <w:marRight w:val="0"/>
          <w:marTop w:val="0"/>
          <w:marBottom w:val="0"/>
          <w:divBdr>
            <w:top w:val="none" w:sz="0" w:space="0" w:color="auto"/>
            <w:left w:val="none" w:sz="0" w:space="0" w:color="auto"/>
            <w:bottom w:val="none" w:sz="0" w:space="0" w:color="auto"/>
            <w:right w:val="none" w:sz="0" w:space="0" w:color="auto"/>
          </w:divBdr>
          <w:divsChild>
            <w:div w:id="5837864">
              <w:marLeft w:val="0"/>
              <w:marRight w:val="0"/>
              <w:marTop w:val="0"/>
              <w:marBottom w:val="0"/>
              <w:divBdr>
                <w:top w:val="none" w:sz="0" w:space="0" w:color="auto"/>
                <w:left w:val="none" w:sz="0" w:space="0" w:color="auto"/>
                <w:bottom w:val="none" w:sz="0" w:space="0" w:color="auto"/>
                <w:right w:val="none" w:sz="0" w:space="0" w:color="auto"/>
              </w:divBdr>
            </w:div>
            <w:div w:id="161705860">
              <w:marLeft w:val="0"/>
              <w:marRight w:val="0"/>
              <w:marTop w:val="0"/>
              <w:marBottom w:val="0"/>
              <w:divBdr>
                <w:top w:val="none" w:sz="0" w:space="0" w:color="auto"/>
                <w:left w:val="none" w:sz="0" w:space="0" w:color="auto"/>
                <w:bottom w:val="none" w:sz="0" w:space="0" w:color="auto"/>
                <w:right w:val="none" w:sz="0" w:space="0" w:color="auto"/>
              </w:divBdr>
            </w:div>
            <w:div w:id="408506210">
              <w:marLeft w:val="0"/>
              <w:marRight w:val="0"/>
              <w:marTop w:val="0"/>
              <w:marBottom w:val="0"/>
              <w:divBdr>
                <w:top w:val="none" w:sz="0" w:space="0" w:color="auto"/>
                <w:left w:val="none" w:sz="0" w:space="0" w:color="auto"/>
                <w:bottom w:val="none" w:sz="0" w:space="0" w:color="auto"/>
                <w:right w:val="none" w:sz="0" w:space="0" w:color="auto"/>
              </w:divBdr>
            </w:div>
            <w:div w:id="413479810">
              <w:marLeft w:val="0"/>
              <w:marRight w:val="0"/>
              <w:marTop w:val="0"/>
              <w:marBottom w:val="0"/>
              <w:divBdr>
                <w:top w:val="none" w:sz="0" w:space="0" w:color="auto"/>
                <w:left w:val="none" w:sz="0" w:space="0" w:color="auto"/>
                <w:bottom w:val="none" w:sz="0" w:space="0" w:color="auto"/>
                <w:right w:val="none" w:sz="0" w:space="0" w:color="auto"/>
              </w:divBdr>
            </w:div>
            <w:div w:id="861894037">
              <w:marLeft w:val="0"/>
              <w:marRight w:val="0"/>
              <w:marTop w:val="0"/>
              <w:marBottom w:val="0"/>
              <w:divBdr>
                <w:top w:val="none" w:sz="0" w:space="0" w:color="auto"/>
                <w:left w:val="none" w:sz="0" w:space="0" w:color="auto"/>
                <w:bottom w:val="none" w:sz="0" w:space="0" w:color="auto"/>
                <w:right w:val="none" w:sz="0" w:space="0" w:color="auto"/>
              </w:divBdr>
            </w:div>
            <w:div w:id="1013066779">
              <w:marLeft w:val="0"/>
              <w:marRight w:val="0"/>
              <w:marTop w:val="0"/>
              <w:marBottom w:val="0"/>
              <w:divBdr>
                <w:top w:val="none" w:sz="0" w:space="0" w:color="auto"/>
                <w:left w:val="none" w:sz="0" w:space="0" w:color="auto"/>
                <w:bottom w:val="none" w:sz="0" w:space="0" w:color="auto"/>
                <w:right w:val="none" w:sz="0" w:space="0" w:color="auto"/>
              </w:divBdr>
            </w:div>
            <w:div w:id="1057629211">
              <w:marLeft w:val="0"/>
              <w:marRight w:val="0"/>
              <w:marTop w:val="0"/>
              <w:marBottom w:val="0"/>
              <w:divBdr>
                <w:top w:val="none" w:sz="0" w:space="0" w:color="auto"/>
                <w:left w:val="none" w:sz="0" w:space="0" w:color="auto"/>
                <w:bottom w:val="none" w:sz="0" w:space="0" w:color="auto"/>
                <w:right w:val="none" w:sz="0" w:space="0" w:color="auto"/>
              </w:divBdr>
            </w:div>
            <w:div w:id="1082095739">
              <w:marLeft w:val="0"/>
              <w:marRight w:val="0"/>
              <w:marTop w:val="0"/>
              <w:marBottom w:val="0"/>
              <w:divBdr>
                <w:top w:val="none" w:sz="0" w:space="0" w:color="auto"/>
                <w:left w:val="none" w:sz="0" w:space="0" w:color="auto"/>
                <w:bottom w:val="none" w:sz="0" w:space="0" w:color="auto"/>
                <w:right w:val="none" w:sz="0" w:space="0" w:color="auto"/>
              </w:divBdr>
            </w:div>
            <w:div w:id="1107771223">
              <w:marLeft w:val="0"/>
              <w:marRight w:val="0"/>
              <w:marTop w:val="0"/>
              <w:marBottom w:val="0"/>
              <w:divBdr>
                <w:top w:val="none" w:sz="0" w:space="0" w:color="auto"/>
                <w:left w:val="none" w:sz="0" w:space="0" w:color="auto"/>
                <w:bottom w:val="none" w:sz="0" w:space="0" w:color="auto"/>
                <w:right w:val="none" w:sz="0" w:space="0" w:color="auto"/>
              </w:divBdr>
            </w:div>
            <w:div w:id="1131632704">
              <w:marLeft w:val="0"/>
              <w:marRight w:val="0"/>
              <w:marTop w:val="0"/>
              <w:marBottom w:val="0"/>
              <w:divBdr>
                <w:top w:val="none" w:sz="0" w:space="0" w:color="auto"/>
                <w:left w:val="none" w:sz="0" w:space="0" w:color="auto"/>
                <w:bottom w:val="none" w:sz="0" w:space="0" w:color="auto"/>
                <w:right w:val="none" w:sz="0" w:space="0" w:color="auto"/>
              </w:divBdr>
            </w:div>
            <w:div w:id="1315531509">
              <w:marLeft w:val="0"/>
              <w:marRight w:val="0"/>
              <w:marTop w:val="0"/>
              <w:marBottom w:val="0"/>
              <w:divBdr>
                <w:top w:val="none" w:sz="0" w:space="0" w:color="auto"/>
                <w:left w:val="none" w:sz="0" w:space="0" w:color="auto"/>
                <w:bottom w:val="none" w:sz="0" w:space="0" w:color="auto"/>
                <w:right w:val="none" w:sz="0" w:space="0" w:color="auto"/>
              </w:divBdr>
            </w:div>
            <w:div w:id="1349719451">
              <w:marLeft w:val="0"/>
              <w:marRight w:val="0"/>
              <w:marTop w:val="0"/>
              <w:marBottom w:val="0"/>
              <w:divBdr>
                <w:top w:val="none" w:sz="0" w:space="0" w:color="auto"/>
                <w:left w:val="none" w:sz="0" w:space="0" w:color="auto"/>
                <w:bottom w:val="none" w:sz="0" w:space="0" w:color="auto"/>
                <w:right w:val="none" w:sz="0" w:space="0" w:color="auto"/>
              </w:divBdr>
            </w:div>
            <w:div w:id="1649095767">
              <w:marLeft w:val="0"/>
              <w:marRight w:val="0"/>
              <w:marTop w:val="0"/>
              <w:marBottom w:val="0"/>
              <w:divBdr>
                <w:top w:val="none" w:sz="0" w:space="0" w:color="auto"/>
                <w:left w:val="none" w:sz="0" w:space="0" w:color="auto"/>
                <w:bottom w:val="none" w:sz="0" w:space="0" w:color="auto"/>
                <w:right w:val="none" w:sz="0" w:space="0" w:color="auto"/>
              </w:divBdr>
            </w:div>
            <w:div w:id="1866094183">
              <w:marLeft w:val="0"/>
              <w:marRight w:val="0"/>
              <w:marTop w:val="0"/>
              <w:marBottom w:val="0"/>
              <w:divBdr>
                <w:top w:val="none" w:sz="0" w:space="0" w:color="auto"/>
                <w:left w:val="none" w:sz="0" w:space="0" w:color="auto"/>
                <w:bottom w:val="none" w:sz="0" w:space="0" w:color="auto"/>
                <w:right w:val="none" w:sz="0" w:space="0" w:color="auto"/>
              </w:divBdr>
            </w:div>
            <w:div w:id="1957444378">
              <w:marLeft w:val="0"/>
              <w:marRight w:val="0"/>
              <w:marTop w:val="0"/>
              <w:marBottom w:val="0"/>
              <w:divBdr>
                <w:top w:val="none" w:sz="0" w:space="0" w:color="auto"/>
                <w:left w:val="none" w:sz="0" w:space="0" w:color="auto"/>
                <w:bottom w:val="none" w:sz="0" w:space="0" w:color="auto"/>
                <w:right w:val="none" w:sz="0" w:space="0" w:color="auto"/>
              </w:divBdr>
            </w:div>
            <w:div w:id="2041125118">
              <w:marLeft w:val="0"/>
              <w:marRight w:val="0"/>
              <w:marTop w:val="0"/>
              <w:marBottom w:val="0"/>
              <w:divBdr>
                <w:top w:val="none" w:sz="0" w:space="0" w:color="auto"/>
                <w:left w:val="none" w:sz="0" w:space="0" w:color="auto"/>
                <w:bottom w:val="none" w:sz="0" w:space="0" w:color="auto"/>
                <w:right w:val="none" w:sz="0" w:space="0" w:color="auto"/>
              </w:divBdr>
            </w:div>
            <w:div w:id="2102484959">
              <w:marLeft w:val="0"/>
              <w:marRight w:val="0"/>
              <w:marTop w:val="0"/>
              <w:marBottom w:val="0"/>
              <w:divBdr>
                <w:top w:val="none" w:sz="0" w:space="0" w:color="auto"/>
                <w:left w:val="none" w:sz="0" w:space="0" w:color="auto"/>
                <w:bottom w:val="none" w:sz="0" w:space="0" w:color="auto"/>
                <w:right w:val="none" w:sz="0" w:space="0" w:color="auto"/>
              </w:divBdr>
            </w:div>
            <w:div w:id="2112816268">
              <w:marLeft w:val="0"/>
              <w:marRight w:val="0"/>
              <w:marTop w:val="0"/>
              <w:marBottom w:val="0"/>
              <w:divBdr>
                <w:top w:val="none" w:sz="0" w:space="0" w:color="auto"/>
                <w:left w:val="none" w:sz="0" w:space="0" w:color="auto"/>
                <w:bottom w:val="none" w:sz="0" w:space="0" w:color="auto"/>
                <w:right w:val="none" w:sz="0" w:space="0" w:color="auto"/>
              </w:divBdr>
            </w:div>
          </w:divsChild>
        </w:div>
        <w:div w:id="2006781453">
          <w:marLeft w:val="0"/>
          <w:marRight w:val="0"/>
          <w:marTop w:val="0"/>
          <w:marBottom w:val="0"/>
          <w:divBdr>
            <w:top w:val="none" w:sz="0" w:space="0" w:color="auto"/>
            <w:left w:val="none" w:sz="0" w:space="0" w:color="auto"/>
            <w:bottom w:val="none" w:sz="0" w:space="0" w:color="auto"/>
            <w:right w:val="none" w:sz="0" w:space="0" w:color="auto"/>
          </w:divBdr>
        </w:div>
        <w:div w:id="2008827103">
          <w:marLeft w:val="0"/>
          <w:marRight w:val="0"/>
          <w:marTop w:val="0"/>
          <w:marBottom w:val="0"/>
          <w:divBdr>
            <w:top w:val="none" w:sz="0" w:space="0" w:color="auto"/>
            <w:left w:val="none" w:sz="0" w:space="0" w:color="auto"/>
            <w:bottom w:val="none" w:sz="0" w:space="0" w:color="auto"/>
            <w:right w:val="none" w:sz="0" w:space="0" w:color="auto"/>
          </w:divBdr>
        </w:div>
        <w:div w:id="2009626450">
          <w:marLeft w:val="0"/>
          <w:marRight w:val="0"/>
          <w:marTop w:val="0"/>
          <w:marBottom w:val="0"/>
          <w:divBdr>
            <w:top w:val="none" w:sz="0" w:space="0" w:color="auto"/>
            <w:left w:val="none" w:sz="0" w:space="0" w:color="auto"/>
            <w:bottom w:val="none" w:sz="0" w:space="0" w:color="auto"/>
            <w:right w:val="none" w:sz="0" w:space="0" w:color="auto"/>
          </w:divBdr>
        </w:div>
        <w:div w:id="2010715769">
          <w:marLeft w:val="0"/>
          <w:marRight w:val="0"/>
          <w:marTop w:val="0"/>
          <w:marBottom w:val="0"/>
          <w:divBdr>
            <w:top w:val="none" w:sz="0" w:space="0" w:color="auto"/>
            <w:left w:val="none" w:sz="0" w:space="0" w:color="auto"/>
            <w:bottom w:val="none" w:sz="0" w:space="0" w:color="auto"/>
            <w:right w:val="none" w:sz="0" w:space="0" w:color="auto"/>
          </w:divBdr>
        </w:div>
        <w:div w:id="2010909269">
          <w:marLeft w:val="0"/>
          <w:marRight w:val="0"/>
          <w:marTop w:val="0"/>
          <w:marBottom w:val="0"/>
          <w:divBdr>
            <w:top w:val="none" w:sz="0" w:space="0" w:color="auto"/>
            <w:left w:val="none" w:sz="0" w:space="0" w:color="auto"/>
            <w:bottom w:val="none" w:sz="0" w:space="0" w:color="auto"/>
            <w:right w:val="none" w:sz="0" w:space="0" w:color="auto"/>
          </w:divBdr>
        </w:div>
        <w:div w:id="2013100436">
          <w:marLeft w:val="0"/>
          <w:marRight w:val="0"/>
          <w:marTop w:val="0"/>
          <w:marBottom w:val="0"/>
          <w:divBdr>
            <w:top w:val="none" w:sz="0" w:space="0" w:color="auto"/>
            <w:left w:val="none" w:sz="0" w:space="0" w:color="auto"/>
            <w:bottom w:val="none" w:sz="0" w:space="0" w:color="auto"/>
            <w:right w:val="none" w:sz="0" w:space="0" w:color="auto"/>
          </w:divBdr>
        </w:div>
        <w:div w:id="2013485526">
          <w:marLeft w:val="0"/>
          <w:marRight w:val="0"/>
          <w:marTop w:val="0"/>
          <w:marBottom w:val="0"/>
          <w:divBdr>
            <w:top w:val="none" w:sz="0" w:space="0" w:color="auto"/>
            <w:left w:val="none" w:sz="0" w:space="0" w:color="auto"/>
            <w:bottom w:val="none" w:sz="0" w:space="0" w:color="auto"/>
            <w:right w:val="none" w:sz="0" w:space="0" w:color="auto"/>
          </w:divBdr>
        </w:div>
        <w:div w:id="2015570639">
          <w:marLeft w:val="0"/>
          <w:marRight w:val="0"/>
          <w:marTop w:val="0"/>
          <w:marBottom w:val="0"/>
          <w:divBdr>
            <w:top w:val="none" w:sz="0" w:space="0" w:color="auto"/>
            <w:left w:val="none" w:sz="0" w:space="0" w:color="auto"/>
            <w:bottom w:val="none" w:sz="0" w:space="0" w:color="auto"/>
            <w:right w:val="none" w:sz="0" w:space="0" w:color="auto"/>
          </w:divBdr>
        </w:div>
        <w:div w:id="2015648778">
          <w:marLeft w:val="0"/>
          <w:marRight w:val="0"/>
          <w:marTop w:val="0"/>
          <w:marBottom w:val="0"/>
          <w:divBdr>
            <w:top w:val="none" w:sz="0" w:space="0" w:color="auto"/>
            <w:left w:val="none" w:sz="0" w:space="0" w:color="auto"/>
            <w:bottom w:val="none" w:sz="0" w:space="0" w:color="auto"/>
            <w:right w:val="none" w:sz="0" w:space="0" w:color="auto"/>
          </w:divBdr>
        </w:div>
        <w:div w:id="2016492443">
          <w:marLeft w:val="0"/>
          <w:marRight w:val="0"/>
          <w:marTop w:val="0"/>
          <w:marBottom w:val="0"/>
          <w:divBdr>
            <w:top w:val="none" w:sz="0" w:space="0" w:color="auto"/>
            <w:left w:val="none" w:sz="0" w:space="0" w:color="auto"/>
            <w:bottom w:val="none" w:sz="0" w:space="0" w:color="auto"/>
            <w:right w:val="none" w:sz="0" w:space="0" w:color="auto"/>
          </w:divBdr>
        </w:div>
        <w:div w:id="2016876074">
          <w:marLeft w:val="0"/>
          <w:marRight w:val="0"/>
          <w:marTop w:val="0"/>
          <w:marBottom w:val="0"/>
          <w:divBdr>
            <w:top w:val="none" w:sz="0" w:space="0" w:color="auto"/>
            <w:left w:val="none" w:sz="0" w:space="0" w:color="auto"/>
            <w:bottom w:val="none" w:sz="0" w:space="0" w:color="auto"/>
            <w:right w:val="none" w:sz="0" w:space="0" w:color="auto"/>
          </w:divBdr>
        </w:div>
        <w:div w:id="2020541985">
          <w:marLeft w:val="0"/>
          <w:marRight w:val="0"/>
          <w:marTop w:val="0"/>
          <w:marBottom w:val="0"/>
          <w:divBdr>
            <w:top w:val="none" w:sz="0" w:space="0" w:color="auto"/>
            <w:left w:val="none" w:sz="0" w:space="0" w:color="auto"/>
            <w:bottom w:val="none" w:sz="0" w:space="0" w:color="auto"/>
            <w:right w:val="none" w:sz="0" w:space="0" w:color="auto"/>
          </w:divBdr>
        </w:div>
        <w:div w:id="2022588163">
          <w:marLeft w:val="0"/>
          <w:marRight w:val="0"/>
          <w:marTop w:val="0"/>
          <w:marBottom w:val="0"/>
          <w:divBdr>
            <w:top w:val="none" w:sz="0" w:space="0" w:color="auto"/>
            <w:left w:val="none" w:sz="0" w:space="0" w:color="auto"/>
            <w:bottom w:val="none" w:sz="0" w:space="0" w:color="auto"/>
            <w:right w:val="none" w:sz="0" w:space="0" w:color="auto"/>
          </w:divBdr>
        </w:div>
        <w:div w:id="2024474889">
          <w:marLeft w:val="0"/>
          <w:marRight w:val="0"/>
          <w:marTop w:val="0"/>
          <w:marBottom w:val="0"/>
          <w:divBdr>
            <w:top w:val="none" w:sz="0" w:space="0" w:color="auto"/>
            <w:left w:val="none" w:sz="0" w:space="0" w:color="auto"/>
            <w:bottom w:val="none" w:sz="0" w:space="0" w:color="auto"/>
            <w:right w:val="none" w:sz="0" w:space="0" w:color="auto"/>
          </w:divBdr>
        </w:div>
        <w:div w:id="2024626076">
          <w:marLeft w:val="0"/>
          <w:marRight w:val="0"/>
          <w:marTop w:val="0"/>
          <w:marBottom w:val="0"/>
          <w:divBdr>
            <w:top w:val="none" w:sz="0" w:space="0" w:color="auto"/>
            <w:left w:val="none" w:sz="0" w:space="0" w:color="auto"/>
            <w:bottom w:val="none" w:sz="0" w:space="0" w:color="auto"/>
            <w:right w:val="none" w:sz="0" w:space="0" w:color="auto"/>
          </w:divBdr>
        </w:div>
        <w:div w:id="2026445398">
          <w:marLeft w:val="0"/>
          <w:marRight w:val="0"/>
          <w:marTop w:val="0"/>
          <w:marBottom w:val="0"/>
          <w:divBdr>
            <w:top w:val="none" w:sz="0" w:space="0" w:color="auto"/>
            <w:left w:val="none" w:sz="0" w:space="0" w:color="auto"/>
            <w:bottom w:val="none" w:sz="0" w:space="0" w:color="auto"/>
            <w:right w:val="none" w:sz="0" w:space="0" w:color="auto"/>
          </w:divBdr>
        </w:div>
        <w:div w:id="2027360322">
          <w:marLeft w:val="0"/>
          <w:marRight w:val="0"/>
          <w:marTop w:val="0"/>
          <w:marBottom w:val="0"/>
          <w:divBdr>
            <w:top w:val="none" w:sz="0" w:space="0" w:color="auto"/>
            <w:left w:val="none" w:sz="0" w:space="0" w:color="auto"/>
            <w:bottom w:val="none" w:sz="0" w:space="0" w:color="auto"/>
            <w:right w:val="none" w:sz="0" w:space="0" w:color="auto"/>
          </w:divBdr>
        </w:div>
        <w:div w:id="2027633195">
          <w:marLeft w:val="0"/>
          <w:marRight w:val="0"/>
          <w:marTop w:val="0"/>
          <w:marBottom w:val="0"/>
          <w:divBdr>
            <w:top w:val="none" w:sz="0" w:space="0" w:color="auto"/>
            <w:left w:val="none" w:sz="0" w:space="0" w:color="auto"/>
            <w:bottom w:val="none" w:sz="0" w:space="0" w:color="auto"/>
            <w:right w:val="none" w:sz="0" w:space="0" w:color="auto"/>
          </w:divBdr>
        </w:div>
        <w:div w:id="2030253642">
          <w:marLeft w:val="0"/>
          <w:marRight w:val="0"/>
          <w:marTop w:val="0"/>
          <w:marBottom w:val="0"/>
          <w:divBdr>
            <w:top w:val="none" w:sz="0" w:space="0" w:color="auto"/>
            <w:left w:val="none" w:sz="0" w:space="0" w:color="auto"/>
            <w:bottom w:val="none" w:sz="0" w:space="0" w:color="auto"/>
            <w:right w:val="none" w:sz="0" w:space="0" w:color="auto"/>
          </w:divBdr>
        </w:div>
        <w:div w:id="2032756142">
          <w:marLeft w:val="0"/>
          <w:marRight w:val="0"/>
          <w:marTop w:val="0"/>
          <w:marBottom w:val="0"/>
          <w:divBdr>
            <w:top w:val="none" w:sz="0" w:space="0" w:color="auto"/>
            <w:left w:val="none" w:sz="0" w:space="0" w:color="auto"/>
            <w:bottom w:val="none" w:sz="0" w:space="0" w:color="auto"/>
            <w:right w:val="none" w:sz="0" w:space="0" w:color="auto"/>
          </w:divBdr>
        </w:div>
        <w:div w:id="2032804932">
          <w:marLeft w:val="0"/>
          <w:marRight w:val="0"/>
          <w:marTop w:val="0"/>
          <w:marBottom w:val="0"/>
          <w:divBdr>
            <w:top w:val="none" w:sz="0" w:space="0" w:color="auto"/>
            <w:left w:val="none" w:sz="0" w:space="0" w:color="auto"/>
            <w:bottom w:val="none" w:sz="0" w:space="0" w:color="auto"/>
            <w:right w:val="none" w:sz="0" w:space="0" w:color="auto"/>
          </w:divBdr>
        </w:div>
        <w:div w:id="2034915537">
          <w:marLeft w:val="0"/>
          <w:marRight w:val="0"/>
          <w:marTop w:val="0"/>
          <w:marBottom w:val="0"/>
          <w:divBdr>
            <w:top w:val="none" w:sz="0" w:space="0" w:color="auto"/>
            <w:left w:val="none" w:sz="0" w:space="0" w:color="auto"/>
            <w:bottom w:val="none" w:sz="0" w:space="0" w:color="auto"/>
            <w:right w:val="none" w:sz="0" w:space="0" w:color="auto"/>
          </w:divBdr>
          <w:divsChild>
            <w:div w:id="58602298">
              <w:marLeft w:val="0"/>
              <w:marRight w:val="0"/>
              <w:marTop w:val="0"/>
              <w:marBottom w:val="0"/>
              <w:divBdr>
                <w:top w:val="none" w:sz="0" w:space="0" w:color="auto"/>
                <w:left w:val="none" w:sz="0" w:space="0" w:color="auto"/>
                <w:bottom w:val="none" w:sz="0" w:space="0" w:color="auto"/>
                <w:right w:val="none" w:sz="0" w:space="0" w:color="auto"/>
              </w:divBdr>
            </w:div>
            <w:div w:id="114950827">
              <w:marLeft w:val="0"/>
              <w:marRight w:val="0"/>
              <w:marTop w:val="0"/>
              <w:marBottom w:val="0"/>
              <w:divBdr>
                <w:top w:val="none" w:sz="0" w:space="0" w:color="auto"/>
                <w:left w:val="none" w:sz="0" w:space="0" w:color="auto"/>
                <w:bottom w:val="none" w:sz="0" w:space="0" w:color="auto"/>
                <w:right w:val="none" w:sz="0" w:space="0" w:color="auto"/>
              </w:divBdr>
            </w:div>
            <w:div w:id="158741460">
              <w:marLeft w:val="0"/>
              <w:marRight w:val="0"/>
              <w:marTop w:val="0"/>
              <w:marBottom w:val="0"/>
              <w:divBdr>
                <w:top w:val="none" w:sz="0" w:space="0" w:color="auto"/>
                <w:left w:val="none" w:sz="0" w:space="0" w:color="auto"/>
                <w:bottom w:val="none" w:sz="0" w:space="0" w:color="auto"/>
                <w:right w:val="none" w:sz="0" w:space="0" w:color="auto"/>
              </w:divBdr>
            </w:div>
            <w:div w:id="189337804">
              <w:marLeft w:val="0"/>
              <w:marRight w:val="0"/>
              <w:marTop w:val="0"/>
              <w:marBottom w:val="0"/>
              <w:divBdr>
                <w:top w:val="none" w:sz="0" w:space="0" w:color="auto"/>
                <w:left w:val="none" w:sz="0" w:space="0" w:color="auto"/>
                <w:bottom w:val="none" w:sz="0" w:space="0" w:color="auto"/>
                <w:right w:val="none" w:sz="0" w:space="0" w:color="auto"/>
              </w:divBdr>
            </w:div>
            <w:div w:id="277835877">
              <w:marLeft w:val="0"/>
              <w:marRight w:val="0"/>
              <w:marTop w:val="0"/>
              <w:marBottom w:val="0"/>
              <w:divBdr>
                <w:top w:val="none" w:sz="0" w:space="0" w:color="auto"/>
                <w:left w:val="none" w:sz="0" w:space="0" w:color="auto"/>
                <w:bottom w:val="none" w:sz="0" w:space="0" w:color="auto"/>
                <w:right w:val="none" w:sz="0" w:space="0" w:color="auto"/>
              </w:divBdr>
            </w:div>
            <w:div w:id="430703560">
              <w:marLeft w:val="0"/>
              <w:marRight w:val="0"/>
              <w:marTop w:val="0"/>
              <w:marBottom w:val="0"/>
              <w:divBdr>
                <w:top w:val="none" w:sz="0" w:space="0" w:color="auto"/>
                <w:left w:val="none" w:sz="0" w:space="0" w:color="auto"/>
                <w:bottom w:val="none" w:sz="0" w:space="0" w:color="auto"/>
                <w:right w:val="none" w:sz="0" w:space="0" w:color="auto"/>
              </w:divBdr>
            </w:div>
            <w:div w:id="556091795">
              <w:marLeft w:val="0"/>
              <w:marRight w:val="0"/>
              <w:marTop w:val="0"/>
              <w:marBottom w:val="0"/>
              <w:divBdr>
                <w:top w:val="none" w:sz="0" w:space="0" w:color="auto"/>
                <w:left w:val="none" w:sz="0" w:space="0" w:color="auto"/>
                <w:bottom w:val="none" w:sz="0" w:space="0" w:color="auto"/>
                <w:right w:val="none" w:sz="0" w:space="0" w:color="auto"/>
              </w:divBdr>
            </w:div>
            <w:div w:id="582758055">
              <w:marLeft w:val="0"/>
              <w:marRight w:val="0"/>
              <w:marTop w:val="0"/>
              <w:marBottom w:val="0"/>
              <w:divBdr>
                <w:top w:val="none" w:sz="0" w:space="0" w:color="auto"/>
                <w:left w:val="none" w:sz="0" w:space="0" w:color="auto"/>
                <w:bottom w:val="none" w:sz="0" w:space="0" w:color="auto"/>
                <w:right w:val="none" w:sz="0" w:space="0" w:color="auto"/>
              </w:divBdr>
            </w:div>
            <w:div w:id="857888953">
              <w:marLeft w:val="0"/>
              <w:marRight w:val="0"/>
              <w:marTop w:val="0"/>
              <w:marBottom w:val="0"/>
              <w:divBdr>
                <w:top w:val="none" w:sz="0" w:space="0" w:color="auto"/>
                <w:left w:val="none" w:sz="0" w:space="0" w:color="auto"/>
                <w:bottom w:val="none" w:sz="0" w:space="0" w:color="auto"/>
                <w:right w:val="none" w:sz="0" w:space="0" w:color="auto"/>
              </w:divBdr>
            </w:div>
            <w:div w:id="892734082">
              <w:marLeft w:val="0"/>
              <w:marRight w:val="0"/>
              <w:marTop w:val="0"/>
              <w:marBottom w:val="0"/>
              <w:divBdr>
                <w:top w:val="none" w:sz="0" w:space="0" w:color="auto"/>
                <w:left w:val="none" w:sz="0" w:space="0" w:color="auto"/>
                <w:bottom w:val="none" w:sz="0" w:space="0" w:color="auto"/>
                <w:right w:val="none" w:sz="0" w:space="0" w:color="auto"/>
              </w:divBdr>
            </w:div>
            <w:div w:id="1239680124">
              <w:marLeft w:val="0"/>
              <w:marRight w:val="0"/>
              <w:marTop w:val="0"/>
              <w:marBottom w:val="0"/>
              <w:divBdr>
                <w:top w:val="none" w:sz="0" w:space="0" w:color="auto"/>
                <w:left w:val="none" w:sz="0" w:space="0" w:color="auto"/>
                <w:bottom w:val="none" w:sz="0" w:space="0" w:color="auto"/>
                <w:right w:val="none" w:sz="0" w:space="0" w:color="auto"/>
              </w:divBdr>
            </w:div>
            <w:div w:id="1284771191">
              <w:marLeft w:val="0"/>
              <w:marRight w:val="0"/>
              <w:marTop w:val="0"/>
              <w:marBottom w:val="0"/>
              <w:divBdr>
                <w:top w:val="none" w:sz="0" w:space="0" w:color="auto"/>
                <w:left w:val="none" w:sz="0" w:space="0" w:color="auto"/>
                <w:bottom w:val="none" w:sz="0" w:space="0" w:color="auto"/>
                <w:right w:val="none" w:sz="0" w:space="0" w:color="auto"/>
              </w:divBdr>
            </w:div>
            <w:div w:id="1310205378">
              <w:marLeft w:val="0"/>
              <w:marRight w:val="0"/>
              <w:marTop w:val="0"/>
              <w:marBottom w:val="0"/>
              <w:divBdr>
                <w:top w:val="none" w:sz="0" w:space="0" w:color="auto"/>
                <w:left w:val="none" w:sz="0" w:space="0" w:color="auto"/>
                <w:bottom w:val="none" w:sz="0" w:space="0" w:color="auto"/>
                <w:right w:val="none" w:sz="0" w:space="0" w:color="auto"/>
              </w:divBdr>
            </w:div>
            <w:div w:id="1401903272">
              <w:marLeft w:val="0"/>
              <w:marRight w:val="0"/>
              <w:marTop w:val="0"/>
              <w:marBottom w:val="0"/>
              <w:divBdr>
                <w:top w:val="none" w:sz="0" w:space="0" w:color="auto"/>
                <w:left w:val="none" w:sz="0" w:space="0" w:color="auto"/>
                <w:bottom w:val="none" w:sz="0" w:space="0" w:color="auto"/>
                <w:right w:val="none" w:sz="0" w:space="0" w:color="auto"/>
              </w:divBdr>
            </w:div>
            <w:div w:id="1457140090">
              <w:marLeft w:val="0"/>
              <w:marRight w:val="0"/>
              <w:marTop w:val="0"/>
              <w:marBottom w:val="0"/>
              <w:divBdr>
                <w:top w:val="none" w:sz="0" w:space="0" w:color="auto"/>
                <w:left w:val="none" w:sz="0" w:space="0" w:color="auto"/>
                <w:bottom w:val="none" w:sz="0" w:space="0" w:color="auto"/>
                <w:right w:val="none" w:sz="0" w:space="0" w:color="auto"/>
              </w:divBdr>
            </w:div>
            <w:div w:id="1510371923">
              <w:marLeft w:val="0"/>
              <w:marRight w:val="0"/>
              <w:marTop w:val="0"/>
              <w:marBottom w:val="0"/>
              <w:divBdr>
                <w:top w:val="none" w:sz="0" w:space="0" w:color="auto"/>
                <w:left w:val="none" w:sz="0" w:space="0" w:color="auto"/>
                <w:bottom w:val="none" w:sz="0" w:space="0" w:color="auto"/>
                <w:right w:val="none" w:sz="0" w:space="0" w:color="auto"/>
              </w:divBdr>
            </w:div>
            <w:div w:id="1644038393">
              <w:marLeft w:val="0"/>
              <w:marRight w:val="0"/>
              <w:marTop w:val="0"/>
              <w:marBottom w:val="0"/>
              <w:divBdr>
                <w:top w:val="none" w:sz="0" w:space="0" w:color="auto"/>
                <w:left w:val="none" w:sz="0" w:space="0" w:color="auto"/>
                <w:bottom w:val="none" w:sz="0" w:space="0" w:color="auto"/>
                <w:right w:val="none" w:sz="0" w:space="0" w:color="auto"/>
              </w:divBdr>
            </w:div>
            <w:div w:id="1821537208">
              <w:marLeft w:val="0"/>
              <w:marRight w:val="0"/>
              <w:marTop w:val="0"/>
              <w:marBottom w:val="0"/>
              <w:divBdr>
                <w:top w:val="none" w:sz="0" w:space="0" w:color="auto"/>
                <w:left w:val="none" w:sz="0" w:space="0" w:color="auto"/>
                <w:bottom w:val="none" w:sz="0" w:space="0" w:color="auto"/>
                <w:right w:val="none" w:sz="0" w:space="0" w:color="auto"/>
              </w:divBdr>
            </w:div>
            <w:div w:id="2144888938">
              <w:marLeft w:val="0"/>
              <w:marRight w:val="0"/>
              <w:marTop w:val="0"/>
              <w:marBottom w:val="0"/>
              <w:divBdr>
                <w:top w:val="none" w:sz="0" w:space="0" w:color="auto"/>
                <w:left w:val="none" w:sz="0" w:space="0" w:color="auto"/>
                <w:bottom w:val="none" w:sz="0" w:space="0" w:color="auto"/>
                <w:right w:val="none" w:sz="0" w:space="0" w:color="auto"/>
              </w:divBdr>
            </w:div>
          </w:divsChild>
        </w:div>
        <w:div w:id="2035184053">
          <w:marLeft w:val="0"/>
          <w:marRight w:val="0"/>
          <w:marTop w:val="0"/>
          <w:marBottom w:val="0"/>
          <w:divBdr>
            <w:top w:val="none" w:sz="0" w:space="0" w:color="auto"/>
            <w:left w:val="none" w:sz="0" w:space="0" w:color="auto"/>
            <w:bottom w:val="none" w:sz="0" w:space="0" w:color="auto"/>
            <w:right w:val="none" w:sz="0" w:space="0" w:color="auto"/>
          </w:divBdr>
          <w:divsChild>
            <w:div w:id="49808256">
              <w:marLeft w:val="0"/>
              <w:marRight w:val="0"/>
              <w:marTop w:val="0"/>
              <w:marBottom w:val="0"/>
              <w:divBdr>
                <w:top w:val="none" w:sz="0" w:space="0" w:color="auto"/>
                <w:left w:val="none" w:sz="0" w:space="0" w:color="auto"/>
                <w:bottom w:val="none" w:sz="0" w:space="0" w:color="auto"/>
                <w:right w:val="none" w:sz="0" w:space="0" w:color="auto"/>
              </w:divBdr>
            </w:div>
            <w:div w:id="431975924">
              <w:marLeft w:val="0"/>
              <w:marRight w:val="0"/>
              <w:marTop w:val="0"/>
              <w:marBottom w:val="0"/>
              <w:divBdr>
                <w:top w:val="none" w:sz="0" w:space="0" w:color="auto"/>
                <w:left w:val="none" w:sz="0" w:space="0" w:color="auto"/>
                <w:bottom w:val="none" w:sz="0" w:space="0" w:color="auto"/>
                <w:right w:val="none" w:sz="0" w:space="0" w:color="auto"/>
              </w:divBdr>
            </w:div>
            <w:div w:id="472217431">
              <w:marLeft w:val="0"/>
              <w:marRight w:val="0"/>
              <w:marTop w:val="0"/>
              <w:marBottom w:val="0"/>
              <w:divBdr>
                <w:top w:val="none" w:sz="0" w:space="0" w:color="auto"/>
                <w:left w:val="none" w:sz="0" w:space="0" w:color="auto"/>
                <w:bottom w:val="none" w:sz="0" w:space="0" w:color="auto"/>
                <w:right w:val="none" w:sz="0" w:space="0" w:color="auto"/>
              </w:divBdr>
            </w:div>
            <w:div w:id="503713481">
              <w:marLeft w:val="0"/>
              <w:marRight w:val="0"/>
              <w:marTop w:val="0"/>
              <w:marBottom w:val="0"/>
              <w:divBdr>
                <w:top w:val="none" w:sz="0" w:space="0" w:color="auto"/>
                <w:left w:val="none" w:sz="0" w:space="0" w:color="auto"/>
                <w:bottom w:val="none" w:sz="0" w:space="0" w:color="auto"/>
                <w:right w:val="none" w:sz="0" w:space="0" w:color="auto"/>
              </w:divBdr>
            </w:div>
            <w:div w:id="573978505">
              <w:marLeft w:val="0"/>
              <w:marRight w:val="0"/>
              <w:marTop w:val="0"/>
              <w:marBottom w:val="0"/>
              <w:divBdr>
                <w:top w:val="none" w:sz="0" w:space="0" w:color="auto"/>
                <w:left w:val="none" w:sz="0" w:space="0" w:color="auto"/>
                <w:bottom w:val="none" w:sz="0" w:space="0" w:color="auto"/>
                <w:right w:val="none" w:sz="0" w:space="0" w:color="auto"/>
              </w:divBdr>
            </w:div>
            <w:div w:id="794642178">
              <w:marLeft w:val="0"/>
              <w:marRight w:val="0"/>
              <w:marTop w:val="0"/>
              <w:marBottom w:val="0"/>
              <w:divBdr>
                <w:top w:val="none" w:sz="0" w:space="0" w:color="auto"/>
                <w:left w:val="none" w:sz="0" w:space="0" w:color="auto"/>
                <w:bottom w:val="none" w:sz="0" w:space="0" w:color="auto"/>
                <w:right w:val="none" w:sz="0" w:space="0" w:color="auto"/>
              </w:divBdr>
            </w:div>
            <w:div w:id="822428141">
              <w:marLeft w:val="0"/>
              <w:marRight w:val="0"/>
              <w:marTop w:val="0"/>
              <w:marBottom w:val="0"/>
              <w:divBdr>
                <w:top w:val="none" w:sz="0" w:space="0" w:color="auto"/>
                <w:left w:val="none" w:sz="0" w:space="0" w:color="auto"/>
                <w:bottom w:val="none" w:sz="0" w:space="0" w:color="auto"/>
                <w:right w:val="none" w:sz="0" w:space="0" w:color="auto"/>
              </w:divBdr>
            </w:div>
            <w:div w:id="823542753">
              <w:marLeft w:val="0"/>
              <w:marRight w:val="0"/>
              <w:marTop w:val="0"/>
              <w:marBottom w:val="0"/>
              <w:divBdr>
                <w:top w:val="none" w:sz="0" w:space="0" w:color="auto"/>
                <w:left w:val="none" w:sz="0" w:space="0" w:color="auto"/>
                <w:bottom w:val="none" w:sz="0" w:space="0" w:color="auto"/>
                <w:right w:val="none" w:sz="0" w:space="0" w:color="auto"/>
              </w:divBdr>
            </w:div>
            <w:div w:id="832720315">
              <w:marLeft w:val="0"/>
              <w:marRight w:val="0"/>
              <w:marTop w:val="0"/>
              <w:marBottom w:val="0"/>
              <w:divBdr>
                <w:top w:val="none" w:sz="0" w:space="0" w:color="auto"/>
                <w:left w:val="none" w:sz="0" w:space="0" w:color="auto"/>
                <w:bottom w:val="none" w:sz="0" w:space="0" w:color="auto"/>
                <w:right w:val="none" w:sz="0" w:space="0" w:color="auto"/>
              </w:divBdr>
            </w:div>
            <w:div w:id="986081997">
              <w:marLeft w:val="0"/>
              <w:marRight w:val="0"/>
              <w:marTop w:val="0"/>
              <w:marBottom w:val="0"/>
              <w:divBdr>
                <w:top w:val="none" w:sz="0" w:space="0" w:color="auto"/>
                <w:left w:val="none" w:sz="0" w:space="0" w:color="auto"/>
                <w:bottom w:val="none" w:sz="0" w:space="0" w:color="auto"/>
                <w:right w:val="none" w:sz="0" w:space="0" w:color="auto"/>
              </w:divBdr>
            </w:div>
            <w:div w:id="1128357260">
              <w:marLeft w:val="0"/>
              <w:marRight w:val="0"/>
              <w:marTop w:val="0"/>
              <w:marBottom w:val="0"/>
              <w:divBdr>
                <w:top w:val="none" w:sz="0" w:space="0" w:color="auto"/>
                <w:left w:val="none" w:sz="0" w:space="0" w:color="auto"/>
                <w:bottom w:val="none" w:sz="0" w:space="0" w:color="auto"/>
                <w:right w:val="none" w:sz="0" w:space="0" w:color="auto"/>
              </w:divBdr>
            </w:div>
            <w:div w:id="1457946130">
              <w:marLeft w:val="0"/>
              <w:marRight w:val="0"/>
              <w:marTop w:val="0"/>
              <w:marBottom w:val="0"/>
              <w:divBdr>
                <w:top w:val="none" w:sz="0" w:space="0" w:color="auto"/>
                <w:left w:val="none" w:sz="0" w:space="0" w:color="auto"/>
                <w:bottom w:val="none" w:sz="0" w:space="0" w:color="auto"/>
                <w:right w:val="none" w:sz="0" w:space="0" w:color="auto"/>
              </w:divBdr>
            </w:div>
            <w:div w:id="1672172413">
              <w:marLeft w:val="0"/>
              <w:marRight w:val="0"/>
              <w:marTop w:val="0"/>
              <w:marBottom w:val="0"/>
              <w:divBdr>
                <w:top w:val="none" w:sz="0" w:space="0" w:color="auto"/>
                <w:left w:val="none" w:sz="0" w:space="0" w:color="auto"/>
                <w:bottom w:val="none" w:sz="0" w:space="0" w:color="auto"/>
                <w:right w:val="none" w:sz="0" w:space="0" w:color="auto"/>
              </w:divBdr>
            </w:div>
            <w:div w:id="2098821529">
              <w:marLeft w:val="0"/>
              <w:marRight w:val="0"/>
              <w:marTop w:val="0"/>
              <w:marBottom w:val="0"/>
              <w:divBdr>
                <w:top w:val="none" w:sz="0" w:space="0" w:color="auto"/>
                <w:left w:val="none" w:sz="0" w:space="0" w:color="auto"/>
                <w:bottom w:val="none" w:sz="0" w:space="0" w:color="auto"/>
                <w:right w:val="none" w:sz="0" w:space="0" w:color="auto"/>
              </w:divBdr>
            </w:div>
          </w:divsChild>
        </w:div>
        <w:div w:id="2035300784">
          <w:marLeft w:val="0"/>
          <w:marRight w:val="0"/>
          <w:marTop w:val="0"/>
          <w:marBottom w:val="0"/>
          <w:divBdr>
            <w:top w:val="none" w:sz="0" w:space="0" w:color="auto"/>
            <w:left w:val="none" w:sz="0" w:space="0" w:color="auto"/>
            <w:bottom w:val="none" w:sz="0" w:space="0" w:color="auto"/>
            <w:right w:val="none" w:sz="0" w:space="0" w:color="auto"/>
          </w:divBdr>
        </w:div>
        <w:div w:id="2038039654">
          <w:marLeft w:val="0"/>
          <w:marRight w:val="0"/>
          <w:marTop w:val="0"/>
          <w:marBottom w:val="0"/>
          <w:divBdr>
            <w:top w:val="none" w:sz="0" w:space="0" w:color="auto"/>
            <w:left w:val="none" w:sz="0" w:space="0" w:color="auto"/>
            <w:bottom w:val="none" w:sz="0" w:space="0" w:color="auto"/>
            <w:right w:val="none" w:sz="0" w:space="0" w:color="auto"/>
          </w:divBdr>
        </w:div>
        <w:div w:id="2038702057">
          <w:marLeft w:val="0"/>
          <w:marRight w:val="0"/>
          <w:marTop w:val="0"/>
          <w:marBottom w:val="0"/>
          <w:divBdr>
            <w:top w:val="none" w:sz="0" w:space="0" w:color="auto"/>
            <w:left w:val="none" w:sz="0" w:space="0" w:color="auto"/>
            <w:bottom w:val="none" w:sz="0" w:space="0" w:color="auto"/>
            <w:right w:val="none" w:sz="0" w:space="0" w:color="auto"/>
          </w:divBdr>
        </w:div>
        <w:div w:id="2039115186">
          <w:marLeft w:val="0"/>
          <w:marRight w:val="0"/>
          <w:marTop w:val="0"/>
          <w:marBottom w:val="0"/>
          <w:divBdr>
            <w:top w:val="none" w:sz="0" w:space="0" w:color="auto"/>
            <w:left w:val="none" w:sz="0" w:space="0" w:color="auto"/>
            <w:bottom w:val="none" w:sz="0" w:space="0" w:color="auto"/>
            <w:right w:val="none" w:sz="0" w:space="0" w:color="auto"/>
          </w:divBdr>
        </w:div>
        <w:div w:id="2042630921">
          <w:marLeft w:val="0"/>
          <w:marRight w:val="0"/>
          <w:marTop w:val="0"/>
          <w:marBottom w:val="0"/>
          <w:divBdr>
            <w:top w:val="none" w:sz="0" w:space="0" w:color="auto"/>
            <w:left w:val="none" w:sz="0" w:space="0" w:color="auto"/>
            <w:bottom w:val="none" w:sz="0" w:space="0" w:color="auto"/>
            <w:right w:val="none" w:sz="0" w:space="0" w:color="auto"/>
          </w:divBdr>
          <w:divsChild>
            <w:div w:id="3092813">
              <w:marLeft w:val="0"/>
              <w:marRight w:val="0"/>
              <w:marTop w:val="0"/>
              <w:marBottom w:val="0"/>
              <w:divBdr>
                <w:top w:val="none" w:sz="0" w:space="0" w:color="auto"/>
                <w:left w:val="none" w:sz="0" w:space="0" w:color="auto"/>
                <w:bottom w:val="none" w:sz="0" w:space="0" w:color="auto"/>
                <w:right w:val="none" w:sz="0" w:space="0" w:color="auto"/>
              </w:divBdr>
            </w:div>
            <w:div w:id="167408764">
              <w:marLeft w:val="0"/>
              <w:marRight w:val="0"/>
              <w:marTop w:val="0"/>
              <w:marBottom w:val="0"/>
              <w:divBdr>
                <w:top w:val="none" w:sz="0" w:space="0" w:color="auto"/>
                <w:left w:val="none" w:sz="0" w:space="0" w:color="auto"/>
                <w:bottom w:val="none" w:sz="0" w:space="0" w:color="auto"/>
                <w:right w:val="none" w:sz="0" w:space="0" w:color="auto"/>
              </w:divBdr>
            </w:div>
            <w:div w:id="195509828">
              <w:marLeft w:val="0"/>
              <w:marRight w:val="0"/>
              <w:marTop w:val="0"/>
              <w:marBottom w:val="0"/>
              <w:divBdr>
                <w:top w:val="none" w:sz="0" w:space="0" w:color="auto"/>
                <w:left w:val="none" w:sz="0" w:space="0" w:color="auto"/>
                <w:bottom w:val="none" w:sz="0" w:space="0" w:color="auto"/>
                <w:right w:val="none" w:sz="0" w:space="0" w:color="auto"/>
              </w:divBdr>
            </w:div>
            <w:div w:id="627710136">
              <w:marLeft w:val="0"/>
              <w:marRight w:val="0"/>
              <w:marTop w:val="0"/>
              <w:marBottom w:val="0"/>
              <w:divBdr>
                <w:top w:val="none" w:sz="0" w:space="0" w:color="auto"/>
                <w:left w:val="none" w:sz="0" w:space="0" w:color="auto"/>
                <w:bottom w:val="none" w:sz="0" w:space="0" w:color="auto"/>
                <w:right w:val="none" w:sz="0" w:space="0" w:color="auto"/>
              </w:divBdr>
            </w:div>
            <w:div w:id="701975126">
              <w:marLeft w:val="0"/>
              <w:marRight w:val="0"/>
              <w:marTop w:val="0"/>
              <w:marBottom w:val="0"/>
              <w:divBdr>
                <w:top w:val="none" w:sz="0" w:space="0" w:color="auto"/>
                <w:left w:val="none" w:sz="0" w:space="0" w:color="auto"/>
                <w:bottom w:val="none" w:sz="0" w:space="0" w:color="auto"/>
                <w:right w:val="none" w:sz="0" w:space="0" w:color="auto"/>
              </w:divBdr>
            </w:div>
            <w:div w:id="759957066">
              <w:marLeft w:val="0"/>
              <w:marRight w:val="0"/>
              <w:marTop w:val="0"/>
              <w:marBottom w:val="0"/>
              <w:divBdr>
                <w:top w:val="none" w:sz="0" w:space="0" w:color="auto"/>
                <w:left w:val="none" w:sz="0" w:space="0" w:color="auto"/>
                <w:bottom w:val="none" w:sz="0" w:space="0" w:color="auto"/>
                <w:right w:val="none" w:sz="0" w:space="0" w:color="auto"/>
              </w:divBdr>
            </w:div>
            <w:div w:id="787238204">
              <w:marLeft w:val="0"/>
              <w:marRight w:val="0"/>
              <w:marTop w:val="0"/>
              <w:marBottom w:val="0"/>
              <w:divBdr>
                <w:top w:val="none" w:sz="0" w:space="0" w:color="auto"/>
                <w:left w:val="none" w:sz="0" w:space="0" w:color="auto"/>
                <w:bottom w:val="none" w:sz="0" w:space="0" w:color="auto"/>
                <w:right w:val="none" w:sz="0" w:space="0" w:color="auto"/>
              </w:divBdr>
            </w:div>
            <w:div w:id="801387443">
              <w:marLeft w:val="0"/>
              <w:marRight w:val="0"/>
              <w:marTop w:val="0"/>
              <w:marBottom w:val="0"/>
              <w:divBdr>
                <w:top w:val="none" w:sz="0" w:space="0" w:color="auto"/>
                <w:left w:val="none" w:sz="0" w:space="0" w:color="auto"/>
                <w:bottom w:val="none" w:sz="0" w:space="0" w:color="auto"/>
                <w:right w:val="none" w:sz="0" w:space="0" w:color="auto"/>
              </w:divBdr>
            </w:div>
            <w:div w:id="935165943">
              <w:marLeft w:val="0"/>
              <w:marRight w:val="0"/>
              <w:marTop w:val="0"/>
              <w:marBottom w:val="0"/>
              <w:divBdr>
                <w:top w:val="none" w:sz="0" w:space="0" w:color="auto"/>
                <w:left w:val="none" w:sz="0" w:space="0" w:color="auto"/>
                <w:bottom w:val="none" w:sz="0" w:space="0" w:color="auto"/>
                <w:right w:val="none" w:sz="0" w:space="0" w:color="auto"/>
              </w:divBdr>
            </w:div>
            <w:div w:id="1042704389">
              <w:marLeft w:val="0"/>
              <w:marRight w:val="0"/>
              <w:marTop w:val="0"/>
              <w:marBottom w:val="0"/>
              <w:divBdr>
                <w:top w:val="none" w:sz="0" w:space="0" w:color="auto"/>
                <w:left w:val="none" w:sz="0" w:space="0" w:color="auto"/>
                <w:bottom w:val="none" w:sz="0" w:space="0" w:color="auto"/>
                <w:right w:val="none" w:sz="0" w:space="0" w:color="auto"/>
              </w:divBdr>
            </w:div>
            <w:div w:id="1094521590">
              <w:marLeft w:val="0"/>
              <w:marRight w:val="0"/>
              <w:marTop w:val="0"/>
              <w:marBottom w:val="0"/>
              <w:divBdr>
                <w:top w:val="none" w:sz="0" w:space="0" w:color="auto"/>
                <w:left w:val="none" w:sz="0" w:space="0" w:color="auto"/>
                <w:bottom w:val="none" w:sz="0" w:space="0" w:color="auto"/>
                <w:right w:val="none" w:sz="0" w:space="0" w:color="auto"/>
              </w:divBdr>
            </w:div>
            <w:div w:id="1151018634">
              <w:marLeft w:val="0"/>
              <w:marRight w:val="0"/>
              <w:marTop w:val="0"/>
              <w:marBottom w:val="0"/>
              <w:divBdr>
                <w:top w:val="none" w:sz="0" w:space="0" w:color="auto"/>
                <w:left w:val="none" w:sz="0" w:space="0" w:color="auto"/>
                <w:bottom w:val="none" w:sz="0" w:space="0" w:color="auto"/>
                <w:right w:val="none" w:sz="0" w:space="0" w:color="auto"/>
              </w:divBdr>
            </w:div>
            <w:div w:id="1278607997">
              <w:marLeft w:val="0"/>
              <w:marRight w:val="0"/>
              <w:marTop w:val="0"/>
              <w:marBottom w:val="0"/>
              <w:divBdr>
                <w:top w:val="none" w:sz="0" w:space="0" w:color="auto"/>
                <w:left w:val="none" w:sz="0" w:space="0" w:color="auto"/>
                <w:bottom w:val="none" w:sz="0" w:space="0" w:color="auto"/>
                <w:right w:val="none" w:sz="0" w:space="0" w:color="auto"/>
              </w:divBdr>
            </w:div>
            <w:div w:id="1472093195">
              <w:marLeft w:val="0"/>
              <w:marRight w:val="0"/>
              <w:marTop w:val="0"/>
              <w:marBottom w:val="0"/>
              <w:divBdr>
                <w:top w:val="none" w:sz="0" w:space="0" w:color="auto"/>
                <w:left w:val="none" w:sz="0" w:space="0" w:color="auto"/>
                <w:bottom w:val="none" w:sz="0" w:space="0" w:color="auto"/>
                <w:right w:val="none" w:sz="0" w:space="0" w:color="auto"/>
              </w:divBdr>
            </w:div>
            <w:div w:id="1569027481">
              <w:marLeft w:val="0"/>
              <w:marRight w:val="0"/>
              <w:marTop w:val="0"/>
              <w:marBottom w:val="0"/>
              <w:divBdr>
                <w:top w:val="none" w:sz="0" w:space="0" w:color="auto"/>
                <w:left w:val="none" w:sz="0" w:space="0" w:color="auto"/>
                <w:bottom w:val="none" w:sz="0" w:space="0" w:color="auto"/>
                <w:right w:val="none" w:sz="0" w:space="0" w:color="auto"/>
              </w:divBdr>
            </w:div>
            <w:div w:id="1641958662">
              <w:marLeft w:val="0"/>
              <w:marRight w:val="0"/>
              <w:marTop w:val="0"/>
              <w:marBottom w:val="0"/>
              <w:divBdr>
                <w:top w:val="none" w:sz="0" w:space="0" w:color="auto"/>
                <w:left w:val="none" w:sz="0" w:space="0" w:color="auto"/>
                <w:bottom w:val="none" w:sz="0" w:space="0" w:color="auto"/>
                <w:right w:val="none" w:sz="0" w:space="0" w:color="auto"/>
              </w:divBdr>
            </w:div>
            <w:div w:id="1679312321">
              <w:marLeft w:val="0"/>
              <w:marRight w:val="0"/>
              <w:marTop w:val="0"/>
              <w:marBottom w:val="0"/>
              <w:divBdr>
                <w:top w:val="none" w:sz="0" w:space="0" w:color="auto"/>
                <w:left w:val="none" w:sz="0" w:space="0" w:color="auto"/>
                <w:bottom w:val="none" w:sz="0" w:space="0" w:color="auto"/>
                <w:right w:val="none" w:sz="0" w:space="0" w:color="auto"/>
              </w:divBdr>
            </w:div>
            <w:div w:id="1781099635">
              <w:marLeft w:val="0"/>
              <w:marRight w:val="0"/>
              <w:marTop w:val="0"/>
              <w:marBottom w:val="0"/>
              <w:divBdr>
                <w:top w:val="none" w:sz="0" w:space="0" w:color="auto"/>
                <w:left w:val="none" w:sz="0" w:space="0" w:color="auto"/>
                <w:bottom w:val="none" w:sz="0" w:space="0" w:color="auto"/>
                <w:right w:val="none" w:sz="0" w:space="0" w:color="auto"/>
              </w:divBdr>
            </w:div>
            <w:div w:id="1885634338">
              <w:marLeft w:val="0"/>
              <w:marRight w:val="0"/>
              <w:marTop w:val="0"/>
              <w:marBottom w:val="0"/>
              <w:divBdr>
                <w:top w:val="none" w:sz="0" w:space="0" w:color="auto"/>
                <w:left w:val="none" w:sz="0" w:space="0" w:color="auto"/>
                <w:bottom w:val="none" w:sz="0" w:space="0" w:color="auto"/>
                <w:right w:val="none" w:sz="0" w:space="0" w:color="auto"/>
              </w:divBdr>
            </w:div>
          </w:divsChild>
        </w:div>
        <w:div w:id="2044017280">
          <w:marLeft w:val="0"/>
          <w:marRight w:val="0"/>
          <w:marTop w:val="0"/>
          <w:marBottom w:val="0"/>
          <w:divBdr>
            <w:top w:val="none" w:sz="0" w:space="0" w:color="auto"/>
            <w:left w:val="none" w:sz="0" w:space="0" w:color="auto"/>
            <w:bottom w:val="none" w:sz="0" w:space="0" w:color="auto"/>
            <w:right w:val="none" w:sz="0" w:space="0" w:color="auto"/>
          </w:divBdr>
        </w:div>
        <w:div w:id="2045406004">
          <w:marLeft w:val="0"/>
          <w:marRight w:val="0"/>
          <w:marTop w:val="0"/>
          <w:marBottom w:val="0"/>
          <w:divBdr>
            <w:top w:val="none" w:sz="0" w:space="0" w:color="auto"/>
            <w:left w:val="none" w:sz="0" w:space="0" w:color="auto"/>
            <w:bottom w:val="none" w:sz="0" w:space="0" w:color="auto"/>
            <w:right w:val="none" w:sz="0" w:space="0" w:color="auto"/>
          </w:divBdr>
        </w:div>
        <w:div w:id="2047639287">
          <w:marLeft w:val="0"/>
          <w:marRight w:val="0"/>
          <w:marTop w:val="0"/>
          <w:marBottom w:val="0"/>
          <w:divBdr>
            <w:top w:val="none" w:sz="0" w:space="0" w:color="auto"/>
            <w:left w:val="none" w:sz="0" w:space="0" w:color="auto"/>
            <w:bottom w:val="none" w:sz="0" w:space="0" w:color="auto"/>
            <w:right w:val="none" w:sz="0" w:space="0" w:color="auto"/>
          </w:divBdr>
          <w:divsChild>
            <w:div w:id="1791895921">
              <w:marLeft w:val="-75"/>
              <w:marRight w:val="0"/>
              <w:marTop w:val="30"/>
              <w:marBottom w:val="30"/>
              <w:divBdr>
                <w:top w:val="none" w:sz="0" w:space="0" w:color="auto"/>
                <w:left w:val="none" w:sz="0" w:space="0" w:color="auto"/>
                <w:bottom w:val="none" w:sz="0" w:space="0" w:color="auto"/>
                <w:right w:val="none" w:sz="0" w:space="0" w:color="auto"/>
              </w:divBdr>
              <w:divsChild>
                <w:div w:id="62528149">
                  <w:marLeft w:val="0"/>
                  <w:marRight w:val="0"/>
                  <w:marTop w:val="0"/>
                  <w:marBottom w:val="0"/>
                  <w:divBdr>
                    <w:top w:val="none" w:sz="0" w:space="0" w:color="auto"/>
                    <w:left w:val="none" w:sz="0" w:space="0" w:color="auto"/>
                    <w:bottom w:val="none" w:sz="0" w:space="0" w:color="auto"/>
                    <w:right w:val="none" w:sz="0" w:space="0" w:color="auto"/>
                  </w:divBdr>
                  <w:divsChild>
                    <w:div w:id="1211072197">
                      <w:marLeft w:val="0"/>
                      <w:marRight w:val="0"/>
                      <w:marTop w:val="0"/>
                      <w:marBottom w:val="0"/>
                      <w:divBdr>
                        <w:top w:val="none" w:sz="0" w:space="0" w:color="auto"/>
                        <w:left w:val="none" w:sz="0" w:space="0" w:color="auto"/>
                        <w:bottom w:val="none" w:sz="0" w:space="0" w:color="auto"/>
                        <w:right w:val="none" w:sz="0" w:space="0" w:color="auto"/>
                      </w:divBdr>
                    </w:div>
                  </w:divsChild>
                </w:div>
                <w:div w:id="76833875">
                  <w:marLeft w:val="0"/>
                  <w:marRight w:val="0"/>
                  <w:marTop w:val="0"/>
                  <w:marBottom w:val="0"/>
                  <w:divBdr>
                    <w:top w:val="none" w:sz="0" w:space="0" w:color="auto"/>
                    <w:left w:val="none" w:sz="0" w:space="0" w:color="auto"/>
                    <w:bottom w:val="none" w:sz="0" w:space="0" w:color="auto"/>
                    <w:right w:val="none" w:sz="0" w:space="0" w:color="auto"/>
                  </w:divBdr>
                  <w:divsChild>
                    <w:div w:id="2102296198">
                      <w:marLeft w:val="0"/>
                      <w:marRight w:val="0"/>
                      <w:marTop w:val="0"/>
                      <w:marBottom w:val="0"/>
                      <w:divBdr>
                        <w:top w:val="none" w:sz="0" w:space="0" w:color="auto"/>
                        <w:left w:val="none" w:sz="0" w:space="0" w:color="auto"/>
                        <w:bottom w:val="none" w:sz="0" w:space="0" w:color="auto"/>
                        <w:right w:val="none" w:sz="0" w:space="0" w:color="auto"/>
                      </w:divBdr>
                    </w:div>
                  </w:divsChild>
                </w:div>
                <w:div w:id="103429295">
                  <w:marLeft w:val="0"/>
                  <w:marRight w:val="0"/>
                  <w:marTop w:val="0"/>
                  <w:marBottom w:val="0"/>
                  <w:divBdr>
                    <w:top w:val="none" w:sz="0" w:space="0" w:color="auto"/>
                    <w:left w:val="none" w:sz="0" w:space="0" w:color="auto"/>
                    <w:bottom w:val="none" w:sz="0" w:space="0" w:color="auto"/>
                    <w:right w:val="none" w:sz="0" w:space="0" w:color="auto"/>
                  </w:divBdr>
                  <w:divsChild>
                    <w:div w:id="888568387">
                      <w:marLeft w:val="0"/>
                      <w:marRight w:val="0"/>
                      <w:marTop w:val="0"/>
                      <w:marBottom w:val="0"/>
                      <w:divBdr>
                        <w:top w:val="none" w:sz="0" w:space="0" w:color="auto"/>
                        <w:left w:val="none" w:sz="0" w:space="0" w:color="auto"/>
                        <w:bottom w:val="none" w:sz="0" w:space="0" w:color="auto"/>
                        <w:right w:val="none" w:sz="0" w:space="0" w:color="auto"/>
                      </w:divBdr>
                    </w:div>
                  </w:divsChild>
                </w:div>
                <w:div w:id="175850533">
                  <w:marLeft w:val="0"/>
                  <w:marRight w:val="0"/>
                  <w:marTop w:val="0"/>
                  <w:marBottom w:val="0"/>
                  <w:divBdr>
                    <w:top w:val="none" w:sz="0" w:space="0" w:color="auto"/>
                    <w:left w:val="none" w:sz="0" w:space="0" w:color="auto"/>
                    <w:bottom w:val="none" w:sz="0" w:space="0" w:color="auto"/>
                    <w:right w:val="none" w:sz="0" w:space="0" w:color="auto"/>
                  </w:divBdr>
                  <w:divsChild>
                    <w:div w:id="1213540048">
                      <w:marLeft w:val="0"/>
                      <w:marRight w:val="0"/>
                      <w:marTop w:val="0"/>
                      <w:marBottom w:val="0"/>
                      <w:divBdr>
                        <w:top w:val="none" w:sz="0" w:space="0" w:color="auto"/>
                        <w:left w:val="none" w:sz="0" w:space="0" w:color="auto"/>
                        <w:bottom w:val="none" w:sz="0" w:space="0" w:color="auto"/>
                        <w:right w:val="none" w:sz="0" w:space="0" w:color="auto"/>
                      </w:divBdr>
                    </w:div>
                  </w:divsChild>
                </w:div>
                <w:div w:id="200169090">
                  <w:marLeft w:val="0"/>
                  <w:marRight w:val="0"/>
                  <w:marTop w:val="0"/>
                  <w:marBottom w:val="0"/>
                  <w:divBdr>
                    <w:top w:val="none" w:sz="0" w:space="0" w:color="auto"/>
                    <w:left w:val="none" w:sz="0" w:space="0" w:color="auto"/>
                    <w:bottom w:val="none" w:sz="0" w:space="0" w:color="auto"/>
                    <w:right w:val="none" w:sz="0" w:space="0" w:color="auto"/>
                  </w:divBdr>
                  <w:divsChild>
                    <w:div w:id="1414931355">
                      <w:marLeft w:val="0"/>
                      <w:marRight w:val="0"/>
                      <w:marTop w:val="0"/>
                      <w:marBottom w:val="0"/>
                      <w:divBdr>
                        <w:top w:val="none" w:sz="0" w:space="0" w:color="auto"/>
                        <w:left w:val="none" w:sz="0" w:space="0" w:color="auto"/>
                        <w:bottom w:val="none" w:sz="0" w:space="0" w:color="auto"/>
                        <w:right w:val="none" w:sz="0" w:space="0" w:color="auto"/>
                      </w:divBdr>
                    </w:div>
                  </w:divsChild>
                </w:div>
                <w:div w:id="227496504">
                  <w:marLeft w:val="0"/>
                  <w:marRight w:val="0"/>
                  <w:marTop w:val="0"/>
                  <w:marBottom w:val="0"/>
                  <w:divBdr>
                    <w:top w:val="none" w:sz="0" w:space="0" w:color="auto"/>
                    <w:left w:val="none" w:sz="0" w:space="0" w:color="auto"/>
                    <w:bottom w:val="none" w:sz="0" w:space="0" w:color="auto"/>
                    <w:right w:val="none" w:sz="0" w:space="0" w:color="auto"/>
                  </w:divBdr>
                  <w:divsChild>
                    <w:div w:id="168837733">
                      <w:marLeft w:val="0"/>
                      <w:marRight w:val="0"/>
                      <w:marTop w:val="0"/>
                      <w:marBottom w:val="0"/>
                      <w:divBdr>
                        <w:top w:val="none" w:sz="0" w:space="0" w:color="auto"/>
                        <w:left w:val="none" w:sz="0" w:space="0" w:color="auto"/>
                        <w:bottom w:val="none" w:sz="0" w:space="0" w:color="auto"/>
                        <w:right w:val="none" w:sz="0" w:space="0" w:color="auto"/>
                      </w:divBdr>
                    </w:div>
                    <w:div w:id="613826774">
                      <w:marLeft w:val="0"/>
                      <w:marRight w:val="0"/>
                      <w:marTop w:val="0"/>
                      <w:marBottom w:val="0"/>
                      <w:divBdr>
                        <w:top w:val="none" w:sz="0" w:space="0" w:color="auto"/>
                        <w:left w:val="none" w:sz="0" w:space="0" w:color="auto"/>
                        <w:bottom w:val="none" w:sz="0" w:space="0" w:color="auto"/>
                        <w:right w:val="none" w:sz="0" w:space="0" w:color="auto"/>
                      </w:divBdr>
                    </w:div>
                    <w:div w:id="1107238978">
                      <w:marLeft w:val="0"/>
                      <w:marRight w:val="0"/>
                      <w:marTop w:val="0"/>
                      <w:marBottom w:val="0"/>
                      <w:divBdr>
                        <w:top w:val="none" w:sz="0" w:space="0" w:color="auto"/>
                        <w:left w:val="none" w:sz="0" w:space="0" w:color="auto"/>
                        <w:bottom w:val="none" w:sz="0" w:space="0" w:color="auto"/>
                        <w:right w:val="none" w:sz="0" w:space="0" w:color="auto"/>
                      </w:divBdr>
                    </w:div>
                    <w:div w:id="1647314761">
                      <w:marLeft w:val="0"/>
                      <w:marRight w:val="0"/>
                      <w:marTop w:val="0"/>
                      <w:marBottom w:val="0"/>
                      <w:divBdr>
                        <w:top w:val="none" w:sz="0" w:space="0" w:color="auto"/>
                        <w:left w:val="none" w:sz="0" w:space="0" w:color="auto"/>
                        <w:bottom w:val="none" w:sz="0" w:space="0" w:color="auto"/>
                        <w:right w:val="none" w:sz="0" w:space="0" w:color="auto"/>
                      </w:divBdr>
                    </w:div>
                    <w:div w:id="2020691380">
                      <w:marLeft w:val="0"/>
                      <w:marRight w:val="0"/>
                      <w:marTop w:val="0"/>
                      <w:marBottom w:val="0"/>
                      <w:divBdr>
                        <w:top w:val="none" w:sz="0" w:space="0" w:color="auto"/>
                        <w:left w:val="none" w:sz="0" w:space="0" w:color="auto"/>
                        <w:bottom w:val="none" w:sz="0" w:space="0" w:color="auto"/>
                        <w:right w:val="none" w:sz="0" w:space="0" w:color="auto"/>
                      </w:divBdr>
                    </w:div>
                  </w:divsChild>
                </w:div>
                <w:div w:id="271940854">
                  <w:marLeft w:val="0"/>
                  <w:marRight w:val="0"/>
                  <w:marTop w:val="0"/>
                  <w:marBottom w:val="0"/>
                  <w:divBdr>
                    <w:top w:val="none" w:sz="0" w:space="0" w:color="auto"/>
                    <w:left w:val="none" w:sz="0" w:space="0" w:color="auto"/>
                    <w:bottom w:val="none" w:sz="0" w:space="0" w:color="auto"/>
                    <w:right w:val="none" w:sz="0" w:space="0" w:color="auto"/>
                  </w:divBdr>
                  <w:divsChild>
                    <w:div w:id="1513564350">
                      <w:marLeft w:val="0"/>
                      <w:marRight w:val="0"/>
                      <w:marTop w:val="0"/>
                      <w:marBottom w:val="0"/>
                      <w:divBdr>
                        <w:top w:val="none" w:sz="0" w:space="0" w:color="auto"/>
                        <w:left w:val="none" w:sz="0" w:space="0" w:color="auto"/>
                        <w:bottom w:val="none" w:sz="0" w:space="0" w:color="auto"/>
                        <w:right w:val="none" w:sz="0" w:space="0" w:color="auto"/>
                      </w:divBdr>
                    </w:div>
                  </w:divsChild>
                </w:div>
                <w:div w:id="347372817">
                  <w:marLeft w:val="0"/>
                  <w:marRight w:val="0"/>
                  <w:marTop w:val="0"/>
                  <w:marBottom w:val="0"/>
                  <w:divBdr>
                    <w:top w:val="none" w:sz="0" w:space="0" w:color="auto"/>
                    <w:left w:val="none" w:sz="0" w:space="0" w:color="auto"/>
                    <w:bottom w:val="none" w:sz="0" w:space="0" w:color="auto"/>
                    <w:right w:val="none" w:sz="0" w:space="0" w:color="auto"/>
                  </w:divBdr>
                  <w:divsChild>
                    <w:div w:id="1511871808">
                      <w:marLeft w:val="0"/>
                      <w:marRight w:val="0"/>
                      <w:marTop w:val="0"/>
                      <w:marBottom w:val="0"/>
                      <w:divBdr>
                        <w:top w:val="none" w:sz="0" w:space="0" w:color="auto"/>
                        <w:left w:val="none" w:sz="0" w:space="0" w:color="auto"/>
                        <w:bottom w:val="none" w:sz="0" w:space="0" w:color="auto"/>
                        <w:right w:val="none" w:sz="0" w:space="0" w:color="auto"/>
                      </w:divBdr>
                    </w:div>
                  </w:divsChild>
                </w:div>
                <w:div w:id="400490738">
                  <w:marLeft w:val="0"/>
                  <w:marRight w:val="0"/>
                  <w:marTop w:val="0"/>
                  <w:marBottom w:val="0"/>
                  <w:divBdr>
                    <w:top w:val="none" w:sz="0" w:space="0" w:color="auto"/>
                    <w:left w:val="none" w:sz="0" w:space="0" w:color="auto"/>
                    <w:bottom w:val="none" w:sz="0" w:space="0" w:color="auto"/>
                    <w:right w:val="none" w:sz="0" w:space="0" w:color="auto"/>
                  </w:divBdr>
                  <w:divsChild>
                    <w:div w:id="1515916506">
                      <w:marLeft w:val="0"/>
                      <w:marRight w:val="0"/>
                      <w:marTop w:val="0"/>
                      <w:marBottom w:val="0"/>
                      <w:divBdr>
                        <w:top w:val="none" w:sz="0" w:space="0" w:color="auto"/>
                        <w:left w:val="none" w:sz="0" w:space="0" w:color="auto"/>
                        <w:bottom w:val="none" w:sz="0" w:space="0" w:color="auto"/>
                        <w:right w:val="none" w:sz="0" w:space="0" w:color="auto"/>
                      </w:divBdr>
                    </w:div>
                  </w:divsChild>
                </w:div>
                <w:div w:id="561330137">
                  <w:marLeft w:val="0"/>
                  <w:marRight w:val="0"/>
                  <w:marTop w:val="0"/>
                  <w:marBottom w:val="0"/>
                  <w:divBdr>
                    <w:top w:val="none" w:sz="0" w:space="0" w:color="auto"/>
                    <w:left w:val="none" w:sz="0" w:space="0" w:color="auto"/>
                    <w:bottom w:val="none" w:sz="0" w:space="0" w:color="auto"/>
                    <w:right w:val="none" w:sz="0" w:space="0" w:color="auto"/>
                  </w:divBdr>
                  <w:divsChild>
                    <w:div w:id="7800793">
                      <w:marLeft w:val="0"/>
                      <w:marRight w:val="0"/>
                      <w:marTop w:val="0"/>
                      <w:marBottom w:val="0"/>
                      <w:divBdr>
                        <w:top w:val="none" w:sz="0" w:space="0" w:color="auto"/>
                        <w:left w:val="none" w:sz="0" w:space="0" w:color="auto"/>
                        <w:bottom w:val="none" w:sz="0" w:space="0" w:color="auto"/>
                        <w:right w:val="none" w:sz="0" w:space="0" w:color="auto"/>
                      </w:divBdr>
                    </w:div>
                  </w:divsChild>
                </w:div>
                <w:div w:id="593904931">
                  <w:marLeft w:val="0"/>
                  <w:marRight w:val="0"/>
                  <w:marTop w:val="0"/>
                  <w:marBottom w:val="0"/>
                  <w:divBdr>
                    <w:top w:val="none" w:sz="0" w:space="0" w:color="auto"/>
                    <w:left w:val="none" w:sz="0" w:space="0" w:color="auto"/>
                    <w:bottom w:val="none" w:sz="0" w:space="0" w:color="auto"/>
                    <w:right w:val="none" w:sz="0" w:space="0" w:color="auto"/>
                  </w:divBdr>
                  <w:divsChild>
                    <w:div w:id="1131022311">
                      <w:marLeft w:val="0"/>
                      <w:marRight w:val="0"/>
                      <w:marTop w:val="0"/>
                      <w:marBottom w:val="0"/>
                      <w:divBdr>
                        <w:top w:val="none" w:sz="0" w:space="0" w:color="auto"/>
                        <w:left w:val="none" w:sz="0" w:space="0" w:color="auto"/>
                        <w:bottom w:val="none" w:sz="0" w:space="0" w:color="auto"/>
                        <w:right w:val="none" w:sz="0" w:space="0" w:color="auto"/>
                      </w:divBdr>
                    </w:div>
                  </w:divsChild>
                </w:div>
                <w:div w:id="720713276">
                  <w:marLeft w:val="0"/>
                  <w:marRight w:val="0"/>
                  <w:marTop w:val="0"/>
                  <w:marBottom w:val="0"/>
                  <w:divBdr>
                    <w:top w:val="none" w:sz="0" w:space="0" w:color="auto"/>
                    <w:left w:val="none" w:sz="0" w:space="0" w:color="auto"/>
                    <w:bottom w:val="none" w:sz="0" w:space="0" w:color="auto"/>
                    <w:right w:val="none" w:sz="0" w:space="0" w:color="auto"/>
                  </w:divBdr>
                  <w:divsChild>
                    <w:div w:id="374893063">
                      <w:marLeft w:val="0"/>
                      <w:marRight w:val="0"/>
                      <w:marTop w:val="0"/>
                      <w:marBottom w:val="0"/>
                      <w:divBdr>
                        <w:top w:val="none" w:sz="0" w:space="0" w:color="auto"/>
                        <w:left w:val="none" w:sz="0" w:space="0" w:color="auto"/>
                        <w:bottom w:val="none" w:sz="0" w:space="0" w:color="auto"/>
                        <w:right w:val="none" w:sz="0" w:space="0" w:color="auto"/>
                      </w:divBdr>
                    </w:div>
                  </w:divsChild>
                </w:div>
                <w:div w:id="722755268">
                  <w:marLeft w:val="0"/>
                  <w:marRight w:val="0"/>
                  <w:marTop w:val="0"/>
                  <w:marBottom w:val="0"/>
                  <w:divBdr>
                    <w:top w:val="none" w:sz="0" w:space="0" w:color="auto"/>
                    <w:left w:val="none" w:sz="0" w:space="0" w:color="auto"/>
                    <w:bottom w:val="none" w:sz="0" w:space="0" w:color="auto"/>
                    <w:right w:val="none" w:sz="0" w:space="0" w:color="auto"/>
                  </w:divBdr>
                  <w:divsChild>
                    <w:div w:id="441608184">
                      <w:marLeft w:val="0"/>
                      <w:marRight w:val="0"/>
                      <w:marTop w:val="0"/>
                      <w:marBottom w:val="0"/>
                      <w:divBdr>
                        <w:top w:val="none" w:sz="0" w:space="0" w:color="auto"/>
                        <w:left w:val="none" w:sz="0" w:space="0" w:color="auto"/>
                        <w:bottom w:val="none" w:sz="0" w:space="0" w:color="auto"/>
                        <w:right w:val="none" w:sz="0" w:space="0" w:color="auto"/>
                      </w:divBdr>
                    </w:div>
                    <w:div w:id="1968779692">
                      <w:marLeft w:val="0"/>
                      <w:marRight w:val="0"/>
                      <w:marTop w:val="0"/>
                      <w:marBottom w:val="0"/>
                      <w:divBdr>
                        <w:top w:val="none" w:sz="0" w:space="0" w:color="auto"/>
                        <w:left w:val="none" w:sz="0" w:space="0" w:color="auto"/>
                        <w:bottom w:val="none" w:sz="0" w:space="0" w:color="auto"/>
                        <w:right w:val="none" w:sz="0" w:space="0" w:color="auto"/>
                      </w:divBdr>
                    </w:div>
                  </w:divsChild>
                </w:div>
                <w:div w:id="757211830">
                  <w:marLeft w:val="0"/>
                  <w:marRight w:val="0"/>
                  <w:marTop w:val="0"/>
                  <w:marBottom w:val="0"/>
                  <w:divBdr>
                    <w:top w:val="none" w:sz="0" w:space="0" w:color="auto"/>
                    <w:left w:val="none" w:sz="0" w:space="0" w:color="auto"/>
                    <w:bottom w:val="none" w:sz="0" w:space="0" w:color="auto"/>
                    <w:right w:val="none" w:sz="0" w:space="0" w:color="auto"/>
                  </w:divBdr>
                  <w:divsChild>
                    <w:div w:id="452015422">
                      <w:marLeft w:val="0"/>
                      <w:marRight w:val="0"/>
                      <w:marTop w:val="0"/>
                      <w:marBottom w:val="0"/>
                      <w:divBdr>
                        <w:top w:val="none" w:sz="0" w:space="0" w:color="auto"/>
                        <w:left w:val="none" w:sz="0" w:space="0" w:color="auto"/>
                        <w:bottom w:val="none" w:sz="0" w:space="0" w:color="auto"/>
                        <w:right w:val="none" w:sz="0" w:space="0" w:color="auto"/>
                      </w:divBdr>
                    </w:div>
                  </w:divsChild>
                </w:div>
                <w:div w:id="886332721">
                  <w:marLeft w:val="0"/>
                  <w:marRight w:val="0"/>
                  <w:marTop w:val="0"/>
                  <w:marBottom w:val="0"/>
                  <w:divBdr>
                    <w:top w:val="none" w:sz="0" w:space="0" w:color="auto"/>
                    <w:left w:val="none" w:sz="0" w:space="0" w:color="auto"/>
                    <w:bottom w:val="none" w:sz="0" w:space="0" w:color="auto"/>
                    <w:right w:val="none" w:sz="0" w:space="0" w:color="auto"/>
                  </w:divBdr>
                  <w:divsChild>
                    <w:div w:id="76753308">
                      <w:marLeft w:val="0"/>
                      <w:marRight w:val="0"/>
                      <w:marTop w:val="0"/>
                      <w:marBottom w:val="0"/>
                      <w:divBdr>
                        <w:top w:val="none" w:sz="0" w:space="0" w:color="auto"/>
                        <w:left w:val="none" w:sz="0" w:space="0" w:color="auto"/>
                        <w:bottom w:val="none" w:sz="0" w:space="0" w:color="auto"/>
                        <w:right w:val="none" w:sz="0" w:space="0" w:color="auto"/>
                      </w:divBdr>
                    </w:div>
                    <w:div w:id="568659786">
                      <w:marLeft w:val="0"/>
                      <w:marRight w:val="0"/>
                      <w:marTop w:val="0"/>
                      <w:marBottom w:val="0"/>
                      <w:divBdr>
                        <w:top w:val="none" w:sz="0" w:space="0" w:color="auto"/>
                        <w:left w:val="none" w:sz="0" w:space="0" w:color="auto"/>
                        <w:bottom w:val="none" w:sz="0" w:space="0" w:color="auto"/>
                        <w:right w:val="none" w:sz="0" w:space="0" w:color="auto"/>
                      </w:divBdr>
                    </w:div>
                    <w:div w:id="698624561">
                      <w:marLeft w:val="0"/>
                      <w:marRight w:val="0"/>
                      <w:marTop w:val="0"/>
                      <w:marBottom w:val="0"/>
                      <w:divBdr>
                        <w:top w:val="none" w:sz="0" w:space="0" w:color="auto"/>
                        <w:left w:val="none" w:sz="0" w:space="0" w:color="auto"/>
                        <w:bottom w:val="none" w:sz="0" w:space="0" w:color="auto"/>
                        <w:right w:val="none" w:sz="0" w:space="0" w:color="auto"/>
                      </w:divBdr>
                    </w:div>
                    <w:div w:id="1395009125">
                      <w:marLeft w:val="0"/>
                      <w:marRight w:val="0"/>
                      <w:marTop w:val="0"/>
                      <w:marBottom w:val="0"/>
                      <w:divBdr>
                        <w:top w:val="none" w:sz="0" w:space="0" w:color="auto"/>
                        <w:left w:val="none" w:sz="0" w:space="0" w:color="auto"/>
                        <w:bottom w:val="none" w:sz="0" w:space="0" w:color="auto"/>
                        <w:right w:val="none" w:sz="0" w:space="0" w:color="auto"/>
                      </w:divBdr>
                    </w:div>
                    <w:div w:id="1935625369">
                      <w:marLeft w:val="0"/>
                      <w:marRight w:val="0"/>
                      <w:marTop w:val="0"/>
                      <w:marBottom w:val="0"/>
                      <w:divBdr>
                        <w:top w:val="none" w:sz="0" w:space="0" w:color="auto"/>
                        <w:left w:val="none" w:sz="0" w:space="0" w:color="auto"/>
                        <w:bottom w:val="none" w:sz="0" w:space="0" w:color="auto"/>
                        <w:right w:val="none" w:sz="0" w:space="0" w:color="auto"/>
                      </w:divBdr>
                    </w:div>
                    <w:div w:id="2133861438">
                      <w:marLeft w:val="0"/>
                      <w:marRight w:val="0"/>
                      <w:marTop w:val="0"/>
                      <w:marBottom w:val="0"/>
                      <w:divBdr>
                        <w:top w:val="none" w:sz="0" w:space="0" w:color="auto"/>
                        <w:left w:val="none" w:sz="0" w:space="0" w:color="auto"/>
                        <w:bottom w:val="none" w:sz="0" w:space="0" w:color="auto"/>
                        <w:right w:val="none" w:sz="0" w:space="0" w:color="auto"/>
                      </w:divBdr>
                    </w:div>
                  </w:divsChild>
                </w:div>
                <w:div w:id="1002775056">
                  <w:marLeft w:val="0"/>
                  <w:marRight w:val="0"/>
                  <w:marTop w:val="0"/>
                  <w:marBottom w:val="0"/>
                  <w:divBdr>
                    <w:top w:val="none" w:sz="0" w:space="0" w:color="auto"/>
                    <w:left w:val="none" w:sz="0" w:space="0" w:color="auto"/>
                    <w:bottom w:val="none" w:sz="0" w:space="0" w:color="auto"/>
                    <w:right w:val="none" w:sz="0" w:space="0" w:color="auto"/>
                  </w:divBdr>
                  <w:divsChild>
                    <w:div w:id="730268427">
                      <w:marLeft w:val="0"/>
                      <w:marRight w:val="0"/>
                      <w:marTop w:val="0"/>
                      <w:marBottom w:val="0"/>
                      <w:divBdr>
                        <w:top w:val="none" w:sz="0" w:space="0" w:color="auto"/>
                        <w:left w:val="none" w:sz="0" w:space="0" w:color="auto"/>
                        <w:bottom w:val="none" w:sz="0" w:space="0" w:color="auto"/>
                        <w:right w:val="none" w:sz="0" w:space="0" w:color="auto"/>
                      </w:divBdr>
                    </w:div>
                  </w:divsChild>
                </w:div>
                <w:div w:id="1020007205">
                  <w:marLeft w:val="0"/>
                  <w:marRight w:val="0"/>
                  <w:marTop w:val="0"/>
                  <w:marBottom w:val="0"/>
                  <w:divBdr>
                    <w:top w:val="none" w:sz="0" w:space="0" w:color="auto"/>
                    <w:left w:val="none" w:sz="0" w:space="0" w:color="auto"/>
                    <w:bottom w:val="none" w:sz="0" w:space="0" w:color="auto"/>
                    <w:right w:val="none" w:sz="0" w:space="0" w:color="auto"/>
                  </w:divBdr>
                  <w:divsChild>
                    <w:div w:id="671690386">
                      <w:marLeft w:val="0"/>
                      <w:marRight w:val="0"/>
                      <w:marTop w:val="0"/>
                      <w:marBottom w:val="0"/>
                      <w:divBdr>
                        <w:top w:val="none" w:sz="0" w:space="0" w:color="auto"/>
                        <w:left w:val="none" w:sz="0" w:space="0" w:color="auto"/>
                        <w:bottom w:val="none" w:sz="0" w:space="0" w:color="auto"/>
                        <w:right w:val="none" w:sz="0" w:space="0" w:color="auto"/>
                      </w:divBdr>
                    </w:div>
                  </w:divsChild>
                </w:div>
                <w:div w:id="1094545964">
                  <w:marLeft w:val="0"/>
                  <w:marRight w:val="0"/>
                  <w:marTop w:val="0"/>
                  <w:marBottom w:val="0"/>
                  <w:divBdr>
                    <w:top w:val="none" w:sz="0" w:space="0" w:color="auto"/>
                    <w:left w:val="none" w:sz="0" w:space="0" w:color="auto"/>
                    <w:bottom w:val="none" w:sz="0" w:space="0" w:color="auto"/>
                    <w:right w:val="none" w:sz="0" w:space="0" w:color="auto"/>
                  </w:divBdr>
                  <w:divsChild>
                    <w:div w:id="1619529931">
                      <w:marLeft w:val="0"/>
                      <w:marRight w:val="0"/>
                      <w:marTop w:val="0"/>
                      <w:marBottom w:val="0"/>
                      <w:divBdr>
                        <w:top w:val="none" w:sz="0" w:space="0" w:color="auto"/>
                        <w:left w:val="none" w:sz="0" w:space="0" w:color="auto"/>
                        <w:bottom w:val="none" w:sz="0" w:space="0" w:color="auto"/>
                        <w:right w:val="none" w:sz="0" w:space="0" w:color="auto"/>
                      </w:divBdr>
                    </w:div>
                  </w:divsChild>
                </w:div>
                <w:div w:id="1175269070">
                  <w:marLeft w:val="0"/>
                  <w:marRight w:val="0"/>
                  <w:marTop w:val="0"/>
                  <w:marBottom w:val="0"/>
                  <w:divBdr>
                    <w:top w:val="none" w:sz="0" w:space="0" w:color="auto"/>
                    <w:left w:val="none" w:sz="0" w:space="0" w:color="auto"/>
                    <w:bottom w:val="none" w:sz="0" w:space="0" w:color="auto"/>
                    <w:right w:val="none" w:sz="0" w:space="0" w:color="auto"/>
                  </w:divBdr>
                  <w:divsChild>
                    <w:div w:id="1917133251">
                      <w:marLeft w:val="0"/>
                      <w:marRight w:val="0"/>
                      <w:marTop w:val="0"/>
                      <w:marBottom w:val="0"/>
                      <w:divBdr>
                        <w:top w:val="none" w:sz="0" w:space="0" w:color="auto"/>
                        <w:left w:val="none" w:sz="0" w:space="0" w:color="auto"/>
                        <w:bottom w:val="none" w:sz="0" w:space="0" w:color="auto"/>
                        <w:right w:val="none" w:sz="0" w:space="0" w:color="auto"/>
                      </w:divBdr>
                    </w:div>
                  </w:divsChild>
                </w:div>
                <w:div w:id="1274751729">
                  <w:marLeft w:val="0"/>
                  <w:marRight w:val="0"/>
                  <w:marTop w:val="0"/>
                  <w:marBottom w:val="0"/>
                  <w:divBdr>
                    <w:top w:val="none" w:sz="0" w:space="0" w:color="auto"/>
                    <w:left w:val="none" w:sz="0" w:space="0" w:color="auto"/>
                    <w:bottom w:val="none" w:sz="0" w:space="0" w:color="auto"/>
                    <w:right w:val="none" w:sz="0" w:space="0" w:color="auto"/>
                  </w:divBdr>
                  <w:divsChild>
                    <w:div w:id="189035623">
                      <w:marLeft w:val="0"/>
                      <w:marRight w:val="0"/>
                      <w:marTop w:val="0"/>
                      <w:marBottom w:val="0"/>
                      <w:divBdr>
                        <w:top w:val="none" w:sz="0" w:space="0" w:color="auto"/>
                        <w:left w:val="none" w:sz="0" w:space="0" w:color="auto"/>
                        <w:bottom w:val="none" w:sz="0" w:space="0" w:color="auto"/>
                        <w:right w:val="none" w:sz="0" w:space="0" w:color="auto"/>
                      </w:divBdr>
                    </w:div>
                  </w:divsChild>
                </w:div>
                <w:div w:id="1313023909">
                  <w:marLeft w:val="0"/>
                  <w:marRight w:val="0"/>
                  <w:marTop w:val="0"/>
                  <w:marBottom w:val="0"/>
                  <w:divBdr>
                    <w:top w:val="none" w:sz="0" w:space="0" w:color="auto"/>
                    <w:left w:val="none" w:sz="0" w:space="0" w:color="auto"/>
                    <w:bottom w:val="none" w:sz="0" w:space="0" w:color="auto"/>
                    <w:right w:val="none" w:sz="0" w:space="0" w:color="auto"/>
                  </w:divBdr>
                  <w:divsChild>
                    <w:div w:id="739985859">
                      <w:marLeft w:val="0"/>
                      <w:marRight w:val="0"/>
                      <w:marTop w:val="0"/>
                      <w:marBottom w:val="0"/>
                      <w:divBdr>
                        <w:top w:val="none" w:sz="0" w:space="0" w:color="auto"/>
                        <w:left w:val="none" w:sz="0" w:space="0" w:color="auto"/>
                        <w:bottom w:val="none" w:sz="0" w:space="0" w:color="auto"/>
                        <w:right w:val="none" w:sz="0" w:space="0" w:color="auto"/>
                      </w:divBdr>
                    </w:div>
                  </w:divsChild>
                </w:div>
                <w:div w:id="1448693668">
                  <w:marLeft w:val="0"/>
                  <w:marRight w:val="0"/>
                  <w:marTop w:val="0"/>
                  <w:marBottom w:val="0"/>
                  <w:divBdr>
                    <w:top w:val="none" w:sz="0" w:space="0" w:color="auto"/>
                    <w:left w:val="none" w:sz="0" w:space="0" w:color="auto"/>
                    <w:bottom w:val="none" w:sz="0" w:space="0" w:color="auto"/>
                    <w:right w:val="none" w:sz="0" w:space="0" w:color="auto"/>
                  </w:divBdr>
                  <w:divsChild>
                    <w:div w:id="359353528">
                      <w:marLeft w:val="0"/>
                      <w:marRight w:val="0"/>
                      <w:marTop w:val="0"/>
                      <w:marBottom w:val="0"/>
                      <w:divBdr>
                        <w:top w:val="none" w:sz="0" w:space="0" w:color="auto"/>
                        <w:left w:val="none" w:sz="0" w:space="0" w:color="auto"/>
                        <w:bottom w:val="none" w:sz="0" w:space="0" w:color="auto"/>
                        <w:right w:val="none" w:sz="0" w:space="0" w:color="auto"/>
                      </w:divBdr>
                    </w:div>
                    <w:div w:id="1564216114">
                      <w:marLeft w:val="0"/>
                      <w:marRight w:val="0"/>
                      <w:marTop w:val="0"/>
                      <w:marBottom w:val="0"/>
                      <w:divBdr>
                        <w:top w:val="none" w:sz="0" w:space="0" w:color="auto"/>
                        <w:left w:val="none" w:sz="0" w:space="0" w:color="auto"/>
                        <w:bottom w:val="none" w:sz="0" w:space="0" w:color="auto"/>
                        <w:right w:val="none" w:sz="0" w:space="0" w:color="auto"/>
                      </w:divBdr>
                    </w:div>
                  </w:divsChild>
                </w:div>
                <w:div w:id="1490629716">
                  <w:marLeft w:val="0"/>
                  <w:marRight w:val="0"/>
                  <w:marTop w:val="0"/>
                  <w:marBottom w:val="0"/>
                  <w:divBdr>
                    <w:top w:val="none" w:sz="0" w:space="0" w:color="auto"/>
                    <w:left w:val="none" w:sz="0" w:space="0" w:color="auto"/>
                    <w:bottom w:val="none" w:sz="0" w:space="0" w:color="auto"/>
                    <w:right w:val="none" w:sz="0" w:space="0" w:color="auto"/>
                  </w:divBdr>
                  <w:divsChild>
                    <w:div w:id="139857299">
                      <w:marLeft w:val="0"/>
                      <w:marRight w:val="0"/>
                      <w:marTop w:val="0"/>
                      <w:marBottom w:val="0"/>
                      <w:divBdr>
                        <w:top w:val="none" w:sz="0" w:space="0" w:color="auto"/>
                        <w:left w:val="none" w:sz="0" w:space="0" w:color="auto"/>
                        <w:bottom w:val="none" w:sz="0" w:space="0" w:color="auto"/>
                        <w:right w:val="none" w:sz="0" w:space="0" w:color="auto"/>
                      </w:divBdr>
                    </w:div>
                    <w:div w:id="1073746988">
                      <w:marLeft w:val="0"/>
                      <w:marRight w:val="0"/>
                      <w:marTop w:val="0"/>
                      <w:marBottom w:val="0"/>
                      <w:divBdr>
                        <w:top w:val="none" w:sz="0" w:space="0" w:color="auto"/>
                        <w:left w:val="none" w:sz="0" w:space="0" w:color="auto"/>
                        <w:bottom w:val="none" w:sz="0" w:space="0" w:color="auto"/>
                        <w:right w:val="none" w:sz="0" w:space="0" w:color="auto"/>
                      </w:divBdr>
                    </w:div>
                  </w:divsChild>
                </w:div>
                <w:div w:id="1593128525">
                  <w:marLeft w:val="0"/>
                  <w:marRight w:val="0"/>
                  <w:marTop w:val="0"/>
                  <w:marBottom w:val="0"/>
                  <w:divBdr>
                    <w:top w:val="none" w:sz="0" w:space="0" w:color="auto"/>
                    <w:left w:val="none" w:sz="0" w:space="0" w:color="auto"/>
                    <w:bottom w:val="none" w:sz="0" w:space="0" w:color="auto"/>
                    <w:right w:val="none" w:sz="0" w:space="0" w:color="auto"/>
                  </w:divBdr>
                  <w:divsChild>
                    <w:div w:id="1357730988">
                      <w:marLeft w:val="0"/>
                      <w:marRight w:val="0"/>
                      <w:marTop w:val="0"/>
                      <w:marBottom w:val="0"/>
                      <w:divBdr>
                        <w:top w:val="none" w:sz="0" w:space="0" w:color="auto"/>
                        <w:left w:val="none" w:sz="0" w:space="0" w:color="auto"/>
                        <w:bottom w:val="none" w:sz="0" w:space="0" w:color="auto"/>
                        <w:right w:val="none" w:sz="0" w:space="0" w:color="auto"/>
                      </w:divBdr>
                    </w:div>
                  </w:divsChild>
                </w:div>
                <w:div w:id="1695109494">
                  <w:marLeft w:val="0"/>
                  <w:marRight w:val="0"/>
                  <w:marTop w:val="0"/>
                  <w:marBottom w:val="0"/>
                  <w:divBdr>
                    <w:top w:val="none" w:sz="0" w:space="0" w:color="auto"/>
                    <w:left w:val="none" w:sz="0" w:space="0" w:color="auto"/>
                    <w:bottom w:val="none" w:sz="0" w:space="0" w:color="auto"/>
                    <w:right w:val="none" w:sz="0" w:space="0" w:color="auto"/>
                  </w:divBdr>
                  <w:divsChild>
                    <w:div w:id="775828710">
                      <w:marLeft w:val="0"/>
                      <w:marRight w:val="0"/>
                      <w:marTop w:val="0"/>
                      <w:marBottom w:val="0"/>
                      <w:divBdr>
                        <w:top w:val="none" w:sz="0" w:space="0" w:color="auto"/>
                        <w:left w:val="none" w:sz="0" w:space="0" w:color="auto"/>
                        <w:bottom w:val="none" w:sz="0" w:space="0" w:color="auto"/>
                        <w:right w:val="none" w:sz="0" w:space="0" w:color="auto"/>
                      </w:divBdr>
                    </w:div>
                  </w:divsChild>
                </w:div>
                <w:div w:id="1841310221">
                  <w:marLeft w:val="0"/>
                  <w:marRight w:val="0"/>
                  <w:marTop w:val="0"/>
                  <w:marBottom w:val="0"/>
                  <w:divBdr>
                    <w:top w:val="none" w:sz="0" w:space="0" w:color="auto"/>
                    <w:left w:val="none" w:sz="0" w:space="0" w:color="auto"/>
                    <w:bottom w:val="none" w:sz="0" w:space="0" w:color="auto"/>
                    <w:right w:val="none" w:sz="0" w:space="0" w:color="auto"/>
                  </w:divBdr>
                  <w:divsChild>
                    <w:div w:id="1437409966">
                      <w:marLeft w:val="0"/>
                      <w:marRight w:val="0"/>
                      <w:marTop w:val="0"/>
                      <w:marBottom w:val="0"/>
                      <w:divBdr>
                        <w:top w:val="none" w:sz="0" w:space="0" w:color="auto"/>
                        <w:left w:val="none" w:sz="0" w:space="0" w:color="auto"/>
                        <w:bottom w:val="none" w:sz="0" w:space="0" w:color="auto"/>
                        <w:right w:val="none" w:sz="0" w:space="0" w:color="auto"/>
                      </w:divBdr>
                    </w:div>
                  </w:divsChild>
                </w:div>
                <w:div w:id="1908150265">
                  <w:marLeft w:val="0"/>
                  <w:marRight w:val="0"/>
                  <w:marTop w:val="0"/>
                  <w:marBottom w:val="0"/>
                  <w:divBdr>
                    <w:top w:val="none" w:sz="0" w:space="0" w:color="auto"/>
                    <w:left w:val="none" w:sz="0" w:space="0" w:color="auto"/>
                    <w:bottom w:val="none" w:sz="0" w:space="0" w:color="auto"/>
                    <w:right w:val="none" w:sz="0" w:space="0" w:color="auto"/>
                  </w:divBdr>
                  <w:divsChild>
                    <w:div w:id="1287741563">
                      <w:marLeft w:val="0"/>
                      <w:marRight w:val="0"/>
                      <w:marTop w:val="0"/>
                      <w:marBottom w:val="0"/>
                      <w:divBdr>
                        <w:top w:val="none" w:sz="0" w:space="0" w:color="auto"/>
                        <w:left w:val="none" w:sz="0" w:space="0" w:color="auto"/>
                        <w:bottom w:val="none" w:sz="0" w:space="0" w:color="auto"/>
                        <w:right w:val="none" w:sz="0" w:space="0" w:color="auto"/>
                      </w:divBdr>
                    </w:div>
                  </w:divsChild>
                </w:div>
                <w:div w:id="1942250980">
                  <w:marLeft w:val="0"/>
                  <w:marRight w:val="0"/>
                  <w:marTop w:val="0"/>
                  <w:marBottom w:val="0"/>
                  <w:divBdr>
                    <w:top w:val="none" w:sz="0" w:space="0" w:color="auto"/>
                    <w:left w:val="none" w:sz="0" w:space="0" w:color="auto"/>
                    <w:bottom w:val="none" w:sz="0" w:space="0" w:color="auto"/>
                    <w:right w:val="none" w:sz="0" w:space="0" w:color="auto"/>
                  </w:divBdr>
                  <w:divsChild>
                    <w:div w:id="1007905572">
                      <w:marLeft w:val="0"/>
                      <w:marRight w:val="0"/>
                      <w:marTop w:val="0"/>
                      <w:marBottom w:val="0"/>
                      <w:divBdr>
                        <w:top w:val="none" w:sz="0" w:space="0" w:color="auto"/>
                        <w:left w:val="none" w:sz="0" w:space="0" w:color="auto"/>
                        <w:bottom w:val="none" w:sz="0" w:space="0" w:color="auto"/>
                        <w:right w:val="none" w:sz="0" w:space="0" w:color="auto"/>
                      </w:divBdr>
                    </w:div>
                  </w:divsChild>
                </w:div>
                <w:div w:id="1981688210">
                  <w:marLeft w:val="0"/>
                  <w:marRight w:val="0"/>
                  <w:marTop w:val="0"/>
                  <w:marBottom w:val="0"/>
                  <w:divBdr>
                    <w:top w:val="none" w:sz="0" w:space="0" w:color="auto"/>
                    <w:left w:val="none" w:sz="0" w:space="0" w:color="auto"/>
                    <w:bottom w:val="none" w:sz="0" w:space="0" w:color="auto"/>
                    <w:right w:val="none" w:sz="0" w:space="0" w:color="auto"/>
                  </w:divBdr>
                  <w:divsChild>
                    <w:div w:id="936915">
                      <w:marLeft w:val="0"/>
                      <w:marRight w:val="0"/>
                      <w:marTop w:val="0"/>
                      <w:marBottom w:val="0"/>
                      <w:divBdr>
                        <w:top w:val="none" w:sz="0" w:space="0" w:color="auto"/>
                        <w:left w:val="none" w:sz="0" w:space="0" w:color="auto"/>
                        <w:bottom w:val="none" w:sz="0" w:space="0" w:color="auto"/>
                        <w:right w:val="none" w:sz="0" w:space="0" w:color="auto"/>
                      </w:divBdr>
                    </w:div>
                  </w:divsChild>
                </w:div>
                <w:div w:id="2142190183">
                  <w:marLeft w:val="0"/>
                  <w:marRight w:val="0"/>
                  <w:marTop w:val="0"/>
                  <w:marBottom w:val="0"/>
                  <w:divBdr>
                    <w:top w:val="none" w:sz="0" w:space="0" w:color="auto"/>
                    <w:left w:val="none" w:sz="0" w:space="0" w:color="auto"/>
                    <w:bottom w:val="none" w:sz="0" w:space="0" w:color="auto"/>
                    <w:right w:val="none" w:sz="0" w:space="0" w:color="auto"/>
                  </w:divBdr>
                  <w:divsChild>
                    <w:div w:id="10603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85325">
          <w:marLeft w:val="0"/>
          <w:marRight w:val="0"/>
          <w:marTop w:val="0"/>
          <w:marBottom w:val="0"/>
          <w:divBdr>
            <w:top w:val="none" w:sz="0" w:space="0" w:color="auto"/>
            <w:left w:val="none" w:sz="0" w:space="0" w:color="auto"/>
            <w:bottom w:val="none" w:sz="0" w:space="0" w:color="auto"/>
            <w:right w:val="none" w:sz="0" w:space="0" w:color="auto"/>
          </w:divBdr>
        </w:div>
        <w:div w:id="2051875590">
          <w:marLeft w:val="0"/>
          <w:marRight w:val="0"/>
          <w:marTop w:val="0"/>
          <w:marBottom w:val="0"/>
          <w:divBdr>
            <w:top w:val="none" w:sz="0" w:space="0" w:color="auto"/>
            <w:left w:val="none" w:sz="0" w:space="0" w:color="auto"/>
            <w:bottom w:val="none" w:sz="0" w:space="0" w:color="auto"/>
            <w:right w:val="none" w:sz="0" w:space="0" w:color="auto"/>
          </w:divBdr>
        </w:div>
        <w:div w:id="2052029556">
          <w:marLeft w:val="0"/>
          <w:marRight w:val="0"/>
          <w:marTop w:val="0"/>
          <w:marBottom w:val="0"/>
          <w:divBdr>
            <w:top w:val="none" w:sz="0" w:space="0" w:color="auto"/>
            <w:left w:val="none" w:sz="0" w:space="0" w:color="auto"/>
            <w:bottom w:val="none" w:sz="0" w:space="0" w:color="auto"/>
            <w:right w:val="none" w:sz="0" w:space="0" w:color="auto"/>
          </w:divBdr>
        </w:div>
        <w:div w:id="2060667369">
          <w:marLeft w:val="0"/>
          <w:marRight w:val="0"/>
          <w:marTop w:val="0"/>
          <w:marBottom w:val="0"/>
          <w:divBdr>
            <w:top w:val="none" w:sz="0" w:space="0" w:color="auto"/>
            <w:left w:val="none" w:sz="0" w:space="0" w:color="auto"/>
            <w:bottom w:val="none" w:sz="0" w:space="0" w:color="auto"/>
            <w:right w:val="none" w:sz="0" w:space="0" w:color="auto"/>
          </w:divBdr>
        </w:div>
        <w:div w:id="2062436842">
          <w:marLeft w:val="0"/>
          <w:marRight w:val="0"/>
          <w:marTop w:val="0"/>
          <w:marBottom w:val="0"/>
          <w:divBdr>
            <w:top w:val="none" w:sz="0" w:space="0" w:color="auto"/>
            <w:left w:val="none" w:sz="0" w:space="0" w:color="auto"/>
            <w:bottom w:val="none" w:sz="0" w:space="0" w:color="auto"/>
            <w:right w:val="none" w:sz="0" w:space="0" w:color="auto"/>
          </w:divBdr>
        </w:div>
        <w:div w:id="2063209891">
          <w:marLeft w:val="0"/>
          <w:marRight w:val="0"/>
          <w:marTop w:val="0"/>
          <w:marBottom w:val="0"/>
          <w:divBdr>
            <w:top w:val="none" w:sz="0" w:space="0" w:color="auto"/>
            <w:left w:val="none" w:sz="0" w:space="0" w:color="auto"/>
            <w:bottom w:val="none" w:sz="0" w:space="0" w:color="auto"/>
            <w:right w:val="none" w:sz="0" w:space="0" w:color="auto"/>
          </w:divBdr>
        </w:div>
        <w:div w:id="2064476133">
          <w:marLeft w:val="0"/>
          <w:marRight w:val="0"/>
          <w:marTop w:val="0"/>
          <w:marBottom w:val="0"/>
          <w:divBdr>
            <w:top w:val="none" w:sz="0" w:space="0" w:color="auto"/>
            <w:left w:val="none" w:sz="0" w:space="0" w:color="auto"/>
            <w:bottom w:val="none" w:sz="0" w:space="0" w:color="auto"/>
            <w:right w:val="none" w:sz="0" w:space="0" w:color="auto"/>
          </w:divBdr>
        </w:div>
        <w:div w:id="2065981649">
          <w:marLeft w:val="0"/>
          <w:marRight w:val="0"/>
          <w:marTop w:val="0"/>
          <w:marBottom w:val="0"/>
          <w:divBdr>
            <w:top w:val="none" w:sz="0" w:space="0" w:color="auto"/>
            <w:left w:val="none" w:sz="0" w:space="0" w:color="auto"/>
            <w:bottom w:val="none" w:sz="0" w:space="0" w:color="auto"/>
            <w:right w:val="none" w:sz="0" w:space="0" w:color="auto"/>
          </w:divBdr>
        </w:div>
        <w:div w:id="2066446947">
          <w:marLeft w:val="0"/>
          <w:marRight w:val="0"/>
          <w:marTop w:val="0"/>
          <w:marBottom w:val="0"/>
          <w:divBdr>
            <w:top w:val="none" w:sz="0" w:space="0" w:color="auto"/>
            <w:left w:val="none" w:sz="0" w:space="0" w:color="auto"/>
            <w:bottom w:val="none" w:sz="0" w:space="0" w:color="auto"/>
            <w:right w:val="none" w:sz="0" w:space="0" w:color="auto"/>
          </w:divBdr>
        </w:div>
        <w:div w:id="2066642918">
          <w:marLeft w:val="0"/>
          <w:marRight w:val="0"/>
          <w:marTop w:val="0"/>
          <w:marBottom w:val="0"/>
          <w:divBdr>
            <w:top w:val="none" w:sz="0" w:space="0" w:color="auto"/>
            <w:left w:val="none" w:sz="0" w:space="0" w:color="auto"/>
            <w:bottom w:val="none" w:sz="0" w:space="0" w:color="auto"/>
            <w:right w:val="none" w:sz="0" w:space="0" w:color="auto"/>
          </w:divBdr>
        </w:div>
        <w:div w:id="2066759906">
          <w:marLeft w:val="0"/>
          <w:marRight w:val="0"/>
          <w:marTop w:val="0"/>
          <w:marBottom w:val="0"/>
          <w:divBdr>
            <w:top w:val="none" w:sz="0" w:space="0" w:color="auto"/>
            <w:left w:val="none" w:sz="0" w:space="0" w:color="auto"/>
            <w:bottom w:val="none" w:sz="0" w:space="0" w:color="auto"/>
            <w:right w:val="none" w:sz="0" w:space="0" w:color="auto"/>
          </w:divBdr>
        </w:div>
        <w:div w:id="2068608334">
          <w:marLeft w:val="0"/>
          <w:marRight w:val="0"/>
          <w:marTop w:val="0"/>
          <w:marBottom w:val="0"/>
          <w:divBdr>
            <w:top w:val="none" w:sz="0" w:space="0" w:color="auto"/>
            <w:left w:val="none" w:sz="0" w:space="0" w:color="auto"/>
            <w:bottom w:val="none" w:sz="0" w:space="0" w:color="auto"/>
            <w:right w:val="none" w:sz="0" w:space="0" w:color="auto"/>
          </w:divBdr>
        </w:div>
        <w:div w:id="2069452013">
          <w:marLeft w:val="0"/>
          <w:marRight w:val="0"/>
          <w:marTop w:val="0"/>
          <w:marBottom w:val="0"/>
          <w:divBdr>
            <w:top w:val="none" w:sz="0" w:space="0" w:color="auto"/>
            <w:left w:val="none" w:sz="0" w:space="0" w:color="auto"/>
            <w:bottom w:val="none" w:sz="0" w:space="0" w:color="auto"/>
            <w:right w:val="none" w:sz="0" w:space="0" w:color="auto"/>
          </w:divBdr>
        </w:div>
        <w:div w:id="2069570185">
          <w:marLeft w:val="0"/>
          <w:marRight w:val="0"/>
          <w:marTop w:val="0"/>
          <w:marBottom w:val="0"/>
          <w:divBdr>
            <w:top w:val="none" w:sz="0" w:space="0" w:color="auto"/>
            <w:left w:val="none" w:sz="0" w:space="0" w:color="auto"/>
            <w:bottom w:val="none" w:sz="0" w:space="0" w:color="auto"/>
            <w:right w:val="none" w:sz="0" w:space="0" w:color="auto"/>
          </w:divBdr>
        </w:div>
        <w:div w:id="2070572719">
          <w:marLeft w:val="0"/>
          <w:marRight w:val="0"/>
          <w:marTop w:val="0"/>
          <w:marBottom w:val="0"/>
          <w:divBdr>
            <w:top w:val="none" w:sz="0" w:space="0" w:color="auto"/>
            <w:left w:val="none" w:sz="0" w:space="0" w:color="auto"/>
            <w:bottom w:val="none" w:sz="0" w:space="0" w:color="auto"/>
            <w:right w:val="none" w:sz="0" w:space="0" w:color="auto"/>
          </w:divBdr>
        </w:div>
        <w:div w:id="2071297014">
          <w:marLeft w:val="0"/>
          <w:marRight w:val="0"/>
          <w:marTop w:val="0"/>
          <w:marBottom w:val="0"/>
          <w:divBdr>
            <w:top w:val="none" w:sz="0" w:space="0" w:color="auto"/>
            <w:left w:val="none" w:sz="0" w:space="0" w:color="auto"/>
            <w:bottom w:val="none" w:sz="0" w:space="0" w:color="auto"/>
            <w:right w:val="none" w:sz="0" w:space="0" w:color="auto"/>
          </w:divBdr>
          <w:divsChild>
            <w:div w:id="23018144">
              <w:marLeft w:val="0"/>
              <w:marRight w:val="0"/>
              <w:marTop w:val="0"/>
              <w:marBottom w:val="0"/>
              <w:divBdr>
                <w:top w:val="none" w:sz="0" w:space="0" w:color="auto"/>
                <w:left w:val="none" w:sz="0" w:space="0" w:color="auto"/>
                <w:bottom w:val="none" w:sz="0" w:space="0" w:color="auto"/>
                <w:right w:val="none" w:sz="0" w:space="0" w:color="auto"/>
              </w:divBdr>
            </w:div>
            <w:div w:id="266427977">
              <w:marLeft w:val="0"/>
              <w:marRight w:val="0"/>
              <w:marTop w:val="0"/>
              <w:marBottom w:val="0"/>
              <w:divBdr>
                <w:top w:val="none" w:sz="0" w:space="0" w:color="auto"/>
                <w:left w:val="none" w:sz="0" w:space="0" w:color="auto"/>
                <w:bottom w:val="none" w:sz="0" w:space="0" w:color="auto"/>
                <w:right w:val="none" w:sz="0" w:space="0" w:color="auto"/>
              </w:divBdr>
            </w:div>
            <w:div w:id="371269098">
              <w:marLeft w:val="0"/>
              <w:marRight w:val="0"/>
              <w:marTop w:val="0"/>
              <w:marBottom w:val="0"/>
              <w:divBdr>
                <w:top w:val="none" w:sz="0" w:space="0" w:color="auto"/>
                <w:left w:val="none" w:sz="0" w:space="0" w:color="auto"/>
                <w:bottom w:val="none" w:sz="0" w:space="0" w:color="auto"/>
                <w:right w:val="none" w:sz="0" w:space="0" w:color="auto"/>
              </w:divBdr>
            </w:div>
            <w:div w:id="422192525">
              <w:marLeft w:val="0"/>
              <w:marRight w:val="0"/>
              <w:marTop w:val="0"/>
              <w:marBottom w:val="0"/>
              <w:divBdr>
                <w:top w:val="none" w:sz="0" w:space="0" w:color="auto"/>
                <w:left w:val="none" w:sz="0" w:space="0" w:color="auto"/>
                <w:bottom w:val="none" w:sz="0" w:space="0" w:color="auto"/>
                <w:right w:val="none" w:sz="0" w:space="0" w:color="auto"/>
              </w:divBdr>
            </w:div>
            <w:div w:id="515921750">
              <w:marLeft w:val="0"/>
              <w:marRight w:val="0"/>
              <w:marTop w:val="0"/>
              <w:marBottom w:val="0"/>
              <w:divBdr>
                <w:top w:val="none" w:sz="0" w:space="0" w:color="auto"/>
                <w:left w:val="none" w:sz="0" w:space="0" w:color="auto"/>
                <w:bottom w:val="none" w:sz="0" w:space="0" w:color="auto"/>
                <w:right w:val="none" w:sz="0" w:space="0" w:color="auto"/>
              </w:divBdr>
            </w:div>
            <w:div w:id="589853884">
              <w:marLeft w:val="0"/>
              <w:marRight w:val="0"/>
              <w:marTop w:val="0"/>
              <w:marBottom w:val="0"/>
              <w:divBdr>
                <w:top w:val="none" w:sz="0" w:space="0" w:color="auto"/>
                <w:left w:val="none" w:sz="0" w:space="0" w:color="auto"/>
                <w:bottom w:val="none" w:sz="0" w:space="0" w:color="auto"/>
                <w:right w:val="none" w:sz="0" w:space="0" w:color="auto"/>
              </w:divBdr>
            </w:div>
            <w:div w:id="774248332">
              <w:marLeft w:val="0"/>
              <w:marRight w:val="0"/>
              <w:marTop w:val="0"/>
              <w:marBottom w:val="0"/>
              <w:divBdr>
                <w:top w:val="none" w:sz="0" w:space="0" w:color="auto"/>
                <w:left w:val="none" w:sz="0" w:space="0" w:color="auto"/>
                <w:bottom w:val="none" w:sz="0" w:space="0" w:color="auto"/>
                <w:right w:val="none" w:sz="0" w:space="0" w:color="auto"/>
              </w:divBdr>
            </w:div>
            <w:div w:id="927688301">
              <w:marLeft w:val="0"/>
              <w:marRight w:val="0"/>
              <w:marTop w:val="0"/>
              <w:marBottom w:val="0"/>
              <w:divBdr>
                <w:top w:val="none" w:sz="0" w:space="0" w:color="auto"/>
                <w:left w:val="none" w:sz="0" w:space="0" w:color="auto"/>
                <w:bottom w:val="none" w:sz="0" w:space="0" w:color="auto"/>
                <w:right w:val="none" w:sz="0" w:space="0" w:color="auto"/>
              </w:divBdr>
            </w:div>
            <w:div w:id="1050112940">
              <w:marLeft w:val="0"/>
              <w:marRight w:val="0"/>
              <w:marTop w:val="0"/>
              <w:marBottom w:val="0"/>
              <w:divBdr>
                <w:top w:val="none" w:sz="0" w:space="0" w:color="auto"/>
                <w:left w:val="none" w:sz="0" w:space="0" w:color="auto"/>
                <w:bottom w:val="none" w:sz="0" w:space="0" w:color="auto"/>
                <w:right w:val="none" w:sz="0" w:space="0" w:color="auto"/>
              </w:divBdr>
            </w:div>
            <w:div w:id="1130126362">
              <w:marLeft w:val="0"/>
              <w:marRight w:val="0"/>
              <w:marTop w:val="0"/>
              <w:marBottom w:val="0"/>
              <w:divBdr>
                <w:top w:val="none" w:sz="0" w:space="0" w:color="auto"/>
                <w:left w:val="none" w:sz="0" w:space="0" w:color="auto"/>
                <w:bottom w:val="none" w:sz="0" w:space="0" w:color="auto"/>
                <w:right w:val="none" w:sz="0" w:space="0" w:color="auto"/>
              </w:divBdr>
            </w:div>
            <w:div w:id="1229918360">
              <w:marLeft w:val="0"/>
              <w:marRight w:val="0"/>
              <w:marTop w:val="0"/>
              <w:marBottom w:val="0"/>
              <w:divBdr>
                <w:top w:val="none" w:sz="0" w:space="0" w:color="auto"/>
                <w:left w:val="none" w:sz="0" w:space="0" w:color="auto"/>
                <w:bottom w:val="none" w:sz="0" w:space="0" w:color="auto"/>
                <w:right w:val="none" w:sz="0" w:space="0" w:color="auto"/>
              </w:divBdr>
            </w:div>
            <w:div w:id="1252204879">
              <w:marLeft w:val="0"/>
              <w:marRight w:val="0"/>
              <w:marTop w:val="0"/>
              <w:marBottom w:val="0"/>
              <w:divBdr>
                <w:top w:val="none" w:sz="0" w:space="0" w:color="auto"/>
                <w:left w:val="none" w:sz="0" w:space="0" w:color="auto"/>
                <w:bottom w:val="none" w:sz="0" w:space="0" w:color="auto"/>
                <w:right w:val="none" w:sz="0" w:space="0" w:color="auto"/>
              </w:divBdr>
            </w:div>
            <w:div w:id="1314414000">
              <w:marLeft w:val="0"/>
              <w:marRight w:val="0"/>
              <w:marTop w:val="0"/>
              <w:marBottom w:val="0"/>
              <w:divBdr>
                <w:top w:val="none" w:sz="0" w:space="0" w:color="auto"/>
                <w:left w:val="none" w:sz="0" w:space="0" w:color="auto"/>
                <w:bottom w:val="none" w:sz="0" w:space="0" w:color="auto"/>
                <w:right w:val="none" w:sz="0" w:space="0" w:color="auto"/>
              </w:divBdr>
            </w:div>
            <w:div w:id="1712605695">
              <w:marLeft w:val="0"/>
              <w:marRight w:val="0"/>
              <w:marTop w:val="0"/>
              <w:marBottom w:val="0"/>
              <w:divBdr>
                <w:top w:val="none" w:sz="0" w:space="0" w:color="auto"/>
                <w:left w:val="none" w:sz="0" w:space="0" w:color="auto"/>
                <w:bottom w:val="none" w:sz="0" w:space="0" w:color="auto"/>
                <w:right w:val="none" w:sz="0" w:space="0" w:color="auto"/>
              </w:divBdr>
            </w:div>
            <w:div w:id="1797942420">
              <w:marLeft w:val="0"/>
              <w:marRight w:val="0"/>
              <w:marTop w:val="0"/>
              <w:marBottom w:val="0"/>
              <w:divBdr>
                <w:top w:val="none" w:sz="0" w:space="0" w:color="auto"/>
                <w:left w:val="none" w:sz="0" w:space="0" w:color="auto"/>
                <w:bottom w:val="none" w:sz="0" w:space="0" w:color="auto"/>
                <w:right w:val="none" w:sz="0" w:space="0" w:color="auto"/>
              </w:divBdr>
            </w:div>
            <w:div w:id="1813978407">
              <w:marLeft w:val="0"/>
              <w:marRight w:val="0"/>
              <w:marTop w:val="0"/>
              <w:marBottom w:val="0"/>
              <w:divBdr>
                <w:top w:val="none" w:sz="0" w:space="0" w:color="auto"/>
                <w:left w:val="none" w:sz="0" w:space="0" w:color="auto"/>
                <w:bottom w:val="none" w:sz="0" w:space="0" w:color="auto"/>
                <w:right w:val="none" w:sz="0" w:space="0" w:color="auto"/>
              </w:divBdr>
            </w:div>
            <w:div w:id="1853641900">
              <w:marLeft w:val="0"/>
              <w:marRight w:val="0"/>
              <w:marTop w:val="0"/>
              <w:marBottom w:val="0"/>
              <w:divBdr>
                <w:top w:val="none" w:sz="0" w:space="0" w:color="auto"/>
                <w:left w:val="none" w:sz="0" w:space="0" w:color="auto"/>
                <w:bottom w:val="none" w:sz="0" w:space="0" w:color="auto"/>
                <w:right w:val="none" w:sz="0" w:space="0" w:color="auto"/>
              </w:divBdr>
            </w:div>
            <w:div w:id="1917400913">
              <w:marLeft w:val="0"/>
              <w:marRight w:val="0"/>
              <w:marTop w:val="0"/>
              <w:marBottom w:val="0"/>
              <w:divBdr>
                <w:top w:val="none" w:sz="0" w:space="0" w:color="auto"/>
                <w:left w:val="none" w:sz="0" w:space="0" w:color="auto"/>
                <w:bottom w:val="none" w:sz="0" w:space="0" w:color="auto"/>
                <w:right w:val="none" w:sz="0" w:space="0" w:color="auto"/>
              </w:divBdr>
            </w:div>
            <w:div w:id="1950038783">
              <w:marLeft w:val="0"/>
              <w:marRight w:val="0"/>
              <w:marTop w:val="0"/>
              <w:marBottom w:val="0"/>
              <w:divBdr>
                <w:top w:val="none" w:sz="0" w:space="0" w:color="auto"/>
                <w:left w:val="none" w:sz="0" w:space="0" w:color="auto"/>
                <w:bottom w:val="none" w:sz="0" w:space="0" w:color="auto"/>
                <w:right w:val="none" w:sz="0" w:space="0" w:color="auto"/>
              </w:divBdr>
            </w:div>
            <w:div w:id="2132479589">
              <w:marLeft w:val="0"/>
              <w:marRight w:val="0"/>
              <w:marTop w:val="0"/>
              <w:marBottom w:val="0"/>
              <w:divBdr>
                <w:top w:val="none" w:sz="0" w:space="0" w:color="auto"/>
                <w:left w:val="none" w:sz="0" w:space="0" w:color="auto"/>
                <w:bottom w:val="none" w:sz="0" w:space="0" w:color="auto"/>
                <w:right w:val="none" w:sz="0" w:space="0" w:color="auto"/>
              </w:divBdr>
            </w:div>
          </w:divsChild>
        </w:div>
        <w:div w:id="2071343949">
          <w:marLeft w:val="0"/>
          <w:marRight w:val="0"/>
          <w:marTop w:val="0"/>
          <w:marBottom w:val="0"/>
          <w:divBdr>
            <w:top w:val="none" w:sz="0" w:space="0" w:color="auto"/>
            <w:left w:val="none" w:sz="0" w:space="0" w:color="auto"/>
            <w:bottom w:val="none" w:sz="0" w:space="0" w:color="auto"/>
            <w:right w:val="none" w:sz="0" w:space="0" w:color="auto"/>
          </w:divBdr>
        </w:div>
        <w:div w:id="2071880695">
          <w:marLeft w:val="0"/>
          <w:marRight w:val="0"/>
          <w:marTop w:val="0"/>
          <w:marBottom w:val="0"/>
          <w:divBdr>
            <w:top w:val="none" w:sz="0" w:space="0" w:color="auto"/>
            <w:left w:val="none" w:sz="0" w:space="0" w:color="auto"/>
            <w:bottom w:val="none" w:sz="0" w:space="0" w:color="auto"/>
            <w:right w:val="none" w:sz="0" w:space="0" w:color="auto"/>
          </w:divBdr>
        </w:div>
        <w:div w:id="2072389540">
          <w:marLeft w:val="0"/>
          <w:marRight w:val="0"/>
          <w:marTop w:val="0"/>
          <w:marBottom w:val="0"/>
          <w:divBdr>
            <w:top w:val="none" w:sz="0" w:space="0" w:color="auto"/>
            <w:left w:val="none" w:sz="0" w:space="0" w:color="auto"/>
            <w:bottom w:val="none" w:sz="0" w:space="0" w:color="auto"/>
            <w:right w:val="none" w:sz="0" w:space="0" w:color="auto"/>
          </w:divBdr>
        </w:div>
        <w:div w:id="2072843277">
          <w:marLeft w:val="0"/>
          <w:marRight w:val="0"/>
          <w:marTop w:val="0"/>
          <w:marBottom w:val="0"/>
          <w:divBdr>
            <w:top w:val="none" w:sz="0" w:space="0" w:color="auto"/>
            <w:left w:val="none" w:sz="0" w:space="0" w:color="auto"/>
            <w:bottom w:val="none" w:sz="0" w:space="0" w:color="auto"/>
            <w:right w:val="none" w:sz="0" w:space="0" w:color="auto"/>
          </w:divBdr>
        </w:div>
        <w:div w:id="2073961977">
          <w:marLeft w:val="0"/>
          <w:marRight w:val="0"/>
          <w:marTop w:val="0"/>
          <w:marBottom w:val="0"/>
          <w:divBdr>
            <w:top w:val="none" w:sz="0" w:space="0" w:color="auto"/>
            <w:left w:val="none" w:sz="0" w:space="0" w:color="auto"/>
            <w:bottom w:val="none" w:sz="0" w:space="0" w:color="auto"/>
            <w:right w:val="none" w:sz="0" w:space="0" w:color="auto"/>
          </w:divBdr>
        </w:div>
        <w:div w:id="2077825102">
          <w:marLeft w:val="0"/>
          <w:marRight w:val="0"/>
          <w:marTop w:val="0"/>
          <w:marBottom w:val="0"/>
          <w:divBdr>
            <w:top w:val="none" w:sz="0" w:space="0" w:color="auto"/>
            <w:left w:val="none" w:sz="0" w:space="0" w:color="auto"/>
            <w:bottom w:val="none" w:sz="0" w:space="0" w:color="auto"/>
            <w:right w:val="none" w:sz="0" w:space="0" w:color="auto"/>
          </w:divBdr>
        </w:div>
        <w:div w:id="2077849749">
          <w:marLeft w:val="0"/>
          <w:marRight w:val="0"/>
          <w:marTop w:val="0"/>
          <w:marBottom w:val="0"/>
          <w:divBdr>
            <w:top w:val="none" w:sz="0" w:space="0" w:color="auto"/>
            <w:left w:val="none" w:sz="0" w:space="0" w:color="auto"/>
            <w:bottom w:val="none" w:sz="0" w:space="0" w:color="auto"/>
            <w:right w:val="none" w:sz="0" w:space="0" w:color="auto"/>
          </w:divBdr>
        </w:div>
        <w:div w:id="2081051928">
          <w:marLeft w:val="0"/>
          <w:marRight w:val="0"/>
          <w:marTop w:val="0"/>
          <w:marBottom w:val="0"/>
          <w:divBdr>
            <w:top w:val="none" w:sz="0" w:space="0" w:color="auto"/>
            <w:left w:val="none" w:sz="0" w:space="0" w:color="auto"/>
            <w:bottom w:val="none" w:sz="0" w:space="0" w:color="auto"/>
            <w:right w:val="none" w:sz="0" w:space="0" w:color="auto"/>
          </w:divBdr>
        </w:div>
        <w:div w:id="2081513541">
          <w:marLeft w:val="0"/>
          <w:marRight w:val="0"/>
          <w:marTop w:val="0"/>
          <w:marBottom w:val="0"/>
          <w:divBdr>
            <w:top w:val="none" w:sz="0" w:space="0" w:color="auto"/>
            <w:left w:val="none" w:sz="0" w:space="0" w:color="auto"/>
            <w:bottom w:val="none" w:sz="0" w:space="0" w:color="auto"/>
            <w:right w:val="none" w:sz="0" w:space="0" w:color="auto"/>
          </w:divBdr>
        </w:div>
        <w:div w:id="2082486706">
          <w:marLeft w:val="0"/>
          <w:marRight w:val="0"/>
          <w:marTop w:val="0"/>
          <w:marBottom w:val="0"/>
          <w:divBdr>
            <w:top w:val="none" w:sz="0" w:space="0" w:color="auto"/>
            <w:left w:val="none" w:sz="0" w:space="0" w:color="auto"/>
            <w:bottom w:val="none" w:sz="0" w:space="0" w:color="auto"/>
            <w:right w:val="none" w:sz="0" w:space="0" w:color="auto"/>
          </w:divBdr>
          <w:divsChild>
            <w:div w:id="65616920">
              <w:marLeft w:val="0"/>
              <w:marRight w:val="0"/>
              <w:marTop w:val="0"/>
              <w:marBottom w:val="0"/>
              <w:divBdr>
                <w:top w:val="none" w:sz="0" w:space="0" w:color="auto"/>
                <w:left w:val="none" w:sz="0" w:space="0" w:color="auto"/>
                <w:bottom w:val="none" w:sz="0" w:space="0" w:color="auto"/>
                <w:right w:val="none" w:sz="0" w:space="0" w:color="auto"/>
              </w:divBdr>
            </w:div>
            <w:div w:id="183523098">
              <w:marLeft w:val="0"/>
              <w:marRight w:val="0"/>
              <w:marTop w:val="0"/>
              <w:marBottom w:val="0"/>
              <w:divBdr>
                <w:top w:val="none" w:sz="0" w:space="0" w:color="auto"/>
                <w:left w:val="none" w:sz="0" w:space="0" w:color="auto"/>
                <w:bottom w:val="none" w:sz="0" w:space="0" w:color="auto"/>
                <w:right w:val="none" w:sz="0" w:space="0" w:color="auto"/>
              </w:divBdr>
            </w:div>
            <w:div w:id="279075920">
              <w:marLeft w:val="0"/>
              <w:marRight w:val="0"/>
              <w:marTop w:val="0"/>
              <w:marBottom w:val="0"/>
              <w:divBdr>
                <w:top w:val="none" w:sz="0" w:space="0" w:color="auto"/>
                <w:left w:val="none" w:sz="0" w:space="0" w:color="auto"/>
                <w:bottom w:val="none" w:sz="0" w:space="0" w:color="auto"/>
                <w:right w:val="none" w:sz="0" w:space="0" w:color="auto"/>
              </w:divBdr>
            </w:div>
            <w:div w:id="414402061">
              <w:marLeft w:val="0"/>
              <w:marRight w:val="0"/>
              <w:marTop w:val="0"/>
              <w:marBottom w:val="0"/>
              <w:divBdr>
                <w:top w:val="none" w:sz="0" w:space="0" w:color="auto"/>
                <w:left w:val="none" w:sz="0" w:space="0" w:color="auto"/>
                <w:bottom w:val="none" w:sz="0" w:space="0" w:color="auto"/>
                <w:right w:val="none" w:sz="0" w:space="0" w:color="auto"/>
              </w:divBdr>
            </w:div>
            <w:div w:id="449055842">
              <w:marLeft w:val="0"/>
              <w:marRight w:val="0"/>
              <w:marTop w:val="0"/>
              <w:marBottom w:val="0"/>
              <w:divBdr>
                <w:top w:val="none" w:sz="0" w:space="0" w:color="auto"/>
                <w:left w:val="none" w:sz="0" w:space="0" w:color="auto"/>
                <w:bottom w:val="none" w:sz="0" w:space="0" w:color="auto"/>
                <w:right w:val="none" w:sz="0" w:space="0" w:color="auto"/>
              </w:divBdr>
            </w:div>
            <w:div w:id="603608129">
              <w:marLeft w:val="0"/>
              <w:marRight w:val="0"/>
              <w:marTop w:val="0"/>
              <w:marBottom w:val="0"/>
              <w:divBdr>
                <w:top w:val="none" w:sz="0" w:space="0" w:color="auto"/>
                <w:left w:val="none" w:sz="0" w:space="0" w:color="auto"/>
                <w:bottom w:val="none" w:sz="0" w:space="0" w:color="auto"/>
                <w:right w:val="none" w:sz="0" w:space="0" w:color="auto"/>
              </w:divBdr>
            </w:div>
            <w:div w:id="850919565">
              <w:marLeft w:val="0"/>
              <w:marRight w:val="0"/>
              <w:marTop w:val="0"/>
              <w:marBottom w:val="0"/>
              <w:divBdr>
                <w:top w:val="none" w:sz="0" w:space="0" w:color="auto"/>
                <w:left w:val="none" w:sz="0" w:space="0" w:color="auto"/>
                <w:bottom w:val="none" w:sz="0" w:space="0" w:color="auto"/>
                <w:right w:val="none" w:sz="0" w:space="0" w:color="auto"/>
              </w:divBdr>
            </w:div>
            <w:div w:id="1047416241">
              <w:marLeft w:val="0"/>
              <w:marRight w:val="0"/>
              <w:marTop w:val="0"/>
              <w:marBottom w:val="0"/>
              <w:divBdr>
                <w:top w:val="none" w:sz="0" w:space="0" w:color="auto"/>
                <w:left w:val="none" w:sz="0" w:space="0" w:color="auto"/>
                <w:bottom w:val="none" w:sz="0" w:space="0" w:color="auto"/>
                <w:right w:val="none" w:sz="0" w:space="0" w:color="auto"/>
              </w:divBdr>
            </w:div>
            <w:div w:id="1314480239">
              <w:marLeft w:val="0"/>
              <w:marRight w:val="0"/>
              <w:marTop w:val="0"/>
              <w:marBottom w:val="0"/>
              <w:divBdr>
                <w:top w:val="none" w:sz="0" w:space="0" w:color="auto"/>
                <w:left w:val="none" w:sz="0" w:space="0" w:color="auto"/>
                <w:bottom w:val="none" w:sz="0" w:space="0" w:color="auto"/>
                <w:right w:val="none" w:sz="0" w:space="0" w:color="auto"/>
              </w:divBdr>
            </w:div>
            <w:div w:id="1462843416">
              <w:marLeft w:val="0"/>
              <w:marRight w:val="0"/>
              <w:marTop w:val="0"/>
              <w:marBottom w:val="0"/>
              <w:divBdr>
                <w:top w:val="none" w:sz="0" w:space="0" w:color="auto"/>
                <w:left w:val="none" w:sz="0" w:space="0" w:color="auto"/>
                <w:bottom w:val="none" w:sz="0" w:space="0" w:color="auto"/>
                <w:right w:val="none" w:sz="0" w:space="0" w:color="auto"/>
              </w:divBdr>
            </w:div>
            <w:div w:id="1531648590">
              <w:marLeft w:val="0"/>
              <w:marRight w:val="0"/>
              <w:marTop w:val="0"/>
              <w:marBottom w:val="0"/>
              <w:divBdr>
                <w:top w:val="none" w:sz="0" w:space="0" w:color="auto"/>
                <w:left w:val="none" w:sz="0" w:space="0" w:color="auto"/>
                <w:bottom w:val="none" w:sz="0" w:space="0" w:color="auto"/>
                <w:right w:val="none" w:sz="0" w:space="0" w:color="auto"/>
              </w:divBdr>
            </w:div>
            <w:div w:id="1626038340">
              <w:marLeft w:val="0"/>
              <w:marRight w:val="0"/>
              <w:marTop w:val="0"/>
              <w:marBottom w:val="0"/>
              <w:divBdr>
                <w:top w:val="none" w:sz="0" w:space="0" w:color="auto"/>
                <w:left w:val="none" w:sz="0" w:space="0" w:color="auto"/>
                <w:bottom w:val="none" w:sz="0" w:space="0" w:color="auto"/>
                <w:right w:val="none" w:sz="0" w:space="0" w:color="auto"/>
              </w:divBdr>
            </w:div>
            <w:div w:id="1704015738">
              <w:marLeft w:val="0"/>
              <w:marRight w:val="0"/>
              <w:marTop w:val="0"/>
              <w:marBottom w:val="0"/>
              <w:divBdr>
                <w:top w:val="none" w:sz="0" w:space="0" w:color="auto"/>
                <w:left w:val="none" w:sz="0" w:space="0" w:color="auto"/>
                <w:bottom w:val="none" w:sz="0" w:space="0" w:color="auto"/>
                <w:right w:val="none" w:sz="0" w:space="0" w:color="auto"/>
              </w:divBdr>
            </w:div>
            <w:div w:id="1975329928">
              <w:marLeft w:val="0"/>
              <w:marRight w:val="0"/>
              <w:marTop w:val="0"/>
              <w:marBottom w:val="0"/>
              <w:divBdr>
                <w:top w:val="none" w:sz="0" w:space="0" w:color="auto"/>
                <w:left w:val="none" w:sz="0" w:space="0" w:color="auto"/>
                <w:bottom w:val="none" w:sz="0" w:space="0" w:color="auto"/>
                <w:right w:val="none" w:sz="0" w:space="0" w:color="auto"/>
              </w:divBdr>
            </w:div>
            <w:div w:id="2024546720">
              <w:marLeft w:val="0"/>
              <w:marRight w:val="0"/>
              <w:marTop w:val="0"/>
              <w:marBottom w:val="0"/>
              <w:divBdr>
                <w:top w:val="none" w:sz="0" w:space="0" w:color="auto"/>
                <w:left w:val="none" w:sz="0" w:space="0" w:color="auto"/>
                <w:bottom w:val="none" w:sz="0" w:space="0" w:color="auto"/>
                <w:right w:val="none" w:sz="0" w:space="0" w:color="auto"/>
              </w:divBdr>
            </w:div>
            <w:div w:id="2062824227">
              <w:marLeft w:val="0"/>
              <w:marRight w:val="0"/>
              <w:marTop w:val="0"/>
              <w:marBottom w:val="0"/>
              <w:divBdr>
                <w:top w:val="none" w:sz="0" w:space="0" w:color="auto"/>
                <w:left w:val="none" w:sz="0" w:space="0" w:color="auto"/>
                <w:bottom w:val="none" w:sz="0" w:space="0" w:color="auto"/>
                <w:right w:val="none" w:sz="0" w:space="0" w:color="auto"/>
              </w:divBdr>
            </w:div>
          </w:divsChild>
        </w:div>
        <w:div w:id="2085490903">
          <w:marLeft w:val="0"/>
          <w:marRight w:val="0"/>
          <w:marTop w:val="0"/>
          <w:marBottom w:val="0"/>
          <w:divBdr>
            <w:top w:val="none" w:sz="0" w:space="0" w:color="auto"/>
            <w:left w:val="none" w:sz="0" w:space="0" w:color="auto"/>
            <w:bottom w:val="none" w:sz="0" w:space="0" w:color="auto"/>
            <w:right w:val="none" w:sz="0" w:space="0" w:color="auto"/>
          </w:divBdr>
        </w:div>
        <w:div w:id="2089576109">
          <w:marLeft w:val="0"/>
          <w:marRight w:val="0"/>
          <w:marTop w:val="0"/>
          <w:marBottom w:val="0"/>
          <w:divBdr>
            <w:top w:val="none" w:sz="0" w:space="0" w:color="auto"/>
            <w:left w:val="none" w:sz="0" w:space="0" w:color="auto"/>
            <w:bottom w:val="none" w:sz="0" w:space="0" w:color="auto"/>
            <w:right w:val="none" w:sz="0" w:space="0" w:color="auto"/>
          </w:divBdr>
        </w:div>
        <w:div w:id="2091542777">
          <w:marLeft w:val="0"/>
          <w:marRight w:val="0"/>
          <w:marTop w:val="0"/>
          <w:marBottom w:val="0"/>
          <w:divBdr>
            <w:top w:val="none" w:sz="0" w:space="0" w:color="auto"/>
            <w:left w:val="none" w:sz="0" w:space="0" w:color="auto"/>
            <w:bottom w:val="none" w:sz="0" w:space="0" w:color="auto"/>
            <w:right w:val="none" w:sz="0" w:space="0" w:color="auto"/>
          </w:divBdr>
        </w:div>
        <w:div w:id="2095206542">
          <w:marLeft w:val="0"/>
          <w:marRight w:val="0"/>
          <w:marTop w:val="0"/>
          <w:marBottom w:val="0"/>
          <w:divBdr>
            <w:top w:val="none" w:sz="0" w:space="0" w:color="auto"/>
            <w:left w:val="none" w:sz="0" w:space="0" w:color="auto"/>
            <w:bottom w:val="none" w:sz="0" w:space="0" w:color="auto"/>
            <w:right w:val="none" w:sz="0" w:space="0" w:color="auto"/>
          </w:divBdr>
        </w:div>
        <w:div w:id="2095277784">
          <w:marLeft w:val="0"/>
          <w:marRight w:val="0"/>
          <w:marTop w:val="0"/>
          <w:marBottom w:val="0"/>
          <w:divBdr>
            <w:top w:val="none" w:sz="0" w:space="0" w:color="auto"/>
            <w:left w:val="none" w:sz="0" w:space="0" w:color="auto"/>
            <w:bottom w:val="none" w:sz="0" w:space="0" w:color="auto"/>
            <w:right w:val="none" w:sz="0" w:space="0" w:color="auto"/>
          </w:divBdr>
        </w:div>
        <w:div w:id="2097705736">
          <w:marLeft w:val="0"/>
          <w:marRight w:val="0"/>
          <w:marTop w:val="0"/>
          <w:marBottom w:val="0"/>
          <w:divBdr>
            <w:top w:val="none" w:sz="0" w:space="0" w:color="auto"/>
            <w:left w:val="none" w:sz="0" w:space="0" w:color="auto"/>
            <w:bottom w:val="none" w:sz="0" w:space="0" w:color="auto"/>
            <w:right w:val="none" w:sz="0" w:space="0" w:color="auto"/>
          </w:divBdr>
          <w:divsChild>
            <w:div w:id="642387532">
              <w:marLeft w:val="-75"/>
              <w:marRight w:val="0"/>
              <w:marTop w:val="30"/>
              <w:marBottom w:val="30"/>
              <w:divBdr>
                <w:top w:val="none" w:sz="0" w:space="0" w:color="auto"/>
                <w:left w:val="none" w:sz="0" w:space="0" w:color="auto"/>
                <w:bottom w:val="none" w:sz="0" w:space="0" w:color="auto"/>
                <w:right w:val="none" w:sz="0" w:space="0" w:color="auto"/>
              </w:divBdr>
              <w:divsChild>
                <w:div w:id="470366418">
                  <w:marLeft w:val="0"/>
                  <w:marRight w:val="0"/>
                  <w:marTop w:val="0"/>
                  <w:marBottom w:val="0"/>
                  <w:divBdr>
                    <w:top w:val="none" w:sz="0" w:space="0" w:color="auto"/>
                    <w:left w:val="none" w:sz="0" w:space="0" w:color="auto"/>
                    <w:bottom w:val="none" w:sz="0" w:space="0" w:color="auto"/>
                    <w:right w:val="none" w:sz="0" w:space="0" w:color="auto"/>
                  </w:divBdr>
                  <w:divsChild>
                    <w:div w:id="209073354">
                      <w:marLeft w:val="0"/>
                      <w:marRight w:val="0"/>
                      <w:marTop w:val="0"/>
                      <w:marBottom w:val="0"/>
                      <w:divBdr>
                        <w:top w:val="none" w:sz="0" w:space="0" w:color="auto"/>
                        <w:left w:val="none" w:sz="0" w:space="0" w:color="auto"/>
                        <w:bottom w:val="none" w:sz="0" w:space="0" w:color="auto"/>
                        <w:right w:val="none" w:sz="0" w:space="0" w:color="auto"/>
                      </w:divBdr>
                    </w:div>
                    <w:div w:id="1208567296">
                      <w:marLeft w:val="0"/>
                      <w:marRight w:val="0"/>
                      <w:marTop w:val="0"/>
                      <w:marBottom w:val="0"/>
                      <w:divBdr>
                        <w:top w:val="none" w:sz="0" w:space="0" w:color="auto"/>
                        <w:left w:val="none" w:sz="0" w:space="0" w:color="auto"/>
                        <w:bottom w:val="none" w:sz="0" w:space="0" w:color="auto"/>
                        <w:right w:val="none" w:sz="0" w:space="0" w:color="auto"/>
                      </w:divBdr>
                    </w:div>
                  </w:divsChild>
                </w:div>
                <w:div w:id="558521395">
                  <w:marLeft w:val="0"/>
                  <w:marRight w:val="0"/>
                  <w:marTop w:val="0"/>
                  <w:marBottom w:val="0"/>
                  <w:divBdr>
                    <w:top w:val="none" w:sz="0" w:space="0" w:color="auto"/>
                    <w:left w:val="none" w:sz="0" w:space="0" w:color="auto"/>
                    <w:bottom w:val="none" w:sz="0" w:space="0" w:color="auto"/>
                    <w:right w:val="none" w:sz="0" w:space="0" w:color="auto"/>
                  </w:divBdr>
                  <w:divsChild>
                    <w:div w:id="969096861">
                      <w:marLeft w:val="0"/>
                      <w:marRight w:val="0"/>
                      <w:marTop w:val="0"/>
                      <w:marBottom w:val="0"/>
                      <w:divBdr>
                        <w:top w:val="none" w:sz="0" w:space="0" w:color="auto"/>
                        <w:left w:val="none" w:sz="0" w:space="0" w:color="auto"/>
                        <w:bottom w:val="none" w:sz="0" w:space="0" w:color="auto"/>
                        <w:right w:val="none" w:sz="0" w:space="0" w:color="auto"/>
                      </w:divBdr>
                    </w:div>
                    <w:div w:id="1831941515">
                      <w:marLeft w:val="0"/>
                      <w:marRight w:val="0"/>
                      <w:marTop w:val="0"/>
                      <w:marBottom w:val="0"/>
                      <w:divBdr>
                        <w:top w:val="none" w:sz="0" w:space="0" w:color="auto"/>
                        <w:left w:val="none" w:sz="0" w:space="0" w:color="auto"/>
                        <w:bottom w:val="none" w:sz="0" w:space="0" w:color="auto"/>
                        <w:right w:val="none" w:sz="0" w:space="0" w:color="auto"/>
                      </w:divBdr>
                    </w:div>
                  </w:divsChild>
                </w:div>
                <w:div w:id="679350834">
                  <w:marLeft w:val="0"/>
                  <w:marRight w:val="0"/>
                  <w:marTop w:val="0"/>
                  <w:marBottom w:val="0"/>
                  <w:divBdr>
                    <w:top w:val="none" w:sz="0" w:space="0" w:color="auto"/>
                    <w:left w:val="none" w:sz="0" w:space="0" w:color="auto"/>
                    <w:bottom w:val="none" w:sz="0" w:space="0" w:color="auto"/>
                    <w:right w:val="none" w:sz="0" w:space="0" w:color="auto"/>
                  </w:divBdr>
                  <w:divsChild>
                    <w:div w:id="709453469">
                      <w:marLeft w:val="0"/>
                      <w:marRight w:val="0"/>
                      <w:marTop w:val="0"/>
                      <w:marBottom w:val="0"/>
                      <w:divBdr>
                        <w:top w:val="none" w:sz="0" w:space="0" w:color="auto"/>
                        <w:left w:val="none" w:sz="0" w:space="0" w:color="auto"/>
                        <w:bottom w:val="none" w:sz="0" w:space="0" w:color="auto"/>
                        <w:right w:val="none" w:sz="0" w:space="0" w:color="auto"/>
                      </w:divBdr>
                    </w:div>
                  </w:divsChild>
                </w:div>
                <w:div w:id="790441692">
                  <w:marLeft w:val="0"/>
                  <w:marRight w:val="0"/>
                  <w:marTop w:val="0"/>
                  <w:marBottom w:val="0"/>
                  <w:divBdr>
                    <w:top w:val="none" w:sz="0" w:space="0" w:color="auto"/>
                    <w:left w:val="none" w:sz="0" w:space="0" w:color="auto"/>
                    <w:bottom w:val="none" w:sz="0" w:space="0" w:color="auto"/>
                    <w:right w:val="none" w:sz="0" w:space="0" w:color="auto"/>
                  </w:divBdr>
                  <w:divsChild>
                    <w:div w:id="1763447727">
                      <w:marLeft w:val="0"/>
                      <w:marRight w:val="0"/>
                      <w:marTop w:val="0"/>
                      <w:marBottom w:val="0"/>
                      <w:divBdr>
                        <w:top w:val="none" w:sz="0" w:space="0" w:color="auto"/>
                        <w:left w:val="none" w:sz="0" w:space="0" w:color="auto"/>
                        <w:bottom w:val="none" w:sz="0" w:space="0" w:color="auto"/>
                        <w:right w:val="none" w:sz="0" w:space="0" w:color="auto"/>
                      </w:divBdr>
                    </w:div>
                  </w:divsChild>
                </w:div>
                <w:div w:id="945845546">
                  <w:marLeft w:val="0"/>
                  <w:marRight w:val="0"/>
                  <w:marTop w:val="0"/>
                  <w:marBottom w:val="0"/>
                  <w:divBdr>
                    <w:top w:val="none" w:sz="0" w:space="0" w:color="auto"/>
                    <w:left w:val="none" w:sz="0" w:space="0" w:color="auto"/>
                    <w:bottom w:val="none" w:sz="0" w:space="0" w:color="auto"/>
                    <w:right w:val="none" w:sz="0" w:space="0" w:color="auto"/>
                  </w:divBdr>
                  <w:divsChild>
                    <w:div w:id="73670189">
                      <w:marLeft w:val="0"/>
                      <w:marRight w:val="0"/>
                      <w:marTop w:val="0"/>
                      <w:marBottom w:val="0"/>
                      <w:divBdr>
                        <w:top w:val="none" w:sz="0" w:space="0" w:color="auto"/>
                        <w:left w:val="none" w:sz="0" w:space="0" w:color="auto"/>
                        <w:bottom w:val="none" w:sz="0" w:space="0" w:color="auto"/>
                        <w:right w:val="none" w:sz="0" w:space="0" w:color="auto"/>
                      </w:divBdr>
                    </w:div>
                    <w:div w:id="532960719">
                      <w:marLeft w:val="0"/>
                      <w:marRight w:val="0"/>
                      <w:marTop w:val="0"/>
                      <w:marBottom w:val="0"/>
                      <w:divBdr>
                        <w:top w:val="none" w:sz="0" w:space="0" w:color="auto"/>
                        <w:left w:val="none" w:sz="0" w:space="0" w:color="auto"/>
                        <w:bottom w:val="none" w:sz="0" w:space="0" w:color="auto"/>
                        <w:right w:val="none" w:sz="0" w:space="0" w:color="auto"/>
                      </w:divBdr>
                    </w:div>
                  </w:divsChild>
                </w:div>
                <w:div w:id="1040938359">
                  <w:marLeft w:val="0"/>
                  <w:marRight w:val="0"/>
                  <w:marTop w:val="0"/>
                  <w:marBottom w:val="0"/>
                  <w:divBdr>
                    <w:top w:val="none" w:sz="0" w:space="0" w:color="auto"/>
                    <w:left w:val="none" w:sz="0" w:space="0" w:color="auto"/>
                    <w:bottom w:val="none" w:sz="0" w:space="0" w:color="auto"/>
                    <w:right w:val="none" w:sz="0" w:space="0" w:color="auto"/>
                  </w:divBdr>
                  <w:divsChild>
                    <w:div w:id="613249580">
                      <w:marLeft w:val="0"/>
                      <w:marRight w:val="0"/>
                      <w:marTop w:val="0"/>
                      <w:marBottom w:val="0"/>
                      <w:divBdr>
                        <w:top w:val="none" w:sz="0" w:space="0" w:color="auto"/>
                        <w:left w:val="none" w:sz="0" w:space="0" w:color="auto"/>
                        <w:bottom w:val="none" w:sz="0" w:space="0" w:color="auto"/>
                        <w:right w:val="none" w:sz="0" w:space="0" w:color="auto"/>
                      </w:divBdr>
                    </w:div>
                    <w:div w:id="762074536">
                      <w:marLeft w:val="0"/>
                      <w:marRight w:val="0"/>
                      <w:marTop w:val="0"/>
                      <w:marBottom w:val="0"/>
                      <w:divBdr>
                        <w:top w:val="none" w:sz="0" w:space="0" w:color="auto"/>
                        <w:left w:val="none" w:sz="0" w:space="0" w:color="auto"/>
                        <w:bottom w:val="none" w:sz="0" w:space="0" w:color="auto"/>
                        <w:right w:val="none" w:sz="0" w:space="0" w:color="auto"/>
                      </w:divBdr>
                    </w:div>
                  </w:divsChild>
                </w:div>
                <w:div w:id="1290549056">
                  <w:marLeft w:val="0"/>
                  <w:marRight w:val="0"/>
                  <w:marTop w:val="0"/>
                  <w:marBottom w:val="0"/>
                  <w:divBdr>
                    <w:top w:val="none" w:sz="0" w:space="0" w:color="auto"/>
                    <w:left w:val="none" w:sz="0" w:space="0" w:color="auto"/>
                    <w:bottom w:val="none" w:sz="0" w:space="0" w:color="auto"/>
                    <w:right w:val="none" w:sz="0" w:space="0" w:color="auto"/>
                  </w:divBdr>
                  <w:divsChild>
                    <w:div w:id="379401298">
                      <w:marLeft w:val="0"/>
                      <w:marRight w:val="0"/>
                      <w:marTop w:val="0"/>
                      <w:marBottom w:val="0"/>
                      <w:divBdr>
                        <w:top w:val="none" w:sz="0" w:space="0" w:color="auto"/>
                        <w:left w:val="none" w:sz="0" w:space="0" w:color="auto"/>
                        <w:bottom w:val="none" w:sz="0" w:space="0" w:color="auto"/>
                        <w:right w:val="none" w:sz="0" w:space="0" w:color="auto"/>
                      </w:divBdr>
                    </w:div>
                    <w:div w:id="607661977">
                      <w:marLeft w:val="0"/>
                      <w:marRight w:val="0"/>
                      <w:marTop w:val="0"/>
                      <w:marBottom w:val="0"/>
                      <w:divBdr>
                        <w:top w:val="none" w:sz="0" w:space="0" w:color="auto"/>
                        <w:left w:val="none" w:sz="0" w:space="0" w:color="auto"/>
                        <w:bottom w:val="none" w:sz="0" w:space="0" w:color="auto"/>
                        <w:right w:val="none" w:sz="0" w:space="0" w:color="auto"/>
                      </w:divBdr>
                    </w:div>
                  </w:divsChild>
                </w:div>
                <w:div w:id="1439253176">
                  <w:marLeft w:val="0"/>
                  <w:marRight w:val="0"/>
                  <w:marTop w:val="0"/>
                  <w:marBottom w:val="0"/>
                  <w:divBdr>
                    <w:top w:val="none" w:sz="0" w:space="0" w:color="auto"/>
                    <w:left w:val="none" w:sz="0" w:space="0" w:color="auto"/>
                    <w:bottom w:val="none" w:sz="0" w:space="0" w:color="auto"/>
                    <w:right w:val="none" w:sz="0" w:space="0" w:color="auto"/>
                  </w:divBdr>
                  <w:divsChild>
                    <w:div w:id="832451366">
                      <w:marLeft w:val="0"/>
                      <w:marRight w:val="0"/>
                      <w:marTop w:val="0"/>
                      <w:marBottom w:val="0"/>
                      <w:divBdr>
                        <w:top w:val="none" w:sz="0" w:space="0" w:color="auto"/>
                        <w:left w:val="none" w:sz="0" w:space="0" w:color="auto"/>
                        <w:bottom w:val="none" w:sz="0" w:space="0" w:color="auto"/>
                        <w:right w:val="none" w:sz="0" w:space="0" w:color="auto"/>
                      </w:divBdr>
                    </w:div>
                  </w:divsChild>
                </w:div>
                <w:div w:id="1569269043">
                  <w:marLeft w:val="0"/>
                  <w:marRight w:val="0"/>
                  <w:marTop w:val="0"/>
                  <w:marBottom w:val="0"/>
                  <w:divBdr>
                    <w:top w:val="none" w:sz="0" w:space="0" w:color="auto"/>
                    <w:left w:val="none" w:sz="0" w:space="0" w:color="auto"/>
                    <w:bottom w:val="none" w:sz="0" w:space="0" w:color="auto"/>
                    <w:right w:val="none" w:sz="0" w:space="0" w:color="auto"/>
                  </w:divBdr>
                  <w:divsChild>
                    <w:div w:id="2114128435">
                      <w:marLeft w:val="0"/>
                      <w:marRight w:val="0"/>
                      <w:marTop w:val="0"/>
                      <w:marBottom w:val="0"/>
                      <w:divBdr>
                        <w:top w:val="none" w:sz="0" w:space="0" w:color="auto"/>
                        <w:left w:val="none" w:sz="0" w:space="0" w:color="auto"/>
                        <w:bottom w:val="none" w:sz="0" w:space="0" w:color="auto"/>
                        <w:right w:val="none" w:sz="0" w:space="0" w:color="auto"/>
                      </w:divBdr>
                    </w:div>
                  </w:divsChild>
                </w:div>
                <w:div w:id="1625965706">
                  <w:marLeft w:val="0"/>
                  <w:marRight w:val="0"/>
                  <w:marTop w:val="0"/>
                  <w:marBottom w:val="0"/>
                  <w:divBdr>
                    <w:top w:val="none" w:sz="0" w:space="0" w:color="auto"/>
                    <w:left w:val="none" w:sz="0" w:space="0" w:color="auto"/>
                    <w:bottom w:val="none" w:sz="0" w:space="0" w:color="auto"/>
                    <w:right w:val="none" w:sz="0" w:space="0" w:color="auto"/>
                  </w:divBdr>
                  <w:divsChild>
                    <w:div w:id="41139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09803">
          <w:marLeft w:val="0"/>
          <w:marRight w:val="0"/>
          <w:marTop w:val="0"/>
          <w:marBottom w:val="0"/>
          <w:divBdr>
            <w:top w:val="none" w:sz="0" w:space="0" w:color="auto"/>
            <w:left w:val="none" w:sz="0" w:space="0" w:color="auto"/>
            <w:bottom w:val="none" w:sz="0" w:space="0" w:color="auto"/>
            <w:right w:val="none" w:sz="0" w:space="0" w:color="auto"/>
          </w:divBdr>
        </w:div>
        <w:div w:id="2099672005">
          <w:marLeft w:val="0"/>
          <w:marRight w:val="0"/>
          <w:marTop w:val="0"/>
          <w:marBottom w:val="0"/>
          <w:divBdr>
            <w:top w:val="none" w:sz="0" w:space="0" w:color="auto"/>
            <w:left w:val="none" w:sz="0" w:space="0" w:color="auto"/>
            <w:bottom w:val="none" w:sz="0" w:space="0" w:color="auto"/>
            <w:right w:val="none" w:sz="0" w:space="0" w:color="auto"/>
          </w:divBdr>
        </w:div>
        <w:div w:id="2100178779">
          <w:marLeft w:val="0"/>
          <w:marRight w:val="0"/>
          <w:marTop w:val="0"/>
          <w:marBottom w:val="0"/>
          <w:divBdr>
            <w:top w:val="none" w:sz="0" w:space="0" w:color="auto"/>
            <w:left w:val="none" w:sz="0" w:space="0" w:color="auto"/>
            <w:bottom w:val="none" w:sz="0" w:space="0" w:color="auto"/>
            <w:right w:val="none" w:sz="0" w:space="0" w:color="auto"/>
          </w:divBdr>
        </w:div>
        <w:div w:id="2102945799">
          <w:marLeft w:val="0"/>
          <w:marRight w:val="0"/>
          <w:marTop w:val="0"/>
          <w:marBottom w:val="0"/>
          <w:divBdr>
            <w:top w:val="none" w:sz="0" w:space="0" w:color="auto"/>
            <w:left w:val="none" w:sz="0" w:space="0" w:color="auto"/>
            <w:bottom w:val="none" w:sz="0" w:space="0" w:color="auto"/>
            <w:right w:val="none" w:sz="0" w:space="0" w:color="auto"/>
          </w:divBdr>
        </w:div>
        <w:div w:id="2103409220">
          <w:marLeft w:val="0"/>
          <w:marRight w:val="0"/>
          <w:marTop w:val="0"/>
          <w:marBottom w:val="0"/>
          <w:divBdr>
            <w:top w:val="none" w:sz="0" w:space="0" w:color="auto"/>
            <w:left w:val="none" w:sz="0" w:space="0" w:color="auto"/>
            <w:bottom w:val="none" w:sz="0" w:space="0" w:color="auto"/>
            <w:right w:val="none" w:sz="0" w:space="0" w:color="auto"/>
          </w:divBdr>
        </w:div>
        <w:div w:id="2104759064">
          <w:marLeft w:val="0"/>
          <w:marRight w:val="0"/>
          <w:marTop w:val="0"/>
          <w:marBottom w:val="0"/>
          <w:divBdr>
            <w:top w:val="none" w:sz="0" w:space="0" w:color="auto"/>
            <w:left w:val="none" w:sz="0" w:space="0" w:color="auto"/>
            <w:bottom w:val="none" w:sz="0" w:space="0" w:color="auto"/>
            <w:right w:val="none" w:sz="0" w:space="0" w:color="auto"/>
          </w:divBdr>
        </w:div>
        <w:div w:id="2105681882">
          <w:marLeft w:val="0"/>
          <w:marRight w:val="0"/>
          <w:marTop w:val="0"/>
          <w:marBottom w:val="0"/>
          <w:divBdr>
            <w:top w:val="none" w:sz="0" w:space="0" w:color="auto"/>
            <w:left w:val="none" w:sz="0" w:space="0" w:color="auto"/>
            <w:bottom w:val="none" w:sz="0" w:space="0" w:color="auto"/>
            <w:right w:val="none" w:sz="0" w:space="0" w:color="auto"/>
          </w:divBdr>
        </w:div>
        <w:div w:id="2110852264">
          <w:marLeft w:val="0"/>
          <w:marRight w:val="0"/>
          <w:marTop w:val="0"/>
          <w:marBottom w:val="0"/>
          <w:divBdr>
            <w:top w:val="none" w:sz="0" w:space="0" w:color="auto"/>
            <w:left w:val="none" w:sz="0" w:space="0" w:color="auto"/>
            <w:bottom w:val="none" w:sz="0" w:space="0" w:color="auto"/>
            <w:right w:val="none" w:sz="0" w:space="0" w:color="auto"/>
          </w:divBdr>
        </w:div>
        <w:div w:id="2112311535">
          <w:marLeft w:val="0"/>
          <w:marRight w:val="0"/>
          <w:marTop w:val="0"/>
          <w:marBottom w:val="0"/>
          <w:divBdr>
            <w:top w:val="none" w:sz="0" w:space="0" w:color="auto"/>
            <w:left w:val="none" w:sz="0" w:space="0" w:color="auto"/>
            <w:bottom w:val="none" w:sz="0" w:space="0" w:color="auto"/>
            <w:right w:val="none" w:sz="0" w:space="0" w:color="auto"/>
          </w:divBdr>
          <w:divsChild>
            <w:div w:id="48964104">
              <w:marLeft w:val="0"/>
              <w:marRight w:val="0"/>
              <w:marTop w:val="0"/>
              <w:marBottom w:val="0"/>
              <w:divBdr>
                <w:top w:val="none" w:sz="0" w:space="0" w:color="auto"/>
                <w:left w:val="none" w:sz="0" w:space="0" w:color="auto"/>
                <w:bottom w:val="none" w:sz="0" w:space="0" w:color="auto"/>
                <w:right w:val="none" w:sz="0" w:space="0" w:color="auto"/>
              </w:divBdr>
            </w:div>
            <w:div w:id="144394700">
              <w:marLeft w:val="0"/>
              <w:marRight w:val="0"/>
              <w:marTop w:val="0"/>
              <w:marBottom w:val="0"/>
              <w:divBdr>
                <w:top w:val="none" w:sz="0" w:space="0" w:color="auto"/>
                <w:left w:val="none" w:sz="0" w:space="0" w:color="auto"/>
                <w:bottom w:val="none" w:sz="0" w:space="0" w:color="auto"/>
                <w:right w:val="none" w:sz="0" w:space="0" w:color="auto"/>
              </w:divBdr>
            </w:div>
            <w:div w:id="196892799">
              <w:marLeft w:val="0"/>
              <w:marRight w:val="0"/>
              <w:marTop w:val="0"/>
              <w:marBottom w:val="0"/>
              <w:divBdr>
                <w:top w:val="none" w:sz="0" w:space="0" w:color="auto"/>
                <w:left w:val="none" w:sz="0" w:space="0" w:color="auto"/>
                <w:bottom w:val="none" w:sz="0" w:space="0" w:color="auto"/>
                <w:right w:val="none" w:sz="0" w:space="0" w:color="auto"/>
              </w:divBdr>
            </w:div>
            <w:div w:id="388572983">
              <w:marLeft w:val="0"/>
              <w:marRight w:val="0"/>
              <w:marTop w:val="0"/>
              <w:marBottom w:val="0"/>
              <w:divBdr>
                <w:top w:val="none" w:sz="0" w:space="0" w:color="auto"/>
                <w:left w:val="none" w:sz="0" w:space="0" w:color="auto"/>
                <w:bottom w:val="none" w:sz="0" w:space="0" w:color="auto"/>
                <w:right w:val="none" w:sz="0" w:space="0" w:color="auto"/>
              </w:divBdr>
            </w:div>
            <w:div w:id="413088515">
              <w:marLeft w:val="0"/>
              <w:marRight w:val="0"/>
              <w:marTop w:val="0"/>
              <w:marBottom w:val="0"/>
              <w:divBdr>
                <w:top w:val="none" w:sz="0" w:space="0" w:color="auto"/>
                <w:left w:val="none" w:sz="0" w:space="0" w:color="auto"/>
                <w:bottom w:val="none" w:sz="0" w:space="0" w:color="auto"/>
                <w:right w:val="none" w:sz="0" w:space="0" w:color="auto"/>
              </w:divBdr>
            </w:div>
            <w:div w:id="515847934">
              <w:marLeft w:val="0"/>
              <w:marRight w:val="0"/>
              <w:marTop w:val="0"/>
              <w:marBottom w:val="0"/>
              <w:divBdr>
                <w:top w:val="none" w:sz="0" w:space="0" w:color="auto"/>
                <w:left w:val="none" w:sz="0" w:space="0" w:color="auto"/>
                <w:bottom w:val="none" w:sz="0" w:space="0" w:color="auto"/>
                <w:right w:val="none" w:sz="0" w:space="0" w:color="auto"/>
              </w:divBdr>
            </w:div>
            <w:div w:id="629440511">
              <w:marLeft w:val="0"/>
              <w:marRight w:val="0"/>
              <w:marTop w:val="0"/>
              <w:marBottom w:val="0"/>
              <w:divBdr>
                <w:top w:val="none" w:sz="0" w:space="0" w:color="auto"/>
                <w:left w:val="none" w:sz="0" w:space="0" w:color="auto"/>
                <w:bottom w:val="none" w:sz="0" w:space="0" w:color="auto"/>
                <w:right w:val="none" w:sz="0" w:space="0" w:color="auto"/>
              </w:divBdr>
            </w:div>
            <w:div w:id="716661158">
              <w:marLeft w:val="0"/>
              <w:marRight w:val="0"/>
              <w:marTop w:val="0"/>
              <w:marBottom w:val="0"/>
              <w:divBdr>
                <w:top w:val="none" w:sz="0" w:space="0" w:color="auto"/>
                <w:left w:val="none" w:sz="0" w:space="0" w:color="auto"/>
                <w:bottom w:val="none" w:sz="0" w:space="0" w:color="auto"/>
                <w:right w:val="none" w:sz="0" w:space="0" w:color="auto"/>
              </w:divBdr>
            </w:div>
            <w:div w:id="770009170">
              <w:marLeft w:val="0"/>
              <w:marRight w:val="0"/>
              <w:marTop w:val="0"/>
              <w:marBottom w:val="0"/>
              <w:divBdr>
                <w:top w:val="none" w:sz="0" w:space="0" w:color="auto"/>
                <w:left w:val="none" w:sz="0" w:space="0" w:color="auto"/>
                <w:bottom w:val="none" w:sz="0" w:space="0" w:color="auto"/>
                <w:right w:val="none" w:sz="0" w:space="0" w:color="auto"/>
              </w:divBdr>
            </w:div>
            <w:div w:id="808548204">
              <w:marLeft w:val="0"/>
              <w:marRight w:val="0"/>
              <w:marTop w:val="0"/>
              <w:marBottom w:val="0"/>
              <w:divBdr>
                <w:top w:val="none" w:sz="0" w:space="0" w:color="auto"/>
                <w:left w:val="none" w:sz="0" w:space="0" w:color="auto"/>
                <w:bottom w:val="none" w:sz="0" w:space="0" w:color="auto"/>
                <w:right w:val="none" w:sz="0" w:space="0" w:color="auto"/>
              </w:divBdr>
            </w:div>
            <w:div w:id="863322781">
              <w:marLeft w:val="0"/>
              <w:marRight w:val="0"/>
              <w:marTop w:val="0"/>
              <w:marBottom w:val="0"/>
              <w:divBdr>
                <w:top w:val="none" w:sz="0" w:space="0" w:color="auto"/>
                <w:left w:val="none" w:sz="0" w:space="0" w:color="auto"/>
                <w:bottom w:val="none" w:sz="0" w:space="0" w:color="auto"/>
                <w:right w:val="none" w:sz="0" w:space="0" w:color="auto"/>
              </w:divBdr>
            </w:div>
            <w:div w:id="906763309">
              <w:marLeft w:val="0"/>
              <w:marRight w:val="0"/>
              <w:marTop w:val="0"/>
              <w:marBottom w:val="0"/>
              <w:divBdr>
                <w:top w:val="none" w:sz="0" w:space="0" w:color="auto"/>
                <w:left w:val="none" w:sz="0" w:space="0" w:color="auto"/>
                <w:bottom w:val="none" w:sz="0" w:space="0" w:color="auto"/>
                <w:right w:val="none" w:sz="0" w:space="0" w:color="auto"/>
              </w:divBdr>
            </w:div>
            <w:div w:id="1041903393">
              <w:marLeft w:val="0"/>
              <w:marRight w:val="0"/>
              <w:marTop w:val="0"/>
              <w:marBottom w:val="0"/>
              <w:divBdr>
                <w:top w:val="none" w:sz="0" w:space="0" w:color="auto"/>
                <w:left w:val="none" w:sz="0" w:space="0" w:color="auto"/>
                <w:bottom w:val="none" w:sz="0" w:space="0" w:color="auto"/>
                <w:right w:val="none" w:sz="0" w:space="0" w:color="auto"/>
              </w:divBdr>
            </w:div>
            <w:div w:id="1175416404">
              <w:marLeft w:val="0"/>
              <w:marRight w:val="0"/>
              <w:marTop w:val="0"/>
              <w:marBottom w:val="0"/>
              <w:divBdr>
                <w:top w:val="none" w:sz="0" w:space="0" w:color="auto"/>
                <w:left w:val="none" w:sz="0" w:space="0" w:color="auto"/>
                <w:bottom w:val="none" w:sz="0" w:space="0" w:color="auto"/>
                <w:right w:val="none" w:sz="0" w:space="0" w:color="auto"/>
              </w:divBdr>
            </w:div>
            <w:div w:id="1275331691">
              <w:marLeft w:val="0"/>
              <w:marRight w:val="0"/>
              <w:marTop w:val="0"/>
              <w:marBottom w:val="0"/>
              <w:divBdr>
                <w:top w:val="none" w:sz="0" w:space="0" w:color="auto"/>
                <w:left w:val="none" w:sz="0" w:space="0" w:color="auto"/>
                <w:bottom w:val="none" w:sz="0" w:space="0" w:color="auto"/>
                <w:right w:val="none" w:sz="0" w:space="0" w:color="auto"/>
              </w:divBdr>
            </w:div>
            <w:div w:id="1436249234">
              <w:marLeft w:val="0"/>
              <w:marRight w:val="0"/>
              <w:marTop w:val="0"/>
              <w:marBottom w:val="0"/>
              <w:divBdr>
                <w:top w:val="none" w:sz="0" w:space="0" w:color="auto"/>
                <w:left w:val="none" w:sz="0" w:space="0" w:color="auto"/>
                <w:bottom w:val="none" w:sz="0" w:space="0" w:color="auto"/>
                <w:right w:val="none" w:sz="0" w:space="0" w:color="auto"/>
              </w:divBdr>
            </w:div>
            <w:div w:id="1907033821">
              <w:marLeft w:val="0"/>
              <w:marRight w:val="0"/>
              <w:marTop w:val="0"/>
              <w:marBottom w:val="0"/>
              <w:divBdr>
                <w:top w:val="none" w:sz="0" w:space="0" w:color="auto"/>
                <w:left w:val="none" w:sz="0" w:space="0" w:color="auto"/>
                <w:bottom w:val="none" w:sz="0" w:space="0" w:color="auto"/>
                <w:right w:val="none" w:sz="0" w:space="0" w:color="auto"/>
              </w:divBdr>
            </w:div>
            <w:div w:id="2013675923">
              <w:marLeft w:val="0"/>
              <w:marRight w:val="0"/>
              <w:marTop w:val="0"/>
              <w:marBottom w:val="0"/>
              <w:divBdr>
                <w:top w:val="none" w:sz="0" w:space="0" w:color="auto"/>
                <w:left w:val="none" w:sz="0" w:space="0" w:color="auto"/>
                <w:bottom w:val="none" w:sz="0" w:space="0" w:color="auto"/>
                <w:right w:val="none" w:sz="0" w:space="0" w:color="auto"/>
              </w:divBdr>
            </w:div>
            <w:div w:id="2117141354">
              <w:marLeft w:val="0"/>
              <w:marRight w:val="0"/>
              <w:marTop w:val="0"/>
              <w:marBottom w:val="0"/>
              <w:divBdr>
                <w:top w:val="none" w:sz="0" w:space="0" w:color="auto"/>
                <w:left w:val="none" w:sz="0" w:space="0" w:color="auto"/>
                <w:bottom w:val="none" w:sz="0" w:space="0" w:color="auto"/>
                <w:right w:val="none" w:sz="0" w:space="0" w:color="auto"/>
              </w:divBdr>
            </w:div>
          </w:divsChild>
        </w:div>
        <w:div w:id="2116821236">
          <w:marLeft w:val="0"/>
          <w:marRight w:val="0"/>
          <w:marTop w:val="0"/>
          <w:marBottom w:val="0"/>
          <w:divBdr>
            <w:top w:val="none" w:sz="0" w:space="0" w:color="auto"/>
            <w:left w:val="none" w:sz="0" w:space="0" w:color="auto"/>
            <w:bottom w:val="none" w:sz="0" w:space="0" w:color="auto"/>
            <w:right w:val="none" w:sz="0" w:space="0" w:color="auto"/>
          </w:divBdr>
        </w:div>
        <w:div w:id="2117669465">
          <w:marLeft w:val="0"/>
          <w:marRight w:val="0"/>
          <w:marTop w:val="0"/>
          <w:marBottom w:val="0"/>
          <w:divBdr>
            <w:top w:val="none" w:sz="0" w:space="0" w:color="auto"/>
            <w:left w:val="none" w:sz="0" w:space="0" w:color="auto"/>
            <w:bottom w:val="none" w:sz="0" w:space="0" w:color="auto"/>
            <w:right w:val="none" w:sz="0" w:space="0" w:color="auto"/>
          </w:divBdr>
        </w:div>
        <w:div w:id="2121291583">
          <w:marLeft w:val="0"/>
          <w:marRight w:val="0"/>
          <w:marTop w:val="0"/>
          <w:marBottom w:val="0"/>
          <w:divBdr>
            <w:top w:val="none" w:sz="0" w:space="0" w:color="auto"/>
            <w:left w:val="none" w:sz="0" w:space="0" w:color="auto"/>
            <w:bottom w:val="none" w:sz="0" w:space="0" w:color="auto"/>
            <w:right w:val="none" w:sz="0" w:space="0" w:color="auto"/>
          </w:divBdr>
        </w:div>
        <w:div w:id="2121562202">
          <w:marLeft w:val="0"/>
          <w:marRight w:val="0"/>
          <w:marTop w:val="0"/>
          <w:marBottom w:val="0"/>
          <w:divBdr>
            <w:top w:val="none" w:sz="0" w:space="0" w:color="auto"/>
            <w:left w:val="none" w:sz="0" w:space="0" w:color="auto"/>
            <w:bottom w:val="none" w:sz="0" w:space="0" w:color="auto"/>
            <w:right w:val="none" w:sz="0" w:space="0" w:color="auto"/>
          </w:divBdr>
        </w:div>
        <w:div w:id="2122409641">
          <w:marLeft w:val="0"/>
          <w:marRight w:val="0"/>
          <w:marTop w:val="0"/>
          <w:marBottom w:val="0"/>
          <w:divBdr>
            <w:top w:val="none" w:sz="0" w:space="0" w:color="auto"/>
            <w:left w:val="none" w:sz="0" w:space="0" w:color="auto"/>
            <w:bottom w:val="none" w:sz="0" w:space="0" w:color="auto"/>
            <w:right w:val="none" w:sz="0" w:space="0" w:color="auto"/>
          </w:divBdr>
        </w:div>
        <w:div w:id="2122604270">
          <w:marLeft w:val="0"/>
          <w:marRight w:val="0"/>
          <w:marTop w:val="0"/>
          <w:marBottom w:val="0"/>
          <w:divBdr>
            <w:top w:val="none" w:sz="0" w:space="0" w:color="auto"/>
            <w:left w:val="none" w:sz="0" w:space="0" w:color="auto"/>
            <w:bottom w:val="none" w:sz="0" w:space="0" w:color="auto"/>
            <w:right w:val="none" w:sz="0" w:space="0" w:color="auto"/>
          </w:divBdr>
        </w:div>
        <w:div w:id="2122651239">
          <w:marLeft w:val="0"/>
          <w:marRight w:val="0"/>
          <w:marTop w:val="0"/>
          <w:marBottom w:val="0"/>
          <w:divBdr>
            <w:top w:val="none" w:sz="0" w:space="0" w:color="auto"/>
            <w:left w:val="none" w:sz="0" w:space="0" w:color="auto"/>
            <w:bottom w:val="none" w:sz="0" w:space="0" w:color="auto"/>
            <w:right w:val="none" w:sz="0" w:space="0" w:color="auto"/>
          </w:divBdr>
        </w:div>
        <w:div w:id="2124691301">
          <w:marLeft w:val="0"/>
          <w:marRight w:val="0"/>
          <w:marTop w:val="0"/>
          <w:marBottom w:val="0"/>
          <w:divBdr>
            <w:top w:val="none" w:sz="0" w:space="0" w:color="auto"/>
            <w:left w:val="none" w:sz="0" w:space="0" w:color="auto"/>
            <w:bottom w:val="none" w:sz="0" w:space="0" w:color="auto"/>
            <w:right w:val="none" w:sz="0" w:space="0" w:color="auto"/>
          </w:divBdr>
        </w:div>
        <w:div w:id="2125734644">
          <w:marLeft w:val="0"/>
          <w:marRight w:val="0"/>
          <w:marTop w:val="0"/>
          <w:marBottom w:val="0"/>
          <w:divBdr>
            <w:top w:val="none" w:sz="0" w:space="0" w:color="auto"/>
            <w:left w:val="none" w:sz="0" w:space="0" w:color="auto"/>
            <w:bottom w:val="none" w:sz="0" w:space="0" w:color="auto"/>
            <w:right w:val="none" w:sz="0" w:space="0" w:color="auto"/>
          </w:divBdr>
        </w:div>
        <w:div w:id="2128503643">
          <w:marLeft w:val="0"/>
          <w:marRight w:val="0"/>
          <w:marTop w:val="0"/>
          <w:marBottom w:val="0"/>
          <w:divBdr>
            <w:top w:val="none" w:sz="0" w:space="0" w:color="auto"/>
            <w:left w:val="none" w:sz="0" w:space="0" w:color="auto"/>
            <w:bottom w:val="none" w:sz="0" w:space="0" w:color="auto"/>
            <w:right w:val="none" w:sz="0" w:space="0" w:color="auto"/>
          </w:divBdr>
        </w:div>
        <w:div w:id="2129153071">
          <w:marLeft w:val="0"/>
          <w:marRight w:val="0"/>
          <w:marTop w:val="0"/>
          <w:marBottom w:val="0"/>
          <w:divBdr>
            <w:top w:val="none" w:sz="0" w:space="0" w:color="auto"/>
            <w:left w:val="none" w:sz="0" w:space="0" w:color="auto"/>
            <w:bottom w:val="none" w:sz="0" w:space="0" w:color="auto"/>
            <w:right w:val="none" w:sz="0" w:space="0" w:color="auto"/>
          </w:divBdr>
        </w:div>
        <w:div w:id="2130006463">
          <w:marLeft w:val="0"/>
          <w:marRight w:val="0"/>
          <w:marTop w:val="0"/>
          <w:marBottom w:val="0"/>
          <w:divBdr>
            <w:top w:val="none" w:sz="0" w:space="0" w:color="auto"/>
            <w:left w:val="none" w:sz="0" w:space="0" w:color="auto"/>
            <w:bottom w:val="none" w:sz="0" w:space="0" w:color="auto"/>
            <w:right w:val="none" w:sz="0" w:space="0" w:color="auto"/>
          </w:divBdr>
        </w:div>
        <w:div w:id="2130392228">
          <w:marLeft w:val="0"/>
          <w:marRight w:val="0"/>
          <w:marTop w:val="0"/>
          <w:marBottom w:val="0"/>
          <w:divBdr>
            <w:top w:val="none" w:sz="0" w:space="0" w:color="auto"/>
            <w:left w:val="none" w:sz="0" w:space="0" w:color="auto"/>
            <w:bottom w:val="none" w:sz="0" w:space="0" w:color="auto"/>
            <w:right w:val="none" w:sz="0" w:space="0" w:color="auto"/>
          </w:divBdr>
        </w:div>
        <w:div w:id="2130929795">
          <w:marLeft w:val="0"/>
          <w:marRight w:val="0"/>
          <w:marTop w:val="0"/>
          <w:marBottom w:val="0"/>
          <w:divBdr>
            <w:top w:val="none" w:sz="0" w:space="0" w:color="auto"/>
            <w:left w:val="none" w:sz="0" w:space="0" w:color="auto"/>
            <w:bottom w:val="none" w:sz="0" w:space="0" w:color="auto"/>
            <w:right w:val="none" w:sz="0" w:space="0" w:color="auto"/>
          </w:divBdr>
        </w:div>
        <w:div w:id="2132629856">
          <w:marLeft w:val="0"/>
          <w:marRight w:val="0"/>
          <w:marTop w:val="0"/>
          <w:marBottom w:val="0"/>
          <w:divBdr>
            <w:top w:val="none" w:sz="0" w:space="0" w:color="auto"/>
            <w:left w:val="none" w:sz="0" w:space="0" w:color="auto"/>
            <w:bottom w:val="none" w:sz="0" w:space="0" w:color="auto"/>
            <w:right w:val="none" w:sz="0" w:space="0" w:color="auto"/>
          </w:divBdr>
        </w:div>
        <w:div w:id="2133405533">
          <w:marLeft w:val="0"/>
          <w:marRight w:val="0"/>
          <w:marTop w:val="0"/>
          <w:marBottom w:val="0"/>
          <w:divBdr>
            <w:top w:val="none" w:sz="0" w:space="0" w:color="auto"/>
            <w:left w:val="none" w:sz="0" w:space="0" w:color="auto"/>
            <w:bottom w:val="none" w:sz="0" w:space="0" w:color="auto"/>
            <w:right w:val="none" w:sz="0" w:space="0" w:color="auto"/>
          </w:divBdr>
        </w:div>
        <w:div w:id="2133938535">
          <w:marLeft w:val="0"/>
          <w:marRight w:val="0"/>
          <w:marTop w:val="0"/>
          <w:marBottom w:val="0"/>
          <w:divBdr>
            <w:top w:val="none" w:sz="0" w:space="0" w:color="auto"/>
            <w:left w:val="none" w:sz="0" w:space="0" w:color="auto"/>
            <w:bottom w:val="none" w:sz="0" w:space="0" w:color="auto"/>
            <w:right w:val="none" w:sz="0" w:space="0" w:color="auto"/>
          </w:divBdr>
        </w:div>
        <w:div w:id="2135516435">
          <w:marLeft w:val="0"/>
          <w:marRight w:val="0"/>
          <w:marTop w:val="0"/>
          <w:marBottom w:val="0"/>
          <w:divBdr>
            <w:top w:val="none" w:sz="0" w:space="0" w:color="auto"/>
            <w:left w:val="none" w:sz="0" w:space="0" w:color="auto"/>
            <w:bottom w:val="none" w:sz="0" w:space="0" w:color="auto"/>
            <w:right w:val="none" w:sz="0" w:space="0" w:color="auto"/>
          </w:divBdr>
        </w:div>
        <w:div w:id="2139837022">
          <w:marLeft w:val="0"/>
          <w:marRight w:val="0"/>
          <w:marTop w:val="0"/>
          <w:marBottom w:val="0"/>
          <w:divBdr>
            <w:top w:val="none" w:sz="0" w:space="0" w:color="auto"/>
            <w:left w:val="none" w:sz="0" w:space="0" w:color="auto"/>
            <w:bottom w:val="none" w:sz="0" w:space="0" w:color="auto"/>
            <w:right w:val="none" w:sz="0" w:space="0" w:color="auto"/>
          </w:divBdr>
        </w:div>
        <w:div w:id="2141146926">
          <w:marLeft w:val="0"/>
          <w:marRight w:val="0"/>
          <w:marTop w:val="0"/>
          <w:marBottom w:val="0"/>
          <w:divBdr>
            <w:top w:val="none" w:sz="0" w:space="0" w:color="auto"/>
            <w:left w:val="none" w:sz="0" w:space="0" w:color="auto"/>
            <w:bottom w:val="none" w:sz="0" w:space="0" w:color="auto"/>
            <w:right w:val="none" w:sz="0" w:space="0" w:color="auto"/>
          </w:divBdr>
        </w:div>
        <w:div w:id="2144885978">
          <w:marLeft w:val="0"/>
          <w:marRight w:val="0"/>
          <w:marTop w:val="0"/>
          <w:marBottom w:val="0"/>
          <w:divBdr>
            <w:top w:val="none" w:sz="0" w:space="0" w:color="auto"/>
            <w:left w:val="none" w:sz="0" w:space="0" w:color="auto"/>
            <w:bottom w:val="none" w:sz="0" w:space="0" w:color="auto"/>
            <w:right w:val="none" w:sz="0" w:space="0" w:color="auto"/>
          </w:divBdr>
          <w:divsChild>
            <w:div w:id="5400225">
              <w:marLeft w:val="0"/>
              <w:marRight w:val="0"/>
              <w:marTop w:val="0"/>
              <w:marBottom w:val="0"/>
              <w:divBdr>
                <w:top w:val="none" w:sz="0" w:space="0" w:color="auto"/>
                <w:left w:val="none" w:sz="0" w:space="0" w:color="auto"/>
                <w:bottom w:val="none" w:sz="0" w:space="0" w:color="auto"/>
                <w:right w:val="none" w:sz="0" w:space="0" w:color="auto"/>
              </w:divBdr>
            </w:div>
            <w:div w:id="36011948">
              <w:marLeft w:val="0"/>
              <w:marRight w:val="0"/>
              <w:marTop w:val="0"/>
              <w:marBottom w:val="0"/>
              <w:divBdr>
                <w:top w:val="none" w:sz="0" w:space="0" w:color="auto"/>
                <w:left w:val="none" w:sz="0" w:space="0" w:color="auto"/>
                <w:bottom w:val="none" w:sz="0" w:space="0" w:color="auto"/>
                <w:right w:val="none" w:sz="0" w:space="0" w:color="auto"/>
              </w:divBdr>
            </w:div>
            <w:div w:id="39936470">
              <w:marLeft w:val="0"/>
              <w:marRight w:val="0"/>
              <w:marTop w:val="0"/>
              <w:marBottom w:val="0"/>
              <w:divBdr>
                <w:top w:val="none" w:sz="0" w:space="0" w:color="auto"/>
                <w:left w:val="none" w:sz="0" w:space="0" w:color="auto"/>
                <w:bottom w:val="none" w:sz="0" w:space="0" w:color="auto"/>
                <w:right w:val="none" w:sz="0" w:space="0" w:color="auto"/>
              </w:divBdr>
            </w:div>
            <w:div w:id="182792703">
              <w:marLeft w:val="0"/>
              <w:marRight w:val="0"/>
              <w:marTop w:val="0"/>
              <w:marBottom w:val="0"/>
              <w:divBdr>
                <w:top w:val="none" w:sz="0" w:space="0" w:color="auto"/>
                <w:left w:val="none" w:sz="0" w:space="0" w:color="auto"/>
                <w:bottom w:val="none" w:sz="0" w:space="0" w:color="auto"/>
                <w:right w:val="none" w:sz="0" w:space="0" w:color="auto"/>
              </w:divBdr>
            </w:div>
            <w:div w:id="207963085">
              <w:marLeft w:val="0"/>
              <w:marRight w:val="0"/>
              <w:marTop w:val="0"/>
              <w:marBottom w:val="0"/>
              <w:divBdr>
                <w:top w:val="none" w:sz="0" w:space="0" w:color="auto"/>
                <w:left w:val="none" w:sz="0" w:space="0" w:color="auto"/>
                <w:bottom w:val="none" w:sz="0" w:space="0" w:color="auto"/>
                <w:right w:val="none" w:sz="0" w:space="0" w:color="auto"/>
              </w:divBdr>
            </w:div>
            <w:div w:id="368802570">
              <w:marLeft w:val="0"/>
              <w:marRight w:val="0"/>
              <w:marTop w:val="0"/>
              <w:marBottom w:val="0"/>
              <w:divBdr>
                <w:top w:val="none" w:sz="0" w:space="0" w:color="auto"/>
                <w:left w:val="none" w:sz="0" w:space="0" w:color="auto"/>
                <w:bottom w:val="none" w:sz="0" w:space="0" w:color="auto"/>
                <w:right w:val="none" w:sz="0" w:space="0" w:color="auto"/>
              </w:divBdr>
            </w:div>
            <w:div w:id="509636952">
              <w:marLeft w:val="0"/>
              <w:marRight w:val="0"/>
              <w:marTop w:val="0"/>
              <w:marBottom w:val="0"/>
              <w:divBdr>
                <w:top w:val="none" w:sz="0" w:space="0" w:color="auto"/>
                <w:left w:val="none" w:sz="0" w:space="0" w:color="auto"/>
                <w:bottom w:val="none" w:sz="0" w:space="0" w:color="auto"/>
                <w:right w:val="none" w:sz="0" w:space="0" w:color="auto"/>
              </w:divBdr>
            </w:div>
            <w:div w:id="682822233">
              <w:marLeft w:val="0"/>
              <w:marRight w:val="0"/>
              <w:marTop w:val="0"/>
              <w:marBottom w:val="0"/>
              <w:divBdr>
                <w:top w:val="none" w:sz="0" w:space="0" w:color="auto"/>
                <w:left w:val="none" w:sz="0" w:space="0" w:color="auto"/>
                <w:bottom w:val="none" w:sz="0" w:space="0" w:color="auto"/>
                <w:right w:val="none" w:sz="0" w:space="0" w:color="auto"/>
              </w:divBdr>
            </w:div>
            <w:div w:id="707295928">
              <w:marLeft w:val="0"/>
              <w:marRight w:val="0"/>
              <w:marTop w:val="0"/>
              <w:marBottom w:val="0"/>
              <w:divBdr>
                <w:top w:val="none" w:sz="0" w:space="0" w:color="auto"/>
                <w:left w:val="none" w:sz="0" w:space="0" w:color="auto"/>
                <w:bottom w:val="none" w:sz="0" w:space="0" w:color="auto"/>
                <w:right w:val="none" w:sz="0" w:space="0" w:color="auto"/>
              </w:divBdr>
            </w:div>
            <w:div w:id="868224679">
              <w:marLeft w:val="0"/>
              <w:marRight w:val="0"/>
              <w:marTop w:val="0"/>
              <w:marBottom w:val="0"/>
              <w:divBdr>
                <w:top w:val="none" w:sz="0" w:space="0" w:color="auto"/>
                <w:left w:val="none" w:sz="0" w:space="0" w:color="auto"/>
                <w:bottom w:val="none" w:sz="0" w:space="0" w:color="auto"/>
                <w:right w:val="none" w:sz="0" w:space="0" w:color="auto"/>
              </w:divBdr>
            </w:div>
            <w:div w:id="899361111">
              <w:marLeft w:val="0"/>
              <w:marRight w:val="0"/>
              <w:marTop w:val="0"/>
              <w:marBottom w:val="0"/>
              <w:divBdr>
                <w:top w:val="none" w:sz="0" w:space="0" w:color="auto"/>
                <w:left w:val="none" w:sz="0" w:space="0" w:color="auto"/>
                <w:bottom w:val="none" w:sz="0" w:space="0" w:color="auto"/>
                <w:right w:val="none" w:sz="0" w:space="0" w:color="auto"/>
              </w:divBdr>
            </w:div>
            <w:div w:id="1498375266">
              <w:marLeft w:val="0"/>
              <w:marRight w:val="0"/>
              <w:marTop w:val="0"/>
              <w:marBottom w:val="0"/>
              <w:divBdr>
                <w:top w:val="none" w:sz="0" w:space="0" w:color="auto"/>
                <w:left w:val="none" w:sz="0" w:space="0" w:color="auto"/>
                <w:bottom w:val="none" w:sz="0" w:space="0" w:color="auto"/>
                <w:right w:val="none" w:sz="0" w:space="0" w:color="auto"/>
              </w:divBdr>
            </w:div>
            <w:div w:id="1587690315">
              <w:marLeft w:val="0"/>
              <w:marRight w:val="0"/>
              <w:marTop w:val="0"/>
              <w:marBottom w:val="0"/>
              <w:divBdr>
                <w:top w:val="none" w:sz="0" w:space="0" w:color="auto"/>
                <w:left w:val="none" w:sz="0" w:space="0" w:color="auto"/>
                <w:bottom w:val="none" w:sz="0" w:space="0" w:color="auto"/>
                <w:right w:val="none" w:sz="0" w:space="0" w:color="auto"/>
              </w:divBdr>
            </w:div>
            <w:div w:id="1647080269">
              <w:marLeft w:val="0"/>
              <w:marRight w:val="0"/>
              <w:marTop w:val="0"/>
              <w:marBottom w:val="0"/>
              <w:divBdr>
                <w:top w:val="none" w:sz="0" w:space="0" w:color="auto"/>
                <w:left w:val="none" w:sz="0" w:space="0" w:color="auto"/>
                <w:bottom w:val="none" w:sz="0" w:space="0" w:color="auto"/>
                <w:right w:val="none" w:sz="0" w:space="0" w:color="auto"/>
              </w:divBdr>
            </w:div>
            <w:div w:id="1675649968">
              <w:marLeft w:val="0"/>
              <w:marRight w:val="0"/>
              <w:marTop w:val="0"/>
              <w:marBottom w:val="0"/>
              <w:divBdr>
                <w:top w:val="none" w:sz="0" w:space="0" w:color="auto"/>
                <w:left w:val="none" w:sz="0" w:space="0" w:color="auto"/>
                <w:bottom w:val="none" w:sz="0" w:space="0" w:color="auto"/>
                <w:right w:val="none" w:sz="0" w:space="0" w:color="auto"/>
              </w:divBdr>
            </w:div>
            <w:div w:id="1891577876">
              <w:marLeft w:val="0"/>
              <w:marRight w:val="0"/>
              <w:marTop w:val="0"/>
              <w:marBottom w:val="0"/>
              <w:divBdr>
                <w:top w:val="none" w:sz="0" w:space="0" w:color="auto"/>
                <w:left w:val="none" w:sz="0" w:space="0" w:color="auto"/>
                <w:bottom w:val="none" w:sz="0" w:space="0" w:color="auto"/>
                <w:right w:val="none" w:sz="0" w:space="0" w:color="auto"/>
              </w:divBdr>
            </w:div>
            <w:div w:id="1994600341">
              <w:marLeft w:val="0"/>
              <w:marRight w:val="0"/>
              <w:marTop w:val="0"/>
              <w:marBottom w:val="0"/>
              <w:divBdr>
                <w:top w:val="none" w:sz="0" w:space="0" w:color="auto"/>
                <w:left w:val="none" w:sz="0" w:space="0" w:color="auto"/>
                <w:bottom w:val="none" w:sz="0" w:space="0" w:color="auto"/>
                <w:right w:val="none" w:sz="0" w:space="0" w:color="auto"/>
              </w:divBdr>
            </w:div>
            <w:div w:id="2012218074">
              <w:marLeft w:val="0"/>
              <w:marRight w:val="0"/>
              <w:marTop w:val="0"/>
              <w:marBottom w:val="0"/>
              <w:divBdr>
                <w:top w:val="none" w:sz="0" w:space="0" w:color="auto"/>
                <w:left w:val="none" w:sz="0" w:space="0" w:color="auto"/>
                <w:bottom w:val="none" w:sz="0" w:space="0" w:color="auto"/>
                <w:right w:val="none" w:sz="0" w:space="0" w:color="auto"/>
              </w:divBdr>
            </w:div>
            <w:div w:id="2060981253">
              <w:marLeft w:val="0"/>
              <w:marRight w:val="0"/>
              <w:marTop w:val="0"/>
              <w:marBottom w:val="0"/>
              <w:divBdr>
                <w:top w:val="none" w:sz="0" w:space="0" w:color="auto"/>
                <w:left w:val="none" w:sz="0" w:space="0" w:color="auto"/>
                <w:bottom w:val="none" w:sz="0" w:space="0" w:color="auto"/>
                <w:right w:val="none" w:sz="0" w:space="0" w:color="auto"/>
              </w:divBdr>
            </w:div>
            <w:div w:id="2117938928">
              <w:marLeft w:val="0"/>
              <w:marRight w:val="0"/>
              <w:marTop w:val="0"/>
              <w:marBottom w:val="0"/>
              <w:divBdr>
                <w:top w:val="none" w:sz="0" w:space="0" w:color="auto"/>
                <w:left w:val="none" w:sz="0" w:space="0" w:color="auto"/>
                <w:bottom w:val="none" w:sz="0" w:space="0" w:color="auto"/>
                <w:right w:val="none" w:sz="0" w:space="0" w:color="auto"/>
              </w:divBdr>
            </w:div>
            <w:div w:id="2135059150">
              <w:marLeft w:val="0"/>
              <w:marRight w:val="0"/>
              <w:marTop w:val="0"/>
              <w:marBottom w:val="0"/>
              <w:divBdr>
                <w:top w:val="none" w:sz="0" w:space="0" w:color="auto"/>
                <w:left w:val="none" w:sz="0" w:space="0" w:color="auto"/>
                <w:bottom w:val="none" w:sz="0" w:space="0" w:color="auto"/>
                <w:right w:val="none" w:sz="0" w:space="0" w:color="auto"/>
              </w:divBdr>
            </w:div>
          </w:divsChild>
        </w:div>
        <w:div w:id="2146120143">
          <w:marLeft w:val="0"/>
          <w:marRight w:val="0"/>
          <w:marTop w:val="0"/>
          <w:marBottom w:val="0"/>
          <w:divBdr>
            <w:top w:val="none" w:sz="0" w:space="0" w:color="auto"/>
            <w:left w:val="none" w:sz="0" w:space="0" w:color="auto"/>
            <w:bottom w:val="none" w:sz="0" w:space="0" w:color="auto"/>
            <w:right w:val="none" w:sz="0" w:space="0" w:color="auto"/>
          </w:divBdr>
        </w:div>
        <w:div w:id="2146463205">
          <w:marLeft w:val="0"/>
          <w:marRight w:val="0"/>
          <w:marTop w:val="0"/>
          <w:marBottom w:val="0"/>
          <w:divBdr>
            <w:top w:val="none" w:sz="0" w:space="0" w:color="auto"/>
            <w:left w:val="none" w:sz="0" w:space="0" w:color="auto"/>
            <w:bottom w:val="none" w:sz="0" w:space="0" w:color="auto"/>
            <w:right w:val="none" w:sz="0" w:space="0" w:color="auto"/>
          </w:divBdr>
        </w:div>
      </w:divsChild>
    </w:div>
    <w:div w:id="1697533770">
      <w:bodyDiv w:val="1"/>
      <w:marLeft w:val="0"/>
      <w:marRight w:val="0"/>
      <w:marTop w:val="0"/>
      <w:marBottom w:val="0"/>
      <w:divBdr>
        <w:top w:val="none" w:sz="0" w:space="0" w:color="auto"/>
        <w:left w:val="none" w:sz="0" w:space="0" w:color="auto"/>
        <w:bottom w:val="none" w:sz="0" w:space="0" w:color="auto"/>
        <w:right w:val="none" w:sz="0" w:space="0" w:color="auto"/>
      </w:divBdr>
    </w:div>
    <w:div w:id="1704096049">
      <w:bodyDiv w:val="1"/>
      <w:marLeft w:val="0"/>
      <w:marRight w:val="0"/>
      <w:marTop w:val="0"/>
      <w:marBottom w:val="0"/>
      <w:divBdr>
        <w:top w:val="none" w:sz="0" w:space="0" w:color="auto"/>
        <w:left w:val="none" w:sz="0" w:space="0" w:color="auto"/>
        <w:bottom w:val="none" w:sz="0" w:space="0" w:color="auto"/>
        <w:right w:val="none" w:sz="0" w:space="0" w:color="auto"/>
      </w:divBdr>
      <w:divsChild>
        <w:div w:id="58676133">
          <w:marLeft w:val="0"/>
          <w:marRight w:val="0"/>
          <w:marTop w:val="0"/>
          <w:marBottom w:val="0"/>
          <w:divBdr>
            <w:top w:val="none" w:sz="0" w:space="0" w:color="auto"/>
            <w:left w:val="none" w:sz="0" w:space="0" w:color="auto"/>
            <w:bottom w:val="none" w:sz="0" w:space="0" w:color="auto"/>
            <w:right w:val="none" w:sz="0" w:space="0" w:color="auto"/>
          </w:divBdr>
        </w:div>
        <w:div w:id="116487933">
          <w:marLeft w:val="0"/>
          <w:marRight w:val="0"/>
          <w:marTop w:val="0"/>
          <w:marBottom w:val="0"/>
          <w:divBdr>
            <w:top w:val="none" w:sz="0" w:space="0" w:color="auto"/>
            <w:left w:val="none" w:sz="0" w:space="0" w:color="auto"/>
            <w:bottom w:val="none" w:sz="0" w:space="0" w:color="auto"/>
            <w:right w:val="none" w:sz="0" w:space="0" w:color="auto"/>
          </w:divBdr>
        </w:div>
        <w:div w:id="248973663">
          <w:marLeft w:val="0"/>
          <w:marRight w:val="0"/>
          <w:marTop w:val="0"/>
          <w:marBottom w:val="0"/>
          <w:divBdr>
            <w:top w:val="none" w:sz="0" w:space="0" w:color="auto"/>
            <w:left w:val="none" w:sz="0" w:space="0" w:color="auto"/>
            <w:bottom w:val="none" w:sz="0" w:space="0" w:color="auto"/>
            <w:right w:val="none" w:sz="0" w:space="0" w:color="auto"/>
          </w:divBdr>
        </w:div>
        <w:div w:id="708144625">
          <w:marLeft w:val="0"/>
          <w:marRight w:val="0"/>
          <w:marTop w:val="0"/>
          <w:marBottom w:val="0"/>
          <w:divBdr>
            <w:top w:val="none" w:sz="0" w:space="0" w:color="auto"/>
            <w:left w:val="none" w:sz="0" w:space="0" w:color="auto"/>
            <w:bottom w:val="none" w:sz="0" w:space="0" w:color="auto"/>
            <w:right w:val="none" w:sz="0" w:space="0" w:color="auto"/>
          </w:divBdr>
        </w:div>
        <w:div w:id="1565529562">
          <w:marLeft w:val="0"/>
          <w:marRight w:val="0"/>
          <w:marTop w:val="0"/>
          <w:marBottom w:val="0"/>
          <w:divBdr>
            <w:top w:val="none" w:sz="0" w:space="0" w:color="auto"/>
            <w:left w:val="none" w:sz="0" w:space="0" w:color="auto"/>
            <w:bottom w:val="none" w:sz="0" w:space="0" w:color="auto"/>
            <w:right w:val="none" w:sz="0" w:space="0" w:color="auto"/>
          </w:divBdr>
        </w:div>
        <w:div w:id="1622568053">
          <w:marLeft w:val="0"/>
          <w:marRight w:val="0"/>
          <w:marTop w:val="0"/>
          <w:marBottom w:val="0"/>
          <w:divBdr>
            <w:top w:val="none" w:sz="0" w:space="0" w:color="auto"/>
            <w:left w:val="none" w:sz="0" w:space="0" w:color="auto"/>
            <w:bottom w:val="none" w:sz="0" w:space="0" w:color="auto"/>
            <w:right w:val="none" w:sz="0" w:space="0" w:color="auto"/>
          </w:divBdr>
        </w:div>
        <w:div w:id="1639992111">
          <w:marLeft w:val="0"/>
          <w:marRight w:val="0"/>
          <w:marTop w:val="0"/>
          <w:marBottom w:val="0"/>
          <w:divBdr>
            <w:top w:val="none" w:sz="0" w:space="0" w:color="auto"/>
            <w:left w:val="none" w:sz="0" w:space="0" w:color="auto"/>
            <w:bottom w:val="none" w:sz="0" w:space="0" w:color="auto"/>
            <w:right w:val="none" w:sz="0" w:space="0" w:color="auto"/>
          </w:divBdr>
        </w:div>
        <w:div w:id="1718896436">
          <w:marLeft w:val="0"/>
          <w:marRight w:val="0"/>
          <w:marTop w:val="0"/>
          <w:marBottom w:val="0"/>
          <w:divBdr>
            <w:top w:val="none" w:sz="0" w:space="0" w:color="auto"/>
            <w:left w:val="none" w:sz="0" w:space="0" w:color="auto"/>
            <w:bottom w:val="none" w:sz="0" w:space="0" w:color="auto"/>
            <w:right w:val="none" w:sz="0" w:space="0" w:color="auto"/>
          </w:divBdr>
        </w:div>
        <w:div w:id="1731688426">
          <w:marLeft w:val="0"/>
          <w:marRight w:val="0"/>
          <w:marTop w:val="0"/>
          <w:marBottom w:val="0"/>
          <w:divBdr>
            <w:top w:val="none" w:sz="0" w:space="0" w:color="auto"/>
            <w:left w:val="none" w:sz="0" w:space="0" w:color="auto"/>
            <w:bottom w:val="none" w:sz="0" w:space="0" w:color="auto"/>
            <w:right w:val="none" w:sz="0" w:space="0" w:color="auto"/>
          </w:divBdr>
        </w:div>
        <w:div w:id="1794639085">
          <w:marLeft w:val="0"/>
          <w:marRight w:val="0"/>
          <w:marTop w:val="0"/>
          <w:marBottom w:val="0"/>
          <w:divBdr>
            <w:top w:val="none" w:sz="0" w:space="0" w:color="auto"/>
            <w:left w:val="none" w:sz="0" w:space="0" w:color="auto"/>
            <w:bottom w:val="none" w:sz="0" w:space="0" w:color="auto"/>
            <w:right w:val="none" w:sz="0" w:space="0" w:color="auto"/>
          </w:divBdr>
        </w:div>
        <w:div w:id="1882553078">
          <w:marLeft w:val="0"/>
          <w:marRight w:val="0"/>
          <w:marTop w:val="0"/>
          <w:marBottom w:val="0"/>
          <w:divBdr>
            <w:top w:val="none" w:sz="0" w:space="0" w:color="auto"/>
            <w:left w:val="none" w:sz="0" w:space="0" w:color="auto"/>
            <w:bottom w:val="none" w:sz="0" w:space="0" w:color="auto"/>
            <w:right w:val="none" w:sz="0" w:space="0" w:color="auto"/>
          </w:divBdr>
        </w:div>
        <w:div w:id="1981879270">
          <w:marLeft w:val="0"/>
          <w:marRight w:val="0"/>
          <w:marTop w:val="0"/>
          <w:marBottom w:val="0"/>
          <w:divBdr>
            <w:top w:val="none" w:sz="0" w:space="0" w:color="auto"/>
            <w:left w:val="none" w:sz="0" w:space="0" w:color="auto"/>
            <w:bottom w:val="none" w:sz="0" w:space="0" w:color="auto"/>
            <w:right w:val="none" w:sz="0" w:space="0" w:color="auto"/>
          </w:divBdr>
        </w:div>
        <w:div w:id="1988238557">
          <w:marLeft w:val="0"/>
          <w:marRight w:val="0"/>
          <w:marTop w:val="0"/>
          <w:marBottom w:val="0"/>
          <w:divBdr>
            <w:top w:val="none" w:sz="0" w:space="0" w:color="auto"/>
            <w:left w:val="none" w:sz="0" w:space="0" w:color="auto"/>
            <w:bottom w:val="none" w:sz="0" w:space="0" w:color="auto"/>
            <w:right w:val="none" w:sz="0" w:space="0" w:color="auto"/>
          </w:divBdr>
        </w:div>
      </w:divsChild>
    </w:div>
    <w:div w:id="1791896417">
      <w:bodyDiv w:val="1"/>
      <w:marLeft w:val="0"/>
      <w:marRight w:val="0"/>
      <w:marTop w:val="0"/>
      <w:marBottom w:val="0"/>
      <w:divBdr>
        <w:top w:val="none" w:sz="0" w:space="0" w:color="auto"/>
        <w:left w:val="none" w:sz="0" w:space="0" w:color="auto"/>
        <w:bottom w:val="none" w:sz="0" w:space="0" w:color="auto"/>
        <w:right w:val="none" w:sz="0" w:space="0" w:color="auto"/>
      </w:divBdr>
    </w:div>
    <w:div w:id="1909999775">
      <w:bodyDiv w:val="1"/>
      <w:marLeft w:val="0"/>
      <w:marRight w:val="0"/>
      <w:marTop w:val="0"/>
      <w:marBottom w:val="0"/>
      <w:divBdr>
        <w:top w:val="none" w:sz="0" w:space="0" w:color="auto"/>
        <w:left w:val="none" w:sz="0" w:space="0" w:color="auto"/>
        <w:bottom w:val="none" w:sz="0" w:space="0" w:color="auto"/>
        <w:right w:val="none" w:sz="0" w:space="0" w:color="auto"/>
      </w:divBdr>
    </w:div>
    <w:div w:id="1912543769">
      <w:bodyDiv w:val="1"/>
      <w:marLeft w:val="0"/>
      <w:marRight w:val="0"/>
      <w:marTop w:val="0"/>
      <w:marBottom w:val="0"/>
      <w:divBdr>
        <w:top w:val="none" w:sz="0" w:space="0" w:color="auto"/>
        <w:left w:val="none" w:sz="0" w:space="0" w:color="auto"/>
        <w:bottom w:val="none" w:sz="0" w:space="0" w:color="auto"/>
        <w:right w:val="none" w:sz="0" w:space="0" w:color="auto"/>
      </w:divBdr>
    </w:div>
    <w:div w:id="1918706968">
      <w:bodyDiv w:val="1"/>
      <w:marLeft w:val="0"/>
      <w:marRight w:val="0"/>
      <w:marTop w:val="0"/>
      <w:marBottom w:val="0"/>
      <w:divBdr>
        <w:top w:val="none" w:sz="0" w:space="0" w:color="auto"/>
        <w:left w:val="none" w:sz="0" w:space="0" w:color="auto"/>
        <w:bottom w:val="none" w:sz="0" w:space="0" w:color="auto"/>
        <w:right w:val="none" w:sz="0" w:space="0" w:color="auto"/>
      </w:divBdr>
    </w:div>
    <w:div w:id="1929773839">
      <w:bodyDiv w:val="1"/>
      <w:marLeft w:val="0"/>
      <w:marRight w:val="0"/>
      <w:marTop w:val="0"/>
      <w:marBottom w:val="0"/>
      <w:divBdr>
        <w:top w:val="none" w:sz="0" w:space="0" w:color="auto"/>
        <w:left w:val="none" w:sz="0" w:space="0" w:color="auto"/>
        <w:bottom w:val="none" w:sz="0" w:space="0" w:color="auto"/>
        <w:right w:val="none" w:sz="0" w:space="0" w:color="auto"/>
      </w:divBdr>
    </w:div>
    <w:div w:id="1943029354">
      <w:bodyDiv w:val="1"/>
      <w:marLeft w:val="0"/>
      <w:marRight w:val="0"/>
      <w:marTop w:val="0"/>
      <w:marBottom w:val="0"/>
      <w:divBdr>
        <w:top w:val="none" w:sz="0" w:space="0" w:color="auto"/>
        <w:left w:val="none" w:sz="0" w:space="0" w:color="auto"/>
        <w:bottom w:val="none" w:sz="0" w:space="0" w:color="auto"/>
        <w:right w:val="none" w:sz="0" w:space="0" w:color="auto"/>
      </w:divBdr>
    </w:div>
    <w:div w:id="214003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onbio.onlinelibrary.wiley.com/doi/full/10.1111/j.1755-263X.2008.00009.x" TargetMode="External"/><Relationship Id="rId671" Type="http://schemas.openxmlformats.org/officeDocument/2006/relationships/hyperlink" Target="https://unstats.un.org/unsd/demographic/sconcerns/densurb/defintion_of%20urban.pdf" TargetMode="External"/><Relationship Id="rId21" Type="http://schemas.openxmlformats.org/officeDocument/2006/relationships/hyperlink" Target="https://iucnrle.org/rle-database" TargetMode="External"/><Relationship Id="rId324" Type="http://schemas.openxmlformats.org/officeDocument/2006/relationships/hyperlink" Target="https://portals.iucn.org/library/node/9055" TargetMode="External"/><Relationship Id="rId531" Type="http://schemas.openxmlformats.org/officeDocument/2006/relationships/hyperlink" Target="https://maps.elie.ucl.ac.be/CCI/viewer/index.php" TargetMode="External"/><Relationship Id="rId629" Type="http://schemas.openxmlformats.org/officeDocument/2006/relationships/hyperlink" Target="https://zenodo.org/record/5657079" TargetMode="External"/><Relationship Id="rId170" Type="http://schemas.openxmlformats.org/officeDocument/2006/relationships/hyperlink" Target="mailto:dimatteo@un.org" TargetMode="External"/><Relationship Id="rId268" Type="http://schemas.openxmlformats.org/officeDocument/2006/relationships/hyperlink" Target="https://doi.org/10.4060/cd2925en" TargetMode="External"/><Relationship Id="rId475" Type="http://schemas.openxmlformats.org/officeDocument/2006/relationships/hyperlink" Target="mailto:joy.kim@un.org" TargetMode="External"/><Relationship Id="rId682" Type="http://schemas.openxmlformats.org/officeDocument/2006/relationships/theme" Target="theme/theme1.xml"/><Relationship Id="rId32" Type="http://schemas.openxmlformats.org/officeDocument/2006/relationships/hyperlink" Target="https://seea.un.org/content/aries-for-seea" TargetMode="External"/><Relationship Id="rId128" Type="http://schemas.openxmlformats.org/officeDocument/2006/relationships/hyperlink" Target="https://ccgenetics.github.io/guidelines-genetic-diversity-indicators/" TargetMode="External"/><Relationship Id="rId335" Type="http://schemas.openxmlformats.org/officeDocument/2006/relationships/hyperlink" Target="https://doi.org/10.1016/j.ocecoaman.2011.12.016" TargetMode="External"/><Relationship Id="rId542" Type="http://schemas.openxmlformats.org/officeDocument/2006/relationships/hyperlink" Target="https://www.fao.org/3/i2801e/i2801e.pdf" TargetMode="External"/><Relationship Id="rId181" Type="http://schemas.openxmlformats.org/officeDocument/2006/relationships/hyperlink" Target="https://nmbs.dsmz.de/" TargetMode="External"/><Relationship Id="rId402" Type="http://schemas.openxmlformats.org/officeDocument/2006/relationships/image" Target="media/image27.png"/><Relationship Id="rId279" Type="http://schemas.openxmlformats.org/officeDocument/2006/relationships/hyperlink" Target="https://www.keybiodiversityareas.org/assets/af7c1fe6-d669-414e-b066-e9733f0de7a8" TargetMode="External"/><Relationship Id="rId486" Type="http://schemas.openxmlformats.org/officeDocument/2006/relationships/hyperlink" Target="https://ec.europa.eu/eurostat/documents/3859598/6923655/KS-GQ-15-005-EN-N.pdf/e3be619b-bb19-4486-ab23-132a83f6ff24" TargetMode="External"/><Relationship Id="rId43" Type="http://schemas.openxmlformats.org/officeDocument/2006/relationships/hyperlink" Target="https://www.iucnredlist.org/resources/mappingstandards" TargetMode="External"/><Relationship Id="rId139" Type="http://schemas.openxmlformats.org/officeDocument/2006/relationships/hyperlink" Target="http://biomodelos.humboldt.org.co/" TargetMode="External"/><Relationship Id="rId346" Type="http://schemas.openxmlformats.org/officeDocument/2006/relationships/hyperlink" Target="https://elearning.fao.org/course/view.php?id=502" TargetMode="External"/><Relationship Id="rId553" Type="http://schemas.openxmlformats.org/officeDocument/2006/relationships/hyperlink" Target="https://landmarkmap.org/map" TargetMode="External"/><Relationship Id="rId192" Type="http://schemas.openxmlformats.org/officeDocument/2006/relationships/hyperlink" Target="https://www.cbd.int/doc/decisions/cop-16/cop-16-dec-31-en.pdf" TargetMode="External"/><Relationship Id="rId206" Type="http://schemas.openxmlformats.org/officeDocument/2006/relationships/hyperlink" Target="https://one.oecd.org/document/DCD/DAC/STAT(2018)25/en/pdf" TargetMode="External"/><Relationship Id="rId413" Type="http://schemas.openxmlformats.org/officeDocument/2006/relationships/hyperlink" Target="https://undocs.org/en/A/RES/62/98" TargetMode="External"/><Relationship Id="rId497" Type="http://schemas.openxmlformats.org/officeDocument/2006/relationships/hyperlink" Target="https://unterm.un.org/unterm2/display/record/UNTERM/7A56E07A5C55446285256BB2005D11F0" TargetMode="External"/><Relationship Id="rId620" Type="http://schemas.openxmlformats.org/officeDocument/2006/relationships/hyperlink" Target="https://seea.un.org/sites/seea.un.org/files/documents/EA/seea_ea_white_cover_final.pdf" TargetMode="External"/><Relationship Id="rId357" Type="http://schemas.openxmlformats.org/officeDocument/2006/relationships/hyperlink" Target="https://www.cbd.int/countries" TargetMode="External"/><Relationship Id="rId54" Type="http://schemas.openxmlformats.org/officeDocument/2006/relationships/hyperlink" Target="https://cmsdocs.s3.amazonaws.com/keydocuments/Rules_of_Procedure_for_IUCN_Red_List_Assessments_2017-2020.pdf" TargetMode="External"/><Relationship Id="rId217" Type="http://schemas.openxmlformats.org/officeDocument/2006/relationships/hyperlink" Target="https://one.oecd.org/document/DCD/DAC/STAT(2023)9/FINAL/en/pdf" TargetMode="External"/><Relationship Id="rId564" Type="http://schemas.openxmlformats.org/officeDocument/2006/relationships/hyperlink" Target="https://www.oecd-ilibrary.org/governance/government-at-a-glance-2021_8b8c48af-en" TargetMode="External"/><Relationship Id="rId424" Type="http://schemas.openxmlformats.org/officeDocument/2006/relationships/hyperlink" Target="https://www.lincolninst.edu/sites/default/files/pubfiles/atlas-of-urban-expansion-2016-volume-1-full.pdf" TargetMode="External"/><Relationship Id="rId631" Type="http://schemas.openxmlformats.org/officeDocument/2006/relationships/hyperlink" Target="https://unfccc.int/files/cooperation_and_support/capacity_building/application/pdf/gefsecncsabookeng.pdf" TargetMode="External"/><Relationship Id="rId270" Type="http://schemas.openxmlformats.org/officeDocument/2006/relationships/hyperlink" Target="https://doi.org/10.1038/s41586-022-05318-4" TargetMode="External"/><Relationship Id="rId65" Type="http://schemas.openxmlformats.org/officeDocument/2006/relationships/hyperlink" Target="https://www.iucnredlist.org/search" TargetMode="External"/><Relationship Id="rId130" Type="http://schemas.openxmlformats.org/officeDocument/2006/relationships/hyperlink" Target="https://conbio.onlinelibrary.wiley.com/doi/full/10.1111/conl.12953" TargetMode="External"/><Relationship Id="rId368" Type="http://schemas.openxmlformats.org/officeDocument/2006/relationships/hyperlink" Target="https://www.gbif.org/occurrence/search?occurrence_status=present&amp;q=" TargetMode="External"/><Relationship Id="rId575" Type="http://schemas.openxmlformats.org/officeDocument/2006/relationships/hyperlink" Target="https://eur-lex.europa.eu/EN/legal-content/glossary/climate-action.html" TargetMode="External"/><Relationship Id="rId228" Type="http://schemas.openxmlformats.org/officeDocument/2006/relationships/hyperlink" Target="https://unesdoc.unesco.org/ark:/48223/pf0000381921" TargetMode="External"/><Relationship Id="rId435" Type="http://schemas.openxmlformats.org/officeDocument/2006/relationships/hyperlink" Target="mailto:mkemperman@worldbank.org" TargetMode="External"/><Relationship Id="rId642" Type="http://schemas.openxmlformats.org/officeDocument/2006/relationships/hyperlink" Target="https://www.ipbes.net/assessment-reports/scenarios" TargetMode="External"/><Relationship Id="rId281" Type="http://schemas.openxmlformats.org/officeDocument/2006/relationships/hyperlink" Target="https://unstats.un.org/sdgs/metadata" TargetMode="External"/><Relationship Id="rId502" Type="http://schemas.openxmlformats.org/officeDocument/2006/relationships/hyperlink" Target="https://indigenousnavigator.org/" TargetMode="External"/><Relationship Id="rId76" Type="http://schemas.openxmlformats.org/officeDocument/2006/relationships/hyperlink" Target="http://rstb.royalsocietypublishing.org/content/360/1454/255.full" TargetMode="External"/><Relationship Id="rId141" Type="http://schemas.openxmlformats.org/officeDocument/2006/relationships/image" Target="media/image9.png"/><Relationship Id="rId379" Type="http://schemas.openxmlformats.org/officeDocument/2006/relationships/hyperlink" Target="https://wedocs.unep.org/handle/20.500.11822/35086" TargetMode="External"/><Relationship Id="rId586" Type="http://schemas.openxmlformats.org/officeDocument/2006/relationships/hyperlink" Target="https://www.ipbes.net/glossary/ecosystem-function" TargetMode="External"/><Relationship Id="rId7" Type="http://schemas.openxmlformats.org/officeDocument/2006/relationships/settings" Target="settings.xml"/><Relationship Id="rId239" Type="http://schemas.openxmlformats.org/officeDocument/2006/relationships/hyperlink" Target="https://seymsp.com/the-initiative/" TargetMode="External"/><Relationship Id="rId446" Type="http://schemas.openxmlformats.org/officeDocument/2006/relationships/hyperlink" Target="https://www.weforum.org/organizations/world-business-council-for-sustainable-development-wbcsd/" TargetMode="External"/><Relationship Id="rId653" Type="http://schemas.openxmlformats.org/officeDocument/2006/relationships/hyperlink" Target="https://www.oecd-ilibrary.org/sites/45adbd0e-en/index.html?itemId=/content/component/45adbd0e-en" TargetMode="External"/><Relationship Id="rId292" Type="http://schemas.openxmlformats.org/officeDocument/2006/relationships/hyperlink" Target="https://www.cbd.int/gbf/related/monitoring/ind/forum?forumid=291&amp;threadid=2780" TargetMode="External"/><Relationship Id="rId306" Type="http://schemas.openxmlformats.org/officeDocument/2006/relationships/hyperlink" Target="https://www.cbd.int/gbo4/" TargetMode="External"/><Relationship Id="rId87" Type="http://schemas.openxmlformats.org/officeDocument/2006/relationships/hyperlink" Target="http://rstb.royalsocietypublishing.org/content/366/1578/2598.abstract" TargetMode="External"/><Relationship Id="rId513" Type="http://schemas.openxmlformats.org/officeDocument/2006/relationships/hyperlink" Target="https://www.un.org/development/desa/indigenouspeoples/wp-content/uploads/sites/19/2018/11/UNDRIP_E_web.pdf" TargetMode="External"/><Relationship Id="rId597" Type="http://schemas.openxmlformats.org/officeDocument/2006/relationships/hyperlink" Target="https://ec.europa.eu/eurostat/cache/metadata/en/nasa_10_f_esms.htm" TargetMode="External"/><Relationship Id="rId152" Type="http://schemas.openxmlformats.org/officeDocument/2006/relationships/hyperlink" Target="https://besjournals.onlinelibrary.wiley.com/doi/full/10.1111/1365-2664.14225" TargetMode="External"/><Relationship Id="rId457" Type="http://schemas.openxmlformats.org/officeDocument/2006/relationships/hyperlink" Target="https://circabc.europa.eu/ui/group/922b4700-1c83-4099-b550-763badab3ec0/library/b1e77b94-9db8-4e7c-a0b3-8f68db32416e/details" TargetMode="External"/><Relationship Id="rId664" Type="http://schemas.openxmlformats.org/officeDocument/2006/relationships/hyperlink" Target="https://www.unep.org/explore-topics/resource-efficiency/what-we-do/sustainable-consumption-and-production-policies" TargetMode="External"/><Relationship Id="rId14" Type="http://schemas.openxmlformats.org/officeDocument/2006/relationships/image" Target="media/image4.emf"/><Relationship Id="rId317" Type="http://schemas.openxmlformats.org/officeDocument/2006/relationships/hyperlink" Target="http://www.gadm.org/" TargetMode="External"/><Relationship Id="rId524" Type="http://schemas.openxmlformats.org/officeDocument/2006/relationships/hyperlink" Target="https://www.landexglobal.org/en/" TargetMode="External"/><Relationship Id="rId98" Type="http://schemas.openxmlformats.org/officeDocument/2006/relationships/hyperlink" Target="http://www.sciencemag.org/content/346/6206/241.short" TargetMode="External"/><Relationship Id="rId163" Type="http://schemas.openxmlformats.org/officeDocument/2006/relationships/header" Target="header1.xml"/><Relationship Id="rId370" Type="http://schemas.openxmlformats.org/officeDocument/2006/relationships/hyperlink" Target="mailto:s.pagad@auckland.ac.nz" TargetMode="External"/><Relationship Id="rId230" Type="http://schemas.openxmlformats.org/officeDocument/2006/relationships/hyperlink" Target="https://macbio-pacific.info/" TargetMode="External"/><Relationship Id="rId468" Type="http://schemas.openxmlformats.org/officeDocument/2006/relationships/hyperlink" Target="https://wedocs.unep.org/bitstream/handle/20.500.11822/28111/FossilFuel.pdf?sequence=1&amp;isAllowed=y" TargetMode="External"/><Relationship Id="rId675" Type="http://schemas.openxmlformats.org/officeDocument/2006/relationships/hyperlink" Target="https://seea.un.org/sites/seea.un.org/files/documents/EA/seea_ea_white_cover_final.pdf" TargetMode="External"/><Relationship Id="rId25" Type="http://schemas.openxmlformats.org/officeDocument/2006/relationships/hyperlink" Target="http://www.plosbiology.org/article/info:doi/10.1371/journal.pbio.0020383" TargetMode="External"/><Relationship Id="rId328" Type="http://schemas.openxmlformats.org/officeDocument/2006/relationships/hyperlink" Target="http://www.nature.com/nature/journal/v516/n7531/abs/nature14032.html" TargetMode="External"/><Relationship Id="rId535" Type="http://schemas.openxmlformats.org/officeDocument/2006/relationships/hyperlink" Target="mailto:clinton.omusula@fao.org" TargetMode="External"/><Relationship Id="rId174" Type="http://schemas.openxmlformats.org/officeDocument/2006/relationships/hyperlink" Target="https://seea.un.org/content/global-assessment-environmental-economic-accounting" TargetMode="External"/><Relationship Id="rId381" Type="http://schemas.openxmlformats.org/officeDocument/2006/relationships/hyperlink" Target="mailto:kimanh.tempelman@fao.org" TargetMode="External"/><Relationship Id="rId602" Type="http://schemas.openxmlformats.org/officeDocument/2006/relationships/hyperlink" Target="https://www.fao.org/3/I8661EN/i8661en.pdf" TargetMode="External"/><Relationship Id="rId241" Type="http://schemas.openxmlformats.org/officeDocument/2006/relationships/hyperlink" Target="https://journal.hep.com.cn/laf/EN/10.15302/J-LAF-1-030010" TargetMode="External"/><Relationship Id="rId479" Type="http://schemas.openxmlformats.org/officeDocument/2006/relationships/hyperlink" Target="mailto:fish.contact@oecd.org" TargetMode="External"/><Relationship Id="rId36" Type="http://schemas.openxmlformats.org/officeDocument/2006/relationships/hyperlink" Target="https://doi.org/10.1111/conl.12167" TargetMode="External"/><Relationship Id="rId339" Type="http://schemas.openxmlformats.org/officeDocument/2006/relationships/hyperlink" Target="http://www.protectedplanet.net/" TargetMode="External"/><Relationship Id="rId546" Type="http://schemas.openxmlformats.org/officeDocument/2006/relationships/hyperlink" Target="https://www.prindex.net/" TargetMode="External"/><Relationship Id="rId101" Type="http://schemas.openxmlformats.org/officeDocument/2006/relationships/hyperlink" Target="https://doi.org/10.32942/X2QK5W" TargetMode="External"/><Relationship Id="rId185" Type="http://schemas.openxmlformats.org/officeDocument/2006/relationships/hyperlink" Target="https://nmbs.dsmz.de/api/schema/swagger-ui/" TargetMode="External"/><Relationship Id="rId406" Type="http://schemas.openxmlformats.org/officeDocument/2006/relationships/hyperlink" Target="https://fra-data.fao.org/" TargetMode="External"/><Relationship Id="rId392" Type="http://schemas.openxmlformats.org/officeDocument/2006/relationships/hyperlink" Target="https://www.fao.org/3/ca7154en/ca7154en.pdf" TargetMode="External"/><Relationship Id="rId613" Type="http://schemas.openxmlformats.org/officeDocument/2006/relationships/hyperlink" Target="https://www.unhcr.org/innovation/wp-content/uploads/2017/07/UNHCRInnovation-Glossary.pdf" TargetMode="External"/><Relationship Id="rId252" Type="http://schemas.openxmlformats.org/officeDocument/2006/relationships/hyperlink" Target="https://intemares.es/sites/default/files/real_decreto_686-2021_de_3_de_agosto.pdf" TargetMode="External"/><Relationship Id="rId47" Type="http://schemas.openxmlformats.org/officeDocument/2006/relationships/hyperlink" Target="file:///C:\Users\Stuart.Butchart\AppData\Local\Microsoft\Windows\INetCache\Content.Outlook\CTAA3KMM\see" TargetMode="External"/><Relationship Id="rId112" Type="http://schemas.openxmlformats.org/officeDocument/2006/relationships/hyperlink" Target="https://doi.org/10.1111/conl.12953" TargetMode="External"/><Relationship Id="rId557" Type="http://schemas.openxmlformats.org/officeDocument/2006/relationships/hyperlink" Target="https://undocs.org/en/A/RES/34/151" TargetMode="External"/><Relationship Id="rId196" Type="http://schemas.openxmlformats.org/officeDocument/2006/relationships/hyperlink" Target="https://www.tossd.org/content/dam/tossd/en/methodology-pdfs/reporting_instructions.pdf" TargetMode="External"/><Relationship Id="rId417" Type="http://schemas.openxmlformats.org/officeDocument/2006/relationships/image" Target="media/image31.png"/><Relationship Id="rId624" Type="http://schemas.openxmlformats.org/officeDocument/2006/relationships/hyperlink" Target="https://www.fao.org/faoterm/en/?defaultCollId=21" TargetMode="External"/><Relationship Id="rId263" Type="http://schemas.openxmlformats.org/officeDocument/2006/relationships/hyperlink" Target="https://doi.org/10.4060/i2801e" TargetMode="External"/><Relationship Id="rId470" Type="http://schemas.openxmlformats.org/officeDocument/2006/relationships/hyperlink" Target="mailto:fish.contact@oecd.org" TargetMode="External"/><Relationship Id="rId58" Type="http://schemas.openxmlformats.org/officeDocument/2006/relationships/hyperlink" Target="https://github.com/BirdLifeInternational/rli-codes" TargetMode="External"/><Relationship Id="rId123" Type="http://schemas.openxmlformats.org/officeDocument/2006/relationships/hyperlink" Target="https://doi.org/10.1111/conl.12953" TargetMode="External"/><Relationship Id="rId330" Type="http://schemas.openxmlformats.org/officeDocument/2006/relationships/hyperlink" Target="http://www.sciencedirect.com/science/article/pii/S0006320705001412" TargetMode="External"/><Relationship Id="rId568" Type="http://schemas.openxmlformats.org/officeDocument/2006/relationships/hyperlink" Target="https://link.springer.com/referenceworkentry/10.1007/978-3-319-95873-6_80" TargetMode="External"/><Relationship Id="rId428" Type="http://schemas.openxmlformats.org/officeDocument/2006/relationships/hyperlink" Target="https://unstats.un.org/sdgs/metadata/files/Metadata-11-07-01.pdf" TargetMode="External"/><Relationship Id="rId635" Type="http://schemas.openxmlformats.org/officeDocument/2006/relationships/hyperlink" Target="https://www.ipbes.net/ias" TargetMode="External"/><Relationship Id="rId274" Type="http://schemas.openxmlformats.org/officeDocument/2006/relationships/hyperlink" Target="https://rsis.ramsar.org/" TargetMode="External"/><Relationship Id="rId481" Type="http://schemas.openxmlformats.org/officeDocument/2006/relationships/hyperlink" Target="https://doi.org/10.1787/add0f27c-en" TargetMode="External"/><Relationship Id="rId69" Type="http://schemas.openxmlformats.org/officeDocument/2006/relationships/hyperlink" Target="http://mdgs.un.org/unsd/mi/wiki/7-7-Proportion-of-species-threatened-with-extinction.ashx" TargetMode="External"/><Relationship Id="rId134" Type="http://schemas.openxmlformats.org/officeDocument/2006/relationships/hyperlink" Target="https://www.dffe.gov.za/content/management_plans/biodiversity" TargetMode="External"/><Relationship Id="rId579" Type="http://schemas.openxmlformats.org/officeDocument/2006/relationships/hyperlink" Target="https://www.ipbes.net/global-assessment" TargetMode="External"/><Relationship Id="rId341" Type="http://schemas.openxmlformats.org/officeDocument/2006/relationships/hyperlink" Target="https://doi.org/10.14284/386" TargetMode="External"/><Relationship Id="rId439" Type="http://schemas.openxmlformats.org/officeDocument/2006/relationships/hyperlink" Target="https://sciencebasedtargetsnetwork.org/" TargetMode="External"/><Relationship Id="rId646" Type="http://schemas.openxmlformats.org/officeDocument/2006/relationships/hyperlink" Target="https://unstats.un.org/unsd/nationalaccount/glossresults.asp?gID=459" TargetMode="External"/><Relationship Id="rId201" Type="http://schemas.openxmlformats.org/officeDocument/2006/relationships/hyperlink" Target="mailto:Katia.KAROUSAKIS@oecd.org" TargetMode="External"/><Relationship Id="rId285" Type="http://schemas.openxmlformats.org/officeDocument/2006/relationships/hyperlink" Target="http://www.keybiodiversityareas.org/" TargetMode="External"/><Relationship Id="rId506" Type="http://schemas.openxmlformats.org/officeDocument/2006/relationships/hyperlink" Target="mailto:andrew.gonzalez@mcgill.ca" TargetMode="External"/><Relationship Id="rId492" Type="http://schemas.openxmlformats.org/officeDocument/2006/relationships/hyperlink" Target="https://wedocs.unep.org/bitstream/handle/20.500.11822/28111/FossilFuel.pdf" TargetMode="External"/><Relationship Id="rId91" Type="http://schemas.openxmlformats.org/officeDocument/2006/relationships/hyperlink" Target="https://www.iucnredlist.org" TargetMode="External"/><Relationship Id="rId145" Type="http://schemas.openxmlformats.org/officeDocument/2006/relationships/hyperlink" Target="https://www.sciencedirect.com/science/article/pii/S0006320720307126" TargetMode="External"/><Relationship Id="rId187" Type="http://schemas.openxmlformats.org/officeDocument/2006/relationships/hyperlink" Target="mailto:nmbs@dsmz.de" TargetMode="External"/><Relationship Id="rId352" Type="http://schemas.openxmlformats.org/officeDocument/2006/relationships/hyperlink" Target="https://unstats.un.org/sdgs/dataportal" TargetMode="External"/><Relationship Id="rId394" Type="http://schemas.openxmlformats.org/officeDocument/2006/relationships/hyperlink" Target="mailto:Francesco.Tubiello@fao.org" TargetMode="External"/><Relationship Id="rId408" Type="http://schemas.openxmlformats.org/officeDocument/2006/relationships/hyperlink" Target="http://www.fao.org/forest-resources-assessment/en/" TargetMode="External"/><Relationship Id="rId615" Type="http://schemas.openxmlformats.org/officeDocument/2006/relationships/hyperlink" Target="https://www.undp.org/publications/integrated-spatial-planning-workbook" TargetMode="External"/><Relationship Id="rId212" Type="http://schemas.openxmlformats.org/officeDocument/2006/relationships/hyperlink" Target="https://unstats.un.org/UNSDWebsite/statcom/session_55/documents/BG-4e-CEP-E.pdf" TargetMode="External"/><Relationship Id="rId254" Type="http://schemas.openxmlformats.org/officeDocument/2006/relationships/hyperlink" Target="https://wwfeu.awsassets.panda.org/downloads/hob_spatial_planning_report_fa_web.pdf" TargetMode="External"/><Relationship Id="rId657" Type="http://schemas.openxmlformats.org/officeDocument/2006/relationships/hyperlink" Target="https://link.springer.com/book/10.1007/978-3-319-71861-3" TargetMode="External"/><Relationship Id="rId49" Type="http://schemas.openxmlformats.org/officeDocument/2006/relationships/hyperlink" Target="https://www.iucnredlist.org/about/partners" TargetMode="External"/><Relationship Id="rId114" Type="http://schemas.openxmlformats.org/officeDocument/2006/relationships/hyperlink" Target="https://conbio.onlinelibrary.wiley.com/doi/full/10.1111/j.1755-263X.2008.00009.x" TargetMode="External"/><Relationship Id="rId296" Type="http://schemas.openxmlformats.org/officeDocument/2006/relationships/hyperlink" Target="https://unstats.un.org/sdgs/metadata/files/Metadata-15-01-02.pdf" TargetMode="External"/><Relationship Id="rId461" Type="http://schemas.openxmlformats.org/officeDocument/2006/relationships/hyperlink" Target="https://doi.org/10.1787/6bc916e7-en" TargetMode="External"/><Relationship Id="rId517" Type="http://schemas.openxmlformats.org/officeDocument/2006/relationships/hyperlink" Target="https://www.cbd.int/doc/notifications/2025/ntf-2025-046-kmgbf-en.pdf" TargetMode="External"/><Relationship Id="rId559" Type="http://schemas.openxmlformats.org/officeDocument/2006/relationships/hyperlink" Target="https://undocs.org/en/A/RES/36/28" TargetMode="External"/><Relationship Id="rId60" Type="http://schemas.openxmlformats.org/officeDocument/2006/relationships/hyperlink" Target="https://www.iucnredlist.org/search" TargetMode="External"/><Relationship Id="rId156" Type="http://schemas.openxmlformats.org/officeDocument/2006/relationships/hyperlink" Target="mailto:info@geobon.org" TargetMode="External"/><Relationship Id="rId198" Type="http://schemas.openxmlformats.org/officeDocument/2006/relationships/hyperlink" Target="mailto:Juan.CASADOASENSIO@oecd.org" TargetMode="External"/><Relationship Id="rId321" Type="http://schemas.openxmlformats.org/officeDocument/2006/relationships/hyperlink" Target="http://parksjournal.com/wp-content/uploads/2014/10/PARKS-20.2-Jonas-et-al-10.2305IUCN.CH_.2014.PARKS-20-2.HDJ_.en_.pdf" TargetMode="External"/><Relationship Id="rId363" Type="http://schemas.openxmlformats.org/officeDocument/2006/relationships/hyperlink" Target="https://www.cbd.int/countries" TargetMode="External"/><Relationship Id="rId419" Type="http://schemas.openxmlformats.org/officeDocument/2006/relationships/hyperlink" Target="https://unhabitat.org/sites/default/files/2020/07/indicator_11.7.1_training_module_public_space.pdf" TargetMode="External"/><Relationship Id="rId570" Type="http://schemas.openxmlformats.org/officeDocument/2006/relationships/hyperlink" Target="https://www.cbd.int/doc/legal/cartagena-protocol-en.pdf" TargetMode="External"/><Relationship Id="rId626" Type="http://schemas.openxmlformats.org/officeDocument/2006/relationships/hyperlink" Target="https://www.ipbes.net/assessment-reports/ldr" TargetMode="External"/><Relationship Id="rId223" Type="http://schemas.openxmlformats.org/officeDocument/2006/relationships/hyperlink" Target="https://link.springer.com/book/10.1007/978-3-319-71861-3" TargetMode="External"/><Relationship Id="rId430" Type="http://schemas.openxmlformats.org/officeDocument/2006/relationships/hyperlink" Target="https://www.cbd.int/convention/articles/?a=cbd-08" TargetMode="External"/><Relationship Id="rId668" Type="http://schemas.openxmlformats.org/officeDocument/2006/relationships/hyperlink" Target="https://www.ipbes.net/sustainable-use-assessment" TargetMode="External"/><Relationship Id="rId18" Type="http://schemas.openxmlformats.org/officeDocument/2006/relationships/hyperlink" Target="https://www.futurelearn.com/courses/global-standard-for-assessing-risks-to-ecosystems" TargetMode="External"/><Relationship Id="rId265" Type="http://schemas.openxmlformats.org/officeDocument/2006/relationships/hyperlink" Target="https://www.fao.org/3/cc6821en/cc6821en.pdf" TargetMode="External"/><Relationship Id="rId472" Type="http://schemas.openxmlformats.org/officeDocument/2006/relationships/hyperlink" Target="mailto:martin.vonlampe@oecd.org" TargetMode="External"/><Relationship Id="rId528" Type="http://schemas.openxmlformats.org/officeDocument/2006/relationships/hyperlink" Target="https://glad.umd.edu/dataset" TargetMode="External"/><Relationship Id="rId125" Type="http://schemas.openxmlformats.org/officeDocument/2006/relationships/hyperlink" Target="https://doi.org/10.32942/X2QK5W" TargetMode="External"/><Relationship Id="rId167" Type="http://schemas.openxmlformats.org/officeDocument/2006/relationships/hyperlink" Target="https://seea.un.org/ecosystem-accounting" TargetMode="External"/><Relationship Id="rId332" Type="http://schemas.openxmlformats.org/officeDocument/2006/relationships/hyperlink" Target="http://www.nature.com/nature/journal/v428/n6983/abs/nature02422.html" TargetMode="External"/><Relationship Id="rId374" Type="http://schemas.openxmlformats.org/officeDocument/2006/relationships/hyperlink" Target="https://doi.org/10.1038/ncomms14435" TargetMode="External"/><Relationship Id="rId581" Type="http://schemas.openxmlformats.org/officeDocument/2006/relationships/hyperlink" Target="https://www.ipbes.net/the-values-assessment" TargetMode="External"/><Relationship Id="rId71" Type="http://schemas.openxmlformats.org/officeDocument/2006/relationships/hyperlink" Target="https://portals.iucn.org/library/node/9830" TargetMode="External"/><Relationship Id="rId234" Type="http://schemas.openxmlformats.org/officeDocument/2006/relationships/hyperlink" Target="https://drive.google.com/drive/folders/1yCMmZXBMH48dRvXlOtbDOsA5T6-nC1fX?usp=drive_link" TargetMode="External"/><Relationship Id="rId637" Type="http://schemas.openxmlformats.org/officeDocument/2006/relationships/hyperlink" Target="https://www.unep.org/about-un-environment/intergovernmental-consultations-nbs" TargetMode="External"/><Relationship Id="rId679" Type="http://schemas.openxmlformats.org/officeDocument/2006/relationships/hyperlink" Target="https://zenodo.org/records/7411847" TargetMode="External"/><Relationship Id="rId2" Type="http://schemas.openxmlformats.org/officeDocument/2006/relationships/customXml" Target="../customXml/item2.xml"/><Relationship Id="rId29" Type="http://schemas.openxmlformats.org/officeDocument/2006/relationships/hyperlink" Target="https://global-ecosystems.org/" TargetMode="External"/><Relationship Id="rId276" Type="http://schemas.openxmlformats.org/officeDocument/2006/relationships/hyperlink" Target="https://documents-dds-ny.un.org/doc/UNDOC/GEN/N19/060/16/PDF/N1906016.pdf?OpenElement" TargetMode="External"/><Relationship Id="rId441" Type="http://schemas.openxmlformats.org/officeDocument/2006/relationships/hyperlink" Target="https://unctad.org/" TargetMode="External"/><Relationship Id="rId483" Type="http://schemas.openxmlformats.org/officeDocument/2006/relationships/hyperlink" Target="https://doi.org/10.1787/9c3ad238-en" TargetMode="External"/><Relationship Id="rId539" Type="http://schemas.openxmlformats.org/officeDocument/2006/relationships/hyperlink" Target="https://www.cbd.int/doc/c/3190/c3f4/1d9fe2d2dedc8c8b97023750/id-om-2022-01-02-en.pdf" TargetMode="External"/><Relationship Id="rId40" Type="http://schemas.openxmlformats.org/officeDocument/2006/relationships/hyperlink" Target="https://www.iucnredlist.org/assessment/process" TargetMode="External"/><Relationship Id="rId136" Type="http://schemas.openxmlformats.org/officeDocument/2006/relationships/hyperlink" Target="http://about:blank/" TargetMode="External"/><Relationship Id="rId178" Type="http://schemas.openxmlformats.org/officeDocument/2006/relationships/hyperlink" Target="https://academic.oup.com/bioscience/article/75/4/298/8024202" TargetMode="External"/><Relationship Id="rId301" Type="http://schemas.openxmlformats.org/officeDocument/2006/relationships/hyperlink" Target="http://keybiodiversityareas.org/site/search" TargetMode="External"/><Relationship Id="rId343" Type="http://schemas.openxmlformats.org/officeDocument/2006/relationships/hyperlink" Target="https://www.fao.org/faoterm/en/?defaultCollId=21" TargetMode="External"/><Relationship Id="rId550" Type="http://schemas.openxmlformats.org/officeDocument/2006/relationships/hyperlink" Target="https://maps.elie.ucl.ac.be/CCI/viewer/index.php" TargetMode="External"/><Relationship Id="rId82" Type="http://schemas.openxmlformats.org/officeDocument/2006/relationships/hyperlink" Target="https://www.cbd.int/gbo5/" TargetMode="External"/><Relationship Id="rId203" Type="http://schemas.openxmlformats.org/officeDocument/2006/relationships/hyperlink" Target="https://www.oecd.org/dac/biodiversity-development-finance-target19-2015-2021.pdf%E2%80%AF" TargetMode="External"/><Relationship Id="rId385" Type="http://schemas.openxmlformats.org/officeDocument/2006/relationships/hyperlink" Target="https://indigenousnavigator.org/" TargetMode="External"/><Relationship Id="rId592" Type="http://schemas.openxmlformats.org/officeDocument/2006/relationships/hyperlink" Target="https://www.un.org/womenwatch/daw/cedaw/" TargetMode="External"/><Relationship Id="rId606" Type="http://schemas.openxmlformats.org/officeDocument/2006/relationships/hyperlink" Target="https://www.footprintnetwork.org/resources/glossary/" TargetMode="External"/><Relationship Id="rId648" Type="http://schemas.openxmlformats.org/officeDocument/2006/relationships/hyperlink" Target="http://www.iucnredlist.org/" TargetMode="External"/><Relationship Id="rId245" Type="http://schemas.openxmlformats.org/officeDocument/2006/relationships/hyperlink" Target="https://niueoceanwide.com/" TargetMode="External"/><Relationship Id="rId287" Type="http://schemas.openxmlformats.org/officeDocument/2006/relationships/hyperlink" Target="https://www.protectedplanet.net/" TargetMode="External"/><Relationship Id="rId410" Type="http://schemas.openxmlformats.org/officeDocument/2006/relationships/hyperlink" Target="https://fra-data.fao.org/" TargetMode="External"/><Relationship Id="rId452" Type="http://schemas.openxmlformats.org/officeDocument/2006/relationships/hyperlink" Target="http://oe.cd/pinedatabase" TargetMode="External"/><Relationship Id="rId494" Type="http://schemas.openxmlformats.org/officeDocument/2006/relationships/image" Target="media/image32.png"/><Relationship Id="rId508" Type="http://schemas.openxmlformats.org/officeDocument/2006/relationships/hyperlink" Target="https://www.cbd.int/doc/decisions/cop-15/cop-15-dec-05-en.pdf" TargetMode="External"/><Relationship Id="rId105" Type="http://schemas.openxmlformats.org/officeDocument/2006/relationships/hyperlink" Target="https://doi.org/10.1111/conl.12953" TargetMode="External"/><Relationship Id="rId147" Type="http://schemas.openxmlformats.org/officeDocument/2006/relationships/hyperlink" Target="https://doi.org/10.1111/conl.12953" TargetMode="External"/><Relationship Id="rId312" Type="http://schemas.openxmlformats.org/officeDocument/2006/relationships/hyperlink" Target="https://doi.org/10.1093/biosci/bix014" TargetMode="External"/><Relationship Id="rId354" Type="http://schemas.openxmlformats.org/officeDocument/2006/relationships/hyperlink" Target="https://www.gbif.org/dataset/search?publishing_org=cdef28b1-db4e-4c58-aa71-3c5238c2d0b5" TargetMode="External"/><Relationship Id="rId51" Type="http://schemas.openxmlformats.org/officeDocument/2006/relationships/hyperlink" Target="https://www.iucn.org/commissions/ssc-groups" TargetMode="External"/><Relationship Id="rId93" Type="http://schemas.openxmlformats.org/officeDocument/2006/relationships/hyperlink" Target="http://onlinelibrary.wiley.com/doi/10.1111/j.1472-4642.2009.00633.x/abstract" TargetMode="External"/><Relationship Id="rId189" Type="http://schemas.openxmlformats.org/officeDocument/2006/relationships/hyperlink" Target="https://www.cbd.int/doc/c/6920/4e1e/8a6ba925279ea19033eb8ed2/sbstta-26-inf-12-en.pdf" TargetMode="External"/><Relationship Id="rId396" Type="http://schemas.openxmlformats.org/officeDocument/2006/relationships/hyperlink" Target="https://www.fao.org/sustainable-development-goals-data-portal/data/indicators/Indicator2.4.1-proportion-of-agricultural-area-under-productive-and-sustainable-agriculture/en" TargetMode="External"/><Relationship Id="rId561" Type="http://schemas.openxmlformats.org/officeDocument/2006/relationships/hyperlink" Target="https://www.ohchr.org/sites/default/files/cedaw.pdf" TargetMode="External"/><Relationship Id="rId617" Type="http://schemas.openxmlformats.org/officeDocument/2006/relationships/hyperlink" Target="https://unhabitat.org/sites/default/files/2019/02/Metadata-11.7.1_Edited_23-03-2018.pdf" TargetMode="External"/><Relationship Id="rId659" Type="http://schemas.openxmlformats.org/officeDocument/2006/relationships/hyperlink" Target="https://unhabitat.org/sites/default/files/2019/02/Metadata-11.7.1_Edited_23-03-2018.pdf" TargetMode="External"/><Relationship Id="rId214" Type="http://schemas.openxmlformats.org/officeDocument/2006/relationships/hyperlink" Target="https://one.oecd.org/document/DCD/DAC/STAT(2023)9/ADD2/final/en/pdf" TargetMode="External"/><Relationship Id="rId256" Type="http://schemas.openxmlformats.org/officeDocument/2006/relationships/hyperlink" Target="http://applewebdata/E3E9E917-A418-41F4-B67F-7D260B815D7D" TargetMode="External"/><Relationship Id="rId298" Type="http://schemas.openxmlformats.org/officeDocument/2006/relationships/hyperlink" Target="https://www.bipindicators.net/indicators/coverage-of-protected-areas-terrestrial-and-marine" TargetMode="External"/><Relationship Id="rId421" Type="http://schemas.openxmlformats.org/officeDocument/2006/relationships/hyperlink" Target="https://data.unhabitat.org/" TargetMode="External"/><Relationship Id="rId463" Type="http://schemas.openxmlformats.org/officeDocument/2006/relationships/hyperlink" Target="https://doi.org/10.1787/808f110c-en" TargetMode="External"/><Relationship Id="rId519" Type="http://schemas.openxmlformats.org/officeDocument/2006/relationships/hyperlink" Target="https://rightsandresources.org/publication/who-owns-the-worlds-land-2nd-ed/?swcfpc=1" TargetMode="External"/><Relationship Id="rId670" Type="http://schemas.openxmlformats.org/officeDocument/2006/relationships/hyperlink" Target="https://www.undp.org/sites/g/files/zskgke326/files/publications/SSC_FAQ%20v1.pdf" TargetMode="External"/><Relationship Id="rId116" Type="http://schemas.openxmlformats.org/officeDocument/2006/relationships/hyperlink" Target="https://conbio.onlinelibrary.wiley.com/doi/full/10.1111/j.1755-263X.2008.00009.x" TargetMode="External"/><Relationship Id="rId158" Type="http://schemas.openxmlformats.org/officeDocument/2006/relationships/hyperlink" Target="https://doi.org/10.1007/s10592-021-01359-w" TargetMode="External"/><Relationship Id="rId323" Type="http://schemas.openxmlformats.org/officeDocument/2006/relationships/hyperlink" Target="http://bioscience.oxfordjournals.org/content/57/3/256.short" TargetMode="External"/><Relationship Id="rId530" Type="http://schemas.openxmlformats.org/officeDocument/2006/relationships/hyperlink" Target="https://glad.umd.edu/dataset" TargetMode="External"/><Relationship Id="rId20" Type="http://schemas.openxmlformats.org/officeDocument/2006/relationships/hyperlink" Target="https://iucnrle.org/rle-material-and-tools" TargetMode="External"/><Relationship Id="rId62" Type="http://schemas.openxmlformats.org/officeDocument/2006/relationships/hyperlink" Target="http://datazone.birdlife.org" TargetMode="External"/><Relationship Id="rId365" Type="http://schemas.openxmlformats.org/officeDocument/2006/relationships/hyperlink" Target="https://doi.org/10.1111/conl.12981" TargetMode="External"/><Relationship Id="rId572" Type="http://schemas.openxmlformats.org/officeDocument/2006/relationships/hyperlink" Target="https://unsdg.un.org/wp-content/uploads/2017/06/UNDG-UNDAF-Companion-Pieces-8-Capacity-Development.pdf" TargetMode="External"/><Relationship Id="rId628" Type="http://schemas.openxmlformats.org/officeDocument/2006/relationships/hyperlink" Target="https://www.ipbes.net/global-assessment" TargetMode="External"/><Relationship Id="rId225" Type="http://schemas.openxmlformats.org/officeDocument/2006/relationships/hyperlink" Target="https://www.undp.org/publications/integrated-spatial-planning-workbook" TargetMode="External"/><Relationship Id="rId267" Type="http://schemas.openxmlformats.org/officeDocument/2006/relationships/hyperlink" Target="https://fra-data.fao.org/assessments/fra/2025" TargetMode="External"/><Relationship Id="rId432" Type="http://schemas.openxmlformats.org/officeDocument/2006/relationships/hyperlink" Target="https://tnfd.global/wp-content/uploads/2023/09/Glossary_of_key_terms_v1.pdf?v=1702506695" TargetMode="External"/><Relationship Id="rId474" Type="http://schemas.openxmlformats.org/officeDocument/2006/relationships/hyperlink" Target="mailto:katia.karousakis@oecd.org" TargetMode="External"/><Relationship Id="rId127" Type="http://schemas.openxmlformats.org/officeDocument/2006/relationships/hyperlink" Target="https://ee.kobotoolbox.org/preview/2KDHEWrb" TargetMode="External"/><Relationship Id="rId681" Type="http://schemas.openxmlformats.org/officeDocument/2006/relationships/glossaryDocument" Target="glossary/document.xml"/><Relationship Id="rId31" Type="http://schemas.openxmlformats.org/officeDocument/2006/relationships/hyperlink" Target="https://global-ecosystems.org/" TargetMode="External"/><Relationship Id="rId73" Type="http://schemas.openxmlformats.org/officeDocument/2006/relationships/hyperlink" Target="https://portals.iucn.org/library/node/9321" TargetMode="External"/><Relationship Id="rId169" Type="http://schemas.openxmlformats.org/officeDocument/2006/relationships/hyperlink" Target="https://seea.un.org/content/seea-e-learning-resources" TargetMode="External"/><Relationship Id="rId334" Type="http://schemas.openxmlformats.org/officeDocument/2006/relationships/hyperlink" Target="https://github.com/BirdLifeInternational/kba-overlap" TargetMode="External"/><Relationship Id="rId376" Type="http://schemas.openxmlformats.org/officeDocument/2006/relationships/hyperlink" Target="https://wedocs.unep.org/bitstream/handle/20.500.11822/35086/USO.pdf?sequence=3&amp;isAllowed=y" TargetMode="External"/><Relationship Id="rId541" Type="http://schemas.openxmlformats.org/officeDocument/2006/relationships/hyperlink" Target="https://www.ilo.org/wcmsp5/groups/public/---asia/---ro-bangkok/---ilo-jakarta/documents/publication/wcms_124013.pdf" TargetMode="External"/><Relationship Id="rId583" Type="http://schemas.openxmlformats.org/officeDocument/2006/relationships/hyperlink" Target="https://www.nature.com/articles/s41559-021-01538-5" TargetMode="External"/><Relationship Id="rId639" Type="http://schemas.openxmlformats.org/officeDocument/2006/relationships/hyperlink" Target="https://unhabitat.org/sites/default/files/2019/02/Metadata-11.7.1_Edited_23-03-2018.pdf" TargetMode="External"/><Relationship Id="rId4" Type="http://schemas.openxmlformats.org/officeDocument/2006/relationships/customXml" Target="../customXml/item4.xml"/><Relationship Id="rId180" Type="http://schemas.openxmlformats.org/officeDocument/2006/relationships/hyperlink" Target="https://academic.oup.com/bioscience/article/75/4/298/8024202" TargetMode="External"/><Relationship Id="rId236" Type="http://schemas.openxmlformats.org/officeDocument/2006/relationships/hyperlink" Target="https://production-wordpress.spacescoalition.org/content//uploads/2022/12/202205_SPACES-Primer-Paper_05.pdf" TargetMode="External"/><Relationship Id="rId278" Type="http://schemas.openxmlformats.org/officeDocument/2006/relationships/hyperlink" Target="https://protect-eu.mimecast.com/s/WcOiCmgzSjg4v9CGDzbv?domain=keybiodiversityareas.org" TargetMode="External"/><Relationship Id="rId401" Type="http://schemas.openxmlformats.org/officeDocument/2006/relationships/image" Target="media/image26.png"/><Relationship Id="rId443" Type="http://schemas.openxmlformats.org/officeDocument/2006/relationships/hyperlink" Target="https://www.worldbenchmarkingalliance.org/" TargetMode="External"/><Relationship Id="rId650" Type="http://schemas.openxmlformats.org/officeDocument/2006/relationships/hyperlink" Target="https://seea.un.org/sites/seea.un.org/files/documents/EA/seea_ea_white_cover_final.pdf" TargetMode="External"/><Relationship Id="rId303" Type="http://schemas.openxmlformats.org/officeDocument/2006/relationships/hyperlink" Target="http://www.sciencemag.org/content/328/5982/1164.short" TargetMode="External"/><Relationship Id="rId485" Type="http://schemas.openxmlformats.org/officeDocument/2006/relationships/hyperlink" Target="https://environment.ec.europa.eu/economy-and-finance/phasing-out-environmentally-harmful-subsidies_en" TargetMode="External"/><Relationship Id="rId42" Type="http://schemas.openxmlformats.org/officeDocument/2006/relationships/hyperlink" Target="http://www.iucnredlist.org/" TargetMode="External"/><Relationship Id="rId84" Type="http://schemas.openxmlformats.org/officeDocument/2006/relationships/hyperlink" Target="https://github.com/BirdLifeInternational/rli-codes" TargetMode="External"/><Relationship Id="rId138" Type="http://schemas.openxmlformats.org/officeDocument/2006/relationships/hyperlink" Target="https://biodiversidad.co/" TargetMode="External"/><Relationship Id="rId345" Type="http://schemas.openxmlformats.org/officeDocument/2006/relationships/hyperlink" Target="https://unstats.un.org/sdgs/metadata/files/Metadata-14-04-01.pdf" TargetMode="External"/><Relationship Id="rId387" Type="http://schemas.openxmlformats.org/officeDocument/2006/relationships/hyperlink" Target="https://www.ilo.org/global/publications/WCMS_862144/lang--en/index.htm" TargetMode="External"/><Relationship Id="rId510" Type="http://schemas.openxmlformats.org/officeDocument/2006/relationships/hyperlink" Target="https://www.cbd.int/doc/recommendations/sbstta-25/sbstta-25-rec-01-en.pdf" TargetMode="External"/><Relationship Id="rId552" Type="http://schemas.openxmlformats.org/officeDocument/2006/relationships/hyperlink" Target="https://fra-data.fao.org/assessments/fra/2025" TargetMode="External"/><Relationship Id="rId594" Type="http://schemas.openxmlformats.org/officeDocument/2006/relationships/hyperlink" Target="https://www.ipbes.net/ias" TargetMode="External"/><Relationship Id="rId608" Type="http://schemas.openxmlformats.org/officeDocument/2006/relationships/hyperlink" Target="https://www.ipbes.net/ias" TargetMode="External"/><Relationship Id="rId191" Type="http://schemas.openxmlformats.org/officeDocument/2006/relationships/hyperlink" Target="file:///C:\Users\JCAMPBEL8\AppData\Local\Microsoft\Windows\INetCache\Content.Outlook\DP8H46RM\Daniele.Manzella@fao.org" TargetMode="External"/><Relationship Id="rId205" Type="http://schemas.openxmlformats.org/officeDocument/2006/relationships/hyperlink" Target="https://one.oecd.org/document/DCD/DAC/STAT(2018)25/en/pdf" TargetMode="External"/><Relationship Id="rId247" Type="http://schemas.openxmlformats.org/officeDocument/2006/relationships/hyperlink" Target="https://wedocs.unep.org/handle/20.500.11822/44333" TargetMode="External"/><Relationship Id="rId412" Type="http://schemas.openxmlformats.org/officeDocument/2006/relationships/hyperlink" Target="https://openknowledge.fao.org/handle/20.500.14283/cc4691en" TargetMode="External"/><Relationship Id="rId107" Type="http://schemas.openxmlformats.org/officeDocument/2006/relationships/hyperlink" Target="https://www.sciencedirect.com/science/article/pii/S0006320720307126" TargetMode="External"/><Relationship Id="rId289" Type="http://schemas.openxmlformats.org/officeDocument/2006/relationships/hyperlink" Target="https://www.ibat-alliance.org/country_profiles?locale=en" TargetMode="External"/><Relationship Id="rId454" Type="http://schemas.openxmlformats.org/officeDocument/2006/relationships/hyperlink" Target="mailto:Miguel.CARDENASRODRIGUEZ@oecd.org" TargetMode="External"/><Relationship Id="rId496" Type="http://schemas.openxmlformats.org/officeDocument/2006/relationships/hyperlink" Target="https://unterm.un.org/unterm2/display/record/UNTERM/7A56E07A5C55446285256BB2005D11F0" TargetMode="External"/><Relationship Id="rId661" Type="http://schemas.openxmlformats.org/officeDocument/2006/relationships/hyperlink" Target="https://www.ipbes.net/assessment-reports/ldr" TargetMode="External"/><Relationship Id="rId11" Type="http://schemas.openxmlformats.org/officeDocument/2006/relationships/image" Target="media/image1.png"/><Relationship Id="rId53" Type="http://schemas.openxmlformats.org/officeDocument/2006/relationships/hyperlink" Target="https://portals.iucn.org/library/node/10336" TargetMode="External"/><Relationship Id="rId149" Type="http://schemas.openxmlformats.org/officeDocument/2006/relationships/hyperlink" Target="https://boninabox.geobon.org/index" TargetMode="External"/><Relationship Id="rId314" Type="http://schemas.openxmlformats.org/officeDocument/2006/relationships/hyperlink" Target="http://onlinelibrary.wiley.com/doi/10.1002/aqc.902/abstract" TargetMode="External"/><Relationship Id="rId356" Type="http://schemas.openxmlformats.org/officeDocument/2006/relationships/hyperlink" Target="https://griis.org/" TargetMode="External"/><Relationship Id="rId398" Type="http://schemas.openxmlformats.org/officeDocument/2006/relationships/image" Target="media/image23.png"/><Relationship Id="rId521" Type="http://schemas.openxmlformats.org/officeDocument/2006/relationships/hyperlink" Target="https://indigenousnavigator.org/" TargetMode="External"/><Relationship Id="rId563" Type="http://schemas.openxmlformats.org/officeDocument/2006/relationships/hyperlink" Target="https://unstats.un.org/sdgs/metadata/files/Metadata-16-10-02.pdf" TargetMode="External"/><Relationship Id="rId619" Type="http://schemas.openxmlformats.org/officeDocument/2006/relationships/hyperlink" Target="https://www.ipbes.net/glossary-tag/land-use-change" TargetMode="External"/><Relationship Id="rId95" Type="http://schemas.openxmlformats.org/officeDocument/2006/relationships/hyperlink" Target="http://onlinelibrary.wiley.com/doi/10.1111/conl.12162/abstract" TargetMode="External"/><Relationship Id="rId160" Type="http://schemas.openxmlformats.org/officeDocument/2006/relationships/image" Target="media/image11.png"/><Relationship Id="rId216" Type="http://schemas.openxmlformats.org/officeDocument/2006/relationships/hyperlink" Target="https://www.oecd.org/development/financing-sustainable-development/development-finance-standards/beyond-oda-foundations" TargetMode="External"/><Relationship Id="rId423" Type="http://schemas.openxmlformats.org/officeDocument/2006/relationships/hyperlink" Target="https://unstats.un.org/sdgs/metadata/files/Metadata-11-07-01.pdf" TargetMode="External"/><Relationship Id="rId258" Type="http://schemas.openxmlformats.org/officeDocument/2006/relationships/hyperlink" Target="https://www.cbd.int/gbf/targets/1/" TargetMode="External"/><Relationship Id="rId465" Type="http://schemas.openxmlformats.org/officeDocument/2006/relationships/hyperlink" Target="https://doi.org/10.1787/9c3ad238-en" TargetMode="External"/><Relationship Id="rId630" Type="http://schemas.openxmlformats.org/officeDocument/2006/relationships/hyperlink" Target="https://unstats.un.org/unsd/nationalaccount/sna.asp" TargetMode="External"/><Relationship Id="rId672" Type="http://schemas.openxmlformats.org/officeDocument/2006/relationships/hyperlink" Target="https://www.ipbes.net/sustainable-use-assessment" TargetMode="External"/><Relationship Id="rId22" Type="http://schemas.openxmlformats.org/officeDocument/2006/relationships/hyperlink" Target="https://github.com/red-list-ecosystem/rle_indices" TargetMode="External"/><Relationship Id="rId64" Type="http://schemas.openxmlformats.org/officeDocument/2006/relationships/hyperlink" Target="https://www.iucnredlist.org/resources/threat-classification-scheme" TargetMode="External"/><Relationship Id="rId118" Type="http://schemas.openxmlformats.org/officeDocument/2006/relationships/hyperlink" Target="https://www.iucn.org/resources/publication/selecting-species-and-populations-monitoring-genetic-diversity" TargetMode="External"/><Relationship Id="rId325" Type="http://schemas.openxmlformats.org/officeDocument/2006/relationships/hyperlink" Target="https://doi.org/10.1038/s41597-022-01425-z" TargetMode="External"/><Relationship Id="rId367" Type="http://schemas.openxmlformats.org/officeDocument/2006/relationships/hyperlink" Target="https://geobon.org/ebvs/indicators/" TargetMode="External"/><Relationship Id="rId532" Type="http://schemas.openxmlformats.org/officeDocument/2006/relationships/hyperlink" Target="https://landmarkmap.org/" TargetMode="External"/><Relationship Id="rId574" Type="http://schemas.openxmlformats.org/officeDocument/2006/relationships/hyperlink" Target="https://www.unicef.ca/sites/default/files/imce_uploads/UTILITY%20NAV/TEACHERS/DOCS/GC/The_Convention_on_the_Rights_of_the_Child_abbreviated_version.pdf" TargetMode="External"/><Relationship Id="rId171" Type="http://schemas.openxmlformats.org/officeDocument/2006/relationships/hyperlink" Target="mailto:seea@un.org" TargetMode="External"/><Relationship Id="rId227" Type="http://schemas.openxmlformats.org/officeDocument/2006/relationships/hyperlink" Target="https://www.fao.org/3/i2801e/i2801e.pdf" TargetMode="External"/><Relationship Id="rId269" Type="http://schemas.openxmlformats.org/officeDocument/2006/relationships/hyperlink" Target="https://www.ifc.org/en/insights-reports/2012/ifc-performance-standard-6" TargetMode="External"/><Relationship Id="rId434" Type="http://schemas.openxmlformats.org/officeDocument/2006/relationships/hyperlink" Target="mailto:odile.conchou@wanadoo.fr" TargetMode="External"/><Relationship Id="rId476" Type="http://schemas.openxmlformats.org/officeDocument/2006/relationships/hyperlink" Target="mailto:unep-science-sdgs@un.org" TargetMode="External"/><Relationship Id="rId641" Type="http://schemas.openxmlformats.org/officeDocument/2006/relationships/hyperlink" Target="https://seea.un.org/sites/seea.un.org/files/documents/EA/seea_ea_white_cover_final.pdf" TargetMode="External"/><Relationship Id="rId33" Type="http://schemas.openxmlformats.org/officeDocument/2006/relationships/hyperlink" Target="https://globalecosystemsatlas.org/" TargetMode="External"/><Relationship Id="rId129" Type="http://schemas.openxmlformats.org/officeDocument/2006/relationships/hyperlink" Target="https://www.coalitionforconservationgenetics.org/publications" TargetMode="External"/><Relationship Id="rId280" Type="http://schemas.openxmlformats.org/officeDocument/2006/relationships/hyperlink" Target="http://www.keybiodiversityareas.org/working-with-kbas/proposing-updating" TargetMode="External"/><Relationship Id="rId336" Type="http://schemas.openxmlformats.org/officeDocument/2006/relationships/hyperlink" Target="https://doi.org/10.1641/B570707" TargetMode="External"/><Relationship Id="rId501" Type="http://schemas.openxmlformats.org/officeDocument/2006/relationships/hyperlink" Target="https://can01.safelinks.protection.outlook.com/?url=https%3A%2F%2Fwww.speciesmonitoring.org%2Fschemes.html&amp;data=05%7C02%7Candrew.gonzalez%40mcgill.ca%7C1348435dc89f4375301008dc427f62c0%7Ccd31967152e74a68afa9fcf8f89f09ea%7C0%7C0%7C638458362086749964%7CUnknown%7CTWFpbGZsb3d8eyJWIjoiMC4wLjAwMDAiLCJQIjoiV2luMzIiLCJBTiI6Ik1haWwiLCJXVCI6Mn0%3D%7C0%7C%7C%7C&amp;sdata=DL7y3xLuAB%2F%2F9ElJpCK4f6xYkHbES4c3Tjb7RMi9GB0%3D&amp;reserved=0" TargetMode="External"/><Relationship Id="rId543" Type="http://schemas.openxmlformats.org/officeDocument/2006/relationships/hyperlink" Target="https://indigenousnavigator.org/" TargetMode="External"/><Relationship Id="rId75" Type="http://schemas.openxmlformats.org/officeDocument/2006/relationships/hyperlink" Target="http://www.plosbiology.org/article/info:doi/10.1371/journal.pbio.0020383" TargetMode="External"/><Relationship Id="rId140" Type="http://schemas.openxmlformats.org/officeDocument/2006/relationships/hyperlink" Target="https://doi.org/10.1111/conl.12953" TargetMode="External"/><Relationship Id="rId182" Type="http://schemas.openxmlformats.org/officeDocument/2006/relationships/hyperlink" Target="https://target-tracker.org/" TargetMode="External"/><Relationship Id="rId378" Type="http://schemas.openxmlformats.org/officeDocument/2006/relationships/hyperlink" Target="https://wedocs.unep.org/handle/20.500.11822/35086" TargetMode="External"/><Relationship Id="rId403" Type="http://schemas.openxmlformats.org/officeDocument/2006/relationships/image" Target="media/image28.png"/><Relationship Id="rId585" Type="http://schemas.openxmlformats.org/officeDocument/2006/relationships/hyperlink" Target="https://seea.un.org/sites/seea.un.org/files/documents/EA/seea_ea_white_cover_final.pdf" TargetMode="External"/><Relationship Id="rId6" Type="http://schemas.openxmlformats.org/officeDocument/2006/relationships/styles" Target="styles.xml"/><Relationship Id="rId238" Type="http://schemas.openxmlformats.org/officeDocument/2006/relationships/hyperlink" Target="https://www.sanbi.org/biodiversity/building-knowledge/biodiversity-monitoring-assessment/national-biodiversity-assessment/" TargetMode="External"/><Relationship Id="rId445" Type="http://schemas.openxmlformats.org/officeDocument/2006/relationships/hyperlink" Target="https://unglobalcompact.org/%22%EF%B7%9FHYPERLINK%20%22https:/www.gbif.org/business" TargetMode="External"/><Relationship Id="rId487" Type="http://schemas.openxmlformats.org/officeDocument/2006/relationships/hyperlink" Target="https://www.fao.org/3/cc0639en/cc0639en.pdf" TargetMode="External"/><Relationship Id="rId610" Type="http://schemas.openxmlformats.org/officeDocument/2006/relationships/hyperlink" Target="https://www.un.org/esa/socdev/rwss/2016/chapter1.pdf" TargetMode="External"/><Relationship Id="rId652" Type="http://schemas.openxmlformats.org/officeDocument/2006/relationships/hyperlink" Target="https://leap.unep.org/en/knowledge/glossary/risk-assessment" TargetMode="External"/><Relationship Id="rId291" Type="http://schemas.openxmlformats.org/officeDocument/2006/relationships/hyperlink" Target="https://www.keybiodiversityareas.org/working-with-kbas/proposing-updating/proposal-process" TargetMode="External"/><Relationship Id="rId305" Type="http://schemas.openxmlformats.org/officeDocument/2006/relationships/hyperlink" Target="http://onlinelibrary.wiley.com/doi/10.1111/conl.12158/full" TargetMode="External"/><Relationship Id="rId347" Type="http://schemas.openxmlformats.org/officeDocument/2006/relationships/hyperlink" Target="https://elearning.fao.org/course/view.php?id=502" TargetMode="External"/><Relationship Id="rId512" Type="http://schemas.openxmlformats.org/officeDocument/2006/relationships/hyperlink" Target="https://www.cbd.int/doc/recommendations/wg8j-12/wg8j-12-rec-04-en.pdf" TargetMode="External"/><Relationship Id="rId44" Type="http://schemas.openxmlformats.org/officeDocument/2006/relationships/hyperlink" Target="https://www.iucnredlist.org/assessment/process" TargetMode="External"/><Relationship Id="rId86" Type="http://schemas.openxmlformats.org/officeDocument/2006/relationships/hyperlink" Target="http://www.sciencemag.org/content/330/6010/1503.short" TargetMode="External"/><Relationship Id="rId151" Type="http://schemas.openxmlformats.org/officeDocument/2006/relationships/hyperlink" Target="https://www.cbd.int/doc/c/179e/aecb/592f67904bf07dca7d0971da/cop-15-l-26-en.pdf" TargetMode="External"/><Relationship Id="rId389" Type="http://schemas.openxmlformats.org/officeDocument/2006/relationships/hyperlink" Target="https://www.google.com/url?sa=t&amp;rct=j&amp;q=&amp;esrc=s&amp;source=web&amp;cd=&amp;cad=rja&amp;uact=8&amp;ved=2ahUKEwjC49X5q6T7AhXrjYkEHeH7CxwQFnoECA8QAQ&amp;url=https%3A%2F%2Functad.org%2Fsystem%2Ffiles%2Fofficial-document%2Fditcted2022d2_en.pdf&amp;usg=AOvVaw2Z61cftauN5rrtQuAfwpN5" TargetMode="External"/><Relationship Id="rId554" Type="http://schemas.openxmlformats.org/officeDocument/2006/relationships/hyperlink" Target="https://glad.umd.edu/dataset" TargetMode="External"/><Relationship Id="rId596" Type="http://schemas.openxmlformats.org/officeDocument/2006/relationships/hyperlink" Target="https://portals.iucn.org/library/sites/library/files/documents/RL-2001-001-2nd.pdf" TargetMode="External"/><Relationship Id="rId193" Type="http://schemas.openxmlformats.org/officeDocument/2006/relationships/hyperlink" Target="https://doi.org/10.1093/biosci/biae132" TargetMode="External"/><Relationship Id="rId207" Type="http://schemas.openxmlformats.org/officeDocument/2006/relationships/hyperlink" Target="https://www.tossd.org/content/dam/tossd/en/methodology-pdfs/List-TOSSD-recipients.pdf" TargetMode="External"/><Relationship Id="rId249" Type="http://schemas.openxmlformats.org/officeDocument/2006/relationships/hyperlink" Target="https://www.boe.es/diario_boe/txt.php?id=BOE-A-2023-5704" TargetMode="External"/><Relationship Id="rId414" Type="http://schemas.openxmlformats.org/officeDocument/2006/relationships/hyperlink" Target="https://unhabitat.org/sites/default/files/2020/07/indicator_11.7.1_training_module_public_space.pdf" TargetMode="External"/><Relationship Id="rId456" Type="http://schemas.openxmlformats.org/officeDocument/2006/relationships/hyperlink" Target="https://ec.europa.eu/eurostat/documents/1798247/6191541/Guidance+material+for+PEDS+compilation.pdf/f0f177d5-5bcd-0902-54e1-e39b7ce4d132?t=1671143474732" TargetMode="External"/><Relationship Id="rId498" Type="http://schemas.openxmlformats.org/officeDocument/2006/relationships/hyperlink" Target="https://doi.org/10.1007/978-94-007-6165-0_367-2" TargetMode="External"/><Relationship Id="rId621" Type="http://schemas.openxmlformats.org/officeDocument/2006/relationships/hyperlink" Target="https://thedocs.worldbank.org/en/doc/717891604534837739-0090022020/original/110520MakingItBigWhyDevelopingCountriesNeedMoreLargeFirms.pdf" TargetMode="External"/><Relationship Id="rId663" Type="http://schemas.openxmlformats.org/officeDocument/2006/relationships/hyperlink" Target="https://www.un.org/sustainabledevelopment/development-agenda/" TargetMode="External"/><Relationship Id="rId13" Type="http://schemas.openxmlformats.org/officeDocument/2006/relationships/image" Target="media/image3.png"/><Relationship Id="rId109" Type="http://schemas.openxmlformats.org/officeDocument/2006/relationships/hyperlink" Target="https://besjournals.onlinelibrary.wiley.com/doi/full/10.1111/1365-2664.14225" TargetMode="External"/><Relationship Id="rId260" Type="http://schemas.openxmlformats.org/officeDocument/2006/relationships/image" Target="media/image16.png"/><Relationship Id="rId316" Type="http://schemas.openxmlformats.org/officeDocument/2006/relationships/hyperlink" Target="http://www.threatenedtaxa.in/index.php/JoTT/article/view/779" TargetMode="External"/><Relationship Id="rId523" Type="http://schemas.openxmlformats.org/officeDocument/2006/relationships/hyperlink" Target="https://www.prindex.net/" TargetMode="External"/><Relationship Id="rId55" Type="http://schemas.openxmlformats.org/officeDocument/2006/relationships/hyperlink" Target="file:///C:\Users\Stuart.Butchart\AppData\Local\Microsoft\Windows\INetCache\Content.Outlook\CTAA3KMM\available" TargetMode="External"/><Relationship Id="rId97" Type="http://schemas.openxmlformats.org/officeDocument/2006/relationships/hyperlink" Target="http://onlinelibrary.wiley.com/doi/10.1111/j.1523-1739.2008.00937.x/full" TargetMode="External"/><Relationship Id="rId120" Type="http://schemas.openxmlformats.org/officeDocument/2006/relationships/hyperlink" Target="https://www.youtube.com/watch?v=qRKdo7E9kVQ" TargetMode="External"/><Relationship Id="rId358" Type="http://schemas.openxmlformats.org/officeDocument/2006/relationships/hyperlink" Target="https://doi.org/10.5281/zenodo.10039630" TargetMode="External"/><Relationship Id="rId565" Type="http://schemas.openxmlformats.org/officeDocument/2006/relationships/hyperlink" Target="https://www.ipbes.net/assessment-reports/ldr" TargetMode="External"/><Relationship Id="rId162" Type="http://schemas.openxmlformats.org/officeDocument/2006/relationships/image" Target="media/image13.png"/><Relationship Id="rId218" Type="http://schemas.openxmlformats.org/officeDocument/2006/relationships/hyperlink" Target="https://www.oecd.org/development/financing-sustainable-development/development-finance-standards/mobilisation.htm" TargetMode="External"/><Relationship Id="rId425" Type="http://schemas.openxmlformats.org/officeDocument/2006/relationships/hyperlink" Target="mailto:robert.ndugwa@un.org" TargetMode="External"/><Relationship Id="rId467" Type="http://schemas.openxmlformats.org/officeDocument/2006/relationships/hyperlink" Target="https://issuu.com/oecd.publishing/docs/oecd-fse-manual-2024" TargetMode="External"/><Relationship Id="rId632" Type="http://schemas.openxmlformats.org/officeDocument/2006/relationships/hyperlink" Target="https://www.cbd.int/doc/pa/tools/National%20Capacity%20Self%20Assessment.pdf" TargetMode="External"/><Relationship Id="rId271" Type="http://schemas.openxmlformats.org/officeDocument/2006/relationships/hyperlink" Target="https://doi.org/10.5281/zenodo.3553579" TargetMode="External"/><Relationship Id="rId674" Type="http://schemas.openxmlformats.org/officeDocument/2006/relationships/hyperlink" Target="https://unstats.un.org/unsd/environmentgl/" TargetMode="External"/><Relationship Id="rId24" Type="http://schemas.openxmlformats.org/officeDocument/2006/relationships/hyperlink" Target="https://assessments.iucnrle.org" TargetMode="External"/><Relationship Id="rId66" Type="http://schemas.openxmlformats.org/officeDocument/2006/relationships/hyperlink" Target="mailto:thomas.brooks@iucn.org" TargetMode="External"/><Relationship Id="rId131" Type="http://schemas.openxmlformats.org/officeDocument/2006/relationships/hyperlink" Target="https://doi.org/10.32942/X2QK5W" TargetMode="External"/><Relationship Id="rId327" Type="http://schemas.openxmlformats.org/officeDocument/2006/relationships/hyperlink" Target="https://doi.org/10.1038/s41597-019-0300-6" TargetMode="External"/><Relationship Id="rId369" Type="http://schemas.openxmlformats.org/officeDocument/2006/relationships/hyperlink" Target="mailto:info@geobon.org" TargetMode="External"/><Relationship Id="rId534" Type="http://schemas.openxmlformats.org/officeDocument/2006/relationships/hyperlink" Target="mailto:ward.anseeuw@fao.org" TargetMode="External"/><Relationship Id="rId576" Type="http://schemas.openxmlformats.org/officeDocument/2006/relationships/hyperlink" Target="https://tnfd.global/wp-content/uploads/2023/09/Glossary_of_key_terms_v1.pdf?v=1695138274" TargetMode="External"/><Relationship Id="rId173" Type="http://schemas.openxmlformats.org/officeDocument/2006/relationships/hyperlink" Target="https://seea.un.org/ecosystem-accounting/biophysical-modelling" TargetMode="External"/><Relationship Id="rId229" Type="http://schemas.openxmlformats.org/officeDocument/2006/relationships/hyperlink" Target="https://www.mspglobal2030.org/wp-content/uploads/2022/05/StOR_MSP_SupplementaryMaterial_2022-1.pdf" TargetMode="External"/><Relationship Id="rId380" Type="http://schemas.openxmlformats.org/officeDocument/2006/relationships/hyperlink" Target="mailto:dany.ghafari@un.org" TargetMode="External"/><Relationship Id="rId436" Type="http://schemas.openxmlformats.org/officeDocument/2006/relationships/hyperlink" Target="mailto:gwf@biodiv.com.br" TargetMode="External"/><Relationship Id="rId601" Type="http://schemas.openxmlformats.org/officeDocument/2006/relationships/hyperlink" Target="https://www.fao.org/3/I8661EN/i8661en.pdf" TargetMode="External"/><Relationship Id="rId643" Type="http://schemas.openxmlformats.org/officeDocument/2006/relationships/hyperlink" Target="https://seea.un.org/sites/seea.un.org/files/documents/EA/seea_ea_white_cover_final.pdf" TargetMode="External"/><Relationship Id="rId240" Type="http://schemas.openxmlformats.org/officeDocument/2006/relationships/hyperlink" Target="https://environmental-partnership.org/wp-content/uploads/2021/12/Policy-Brief-Ecological-Conservation-Redlines-2.pdf" TargetMode="External"/><Relationship Id="rId478" Type="http://schemas.openxmlformats.org/officeDocument/2006/relationships/hyperlink" Target="mailto:Will.symes@oecd.org" TargetMode="External"/><Relationship Id="rId35" Type="http://schemas.openxmlformats.org/officeDocument/2006/relationships/hyperlink" Target="https://seea.un.org/content/aries-for-seea" TargetMode="External"/><Relationship Id="rId77" Type="http://schemas.openxmlformats.org/officeDocument/2006/relationships/hyperlink" Target="http://onlinelibrary.wiley.com/doi/10.1111/j.1523-1739.2006.00410.x/abstract" TargetMode="External"/><Relationship Id="rId100" Type="http://schemas.openxmlformats.org/officeDocument/2006/relationships/hyperlink" Target="https://doi.org/10.1007/s10592-022-01492-0" TargetMode="External"/><Relationship Id="rId282" Type="http://schemas.openxmlformats.org/officeDocument/2006/relationships/hyperlink" Target="http://www.protectedplanet.net/" TargetMode="External"/><Relationship Id="rId338" Type="http://schemas.openxmlformats.org/officeDocument/2006/relationships/hyperlink" Target="http://wcmc.io/WDPA_Manual" TargetMode="External"/><Relationship Id="rId503" Type="http://schemas.openxmlformats.org/officeDocument/2006/relationships/hyperlink" Target="https://www.tandfonline.com/doi/abs/10.1080/14888386.2015.1074111" TargetMode="External"/><Relationship Id="rId545" Type="http://schemas.openxmlformats.org/officeDocument/2006/relationships/hyperlink" Target="https://rightsandresources.org/rri-tenure-tool/" TargetMode="External"/><Relationship Id="rId587" Type="http://schemas.openxmlformats.org/officeDocument/2006/relationships/hyperlink" Target="https://global-ecosystems.org/" TargetMode="External"/><Relationship Id="rId8" Type="http://schemas.openxmlformats.org/officeDocument/2006/relationships/webSettings" Target="webSettings.xml"/><Relationship Id="rId142" Type="http://schemas.openxmlformats.org/officeDocument/2006/relationships/image" Target="media/image10.png"/><Relationship Id="rId184" Type="http://schemas.openxmlformats.org/officeDocument/2006/relationships/hyperlink" Target="https://nmbs.dsmz.de/api/schema/swagger-ui/" TargetMode="External"/><Relationship Id="rId391" Type="http://schemas.openxmlformats.org/officeDocument/2006/relationships/hyperlink" Target="https://unstats.un.org/sdgs/metadata/files/Metadata-02-04-01.pdf" TargetMode="External"/><Relationship Id="rId405" Type="http://schemas.openxmlformats.org/officeDocument/2006/relationships/image" Target="media/image30.png"/><Relationship Id="rId447" Type="http://schemas.openxmlformats.org/officeDocument/2006/relationships/hyperlink" Target="https://tnfd.global/wp-content/uploads/2023/08/Guidance_on_the_identification_and_assessment_of_nature-related_Issues_The_TNFD_LEAP_approach_V1.1_October2023.pdf?v=1698403116" TargetMode="External"/><Relationship Id="rId612" Type="http://schemas.openxmlformats.org/officeDocument/2006/relationships/hyperlink" Target="https://www.ipbes.net/global-assessment" TargetMode="External"/><Relationship Id="rId251" Type="http://schemas.openxmlformats.org/officeDocument/2006/relationships/hyperlink" Target="https://intemares.es/procesos-participativos/cachucho" TargetMode="External"/><Relationship Id="rId489" Type="http://schemas.openxmlformats.org/officeDocument/2006/relationships/hyperlink" Target="https://doi.org/10.1787/a80ac398-en" TargetMode="External"/><Relationship Id="rId654" Type="http://schemas.openxmlformats.org/officeDocument/2006/relationships/hyperlink" Target="https://www.ncbi.nlm.nih.gov/pmc/articles/PMC5491675/" TargetMode="External"/><Relationship Id="rId46" Type="http://schemas.openxmlformats.org/officeDocument/2006/relationships/hyperlink" Target="http://www.iucnredlist.org/" TargetMode="External"/><Relationship Id="rId293" Type="http://schemas.openxmlformats.org/officeDocument/2006/relationships/hyperlink" Target="https://global-ecosystems.org/" TargetMode="External"/><Relationship Id="rId307" Type="http://schemas.openxmlformats.org/officeDocument/2006/relationships/hyperlink" Target="https://www.cbd.int/doc/decisions/cop-14/cop-14-dec-08-en.pdf" TargetMode="External"/><Relationship Id="rId349" Type="http://schemas.openxmlformats.org/officeDocument/2006/relationships/hyperlink" Target="mailto:SDG-indicators@fao.org" TargetMode="External"/><Relationship Id="rId514" Type="http://schemas.openxmlformats.org/officeDocument/2006/relationships/hyperlink" Target="https://www.ilo.org/dyn/normlex/en/f?p=NORMLEXPUB:55:0::NO::P55_TYPE,P55_LANG,P55_DOCUMENT,P55_NODE:REV,en,C169,/Document" TargetMode="External"/><Relationship Id="rId556" Type="http://schemas.openxmlformats.org/officeDocument/2006/relationships/hyperlink" Target="https://landmarkmap.org/map" TargetMode="External"/><Relationship Id="rId88" Type="http://schemas.openxmlformats.org/officeDocument/2006/relationships/hyperlink" Target="http://www.iucnredlist.org/documents/RedListGuidelines.pdf" TargetMode="External"/><Relationship Id="rId111" Type="http://schemas.openxmlformats.org/officeDocument/2006/relationships/hyperlink" Target="https://doi.org/10.32942/X2QK5W" TargetMode="External"/><Relationship Id="rId153" Type="http://schemas.openxmlformats.org/officeDocument/2006/relationships/hyperlink" Target="https://www.sciencedirect.com/science/article/pii/S1470160X18308781" TargetMode="External"/><Relationship Id="rId195" Type="http://schemas.openxmlformats.org/officeDocument/2006/relationships/hyperlink" Target="https://one.oecd.org/document/DCD/DAC%282024%2940/ADD2/FINAL/en/pdf" TargetMode="External"/><Relationship Id="rId209" Type="http://schemas.openxmlformats.org/officeDocument/2006/relationships/hyperlink" Target="https://data.imf.org/?sk=5804c5e1-0502-4672-bdcd-671bcdc565a9" TargetMode="External"/><Relationship Id="rId360" Type="http://schemas.openxmlformats.org/officeDocument/2006/relationships/image" Target="media/image20.png"/><Relationship Id="rId416" Type="http://schemas.openxmlformats.org/officeDocument/2006/relationships/hyperlink" Target="https://ee.kobotoolbox.org/x/" TargetMode="External"/><Relationship Id="rId598" Type="http://schemas.openxmlformats.org/officeDocument/2006/relationships/hyperlink" Target="https://www.federalreserve.gov/econres/notes/feds-notes/fiscal-flow-volatility-and-reserves-20191216.html" TargetMode="External"/><Relationship Id="rId220" Type="http://schemas.openxmlformats.org/officeDocument/2006/relationships/hyperlink" Target="https://unitednations.sharepoint.com/:w:/r/sites/MEA-CBD-Secretariat/_layouts/15/Doc.aspx?sourcedoc=%7B70129BE5-FB54-4802-A605-007D3387CE8B%7D&amp;file=1.1%20Percent%20of%20land%20and%20sea%20area%20covered%20by%20biodiversity-inclusive%20spatial%20plans.docx&amp;action=default&amp;mobileredirect=true" TargetMode="External"/><Relationship Id="rId458" Type="http://schemas.openxmlformats.org/officeDocument/2006/relationships/hyperlink" Target="https://circabc.europa.eu/ui/group/922b4700-1c83-4099-b550-763badab3ec0/library/0228a317-06b2-4c3e-8bac-c079438d97c5/details" TargetMode="External"/><Relationship Id="rId623" Type="http://schemas.openxmlformats.org/officeDocument/2006/relationships/hyperlink" Target="https://www.ipbes.net/sustainable-use-assessment" TargetMode="External"/><Relationship Id="rId665" Type="http://schemas.openxmlformats.org/officeDocument/2006/relationships/hyperlink" Target="https://ec.europa.eu/finance/docs/level-2-measures/csrd-delegated-act-2023-5303-annex-2_en.pdf" TargetMode="External"/><Relationship Id="rId15" Type="http://schemas.openxmlformats.org/officeDocument/2006/relationships/image" Target="media/image5.png"/><Relationship Id="rId57" Type="http://schemas.openxmlformats.org/officeDocument/2006/relationships/hyperlink" Target="https://portals.iucn.org/library/node/10336" TargetMode="External"/><Relationship Id="rId262" Type="http://schemas.openxmlformats.org/officeDocument/2006/relationships/hyperlink" Target="mailto:Julian.Fox@fao.org" TargetMode="External"/><Relationship Id="rId318" Type="http://schemas.openxmlformats.org/officeDocument/2006/relationships/hyperlink" Target="http://journals.plos.org/plosone/article?id=10.1371/journal.pone.0112046" TargetMode="External"/><Relationship Id="rId525" Type="http://schemas.openxmlformats.org/officeDocument/2006/relationships/hyperlink" Target="https://landmarkmap.org/" TargetMode="External"/><Relationship Id="rId567" Type="http://schemas.openxmlformats.org/officeDocument/2006/relationships/hyperlink" Target="https://www.ipbes.net/global-assessment" TargetMode="External"/><Relationship Id="rId99" Type="http://schemas.openxmlformats.org/officeDocument/2006/relationships/hyperlink" Target="http://onlinelibrary.wiley.com/doi/10.1111/conl.12159/abstract" TargetMode="External"/><Relationship Id="rId122" Type="http://schemas.openxmlformats.org/officeDocument/2006/relationships/hyperlink" Target="https://www.iucnredlist.org/resources/redlistguidelines" TargetMode="External"/><Relationship Id="rId164" Type="http://schemas.openxmlformats.org/officeDocument/2006/relationships/header" Target="header2.xml"/><Relationship Id="rId371" Type="http://schemas.openxmlformats.org/officeDocument/2006/relationships/hyperlink" Target="https://doi.org/10.5281/zenodo.7430692" TargetMode="External"/><Relationship Id="rId427" Type="http://schemas.openxmlformats.org/officeDocument/2006/relationships/hyperlink" Target="https://unhabitat.org/sites/default/files/2020/07/indicator_11.7.1_training_module_public_space.pdf" TargetMode="External"/><Relationship Id="rId469" Type="http://schemas.openxmlformats.org/officeDocument/2006/relationships/hyperlink" Target="https://data-explorer.oecd.org/?fs%5b0%5d=Topic%2C0%7CAgriculture%20and%20fisheries%23AGR%23&amp;pg=0&amp;fc=Topic&amp;bp=true&amp;snb=16" TargetMode="External"/><Relationship Id="rId634" Type="http://schemas.openxmlformats.org/officeDocument/2006/relationships/hyperlink" Target="https://unfccc.int/process-and-meetings/the-paris-agreement/nationally-determined-contributions-ndcs" TargetMode="External"/><Relationship Id="rId676" Type="http://schemas.openxmlformats.org/officeDocument/2006/relationships/hyperlink" Target="https://www.ipbes.net/global-assessment" TargetMode="External"/><Relationship Id="rId26" Type="http://schemas.openxmlformats.org/officeDocument/2006/relationships/hyperlink" Target="https://portals.iucn.org/library/node/51533" TargetMode="External"/><Relationship Id="rId231" Type="http://schemas.openxmlformats.org/officeDocument/2006/relationships/hyperlink" Target="https://www.mapsofhope.org/" TargetMode="External"/><Relationship Id="rId273" Type="http://schemas.openxmlformats.org/officeDocument/2006/relationships/hyperlink" Target="https://doi.org/10.4060/cc9106en" TargetMode="External"/><Relationship Id="rId329" Type="http://schemas.openxmlformats.org/officeDocument/2006/relationships/hyperlink" Target="http://onlinelibrary.wiley.com/doi/10.1111/j.1523-1739.2012.01930.x/abstract" TargetMode="External"/><Relationship Id="rId480" Type="http://schemas.openxmlformats.org/officeDocument/2006/relationships/hyperlink" Target="https://doi:10.1596/978-1-4648-1916-2" TargetMode="External"/><Relationship Id="rId536" Type="http://schemas.openxmlformats.org/officeDocument/2006/relationships/hyperlink" Target="mailto:e.hershaw@landcoalition.org" TargetMode="External"/><Relationship Id="rId68" Type="http://schemas.openxmlformats.org/officeDocument/2006/relationships/hyperlink" Target="https://www.iucn.org/assessment/red-list-index" TargetMode="External"/><Relationship Id="rId133" Type="http://schemas.openxmlformats.org/officeDocument/2006/relationships/hyperlink" Target="https://www.dcceew.gov.au/environment/epbc" TargetMode="External"/><Relationship Id="rId175" Type="http://schemas.openxmlformats.org/officeDocument/2006/relationships/hyperlink" Target="ttps://openknowledge.fao.org/server/api/core/bitstreams/6ed9e2e1-47df-4e1b-af2d-8" TargetMode="External"/><Relationship Id="rId340" Type="http://schemas.openxmlformats.org/officeDocument/2006/relationships/hyperlink" Target="https://wdpa.s3.eu-west-1.amazonaws.com/PAME/protectedplanet_draft_monitoring_effectiveness_approach.pdf" TargetMode="External"/><Relationship Id="rId578" Type="http://schemas.openxmlformats.org/officeDocument/2006/relationships/hyperlink" Target="https://leap.unep.org/en/knowledge/glossary/compliance" TargetMode="External"/><Relationship Id="rId200" Type="http://schemas.openxmlformats.org/officeDocument/2006/relationships/hyperlink" Target="mailto:Marisa.BerbegalIbanez@oecd.org" TargetMode="External"/><Relationship Id="rId382" Type="http://schemas.openxmlformats.org/officeDocument/2006/relationships/hyperlink" Target="https://www.cbd.int/doc/decisions/cop-15/cop-15-dec-05-en.pdf" TargetMode="External"/><Relationship Id="rId438" Type="http://schemas.openxmlformats.org/officeDocument/2006/relationships/hyperlink" Target="https://tnfd.global/" TargetMode="External"/><Relationship Id="rId603" Type="http://schemas.openxmlformats.org/officeDocument/2006/relationships/hyperlink" Target="https://www.unicef.org/rosa/media/1761/file/Genderglossarytermsandconcepts.pdf" TargetMode="External"/><Relationship Id="rId645" Type="http://schemas.openxmlformats.org/officeDocument/2006/relationships/hyperlink" Target="https://sdgs.un.org/topics/poverty-eradication" TargetMode="External"/><Relationship Id="rId242" Type="http://schemas.openxmlformats.org/officeDocument/2006/relationships/hyperlink" Target="https://neoceanplanning.org/" TargetMode="External"/><Relationship Id="rId284" Type="http://schemas.openxmlformats.org/officeDocument/2006/relationships/hyperlink" Target="http://www.keybiodiversityareas.org/" TargetMode="External"/><Relationship Id="rId491" Type="http://schemas.openxmlformats.org/officeDocument/2006/relationships/hyperlink" Target="https://doi.org/10.1787/3e9118d3-en" TargetMode="External"/><Relationship Id="rId505" Type="http://schemas.openxmlformats.org/officeDocument/2006/relationships/hyperlink" Target="https://portal.geobon.org/home" TargetMode="External"/><Relationship Id="rId37" Type="http://schemas.openxmlformats.org/officeDocument/2006/relationships/hyperlink" Target="https://seea.un.org/ecosystem-accounting" TargetMode="External"/><Relationship Id="rId79" Type="http://schemas.openxmlformats.org/officeDocument/2006/relationships/hyperlink" Target="http://www.sciencemag.org/content/328/5982/1164.short" TargetMode="External"/><Relationship Id="rId102" Type="http://schemas.openxmlformats.org/officeDocument/2006/relationships/hyperlink" Target="https://doi.org/10.1007/s10592-022-01492-0" TargetMode="External"/><Relationship Id="rId144" Type="http://schemas.openxmlformats.org/officeDocument/2006/relationships/hyperlink" Target="https://www.cbd.int/doc/c/179e/aecb/592f67904bf07dca7d0971da/cop-15-l-26-en.pdfttps:/www.cbd.int/doc/c/179e/aecb/592f67904bf07dca7d0971da/cop-15-l-26-en.pdf" TargetMode="External"/><Relationship Id="rId547" Type="http://schemas.openxmlformats.org/officeDocument/2006/relationships/hyperlink" Target="https://www.fao.org/tenure/en/" TargetMode="External"/><Relationship Id="rId589" Type="http://schemas.openxmlformats.org/officeDocument/2006/relationships/hyperlink" Target="https://www.ipbes.net/global-assessment" TargetMode="External"/><Relationship Id="rId90" Type="http://schemas.openxmlformats.org/officeDocument/2006/relationships/hyperlink" Target="https://portals.iucn.org/library/node/10336" TargetMode="External"/><Relationship Id="rId186" Type="http://schemas.openxmlformats.org/officeDocument/2006/relationships/hyperlink" Target="mailto:nmbs@dsmz.de" TargetMode="External"/><Relationship Id="rId351" Type="http://schemas.openxmlformats.org/officeDocument/2006/relationships/hyperlink" Target="https://elearning.fao.org/course/view.php?id=502" TargetMode="External"/><Relationship Id="rId393" Type="http://schemas.openxmlformats.org/officeDocument/2006/relationships/hyperlink" Target="https://www.fao.org/sustainable-development-goals-data-portal/data/indicators/indicator-241-proxy-progress-towards-productive-and-sustainable-agriculture/en" TargetMode="External"/><Relationship Id="rId407" Type="http://schemas.openxmlformats.org/officeDocument/2006/relationships/hyperlink" Target="mailto:anne.branthomme@fao.org" TargetMode="External"/><Relationship Id="rId449" Type="http://schemas.openxmlformats.org/officeDocument/2006/relationships/hyperlink" Target="https://capitalscoalition.org/capitals-approach/natural-capital-protocol/?fwp_filter_tabs=guide_supplement" TargetMode="External"/><Relationship Id="rId614" Type="http://schemas.openxmlformats.org/officeDocument/2006/relationships/hyperlink" Target="https://www.ipbes.net/assessment-reports/scenarios" TargetMode="External"/><Relationship Id="rId656" Type="http://schemas.openxmlformats.org/officeDocument/2006/relationships/hyperlink" Target="https://seea.un.org/sites/seea.un.org/files/documents/EA/seea_ea_white_cover_final.pdf" TargetMode="External"/><Relationship Id="rId211" Type="http://schemas.openxmlformats.org/officeDocument/2006/relationships/hyperlink" Target="https://www.biofin.org/biofin-around-world" TargetMode="External"/><Relationship Id="rId253" Type="http://schemas.openxmlformats.org/officeDocument/2006/relationships/hyperlink" Target="https://www.wwf-swio.org/?46348/South-West-Indian-Ocean-Annual-Report-2022" TargetMode="External"/><Relationship Id="rId295" Type="http://schemas.openxmlformats.org/officeDocument/2006/relationships/hyperlink" Target="mailto:Heather.Bingham@unep-wcmc.org" TargetMode="External"/><Relationship Id="rId309" Type="http://schemas.openxmlformats.org/officeDocument/2006/relationships/hyperlink" Target="https://www.cbd.int/doc/c/705d/6b4b/a1a463c1b19392bde6fa08f3/sbstta-24-03-en.pdf" TargetMode="External"/><Relationship Id="rId460" Type="http://schemas.openxmlformats.org/officeDocument/2006/relationships/hyperlink" Target="http://dx.doi.org/10.1787/add0f27c-en" TargetMode="External"/><Relationship Id="rId516" Type="http://schemas.openxmlformats.org/officeDocument/2006/relationships/hyperlink" Target="https://www.fao.org/3/i2801e/i2801e.pdf" TargetMode="External"/><Relationship Id="rId48" Type="http://schemas.openxmlformats.org/officeDocument/2006/relationships/hyperlink" Target="http://www.iucnredlist.org/" TargetMode="External"/><Relationship Id="rId113" Type="http://schemas.openxmlformats.org/officeDocument/2006/relationships/hyperlink" Target="https://www.sciencedirect.com/science/article/pii/S0006320720307126" TargetMode="External"/><Relationship Id="rId320" Type="http://schemas.openxmlformats.org/officeDocument/2006/relationships/hyperlink" Target="https://portals.iucn.org/library/node/46259" TargetMode="External"/><Relationship Id="rId558" Type="http://schemas.openxmlformats.org/officeDocument/2006/relationships/hyperlink" Target="https://undocs.org/en/A/36/215" TargetMode="External"/><Relationship Id="rId155" Type="http://schemas.openxmlformats.org/officeDocument/2006/relationships/hyperlink" Target="mailto:J.DaSilva@sanbi.org.za" TargetMode="External"/><Relationship Id="rId197" Type="http://schemas.openxmlformats.org/officeDocument/2006/relationships/hyperlink" Target="https://one.oecd.org/document/DCD/DAC/STAT(2020)44/ADD2/FINAL/en/pdf" TargetMode="External"/><Relationship Id="rId362" Type="http://schemas.openxmlformats.org/officeDocument/2006/relationships/hyperlink" Target="https://www.gbif.org/dataset/search?publishing_org=cdef28b1-db4e-4c58-aa71-3c5238c2d0b5" TargetMode="External"/><Relationship Id="rId418" Type="http://schemas.openxmlformats.org/officeDocument/2006/relationships/image" Target="cid:5A5970FE-0230-4548-8D8D-2BCD4D6B7C3C" TargetMode="External"/><Relationship Id="rId625" Type="http://schemas.openxmlformats.org/officeDocument/2006/relationships/hyperlink" Target="https://www.ipbes.net/assessment-reports/ldr" TargetMode="External"/><Relationship Id="rId222" Type="http://schemas.openxmlformats.org/officeDocument/2006/relationships/hyperlink" Target="https://www.cbd.int/doc/c/e2dd/6b6c/eaa4784e9111c58d6fd787ae/wg2020-04-02-en.pdf" TargetMode="External"/><Relationship Id="rId264" Type="http://schemas.openxmlformats.org/officeDocument/2006/relationships/hyperlink" Target="https://www.fao.org/forest-resources-assessment/en/" TargetMode="External"/><Relationship Id="rId471" Type="http://schemas.openxmlformats.org/officeDocument/2006/relationships/hyperlink" Target="https://fossilfuelsubsidytracker.org/" TargetMode="External"/><Relationship Id="rId667" Type="http://schemas.openxmlformats.org/officeDocument/2006/relationships/hyperlink" Target="https://portals.iucn.org/library/node/10315" TargetMode="External"/><Relationship Id="rId17" Type="http://schemas.openxmlformats.org/officeDocument/2006/relationships/hyperlink" Target="https://portals.iucn.org/library/node/51533" TargetMode="External"/><Relationship Id="rId59" Type="http://schemas.openxmlformats.org/officeDocument/2006/relationships/hyperlink" Target="https://unstats.un.org/sdgs/indicators/database/" TargetMode="External"/><Relationship Id="rId124" Type="http://schemas.openxmlformats.org/officeDocument/2006/relationships/hyperlink" Target="https://doi.org/10.1111/conl.12953" TargetMode="External"/><Relationship Id="rId527" Type="http://schemas.openxmlformats.org/officeDocument/2006/relationships/hyperlink" Target="https://rightsandresources.org/publication/afrodescendant_atlas/" TargetMode="External"/><Relationship Id="rId569" Type="http://schemas.openxmlformats.org/officeDocument/2006/relationships/hyperlink" Target="https://www.oecd-ilibrary.org/sites/45adbd0e-en/index.html?itemId=/content/component/45adbd0e-en" TargetMode="External"/><Relationship Id="rId70" Type="http://schemas.openxmlformats.org/officeDocument/2006/relationships/hyperlink" Target="http://www.bipindicators.net/rli/2010" TargetMode="External"/><Relationship Id="rId166" Type="http://schemas.openxmlformats.org/officeDocument/2006/relationships/footer" Target="footer2.xml"/><Relationship Id="rId331" Type="http://schemas.openxmlformats.org/officeDocument/2006/relationships/hyperlink" Target="http://www.pnas.org/content/102/51/18497.short" TargetMode="External"/><Relationship Id="rId373" Type="http://schemas.openxmlformats.org/officeDocument/2006/relationships/hyperlink" Target="https://doi.org/10.1111/conl.12981" TargetMode="External"/><Relationship Id="rId429" Type="http://schemas.openxmlformats.org/officeDocument/2006/relationships/hyperlink" Target="https://unstats.un.org/unsd/demographic/sconcerns/densurb/defintion_of%20urban.pdf" TargetMode="External"/><Relationship Id="rId580" Type="http://schemas.openxmlformats.org/officeDocument/2006/relationships/hyperlink" Target="https://ec.europa.eu/finance/docs/level-2-measures/csrd-delegated-act-2023-5303-annex-2_en.pdf" TargetMode="External"/><Relationship Id="rId636" Type="http://schemas.openxmlformats.org/officeDocument/2006/relationships/hyperlink" Target="https://ec.europa.eu/finance/docs/level-2-measures/csrd-delegated-act-2023-5303-annex-2_en.pdf" TargetMode="External"/><Relationship Id="rId1" Type="http://schemas.openxmlformats.org/officeDocument/2006/relationships/customXml" Target="../customXml/item1.xml"/><Relationship Id="rId233" Type="http://schemas.openxmlformats.org/officeDocument/2006/relationships/hyperlink" Target="https://www.cbd.int/protected/2021globalreport.shtml" TargetMode="External"/><Relationship Id="rId440" Type="http://schemas.openxmlformats.org/officeDocument/2006/relationships/hyperlink" Target="https://www.globalreporting.org/" TargetMode="External"/><Relationship Id="rId678" Type="http://schemas.openxmlformats.org/officeDocument/2006/relationships/hyperlink" Target="https://seea.un.org/sites/seea.un.org/files/documents/EA/seea_ea_white_cover_final.pdf" TargetMode="External"/><Relationship Id="rId28" Type="http://schemas.openxmlformats.org/officeDocument/2006/relationships/image" Target="media/image6.png"/><Relationship Id="rId275" Type="http://schemas.openxmlformats.org/officeDocument/2006/relationships/hyperlink" Target="https://undocs.org/A/RES/73/284" TargetMode="External"/><Relationship Id="rId300" Type="http://schemas.openxmlformats.org/officeDocument/2006/relationships/hyperlink" Target="https://www.protectedplanet.net/en/resources/calculating-protected-area-coverage" TargetMode="External"/><Relationship Id="rId482" Type="http://schemas.openxmlformats.org/officeDocument/2006/relationships/hyperlink" Target="https://doi.org/10.1787/808f110c-en" TargetMode="External"/><Relationship Id="rId538" Type="http://schemas.openxmlformats.org/officeDocument/2006/relationships/hyperlink" Target="mailto:maurizio@forestpeoples.org" TargetMode="External"/><Relationship Id="rId81" Type="http://schemas.openxmlformats.org/officeDocument/2006/relationships/hyperlink" Target="https://www.cbd.int/gbo4/" TargetMode="External"/><Relationship Id="rId135" Type="http://schemas.openxmlformats.org/officeDocument/2006/relationships/hyperlink" Target="https://www.fws.gov/law/endangered-species-act" TargetMode="External"/><Relationship Id="rId177" Type="http://schemas.openxmlformats.org/officeDocument/2006/relationships/hyperlink" Target="https://ort.cbd.int/" TargetMode="External"/><Relationship Id="rId342" Type="http://schemas.openxmlformats.org/officeDocument/2006/relationships/image" Target="media/image18.png"/><Relationship Id="rId384" Type="http://schemas.openxmlformats.org/officeDocument/2006/relationships/hyperlink" Target="https://indigenousnavigator.org/" TargetMode="External"/><Relationship Id="rId591" Type="http://schemas.openxmlformats.org/officeDocument/2006/relationships/hyperlink" Target="https://www.un.org/disabilities/documents/convention/convention_accessible_pdf.pdf" TargetMode="External"/><Relationship Id="rId605" Type="http://schemas.openxmlformats.org/officeDocument/2006/relationships/hyperlink" Target="https://seea.un.org/sites/seea.un.org/files/documents/EA/seea_ea_white_cover_final.pdf" TargetMode="External"/><Relationship Id="rId202" Type="http://schemas.openxmlformats.org/officeDocument/2006/relationships/hyperlink" Target="https://www.oecd.org/dac/dac-glossary.htm" TargetMode="External"/><Relationship Id="rId244" Type="http://schemas.openxmlformats.org/officeDocument/2006/relationships/hyperlink" Target="https://www.spc.int/updates/blog/blog/2023/05/biodiversity-rich-palau-launches-ambitious-marine-spatial-planning" TargetMode="External"/><Relationship Id="rId647" Type="http://schemas.openxmlformats.org/officeDocument/2006/relationships/hyperlink" Target="https://unhabitat.org/sites/default/files/2019/02/Metadata-11.7.1_Edited_23-03-2018.pdf" TargetMode="External"/><Relationship Id="rId39" Type="http://schemas.openxmlformats.org/officeDocument/2006/relationships/hyperlink" Target="https://seea.un.org/content/global-assessment-environmental-economic-accounting" TargetMode="External"/><Relationship Id="rId286" Type="http://schemas.openxmlformats.org/officeDocument/2006/relationships/hyperlink" Target="http://www.keybiodiversityareas.org/" TargetMode="External"/><Relationship Id="rId451" Type="http://schemas.openxmlformats.org/officeDocument/2006/relationships/hyperlink" Target="http://oe.cd/pinedatabase" TargetMode="External"/><Relationship Id="rId493" Type="http://schemas.openxmlformats.org/officeDocument/2006/relationships/hyperlink" Target="https://fossilfuelsubsidytracker.org/" TargetMode="External"/><Relationship Id="rId507" Type="http://schemas.openxmlformats.org/officeDocument/2006/relationships/hyperlink" Target="mailto:campbell7@un.org" TargetMode="External"/><Relationship Id="rId549" Type="http://schemas.openxmlformats.org/officeDocument/2006/relationships/hyperlink" Target="https://glad.umd.edu/dataset" TargetMode="External"/><Relationship Id="rId50" Type="http://schemas.openxmlformats.org/officeDocument/2006/relationships/hyperlink" Target="https://www.iucnredlist.org/assessment/authorities" TargetMode="External"/><Relationship Id="rId104" Type="http://schemas.openxmlformats.org/officeDocument/2006/relationships/image" Target="media/image7.png"/><Relationship Id="rId146" Type="http://schemas.openxmlformats.org/officeDocument/2006/relationships/hyperlink" Target="https://doi.org/10.1111/conl.12953" TargetMode="External"/><Relationship Id="rId188" Type="http://schemas.openxmlformats.org/officeDocument/2006/relationships/hyperlink" Target="https://academic.oup.com/bioscience/article/75/4/298/8024202" TargetMode="External"/><Relationship Id="rId311" Type="http://schemas.openxmlformats.org/officeDocument/2006/relationships/hyperlink" Target="http://onlinelibrary.wiley.com/doi/10.1111/cobi.12609/abstract" TargetMode="External"/><Relationship Id="rId353" Type="http://schemas.openxmlformats.org/officeDocument/2006/relationships/hyperlink" Target="https://www.fao.org/publications/sofia/2020/en/" TargetMode="External"/><Relationship Id="rId395" Type="http://schemas.openxmlformats.org/officeDocument/2006/relationships/hyperlink" Target="mailto:Arbab.Khan@fao.org" TargetMode="External"/><Relationship Id="rId409" Type="http://schemas.openxmlformats.org/officeDocument/2006/relationships/hyperlink" Target="https://www.fao.org/sustainable-development-goals-data-portal/data/indicators/1521-sustainable-forest-management/en" TargetMode="External"/><Relationship Id="rId560" Type="http://schemas.openxmlformats.org/officeDocument/2006/relationships/hyperlink" Target="https://www.un.org/en/pdfs/18-00159e_un_system_chart_17x11_4c_en_web.pdf" TargetMode="External"/><Relationship Id="rId92" Type="http://schemas.openxmlformats.org/officeDocument/2006/relationships/hyperlink" Target="http://onlinelibrary.wiley.com/doi/10.1111/j.1523-1739.2008.01044.x/full" TargetMode="External"/><Relationship Id="rId213" Type="http://schemas.openxmlformats.org/officeDocument/2006/relationships/hyperlink" Target="https://data.imf.org/?sk=5804c5e1-0502-4672-bdcd-671bcdc565a9" TargetMode="External"/><Relationship Id="rId420" Type="http://schemas.openxmlformats.org/officeDocument/2006/relationships/hyperlink" Target="https://unhabitat.org/sites/default/files/2020/07/indicator_11.7.1_training_module_public_space.pdf" TargetMode="External"/><Relationship Id="rId616" Type="http://schemas.openxmlformats.org/officeDocument/2006/relationships/hyperlink" Target="https://portals.iucn.org/library/sites/library/files/documents/2016-048.pdf" TargetMode="External"/><Relationship Id="rId658" Type="http://schemas.openxmlformats.org/officeDocument/2006/relationships/hyperlink" Target="https://seea.un.org/sites/seea.un.org/files/documents/EA/seea_ea_white_cover_final.pdf" TargetMode="External"/><Relationship Id="rId255" Type="http://schemas.openxmlformats.org/officeDocument/2006/relationships/hyperlink" Target="https://www.worldwildlife.org/publications/living-amazon-report-2022" TargetMode="External"/><Relationship Id="rId297" Type="http://schemas.openxmlformats.org/officeDocument/2006/relationships/hyperlink" Target="https://unstats.un.org/sdgs/metadata/files/Metadata-14-05-01.pdf" TargetMode="External"/><Relationship Id="rId462" Type="http://schemas.openxmlformats.org/officeDocument/2006/relationships/hyperlink" Target="https://doi.org/10.1787/3d459f91-en" TargetMode="External"/><Relationship Id="rId518" Type="http://schemas.openxmlformats.org/officeDocument/2006/relationships/hyperlink" Target="https://landmarkmap.org/" TargetMode="External"/><Relationship Id="rId115" Type="http://schemas.openxmlformats.org/officeDocument/2006/relationships/hyperlink" Target="https://conbio.onlinelibrary.wiley.com/doi/full/10.1111/j.1755-263X.2008.00009.x" TargetMode="External"/><Relationship Id="rId157" Type="http://schemas.openxmlformats.org/officeDocument/2006/relationships/hyperlink" Target="https://doi.org/10.1007/s10592-022-01492-0" TargetMode="External"/><Relationship Id="rId322" Type="http://schemas.openxmlformats.org/officeDocument/2006/relationships/hyperlink" Target="http://www.keybiodiversityareas.org/assets/35687f50ac0bcad155ab17447b48885a" TargetMode="External"/><Relationship Id="rId364" Type="http://schemas.openxmlformats.org/officeDocument/2006/relationships/hyperlink" Target="https://doi.org/10.1038/ncomms14435" TargetMode="External"/><Relationship Id="rId61" Type="http://schemas.openxmlformats.org/officeDocument/2006/relationships/hyperlink" Target="https://ibat-alliance.org/country_profiles" TargetMode="External"/><Relationship Id="rId199" Type="http://schemas.openxmlformats.org/officeDocument/2006/relationships/hyperlink" Target="mailto:Giorgio.GUALBERTl@oecd.org" TargetMode="External"/><Relationship Id="rId571" Type="http://schemas.openxmlformats.org/officeDocument/2006/relationships/hyperlink" Target="https://unstats.un.org/sdgs/metadata/files/Metadata-11-07-01.pdf" TargetMode="External"/><Relationship Id="rId627" Type="http://schemas.openxmlformats.org/officeDocument/2006/relationships/hyperlink" Target="https://seea.un.org/sites/seea.un.org/files/documents/EA/seea_ea_white_cover_final.pdf" TargetMode="External"/><Relationship Id="rId669" Type="http://schemas.openxmlformats.org/officeDocument/2006/relationships/hyperlink" Target="https://unstats.un.org/unsd/dnss/docs-nqaf/NQAF%20GLOSSARY.pdf" TargetMode="External"/><Relationship Id="rId19" Type="http://schemas.openxmlformats.org/officeDocument/2006/relationships/hyperlink" Target="https://iucnacademy.org/" TargetMode="External"/><Relationship Id="rId224" Type="http://schemas.openxmlformats.org/officeDocument/2006/relationships/hyperlink" Target="https://unesdoc.unesco.org/ark:/48223/pf0000381921/PDF/381921eng.pdf.multi" TargetMode="External"/><Relationship Id="rId266" Type="http://schemas.openxmlformats.org/officeDocument/2006/relationships/hyperlink" Target="https://www.fao.org/3/cd6696en/cd6696en.pdf" TargetMode="External"/><Relationship Id="rId431" Type="http://schemas.openxmlformats.org/officeDocument/2006/relationships/hyperlink" Target="https://seea.un.org/content/about-seea" TargetMode="External"/><Relationship Id="rId473" Type="http://schemas.openxmlformats.org/officeDocument/2006/relationships/hyperlink" Target="mailto:Jussi" TargetMode="External"/><Relationship Id="rId529" Type="http://schemas.openxmlformats.org/officeDocument/2006/relationships/hyperlink" Target="https://maps.elie.ucl.ac.be/CCI/viewer/index.php" TargetMode="External"/><Relationship Id="rId680" Type="http://schemas.openxmlformats.org/officeDocument/2006/relationships/fontTable" Target="fontTable.xml"/><Relationship Id="rId30" Type="http://schemas.openxmlformats.org/officeDocument/2006/relationships/hyperlink" Target="https://seea.un.org/content/seea-e-learning-resources" TargetMode="External"/><Relationship Id="rId126" Type="http://schemas.openxmlformats.org/officeDocument/2006/relationships/hyperlink" Target="https://www.youtube.com/watch?v=qRKdo7E9kVQ" TargetMode="External"/><Relationship Id="rId168" Type="http://schemas.openxmlformats.org/officeDocument/2006/relationships/hyperlink" Target="https://seea.un.org/content/seea-e-learning-resources" TargetMode="External"/><Relationship Id="rId333" Type="http://schemas.openxmlformats.org/officeDocument/2006/relationships/hyperlink" Target="http://www.sciencedirect.com/science/article/pii/S0006320711003454" TargetMode="External"/><Relationship Id="rId540" Type="http://schemas.openxmlformats.org/officeDocument/2006/relationships/hyperlink" Target="https://www.un.org/development/desa/indigenouspeoples/wp-content/uploads/sites/19/2018/11/UNDRIP_E_web.pdf" TargetMode="External"/><Relationship Id="rId72" Type="http://schemas.openxmlformats.org/officeDocument/2006/relationships/hyperlink" Target="http://www.tandfonline.com/doi/pdf/10.1080/14888386.2015.1075903" TargetMode="External"/><Relationship Id="rId375" Type="http://schemas.openxmlformats.org/officeDocument/2006/relationships/hyperlink" Target="https://zenodo.org/doi/10.5281/zenodo.3690741" TargetMode="External"/><Relationship Id="rId582" Type="http://schemas.openxmlformats.org/officeDocument/2006/relationships/hyperlink" Target="https://www.ipbes.net/assessment-reports/ldr" TargetMode="External"/><Relationship Id="rId638" Type="http://schemas.openxmlformats.org/officeDocument/2006/relationships/hyperlink" Target="https://www.ipbes.net/assessment-reports/pollinators" TargetMode="External"/><Relationship Id="rId3" Type="http://schemas.openxmlformats.org/officeDocument/2006/relationships/customXml" Target="../customXml/item3.xml"/><Relationship Id="rId235" Type="http://schemas.openxmlformats.org/officeDocument/2006/relationships/hyperlink" Target="https://pipap.sprep.org/" TargetMode="External"/><Relationship Id="rId277" Type="http://schemas.openxmlformats.org/officeDocument/2006/relationships/hyperlink" Target="http://www.protectedplanet.net/" TargetMode="External"/><Relationship Id="rId400" Type="http://schemas.openxmlformats.org/officeDocument/2006/relationships/image" Target="media/image25.png"/><Relationship Id="rId442" Type="http://schemas.openxmlformats.org/officeDocument/2006/relationships/hyperlink" Target="https://unstats.un.org/sdgs/dataportal/database" TargetMode="External"/><Relationship Id="rId484" Type="http://schemas.openxmlformats.org/officeDocument/2006/relationships/hyperlink" Target="https://doi.org/10.1787/560cd8fc-en" TargetMode="External"/><Relationship Id="rId137" Type="http://schemas.openxmlformats.org/officeDocument/2006/relationships/hyperlink" Target="https://nbnatlas.org/" TargetMode="External"/><Relationship Id="rId302" Type="http://schemas.openxmlformats.org/officeDocument/2006/relationships/hyperlink" Target="http://www.tandfonline.com/doi/abs/10.2989/00306520109485329" TargetMode="External"/><Relationship Id="rId344" Type="http://schemas.openxmlformats.org/officeDocument/2006/relationships/image" Target="media/image19.png"/><Relationship Id="rId41" Type="http://schemas.openxmlformats.org/officeDocument/2006/relationships/hyperlink" Target="https://www.iucnredlist.org/assessment/process" TargetMode="External"/><Relationship Id="rId83" Type="http://schemas.openxmlformats.org/officeDocument/2006/relationships/hyperlink" Target="https://www.cbd.int/doc/decisions/cop-15/cop-15-dec-05-en.pdf" TargetMode="External"/><Relationship Id="rId179" Type="http://schemas.openxmlformats.org/officeDocument/2006/relationships/hyperlink" Target="https://academic.oup.com/bioscience/article/75/4/298/8024202" TargetMode="External"/><Relationship Id="rId386" Type="http://schemas.openxmlformats.org/officeDocument/2006/relationships/hyperlink" Target="https://localbiodiversityoutlooks.net/" TargetMode="External"/><Relationship Id="rId551" Type="http://schemas.openxmlformats.org/officeDocument/2006/relationships/hyperlink" Target="https://fra-data.fao.org/assessments/fra/2025" TargetMode="External"/><Relationship Id="rId593" Type="http://schemas.openxmlformats.org/officeDocument/2006/relationships/hyperlink" Target="https://www.ipbes.net/ias" TargetMode="External"/><Relationship Id="rId607" Type="http://schemas.openxmlformats.org/officeDocument/2006/relationships/hyperlink" Target="https://www.iucn.org/resources/issues-brief/human-wildlife-conflict" TargetMode="External"/><Relationship Id="rId649" Type="http://schemas.openxmlformats.org/officeDocument/2006/relationships/hyperlink" Target="https://sciencebasedtargetsnetwork.org/wp-content/uploads/2023/05/SBTN-Steps-1-3-Glossary_2023.docx-1.pdf" TargetMode="External"/><Relationship Id="rId190" Type="http://schemas.openxmlformats.org/officeDocument/2006/relationships/hyperlink" Target="https://nmbs.dsmz.de/" TargetMode="External"/><Relationship Id="rId204" Type="http://schemas.openxmlformats.org/officeDocument/2006/relationships/hyperlink" Target="https://www.oecd-ilibrary.org/development/a-decade-of-development-finance-for-biodiversity_e6c182aa-en" TargetMode="External"/><Relationship Id="rId246" Type="http://schemas.openxmlformats.org/officeDocument/2006/relationships/hyperlink" Target="https://rmke12.ekonomi.gov.my/ksp/storage/event/962_22_dr_alias_rameli_4th_national_physical_plan_for_a_prosperous_resilient_and_liveable_malaysia.pdf" TargetMode="External"/><Relationship Id="rId288" Type="http://schemas.openxmlformats.org/officeDocument/2006/relationships/hyperlink" Target="https://unstats.un.org/sdgs/dataportal" TargetMode="External"/><Relationship Id="rId411" Type="http://schemas.openxmlformats.org/officeDocument/2006/relationships/hyperlink" Target="https://openknowledge.fao.org/handle/20.500.14283/cc4690en" TargetMode="External"/><Relationship Id="rId453" Type="http://schemas.openxmlformats.org/officeDocument/2006/relationships/hyperlink" Target="mailto:PINEdatabase@oecd.org" TargetMode="External"/><Relationship Id="rId509" Type="http://schemas.openxmlformats.org/officeDocument/2006/relationships/hyperlink" Target="https://www.cbd.int/doc/decisions/cop-15/cop-15-dec-05-en.pdf" TargetMode="External"/><Relationship Id="rId660" Type="http://schemas.openxmlformats.org/officeDocument/2006/relationships/hyperlink" Target="https://tnfd.global/wp-content/uploads/2023/09/Glossary_of_key_terms_v1.pdf?v=1695138274" TargetMode="External"/><Relationship Id="rId106" Type="http://schemas.openxmlformats.org/officeDocument/2006/relationships/hyperlink" Target="https://doi.org/10.32942/X2QK5W" TargetMode="External"/><Relationship Id="rId313" Type="http://schemas.openxmlformats.org/officeDocument/2006/relationships/hyperlink" Target="https://portals.iucn.org/library/node/9243" TargetMode="External"/><Relationship Id="rId495" Type="http://schemas.openxmlformats.org/officeDocument/2006/relationships/hyperlink" Target="https://www.cbd.int/cb/plans/" TargetMode="External"/><Relationship Id="rId10" Type="http://schemas.openxmlformats.org/officeDocument/2006/relationships/endnotes" Target="endnotes.xml"/><Relationship Id="rId52" Type="http://schemas.openxmlformats.org/officeDocument/2006/relationships/hyperlink" Target="https://portals.iucn.org/library/node/10315" TargetMode="External"/><Relationship Id="rId94" Type="http://schemas.openxmlformats.org/officeDocument/2006/relationships/hyperlink" Target="https://doi.org/10.1111/csp2.12854" TargetMode="External"/><Relationship Id="rId148" Type="http://schemas.openxmlformats.org/officeDocument/2006/relationships/hyperlink" Target="https://ccgenetics.github.io/guidelines-genetic-diversity-indicators/" TargetMode="External"/><Relationship Id="rId355" Type="http://schemas.openxmlformats.org/officeDocument/2006/relationships/hyperlink" Target="https://griis.hp.gbif-staging.org/" TargetMode="External"/><Relationship Id="rId397" Type="http://schemas.openxmlformats.org/officeDocument/2006/relationships/hyperlink" Target="https://unstats.un.org/sdgs/metadata/" TargetMode="External"/><Relationship Id="rId520" Type="http://schemas.openxmlformats.org/officeDocument/2006/relationships/hyperlink" Target="https://rightsandresources.org/publication/afrodescendant_atlas/" TargetMode="External"/><Relationship Id="rId562" Type="http://schemas.openxmlformats.org/officeDocument/2006/relationships/hyperlink" Target="https://www.cbd.int/" TargetMode="External"/><Relationship Id="rId618" Type="http://schemas.openxmlformats.org/officeDocument/2006/relationships/hyperlink" Target="https://www.cbd.int/doc/c/c3ab/388d/950ddc02586468a814120acf/wg2020-05-04-en.pdf" TargetMode="External"/><Relationship Id="rId215" Type="http://schemas.openxmlformats.org/officeDocument/2006/relationships/hyperlink" Target="https://one.oecd.org/document/DCD/DAC/STAT(2023)9/FINAL/en/pdf" TargetMode="External"/><Relationship Id="rId257" Type="http://schemas.openxmlformats.org/officeDocument/2006/relationships/hyperlink" Target="https://actionaid.org/sites/default/files/aa_vggt_toolkit_single_pages.pdf" TargetMode="External"/><Relationship Id="rId422" Type="http://schemas.openxmlformats.org/officeDocument/2006/relationships/hyperlink" Target="https://unhabitat.org/sites/default/files/2020/06/national_sample_of_cities_english.pdf" TargetMode="External"/><Relationship Id="rId464" Type="http://schemas.openxmlformats.org/officeDocument/2006/relationships/hyperlink" Target="https://www.oecd-ilibrary.org/trade/oecd-review-of-fisheries-policies-and-summary-statistics_22254323" TargetMode="External"/><Relationship Id="rId299" Type="http://schemas.openxmlformats.org/officeDocument/2006/relationships/hyperlink" Target="https://www.bipindicators.net/indicators/protected-area-coverage-of-key-biodiversity-areas" TargetMode="External"/><Relationship Id="rId63" Type="http://schemas.openxmlformats.org/officeDocument/2006/relationships/hyperlink" Target="https://www.bipindicators.net/indicators/red-list-index" TargetMode="External"/><Relationship Id="rId159" Type="http://schemas.openxmlformats.org/officeDocument/2006/relationships/hyperlink" Target="https://doi.org/10.1016/j.biocon.2020.108654" TargetMode="External"/><Relationship Id="rId366" Type="http://schemas.openxmlformats.org/officeDocument/2006/relationships/image" Target="media/image21.png"/><Relationship Id="rId573" Type="http://schemas.openxmlformats.org/officeDocument/2006/relationships/hyperlink" Target="https://unsdg.un.org/wp-content/uploads/2017/06/UNDG-UNDAF-Companion-Pieces-8-Capacity-Development.pdf" TargetMode="External"/><Relationship Id="rId226" Type="http://schemas.openxmlformats.org/officeDocument/2006/relationships/hyperlink" Target="https://portals.iucn.org/library/sites/library/files/documents/2021-031-En.pdf" TargetMode="External"/><Relationship Id="rId433" Type="http://schemas.openxmlformats.org/officeDocument/2006/relationships/hyperlink" Target="https://sciencebasedtargetsnetwork.org/wp-content/uploads/2023/05/SBTN-Steps-1-3-Glossary_2023.docx-1.pdf" TargetMode="External"/><Relationship Id="rId640" Type="http://schemas.openxmlformats.org/officeDocument/2006/relationships/hyperlink" Target="https://www.ipbes.net/ias" TargetMode="External"/><Relationship Id="rId74" Type="http://schemas.openxmlformats.org/officeDocument/2006/relationships/hyperlink" Target="http://journals.cambridge.org/action/displayJournal?jid=BCI" TargetMode="External"/><Relationship Id="rId377" Type="http://schemas.openxmlformats.org/officeDocument/2006/relationships/hyperlink" Target="https://unstats.un.org/sdgs/dataportal/database" TargetMode="External"/><Relationship Id="rId500" Type="http://schemas.openxmlformats.org/officeDocument/2006/relationships/hyperlink" Target="https://global-ecosystems.org/" TargetMode="External"/><Relationship Id="rId584" Type="http://schemas.openxmlformats.org/officeDocument/2006/relationships/hyperlink" Target="https://seea.un.org/sites/seea.un.org/files/documents/EA/seea_ea_white_cover_final.pdf" TargetMode="External"/><Relationship Id="rId5" Type="http://schemas.openxmlformats.org/officeDocument/2006/relationships/numbering" Target="numbering.xml"/><Relationship Id="rId237" Type="http://schemas.openxmlformats.org/officeDocument/2006/relationships/hyperlink" Target="https://spacescoalition.org/en/resources" TargetMode="External"/><Relationship Id="rId444" Type="http://schemas.openxmlformats.org/officeDocument/2006/relationships/hyperlink" Target="https://www.worldbenchmarkingalliance.org/%22HYPERLINK%20%22https:/unglobalcompact.org/" TargetMode="External"/><Relationship Id="rId651" Type="http://schemas.openxmlformats.org/officeDocument/2006/relationships/hyperlink" Target="https://www.un.org/development/desa/indigenouspeoples/wp-content/uploads/sites/19/2018/11/UNDRIP_E_web.pdf" TargetMode="External"/><Relationship Id="rId290" Type="http://schemas.openxmlformats.org/officeDocument/2006/relationships/hyperlink" Target="https://livereport.protectedplanet.net/" TargetMode="External"/><Relationship Id="rId304" Type="http://schemas.openxmlformats.org/officeDocument/2006/relationships/hyperlink" Target="http://journals.plos.org/plosone/article?id=10.1371/journal.pone.0032529" TargetMode="External"/><Relationship Id="rId388" Type="http://schemas.openxmlformats.org/officeDocument/2006/relationships/hyperlink" Target="https://docs.google.com/spreadsheets/d/13HdhGVTS5fbSoeZ78DOD7t0b4uUuUhX7yhJCr2jyHfk/edit?usp=sharing" TargetMode="External"/><Relationship Id="rId511" Type="http://schemas.openxmlformats.org/officeDocument/2006/relationships/hyperlink" Target="https://www.cbd.int/doc/recommendations/wg8j-12/wg8j-12-rec-04-en.pdf" TargetMode="External"/><Relationship Id="rId609" Type="http://schemas.openxmlformats.org/officeDocument/2006/relationships/hyperlink" Target="https://apps.ipcc.ch/glossary/" TargetMode="External"/><Relationship Id="rId85" Type="http://schemas.openxmlformats.org/officeDocument/2006/relationships/hyperlink" Target="http://journals.plos.org/plosone/article?id=10.1371/journal.pone.0112046" TargetMode="External"/><Relationship Id="rId150" Type="http://schemas.openxmlformats.org/officeDocument/2006/relationships/hyperlink" Target="https://doi.org/10.1111/conl.12953" TargetMode="External"/><Relationship Id="rId595" Type="http://schemas.openxmlformats.org/officeDocument/2006/relationships/hyperlink" Target="https://www.ipbes.net/global-assessment" TargetMode="External"/><Relationship Id="rId248" Type="http://schemas.openxmlformats.org/officeDocument/2006/relationships/hyperlink" Target="https://www.wcl.org.uk/docs/assets/uploads/Guiding_principles_for_Marine_Spatial_Planning.pdf" TargetMode="External"/><Relationship Id="rId455" Type="http://schemas.openxmlformats.org/officeDocument/2006/relationships/hyperlink" Target="https://www.oecd.org/en/data/insights/data-explainers/2024/10/Tracking-Economic-Instruments-and-Finance-for-Biodiversity-2024.html" TargetMode="External"/><Relationship Id="rId662" Type="http://schemas.openxmlformats.org/officeDocument/2006/relationships/hyperlink" Target="https://www.unep.org/explore-topics/resource-efficiency/what-we-do/sustainable-consumption-and-production-policies" TargetMode="External"/><Relationship Id="rId12" Type="http://schemas.openxmlformats.org/officeDocument/2006/relationships/image" Target="media/image2.png"/><Relationship Id="rId108" Type="http://schemas.openxmlformats.org/officeDocument/2006/relationships/image" Target="media/image8.png"/><Relationship Id="rId315" Type="http://schemas.openxmlformats.org/officeDocument/2006/relationships/hyperlink" Target="http://bioscience.oxfordjournals.org/content/54/12/1110.short" TargetMode="External"/><Relationship Id="rId522" Type="http://schemas.openxmlformats.org/officeDocument/2006/relationships/hyperlink" Target="https://www.fao.org/tenure/en/" TargetMode="External"/><Relationship Id="rId96" Type="http://schemas.openxmlformats.org/officeDocument/2006/relationships/hyperlink" Target="http://journals.plos.org/plosone/article?id=10.1371/journal.pone.0113934" TargetMode="External"/><Relationship Id="rId161" Type="http://schemas.openxmlformats.org/officeDocument/2006/relationships/image" Target="media/image12.png"/><Relationship Id="rId399" Type="http://schemas.openxmlformats.org/officeDocument/2006/relationships/image" Target="media/image24.png"/><Relationship Id="rId259" Type="http://schemas.openxmlformats.org/officeDocument/2006/relationships/image" Target="media/image15.png"/><Relationship Id="rId466" Type="http://schemas.openxmlformats.org/officeDocument/2006/relationships/hyperlink" Target="https://www.oecd.org/en/publications/oecd-review-of-fisheries-2025_560cd8fc-en.html" TargetMode="External"/><Relationship Id="rId673" Type="http://schemas.openxmlformats.org/officeDocument/2006/relationships/hyperlink" Target="https://www.ifrs.org/issued-standards/ifrs-sustainability-standards-navigator/ifrs-s1-general-requirements.html/content/dam/ifrs/publications/html-standards-issb/english/2023/issued/issbs1/" TargetMode="External"/><Relationship Id="rId23" Type="http://schemas.openxmlformats.org/officeDocument/2006/relationships/hyperlink" Target="https://iucn.org/red-list-ecosystems-inventory" TargetMode="External"/><Relationship Id="rId119" Type="http://schemas.openxmlformats.org/officeDocument/2006/relationships/hyperlink" Target="https://doi.org/10.1111/conl.12953" TargetMode="External"/><Relationship Id="rId326" Type="http://schemas.openxmlformats.org/officeDocument/2006/relationships/hyperlink" Target="http://link.springer.com/article/10.1007/s00267-010-9564-5" TargetMode="External"/><Relationship Id="rId533" Type="http://schemas.openxmlformats.org/officeDocument/2006/relationships/hyperlink" Target="https://www.prindex.net/data/" TargetMode="External"/><Relationship Id="rId172" Type="http://schemas.openxmlformats.org/officeDocument/2006/relationships/hyperlink" Target="https://seea.un.org/ecosystem-accounting" TargetMode="External"/><Relationship Id="rId477" Type="http://schemas.openxmlformats.org/officeDocument/2006/relationships/hyperlink" Target="mailto:claire.delpeuch@oecd.org" TargetMode="External"/><Relationship Id="rId600" Type="http://schemas.openxmlformats.org/officeDocument/2006/relationships/hyperlink" Target="https://unstats.un.org/sdgs/metadata/files/Metadata-12-03-01B.pdf" TargetMode="External"/><Relationship Id="rId337" Type="http://schemas.openxmlformats.org/officeDocument/2006/relationships/hyperlink" Target="http://www.sciencemag.org/content/346/6206/241.short" TargetMode="External"/><Relationship Id="rId34" Type="http://schemas.openxmlformats.org/officeDocument/2006/relationships/hyperlink" Target="mailto:dimatteo@un.org" TargetMode="External"/><Relationship Id="rId544" Type="http://schemas.openxmlformats.org/officeDocument/2006/relationships/hyperlink" Target="https://www.landmarkmap.org/" TargetMode="External"/><Relationship Id="rId183" Type="http://schemas.openxmlformats.org/officeDocument/2006/relationships/hyperlink" Target="https://nmbs.dsmz.de/" TargetMode="External"/><Relationship Id="rId390" Type="http://schemas.openxmlformats.org/officeDocument/2006/relationships/image" Target="media/image22.png"/><Relationship Id="rId404" Type="http://schemas.openxmlformats.org/officeDocument/2006/relationships/image" Target="media/image29.png"/><Relationship Id="rId611" Type="http://schemas.openxmlformats.org/officeDocument/2006/relationships/hyperlink" Target="https://www.eea.europa.eu/help/glossary/gemet-environmental-thesaurus/indigenous-technology" TargetMode="External"/><Relationship Id="rId250" Type="http://schemas.openxmlformats.org/officeDocument/2006/relationships/hyperlink" Target="https://intemares.es/sites/default/files/a10_guia_procesos_en.pdf" TargetMode="External"/><Relationship Id="rId488" Type="http://schemas.openxmlformats.org/officeDocument/2006/relationships/hyperlink" Target="https://doi.org/10.1787/b14de474-en" TargetMode="External"/><Relationship Id="rId45" Type="http://schemas.openxmlformats.org/officeDocument/2006/relationships/hyperlink" Target="https://www.iucnredlist.org/resources/rules-of-procedure" TargetMode="External"/><Relationship Id="rId110" Type="http://schemas.openxmlformats.org/officeDocument/2006/relationships/hyperlink" Target="https://doi.org/10.1111/conl.12953" TargetMode="External"/><Relationship Id="rId348" Type="http://schemas.openxmlformats.org/officeDocument/2006/relationships/hyperlink" Target="https://www.fao.org/sustainable-development-goals-data-portal/data/indicators/1441-fish-stocks-sustainability/en" TargetMode="External"/><Relationship Id="rId555" Type="http://schemas.openxmlformats.org/officeDocument/2006/relationships/hyperlink" Target="https://maps.elie.ucl.ac.be/CCI/viewer/index.php" TargetMode="External"/><Relationship Id="rId194" Type="http://schemas.openxmlformats.org/officeDocument/2006/relationships/hyperlink" Target="https://www.oecd.org/dac/financing-sustainable-development/development-finance-standards/annex2.htm" TargetMode="External"/><Relationship Id="rId208" Type="http://schemas.openxmlformats.org/officeDocument/2006/relationships/hyperlink" Target="https://www.biofin.org/sites/default/files/content/publications/workbook_2018/" TargetMode="External"/><Relationship Id="rId415" Type="http://schemas.openxmlformats.org/officeDocument/2006/relationships/hyperlink" Target="https://unstats.un.org/unsd/statcom/51st-session/documents/BG-Item3j-Recommendation-E.pdf" TargetMode="External"/><Relationship Id="rId622" Type="http://schemas.openxmlformats.org/officeDocument/2006/relationships/hyperlink" Target="https://www.ifc.org/en/what-we-do/sector-expertise/financial-institutions/definitions-of-targeted-sectors" TargetMode="External"/><Relationship Id="rId261" Type="http://schemas.openxmlformats.org/officeDocument/2006/relationships/image" Target="media/image17.jpg"/><Relationship Id="rId499" Type="http://schemas.openxmlformats.org/officeDocument/2006/relationships/hyperlink" Target="https://rpubs.com/jivelasquezt/516782" TargetMode="External"/><Relationship Id="rId56" Type="http://schemas.openxmlformats.org/officeDocument/2006/relationships/hyperlink" Target="https://portals.iucn.org/library/node/10315" TargetMode="External"/><Relationship Id="rId359" Type="http://schemas.openxmlformats.org/officeDocument/2006/relationships/hyperlink" Target="https://conbio.onlinelibrary.wiley.com/action/downloadSupplement?doi=10.1111%2Fconl.12981&amp;file=conl12981-sup-0001-SuppMat.pdf" TargetMode="External"/><Relationship Id="rId566" Type="http://schemas.openxmlformats.org/officeDocument/2006/relationships/hyperlink" Target="https://seea.un.org/sites/seea.un.org/files/documents/EA/seea_ea_white_cover_final.pdf" TargetMode="External"/><Relationship Id="rId121" Type="http://schemas.openxmlformats.org/officeDocument/2006/relationships/hyperlink" Target="https://www.sciencedirect.com/science/article/abs/pii/S0006320720309642" TargetMode="External"/><Relationship Id="rId219" Type="http://schemas.openxmlformats.org/officeDocument/2006/relationships/image" Target="media/image14.png"/><Relationship Id="rId426" Type="http://schemas.openxmlformats.org/officeDocument/2006/relationships/hyperlink" Target="http://futureofplaces.com/" TargetMode="External"/><Relationship Id="rId633" Type="http://schemas.openxmlformats.org/officeDocument/2006/relationships/hyperlink" Target="https://www.thegef.org/sites/default/files/publications/NCSA-SR-web-100913.pdf" TargetMode="External"/><Relationship Id="rId67" Type="http://schemas.openxmlformats.org/officeDocument/2006/relationships/hyperlink" Target="mailto:stuart.butchart@birdlife.org" TargetMode="External"/><Relationship Id="rId272" Type="http://schemas.openxmlformats.org/officeDocument/2006/relationships/hyperlink" Target="https://doi.org/10.1038/s41586-022-05318-4" TargetMode="External"/><Relationship Id="rId577" Type="http://schemas.openxmlformats.org/officeDocument/2006/relationships/hyperlink" Target="https://www.forestpeoples.org/en/topics/environmental-governance/publication/2015/community-based-monitoring-and-information-systems-" TargetMode="External"/><Relationship Id="rId132" Type="http://schemas.openxmlformats.org/officeDocument/2006/relationships/hyperlink" Target="https://doi.org/10.1111/conl.12953" TargetMode="External"/><Relationship Id="rId437" Type="http://schemas.openxmlformats.org/officeDocument/2006/relationships/hyperlink" Target="https://tnfd.global/" TargetMode="External"/><Relationship Id="rId644" Type="http://schemas.openxmlformats.org/officeDocument/2006/relationships/hyperlink" Target="https://unhabitat.org/sites/default/files/2019/02/Metadata-11.7.1_Edited_23-03-2018.pdf" TargetMode="External"/><Relationship Id="rId283" Type="http://schemas.openxmlformats.org/officeDocument/2006/relationships/hyperlink" Target="https://global-ecosystems.org/" TargetMode="External"/><Relationship Id="rId490" Type="http://schemas.openxmlformats.org/officeDocument/2006/relationships/hyperlink" Target="https://www.biofin.org/knowledge-product/nature-subsidies-step-step-guide-repurpose-subsidies-harmful-biodiversity-and" TargetMode="External"/><Relationship Id="rId504" Type="http://schemas.openxmlformats.org/officeDocument/2006/relationships/hyperlink" Target="https://iucnrle.org/rle-in-progress" TargetMode="External"/><Relationship Id="rId78" Type="http://schemas.openxmlformats.org/officeDocument/2006/relationships/hyperlink" Target="http://journals.plos.org/plosone/article?id=10.1371/journal.pone.0000140" TargetMode="External"/><Relationship Id="rId143" Type="http://schemas.openxmlformats.org/officeDocument/2006/relationships/hyperlink" Target="https://doi.org/10.1111/conl.12953" TargetMode="External"/><Relationship Id="rId350" Type="http://schemas.openxmlformats.org/officeDocument/2006/relationships/hyperlink" Target="https://www.fao.org/sustainable-development-goals/indicators/1441/en/" TargetMode="External"/><Relationship Id="rId588" Type="http://schemas.openxmlformats.org/officeDocument/2006/relationships/hyperlink" Target="https://www.ipbes.net/assessment-reports/pollinators" TargetMode="External"/><Relationship Id="rId9" Type="http://schemas.openxmlformats.org/officeDocument/2006/relationships/footnotes" Target="footnotes.xml"/><Relationship Id="rId210" Type="http://schemas.openxmlformats.org/officeDocument/2006/relationships/hyperlink" Target="https://www.biofin.org/sites/default/files/content/publications/workbook_2018/" TargetMode="External"/><Relationship Id="rId448" Type="http://schemas.openxmlformats.org/officeDocument/2006/relationships/hyperlink" Target="https://sciencebasedtargetsnetwork.org/wp-content/uploads/2023/05/SBTN-Steps-1-3-Glossary_2023.docx-1.pdf" TargetMode="External"/><Relationship Id="rId655" Type="http://schemas.openxmlformats.org/officeDocument/2006/relationships/hyperlink" Target="https://www.unwomen.org/sites/default/files/2022-12/Glossary%20of%20terms%2020%20December%202022.pdf/" TargetMode="External"/><Relationship Id="rId294" Type="http://schemas.openxmlformats.org/officeDocument/2006/relationships/hyperlink" Target="http://wcmc.io/GD-PAME_User_Manual_EN" TargetMode="External"/><Relationship Id="rId308" Type="http://schemas.openxmlformats.org/officeDocument/2006/relationships/hyperlink" Target="https://www.cbd.int/gbo5/" TargetMode="External"/><Relationship Id="rId515" Type="http://schemas.openxmlformats.org/officeDocument/2006/relationships/hyperlink" Target="https://www.fao.org/3/i2801e/i2801e.pdf" TargetMode="External"/><Relationship Id="rId89" Type="http://schemas.openxmlformats.org/officeDocument/2006/relationships/hyperlink" Target="https://portals.iucn.org/library/node/10315" TargetMode="External"/><Relationship Id="rId154" Type="http://schemas.openxmlformats.org/officeDocument/2006/relationships/hyperlink" Target="mailto:shoban@mortonarb.org" TargetMode="External"/><Relationship Id="rId361" Type="http://schemas.openxmlformats.org/officeDocument/2006/relationships/hyperlink" Target="https://doi.org/10.1038/sdata.2017.202" TargetMode="External"/><Relationship Id="rId599" Type="http://schemas.openxmlformats.org/officeDocument/2006/relationships/hyperlink" Target="https://seea.un.org/sites/seea.un.org/files/documents/EA/seea_ea_white_cover_final.pdf" TargetMode="External"/><Relationship Id="rId459" Type="http://schemas.openxmlformats.org/officeDocument/2006/relationships/hyperlink" Target="https://ec.europa.eu/eurostat/documents/3859598/6923655/KS-GQ-15-005-EN-N.pdf/e3be619b-bb19-4486-ab23-132a83f6ff24?t=1570092920000" TargetMode="External"/><Relationship Id="rId666" Type="http://schemas.openxmlformats.org/officeDocument/2006/relationships/hyperlink" Target="https://www.un.org/ldcportal/content/convention-biological-diversity-and-its-protocols" TargetMode="External"/><Relationship Id="rId16" Type="http://schemas.openxmlformats.org/officeDocument/2006/relationships/hyperlink" Target="https://global-ecosystems.org/" TargetMode="External"/><Relationship Id="rId221" Type="http://schemas.openxmlformats.org/officeDocument/2006/relationships/hyperlink" Target="https://portals.iucn.org/library/efiles/documents/PAG-014.pdf" TargetMode="External"/><Relationship Id="rId319" Type="http://schemas.openxmlformats.org/officeDocument/2006/relationships/hyperlink" Target="http://www.sciencedirect.com/science/article/pii/S0006320712000298" TargetMode="External"/><Relationship Id="rId526" Type="http://schemas.openxmlformats.org/officeDocument/2006/relationships/hyperlink" Target="https://iccaregistry.org/" TargetMode="External"/><Relationship Id="rId165" Type="http://schemas.openxmlformats.org/officeDocument/2006/relationships/footer" Target="footer1.xml"/><Relationship Id="rId372" Type="http://schemas.openxmlformats.org/officeDocument/2006/relationships/hyperlink" Target="http://dx.doi.org/10.1016/j.biocon.2016.06.013" TargetMode="External"/><Relationship Id="rId677" Type="http://schemas.openxmlformats.org/officeDocument/2006/relationships/hyperlink" Target="https://seea.un.org/sites/seea.un.org/files/documents/EA/seea_ea_white_cover_final.pdf" TargetMode="External"/><Relationship Id="rId232" Type="http://schemas.openxmlformats.org/officeDocument/2006/relationships/hyperlink" Target="https://unbiodiversitylab.org/en/" TargetMode="External"/><Relationship Id="rId27" Type="http://schemas.openxmlformats.org/officeDocument/2006/relationships/hyperlink" Target="https://seea.un.org/ecosystem-accounting" TargetMode="External"/><Relationship Id="rId537" Type="http://schemas.openxmlformats.org/officeDocument/2006/relationships/hyperlink" Target="mailto:katie.reytar@wri.org" TargetMode="External"/><Relationship Id="rId80" Type="http://schemas.openxmlformats.org/officeDocument/2006/relationships/hyperlink" Target="http://www.sciencemag.org/content/321/5888/560.short" TargetMode="External"/><Relationship Id="rId176" Type="http://schemas.openxmlformats.org/officeDocument/2006/relationships/hyperlink" Target="https://openknowledge.fao.org/server/api/core/bitstreams/f7840eff-4b54-4d47-b771-1ca4803e2125/content" TargetMode="External"/><Relationship Id="rId383" Type="http://schemas.openxmlformats.org/officeDocument/2006/relationships/hyperlink" Target="https://www.cbd.int/doc/decisions/cop-10/cop-10-dec-43-en.pdf" TargetMode="External"/><Relationship Id="rId590" Type="http://schemas.openxmlformats.org/officeDocument/2006/relationships/hyperlink" Target="https://seea.un.org/sites/seea.un.org/files/documents/EA/seea_ea_white_cover_final.pdf" TargetMode="External"/><Relationship Id="rId604" Type="http://schemas.openxmlformats.org/officeDocument/2006/relationships/hyperlink" Target="https://www.cbd.int/doc/c/444a/f794/c4ff3e8f037180bb33fa0afc/sbi-03-inf-41-en.pdf" TargetMode="External"/><Relationship Id="rId243" Type="http://schemas.openxmlformats.org/officeDocument/2006/relationships/hyperlink" Target="https://www.midatlanticocean.org/ocean-planning/about-ocean-planning/" TargetMode="External"/><Relationship Id="rId450" Type="http://schemas.openxmlformats.org/officeDocument/2006/relationships/hyperlink" Target="https://www.cdsb.net/sites/default/files/biodiversity-application-guidance-single_disclaimer.pdf" TargetMode="External"/><Relationship Id="rId38" Type="http://schemas.openxmlformats.org/officeDocument/2006/relationships/hyperlink" Target="https://seea.un.org/ecosystem-accounting/biophysical-modelling" TargetMode="External"/><Relationship Id="rId103" Type="http://schemas.openxmlformats.org/officeDocument/2006/relationships/hyperlink" Target="https://doi.org/10.32942/X2QK5W" TargetMode="External"/><Relationship Id="rId310" Type="http://schemas.openxmlformats.org/officeDocument/2006/relationships/hyperlink" Target="http://unep-wcmc.org/system/dataset_file_fields/files/000/000/263/original/2014_UN_List_of_Protected_Areas_EN_web.PDF?1415613322" TargetMode="External"/><Relationship Id="rId548" Type="http://schemas.openxmlformats.org/officeDocument/2006/relationships/hyperlink" Target="https://www.landexglobal.org/e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unstats.un.org/sdgs/metadata/files/Metadata-02-04-01.pdf" TargetMode="External"/><Relationship Id="rId18" Type="http://schemas.openxmlformats.org/officeDocument/2006/relationships/hyperlink" Target="https://openknowledge.fao.org/server/api/core/bitstreams/e344e3ee-4630-49c1-98a8-b1f5df3dcb8f/content" TargetMode="External"/><Relationship Id="rId26" Type="http://schemas.openxmlformats.org/officeDocument/2006/relationships/hyperlink" Target="https://sdgs.unep.org/article/sdg-indicator-1531" TargetMode="External"/><Relationship Id="rId39" Type="http://schemas.openxmlformats.org/officeDocument/2006/relationships/hyperlink" Target="https://sdgs.unep.org/article/sdg-indicator-1542" TargetMode="External"/><Relationship Id="rId21" Type="http://schemas.openxmlformats.org/officeDocument/2006/relationships/hyperlink" Target="https://openknowledge.fao.org/server/api/core/bitstreams/8a9fb2b2-604c-4e1d-b1b9-37192e226bce/content" TargetMode="External"/><Relationship Id="rId34" Type="http://schemas.openxmlformats.org/officeDocument/2006/relationships/hyperlink" Target="https://unstats.un.org/sdgs/metadata/files/Metadata-15-04-02.pdf" TargetMode="External"/><Relationship Id="rId7" Type="http://schemas.openxmlformats.org/officeDocument/2006/relationships/hyperlink" Target="https://fra-data.fao.org/" TargetMode="External"/><Relationship Id="rId2" Type="http://schemas.openxmlformats.org/officeDocument/2006/relationships/hyperlink" Target="https://www.cbd.int/notifications/2025-046" TargetMode="External"/><Relationship Id="rId16" Type="http://schemas.openxmlformats.org/officeDocument/2006/relationships/hyperlink" Target="https://unstats.un.org/sdgs/metadata/files/Metadata-02-04-01.pdf" TargetMode="External"/><Relationship Id="rId20" Type="http://schemas.openxmlformats.org/officeDocument/2006/relationships/hyperlink" Target="https://openknowledge.fao.org/server/api/core/bitstreams/6599bf25-e0af-46c7-b756-c420cf839d90/content" TargetMode="External"/><Relationship Id="rId29" Type="http://schemas.openxmlformats.org/officeDocument/2006/relationships/hyperlink" Target="https://unstats.un.org/sdgs/metadata/files/Metadata-15-04-02.pdf" TargetMode="External"/><Relationship Id="rId41" Type="http://schemas.openxmlformats.org/officeDocument/2006/relationships/hyperlink" Target="https://www.unccd.int/resources/manuals-and-guides/good-practice-guidance-sdg-indicator-1531-proportion-land-degraded" TargetMode="External"/><Relationship Id="rId1" Type="http://schemas.openxmlformats.org/officeDocument/2006/relationships/hyperlink" Target="https://www.cbd.int/documents/CBD/SBSTTA/28/1" TargetMode="External"/><Relationship Id="rId6" Type="http://schemas.openxmlformats.org/officeDocument/2006/relationships/hyperlink" Target="https://unstats.un.org/sdgs/metadata/files/Metadata-15-05-01.pdf" TargetMode="External"/><Relationship Id="rId11" Type="http://schemas.openxmlformats.org/officeDocument/2006/relationships/hyperlink" Target="https://unstats.un.org/sdgs/metadata/files/Metadata-02-04-01.pdf" TargetMode="External"/><Relationship Id="rId24" Type="http://schemas.openxmlformats.org/officeDocument/2006/relationships/hyperlink" Target="https://unstats.un.org/sdgs/metadata/files/Metadata-15-02-01.pdf" TargetMode="External"/><Relationship Id="rId32" Type="http://schemas.openxmlformats.org/officeDocument/2006/relationships/hyperlink" Target="https://unstats.un.org/sdgs/metadata/files/Metadata-15-03-01.pdf" TargetMode="External"/><Relationship Id="rId37" Type="http://schemas.openxmlformats.org/officeDocument/2006/relationships/hyperlink" Target="https://sdgs.unep.org/article/sdg-indicator-1531" TargetMode="External"/><Relationship Id="rId40" Type="http://schemas.openxmlformats.org/officeDocument/2006/relationships/hyperlink" Target="https://unstats.un.org/sdgs/metadata/files/Metadata-15-04-02.pdf" TargetMode="External"/><Relationship Id="rId5" Type="http://schemas.openxmlformats.org/officeDocument/2006/relationships/hyperlink" Target="https://www.cbd.int/notifications/2025-077" TargetMode="External"/><Relationship Id="rId15" Type="http://schemas.openxmlformats.org/officeDocument/2006/relationships/hyperlink" Target="https://openknowledge.fao.org/server/api/core/bitstreams/e344e3ee-4630-49c1-98a8-b1f5df3dcb8f/content" TargetMode="External"/><Relationship Id="rId23" Type="http://schemas.openxmlformats.org/officeDocument/2006/relationships/hyperlink" Target="https://elearning.fao.org/course/view.php?id=503" TargetMode="External"/><Relationship Id="rId28" Type="http://schemas.openxmlformats.org/officeDocument/2006/relationships/hyperlink" Target="https://sdgs.unep.org/article/sdg-indicator-1542" TargetMode="External"/><Relationship Id="rId36" Type="http://schemas.openxmlformats.org/officeDocument/2006/relationships/hyperlink" Target="https://glad.umd.edu/dataset" TargetMode="External"/><Relationship Id="rId10" Type="http://schemas.openxmlformats.org/officeDocument/2006/relationships/hyperlink" Target="https://docs.google.com/spreadsheets/d/13HdhGVTS5fbSoeZ78DOD7t0b4uUuUhX7yhJCr2jyHfk/edit?gid=2005954972" TargetMode="External"/><Relationship Id="rId19" Type="http://schemas.openxmlformats.org/officeDocument/2006/relationships/hyperlink" Target="https://openknowledge.fao.org/server/api/core/bitstreams/03d673ed-6360-47b6-9ac0-e8ca1eac35e0/content" TargetMode="External"/><Relationship Id="rId31" Type="http://schemas.openxmlformats.org/officeDocument/2006/relationships/hyperlink" Target="https://sdgs.unep.org/article/sdg-indicator-1531" TargetMode="External"/><Relationship Id="rId4" Type="http://schemas.openxmlformats.org/officeDocument/2006/relationships/hyperlink" Target="https://www.cbd.int/notifications/2025-045" TargetMode="External"/><Relationship Id="rId9" Type="http://schemas.openxmlformats.org/officeDocument/2006/relationships/hyperlink" Target="https://unstats.un.org/sdgs/metadata/files/Metadata-14-01-01.pdf" TargetMode="External"/><Relationship Id="rId14" Type="http://schemas.openxmlformats.org/officeDocument/2006/relationships/hyperlink" Target="https://openknowledge.fao.org/server/api/core/bitstreams/e344e3ee-4630-49c1-98a8-b1f5df3dcb8f/content" TargetMode="External"/><Relationship Id="rId22" Type="http://schemas.openxmlformats.org/officeDocument/2006/relationships/hyperlink" Target="https://openknowledge.fao.org/server/api/core/bitstreams/7935a029-2a50-4a75-8ee4-72125fe660c0/content" TargetMode="External"/><Relationship Id="rId27" Type="http://schemas.openxmlformats.org/officeDocument/2006/relationships/hyperlink" Target="https://unstats.un.org/sdgs/metadata/files/Metadata-15-03-01.pdf" TargetMode="External"/><Relationship Id="rId30" Type="http://schemas.openxmlformats.org/officeDocument/2006/relationships/hyperlink" Target="https://maps.elie.ucl.ac.be/CCI/viewer/download/ESACCI-LC-Ph2-PUGv2_2.0.pdf" TargetMode="External"/><Relationship Id="rId35" Type="http://schemas.openxmlformats.org/officeDocument/2006/relationships/hyperlink" Target="https://www.unccd.int/resources/manuals-and-guides/good-practice-guidance-sdg-indicator-1531-proportion-land-degraded" TargetMode="External"/><Relationship Id="rId8" Type="http://schemas.openxmlformats.org/officeDocument/2006/relationships/hyperlink" Target="https://unstats.un.org/sdgs/metadata/files/Metadata-14-04-01.pdf" TargetMode="External"/><Relationship Id="rId3" Type="http://schemas.openxmlformats.org/officeDocument/2006/relationships/hyperlink" Target="https://www.cbd.int/notifications/2025-044" TargetMode="External"/><Relationship Id="rId12" Type="http://schemas.openxmlformats.org/officeDocument/2006/relationships/hyperlink" Target="https://unstats.un.org/sdgs/metadata/files/Metadata-02-04-01proxy.pdf" TargetMode="External"/><Relationship Id="rId17" Type="http://schemas.openxmlformats.org/officeDocument/2006/relationships/hyperlink" Target="https://openknowledge.fao.org/server/api/core/bitstreams/4cb138eb-c887-4463-b6c4-34d94b6de5c3/content" TargetMode="External"/><Relationship Id="rId25" Type="http://schemas.openxmlformats.org/officeDocument/2006/relationships/hyperlink" Target="https://unstats.un.org/sdgs/metadata/files/Metadata-11-07-01.pdf" TargetMode="External"/><Relationship Id="rId33" Type="http://schemas.openxmlformats.org/officeDocument/2006/relationships/hyperlink" Target="https://sdgs.unep.org/article/sdg-indicator-1542" TargetMode="External"/><Relationship Id="rId38" Type="http://schemas.openxmlformats.org/officeDocument/2006/relationships/hyperlink" Target="https://unstats.un.org/sdgs/metadata/files/Metadata-15-03-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CD4246541B450FAFD88C872C2C8171"/>
        <w:category>
          <w:name w:val="General"/>
          <w:gallery w:val="placeholder"/>
        </w:category>
        <w:types>
          <w:type w:val="bbPlcHdr"/>
        </w:types>
        <w:behaviors>
          <w:behavior w:val="content"/>
        </w:behaviors>
        <w:guid w:val="{A9B03D37-0CDD-402A-8E71-AD9D441F2841}"/>
      </w:docPartPr>
      <w:docPartBody>
        <w:p w:rsidR="00232370" w:rsidRDefault="00AA7210" w:rsidP="00AA7210">
          <w:pPr>
            <w:pStyle w:val="95CD4246541B450FAFD88C872C2C817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706"/>
    <w:rsid w:val="000127A8"/>
    <w:rsid w:val="00023E50"/>
    <w:rsid w:val="00062727"/>
    <w:rsid w:val="000A25C1"/>
    <w:rsid w:val="000C7257"/>
    <w:rsid w:val="000D5DAB"/>
    <w:rsid w:val="00103C9D"/>
    <w:rsid w:val="00103E0D"/>
    <w:rsid w:val="00122BE6"/>
    <w:rsid w:val="00123ECD"/>
    <w:rsid w:val="00134353"/>
    <w:rsid w:val="0015130E"/>
    <w:rsid w:val="00170982"/>
    <w:rsid w:val="001A5720"/>
    <w:rsid w:val="001B12D3"/>
    <w:rsid w:val="001B735A"/>
    <w:rsid w:val="001D2D77"/>
    <w:rsid w:val="00207C9B"/>
    <w:rsid w:val="00212C73"/>
    <w:rsid w:val="00220CDF"/>
    <w:rsid w:val="00232370"/>
    <w:rsid w:val="00240030"/>
    <w:rsid w:val="00244125"/>
    <w:rsid w:val="00254B63"/>
    <w:rsid w:val="00256075"/>
    <w:rsid w:val="00261728"/>
    <w:rsid w:val="002770C2"/>
    <w:rsid w:val="00283C36"/>
    <w:rsid w:val="00283EAF"/>
    <w:rsid w:val="00284B16"/>
    <w:rsid w:val="002A2F4C"/>
    <w:rsid w:val="00310E8F"/>
    <w:rsid w:val="00333EDC"/>
    <w:rsid w:val="0035207B"/>
    <w:rsid w:val="00370706"/>
    <w:rsid w:val="00376224"/>
    <w:rsid w:val="00394C47"/>
    <w:rsid w:val="003A086A"/>
    <w:rsid w:val="003A4020"/>
    <w:rsid w:val="003B495E"/>
    <w:rsid w:val="0041523A"/>
    <w:rsid w:val="00423A85"/>
    <w:rsid w:val="004408CB"/>
    <w:rsid w:val="00445AE3"/>
    <w:rsid w:val="00481960"/>
    <w:rsid w:val="00492AB7"/>
    <w:rsid w:val="00494A5E"/>
    <w:rsid w:val="004A5382"/>
    <w:rsid w:val="004C7ADA"/>
    <w:rsid w:val="004D1BCE"/>
    <w:rsid w:val="004D6301"/>
    <w:rsid w:val="004F0ACD"/>
    <w:rsid w:val="004F0D6E"/>
    <w:rsid w:val="004F615E"/>
    <w:rsid w:val="004F7D1E"/>
    <w:rsid w:val="00524E22"/>
    <w:rsid w:val="00524FA0"/>
    <w:rsid w:val="005670A9"/>
    <w:rsid w:val="00573D4F"/>
    <w:rsid w:val="0057651E"/>
    <w:rsid w:val="00585454"/>
    <w:rsid w:val="0058790E"/>
    <w:rsid w:val="005A26FA"/>
    <w:rsid w:val="005D1945"/>
    <w:rsid w:val="005E6B0B"/>
    <w:rsid w:val="005F249F"/>
    <w:rsid w:val="005F2B5D"/>
    <w:rsid w:val="00612BD1"/>
    <w:rsid w:val="00615331"/>
    <w:rsid w:val="0061590D"/>
    <w:rsid w:val="00615B0F"/>
    <w:rsid w:val="00626434"/>
    <w:rsid w:val="00651465"/>
    <w:rsid w:val="006910A1"/>
    <w:rsid w:val="006B3529"/>
    <w:rsid w:val="006B3FFD"/>
    <w:rsid w:val="006E56AC"/>
    <w:rsid w:val="006F607C"/>
    <w:rsid w:val="00715996"/>
    <w:rsid w:val="00720193"/>
    <w:rsid w:val="00734D2C"/>
    <w:rsid w:val="00754EBF"/>
    <w:rsid w:val="0075747F"/>
    <w:rsid w:val="007665FD"/>
    <w:rsid w:val="007702E0"/>
    <w:rsid w:val="0077087D"/>
    <w:rsid w:val="007872D5"/>
    <w:rsid w:val="007945A7"/>
    <w:rsid w:val="0079535A"/>
    <w:rsid w:val="007A44EF"/>
    <w:rsid w:val="007C7A0B"/>
    <w:rsid w:val="008001EC"/>
    <w:rsid w:val="00803DE1"/>
    <w:rsid w:val="00852195"/>
    <w:rsid w:val="00881C77"/>
    <w:rsid w:val="008841A4"/>
    <w:rsid w:val="008D0673"/>
    <w:rsid w:val="008E0409"/>
    <w:rsid w:val="009513EE"/>
    <w:rsid w:val="00967E86"/>
    <w:rsid w:val="009767F7"/>
    <w:rsid w:val="009A72C7"/>
    <w:rsid w:val="009B7F1A"/>
    <w:rsid w:val="009E6CF2"/>
    <w:rsid w:val="00A018E7"/>
    <w:rsid w:val="00A548CF"/>
    <w:rsid w:val="00A74A28"/>
    <w:rsid w:val="00A951D0"/>
    <w:rsid w:val="00AA3BE4"/>
    <w:rsid w:val="00AA7210"/>
    <w:rsid w:val="00AB296D"/>
    <w:rsid w:val="00AD66AD"/>
    <w:rsid w:val="00AE7E2F"/>
    <w:rsid w:val="00B12174"/>
    <w:rsid w:val="00B15D91"/>
    <w:rsid w:val="00B225ED"/>
    <w:rsid w:val="00B77AAF"/>
    <w:rsid w:val="00BB4FC8"/>
    <w:rsid w:val="00BC06A5"/>
    <w:rsid w:val="00BC2306"/>
    <w:rsid w:val="00BE6A4B"/>
    <w:rsid w:val="00C056E6"/>
    <w:rsid w:val="00C323B8"/>
    <w:rsid w:val="00C55B47"/>
    <w:rsid w:val="00C62952"/>
    <w:rsid w:val="00C6775E"/>
    <w:rsid w:val="00C73E20"/>
    <w:rsid w:val="00C8565D"/>
    <w:rsid w:val="00C85DF5"/>
    <w:rsid w:val="00CE51A7"/>
    <w:rsid w:val="00D426E5"/>
    <w:rsid w:val="00DA681F"/>
    <w:rsid w:val="00DC0A6A"/>
    <w:rsid w:val="00DD0648"/>
    <w:rsid w:val="00E07E56"/>
    <w:rsid w:val="00E24758"/>
    <w:rsid w:val="00E26AD2"/>
    <w:rsid w:val="00E54EA3"/>
    <w:rsid w:val="00E66D46"/>
    <w:rsid w:val="00E81463"/>
    <w:rsid w:val="00EB706D"/>
    <w:rsid w:val="00EB7377"/>
    <w:rsid w:val="00ED7384"/>
    <w:rsid w:val="00EF4420"/>
    <w:rsid w:val="00EF5F32"/>
    <w:rsid w:val="00F46B43"/>
    <w:rsid w:val="00F511BF"/>
    <w:rsid w:val="00F6508D"/>
    <w:rsid w:val="00FF05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7210"/>
    <w:rPr>
      <w:color w:val="808080"/>
    </w:rPr>
  </w:style>
  <w:style w:type="paragraph" w:customStyle="1" w:styleId="95CD4246541B450FAFD88C872C2C8171">
    <w:name w:val="95CD4246541B450FAFD88C872C2C8171"/>
    <w:rsid w:val="00AA7210"/>
    <w:rPr>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B7280C-6564-4A4A-B979-2930611A156B}">
  <ds:schemaRefs>
    <ds:schemaRef ds:uri="http://schemas.openxmlformats.org/officeDocument/2006/bibliography"/>
  </ds:schemaRefs>
</ds:datastoreItem>
</file>

<file path=customXml/itemProps2.xml><?xml version="1.0" encoding="utf-8"?>
<ds:datastoreItem xmlns:ds="http://schemas.openxmlformats.org/officeDocument/2006/customXml" ds:itemID="{E4AAD879-7025-4C03-96FF-02090950444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5BAC148-F472-4E2F-82A7-513D97B4E671}">
  <ds:schemaRefs>
    <ds:schemaRef ds:uri="http://schemas.microsoft.com/sharepoint/v3/contenttype/forms"/>
  </ds:schemaRefs>
</ds:datastoreItem>
</file>

<file path=customXml/itemProps4.xml><?xml version="1.0" encoding="utf-8"?>
<ds:datastoreItem xmlns:ds="http://schemas.openxmlformats.org/officeDocument/2006/customXml" ds:itemID="{324273D8-80C0-43E9-8573-5D043D996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365</Pages>
  <Words>181818</Words>
  <Characters>994546</Characters>
  <Application>Microsoft Office Word</Application>
  <DocSecurity>0</DocSecurity>
  <Lines>24257</Lines>
  <Paragraphs>11421</Paragraphs>
  <ScaleCrop>false</ScaleCrop>
  <HeadingPairs>
    <vt:vector size="2" baseType="variant">
      <vt:variant>
        <vt:lpstr>Title</vt:lpstr>
      </vt:variant>
      <vt:variant>
        <vt:i4>1</vt:i4>
      </vt:variant>
    </vt:vector>
  </HeadingPairs>
  <TitlesOfParts>
    <vt:vector size="1" baseType="lpstr">
      <vt:lpstr>Updated metadata for the headline indicators for the Kunming-Montreal Global Biodiversity Framework</vt:lpstr>
    </vt:vector>
  </TitlesOfParts>
  <Company/>
  <LinksUpToDate>false</LinksUpToDate>
  <CharactersWithSpaces>1164943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metadata for the headline indicators for the Kunming-Montreal Global Biodiversity Framework</dc:title>
  <dc:subject/>
  <dc:creator>Flavio Affinito</dc:creator>
  <cp:keywords/>
  <dc:description/>
  <cp:lastModifiedBy>Veronique Lefebvre</cp:lastModifiedBy>
  <cp:revision>3</cp:revision>
  <cp:lastPrinted>2024-04-02T19:14:00Z</cp:lastPrinted>
  <dcterms:created xsi:type="dcterms:W3CDTF">2026-07-06T20:55:00Z</dcterms:created>
  <dcterms:modified xsi:type="dcterms:W3CDTF">2026-07-06T20:56:00Z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